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49614">
      <w:pPr>
        <w:ind w:right="160" w:firstLine="480"/>
        <w:jc w:val="right"/>
        <w:rPr>
          <w:rFonts w:hint="eastAsia" w:ascii="隶书" w:eastAsia="隶书"/>
          <w:color w:val="000000" w:themeColor="text1"/>
          <w14:textFill>
            <w14:solidFill>
              <w14:schemeClr w14:val="tx1"/>
            </w14:solidFill>
          </w14:textFill>
        </w:rPr>
      </w:pPr>
      <w:bookmarkStart w:id="579" w:name="_GoBack"/>
      <w:bookmarkEnd w:id="579"/>
    </w:p>
    <w:p w14:paraId="342E4426">
      <w:pPr>
        <w:adjustRightInd w:val="0"/>
        <w:jc w:val="right"/>
        <w:rPr>
          <w:rFonts w:hint="eastAsia"/>
          <w:color w:val="000000" w:themeColor="text1"/>
          <w:sz w:val="52"/>
          <w14:textFill>
            <w14:solidFill>
              <w14:schemeClr w14:val="tx1"/>
            </w14:solidFill>
          </w14:textFill>
        </w:rPr>
      </w:pPr>
    </w:p>
    <w:p w14:paraId="6DF93933">
      <w:pPr>
        <w:adjustRightInd w:val="0"/>
        <w:jc w:val="right"/>
        <w:rPr>
          <w:rFonts w:hint="eastAsia"/>
          <w:color w:val="000000" w:themeColor="text1"/>
          <w:sz w:val="52"/>
          <w14:textFill>
            <w14:solidFill>
              <w14:schemeClr w14:val="tx1"/>
            </w14:solidFill>
          </w14:textFill>
        </w:rPr>
      </w:pPr>
    </w:p>
    <w:p w14:paraId="0D1439BD">
      <w:pPr>
        <w:adjustRightInd w:val="0"/>
        <w:snapToGrid w:val="0"/>
        <w:spacing w:line="360" w:lineRule="auto"/>
        <w:jc w:val="center"/>
        <w:rPr>
          <w:rFonts w:ascii="Times New Roman" w:hAnsi="Times New Roman" w:eastAsia="楷体" w:cs="Times New Roman"/>
          <w:b/>
          <w:snapToGrid w:val="0"/>
          <w:color w:val="000000" w:themeColor="text1"/>
          <w:sz w:val="44"/>
          <w:szCs w:val="44"/>
          <w14:textFill>
            <w14:solidFill>
              <w14:schemeClr w14:val="tx1"/>
            </w14:solidFill>
          </w14:textFill>
        </w:rPr>
      </w:pPr>
      <w:r>
        <w:rPr>
          <w:rFonts w:ascii="Times New Roman" w:hAnsi="Times New Roman" w:eastAsia="楷体" w:cs="Times New Roman"/>
          <w:b/>
          <w:snapToGrid w:val="0"/>
          <w:color w:val="000000" w:themeColor="text1"/>
          <w:sz w:val="44"/>
          <w:szCs w:val="44"/>
          <w14:textFill>
            <w14:solidFill>
              <w14:schemeClr w14:val="tx1"/>
            </w14:solidFill>
          </w14:textFill>
        </w:rPr>
        <w:t>新疆天科隆化学有限公司</w:t>
      </w:r>
      <w:r>
        <w:rPr>
          <w:rFonts w:hint="eastAsia" w:ascii="Times New Roman" w:hAnsi="Times New Roman" w:eastAsia="楷体" w:cs="Times New Roman"/>
          <w:b/>
          <w:snapToGrid w:val="0"/>
          <w:color w:val="000000" w:themeColor="text1"/>
          <w:sz w:val="44"/>
          <w:szCs w:val="44"/>
          <w14:textFill>
            <w14:solidFill>
              <w14:schemeClr w14:val="tx1"/>
            </w14:solidFill>
          </w14:textFill>
        </w:rPr>
        <w:t>年产6.2万吨水电解制氢及50万吨绿色草酰胺、80万吨有机高效缓释肥项</w:t>
      </w:r>
      <w:r>
        <w:rPr>
          <w:rFonts w:ascii="Times New Roman" w:hAnsi="Times New Roman" w:eastAsia="楷体" w:cs="Times New Roman"/>
          <w:b/>
          <w:snapToGrid w:val="0"/>
          <w:color w:val="000000" w:themeColor="text1"/>
          <w:sz w:val="44"/>
          <w:szCs w:val="44"/>
          <w14:textFill>
            <w14:solidFill>
              <w14:schemeClr w14:val="tx1"/>
            </w14:solidFill>
          </w14:textFill>
        </w:rPr>
        <w:t>目</w:t>
      </w:r>
    </w:p>
    <w:p w14:paraId="5BF7C3D4">
      <w:pPr>
        <w:adjustRightInd w:val="0"/>
        <w:spacing w:line="360" w:lineRule="auto"/>
        <w:jc w:val="center"/>
        <w:rPr>
          <w:rFonts w:hint="eastAsia" w:ascii="楷体" w:hAnsi="楷体" w:eastAsia="楷体"/>
          <w:b/>
          <w:color w:val="000000" w:themeColor="text1"/>
          <w:spacing w:val="20"/>
          <w:sz w:val="72"/>
          <w:szCs w:val="72"/>
          <w14:textFill>
            <w14:solidFill>
              <w14:schemeClr w14:val="tx1"/>
            </w14:solidFill>
          </w14:textFill>
        </w:rPr>
      </w:pPr>
      <w:r>
        <w:rPr>
          <w:rFonts w:hint="eastAsia" w:ascii="楷体" w:hAnsi="楷体" w:eastAsia="楷体"/>
          <w:b/>
          <w:color w:val="000000" w:themeColor="text1"/>
          <w:spacing w:val="20"/>
          <w:sz w:val="72"/>
          <w:szCs w:val="72"/>
          <w14:textFill>
            <w14:solidFill>
              <w14:schemeClr w14:val="tx1"/>
            </w14:solidFill>
          </w14:textFill>
        </w:rPr>
        <w:t>环境影响报告书</w:t>
      </w:r>
    </w:p>
    <w:p w14:paraId="4B207062">
      <w:pPr>
        <w:adjustRightInd w:val="0"/>
        <w:spacing w:line="360" w:lineRule="auto"/>
        <w:jc w:val="center"/>
        <w:rPr>
          <w:rFonts w:hint="eastAsia"/>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（公示稿）</w:t>
      </w:r>
    </w:p>
    <w:p w14:paraId="36844DAC">
      <w:pPr>
        <w:adjustRightInd w:val="0"/>
        <w:jc w:val="center"/>
        <w:rPr>
          <w:rFonts w:hint="eastAsia"/>
          <w:color w:val="000000" w:themeColor="text1"/>
          <w:sz w:val="52"/>
          <w14:textFill>
            <w14:solidFill>
              <w14:schemeClr w14:val="tx1"/>
            </w14:solidFill>
          </w14:textFill>
        </w:rPr>
      </w:pPr>
    </w:p>
    <w:p w14:paraId="0CA492CF">
      <w:pPr>
        <w:adjustRightInd w:val="0"/>
        <w:jc w:val="center"/>
        <w:rPr>
          <w:rFonts w:hint="eastAsia"/>
          <w:color w:val="000000" w:themeColor="text1"/>
          <w:sz w:val="52"/>
          <w14:textFill>
            <w14:solidFill>
              <w14:schemeClr w14:val="tx1"/>
            </w14:solidFill>
          </w14:textFill>
        </w:rPr>
      </w:pPr>
    </w:p>
    <w:p w14:paraId="20A0C214">
      <w:pPr>
        <w:adjustRightInd w:val="0"/>
        <w:jc w:val="center"/>
        <w:rPr>
          <w:rFonts w:hint="eastAsia"/>
          <w:color w:val="000000" w:themeColor="text1"/>
          <w:sz w:val="52"/>
          <w14:textFill>
            <w14:solidFill>
              <w14:schemeClr w14:val="tx1"/>
            </w14:solidFill>
          </w14:textFill>
        </w:rPr>
      </w:pPr>
    </w:p>
    <w:p w14:paraId="5242398E">
      <w:pPr>
        <w:adjustRightInd w:val="0"/>
        <w:jc w:val="center"/>
        <w:rPr>
          <w:rFonts w:hint="eastAsia"/>
          <w:color w:val="000000" w:themeColor="text1"/>
          <w:sz w:val="52"/>
          <w14:textFill>
            <w14:solidFill>
              <w14:schemeClr w14:val="tx1"/>
            </w14:solidFill>
          </w14:textFill>
        </w:rPr>
      </w:pPr>
    </w:p>
    <w:p w14:paraId="51A6D094">
      <w:pPr>
        <w:adjustRightInd w:val="0"/>
        <w:jc w:val="center"/>
        <w:rPr>
          <w:rFonts w:hint="eastAsia"/>
          <w:color w:val="000000" w:themeColor="text1"/>
          <w:sz w:val="52"/>
          <w14:textFill>
            <w14:solidFill>
              <w14:schemeClr w14:val="tx1"/>
            </w14:solidFill>
          </w14:textFill>
        </w:rPr>
      </w:pPr>
    </w:p>
    <w:p w14:paraId="079CAF5C">
      <w:pPr>
        <w:adjustRightInd w:val="0"/>
        <w:jc w:val="center"/>
        <w:rPr>
          <w:rFonts w:hint="eastAsia" w:ascii="楷体" w:hAnsi="楷体" w:eastAsia="楷体"/>
          <w:bCs/>
          <w:color w:val="000000" w:themeColor="text1"/>
          <w:sz w:val="32"/>
          <w:szCs w:val="20"/>
          <w14:textFill>
            <w14:solidFill>
              <w14:schemeClr w14:val="tx1"/>
            </w14:solidFill>
          </w14:textFill>
        </w:rPr>
      </w:pPr>
      <w:r>
        <w:rPr>
          <w:rFonts w:hint="eastAsia" w:ascii="楷体" w:hAnsi="楷体" w:eastAsia="楷体"/>
          <w:bCs/>
          <w:color w:val="000000" w:themeColor="text1"/>
          <w:sz w:val="32"/>
          <w:szCs w:val="20"/>
          <w14:textFill>
            <w14:solidFill>
              <w14:schemeClr w14:val="tx1"/>
            </w14:solidFill>
          </w14:textFill>
        </w:rPr>
        <w:t>新疆天科隆化学有限公司</w:t>
      </w:r>
    </w:p>
    <w:p w14:paraId="21001DFD">
      <w:pPr>
        <w:snapToGrid w:val="0"/>
        <w:spacing w:line="288" w:lineRule="auto"/>
        <w:jc w:val="center"/>
        <w:rPr>
          <w:rFonts w:hint="eastAsia" w:eastAsia="楷体_GB2312"/>
          <w:b/>
          <w:snapToGrid w:val="0"/>
          <w:sz w:val="44"/>
          <w:szCs w:val="44"/>
        </w:rPr>
      </w:pPr>
    </w:p>
    <w:p w14:paraId="1C8B23EA">
      <w:pPr>
        <w:snapToGrid w:val="0"/>
        <w:spacing w:line="288" w:lineRule="auto"/>
        <w:jc w:val="center"/>
        <w:rPr>
          <w:rFonts w:hint="eastAsia" w:eastAsia="楷体_GB2312"/>
          <w:b/>
          <w:snapToGrid w:val="0"/>
          <w:sz w:val="44"/>
          <w:szCs w:val="4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20ED99E8">
      <w:pPr>
        <w:jc w:val="center"/>
        <w:rPr>
          <w:rFonts w:hint="eastAsia" w:eastAsia="黑体"/>
          <w:b/>
          <w:bCs/>
          <w:sz w:val="36"/>
          <w:szCs w:val="36"/>
        </w:rPr>
      </w:pPr>
      <w:r>
        <w:rPr>
          <w:rFonts w:hAnsi="黑体" w:eastAsia="黑体"/>
          <w:b/>
          <w:bCs/>
          <w:sz w:val="36"/>
          <w:szCs w:val="36"/>
        </w:rPr>
        <w:t>目录</w:t>
      </w:r>
    </w:p>
    <w:p w14:paraId="56362136">
      <w:pPr>
        <w:pStyle w:val="42"/>
        <w:tabs>
          <w:tab w:val="right" w:leader="dot" w:pos="8306"/>
          <w:tab w:val="clear" w:pos="8296"/>
        </w:tabs>
        <w:rPr>
          <w:rFonts w:ascii="Times New Roman" w:hAnsi="Times New Roman"/>
          <w:b/>
          <w:bCs/>
        </w:rPr>
      </w:pPr>
      <w:r>
        <w:rPr>
          <w:rFonts w:ascii="黑体" w:hAnsi="黑体" w:eastAsia="黑体"/>
          <w:b/>
          <w:bCs/>
        </w:rPr>
        <w:fldChar w:fldCharType="begin"/>
      </w:r>
      <w:r>
        <w:rPr>
          <w:rFonts w:ascii="黑体" w:hAnsi="黑体" w:eastAsia="黑体"/>
          <w:b/>
          <w:bCs/>
        </w:rPr>
        <w:instrText xml:space="preserve"> TOC \o "1-2" \h \z \u </w:instrText>
      </w:r>
      <w:r>
        <w:rPr>
          <w:rFonts w:ascii="黑体" w:hAnsi="黑体" w:eastAsia="黑体"/>
          <w:b/>
          <w:bCs/>
        </w:rPr>
        <w:fldChar w:fldCharType="separate"/>
      </w:r>
      <w:r>
        <w:fldChar w:fldCharType="begin"/>
      </w:r>
      <w:r>
        <w:instrText xml:space="preserve"> HYPERLINK \l "_Toc30019" </w:instrText>
      </w:r>
      <w:r>
        <w:fldChar w:fldCharType="separate"/>
      </w:r>
      <w:r>
        <w:rPr>
          <w:rFonts w:ascii="Times New Roman" w:hAnsi="Times New Roman"/>
          <w:b/>
          <w:bCs/>
          <w:szCs w:val="48"/>
        </w:rPr>
        <w:t xml:space="preserve">第1章 </w:t>
      </w:r>
      <w:r>
        <w:rPr>
          <w:rFonts w:ascii="Times New Roman" w:hAnsi="Times New Roman"/>
          <w:b/>
          <w:bCs/>
        </w:rPr>
        <w:t>概述</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_Toc30019 \h </w:instrText>
      </w:r>
      <w:r>
        <w:rPr>
          <w:rFonts w:ascii="Times New Roman" w:hAnsi="Times New Roman"/>
          <w:b/>
          <w:bCs/>
        </w:rPr>
        <w:fldChar w:fldCharType="separate"/>
      </w:r>
      <w:r>
        <w:rPr>
          <w:rFonts w:ascii="Times New Roman" w:hAnsi="Times New Roman"/>
          <w:b/>
          <w:bCs/>
        </w:rPr>
        <w:t>1</w:t>
      </w:r>
      <w:r>
        <w:rPr>
          <w:rFonts w:ascii="Times New Roman" w:hAnsi="Times New Roman"/>
          <w:b/>
          <w:bCs/>
        </w:rPr>
        <w:fldChar w:fldCharType="end"/>
      </w:r>
      <w:r>
        <w:rPr>
          <w:rFonts w:ascii="Times New Roman" w:hAnsi="Times New Roman"/>
          <w:b/>
          <w:bCs/>
        </w:rPr>
        <w:fldChar w:fldCharType="end"/>
      </w:r>
    </w:p>
    <w:p w14:paraId="75A4FCD7">
      <w:pPr>
        <w:pStyle w:val="54"/>
        <w:tabs>
          <w:tab w:val="right" w:leader="dot" w:pos="8306"/>
        </w:tabs>
        <w:ind w:firstLine="210"/>
        <w:rPr>
          <w:rFonts w:ascii="Times New Roman" w:hAnsi="Times New Roman"/>
          <w:b/>
          <w:bCs/>
        </w:rPr>
      </w:pPr>
      <w:r>
        <w:fldChar w:fldCharType="begin"/>
      </w:r>
      <w:r>
        <w:instrText xml:space="preserve"> HYPERLINK \l "_Toc22737" </w:instrText>
      </w:r>
      <w:r>
        <w:fldChar w:fldCharType="separate"/>
      </w:r>
      <w:r>
        <w:rPr>
          <w:rFonts w:ascii="Times New Roman" w:hAnsi="Times New Roman" w:eastAsia="黑体"/>
          <w:b/>
          <w:bCs/>
          <w:szCs w:val="30"/>
        </w:rPr>
        <w:t xml:space="preserve">1.1 </w:t>
      </w:r>
      <w:r>
        <w:rPr>
          <w:rFonts w:ascii="Times New Roman" w:hAnsi="Times New Roman"/>
          <w:b/>
          <w:bCs/>
        </w:rPr>
        <w:t>项目背景</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_Toc22737 \h </w:instrText>
      </w:r>
      <w:r>
        <w:rPr>
          <w:rFonts w:ascii="Times New Roman" w:hAnsi="Times New Roman"/>
          <w:b/>
          <w:bCs/>
        </w:rPr>
        <w:fldChar w:fldCharType="separate"/>
      </w:r>
      <w:r>
        <w:rPr>
          <w:rFonts w:ascii="Times New Roman" w:hAnsi="Times New Roman"/>
          <w:b/>
          <w:bCs/>
        </w:rPr>
        <w:t>1</w:t>
      </w:r>
      <w:r>
        <w:rPr>
          <w:rFonts w:ascii="Times New Roman" w:hAnsi="Times New Roman"/>
          <w:b/>
          <w:bCs/>
        </w:rPr>
        <w:fldChar w:fldCharType="end"/>
      </w:r>
      <w:r>
        <w:rPr>
          <w:rFonts w:ascii="Times New Roman" w:hAnsi="Times New Roman"/>
          <w:b/>
          <w:bCs/>
        </w:rPr>
        <w:fldChar w:fldCharType="end"/>
      </w:r>
    </w:p>
    <w:p w14:paraId="5584B758">
      <w:pPr>
        <w:pStyle w:val="54"/>
        <w:tabs>
          <w:tab w:val="right" w:leader="dot" w:pos="8306"/>
        </w:tabs>
        <w:ind w:firstLine="210"/>
        <w:rPr>
          <w:rFonts w:ascii="Times New Roman" w:hAnsi="Times New Roman"/>
          <w:b/>
          <w:bCs/>
        </w:rPr>
      </w:pPr>
      <w:r>
        <w:fldChar w:fldCharType="begin"/>
      </w:r>
      <w:r>
        <w:instrText xml:space="preserve"> HYPERLINK \l "_Toc23081" </w:instrText>
      </w:r>
      <w:r>
        <w:fldChar w:fldCharType="separate"/>
      </w:r>
      <w:r>
        <w:rPr>
          <w:rFonts w:ascii="Times New Roman" w:hAnsi="Times New Roman" w:eastAsia="黑体"/>
          <w:b/>
          <w:bCs/>
          <w:szCs w:val="30"/>
        </w:rPr>
        <w:t xml:space="preserve">1.2 </w:t>
      </w:r>
      <w:r>
        <w:rPr>
          <w:rFonts w:ascii="Times New Roman" w:hAnsi="Times New Roman"/>
          <w:b/>
          <w:bCs/>
        </w:rPr>
        <w:t>环境影响评价工作过程</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_Toc23081 \h </w:instrText>
      </w:r>
      <w:r>
        <w:rPr>
          <w:rFonts w:ascii="Times New Roman" w:hAnsi="Times New Roman"/>
          <w:b/>
          <w:bCs/>
        </w:rPr>
        <w:fldChar w:fldCharType="separate"/>
      </w:r>
      <w:r>
        <w:rPr>
          <w:rFonts w:ascii="Times New Roman" w:hAnsi="Times New Roman"/>
          <w:b/>
          <w:bCs/>
        </w:rPr>
        <w:t>2</w:t>
      </w:r>
      <w:r>
        <w:rPr>
          <w:rFonts w:ascii="Times New Roman" w:hAnsi="Times New Roman"/>
          <w:b/>
          <w:bCs/>
        </w:rPr>
        <w:fldChar w:fldCharType="end"/>
      </w:r>
      <w:r>
        <w:rPr>
          <w:rFonts w:ascii="Times New Roman" w:hAnsi="Times New Roman"/>
          <w:b/>
          <w:bCs/>
        </w:rPr>
        <w:fldChar w:fldCharType="end"/>
      </w:r>
    </w:p>
    <w:p w14:paraId="5F7A92E5">
      <w:pPr>
        <w:pStyle w:val="54"/>
        <w:tabs>
          <w:tab w:val="right" w:leader="dot" w:pos="8306"/>
        </w:tabs>
        <w:ind w:firstLine="210"/>
        <w:rPr>
          <w:rFonts w:ascii="Times New Roman" w:hAnsi="Times New Roman"/>
          <w:b/>
          <w:bCs/>
        </w:rPr>
      </w:pPr>
      <w:r>
        <w:fldChar w:fldCharType="begin"/>
      </w:r>
      <w:r>
        <w:instrText xml:space="preserve"> HYPERLINK \l "_Toc32455" </w:instrText>
      </w:r>
      <w:r>
        <w:fldChar w:fldCharType="separate"/>
      </w:r>
      <w:r>
        <w:rPr>
          <w:rFonts w:ascii="Times New Roman" w:hAnsi="Times New Roman" w:eastAsia="黑体"/>
          <w:b/>
          <w:bCs/>
          <w:szCs w:val="30"/>
        </w:rPr>
        <w:t xml:space="preserve">1.3 </w:t>
      </w:r>
      <w:r>
        <w:rPr>
          <w:rFonts w:ascii="Times New Roman" w:hAnsi="Times New Roman"/>
          <w:b/>
          <w:bCs/>
        </w:rPr>
        <w:t>分析判定相关情况</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_Toc32455 \h </w:instrText>
      </w:r>
      <w:r>
        <w:rPr>
          <w:rFonts w:ascii="Times New Roman" w:hAnsi="Times New Roman"/>
          <w:b/>
          <w:bCs/>
        </w:rPr>
        <w:fldChar w:fldCharType="separate"/>
      </w:r>
      <w:r>
        <w:rPr>
          <w:rFonts w:ascii="Times New Roman" w:hAnsi="Times New Roman"/>
          <w:b/>
          <w:bCs/>
        </w:rPr>
        <w:t>4</w:t>
      </w:r>
      <w:r>
        <w:rPr>
          <w:rFonts w:ascii="Times New Roman" w:hAnsi="Times New Roman"/>
          <w:b/>
          <w:bCs/>
        </w:rPr>
        <w:fldChar w:fldCharType="end"/>
      </w:r>
      <w:r>
        <w:rPr>
          <w:rFonts w:ascii="Times New Roman" w:hAnsi="Times New Roman"/>
          <w:b/>
          <w:bCs/>
        </w:rPr>
        <w:fldChar w:fldCharType="end"/>
      </w:r>
    </w:p>
    <w:p w14:paraId="7C62328E">
      <w:pPr>
        <w:pStyle w:val="54"/>
        <w:tabs>
          <w:tab w:val="right" w:leader="dot" w:pos="8306"/>
        </w:tabs>
        <w:ind w:firstLine="210"/>
        <w:rPr>
          <w:rFonts w:ascii="Times New Roman" w:hAnsi="Times New Roman"/>
          <w:b/>
          <w:bCs/>
        </w:rPr>
      </w:pPr>
      <w:r>
        <w:fldChar w:fldCharType="begin"/>
      </w:r>
      <w:r>
        <w:instrText xml:space="preserve"> HYPERLINK \l "_Toc20717" </w:instrText>
      </w:r>
      <w:r>
        <w:fldChar w:fldCharType="separate"/>
      </w:r>
      <w:r>
        <w:rPr>
          <w:rFonts w:ascii="Times New Roman" w:hAnsi="Times New Roman" w:eastAsia="黑体"/>
          <w:b/>
          <w:bCs/>
          <w:szCs w:val="30"/>
        </w:rPr>
        <w:t xml:space="preserve">1.4 </w:t>
      </w:r>
      <w:r>
        <w:rPr>
          <w:rFonts w:ascii="Times New Roman" w:hAnsi="Times New Roman"/>
          <w:b/>
          <w:bCs/>
        </w:rPr>
        <w:t>主要环境问题分析判定</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_Toc20717 \h </w:instrText>
      </w:r>
      <w:r>
        <w:rPr>
          <w:rFonts w:ascii="Times New Roman" w:hAnsi="Times New Roman"/>
          <w:b/>
          <w:bCs/>
        </w:rPr>
        <w:fldChar w:fldCharType="separate"/>
      </w:r>
      <w:r>
        <w:rPr>
          <w:rFonts w:ascii="Times New Roman" w:hAnsi="Times New Roman"/>
          <w:b/>
          <w:bCs/>
        </w:rPr>
        <w:t>6</w:t>
      </w:r>
      <w:r>
        <w:rPr>
          <w:rFonts w:ascii="Times New Roman" w:hAnsi="Times New Roman"/>
          <w:b/>
          <w:bCs/>
        </w:rPr>
        <w:fldChar w:fldCharType="end"/>
      </w:r>
      <w:r>
        <w:rPr>
          <w:rFonts w:ascii="Times New Roman" w:hAnsi="Times New Roman"/>
          <w:b/>
          <w:bCs/>
        </w:rPr>
        <w:fldChar w:fldCharType="end"/>
      </w:r>
    </w:p>
    <w:p w14:paraId="5E3A69D8">
      <w:pPr>
        <w:pStyle w:val="54"/>
        <w:tabs>
          <w:tab w:val="right" w:leader="dot" w:pos="8306"/>
        </w:tabs>
        <w:ind w:firstLine="210"/>
        <w:rPr>
          <w:rFonts w:ascii="Times New Roman" w:hAnsi="Times New Roman"/>
          <w:b/>
          <w:bCs/>
        </w:rPr>
      </w:pPr>
      <w:r>
        <w:fldChar w:fldCharType="begin"/>
      </w:r>
      <w:r>
        <w:instrText xml:space="preserve"> HYPERLINK \l "_Toc11437" </w:instrText>
      </w:r>
      <w:r>
        <w:fldChar w:fldCharType="separate"/>
      </w:r>
      <w:r>
        <w:rPr>
          <w:rFonts w:ascii="Times New Roman" w:hAnsi="Times New Roman" w:eastAsia="黑体"/>
          <w:b/>
          <w:bCs/>
          <w:szCs w:val="30"/>
        </w:rPr>
        <w:t xml:space="preserve">1.5 </w:t>
      </w:r>
      <w:r>
        <w:rPr>
          <w:rFonts w:ascii="Times New Roman" w:hAnsi="Times New Roman"/>
          <w:b/>
          <w:bCs/>
        </w:rPr>
        <w:t>环境影响报告书的主要结论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_Toc11437 \h </w:instrText>
      </w:r>
      <w:r>
        <w:rPr>
          <w:rFonts w:ascii="Times New Roman" w:hAnsi="Times New Roman"/>
          <w:b/>
          <w:bCs/>
        </w:rPr>
        <w:fldChar w:fldCharType="separate"/>
      </w:r>
      <w:r>
        <w:rPr>
          <w:rFonts w:ascii="Times New Roman" w:hAnsi="Times New Roman"/>
          <w:b/>
          <w:bCs/>
        </w:rPr>
        <w:t>7</w:t>
      </w:r>
      <w:r>
        <w:rPr>
          <w:rFonts w:ascii="Times New Roman" w:hAnsi="Times New Roman"/>
          <w:b/>
          <w:bCs/>
        </w:rPr>
        <w:fldChar w:fldCharType="end"/>
      </w:r>
      <w:r>
        <w:rPr>
          <w:rFonts w:ascii="Times New Roman" w:hAnsi="Times New Roman"/>
          <w:b/>
          <w:bCs/>
        </w:rPr>
        <w:fldChar w:fldCharType="end"/>
      </w:r>
    </w:p>
    <w:p w14:paraId="01FB71D8">
      <w:pPr>
        <w:pStyle w:val="42"/>
        <w:tabs>
          <w:tab w:val="right" w:leader="dot" w:pos="8306"/>
          <w:tab w:val="clear" w:pos="8296"/>
        </w:tabs>
        <w:rPr>
          <w:rFonts w:ascii="Times New Roman" w:hAnsi="Times New Roman"/>
          <w:b/>
          <w:bCs/>
        </w:rPr>
      </w:pPr>
      <w:r>
        <w:fldChar w:fldCharType="begin"/>
      </w:r>
      <w:r>
        <w:instrText xml:space="preserve"> HYPERLINK \l "_Toc11329" </w:instrText>
      </w:r>
      <w:r>
        <w:fldChar w:fldCharType="separate"/>
      </w:r>
      <w:r>
        <w:rPr>
          <w:rFonts w:ascii="Times New Roman" w:hAnsi="Times New Roman"/>
          <w:b/>
          <w:bCs/>
          <w:szCs w:val="48"/>
        </w:rPr>
        <w:t xml:space="preserve">第2章 </w:t>
      </w:r>
      <w:r>
        <w:rPr>
          <w:rFonts w:ascii="Times New Roman" w:hAnsi="Times New Roman"/>
          <w:b/>
          <w:bCs/>
        </w:rPr>
        <w:t>总论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_Toc11329 \h </w:instrText>
      </w:r>
      <w:r>
        <w:rPr>
          <w:rFonts w:ascii="Times New Roman" w:hAnsi="Times New Roman"/>
          <w:b/>
          <w:bCs/>
        </w:rPr>
        <w:fldChar w:fldCharType="separate"/>
      </w:r>
      <w:r>
        <w:rPr>
          <w:rFonts w:ascii="Times New Roman" w:hAnsi="Times New Roman"/>
          <w:b/>
          <w:bCs/>
        </w:rPr>
        <w:t>8</w:t>
      </w:r>
      <w:r>
        <w:rPr>
          <w:rFonts w:ascii="Times New Roman" w:hAnsi="Times New Roman"/>
          <w:b/>
          <w:bCs/>
        </w:rPr>
        <w:fldChar w:fldCharType="end"/>
      </w:r>
      <w:r>
        <w:rPr>
          <w:rFonts w:ascii="Times New Roman" w:hAnsi="Times New Roman"/>
          <w:b/>
          <w:bCs/>
        </w:rPr>
        <w:fldChar w:fldCharType="end"/>
      </w:r>
    </w:p>
    <w:p w14:paraId="264B0DF0">
      <w:pPr>
        <w:pStyle w:val="54"/>
        <w:tabs>
          <w:tab w:val="right" w:leader="dot" w:pos="8306"/>
        </w:tabs>
        <w:ind w:firstLine="210"/>
        <w:rPr>
          <w:rFonts w:ascii="Times New Roman" w:hAnsi="Times New Roman"/>
          <w:b/>
          <w:bCs/>
        </w:rPr>
      </w:pPr>
      <w:r>
        <w:fldChar w:fldCharType="begin"/>
      </w:r>
      <w:r>
        <w:instrText xml:space="preserve"> HYPERLINK \l "_Toc6327" </w:instrText>
      </w:r>
      <w:r>
        <w:fldChar w:fldCharType="separate"/>
      </w:r>
      <w:r>
        <w:rPr>
          <w:rFonts w:ascii="Times New Roman" w:hAnsi="Times New Roman" w:eastAsia="黑体"/>
          <w:b/>
          <w:bCs/>
          <w:szCs w:val="30"/>
        </w:rPr>
        <w:t xml:space="preserve">2.1 </w:t>
      </w:r>
      <w:r>
        <w:rPr>
          <w:rFonts w:ascii="Times New Roman" w:hAnsi="Times New Roman"/>
          <w:b/>
          <w:bCs/>
        </w:rPr>
        <w:t>编制依据</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_Toc6327 \h </w:instrText>
      </w:r>
      <w:r>
        <w:rPr>
          <w:rFonts w:ascii="Times New Roman" w:hAnsi="Times New Roman"/>
          <w:b/>
          <w:bCs/>
        </w:rPr>
        <w:fldChar w:fldCharType="separate"/>
      </w:r>
      <w:r>
        <w:rPr>
          <w:rFonts w:ascii="Times New Roman" w:hAnsi="Times New Roman"/>
          <w:b/>
          <w:bCs/>
        </w:rPr>
        <w:t>8</w:t>
      </w:r>
      <w:r>
        <w:rPr>
          <w:rFonts w:ascii="Times New Roman" w:hAnsi="Times New Roman"/>
          <w:b/>
          <w:bCs/>
        </w:rPr>
        <w:fldChar w:fldCharType="end"/>
      </w:r>
      <w:r>
        <w:rPr>
          <w:rFonts w:ascii="Times New Roman" w:hAnsi="Times New Roman"/>
          <w:b/>
          <w:bCs/>
        </w:rPr>
        <w:fldChar w:fldCharType="end"/>
      </w:r>
    </w:p>
    <w:p w14:paraId="286278F2">
      <w:pPr>
        <w:pStyle w:val="54"/>
        <w:tabs>
          <w:tab w:val="right" w:leader="dot" w:pos="8306"/>
        </w:tabs>
        <w:ind w:firstLine="210"/>
        <w:rPr>
          <w:rFonts w:ascii="Times New Roman" w:hAnsi="Times New Roman"/>
          <w:b/>
          <w:bCs/>
        </w:rPr>
      </w:pPr>
      <w:r>
        <w:fldChar w:fldCharType="begin"/>
      </w:r>
      <w:r>
        <w:instrText xml:space="preserve"> HYPERLINK \l "_Toc26293" </w:instrText>
      </w:r>
      <w:r>
        <w:fldChar w:fldCharType="separate"/>
      </w:r>
      <w:r>
        <w:rPr>
          <w:rFonts w:ascii="Times New Roman" w:hAnsi="Times New Roman" w:eastAsia="黑体"/>
          <w:b/>
          <w:bCs/>
          <w:szCs w:val="30"/>
        </w:rPr>
        <w:t xml:space="preserve">2.2 </w:t>
      </w:r>
      <w:r>
        <w:rPr>
          <w:rFonts w:ascii="Times New Roman" w:hAnsi="Times New Roman"/>
          <w:b/>
          <w:bCs/>
        </w:rPr>
        <w:t>评价目的</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_Toc26293 \h </w:instrText>
      </w:r>
      <w:r>
        <w:rPr>
          <w:rFonts w:ascii="Times New Roman" w:hAnsi="Times New Roman"/>
          <w:b/>
          <w:bCs/>
        </w:rPr>
        <w:fldChar w:fldCharType="separate"/>
      </w:r>
      <w:r>
        <w:rPr>
          <w:rFonts w:ascii="Times New Roman" w:hAnsi="Times New Roman"/>
          <w:b/>
          <w:bCs/>
        </w:rPr>
        <w:t>15</w:t>
      </w:r>
      <w:r>
        <w:rPr>
          <w:rFonts w:ascii="Times New Roman" w:hAnsi="Times New Roman"/>
          <w:b/>
          <w:bCs/>
        </w:rPr>
        <w:fldChar w:fldCharType="end"/>
      </w:r>
      <w:r>
        <w:rPr>
          <w:rFonts w:ascii="Times New Roman" w:hAnsi="Times New Roman"/>
          <w:b/>
          <w:bCs/>
        </w:rPr>
        <w:fldChar w:fldCharType="end"/>
      </w:r>
    </w:p>
    <w:p w14:paraId="64C6B4B4">
      <w:pPr>
        <w:pStyle w:val="54"/>
        <w:tabs>
          <w:tab w:val="right" w:leader="dot" w:pos="8306"/>
        </w:tabs>
        <w:ind w:firstLine="210"/>
        <w:rPr>
          <w:rFonts w:ascii="Times New Roman" w:hAnsi="Times New Roman"/>
          <w:b/>
          <w:bCs/>
        </w:rPr>
      </w:pPr>
      <w:r>
        <w:fldChar w:fldCharType="begin"/>
      </w:r>
      <w:r>
        <w:instrText xml:space="preserve"> HYPERLINK \l "_Toc974" </w:instrText>
      </w:r>
      <w:r>
        <w:fldChar w:fldCharType="separate"/>
      </w:r>
      <w:r>
        <w:rPr>
          <w:rFonts w:ascii="Times New Roman" w:hAnsi="Times New Roman" w:eastAsia="黑体"/>
          <w:b/>
          <w:bCs/>
          <w:szCs w:val="30"/>
        </w:rPr>
        <w:t xml:space="preserve">2.3 </w:t>
      </w:r>
      <w:r>
        <w:rPr>
          <w:rFonts w:ascii="Times New Roman" w:hAnsi="Times New Roman"/>
          <w:b/>
          <w:bCs/>
        </w:rPr>
        <w:t>评价原则</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_Toc974 \h </w:instrText>
      </w:r>
      <w:r>
        <w:rPr>
          <w:rFonts w:ascii="Times New Roman" w:hAnsi="Times New Roman"/>
          <w:b/>
          <w:bCs/>
        </w:rPr>
        <w:fldChar w:fldCharType="separate"/>
      </w:r>
      <w:r>
        <w:rPr>
          <w:rFonts w:ascii="Times New Roman" w:hAnsi="Times New Roman"/>
          <w:b/>
          <w:bCs/>
        </w:rPr>
        <w:t>16</w:t>
      </w:r>
      <w:r>
        <w:rPr>
          <w:rFonts w:ascii="Times New Roman" w:hAnsi="Times New Roman"/>
          <w:b/>
          <w:bCs/>
        </w:rPr>
        <w:fldChar w:fldCharType="end"/>
      </w:r>
      <w:r>
        <w:rPr>
          <w:rFonts w:ascii="Times New Roman" w:hAnsi="Times New Roman"/>
          <w:b/>
          <w:bCs/>
        </w:rPr>
        <w:fldChar w:fldCharType="end"/>
      </w:r>
    </w:p>
    <w:p w14:paraId="360F4099">
      <w:pPr>
        <w:pStyle w:val="54"/>
        <w:tabs>
          <w:tab w:val="right" w:leader="dot" w:pos="8306"/>
        </w:tabs>
        <w:ind w:firstLine="210"/>
        <w:rPr>
          <w:rFonts w:ascii="Times New Roman" w:hAnsi="Times New Roman"/>
          <w:b/>
          <w:bCs/>
        </w:rPr>
      </w:pPr>
      <w:r>
        <w:fldChar w:fldCharType="begin"/>
      </w:r>
      <w:r>
        <w:instrText xml:space="preserve"> HYPERLINK \l "_Toc5047" </w:instrText>
      </w:r>
      <w:r>
        <w:fldChar w:fldCharType="separate"/>
      </w:r>
      <w:r>
        <w:rPr>
          <w:rFonts w:ascii="Times New Roman" w:hAnsi="Times New Roman" w:eastAsia="黑体"/>
          <w:b/>
          <w:bCs/>
          <w:szCs w:val="30"/>
        </w:rPr>
        <w:t xml:space="preserve">2.4 </w:t>
      </w:r>
      <w:r>
        <w:rPr>
          <w:rFonts w:ascii="Times New Roman" w:hAnsi="Times New Roman"/>
          <w:b/>
          <w:bCs/>
        </w:rPr>
        <w:t>环境影响要素识别及评价因子筛选</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_Toc5047 \h </w:instrText>
      </w:r>
      <w:r>
        <w:rPr>
          <w:rFonts w:ascii="Times New Roman" w:hAnsi="Times New Roman"/>
          <w:b/>
          <w:bCs/>
        </w:rPr>
        <w:fldChar w:fldCharType="separate"/>
      </w:r>
      <w:r>
        <w:rPr>
          <w:rFonts w:ascii="Times New Roman" w:hAnsi="Times New Roman"/>
          <w:b/>
          <w:bCs/>
        </w:rPr>
        <w:t>16</w:t>
      </w:r>
      <w:r>
        <w:rPr>
          <w:rFonts w:ascii="Times New Roman" w:hAnsi="Times New Roman"/>
          <w:b/>
          <w:bCs/>
        </w:rPr>
        <w:fldChar w:fldCharType="end"/>
      </w:r>
      <w:r>
        <w:rPr>
          <w:rFonts w:ascii="Times New Roman" w:hAnsi="Times New Roman"/>
          <w:b/>
          <w:bCs/>
        </w:rPr>
        <w:fldChar w:fldCharType="end"/>
      </w:r>
    </w:p>
    <w:p w14:paraId="022DF3F2">
      <w:pPr>
        <w:pStyle w:val="54"/>
        <w:tabs>
          <w:tab w:val="right" w:leader="dot" w:pos="8306"/>
        </w:tabs>
        <w:ind w:firstLine="210"/>
        <w:rPr>
          <w:rFonts w:ascii="Times New Roman" w:hAnsi="Times New Roman"/>
          <w:b/>
          <w:bCs/>
        </w:rPr>
      </w:pPr>
      <w:r>
        <w:fldChar w:fldCharType="begin"/>
      </w:r>
      <w:r>
        <w:instrText xml:space="preserve"> HYPERLINK \l "_Toc30994" </w:instrText>
      </w:r>
      <w:r>
        <w:fldChar w:fldCharType="separate"/>
      </w:r>
      <w:r>
        <w:rPr>
          <w:rFonts w:ascii="Times New Roman" w:hAnsi="Times New Roman" w:eastAsia="黑体"/>
          <w:b/>
          <w:bCs/>
          <w:szCs w:val="30"/>
        </w:rPr>
        <w:t xml:space="preserve">2.5 </w:t>
      </w:r>
      <w:r>
        <w:rPr>
          <w:rFonts w:ascii="Times New Roman" w:hAnsi="Times New Roman"/>
          <w:b/>
          <w:bCs/>
        </w:rPr>
        <w:t>环境质量功能区划评价标准</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_Toc30994 \h </w:instrText>
      </w:r>
      <w:r>
        <w:rPr>
          <w:rFonts w:ascii="Times New Roman" w:hAnsi="Times New Roman"/>
          <w:b/>
          <w:bCs/>
        </w:rPr>
        <w:fldChar w:fldCharType="separate"/>
      </w:r>
      <w:r>
        <w:rPr>
          <w:rFonts w:ascii="Times New Roman" w:hAnsi="Times New Roman"/>
          <w:b/>
          <w:bCs/>
        </w:rPr>
        <w:t>19</w:t>
      </w:r>
      <w:r>
        <w:rPr>
          <w:rFonts w:ascii="Times New Roman" w:hAnsi="Times New Roman"/>
          <w:b/>
          <w:bCs/>
        </w:rPr>
        <w:fldChar w:fldCharType="end"/>
      </w:r>
      <w:r>
        <w:rPr>
          <w:rFonts w:ascii="Times New Roman" w:hAnsi="Times New Roman"/>
          <w:b/>
          <w:bCs/>
        </w:rPr>
        <w:fldChar w:fldCharType="end"/>
      </w:r>
    </w:p>
    <w:p w14:paraId="37F42D88">
      <w:pPr>
        <w:pStyle w:val="54"/>
        <w:tabs>
          <w:tab w:val="right" w:leader="dot" w:pos="8306"/>
        </w:tabs>
        <w:ind w:firstLine="210"/>
        <w:rPr>
          <w:rFonts w:ascii="Times New Roman" w:hAnsi="Times New Roman"/>
          <w:b/>
          <w:bCs/>
        </w:rPr>
      </w:pPr>
      <w:r>
        <w:fldChar w:fldCharType="begin"/>
      </w:r>
      <w:r>
        <w:instrText xml:space="preserve"> HYPERLINK \l "_Toc27052" </w:instrText>
      </w:r>
      <w:r>
        <w:fldChar w:fldCharType="separate"/>
      </w:r>
      <w:r>
        <w:rPr>
          <w:rFonts w:ascii="Times New Roman" w:hAnsi="Times New Roman" w:eastAsia="黑体"/>
          <w:b/>
          <w:bCs/>
          <w:szCs w:val="30"/>
        </w:rPr>
        <w:t xml:space="preserve">2.6 </w:t>
      </w:r>
      <w:r>
        <w:rPr>
          <w:rFonts w:ascii="Times New Roman" w:hAnsi="Times New Roman"/>
          <w:b/>
          <w:bCs/>
        </w:rPr>
        <w:t>评价工作等级</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_Toc27052 \h </w:instrText>
      </w:r>
      <w:r>
        <w:rPr>
          <w:rFonts w:ascii="Times New Roman" w:hAnsi="Times New Roman"/>
          <w:b/>
          <w:bCs/>
        </w:rPr>
        <w:fldChar w:fldCharType="separate"/>
      </w:r>
      <w:r>
        <w:rPr>
          <w:rFonts w:ascii="Times New Roman" w:hAnsi="Times New Roman"/>
          <w:b/>
          <w:bCs/>
        </w:rPr>
        <w:t>33</w:t>
      </w:r>
      <w:r>
        <w:rPr>
          <w:rFonts w:ascii="Times New Roman" w:hAnsi="Times New Roman"/>
          <w:b/>
          <w:bCs/>
        </w:rPr>
        <w:fldChar w:fldCharType="end"/>
      </w:r>
      <w:r>
        <w:rPr>
          <w:rFonts w:ascii="Times New Roman" w:hAnsi="Times New Roman"/>
          <w:b/>
          <w:bCs/>
        </w:rPr>
        <w:fldChar w:fldCharType="end"/>
      </w:r>
    </w:p>
    <w:p w14:paraId="2D83911A">
      <w:pPr>
        <w:pStyle w:val="54"/>
        <w:tabs>
          <w:tab w:val="right" w:leader="dot" w:pos="8306"/>
        </w:tabs>
        <w:ind w:firstLine="210"/>
        <w:rPr>
          <w:rFonts w:ascii="Times New Roman" w:hAnsi="Times New Roman"/>
          <w:b/>
          <w:bCs/>
        </w:rPr>
      </w:pPr>
      <w:r>
        <w:fldChar w:fldCharType="begin"/>
      </w:r>
      <w:r>
        <w:instrText xml:space="preserve"> HYPERLINK \l "_Toc22030" </w:instrText>
      </w:r>
      <w:r>
        <w:fldChar w:fldCharType="separate"/>
      </w:r>
      <w:r>
        <w:rPr>
          <w:rFonts w:ascii="Times New Roman" w:hAnsi="Times New Roman" w:eastAsia="黑体"/>
          <w:b/>
          <w:bCs/>
          <w:szCs w:val="30"/>
        </w:rPr>
        <w:t xml:space="preserve">2.7 </w:t>
      </w:r>
      <w:r>
        <w:rPr>
          <w:rFonts w:ascii="Times New Roman" w:hAnsi="Times New Roman"/>
          <w:b/>
          <w:bCs/>
        </w:rPr>
        <w:t>评价范围</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_Toc22030 \h </w:instrText>
      </w:r>
      <w:r>
        <w:rPr>
          <w:rFonts w:ascii="Times New Roman" w:hAnsi="Times New Roman"/>
          <w:b/>
          <w:bCs/>
        </w:rPr>
        <w:fldChar w:fldCharType="separate"/>
      </w:r>
      <w:r>
        <w:rPr>
          <w:rFonts w:ascii="Times New Roman" w:hAnsi="Times New Roman"/>
          <w:b/>
          <w:bCs/>
        </w:rPr>
        <w:t>43</w:t>
      </w:r>
      <w:r>
        <w:rPr>
          <w:rFonts w:ascii="Times New Roman" w:hAnsi="Times New Roman"/>
          <w:b/>
          <w:bCs/>
        </w:rPr>
        <w:fldChar w:fldCharType="end"/>
      </w:r>
      <w:r>
        <w:rPr>
          <w:rFonts w:ascii="Times New Roman" w:hAnsi="Times New Roman"/>
          <w:b/>
          <w:bCs/>
        </w:rPr>
        <w:fldChar w:fldCharType="end"/>
      </w:r>
    </w:p>
    <w:p w14:paraId="2B6262FF">
      <w:pPr>
        <w:pStyle w:val="54"/>
        <w:tabs>
          <w:tab w:val="right" w:leader="dot" w:pos="8306"/>
        </w:tabs>
        <w:ind w:firstLine="210"/>
        <w:rPr>
          <w:rFonts w:ascii="Times New Roman" w:hAnsi="Times New Roman"/>
          <w:b/>
          <w:bCs/>
        </w:rPr>
      </w:pPr>
      <w:r>
        <w:fldChar w:fldCharType="begin"/>
      </w:r>
      <w:r>
        <w:instrText xml:space="preserve"> HYPERLINK \l "_Toc13764" </w:instrText>
      </w:r>
      <w:r>
        <w:fldChar w:fldCharType="separate"/>
      </w:r>
      <w:r>
        <w:rPr>
          <w:rFonts w:ascii="Times New Roman" w:hAnsi="Times New Roman" w:eastAsia="黑体"/>
          <w:b/>
          <w:bCs/>
          <w:szCs w:val="30"/>
        </w:rPr>
        <w:t xml:space="preserve">2.8 </w:t>
      </w:r>
      <w:r>
        <w:rPr>
          <w:rFonts w:ascii="Times New Roman" w:hAnsi="Times New Roman"/>
          <w:b/>
          <w:bCs/>
        </w:rPr>
        <w:t>污染控制目标及环境保护目标</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_Toc13764 \h </w:instrText>
      </w:r>
      <w:r>
        <w:rPr>
          <w:rFonts w:ascii="Times New Roman" w:hAnsi="Times New Roman"/>
          <w:b/>
          <w:bCs/>
        </w:rPr>
        <w:fldChar w:fldCharType="separate"/>
      </w:r>
      <w:r>
        <w:rPr>
          <w:rFonts w:ascii="Times New Roman" w:hAnsi="Times New Roman"/>
          <w:b/>
          <w:bCs/>
        </w:rPr>
        <w:t>43</w:t>
      </w:r>
      <w:r>
        <w:rPr>
          <w:rFonts w:ascii="Times New Roman" w:hAnsi="Times New Roman"/>
          <w:b/>
          <w:bCs/>
        </w:rPr>
        <w:fldChar w:fldCharType="end"/>
      </w:r>
      <w:r>
        <w:rPr>
          <w:rFonts w:ascii="Times New Roman" w:hAnsi="Times New Roman"/>
          <w:b/>
          <w:bCs/>
        </w:rPr>
        <w:fldChar w:fldCharType="end"/>
      </w:r>
    </w:p>
    <w:p w14:paraId="787C8E3A">
      <w:pPr>
        <w:pStyle w:val="42"/>
        <w:tabs>
          <w:tab w:val="right" w:leader="dot" w:pos="8306"/>
          <w:tab w:val="clear" w:pos="8296"/>
        </w:tabs>
        <w:rPr>
          <w:rFonts w:ascii="Times New Roman" w:hAnsi="Times New Roman"/>
          <w:b/>
          <w:bCs/>
        </w:rPr>
      </w:pPr>
      <w:r>
        <w:fldChar w:fldCharType="begin"/>
      </w:r>
      <w:r>
        <w:instrText xml:space="preserve"> HYPERLINK \l "_Toc18877" </w:instrText>
      </w:r>
      <w:r>
        <w:fldChar w:fldCharType="separate"/>
      </w:r>
      <w:r>
        <w:rPr>
          <w:rFonts w:ascii="Times New Roman" w:hAnsi="Times New Roman"/>
          <w:b/>
          <w:bCs/>
          <w:szCs w:val="48"/>
        </w:rPr>
        <w:t xml:space="preserve">第3章 </w:t>
      </w:r>
      <w:r>
        <w:rPr>
          <w:rFonts w:ascii="Times New Roman" w:hAnsi="Times New Roman"/>
          <w:b/>
          <w:bCs/>
        </w:rPr>
        <w:t>建设项目工程分析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_Toc18877 \h </w:instrText>
      </w:r>
      <w:r>
        <w:rPr>
          <w:rFonts w:ascii="Times New Roman" w:hAnsi="Times New Roman"/>
          <w:b/>
          <w:bCs/>
        </w:rPr>
        <w:fldChar w:fldCharType="separate"/>
      </w:r>
      <w:r>
        <w:rPr>
          <w:rFonts w:ascii="Times New Roman" w:hAnsi="Times New Roman"/>
          <w:b/>
          <w:bCs/>
        </w:rPr>
        <w:t>46</w:t>
      </w:r>
      <w:r>
        <w:rPr>
          <w:rFonts w:ascii="Times New Roman" w:hAnsi="Times New Roman"/>
          <w:b/>
          <w:bCs/>
        </w:rPr>
        <w:fldChar w:fldCharType="end"/>
      </w:r>
      <w:r>
        <w:rPr>
          <w:rFonts w:ascii="Times New Roman" w:hAnsi="Times New Roman"/>
          <w:b/>
          <w:bCs/>
        </w:rPr>
        <w:fldChar w:fldCharType="end"/>
      </w:r>
    </w:p>
    <w:p w14:paraId="5D692CBF">
      <w:pPr>
        <w:pStyle w:val="54"/>
        <w:tabs>
          <w:tab w:val="right" w:leader="dot" w:pos="8306"/>
        </w:tabs>
        <w:ind w:firstLine="210"/>
        <w:rPr>
          <w:rFonts w:ascii="Times New Roman" w:hAnsi="Times New Roman"/>
          <w:b/>
          <w:bCs/>
        </w:rPr>
      </w:pPr>
      <w:r>
        <w:fldChar w:fldCharType="begin"/>
      </w:r>
      <w:r>
        <w:instrText xml:space="preserve"> HYPERLINK \l "_Toc20340" </w:instrText>
      </w:r>
      <w:r>
        <w:fldChar w:fldCharType="separate"/>
      </w:r>
      <w:r>
        <w:rPr>
          <w:rFonts w:ascii="Times New Roman" w:hAnsi="Times New Roman" w:eastAsia="黑体"/>
          <w:b/>
          <w:bCs/>
          <w:szCs w:val="30"/>
        </w:rPr>
        <w:t xml:space="preserve">3.1 </w:t>
      </w:r>
      <w:r>
        <w:rPr>
          <w:rFonts w:ascii="Times New Roman" w:hAnsi="Times New Roman"/>
          <w:b/>
          <w:bCs/>
        </w:rPr>
        <w:t>项目概况</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_Toc20340 \h </w:instrText>
      </w:r>
      <w:r>
        <w:rPr>
          <w:rFonts w:ascii="Times New Roman" w:hAnsi="Times New Roman"/>
          <w:b/>
          <w:bCs/>
        </w:rPr>
        <w:fldChar w:fldCharType="separate"/>
      </w:r>
      <w:r>
        <w:rPr>
          <w:rFonts w:ascii="Times New Roman" w:hAnsi="Times New Roman"/>
          <w:b/>
          <w:bCs/>
        </w:rPr>
        <w:t>46</w:t>
      </w:r>
      <w:r>
        <w:rPr>
          <w:rFonts w:ascii="Times New Roman" w:hAnsi="Times New Roman"/>
          <w:b/>
          <w:bCs/>
        </w:rPr>
        <w:fldChar w:fldCharType="end"/>
      </w:r>
      <w:r>
        <w:rPr>
          <w:rFonts w:ascii="Times New Roman" w:hAnsi="Times New Roman"/>
          <w:b/>
          <w:bCs/>
        </w:rPr>
        <w:fldChar w:fldCharType="end"/>
      </w:r>
    </w:p>
    <w:p w14:paraId="26E687F6">
      <w:pPr>
        <w:pStyle w:val="54"/>
        <w:tabs>
          <w:tab w:val="right" w:leader="dot" w:pos="8306"/>
        </w:tabs>
        <w:ind w:firstLine="210"/>
        <w:rPr>
          <w:rFonts w:ascii="Times New Roman" w:hAnsi="Times New Roman"/>
          <w:b/>
          <w:bCs/>
        </w:rPr>
      </w:pPr>
      <w:r>
        <w:fldChar w:fldCharType="begin"/>
      </w:r>
      <w:r>
        <w:instrText xml:space="preserve"> HYPERLINK \l "_Toc10393" </w:instrText>
      </w:r>
      <w:r>
        <w:fldChar w:fldCharType="separate"/>
      </w:r>
      <w:r>
        <w:rPr>
          <w:rFonts w:ascii="Times New Roman" w:hAnsi="Times New Roman" w:eastAsia="黑体"/>
          <w:b/>
          <w:bCs/>
          <w:szCs w:val="30"/>
        </w:rPr>
        <w:t xml:space="preserve">3.2 </w:t>
      </w:r>
      <w:r>
        <w:rPr>
          <w:rFonts w:ascii="Times New Roman" w:hAnsi="Times New Roman"/>
          <w:b/>
          <w:bCs/>
        </w:rPr>
        <w:t>工艺流程及产污环节</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_Toc10393 \h </w:instrText>
      </w:r>
      <w:r>
        <w:rPr>
          <w:rFonts w:ascii="Times New Roman" w:hAnsi="Times New Roman"/>
          <w:b/>
          <w:bCs/>
        </w:rPr>
        <w:fldChar w:fldCharType="separate"/>
      </w:r>
      <w:r>
        <w:rPr>
          <w:rFonts w:ascii="Times New Roman" w:hAnsi="Times New Roman"/>
          <w:b/>
          <w:bCs/>
        </w:rPr>
        <w:t>54</w:t>
      </w:r>
      <w:r>
        <w:rPr>
          <w:rFonts w:ascii="Times New Roman" w:hAnsi="Times New Roman"/>
          <w:b/>
          <w:bCs/>
        </w:rPr>
        <w:fldChar w:fldCharType="end"/>
      </w:r>
      <w:r>
        <w:rPr>
          <w:rFonts w:ascii="Times New Roman" w:hAnsi="Times New Roman"/>
          <w:b/>
          <w:bCs/>
        </w:rPr>
        <w:fldChar w:fldCharType="end"/>
      </w:r>
    </w:p>
    <w:p w14:paraId="74FAA368">
      <w:pPr>
        <w:pStyle w:val="54"/>
        <w:tabs>
          <w:tab w:val="right" w:leader="dot" w:pos="8306"/>
        </w:tabs>
        <w:ind w:firstLine="210"/>
        <w:rPr>
          <w:rFonts w:ascii="Times New Roman" w:hAnsi="Times New Roman"/>
          <w:b/>
          <w:bCs/>
        </w:rPr>
      </w:pPr>
      <w:r>
        <w:fldChar w:fldCharType="begin"/>
      </w:r>
      <w:r>
        <w:instrText xml:space="preserve"> HYPERLINK \l "_Toc4284" </w:instrText>
      </w:r>
      <w:r>
        <w:fldChar w:fldCharType="separate"/>
      </w:r>
      <w:r>
        <w:rPr>
          <w:rFonts w:ascii="Times New Roman" w:hAnsi="Times New Roman" w:eastAsia="黑体"/>
          <w:b/>
          <w:bCs/>
          <w:szCs w:val="30"/>
        </w:rPr>
        <w:t xml:space="preserve">3.3 </w:t>
      </w:r>
      <w:r>
        <w:rPr>
          <w:rFonts w:ascii="Times New Roman" w:hAnsi="Times New Roman"/>
          <w:b/>
          <w:bCs/>
        </w:rPr>
        <w:t>公用工程（编号08）</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_Toc4284 \h </w:instrText>
      </w:r>
      <w:r>
        <w:rPr>
          <w:rFonts w:ascii="Times New Roman" w:hAnsi="Times New Roman"/>
          <w:b/>
          <w:bCs/>
        </w:rPr>
        <w:fldChar w:fldCharType="separate"/>
      </w:r>
      <w:r>
        <w:rPr>
          <w:rFonts w:ascii="Times New Roman" w:hAnsi="Times New Roman"/>
          <w:b/>
          <w:bCs/>
        </w:rPr>
        <w:t>112</w:t>
      </w:r>
      <w:r>
        <w:rPr>
          <w:rFonts w:ascii="Times New Roman" w:hAnsi="Times New Roman"/>
          <w:b/>
          <w:bCs/>
        </w:rPr>
        <w:fldChar w:fldCharType="end"/>
      </w:r>
      <w:r>
        <w:rPr>
          <w:rFonts w:ascii="Times New Roman" w:hAnsi="Times New Roman"/>
          <w:b/>
          <w:bCs/>
        </w:rPr>
        <w:fldChar w:fldCharType="end"/>
      </w:r>
    </w:p>
    <w:p w14:paraId="4E5BD214">
      <w:pPr>
        <w:pStyle w:val="54"/>
        <w:tabs>
          <w:tab w:val="right" w:leader="dot" w:pos="8306"/>
        </w:tabs>
        <w:ind w:firstLine="210"/>
        <w:rPr>
          <w:rFonts w:ascii="Times New Roman" w:hAnsi="Times New Roman"/>
          <w:b/>
          <w:bCs/>
        </w:rPr>
      </w:pPr>
      <w:r>
        <w:fldChar w:fldCharType="begin"/>
      </w:r>
      <w:r>
        <w:instrText xml:space="preserve"> HYPERLINK \l "_Toc9803" </w:instrText>
      </w:r>
      <w:r>
        <w:fldChar w:fldCharType="separate"/>
      </w:r>
      <w:r>
        <w:rPr>
          <w:rFonts w:ascii="Times New Roman" w:hAnsi="Times New Roman" w:eastAsia="黑体"/>
          <w:b/>
          <w:bCs/>
          <w:szCs w:val="30"/>
        </w:rPr>
        <w:t xml:space="preserve">3.4 </w:t>
      </w:r>
      <w:r>
        <w:rPr>
          <w:rFonts w:ascii="Times New Roman" w:hAnsi="Times New Roman"/>
          <w:b/>
          <w:bCs/>
        </w:rPr>
        <w:t>储运工程（编号09）</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_Toc9803 \h </w:instrText>
      </w:r>
      <w:r>
        <w:rPr>
          <w:rFonts w:ascii="Times New Roman" w:hAnsi="Times New Roman"/>
          <w:b/>
          <w:bCs/>
        </w:rPr>
        <w:fldChar w:fldCharType="separate"/>
      </w:r>
      <w:r>
        <w:rPr>
          <w:rFonts w:ascii="Times New Roman" w:hAnsi="Times New Roman"/>
          <w:b/>
          <w:bCs/>
        </w:rPr>
        <w:t>138</w:t>
      </w:r>
      <w:r>
        <w:rPr>
          <w:rFonts w:ascii="Times New Roman" w:hAnsi="Times New Roman"/>
          <w:b/>
          <w:bCs/>
        </w:rPr>
        <w:fldChar w:fldCharType="end"/>
      </w:r>
      <w:r>
        <w:rPr>
          <w:rFonts w:ascii="Times New Roman" w:hAnsi="Times New Roman"/>
          <w:b/>
          <w:bCs/>
        </w:rPr>
        <w:fldChar w:fldCharType="end"/>
      </w:r>
    </w:p>
    <w:p w14:paraId="33972880">
      <w:pPr>
        <w:pStyle w:val="54"/>
        <w:tabs>
          <w:tab w:val="right" w:leader="dot" w:pos="8306"/>
        </w:tabs>
        <w:ind w:firstLine="210"/>
        <w:rPr>
          <w:rFonts w:ascii="Times New Roman" w:hAnsi="Times New Roman"/>
          <w:b/>
          <w:bCs/>
        </w:rPr>
      </w:pPr>
      <w:r>
        <w:fldChar w:fldCharType="begin"/>
      </w:r>
      <w:r>
        <w:instrText xml:space="preserve"> HYPERLINK \l "_Toc16805" </w:instrText>
      </w:r>
      <w:r>
        <w:fldChar w:fldCharType="separate"/>
      </w:r>
      <w:r>
        <w:rPr>
          <w:rFonts w:ascii="Times New Roman" w:hAnsi="Times New Roman" w:eastAsia="黑体"/>
          <w:b/>
          <w:bCs/>
          <w:szCs w:val="30"/>
        </w:rPr>
        <w:t xml:space="preserve">3.5 </w:t>
      </w:r>
      <w:r>
        <w:rPr>
          <w:rFonts w:ascii="Times New Roman" w:hAnsi="Times New Roman"/>
          <w:b/>
          <w:bCs/>
        </w:rPr>
        <w:t>交通运输移动源污染源分析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_Toc16805 \h </w:instrText>
      </w:r>
      <w:r>
        <w:rPr>
          <w:rFonts w:ascii="Times New Roman" w:hAnsi="Times New Roman"/>
          <w:b/>
          <w:bCs/>
        </w:rPr>
        <w:fldChar w:fldCharType="separate"/>
      </w:r>
      <w:r>
        <w:rPr>
          <w:rFonts w:ascii="Times New Roman" w:hAnsi="Times New Roman"/>
          <w:b/>
          <w:bCs/>
        </w:rPr>
        <w:t>147</w:t>
      </w:r>
      <w:r>
        <w:rPr>
          <w:rFonts w:ascii="Times New Roman" w:hAnsi="Times New Roman"/>
          <w:b/>
          <w:bCs/>
        </w:rPr>
        <w:fldChar w:fldCharType="end"/>
      </w:r>
      <w:r>
        <w:rPr>
          <w:rFonts w:ascii="Times New Roman" w:hAnsi="Times New Roman"/>
          <w:b/>
          <w:bCs/>
        </w:rPr>
        <w:fldChar w:fldCharType="end"/>
      </w:r>
    </w:p>
    <w:p w14:paraId="48F98B2B">
      <w:pPr>
        <w:pStyle w:val="54"/>
        <w:tabs>
          <w:tab w:val="right" w:leader="dot" w:pos="8306"/>
        </w:tabs>
        <w:ind w:firstLine="210"/>
        <w:rPr>
          <w:rFonts w:ascii="Times New Roman" w:hAnsi="Times New Roman"/>
          <w:b/>
          <w:bCs/>
        </w:rPr>
      </w:pPr>
      <w:r>
        <w:fldChar w:fldCharType="begin"/>
      </w:r>
      <w:r>
        <w:instrText xml:space="preserve"> HYPERLINK \l "_Toc18871" </w:instrText>
      </w:r>
      <w:r>
        <w:fldChar w:fldCharType="separate"/>
      </w:r>
      <w:r>
        <w:rPr>
          <w:rFonts w:ascii="Times New Roman" w:hAnsi="Times New Roman" w:eastAsia="黑体"/>
          <w:b/>
          <w:bCs/>
          <w:szCs w:val="30"/>
        </w:rPr>
        <w:t xml:space="preserve">3.6 </w:t>
      </w:r>
      <w:r>
        <w:rPr>
          <w:rFonts w:ascii="Times New Roman" w:hAnsi="Times New Roman"/>
          <w:b/>
          <w:bCs/>
        </w:rPr>
        <w:t>全厂平衡</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_Toc18871 \h </w:instrText>
      </w:r>
      <w:r>
        <w:rPr>
          <w:rFonts w:ascii="Times New Roman" w:hAnsi="Times New Roman"/>
          <w:b/>
          <w:bCs/>
        </w:rPr>
        <w:fldChar w:fldCharType="separate"/>
      </w:r>
      <w:r>
        <w:rPr>
          <w:rFonts w:ascii="Times New Roman" w:hAnsi="Times New Roman"/>
          <w:b/>
          <w:bCs/>
        </w:rPr>
        <w:t>147</w:t>
      </w:r>
      <w:r>
        <w:rPr>
          <w:rFonts w:ascii="Times New Roman" w:hAnsi="Times New Roman"/>
          <w:b/>
          <w:bCs/>
        </w:rPr>
        <w:fldChar w:fldCharType="end"/>
      </w:r>
      <w:r>
        <w:rPr>
          <w:rFonts w:ascii="Times New Roman" w:hAnsi="Times New Roman"/>
          <w:b/>
          <w:bCs/>
        </w:rPr>
        <w:fldChar w:fldCharType="end"/>
      </w:r>
    </w:p>
    <w:p w14:paraId="285CD434">
      <w:pPr>
        <w:pStyle w:val="54"/>
        <w:tabs>
          <w:tab w:val="right" w:leader="dot" w:pos="8306"/>
        </w:tabs>
        <w:ind w:firstLine="210"/>
        <w:rPr>
          <w:rFonts w:ascii="Times New Roman" w:hAnsi="Times New Roman"/>
          <w:b/>
          <w:bCs/>
        </w:rPr>
      </w:pPr>
      <w:r>
        <w:fldChar w:fldCharType="begin"/>
      </w:r>
      <w:r>
        <w:instrText xml:space="preserve"> HYPERLINK \l "_Toc6292" </w:instrText>
      </w:r>
      <w:r>
        <w:fldChar w:fldCharType="separate"/>
      </w:r>
      <w:r>
        <w:rPr>
          <w:rFonts w:ascii="Times New Roman" w:hAnsi="Times New Roman" w:eastAsia="黑体"/>
          <w:b/>
          <w:bCs/>
          <w:szCs w:val="30"/>
        </w:rPr>
        <w:t xml:space="preserve">3.7 </w:t>
      </w:r>
      <w:r>
        <w:rPr>
          <w:rFonts w:ascii="Times New Roman" w:hAnsi="Times New Roman"/>
          <w:b/>
          <w:bCs/>
        </w:rPr>
        <w:t>全厂污染源及污染治理措施分析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_Toc6292 \h </w:instrText>
      </w:r>
      <w:r>
        <w:rPr>
          <w:rFonts w:ascii="Times New Roman" w:hAnsi="Times New Roman"/>
          <w:b/>
          <w:bCs/>
        </w:rPr>
        <w:fldChar w:fldCharType="separate"/>
      </w:r>
      <w:r>
        <w:rPr>
          <w:rFonts w:ascii="Times New Roman" w:hAnsi="Times New Roman"/>
          <w:b/>
          <w:bCs/>
        </w:rPr>
        <w:t>151</w:t>
      </w:r>
      <w:r>
        <w:rPr>
          <w:rFonts w:ascii="Times New Roman" w:hAnsi="Times New Roman"/>
          <w:b/>
          <w:bCs/>
        </w:rPr>
        <w:fldChar w:fldCharType="end"/>
      </w:r>
      <w:r>
        <w:rPr>
          <w:rFonts w:ascii="Times New Roman" w:hAnsi="Times New Roman"/>
          <w:b/>
          <w:bCs/>
        </w:rPr>
        <w:fldChar w:fldCharType="end"/>
      </w:r>
    </w:p>
    <w:p w14:paraId="0C4591BB">
      <w:pPr>
        <w:pStyle w:val="54"/>
        <w:tabs>
          <w:tab w:val="right" w:leader="dot" w:pos="8306"/>
        </w:tabs>
        <w:ind w:firstLine="210"/>
        <w:rPr>
          <w:rFonts w:ascii="Times New Roman" w:hAnsi="Times New Roman"/>
          <w:b/>
          <w:bCs/>
        </w:rPr>
      </w:pPr>
      <w:r>
        <w:fldChar w:fldCharType="begin"/>
      </w:r>
      <w:r>
        <w:instrText xml:space="preserve"> HYPERLINK \l "_Toc22129" </w:instrText>
      </w:r>
      <w:r>
        <w:fldChar w:fldCharType="separate"/>
      </w:r>
      <w:r>
        <w:rPr>
          <w:rFonts w:ascii="Times New Roman" w:hAnsi="Times New Roman" w:eastAsia="黑体"/>
          <w:b/>
          <w:bCs/>
          <w:szCs w:val="30"/>
        </w:rPr>
        <w:t xml:space="preserve">3.8 </w:t>
      </w:r>
      <w:r>
        <w:rPr>
          <w:rFonts w:ascii="Times New Roman" w:hAnsi="Times New Roman"/>
          <w:b/>
          <w:bCs/>
        </w:rPr>
        <w:t>全厂污染物产排汇总</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_Toc22129 \h </w:instrText>
      </w:r>
      <w:r>
        <w:rPr>
          <w:rFonts w:ascii="Times New Roman" w:hAnsi="Times New Roman"/>
          <w:b/>
          <w:bCs/>
        </w:rPr>
        <w:fldChar w:fldCharType="separate"/>
      </w:r>
      <w:r>
        <w:rPr>
          <w:rFonts w:ascii="Times New Roman" w:hAnsi="Times New Roman"/>
          <w:b/>
          <w:bCs/>
        </w:rPr>
        <w:t>153</w:t>
      </w:r>
      <w:r>
        <w:rPr>
          <w:rFonts w:ascii="Times New Roman" w:hAnsi="Times New Roman"/>
          <w:b/>
          <w:bCs/>
        </w:rPr>
        <w:fldChar w:fldCharType="end"/>
      </w:r>
      <w:r>
        <w:rPr>
          <w:rFonts w:ascii="Times New Roman" w:hAnsi="Times New Roman"/>
          <w:b/>
          <w:bCs/>
        </w:rPr>
        <w:fldChar w:fldCharType="end"/>
      </w:r>
    </w:p>
    <w:p w14:paraId="63F4674E">
      <w:pPr>
        <w:pStyle w:val="54"/>
        <w:tabs>
          <w:tab w:val="right" w:leader="dot" w:pos="8306"/>
        </w:tabs>
        <w:ind w:firstLine="210"/>
        <w:rPr>
          <w:rFonts w:ascii="Times New Roman" w:hAnsi="Times New Roman"/>
          <w:b/>
          <w:bCs/>
        </w:rPr>
      </w:pPr>
      <w:r>
        <w:fldChar w:fldCharType="begin"/>
      </w:r>
      <w:r>
        <w:instrText xml:space="preserve"> HYPERLINK \l "_Toc15982" </w:instrText>
      </w:r>
      <w:r>
        <w:fldChar w:fldCharType="separate"/>
      </w:r>
      <w:r>
        <w:rPr>
          <w:rFonts w:ascii="Times New Roman" w:hAnsi="Times New Roman" w:eastAsia="黑体"/>
          <w:b/>
          <w:bCs/>
          <w:szCs w:val="30"/>
        </w:rPr>
        <w:t xml:space="preserve">3.9 </w:t>
      </w:r>
      <w:r>
        <w:rPr>
          <w:rFonts w:ascii="Times New Roman" w:hAnsi="Times New Roman"/>
          <w:b/>
          <w:bCs/>
        </w:rPr>
        <w:t>碳排放分析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_Toc15982 \h </w:instrText>
      </w:r>
      <w:r>
        <w:rPr>
          <w:rFonts w:ascii="Times New Roman" w:hAnsi="Times New Roman"/>
          <w:b/>
          <w:bCs/>
        </w:rPr>
        <w:fldChar w:fldCharType="separate"/>
      </w:r>
      <w:r>
        <w:rPr>
          <w:rFonts w:ascii="Times New Roman" w:hAnsi="Times New Roman"/>
          <w:b/>
          <w:bCs/>
        </w:rPr>
        <w:t>153</w:t>
      </w:r>
      <w:r>
        <w:rPr>
          <w:rFonts w:ascii="Times New Roman" w:hAnsi="Times New Roman"/>
          <w:b/>
          <w:bCs/>
        </w:rPr>
        <w:fldChar w:fldCharType="end"/>
      </w:r>
      <w:r>
        <w:rPr>
          <w:rFonts w:ascii="Times New Roman" w:hAnsi="Times New Roman"/>
          <w:b/>
          <w:bCs/>
        </w:rPr>
        <w:fldChar w:fldCharType="end"/>
      </w:r>
    </w:p>
    <w:p w14:paraId="322C1A44">
      <w:pPr>
        <w:pStyle w:val="54"/>
        <w:tabs>
          <w:tab w:val="right" w:leader="dot" w:pos="8306"/>
        </w:tabs>
        <w:ind w:firstLine="210"/>
        <w:rPr>
          <w:rFonts w:ascii="Times New Roman" w:hAnsi="Times New Roman"/>
          <w:b/>
          <w:bCs/>
        </w:rPr>
      </w:pPr>
      <w:r>
        <w:fldChar w:fldCharType="begin"/>
      </w:r>
      <w:r>
        <w:instrText xml:space="preserve"> HYPERLINK \l "_Toc32486" </w:instrText>
      </w:r>
      <w:r>
        <w:fldChar w:fldCharType="separate"/>
      </w:r>
      <w:r>
        <w:rPr>
          <w:rFonts w:ascii="Times New Roman" w:hAnsi="Times New Roman" w:eastAsia="黑体"/>
          <w:b/>
          <w:bCs/>
          <w:szCs w:val="30"/>
        </w:rPr>
        <w:t xml:space="preserve">3.10 </w:t>
      </w:r>
      <w:r>
        <w:rPr>
          <w:rFonts w:ascii="Times New Roman" w:hAnsi="Times New Roman"/>
          <w:b/>
          <w:bCs/>
        </w:rPr>
        <w:t>非正常工况</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_Toc32486 \h </w:instrText>
      </w:r>
      <w:r>
        <w:rPr>
          <w:rFonts w:ascii="Times New Roman" w:hAnsi="Times New Roman"/>
          <w:b/>
          <w:bCs/>
        </w:rPr>
        <w:fldChar w:fldCharType="separate"/>
      </w:r>
      <w:r>
        <w:rPr>
          <w:rFonts w:ascii="Times New Roman" w:hAnsi="Times New Roman"/>
          <w:b/>
          <w:bCs/>
        </w:rPr>
        <w:t>155</w:t>
      </w:r>
      <w:r>
        <w:rPr>
          <w:rFonts w:ascii="Times New Roman" w:hAnsi="Times New Roman"/>
          <w:b/>
          <w:bCs/>
        </w:rPr>
        <w:fldChar w:fldCharType="end"/>
      </w:r>
      <w:r>
        <w:rPr>
          <w:rFonts w:ascii="Times New Roman" w:hAnsi="Times New Roman"/>
          <w:b/>
          <w:bCs/>
        </w:rPr>
        <w:fldChar w:fldCharType="end"/>
      </w:r>
    </w:p>
    <w:p w14:paraId="60F87100">
      <w:pPr>
        <w:pStyle w:val="54"/>
        <w:tabs>
          <w:tab w:val="right" w:leader="dot" w:pos="8306"/>
        </w:tabs>
        <w:ind w:firstLine="210"/>
        <w:rPr>
          <w:rFonts w:ascii="Times New Roman" w:hAnsi="Times New Roman"/>
          <w:b/>
          <w:bCs/>
        </w:rPr>
      </w:pPr>
      <w:r>
        <w:fldChar w:fldCharType="begin"/>
      </w:r>
      <w:r>
        <w:instrText xml:space="preserve"> HYPERLINK \l "_Toc31905" </w:instrText>
      </w:r>
      <w:r>
        <w:fldChar w:fldCharType="separate"/>
      </w:r>
      <w:r>
        <w:rPr>
          <w:rFonts w:ascii="Times New Roman" w:hAnsi="Times New Roman" w:eastAsia="黑体"/>
          <w:b/>
          <w:bCs/>
          <w:szCs w:val="30"/>
        </w:rPr>
        <w:t xml:space="preserve">3.11 </w:t>
      </w:r>
      <w:r>
        <w:rPr>
          <w:rFonts w:ascii="Times New Roman" w:hAnsi="Times New Roman"/>
          <w:b/>
          <w:bCs/>
        </w:rPr>
        <w:t>总量控制</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_Toc31905 \h </w:instrText>
      </w:r>
      <w:r>
        <w:rPr>
          <w:rFonts w:ascii="Times New Roman" w:hAnsi="Times New Roman"/>
          <w:b/>
          <w:bCs/>
        </w:rPr>
        <w:fldChar w:fldCharType="separate"/>
      </w:r>
      <w:r>
        <w:rPr>
          <w:rFonts w:ascii="Times New Roman" w:hAnsi="Times New Roman"/>
          <w:b/>
          <w:bCs/>
        </w:rPr>
        <w:t>155</w:t>
      </w:r>
      <w:r>
        <w:rPr>
          <w:rFonts w:ascii="Times New Roman" w:hAnsi="Times New Roman"/>
          <w:b/>
          <w:bCs/>
        </w:rPr>
        <w:fldChar w:fldCharType="end"/>
      </w:r>
      <w:r>
        <w:rPr>
          <w:rFonts w:ascii="Times New Roman" w:hAnsi="Times New Roman"/>
          <w:b/>
          <w:bCs/>
        </w:rPr>
        <w:fldChar w:fldCharType="end"/>
      </w:r>
    </w:p>
    <w:p w14:paraId="36140616">
      <w:pPr>
        <w:pStyle w:val="54"/>
        <w:tabs>
          <w:tab w:val="right" w:leader="dot" w:pos="8306"/>
        </w:tabs>
        <w:ind w:firstLine="210"/>
        <w:rPr>
          <w:rFonts w:ascii="Times New Roman" w:hAnsi="Times New Roman"/>
          <w:b/>
          <w:bCs/>
        </w:rPr>
      </w:pPr>
      <w:r>
        <w:fldChar w:fldCharType="begin"/>
      </w:r>
      <w:r>
        <w:instrText xml:space="preserve"> HYPERLINK \l "_Toc3258" </w:instrText>
      </w:r>
      <w:r>
        <w:fldChar w:fldCharType="separate"/>
      </w:r>
      <w:r>
        <w:rPr>
          <w:rFonts w:ascii="Times New Roman" w:hAnsi="Times New Roman" w:eastAsia="黑体"/>
          <w:b/>
          <w:bCs/>
          <w:szCs w:val="30"/>
        </w:rPr>
        <w:t xml:space="preserve">3.12 </w:t>
      </w:r>
      <w:r>
        <w:rPr>
          <w:rFonts w:ascii="Times New Roman" w:hAnsi="Times New Roman"/>
          <w:b/>
          <w:bCs/>
        </w:rPr>
        <w:t>清洁生产分析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_Toc3258 \h </w:instrText>
      </w:r>
      <w:r>
        <w:rPr>
          <w:rFonts w:ascii="Times New Roman" w:hAnsi="Times New Roman"/>
          <w:b/>
          <w:bCs/>
        </w:rPr>
        <w:fldChar w:fldCharType="separate"/>
      </w:r>
      <w:r>
        <w:rPr>
          <w:rFonts w:ascii="Times New Roman" w:hAnsi="Times New Roman"/>
          <w:b/>
          <w:bCs/>
        </w:rPr>
        <w:t>156</w:t>
      </w:r>
      <w:r>
        <w:rPr>
          <w:rFonts w:ascii="Times New Roman" w:hAnsi="Times New Roman"/>
          <w:b/>
          <w:bCs/>
        </w:rPr>
        <w:fldChar w:fldCharType="end"/>
      </w:r>
      <w:r>
        <w:rPr>
          <w:rFonts w:ascii="Times New Roman" w:hAnsi="Times New Roman"/>
          <w:b/>
          <w:bCs/>
        </w:rPr>
        <w:fldChar w:fldCharType="end"/>
      </w:r>
    </w:p>
    <w:p w14:paraId="393A41D9">
      <w:pPr>
        <w:pStyle w:val="42"/>
        <w:tabs>
          <w:tab w:val="right" w:leader="dot" w:pos="8306"/>
          <w:tab w:val="clear" w:pos="8296"/>
        </w:tabs>
        <w:rPr>
          <w:rFonts w:ascii="Times New Roman" w:hAnsi="Times New Roman"/>
          <w:b/>
          <w:bCs/>
        </w:rPr>
      </w:pPr>
      <w:r>
        <w:fldChar w:fldCharType="begin"/>
      </w:r>
      <w:r>
        <w:instrText xml:space="preserve"> HYPERLINK \l "_Toc11392" </w:instrText>
      </w:r>
      <w:r>
        <w:fldChar w:fldCharType="separate"/>
      </w:r>
      <w:r>
        <w:rPr>
          <w:rFonts w:ascii="Times New Roman" w:hAnsi="Times New Roman"/>
          <w:b/>
          <w:bCs/>
          <w:szCs w:val="48"/>
        </w:rPr>
        <w:t xml:space="preserve">第4章 </w:t>
      </w:r>
      <w:r>
        <w:rPr>
          <w:rFonts w:ascii="Times New Roman" w:hAnsi="Times New Roman"/>
          <w:b/>
          <w:bCs/>
        </w:rPr>
        <w:t>区域环境现状调查与评价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_Toc11392 \h </w:instrText>
      </w:r>
      <w:r>
        <w:rPr>
          <w:rFonts w:ascii="Times New Roman" w:hAnsi="Times New Roman"/>
          <w:b/>
          <w:bCs/>
        </w:rPr>
        <w:fldChar w:fldCharType="separate"/>
      </w:r>
      <w:r>
        <w:rPr>
          <w:rFonts w:ascii="Times New Roman" w:hAnsi="Times New Roman"/>
          <w:b/>
          <w:bCs/>
        </w:rPr>
        <w:t>46</w:t>
      </w:r>
      <w:r>
        <w:rPr>
          <w:rFonts w:ascii="Times New Roman" w:hAnsi="Times New Roman"/>
          <w:b/>
          <w:bCs/>
        </w:rPr>
        <w:fldChar w:fldCharType="end"/>
      </w:r>
      <w:r>
        <w:rPr>
          <w:rFonts w:ascii="Times New Roman" w:hAnsi="Times New Roman"/>
          <w:b/>
          <w:bCs/>
        </w:rPr>
        <w:fldChar w:fldCharType="end"/>
      </w:r>
    </w:p>
    <w:p w14:paraId="0AFD0318">
      <w:pPr>
        <w:pStyle w:val="54"/>
        <w:tabs>
          <w:tab w:val="right" w:leader="dot" w:pos="8306"/>
        </w:tabs>
        <w:ind w:firstLine="210"/>
        <w:rPr>
          <w:rFonts w:ascii="Times New Roman" w:hAnsi="Times New Roman"/>
          <w:b/>
          <w:bCs/>
        </w:rPr>
      </w:pPr>
      <w:r>
        <w:fldChar w:fldCharType="begin"/>
      </w:r>
      <w:r>
        <w:instrText xml:space="preserve"> HYPERLINK \l "_Toc22828" </w:instrText>
      </w:r>
      <w:r>
        <w:fldChar w:fldCharType="separate"/>
      </w:r>
      <w:r>
        <w:rPr>
          <w:rFonts w:ascii="Times New Roman" w:hAnsi="Times New Roman" w:eastAsia="黑体"/>
          <w:b/>
          <w:bCs/>
          <w:szCs w:val="30"/>
        </w:rPr>
        <w:t xml:space="preserve">4.1 </w:t>
      </w:r>
      <w:r>
        <w:rPr>
          <w:rFonts w:ascii="Times New Roman" w:hAnsi="Times New Roman"/>
          <w:b/>
          <w:bCs/>
        </w:rPr>
        <w:t>自然环境概况</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_Toc22828 \h </w:instrText>
      </w:r>
      <w:r>
        <w:rPr>
          <w:rFonts w:ascii="Times New Roman" w:hAnsi="Times New Roman"/>
          <w:b/>
          <w:bCs/>
        </w:rPr>
        <w:fldChar w:fldCharType="separate"/>
      </w:r>
      <w:r>
        <w:rPr>
          <w:rFonts w:ascii="Times New Roman" w:hAnsi="Times New Roman"/>
          <w:b/>
          <w:bCs/>
        </w:rPr>
        <w:t>162</w:t>
      </w:r>
      <w:r>
        <w:rPr>
          <w:rFonts w:ascii="Times New Roman" w:hAnsi="Times New Roman"/>
          <w:b/>
          <w:bCs/>
        </w:rPr>
        <w:fldChar w:fldCharType="end"/>
      </w:r>
      <w:r>
        <w:rPr>
          <w:rFonts w:ascii="Times New Roman" w:hAnsi="Times New Roman"/>
          <w:b/>
          <w:bCs/>
        </w:rPr>
        <w:fldChar w:fldCharType="end"/>
      </w:r>
    </w:p>
    <w:p w14:paraId="276C5A5B">
      <w:pPr>
        <w:pStyle w:val="54"/>
        <w:tabs>
          <w:tab w:val="right" w:leader="dot" w:pos="8306"/>
        </w:tabs>
        <w:ind w:firstLine="210"/>
        <w:rPr>
          <w:rFonts w:ascii="Times New Roman" w:hAnsi="Times New Roman"/>
          <w:b/>
          <w:bCs/>
        </w:rPr>
      </w:pPr>
      <w:r>
        <w:fldChar w:fldCharType="begin"/>
      </w:r>
      <w:r>
        <w:instrText xml:space="preserve"> HYPERLINK \l "_Toc31394" </w:instrText>
      </w:r>
      <w:r>
        <w:fldChar w:fldCharType="separate"/>
      </w:r>
      <w:r>
        <w:rPr>
          <w:rFonts w:ascii="Times New Roman" w:hAnsi="Times New Roman" w:eastAsia="黑体"/>
          <w:b/>
          <w:bCs/>
          <w:szCs w:val="30"/>
        </w:rPr>
        <w:t xml:space="preserve">4.2 </w:t>
      </w:r>
      <w:r>
        <w:rPr>
          <w:rFonts w:ascii="Times New Roman" w:hAnsi="Times New Roman"/>
          <w:b/>
          <w:bCs/>
        </w:rPr>
        <w:t>哈密工业园区概况</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_Toc31394 \h </w:instrText>
      </w:r>
      <w:r>
        <w:rPr>
          <w:rFonts w:ascii="Times New Roman" w:hAnsi="Times New Roman"/>
          <w:b/>
          <w:bCs/>
        </w:rPr>
        <w:fldChar w:fldCharType="separate"/>
      </w:r>
      <w:r>
        <w:rPr>
          <w:rFonts w:ascii="Times New Roman" w:hAnsi="Times New Roman"/>
          <w:b/>
          <w:bCs/>
        </w:rPr>
        <w:t>167</w:t>
      </w:r>
      <w:r>
        <w:rPr>
          <w:rFonts w:ascii="Times New Roman" w:hAnsi="Times New Roman"/>
          <w:b/>
          <w:bCs/>
        </w:rPr>
        <w:fldChar w:fldCharType="end"/>
      </w:r>
      <w:r>
        <w:rPr>
          <w:rFonts w:ascii="Times New Roman" w:hAnsi="Times New Roman"/>
          <w:b/>
          <w:bCs/>
        </w:rPr>
        <w:fldChar w:fldCharType="end"/>
      </w:r>
    </w:p>
    <w:p w14:paraId="02D3161A">
      <w:pPr>
        <w:pStyle w:val="54"/>
        <w:tabs>
          <w:tab w:val="right" w:leader="dot" w:pos="8306"/>
        </w:tabs>
        <w:ind w:firstLine="210"/>
        <w:rPr>
          <w:rFonts w:ascii="Times New Roman" w:hAnsi="Times New Roman"/>
          <w:b/>
          <w:bCs/>
        </w:rPr>
      </w:pPr>
      <w:r>
        <w:fldChar w:fldCharType="begin"/>
      </w:r>
      <w:r>
        <w:instrText xml:space="preserve"> HYPERLINK \l "_Toc32124" </w:instrText>
      </w:r>
      <w:r>
        <w:fldChar w:fldCharType="separate"/>
      </w:r>
      <w:r>
        <w:rPr>
          <w:rFonts w:ascii="Times New Roman" w:hAnsi="Times New Roman" w:eastAsia="黑体"/>
          <w:b/>
          <w:bCs/>
          <w:szCs w:val="30"/>
        </w:rPr>
        <w:t xml:space="preserve">4.3 </w:t>
      </w:r>
      <w:r>
        <w:rPr>
          <w:rFonts w:ascii="Times New Roman" w:hAnsi="Times New Roman"/>
          <w:b/>
          <w:bCs/>
        </w:rPr>
        <w:t>环境质量现状调查与评价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_Toc32124 \h </w:instrText>
      </w:r>
      <w:r>
        <w:rPr>
          <w:rFonts w:ascii="Times New Roman" w:hAnsi="Times New Roman"/>
          <w:b/>
          <w:bCs/>
        </w:rPr>
        <w:fldChar w:fldCharType="separate"/>
      </w:r>
      <w:r>
        <w:rPr>
          <w:rFonts w:ascii="Times New Roman" w:hAnsi="Times New Roman"/>
          <w:b/>
          <w:bCs/>
        </w:rPr>
        <w:t>182</w:t>
      </w:r>
      <w:r>
        <w:rPr>
          <w:rFonts w:ascii="Times New Roman" w:hAnsi="Times New Roman"/>
          <w:b/>
          <w:bCs/>
        </w:rPr>
        <w:fldChar w:fldCharType="end"/>
      </w:r>
      <w:r>
        <w:rPr>
          <w:rFonts w:ascii="Times New Roman" w:hAnsi="Times New Roman"/>
          <w:b/>
          <w:bCs/>
        </w:rPr>
        <w:fldChar w:fldCharType="end"/>
      </w:r>
    </w:p>
    <w:p w14:paraId="77038A08">
      <w:pPr>
        <w:pStyle w:val="42"/>
        <w:tabs>
          <w:tab w:val="right" w:leader="dot" w:pos="8306"/>
          <w:tab w:val="clear" w:pos="8296"/>
        </w:tabs>
        <w:rPr>
          <w:rFonts w:ascii="Times New Roman" w:hAnsi="Times New Roman"/>
          <w:b/>
          <w:bCs/>
        </w:rPr>
      </w:pPr>
      <w:r>
        <w:fldChar w:fldCharType="begin"/>
      </w:r>
      <w:r>
        <w:instrText xml:space="preserve"> HYPERLINK \l "_Toc26151" </w:instrText>
      </w:r>
      <w:r>
        <w:fldChar w:fldCharType="separate"/>
      </w:r>
      <w:r>
        <w:rPr>
          <w:rFonts w:ascii="Times New Roman" w:hAnsi="Times New Roman"/>
          <w:b/>
          <w:bCs/>
          <w:szCs w:val="48"/>
        </w:rPr>
        <w:t xml:space="preserve">第5章 </w:t>
      </w:r>
      <w:r>
        <w:rPr>
          <w:rFonts w:ascii="Times New Roman" w:hAnsi="Times New Roman"/>
          <w:b/>
          <w:bCs/>
        </w:rPr>
        <w:t>环境影响预测与评价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_Toc26151 \h </w:instrText>
      </w:r>
      <w:r>
        <w:rPr>
          <w:rFonts w:ascii="Times New Roman" w:hAnsi="Times New Roman"/>
          <w:b/>
          <w:bCs/>
        </w:rPr>
        <w:fldChar w:fldCharType="separate"/>
      </w:r>
      <w:r>
        <w:rPr>
          <w:rFonts w:ascii="Times New Roman" w:hAnsi="Times New Roman"/>
          <w:b/>
          <w:bCs/>
        </w:rPr>
        <w:t>206</w:t>
      </w:r>
      <w:r>
        <w:rPr>
          <w:rFonts w:ascii="Times New Roman" w:hAnsi="Times New Roman"/>
          <w:b/>
          <w:bCs/>
        </w:rPr>
        <w:fldChar w:fldCharType="end"/>
      </w:r>
      <w:r>
        <w:rPr>
          <w:rFonts w:ascii="Times New Roman" w:hAnsi="Times New Roman"/>
          <w:b/>
          <w:bCs/>
        </w:rPr>
        <w:fldChar w:fldCharType="end"/>
      </w:r>
    </w:p>
    <w:p w14:paraId="5DD343A7">
      <w:pPr>
        <w:pStyle w:val="54"/>
        <w:tabs>
          <w:tab w:val="right" w:leader="dot" w:pos="8306"/>
        </w:tabs>
        <w:ind w:firstLine="210"/>
        <w:rPr>
          <w:rFonts w:ascii="Times New Roman" w:hAnsi="Times New Roman"/>
          <w:b/>
          <w:bCs/>
        </w:rPr>
      </w:pPr>
      <w:r>
        <w:fldChar w:fldCharType="begin"/>
      </w:r>
      <w:r>
        <w:instrText xml:space="preserve"> HYPERLINK \l "_Toc9131" </w:instrText>
      </w:r>
      <w:r>
        <w:fldChar w:fldCharType="separate"/>
      </w:r>
      <w:r>
        <w:rPr>
          <w:rFonts w:ascii="Times New Roman" w:hAnsi="Times New Roman" w:eastAsia="黑体"/>
          <w:b/>
          <w:bCs/>
          <w:szCs w:val="30"/>
        </w:rPr>
        <w:t xml:space="preserve">5.1 </w:t>
      </w:r>
      <w:r>
        <w:rPr>
          <w:rFonts w:ascii="Times New Roman" w:hAnsi="Times New Roman"/>
          <w:b/>
          <w:bCs/>
        </w:rPr>
        <w:t>施工期环境影响分析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_Toc9131 \h </w:instrText>
      </w:r>
      <w:r>
        <w:rPr>
          <w:rFonts w:ascii="Times New Roman" w:hAnsi="Times New Roman"/>
          <w:b/>
          <w:bCs/>
        </w:rPr>
        <w:fldChar w:fldCharType="separate"/>
      </w:r>
      <w:r>
        <w:rPr>
          <w:rFonts w:ascii="Times New Roman" w:hAnsi="Times New Roman"/>
          <w:b/>
          <w:bCs/>
        </w:rPr>
        <w:t>206</w:t>
      </w:r>
      <w:r>
        <w:rPr>
          <w:rFonts w:ascii="Times New Roman" w:hAnsi="Times New Roman"/>
          <w:b/>
          <w:bCs/>
        </w:rPr>
        <w:fldChar w:fldCharType="end"/>
      </w:r>
      <w:r>
        <w:rPr>
          <w:rFonts w:ascii="Times New Roman" w:hAnsi="Times New Roman"/>
          <w:b/>
          <w:bCs/>
        </w:rPr>
        <w:fldChar w:fldCharType="end"/>
      </w:r>
    </w:p>
    <w:p w14:paraId="0CD73A0F">
      <w:pPr>
        <w:pStyle w:val="54"/>
        <w:tabs>
          <w:tab w:val="right" w:leader="dot" w:pos="8306"/>
        </w:tabs>
        <w:ind w:firstLine="210"/>
        <w:rPr>
          <w:rFonts w:ascii="Times New Roman" w:hAnsi="Times New Roman"/>
          <w:b/>
          <w:bCs/>
        </w:rPr>
      </w:pPr>
      <w:r>
        <w:fldChar w:fldCharType="begin"/>
      </w:r>
      <w:r>
        <w:instrText xml:space="preserve"> HYPERLINK \l "_Toc25345" </w:instrText>
      </w:r>
      <w:r>
        <w:fldChar w:fldCharType="separate"/>
      </w:r>
      <w:r>
        <w:rPr>
          <w:rFonts w:ascii="Times New Roman" w:hAnsi="Times New Roman" w:eastAsia="黑体"/>
          <w:b/>
          <w:bCs/>
          <w:szCs w:val="30"/>
        </w:rPr>
        <w:t xml:space="preserve">5.2 </w:t>
      </w:r>
      <w:r>
        <w:rPr>
          <w:rFonts w:ascii="Times New Roman" w:hAnsi="Times New Roman"/>
          <w:b/>
          <w:bCs/>
        </w:rPr>
        <w:t>运营期环境空气影响预测与评价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_Toc25345 \h </w:instrText>
      </w:r>
      <w:r>
        <w:rPr>
          <w:rFonts w:ascii="Times New Roman" w:hAnsi="Times New Roman"/>
          <w:b/>
          <w:bCs/>
        </w:rPr>
        <w:fldChar w:fldCharType="separate"/>
      </w:r>
      <w:r>
        <w:rPr>
          <w:rFonts w:ascii="Times New Roman" w:hAnsi="Times New Roman"/>
          <w:b/>
          <w:bCs/>
        </w:rPr>
        <w:t>209</w:t>
      </w:r>
      <w:r>
        <w:rPr>
          <w:rFonts w:ascii="Times New Roman" w:hAnsi="Times New Roman"/>
          <w:b/>
          <w:bCs/>
        </w:rPr>
        <w:fldChar w:fldCharType="end"/>
      </w:r>
      <w:r>
        <w:rPr>
          <w:rFonts w:ascii="Times New Roman" w:hAnsi="Times New Roman"/>
          <w:b/>
          <w:bCs/>
        </w:rPr>
        <w:fldChar w:fldCharType="end"/>
      </w:r>
    </w:p>
    <w:p w14:paraId="37DB0381">
      <w:pPr>
        <w:pStyle w:val="54"/>
        <w:tabs>
          <w:tab w:val="right" w:leader="dot" w:pos="8306"/>
        </w:tabs>
        <w:ind w:firstLine="210"/>
        <w:rPr>
          <w:rFonts w:ascii="Times New Roman" w:hAnsi="Times New Roman"/>
          <w:b/>
          <w:bCs/>
        </w:rPr>
      </w:pPr>
      <w:r>
        <w:fldChar w:fldCharType="begin"/>
      </w:r>
      <w:r>
        <w:instrText xml:space="preserve"> HYPERLINK \l "_Toc25099" </w:instrText>
      </w:r>
      <w:r>
        <w:fldChar w:fldCharType="separate"/>
      </w:r>
      <w:r>
        <w:rPr>
          <w:rFonts w:ascii="Times New Roman" w:hAnsi="Times New Roman" w:eastAsia="黑体"/>
          <w:b/>
          <w:bCs/>
          <w:szCs w:val="30"/>
        </w:rPr>
        <w:t>5.3 运营期地下水环境影响预测与评价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_Toc25099 \h </w:instrText>
      </w:r>
      <w:r>
        <w:rPr>
          <w:rFonts w:ascii="Times New Roman" w:hAnsi="Times New Roman"/>
          <w:b/>
          <w:bCs/>
        </w:rPr>
        <w:fldChar w:fldCharType="separate"/>
      </w:r>
      <w:r>
        <w:rPr>
          <w:rFonts w:ascii="Times New Roman" w:hAnsi="Times New Roman"/>
          <w:b/>
          <w:bCs/>
        </w:rPr>
        <w:t>238</w:t>
      </w:r>
      <w:r>
        <w:rPr>
          <w:rFonts w:ascii="Times New Roman" w:hAnsi="Times New Roman"/>
          <w:b/>
          <w:bCs/>
        </w:rPr>
        <w:fldChar w:fldCharType="end"/>
      </w:r>
      <w:r>
        <w:rPr>
          <w:rFonts w:ascii="Times New Roman" w:hAnsi="Times New Roman"/>
          <w:b/>
          <w:bCs/>
        </w:rPr>
        <w:fldChar w:fldCharType="end"/>
      </w:r>
    </w:p>
    <w:p w14:paraId="68222C39">
      <w:pPr>
        <w:pStyle w:val="54"/>
        <w:tabs>
          <w:tab w:val="right" w:leader="dot" w:pos="8306"/>
        </w:tabs>
        <w:ind w:firstLine="210"/>
        <w:rPr>
          <w:rFonts w:ascii="Times New Roman" w:hAnsi="Times New Roman"/>
          <w:b/>
          <w:bCs/>
        </w:rPr>
      </w:pPr>
      <w:r>
        <w:fldChar w:fldCharType="begin"/>
      </w:r>
      <w:r>
        <w:instrText xml:space="preserve"> HYPERLINK \l "_Toc32698" </w:instrText>
      </w:r>
      <w:r>
        <w:fldChar w:fldCharType="separate"/>
      </w:r>
      <w:r>
        <w:rPr>
          <w:rFonts w:ascii="Times New Roman" w:hAnsi="Times New Roman" w:eastAsia="黑体"/>
          <w:b/>
          <w:bCs/>
          <w:szCs w:val="30"/>
        </w:rPr>
        <w:t xml:space="preserve">5.4 </w:t>
      </w:r>
      <w:r>
        <w:rPr>
          <w:rFonts w:ascii="Times New Roman" w:hAnsi="Times New Roman"/>
          <w:b/>
          <w:bCs/>
        </w:rPr>
        <w:t>运营期地表水环境影响预测与评价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_Toc32698 \h </w:instrText>
      </w:r>
      <w:r>
        <w:rPr>
          <w:rFonts w:ascii="Times New Roman" w:hAnsi="Times New Roman"/>
          <w:b/>
          <w:bCs/>
        </w:rPr>
        <w:fldChar w:fldCharType="separate"/>
      </w:r>
      <w:r>
        <w:rPr>
          <w:rFonts w:ascii="Times New Roman" w:hAnsi="Times New Roman"/>
          <w:b/>
          <w:bCs/>
        </w:rPr>
        <w:t>260</w:t>
      </w:r>
      <w:r>
        <w:rPr>
          <w:rFonts w:ascii="Times New Roman" w:hAnsi="Times New Roman"/>
          <w:b/>
          <w:bCs/>
        </w:rPr>
        <w:fldChar w:fldCharType="end"/>
      </w:r>
      <w:r>
        <w:rPr>
          <w:rFonts w:ascii="Times New Roman" w:hAnsi="Times New Roman"/>
          <w:b/>
          <w:bCs/>
        </w:rPr>
        <w:fldChar w:fldCharType="end"/>
      </w:r>
    </w:p>
    <w:p w14:paraId="0207880A">
      <w:pPr>
        <w:pStyle w:val="54"/>
        <w:tabs>
          <w:tab w:val="right" w:leader="dot" w:pos="8306"/>
        </w:tabs>
        <w:ind w:firstLine="210"/>
        <w:rPr>
          <w:rFonts w:ascii="Times New Roman" w:hAnsi="Times New Roman"/>
          <w:b/>
          <w:bCs/>
        </w:rPr>
      </w:pPr>
      <w:r>
        <w:fldChar w:fldCharType="begin"/>
      </w:r>
      <w:r>
        <w:instrText xml:space="preserve"> HYPERLINK \l "_Toc8310" </w:instrText>
      </w:r>
      <w:r>
        <w:fldChar w:fldCharType="separate"/>
      </w:r>
      <w:r>
        <w:rPr>
          <w:rFonts w:ascii="Times New Roman" w:hAnsi="Times New Roman" w:eastAsia="黑体"/>
          <w:b/>
          <w:bCs/>
          <w:szCs w:val="30"/>
        </w:rPr>
        <w:t xml:space="preserve">5.5 </w:t>
      </w:r>
      <w:r>
        <w:rPr>
          <w:rFonts w:ascii="Times New Roman" w:hAnsi="Times New Roman"/>
          <w:b/>
          <w:bCs/>
        </w:rPr>
        <w:t>运营期声环境影响预测与评价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_Toc8310 \h </w:instrText>
      </w:r>
      <w:r>
        <w:rPr>
          <w:rFonts w:ascii="Times New Roman" w:hAnsi="Times New Roman"/>
          <w:b/>
          <w:bCs/>
        </w:rPr>
        <w:fldChar w:fldCharType="separate"/>
      </w:r>
      <w:r>
        <w:rPr>
          <w:rFonts w:ascii="Times New Roman" w:hAnsi="Times New Roman"/>
          <w:b/>
          <w:bCs/>
        </w:rPr>
        <w:t>265</w:t>
      </w:r>
      <w:r>
        <w:rPr>
          <w:rFonts w:ascii="Times New Roman" w:hAnsi="Times New Roman"/>
          <w:b/>
          <w:bCs/>
        </w:rPr>
        <w:fldChar w:fldCharType="end"/>
      </w:r>
      <w:r>
        <w:rPr>
          <w:rFonts w:ascii="Times New Roman" w:hAnsi="Times New Roman"/>
          <w:b/>
          <w:bCs/>
        </w:rPr>
        <w:fldChar w:fldCharType="end"/>
      </w:r>
    </w:p>
    <w:p w14:paraId="75FA8860">
      <w:pPr>
        <w:pStyle w:val="54"/>
        <w:tabs>
          <w:tab w:val="right" w:leader="dot" w:pos="8306"/>
        </w:tabs>
        <w:ind w:firstLine="210"/>
        <w:rPr>
          <w:rFonts w:ascii="Times New Roman" w:hAnsi="Times New Roman"/>
          <w:b/>
          <w:bCs/>
        </w:rPr>
      </w:pPr>
      <w:r>
        <w:fldChar w:fldCharType="begin"/>
      </w:r>
      <w:r>
        <w:instrText xml:space="preserve"> HYPERLINK \l "_Toc12886" </w:instrText>
      </w:r>
      <w:r>
        <w:fldChar w:fldCharType="separate"/>
      </w:r>
      <w:r>
        <w:rPr>
          <w:rFonts w:ascii="Times New Roman" w:hAnsi="Times New Roman" w:eastAsia="黑体"/>
          <w:b/>
          <w:bCs/>
          <w:szCs w:val="30"/>
        </w:rPr>
        <w:t xml:space="preserve">5.6 </w:t>
      </w:r>
      <w:r>
        <w:rPr>
          <w:rFonts w:ascii="Times New Roman" w:hAnsi="Times New Roman"/>
          <w:b/>
          <w:bCs/>
        </w:rPr>
        <w:t>运营期固体废物影响预测与评价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_Toc12886 \h </w:instrText>
      </w:r>
      <w:r>
        <w:rPr>
          <w:rFonts w:ascii="Times New Roman" w:hAnsi="Times New Roman"/>
          <w:b/>
          <w:bCs/>
        </w:rPr>
        <w:fldChar w:fldCharType="separate"/>
      </w:r>
      <w:r>
        <w:rPr>
          <w:rFonts w:ascii="Times New Roman" w:hAnsi="Times New Roman"/>
          <w:b/>
          <w:bCs/>
        </w:rPr>
        <w:t>272</w:t>
      </w:r>
      <w:r>
        <w:rPr>
          <w:rFonts w:ascii="Times New Roman" w:hAnsi="Times New Roman"/>
          <w:b/>
          <w:bCs/>
        </w:rPr>
        <w:fldChar w:fldCharType="end"/>
      </w:r>
      <w:r>
        <w:rPr>
          <w:rFonts w:ascii="Times New Roman" w:hAnsi="Times New Roman"/>
          <w:b/>
          <w:bCs/>
        </w:rPr>
        <w:fldChar w:fldCharType="end"/>
      </w:r>
    </w:p>
    <w:p w14:paraId="274EB32E">
      <w:pPr>
        <w:pStyle w:val="54"/>
        <w:tabs>
          <w:tab w:val="right" w:leader="dot" w:pos="8306"/>
        </w:tabs>
        <w:ind w:firstLine="210"/>
        <w:rPr>
          <w:rFonts w:ascii="Times New Roman" w:hAnsi="Times New Roman"/>
          <w:b/>
          <w:bCs/>
        </w:rPr>
      </w:pPr>
      <w:r>
        <w:fldChar w:fldCharType="begin"/>
      </w:r>
      <w:r>
        <w:instrText xml:space="preserve"> HYPERLINK \l "_Toc15404" </w:instrText>
      </w:r>
      <w:r>
        <w:fldChar w:fldCharType="separate"/>
      </w:r>
      <w:r>
        <w:rPr>
          <w:rFonts w:ascii="Times New Roman" w:hAnsi="Times New Roman" w:eastAsia="黑体"/>
          <w:b/>
          <w:bCs/>
          <w:szCs w:val="30"/>
        </w:rPr>
        <w:t xml:space="preserve">5.7 </w:t>
      </w:r>
      <w:r>
        <w:rPr>
          <w:rFonts w:ascii="Times New Roman" w:hAnsi="Times New Roman"/>
          <w:b/>
          <w:bCs/>
        </w:rPr>
        <w:t>生态环境影响分析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_Toc15404 \h </w:instrText>
      </w:r>
      <w:r>
        <w:rPr>
          <w:rFonts w:ascii="Times New Roman" w:hAnsi="Times New Roman"/>
          <w:b/>
          <w:bCs/>
        </w:rPr>
        <w:fldChar w:fldCharType="separate"/>
      </w:r>
      <w:r>
        <w:rPr>
          <w:rFonts w:ascii="Times New Roman" w:hAnsi="Times New Roman"/>
          <w:b/>
          <w:bCs/>
        </w:rPr>
        <w:t>280</w:t>
      </w:r>
      <w:r>
        <w:rPr>
          <w:rFonts w:ascii="Times New Roman" w:hAnsi="Times New Roman"/>
          <w:b/>
          <w:bCs/>
        </w:rPr>
        <w:fldChar w:fldCharType="end"/>
      </w:r>
      <w:r>
        <w:rPr>
          <w:rFonts w:ascii="Times New Roman" w:hAnsi="Times New Roman"/>
          <w:b/>
          <w:bCs/>
        </w:rPr>
        <w:fldChar w:fldCharType="end"/>
      </w:r>
    </w:p>
    <w:p w14:paraId="113CB046">
      <w:pPr>
        <w:pStyle w:val="54"/>
        <w:tabs>
          <w:tab w:val="right" w:leader="dot" w:pos="8306"/>
        </w:tabs>
        <w:ind w:firstLine="210"/>
        <w:rPr>
          <w:rFonts w:ascii="Times New Roman" w:hAnsi="Times New Roman"/>
          <w:b/>
          <w:bCs/>
        </w:rPr>
      </w:pPr>
      <w:r>
        <w:fldChar w:fldCharType="begin"/>
      </w:r>
      <w:r>
        <w:instrText xml:space="preserve"> HYPERLINK \l "_Toc19766" </w:instrText>
      </w:r>
      <w:r>
        <w:fldChar w:fldCharType="separate"/>
      </w:r>
      <w:r>
        <w:rPr>
          <w:rFonts w:ascii="Times New Roman" w:hAnsi="Times New Roman" w:eastAsia="黑体"/>
          <w:b/>
          <w:bCs/>
          <w:szCs w:val="30"/>
        </w:rPr>
        <w:t>5.8 土壤环境影响预测与评价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_Toc19766 \h </w:instrText>
      </w:r>
      <w:r>
        <w:rPr>
          <w:rFonts w:ascii="Times New Roman" w:hAnsi="Times New Roman"/>
          <w:b/>
          <w:bCs/>
        </w:rPr>
        <w:fldChar w:fldCharType="separate"/>
      </w:r>
      <w:r>
        <w:rPr>
          <w:rFonts w:ascii="Times New Roman" w:hAnsi="Times New Roman"/>
          <w:b/>
          <w:bCs/>
        </w:rPr>
        <w:t>283</w:t>
      </w:r>
      <w:r>
        <w:rPr>
          <w:rFonts w:ascii="Times New Roman" w:hAnsi="Times New Roman"/>
          <w:b/>
          <w:bCs/>
        </w:rPr>
        <w:fldChar w:fldCharType="end"/>
      </w:r>
      <w:r>
        <w:rPr>
          <w:rFonts w:ascii="Times New Roman" w:hAnsi="Times New Roman"/>
          <w:b/>
          <w:bCs/>
        </w:rPr>
        <w:fldChar w:fldCharType="end"/>
      </w:r>
    </w:p>
    <w:p w14:paraId="6043289F">
      <w:pPr>
        <w:pStyle w:val="54"/>
        <w:tabs>
          <w:tab w:val="right" w:leader="dot" w:pos="8306"/>
        </w:tabs>
        <w:ind w:firstLine="210"/>
        <w:rPr>
          <w:rFonts w:ascii="Times New Roman" w:hAnsi="Times New Roman"/>
          <w:b/>
          <w:bCs/>
        </w:rPr>
      </w:pPr>
      <w:r>
        <w:fldChar w:fldCharType="begin"/>
      </w:r>
      <w:r>
        <w:instrText xml:space="preserve"> HYPERLINK \l "_Toc1955" </w:instrText>
      </w:r>
      <w:r>
        <w:fldChar w:fldCharType="separate"/>
      </w:r>
      <w:r>
        <w:rPr>
          <w:rFonts w:ascii="Times New Roman" w:hAnsi="Times New Roman" w:eastAsia="黑体"/>
          <w:b/>
          <w:bCs/>
          <w:szCs w:val="30"/>
        </w:rPr>
        <w:t>5.9 电磁环境影响预测分析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_Toc1955 \h </w:instrText>
      </w:r>
      <w:r>
        <w:rPr>
          <w:rFonts w:ascii="Times New Roman" w:hAnsi="Times New Roman"/>
          <w:b/>
          <w:bCs/>
        </w:rPr>
        <w:fldChar w:fldCharType="separate"/>
      </w:r>
      <w:r>
        <w:rPr>
          <w:rFonts w:ascii="Times New Roman" w:hAnsi="Times New Roman"/>
          <w:b/>
          <w:bCs/>
        </w:rPr>
        <w:t>293</w:t>
      </w:r>
      <w:r>
        <w:rPr>
          <w:rFonts w:ascii="Times New Roman" w:hAnsi="Times New Roman"/>
          <w:b/>
          <w:bCs/>
        </w:rPr>
        <w:fldChar w:fldCharType="end"/>
      </w:r>
      <w:r>
        <w:rPr>
          <w:rFonts w:ascii="Times New Roman" w:hAnsi="Times New Roman"/>
          <w:b/>
          <w:bCs/>
        </w:rPr>
        <w:fldChar w:fldCharType="end"/>
      </w:r>
    </w:p>
    <w:p w14:paraId="0B7A48A3">
      <w:pPr>
        <w:pStyle w:val="42"/>
        <w:tabs>
          <w:tab w:val="right" w:leader="dot" w:pos="8306"/>
          <w:tab w:val="clear" w:pos="8296"/>
        </w:tabs>
        <w:rPr>
          <w:rFonts w:ascii="Times New Roman" w:hAnsi="Times New Roman"/>
          <w:b/>
          <w:bCs/>
        </w:rPr>
      </w:pPr>
      <w:r>
        <w:fldChar w:fldCharType="begin"/>
      </w:r>
      <w:r>
        <w:instrText xml:space="preserve"> HYPERLINK \l "_Toc25645" </w:instrText>
      </w:r>
      <w:r>
        <w:fldChar w:fldCharType="separate"/>
      </w:r>
      <w:r>
        <w:rPr>
          <w:rFonts w:ascii="Times New Roman" w:hAnsi="Times New Roman"/>
          <w:b/>
          <w:bCs/>
          <w:szCs w:val="48"/>
        </w:rPr>
        <w:t xml:space="preserve">第6章 </w:t>
      </w:r>
      <w:r>
        <w:rPr>
          <w:rFonts w:ascii="Times New Roman" w:hAnsi="Times New Roman"/>
          <w:b/>
          <w:bCs/>
        </w:rPr>
        <w:t>污染防治措施分析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_Toc25645 \h </w:instrText>
      </w:r>
      <w:r>
        <w:rPr>
          <w:rFonts w:ascii="Times New Roman" w:hAnsi="Times New Roman"/>
          <w:b/>
          <w:bCs/>
        </w:rPr>
        <w:fldChar w:fldCharType="separate"/>
      </w:r>
      <w:r>
        <w:rPr>
          <w:rFonts w:ascii="Times New Roman" w:hAnsi="Times New Roman"/>
          <w:b/>
          <w:bCs/>
        </w:rPr>
        <w:t>296</w:t>
      </w:r>
      <w:r>
        <w:rPr>
          <w:rFonts w:ascii="Times New Roman" w:hAnsi="Times New Roman"/>
          <w:b/>
          <w:bCs/>
        </w:rPr>
        <w:fldChar w:fldCharType="end"/>
      </w:r>
      <w:r>
        <w:rPr>
          <w:rFonts w:ascii="Times New Roman" w:hAnsi="Times New Roman"/>
          <w:b/>
          <w:bCs/>
        </w:rPr>
        <w:fldChar w:fldCharType="end"/>
      </w:r>
    </w:p>
    <w:p w14:paraId="6D4145C4">
      <w:pPr>
        <w:pStyle w:val="54"/>
        <w:tabs>
          <w:tab w:val="right" w:leader="dot" w:pos="8306"/>
        </w:tabs>
        <w:ind w:firstLine="210"/>
        <w:rPr>
          <w:rFonts w:ascii="Times New Roman" w:hAnsi="Times New Roman"/>
          <w:b/>
          <w:bCs/>
        </w:rPr>
      </w:pPr>
      <w:r>
        <w:fldChar w:fldCharType="begin"/>
      </w:r>
      <w:r>
        <w:instrText xml:space="preserve"> HYPERLINK \l "_Toc28109" </w:instrText>
      </w:r>
      <w:r>
        <w:fldChar w:fldCharType="separate"/>
      </w:r>
      <w:r>
        <w:rPr>
          <w:rFonts w:ascii="Times New Roman" w:hAnsi="Times New Roman" w:eastAsia="黑体"/>
          <w:b/>
          <w:bCs/>
          <w:szCs w:val="30"/>
        </w:rPr>
        <w:t>6.1 施工期环境影响减缓措施</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_Toc28109 \h </w:instrText>
      </w:r>
      <w:r>
        <w:rPr>
          <w:rFonts w:ascii="Times New Roman" w:hAnsi="Times New Roman"/>
          <w:b/>
          <w:bCs/>
        </w:rPr>
        <w:fldChar w:fldCharType="separate"/>
      </w:r>
      <w:r>
        <w:rPr>
          <w:rFonts w:ascii="Times New Roman" w:hAnsi="Times New Roman"/>
          <w:b/>
          <w:bCs/>
        </w:rPr>
        <w:t>296</w:t>
      </w:r>
      <w:r>
        <w:rPr>
          <w:rFonts w:ascii="Times New Roman" w:hAnsi="Times New Roman"/>
          <w:b/>
          <w:bCs/>
        </w:rPr>
        <w:fldChar w:fldCharType="end"/>
      </w:r>
      <w:r>
        <w:rPr>
          <w:rFonts w:ascii="Times New Roman" w:hAnsi="Times New Roman"/>
          <w:b/>
          <w:bCs/>
        </w:rPr>
        <w:fldChar w:fldCharType="end"/>
      </w:r>
    </w:p>
    <w:p w14:paraId="7C1E6503">
      <w:pPr>
        <w:pStyle w:val="54"/>
        <w:tabs>
          <w:tab w:val="right" w:leader="dot" w:pos="8306"/>
        </w:tabs>
        <w:ind w:firstLine="210"/>
        <w:rPr>
          <w:rFonts w:ascii="Times New Roman" w:hAnsi="Times New Roman"/>
          <w:b/>
          <w:bCs/>
        </w:rPr>
      </w:pPr>
      <w:r>
        <w:fldChar w:fldCharType="begin"/>
      </w:r>
      <w:r>
        <w:instrText xml:space="preserve"> HYPERLINK \l "_Toc27430" </w:instrText>
      </w:r>
      <w:r>
        <w:fldChar w:fldCharType="separate"/>
      </w:r>
      <w:r>
        <w:rPr>
          <w:rFonts w:ascii="Times New Roman" w:hAnsi="Times New Roman" w:eastAsia="黑体"/>
          <w:b/>
          <w:bCs/>
          <w:szCs w:val="30"/>
        </w:rPr>
        <w:t xml:space="preserve">6.2 </w:t>
      </w:r>
      <w:r>
        <w:rPr>
          <w:rFonts w:ascii="Times New Roman" w:hAnsi="Times New Roman"/>
          <w:b/>
          <w:bCs/>
        </w:rPr>
        <w:t>运营期环境影响减缓措施</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_Toc27430 \h </w:instrText>
      </w:r>
      <w:r>
        <w:rPr>
          <w:rFonts w:ascii="Times New Roman" w:hAnsi="Times New Roman"/>
          <w:b/>
          <w:bCs/>
        </w:rPr>
        <w:fldChar w:fldCharType="separate"/>
      </w:r>
      <w:r>
        <w:rPr>
          <w:rFonts w:ascii="Times New Roman" w:hAnsi="Times New Roman"/>
          <w:b/>
          <w:bCs/>
        </w:rPr>
        <w:t>297</w:t>
      </w:r>
      <w:r>
        <w:rPr>
          <w:rFonts w:ascii="Times New Roman" w:hAnsi="Times New Roman"/>
          <w:b/>
          <w:bCs/>
        </w:rPr>
        <w:fldChar w:fldCharType="end"/>
      </w:r>
      <w:r>
        <w:rPr>
          <w:rFonts w:ascii="Times New Roman" w:hAnsi="Times New Roman"/>
          <w:b/>
          <w:bCs/>
        </w:rPr>
        <w:fldChar w:fldCharType="end"/>
      </w:r>
    </w:p>
    <w:p w14:paraId="35162B30">
      <w:pPr>
        <w:pStyle w:val="42"/>
        <w:tabs>
          <w:tab w:val="right" w:leader="dot" w:pos="8306"/>
          <w:tab w:val="clear" w:pos="8296"/>
        </w:tabs>
        <w:rPr>
          <w:rFonts w:ascii="Times New Roman" w:hAnsi="Times New Roman"/>
          <w:b/>
          <w:bCs/>
        </w:rPr>
      </w:pPr>
      <w:r>
        <w:fldChar w:fldCharType="begin"/>
      </w:r>
      <w:r>
        <w:instrText xml:space="preserve"> HYPERLINK \l "_Toc31906" </w:instrText>
      </w:r>
      <w:r>
        <w:fldChar w:fldCharType="separate"/>
      </w:r>
      <w:r>
        <w:rPr>
          <w:rFonts w:ascii="Times New Roman" w:hAnsi="Times New Roman"/>
          <w:b/>
          <w:bCs/>
          <w:szCs w:val="48"/>
        </w:rPr>
        <w:t xml:space="preserve">第7章 </w:t>
      </w:r>
      <w:r>
        <w:rPr>
          <w:rFonts w:ascii="Times New Roman" w:hAnsi="Times New Roman"/>
          <w:b/>
          <w:bCs/>
        </w:rPr>
        <w:t>环境风险评价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_Toc31906 \h </w:instrText>
      </w:r>
      <w:r>
        <w:rPr>
          <w:rFonts w:ascii="Times New Roman" w:hAnsi="Times New Roman"/>
          <w:b/>
          <w:bCs/>
        </w:rPr>
        <w:fldChar w:fldCharType="separate"/>
      </w:r>
      <w:r>
        <w:rPr>
          <w:rFonts w:ascii="Times New Roman" w:hAnsi="Times New Roman"/>
          <w:b/>
          <w:bCs/>
        </w:rPr>
        <w:t>347</w:t>
      </w:r>
      <w:r>
        <w:rPr>
          <w:rFonts w:ascii="Times New Roman" w:hAnsi="Times New Roman"/>
          <w:b/>
          <w:bCs/>
        </w:rPr>
        <w:fldChar w:fldCharType="end"/>
      </w:r>
      <w:r>
        <w:rPr>
          <w:rFonts w:ascii="Times New Roman" w:hAnsi="Times New Roman"/>
          <w:b/>
          <w:bCs/>
        </w:rPr>
        <w:fldChar w:fldCharType="end"/>
      </w:r>
    </w:p>
    <w:p w14:paraId="2E839719">
      <w:pPr>
        <w:pStyle w:val="54"/>
        <w:tabs>
          <w:tab w:val="right" w:leader="dot" w:pos="8306"/>
        </w:tabs>
        <w:ind w:firstLine="210"/>
        <w:rPr>
          <w:rFonts w:ascii="Times New Roman" w:hAnsi="Times New Roman"/>
          <w:b/>
          <w:bCs/>
        </w:rPr>
      </w:pPr>
      <w:r>
        <w:fldChar w:fldCharType="begin"/>
      </w:r>
      <w:r>
        <w:instrText xml:space="preserve"> HYPERLINK \l "_Toc25353" </w:instrText>
      </w:r>
      <w:r>
        <w:fldChar w:fldCharType="separate"/>
      </w:r>
      <w:r>
        <w:rPr>
          <w:rFonts w:ascii="Times New Roman" w:hAnsi="Times New Roman" w:eastAsia="黑体"/>
          <w:b/>
          <w:bCs/>
          <w:szCs w:val="30"/>
        </w:rPr>
        <w:t>7.1 综述</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_Toc25353 \h </w:instrText>
      </w:r>
      <w:r>
        <w:rPr>
          <w:rFonts w:ascii="Times New Roman" w:hAnsi="Times New Roman"/>
          <w:b/>
          <w:bCs/>
        </w:rPr>
        <w:fldChar w:fldCharType="separate"/>
      </w:r>
      <w:r>
        <w:rPr>
          <w:rFonts w:ascii="Times New Roman" w:hAnsi="Times New Roman"/>
          <w:b/>
          <w:bCs/>
        </w:rPr>
        <w:t>347</w:t>
      </w:r>
      <w:r>
        <w:rPr>
          <w:rFonts w:ascii="Times New Roman" w:hAnsi="Times New Roman"/>
          <w:b/>
          <w:bCs/>
        </w:rPr>
        <w:fldChar w:fldCharType="end"/>
      </w:r>
      <w:r>
        <w:rPr>
          <w:rFonts w:ascii="Times New Roman" w:hAnsi="Times New Roman"/>
          <w:b/>
          <w:bCs/>
        </w:rPr>
        <w:fldChar w:fldCharType="end"/>
      </w:r>
    </w:p>
    <w:p w14:paraId="09485893">
      <w:pPr>
        <w:pStyle w:val="54"/>
        <w:tabs>
          <w:tab w:val="right" w:leader="dot" w:pos="8306"/>
        </w:tabs>
        <w:ind w:firstLine="210"/>
        <w:rPr>
          <w:rFonts w:ascii="Times New Roman" w:hAnsi="Times New Roman"/>
          <w:b/>
          <w:bCs/>
        </w:rPr>
      </w:pPr>
      <w:r>
        <w:fldChar w:fldCharType="begin"/>
      </w:r>
      <w:r>
        <w:instrText xml:space="preserve"> HYPERLINK \l "_Toc30963" </w:instrText>
      </w:r>
      <w:r>
        <w:fldChar w:fldCharType="separate"/>
      </w:r>
      <w:r>
        <w:rPr>
          <w:rFonts w:ascii="Times New Roman" w:hAnsi="Times New Roman" w:eastAsia="黑体"/>
          <w:b/>
          <w:bCs/>
          <w:szCs w:val="30"/>
        </w:rPr>
        <w:t xml:space="preserve">7.2 </w:t>
      </w:r>
      <w:r>
        <w:rPr>
          <w:rFonts w:ascii="Times New Roman" w:hAnsi="Times New Roman"/>
          <w:b/>
          <w:bCs/>
        </w:rPr>
        <w:t>风险调查</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_Toc30963 \h </w:instrText>
      </w:r>
      <w:r>
        <w:rPr>
          <w:rFonts w:ascii="Times New Roman" w:hAnsi="Times New Roman"/>
          <w:b/>
          <w:bCs/>
        </w:rPr>
        <w:fldChar w:fldCharType="separate"/>
      </w:r>
      <w:r>
        <w:rPr>
          <w:rFonts w:ascii="Times New Roman" w:hAnsi="Times New Roman"/>
          <w:b/>
          <w:bCs/>
        </w:rPr>
        <w:t>348</w:t>
      </w:r>
      <w:r>
        <w:rPr>
          <w:rFonts w:ascii="Times New Roman" w:hAnsi="Times New Roman"/>
          <w:b/>
          <w:bCs/>
        </w:rPr>
        <w:fldChar w:fldCharType="end"/>
      </w:r>
      <w:r>
        <w:rPr>
          <w:rFonts w:ascii="Times New Roman" w:hAnsi="Times New Roman"/>
          <w:b/>
          <w:bCs/>
        </w:rPr>
        <w:fldChar w:fldCharType="end"/>
      </w:r>
    </w:p>
    <w:p w14:paraId="377AC59C">
      <w:pPr>
        <w:pStyle w:val="54"/>
        <w:tabs>
          <w:tab w:val="right" w:leader="dot" w:pos="8306"/>
        </w:tabs>
        <w:ind w:firstLine="210"/>
        <w:rPr>
          <w:rFonts w:ascii="Times New Roman" w:hAnsi="Times New Roman"/>
          <w:b/>
          <w:bCs/>
        </w:rPr>
      </w:pPr>
      <w:r>
        <w:fldChar w:fldCharType="begin"/>
      </w:r>
      <w:r>
        <w:instrText xml:space="preserve"> HYPERLINK \l "_Toc20166" </w:instrText>
      </w:r>
      <w:r>
        <w:fldChar w:fldCharType="separate"/>
      </w:r>
      <w:r>
        <w:rPr>
          <w:rFonts w:ascii="Times New Roman" w:hAnsi="Times New Roman" w:eastAsia="黑体"/>
          <w:b/>
          <w:bCs/>
          <w:szCs w:val="30"/>
        </w:rPr>
        <w:t xml:space="preserve">7.3 </w:t>
      </w:r>
      <w:r>
        <w:rPr>
          <w:rFonts w:ascii="Times New Roman" w:hAnsi="Times New Roman"/>
          <w:b/>
          <w:bCs/>
        </w:rPr>
        <w:t>环境风险潜势初判</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_Toc20166 \h </w:instrText>
      </w:r>
      <w:r>
        <w:rPr>
          <w:rFonts w:ascii="Times New Roman" w:hAnsi="Times New Roman"/>
          <w:b/>
          <w:bCs/>
        </w:rPr>
        <w:fldChar w:fldCharType="separate"/>
      </w:r>
      <w:r>
        <w:rPr>
          <w:rFonts w:ascii="Times New Roman" w:hAnsi="Times New Roman"/>
          <w:b/>
          <w:bCs/>
        </w:rPr>
        <w:t>362</w:t>
      </w:r>
      <w:r>
        <w:rPr>
          <w:rFonts w:ascii="Times New Roman" w:hAnsi="Times New Roman"/>
          <w:b/>
          <w:bCs/>
        </w:rPr>
        <w:fldChar w:fldCharType="end"/>
      </w:r>
      <w:r>
        <w:rPr>
          <w:rFonts w:ascii="Times New Roman" w:hAnsi="Times New Roman"/>
          <w:b/>
          <w:bCs/>
        </w:rPr>
        <w:fldChar w:fldCharType="end"/>
      </w:r>
    </w:p>
    <w:p w14:paraId="7BFBD313">
      <w:pPr>
        <w:pStyle w:val="54"/>
        <w:tabs>
          <w:tab w:val="right" w:leader="dot" w:pos="8306"/>
        </w:tabs>
        <w:ind w:firstLine="210"/>
        <w:rPr>
          <w:rFonts w:ascii="Times New Roman" w:hAnsi="Times New Roman"/>
          <w:b/>
          <w:bCs/>
        </w:rPr>
      </w:pPr>
      <w:r>
        <w:fldChar w:fldCharType="begin"/>
      </w:r>
      <w:r>
        <w:instrText xml:space="preserve"> HYPERLINK \l "_Toc14761" </w:instrText>
      </w:r>
      <w:r>
        <w:fldChar w:fldCharType="separate"/>
      </w:r>
      <w:r>
        <w:rPr>
          <w:rFonts w:ascii="Times New Roman" w:hAnsi="Times New Roman" w:eastAsia="黑体"/>
          <w:b/>
          <w:bCs/>
          <w:szCs w:val="30"/>
        </w:rPr>
        <w:t xml:space="preserve">7.4 </w:t>
      </w:r>
      <w:r>
        <w:rPr>
          <w:rFonts w:ascii="Times New Roman" w:hAnsi="Times New Roman"/>
          <w:b/>
          <w:bCs/>
        </w:rPr>
        <w:t>评价等级及评价范围</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_Toc14761 \h </w:instrText>
      </w:r>
      <w:r>
        <w:rPr>
          <w:rFonts w:ascii="Times New Roman" w:hAnsi="Times New Roman"/>
          <w:b/>
          <w:bCs/>
        </w:rPr>
        <w:fldChar w:fldCharType="separate"/>
      </w:r>
      <w:r>
        <w:rPr>
          <w:rFonts w:ascii="Times New Roman" w:hAnsi="Times New Roman"/>
          <w:b/>
          <w:bCs/>
        </w:rPr>
        <w:t>369</w:t>
      </w:r>
      <w:r>
        <w:rPr>
          <w:rFonts w:ascii="Times New Roman" w:hAnsi="Times New Roman"/>
          <w:b/>
          <w:bCs/>
        </w:rPr>
        <w:fldChar w:fldCharType="end"/>
      </w:r>
      <w:r>
        <w:rPr>
          <w:rFonts w:ascii="Times New Roman" w:hAnsi="Times New Roman"/>
          <w:b/>
          <w:bCs/>
        </w:rPr>
        <w:fldChar w:fldCharType="end"/>
      </w:r>
    </w:p>
    <w:p w14:paraId="06DD8534">
      <w:pPr>
        <w:pStyle w:val="54"/>
        <w:tabs>
          <w:tab w:val="right" w:leader="dot" w:pos="8306"/>
        </w:tabs>
        <w:ind w:firstLine="210"/>
        <w:rPr>
          <w:rFonts w:ascii="Times New Roman" w:hAnsi="Times New Roman"/>
          <w:b/>
          <w:bCs/>
        </w:rPr>
      </w:pPr>
      <w:r>
        <w:fldChar w:fldCharType="begin"/>
      </w:r>
      <w:r>
        <w:instrText xml:space="preserve"> HYPERLINK \l "_Toc31731" </w:instrText>
      </w:r>
      <w:r>
        <w:fldChar w:fldCharType="separate"/>
      </w:r>
      <w:r>
        <w:rPr>
          <w:rFonts w:ascii="Times New Roman" w:hAnsi="Times New Roman" w:eastAsia="黑体"/>
          <w:b/>
          <w:bCs/>
          <w:szCs w:val="30"/>
        </w:rPr>
        <w:t xml:space="preserve">7.5 </w:t>
      </w:r>
      <w:r>
        <w:rPr>
          <w:rFonts w:ascii="Times New Roman" w:hAnsi="Times New Roman"/>
          <w:b/>
          <w:bCs/>
        </w:rPr>
        <w:t>环境风险识别</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_Toc31731 \h </w:instrText>
      </w:r>
      <w:r>
        <w:rPr>
          <w:rFonts w:ascii="Times New Roman" w:hAnsi="Times New Roman"/>
          <w:b/>
          <w:bCs/>
        </w:rPr>
        <w:fldChar w:fldCharType="separate"/>
      </w:r>
      <w:r>
        <w:rPr>
          <w:rFonts w:ascii="Times New Roman" w:hAnsi="Times New Roman"/>
          <w:b/>
          <w:bCs/>
        </w:rPr>
        <w:t>370</w:t>
      </w:r>
      <w:r>
        <w:rPr>
          <w:rFonts w:ascii="Times New Roman" w:hAnsi="Times New Roman"/>
          <w:b/>
          <w:bCs/>
        </w:rPr>
        <w:fldChar w:fldCharType="end"/>
      </w:r>
      <w:r>
        <w:rPr>
          <w:rFonts w:ascii="Times New Roman" w:hAnsi="Times New Roman"/>
          <w:b/>
          <w:bCs/>
        </w:rPr>
        <w:fldChar w:fldCharType="end"/>
      </w:r>
    </w:p>
    <w:p w14:paraId="7B4BD4C2">
      <w:pPr>
        <w:pStyle w:val="54"/>
        <w:tabs>
          <w:tab w:val="right" w:leader="dot" w:pos="8306"/>
        </w:tabs>
        <w:ind w:firstLine="210"/>
        <w:rPr>
          <w:rFonts w:ascii="Times New Roman" w:hAnsi="Times New Roman"/>
          <w:b/>
          <w:bCs/>
        </w:rPr>
      </w:pPr>
      <w:r>
        <w:fldChar w:fldCharType="begin"/>
      </w:r>
      <w:r>
        <w:instrText xml:space="preserve"> HYPERLINK \l "_Toc8551" </w:instrText>
      </w:r>
      <w:r>
        <w:fldChar w:fldCharType="separate"/>
      </w:r>
      <w:r>
        <w:rPr>
          <w:rFonts w:ascii="Times New Roman" w:hAnsi="Times New Roman" w:eastAsia="黑体"/>
          <w:b/>
          <w:bCs/>
          <w:szCs w:val="30"/>
        </w:rPr>
        <w:t xml:space="preserve">7.6 </w:t>
      </w:r>
      <w:r>
        <w:rPr>
          <w:rFonts w:ascii="Times New Roman" w:hAnsi="Times New Roman"/>
          <w:b/>
          <w:bCs/>
        </w:rPr>
        <w:t>风险事故情形分析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_Toc8551 \h </w:instrText>
      </w:r>
      <w:r>
        <w:rPr>
          <w:rFonts w:ascii="Times New Roman" w:hAnsi="Times New Roman"/>
          <w:b/>
          <w:bCs/>
        </w:rPr>
        <w:fldChar w:fldCharType="separate"/>
      </w:r>
      <w:r>
        <w:rPr>
          <w:rFonts w:ascii="Times New Roman" w:hAnsi="Times New Roman"/>
          <w:b/>
          <w:bCs/>
        </w:rPr>
        <w:t>377</w:t>
      </w:r>
      <w:r>
        <w:rPr>
          <w:rFonts w:ascii="Times New Roman" w:hAnsi="Times New Roman"/>
          <w:b/>
          <w:bCs/>
        </w:rPr>
        <w:fldChar w:fldCharType="end"/>
      </w:r>
      <w:r>
        <w:rPr>
          <w:rFonts w:ascii="Times New Roman" w:hAnsi="Times New Roman"/>
          <w:b/>
          <w:bCs/>
        </w:rPr>
        <w:fldChar w:fldCharType="end"/>
      </w:r>
    </w:p>
    <w:p w14:paraId="272E1183">
      <w:pPr>
        <w:pStyle w:val="54"/>
        <w:tabs>
          <w:tab w:val="right" w:leader="dot" w:pos="8306"/>
        </w:tabs>
        <w:ind w:firstLine="210"/>
        <w:rPr>
          <w:rFonts w:ascii="Times New Roman" w:hAnsi="Times New Roman"/>
          <w:b/>
          <w:bCs/>
        </w:rPr>
      </w:pPr>
      <w:r>
        <w:fldChar w:fldCharType="begin"/>
      </w:r>
      <w:r>
        <w:instrText xml:space="preserve"> HYPERLINK \l "_Toc4671" </w:instrText>
      </w:r>
      <w:r>
        <w:fldChar w:fldCharType="separate"/>
      </w:r>
      <w:r>
        <w:rPr>
          <w:rFonts w:ascii="Times New Roman" w:hAnsi="Times New Roman" w:eastAsia="黑体"/>
          <w:b/>
          <w:bCs/>
          <w:szCs w:val="30"/>
        </w:rPr>
        <w:t xml:space="preserve">7.7 </w:t>
      </w:r>
      <w:r>
        <w:rPr>
          <w:rFonts w:ascii="Times New Roman" w:hAnsi="Times New Roman"/>
          <w:b/>
          <w:bCs/>
        </w:rPr>
        <w:t>环境风险事故预测与评价</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_Toc4671 \h </w:instrText>
      </w:r>
      <w:r>
        <w:rPr>
          <w:rFonts w:ascii="Times New Roman" w:hAnsi="Times New Roman"/>
          <w:b/>
          <w:bCs/>
        </w:rPr>
        <w:fldChar w:fldCharType="separate"/>
      </w:r>
      <w:r>
        <w:rPr>
          <w:rFonts w:ascii="Times New Roman" w:hAnsi="Times New Roman"/>
          <w:b/>
          <w:bCs/>
        </w:rPr>
        <w:t>383</w:t>
      </w:r>
      <w:r>
        <w:rPr>
          <w:rFonts w:ascii="Times New Roman" w:hAnsi="Times New Roman"/>
          <w:b/>
          <w:bCs/>
        </w:rPr>
        <w:fldChar w:fldCharType="end"/>
      </w:r>
      <w:r>
        <w:rPr>
          <w:rFonts w:ascii="Times New Roman" w:hAnsi="Times New Roman"/>
          <w:b/>
          <w:bCs/>
        </w:rPr>
        <w:fldChar w:fldCharType="end"/>
      </w:r>
    </w:p>
    <w:p w14:paraId="2D628BF5">
      <w:pPr>
        <w:pStyle w:val="54"/>
        <w:tabs>
          <w:tab w:val="right" w:leader="dot" w:pos="8306"/>
        </w:tabs>
        <w:ind w:firstLine="210"/>
        <w:rPr>
          <w:rFonts w:ascii="Times New Roman" w:hAnsi="Times New Roman"/>
          <w:b/>
          <w:bCs/>
        </w:rPr>
      </w:pPr>
      <w:r>
        <w:fldChar w:fldCharType="begin"/>
      </w:r>
      <w:r>
        <w:instrText xml:space="preserve"> HYPERLINK \l "_Toc27017" </w:instrText>
      </w:r>
      <w:r>
        <w:fldChar w:fldCharType="separate"/>
      </w:r>
      <w:r>
        <w:rPr>
          <w:rFonts w:ascii="Times New Roman" w:hAnsi="Times New Roman" w:eastAsia="黑体"/>
          <w:b/>
          <w:bCs/>
          <w:szCs w:val="30"/>
        </w:rPr>
        <w:t xml:space="preserve">7.8 </w:t>
      </w:r>
      <w:r>
        <w:rPr>
          <w:rFonts w:ascii="Times New Roman" w:hAnsi="Times New Roman"/>
          <w:b/>
          <w:bCs/>
        </w:rPr>
        <w:t>环境风险管理</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_Toc27017 \h </w:instrText>
      </w:r>
      <w:r>
        <w:rPr>
          <w:rFonts w:ascii="Times New Roman" w:hAnsi="Times New Roman"/>
          <w:b/>
          <w:bCs/>
        </w:rPr>
        <w:fldChar w:fldCharType="separate"/>
      </w:r>
      <w:r>
        <w:rPr>
          <w:rFonts w:ascii="Times New Roman" w:hAnsi="Times New Roman"/>
          <w:b/>
          <w:bCs/>
        </w:rPr>
        <w:t>393</w:t>
      </w:r>
      <w:r>
        <w:rPr>
          <w:rFonts w:ascii="Times New Roman" w:hAnsi="Times New Roman"/>
          <w:b/>
          <w:bCs/>
        </w:rPr>
        <w:fldChar w:fldCharType="end"/>
      </w:r>
      <w:r>
        <w:rPr>
          <w:rFonts w:ascii="Times New Roman" w:hAnsi="Times New Roman"/>
          <w:b/>
          <w:bCs/>
        </w:rPr>
        <w:fldChar w:fldCharType="end"/>
      </w:r>
    </w:p>
    <w:p w14:paraId="38A006C7">
      <w:pPr>
        <w:pStyle w:val="54"/>
        <w:tabs>
          <w:tab w:val="right" w:leader="dot" w:pos="8306"/>
        </w:tabs>
        <w:ind w:firstLine="210"/>
        <w:rPr>
          <w:rFonts w:ascii="Times New Roman" w:hAnsi="Times New Roman"/>
          <w:b/>
          <w:bCs/>
        </w:rPr>
      </w:pPr>
      <w:r>
        <w:fldChar w:fldCharType="begin"/>
      </w:r>
      <w:r>
        <w:instrText xml:space="preserve"> HYPERLINK \l "_Toc15845" </w:instrText>
      </w:r>
      <w:r>
        <w:fldChar w:fldCharType="separate"/>
      </w:r>
      <w:r>
        <w:rPr>
          <w:rFonts w:ascii="Times New Roman" w:hAnsi="Times New Roman" w:eastAsia="黑体"/>
          <w:b/>
          <w:bCs/>
          <w:szCs w:val="30"/>
        </w:rPr>
        <w:t xml:space="preserve">7.9 </w:t>
      </w:r>
      <w:r>
        <w:rPr>
          <w:rFonts w:ascii="Times New Roman" w:hAnsi="Times New Roman"/>
          <w:b/>
          <w:bCs/>
        </w:rPr>
        <w:t>突发环境事件应急预案</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_Toc15845 \h </w:instrText>
      </w:r>
      <w:r>
        <w:rPr>
          <w:rFonts w:ascii="Times New Roman" w:hAnsi="Times New Roman"/>
          <w:b/>
          <w:bCs/>
        </w:rPr>
        <w:fldChar w:fldCharType="separate"/>
      </w:r>
      <w:r>
        <w:rPr>
          <w:rFonts w:ascii="Times New Roman" w:hAnsi="Times New Roman"/>
          <w:b/>
          <w:bCs/>
        </w:rPr>
        <w:t>415</w:t>
      </w:r>
      <w:r>
        <w:rPr>
          <w:rFonts w:ascii="Times New Roman" w:hAnsi="Times New Roman"/>
          <w:b/>
          <w:bCs/>
        </w:rPr>
        <w:fldChar w:fldCharType="end"/>
      </w:r>
      <w:r>
        <w:rPr>
          <w:rFonts w:ascii="Times New Roman" w:hAnsi="Times New Roman"/>
          <w:b/>
          <w:bCs/>
        </w:rPr>
        <w:fldChar w:fldCharType="end"/>
      </w:r>
    </w:p>
    <w:p w14:paraId="6E30D2C9">
      <w:pPr>
        <w:pStyle w:val="54"/>
        <w:tabs>
          <w:tab w:val="right" w:leader="dot" w:pos="8306"/>
        </w:tabs>
        <w:ind w:firstLine="210"/>
        <w:rPr>
          <w:rFonts w:ascii="Times New Roman" w:hAnsi="Times New Roman"/>
          <w:b/>
          <w:bCs/>
        </w:rPr>
      </w:pPr>
      <w:r>
        <w:fldChar w:fldCharType="begin"/>
      </w:r>
      <w:r>
        <w:instrText xml:space="preserve"> HYPERLINK \l "_Toc27413" </w:instrText>
      </w:r>
      <w:r>
        <w:fldChar w:fldCharType="separate"/>
      </w:r>
      <w:r>
        <w:rPr>
          <w:rFonts w:ascii="Times New Roman" w:hAnsi="Times New Roman" w:eastAsia="黑体"/>
          <w:b/>
          <w:bCs/>
          <w:szCs w:val="30"/>
        </w:rPr>
        <w:t xml:space="preserve">7.10 </w:t>
      </w:r>
      <w:r>
        <w:rPr>
          <w:rFonts w:ascii="Times New Roman" w:hAnsi="Times New Roman"/>
          <w:b/>
          <w:bCs/>
        </w:rPr>
        <w:t>环境风险评价自查表</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_Toc27413 \h </w:instrText>
      </w:r>
      <w:r>
        <w:rPr>
          <w:rFonts w:ascii="Times New Roman" w:hAnsi="Times New Roman"/>
          <w:b/>
          <w:bCs/>
        </w:rPr>
        <w:fldChar w:fldCharType="separate"/>
      </w:r>
      <w:r>
        <w:rPr>
          <w:rFonts w:ascii="Times New Roman" w:hAnsi="Times New Roman"/>
          <w:b/>
          <w:bCs/>
        </w:rPr>
        <w:t>423</w:t>
      </w:r>
      <w:r>
        <w:rPr>
          <w:rFonts w:ascii="Times New Roman" w:hAnsi="Times New Roman"/>
          <w:b/>
          <w:bCs/>
        </w:rPr>
        <w:fldChar w:fldCharType="end"/>
      </w:r>
      <w:r>
        <w:rPr>
          <w:rFonts w:ascii="Times New Roman" w:hAnsi="Times New Roman"/>
          <w:b/>
          <w:bCs/>
        </w:rPr>
        <w:fldChar w:fldCharType="end"/>
      </w:r>
    </w:p>
    <w:p w14:paraId="621368B2">
      <w:pPr>
        <w:pStyle w:val="42"/>
        <w:tabs>
          <w:tab w:val="right" w:leader="dot" w:pos="8306"/>
          <w:tab w:val="clear" w:pos="8296"/>
        </w:tabs>
        <w:rPr>
          <w:rFonts w:ascii="Times New Roman" w:hAnsi="Times New Roman"/>
          <w:b/>
          <w:bCs/>
        </w:rPr>
      </w:pPr>
      <w:r>
        <w:fldChar w:fldCharType="begin"/>
      </w:r>
      <w:r>
        <w:instrText xml:space="preserve"> HYPERLINK \l "_Toc31210" </w:instrText>
      </w:r>
      <w:r>
        <w:fldChar w:fldCharType="separate"/>
      </w:r>
      <w:r>
        <w:rPr>
          <w:rFonts w:ascii="Times New Roman" w:hAnsi="Times New Roman"/>
          <w:b/>
          <w:bCs/>
          <w:szCs w:val="48"/>
        </w:rPr>
        <w:t xml:space="preserve">第8章 </w:t>
      </w:r>
      <w:r>
        <w:rPr>
          <w:rFonts w:ascii="Times New Roman" w:hAnsi="Times New Roman"/>
          <w:b/>
          <w:bCs/>
        </w:rPr>
        <w:t>产业政策及选址合理性分析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_Toc31210 \h </w:instrText>
      </w:r>
      <w:r>
        <w:rPr>
          <w:rFonts w:ascii="Times New Roman" w:hAnsi="Times New Roman"/>
          <w:b/>
          <w:bCs/>
        </w:rPr>
        <w:fldChar w:fldCharType="separate"/>
      </w:r>
      <w:r>
        <w:rPr>
          <w:rFonts w:ascii="Times New Roman" w:hAnsi="Times New Roman"/>
          <w:b/>
          <w:bCs/>
        </w:rPr>
        <w:t>426</w:t>
      </w:r>
      <w:r>
        <w:rPr>
          <w:rFonts w:ascii="Times New Roman" w:hAnsi="Times New Roman"/>
          <w:b/>
          <w:bCs/>
        </w:rPr>
        <w:fldChar w:fldCharType="end"/>
      </w:r>
      <w:r>
        <w:rPr>
          <w:rFonts w:ascii="Times New Roman" w:hAnsi="Times New Roman"/>
          <w:b/>
          <w:bCs/>
        </w:rPr>
        <w:fldChar w:fldCharType="end"/>
      </w:r>
    </w:p>
    <w:p w14:paraId="1DA46249">
      <w:pPr>
        <w:pStyle w:val="54"/>
        <w:tabs>
          <w:tab w:val="right" w:leader="dot" w:pos="8306"/>
        </w:tabs>
        <w:ind w:firstLine="210"/>
        <w:rPr>
          <w:rFonts w:ascii="Times New Roman" w:hAnsi="Times New Roman"/>
          <w:b/>
          <w:bCs/>
        </w:rPr>
      </w:pPr>
      <w:r>
        <w:fldChar w:fldCharType="begin"/>
      </w:r>
      <w:r>
        <w:instrText xml:space="preserve"> HYPERLINK \l "_Toc2732" </w:instrText>
      </w:r>
      <w:r>
        <w:fldChar w:fldCharType="separate"/>
      </w:r>
      <w:r>
        <w:rPr>
          <w:rFonts w:ascii="Times New Roman" w:hAnsi="Times New Roman" w:eastAsia="黑体"/>
          <w:b/>
          <w:bCs/>
          <w:szCs w:val="30"/>
        </w:rPr>
        <w:t xml:space="preserve">8.1 </w:t>
      </w:r>
      <w:r>
        <w:rPr>
          <w:rFonts w:ascii="Times New Roman" w:hAnsi="Times New Roman"/>
          <w:b/>
          <w:bCs/>
        </w:rPr>
        <w:t>政策符合性分析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_Toc2732 \h </w:instrText>
      </w:r>
      <w:r>
        <w:rPr>
          <w:rFonts w:ascii="Times New Roman" w:hAnsi="Times New Roman"/>
          <w:b/>
          <w:bCs/>
        </w:rPr>
        <w:fldChar w:fldCharType="separate"/>
      </w:r>
      <w:r>
        <w:rPr>
          <w:rFonts w:ascii="Times New Roman" w:hAnsi="Times New Roman"/>
          <w:b/>
          <w:bCs/>
        </w:rPr>
        <w:t>426</w:t>
      </w:r>
      <w:r>
        <w:rPr>
          <w:rFonts w:ascii="Times New Roman" w:hAnsi="Times New Roman"/>
          <w:b/>
          <w:bCs/>
        </w:rPr>
        <w:fldChar w:fldCharType="end"/>
      </w:r>
      <w:r>
        <w:rPr>
          <w:rFonts w:ascii="Times New Roman" w:hAnsi="Times New Roman"/>
          <w:b/>
          <w:bCs/>
        </w:rPr>
        <w:fldChar w:fldCharType="end"/>
      </w:r>
    </w:p>
    <w:p w14:paraId="465B5A65">
      <w:pPr>
        <w:pStyle w:val="54"/>
        <w:tabs>
          <w:tab w:val="right" w:leader="dot" w:pos="8306"/>
        </w:tabs>
        <w:ind w:firstLine="210"/>
        <w:rPr>
          <w:rFonts w:ascii="Times New Roman" w:hAnsi="Times New Roman"/>
          <w:b/>
          <w:bCs/>
        </w:rPr>
      </w:pPr>
      <w:r>
        <w:fldChar w:fldCharType="begin"/>
      </w:r>
      <w:r>
        <w:instrText xml:space="preserve"> HYPERLINK \l "_Toc24406" </w:instrText>
      </w:r>
      <w:r>
        <w:fldChar w:fldCharType="separate"/>
      </w:r>
      <w:r>
        <w:rPr>
          <w:rFonts w:ascii="Times New Roman" w:hAnsi="Times New Roman" w:eastAsia="黑体"/>
          <w:b/>
          <w:bCs/>
          <w:szCs w:val="30"/>
        </w:rPr>
        <w:t xml:space="preserve">8.2 </w:t>
      </w:r>
      <w:r>
        <w:rPr>
          <w:rFonts w:ascii="Times New Roman" w:hAnsi="Times New Roman"/>
          <w:b/>
          <w:bCs/>
        </w:rPr>
        <w:t>规划符合性分析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_Toc24406 \h </w:instrText>
      </w:r>
      <w:r>
        <w:rPr>
          <w:rFonts w:ascii="Times New Roman" w:hAnsi="Times New Roman"/>
          <w:b/>
          <w:bCs/>
        </w:rPr>
        <w:fldChar w:fldCharType="separate"/>
      </w:r>
      <w:r>
        <w:rPr>
          <w:rFonts w:ascii="Times New Roman" w:hAnsi="Times New Roman"/>
          <w:b/>
          <w:bCs/>
        </w:rPr>
        <w:t>458</w:t>
      </w:r>
      <w:r>
        <w:rPr>
          <w:rFonts w:ascii="Times New Roman" w:hAnsi="Times New Roman"/>
          <w:b/>
          <w:bCs/>
        </w:rPr>
        <w:fldChar w:fldCharType="end"/>
      </w:r>
      <w:r>
        <w:rPr>
          <w:rFonts w:ascii="Times New Roman" w:hAnsi="Times New Roman"/>
          <w:b/>
          <w:bCs/>
        </w:rPr>
        <w:fldChar w:fldCharType="end"/>
      </w:r>
    </w:p>
    <w:p w14:paraId="39A7A04B">
      <w:pPr>
        <w:pStyle w:val="54"/>
        <w:tabs>
          <w:tab w:val="right" w:leader="dot" w:pos="8306"/>
        </w:tabs>
        <w:ind w:firstLine="210"/>
        <w:rPr>
          <w:rFonts w:ascii="Times New Roman" w:hAnsi="Times New Roman"/>
          <w:b/>
          <w:bCs/>
        </w:rPr>
      </w:pPr>
      <w:r>
        <w:fldChar w:fldCharType="begin"/>
      </w:r>
      <w:r>
        <w:instrText xml:space="preserve"> HYPERLINK \l "_Toc20600" </w:instrText>
      </w:r>
      <w:r>
        <w:fldChar w:fldCharType="separate"/>
      </w:r>
      <w:r>
        <w:rPr>
          <w:rFonts w:ascii="Times New Roman" w:hAnsi="Times New Roman" w:eastAsia="黑体"/>
          <w:b/>
          <w:bCs/>
          <w:szCs w:val="30"/>
        </w:rPr>
        <w:t xml:space="preserve">8.3 </w:t>
      </w:r>
      <w:r>
        <w:rPr>
          <w:rFonts w:ascii="Times New Roman" w:hAnsi="Times New Roman"/>
          <w:b/>
          <w:bCs/>
        </w:rPr>
        <w:t>与“三线一单”的符合性</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_Toc20600 \h </w:instrText>
      </w:r>
      <w:r>
        <w:rPr>
          <w:rFonts w:ascii="Times New Roman" w:hAnsi="Times New Roman"/>
          <w:b/>
          <w:bCs/>
        </w:rPr>
        <w:fldChar w:fldCharType="separate"/>
      </w:r>
      <w:r>
        <w:rPr>
          <w:rFonts w:ascii="Times New Roman" w:hAnsi="Times New Roman"/>
          <w:b/>
          <w:bCs/>
        </w:rPr>
        <w:t>465</w:t>
      </w:r>
      <w:r>
        <w:rPr>
          <w:rFonts w:ascii="Times New Roman" w:hAnsi="Times New Roman"/>
          <w:b/>
          <w:bCs/>
        </w:rPr>
        <w:fldChar w:fldCharType="end"/>
      </w:r>
      <w:r>
        <w:rPr>
          <w:rFonts w:ascii="Times New Roman" w:hAnsi="Times New Roman"/>
          <w:b/>
          <w:bCs/>
        </w:rPr>
        <w:fldChar w:fldCharType="end"/>
      </w:r>
    </w:p>
    <w:p w14:paraId="6EBD41A6">
      <w:pPr>
        <w:pStyle w:val="54"/>
        <w:tabs>
          <w:tab w:val="right" w:leader="dot" w:pos="8306"/>
        </w:tabs>
        <w:ind w:firstLine="210"/>
        <w:rPr>
          <w:rFonts w:ascii="Times New Roman" w:hAnsi="Times New Roman"/>
          <w:b/>
          <w:bCs/>
        </w:rPr>
      </w:pPr>
      <w:r>
        <w:fldChar w:fldCharType="begin"/>
      </w:r>
      <w:r>
        <w:instrText xml:space="preserve"> HYPERLINK \l "_Toc25572" </w:instrText>
      </w:r>
      <w:r>
        <w:fldChar w:fldCharType="separate"/>
      </w:r>
      <w:r>
        <w:rPr>
          <w:rFonts w:ascii="Times New Roman" w:hAnsi="Times New Roman" w:eastAsia="黑体"/>
          <w:b/>
          <w:bCs/>
          <w:szCs w:val="30"/>
        </w:rPr>
        <w:t xml:space="preserve">8.4 </w:t>
      </w:r>
      <w:r>
        <w:rPr>
          <w:rFonts w:ascii="Times New Roman" w:hAnsi="Times New Roman"/>
          <w:b/>
          <w:bCs/>
        </w:rPr>
        <w:t>园区规划和规划环评符合性分析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_Toc25572 \h </w:instrText>
      </w:r>
      <w:r>
        <w:rPr>
          <w:rFonts w:ascii="Times New Roman" w:hAnsi="Times New Roman"/>
          <w:b/>
          <w:bCs/>
        </w:rPr>
        <w:fldChar w:fldCharType="separate"/>
      </w:r>
      <w:r>
        <w:rPr>
          <w:rFonts w:ascii="Times New Roman" w:hAnsi="Times New Roman"/>
          <w:b/>
          <w:bCs/>
        </w:rPr>
        <w:t>470</w:t>
      </w:r>
      <w:r>
        <w:rPr>
          <w:rFonts w:ascii="Times New Roman" w:hAnsi="Times New Roman"/>
          <w:b/>
          <w:bCs/>
        </w:rPr>
        <w:fldChar w:fldCharType="end"/>
      </w:r>
      <w:r>
        <w:rPr>
          <w:rFonts w:ascii="Times New Roman" w:hAnsi="Times New Roman"/>
          <w:b/>
          <w:bCs/>
        </w:rPr>
        <w:fldChar w:fldCharType="end"/>
      </w:r>
    </w:p>
    <w:p w14:paraId="6D8C666D">
      <w:pPr>
        <w:pStyle w:val="54"/>
        <w:tabs>
          <w:tab w:val="right" w:leader="dot" w:pos="8306"/>
        </w:tabs>
        <w:ind w:firstLine="210"/>
        <w:rPr>
          <w:rFonts w:ascii="Times New Roman" w:hAnsi="Times New Roman"/>
          <w:b/>
          <w:bCs/>
        </w:rPr>
      </w:pPr>
      <w:r>
        <w:fldChar w:fldCharType="begin"/>
      </w:r>
      <w:r>
        <w:instrText xml:space="preserve"> HYPERLINK \l "_Toc6297" </w:instrText>
      </w:r>
      <w:r>
        <w:fldChar w:fldCharType="separate"/>
      </w:r>
      <w:r>
        <w:rPr>
          <w:rFonts w:ascii="Times New Roman" w:hAnsi="Times New Roman" w:eastAsia="黑体"/>
          <w:b/>
          <w:bCs/>
          <w:szCs w:val="30"/>
        </w:rPr>
        <w:t xml:space="preserve">8.5 </w:t>
      </w:r>
      <w:r>
        <w:rPr>
          <w:rFonts w:ascii="Times New Roman" w:hAnsi="Times New Roman"/>
          <w:b/>
          <w:bCs/>
        </w:rPr>
        <w:t>选址合理性分析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_Toc6297 \h </w:instrText>
      </w:r>
      <w:r>
        <w:rPr>
          <w:rFonts w:ascii="Times New Roman" w:hAnsi="Times New Roman"/>
          <w:b/>
          <w:bCs/>
        </w:rPr>
        <w:fldChar w:fldCharType="separate"/>
      </w:r>
      <w:r>
        <w:rPr>
          <w:rFonts w:ascii="Times New Roman" w:hAnsi="Times New Roman"/>
          <w:b/>
          <w:bCs/>
        </w:rPr>
        <w:t>476</w:t>
      </w:r>
      <w:r>
        <w:rPr>
          <w:rFonts w:ascii="Times New Roman" w:hAnsi="Times New Roman"/>
          <w:b/>
          <w:bCs/>
        </w:rPr>
        <w:fldChar w:fldCharType="end"/>
      </w:r>
      <w:r>
        <w:rPr>
          <w:rFonts w:ascii="Times New Roman" w:hAnsi="Times New Roman"/>
          <w:b/>
          <w:bCs/>
        </w:rPr>
        <w:fldChar w:fldCharType="end"/>
      </w:r>
    </w:p>
    <w:p w14:paraId="3E425DCE">
      <w:pPr>
        <w:pStyle w:val="54"/>
        <w:tabs>
          <w:tab w:val="right" w:leader="dot" w:pos="8306"/>
        </w:tabs>
        <w:ind w:firstLine="210"/>
        <w:rPr>
          <w:rFonts w:ascii="Times New Roman" w:hAnsi="Times New Roman"/>
          <w:b/>
          <w:bCs/>
        </w:rPr>
      </w:pPr>
      <w:r>
        <w:fldChar w:fldCharType="begin"/>
      </w:r>
      <w:r>
        <w:instrText xml:space="preserve"> HYPERLINK \l "_Toc829" </w:instrText>
      </w:r>
      <w:r>
        <w:fldChar w:fldCharType="separate"/>
      </w:r>
      <w:r>
        <w:rPr>
          <w:rFonts w:ascii="Times New Roman" w:hAnsi="Times New Roman" w:eastAsia="黑体"/>
          <w:b/>
          <w:bCs/>
          <w:szCs w:val="30"/>
        </w:rPr>
        <w:t xml:space="preserve">8.6 </w:t>
      </w:r>
      <w:r>
        <w:rPr>
          <w:rFonts w:ascii="Times New Roman" w:hAnsi="Times New Roman"/>
          <w:b/>
          <w:bCs/>
        </w:rPr>
        <w:t>小结</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_Toc829 \h </w:instrText>
      </w:r>
      <w:r>
        <w:rPr>
          <w:rFonts w:ascii="Times New Roman" w:hAnsi="Times New Roman"/>
          <w:b/>
          <w:bCs/>
        </w:rPr>
        <w:fldChar w:fldCharType="separate"/>
      </w:r>
      <w:r>
        <w:rPr>
          <w:rFonts w:ascii="Times New Roman" w:hAnsi="Times New Roman"/>
          <w:b/>
          <w:bCs/>
        </w:rPr>
        <w:t>478</w:t>
      </w:r>
      <w:r>
        <w:rPr>
          <w:rFonts w:ascii="Times New Roman" w:hAnsi="Times New Roman"/>
          <w:b/>
          <w:bCs/>
        </w:rPr>
        <w:fldChar w:fldCharType="end"/>
      </w:r>
      <w:r>
        <w:rPr>
          <w:rFonts w:ascii="Times New Roman" w:hAnsi="Times New Roman"/>
          <w:b/>
          <w:bCs/>
        </w:rPr>
        <w:fldChar w:fldCharType="end"/>
      </w:r>
    </w:p>
    <w:p w14:paraId="13158B92">
      <w:pPr>
        <w:pStyle w:val="42"/>
        <w:tabs>
          <w:tab w:val="right" w:leader="dot" w:pos="8306"/>
          <w:tab w:val="clear" w:pos="8296"/>
        </w:tabs>
        <w:rPr>
          <w:rFonts w:ascii="Times New Roman" w:hAnsi="Times New Roman"/>
          <w:b/>
          <w:bCs/>
        </w:rPr>
      </w:pPr>
      <w:r>
        <w:fldChar w:fldCharType="begin"/>
      </w:r>
      <w:r>
        <w:instrText xml:space="preserve"> HYPERLINK \l "_Toc26616" </w:instrText>
      </w:r>
      <w:r>
        <w:fldChar w:fldCharType="separate"/>
      </w:r>
      <w:r>
        <w:rPr>
          <w:rFonts w:ascii="Times New Roman" w:hAnsi="Times New Roman"/>
          <w:b/>
          <w:bCs/>
          <w:szCs w:val="48"/>
        </w:rPr>
        <w:t xml:space="preserve">第9章 </w:t>
      </w:r>
      <w:r>
        <w:rPr>
          <w:rFonts w:ascii="Times New Roman" w:hAnsi="Times New Roman"/>
          <w:b/>
          <w:bCs/>
        </w:rPr>
        <w:t>环境经济损益分析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_Toc26616 \h </w:instrText>
      </w:r>
      <w:r>
        <w:rPr>
          <w:rFonts w:ascii="Times New Roman" w:hAnsi="Times New Roman"/>
          <w:b/>
          <w:bCs/>
        </w:rPr>
        <w:fldChar w:fldCharType="separate"/>
      </w:r>
      <w:r>
        <w:rPr>
          <w:rFonts w:ascii="Times New Roman" w:hAnsi="Times New Roman"/>
          <w:b/>
          <w:bCs/>
        </w:rPr>
        <w:t>479</w:t>
      </w:r>
      <w:r>
        <w:rPr>
          <w:rFonts w:ascii="Times New Roman" w:hAnsi="Times New Roman"/>
          <w:b/>
          <w:bCs/>
        </w:rPr>
        <w:fldChar w:fldCharType="end"/>
      </w:r>
      <w:r>
        <w:rPr>
          <w:rFonts w:ascii="Times New Roman" w:hAnsi="Times New Roman"/>
          <w:b/>
          <w:bCs/>
        </w:rPr>
        <w:fldChar w:fldCharType="end"/>
      </w:r>
    </w:p>
    <w:p w14:paraId="3C980A73">
      <w:pPr>
        <w:pStyle w:val="54"/>
        <w:tabs>
          <w:tab w:val="right" w:leader="dot" w:pos="8306"/>
        </w:tabs>
        <w:ind w:firstLine="210"/>
        <w:rPr>
          <w:rFonts w:ascii="Times New Roman" w:hAnsi="Times New Roman"/>
          <w:b/>
          <w:bCs/>
        </w:rPr>
      </w:pPr>
      <w:r>
        <w:fldChar w:fldCharType="begin"/>
      </w:r>
      <w:r>
        <w:instrText xml:space="preserve"> HYPERLINK \l "_Toc20226" </w:instrText>
      </w:r>
      <w:r>
        <w:fldChar w:fldCharType="separate"/>
      </w:r>
      <w:r>
        <w:rPr>
          <w:rFonts w:ascii="Times New Roman" w:hAnsi="Times New Roman" w:eastAsia="黑体"/>
          <w:b/>
          <w:bCs/>
          <w:szCs w:val="30"/>
        </w:rPr>
        <w:t xml:space="preserve">9.1 </w:t>
      </w:r>
      <w:r>
        <w:rPr>
          <w:rFonts w:ascii="Times New Roman" w:hAnsi="Times New Roman"/>
          <w:b/>
          <w:bCs/>
        </w:rPr>
        <w:t>环保设施内容及投资估算</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_Toc20226 \h </w:instrText>
      </w:r>
      <w:r>
        <w:rPr>
          <w:rFonts w:ascii="Times New Roman" w:hAnsi="Times New Roman"/>
          <w:b/>
          <w:bCs/>
        </w:rPr>
        <w:fldChar w:fldCharType="separate"/>
      </w:r>
      <w:r>
        <w:rPr>
          <w:rFonts w:ascii="Times New Roman" w:hAnsi="Times New Roman"/>
          <w:b/>
          <w:bCs/>
        </w:rPr>
        <w:t>479</w:t>
      </w:r>
      <w:r>
        <w:rPr>
          <w:rFonts w:ascii="Times New Roman" w:hAnsi="Times New Roman"/>
          <w:b/>
          <w:bCs/>
        </w:rPr>
        <w:fldChar w:fldCharType="end"/>
      </w:r>
      <w:r>
        <w:rPr>
          <w:rFonts w:ascii="Times New Roman" w:hAnsi="Times New Roman"/>
          <w:b/>
          <w:bCs/>
        </w:rPr>
        <w:fldChar w:fldCharType="end"/>
      </w:r>
    </w:p>
    <w:p w14:paraId="2FD5B046">
      <w:pPr>
        <w:pStyle w:val="54"/>
        <w:tabs>
          <w:tab w:val="right" w:leader="dot" w:pos="8306"/>
        </w:tabs>
        <w:ind w:firstLine="210"/>
        <w:rPr>
          <w:rFonts w:ascii="Times New Roman" w:hAnsi="Times New Roman"/>
          <w:b/>
          <w:bCs/>
        </w:rPr>
      </w:pPr>
      <w:r>
        <w:fldChar w:fldCharType="begin"/>
      </w:r>
      <w:r>
        <w:instrText xml:space="preserve"> HYPERLINK \l "_Toc4260" </w:instrText>
      </w:r>
      <w:r>
        <w:fldChar w:fldCharType="separate"/>
      </w:r>
      <w:r>
        <w:rPr>
          <w:rFonts w:ascii="Times New Roman" w:hAnsi="Times New Roman" w:eastAsia="黑体"/>
          <w:b/>
          <w:bCs/>
          <w:szCs w:val="30"/>
        </w:rPr>
        <w:t xml:space="preserve">9.2 </w:t>
      </w:r>
      <w:r>
        <w:rPr>
          <w:rFonts w:ascii="Times New Roman" w:hAnsi="Times New Roman"/>
          <w:b/>
          <w:bCs/>
        </w:rPr>
        <w:t>环境经济损益分析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_Toc4260 \h </w:instrText>
      </w:r>
      <w:r>
        <w:rPr>
          <w:rFonts w:ascii="Times New Roman" w:hAnsi="Times New Roman"/>
          <w:b/>
          <w:bCs/>
        </w:rPr>
        <w:fldChar w:fldCharType="separate"/>
      </w:r>
      <w:r>
        <w:rPr>
          <w:rFonts w:ascii="Times New Roman" w:hAnsi="Times New Roman"/>
          <w:b/>
          <w:bCs/>
        </w:rPr>
        <w:t>480</w:t>
      </w:r>
      <w:r>
        <w:rPr>
          <w:rFonts w:ascii="Times New Roman" w:hAnsi="Times New Roman"/>
          <w:b/>
          <w:bCs/>
        </w:rPr>
        <w:fldChar w:fldCharType="end"/>
      </w:r>
      <w:r>
        <w:rPr>
          <w:rFonts w:ascii="Times New Roman" w:hAnsi="Times New Roman"/>
          <w:b/>
          <w:bCs/>
        </w:rPr>
        <w:fldChar w:fldCharType="end"/>
      </w:r>
    </w:p>
    <w:p w14:paraId="33D846BF">
      <w:pPr>
        <w:pStyle w:val="54"/>
        <w:tabs>
          <w:tab w:val="right" w:leader="dot" w:pos="8306"/>
        </w:tabs>
        <w:ind w:firstLine="210"/>
        <w:rPr>
          <w:rFonts w:ascii="Times New Roman" w:hAnsi="Times New Roman"/>
          <w:b/>
          <w:bCs/>
        </w:rPr>
      </w:pPr>
      <w:r>
        <w:fldChar w:fldCharType="begin"/>
      </w:r>
      <w:r>
        <w:instrText xml:space="preserve"> HYPERLINK \l "_Toc1072" </w:instrText>
      </w:r>
      <w:r>
        <w:fldChar w:fldCharType="separate"/>
      </w:r>
      <w:r>
        <w:rPr>
          <w:rFonts w:ascii="Times New Roman" w:hAnsi="Times New Roman" w:eastAsia="黑体"/>
          <w:b/>
          <w:bCs/>
          <w:szCs w:val="30"/>
        </w:rPr>
        <w:t xml:space="preserve">9.3 </w:t>
      </w:r>
      <w:r>
        <w:rPr>
          <w:rFonts w:ascii="Times New Roman" w:hAnsi="Times New Roman"/>
          <w:b/>
          <w:bCs/>
        </w:rPr>
        <w:t>小结</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_Toc1072 \h </w:instrText>
      </w:r>
      <w:r>
        <w:rPr>
          <w:rFonts w:ascii="Times New Roman" w:hAnsi="Times New Roman"/>
          <w:b/>
          <w:bCs/>
        </w:rPr>
        <w:fldChar w:fldCharType="separate"/>
      </w:r>
      <w:r>
        <w:rPr>
          <w:rFonts w:ascii="Times New Roman" w:hAnsi="Times New Roman"/>
          <w:b/>
          <w:bCs/>
        </w:rPr>
        <w:t>481</w:t>
      </w:r>
      <w:r>
        <w:rPr>
          <w:rFonts w:ascii="Times New Roman" w:hAnsi="Times New Roman"/>
          <w:b/>
          <w:bCs/>
        </w:rPr>
        <w:fldChar w:fldCharType="end"/>
      </w:r>
      <w:r>
        <w:rPr>
          <w:rFonts w:ascii="Times New Roman" w:hAnsi="Times New Roman"/>
          <w:b/>
          <w:bCs/>
        </w:rPr>
        <w:fldChar w:fldCharType="end"/>
      </w:r>
    </w:p>
    <w:p w14:paraId="0B1ED4A6">
      <w:pPr>
        <w:pStyle w:val="42"/>
        <w:tabs>
          <w:tab w:val="right" w:leader="dot" w:pos="8306"/>
          <w:tab w:val="clear" w:pos="8296"/>
        </w:tabs>
        <w:rPr>
          <w:rFonts w:ascii="Times New Roman" w:hAnsi="Times New Roman"/>
          <w:b/>
          <w:bCs/>
        </w:rPr>
      </w:pPr>
      <w:r>
        <w:fldChar w:fldCharType="begin"/>
      </w:r>
      <w:r>
        <w:instrText xml:space="preserve"> HYPERLINK \l "_Toc27172" </w:instrText>
      </w:r>
      <w:r>
        <w:fldChar w:fldCharType="separate"/>
      </w:r>
      <w:r>
        <w:rPr>
          <w:rFonts w:ascii="Times New Roman" w:hAnsi="Times New Roman"/>
          <w:b/>
          <w:bCs/>
          <w:szCs w:val="48"/>
        </w:rPr>
        <w:t xml:space="preserve">第10章 </w:t>
      </w:r>
      <w:r>
        <w:rPr>
          <w:rFonts w:ascii="Times New Roman" w:hAnsi="Times New Roman"/>
          <w:b/>
          <w:bCs/>
        </w:rPr>
        <w:t>环境管理与监测计划</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_Toc27172 \h </w:instrText>
      </w:r>
      <w:r>
        <w:rPr>
          <w:rFonts w:ascii="Times New Roman" w:hAnsi="Times New Roman"/>
          <w:b/>
          <w:bCs/>
        </w:rPr>
        <w:fldChar w:fldCharType="separate"/>
      </w:r>
      <w:r>
        <w:rPr>
          <w:rFonts w:ascii="Times New Roman" w:hAnsi="Times New Roman"/>
          <w:b/>
          <w:bCs/>
        </w:rPr>
        <w:t>482</w:t>
      </w:r>
      <w:r>
        <w:rPr>
          <w:rFonts w:ascii="Times New Roman" w:hAnsi="Times New Roman"/>
          <w:b/>
          <w:bCs/>
        </w:rPr>
        <w:fldChar w:fldCharType="end"/>
      </w:r>
      <w:r>
        <w:rPr>
          <w:rFonts w:ascii="Times New Roman" w:hAnsi="Times New Roman"/>
          <w:b/>
          <w:bCs/>
        </w:rPr>
        <w:fldChar w:fldCharType="end"/>
      </w:r>
    </w:p>
    <w:p w14:paraId="38D08DD1">
      <w:pPr>
        <w:pStyle w:val="54"/>
        <w:tabs>
          <w:tab w:val="right" w:leader="dot" w:pos="8306"/>
        </w:tabs>
        <w:ind w:firstLine="210"/>
        <w:rPr>
          <w:rFonts w:ascii="Times New Roman" w:hAnsi="Times New Roman"/>
          <w:b/>
          <w:bCs/>
        </w:rPr>
      </w:pPr>
      <w:r>
        <w:fldChar w:fldCharType="begin"/>
      </w:r>
      <w:r>
        <w:instrText xml:space="preserve"> HYPERLINK \l "_Toc30888" </w:instrText>
      </w:r>
      <w:r>
        <w:fldChar w:fldCharType="separate"/>
      </w:r>
      <w:r>
        <w:rPr>
          <w:rFonts w:ascii="Times New Roman" w:hAnsi="Times New Roman" w:eastAsia="黑体"/>
          <w:b/>
          <w:bCs/>
          <w:szCs w:val="30"/>
        </w:rPr>
        <w:t xml:space="preserve">10.1 </w:t>
      </w:r>
      <w:r>
        <w:rPr>
          <w:rFonts w:ascii="Times New Roman" w:hAnsi="Times New Roman"/>
          <w:b/>
          <w:bCs/>
        </w:rPr>
        <w:t>环境管理</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_Toc30888 \h </w:instrText>
      </w:r>
      <w:r>
        <w:rPr>
          <w:rFonts w:ascii="Times New Roman" w:hAnsi="Times New Roman"/>
          <w:b/>
          <w:bCs/>
        </w:rPr>
        <w:fldChar w:fldCharType="separate"/>
      </w:r>
      <w:r>
        <w:rPr>
          <w:rFonts w:ascii="Times New Roman" w:hAnsi="Times New Roman"/>
          <w:b/>
          <w:bCs/>
        </w:rPr>
        <w:t>482</w:t>
      </w:r>
      <w:r>
        <w:rPr>
          <w:rFonts w:ascii="Times New Roman" w:hAnsi="Times New Roman"/>
          <w:b/>
          <w:bCs/>
        </w:rPr>
        <w:fldChar w:fldCharType="end"/>
      </w:r>
      <w:r>
        <w:rPr>
          <w:rFonts w:ascii="Times New Roman" w:hAnsi="Times New Roman"/>
          <w:b/>
          <w:bCs/>
        </w:rPr>
        <w:fldChar w:fldCharType="end"/>
      </w:r>
    </w:p>
    <w:p w14:paraId="33DD5688">
      <w:pPr>
        <w:pStyle w:val="54"/>
        <w:tabs>
          <w:tab w:val="right" w:leader="dot" w:pos="8306"/>
        </w:tabs>
        <w:ind w:firstLine="210"/>
        <w:rPr>
          <w:rFonts w:ascii="Times New Roman" w:hAnsi="Times New Roman"/>
          <w:b/>
          <w:bCs/>
        </w:rPr>
      </w:pPr>
      <w:r>
        <w:fldChar w:fldCharType="begin"/>
      </w:r>
      <w:r>
        <w:instrText xml:space="preserve"> HYPERLINK \l "_Toc17774" </w:instrText>
      </w:r>
      <w:r>
        <w:fldChar w:fldCharType="separate"/>
      </w:r>
      <w:r>
        <w:rPr>
          <w:rFonts w:ascii="Times New Roman" w:hAnsi="Times New Roman" w:eastAsia="黑体"/>
          <w:b/>
          <w:bCs/>
          <w:szCs w:val="30"/>
        </w:rPr>
        <w:t xml:space="preserve">10.2 </w:t>
      </w:r>
      <w:r>
        <w:rPr>
          <w:rFonts w:ascii="Times New Roman" w:hAnsi="Times New Roman"/>
          <w:b/>
          <w:bCs/>
        </w:rPr>
        <w:t>污染源排放清单</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_Toc17774 \h </w:instrText>
      </w:r>
      <w:r>
        <w:rPr>
          <w:rFonts w:ascii="Times New Roman" w:hAnsi="Times New Roman"/>
          <w:b/>
          <w:bCs/>
        </w:rPr>
        <w:fldChar w:fldCharType="separate"/>
      </w:r>
      <w:r>
        <w:rPr>
          <w:rFonts w:ascii="Times New Roman" w:hAnsi="Times New Roman"/>
          <w:b/>
          <w:bCs/>
        </w:rPr>
        <w:t>495</w:t>
      </w:r>
      <w:r>
        <w:rPr>
          <w:rFonts w:ascii="Times New Roman" w:hAnsi="Times New Roman"/>
          <w:b/>
          <w:bCs/>
        </w:rPr>
        <w:fldChar w:fldCharType="end"/>
      </w:r>
      <w:r>
        <w:rPr>
          <w:rFonts w:ascii="Times New Roman" w:hAnsi="Times New Roman"/>
          <w:b/>
          <w:bCs/>
        </w:rPr>
        <w:fldChar w:fldCharType="end"/>
      </w:r>
    </w:p>
    <w:p w14:paraId="4D4D5D72">
      <w:pPr>
        <w:pStyle w:val="54"/>
        <w:tabs>
          <w:tab w:val="right" w:leader="dot" w:pos="8306"/>
        </w:tabs>
        <w:ind w:firstLine="210"/>
        <w:rPr>
          <w:rFonts w:ascii="Times New Roman" w:hAnsi="Times New Roman"/>
          <w:b/>
          <w:bCs/>
        </w:rPr>
      </w:pPr>
      <w:r>
        <w:fldChar w:fldCharType="begin"/>
      </w:r>
      <w:r>
        <w:instrText xml:space="preserve"> HYPERLINK \l "_Toc2520" </w:instrText>
      </w:r>
      <w:r>
        <w:fldChar w:fldCharType="separate"/>
      </w:r>
      <w:r>
        <w:rPr>
          <w:rFonts w:ascii="Times New Roman" w:hAnsi="Times New Roman" w:eastAsia="黑体"/>
          <w:b/>
          <w:bCs/>
          <w:szCs w:val="30"/>
        </w:rPr>
        <w:t xml:space="preserve">10.3 </w:t>
      </w:r>
      <w:r>
        <w:rPr>
          <w:rFonts w:ascii="Times New Roman" w:hAnsi="Times New Roman"/>
          <w:b/>
          <w:bCs/>
        </w:rPr>
        <w:t>环境监测计划</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_Toc2520 \h </w:instrText>
      </w:r>
      <w:r>
        <w:rPr>
          <w:rFonts w:ascii="Times New Roman" w:hAnsi="Times New Roman"/>
          <w:b/>
          <w:bCs/>
        </w:rPr>
        <w:fldChar w:fldCharType="separate"/>
      </w:r>
      <w:r>
        <w:rPr>
          <w:rFonts w:ascii="Times New Roman" w:hAnsi="Times New Roman"/>
          <w:b/>
          <w:bCs/>
        </w:rPr>
        <w:t>506</w:t>
      </w:r>
      <w:r>
        <w:rPr>
          <w:rFonts w:ascii="Times New Roman" w:hAnsi="Times New Roman"/>
          <w:b/>
          <w:bCs/>
        </w:rPr>
        <w:fldChar w:fldCharType="end"/>
      </w:r>
      <w:r>
        <w:rPr>
          <w:rFonts w:ascii="Times New Roman" w:hAnsi="Times New Roman"/>
          <w:b/>
          <w:bCs/>
        </w:rPr>
        <w:fldChar w:fldCharType="end"/>
      </w:r>
    </w:p>
    <w:p w14:paraId="2C06C78A">
      <w:pPr>
        <w:pStyle w:val="54"/>
        <w:tabs>
          <w:tab w:val="right" w:leader="dot" w:pos="8306"/>
        </w:tabs>
        <w:ind w:firstLine="210"/>
        <w:rPr>
          <w:rFonts w:ascii="Times New Roman" w:hAnsi="Times New Roman"/>
          <w:b/>
          <w:bCs/>
        </w:rPr>
      </w:pPr>
      <w:r>
        <w:fldChar w:fldCharType="begin"/>
      </w:r>
      <w:r>
        <w:instrText xml:space="preserve"> HYPERLINK \l "_Toc16725" </w:instrText>
      </w:r>
      <w:r>
        <w:fldChar w:fldCharType="separate"/>
      </w:r>
      <w:r>
        <w:rPr>
          <w:rFonts w:ascii="Times New Roman" w:hAnsi="Times New Roman" w:eastAsia="黑体"/>
          <w:b/>
          <w:bCs/>
          <w:szCs w:val="30"/>
        </w:rPr>
        <w:t xml:space="preserve">10.4 </w:t>
      </w:r>
      <w:r>
        <w:rPr>
          <w:rFonts w:ascii="Times New Roman" w:hAnsi="Times New Roman"/>
          <w:b/>
          <w:bCs/>
        </w:rPr>
        <w:t>竣工验收管理</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_Toc16725 \h </w:instrText>
      </w:r>
      <w:r>
        <w:rPr>
          <w:rFonts w:ascii="Times New Roman" w:hAnsi="Times New Roman"/>
          <w:b/>
          <w:bCs/>
        </w:rPr>
        <w:fldChar w:fldCharType="separate"/>
      </w:r>
      <w:r>
        <w:rPr>
          <w:rFonts w:ascii="Times New Roman" w:hAnsi="Times New Roman"/>
          <w:b/>
          <w:bCs/>
        </w:rPr>
        <w:t>510</w:t>
      </w:r>
      <w:r>
        <w:rPr>
          <w:rFonts w:ascii="Times New Roman" w:hAnsi="Times New Roman"/>
          <w:b/>
          <w:bCs/>
        </w:rPr>
        <w:fldChar w:fldCharType="end"/>
      </w:r>
      <w:r>
        <w:rPr>
          <w:rFonts w:ascii="Times New Roman" w:hAnsi="Times New Roman"/>
          <w:b/>
          <w:bCs/>
        </w:rPr>
        <w:fldChar w:fldCharType="end"/>
      </w:r>
    </w:p>
    <w:p w14:paraId="1B21CCE8">
      <w:pPr>
        <w:pStyle w:val="42"/>
        <w:tabs>
          <w:tab w:val="right" w:leader="dot" w:pos="8306"/>
          <w:tab w:val="clear" w:pos="8296"/>
        </w:tabs>
        <w:rPr>
          <w:rFonts w:ascii="Times New Roman" w:hAnsi="Times New Roman"/>
          <w:b/>
          <w:bCs/>
        </w:rPr>
      </w:pPr>
      <w:r>
        <w:fldChar w:fldCharType="begin"/>
      </w:r>
      <w:r>
        <w:instrText xml:space="preserve"> HYPERLINK \l "_Toc15839" </w:instrText>
      </w:r>
      <w:r>
        <w:fldChar w:fldCharType="separate"/>
      </w:r>
      <w:r>
        <w:rPr>
          <w:rFonts w:ascii="Times New Roman" w:hAnsi="Times New Roman"/>
          <w:b/>
          <w:bCs/>
          <w:szCs w:val="48"/>
        </w:rPr>
        <w:t xml:space="preserve">第11章 </w:t>
      </w:r>
      <w:r>
        <w:rPr>
          <w:rFonts w:ascii="Times New Roman" w:hAnsi="Times New Roman"/>
          <w:b/>
          <w:bCs/>
        </w:rPr>
        <w:t>评价结论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_Toc15839 \h </w:instrText>
      </w:r>
      <w:r>
        <w:rPr>
          <w:rFonts w:ascii="Times New Roman" w:hAnsi="Times New Roman"/>
          <w:b/>
          <w:bCs/>
        </w:rPr>
        <w:fldChar w:fldCharType="separate"/>
      </w:r>
      <w:r>
        <w:rPr>
          <w:rFonts w:ascii="Times New Roman" w:hAnsi="Times New Roman"/>
          <w:b/>
          <w:bCs/>
        </w:rPr>
        <w:t>518</w:t>
      </w:r>
      <w:r>
        <w:rPr>
          <w:rFonts w:ascii="Times New Roman" w:hAnsi="Times New Roman"/>
          <w:b/>
          <w:bCs/>
        </w:rPr>
        <w:fldChar w:fldCharType="end"/>
      </w:r>
      <w:r>
        <w:rPr>
          <w:rFonts w:ascii="Times New Roman" w:hAnsi="Times New Roman"/>
          <w:b/>
          <w:bCs/>
        </w:rPr>
        <w:fldChar w:fldCharType="end"/>
      </w:r>
    </w:p>
    <w:p w14:paraId="7ABE969A">
      <w:pPr>
        <w:pStyle w:val="54"/>
        <w:tabs>
          <w:tab w:val="right" w:leader="dot" w:pos="8306"/>
        </w:tabs>
        <w:ind w:firstLine="210"/>
        <w:rPr>
          <w:rFonts w:ascii="Times New Roman" w:hAnsi="Times New Roman"/>
          <w:b/>
          <w:bCs/>
        </w:rPr>
      </w:pPr>
      <w:r>
        <w:fldChar w:fldCharType="begin"/>
      </w:r>
      <w:r>
        <w:instrText xml:space="preserve"> HYPERLINK \l "_Toc2991" </w:instrText>
      </w:r>
      <w:r>
        <w:fldChar w:fldCharType="separate"/>
      </w:r>
      <w:r>
        <w:rPr>
          <w:rFonts w:ascii="Times New Roman" w:hAnsi="Times New Roman" w:eastAsia="黑体"/>
          <w:b/>
          <w:bCs/>
          <w:szCs w:val="30"/>
        </w:rPr>
        <w:t xml:space="preserve">11.1 </w:t>
      </w:r>
      <w:r>
        <w:rPr>
          <w:rFonts w:ascii="Times New Roman" w:hAnsi="Times New Roman"/>
          <w:b/>
          <w:bCs/>
        </w:rPr>
        <w:t>政策符合性结论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_Toc2991 \h </w:instrText>
      </w:r>
      <w:r>
        <w:rPr>
          <w:rFonts w:ascii="Times New Roman" w:hAnsi="Times New Roman"/>
          <w:b/>
          <w:bCs/>
        </w:rPr>
        <w:fldChar w:fldCharType="separate"/>
      </w:r>
      <w:r>
        <w:rPr>
          <w:rFonts w:ascii="Times New Roman" w:hAnsi="Times New Roman"/>
          <w:b/>
          <w:bCs/>
        </w:rPr>
        <w:t>518</w:t>
      </w:r>
      <w:r>
        <w:rPr>
          <w:rFonts w:ascii="Times New Roman" w:hAnsi="Times New Roman"/>
          <w:b/>
          <w:bCs/>
        </w:rPr>
        <w:fldChar w:fldCharType="end"/>
      </w:r>
      <w:r>
        <w:rPr>
          <w:rFonts w:ascii="Times New Roman" w:hAnsi="Times New Roman"/>
          <w:b/>
          <w:bCs/>
        </w:rPr>
        <w:fldChar w:fldCharType="end"/>
      </w:r>
    </w:p>
    <w:p w14:paraId="7CA4863B">
      <w:pPr>
        <w:pStyle w:val="54"/>
        <w:tabs>
          <w:tab w:val="right" w:leader="dot" w:pos="8306"/>
        </w:tabs>
        <w:ind w:firstLine="210"/>
        <w:rPr>
          <w:rFonts w:ascii="Times New Roman" w:hAnsi="Times New Roman"/>
          <w:b/>
          <w:bCs/>
        </w:rPr>
      </w:pPr>
      <w:r>
        <w:fldChar w:fldCharType="begin"/>
      </w:r>
      <w:r>
        <w:instrText xml:space="preserve"> HYPERLINK \l "_Toc4771" </w:instrText>
      </w:r>
      <w:r>
        <w:fldChar w:fldCharType="separate"/>
      </w:r>
      <w:r>
        <w:rPr>
          <w:rFonts w:ascii="Times New Roman" w:hAnsi="Times New Roman" w:eastAsia="黑体"/>
          <w:b/>
          <w:bCs/>
          <w:szCs w:val="30"/>
        </w:rPr>
        <w:t xml:space="preserve">11.2 </w:t>
      </w:r>
      <w:r>
        <w:rPr>
          <w:rFonts w:ascii="Times New Roman" w:hAnsi="Times New Roman"/>
          <w:b/>
          <w:bCs/>
        </w:rPr>
        <w:t>环境现状结论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_Toc4771 \h </w:instrText>
      </w:r>
      <w:r>
        <w:rPr>
          <w:rFonts w:ascii="Times New Roman" w:hAnsi="Times New Roman"/>
          <w:b/>
          <w:bCs/>
        </w:rPr>
        <w:fldChar w:fldCharType="separate"/>
      </w:r>
      <w:r>
        <w:rPr>
          <w:rFonts w:ascii="Times New Roman" w:hAnsi="Times New Roman"/>
          <w:b/>
          <w:bCs/>
        </w:rPr>
        <w:t>519</w:t>
      </w:r>
      <w:r>
        <w:rPr>
          <w:rFonts w:ascii="Times New Roman" w:hAnsi="Times New Roman"/>
          <w:b/>
          <w:bCs/>
        </w:rPr>
        <w:fldChar w:fldCharType="end"/>
      </w:r>
      <w:r>
        <w:rPr>
          <w:rFonts w:ascii="Times New Roman" w:hAnsi="Times New Roman"/>
          <w:b/>
          <w:bCs/>
        </w:rPr>
        <w:fldChar w:fldCharType="end"/>
      </w:r>
    </w:p>
    <w:p w14:paraId="4EBE820A">
      <w:pPr>
        <w:pStyle w:val="54"/>
        <w:tabs>
          <w:tab w:val="right" w:leader="dot" w:pos="8306"/>
        </w:tabs>
        <w:ind w:firstLine="210"/>
        <w:rPr>
          <w:rFonts w:ascii="Times New Roman" w:hAnsi="Times New Roman"/>
          <w:b/>
          <w:bCs/>
        </w:rPr>
      </w:pPr>
      <w:r>
        <w:fldChar w:fldCharType="begin"/>
      </w:r>
      <w:r>
        <w:instrText xml:space="preserve"> HYPERLINK \l "_Toc15502" </w:instrText>
      </w:r>
      <w:r>
        <w:fldChar w:fldCharType="separate"/>
      </w:r>
      <w:r>
        <w:rPr>
          <w:rFonts w:ascii="Times New Roman" w:hAnsi="Times New Roman" w:eastAsia="黑体"/>
          <w:b/>
          <w:bCs/>
          <w:szCs w:val="30"/>
        </w:rPr>
        <w:t xml:space="preserve">11.3 </w:t>
      </w:r>
      <w:r>
        <w:rPr>
          <w:rFonts w:ascii="Times New Roman" w:hAnsi="Times New Roman"/>
          <w:b/>
          <w:bCs/>
        </w:rPr>
        <w:t>污染物排放结论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_Toc15502 \h </w:instrText>
      </w:r>
      <w:r>
        <w:rPr>
          <w:rFonts w:ascii="Times New Roman" w:hAnsi="Times New Roman"/>
          <w:b/>
          <w:bCs/>
        </w:rPr>
        <w:fldChar w:fldCharType="separate"/>
      </w:r>
      <w:r>
        <w:rPr>
          <w:rFonts w:ascii="Times New Roman" w:hAnsi="Times New Roman"/>
          <w:b/>
          <w:bCs/>
        </w:rPr>
        <w:t>520</w:t>
      </w:r>
      <w:r>
        <w:rPr>
          <w:rFonts w:ascii="Times New Roman" w:hAnsi="Times New Roman"/>
          <w:b/>
          <w:bCs/>
        </w:rPr>
        <w:fldChar w:fldCharType="end"/>
      </w:r>
      <w:r>
        <w:rPr>
          <w:rFonts w:ascii="Times New Roman" w:hAnsi="Times New Roman"/>
          <w:b/>
          <w:bCs/>
        </w:rPr>
        <w:fldChar w:fldCharType="end"/>
      </w:r>
    </w:p>
    <w:p w14:paraId="7D8F962A">
      <w:pPr>
        <w:pStyle w:val="54"/>
        <w:tabs>
          <w:tab w:val="right" w:leader="dot" w:pos="8306"/>
        </w:tabs>
        <w:ind w:firstLine="210"/>
        <w:rPr>
          <w:rFonts w:ascii="Times New Roman" w:hAnsi="Times New Roman"/>
          <w:b/>
          <w:bCs/>
        </w:rPr>
      </w:pPr>
      <w:r>
        <w:fldChar w:fldCharType="begin"/>
      </w:r>
      <w:r>
        <w:instrText xml:space="preserve"> HYPERLINK \l "_Toc4776" </w:instrText>
      </w:r>
      <w:r>
        <w:fldChar w:fldCharType="separate"/>
      </w:r>
      <w:r>
        <w:rPr>
          <w:rFonts w:ascii="Times New Roman" w:hAnsi="Times New Roman" w:eastAsia="黑体"/>
          <w:b/>
          <w:bCs/>
          <w:szCs w:val="30"/>
        </w:rPr>
        <w:t xml:space="preserve">11.4 </w:t>
      </w:r>
      <w:r>
        <w:rPr>
          <w:rFonts w:ascii="Times New Roman" w:hAnsi="Times New Roman"/>
          <w:b/>
          <w:bCs/>
        </w:rPr>
        <w:t>环境影响评价结论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_Toc4776 \h </w:instrText>
      </w:r>
      <w:r>
        <w:rPr>
          <w:rFonts w:ascii="Times New Roman" w:hAnsi="Times New Roman"/>
          <w:b/>
          <w:bCs/>
        </w:rPr>
        <w:fldChar w:fldCharType="separate"/>
      </w:r>
      <w:r>
        <w:rPr>
          <w:rFonts w:ascii="Times New Roman" w:hAnsi="Times New Roman"/>
          <w:b/>
          <w:bCs/>
        </w:rPr>
        <w:t>521</w:t>
      </w:r>
      <w:r>
        <w:rPr>
          <w:rFonts w:ascii="Times New Roman" w:hAnsi="Times New Roman"/>
          <w:b/>
          <w:bCs/>
        </w:rPr>
        <w:fldChar w:fldCharType="end"/>
      </w:r>
      <w:r>
        <w:rPr>
          <w:rFonts w:ascii="Times New Roman" w:hAnsi="Times New Roman"/>
          <w:b/>
          <w:bCs/>
        </w:rPr>
        <w:fldChar w:fldCharType="end"/>
      </w:r>
    </w:p>
    <w:p w14:paraId="0880D5FA">
      <w:pPr>
        <w:pStyle w:val="54"/>
        <w:tabs>
          <w:tab w:val="right" w:leader="dot" w:pos="8306"/>
        </w:tabs>
        <w:ind w:firstLine="210"/>
        <w:rPr>
          <w:rFonts w:ascii="Times New Roman" w:hAnsi="Times New Roman"/>
          <w:b/>
          <w:bCs/>
        </w:rPr>
      </w:pPr>
      <w:r>
        <w:fldChar w:fldCharType="begin"/>
      </w:r>
      <w:r>
        <w:instrText xml:space="preserve"> HYPERLINK \l "_Toc9267" </w:instrText>
      </w:r>
      <w:r>
        <w:fldChar w:fldCharType="separate"/>
      </w:r>
      <w:r>
        <w:rPr>
          <w:rFonts w:ascii="Times New Roman" w:hAnsi="Times New Roman" w:eastAsia="黑体"/>
          <w:b/>
          <w:bCs/>
          <w:szCs w:val="30"/>
        </w:rPr>
        <w:t xml:space="preserve">11.5 </w:t>
      </w:r>
      <w:r>
        <w:rPr>
          <w:rFonts w:ascii="Times New Roman" w:hAnsi="Times New Roman"/>
          <w:b/>
          <w:bCs/>
        </w:rPr>
        <w:t>污染防治措施分析结论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_Toc9267 \h </w:instrText>
      </w:r>
      <w:r>
        <w:rPr>
          <w:rFonts w:ascii="Times New Roman" w:hAnsi="Times New Roman"/>
          <w:b/>
          <w:bCs/>
        </w:rPr>
        <w:fldChar w:fldCharType="separate"/>
      </w:r>
      <w:r>
        <w:rPr>
          <w:rFonts w:ascii="Times New Roman" w:hAnsi="Times New Roman"/>
          <w:b/>
          <w:bCs/>
        </w:rPr>
        <w:t>522</w:t>
      </w:r>
      <w:r>
        <w:rPr>
          <w:rFonts w:ascii="Times New Roman" w:hAnsi="Times New Roman"/>
          <w:b/>
          <w:bCs/>
        </w:rPr>
        <w:fldChar w:fldCharType="end"/>
      </w:r>
      <w:r>
        <w:rPr>
          <w:rFonts w:ascii="Times New Roman" w:hAnsi="Times New Roman"/>
          <w:b/>
          <w:bCs/>
        </w:rPr>
        <w:fldChar w:fldCharType="end"/>
      </w:r>
    </w:p>
    <w:p w14:paraId="519D9017">
      <w:pPr>
        <w:pStyle w:val="54"/>
        <w:tabs>
          <w:tab w:val="right" w:leader="dot" w:pos="8306"/>
        </w:tabs>
        <w:ind w:firstLine="210"/>
        <w:rPr>
          <w:rFonts w:ascii="Times New Roman" w:hAnsi="Times New Roman"/>
          <w:b/>
          <w:bCs/>
        </w:rPr>
      </w:pPr>
      <w:r>
        <w:fldChar w:fldCharType="begin"/>
      </w:r>
      <w:r>
        <w:instrText xml:space="preserve"> HYPERLINK \l "_Toc17848" </w:instrText>
      </w:r>
      <w:r>
        <w:fldChar w:fldCharType="separate"/>
      </w:r>
      <w:r>
        <w:rPr>
          <w:rFonts w:ascii="Times New Roman" w:hAnsi="Times New Roman" w:eastAsia="黑体"/>
          <w:b/>
          <w:bCs/>
          <w:szCs w:val="30"/>
        </w:rPr>
        <w:t xml:space="preserve">11.6 </w:t>
      </w:r>
      <w:r>
        <w:rPr>
          <w:rFonts w:ascii="Times New Roman" w:hAnsi="Times New Roman"/>
          <w:b/>
          <w:bCs/>
        </w:rPr>
        <w:t>总量控制</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_Toc17848 \h </w:instrText>
      </w:r>
      <w:r>
        <w:rPr>
          <w:rFonts w:ascii="Times New Roman" w:hAnsi="Times New Roman"/>
          <w:b/>
          <w:bCs/>
        </w:rPr>
        <w:fldChar w:fldCharType="separate"/>
      </w:r>
      <w:r>
        <w:rPr>
          <w:rFonts w:ascii="Times New Roman" w:hAnsi="Times New Roman"/>
          <w:b/>
          <w:bCs/>
        </w:rPr>
        <w:t>523</w:t>
      </w:r>
      <w:r>
        <w:rPr>
          <w:rFonts w:ascii="Times New Roman" w:hAnsi="Times New Roman"/>
          <w:b/>
          <w:bCs/>
        </w:rPr>
        <w:fldChar w:fldCharType="end"/>
      </w:r>
      <w:r>
        <w:rPr>
          <w:rFonts w:ascii="Times New Roman" w:hAnsi="Times New Roman"/>
          <w:b/>
          <w:bCs/>
        </w:rPr>
        <w:fldChar w:fldCharType="end"/>
      </w:r>
    </w:p>
    <w:p w14:paraId="24ADAC02">
      <w:pPr>
        <w:pStyle w:val="54"/>
        <w:tabs>
          <w:tab w:val="right" w:leader="dot" w:pos="8306"/>
        </w:tabs>
        <w:ind w:firstLine="210"/>
        <w:rPr>
          <w:rFonts w:ascii="Times New Roman" w:hAnsi="Times New Roman"/>
          <w:b/>
          <w:bCs/>
        </w:rPr>
      </w:pPr>
      <w:r>
        <w:fldChar w:fldCharType="begin"/>
      </w:r>
      <w:r>
        <w:instrText xml:space="preserve"> HYPERLINK \l "_Toc27047" </w:instrText>
      </w:r>
      <w:r>
        <w:fldChar w:fldCharType="separate"/>
      </w:r>
      <w:r>
        <w:rPr>
          <w:rFonts w:ascii="Times New Roman" w:hAnsi="Times New Roman" w:eastAsia="黑体"/>
          <w:b/>
          <w:bCs/>
          <w:szCs w:val="30"/>
        </w:rPr>
        <w:t xml:space="preserve">11.7 </w:t>
      </w:r>
      <w:r>
        <w:rPr>
          <w:rFonts w:ascii="Times New Roman" w:hAnsi="Times New Roman"/>
          <w:b/>
          <w:bCs/>
        </w:rPr>
        <w:t>清洁生产</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_Toc27047 \h </w:instrText>
      </w:r>
      <w:r>
        <w:rPr>
          <w:rFonts w:ascii="Times New Roman" w:hAnsi="Times New Roman"/>
          <w:b/>
          <w:bCs/>
        </w:rPr>
        <w:fldChar w:fldCharType="separate"/>
      </w:r>
      <w:r>
        <w:rPr>
          <w:rFonts w:ascii="Times New Roman" w:hAnsi="Times New Roman"/>
          <w:b/>
          <w:bCs/>
        </w:rPr>
        <w:t>523</w:t>
      </w:r>
      <w:r>
        <w:rPr>
          <w:rFonts w:ascii="Times New Roman" w:hAnsi="Times New Roman"/>
          <w:b/>
          <w:bCs/>
        </w:rPr>
        <w:fldChar w:fldCharType="end"/>
      </w:r>
      <w:r>
        <w:rPr>
          <w:rFonts w:ascii="Times New Roman" w:hAnsi="Times New Roman"/>
          <w:b/>
          <w:bCs/>
        </w:rPr>
        <w:fldChar w:fldCharType="end"/>
      </w:r>
    </w:p>
    <w:p w14:paraId="35AC808D">
      <w:pPr>
        <w:pStyle w:val="54"/>
        <w:tabs>
          <w:tab w:val="right" w:leader="dot" w:pos="8306"/>
        </w:tabs>
        <w:ind w:firstLine="210"/>
        <w:rPr>
          <w:rFonts w:ascii="Times New Roman" w:hAnsi="Times New Roman"/>
          <w:b/>
          <w:bCs/>
        </w:rPr>
      </w:pPr>
      <w:r>
        <w:fldChar w:fldCharType="begin"/>
      </w:r>
      <w:r>
        <w:instrText xml:space="preserve"> HYPERLINK \l "_Toc913" </w:instrText>
      </w:r>
      <w:r>
        <w:fldChar w:fldCharType="separate"/>
      </w:r>
      <w:r>
        <w:rPr>
          <w:rFonts w:ascii="Times New Roman" w:hAnsi="Times New Roman" w:eastAsia="黑体"/>
          <w:b/>
          <w:bCs/>
          <w:szCs w:val="30"/>
        </w:rPr>
        <w:t xml:space="preserve">11.8 </w:t>
      </w:r>
      <w:r>
        <w:rPr>
          <w:rFonts w:ascii="Times New Roman" w:hAnsi="Times New Roman"/>
          <w:b/>
          <w:bCs/>
        </w:rPr>
        <w:t>公众参与</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_Toc913 \h </w:instrText>
      </w:r>
      <w:r>
        <w:rPr>
          <w:rFonts w:ascii="Times New Roman" w:hAnsi="Times New Roman"/>
          <w:b/>
          <w:bCs/>
        </w:rPr>
        <w:fldChar w:fldCharType="separate"/>
      </w:r>
      <w:r>
        <w:rPr>
          <w:rFonts w:ascii="Times New Roman" w:hAnsi="Times New Roman"/>
          <w:b/>
          <w:bCs/>
        </w:rPr>
        <w:t>523</w:t>
      </w:r>
      <w:r>
        <w:rPr>
          <w:rFonts w:ascii="Times New Roman" w:hAnsi="Times New Roman"/>
          <w:b/>
          <w:bCs/>
        </w:rPr>
        <w:fldChar w:fldCharType="end"/>
      </w:r>
      <w:r>
        <w:rPr>
          <w:rFonts w:ascii="Times New Roman" w:hAnsi="Times New Roman"/>
          <w:b/>
          <w:bCs/>
        </w:rPr>
        <w:fldChar w:fldCharType="end"/>
      </w:r>
    </w:p>
    <w:p w14:paraId="35CC6110">
      <w:pPr>
        <w:pStyle w:val="54"/>
        <w:tabs>
          <w:tab w:val="right" w:leader="dot" w:pos="8306"/>
        </w:tabs>
        <w:ind w:firstLine="210"/>
        <w:rPr>
          <w:rFonts w:ascii="Times New Roman" w:hAnsi="Times New Roman"/>
          <w:b/>
          <w:bCs/>
        </w:rPr>
      </w:pPr>
      <w:r>
        <w:fldChar w:fldCharType="begin"/>
      </w:r>
      <w:r>
        <w:instrText xml:space="preserve"> HYPERLINK \l "_Toc1827" </w:instrText>
      </w:r>
      <w:r>
        <w:fldChar w:fldCharType="separate"/>
      </w:r>
      <w:r>
        <w:rPr>
          <w:rFonts w:ascii="Times New Roman" w:hAnsi="Times New Roman" w:eastAsia="黑体"/>
          <w:b/>
          <w:bCs/>
          <w:szCs w:val="30"/>
        </w:rPr>
        <w:t xml:space="preserve">11.9 </w:t>
      </w:r>
      <w:r>
        <w:rPr>
          <w:rFonts w:ascii="Times New Roman" w:hAnsi="Times New Roman"/>
          <w:b/>
          <w:bCs/>
        </w:rPr>
        <w:t>环境影响经济损益分析</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_Toc1827 \h </w:instrText>
      </w:r>
      <w:r>
        <w:rPr>
          <w:rFonts w:ascii="Times New Roman" w:hAnsi="Times New Roman"/>
          <w:b/>
          <w:bCs/>
        </w:rPr>
        <w:fldChar w:fldCharType="separate"/>
      </w:r>
      <w:r>
        <w:rPr>
          <w:rFonts w:ascii="Times New Roman" w:hAnsi="Times New Roman"/>
          <w:b/>
          <w:bCs/>
        </w:rPr>
        <w:t>523</w:t>
      </w:r>
      <w:r>
        <w:rPr>
          <w:rFonts w:ascii="Times New Roman" w:hAnsi="Times New Roman"/>
          <w:b/>
          <w:bCs/>
        </w:rPr>
        <w:fldChar w:fldCharType="end"/>
      </w:r>
      <w:r>
        <w:rPr>
          <w:rFonts w:ascii="Times New Roman" w:hAnsi="Times New Roman"/>
          <w:b/>
          <w:bCs/>
        </w:rPr>
        <w:fldChar w:fldCharType="end"/>
      </w:r>
    </w:p>
    <w:p w14:paraId="7CB4735B">
      <w:pPr>
        <w:pStyle w:val="54"/>
        <w:tabs>
          <w:tab w:val="right" w:leader="dot" w:pos="8306"/>
        </w:tabs>
        <w:ind w:firstLine="210"/>
        <w:rPr>
          <w:rFonts w:ascii="Times New Roman" w:hAnsi="Times New Roman"/>
          <w:b/>
          <w:bCs/>
        </w:rPr>
      </w:pPr>
      <w:r>
        <w:fldChar w:fldCharType="begin"/>
      </w:r>
      <w:r>
        <w:instrText xml:space="preserve"> HYPERLINK \l "_Toc8496" </w:instrText>
      </w:r>
      <w:r>
        <w:fldChar w:fldCharType="separate"/>
      </w:r>
      <w:r>
        <w:rPr>
          <w:rFonts w:ascii="Times New Roman" w:hAnsi="Times New Roman" w:eastAsia="黑体"/>
          <w:b/>
          <w:bCs/>
          <w:szCs w:val="30"/>
        </w:rPr>
        <w:t xml:space="preserve">11.10 </w:t>
      </w:r>
      <w:r>
        <w:rPr>
          <w:rFonts w:ascii="Times New Roman" w:hAnsi="Times New Roman"/>
          <w:b/>
          <w:bCs/>
        </w:rPr>
        <w:t>环境管理与监测计划结论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_Toc8496 \h </w:instrText>
      </w:r>
      <w:r>
        <w:rPr>
          <w:rFonts w:ascii="Times New Roman" w:hAnsi="Times New Roman"/>
          <w:b/>
          <w:bCs/>
        </w:rPr>
        <w:fldChar w:fldCharType="separate"/>
      </w:r>
      <w:r>
        <w:rPr>
          <w:rFonts w:ascii="Times New Roman" w:hAnsi="Times New Roman"/>
          <w:b/>
          <w:bCs/>
        </w:rPr>
        <w:t>523</w:t>
      </w:r>
      <w:r>
        <w:rPr>
          <w:rFonts w:ascii="Times New Roman" w:hAnsi="Times New Roman"/>
          <w:b/>
          <w:bCs/>
        </w:rPr>
        <w:fldChar w:fldCharType="end"/>
      </w:r>
      <w:r>
        <w:rPr>
          <w:rFonts w:ascii="Times New Roman" w:hAnsi="Times New Roman"/>
          <w:b/>
          <w:bCs/>
        </w:rPr>
        <w:fldChar w:fldCharType="end"/>
      </w:r>
    </w:p>
    <w:p w14:paraId="31BA7461">
      <w:pPr>
        <w:pStyle w:val="54"/>
        <w:tabs>
          <w:tab w:val="right" w:leader="dot" w:pos="8306"/>
        </w:tabs>
        <w:ind w:firstLine="210"/>
        <w:rPr>
          <w:rFonts w:hint="eastAsia"/>
          <w:b/>
          <w:bCs/>
        </w:rPr>
      </w:pPr>
      <w:r>
        <w:fldChar w:fldCharType="begin"/>
      </w:r>
      <w:r>
        <w:instrText xml:space="preserve"> HYPERLINK \l "_Toc23211" </w:instrText>
      </w:r>
      <w:r>
        <w:fldChar w:fldCharType="separate"/>
      </w:r>
      <w:r>
        <w:rPr>
          <w:rFonts w:ascii="Times New Roman" w:hAnsi="Times New Roman" w:eastAsia="黑体"/>
          <w:b/>
          <w:bCs/>
          <w:szCs w:val="30"/>
        </w:rPr>
        <w:t xml:space="preserve">11.11 </w:t>
      </w:r>
      <w:r>
        <w:rPr>
          <w:rFonts w:ascii="Times New Roman" w:hAnsi="Times New Roman"/>
          <w:b/>
          <w:bCs/>
        </w:rPr>
        <w:t>总体结论</w:t>
      </w:r>
      <w:r>
        <w:rPr>
          <w:rFonts w:ascii="Times New Roman" w:hAnsi="Times New Roman"/>
          <w:b/>
          <w:bCs/>
        </w:rPr>
        <w:tab/>
      </w:r>
      <w:r>
        <w:rPr>
          <w:rFonts w:ascii="Times New Roman" w:hAnsi="Times New Roman"/>
          <w:b/>
          <w:bCs/>
        </w:rPr>
        <w:fldChar w:fldCharType="begin"/>
      </w:r>
      <w:r>
        <w:rPr>
          <w:rFonts w:ascii="Times New Roman" w:hAnsi="Times New Roman"/>
          <w:b/>
          <w:bCs/>
        </w:rPr>
        <w:instrText xml:space="preserve"> PAGEREF _Toc23211 \h </w:instrText>
      </w:r>
      <w:r>
        <w:rPr>
          <w:rFonts w:ascii="Times New Roman" w:hAnsi="Times New Roman"/>
          <w:b/>
          <w:bCs/>
        </w:rPr>
        <w:fldChar w:fldCharType="separate"/>
      </w:r>
      <w:r>
        <w:rPr>
          <w:rFonts w:ascii="Times New Roman" w:hAnsi="Times New Roman"/>
          <w:b/>
          <w:bCs/>
        </w:rPr>
        <w:t>524</w:t>
      </w:r>
      <w:r>
        <w:rPr>
          <w:rFonts w:ascii="Times New Roman" w:hAnsi="Times New Roman"/>
          <w:b/>
          <w:bCs/>
        </w:rPr>
        <w:fldChar w:fldCharType="end"/>
      </w:r>
      <w:r>
        <w:rPr>
          <w:rFonts w:ascii="Times New Roman" w:hAnsi="Times New Roman"/>
          <w:b/>
          <w:bCs/>
        </w:rPr>
        <w:fldChar w:fldCharType="end"/>
      </w:r>
    </w:p>
    <w:p w14:paraId="590F6CB4">
      <w:pPr>
        <w:rPr>
          <w:rFonts w:hint="eastAsia" w:eastAsia="黑体"/>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ascii="黑体" w:hAnsi="黑体" w:eastAsia="黑体"/>
          <w:b/>
          <w:bCs/>
        </w:rPr>
        <w:fldChar w:fldCharType="end"/>
      </w:r>
    </w:p>
    <w:p w14:paraId="3FCA0976">
      <w:pPr>
        <w:spacing w:line="360" w:lineRule="auto"/>
        <w:rPr>
          <w:rFonts w:hint="eastAsia" w:ascii="黑体" w:hAnsi="黑体" w:eastAsia="黑体"/>
          <w:b/>
          <w:bCs/>
        </w:rPr>
      </w:pPr>
    </w:p>
    <w:p w14:paraId="44D9C610">
      <w:pPr>
        <w:pStyle w:val="1012"/>
      </w:pPr>
      <w:bookmarkStart w:id="0" w:name="_Toc30019"/>
      <w:bookmarkStart w:id="1" w:name="_Toc477125492"/>
      <w:bookmarkStart w:id="2" w:name="_Toc350445399"/>
      <w:bookmarkStart w:id="3" w:name="_Toc536456006"/>
      <w:bookmarkStart w:id="4" w:name="_Toc350445701"/>
      <w:bookmarkStart w:id="5" w:name="_Toc486698062"/>
      <w:r>
        <w:rPr>
          <w:rFonts w:hint="eastAsia"/>
        </w:rPr>
        <w:t>概述</w:t>
      </w:r>
      <w:bookmarkEnd w:id="0"/>
    </w:p>
    <w:p w14:paraId="7190379D">
      <w:pPr>
        <w:pStyle w:val="3"/>
        <w:rPr>
          <w:rFonts w:hint="eastAsia"/>
        </w:rPr>
      </w:pPr>
      <w:bookmarkStart w:id="6" w:name="_Toc22737"/>
      <w:r>
        <w:t>项目背景</w:t>
      </w:r>
      <w:bookmarkEnd w:id="1"/>
      <w:bookmarkEnd w:id="2"/>
      <w:bookmarkEnd w:id="3"/>
      <w:bookmarkEnd w:id="4"/>
      <w:bookmarkEnd w:id="5"/>
      <w:bookmarkEnd w:id="6"/>
    </w:p>
    <w:p w14:paraId="44B28024">
      <w:pPr>
        <w:pStyle w:val="281"/>
        <w:ind w:firstLine="480"/>
        <w:rPr>
          <w:color w:val="FF0000"/>
        </w:rPr>
      </w:pPr>
      <w:bookmarkStart w:id="7" w:name="_Hlk177035837"/>
      <w:r>
        <w:rPr>
          <w:rFonts w:hint="eastAsia"/>
          <w:color w:val="000000" w:themeColor="text1"/>
          <w14:textFill>
            <w14:solidFill>
              <w14:schemeClr w14:val="tx1"/>
            </w14:solidFill>
          </w14:textFill>
        </w:rPr>
        <w:t>为响应国家、新疆维吾尔自治区政府号召，在哈密市委、市政府的鼎力支持下，由上海戊正工程技术有限公司发起，2024年6月</w:t>
      </w:r>
      <w:r>
        <w:rPr>
          <w:rFonts w:hint="eastAsia" w:ascii="宋体" w:hAnsi="宋体"/>
          <w:color w:val="000000" w:themeColor="text1"/>
          <w14:textFill>
            <w14:solidFill>
              <w14:schemeClr w14:val="tx1"/>
            </w14:solidFill>
          </w14:textFill>
        </w:rPr>
        <w:t>新疆天科隆化学有限公司</w:t>
      </w:r>
      <w:r>
        <w:rPr>
          <w:rFonts w:hint="eastAsia"/>
          <w:color w:val="000000" w:themeColor="text1"/>
          <w14:textFill>
            <w14:solidFill>
              <w14:schemeClr w14:val="tx1"/>
            </w14:solidFill>
          </w14:textFill>
        </w:rPr>
        <w:t>（下称“新疆</w:t>
      </w:r>
      <w:r>
        <w:rPr>
          <w:rFonts w:hint="eastAsia" w:ascii="宋体" w:hAnsi="宋体"/>
          <w:color w:val="000000" w:themeColor="text1"/>
          <w14:textFill>
            <w14:solidFill>
              <w14:schemeClr w14:val="tx1"/>
            </w14:solidFill>
          </w14:textFill>
        </w:rPr>
        <w:t>天科隆</w:t>
      </w:r>
      <w:r>
        <w:rPr>
          <w:rFonts w:hint="eastAsia"/>
          <w:color w:val="000000" w:themeColor="text1"/>
          <w14:textFill>
            <w14:solidFill>
              <w14:schemeClr w14:val="tx1"/>
            </w14:solidFill>
          </w14:textFill>
        </w:rPr>
        <w:t>公司”）在</w:t>
      </w:r>
      <w:r>
        <w:rPr>
          <w:color w:val="000000" w:themeColor="text1"/>
          <w14:textFill>
            <w14:solidFill>
              <w14:schemeClr w14:val="tx1"/>
            </w14:solidFill>
          </w14:textFill>
        </w:rPr>
        <w:t>新疆</w:t>
      </w:r>
      <w:r>
        <w:rPr>
          <w:rFonts w:hint="eastAsia"/>
          <w:color w:val="000000" w:themeColor="text1"/>
          <w14:textFill>
            <w14:solidFill>
              <w14:schemeClr w14:val="tx1"/>
            </w14:solidFill>
          </w14:textFill>
        </w:rPr>
        <w:t>维吾尔自治区哈密</w:t>
      </w:r>
      <w:r>
        <w:rPr>
          <w:color w:val="000000" w:themeColor="text1"/>
          <w14:textFill>
            <w14:solidFill>
              <w14:schemeClr w14:val="tx1"/>
            </w14:solidFill>
          </w14:textFill>
        </w:rPr>
        <w:t>市</w:t>
      </w:r>
      <w:r>
        <w:rPr>
          <w:rFonts w:hint="eastAsia"/>
          <w:color w:val="000000" w:themeColor="text1"/>
          <w14:textFill>
            <w14:solidFill>
              <w14:schemeClr w14:val="tx1"/>
            </w14:solidFill>
          </w14:textFill>
        </w:rPr>
        <w:t>注册成立。</w:t>
      </w:r>
    </w:p>
    <w:p w14:paraId="0EEAB38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海戊正工程技术有限公司是一家按照现代企业制度建立的高新技术企业，公司拥有多项发明专利技术，包括工艺专利技术、设备专利技术及催化剂制造专利技术。公司拥有世界上独创的高压羰化制草酸二甲酯，草酸二甲酯液相氨解制草酰胺工业专利技术，完成了中试首次工业应用，具备了大规模工业化生产的条件。</w:t>
      </w:r>
    </w:p>
    <w:p w14:paraId="5CF622B3">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氮肥工业是国民经济的重要基础工业，更是农牧业生产发展的支柱产业，也是直接关系人类生存和身体健康的重要化学工业，在国民经济中占有重要地位。长期以来，为了解决速效氮肥施肥后被水流带走造成的损失和浪费，提高氮肥利用率，我国和世界各国都投入大量人力、物力和资金，对尿素等速效氮肥改造成缓释肥料进行研究和开发。速效氮肥工业的严重缺陷，迫切需要进行产业结构调整和产品升级换代，创新并开发成功能满足农业作物生育期养分需求、可一次性施用的新型缓效氮肥，以提高氮肥的肥效和利用率，实现农业产品的绿色化和高效化，以实现氮肥的“减施增效”。</w:t>
      </w:r>
    </w:p>
    <w:p w14:paraId="699E1301">
      <w:pPr>
        <w:pStyle w:val="281"/>
        <w:ind w:firstLine="480"/>
        <w:rPr>
          <w:color w:val="000000" w:themeColor="text1"/>
          <w14:textFill>
            <w14:solidFill>
              <w14:schemeClr w14:val="tx1"/>
            </w14:solidFill>
          </w14:textFill>
        </w:rPr>
      </w:pPr>
      <w:bookmarkStart w:id="8" w:name="_Hlk177035828"/>
      <w:r>
        <w:rPr>
          <w:rFonts w:hint="eastAsia"/>
          <w:color w:val="000000" w:themeColor="text1"/>
          <w14:textFill>
            <w14:solidFill>
              <w14:schemeClr w14:val="tx1"/>
            </w14:solidFill>
          </w14:textFill>
        </w:rPr>
        <w:t>多年来，上海戊正工程技术有限公司以煤化工版块为核心，深耕协作、转型发展。为积极响应国家双碳战略目标，实现低碳清洁发展的要求，也抓住煤化工绿色转型带来的发展时机，从绿色发展中寻找机遇和动力，并积极探索煤化工与新能源耦合一体化发展的路径。为此新疆天科隆化学有限公司拟在哈密工业园区建设年产6.2万吨水电解制氢及50万吨绿色草酰胺、80万吨有机高效缓释肥项目。项目以煤炭为原料，经过干煤粉气化、合成气净化、CO深冷分离等单元，加工生产DMO（草酸二甲酯），电解水制氢来的氢气与空分装置送来的氮气生产合成氨，作为生产草酰胺的原料。大部分草酰胺作为产品，部分草酰胺与外购的氮磷钾肥混合生产高效有机缓释肥。</w:t>
      </w:r>
    </w:p>
    <w:p w14:paraId="704BEF5E">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本项目建成后，可改善环境质量，破解粮食安全与过度施肥带来的问题及矛盾，同时为哈密开拓新能源消纳、加快新能源投资建设探索出一条新路径，为哈密市产业结构升级、绿色循环经济发展增添新动力。</w:t>
      </w:r>
    </w:p>
    <w:bookmarkEnd w:id="8"/>
    <w:p w14:paraId="2C2AD978">
      <w:pPr>
        <w:pStyle w:val="281"/>
        <w:ind w:firstLine="480"/>
        <w:rPr>
          <w:color w:val="FF0000"/>
        </w:rPr>
      </w:pPr>
      <w:r>
        <w:rPr>
          <w:rFonts w:hint="eastAsia"/>
          <w:color w:val="000000" w:themeColor="text1"/>
          <w14:textFill>
            <w14:solidFill>
              <w14:schemeClr w14:val="tx1"/>
            </w14:solidFill>
          </w14:textFill>
        </w:rPr>
        <w:t>本项目已于哈密高新区发展和改革委员会取得项目备案证（2409291602652200000242）。备案明确本项目建设内容为：年产6.2万吨电解水制氢及储氢、储氨装置；20万吨/年绿氨装置；50万吨/年绿色草酰胺装置；80万吨/年有机高效缓释肥料生产线；60万吨二氧化碳回收装置以及公用工程、辅助工程以及环保工程。备案后建设单位对项目建设内容进行了调整，并申请备案变更，变更后建设内容为：年产6.2万吨电解水制氢及储氢、储氨装置；30万吨氨合成装置；50万吨草酰胺装置；80万吨草酰胺有机缓释肥装置。</w:t>
      </w:r>
    </w:p>
    <w:bookmarkEnd w:id="7"/>
    <w:p w14:paraId="02E58EDD">
      <w:pPr>
        <w:pStyle w:val="3"/>
        <w:rPr>
          <w:rFonts w:hint="eastAsia"/>
        </w:rPr>
      </w:pPr>
      <w:bookmarkStart w:id="9" w:name="_Toc23081"/>
      <w:bookmarkStart w:id="10" w:name="_Toc533789916"/>
      <w:r>
        <w:t>环境影响评价工作过程</w:t>
      </w:r>
      <w:bookmarkEnd w:id="9"/>
      <w:bookmarkEnd w:id="10"/>
    </w:p>
    <w:p w14:paraId="3BA66597">
      <w:pPr>
        <w:pStyle w:val="281"/>
        <w:ind w:firstLine="480"/>
        <w:rPr>
          <w:rFonts w:cs="Times New Roman"/>
        </w:rPr>
      </w:pPr>
      <w:r>
        <w:rPr>
          <w:rFonts w:hint="eastAsia"/>
        </w:rPr>
        <w:t>根据国务院第</w:t>
      </w:r>
      <w:r>
        <w:t>682</w:t>
      </w:r>
      <w:r>
        <w:rPr>
          <w:rFonts w:hint="eastAsia"/>
        </w:rPr>
        <w:t>号令《建设项目环境保护管理条例》及《中华人民共和国环境影响评价法》规定及有关环境保护</w:t>
      </w:r>
      <w:r>
        <w:rPr>
          <w:rFonts w:cs="Times New Roman"/>
        </w:rPr>
        <w:t>政策法规的要求，新疆天科隆化学有限公司委托新疆寰宇工程咨询有限公司进行</w:t>
      </w:r>
      <w:r>
        <w:rPr>
          <w:rFonts w:hint="eastAsia" w:cs="Times New Roman"/>
        </w:rPr>
        <w:t>6.2万吨水电解制氢及50万吨绿色草酰胺、80万吨有机高效缓释肥项目</w:t>
      </w:r>
      <w:r>
        <w:rPr>
          <w:rFonts w:hint="eastAsia"/>
        </w:rPr>
        <w:t>的环境影响评价工作。</w:t>
      </w:r>
    </w:p>
    <w:p w14:paraId="79941943">
      <w:pPr>
        <w:pStyle w:val="281"/>
        <w:ind w:firstLine="480"/>
      </w:pPr>
      <w:r>
        <w:rPr>
          <w:rFonts w:hint="eastAsia"/>
        </w:rPr>
        <w:t>本次环境影响评价工作分三个阶段完成，即前期准备、调研和工作方案阶段，分析论证和预测评价阶段，环境影响文件编制阶段。接受委托后，根据建设单位提供的相关文件和技术资料，评价单位组织有关环评人员赴现场进行实地踏勘，对评价区范围的自然环境、工业企业及人口分布情况进行了调查，收集了当地水文、地质、气象以及环境现状等资料，开展环境现状监测。建设单位进行了公众参与调查和公示，根据公众意见和建议，提出了相关的污染治理措施，对建设项目进行了认真细致的工程分析，根据各环境要素的评价等级筛选及其相应评价等级要求，对各环境要素进行了环境影响预测和评价，提出了相应的环境保护措施并进行了技术经济论证，在此基础上编制完成了《新疆天科隆化学有限公司6.2万吨水电解制氢及50万吨绿色草酰胺、80万吨有机高效缓释肥项目环境影响报告书》，并提交生态环境部门和专家审查。</w:t>
      </w:r>
    </w:p>
    <w:p w14:paraId="419A1427">
      <w:pPr>
        <w:pStyle w:val="281"/>
        <w:ind w:firstLine="480"/>
      </w:pPr>
      <w:r>
        <w:rPr>
          <w:rFonts w:hint="eastAsia"/>
        </w:rPr>
        <w:t>本项目报告书经有审批权限的生态环境部门批复后，环境影响评价工作即全部结束，评价工作见工作程序流程图。</w:t>
      </w:r>
    </w:p>
    <w:p w14:paraId="4F03FCE6">
      <w:pPr>
        <w:spacing w:line="360" w:lineRule="auto"/>
        <w:ind w:firstLine="482"/>
        <w:rPr>
          <w:rFonts w:hint="eastAsia"/>
          <w:b/>
        </w:rPr>
      </w:pPr>
      <w:r>
        <w:rPr>
          <w:b/>
        </w:rPr>
        <w:t>编制过程说明：</w:t>
      </w:r>
    </w:p>
    <w:p w14:paraId="6709F080">
      <w:pPr>
        <w:pStyle w:val="281"/>
        <w:ind w:firstLine="480"/>
      </w:pPr>
      <w:r>
        <w:rPr>
          <w:rFonts w:hint="eastAsia" w:ascii="宋体" w:hAnsi="宋体"/>
        </w:rPr>
        <w:t>评价单位承接本建设项目环评任务后，通过搜集技术文件资料进行初步工程分析，委派环评人员奔赴现场勘查开展逐步的环境现状调查，在此基础上进行环境影响识别和评价因子筛选，明确评价重点和环境保护目标，确定工作等级、评价范围和评价标准，完成第一阶段制定工作方案的工作；接下来开展第二阶段工作，完成工程分析、项目环境现状调查、监测与评价；第三阶段工作在前期工作成果基础上，提出环境保护措施，核算统计污染物排放清单，综合分析得出建设项目环境影响评价结论。汇集以上工作成果编制完成环境影响报告书后即提交技术评估、主管部门预审，最终报送有审批权限的生态环境部门审批。</w:t>
      </w:r>
    </w:p>
    <w:p w14:paraId="035C3C64">
      <w:pPr>
        <w:pStyle w:val="281"/>
        <w:ind w:firstLine="480"/>
      </w:pPr>
      <w:r>
        <w:rPr>
          <w:rFonts w:hint="eastAsia" w:ascii="宋体"/>
        </w:rPr>
        <w:t>在报告书编制过程中</w:t>
      </w:r>
      <w:r>
        <w:t>得到了各级</w:t>
      </w:r>
      <w:r>
        <w:rPr>
          <w:rFonts w:hint="eastAsia" w:ascii="宋体"/>
        </w:rPr>
        <w:t>生态环境</w:t>
      </w:r>
      <w:r>
        <w:t>部门</w:t>
      </w:r>
      <w:r>
        <w:rPr>
          <w:rFonts w:hint="eastAsia"/>
        </w:rPr>
        <w:t>、</w:t>
      </w:r>
      <w:r>
        <w:t>建设单位</w:t>
      </w:r>
      <w:r>
        <w:rPr>
          <w:rFonts w:hint="eastAsia"/>
        </w:rPr>
        <w:t>、监测单位及相关专家</w:t>
      </w:r>
      <w:r>
        <w:t>的大力支持和帮助，在此一并致以诚挚的谢意！</w:t>
      </w:r>
    </w:p>
    <w:p w14:paraId="04856C4C">
      <w:pPr>
        <w:pStyle w:val="91"/>
        <w:spacing w:line="360" w:lineRule="auto"/>
        <w:ind w:firstLine="0" w:firstLineChars="0"/>
        <w:jc w:val="center"/>
        <w:rPr>
          <w:rFonts w:hint="eastAsia"/>
        </w:rPr>
      </w:pPr>
      <w:r>
        <mc:AlternateContent>
          <mc:Choice Requires="wpg">
            <w:drawing>
              <wp:inline distT="0" distB="0" distL="0" distR="0">
                <wp:extent cx="5525135" cy="6804025"/>
                <wp:effectExtent l="9525" t="9525" r="8890" b="6350"/>
                <wp:docPr id="493638309" name="组合 126"/>
                <wp:cNvGraphicFramePr/>
                <a:graphic xmlns:a="http://schemas.openxmlformats.org/drawingml/2006/main">
                  <a:graphicData uri="http://schemas.microsoft.com/office/word/2010/wordprocessingGroup">
                    <wpg:wgp>
                      <wpg:cNvGrpSpPr/>
                      <wpg:grpSpPr>
                        <a:xfrm>
                          <a:off x="0" y="0"/>
                          <a:ext cx="5525135" cy="6804025"/>
                          <a:chOff x="1695" y="1765"/>
                          <a:chExt cx="8523" cy="9485"/>
                        </a:xfrm>
                      </wpg:grpSpPr>
                      <wps:wsp>
                        <wps:cNvPr id="1562124877" name="矩形 5"/>
                        <wps:cNvSpPr>
                          <a:spLocks noChangeAspect="1" noChangeArrowheads="1" noTextEdit="1"/>
                        </wps:cNvSpPr>
                        <wps:spPr bwMode="auto">
                          <a:xfrm>
                            <a:off x="1698" y="1765"/>
                            <a:ext cx="8520" cy="9485"/>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527258012" name="文本框 6"/>
                        <wps:cNvSpPr txBox="1">
                          <a:spLocks noChangeArrowheads="1"/>
                        </wps:cNvSpPr>
                        <wps:spPr bwMode="auto">
                          <a:xfrm>
                            <a:off x="3811" y="2069"/>
                            <a:ext cx="4133" cy="315"/>
                          </a:xfrm>
                          <a:prstGeom prst="rect">
                            <a:avLst/>
                          </a:prstGeom>
                          <a:solidFill>
                            <a:srgbClr val="FFFFFF"/>
                          </a:solidFill>
                          <a:ln w="9525">
                            <a:solidFill>
                              <a:srgbClr val="000000"/>
                            </a:solidFill>
                            <a:miter lim="800000"/>
                          </a:ln>
                        </wps:spPr>
                        <wps:txbx>
                          <w:txbxContent>
                            <w:p w14:paraId="7B138AE2">
                              <w:pPr>
                                <w:ind w:firstLine="360"/>
                                <w:rPr>
                                  <w:rFonts w:hint="eastAsia" w:cs="宋体-18030"/>
                                  <w:sz w:val="18"/>
                                  <w:szCs w:val="18"/>
                                </w:rPr>
                              </w:pPr>
                              <w:r>
                                <w:rPr>
                                  <w:rFonts w:hint="eastAsia" w:cs="宋体-18030"/>
                                  <w:sz w:val="18"/>
                                  <w:szCs w:val="18"/>
                                </w:rPr>
                                <w:t>依据相关规定确定环境影响评价文件类型</w:t>
                              </w:r>
                            </w:p>
                            <w:p w14:paraId="37C3F225">
                              <w:pPr>
                                <w:rPr>
                                  <w:rFonts w:hint="eastAsia"/>
                                </w:rPr>
                              </w:pPr>
                            </w:p>
                          </w:txbxContent>
                        </wps:txbx>
                        <wps:bodyPr rot="0" vert="horz" wrap="square" lIns="0" tIns="0" rIns="0" bIns="0" anchor="t" anchorCtr="0" upright="1">
                          <a:noAutofit/>
                        </wps:bodyPr>
                      </wps:wsp>
                      <wps:wsp>
                        <wps:cNvPr id="753761865" name="文本框 7"/>
                        <wps:cNvSpPr txBox="1">
                          <a:spLocks noChangeArrowheads="1"/>
                        </wps:cNvSpPr>
                        <wps:spPr bwMode="auto">
                          <a:xfrm>
                            <a:off x="3821" y="2648"/>
                            <a:ext cx="4123" cy="990"/>
                          </a:xfrm>
                          <a:prstGeom prst="rect">
                            <a:avLst/>
                          </a:prstGeom>
                          <a:solidFill>
                            <a:srgbClr val="FFFFFF"/>
                          </a:solidFill>
                          <a:ln w="9525">
                            <a:solidFill>
                              <a:srgbClr val="000000"/>
                            </a:solidFill>
                            <a:miter lim="800000"/>
                          </a:ln>
                        </wps:spPr>
                        <wps:txbx>
                          <w:txbxContent>
                            <w:p w14:paraId="292DF286">
                              <w:pPr>
                                <w:ind w:firstLine="360"/>
                                <w:rPr>
                                  <w:rFonts w:hint="eastAsia" w:cs="宋体-18030"/>
                                  <w:sz w:val="18"/>
                                  <w:szCs w:val="18"/>
                                </w:rPr>
                              </w:pPr>
                              <w:r>
                                <w:rPr>
                                  <w:rFonts w:hint="eastAsia" w:cs="宋体-18030"/>
                                  <w:sz w:val="18"/>
                                  <w:szCs w:val="18"/>
                                </w:rPr>
                                <w:t>1研究相关技术文件和其他有关文件</w:t>
                              </w:r>
                            </w:p>
                            <w:p w14:paraId="62BDCABB">
                              <w:pPr>
                                <w:ind w:firstLine="360"/>
                                <w:rPr>
                                  <w:rFonts w:hint="eastAsia" w:cs="宋体-18030"/>
                                  <w:sz w:val="18"/>
                                  <w:szCs w:val="18"/>
                                </w:rPr>
                              </w:pPr>
                              <w:r>
                                <w:rPr>
                                  <w:rFonts w:hint="eastAsia" w:cs="宋体-18030"/>
                                  <w:sz w:val="18"/>
                                  <w:szCs w:val="18"/>
                                </w:rPr>
                                <w:t>2进行初步工程分析</w:t>
                              </w:r>
                            </w:p>
                            <w:p w14:paraId="26174FC9">
                              <w:pPr>
                                <w:ind w:firstLine="360"/>
                                <w:rPr>
                                  <w:rFonts w:hint="eastAsia" w:cs="宋体-18030"/>
                                  <w:sz w:val="18"/>
                                  <w:szCs w:val="18"/>
                                </w:rPr>
                              </w:pPr>
                              <w:r>
                                <w:rPr>
                                  <w:rFonts w:hint="eastAsia" w:cs="宋体-18030"/>
                                  <w:sz w:val="18"/>
                                  <w:szCs w:val="18"/>
                                </w:rPr>
                                <w:t>3开展初步的环境现状调查</w:t>
                              </w:r>
                            </w:p>
                          </w:txbxContent>
                        </wps:txbx>
                        <wps:bodyPr rot="0" vert="horz" wrap="square" lIns="91440" tIns="45720" rIns="91440" bIns="18000" anchor="t" anchorCtr="0" upright="1">
                          <a:noAutofit/>
                        </wps:bodyPr>
                      </wps:wsp>
                      <wps:wsp>
                        <wps:cNvPr id="2087552890" name="直接连接符 8"/>
                        <wps:cNvCnPr>
                          <a:cxnSpLocks noChangeShapeType="1"/>
                        </wps:cNvCnPr>
                        <wps:spPr bwMode="auto">
                          <a:xfrm>
                            <a:off x="5880" y="2384"/>
                            <a:ext cx="2" cy="283"/>
                          </a:xfrm>
                          <a:prstGeom prst="line">
                            <a:avLst/>
                          </a:prstGeom>
                          <a:noFill/>
                          <a:ln w="9525">
                            <a:solidFill>
                              <a:srgbClr val="000000"/>
                            </a:solidFill>
                            <a:round/>
                            <a:tailEnd type="triangle" w="med" len="med"/>
                          </a:ln>
                        </wps:spPr>
                        <wps:bodyPr/>
                      </wps:wsp>
                      <wps:wsp>
                        <wps:cNvPr id="794242156" name="直接连接符 9"/>
                        <wps:cNvCnPr>
                          <a:cxnSpLocks noChangeShapeType="1"/>
                        </wps:cNvCnPr>
                        <wps:spPr bwMode="auto">
                          <a:xfrm>
                            <a:off x="5896" y="3643"/>
                            <a:ext cx="1" cy="283"/>
                          </a:xfrm>
                          <a:prstGeom prst="line">
                            <a:avLst/>
                          </a:prstGeom>
                          <a:noFill/>
                          <a:ln w="9525">
                            <a:solidFill>
                              <a:srgbClr val="000000"/>
                            </a:solidFill>
                            <a:round/>
                            <a:tailEnd type="triangle" w="med" len="med"/>
                          </a:ln>
                        </wps:spPr>
                        <wps:bodyPr/>
                      </wps:wsp>
                      <wps:wsp>
                        <wps:cNvPr id="1399488335" name="直接连接符 10"/>
                        <wps:cNvCnPr>
                          <a:cxnSpLocks noChangeShapeType="1"/>
                        </wps:cNvCnPr>
                        <wps:spPr bwMode="auto">
                          <a:xfrm>
                            <a:off x="5889" y="4916"/>
                            <a:ext cx="1" cy="283"/>
                          </a:xfrm>
                          <a:prstGeom prst="line">
                            <a:avLst/>
                          </a:prstGeom>
                          <a:noFill/>
                          <a:ln w="9525">
                            <a:solidFill>
                              <a:srgbClr val="000000"/>
                            </a:solidFill>
                            <a:round/>
                            <a:tailEnd type="triangle" w="med" len="med"/>
                          </a:ln>
                        </wps:spPr>
                        <wps:bodyPr/>
                      </wps:wsp>
                      <wps:wsp>
                        <wps:cNvPr id="1976922172" name="直接连接符 11"/>
                        <wps:cNvCnPr>
                          <a:cxnSpLocks noChangeShapeType="1"/>
                        </wps:cNvCnPr>
                        <wps:spPr bwMode="auto">
                          <a:xfrm>
                            <a:off x="5890" y="5541"/>
                            <a:ext cx="0" cy="539"/>
                          </a:xfrm>
                          <a:prstGeom prst="line">
                            <a:avLst/>
                          </a:prstGeom>
                          <a:noFill/>
                          <a:ln w="9525">
                            <a:solidFill>
                              <a:srgbClr val="000000"/>
                            </a:solidFill>
                            <a:round/>
                            <a:tailEnd type="triangle" w="med" len="med"/>
                          </a:ln>
                        </wps:spPr>
                        <wps:bodyPr/>
                      </wps:wsp>
                      <wps:wsp>
                        <wps:cNvPr id="646031705" name="直接连接符 12"/>
                        <wps:cNvCnPr>
                          <a:cxnSpLocks noChangeShapeType="1"/>
                        </wps:cNvCnPr>
                        <wps:spPr bwMode="auto">
                          <a:xfrm>
                            <a:off x="1770" y="5775"/>
                            <a:ext cx="8448" cy="0"/>
                          </a:xfrm>
                          <a:prstGeom prst="line">
                            <a:avLst/>
                          </a:prstGeom>
                          <a:noFill/>
                          <a:ln w="9525">
                            <a:solidFill>
                              <a:srgbClr val="000000"/>
                            </a:solidFill>
                            <a:prstDash val="sysDot"/>
                            <a:round/>
                          </a:ln>
                        </wps:spPr>
                        <wps:bodyPr/>
                      </wps:wsp>
                      <wps:wsp>
                        <wps:cNvPr id="170568531" name="直接连接符 13"/>
                        <wps:cNvCnPr>
                          <a:cxnSpLocks noChangeShapeType="1"/>
                        </wps:cNvCnPr>
                        <wps:spPr bwMode="auto">
                          <a:xfrm>
                            <a:off x="1695" y="8745"/>
                            <a:ext cx="8516" cy="0"/>
                          </a:xfrm>
                          <a:prstGeom prst="line">
                            <a:avLst/>
                          </a:prstGeom>
                          <a:noFill/>
                          <a:ln w="9525">
                            <a:solidFill>
                              <a:srgbClr val="000000"/>
                            </a:solidFill>
                            <a:prstDash val="sysDot"/>
                            <a:round/>
                          </a:ln>
                        </wps:spPr>
                        <wps:bodyPr/>
                      </wps:wsp>
                      <wps:wsp>
                        <wps:cNvPr id="547164930" name="文本框 14"/>
                        <wps:cNvSpPr txBox="1">
                          <a:spLocks noChangeArrowheads="1"/>
                        </wps:cNvSpPr>
                        <wps:spPr bwMode="auto">
                          <a:xfrm>
                            <a:off x="1785" y="3593"/>
                            <a:ext cx="687" cy="990"/>
                          </a:xfrm>
                          <a:prstGeom prst="rect">
                            <a:avLst/>
                          </a:prstGeom>
                          <a:solidFill>
                            <a:srgbClr val="FFFFFF"/>
                          </a:solidFill>
                          <a:ln>
                            <a:noFill/>
                          </a:ln>
                        </wps:spPr>
                        <wps:txbx>
                          <w:txbxContent>
                            <w:p w14:paraId="67CFB8E3">
                              <w:pPr>
                                <w:rPr>
                                  <w:rFonts w:hint="eastAsia"/>
                                  <w:sz w:val="18"/>
                                  <w:szCs w:val="18"/>
                                </w:rPr>
                              </w:pPr>
                              <w:r>
                                <w:rPr>
                                  <w:rFonts w:hint="eastAsia"/>
                                  <w:sz w:val="18"/>
                                  <w:szCs w:val="18"/>
                                </w:rPr>
                                <w:t>第一阶段</w:t>
                              </w:r>
                            </w:p>
                          </w:txbxContent>
                        </wps:txbx>
                        <wps:bodyPr rot="0" vert="eaVert" wrap="square" lIns="91440" tIns="45720" rIns="91440" bIns="45720" anchor="t" anchorCtr="0" upright="1">
                          <a:noAutofit/>
                        </wps:bodyPr>
                      </wps:wsp>
                      <wps:wsp>
                        <wps:cNvPr id="215239733" name="文本框 15"/>
                        <wps:cNvSpPr txBox="1">
                          <a:spLocks noChangeArrowheads="1"/>
                        </wps:cNvSpPr>
                        <wps:spPr bwMode="auto">
                          <a:xfrm>
                            <a:off x="1957" y="6569"/>
                            <a:ext cx="530" cy="1132"/>
                          </a:xfrm>
                          <a:prstGeom prst="rect">
                            <a:avLst/>
                          </a:prstGeom>
                          <a:solidFill>
                            <a:srgbClr val="FFFFFF"/>
                          </a:solidFill>
                          <a:ln>
                            <a:noFill/>
                          </a:ln>
                        </wps:spPr>
                        <wps:txbx>
                          <w:txbxContent>
                            <w:p w14:paraId="1804FD5A">
                              <w:pPr>
                                <w:ind w:firstLine="360"/>
                                <w:rPr>
                                  <w:rFonts w:hint="eastAsia"/>
                                  <w:sz w:val="18"/>
                                  <w:szCs w:val="18"/>
                                </w:rPr>
                              </w:pPr>
                              <w:r>
                                <w:rPr>
                                  <w:rFonts w:hint="eastAsia"/>
                                  <w:sz w:val="18"/>
                                  <w:szCs w:val="18"/>
                                </w:rPr>
                                <w:t>第二阶段</w:t>
                              </w:r>
                            </w:p>
                          </w:txbxContent>
                        </wps:txbx>
                        <wps:bodyPr rot="0" vert="eaVert" wrap="square" lIns="72000" tIns="45720" rIns="91440" bIns="45720" anchor="t" anchorCtr="0" upright="1">
                          <a:noAutofit/>
                        </wps:bodyPr>
                      </wps:wsp>
                      <wps:wsp>
                        <wps:cNvPr id="1051349775" name="文本框 16"/>
                        <wps:cNvSpPr txBox="1">
                          <a:spLocks noChangeArrowheads="1"/>
                        </wps:cNvSpPr>
                        <wps:spPr bwMode="auto">
                          <a:xfrm>
                            <a:off x="1972" y="9583"/>
                            <a:ext cx="530" cy="991"/>
                          </a:xfrm>
                          <a:prstGeom prst="rect">
                            <a:avLst/>
                          </a:prstGeom>
                          <a:solidFill>
                            <a:srgbClr val="FFFFFF"/>
                          </a:solidFill>
                          <a:ln>
                            <a:noFill/>
                          </a:ln>
                        </wps:spPr>
                        <wps:txbx>
                          <w:txbxContent>
                            <w:p w14:paraId="258FB178">
                              <w:pPr>
                                <w:rPr>
                                  <w:rFonts w:hint="eastAsia"/>
                                  <w:sz w:val="18"/>
                                  <w:szCs w:val="18"/>
                                </w:rPr>
                              </w:pPr>
                              <w:r>
                                <w:rPr>
                                  <w:rFonts w:hint="eastAsia"/>
                                  <w:sz w:val="18"/>
                                  <w:szCs w:val="18"/>
                                </w:rPr>
                                <w:t>第三阶段</w:t>
                              </w:r>
                            </w:p>
                          </w:txbxContent>
                        </wps:txbx>
                        <wps:bodyPr rot="0" vert="eaVert" wrap="square" lIns="72000" tIns="45720" rIns="91440" bIns="45720" anchor="t" anchorCtr="0" upright="1">
                          <a:noAutofit/>
                        </wps:bodyPr>
                      </wps:wsp>
                      <wps:wsp>
                        <wps:cNvPr id="1711375910" name="文本框 17"/>
                        <wps:cNvSpPr txBox="1">
                          <a:spLocks noChangeArrowheads="1"/>
                        </wps:cNvSpPr>
                        <wps:spPr bwMode="auto">
                          <a:xfrm>
                            <a:off x="4688" y="5199"/>
                            <a:ext cx="2405" cy="325"/>
                          </a:xfrm>
                          <a:prstGeom prst="rect">
                            <a:avLst/>
                          </a:prstGeom>
                          <a:solidFill>
                            <a:srgbClr val="FFFFFF"/>
                          </a:solidFill>
                          <a:ln w="9525">
                            <a:solidFill>
                              <a:srgbClr val="000000"/>
                            </a:solidFill>
                            <a:miter lim="800000"/>
                          </a:ln>
                        </wps:spPr>
                        <wps:txbx>
                          <w:txbxContent>
                            <w:p w14:paraId="25DC0E25">
                              <w:pPr>
                                <w:ind w:firstLine="360"/>
                                <w:rPr>
                                  <w:rFonts w:hint="eastAsia" w:cs="宋体-18030"/>
                                  <w:sz w:val="18"/>
                                  <w:szCs w:val="18"/>
                                </w:rPr>
                              </w:pPr>
                              <w:r>
                                <w:rPr>
                                  <w:rFonts w:hint="eastAsia" w:cs="宋体-18030"/>
                                  <w:sz w:val="18"/>
                                  <w:szCs w:val="18"/>
                                </w:rPr>
                                <w:t>制定工作方案</w:t>
                              </w:r>
                            </w:p>
                          </w:txbxContent>
                        </wps:txbx>
                        <wps:bodyPr rot="0" vert="horz" wrap="square" lIns="0" tIns="0" rIns="0" bIns="0" anchor="t" anchorCtr="0" upright="1">
                          <a:noAutofit/>
                        </wps:bodyPr>
                      </wps:wsp>
                      <wps:wsp>
                        <wps:cNvPr id="666659382" name="直接箭头连接符 18"/>
                        <wps:cNvCnPr>
                          <a:cxnSpLocks noChangeShapeType="1"/>
                        </wps:cNvCnPr>
                        <wps:spPr bwMode="auto">
                          <a:xfrm>
                            <a:off x="4159" y="6080"/>
                            <a:ext cx="3430" cy="0"/>
                          </a:xfrm>
                          <a:prstGeom prst="straightConnector1">
                            <a:avLst/>
                          </a:prstGeom>
                          <a:noFill/>
                          <a:ln w="9525">
                            <a:solidFill>
                              <a:srgbClr val="000000"/>
                            </a:solidFill>
                            <a:round/>
                          </a:ln>
                        </wps:spPr>
                        <wps:bodyPr/>
                      </wps:wsp>
                      <wps:wsp>
                        <wps:cNvPr id="16753068" name="直接箭头连接符 19"/>
                        <wps:cNvCnPr>
                          <a:cxnSpLocks noChangeShapeType="1"/>
                        </wps:cNvCnPr>
                        <wps:spPr bwMode="auto">
                          <a:xfrm>
                            <a:off x="4159" y="6080"/>
                            <a:ext cx="0" cy="193"/>
                          </a:xfrm>
                          <a:prstGeom prst="straightConnector1">
                            <a:avLst/>
                          </a:prstGeom>
                          <a:noFill/>
                          <a:ln w="9525">
                            <a:solidFill>
                              <a:srgbClr val="000000"/>
                            </a:solidFill>
                            <a:round/>
                          </a:ln>
                        </wps:spPr>
                        <wps:bodyPr/>
                      </wps:wsp>
                      <wps:wsp>
                        <wps:cNvPr id="1044275265" name="文本框 20"/>
                        <wps:cNvSpPr txBox="1">
                          <a:spLocks noChangeArrowheads="1"/>
                        </wps:cNvSpPr>
                        <wps:spPr bwMode="auto">
                          <a:xfrm>
                            <a:off x="3350" y="6273"/>
                            <a:ext cx="1600" cy="756"/>
                          </a:xfrm>
                          <a:prstGeom prst="rect">
                            <a:avLst/>
                          </a:prstGeom>
                          <a:solidFill>
                            <a:srgbClr val="FFFFFF"/>
                          </a:solidFill>
                          <a:ln w="9525">
                            <a:solidFill>
                              <a:srgbClr val="000000"/>
                            </a:solidFill>
                            <a:miter lim="800000"/>
                          </a:ln>
                        </wps:spPr>
                        <wps:txbx>
                          <w:txbxContent>
                            <w:p w14:paraId="49AE3B32">
                              <w:pPr>
                                <w:rPr>
                                  <w:rFonts w:hint="eastAsia" w:cs="宋体-18030"/>
                                  <w:sz w:val="18"/>
                                  <w:szCs w:val="18"/>
                                </w:rPr>
                              </w:pPr>
                              <w:r>
                                <w:rPr>
                                  <w:rFonts w:hint="eastAsia" w:cs="宋体-18030"/>
                                  <w:sz w:val="18"/>
                                  <w:szCs w:val="18"/>
                                </w:rPr>
                                <w:t>环境现状调查</w:t>
                              </w:r>
                            </w:p>
                            <w:p w14:paraId="3C21CD4C">
                              <w:pPr>
                                <w:rPr>
                                  <w:rFonts w:hint="eastAsia" w:cs="宋体-18030"/>
                                  <w:sz w:val="18"/>
                                  <w:szCs w:val="18"/>
                                </w:rPr>
                              </w:pPr>
                              <w:r>
                                <w:rPr>
                                  <w:rFonts w:hint="eastAsia" w:cs="宋体-18030"/>
                                  <w:sz w:val="18"/>
                                  <w:szCs w:val="18"/>
                                </w:rPr>
                                <w:t>监测与评价</w:t>
                              </w:r>
                            </w:p>
                          </w:txbxContent>
                        </wps:txbx>
                        <wps:bodyPr rot="0" vert="horz" wrap="square" lIns="91440" tIns="45720" rIns="91440" bIns="45720" anchor="t" anchorCtr="0" upright="1">
                          <a:noAutofit/>
                        </wps:bodyPr>
                      </wps:wsp>
                      <wps:wsp>
                        <wps:cNvPr id="992720842" name="直接箭头连接符 21"/>
                        <wps:cNvCnPr>
                          <a:cxnSpLocks noChangeShapeType="1"/>
                        </wps:cNvCnPr>
                        <wps:spPr bwMode="auto">
                          <a:xfrm>
                            <a:off x="4149" y="7029"/>
                            <a:ext cx="0" cy="193"/>
                          </a:xfrm>
                          <a:prstGeom prst="straightConnector1">
                            <a:avLst/>
                          </a:prstGeom>
                          <a:noFill/>
                          <a:ln w="9525">
                            <a:solidFill>
                              <a:srgbClr val="000000"/>
                            </a:solidFill>
                            <a:round/>
                          </a:ln>
                        </wps:spPr>
                        <wps:bodyPr/>
                      </wps:wsp>
                      <wps:wsp>
                        <wps:cNvPr id="730393259" name="文本框 22"/>
                        <wps:cNvSpPr txBox="1">
                          <a:spLocks noChangeArrowheads="1"/>
                        </wps:cNvSpPr>
                        <wps:spPr bwMode="auto">
                          <a:xfrm>
                            <a:off x="7053" y="6273"/>
                            <a:ext cx="1051" cy="756"/>
                          </a:xfrm>
                          <a:prstGeom prst="rect">
                            <a:avLst/>
                          </a:prstGeom>
                          <a:solidFill>
                            <a:srgbClr val="FFFFFF"/>
                          </a:solidFill>
                          <a:ln w="9525">
                            <a:solidFill>
                              <a:srgbClr val="000000"/>
                            </a:solidFill>
                            <a:miter lim="800000"/>
                          </a:ln>
                        </wps:spPr>
                        <wps:txbx>
                          <w:txbxContent>
                            <w:p w14:paraId="2A1F487A">
                              <w:pPr>
                                <w:jc w:val="center"/>
                                <w:rPr>
                                  <w:rFonts w:hint="eastAsia" w:cs="宋体-18030"/>
                                  <w:sz w:val="18"/>
                                  <w:szCs w:val="18"/>
                                </w:rPr>
                              </w:pPr>
                              <w:r>
                                <w:rPr>
                                  <w:rFonts w:hint="eastAsia" w:cs="宋体-18030"/>
                                  <w:sz w:val="18"/>
                                  <w:szCs w:val="18"/>
                                </w:rPr>
                                <w:t>建设项目</w:t>
                              </w:r>
                            </w:p>
                            <w:p w14:paraId="0D2C37BB">
                              <w:pPr>
                                <w:rPr>
                                  <w:rFonts w:hint="eastAsia" w:cs="宋体-18030"/>
                                  <w:sz w:val="18"/>
                                  <w:szCs w:val="18"/>
                                </w:rPr>
                              </w:pPr>
                              <w:r>
                                <w:rPr>
                                  <w:rFonts w:hint="eastAsia" w:cs="宋体-18030"/>
                                  <w:sz w:val="18"/>
                                  <w:szCs w:val="18"/>
                                </w:rPr>
                                <w:t>工程分析</w:t>
                              </w:r>
                            </w:p>
                          </w:txbxContent>
                        </wps:txbx>
                        <wps:bodyPr rot="0" vert="horz" wrap="square" lIns="91440" tIns="45720" rIns="91440" bIns="45720" anchor="t" anchorCtr="0" upright="1">
                          <a:noAutofit/>
                        </wps:bodyPr>
                      </wps:wsp>
                      <wps:wsp>
                        <wps:cNvPr id="1766358726" name="直接箭头连接符 23"/>
                        <wps:cNvCnPr>
                          <a:cxnSpLocks noChangeShapeType="1"/>
                        </wps:cNvCnPr>
                        <wps:spPr bwMode="auto">
                          <a:xfrm>
                            <a:off x="7589" y="6080"/>
                            <a:ext cx="0" cy="193"/>
                          </a:xfrm>
                          <a:prstGeom prst="straightConnector1">
                            <a:avLst/>
                          </a:prstGeom>
                          <a:noFill/>
                          <a:ln w="9525">
                            <a:solidFill>
                              <a:srgbClr val="000000"/>
                            </a:solidFill>
                            <a:round/>
                          </a:ln>
                        </wps:spPr>
                        <wps:bodyPr/>
                      </wps:wsp>
                      <wps:wsp>
                        <wps:cNvPr id="1576013666" name="直接箭头连接符 24"/>
                        <wps:cNvCnPr>
                          <a:cxnSpLocks noChangeShapeType="1"/>
                        </wps:cNvCnPr>
                        <wps:spPr bwMode="auto">
                          <a:xfrm>
                            <a:off x="7589" y="7029"/>
                            <a:ext cx="0" cy="193"/>
                          </a:xfrm>
                          <a:prstGeom prst="straightConnector1">
                            <a:avLst/>
                          </a:prstGeom>
                          <a:noFill/>
                          <a:ln w="9525">
                            <a:solidFill>
                              <a:srgbClr val="000000"/>
                            </a:solidFill>
                            <a:round/>
                          </a:ln>
                        </wps:spPr>
                        <wps:bodyPr/>
                      </wps:wsp>
                      <wps:wsp>
                        <wps:cNvPr id="766516014" name="直接箭头连接符 25"/>
                        <wps:cNvCnPr>
                          <a:cxnSpLocks noChangeShapeType="1"/>
                        </wps:cNvCnPr>
                        <wps:spPr bwMode="auto">
                          <a:xfrm>
                            <a:off x="4159" y="7222"/>
                            <a:ext cx="3430" cy="0"/>
                          </a:xfrm>
                          <a:prstGeom prst="straightConnector1">
                            <a:avLst/>
                          </a:prstGeom>
                          <a:noFill/>
                          <a:ln w="9525">
                            <a:solidFill>
                              <a:srgbClr val="000000"/>
                            </a:solidFill>
                            <a:round/>
                          </a:ln>
                        </wps:spPr>
                        <wps:bodyPr/>
                      </wps:wsp>
                      <wps:wsp>
                        <wps:cNvPr id="2123622154" name="直接连接符 26"/>
                        <wps:cNvCnPr>
                          <a:cxnSpLocks noChangeShapeType="1"/>
                        </wps:cNvCnPr>
                        <wps:spPr bwMode="auto">
                          <a:xfrm>
                            <a:off x="5890" y="7226"/>
                            <a:ext cx="0" cy="539"/>
                          </a:xfrm>
                          <a:prstGeom prst="line">
                            <a:avLst/>
                          </a:prstGeom>
                          <a:noFill/>
                          <a:ln w="9525">
                            <a:solidFill>
                              <a:srgbClr val="000000"/>
                            </a:solidFill>
                            <a:round/>
                            <a:tailEnd type="triangle" w="med" len="med"/>
                          </a:ln>
                        </wps:spPr>
                        <wps:bodyPr/>
                      </wps:wsp>
                      <wps:wsp>
                        <wps:cNvPr id="849792104" name="文本框 27"/>
                        <wps:cNvSpPr txBox="1">
                          <a:spLocks noChangeArrowheads="1"/>
                        </wps:cNvSpPr>
                        <wps:spPr bwMode="auto">
                          <a:xfrm>
                            <a:off x="3828" y="9009"/>
                            <a:ext cx="4123" cy="1026"/>
                          </a:xfrm>
                          <a:prstGeom prst="rect">
                            <a:avLst/>
                          </a:prstGeom>
                          <a:solidFill>
                            <a:srgbClr val="FFFFFF"/>
                          </a:solidFill>
                          <a:ln w="9525">
                            <a:solidFill>
                              <a:srgbClr val="000000"/>
                            </a:solidFill>
                            <a:miter lim="800000"/>
                          </a:ln>
                        </wps:spPr>
                        <wps:txbx>
                          <w:txbxContent>
                            <w:p w14:paraId="0A484AF7">
                              <w:pPr>
                                <w:ind w:firstLine="360"/>
                                <w:rPr>
                                  <w:rFonts w:hint="eastAsia" w:cs="宋体-18030"/>
                                  <w:sz w:val="18"/>
                                  <w:szCs w:val="18"/>
                                </w:rPr>
                              </w:pPr>
                              <w:r>
                                <w:rPr>
                                  <w:rFonts w:hint="eastAsia" w:cs="宋体-18030"/>
                                  <w:sz w:val="18"/>
                                  <w:szCs w:val="18"/>
                                </w:rPr>
                                <w:t>1提出环境保护措施，进行技术经济论证</w:t>
                              </w:r>
                            </w:p>
                            <w:p w14:paraId="1270A499">
                              <w:pPr>
                                <w:ind w:firstLine="360"/>
                                <w:rPr>
                                  <w:rFonts w:hint="eastAsia" w:cs="宋体-18030"/>
                                  <w:sz w:val="18"/>
                                  <w:szCs w:val="18"/>
                                </w:rPr>
                              </w:pPr>
                              <w:r>
                                <w:rPr>
                                  <w:rFonts w:hint="eastAsia" w:cs="宋体-18030"/>
                                  <w:sz w:val="18"/>
                                  <w:szCs w:val="18"/>
                                </w:rPr>
                                <w:t>2给出污染物排放清单</w:t>
                              </w:r>
                            </w:p>
                            <w:p w14:paraId="06674446">
                              <w:pPr>
                                <w:ind w:firstLine="360"/>
                                <w:rPr>
                                  <w:rFonts w:hint="eastAsia" w:cs="宋体-18030"/>
                                  <w:sz w:val="18"/>
                                  <w:szCs w:val="18"/>
                                </w:rPr>
                              </w:pPr>
                              <w:r>
                                <w:rPr>
                                  <w:rFonts w:hint="eastAsia" w:cs="宋体-18030"/>
                                  <w:sz w:val="18"/>
                                  <w:szCs w:val="18"/>
                                </w:rPr>
                                <w:t>3给出建设项目环境影响评价结论</w:t>
                              </w:r>
                            </w:p>
                          </w:txbxContent>
                        </wps:txbx>
                        <wps:bodyPr rot="0" vert="horz" wrap="square" lIns="91440" tIns="45720" rIns="91440" bIns="18000" anchor="t" anchorCtr="0" upright="1">
                          <a:noAutofit/>
                        </wps:bodyPr>
                      </wps:wsp>
                      <wps:wsp>
                        <wps:cNvPr id="1565543539" name="文本框 28"/>
                        <wps:cNvSpPr txBox="1">
                          <a:spLocks noChangeArrowheads="1"/>
                        </wps:cNvSpPr>
                        <wps:spPr bwMode="auto">
                          <a:xfrm>
                            <a:off x="3859" y="7765"/>
                            <a:ext cx="4085" cy="714"/>
                          </a:xfrm>
                          <a:prstGeom prst="rect">
                            <a:avLst/>
                          </a:prstGeom>
                          <a:solidFill>
                            <a:srgbClr val="FFFFFF"/>
                          </a:solidFill>
                          <a:ln w="9525">
                            <a:solidFill>
                              <a:srgbClr val="000000"/>
                            </a:solidFill>
                            <a:miter lim="800000"/>
                          </a:ln>
                        </wps:spPr>
                        <wps:txbx>
                          <w:txbxContent>
                            <w:p w14:paraId="62104074">
                              <w:pPr>
                                <w:ind w:firstLine="360"/>
                                <w:rPr>
                                  <w:rFonts w:hint="eastAsia" w:cs="宋体-18030"/>
                                  <w:sz w:val="18"/>
                                  <w:szCs w:val="18"/>
                                </w:rPr>
                              </w:pPr>
                              <w:r>
                                <w:rPr>
                                  <w:rFonts w:hint="eastAsia" w:cs="宋体-18030"/>
                                  <w:sz w:val="18"/>
                                  <w:szCs w:val="18"/>
                                </w:rPr>
                                <w:t>1各环境要素环境影响预测与评价</w:t>
                              </w:r>
                            </w:p>
                            <w:p w14:paraId="2485960F">
                              <w:pPr>
                                <w:ind w:firstLine="360"/>
                                <w:rPr>
                                  <w:rFonts w:hint="eastAsia" w:cs="宋体-18030"/>
                                  <w:sz w:val="18"/>
                                  <w:szCs w:val="18"/>
                                </w:rPr>
                              </w:pPr>
                              <w:r>
                                <w:rPr>
                                  <w:rFonts w:hint="eastAsia" w:cs="宋体-18030"/>
                                  <w:sz w:val="18"/>
                                  <w:szCs w:val="18"/>
                                </w:rPr>
                                <w:t>2各专题环境影响分析与评价</w:t>
                              </w:r>
                            </w:p>
                          </w:txbxContent>
                        </wps:txbx>
                        <wps:bodyPr rot="0" vert="horz" wrap="square" lIns="91440" tIns="45720" rIns="91440" bIns="18000" anchor="t" anchorCtr="0" upright="1">
                          <a:noAutofit/>
                        </wps:bodyPr>
                      </wps:wsp>
                      <wps:wsp>
                        <wps:cNvPr id="1890690" name="直接连接符 29"/>
                        <wps:cNvCnPr>
                          <a:cxnSpLocks noChangeShapeType="1"/>
                        </wps:cNvCnPr>
                        <wps:spPr bwMode="auto">
                          <a:xfrm>
                            <a:off x="5897" y="8479"/>
                            <a:ext cx="0" cy="539"/>
                          </a:xfrm>
                          <a:prstGeom prst="line">
                            <a:avLst/>
                          </a:prstGeom>
                          <a:noFill/>
                          <a:ln w="9525">
                            <a:solidFill>
                              <a:srgbClr val="000000"/>
                            </a:solidFill>
                            <a:round/>
                            <a:tailEnd type="triangle" w="med" len="med"/>
                          </a:ln>
                        </wps:spPr>
                        <wps:bodyPr/>
                      </wps:wsp>
                      <wps:wsp>
                        <wps:cNvPr id="98145570" name="文本框 30"/>
                        <wps:cNvSpPr txBox="1">
                          <a:spLocks noChangeArrowheads="1"/>
                        </wps:cNvSpPr>
                        <wps:spPr bwMode="auto">
                          <a:xfrm>
                            <a:off x="4675" y="10574"/>
                            <a:ext cx="2405" cy="331"/>
                          </a:xfrm>
                          <a:prstGeom prst="rect">
                            <a:avLst/>
                          </a:prstGeom>
                          <a:solidFill>
                            <a:srgbClr val="FFFFFF"/>
                          </a:solidFill>
                          <a:ln w="9525">
                            <a:solidFill>
                              <a:srgbClr val="000000"/>
                            </a:solidFill>
                            <a:miter lim="800000"/>
                          </a:ln>
                        </wps:spPr>
                        <wps:txbx>
                          <w:txbxContent>
                            <w:p w14:paraId="5E2825E6">
                              <w:pPr>
                                <w:ind w:firstLine="360"/>
                                <w:rPr>
                                  <w:rFonts w:hint="eastAsia" w:cs="宋体-18030"/>
                                  <w:sz w:val="18"/>
                                  <w:szCs w:val="18"/>
                                </w:rPr>
                              </w:pPr>
                              <w:r>
                                <w:rPr>
                                  <w:rFonts w:hint="eastAsia" w:cs="宋体-18030"/>
                                  <w:sz w:val="18"/>
                                  <w:szCs w:val="18"/>
                                </w:rPr>
                                <w:t>编制环境影响报告书</w:t>
                              </w:r>
                            </w:p>
                          </w:txbxContent>
                        </wps:txbx>
                        <wps:bodyPr rot="0" vert="horz" wrap="square" lIns="0" tIns="0" rIns="0" bIns="0" anchor="t" anchorCtr="0" upright="1">
                          <a:noAutofit/>
                        </wps:bodyPr>
                      </wps:wsp>
                      <wps:wsp>
                        <wps:cNvPr id="1505306161" name="Text Box 3803"/>
                        <wps:cNvSpPr txBox="1">
                          <a:spLocks noChangeArrowheads="1"/>
                        </wps:cNvSpPr>
                        <wps:spPr bwMode="auto">
                          <a:xfrm>
                            <a:off x="3836" y="3926"/>
                            <a:ext cx="4123" cy="990"/>
                          </a:xfrm>
                          <a:prstGeom prst="rect">
                            <a:avLst/>
                          </a:prstGeom>
                          <a:solidFill>
                            <a:srgbClr val="FFFFFF"/>
                          </a:solidFill>
                          <a:ln w="9525">
                            <a:solidFill>
                              <a:srgbClr val="000000"/>
                            </a:solidFill>
                            <a:miter lim="800000"/>
                          </a:ln>
                        </wps:spPr>
                        <wps:txbx>
                          <w:txbxContent>
                            <w:p w14:paraId="2DB54807">
                              <w:pPr>
                                <w:ind w:firstLine="360"/>
                                <w:rPr>
                                  <w:rFonts w:hint="eastAsia" w:cs="宋体-18030"/>
                                  <w:sz w:val="18"/>
                                  <w:szCs w:val="18"/>
                                </w:rPr>
                              </w:pPr>
                              <w:r>
                                <w:rPr>
                                  <w:rFonts w:hint="eastAsia" w:cs="宋体-18030"/>
                                  <w:sz w:val="18"/>
                                  <w:szCs w:val="18"/>
                                </w:rPr>
                                <w:t>1环境影响识别和评价因子筛选</w:t>
                              </w:r>
                            </w:p>
                            <w:p w14:paraId="1E9903D2">
                              <w:pPr>
                                <w:ind w:firstLine="360"/>
                                <w:rPr>
                                  <w:rFonts w:hint="eastAsia" w:cs="宋体-18030"/>
                                  <w:sz w:val="18"/>
                                  <w:szCs w:val="18"/>
                                </w:rPr>
                              </w:pPr>
                              <w:r>
                                <w:rPr>
                                  <w:rFonts w:hint="eastAsia" w:cs="宋体-18030"/>
                                  <w:sz w:val="18"/>
                                  <w:szCs w:val="18"/>
                                </w:rPr>
                                <w:t>2明确评价重点和环境保护目标</w:t>
                              </w:r>
                            </w:p>
                            <w:p w14:paraId="6F344981">
                              <w:pPr>
                                <w:ind w:firstLine="360"/>
                                <w:rPr>
                                  <w:rFonts w:hint="eastAsia" w:cs="宋体-18030"/>
                                  <w:sz w:val="18"/>
                                  <w:szCs w:val="18"/>
                                </w:rPr>
                              </w:pPr>
                              <w:r>
                                <w:rPr>
                                  <w:rFonts w:hint="eastAsia" w:cs="宋体-18030"/>
                                  <w:sz w:val="18"/>
                                  <w:szCs w:val="18"/>
                                </w:rPr>
                                <w:t>3确定工作等级、评价范围和评价标准</w:t>
                              </w:r>
                            </w:p>
                          </w:txbxContent>
                        </wps:txbx>
                        <wps:bodyPr rot="0" vert="horz" wrap="square" lIns="91440" tIns="45720" rIns="91440" bIns="18000" anchor="t" anchorCtr="0" upright="1">
                          <a:noAutofit/>
                        </wps:bodyPr>
                      </wps:wsp>
                      <wps:wsp>
                        <wps:cNvPr id="685515262" name="直接连接符 32"/>
                        <wps:cNvCnPr>
                          <a:cxnSpLocks noChangeShapeType="1"/>
                        </wps:cNvCnPr>
                        <wps:spPr bwMode="auto">
                          <a:xfrm>
                            <a:off x="5880" y="10035"/>
                            <a:ext cx="0" cy="539"/>
                          </a:xfrm>
                          <a:prstGeom prst="line">
                            <a:avLst/>
                          </a:prstGeom>
                          <a:noFill/>
                          <a:ln w="9525">
                            <a:solidFill>
                              <a:srgbClr val="000000"/>
                            </a:solidFill>
                            <a:round/>
                            <a:tailEnd type="triangle" w="med" len="med"/>
                          </a:ln>
                        </wps:spPr>
                        <wps:bodyPr/>
                      </wps:wsp>
                    </wpg:wgp>
                  </a:graphicData>
                </a:graphic>
              </wp:inline>
            </w:drawing>
          </mc:Choice>
          <mc:Fallback>
            <w:pict>
              <v:group id="组合 126" o:spid="_x0000_s1026" o:spt="203" style="height:535.75pt;width:435.05pt;" coordorigin="1695,1765" coordsize="8523,9485" o:gfxdata="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aiQ1+dYAAAAGAQAADwAAAAAA&#10;AAABACAAAAAiAAAAZHJzL2Rvd25yZXYueG1sUEsBAhQAFAAAAAgAh07iQD6jG2kYCAAAkEIAAA4A&#10;AAAAAAAAAQAgAAAAJQEAAGRycy9lMm9Eb2MueG1sUEsFBgAAAAAGAAYAWQEAAK8LAAAAAA==&#10;">
                <o:lock v:ext="edit" aspectratio="f"/>
                <v:rect id="矩形 5" o:spid="_x0000_s1026" o:spt="1" style="position:absolute;left:1698;top:1765;height:9485;width:8520;" filled="f" stroked="t" coordsize="21600,21600" o:gfxdata="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oa/&#10;wAAAAOMAAAAPAAAAAAAAAAEAIAAAACIAAABkcnMvZG93bnJldi54bWxQSwECFAAUAAAACACHTuJA&#10;My8FnjsAAAA5AAAAEAAAAAAAAAABACAAAAAPAQAAZHJzL3NoYXBleG1sLnhtbFBLBQYAAAAABgAG&#10;AFsBAAC5AwAAAAA=&#10;">
                  <v:fill on="f" focussize="0,0"/>
                  <v:stroke color="#000000" miterlimit="8" joinstyle="miter"/>
                  <v:imagedata o:title=""/>
                  <o:lock v:ext="edit" text="t" aspectratio="t"/>
                </v:rect>
                <v:shape id="文本框 6" o:spid="_x0000_s1026" o:spt="202" type="#_x0000_t202" style="position:absolute;left:3811;top:2069;height:315;width:4133;" fillcolor="#FFFFFF" filled="t" stroked="t" coordsize="21600,21600" o:gfxdata="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4n&#10;vRrCAAAA4g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0mm,0mm,0mm,0mm">
                    <w:txbxContent>
                      <w:p w14:paraId="7B138AE2">
                        <w:pPr>
                          <w:ind w:firstLine="360"/>
                          <w:rPr>
                            <w:rFonts w:hint="eastAsia" w:cs="宋体-18030"/>
                            <w:sz w:val="18"/>
                            <w:szCs w:val="18"/>
                          </w:rPr>
                        </w:pPr>
                        <w:r>
                          <w:rPr>
                            <w:rFonts w:hint="eastAsia" w:cs="宋体-18030"/>
                            <w:sz w:val="18"/>
                            <w:szCs w:val="18"/>
                          </w:rPr>
                          <w:t>依据相关规定确定环境影响评价文件类型</w:t>
                        </w:r>
                      </w:p>
                      <w:p w14:paraId="37C3F225">
                        <w:pPr>
                          <w:rPr>
                            <w:rFonts w:hint="eastAsia"/>
                          </w:rPr>
                        </w:pPr>
                      </w:p>
                    </w:txbxContent>
                  </v:textbox>
                </v:shape>
                <v:shape id="文本框 7" o:spid="_x0000_s1026" o:spt="202" type="#_x0000_t202" style="position:absolute;left:3821;top:2648;height:990;width:4123;" fillcolor="#FFFFFF" filled="t" stroked="t" coordsize="21600,21600" o:gfxdata="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Kqs87FAAAA4g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textbox inset="2.54mm,1.27mm,2.54mm,0.5mm">
                    <w:txbxContent>
                      <w:p w14:paraId="292DF286">
                        <w:pPr>
                          <w:ind w:firstLine="360"/>
                          <w:rPr>
                            <w:rFonts w:hint="eastAsia" w:cs="宋体-18030"/>
                            <w:sz w:val="18"/>
                            <w:szCs w:val="18"/>
                          </w:rPr>
                        </w:pPr>
                        <w:r>
                          <w:rPr>
                            <w:rFonts w:hint="eastAsia" w:cs="宋体-18030"/>
                            <w:sz w:val="18"/>
                            <w:szCs w:val="18"/>
                          </w:rPr>
                          <w:t>1研究相关技术文件和其他有关文件</w:t>
                        </w:r>
                      </w:p>
                      <w:p w14:paraId="62BDCABB">
                        <w:pPr>
                          <w:ind w:firstLine="360"/>
                          <w:rPr>
                            <w:rFonts w:hint="eastAsia" w:cs="宋体-18030"/>
                            <w:sz w:val="18"/>
                            <w:szCs w:val="18"/>
                          </w:rPr>
                        </w:pPr>
                        <w:r>
                          <w:rPr>
                            <w:rFonts w:hint="eastAsia" w:cs="宋体-18030"/>
                            <w:sz w:val="18"/>
                            <w:szCs w:val="18"/>
                          </w:rPr>
                          <w:t>2进行初步工程分析</w:t>
                        </w:r>
                      </w:p>
                      <w:p w14:paraId="26174FC9">
                        <w:pPr>
                          <w:ind w:firstLine="360"/>
                          <w:rPr>
                            <w:rFonts w:hint="eastAsia" w:cs="宋体-18030"/>
                            <w:sz w:val="18"/>
                            <w:szCs w:val="18"/>
                          </w:rPr>
                        </w:pPr>
                        <w:r>
                          <w:rPr>
                            <w:rFonts w:hint="eastAsia" w:cs="宋体-18030"/>
                            <w:sz w:val="18"/>
                            <w:szCs w:val="18"/>
                          </w:rPr>
                          <w:t>3开展初步的环境现状调查</w:t>
                        </w:r>
                      </w:p>
                    </w:txbxContent>
                  </v:textbox>
                </v:shape>
                <v:line id="直接连接符 8" o:spid="_x0000_s1026" o:spt="20" style="position:absolute;left:5880;top:2384;height:283;width:2;" filled="f" stroked="t" coordsize="21600,21600" o:gfxdata="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YSG1P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line id="直接连接符 9" o:spid="_x0000_s1026" o:spt="20" style="position:absolute;left:5896;top:3643;height:283;width:1;" filled="f" stroked="t" coordsize="21600,21600" o:gfxdata="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WMP6xgAAAOIAAAAPAAAAAAAAAAEAIAAAACIAAABkcnMvZG93bnJldi54bWxQSwECFAAUAAAA&#10;CACHTuJAMy8FnjsAAAA5AAAAEAAAAAAAAAABACAAAAAVAQAAZHJzL3NoYXBleG1sLnhtbFBLBQYA&#10;AAAABgAGAFsBAAC/AwAAAAA=&#10;">
                  <v:fill on="f" focussize="0,0"/>
                  <v:stroke color="#000000" joinstyle="round" endarrow="block"/>
                  <v:imagedata o:title=""/>
                  <o:lock v:ext="edit" aspectratio="f"/>
                </v:line>
                <v:line id="直接连接符 10" o:spid="_x0000_s1026" o:spt="20" style="position:absolute;left:5889;top:4916;height:283;width:1;" filled="f" stroked="t" coordsize="21600,21600" o:gfxdata="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kURN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line id="直接连接符 11" o:spid="_x0000_s1026" o:spt="20" style="position:absolute;left:5890;top:5541;height:539;width:0;" filled="f" stroked="t" coordsize="21600,21600" o:gfxdata="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Wg&#10;Hqz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接连接符 12" o:spid="_x0000_s1026" o:spt="20" style="position:absolute;left:1770;top:5775;height:0;width:8448;" filled="f" stroked="t" coordsize="21600,21600" o:gfxdata="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jBs6sQAAADiAAAADwAAAAAAAAABACAAAAAiAAAAZHJzL2Rvd25yZXYueG1sUEsBAhQAFAAAAAgA&#10;h07iQDMvBZ47AAAAOQAAABAAAAAAAAAAAQAgAAAAEwEAAGRycy9zaGFwZXhtbC54bWxQSwUGAAAA&#10;AAYABgBbAQAAvQMAAAAA&#10;">
                  <v:fill on="f" focussize="0,0"/>
                  <v:stroke color="#000000" joinstyle="round" dashstyle="1 1"/>
                  <v:imagedata o:title=""/>
                  <o:lock v:ext="edit" aspectratio="f"/>
                </v:line>
                <v:line id="直接连接符 13" o:spid="_x0000_s1026" o:spt="20" style="position:absolute;left:1695;top:8745;height:0;width:8516;" filled="f" stroked="t" coordsize="21600,21600" o:gfxdata="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SUB&#10;wAAAAOIAAAAPAAAAAAAAAAEAIAAAACIAAABkcnMvZG93bnJldi54bWxQSwECFAAUAAAACACHTuJA&#10;My8FnjsAAAA5AAAAEAAAAAAAAAABACAAAAAPAQAAZHJzL3NoYXBleG1sLnhtbFBLBQYAAAAABgAG&#10;AFsBAAC5AwAAAAA=&#10;">
                  <v:fill on="f" focussize="0,0"/>
                  <v:stroke color="#000000" joinstyle="round" dashstyle="1 1"/>
                  <v:imagedata o:title=""/>
                  <o:lock v:ext="edit" aspectratio="f"/>
                </v:line>
                <v:shape id="文本框 14" o:spid="_x0000_s1026" o:spt="202" type="#_x0000_t202" style="position:absolute;left:1785;top:3593;height:990;width:687;" fillcolor="#FFFFFF" filled="t" stroked="f" coordsize="21600,21600" o:gfxdata="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j&#10;KBBEwwAAAOIAAAAPAAAAAAAAAAEAIAAAACIAAABkcnMvZG93bnJldi54bWxQSwECFAAUAAAACACH&#10;TuJAMy8FnjsAAAA5AAAAEAAAAAAAAAABACAAAAASAQAAZHJzL3NoYXBleG1sLnhtbFBLBQYAAAAA&#10;BgAGAFsBAAC8AwAAAAA=&#10;">
                  <v:fill on="t" focussize="0,0"/>
                  <v:stroke on="f"/>
                  <v:imagedata o:title=""/>
                  <o:lock v:ext="edit" aspectratio="f"/>
                  <v:textbox style="layout-flow:vertical-ideographic;">
                    <w:txbxContent>
                      <w:p w14:paraId="67CFB8E3">
                        <w:pPr>
                          <w:rPr>
                            <w:rFonts w:hint="eastAsia"/>
                            <w:sz w:val="18"/>
                            <w:szCs w:val="18"/>
                          </w:rPr>
                        </w:pPr>
                        <w:r>
                          <w:rPr>
                            <w:rFonts w:hint="eastAsia"/>
                            <w:sz w:val="18"/>
                            <w:szCs w:val="18"/>
                          </w:rPr>
                          <w:t>第一阶段</w:t>
                        </w:r>
                      </w:p>
                    </w:txbxContent>
                  </v:textbox>
                </v:shape>
                <v:shape id="文本框 15" o:spid="_x0000_s1026" o:spt="202" type="#_x0000_t202" style="position:absolute;left:1957;top:6569;height:1132;width:530;" fillcolor="#FFFFFF" filled="t" stroked="f" coordsize="21600,21600" o:gfxdata="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iRB2XFAAAA4gAAAA8AAAAAAAAAAQAgAAAAIgAAAGRycy9kb3ducmV2LnhtbFBLAQIUABQAAAAI&#10;AIdO4kAzLwWeOwAAADkAAAAQAAAAAAAAAAEAIAAAABQBAABkcnMvc2hhcGV4bWwueG1sUEsFBgAA&#10;AAAGAAYAWwEAAL4DAAAAAA==&#10;">
                  <v:fill on="t" focussize="0,0"/>
                  <v:stroke on="f"/>
                  <v:imagedata o:title=""/>
                  <o:lock v:ext="edit" aspectratio="f"/>
                  <v:textbox inset="2mm,1.27mm,2.54mm,1.27mm" style="layout-flow:vertical-ideographic;">
                    <w:txbxContent>
                      <w:p w14:paraId="1804FD5A">
                        <w:pPr>
                          <w:ind w:firstLine="360"/>
                          <w:rPr>
                            <w:rFonts w:hint="eastAsia"/>
                            <w:sz w:val="18"/>
                            <w:szCs w:val="18"/>
                          </w:rPr>
                        </w:pPr>
                        <w:r>
                          <w:rPr>
                            <w:rFonts w:hint="eastAsia"/>
                            <w:sz w:val="18"/>
                            <w:szCs w:val="18"/>
                          </w:rPr>
                          <w:t>第二阶段</w:t>
                        </w:r>
                      </w:p>
                    </w:txbxContent>
                  </v:textbox>
                </v:shape>
                <v:shape id="文本框 16" o:spid="_x0000_s1026" o:spt="202" type="#_x0000_t202" style="position:absolute;left:1972;top:9583;height:991;width:530;" fillcolor="#FFFFFF" filled="t" stroked="f" coordsize="21600,21600" o:gfxdata="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eZFGwwAAAOMAAAAPAAAAAAAAAAEAIAAAACIAAABkcnMvZG93bnJldi54bWxQSwECFAAUAAAACACH&#10;TuJAMy8FnjsAAAA5AAAAEAAAAAAAAAABACAAAAASAQAAZHJzL3NoYXBleG1sLnhtbFBLBQYAAAAA&#10;BgAGAFsBAAC8AwAAAAA=&#10;">
                  <v:fill on="t" focussize="0,0"/>
                  <v:stroke on="f"/>
                  <v:imagedata o:title=""/>
                  <o:lock v:ext="edit" aspectratio="f"/>
                  <v:textbox inset="2mm,1.27mm,2.54mm,1.27mm" style="layout-flow:vertical-ideographic;">
                    <w:txbxContent>
                      <w:p w14:paraId="258FB178">
                        <w:pPr>
                          <w:rPr>
                            <w:rFonts w:hint="eastAsia"/>
                            <w:sz w:val="18"/>
                            <w:szCs w:val="18"/>
                          </w:rPr>
                        </w:pPr>
                        <w:r>
                          <w:rPr>
                            <w:rFonts w:hint="eastAsia"/>
                            <w:sz w:val="18"/>
                            <w:szCs w:val="18"/>
                          </w:rPr>
                          <w:t>第三阶段</w:t>
                        </w:r>
                      </w:p>
                    </w:txbxContent>
                  </v:textbox>
                </v:shape>
                <v:shape id="文本框 17" o:spid="_x0000_s1026" o:spt="202" type="#_x0000_t202" style="position:absolute;left:4688;top:5199;height:325;width:2405;" fillcolor="#FFFFFF" filled="t" stroked="t" coordsize="21600,21600" o:gfxdata="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THA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inset="0mm,0mm,0mm,0mm">
                    <w:txbxContent>
                      <w:p w14:paraId="25DC0E25">
                        <w:pPr>
                          <w:ind w:firstLine="360"/>
                          <w:rPr>
                            <w:rFonts w:hint="eastAsia" w:cs="宋体-18030"/>
                            <w:sz w:val="18"/>
                            <w:szCs w:val="18"/>
                          </w:rPr>
                        </w:pPr>
                        <w:r>
                          <w:rPr>
                            <w:rFonts w:hint="eastAsia" w:cs="宋体-18030"/>
                            <w:sz w:val="18"/>
                            <w:szCs w:val="18"/>
                          </w:rPr>
                          <w:t>制定工作方案</w:t>
                        </w:r>
                      </w:p>
                    </w:txbxContent>
                  </v:textbox>
                </v:shape>
                <v:shape id="直接箭头连接符 18" o:spid="_x0000_s1026" o:spt="32" type="#_x0000_t32" style="position:absolute;left:4159;top:6080;height:0;width:3430;" filled="f" stroked="t" coordsize="21600,21600" o:gfxdata="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RnxW/&#10;AAAA4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19" o:spid="_x0000_s1026" o:spt="32" type="#_x0000_t32" style="position:absolute;left:4159;top:6080;height:193;width:0;" filled="f" stroked="t" coordsize="21600,21600" o:gfxdata="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b1u/&#10;AAAA4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文本框 20" o:spid="_x0000_s1026" o:spt="202" type="#_x0000_t202" style="position:absolute;left:3350;top:6273;height:756;width:1600;" fillcolor="#FFFFFF" filled="t" stroked="t" coordsize="21600,21600" o:gfxdata="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B&#10;e2/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w:txbxContent>
                      <w:p w14:paraId="49AE3B32">
                        <w:pPr>
                          <w:rPr>
                            <w:rFonts w:hint="eastAsia" w:cs="宋体-18030"/>
                            <w:sz w:val="18"/>
                            <w:szCs w:val="18"/>
                          </w:rPr>
                        </w:pPr>
                        <w:r>
                          <w:rPr>
                            <w:rFonts w:hint="eastAsia" w:cs="宋体-18030"/>
                            <w:sz w:val="18"/>
                            <w:szCs w:val="18"/>
                          </w:rPr>
                          <w:t>环境现状调查</w:t>
                        </w:r>
                      </w:p>
                      <w:p w14:paraId="3C21CD4C">
                        <w:pPr>
                          <w:rPr>
                            <w:rFonts w:hint="eastAsia" w:cs="宋体-18030"/>
                            <w:sz w:val="18"/>
                            <w:szCs w:val="18"/>
                          </w:rPr>
                        </w:pPr>
                        <w:r>
                          <w:rPr>
                            <w:rFonts w:hint="eastAsia" w:cs="宋体-18030"/>
                            <w:sz w:val="18"/>
                            <w:szCs w:val="18"/>
                          </w:rPr>
                          <w:t>监测与评价</w:t>
                        </w:r>
                      </w:p>
                    </w:txbxContent>
                  </v:textbox>
                </v:shape>
                <v:shape id="直接箭头连接符 21" o:spid="_x0000_s1026" o:spt="32" type="#_x0000_t32" style="position:absolute;left:4149;top:7029;height:193;width:0;" filled="f" stroked="t" coordsize="21600,21600" o:gfxdata="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Bpj4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文本框 22" o:spid="_x0000_s1026" o:spt="202" type="#_x0000_t202" style="position:absolute;left:7053;top:6273;height:756;width:1051;" fillcolor="#FFFFFF" filled="t" stroked="t" coordsize="21600,21600" o:gfxdata="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NXPP8QAAADi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f"/>
                  <v:textbox>
                    <w:txbxContent>
                      <w:p w14:paraId="2A1F487A">
                        <w:pPr>
                          <w:jc w:val="center"/>
                          <w:rPr>
                            <w:rFonts w:hint="eastAsia" w:cs="宋体-18030"/>
                            <w:sz w:val="18"/>
                            <w:szCs w:val="18"/>
                          </w:rPr>
                        </w:pPr>
                        <w:r>
                          <w:rPr>
                            <w:rFonts w:hint="eastAsia" w:cs="宋体-18030"/>
                            <w:sz w:val="18"/>
                            <w:szCs w:val="18"/>
                          </w:rPr>
                          <w:t>建设项目</w:t>
                        </w:r>
                      </w:p>
                      <w:p w14:paraId="0D2C37BB">
                        <w:pPr>
                          <w:rPr>
                            <w:rFonts w:hint="eastAsia" w:cs="宋体-18030"/>
                            <w:sz w:val="18"/>
                            <w:szCs w:val="18"/>
                          </w:rPr>
                        </w:pPr>
                        <w:r>
                          <w:rPr>
                            <w:rFonts w:hint="eastAsia" w:cs="宋体-18030"/>
                            <w:sz w:val="18"/>
                            <w:szCs w:val="18"/>
                          </w:rPr>
                          <w:t>工程分析</w:t>
                        </w:r>
                      </w:p>
                    </w:txbxContent>
                  </v:textbox>
                </v:shape>
                <v:shape id="直接箭头连接符 23" o:spid="_x0000_s1026" o:spt="32" type="#_x0000_t32" style="position:absolute;left:7589;top:6080;height:193;width:0;" filled="f" stroked="t" coordsize="21600,21600" o:gfxdata="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IYA&#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直接箭头连接符 24" o:spid="_x0000_s1026" o:spt="32" type="#_x0000_t32" style="position:absolute;left:7589;top:7029;height:193;width:0;" filled="f" stroked="t" coordsize="21600,21600" o:gfxdata="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EMZ&#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直接箭头连接符 25" o:spid="_x0000_s1026" o:spt="32" type="#_x0000_t32" style="position:absolute;left:4159;top:7222;height:0;width:3430;" filled="f" stroked="t" coordsize="21600,21600" o:gfxdata="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0&#10;Erf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line id="直接连接符 26" o:spid="_x0000_s1026" o:spt="20" style="position:absolute;left:5890;top:7226;height:539;width:0;" filled="f" stroked="t" coordsize="21600,21600" o:gfxdata="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c7SNn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v:shape id="文本框 27" o:spid="_x0000_s1026" o:spt="202" type="#_x0000_t202" style="position:absolute;left:3828;top:9009;height:1026;width:4123;" fillcolor="#FFFFFF" filled="t" stroked="t" coordsize="21600,21600" o:gfxdata="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X+yn3FAAAA4gAAAA8AAAAAAAAAAQAgAAAAIgAAAGRycy9kb3ducmV2LnhtbFBLAQIUABQAAAAI&#10;AIdO4kAzLwWeOwAAADkAAAAQAAAAAAAAAAEAIAAAABQBAABkcnMvc2hhcGV4bWwueG1sUEsFBgAA&#10;AAAGAAYAWwEAAL4DAAAAAA==&#10;">
                  <v:fill on="t" focussize="0,0"/>
                  <v:stroke color="#000000" miterlimit="8" joinstyle="miter"/>
                  <v:imagedata o:title=""/>
                  <o:lock v:ext="edit" aspectratio="f"/>
                  <v:textbox inset="2.54mm,1.27mm,2.54mm,0.5mm">
                    <w:txbxContent>
                      <w:p w14:paraId="0A484AF7">
                        <w:pPr>
                          <w:ind w:firstLine="360"/>
                          <w:rPr>
                            <w:rFonts w:hint="eastAsia" w:cs="宋体-18030"/>
                            <w:sz w:val="18"/>
                            <w:szCs w:val="18"/>
                          </w:rPr>
                        </w:pPr>
                        <w:r>
                          <w:rPr>
                            <w:rFonts w:hint="eastAsia" w:cs="宋体-18030"/>
                            <w:sz w:val="18"/>
                            <w:szCs w:val="18"/>
                          </w:rPr>
                          <w:t>1提出环境保护措施，进行技术经济论证</w:t>
                        </w:r>
                      </w:p>
                      <w:p w14:paraId="1270A499">
                        <w:pPr>
                          <w:ind w:firstLine="360"/>
                          <w:rPr>
                            <w:rFonts w:hint="eastAsia" w:cs="宋体-18030"/>
                            <w:sz w:val="18"/>
                            <w:szCs w:val="18"/>
                          </w:rPr>
                        </w:pPr>
                        <w:r>
                          <w:rPr>
                            <w:rFonts w:hint="eastAsia" w:cs="宋体-18030"/>
                            <w:sz w:val="18"/>
                            <w:szCs w:val="18"/>
                          </w:rPr>
                          <w:t>2给出污染物排放清单</w:t>
                        </w:r>
                      </w:p>
                      <w:p w14:paraId="06674446">
                        <w:pPr>
                          <w:ind w:firstLine="360"/>
                          <w:rPr>
                            <w:rFonts w:hint="eastAsia" w:cs="宋体-18030"/>
                            <w:sz w:val="18"/>
                            <w:szCs w:val="18"/>
                          </w:rPr>
                        </w:pPr>
                        <w:r>
                          <w:rPr>
                            <w:rFonts w:hint="eastAsia" w:cs="宋体-18030"/>
                            <w:sz w:val="18"/>
                            <w:szCs w:val="18"/>
                          </w:rPr>
                          <w:t>3给出建设项目环境影响评价结论</w:t>
                        </w:r>
                      </w:p>
                    </w:txbxContent>
                  </v:textbox>
                </v:shape>
                <v:shape id="文本框 28" o:spid="_x0000_s1026" o:spt="202" type="#_x0000_t202" style="position:absolute;left:3859;top:7765;height:714;width:4085;" fillcolor="#FFFFFF" filled="t" stroked="t" coordsize="21600,21600" o:gfxdata="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m1GRwwAAAOMAAAAPAAAAAAAAAAEAIAAAACIAAABkcnMvZG93bnJldi54bWxQSwECFAAUAAAACACH&#10;TuJAMy8FnjsAAAA5AAAAEAAAAAAAAAABACAAAAASAQAAZHJzL3NoYXBleG1sLnhtbFBLBQYAAAAA&#10;BgAGAFsBAAC8AwAAAAA=&#10;">
                  <v:fill on="t" focussize="0,0"/>
                  <v:stroke color="#000000" miterlimit="8" joinstyle="miter"/>
                  <v:imagedata o:title=""/>
                  <o:lock v:ext="edit" aspectratio="f"/>
                  <v:textbox inset="2.54mm,1.27mm,2.54mm,0.5mm">
                    <w:txbxContent>
                      <w:p w14:paraId="62104074">
                        <w:pPr>
                          <w:ind w:firstLine="360"/>
                          <w:rPr>
                            <w:rFonts w:hint="eastAsia" w:cs="宋体-18030"/>
                            <w:sz w:val="18"/>
                            <w:szCs w:val="18"/>
                          </w:rPr>
                        </w:pPr>
                        <w:r>
                          <w:rPr>
                            <w:rFonts w:hint="eastAsia" w:cs="宋体-18030"/>
                            <w:sz w:val="18"/>
                            <w:szCs w:val="18"/>
                          </w:rPr>
                          <w:t>1各环境要素环境影响预测与评价</w:t>
                        </w:r>
                      </w:p>
                      <w:p w14:paraId="2485960F">
                        <w:pPr>
                          <w:ind w:firstLine="360"/>
                          <w:rPr>
                            <w:rFonts w:hint="eastAsia" w:cs="宋体-18030"/>
                            <w:sz w:val="18"/>
                            <w:szCs w:val="18"/>
                          </w:rPr>
                        </w:pPr>
                        <w:r>
                          <w:rPr>
                            <w:rFonts w:hint="eastAsia" w:cs="宋体-18030"/>
                            <w:sz w:val="18"/>
                            <w:szCs w:val="18"/>
                          </w:rPr>
                          <w:t>2各专题环境影响分析与评价</w:t>
                        </w:r>
                      </w:p>
                    </w:txbxContent>
                  </v:textbox>
                </v:shape>
                <v:line id="直接连接符 29" o:spid="_x0000_s1026" o:spt="20" style="position:absolute;left:5897;top:8479;height:539;width:0;" filled="f" stroked="t" coordsize="21600,21600" o:gfxdata="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l9fy/&#10;AAAA4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4675;top:10574;height:331;width:2405;" fillcolor="#FFFFFF" filled="t" stroked="t" coordsize="21600,21600" o:gfxdata="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3k2&#10;W8EAAADh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w:txbxContent>
                      <w:p w14:paraId="5E2825E6">
                        <w:pPr>
                          <w:ind w:firstLine="360"/>
                          <w:rPr>
                            <w:rFonts w:hint="eastAsia" w:cs="宋体-18030"/>
                            <w:sz w:val="18"/>
                            <w:szCs w:val="18"/>
                          </w:rPr>
                        </w:pPr>
                        <w:r>
                          <w:rPr>
                            <w:rFonts w:hint="eastAsia" w:cs="宋体-18030"/>
                            <w:sz w:val="18"/>
                            <w:szCs w:val="18"/>
                          </w:rPr>
                          <w:t>编制环境影响报告书</w:t>
                        </w:r>
                      </w:p>
                    </w:txbxContent>
                  </v:textbox>
                </v:shape>
                <v:shape id="Text Box 3803" o:spid="_x0000_s1026" o:spt="202" type="#_x0000_t202" style="position:absolute;left:3836;top:3926;height:990;width:4123;" fillcolor="#FFFFFF" filled="t" stroked="t" coordsize="21600,21600" o:gfxdata="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f&#10;gE7CAAAA4wAAAA8AAAAAAAAAAQAgAAAAIgAAAGRycy9kb3ducmV2LnhtbFBLAQIUABQAAAAIAIdO&#10;4kAzLwWeOwAAADkAAAAQAAAAAAAAAAEAIAAAABEBAABkcnMvc2hhcGV4bWwueG1sUEsFBgAAAAAG&#10;AAYAWwEAALsDAAAAAA==&#10;">
                  <v:fill on="t" focussize="0,0"/>
                  <v:stroke color="#000000" miterlimit="8" joinstyle="miter"/>
                  <v:imagedata o:title=""/>
                  <o:lock v:ext="edit" aspectratio="f"/>
                  <v:textbox inset="2.54mm,1.27mm,2.54mm,0.5mm">
                    <w:txbxContent>
                      <w:p w14:paraId="2DB54807">
                        <w:pPr>
                          <w:ind w:firstLine="360"/>
                          <w:rPr>
                            <w:rFonts w:hint="eastAsia" w:cs="宋体-18030"/>
                            <w:sz w:val="18"/>
                            <w:szCs w:val="18"/>
                          </w:rPr>
                        </w:pPr>
                        <w:r>
                          <w:rPr>
                            <w:rFonts w:hint="eastAsia" w:cs="宋体-18030"/>
                            <w:sz w:val="18"/>
                            <w:szCs w:val="18"/>
                          </w:rPr>
                          <w:t>1环境影响识别和评价因子筛选</w:t>
                        </w:r>
                      </w:p>
                      <w:p w14:paraId="1E9903D2">
                        <w:pPr>
                          <w:ind w:firstLine="360"/>
                          <w:rPr>
                            <w:rFonts w:hint="eastAsia" w:cs="宋体-18030"/>
                            <w:sz w:val="18"/>
                            <w:szCs w:val="18"/>
                          </w:rPr>
                        </w:pPr>
                        <w:r>
                          <w:rPr>
                            <w:rFonts w:hint="eastAsia" w:cs="宋体-18030"/>
                            <w:sz w:val="18"/>
                            <w:szCs w:val="18"/>
                          </w:rPr>
                          <w:t>2明确评价重点和环境保护目标</w:t>
                        </w:r>
                      </w:p>
                      <w:p w14:paraId="6F344981">
                        <w:pPr>
                          <w:ind w:firstLine="360"/>
                          <w:rPr>
                            <w:rFonts w:hint="eastAsia" w:cs="宋体-18030"/>
                            <w:sz w:val="18"/>
                            <w:szCs w:val="18"/>
                          </w:rPr>
                        </w:pPr>
                        <w:r>
                          <w:rPr>
                            <w:rFonts w:hint="eastAsia" w:cs="宋体-18030"/>
                            <w:sz w:val="18"/>
                            <w:szCs w:val="18"/>
                          </w:rPr>
                          <w:t>3确定工作等级、评价范围和评价标准</w:t>
                        </w:r>
                      </w:p>
                    </w:txbxContent>
                  </v:textbox>
                </v:shape>
                <v:line id="直接连接符 32" o:spid="_x0000_s1026" o:spt="20" style="position:absolute;left:5880;top:10035;height:539;width:0;" filled="f" stroked="t" coordsize="21600,21600" o:gfxdata="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2Jc6T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line>
                <w10:wrap type="none"/>
                <w10:anchorlock/>
              </v:group>
            </w:pict>
          </mc:Fallback>
        </mc:AlternateContent>
      </w:r>
    </w:p>
    <w:p w14:paraId="0D985A48">
      <w:pPr>
        <w:pStyle w:val="645"/>
        <w:rPr>
          <w:rFonts w:hint="eastAsia"/>
        </w:rPr>
      </w:pPr>
      <w:r>
        <w:t>图1.</w:t>
      </w:r>
      <w:r>
        <w:rPr>
          <w:rFonts w:hint="eastAsia"/>
        </w:rPr>
        <w:t>3</w:t>
      </w:r>
      <w:r>
        <w:t>-1   环境影响评价工作程序图</w:t>
      </w:r>
    </w:p>
    <w:p w14:paraId="28CC3840">
      <w:pPr>
        <w:pStyle w:val="128"/>
        <w:rPr>
          <w:rFonts w:hint="eastAsia"/>
        </w:rPr>
      </w:pPr>
    </w:p>
    <w:p w14:paraId="3D96BCA7">
      <w:pPr>
        <w:pStyle w:val="3"/>
        <w:rPr>
          <w:rFonts w:hint="eastAsia"/>
        </w:rPr>
      </w:pPr>
      <w:bookmarkStart w:id="11" w:name="_Toc32455"/>
      <w:bookmarkStart w:id="12" w:name="_Toc533789917"/>
      <w:r>
        <w:t>分析判定相关情况</w:t>
      </w:r>
      <w:bookmarkEnd w:id="11"/>
      <w:bookmarkEnd w:id="12"/>
    </w:p>
    <w:p w14:paraId="5AD01E7E">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）项目产业政策符合性分析</w:t>
      </w:r>
    </w:p>
    <w:p w14:paraId="7D2EC114">
      <w:pPr>
        <w:pStyle w:val="281"/>
        <w:ind w:firstLine="480"/>
        <w:rPr>
          <w:color w:val="000000" w:themeColor="text1"/>
          <w14:textFill>
            <w14:solidFill>
              <w14:schemeClr w14:val="tx1"/>
            </w14:solidFill>
          </w14:textFill>
        </w:rPr>
      </w:pPr>
      <w:bookmarkStart w:id="13" w:name="_Hlk194489192"/>
      <w:r>
        <w:rPr>
          <w:rFonts w:hint="eastAsia"/>
          <w:color w:val="000000" w:themeColor="text1"/>
          <w14:textFill>
            <w14:solidFill>
              <w14:schemeClr w14:val="tx1"/>
            </w14:solidFill>
          </w14:textFill>
        </w:rPr>
        <w:t>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bookmarkEnd w:id="13"/>
      <w:r>
        <w:rPr>
          <w:rFonts w:hint="eastAsia"/>
          <w:color w:val="000000" w:themeColor="text1"/>
          <w14:textFill>
            <w14:solidFill>
              <w14:schemeClr w14:val="tx1"/>
            </w14:solidFill>
          </w14:textFill>
        </w:rPr>
        <w:t>。</w:t>
      </w:r>
    </w:p>
    <w:p w14:paraId="05B21F65">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根据对比《产业结构调整指导目录（2024年本）》《西部地区鼓励类产业目录（2025年本）》《国家发展改革委等部门关于推动现代煤化工产业健康发展的通知》</w:t>
      </w:r>
      <w:r>
        <w:rPr>
          <w:color w:val="000000" w:themeColor="text1"/>
          <w14:textFill>
            <w14:solidFill>
              <w14:schemeClr w14:val="tx1"/>
            </w14:solidFill>
          </w14:textFill>
        </w:rPr>
        <w:t>《关于规范煤化工产业有序发展的通知》《中共中央</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国务院关于新时代推进西部大开发形成新格局的指导意见》《煤炭工业“十四五”高质量发展指导意见》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关于“十四五”推动石化化工行业高质量发展的指导意见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《国家发展改革委等部门关于严格能效约束推动重点领域节能降碳的若干意见》《完善能源消费强度和总量双控制度方案》</w:t>
      </w:r>
      <w:r>
        <w:rPr>
          <w:rFonts w:hint="eastAsia"/>
          <w:color w:val="000000" w:themeColor="text1"/>
          <w14:textFill>
            <w14:solidFill>
              <w14:schemeClr w14:val="tx1"/>
            </w14:solidFill>
          </w14:textFill>
        </w:rPr>
        <w:t>《国务院关于加快建立健全绿色低碳循环发展经济体系的指导意见》《工业重点领域能效标杆水平和基准水平（2023年版）》《高耗能行业重点领域节能降碳改造升级实施指南（2022年版）》</w:t>
      </w:r>
      <w:r>
        <w:rPr>
          <w:color w:val="000000" w:themeColor="text1"/>
          <w14:textFill>
            <w14:solidFill>
              <w14:schemeClr w14:val="tx1"/>
            </w14:solidFill>
          </w14:textFill>
        </w:rPr>
        <w:t>《关于印发能源行业加强大气污染防治工作方案的通知》《“十四五”全国清洁生产推行方案》《关于促进自治区煤化工产业绿色可持续发展的指导意见》《新疆维吾尔自治区新建化工项目准入条件》</w:t>
      </w:r>
      <w:r>
        <w:rPr>
          <w:rFonts w:hint="eastAsia"/>
          <w:color w:val="000000" w:themeColor="text1"/>
          <w14:textFill>
            <w14:solidFill>
              <w14:schemeClr w14:val="tx1"/>
            </w14:solidFill>
          </w14:textFill>
        </w:rPr>
        <w:t>《合成氨行业规范条件》，本项目均符合上述产业政策。</w:t>
      </w:r>
    </w:p>
    <w:p w14:paraId="1D6B146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）项目环境政策符合性分析</w:t>
      </w:r>
    </w:p>
    <w:p w14:paraId="2FF96092">
      <w:pPr>
        <w:pStyle w:val="281"/>
        <w:ind w:firstLine="480"/>
        <w:rPr>
          <w:color w:val="FF0000"/>
        </w:rPr>
      </w:pPr>
      <w:r>
        <w:rPr>
          <w:rFonts w:hint="eastAsia"/>
          <w:color w:val="000000" w:themeColor="text1"/>
          <w14:textFill>
            <w14:solidFill>
              <w14:schemeClr w14:val="tx1"/>
            </w14:solidFill>
          </w14:textFill>
        </w:rPr>
        <w:t>根据第八章分析，本项目的建设基本符合《关于贯彻实施国家主体功能区环境政策的若干意见》《空气质量持续改善行动计划》《大气污染防治行动计划》《水污染防治行动计划》《土壤污染防治行动计划》《中共中央国务院关于深入打好污染防治攻坚战的意见》《关于加强重点行业建设项目区域消减措施监督管理的通知》《关于印发〈环境影响评价与排污许可领域协同推进碳减排工作方案〉的通知》《2020年挥发性有机物治理攻坚方案》《关于印发重点行业挥发性有机物综合治理方案的通知》《关于切实加强风险防范严格环境影响评价管理的通知》《石化行业挥发性有机物综合整治方案》《关于加强高耗能、高排放建设项目生态环境源头防控的指导意见》《新疆维吾尔自治区重点行业环境准入条件（2024年）》《合成氨工业污染防治技术政策》《关于加快解决当前挥发性有机物治理突出问题的通知》等。</w:t>
      </w:r>
    </w:p>
    <w:p w14:paraId="0CFA95A3">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）项目规划符合性分析</w:t>
      </w:r>
    </w:p>
    <w:p w14:paraId="044B447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根据对比《“十四五”工业绿色发展规划》《“十四五”原材料工业发展规划》</w:t>
      </w:r>
      <w:r>
        <w:rPr>
          <w:color w:val="000000" w:themeColor="text1"/>
          <w14:textFill>
            <w14:solidFill>
              <w14:schemeClr w14:val="tx1"/>
            </w14:solidFill>
          </w14:textFill>
        </w:rPr>
        <w:t>《“十四五”土壤、地下水和农村生态环境保护规划》《中华人民共和国国民经济和社会发展第十四个五年规划和2035年远景目标纲要》</w:t>
      </w:r>
      <w:r>
        <w:rPr>
          <w:rFonts w:hint="eastAsia"/>
          <w:color w:val="000000" w:themeColor="text1"/>
          <w14:textFill>
            <w14:solidFill>
              <w14:schemeClr w14:val="tx1"/>
            </w14:solidFill>
          </w14:textFill>
        </w:rPr>
        <w:t>《新疆维吾尔自治区国民经济和社会发展第十四个五年规划和2035年远景目标纲要》《哈密市国民经济和社会发展第十四个五年规划和2035年远景目标纲要》，本项目的建设与上述规划是相符的，具体分析详见第八章。</w:t>
      </w:r>
    </w:p>
    <w:p w14:paraId="568E503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）区域环境敏感性分析</w:t>
      </w:r>
    </w:p>
    <w:p w14:paraId="2CA71BCD">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①本项目工艺废气采取相应措施后，可实现达标排放。</w:t>
      </w:r>
    </w:p>
    <w:p w14:paraId="21E2639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②本项目生产废水、生活污水经厂内污水处理站、回用水站处理后，全部回用于生产，不与地表水体产生水力联系，且项目选址未选在水环境敏感区。</w:t>
      </w:r>
    </w:p>
    <w:p w14:paraId="051247D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③评价区域内无国家级及省级风景名胜区、历史遗迹等敏感保护区，亦无特殊自然观赏价值较高的景观，所占土地为工业用地。</w:t>
      </w:r>
    </w:p>
    <w:p w14:paraId="295B6D6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④项目区地形平坦开阔，大风天气较多，有利于大气污染物的输送和扩散，对周围环境影响较小。</w:t>
      </w:r>
    </w:p>
    <w:p w14:paraId="3381083F">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按生态环境部制定的《建设项目环境影响评价分类管理名录》中关于环境敏感因素的界定原则，经调查建设项目选址地区不属于特殊保护地区、社会关注区和特殊地貌景观区，也无重点保护生态品种及濒危生物物种，文物古迹等，区域环境敏感因素较少。</w:t>
      </w:r>
    </w:p>
    <w:p w14:paraId="78262E1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）区域环境承载力分析</w:t>
      </w:r>
    </w:p>
    <w:p w14:paraId="6BC2A342">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本项目大气污染物经相应的污染防治措施处理后对周围环境的影响程</w:t>
      </w:r>
      <w:r>
        <w:rPr>
          <w:rFonts w:hint="eastAsia"/>
          <w:color w:val="000000" w:themeColor="text1"/>
          <w14:textFill>
            <w14:solidFill>
              <w14:schemeClr w14:val="tx1"/>
            </w14:solidFill>
          </w14:textFill>
        </w:rPr>
        <w:t>度较轻；废水经处理后，全部回用于生产；项目采取了隔声、吸声、减震等综合降噪措施；固体废物可以做到合理妥善处置。</w:t>
      </w:r>
    </w:p>
    <w:p w14:paraId="24FE0DB2">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本项目投产后，可实现污染物达标排放，对区域环境质量影响不大，区域环境质量仍可保持现有的功能水平，因此，从环境容量角度分析项目建设可行。</w:t>
      </w:r>
    </w:p>
    <w:p w14:paraId="41601CBD">
      <w:pPr>
        <w:pStyle w:val="3"/>
        <w:rPr>
          <w:rFonts w:hint="eastAsia"/>
          <w:color w:val="000000" w:themeColor="text1"/>
          <w14:textFill>
            <w14:solidFill>
              <w14:schemeClr w14:val="tx1"/>
            </w14:solidFill>
          </w14:textFill>
        </w:rPr>
      </w:pPr>
      <w:bookmarkStart w:id="14" w:name="_Toc20717"/>
      <w:r>
        <w:rPr>
          <w:color w:val="000000" w:themeColor="text1"/>
          <w14:textFill>
            <w14:solidFill>
              <w14:schemeClr w14:val="tx1"/>
            </w14:solidFill>
          </w14:textFill>
        </w:rPr>
        <w:t>主要环境问题分析判定</w:t>
      </w:r>
      <w:bookmarkEnd w:id="14"/>
    </w:p>
    <w:p w14:paraId="1F3B458B">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根据拟建项目特征与项目所在地的环境特征及项目环境影响因子识别等综合分析，确定评价工作重点：</w:t>
      </w:r>
    </w:p>
    <w:p w14:paraId="3FE7B8E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（1）深入进行项目生产工艺分析及污染防治对策分析；</w:t>
      </w:r>
    </w:p>
    <w:p w14:paraId="37ACE309">
      <w:pPr>
        <w:pStyle w:val="281"/>
        <w:ind w:firstLine="480"/>
        <w:rPr>
          <w:color w:val="000000" w:themeColor="text1"/>
          <w:lang w:eastAsia="zh"/>
          <w14:textFill>
            <w14:solidFill>
              <w14:schemeClr w14:val="tx1"/>
            </w14:solidFill>
          </w14:textFill>
        </w:rPr>
      </w:pPr>
      <w:r>
        <w:rPr>
          <w:color w:val="000000" w:themeColor="text1"/>
          <w14:textFill>
            <w14:solidFill>
              <w14:schemeClr w14:val="tx1"/>
            </w14:solidFill>
          </w14:textFill>
        </w:rPr>
        <w:t>（2）将运营期对大气环境的影响评价列为重点，重点分析大气污染防治措施的有效性及可行性；</w:t>
      </w:r>
    </w:p>
    <w:p w14:paraId="7E8EB2C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（3）分析水污染防治措施的有效性；</w:t>
      </w:r>
    </w:p>
    <w:p w14:paraId="436E36D8">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（4）分析固废、噪声污染防治措施的有效性；</w:t>
      </w:r>
    </w:p>
    <w:p w14:paraId="763AC452">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（5）分析项目风险防范措施的有效性。</w:t>
      </w:r>
    </w:p>
    <w:p w14:paraId="478A8569">
      <w:pPr>
        <w:pStyle w:val="3"/>
        <w:rPr>
          <w:rFonts w:hint="eastAsia"/>
          <w:color w:val="000000" w:themeColor="text1"/>
          <w14:textFill>
            <w14:solidFill>
              <w14:schemeClr w14:val="tx1"/>
            </w14:solidFill>
          </w14:textFill>
        </w:rPr>
      </w:pPr>
      <w:bookmarkStart w:id="15" w:name="_Toc477125495"/>
      <w:bookmarkStart w:id="16" w:name="_Toc11437"/>
      <w:r>
        <w:rPr>
          <w:color w:val="000000" w:themeColor="text1"/>
          <w14:textFill>
            <w14:solidFill>
              <w14:schemeClr w14:val="tx1"/>
            </w14:solidFill>
          </w14:textFill>
        </w:rPr>
        <w:t>环境影响报告书的主要结论</w:t>
      </w:r>
      <w:bookmarkEnd w:id="15"/>
      <w:bookmarkEnd w:id="16"/>
    </w:p>
    <w:p w14:paraId="282CDE4B">
      <w:pPr>
        <w:pStyle w:val="281"/>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新疆天科隆化学有限公司</w:t>
      </w:r>
      <w:r>
        <w:rPr>
          <w:rFonts w:hint="eastAsia" w:cs="Times New Roman"/>
          <w:color w:val="000000" w:themeColor="text1"/>
          <w14:textFill>
            <w14:solidFill>
              <w14:schemeClr w14:val="tx1"/>
            </w14:solidFill>
          </w14:textFill>
        </w:rPr>
        <w:t>6.2万吨水电解制氢及50万吨绿色草酰胺、80万吨有机高效缓释肥项目</w:t>
      </w:r>
      <w:r>
        <w:rPr>
          <w:rFonts w:hint="eastAsia" w:ascii="宋体" w:hAnsi="宋体"/>
          <w:color w:val="000000" w:themeColor="text1"/>
          <w14:textFill>
            <w14:solidFill>
              <w14:schemeClr w14:val="tx1"/>
            </w14:solidFill>
          </w14:textFill>
        </w:rPr>
        <w:t>符合国家及地方产业政策要求</w:t>
      </w:r>
      <w:r>
        <w:rPr>
          <w:rFonts w:hint="eastAsia" w:ascii="宋体" w:hAnsi="宋体"/>
          <w:color w:val="000000" w:themeColor="text1"/>
          <w:lang w:eastAsia="zh"/>
          <w14:textFill>
            <w14:solidFill>
              <w14:schemeClr w14:val="tx1"/>
            </w14:solidFill>
          </w14:textFill>
        </w:rPr>
        <w:t>。</w:t>
      </w:r>
      <w:r>
        <w:rPr>
          <w:rFonts w:hint="eastAsia" w:ascii="宋体" w:hAnsi="宋体"/>
          <w:color w:val="000000" w:themeColor="text1"/>
          <w14:textFill>
            <w14:solidFill>
              <w14:schemeClr w14:val="tx1"/>
            </w14:solidFill>
          </w14:textFill>
        </w:rPr>
        <w:t>符合相关规划要求。本项目采取的工艺技术与设备先进，污染物排放控制在较低水平，注重资源和能源的综合利用，符合清洁生产和循环经济等基本原则。认真落实本次环评确定的各项污染防治措施，强化环境管理、确保环保设施正常稳定运转，主要污染物可达标排放。在采取有效风险防范措施的前提下，从环评技术角度分析，项目的建设是可行的。</w:t>
      </w:r>
    </w:p>
    <w:p w14:paraId="5C58B238">
      <w:pPr>
        <w:rPr>
          <w:rFonts w:hint="eastAsia"/>
        </w:rPr>
        <w:sectPr>
          <w:headerReference r:id="rId6" w:type="default"/>
          <w:footerReference r:id="rId7" w:type="default"/>
          <w:pgSz w:w="11906" w:h="16838"/>
          <w:pgMar w:top="1440" w:right="1800" w:bottom="1440" w:left="1800" w:header="851" w:footer="850" w:gutter="0"/>
          <w:pgNumType w:start="1"/>
          <w:cols w:space="425" w:num="1"/>
          <w:docGrid w:type="lines" w:linePitch="326" w:charSpace="0"/>
        </w:sectPr>
      </w:pPr>
    </w:p>
    <w:p w14:paraId="51B9F96A">
      <w:pPr>
        <w:pStyle w:val="1012"/>
      </w:pPr>
      <w:bookmarkStart w:id="17" w:name="_Toc11329"/>
      <w:r>
        <w:rPr>
          <w:rFonts w:hint="eastAsia"/>
        </w:rPr>
        <w:t>总论</w:t>
      </w:r>
      <w:bookmarkEnd w:id="17"/>
    </w:p>
    <w:p w14:paraId="66A24700">
      <w:pPr>
        <w:pStyle w:val="3"/>
        <w:rPr>
          <w:rFonts w:hint="eastAsia"/>
        </w:rPr>
      </w:pPr>
      <w:bookmarkStart w:id="18" w:name="_Toc6327"/>
      <w:r>
        <w:t>编制依据</w:t>
      </w:r>
      <w:bookmarkEnd w:id="18"/>
    </w:p>
    <w:p w14:paraId="7A8AAFA0">
      <w:pPr>
        <w:pStyle w:val="97"/>
        <w:rPr>
          <w:rFonts w:hint="eastAsia"/>
        </w:rPr>
      </w:pPr>
      <w:r>
        <w:t>国家法律、法规</w:t>
      </w:r>
    </w:p>
    <w:p w14:paraId="35808B28">
      <w:pPr>
        <w:pStyle w:val="281"/>
        <w:ind w:firstLine="480"/>
        <w:jc w:val="left"/>
      </w:pPr>
      <w:r>
        <w:t>（1）《中华人民共和国环境保护法》，2015年1月1日；</w:t>
      </w:r>
    </w:p>
    <w:p w14:paraId="1F674517">
      <w:pPr>
        <w:pStyle w:val="281"/>
        <w:ind w:firstLine="480"/>
        <w:jc w:val="left"/>
      </w:pPr>
      <w:r>
        <w:t>（2）《中华人民共和国环境影响评价法》，2018年12月29日；</w:t>
      </w:r>
    </w:p>
    <w:p w14:paraId="57D248BD">
      <w:pPr>
        <w:pStyle w:val="281"/>
        <w:ind w:firstLine="480"/>
        <w:jc w:val="left"/>
      </w:pPr>
      <w:r>
        <w:t>（3）《中华人民共和国大气污染防治法》，</w:t>
      </w:r>
      <w:r>
        <w:rPr>
          <w:rFonts w:hint="eastAsia"/>
        </w:rPr>
        <w:t>2018年10月26日；</w:t>
      </w:r>
    </w:p>
    <w:p w14:paraId="393D5C25">
      <w:pPr>
        <w:pStyle w:val="281"/>
        <w:ind w:firstLine="480"/>
        <w:jc w:val="left"/>
      </w:pPr>
      <w:r>
        <w:t>（4）《中华人民共和国水污染防治法》，2018年1月1日；</w:t>
      </w:r>
    </w:p>
    <w:p w14:paraId="0204B6FC">
      <w:pPr>
        <w:pStyle w:val="281"/>
        <w:ind w:firstLine="480"/>
        <w:jc w:val="left"/>
      </w:pPr>
      <w:r>
        <w:t>（5）《中华人民共和国固体废物污染环境防治法》，2020年4月29日；</w:t>
      </w:r>
    </w:p>
    <w:p w14:paraId="09EC963A">
      <w:pPr>
        <w:pStyle w:val="281"/>
        <w:ind w:firstLine="480"/>
        <w:jc w:val="left"/>
      </w:pPr>
      <w:r>
        <w:t>（6）《中华人民共和国噪声污染防治法》，2021年12月24日；</w:t>
      </w:r>
    </w:p>
    <w:p w14:paraId="544BD6C9">
      <w:pPr>
        <w:pStyle w:val="281"/>
        <w:ind w:firstLine="480"/>
        <w:jc w:val="left"/>
      </w:pPr>
      <w:r>
        <w:t>（7）《中华人民共和国土壤污染防治法》，2019年1月1日</w:t>
      </w:r>
      <w:r>
        <w:rPr>
          <w:rFonts w:hint="eastAsia"/>
        </w:rPr>
        <w:t>；</w:t>
      </w:r>
    </w:p>
    <w:p w14:paraId="7C7BB1D3">
      <w:pPr>
        <w:pStyle w:val="281"/>
        <w:ind w:firstLine="480"/>
        <w:jc w:val="left"/>
      </w:pPr>
      <w:r>
        <w:t>（</w:t>
      </w:r>
      <w:r>
        <w:rPr>
          <w:rFonts w:hint="eastAsia"/>
        </w:rPr>
        <w:t>8</w:t>
      </w:r>
      <w:r>
        <w:t>）《中华人民共和国清洁生产促进法》，2012年7月1日；</w:t>
      </w:r>
    </w:p>
    <w:p w14:paraId="3061F43F">
      <w:pPr>
        <w:pStyle w:val="281"/>
        <w:ind w:firstLine="480"/>
        <w:jc w:val="left"/>
      </w:pPr>
      <w:r>
        <w:t>（</w:t>
      </w:r>
      <w:r>
        <w:rPr>
          <w:rFonts w:hint="eastAsia"/>
        </w:rPr>
        <w:t>9</w:t>
      </w:r>
      <w:r>
        <w:t>）《中华人民共和国节约能源法》，2018年10月26日；</w:t>
      </w:r>
    </w:p>
    <w:p w14:paraId="38E3F3D2">
      <w:pPr>
        <w:pStyle w:val="281"/>
        <w:ind w:firstLine="480"/>
        <w:jc w:val="left"/>
      </w:pPr>
      <w:r>
        <w:t>（</w:t>
      </w:r>
      <w:r>
        <w:rPr>
          <w:rFonts w:hint="eastAsia"/>
        </w:rPr>
        <w:t>10</w:t>
      </w:r>
      <w:r>
        <w:t>）《中华人民共和国循环经济促进法》，2018年10月26日；</w:t>
      </w:r>
    </w:p>
    <w:p w14:paraId="1C0D9E73">
      <w:pPr>
        <w:pStyle w:val="281"/>
        <w:ind w:firstLine="480"/>
        <w:jc w:val="left"/>
      </w:pPr>
      <w:r>
        <w:t>（1</w:t>
      </w:r>
      <w:r>
        <w:rPr>
          <w:rFonts w:hint="eastAsia"/>
        </w:rPr>
        <w:t>1</w:t>
      </w:r>
      <w:r>
        <w:t>）《中华人民共和国水土保持法》，2011年3月1日；</w:t>
      </w:r>
    </w:p>
    <w:p w14:paraId="51846F7A">
      <w:pPr>
        <w:pStyle w:val="281"/>
        <w:ind w:firstLine="480"/>
        <w:jc w:val="left"/>
      </w:pPr>
      <w:r>
        <w:t>（12）《中华人民共和国环境保护税法》，2018年1月1日；</w:t>
      </w:r>
    </w:p>
    <w:p w14:paraId="60B58305">
      <w:pPr>
        <w:pStyle w:val="281"/>
        <w:ind w:firstLine="480"/>
      </w:pPr>
      <w:r>
        <w:rPr>
          <w:rFonts w:hint="eastAsia"/>
        </w:rPr>
        <w:t>（13）《中华人民共和国安全生产法》（2021年9月1日）；</w:t>
      </w:r>
    </w:p>
    <w:p w14:paraId="2E703FA4">
      <w:pPr>
        <w:pStyle w:val="281"/>
        <w:ind w:firstLine="480"/>
        <w:jc w:val="left"/>
      </w:pPr>
      <w:r>
        <w:rPr>
          <w:rFonts w:hint="eastAsia"/>
        </w:rPr>
        <w:t>（14）《中华人民共和国突发事件应对法》（2024年6月28日）。</w:t>
      </w:r>
    </w:p>
    <w:p w14:paraId="234654D7">
      <w:pPr>
        <w:pStyle w:val="97"/>
        <w:rPr>
          <w:rFonts w:hint="eastAsia"/>
          <w:color w:val="000000" w:themeColor="text1"/>
          <w14:textFill>
            <w14:solidFill>
              <w14:schemeClr w14:val="tx1"/>
            </w14:solidFill>
          </w14:textFill>
        </w:rPr>
      </w:pPr>
      <w:bookmarkStart w:id="19" w:name="_Hlk150212744"/>
      <w:r>
        <w:rPr>
          <w:color w:val="000000" w:themeColor="text1"/>
          <w14:textFill>
            <w14:solidFill>
              <w14:schemeClr w14:val="tx1"/>
            </w14:solidFill>
          </w14:textFill>
        </w:rPr>
        <w:t>相关政策与规范</w:t>
      </w:r>
      <w:bookmarkEnd w:id="19"/>
    </w:p>
    <w:p w14:paraId="5C3182E9">
      <w:pPr>
        <w:pStyle w:val="104"/>
        <w:ind w:firstLine="512"/>
        <w:rPr>
          <w:rFonts w:hint="eastAsia" w:ascii="Times New Roman"/>
          <w:color w:val="000000" w:themeColor="text1"/>
          <w14:textFill>
            <w14:solidFill>
              <w14:schemeClr w14:val="tx1"/>
            </w14:solidFill>
          </w14:textFill>
        </w:rPr>
      </w:pPr>
      <w:bookmarkStart w:id="20" w:name="_Hlk150651678"/>
      <w:r>
        <w:rPr>
          <w:rFonts w:ascii="Times New Roman"/>
          <w:color w:val="000000" w:themeColor="text1"/>
          <w14:textFill>
            <w14:solidFill>
              <w14:schemeClr w14:val="tx1"/>
            </w14:solidFill>
          </w14:textFill>
        </w:rPr>
        <w:t>（1）《建设项目环境保护管理条例》，2017年10月1日；</w:t>
      </w:r>
    </w:p>
    <w:p w14:paraId="7278176F">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《产业结构调整指导目录（2024年本）》（中华人民共和国国家发展和改革委员会令第7号），2023年12月27日</w:t>
      </w:r>
      <w:r>
        <w:rPr>
          <w:rFonts w:ascii="Times New Roman"/>
          <w:color w:val="000000" w:themeColor="text1"/>
          <w14:textFill>
            <w14:solidFill>
              <w14:schemeClr w14:val="tx1"/>
            </w14:solidFill>
          </w14:textFill>
        </w:rPr>
        <w:t>；</w:t>
      </w:r>
    </w:p>
    <w:p w14:paraId="0427E1A8">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（3）《关于印发《建设项目环境影响评价信息公开机制方案》的通知》（</w:t>
      </w:r>
      <w:r>
        <w:rPr>
          <w:rFonts w:hint="eastAsia" w:ascii="Times New Roman"/>
          <w:color w:val="000000" w:themeColor="text1"/>
          <w14:textFill>
            <w14:solidFill>
              <w14:schemeClr w14:val="tx1"/>
            </w14:solidFill>
          </w14:textFill>
        </w:rPr>
        <w:t>原</w:t>
      </w:r>
      <w:r>
        <w:rPr>
          <w:rFonts w:ascii="Times New Roman"/>
          <w:color w:val="000000" w:themeColor="text1"/>
          <w14:textFill>
            <w14:solidFill>
              <w14:schemeClr w14:val="tx1"/>
            </w14:solidFill>
          </w14:textFill>
        </w:rPr>
        <w:t>环境保护部文件环发[2015]162号），2015年12月11日；</w:t>
      </w:r>
    </w:p>
    <w:p w14:paraId="0908A5E7">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（4）《建设项目环境影响评价分类管理名录（2021年版）》（2021年1月1日施行，生态环境部令第16号）；</w:t>
      </w:r>
    </w:p>
    <w:p w14:paraId="2BD1476A">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（5）《关于进一步加强环境影响评价管理防范环境风险的通知》，环发〔2012〕77号，2012年7月3日；</w:t>
      </w:r>
    </w:p>
    <w:p w14:paraId="16AD85B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（6）《关于以改善环境质量为核心加强环境影响评价管理的通知》（</w:t>
      </w:r>
      <w:r>
        <w:rPr>
          <w:rFonts w:hint="eastAsia" w:ascii="Times New Roman"/>
          <w:color w:val="000000" w:themeColor="text1"/>
          <w14:textFill>
            <w14:solidFill>
              <w14:schemeClr w14:val="tx1"/>
            </w14:solidFill>
          </w14:textFill>
        </w:rPr>
        <w:t>原</w:t>
      </w:r>
      <w:r>
        <w:rPr>
          <w:rFonts w:ascii="Times New Roman"/>
          <w:color w:val="000000" w:themeColor="text1"/>
          <w14:textFill>
            <w14:solidFill>
              <w14:schemeClr w14:val="tx1"/>
            </w14:solidFill>
          </w14:textFill>
        </w:rPr>
        <w:t>环境保护部文件，环环评[2016]150号），2016年10月26日</w:t>
      </w:r>
      <w:r>
        <w:rPr>
          <w:rFonts w:hint="eastAsia" w:ascii="Times New Roman"/>
          <w:color w:val="000000" w:themeColor="text1"/>
          <w14:textFill>
            <w14:solidFill>
              <w14:schemeClr w14:val="tx1"/>
            </w14:solidFill>
          </w14:textFill>
        </w:rPr>
        <w:t>；</w:t>
      </w:r>
    </w:p>
    <w:p w14:paraId="19EEF5DA">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7</w:t>
      </w:r>
      <w:r>
        <w:rPr>
          <w:rFonts w:ascii="Times New Roman"/>
          <w:color w:val="000000" w:themeColor="text1"/>
          <w14:textFill>
            <w14:solidFill>
              <w14:schemeClr w14:val="tx1"/>
            </w14:solidFill>
          </w14:textFill>
        </w:rPr>
        <w:t>）《国务院关于印发大气污染防治行动计划的通知》（国发[2013]37号）；</w:t>
      </w:r>
    </w:p>
    <w:p w14:paraId="7F5A6D28">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）《国务院关于印发土壤污染防治行动计划的通知》（国发[2016]31号）</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2016年5月28日；</w:t>
      </w:r>
    </w:p>
    <w:p w14:paraId="4B1A83E1">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9</w:t>
      </w:r>
      <w:r>
        <w:rPr>
          <w:rFonts w:ascii="Times New Roman"/>
          <w:color w:val="000000" w:themeColor="text1"/>
          <w14:textFill>
            <w14:solidFill>
              <w14:schemeClr w14:val="tx1"/>
            </w14:solidFill>
          </w14:textFill>
        </w:rPr>
        <w:t>）《国务院关于印发水污染防治行动计划的通知》，国发[2015]17号，2015年4月2日；</w:t>
      </w:r>
    </w:p>
    <w:p w14:paraId="53421B6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0</w:t>
      </w:r>
      <w:r>
        <w:rPr>
          <w:rFonts w:ascii="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企业环境信息依法披露管理办法</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2022年2月8日；</w:t>
      </w:r>
    </w:p>
    <w:p w14:paraId="2A219E33">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《排污许可管理条例》，国务院令第7</w:t>
      </w:r>
      <w:r>
        <w:rPr>
          <w:rFonts w:ascii="Times New Roman"/>
          <w:color w:val="000000" w:themeColor="text1"/>
          <w14:textFill>
            <w14:solidFill>
              <w14:schemeClr w14:val="tx1"/>
            </w14:solidFill>
          </w14:textFill>
        </w:rPr>
        <w:t>36</w:t>
      </w:r>
      <w:r>
        <w:rPr>
          <w:rFonts w:hint="eastAsia" w:ascii="Times New Roman"/>
          <w:color w:val="000000" w:themeColor="text1"/>
          <w14:textFill>
            <w14:solidFill>
              <w14:schemeClr w14:val="tx1"/>
            </w14:solidFill>
          </w14:textFill>
        </w:rPr>
        <w:t>号，2</w:t>
      </w:r>
      <w:r>
        <w:rPr>
          <w:rFonts w:ascii="Times New Roman"/>
          <w:color w:val="000000" w:themeColor="text1"/>
          <w14:textFill>
            <w14:solidFill>
              <w14:schemeClr w14:val="tx1"/>
            </w14:solidFill>
          </w14:textFill>
        </w:rPr>
        <w:t>021</w:t>
      </w:r>
      <w:r>
        <w:rPr>
          <w:rFonts w:hint="eastAsia" w:ascii="Times New Roman"/>
          <w:color w:val="000000" w:themeColor="text1"/>
          <w14:textFill>
            <w14:solidFill>
              <w14:schemeClr w14:val="tx1"/>
            </w14:solidFill>
          </w14:textFill>
        </w:rPr>
        <w:t>年</w:t>
      </w: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月</w:t>
      </w:r>
      <w:r>
        <w:rPr>
          <w:rFonts w:ascii="Times New Roman"/>
          <w:color w:val="000000" w:themeColor="text1"/>
          <w14:textFill>
            <w14:solidFill>
              <w14:schemeClr w14:val="tx1"/>
            </w14:solidFill>
          </w14:textFill>
        </w:rPr>
        <w:t>24</w:t>
      </w:r>
      <w:r>
        <w:rPr>
          <w:rFonts w:hint="eastAsia" w:ascii="Times New Roman"/>
          <w:color w:val="000000" w:themeColor="text1"/>
          <w14:textFill>
            <w14:solidFill>
              <w14:schemeClr w14:val="tx1"/>
            </w14:solidFill>
          </w14:textFill>
        </w:rPr>
        <w:t>日；</w:t>
      </w:r>
    </w:p>
    <w:p w14:paraId="66BEE051">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）《环境影响评价公众参与办法》，2019年1月1日；</w:t>
      </w:r>
    </w:p>
    <w:p w14:paraId="43B082CE">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）《关于加强化工园区环境保护工作的意见》，环发</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2012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54号，2012.05.17；</w:t>
      </w:r>
    </w:p>
    <w:p w14:paraId="6596EA95">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）《国务院安委会办公室关于进一步加强化工园区安全管理的指导意见》，安委办</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2012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37号，2012.08.07；</w:t>
      </w:r>
    </w:p>
    <w:p w14:paraId="69B2367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5</w:t>
      </w:r>
      <w:r>
        <w:rPr>
          <w:rFonts w:ascii="Times New Roman"/>
          <w:color w:val="000000" w:themeColor="text1"/>
          <w14:textFill>
            <w14:solidFill>
              <w14:schemeClr w14:val="tx1"/>
            </w14:solidFill>
          </w14:textFill>
        </w:rPr>
        <w:t>）《关于切实加强风险防范严格环境影响评价管理的通知》，环发〔2012〕98号，2012年8月7日；</w:t>
      </w:r>
    </w:p>
    <w:p w14:paraId="74E12383">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6</w:t>
      </w:r>
      <w:r>
        <w:rPr>
          <w:rFonts w:ascii="Times New Roman"/>
          <w:color w:val="000000" w:themeColor="text1"/>
          <w14:textFill>
            <w14:solidFill>
              <w14:schemeClr w14:val="tx1"/>
            </w14:solidFill>
          </w14:textFill>
        </w:rPr>
        <w:t>）《危险化学品安全管理条例》，2013年12月7日；</w:t>
      </w:r>
    </w:p>
    <w:p w14:paraId="7C1C4B1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7</w:t>
      </w:r>
      <w:r>
        <w:rPr>
          <w:rFonts w:ascii="Times New Roman"/>
          <w:color w:val="000000" w:themeColor="text1"/>
          <w14:textFill>
            <w14:solidFill>
              <w14:schemeClr w14:val="tx1"/>
            </w14:solidFill>
          </w14:textFill>
        </w:rPr>
        <w:t>）《挥发性有机物（VOCs）污染防治技术政策》（环保部公告2013年第31号），2013年5月24日；</w:t>
      </w:r>
    </w:p>
    <w:p w14:paraId="64792D15">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）《重点行业挥发性有机物削减行动计划》（工信部联节〔2016〕217号），2016年7月8日；</w:t>
      </w:r>
    </w:p>
    <w:p w14:paraId="17C37159">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19</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十三五</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挥发性有机物污染防治工作方案》（环大气〔2017〕121号），2017年9月13日；</w:t>
      </w:r>
    </w:p>
    <w:p w14:paraId="3FE01A5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0</w:t>
      </w:r>
      <w:r>
        <w:rPr>
          <w:rFonts w:ascii="Times New Roman"/>
          <w:color w:val="000000" w:themeColor="text1"/>
          <w14:textFill>
            <w14:solidFill>
              <w14:schemeClr w14:val="tx1"/>
            </w14:solidFill>
          </w14:textFill>
        </w:rPr>
        <w:t>）《石化行业挥发性有机物综合整治方案》，环发[2014]177号，</w:t>
      </w:r>
      <w:r>
        <w:rPr>
          <w:rFonts w:hint="eastAsia" w:ascii="Times New Roman"/>
          <w:color w:val="000000" w:themeColor="text1"/>
          <w14:textFill>
            <w14:solidFill>
              <w14:schemeClr w14:val="tx1"/>
            </w14:solidFill>
          </w14:textFill>
        </w:rPr>
        <w:t>原</w:t>
      </w:r>
      <w:r>
        <w:rPr>
          <w:rFonts w:ascii="Times New Roman"/>
          <w:color w:val="000000" w:themeColor="text1"/>
          <w14:textFill>
            <w14:solidFill>
              <w14:schemeClr w14:val="tx1"/>
            </w14:solidFill>
          </w14:textFill>
        </w:rPr>
        <w:t>环境保护部办公厅2014年12月5日印发；</w:t>
      </w:r>
    </w:p>
    <w:p w14:paraId="135EEEC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）《关于印发&lt;能源行业加强大气污染防治工作方案&gt;的通知》，发改能源[2014]506号，2014年5月16日；</w:t>
      </w:r>
    </w:p>
    <w:p w14:paraId="3BFBB943">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）《关于落实大气污染防治行动计划严格环境影响评价准入的通知》，（环办[2014]30号），2014年3月25日；</w:t>
      </w:r>
    </w:p>
    <w:p w14:paraId="42FF1F2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）《石油化工工程防渗技术规范》（GB/T 50934-2013）；</w:t>
      </w:r>
    </w:p>
    <w:p w14:paraId="505BC109">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）《国家危险废物名录</w:t>
      </w:r>
      <w:r>
        <w:rPr>
          <w:rFonts w:hint="eastAsia" w:ascii="Times New Roman"/>
          <w:color w:val="000000" w:themeColor="text1"/>
          <w14:textFill>
            <w14:solidFill>
              <w14:schemeClr w14:val="tx1"/>
            </w14:solidFill>
          </w14:textFill>
        </w:rPr>
        <w:t>（2025年版）</w:t>
      </w:r>
      <w:r>
        <w:rPr>
          <w:rFonts w:ascii="Times New Roman"/>
          <w:color w:val="000000" w:themeColor="text1"/>
          <w14:textFill>
            <w14:solidFill>
              <w14:schemeClr w14:val="tx1"/>
            </w14:solidFill>
          </w14:textFill>
        </w:rPr>
        <w:t>》，20</w:t>
      </w:r>
      <w:r>
        <w:rPr>
          <w:rFonts w:hint="eastAsia" w:ascii="Times New Roman"/>
          <w:color w:val="000000" w:themeColor="text1"/>
          <w14:textFill>
            <w14:solidFill>
              <w14:schemeClr w14:val="tx1"/>
            </w14:solidFill>
          </w14:textFill>
        </w:rPr>
        <w:t>25</w:t>
      </w:r>
      <w:r>
        <w:rPr>
          <w:rFonts w:ascii="Times New Roman"/>
          <w:color w:val="000000" w:themeColor="text1"/>
          <w14:textFill>
            <w14:solidFill>
              <w14:schemeClr w14:val="tx1"/>
            </w14:solidFill>
          </w14:textFill>
        </w:rPr>
        <w:t>年1月1日；</w:t>
      </w:r>
    </w:p>
    <w:p w14:paraId="6B095F3E">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5</w:t>
      </w:r>
      <w:r>
        <w:rPr>
          <w:rFonts w:ascii="Times New Roman"/>
          <w:color w:val="000000" w:themeColor="text1"/>
          <w14:textFill>
            <w14:solidFill>
              <w14:schemeClr w14:val="tx1"/>
            </w14:solidFill>
          </w14:textFill>
        </w:rPr>
        <w:t>）《建设项目危险废物环境影响评价指南》，2017年8月29日；</w:t>
      </w:r>
    </w:p>
    <w:p w14:paraId="6197B9B8">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6</w:t>
      </w:r>
      <w:r>
        <w:rPr>
          <w:rFonts w:ascii="Times New Roman"/>
          <w:color w:val="000000" w:themeColor="text1"/>
          <w14:textFill>
            <w14:solidFill>
              <w14:schemeClr w14:val="tx1"/>
            </w14:solidFill>
          </w14:textFill>
        </w:rPr>
        <w:t>）《危险废物污染防治技术政策》，2011年12月17日；</w:t>
      </w:r>
    </w:p>
    <w:p w14:paraId="14BCACC6">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27</w:t>
      </w:r>
      <w:r>
        <w:rPr>
          <w:rFonts w:ascii="Times New Roman"/>
          <w:color w:val="000000" w:themeColor="text1"/>
          <w14:textFill>
            <w14:solidFill>
              <w14:schemeClr w14:val="tx1"/>
            </w14:solidFill>
          </w14:textFill>
        </w:rPr>
        <w:t>）《关于印发重点行业挥发性有机物削减行动计划的通知</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018</w:t>
      </w:r>
      <w:r>
        <w:rPr>
          <w:rFonts w:hint="eastAsia" w:ascii="Times New Roman"/>
          <w:color w:val="000000" w:themeColor="text1"/>
          <w14:textFill>
            <w14:solidFill>
              <w14:schemeClr w14:val="tx1"/>
            </w14:solidFill>
          </w14:textFill>
        </w:rPr>
        <w:t>年6月3</w:t>
      </w: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日；</w:t>
      </w:r>
    </w:p>
    <w:p w14:paraId="253CF51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）《关于加快解决当前挥发性有机物治理突出问题的通知》</w:t>
      </w:r>
      <w:r>
        <w:rPr>
          <w:rFonts w:hint="eastAsia" w:ascii="Times New Roman"/>
          <w:color w:val="000000" w:themeColor="text1"/>
          <w14:textFill>
            <w14:solidFill>
              <w14:schemeClr w14:val="tx1"/>
            </w14:solidFill>
          </w14:textFill>
        </w:rPr>
        <w:t>，（环大气〔2021〕65号），2</w:t>
      </w:r>
      <w:r>
        <w:rPr>
          <w:rFonts w:ascii="Times New Roman"/>
          <w:color w:val="000000" w:themeColor="text1"/>
          <w14:textFill>
            <w14:solidFill>
              <w14:schemeClr w14:val="tx1"/>
            </w14:solidFill>
          </w14:textFill>
        </w:rPr>
        <w:t>021</w:t>
      </w:r>
      <w:r>
        <w:rPr>
          <w:rFonts w:hint="eastAsia" w:ascii="Times New Roman"/>
          <w:color w:val="000000" w:themeColor="text1"/>
          <w14:textFill>
            <w14:solidFill>
              <w14:schemeClr w14:val="tx1"/>
            </w14:solidFill>
          </w14:textFill>
        </w:rPr>
        <w:t>年8月4日；</w:t>
      </w:r>
    </w:p>
    <w:p w14:paraId="2E93EA19">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（29）</w:t>
      </w:r>
      <w:r>
        <w:rPr>
          <w:rFonts w:ascii="Times New Roman"/>
          <w:color w:val="000000" w:themeColor="text1"/>
          <w14:textFill>
            <w14:solidFill>
              <w14:schemeClr w14:val="tx1"/>
            </w14:solidFill>
          </w14:textFill>
        </w:rPr>
        <w:t>《中共中央国务院关于深入打好污染防治攻坚战的意见》</w:t>
      </w:r>
      <w:r>
        <w:rPr>
          <w:rFonts w:hint="eastAsia" w:ascii="Times New Roman"/>
          <w:color w:val="000000" w:themeColor="text1"/>
          <w14:textFill>
            <w14:solidFill>
              <w14:schemeClr w14:val="tx1"/>
            </w14:solidFill>
          </w14:textFill>
        </w:rPr>
        <w:t>，2021年11月2日；</w:t>
      </w:r>
    </w:p>
    <w:p w14:paraId="7B887A06">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3</w:t>
      </w:r>
      <w:r>
        <w:rPr>
          <w:rFonts w:hint="eastAsia" w:ascii="Times New Roman"/>
          <w:color w:val="000000" w:themeColor="text1"/>
          <w14:textFill>
            <w14:solidFill>
              <w14:schemeClr w14:val="tx1"/>
            </w14:solidFill>
          </w14:textFill>
        </w:rPr>
        <w:t>0）</w:t>
      </w:r>
      <w:r>
        <w:rPr>
          <w:rFonts w:ascii="Times New Roman"/>
          <w:color w:val="000000" w:themeColor="text1"/>
          <w14:textFill>
            <w14:solidFill>
              <w14:schemeClr w14:val="tx1"/>
            </w14:solidFill>
          </w14:textFill>
        </w:rPr>
        <w:t>《重点行业挥发性有机物综合治理方案》</w:t>
      </w:r>
      <w:r>
        <w:rPr>
          <w:rFonts w:hint="eastAsia" w:ascii="Times New Roman"/>
          <w:color w:val="000000" w:themeColor="text1"/>
          <w14:textFill>
            <w14:solidFill>
              <w14:schemeClr w14:val="tx1"/>
            </w14:solidFill>
          </w14:textFill>
        </w:rPr>
        <w:t>（环大气〔2019〕53号），</w:t>
      </w:r>
      <w:r>
        <w:rPr>
          <w:rFonts w:ascii="Times New Roman"/>
          <w:color w:val="000000" w:themeColor="text1"/>
          <w14:textFill>
            <w14:solidFill>
              <w14:schemeClr w14:val="tx1"/>
            </w14:solidFill>
          </w14:textFill>
        </w:rPr>
        <w:t>2019</w:t>
      </w:r>
      <w:r>
        <w:rPr>
          <w:rFonts w:hint="eastAsia" w:ascii="Times New Roman"/>
          <w:color w:val="000000" w:themeColor="text1"/>
          <w14:textFill>
            <w14:solidFill>
              <w14:schemeClr w14:val="tx1"/>
            </w14:solidFill>
          </w14:textFill>
        </w:rPr>
        <w:t>年6月2</w:t>
      </w:r>
      <w:r>
        <w:rPr>
          <w:rFonts w:ascii="Times New Roman"/>
          <w:color w:val="000000" w:themeColor="text1"/>
          <w14:textFill>
            <w14:solidFill>
              <w14:schemeClr w14:val="tx1"/>
            </w14:solidFill>
          </w14:textFill>
        </w:rPr>
        <w:t>6</w:t>
      </w:r>
      <w:r>
        <w:rPr>
          <w:rFonts w:hint="eastAsia" w:ascii="Times New Roman"/>
          <w:color w:val="000000" w:themeColor="text1"/>
          <w14:textFill>
            <w14:solidFill>
              <w14:schemeClr w14:val="tx1"/>
            </w14:solidFill>
          </w14:textFill>
        </w:rPr>
        <w:t>日；</w:t>
      </w:r>
    </w:p>
    <w:p w14:paraId="3DBE3A2E">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（31）</w:t>
      </w:r>
      <w:r>
        <w:rPr>
          <w:rFonts w:ascii="Times New Roman"/>
          <w:color w:val="000000" w:themeColor="text1"/>
          <w14:textFill>
            <w14:solidFill>
              <w14:schemeClr w14:val="tx1"/>
            </w14:solidFill>
          </w14:textFill>
        </w:rPr>
        <w:t>《地下水管理条例》</w:t>
      </w:r>
      <w:r>
        <w:rPr>
          <w:rFonts w:hint="eastAsia" w:ascii="Times New Roman"/>
          <w:color w:val="000000" w:themeColor="text1"/>
          <w14:textFill>
            <w14:solidFill>
              <w14:schemeClr w14:val="tx1"/>
            </w14:solidFill>
          </w14:textFill>
        </w:rPr>
        <w:t>，国令第748号，2</w:t>
      </w:r>
      <w:r>
        <w:rPr>
          <w:rFonts w:ascii="Times New Roman"/>
          <w:color w:val="000000" w:themeColor="text1"/>
          <w14:textFill>
            <w14:solidFill>
              <w14:schemeClr w14:val="tx1"/>
            </w14:solidFill>
          </w14:textFill>
        </w:rPr>
        <w:t>021</w:t>
      </w:r>
      <w:r>
        <w:rPr>
          <w:rFonts w:hint="eastAsia" w:ascii="Times New Roman"/>
          <w:color w:val="000000" w:themeColor="text1"/>
          <w14:textFill>
            <w14:solidFill>
              <w14:schemeClr w14:val="tx1"/>
            </w14:solidFill>
          </w14:textFill>
        </w:rPr>
        <w:t>年1</w:t>
      </w: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月2</w:t>
      </w: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日；</w:t>
      </w:r>
    </w:p>
    <w:p w14:paraId="45CAD63F">
      <w:pPr>
        <w:pStyle w:val="104"/>
        <w:ind w:firstLine="512"/>
        <w:jc w:val="both"/>
        <w:rPr>
          <w:rFonts w:hint="eastAsia" w:ascii="Times New Roman"/>
          <w:color w:val="000000" w:themeColor="text1"/>
          <w14:textFill>
            <w14:solidFill>
              <w14:schemeClr w14:val="tx1"/>
            </w14:solidFill>
          </w14:textFill>
        </w:rPr>
      </w:pPr>
      <w:bookmarkStart w:id="21" w:name="_Hlk150212732"/>
      <w:r>
        <w:rPr>
          <w:rFonts w:hint="eastAsia" w:ascii="Times New Roman"/>
          <w:color w:val="000000" w:themeColor="text1"/>
          <w14:textFill>
            <w14:solidFill>
              <w14:schemeClr w14:val="tx1"/>
            </w14:solidFill>
          </w14:textFill>
        </w:rPr>
        <w:t>（32）</w:t>
      </w:r>
      <w:r>
        <w:rPr>
          <w:rFonts w:ascii="Times New Roman"/>
          <w:color w:val="000000" w:themeColor="text1"/>
          <w14:textFill>
            <w14:solidFill>
              <w14:schemeClr w14:val="tx1"/>
            </w14:solidFill>
          </w14:textFill>
        </w:rPr>
        <w:t>《危险废物转移管理办法》</w:t>
      </w:r>
      <w:r>
        <w:rPr>
          <w:rFonts w:hint="eastAsia" w:ascii="Times New Roman"/>
          <w:color w:val="000000" w:themeColor="text1"/>
          <w14:textFill>
            <w14:solidFill>
              <w14:schemeClr w14:val="tx1"/>
            </w14:solidFill>
          </w14:textFill>
        </w:rPr>
        <w:t>（生态环境部、公安部、交通运输部部令第23号）；</w:t>
      </w:r>
    </w:p>
    <w:p w14:paraId="1189F912">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（33）</w:t>
      </w:r>
      <w:r>
        <w:rPr>
          <w:rFonts w:ascii="Times New Roman"/>
          <w:color w:val="000000" w:themeColor="text1"/>
          <w14:textFill>
            <w14:solidFill>
              <w14:schemeClr w14:val="tx1"/>
            </w14:solidFill>
          </w14:textFill>
        </w:rPr>
        <w:t>《减污降碳协同增效实施方案》</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环综合〔2022〕42号</w:t>
      </w:r>
      <w:r>
        <w:rPr>
          <w:rFonts w:hint="eastAsia" w:ascii="Times New Roman"/>
          <w:color w:val="000000" w:themeColor="text1"/>
          <w14:textFill>
            <w14:solidFill>
              <w14:schemeClr w14:val="tx1"/>
            </w14:solidFill>
          </w14:textFill>
        </w:rPr>
        <w:t>；</w:t>
      </w:r>
    </w:p>
    <w:p w14:paraId="7524D445">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（34）</w:t>
      </w:r>
      <w:r>
        <w:rPr>
          <w:rFonts w:ascii="Times New Roman"/>
          <w:color w:val="000000" w:themeColor="text1"/>
          <w14:textFill>
            <w14:solidFill>
              <w14:schemeClr w14:val="tx1"/>
            </w14:solidFill>
          </w14:textFill>
        </w:rPr>
        <w:t>《现代煤化工产业创新发展布局方案》（发改产业〔2017〕553号）</w:t>
      </w:r>
      <w:r>
        <w:rPr>
          <w:rFonts w:hint="eastAsia" w:ascii="Times New Roman"/>
          <w:color w:val="000000" w:themeColor="text1"/>
          <w14:textFill>
            <w14:solidFill>
              <w14:schemeClr w14:val="tx1"/>
            </w14:solidFill>
          </w14:textFill>
        </w:rPr>
        <w:t>；</w:t>
      </w:r>
    </w:p>
    <w:p w14:paraId="20F045C4">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（35）</w:t>
      </w:r>
      <w:r>
        <w:rPr>
          <w:rFonts w:ascii="Times New Roman"/>
          <w:color w:val="000000" w:themeColor="text1"/>
          <w14:textFill>
            <w14:solidFill>
              <w14:schemeClr w14:val="tx1"/>
            </w14:solidFill>
          </w14:textFill>
        </w:rPr>
        <w:t>《关于印发能源行业加强大气污染防治工作方案的通知》（发改能源〔2014〕506号</w:t>
      </w:r>
      <w:r>
        <w:rPr>
          <w:rFonts w:hint="eastAsia" w:ascii="Times New Roman"/>
          <w:color w:val="000000" w:themeColor="text1"/>
          <w14:textFill>
            <w14:solidFill>
              <w14:schemeClr w14:val="tx1"/>
            </w14:solidFill>
          </w14:textFill>
        </w:rPr>
        <w:t>）；</w:t>
      </w:r>
    </w:p>
    <w:p w14:paraId="3CB13CDB">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（36）</w:t>
      </w:r>
      <w:r>
        <w:rPr>
          <w:rFonts w:ascii="Times New Roman"/>
          <w:color w:val="000000" w:themeColor="text1"/>
          <w14:textFill>
            <w14:solidFill>
              <w14:schemeClr w14:val="tx1"/>
            </w14:solidFill>
          </w14:textFill>
        </w:rPr>
        <w:t>《</w:t>
      </w:r>
      <w:bookmarkStart w:id="22" w:name="_Hlk163117734"/>
      <w:r>
        <w:rPr>
          <w:rFonts w:ascii="Times New Roman"/>
          <w:color w:val="000000" w:themeColor="text1"/>
          <w14:textFill>
            <w14:solidFill>
              <w14:schemeClr w14:val="tx1"/>
            </w14:solidFill>
          </w14:textFill>
        </w:rPr>
        <w:t>产业发展与转移指导目录（2018年本）</w:t>
      </w:r>
      <w:bookmarkEnd w:id="22"/>
      <w:r>
        <w:rPr>
          <w:rFonts w:ascii="Times New Roman"/>
          <w:color w:val="000000" w:themeColor="text1"/>
          <w14:textFill>
            <w14:solidFill>
              <w14:schemeClr w14:val="tx1"/>
            </w14:solidFill>
          </w14:textFill>
        </w:rPr>
        <w:t>》（工业和信息化部公告2018年第66号）</w:t>
      </w:r>
      <w:r>
        <w:rPr>
          <w:rFonts w:hint="eastAsia" w:ascii="Times New Roman"/>
          <w:color w:val="000000" w:themeColor="text1"/>
          <w14:textFill>
            <w14:solidFill>
              <w14:schemeClr w14:val="tx1"/>
            </w14:solidFill>
          </w14:textFill>
        </w:rPr>
        <w:t>；</w:t>
      </w:r>
    </w:p>
    <w:p w14:paraId="7678706D">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（37）</w:t>
      </w:r>
      <w:r>
        <w:rPr>
          <w:rFonts w:ascii="Times New Roman"/>
          <w:color w:val="000000" w:themeColor="text1"/>
          <w14:textFill>
            <w14:solidFill>
              <w14:schemeClr w14:val="tx1"/>
            </w14:solidFill>
          </w14:textFill>
        </w:rPr>
        <w:t>《关于规范煤化工产业有序发展的通知》（国家发展改革委发改产业〔2011〕635号）</w:t>
      </w:r>
      <w:r>
        <w:rPr>
          <w:rFonts w:hint="eastAsia" w:ascii="Times New Roman"/>
          <w:color w:val="000000" w:themeColor="text1"/>
          <w14:textFill>
            <w14:solidFill>
              <w14:schemeClr w14:val="tx1"/>
            </w14:solidFill>
          </w14:textFill>
        </w:rPr>
        <w:t>；</w:t>
      </w:r>
    </w:p>
    <w:p w14:paraId="057E01C2">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（38）《</w:t>
      </w:r>
      <w:r>
        <w:rPr>
          <w:rFonts w:ascii="Times New Roman"/>
          <w:color w:val="000000" w:themeColor="text1"/>
          <w14:textFill>
            <w14:solidFill>
              <w14:schemeClr w14:val="tx1"/>
            </w14:solidFill>
          </w14:textFill>
        </w:rPr>
        <w:t>关于发布</w:t>
      </w:r>
      <w:r>
        <w:rPr>
          <w:rFonts w:hint="eastAsia" w:ascii="Times New Roman"/>
          <w:color w:val="000000" w:themeColor="text1"/>
          <w14:textFill>
            <w14:solidFill>
              <w14:schemeClr w14:val="tx1"/>
            </w14:solidFill>
          </w14:textFill>
        </w:rPr>
        <w:t>&lt;工业重点领域能效标杆水平和基准水平（2023年版）&gt;</w:t>
      </w:r>
      <w:r>
        <w:rPr>
          <w:rFonts w:ascii="Times New Roman"/>
          <w:color w:val="000000" w:themeColor="text1"/>
          <w14:textFill>
            <w14:solidFill>
              <w14:schemeClr w14:val="tx1"/>
            </w14:solidFill>
          </w14:textFill>
        </w:rPr>
        <w:t>的通知</w:t>
      </w:r>
      <w:r>
        <w:rPr>
          <w:rFonts w:hint="eastAsia" w:ascii="Times New Roman"/>
          <w:color w:val="000000" w:themeColor="text1"/>
          <w14:textFill>
            <w14:solidFill>
              <w14:schemeClr w14:val="tx1"/>
            </w14:solidFill>
          </w14:textFill>
        </w:rPr>
        <w:t>》（发改产业〔2023〕723号）；</w:t>
      </w:r>
    </w:p>
    <w:p w14:paraId="4E162234">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（39）《</w:t>
      </w:r>
      <w:r>
        <w:rPr>
          <w:rFonts w:ascii="Times New Roman"/>
          <w:color w:val="000000" w:themeColor="text1"/>
          <w14:textFill>
            <w14:solidFill>
              <w14:schemeClr w14:val="tx1"/>
            </w14:solidFill>
          </w14:textFill>
        </w:rPr>
        <w:t>关于发布</w:t>
      </w:r>
      <w:r>
        <w:rPr>
          <w:rFonts w:hint="eastAsia" w:ascii="Times New Roman"/>
          <w:color w:val="000000" w:themeColor="text1"/>
          <w14:textFill>
            <w14:solidFill>
              <w14:schemeClr w14:val="tx1"/>
            </w14:solidFill>
          </w14:textFill>
        </w:rPr>
        <w:t>&lt;</w:t>
      </w:r>
      <w:r>
        <w:rPr>
          <w:rFonts w:ascii="Times New Roman"/>
          <w:color w:val="000000" w:themeColor="text1"/>
          <w14:textFill>
            <w14:solidFill>
              <w14:schemeClr w14:val="tx1"/>
            </w14:solidFill>
          </w14:textFill>
        </w:rPr>
        <w:t>高耗能行业重点领域节能降碳改造升级实施指南</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2022年版</w:t>
      </w:r>
      <w:r>
        <w:rPr>
          <w:rFonts w:hint="eastAsia" w:ascii="Times New Roman"/>
          <w:color w:val="000000" w:themeColor="text1"/>
          <w14:textFill>
            <w14:solidFill>
              <w14:schemeClr w14:val="tx1"/>
            </w14:solidFill>
          </w14:textFill>
        </w:rPr>
        <w:t>）&gt;</w:t>
      </w:r>
      <w:r>
        <w:rPr>
          <w:rFonts w:ascii="Times New Roman"/>
          <w:color w:val="000000" w:themeColor="text1"/>
          <w14:textFill>
            <w14:solidFill>
              <w14:schemeClr w14:val="tx1"/>
            </w14:solidFill>
          </w14:textFill>
        </w:rPr>
        <w:t>的通知</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（发改产业〔2022〕200号）</w:t>
      </w:r>
      <w:r>
        <w:rPr>
          <w:rFonts w:hint="eastAsia" w:ascii="Times New Roman"/>
          <w:color w:val="000000" w:themeColor="text1"/>
          <w14:textFill>
            <w14:solidFill>
              <w14:schemeClr w14:val="tx1"/>
            </w14:solidFill>
          </w14:textFill>
        </w:rPr>
        <w:t>；</w:t>
      </w:r>
    </w:p>
    <w:p w14:paraId="422AFD9B">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（40）《</w:t>
      </w:r>
      <w:r>
        <w:rPr>
          <w:rFonts w:ascii="Times New Roman"/>
          <w:color w:val="000000" w:themeColor="text1"/>
          <w14:textFill>
            <w14:solidFill>
              <w14:schemeClr w14:val="tx1"/>
            </w14:solidFill>
          </w14:textFill>
        </w:rPr>
        <w:t>国家发展改革委等部门关于发布</w:t>
      </w:r>
      <w:r>
        <w:rPr>
          <w:rFonts w:hint="eastAsia" w:ascii="Times New Roman"/>
          <w:color w:val="000000" w:themeColor="text1"/>
          <w14:textFill>
            <w14:solidFill>
              <w14:schemeClr w14:val="tx1"/>
            </w14:solidFill>
          </w14:textFill>
        </w:rPr>
        <w:t>&lt;</w:t>
      </w:r>
      <w:r>
        <w:rPr>
          <w:rFonts w:ascii="Times New Roman"/>
          <w:color w:val="000000" w:themeColor="text1"/>
          <w14:textFill>
            <w14:solidFill>
              <w14:schemeClr w14:val="tx1"/>
            </w14:solidFill>
          </w14:textFill>
        </w:rPr>
        <w:t>煤炭清洁高效利用重点领域标杆水平和基准水平（2022年版）</w:t>
      </w:r>
      <w:r>
        <w:rPr>
          <w:rFonts w:hint="eastAsia" w:ascii="Times New Roman"/>
          <w:color w:val="000000" w:themeColor="text1"/>
          <w14:textFill>
            <w14:solidFill>
              <w14:schemeClr w14:val="tx1"/>
            </w14:solidFill>
          </w14:textFill>
        </w:rPr>
        <w:t>&gt;</w:t>
      </w:r>
      <w:r>
        <w:rPr>
          <w:rFonts w:ascii="Times New Roman"/>
          <w:color w:val="000000" w:themeColor="text1"/>
          <w14:textFill>
            <w14:solidFill>
              <w14:schemeClr w14:val="tx1"/>
            </w14:solidFill>
          </w14:textFill>
        </w:rPr>
        <w:t>的通知</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（发改运行〔2022〕559号</w:t>
      </w:r>
      <w:r>
        <w:rPr>
          <w:rFonts w:hint="eastAsia" w:ascii="Times New Roman"/>
          <w:color w:val="000000" w:themeColor="text1"/>
          <w14:textFill>
            <w14:solidFill>
              <w14:schemeClr w14:val="tx1"/>
            </w14:solidFill>
          </w14:textFill>
        </w:rPr>
        <w:t>）；</w:t>
      </w:r>
    </w:p>
    <w:p w14:paraId="064FFF8D">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（41）</w:t>
      </w:r>
      <w:r>
        <w:rPr>
          <w:rFonts w:ascii="Times New Roman"/>
          <w:color w:val="000000" w:themeColor="text1"/>
          <w14:textFill>
            <w14:solidFill>
              <w14:schemeClr w14:val="tx1"/>
            </w14:solidFill>
          </w14:textFill>
        </w:rPr>
        <w:t>《国家发展改革委等部门关于严格能效约束推动重点领域节能降碳的若干意见》（发改产业〔2021〕1464号）</w:t>
      </w:r>
      <w:r>
        <w:rPr>
          <w:rFonts w:hint="eastAsia" w:ascii="Times New Roman"/>
          <w:color w:val="000000" w:themeColor="text1"/>
          <w14:textFill>
            <w14:solidFill>
              <w14:schemeClr w14:val="tx1"/>
            </w14:solidFill>
          </w14:textFill>
        </w:rPr>
        <w:t>；</w:t>
      </w:r>
    </w:p>
    <w:p w14:paraId="460B6857">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（42）《</w:t>
      </w:r>
      <w:r>
        <w:rPr>
          <w:rFonts w:ascii="Times New Roman"/>
          <w:color w:val="000000" w:themeColor="text1"/>
          <w14:textFill>
            <w14:solidFill>
              <w14:schemeClr w14:val="tx1"/>
            </w14:solidFill>
          </w14:textFill>
        </w:rPr>
        <w:t>国家发展改革委关于印发</w:t>
      </w:r>
      <w:r>
        <w:rPr>
          <w:rFonts w:hint="eastAsia" w:ascii="Times New Roman"/>
          <w:color w:val="000000" w:themeColor="text1"/>
          <w14:textFill>
            <w14:solidFill>
              <w14:schemeClr w14:val="tx1"/>
            </w14:solidFill>
          </w14:textFill>
        </w:rPr>
        <w:t>&lt;</w:t>
      </w:r>
      <w:r>
        <w:rPr>
          <w:rFonts w:ascii="Times New Roman"/>
          <w:color w:val="000000" w:themeColor="text1"/>
          <w14:textFill>
            <w14:solidFill>
              <w14:schemeClr w14:val="tx1"/>
            </w14:solidFill>
          </w14:textFill>
        </w:rPr>
        <w:t>完善能源消费强度和总量双控制度方案</w:t>
      </w:r>
      <w:r>
        <w:rPr>
          <w:rFonts w:hint="eastAsia" w:ascii="Times New Roman"/>
          <w:color w:val="000000" w:themeColor="text1"/>
          <w14:textFill>
            <w14:solidFill>
              <w14:schemeClr w14:val="tx1"/>
            </w14:solidFill>
          </w14:textFill>
        </w:rPr>
        <w:t>&gt;</w:t>
      </w:r>
      <w:r>
        <w:rPr>
          <w:rFonts w:ascii="Times New Roman"/>
          <w:color w:val="000000" w:themeColor="text1"/>
          <w14:textFill>
            <w14:solidFill>
              <w14:schemeClr w14:val="tx1"/>
            </w14:solidFill>
          </w14:textFill>
        </w:rPr>
        <w:t>的通知</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（发改环资〔2021〕1310号）</w:t>
      </w:r>
      <w:r>
        <w:rPr>
          <w:rFonts w:hint="eastAsia" w:ascii="Times New Roman"/>
          <w:color w:val="000000" w:themeColor="text1"/>
          <w14:textFill>
            <w14:solidFill>
              <w14:schemeClr w14:val="tx1"/>
            </w14:solidFill>
          </w14:textFill>
        </w:rPr>
        <w:t>；</w:t>
      </w:r>
    </w:p>
    <w:p w14:paraId="3EAE9A36">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（43）</w:t>
      </w:r>
      <w:r>
        <w:rPr>
          <w:rFonts w:ascii="Times New Roman"/>
          <w:color w:val="000000" w:themeColor="text1"/>
          <w14:textFill>
            <w14:solidFill>
              <w14:schemeClr w14:val="tx1"/>
            </w14:solidFill>
          </w14:textFill>
        </w:rPr>
        <w:t>《国务院关于加快建立健全绿色低碳循环发展经济体系的指导意见》（国发〔2021〕4号）</w:t>
      </w:r>
      <w:r>
        <w:rPr>
          <w:rFonts w:hint="eastAsia" w:ascii="Times New Roman"/>
          <w:color w:val="000000" w:themeColor="text1"/>
          <w14:textFill>
            <w14:solidFill>
              <w14:schemeClr w14:val="tx1"/>
            </w14:solidFill>
          </w14:textFill>
        </w:rPr>
        <w:t>；</w:t>
      </w:r>
    </w:p>
    <w:p w14:paraId="4B5EE3D5">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（44）</w:t>
      </w:r>
      <w:r>
        <w:rPr>
          <w:rFonts w:ascii="Times New Roman"/>
          <w:color w:val="000000" w:themeColor="text1"/>
          <w14:textFill>
            <w14:solidFill>
              <w14:schemeClr w14:val="tx1"/>
            </w14:solidFill>
          </w14:textFill>
        </w:rPr>
        <w:t>《煤炭工业“十四五”高质量发展指导意见》（中煤协会政研〔2021〕19号）</w:t>
      </w:r>
      <w:r>
        <w:rPr>
          <w:rFonts w:hint="eastAsia" w:ascii="Times New Roman"/>
          <w:color w:val="000000" w:themeColor="text1"/>
          <w14:textFill>
            <w14:solidFill>
              <w14:schemeClr w14:val="tx1"/>
            </w14:solidFill>
          </w14:textFill>
        </w:rPr>
        <w:t>；</w:t>
      </w:r>
    </w:p>
    <w:p w14:paraId="12573088">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（45）</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国家发展改革委等部门关于印发&lt;“十四五”全国清洁生产推行方案&gt;的通知》（发改环资〔2021〕1524号）；</w:t>
      </w:r>
    </w:p>
    <w:p w14:paraId="35ED963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（46）</w:t>
      </w:r>
      <w:r>
        <w:rPr>
          <w:rFonts w:ascii="Times New Roman"/>
          <w:color w:val="000000" w:themeColor="text1"/>
          <w14:textFill>
            <w14:solidFill>
              <w14:schemeClr w14:val="tx1"/>
            </w14:solidFill>
          </w14:textFill>
        </w:rPr>
        <w:t>《中共中央国务院关于新时代推进西部大开发形成新格局的指导意见》</w:t>
      </w:r>
      <w:r>
        <w:rPr>
          <w:rFonts w:hint="eastAsia" w:ascii="Times New Roman"/>
          <w:color w:val="000000" w:themeColor="text1"/>
          <w14:textFill>
            <w14:solidFill>
              <w14:schemeClr w14:val="tx1"/>
            </w14:solidFill>
          </w14:textFill>
        </w:rPr>
        <w:t>；</w:t>
      </w:r>
    </w:p>
    <w:p w14:paraId="76A7A5E5">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（47）</w:t>
      </w:r>
      <w:r>
        <w:rPr>
          <w:rFonts w:ascii="Times New Roman"/>
          <w:color w:val="000000" w:themeColor="text1"/>
          <w14:textFill>
            <w14:solidFill>
              <w14:schemeClr w14:val="tx1"/>
            </w14:solidFill>
          </w14:textFill>
        </w:rPr>
        <w:t>《关于促进自治区煤化工产业绿色可持续发展的指导意见》（新疆维吾尔自治区人民政府办公厅，新政办发〔2016〕164号）</w:t>
      </w:r>
      <w:r>
        <w:rPr>
          <w:rFonts w:hint="eastAsia" w:ascii="Times New Roman"/>
          <w:color w:val="000000" w:themeColor="text1"/>
          <w14:textFill>
            <w14:solidFill>
              <w14:schemeClr w14:val="tx1"/>
            </w14:solidFill>
          </w14:textFill>
        </w:rPr>
        <w:t>；</w:t>
      </w:r>
    </w:p>
    <w:p w14:paraId="1894491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（48）</w:t>
      </w:r>
      <w:r>
        <w:rPr>
          <w:rFonts w:ascii="Times New Roman"/>
          <w:color w:val="000000" w:themeColor="text1"/>
          <w14:textFill>
            <w14:solidFill>
              <w14:schemeClr w14:val="tx1"/>
            </w14:solidFill>
          </w14:textFill>
        </w:rPr>
        <w:t>《</w:t>
      </w:r>
      <w:bookmarkStart w:id="23" w:name="_Hlk163118070"/>
      <w:r>
        <w:rPr>
          <w:rFonts w:ascii="Times New Roman"/>
          <w:color w:val="000000" w:themeColor="text1"/>
          <w14:textFill>
            <w14:solidFill>
              <w14:schemeClr w14:val="tx1"/>
            </w14:solidFill>
          </w14:textFill>
        </w:rPr>
        <w:t>新疆维吾尔自治区新建化工项目准入条件</w:t>
      </w:r>
      <w:bookmarkEnd w:id="23"/>
      <w:r>
        <w:rPr>
          <w:rFonts w:ascii="Times New Roman"/>
          <w:color w:val="000000" w:themeColor="text1"/>
          <w14:textFill>
            <w14:solidFill>
              <w14:schemeClr w14:val="tx1"/>
            </w14:solidFill>
          </w14:textFill>
        </w:rPr>
        <w:t>》（新工信石化〔2021〕1号）</w:t>
      </w:r>
      <w:r>
        <w:rPr>
          <w:rFonts w:hint="eastAsia" w:ascii="Times New Roman"/>
          <w:color w:val="000000" w:themeColor="text1"/>
          <w14:textFill>
            <w14:solidFill>
              <w14:schemeClr w14:val="tx1"/>
            </w14:solidFill>
          </w14:textFill>
        </w:rPr>
        <w:t>；</w:t>
      </w:r>
    </w:p>
    <w:p w14:paraId="0BC3C2DB">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（49）《关于“十四五”推动石化化工行业高质量发展的指导意见》（工信部联原〔2022〕34号）；</w:t>
      </w:r>
    </w:p>
    <w:p w14:paraId="70170F7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（50）</w:t>
      </w:r>
      <w:r>
        <w:rPr>
          <w:rFonts w:ascii="Times New Roman"/>
          <w:color w:val="000000" w:themeColor="text1"/>
          <w14:textFill>
            <w14:solidFill>
              <w14:schemeClr w14:val="tx1"/>
            </w14:solidFill>
          </w14:textFill>
        </w:rPr>
        <w:t>《关于统筹和加强应对气候变化与生态环境保护相关工作的指导意见》（环综合[2021]4号）；</w:t>
      </w:r>
    </w:p>
    <w:p w14:paraId="3FB8519F">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（51）《石化化工重点行业严格能效约束推动节能降碳行动方案（2021-2025年）》；</w:t>
      </w:r>
    </w:p>
    <w:p w14:paraId="1D200613">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（52）《减污降碳协同增效实施方案》（环综合〔2022〕42号）；</w:t>
      </w:r>
    </w:p>
    <w:p w14:paraId="7095BB0D">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《关于推进国家生态工业示范园区碳达峰碳中和相关工作的通知》；</w:t>
      </w:r>
    </w:p>
    <w:p w14:paraId="3B35CBBF">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《工业重点领域能效标杆水平和基准水平（2023年版）》；</w:t>
      </w:r>
    </w:p>
    <w:p w14:paraId="19D6392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（55）《工业重点领域能效标杆水平和基准水平（2023年版）》；</w:t>
      </w:r>
    </w:p>
    <w:p w14:paraId="4A5A593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（56）《煤炭清洁高效利用重点领域标杆水平和基准水平（2022年版）》；</w:t>
      </w:r>
    </w:p>
    <w:p w14:paraId="071C7B1B">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（57）</w:t>
      </w:r>
      <w:r>
        <w:rPr>
          <w:rFonts w:ascii="Times New Roman"/>
          <w:color w:val="000000" w:themeColor="text1"/>
          <w14:textFill>
            <w14:solidFill>
              <w14:schemeClr w14:val="tx1"/>
            </w14:solidFill>
          </w14:textFill>
        </w:rPr>
        <w:t>《中共中央国务院关于全面推进美丽中国建设的意见》</w:t>
      </w:r>
      <w:r>
        <w:rPr>
          <w:rFonts w:hint="eastAsia" w:ascii="Times New Roman"/>
          <w:color w:val="000000" w:themeColor="text1"/>
          <w14:textFill>
            <w14:solidFill>
              <w14:schemeClr w14:val="tx1"/>
            </w14:solidFill>
          </w14:textFill>
        </w:rPr>
        <w:t>；</w:t>
      </w:r>
    </w:p>
    <w:p w14:paraId="6AAB672A">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（58）</w:t>
      </w:r>
      <w:r>
        <w:rPr>
          <w:rFonts w:ascii="Times New Roman"/>
          <w:color w:val="000000" w:themeColor="text1"/>
          <w14:textFill>
            <w14:solidFill>
              <w14:schemeClr w14:val="tx1"/>
            </w14:solidFill>
          </w14:textFill>
        </w:rPr>
        <w:t>《中共中央办公厅</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国务院办公厅关于加强生态环境分区管控的意见》</w:t>
      </w:r>
      <w:r>
        <w:rPr>
          <w:rFonts w:hint="eastAsia" w:ascii="Times New Roman"/>
          <w:color w:val="000000" w:themeColor="text1"/>
          <w14:textFill>
            <w14:solidFill>
              <w14:schemeClr w14:val="tx1"/>
            </w14:solidFill>
          </w14:textFill>
        </w:rPr>
        <w:t>；</w:t>
      </w:r>
    </w:p>
    <w:p w14:paraId="4CA1A47A">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（59）</w:t>
      </w:r>
      <w:r>
        <w:rPr>
          <w:rFonts w:ascii="Times New Roman"/>
          <w:color w:val="000000" w:themeColor="text1"/>
          <w14:textFill>
            <w14:solidFill>
              <w14:schemeClr w14:val="tx1"/>
            </w14:solidFill>
          </w14:textFill>
        </w:rPr>
        <w:t>《关于进一步优化重污染天气应对机制的指导意见》（环大气〔2024〕6号）</w:t>
      </w:r>
      <w:r>
        <w:rPr>
          <w:rFonts w:hint="eastAsia" w:ascii="Times New Roman"/>
          <w:color w:val="000000" w:themeColor="text1"/>
          <w14:textFill>
            <w14:solidFill>
              <w14:schemeClr w14:val="tx1"/>
            </w14:solidFill>
          </w14:textFill>
        </w:rPr>
        <w:t>；</w:t>
      </w:r>
    </w:p>
    <w:p w14:paraId="702FBD93">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（60）</w:t>
      </w:r>
      <w:r>
        <w:rPr>
          <w:rFonts w:ascii="Times New Roman"/>
          <w:color w:val="000000" w:themeColor="text1"/>
          <w14:textFill>
            <w14:solidFill>
              <w14:schemeClr w14:val="tx1"/>
            </w14:solidFill>
          </w14:textFill>
        </w:rPr>
        <w:t>《关于加快解决当前挥发性有机物治理突出问题的通知》（环大气〔2021〕65号）</w:t>
      </w:r>
      <w:r>
        <w:rPr>
          <w:rFonts w:hint="eastAsia" w:ascii="Times New Roman"/>
          <w:color w:val="000000" w:themeColor="text1"/>
          <w14:textFill>
            <w14:solidFill>
              <w14:schemeClr w14:val="tx1"/>
            </w14:solidFill>
          </w14:textFill>
        </w:rPr>
        <w:t>；</w:t>
      </w:r>
    </w:p>
    <w:p w14:paraId="7288A7C3">
      <w:pPr>
        <w:pStyle w:val="104"/>
        <w:ind w:firstLine="512"/>
        <w:jc w:val="both"/>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（61）</w:t>
      </w:r>
      <w:r>
        <w:rPr>
          <w:rFonts w:ascii="Times New Roman"/>
          <w:color w:val="000000" w:themeColor="text1"/>
          <w14:textFill>
            <w14:solidFill>
              <w14:schemeClr w14:val="tx1"/>
            </w14:solidFill>
          </w14:textFill>
        </w:rPr>
        <w:t>关于印发《重污染天气重点行业应急减排措施制定技术指南（2020年修订版）》的函（环办大气函〔2020〕340号）</w:t>
      </w:r>
      <w:r>
        <w:rPr>
          <w:rFonts w:hint="eastAsia" w:ascii="Times New Roman"/>
          <w:color w:val="000000" w:themeColor="text1"/>
          <w14:textFill>
            <w14:solidFill>
              <w14:schemeClr w14:val="tx1"/>
            </w14:solidFill>
          </w14:textFill>
        </w:rPr>
        <w:t>。</w:t>
      </w:r>
    </w:p>
    <w:bookmarkEnd w:id="20"/>
    <w:bookmarkEnd w:id="21"/>
    <w:p w14:paraId="7F98CB50">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地方法规</w:t>
      </w:r>
    </w:p>
    <w:p w14:paraId="23BCB66C">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）《新疆维吾尔自治区环境保护条例》</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2018年9月21日修订</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w:t>
      </w:r>
    </w:p>
    <w:p w14:paraId="19AF188A">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）《新疆水环境功能区划》</w:t>
      </w:r>
      <w:r>
        <w:rPr>
          <w:rFonts w:hint="eastAsia" w:ascii="Times New Roman"/>
          <w:color w:val="000000" w:themeColor="text1"/>
          <w14:textFill>
            <w14:solidFill>
              <w14:schemeClr w14:val="tx1"/>
            </w14:solidFill>
          </w14:textFill>
        </w:rPr>
        <w:t>（原新疆维吾尔自治区环境保护</w:t>
      </w:r>
      <w:r>
        <w:rPr>
          <w:rFonts w:ascii="Times New Roman"/>
          <w:color w:val="000000" w:themeColor="text1"/>
          <w14:textFill>
            <w14:solidFill>
              <w14:schemeClr w14:val="tx1"/>
            </w14:solidFill>
          </w14:textFill>
        </w:rPr>
        <w:t>局，2002年11月</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w:t>
      </w:r>
    </w:p>
    <w:p w14:paraId="6D4D2EA9">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）《新疆生态功能区划》</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自治区人民政府，2005年8月</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w:t>
      </w:r>
    </w:p>
    <w:p w14:paraId="45040301">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《新疆维吾尔自治区重点行业生态环境准入条件（2024年）》</w:t>
      </w:r>
      <w:r>
        <w:rPr>
          <w:rFonts w:ascii="Times New Roman"/>
          <w:color w:val="000000" w:themeColor="text1"/>
          <w14:textFill>
            <w14:solidFill>
              <w14:schemeClr w14:val="tx1"/>
            </w14:solidFill>
          </w14:textFill>
        </w:rPr>
        <w:t>，20</w:t>
      </w:r>
      <w:r>
        <w:rPr>
          <w:rFonts w:hint="eastAsia" w:ascii="Times New Roman"/>
          <w:color w:val="000000" w:themeColor="text1"/>
          <w14:textFill>
            <w14:solidFill>
              <w14:schemeClr w14:val="tx1"/>
            </w14:solidFill>
          </w14:textFill>
        </w:rPr>
        <w:t>24</w:t>
      </w:r>
      <w:r>
        <w:rPr>
          <w:rFonts w:ascii="Times New Roman"/>
          <w:color w:val="000000" w:themeColor="text1"/>
          <w14:textFill>
            <w14:solidFill>
              <w14:schemeClr w14:val="tx1"/>
            </w14:solidFill>
          </w14:textFill>
        </w:rPr>
        <w:t>年</w:t>
      </w:r>
      <w:r>
        <w:rPr>
          <w:rFonts w:hint="eastAsia" w:ascii="Times New Roman"/>
          <w:color w:val="000000" w:themeColor="text1"/>
          <w14:textFill>
            <w14:solidFill>
              <w14:schemeClr w14:val="tx1"/>
            </w14:solidFill>
          </w14:textFill>
        </w:rPr>
        <w:t>6</w:t>
      </w:r>
      <w:r>
        <w:rPr>
          <w:rFonts w:ascii="Times New Roman"/>
          <w:color w:val="000000" w:themeColor="text1"/>
          <w14:textFill>
            <w14:solidFill>
              <w14:schemeClr w14:val="tx1"/>
            </w14:solidFill>
          </w14:textFill>
        </w:rPr>
        <w:t>月；</w:t>
      </w:r>
    </w:p>
    <w:p w14:paraId="45F40FB6">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5</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《新疆维吾尔自治区大气污染防治条例》新疆维吾尔自治区第十三届人民代表大会常务委员会公告（第15号），2018年11月30日；</w:t>
      </w:r>
    </w:p>
    <w:p w14:paraId="3F0B847F">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新疆维吾尔自治区人民政府《新疆维吾尔自治区土壤污染防治工作方案》的通知（新政发〔2017〕25号），2017</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w:t>
      </w:r>
    </w:p>
    <w:p w14:paraId="37E6CBA3">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7</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《中共中央 国务院关于全面加强生态环境保护坚决打好污染防治攻坚战的意见》，</w:t>
      </w:r>
      <w:r>
        <w:rPr>
          <w:rFonts w:ascii="Times New Roman"/>
          <w:color w:val="000000" w:themeColor="text1"/>
          <w14:textFill>
            <w14:solidFill>
              <w14:schemeClr w14:val="tx1"/>
            </w14:solidFill>
          </w14:textFill>
        </w:rPr>
        <w:t>201</w:t>
      </w:r>
      <w:r>
        <w:rPr>
          <w:rFonts w:hint="eastAsia" w:asci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年6月16日</w:t>
      </w:r>
      <w:r>
        <w:rPr>
          <w:rFonts w:hint="eastAsia" w:ascii="Times New Roman"/>
          <w:color w:val="000000" w:themeColor="text1"/>
          <w14:textFill>
            <w14:solidFill>
              <w14:schemeClr w14:val="tx1"/>
            </w14:solidFill>
          </w14:textFill>
        </w:rPr>
        <w:t>；</w:t>
      </w:r>
    </w:p>
    <w:p w14:paraId="2C1EFB57">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8</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《自治区党委、自治区人民政府印发〈关于全面加强生态环境保护坚决打好污染防治攻坚战实施方案〉的通知》（新党发〔2018〕23号）；</w:t>
      </w:r>
    </w:p>
    <w:p w14:paraId="3B9D0B41">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9</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《生态环境部关于加强高耗能、高排放建设项目生态环境源头防控的指导意见》（环环评〔2021〕45号）；</w:t>
      </w:r>
    </w:p>
    <w:p w14:paraId="12C57D81">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0</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《新疆维吾尔自治区生态环境分区管控动态更新成果》（新环环评发〔2024〕157号）；</w:t>
      </w:r>
    </w:p>
    <w:p w14:paraId="3D6C7CE1">
      <w:pPr>
        <w:pStyle w:val="104"/>
        <w:ind w:firstLine="512"/>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（11）《关于印发哈密市生态环境分区管控动态更新成果的通知》。</w:t>
      </w:r>
    </w:p>
    <w:p w14:paraId="05FF945D">
      <w:pPr>
        <w:pStyle w:val="97"/>
        <w:rPr>
          <w:rFonts w:hint="eastAsia"/>
          <w:color w:val="000000" w:themeColor="text1"/>
          <w14:textFill>
            <w14:solidFill>
              <w14:schemeClr w14:val="tx1"/>
            </w14:solidFill>
          </w14:textFill>
        </w:rPr>
      </w:pPr>
      <w:bookmarkStart w:id="24" w:name="_Hlk150212771"/>
      <w:r>
        <w:rPr>
          <w:color w:val="000000" w:themeColor="text1"/>
          <w14:textFill>
            <w14:solidFill>
              <w14:schemeClr w14:val="tx1"/>
            </w14:solidFill>
          </w14:textFill>
        </w:rPr>
        <w:t>技术导则及规范</w:t>
      </w:r>
      <w:bookmarkEnd w:id="24"/>
    </w:p>
    <w:p w14:paraId="38EB7858">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建设项目环境影响评价技术导则 总纲</w:t>
      </w:r>
      <w:r>
        <w:rPr>
          <w:rFonts w:ascii="Times New Roman"/>
          <w:color w:val="000000" w:themeColor="text1"/>
          <w14:textFill>
            <w14:solidFill>
              <w14:schemeClr w14:val="tx1"/>
            </w14:solidFill>
          </w14:textFill>
        </w:rPr>
        <w:t>》（HJ2.1-2016）</w:t>
      </w:r>
      <w:r>
        <w:rPr>
          <w:rFonts w:hint="eastAsia" w:ascii="Times New Roman"/>
          <w:color w:val="000000" w:themeColor="text1"/>
          <w14:textFill>
            <w14:solidFill>
              <w14:schemeClr w14:val="tx1"/>
            </w14:solidFill>
          </w14:textFill>
        </w:rPr>
        <w:t>；</w:t>
      </w:r>
    </w:p>
    <w:p w14:paraId="3C74A987">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（2）《环境影响评价技术导则</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大气环境》（HJ2.2-2018）</w:t>
      </w:r>
      <w:r>
        <w:rPr>
          <w:rFonts w:hint="eastAsia" w:ascii="Times New Roman"/>
          <w:color w:val="000000" w:themeColor="text1"/>
          <w14:textFill>
            <w14:solidFill>
              <w14:schemeClr w14:val="tx1"/>
            </w14:solidFill>
          </w14:textFill>
        </w:rPr>
        <w:t>；</w:t>
      </w:r>
    </w:p>
    <w:p w14:paraId="6298668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（3）《环境影响评价技术导则</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地</w:t>
      </w:r>
      <w:r>
        <w:rPr>
          <w:rFonts w:hint="eastAsia" w:ascii="Times New Roman"/>
          <w:color w:val="000000" w:themeColor="text1"/>
          <w14:textFill>
            <w14:solidFill>
              <w14:schemeClr w14:val="tx1"/>
            </w14:solidFill>
          </w14:textFill>
        </w:rPr>
        <w:t>表</w:t>
      </w:r>
      <w:r>
        <w:rPr>
          <w:rFonts w:ascii="Times New Roman"/>
          <w:color w:val="000000" w:themeColor="text1"/>
          <w14:textFill>
            <w14:solidFill>
              <w14:schemeClr w14:val="tx1"/>
            </w14:solidFill>
          </w14:textFill>
        </w:rPr>
        <w:t>水环境》（HJ2.3-2018）</w:t>
      </w:r>
      <w:r>
        <w:rPr>
          <w:rFonts w:hint="eastAsia" w:ascii="Times New Roman"/>
          <w:color w:val="000000" w:themeColor="text1"/>
          <w14:textFill>
            <w14:solidFill>
              <w14:schemeClr w14:val="tx1"/>
            </w14:solidFill>
          </w14:textFill>
        </w:rPr>
        <w:t>；</w:t>
      </w:r>
    </w:p>
    <w:p w14:paraId="0BA30625">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（4）《环境影响评价技术导则</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声环境》（HJ2.4-2021）</w:t>
      </w:r>
      <w:r>
        <w:rPr>
          <w:rFonts w:hint="eastAsia" w:ascii="Times New Roman"/>
          <w:color w:val="000000" w:themeColor="text1"/>
          <w14:textFill>
            <w14:solidFill>
              <w14:schemeClr w14:val="tx1"/>
            </w14:solidFill>
          </w14:textFill>
        </w:rPr>
        <w:t>；</w:t>
      </w:r>
    </w:p>
    <w:p w14:paraId="082F6188">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（5）《环境影响评价技术导则</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生态影响》（HJ19-2022）</w:t>
      </w:r>
      <w:r>
        <w:rPr>
          <w:rFonts w:hint="eastAsia" w:ascii="Times New Roman"/>
          <w:color w:val="000000" w:themeColor="text1"/>
          <w14:textFill>
            <w14:solidFill>
              <w14:schemeClr w14:val="tx1"/>
            </w14:solidFill>
          </w14:textFill>
        </w:rPr>
        <w:t>；</w:t>
      </w:r>
    </w:p>
    <w:p w14:paraId="1CBD58B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（6）《环境影响评价技术导则</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地下水环境》（HJ610-2016）</w:t>
      </w:r>
      <w:r>
        <w:rPr>
          <w:rFonts w:hint="eastAsia" w:ascii="Times New Roman"/>
          <w:color w:val="000000" w:themeColor="text1"/>
          <w14:textFill>
            <w14:solidFill>
              <w14:schemeClr w14:val="tx1"/>
            </w14:solidFill>
          </w14:textFill>
        </w:rPr>
        <w:t>；</w:t>
      </w:r>
    </w:p>
    <w:p w14:paraId="2700B102">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（7）《环境影响评价技术导则 土壤环境（试行）》（</w:t>
      </w:r>
      <w:r>
        <w:rPr>
          <w:rFonts w:ascii="Times New Roman"/>
          <w:color w:val="000000" w:themeColor="text1"/>
          <w14:textFill>
            <w14:solidFill>
              <w14:schemeClr w14:val="tx1"/>
            </w14:solidFill>
          </w14:textFill>
        </w:rPr>
        <w:t>HJ 964</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2018</w:t>
      </w:r>
      <w:r>
        <w:rPr>
          <w:rFonts w:hint="eastAsia" w:ascii="Times New Roman"/>
          <w:color w:val="000000" w:themeColor="text1"/>
          <w14:textFill>
            <w14:solidFill>
              <w14:schemeClr w14:val="tx1"/>
            </w14:solidFill>
          </w14:textFill>
        </w:rPr>
        <w:t>）；</w:t>
      </w:r>
    </w:p>
    <w:p w14:paraId="6093555E">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rFonts w:hint="eastAsia" w:ascii="宋体" w:hAnsi="宋体"/>
          <w:color w:val="000000" w:themeColor="text1"/>
          <w14:textFill>
            <w14:solidFill>
              <w14:schemeClr w14:val="tx1"/>
            </w14:solidFill>
          </w14:textFill>
        </w:rPr>
        <w:t>）《建设项目环境风险评价技术导则》（</w:t>
      </w:r>
      <w:r>
        <w:rPr>
          <w:color w:val="000000" w:themeColor="text1"/>
          <w14:textFill>
            <w14:solidFill>
              <w14:schemeClr w14:val="tx1"/>
            </w14:solidFill>
          </w14:textFill>
        </w:rPr>
        <w:t>HJ169-2018</w:t>
      </w:r>
      <w:r>
        <w:rPr>
          <w:rFonts w:hint="eastAsia" w:ascii="宋体" w:hAnsi="宋体"/>
          <w:color w:val="000000" w:themeColor="text1"/>
          <w14:textFill>
            <w14:solidFill>
              <w14:schemeClr w14:val="tx1"/>
            </w14:solidFill>
          </w14:textFill>
        </w:rPr>
        <w:t>）；</w:t>
      </w:r>
    </w:p>
    <w:p w14:paraId="0F3EE778">
      <w:pPr>
        <w:pStyle w:val="281"/>
        <w:ind w:firstLine="480"/>
        <w:rPr>
          <w:rFonts w:hint="eastAsia" w:ascii="宋体" w:hAnsi="宋体"/>
          <w:color w:val="000000" w:themeColor="text1"/>
          <w14:textFill>
            <w14:solidFill>
              <w14:schemeClr w14:val="tx1"/>
            </w14:solidFill>
          </w14:textFill>
        </w:rPr>
      </w:pPr>
      <w:bookmarkStart w:id="25" w:name="_Hlk150599790"/>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rFonts w:hint="eastAsia" w:ascii="宋体" w:hAnsi="宋体"/>
          <w:color w:val="000000" w:themeColor="text1"/>
          <w14:textFill>
            <w14:solidFill>
              <w14:schemeClr w14:val="tx1"/>
            </w14:solidFill>
          </w14:textFill>
        </w:rPr>
        <w:t>）《污染源源强核算技术指南</w:t>
      </w:r>
      <w:r>
        <w:rPr>
          <w:rFonts w:hint="eastAsia"/>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准则》（</w:t>
      </w:r>
      <w:r>
        <w:rPr>
          <w:color w:val="000000" w:themeColor="text1"/>
          <w14:textFill>
            <w14:solidFill>
              <w14:schemeClr w14:val="tx1"/>
            </w14:solidFill>
          </w14:textFill>
        </w:rPr>
        <w:t>HJ 884-2018</w:t>
      </w:r>
      <w:r>
        <w:rPr>
          <w:rFonts w:hint="eastAsia" w:ascii="宋体" w:hAnsi="宋体"/>
          <w:color w:val="000000" w:themeColor="text1"/>
          <w14:textFill>
            <w14:solidFill>
              <w14:schemeClr w14:val="tx1"/>
            </w14:solidFill>
          </w14:textFill>
        </w:rPr>
        <w:t>）；</w:t>
      </w:r>
    </w:p>
    <w:p w14:paraId="7B42A4C8">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0</w:t>
      </w:r>
      <w:r>
        <w:rPr>
          <w:rFonts w:hint="eastAsia" w:ascii="宋体" w:hAnsi="宋体"/>
          <w:color w:val="000000" w:themeColor="text1"/>
          <w14:textFill>
            <w14:solidFill>
              <w14:schemeClr w14:val="tx1"/>
            </w14:solidFill>
          </w14:textFill>
        </w:rPr>
        <w:t>）《污染源源强核算技术指南</w:t>
      </w:r>
      <w:r>
        <w:rPr>
          <w:rFonts w:hint="eastAsia"/>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化肥工业》（</w:t>
      </w:r>
      <w:r>
        <w:rPr>
          <w:rFonts w:hint="eastAsia"/>
          <w:color w:val="000000" w:themeColor="text1"/>
          <w14:textFill>
            <w14:solidFill>
              <w14:schemeClr w14:val="tx1"/>
            </w14:solidFill>
          </w14:textFill>
        </w:rPr>
        <w:t>HJ994-2018</w:t>
      </w:r>
      <w:r>
        <w:rPr>
          <w:rFonts w:hint="eastAsia" w:ascii="宋体" w:hAnsi="宋体"/>
          <w:color w:val="000000" w:themeColor="text1"/>
          <w14:textFill>
            <w14:solidFill>
              <w14:schemeClr w14:val="tx1"/>
            </w14:solidFill>
          </w14:textFill>
        </w:rPr>
        <w:t>）；</w:t>
      </w:r>
    </w:p>
    <w:p w14:paraId="46B883B8">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《污染源源强核算技术指南</w:t>
      </w:r>
      <w:r>
        <w:rPr>
          <w:rFonts w:hint="eastAsia"/>
          <w:color w:val="000000" w:themeColor="text1"/>
          <w14:textFill>
            <w14:solidFill>
              <w14:schemeClr w14:val="tx1"/>
            </w14:solidFill>
          </w14:textFill>
        </w:rPr>
        <w:t xml:space="preserve"> 锅炉</w:t>
      </w:r>
      <w:r>
        <w:rPr>
          <w:color w:val="000000" w:themeColor="text1"/>
          <w14:textFill>
            <w14:solidFill>
              <w14:schemeClr w14:val="tx1"/>
            </w14:solidFill>
          </w14:textFill>
        </w:rPr>
        <w:t>》（HJ 991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w:t>
      </w:r>
    </w:p>
    <w:p w14:paraId="2FA1F573">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《排污许可证申请与核发技术规范</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总则》（HJ 942-2018）</w:t>
      </w:r>
      <w:r>
        <w:rPr>
          <w:rFonts w:hint="eastAsia" w:ascii="Times New Roman"/>
          <w:color w:val="000000" w:themeColor="text1"/>
          <w14:textFill>
            <w14:solidFill>
              <w14:schemeClr w14:val="tx1"/>
            </w14:solidFill>
          </w14:textFill>
        </w:rPr>
        <w:t>；</w:t>
      </w:r>
    </w:p>
    <w:p w14:paraId="7351FAD1">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3</w:t>
      </w:r>
      <w:r>
        <w:rPr>
          <w:rFonts w:hint="eastAsia" w:ascii="Times New Roman"/>
          <w:color w:val="000000" w:themeColor="text1"/>
          <w14:textFill>
            <w14:solidFill>
              <w14:schemeClr w14:val="tx1"/>
            </w14:solidFill>
          </w14:textFill>
        </w:rPr>
        <w:t>）《排污许可证申请与核发技术规范 石化工业》（HJ853-2017）；</w:t>
      </w:r>
    </w:p>
    <w:p w14:paraId="2B100D0D">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4</w:t>
      </w:r>
      <w:r>
        <w:rPr>
          <w:rFonts w:hint="eastAsia" w:ascii="Times New Roman"/>
          <w:color w:val="000000" w:themeColor="text1"/>
          <w14:textFill>
            <w14:solidFill>
              <w14:schemeClr w14:val="tx1"/>
            </w14:solidFill>
          </w14:textFill>
        </w:rPr>
        <w:t>）《排污许可证申请与核发技术规范 化肥工业</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氮肥》（HJ864.1-2017）；</w:t>
      </w:r>
    </w:p>
    <w:p w14:paraId="21D17F92">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5</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《排污单位自行监测技术指南</w:t>
      </w:r>
      <w:r>
        <w:rPr>
          <w:rFonts w:hint="eastAsia" w:asci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总则》（HJ 819-2017）</w:t>
      </w:r>
      <w:r>
        <w:rPr>
          <w:rFonts w:hint="eastAsia" w:ascii="Times New Roman"/>
          <w:color w:val="000000" w:themeColor="text1"/>
          <w14:textFill>
            <w14:solidFill>
              <w14:schemeClr w14:val="tx1"/>
            </w14:solidFill>
          </w14:textFill>
        </w:rPr>
        <w:t>；</w:t>
      </w:r>
    </w:p>
    <w:p w14:paraId="7D17C154">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6</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《排污单位自行监测技术指南</w:t>
      </w:r>
      <w:r>
        <w:rPr>
          <w:rFonts w:hint="eastAsia" w:ascii="Times New Roman"/>
          <w:color w:val="000000" w:themeColor="text1"/>
          <w14:textFill>
            <w14:solidFill>
              <w14:schemeClr w14:val="tx1"/>
            </w14:solidFill>
          </w14:textFill>
        </w:rPr>
        <w:t xml:space="preserve"> 化肥工业-氮肥</w:t>
      </w:r>
      <w:r>
        <w:rPr>
          <w:rFonts w:ascii="Times New Roman"/>
          <w:color w:val="000000" w:themeColor="text1"/>
          <w14:textFill>
            <w14:solidFill>
              <w14:schemeClr w14:val="tx1"/>
            </w14:solidFill>
          </w14:textFill>
        </w:rPr>
        <w:t>》（HJ 948.1-2018）</w:t>
      </w:r>
      <w:r>
        <w:rPr>
          <w:rFonts w:hint="eastAsia" w:ascii="Times New Roman"/>
          <w:color w:val="000000" w:themeColor="text1"/>
          <w14:textFill>
            <w14:solidFill>
              <w14:schemeClr w14:val="tx1"/>
            </w14:solidFill>
          </w14:textFill>
        </w:rPr>
        <w:t>；</w:t>
      </w:r>
    </w:p>
    <w:p w14:paraId="1360A3B0">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（17）《排污单位自行监测技术指南 石油化学工业》（HJ 947-2018）；</w:t>
      </w:r>
    </w:p>
    <w:p w14:paraId="7D744743">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（18）《排污单位自行监测技术指南 磷肥、钾肥、复混肥料、有机肥料和微生物肥料》（HJ 1088-2020）；</w:t>
      </w:r>
    </w:p>
    <w:p w14:paraId="70DEDB9C">
      <w:pPr>
        <w:pStyle w:val="104"/>
        <w:ind w:firstLine="512"/>
        <w:jc w:val="both"/>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（19）《排污单位自行监测技术指南 火力发电及锅炉》（HJ 820-2017）；</w:t>
      </w:r>
    </w:p>
    <w:p w14:paraId="309BDCB2">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（20）</w:t>
      </w:r>
      <w:r>
        <w:rPr>
          <w:rFonts w:ascii="Times New Roman"/>
          <w:color w:val="000000" w:themeColor="text1"/>
          <w14:textFill>
            <w14:solidFill>
              <w14:schemeClr w14:val="tx1"/>
            </w14:solidFill>
          </w14:textFill>
        </w:rPr>
        <w:t>《化工建设项目环境保护设计规范》（GB50483-2009）；</w:t>
      </w:r>
    </w:p>
    <w:p w14:paraId="666E573A">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（21）</w:t>
      </w:r>
      <w:r>
        <w:rPr>
          <w:rFonts w:ascii="Times New Roman"/>
          <w:color w:val="000000" w:themeColor="text1"/>
          <w14:textFill>
            <w14:solidFill>
              <w14:schemeClr w14:val="tx1"/>
            </w14:solidFill>
          </w14:textFill>
        </w:rPr>
        <w:t>《工业循环冷却水处理设计规范》（GB50050-2017）；</w:t>
      </w:r>
    </w:p>
    <w:p w14:paraId="32153F9C">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22</w:t>
      </w:r>
      <w:r>
        <w:rPr>
          <w:rFonts w:ascii="Times New Roman"/>
          <w:color w:val="000000" w:themeColor="text1"/>
          <w14:textFill>
            <w14:solidFill>
              <w14:schemeClr w14:val="tx1"/>
            </w14:solidFill>
          </w14:textFill>
        </w:rPr>
        <w:t>）《石油化工工程防渗技术规范》（GB/T 50934-2013）；</w:t>
      </w:r>
    </w:p>
    <w:p w14:paraId="743620F4">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3）</w:t>
      </w:r>
      <w:r>
        <w:rPr>
          <w:rFonts w:ascii="Times New Roman"/>
          <w:color w:val="000000" w:themeColor="text1"/>
          <w14:textFill>
            <w14:solidFill>
              <w14:schemeClr w14:val="tx1"/>
            </w14:solidFill>
          </w14:textFill>
        </w:rPr>
        <w:t>《石油化工企业设计防火规范》（GB50160-20</w:t>
      </w:r>
      <w:r>
        <w:rPr>
          <w:rFonts w:hint="eastAsia" w:ascii="Times New Roman"/>
          <w:color w:val="000000" w:themeColor="text1"/>
          <w14:textFill>
            <w14:solidFill>
              <w14:schemeClr w14:val="tx1"/>
            </w14:solidFill>
          </w14:textFill>
        </w:rPr>
        <w:t>1</w:t>
      </w:r>
      <w:r>
        <w:rPr>
          <w:rFonts w:ascii="Times New Roman"/>
          <w:color w:val="000000" w:themeColor="text1"/>
          <w14:textFill>
            <w14:solidFill>
              <w14:schemeClr w14:val="tx1"/>
            </w14:solidFill>
          </w14:textFill>
        </w:rPr>
        <w:t>8）；</w:t>
      </w:r>
    </w:p>
    <w:p w14:paraId="5B9B3650">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）《一般固体废物分类与代码》（GB/T 39198-2020）</w:t>
      </w:r>
    </w:p>
    <w:p w14:paraId="6C7F76B3">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25</w:t>
      </w:r>
      <w:r>
        <w:rPr>
          <w:rFonts w:ascii="Times New Roman"/>
          <w:color w:val="000000" w:themeColor="text1"/>
          <w14:textFill>
            <w14:solidFill>
              <w14:schemeClr w14:val="tx1"/>
            </w14:solidFill>
          </w14:textFill>
        </w:rPr>
        <w:t>）《危险废物转移管理办法》</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021</w:t>
      </w:r>
      <w:r>
        <w:rPr>
          <w:rFonts w:hint="eastAsia" w:ascii="Times New Roman"/>
          <w:color w:val="000000" w:themeColor="text1"/>
          <w14:textFill>
            <w14:solidFill>
              <w14:schemeClr w14:val="tx1"/>
            </w14:solidFill>
          </w14:textFill>
        </w:rPr>
        <w:t>年1</w:t>
      </w:r>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月3</w:t>
      </w: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日；</w:t>
      </w:r>
    </w:p>
    <w:p w14:paraId="70F9907C">
      <w:pPr>
        <w:pStyle w:val="104"/>
        <w:ind w:firstLine="512"/>
        <w:jc w:val="both"/>
        <w:rPr>
          <w:rFonts w:hint="eastAsia"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（26）</w:t>
      </w:r>
      <w:r>
        <w:rPr>
          <w:rFonts w:ascii="Times New Roman"/>
          <w:color w:val="000000" w:themeColor="text1"/>
          <w14:textFill>
            <w14:solidFill>
              <w14:schemeClr w14:val="tx1"/>
            </w14:solidFill>
          </w14:textFill>
        </w:rPr>
        <w:t>《关于印发钢铁焦化、现代煤化工、石化、火电四个行业建设项目环境影响评价文件审批原则的通知》</w:t>
      </w:r>
      <w:r>
        <w:rPr>
          <w:rFonts w:hint="eastAsia" w:ascii="Times New Roman"/>
          <w:color w:val="000000" w:themeColor="text1"/>
          <w14:textFill>
            <w14:solidFill>
              <w14:schemeClr w14:val="tx1"/>
            </w14:solidFill>
          </w14:textFill>
        </w:rPr>
        <w:t>。</w:t>
      </w:r>
    </w:p>
    <w:bookmarkEnd w:id="25"/>
    <w:p w14:paraId="3128CEC6">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相关规划及文件</w:t>
      </w:r>
    </w:p>
    <w:p w14:paraId="059140CC">
      <w:pPr>
        <w:pStyle w:val="281"/>
        <w:ind w:firstLine="480"/>
        <w:rPr>
          <w:color w:val="000000" w:themeColor="text1"/>
          <w14:textFill>
            <w14:solidFill>
              <w14:schemeClr w14:val="tx1"/>
            </w14:solidFill>
          </w14:textFill>
        </w:rPr>
      </w:pPr>
      <w:bookmarkStart w:id="26" w:name="_Hlk150212831"/>
      <w:r>
        <w:rPr>
          <w:rFonts w:hint="eastAsia"/>
          <w:color w:val="000000" w:themeColor="text1"/>
          <w14:textFill>
            <w14:solidFill>
              <w14:schemeClr w14:val="tx1"/>
            </w14:solidFill>
          </w14:textFill>
        </w:rPr>
        <w:t>（1）</w:t>
      </w:r>
      <w:r>
        <w:rPr>
          <w:color w:val="000000" w:themeColor="text1"/>
          <w14:textFill>
            <w14:solidFill>
              <w14:schemeClr w14:val="tx1"/>
            </w14:solidFill>
          </w14:textFill>
        </w:rPr>
        <w:t>《“十四五”工业绿色发展规划》</w:t>
      </w:r>
      <w:r>
        <w:rPr>
          <w:rFonts w:hint="eastAsia"/>
          <w:color w:val="000000" w:themeColor="text1"/>
          <w14:textFill>
            <w14:solidFill>
              <w14:schemeClr w14:val="tx1"/>
            </w14:solidFill>
          </w14:textFill>
        </w:rPr>
        <w:t>；</w:t>
      </w:r>
    </w:p>
    <w:p w14:paraId="306F94C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《“十四五”原材料工业发展规划》</w:t>
      </w:r>
      <w:r>
        <w:rPr>
          <w:rFonts w:hint="eastAsia"/>
          <w:color w:val="000000" w:themeColor="text1"/>
          <w14:textFill>
            <w14:solidFill>
              <w14:schemeClr w14:val="tx1"/>
            </w14:solidFill>
          </w14:textFill>
        </w:rPr>
        <w:t>；</w:t>
      </w:r>
    </w:p>
    <w:p w14:paraId="43AC22E9">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《新疆维吾尔自治区国民经济和社会发展第十四个五年规划和2035年远景目标纲要》；</w:t>
      </w:r>
    </w:p>
    <w:p w14:paraId="3DC4257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哈密市国民经济和社会发展第十四个五年规划和2035年远景目标纲要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28DDA0B1">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《新疆维吾尔自治区环境保护“十</w:t>
      </w:r>
      <w:r>
        <w:rPr>
          <w:rFonts w:hint="eastAsia"/>
          <w:color w:val="000000" w:themeColor="text1"/>
          <w14:textFill>
            <w14:solidFill>
              <w14:schemeClr w14:val="tx1"/>
            </w14:solidFill>
          </w14:textFill>
        </w:rPr>
        <w:t>四五</w:t>
      </w:r>
      <w:r>
        <w:rPr>
          <w:color w:val="000000" w:themeColor="text1"/>
          <w14:textFill>
            <w14:solidFill>
              <w14:schemeClr w14:val="tx1"/>
            </w14:solidFill>
          </w14:textFill>
        </w:rPr>
        <w:t>”规划</w:t>
      </w:r>
      <w:r>
        <w:rPr>
          <w:rFonts w:hint="eastAsia"/>
          <w:color w:val="000000" w:themeColor="text1"/>
          <w14:textFill>
            <w14:solidFill>
              <w14:schemeClr w14:val="tx1"/>
            </w14:solidFill>
          </w14:textFill>
        </w:rPr>
        <w:t>》；</w:t>
      </w:r>
    </w:p>
    <w:p w14:paraId="596A8010">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《哈密市生态环境保护“十四五”规划》；</w:t>
      </w:r>
    </w:p>
    <w:p w14:paraId="65BFD6E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（7）《关于同意哈密工业园区为自治区工业园区的批复》（新政函[2006]53号）；</w:t>
      </w:r>
    </w:p>
    <w:p w14:paraId="0BA3534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（8）《哈密工业园区总体规划》；</w:t>
      </w:r>
    </w:p>
    <w:p w14:paraId="13BD8C1B">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（9）《关于哈密工业园区总体规划环境影响报告书的审查意见》（新环监函[2007]387号）；</w:t>
      </w:r>
    </w:p>
    <w:p w14:paraId="69B490B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（10）《关于对哈密工业园区总体规划的批复》（新政函[2011]197号）；</w:t>
      </w:r>
    </w:p>
    <w:p w14:paraId="4F20C36D">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（11）《关于设立哈密高新技术产业开发区的批复》（新政函[2015]第201号）；</w:t>
      </w:r>
    </w:p>
    <w:p w14:paraId="36F60B9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（12）《关于同意哈密工业园区调区的批复》（新政函[2021]14号）；</w:t>
      </w:r>
    </w:p>
    <w:p w14:paraId="18281F7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哈密工业园区产业发展规划（2019-2035）</w:t>
      </w:r>
      <w:r>
        <w:rPr>
          <w:color w:val="000000" w:themeColor="text1"/>
          <w14:textFill>
            <w14:solidFill>
              <w14:schemeClr w14:val="tx1"/>
            </w14:solidFill>
          </w14:textFill>
        </w:rPr>
        <w:t>》；</w:t>
      </w:r>
    </w:p>
    <w:p w14:paraId="564AD54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（14）《关于《哈密工业园区总体规划（2019-2035年）环境影响报告书》的审查意见》（新环审[2021]61号）；</w:t>
      </w:r>
    </w:p>
    <w:p w14:paraId="0FE479C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（15）关于《哈密工业园区产业发展规划（2019-2035年）的批复》（新园区函[2022]1号）；</w:t>
      </w:r>
    </w:p>
    <w:p w14:paraId="4B20AC9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（16）关于确认使用《关于&lt;哈密工业园区总体规划（2019-2035年）&gt;环境影响报告书的审查意见》的复函（新环环评函[2022]140号）；</w:t>
      </w:r>
    </w:p>
    <w:p w14:paraId="3F8A333D">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rFonts w:hint="eastAsia"/>
        </w:rPr>
        <w:t>《哈密高新区化工产业集中区总体规划（2023-2035年）环境影响报告书》；</w:t>
      </w:r>
    </w:p>
    <w:p w14:paraId="33DC73D7">
      <w:pPr>
        <w:pStyle w:val="104"/>
        <w:ind w:firstLine="512"/>
        <w:jc w:val="both"/>
        <w:rPr>
          <w:rFonts w:hint="eastAsia"/>
        </w:rPr>
      </w:pPr>
      <w:r>
        <w:rPr>
          <w:rFonts w:hint="eastAsia" w:ascii="Times New Roman"/>
        </w:rPr>
        <w:t>（18）《关于&lt;哈密高新区化工产业集中区总体规划（2023-2035年）环境影响报告书&gt;的审查意见》（新环审[2023]240</w:t>
      </w:r>
      <w:r>
        <w:rPr>
          <w:rFonts w:hint="eastAsia" w:ascii="Times New Roman"/>
          <w:color w:val="000000" w:themeColor="text1"/>
          <w14:textFill>
            <w14:solidFill>
              <w14:schemeClr w14:val="tx1"/>
            </w14:solidFill>
          </w14:textFill>
        </w:rPr>
        <w:t>号）</w:t>
      </w:r>
      <w:r>
        <w:rPr>
          <w:rFonts w:hint="eastAsia"/>
          <w:color w:val="000000" w:themeColor="text1"/>
          <w14:textFill>
            <w14:solidFill>
              <w14:schemeClr w14:val="tx1"/>
            </w14:solidFill>
          </w14:textFill>
        </w:rPr>
        <w:t>。</w:t>
      </w:r>
    </w:p>
    <w:bookmarkEnd w:id="26"/>
    <w:p w14:paraId="2B54E04A">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其他相关文件</w:t>
      </w:r>
    </w:p>
    <w:p w14:paraId="722D40E9">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（1）委托书-</w:t>
      </w:r>
      <w:r>
        <w:rPr>
          <w:rFonts w:hint="eastAsia" w:ascii="Times New Roman"/>
          <w:color w:val="000000" w:themeColor="text1"/>
          <w14:textFill>
            <w14:solidFill>
              <w14:schemeClr w14:val="tx1"/>
            </w14:solidFill>
          </w14:textFill>
        </w:rPr>
        <w:t>新疆天科隆化学有限公司6.2万吨水电解制氢及50万吨绿色草酰胺、80万吨有机高效缓释肥项目</w:t>
      </w:r>
    </w:p>
    <w:p w14:paraId="4D20162B">
      <w:pPr>
        <w:pStyle w:val="104"/>
        <w:ind w:firstLine="512"/>
        <w:jc w:val="both"/>
        <w:rPr>
          <w:rFonts w:hint="eastAsia" w:ascii="Times New Roman"/>
          <w:color w:val="FF0000"/>
        </w:rPr>
      </w:pPr>
      <w:r>
        <w:rPr>
          <w:rFonts w:ascii="Times New Roman"/>
          <w:color w:val="000000" w:themeColor="text1"/>
          <w14:textFill>
            <w14:solidFill>
              <w14:schemeClr w14:val="tx1"/>
            </w14:solidFill>
          </w14:textFill>
        </w:rPr>
        <w:t>（2）</w:t>
      </w:r>
      <w:r>
        <w:rPr>
          <w:rFonts w:hint="eastAsia" w:ascii="Times New Roman"/>
          <w:color w:val="000000" w:themeColor="text1"/>
          <w14:textFill>
            <w14:solidFill>
              <w14:schemeClr w14:val="tx1"/>
            </w14:solidFill>
          </w14:textFill>
        </w:rPr>
        <w:t>新疆天科隆化学有限公司6.2万吨水电解制氢及50万吨绿色草酰胺、80万吨有机高效缓释肥项目</w:t>
      </w:r>
      <w:r>
        <w:rPr>
          <w:rFonts w:ascii="Times New Roman"/>
          <w:color w:val="000000" w:themeColor="text1"/>
          <w14:textFill>
            <w14:solidFill>
              <w14:schemeClr w14:val="tx1"/>
            </w14:solidFill>
          </w14:textFill>
        </w:rPr>
        <w:t>可行性研究报告</w:t>
      </w:r>
      <w:r>
        <w:rPr>
          <w:rFonts w:hint="eastAsia" w:ascii="Times New Roman"/>
          <w:color w:val="000000" w:themeColor="text1"/>
          <w14:textFill>
            <w14:solidFill>
              <w14:schemeClr w14:val="tx1"/>
            </w14:solidFill>
          </w14:textFill>
        </w:rPr>
        <w:t>（赛鼎工程有限公司）</w:t>
      </w:r>
    </w:p>
    <w:p w14:paraId="62FF3C45">
      <w:pPr>
        <w:pStyle w:val="3"/>
        <w:rPr>
          <w:rFonts w:hint="eastAsia"/>
          <w:color w:val="000000" w:themeColor="text1"/>
          <w14:textFill>
            <w14:solidFill>
              <w14:schemeClr w14:val="tx1"/>
            </w14:solidFill>
          </w14:textFill>
        </w:rPr>
      </w:pPr>
      <w:bookmarkStart w:id="27" w:name="_Toc26293"/>
      <w:r>
        <w:rPr>
          <w:color w:val="000000" w:themeColor="text1"/>
          <w14:textFill>
            <w14:solidFill>
              <w14:schemeClr w14:val="tx1"/>
            </w14:solidFill>
          </w14:textFill>
        </w:rPr>
        <w:t>评价目的</w:t>
      </w:r>
      <w:bookmarkEnd w:id="27"/>
    </w:p>
    <w:p w14:paraId="74B81C4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通过本次环评工作，拟达到如下目的：</w:t>
      </w:r>
    </w:p>
    <w:p w14:paraId="56228BC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（1）通过现状调查、资料收集及环境监测，评价建设项目所在区域的环境质量背景状况和主要环境问题。</w:t>
      </w:r>
    </w:p>
    <w:p w14:paraId="0658B74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（2）通过详细的工程分析，明确建设项目的主要环境影响，筛选对环境造成影响的因子，尤其关注建设项目产生的特征污染因子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通过类比调查、物料衡算，核算污染源源强，预测项目建设对环境影响的程度与范围。</w:t>
      </w:r>
    </w:p>
    <w:p w14:paraId="147C90F7">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（3）从工艺着手，分析生产工艺、生产设备及原辅材料的消耗，掌握主要污染源及排放状况。通过分析和计算，预测污染物排放对周围环境的影响程度，判断其是否满足环境质量标准和总量控制要求。</w:t>
      </w:r>
    </w:p>
    <w:p w14:paraId="09D2099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（4）根据建设项目的排污特点，通过类比调查与分析，从技术、经济角度分析拟采取的环保措施的可行性，为项目环保措施的设计和环境管理提供依据。</w:t>
      </w:r>
    </w:p>
    <w:p w14:paraId="59C749C9">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（5）从环保法规、产业政策、环境特点、污染防治等方面进行综合分析，对拟建项目的环境可行性做出明确结论。</w:t>
      </w:r>
    </w:p>
    <w:p w14:paraId="4D6692FD">
      <w:pPr>
        <w:pStyle w:val="3"/>
        <w:rPr>
          <w:rFonts w:hint="eastAsia"/>
          <w:color w:val="000000" w:themeColor="text1"/>
          <w14:textFill>
            <w14:solidFill>
              <w14:schemeClr w14:val="tx1"/>
            </w14:solidFill>
          </w14:textFill>
        </w:rPr>
      </w:pPr>
      <w:bookmarkStart w:id="28" w:name="_Toc974"/>
      <w:r>
        <w:rPr>
          <w:color w:val="000000" w:themeColor="text1"/>
          <w14:textFill>
            <w14:solidFill>
              <w14:schemeClr w14:val="tx1"/>
            </w14:solidFill>
          </w14:textFill>
        </w:rPr>
        <w:t>评价原则</w:t>
      </w:r>
      <w:bookmarkEnd w:id="28"/>
    </w:p>
    <w:p w14:paraId="7321CE1F">
      <w:pPr>
        <w:spacing w:line="360" w:lineRule="auto"/>
        <w:ind w:firstLine="48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突出环境影响评价的源头预防作用，坚持保护和改善环境质量。</w:t>
      </w:r>
    </w:p>
    <w:p w14:paraId="72ED6FC6">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）依法评价</w:t>
      </w:r>
    </w:p>
    <w:p w14:paraId="19E5EA2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贯彻执行我国环境保护相关法律法规、标准、政策和规划等，优化项目建设，服务环境治理。</w:t>
      </w:r>
    </w:p>
    <w:p w14:paraId="2454B15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科学评价</w:t>
      </w:r>
    </w:p>
    <w:p w14:paraId="6023070D">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规范环境影响评价方法，科学分析项目建设对环境质量的影响。</w:t>
      </w:r>
    </w:p>
    <w:p w14:paraId="3AD2786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突出重点</w:t>
      </w:r>
    </w:p>
    <w:p w14:paraId="37610857">
      <w:pPr>
        <w:spacing w:line="360" w:lineRule="auto"/>
        <w:ind w:firstLine="48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p w14:paraId="2089C90D">
      <w:pPr>
        <w:pStyle w:val="3"/>
        <w:rPr>
          <w:rFonts w:hint="eastAsia"/>
          <w:color w:val="000000" w:themeColor="text1"/>
          <w14:textFill>
            <w14:solidFill>
              <w14:schemeClr w14:val="tx1"/>
            </w14:solidFill>
          </w14:textFill>
        </w:rPr>
      </w:pPr>
      <w:bookmarkStart w:id="29" w:name="_Toc533018211"/>
      <w:bookmarkStart w:id="30" w:name="_Toc5047"/>
      <w:r>
        <w:rPr>
          <w:color w:val="000000" w:themeColor="text1"/>
          <w14:textFill>
            <w14:solidFill>
              <w14:schemeClr w14:val="tx1"/>
            </w14:solidFill>
          </w14:textFill>
        </w:rPr>
        <w:t>环境影响要素识别及评价因子筛选</w:t>
      </w:r>
      <w:bookmarkEnd w:id="29"/>
      <w:bookmarkEnd w:id="30"/>
    </w:p>
    <w:p w14:paraId="60F2AA39">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环境影响因素识别</w:t>
      </w:r>
    </w:p>
    <w:p w14:paraId="587936E1">
      <w:pPr>
        <w:pStyle w:val="98"/>
        <w:rPr>
          <w:rFonts w:hint="eastAsia"/>
          <w:snapToGrid w:val="0"/>
        </w:rPr>
      </w:pPr>
      <w:r>
        <w:rPr>
          <w:snapToGrid w:val="0"/>
        </w:rPr>
        <w:t>施工期</w:t>
      </w:r>
    </w:p>
    <w:p w14:paraId="3D3B3E57">
      <w:pPr>
        <w:pStyle w:val="104"/>
        <w:ind w:firstLine="512"/>
        <w:jc w:val="both"/>
        <w:rPr>
          <w:rFonts w:hint="eastAsia"/>
          <w:color w:val="000000" w:themeColor="text1"/>
          <w14:textFill>
            <w14:solidFill>
              <w14:schemeClr w14:val="tx1"/>
            </w14:solidFill>
          </w14:textFill>
        </w:rPr>
      </w:pPr>
      <w:r>
        <w:rPr>
          <w:rFonts w:ascii="Times New Roman"/>
          <w:color w:val="000000" w:themeColor="text1"/>
          <w14:textFill>
            <w14:solidFill>
              <w14:schemeClr w14:val="tx1"/>
            </w14:solidFill>
          </w14:textFill>
        </w:rPr>
        <w:t>项目施工期间对环境的影响很大程度上取决于项目特点、施工季节以及项目所处的地形、地貌等环境因素。经分析，施工期主要环境影响因素见表2.4.1-1。</w:t>
      </w:r>
    </w:p>
    <w:p w14:paraId="24D358F6">
      <w:pPr>
        <w:pStyle w:val="161"/>
        <w:rPr>
          <w:rFonts w:hint="eastAsia"/>
          <w:color w:val="000000" w:themeColor="text1"/>
          <w14:textFill>
            <w14:solidFill>
              <w14:schemeClr w14:val="tx1"/>
            </w14:solidFill>
          </w14:textFill>
        </w:rPr>
      </w:pPr>
      <w:r>
        <w:rPr>
          <w:color w:val="000000" w:themeColor="text1"/>
          <w14:textFill>
            <w14:solidFill>
              <w14:schemeClr w14:val="tx1"/>
            </w14:solidFill>
          </w14:textFill>
        </w:rPr>
        <w:t>表2.4.1-1    施工期主要环境影响因素</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3"/>
        <w:gridCol w:w="1500"/>
        <w:gridCol w:w="4133"/>
        <w:gridCol w:w="2399"/>
      </w:tblGrid>
      <w:tr w14:paraId="1C1E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464" w:type="dxa"/>
            <w:vMerge w:val="restart"/>
            <w:tcMar>
              <w:left w:w="0" w:type="dxa"/>
              <w:right w:w="0" w:type="dxa"/>
            </w:tcMar>
            <w:vAlign w:val="center"/>
          </w:tcPr>
          <w:p w14:paraId="5B08A889">
            <w:pPr>
              <w:pStyle w:val="557"/>
            </w:pPr>
            <w:r>
              <w:t>序号</w:t>
            </w:r>
          </w:p>
        </w:tc>
        <w:tc>
          <w:tcPr>
            <w:tcW w:w="1470" w:type="dxa"/>
            <w:vMerge w:val="restart"/>
            <w:tcMar>
              <w:left w:w="0" w:type="dxa"/>
              <w:right w:w="0" w:type="dxa"/>
            </w:tcMar>
            <w:vAlign w:val="center"/>
          </w:tcPr>
          <w:p w14:paraId="7636816F">
            <w:pPr>
              <w:pStyle w:val="557"/>
            </w:pPr>
            <w:r>
              <w:t>环境要素</w:t>
            </w:r>
          </w:p>
        </w:tc>
        <w:tc>
          <w:tcPr>
            <w:tcW w:w="4051" w:type="dxa"/>
            <w:vMerge w:val="restart"/>
            <w:tcMar>
              <w:left w:w="0" w:type="dxa"/>
              <w:right w:w="0" w:type="dxa"/>
            </w:tcMar>
            <w:vAlign w:val="center"/>
          </w:tcPr>
          <w:p w14:paraId="24106E38">
            <w:pPr>
              <w:pStyle w:val="557"/>
            </w:pPr>
            <w:r>
              <w:t>产生影响的主要内容</w:t>
            </w:r>
          </w:p>
        </w:tc>
        <w:tc>
          <w:tcPr>
            <w:tcW w:w="2351" w:type="dxa"/>
            <w:vMerge w:val="restart"/>
            <w:tcMar>
              <w:left w:w="0" w:type="dxa"/>
              <w:right w:w="0" w:type="dxa"/>
            </w:tcMar>
            <w:vAlign w:val="center"/>
          </w:tcPr>
          <w:p w14:paraId="25612D97">
            <w:pPr>
              <w:pStyle w:val="557"/>
            </w:pPr>
            <w:r>
              <w:t>主要影响因素</w:t>
            </w:r>
          </w:p>
        </w:tc>
      </w:tr>
      <w:tr w14:paraId="0E00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464" w:type="dxa"/>
            <w:vMerge w:val="continue"/>
            <w:tcMar>
              <w:left w:w="0" w:type="dxa"/>
              <w:right w:w="0" w:type="dxa"/>
            </w:tcMar>
            <w:vAlign w:val="center"/>
          </w:tcPr>
          <w:p w14:paraId="6489D265">
            <w:pPr>
              <w:pStyle w:val="557"/>
            </w:pPr>
          </w:p>
        </w:tc>
        <w:tc>
          <w:tcPr>
            <w:tcW w:w="1470" w:type="dxa"/>
            <w:vMerge w:val="continue"/>
            <w:tcMar>
              <w:left w:w="0" w:type="dxa"/>
              <w:right w:w="0" w:type="dxa"/>
            </w:tcMar>
            <w:vAlign w:val="center"/>
          </w:tcPr>
          <w:p w14:paraId="165966AD">
            <w:pPr>
              <w:pStyle w:val="557"/>
            </w:pPr>
          </w:p>
        </w:tc>
        <w:tc>
          <w:tcPr>
            <w:tcW w:w="4051" w:type="dxa"/>
            <w:vMerge w:val="continue"/>
            <w:tcMar>
              <w:left w:w="0" w:type="dxa"/>
              <w:right w:w="0" w:type="dxa"/>
            </w:tcMar>
            <w:vAlign w:val="center"/>
          </w:tcPr>
          <w:p w14:paraId="7EC4C998">
            <w:pPr>
              <w:pStyle w:val="557"/>
            </w:pPr>
          </w:p>
        </w:tc>
        <w:tc>
          <w:tcPr>
            <w:tcW w:w="2351" w:type="dxa"/>
            <w:vMerge w:val="continue"/>
            <w:tcMar>
              <w:left w:w="0" w:type="dxa"/>
              <w:right w:w="0" w:type="dxa"/>
            </w:tcMar>
            <w:vAlign w:val="center"/>
          </w:tcPr>
          <w:p w14:paraId="5E76C8C0">
            <w:pPr>
              <w:pStyle w:val="557"/>
            </w:pPr>
          </w:p>
        </w:tc>
      </w:tr>
      <w:tr w14:paraId="3174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vMerge w:val="restart"/>
            <w:tcMar>
              <w:left w:w="0" w:type="dxa"/>
              <w:right w:w="0" w:type="dxa"/>
            </w:tcMar>
            <w:vAlign w:val="center"/>
          </w:tcPr>
          <w:p w14:paraId="3B2644C5">
            <w:pPr>
              <w:pStyle w:val="557"/>
            </w:pPr>
            <w:r>
              <w:t>1</w:t>
            </w:r>
          </w:p>
        </w:tc>
        <w:tc>
          <w:tcPr>
            <w:tcW w:w="1470" w:type="dxa"/>
            <w:vMerge w:val="restart"/>
            <w:tcMar>
              <w:left w:w="0" w:type="dxa"/>
              <w:right w:w="0" w:type="dxa"/>
            </w:tcMar>
            <w:vAlign w:val="center"/>
          </w:tcPr>
          <w:p w14:paraId="4629138E">
            <w:pPr>
              <w:pStyle w:val="557"/>
            </w:pPr>
            <w:r>
              <w:t>环境空气</w:t>
            </w:r>
          </w:p>
        </w:tc>
        <w:tc>
          <w:tcPr>
            <w:tcW w:w="4051" w:type="dxa"/>
            <w:tcMar>
              <w:left w:w="0" w:type="dxa"/>
              <w:right w:w="0" w:type="dxa"/>
            </w:tcMar>
            <w:vAlign w:val="center"/>
          </w:tcPr>
          <w:p w14:paraId="30E00E32">
            <w:pPr>
              <w:pStyle w:val="557"/>
            </w:pPr>
            <w:r>
              <w:t>土地平整、挖掘，土石方、建材储运、使用</w:t>
            </w:r>
          </w:p>
        </w:tc>
        <w:tc>
          <w:tcPr>
            <w:tcW w:w="2351" w:type="dxa"/>
            <w:tcMar>
              <w:left w:w="0" w:type="dxa"/>
              <w:right w:w="0" w:type="dxa"/>
            </w:tcMar>
            <w:vAlign w:val="center"/>
          </w:tcPr>
          <w:p w14:paraId="1E8D6550">
            <w:pPr>
              <w:pStyle w:val="557"/>
            </w:pPr>
            <w:r>
              <w:t>扬尘</w:t>
            </w:r>
          </w:p>
        </w:tc>
      </w:tr>
      <w:tr w14:paraId="3E21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vMerge w:val="continue"/>
            <w:tcMar>
              <w:left w:w="0" w:type="dxa"/>
              <w:right w:w="0" w:type="dxa"/>
            </w:tcMar>
            <w:vAlign w:val="center"/>
          </w:tcPr>
          <w:p w14:paraId="5CEDAD57">
            <w:pPr>
              <w:pStyle w:val="557"/>
            </w:pPr>
          </w:p>
        </w:tc>
        <w:tc>
          <w:tcPr>
            <w:tcW w:w="1470" w:type="dxa"/>
            <w:vMerge w:val="continue"/>
            <w:tcMar>
              <w:left w:w="0" w:type="dxa"/>
              <w:right w:w="0" w:type="dxa"/>
            </w:tcMar>
            <w:vAlign w:val="center"/>
          </w:tcPr>
          <w:p w14:paraId="251FD21A">
            <w:pPr>
              <w:pStyle w:val="557"/>
            </w:pPr>
          </w:p>
        </w:tc>
        <w:tc>
          <w:tcPr>
            <w:tcW w:w="4051" w:type="dxa"/>
            <w:tcMar>
              <w:left w:w="0" w:type="dxa"/>
              <w:right w:w="0" w:type="dxa"/>
            </w:tcMar>
            <w:vAlign w:val="center"/>
          </w:tcPr>
          <w:p w14:paraId="50CBEDB6">
            <w:pPr>
              <w:pStyle w:val="557"/>
            </w:pPr>
            <w:r>
              <w:t>施工车辆尾气、炊事燃具使用</w:t>
            </w:r>
          </w:p>
        </w:tc>
        <w:tc>
          <w:tcPr>
            <w:tcW w:w="2351" w:type="dxa"/>
            <w:tcMar>
              <w:left w:w="0" w:type="dxa"/>
              <w:right w:w="0" w:type="dxa"/>
            </w:tcMar>
            <w:vAlign w:val="center"/>
          </w:tcPr>
          <w:p w14:paraId="3A6B36C9">
            <w:pPr>
              <w:pStyle w:val="557"/>
            </w:pPr>
            <w:r>
              <w:t>NOx、SO</w:t>
            </w:r>
            <w:r>
              <w:rPr>
                <w:vertAlign w:val="subscript"/>
              </w:rPr>
              <w:t>2</w:t>
            </w:r>
          </w:p>
        </w:tc>
      </w:tr>
      <w:tr w14:paraId="6081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tcMar>
              <w:left w:w="0" w:type="dxa"/>
              <w:right w:w="0" w:type="dxa"/>
            </w:tcMar>
            <w:vAlign w:val="center"/>
          </w:tcPr>
          <w:p w14:paraId="26E22769">
            <w:pPr>
              <w:pStyle w:val="557"/>
            </w:pPr>
            <w:r>
              <w:t>2</w:t>
            </w:r>
          </w:p>
        </w:tc>
        <w:tc>
          <w:tcPr>
            <w:tcW w:w="1470" w:type="dxa"/>
            <w:tcMar>
              <w:left w:w="0" w:type="dxa"/>
              <w:right w:w="0" w:type="dxa"/>
            </w:tcMar>
            <w:vAlign w:val="center"/>
          </w:tcPr>
          <w:p w14:paraId="4D0EAA81">
            <w:pPr>
              <w:pStyle w:val="557"/>
            </w:pPr>
            <w:r>
              <w:t>水环境</w:t>
            </w:r>
          </w:p>
        </w:tc>
        <w:tc>
          <w:tcPr>
            <w:tcW w:w="4051" w:type="dxa"/>
            <w:tcMar>
              <w:left w:w="0" w:type="dxa"/>
              <w:right w:w="0" w:type="dxa"/>
            </w:tcMar>
            <w:vAlign w:val="center"/>
          </w:tcPr>
          <w:p w14:paraId="46AFFC04">
            <w:pPr>
              <w:pStyle w:val="557"/>
            </w:pPr>
            <w:r>
              <w:t>施工人员</w:t>
            </w:r>
            <w:r>
              <w:rPr>
                <w:rFonts w:hint="eastAsia"/>
              </w:rPr>
              <w:t>生活污水</w:t>
            </w:r>
            <w:r>
              <w:t>等</w:t>
            </w:r>
          </w:p>
        </w:tc>
        <w:tc>
          <w:tcPr>
            <w:tcW w:w="2351" w:type="dxa"/>
            <w:tcMar>
              <w:left w:w="0" w:type="dxa"/>
              <w:right w:w="0" w:type="dxa"/>
            </w:tcMar>
            <w:vAlign w:val="center"/>
          </w:tcPr>
          <w:p w14:paraId="68640788">
            <w:pPr>
              <w:pStyle w:val="557"/>
            </w:pPr>
            <w:r>
              <w:t>CODcr、BOD</w:t>
            </w:r>
            <w:r>
              <w:rPr>
                <w:vertAlign w:val="subscript"/>
              </w:rPr>
              <w:t>5</w:t>
            </w:r>
            <w:r>
              <w:t>、SS</w:t>
            </w:r>
          </w:p>
        </w:tc>
      </w:tr>
      <w:tr w14:paraId="4272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tcMar>
              <w:left w:w="0" w:type="dxa"/>
              <w:right w:w="0" w:type="dxa"/>
            </w:tcMar>
            <w:vAlign w:val="center"/>
          </w:tcPr>
          <w:p w14:paraId="7208DDBB">
            <w:pPr>
              <w:pStyle w:val="557"/>
            </w:pPr>
            <w:r>
              <w:t>3</w:t>
            </w:r>
          </w:p>
        </w:tc>
        <w:tc>
          <w:tcPr>
            <w:tcW w:w="1470" w:type="dxa"/>
            <w:tcMar>
              <w:left w:w="0" w:type="dxa"/>
              <w:right w:w="0" w:type="dxa"/>
            </w:tcMar>
            <w:vAlign w:val="center"/>
          </w:tcPr>
          <w:p w14:paraId="592F465E">
            <w:pPr>
              <w:pStyle w:val="557"/>
            </w:pPr>
            <w:r>
              <w:t>声环境</w:t>
            </w:r>
          </w:p>
        </w:tc>
        <w:tc>
          <w:tcPr>
            <w:tcW w:w="4051" w:type="dxa"/>
            <w:tcMar>
              <w:left w:w="0" w:type="dxa"/>
              <w:right w:w="0" w:type="dxa"/>
            </w:tcMar>
            <w:vAlign w:val="center"/>
          </w:tcPr>
          <w:p w14:paraId="05AB72AC">
            <w:pPr>
              <w:pStyle w:val="557"/>
            </w:pPr>
            <w:r>
              <w:t>施工机械、车辆作业噪声</w:t>
            </w:r>
          </w:p>
        </w:tc>
        <w:tc>
          <w:tcPr>
            <w:tcW w:w="2351" w:type="dxa"/>
            <w:tcMar>
              <w:left w:w="0" w:type="dxa"/>
              <w:right w:w="0" w:type="dxa"/>
            </w:tcMar>
            <w:vAlign w:val="center"/>
          </w:tcPr>
          <w:p w14:paraId="1D5AE0E4">
            <w:pPr>
              <w:pStyle w:val="557"/>
            </w:pPr>
            <w:r>
              <w:t>噪声</w:t>
            </w:r>
          </w:p>
        </w:tc>
      </w:tr>
      <w:tr w14:paraId="2366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vMerge w:val="restart"/>
            <w:tcMar>
              <w:left w:w="0" w:type="dxa"/>
              <w:right w:w="0" w:type="dxa"/>
            </w:tcMar>
            <w:vAlign w:val="center"/>
          </w:tcPr>
          <w:p w14:paraId="35C13182">
            <w:pPr>
              <w:pStyle w:val="557"/>
            </w:pPr>
            <w:r>
              <w:t>4</w:t>
            </w:r>
          </w:p>
        </w:tc>
        <w:tc>
          <w:tcPr>
            <w:tcW w:w="1470" w:type="dxa"/>
            <w:vMerge w:val="restart"/>
            <w:tcMar>
              <w:left w:w="0" w:type="dxa"/>
              <w:right w:w="0" w:type="dxa"/>
            </w:tcMar>
            <w:vAlign w:val="center"/>
          </w:tcPr>
          <w:p w14:paraId="4F950717">
            <w:pPr>
              <w:pStyle w:val="557"/>
            </w:pPr>
            <w:r>
              <w:t>生态环境</w:t>
            </w:r>
          </w:p>
        </w:tc>
        <w:tc>
          <w:tcPr>
            <w:tcW w:w="4051" w:type="dxa"/>
            <w:tcMar>
              <w:left w:w="0" w:type="dxa"/>
              <w:right w:w="0" w:type="dxa"/>
            </w:tcMar>
            <w:vAlign w:val="center"/>
          </w:tcPr>
          <w:p w14:paraId="233DE668">
            <w:pPr>
              <w:pStyle w:val="557"/>
            </w:pPr>
            <w:r>
              <w:t>土地平整、挖掘及项目占地</w:t>
            </w:r>
          </w:p>
        </w:tc>
        <w:tc>
          <w:tcPr>
            <w:tcW w:w="2351" w:type="dxa"/>
            <w:tcMar>
              <w:left w:w="0" w:type="dxa"/>
              <w:right w:w="0" w:type="dxa"/>
            </w:tcMar>
            <w:vAlign w:val="center"/>
          </w:tcPr>
          <w:p w14:paraId="18BCF096">
            <w:pPr>
              <w:pStyle w:val="557"/>
            </w:pPr>
            <w:r>
              <w:t>水土流失、植被破坏</w:t>
            </w:r>
          </w:p>
        </w:tc>
      </w:tr>
      <w:tr w14:paraId="73D9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4" w:type="dxa"/>
            <w:vMerge w:val="continue"/>
            <w:tcMar>
              <w:left w:w="0" w:type="dxa"/>
              <w:right w:w="0" w:type="dxa"/>
            </w:tcMar>
            <w:vAlign w:val="center"/>
          </w:tcPr>
          <w:p w14:paraId="2A3B18BD">
            <w:pPr>
              <w:pStyle w:val="557"/>
            </w:pPr>
          </w:p>
        </w:tc>
        <w:tc>
          <w:tcPr>
            <w:tcW w:w="1470" w:type="dxa"/>
            <w:vMerge w:val="continue"/>
            <w:tcMar>
              <w:left w:w="0" w:type="dxa"/>
              <w:right w:w="0" w:type="dxa"/>
            </w:tcMar>
            <w:vAlign w:val="center"/>
          </w:tcPr>
          <w:p w14:paraId="3830E46D">
            <w:pPr>
              <w:pStyle w:val="557"/>
            </w:pPr>
          </w:p>
        </w:tc>
        <w:tc>
          <w:tcPr>
            <w:tcW w:w="4051" w:type="dxa"/>
            <w:tcMar>
              <w:left w:w="0" w:type="dxa"/>
              <w:right w:w="0" w:type="dxa"/>
            </w:tcMar>
            <w:vAlign w:val="center"/>
          </w:tcPr>
          <w:p w14:paraId="46B7F44D">
            <w:pPr>
              <w:pStyle w:val="557"/>
            </w:pPr>
            <w:r>
              <w:t>土石方、建材堆存</w:t>
            </w:r>
          </w:p>
        </w:tc>
        <w:tc>
          <w:tcPr>
            <w:tcW w:w="2351" w:type="dxa"/>
            <w:tcMar>
              <w:left w:w="0" w:type="dxa"/>
              <w:right w:w="0" w:type="dxa"/>
            </w:tcMar>
            <w:vAlign w:val="center"/>
          </w:tcPr>
          <w:p w14:paraId="1A240B7C">
            <w:pPr>
              <w:pStyle w:val="557"/>
            </w:pPr>
            <w:r>
              <w:t>占压土地等</w:t>
            </w:r>
          </w:p>
        </w:tc>
      </w:tr>
    </w:tbl>
    <w:p w14:paraId="758D83D3">
      <w:pPr>
        <w:spacing w:line="240" w:lineRule="exact"/>
        <w:ind w:firstLine="480"/>
        <w:rPr>
          <w:rFonts w:hint="eastAsia"/>
          <w:color w:val="FF0000"/>
        </w:rPr>
      </w:pPr>
    </w:p>
    <w:p w14:paraId="51073CBF">
      <w:pPr>
        <w:pStyle w:val="98"/>
        <w:rPr>
          <w:rFonts w:hint="eastAsia"/>
          <w:snapToGrid w:val="0"/>
        </w:rPr>
      </w:pPr>
      <w:r>
        <w:rPr>
          <w:snapToGrid w:val="0"/>
        </w:rPr>
        <w:t>运营期</w:t>
      </w:r>
    </w:p>
    <w:p w14:paraId="1DB25869">
      <w:pPr>
        <w:pStyle w:val="104"/>
        <w:ind w:firstLine="512"/>
        <w:rPr>
          <w:rFonts w:hint="eastAsia" w:ascii="Times New Roman"/>
          <w:color w:val="000000" w:themeColor="text1"/>
          <w14:textFill>
            <w14:solidFill>
              <w14:schemeClr w14:val="tx1"/>
            </w14:solidFill>
          </w14:textFill>
        </w:rPr>
      </w:pPr>
      <w:bookmarkStart w:id="31" w:name="_Hlk150212908"/>
      <w:r>
        <w:rPr>
          <w:rFonts w:ascii="Times New Roman"/>
          <w:color w:val="000000" w:themeColor="text1"/>
          <w14:textFill>
            <w14:solidFill>
              <w14:schemeClr w14:val="tx1"/>
            </w14:solidFill>
          </w14:textFill>
        </w:rPr>
        <w:t>拟建项目运营期将产生废气、废水、噪声以及固废等污染因素，将相应对厂址周围的环境空气、地表水、地下水环境及声环境等产生不同程度的影响。综上所述，拟建项目运营期环境影响因子识别情况详见表2.4.1-2。</w:t>
      </w:r>
    </w:p>
    <w:p w14:paraId="5DF672A2">
      <w:pPr>
        <w:pStyle w:val="161"/>
        <w:rPr>
          <w:rFonts w:hint="eastAsia"/>
          <w:color w:val="000000" w:themeColor="text1"/>
          <w14:textFill>
            <w14:solidFill>
              <w14:schemeClr w14:val="tx1"/>
            </w14:solidFill>
          </w14:textFill>
        </w:rPr>
      </w:pPr>
      <w:bookmarkStart w:id="32" w:name="_Hlk98252170"/>
      <w:r>
        <w:rPr>
          <w:color w:val="000000" w:themeColor="text1"/>
          <w14:textFill>
            <w14:solidFill>
              <w14:schemeClr w14:val="tx1"/>
            </w14:solidFill>
          </w14:textFill>
        </w:rPr>
        <w:t>表2.4.1-2    拟建项目环境影响因素识别表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64"/>
        <w:gridCol w:w="529"/>
        <w:gridCol w:w="1170"/>
        <w:gridCol w:w="2373"/>
        <w:gridCol w:w="3869"/>
      </w:tblGrid>
      <w:tr w14:paraId="73EB8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Align w:val="center"/>
          </w:tcPr>
          <w:p w14:paraId="52989D6C">
            <w:pPr>
              <w:pStyle w:val="190"/>
              <w:rPr>
                <w:rFonts w:ascii="Times New Roman" w:hAnsi="Times New Roman" w:cs="Times New Roman"/>
                <w:color w:val="000000" w:themeColor="text1"/>
                <w:kern w:val="2"/>
                <w:szCs w:val="18"/>
                <w14:textFill>
                  <w14:solidFill>
                    <w14:schemeClr w14:val="tx1"/>
                  </w14:solidFill>
                </w14:textFill>
              </w:rPr>
            </w:pPr>
            <w:bookmarkStart w:id="33" w:name="_Hlk177898567"/>
            <w:r>
              <w:rPr>
                <w:rFonts w:ascii="Times New Roman" w:hAnsi="Times New Roman" w:cs="Times New Roman"/>
                <w:color w:val="000000" w:themeColor="text1"/>
                <w:kern w:val="2"/>
                <w:szCs w:val="18"/>
                <w:lang w:val="zh-CN"/>
                <w14:textFill>
                  <w14:solidFill>
                    <w14:schemeClr w14:val="tx1"/>
                  </w14:solidFill>
                </w14:textFill>
              </w:rPr>
              <w:t>环境要素</w:t>
            </w:r>
          </w:p>
        </w:tc>
        <w:tc>
          <w:tcPr>
            <w:tcW w:w="4072" w:type="dxa"/>
            <w:gridSpan w:val="3"/>
            <w:vAlign w:val="center"/>
          </w:tcPr>
          <w:p w14:paraId="43DC19A4">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产生源</w:t>
            </w:r>
          </w:p>
        </w:tc>
        <w:tc>
          <w:tcPr>
            <w:tcW w:w="3869" w:type="dxa"/>
            <w:vAlign w:val="center"/>
          </w:tcPr>
          <w:p w14:paraId="6DD08783">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影响因子</w:t>
            </w:r>
          </w:p>
        </w:tc>
      </w:tr>
      <w:tr w14:paraId="14613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restart"/>
            <w:vAlign w:val="center"/>
          </w:tcPr>
          <w:p w14:paraId="2E5D129A">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环境空气</w:t>
            </w:r>
          </w:p>
        </w:tc>
        <w:tc>
          <w:tcPr>
            <w:tcW w:w="529" w:type="dxa"/>
            <w:vMerge w:val="restart"/>
            <w:tcBorders>
              <w:right w:val="single" w:color="auto" w:sz="4" w:space="0"/>
            </w:tcBorders>
            <w:vAlign w:val="center"/>
          </w:tcPr>
          <w:p w14:paraId="439F6D4B">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生产装置区</w:t>
            </w:r>
          </w:p>
        </w:tc>
        <w:tc>
          <w:tcPr>
            <w:tcW w:w="1170" w:type="dxa"/>
            <w:vMerge w:val="restart"/>
            <w:tcBorders>
              <w:right w:val="single" w:color="auto" w:sz="4" w:space="0"/>
            </w:tcBorders>
            <w:vAlign w:val="center"/>
          </w:tcPr>
          <w:p w14:paraId="5630BDCC">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气化装置</w:t>
            </w:r>
          </w:p>
        </w:tc>
        <w:tc>
          <w:tcPr>
            <w:tcW w:w="2373" w:type="dxa"/>
            <w:tcBorders>
              <w:left w:val="single" w:color="auto" w:sz="4" w:space="0"/>
            </w:tcBorders>
            <w:vAlign w:val="center"/>
          </w:tcPr>
          <w:p w14:paraId="26EE1600">
            <w:pPr>
              <w:pStyle w:val="190"/>
              <w:rPr>
                <w:rFonts w:ascii="Times New Roman" w:hAnsi="Times New Roman" w:cs="Times New Roman"/>
                <w:color w:val="000000" w:themeColor="text1"/>
                <w:kern w:val="2"/>
                <w:szCs w:val="18"/>
                <w:lang w:eastAsia="zh"/>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原料煤仓</w:t>
            </w:r>
            <w:r>
              <w:rPr>
                <w:rFonts w:hint="eastAsia"/>
                <w:lang w:eastAsia="zh"/>
              </w:rPr>
              <w:t>废气</w:t>
            </w:r>
          </w:p>
        </w:tc>
        <w:tc>
          <w:tcPr>
            <w:tcW w:w="3869" w:type="dxa"/>
            <w:vAlign w:val="center"/>
          </w:tcPr>
          <w:p w14:paraId="16CEBE24">
            <w:pPr>
              <w:pStyle w:val="190"/>
              <w:rPr>
                <w:rFonts w:ascii="Times New Roman" w:hAnsi="Times New Roman" w:cs="Times New Roman"/>
                <w:color w:val="000000" w:themeColor="text1"/>
                <w:kern w:val="2"/>
                <w:szCs w:val="18"/>
                <w:u w:color="000000"/>
                <w14:textFill>
                  <w14:solidFill>
                    <w14:schemeClr w14:val="tx1"/>
                  </w14:solidFill>
                </w14:textFill>
              </w:rPr>
            </w:pPr>
            <w:r>
              <w:rPr>
                <w:rFonts w:ascii="Times New Roman" w:hAnsi="Times New Roman" w:cs="Times New Roman"/>
                <w:color w:val="000000" w:themeColor="text1"/>
                <w:kern w:val="2"/>
                <w:szCs w:val="18"/>
                <w:u w:color="000000"/>
                <w14:textFill>
                  <w14:solidFill>
                    <w14:schemeClr w14:val="tx1"/>
                  </w14:solidFill>
                </w14:textFill>
              </w:rPr>
              <w:t>颗粒物</w:t>
            </w:r>
          </w:p>
        </w:tc>
      </w:tr>
      <w:tr w14:paraId="47954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FA6DF2F">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6FCCF53F">
            <w:pPr>
              <w:pStyle w:val="190"/>
              <w:rPr>
                <w:rFonts w:ascii="Times New Roman" w:hAnsi="Times New Roman" w:cs="Times New Roman"/>
                <w:color w:val="000000" w:themeColor="text1"/>
                <w:kern w:val="2"/>
                <w:szCs w:val="18"/>
                <w14:textFill>
                  <w14:solidFill>
                    <w14:schemeClr w14:val="tx1"/>
                  </w14:solidFill>
                </w14:textFill>
              </w:rPr>
            </w:pPr>
          </w:p>
        </w:tc>
        <w:tc>
          <w:tcPr>
            <w:tcW w:w="1170" w:type="dxa"/>
            <w:vMerge w:val="continue"/>
            <w:tcBorders>
              <w:right w:val="single" w:color="auto" w:sz="4" w:space="0"/>
            </w:tcBorders>
            <w:vAlign w:val="center"/>
          </w:tcPr>
          <w:p w14:paraId="24E976BD">
            <w:pPr>
              <w:pStyle w:val="190"/>
              <w:rPr>
                <w:rFonts w:ascii="Times New Roman" w:hAnsi="Times New Roman" w:cs="Times New Roman"/>
                <w:color w:val="000000" w:themeColor="text1"/>
                <w14:textFill>
                  <w14:solidFill>
                    <w14:schemeClr w14:val="tx1"/>
                  </w14:solidFill>
                </w14:textFill>
              </w:rPr>
            </w:pPr>
          </w:p>
        </w:tc>
        <w:tc>
          <w:tcPr>
            <w:tcW w:w="2373" w:type="dxa"/>
            <w:tcBorders>
              <w:left w:val="single" w:color="auto" w:sz="4" w:space="0"/>
            </w:tcBorders>
            <w:vAlign w:val="center"/>
          </w:tcPr>
          <w:p w14:paraId="2B7CE616">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磨煤干燥废气</w:t>
            </w:r>
          </w:p>
        </w:tc>
        <w:tc>
          <w:tcPr>
            <w:tcW w:w="3869" w:type="dxa"/>
            <w:vAlign w:val="center"/>
          </w:tcPr>
          <w:p w14:paraId="7193A106">
            <w:pPr>
              <w:pStyle w:val="190"/>
              <w:rPr>
                <w:rFonts w:ascii="Times New Roman" w:hAnsi="Times New Roman" w:cs="Times New Roman"/>
                <w:color w:val="000000" w:themeColor="text1"/>
                <w:kern w:val="2"/>
                <w:szCs w:val="18"/>
                <w:u w:color="000000"/>
                <w14:textFill>
                  <w14:solidFill>
                    <w14:schemeClr w14:val="tx1"/>
                  </w14:solidFill>
                </w14:textFill>
              </w:rPr>
            </w:pPr>
            <w:r>
              <w:rPr>
                <w:rFonts w:ascii="Times New Roman" w:hAnsi="Times New Roman" w:cs="Times New Roman"/>
                <w:color w:val="000000" w:themeColor="text1"/>
                <w:kern w:val="2"/>
                <w:szCs w:val="18"/>
                <w:u w:color="000000"/>
                <w14:textFill>
                  <w14:solidFill>
                    <w14:schemeClr w14:val="tx1"/>
                  </w14:solidFill>
                </w14:textFill>
              </w:rPr>
              <w:t>颗粒物、NOx</w:t>
            </w:r>
          </w:p>
        </w:tc>
      </w:tr>
      <w:tr w14:paraId="655AC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44722DA1">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6B4D63BC">
            <w:pPr>
              <w:pStyle w:val="190"/>
              <w:rPr>
                <w:rFonts w:ascii="Times New Roman" w:hAnsi="Times New Roman" w:cs="Times New Roman"/>
                <w:color w:val="000000" w:themeColor="text1"/>
                <w:kern w:val="2"/>
                <w:szCs w:val="18"/>
                <w14:textFill>
                  <w14:solidFill>
                    <w14:schemeClr w14:val="tx1"/>
                  </w14:solidFill>
                </w14:textFill>
              </w:rPr>
            </w:pPr>
          </w:p>
        </w:tc>
        <w:tc>
          <w:tcPr>
            <w:tcW w:w="1170" w:type="dxa"/>
            <w:vMerge w:val="continue"/>
            <w:tcBorders>
              <w:right w:val="single" w:color="auto" w:sz="4" w:space="0"/>
            </w:tcBorders>
            <w:vAlign w:val="center"/>
          </w:tcPr>
          <w:p w14:paraId="12F812DE">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51F893F5">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粉煤锁斗排气</w:t>
            </w:r>
          </w:p>
        </w:tc>
        <w:tc>
          <w:tcPr>
            <w:tcW w:w="3869" w:type="dxa"/>
            <w:vAlign w:val="center"/>
          </w:tcPr>
          <w:p w14:paraId="4850F884">
            <w:pPr>
              <w:pStyle w:val="557"/>
            </w:pPr>
            <w:r>
              <w:t>颗粒物</w:t>
            </w:r>
          </w:p>
        </w:tc>
      </w:tr>
      <w:tr w14:paraId="6C9D3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703567B">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0619A4A6">
            <w:pPr>
              <w:pStyle w:val="190"/>
              <w:rPr>
                <w:rFonts w:ascii="Times New Roman" w:hAnsi="Times New Roman" w:cs="Times New Roman"/>
                <w:color w:val="000000" w:themeColor="text1"/>
                <w:kern w:val="2"/>
                <w:szCs w:val="18"/>
                <w14:textFill>
                  <w14:solidFill>
                    <w14:schemeClr w14:val="tx1"/>
                  </w14:solidFill>
                </w14:textFill>
              </w:rPr>
            </w:pPr>
          </w:p>
        </w:tc>
        <w:tc>
          <w:tcPr>
            <w:tcW w:w="1170" w:type="dxa"/>
            <w:vMerge w:val="continue"/>
            <w:tcBorders>
              <w:right w:val="single" w:color="auto" w:sz="4" w:space="0"/>
            </w:tcBorders>
            <w:vAlign w:val="center"/>
          </w:tcPr>
          <w:p w14:paraId="20CE205D">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1EBC6222">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真空泵排气</w:t>
            </w:r>
          </w:p>
        </w:tc>
        <w:tc>
          <w:tcPr>
            <w:tcW w:w="3869" w:type="dxa"/>
            <w:vAlign w:val="center"/>
          </w:tcPr>
          <w:p w14:paraId="3C0D7DBB">
            <w:pPr>
              <w:pStyle w:val="557"/>
            </w:pPr>
            <w:r>
              <w:t>H</w:t>
            </w:r>
            <w:r>
              <w:rPr>
                <w:vertAlign w:val="subscript"/>
              </w:rPr>
              <w:t>2</w:t>
            </w:r>
            <w:r>
              <w:t>S</w:t>
            </w:r>
            <w:r>
              <w:rPr>
                <w:rFonts w:hint="eastAsia"/>
              </w:rPr>
              <w:t>、</w:t>
            </w:r>
            <w:r>
              <w:t>NH</w:t>
            </w:r>
            <w:r>
              <w:rPr>
                <w:vertAlign w:val="subscript"/>
              </w:rPr>
              <w:t>3</w:t>
            </w:r>
          </w:p>
        </w:tc>
      </w:tr>
      <w:tr w14:paraId="2C8B4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770F772">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73D1C96C">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170" w:type="dxa"/>
            <w:vMerge w:val="continue"/>
            <w:tcBorders>
              <w:right w:val="single" w:color="auto" w:sz="4" w:space="0"/>
            </w:tcBorders>
            <w:vAlign w:val="center"/>
          </w:tcPr>
          <w:p w14:paraId="52291B7C">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0E104994">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无组织废气</w:t>
            </w:r>
          </w:p>
        </w:tc>
        <w:tc>
          <w:tcPr>
            <w:tcW w:w="3869" w:type="dxa"/>
            <w:vAlign w:val="center"/>
          </w:tcPr>
          <w:p w14:paraId="21E36AF7">
            <w:pPr>
              <w:pStyle w:val="557"/>
            </w:pPr>
            <w:r>
              <w:t>NH</w:t>
            </w:r>
            <w:r>
              <w:rPr>
                <w:vertAlign w:val="subscript"/>
              </w:rPr>
              <w:t>3</w:t>
            </w:r>
            <w:r>
              <w:t>、H</w:t>
            </w:r>
            <w:r>
              <w:rPr>
                <w:vertAlign w:val="subscript"/>
              </w:rPr>
              <w:t>2</w:t>
            </w:r>
            <w:r>
              <w:t>S、NMHC</w:t>
            </w:r>
          </w:p>
        </w:tc>
      </w:tr>
      <w:tr w14:paraId="574C9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7571A8AA">
            <w:pPr>
              <w:pStyle w:val="190"/>
              <w:rPr>
                <w:rFonts w:ascii="Times New Roman" w:hAnsi="Times New Roman" w:cs="Times New Roman"/>
                <w:color w:val="000000" w:themeColor="text1"/>
                <w:kern w:val="2"/>
                <w:szCs w:val="18"/>
                <w14:textFill>
                  <w14:solidFill>
                    <w14:schemeClr w14:val="tx1"/>
                  </w14:solidFill>
                </w14:textFill>
              </w:rPr>
            </w:pPr>
          </w:p>
        </w:tc>
        <w:tc>
          <w:tcPr>
            <w:tcW w:w="529" w:type="dxa"/>
            <w:vMerge w:val="continue"/>
            <w:tcBorders>
              <w:right w:val="single" w:color="auto" w:sz="4" w:space="0"/>
            </w:tcBorders>
            <w:vAlign w:val="center"/>
          </w:tcPr>
          <w:p w14:paraId="24606796">
            <w:pPr>
              <w:pStyle w:val="190"/>
              <w:rPr>
                <w:rFonts w:ascii="Times New Roman" w:hAnsi="Times New Roman" w:cs="Times New Roman"/>
                <w:color w:val="000000" w:themeColor="text1"/>
                <w:kern w:val="2"/>
                <w:szCs w:val="18"/>
                <w14:textFill>
                  <w14:solidFill>
                    <w14:schemeClr w14:val="tx1"/>
                  </w14:solidFill>
                </w14:textFill>
              </w:rPr>
            </w:pPr>
          </w:p>
        </w:tc>
        <w:tc>
          <w:tcPr>
            <w:tcW w:w="1170" w:type="dxa"/>
            <w:vMerge w:val="restart"/>
            <w:tcBorders>
              <w:right w:val="single" w:color="auto" w:sz="4" w:space="0"/>
            </w:tcBorders>
            <w:vAlign w:val="center"/>
          </w:tcPr>
          <w:p w14:paraId="2172B9A4">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净化及分离装置</w:t>
            </w:r>
          </w:p>
        </w:tc>
        <w:tc>
          <w:tcPr>
            <w:tcW w:w="2373" w:type="dxa"/>
            <w:tcBorders>
              <w:left w:val="single" w:color="auto" w:sz="4" w:space="0"/>
            </w:tcBorders>
            <w:vAlign w:val="center"/>
          </w:tcPr>
          <w:p w14:paraId="49487B61">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低温甲醇洗尾气</w:t>
            </w:r>
          </w:p>
        </w:tc>
        <w:tc>
          <w:tcPr>
            <w:tcW w:w="3869" w:type="dxa"/>
            <w:vAlign w:val="center"/>
          </w:tcPr>
          <w:p w14:paraId="7CB217EB">
            <w:pPr>
              <w:pStyle w:val="557"/>
            </w:pPr>
            <w:r>
              <w:t>CH</w:t>
            </w:r>
            <w:r>
              <w:rPr>
                <w:vertAlign w:val="subscript"/>
              </w:rPr>
              <w:t>3</w:t>
            </w:r>
            <w:r>
              <w:t>OH、H</w:t>
            </w:r>
            <w:r>
              <w:rPr>
                <w:vertAlign w:val="subscript"/>
              </w:rPr>
              <w:t>2</w:t>
            </w:r>
            <w:r>
              <w:t>S</w:t>
            </w:r>
          </w:p>
        </w:tc>
      </w:tr>
      <w:tr w14:paraId="24E68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2F5DC60D">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3B83A5CF">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170" w:type="dxa"/>
            <w:vMerge w:val="continue"/>
            <w:tcBorders>
              <w:right w:val="single" w:color="auto" w:sz="4" w:space="0"/>
            </w:tcBorders>
            <w:vAlign w:val="center"/>
          </w:tcPr>
          <w:p w14:paraId="447CBBCF">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003DC43A">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低温甲醇洗单元无组织排放</w:t>
            </w:r>
          </w:p>
        </w:tc>
        <w:tc>
          <w:tcPr>
            <w:tcW w:w="3869" w:type="dxa"/>
            <w:vAlign w:val="center"/>
          </w:tcPr>
          <w:p w14:paraId="5C9D983F">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14:textFill>
                  <w14:solidFill>
                    <w14:schemeClr w14:val="tx1"/>
                  </w14:solidFill>
                </w14:textFill>
              </w:rPr>
              <w:t>NMHC</w:t>
            </w:r>
          </w:p>
        </w:tc>
      </w:tr>
      <w:tr w14:paraId="67645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3A8B159F">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04C93CB2">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170" w:type="dxa"/>
            <w:vMerge w:val="continue"/>
            <w:tcBorders>
              <w:right w:val="single" w:color="auto" w:sz="4" w:space="0"/>
            </w:tcBorders>
            <w:vAlign w:val="center"/>
          </w:tcPr>
          <w:p w14:paraId="372A3A87">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6A1419EB">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深冷分离单元无组织排放</w:t>
            </w:r>
          </w:p>
        </w:tc>
        <w:tc>
          <w:tcPr>
            <w:tcW w:w="3869" w:type="dxa"/>
            <w:vAlign w:val="center"/>
          </w:tcPr>
          <w:p w14:paraId="20333426">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NMHC</w:t>
            </w:r>
          </w:p>
        </w:tc>
      </w:tr>
      <w:tr w14:paraId="11509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10A65AF0">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58FB705E">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170" w:type="dxa"/>
            <w:vMerge w:val="continue"/>
            <w:tcBorders>
              <w:right w:val="single" w:color="auto" w:sz="4" w:space="0"/>
            </w:tcBorders>
            <w:vAlign w:val="center"/>
          </w:tcPr>
          <w:p w14:paraId="4112B56B">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05C69999">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硫回收制酸尾气</w:t>
            </w:r>
          </w:p>
        </w:tc>
        <w:tc>
          <w:tcPr>
            <w:tcW w:w="3869" w:type="dxa"/>
            <w:vAlign w:val="center"/>
          </w:tcPr>
          <w:p w14:paraId="2EFF4040">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2"/>
                <w:szCs w:val="18"/>
                <w:u w:color="000000"/>
                <w14:textFill>
                  <w14:solidFill>
                    <w14:schemeClr w14:val="tx1"/>
                  </w14:solidFill>
                </w14:textFill>
              </w:rPr>
              <w:t>SO</w:t>
            </w:r>
            <w:r>
              <w:rPr>
                <w:rFonts w:hint="eastAsia" w:ascii="Times New Roman" w:hAnsi="Times New Roman" w:cs="Times New Roman"/>
                <w:color w:val="000000" w:themeColor="text1"/>
                <w:kern w:val="2"/>
                <w:szCs w:val="18"/>
                <w:u w:color="000000"/>
                <w:vertAlign w:val="subscript"/>
                <w14:textFill>
                  <w14:solidFill>
                    <w14:schemeClr w14:val="tx1"/>
                  </w14:solidFill>
                </w14:textFill>
              </w:rPr>
              <w:t>2</w:t>
            </w:r>
            <w:r>
              <w:rPr>
                <w:rFonts w:hint="eastAsia" w:ascii="Times New Roman" w:hAnsi="Times New Roman" w:cs="Times New Roman"/>
                <w:color w:val="000000" w:themeColor="text1"/>
                <w:kern w:val="2"/>
                <w:szCs w:val="18"/>
                <w:u w:color="000000"/>
                <w14:textFill>
                  <w14:solidFill>
                    <w14:schemeClr w14:val="tx1"/>
                  </w14:solidFill>
                </w14:textFill>
              </w:rPr>
              <w:t>、硫酸雾</w:t>
            </w:r>
            <w:r>
              <w:rPr>
                <w:rFonts w:ascii="Times New Roman" w:hAnsi="Times New Roman" w:cs="Times New Roman"/>
                <w:color w:val="000000" w:themeColor="text1"/>
                <w:kern w:val="2"/>
                <w:szCs w:val="18"/>
                <w:u w:color="000000"/>
                <w14:textFill>
                  <w14:solidFill>
                    <w14:schemeClr w14:val="tx1"/>
                  </w14:solidFill>
                </w14:textFill>
              </w:rPr>
              <w:t>、NOx</w:t>
            </w:r>
          </w:p>
        </w:tc>
      </w:tr>
      <w:tr w14:paraId="45621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5CB852C8">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529" w:type="dxa"/>
            <w:vMerge w:val="continue"/>
            <w:tcBorders>
              <w:right w:val="single" w:color="auto" w:sz="4" w:space="0"/>
            </w:tcBorders>
            <w:vAlign w:val="center"/>
          </w:tcPr>
          <w:p w14:paraId="264C9D79">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170" w:type="dxa"/>
            <w:vMerge w:val="continue"/>
            <w:tcBorders>
              <w:right w:val="single" w:color="auto" w:sz="4" w:space="0"/>
            </w:tcBorders>
            <w:vAlign w:val="center"/>
          </w:tcPr>
          <w:p w14:paraId="6441E420">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4ED9902B">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硫回收单元无组织排放</w:t>
            </w:r>
          </w:p>
        </w:tc>
        <w:tc>
          <w:tcPr>
            <w:tcW w:w="3869" w:type="dxa"/>
            <w:vAlign w:val="center"/>
          </w:tcPr>
          <w:p w14:paraId="0B7C94B8">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NMHC</w:t>
            </w:r>
          </w:p>
        </w:tc>
      </w:tr>
      <w:tr w14:paraId="7C9F8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5FB9805C">
            <w:pPr>
              <w:pStyle w:val="190"/>
              <w:rPr>
                <w:rFonts w:ascii="Times New Roman" w:hAnsi="Times New Roman" w:cs="Times New Roman"/>
                <w:color w:val="000000" w:themeColor="text1"/>
                <w:kern w:val="2"/>
                <w:szCs w:val="18"/>
                <w:highlight w:val="yellow"/>
                <w:lang w:val="zh-CN"/>
                <w14:textFill>
                  <w14:solidFill>
                    <w14:schemeClr w14:val="tx1"/>
                  </w14:solidFill>
                </w14:textFill>
              </w:rPr>
            </w:pPr>
          </w:p>
        </w:tc>
        <w:tc>
          <w:tcPr>
            <w:tcW w:w="529" w:type="dxa"/>
            <w:vMerge w:val="continue"/>
            <w:tcBorders>
              <w:right w:val="single" w:color="auto" w:sz="4" w:space="0"/>
            </w:tcBorders>
            <w:vAlign w:val="center"/>
          </w:tcPr>
          <w:p w14:paraId="6A7E42A7">
            <w:pPr>
              <w:pStyle w:val="190"/>
              <w:rPr>
                <w:rFonts w:ascii="Times New Roman" w:hAnsi="Times New Roman" w:cs="Times New Roman"/>
                <w:color w:val="000000" w:themeColor="text1"/>
                <w:kern w:val="2"/>
                <w:szCs w:val="18"/>
                <w:highlight w:val="yellow"/>
                <w:lang w:val="zh-CN"/>
                <w14:textFill>
                  <w14:solidFill>
                    <w14:schemeClr w14:val="tx1"/>
                  </w14:solidFill>
                </w14:textFill>
              </w:rPr>
            </w:pPr>
          </w:p>
        </w:tc>
        <w:tc>
          <w:tcPr>
            <w:tcW w:w="1170" w:type="dxa"/>
            <w:tcBorders>
              <w:bottom w:val="single" w:color="auto" w:sz="4" w:space="0"/>
              <w:right w:val="single" w:color="auto" w:sz="4" w:space="0"/>
            </w:tcBorders>
            <w:vAlign w:val="center"/>
          </w:tcPr>
          <w:p w14:paraId="08CFFCD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合成氨装置</w:t>
            </w:r>
          </w:p>
        </w:tc>
        <w:tc>
          <w:tcPr>
            <w:tcW w:w="2373" w:type="dxa"/>
            <w:tcBorders>
              <w:left w:val="single" w:color="auto" w:sz="4" w:space="0"/>
              <w:bottom w:val="single" w:color="auto" w:sz="4" w:space="0"/>
            </w:tcBorders>
            <w:vAlign w:val="center"/>
          </w:tcPr>
          <w:p w14:paraId="2E2303AB">
            <w:pPr>
              <w:pStyle w:val="557"/>
            </w:pPr>
            <w:r>
              <w:t>无组织排放</w:t>
            </w:r>
          </w:p>
        </w:tc>
        <w:tc>
          <w:tcPr>
            <w:tcW w:w="3869" w:type="dxa"/>
            <w:vAlign w:val="center"/>
          </w:tcPr>
          <w:p w14:paraId="105088DF">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eastAsia="等线" w:cs="Times New Roman"/>
                <w:color w:val="000000" w:themeColor="text1"/>
                <w:szCs w:val="18"/>
                <w14:textFill>
                  <w14:solidFill>
                    <w14:schemeClr w14:val="tx1"/>
                  </w14:solidFill>
                </w14:textFill>
              </w:rPr>
              <w:t>NH</w:t>
            </w:r>
            <w:r>
              <w:rPr>
                <w:rFonts w:ascii="Times New Roman" w:hAnsi="Times New Roman" w:eastAsia="等线" w:cs="Times New Roman"/>
                <w:color w:val="000000" w:themeColor="text1"/>
                <w:szCs w:val="18"/>
                <w:vertAlign w:val="subscript"/>
                <w14:textFill>
                  <w14:solidFill>
                    <w14:schemeClr w14:val="tx1"/>
                  </w14:solidFill>
                </w14:textFill>
              </w:rPr>
              <w:t>3</w:t>
            </w:r>
          </w:p>
        </w:tc>
      </w:tr>
      <w:tr w14:paraId="4A4BD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0FF14FD5">
            <w:pPr>
              <w:pStyle w:val="190"/>
              <w:rPr>
                <w:rFonts w:ascii="Times New Roman" w:hAnsi="Times New Roman" w:cs="Times New Roman"/>
                <w:color w:val="000000" w:themeColor="text1"/>
                <w:kern w:val="2"/>
                <w:szCs w:val="18"/>
                <w:highlight w:val="yellow"/>
                <w:lang w:val="zh-CN"/>
                <w14:textFill>
                  <w14:solidFill>
                    <w14:schemeClr w14:val="tx1"/>
                  </w14:solidFill>
                </w14:textFill>
              </w:rPr>
            </w:pPr>
          </w:p>
        </w:tc>
        <w:tc>
          <w:tcPr>
            <w:tcW w:w="529" w:type="dxa"/>
            <w:vMerge w:val="continue"/>
            <w:tcBorders>
              <w:right w:val="single" w:color="auto" w:sz="4" w:space="0"/>
            </w:tcBorders>
            <w:vAlign w:val="center"/>
          </w:tcPr>
          <w:p w14:paraId="37906A95">
            <w:pPr>
              <w:pStyle w:val="190"/>
              <w:rPr>
                <w:rFonts w:ascii="Times New Roman" w:hAnsi="Times New Roman" w:cs="Times New Roman"/>
                <w:color w:val="000000" w:themeColor="text1"/>
                <w:kern w:val="2"/>
                <w:szCs w:val="18"/>
                <w:highlight w:val="yellow"/>
                <w:lang w:val="zh-CN"/>
                <w14:textFill>
                  <w14:solidFill>
                    <w14:schemeClr w14:val="tx1"/>
                  </w14:solidFill>
                </w14:textFill>
              </w:rPr>
            </w:pPr>
          </w:p>
        </w:tc>
        <w:tc>
          <w:tcPr>
            <w:tcW w:w="1170" w:type="dxa"/>
            <w:tcBorders>
              <w:top w:val="single" w:color="auto" w:sz="4" w:space="0"/>
              <w:right w:val="single" w:color="auto" w:sz="4" w:space="0"/>
            </w:tcBorders>
            <w:vAlign w:val="center"/>
          </w:tcPr>
          <w:p w14:paraId="3A55A58E">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DMO（草酸二甲酯）</w:t>
            </w:r>
            <w:r>
              <w:rPr>
                <w:rFonts w:ascii="Times New Roman" w:hAnsi="Times New Roman" w:cs="Times New Roman"/>
                <w:color w:val="000000" w:themeColor="text1"/>
                <w14:textFill>
                  <w14:solidFill>
                    <w14:schemeClr w14:val="tx1"/>
                  </w14:solidFill>
                </w14:textFill>
              </w:rPr>
              <w:t>装置</w:t>
            </w:r>
          </w:p>
        </w:tc>
        <w:tc>
          <w:tcPr>
            <w:tcW w:w="2373" w:type="dxa"/>
            <w:tcBorders>
              <w:top w:val="single" w:color="auto" w:sz="4" w:space="0"/>
              <w:left w:val="single" w:color="auto" w:sz="4" w:space="0"/>
              <w:bottom w:val="single" w:color="auto" w:sz="4" w:space="0"/>
            </w:tcBorders>
            <w:vAlign w:val="center"/>
          </w:tcPr>
          <w:p w14:paraId="02BD00BF">
            <w:pPr>
              <w:pStyle w:val="557"/>
            </w:pPr>
            <w:r>
              <w:t>无组织排放</w:t>
            </w:r>
          </w:p>
        </w:tc>
        <w:tc>
          <w:tcPr>
            <w:tcW w:w="3869" w:type="dxa"/>
            <w:vAlign w:val="center"/>
          </w:tcPr>
          <w:p w14:paraId="27D24FCB">
            <w:pPr>
              <w:pStyle w:val="190"/>
              <w:rPr>
                <w:rFonts w:ascii="Times New Roman" w:hAnsi="Times New Roman" w:cs="Times New Roman"/>
                <w:color w:val="FF0000"/>
              </w:rPr>
            </w:pPr>
            <w:r>
              <w:rPr>
                <w:rFonts w:ascii="Times New Roman" w:hAnsi="Times New Roman" w:cs="Times New Roman"/>
                <w:color w:val="000000" w:themeColor="text1"/>
                <w14:textFill>
                  <w14:solidFill>
                    <w14:schemeClr w14:val="tx1"/>
                  </w14:solidFill>
                </w14:textFill>
              </w:rPr>
              <w:t>NMHC</w:t>
            </w:r>
          </w:p>
        </w:tc>
      </w:tr>
      <w:tr w14:paraId="2662B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5BC0E6E1">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126621E7">
            <w:pPr>
              <w:pStyle w:val="190"/>
              <w:rPr>
                <w:rFonts w:ascii="Times New Roman" w:hAnsi="Times New Roman" w:cs="Times New Roman"/>
                <w:color w:val="FF0000"/>
                <w:kern w:val="2"/>
                <w:szCs w:val="18"/>
                <w:highlight w:val="yellow"/>
                <w:lang w:val="zh-CN"/>
              </w:rPr>
            </w:pPr>
          </w:p>
        </w:tc>
        <w:tc>
          <w:tcPr>
            <w:tcW w:w="1170" w:type="dxa"/>
            <w:vMerge w:val="restart"/>
            <w:tcBorders>
              <w:top w:val="single" w:color="auto" w:sz="4" w:space="0"/>
              <w:right w:val="single" w:color="auto" w:sz="4" w:space="0"/>
            </w:tcBorders>
            <w:vAlign w:val="center"/>
          </w:tcPr>
          <w:p w14:paraId="732F5E6D">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草酰胺</w:t>
            </w:r>
            <w:r>
              <w:rPr>
                <w:rFonts w:ascii="Times New Roman" w:hAnsi="Times New Roman" w:cs="Times New Roman"/>
                <w:color w:val="000000" w:themeColor="text1"/>
                <w:szCs w:val="18"/>
                <w14:textFill>
                  <w14:solidFill>
                    <w14:schemeClr w14:val="tx1"/>
                  </w14:solidFill>
                </w14:textFill>
              </w:rPr>
              <w:t>装置</w:t>
            </w:r>
          </w:p>
        </w:tc>
        <w:tc>
          <w:tcPr>
            <w:tcW w:w="2373" w:type="dxa"/>
            <w:tcBorders>
              <w:top w:val="single" w:color="auto" w:sz="4" w:space="0"/>
              <w:left w:val="single" w:color="auto" w:sz="4" w:space="0"/>
              <w:bottom w:val="single" w:color="auto" w:sz="4" w:space="0"/>
            </w:tcBorders>
            <w:vAlign w:val="center"/>
          </w:tcPr>
          <w:p w14:paraId="7B466EAF">
            <w:pPr>
              <w:pStyle w:val="557"/>
            </w:pPr>
            <w:r>
              <w:rPr>
                <w:rFonts w:hint="eastAsia"/>
              </w:rPr>
              <w:t>草酰胺装置尾气吸收塔顶排气</w:t>
            </w:r>
          </w:p>
        </w:tc>
        <w:tc>
          <w:tcPr>
            <w:tcW w:w="3869" w:type="dxa"/>
            <w:vAlign w:val="center"/>
          </w:tcPr>
          <w:p w14:paraId="58112FC6">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CH</w:t>
            </w:r>
            <w:r>
              <w:rPr>
                <w:rFonts w:hint="eastAsia"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OH、</w:t>
            </w:r>
            <w:r>
              <w:rPr>
                <w:rFonts w:ascii="Times New Roman" w:hAnsi="Times New Roman" w:eastAsia="等线" w:cs="Times New Roman"/>
                <w:color w:val="000000" w:themeColor="text1"/>
                <w:szCs w:val="18"/>
                <w14:textFill>
                  <w14:solidFill>
                    <w14:schemeClr w14:val="tx1"/>
                  </w14:solidFill>
                </w14:textFill>
              </w:rPr>
              <w:t>NH</w:t>
            </w:r>
            <w:r>
              <w:rPr>
                <w:rFonts w:ascii="Times New Roman" w:hAnsi="Times New Roman" w:eastAsia="等线" w:cs="Times New Roman"/>
                <w:color w:val="000000" w:themeColor="text1"/>
                <w:szCs w:val="18"/>
                <w:vertAlign w:val="subscript"/>
                <w14:textFill>
                  <w14:solidFill>
                    <w14:schemeClr w14:val="tx1"/>
                  </w14:solidFill>
                </w14:textFill>
              </w:rPr>
              <w:t>3</w:t>
            </w:r>
          </w:p>
        </w:tc>
      </w:tr>
      <w:tr w14:paraId="1EAF2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3414DAFE">
            <w:pPr>
              <w:pStyle w:val="190"/>
              <w:rPr>
                <w:rFonts w:ascii="Times New Roman" w:hAnsi="Times New Roman" w:cs="Times New Roman"/>
                <w:color w:val="FF0000"/>
                <w:kern w:val="2"/>
                <w:szCs w:val="18"/>
                <w:highlight w:val="yellow"/>
              </w:rPr>
            </w:pPr>
          </w:p>
        </w:tc>
        <w:tc>
          <w:tcPr>
            <w:tcW w:w="529" w:type="dxa"/>
            <w:vMerge w:val="continue"/>
            <w:tcBorders>
              <w:right w:val="single" w:color="auto" w:sz="4" w:space="0"/>
            </w:tcBorders>
            <w:vAlign w:val="center"/>
          </w:tcPr>
          <w:p w14:paraId="1F220C61">
            <w:pPr>
              <w:pStyle w:val="190"/>
              <w:rPr>
                <w:rFonts w:ascii="Times New Roman" w:hAnsi="Times New Roman" w:cs="Times New Roman"/>
                <w:color w:val="FF0000"/>
                <w:kern w:val="2"/>
                <w:szCs w:val="18"/>
                <w:highlight w:val="yellow"/>
              </w:rPr>
            </w:pPr>
          </w:p>
        </w:tc>
        <w:tc>
          <w:tcPr>
            <w:tcW w:w="1170" w:type="dxa"/>
            <w:vMerge w:val="continue"/>
            <w:tcBorders>
              <w:right w:val="single" w:color="auto" w:sz="4" w:space="0"/>
            </w:tcBorders>
            <w:vAlign w:val="center"/>
          </w:tcPr>
          <w:p w14:paraId="7841B15D">
            <w:pPr>
              <w:pStyle w:val="190"/>
              <w:rPr>
                <w:rFonts w:ascii="Times New Roman" w:hAnsi="Times New Roman" w:cs="Times New Roman"/>
                <w:color w:val="FF0000"/>
                <w:kern w:val="2"/>
                <w:szCs w:val="18"/>
                <w:highlight w:val="yellow"/>
              </w:rPr>
            </w:pPr>
          </w:p>
        </w:tc>
        <w:tc>
          <w:tcPr>
            <w:tcW w:w="2373" w:type="dxa"/>
            <w:tcBorders>
              <w:top w:val="single" w:color="auto" w:sz="4" w:space="0"/>
              <w:left w:val="single" w:color="auto" w:sz="4" w:space="0"/>
            </w:tcBorders>
            <w:vAlign w:val="center"/>
          </w:tcPr>
          <w:p w14:paraId="0B3E2B9C">
            <w:pPr>
              <w:pStyle w:val="190"/>
              <w:rPr>
                <w:rFonts w:ascii="Times New Roman" w:hAnsi="Times New Roman" w:cs="Times New Roman"/>
                <w:color w:val="FF0000"/>
                <w:kern w:val="2"/>
                <w:szCs w:val="18"/>
              </w:rPr>
            </w:pPr>
            <w:r>
              <w:rPr>
                <w:color w:val="000000" w:themeColor="text1"/>
                <w14:textFill>
                  <w14:solidFill>
                    <w14:schemeClr w14:val="tx1"/>
                  </w14:solidFill>
                </w14:textFill>
              </w:rPr>
              <w:t>无组织排放</w:t>
            </w:r>
          </w:p>
        </w:tc>
        <w:tc>
          <w:tcPr>
            <w:tcW w:w="3869" w:type="dxa"/>
            <w:vAlign w:val="center"/>
          </w:tcPr>
          <w:p w14:paraId="6B1BA5A9">
            <w:pPr>
              <w:pStyle w:val="190"/>
              <w:rPr>
                <w:rFonts w:ascii="Times New Roman" w:hAnsi="Times New Roman" w:cs="Times New Roman"/>
                <w:color w:val="FF0000"/>
                <w:kern w:val="2"/>
                <w:szCs w:val="18"/>
              </w:rPr>
            </w:pPr>
            <w:r>
              <w:rPr>
                <w:rFonts w:ascii="Times New Roman" w:hAnsi="Times New Roman" w:cs="Times New Roman"/>
                <w:color w:val="000000" w:themeColor="text1"/>
                <w14:textFill>
                  <w14:solidFill>
                    <w14:schemeClr w14:val="tx1"/>
                  </w14:solidFill>
                </w14:textFill>
              </w:rPr>
              <w:t>NMHC</w:t>
            </w:r>
          </w:p>
        </w:tc>
      </w:tr>
      <w:tr w14:paraId="22458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3FAECF8A">
            <w:pPr>
              <w:pStyle w:val="190"/>
              <w:rPr>
                <w:rFonts w:ascii="Times New Roman" w:hAnsi="Times New Roman" w:cs="Times New Roman"/>
                <w:color w:val="FF0000"/>
                <w:kern w:val="2"/>
                <w:szCs w:val="18"/>
                <w:highlight w:val="yellow"/>
              </w:rPr>
            </w:pPr>
          </w:p>
        </w:tc>
        <w:tc>
          <w:tcPr>
            <w:tcW w:w="529" w:type="dxa"/>
            <w:vMerge w:val="continue"/>
            <w:tcBorders>
              <w:right w:val="single" w:color="auto" w:sz="4" w:space="0"/>
            </w:tcBorders>
            <w:vAlign w:val="center"/>
          </w:tcPr>
          <w:p w14:paraId="305CC696">
            <w:pPr>
              <w:pStyle w:val="190"/>
              <w:rPr>
                <w:rFonts w:ascii="Times New Roman" w:hAnsi="Times New Roman" w:cs="Times New Roman"/>
                <w:color w:val="FF0000"/>
                <w:kern w:val="2"/>
                <w:szCs w:val="18"/>
                <w:highlight w:val="yellow"/>
              </w:rPr>
            </w:pPr>
          </w:p>
        </w:tc>
        <w:tc>
          <w:tcPr>
            <w:tcW w:w="1170" w:type="dxa"/>
            <w:vMerge w:val="restart"/>
            <w:tcBorders>
              <w:top w:val="single" w:color="auto" w:sz="4" w:space="0"/>
              <w:right w:val="single" w:color="auto" w:sz="4" w:space="0"/>
            </w:tcBorders>
            <w:vAlign w:val="center"/>
          </w:tcPr>
          <w:p w14:paraId="723B4015">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有机缓释肥</w:t>
            </w:r>
            <w:r>
              <w:rPr>
                <w:rFonts w:ascii="Times New Roman" w:hAnsi="Times New Roman" w:cs="Times New Roman"/>
                <w:color w:val="000000" w:themeColor="text1"/>
                <w:kern w:val="2"/>
                <w:szCs w:val="18"/>
                <w14:textFill>
                  <w14:solidFill>
                    <w14:schemeClr w14:val="tx1"/>
                  </w14:solidFill>
                </w14:textFill>
              </w:rPr>
              <w:t>装置</w:t>
            </w:r>
          </w:p>
        </w:tc>
        <w:tc>
          <w:tcPr>
            <w:tcW w:w="2373" w:type="dxa"/>
            <w:tcBorders>
              <w:top w:val="single" w:color="auto" w:sz="4" w:space="0"/>
              <w:left w:val="single" w:color="auto" w:sz="4" w:space="0"/>
            </w:tcBorders>
            <w:vAlign w:val="center"/>
          </w:tcPr>
          <w:p w14:paraId="66164C6E">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1#投料废气</w:t>
            </w:r>
          </w:p>
        </w:tc>
        <w:tc>
          <w:tcPr>
            <w:tcW w:w="3869" w:type="dxa"/>
            <w:vAlign w:val="center"/>
          </w:tcPr>
          <w:p w14:paraId="007EF9E5">
            <w:pPr>
              <w:pStyle w:val="190"/>
              <w:rPr>
                <w:rFonts w:ascii="Times New Roman" w:hAnsi="Times New Roman" w:cs="Times New Roman"/>
                <w:color w:val="000000" w:themeColor="text1"/>
                <w:kern w:val="2"/>
                <w:szCs w:val="18"/>
                <w14:textFill>
                  <w14:solidFill>
                    <w14:schemeClr w14:val="tx1"/>
                  </w14:solidFill>
                </w14:textFill>
              </w:rPr>
            </w:pPr>
            <w:r>
              <w:rPr>
                <w:color w:val="000000" w:themeColor="text1"/>
                <w14:textFill>
                  <w14:solidFill>
                    <w14:schemeClr w14:val="tx1"/>
                  </w14:solidFill>
                </w14:textFill>
              </w:rPr>
              <w:t>颗粒物</w:t>
            </w:r>
          </w:p>
        </w:tc>
      </w:tr>
      <w:tr w14:paraId="2EE03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0AC6C06">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51B8FE01">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40F54A06">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1D25A3F8">
            <w:pPr>
              <w:pStyle w:val="557"/>
            </w:pPr>
            <w:r>
              <w:rPr>
                <w:rFonts w:hint="eastAsia"/>
              </w:rPr>
              <w:t>2#投料废气</w:t>
            </w:r>
          </w:p>
        </w:tc>
        <w:tc>
          <w:tcPr>
            <w:tcW w:w="3869" w:type="dxa"/>
            <w:vAlign w:val="center"/>
          </w:tcPr>
          <w:p w14:paraId="48102820">
            <w:pPr>
              <w:pStyle w:val="190"/>
              <w:rPr>
                <w:rFonts w:ascii="Times New Roman" w:hAnsi="Times New Roman" w:cs="Times New Roman"/>
                <w:color w:val="000000" w:themeColor="text1"/>
                <w:kern w:val="2"/>
                <w:szCs w:val="18"/>
                <w14:textFill>
                  <w14:solidFill>
                    <w14:schemeClr w14:val="tx1"/>
                  </w14:solidFill>
                </w14:textFill>
              </w:rPr>
            </w:pPr>
            <w:r>
              <w:rPr>
                <w:color w:val="000000" w:themeColor="text1"/>
                <w14:textFill>
                  <w14:solidFill>
                    <w14:schemeClr w14:val="tx1"/>
                  </w14:solidFill>
                </w14:textFill>
              </w:rPr>
              <w:t>颗粒物</w:t>
            </w:r>
          </w:p>
        </w:tc>
      </w:tr>
      <w:tr w14:paraId="6B963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A5C72F8">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77B3775F">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3AF76B34">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40D86EC0">
            <w:pPr>
              <w:pStyle w:val="557"/>
            </w:pPr>
            <w:r>
              <w:rPr>
                <w:rFonts w:hint="eastAsia"/>
              </w:rPr>
              <w:t>1#-造粒废气、1#包装废气、1#烘干废气</w:t>
            </w:r>
          </w:p>
        </w:tc>
        <w:tc>
          <w:tcPr>
            <w:tcW w:w="3869" w:type="dxa"/>
            <w:vAlign w:val="center"/>
          </w:tcPr>
          <w:p w14:paraId="4A1D92D1">
            <w:pPr>
              <w:pStyle w:val="190"/>
              <w:rPr>
                <w:rFonts w:ascii="Times New Roman" w:hAnsi="Times New Roman" w:cs="Times New Roman"/>
                <w:color w:val="000000" w:themeColor="text1"/>
                <w:kern w:val="2"/>
                <w:szCs w:val="18"/>
                <w14:textFill>
                  <w14:solidFill>
                    <w14:schemeClr w14:val="tx1"/>
                  </w14:solidFill>
                </w14:textFill>
              </w:rPr>
            </w:pP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w:t>
            </w:r>
            <w:r>
              <w:rPr>
                <w:rFonts w:ascii="Times New Roman" w:hAnsi="Times New Roman" w:eastAsia="等线" w:cs="Times New Roman"/>
                <w:color w:val="000000" w:themeColor="text1"/>
                <w:szCs w:val="18"/>
                <w14:textFill>
                  <w14:solidFill>
                    <w14:schemeClr w14:val="tx1"/>
                  </w14:solidFill>
                </w14:textFill>
              </w:rPr>
              <w:t>NH</w:t>
            </w:r>
            <w:r>
              <w:rPr>
                <w:rFonts w:ascii="Times New Roman" w:hAnsi="Times New Roman" w:eastAsia="等线" w:cs="Times New Roman"/>
                <w:color w:val="000000" w:themeColor="text1"/>
                <w:szCs w:val="18"/>
                <w:vertAlign w:val="subscript"/>
                <w14:textFill>
                  <w14:solidFill>
                    <w14:schemeClr w14:val="tx1"/>
                  </w14:solidFill>
                </w14:textFill>
              </w:rPr>
              <w:t>3</w:t>
            </w:r>
          </w:p>
        </w:tc>
      </w:tr>
      <w:tr w14:paraId="340F5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7CFB2D79">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4B0C880C">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3ACC0F66">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41778A21">
            <w:pPr>
              <w:pStyle w:val="557"/>
            </w:pPr>
            <w:r>
              <w:rPr>
                <w:rFonts w:hint="eastAsia"/>
              </w:rPr>
              <w:t>2#-造粒废气、2#包装废气、2#烘干废气</w:t>
            </w:r>
          </w:p>
        </w:tc>
        <w:tc>
          <w:tcPr>
            <w:tcW w:w="3869" w:type="dxa"/>
            <w:vAlign w:val="center"/>
          </w:tcPr>
          <w:p w14:paraId="21FAF82B">
            <w:pPr>
              <w:pStyle w:val="190"/>
              <w:rPr>
                <w:rFonts w:ascii="Times New Roman" w:hAnsi="Times New Roman" w:cs="Times New Roman"/>
                <w:color w:val="000000" w:themeColor="text1"/>
                <w:kern w:val="2"/>
                <w:szCs w:val="18"/>
                <w14:textFill>
                  <w14:solidFill>
                    <w14:schemeClr w14:val="tx1"/>
                  </w14:solidFill>
                </w14:textFill>
              </w:rPr>
            </w:pP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w:t>
            </w:r>
            <w:r>
              <w:rPr>
                <w:rFonts w:ascii="Times New Roman" w:hAnsi="Times New Roman" w:eastAsia="等线" w:cs="Times New Roman"/>
                <w:color w:val="000000" w:themeColor="text1"/>
                <w:szCs w:val="18"/>
                <w14:textFill>
                  <w14:solidFill>
                    <w14:schemeClr w14:val="tx1"/>
                  </w14:solidFill>
                </w14:textFill>
              </w:rPr>
              <w:t>NH</w:t>
            </w:r>
            <w:r>
              <w:rPr>
                <w:rFonts w:ascii="Times New Roman" w:hAnsi="Times New Roman" w:eastAsia="等线" w:cs="Times New Roman"/>
                <w:color w:val="000000" w:themeColor="text1"/>
                <w:szCs w:val="18"/>
                <w:vertAlign w:val="subscript"/>
                <w14:textFill>
                  <w14:solidFill>
                    <w14:schemeClr w14:val="tx1"/>
                  </w14:solidFill>
                </w14:textFill>
              </w:rPr>
              <w:t>3</w:t>
            </w:r>
          </w:p>
        </w:tc>
      </w:tr>
      <w:tr w14:paraId="675D5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4C8FE13D">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46C0BCB9">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6B14DDB2">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1A89E35D">
            <w:pPr>
              <w:pStyle w:val="557"/>
            </w:pPr>
            <w:r>
              <w:rPr>
                <w:rFonts w:hint="eastAsia"/>
              </w:rPr>
              <w:t>1#冷却废气</w:t>
            </w:r>
          </w:p>
        </w:tc>
        <w:tc>
          <w:tcPr>
            <w:tcW w:w="3869" w:type="dxa"/>
            <w:vAlign w:val="center"/>
          </w:tcPr>
          <w:p w14:paraId="36E41744">
            <w:pPr>
              <w:pStyle w:val="190"/>
              <w:rPr>
                <w:rFonts w:hint="eastAsia"/>
                <w:color w:val="000000" w:themeColor="text1"/>
                <w14:textFill>
                  <w14:solidFill>
                    <w14:schemeClr w14:val="tx1"/>
                  </w14:solidFill>
                </w14:textFill>
              </w:rPr>
            </w:pPr>
            <w:r>
              <w:rPr>
                <w:color w:val="000000" w:themeColor="text1"/>
                <w14:textFill>
                  <w14:solidFill>
                    <w14:schemeClr w14:val="tx1"/>
                  </w14:solidFill>
                </w14:textFill>
              </w:rPr>
              <w:t>颗粒物</w:t>
            </w:r>
          </w:p>
        </w:tc>
      </w:tr>
      <w:tr w14:paraId="1F3EF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024D16DB">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62728ECC">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5FDD0DA3">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373" w:type="dxa"/>
            <w:tcBorders>
              <w:left w:val="single" w:color="auto" w:sz="4" w:space="0"/>
            </w:tcBorders>
            <w:vAlign w:val="center"/>
          </w:tcPr>
          <w:p w14:paraId="3E611BC7">
            <w:pPr>
              <w:pStyle w:val="557"/>
            </w:pPr>
            <w:r>
              <w:rPr>
                <w:rFonts w:hint="eastAsia"/>
              </w:rPr>
              <w:t>2#冷却废气</w:t>
            </w:r>
          </w:p>
        </w:tc>
        <w:tc>
          <w:tcPr>
            <w:tcW w:w="3869" w:type="dxa"/>
            <w:vAlign w:val="center"/>
          </w:tcPr>
          <w:p w14:paraId="2E737AE9">
            <w:pPr>
              <w:pStyle w:val="190"/>
              <w:rPr>
                <w:rFonts w:hint="eastAsia"/>
                <w:color w:val="000000" w:themeColor="text1"/>
                <w14:textFill>
                  <w14:solidFill>
                    <w14:schemeClr w14:val="tx1"/>
                  </w14:solidFill>
                </w14:textFill>
              </w:rPr>
            </w:pPr>
            <w:r>
              <w:rPr>
                <w:color w:val="000000" w:themeColor="text1"/>
                <w14:textFill>
                  <w14:solidFill>
                    <w14:schemeClr w14:val="tx1"/>
                  </w14:solidFill>
                </w14:textFill>
              </w:rPr>
              <w:t>颗粒物</w:t>
            </w:r>
          </w:p>
        </w:tc>
      </w:tr>
      <w:tr w14:paraId="71AC3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4DF316E6">
            <w:pPr>
              <w:pStyle w:val="190"/>
              <w:rPr>
                <w:rFonts w:ascii="Times New Roman" w:hAnsi="Times New Roman" w:cs="Times New Roman"/>
                <w:color w:val="FF0000"/>
                <w:kern w:val="2"/>
                <w:szCs w:val="18"/>
                <w:highlight w:val="yellow"/>
                <w:lang w:val="zh-CN"/>
              </w:rPr>
            </w:pPr>
          </w:p>
        </w:tc>
        <w:tc>
          <w:tcPr>
            <w:tcW w:w="529" w:type="dxa"/>
            <w:vMerge w:val="continue"/>
            <w:tcBorders>
              <w:right w:val="single" w:color="auto" w:sz="4" w:space="0"/>
            </w:tcBorders>
            <w:vAlign w:val="center"/>
          </w:tcPr>
          <w:p w14:paraId="01C242A9">
            <w:pPr>
              <w:pStyle w:val="190"/>
              <w:rPr>
                <w:rFonts w:ascii="Times New Roman" w:hAnsi="Times New Roman" w:cs="Times New Roman"/>
                <w:color w:val="FF0000"/>
                <w:kern w:val="2"/>
                <w:szCs w:val="18"/>
                <w:highlight w:val="yellow"/>
                <w:lang w:val="zh-CN"/>
              </w:rPr>
            </w:pPr>
          </w:p>
        </w:tc>
        <w:tc>
          <w:tcPr>
            <w:tcW w:w="1170" w:type="dxa"/>
            <w:vMerge w:val="continue"/>
            <w:tcBorders>
              <w:right w:val="single" w:color="auto" w:sz="4" w:space="0"/>
            </w:tcBorders>
            <w:vAlign w:val="center"/>
          </w:tcPr>
          <w:p w14:paraId="1483FD5A">
            <w:pPr>
              <w:pStyle w:val="190"/>
              <w:rPr>
                <w:rFonts w:ascii="Times New Roman" w:hAnsi="Times New Roman" w:cs="Times New Roman"/>
                <w:color w:val="FF0000"/>
                <w:kern w:val="2"/>
                <w:szCs w:val="18"/>
                <w:lang w:val="zh-CN"/>
              </w:rPr>
            </w:pPr>
          </w:p>
        </w:tc>
        <w:tc>
          <w:tcPr>
            <w:tcW w:w="2373" w:type="dxa"/>
            <w:tcBorders>
              <w:left w:val="single" w:color="auto" w:sz="4" w:space="0"/>
            </w:tcBorders>
            <w:vAlign w:val="center"/>
          </w:tcPr>
          <w:p w14:paraId="269B22C4">
            <w:pPr>
              <w:pStyle w:val="557"/>
            </w:pPr>
            <w:r>
              <w:rPr>
                <w:rFonts w:hint="eastAsia"/>
              </w:rPr>
              <w:t>有机缓释肥装置加热炉废气</w:t>
            </w:r>
          </w:p>
        </w:tc>
        <w:tc>
          <w:tcPr>
            <w:tcW w:w="3869" w:type="dxa"/>
            <w:vAlign w:val="center"/>
          </w:tcPr>
          <w:p w14:paraId="2891851B">
            <w:pPr>
              <w:pStyle w:val="190"/>
              <w:rPr>
                <w:rFonts w:ascii="Times New Roman" w:hAnsi="Times New Roman" w:cs="Times New Roman"/>
                <w:color w:val="FF0000"/>
                <w:kern w:val="2"/>
                <w:szCs w:val="18"/>
              </w:rPr>
            </w:pPr>
            <w:r>
              <w:rPr>
                <w:rFonts w:ascii="Times New Roman" w:hAnsi="Times New Roman" w:cs="Times New Roman"/>
                <w:color w:val="000000" w:themeColor="text1"/>
                <w:kern w:val="2"/>
                <w:szCs w:val="18"/>
                <w:u w:color="000000"/>
                <w14:textFill>
                  <w14:solidFill>
                    <w14:schemeClr w14:val="tx1"/>
                  </w14:solidFill>
                </w14:textFill>
              </w:rPr>
              <w:t>NOx</w:t>
            </w:r>
            <w:r>
              <w:rPr>
                <w:rFonts w:hint="eastAsia" w:ascii="Times New Roman" w:hAnsi="Times New Roman" w:cs="Times New Roman"/>
                <w:color w:val="000000" w:themeColor="text1"/>
                <w:kern w:val="2"/>
                <w:szCs w:val="18"/>
                <w:u w:color="000000"/>
                <w14:textFill>
                  <w14:solidFill>
                    <w14:schemeClr w14:val="tx1"/>
                  </w14:solidFill>
                </w14:textFill>
              </w:rPr>
              <w:t>、</w:t>
            </w:r>
            <w:r>
              <w:rPr>
                <w:color w:val="000000" w:themeColor="text1"/>
                <w14:textFill>
                  <w14:solidFill>
                    <w14:schemeClr w14:val="tx1"/>
                  </w14:solidFill>
                </w14:textFill>
              </w:rPr>
              <w:t>颗粒物</w:t>
            </w:r>
          </w:p>
        </w:tc>
      </w:tr>
      <w:tr w14:paraId="16B9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76BC2FD8">
            <w:pPr>
              <w:pStyle w:val="190"/>
              <w:rPr>
                <w:rFonts w:ascii="Times New Roman" w:hAnsi="Times New Roman" w:cs="Times New Roman"/>
                <w:color w:val="FF0000"/>
                <w:kern w:val="2"/>
                <w:szCs w:val="18"/>
                <w:highlight w:val="yellow"/>
              </w:rPr>
            </w:pPr>
          </w:p>
        </w:tc>
        <w:tc>
          <w:tcPr>
            <w:tcW w:w="1699" w:type="dxa"/>
            <w:gridSpan w:val="2"/>
            <w:vMerge w:val="restart"/>
            <w:tcBorders>
              <w:right w:val="single" w:color="auto" w:sz="4" w:space="0"/>
            </w:tcBorders>
            <w:vAlign w:val="center"/>
          </w:tcPr>
          <w:p w14:paraId="2C846D2D">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公用工程</w:t>
            </w:r>
          </w:p>
        </w:tc>
        <w:tc>
          <w:tcPr>
            <w:tcW w:w="2373" w:type="dxa"/>
            <w:tcBorders>
              <w:left w:val="single" w:color="auto" w:sz="4" w:space="0"/>
            </w:tcBorders>
            <w:vAlign w:val="center"/>
          </w:tcPr>
          <w:p w14:paraId="6F5D2CFD">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污水处理站废气</w:t>
            </w:r>
          </w:p>
        </w:tc>
        <w:tc>
          <w:tcPr>
            <w:tcW w:w="3869" w:type="dxa"/>
            <w:vAlign w:val="center"/>
          </w:tcPr>
          <w:p w14:paraId="6493D75A">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NMHC、氨、硫化氢</w:t>
            </w:r>
          </w:p>
        </w:tc>
      </w:tr>
      <w:tr w14:paraId="2C21B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350E5EC">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31917E01">
            <w:pPr>
              <w:pStyle w:val="190"/>
              <w:rPr>
                <w:rFonts w:ascii="Times New Roman" w:hAnsi="Times New Roman" w:cs="Times New Roman"/>
                <w:color w:val="FF0000"/>
                <w:kern w:val="2"/>
                <w:szCs w:val="18"/>
              </w:rPr>
            </w:pPr>
          </w:p>
        </w:tc>
        <w:tc>
          <w:tcPr>
            <w:tcW w:w="2373" w:type="dxa"/>
            <w:tcBorders>
              <w:left w:val="single" w:color="auto" w:sz="4" w:space="0"/>
            </w:tcBorders>
            <w:vAlign w:val="center"/>
          </w:tcPr>
          <w:p w14:paraId="359BBC17">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14:textFill>
                  <w14:solidFill>
                    <w14:schemeClr w14:val="tx1"/>
                  </w14:solidFill>
                </w14:textFill>
              </w:rPr>
              <w:t>循环水</w:t>
            </w:r>
            <w:r>
              <w:rPr>
                <w:rFonts w:hint="eastAsia" w:ascii="Times New Roman" w:hAnsi="Times New Roman" w:cs="Times New Roman"/>
                <w:color w:val="000000" w:themeColor="text1"/>
                <w14:textFill>
                  <w14:solidFill>
                    <w14:schemeClr w14:val="tx1"/>
                  </w14:solidFill>
                </w14:textFill>
              </w:rPr>
              <w:t>场</w:t>
            </w:r>
          </w:p>
        </w:tc>
        <w:tc>
          <w:tcPr>
            <w:tcW w:w="3869" w:type="dxa"/>
            <w:vAlign w:val="center"/>
          </w:tcPr>
          <w:p w14:paraId="328B7C06">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2A9D4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24AE6F3F">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52EE7856">
            <w:pPr>
              <w:pStyle w:val="190"/>
              <w:rPr>
                <w:rFonts w:ascii="Times New Roman" w:hAnsi="Times New Roman" w:cs="Times New Roman"/>
                <w:color w:val="FF0000"/>
                <w:kern w:val="2"/>
                <w:szCs w:val="18"/>
              </w:rPr>
            </w:pPr>
          </w:p>
        </w:tc>
        <w:tc>
          <w:tcPr>
            <w:tcW w:w="2373" w:type="dxa"/>
            <w:tcBorders>
              <w:left w:val="single" w:color="auto" w:sz="4" w:space="0"/>
            </w:tcBorders>
            <w:vAlign w:val="center"/>
          </w:tcPr>
          <w:p w14:paraId="218B5AC7">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空分装置循环水站</w:t>
            </w:r>
          </w:p>
        </w:tc>
        <w:tc>
          <w:tcPr>
            <w:tcW w:w="3869" w:type="dxa"/>
            <w:vAlign w:val="center"/>
          </w:tcPr>
          <w:p w14:paraId="7A264E78">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5067D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F551C7E">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2F3307C2">
            <w:pPr>
              <w:pStyle w:val="190"/>
              <w:rPr>
                <w:rFonts w:ascii="Times New Roman" w:hAnsi="Times New Roman" w:cs="Times New Roman"/>
                <w:color w:val="FF0000"/>
                <w:kern w:val="2"/>
                <w:szCs w:val="18"/>
              </w:rPr>
            </w:pPr>
          </w:p>
        </w:tc>
        <w:tc>
          <w:tcPr>
            <w:tcW w:w="2373" w:type="dxa"/>
            <w:tcBorders>
              <w:left w:val="single" w:color="auto" w:sz="4" w:space="0"/>
            </w:tcBorders>
            <w:vAlign w:val="center"/>
          </w:tcPr>
          <w:p w14:paraId="53BD6C3A">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1#燃气锅炉、2#燃气锅炉</w:t>
            </w:r>
          </w:p>
        </w:tc>
        <w:tc>
          <w:tcPr>
            <w:tcW w:w="3869" w:type="dxa"/>
            <w:vAlign w:val="center"/>
          </w:tcPr>
          <w:p w14:paraId="24EDC33D">
            <w:pPr>
              <w:pStyle w:val="190"/>
              <w:rPr>
                <w:rFonts w:ascii="Times New Roman" w:hAnsi="Times New Roman" w:cs="Times New Roman"/>
                <w:color w:val="000000" w:themeColor="text1"/>
                <w:szCs w:val="18"/>
                <w:u w:color="000000"/>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NOx</w:t>
            </w:r>
          </w:p>
        </w:tc>
      </w:tr>
      <w:tr w14:paraId="6CBCF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39BC7A2C">
            <w:pPr>
              <w:pStyle w:val="190"/>
              <w:rPr>
                <w:rFonts w:ascii="Times New Roman" w:hAnsi="Times New Roman" w:cs="Times New Roman"/>
                <w:color w:val="FF0000"/>
                <w:kern w:val="2"/>
                <w:szCs w:val="18"/>
                <w:highlight w:val="yellow"/>
              </w:rPr>
            </w:pPr>
          </w:p>
        </w:tc>
        <w:tc>
          <w:tcPr>
            <w:tcW w:w="1699" w:type="dxa"/>
            <w:gridSpan w:val="2"/>
            <w:vMerge w:val="restart"/>
            <w:tcBorders>
              <w:right w:val="single" w:color="auto" w:sz="4" w:space="0"/>
            </w:tcBorders>
            <w:vAlign w:val="center"/>
          </w:tcPr>
          <w:p w14:paraId="0EA7CC38">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储运工程</w:t>
            </w:r>
          </w:p>
        </w:tc>
        <w:tc>
          <w:tcPr>
            <w:tcW w:w="2373" w:type="dxa"/>
            <w:tcBorders>
              <w:left w:val="single" w:color="auto" w:sz="4" w:space="0"/>
            </w:tcBorders>
            <w:vAlign w:val="center"/>
          </w:tcPr>
          <w:p w14:paraId="565238D7">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筛分破碎废气</w:t>
            </w:r>
          </w:p>
        </w:tc>
        <w:tc>
          <w:tcPr>
            <w:tcW w:w="3869" w:type="dxa"/>
            <w:vAlign w:val="center"/>
          </w:tcPr>
          <w:p w14:paraId="2B5B684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颗粒物</w:t>
            </w:r>
          </w:p>
        </w:tc>
      </w:tr>
      <w:tr w14:paraId="00188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29534C4A">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7BA278F0">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23068906">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1#转运站</w:t>
            </w:r>
          </w:p>
        </w:tc>
        <w:tc>
          <w:tcPr>
            <w:tcW w:w="3869" w:type="dxa"/>
            <w:vAlign w:val="center"/>
          </w:tcPr>
          <w:p w14:paraId="4CC36C2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颗粒物</w:t>
            </w:r>
          </w:p>
        </w:tc>
      </w:tr>
      <w:tr w14:paraId="65BE2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48F65B19">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2E11B962">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7901A9E8">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2#转运站</w:t>
            </w:r>
          </w:p>
        </w:tc>
        <w:tc>
          <w:tcPr>
            <w:tcW w:w="3869" w:type="dxa"/>
            <w:vAlign w:val="center"/>
          </w:tcPr>
          <w:p w14:paraId="4FE02A2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颗粒物</w:t>
            </w:r>
          </w:p>
        </w:tc>
      </w:tr>
      <w:tr w14:paraId="4B92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4B736440">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24D9BCD9">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502EA341">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综合罐组无组织废气</w:t>
            </w:r>
          </w:p>
        </w:tc>
        <w:tc>
          <w:tcPr>
            <w:tcW w:w="3869" w:type="dxa"/>
            <w:vAlign w:val="center"/>
          </w:tcPr>
          <w:p w14:paraId="2839C6F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2F5F6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51ADECE3">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18658F98">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0B426681">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亚硝酸甲酯罐组</w:t>
            </w:r>
          </w:p>
        </w:tc>
        <w:tc>
          <w:tcPr>
            <w:tcW w:w="3869" w:type="dxa"/>
            <w:vAlign w:val="center"/>
          </w:tcPr>
          <w:p w14:paraId="0D6323C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69A2A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79445C9C">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4EA1B798">
            <w:pPr>
              <w:pStyle w:val="190"/>
              <w:rPr>
                <w:rFonts w:ascii="Times New Roman" w:hAnsi="Times New Roman" w:cs="Times New Roman"/>
                <w:color w:val="000000" w:themeColor="text1"/>
                <w:kern w:val="2"/>
                <w:szCs w:val="18"/>
                <w14:textFill>
                  <w14:solidFill>
                    <w14:schemeClr w14:val="tx1"/>
                  </w14:solidFill>
                </w14:textFill>
              </w:rPr>
            </w:pPr>
          </w:p>
        </w:tc>
        <w:tc>
          <w:tcPr>
            <w:tcW w:w="2373" w:type="dxa"/>
            <w:tcBorders>
              <w:left w:val="single" w:color="auto" w:sz="4" w:space="0"/>
            </w:tcBorders>
            <w:vAlign w:val="center"/>
          </w:tcPr>
          <w:p w14:paraId="2D0D23DA">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中间产品罐组</w:t>
            </w:r>
          </w:p>
        </w:tc>
        <w:tc>
          <w:tcPr>
            <w:tcW w:w="3869" w:type="dxa"/>
            <w:vAlign w:val="center"/>
          </w:tcPr>
          <w:p w14:paraId="6C252FA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0B2B3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20B8150F">
            <w:pPr>
              <w:pStyle w:val="190"/>
              <w:rPr>
                <w:rFonts w:ascii="Times New Roman" w:hAnsi="Times New Roman" w:cs="Times New Roman"/>
                <w:color w:val="FF0000"/>
                <w:kern w:val="2"/>
                <w:szCs w:val="18"/>
                <w:highlight w:val="yellow"/>
              </w:rPr>
            </w:pPr>
          </w:p>
        </w:tc>
        <w:tc>
          <w:tcPr>
            <w:tcW w:w="1699" w:type="dxa"/>
            <w:gridSpan w:val="2"/>
            <w:vMerge w:val="continue"/>
            <w:tcBorders>
              <w:right w:val="single" w:color="auto" w:sz="4" w:space="0"/>
            </w:tcBorders>
            <w:vAlign w:val="center"/>
          </w:tcPr>
          <w:p w14:paraId="510C9E30">
            <w:pPr>
              <w:pStyle w:val="190"/>
              <w:rPr>
                <w:rFonts w:ascii="Times New Roman" w:hAnsi="Times New Roman" w:cs="Times New Roman"/>
                <w:color w:val="000000" w:themeColor="text1"/>
                <w:kern w:val="2"/>
                <w:szCs w:val="18"/>
                <w:highlight w:val="yellow"/>
                <w14:textFill>
                  <w14:solidFill>
                    <w14:schemeClr w14:val="tx1"/>
                  </w14:solidFill>
                </w14:textFill>
              </w:rPr>
            </w:pPr>
          </w:p>
        </w:tc>
        <w:tc>
          <w:tcPr>
            <w:tcW w:w="2373" w:type="dxa"/>
            <w:tcBorders>
              <w:left w:val="single" w:color="auto" w:sz="4" w:space="0"/>
            </w:tcBorders>
            <w:vAlign w:val="center"/>
          </w:tcPr>
          <w:p w14:paraId="6C1D8B0D">
            <w:pPr>
              <w:pStyle w:val="190"/>
              <w:rPr>
                <w:rFonts w:ascii="Times New Roman" w:hAnsi="Times New Roman" w:cs="Times New Roman"/>
                <w:color w:val="000000" w:themeColor="text1"/>
                <w:kern w:val="2"/>
                <w:szCs w:val="18"/>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汽车装卸站无组织废气</w:t>
            </w:r>
          </w:p>
        </w:tc>
        <w:tc>
          <w:tcPr>
            <w:tcW w:w="3869" w:type="dxa"/>
            <w:vAlign w:val="center"/>
          </w:tcPr>
          <w:p w14:paraId="446C55F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NMHC</w:t>
            </w:r>
          </w:p>
        </w:tc>
      </w:tr>
      <w:tr w14:paraId="05C3A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restart"/>
            <w:vAlign w:val="center"/>
          </w:tcPr>
          <w:p w14:paraId="13566F7C">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水环境</w:t>
            </w:r>
          </w:p>
        </w:tc>
        <w:tc>
          <w:tcPr>
            <w:tcW w:w="4072" w:type="dxa"/>
            <w:gridSpan w:val="3"/>
            <w:vAlign w:val="center"/>
          </w:tcPr>
          <w:p w14:paraId="75FF9560">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生产废水</w:t>
            </w:r>
          </w:p>
        </w:tc>
        <w:tc>
          <w:tcPr>
            <w:tcW w:w="3869" w:type="dxa"/>
            <w:vAlign w:val="center"/>
          </w:tcPr>
          <w:p w14:paraId="69127FF4">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14:textFill>
                  <w14:solidFill>
                    <w14:schemeClr w14:val="tx1"/>
                  </w14:solidFill>
                </w14:textFill>
              </w:rPr>
              <w:t>SS、BOD、COD、氯化物、硫化物、NH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-N、HCN、石油类</w:t>
            </w:r>
            <w:r>
              <w:rPr>
                <w:rFonts w:hint="eastAsia" w:ascii="Times New Roman" w:hAnsi="Times New Roman" w:cs="Times New Roman"/>
                <w:color w:val="000000" w:themeColor="text1"/>
                <w14:textFill>
                  <w14:solidFill>
                    <w14:schemeClr w14:val="tx1"/>
                  </w14:solidFill>
                </w14:textFill>
              </w:rPr>
              <w:t>、溶解性总固体</w:t>
            </w:r>
          </w:p>
        </w:tc>
      </w:tr>
      <w:tr w14:paraId="081E8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3EAC4497">
            <w:pPr>
              <w:pStyle w:val="190"/>
              <w:rPr>
                <w:rFonts w:ascii="Times New Roman" w:hAnsi="Times New Roman" w:cs="Times New Roman"/>
                <w:color w:val="FF0000"/>
                <w:kern w:val="2"/>
                <w:szCs w:val="18"/>
              </w:rPr>
            </w:pPr>
          </w:p>
        </w:tc>
        <w:tc>
          <w:tcPr>
            <w:tcW w:w="4072" w:type="dxa"/>
            <w:gridSpan w:val="3"/>
            <w:vAlign w:val="center"/>
          </w:tcPr>
          <w:p w14:paraId="71D034D6">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生活污水</w:t>
            </w:r>
          </w:p>
        </w:tc>
        <w:tc>
          <w:tcPr>
            <w:tcW w:w="3869" w:type="dxa"/>
            <w:vAlign w:val="center"/>
          </w:tcPr>
          <w:p w14:paraId="5B87E9BB">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COD</w:t>
            </w:r>
            <w:r>
              <w:rPr>
                <w:rFonts w:ascii="Times New Roman" w:hAnsi="Times New Roman" w:cs="Times New Roman"/>
                <w:color w:val="000000" w:themeColor="text1"/>
                <w:kern w:val="2"/>
                <w:szCs w:val="18"/>
                <w:lang w:val="zh-CN"/>
                <w14:textFill>
                  <w14:solidFill>
                    <w14:schemeClr w14:val="tx1"/>
                  </w14:solidFill>
                </w14:textFill>
              </w:rPr>
              <w:t>、</w:t>
            </w:r>
            <w:r>
              <w:rPr>
                <w:rFonts w:ascii="Times New Roman" w:hAnsi="Times New Roman" w:cs="Times New Roman"/>
                <w:color w:val="000000" w:themeColor="text1"/>
                <w:kern w:val="2"/>
                <w:szCs w:val="18"/>
                <w14:textFill>
                  <w14:solidFill>
                    <w14:schemeClr w14:val="tx1"/>
                  </w14:solidFill>
                </w14:textFill>
              </w:rPr>
              <w:t>BOD</w:t>
            </w:r>
            <w:r>
              <w:rPr>
                <w:rFonts w:ascii="Times New Roman" w:hAnsi="Times New Roman" w:cs="Times New Roman"/>
                <w:color w:val="000000" w:themeColor="text1"/>
                <w:kern w:val="2"/>
                <w:szCs w:val="18"/>
                <w:lang w:val="zh-CN"/>
                <w14:textFill>
                  <w14:solidFill>
                    <w14:schemeClr w14:val="tx1"/>
                  </w14:solidFill>
                </w14:textFill>
              </w:rPr>
              <w:t>、</w:t>
            </w:r>
            <w:r>
              <w:rPr>
                <w:rFonts w:ascii="Times New Roman" w:hAnsi="Times New Roman" w:cs="Times New Roman"/>
                <w:color w:val="000000" w:themeColor="text1"/>
                <w:kern w:val="2"/>
                <w:szCs w:val="18"/>
                <w14:textFill>
                  <w14:solidFill>
                    <w14:schemeClr w14:val="tx1"/>
                  </w14:solidFill>
                </w14:textFill>
              </w:rPr>
              <w:t>SS、氨氮</w:t>
            </w:r>
          </w:p>
        </w:tc>
      </w:tr>
      <w:tr w14:paraId="7637C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Align w:val="center"/>
          </w:tcPr>
          <w:p w14:paraId="16E0E5B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声环境</w:t>
            </w:r>
          </w:p>
        </w:tc>
        <w:tc>
          <w:tcPr>
            <w:tcW w:w="4072" w:type="dxa"/>
            <w:gridSpan w:val="3"/>
            <w:vAlign w:val="center"/>
          </w:tcPr>
          <w:p w14:paraId="4CD90846">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引风机、</w:t>
            </w:r>
            <w:r>
              <w:rPr>
                <w:rFonts w:ascii="Times New Roman" w:hAnsi="Times New Roman" w:cs="Times New Roman"/>
                <w:color w:val="000000" w:themeColor="text1"/>
                <w:kern w:val="2"/>
                <w:szCs w:val="18"/>
                <w:lang w:val="zh-CN"/>
                <w14:textFill>
                  <w14:solidFill>
                    <w14:schemeClr w14:val="tx1"/>
                  </w14:solidFill>
                </w14:textFill>
              </w:rPr>
              <w:t>机泵等</w:t>
            </w:r>
          </w:p>
        </w:tc>
        <w:tc>
          <w:tcPr>
            <w:tcW w:w="3869" w:type="dxa"/>
            <w:vAlign w:val="center"/>
          </w:tcPr>
          <w:p w14:paraId="3D1F561F">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设备噪声</w:t>
            </w:r>
          </w:p>
        </w:tc>
      </w:tr>
      <w:tr w14:paraId="0A08B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restart"/>
            <w:vAlign w:val="center"/>
          </w:tcPr>
          <w:p w14:paraId="547253B3">
            <w:pPr>
              <w:pStyle w:val="190"/>
              <w:rPr>
                <w:rFonts w:ascii="Times New Roman" w:hAnsi="Times New Roman" w:cs="Times New Roman"/>
                <w:color w:val="000000" w:themeColor="text1"/>
                <w:kern w:val="2"/>
                <w:szCs w:val="18"/>
                <w14:textFill>
                  <w14:solidFill>
                    <w14:schemeClr w14:val="tx1"/>
                  </w14:solidFill>
                </w14:textFill>
              </w:rPr>
            </w:pPr>
            <w:bookmarkStart w:id="34" w:name="_Hlk203589561"/>
            <w:r>
              <w:rPr>
                <w:rFonts w:ascii="Times New Roman" w:hAnsi="Times New Roman" w:cs="Times New Roman"/>
                <w:color w:val="000000" w:themeColor="text1"/>
                <w:kern w:val="2"/>
                <w:szCs w:val="18"/>
                <w14:textFill>
                  <w14:solidFill>
                    <w14:schemeClr w14:val="tx1"/>
                  </w14:solidFill>
                </w14:textFill>
              </w:rPr>
              <w:t>固体废物</w:t>
            </w:r>
          </w:p>
        </w:tc>
        <w:tc>
          <w:tcPr>
            <w:tcW w:w="1699" w:type="dxa"/>
            <w:gridSpan w:val="2"/>
            <w:vAlign w:val="center"/>
          </w:tcPr>
          <w:p w14:paraId="4101EDF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一般废物</w:t>
            </w:r>
          </w:p>
        </w:tc>
        <w:tc>
          <w:tcPr>
            <w:tcW w:w="6242" w:type="dxa"/>
            <w:gridSpan w:val="2"/>
            <w:vAlign w:val="center"/>
          </w:tcPr>
          <w:p w14:paraId="02121052">
            <w:pPr>
              <w:autoSpaceDE w:val="0"/>
              <w:autoSpaceDN w:val="0"/>
              <w:adjustRightInd w:val="0"/>
              <w:rPr>
                <w:rFonts w:ascii="Times New Roman" w:hAnsi="Times New Roman" w:cs="Times New Roman"/>
                <w:color w:val="000000" w:themeColor="text1"/>
                <w:sz w:val="18"/>
                <w:szCs w:val="18"/>
                <w:lang w:val="zh-CN"/>
                <w14:textFill>
                  <w14:solidFill>
                    <w14:schemeClr w14:val="tx1"/>
                  </w14:solidFill>
                </w14:textFill>
              </w:rPr>
            </w:pPr>
            <w:r>
              <w:rPr>
                <w:rFonts w:ascii="Times New Roman" w:hAnsi="Times New Roman" w:cs="Times New Roman"/>
                <w:color w:val="000000" w:themeColor="text1"/>
                <w:sz w:val="18"/>
                <w:szCs w:val="18"/>
                <w:lang w:val="zh-CN"/>
                <w14:textFill>
                  <w14:solidFill>
                    <w14:schemeClr w14:val="tx1"/>
                  </w14:solidFill>
                </w14:textFill>
              </w:rPr>
              <w:t>气化装置-</w:t>
            </w:r>
            <w:r>
              <w:rPr>
                <w:rFonts w:hint="eastAsia" w:ascii="Times New Roman" w:hAnsi="Times New Roman" w:cs="Times New Roman"/>
                <w:color w:val="000000" w:themeColor="text1"/>
                <w:sz w:val="18"/>
                <w:szCs w:val="18"/>
                <w:lang w:val="zh-CN"/>
                <w14:textFill>
                  <w14:solidFill>
                    <w14:schemeClr w14:val="tx1"/>
                  </w14:solidFill>
                </w14:textFill>
              </w:rPr>
              <w:t>气化细渣</w:t>
            </w:r>
            <w:r>
              <w:rPr>
                <w:rFonts w:ascii="Times New Roman" w:hAnsi="Times New Roman" w:cs="Times New Roman"/>
                <w:color w:val="000000" w:themeColor="text1"/>
                <w:sz w:val="18"/>
                <w:szCs w:val="18"/>
                <w:lang w:val="zh-CN"/>
                <w14:textFill>
                  <w14:solidFill>
                    <w14:schemeClr w14:val="tx1"/>
                  </w14:solidFill>
                </w14:textFill>
              </w:rPr>
              <w:t>、气化装置-</w:t>
            </w:r>
            <w:r>
              <w:rPr>
                <w:rFonts w:hint="eastAsia" w:ascii="Times New Roman" w:hAnsi="Times New Roman" w:cs="Times New Roman"/>
                <w:color w:val="000000" w:themeColor="text1"/>
                <w:sz w:val="18"/>
                <w:szCs w:val="18"/>
                <w:lang w:val="zh-CN"/>
                <w14:textFill>
                  <w14:solidFill>
                    <w14:schemeClr w14:val="tx1"/>
                  </w14:solidFill>
                </w14:textFill>
              </w:rPr>
              <w:t>气化粗渣、</w:t>
            </w:r>
            <w:r>
              <w:rPr>
                <w:rFonts w:ascii="Times New Roman" w:hAnsi="Times New Roman" w:cs="Times New Roman"/>
                <w:color w:val="000000" w:themeColor="text1"/>
                <w:sz w:val="18"/>
                <w:szCs w:val="18"/>
                <w:lang w:val="zh-CN"/>
                <w14:textFill>
                  <w14:solidFill>
                    <w14:schemeClr w14:val="tx1"/>
                  </w14:solidFill>
                </w14:textFill>
              </w:rPr>
              <w:t>气化装置-</w:t>
            </w:r>
            <w:r>
              <w:rPr>
                <w:rFonts w:hint="eastAsia" w:ascii="Times New Roman" w:hAnsi="Times New Roman" w:cs="Times New Roman"/>
                <w:color w:val="000000" w:themeColor="text1"/>
                <w:sz w:val="18"/>
                <w:szCs w:val="18"/>
                <w:lang w:val="zh-CN"/>
                <w14:textFill>
                  <w14:solidFill>
                    <w14:schemeClr w14:val="tx1"/>
                  </w14:solidFill>
                </w14:textFill>
              </w:rPr>
              <w:t>原煤仓收尘灰、</w:t>
            </w:r>
            <w:r>
              <w:rPr>
                <w:rFonts w:ascii="Times New Roman" w:hAnsi="Times New Roman" w:cs="Times New Roman"/>
                <w:color w:val="000000" w:themeColor="text1"/>
                <w:sz w:val="18"/>
                <w:szCs w:val="18"/>
                <w:lang w:val="zh-CN"/>
                <w14:textFill>
                  <w14:solidFill>
                    <w14:schemeClr w14:val="tx1"/>
                  </w14:solidFill>
                </w14:textFill>
              </w:rPr>
              <w:t>气化装置-</w:t>
            </w:r>
            <w:r>
              <w:rPr>
                <w:rFonts w:hint="eastAsia" w:ascii="Times New Roman" w:hAnsi="Times New Roman" w:cs="Times New Roman"/>
                <w:color w:val="000000" w:themeColor="text1"/>
                <w:sz w:val="18"/>
                <w:szCs w:val="18"/>
                <w:lang w:val="zh-CN"/>
                <w14:textFill>
                  <w14:solidFill>
                    <w14:schemeClr w14:val="tx1"/>
                  </w14:solidFill>
                </w14:textFill>
              </w:rPr>
              <w:t>磨煤及干燥收尘灰、</w:t>
            </w:r>
            <w:r>
              <w:rPr>
                <w:rFonts w:ascii="Times New Roman" w:hAnsi="Times New Roman" w:cs="Times New Roman"/>
                <w:color w:val="000000" w:themeColor="text1"/>
                <w:sz w:val="18"/>
                <w:szCs w:val="18"/>
                <w:lang w:val="zh-CN"/>
                <w14:textFill>
                  <w14:solidFill>
                    <w14:schemeClr w14:val="tx1"/>
                  </w14:solidFill>
                </w14:textFill>
              </w:rPr>
              <w:t>气化装置-</w:t>
            </w:r>
            <w:r>
              <w:rPr>
                <w:rFonts w:hint="eastAsia" w:ascii="Times New Roman" w:hAnsi="Times New Roman" w:cs="Times New Roman"/>
                <w:color w:val="000000" w:themeColor="text1"/>
                <w:sz w:val="18"/>
                <w:szCs w:val="18"/>
                <w:lang w:val="zh-CN"/>
                <w14:textFill>
                  <w14:solidFill>
                    <w14:schemeClr w14:val="tx1"/>
                  </w14:solidFill>
                </w14:textFill>
              </w:rPr>
              <w:t>粉煤锁斗收尘灰、深冷分离-废分子筛、</w:t>
            </w:r>
            <w:r>
              <w:rPr>
                <w:rFonts w:hint="eastAsia" w:ascii="Times New Roman" w:hAnsi="Times New Roman" w:cs="Times New Roman"/>
                <w:color w:val="000000" w:themeColor="text1"/>
                <w:sz w:val="18"/>
                <w:szCs w:val="18"/>
                <w14:textFill>
                  <w14:solidFill>
                    <w14:schemeClr w14:val="tx1"/>
                  </w14:solidFill>
                </w14:textFill>
              </w:rPr>
              <w:t>电解水制气装置-废分子筛、投料废气-收尘灰、冷却废气-收尘灰、脱盐水站-废超滤膜、脱盐水站-废反渗透膜、脱盐水站-废离子交换树脂、中水回用系统-污泥、中水回用系统-废滤料、中水回用系统-废超滤膜、中水回用系统-废反渗透膜、污水处理站-生化污泥、空分站-废分子筛、空分站-废空分氧化铝、原煤储运收尘灰等</w:t>
            </w:r>
          </w:p>
        </w:tc>
      </w:tr>
      <w:tr w14:paraId="7C587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0C72D581">
            <w:pPr>
              <w:pStyle w:val="190"/>
              <w:rPr>
                <w:rFonts w:ascii="Times New Roman" w:hAnsi="Times New Roman" w:cs="Times New Roman"/>
                <w:color w:val="000000" w:themeColor="text1"/>
                <w:kern w:val="2"/>
                <w:szCs w:val="18"/>
                <w:highlight w:val="yellow"/>
                <w14:textFill>
                  <w14:solidFill>
                    <w14:schemeClr w14:val="tx1"/>
                  </w14:solidFill>
                </w14:textFill>
              </w:rPr>
            </w:pPr>
          </w:p>
        </w:tc>
        <w:tc>
          <w:tcPr>
            <w:tcW w:w="1699" w:type="dxa"/>
            <w:gridSpan w:val="2"/>
            <w:vAlign w:val="center"/>
          </w:tcPr>
          <w:p w14:paraId="2C757458">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危险废物</w:t>
            </w:r>
          </w:p>
        </w:tc>
        <w:tc>
          <w:tcPr>
            <w:tcW w:w="6242" w:type="dxa"/>
            <w:gridSpan w:val="2"/>
            <w:vAlign w:val="center"/>
          </w:tcPr>
          <w:p w14:paraId="30FD3149">
            <w:pPr>
              <w:autoSpaceDE w:val="0"/>
              <w:autoSpaceDN w:val="0"/>
              <w:adjustRightInd w:val="0"/>
              <w:rPr>
                <w:rFonts w:ascii="Times New Roman" w:hAnsi="Times New Roman" w:cs="Times New Roman"/>
                <w:color w:val="000000" w:themeColor="text1"/>
                <w:sz w:val="18"/>
                <w:szCs w:val="18"/>
                <w:lang w:val="zh-CN"/>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煤气冷却单元</w:t>
            </w:r>
            <w:r>
              <w:rPr>
                <w:rFonts w:hint="eastAsia" w:ascii="Times New Roman" w:hAnsi="Times New Roman" w:cs="Times New Roman"/>
                <w:color w:val="000000" w:themeColor="text1"/>
                <w:sz w:val="18"/>
                <w:szCs w:val="18"/>
                <w:lang w:val="zh-CN"/>
                <w14:textFill>
                  <w14:solidFill>
                    <w14:schemeClr w14:val="tx1"/>
                  </w14:solidFill>
                </w14:textFill>
              </w:rPr>
              <w:t>-废脱毒剂、</w:t>
            </w:r>
            <w:r>
              <w:rPr>
                <w:rFonts w:hint="eastAsia" w:ascii="Times New Roman" w:hAnsi="Times New Roman" w:cs="Times New Roman"/>
                <w:color w:val="000000" w:themeColor="text1"/>
                <w:sz w:val="18"/>
                <w:szCs w:val="18"/>
                <w14:textFill>
                  <w14:solidFill>
                    <w14:schemeClr w14:val="tx1"/>
                  </w14:solidFill>
                </w14:textFill>
              </w:rPr>
              <w:t>煤气冷却单元</w:t>
            </w:r>
            <w:r>
              <w:rPr>
                <w:rFonts w:hint="eastAsia" w:ascii="Times New Roman" w:hAnsi="Times New Roman" w:cs="Times New Roman"/>
                <w:color w:val="000000" w:themeColor="text1"/>
                <w:sz w:val="18"/>
                <w:szCs w:val="18"/>
                <w:lang w:val="zh-CN"/>
                <w14:textFill>
                  <w14:solidFill>
                    <w14:schemeClr w14:val="tx1"/>
                  </w14:solidFill>
                </w14:textFill>
              </w:rPr>
              <w:t>-废水解剂、净化及分离装置-废脱硝催化剂、净化及分离装置-</w:t>
            </w:r>
            <w:r>
              <w:rPr>
                <w:rFonts w:ascii="Times New Roman" w:hAnsi="Times New Roman" w:cs="Times New Roman"/>
                <w:color w:val="000000" w:themeColor="text1"/>
                <w:sz w:val="18"/>
                <w:szCs w:val="18"/>
                <w14:textFill>
                  <w14:solidFill>
                    <w14:schemeClr w14:val="tx1"/>
                  </w14:solidFill>
                </w14:textFill>
              </w:rPr>
              <w:t>废SO</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转化催化剂</w:t>
            </w:r>
            <w:r>
              <w:rPr>
                <w:rFonts w:hint="eastAsia" w:ascii="Times New Roman" w:hAnsi="Times New Roman" w:cs="Times New Roman"/>
                <w:color w:val="000000" w:themeColor="text1"/>
                <w:sz w:val="18"/>
                <w:szCs w:val="18"/>
                <w14:textFill>
                  <w14:solidFill>
                    <w14:schemeClr w14:val="tx1"/>
                  </w14:solidFill>
                </w14:textFill>
              </w:rPr>
              <w:t>、电解水制气装置-废脱氧（氢）催化剂、电解水制气装置-废碱液、合成氨装置-废氨合成催化剂、DMO装置-废羰化催化剂、DMO装置-废瓷球、动力站-废脱硝催化剂、220kV变电所-事故废油、220kV变电所-废铅酸蓄电池、杂盐等</w:t>
            </w:r>
          </w:p>
        </w:tc>
      </w:tr>
      <w:tr w14:paraId="11FCA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64" w:type="dxa"/>
            <w:vMerge w:val="continue"/>
            <w:vAlign w:val="center"/>
          </w:tcPr>
          <w:p w14:paraId="69E22210">
            <w:pPr>
              <w:pStyle w:val="190"/>
              <w:rPr>
                <w:rFonts w:ascii="Times New Roman" w:hAnsi="Times New Roman" w:cs="Times New Roman"/>
                <w:color w:val="000000" w:themeColor="text1"/>
                <w:kern w:val="2"/>
                <w:szCs w:val="18"/>
                <w:highlight w:val="yellow"/>
                <w14:textFill>
                  <w14:solidFill>
                    <w14:schemeClr w14:val="tx1"/>
                  </w14:solidFill>
                </w14:textFill>
              </w:rPr>
            </w:pPr>
          </w:p>
        </w:tc>
        <w:tc>
          <w:tcPr>
            <w:tcW w:w="1699" w:type="dxa"/>
            <w:gridSpan w:val="2"/>
            <w:vAlign w:val="center"/>
          </w:tcPr>
          <w:p w14:paraId="2341AD6F">
            <w:pPr>
              <w:pStyle w:val="190"/>
              <w:rPr>
                <w:rFonts w:ascii="Times New Roman" w:hAnsi="Times New Roman" w:cs="Times New Roman"/>
                <w:color w:val="000000" w:themeColor="text1"/>
                <w:kern w:val="2"/>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生活垃圾</w:t>
            </w:r>
          </w:p>
        </w:tc>
        <w:tc>
          <w:tcPr>
            <w:tcW w:w="6242" w:type="dxa"/>
            <w:gridSpan w:val="2"/>
            <w:vAlign w:val="center"/>
          </w:tcPr>
          <w:p w14:paraId="29A74B33">
            <w:pPr>
              <w:pStyle w:val="190"/>
              <w:rPr>
                <w:rFonts w:ascii="Times New Roman" w:hAnsi="Times New Roman" w:cs="Times New Roman"/>
                <w:color w:val="FF0000"/>
                <w:kern w:val="2"/>
                <w:szCs w:val="18"/>
              </w:rPr>
            </w:pPr>
            <w:r>
              <w:rPr>
                <w:rFonts w:ascii="Times New Roman" w:hAnsi="Times New Roman" w:cs="Times New Roman"/>
                <w:color w:val="000000" w:themeColor="text1"/>
                <w:kern w:val="2"/>
                <w:szCs w:val="18"/>
                <w14:textFill>
                  <w14:solidFill>
                    <w14:schemeClr w14:val="tx1"/>
                  </w14:solidFill>
                </w14:textFill>
              </w:rPr>
              <w:t>生活垃圾</w:t>
            </w:r>
          </w:p>
        </w:tc>
      </w:tr>
      <w:bookmarkEnd w:id="31"/>
      <w:bookmarkEnd w:id="32"/>
      <w:bookmarkEnd w:id="33"/>
      <w:bookmarkEnd w:id="34"/>
    </w:tbl>
    <w:p w14:paraId="25D76965">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评价因子筛选</w:t>
      </w:r>
    </w:p>
    <w:p w14:paraId="53F30A74">
      <w:pPr>
        <w:pStyle w:val="281"/>
        <w:ind w:firstLine="480"/>
        <w:rPr>
          <w:rFonts w:hint="eastAsia" w:ascii="宋体" w:hAnsi="宋体"/>
          <w:color w:val="000000" w:themeColor="text1"/>
          <w14:textFill>
            <w14:solidFill>
              <w14:schemeClr w14:val="tx1"/>
            </w14:solidFill>
          </w14:textFill>
        </w:rPr>
      </w:pPr>
      <w:bookmarkStart w:id="35" w:name="_Hlk150639686"/>
      <w:r>
        <w:rPr>
          <w:rFonts w:hint="eastAsia" w:ascii="宋体" w:hAnsi="宋体"/>
          <w:color w:val="000000" w:themeColor="text1"/>
          <w14:textFill>
            <w14:solidFill>
              <w14:schemeClr w14:val="tx1"/>
            </w14:solidFill>
          </w14:textFill>
        </w:rPr>
        <w:t>在运行期的不利影响主要表现在对环境空气、噪声、土壤、地下水等方面。该项目投产后对所在区域的工业发展、社会经济增长和人民生活水平提高，将会产生有利的正面影响。本项目各专题、各环境要素的污染因子筛选结果列于表</w:t>
      </w:r>
      <w:r>
        <w:rPr>
          <w:color w:val="000000" w:themeColor="text1"/>
          <w14:textFill>
            <w14:solidFill>
              <w14:schemeClr w14:val="tx1"/>
            </w14:solidFill>
          </w14:textFill>
        </w:rPr>
        <w:t>2.4.2</w:t>
      </w:r>
      <w:r>
        <w:rPr>
          <w:rFonts w:eastAsia="Calibri"/>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w:t>
      </w:r>
    </w:p>
    <w:p w14:paraId="2DE4D7E9">
      <w:pPr>
        <w:spacing w:before="65" w:beforeLines="20" w:line="360" w:lineRule="auto"/>
        <w:jc w:val="center"/>
        <w:rPr>
          <w:rFonts w:hint="eastAsia" w:ascii="黑体" w:hAnsi="黑体" w:eastAsia="黑体"/>
          <w:b/>
          <w:color w:val="000000" w:themeColor="text1"/>
          <w14:textFill>
            <w14:solidFill>
              <w14:schemeClr w14:val="tx1"/>
            </w14:solidFill>
          </w14:textFill>
        </w:rPr>
      </w:pPr>
      <w:bookmarkStart w:id="36" w:name="_Hlk98340588"/>
      <w:r>
        <w:rPr>
          <w:rFonts w:ascii="黑体" w:hAnsi="黑体" w:eastAsia="黑体"/>
          <w:b/>
          <w:color w:val="000000" w:themeColor="text1"/>
          <w14:textFill>
            <w14:solidFill>
              <w14:schemeClr w14:val="tx1"/>
            </w14:solidFill>
          </w14:textFill>
        </w:rPr>
        <w:t>表2.4.2-1    项目评价因子一览表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1318"/>
        <w:gridCol w:w="847"/>
        <w:gridCol w:w="5007"/>
      </w:tblGrid>
      <w:tr w14:paraId="59796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Align w:val="center"/>
          </w:tcPr>
          <w:p w14:paraId="3F3BE255">
            <w:pPr>
              <w:pStyle w:val="190"/>
              <w:rPr>
                <w:rFonts w:ascii="Times New Roman" w:hAnsi="Times New Roman" w:cs="Times New Roman"/>
                <w:color w:val="000000" w:themeColor="text1"/>
                <w:kern w:val="2"/>
                <w:szCs w:val="22"/>
                <w14:textFill>
                  <w14:solidFill>
                    <w14:schemeClr w14:val="tx1"/>
                  </w14:solidFill>
                </w14:textFill>
              </w:rPr>
            </w:pPr>
            <w:bookmarkStart w:id="37" w:name="_Hlk179670843"/>
            <w:r>
              <w:rPr>
                <w:rFonts w:ascii="Times New Roman" w:hAnsi="Times New Roman" w:cs="Times New Roman"/>
                <w:color w:val="000000" w:themeColor="text1"/>
                <w:kern w:val="2"/>
                <w:szCs w:val="22"/>
                <w14:textFill>
                  <w14:solidFill>
                    <w14:schemeClr w14:val="tx1"/>
                  </w14:solidFill>
                </w14:textFill>
              </w:rPr>
              <w:t>评价要素</w:t>
            </w:r>
          </w:p>
        </w:tc>
        <w:tc>
          <w:tcPr>
            <w:tcW w:w="1318" w:type="dxa"/>
            <w:vAlign w:val="center"/>
          </w:tcPr>
          <w:p w14:paraId="7766A4C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评价类型</w:t>
            </w:r>
          </w:p>
        </w:tc>
        <w:tc>
          <w:tcPr>
            <w:tcW w:w="5854" w:type="dxa"/>
            <w:gridSpan w:val="2"/>
            <w:vAlign w:val="center"/>
          </w:tcPr>
          <w:p w14:paraId="37CD491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评价因子</w:t>
            </w:r>
          </w:p>
        </w:tc>
      </w:tr>
      <w:tr w14:paraId="48C5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restart"/>
            <w:vAlign w:val="center"/>
          </w:tcPr>
          <w:p w14:paraId="20837ED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环境空气</w:t>
            </w:r>
          </w:p>
        </w:tc>
        <w:tc>
          <w:tcPr>
            <w:tcW w:w="1318" w:type="dxa"/>
            <w:vAlign w:val="center"/>
          </w:tcPr>
          <w:p w14:paraId="6FA5432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环境现状</w:t>
            </w:r>
          </w:p>
        </w:tc>
        <w:tc>
          <w:tcPr>
            <w:tcW w:w="5854" w:type="dxa"/>
            <w:gridSpan w:val="2"/>
            <w:vAlign w:val="center"/>
          </w:tcPr>
          <w:p w14:paraId="320D716E">
            <w:pPr>
              <w:pStyle w:val="190"/>
              <w:rPr>
                <w:rFonts w:ascii="Times New Roman" w:hAnsi="Times New Roman" w:cs="Times New Roman"/>
                <w:color w:val="000000" w:themeColor="text1"/>
                <w:szCs w:val="18"/>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SO</w:t>
            </w:r>
            <w:r>
              <w:rPr>
                <w:rFonts w:ascii="Times New Roman" w:hAnsi="Times New Roman" w:cs="Times New Roman"/>
                <w:color w:val="000000" w:themeColor="text1"/>
                <w:kern w:val="2"/>
                <w:szCs w:val="18"/>
                <w:vertAlign w:val="subscript"/>
                <w14:textFill>
                  <w14:solidFill>
                    <w14:schemeClr w14:val="tx1"/>
                  </w14:solidFill>
                </w14:textFill>
              </w:rPr>
              <w:t>2</w:t>
            </w:r>
            <w:r>
              <w:rPr>
                <w:rFonts w:ascii="Times New Roman" w:hAnsi="Times New Roman" w:cs="Times New Roman"/>
                <w:color w:val="000000" w:themeColor="text1"/>
                <w:kern w:val="2"/>
                <w:szCs w:val="18"/>
                <w14:textFill>
                  <w14:solidFill>
                    <w14:schemeClr w14:val="tx1"/>
                  </w14:solidFill>
                </w14:textFill>
              </w:rPr>
              <w:t>、NO</w:t>
            </w:r>
            <w:r>
              <w:rPr>
                <w:rFonts w:ascii="Times New Roman" w:hAnsi="Times New Roman" w:cs="Times New Roman"/>
                <w:color w:val="000000" w:themeColor="text1"/>
                <w:kern w:val="2"/>
                <w:szCs w:val="18"/>
                <w:vertAlign w:val="subscript"/>
                <w14:textFill>
                  <w14:solidFill>
                    <w14:schemeClr w14:val="tx1"/>
                  </w14:solidFill>
                </w14:textFill>
              </w:rPr>
              <w:t>2</w:t>
            </w:r>
            <w:r>
              <w:rPr>
                <w:rFonts w:ascii="Times New Roman" w:hAnsi="Times New Roman" w:cs="Times New Roman"/>
                <w:color w:val="000000" w:themeColor="text1"/>
                <w:kern w:val="2"/>
                <w:szCs w:val="18"/>
                <w14:textFill>
                  <w14:solidFill>
                    <w14:schemeClr w14:val="tx1"/>
                  </w14:solidFill>
                </w14:textFill>
              </w:rPr>
              <w:t>、PM</w:t>
            </w:r>
            <w:r>
              <w:rPr>
                <w:rFonts w:ascii="Times New Roman" w:hAnsi="Times New Roman" w:cs="Times New Roman"/>
                <w:color w:val="000000" w:themeColor="text1"/>
                <w:kern w:val="2"/>
                <w:szCs w:val="18"/>
                <w:vertAlign w:val="subscript"/>
                <w14:textFill>
                  <w14:solidFill>
                    <w14:schemeClr w14:val="tx1"/>
                  </w14:solidFill>
                </w14:textFill>
              </w:rPr>
              <w:t>10</w:t>
            </w:r>
            <w:r>
              <w:rPr>
                <w:rFonts w:ascii="Times New Roman" w:hAnsi="Times New Roman" w:cs="Times New Roman"/>
                <w:color w:val="000000" w:themeColor="text1"/>
                <w:kern w:val="2"/>
                <w:szCs w:val="18"/>
                <w14:textFill>
                  <w14:solidFill>
                    <w14:schemeClr w14:val="tx1"/>
                  </w14:solidFill>
                </w14:textFill>
              </w:rPr>
              <w:t>、PM</w:t>
            </w:r>
            <w:r>
              <w:rPr>
                <w:rFonts w:ascii="Times New Roman" w:hAnsi="Times New Roman" w:cs="Times New Roman"/>
                <w:color w:val="000000" w:themeColor="text1"/>
                <w:kern w:val="2"/>
                <w:szCs w:val="18"/>
                <w:vertAlign w:val="subscript"/>
                <w14:textFill>
                  <w14:solidFill>
                    <w14:schemeClr w14:val="tx1"/>
                  </w14:solidFill>
                </w14:textFill>
              </w:rPr>
              <w:t>2.5</w:t>
            </w:r>
            <w:r>
              <w:rPr>
                <w:rFonts w:ascii="Times New Roman" w:hAnsi="Times New Roman" w:cs="Times New Roman"/>
                <w:color w:val="000000" w:themeColor="text1"/>
                <w:kern w:val="2"/>
                <w:szCs w:val="18"/>
                <w14:textFill>
                  <w14:solidFill>
                    <w14:schemeClr w14:val="tx1"/>
                  </w14:solidFill>
                </w14:textFill>
              </w:rPr>
              <w:t>、O</w:t>
            </w:r>
            <w:r>
              <w:rPr>
                <w:rFonts w:ascii="Times New Roman" w:hAnsi="Times New Roman" w:cs="Times New Roman"/>
                <w:color w:val="000000" w:themeColor="text1"/>
                <w:kern w:val="2"/>
                <w:szCs w:val="18"/>
                <w:vertAlign w:val="subscript"/>
                <w14:textFill>
                  <w14:solidFill>
                    <w14:schemeClr w14:val="tx1"/>
                  </w14:solidFill>
                </w14:textFill>
              </w:rPr>
              <w:t>3</w:t>
            </w:r>
            <w:r>
              <w:rPr>
                <w:rFonts w:ascii="Times New Roman" w:hAnsi="Times New Roman" w:cs="Times New Roman"/>
                <w:color w:val="000000" w:themeColor="text1"/>
                <w:kern w:val="2"/>
                <w:szCs w:val="18"/>
                <w14:textFill>
                  <w14:solidFill>
                    <w14:schemeClr w14:val="tx1"/>
                  </w14:solidFill>
                </w14:textFill>
              </w:rPr>
              <w:t>、CO、</w:t>
            </w:r>
            <w:r>
              <w:rPr>
                <w:rFonts w:hint="eastAsia" w:ascii="Times New Roman" w:hAnsi="Times New Roman" w:cs="Times New Roman"/>
                <w:color w:val="000000" w:themeColor="text1"/>
                <w:kern w:val="2"/>
                <w:szCs w:val="18"/>
                <w14:textFill>
                  <w14:solidFill>
                    <w14:schemeClr w14:val="tx1"/>
                  </w14:solidFill>
                </w14:textFill>
              </w:rPr>
              <w:t>TSP、</w:t>
            </w:r>
            <w:r>
              <w:rPr>
                <w:rFonts w:hint="eastAsia" w:ascii="Times New Roman" w:hAnsi="Times New Roman" w:cs="Times New Roman"/>
                <w:color w:val="000000" w:themeColor="text1"/>
                <w:szCs w:val="18"/>
                <w14:textFill>
                  <w14:solidFill>
                    <w14:schemeClr w14:val="tx1"/>
                  </w14:solidFill>
                </w14:textFill>
              </w:rPr>
              <w:t>氨、硫化氢、非甲烷总烃、甲醇、硫酸雾、氰化氢、酚类化合物及臭气浓度</w:t>
            </w:r>
          </w:p>
        </w:tc>
      </w:tr>
      <w:tr w14:paraId="04390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538F50A2">
            <w:pPr>
              <w:pStyle w:val="190"/>
              <w:rPr>
                <w:rFonts w:ascii="Times New Roman" w:hAnsi="Times New Roman" w:cs="Times New Roman"/>
                <w:color w:val="FF0000"/>
                <w:kern w:val="2"/>
                <w:szCs w:val="22"/>
              </w:rPr>
            </w:pPr>
          </w:p>
        </w:tc>
        <w:tc>
          <w:tcPr>
            <w:tcW w:w="1318" w:type="dxa"/>
            <w:vAlign w:val="center"/>
          </w:tcPr>
          <w:p w14:paraId="3C152E7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w:t>
            </w:r>
          </w:p>
        </w:tc>
        <w:tc>
          <w:tcPr>
            <w:tcW w:w="5854" w:type="dxa"/>
            <w:gridSpan w:val="2"/>
            <w:vAlign w:val="center"/>
          </w:tcPr>
          <w:p w14:paraId="13A38BD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SO</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、NO</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、PM</w:t>
            </w:r>
            <w:r>
              <w:rPr>
                <w:rFonts w:ascii="Times New Roman" w:hAnsi="Times New Roman" w:cs="Times New Roman"/>
                <w:color w:val="000000" w:themeColor="text1"/>
                <w:sz w:val="18"/>
                <w:szCs w:val="18"/>
                <w:vertAlign w:val="subscript"/>
                <w14:textFill>
                  <w14:solidFill>
                    <w14:schemeClr w14:val="tx1"/>
                  </w14:solidFill>
                </w14:textFill>
              </w:rPr>
              <w:t>10</w:t>
            </w:r>
            <w:r>
              <w:rPr>
                <w:rFonts w:ascii="Times New Roman" w:hAnsi="Times New Roman" w:cs="Times New Roman"/>
                <w:color w:val="000000" w:themeColor="text1"/>
                <w:sz w:val="18"/>
                <w:szCs w:val="18"/>
                <w14:textFill>
                  <w14:solidFill>
                    <w14:schemeClr w14:val="tx1"/>
                  </w14:solidFill>
                </w14:textFill>
              </w:rPr>
              <w:t>、PM</w:t>
            </w:r>
            <w:r>
              <w:rPr>
                <w:rFonts w:ascii="Times New Roman" w:hAnsi="Times New Roman" w:cs="Times New Roman"/>
                <w:color w:val="000000" w:themeColor="text1"/>
                <w:sz w:val="18"/>
                <w:szCs w:val="18"/>
                <w:vertAlign w:val="subscript"/>
                <w14:textFill>
                  <w14:solidFill>
                    <w14:schemeClr w14:val="tx1"/>
                  </w14:solidFill>
                </w14:textFill>
              </w:rPr>
              <w:t>2.5</w:t>
            </w:r>
            <w:r>
              <w:rPr>
                <w:rFonts w:ascii="Times New Roman" w:hAnsi="Times New Roman" w:cs="Times New Roman"/>
                <w:color w:val="000000" w:themeColor="text1"/>
                <w:sz w:val="18"/>
                <w:szCs w:val="18"/>
                <w14:textFill>
                  <w14:solidFill>
                    <w14:schemeClr w14:val="tx1"/>
                  </w14:solidFill>
                </w14:textFill>
              </w:rPr>
              <w:t>、非甲烷总烃、</w:t>
            </w:r>
            <w:r>
              <w:rPr>
                <w:rFonts w:hint="eastAsia" w:ascii="Times New Roman" w:hAnsi="Times New Roman" w:cs="Times New Roman"/>
                <w:color w:val="000000" w:themeColor="text1"/>
                <w:sz w:val="18"/>
                <w:szCs w:val="18"/>
                <w14:textFill>
                  <w14:solidFill>
                    <w14:schemeClr w14:val="tx1"/>
                  </w14:solidFill>
                </w14:textFill>
              </w:rPr>
              <w:t>氨</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硫化氢</w:t>
            </w:r>
            <w:r>
              <w:rPr>
                <w:rFonts w:ascii="Times New Roman" w:hAnsi="Times New Roman" w:cs="Times New Roman"/>
                <w:color w:val="000000" w:themeColor="text1"/>
                <w:sz w:val="18"/>
                <w:szCs w:val="18"/>
                <w14:textFill>
                  <w14:solidFill>
                    <w14:schemeClr w14:val="tx1"/>
                  </w14:solidFill>
                </w14:textFill>
              </w:rPr>
              <w:t>、甲醇、硫酸雾</w:t>
            </w:r>
          </w:p>
        </w:tc>
      </w:tr>
      <w:tr w14:paraId="2CFB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1B9310FA">
            <w:pPr>
              <w:pStyle w:val="190"/>
              <w:rPr>
                <w:rFonts w:ascii="Times New Roman" w:hAnsi="Times New Roman" w:cs="Times New Roman"/>
                <w:color w:val="FF0000"/>
                <w:kern w:val="2"/>
                <w:szCs w:val="22"/>
              </w:rPr>
            </w:pPr>
          </w:p>
        </w:tc>
        <w:tc>
          <w:tcPr>
            <w:tcW w:w="1318" w:type="dxa"/>
            <w:vAlign w:val="center"/>
          </w:tcPr>
          <w:p w14:paraId="73FF092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总量控制</w:t>
            </w:r>
          </w:p>
        </w:tc>
        <w:tc>
          <w:tcPr>
            <w:tcW w:w="5854" w:type="dxa"/>
            <w:gridSpan w:val="2"/>
            <w:vAlign w:val="center"/>
          </w:tcPr>
          <w:p w14:paraId="1A0E2DA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NO</w:t>
            </w:r>
            <w:r>
              <w:rPr>
                <w:rFonts w:ascii="Times New Roman" w:hAnsi="Times New Roman" w:cs="Times New Roman"/>
                <w:color w:val="000000" w:themeColor="text1"/>
                <w:kern w:val="2"/>
                <w:szCs w:val="22"/>
                <w:vertAlign w:val="subscript"/>
                <w14:textFill>
                  <w14:solidFill>
                    <w14:schemeClr w14:val="tx1"/>
                  </w14:solidFill>
                </w14:textFill>
              </w:rPr>
              <w:t>x</w:t>
            </w:r>
            <w:r>
              <w:rPr>
                <w:rFonts w:ascii="Times New Roman" w:hAnsi="Times New Roman" w:cs="Times New Roman"/>
                <w:color w:val="000000" w:themeColor="text1"/>
                <w:kern w:val="2"/>
                <w:szCs w:val="22"/>
                <w14:textFill>
                  <w14:solidFill>
                    <w14:schemeClr w14:val="tx1"/>
                  </w14:solidFill>
                </w14:textFill>
              </w:rPr>
              <w:t>、挥发性有机物</w:t>
            </w:r>
          </w:p>
        </w:tc>
      </w:tr>
      <w:tr w14:paraId="6D37E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restart"/>
            <w:vAlign w:val="center"/>
          </w:tcPr>
          <w:p w14:paraId="375D873C">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水环境</w:t>
            </w:r>
          </w:p>
        </w:tc>
        <w:tc>
          <w:tcPr>
            <w:tcW w:w="1318" w:type="dxa"/>
            <w:vAlign w:val="center"/>
          </w:tcPr>
          <w:p w14:paraId="1A19CDC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环境现状</w:t>
            </w:r>
          </w:p>
        </w:tc>
        <w:tc>
          <w:tcPr>
            <w:tcW w:w="847" w:type="dxa"/>
            <w:tcBorders>
              <w:right w:val="single" w:color="auto" w:sz="4" w:space="0"/>
            </w:tcBorders>
            <w:vAlign w:val="center"/>
          </w:tcPr>
          <w:p w14:paraId="6AF93CD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地下水</w:t>
            </w:r>
          </w:p>
        </w:tc>
        <w:tc>
          <w:tcPr>
            <w:tcW w:w="5007" w:type="dxa"/>
            <w:tcBorders>
              <w:left w:val="single" w:color="auto" w:sz="4" w:space="0"/>
            </w:tcBorders>
            <w:vAlign w:val="center"/>
          </w:tcPr>
          <w:p w14:paraId="769FD83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K</w:t>
            </w:r>
            <w:r>
              <w:rPr>
                <w:rFonts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Ca</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Na</w:t>
            </w:r>
            <w:r>
              <w:rPr>
                <w:rFonts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Mg</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HCO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Cl</w:t>
            </w:r>
            <w:r>
              <w:rPr>
                <w:rFonts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SO</w:t>
            </w:r>
            <w:r>
              <w:rPr>
                <w:rFonts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pH</w:t>
            </w:r>
            <w:r>
              <w:rPr>
                <w:rFonts w:hint="eastAsia" w:ascii="Times New Roman" w:hAnsi="Times New Roman" w:cs="Times New Roman"/>
                <w:color w:val="000000" w:themeColor="text1"/>
                <w14:textFill>
                  <w14:solidFill>
                    <w14:schemeClr w14:val="tx1"/>
                  </w14:solidFill>
                </w14:textFill>
              </w:rPr>
              <w:t>、氨氮、硝酸盐、亚硝酸盐、挥发性酚类、氰化物、砷、汞、铬（六价）、总硬度、铅、氟、镉、铁、锰、溶解性总固体、高锰酸盐指数、硫酸盐、氯化物、总大肠杆菌群、细菌总数、石油类、苯、甲苯、苯并芘</w:t>
            </w:r>
          </w:p>
        </w:tc>
      </w:tr>
      <w:tr w14:paraId="5CADD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14DEEA24">
            <w:pPr>
              <w:pStyle w:val="190"/>
              <w:rPr>
                <w:rFonts w:ascii="Times New Roman" w:hAnsi="Times New Roman" w:cs="Times New Roman"/>
                <w:color w:val="FF0000"/>
                <w:kern w:val="2"/>
                <w:szCs w:val="22"/>
              </w:rPr>
            </w:pPr>
          </w:p>
        </w:tc>
        <w:tc>
          <w:tcPr>
            <w:tcW w:w="1318" w:type="dxa"/>
            <w:vAlign w:val="center"/>
          </w:tcPr>
          <w:p w14:paraId="46C91BC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w:t>
            </w:r>
          </w:p>
        </w:tc>
        <w:tc>
          <w:tcPr>
            <w:tcW w:w="5854" w:type="dxa"/>
            <w:gridSpan w:val="2"/>
            <w:vAlign w:val="center"/>
          </w:tcPr>
          <w:p w14:paraId="2C3A893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地下水：</w:t>
            </w:r>
            <w:r>
              <w:rPr>
                <w:rFonts w:ascii="Times New Roman" w:hAnsi="Times New Roman" w:cs="Times New Roman"/>
                <w:color w:val="000000" w:themeColor="text1"/>
                <w14:textFill>
                  <w14:solidFill>
                    <w14:schemeClr w14:val="tx1"/>
                  </w14:solidFill>
                </w14:textFill>
              </w:rPr>
              <w:t>CODcr、氨氮、硫化物、氰化物、石油类</w:t>
            </w:r>
          </w:p>
        </w:tc>
      </w:tr>
      <w:tr w14:paraId="201C0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Align w:val="center"/>
          </w:tcPr>
          <w:p w14:paraId="14A8B39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声环境</w:t>
            </w:r>
          </w:p>
        </w:tc>
        <w:tc>
          <w:tcPr>
            <w:tcW w:w="1318" w:type="dxa"/>
            <w:vAlign w:val="center"/>
          </w:tcPr>
          <w:p w14:paraId="26FF948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现状及影响</w:t>
            </w:r>
          </w:p>
        </w:tc>
        <w:tc>
          <w:tcPr>
            <w:tcW w:w="5854" w:type="dxa"/>
            <w:gridSpan w:val="2"/>
            <w:vAlign w:val="center"/>
          </w:tcPr>
          <w:p w14:paraId="35F200F8">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厂界和周围敏感点噪声的等效声压级Leq(A)</w:t>
            </w:r>
          </w:p>
        </w:tc>
      </w:tr>
      <w:tr w14:paraId="02DC6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Align w:val="center"/>
          </w:tcPr>
          <w:p w14:paraId="6D9BFBD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固体废物</w:t>
            </w:r>
          </w:p>
        </w:tc>
        <w:tc>
          <w:tcPr>
            <w:tcW w:w="1318" w:type="dxa"/>
            <w:vAlign w:val="center"/>
          </w:tcPr>
          <w:p w14:paraId="1418A47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w:t>
            </w:r>
          </w:p>
        </w:tc>
        <w:tc>
          <w:tcPr>
            <w:tcW w:w="5854" w:type="dxa"/>
            <w:gridSpan w:val="2"/>
            <w:vAlign w:val="center"/>
          </w:tcPr>
          <w:p w14:paraId="106B63B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一般固废、危险废物、生活垃圾等</w:t>
            </w:r>
          </w:p>
        </w:tc>
      </w:tr>
      <w:tr w14:paraId="27627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restart"/>
            <w:vAlign w:val="center"/>
          </w:tcPr>
          <w:p w14:paraId="5CB6D2D7">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土壤环境</w:t>
            </w:r>
          </w:p>
        </w:tc>
        <w:tc>
          <w:tcPr>
            <w:tcW w:w="1318" w:type="dxa"/>
            <w:vAlign w:val="center"/>
          </w:tcPr>
          <w:p w14:paraId="6CC3680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环境现状</w:t>
            </w:r>
          </w:p>
        </w:tc>
        <w:tc>
          <w:tcPr>
            <w:tcW w:w="5854" w:type="dxa"/>
            <w:gridSpan w:val="2"/>
            <w:vAlign w:val="center"/>
          </w:tcPr>
          <w:p w14:paraId="1F7A06C5">
            <w:pPr>
              <w:pStyle w:val="19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2-氯酚、苯并[a]蒽、苯并[a]芘、苯并[b]荧蒽、苯并[k]荧蒽、䓛、二苯并[a,h]蒽、茚并[1,2,3-cd]芘、萘共45项+pH、钴、石油烃、氰化物</w:t>
            </w:r>
            <w:r>
              <w:rPr>
                <w:rFonts w:ascii="Times New Roman" w:hAnsi="Times New Roman" w:cs="Times New Roman"/>
                <w:color w:val="000000" w:themeColor="text1"/>
                <w:kern w:val="2"/>
                <w:szCs w:val="21"/>
                <w14:textFill>
                  <w14:solidFill>
                    <w14:schemeClr w14:val="tx1"/>
                  </w14:solidFill>
                </w14:textFill>
              </w:rPr>
              <w:t>等</w:t>
            </w:r>
          </w:p>
        </w:tc>
      </w:tr>
      <w:tr w14:paraId="6A466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07BE4427">
            <w:pPr>
              <w:pStyle w:val="190"/>
              <w:rPr>
                <w:rFonts w:ascii="Times New Roman" w:hAnsi="Times New Roman" w:cs="Times New Roman"/>
                <w:color w:val="FF0000"/>
                <w:kern w:val="2"/>
                <w:szCs w:val="22"/>
              </w:rPr>
            </w:pPr>
          </w:p>
        </w:tc>
        <w:tc>
          <w:tcPr>
            <w:tcW w:w="1318" w:type="dxa"/>
            <w:vAlign w:val="center"/>
          </w:tcPr>
          <w:p w14:paraId="294931B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w:t>
            </w:r>
          </w:p>
        </w:tc>
        <w:tc>
          <w:tcPr>
            <w:tcW w:w="5854" w:type="dxa"/>
            <w:gridSpan w:val="2"/>
            <w:vAlign w:val="center"/>
          </w:tcPr>
          <w:p w14:paraId="7804C6A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垂直入渗：</w:t>
            </w:r>
            <w:r>
              <w:rPr>
                <w:rFonts w:ascii="Times New Roman" w:hAnsi="Times New Roman" w:eastAsia="等线" w:cs="Times New Roman"/>
                <w:color w:val="000000" w:themeColor="text1"/>
                <w:szCs w:val="18"/>
                <w14:textFill>
                  <w14:solidFill>
                    <w14:schemeClr w14:val="tx1"/>
                  </w14:solidFill>
                </w14:textFill>
              </w:rPr>
              <w:t>HCN</w:t>
            </w:r>
            <w:r>
              <w:rPr>
                <w:rFonts w:ascii="Times New Roman" w:hAnsi="Times New Roman" w:cs="Times New Roman"/>
                <w:color w:val="000000" w:themeColor="text1"/>
                <w:szCs w:val="18"/>
                <w14:textFill>
                  <w14:solidFill>
                    <w14:schemeClr w14:val="tx1"/>
                  </w14:solidFill>
                </w14:textFill>
              </w:rPr>
              <w:t>、石油类</w:t>
            </w:r>
          </w:p>
        </w:tc>
      </w:tr>
      <w:tr w14:paraId="5AA20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restart"/>
            <w:vAlign w:val="center"/>
          </w:tcPr>
          <w:p w14:paraId="29E11C2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环境风险</w:t>
            </w:r>
          </w:p>
        </w:tc>
        <w:tc>
          <w:tcPr>
            <w:tcW w:w="1318" w:type="dxa"/>
            <w:vAlign w:val="center"/>
          </w:tcPr>
          <w:p w14:paraId="3C030CA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大气环境影响</w:t>
            </w:r>
          </w:p>
        </w:tc>
        <w:tc>
          <w:tcPr>
            <w:tcW w:w="5854" w:type="dxa"/>
            <w:gridSpan w:val="2"/>
            <w:vAlign w:val="center"/>
          </w:tcPr>
          <w:p w14:paraId="5C08DA0D">
            <w:pPr>
              <w:pStyle w:val="19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煤气</w:t>
            </w:r>
            <w:r>
              <w:rPr>
                <w:rFonts w:ascii="Times New Roman" w:hAnsi="Times New Roman" w:cs="Times New Roman"/>
                <w:color w:val="000000" w:themeColor="text1"/>
                <w14:textFill>
                  <w14:solidFill>
                    <w14:schemeClr w14:val="tx1"/>
                  </w14:solidFill>
                </w14:textFill>
              </w:rPr>
              <w:t>、酸性气、液氨</w:t>
            </w:r>
            <w:r>
              <w:rPr>
                <w:rFonts w:hint="eastAsia" w:ascii="Times New Roman" w:hAnsi="Times New Roman" w:cs="Times New Roman"/>
                <w:color w:val="000000" w:themeColor="text1"/>
                <w14:textFill>
                  <w14:solidFill>
                    <w14:schemeClr w14:val="tx1"/>
                  </w14:solidFill>
                </w14:textFill>
              </w:rPr>
              <w:t>、甲醇、甲酸甲酯、硝酸</w:t>
            </w:r>
          </w:p>
        </w:tc>
      </w:tr>
      <w:tr w14:paraId="5FD10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1453849E">
            <w:pPr>
              <w:pStyle w:val="190"/>
              <w:rPr>
                <w:rFonts w:ascii="Times New Roman" w:hAnsi="Times New Roman" w:cs="Times New Roman"/>
                <w:color w:val="FF0000"/>
                <w:kern w:val="2"/>
                <w:szCs w:val="22"/>
              </w:rPr>
            </w:pPr>
          </w:p>
        </w:tc>
        <w:tc>
          <w:tcPr>
            <w:tcW w:w="1318" w:type="dxa"/>
            <w:vAlign w:val="center"/>
          </w:tcPr>
          <w:p w14:paraId="63134FB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水环境影响</w:t>
            </w:r>
          </w:p>
        </w:tc>
        <w:tc>
          <w:tcPr>
            <w:tcW w:w="5854" w:type="dxa"/>
            <w:gridSpan w:val="2"/>
            <w:vAlign w:val="center"/>
          </w:tcPr>
          <w:p w14:paraId="76E58FF8">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CODcr、氨氮、硫化物、</w:t>
            </w:r>
            <w:r>
              <w:rPr>
                <w:rFonts w:hint="eastAsia" w:ascii="Times New Roman" w:hAnsi="Times New Roman" w:cs="Times New Roman"/>
                <w:color w:val="000000" w:themeColor="text1"/>
                <w14:textFill>
                  <w14:solidFill>
                    <w14:schemeClr w14:val="tx1"/>
                  </w14:solidFill>
                </w14:textFill>
              </w:rPr>
              <w:t>氰化物、</w:t>
            </w:r>
            <w:r>
              <w:rPr>
                <w:rFonts w:ascii="Times New Roman" w:hAnsi="Times New Roman" w:cs="Times New Roman"/>
                <w:color w:val="000000" w:themeColor="text1"/>
                <w14:textFill>
                  <w14:solidFill>
                    <w14:schemeClr w14:val="tx1"/>
                  </w14:solidFill>
                </w14:textFill>
              </w:rPr>
              <w:t>石油类</w:t>
            </w:r>
            <w:r>
              <w:rPr>
                <w:rFonts w:hint="eastAsia" w:ascii="Times New Roman" w:hAnsi="Times New Roman" w:cs="Times New Roman"/>
                <w:color w:val="000000" w:themeColor="text1"/>
                <w14:textFill>
                  <w14:solidFill>
                    <w14:schemeClr w14:val="tx1"/>
                  </w14:solidFill>
                </w14:textFill>
              </w:rPr>
              <w:t>、氨氮</w:t>
            </w:r>
          </w:p>
        </w:tc>
      </w:tr>
      <w:tr w14:paraId="797A4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restart"/>
            <w:vAlign w:val="center"/>
          </w:tcPr>
          <w:p w14:paraId="70EB45F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电磁</w:t>
            </w:r>
          </w:p>
        </w:tc>
        <w:tc>
          <w:tcPr>
            <w:tcW w:w="1318" w:type="dxa"/>
            <w:vAlign w:val="center"/>
          </w:tcPr>
          <w:p w14:paraId="0CE8AD1E">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环境现状</w:t>
            </w:r>
          </w:p>
        </w:tc>
        <w:tc>
          <w:tcPr>
            <w:tcW w:w="5854" w:type="dxa"/>
            <w:gridSpan w:val="2"/>
            <w:vAlign w:val="center"/>
          </w:tcPr>
          <w:p w14:paraId="5545FFFC">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工频电场、工频磁场</w:t>
            </w:r>
          </w:p>
        </w:tc>
      </w:tr>
      <w:tr w14:paraId="4C5DA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33" w:type="dxa"/>
            <w:vMerge w:val="continue"/>
            <w:vAlign w:val="center"/>
          </w:tcPr>
          <w:p w14:paraId="630A7BDE">
            <w:pPr>
              <w:pStyle w:val="190"/>
              <w:rPr>
                <w:rFonts w:ascii="Times New Roman" w:hAnsi="Times New Roman" w:cs="Times New Roman"/>
                <w:color w:val="000000" w:themeColor="text1"/>
                <w:kern w:val="2"/>
                <w:szCs w:val="22"/>
                <w14:textFill>
                  <w14:solidFill>
                    <w14:schemeClr w14:val="tx1"/>
                  </w14:solidFill>
                </w14:textFill>
              </w:rPr>
            </w:pPr>
          </w:p>
        </w:tc>
        <w:tc>
          <w:tcPr>
            <w:tcW w:w="1318" w:type="dxa"/>
            <w:vAlign w:val="center"/>
          </w:tcPr>
          <w:p w14:paraId="243ED5B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w:t>
            </w:r>
          </w:p>
        </w:tc>
        <w:tc>
          <w:tcPr>
            <w:tcW w:w="5854" w:type="dxa"/>
            <w:gridSpan w:val="2"/>
            <w:vAlign w:val="center"/>
          </w:tcPr>
          <w:p w14:paraId="199A37DC">
            <w:pPr>
              <w:pStyle w:val="19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工频电场、工频磁场</w:t>
            </w:r>
          </w:p>
        </w:tc>
      </w:tr>
      <w:bookmarkEnd w:id="35"/>
      <w:bookmarkEnd w:id="36"/>
      <w:bookmarkEnd w:id="37"/>
    </w:tbl>
    <w:p w14:paraId="40C25D59">
      <w:pPr>
        <w:pStyle w:val="3"/>
        <w:rPr>
          <w:rFonts w:hint="eastAsia"/>
          <w:color w:val="000000" w:themeColor="text1"/>
          <w14:textFill>
            <w14:solidFill>
              <w14:schemeClr w14:val="tx1"/>
            </w14:solidFill>
          </w14:textFill>
        </w:rPr>
      </w:pPr>
      <w:bookmarkStart w:id="38" w:name="_Toc30994"/>
      <w:r>
        <w:rPr>
          <w:rFonts w:hint="eastAsia"/>
          <w:color w:val="000000" w:themeColor="text1"/>
          <w14:textFill>
            <w14:solidFill>
              <w14:schemeClr w14:val="tx1"/>
            </w14:solidFill>
          </w14:textFill>
        </w:rPr>
        <w:t>环境质量功能区划</w:t>
      </w:r>
      <w:r>
        <w:rPr>
          <w:color w:val="000000" w:themeColor="text1"/>
          <w14:textFill>
            <w14:solidFill>
              <w14:schemeClr w14:val="tx1"/>
            </w14:solidFill>
          </w14:textFill>
        </w:rPr>
        <w:t>评价标准</w:t>
      </w:r>
      <w:bookmarkEnd w:id="38"/>
    </w:p>
    <w:p w14:paraId="7B83E756">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质量功能区划</w:t>
      </w:r>
    </w:p>
    <w:p w14:paraId="0E4EBD70">
      <w:pPr>
        <w:pStyle w:val="104"/>
        <w:ind w:firstLine="512"/>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根据《</w:t>
      </w:r>
      <w:r>
        <w:rPr>
          <w:rFonts w:hint="eastAsia" w:ascii="Times New Roman"/>
          <w:color w:val="000000" w:themeColor="text1"/>
          <w:lang w:val="zh-CN"/>
          <w14:textFill>
            <w14:solidFill>
              <w14:schemeClr w14:val="tx1"/>
            </w14:solidFill>
          </w14:textFill>
        </w:rPr>
        <w:t>哈密工业园区总体规划（2019-2035年）环境影响报告书</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本项目所在地的环境规划见表2.5-1。</w:t>
      </w:r>
    </w:p>
    <w:p w14:paraId="7DC63A70">
      <w:pPr>
        <w:spacing w:before="65" w:beforeLines="20" w:line="360" w:lineRule="auto"/>
        <w:jc w:val="center"/>
        <w:rPr>
          <w:rFonts w:hint="eastAsia" w:ascii="黑体" w:hAnsi="黑体" w:eastAsia="黑体"/>
          <w:b/>
          <w:color w:val="000000" w:themeColor="text1"/>
          <w14:textFill>
            <w14:solidFill>
              <w14:schemeClr w14:val="tx1"/>
            </w14:solidFill>
          </w14:textFill>
        </w:rPr>
      </w:pPr>
      <w:r>
        <w:rPr>
          <w:rFonts w:ascii="黑体" w:hAnsi="黑体" w:eastAsia="黑体"/>
          <w:b/>
          <w:color w:val="000000" w:themeColor="text1"/>
          <w14:textFill>
            <w14:solidFill>
              <w14:schemeClr w14:val="tx1"/>
            </w14:solidFill>
          </w14:textFill>
        </w:rPr>
        <w:t>表2.5-1    项目所在地环境功能区划判定</w:t>
      </w:r>
    </w:p>
    <w:tbl>
      <w:tblPr>
        <w:tblStyle w:val="6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5"/>
        <w:gridCol w:w="3913"/>
        <w:gridCol w:w="3227"/>
      </w:tblGrid>
      <w:tr w14:paraId="6948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38BCE934">
            <w:pPr>
              <w:pStyle w:val="557"/>
            </w:pPr>
            <w:r>
              <w:t>分类</w:t>
            </w:r>
          </w:p>
        </w:tc>
        <w:tc>
          <w:tcPr>
            <w:tcW w:w="3913" w:type="dxa"/>
            <w:vAlign w:val="center"/>
          </w:tcPr>
          <w:p w14:paraId="424B35F3">
            <w:pPr>
              <w:pStyle w:val="557"/>
            </w:pPr>
            <w:r>
              <w:t>功能区划原则</w:t>
            </w:r>
          </w:p>
        </w:tc>
        <w:tc>
          <w:tcPr>
            <w:tcW w:w="3227" w:type="dxa"/>
            <w:vAlign w:val="center"/>
          </w:tcPr>
          <w:p w14:paraId="5A617EBF">
            <w:pPr>
              <w:pStyle w:val="557"/>
            </w:pPr>
            <w:r>
              <w:t>本项目环境规划要求</w:t>
            </w:r>
          </w:p>
        </w:tc>
      </w:tr>
      <w:tr w14:paraId="35D6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15AE0EBA">
            <w:pPr>
              <w:pStyle w:val="557"/>
            </w:pPr>
            <w:r>
              <w:t>大气功能区划</w:t>
            </w:r>
          </w:p>
        </w:tc>
        <w:tc>
          <w:tcPr>
            <w:tcW w:w="3913" w:type="dxa"/>
            <w:vAlign w:val="center"/>
          </w:tcPr>
          <w:p w14:paraId="5177A3F3">
            <w:pPr>
              <w:pStyle w:val="557"/>
            </w:pPr>
            <w:r>
              <w:t>二类区为城镇规划中确定的居住区、商业交通居民混合区、文化区、一般工业区和农村地区。</w:t>
            </w:r>
          </w:p>
        </w:tc>
        <w:tc>
          <w:tcPr>
            <w:tcW w:w="3227" w:type="dxa"/>
            <w:vAlign w:val="center"/>
          </w:tcPr>
          <w:p w14:paraId="75D98BD3">
            <w:pPr>
              <w:pStyle w:val="557"/>
            </w:pPr>
            <w:r>
              <w:t>规划环评要求执行《环境空气质量标准》（GB3095-2012）二级标准</w:t>
            </w:r>
          </w:p>
        </w:tc>
      </w:tr>
      <w:tr w14:paraId="0EE1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6E339B1E">
            <w:pPr>
              <w:pStyle w:val="557"/>
            </w:pPr>
            <w:r>
              <w:rPr>
                <w:rFonts w:hint="eastAsia"/>
              </w:rPr>
              <w:t>地表水功能区划</w:t>
            </w:r>
          </w:p>
        </w:tc>
        <w:tc>
          <w:tcPr>
            <w:tcW w:w="3913" w:type="dxa"/>
            <w:vAlign w:val="center"/>
          </w:tcPr>
          <w:p w14:paraId="4CD2D046">
            <w:pPr>
              <w:pStyle w:val="557"/>
            </w:pPr>
            <w:r>
              <w:rPr>
                <w:rFonts w:hint="eastAsia"/>
              </w:rPr>
              <w:t>根据《哈密市水环境功能区划》，北部新兴产业园东北侧石城子水库、南部循环经济产业园南湖水库和流经园区的干渠执行《地表水环境质量标准》（GB3838-2002）中Ⅲ类水体，石城子水库现状使用功能为饮用、农业用水，南湖水库现状使用功能为水产养殖、灌溉。</w:t>
            </w:r>
          </w:p>
        </w:tc>
        <w:tc>
          <w:tcPr>
            <w:tcW w:w="3227" w:type="dxa"/>
            <w:vAlign w:val="center"/>
          </w:tcPr>
          <w:p w14:paraId="4E8CE95E">
            <w:pPr>
              <w:pStyle w:val="557"/>
            </w:pPr>
            <w:r>
              <w:t>规划环评要求执行</w:t>
            </w:r>
            <w:r>
              <w:rPr>
                <w:rFonts w:hint="eastAsia"/>
              </w:rPr>
              <w:t>《地表水环境质量标准》（GB3838-2002）Ⅲ类标准</w:t>
            </w:r>
          </w:p>
        </w:tc>
      </w:tr>
      <w:tr w14:paraId="30BA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7E62A7FC">
            <w:pPr>
              <w:pStyle w:val="557"/>
            </w:pPr>
            <w:r>
              <w:t>地下水功能区划</w:t>
            </w:r>
          </w:p>
        </w:tc>
        <w:tc>
          <w:tcPr>
            <w:tcW w:w="3913" w:type="dxa"/>
            <w:vAlign w:val="center"/>
          </w:tcPr>
          <w:p w14:paraId="29D36DA0">
            <w:pPr>
              <w:pStyle w:val="557"/>
            </w:pPr>
            <w:r>
              <w:t>Ⅲ类：地下水化学组分含量中等，以GB 5749-2006为依据，主要适用于集中式生活饮用水水源及工农业用水</w:t>
            </w:r>
          </w:p>
        </w:tc>
        <w:tc>
          <w:tcPr>
            <w:tcW w:w="3227" w:type="dxa"/>
            <w:vAlign w:val="center"/>
          </w:tcPr>
          <w:p w14:paraId="2F216F5D">
            <w:pPr>
              <w:pStyle w:val="557"/>
            </w:pPr>
            <w:r>
              <w:t>规划环评要求执行《地下水质量标准》（GB/T14848-2017）Ⅲ类标准</w:t>
            </w:r>
          </w:p>
        </w:tc>
      </w:tr>
      <w:tr w14:paraId="5EF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6C9BB24E">
            <w:pPr>
              <w:pStyle w:val="557"/>
            </w:pPr>
            <w:r>
              <w:t>声功能区划</w:t>
            </w:r>
          </w:p>
        </w:tc>
        <w:tc>
          <w:tcPr>
            <w:tcW w:w="3913" w:type="dxa"/>
            <w:vAlign w:val="center"/>
          </w:tcPr>
          <w:p w14:paraId="2C145AEA">
            <w:pPr>
              <w:pStyle w:val="557"/>
            </w:pPr>
            <w:r>
              <w:t>3类区指以工业生产、仓储物流为主要功能，需要防止工业噪声对周围环境产生严重影响的区域</w:t>
            </w:r>
          </w:p>
        </w:tc>
        <w:tc>
          <w:tcPr>
            <w:tcW w:w="3227" w:type="dxa"/>
            <w:vAlign w:val="center"/>
          </w:tcPr>
          <w:p w14:paraId="23F09129">
            <w:pPr>
              <w:pStyle w:val="557"/>
            </w:pPr>
            <w:r>
              <w:t>《声环境质量标准》（GB3096-2008）3类标准</w:t>
            </w:r>
          </w:p>
        </w:tc>
      </w:tr>
      <w:tr w14:paraId="6C79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85" w:type="dxa"/>
            <w:vAlign w:val="center"/>
          </w:tcPr>
          <w:p w14:paraId="418A614F">
            <w:pPr>
              <w:pStyle w:val="557"/>
            </w:pPr>
            <w:r>
              <w:t>土壤环境</w:t>
            </w:r>
          </w:p>
        </w:tc>
        <w:tc>
          <w:tcPr>
            <w:tcW w:w="3913" w:type="dxa"/>
            <w:vAlign w:val="center"/>
          </w:tcPr>
          <w:p w14:paraId="74C3F434">
            <w:pPr>
              <w:pStyle w:val="557"/>
            </w:pPr>
            <w:r>
              <w:t>三类工业用地</w:t>
            </w:r>
          </w:p>
        </w:tc>
        <w:tc>
          <w:tcPr>
            <w:tcW w:w="3227" w:type="dxa"/>
            <w:vAlign w:val="center"/>
          </w:tcPr>
          <w:p w14:paraId="1C7C6D4C">
            <w:pPr>
              <w:pStyle w:val="557"/>
            </w:pPr>
            <w:r>
              <w:t>《土壤环境质量建设用地土壤污染风险管控标准（试行）》（GB36600-2018）第二类用地标准</w:t>
            </w:r>
          </w:p>
        </w:tc>
      </w:tr>
    </w:tbl>
    <w:p w14:paraId="15DD7137">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环境质量标准</w:t>
      </w:r>
    </w:p>
    <w:p w14:paraId="6B4D0C3E">
      <w:pPr>
        <w:pStyle w:val="98"/>
        <w:rPr>
          <w:rFonts w:hint="eastAsia"/>
          <w:snapToGrid w:val="0"/>
        </w:rPr>
      </w:pPr>
      <w:r>
        <w:rPr>
          <w:snapToGrid w:val="0"/>
        </w:rPr>
        <w:t>环境</w:t>
      </w:r>
      <w:r>
        <w:rPr>
          <w:rFonts w:hint="eastAsia"/>
          <w:snapToGrid w:val="0"/>
        </w:rPr>
        <w:t>空气</w:t>
      </w:r>
      <w:r>
        <w:rPr>
          <w:snapToGrid w:val="0"/>
        </w:rPr>
        <w:t>质量标准</w:t>
      </w:r>
    </w:p>
    <w:p w14:paraId="05DB8862">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、CO、O</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、TSP</w:t>
      </w:r>
      <w:r>
        <w:rPr>
          <w:color w:val="000000" w:themeColor="text1"/>
          <w14:textFill>
            <w14:solidFill>
              <w14:schemeClr w14:val="tx1"/>
            </w14:solidFill>
          </w14:textFill>
        </w:rPr>
        <w:t>执行《环境空气质量标准》（GB3095-2012）及修改版中的二级标准；H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、甲醇、硫酸</w:t>
      </w:r>
      <w:r>
        <w:rPr>
          <w:color w:val="000000" w:themeColor="text1"/>
          <w14:textFill>
            <w14:solidFill>
              <w14:schemeClr w14:val="tx1"/>
            </w14:solidFill>
          </w14:textFill>
        </w:rPr>
        <w:t>执行《环境影响评价技术导则大气环境》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附录D中的浓度参考限值，非甲烷总烃</w:t>
      </w:r>
      <w:r>
        <w:rPr>
          <w:rFonts w:hint="eastAsia" w:cs="Times New Roman"/>
          <w:color w:val="000000" w:themeColor="text1"/>
          <w14:textFill>
            <w14:solidFill>
              <w14:schemeClr w14:val="tx1"/>
            </w14:solidFill>
          </w14:textFill>
        </w:rPr>
        <w:t>、</w:t>
      </w:r>
      <w:r>
        <w:rPr>
          <w:rFonts w:hint="eastAsia" w:cs="Times New Roman"/>
          <w:lang w:bidi="ar"/>
        </w:rPr>
        <w:t>氰化氢、酚类</w:t>
      </w: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《大气污染物综合排放标准》详解限值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见表2.5.1-1。</w:t>
      </w:r>
    </w:p>
    <w:p w14:paraId="520BD3C5">
      <w:pPr>
        <w:pStyle w:val="161"/>
        <w:rPr>
          <w:rFonts w:hint="eastAsia"/>
          <w:color w:val="000000" w:themeColor="text1"/>
          <w14:textFill>
            <w14:solidFill>
              <w14:schemeClr w14:val="tx1"/>
            </w14:solidFill>
          </w14:textFill>
        </w:rPr>
      </w:pPr>
      <w:r>
        <w:rPr>
          <w:color w:val="000000" w:themeColor="text1"/>
          <w14:textFill>
            <w14:solidFill>
              <w14:schemeClr w14:val="tx1"/>
            </w14:solidFill>
          </w14:textFill>
        </w:rPr>
        <w:t>表2.5.1-1    环境空气质量标准</w:t>
      </w:r>
    </w:p>
    <w:tbl>
      <w:tblPr>
        <w:tblStyle w:val="65"/>
        <w:tblW w:w="8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9"/>
        <w:gridCol w:w="2024"/>
        <w:gridCol w:w="1195"/>
        <w:gridCol w:w="1368"/>
        <w:gridCol w:w="1104"/>
        <w:gridCol w:w="2003"/>
      </w:tblGrid>
      <w:tr w14:paraId="6557F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Merge w:val="restart"/>
            <w:vAlign w:val="center"/>
          </w:tcPr>
          <w:p w14:paraId="2AC800F0">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序号</w:t>
            </w:r>
          </w:p>
        </w:tc>
        <w:tc>
          <w:tcPr>
            <w:tcW w:w="2024" w:type="dxa"/>
            <w:vMerge w:val="restart"/>
            <w:vAlign w:val="center"/>
          </w:tcPr>
          <w:p w14:paraId="55D8BEE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污染物</w:t>
            </w:r>
          </w:p>
        </w:tc>
        <w:tc>
          <w:tcPr>
            <w:tcW w:w="3667" w:type="dxa"/>
            <w:gridSpan w:val="3"/>
            <w:vAlign w:val="center"/>
          </w:tcPr>
          <w:p w14:paraId="77202A8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浓度限值（μg/m</w:t>
            </w:r>
            <w:r>
              <w:rPr>
                <w:rFonts w:ascii="Times New Roman" w:hAnsi="Times New Roman" w:cs="Times New Roman"/>
                <w:color w:val="000000" w:themeColor="text1"/>
                <w:kern w:val="2"/>
                <w:szCs w:val="22"/>
                <w:vertAlign w:val="superscript"/>
                <w14:textFill>
                  <w14:solidFill>
                    <w14:schemeClr w14:val="tx1"/>
                  </w14:solidFill>
                </w14:textFill>
              </w:rPr>
              <w:t>3</w:t>
            </w:r>
            <w:r>
              <w:rPr>
                <w:rFonts w:ascii="Times New Roman" w:hAnsi="Times New Roman" w:cs="Times New Roman"/>
                <w:color w:val="000000" w:themeColor="text1"/>
                <w:kern w:val="2"/>
                <w:szCs w:val="22"/>
                <w14:textFill>
                  <w14:solidFill>
                    <w14:schemeClr w14:val="tx1"/>
                  </w14:solidFill>
                </w14:textFill>
              </w:rPr>
              <w:t>）</w:t>
            </w:r>
          </w:p>
        </w:tc>
        <w:tc>
          <w:tcPr>
            <w:tcW w:w="2003" w:type="dxa"/>
            <w:vMerge w:val="restart"/>
            <w:vAlign w:val="center"/>
          </w:tcPr>
          <w:p w14:paraId="280BBCD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标准来源</w:t>
            </w:r>
          </w:p>
        </w:tc>
      </w:tr>
      <w:tr w14:paraId="41491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Merge w:val="continue"/>
            <w:vAlign w:val="center"/>
          </w:tcPr>
          <w:p w14:paraId="7AC80EFC">
            <w:pPr>
              <w:pStyle w:val="190"/>
              <w:rPr>
                <w:rFonts w:ascii="Times New Roman" w:hAnsi="Times New Roman" w:cs="Times New Roman"/>
                <w:color w:val="000000" w:themeColor="text1"/>
                <w:kern w:val="2"/>
                <w:szCs w:val="22"/>
                <w14:textFill>
                  <w14:solidFill>
                    <w14:schemeClr w14:val="tx1"/>
                  </w14:solidFill>
                </w14:textFill>
              </w:rPr>
            </w:pPr>
          </w:p>
        </w:tc>
        <w:tc>
          <w:tcPr>
            <w:tcW w:w="2024" w:type="dxa"/>
            <w:vMerge w:val="continue"/>
            <w:vAlign w:val="center"/>
          </w:tcPr>
          <w:p w14:paraId="67F3C704">
            <w:pPr>
              <w:pStyle w:val="190"/>
              <w:rPr>
                <w:rFonts w:ascii="Times New Roman" w:hAnsi="Times New Roman" w:cs="Times New Roman"/>
                <w:color w:val="000000" w:themeColor="text1"/>
                <w:kern w:val="2"/>
                <w:szCs w:val="22"/>
                <w14:textFill>
                  <w14:solidFill>
                    <w14:schemeClr w14:val="tx1"/>
                  </w14:solidFill>
                </w14:textFill>
              </w:rPr>
            </w:pPr>
          </w:p>
        </w:tc>
        <w:tc>
          <w:tcPr>
            <w:tcW w:w="1195" w:type="dxa"/>
            <w:vAlign w:val="center"/>
          </w:tcPr>
          <w:p w14:paraId="0E26CCD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1小时平均</w:t>
            </w:r>
          </w:p>
        </w:tc>
        <w:tc>
          <w:tcPr>
            <w:tcW w:w="1368" w:type="dxa"/>
            <w:vAlign w:val="center"/>
          </w:tcPr>
          <w:p w14:paraId="018CBBD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日平均</w:t>
            </w:r>
          </w:p>
        </w:tc>
        <w:tc>
          <w:tcPr>
            <w:tcW w:w="1104" w:type="dxa"/>
            <w:vAlign w:val="center"/>
          </w:tcPr>
          <w:p w14:paraId="0F0E938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年平均值</w:t>
            </w:r>
          </w:p>
        </w:tc>
        <w:tc>
          <w:tcPr>
            <w:tcW w:w="2003" w:type="dxa"/>
            <w:vMerge w:val="continue"/>
            <w:vAlign w:val="center"/>
          </w:tcPr>
          <w:p w14:paraId="3D3F5267">
            <w:pPr>
              <w:pStyle w:val="190"/>
              <w:rPr>
                <w:rFonts w:ascii="Times New Roman" w:hAnsi="Times New Roman" w:cs="Times New Roman"/>
                <w:color w:val="000000" w:themeColor="text1"/>
                <w:kern w:val="2"/>
                <w:szCs w:val="22"/>
                <w14:textFill>
                  <w14:solidFill>
                    <w14:schemeClr w14:val="tx1"/>
                  </w14:solidFill>
                </w14:textFill>
              </w:rPr>
            </w:pPr>
          </w:p>
        </w:tc>
      </w:tr>
      <w:tr w14:paraId="37572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2C2B247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w:t>
            </w:r>
          </w:p>
        </w:tc>
        <w:tc>
          <w:tcPr>
            <w:tcW w:w="2024" w:type="dxa"/>
            <w:vAlign w:val="center"/>
          </w:tcPr>
          <w:p w14:paraId="0E2319B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SO</w:t>
            </w:r>
            <w:r>
              <w:rPr>
                <w:rFonts w:ascii="Times New Roman" w:hAnsi="Times New Roman" w:cs="Times New Roman"/>
                <w:color w:val="000000" w:themeColor="text1"/>
                <w:kern w:val="2"/>
                <w:szCs w:val="22"/>
                <w:vertAlign w:val="subscript"/>
                <w14:textFill>
                  <w14:solidFill>
                    <w14:schemeClr w14:val="tx1"/>
                  </w14:solidFill>
                </w14:textFill>
              </w:rPr>
              <w:t>2</w:t>
            </w:r>
          </w:p>
        </w:tc>
        <w:tc>
          <w:tcPr>
            <w:tcW w:w="1195" w:type="dxa"/>
            <w:vAlign w:val="center"/>
          </w:tcPr>
          <w:p w14:paraId="739D45B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500</w:t>
            </w:r>
          </w:p>
        </w:tc>
        <w:tc>
          <w:tcPr>
            <w:tcW w:w="1368" w:type="dxa"/>
            <w:vAlign w:val="center"/>
          </w:tcPr>
          <w:p w14:paraId="7388299C">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150</w:t>
            </w:r>
          </w:p>
        </w:tc>
        <w:tc>
          <w:tcPr>
            <w:tcW w:w="1104" w:type="dxa"/>
            <w:vAlign w:val="center"/>
          </w:tcPr>
          <w:p w14:paraId="49B1456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60</w:t>
            </w:r>
          </w:p>
        </w:tc>
        <w:tc>
          <w:tcPr>
            <w:tcW w:w="2003" w:type="dxa"/>
            <w:vMerge w:val="restart"/>
            <w:vAlign w:val="center"/>
          </w:tcPr>
          <w:p w14:paraId="30C134E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《环境空气质量标准》</w:t>
            </w:r>
            <w:r>
              <w:rPr>
                <w:rFonts w:hint="eastAsia" w:ascii="Times New Roman" w:hAnsi="Times New Roman" w:cs="Times New Roman"/>
                <w:color w:val="000000" w:themeColor="text1"/>
                <w:kern w:val="2"/>
                <w:szCs w:val="22"/>
                <w14:textFill>
                  <w14:solidFill>
                    <w14:schemeClr w14:val="tx1"/>
                  </w14:solidFill>
                </w14:textFill>
              </w:rPr>
              <w:t>（</w:t>
            </w:r>
            <w:r>
              <w:rPr>
                <w:rFonts w:ascii="Times New Roman" w:hAnsi="Times New Roman" w:cs="Times New Roman"/>
                <w:color w:val="000000" w:themeColor="text1"/>
                <w:kern w:val="2"/>
                <w:szCs w:val="22"/>
                <w14:textFill>
                  <w14:solidFill>
                    <w14:schemeClr w14:val="tx1"/>
                  </w14:solidFill>
                </w14:textFill>
              </w:rPr>
              <w:t>GB3095-2012</w:t>
            </w:r>
            <w:r>
              <w:rPr>
                <w:rFonts w:hint="eastAsia" w:ascii="Times New Roman" w:hAnsi="Times New Roman" w:cs="Times New Roman"/>
                <w:color w:val="000000" w:themeColor="text1"/>
                <w:kern w:val="2"/>
                <w:szCs w:val="22"/>
                <w14:textFill>
                  <w14:solidFill>
                    <w14:schemeClr w14:val="tx1"/>
                  </w14:solidFill>
                </w14:textFill>
              </w:rPr>
              <w:t>）</w:t>
            </w:r>
          </w:p>
          <w:p w14:paraId="7F172E4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（二级）</w:t>
            </w:r>
          </w:p>
        </w:tc>
      </w:tr>
      <w:tr w14:paraId="2FB55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24B2BEA3">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w:t>
            </w:r>
          </w:p>
        </w:tc>
        <w:tc>
          <w:tcPr>
            <w:tcW w:w="2024" w:type="dxa"/>
            <w:vAlign w:val="center"/>
          </w:tcPr>
          <w:p w14:paraId="78484B2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PM</w:t>
            </w:r>
            <w:r>
              <w:rPr>
                <w:rFonts w:ascii="Times New Roman" w:hAnsi="Times New Roman" w:cs="Times New Roman"/>
                <w:color w:val="000000" w:themeColor="text1"/>
                <w:kern w:val="2"/>
                <w:szCs w:val="22"/>
                <w:vertAlign w:val="subscript"/>
                <w14:textFill>
                  <w14:solidFill>
                    <w14:schemeClr w14:val="tx1"/>
                  </w14:solidFill>
                </w14:textFill>
              </w:rPr>
              <w:t>10</w:t>
            </w:r>
          </w:p>
        </w:tc>
        <w:tc>
          <w:tcPr>
            <w:tcW w:w="1195" w:type="dxa"/>
            <w:vAlign w:val="center"/>
          </w:tcPr>
          <w:p w14:paraId="087906F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1368" w:type="dxa"/>
            <w:vAlign w:val="center"/>
          </w:tcPr>
          <w:p w14:paraId="260E0BA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150</w:t>
            </w:r>
          </w:p>
        </w:tc>
        <w:tc>
          <w:tcPr>
            <w:tcW w:w="1104" w:type="dxa"/>
            <w:vAlign w:val="center"/>
          </w:tcPr>
          <w:p w14:paraId="03E2B7AE">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70</w:t>
            </w:r>
          </w:p>
        </w:tc>
        <w:tc>
          <w:tcPr>
            <w:tcW w:w="2003" w:type="dxa"/>
            <w:vMerge w:val="continue"/>
            <w:vAlign w:val="center"/>
          </w:tcPr>
          <w:p w14:paraId="2BAD3ACB">
            <w:pPr>
              <w:pStyle w:val="190"/>
              <w:rPr>
                <w:rFonts w:ascii="Times New Roman" w:hAnsi="Times New Roman" w:cs="Times New Roman"/>
                <w:color w:val="000000" w:themeColor="text1"/>
                <w:kern w:val="2"/>
                <w:szCs w:val="22"/>
                <w14:textFill>
                  <w14:solidFill>
                    <w14:schemeClr w14:val="tx1"/>
                  </w14:solidFill>
                </w14:textFill>
              </w:rPr>
            </w:pPr>
          </w:p>
        </w:tc>
      </w:tr>
      <w:tr w14:paraId="7A3AF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5B5E021E">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3</w:t>
            </w:r>
          </w:p>
        </w:tc>
        <w:tc>
          <w:tcPr>
            <w:tcW w:w="2024" w:type="dxa"/>
            <w:vAlign w:val="center"/>
          </w:tcPr>
          <w:p w14:paraId="4084316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PM</w:t>
            </w:r>
            <w:r>
              <w:rPr>
                <w:rFonts w:ascii="Times New Roman" w:hAnsi="Times New Roman" w:cs="Times New Roman"/>
                <w:color w:val="000000" w:themeColor="text1"/>
                <w:kern w:val="2"/>
                <w:szCs w:val="22"/>
                <w:vertAlign w:val="subscript"/>
                <w14:textFill>
                  <w14:solidFill>
                    <w14:schemeClr w14:val="tx1"/>
                  </w14:solidFill>
                </w14:textFill>
              </w:rPr>
              <w:t>2.5</w:t>
            </w:r>
          </w:p>
        </w:tc>
        <w:tc>
          <w:tcPr>
            <w:tcW w:w="1195" w:type="dxa"/>
            <w:vAlign w:val="center"/>
          </w:tcPr>
          <w:p w14:paraId="2A675970">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1368" w:type="dxa"/>
            <w:vAlign w:val="center"/>
          </w:tcPr>
          <w:p w14:paraId="59DEF98C">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75</w:t>
            </w:r>
          </w:p>
        </w:tc>
        <w:tc>
          <w:tcPr>
            <w:tcW w:w="1104" w:type="dxa"/>
            <w:vAlign w:val="center"/>
          </w:tcPr>
          <w:p w14:paraId="5A18643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35</w:t>
            </w:r>
          </w:p>
        </w:tc>
        <w:tc>
          <w:tcPr>
            <w:tcW w:w="2003" w:type="dxa"/>
            <w:vMerge w:val="continue"/>
            <w:vAlign w:val="center"/>
          </w:tcPr>
          <w:p w14:paraId="74C9BBEA">
            <w:pPr>
              <w:pStyle w:val="190"/>
              <w:rPr>
                <w:rFonts w:ascii="Times New Roman" w:hAnsi="Times New Roman" w:cs="Times New Roman"/>
                <w:color w:val="000000" w:themeColor="text1"/>
                <w:kern w:val="2"/>
                <w:szCs w:val="22"/>
                <w14:textFill>
                  <w14:solidFill>
                    <w14:schemeClr w14:val="tx1"/>
                  </w14:solidFill>
                </w14:textFill>
              </w:rPr>
            </w:pPr>
          </w:p>
        </w:tc>
      </w:tr>
      <w:tr w14:paraId="43B1F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444A6BF3">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4</w:t>
            </w:r>
          </w:p>
        </w:tc>
        <w:tc>
          <w:tcPr>
            <w:tcW w:w="2024" w:type="dxa"/>
            <w:vAlign w:val="center"/>
          </w:tcPr>
          <w:p w14:paraId="761C2F67">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NO</w:t>
            </w:r>
            <w:r>
              <w:rPr>
                <w:rFonts w:ascii="Times New Roman" w:hAnsi="Times New Roman" w:cs="Times New Roman"/>
                <w:color w:val="000000" w:themeColor="text1"/>
                <w:kern w:val="2"/>
                <w:szCs w:val="22"/>
                <w:vertAlign w:val="subscript"/>
                <w14:textFill>
                  <w14:solidFill>
                    <w14:schemeClr w14:val="tx1"/>
                  </w14:solidFill>
                </w14:textFill>
              </w:rPr>
              <w:t>2</w:t>
            </w:r>
          </w:p>
        </w:tc>
        <w:tc>
          <w:tcPr>
            <w:tcW w:w="1195" w:type="dxa"/>
            <w:vAlign w:val="center"/>
          </w:tcPr>
          <w:p w14:paraId="3253725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200</w:t>
            </w:r>
          </w:p>
        </w:tc>
        <w:tc>
          <w:tcPr>
            <w:tcW w:w="1368" w:type="dxa"/>
            <w:vAlign w:val="center"/>
          </w:tcPr>
          <w:p w14:paraId="46571BA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80</w:t>
            </w:r>
          </w:p>
        </w:tc>
        <w:tc>
          <w:tcPr>
            <w:tcW w:w="1104" w:type="dxa"/>
            <w:vAlign w:val="center"/>
          </w:tcPr>
          <w:p w14:paraId="16CC7C2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40</w:t>
            </w:r>
          </w:p>
        </w:tc>
        <w:tc>
          <w:tcPr>
            <w:tcW w:w="2003" w:type="dxa"/>
            <w:vMerge w:val="continue"/>
            <w:vAlign w:val="center"/>
          </w:tcPr>
          <w:p w14:paraId="3DC4D87D">
            <w:pPr>
              <w:pStyle w:val="190"/>
              <w:rPr>
                <w:rFonts w:ascii="Times New Roman" w:hAnsi="Times New Roman" w:cs="Times New Roman"/>
                <w:color w:val="000000" w:themeColor="text1"/>
                <w:kern w:val="2"/>
                <w:szCs w:val="22"/>
                <w14:textFill>
                  <w14:solidFill>
                    <w14:schemeClr w14:val="tx1"/>
                  </w14:solidFill>
                </w14:textFill>
              </w:rPr>
            </w:pPr>
          </w:p>
        </w:tc>
      </w:tr>
      <w:tr w14:paraId="03391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1E3D9E3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5</w:t>
            </w:r>
          </w:p>
        </w:tc>
        <w:tc>
          <w:tcPr>
            <w:tcW w:w="2024" w:type="dxa"/>
            <w:vAlign w:val="center"/>
          </w:tcPr>
          <w:p w14:paraId="3CEC9E1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snapToGrid w:val="0"/>
                <w:color w:val="000000" w:themeColor="text1"/>
                <w:kern w:val="2"/>
                <w:szCs w:val="22"/>
                <w14:textFill>
                  <w14:solidFill>
                    <w14:schemeClr w14:val="tx1"/>
                  </w14:solidFill>
                </w14:textFill>
              </w:rPr>
              <w:t>O</w:t>
            </w:r>
            <w:r>
              <w:rPr>
                <w:rFonts w:ascii="Times New Roman" w:hAnsi="Times New Roman" w:cs="Times New Roman"/>
                <w:snapToGrid w:val="0"/>
                <w:color w:val="000000" w:themeColor="text1"/>
                <w:kern w:val="2"/>
                <w:szCs w:val="22"/>
                <w:vertAlign w:val="subscript"/>
                <w14:textFill>
                  <w14:solidFill>
                    <w14:schemeClr w14:val="tx1"/>
                  </w14:solidFill>
                </w14:textFill>
              </w:rPr>
              <w:t>3</w:t>
            </w:r>
          </w:p>
        </w:tc>
        <w:tc>
          <w:tcPr>
            <w:tcW w:w="1195" w:type="dxa"/>
            <w:vAlign w:val="center"/>
          </w:tcPr>
          <w:p w14:paraId="5C78E17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200</w:t>
            </w:r>
          </w:p>
        </w:tc>
        <w:tc>
          <w:tcPr>
            <w:tcW w:w="1368" w:type="dxa"/>
            <w:vAlign w:val="center"/>
          </w:tcPr>
          <w:p w14:paraId="246DA22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160（8小时）</w:t>
            </w:r>
          </w:p>
        </w:tc>
        <w:tc>
          <w:tcPr>
            <w:tcW w:w="1104" w:type="dxa"/>
            <w:vAlign w:val="center"/>
          </w:tcPr>
          <w:p w14:paraId="1CF1FCB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continue"/>
            <w:vAlign w:val="center"/>
          </w:tcPr>
          <w:p w14:paraId="0A79F1AC">
            <w:pPr>
              <w:pStyle w:val="190"/>
              <w:rPr>
                <w:rFonts w:ascii="Times New Roman" w:hAnsi="Times New Roman" w:cs="Times New Roman"/>
                <w:color w:val="000000" w:themeColor="text1"/>
                <w:kern w:val="2"/>
                <w:szCs w:val="22"/>
                <w14:textFill>
                  <w14:solidFill>
                    <w14:schemeClr w14:val="tx1"/>
                  </w14:solidFill>
                </w14:textFill>
              </w:rPr>
            </w:pPr>
          </w:p>
        </w:tc>
      </w:tr>
      <w:tr w14:paraId="6C86F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3FFA83F3">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6</w:t>
            </w:r>
          </w:p>
        </w:tc>
        <w:tc>
          <w:tcPr>
            <w:tcW w:w="2024" w:type="dxa"/>
            <w:vAlign w:val="center"/>
          </w:tcPr>
          <w:p w14:paraId="08A4E0D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snapToGrid w:val="0"/>
                <w:color w:val="000000" w:themeColor="text1"/>
                <w:kern w:val="2"/>
                <w:szCs w:val="22"/>
                <w14:textFill>
                  <w14:solidFill>
                    <w14:schemeClr w14:val="tx1"/>
                  </w14:solidFill>
                </w14:textFill>
              </w:rPr>
              <w:t>CO</w:t>
            </w:r>
          </w:p>
        </w:tc>
        <w:tc>
          <w:tcPr>
            <w:tcW w:w="1195" w:type="dxa"/>
            <w:vAlign w:val="center"/>
          </w:tcPr>
          <w:p w14:paraId="38516CB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10 mg/m</w:t>
            </w:r>
            <w:r>
              <w:rPr>
                <w:rFonts w:ascii="Times New Roman" w:hAnsi="Times New Roman" w:cs="Times New Roman"/>
                <w:color w:val="000000" w:themeColor="text1"/>
                <w:kern w:val="2"/>
                <w:szCs w:val="22"/>
                <w:vertAlign w:val="superscript"/>
                <w14:textFill>
                  <w14:solidFill>
                    <w14:schemeClr w14:val="tx1"/>
                  </w14:solidFill>
                </w14:textFill>
              </w:rPr>
              <w:t>3</w:t>
            </w:r>
          </w:p>
        </w:tc>
        <w:tc>
          <w:tcPr>
            <w:tcW w:w="1368" w:type="dxa"/>
            <w:vAlign w:val="center"/>
          </w:tcPr>
          <w:p w14:paraId="26C5A56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4mg/m</w:t>
            </w:r>
            <w:r>
              <w:rPr>
                <w:rFonts w:ascii="Times New Roman" w:hAnsi="Times New Roman" w:cs="Times New Roman"/>
                <w:color w:val="000000" w:themeColor="text1"/>
                <w:kern w:val="2"/>
                <w:szCs w:val="22"/>
                <w:vertAlign w:val="superscript"/>
                <w14:textFill>
                  <w14:solidFill>
                    <w14:schemeClr w14:val="tx1"/>
                  </w14:solidFill>
                </w14:textFill>
              </w:rPr>
              <w:t>3</w:t>
            </w:r>
          </w:p>
        </w:tc>
        <w:tc>
          <w:tcPr>
            <w:tcW w:w="1104" w:type="dxa"/>
            <w:vAlign w:val="center"/>
          </w:tcPr>
          <w:p w14:paraId="0767BF0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continue"/>
            <w:vAlign w:val="center"/>
          </w:tcPr>
          <w:p w14:paraId="3218627C">
            <w:pPr>
              <w:pStyle w:val="190"/>
              <w:rPr>
                <w:rFonts w:ascii="Times New Roman" w:hAnsi="Times New Roman" w:cs="Times New Roman"/>
                <w:color w:val="000000" w:themeColor="text1"/>
                <w:kern w:val="2"/>
                <w:szCs w:val="22"/>
                <w14:textFill>
                  <w14:solidFill>
                    <w14:schemeClr w14:val="tx1"/>
                  </w14:solidFill>
                </w14:textFill>
              </w:rPr>
            </w:pPr>
          </w:p>
        </w:tc>
      </w:tr>
      <w:tr w14:paraId="2FDE5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1156163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7</w:t>
            </w:r>
          </w:p>
        </w:tc>
        <w:tc>
          <w:tcPr>
            <w:tcW w:w="2024" w:type="dxa"/>
            <w:vAlign w:val="center"/>
          </w:tcPr>
          <w:p w14:paraId="2E9E2E7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TSP</w:t>
            </w:r>
          </w:p>
        </w:tc>
        <w:tc>
          <w:tcPr>
            <w:tcW w:w="1195" w:type="dxa"/>
            <w:vAlign w:val="center"/>
          </w:tcPr>
          <w:p w14:paraId="05687A53">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1368" w:type="dxa"/>
            <w:vAlign w:val="center"/>
          </w:tcPr>
          <w:p w14:paraId="14296A6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300</w:t>
            </w:r>
          </w:p>
        </w:tc>
        <w:tc>
          <w:tcPr>
            <w:tcW w:w="1104" w:type="dxa"/>
            <w:vAlign w:val="center"/>
          </w:tcPr>
          <w:p w14:paraId="13E34690">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200</w:t>
            </w:r>
          </w:p>
        </w:tc>
        <w:tc>
          <w:tcPr>
            <w:tcW w:w="2003" w:type="dxa"/>
            <w:vMerge w:val="continue"/>
            <w:vAlign w:val="center"/>
          </w:tcPr>
          <w:p w14:paraId="1116B9B0">
            <w:pPr>
              <w:pStyle w:val="190"/>
              <w:rPr>
                <w:rFonts w:ascii="Times New Roman" w:hAnsi="Times New Roman" w:cs="Times New Roman"/>
                <w:color w:val="000000" w:themeColor="text1"/>
                <w:kern w:val="2"/>
                <w:szCs w:val="22"/>
                <w14:textFill>
                  <w14:solidFill>
                    <w14:schemeClr w14:val="tx1"/>
                  </w14:solidFill>
                </w14:textFill>
              </w:rPr>
            </w:pPr>
          </w:p>
        </w:tc>
      </w:tr>
      <w:tr w14:paraId="72D11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7EE2ECC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8</w:t>
            </w:r>
          </w:p>
        </w:tc>
        <w:tc>
          <w:tcPr>
            <w:tcW w:w="2024" w:type="dxa"/>
            <w:vAlign w:val="center"/>
          </w:tcPr>
          <w:p w14:paraId="62A2E31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H</w:t>
            </w:r>
            <w:r>
              <w:rPr>
                <w:rFonts w:ascii="Times New Roman" w:hAnsi="Times New Roman" w:cs="Times New Roman"/>
                <w:color w:val="000000" w:themeColor="text1"/>
                <w:kern w:val="2"/>
                <w:szCs w:val="22"/>
                <w:vertAlign w:val="subscript"/>
                <w14:textFill>
                  <w14:solidFill>
                    <w14:schemeClr w14:val="tx1"/>
                  </w14:solidFill>
                </w14:textFill>
              </w:rPr>
              <w:t>2</w:t>
            </w:r>
            <w:r>
              <w:rPr>
                <w:rFonts w:ascii="Times New Roman" w:hAnsi="Times New Roman" w:cs="Times New Roman"/>
                <w:color w:val="000000" w:themeColor="text1"/>
                <w:kern w:val="2"/>
                <w:szCs w:val="22"/>
                <w14:textFill>
                  <w14:solidFill>
                    <w14:schemeClr w14:val="tx1"/>
                  </w14:solidFill>
                </w14:textFill>
              </w:rPr>
              <w:t>S</w:t>
            </w:r>
          </w:p>
        </w:tc>
        <w:tc>
          <w:tcPr>
            <w:tcW w:w="1195" w:type="dxa"/>
            <w:vAlign w:val="center"/>
          </w:tcPr>
          <w:p w14:paraId="1DEEBDC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10</w:t>
            </w:r>
          </w:p>
        </w:tc>
        <w:tc>
          <w:tcPr>
            <w:tcW w:w="1368" w:type="dxa"/>
            <w:vAlign w:val="center"/>
          </w:tcPr>
          <w:p w14:paraId="6AF4302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1104" w:type="dxa"/>
            <w:tcBorders>
              <w:top w:val="single" w:color="auto" w:sz="4" w:space="0"/>
            </w:tcBorders>
            <w:vAlign w:val="center"/>
          </w:tcPr>
          <w:p w14:paraId="34E7F101">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restart"/>
            <w:tcBorders>
              <w:top w:val="single" w:color="auto" w:sz="4" w:space="0"/>
            </w:tcBorders>
            <w:vAlign w:val="center"/>
          </w:tcPr>
          <w:p w14:paraId="41158D0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《环境影响评价技术导则大气环境》（HJ2.2-2018）附录D</w:t>
            </w:r>
          </w:p>
        </w:tc>
      </w:tr>
      <w:tr w14:paraId="09F2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5A3EFAE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9</w:t>
            </w:r>
          </w:p>
        </w:tc>
        <w:tc>
          <w:tcPr>
            <w:tcW w:w="2024" w:type="dxa"/>
            <w:vAlign w:val="center"/>
          </w:tcPr>
          <w:p w14:paraId="3D2CFD4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NH</w:t>
            </w:r>
            <w:r>
              <w:rPr>
                <w:rFonts w:ascii="Times New Roman" w:hAnsi="Times New Roman" w:cs="Times New Roman"/>
                <w:color w:val="000000" w:themeColor="text1"/>
                <w:kern w:val="2"/>
                <w:szCs w:val="22"/>
                <w:vertAlign w:val="subscript"/>
                <w14:textFill>
                  <w14:solidFill>
                    <w14:schemeClr w14:val="tx1"/>
                  </w14:solidFill>
                </w14:textFill>
              </w:rPr>
              <w:t>3</w:t>
            </w:r>
          </w:p>
        </w:tc>
        <w:tc>
          <w:tcPr>
            <w:tcW w:w="1195" w:type="dxa"/>
            <w:vAlign w:val="center"/>
          </w:tcPr>
          <w:p w14:paraId="01FDB34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200</w:t>
            </w:r>
          </w:p>
        </w:tc>
        <w:tc>
          <w:tcPr>
            <w:tcW w:w="1368" w:type="dxa"/>
            <w:vAlign w:val="center"/>
          </w:tcPr>
          <w:p w14:paraId="7CD3C238">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1104" w:type="dxa"/>
            <w:vAlign w:val="center"/>
          </w:tcPr>
          <w:p w14:paraId="62CEE238">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continue"/>
            <w:tcMar>
              <w:left w:w="0" w:type="dxa"/>
              <w:right w:w="0" w:type="dxa"/>
            </w:tcMar>
            <w:vAlign w:val="center"/>
          </w:tcPr>
          <w:p w14:paraId="35C96346">
            <w:pPr>
              <w:pStyle w:val="190"/>
              <w:rPr>
                <w:rFonts w:ascii="Times New Roman" w:hAnsi="Times New Roman" w:cs="Times New Roman"/>
                <w:color w:val="000000" w:themeColor="text1"/>
                <w:kern w:val="2"/>
                <w:szCs w:val="22"/>
                <w14:textFill>
                  <w14:solidFill>
                    <w14:schemeClr w14:val="tx1"/>
                  </w14:solidFill>
                </w14:textFill>
              </w:rPr>
            </w:pPr>
          </w:p>
        </w:tc>
      </w:tr>
      <w:tr w14:paraId="166B0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2DCBB499">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10</w:t>
            </w:r>
          </w:p>
        </w:tc>
        <w:tc>
          <w:tcPr>
            <w:tcW w:w="2024" w:type="dxa"/>
            <w:vAlign w:val="center"/>
          </w:tcPr>
          <w:p w14:paraId="7ADC0A86">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甲醇</w:t>
            </w:r>
          </w:p>
        </w:tc>
        <w:tc>
          <w:tcPr>
            <w:tcW w:w="1195" w:type="dxa"/>
            <w:vAlign w:val="center"/>
          </w:tcPr>
          <w:p w14:paraId="668CB8AE">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3000</w:t>
            </w:r>
          </w:p>
        </w:tc>
        <w:tc>
          <w:tcPr>
            <w:tcW w:w="1368" w:type="dxa"/>
            <w:vAlign w:val="center"/>
          </w:tcPr>
          <w:p w14:paraId="3F95CABF">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1000</w:t>
            </w:r>
          </w:p>
        </w:tc>
        <w:tc>
          <w:tcPr>
            <w:tcW w:w="1104" w:type="dxa"/>
            <w:vAlign w:val="center"/>
          </w:tcPr>
          <w:p w14:paraId="708FCB90">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continue"/>
            <w:vAlign w:val="center"/>
          </w:tcPr>
          <w:p w14:paraId="57814CC5">
            <w:pPr>
              <w:pStyle w:val="190"/>
              <w:rPr>
                <w:rFonts w:ascii="Times New Roman" w:hAnsi="Times New Roman" w:cs="Times New Roman"/>
                <w:color w:val="000000" w:themeColor="text1"/>
                <w:kern w:val="2"/>
                <w:szCs w:val="22"/>
                <w14:textFill>
                  <w14:solidFill>
                    <w14:schemeClr w14:val="tx1"/>
                  </w14:solidFill>
                </w14:textFill>
              </w:rPr>
            </w:pPr>
          </w:p>
        </w:tc>
      </w:tr>
      <w:tr w14:paraId="54228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23C5393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11</w:t>
            </w:r>
          </w:p>
        </w:tc>
        <w:tc>
          <w:tcPr>
            <w:tcW w:w="2024" w:type="dxa"/>
            <w:vAlign w:val="center"/>
          </w:tcPr>
          <w:p w14:paraId="603134D1">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硫酸</w:t>
            </w:r>
          </w:p>
        </w:tc>
        <w:tc>
          <w:tcPr>
            <w:tcW w:w="1195" w:type="dxa"/>
            <w:vAlign w:val="center"/>
          </w:tcPr>
          <w:p w14:paraId="5AC43275">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300</w:t>
            </w:r>
          </w:p>
        </w:tc>
        <w:tc>
          <w:tcPr>
            <w:tcW w:w="1368" w:type="dxa"/>
            <w:vAlign w:val="center"/>
          </w:tcPr>
          <w:p w14:paraId="33D08800">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1104" w:type="dxa"/>
            <w:vAlign w:val="center"/>
          </w:tcPr>
          <w:p w14:paraId="61FE2524">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100</w:t>
            </w:r>
          </w:p>
        </w:tc>
        <w:tc>
          <w:tcPr>
            <w:tcW w:w="2003" w:type="dxa"/>
            <w:vMerge w:val="continue"/>
            <w:vAlign w:val="center"/>
          </w:tcPr>
          <w:p w14:paraId="6DE3B84E">
            <w:pPr>
              <w:pStyle w:val="190"/>
              <w:rPr>
                <w:rFonts w:ascii="Times New Roman" w:hAnsi="Times New Roman" w:cs="Times New Roman"/>
                <w:color w:val="000000" w:themeColor="text1"/>
                <w:kern w:val="2"/>
                <w:szCs w:val="22"/>
                <w14:textFill>
                  <w14:solidFill>
                    <w14:schemeClr w14:val="tx1"/>
                  </w14:solidFill>
                </w14:textFill>
              </w:rPr>
            </w:pPr>
          </w:p>
        </w:tc>
      </w:tr>
      <w:tr w14:paraId="632B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4C9D7F4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12</w:t>
            </w:r>
          </w:p>
        </w:tc>
        <w:tc>
          <w:tcPr>
            <w:tcW w:w="2024" w:type="dxa"/>
            <w:vAlign w:val="center"/>
          </w:tcPr>
          <w:p w14:paraId="512919A4">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非甲烷总烃</w:t>
            </w:r>
          </w:p>
        </w:tc>
        <w:tc>
          <w:tcPr>
            <w:tcW w:w="1195" w:type="dxa"/>
            <w:vAlign w:val="center"/>
          </w:tcPr>
          <w:p w14:paraId="30C987A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2000</w:t>
            </w:r>
          </w:p>
        </w:tc>
        <w:tc>
          <w:tcPr>
            <w:tcW w:w="1368" w:type="dxa"/>
            <w:vAlign w:val="center"/>
          </w:tcPr>
          <w:p w14:paraId="3E664B7E">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1104" w:type="dxa"/>
            <w:vAlign w:val="center"/>
          </w:tcPr>
          <w:p w14:paraId="756AE63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w:t>
            </w:r>
          </w:p>
        </w:tc>
        <w:tc>
          <w:tcPr>
            <w:tcW w:w="2003" w:type="dxa"/>
            <w:vMerge w:val="restart"/>
            <w:vAlign w:val="center"/>
          </w:tcPr>
          <w:p w14:paraId="210F4DE3">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《大气污染物综合排放标准》详解限值</w:t>
            </w:r>
          </w:p>
        </w:tc>
      </w:tr>
      <w:tr w14:paraId="22836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1F665142">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13</w:t>
            </w:r>
          </w:p>
        </w:tc>
        <w:tc>
          <w:tcPr>
            <w:tcW w:w="2024" w:type="dxa"/>
            <w:vAlign w:val="center"/>
          </w:tcPr>
          <w:p w14:paraId="3348134A">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酚类</w:t>
            </w:r>
          </w:p>
        </w:tc>
        <w:tc>
          <w:tcPr>
            <w:tcW w:w="1195" w:type="dxa"/>
            <w:vAlign w:val="center"/>
          </w:tcPr>
          <w:p w14:paraId="6F18CE34">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1368" w:type="dxa"/>
            <w:vAlign w:val="center"/>
          </w:tcPr>
          <w:p w14:paraId="25AB964E">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20（一次值）</w:t>
            </w:r>
          </w:p>
        </w:tc>
        <w:tc>
          <w:tcPr>
            <w:tcW w:w="1104" w:type="dxa"/>
            <w:vAlign w:val="center"/>
          </w:tcPr>
          <w:p w14:paraId="42B1FA17">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2003" w:type="dxa"/>
            <w:vMerge w:val="continue"/>
            <w:vAlign w:val="center"/>
          </w:tcPr>
          <w:p w14:paraId="40D41055">
            <w:pPr>
              <w:pStyle w:val="190"/>
              <w:rPr>
                <w:rFonts w:ascii="Times New Roman" w:hAnsi="Times New Roman" w:cs="Times New Roman"/>
                <w:color w:val="000000" w:themeColor="text1"/>
                <w:kern w:val="2"/>
                <w:szCs w:val="22"/>
                <w14:textFill>
                  <w14:solidFill>
                    <w14:schemeClr w14:val="tx1"/>
                  </w14:solidFill>
                </w14:textFill>
              </w:rPr>
            </w:pPr>
          </w:p>
        </w:tc>
      </w:tr>
      <w:tr w14:paraId="1F2BE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29" w:type="dxa"/>
            <w:vAlign w:val="center"/>
          </w:tcPr>
          <w:p w14:paraId="2716A65C">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14</w:t>
            </w:r>
          </w:p>
        </w:tc>
        <w:tc>
          <w:tcPr>
            <w:tcW w:w="2024" w:type="dxa"/>
            <w:vAlign w:val="center"/>
          </w:tcPr>
          <w:p w14:paraId="2AF8ED11">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氰化氢</w:t>
            </w:r>
          </w:p>
        </w:tc>
        <w:tc>
          <w:tcPr>
            <w:tcW w:w="1195" w:type="dxa"/>
            <w:vAlign w:val="center"/>
          </w:tcPr>
          <w:p w14:paraId="2AAB7041">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30</w:t>
            </w:r>
          </w:p>
        </w:tc>
        <w:tc>
          <w:tcPr>
            <w:tcW w:w="1368" w:type="dxa"/>
            <w:vAlign w:val="center"/>
          </w:tcPr>
          <w:p w14:paraId="0DFE479B">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1104" w:type="dxa"/>
            <w:vAlign w:val="center"/>
          </w:tcPr>
          <w:p w14:paraId="6F0DBE8D">
            <w:pPr>
              <w:pStyle w:val="190"/>
              <w:rPr>
                <w:rFonts w:ascii="Times New Roman" w:hAnsi="Times New Roman" w:cs="Times New Roman"/>
                <w:color w:val="000000" w:themeColor="text1"/>
                <w:kern w:val="2"/>
                <w:szCs w:val="22"/>
                <w14:textFill>
                  <w14:solidFill>
                    <w14:schemeClr w14:val="tx1"/>
                  </w14:solidFill>
                </w14:textFill>
              </w:rPr>
            </w:pPr>
            <w:r>
              <w:rPr>
                <w:rFonts w:hint="eastAsia" w:ascii="Times New Roman" w:hAnsi="Times New Roman" w:cs="Times New Roman"/>
                <w:color w:val="000000" w:themeColor="text1"/>
                <w:kern w:val="2"/>
                <w:szCs w:val="22"/>
                <w14:textFill>
                  <w14:solidFill>
                    <w14:schemeClr w14:val="tx1"/>
                  </w14:solidFill>
                </w14:textFill>
              </w:rPr>
              <w:t>/</w:t>
            </w:r>
          </w:p>
        </w:tc>
        <w:tc>
          <w:tcPr>
            <w:tcW w:w="2003" w:type="dxa"/>
            <w:vMerge w:val="continue"/>
            <w:vAlign w:val="center"/>
          </w:tcPr>
          <w:p w14:paraId="7D541EBB">
            <w:pPr>
              <w:pStyle w:val="190"/>
              <w:rPr>
                <w:rFonts w:ascii="Times New Roman" w:hAnsi="Times New Roman" w:cs="Times New Roman"/>
                <w:color w:val="000000" w:themeColor="text1"/>
                <w:kern w:val="2"/>
                <w:szCs w:val="22"/>
                <w14:textFill>
                  <w14:solidFill>
                    <w14:schemeClr w14:val="tx1"/>
                  </w14:solidFill>
                </w14:textFill>
              </w:rPr>
            </w:pPr>
          </w:p>
        </w:tc>
      </w:tr>
    </w:tbl>
    <w:p w14:paraId="7170DF15">
      <w:pPr>
        <w:rPr>
          <w:rFonts w:hint="eastAsia"/>
          <w:color w:val="000000" w:themeColor="text1"/>
          <w14:textFill>
            <w14:solidFill>
              <w14:schemeClr w14:val="tx1"/>
            </w14:solidFill>
          </w14:textFill>
        </w:rPr>
      </w:pPr>
    </w:p>
    <w:p w14:paraId="122B1AF9">
      <w:pPr>
        <w:pStyle w:val="98"/>
        <w:rPr>
          <w:rFonts w:hint="eastAsia"/>
          <w:snapToGrid w:val="0"/>
        </w:rPr>
      </w:pPr>
      <w:r>
        <w:rPr>
          <w:rFonts w:hint="eastAsia"/>
          <w:snapToGrid w:val="0"/>
        </w:rPr>
        <w:t>地表水质量标准</w:t>
      </w:r>
    </w:p>
    <w:p w14:paraId="1AB67D21">
      <w:pPr>
        <w:pStyle w:val="281"/>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评价区域地表水</w:t>
      </w:r>
      <w:r>
        <w:rPr>
          <w:color w:val="000000" w:themeColor="text1"/>
          <w14:textFill>
            <w14:solidFill>
              <w14:schemeClr w14:val="tx1"/>
            </w14:solidFill>
          </w14:textFill>
        </w:rPr>
        <w:t>执行《地表水环境质量标准》（GB3838-2002）中的Ⅲ类标准。标准值见</w:t>
      </w:r>
      <w:r>
        <w:rPr>
          <w:rFonts w:hint="eastAsia" w:ascii="宋体" w:hAnsi="宋体"/>
          <w:color w:val="000000" w:themeColor="text1"/>
          <w14:textFill>
            <w14:solidFill>
              <w14:schemeClr w14:val="tx1"/>
            </w14:solidFill>
          </w14:textFill>
        </w:rPr>
        <w:t>表</w:t>
      </w:r>
      <w:r>
        <w:rPr>
          <w:color w:val="000000" w:themeColor="text1"/>
          <w14:textFill>
            <w14:solidFill>
              <w14:schemeClr w14:val="tx1"/>
            </w14:solidFill>
          </w14:textFill>
        </w:rPr>
        <w:t>2.5.1-2。</w:t>
      </w:r>
    </w:p>
    <w:p w14:paraId="65EB1714">
      <w:pPr>
        <w:pStyle w:val="114"/>
        <w:rPr>
          <w:rFonts w:hint="eastAsia" w:hAnsi="黑体"/>
          <w:color w:val="000000" w:themeColor="text1"/>
          <w14:textFill>
            <w14:solidFill>
              <w14:schemeClr w14:val="tx1"/>
            </w14:solidFill>
          </w14:textFill>
        </w:rPr>
      </w:pPr>
      <w:r>
        <w:rPr>
          <w:color w:val="000000" w:themeColor="text1"/>
          <w14:textFill>
            <w14:solidFill>
              <w14:schemeClr w14:val="tx1"/>
            </w14:solidFill>
          </w14:textFill>
        </w:rPr>
        <w:t xml:space="preserve">表2.5.1-2    </w:t>
      </w:r>
      <w:r>
        <w:rPr>
          <w:rFonts w:hAnsi="黑体"/>
          <w:color w:val="000000" w:themeColor="text1"/>
          <w14:textFill>
            <w14:solidFill>
              <w14:schemeClr w14:val="tx1"/>
            </w14:solidFill>
          </w14:textFill>
        </w:rPr>
        <w:t>地</w:t>
      </w:r>
      <w:r>
        <w:rPr>
          <w:rFonts w:hint="eastAsia" w:hAnsi="黑体"/>
          <w:color w:val="000000" w:themeColor="text1"/>
          <w14:textFill>
            <w14:solidFill>
              <w14:schemeClr w14:val="tx1"/>
            </w14:solidFill>
          </w14:textFill>
        </w:rPr>
        <w:t>表</w:t>
      </w:r>
      <w:r>
        <w:rPr>
          <w:rFonts w:hAnsi="黑体"/>
          <w:color w:val="000000" w:themeColor="text1"/>
          <w14:textFill>
            <w14:solidFill>
              <w14:schemeClr w14:val="tx1"/>
            </w14:solidFill>
          </w14:textFill>
        </w:rPr>
        <w:t>水水质评价标准</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560"/>
        <w:gridCol w:w="2157"/>
        <w:gridCol w:w="2233"/>
      </w:tblGrid>
      <w:tr w14:paraId="6869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6E14E09">
            <w:pPr>
              <w:pStyle w:val="557"/>
            </w:pPr>
            <w:r>
              <w:rPr>
                <w:rFonts w:hint="eastAsia"/>
              </w:rPr>
              <w:t>序号</w:t>
            </w:r>
          </w:p>
        </w:tc>
        <w:tc>
          <w:tcPr>
            <w:tcW w:w="2560" w:type="dxa"/>
            <w:vAlign w:val="center"/>
          </w:tcPr>
          <w:p w14:paraId="0C7B54BD">
            <w:pPr>
              <w:pStyle w:val="557"/>
            </w:pPr>
            <w:r>
              <w:rPr>
                <w:rFonts w:hint="eastAsia"/>
              </w:rPr>
              <w:t>监测项目</w:t>
            </w:r>
          </w:p>
        </w:tc>
        <w:tc>
          <w:tcPr>
            <w:tcW w:w="2157" w:type="dxa"/>
            <w:vAlign w:val="center"/>
          </w:tcPr>
          <w:p w14:paraId="726E833D">
            <w:pPr>
              <w:pStyle w:val="557"/>
            </w:pPr>
            <w:r>
              <w:rPr>
                <w:rFonts w:hint="eastAsia"/>
              </w:rPr>
              <w:t>单位</w:t>
            </w:r>
          </w:p>
        </w:tc>
        <w:tc>
          <w:tcPr>
            <w:tcW w:w="2233" w:type="dxa"/>
            <w:vAlign w:val="center"/>
          </w:tcPr>
          <w:p w14:paraId="14ADBE4A">
            <w:pPr>
              <w:pStyle w:val="557"/>
            </w:pPr>
            <w:r>
              <w:rPr>
                <w:rFonts w:hint="eastAsia"/>
              </w:rPr>
              <w:t>标准限值（</w:t>
            </w:r>
            <w:r>
              <w:t>mg/L</w:t>
            </w:r>
            <w:r>
              <w:rPr>
                <w:rFonts w:hint="eastAsia"/>
              </w:rPr>
              <w:t>）</w:t>
            </w:r>
          </w:p>
        </w:tc>
      </w:tr>
      <w:tr w14:paraId="1D4C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DB3335F">
            <w:pPr>
              <w:pStyle w:val="557"/>
            </w:pPr>
            <w:r>
              <w:rPr>
                <w:rFonts w:hint="eastAsia"/>
              </w:rPr>
              <w:t>1</w:t>
            </w:r>
          </w:p>
        </w:tc>
        <w:tc>
          <w:tcPr>
            <w:tcW w:w="2560" w:type="dxa"/>
            <w:vAlign w:val="center"/>
          </w:tcPr>
          <w:p w14:paraId="1EC6981C">
            <w:pPr>
              <w:pStyle w:val="557"/>
            </w:pPr>
            <w:r>
              <w:t>pH</w:t>
            </w:r>
          </w:p>
        </w:tc>
        <w:tc>
          <w:tcPr>
            <w:tcW w:w="2157" w:type="dxa"/>
            <w:vAlign w:val="center"/>
          </w:tcPr>
          <w:p w14:paraId="43C6206C">
            <w:pPr>
              <w:pStyle w:val="557"/>
            </w:pPr>
            <w:r>
              <w:t>℃</w:t>
            </w:r>
          </w:p>
        </w:tc>
        <w:tc>
          <w:tcPr>
            <w:tcW w:w="2233" w:type="dxa"/>
            <w:vAlign w:val="center"/>
          </w:tcPr>
          <w:p w14:paraId="22D69632">
            <w:pPr>
              <w:pStyle w:val="557"/>
            </w:pPr>
            <w:r>
              <w:t>6~9</w:t>
            </w:r>
          </w:p>
        </w:tc>
      </w:tr>
      <w:tr w14:paraId="4E9A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20F1759">
            <w:pPr>
              <w:pStyle w:val="557"/>
            </w:pPr>
            <w:r>
              <w:rPr>
                <w:rFonts w:hint="eastAsia"/>
              </w:rPr>
              <w:t>2</w:t>
            </w:r>
          </w:p>
        </w:tc>
        <w:tc>
          <w:tcPr>
            <w:tcW w:w="2560" w:type="dxa"/>
            <w:vAlign w:val="center"/>
          </w:tcPr>
          <w:p w14:paraId="37FF6DE0">
            <w:pPr>
              <w:pStyle w:val="557"/>
            </w:pPr>
            <w:r>
              <w:rPr>
                <w:rFonts w:hint="eastAsia"/>
              </w:rPr>
              <w:t>溶解氧</w:t>
            </w:r>
          </w:p>
        </w:tc>
        <w:tc>
          <w:tcPr>
            <w:tcW w:w="2157" w:type="dxa"/>
            <w:vAlign w:val="center"/>
          </w:tcPr>
          <w:p w14:paraId="5D26FB39">
            <w:pPr>
              <w:pStyle w:val="557"/>
            </w:pPr>
            <w:r>
              <w:rPr>
                <w:rFonts w:hint="eastAsia"/>
              </w:rPr>
              <w:t>无量纲</w:t>
            </w:r>
          </w:p>
        </w:tc>
        <w:tc>
          <w:tcPr>
            <w:tcW w:w="2233" w:type="dxa"/>
            <w:vAlign w:val="center"/>
          </w:tcPr>
          <w:p w14:paraId="3B80932C">
            <w:pPr>
              <w:pStyle w:val="557"/>
            </w:pPr>
            <w:r>
              <w:t>≥</w:t>
            </w:r>
            <w:r>
              <w:rPr>
                <w:rFonts w:hint="eastAsia"/>
              </w:rPr>
              <w:t>5</w:t>
            </w:r>
          </w:p>
        </w:tc>
      </w:tr>
      <w:tr w14:paraId="4397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4CAB058">
            <w:pPr>
              <w:pStyle w:val="557"/>
            </w:pPr>
            <w:r>
              <w:rPr>
                <w:rFonts w:hint="eastAsia"/>
              </w:rPr>
              <w:t>3</w:t>
            </w:r>
          </w:p>
        </w:tc>
        <w:tc>
          <w:tcPr>
            <w:tcW w:w="2560" w:type="dxa"/>
            <w:vAlign w:val="center"/>
          </w:tcPr>
          <w:p w14:paraId="0EDBEC53">
            <w:pPr>
              <w:pStyle w:val="557"/>
            </w:pPr>
            <w:r>
              <w:rPr>
                <w:rFonts w:hint="eastAsia"/>
              </w:rPr>
              <w:t>高锰酸盐指数</w:t>
            </w:r>
          </w:p>
        </w:tc>
        <w:tc>
          <w:tcPr>
            <w:tcW w:w="2157" w:type="dxa"/>
            <w:vAlign w:val="center"/>
          </w:tcPr>
          <w:p w14:paraId="2605E327">
            <w:pPr>
              <w:pStyle w:val="557"/>
            </w:pPr>
            <w:r>
              <w:t>mg/L</w:t>
            </w:r>
          </w:p>
        </w:tc>
        <w:tc>
          <w:tcPr>
            <w:tcW w:w="2233" w:type="dxa"/>
            <w:vAlign w:val="center"/>
          </w:tcPr>
          <w:p w14:paraId="4AE80F15">
            <w:pPr>
              <w:pStyle w:val="557"/>
            </w:pPr>
            <w:r>
              <w:t>≤6</w:t>
            </w:r>
          </w:p>
        </w:tc>
      </w:tr>
      <w:tr w14:paraId="29CE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3B61B47">
            <w:pPr>
              <w:pStyle w:val="557"/>
            </w:pPr>
            <w:r>
              <w:rPr>
                <w:rFonts w:hint="eastAsia"/>
              </w:rPr>
              <w:t>4</w:t>
            </w:r>
          </w:p>
        </w:tc>
        <w:tc>
          <w:tcPr>
            <w:tcW w:w="2560" w:type="dxa"/>
            <w:vAlign w:val="center"/>
          </w:tcPr>
          <w:p w14:paraId="1C41327C">
            <w:pPr>
              <w:pStyle w:val="557"/>
            </w:pPr>
            <w:r>
              <w:rPr>
                <w:rFonts w:hint="eastAsia"/>
              </w:rPr>
              <w:t>化学需氧量</w:t>
            </w:r>
          </w:p>
        </w:tc>
        <w:tc>
          <w:tcPr>
            <w:tcW w:w="2157" w:type="dxa"/>
            <w:vAlign w:val="center"/>
          </w:tcPr>
          <w:p w14:paraId="0C3A81A9">
            <w:pPr>
              <w:pStyle w:val="557"/>
            </w:pPr>
            <w:r>
              <w:t>mg/L</w:t>
            </w:r>
          </w:p>
        </w:tc>
        <w:tc>
          <w:tcPr>
            <w:tcW w:w="2233" w:type="dxa"/>
            <w:vAlign w:val="center"/>
          </w:tcPr>
          <w:p w14:paraId="3B8CF63A">
            <w:pPr>
              <w:pStyle w:val="557"/>
            </w:pPr>
            <w:r>
              <w:t>≤</w:t>
            </w:r>
            <w:r>
              <w:rPr>
                <w:rFonts w:hint="eastAsia"/>
              </w:rPr>
              <w:t>20</w:t>
            </w:r>
          </w:p>
        </w:tc>
      </w:tr>
      <w:tr w14:paraId="5771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373712E">
            <w:pPr>
              <w:pStyle w:val="557"/>
            </w:pPr>
            <w:r>
              <w:rPr>
                <w:rFonts w:hint="eastAsia"/>
              </w:rPr>
              <w:t>5</w:t>
            </w:r>
          </w:p>
        </w:tc>
        <w:tc>
          <w:tcPr>
            <w:tcW w:w="2560" w:type="dxa"/>
            <w:vAlign w:val="center"/>
          </w:tcPr>
          <w:p w14:paraId="7EC9A8A1">
            <w:pPr>
              <w:pStyle w:val="557"/>
            </w:pPr>
            <w:r>
              <w:rPr>
                <w:rFonts w:hint="eastAsia"/>
              </w:rPr>
              <w:t>五日生化需氧量</w:t>
            </w:r>
          </w:p>
        </w:tc>
        <w:tc>
          <w:tcPr>
            <w:tcW w:w="2157" w:type="dxa"/>
            <w:vAlign w:val="center"/>
          </w:tcPr>
          <w:p w14:paraId="19572E2A">
            <w:pPr>
              <w:pStyle w:val="557"/>
            </w:pPr>
            <w:r>
              <w:t>mg/L</w:t>
            </w:r>
          </w:p>
        </w:tc>
        <w:tc>
          <w:tcPr>
            <w:tcW w:w="2233" w:type="dxa"/>
            <w:vAlign w:val="center"/>
          </w:tcPr>
          <w:p w14:paraId="4092B688">
            <w:pPr>
              <w:pStyle w:val="557"/>
            </w:pPr>
            <w:r>
              <w:t>≤</w:t>
            </w:r>
            <w:r>
              <w:rPr>
                <w:rFonts w:hint="eastAsia"/>
              </w:rPr>
              <w:t>4</w:t>
            </w:r>
          </w:p>
        </w:tc>
      </w:tr>
      <w:tr w14:paraId="6C9D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3512DDC">
            <w:pPr>
              <w:pStyle w:val="557"/>
            </w:pPr>
            <w:r>
              <w:rPr>
                <w:rFonts w:hint="eastAsia"/>
              </w:rPr>
              <w:t>6</w:t>
            </w:r>
          </w:p>
        </w:tc>
        <w:tc>
          <w:tcPr>
            <w:tcW w:w="2560" w:type="dxa"/>
            <w:vAlign w:val="center"/>
          </w:tcPr>
          <w:p w14:paraId="4C592823">
            <w:pPr>
              <w:pStyle w:val="557"/>
            </w:pPr>
            <w:r>
              <w:rPr>
                <w:rFonts w:hint="eastAsia"/>
              </w:rPr>
              <w:t>氨氮</w:t>
            </w:r>
          </w:p>
        </w:tc>
        <w:tc>
          <w:tcPr>
            <w:tcW w:w="2157" w:type="dxa"/>
            <w:vAlign w:val="center"/>
          </w:tcPr>
          <w:p w14:paraId="1365B10B">
            <w:pPr>
              <w:pStyle w:val="557"/>
            </w:pPr>
            <w:r>
              <w:t>mg/L</w:t>
            </w:r>
          </w:p>
        </w:tc>
        <w:tc>
          <w:tcPr>
            <w:tcW w:w="2233" w:type="dxa"/>
            <w:vAlign w:val="center"/>
          </w:tcPr>
          <w:p w14:paraId="3F459CCE">
            <w:pPr>
              <w:pStyle w:val="557"/>
            </w:pPr>
            <w:r>
              <w:t>≤</w:t>
            </w:r>
            <w:r>
              <w:rPr>
                <w:rFonts w:hint="eastAsia"/>
              </w:rPr>
              <w:t>1.0</w:t>
            </w:r>
          </w:p>
        </w:tc>
      </w:tr>
      <w:tr w14:paraId="4291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F373AFB">
            <w:pPr>
              <w:pStyle w:val="557"/>
            </w:pPr>
            <w:r>
              <w:rPr>
                <w:rFonts w:hint="eastAsia"/>
              </w:rPr>
              <w:t>7</w:t>
            </w:r>
          </w:p>
        </w:tc>
        <w:tc>
          <w:tcPr>
            <w:tcW w:w="2560" w:type="dxa"/>
            <w:vAlign w:val="center"/>
          </w:tcPr>
          <w:p w14:paraId="34DE99CF">
            <w:pPr>
              <w:pStyle w:val="557"/>
            </w:pPr>
            <w:r>
              <w:rPr>
                <w:rFonts w:hint="eastAsia"/>
              </w:rPr>
              <w:t>铜</w:t>
            </w:r>
          </w:p>
        </w:tc>
        <w:tc>
          <w:tcPr>
            <w:tcW w:w="2157" w:type="dxa"/>
            <w:vAlign w:val="center"/>
          </w:tcPr>
          <w:p w14:paraId="5ABF5FF5">
            <w:pPr>
              <w:pStyle w:val="557"/>
            </w:pPr>
            <w:r>
              <w:t>mg/L</w:t>
            </w:r>
          </w:p>
        </w:tc>
        <w:tc>
          <w:tcPr>
            <w:tcW w:w="2233" w:type="dxa"/>
            <w:vAlign w:val="center"/>
          </w:tcPr>
          <w:p w14:paraId="7AD117F6">
            <w:pPr>
              <w:pStyle w:val="557"/>
            </w:pPr>
            <w:r>
              <w:t>≤</w:t>
            </w:r>
            <w:r>
              <w:rPr>
                <w:rFonts w:hint="eastAsia"/>
              </w:rPr>
              <w:t>1.0</w:t>
            </w:r>
          </w:p>
        </w:tc>
      </w:tr>
      <w:tr w14:paraId="71AB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56EC5987">
            <w:pPr>
              <w:pStyle w:val="557"/>
            </w:pPr>
            <w:r>
              <w:rPr>
                <w:rFonts w:hint="eastAsia"/>
              </w:rPr>
              <w:t>8</w:t>
            </w:r>
          </w:p>
        </w:tc>
        <w:tc>
          <w:tcPr>
            <w:tcW w:w="2560" w:type="dxa"/>
            <w:vAlign w:val="center"/>
          </w:tcPr>
          <w:p w14:paraId="443379D7">
            <w:pPr>
              <w:pStyle w:val="557"/>
            </w:pPr>
            <w:r>
              <w:rPr>
                <w:rFonts w:hint="eastAsia"/>
              </w:rPr>
              <w:t>锌</w:t>
            </w:r>
          </w:p>
        </w:tc>
        <w:tc>
          <w:tcPr>
            <w:tcW w:w="2157" w:type="dxa"/>
            <w:vAlign w:val="center"/>
          </w:tcPr>
          <w:p w14:paraId="05D6193B">
            <w:pPr>
              <w:pStyle w:val="557"/>
            </w:pPr>
            <w:r>
              <w:t>mg/L</w:t>
            </w:r>
          </w:p>
        </w:tc>
        <w:tc>
          <w:tcPr>
            <w:tcW w:w="2233" w:type="dxa"/>
            <w:vAlign w:val="center"/>
          </w:tcPr>
          <w:p w14:paraId="0192A409">
            <w:pPr>
              <w:pStyle w:val="557"/>
            </w:pPr>
            <w:r>
              <w:t>≤1.0</w:t>
            </w:r>
          </w:p>
        </w:tc>
      </w:tr>
      <w:tr w14:paraId="227C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5EFADFCD">
            <w:pPr>
              <w:pStyle w:val="557"/>
            </w:pPr>
            <w:r>
              <w:rPr>
                <w:rFonts w:hint="eastAsia"/>
              </w:rPr>
              <w:t>9</w:t>
            </w:r>
          </w:p>
        </w:tc>
        <w:tc>
          <w:tcPr>
            <w:tcW w:w="2560" w:type="dxa"/>
            <w:vAlign w:val="center"/>
          </w:tcPr>
          <w:p w14:paraId="5968A9D7">
            <w:pPr>
              <w:pStyle w:val="557"/>
            </w:pPr>
            <w:r>
              <w:rPr>
                <w:rFonts w:hint="eastAsia"/>
              </w:rPr>
              <w:t>硒</w:t>
            </w:r>
          </w:p>
        </w:tc>
        <w:tc>
          <w:tcPr>
            <w:tcW w:w="2157" w:type="dxa"/>
            <w:vAlign w:val="center"/>
          </w:tcPr>
          <w:p w14:paraId="1F488C4D">
            <w:pPr>
              <w:pStyle w:val="557"/>
            </w:pPr>
            <w:r>
              <w:t>mg/L</w:t>
            </w:r>
          </w:p>
        </w:tc>
        <w:tc>
          <w:tcPr>
            <w:tcW w:w="2233" w:type="dxa"/>
            <w:vAlign w:val="center"/>
          </w:tcPr>
          <w:p w14:paraId="3D3B2EBB">
            <w:pPr>
              <w:pStyle w:val="557"/>
            </w:pPr>
            <w:r>
              <w:t>≤0.0</w:t>
            </w:r>
            <w:r>
              <w:rPr>
                <w:rFonts w:hint="eastAsia"/>
              </w:rPr>
              <w:t>1</w:t>
            </w:r>
          </w:p>
        </w:tc>
      </w:tr>
      <w:tr w14:paraId="130A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1CEFE81E">
            <w:pPr>
              <w:pStyle w:val="557"/>
            </w:pPr>
            <w:r>
              <w:rPr>
                <w:rFonts w:hint="eastAsia"/>
              </w:rPr>
              <w:t>10</w:t>
            </w:r>
          </w:p>
        </w:tc>
        <w:tc>
          <w:tcPr>
            <w:tcW w:w="2560" w:type="dxa"/>
            <w:vAlign w:val="center"/>
          </w:tcPr>
          <w:p w14:paraId="3AA88C6F">
            <w:pPr>
              <w:pStyle w:val="557"/>
            </w:pPr>
            <w:r>
              <w:rPr>
                <w:rFonts w:hint="eastAsia"/>
              </w:rPr>
              <w:t>砷</w:t>
            </w:r>
          </w:p>
        </w:tc>
        <w:tc>
          <w:tcPr>
            <w:tcW w:w="2157" w:type="dxa"/>
            <w:vAlign w:val="center"/>
          </w:tcPr>
          <w:p w14:paraId="6F204760">
            <w:pPr>
              <w:pStyle w:val="557"/>
            </w:pPr>
            <w:r>
              <w:t>mg/L</w:t>
            </w:r>
          </w:p>
        </w:tc>
        <w:tc>
          <w:tcPr>
            <w:tcW w:w="2233" w:type="dxa"/>
            <w:vAlign w:val="center"/>
          </w:tcPr>
          <w:p w14:paraId="445F31E6">
            <w:pPr>
              <w:pStyle w:val="557"/>
            </w:pPr>
            <w:r>
              <w:t>≤</w:t>
            </w:r>
            <w:r>
              <w:rPr>
                <w:rFonts w:hint="eastAsia"/>
              </w:rPr>
              <w:t>0.05</w:t>
            </w:r>
          </w:p>
        </w:tc>
      </w:tr>
      <w:tr w14:paraId="24E1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68D56BF">
            <w:pPr>
              <w:pStyle w:val="557"/>
            </w:pPr>
            <w:r>
              <w:rPr>
                <w:rFonts w:hint="eastAsia"/>
              </w:rPr>
              <w:t>11</w:t>
            </w:r>
          </w:p>
        </w:tc>
        <w:tc>
          <w:tcPr>
            <w:tcW w:w="2560" w:type="dxa"/>
            <w:vAlign w:val="center"/>
          </w:tcPr>
          <w:p w14:paraId="7745901C">
            <w:pPr>
              <w:pStyle w:val="557"/>
            </w:pPr>
            <w:r>
              <w:rPr>
                <w:rFonts w:hint="eastAsia"/>
              </w:rPr>
              <w:t>汞</w:t>
            </w:r>
          </w:p>
        </w:tc>
        <w:tc>
          <w:tcPr>
            <w:tcW w:w="2157" w:type="dxa"/>
            <w:vAlign w:val="center"/>
          </w:tcPr>
          <w:p w14:paraId="42B68140">
            <w:pPr>
              <w:pStyle w:val="557"/>
            </w:pPr>
            <w:r>
              <w:t>mg/L</w:t>
            </w:r>
          </w:p>
        </w:tc>
        <w:tc>
          <w:tcPr>
            <w:tcW w:w="2233" w:type="dxa"/>
            <w:vAlign w:val="center"/>
          </w:tcPr>
          <w:p w14:paraId="6E89507C">
            <w:pPr>
              <w:pStyle w:val="557"/>
            </w:pPr>
            <w:r>
              <w:t>≤0.000</w:t>
            </w:r>
            <w:r>
              <w:rPr>
                <w:rFonts w:hint="eastAsia"/>
              </w:rPr>
              <w:t>1</w:t>
            </w:r>
          </w:p>
        </w:tc>
      </w:tr>
      <w:tr w14:paraId="3907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7D401495">
            <w:pPr>
              <w:pStyle w:val="557"/>
            </w:pPr>
            <w:r>
              <w:rPr>
                <w:rFonts w:hint="eastAsia"/>
              </w:rPr>
              <w:t>12</w:t>
            </w:r>
          </w:p>
        </w:tc>
        <w:tc>
          <w:tcPr>
            <w:tcW w:w="2560" w:type="dxa"/>
            <w:vAlign w:val="center"/>
          </w:tcPr>
          <w:p w14:paraId="1E628048">
            <w:pPr>
              <w:pStyle w:val="557"/>
            </w:pPr>
            <w:r>
              <w:rPr>
                <w:rFonts w:hint="eastAsia"/>
              </w:rPr>
              <w:t>镉</w:t>
            </w:r>
          </w:p>
        </w:tc>
        <w:tc>
          <w:tcPr>
            <w:tcW w:w="2157" w:type="dxa"/>
            <w:vAlign w:val="center"/>
          </w:tcPr>
          <w:p w14:paraId="43E01037">
            <w:pPr>
              <w:pStyle w:val="557"/>
            </w:pPr>
            <w:r>
              <w:t>mg/L</w:t>
            </w:r>
          </w:p>
        </w:tc>
        <w:tc>
          <w:tcPr>
            <w:tcW w:w="2233" w:type="dxa"/>
            <w:vAlign w:val="center"/>
          </w:tcPr>
          <w:p w14:paraId="05DAE174">
            <w:pPr>
              <w:pStyle w:val="557"/>
            </w:pPr>
            <w:r>
              <w:t>≤0.005</w:t>
            </w:r>
          </w:p>
        </w:tc>
      </w:tr>
      <w:tr w14:paraId="730A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7E27720C">
            <w:pPr>
              <w:pStyle w:val="557"/>
            </w:pPr>
            <w:r>
              <w:rPr>
                <w:rFonts w:hint="eastAsia"/>
              </w:rPr>
              <w:t>13</w:t>
            </w:r>
          </w:p>
        </w:tc>
        <w:tc>
          <w:tcPr>
            <w:tcW w:w="2560" w:type="dxa"/>
            <w:vAlign w:val="center"/>
          </w:tcPr>
          <w:p w14:paraId="4A4F3177">
            <w:pPr>
              <w:pStyle w:val="557"/>
            </w:pPr>
            <w:r>
              <w:rPr>
                <w:rFonts w:hint="eastAsia"/>
              </w:rPr>
              <w:t>六价铬</w:t>
            </w:r>
          </w:p>
        </w:tc>
        <w:tc>
          <w:tcPr>
            <w:tcW w:w="2157" w:type="dxa"/>
            <w:vAlign w:val="center"/>
          </w:tcPr>
          <w:p w14:paraId="5B298CDA">
            <w:pPr>
              <w:pStyle w:val="557"/>
            </w:pPr>
            <w:r>
              <w:t>mg/L</w:t>
            </w:r>
          </w:p>
        </w:tc>
        <w:tc>
          <w:tcPr>
            <w:tcW w:w="2233" w:type="dxa"/>
            <w:vAlign w:val="center"/>
          </w:tcPr>
          <w:p w14:paraId="640D733D">
            <w:pPr>
              <w:pStyle w:val="557"/>
            </w:pPr>
            <w:r>
              <w:t>≤0.05</w:t>
            </w:r>
          </w:p>
        </w:tc>
      </w:tr>
      <w:tr w14:paraId="3A58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486E560">
            <w:pPr>
              <w:pStyle w:val="557"/>
            </w:pPr>
            <w:r>
              <w:rPr>
                <w:rFonts w:hint="eastAsia"/>
              </w:rPr>
              <w:t>14</w:t>
            </w:r>
          </w:p>
        </w:tc>
        <w:tc>
          <w:tcPr>
            <w:tcW w:w="2560" w:type="dxa"/>
            <w:vAlign w:val="center"/>
          </w:tcPr>
          <w:p w14:paraId="461A4A0C">
            <w:pPr>
              <w:pStyle w:val="557"/>
            </w:pPr>
            <w:r>
              <w:rPr>
                <w:rFonts w:hint="eastAsia"/>
              </w:rPr>
              <w:t>铅</w:t>
            </w:r>
          </w:p>
        </w:tc>
        <w:tc>
          <w:tcPr>
            <w:tcW w:w="2157" w:type="dxa"/>
            <w:vAlign w:val="center"/>
          </w:tcPr>
          <w:p w14:paraId="799794B5">
            <w:pPr>
              <w:pStyle w:val="557"/>
            </w:pPr>
            <w:r>
              <w:t>mg/L</w:t>
            </w:r>
          </w:p>
        </w:tc>
        <w:tc>
          <w:tcPr>
            <w:tcW w:w="2233" w:type="dxa"/>
            <w:vAlign w:val="center"/>
          </w:tcPr>
          <w:p w14:paraId="4730E89A">
            <w:pPr>
              <w:pStyle w:val="557"/>
            </w:pPr>
            <w:r>
              <w:t>≤0.0</w:t>
            </w:r>
            <w:r>
              <w:rPr>
                <w:rFonts w:hint="eastAsia"/>
              </w:rPr>
              <w:t>5</w:t>
            </w:r>
          </w:p>
        </w:tc>
      </w:tr>
      <w:tr w14:paraId="1A86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55EEE54">
            <w:pPr>
              <w:pStyle w:val="557"/>
            </w:pPr>
            <w:r>
              <w:rPr>
                <w:rFonts w:hint="eastAsia"/>
              </w:rPr>
              <w:t>15</w:t>
            </w:r>
          </w:p>
        </w:tc>
        <w:tc>
          <w:tcPr>
            <w:tcW w:w="2560" w:type="dxa"/>
            <w:vAlign w:val="center"/>
          </w:tcPr>
          <w:p w14:paraId="05E9EDDA">
            <w:pPr>
              <w:pStyle w:val="557"/>
            </w:pPr>
            <w:r>
              <w:rPr>
                <w:rFonts w:hint="eastAsia"/>
              </w:rPr>
              <w:t>氰化物</w:t>
            </w:r>
          </w:p>
        </w:tc>
        <w:tc>
          <w:tcPr>
            <w:tcW w:w="2157" w:type="dxa"/>
            <w:vAlign w:val="center"/>
          </w:tcPr>
          <w:p w14:paraId="7A5675CB">
            <w:pPr>
              <w:pStyle w:val="557"/>
            </w:pPr>
            <w:r>
              <w:t>mg/L</w:t>
            </w:r>
          </w:p>
        </w:tc>
        <w:tc>
          <w:tcPr>
            <w:tcW w:w="2233" w:type="dxa"/>
            <w:vAlign w:val="center"/>
          </w:tcPr>
          <w:p w14:paraId="61F1F663">
            <w:pPr>
              <w:pStyle w:val="557"/>
            </w:pPr>
            <w:r>
              <w:t>≤0.</w:t>
            </w:r>
            <w:r>
              <w:rPr>
                <w:rFonts w:hint="eastAsia"/>
              </w:rPr>
              <w:t>2</w:t>
            </w:r>
          </w:p>
        </w:tc>
      </w:tr>
      <w:tr w14:paraId="67DA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7AEFCC3">
            <w:pPr>
              <w:pStyle w:val="557"/>
            </w:pPr>
            <w:r>
              <w:rPr>
                <w:rFonts w:hint="eastAsia"/>
              </w:rPr>
              <w:t>16</w:t>
            </w:r>
          </w:p>
        </w:tc>
        <w:tc>
          <w:tcPr>
            <w:tcW w:w="2560" w:type="dxa"/>
            <w:vAlign w:val="center"/>
          </w:tcPr>
          <w:p w14:paraId="7F2397C8">
            <w:pPr>
              <w:pStyle w:val="557"/>
            </w:pPr>
            <w:r>
              <w:rPr>
                <w:rFonts w:hint="eastAsia"/>
              </w:rPr>
              <w:t>挥发酚</w:t>
            </w:r>
          </w:p>
        </w:tc>
        <w:tc>
          <w:tcPr>
            <w:tcW w:w="2157" w:type="dxa"/>
            <w:vAlign w:val="center"/>
          </w:tcPr>
          <w:p w14:paraId="1382D6C9">
            <w:pPr>
              <w:pStyle w:val="557"/>
            </w:pPr>
            <w:r>
              <w:t>mg/L</w:t>
            </w:r>
          </w:p>
        </w:tc>
        <w:tc>
          <w:tcPr>
            <w:tcW w:w="2233" w:type="dxa"/>
            <w:vAlign w:val="center"/>
          </w:tcPr>
          <w:p w14:paraId="1D768BB4">
            <w:pPr>
              <w:pStyle w:val="557"/>
            </w:pPr>
            <w:r>
              <w:t>≤0.00</w:t>
            </w:r>
            <w:r>
              <w:rPr>
                <w:rFonts w:hint="eastAsia"/>
              </w:rPr>
              <w:t>5</w:t>
            </w:r>
          </w:p>
        </w:tc>
      </w:tr>
      <w:tr w14:paraId="6299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8C04A96">
            <w:pPr>
              <w:pStyle w:val="557"/>
            </w:pPr>
            <w:r>
              <w:rPr>
                <w:rFonts w:hint="eastAsia"/>
              </w:rPr>
              <w:t>17</w:t>
            </w:r>
          </w:p>
        </w:tc>
        <w:tc>
          <w:tcPr>
            <w:tcW w:w="2560" w:type="dxa"/>
            <w:vAlign w:val="center"/>
          </w:tcPr>
          <w:p w14:paraId="43FA391B">
            <w:pPr>
              <w:pStyle w:val="557"/>
            </w:pPr>
            <w:r>
              <w:rPr>
                <w:rFonts w:hint="eastAsia"/>
              </w:rPr>
              <w:t>石油类</w:t>
            </w:r>
          </w:p>
        </w:tc>
        <w:tc>
          <w:tcPr>
            <w:tcW w:w="2157" w:type="dxa"/>
            <w:vAlign w:val="center"/>
          </w:tcPr>
          <w:p w14:paraId="716D87C3">
            <w:pPr>
              <w:pStyle w:val="557"/>
            </w:pPr>
            <w:r>
              <w:t>mg/L</w:t>
            </w:r>
          </w:p>
        </w:tc>
        <w:tc>
          <w:tcPr>
            <w:tcW w:w="2233" w:type="dxa"/>
            <w:vAlign w:val="center"/>
          </w:tcPr>
          <w:p w14:paraId="11FE4492">
            <w:pPr>
              <w:pStyle w:val="557"/>
            </w:pPr>
            <w:r>
              <w:t>≤0.05</w:t>
            </w:r>
          </w:p>
        </w:tc>
      </w:tr>
      <w:tr w14:paraId="1105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DDBBD7D">
            <w:pPr>
              <w:pStyle w:val="557"/>
            </w:pPr>
            <w:r>
              <w:rPr>
                <w:rFonts w:hint="eastAsia"/>
              </w:rPr>
              <w:t>18</w:t>
            </w:r>
          </w:p>
        </w:tc>
        <w:tc>
          <w:tcPr>
            <w:tcW w:w="2560" w:type="dxa"/>
            <w:vAlign w:val="center"/>
          </w:tcPr>
          <w:p w14:paraId="62012D04">
            <w:pPr>
              <w:pStyle w:val="557"/>
            </w:pPr>
            <w:r>
              <w:rPr>
                <w:rFonts w:hint="eastAsia"/>
              </w:rPr>
              <w:t>总磷</w:t>
            </w:r>
          </w:p>
        </w:tc>
        <w:tc>
          <w:tcPr>
            <w:tcW w:w="2157" w:type="dxa"/>
            <w:vAlign w:val="center"/>
          </w:tcPr>
          <w:p w14:paraId="6228CCAA">
            <w:pPr>
              <w:pStyle w:val="557"/>
            </w:pPr>
            <w:r>
              <w:t>mg/L</w:t>
            </w:r>
          </w:p>
        </w:tc>
        <w:tc>
          <w:tcPr>
            <w:tcW w:w="2233" w:type="dxa"/>
            <w:vAlign w:val="center"/>
          </w:tcPr>
          <w:p w14:paraId="52408A45">
            <w:pPr>
              <w:pStyle w:val="557"/>
            </w:pPr>
            <w:r>
              <w:t>≤0.2</w:t>
            </w:r>
          </w:p>
        </w:tc>
      </w:tr>
      <w:tr w14:paraId="1E22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16E26215">
            <w:pPr>
              <w:pStyle w:val="557"/>
            </w:pPr>
            <w:r>
              <w:rPr>
                <w:rFonts w:hint="eastAsia"/>
              </w:rPr>
              <w:t>19</w:t>
            </w:r>
          </w:p>
        </w:tc>
        <w:tc>
          <w:tcPr>
            <w:tcW w:w="2560" w:type="dxa"/>
            <w:vAlign w:val="center"/>
          </w:tcPr>
          <w:p w14:paraId="05D979C7">
            <w:pPr>
              <w:pStyle w:val="557"/>
            </w:pPr>
            <w:r>
              <w:rPr>
                <w:rFonts w:hint="eastAsia"/>
              </w:rPr>
              <w:t>总氮</w:t>
            </w:r>
          </w:p>
        </w:tc>
        <w:tc>
          <w:tcPr>
            <w:tcW w:w="2157" w:type="dxa"/>
            <w:vAlign w:val="center"/>
          </w:tcPr>
          <w:p w14:paraId="032178F9">
            <w:pPr>
              <w:pStyle w:val="557"/>
            </w:pPr>
            <w:r>
              <w:t>mg/L</w:t>
            </w:r>
          </w:p>
        </w:tc>
        <w:tc>
          <w:tcPr>
            <w:tcW w:w="2233" w:type="dxa"/>
            <w:vAlign w:val="center"/>
          </w:tcPr>
          <w:p w14:paraId="362AAC58">
            <w:pPr>
              <w:pStyle w:val="557"/>
            </w:pPr>
            <w:r>
              <w:t>≤</w:t>
            </w:r>
            <w:r>
              <w:rPr>
                <w:rFonts w:hint="eastAsia"/>
              </w:rPr>
              <w:t>1.0</w:t>
            </w:r>
          </w:p>
        </w:tc>
      </w:tr>
      <w:tr w14:paraId="497C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AF61B96">
            <w:pPr>
              <w:pStyle w:val="557"/>
            </w:pPr>
            <w:r>
              <w:rPr>
                <w:rFonts w:hint="eastAsia"/>
              </w:rPr>
              <w:t>20</w:t>
            </w:r>
          </w:p>
        </w:tc>
        <w:tc>
          <w:tcPr>
            <w:tcW w:w="2560" w:type="dxa"/>
            <w:vAlign w:val="center"/>
          </w:tcPr>
          <w:p w14:paraId="3E8D13F9">
            <w:pPr>
              <w:pStyle w:val="557"/>
            </w:pPr>
            <w:r>
              <w:rPr>
                <w:rFonts w:hint="eastAsia"/>
              </w:rPr>
              <w:t>硫化物</w:t>
            </w:r>
          </w:p>
        </w:tc>
        <w:tc>
          <w:tcPr>
            <w:tcW w:w="2157" w:type="dxa"/>
            <w:vAlign w:val="center"/>
          </w:tcPr>
          <w:p w14:paraId="45440010">
            <w:pPr>
              <w:pStyle w:val="557"/>
            </w:pPr>
            <w:r>
              <w:t>mg/L</w:t>
            </w:r>
          </w:p>
        </w:tc>
        <w:tc>
          <w:tcPr>
            <w:tcW w:w="2233" w:type="dxa"/>
            <w:vAlign w:val="center"/>
          </w:tcPr>
          <w:p w14:paraId="5CC34006">
            <w:pPr>
              <w:pStyle w:val="557"/>
            </w:pPr>
            <w:r>
              <w:t>≤0.</w:t>
            </w:r>
            <w:r>
              <w:rPr>
                <w:rFonts w:hint="eastAsia"/>
              </w:rPr>
              <w:t>2</w:t>
            </w:r>
          </w:p>
        </w:tc>
      </w:tr>
      <w:tr w14:paraId="6BC6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918E373">
            <w:pPr>
              <w:pStyle w:val="557"/>
            </w:pPr>
            <w:r>
              <w:rPr>
                <w:rFonts w:hint="eastAsia"/>
              </w:rPr>
              <w:t>21</w:t>
            </w:r>
          </w:p>
        </w:tc>
        <w:tc>
          <w:tcPr>
            <w:tcW w:w="2560" w:type="dxa"/>
            <w:vAlign w:val="center"/>
          </w:tcPr>
          <w:p w14:paraId="0ADA82E1">
            <w:pPr>
              <w:pStyle w:val="557"/>
            </w:pPr>
            <w:r>
              <w:rPr>
                <w:rFonts w:hint="eastAsia"/>
              </w:rPr>
              <w:t>粪大肠菌群</w:t>
            </w:r>
          </w:p>
        </w:tc>
        <w:tc>
          <w:tcPr>
            <w:tcW w:w="2157" w:type="dxa"/>
            <w:vAlign w:val="center"/>
          </w:tcPr>
          <w:p w14:paraId="7BDBABE1">
            <w:pPr>
              <w:pStyle w:val="557"/>
            </w:pPr>
            <w:r>
              <w:t>CFU/L</w:t>
            </w:r>
          </w:p>
        </w:tc>
        <w:tc>
          <w:tcPr>
            <w:tcW w:w="2233" w:type="dxa"/>
            <w:vAlign w:val="center"/>
          </w:tcPr>
          <w:p w14:paraId="355DD525">
            <w:pPr>
              <w:pStyle w:val="557"/>
            </w:pPr>
            <w:r>
              <w:t>≤</w:t>
            </w:r>
            <w:r>
              <w:rPr>
                <w:rFonts w:hint="eastAsia"/>
              </w:rPr>
              <w:t>10000</w:t>
            </w:r>
          </w:p>
        </w:tc>
      </w:tr>
    </w:tbl>
    <w:p w14:paraId="406A2F97">
      <w:pPr>
        <w:rPr>
          <w:rFonts w:hint="eastAsia"/>
          <w:color w:val="FF0000"/>
        </w:rPr>
      </w:pPr>
    </w:p>
    <w:p w14:paraId="44B09B7B">
      <w:pPr>
        <w:pStyle w:val="98"/>
        <w:rPr>
          <w:rFonts w:hint="eastAsia"/>
          <w:snapToGrid w:val="0"/>
        </w:rPr>
      </w:pPr>
      <w:r>
        <w:rPr>
          <w:snapToGrid w:val="0"/>
        </w:rPr>
        <w:t>地下水质量标准</w:t>
      </w:r>
    </w:p>
    <w:p w14:paraId="46499F8A">
      <w:pPr>
        <w:pStyle w:val="281"/>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评价区域地下水使用功能主</w:t>
      </w:r>
      <w:r>
        <w:rPr>
          <w:color w:val="000000" w:themeColor="text1"/>
          <w14:textFill>
            <w14:solidFill>
              <w14:schemeClr w14:val="tx1"/>
            </w14:solidFill>
          </w14:textFill>
        </w:rPr>
        <w:t>要为工农业用水，地下水水质执行《地下水质量标准》（GB/T14848-2017）中的Ⅲ类标准，石油类参照《地表水环境质量标准》（GB3838-2002）中的Ⅲ类标准。标准值见</w:t>
      </w:r>
      <w:r>
        <w:rPr>
          <w:rFonts w:hint="eastAsia" w:ascii="宋体" w:hAnsi="宋体"/>
          <w:color w:val="000000" w:themeColor="text1"/>
          <w14:textFill>
            <w14:solidFill>
              <w14:schemeClr w14:val="tx1"/>
            </w14:solidFill>
          </w14:textFill>
        </w:rPr>
        <w:t>表</w:t>
      </w:r>
      <w:r>
        <w:rPr>
          <w:color w:val="000000" w:themeColor="text1"/>
          <w14:textFill>
            <w14:solidFill>
              <w14:schemeClr w14:val="tx1"/>
            </w14:solidFill>
          </w14:textFill>
        </w:rPr>
        <w:t>2.5.1-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117A5384">
      <w:pPr>
        <w:pStyle w:val="114"/>
        <w:rPr>
          <w:rFonts w:hint="eastAsia" w:hAnsi="黑体"/>
          <w:color w:val="000000" w:themeColor="text1"/>
          <w14:textFill>
            <w14:solidFill>
              <w14:schemeClr w14:val="tx1"/>
            </w14:solidFill>
          </w14:textFill>
        </w:rPr>
      </w:pPr>
      <w:r>
        <w:rPr>
          <w:color w:val="000000" w:themeColor="text1"/>
          <w14:textFill>
            <w14:solidFill>
              <w14:schemeClr w14:val="tx1"/>
            </w14:solidFill>
          </w14:textFill>
        </w:rPr>
        <w:t>表2.5.1-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Ansi="黑体"/>
          <w:color w:val="000000" w:themeColor="text1"/>
          <w14:textFill>
            <w14:solidFill>
              <w14:schemeClr w14:val="tx1"/>
            </w14:solidFill>
          </w14:textFill>
        </w:rPr>
        <w:t>地下水水质评价标准</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647"/>
        <w:gridCol w:w="1133"/>
        <w:gridCol w:w="1701"/>
        <w:gridCol w:w="2876"/>
      </w:tblGrid>
      <w:tr w14:paraId="6C49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CE2B56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序号</w:t>
            </w:r>
          </w:p>
        </w:tc>
        <w:tc>
          <w:tcPr>
            <w:tcW w:w="968" w:type="pct"/>
            <w:vAlign w:val="center"/>
          </w:tcPr>
          <w:p w14:paraId="405566E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项目</w:t>
            </w:r>
          </w:p>
        </w:tc>
        <w:tc>
          <w:tcPr>
            <w:tcW w:w="666" w:type="pct"/>
            <w:vAlign w:val="center"/>
          </w:tcPr>
          <w:p w14:paraId="2759F19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单位</w:t>
            </w:r>
          </w:p>
        </w:tc>
        <w:tc>
          <w:tcPr>
            <w:tcW w:w="1000" w:type="pct"/>
            <w:vAlign w:val="center"/>
          </w:tcPr>
          <w:p w14:paraId="40959B0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标准限值</w:t>
            </w:r>
          </w:p>
        </w:tc>
        <w:tc>
          <w:tcPr>
            <w:tcW w:w="1691" w:type="pct"/>
            <w:vAlign w:val="center"/>
          </w:tcPr>
          <w:p w14:paraId="466A04D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标准来源</w:t>
            </w:r>
          </w:p>
        </w:tc>
      </w:tr>
      <w:tr w14:paraId="6CD9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0962C1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w:t>
            </w:r>
          </w:p>
        </w:tc>
        <w:tc>
          <w:tcPr>
            <w:tcW w:w="968" w:type="pct"/>
            <w:vAlign w:val="center"/>
          </w:tcPr>
          <w:p w14:paraId="2C25582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pH</w:t>
            </w:r>
          </w:p>
        </w:tc>
        <w:tc>
          <w:tcPr>
            <w:tcW w:w="666" w:type="pct"/>
            <w:vAlign w:val="center"/>
          </w:tcPr>
          <w:p w14:paraId="2FB29633">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000" w:type="pct"/>
            <w:vAlign w:val="center"/>
          </w:tcPr>
          <w:p w14:paraId="7138DC7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6.5-8.5</w:t>
            </w:r>
          </w:p>
        </w:tc>
        <w:tc>
          <w:tcPr>
            <w:tcW w:w="1691" w:type="pct"/>
            <w:vMerge w:val="restart"/>
            <w:vAlign w:val="center"/>
          </w:tcPr>
          <w:p w14:paraId="2D6DEAE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《地下水质量标准》（GB/T14848-2017）Ⅲ类标准</w:t>
            </w:r>
          </w:p>
        </w:tc>
      </w:tr>
      <w:tr w14:paraId="5E31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7DF0230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w:t>
            </w:r>
          </w:p>
        </w:tc>
        <w:tc>
          <w:tcPr>
            <w:tcW w:w="968" w:type="pct"/>
            <w:vAlign w:val="center"/>
          </w:tcPr>
          <w:p w14:paraId="007DC66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钾</w:t>
            </w:r>
          </w:p>
        </w:tc>
        <w:tc>
          <w:tcPr>
            <w:tcW w:w="666" w:type="pct"/>
            <w:vAlign w:val="center"/>
          </w:tcPr>
          <w:p w14:paraId="743109B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184DFF4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w:t>
            </w:r>
          </w:p>
        </w:tc>
        <w:tc>
          <w:tcPr>
            <w:tcW w:w="1691" w:type="pct"/>
            <w:vMerge w:val="continue"/>
            <w:vAlign w:val="center"/>
          </w:tcPr>
          <w:p w14:paraId="034737B7">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7325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B5A2C6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w:t>
            </w:r>
          </w:p>
        </w:tc>
        <w:tc>
          <w:tcPr>
            <w:tcW w:w="968" w:type="pct"/>
            <w:vAlign w:val="center"/>
          </w:tcPr>
          <w:p w14:paraId="6D66043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钠</w:t>
            </w:r>
          </w:p>
        </w:tc>
        <w:tc>
          <w:tcPr>
            <w:tcW w:w="666" w:type="pct"/>
            <w:vAlign w:val="center"/>
          </w:tcPr>
          <w:p w14:paraId="7DBCB6E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4BC19EB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≤200</w:t>
            </w:r>
          </w:p>
        </w:tc>
        <w:tc>
          <w:tcPr>
            <w:tcW w:w="1691" w:type="pct"/>
            <w:vMerge w:val="continue"/>
            <w:vAlign w:val="center"/>
          </w:tcPr>
          <w:p w14:paraId="5DF3F5B4">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34D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0EE6BA9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w:t>
            </w:r>
          </w:p>
        </w:tc>
        <w:tc>
          <w:tcPr>
            <w:tcW w:w="968" w:type="pct"/>
            <w:vAlign w:val="center"/>
          </w:tcPr>
          <w:p w14:paraId="4491E4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钙</w:t>
            </w:r>
          </w:p>
        </w:tc>
        <w:tc>
          <w:tcPr>
            <w:tcW w:w="666" w:type="pct"/>
            <w:vAlign w:val="center"/>
          </w:tcPr>
          <w:p w14:paraId="2BFD259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2999078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w:t>
            </w:r>
          </w:p>
        </w:tc>
        <w:tc>
          <w:tcPr>
            <w:tcW w:w="1691" w:type="pct"/>
            <w:vMerge w:val="continue"/>
            <w:vAlign w:val="center"/>
          </w:tcPr>
          <w:p w14:paraId="6EC27372">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0B54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3F30A63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968" w:type="pct"/>
            <w:vAlign w:val="center"/>
          </w:tcPr>
          <w:p w14:paraId="486602A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镁</w:t>
            </w:r>
          </w:p>
        </w:tc>
        <w:tc>
          <w:tcPr>
            <w:tcW w:w="666" w:type="pct"/>
            <w:vAlign w:val="center"/>
          </w:tcPr>
          <w:p w14:paraId="0C804C4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30FB45E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w:t>
            </w:r>
          </w:p>
        </w:tc>
        <w:tc>
          <w:tcPr>
            <w:tcW w:w="1691" w:type="pct"/>
            <w:vMerge w:val="continue"/>
            <w:vAlign w:val="center"/>
          </w:tcPr>
          <w:p w14:paraId="32B60118">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F5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4CCE739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w:t>
            </w:r>
          </w:p>
        </w:tc>
        <w:tc>
          <w:tcPr>
            <w:tcW w:w="968" w:type="pct"/>
            <w:vAlign w:val="center"/>
          </w:tcPr>
          <w:p w14:paraId="27359D0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碳酸根</w:t>
            </w:r>
          </w:p>
        </w:tc>
        <w:tc>
          <w:tcPr>
            <w:tcW w:w="666" w:type="pct"/>
            <w:vAlign w:val="center"/>
          </w:tcPr>
          <w:p w14:paraId="4ED61DB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073DC45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w:t>
            </w:r>
          </w:p>
        </w:tc>
        <w:tc>
          <w:tcPr>
            <w:tcW w:w="1691" w:type="pct"/>
            <w:vMerge w:val="continue"/>
            <w:vAlign w:val="center"/>
          </w:tcPr>
          <w:p w14:paraId="67A27B3F">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6808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DD515B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w:t>
            </w:r>
          </w:p>
        </w:tc>
        <w:tc>
          <w:tcPr>
            <w:tcW w:w="968" w:type="pct"/>
            <w:vAlign w:val="center"/>
          </w:tcPr>
          <w:p w14:paraId="52B00EE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重碳酸根</w:t>
            </w:r>
          </w:p>
        </w:tc>
        <w:tc>
          <w:tcPr>
            <w:tcW w:w="666" w:type="pct"/>
            <w:vAlign w:val="center"/>
          </w:tcPr>
          <w:p w14:paraId="4738E84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6D3380E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w:t>
            </w:r>
          </w:p>
        </w:tc>
        <w:tc>
          <w:tcPr>
            <w:tcW w:w="1691" w:type="pct"/>
            <w:vMerge w:val="continue"/>
            <w:vAlign w:val="center"/>
          </w:tcPr>
          <w:p w14:paraId="6BE5C01D">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E1D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6C43DC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w:t>
            </w:r>
          </w:p>
        </w:tc>
        <w:tc>
          <w:tcPr>
            <w:tcW w:w="968" w:type="pct"/>
            <w:vAlign w:val="center"/>
          </w:tcPr>
          <w:p w14:paraId="0182AA5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硫酸盐</w:t>
            </w:r>
          </w:p>
        </w:tc>
        <w:tc>
          <w:tcPr>
            <w:tcW w:w="666" w:type="pct"/>
            <w:vAlign w:val="center"/>
          </w:tcPr>
          <w:p w14:paraId="0CCDF4D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5437CF0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≤250</w:t>
            </w:r>
          </w:p>
        </w:tc>
        <w:tc>
          <w:tcPr>
            <w:tcW w:w="1691" w:type="pct"/>
            <w:vMerge w:val="continue"/>
            <w:vAlign w:val="center"/>
          </w:tcPr>
          <w:p w14:paraId="7C0D1CFC">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C4D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7A3EF00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w:t>
            </w:r>
          </w:p>
        </w:tc>
        <w:tc>
          <w:tcPr>
            <w:tcW w:w="968" w:type="pct"/>
            <w:vAlign w:val="center"/>
          </w:tcPr>
          <w:p w14:paraId="5B8C2C7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氯化物</w:t>
            </w:r>
          </w:p>
        </w:tc>
        <w:tc>
          <w:tcPr>
            <w:tcW w:w="666" w:type="pct"/>
            <w:vAlign w:val="center"/>
          </w:tcPr>
          <w:p w14:paraId="2B91BF7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116C39D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≤250</w:t>
            </w:r>
          </w:p>
        </w:tc>
        <w:tc>
          <w:tcPr>
            <w:tcW w:w="1691" w:type="pct"/>
            <w:vMerge w:val="continue"/>
            <w:vAlign w:val="center"/>
          </w:tcPr>
          <w:p w14:paraId="7FF2AFC2">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02D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69D1364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c>
          <w:tcPr>
            <w:tcW w:w="968" w:type="pct"/>
            <w:vAlign w:val="center"/>
          </w:tcPr>
          <w:p w14:paraId="1A1BDAD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耗氧量</w:t>
            </w:r>
          </w:p>
        </w:tc>
        <w:tc>
          <w:tcPr>
            <w:tcW w:w="666" w:type="pct"/>
            <w:vAlign w:val="center"/>
          </w:tcPr>
          <w:p w14:paraId="39A6776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423F0DA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≤3.0</w:t>
            </w:r>
          </w:p>
        </w:tc>
        <w:tc>
          <w:tcPr>
            <w:tcW w:w="1691" w:type="pct"/>
            <w:vMerge w:val="continue"/>
            <w:vAlign w:val="center"/>
          </w:tcPr>
          <w:p w14:paraId="07FB5660">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0215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76406FE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w:t>
            </w:r>
          </w:p>
        </w:tc>
        <w:tc>
          <w:tcPr>
            <w:tcW w:w="968" w:type="pct"/>
            <w:vAlign w:val="center"/>
          </w:tcPr>
          <w:p w14:paraId="2112157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总硬度</w:t>
            </w:r>
          </w:p>
        </w:tc>
        <w:tc>
          <w:tcPr>
            <w:tcW w:w="666" w:type="pct"/>
            <w:vAlign w:val="center"/>
          </w:tcPr>
          <w:p w14:paraId="4DCE253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78765E2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≤450</w:t>
            </w:r>
          </w:p>
        </w:tc>
        <w:tc>
          <w:tcPr>
            <w:tcW w:w="1691" w:type="pct"/>
            <w:vMerge w:val="continue"/>
            <w:vAlign w:val="center"/>
          </w:tcPr>
          <w:p w14:paraId="70081B8B">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448E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3DC944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w:t>
            </w:r>
          </w:p>
        </w:tc>
        <w:tc>
          <w:tcPr>
            <w:tcW w:w="968" w:type="pct"/>
            <w:vAlign w:val="center"/>
          </w:tcPr>
          <w:p w14:paraId="103118F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溶解性总固体</w:t>
            </w:r>
          </w:p>
        </w:tc>
        <w:tc>
          <w:tcPr>
            <w:tcW w:w="666" w:type="pct"/>
            <w:vAlign w:val="center"/>
          </w:tcPr>
          <w:p w14:paraId="4696F2C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27EB8CB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≤1000</w:t>
            </w:r>
          </w:p>
        </w:tc>
        <w:tc>
          <w:tcPr>
            <w:tcW w:w="1691" w:type="pct"/>
            <w:vMerge w:val="continue"/>
            <w:vAlign w:val="center"/>
          </w:tcPr>
          <w:p w14:paraId="1282F219">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6300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273F0C1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13</w:t>
            </w:r>
          </w:p>
        </w:tc>
        <w:tc>
          <w:tcPr>
            <w:tcW w:w="968" w:type="pct"/>
            <w:vAlign w:val="center"/>
          </w:tcPr>
          <w:p w14:paraId="38BEB97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挥发酚类</w:t>
            </w:r>
          </w:p>
        </w:tc>
        <w:tc>
          <w:tcPr>
            <w:tcW w:w="666" w:type="pct"/>
            <w:vAlign w:val="center"/>
          </w:tcPr>
          <w:p w14:paraId="07DE33D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7278AE7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≤0.002</w:t>
            </w:r>
          </w:p>
        </w:tc>
        <w:tc>
          <w:tcPr>
            <w:tcW w:w="1691" w:type="pct"/>
            <w:vMerge w:val="continue"/>
            <w:vAlign w:val="center"/>
          </w:tcPr>
          <w:p w14:paraId="1ACA6E91">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44B6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21A4771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14</w:t>
            </w:r>
          </w:p>
        </w:tc>
        <w:tc>
          <w:tcPr>
            <w:tcW w:w="968" w:type="pct"/>
            <w:vAlign w:val="center"/>
          </w:tcPr>
          <w:p w14:paraId="3D7A7CC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氨氮</w:t>
            </w:r>
          </w:p>
        </w:tc>
        <w:tc>
          <w:tcPr>
            <w:tcW w:w="666" w:type="pct"/>
            <w:vAlign w:val="center"/>
          </w:tcPr>
          <w:p w14:paraId="1F12F2E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34FD82B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≤0.5</w:t>
            </w:r>
          </w:p>
        </w:tc>
        <w:tc>
          <w:tcPr>
            <w:tcW w:w="1691" w:type="pct"/>
            <w:vMerge w:val="continue"/>
            <w:vAlign w:val="center"/>
          </w:tcPr>
          <w:p w14:paraId="7C8CE83E">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31D6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298F8DA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68" w:type="pct"/>
            <w:vAlign w:val="center"/>
          </w:tcPr>
          <w:p w14:paraId="033B365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氰化物</w:t>
            </w:r>
          </w:p>
        </w:tc>
        <w:tc>
          <w:tcPr>
            <w:tcW w:w="666" w:type="pct"/>
            <w:vAlign w:val="center"/>
          </w:tcPr>
          <w:p w14:paraId="119F565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28BFC85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≤0.05</w:t>
            </w:r>
          </w:p>
        </w:tc>
        <w:tc>
          <w:tcPr>
            <w:tcW w:w="1691" w:type="pct"/>
            <w:vMerge w:val="continue"/>
            <w:vAlign w:val="center"/>
          </w:tcPr>
          <w:p w14:paraId="607634DB">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760F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2056E2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16</w:t>
            </w:r>
          </w:p>
        </w:tc>
        <w:tc>
          <w:tcPr>
            <w:tcW w:w="968" w:type="pct"/>
            <w:vAlign w:val="center"/>
          </w:tcPr>
          <w:p w14:paraId="75605F4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氟化物</w:t>
            </w:r>
          </w:p>
        </w:tc>
        <w:tc>
          <w:tcPr>
            <w:tcW w:w="666" w:type="pct"/>
            <w:vAlign w:val="center"/>
          </w:tcPr>
          <w:p w14:paraId="0D342A1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253EB10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≤1.0</w:t>
            </w:r>
          </w:p>
        </w:tc>
        <w:tc>
          <w:tcPr>
            <w:tcW w:w="1691" w:type="pct"/>
            <w:vMerge w:val="continue"/>
            <w:vAlign w:val="center"/>
          </w:tcPr>
          <w:p w14:paraId="7119639A">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82F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3ABB3C1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17</w:t>
            </w:r>
          </w:p>
        </w:tc>
        <w:tc>
          <w:tcPr>
            <w:tcW w:w="968" w:type="pct"/>
            <w:vAlign w:val="center"/>
          </w:tcPr>
          <w:p w14:paraId="3BFCEA3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硝酸盐氮</w:t>
            </w:r>
          </w:p>
        </w:tc>
        <w:tc>
          <w:tcPr>
            <w:tcW w:w="666" w:type="pct"/>
            <w:vAlign w:val="center"/>
          </w:tcPr>
          <w:p w14:paraId="70B1173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54D57D4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≤20</w:t>
            </w:r>
          </w:p>
        </w:tc>
        <w:tc>
          <w:tcPr>
            <w:tcW w:w="1691" w:type="pct"/>
            <w:vMerge w:val="continue"/>
            <w:vAlign w:val="center"/>
          </w:tcPr>
          <w:p w14:paraId="1D336828">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707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316E04A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18</w:t>
            </w:r>
          </w:p>
        </w:tc>
        <w:tc>
          <w:tcPr>
            <w:tcW w:w="968" w:type="pct"/>
            <w:vAlign w:val="center"/>
          </w:tcPr>
          <w:p w14:paraId="64B4767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亚硝酸盐氮</w:t>
            </w:r>
          </w:p>
        </w:tc>
        <w:tc>
          <w:tcPr>
            <w:tcW w:w="666" w:type="pct"/>
            <w:vAlign w:val="center"/>
          </w:tcPr>
          <w:p w14:paraId="7A32B01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059A46E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≤1.0</w:t>
            </w:r>
          </w:p>
        </w:tc>
        <w:tc>
          <w:tcPr>
            <w:tcW w:w="1691" w:type="pct"/>
            <w:vMerge w:val="continue"/>
            <w:vAlign w:val="center"/>
          </w:tcPr>
          <w:p w14:paraId="0A9F297F">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4440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A9B195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19</w:t>
            </w:r>
          </w:p>
        </w:tc>
        <w:tc>
          <w:tcPr>
            <w:tcW w:w="968" w:type="pct"/>
            <w:vAlign w:val="center"/>
          </w:tcPr>
          <w:p w14:paraId="4B287FB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铬（六价）</w:t>
            </w:r>
          </w:p>
        </w:tc>
        <w:tc>
          <w:tcPr>
            <w:tcW w:w="666" w:type="pct"/>
            <w:vAlign w:val="center"/>
          </w:tcPr>
          <w:p w14:paraId="6BB775A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7829650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≤0.5</w:t>
            </w:r>
          </w:p>
        </w:tc>
        <w:tc>
          <w:tcPr>
            <w:tcW w:w="1691" w:type="pct"/>
            <w:vMerge w:val="continue"/>
            <w:vAlign w:val="center"/>
          </w:tcPr>
          <w:p w14:paraId="6715A3F8">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C17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70E220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968" w:type="pct"/>
            <w:vAlign w:val="center"/>
          </w:tcPr>
          <w:p w14:paraId="2DFECC7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总大肠菌群</w:t>
            </w:r>
          </w:p>
        </w:tc>
        <w:tc>
          <w:tcPr>
            <w:tcW w:w="666" w:type="pct"/>
            <w:vAlign w:val="center"/>
          </w:tcPr>
          <w:p w14:paraId="22F6F9F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77E0B24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≤100</w:t>
            </w:r>
          </w:p>
        </w:tc>
        <w:tc>
          <w:tcPr>
            <w:tcW w:w="1691" w:type="pct"/>
            <w:vMerge w:val="continue"/>
            <w:vAlign w:val="center"/>
          </w:tcPr>
          <w:p w14:paraId="02233791">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6FE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4815DB4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w:t>
            </w:r>
          </w:p>
        </w:tc>
        <w:tc>
          <w:tcPr>
            <w:tcW w:w="968" w:type="pct"/>
            <w:vAlign w:val="center"/>
          </w:tcPr>
          <w:p w14:paraId="098948F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铁</w:t>
            </w:r>
          </w:p>
        </w:tc>
        <w:tc>
          <w:tcPr>
            <w:tcW w:w="666" w:type="pct"/>
            <w:vAlign w:val="center"/>
          </w:tcPr>
          <w:p w14:paraId="72C2263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1D40118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≤0.3</w:t>
            </w:r>
          </w:p>
        </w:tc>
        <w:tc>
          <w:tcPr>
            <w:tcW w:w="1691" w:type="pct"/>
            <w:vMerge w:val="continue"/>
            <w:vAlign w:val="center"/>
          </w:tcPr>
          <w:p w14:paraId="3DEE097E">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6A7E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3D1D0E0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22</w:t>
            </w:r>
          </w:p>
        </w:tc>
        <w:tc>
          <w:tcPr>
            <w:tcW w:w="968" w:type="pct"/>
            <w:vAlign w:val="center"/>
          </w:tcPr>
          <w:p w14:paraId="1EB0B14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锰</w:t>
            </w:r>
          </w:p>
        </w:tc>
        <w:tc>
          <w:tcPr>
            <w:tcW w:w="666" w:type="pct"/>
            <w:vAlign w:val="center"/>
          </w:tcPr>
          <w:p w14:paraId="7B8D151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6E6E93E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≤0.1</w:t>
            </w:r>
          </w:p>
        </w:tc>
        <w:tc>
          <w:tcPr>
            <w:tcW w:w="1691" w:type="pct"/>
            <w:vMerge w:val="continue"/>
            <w:vAlign w:val="center"/>
          </w:tcPr>
          <w:p w14:paraId="232C0312">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3E8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2D0C5A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23</w:t>
            </w:r>
          </w:p>
        </w:tc>
        <w:tc>
          <w:tcPr>
            <w:tcW w:w="968" w:type="pct"/>
            <w:vAlign w:val="center"/>
          </w:tcPr>
          <w:p w14:paraId="6E3AFCC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砷</w:t>
            </w:r>
          </w:p>
        </w:tc>
        <w:tc>
          <w:tcPr>
            <w:tcW w:w="666" w:type="pct"/>
            <w:vAlign w:val="center"/>
          </w:tcPr>
          <w:p w14:paraId="67FFE36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5EC334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≤0.01</w:t>
            </w:r>
          </w:p>
        </w:tc>
        <w:tc>
          <w:tcPr>
            <w:tcW w:w="1691" w:type="pct"/>
            <w:vMerge w:val="continue"/>
            <w:vAlign w:val="center"/>
          </w:tcPr>
          <w:p w14:paraId="01B9E73C">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3355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BC0522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24</w:t>
            </w:r>
          </w:p>
        </w:tc>
        <w:tc>
          <w:tcPr>
            <w:tcW w:w="968" w:type="pct"/>
            <w:vAlign w:val="center"/>
          </w:tcPr>
          <w:p w14:paraId="3C1B644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汞</w:t>
            </w:r>
          </w:p>
        </w:tc>
        <w:tc>
          <w:tcPr>
            <w:tcW w:w="666" w:type="pct"/>
            <w:vAlign w:val="center"/>
          </w:tcPr>
          <w:p w14:paraId="01E3AD2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16774A9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≤0.001</w:t>
            </w:r>
          </w:p>
        </w:tc>
        <w:tc>
          <w:tcPr>
            <w:tcW w:w="1691" w:type="pct"/>
            <w:vMerge w:val="continue"/>
            <w:vAlign w:val="center"/>
          </w:tcPr>
          <w:p w14:paraId="7975B2B6">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E30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026D117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w:t>
            </w:r>
          </w:p>
        </w:tc>
        <w:tc>
          <w:tcPr>
            <w:tcW w:w="968" w:type="pct"/>
            <w:vAlign w:val="center"/>
          </w:tcPr>
          <w:p w14:paraId="2D44A02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镉</w:t>
            </w:r>
          </w:p>
        </w:tc>
        <w:tc>
          <w:tcPr>
            <w:tcW w:w="666" w:type="pct"/>
            <w:vAlign w:val="center"/>
          </w:tcPr>
          <w:p w14:paraId="3CC0FDC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52D433E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≤0.005</w:t>
            </w:r>
          </w:p>
        </w:tc>
        <w:tc>
          <w:tcPr>
            <w:tcW w:w="1691" w:type="pct"/>
            <w:vMerge w:val="continue"/>
            <w:vAlign w:val="center"/>
          </w:tcPr>
          <w:p w14:paraId="31D6F2E4">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35E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2EE0E1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26</w:t>
            </w:r>
          </w:p>
        </w:tc>
        <w:tc>
          <w:tcPr>
            <w:tcW w:w="968" w:type="pct"/>
            <w:vAlign w:val="center"/>
          </w:tcPr>
          <w:p w14:paraId="119EC08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锌</w:t>
            </w:r>
          </w:p>
        </w:tc>
        <w:tc>
          <w:tcPr>
            <w:tcW w:w="666" w:type="pct"/>
            <w:vAlign w:val="center"/>
          </w:tcPr>
          <w:p w14:paraId="124BC0E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7F34F01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≤1.0</w:t>
            </w:r>
          </w:p>
        </w:tc>
        <w:tc>
          <w:tcPr>
            <w:tcW w:w="1691" w:type="pct"/>
            <w:vMerge w:val="continue"/>
            <w:vAlign w:val="center"/>
          </w:tcPr>
          <w:p w14:paraId="2CEB2102">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7039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C0054E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27</w:t>
            </w:r>
          </w:p>
        </w:tc>
        <w:tc>
          <w:tcPr>
            <w:tcW w:w="968" w:type="pct"/>
            <w:vAlign w:val="center"/>
          </w:tcPr>
          <w:p w14:paraId="13C7459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硫化物</w:t>
            </w:r>
          </w:p>
        </w:tc>
        <w:tc>
          <w:tcPr>
            <w:tcW w:w="666" w:type="pct"/>
            <w:vAlign w:val="center"/>
          </w:tcPr>
          <w:p w14:paraId="5EC599D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5DAC44E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≤0.02</w:t>
            </w:r>
          </w:p>
        </w:tc>
        <w:tc>
          <w:tcPr>
            <w:tcW w:w="1691" w:type="pct"/>
            <w:vMerge w:val="continue"/>
            <w:vAlign w:val="center"/>
          </w:tcPr>
          <w:p w14:paraId="34DBD2F8">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20F1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ECEF9C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968" w:type="pct"/>
            <w:vAlign w:val="center"/>
          </w:tcPr>
          <w:p w14:paraId="4550661C">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菌落总数</w:t>
            </w:r>
          </w:p>
        </w:tc>
        <w:tc>
          <w:tcPr>
            <w:tcW w:w="666" w:type="pct"/>
            <w:vAlign w:val="center"/>
          </w:tcPr>
          <w:p w14:paraId="386A29D2">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CFU/mL</w:t>
            </w:r>
          </w:p>
        </w:tc>
        <w:tc>
          <w:tcPr>
            <w:tcW w:w="1000" w:type="pct"/>
            <w:vAlign w:val="center"/>
          </w:tcPr>
          <w:p w14:paraId="5BD33B79">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100</w:t>
            </w:r>
          </w:p>
        </w:tc>
        <w:tc>
          <w:tcPr>
            <w:tcW w:w="1691" w:type="pct"/>
            <w:vMerge w:val="continue"/>
            <w:vAlign w:val="center"/>
          </w:tcPr>
          <w:p w14:paraId="519D7729">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2E9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5FDC430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29</w:t>
            </w:r>
          </w:p>
        </w:tc>
        <w:tc>
          <w:tcPr>
            <w:tcW w:w="968" w:type="pct"/>
            <w:vAlign w:val="center"/>
          </w:tcPr>
          <w:p w14:paraId="2003630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铅</w:t>
            </w:r>
          </w:p>
        </w:tc>
        <w:tc>
          <w:tcPr>
            <w:tcW w:w="666" w:type="pct"/>
            <w:vAlign w:val="center"/>
          </w:tcPr>
          <w:p w14:paraId="3CFB632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mg/L</w:t>
            </w:r>
          </w:p>
        </w:tc>
        <w:tc>
          <w:tcPr>
            <w:tcW w:w="1000" w:type="pct"/>
            <w:vAlign w:val="center"/>
          </w:tcPr>
          <w:p w14:paraId="1316C36E">
            <w:pPr>
              <w:jc w:val="center"/>
              <w:rPr>
                <w:rFonts w:ascii="Times New Roman" w:hAnsi="Times New Roman" w:cs="Times New Roman"/>
                <w:color w:val="000000" w:themeColor="text1"/>
                <w:sz w:val="18"/>
                <w:szCs w:val="18"/>
                <w:lang w:val="zh-CN"/>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w:t>
            </w:r>
          </w:p>
        </w:tc>
        <w:tc>
          <w:tcPr>
            <w:tcW w:w="1691" w:type="pct"/>
            <w:vMerge w:val="continue"/>
            <w:vAlign w:val="center"/>
          </w:tcPr>
          <w:p w14:paraId="6B540FA7">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16BF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1CF32B71">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30</w:t>
            </w:r>
          </w:p>
        </w:tc>
        <w:tc>
          <w:tcPr>
            <w:tcW w:w="968" w:type="pct"/>
            <w:vAlign w:val="center"/>
          </w:tcPr>
          <w:p w14:paraId="37D64499">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苯</w:t>
            </w:r>
          </w:p>
        </w:tc>
        <w:tc>
          <w:tcPr>
            <w:tcW w:w="666" w:type="pct"/>
            <w:vAlign w:val="center"/>
          </w:tcPr>
          <w:p w14:paraId="3212846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rPr>
              <w:t>μg/L</w:t>
            </w:r>
          </w:p>
        </w:tc>
        <w:tc>
          <w:tcPr>
            <w:tcW w:w="1000" w:type="pct"/>
            <w:vAlign w:val="center"/>
          </w:tcPr>
          <w:p w14:paraId="0B6EA0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10.0</w:t>
            </w:r>
          </w:p>
        </w:tc>
        <w:tc>
          <w:tcPr>
            <w:tcW w:w="1691" w:type="pct"/>
            <w:vMerge w:val="continue"/>
            <w:vAlign w:val="center"/>
          </w:tcPr>
          <w:p w14:paraId="2E0BD38D">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418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4FF87A26">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31</w:t>
            </w:r>
          </w:p>
        </w:tc>
        <w:tc>
          <w:tcPr>
            <w:tcW w:w="968" w:type="pct"/>
            <w:vAlign w:val="center"/>
          </w:tcPr>
          <w:p w14:paraId="0A72E4C4">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甲苯</w:t>
            </w:r>
          </w:p>
        </w:tc>
        <w:tc>
          <w:tcPr>
            <w:tcW w:w="666" w:type="pct"/>
            <w:vAlign w:val="center"/>
          </w:tcPr>
          <w:p w14:paraId="74BEE85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rPr>
              <w:t>μg/L</w:t>
            </w:r>
          </w:p>
        </w:tc>
        <w:tc>
          <w:tcPr>
            <w:tcW w:w="1000" w:type="pct"/>
            <w:vAlign w:val="center"/>
          </w:tcPr>
          <w:p w14:paraId="5AE3B00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700</w:t>
            </w:r>
          </w:p>
        </w:tc>
        <w:tc>
          <w:tcPr>
            <w:tcW w:w="1691" w:type="pct"/>
            <w:vMerge w:val="continue"/>
            <w:vAlign w:val="center"/>
          </w:tcPr>
          <w:p w14:paraId="6BE53B15">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57F6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4D912705">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32</w:t>
            </w:r>
          </w:p>
        </w:tc>
        <w:tc>
          <w:tcPr>
            <w:tcW w:w="968" w:type="pct"/>
            <w:vAlign w:val="center"/>
          </w:tcPr>
          <w:p w14:paraId="5492CBC6">
            <w:pPr>
              <w:pStyle w:val="190"/>
              <w:rPr>
                <w:rFonts w:ascii="Times New Roman" w:hAnsi="Times New Roman" w:cs="Times New Roman"/>
                <w:color w:val="000000" w:themeColor="text1"/>
                <w:szCs w:val="18"/>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苯并芘</w:t>
            </w:r>
          </w:p>
        </w:tc>
        <w:tc>
          <w:tcPr>
            <w:tcW w:w="666" w:type="pct"/>
            <w:vAlign w:val="center"/>
          </w:tcPr>
          <w:p w14:paraId="1EA0466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rPr>
              <w:t>μg/L</w:t>
            </w:r>
          </w:p>
        </w:tc>
        <w:tc>
          <w:tcPr>
            <w:tcW w:w="1000" w:type="pct"/>
            <w:vAlign w:val="center"/>
          </w:tcPr>
          <w:p w14:paraId="05BA486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w:t>
            </w:r>
          </w:p>
        </w:tc>
        <w:tc>
          <w:tcPr>
            <w:tcW w:w="1691" w:type="pct"/>
            <w:vMerge w:val="continue"/>
            <w:vAlign w:val="center"/>
          </w:tcPr>
          <w:p w14:paraId="56781625">
            <w:pPr>
              <w:pStyle w:val="190"/>
              <w:rPr>
                <w:rFonts w:ascii="Times New Roman" w:hAnsi="Times New Roman" w:cs="Times New Roman"/>
                <w:color w:val="000000" w:themeColor="text1"/>
                <w:kern w:val="2"/>
                <w:szCs w:val="18"/>
                <w:lang w:val="zh-CN"/>
                <w14:textFill>
                  <w14:solidFill>
                    <w14:schemeClr w14:val="tx1"/>
                  </w14:solidFill>
                </w14:textFill>
              </w:rPr>
            </w:pPr>
          </w:p>
        </w:tc>
      </w:tr>
      <w:tr w14:paraId="454F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5" w:type="pct"/>
            <w:vAlign w:val="center"/>
          </w:tcPr>
          <w:p w14:paraId="21CA38A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w:t>
            </w:r>
            <w:r>
              <w:rPr>
                <w:rFonts w:hint="eastAsia" w:ascii="Times New Roman" w:hAnsi="Times New Roman" w:cs="Times New Roman"/>
                <w:color w:val="000000" w:themeColor="text1"/>
                <w:kern w:val="2"/>
                <w:szCs w:val="18"/>
                <w:lang w:val="zh-CN"/>
                <w14:textFill>
                  <w14:solidFill>
                    <w14:schemeClr w14:val="tx1"/>
                  </w14:solidFill>
                </w14:textFill>
              </w:rPr>
              <w:t>3</w:t>
            </w:r>
          </w:p>
        </w:tc>
        <w:tc>
          <w:tcPr>
            <w:tcW w:w="968" w:type="pct"/>
            <w:vAlign w:val="center"/>
          </w:tcPr>
          <w:p w14:paraId="65EC0B5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石油类</w:t>
            </w:r>
          </w:p>
        </w:tc>
        <w:tc>
          <w:tcPr>
            <w:tcW w:w="666" w:type="pct"/>
            <w:vAlign w:val="center"/>
          </w:tcPr>
          <w:p w14:paraId="2B7B52E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mg/L</w:t>
            </w:r>
          </w:p>
        </w:tc>
        <w:tc>
          <w:tcPr>
            <w:tcW w:w="1000" w:type="pct"/>
            <w:vAlign w:val="center"/>
          </w:tcPr>
          <w:p w14:paraId="352778E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≤0.05</w:t>
            </w:r>
          </w:p>
        </w:tc>
        <w:tc>
          <w:tcPr>
            <w:tcW w:w="1691" w:type="pct"/>
            <w:vAlign w:val="center"/>
          </w:tcPr>
          <w:p w14:paraId="4654FBD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14:textFill>
                  <w14:solidFill>
                    <w14:schemeClr w14:val="tx1"/>
                  </w14:solidFill>
                </w14:textFill>
              </w:rPr>
              <w:t>《地表水环境质量标准》（GB3838-2002）中的Ⅲ类标准</w:t>
            </w:r>
          </w:p>
        </w:tc>
      </w:tr>
    </w:tbl>
    <w:p w14:paraId="140824C7">
      <w:pPr>
        <w:rPr>
          <w:rFonts w:hint="eastAsia"/>
          <w:color w:val="000000" w:themeColor="text1"/>
          <w14:textFill>
            <w14:solidFill>
              <w14:schemeClr w14:val="tx1"/>
            </w14:solidFill>
          </w14:textFill>
        </w:rPr>
      </w:pPr>
    </w:p>
    <w:p w14:paraId="17778FCE">
      <w:pPr>
        <w:pStyle w:val="98"/>
        <w:rPr>
          <w:rFonts w:hint="eastAsia"/>
          <w:snapToGrid w:val="0"/>
        </w:rPr>
      </w:pPr>
      <w:r>
        <w:rPr>
          <w:snapToGrid w:val="0"/>
        </w:rPr>
        <w:t>声环境质量标准</w:t>
      </w:r>
    </w:p>
    <w:p w14:paraId="60D49D70">
      <w:pPr>
        <w:pStyle w:val="104"/>
        <w:ind w:firstLine="512"/>
        <w:jc w:val="both"/>
        <w:rPr>
          <w:rFonts w:hint="eastAsia"/>
          <w:color w:val="000000" w:themeColor="text1"/>
          <w14:textFill>
            <w14:solidFill>
              <w14:schemeClr w14:val="tx1"/>
            </w14:solidFill>
          </w14:textFill>
        </w:rPr>
      </w:pPr>
      <w:r>
        <w:rPr>
          <w:rFonts w:ascii="Times New Roman"/>
          <w:color w:val="000000" w:themeColor="text1"/>
          <w14:textFill>
            <w14:solidFill>
              <w14:schemeClr w14:val="tx1"/>
            </w14:solidFill>
          </w14:textFill>
        </w:rPr>
        <w:t>按项目所在区域环境功能区划分，声环境采用《声环境质量标准》（GB3096-2008）中的3类标准，昼间65dB（A），夜间55dB（A），其值见表2.5.1-</w:t>
      </w:r>
      <w:r>
        <w:rPr>
          <w:rFonts w:hint="eastAsia" w:ascii="Times New Roman"/>
          <w:color w:val="000000" w:themeColor="text1"/>
          <w14:textFill>
            <w14:solidFill>
              <w14:schemeClr w14:val="tx1"/>
            </w14:solidFill>
          </w14:textFill>
        </w:rPr>
        <w:t>4</w:t>
      </w:r>
      <w:r>
        <w:rPr>
          <w:rFonts w:ascii="Times New Roman"/>
          <w:color w:val="000000" w:themeColor="text1"/>
          <w14:textFill>
            <w14:solidFill>
              <w14:schemeClr w14:val="tx1"/>
            </w14:solidFill>
          </w14:textFill>
        </w:rPr>
        <w:t>。</w:t>
      </w:r>
    </w:p>
    <w:p w14:paraId="57A8B617">
      <w:pPr>
        <w:pStyle w:val="114"/>
        <w:rPr>
          <w:rFonts w:hint="eastAsia" w:hAnsi="黑体"/>
          <w:color w:val="000000" w:themeColor="text1"/>
          <w14:textFill>
            <w14:solidFill>
              <w14:schemeClr w14:val="tx1"/>
            </w14:solidFill>
          </w14:textFill>
        </w:rPr>
      </w:pPr>
      <w:r>
        <w:rPr>
          <w:color w:val="000000" w:themeColor="text1"/>
          <w14:textFill>
            <w14:solidFill>
              <w14:schemeClr w14:val="tx1"/>
            </w14:solidFill>
          </w14:textFill>
        </w:rPr>
        <w:t>表2.5.1-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hAnsi="黑体"/>
          <w:color w:val="000000" w:themeColor="text1"/>
          <w14:textFill>
            <w14:solidFill>
              <w14:schemeClr w14:val="tx1"/>
            </w14:solidFill>
          </w14:textFill>
        </w:rPr>
        <w:t>声环境</w:t>
      </w:r>
      <w:r>
        <w:rPr>
          <w:rFonts w:hAnsi="黑体"/>
          <w:color w:val="000000" w:themeColor="text1"/>
          <w14:textFill>
            <w14:solidFill>
              <w14:schemeClr w14:val="tx1"/>
            </w14:solidFill>
          </w14:textFill>
        </w:rPr>
        <w:t>评价标准</w:t>
      </w:r>
    </w:p>
    <w:tbl>
      <w:tblPr>
        <w:tblStyle w:val="6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5"/>
        <w:gridCol w:w="2332"/>
        <w:gridCol w:w="1745"/>
        <w:gridCol w:w="2351"/>
      </w:tblGrid>
      <w:tr w14:paraId="1108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895" w:type="dxa"/>
            <w:vMerge w:val="restart"/>
            <w:tcMar>
              <w:left w:w="0" w:type="dxa"/>
              <w:right w:w="0" w:type="dxa"/>
            </w:tcMar>
            <w:vAlign w:val="center"/>
          </w:tcPr>
          <w:p w14:paraId="7E5E797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适用区域</w:t>
            </w:r>
          </w:p>
        </w:tc>
        <w:tc>
          <w:tcPr>
            <w:tcW w:w="4077" w:type="dxa"/>
            <w:gridSpan w:val="2"/>
            <w:tcMar>
              <w:left w:w="0" w:type="dxa"/>
              <w:right w:w="0" w:type="dxa"/>
            </w:tcMar>
            <w:vAlign w:val="center"/>
          </w:tcPr>
          <w:p w14:paraId="09673775">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标准值dB(A)</w:t>
            </w:r>
          </w:p>
        </w:tc>
        <w:tc>
          <w:tcPr>
            <w:tcW w:w="2351" w:type="dxa"/>
            <w:vMerge w:val="restart"/>
            <w:tcMar>
              <w:left w:w="0" w:type="dxa"/>
              <w:right w:w="0" w:type="dxa"/>
            </w:tcMar>
            <w:vAlign w:val="center"/>
          </w:tcPr>
          <w:p w14:paraId="57C739FA">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标准来源</w:t>
            </w:r>
          </w:p>
        </w:tc>
      </w:tr>
      <w:tr w14:paraId="6A9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895" w:type="dxa"/>
            <w:vMerge w:val="continue"/>
            <w:tcMar>
              <w:left w:w="0" w:type="dxa"/>
              <w:right w:w="0" w:type="dxa"/>
            </w:tcMar>
            <w:vAlign w:val="center"/>
          </w:tcPr>
          <w:p w14:paraId="7C1B9292">
            <w:pPr>
              <w:pStyle w:val="190"/>
              <w:rPr>
                <w:rFonts w:ascii="Times New Roman" w:hAnsi="Times New Roman" w:cs="Times New Roman"/>
                <w:color w:val="000000" w:themeColor="text1"/>
                <w:kern w:val="2"/>
                <w:szCs w:val="22"/>
                <w14:textFill>
                  <w14:solidFill>
                    <w14:schemeClr w14:val="tx1"/>
                  </w14:solidFill>
                </w14:textFill>
              </w:rPr>
            </w:pPr>
          </w:p>
        </w:tc>
        <w:tc>
          <w:tcPr>
            <w:tcW w:w="2332" w:type="dxa"/>
            <w:tcMar>
              <w:left w:w="0" w:type="dxa"/>
              <w:right w:w="0" w:type="dxa"/>
            </w:tcMar>
            <w:vAlign w:val="center"/>
          </w:tcPr>
          <w:p w14:paraId="48D2EE9D">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昼间</w:t>
            </w:r>
          </w:p>
        </w:tc>
        <w:tc>
          <w:tcPr>
            <w:tcW w:w="1745" w:type="dxa"/>
            <w:tcMar>
              <w:left w:w="0" w:type="dxa"/>
              <w:right w:w="0" w:type="dxa"/>
            </w:tcMar>
            <w:vAlign w:val="center"/>
          </w:tcPr>
          <w:p w14:paraId="5F18D560">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夜间</w:t>
            </w:r>
          </w:p>
        </w:tc>
        <w:tc>
          <w:tcPr>
            <w:tcW w:w="2351" w:type="dxa"/>
            <w:vMerge w:val="continue"/>
            <w:tcMar>
              <w:left w:w="0" w:type="dxa"/>
              <w:right w:w="0" w:type="dxa"/>
            </w:tcMar>
            <w:vAlign w:val="center"/>
          </w:tcPr>
          <w:p w14:paraId="56BEA3A2">
            <w:pPr>
              <w:pStyle w:val="190"/>
              <w:rPr>
                <w:rFonts w:ascii="Times New Roman" w:hAnsi="Times New Roman" w:cs="Times New Roman"/>
                <w:color w:val="000000" w:themeColor="text1"/>
                <w:kern w:val="2"/>
                <w:szCs w:val="22"/>
                <w14:textFill>
                  <w14:solidFill>
                    <w14:schemeClr w14:val="tx1"/>
                  </w14:solidFill>
                </w14:textFill>
              </w:rPr>
            </w:pPr>
          </w:p>
        </w:tc>
      </w:tr>
      <w:tr w14:paraId="3255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895" w:type="dxa"/>
            <w:tcMar>
              <w:left w:w="0" w:type="dxa"/>
              <w:right w:w="0" w:type="dxa"/>
            </w:tcMar>
            <w:vAlign w:val="center"/>
          </w:tcPr>
          <w:p w14:paraId="723229EB">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环境噪声</w:t>
            </w:r>
          </w:p>
        </w:tc>
        <w:tc>
          <w:tcPr>
            <w:tcW w:w="2332" w:type="dxa"/>
            <w:tcMar>
              <w:left w:w="0" w:type="dxa"/>
              <w:right w:w="0" w:type="dxa"/>
            </w:tcMar>
            <w:vAlign w:val="center"/>
          </w:tcPr>
          <w:p w14:paraId="097F0832">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65</w:t>
            </w:r>
          </w:p>
        </w:tc>
        <w:tc>
          <w:tcPr>
            <w:tcW w:w="1745" w:type="dxa"/>
            <w:tcMar>
              <w:left w:w="0" w:type="dxa"/>
              <w:right w:w="0" w:type="dxa"/>
            </w:tcMar>
            <w:vAlign w:val="center"/>
          </w:tcPr>
          <w:p w14:paraId="696A2853">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55</w:t>
            </w:r>
          </w:p>
        </w:tc>
        <w:tc>
          <w:tcPr>
            <w:tcW w:w="2351" w:type="dxa"/>
            <w:tcMar>
              <w:left w:w="0" w:type="dxa"/>
              <w:right w:w="0" w:type="dxa"/>
            </w:tcMar>
            <w:vAlign w:val="center"/>
          </w:tcPr>
          <w:p w14:paraId="2899E0E7">
            <w:pPr>
              <w:pStyle w:val="190"/>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GB3096-2008</w:t>
            </w:r>
          </w:p>
        </w:tc>
      </w:tr>
    </w:tbl>
    <w:p w14:paraId="21E1438C">
      <w:pPr>
        <w:pStyle w:val="557"/>
      </w:pPr>
    </w:p>
    <w:p w14:paraId="59E91DE9">
      <w:pPr>
        <w:pStyle w:val="98"/>
        <w:rPr>
          <w:rFonts w:hint="eastAsia"/>
          <w:snapToGrid w:val="0"/>
        </w:rPr>
      </w:pPr>
      <w:r>
        <w:t>土壤</w:t>
      </w:r>
      <w:r>
        <w:rPr>
          <w:snapToGrid w:val="0"/>
        </w:rPr>
        <w:t>环境质量标准</w:t>
      </w:r>
    </w:p>
    <w:p w14:paraId="5F2D5B7E">
      <w:pPr>
        <w:pStyle w:val="104"/>
        <w:ind w:firstLine="512"/>
        <w:jc w:val="both"/>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项目区内</w:t>
      </w:r>
      <w:r>
        <w:rPr>
          <w:rFonts w:ascii="Times New Roman"/>
          <w:color w:val="000000" w:themeColor="text1"/>
          <w14:textFill>
            <w14:solidFill>
              <w14:schemeClr w14:val="tx1"/>
            </w14:solidFill>
          </w14:textFill>
        </w:rPr>
        <w:t>土壤环境质量现状评价执行《土壤环境质量建设用地土壤污染风险管控标准（试行）》（GB36600-2018）第二类用地</w:t>
      </w:r>
      <w:r>
        <w:rPr>
          <w:rFonts w:hint="eastAsia" w:ascii="Times New Roman"/>
          <w:color w:val="000000" w:themeColor="text1"/>
          <w14:textFill>
            <w14:solidFill>
              <w14:schemeClr w14:val="tx1"/>
            </w14:solidFill>
          </w14:textFill>
        </w:rPr>
        <w:t>筛选值</w:t>
      </w:r>
      <w:r>
        <w:rPr>
          <w:rFonts w:ascii="Times New Roman"/>
          <w:color w:val="000000" w:themeColor="text1"/>
          <w14:textFill>
            <w14:solidFill>
              <w14:schemeClr w14:val="tx1"/>
            </w14:solidFill>
          </w14:textFill>
        </w:rPr>
        <w:t>限值，具体见</w:t>
      </w:r>
      <w:r>
        <w:rPr>
          <w:rStyle w:val="282"/>
          <w:color w:val="000000" w:themeColor="text1"/>
          <w14:textFill>
            <w14:solidFill>
              <w14:schemeClr w14:val="tx1"/>
            </w14:solidFill>
          </w14:textFill>
        </w:rPr>
        <w:t>表2.5.1-</w:t>
      </w:r>
      <w:r>
        <w:rPr>
          <w:rStyle w:val="282"/>
          <w:rFonts w:hint="eastAsia"/>
          <w:color w:val="000000" w:themeColor="text1"/>
          <w14:textFill>
            <w14:solidFill>
              <w14:schemeClr w14:val="tx1"/>
            </w14:solidFill>
          </w14:textFill>
        </w:rPr>
        <w:t>5</w:t>
      </w:r>
      <w:r>
        <w:rPr>
          <w:rStyle w:val="282"/>
          <w:color w:val="000000" w:themeColor="text1"/>
          <w14:textFill>
            <w14:solidFill>
              <w14:schemeClr w14:val="tx1"/>
            </w14:solidFill>
          </w14:textFill>
        </w:rPr>
        <w:t>。</w:t>
      </w:r>
      <w:bookmarkStart w:id="39" w:name="_Ref527732379"/>
    </w:p>
    <w:bookmarkEnd w:id="39"/>
    <w:p w14:paraId="6A1BE788">
      <w:pPr>
        <w:pStyle w:val="161"/>
        <w:rPr>
          <w:rFonts w:hint="eastAsia"/>
          <w:color w:val="000000" w:themeColor="text1"/>
          <w14:textFill>
            <w14:solidFill>
              <w14:schemeClr w14:val="tx1"/>
            </w14:solidFill>
          </w14:textFill>
        </w:rPr>
      </w:pPr>
      <w:r>
        <w:rPr>
          <w:color w:val="000000" w:themeColor="text1"/>
          <w14:textFill>
            <w14:solidFill>
              <w14:schemeClr w14:val="tx1"/>
            </w14:solidFill>
          </w14:textFill>
        </w:rPr>
        <w:t>表2.5.1-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建设用地土壤污染风险筛选值和管制值（基本项目）单位：mg/kg</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876"/>
        <w:gridCol w:w="2060"/>
        <w:gridCol w:w="859"/>
        <w:gridCol w:w="1002"/>
        <w:gridCol w:w="996"/>
        <w:gridCol w:w="898"/>
      </w:tblGrid>
      <w:tr w14:paraId="1206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Merge w:val="restart"/>
            <w:vAlign w:val="center"/>
          </w:tcPr>
          <w:p w14:paraId="4B8E48C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序号</w:t>
            </w:r>
          </w:p>
        </w:tc>
        <w:tc>
          <w:tcPr>
            <w:tcW w:w="1876" w:type="dxa"/>
            <w:vMerge w:val="restart"/>
            <w:vAlign w:val="center"/>
          </w:tcPr>
          <w:p w14:paraId="2C8B34F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污染物项目</w:t>
            </w:r>
          </w:p>
        </w:tc>
        <w:tc>
          <w:tcPr>
            <w:tcW w:w="2060" w:type="dxa"/>
            <w:vMerge w:val="restart"/>
            <w:vAlign w:val="center"/>
          </w:tcPr>
          <w:p w14:paraId="737AC6E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CAS编号</w:t>
            </w:r>
          </w:p>
        </w:tc>
        <w:tc>
          <w:tcPr>
            <w:tcW w:w="1861" w:type="dxa"/>
            <w:gridSpan w:val="2"/>
            <w:vAlign w:val="center"/>
          </w:tcPr>
          <w:p w14:paraId="482EA04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筛选值</w:t>
            </w:r>
          </w:p>
        </w:tc>
        <w:tc>
          <w:tcPr>
            <w:tcW w:w="1894" w:type="dxa"/>
            <w:gridSpan w:val="2"/>
            <w:vAlign w:val="center"/>
          </w:tcPr>
          <w:p w14:paraId="3FC8B65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管制值</w:t>
            </w:r>
          </w:p>
        </w:tc>
      </w:tr>
      <w:tr w14:paraId="6C84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Merge w:val="continue"/>
            <w:vAlign w:val="center"/>
          </w:tcPr>
          <w:p w14:paraId="3127657F">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1876" w:type="dxa"/>
            <w:vMerge w:val="continue"/>
            <w:vAlign w:val="center"/>
          </w:tcPr>
          <w:p w14:paraId="4F6D7754">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2060" w:type="dxa"/>
            <w:vMerge w:val="continue"/>
            <w:vAlign w:val="center"/>
          </w:tcPr>
          <w:p w14:paraId="3587A237">
            <w:pPr>
              <w:pStyle w:val="190"/>
              <w:rPr>
                <w:rFonts w:ascii="Times New Roman" w:hAnsi="Times New Roman" w:cs="Times New Roman"/>
                <w:color w:val="000000" w:themeColor="text1"/>
                <w:kern w:val="2"/>
                <w:szCs w:val="18"/>
                <w:lang w:val="zh-CN"/>
                <w14:textFill>
                  <w14:solidFill>
                    <w14:schemeClr w14:val="tx1"/>
                  </w14:solidFill>
                </w14:textFill>
              </w:rPr>
            </w:pPr>
          </w:p>
        </w:tc>
        <w:tc>
          <w:tcPr>
            <w:tcW w:w="859" w:type="dxa"/>
            <w:vAlign w:val="center"/>
          </w:tcPr>
          <w:p w14:paraId="2F66E38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第一类</w:t>
            </w:r>
          </w:p>
          <w:p w14:paraId="1932CFA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用地</w:t>
            </w:r>
          </w:p>
        </w:tc>
        <w:tc>
          <w:tcPr>
            <w:tcW w:w="1002" w:type="dxa"/>
            <w:vAlign w:val="center"/>
          </w:tcPr>
          <w:p w14:paraId="4D5573A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第二类</w:t>
            </w:r>
          </w:p>
          <w:p w14:paraId="62422DF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用地</w:t>
            </w:r>
          </w:p>
        </w:tc>
        <w:tc>
          <w:tcPr>
            <w:tcW w:w="996" w:type="dxa"/>
            <w:vAlign w:val="center"/>
          </w:tcPr>
          <w:p w14:paraId="1FEA89A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第一类</w:t>
            </w:r>
          </w:p>
          <w:p w14:paraId="03B0214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用地</w:t>
            </w:r>
          </w:p>
        </w:tc>
        <w:tc>
          <w:tcPr>
            <w:tcW w:w="898" w:type="dxa"/>
            <w:vAlign w:val="center"/>
          </w:tcPr>
          <w:p w14:paraId="16F9E84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第二类</w:t>
            </w:r>
          </w:p>
          <w:p w14:paraId="0C4FCD5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用地</w:t>
            </w:r>
          </w:p>
        </w:tc>
      </w:tr>
      <w:tr w14:paraId="78C7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505" w:type="dxa"/>
            <w:gridSpan w:val="7"/>
            <w:vAlign w:val="center"/>
          </w:tcPr>
          <w:p w14:paraId="357F896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重金属和无机物</w:t>
            </w:r>
          </w:p>
        </w:tc>
      </w:tr>
      <w:tr w14:paraId="15A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14E8B0F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w:t>
            </w:r>
          </w:p>
        </w:tc>
        <w:tc>
          <w:tcPr>
            <w:tcW w:w="1876" w:type="dxa"/>
            <w:vAlign w:val="center"/>
          </w:tcPr>
          <w:p w14:paraId="3DDA2E1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砷</w:t>
            </w:r>
          </w:p>
        </w:tc>
        <w:tc>
          <w:tcPr>
            <w:tcW w:w="2060" w:type="dxa"/>
            <w:vAlign w:val="center"/>
          </w:tcPr>
          <w:p w14:paraId="7626852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7440-38-2</w:t>
            </w:r>
          </w:p>
        </w:tc>
        <w:tc>
          <w:tcPr>
            <w:tcW w:w="859" w:type="dxa"/>
            <w:vAlign w:val="center"/>
          </w:tcPr>
          <w:p w14:paraId="3ECE81A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1002" w:type="dxa"/>
            <w:vAlign w:val="center"/>
          </w:tcPr>
          <w:p w14:paraId="1351D4B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60</w:t>
            </w:r>
          </w:p>
        </w:tc>
        <w:tc>
          <w:tcPr>
            <w:tcW w:w="996" w:type="dxa"/>
            <w:vAlign w:val="center"/>
          </w:tcPr>
          <w:p w14:paraId="4559540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w:t>
            </w:r>
          </w:p>
        </w:tc>
        <w:tc>
          <w:tcPr>
            <w:tcW w:w="898" w:type="dxa"/>
            <w:vAlign w:val="center"/>
          </w:tcPr>
          <w:p w14:paraId="0EF9868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140</w:t>
            </w:r>
          </w:p>
        </w:tc>
      </w:tr>
      <w:tr w14:paraId="5BE5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BBCF4B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w:t>
            </w:r>
          </w:p>
        </w:tc>
        <w:tc>
          <w:tcPr>
            <w:tcW w:w="1876" w:type="dxa"/>
            <w:vAlign w:val="center"/>
          </w:tcPr>
          <w:p w14:paraId="1B04ABC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镉</w:t>
            </w:r>
          </w:p>
        </w:tc>
        <w:tc>
          <w:tcPr>
            <w:tcW w:w="2060" w:type="dxa"/>
            <w:vAlign w:val="center"/>
          </w:tcPr>
          <w:p w14:paraId="1D3DE97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7440-43-9</w:t>
            </w:r>
          </w:p>
        </w:tc>
        <w:tc>
          <w:tcPr>
            <w:tcW w:w="859" w:type="dxa"/>
            <w:vAlign w:val="center"/>
          </w:tcPr>
          <w:p w14:paraId="6B31AE8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1002" w:type="dxa"/>
            <w:vAlign w:val="center"/>
          </w:tcPr>
          <w:p w14:paraId="6C0245E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65</w:t>
            </w:r>
          </w:p>
        </w:tc>
        <w:tc>
          <w:tcPr>
            <w:tcW w:w="996" w:type="dxa"/>
            <w:vAlign w:val="center"/>
          </w:tcPr>
          <w:p w14:paraId="2E40209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47</w:t>
            </w:r>
          </w:p>
        </w:tc>
        <w:tc>
          <w:tcPr>
            <w:tcW w:w="898" w:type="dxa"/>
            <w:vAlign w:val="center"/>
          </w:tcPr>
          <w:p w14:paraId="6D2FBFF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172</w:t>
            </w:r>
          </w:p>
        </w:tc>
      </w:tr>
      <w:tr w14:paraId="53F6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E18676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w:t>
            </w:r>
          </w:p>
        </w:tc>
        <w:tc>
          <w:tcPr>
            <w:tcW w:w="1876" w:type="dxa"/>
            <w:vAlign w:val="center"/>
          </w:tcPr>
          <w:p w14:paraId="0944F06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铬（六价）</w:t>
            </w:r>
          </w:p>
        </w:tc>
        <w:tc>
          <w:tcPr>
            <w:tcW w:w="2060" w:type="dxa"/>
            <w:vAlign w:val="center"/>
          </w:tcPr>
          <w:p w14:paraId="34C6982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18540-29-9</w:t>
            </w:r>
          </w:p>
        </w:tc>
        <w:tc>
          <w:tcPr>
            <w:tcW w:w="859" w:type="dxa"/>
            <w:vAlign w:val="center"/>
          </w:tcPr>
          <w:p w14:paraId="41C8AF2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3.0</w:t>
            </w:r>
          </w:p>
        </w:tc>
        <w:tc>
          <w:tcPr>
            <w:tcW w:w="1002" w:type="dxa"/>
            <w:vAlign w:val="center"/>
          </w:tcPr>
          <w:p w14:paraId="4AF3EC2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5.7</w:t>
            </w:r>
          </w:p>
        </w:tc>
        <w:tc>
          <w:tcPr>
            <w:tcW w:w="996" w:type="dxa"/>
            <w:vAlign w:val="center"/>
          </w:tcPr>
          <w:p w14:paraId="0AB708C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30</w:t>
            </w:r>
          </w:p>
        </w:tc>
        <w:tc>
          <w:tcPr>
            <w:tcW w:w="898" w:type="dxa"/>
            <w:vAlign w:val="center"/>
          </w:tcPr>
          <w:p w14:paraId="2AD8A31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78</w:t>
            </w:r>
          </w:p>
        </w:tc>
      </w:tr>
      <w:tr w14:paraId="2CC7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59EAFB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w:t>
            </w:r>
          </w:p>
        </w:tc>
        <w:tc>
          <w:tcPr>
            <w:tcW w:w="1876" w:type="dxa"/>
            <w:vAlign w:val="center"/>
          </w:tcPr>
          <w:p w14:paraId="23C758D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铜</w:t>
            </w:r>
          </w:p>
        </w:tc>
        <w:tc>
          <w:tcPr>
            <w:tcW w:w="2060" w:type="dxa"/>
            <w:vAlign w:val="center"/>
          </w:tcPr>
          <w:p w14:paraId="31A72E4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7440-50-8</w:t>
            </w:r>
          </w:p>
        </w:tc>
        <w:tc>
          <w:tcPr>
            <w:tcW w:w="859" w:type="dxa"/>
            <w:vAlign w:val="center"/>
          </w:tcPr>
          <w:p w14:paraId="75A655C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2000</w:t>
            </w:r>
          </w:p>
        </w:tc>
        <w:tc>
          <w:tcPr>
            <w:tcW w:w="1002" w:type="dxa"/>
            <w:vAlign w:val="center"/>
          </w:tcPr>
          <w:p w14:paraId="09353E7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18000</w:t>
            </w:r>
          </w:p>
        </w:tc>
        <w:tc>
          <w:tcPr>
            <w:tcW w:w="996" w:type="dxa"/>
            <w:vAlign w:val="center"/>
          </w:tcPr>
          <w:p w14:paraId="5AA9EAE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8000</w:t>
            </w:r>
          </w:p>
        </w:tc>
        <w:tc>
          <w:tcPr>
            <w:tcW w:w="898" w:type="dxa"/>
            <w:vAlign w:val="center"/>
          </w:tcPr>
          <w:p w14:paraId="43A5053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36000</w:t>
            </w:r>
          </w:p>
        </w:tc>
      </w:tr>
      <w:tr w14:paraId="6843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69AE2C3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1876" w:type="dxa"/>
            <w:vAlign w:val="center"/>
          </w:tcPr>
          <w:p w14:paraId="59E3011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铅</w:t>
            </w:r>
          </w:p>
        </w:tc>
        <w:tc>
          <w:tcPr>
            <w:tcW w:w="2060" w:type="dxa"/>
            <w:vAlign w:val="center"/>
          </w:tcPr>
          <w:p w14:paraId="74AD91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7439-92-1</w:t>
            </w:r>
          </w:p>
        </w:tc>
        <w:tc>
          <w:tcPr>
            <w:tcW w:w="859" w:type="dxa"/>
            <w:vAlign w:val="center"/>
          </w:tcPr>
          <w:p w14:paraId="41ABBE1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400</w:t>
            </w:r>
          </w:p>
        </w:tc>
        <w:tc>
          <w:tcPr>
            <w:tcW w:w="1002" w:type="dxa"/>
            <w:vAlign w:val="center"/>
          </w:tcPr>
          <w:p w14:paraId="74A85C1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800</w:t>
            </w:r>
          </w:p>
        </w:tc>
        <w:tc>
          <w:tcPr>
            <w:tcW w:w="996" w:type="dxa"/>
            <w:vAlign w:val="center"/>
          </w:tcPr>
          <w:p w14:paraId="79E188C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800</w:t>
            </w:r>
          </w:p>
        </w:tc>
        <w:tc>
          <w:tcPr>
            <w:tcW w:w="898" w:type="dxa"/>
            <w:vAlign w:val="center"/>
          </w:tcPr>
          <w:p w14:paraId="5C4899D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2500</w:t>
            </w:r>
          </w:p>
        </w:tc>
      </w:tr>
      <w:tr w14:paraId="7242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6D9047E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w:t>
            </w:r>
          </w:p>
        </w:tc>
        <w:tc>
          <w:tcPr>
            <w:tcW w:w="1876" w:type="dxa"/>
            <w:vAlign w:val="center"/>
          </w:tcPr>
          <w:p w14:paraId="53224F3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汞</w:t>
            </w:r>
          </w:p>
        </w:tc>
        <w:tc>
          <w:tcPr>
            <w:tcW w:w="2060" w:type="dxa"/>
            <w:vAlign w:val="center"/>
          </w:tcPr>
          <w:p w14:paraId="6646C28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7439-97-6</w:t>
            </w:r>
          </w:p>
        </w:tc>
        <w:tc>
          <w:tcPr>
            <w:tcW w:w="859" w:type="dxa"/>
            <w:vAlign w:val="center"/>
          </w:tcPr>
          <w:p w14:paraId="43A1C06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w:t>
            </w:r>
          </w:p>
        </w:tc>
        <w:tc>
          <w:tcPr>
            <w:tcW w:w="1002" w:type="dxa"/>
            <w:vAlign w:val="center"/>
          </w:tcPr>
          <w:p w14:paraId="2F5F50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38</w:t>
            </w:r>
          </w:p>
        </w:tc>
        <w:tc>
          <w:tcPr>
            <w:tcW w:w="996" w:type="dxa"/>
            <w:vAlign w:val="center"/>
          </w:tcPr>
          <w:p w14:paraId="7698000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33</w:t>
            </w:r>
          </w:p>
        </w:tc>
        <w:tc>
          <w:tcPr>
            <w:tcW w:w="898" w:type="dxa"/>
            <w:vAlign w:val="center"/>
          </w:tcPr>
          <w:p w14:paraId="4046AC0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82</w:t>
            </w:r>
          </w:p>
        </w:tc>
      </w:tr>
      <w:tr w14:paraId="2E11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E84D54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w:t>
            </w:r>
          </w:p>
        </w:tc>
        <w:tc>
          <w:tcPr>
            <w:tcW w:w="1876" w:type="dxa"/>
            <w:vAlign w:val="center"/>
          </w:tcPr>
          <w:p w14:paraId="18F62C4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镍</w:t>
            </w:r>
          </w:p>
        </w:tc>
        <w:tc>
          <w:tcPr>
            <w:tcW w:w="2060" w:type="dxa"/>
            <w:vAlign w:val="center"/>
          </w:tcPr>
          <w:p w14:paraId="370E72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7440-02-0</w:t>
            </w:r>
          </w:p>
        </w:tc>
        <w:tc>
          <w:tcPr>
            <w:tcW w:w="859" w:type="dxa"/>
            <w:vAlign w:val="center"/>
          </w:tcPr>
          <w:p w14:paraId="4044804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150</w:t>
            </w:r>
          </w:p>
        </w:tc>
        <w:tc>
          <w:tcPr>
            <w:tcW w:w="1002" w:type="dxa"/>
            <w:vAlign w:val="center"/>
          </w:tcPr>
          <w:p w14:paraId="1EFA822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900</w:t>
            </w:r>
          </w:p>
        </w:tc>
        <w:tc>
          <w:tcPr>
            <w:tcW w:w="996" w:type="dxa"/>
            <w:vAlign w:val="center"/>
          </w:tcPr>
          <w:p w14:paraId="0B60FCC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600</w:t>
            </w:r>
          </w:p>
        </w:tc>
        <w:tc>
          <w:tcPr>
            <w:tcW w:w="898" w:type="dxa"/>
            <w:vAlign w:val="center"/>
          </w:tcPr>
          <w:p w14:paraId="22CD03A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2000</w:t>
            </w:r>
          </w:p>
        </w:tc>
      </w:tr>
      <w:tr w14:paraId="71CF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05" w:type="dxa"/>
            <w:gridSpan w:val="7"/>
            <w:vAlign w:val="center"/>
          </w:tcPr>
          <w:p w14:paraId="0228C9B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挥发性有机物</w:t>
            </w:r>
          </w:p>
        </w:tc>
      </w:tr>
      <w:tr w14:paraId="2696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2FDE3E4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w:t>
            </w:r>
          </w:p>
        </w:tc>
        <w:tc>
          <w:tcPr>
            <w:tcW w:w="1876" w:type="dxa"/>
            <w:vAlign w:val="center"/>
          </w:tcPr>
          <w:p w14:paraId="7C08FDB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四氯化碳</w:t>
            </w:r>
          </w:p>
        </w:tc>
        <w:tc>
          <w:tcPr>
            <w:tcW w:w="2060" w:type="dxa"/>
            <w:vAlign w:val="center"/>
          </w:tcPr>
          <w:p w14:paraId="7FFB3FD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56-23-5</w:t>
            </w:r>
          </w:p>
        </w:tc>
        <w:tc>
          <w:tcPr>
            <w:tcW w:w="859" w:type="dxa"/>
            <w:vAlign w:val="center"/>
          </w:tcPr>
          <w:p w14:paraId="64CCB81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0.9</w:t>
            </w:r>
          </w:p>
        </w:tc>
        <w:tc>
          <w:tcPr>
            <w:tcW w:w="1002" w:type="dxa"/>
            <w:vAlign w:val="center"/>
          </w:tcPr>
          <w:p w14:paraId="1CBFA2A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996" w:type="dxa"/>
            <w:vAlign w:val="center"/>
          </w:tcPr>
          <w:p w14:paraId="7ED0898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w:t>
            </w:r>
          </w:p>
        </w:tc>
        <w:tc>
          <w:tcPr>
            <w:tcW w:w="898" w:type="dxa"/>
            <w:vAlign w:val="center"/>
          </w:tcPr>
          <w:p w14:paraId="2139199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36</w:t>
            </w:r>
          </w:p>
        </w:tc>
      </w:tr>
      <w:tr w14:paraId="3451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3BFF04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w:t>
            </w:r>
          </w:p>
        </w:tc>
        <w:tc>
          <w:tcPr>
            <w:tcW w:w="1876" w:type="dxa"/>
            <w:vAlign w:val="center"/>
          </w:tcPr>
          <w:p w14:paraId="7570C34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氯仿</w:t>
            </w:r>
          </w:p>
        </w:tc>
        <w:tc>
          <w:tcPr>
            <w:tcW w:w="2060" w:type="dxa"/>
            <w:vAlign w:val="center"/>
          </w:tcPr>
          <w:p w14:paraId="01FF860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67-66-3</w:t>
            </w:r>
          </w:p>
        </w:tc>
        <w:tc>
          <w:tcPr>
            <w:tcW w:w="859" w:type="dxa"/>
            <w:vAlign w:val="center"/>
          </w:tcPr>
          <w:p w14:paraId="42C6A13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0.3</w:t>
            </w:r>
          </w:p>
        </w:tc>
        <w:tc>
          <w:tcPr>
            <w:tcW w:w="1002" w:type="dxa"/>
            <w:vAlign w:val="center"/>
          </w:tcPr>
          <w:p w14:paraId="5923F54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0.9</w:t>
            </w:r>
          </w:p>
        </w:tc>
        <w:tc>
          <w:tcPr>
            <w:tcW w:w="996" w:type="dxa"/>
            <w:vAlign w:val="center"/>
          </w:tcPr>
          <w:p w14:paraId="53849E8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898" w:type="dxa"/>
            <w:vAlign w:val="center"/>
          </w:tcPr>
          <w:p w14:paraId="21C2415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r>
      <w:tr w14:paraId="52DB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1A0364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c>
          <w:tcPr>
            <w:tcW w:w="1876" w:type="dxa"/>
            <w:vAlign w:val="center"/>
          </w:tcPr>
          <w:p w14:paraId="6A4F96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氯甲烷</w:t>
            </w:r>
          </w:p>
        </w:tc>
        <w:tc>
          <w:tcPr>
            <w:tcW w:w="2060" w:type="dxa"/>
            <w:vAlign w:val="center"/>
          </w:tcPr>
          <w:p w14:paraId="0A4573D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74-87-3</w:t>
            </w:r>
          </w:p>
        </w:tc>
        <w:tc>
          <w:tcPr>
            <w:tcW w:w="859" w:type="dxa"/>
            <w:vAlign w:val="center"/>
          </w:tcPr>
          <w:p w14:paraId="2578F81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w:t>
            </w:r>
          </w:p>
        </w:tc>
        <w:tc>
          <w:tcPr>
            <w:tcW w:w="1002" w:type="dxa"/>
            <w:vAlign w:val="center"/>
          </w:tcPr>
          <w:p w14:paraId="2CD231B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37</w:t>
            </w:r>
          </w:p>
        </w:tc>
        <w:tc>
          <w:tcPr>
            <w:tcW w:w="996" w:type="dxa"/>
            <w:vAlign w:val="center"/>
          </w:tcPr>
          <w:p w14:paraId="16C93B0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w:t>
            </w:r>
          </w:p>
        </w:tc>
        <w:tc>
          <w:tcPr>
            <w:tcW w:w="898" w:type="dxa"/>
            <w:vAlign w:val="center"/>
          </w:tcPr>
          <w:p w14:paraId="40E957D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w:t>
            </w:r>
          </w:p>
        </w:tc>
      </w:tr>
      <w:tr w14:paraId="76C1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A3132D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w:t>
            </w:r>
          </w:p>
        </w:tc>
        <w:tc>
          <w:tcPr>
            <w:tcW w:w="1876" w:type="dxa"/>
            <w:vAlign w:val="center"/>
          </w:tcPr>
          <w:p w14:paraId="0C77485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1,1-二氯乙烷</w:t>
            </w:r>
          </w:p>
        </w:tc>
        <w:tc>
          <w:tcPr>
            <w:tcW w:w="2060" w:type="dxa"/>
            <w:vAlign w:val="center"/>
          </w:tcPr>
          <w:p w14:paraId="571F890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75-34-3</w:t>
            </w:r>
          </w:p>
        </w:tc>
        <w:tc>
          <w:tcPr>
            <w:tcW w:w="859" w:type="dxa"/>
            <w:vAlign w:val="center"/>
          </w:tcPr>
          <w:p w14:paraId="6FD88D5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w:t>
            </w:r>
          </w:p>
        </w:tc>
        <w:tc>
          <w:tcPr>
            <w:tcW w:w="1002" w:type="dxa"/>
            <w:vAlign w:val="center"/>
          </w:tcPr>
          <w:p w14:paraId="61B2F42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w:t>
            </w:r>
          </w:p>
        </w:tc>
        <w:tc>
          <w:tcPr>
            <w:tcW w:w="996" w:type="dxa"/>
            <w:vAlign w:val="center"/>
          </w:tcPr>
          <w:p w14:paraId="294C98B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898" w:type="dxa"/>
            <w:vAlign w:val="center"/>
          </w:tcPr>
          <w:p w14:paraId="7A8C631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100</w:t>
            </w:r>
          </w:p>
        </w:tc>
      </w:tr>
      <w:tr w14:paraId="7292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088198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w:t>
            </w:r>
          </w:p>
        </w:tc>
        <w:tc>
          <w:tcPr>
            <w:tcW w:w="1876" w:type="dxa"/>
            <w:vAlign w:val="center"/>
          </w:tcPr>
          <w:p w14:paraId="00481E3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1,2-二氯乙烷</w:t>
            </w:r>
          </w:p>
        </w:tc>
        <w:tc>
          <w:tcPr>
            <w:tcW w:w="2060" w:type="dxa"/>
            <w:vAlign w:val="center"/>
          </w:tcPr>
          <w:p w14:paraId="69BB28F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107-06-2</w:t>
            </w:r>
          </w:p>
        </w:tc>
        <w:tc>
          <w:tcPr>
            <w:tcW w:w="859" w:type="dxa"/>
            <w:vAlign w:val="center"/>
          </w:tcPr>
          <w:p w14:paraId="4C1ECDE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0.52</w:t>
            </w:r>
          </w:p>
        </w:tc>
        <w:tc>
          <w:tcPr>
            <w:tcW w:w="1002" w:type="dxa"/>
            <w:vAlign w:val="center"/>
          </w:tcPr>
          <w:p w14:paraId="54CCE56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996" w:type="dxa"/>
            <w:vAlign w:val="center"/>
          </w:tcPr>
          <w:p w14:paraId="5389E19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w:t>
            </w:r>
          </w:p>
        </w:tc>
        <w:tc>
          <w:tcPr>
            <w:tcW w:w="898" w:type="dxa"/>
            <w:vAlign w:val="center"/>
          </w:tcPr>
          <w:p w14:paraId="6B9FF54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w:t>
            </w:r>
          </w:p>
        </w:tc>
      </w:tr>
      <w:tr w14:paraId="1668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FDA368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13</w:t>
            </w:r>
          </w:p>
        </w:tc>
        <w:tc>
          <w:tcPr>
            <w:tcW w:w="1876" w:type="dxa"/>
            <w:vAlign w:val="center"/>
          </w:tcPr>
          <w:p w14:paraId="7169CE7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1,1-二氯乙烯</w:t>
            </w:r>
          </w:p>
        </w:tc>
        <w:tc>
          <w:tcPr>
            <w:tcW w:w="2060" w:type="dxa"/>
            <w:vAlign w:val="center"/>
          </w:tcPr>
          <w:p w14:paraId="0323E40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75-35-4</w:t>
            </w:r>
          </w:p>
        </w:tc>
        <w:tc>
          <w:tcPr>
            <w:tcW w:w="859" w:type="dxa"/>
            <w:vAlign w:val="center"/>
          </w:tcPr>
          <w:p w14:paraId="12EFF78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w:t>
            </w:r>
          </w:p>
        </w:tc>
        <w:tc>
          <w:tcPr>
            <w:tcW w:w="1002" w:type="dxa"/>
            <w:vAlign w:val="center"/>
          </w:tcPr>
          <w:p w14:paraId="1AF7A9C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66</w:t>
            </w:r>
          </w:p>
        </w:tc>
        <w:tc>
          <w:tcPr>
            <w:tcW w:w="996" w:type="dxa"/>
            <w:vAlign w:val="center"/>
          </w:tcPr>
          <w:p w14:paraId="2A37DB9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40</w:t>
            </w:r>
          </w:p>
        </w:tc>
        <w:tc>
          <w:tcPr>
            <w:tcW w:w="898" w:type="dxa"/>
            <w:vAlign w:val="center"/>
          </w:tcPr>
          <w:p w14:paraId="3BF08D4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w:t>
            </w:r>
          </w:p>
        </w:tc>
      </w:tr>
      <w:tr w14:paraId="488A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D40EB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14</w:t>
            </w:r>
          </w:p>
        </w:tc>
        <w:tc>
          <w:tcPr>
            <w:tcW w:w="1876" w:type="dxa"/>
            <w:vAlign w:val="center"/>
          </w:tcPr>
          <w:p w14:paraId="7E9CA02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顺-1,2-二氯乙烯</w:t>
            </w:r>
          </w:p>
        </w:tc>
        <w:tc>
          <w:tcPr>
            <w:tcW w:w="2060" w:type="dxa"/>
            <w:vAlign w:val="center"/>
          </w:tcPr>
          <w:p w14:paraId="59B822F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156-59-2</w:t>
            </w:r>
          </w:p>
        </w:tc>
        <w:tc>
          <w:tcPr>
            <w:tcW w:w="859" w:type="dxa"/>
            <w:vAlign w:val="center"/>
          </w:tcPr>
          <w:p w14:paraId="0822969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66</w:t>
            </w:r>
          </w:p>
        </w:tc>
        <w:tc>
          <w:tcPr>
            <w:tcW w:w="1002" w:type="dxa"/>
            <w:vAlign w:val="center"/>
          </w:tcPr>
          <w:p w14:paraId="31F789B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596</w:t>
            </w:r>
          </w:p>
        </w:tc>
        <w:tc>
          <w:tcPr>
            <w:tcW w:w="996" w:type="dxa"/>
            <w:vAlign w:val="center"/>
          </w:tcPr>
          <w:p w14:paraId="006B75D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w:t>
            </w:r>
          </w:p>
        </w:tc>
        <w:tc>
          <w:tcPr>
            <w:tcW w:w="898" w:type="dxa"/>
            <w:vAlign w:val="center"/>
          </w:tcPr>
          <w:p w14:paraId="3595A28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2000</w:t>
            </w:r>
          </w:p>
        </w:tc>
      </w:tr>
      <w:tr w14:paraId="2DFB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7980FF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1876" w:type="dxa"/>
            <w:vAlign w:val="center"/>
          </w:tcPr>
          <w:p w14:paraId="1FAAA59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反-1,2-二氯乙烯</w:t>
            </w:r>
          </w:p>
        </w:tc>
        <w:tc>
          <w:tcPr>
            <w:tcW w:w="2060" w:type="dxa"/>
            <w:vAlign w:val="center"/>
          </w:tcPr>
          <w:p w14:paraId="709E964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156-60-5</w:t>
            </w:r>
          </w:p>
        </w:tc>
        <w:tc>
          <w:tcPr>
            <w:tcW w:w="859" w:type="dxa"/>
            <w:vAlign w:val="center"/>
          </w:tcPr>
          <w:p w14:paraId="0EF8CDA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c>
          <w:tcPr>
            <w:tcW w:w="1002" w:type="dxa"/>
            <w:vAlign w:val="center"/>
          </w:tcPr>
          <w:p w14:paraId="79F67D2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54</w:t>
            </w:r>
          </w:p>
        </w:tc>
        <w:tc>
          <w:tcPr>
            <w:tcW w:w="996" w:type="dxa"/>
            <w:vAlign w:val="center"/>
          </w:tcPr>
          <w:p w14:paraId="002CE45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31</w:t>
            </w:r>
          </w:p>
        </w:tc>
        <w:tc>
          <w:tcPr>
            <w:tcW w:w="898" w:type="dxa"/>
            <w:vAlign w:val="center"/>
          </w:tcPr>
          <w:p w14:paraId="5540B20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163</w:t>
            </w:r>
          </w:p>
        </w:tc>
      </w:tr>
      <w:tr w14:paraId="5192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215405A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16</w:t>
            </w:r>
          </w:p>
        </w:tc>
        <w:tc>
          <w:tcPr>
            <w:tcW w:w="1876" w:type="dxa"/>
            <w:vAlign w:val="center"/>
          </w:tcPr>
          <w:p w14:paraId="2F69396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二氯甲烷</w:t>
            </w:r>
          </w:p>
        </w:tc>
        <w:tc>
          <w:tcPr>
            <w:tcW w:w="2060" w:type="dxa"/>
            <w:vAlign w:val="center"/>
          </w:tcPr>
          <w:p w14:paraId="72CBC93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27639</w:t>
            </w:r>
          </w:p>
        </w:tc>
        <w:tc>
          <w:tcPr>
            <w:tcW w:w="859" w:type="dxa"/>
            <w:vAlign w:val="center"/>
          </w:tcPr>
          <w:p w14:paraId="0EF2D73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94</w:t>
            </w:r>
          </w:p>
        </w:tc>
        <w:tc>
          <w:tcPr>
            <w:tcW w:w="1002" w:type="dxa"/>
            <w:vAlign w:val="center"/>
          </w:tcPr>
          <w:p w14:paraId="15370E4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616</w:t>
            </w:r>
          </w:p>
        </w:tc>
        <w:tc>
          <w:tcPr>
            <w:tcW w:w="996" w:type="dxa"/>
            <w:vAlign w:val="center"/>
          </w:tcPr>
          <w:p w14:paraId="7C2AB31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300</w:t>
            </w:r>
          </w:p>
        </w:tc>
        <w:tc>
          <w:tcPr>
            <w:tcW w:w="898" w:type="dxa"/>
            <w:vAlign w:val="center"/>
          </w:tcPr>
          <w:p w14:paraId="0D24A31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2000</w:t>
            </w:r>
          </w:p>
        </w:tc>
      </w:tr>
      <w:tr w14:paraId="1277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87F9DF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17</w:t>
            </w:r>
          </w:p>
        </w:tc>
        <w:tc>
          <w:tcPr>
            <w:tcW w:w="1876" w:type="dxa"/>
            <w:vAlign w:val="center"/>
          </w:tcPr>
          <w:p w14:paraId="52DB18F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1,2-二氯丙烷</w:t>
            </w:r>
          </w:p>
        </w:tc>
        <w:tc>
          <w:tcPr>
            <w:tcW w:w="2060" w:type="dxa"/>
            <w:vAlign w:val="center"/>
          </w:tcPr>
          <w:p w14:paraId="3A59A3A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78-87-5</w:t>
            </w:r>
          </w:p>
        </w:tc>
        <w:tc>
          <w:tcPr>
            <w:tcW w:w="859" w:type="dxa"/>
            <w:vAlign w:val="center"/>
          </w:tcPr>
          <w:p w14:paraId="1BE83B6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w:t>
            </w:r>
          </w:p>
        </w:tc>
        <w:tc>
          <w:tcPr>
            <w:tcW w:w="1002" w:type="dxa"/>
            <w:vAlign w:val="center"/>
          </w:tcPr>
          <w:p w14:paraId="373B89F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996" w:type="dxa"/>
            <w:vAlign w:val="center"/>
          </w:tcPr>
          <w:p w14:paraId="02281D9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898" w:type="dxa"/>
            <w:vAlign w:val="center"/>
          </w:tcPr>
          <w:p w14:paraId="5803524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47</w:t>
            </w:r>
          </w:p>
        </w:tc>
      </w:tr>
      <w:tr w14:paraId="6D14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1830778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18</w:t>
            </w:r>
          </w:p>
        </w:tc>
        <w:tc>
          <w:tcPr>
            <w:tcW w:w="1876" w:type="dxa"/>
            <w:vAlign w:val="center"/>
          </w:tcPr>
          <w:p w14:paraId="1666F63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1,1,1,2-四氯乙烷</w:t>
            </w:r>
          </w:p>
        </w:tc>
        <w:tc>
          <w:tcPr>
            <w:tcW w:w="2060" w:type="dxa"/>
            <w:vAlign w:val="center"/>
          </w:tcPr>
          <w:p w14:paraId="0700C3A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630-20-6</w:t>
            </w:r>
          </w:p>
        </w:tc>
        <w:tc>
          <w:tcPr>
            <w:tcW w:w="859" w:type="dxa"/>
            <w:vAlign w:val="center"/>
          </w:tcPr>
          <w:p w14:paraId="435F649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2.6</w:t>
            </w:r>
          </w:p>
        </w:tc>
        <w:tc>
          <w:tcPr>
            <w:tcW w:w="1002" w:type="dxa"/>
            <w:vAlign w:val="center"/>
          </w:tcPr>
          <w:p w14:paraId="3DA2DD2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c>
          <w:tcPr>
            <w:tcW w:w="996" w:type="dxa"/>
            <w:vAlign w:val="center"/>
          </w:tcPr>
          <w:p w14:paraId="2C0B1B6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26</w:t>
            </w:r>
          </w:p>
        </w:tc>
        <w:tc>
          <w:tcPr>
            <w:tcW w:w="898" w:type="dxa"/>
            <w:vAlign w:val="center"/>
          </w:tcPr>
          <w:p w14:paraId="4126158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100</w:t>
            </w:r>
          </w:p>
        </w:tc>
      </w:tr>
      <w:tr w14:paraId="7A89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1EB0A3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19</w:t>
            </w:r>
          </w:p>
        </w:tc>
        <w:tc>
          <w:tcPr>
            <w:tcW w:w="1876" w:type="dxa"/>
            <w:vAlign w:val="center"/>
          </w:tcPr>
          <w:p w14:paraId="40F478B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1,1,2,2-四氯乙烷</w:t>
            </w:r>
          </w:p>
        </w:tc>
        <w:tc>
          <w:tcPr>
            <w:tcW w:w="2060" w:type="dxa"/>
            <w:vAlign w:val="center"/>
          </w:tcPr>
          <w:p w14:paraId="7DC8B56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79-34-5</w:t>
            </w:r>
          </w:p>
        </w:tc>
        <w:tc>
          <w:tcPr>
            <w:tcW w:w="859" w:type="dxa"/>
            <w:vAlign w:val="center"/>
          </w:tcPr>
          <w:p w14:paraId="17E56E2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1.6</w:t>
            </w:r>
          </w:p>
        </w:tc>
        <w:tc>
          <w:tcPr>
            <w:tcW w:w="1002" w:type="dxa"/>
            <w:vAlign w:val="center"/>
          </w:tcPr>
          <w:p w14:paraId="57C0316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6.8</w:t>
            </w:r>
          </w:p>
        </w:tc>
        <w:tc>
          <w:tcPr>
            <w:tcW w:w="996" w:type="dxa"/>
            <w:vAlign w:val="center"/>
          </w:tcPr>
          <w:p w14:paraId="0334F93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14</w:t>
            </w:r>
          </w:p>
        </w:tc>
        <w:tc>
          <w:tcPr>
            <w:tcW w:w="898" w:type="dxa"/>
            <w:vAlign w:val="center"/>
          </w:tcPr>
          <w:p w14:paraId="22498BE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50</w:t>
            </w:r>
          </w:p>
        </w:tc>
      </w:tr>
      <w:tr w14:paraId="59AC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DEC481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1876" w:type="dxa"/>
            <w:vAlign w:val="center"/>
          </w:tcPr>
          <w:p w14:paraId="3C95C19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四氯乙烯</w:t>
            </w:r>
          </w:p>
        </w:tc>
        <w:tc>
          <w:tcPr>
            <w:tcW w:w="2060" w:type="dxa"/>
            <w:vAlign w:val="center"/>
          </w:tcPr>
          <w:p w14:paraId="582FA82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127-18-4</w:t>
            </w:r>
          </w:p>
        </w:tc>
        <w:tc>
          <w:tcPr>
            <w:tcW w:w="859" w:type="dxa"/>
            <w:vAlign w:val="center"/>
          </w:tcPr>
          <w:p w14:paraId="375296C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w:t>
            </w:r>
          </w:p>
        </w:tc>
        <w:tc>
          <w:tcPr>
            <w:tcW w:w="1002" w:type="dxa"/>
            <w:vAlign w:val="center"/>
          </w:tcPr>
          <w:p w14:paraId="766FAD2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53</w:t>
            </w:r>
          </w:p>
        </w:tc>
        <w:tc>
          <w:tcPr>
            <w:tcW w:w="996" w:type="dxa"/>
            <w:vAlign w:val="center"/>
          </w:tcPr>
          <w:p w14:paraId="3553A9D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34</w:t>
            </w:r>
          </w:p>
        </w:tc>
        <w:tc>
          <w:tcPr>
            <w:tcW w:w="898" w:type="dxa"/>
            <w:vAlign w:val="center"/>
          </w:tcPr>
          <w:p w14:paraId="65A72E6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183</w:t>
            </w:r>
          </w:p>
        </w:tc>
      </w:tr>
      <w:tr w14:paraId="512A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476F34B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w:t>
            </w:r>
          </w:p>
        </w:tc>
        <w:tc>
          <w:tcPr>
            <w:tcW w:w="1876" w:type="dxa"/>
            <w:vAlign w:val="center"/>
          </w:tcPr>
          <w:p w14:paraId="10465A0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1,1,1-三氯乙烷</w:t>
            </w:r>
          </w:p>
        </w:tc>
        <w:tc>
          <w:tcPr>
            <w:tcW w:w="2060" w:type="dxa"/>
            <w:vAlign w:val="center"/>
          </w:tcPr>
          <w:p w14:paraId="75F96B1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71-55-6</w:t>
            </w:r>
          </w:p>
        </w:tc>
        <w:tc>
          <w:tcPr>
            <w:tcW w:w="859" w:type="dxa"/>
            <w:vAlign w:val="center"/>
          </w:tcPr>
          <w:p w14:paraId="7C8DCD9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701</w:t>
            </w:r>
          </w:p>
        </w:tc>
        <w:tc>
          <w:tcPr>
            <w:tcW w:w="1002" w:type="dxa"/>
            <w:vAlign w:val="center"/>
          </w:tcPr>
          <w:p w14:paraId="6715B08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840</w:t>
            </w:r>
          </w:p>
        </w:tc>
        <w:tc>
          <w:tcPr>
            <w:tcW w:w="996" w:type="dxa"/>
            <w:vAlign w:val="center"/>
          </w:tcPr>
          <w:p w14:paraId="46217F8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840</w:t>
            </w:r>
          </w:p>
        </w:tc>
        <w:tc>
          <w:tcPr>
            <w:tcW w:w="898" w:type="dxa"/>
            <w:vAlign w:val="center"/>
          </w:tcPr>
          <w:p w14:paraId="0E2589F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840</w:t>
            </w:r>
          </w:p>
        </w:tc>
      </w:tr>
      <w:tr w14:paraId="050F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8503B1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22</w:t>
            </w:r>
          </w:p>
        </w:tc>
        <w:tc>
          <w:tcPr>
            <w:tcW w:w="1876" w:type="dxa"/>
            <w:vAlign w:val="center"/>
          </w:tcPr>
          <w:p w14:paraId="38F7BC6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1,1,2-三氯乙烷</w:t>
            </w:r>
          </w:p>
        </w:tc>
        <w:tc>
          <w:tcPr>
            <w:tcW w:w="2060" w:type="dxa"/>
            <w:vAlign w:val="center"/>
          </w:tcPr>
          <w:p w14:paraId="13033CD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79-00-5</w:t>
            </w:r>
          </w:p>
        </w:tc>
        <w:tc>
          <w:tcPr>
            <w:tcW w:w="859" w:type="dxa"/>
            <w:vAlign w:val="center"/>
          </w:tcPr>
          <w:p w14:paraId="7E41EF4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0.6</w:t>
            </w:r>
          </w:p>
        </w:tc>
        <w:tc>
          <w:tcPr>
            <w:tcW w:w="1002" w:type="dxa"/>
            <w:vAlign w:val="center"/>
          </w:tcPr>
          <w:p w14:paraId="428460B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996" w:type="dxa"/>
            <w:vAlign w:val="center"/>
          </w:tcPr>
          <w:p w14:paraId="6B7F06B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c>
          <w:tcPr>
            <w:tcW w:w="898" w:type="dxa"/>
            <w:vAlign w:val="center"/>
          </w:tcPr>
          <w:p w14:paraId="0330E00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r>
      <w:tr w14:paraId="348E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4362D5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23</w:t>
            </w:r>
          </w:p>
        </w:tc>
        <w:tc>
          <w:tcPr>
            <w:tcW w:w="1876" w:type="dxa"/>
            <w:vAlign w:val="center"/>
          </w:tcPr>
          <w:p w14:paraId="41AAA6E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三氯乙烯</w:t>
            </w:r>
          </w:p>
        </w:tc>
        <w:tc>
          <w:tcPr>
            <w:tcW w:w="2060" w:type="dxa"/>
            <w:vAlign w:val="center"/>
          </w:tcPr>
          <w:p w14:paraId="4AD278A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79-01-6</w:t>
            </w:r>
          </w:p>
        </w:tc>
        <w:tc>
          <w:tcPr>
            <w:tcW w:w="859" w:type="dxa"/>
            <w:vAlign w:val="center"/>
          </w:tcPr>
          <w:p w14:paraId="076CC0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0.7</w:t>
            </w:r>
          </w:p>
        </w:tc>
        <w:tc>
          <w:tcPr>
            <w:tcW w:w="1002" w:type="dxa"/>
            <w:vAlign w:val="center"/>
          </w:tcPr>
          <w:p w14:paraId="721ACF1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996" w:type="dxa"/>
            <w:vAlign w:val="center"/>
          </w:tcPr>
          <w:p w14:paraId="0987CC9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w:t>
            </w:r>
          </w:p>
        </w:tc>
        <w:tc>
          <w:tcPr>
            <w:tcW w:w="898" w:type="dxa"/>
            <w:vAlign w:val="center"/>
          </w:tcPr>
          <w:p w14:paraId="39C0CD3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r>
      <w:tr w14:paraId="5B73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E57690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24</w:t>
            </w:r>
          </w:p>
        </w:tc>
        <w:tc>
          <w:tcPr>
            <w:tcW w:w="1876" w:type="dxa"/>
            <w:vAlign w:val="center"/>
          </w:tcPr>
          <w:p w14:paraId="5A6550B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1,2,3-三氯丙烷</w:t>
            </w:r>
          </w:p>
        </w:tc>
        <w:tc>
          <w:tcPr>
            <w:tcW w:w="2060" w:type="dxa"/>
            <w:vAlign w:val="center"/>
          </w:tcPr>
          <w:p w14:paraId="7BD568A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96-18-4</w:t>
            </w:r>
          </w:p>
        </w:tc>
        <w:tc>
          <w:tcPr>
            <w:tcW w:w="859" w:type="dxa"/>
            <w:vAlign w:val="center"/>
          </w:tcPr>
          <w:p w14:paraId="451C73A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0.05</w:t>
            </w:r>
          </w:p>
        </w:tc>
        <w:tc>
          <w:tcPr>
            <w:tcW w:w="1002" w:type="dxa"/>
            <w:vAlign w:val="center"/>
          </w:tcPr>
          <w:p w14:paraId="6F8ED03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0.5</w:t>
            </w:r>
          </w:p>
        </w:tc>
        <w:tc>
          <w:tcPr>
            <w:tcW w:w="996" w:type="dxa"/>
            <w:vAlign w:val="center"/>
          </w:tcPr>
          <w:p w14:paraId="54D6F7C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0.5</w:t>
            </w:r>
          </w:p>
        </w:tc>
        <w:tc>
          <w:tcPr>
            <w:tcW w:w="898" w:type="dxa"/>
            <w:vAlign w:val="center"/>
          </w:tcPr>
          <w:p w14:paraId="55EC0B1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w:t>
            </w:r>
          </w:p>
        </w:tc>
      </w:tr>
      <w:tr w14:paraId="3A93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72FAED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w:t>
            </w:r>
          </w:p>
        </w:tc>
        <w:tc>
          <w:tcPr>
            <w:tcW w:w="1876" w:type="dxa"/>
            <w:vAlign w:val="center"/>
          </w:tcPr>
          <w:p w14:paraId="7B53164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氯乙烯</w:t>
            </w:r>
          </w:p>
        </w:tc>
        <w:tc>
          <w:tcPr>
            <w:tcW w:w="2060" w:type="dxa"/>
            <w:vAlign w:val="center"/>
          </w:tcPr>
          <w:p w14:paraId="3D8A165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27398</w:t>
            </w:r>
          </w:p>
        </w:tc>
        <w:tc>
          <w:tcPr>
            <w:tcW w:w="859" w:type="dxa"/>
            <w:vAlign w:val="center"/>
          </w:tcPr>
          <w:p w14:paraId="7587767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0.12</w:t>
            </w:r>
          </w:p>
        </w:tc>
        <w:tc>
          <w:tcPr>
            <w:tcW w:w="1002" w:type="dxa"/>
            <w:vAlign w:val="center"/>
          </w:tcPr>
          <w:p w14:paraId="68D7DCC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0.43</w:t>
            </w:r>
          </w:p>
        </w:tc>
        <w:tc>
          <w:tcPr>
            <w:tcW w:w="996" w:type="dxa"/>
            <w:vAlign w:val="center"/>
          </w:tcPr>
          <w:p w14:paraId="3C3D0DA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w:t>
            </w:r>
          </w:p>
        </w:tc>
        <w:tc>
          <w:tcPr>
            <w:tcW w:w="898" w:type="dxa"/>
            <w:vAlign w:val="center"/>
          </w:tcPr>
          <w:p w14:paraId="0D42110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4.3</w:t>
            </w:r>
          </w:p>
        </w:tc>
      </w:tr>
      <w:tr w14:paraId="255E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4F5ECD8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26</w:t>
            </w:r>
          </w:p>
        </w:tc>
        <w:tc>
          <w:tcPr>
            <w:tcW w:w="1876" w:type="dxa"/>
            <w:vAlign w:val="center"/>
          </w:tcPr>
          <w:p w14:paraId="03007E8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w:t>
            </w:r>
          </w:p>
        </w:tc>
        <w:tc>
          <w:tcPr>
            <w:tcW w:w="2060" w:type="dxa"/>
            <w:vAlign w:val="center"/>
          </w:tcPr>
          <w:p w14:paraId="4503C96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71-43-2</w:t>
            </w:r>
          </w:p>
        </w:tc>
        <w:tc>
          <w:tcPr>
            <w:tcW w:w="859" w:type="dxa"/>
            <w:vAlign w:val="center"/>
          </w:tcPr>
          <w:p w14:paraId="3D51662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w:t>
            </w:r>
          </w:p>
        </w:tc>
        <w:tc>
          <w:tcPr>
            <w:tcW w:w="1002" w:type="dxa"/>
            <w:vAlign w:val="center"/>
          </w:tcPr>
          <w:p w14:paraId="76C7F34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w:t>
            </w:r>
          </w:p>
        </w:tc>
        <w:tc>
          <w:tcPr>
            <w:tcW w:w="996" w:type="dxa"/>
            <w:vAlign w:val="center"/>
          </w:tcPr>
          <w:p w14:paraId="6FCDBFB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w:t>
            </w:r>
          </w:p>
        </w:tc>
        <w:tc>
          <w:tcPr>
            <w:tcW w:w="898" w:type="dxa"/>
            <w:vAlign w:val="center"/>
          </w:tcPr>
          <w:p w14:paraId="4340BB4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40</w:t>
            </w:r>
          </w:p>
        </w:tc>
      </w:tr>
      <w:tr w14:paraId="0239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0CF2DE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27</w:t>
            </w:r>
          </w:p>
        </w:tc>
        <w:tc>
          <w:tcPr>
            <w:tcW w:w="1876" w:type="dxa"/>
            <w:vAlign w:val="center"/>
          </w:tcPr>
          <w:p w14:paraId="172034C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氯苯</w:t>
            </w:r>
          </w:p>
        </w:tc>
        <w:tc>
          <w:tcPr>
            <w:tcW w:w="2060" w:type="dxa"/>
            <w:vAlign w:val="center"/>
          </w:tcPr>
          <w:p w14:paraId="4994C16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108-90-7</w:t>
            </w:r>
          </w:p>
        </w:tc>
        <w:tc>
          <w:tcPr>
            <w:tcW w:w="859" w:type="dxa"/>
            <w:vAlign w:val="center"/>
          </w:tcPr>
          <w:p w14:paraId="6ACC7ED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68</w:t>
            </w:r>
          </w:p>
        </w:tc>
        <w:tc>
          <w:tcPr>
            <w:tcW w:w="1002" w:type="dxa"/>
            <w:vAlign w:val="center"/>
          </w:tcPr>
          <w:p w14:paraId="422A993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270</w:t>
            </w:r>
          </w:p>
        </w:tc>
        <w:tc>
          <w:tcPr>
            <w:tcW w:w="996" w:type="dxa"/>
            <w:vAlign w:val="center"/>
          </w:tcPr>
          <w:p w14:paraId="77453CF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w:t>
            </w:r>
          </w:p>
        </w:tc>
        <w:tc>
          <w:tcPr>
            <w:tcW w:w="898" w:type="dxa"/>
            <w:vAlign w:val="center"/>
          </w:tcPr>
          <w:p w14:paraId="36414D2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1000</w:t>
            </w:r>
          </w:p>
        </w:tc>
      </w:tr>
      <w:tr w14:paraId="4533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642F319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1876" w:type="dxa"/>
            <w:vAlign w:val="center"/>
          </w:tcPr>
          <w:p w14:paraId="018D59E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1,2-二氯苯</w:t>
            </w:r>
          </w:p>
        </w:tc>
        <w:tc>
          <w:tcPr>
            <w:tcW w:w="2060" w:type="dxa"/>
            <w:vAlign w:val="center"/>
          </w:tcPr>
          <w:p w14:paraId="26BDBAD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95-50-1</w:t>
            </w:r>
          </w:p>
        </w:tc>
        <w:tc>
          <w:tcPr>
            <w:tcW w:w="859" w:type="dxa"/>
            <w:vAlign w:val="center"/>
          </w:tcPr>
          <w:p w14:paraId="57B4D8F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560</w:t>
            </w:r>
          </w:p>
        </w:tc>
        <w:tc>
          <w:tcPr>
            <w:tcW w:w="1002" w:type="dxa"/>
            <w:vAlign w:val="center"/>
          </w:tcPr>
          <w:p w14:paraId="4FF4566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560</w:t>
            </w:r>
          </w:p>
        </w:tc>
        <w:tc>
          <w:tcPr>
            <w:tcW w:w="996" w:type="dxa"/>
            <w:vAlign w:val="center"/>
          </w:tcPr>
          <w:p w14:paraId="6BA4A24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560</w:t>
            </w:r>
          </w:p>
        </w:tc>
        <w:tc>
          <w:tcPr>
            <w:tcW w:w="898" w:type="dxa"/>
            <w:vAlign w:val="center"/>
          </w:tcPr>
          <w:p w14:paraId="25F1B83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560</w:t>
            </w:r>
          </w:p>
        </w:tc>
      </w:tr>
      <w:tr w14:paraId="76A0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6E5E9D9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29</w:t>
            </w:r>
          </w:p>
        </w:tc>
        <w:tc>
          <w:tcPr>
            <w:tcW w:w="1876" w:type="dxa"/>
            <w:vAlign w:val="center"/>
          </w:tcPr>
          <w:p w14:paraId="3ED13C2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1,4-二氯苯</w:t>
            </w:r>
          </w:p>
        </w:tc>
        <w:tc>
          <w:tcPr>
            <w:tcW w:w="2060" w:type="dxa"/>
            <w:vAlign w:val="center"/>
          </w:tcPr>
          <w:p w14:paraId="7BFE170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106-46-7</w:t>
            </w:r>
          </w:p>
        </w:tc>
        <w:tc>
          <w:tcPr>
            <w:tcW w:w="859" w:type="dxa"/>
            <w:vAlign w:val="center"/>
          </w:tcPr>
          <w:p w14:paraId="5DC59C5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w:t>
            </w:r>
          </w:p>
        </w:tc>
        <w:tc>
          <w:tcPr>
            <w:tcW w:w="1002" w:type="dxa"/>
            <w:vAlign w:val="center"/>
          </w:tcPr>
          <w:p w14:paraId="010A9B2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w:t>
            </w:r>
          </w:p>
        </w:tc>
        <w:tc>
          <w:tcPr>
            <w:tcW w:w="996" w:type="dxa"/>
            <w:vAlign w:val="center"/>
          </w:tcPr>
          <w:p w14:paraId="0EEFFFB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w:t>
            </w:r>
          </w:p>
        </w:tc>
        <w:tc>
          <w:tcPr>
            <w:tcW w:w="898" w:type="dxa"/>
            <w:vAlign w:val="center"/>
          </w:tcPr>
          <w:p w14:paraId="2830E3D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200</w:t>
            </w:r>
          </w:p>
        </w:tc>
      </w:tr>
      <w:tr w14:paraId="30E8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123DEDF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30</w:t>
            </w:r>
          </w:p>
        </w:tc>
        <w:tc>
          <w:tcPr>
            <w:tcW w:w="1876" w:type="dxa"/>
            <w:vAlign w:val="center"/>
          </w:tcPr>
          <w:p w14:paraId="6CDFF4E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乙苯</w:t>
            </w:r>
          </w:p>
        </w:tc>
        <w:tc>
          <w:tcPr>
            <w:tcW w:w="2060" w:type="dxa"/>
            <w:vAlign w:val="center"/>
          </w:tcPr>
          <w:p w14:paraId="66C219C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100-41-4</w:t>
            </w:r>
          </w:p>
        </w:tc>
        <w:tc>
          <w:tcPr>
            <w:tcW w:w="859" w:type="dxa"/>
            <w:vAlign w:val="center"/>
          </w:tcPr>
          <w:p w14:paraId="3F63D06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7.2</w:t>
            </w:r>
          </w:p>
        </w:tc>
        <w:tc>
          <w:tcPr>
            <w:tcW w:w="1002" w:type="dxa"/>
            <w:vAlign w:val="center"/>
          </w:tcPr>
          <w:p w14:paraId="733F6C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w:t>
            </w:r>
          </w:p>
        </w:tc>
        <w:tc>
          <w:tcPr>
            <w:tcW w:w="996" w:type="dxa"/>
            <w:vAlign w:val="center"/>
          </w:tcPr>
          <w:p w14:paraId="6337AC4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72</w:t>
            </w:r>
          </w:p>
        </w:tc>
        <w:tc>
          <w:tcPr>
            <w:tcW w:w="898" w:type="dxa"/>
            <w:vAlign w:val="center"/>
          </w:tcPr>
          <w:p w14:paraId="69D87AB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280</w:t>
            </w:r>
          </w:p>
        </w:tc>
      </w:tr>
      <w:tr w14:paraId="74EC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56A744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31</w:t>
            </w:r>
          </w:p>
        </w:tc>
        <w:tc>
          <w:tcPr>
            <w:tcW w:w="1876" w:type="dxa"/>
            <w:vAlign w:val="center"/>
          </w:tcPr>
          <w:p w14:paraId="6FFBF44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苯乙烯</w:t>
            </w:r>
          </w:p>
        </w:tc>
        <w:tc>
          <w:tcPr>
            <w:tcW w:w="2060" w:type="dxa"/>
            <w:vAlign w:val="center"/>
          </w:tcPr>
          <w:p w14:paraId="2FD726E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100-42-5</w:t>
            </w:r>
          </w:p>
        </w:tc>
        <w:tc>
          <w:tcPr>
            <w:tcW w:w="859" w:type="dxa"/>
            <w:vAlign w:val="center"/>
          </w:tcPr>
          <w:p w14:paraId="6BFB4C8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1290</w:t>
            </w:r>
          </w:p>
        </w:tc>
        <w:tc>
          <w:tcPr>
            <w:tcW w:w="1002" w:type="dxa"/>
            <w:vAlign w:val="center"/>
          </w:tcPr>
          <w:p w14:paraId="22B463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1290</w:t>
            </w:r>
          </w:p>
        </w:tc>
        <w:tc>
          <w:tcPr>
            <w:tcW w:w="996" w:type="dxa"/>
            <w:vAlign w:val="center"/>
          </w:tcPr>
          <w:p w14:paraId="7D51CBD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1290</w:t>
            </w:r>
          </w:p>
        </w:tc>
        <w:tc>
          <w:tcPr>
            <w:tcW w:w="898" w:type="dxa"/>
            <w:vAlign w:val="center"/>
          </w:tcPr>
          <w:p w14:paraId="460625F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1290</w:t>
            </w:r>
          </w:p>
        </w:tc>
      </w:tr>
      <w:tr w14:paraId="074D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246B7E8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32</w:t>
            </w:r>
          </w:p>
        </w:tc>
        <w:tc>
          <w:tcPr>
            <w:tcW w:w="1876" w:type="dxa"/>
            <w:vAlign w:val="center"/>
          </w:tcPr>
          <w:p w14:paraId="4AE1CA6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甲苯</w:t>
            </w:r>
          </w:p>
        </w:tc>
        <w:tc>
          <w:tcPr>
            <w:tcW w:w="2060" w:type="dxa"/>
            <w:vAlign w:val="center"/>
          </w:tcPr>
          <w:p w14:paraId="531E7E3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108-88-3</w:t>
            </w:r>
          </w:p>
        </w:tc>
        <w:tc>
          <w:tcPr>
            <w:tcW w:w="859" w:type="dxa"/>
            <w:vAlign w:val="center"/>
          </w:tcPr>
          <w:p w14:paraId="53DD425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1200</w:t>
            </w:r>
          </w:p>
        </w:tc>
        <w:tc>
          <w:tcPr>
            <w:tcW w:w="1002" w:type="dxa"/>
            <w:vAlign w:val="center"/>
          </w:tcPr>
          <w:p w14:paraId="6A48256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1200</w:t>
            </w:r>
          </w:p>
        </w:tc>
        <w:tc>
          <w:tcPr>
            <w:tcW w:w="996" w:type="dxa"/>
            <w:vAlign w:val="center"/>
          </w:tcPr>
          <w:p w14:paraId="6CCFDA0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1200</w:t>
            </w:r>
          </w:p>
        </w:tc>
        <w:tc>
          <w:tcPr>
            <w:tcW w:w="898" w:type="dxa"/>
            <w:vAlign w:val="center"/>
          </w:tcPr>
          <w:p w14:paraId="7CEC10D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1200</w:t>
            </w:r>
          </w:p>
        </w:tc>
      </w:tr>
      <w:tr w14:paraId="604B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29004A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33</w:t>
            </w:r>
          </w:p>
        </w:tc>
        <w:tc>
          <w:tcPr>
            <w:tcW w:w="1876" w:type="dxa"/>
            <w:vAlign w:val="center"/>
          </w:tcPr>
          <w:p w14:paraId="7A1054A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间二甲苯+对二甲苯</w:t>
            </w:r>
          </w:p>
        </w:tc>
        <w:tc>
          <w:tcPr>
            <w:tcW w:w="2060" w:type="dxa"/>
            <w:vAlign w:val="center"/>
          </w:tcPr>
          <w:p w14:paraId="5F8DB6B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108-38-3</w:t>
            </w:r>
            <w:r>
              <w:rPr>
                <w:rFonts w:hint="eastAsia" w:ascii="Times New Roman" w:hAnsi="Times New Roman" w:cs="Times New Roman"/>
                <w:color w:val="000000" w:themeColor="text1"/>
                <w:kern w:val="2"/>
                <w:szCs w:val="18"/>
                <w:lang w:val="zh-CN"/>
                <w14:textFill>
                  <w14:solidFill>
                    <w14:schemeClr w14:val="tx1"/>
                  </w14:solidFill>
                </w14:textFill>
              </w:rPr>
              <w:t>,</w:t>
            </w:r>
            <w:r>
              <w:rPr>
                <w:rFonts w:ascii="Times New Roman" w:hAnsi="Times New Roman" w:cs="Times New Roman"/>
                <w:color w:val="000000" w:themeColor="text1"/>
                <w:kern w:val="2"/>
                <w:szCs w:val="18"/>
                <w:lang w:val="zh-CN"/>
                <w14:textFill>
                  <w14:solidFill>
                    <w14:schemeClr w14:val="tx1"/>
                  </w14:solidFill>
                </w14:textFill>
              </w:rPr>
              <w:t>106-42-3</w:t>
            </w:r>
          </w:p>
        </w:tc>
        <w:tc>
          <w:tcPr>
            <w:tcW w:w="859" w:type="dxa"/>
            <w:vAlign w:val="center"/>
          </w:tcPr>
          <w:p w14:paraId="5AA8193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163</w:t>
            </w:r>
          </w:p>
        </w:tc>
        <w:tc>
          <w:tcPr>
            <w:tcW w:w="1002" w:type="dxa"/>
            <w:vAlign w:val="center"/>
          </w:tcPr>
          <w:p w14:paraId="7DDB774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570</w:t>
            </w:r>
          </w:p>
        </w:tc>
        <w:tc>
          <w:tcPr>
            <w:tcW w:w="996" w:type="dxa"/>
            <w:vAlign w:val="center"/>
          </w:tcPr>
          <w:p w14:paraId="677B5F5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500</w:t>
            </w:r>
          </w:p>
        </w:tc>
        <w:tc>
          <w:tcPr>
            <w:tcW w:w="898" w:type="dxa"/>
            <w:vAlign w:val="center"/>
          </w:tcPr>
          <w:p w14:paraId="03048AC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570</w:t>
            </w:r>
          </w:p>
        </w:tc>
      </w:tr>
      <w:tr w14:paraId="637B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C4D5EF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34</w:t>
            </w:r>
          </w:p>
        </w:tc>
        <w:tc>
          <w:tcPr>
            <w:tcW w:w="1876" w:type="dxa"/>
            <w:vAlign w:val="center"/>
          </w:tcPr>
          <w:p w14:paraId="1F40D0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邻二甲苯</w:t>
            </w:r>
          </w:p>
        </w:tc>
        <w:tc>
          <w:tcPr>
            <w:tcW w:w="2060" w:type="dxa"/>
            <w:vAlign w:val="center"/>
          </w:tcPr>
          <w:p w14:paraId="1484A22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95-47-6</w:t>
            </w:r>
          </w:p>
        </w:tc>
        <w:tc>
          <w:tcPr>
            <w:tcW w:w="859" w:type="dxa"/>
            <w:vAlign w:val="center"/>
          </w:tcPr>
          <w:p w14:paraId="3F4E374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222</w:t>
            </w:r>
          </w:p>
        </w:tc>
        <w:tc>
          <w:tcPr>
            <w:tcW w:w="1002" w:type="dxa"/>
            <w:vAlign w:val="center"/>
          </w:tcPr>
          <w:p w14:paraId="36AC12C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640</w:t>
            </w:r>
          </w:p>
        </w:tc>
        <w:tc>
          <w:tcPr>
            <w:tcW w:w="996" w:type="dxa"/>
            <w:vAlign w:val="center"/>
          </w:tcPr>
          <w:p w14:paraId="0258868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640</w:t>
            </w:r>
          </w:p>
        </w:tc>
        <w:tc>
          <w:tcPr>
            <w:tcW w:w="898" w:type="dxa"/>
            <w:vAlign w:val="center"/>
          </w:tcPr>
          <w:p w14:paraId="192CB72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640</w:t>
            </w:r>
          </w:p>
        </w:tc>
      </w:tr>
      <w:tr w14:paraId="47EF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05" w:type="dxa"/>
            <w:gridSpan w:val="7"/>
            <w:vAlign w:val="center"/>
          </w:tcPr>
          <w:p w14:paraId="177D95F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半挥发性有机物</w:t>
            </w:r>
          </w:p>
        </w:tc>
      </w:tr>
      <w:tr w14:paraId="19AD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0EC6A3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35</w:t>
            </w:r>
          </w:p>
        </w:tc>
        <w:tc>
          <w:tcPr>
            <w:tcW w:w="1876" w:type="dxa"/>
            <w:vAlign w:val="center"/>
          </w:tcPr>
          <w:p w14:paraId="18B3B5C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硝基苯</w:t>
            </w:r>
          </w:p>
        </w:tc>
        <w:tc>
          <w:tcPr>
            <w:tcW w:w="2060" w:type="dxa"/>
            <w:vAlign w:val="center"/>
          </w:tcPr>
          <w:p w14:paraId="41510EB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98-95-3</w:t>
            </w:r>
          </w:p>
        </w:tc>
        <w:tc>
          <w:tcPr>
            <w:tcW w:w="859" w:type="dxa"/>
            <w:vAlign w:val="center"/>
          </w:tcPr>
          <w:p w14:paraId="5DAEA5F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34</w:t>
            </w:r>
          </w:p>
        </w:tc>
        <w:tc>
          <w:tcPr>
            <w:tcW w:w="1002" w:type="dxa"/>
            <w:vAlign w:val="center"/>
          </w:tcPr>
          <w:p w14:paraId="1022285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76</w:t>
            </w:r>
          </w:p>
        </w:tc>
        <w:tc>
          <w:tcPr>
            <w:tcW w:w="996" w:type="dxa"/>
            <w:vAlign w:val="center"/>
          </w:tcPr>
          <w:p w14:paraId="09722DC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190</w:t>
            </w:r>
          </w:p>
        </w:tc>
        <w:tc>
          <w:tcPr>
            <w:tcW w:w="898" w:type="dxa"/>
            <w:vAlign w:val="center"/>
          </w:tcPr>
          <w:p w14:paraId="7C53108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760</w:t>
            </w:r>
          </w:p>
        </w:tc>
      </w:tr>
      <w:tr w14:paraId="324A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5FA8E1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36</w:t>
            </w:r>
          </w:p>
        </w:tc>
        <w:tc>
          <w:tcPr>
            <w:tcW w:w="1876" w:type="dxa"/>
            <w:vAlign w:val="center"/>
          </w:tcPr>
          <w:p w14:paraId="682A43D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苯胺</w:t>
            </w:r>
          </w:p>
        </w:tc>
        <w:tc>
          <w:tcPr>
            <w:tcW w:w="2060" w:type="dxa"/>
            <w:vAlign w:val="center"/>
          </w:tcPr>
          <w:p w14:paraId="3878E15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62-53-3</w:t>
            </w:r>
          </w:p>
        </w:tc>
        <w:tc>
          <w:tcPr>
            <w:tcW w:w="859" w:type="dxa"/>
            <w:vAlign w:val="center"/>
          </w:tcPr>
          <w:p w14:paraId="106907A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92</w:t>
            </w:r>
          </w:p>
        </w:tc>
        <w:tc>
          <w:tcPr>
            <w:tcW w:w="1002" w:type="dxa"/>
            <w:vAlign w:val="center"/>
          </w:tcPr>
          <w:p w14:paraId="2857EEC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260</w:t>
            </w:r>
          </w:p>
        </w:tc>
        <w:tc>
          <w:tcPr>
            <w:tcW w:w="996" w:type="dxa"/>
            <w:vAlign w:val="center"/>
          </w:tcPr>
          <w:p w14:paraId="507049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211</w:t>
            </w:r>
          </w:p>
        </w:tc>
        <w:tc>
          <w:tcPr>
            <w:tcW w:w="898" w:type="dxa"/>
            <w:vAlign w:val="center"/>
          </w:tcPr>
          <w:p w14:paraId="7EB9A06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663</w:t>
            </w:r>
          </w:p>
        </w:tc>
      </w:tr>
      <w:tr w14:paraId="0DD8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79F6504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37</w:t>
            </w:r>
          </w:p>
        </w:tc>
        <w:tc>
          <w:tcPr>
            <w:tcW w:w="1876" w:type="dxa"/>
            <w:vAlign w:val="center"/>
          </w:tcPr>
          <w:p w14:paraId="7973D87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2-氯酚</w:t>
            </w:r>
          </w:p>
        </w:tc>
        <w:tc>
          <w:tcPr>
            <w:tcW w:w="2060" w:type="dxa"/>
            <w:vAlign w:val="center"/>
          </w:tcPr>
          <w:p w14:paraId="6C4336B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95-57-8</w:t>
            </w:r>
          </w:p>
        </w:tc>
        <w:tc>
          <w:tcPr>
            <w:tcW w:w="859" w:type="dxa"/>
            <w:vAlign w:val="center"/>
          </w:tcPr>
          <w:p w14:paraId="69964E2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250</w:t>
            </w:r>
          </w:p>
        </w:tc>
        <w:tc>
          <w:tcPr>
            <w:tcW w:w="1002" w:type="dxa"/>
            <w:vAlign w:val="center"/>
          </w:tcPr>
          <w:p w14:paraId="464172B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2256</w:t>
            </w:r>
          </w:p>
        </w:tc>
        <w:tc>
          <w:tcPr>
            <w:tcW w:w="996" w:type="dxa"/>
            <w:vAlign w:val="center"/>
          </w:tcPr>
          <w:p w14:paraId="57DA4E3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500</w:t>
            </w:r>
          </w:p>
        </w:tc>
        <w:tc>
          <w:tcPr>
            <w:tcW w:w="898" w:type="dxa"/>
            <w:vAlign w:val="center"/>
          </w:tcPr>
          <w:p w14:paraId="6CF854B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4500</w:t>
            </w:r>
          </w:p>
        </w:tc>
      </w:tr>
      <w:tr w14:paraId="57D5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592A3C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38</w:t>
            </w:r>
          </w:p>
        </w:tc>
        <w:tc>
          <w:tcPr>
            <w:tcW w:w="1876" w:type="dxa"/>
            <w:vAlign w:val="center"/>
          </w:tcPr>
          <w:p w14:paraId="55A201A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苯并[a]蒽</w:t>
            </w:r>
          </w:p>
        </w:tc>
        <w:tc>
          <w:tcPr>
            <w:tcW w:w="2060" w:type="dxa"/>
            <w:vAlign w:val="center"/>
          </w:tcPr>
          <w:p w14:paraId="43254C6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56-55-3</w:t>
            </w:r>
          </w:p>
        </w:tc>
        <w:tc>
          <w:tcPr>
            <w:tcW w:w="859" w:type="dxa"/>
            <w:vAlign w:val="center"/>
          </w:tcPr>
          <w:p w14:paraId="08F0561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1002" w:type="dxa"/>
            <w:vAlign w:val="center"/>
          </w:tcPr>
          <w:p w14:paraId="0722BDC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96" w:type="dxa"/>
            <w:vAlign w:val="center"/>
          </w:tcPr>
          <w:p w14:paraId="5AD7D2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898" w:type="dxa"/>
            <w:vAlign w:val="center"/>
          </w:tcPr>
          <w:p w14:paraId="24B8926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151</w:t>
            </w:r>
          </w:p>
        </w:tc>
      </w:tr>
      <w:tr w14:paraId="5BEB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2E3B38E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39</w:t>
            </w:r>
          </w:p>
        </w:tc>
        <w:tc>
          <w:tcPr>
            <w:tcW w:w="1876" w:type="dxa"/>
            <w:vAlign w:val="center"/>
          </w:tcPr>
          <w:p w14:paraId="3102A486">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苯并[a]芘</w:t>
            </w:r>
          </w:p>
        </w:tc>
        <w:tc>
          <w:tcPr>
            <w:tcW w:w="2060" w:type="dxa"/>
            <w:vAlign w:val="center"/>
          </w:tcPr>
          <w:p w14:paraId="4D6E81C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50-32-8</w:t>
            </w:r>
          </w:p>
        </w:tc>
        <w:tc>
          <w:tcPr>
            <w:tcW w:w="859" w:type="dxa"/>
            <w:vAlign w:val="center"/>
          </w:tcPr>
          <w:p w14:paraId="23753B4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0.55</w:t>
            </w:r>
          </w:p>
        </w:tc>
        <w:tc>
          <w:tcPr>
            <w:tcW w:w="1002" w:type="dxa"/>
            <w:vAlign w:val="center"/>
          </w:tcPr>
          <w:p w14:paraId="6370156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96" w:type="dxa"/>
            <w:vAlign w:val="center"/>
          </w:tcPr>
          <w:p w14:paraId="5DF18E2B">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898" w:type="dxa"/>
            <w:vAlign w:val="center"/>
          </w:tcPr>
          <w:p w14:paraId="16E7F69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r>
      <w:tr w14:paraId="0CC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1F355B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40</w:t>
            </w:r>
          </w:p>
        </w:tc>
        <w:tc>
          <w:tcPr>
            <w:tcW w:w="1876" w:type="dxa"/>
            <w:vAlign w:val="center"/>
          </w:tcPr>
          <w:p w14:paraId="6F2B2C1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苯并[b]荧蒽</w:t>
            </w:r>
          </w:p>
        </w:tc>
        <w:tc>
          <w:tcPr>
            <w:tcW w:w="2060" w:type="dxa"/>
            <w:vAlign w:val="center"/>
          </w:tcPr>
          <w:p w14:paraId="6647181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205-99-2</w:t>
            </w:r>
          </w:p>
        </w:tc>
        <w:tc>
          <w:tcPr>
            <w:tcW w:w="859" w:type="dxa"/>
            <w:vAlign w:val="center"/>
          </w:tcPr>
          <w:p w14:paraId="507421D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1002" w:type="dxa"/>
            <w:vAlign w:val="center"/>
          </w:tcPr>
          <w:p w14:paraId="124410A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96" w:type="dxa"/>
            <w:vAlign w:val="center"/>
          </w:tcPr>
          <w:p w14:paraId="583E8ED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898" w:type="dxa"/>
            <w:vAlign w:val="center"/>
          </w:tcPr>
          <w:p w14:paraId="72FA70D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151</w:t>
            </w:r>
          </w:p>
        </w:tc>
      </w:tr>
      <w:tr w14:paraId="0C1F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16040E5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41</w:t>
            </w:r>
          </w:p>
        </w:tc>
        <w:tc>
          <w:tcPr>
            <w:tcW w:w="1876" w:type="dxa"/>
            <w:vAlign w:val="center"/>
          </w:tcPr>
          <w:p w14:paraId="34A62E2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苯并[k]荧蒽</w:t>
            </w:r>
          </w:p>
        </w:tc>
        <w:tc>
          <w:tcPr>
            <w:tcW w:w="2060" w:type="dxa"/>
            <w:vAlign w:val="center"/>
          </w:tcPr>
          <w:p w14:paraId="6645DAF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207-08-9</w:t>
            </w:r>
          </w:p>
        </w:tc>
        <w:tc>
          <w:tcPr>
            <w:tcW w:w="859" w:type="dxa"/>
            <w:vAlign w:val="center"/>
          </w:tcPr>
          <w:p w14:paraId="20ED600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1002" w:type="dxa"/>
            <w:vAlign w:val="center"/>
          </w:tcPr>
          <w:p w14:paraId="4D8934B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151</w:t>
            </w:r>
          </w:p>
        </w:tc>
        <w:tc>
          <w:tcPr>
            <w:tcW w:w="996" w:type="dxa"/>
            <w:vAlign w:val="center"/>
          </w:tcPr>
          <w:p w14:paraId="23B86AA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550</w:t>
            </w:r>
          </w:p>
        </w:tc>
        <w:tc>
          <w:tcPr>
            <w:tcW w:w="898" w:type="dxa"/>
            <w:vAlign w:val="center"/>
          </w:tcPr>
          <w:p w14:paraId="74E18E5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1500</w:t>
            </w:r>
          </w:p>
        </w:tc>
      </w:tr>
      <w:tr w14:paraId="1B54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47D3D6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42</w:t>
            </w:r>
          </w:p>
        </w:tc>
        <w:tc>
          <w:tcPr>
            <w:tcW w:w="1876" w:type="dxa"/>
            <w:vAlign w:val="center"/>
          </w:tcPr>
          <w:p w14:paraId="43A8839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䓛</w:t>
            </w:r>
          </w:p>
        </w:tc>
        <w:tc>
          <w:tcPr>
            <w:tcW w:w="2060" w:type="dxa"/>
            <w:vAlign w:val="center"/>
          </w:tcPr>
          <w:p w14:paraId="32CDDB8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218-01-9</w:t>
            </w:r>
          </w:p>
        </w:tc>
        <w:tc>
          <w:tcPr>
            <w:tcW w:w="859" w:type="dxa"/>
            <w:vAlign w:val="center"/>
          </w:tcPr>
          <w:p w14:paraId="1E6C8EEF">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490</w:t>
            </w:r>
          </w:p>
        </w:tc>
        <w:tc>
          <w:tcPr>
            <w:tcW w:w="1002" w:type="dxa"/>
            <w:vAlign w:val="center"/>
          </w:tcPr>
          <w:p w14:paraId="45B4311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1293</w:t>
            </w:r>
          </w:p>
        </w:tc>
        <w:tc>
          <w:tcPr>
            <w:tcW w:w="996" w:type="dxa"/>
            <w:vAlign w:val="center"/>
          </w:tcPr>
          <w:p w14:paraId="2CCBA65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4900</w:t>
            </w:r>
          </w:p>
        </w:tc>
        <w:tc>
          <w:tcPr>
            <w:tcW w:w="898" w:type="dxa"/>
            <w:vAlign w:val="center"/>
          </w:tcPr>
          <w:p w14:paraId="1BB8CB18">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12900</w:t>
            </w:r>
          </w:p>
        </w:tc>
      </w:tr>
      <w:tr w14:paraId="6D78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61282B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43</w:t>
            </w:r>
          </w:p>
        </w:tc>
        <w:tc>
          <w:tcPr>
            <w:tcW w:w="1876" w:type="dxa"/>
            <w:vAlign w:val="center"/>
          </w:tcPr>
          <w:p w14:paraId="0F2E4DD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二苯并[a，h]蒽</w:t>
            </w:r>
          </w:p>
        </w:tc>
        <w:tc>
          <w:tcPr>
            <w:tcW w:w="2060" w:type="dxa"/>
            <w:vAlign w:val="center"/>
          </w:tcPr>
          <w:p w14:paraId="7E6D58B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53-70-3</w:t>
            </w:r>
          </w:p>
        </w:tc>
        <w:tc>
          <w:tcPr>
            <w:tcW w:w="859" w:type="dxa"/>
            <w:vAlign w:val="center"/>
          </w:tcPr>
          <w:p w14:paraId="43F1715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0.55</w:t>
            </w:r>
          </w:p>
        </w:tc>
        <w:tc>
          <w:tcPr>
            <w:tcW w:w="1002" w:type="dxa"/>
            <w:vAlign w:val="center"/>
          </w:tcPr>
          <w:p w14:paraId="2096296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96" w:type="dxa"/>
            <w:vAlign w:val="center"/>
          </w:tcPr>
          <w:p w14:paraId="3BBEB4C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898" w:type="dxa"/>
            <w:vAlign w:val="center"/>
          </w:tcPr>
          <w:p w14:paraId="1E2ADD4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r>
      <w:tr w14:paraId="4C59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333ADA3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44</w:t>
            </w:r>
          </w:p>
        </w:tc>
        <w:tc>
          <w:tcPr>
            <w:tcW w:w="1876" w:type="dxa"/>
            <w:vAlign w:val="center"/>
          </w:tcPr>
          <w:p w14:paraId="73D1E78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茚并[1,2,3-cd]芘</w:t>
            </w:r>
          </w:p>
        </w:tc>
        <w:tc>
          <w:tcPr>
            <w:tcW w:w="2060" w:type="dxa"/>
            <w:vAlign w:val="center"/>
          </w:tcPr>
          <w:p w14:paraId="56AB78A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193-39-5</w:t>
            </w:r>
          </w:p>
        </w:tc>
        <w:tc>
          <w:tcPr>
            <w:tcW w:w="859" w:type="dxa"/>
            <w:vAlign w:val="center"/>
          </w:tcPr>
          <w:p w14:paraId="0B3FDC5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1002" w:type="dxa"/>
            <w:vAlign w:val="center"/>
          </w:tcPr>
          <w:p w14:paraId="2BF5726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w:t>
            </w:r>
          </w:p>
        </w:tc>
        <w:tc>
          <w:tcPr>
            <w:tcW w:w="996" w:type="dxa"/>
            <w:vAlign w:val="center"/>
          </w:tcPr>
          <w:p w14:paraId="023320CE">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55</w:t>
            </w:r>
          </w:p>
        </w:tc>
        <w:tc>
          <w:tcPr>
            <w:tcW w:w="898" w:type="dxa"/>
            <w:vAlign w:val="center"/>
          </w:tcPr>
          <w:p w14:paraId="7E7E3F9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151</w:t>
            </w:r>
          </w:p>
        </w:tc>
      </w:tr>
      <w:tr w14:paraId="6A6F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2A6E6B5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45</w:t>
            </w:r>
          </w:p>
        </w:tc>
        <w:tc>
          <w:tcPr>
            <w:tcW w:w="1876" w:type="dxa"/>
            <w:vAlign w:val="center"/>
          </w:tcPr>
          <w:p w14:paraId="6918A359">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萘</w:t>
            </w:r>
          </w:p>
        </w:tc>
        <w:tc>
          <w:tcPr>
            <w:tcW w:w="2060" w:type="dxa"/>
            <w:vAlign w:val="center"/>
          </w:tcPr>
          <w:p w14:paraId="713F76C1">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91-20-3</w:t>
            </w:r>
          </w:p>
        </w:tc>
        <w:tc>
          <w:tcPr>
            <w:tcW w:w="859" w:type="dxa"/>
            <w:vAlign w:val="center"/>
          </w:tcPr>
          <w:p w14:paraId="2ABBB9C2">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w:t>
            </w:r>
          </w:p>
        </w:tc>
        <w:tc>
          <w:tcPr>
            <w:tcW w:w="1002" w:type="dxa"/>
            <w:vAlign w:val="center"/>
          </w:tcPr>
          <w:p w14:paraId="7ED213D3">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70</w:t>
            </w:r>
          </w:p>
        </w:tc>
        <w:tc>
          <w:tcPr>
            <w:tcW w:w="996" w:type="dxa"/>
            <w:vAlign w:val="center"/>
          </w:tcPr>
          <w:p w14:paraId="5C4F8960">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255</w:t>
            </w:r>
          </w:p>
        </w:tc>
        <w:tc>
          <w:tcPr>
            <w:tcW w:w="898" w:type="dxa"/>
            <w:vAlign w:val="center"/>
          </w:tcPr>
          <w:p w14:paraId="72560E4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700</w:t>
            </w:r>
          </w:p>
        </w:tc>
      </w:tr>
      <w:tr w14:paraId="533D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535E7E56">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46</w:t>
            </w:r>
          </w:p>
        </w:tc>
        <w:tc>
          <w:tcPr>
            <w:tcW w:w="1876" w:type="dxa"/>
            <w:vAlign w:val="center"/>
          </w:tcPr>
          <w:p w14:paraId="6B219DFA">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钴</w:t>
            </w:r>
          </w:p>
        </w:tc>
        <w:tc>
          <w:tcPr>
            <w:tcW w:w="2060" w:type="dxa"/>
            <w:vAlign w:val="center"/>
          </w:tcPr>
          <w:p w14:paraId="03B67FE0">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7440-48-4</w:t>
            </w:r>
          </w:p>
        </w:tc>
        <w:tc>
          <w:tcPr>
            <w:tcW w:w="859" w:type="dxa"/>
            <w:vAlign w:val="center"/>
          </w:tcPr>
          <w:p w14:paraId="0B547830">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20</w:t>
            </w:r>
          </w:p>
        </w:tc>
        <w:tc>
          <w:tcPr>
            <w:tcW w:w="1002" w:type="dxa"/>
            <w:vAlign w:val="center"/>
          </w:tcPr>
          <w:p w14:paraId="42938BAD">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70</w:t>
            </w:r>
          </w:p>
        </w:tc>
        <w:tc>
          <w:tcPr>
            <w:tcW w:w="996" w:type="dxa"/>
            <w:vAlign w:val="center"/>
          </w:tcPr>
          <w:p w14:paraId="31623534">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190</w:t>
            </w:r>
          </w:p>
        </w:tc>
        <w:tc>
          <w:tcPr>
            <w:tcW w:w="898" w:type="dxa"/>
            <w:vAlign w:val="center"/>
          </w:tcPr>
          <w:p w14:paraId="1F9FDF10">
            <w:pPr>
              <w:pStyle w:val="190"/>
              <w:rPr>
                <w:rFonts w:ascii="Times New Roman" w:hAnsi="Times New Roman" w:cs="Times New Roman"/>
                <w:color w:val="000000" w:themeColor="text1"/>
                <w:kern w:val="2"/>
                <w:szCs w:val="18"/>
                <w:lang w:val="zh-CN"/>
                <w14:textFill>
                  <w14:solidFill>
                    <w14:schemeClr w14:val="tx1"/>
                  </w14:solidFill>
                </w14:textFill>
              </w:rPr>
            </w:pPr>
            <w:r>
              <w:rPr>
                <w:rFonts w:hint="eastAsia" w:ascii="Times New Roman" w:hAnsi="Times New Roman" w:cs="Times New Roman"/>
                <w:color w:val="000000" w:themeColor="text1"/>
                <w:kern w:val="2"/>
                <w:szCs w:val="18"/>
                <w:lang w:val="zh-CN"/>
                <w14:textFill>
                  <w14:solidFill>
                    <w14:schemeClr w14:val="tx1"/>
                  </w14:solidFill>
                </w14:textFill>
              </w:rPr>
              <w:t>350</w:t>
            </w:r>
          </w:p>
        </w:tc>
      </w:tr>
      <w:tr w14:paraId="2EDD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6E052B6D">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w:t>
            </w:r>
            <w:r>
              <w:rPr>
                <w:rFonts w:hint="eastAsia" w:ascii="Times New Roman" w:hAnsi="Times New Roman" w:cs="Times New Roman"/>
                <w:color w:val="000000" w:themeColor="text1"/>
                <w:kern w:val="2"/>
                <w:szCs w:val="18"/>
                <w:lang w:val="zh-CN"/>
                <w14:textFill>
                  <w14:solidFill>
                    <w14:schemeClr w14:val="tx1"/>
                  </w14:solidFill>
                </w14:textFill>
              </w:rPr>
              <w:t>7</w:t>
            </w:r>
          </w:p>
        </w:tc>
        <w:tc>
          <w:tcPr>
            <w:tcW w:w="1876" w:type="dxa"/>
            <w:vAlign w:val="center"/>
          </w:tcPr>
          <w:p w14:paraId="575FEE35">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石油烃（C</w:t>
            </w:r>
            <w:r>
              <w:rPr>
                <w:rFonts w:ascii="Times New Roman" w:hAnsi="Times New Roman" w:cs="Times New Roman"/>
                <w:color w:val="000000" w:themeColor="text1"/>
                <w:kern w:val="2"/>
                <w:szCs w:val="18"/>
                <w:vertAlign w:val="subscript"/>
                <w:lang w:val="zh-CN"/>
                <w14:textFill>
                  <w14:solidFill>
                    <w14:schemeClr w14:val="tx1"/>
                  </w14:solidFill>
                </w14:textFill>
              </w:rPr>
              <w:t>10</w:t>
            </w:r>
            <w:r>
              <w:rPr>
                <w:rFonts w:ascii="Times New Roman" w:hAnsi="Times New Roman" w:cs="Times New Roman"/>
                <w:color w:val="000000" w:themeColor="text1"/>
                <w:kern w:val="2"/>
                <w:szCs w:val="18"/>
                <w:lang w:val="zh-CN"/>
                <w14:textFill>
                  <w14:solidFill>
                    <w14:schemeClr w14:val="tx1"/>
                  </w14:solidFill>
                </w14:textFill>
              </w:rPr>
              <w:t>-C</w:t>
            </w:r>
            <w:r>
              <w:rPr>
                <w:rFonts w:ascii="Times New Roman" w:hAnsi="Times New Roman" w:cs="Times New Roman"/>
                <w:color w:val="000000" w:themeColor="text1"/>
                <w:kern w:val="2"/>
                <w:szCs w:val="18"/>
                <w:vertAlign w:val="subscript"/>
                <w:lang w:val="zh-CN"/>
                <w14:textFill>
                  <w14:solidFill>
                    <w14:schemeClr w14:val="tx1"/>
                  </w14:solidFill>
                </w14:textFill>
              </w:rPr>
              <w:t>40</w:t>
            </w:r>
            <w:r>
              <w:rPr>
                <w:rFonts w:ascii="Times New Roman" w:hAnsi="Times New Roman" w:cs="Times New Roman"/>
                <w:color w:val="000000" w:themeColor="text1"/>
                <w:kern w:val="2"/>
                <w:szCs w:val="18"/>
                <w:lang w:val="zh-CN"/>
                <w14:textFill>
                  <w14:solidFill>
                    <w14:schemeClr w14:val="tx1"/>
                  </w14:solidFill>
                </w14:textFill>
              </w:rPr>
              <w:t>）</w:t>
            </w:r>
          </w:p>
        </w:tc>
        <w:tc>
          <w:tcPr>
            <w:tcW w:w="2060" w:type="dxa"/>
            <w:vAlign w:val="center"/>
          </w:tcPr>
          <w:p w14:paraId="1642399A">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w:t>
            </w:r>
          </w:p>
        </w:tc>
        <w:tc>
          <w:tcPr>
            <w:tcW w:w="859" w:type="dxa"/>
            <w:vAlign w:val="center"/>
          </w:tcPr>
          <w:p w14:paraId="05A8945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826</w:t>
            </w:r>
          </w:p>
        </w:tc>
        <w:tc>
          <w:tcPr>
            <w:tcW w:w="1002" w:type="dxa"/>
            <w:vAlign w:val="center"/>
          </w:tcPr>
          <w:p w14:paraId="2F4F03A7">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4500</w:t>
            </w:r>
          </w:p>
        </w:tc>
        <w:tc>
          <w:tcPr>
            <w:tcW w:w="996" w:type="dxa"/>
            <w:vAlign w:val="center"/>
          </w:tcPr>
          <w:p w14:paraId="054BECCC">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5000</w:t>
            </w:r>
          </w:p>
        </w:tc>
        <w:tc>
          <w:tcPr>
            <w:tcW w:w="898" w:type="dxa"/>
            <w:vAlign w:val="center"/>
          </w:tcPr>
          <w:p w14:paraId="4CC7FA64">
            <w:pPr>
              <w:pStyle w:val="190"/>
              <w:rPr>
                <w:rFonts w:ascii="Times New Roman" w:hAnsi="Times New Roman" w:cs="Times New Roman"/>
                <w:color w:val="000000" w:themeColor="text1"/>
                <w:kern w:val="2"/>
                <w:szCs w:val="18"/>
                <w:lang w:val="zh-CN"/>
                <w14:textFill>
                  <w14:solidFill>
                    <w14:schemeClr w14:val="tx1"/>
                  </w14:solidFill>
                </w14:textFill>
              </w:rPr>
            </w:pPr>
            <w:r>
              <w:rPr>
                <w:rFonts w:ascii="Times New Roman" w:hAnsi="Times New Roman" w:cs="Times New Roman"/>
                <w:color w:val="000000" w:themeColor="text1"/>
                <w:kern w:val="2"/>
                <w:szCs w:val="18"/>
                <w:lang w:val="zh-CN"/>
                <w14:textFill>
                  <w14:solidFill>
                    <w14:schemeClr w14:val="tx1"/>
                  </w14:solidFill>
                </w14:textFill>
              </w:rPr>
              <w:t>9000</w:t>
            </w:r>
          </w:p>
        </w:tc>
      </w:tr>
      <w:tr w14:paraId="223D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4" w:type="dxa"/>
            <w:vAlign w:val="center"/>
          </w:tcPr>
          <w:p w14:paraId="0A8BD426">
            <w:pPr>
              <w:pStyle w:val="190"/>
              <w:rPr>
                <w:rFonts w:ascii="Times New Roman" w:hAnsi="Times New Roman" w:cs="Times New Roman"/>
                <w:color w:val="000000" w:themeColor="text1"/>
                <w:kern w:val="2"/>
                <w:szCs w:val="18"/>
                <w:lang w:val="zh-CN"/>
                <w14:textFill>
                  <w14:solidFill>
                    <w14:schemeClr w14:val="tx1"/>
                  </w14:solidFill>
                </w14:textFill>
              </w:rPr>
            </w:pPr>
            <w:bookmarkStart w:id="40" w:name="_Hlk136945629"/>
            <w:r>
              <w:rPr>
                <w:rFonts w:hint="eastAsia" w:ascii="Times New Roman" w:hAnsi="Times New Roman" w:cs="Times New Roman"/>
                <w:color w:val="000000" w:themeColor="text1"/>
                <w:kern w:val="2"/>
                <w:szCs w:val="18"/>
                <w:lang w:val="zh-CN"/>
                <w14:textFill>
                  <w14:solidFill>
                    <w14:schemeClr w14:val="tx1"/>
                  </w14:solidFill>
                </w14:textFill>
              </w:rPr>
              <w:t>48</w:t>
            </w:r>
          </w:p>
        </w:tc>
        <w:tc>
          <w:tcPr>
            <w:tcW w:w="1876" w:type="dxa"/>
            <w:vAlign w:val="center"/>
          </w:tcPr>
          <w:p w14:paraId="31566011">
            <w:pPr>
              <w:pStyle w:val="557"/>
              <w:rPr>
                <w:lang w:val="zh-CN"/>
              </w:rPr>
            </w:pPr>
            <w:r>
              <w:rPr>
                <w:rFonts w:hint="eastAsia"/>
              </w:rPr>
              <w:t>氰化物</w:t>
            </w:r>
          </w:p>
        </w:tc>
        <w:tc>
          <w:tcPr>
            <w:tcW w:w="2060" w:type="dxa"/>
            <w:vAlign w:val="center"/>
          </w:tcPr>
          <w:p w14:paraId="59B030BC">
            <w:pPr>
              <w:pStyle w:val="557"/>
              <w:rPr>
                <w:lang w:val="zh-CN"/>
              </w:rPr>
            </w:pPr>
            <w:r>
              <w:t>57-12-5</w:t>
            </w:r>
          </w:p>
        </w:tc>
        <w:tc>
          <w:tcPr>
            <w:tcW w:w="859" w:type="dxa"/>
            <w:vAlign w:val="center"/>
          </w:tcPr>
          <w:p w14:paraId="574A7DDA">
            <w:pPr>
              <w:pStyle w:val="557"/>
              <w:rPr>
                <w:lang w:val="zh-CN"/>
              </w:rPr>
            </w:pPr>
            <w:r>
              <w:t>22</w:t>
            </w:r>
          </w:p>
        </w:tc>
        <w:tc>
          <w:tcPr>
            <w:tcW w:w="1002" w:type="dxa"/>
            <w:vAlign w:val="center"/>
          </w:tcPr>
          <w:p w14:paraId="5FCB0111">
            <w:pPr>
              <w:pStyle w:val="557"/>
              <w:rPr>
                <w:lang w:val="zh-CN"/>
              </w:rPr>
            </w:pPr>
            <w:r>
              <w:t>135</w:t>
            </w:r>
          </w:p>
        </w:tc>
        <w:tc>
          <w:tcPr>
            <w:tcW w:w="996" w:type="dxa"/>
            <w:vAlign w:val="center"/>
          </w:tcPr>
          <w:p w14:paraId="09F4C019">
            <w:pPr>
              <w:pStyle w:val="557"/>
              <w:rPr>
                <w:lang w:val="zh-CN"/>
              </w:rPr>
            </w:pPr>
            <w:r>
              <w:t>44</w:t>
            </w:r>
          </w:p>
        </w:tc>
        <w:tc>
          <w:tcPr>
            <w:tcW w:w="898" w:type="dxa"/>
            <w:vAlign w:val="center"/>
          </w:tcPr>
          <w:p w14:paraId="0D7A272C">
            <w:pPr>
              <w:pStyle w:val="557"/>
              <w:rPr>
                <w:lang w:val="zh-CN"/>
              </w:rPr>
            </w:pPr>
            <w:r>
              <w:t>270</w:t>
            </w:r>
          </w:p>
        </w:tc>
      </w:tr>
    </w:tbl>
    <w:p w14:paraId="2BFBF2C6">
      <w:pPr>
        <w:pStyle w:val="557"/>
      </w:pPr>
    </w:p>
    <w:p w14:paraId="7B9D5192">
      <w:pPr>
        <w:pStyle w:val="98"/>
        <w:rPr>
          <w:rFonts w:hint="eastAsia"/>
        </w:rPr>
      </w:pPr>
      <w:r>
        <w:rPr>
          <w:rFonts w:hint="eastAsia"/>
        </w:rPr>
        <w:t>电磁环境质量标准</w:t>
      </w:r>
    </w:p>
    <w:p w14:paraId="5D4F3E5B">
      <w:pPr>
        <w:pStyle w:val="104"/>
        <w:ind w:firstLine="512"/>
        <w:jc w:val="both"/>
        <w:rPr>
          <w:rFonts w:hint="eastAsia"/>
          <w:color w:val="000000" w:themeColor="text1"/>
          <w14:textFill>
            <w14:solidFill>
              <w14:schemeClr w14:val="tx1"/>
            </w14:solidFill>
          </w14:textFill>
        </w:rPr>
      </w:pPr>
      <w:bookmarkStart w:id="41" w:name="_Hlk150213080"/>
      <w:r>
        <w:rPr>
          <w:rFonts w:hint="eastAsia" w:ascii="Times New Roman"/>
          <w:color w:val="000000" w:themeColor="text1"/>
          <w14:textFill>
            <w14:solidFill>
              <w14:schemeClr w14:val="tx1"/>
            </w14:solidFill>
          </w14:textFill>
        </w:rPr>
        <w:t>依据《电磁环境控制限值》（GB8702-2014）表1“公众曝露控制限值”规定，电磁环境敏感目标（即为住宅、学校、医院、办公楼、工厂等有公众居住、工作或学习的建筑物）工频电场强度控制限值为4000V/m；工频磁感应强度控制限值为100μT。</w:t>
      </w:r>
    </w:p>
    <w:bookmarkEnd w:id="41"/>
    <w:p w14:paraId="44180DB0">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污染物排放标准</w:t>
      </w:r>
    </w:p>
    <w:p w14:paraId="69D1F09A">
      <w:pPr>
        <w:pStyle w:val="98"/>
        <w:rPr>
          <w:rFonts w:hint="eastAsia"/>
          <w:snapToGrid w:val="0"/>
        </w:rPr>
      </w:pPr>
      <w:bookmarkStart w:id="42" w:name="_Hlk150212961"/>
      <w:r>
        <w:t>大气</w:t>
      </w:r>
      <w:bookmarkStart w:id="43" w:name="_Hlk98252233"/>
      <w:r>
        <w:t>污染物排放标准</w:t>
      </w:r>
      <w:bookmarkEnd w:id="43"/>
    </w:p>
    <w:p w14:paraId="360831B7">
      <w:pPr>
        <w:pStyle w:val="104"/>
        <w:ind w:firstLine="512"/>
        <w:rPr>
          <w:rFonts w:hint="eastAsia"/>
          <w:color w:val="000000" w:themeColor="text1"/>
          <w14:textFill>
            <w14:solidFill>
              <w14:schemeClr w14:val="tx1"/>
            </w14:solidFill>
          </w14:textFill>
        </w:rPr>
      </w:pPr>
      <w:bookmarkStart w:id="44" w:name="_Hlk150599892"/>
      <w:bookmarkStart w:id="45" w:name="_Hlk177835948"/>
      <w:r>
        <w:rPr>
          <w:rFonts w:hint="eastAsia"/>
          <w:color w:val="000000" w:themeColor="text1"/>
          <w14:textFill>
            <w14:solidFill>
              <w14:schemeClr w14:val="tx1"/>
            </w14:solidFill>
          </w14:textFill>
        </w:rPr>
        <w:t>本项目</w:t>
      </w:r>
      <w:r>
        <w:rPr>
          <w:rFonts w:ascii="Times New Roman"/>
          <w:color w:val="000000" w:themeColor="text1"/>
          <w14:textFill>
            <w14:solidFill>
              <w14:schemeClr w14:val="tx1"/>
            </w14:solidFill>
          </w14:textFill>
        </w:rPr>
        <w:t>废气污染物排放标准</w:t>
      </w:r>
      <w:r>
        <w:rPr>
          <w:rFonts w:hint="eastAsia" w:ascii="Times New Roman"/>
          <w:color w:val="000000" w:themeColor="text1"/>
          <w14:textFill>
            <w14:solidFill>
              <w14:schemeClr w14:val="tx1"/>
            </w14:solidFill>
          </w14:textFill>
        </w:rPr>
        <w:t>如下：</w:t>
      </w:r>
    </w:p>
    <w:p w14:paraId="7368174A">
      <w:pPr>
        <w:pStyle w:val="104"/>
        <w:ind w:firstLine="512"/>
        <w:rPr>
          <w:rFonts w:hint="eastAsia" w:ascii="Times New Roman"/>
          <w:color w:val="000000" w:themeColor="text1"/>
          <w14:textFill>
            <w14:solidFill>
              <w14:schemeClr w14:val="tx1"/>
            </w14:solidFill>
          </w14:textFill>
        </w:rPr>
      </w:pPr>
      <w:bookmarkStart w:id="46" w:name="_Hlk149731888"/>
      <w:r>
        <w:rPr>
          <w:rFonts w:ascii="Times New Roman"/>
          <w:color w:val="000000" w:themeColor="text1"/>
          <w14:textFill>
            <w14:solidFill>
              <w14:schemeClr w14:val="tx1"/>
            </w14:solidFill>
          </w14:textFill>
        </w:rPr>
        <w:t>（1）</w:t>
      </w:r>
      <w:r>
        <w:rPr>
          <w:rFonts w:hint="eastAsia" w:ascii="Times New Roman"/>
          <w:color w:val="000000" w:themeColor="text1"/>
          <w14:textFill>
            <w14:solidFill>
              <w14:schemeClr w14:val="tx1"/>
            </w14:solidFill>
          </w14:textFill>
        </w:rPr>
        <w:t>生产装置</w:t>
      </w:r>
      <w:r>
        <w:rPr>
          <w:rFonts w:hint="eastAsia"/>
          <w:color w:val="000000" w:themeColor="text1"/>
          <w14:textFill>
            <w14:solidFill>
              <w14:schemeClr w14:val="tx1"/>
            </w14:solidFill>
          </w14:textFill>
        </w:rPr>
        <w:t>有组织废气</w:t>
      </w:r>
    </w:p>
    <w:p w14:paraId="7B525B9A">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气化、有机缓释肥装置生产工艺排放的颗粒物执行《大气污染物综合排放标准》（GB16297-1996）表2新污染源大气污染物排放限值；甲醇执行《石油化学工业污染物排放标准》（GB31571-2015，含2024年修改单）表6废气中有机特征污染物及排放限值；氨、硫化氢执行《恶臭污染物排放标准》（GB 14554-93）表2恶臭污染物排放标准值；硫回收单元制酸尾气执行《石油炼制工业污染物排放标准》（GB31570-2015（含2024年修改单））表3酸性气回收装置大气污染物排放限值；气化装置磨煤干燥及有机缓释肥装置加热炉产生的颗粒物、氮氧化物执行《石油化学工业污染物排放标准》（GB31571-2015，含2024年修改单）表4工艺加热炉大气污染物排放限值。</w:t>
      </w:r>
    </w:p>
    <w:p w14:paraId="21912E8A">
      <w:pPr>
        <w:pStyle w:val="281"/>
        <w:ind w:firstLine="480"/>
      </w:pPr>
      <w:r>
        <w:rPr>
          <w:rFonts w:hint="eastAsia"/>
        </w:rPr>
        <w:t>本项目气化、有机缓释肥装置生产工艺、气化装置磨煤干燥排放的颗粒物、氨、氮氧化物、甲醇排放浓度需满足《重污染天气重点行业应急减排措施制定技术指南（2020年修订版）》煤制氮肥行业A级企业相关控制要求。</w:t>
      </w:r>
    </w:p>
    <w:p w14:paraId="59B326E5">
      <w:pPr>
        <w:pStyle w:val="281"/>
        <w:ind w:firstLine="480"/>
      </w:pPr>
      <w:r>
        <w:rPr>
          <w:rFonts w:hint="eastAsia"/>
        </w:rPr>
        <w:t>（2）锅炉废气</w:t>
      </w:r>
    </w:p>
    <w:p w14:paraId="48E7F2F6">
      <w:pPr>
        <w:pStyle w:val="281"/>
        <w:ind w:firstLine="480"/>
      </w:pPr>
      <w:r>
        <w:rPr>
          <w:rFonts w:hint="eastAsia"/>
        </w:rPr>
        <w:t>燃气锅炉废气排放标准执行《锅炉大气污染物排放标准》（GB13271-2014）中的“表2新建锅炉大气污染物排放浓度限值-燃气锅炉”（颗粒物：20毫克/立方米），氮氧化物执行《关于印发&lt;哈密市2022年度夏秋季大气污染防治“冬病夏治”工作方案&gt;的通知》（哈市环委办〔2022〕12号）氮氧化物排放浓度不高于50mg/m³的标准。</w:t>
      </w:r>
    </w:p>
    <w:p w14:paraId="0560A40F">
      <w:pPr>
        <w:pStyle w:val="281"/>
        <w:ind w:firstLine="480"/>
      </w:pPr>
      <w:r>
        <w:rPr>
          <w:rFonts w:hint="eastAsia"/>
        </w:rPr>
        <w:t>（3）污水处理站有组织废气</w:t>
      </w:r>
    </w:p>
    <w:p w14:paraId="67827B02">
      <w:pPr>
        <w:pStyle w:val="281"/>
        <w:ind w:firstLine="480"/>
      </w:pPr>
      <w:r>
        <w:rPr>
          <w:rFonts w:hint="eastAsia"/>
        </w:rPr>
        <w:t>污水处理站废气中氨、硫化氢、臭气浓度执行《恶臭污染物排放标准》（GB 14554-93）表2恶臭污染物排放标准值；非甲烷总烃执行《石油化学工业污染物排放标准》（GB31571-2015，含2024年修改单）表4大气污染物排放限值。</w:t>
      </w:r>
    </w:p>
    <w:p w14:paraId="13B5F856">
      <w:pPr>
        <w:pStyle w:val="104"/>
        <w:ind w:firstLine="512"/>
        <w:rPr>
          <w:rFonts w:hint="eastAsia"/>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w:t>
      </w:r>
      <w:r>
        <w:rPr>
          <w:color w:val="000000" w:themeColor="text1"/>
          <w14:textFill>
            <w14:solidFill>
              <w14:schemeClr w14:val="tx1"/>
            </w14:solidFill>
          </w14:textFill>
        </w:rPr>
        <w:t>无组织排放</w:t>
      </w:r>
    </w:p>
    <w:bookmarkEnd w:id="44"/>
    <w:bookmarkEnd w:id="46"/>
    <w:p w14:paraId="4704B157">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界NMHC无组织排放执行《石油化学工业污染物排放标准》（GB31571-2015，含2024年修改单）表7企业边界大气污染物浓度限值；甲醇执行《大气污染物综合排放标准》（GB16297-1996）表2无组织排放监控浓度限值；氨、硫化氢、臭气浓度执行《恶臭污染物排放标准》（GB14554-93）表1厂界标准值；厂区内VOCS无组织排放执行《挥发性有机物无组织排放控制标准》（GB37822-2019）附录A表A.1排放限值。</w:t>
      </w:r>
    </w:p>
    <w:p w14:paraId="1A1435FE">
      <w:pPr>
        <w:pStyle w:val="281"/>
        <w:ind w:firstLine="480"/>
      </w:pPr>
      <w:r>
        <w:rPr>
          <w:rFonts w:hint="eastAsia"/>
        </w:rPr>
        <w:t>企业边界NH</w:t>
      </w:r>
      <w:r>
        <w:rPr>
          <w:rFonts w:hint="eastAsia"/>
          <w:vertAlign w:val="subscript"/>
        </w:rPr>
        <w:t>3</w:t>
      </w:r>
      <w:r>
        <w:rPr>
          <w:rFonts w:hint="eastAsia"/>
        </w:rPr>
        <w:t>浓度需满足《重污染天气重点行业应急减排措施制定技术指南（</w:t>
      </w:r>
      <w:r>
        <w:t>2020</w:t>
      </w:r>
      <w:r>
        <w:rPr>
          <w:rFonts w:hint="eastAsia"/>
        </w:rPr>
        <w:t>年修订版）》煤制氮肥行业</w:t>
      </w:r>
      <w:r>
        <w:t>A</w:t>
      </w:r>
      <w:r>
        <w:rPr>
          <w:rFonts w:hint="eastAsia"/>
        </w:rPr>
        <w:t>级企业相关控制要求。</w:t>
      </w:r>
    </w:p>
    <w:p w14:paraId="14680D85">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综上所述，项目大气污染物排放标准限值见表2.5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w:t>
      </w:r>
    </w:p>
    <w:bookmarkEnd w:id="42"/>
    <w:bookmarkEnd w:id="45"/>
    <w:p w14:paraId="76DB5C4A">
      <w:pPr>
        <w:pStyle w:val="98"/>
        <w:rPr>
          <w:rFonts w:hint="eastAsia"/>
          <w:snapToGrid w:val="0"/>
        </w:rPr>
      </w:pPr>
      <w:bookmarkStart w:id="47" w:name="_Hlk176977464"/>
      <w:bookmarkStart w:id="48" w:name="_Hlk177830825"/>
      <w:r>
        <w:rPr>
          <w:rFonts w:hint="eastAsia"/>
          <w:snapToGrid w:val="0"/>
        </w:rPr>
        <w:t>水污染物执行标准</w:t>
      </w:r>
    </w:p>
    <w:p w14:paraId="58706CD5">
      <w:pPr>
        <w:pStyle w:val="128"/>
        <w:rPr>
          <w:rFonts w:hint="eastAsia"/>
          <w:color w:val="000000" w:themeColor="text1"/>
          <w14:textFill>
            <w14:solidFill>
              <w14:schemeClr w14:val="tx1"/>
            </w14:solidFill>
          </w14:textFill>
        </w:rPr>
      </w:pPr>
      <w:r>
        <w:rPr>
          <w:color w:val="000000" w:themeColor="text1"/>
          <w14:textFill>
            <w14:solidFill>
              <w14:schemeClr w14:val="tx1"/>
            </w14:solidFill>
          </w14:textFill>
        </w:rPr>
        <w:t>本项目生产、生活废水经</w:t>
      </w:r>
      <w:r>
        <w:rPr>
          <w:rFonts w:hint="eastAsia"/>
          <w:color w:val="000000" w:themeColor="text1"/>
          <w14:textFill>
            <w14:solidFill>
              <w14:schemeClr w14:val="tx1"/>
            </w14:solidFill>
          </w14:textFill>
        </w:rPr>
        <w:t>厂内</w:t>
      </w:r>
      <w:r>
        <w:rPr>
          <w:color w:val="000000" w:themeColor="text1"/>
          <w14:textFill>
            <w14:solidFill>
              <w14:schemeClr w14:val="tx1"/>
            </w14:solidFill>
          </w14:textFill>
        </w:rPr>
        <w:t>污水处理站处理后</w:t>
      </w:r>
      <w:r>
        <w:rPr>
          <w:rFonts w:hint="eastAsia"/>
          <w:color w:val="000000" w:themeColor="text1"/>
          <w14:textFill>
            <w14:solidFill>
              <w14:schemeClr w14:val="tx1"/>
            </w14:solidFill>
          </w14:textFill>
        </w:rPr>
        <w:t>全部回用于生产。回用水标准达到</w:t>
      </w:r>
      <w:bookmarkStart w:id="49" w:name="_Hlk182330402"/>
      <w:r>
        <w:rPr>
          <w:color w:val="000000" w:themeColor="text1"/>
          <w14:textFill>
            <w14:solidFill>
              <w14:schemeClr w14:val="tx1"/>
            </w14:solidFill>
          </w14:textFill>
        </w:rPr>
        <w:t>《工业循环冷却水处理设计规范》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GB50050-2017</w:t>
      </w:r>
      <w:r>
        <w:rPr>
          <w:rFonts w:hint="eastAsia"/>
          <w:color w:val="000000" w:themeColor="text1"/>
          <w14:textFill>
            <w14:solidFill>
              <w14:schemeClr w14:val="tx1"/>
            </w14:solidFill>
          </w14:textFill>
        </w:rPr>
        <w:t>）中的工业循环水水质标准</w:t>
      </w:r>
      <w:bookmarkEnd w:id="49"/>
      <w:r>
        <w:rPr>
          <w:rFonts w:hint="eastAsia"/>
          <w:color w:val="000000" w:themeColor="text1"/>
          <w14:textFill>
            <w14:solidFill>
              <w14:schemeClr w14:val="tx1"/>
            </w14:solidFill>
          </w14:textFill>
        </w:rPr>
        <w:t>，具体指标见表2.5.2-2。</w:t>
      </w:r>
    </w:p>
    <w:p w14:paraId="6C0BFB39">
      <w:pPr>
        <w:pStyle w:val="645"/>
        <w:rPr>
          <w:rFonts w:hint="eastAsia"/>
        </w:rPr>
      </w:pPr>
      <w:r>
        <w:rPr>
          <w:rFonts w:hint="eastAsia"/>
        </w:rPr>
        <w:t>表2.5</w:t>
      </w:r>
      <w:r>
        <w:t>.2-</w:t>
      </w:r>
      <w:r>
        <w:rPr>
          <w:rFonts w:hint="eastAsia"/>
        </w:rPr>
        <w:t>2</w:t>
      </w:r>
      <w:r>
        <w:t xml:space="preserve">    </w:t>
      </w:r>
      <w:r>
        <w:rPr>
          <w:rFonts w:hint="eastAsia"/>
        </w:rPr>
        <w:t>回用水水质一览表</w:t>
      </w:r>
    </w:p>
    <w:tbl>
      <w:tblPr>
        <w:tblStyle w:val="65"/>
        <w:tblW w:w="7337" w:type="dxa"/>
        <w:jc w:val="center"/>
        <w:tblLayout w:type="fixed"/>
        <w:tblCellMar>
          <w:top w:w="0" w:type="dxa"/>
          <w:left w:w="0" w:type="dxa"/>
          <w:bottom w:w="0" w:type="dxa"/>
          <w:right w:w="0" w:type="dxa"/>
        </w:tblCellMar>
      </w:tblPr>
      <w:tblGrid>
        <w:gridCol w:w="988"/>
        <w:gridCol w:w="1842"/>
        <w:gridCol w:w="1418"/>
        <w:gridCol w:w="3089"/>
      </w:tblGrid>
      <w:tr w14:paraId="2811EDD1">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19D5D">
            <w:pPr>
              <w:pStyle w:val="557"/>
            </w:pPr>
            <w:r>
              <w:t>序号</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EC2BE">
            <w:pPr>
              <w:pStyle w:val="557"/>
            </w:pPr>
            <w:r>
              <w:t>项目</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1B136">
            <w:pPr>
              <w:pStyle w:val="557"/>
            </w:pPr>
            <w:r>
              <w:t>单位</w:t>
            </w:r>
          </w:p>
        </w:tc>
        <w:tc>
          <w:tcPr>
            <w:tcW w:w="2105" w:type="pct"/>
            <w:tcBorders>
              <w:top w:val="single" w:color="000000" w:sz="4" w:space="0"/>
              <w:left w:val="single" w:color="000000" w:sz="4" w:space="0"/>
              <w:bottom w:val="single" w:color="000000" w:sz="4" w:space="0"/>
              <w:right w:val="single" w:color="000000" w:sz="4" w:space="0"/>
            </w:tcBorders>
            <w:vAlign w:val="center"/>
          </w:tcPr>
          <w:p w14:paraId="77E85BAD">
            <w:pPr>
              <w:pStyle w:val="557"/>
            </w:pPr>
            <w:r>
              <w:t>《工业循环冷却水处理设计规范》（GB50050-2017）</w:t>
            </w:r>
          </w:p>
        </w:tc>
      </w:tr>
      <w:tr w14:paraId="13AD0831">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D290A">
            <w:pPr>
              <w:pStyle w:val="557"/>
            </w:pPr>
            <w:r>
              <w:t>1</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C54BB">
            <w:pPr>
              <w:pStyle w:val="557"/>
            </w:pPr>
            <w:r>
              <w:t>pH值（25℃）</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B3339">
            <w:pPr>
              <w:pStyle w:val="557"/>
            </w:pPr>
            <w:r>
              <w:t>—</w:t>
            </w:r>
          </w:p>
        </w:tc>
        <w:tc>
          <w:tcPr>
            <w:tcW w:w="2105" w:type="pct"/>
            <w:tcBorders>
              <w:top w:val="single" w:color="000000" w:sz="4" w:space="0"/>
              <w:left w:val="single" w:color="000000" w:sz="4" w:space="0"/>
              <w:bottom w:val="single" w:color="000000" w:sz="4" w:space="0"/>
              <w:right w:val="single" w:color="000000" w:sz="4" w:space="0"/>
            </w:tcBorders>
            <w:vAlign w:val="center"/>
          </w:tcPr>
          <w:p w14:paraId="6B78C867">
            <w:pPr>
              <w:pStyle w:val="557"/>
            </w:pPr>
            <w:r>
              <w:t>6.0-9.0</w:t>
            </w:r>
          </w:p>
        </w:tc>
      </w:tr>
      <w:tr w14:paraId="2C2ADAB1">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FF213">
            <w:pPr>
              <w:pStyle w:val="557"/>
            </w:pPr>
            <w:r>
              <w:t>2</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6BE89">
            <w:pPr>
              <w:pStyle w:val="557"/>
            </w:pPr>
            <w:r>
              <w:t>悬浮物</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85C84">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1FA2307C">
            <w:pPr>
              <w:pStyle w:val="557"/>
            </w:pPr>
            <w:r>
              <w:t>≤10</w:t>
            </w:r>
          </w:p>
        </w:tc>
      </w:tr>
      <w:tr w14:paraId="0B18D6B2">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48362">
            <w:pPr>
              <w:pStyle w:val="557"/>
            </w:pPr>
            <w:r>
              <w:t>3</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0FA3A">
            <w:pPr>
              <w:pStyle w:val="557"/>
            </w:pPr>
            <w:r>
              <w:t>浊度</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C62AE">
            <w:pPr>
              <w:pStyle w:val="557"/>
            </w:pPr>
            <w:r>
              <w:t>NTU</w:t>
            </w:r>
          </w:p>
        </w:tc>
        <w:tc>
          <w:tcPr>
            <w:tcW w:w="2105" w:type="pct"/>
            <w:tcBorders>
              <w:top w:val="single" w:color="000000" w:sz="4" w:space="0"/>
              <w:left w:val="single" w:color="000000" w:sz="4" w:space="0"/>
              <w:bottom w:val="single" w:color="000000" w:sz="4" w:space="0"/>
              <w:right w:val="single" w:color="000000" w:sz="4" w:space="0"/>
            </w:tcBorders>
            <w:vAlign w:val="center"/>
          </w:tcPr>
          <w:p w14:paraId="11B2955D">
            <w:pPr>
              <w:pStyle w:val="557"/>
            </w:pPr>
            <w:r>
              <w:t>≤5.0</w:t>
            </w:r>
          </w:p>
        </w:tc>
      </w:tr>
      <w:tr w14:paraId="4E392617">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13032">
            <w:pPr>
              <w:pStyle w:val="557"/>
            </w:pPr>
            <w:r>
              <w:t>4</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D2DD96">
            <w:pPr>
              <w:pStyle w:val="557"/>
            </w:pPr>
            <w:r>
              <w:t>BOD</w:t>
            </w:r>
            <w:r>
              <w:rPr>
                <w:vertAlign w:val="subscript"/>
              </w:rPr>
              <w:t>5</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B7AC9">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76F2732B">
            <w:pPr>
              <w:pStyle w:val="557"/>
            </w:pPr>
            <w:r>
              <w:t>≤10.0</w:t>
            </w:r>
          </w:p>
        </w:tc>
      </w:tr>
      <w:tr w14:paraId="54F5D151">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728BC">
            <w:pPr>
              <w:pStyle w:val="557"/>
            </w:pPr>
            <w:r>
              <w:t>5</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268BF">
            <w:pPr>
              <w:pStyle w:val="557"/>
            </w:pPr>
            <w:r>
              <w:t>化学需氧量</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946ED">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5902A160">
            <w:pPr>
              <w:pStyle w:val="557"/>
            </w:pPr>
            <w:r>
              <w:t>≤60</w:t>
            </w:r>
          </w:p>
        </w:tc>
      </w:tr>
      <w:tr w14:paraId="24D8BC4D">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BF5E0">
            <w:pPr>
              <w:pStyle w:val="557"/>
            </w:pPr>
            <w:r>
              <w:t>6</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C49054">
            <w:pPr>
              <w:pStyle w:val="557"/>
            </w:pPr>
            <w:r>
              <w:t>氨氮</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1CD65">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35915E3B">
            <w:pPr>
              <w:pStyle w:val="557"/>
            </w:pPr>
            <w:r>
              <w:t>≤5.0</w:t>
            </w:r>
          </w:p>
        </w:tc>
      </w:tr>
      <w:tr w14:paraId="7FF8927D">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C98A9">
            <w:pPr>
              <w:pStyle w:val="557"/>
            </w:pPr>
            <w:r>
              <w:t>7</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95832">
            <w:pPr>
              <w:pStyle w:val="557"/>
            </w:pPr>
            <w:r>
              <w:t>总磷（以P计）</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956FA">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3D8A5C02">
            <w:pPr>
              <w:pStyle w:val="557"/>
            </w:pPr>
            <w:r>
              <w:t>≤1.0</w:t>
            </w:r>
          </w:p>
        </w:tc>
      </w:tr>
      <w:tr w14:paraId="7AD8986D">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8B679">
            <w:pPr>
              <w:pStyle w:val="557"/>
            </w:pPr>
            <w:r>
              <w:t>8</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D43E9">
            <w:pPr>
              <w:pStyle w:val="557"/>
            </w:pPr>
            <w:r>
              <w:t>石油类</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2F02D">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3784C078">
            <w:pPr>
              <w:pStyle w:val="557"/>
            </w:pPr>
            <w:r>
              <w:t>≤5.0</w:t>
            </w:r>
          </w:p>
        </w:tc>
      </w:tr>
      <w:tr w14:paraId="3CA0E56E">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C8FD2">
            <w:pPr>
              <w:pStyle w:val="557"/>
            </w:pPr>
            <w:r>
              <w:t>9</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65FCE">
            <w:pPr>
              <w:pStyle w:val="557"/>
            </w:pPr>
            <w:r>
              <w:t>全碱度（以CaCO</w:t>
            </w:r>
            <w:r>
              <w:rPr>
                <w:vertAlign w:val="subscript"/>
              </w:rPr>
              <w:t>3</w:t>
            </w:r>
            <w:r>
              <w:t>计）</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6269F">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425471DC">
            <w:pPr>
              <w:pStyle w:val="557"/>
            </w:pPr>
            <w:r>
              <w:t>≤200</w:t>
            </w:r>
          </w:p>
        </w:tc>
      </w:tr>
      <w:tr w14:paraId="38F8A635">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8E8501">
            <w:pPr>
              <w:pStyle w:val="557"/>
            </w:pPr>
            <w:r>
              <w:t>10</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913B40">
            <w:pPr>
              <w:pStyle w:val="557"/>
            </w:pPr>
            <w:r>
              <w:t>总硬度（以CaCO</w:t>
            </w:r>
            <w:r>
              <w:rPr>
                <w:vertAlign w:val="subscript"/>
              </w:rPr>
              <w:t>3</w:t>
            </w:r>
            <w:r>
              <w:t>计）</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ACF75">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291580BD">
            <w:pPr>
              <w:pStyle w:val="557"/>
            </w:pPr>
            <w:r>
              <w:t>≤250</w:t>
            </w:r>
          </w:p>
        </w:tc>
      </w:tr>
      <w:tr w14:paraId="37B3B35D">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D0709">
            <w:pPr>
              <w:pStyle w:val="557"/>
            </w:pPr>
            <w:r>
              <w:t>11</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3BE8F">
            <w:pPr>
              <w:pStyle w:val="557"/>
            </w:pPr>
            <w:r>
              <w:t>溶解性总固体</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24911">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53F9F834">
            <w:pPr>
              <w:pStyle w:val="557"/>
            </w:pPr>
            <w:r>
              <w:t>≤1000</w:t>
            </w:r>
          </w:p>
        </w:tc>
      </w:tr>
      <w:tr w14:paraId="558656D2">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4D3C6">
            <w:pPr>
              <w:pStyle w:val="557"/>
            </w:pPr>
            <w:r>
              <w:t>12</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D165D">
            <w:pPr>
              <w:pStyle w:val="557"/>
            </w:pPr>
            <w:r>
              <w:t>铁</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FFD9E9">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2B57773E">
            <w:pPr>
              <w:pStyle w:val="557"/>
            </w:pPr>
            <w:r>
              <w:t>≤0.5</w:t>
            </w:r>
          </w:p>
        </w:tc>
      </w:tr>
      <w:tr w14:paraId="6976BED7">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D9334">
            <w:pPr>
              <w:pStyle w:val="557"/>
            </w:pPr>
            <w:r>
              <w:t>13</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4EE5C">
            <w:pPr>
              <w:pStyle w:val="557"/>
            </w:pPr>
            <w:r>
              <w:t>锰</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F9094C">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61E6AC8E">
            <w:pPr>
              <w:pStyle w:val="557"/>
            </w:pPr>
            <w:r>
              <w:t>≤0.2</w:t>
            </w:r>
          </w:p>
        </w:tc>
      </w:tr>
      <w:tr w14:paraId="6B064F2F">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43698">
            <w:pPr>
              <w:pStyle w:val="557"/>
            </w:pPr>
            <w:r>
              <w:t>14</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F1BB0">
            <w:pPr>
              <w:pStyle w:val="557"/>
            </w:pPr>
            <w:r>
              <w:t>Cl</w:t>
            </w:r>
            <w:r>
              <w:rPr>
                <w:vertAlign w:val="superscript"/>
              </w:rPr>
              <w:t>-</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6312A">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1BD8E643">
            <w:pPr>
              <w:pStyle w:val="557"/>
            </w:pPr>
            <w:r>
              <w:t>≤250</w:t>
            </w:r>
          </w:p>
        </w:tc>
      </w:tr>
      <w:tr w14:paraId="56781E60">
        <w:tblPrEx>
          <w:tblCellMar>
            <w:top w:w="0" w:type="dxa"/>
            <w:left w:w="0" w:type="dxa"/>
            <w:bottom w:w="0" w:type="dxa"/>
            <w:right w:w="0" w:type="dxa"/>
          </w:tblCellMar>
        </w:tblPrEx>
        <w:trPr>
          <w:trHeight w:val="284" w:hRule="atLeast"/>
          <w:jc w:val="center"/>
        </w:trPr>
        <w:tc>
          <w:tcPr>
            <w:tcW w:w="6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8BCC7">
            <w:pPr>
              <w:pStyle w:val="557"/>
            </w:pPr>
            <w:r>
              <w:t>15</w:t>
            </w:r>
          </w:p>
        </w:tc>
        <w:tc>
          <w:tcPr>
            <w:tcW w:w="12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EFE21">
            <w:pPr>
              <w:pStyle w:val="557"/>
            </w:pPr>
            <w:r>
              <w:t>游离氯</w:t>
            </w:r>
          </w:p>
        </w:tc>
        <w:tc>
          <w:tcPr>
            <w:tcW w:w="96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7F7C1">
            <w:pPr>
              <w:pStyle w:val="557"/>
            </w:pPr>
            <w:r>
              <w:t>mg/L</w:t>
            </w:r>
          </w:p>
        </w:tc>
        <w:tc>
          <w:tcPr>
            <w:tcW w:w="2105" w:type="pct"/>
            <w:tcBorders>
              <w:top w:val="single" w:color="000000" w:sz="4" w:space="0"/>
              <w:left w:val="single" w:color="000000" w:sz="4" w:space="0"/>
              <w:bottom w:val="single" w:color="000000" w:sz="4" w:space="0"/>
              <w:right w:val="single" w:color="000000" w:sz="4" w:space="0"/>
            </w:tcBorders>
            <w:vAlign w:val="center"/>
          </w:tcPr>
          <w:p w14:paraId="1C2870B2">
            <w:pPr>
              <w:pStyle w:val="557"/>
            </w:pPr>
            <w:r>
              <w:t>0.1-0.2</w:t>
            </w:r>
          </w:p>
        </w:tc>
      </w:tr>
    </w:tbl>
    <w:p w14:paraId="59322E2D">
      <w:pPr>
        <w:pStyle w:val="128"/>
        <w:rPr>
          <w:rFonts w:hint="eastAsia"/>
          <w:color w:val="000000" w:themeColor="text1"/>
          <w14:textFill>
            <w14:solidFill>
              <w14:schemeClr w14:val="tx1"/>
            </w14:solidFill>
          </w14:textFill>
        </w:rPr>
      </w:pPr>
    </w:p>
    <w:bookmarkEnd w:id="47"/>
    <w:bookmarkEnd w:id="48"/>
    <w:p w14:paraId="7522645D">
      <w:pPr>
        <w:pStyle w:val="98"/>
        <w:rPr>
          <w:rFonts w:hint="eastAsia"/>
          <w:snapToGrid w:val="0"/>
        </w:rPr>
      </w:pPr>
      <w:r>
        <w:t>噪声</w:t>
      </w:r>
      <w:r>
        <w:rPr>
          <w:rFonts w:hint="eastAsia"/>
        </w:rPr>
        <w:t>执行</w:t>
      </w:r>
      <w:r>
        <w:t>标准</w:t>
      </w:r>
    </w:p>
    <w:p w14:paraId="437132D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厂界噪声标准采用《工业企业厂界环境噪声排放标准》（GB12348-2008）中的3类标准：昼间65dB（A），夜间55dB（A），其值见表2.5.2-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68B7D058">
      <w:pPr>
        <w:pStyle w:val="114"/>
        <w:rPr>
          <w:rFonts w:hint="eastAsia" w:hAnsi="黑体"/>
          <w:color w:val="000000" w:themeColor="text1"/>
          <w14:textFill>
            <w14:solidFill>
              <w14:schemeClr w14:val="tx1"/>
            </w14:solidFill>
          </w14:textFill>
        </w:rPr>
      </w:pPr>
      <w:r>
        <w:rPr>
          <w:rFonts w:hint="eastAsia"/>
          <w:color w:val="000000" w:themeColor="text1"/>
          <w14:textFill>
            <w14:solidFill>
              <w14:schemeClr w14:val="tx1"/>
            </w14:solidFill>
          </w14:textFill>
        </w:rPr>
        <w:t>表2.5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 xml:space="preserve">   </w:t>
      </w:r>
      <w:r>
        <w:rPr>
          <w:rFonts w:hAnsi="黑体"/>
          <w:color w:val="000000" w:themeColor="text1"/>
          <w14:textFill>
            <w14:solidFill>
              <w14:schemeClr w14:val="tx1"/>
            </w14:solidFill>
          </w14:textFill>
        </w:rPr>
        <w:t>工业企业厂界环境噪声排放标准</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66"/>
        <w:gridCol w:w="3006"/>
        <w:gridCol w:w="3433"/>
      </w:tblGrid>
      <w:tr w14:paraId="37E6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25" w:type="dxa"/>
            <w:tcMar>
              <w:left w:w="0" w:type="dxa"/>
              <w:right w:w="0" w:type="dxa"/>
            </w:tcMar>
            <w:vAlign w:val="center"/>
          </w:tcPr>
          <w:p w14:paraId="6EC0BE4C">
            <w:pPr>
              <w:pStyle w:val="557"/>
            </w:pPr>
            <w:r>
              <w:t>时段</w:t>
            </w:r>
          </w:p>
        </w:tc>
        <w:tc>
          <w:tcPr>
            <w:tcW w:w="2946" w:type="dxa"/>
            <w:tcMar>
              <w:left w:w="0" w:type="dxa"/>
              <w:right w:w="0" w:type="dxa"/>
            </w:tcMar>
            <w:vAlign w:val="center"/>
          </w:tcPr>
          <w:p w14:paraId="73514CE3">
            <w:pPr>
              <w:pStyle w:val="557"/>
            </w:pPr>
            <w:r>
              <w:t>昼间</w:t>
            </w:r>
          </w:p>
        </w:tc>
        <w:tc>
          <w:tcPr>
            <w:tcW w:w="3365" w:type="dxa"/>
            <w:tcMar>
              <w:left w:w="0" w:type="dxa"/>
              <w:right w:w="0" w:type="dxa"/>
            </w:tcMar>
            <w:vAlign w:val="center"/>
          </w:tcPr>
          <w:p w14:paraId="10FF943B">
            <w:pPr>
              <w:pStyle w:val="557"/>
            </w:pPr>
            <w:r>
              <w:t>夜间</w:t>
            </w:r>
          </w:p>
        </w:tc>
      </w:tr>
      <w:tr w14:paraId="078C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25" w:type="dxa"/>
            <w:tcMar>
              <w:left w:w="0" w:type="dxa"/>
              <w:right w:w="0" w:type="dxa"/>
            </w:tcMar>
            <w:vAlign w:val="center"/>
          </w:tcPr>
          <w:p w14:paraId="1D172829">
            <w:pPr>
              <w:pStyle w:val="557"/>
            </w:pPr>
            <w:r>
              <w:t>标准dB(A)</w:t>
            </w:r>
          </w:p>
        </w:tc>
        <w:tc>
          <w:tcPr>
            <w:tcW w:w="2946" w:type="dxa"/>
            <w:tcMar>
              <w:left w:w="0" w:type="dxa"/>
              <w:right w:w="0" w:type="dxa"/>
            </w:tcMar>
            <w:vAlign w:val="center"/>
          </w:tcPr>
          <w:p w14:paraId="1C6C5F2D">
            <w:pPr>
              <w:pStyle w:val="557"/>
            </w:pPr>
            <w:r>
              <w:t>65</w:t>
            </w:r>
          </w:p>
        </w:tc>
        <w:tc>
          <w:tcPr>
            <w:tcW w:w="3365" w:type="dxa"/>
            <w:tcMar>
              <w:left w:w="0" w:type="dxa"/>
              <w:right w:w="0" w:type="dxa"/>
            </w:tcMar>
            <w:vAlign w:val="center"/>
          </w:tcPr>
          <w:p w14:paraId="048BF042">
            <w:pPr>
              <w:pStyle w:val="557"/>
            </w:pPr>
            <w:r>
              <w:t>55</w:t>
            </w:r>
          </w:p>
        </w:tc>
      </w:tr>
    </w:tbl>
    <w:p w14:paraId="3D1D5236">
      <w:pPr>
        <w:spacing w:line="240" w:lineRule="exact"/>
        <w:ind w:firstLine="480"/>
        <w:rPr>
          <w:rFonts w:hint="eastAsia"/>
          <w:color w:val="000000" w:themeColor="text1"/>
          <w14:textFill>
            <w14:solidFill>
              <w14:schemeClr w14:val="tx1"/>
            </w14:solidFill>
          </w14:textFill>
        </w:rPr>
      </w:pPr>
    </w:p>
    <w:p w14:paraId="28E7BF5B">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施工期执行《建筑施工场界环境噪声排放标准》（GB12523-2011），具体见</w:t>
      </w:r>
      <w:r>
        <w:rPr>
          <w:rFonts w:hint="eastAsia"/>
          <w:color w:val="000000" w:themeColor="text1"/>
          <w14:textFill>
            <w14:solidFill>
              <w14:schemeClr w14:val="tx1"/>
            </w14:solidFill>
          </w14:textFill>
        </w:rPr>
        <w:t>表2.5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14:paraId="5DA4C273">
      <w:pPr>
        <w:pStyle w:val="114"/>
        <w:rPr>
          <w:rFonts w:hint="eastAsia" w:hAnsi="黑体"/>
          <w:color w:val="000000" w:themeColor="text1"/>
          <w14:textFill>
            <w14:solidFill>
              <w14:schemeClr w14:val="tx1"/>
            </w14:solidFill>
          </w14:textFill>
        </w:rPr>
      </w:pPr>
      <w:r>
        <w:rPr>
          <w:rFonts w:hint="eastAsia"/>
          <w:color w:val="000000" w:themeColor="text1"/>
          <w14:textFill>
            <w14:solidFill>
              <w14:schemeClr w14:val="tx1"/>
            </w14:solidFill>
          </w14:textFill>
        </w:rPr>
        <w:t>表2.5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Ansi="黑体"/>
          <w:color w:val="000000" w:themeColor="text1"/>
          <w14:textFill>
            <w14:solidFill>
              <w14:schemeClr w14:val="tx1"/>
            </w14:solidFill>
          </w14:textFill>
        </w:rPr>
        <w:t>建筑施工场界环境噪声排放限值</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66"/>
        <w:gridCol w:w="3006"/>
        <w:gridCol w:w="3433"/>
      </w:tblGrid>
      <w:tr w14:paraId="3CDA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25" w:type="dxa"/>
            <w:tcMar>
              <w:left w:w="0" w:type="dxa"/>
              <w:right w:w="0" w:type="dxa"/>
            </w:tcMar>
            <w:vAlign w:val="center"/>
          </w:tcPr>
          <w:p w14:paraId="14C49F0E">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时段</w:t>
            </w:r>
          </w:p>
        </w:tc>
        <w:tc>
          <w:tcPr>
            <w:tcW w:w="2946" w:type="dxa"/>
            <w:tcMar>
              <w:left w:w="0" w:type="dxa"/>
              <w:right w:w="0" w:type="dxa"/>
            </w:tcMar>
            <w:vAlign w:val="center"/>
          </w:tcPr>
          <w:p w14:paraId="5616976E">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昼间</w:t>
            </w:r>
          </w:p>
        </w:tc>
        <w:tc>
          <w:tcPr>
            <w:tcW w:w="3365" w:type="dxa"/>
            <w:tcMar>
              <w:left w:w="0" w:type="dxa"/>
              <w:right w:w="0" w:type="dxa"/>
            </w:tcMar>
            <w:vAlign w:val="center"/>
          </w:tcPr>
          <w:p w14:paraId="3BBC2B68">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夜间</w:t>
            </w:r>
          </w:p>
        </w:tc>
      </w:tr>
      <w:tr w14:paraId="39FE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25" w:type="dxa"/>
            <w:tcMar>
              <w:left w:w="0" w:type="dxa"/>
              <w:right w:w="0" w:type="dxa"/>
            </w:tcMar>
            <w:vAlign w:val="center"/>
          </w:tcPr>
          <w:p w14:paraId="12C36EB5">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标准dB(A)</w:t>
            </w:r>
          </w:p>
        </w:tc>
        <w:tc>
          <w:tcPr>
            <w:tcW w:w="2946" w:type="dxa"/>
            <w:tcMar>
              <w:left w:w="0" w:type="dxa"/>
              <w:right w:w="0" w:type="dxa"/>
            </w:tcMar>
            <w:vAlign w:val="center"/>
          </w:tcPr>
          <w:p w14:paraId="6E7AC901">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3365" w:type="dxa"/>
            <w:tcMar>
              <w:left w:w="0" w:type="dxa"/>
              <w:right w:w="0" w:type="dxa"/>
            </w:tcMar>
            <w:vAlign w:val="center"/>
          </w:tcPr>
          <w:p w14:paraId="777E0E7E">
            <w:pPr>
              <w:adjustRightInd w:val="0"/>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bl>
    <w:p w14:paraId="01883118">
      <w:pPr>
        <w:pStyle w:val="98"/>
        <w:rPr>
          <w:rFonts w:hint="eastAsia"/>
          <w:snapToGrid w:val="0"/>
        </w:rPr>
      </w:pPr>
      <w:r>
        <w:t>固体废物</w:t>
      </w:r>
      <w:r>
        <w:rPr>
          <w:rFonts w:hint="eastAsia"/>
        </w:rPr>
        <w:t>控制标准</w:t>
      </w:r>
    </w:p>
    <w:p w14:paraId="60D01885">
      <w:pPr>
        <w:pStyle w:val="281"/>
        <w:ind w:firstLine="480"/>
        <w:rPr>
          <w:color w:val="FF0000"/>
        </w:rPr>
      </w:pPr>
      <w:bookmarkStart w:id="50" w:name="_Toc477125502"/>
      <w:r>
        <w:rPr>
          <w:color w:val="000000" w:themeColor="text1"/>
          <w14:textFill>
            <w14:solidFill>
              <w14:schemeClr w14:val="tx1"/>
            </w14:solidFill>
          </w14:textFill>
        </w:rPr>
        <w:t>工业固废执行</w:t>
      </w:r>
      <w:r>
        <w:rPr>
          <w:rFonts w:hint="eastAsia"/>
          <w:color w:val="000000" w:themeColor="text1"/>
          <w14:textFill>
            <w14:solidFill>
              <w14:schemeClr w14:val="tx1"/>
            </w14:solidFill>
          </w14:textFill>
        </w:rPr>
        <w:t>《一般工业固体废物贮存和填埋污染控制标准》（GB 18599-2020）</w:t>
      </w:r>
      <w:r>
        <w:rPr>
          <w:color w:val="000000" w:themeColor="text1"/>
          <w14:textFill>
            <w14:solidFill>
              <w14:schemeClr w14:val="tx1"/>
            </w14:solidFill>
          </w14:textFill>
        </w:rPr>
        <w:t>；危险废物执行《危险废物贮存污染控制标准》（GB18597-2023）</w:t>
      </w:r>
      <w:bookmarkEnd w:id="50"/>
      <w:r>
        <w:rPr>
          <w:color w:val="000000" w:themeColor="text1"/>
          <w14:textFill>
            <w14:solidFill>
              <w14:schemeClr w14:val="tx1"/>
            </w14:solidFill>
          </w14:textFill>
        </w:rPr>
        <w:t>。</w:t>
      </w:r>
    </w:p>
    <w:p w14:paraId="2A498601">
      <w:pPr>
        <w:pStyle w:val="91"/>
        <w:spacing w:line="360" w:lineRule="auto"/>
        <w:ind w:firstLine="480"/>
        <w:rPr>
          <w:rFonts w:hint="eastAsia"/>
          <w:color w:val="FF0000"/>
          <w:sz w:val="24"/>
        </w:rPr>
        <w:sectPr>
          <w:pgSz w:w="11906" w:h="16838"/>
          <w:pgMar w:top="1440" w:right="1800" w:bottom="1440" w:left="1800" w:header="851" w:footer="850" w:gutter="0"/>
          <w:cols w:space="425" w:num="1"/>
          <w:docGrid w:type="lines" w:linePitch="326" w:charSpace="0"/>
        </w:sectPr>
      </w:pPr>
    </w:p>
    <w:p w14:paraId="61A69194">
      <w:pPr>
        <w:pStyle w:val="91"/>
        <w:spacing w:line="360" w:lineRule="auto"/>
        <w:ind w:firstLine="482"/>
        <w:jc w:val="center"/>
        <w:rPr>
          <w:rFonts w:hint="eastAsia" w:ascii="黑体" w:hAnsi="黑体" w:eastAsia="黑体"/>
          <w:b/>
          <w:bCs/>
          <w:color w:val="000000" w:themeColor="text1"/>
          <w:sz w:val="24"/>
          <w:vertAlign w:val="superscript"/>
          <w14:textFill>
            <w14:solidFill>
              <w14:schemeClr w14:val="tx1"/>
            </w14:solidFill>
          </w14:textFill>
        </w:rPr>
      </w:pPr>
      <w:bookmarkStart w:id="51" w:name="_Hlk150213000"/>
      <w:r>
        <w:rPr>
          <w:rFonts w:hint="eastAsia" w:ascii="黑体" w:hAnsi="黑体" w:eastAsia="黑体"/>
          <w:b/>
          <w:bCs/>
          <w:color w:val="000000" w:themeColor="text1"/>
          <w:sz w:val="24"/>
          <w14:textFill>
            <w14:solidFill>
              <w14:schemeClr w14:val="tx1"/>
            </w14:solidFill>
          </w14:textFill>
        </w:rPr>
        <w:t>表2.5.2-1</w:t>
      </w:r>
      <w:r>
        <w:rPr>
          <w:rFonts w:ascii="黑体" w:hAnsi="黑体" w:eastAsia="黑体"/>
          <w:b/>
          <w:bCs/>
          <w:color w:val="000000" w:themeColor="text1"/>
          <w:sz w:val="24"/>
          <w14:textFill>
            <w14:solidFill>
              <w14:schemeClr w14:val="tx1"/>
            </w14:solidFill>
          </w14:textFill>
        </w:rPr>
        <w:t xml:space="preserve">    </w:t>
      </w:r>
      <w:r>
        <w:rPr>
          <w:rFonts w:hint="eastAsia" w:ascii="黑体" w:hAnsi="黑体" w:eastAsia="黑体"/>
          <w:b/>
          <w:bCs/>
          <w:color w:val="000000" w:themeColor="text1"/>
          <w:sz w:val="24"/>
          <w14:textFill>
            <w14:solidFill>
              <w14:schemeClr w14:val="tx1"/>
            </w14:solidFill>
          </w14:textFill>
        </w:rPr>
        <w:t>大气污染物排放标准限值</w:t>
      </w:r>
    </w:p>
    <w:bookmarkEnd w:id="40"/>
    <w:bookmarkEnd w:id="51"/>
    <w:tbl>
      <w:tblPr>
        <w:tblStyle w:val="65"/>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2127"/>
        <w:gridCol w:w="1275"/>
        <w:gridCol w:w="1560"/>
        <w:gridCol w:w="1559"/>
        <w:gridCol w:w="2551"/>
        <w:gridCol w:w="1134"/>
        <w:gridCol w:w="2127"/>
      </w:tblGrid>
      <w:tr w14:paraId="3A9A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4E2BC3F7">
            <w:pPr>
              <w:pStyle w:val="190"/>
              <w:rPr>
                <w:rFonts w:ascii="Times New Roman" w:hAnsi="Times New Roman" w:cs="Times New Roman"/>
                <w:color w:val="000000" w:themeColor="text1"/>
                <w:szCs w:val="22"/>
                <w14:textFill>
                  <w14:solidFill>
                    <w14:schemeClr w14:val="tx1"/>
                  </w14:solidFill>
                </w14:textFill>
              </w:rPr>
            </w:pPr>
            <w:bookmarkStart w:id="52" w:name="_Hlk138845628"/>
          </w:p>
        </w:tc>
        <w:tc>
          <w:tcPr>
            <w:tcW w:w="992" w:type="dxa"/>
            <w:vMerge w:val="restart"/>
            <w:vAlign w:val="center"/>
          </w:tcPr>
          <w:p w14:paraId="0009B57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工段</w:t>
            </w:r>
          </w:p>
        </w:tc>
        <w:tc>
          <w:tcPr>
            <w:tcW w:w="2127" w:type="dxa"/>
            <w:vMerge w:val="restart"/>
            <w:vAlign w:val="center"/>
          </w:tcPr>
          <w:p w14:paraId="0F83952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污染源</w:t>
            </w:r>
          </w:p>
        </w:tc>
        <w:tc>
          <w:tcPr>
            <w:tcW w:w="1275" w:type="dxa"/>
            <w:vMerge w:val="restart"/>
            <w:vAlign w:val="center"/>
          </w:tcPr>
          <w:p w14:paraId="45FE1432">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污染物</w:t>
            </w:r>
          </w:p>
        </w:tc>
        <w:tc>
          <w:tcPr>
            <w:tcW w:w="5670" w:type="dxa"/>
            <w:gridSpan w:val="3"/>
            <w:vAlign w:val="center"/>
          </w:tcPr>
          <w:p w14:paraId="3F59A28A">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排放标准</w:t>
            </w:r>
          </w:p>
        </w:tc>
        <w:tc>
          <w:tcPr>
            <w:tcW w:w="3261" w:type="dxa"/>
            <w:gridSpan w:val="2"/>
            <w:vAlign w:val="center"/>
          </w:tcPr>
          <w:p w14:paraId="6CBD70BB">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控制要求</w:t>
            </w:r>
          </w:p>
        </w:tc>
      </w:tr>
      <w:tr w14:paraId="5E7E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9D1CAE9">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0624547">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35089F91">
            <w:pPr>
              <w:pStyle w:val="190"/>
              <w:rPr>
                <w:rFonts w:ascii="Times New Roman" w:hAnsi="Times New Roman" w:cs="Times New Roman"/>
                <w:color w:val="000000" w:themeColor="text1"/>
                <w:szCs w:val="22"/>
                <w14:textFill>
                  <w14:solidFill>
                    <w14:schemeClr w14:val="tx1"/>
                  </w14:solidFill>
                </w14:textFill>
              </w:rPr>
            </w:pPr>
          </w:p>
        </w:tc>
        <w:tc>
          <w:tcPr>
            <w:tcW w:w="1275" w:type="dxa"/>
            <w:vMerge w:val="continue"/>
            <w:vAlign w:val="center"/>
          </w:tcPr>
          <w:p w14:paraId="26DE514C">
            <w:pPr>
              <w:pStyle w:val="190"/>
              <w:rPr>
                <w:rFonts w:ascii="Times New Roman" w:hAnsi="Times New Roman" w:cs="Times New Roman"/>
                <w:color w:val="000000" w:themeColor="text1"/>
                <w:szCs w:val="22"/>
                <w14:textFill>
                  <w14:solidFill>
                    <w14:schemeClr w14:val="tx1"/>
                  </w14:solidFill>
                </w14:textFill>
              </w:rPr>
            </w:pPr>
          </w:p>
        </w:tc>
        <w:tc>
          <w:tcPr>
            <w:tcW w:w="1560" w:type="dxa"/>
            <w:vAlign w:val="center"/>
          </w:tcPr>
          <w:p w14:paraId="39E19F5C">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最高允许排放浓度（mg/m</w:t>
            </w:r>
            <w:r>
              <w:rPr>
                <w:rFonts w:ascii="Times New Roman" w:hAnsi="Times New Roman" w:cs="Times New Roman"/>
                <w:color w:val="000000" w:themeColor="text1"/>
                <w:szCs w:val="22"/>
                <w:vertAlign w:val="superscript"/>
                <w14:textFill>
                  <w14:solidFill>
                    <w14:schemeClr w14:val="tx1"/>
                  </w14:solidFill>
                </w14:textFill>
              </w:rPr>
              <w:t>3</w:t>
            </w: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1FAB629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排放速率（kg/h）</w:t>
            </w:r>
          </w:p>
        </w:tc>
        <w:tc>
          <w:tcPr>
            <w:tcW w:w="2551" w:type="dxa"/>
            <w:vAlign w:val="center"/>
          </w:tcPr>
          <w:p w14:paraId="0CF2105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依据</w:t>
            </w:r>
          </w:p>
        </w:tc>
        <w:tc>
          <w:tcPr>
            <w:tcW w:w="1134" w:type="dxa"/>
            <w:vAlign w:val="center"/>
          </w:tcPr>
          <w:p w14:paraId="3D6A09D6">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排放浓度（mg/m</w:t>
            </w:r>
            <w:r>
              <w:rPr>
                <w:rFonts w:ascii="Times New Roman" w:hAnsi="Times New Roman" w:cs="Times New Roman"/>
                <w:color w:val="000000" w:themeColor="text1"/>
                <w:szCs w:val="22"/>
                <w:vertAlign w:val="superscript"/>
                <w14:textFill>
                  <w14:solidFill>
                    <w14:schemeClr w14:val="tx1"/>
                  </w14:solidFill>
                </w14:textFill>
              </w:rPr>
              <w:t>3</w:t>
            </w:r>
            <w:r>
              <w:rPr>
                <w:rFonts w:ascii="Times New Roman" w:hAnsi="Times New Roman" w:cs="Times New Roman"/>
                <w:color w:val="000000" w:themeColor="text1"/>
                <w:szCs w:val="22"/>
                <w14:textFill>
                  <w14:solidFill>
                    <w14:schemeClr w14:val="tx1"/>
                  </w14:solidFill>
                </w14:textFill>
              </w:rPr>
              <w:t>）</w:t>
            </w:r>
          </w:p>
        </w:tc>
        <w:tc>
          <w:tcPr>
            <w:tcW w:w="2127" w:type="dxa"/>
            <w:vAlign w:val="center"/>
          </w:tcPr>
          <w:p w14:paraId="280838FA">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依据</w:t>
            </w:r>
          </w:p>
        </w:tc>
      </w:tr>
      <w:tr w14:paraId="2DFB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371A069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有组织废气</w:t>
            </w:r>
          </w:p>
        </w:tc>
        <w:tc>
          <w:tcPr>
            <w:tcW w:w="992" w:type="dxa"/>
            <w:vMerge w:val="restart"/>
            <w:vAlign w:val="center"/>
          </w:tcPr>
          <w:p w14:paraId="7C7CAD3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气化装置</w:t>
            </w:r>
          </w:p>
        </w:tc>
        <w:tc>
          <w:tcPr>
            <w:tcW w:w="2127" w:type="dxa"/>
            <w:vAlign w:val="center"/>
          </w:tcPr>
          <w:p w14:paraId="560E24AB">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u w:color="000000"/>
                <w14:textFill>
                  <w14:solidFill>
                    <w14:schemeClr w14:val="tx1"/>
                  </w14:solidFill>
                </w14:textFill>
              </w:rPr>
              <w:t>原料煤仓</w:t>
            </w:r>
            <w:r>
              <w:rPr>
                <w:rFonts w:ascii="Times New Roman" w:hAnsi="Times New Roman" w:cs="Times New Roman"/>
                <w:color w:val="000000" w:themeColor="text1"/>
                <w:u w:color="000000"/>
                <w14:textFill>
                  <w14:solidFill>
                    <w14:schemeClr w14:val="tx1"/>
                  </w14:solidFill>
                </w14:textFill>
              </w:rPr>
              <w:t>废气</w:t>
            </w:r>
          </w:p>
        </w:tc>
        <w:tc>
          <w:tcPr>
            <w:tcW w:w="1275" w:type="dxa"/>
            <w:vAlign w:val="center"/>
          </w:tcPr>
          <w:p w14:paraId="77A1A08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560" w:type="dxa"/>
            <w:vAlign w:val="center"/>
          </w:tcPr>
          <w:p w14:paraId="0E98C7F8">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120</w:t>
            </w:r>
          </w:p>
        </w:tc>
        <w:tc>
          <w:tcPr>
            <w:tcW w:w="1559" w:type="dxa"/>
            <w:vAlign w:val="center"/>
          </w:tcPr>
          <w:p w14:paraId="163C360F">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72.5</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55</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1EF2A36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5D74A5D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2127" w:type="dxa"/>
            <w:vMerge w:val="restart"/>
            <w:vAlign w:val="center"/>
          </w:tcPr>
          <w:p w14:paraId="5F0A7AF3">
            <w:pPr>
              <w:pStyle w:val="557"/>
            </w:pPr>
            <w:r>
              <w:rPr>
                <w:rFonts w:hint="eastAsia"/>
              </w:rPr>
              <w:t>《重污染天气重点行业应急减排措施制定技术指南（</w:t>
            </w:r>
            <w:r>
              <w:t>2020</w:t>
            </w:r>
            <w:r>
              <w:rPr>
                <w:rFonts w:hint="eastAsia"/>
              </w:rPr>
              <w:t>年修订版）》煤质氮肥行业</w:t>
            </w:r>
          </w:p>
          <w:p w14:paraId="301B9A50">
            <w:pPr>
              <w:pStyle w:val="19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级企业</w:t>
            </w:r>
          </w:p>
        </w:tc>
      </w:tr>
      <w:tr w14:paraId="6B8D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F1ABA4F">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2F6A258B">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162F0BDB">
            <w:pPr>
              <w:pStyle w:val="190"/>
              <w:rPr>
                <w:rFonts w:ascii="Times New Roman" w:hAnsi="Times New Roman" w:cs="Times New Roman"/>
                <w:color w:val="000000" w:themeColor="text1"/>
                <w:u w:color="000000"/>
                <w14:textFill>
                  <w14:solidFill>
                    <w14:schemeClr w14:val="tx1"/>
                  </w14:solidFill>
                </w14:textFill>
              </w:rPr>
            </w:pPr>
            <w:r>
              <w:rPr>
                <w:rFonts w:hint="eastAsia" w:ascii="Times New Roman"/>
                <w:color w:val="000000" w:themeColor="text1"/>
                <w14:textFill>
                  <w14:solidFill>
                    <w14:schemeClr w14:val="tx1"/>
                  </w14:solidFill>
                </w14:textFill>
              </w:rPr>
              <w:t>磨煤干燥废气</w:t>
            </w:r>
          </w:p>
        </w:tc>
        <w:tc>
          <w:tcPr>
            <w:tcW w:w="1275" w:type="dxa"/>
            <w:vAlign w:val="center"/>
          </w:tcPr>
          <w:p w14:paraId="25E6998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560" w:type="dxa"/>
            <w:vAlign w:val="center"/>
          </w:tcPr>
          <w:p w14:paraId="1A9D19D4">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20</w:t>
            </w:r>
          </w:p>
        </w:tc>
        <w:tc>
          <w:tcPr>
            <w:tcW w:w="1559" w:type="dxa"/>
            <w:vAlign w:val="center"/>
          </w:tcPr>
          <w:p w14:paraId="17F49390">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Merge w:val="restart"/>
            <w:vAlign w:val="center"/>
          </w:tcPr>
          <w:p w14:paraId="1CCDC1F9">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《石油化学工业污染物排放标准》（GB31571-2015</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含2024年修改单）表4大气污染物排放限值</w:t>
            </w:r>
          </w:p>
        </w:tc>
        <w:tc>
          <w:tcPr>
            <w:tcW w:w="1134" w:type="dxa"/>
            <w:vAlign w:val="center"/>
          </w:tcPr>
          <w:p w14:paraId="1C972BF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2127" w:type="dxa"/>
            <w:vMerge w:val="continue"/>
            <w:vAlign w:val="center"/>
          </w:tcPr>
          <w:p w14:paraId="6E7DCF7C">
            <w:pPr>
              <w:pStyle w:val="190"/>
              <w:rPr>
                <w:rFonts w:ascii="Times New Roman" w:hAnsi="Times New Roman" w:cs="Times New Roman"/>
                <w:color w:val="000000" w:themeColor="text1"/>
                <w14:textFill>
                  <w14:solidFill>
                    <w14:schemeClr w14:val="tx1"/>
                  </w14:solidFill>
                </w14:textFill>
              </w:rPr>
            </w:pPr>
          </w:p>
        </w:tc>
      </w:tr>
      <w:tr w14:paraId="2CD3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4AAA613">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11B20624">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75A24162">
            <w:pPr>
              <w:pStyle w:val="190"/>
              <w:rPr>
                <w:rFonts w:ascii="Times New Roman" w:hAnsi="Times New Roman" w:cs="Times New Roman"/>
                <w:color w:val="000000" w:themeColor="text1"/>
                <w:u w:color="000000"/>
                <w14:textFill>
                  <w14:solidFill>
                    <w14:schemeClr w14:val="tx1"/>
                  </w14:solidFill>
                </w14:textFill>
              </w:rPr>
            </w:pPr>
          </w:p>
        </w:tc>
        <w:tc>
          <w:tcPr>
            <w:tcW w:w="1275" w:type="dxa"/>
            <w:vAlign w:val="center"/>
          </w:tcPr>
          <w:p w14:paraId="6CB3302E">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氮氧化物</w:t>
            </w:r>
          </w:p>
        </w:tc>
        <w:tc>
          <w:tcPr>
            <w:tcW w:w="1560" w:type="dxa"/>
            <w:vAlign w:val="center"/>
          </w:tcPr>
          <w:p w14:paraId="314C3DFD">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150</w:t>
            </w:r>
          </w:p>
        </w:tc>
        <w:tc>
          <w:tcPr>
            <w:tcW w:w="1559" w:type="dxa"/>
            <w:vAlign w:val="center"/>
          </w:tcPr>
          <w:p w14:paraId="54F2CE54">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01E247EF">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60EE400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100</w:t>
            </w:r>
          </w:p>
        </w:tc>
        <w:tc>
          <w:tcPr>
            <w:tcW w:w="2127" w:type="dxa"/>
            <w:vMerge w:val="continue"/>
            <w:vAlign w:val="center"/>
          </w:tcPr>
          <w:p w14:paraId="2F1AA908">
            <w:pPr>
              <w:pStyle w:val="190"/>
              <w:rPr>
                <w:rFonts w:ascii="Times New Roman" w:hAnsi="Times New Roman" w:cs="Times New Roman"/>
                <w:color w:val="000000" w:themeColor="text1"/>
                <w14:textFill>
                  <w14:solidFill>
                    <w14:schemeClr w14:val="tx1"/>
                  </w14:solidFill>
                </w14:textFill>
              </w:rPr>
            </w:pPr>
          </w:p>
        </w:tc>
      </w:tr>
      <w:tr w14:paraId="7A97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3E27F09">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33064B8">
            <w:pPr>
              <w:pStyle w:val="190"/>
              <w:rPr>
                <w:rFonts w:ascii="Times New Roman" w:hAnsi="Times New Roman" w:cs="Times New Roman"/>
                <w:color w:val="000000" w:themeColor="text1"/>
                <w:szCs w:val="22"/>
                <w14:textFill>
                  <w14:solidFill>
                    <w14:schemeClr w14:val="tx1"/>
                  </w14:solidFill>
                </w14:textFill>
              </w:rPr>
            </w:pPr>
          </w:p>
        </w:tc>
        <w:tc>
          <w:tcPr>
            <w:tcW w:w="2127" w:type="dxa"/>
            <w:vAlign w:val="center"/>
          </w:tcPr>
          <w:p w14:paraId="5294C8A0">
            <w:pPr>
              <w:pStyle w:val="190"/>
              <w:rPr>
                <w:rFonts w:ascii="Times New Roman" w:hAnsi="Times New Roman" w:cs="Times New Roman"/>
                <w:color w:val="000000" w:themeColor="text1"/>
                <w:u w:color="000000"/>
                <w14:textFill>
                  <w14:solidFill>
                    <w14:schemeClr w14:val="tx1"/>
                  </w14:solidFill>
                </w14:textFill>
              </w:rPr>
            </w:pPr>
            <w:r>
              <w:rPr>
                <w:rFonts w:hint="eastAsia" w:ascii="Times New Roman" w:hAnsi="Times New Roman" w:cs="Times New Roman"/>
                <w:color w:val="000000" w:themeColor="text1"/>
                <w:u w:color="000000"/>
                <w14:textFill>
                  <w14:solidFill>
                    <w14:schemeClr w14:val="tx1"/>
                  </w14:solidFill>
                </w14:textFill>
              </w:rPr>
              <w:t>粉煤锁斗排气</w:t>
            </w:r>
          </w:p>
        </w:tc>
        <w:tc>
          <w:tcPr>
            <w:tcW w:w="1275" w:type="dxa"/>
            <w:vAlign w:val="center"/>
          </w:tcPr>
          <w:p w14:paraId="30E17D8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560" w:type="dxa"/>
            <w:vAlign w:val="center"/>
          </w:tcPr>
          <w:p w14:paraId="5599E1AF">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120</w:t>
            </w:r>
          </w:p>
        </w:tc>
        <w:tc>
          <w:tcPr>
            <w:tcW w:w="1559" w:type="dxa"/>
            <w:vAlign w:val="center"/>
          </w:tcPr>
          <w:p w14:paraId="0B73EC84">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213.09</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95</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794533AE">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6EDC8F1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E6A99B6">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6A57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47CA0ED">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5C36668F">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2E095A36">
            <w:pPr>
              <w:pStyle w:val="190"/>
              <w:rPr>
                <w:rFonts w:ascii="Times New Roman" w:hAnsi="Times New Roman" w:cs="Times New Roman"/>
                <w:color w:val="000000" w:themeColor="text1"/>
                <w:u w:color="000000"/>
                <w14:textFill>
                  <w14:solidFill>
                    <w14:schemeClr w14:val="tx1"/>
                  </w14:solidFill>
                </w14:textFill>
              </w:rPr>
            </w:pPr>
            <w:r>
              <w:rPr>
                <w:rFonts w:hint="eastAsia" w:ascii="Times New Roman" w:hAnsi="Times New Roman" w:cs="Times New Roman"/>
                <w:color w:val="000000" w:themeColor="text1"/>
                <w:u w:color="000000"/>
                <w14:textFill>
                  <w14:solidFill>
                    <w14:schemeClr w14:val="tx1"/>
                  </w14:solidFill>
                </w14:textFill>
              </w:rPr>
              <w:t>真空泵排气</w:t>
            </w:r>
          </w:p>
        </w:tc>
        <w:tc>
          <w:tcPr>
            <w:tcW w:w="1275" w:type="dxa"/>
            <w:vAlign w:val="center"/>
          </w:tcPr>
          <w:p w14:paraId="37D6906D">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硫化氢</w:t>
            </w:r>
          </w:p>
        </w:tc>
        <w:tc>
          <w:tcPr>
            <w:tcW w:w="1560" w:type="dxa"/>
            <w:vAlign w:val="center"/>
          </w:tcPr>
          <w:p w14:paraId="3D6F7206">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77763481">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1.14</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28</w:t>
            </w:r>
            <w:r>
              <w:rPr>
                <w:rFonts w:ascii="Times New Roman" w:hAnsi="Times New Roman" w:cs="Times New Roman"/>
                <w:color w:val="000000" w:themeColor="text1"/>
                <w:szCs w:val="22"/>
                <w14:textFill>
                  <w14:solidFill>
                    <w14:schemeClr w14:val="tx1"/>
                  </w14:solidFill>
                </w14:textFill>
              </w:rPr>
              <w:t>m排气筒）</w:t>
            </w:r>
          </w:p>
        </w:tc>
        <w:tc>
          <w:tcPr>
            <w:tcW w:w="2551" w:type="dxa"/>
            <w:vMerge w:val="restart"/>
            <w:vAlign w:val="center"/>
          </w:tcPr>
          <w:p w14:paraId="0CC94163">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1FDE24A5">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283091D4">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6FF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F87BEF1">
            <w:pPr>
              <w:pStyle w:val="190"/>
              <w:rPr>
                <w:rFonts w:hint="eastAsia"/>
                <w:color w:val="000000" w:themeColor="text1"/>
                <w14:textFill>
                  <w14:solidFill>
                    <w14:schemeClr w14:val="tx1"/>
                  </w14:solidFill>
                </w14:textFill>
              </w:rPr>
            </w:pPr>
          </w:p>
        </w:tc>
        <w:tc>
          <w:tcPr>
            <w:tcW w:w="992" w:type="dxa"/>
            <w:vMerge w:val="continue"/>
            <w:vAlign w:val="center"/>
          </w:tcPr>
          <w:p w14:paraId="05B4F71A">
            <w:pPr>
              <w:pStyle w:val="190"/>
              <w:rPr>
                <w:rFonts w:hint="eastAsia"/>
                <w:color w:val="000000" w:themeColor="text1"/>
                <w14:textFill>
                  <w14:solidFill>
                    <w14:schemeClr w14:val="tx1"/>
                  </w14:solidFill>
                </w14:textFill>
              </w:rPr>
            </w:pPr>
          </w:p>
        </w:tc>
        <w:tc>
          <w:tcPr>
            <w:tcW w:w="2127" w:type="dxa"/>
            <w:vMerge w:val="continue"/>
            <w:vAlign w:val="center"/>
          </w:tcPr>
          <w:p w14:paraId="0A7841DE">
            <w:pPr>
              <w:pStyle w:val="190"/>
              <w:rPr>
                <w:rFonts w:hint="eastAsia"/>
                <w:color w:val="000000" w:themeColor="text1"/>
                <w14:textFill>
                  <w14:solidFill>
                    <w14:schemeClr w14:val="tx1"/>
                  </w14:solidFill>
                </w14:textFill>
              </w:rPr>
            </w:pPr>
          </w:p>
        </w:tc>
        <w:tc>
          <w:tcPr>
            <w:tcW w:w="1275" w:type="dxa"/>
            <w:vAlign w:val="center"/>
          </w:tcPr>
          <w:p w14:paraId="4283959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氨</w:t>
            </w:r>
          </w:p>
        </w:tc>
        <w:tc>
          <w:tcPr>
            <w:tcW w:w="1560" w:type="dxa"/>
            <w:vAlign w:val="center"/>
          </w:tcPr>
          <w:p w14:paraId="4D0DFD8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1559" w:type="dxa"/>
            <w:vAlign w:val="center"/>
          </w:tcPr>
          <w:p w14:paraId="2CC3BE58">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17.6</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28</w:t>
            </w:r>
            <w:r>
              <w:rPr>
                <w:rFonts w:ascii="Times New Roman" w:hAnsi="Times New Roman" w:cs="Times New Roman"/>
                <w:color w:val="000000" w:themeColor="text1"/>
                <w:szCs w:val="22"/>
                <w14:textFill>
                  <w14:solidFill>
                    <w14:schemeClr w14:val="tx1"/>
                  </w14:solidFill>
                </w14:textFill>
              </w:rPr>
              <w:t>m排气筒）</w:t>
            </w:r>
          </w:p>
        </w:tc>
        <w:tc>
          <w:tcPr>
            <w:tcW w:w="2551" w:type="dxa"/>
            <w:vMerge w:val="continue"/>
            <w:vAlign w:val="center"/>
          </w:tcPr>
          <w:p w14:paraId="6C6A0670">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3A85FA0A">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40D6152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4F85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A64C076">
            <w:pPr>
              <w:pStyle w:val="190"/>
              <w:rPr>
                <w:rFonts w:ascii="Times New Roman" w:hAnsi="Times New Roman" w:cs="Times New Roman"/>
                <w:color w:val="000000" w:themeColor="text1"/>
                <w:szCs w:val="22"/>
                <w14:textFill>
                  <w14:solidFill>
                    <w14:schemeClr w14:val="tx1"/>
                  </w14:solidFill>
                </w14:textFill>
              </w:rPr>
            </w:pPr>
          </w:p>
        </w:tc>
        <w:tc>
          <w:tcPr>
            <w:tcW w:w="992" w:type="dxa"/>
            <w:vMerge w:val="restart"/>
            <w:vAlign w:val="center"/>
          </w:tcPr>
          <w:p w14:paraId="1638409E">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净化及分离装置</w:t>
            </w:r>
          </w:p>
        </w:tc>
        <w:tc>
          <w:tcPr>
            <w:tcW w:w="2127" w:type="dxa"/>
            <w:vMerge w:val="restart"/>
            <w:vAlign w:val="center"/>
          </w:tcPr>
          <w:p w14:paraId="0713A766">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低温甲醇洗洗涤塔尾气</w:t>
            </w:r>
          </w:p>
        </w:tc>
        <w:tc>
          <w:tcPr>
            <w:tcW w:w="1275" w:type="dxa"/>
            <w:vAlign w:val="center"/>
          </w:tcPr>
          <w:p w14:paraId="180997CC">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硫化氢</w:t>
            </w:r>
          </w:p>
        </w:tc>
        <w:tc>
          <w:tcPr>
            <w:tcW w:w="1560" w:type="dxa"/>
            <w:vAlign w:val="center"/>
          </w:tcPr>
          <w:p w14:paraId="4311393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06CDA19F">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14</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95</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19BDF6A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27AD213E">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37E10B8F">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43AA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69209B6">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B8B5F69">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5CD8263F">
            <w:pPr>
              <w:pStyle w:val="190"/>
              <w:rPr>
                <w:rFonts w:ascii="Times New Roman" w:hAnsi="Times New Roman" w:cs="Times New Roman"/>
                <w:color w:val="000000" w:themeColor="text1"/>
                <w:szCs w:val="22"/>
                <w14:textFill>
                  <w14:solidFill>
                    <w14:schemeClr w14:val="tx1"/>
                  </w14:solidFill>
                </w14:textFill>
              </w:rPr>
            </w:pPr>
          </w:p>
        </w:tc>
        <w:tc>
          <w:tcPr>
            <w:tcW w:w="1275" w:type="dxa"/>
            <w:vAlign w:val="center"/>
          </w:tcPr>
          <w:p w14:paraId="6B401653">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甲醇</w:t>
            </w:r>
          </w:p>
        </w:tc>
        <w:tc>
          <w:tcPr>
            <w:tcW w:w="1560" w:type="dxa"/>
            <w:vAlign w:val="center"/>
          </w:tcPr>
          <w:p w14:paraId="14A56D62">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50</w:t>
            </w:r>
          </w:p>
        </w:tc>
        <w:tc>
          <w:tcPr>
            <w:tcW w:w="1559" w:type="dxa"/>
            <w:vAlign w:val="center"/>
          </w:tcPr>
          <w:p w14:paraId="29620C90">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Align w:val="center"/>
          </w:tcPr>
          <w:p w14:paraId="3188C07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《石油化学工业污染物排放标准》（GB31571-2015</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表6废气中有机特征污染物及排放限值</w:t>
            </w:r>
          </w:p>
        </w:tc>
        <w:tc>
          <w:tcPr>
            <w:tcW w:w="1134" w:type="dxa"/>
            <w:vAlign w:val="center"/>
          </w:tcPr>
          <w:p w14:paraId="664D3C85">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50</w:t>
            </w:r>
          </w:p>
        </w:tc>
        <w:tc>
          <w:tcPr>
            <w:tcW w:w="2127" w:type="dxa"/>
            <w:vAlign w:val="center"/>
          </w:tcPr>
          <w:p w14:paraId="3C17B49A">
            <w:pPr>
              <w:pStyle w:val="557"/>
            </w:pPr>
            <w:r>
              <w:rPr>
                <w:rFonts w:hint="eastAsia"/>
              </w:rPr>
              <w:t>《重污染天气重点行业应急减排措施制定技术指南（</w:t>
            </w:r>
            <w:r>
              <w:t>2020</w:t>
            </w:r>
            <w:r>
              <w:rPr>
                <w:rFonts w:hint="eastAsia"/>
              </w:rPr>
              <w:t>年修订版）》煤制氮肥行业</w:t>
            </w:r>
          </w:p>
          <w:p w14:paraId="74783C34">
            <w:pPr>
              <w:pStyle w:val="190"/>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级企业</w:t>
            </w:r>
          </w:p>
        </w:tc>
      </w:tr>
      <w:tr w14:paraId="26F5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7F6E0853">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3B4261DF">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7CB17C74">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硫回收单元-制酸尾气</w:t>
            </w:r>
          </w:p>
        </w:tc>
        <w:tc>
          <w:tcPr>
            <w:tcW w:w="1275" w:type="dxa"/>
            <w:vAlign w:val="center"/>
          </w:tcPr>
          <w:p w14:paraId="4000632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氮氧化物</w:t>
            </w:r>
          </w:p>
        </w:tc>
        <w:tc>
          <w:tcPr>
            <w:tcW w:w="1560" w:type="dxa"/>
            <w:vAlign w:val="center"/>
          </w:tcPr>
          <w:p w14:paraId="69E9AB0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150</w:t>
            </w:r>
          </w:p>
        </w:tc>
        <w:tc>
          <w:tcPr>
            <w:tcW w:w="1559" w:type="dxa"/>
            <w:vAlign w:val="center"/>
          </w:tcPr>
          <w:p w14:paraId="44544600">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restart"/>
            <w:vAlign w:val="center"/>
          </w:tcPr>
          <w:p w14:paraId="700E48E3">
            <w:pPr>
              <w:pStyle w:val="19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《石油炼制工业污染物排放标准》（GB31570-2015</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含2024年修改单）表3酸性气回收装置大气污染物排放限值</w:t>
            </w:r>
          </w:p>
        </w:tc>
        <w:tc>
          <w:tcPr>
            <w:tcW w:w="1134" w:type="dxa"/>
            <w:vAlign w:val="center"/>
          </w:tcPr>
          <w:p w14:paraId="6F0F12F7">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30577A27">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5CF1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6131D43">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6566DA0">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1CB88E9C">
            <w:pPr>
              <w:pStyle w:val="190"/>
              <w:rPr>
                <w:rFonts w:ascii="Times New Roman" w:hAnsi="Times New Roman" w:cs="Times New Roman"/>
                <w:color w:val="000000" w:themeColor="text1"/>
                <w:szCs w:val="18"/>
                <w14:textFill>
                  <w14:solidFill>
                    <w14:schemeClr w14:val="tx1"/>
                  </w14:solidFill>
                </w14:textFill>
              </w:rPr>
            </w:pPr>
          </w:p>
        </w:tc>
        <w:tc>
          <w:tcPr>
            <w:tcW w:w="1275" w:type="dxa"/>
            <w:vAlign w:val="center"/>
          </w:tcPr>
          <w:p w14:paraId="6F43B75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二氧化硫</w:t>
            </w:r>
          </w:p>
        </w:tc>
        <w:tc>
          <w:tcPr>
            <w:tcW w:w="1560" w:type="dxa"/>
            <w:vAlign w:val="center"/>
          </w:tcPr>
          <w:p w14:paraId="13DD2EB8">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400</w:t>
            </w:r>
          </w:p>
        </w:tc>
        <w:tc>
          <w:tcPr>
            <w:tcW w:w="1559" w:type="dxa"/>
            <w:vAlign w:val="center"/>
          </w:tcPr>
          <w:p w14:paraId="2755FF9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293C21C6">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02E8667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28AF0220">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6F60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0925BCE">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79D8CB58">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0CFDE330">
            <w:pPr>
              <w:pStyle w:val="190"/>
              <w:rPr>
                <w:rFonts w:ascii="Times New Roman" w:hAnsi="Times New Roman" w:cs="Times New Roman"/>
                <w:color w:val="000000" w:themeColor="text1"/>
                <w:szCs w:val="18"/>
                <w14:textFill>
                  <w14:solidFill>
                    <w14:schemeClr w14:val="tx1"/>
                  </w14:solidFill>
                </w14:textFill>
              </w:rPr>
            </w:pPr>
          </w:p>
        </w:tc>
        <w:tc>
          <w:tcPr>
            <w:tcW w:w="1275" w:type="dxa"/>
            <w:vAlign w:val="center"/>
          </w:tcPr>
          <w:p w14:paraId="0301516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硫酸雾</w:t>
            </w:r>
          </w:p>
        </w:tc>
        <w:tc>
          <w:tcPr>
            <w:tcW w:w="1560" w:type="dxa"/>
            <w:vAlign w:val="center"/>
          </w:tcPr>
          <w:p w14:paraId="649D83C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30</w:t>
            </w:r>
          </w:p>
        </w:tc>
        <w:tc>
          <w:tcPr>
            <w:tcW w:w="1559" w:type="dxa"/>
            <w:vAlign w:val="center"/>
          </w:tcPr>
          <w:p w14:paraId="09D590E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612511C9">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66282F5F">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2EAE4A2C">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064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9B9A2A6">
            <w:pPr>
              <w:pStyle w:val="190"/>
              <w:rPr>
                <w:rFonts w:ascii="Times New Roman" w:hAnsi="Times New Roman" w:cs="Times New Roman"/>
                <w:color w:val="000000" w:themeColor="text1"/>
                <w:szCs w:val="22"/>
                <w14:textFill>
                  <w14:solidFill>
                    <w14:schemeClr w14:val="tx1"/>
                  </w14:solidFill>
                </w14:textFill>
              </w:rPr>
            </w:pPr>
          </w:p>
        </w:tc>
        <w:tc>
          <w:tcPr>
            <w:tcW w:w="992" w:type="dxa"/>
            <w:vMerge w:val="restart"/>
            <w:vAlign w:val="center"/>
          </w:tcPr>
          <w:p w14:paraId="41A1933F">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草酰胺</w:t>
            </w:r>
            <w:r>
              <w:rPr>
                <w:rFonts w:ascii="Times New Roman" w:hAnsi="Times New Roman" w:cs="Times New Roman"/>
                <w:color w:val="000000" w:themeColor="text1"/>
                <w:szCs w:val="18"/>
                <w14:textFill>
                  <w14:solidFill>
                    <w14:schemeClr w14:val="tx1"/>
                  </w14:solidFill>
                </w14:textFill>
              </w:rPr>
              <w:t>装置</w:t>
            </w:r>
          </w:p>
        </w:tc>
        <w:tc>
          <w:tcPr>
            <w:tcW w:w="2127" w:type="dxa"/>
            <w:vMerge w:val="restart"/>
            <w:vAlign w:val="center"/>
          </w:tcPr>
          <w:p w14:paraId="6E9AA2AA">
            <w:pPr>
              <w:pStyle w:val="557"/>
            </w:pPr>
            <w:r>
              <w:rPr>
                <w:rFonts w:hint="eastAsia"/>
              </w:rPr>
              <w:t>草酰胺装置尾气吸收</w:t>
            </w:r>
          </w:p>
          <w:p w14:paraId="3D5F383D">
            <w:pPr>
              <w:pStyle w:val="557"/>
            </w:pPr>
            <w:r>
              <w:rPr>
                <w:rFonts w:hint="eastAsia"/>
              </w:rPr>
              <w:t>塔顶排气</w:t>
            </w:r>
          </w:p>
        </w:tc>
        <w:tc>
          <w:tcPr>
            <w:tcW w:w="1275" w:type="dxa"/>
            <w:vAlign w:val="center"/>
          </w:tcPr>
          <w:p w14:paraId="08FD45F8">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氨</w:t>
            </w:r>
          </w:p>
        </w:tc>
        <w:tc>
          <w:tcPr>
            <w:tcW w:w="1560" w:type="dxa"/>
            <w:vAlign w:val="center"/>
          </w:tcPr>
          <w:p w14:paraId="7771EB58">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685E8E45">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18</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25</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0E84DE49">
            <w:pPr>
              <w:pStyle w:val="19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1A505B9B">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7D70EEB">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19B9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0BC8853C">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26AC0499">
            <w:pPr>
              <w:pStyle w:val="190"/>
              <w:rPr>
                <w:rFonts w:ascii="Times New Roman" w:hAnsi="Times New Roman" w:cs="Times New Roman"/>
                <w:color w:val="000000" w:themeColor="text1"/>
                <w:szCs w:val="18"/>
                <w14:textFill>
                  <w14:solidFill>
                    <w14:schemeClr w14:val="tx1"/>
                  </w14:solidFill>
                </w14:textFill>
              </w:rPr>
            </w:pPr>
          </w:p>
        </w:tc>
        <w:tc>
          <w:tcPr>
            <w:tcW w:w="2127" w:type="dxa"/>
            <w:vMerge w:val="continue"/>
            <w:vAlign w:val="center"/>
          </w:tcPr>
          <w:p w14:paraId="30392518">
            <w:pPr>
              <w:pStyle w:val="557"/>
            </w:pPr>
          </w:p>
        </w:tc>
        <w:tc>
          <w:tcPr>
            <w:tcW w:w="1275" w:type="dxa"/>
            <w:vAlign w:val="center"/>
          </w:tcPr>
          <w:p w14:paraId="1B50D673">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甲醇</w:t>
            </w:r>
          </w:p>
        </w:tc>
        <w:tc>
          <w:tcPr>
            <w:tcW w:w="1560" w:type="dxa"/>
            <w:vAlign w:val="center"/>
          </w:tcPr>
          <w:p w14:paraId="073FAD42">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50</w:t>
            </w:r>
          </w:p>
        </w:tc>
        <w:tc>
          <w:tcPr>
            <w:tcW w:w="1559" w:type="dxa"/>
            <w:vAlign w:val="center"/>
          </w:tcPr>
          <w:p w14:paraId="30E6684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Align w:val="center"/>
          </w:tcPr>
          <w:p w14:paraId="123B91E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《石油化学工业污染物排放标准》（GB31571-2015</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表6废气中有机特征污染物及排放限值</w:t>
            </w:r>
          </w:p>
        </w:tc>
        <w:tc>
          <w:tcPr>
            <w:tcW w:w="1134" w:type="dxa"/>
            <w:vAlign w:val="center"/>
          </w:tcPr>
          <w:p w14:paraId="125965DF">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0AA5E7C5">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1636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C94C397">
            <w:pPr>
              <w:pStyle w:val="190"/>
              <w:rPr>
                <w:rFonts w:ascii="Times New Roman" w:hAnsi="Times New Roman" w:cs="Times New Roman"/>
                <w:color w:val="000000" w:themeColor="text1"/>
                <w:szCs w:val="22"/>
                <w14:textFill>
                  <w14:solidFill>
                    <w14:schemeClr w14:val="tx1"/>
                  </w14:solidFill>
                </w14:textFill>
              </w:rPr>
            </w:pPr>
          </w:p>
        </w:tc>
        <w:tc>
          <w:tcPr>
            <w:tcW w:w="992" w:type="dxa"/>
            <w:vMerge w:val="restart"/>
            <w:vAlign w:val="center"/>
          </w:tcPr>
          <w:p w14:paraId="222072BD">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有机缓释肥装置</w:t>
            </w:r>
          </w:p>
        </w:tc>
        <w:tc>
          <w:tcPr>
            <w:tcW w:w="2127" w:type="dxa"/>
            <w:vAlign w:val="center"/>
          </w:tcPr>
          <w:p w14:paraId="51DE924D">
            <w:pPr>
              <w:pStyle w:val="557"/>
            </w:pPr>
            <w:r>
              <w:rPr>
                <w:rFonts w:hint="eastAsia"/>
              </w:rPr>
              <w:t>1#投料废气</w:t>
            </w:r>
          </w:p>
        </w:tc>
        <w:tc>
          <w:tcPr>
            <w:tcW w:w="1275" w:type="dxa"/>
            <w:vAlign w:val="center"/>
          </w:tcPr>
          <w:p w14:paraId="629F856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颗粒物</w:t>
            </w:r>
          </w:p>
        </w:tc>
        <w:tc>
          <w:tcPr>
            <w:tcW w:w="1560" w:type="dxa"/>
            <w:vAlign w:val="center"/>
          </w:tcPr>
          <w:p w14:paraId="1CCE0D80">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27E8A0B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Align w:val="center"/>
          </w:tcPr>
          <w:p w14:paraId="226B908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1394A6BF">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48CDB21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7B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831263F">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5095168D">
            <w:pPr>
              <w:pStyle w:val="190"/>
              <w:rPr>
                <w:rFonts w:ascii="Times New Roman" w:hAnsi="Times New Roman" w:cs="Times New Roman"/>
                <w:color w:val="000000" w:themeColor="text1"/>
                <w14:textFill>
                  <w14:solidFill>
                    <w14:schemeClr w14:val="tx1"/>
                  </w14:solidFill>
                </w14:textFill>
              </w:rPr>
            </w:pPr>
          </w:p>
        </w:tc>
        <w:tc>
          <w:tcPr>
            <w:tcW w:w="2127" w:type="dxa"/>
            <w:vAlign w:val="center"/>
          </w:tcPr>
          <w:p w14:paraId="028F0CFF">
            <w:pPr>
              <w:pStyle w:val="557"/>
            </w:pPr>
            <w:r>
              <w:rPr>
                <w:rFonts w:hint="eastAsia"/>
              </w:rPr>
              <w:t>2#投料废气</w:t>
            </w:r>
          </w:p>
        </w:tc>
        <w:tc>
          <w:tcPr>
            <w:tcW w:w="1275" w:type="dxa"/>
            <w:vAlign w:val="center"/>
          </w:tcPr>
          <w:p w14:paraId="44F24A15">
            <w:pPr>
              <w:pStyle w:val="190"/>
              <w:rPr>
                <w:rFonts w:ascii="Times New Roman" w:hAnsi="Times New Roman" w:cs="Times New Roman"/>
                <w:color w:val="000000" w:themeColor="text1"/>
                <w:szCs w:val="18"/>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颗粒物</w:t>
            </w:r>
          </w:p>
        </w:tc>
        <w:tc>
          <w:tcPr>
            <w:tcW w:w="1560" w:type="dxa"/>
            <w:vAlign w:val="center"/>
          </w:tcPr>
          <w:p w14:paraId="1E10F15C">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0B0805DB">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Align w:val="center"/>
          </w:tcPr>
          <w:p w14:paraId="4DD55536">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0C32CA5E">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38A322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4646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5D3E9FC">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3DC4575E">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30587D6D">
            <w:pPr>
              <w:pStyle w:val="557"/>
            </w:pPr>
            <w:r>
              <w:rPr>
                <w:rFonts w:hint="eastAsia"/>
              </w:rPr>
              <w:t>1#-造粒废气、1#包装废气、1#烘干废气</w:t>
            </w:r>
          </w:p>
        </w:tc>
        <w:tc>
          <w:tcPr>
            <w:tcW w:w="1275" w:type="dxa"/>
            <w:vAlign w:val="center"/>
          </w:tcPr>
          <w:p w14:paraId="4DD094F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p>
        </w:tc>
        <w:tc>
          <w:tcPr>
            <w:tcW w:w="1560" w:type="dxa"/>
            <w:vAlign w:val="center"/>
          </w:tcPr>
          <w:p w14:paraId="55F0984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0A0FE5D8">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35</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40</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1EF14C76">
            <w:pPr>
              <w:pStyle w:val="19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2A0F1F2A">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30</w:t>
            </w:r>
          </w:p>
        </w:tc>
        <w:tc>
          <w:tcPr>
            <w:tcW w:w="2127" w:type="dxa"/>
            <w:vMerge w:val="restart"/>
            <w:vAlign w:val="center"/>
          </w:tcPr>
          <w:p w14:paraId="212B4F00">
            <w:pPr>
              <w:pStyle w:val="557"/>
            </w:pPr>
            <w:r>
              <w:rPr>
                <w:rFonts w:hint="eastAsia"/>
              </w:rPr>
              <w:t>《重污染天气重点行业应急减排措施制定技术指南（</w:t>
            </w:r>
            <w:r>
              <w:t>2020</w:t>
            </w:r>
            <w:r>
              <w:rPr>
                <w:rFonts w:hint="eastAsia"/>
              </w:rPr>
              <w:t>年修订版）》煤制氮肥行业</w:t>
            </w:r>
          </w:p>
          <w:p w14:paraId="15826415">
            <w:pPr>
              <w:pStyle w:val="557"/>
            </w:pPr>
            <w:r>
              <w:t>A</w:t>
            </w:r>
            <w:r>
              <w:rPr>
                <w:rFonts w:hint="eastAsia"/>
              </w:rPr>
              <w:t>级企业</w:t>
            </w:r>
          </w:p>
        </w:tc>
      </w:tr>
      <w:tr w14:paraId="63A8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0D17D82A">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6CC857E">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4F2A227E">
            <w:pPr>
              <w:pStyle w:val="557"/>
            </w:pPr>
          </w:p>
        </w:tc>
        <w:tc>
          <w:tcPr>
            <w:tcW w:w="1275" w:type="dxa"/>
            <w:vAlign w:val="center"/>
          </w:tcPr>
          <w:p w14:paraId="1E7A0EF2">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颗粒物</w:t>
            </w:r>
          </w:p>
        </w:tc>
        <w:tc>
          <w:tcPr>
            <w:tcW w:w="1560" w:type="dxa"/>
            <w:vAlign w:val="center"/>
          </w:tcPr>
          <w:p w14:paraId="4B9C253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404C9DE0">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39（40</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56516D9F">
            <w:pPr>
              <w:pStyle w:val="19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0CE73F0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30</w:t>
            </w:r>
          </w:p>
        </w:tc>
        <w:tc>
          <w:tcPr>
            <w:tcW w:w="2127" w:type="dxa"/>
            <w:vMerge w:val="continue"/>
            <w:vAlign w:val="center"/>
          </w:tcPr>
          <w:p w14:paraId="1E6A00AE">
            <w:pPr>
              <w:pStyle w:val="190"/>
              <w:rPr>
                <w:rFonts w:ascii="Times New Roman" w:hAnsi="Times New Roman" w:cs="Times New Roman"/>
                <w:color w:val="000000" w:themeColor="text1"/>
                <w14:textFill>
                  <w14:solidFill>
                    <w14:schemeClr w14:val="tx1"/>
                  </w14:solidFill>
                </w14:textFill>
              </w:rPr>
            </w:pPr>
          </w:p>
        </w:tc>
      </w:tr>
      <w:tr w14:paraId="46E0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1AC4820">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2957F028">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2DA50407">
            <w:pPr>
              <w:pStyle w:val="557"/>
            </w:pPr>
            <w:r>
              <w:rPr>
                <w:rFonts w:hint="eastAsia"/>
              </w:rPr>
              <w:t>2#－造粒废气、2#包装废气、2#烘干废气</w:t>
            </w:r>
          </w:p>
        </w:tc>
        <w:tc>
          <w:tcPr>
            <w:tcW w:w="1275" w:type="dxa"/>
            <w:vAlign w:val="center"/>
          </w:tcPr>
          <w:p w14:paraId="2E983DB0">
            <w:pPr>
              <w:pStyle w:val="190"/>
              <w:rPr>
                <w:rFonts w:ascii="Times New Roman" w:hAnsi="Times New Roman" w:cs="Times New Roman"/>
                <w:color w:val="000000" w:themeColor="text1"/>
                <w:szCs w:val="18"/>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p>
        </w:tc>
        <w:tc>
          <w:tcPr>
            <w:tcW w:w="1560" w:type="dxa"/>
            <w:vAlign w:val="center"/>
          </w:tcPr>
          <w:p w14:paraId="218344C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43F371B2">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35</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40</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6D5D91D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39B15062">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30</w:t>
            </w:r>
          </w:p>
        </w:tc>
        <w:tc>
          <w:tcPr>
            <w:tcW w:w="2127" w:type="dxa"/>
            <w:vMerge w:val="restart"/>
            <w:vAlign w:val="center"/>
          </w:tcPr>
          <w:p w14:paraId="62658090">
            <w:pPr>
              <w:pStyle w:val="557"/>
            </w:pPr>
            <w:r>
              <w:rPr>
                <w:rFonts w:hint="eastAsia"/>
              </w:rPr>
              <w:t>《重污染天气重点行业应急减排措施制定技术指南（</w:t>
            </w:r>
            <w:r>
              <w:t>2020</w:t>
            </w:r>
            <w:r>
              <w:rPr>
                <w:rFonts w:hint="eastAsia"/>
              </w:rPr>
              <w:t>年修订版）》煤制氮肥行业</w:t>
            </w:r>
          </w:p>
          <w:p w14:paraId="6B0200A8">
            <w:pPr>
              <w:pStyle w:val="190"/>
              <w:rPr>
                <w:rFonts w:ascii="Times New Roman" w:hAnsi="Times New Roman" w:cs="Times New Roman"/>
                <w:color w:val="000000" w:themeColor="text1"/>
                <w:szCs w:val="22"/>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级企业</w:t>
            </w:r>
          </w:p>
        </w:tc>
      </w:tr>
      <w:tr w14:paraId="61EE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F347F91">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3C0E9C51">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178FA393">
            <w:pPr>
              <w:pStyle w:val="190"/>
              <w:rPr>
                <w:rFonts w:ascii="Times New Roman" w:hAnsi="Times New Roman" w:cs="Times New Roman"/>
                <w:color w:val="000000" w:themeColor="text1"/>
                <w14:textFill>
                  <w14:solidFill>
                    <w14:schemeClr w14:val="tx1"/>
                  </w14:solidFill>
                </w14:textFill>
              </w:rPr>
            </w:pPr>
          </w:p>
        </w:tc>
        <w:tc>
          <w:tcPr>
            <w:tcW w:w="1275" w:type="dxa"/>
            <w:vAlign w:val="center"/>
          </w:tcPr>
          <w:p w14:paraId="7C82F133">
            <w:pPr>
              <w:pStyle w:val="190"/>
              <w:rPr>
                <w:rFonts w:ascii="Times New Roman" w:hAnsi="Times New Roman" w:cs="Times New Roman"/>
                <w:color w:val="000000" w:themeColor="text1"/>
                <w:szCs w:val="18"/>
                <w14:textFill>
                  <w14:solidFill>
                    <w14:schemeClr w14:val="tx1"/>
                  </w14:solidFill>
                </w14:textFill>
              </w:rPr>
            </w:pPr>
            <w:r>
              <w:rPr>
                <w:rFonts w:ascii="Times New Roman" w:hAnsi="Times New Roman" w:cs="Times New Roman"/>
                <w:color w:val="000000" w:themeColor="text1"/>
                <w:szCs w:val="18"/>
                <w14:textFill>
                  <w14:solidFill>
                    <w14:schemeClr w14:val="tx1"/>
                  </w14:solidFill>
                </w14:textFill>
              </w:rPr>
              <w:t>颗粒物</w:t>
            </w:r>
          </w:p>
        </w:tc>
        <w:tc>
          <w:tcPr>
            <w:tcW w:w="1560" w:type="dxa"/>
            <w:vAlign w:val="center"/>
          </w:tcPr>
          <w:p w14:paraId="466C3793">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409CDA98">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39（40</w:t>
            </w:r>
            <w:r>
              <w:rPr>
                <w:rFonts w:ascii="Times New Roman" w:hAnsi="Times New Roman" w:cs="Times New Roman"/>
                <w:color w:val="000000" w:themeColor="text1"/>
                <w:szCs w:val="22"/>
                <w14:textFill>
                  <w14:solidFill>
                    <w14:schemeClr w14:val="tx1"/>
                  </w14:solidFill>
                </w14:textFill>
              </w:rPr>
              <w:t>m排气筒）</w:t>
            </w:r>
          </w:p>
        </w:tc>
        <w:tc>
          <w:tcPr>
            <w:tcW w:w="2551" w:type="dxa"/>
            <w:vMerge w:val="restart"/>
            <w:vAlign w:val="center"/>
          </w:tcPr>
          <w:p w14:paraId="5C7ACB0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6DCC25F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30</w:t>
            </w:r>
          </w:p>
        </w:tc>
        <w:tc>
          <w:tcPr>
            <w:tcW w:w="2127" w:type="dxa"/>
            <w:vMerge w:val="continue"/>
            <w:vAlign w:val="center"/>
          </w:tcPr>
          <w:p w14:paraId="4BD9145A">
            <w:pPr>
              <w:pStyle w:val="190"/>
              <w:rPr>
                <w:rFonts w:ascii="Times New Roman" w:hAnsi="Times New Roman" w:cs="Times New Roman"/>
                <w:color w:val="000000" w:themeColor="text1"/>
                <w14:textFill>
                  <w14:solidFill>
                    <w14:schemeClr w14:val="tx1"/>
                  </w14:solidFill>
                </w14:textFill>
              </w:rPr>
            </w:pPr>
          </w:p>
        </w:tc>
      </w:tr>
      <w:tr w14:paraId="2B0A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7B16235">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0B113AB0">
            <w:pPr>
              <w:pStyle w:val="190"/>
              <w:rPr>
                <w:rFonts w:ascii="Times New Roman" w:hAnsi="Times New Roman" w:cs="Times New Roman"/>
                <w:color w:val="000000" w:themeColor="text1"/>
                <w:szCs w:val="22"/>
                <w14:textFill>
                  <w14:solidFill>
                    <w14:schemeClr w14:val="tx1"/>
                  </w14:solidFill>
                </w14:textFill>
              </w:rPr>
            </w:pPr>
          </w:p>
        </w:tc>
        <w:tc>
          <w:tcPr>
            <w:tcW w:w="2127" w:type="dxa"/>
            <w:vAlign w:val="center"/>
          </w:tcPr>
          <w:p w14:paraId="2F052497">
            <w:pPr>
              <w:pStyle w:val="557"/>
            </w:pPr>
            <w:r>
              <w:rPr>
                <w:rFonts w:hint="eastAsia"/>
              </w:rPr>
              <w:t>1#冷却废气</w:t>
            </w:r>
          </w:p>
        </w:tc>
        <w:tc>
          <w:tcPr>
            <w:tcW w:w="1275" w:type="dxa"/>
            <w:vAlign w:val="center"/>
          </w:tcPr>
          <w:p w14:paraId="73598699">
            <w:pPr>
              <w:pStyle w:val="190"/>
              <w:rPr>
                <w:rFonts w:ascii="Times New Roman" w:hAnsi="Times New Roman" w:cs="Times New Roman"/>
                <w:color w:val="000000" w:themeColor="text1"/>
                <w:szCs w:val="18"/>
                <w14:textFill>
                  <w14:solidFill>
                    <w14:schemeClr w14:val="tx1"/>
                  </w14:solidFill>
                </w14:textFill>
              </w:rPr>
            </w:pPr>
            <w:r>
              <w:rPr>
                <w:color w:val="000000" w:themeColor="text1"/>
                <w14:textFill>
                  <w14:solidFill>
                    <w14:schemeClr w14:val="tx1"/>
                  </w14:solidFill>
                </w14:textFill>
              </w:rPr>
              <w:t>颗粒物</w:t>
            </w:r>
          </w:p>
        </w:tc>
        <w:tc>
          <w:tcPr>
            <w:tcW w:w="1560" w:type="dxa"/>
            <w:vAlign w:val="center"/>
          </w:tcPr>
          <w:p w14:paraId="4C8DA24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70985496">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Merge w:val="continue"/>
            <w:vAlign w:val="center"/>
          </w:tcPr>
          <w:p w14:paraId="1EF1FEEC">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44CD641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685EE0C">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4640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B1A0288">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FDFEF40">
            <w:pPr>
              <w:pStyle w:val="190"/>
              <w:rPr>
                <w:rFonts w:ascii="Times New Roman" w:hAnsi="Times New Roman" w:cs="Times New Roman"/>
                <w:color w:val="000000" w:themeColor="text1"/>
                <w:szCs w:val="22"/>
                <w14:textFill>
                  <w14:solidFill>
                    <w14:schemeClr w14:val="tx1"/>
                  </w14:solidFill>
                </w14:textFill>
              </w:rPr>
            </w:pPr>
          </w:p>
        </w:tc>
        <w:tc>
          <w:tcPr>
            <w:tcW w:w="2127" w:type="dxa"/>
            <w:vAlign w:val="center"/>
          </w:tcPr>
          <w:p w14:paraId="7CEA4DE7">
            <w:pPr>
              <w:pStyle w:val="557"/>
            </w:pPr>
            <w:r>
              <w:rPr>
                <w:rFonts w:hint="eastAsia"/>
              </w:rPr>
              <w:t>2#冷却废气</w:t>
            </w:r>
          </w:p>
        </w:tc>
        <w:tc>
          <w:tcPr>
            <w:tcW w:w="1275" w:type="dxa"/>
            <w:vAlign w:val="center"/>
          </w:tcPr>
          <w:p w14:paraId="43BB873C">
            <w:pPr>
              <w:pStyle w:val="190"/>
              <w:rPr>
                <w:rFonts w:ascii="Times New Roman" w:hAnsi="Times New Roman" w:cs="Times New Roman"/>
                <w:color w:val="000000" w:themeColor="text1"/>
                <w:szCs w:val="18"/>
                <w14:textFill>
                  <w14:solidFill>
                    <w14:schemeClr w14:val="tx1"/>
                  </w14:solidFill>
                </w14:textFill>
              </w:rPr>
            </w:pPr>
            <w:r>
              <w:rPr>
                <w:color w:val="000000" w:themeColor="text1"/>
                <w14:textFill>
                  <w14:solidFill>
                    <w14:schemeClr w14:val="tx1"/>
                  </w14:solidFill>
                </w14:textFill>
              </w:rPr>
              <w:t>颗粒物</w:t>
            </w:r>
          </w:p>
        </w:tc>
        <w:tc>
          <w:tcPr>
            <w:tcW w:w="1560" w:type="dxa"/>
            <w:vAlign w:val="center"/>
          </w:tcPr>
          <w:p w14:paraId="0C3FED6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0B844644">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Merge w:val="continue"/>
            <w:vAlign w:val="center"/>
          </w:tcPr>
          <w:p w14:paraId="6C88661B">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47C21DFB">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7D050FE7">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793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48FB08F">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37751672">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21EAEB9B">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18"/>
                <w14:textFill>
                  <w14:solidFill>
                    <w14:schemeClr w14:val="tx1"/>
                  </w14:solidFill>
                </w14:textFill>
              </w:rPr>
              <w:t>有机缓释肥装置加热炉废气</w:t>
            </w:r>
          </w:p>
        </w:tc>
        <w:tc>
          <w:tcPr>
            <w:tcW w:w="1275" w:type="dxa"/>
            <w:vAlign w:val="center"/>
          </w:tcPr>
          <w:p w14:paraId="4C5D6B21">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560" w:type="dxa"/>
            <w:vAlign w:val="center"/>
          </w:tcPr>
          <w:p w14:paraId="36E3B851">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20</w:t>
            </w:r>
          </w:p>
        </w:tc>
        <w:tc>
          <w:tcPr>
            <w:tcW w:w="1559" w:type="dxa"/>
            <w:vAlign w:val="center"/>
          </w:tcPr>
          <w:p w14:paraId="5922C168">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Merge w:val="restart"/>
            <w:vAlign w:val="center"/>
          </w:tcPr>
          <w:p w14:paraId="2562A5A6">
            <w:pPr>
              <w:pStyle w:val="19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《石油化学工业污染物排放标准》（GB31571-2015</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含2024年修改单）表4大气污染物排放限值</w:t>
            </w:r>
          </w:p>
        </w:tc>
        <w:tc>
          <w:tcPr>
            <w:tcW w:w="1134" w:type="dxa"/>
            <w:vAlign w:val="center"/>
          </w:tcPr>
          <w:p w14:paraId="5479963D">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57858032">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EB1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D9612C0">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415A32F5">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3C61A75D">
            <w:pPr>
              <w:pStyle w:val="190"/>
              <w:rPr>
                <w:rFonts w:ascii="Times New Roman" w:hAnsi="Times New Roman" w:cs="Times New Roman"/>
                <w:color w:val="000000" w:themeColor="text1"/>
                <w14:textFill>
                  <w14:solidFill>
                    <w14:schemeClr w14:val="tx1"/>
                  </w14:solidFill>
                </w14:textFill>
              </w:rPr>
            </w:pPr>
          </w:p>
        </w:tc>
        <w:tc>
          <w:tcPr>
            <w:tcW w:w="1275" w:type="dxa"/>
            <w:vAlign w:val="center"/>
          </w:tcPr>
          <w:p w14:paraId="095E63C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氮氧化物</w:t>
            </w:r>
          </w:p>
        </w:tc>
        <w:tc>
          <w:tcPr>
            <w:tcW w:w="1560" w:type="dxa"/>
            <w:vAlign w:val="center"/>
          </w:tcPr>
          <w:p w14:paraId="05262CE6">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150</w:t>
            </w:r>
          </w:p>
        </w:tc>
        <w:tc>
          <w:tcPr>
            <w:tcW w:w="1559" w:type="dxa"/>
            <w:vAlign w:val="center"/>
          </w:tcPr>
          <w:p w14:paraId="24952D1A">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09F0051B">
            <w:pPr>
              <w:pStyle w:val="190"/>
              <w:rPr>
                <w:rFonts w:ascii="Times New Roman" w:hAnsi="Times New Roman" w:cs="Times New Roman"/>
                <w:color w:val="000000" w:themeColor="text1"/>
                <w:szCs w:val="21"/>
                <w14:textFill>
                  <w14:solidFill>
                    <w14:schemeClr w14:val="tx1"/>
                  </w14:solidFill>
                </w14:textFill>
              </w:rPr>
            </w:pPr>
          </w:p>
        </w:tc>
        <w:tc>
          <w:tcPr>
            <w:tcW w:w="1134" w:type="dxa"/>
            <w:vAlign w:val="center"/>
          </w:tcPr>
          <w:p w14:paraId="58009B4C">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2A529F2F">
            <w:pPr>
              <w:pStyle w:val="19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F64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BE622D5">
            <w:pPr>
              <w:pStyle w:val="190"/>
              <w:rPr>
                <w:rFonts w:ascii="Times New Roman" w:hAnsi="Times New Roman" w:cs="Times New Roman"/>
                <w:color w:val="000000" w:themeColor="text1"/>
                <w:szCs w:val="22"/>
                <w14:textFill>
                  <w14:solidFill>
                    <w14:schemeClr w14:val="tx1"/>
                  </w14:solidFill>
                </w14:textFill>
              </w:rPr>
            </w:pPr>
          </w:p>
        </w:tc>
        <w:tc>
          <w:tcPr>
            <w:tcW w:w="992" w:type="dxa"/>
            <w:vMerge w:val="restart"/>
            <w:vAlign w:val="center"/>
          </w:tcPr>
          <w:p w14:paraId="06D3248B">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pacing w:val="8"/>
                <w:szCs w:val="22"/>
                <w14:textFill>
                  <w14:solidFill>
                    <w14:schemeClr w14:val="tx1"/>
                  </w14:solidFill>
                </w14:textFill>
              </w:rPr>
              <w:t>公用工程</w:t>
            </w:r>
          </w:p>
        </w:tc>
        <w:tc>
          <w:tcPr>
            <w:tcW w:w="2127" w:type="dxa"/>
            <w:vMerge w:val="restart"/>
            <w:vAlign w:val="center"/>
          </w:tcPr>
          <w:p w14:paraId="6D2D8FD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污水处理站</w:t>
            </w:r>
          </w:p>
        </w:tc>
        <w:tc>
          <w:tcPr>
            <w:tcW w:w="1275" w:type="dxa"/>
            <w:vAlign w:val="center"/>
          </w:tcPr>
          <w:p w14:paraId="07F3C61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硫化氢</w:t>
            </w:r>
          </w:p>
        </w:tc>
        <w:tc>
          <w:tcPr>
            <w:tcW w:w="1560" w:type="dxa"/>
            <w:vAlign w:val="center"/>
          </w:tcPr>
          <w:p w14:paraId="2E02D61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3DDC0E9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0.33（15m排气筒）</w:t>
            </w:r>
          </w:p>
        </w:tc>
        <w:tc>
          <w:tcPr>
            <w:tcW w:w="2551" w:type="dxa"/>
            <w:vMerge w:val="restart"/>
            <w:vAlign w:val="center"/>
          </w:tcPr>
          <w:p w14:paraId="3E298A3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恶臭污染物排放标准》（GB14554-93）表2 恶臭污染物排放标准值</w:t>
            </w:r>
          </w:p>
        </w:tc>
        <w:tc>
          <w:tcPr>
            <w:tcW w:w="1134" w:type="dxa"/>
            <w:vAlign w:val="center"/>
          </w:tcPr>
          <w:p w14:paraId="5AA7DFAE">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753CFA89">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0E05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091B88ED">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0060AFFD">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184C1FC1">
            <w:pPr>
              <w:pStyle w:val="190"/>
              <w:rPr>
                <w:rFonts w:ascii="Times New Roman" w:hAnsi="Times New Roman" w:cs="Times New Roman"/>
                <w:color w:val="000000" w:themeColor="text1"/>
                <w:szCs w:val="22"/>
                <w14:textFill>
                  <w14:solidFill>
                    <w14:schemeClr w14:val="tx1"/>
                  </w14:solidFill>
                </w14:textFill>
              </w:rPr>
            </w:pPr>
          </w:p>
        </w:tc>
        <w:tc>
          <w:tcPr>
            <w:tcW w:w="1275" w:type="dxa"/>
            <w:vAlign w:val="center"/>
          </w:tcPr>
          <w:p w14:paraId="3B6AF459">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氨</w:t>
            </w:r>
          </w:p>
        </w:tc>
        <w:tc>
          <w:tcPr>
            <w:tcW w:w="1560" w:type="dxa"/>
            <w:vAlign w:val="center"/>
          </w:tcPr>
          <w:p w14:paraId="112CDC3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1559" w:type="dxa"/>
            <w:vAlign w:val="center"/>
          </w:tcPr>
          <w:p w14:paraId="010A27B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4.9（15m排气筒）</w:t>
            </w:r>
          </w:p>
        </w:tc>
        <w:tc>
          <w:tcPr>
            <w:tcW w:w="2551" w:type="dxa"/>
            <w:vMerge w:val="continue"/>
            <w:vAlign w:val="center"/>
          </w:tcPr>
          <w:p w14:paraId="7DA3691B">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01041CC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5D1004C">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70DA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752B1A77">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11A32D19">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3C05DC7E">
            <w:pPr>
              <w:pStyle w:val="190"/>
              <w:rPr>
                <w:rFonts w:ascii="Times New Roman" w:hAnsi="Times New Roman" w:cs="Times New Roman"/>
                <w:color w:val="000000" w:themeColor="text1"/>
                <w:szCs w:val="22"/>
                <w14:textFill>
                  <w14:solidFill>
                    <w14:schemeClr w14:val="tx1"/>
                  </w14:solidFill>
                </w14:textFill>
              </w:rPr>
            </w:pPr>
          </w:p>
        </w:tc>
        <w:tc>
          <w:tcPr>
            <w:tcW w:w="1275" w:type="dxa"/>
            <w:vAlign w:val="center"/>
          </w:tcPr>
          <w:p w14:paraId="47E8A16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NMHC</w:t>
            </w:r>
          </w:p>
        </w:tc>
        <w:tc>
          <w:tcPr>
            <w:tcW w:w="1560" w:type="dxa"/>
            <w:vAlign w:val="center"/>
          </w:tcPr>
          <w:p w14:paraId="42846E71">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6D8DBB3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Align w:val="center"/>
          </w:tcPr>
          <w:p w14:paraId="715428D6">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《石油化学工业污染物排放标准》（GB31571-2015</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含2024年修改单）表4大气污染物排放限值</w:t>
            </w:r>
          </w:p>
        </w:tc>
        <w:tc>
          <w:tcPr>
            <w:tcW w:w="1134" w:type="dxa"/>
            <w:vAlign w:val="center"/>
          </w:tcPr>
          <w:p w14:paraId="44AF7D52">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1B679C11">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3BB8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ABD09C3">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12C4C96">
            <w:pPr>
              <w:pStyle w:val="190"/>
              <w:rPr>
                <w:rFonts w:ascii="Times New Roman" w:hAnsi="Times New Roman" w:cs="Times New Roman"/>
                <w:color w:val="000000" w:themeColor="text1"/>
                <w:szCs w:val="22"/>
                <w14:textFill>
                  <w14:solidFill>
                    <w14:schemeClr w14:val="tx1"/>
                  </w14:solidFill>
                </w14:textFill>
              </w:rPr>
            </w:pPr>
          </w:p>
        </w:tc>
        <w:tc>
          <w:tcPr>
            <w:tcW w:w="2127" w:type="dxa"/>
            <w:vMerge w:val="restart"/>
            <w:vAlign w:val="center"/>
          </w:tcPr>
          <w:p w14:paraId="7B831305">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燃气锅炉</w:t>
            </w:r>
          </w:p>
        </w:tc>
        <w:tc>
          <w:tcPr>
            <w:tcW w:w="1275" w:type="dxa"/>
            <w:vAlign w:val="center"/>
          </w:tcPr>
          <w:p w14:paraId="6E7DA2AC">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560" w:type="dxa"/>
            <w:vAlign w:val="center"/>
          </w:tcPr>
          <w:p w14:paraId="64D68410">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20</w:t>
            </w:r>
          </w:p>
        </w:tc>
        <w:tc>
          <w:tcPr>
            <w:tcW w:w="1559" w:type="dxa"/>
            <w:vAlign w:val="center"/>
          </w:tcPr>
          <w:p w14:paraId="14954317">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Align w:val="center"/>
          </w:tcPr>
          <w:p w14:paraId="3D3B84B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《锅炉大气污染物排放标准》（GB13271-2014）</w:t>
            </w:r>
          </w:p>
        </w:tc>
        <w:tc>
          <w:tcPr>
            <w:tcW w:w="1134" w:type="dxa"/>
            <w:vAlign w:val="center"/>
          </w:tcPr>
          <w:p w14:paraId="2F5E9B7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5B7F3FA1">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73A3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2374156">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5CD2635F">
            <w:pPr>
              <w:pStyle w:val="190"/>
              <w:rPr>
                <w:rFonts w:ascii="Times New Roman" w:hAnsi="Times New Roman" w:cs="Times New Roman"/>
                <w:color w:val="000000" w:themeColor="text1"/>
                <w:szCs w:val="22"/>
                <w14:textFill>
                  <w14:solidFill>
                    <w14:schemeClr w14:val="tx1"/>
                  </w14:solidFill>
                </w14:textFill>
              </w:rPr>
            </w:pPr>
          </w:p>
        </w:tc>
        <w:tc>
          <w:tcPr>
            <w:tcW w:w="2127" w:type="dxa"/>
            <w:vMerge w:val="continue"/>
            <w:vAlign w:val="center"/>
          </w:tcPr>
          <w:p w14:paraId="0E3B1945">
            <w:pPr>
              <w:pStyle w:val="190"/>
              <w:rPr>
                <w:rFonts w:ascii="Times New Roman" w:hAnsi="Times New Roman" w:cs="Times New Roman"/>
                <w:color w:val="000000" w:themeColor="text1"/>
                <w:szCs w:val="22"/>
                <w14:textFill>
                  <w14:solidFill>
                    <w14:schemeClr w14:val="tx1"/>
                  </w14:solidFill>
                </w14:textFill>
              </w:rPr>
            </w:pPr>
          </w:p>
        </w:tc>
        <w:tc>
          <w:tcPr>
            <w:tcW w:w="1275" w:type="dxa"/>
            <w:vAlign w:val="center"/>
          </w:tcPr>
          <w:p w14:paraId="0C4512CF">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氮氧化物</w:t>
            </w:r>
          </w:p>
        </w:tc>
        <w:tc>
          <w:tcPr>
            <w:tcW w:w="1560" w:type="dxa"/>
            <w:vAlign w:val="center"/>
          </w:tcPr>
          <w:p w14:paraId="50EF3F27">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50</w:t>
            </w:r>
          </w:p>
        </w:tc>
        <w:tc>
          <w:tcPr>
            <w:tcW w:w="1559" w:type="dxa"/>
            <w:vAlign w:val="center"/>
          </w:tcPr>
          <w:p w14:paraId="05569E9A">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w:t>
            </w:r>
          </w:p>
        </w:tc>
        <w:tc>
          <w:tcPr>
            <w:tcW w:w="2551" w:type="dxa"/>
            <w:vAlign w:val="center"/>
          </w:tcPr>
          <w:p w14:paraId="670F2ED8">
            <w:pPr>
              <w:pStyle w:val="190"/>
              <w:rPr>
                <w:rFonts w:ascii="Times New Roman" w:hAnsi="Times New Roman" w:cs="Times New Roman"/>
                <w:color w:val="000000" w:themeColor="text1"/>
                <w14:textFill>
                  <w14:solidFill>
                    <w14:schemeClr w14:val="tx1"/>
                  </w14:solidFill>
                </w14:textFill>
              </w:rPr>
            </w:pPr>
            <w:bookmarkStart w:id="53" w:name="_Hlk203383485"/>
            <w:r>
              <w:rPr>
                <w:rFonts w:hint="eastAsia" w:ascii="Times New Roman" w:hAnsi="Times New Roman" w:cs="Times New Roman"/>
                <w:color w:val="000000" w:themeColor="text1"/>
                <w14:textFill>
                  <w14:solidFill>
                    <w14:schemeClr w14:val="tx1"/>
                  </w14:solidFill>
                </w14:textFill>
              </w:rPr>
              <w:t>氮氧化物执行《关于印发&lt;哈密市2022年度夏秋季大气污染防治“冬病夏治”工作方案&gt;的通知》（哈市环委办〔2022〕12号）氮氧化物排放浓度标准要求</w:t>
            </w:r>
            <w:bookmarkEnd w:id="53"/>
          </w:p>
        </w:tc>
        <w:tc>
          <w:tcPr>
            <w:tcW w:w="1134" w:type="dxa"/>
            <w:vAlign w:val="center"/>
          </w:tcPr>
          <w:p w14:paraId="4C84F77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2415CE98">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66B7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06ED3E1">
            <w:pPr>
              <w:pStyle w:val="190"/>
              <w:rPr>
                <w:rFonts w:ascii="Times New Roman" w:hAnsi="Times New Roman" w:cs="Times New Roman"/>
                <w:color w:val="000000" w:themeColor="text1"/>
                <w:szCs w:val="22"/>
                <w14:textFill>
                  <w14:solidFill>
                    <w14:schemeClr w14:val="tx1"/>
                  </w14:solidFill>
                </w14:textFill>
              </w:rPr>
            </w:pPr>
          </w:p>
        </w:tc>
        <w:tc>
          <w:tcPr>
            <w:tcW w:w="992" w:type="dxa"/>
            <w:vMerge w:val="restart"/>
            <w:vAlign w:val="center"/>
          </w:tcPr>
          <w:p w14:paraId="16C3495D">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储运工程</w:t>
            </w:r>
          </w:p>
        </w:tc>
        <w:tc>
          <w:tcPr>
            <w:tcW w:w="2127" w:type="dxa"/>
            <w:vAlign w:val="center"/>
          </w:tcPr>
          <w:p w14:paraId="5CE23A78">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筛分破碎废气</w:t>
            </w:r>
          </w:p>
        </w:tc>
        <w:tc>
          <w:tcPr>
            <w:tcW w:w="1275" w:type="dxa"/>
            <w:vAlign w:val="center"/>
          </w:tcPr>
          <w:p w14:paraId="6DE9E49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颗粒物</w:t>
            </w:r>
          </w:p>
        </w:tc>
        <w:tc>
          <w:tcPr>
            <w:tcW w:w="1560" w:type="dxa"/>
            <w:vAlign w:val="center"/>
          </w:tcPr>
          <w:p w14:paraId="40F323E9">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4AB57E2E">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Align w:val="center"/>
          </w:tcPr>
          <w:p w14:paraId="2FB69110">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09E7F14D">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2127" w:type="dxa"/>
            <w:vMerge w:val="restart"/>
            <w:vAlign w:val="center"/>
          </w:tcPr>
          <w:p w14:paraId="2220CC53">
            <w:pPr>
              <w:pStyle w:val="557"/>
            </w:pPr>
            <w:r>
              <w:rPr>
                <w:rFonts w:hint="eastAsia"/>
              </w:rPr>
              <w:t>《重污染天气重点行业应急减排措施制定技术指南（</w:t>
            </w:r>
            <w:r>
              <w:t>2020</w:t>
            </w:r>
            <w:r>
              <w:rPr>
                <w:rFonts w:hint="eastAsia"/>
              </w:rPr>
              <w:t>年修订版）》煤制氮肥行业</w:t>
            </w:r>
          </w:p>
          <w:p w14:paraId="5F4B4C37">
            <w:pPr>
              <w:pStyle w:val="19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级企业</w:t>
            </w:r>
          </w:p>
        </w:tc>
      </w:tr>
      <w:tr w14:paraId="0316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3237DCEB">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2422E3D0">
            <w:pPr>
              <w:pStyle w:val="190"/>
              <w:rPr>
                <w:rFonts w:ascii="Times New Roman" w:hAnsi="Times New Roman" w:cs="Times New Roman"/>
                <w:color w:val="000000" w:themeColor="text1"/>
                <w:szCs w:val="22"/>
                <w14:textFill>
                  <w14:solidFill>
                    <w14:schemeClr w14:val="tx1"/>
                  </w14:solidFill>
                </w14:textFill>
              </w:rPr>
            </w:pPr>
          </w:p>
        </w:tc>
        <w:tc>
          <w:tcPr>
            <w:tcW w:w="2127" w:type="dxa"/>
            <w:vAlign w:val="center"/>
          </w:tcPr>
          <w:p w14:paraId="698A5E21">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1#转运站</w:t>
            </w:r>
          </w:p>
        </w:tc>
        <w:tc>
          <w:tcPr>
            <w:tcW w:w="1275" w:type="dxa"/>
            <w:vAlign w:val="center"/>
          </w:tcPr>
          <w:p w14:paraId="7C4A0156">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颗粒物</w:t>
            </w:r>
          </w:p>
        </w:tc>
        <w:tc>
          <w:tcPr>
            <w:tcW w:w="1560" w:type="dxa"/>
            <w:vAlign w:val="center"/>
          </w:tcPr>
          <w:p w14:paraId="3E2228EB">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3F888FC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3.5（15m排气筒）</w:t>
            </w:r>
          </w:p>
        </w:tc>
        <w:tc>
          <w:tcPr>
            <w:tcW w:w="2551" w:type="dxa"/>
            <w:vAlign w:val="center"/>
          </w:tcPr>
          <w:p w14:paraId="75004E9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27D3980D">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2127" w:type="dxa"/>
            <w:vMerge w:val="continue"/>
            <w:vAlign w:val="center"/>
          </w:tcPr>
          <w:p w14:paraId="7B7CF02E">
            <w:pPr>
              <w:pStyle w:val="190"/>
              <w:rPr>
                <w:rFonts w:ascii="Times New Roman" w:hAnsi="Times New Roman" w:cs="Times New Roman"/>
                <w:color w:val="000000" w:themeColor="text1"/>
                <w14:textFill>
                  <w14:solidFill>
                    <w14:schemeClr w14:val="tx1"/>
                  </w14:solidFill>
                </w14:textFill>
              </w:rPr>
            </w:pPr>
          </w:p>
        </w:tc>
      </w:tr>
      <w:tr w14:paraId="7F20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3FAEFD4">
            <w:pPr>
              <w:pStyle w:val="190"/>
              <w:rPr>
                <w:rFonts w:ascii="Times New Roman" w:hAnsi="Times New Roman" w:cs="Times New Roman"/>
                <w:color w:val="000000" w:themeColor="text1"/>
                <w:szCs w:val="22"/>
                <w14:textFill>
                  <w14:solidFill>
                    <w14:schemeClr w14:val="tx1"/>
                  </w14:solidFill>
                </w14:textFill>
              </w:rPr>
            </w:pPr>
          </w:p>
        </w:tc>
        <w:tc>
          <w:tcPr>
            <w:tcW w:w="992" w:type="dxa"/>
            <w:vMerge w:val="continue"/>
            <w:vAlign w:val="center"/>
          </w:tcPr>
          <w:p w14:paraId="6CCF5B00">
            <w:pPr>
              <w:pStyle w:val="190"/>
              <w:rPr>
                <w:rFonts w:ascii="Times New Roman" w:hAnsi="Times New Roman" w:cs="Times New Roman"/>
                <w:color w:val="000000" w:themeColor="text1"/>
                <w:szCs w:val="22"/>
                <w14:textFill>
                  <w14:solidFill>
                    <w14:schemeClr w14:val="tx1"/>
                  </w14:solidFill>
                </w14:textFill>
              </w:rPr>
            </w:pPr>
          </w:p>
        </w:tc>
        <w:tc>
          <w:tcPr>
            <w:tcW w:w="2127" w:type="dxa"/>
            <w:vAlign w:val="center"/>
          </w:tcPr>
          <w:p w14:paraId="69E30EAD">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kern w:val="2"/>
                <w:szCs w:val="18"/>
                <w14:textFill>
                  <w14:solidFill>
                    <w14:schemeClr w14:val="tx1"/>
                  </w14:solidFill>
                </w14:textFill>
              </w:rPr>
              <w:t>2#转运站</w:t>
            </w:r>
          </w:p>
        </w:tc>
        <w:tc>
          <w:tcPr>
            <w:tcW w:w="1275" w:type="dxa"/>
            <w:vAlign w:val="center"/>
          </w:tcPr>
          <w:p w14:paraId="46B6F078">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颗粒物</w:t>
            </w:r>
          </w:p>
        </w:tc>
        <w:tc>
          <w:tcPr>
            <w:tcW w:w="1560" w:type="dxa"/>
            <w:vAlign w:val="center"/>
          </w:tcPr>
          <w:p w14:paraId="7333FB7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120</w:t>
            </w:r>
          </w:p>
        </w:tc>
        <w:tc>
          <w:tcPr>
            <w:tcW w:w="1559" w:type="dxa"/>
            <w:vAlign w:val="center"/>
          </w:tcPr>
          <w:p w14:paraId="2C42F633">
            <w:pPr>
              <w:pStyle w:val="190"/>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90.76</w:t>
            </w:r>
            <w:r>
              <w:rPr>
                <w:rFonts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14:textFill>
                  <w14:solidFill>
                    <w14:schemeClr w14:val="tx1"/>
                  </w14:solidFill>
                </w14:textFill>
              </w:rPr>
              <w:t>62</w:t>
            </w:r>
            <w:r>
              <w:rPr>
                <w:rFonts w:ascii="Times New Roman" w:hAnsi="Times New Roman" w:cs="Times New Roman"/>
                <w:color w:val="000000" w:themeColor="text1"/>
                <w:szCs w:val="22"/>
                <w14:textFill>
                  <w14:solidFill>
                    <w14:schemeClr w14:val="tx1"/>
                  </w14:solidFill>
                </w14:textFill>
              </w:rPr>
              <w:t>m排气筒）</w:t>
            </w:r>
          </w:p>
        </w:tc>
        <w:tc>
          <w:tcPr>
            <w:tcW w:w="2551" w:type="dxa"/>
            <w:vAlign w:val="center"/>
          </w:tcPr>
          <w:p w14:paraId="1FEBC0A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《大气污染物综合排放标准》（GB16297-1996）表2新污染源大气污染物排放限值</w:t>
            </w:r>
          </w:p>
        </w:tc>
        <w:tc>
          <w:tcPr>
            <w:tcW w:w="1134" w:type="dxa"/>
            <w:vAlign w:val="center"/>
          </w:tcPr>
          <w:p w14:paraId="324A43AC">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2127" w:type="dxa"/>
            <w:vMerge w:val="continue"/>
            <w:vAlign w:val="center"/>
          </w:tcPr>
          <w:p w14:paraId="6612ED22">
            <w:pPr>
              <w:pStyle w:val="190"/>
              <w:rPr>
                <w:rFonts w:ascii="Times New Roman" w:hAnsi="Times New Roman" w:cs="Times New Roman"/>
                <w:color w:val="000000" w:themeColor="text1"/>
                <w14:textFill>
                  <w14:solidFill>
                    <w14:schemeClr w14:val="tx1"/>
                  </w14:solidFill>
                </w14:textFill>
              </w:rPr>
            </w:pPr>
          </w:p>
        </w:tc>
      </w:tr>
      <w:tr w14:paraId="6B2C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0BD5C2EA">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无组织废气</w:t>
            </w:r>
          </w:p>
        </w:tc>
        <w:tc>
          <w:tcPr>
            <w:tcW w:w="3119" w:type="dxa"/>
            <w:gridSpan w:val="2"/>
            <w:vMerge w:val="restart"/>
            <w:vAlign w:val="center"/>
          </w:tcPr>
          <w:p w14:paraId="22A34CB9">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w:t>
            </w:r>
          </w:p>
        </w:tc>
        <w:tc>
          <w:tcPr>
            <w:tcW w:w="1275" w:type="dxa"/>
            <w:vAlign w:val="center"/>
          </w:tcPr>
          <w:p w14:paraId="6DC3142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lang w:eastAsia="en-US"/>
                <w14:textFill>
                  <w14:solidFill>
                    <w14:schemeClr w14:val="tx1"/>
                  </w14:solidFill>
                </w14:textFill>
              </w:rPr>
              <w:t>NMHC</w:t>
            </w:r>
          </w:p>
        </w:tc>
        <w:tc>
          <w:tcPr>
            <w:tcW w:w="1560" w:type="dxa"/>
            <w:vAlign w:val="center"/>
          </w:tcPr>
          <w:p w14:paraId="6FE8BF7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1559" w:type="dxa"/>
            <w:vAlign w:val="center"/>
          </w:tcPr>
          <w:p w14:paraId="4F05DA9F">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Align w:val="center"/>
          </w:tcPr>
          <w:p w14:paraId="2EA0EDFD">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《石油化学工业污染物排放标准》（GB31571-2015</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含2024年修改单）表7企业边界大气污染物浓度限值</w:t>
            </w:r>
          </w:p>
        </w:tc>
        <w:tc>
          <w:tcPr>
            <w:tcW w:w="1134" w:type="dxa"/>
            <w:vAlign w:val="center"/>
          </w:tcPr>
          <w:p w14:paraId="6ED6CFC9">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41EE39CC">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67D2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4863825">
            <w:pPr>
              <w:pStyle w:val="190"/>
              <w:rPr>
                <w:rFonts w:ascii="Times New Roman" w:hAnsi="Times New Roman" w:cs="Times New Roman"/>
                <w:color w:val="000000" w:themeColor="text1"/>
                <w:szCs w:val="22"/>
                <w14:textFill>
                  <w14:solidFill>
                    <w14:schemeClr w14:val="tx1"/>
                  </w14:solidFill>
                </w14:textFill>
              </w:rPr>
            </w:pPr>
          </w:p>
        </w:tc>
        <w:tc>
          <w:tcPr>
            <w:tcW w:w="3119" w:type="dxa"/>
            <w:gridSpan w:val="2"/>
            <w:vMerge w:val="continue"/>
            <w:vAlign w:val="center"/>
          </w:tcPr>
          <w:p w14:paraId="7C24A680">
            <w:pPr>
              <w:pStyle w:val="190"/>
              <w:rPr>
                <w:rFonts w:ascii="Times New Roman" w:hAnsi="Times New Roman" w:cs="Times New Roman"/>
                <w:color w:val="000000" w:themeColor="text1"/>
                <w14:textFill>
                  <w14:solidFill>
                    <w14:schemeClr w14:val="tx1"/>
                  </w14:solidFill>
                </w14:textFill>
              </w:rPr>
            </w:pPr>
          </w:p>
        </w:tc>
        <w:tc>
          <w:tcPr>
            <w:tcW w:w="1275" w:type="dxa"/>
            <w:vAlign w:val="center"/>
          </w:tcPr>
          <w:p w14:paraId="25146C25">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硫化氢</w:t>
            </w:r>
          </w:p>
        </w:tc>
        <w:tc>
          <w:tcPr>
            <w:tcW w:w="1560" w:type="dxa"/>
            <w:vAlign w:val="center"/>
          </w:tcPr>
          <w:p w14:paraId="1B8593CC">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0.06</w:t>
            </w:r>
          </w:p>
        </w:tc>
        <w:tc>
          <w:tcPr>
            <w:tcW w:w="1559" w:type="dxa"/>
            <w:vAlign w:val="center"/>
          </w:tcPr>
          <w:p w14:paraId="6E83B01B">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restart"/>
            <w:vAlign w:val="center"/>
          </w:tcPr>
          <w:p w14:paraId="4D07E216">
            <w:pPr>
              <w:pStyle w:val="190"/>
              <w:rPr>
                <w:rFonts w:ascii="Times New Roman" w:hAnsi="Times New Roman" w:cs="Times New Roman"/>
                <w:color w:val="000000" w:themeColor="text1"/>
                <w14:textFill>
                  <w14:solidFill>
                    <w14:schemeClr w14:val="tx1"/>
                  </w14:solidFill>
                </w14:textFill>
              </w:rPr>
            </w:pPr>
            <w:bookmarkStart w:id="54" w:name="_Hlk150852661"/>
            <w:r>
              <w:rPr>
                <w:rFonts w:ascii="Times New Roman" w:hAnsi="Times New Roman" w:cs="Times New Roman"/>
                <w:color w:val="000000" w:themeColor="text1"/>
                <w14:textFill>
                  <w14:solidFill>
                    <w14:schemeClr w14:val="tx1"/>
                  </w14:solidFill>
                </w14:textFill>
              </w:rPr>
              <w:t>《恶臭污染物排放标准》（</w:t>
            </w:r>
            <w:r>
              <w:rPr>
                <w:rFonts w:ascii="Times New Roman" w:hAnsi="Times New Roman" w:eastAsia="TimesNewRoman" w:cs="Times New Roman"/>
                <w:color w:val="000000" w:themeColor="text1"/>
                <w14:textFill>
                  <w14:solidFill>
                    <w14:schemeClr w14:val="tx1"/>
                  </w14:solidFill>
                </w14:textFill>
              </w:rPr>
              <w:t>GB14554-93</w:t>
            </w:r>
            <w:r>
              <w:rPr>
                <w:rFonts w:ascii="Times New Roman" w:hAnsi="Times New Roman" w:cs="Times New Roman"/>
                <w:color w:val="000000" w:themeColor="text1"/>
                <w14:textFill>
                  <w14:solidFill>
                    <w14:schemeClr w14:val="tx1"/>
                  </w14:solidFill>
                </w14:textFill>
              </w:rPr>
              <w:t>）表1</w:t>
            </w:r>
            <w:bookmarkEnd w:id="54"/>
            <w:r>
              <w:rPr>
                <w:rFonts w:ascii="Times New Roman" w:hAnsi="Times New Roman" w:cs="Times New Roman"/>
                <w:color w:val="000000" w:themeColor="text1"/>
                <w14:textFill>
                  <w14:solidFill>
                    <w14:schemeClr w14:val="tx1"/>
                  </w14:solidFill>
                </w14:textFill>
              </w:rPr>
              <w:t>厂界标准值</w:t>
            </w:r>
          </w:p>
        </w:tc>
        <w:tc>
          <w:tcPr>
            <w:tcW w:w="1134" w:type="dxa"/>
            <w:vAlign w:val="center"/>
          </w:tcPr>
          <w:p w14:paraId="42793D9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403C63EE">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5662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2077CAE">
            <w:pPr>
              <w:pStyle w:val="190"/>
              <w:rPr>
                <w:rFonts w:ascii="Times New Roman" w:hAnsi="Times New Roman" w:cs="Times New Roman"/>
                <w:color w:val="000000" w:themeColor="text1"/>
                <w:szCs w:val="22"/>
                <w14:textFill>
                  <w14:solidFill>
                    <w14:schemeClr w14:val="tx1"/>
                  </w14:solidFill>
                </w14:textFill>
              </w:rPr>
            </w:pPr>
          </w:p>
        </w:tc>
        <w:tc>
          <w:tcPr>
            <w:tcW w:w="3119" w:type="dxa"/>
            <w:gridSpan w:val="2"/>
            <w:vMerge w:val="continue"/>
            <w:vAlign w:val="center"/>
          </w:tcPr>
          <w:p w14:paraId="4446E186">
            <w:pPr>
              <w:pStyle w:val="190"/>
              <w:rPr>
                <w:rFonts w:ascii="Times New Roman" w:hAnsi="Times New Roman" w:cs="Times New Roman"/>
                <w:color w:val="000000" w:themeColor="text1"/>
                <w14:textFill>
                  <w14:solidFill>
                    <w14:schemeClr w14:val="tx1"/>
                  </w14:solidFill>
                </w14:textFill>
              </w:rPr>
            </w:pPr>
          </w:p>
        </w:tc>
        <w:tc>
          <w:tcPr>
            <w:tcW w:w="1275" w:type="dxa"/>
            <w:vAlign w:val="center"/>
          </w:tcPr>
          <w:p w14:paraId="6E46A200">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氨</w:t>
            </w:r>
          </w:p>
        </w:tc>
        <w:tc>
          <w:tcPr>
            <w:tcW w:w="1560" w:type="dxa"/>
            <w:vAlign w:val="center"/>
          </w:tcPr>
          <w:p w14:paraId="26C1CF6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1559" w:type="dxa"/>
            <w:vAlign w:val="center"/>
          </w:tcPr>
          <w:p w14:paraId="743EE142">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2B549352">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66A46B75">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0.75</w:t>
            </w:r>
          </w:p>
        </w:tc>
        <w:tc>
          <w:tcPr>
            <w:tcW w:w="2127" w:type="dxa"/>
            <w:vAlign w:val="center"/>
          </w:tcPr>
          <w:p w14:paraId="4CBB49F6">
            <w:pPr>
              <w:pStyle w:val="557"/>
            </w:pPr>
            <w:r>
              <w:rPr>
                <w:rFonts w:hint="eastAsia"/>
              </w:rPr>
              <w:t>《重污染天气重点行业应急减排措施制定技术指南（</w:t>
            </w:r>
            <w:r>
              <w:t>2020</w:t>
            </w:r>
            <w:r>
              <w:rPr>
                <w:rFonts w:hint="eastAsia"/>
              </w:rPr>
              <w:t>年修订版）》煤制氮肥行业</w:t>
            </w:r>
          </w:p>
          <w:p w14:paraId="48112FC5">
            <w:pPr>
              <w:pStyle w:val="19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级企业</w:t>
            </w:r>
          </w:p>
        </w:tc>
      </w:tr>
      <w:tr w14:paraId="7F07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7B249A4">
            <w:pPr>
              <w:pStyle w:val="190"/>
              <w:rPr>
                <w:rFonts w:ascii="Times New Roman" w:hAnsi="Times New Roman" w:cs="Times New Roman"/>
                <w:color w:val="000000" w:themeColor="text1"/>
                <w:szCs w:val="22"/>
                <w14:textFill>
                  <w14:solidFill>
                    <w14:schemeClr w14:val="tx1"/>
                  </w14:solidFill>
                </w14:textFill>
              </w:rPr>
            </w:pPr>
          </w:p>
        </w:tc>
        <w:tc>
          <w:tcPr>
            <w:tcW w:w="3119" w:type="dxa"/>
            <w:gridSpan w:val="2"/>
            <w:vMerge w:val="restart"/>
            <w:vAlign w:val="center"/>
          </w:tcPr>
          <w:p w14:paraId="2DBFCEF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厂内</w:t>
            </w:r>
          </w:p>
        </w:tc>
        <w:tc>
          <w:tcPr>
            <w:tcW w:w="1275" w:type="dxa"/>
            <w:vMerge w:val="restart"/>
            <w:vAlign w:val="center"/>
          </w:tcPr>
          <w:p w14:paraId="327421B7">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VOC</w:t>
            </w:r>
            <w:r>
              <w:rPr>
                <w:rFonts w:ascii="Times New Roman" w:hAnsi="Times New Roman" w:cs="Times New Roman"/>
                <w:color w:val="000000" w:themeColor="text1"/>
                <w:vertAlign w:val="subscript"/>
                <w14:textFill>
                  <w14:solidFill>
                    <w14:schemeClr w14:val="tx1"/>
                  </w14:solidFill>
                </w14:textFill>
              </w:rPr>
              <w:t>S</w:t>
            </w:r>
          </w:p>
        </w:tc>
        <w:tc>
          <w:tcPr>
            <w:tcW w:w="1560" w:type="dxa"/>
            <w:vAlign w:val="center"/>
          </w:tcPr>
          <w:p w14:paraId="2C3E3B9A">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10（监控点处1h平均浓度）</w:t>
            </w:r>
          </w:p>
        </w:tc>
        <w:tc>
          <w:tcPr>
            <w:tcW w:w="1559" w:type="dxa"/>
            <w:vAlign w:val="center"/>
          </w:tcPr>
          <w:p w14:paraId="6A815FC7">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restart"/>
            <w:vAlign w:val="center"/>
          </w:tcPr>
          <w:p w14:paraId="00445786">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《挥发性有机物无组织排放控制标准》（GB37822-2019）</w:t>
            </w:r>
          </w:p>
        </w:tc>
        <w:tc>
          <w:tcPr>
            <w:tcW w:w="1134" w:type="dxa"/>
            <w:vAlign w:val="center"/>
          </w:tcPr>
          <w:p w14:paraId="58DE5751">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64C89BA3">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14:paraId="0F9E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302D283">
            <w:pPr>
              <w:pStyle w:val="190"/>
              <w:rPr>
                <w:rFonts w:ascii="Times New Roman" w:hAnsi="Times New Roman" w:cs="Times New Roman"/>
                <w:color w:val="000000" w:themeColor="text1"/>
                <w:szCs w:val="22"/>
                <w14:textFill>
                  <w14:solidFill>
                    <w14:schemeClr w14:val="tx1"/>
                  </w14:solidFill>
                </w14:textFill>
              </w:rPr>
            </w:pPr>
          </w:p>
        </w:tc>
        <w:tc>
          <w:tcPr>
            <w:tcW w:w="3119" w:type="dxa"/>
            <w:gridSpan w:val="2"/>
            <w:vMerge w:val="continue"/>
            <w:vAlign w:val="center"/>
          </w:tcPr>
          <w:p w14:paraId="7E52D935">
            <w:pPr>
              <w:pStyle w:val="190"/>
              <w:rPr>
                <w:rFonts w:ascii="Times New Roman" w:hAnsi="Times New Roman" w:cs="Times New Roman"/>
                <w:color w:val="000000" w:themeColor="text1"/>
                <w14:textFill>
                  <w14:solidFill>
                    <w14:schemeClr w14:val="tx1"/>
                  </w14:solidFill>
                </w14:textFill>
              </w:rPr>
            </w:pPr>
          </w:p>
        </w:tc>
        <w:tc>
          <w:tcPr>
            <w:tcW w:w="1275" w:type="dxa"/>
            <w:vMerge w:val="continue"/>
            <w:vAlign w:val="center"/>
          </w:tcPr>
          <w:p w14:paraId="4B63BC7E">
            <w:pPr>
              <w:pStyle w:val="190"/>
              <w:rPr>
                <w:rFonts w:ascii="Times New Roman" w:hAnsi="Times New Roman" w:cs="Times New Roman"/>
                <w:color w:val="000000" w:themeColor="text1"/>
                <w14:textFill>
                  <w14:solidFill>
                    <w14:schemeClr w14:val="tx1"/>
                  </w14:solidFill>
                </w14:textFill>
              </w:rPr>
            </w:pPr>
          </w:p>
        </w:tc>
        <w:tc>
          <w:tcPr>
            <w:tcW w:w="1560" w:type="dxa"/>
            <w:vAlign w:val="center"/>
          </w:tcPr>
          <w:p w14:paraId="4C42F987">
            <w:pPr>
              <w:pStyle w:val="19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30（监控点处任意一次浓度值）</w:t>
            </w:r>
          </w:p>
        </w:tc>
        <w:tc>
          <w:tcPr>
            <w:tcW w:w="1559" w:type="dxa"/>
            <w:vAlign w:val="center"/>
          </w:tcPr>
          <w:p w14:paraId="406B7C05">
            <w:pPr>
              <w:pStyle w:val="19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w:t>
            </w:r>
          </w:p>
        </w:tc>
        <w:tc>
          <w:tcPr>
            <w:tcW w:w="2551" w:type="dxa"/>
            <w:vMerge w:val="continue"/>
            <w:vAlign w:val="center"/>
          </w:tcPr>
          <w:p w14:paraId="7681ACB2">
            <w:pPr>
              <w:pStyle w:val="190"/>
              <w:rPr>
                <w:rFonts w:ascii="Times New Roman" w:hAnsi="Times New Roman" w:cs="Times New Roman"/>
                <w:color w:val="000000" w:themeColor="text1"/>
                <w14:textFill>
                  <w14:solidFill>
                    <w14:schemeClr w14:val="tx1"/>
                  </w14:solidFill>
                </w14:textFill>
              </w:rPr>
            </w:pPr>
          </w:p>
        </w:tc>
        <w:tc>
          <w:tcPr>
            <w:tcW w:w="1134" w:type="dxa"/>
            <w:vAlign w:val="center"/>
          </w:tcPr>
          <w:p w14:paraId="67CB238B">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2127" w:type="dxa"/>
            <w:vAlign w:val="center"/>
          </w:tcPr>
          <w:p w14:paraId="771F8780">
            <w:pPr>
              <w:pStyle w:val="19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bookmarkEnd w:id="52"/>
    </w:tbl>
    <w:p w14:paraId="41E239B1">
      <w:pPr>
        <w:pStyle w:val="91"/>
        <w:spacing w:line="360" w:lineRule="auto"/>
        <w:ind w:firstLine="482"/>
        <w:jc w:val="center"/>
        <w:rPr>
          <w:rFonts w:hint="eastAsia" w:ascii="黑体" w:hAnsi="黑体" w:eastAsia="黑体"/>
          <w:b/>
          <w:bCs/>
          <w:color w:val="FF0000"/>
          <w:sz w:val="24"/>
        </w:rPr>
      </w:pPr>
    </w:p>
    <w:p w14:paraId="1ECC027C">
      <w:pPr>
        <w:pStyle w:val="91"/>
        <w:spacing w:line="360" w:lineRule="auto"/>
        <w:ind w:firstLine="482"/>
        <w:jc w:val="center"/>
        <w:rPr>
          <w:rFonts w:hint="eastAsia" w:ascii="黑体" w:hAnsi="黑体" w:eastAsia="黑体"/>
          <w:b/>
          <w:bCs/>
          <w:color w:val="FF0000"/>
          <w:sz w:val="24"/>
        </w:rPr>
        <w:sectPr>
          <w:pgSz w:w="16838" w:h="11906" w:orient="landscape"/>
          <w:pgMar w:top="1800" w:right="1440" w:bottom="1800" w:left="1440" w:header="851" w:footer="850" w:gutter="0"/>
          <w:cols w:space="425" w:num="1"/>
          <w:docGrid w:type="lines" w:linePitch="326" w:charSpace="0"/>
        </w:sectPr>
      </w:pPr>
    </w:p>
    <w:p w14:paraId="138817F5">
      <w:pPr>
        <w:pStyle w:val="3"/>
        <w:rPr>
          <w:rFonts w:hint="eastAsia"/>
          <w:color w:val="000000" w:themeColor="text1"/>
          <w14:textFill>
            <w14:solidFill>
              <w14:schemeClr w14:val="tx1"/>
            </w14:solidFill>
          </w14:textFill>
        </w:rPr>
      </w:pPr>
      <w:bookmarkStart w:id="55" w:name="_Toc27052"/>
      <w:r>
        <w:rPr>
          <w:color w:val="000000" w:themeColor="text1"/>
          <w14:textFill>
            <w14:solidFill>
              <w14:schemeClr w14:val="tx1"/>
            </w14:solidFill>
          </w14:textFill>
        </w:rPr>
        <w:t>评价工作等级</w:t>
      </w:r>
      <w:bookmarkEnd w:id="55"/>
    </w:p>
    <w:p w14:paraId="670BBB5D">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大气环境</w:t>
      </w:r>
    </w:p>
    <w:p w14:paraId="481FC2D0">
      <w:pPr>
        <w:pStyle w:val="98"/>
        <w:rPr>
          <w:rFonts w:hint="eastAsia"/>
          <w:snapToGrid w:val="0"/>
        </w:rPr>
      </w:pPr>
      <w:r>
        <w:t>判定依据</w:t>
      </w:r>
    </w:p>
    <w:p w14:paraId="05819236">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根据项目特点和污染特征以及周围环境状况，采用《环境影响评价技术导则大气环境》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中5.3“评价等级判定”规定的方法核算，计算公式及评价工作级别表如下：</w:t>
      </w:r>
    </w:p>
    <w:p w14:paraId="56D2E3A1">
      <w:pPr>
        <w:pStyle w:val="251"/>
        <w:snapToGrid w:val="0"/>
        <w:spacing w:line="360" w:lineRule="auto"/>
        <w:ind w:firstLine="620" w:firstLineChars="25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025" o:spt="75" type="#_x0000_t75" style="height:31.95pt;width:80.1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p>
    <w:p w14:paraId="7373724C">
      <w:pPr>
        <w:pStyle w:val="251"/>
        <w:snapToGrid w:val="0"/>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式中：P</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——第i个污染物的最大地面空气质量浓度占标率，%；</w:t>
      </w:r>
    </w:p>
    <w:p w14:paraId="2EF4D382">
      <w:pPr>
        <w:pStyle w:val="251"/>
        <w:snapToGrid w:val="0"/>
        <w:spacing w:line="360" w:lineRule="auto"/>
        <w:ind w:firstLine="744" w:firstLineChars="3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——采用估算模型计算出的第i个污染物的最大1h地面空气质量浓度，μg/m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w:t>
      </w:r>
    </w:p>
    <w:p w14:paraId="0162EC7C">
      <w:pPr>
        <w:pStyle w:val="251"/>
        <w:snapToGrid w:val="0"/>
        <w:spacing w:line="360" w:lineRule="auto"/>
        <w:ind w:firstLine="744" w:firstLineChars="3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w:t>
      </w:r>
      <w:r>
        <w:rPr>
          <w:rFonts w:ascii="Times New Roman" w:hAnsi="Times New Roman"/>
          <w:color w:val="000000" w:themeColor="text1"/>
          <w:vertAlign w:val="subscript"/>
          <w14:textFill>
            <w14:solidFill>
              <w14:schemeClr w14:val="tx1"/>
            </w14:solidFill>
          </w14:textFill>
        </w:rPr>
        <w:t>oi</w:t>
      </w:r>
      <w:r>
        <w:rPr>
          <w:rFonts w:ascii="Times New Roman" w:hAnsi="Times New Roman"/>
          <w:color w:val="000000" w:themeColor="text1"/>
          <w14:textFill>
            <w14:solidFill>
              <w14:schemeClr w14:val="tx1"/>
            </w14:solidFill>
          </w14:textFill>
        </w:rPr>
        <w:t>——第i个污染物环境空气质量标准，μg/m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，一般选用GB3095中1h平均质量浓度的二级浓度限值。</w:t>
      </w:r>
    </w:p>
    <w:p w14:paraId="4B1704BF">
      <w:pPr>
        <w:pStyle w:val="161"/>
        <w:rPr>
          <w:rFonts w:hint="eastAsia"/>
          <w:color w:val="000000" w:themeColor="text1"/>
          <w14:textFill>
            <w14:solidFill>
              <w14:schemeClr w14:val="tx1"/>
            </w14:solidFill>
          </w14:textFill>
        </w:rPr>
      </w:pPr>
      <w:r>
        <w:rPr>
          <w:color w:val="000000" w:themeColor="text1"/>
          <w14:textFill>
            <w14:solidFill>
              <w14:schemeClr w14:val="tx1"/>
            </w14:solidFill>
          </w14:textFill>
        </w:rPr>
        <w:t>表2.6.1-1    评价工作等级判别表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67"/>
        <w:gridCol w:w="5938"/>
      </w:tblGrid>
      <w:tr w14:paraId="5737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74" w:type="dxa"/>
            <w:vAlign w:val="center"/>
          </w:tcPr>
          <w:p w14:paraId="4D1DF9F7">
            <w:pPr>
              <w:pStyle w:val="187"/>
              <w:spacing w:line="240" w:lineRule="auto"/>
              <w:rPr>
                <w:rFonts w:ascii="Times New Roman" w:hAnsi="Times New Roman" w:cs="Times New Roman"/>
                <w:color w:val="000000" w:themeColor="text1"/>
                <w:kern w:val="2"/>
                <w:sz w:val="18"/>
                <w:szCs w:val="18"/>
                <w14:textFill>
                  <w14:solidFill>
                    <w14:schemeClr w14:val="tx1"/>
                  </w14:solidFill>
                </w14:textFill>
              </w:rPr>
            </w:pPr>
            <w:r>
              <w:rPr>
                <w:rFonts w:ascii="Times New Roman" w:hAnsi="Times New Roman" w:cs="Times New Roman"/>
                <w:color w:val="000000" w:themeColor="text1"/>
                <w:kern w:val="2"/>
                <w:sz w:val="18"/>
                <w:szCs w:val="18"/>
                <w14:textFill>
                  <w14:solidFill>
                    <w14:schemeClr w14:val="tx1"/>
                  </w14:solidFill>
                </w14:textFill>
              </w:rPr>
              <w:t>评价工作等级</w:t>
            </w:r>
          </w:p>
        </w:tc>
        <w:tc>
          <w:tcPr>
            <w:tcW w:w="5954" w:type="dxa"/>
            <w:vAlign w:val="center"/>
          </w:tcPr>
          <w:p w14:paraId="120B5139">
            <w:pPr>
              <w:pStyle w:val="187"/>
              <w:spacing w:line="240" w:lineRule="auto"/>
              <w:rPr>
                <w:rFonts w:ascii="Times New Roman" w:hAnsi="Times New Roman" w:cs="Times New Roman"/>
                <w:color w:val="000000" w:themeColor="text1"/>
                <w:kern w:val="2"/>
                <w:sz w:val="18"/>
                <w:szCs w:val="18"/>
                <w14:textFill>
                  <w14:solidFill>
                    <w14:schemeClr w14:val="tx1"/>
                  </w14:solidFill>
                </w14:textFill>
              </w:rPr>
            </w:pPr>
            <w:r>
              <w:rPr>
                <w:rFonts w:ascii="Times New Roman" w:hAnsi="Times New Roman" w:cs="Times New Roman"/>
                <w:color w:val="000000" w:themeColor="text1"/>
                <w:kern w:val="2"/>
                <w:sz w:val="18"/>
                <w:szCs w:val="18"/>
                <w14:textFill>
                  <w14:solidFill>
                    <w14:schemeClr w14:val="tx1"/>
                  </w14:solidFill>
                </w14:textFill>
              </w:rPr>
              <w:t>评价工作分级判据</w:t>
            </w:r>
          </w:p>
        </w:tc>
      </w:tr>
      <w:tr w14:paraId="3DBC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74" w:type="dxa"/>
            <w:vAlign w:val="center"/>
          </w:tcPr>
          <w:p w14:paraId="10A8B97A">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一级</w:t>
            </w:r>
          </w:p>
        </w:tc>
        <w:tc>
          <w:tcPr>
            <w:tcW w:w="5954" w:type="dxa"/>
            <w:vAlign w:val="center"/>
          </w:tcPr>
          <w:p w14:paraId="33E044CE">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w:t>
            </w:r>
            <w:r>
              <w:rPr>
                <w:rFonts w:ascii="Times New Roman" w:hAnsi="Times New Roman" w:cs="Times New Roman"/>
                <w:color w:val="000000" w:themeColor="text1"/>
                <w:sz w:val="18"/>
                <w:szCs w:val="18"/>
                <w:vertAlign w:val="subscript"/>
                <w14:textFill>
                  <w14:solidFill>
                    <w14:schemeClr w14:val="tx1"/>
                  </w14:solidFill>
                </w14:textFill>
              </w:rPr>
              <w:t>max</w:t>
            </w:r>
            <w:r>
              <w:rPr>
                <w:rFonts w:ascii="Times New Roman" w:hAnsi="Times New Roman" w:cs="Times New Roman"/>
                <w:color w:val="000000" w:themeColor="text1"/>
                <w:sz w:val="18"/>
                <w:szCs w:val="18"/>
                <w14:textFill>
                  <w14:solidFill>
                    <w14:schemeClr w14:val="tx1"/>
                  </w14:solidFill>
                </w14:textFill>
              </w:rPr>
              <w:t>≥10%</w:t>
            </w:r>
          </w:p>
        </w:tc>
      </w:tr>
      <w:tr w14:paraId="373E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74" w:type="dxa"/>
            <w:vAlign w:val="center"/>
          </w:tcPr>
          <w:p w14:paraId="7C85E9D9">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二级</w:t>
            </w:r>
          </w:p>
        </w:tc>
        <w:tc>
          <w:tcPr>
            <w:tcW w:w="5954" w:type="dxa"/>
            <w:vAlign w:val="center"/>
          </w:tcPr>
          <w:p w14:paraId="386935B9">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1%≤P</w:t>
            </w:r>
            <w:r>
              <w:rPr>
                <w:rFonts w:ascii="Times New Roman" w:hAnsi="Times New Roman" w:cs="Times New Roman"/>
                <w:color w:val="000000" w:themeColor="text1"/>
                <w:sz w:val="18"/>
                <w:szCs w:val="18"/>
                <w:vertAlign w:val="subscript"/>
                <w14:textFill>
                  <w14:solidFill>
                    <w14:schemeClr w14:val="tx1"/>
                  </w14:solidFill>
                </w14:textFill>
              </w:rPr>
              <w:t>max</w:t>
            </w:r>
            <w:r>
              <w:rPr>
                <w:rFonts w:hint="eastAsia" w:ascii="Times New Roman" w:hAnsi="Times New Roman" w:cs="Times New Roman"/>
                <w:color w:val="000000" w:themeColor="text1"/>
                <w:sz w:val="18"/>
                <w:szCs w:val="18"/>
                <w14:textFill>
                  <w14:solidFill>
                    <w14:schemeClr w14:val="tx1"/>
                  </w14:solidFill>
                </w14:textFill>
              </w:rPr>
              <w:t>&lt;</w:t>
            </w:r>
            <w:r>
              <w:rPr>
                <w:rFonts w:ascii="Times New Roman" w:hAnsi="Times New Roman" w:cs="Times New Roman"/>
                <w:color w:val="000000" w:themeColor="text1"/>
                <w:sz w:val="18"/>
                <w:szCs w:val="18"/>
                <w14:textFill>
                  <w14:solidFill>
                    <w14:schemeClr w14:val="tx1"/>
                  </w14:solidFill>
                </w14:textFill>
              </w:rPr>
              <w:t>10%其他</w:t>
            </w:r>
          </w:p>
        </w:tc>
      </w:tr>
      <w:tr w14:paraId="2908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74" w:type="dxa"/>
            <w:vAlign w:val="center"/>
          </w:tcPr>
          <w:p w14:paraId="011199C2">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三级</w:t>
            </w:r>
          </w:p>
        </w:tc>
        <w:tc>
          <w:tcPr>
            <w:tcW w:w="5954" w:type="dxa"/>
            <w:vAlign w:val="center"/>
          </w:tcPr>
          <w:p w14:paraId="1B445F4D">
            <w:pPr>
              <w:jc w:val="center"/>
              <w:textAlignment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w:t>
            </w:r>
            <w:r>
              <w:rPr>
                <w:rFonts w:ascii="Times New Roman" w:hAnsi="Times New Roman" w:cs="Times New Roman"/>
                <w:color w:val="000000" w:themeColor="text1"/>
                <w:sz w:val="18"/>
                <w:szCs w:val="18"/>
                <w:vertAlign w:val="subscript"/>
                <w14:textFill>
                  <w14:solidFill>
                    <w14:schemeClr w14:val="tx1"/>
                  </w14:solidFill>
                </w14:textFill>
              </w:rPr>
              <w:t>max</w:t>
            </w:r>
            <w:r>
              <w:rPr>
                <w:rFonts w:hint="eastAsia" w:ascii="Times New Roman" w:hAnsi="Times New Roman" w:cs="Times New Roman"/>
                <w:color w:val="000000" w:themeColor="text1"/>
                <w:sz w:val="18"/>
                <w:szCs w:val="18"/>
                <w14:textFill>
                  <w14:solidFill>
                    <w14:schemeClr w14:val="tx1"/>
                  </w14:solidFill>
                </w14:textFill>
              </w:rPr>
              <w:t>&lt;</w:t>
            </w:r>
            <w:r>
              <w:rPr>
                <w:rFonts w:ascii="Times New Roman" w:hAnsi="Times New Roman" w:cs="Times New Roman"/>
                <w:color w:val="000000" w:themeColor="text1"/>
                <w:sz w:val="18"/>
                <w:szCs w:val="18"/>
                <w14:textFill>
                  <w14:solidFill>
                    <w14:schemeClr w14:val="tx1"/>
                  </w14:solidFill>
                </w14:textFill>
              </w:rPr>
              <w:t>1%</w:t>
            </w:r>
          </w:p>
        </w:tc>
      </w:tr>
    </w:tbl>
    <w:p w14:paraId="51A6239C">
      <w:pPr>
        <w:pStyle w:val="98"/>
        <w:rPr>
          <w:rFonts w:hint="eastAsia"/>
        </w:rPr>
      </w:pPr>
      <w:r>
        <w:t>判别估算过程</w:t>
      </w:r>
    </w:p>
    <w:p w14:paraId="6DB10A46">
      <w:pPr>
        <w:pStyle w:val="281"/>
        <w:ind w:firstLine="480"/>
        <w:rPr>
          <w:color w:val="000000" w:themeColor="text1"/>
          <w:u w:color="000000"/>
          <w14:textFill>
            <w14:solidFill>
              <w14:schemeClr w14:val="tx1"/>
            </w14:solidFill>
          </w14:textFill>
        </w:rPr>
      </w:pPr>
      <w:r>
        <w:rPr>
          <w:color w:val="000000" w:themeColor="text1"/>
          <w:szCs w:val="24"/>
          <w14:textFill>
            <w14:solidFill>
              <w14:schemeClr w14:val="tx1"/>
            </w14:solidFill>
          </w14:textFill>
        </w:rPr>
        <w:t>本项目废气污染源主要包括</w:t>
      </w:r>
      <w:r>
        <w:rPr>
          <w:rFonts w:hint="eastAsia"/>
          <w:color w:val="000000" w:themeColor="text1"/>
          <w:u w:color="000000"/>
          <w14:textFill>
            <w14:solidFill>
              <w14:schemeClr w14:val="tx1"/>
            </w14:solidFill>
          </w14:textFill>
        </w:rPr>
        <w:t>原料煤仓废气、磨煤干燥废气、粉煤锁斗排气、真空泵排气、低温甲醇洗尾气、硫回收制酸尾气、草酰胺装置尾气吸收塔顶排气、有机缓释肥装置-1#投料废气、2#投料废气、1#-造粒废气、1#包装废气、1#-烘干废气、2#-造粒废气、2#包装废气、2#-烘干废气、1#冷却废气、2#冷却废气、有机缓释肥装置加热炉废气、污水处理站（有组织排放）、1#燃气锅炉烟气、2#燃气锅炉烟气、筛分破碎废气、1#转运站废气、2#转运站废气、气化装置无组织排放废气、低温甲醇洗单元无组织排放、深冷分离单元无组织排放、硫回收单元无组织排放、合成氨装置无组织排放、DMO装置无组织废气、草酰胺装置无组织排放、污水处理站（无组织排放）、循环水场、空分装置循环水站、综合罐组无组织废气、亚硝酸甲酯罐组、中间产品罐组、汽车装卸站、煤棚无组织废气</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产生的主要污</w:t>
      </w:r>
      <w:r>
        <w:rPr>
          <w:color w:val="000000" w:themeColor="text1"/>
          <w:szCs w:val="24"/>
          <w14:textFill>
            <w14:solidFill>
              <w14:schemeClr w14:val="tx1"/>
            </w14:solidFill>
          </w14:textFill>
        </w:rPr>
        <w:t>染物有SO</w:t>
      </w:r>
      <w:r>
        <w:rPr>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NO</w:t>
      </w:r>
      <w:r>
        <w:rPr>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PM</w:t>
      </w:r>
      <w:r>
        <w:rPr>
          <w:color w:val="000000" w:themeColor="text1"/>
          <w:szCs w:val="24"/>
          <w:vertAlign w:val="subscript"/>
          <w14:textFill>
            <w14:solidFill>
              <w14:schemeClr w14:val="tx1"/>
            </w14:solidFill>
          </w14:textFill>
        </w:rPr>
        <w:t>10</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PM</w:t>
      </w:r>
      <w:r>
        <w:rPr>
          <w:color w:val="000000" w:themeColor="text1"/>
          <w:szCs w:val="24"/>
          <w:vertAlign w:val="subscript"/>
          <w14:textFill>
            <w14:solidFill>
              <w14:schemeClr w14:val="tx1"/>
            </w14:solidFill>
          </w14:textFill>
        </w:rPr>
        <w:t>2.5</w:t>
      </w:r>
      <w:r>
        <w:rPr>
          <w:rFonts w:hint="eastAsia"/>
          <w:color w:val="000000" w:themeColor="text1"/>
          <w:szCs w:val="24"/>
          <w14:textFill>
            <w14:solidFill>
              <w14:schemeClr w14:val="tx1"/>
            </w14:solidFill>
          </w14:textFill>
        </w:rPr>
        <w:t>、非甲烷总烃、</w:t>
      </w:r>
      <w:r>
        <w:rPr>
          <w:color w:val="000000" w:themeColor="text1"/>
          <w:szCs w:val="24"/>
          <w14:textFill>
            <w14:solidFill>
              <w14:schemeClr w14:val="tx1"/>
            </w14:solidFill>
          </w14:textFill>
        </w:rPr>
        <w:t>NH</w:t>
      </w:r>
      <w:r>
        <w:rPr>
          <w:color w:val="000000" w:themeColor="text1"/>
          <w:szCs w:val="24"/>
          <w:vertAlign w:val="subscript"/>
          <w14:textFill>
            <w14:solidFill>
              <w14:schemeClr w14:val="tx1"/>
            </w14:solidFill>
          </w14:textFill>
        </w:rPr>
        <w:t>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H</w:t>
      </w:r>
      <w:r>
        <w:rPr>
          <w:color w:val="000000" w:themeColor="text1"/>
          <w:szCs w:val="24"/>
          <w:vertAlign w:val="subscript"/>
          <w14:textFill>
            <w14:solidFill>
              <w14:schemeClr w14:val="tx1"/>
            </w14:solidFill>
          </w14:textFill>
        </w:rPr>
        <w:t>2</w:t>
      </w:r>
      <w:r>
        <w:rPr>
          <w:color w:val="000000" w:themeColor="text1"/>
          <w:szCs w:val="24"/>
          <w14:textFill>
            <w14:solidFill>
              <w14:schemeClr w14:val="tx1"/>
            </w14:solidFill>
          </w14:textFill>
        </w:rPr>
        <w:t>S</w:t>
      </w:r>
      <w:r>
        <w:rPr>
          <w:rFonts w:hint="eastAsia"/>
          <w:color w:val="000000" w:themeColor="text1"/>
          <w:szCs w:val="24"/>
          <w14:textFill>
            <w14:solidFill>
              <w14:schemeClr w14:val="tx1"/>
            </w14:solidFill>
          </w14:textFill>
        </w:rPr>
        <w:t>、甲醇、硫酸</w:t>
      </w:r>
      <w:r>
        <w:rPr>
          <w:color w:val="000000" w:themeColor="text1"/>
          <w:szCs w:val="24"/>
          <w14:textFill>
            <w14:solidFill>
              <w14:schemeClr w14:val="tx1"/>
            </w14:solidFill>
          </w14:textFill>
        </w:rPr>
        <w:t>等，</w:t>
      </w:r>
      <w:r>
        <w:rPr>
          <w:rFonts w:hint="eastAsia"/>
          <w:color w:val="000000" w:themeColor="text1"/>
          <w:szCs w:val="24"/>
          <w14:textFill>
            <w14:solidFill>
              <w14:schemeClr w14:val="tx1"/>
            </w14:solidFill>
          </w14:textFill>
        </w:rPr>
        <w:t>估算模型参数设定见表</w:t>
      </w:r>
      <w:r>
        <w:rPr>
          <w:color w:val="000000" w:themeColor="text1"/>
          <w:szCs w:val="24"/>
          <w14:textFill>
            <w14:solidFill>
              <w14:schemeClr w14:val="tx1"/>
            </w14:solidFill>
          </w14:textFill>
        </w:rPr>
        <w:t>2.6.1-2</w:t>
      </w:r>
      <w:r>
        <w:rPr>
          <w:rFonts w:hint="eastAsia"/>
          <w:color w:val="000000" w:themeColor="text1"/>
          <w:szCs w:val="24"/>
          <w14:textFill>
            <w14:solidFill>
              <w14:schemeClr w14:val="tx1"/>
            </w14:solidFill>
          </w14:textFill>
        </w:rPr>
        <w:t>。</w:t>
      </w:r>
    </w:p>
    <w:p w14:paraId="3BE4057C">
      <w:pPr>
        <w:pStyle w:val="161"/>
        <w:rPr>
          <w:rFonts w:hint="eastAsia"/>
          <w:color w:val="000000" w:themeColor="text1"/>
          <w14:textFill>
            <w14:solidFill>
              <w14:schemeClr w14:val="tx1"/>
            </w14:solidFill>
          </w14:textFill>
        </w:rPr>
      </w:pPr>
      <w:r>
        <w:rPr>
          <w:color w:val="000000" w:themeColor="text1"/>
          <w14:textFill>
            <w14:solidFill>
              <w14:schemeClr w14:val="tx1"/>
            </w14:solidFill>
          </w14:textFill>
        </w:rPr>
        <w:t>表2.6.1-2    估算模型参数表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28" w:type="dxa"/>
          <w:bottom w:w="0" w:type="dxa"/>
          <w:right w:w="28" w:type="dxa"/>
        </w:tblCellMar>
      </w:tblPr>
      <w:tblGrid>
        <w:gridCol w:w="2836"/>
        <w:gridCol w:w="2977"/>
        <w:gridCol w:w="2692"/>
      </w:tblGrid>
      <w:tr w14:paraId="4261E6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715" w:type="dxa"/>
            <w:gridSpan w:val="2"/>
            <w:vAlign w:val="center"/>
          </w:tcPr>
          <w:p w14:paraId="35B328CF">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参数</w:t>
            </w:r>
          </w:p>
        </w:tc>
        <w:tc>
          <w:tcPr>
            <w:tcW w:w="2647" w:type="dxa"/>
            <w:vAlign w:val="center"/>
          </w:tcPr>
          <w:p w14:paraId="353160F8">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取值</w:t>
            </w:r>
          </w:p>
        </w:tc>
      </w:tr>
      <w:tr w14:paraId="0E3485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restart"/>
            <w:vAlign w:val="center"/>
          </w:tcPr>
          <w:p w14:paraId="40DF5495">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城市/农村选项</w:t>
            </w:r>
          </w:p>
        </w:tc>
        <w:tc>
          <w:tcPr>
            <w:tcW w:w="2927" w:type="dxa"/>
            <w:vAlign w:val="center"/>
          </w:tcPr>
          <w:p w14:paraId="52BCAE5F">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城市/农村</w:t>
            </w:r>
          </w:p>
        </w:tc>
        <w:tc>
          <w:tcPr>
            <w:tcW w:w="2647" w:type="dxa"/>
            <w:vAlign w:val="center"/>
          </w:tcPr>
          <w:p w14:paraId="2B7A4EFA">
            <w:pPr>
              <w:pStyle w:val="590"/>
              <w:spacing w:line="240" w:lineRule="auto"/>
              <w:rPr>
                <w:color w:val="000000" w:themeColor="text1"/>
                <w:kern w:val="2"/>
                <w:sz w:val="18"/>
                <w:szCs w:val="18"/>
                <w14:textFill>
                  <w14:solidFill>
                    <w14:schemeClr w14:val="tx1"/>
                  </w14:solidFill>
                </w14:textFill>
              </w:rPr>
            </w:pPr>
            <w:r>
              <w:rPr>
                <w:rFonts w:hint="eastAsia"/>
                <w:color w:val="000000" w:themeColor="text1"/>
                <w:kern w:val="2"/>
                <w:sz w:val="18"/>
                <w:szCs w:val="18"/>
                <w14:textFill>
                  <w14:solidFill>
                    <w14:schemeClr w14:val="tx1"/>
                  </w14:solidFill>
                </w14:textFill>
              </w:rPr>
              <w:t>城市</w:t>
            </w:r>
          </w:p>
        </w:tc>
      </w:tr>
      <w:tr w14:paraId="12CDE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continue"/>
            <w:vAlign w:val="center"/>
          </w:tcPr>
          <w:p w14:paraId="0FFF6BB7">
            <w:pPr>
              <w:pStyle w:val="590"/>
              <w:spacing w:line="240" w:lineRule="auto"/>
              <w:rPr>
                <w:color w:val="000000" w:themeColor="text1"/>
                <w:kern w:val="2"/>
                <w:sz w:val="18"/>
                <w:szCs w:val="18"/>
                <w14:textFill>
                  <w14:solidFill>
                    <w14:schemeClr w14:val="tx1"/>
                  </w14:solidFill>
                </w14:textFill>
              </w:rPr>
            </w:pPr>
          </w:p>
        </w:tc>
        <w:tc>
          <w:tcPr>
            <w:tcW w:w="2927" w:type="dxa"/>
            <w:vAlign w:val="center"/>
          </w:tcPr>
          <w:p w14:paraId="54D40074">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人口数（城市选项时）</w:t>
            </w:r>
          </w:p>
        </w:tc>
        <w:tc>
          <w:tcPr>
            <w:tcW w:w="2647" w:type="dxa"/>
            <w:vAlign w:val="center"/>
          </w:tcPr>
          <w:p w14:paraId="64224C16">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w:t>
            </w:r>
          </w:p>
        </w:tc>
      </w:tr>
      <w:tr w14:paraId="3C5E24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715" w:type="dxa"/>
            <w:gridSpan w:val="2"/>
            <w:vAlign w:val="center"/>
          </w:tcPr>
          <w:p w14:paraId="7F65E270">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最高环境温度/℃</w:t>
            </w:r>
          </w:p>
        </w:tc>
        <w:tc>
          <w:tcPr>
            <w:tcW w:w="2647" w:type="dxa"/>
            <w:vAlign w:val="center"/>
          </w:tcPr>
          <w:p w14:paraId="02ACDB1A">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4</w:t>
            </w:r>
            <w:r>
              <w:rPr>
                <w:rFonts w:hint="eastAsia"/>
                <w:color w:val="000000" w:themeColor="text1"/>
                <w:kern w:val="2"/>
                <w:sz w:val="18"/>
                <w:szCs w:val="18"/>
                <w14:textFill>
                  <w14:solidFill>
                    <w14:schemeClr w14:val="tx1"/>
                  </w14:solidFill>
                </w14:textFill>
              </w:rPr>
              <w:t>3.8</w:t>
            </w:r>
          </w:p>
        </w:tc>
      </w:tr>
      <w:tr w14:paraId="62AA90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715" w:type="dxa"/>
            <w:gridSpan w:val="2"/>
            <w:vAlign w:val="center"/>
          </w:tcPr>
          <w:p w14:paraId="0298E123">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最低环境温度/℃</w:t>
            </w:r>
          </w:p>
        </w:tc>
        <w:tc>
          <w:tcPr>
            <w:tcW w:w="2647" w:type="dxa"/>
            <w:vAlign w:val="center"/>
          </w:tcPr>
          <w:p w14:paraId="3E01B5DC">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w:t>
            </w:r>
            <w:r>
              <w:rPr>
                <w:rFonts w:hint="eastAsia"/>
                <w:color w:val="000000" w:themeColor="text1"/>
                <w:kern w:val="2"/>
                <w:sz w:val="18"/>
                <w:szCs w:val="18"/>
                <w14:textFill>
                  <w14:solidFill>
                    <w14:schemeClr w14:val="tx1"/>
                  </w14:solidFill>
                </w14:textFill>
              </w:rPr>
              <w:t>27.2</w:t>
            </w:r>
          </w:p>
        </w:tc>
      </w:tr>
      <w:tr w14:paraId="102CE8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715" w:type="dxa"/>
            <w:gridSpan w:val="2"/>
            <w:vAlign w:val="center"/>
          </w:tcPr>
          <w:p w14:paraId="44882E9E">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土地利用类型</w:t>
            </w:r>
          </w:p>
        </w:tc>
        <w:tc>
          <w:tcPr>
            <w:tcW w:w="2647" w:type="dxa"/>
            <w:vAlign w:val="center"/>
          </w:tcPr>
          <w:p w14:paraId="377149E7">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沙漠化荒地</w:t>
            </w:r>
          </w:p>
        </w:tc>
      </w:tr>
      <w:tr w14:paraId="51B905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5715" w:type="dxa"/>
            <w:gridSpan w:val="2"/>
            <w:vAlign w:val="center"/>
          </w:tcPr>
          <w:p w14:paraId="25F2924B">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区域湿度条件</w:t>
            </w:r>
          </w:p>
        </w:tc>
        <w:tc>
          <w:tcPr>
            <w:tcW w:w="2647" w:type="dxa"/>
            <w:vAlign w:val="center"/>
          </w:tcPr>
          <w:p w14:paraId="65E3080F">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干燥气候</w:t>
            </w:r>
          </w:p>
        </w:tc>
      </w:tr>
      <w:tr w14:paraId="1A7673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restart"/>
            <w:vAlign w:val="center"/>
          </w:tcPr>
          <w:p w14:paraId="42229DAA">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是否考虑地形</w:t>
            </w:r>
          </w:p>
        </w:tc>
        <w:tc>
          <w:tcPr>
            <w:tcW w:w="2927" w:type="dxa"/>
            <w:vAlign w:val="center"/>
          </w:tcPr>
          <w:p w14:paraId="45076D4E">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考虑地形</w:t>
            </w:r>
          </w:p>
        </w:tc>
        <w:tc>
          <w:tcPr>
            <w:tcW w:w="2647" w:type="dxa"/>
            <w:vAlign w:val="center"/>
          </w:tcPr>
          <w:p w14:paraId="48F92E6A">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是</w:t>
            </w:r>
          </w:p>
        </w:tc>
      </w:tr>
      <w:tr w14:paraId="2357C5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continue"/>
            <w:vAlign w:val="center"/>
          </w:tcPr>
          <w:p w14:paraId="4D3E6FCE">
            <w:pPr>
              <w:pStyle w:val="590"/>
              <w:spacing w:line="240" w:lineRule="auto"/>
              <w:rPr>
                <w:color w:val="000000" w:themeColor="text1"/>
                <w:kern w:val="2"/>
                <w:sz w:val="18"/>
                <w:szCs w:val="18"/>
                <w14:textFill>
                  <w14:solidFill>
                    <w14:schemeClr w14:val="tx1"/>
                  </w14:solidFill>
                </w14:textFill>
              </w:rPr>
            </w:pPr>
          </w:p>
        </w:tc>
        <w:tc>
          <w:tcPr>
            <w:tcW w:w="2927" w:type="dxa"/>
            <w:vAlign w:val="center"/>
          </w:tcPr>
          <w:p w14:paraId="6F5411E4">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地形数据分辨率/m</w:t>
            </w:r>
          </w:p>
        </w:tc>
        <w:tc>
          <w:tcPr>
            <w:tcW w:w="2647" w:type="dxa"/>
            <w:vAlign w:val="center"/>
          </w:tcPr>
          <w:p w14:paraId="073F52CA">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90m</w:t>
            </w:r>
          </w:p>
        </w:tc>
      </w:tr>
      <w:tr w14:paraId="2FC3C0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restart"/>
            <w:vAlign w:val="center"/>
          </w:tcPr>
          <w:p w14:paraId="79487EAD">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是否考虑岸线熏烟</w:t>
            </w:r>
          </w:p>
        </w:tc>
        <w:tc>
          <w:tcPr>
            <w:tcW w:w="2927" w:type="dxa"/>
            <w:vAlign w:val="center"/>
          </w:tcPr>
          <w:p w14:paraId="6D30AF73">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考虑岸线熏烟</w:t>
            </w:r>
          </w:p>
        </w:tc>
        <w:tc>
          <w:tcPr>
            <w:tcW w:w="2647" w:type="dxa"/>
            <w:vAlign w:val="center"/>
          </w:tcPr>
          <w:p w14:paraId="7FC7D1AC">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否</w:t>
            </w:r>
          </w:p>
        </w:tc>
      </w:tr>
      <w:tr w14:paraId="073F77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continue"/>
            <w:vAlign w:val="center"/>
          </w:tcPr>
          <w:p w14:paraId="03B422F6">
            <w:pPr>
              <w:pStyle w:val="590"/>
              <w:spacing w:line="240" w:lineRule="auto"/>
              <w:rPr>
                <w:color w:val="000000" w:themeColor="text1"/>
                <w:kern w:val="2"/>
                <w:sz w:val="18"/>
                <w:szCs w:val="18"/>
                <w14:textFill>
                  <w14:solidFill>
                    <w14:schemeClr w14:val="tx1"/>
                  </w14:solidFill>
                </w14:textFill>
              </w:rPr>
            </w:pPr>
          </w:p>
        </w:tc>
        <w:tc>
          <w:tcPr>
            <w:tcW w:w="2927" w:type="dxa"/>
            <w:vAlign w:val="center"/>
          </w:tcPr>
          <w:p w14:paraId="30ADEF91">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岸线距离/km</w:t>
            </w:r>
          </w:p>
        </w:tc>
        <w:tc>
          <w:tcPr>
            <w:tcW w:w="2647" w:type="dxa"/>
            <w:vAlign w:val="center"/>
          </w:tcPr>
          <w:p w14:paraId="1BCC49FF">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w:t>
            </w:r>
          </w:p>
        </w:tc>
      </w:tr>
      <w:tr w14:paraId="27F1C1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2788" w:type="dxa"/>
            <w:vMerge w:val="continue"/>
            <w:vAlign w:val="center"/>
          </w:tcPr>
          <w:p w14:paraId="28DB4E98">
            <w:pPr>
              <w:pStyle w:val="590"/>
              <w:spacing w:line="240" w:lineRule="auto"/>
              <w:rPr>
                <w:color w:val="000000" w:themeColor="text1"/>
                <w:kern w:val="2"/>
                <w:sz w:val="18"/>
                <w:szCs w:val="18"/>
                <w14:textFill>
                  <w14:solidFill>
                    <w14:schemeClr w14:val="tx1"/>
                  </w14:solidFill>
                </w14:textFill>
              </w:rPr>
            </w:pPr>
          </w:p>
        </w:tc>
        <w:tc>
          <w:tcPr>
            <w:tcW w:w="2927" w:type="dxa"/>
            <w:vAlign w:val="center"/>
          </w:tcPr>
          <w:p w14:paraId="0062F14B">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岸线方向/°</w:t>
            </w:r>
          </w:p>
        </w:tc>
        <w:tc>
          <w:tcPr>
            <w:tcW w:w="2647" w:type="dxa"/>
            <w:vAlign w:val="center"/>
          </w:tcPr>
          <w:p w14:paraId="6ECF7614">
            <w:pPr>
              <w:pStyle w:val="590"/>
              <w:spacing w:line="240" w:lineRule="auto"/>
              <w:rPr>
                <w:color w:val="000000" w:themeColor="text1"/>
                <w:kern w:val="2"/>
                <w:sz w:val="18"/>
                <w:szCs w:val="18"/>
                <w14:textFill>
                  <w14:solidFill>
                    <w14:schemeClr w14:val="tx1"/>
                  </w14:solidFill>
                </w14:textFill>
              </w:rPr>
            </w:pPr>
            <w:r>
              <w:rPr>
                <w:color w:val="000000" w:themeColor="text1"/>
                <w:kern w:val="2"/>
                <w:sz w:val="18"/>
                <w:szCs w:val="18"/>
                <w14:textFill>
                  <w14:solidFill>
                    <w14:schemeClr w14:val="tx1"/>
                  </w14:solidFill>
                </w14:textFill>
              </w:rPr>
              <w:t>/</w:t>
            </w:r>
          </w:p>
        </w:tc>
      </w:tr>
    </w:tbl>
    <w:p w14:paraId="0088B5AC">
      <w:pPr>
        <w:pStyle w:val="557"/>
      </w:pPr>
    </w:p>
    <w:p w14:paraId="17AE2AB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本项目主要废气污染源排放参数见表2.6.1-3</w:t>
      </w:r>
      <w:r>
        <w:rPr>
          <w:rFonts w:hint="eastAsia"/>
          <w:color w:val="000000" w:themeColor="text1"/>
          <w14:textFill>
            <w14:solidFill>
              <w14:schemeClr w14:val="tx1"/>
            </w14:solidFill>
          </w14:textFill>
        </w:rPr>
        <w:t>和表</w:t>
      </w:r>
      <w:r>
        <w:rPr>
          <w:color w:val="000000" w:themeColor="text1"/>
          <w14:textFill>
            <w14:solidFill>
              <w14:schemeClr w14:val="tx1"/>
            </w14:solidFill>
          </w14:textFill>
        </w:rPr>
        <w:t>2.6.1-4。</w:t>
      </w:r>
    </w:p>
    <w:p w14:paraId="0FA8FD1B">
      <w:pPr>
        <w:pStyle w:val="281"/>
        <w:ind w:firstLine="480"/>
        <w:rPr>
          <w:color w:val="000000" w:themeColor="text1"/>
          <w:szCs w:val="24"/>
          <w14:textFill>
            <w14:solidFill>
              <w14:schemeClr w14:val="tx1"/>
            </w14:solidFill>
          </w14:textFill>
        </w:rPr>
      </w:pPr>
      <w:r>
        <w:rPr>
          <w:color w:val="000000" w:themeColor="text1"/>
          <w14:textFill>
            <w14:solidFill>
              <w14:schemeClr w14:val="tx1"/>
            </w14:solidFill>
          </w14:textFill>
        </w:rPr>
        <w:t>废气污染物的估算结果见表2.6.1-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p>
    <w:p w14:paraId="6102BF40">
      <w:pPr>
        <w:pStyle w:val="98"/>
        <w:rPr>
          <w:rFonts w:hint="eastAsia"/>
        </w:rPr>
      </w:pPr>
      <w:r>
        <w:t>确定评价等级</w:t>
      </w:r>
    </w:p>
    <w:p w14:paraId="416FD28E">
      <w:pPr>
        <w:pStyle w:val="281"/>
        <w:ind w:firstLine="48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Aerscreen</w:t>
      </w:r>
      <w:r>
        <w:rPr>
          <w:rFonts w:hint="eastAsia"/>
          <w:color w:val="000000" w:themeColor="text1"/>
          <w14:textFill>
            <w14:solidFill>
              <w14:schemeClr w14:val="tx1"/>
            </w14:solidFill>
          </w14:textFill>
        </w:rPr>
        <w:t>模式估算结果，本项目运营期间排放的主要大气污染物中最大地面空气质量浓度占标率（</w:t>
      </w:r>
      <w:r>
        <w:rPr>
          <w:color w:val="000000" w:themeColor="text1"/>
          <w14:textFill>
            <w14:solidFill>
              <w14:schemeClr w14:val="tx1"/>
            </w14:solidFill>
          </w14:textFill>
        </w:rPr>
        <w:t>Pi</w:t>
      </w:r>
      <w:r>
        <w:rPr>
          <w:rFonts w:hint="eastAsia"/>
          <w:color w:val="000000" w:themeColor="text1"/>
          <w14:textFill>
            <w14:solidFill>
              <w14:schemeClr w14:val="tx1"/>
            </w14:solidFill>
          </w14:textFill>
        </w:rPr>
        <w:t>）为</w:t>
      </w:r>
      <w:r>
        <w:rPr>
          <w:rStyle w:val="282"/>
          <w:rFonts w:hint="eastAsia"/>
          <w:color w:val="000000" w:themeColor="text1"/>
          <w14:textFill>
            <w14:solidFill>
              <w14:schemeClr w14:val="tx1"/>
            </w14:solidFill>
          </w14:textFill>
        </w:rPr>
        <w:t>72.83</w:t>
      </w:r>
      <w:r>
        <w:rPr>
          <w:rStyle w:val="282"/>
          <w:color w:val="000000" w:themeColor="text1"/>
          <w14:textFill>
            <w14:solidFill>
              <w14:schemeClr w14:val="tx1"/>
            </w14:solidFill>
          </w14:textFill>
        </w:rPr>
        <w:t>%</w:t>
      </w:r>
      <w:r>
        <w:rPr>
          <w:rStyle w:val="282"/>
          <w:rFonts w:hint="eastAsia"/>
          <w:color w:val="000000" w:themeColor="text1"/>
          <w14:textFill>
            <w14:solidFill>
              <w14:schemeClr w14:val="tx1"/>
            </w14:solidFill>
          </w14:textFill>
        </w:rPr>
        <w:t>＞</w:t>
      </w:r>
      <w:r>
        <w:rPr>
          <w:rStyle w:val="282"/>
          <w:color w:val="000000" w:themeColor="text1"/>
          <w14:textFill>
            <w14:solidFill>
              <w14:schemeClr w14:val="tx1"/>
            </w14:solidFill>
          </w14:textFill>
        </w:rPr>
        <w:t>10%</w:t>
      </w:r>
      <w:r>
        <w:rPr>
          <w:rStyle w:val="282"/>
          <w:rFonts w:hint="eastAsia"/>
          <w:color w:val="000000" w:themeColor="text1"/>
          <w14:textFill>
            <w14:solidFill>
              <w14:schemeClr w14:val="tx1"/>
            </w14:solidFill>
          </w14:textFill>
        </w:rPr>
        <w:t>（循环水站排放的NMHC），根据《环境影响评价技术导则大气环境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 2.2-2018</w:t>
      </w:r>
      <w:r>
        <w:rPr>
          <w:rFonts w:hint="eastAsia"/>
          <w:color w:val="000000" w:themeColor="text1"/>
          <w14:textFill>
            <w14:solidFill>
              <w14:schemeClr w14:val="tx1"/>
            </w14:solidFill>
          </w14:textFill>
        </w:rPr>
        <w:t>）中的大气环境影响评价工作等级分级判据，确定本项目大气环境影响评价工作等级为一级。</w:t>
      </w:r>
    </w:p>
    <w:p w14:paraId="79ED5AB6">
      <w:pPr>
        <w:pStyle w:val="541"/>
        <w:rPr>
          <w:rFonts w:hint="eastAsia"/>
          <w:color w:val="FF0000"/>
        </w:rPr>
      </w:pPr>
    </w:p>
    <w:p w14:paraId="21BE031D">
      <w:pPr>
        <w:pStyle w:val="541"/>
        <w:rPr>
          <w:rFonts w:hint="eastAsia"/>
          <w:color w:val="FF0000"/>
        </w:rPr>
        <w:sectPr>
          <w:pgSz w:w="11906" w:h="16838"/>
          <w:pgMar w:top="1440" w:right="1800" w:bottom="1440" w:left="1800" w:header="851" w:footer="850" w:gutter="0"/>
          <w:cols w:space="425" w:num="1"/>
          <w:docGrid w:type="lines" w:linePitch="326" w:charSpace="0"/>
        </w:sectPr>
      </w:pPr>
    </w:p>
    <w:p w14:paraId="118A20EB">
      <w:pPr>
        <w:pStyle w:val="541"/>
        <w:rPr>
          <w:rFonts w:hint="eastAsia"/>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 xml:space="preserve">   项目有组织污染物计算参数选取</w:t>
      </w:r>
      <w:r>
        <w:rPr>
          <w:rFonts w:hint="eastAsia"/>
          <w:color w:val="000000" w:themeColor="text1"/>
          <w14:textFill>
            <w14:solidFill>
              <w14:schemeClr w14:val="tx1"/>
            </w14:solidFill>
          </w14:textFill>
        </w:rPr>
        <w:t>值一览</w:t>
      </w:r>
      <w:r>
        <w:rPr>
          <w:color w:val="000000" w:themeColor="text1"/>
          <w14:textFill>
            <w14:solidFill>
              <w14:schemeClr w14:val="tx1"/>
            </w14:solidFill>
          </w14:textFill>
        </w:rPr>
        <w:t>表</w:t>
      </w:r>
    </w:p>
    <w:tbl>
      <w:tblPr>
        <w:tblStyle w:val="65"/>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332"/>
        <w:gridCol w:w="584"/>
        <w:gridCol w:w="730"/>
        <w:gridCol w:w="878"/>
        <w:gridCol w:w="730"/>
        <w:gridCol w:w="897"/>
        <w:gridCol w:w="972"/>
        <w:gridCol w:w="693"/>
        <w:gridCol w:w="693"/>
        <w:gridCol w:w="693"/>
        <w:gridCol w:w="693"/>
        <w:gridCol w:w="693"/>
        <w:gridCol w:w="692"/>
        <w:gridCol w:w="692"/>
        <w:gridCol w:w="692"/>
        <w:gridCol w:w="701"/>
      </w:tblGrid>
      <w:tr w14:paraId="4CFD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vMerge w:val="restart"/>
            <w:tcBorders>
              <w:top w:val="single" w:color="auto" w:sz="4" w:space="0"/>
              <w:left w:val="single" w:color="auto" w:sz="4" w:space="0"/>
              <w:bottom w:val="single" w:color="auto" w:sz="4" w:space="0"/>
              <w:right w:val="single" w:color="auto" w:sz="4" w:space="0"/>
            </w:tcBorders>
            <w:noWrap/>
            <w:vAlign w:val="center"/>
          </w:tcPr>
          <w:p w14:paraId="7B1D7F61">
            <w:pPr>
              <w:pStyle w:val="557"/>
            </w:pPr>
            <w:r>
              <w:rPr>
                <w:rFonts w:hint="eastAsia"/>
              </w:rPr>
              <w:t>序号</w:t>
            </w:r>
          </w:p>
        </w:tc>
        <w:tc>
          <w:tcPr>
            <w:tcW w:w="834" w:type="pct"/>
            <w:vMerge w:val="restart"/>
            <w:tcBorders>
              <w:top w:val="single" w:color="auto" w:sz="4" w:space="0"/>
              <w:left w:val="single" w:color="auto" w:sz="4" w:space="0"/>
              <w:bottom w:val="single" w:color="auto" w:sz="4" w:space="0"/>
              <w:right w:val="single" w:color="auto" w:sz="4" w:space="0"/>
            </w:tcBorders>
            <w:noWrap/>
            <w:vAlign w:val="center"/>
          </w:tcPr>
          <w:p w14:paraId="35ACAC4B">
            <w:pPr>
              <w:pStyle w:val="557"/>
            </w:pPr>
            <w:r>
              <w:rPr>
                <w:rFonts w:hint="eastAsia"/>
              </w:rPr>
              <w:t>污染源名称</w:t>
            </w:r>
          </w:p>
        </w:tc>
        <w:tc>
          <w:tcPr>
            <w:tcW w:w="209" w:type="pct"/>
            <w:vMerge w:val="restart"/>
            <w:tcBorders>
              <w:top w:val="single" w:color="auto" w:sz="4" w:space="0"/>
              <w:left w:val="single" w:color="auto" w:sz="4" w:space="0"/>
              <w:bottom w:val="single" w:color="auto" w:sz="4" w:space="0"/>
              <w:right w:val="single" w:color="auto" w:sz="4" w:space="0"/>
            </w:tcBorders>
            <w:noWrap/>
            <w:vAlign w:val="center"/>
          </w:tcPr>
          <w:p w14:paraId="3C5A7D0F">
            <w:pPr>
              <w:pStyle w:val="557"/>
            </w:pPr>
            <w:r>
              <w:t>X</w:t>
            </w:r>
          </w:p>
        </w:tc>
        <w:tc>
          <w:tcPr>
            <w:tcW w:w="261" w:type="pct"/>
            <w:vMerge w:val="restart"/>
            <w:tcBorders>
              <w:top w:val="single" w:color="auto" w:sz="4" w:space="0"/>
              <w:left w:val="single" w:color="auto" w:sz="4" w:space="0"/>
              <w:bottom w:val="single" w:color="auto" w:sz="4" w:space="0"/>
              <w:right w:val="single" w:color="auto" w:sz="4" w:space="0"/>
            </w:tcBorders>
            <w:noWrap/>
            <w:vAlign w:val="center"/>
          </w:tcPr>
          <w:p w14:paraId="767C6AAF">
            <w:pPr>
              <w:pStyle w:val="557"/>
            </w:pPr>
            <w:r>
              <w:t>Y</w:t>
            </w:r>
          </w:p>
        </w:tc>
        <w:tc>
          <w:tcPr>
            <w:tcW w:w="314" w:type="pct"/>
            <w:vMerge w:val="restart"/>
            <w:tcBorders>
              <w:top w:val="single" w:color="auto" w:sz="4" w:space="0"/>
              <w:left w:val="single" w:color="auto" w:sz="4" w:space="0"/>
              <w:bottom w:val="single" w:color="auto" w:sz="4" w:space="0"/>
              <w:right w:val="single" w:color="auto" w:sz="4" w:space="0"/>
            </w:tcBorders>
            <w:noWrap/>
            <w:vAlign w:val="center"/>
          </w:tcPr>
          <w:p w14:paraId="1E15AB4B">
            <w:pPr>
              <w:pStyle w:val="557"/>
            </w:pPr>
            <w:r>
              <w:rPr>
                <w:rFonts w:hint="eastAsia"/>
              </w:rPr>
              <w:t>点源</w:t>
            </w:r>
          </w:p>
          <w:p w14:paraId="40592F7E">
            <w:pPr>
              <w:pStyle w:val="557"/>
            </w:pPr>
            <w:r>
              <w:t>H</w:t>
            </w:r>
          </w:p>
          <w:p w14:paraId="387FC70C">
            <w:pPr>
              <w:pStyle w:val="557"/>
            </w:pPr>
            <w:r>
              <w:rPr>
                <w:rFonts w:hint="eastAsia"/>
              </w:rPr>
              <w:t>（m）</w:t>
            </w:r>
          </w:p>
        </w:tc>
        <w:tc>
          <w:tcPr>
            <w:tcW w:w="261" w:type="pct"/>
            <w:vMerge w:val="restart"/>
            <w:tcBorders>
              <w:top w:val="single" w:color="auto" w:sz="4" w:space="0"/>
              <w:left w:val="single" w:color="auto" w:sz="4" w:space="0"/>
              <w:bottom w:val="single" w:color="auto" w:sz="4" w:space="0"/>
              <w:right w:val="single" w:color="auto" w:sz="4" w:space="0"/>
            </w:tcBorders>
            <w:noWrap/>
            <w:vAlign w:val="center"/>
          </w:tcPr>
          <w:p w14:paraId="1903DBC6">
            <w:pPr>
              <w:pStyle w:val="557"/>
            </w:pPr>
            <w:r>
              <w:rPr>
                <w:rFonts w:hint="eastAsia"/>
              </w:rPr>
              <w:t>点源</w:t>
            </w:r>
          </w:p>
          <w:p w14:paraId="4412E830">
            <w:pPr>
              <w:pStyle w:val="557"/>
            </w:pPr>
            <w:r>
              <w:t>D</w:t>
            </w:r>
            <w:r>
              <w:rPr>
                <w:rFonts w:hint="eastAsia"/>
              </w:rPr>
              <w:t>（m）</w:t>
            </w:r>
          </w:p>
        </w:tc>
        <w:tc>
          <w:tcPr>
            <w:tcW w:w="321" w:type="pct"/>
            <w:vMerge w:val="restart"/>
            <w:tcBorders>
              <w:top w:val="single" w:color="auto" w:sz="4" w:space="0"/>
              <w:left w:val="single" w:color="auto" w:sz="4" w:space="0"/>
              <w:bottom w:val="single" w:color="auto" w:sz="4" w:space="0"/>
              <w:right w:val="single" w:color="auto" w:sz="4" w:space="0"/>
            </w:tcBorders>
            <w:noWrap/>
            <w:vAlign w:val="center"/>
          </w:tcPr>
          <w:p w14:paraId="24624830">
            <w:pPr>
              <w:pStyle w:val="557"/>
            </w:pPr>
            <w:r>
              <w:rPr>
                <w:rFonts w:hint="eastAsia"/>
              </w:rPr>
              <w:t>点源</w:t>
            </w:r>
          </w:p>
          <w:p w14:paraId="69782F9A">
            <w:pPr>
              <w:pStyle w:val="557"/>
            </w:pPr>
            <w:r>
              <w:t>T</w:t>
            </w:r>
            <w:r>
              <w:rPr>
                <w:rFonts w:hint="eastAsia"/>
              </w:rPr>
              <w:t>（℃）</w:t>
            </w:r>
          </w:p>
        </w:tc>
        <w:tc>
          <w:tcPr>
            <w:tcW w:w="348" w:type="pct"/>
            <w:vMerge w:val="restart"/>
            <w:tcBorders>
              <w:top w:val="single" w:color="auto" w:sz="4" w:space="0"/>
              <w:left w:val="single" w:color="auto" w:sz="4" w:space="0"/>
              <w:bottom w:val="single" w:color="auto" w:sz="4" w:space="0"/>
              <w:right w:val="single" w:color="auto" w:sz="4" w:space="0"/>
            </w:tcBorders>
            <w:noWrap/>
            <w:vAlign w:val="center"/>
          </w:tcPr>
          <w:p w14:paraId="42C722CD">
            <w:pPr>
              <w:pStyle w:val="557"/>
            </w:pPr>
            <w:r>
              <w:rPr>
                <w:rFonts w:hint="eastAsia"/>
              </w:rPr>
              <w:t>烟气量</w:t>
            </w:r>
          </w:p>
          <w:p w14:paraId="6C8EF5FA">
            <w:pPr>
              <w:pStyle w:val="557"/>
            </w:pPr>
            <w:r>
              <w:t>Qvol</w:t>
            </w:r>
          </w:p>
          <w:p w14:paraId="437F5A0D">
            <w:pPr>
              <w:pStyle w:val="557"/>
            </w:pPr>
            <w:r>
              <w:rPr>
                <w:rFonts w:hint="eastAsia"/>
              </w:rPr>
              <w:t>（m</w:t>
            </w:r>
            <w:r>
              <w:rPr>
                <w:rFonts w:hint="eastAsia"/>
                <w:vertAlign w:val="superscript"/>
              </w:rPr>
              <w:t>3</w:t>
            </w:r>
            <w:r>
              <w:rPr>
                <w:rFonts w:hint="eastAsia"/>
              </w:rPr>
              <w:t>/h）</w:t>
            </w:r>
          </w:p>
        </w:tc>
        <w:tc>
          <w:tcPr>
            <w:tcW w:w="2235" w:type="pct"/>
            <w:gridSpan w:val="9"/>
            <w:tcBorders>
              <w:top w:val="single" w:color="auto" w:sz="4" w:space="0"/>
              <w:left w:val="single" w:color="auto" w:sz="4" w:space="0"/>
              <w:bottom w:val="single" w:color="auto" w:sz="4" w:space="0"/>
              <w:right w:val="single" w:color="auto" w:sz="4" w:space="0"/>
            </w:tcBorders>
            <w:vAlign w:val="center"/>
          </w:tcPr>
          <w:p w14:paraId="07AE83A9">
            <w:pPr>
              <w:pStyle w:val="557"/>
            </w:pPr>
            <w:r>
              <w:rPr>
                <w:rFonts w:hint="eastAsia"/>
              </w:rPr>
              <w:t>排放速率（kg/h）</w:t>
            </w:r>
          </w:p>
        </w:tc>
      </w:tr>
      <w:tr w14:paraId="1C19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vMerge w:val="continue"/>
            <w:tcBorders>
              <w:top w:val="single" w:color="auto" w:sz="4" w:space="0"/>
              <w:left w:val="single" w:color="auto" w:sz="4" w:space="0"/>
              <w:bottom w:val="single" w:color="auto" w:sz="4" w:space="0"/>
              <w:right w:val="single" w:color="auto" w:sz="4" w:space="0"/>
            </w:tcBorders>
            <w:vAlign w:val="center"/>
          </w:tcPr>
          <w:p w14:paraId="396A5C81">
            <w:pPr>
              <w:jc w:val="center"/>
              <w:rPr>
                <w:rFonts w:hint="eastAsia"/>
                <w:bCs/>
                <w:color w:val="FF0000"/>
                <w:sz w:val="18"/>
                <w:szCs w:val="18"/>
                <w:u w:color="000000"/>
                <w:lang w:val="zh-CN" w:bidi="en-US"/>
              </w:rPr>
            </w:pPr>
          </w:p>
        </w:tc>
        <w:tc>
          <w:tcPr>
            <w:tcW w:w="834" w:type="pct"/>
            <w:vMerge w:val="continue"/>
            <w:tcBorders>
              <w:top w:val="single" w:color="auto" w:sz="4" w:space="0"/>
              <w:left w:val="single" w:color="auto" w:sz="4" w:space="0"/>
              <w:bottom w:val="single" w:color="auto" w:sz="4" w:space="0"/>
              <w:right w:val="single" w:color="auto" w:sz="4" w:space="0"/>
            </w:tcBorders>
            <w:vAlign w:val="center"/>
          </w:tcPr>
          <w:p w14:paraId="406B8233">
            <w:pPr>
              <w:jc w:val="center"/>
              <w:rPr>
                <w:rFonts w:hint="eastAsia"/>
                <w:bCs/>
                <w:color w:val="FF0000"/>
                <w:sz w:val="18"/>
                <w:szCs w:val="18"/>
                <w:u w:color="000000"/>
                <w:lang w:val="zh-CN" w:bidi="en-US"/>
              </w:rPr>
            </w:pPr>
          </w:p>
        </w:tc>
        <w:tc>
          <w:tcPr>
            <w:tcW w:w="209" w:type="pct"/>
            <w:vMerge w:val="continue"/>
            <w:tcBorders>
              <w:top w:val="single" w:color="auto" w:sz="4" w:space="0"/>
              <w:left w:val="single" w:color="auto" w:sz="4" w:space="0"/>
              <w:bottom w:val="single" w:color="auto" w:sz="4" w:space="0"/>
              <w:right w:val="single" w:color="auto" w:sz="4" w:space="0"/>
            </w:tcBorders>
            <w:vAlign w:val="center"/>
          </w:tcPr>
          <w:p w14:paraId="776EC759">
            <w:pPr>
              <w:jc w:val="center"/>
              <w:rPr>
                <w:rFonts w:hint="eastAsia"/>
                <w:bCs/>
                <w:color w:val="FF0000"/>
                <w:sz w:val="18"/>
                <w:szCs w:val="18"/>
                <w:u w:color="000000"/>
                <w:lang w:val="zh-CN" w:bidi="en-US"/>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6FE2A5F4">
            <w:pPr>
              <w:jc w:val="center"/>
              <w:rPr>
                <w:rFonts w:hint="eastAsia"/>
                <w:bCs/>
                <w:color w:val="FF0000"/>
                <w:sz w:val="18"/>
                <w:szCs w:val="18"/>
                <w:u w:color="000000"/>
                <w:lang w:val="zh-CN" w:bidi="en-US"/>
              </w:rPr>
            </w:pPr>
          </w:p>
        </w:tc>
        <w:tc>
          <w:tcPr>
            <w:tcW w:w="314" w:type="pct"/>
            <w:vMerge w:val="continue"/>
            <w:tcBorders>
              <w:top w:val="single" w:color="auto" w:sz="4" w:space="0"/>
              <w:left w:val="single" w:color="auto" w:sz="4" w:space="0"/>
              <w:bottom w:val="single" w:color="auto" w:sz="4" w:space="0"/>
              <w:right w:val="single" w:color="auto" w:sz="4" w:space="0"/>
            </w:tcBorders>
            <w:vAlign w:val="center"/>
          </w:tcPr>
          <w:p w14:paraId="65056EF6">
            <w:pPr>
              <w:jc w:val="center"/>
              <w:rPr>
                <w:rFonts w:hint="eastAsia"/>
                <w:bCs/>
                <w:color w:val="FF0000"/>
                <w:sz w:val="18"/>
                <w:szCs w:val="18"/>
                <w:u w:color="000000"/>
                <w:lang w:val="zh-CN" w:bidi="en-US"/>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1C7EADCF">
            <w:pPr>
              <w:jc w:val="center"/>
              <w:rPr>
                <w:rFonts w:hint="eastAsia"/>
                <w:bCs/>
                <w:color w:val="FF0000"/>
                <w:sz w:val="18"/>
                <w:szCs w:val="18"/>
                <w:u w:color="000000"/>
                <w:lang w:val="zh-CN" w:bidi="en-US"/>
              </w:rPr>
            </w:pPr>
          </w:p>
        </w:tc>
        <w:tc>
          <w:tcPr>
            <w:tcW w:w="321" w:type="pct"/>
            <w:vMerge w:val="continue"/>
            <w:tcBorders>
              <w:top w:val="single" w:color="auto" w:sz="4" w:space="0"/>
              <w:left w:val="single" w:color="auto" w:sz="4" w:space="0"/>
              <w:bottom w:val="single" w:color="auto" w:sz="4" w:space="0"/>
              <w:right w:val="single" w:color="auto" w:sz="4" w:space="0"/>
            </w:tcBorders>
            <w:vAlign w:val="center"/>
          </w:tcPr>
          <w:p w14:paraId="42DE9AE4">
            <w:pPr>
              <w:jc w:val="center"/>
              <w:rPr>
                <w:rFonts w:hint="eastAsia"/>
                <w:bCs/>
                <w:color w:val="FF0000"/>
                <w:sz w:val="18"/>
                <w:szCs w:val="18"/>
                <w:u w:color="000000"/>
                <w:lang w:val="zh-CN" w:bidi="en-US"/>
              </w:rPr>
            </w:pPr>
          </w:p>
        </w:tc>
        <w:tc>
          <w:tcPr>
            <w:tcW w:w="348" w:type="pct"/>
            <w:vMerge w:val="continue"/>
            <w:tcBorders>
              <w:top w:val="single" w:color="auto" w:sz="4" w:space="0"/>
              <w:left w:val="single" w:color="auto" w:sz="4" w:space="0"/>
              <w:bottom w:val="single" w:color="auto" w:sz="4" w:space="0"/>
              <w:right w:val="single" w:color="auto" w:sz="4" w:space="0"/>
            </w:tcBorders>
            <w:vAlign w:val="center"/>
          </w:tcPr>
          <w:p w14:paraId="70E8FB9C">
            <w:pPr>
              <w:jc w:val="center"/>
              <w:rPr>
                <w:rFonts w:hint="eastAsia"/>
                <w:bCs/>
                <w:color w:val="FF0000"/>
                <w:sz w:val="18"/>
                <w:szCs w:val="18"/>
                <w:u w:color="000000"/>
                <w:lang w:val="zh-CN" w:bidi="en-US"/>
              </w:rPr>
            </w:pPr>
          </w:p>
        </w:tc>
        <w:tc>
          <w:tcPr>
            <w:tcW w:w="248" w:type="pct"/>
            <w:tcBorders>
              <w:top w:val="single" w:color="auto" w:sz="4" w:space="0"/>
              <w:left w:val="single" w:color="auto" w:sz="4" w:space="0"/>
              <w:bottom w:val="single" w:color="auto" w:sz="4" w:space="0"/>
              <w:right w:val="single" w:color="auto" w:sz="4" w:space="0"/>
            </w:tcBorders>
            <w:noWrap/>
            <w:vAlign w:val="center"/>
          </w:tcPr>
          <w:p w14:paraId="35098742">
            <w:pPr>
              <w:pStyle w:val="557"/>
            </w:pPr>
            <w:r>
              <w:rPr>
                <w:rFonts w:hint="eastAsia"/>
              </w:rPr>
              <w:t>SO</w:t>
            </w:r>
            <w:r>
              <w:rPr>
                <w:rFonts w:hint="eastAsia"/>
                <w:vertAlign w:val="subscript"/>
              </w:rPr>
              <w:t>2</w:t>
            </w:r>
          </w:p>
        </w:tc>
        <w:tc>
          <w:tcPr>
            <w:tcW w:w="248" w:type="pct"/>
            <w:tcBorders>
              <w:top w:val="single" w:color="auto" w:sz="4" w:space="0"/>
              <w:left w:val="single" w:color="auto" w:sz="4" w:space="0"/>
              <w:bottom w:val="single" w:color="auto" w:sz="4" w:space="0"/>
              <w:right w:val="single" w:color="auto" w:sz="4" w:space="0"/>
            </w:tcBorders>
            <w:noWrap/>
            <w:vAlign w:val="center"/>
          </w:tcPr>
          <w:p w14:paraId="4996C4EB">
            <w:pPr>
              <w:pStyle w:val="557"/>
            </w:pPr>
            <w:r>
              <w:rPr>
                <w:rFonts w:hint="eastAsia"/>
              </w:rPr>
              <w:t>NO</w:t>
            </w:r>
            <w:r>
              <w:rPr>
                <w:rFonts w:hint="eastAsia"/>
                <w:vertAlign w:val="subscript"/>
              </w:rPr>
              <w:t>2</w:t>
            </w:r>
          </w:p>
        </w:tc>
        <w:tc>
          <w:tcPr>
            <w:tcW w:w="248" w:type="pct"/>
            <w:tcBorders>
              <w:top w:val="single" w:color="auto" w:sz="4" w:space="0"/>
              <w:left w:val="single" w:color="auto" w:sz="4" w:space="0"/>
              <w:bottom w:val="single" w:color="auto" w:sz="4" w:space="0"/>
              <w:right w:val="single" w:color="auto" w:sz="4" w:space="0"/>
            </w:tcBorders>
            <w:noWrap/>
            <w:vAlign w:val="center"/>
          </w:tcPr>
          <w:p w14:paraId="380D5253">
            <w:pPr>
              <w:pStyle w:val="557"/>
            </w:pPr>
            <w:r>
              <w:rPr>
                <w:rFonts w:hint="eastAsia"/>
              </w:rPr>
              <w:t>PM</w:t>
            </w:r>
            <w:r>
              <w:rPr>
                <w:rFonts w:hint="eastAsia"/>
                <w:vertAlign w:val="subscript"/>
              </w:rPr>
              <w:t>10</w:t>
            </w:r>
          </w:p>
        </w:tc>
        <w:tc>
          <w:tcPr>
            <w:tcW w:w="248" w:type="pct"/>
            <w:tcBorders>
              <w:top w:val="single" w:color="auto" w:sz="4" w:space="0"/>
              <w:left w:val="single" w:color="auto" w:sz="4" w:space="0"/>
              <w:bottom w:val="single" w:color="auto" w:sz="4" w:space="0"/>
              <w:right w:val="single" w:color="auto" w:sz="4" w:space="0"/>
            </w:tcBorders>
            <w:noWrap/>
            <w:vAlign w:val="center"/>
          </w:tcPr>
          <w:p w14:paraId="721C03A7">
            <w:pPr>
              <w:pStyle w:val="557"/>
            </w:pPr>
            <w:r>
              <w:rPr>
                <w:rFonts w:hint="eastAsia"/>
              </w:rPr>
              <w:t>PM</w:t>
            </w:r>
            <w:r>
              <w:rPr>
                <w:rFonts w:hint="eastAsia"/>
                <w:vertAlign w:val="subscript"/>
              </w:rPr>
              <w:t>2.5</w:t>
            </w:r>
          </w:p>
        </w:tc>
        <w:tc>
          <w:tcPr>
            <w:tcW w:w="248" w:type="pct"/>
            <w:tcBorders>
              <w:top w:val="single" w:color="auto" w:sz="4" w:space="0"/>
              <w:left w:val="single" w:color="auto" w:sz="4" w:space="0"/>
              <w:bottom w:val="single" w:color="auto" w:sz="4" w:space="0"/>
              <w:right w:val="single" w:color="auto" w:sz="4" w:space="0"/>
            </w:tcBorders>
            <w:noWrap/>
            <w:vAlign w:val="center"/>
          </w:tcPr>
          <w:p w14:paraId="37C52524">
            <w:pPr>
              <w:pStyle w:val="557"/>
            </w:pPr>
            <w:r>
              <w:rPr>
                <w:rFonts w:hint="eastAsia"/>
              </w:rPr>
              <w:t>氨</w:t>
            </w:r>
          </w:p>
        </w:tc>
        <w:tc>
          <w:tcPr>
            <w:tcW w:w="248" w:type="pct"/>
            <w:tcBorders>
              <w:top w:val="single" w:color="auto" w:sz="4" w:space="0"/>
              <w:left w:val="single" w:color="auto" w:sz="4" w:space="0"/>
              <w:bottom w:val="single" w:color="auto" w:sz="4" w:space="0"/>
              <w:right w:val="single" w:color="auto" w:sz="4" w:space="0"/>
            </w:tcBorders>
            <w:noWrap/>
            <w:vAlign w:val="center"/>
          </w:tcPr>
          <w:p w14:paraId="212E9924">
            <w:pPr>
              <w:pStyle w:val="557"/>
            </w:pPr>
            <w:r>
              <w:rPr>
                <w:rFonts w:hint="eastAsia"/>
              </w:rPr>
              <w:t>H</w:t>
            </w:r>
            <w:r>
              <w:rPr>
                <w:rFonts w:hint="eastAsia"/>
                <w:vertAlign w:val="subscript"/>
              </w:rPr>
              <w:t>2</w:t>
            </w:r>
            <w:r>
              <w:rPr>
                <w:rFonts w:hint="eastAsia"/>
              </w:rPr>
              <w:t>S</w:t>
            </w:r>
          </w:p>
        </w:tc>
        <w:tc>
          <w:tcPr>
            <w:tcW w:w="248" w:type="pct"/>
            <w:tcBorders>
              <w:top w:val="single" w:color="auto" w:sz="4" w:space="0"/>
              <w:left w:val="single" w:color="auto" w:sz="4" w:space="0"/>
              <w:bottom w:val="single" w:color="auto" w:sz="4" w:space="0"/>
              <w:right w:val="single" w:color="auto" w:sz="4" w:space="0"/>
            </w:tcBorders>
            <w:noWrap/>
            <w:vAlign w:val="center"/>
          </w:tcPr>
          <w:p w14:paraId="13B5C35C">
            <w:pPr>
              <w:pStyle w:val="557"/>
            </w:pPr>
            <w:r>
              <w:rPr>
                <w:rFonts w:hint="eastAsia"/>
              </w:rPr>
              <w:t>NMHC</w:t>
            </w:r>
          </w:p>
        </w:tc>
        <w:tc>
          <w:tcPr>
            <w:tcW w:w="248" w:type="pct"/>
            <w:tcBorders>
              <w:top w:val="single" w:color="auto" w:sz="4" w:space="0"/>
              <w:left w:val="single" w:color="auto" w:sz="4" w:space="0"/>
              <w:bottom w:val="single" w:color="auto" w:sz="4" w:space="0"/>
              <w:right w:val="single" w:color="auto" w:sz="4" w:space="0"/>
            </w:tcBorders>
            <w:noWrap/>
            <w:vAlign w:val="center"/>
          </w:tcPr>
          <w:p w14:paraId="3F146CA0">
            <w:pPr>
              <w:pStyle w:val="557"/>
            </w:pPr>
            <w:r>
              <w:rPr>
                <w:rFonts w:hint="eastAsia"/>
              </w:rPr>
              <w:t>甲醇</w:t>
            </w:r>
          </w:p>
        </w:tc>
        <w:tc>
          <w:tcPr>
            <w:tcW w:w="250" w:type="pct"/>
            <w:tcBorders>
              <w:top w:val="single" w:color="auto" w:sz="4" w:space="0"/>
              <w:left w:val="single" w:color="auto" w:sz="4" w:space="0"/>
              <w:bottom w:val="single" w:color="auto" w:sz="4" w:space="0"/>
              <w:right w:val="single" w:color="auto" w:sz="4" w:space="0"/>
            </w:tcBorders>
            <w:vAlign w:val="center"/>
          </w:tcPr>
          <w:p w14:paraId="0D98058D">
            <w:pPr>
              <w:pStyle w:val="557"/>
            </w:pPr>
            <w:r>
              <w:rPr>
                <w:rFonts w:hint="eastAsia"/>
              </w:rPr>
              <w:t>硫酸</w:t>
            </w:r>
          </w:p>
        </w:tc>
      </w:tr>
      <w:tr w14:paraId="4064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220FF202">
            <w:pPr>
              <w:pStyle w:val="557"/>
            </w:pPr>
            <w:r>
              <w:t>1</w:t>
            </w:r>
          </w:p>
        </w:tc>
        <w:tc>
          <w:tcPr>
            <w:tcW w:w="834" w:type="pct"/>
            <w:tcBorders>
              <w:top w:val="single" w:color="auto" w:sz="4" w:space="0"/>
              <w:left w:val="single" w:color="auto" w:sz="4" w:space="0"/>
              <w:bottom w:val="single" w:color="auto" w:sz="4" w:space="0"/>
              <w:right w:val="single" w:color="auto" w:sz="4" w:space="0"/>
            </w:tcBorders>
            <w:noWrap/>
            <w:vAlign w:val="center"/>
          </w:tcPr>
          <w:p w14:paraId="58C3F73D">
            <w:pPr>
              <w:pStyle w:val="557"/>
              <w:rPr>
                <w:lang w:eastAsia="zh"/>
              </w:rPr>
            </w:pPr>
            <w:r>
              <w:rPr>
                <w:rFonts w:hint="eastAsia"/>
              </w:rPr>
              <w:t>原料煤仓</w:t>
            </w:r>
            <w:r>
              <w:rPr>
                <w:rFonts w:hint="eastAsia"/>
                <w:lang w:eastAsia="zh"/>
              </w:rPr>
              <w:t>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70F0C80F">
            <w:pPr>
              <w:pStyle w:val="557"/>
            </w:pPr>
            <w:r>
              <w:rPr>
                <w:rFonts w:hint="eastAsia"/>
              </w:rPr>
              <w:t>-236</w:t>
            </w:r>
          </w:p>
        </w:tc>
        <w:tc>
          <w:tcPr>
            <w:tcW w:w="261" w:type="pct"/>
            <w:tcBorders>
              <w:top w:val="single" w:color="auto" w:sz="4" w:space="0"/>
              <w:left w:val="single" w:color="auto" w:sz="4" w:space="0"/>
              <w:bottom w:val="single" w:color="auto" w:sz="4" w:space="0"/>
              <w:right w:val="single" w:color="auto" w:sz="4" w:space="0"/>
            </w:tcBorders>
            <w:noWrap/>
            <w:vAlign w:val="center"/>
          </w:tcPr>
          <w:p w14:paraId="6037CCAD">
            <w:pPr>
              <w:pStyle w:val="557"/>
            </w:pPr>
            <w:r>
              <w:rPr>
                <w:rFonts w:hint="eastAsia"/>
              </w:rPr>
              <w:t>-186</w:t>
            </w:r>
          </w:p>
        </w:tc>
        <w:tc>
          <w:tcPr>
            <w:tcW w:w="314" w:type="pct"/>
            <w:tcBorders>
              <w:top w:val="single" w:color="auto" w:sz="4" w:space="0"/>
              <w:left w:val="single" w:color="auto" w:sz="4" w:space="0"/>
              <w:bottom w:val="single" w:color="auto" w:sz="4" w:space="0"/>
              <w:right w:val="single" w:color="auto" w:sz="4" w:space="0"/>
            </w:tcBorders>
            <w:noWrap/>
            <w:vAlign w:val="center"/>
          </w:tcPr>
          <w:p w14:paraId="57B3F1F9">
            <w:pPr>
              <w:pStyle w:val="557"/>
            </w:pPr>
            <w:r>
              <w:rPr>
                <w:rFonts w:hint="eastAsia"/>
              </w:rPr>
              <w:t>55</w:t>
            </w:r>
          </w:p>
        </w:tc>
        <w:tc>
          <w:tcPr>
            <w:tcW w:w="261" w:type="pct"/>
            <w:tcBorders>
              <w:top w:val="single" w:color="auto" w:sz="4" w:space="0"/>
              <w:left w:val="single" w:color="auto" w:sz="4" w:space="0"/>
              <w:bottom w:val="single" w:color="auto" w:sz="4" w:space="0"/>
              <w:right w:val="single" w:color="auto" w:sz="4" w:space="0"/>
            </w:tcBorders>
            <w:noWrap/>
            <w:vAlign w:val="center"/>
          </w:tcPr>
          <w:p w14:paraId="2D56B13A">
            <w:pPr>
              <w:pStyle w:val="557"/>
            </w:pPr>
            <w:r>
              <w:rPr>
                <w:rFonts w:hint="eastAsia"/>
              </w:rPr>
              <w:t>0.2</w:t>
            </w:r>
          </w:p>
        </w:tc>
        <w:tc>
          <w:tcPr>
            <w:tcW w:w="321" w:type="pct"/>
            <w:tcBorders>
              <w:top w:val="single" w:color="auto" w:sz="4" w:space="0"/>
              <w:left w:val="single" w:color="auto" w:sz="4" w:space="0"/>
              <w:bottom w:val="single" w:color="auto" w:sz="4" w:space="0"/>
              <w:right w:val="single" w:color="auto" w:sz="4" w:space="0"/>
            </w:tcBorders>
            <w:noWrap/>
            <w:vAlign w:val="center"/>
          </w:tcPr>
          <w:p w14:paraId="71D9DAC1">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4DAA1267">
            <w:pPr>
              <w:pStyle w:val="557"/>
            </w:pPr>
            <w:r>
              <w:rPr>
                <w:rFonts w:hint="eastAsia"/>
              </w:rPr>
              <w:t>3000</w:t>
            </w:r>
          </w:p>
        </w:tc>
        <w:tc>
          <w:tcPr>
            <w:tcW w:w="248" w:type="pct"/>
            <w:tcBorders>
              <w:top w:val="single" w:color="auto" w:sz="4" w:space="0"/>
              <w:left w:val="single" w:color="auto" w:sz="4" w:space="0"/>
              <w:bottom w:val="single" w:color="auto" w:sz="4" w:space="0"/>
              <w:right w:val="single" w:color="auto" w:sz="4" w:space="0"/>
            </w:tcBorders>
            <w:noWrap/>
            <w:vAlign w:val="center"/>
          </w:tcPr>
          <w:p w14:paraId="1090CFA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E7B62D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E8C4AF0">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6723E228">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66A7F3D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443759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B03424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7127384">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69E63AA2">
            <w:pPr>
              <w:pStyle w:val="557"/>
            </w:pPr>
            <w:r>
              <w:rPr>
                <w:rFonts w:hint="eastAsia"/>
              </w:rPr>
              <w:t>/</w:t>
            </w:r>
          </w:p>
        </w:tc>
      </w:tr>
      <w:tr w14:paraId="749A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420E69C">
            <w:pPr>
              <w:pStyle w:val="557"/>
            </w:pPr>
            <w:r>
              <w:t>2</w:t>
            </w:r>
          </w:p>
        </w:tc>
        <w:tc>
          <w:tcPr>
            <w:tcW w:w="834" w:type="pct"/>
            <w:tcBorders>
              <w:top w:val="single" w:color="auto" w:sz="4" w:space="0"/>
              <w:left w:val="single" w:color="auto" w:sz="4" w:space="0"/>
              <w:bottom w:val="single" w:color="auto" w:sz="4" w:space="0"/>
              <w:right w:val="single" w:color="auto" w:sz="4" w:space="0"/>
            </w:tcBorders>
            <w:noWrap/>
            <w:vAlign w:val="center"/>
          </w:tcPr>
          <w:p w14:paraId="5D3BE2A9">
            <w:pPr>
              <w:pStyle w:val="557"/>
            </w:pPr>
            <w:r>
              <w:rPr>
                <w:rFonts w:hint="eastAsia"/>
              </w:rPr>
              <w:t>磨煤干燥废气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5D734E20">
            <w:pPr>
              <w:pStyle w:val="557"/>
            </w:pPr>
            <w:r>
              <w:rPr>
                <w:rFonts w:hint="eastAsia"/>
              </w:rPr>
              <w:t>-153</w:t>
            </w:r>
          </w:p>
        </w:tc>
        <w:tc>
          <w:tcPr>
            <w:tcW w:w="261" w:type="pct"/>
            <w:tcBorders>
              <w:top w:val="single" w:color="auto" w:sz="4" w:space="0"/>
              <w:left w:val="single" w:color="auto" w:sz="4" w:space="0"/>
              <w:bottom w:val="single" w:color="auto" w:sz="4" w:space="0"/>
              <w:right w:val="single" w:color="auto" w:sz="4" w:space="0"/>
            </w:tcBorders>
            <w:noWrap/>
            <w:vAlign w:val="center"/>
          </w:tcPr>
          <w:p w14:paraId="2B890E93">
            <w:pPr>
              <w:pStyle w:val="557"/>
            </w:pPr>
            <w:r>
              <w:rPr>
                <w:rFonts w:hint="eastAsia"/>
              </w:rPr>
              <w:t>92</w:t>
            </w:r>
          </w:p>
        </w:tc>
        <w:tc>
          <w:tcPr>
            <w:tcW w:w="314" w:type="pct"/>
            <w:tcBorders>
              <w:top w:val="single" w:color="auto" w:sz="4" w:space="0"/>
              <w:left w:val="single" w:color="auto" w:sz="4" w:space="0"/>
              <w:bottom w:val="single" w:color="auto" w:sz="4" w:space="0"/>
              <w:right w:val="single" w:color="auto" w:sz="4" w:space="0"/>
            </w:tcBorders>
            <w:noWrap/>
            <w:vAlign w:val="center"/>
          </w:tcPr>
          <w:p w14:paraId="4400D4ED">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6EF5526D">
            <w:pPr>
              <w:pStyle w:val="557"/>
            </w:pPr>
            <w:r>
              <w:rPr>
                <w:rFonts w:hint="eastAsia"/>
              </w:rPr>
              <w:t>0.9</w:t>
            </w:r>
          </w:p>
        </w:tc>
        <w:tc>
          <w:tcPr>
            <w:tcW w:w="321" w:type="pct"/>
            <w:tcBorders>
              <w:top w:val="single" w:color="auto" w:sz="4" w:space="0"/>
              <w:left w:val="single" w:color="auto" w:sz="4" w:space="0"/>
              <w:bottom w:val="single" w:color="auto" w:sz="4" w:space="0"/>
              <w:right w:val="single" w:color="auto" w:sz="4" w:space="0"/>
            </w:tcBorders>
            <w:noWrap/>
            <w:vAlign w:val="center"/>
          </w:tcPr>
          <w:p w14:paraId="546800A1">
            <w:pPr>
              <w:pStyle w:val="557"/>
            </w:pPr>
            <w:r>
              <w:rPr>
                <w:rFonts w:hint="eastAsia"/>
              </w:rPr>
              <w:t>90</w:t>
            </w:r>
          </w:p>
        </w:tc>
        <w:tc>
          <w:tcPr>
            <w:tcW w:w="348" w:type="pct"/>
            <w:tcBorders>
              <w:top w:val="single" w:color="auto" w:sz="4" w:space="0"/>
              <w:left w:val="single" w:color="auto" w:sz="4" w:space="0"/>
              <w:bottom w:val="single" w:color="auto" w:sz="4" w:space="0"/>
              <w:right w:val="single" w:color="auto" w:sz="4" w:space="0"/>
            </w:tcBorders>
            <w:noWrap/>
            <w:vAlign w:val="center"/>
          </w:tcPr>
          <w:p w14:paraId="34ED0305">
            <w:pPr>
              <w:pStyle w:val="557"/>
            </w:pPr>
            <w:r>
              <w:rPr>
                <w:rFonts w:hint="eastAsia"/>
              </w:rPr>
              <w:t>53000</w:t>
            </w:r>
          </w:p>
        </w:tc>
        <w:tc>
          <w:tcPr>
            <w:tcW w:w="248" w:type="pct"/>
            <w:tcBorders>
              <w:top w:val="single" w:color="auto" w:sz="4" w:space="0"/>
              <w:left w:val="single" w:color="auto" w:sz="4" w:space="0"/>
              <w:bottom w:val="single" w:color="auto" w:sz="4" w:space="0"/>
              <w:right w:val="single" w:color="auto" w:sz="4" w:space="0"/>
            </w:tcBorders>
            <w:noWrap/>
            <w:vAlign w:val="center"/>
          </w:tcPr>
          <w:p w14:paraId="0399AB3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9491825">
            <w:pPr>
              <w:pStyle w:val="557"/>
            </w:pPr>
            <w:r>
              <w:rPr>
                <w:rFonts w:hint="eastAsia"/>
              </w:rPr>
              <w:t>4.77</w:t>
            </w:r>
          </w:p>
        </w:tc>
        <w:tc>
          <w:tcPr>
            <w:tcW w:w="248" w:type="pct"/>
            <w:tcBorders>
              <w:top w:val="single" w:color="auto" w:sz="4" w:space="0"/>
              <w:left w:val="single" w:color="auto" w:sz="4" w:space="0"/>
              <w:bottom w:val="single" w:color="auto" w:sz="4" w:space="0"/>
              <w:right w:val="single" w:color="auto" w:sz="4" w:space="0"/>
            </w:tcBorders>
            <w:noWrap/>
            <w:vAlign w:val="center"/>
          </w:tcPr>
          <w:p w14:paraId="443016C3">
            <w:pPr>
              <w:pStyle w:val="557"/>
            </w:pPr>
            <w:r>
              <w:rPr>
                <w:rFonts w:hint="eastAsia"/>
              </w:rPr>
              <w:t>0.7075</w:t>
            </w:r>
          </w:p>
        </w:tc>
        <w:tc>
          <w:tcPr>
            <w:tcW w:w="248" w:type="pct"/>
            <w:tcBorders>
              <w:top w:val="single" w:color="auto" w:sz="4" w:space="0"/>
              <w:left w:val="single" w:color="auto" w:sz="4" w:space="0"/>
              <w:bottom w:val="single" w:color="auto" w:sz="4" w:space="0"/>
              <w:right w:val="single" w:color="auto" w:sz="4" w:space="0"/>
            </w:tcBorders>
            <w:noWrap/>
            <w:vAlign w:val="center"/>
          </w:tcPr>
          <w:p w14:paraId="03E61015">
            <w:pPr>
              <w:pStyle w:val="557"/>
            </w:pPr>
            <w:r>
              <w:rPr>
                <w:rFonts w:hint="eastAsia"/>
              </w:rPr>
              <w:t>0.35375</w:t>
            </w:r>
          </w:p>
        </w:tc>
        <w:tc>
          <w:tcPr>
            <w:tcW w:w="248" w:type="pct"/>
            <w:tcBorders>
              <w:top w:val="single" w:color="auto" w:sz="4" w:space="0"/>
              <w:left w:val="single" w:color="auto" w:sz="4" w:space="0"/>
              <w:bottom w:val="single" w:color="auto" w:sz="4" w:space="0"/>
              <w:right w:val="single" w:color="auto" w:sz="4" w:space="0"/>
            </w:tcBorders>
            <w:noWrap/>
            <w:vAlign w:val="center"/>
          </w:tcPr>
          <w:p w14:paraId="2C03B5E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566CC5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3BAFD6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79733CC">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2EAB16EA">
            <w:pPr>
              <w:pStyle w:val="557"/>
            </w:pPr>
            <w:r>
              <w:rPr>
                <w:rFonts w:hint="eastAsia"/>
              </w:rPr>
              <w:t>/</w:t>
            </w:r>
          </w:p>
        </w:tc>
      </w:tr>
      <w:tr w14:paraId="65FD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75BE402F">
            <w:pPr>
              <w:pStyle w:val="557"/>
            </w:pPr>
            <w:r>
              <w:t>3</w:t>
            </w:r>
          </w:p>
        </w:tc>
        <w:tc>
          <w:tcPr>
            <w:tcW w:w="834" w:type="pct"/>
            <w:tcBorders>
              <w:top w:val="single" w:color="auto" w:sz="4" w:space="0"/>
              <w:left w:val="single" w:color="auto" w:sz="4" w:space="0"/>
              <w:bottom w:val="single" w:color="auto" w:sz="4" w:space="0"/>
              <w:right w:val="single" w:color="auto" w:sz="4" w:space="0"/>
            </w:tcBorders>
            <w:noWrap/>
            <w:vAlign w:val="center"/>
          </w:tcPr>
          <w:p w14:paraId="1EB133C0">
            <w:pPr>
              <w:pStyle w:val="557"/>
            </w:pPr>
            <w:r>
              <w:rPr>
                <w:rFonts w:hint="eastAsia"/>
              </w:rPr>
              <w:t>粉煤锁斗排气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0F1B1D27">
            <w:pPr>
              <w:pStyle w:val="557"/>
            </w:pPr>
            <w:r>
              <w:rPr>
                <w:rFonts w:hint="eastAsia"/>
              </w:rPr>
              <w:t>-199</w:t>
            </w:r>
          </w:p>
        </w:tc>
        <w:tc>
          <w:tcPr>
            <w:tcW w:w="261" w:type="pct"/>
            <w:tcBorders>
              <w:top w:val="single" w:color="auto" w:sz="4" w:space="0"/>
              <w:left w:val="single" w:color="auto" w:sz="4" w:space="0"/>
              <w:bottom w:val="single" w:color="auto" w:sz="4" w:space="0"/>
              <w:right w:val="single" w:color="auto" w:sz="4" w:space="0"/>
            </w:tcBorders>
            <w:noWrap/>
            <w:vAlign w:val="center"/>
          </w:tcPr>
          <w:p w14:paraId="1E3A10D3">
            <w:pPr>
              <w:pStyle w:val="557"/>
            </w:pPr>
            <w:r>
              <w:rPr>
                <w:rFonts w:hint="eastAsia"/>
              </w:rPr>
              <w:t>66</w:t>
            </w:r>
          </w:p>
        </w:tc>
        <w:tc>
          <w:tcPr>
            <w:tcW w:w="314" w:type="pct"/>
            <w:tcBorders>
              <w:top w:val="single" w:color="auto" w:sz="4" w:space="0"/>
              <w:left w:val="single" w:color="auto" w:sz="4" w:space="0"/>
              <w:bottom w:val="single" w:color="auto" w:sz="4" w:space="0"/>
              <w:right w:val="single" w:color="auto" w:sz="4" w:space="0"/>
            </w:tcBorders>
            <w:noWrap/>
            <w:vAlign w:val="center"/>
          </w:tcPr>
          <w:p w14:paraId="34A43636">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1AC07B01">
            <w:pPr>
              <w:pStyle w:val="557"/>
            </w:pPr>
            <w:r>
              <w:rPr>
                <w:rFonts w:hint="eastAsia"/>
              </w:rPr>
              <w:t>1</w:t>
            </w:r>
          </w:p>
        </w:tc>
        <w:tc>
          <w:tcPr>
            <w:tcW w:w="321" w:type="pct"/>
            <w:tcBorders>
              <w:top w:val="single" w:color="auto" w:sz="4" w:space="0"/>
              <w:left w:val="single" w:color="auto" w:sz="4" w:space="0"/>
              <w:bottom w:val="single" w:color="auto" w:sz="4" w:space="0"/>
              <w:right w:val="single" w:color="auto" w:sz="4" w:space="0"/>
            </w:tcBorders>
            <w:noWrap/>
            <w:vAlign w:val="center"/>
          </w:tcPr>
          <w:p w14:paraId="653B907B">
            <w:pPr>
              <w:pStyle w:val="557"/>
            </w:pPr>
            <w:r>
              <w:rPr>
                <w:rFonts w:hint="eastAsia"/>
              </w:rPr>
              <w:t>80</w:t>
            </w:r>
          </w:p>
        </w:tc>
        <w:tc>
          <w:tcPr>
            <w:tcW w:w="348" w:type="pct"/>
            <w:tcBorders>
              <w:top w:val="single" w:color="auto" w:sz="4" w:space="0"/>
              <w:left w:val="single" w:color="auto" w:sz="4" w:space="0"/>
              <w:bottom w:val="single" w:color="auto" w:sz="4" w:space="0"/>
              <w:right w:val="single" w:color="auto" w:sz="4" w:space="0"/>
            </w:tcBorders>
            <w:noWrap/>
            <w:vAlign w:val="center"/>
          </w:tcPr>
          <w:p w14:paraId="3922A496">
            <w:pPr>
              <w:pStyle w:val="557"/>
            </w:pPr>
            <w:r>
              <w:rPr>
                <w:rFonts w:hint="eastAsia"/>
              </w:rPr>
              <w:t>8500</w:t>
            </w:r>
          </w:p>
        </w:tc>
        <w:tc>
          <w:tcPr>
            <w:tcW w:w="248" w:type="pct"/>
            <w:tcBorders>
              <w:top w:val="single" w:color="auto" w:sz="4" w:space="0"/>
              <w:left w:val="single" w:color="auto" w:sz="4" w:space="0"/>
              <w:bottom w:val="single" w:color="auto" w:sz="4" w:space="0"/>
              <w:right w:val="single" w:color="auto" w:sz="4" w:space="0"/>
            </w:tcBorders>
            <w:noWrap/>
            <w:vAlign w:val="center"/>
          </w:tcPr>
          <w:p w14:paraId="0110E98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0DBD47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C7356DE">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3FD83C01">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6582CA2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592081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E4D56F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80DF7D4">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7AE95F65">
            <w:pPr>
              <w:pStyle w:val="557"/>
            </w:pPr>
            <w:r>
              <w:rPr>
                <w:rFonts w:hint="eastAsia"/>
              </w:rPr>
              <w:t>/</w:t>
            </w:r>
          </w:p>
        </w:tc>
      </w:tr>
      <w:tr w14:paraId="7815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02264BB">
            <w:pPr>
              <w:pStyle w:val="557"/>
            </w:pPr>
            <w:r>
              <w:t>4</w:t>
            </w:r>
          </w:p>
        </w:tc>
        <w:tc>
          <w:tcPr>
            <w:tcW w:w="834" w:type="pct"/>
            <w:tcBorders>
              <w:top w:val="single" w:color="auto" w:sz="4" w:space="0"/>
              <w:left w:val="single" w:color="auto" w:sz="4" w:space="0"/>
              <w:bottom w:val="single" w:color="auto" w:sz="4" w:space="0"/>
              <w:right w:val="single" w:color="auto" w:sz="4" w:space="0"/>
            </w:tcBorders>
            <w:noWrap/>
            <w:vAlign w:val="center"/>
          </w:tcPr>
          <w:p w14:paraId="527F43E2">
            <w:pPr>
              <w:pStyle w:val="557"/>
            </w:pPr>
            <w:r>
              <w:rPr>
                <w:rFonts w:hint="eastAsia"/>
              </w:rPr>
              <w:t>真空泵排气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775C08CB">
            <w:pPr>
              <w:pStyle w:val="557"/>
            </w:pPr>
            <w:r>
              <w:rPr>
                <w:rFonts w:hint="eastAsia"/>
              </w:rPr>
              <w:t>-109</w:t>
            </w:r>
          </w:p>
        </w:tc>
        <w:tc>
          <w:tcPr>
            <w:tcW w:w="261" w:type="pct"/>
            <w:tcBorders>
              <w:top w:val="single" w:color="auto" w:sz="4" w:space="0"/>
              <w:left w:val="single" w:color="auto" w:sz="4" w:space="0"/>
              <w:bottom w:val="single" w:color="auto" w:sz="4" w:space="0"/>
              <w:right w:val="single" w:color="auto" w:sz="4" w:space="0"/>
            </w:tcBorders>
            <w:noWrap/>
            <w:vAlign w:val="center"/>
          </w:tcPr>
          <w:p w14:paraId="20CA4FD4">
            <w:pPr>
              <w:pStyle w:val="557"/>
            </w:pPr>
            <w:r>
              <w:rPr>
                <w:rFonts w:hint="eastAsia"/>
              </w:rPr>
              <w:t>190</w:t>
            </w:r>
          </w:p>
        </w:tc>
        <w:tc>
          <w:tcPr>
            <w:tcW w:w="314" w:type="pct"/>
            <w:tcBorders>
              <w:top w:val="single" w:color="auto" w:sz="4" w:space="0"/>
              <w:left w:val="single" w:color="auto" w:sz="4" w:space="0"/>
              <w:bottom w:val="single" w:color="auto" w:sz="4" w:space="0"/>
              <w:right w:val="single" w:color="auto" w:sz="4" w:space="0"/>
            </w:tcBorders>
            <w:noWrap/>
            <w:vAlign w:val="center"/>
          </w:tcPr>
          <w:p w14:paraId="0C654A11">
            <w:pPr>
              <w:pStyle w:val="557"/>
            </w:pPr>
            <w:r>
              <w:rPr>
                <w:rFonts w:hint="eastAsia"/>
              </w:rPr>
              <w:t>28</w:t>
            </w:r>
          </w:p>
        </w:tc>
        <w:tc>
          <w:tcPr>
            <w:tcW w:w="261" w:type="pct"/>
            <w:tcBorders>
              <w:top w:val="single" w:color="auto" w:sz="4" w:space="0"/>
              <w:left w:val="single" w:color="auto" w:sz="4" w:space="0"/>
              <w:bottom w:val="single" w:color="auto" w:sz="4" w:space="0"/>
              <w:right w:val="single" w:color="auto" w:sz="4" w:space="0"/>
            </w:tcBorders>
            <w:noWrap/>
            <w:vAlign w:val="center"/>
          </w:tcPr>
          <w:p w14:paraId="24D71DAF">
            <w:pPr>
              <w:pStyle w:val="557"/>
            </w:pPr>
            <w:r>
              <w:rPr>
                <w:rFonts w:hint="eastAsia"/>
              </w:rPr>
              <w:t>0.15</w:t>
            </w:r>
          </w:p>
        </w:tc>
        <w:tc>
          <w:tcPr>
            <w:tcW w:w="321" w:type="pct"/>
            <w:tcBorders>
              <w:top w:val="single" w:color="auto" w:sz="4" w:space="0"/>
              <w:left w:val="single" w:color="auto" w:sz="4" w:space="0"/>
              <w:bottom w:val="single" w:color="auto" w:sz="4" w:space="0"/>
              <w:right w:val="single" w:color="auto" w:sz="4" w:space="0"/>
            </w:tcBorders>
            <w:noWrap/>
            <w:vAlign w:val="center"/>
          </w:tcPr>
          <w:p w14:paraId="6B9A7C31">
            <w:pPr>
              <w:pStyle w:val="557"/>
            </w:pPr>
            <w:r>
              <w:rPr>
                <w:rFonts w:hint="eastAsia"/>
              </w:rPr>
              <w:t>55</w:t>
            </w:r>
          </w:p>
        </w:tc>
        <w:tc>
          <w:tcPr>
            <w:tcW w:w="348" w:type="pct"/>
            <w:tcBorders>
              <w:top w:val="single" w:color="auto" w:sz="4" w:space="0"/>
              <w:left w:val="single" w:color="auto" w:sz="4" w:space="0"/>
              <w:bottom w:val="single" w:color="auto" w:sz="4" w:space="0"/>
              <w:right w:val="single" w:color="auto" w:sz="4" w:space="0"/>
            </w:tcBorders>
            <w:noWrap/>
            <w:vAlign w:val="center"/>
          </w:tcPr>
          <w:p w14:paraId="209B57CB">
            <w:pPr>
              <w:pStyle w:val="557"/>
            </w:pPr>
            <w:r>
              <w:rPr>
                <w:rFonts w:hint="eastAsia"/>
              </w:rPr>
              <w:t>136.5</w:t>
            </w:r>
          </w:p>
        </w:tc>
        <w:tc>
          <w:tcPr>
            <w:tcW w:w="248" w:type="pct"/>
            <w:tcBorders>
              <w:top w:val="single" w:color="auto" w:sz="4" w:space="0"/>
              <w:left w:val="single" w:color="auto" w:sz="4" w:space="0"/>
              <w:bottom w:val="single" w:color="auto" w:sz="4" w:space="0"/>
              <w:right w:val="single" w:color="auto" w:sz="4" w:space="0"/>
            </w:tcBorders>
            <w:noWrap/>
            <w:vAlign w:val="center"/>
          </w:tcPr>
          <w:p w14:paraId="0283C11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394627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E92E69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4A4505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EAC247A">
            <w:pPr>
              <w:pStyle w:val="557"/>
            </w:pPr>
            <w:r>
              <w:rPr>
                <w:rFonts w:hint="eastAsia"/>
              </w:rPr>
              <w:t>0.11</w:t>
            </w:r>
          </w:p>
        </w:tc>
        <w:tc>
          <w:tcPr>
            <w:tcW w:w="248" w:type="pct"/>
            <w:tcBorders>
              <w:top w:val="single" w:color="auto" w:sz="4" w:space="0"/>
              <w:left w:val="single" w:color="auto" w:sz="4" w:space="0"/>
              <w:bottom w:val="single" w:color="auto" w:sz="4" w:space="0"/>
              <w:right w:val="single" w:color="auto" w:sz="4" w:space="0"/>
            </w:tcBorders>
            <w:noWrap/>
            <w:vAlign w:val="center"/>
          </w:tcPr>
          <w:p w14:paraId="3D003F9A">
            <w:pPr>
              <w:pStyle w:val="557"/>
            </w:pPr>
            <w:r>
              <w:rPr>
                <w:rFonts w:hint="eastAsia"/>
              </w:rPr>
              <w:t>0.001</w:t>
            </w:r>
          </w:p>
        </w:tc>
        <w:tc>
          <w:tcPr>
            <w:tcW w:w="248" w:type="pct"/>
            <w:tcBorders>
              <w:top w:val="single" w:color="auto" w:sz="4" w:space="0"/>
              <w:left w:val="single" w:color="auto" w:sz="4" w:space="0"/>
              <w:bottom w:val="single" w:color="auto" w:sz="4" w:space="0"/>
              <w:right w:val="single" w:color="auto" w:sz="4" w:space="0"/>
            </w:tcBorders>
            <w:noWrap/>
            <w:vAlign w:val="center"/>
          </w:tcPr>
          <w:p w14:paraId="4D94C44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F3A764A">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60D8CBF3">
            <w:pPr>
              <w:pStyle w:val="557"/>
            </w:pPr>
            <w:r>
              <w:rPr>
                <w:rFonts w:hint="eastAsia"/>
              </w:rPr>
              <w:t>/</w:t>
            </w:r>
          </w:p>
        </w:tc>
      </w:tr>
      <w:tr w14:paraId="63A2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987232C">
            <w:pPr>
              <w:pStyle w:val="557"/>
            </w:pPr>
            <w:r>
              <w:t>5</w:t>
            </w:r>
          </w:p>
        </w:tc>
        <w:tc>
          <w:tcPr>
            <w:tcW w:w="834" w:type="pct"/>
            <w:tcBorders>
              <w:top w:val="single" w:color="auto" w:sz="4" w:space="0"/>
              <w:left w:val="single" w:color="auto" w:sz="4" w:space="0"/>
              <w:bottom w:val="single" w:color="auto" w:sz="4" w:space="0"/>
              <w:right w:val="single" w:color="auto" w:sz="4" w:space="0"/>
            </w:tcBorders>
            <w:noWrap/>
            <w:vAlign w:val="center"/>
          </w:tcPr>
          <w:p w14:paraId="305D35B6">
            <w:pPr>
              <w:pStyle w:val="557"/>
            </w:pPr>
            <w:r>
              <w:rPr>
                <w:rFonts w:hint="eastAsia"/>
              </w:rPr>
              <w:t>低温甲醇洗尾气</w:t>
            </w:r>
          </w:p>
        </w:tc>
        <w:tc>
          <w:tcPr>
            <w:tcW w:w="209" w:type="pct"/>
            <w:tcBorders>
              <w:top w:val="single" w:color="auto" w:sz="4" w:space="0"/>
              <w:left w:val="single" w:color="auto" w:sz="4" w:space="0"/>
              <w:bottom w:val="single" w:color="auto" w:sz="4" w:space="0"/>
              <w:right w:val="single" w:color="auto" w:sz="4" w:space="0"/>
            </w:tcBorders>
            <w:noWrap/>
            <w:vAlign w:val="center"/>
          </w:tcPr>
          <w:p w14:paraId="02E26216">
            <w:pPr>
              <w:pStyle w:val="557"/>
            </w:pPr>
            <w:r>
              <w:rPr>
                <w:rFonts w:hint="eastAsia"/>
              </w:rPr>
              <w:t>60</w:t>
            </w:r>
          </w:p>
        </w:tc>
        <w:tc>
          <w:tcPr>
            <w:tcW w:w="261" w:type="pct"/>
            <w:tcBorders>
              <w:top w:val="single" w:color="auto" w:sz="4" w:space="0"/>
              <w:left w:val="single" w:color="auto" w:sz="4" w:space="0"/>
              <w:bottom w:val="single" w:color="auto" w:sz="4" w:space="0"/>
              <w:right w:val="single" w:color="auto" w:sz="4" w:space="0"/>
            </w:tcBorders>
            <w:noWrap/>
            <w:vAlign w:val="center"/>
          </w:tcPr>
          <w:p w14:paraId="41D986BC">
            <w:pPr>
              <w:pStyle w:val="557"/>
            </w:pPr>
            <w:r>
              <w:rPr>
                <w:rFonts w:hint="eastAsia"/>
              </w:rPr>
              <w:t>40</w:t>
            </w:r>
          </w:p>
        </w:tc>
        <w:tc>
          <w:tcPr>
            <w:tcW w:w="314" w:type="pct"/>
            <w:tcBorders>
              <w:top w:val="single" w:color="auto" w:sz="4" w:space="0"/>
              <w:left w:val="single" w:color="auto" w:sz="4" w:space="0"/>
              <w:bottom w:val="single" w:color="auto" w:sz="4" w:space="0"/>
              <w:right w:val="single" w:color="auto" w:sz="4" w:space="0"/>
            </w:tcBorders>
            <w:noWrap/>
            <w:vAlign w:val="center"/>
          </w:tcPr>
          <w:p w14:paraId="5112C299">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57C0526E">
            <w:pPr>
              <w:pStyle w:val="557"/>
            </w:pPr>
            <w:r>
              <w:rPr>
                <w:rFonts w:hint="eastAsia"/>
              </w:rPr>
              <w:t>0.7</w:t>
            </w:r>
          </w:p>
        </w:tc>
        <w:tc>
          <w:tcPr>
            <w:tcW w:w="321" w:type="pct"/>
            <w:tcBorders>
              <w:top w:val="single" w:color="auto" w:sz="4" w:space="0"/>
              <w:left w:val="single" w:color="auto" w:sz="4" w:space="0"/>
              <w:bottom w:val="single" w:color="auto" w:sz="4" w:space="0"/>
              <w:right w:val="single" w:color="auto" w:sz="4" w:space="0"/>
            </w:tcBorders>
            <w:noWrap/>
            <w:vAlign w:val="center"/>
          </w:tcPr>
          <w:p w14:paraId="0827208E">
            <w:pPr>
              <w:pStyle w:val="557"/>
            </w:pPr>
            <w:r>
              <w:rPr>
                <w:rFonts w:hint="eastAsia"/>
              </w:rPr>
              <w:t>13</w:t>
            </w:r>
          </w:p>
        </w:tc>
        <w:tc>
          <w:tcPr>
            <w:tcW w:w="348" w:type="pct"/>
            <w:tcBorders>
              <w:top w:val="single" w:color="auto" w:sz="4" w:space="0"/>
              <w:left w:val="single" w:color="auto" w:sz="4" w:space="0"/>
              <w:bottom w:val="single" w:color="auto" w:sz="4" w:space="0"/>
              <w:right w:val="single" w:color="auto" w:sz="4" w:space="0"/>
            </w:tcBorders>
            <w:noWrap/>
            <w:vAlign w:val="center"/>
          </w:tcPr>
          <w:p w14:paraId="60188BD9">
            <w:pPr>
              <w:pStyle w:val="557"/>
            </w:pPr>
            <w:r>
              <w:rPr>
                <w:rFonts w:hint="eastAsia"/>
              </w:rPr>
              <w:t>24200</w:t>
            </w:r>
          </w:p>
        </w:tc>
        <w:tc>
          <w:tcPr>
            <w:tcW w:w="248" w:type="pct"/>
            <w:tcBorders>
              <w:top w:val="single" w:color="auto" w:sz="4" w:space="0"/>
              <w:left w:val="single" w:color="auto" w:sz="4" w:space="0"/>
              <w:bottom w:val="single" w:color="auto" w:sz="4" w:space="0"/>
              <w:right w:val="single" w:color="auto" w:sz="4" w:space="0"/>
            </w:tcBorders>
            <w:noWrap/>
            <w:vAlign w:val="center"/>
          </w:tcPr>
          <w:p w14:paraId="28BA00B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2BB24A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07929C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3438ED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1CC4BC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58545C0">
            <w:pPr>
              <w:pStyle w:val="557"/>
            </w:pPr>
            <w:r>
              <w:rPr>
                <w:rFonts w:hint="eastAsia"/>
              </w:rPr>
              <w:t>0.13</w:t>
            </w:r>
          </w:p>
        </w:tc>
        <w:tc>
          <w:tcPr>
            <w:tcW w:w="248" w:type="pct"/>
            <w:tcBorders>
              <w:top w:val="single" w:color="auto" w:sz="4" w:space="0"/>
              <w:left w:val="single" w:color="auto" w:sz="4" w:space="0"/>
              <w:bottom w:val="single" w:color="auto" w:sz="4" w:space="0"/>
              <w:right w:val="single" w:color="auto" w:sz="4" w:space="0"/>
            </w:tcBorders>
            <w:noWrap/>
            <w:vAlign w:val="center"/>
          </w:tcPr>
          <w:p w14:paraId="24D1B2D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BC69EA6">
            <w:pPr>
              <w:pStyle w:val="557"/>
            </w:pPr>
            <w:r>
              <w:rPr>
                <w:rFonts w:hint="eastAsia"/>
              </w:rPr>
              <w:t>0.5775</w:t>
            </w:r>
          </w:p>
        </w:tc>
        <w:tc>
          <w:tcPr>
            <w:tcW w:w="250" w:type="pct"/>
            <w:tcBorders>
              <w:top w:val="single" w:color="auto" w:sz="4" w:space="0"/>
              <w:left w:val="single" w:color="auto" w:sz="4" w:space="0"/>
              <w:bottom w:val="single" w:color="auto" w:sz="4" w:space="0"/>
              <w:right w:val="single" w:color="auto" w:sz="4" w:space="0"/>
            </w:tcBorders>
            <w:vAlign w:val="center"/>
          </w:tcPr>
          <w:p w14:paraId="2DC11727">
            <w:pPr>
              <w:pStyle w:val="557"/>
            </w:pPr>
            <w:r>
              <w:rPr>
                <w:rFonts w:hint="eastAsia"/>
              </w:rPr>
              <w:t>/</w:t>
            </w:r>
          </w:p>
        </w:tc>
      </w:tr>
      <w:tr w14:paraId="4BFB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ACB780B">
            <w:pPr>
              <w:pStyle w:val="557"/>
            </w:pPr>
            <w:r>
              <w:t>6</w:t>
            </w:r>
          </w:p>
        </w:tc>
        <w:tc>
          <w:tcPr>
            <w:tcW w:w="834" w:type="pct"/>
            <w:tcBorders>
              <w:top w:val="single" w:color="auto" w:sz="4" w:space="0"/>
              <w:left w:val="single" w:color="auto" w:sz="4" w:space="0"/>
              <w:bottom w:val="single" w:color="auto" w:sz="4" w:space="0"/>
              <w:right w:val="single" w:color="auto" w:sz="4" w:space="0"/>
            </w:tcBorders>
            <w:noWrap/>
            <w:vAlign w:val="center"/>
          </w:tcPr>
          <w:p w14:paraId="4AC92BFE">
            <w:pPr>
              <w:pStyle w:val="557"/>
            </w:pPr>
            <w:r>
              <w:rPr>
                <w:rFonts w:hint="eastAsia"/>
              </w:rPr>
              <w:t>硫回收制酸尾气</w:t>
            </w:r>
          </w:p>
        </w:tc>
        <w:tc>
          <w:tcPr>
            <w:tcW w:w="209" w:type="pct"/>
            <w:tcBorders>
              <w:top w:val="single" w:color="auto" w:sz="4" w:space="0"/>
              <w:left w:val="single" w:color="auto" w:sz="4" w:space="0"/>
              <w:bottom w:val="single" w:color="auto" w:sz="4" w:space="0"/>
              <w:right w:val="single" w:color="auto" w:sz="4" w:space="0"/>
            </w:tcBorders>
            <w:noWrap/>
            <w:vAlign w:val="center"/>
          </w:tcPr>
          <w:p w14:paraId="22A97BA1">
            <w:pPr>
              <w:pStyle w:val="557"/>
            </w:pPr>
            <w:r>
              <w:rPr>
                <w:rFonts w:hint="eastAsia"/>
              </w:rPr>
              <w:t>-19</w:t>
            </w:r>
          </w:p>
        </w:tc>
        <w:tc>
          <w:tcPr>
            <w:tcW w:w="261" w:type="pct"/>
            <w:tcBorders>
              <w:top w:val="single" w:color="auto" w:sz="4" w:space="0"/>
              <w:left w:val="single" w:color="auto" w:sz="4" w:space="0"/>
              <w:bottom w:val="single" w:color="auto" w:sz="4" w:space="0"/>
              <w:right w:val="single" w:color="auto" w:sz="4" w:space="0"/>
            </w:tcBorders>
            <w:noWrap/>
            <w:vAlign w:val="center"/>
          </w:tcPr>
          <w:p w14:paraId="5AF8867C">
            <w:pPr>
              <w:pStyle w:val="557"/>
            </w:pPr>
            <w:r>
              <w:rPr>
                <w:rFonts w:hint="eastAsia"/>
              </w:rPr>
              <w:t>-72</w:t>
            </w:r>
          </w:p>
        </w:tc>
        <w:tc>
          <w:tcPr>
            <w:tcW w:w="314" w:type="pct"/>
            <w:tcBorders>
              <w:top w:val="single" w:color="auto" w:sz="4" w:space="0"/>
              <w:left w:val="single" w:color="auto" w:sz="4" w:space="0"/>
              <w:bottom w:val="single" w:color="auto" w:sz="4" w:space="0"/>
              <w:right w:val="single" w:color="auto" w:sz="4" w:space="0"/>
            </w:tcBorders>
            <w:noWrap/>
            <w:vAlign w:val="center"/>
          </w:tcPr>
          <w:p w14:paraId="0B4C2954">
            <w:pPr>
              <w:pStyle w:val="557"/>
            </w:pPr>
            <w:r>
              <w:rPr>
                <w:rFonts w:hint="eastAsia"/>
              </w:rPr>
              <w:t>46</w:t>
            </w:r>
          </w:p>
        </w:tc>
        <w:tc>
          <w:tcPr>
            <w:tcW w:w="261" w:type="pct"/>
            <w:tcBorders>
              <w:top w:val="single" w:color="auto" w:sz="4" w:space="0"/>
              <w:left w:val="single" w:color="auto" w:sz="4" w:space="0"/>
              <w:bottom w:val="single" w:color="auto" w:sz="4" w:space="0"/>
              <w:right w:val="single" w:color="auto" w:sz="4" w:space="0"/>
            </w:tcBorders>
            <w:noWrap/>
            <w:vAlign w:val="center"/>
          </w:tcPr>
          <w:p w14:paraId="03DA2CAC">
            <w:pPr>
              <w:pStyle w:val="557"/>
            </w:pPr>
            <w:r>
              <w:rPr>
                <w:rFonts w:hint="eastAsia"/>
              </w:rPr>
              <w:t>0.7</w:t>
            </w:r>
          </w:p>
        </w:tc>
        <w:tc>
          <w:tcPr>
            <w:tcW w:w="321" w:type="pct"/>
            <w:tcBorders>
              <w:top w:val="single" w:color="auto" w:sz="4" w:space="0"/>
              <w:left w:val="single" w:color="auto" w:sz="4" w:space="0"/>
              <w:bottom w:val="single" w:color="auto" w:sz="4" w:space="0"/>
              <w:right w:val="single" w:color="auto" w:sz="4" w:space="0"/>
            </w:tcBorders>
            <w:noWrap/>
            <w:vAlign w:val="center"/>
          </w:tcPr>
          <w:p w14:paraId="63F07BF4">
            <w:pPr>
              <w:pStyle w:val="557"/>
            </w:pPr>
            <w:r>
              <w:rPr>
                <w:rFonts w:hint="eastAsia"/>
              </w:rPr>
              <w:t>50</w:t>
            </w:r>
          </w:p>
        </w:tc>
        <w:tc>
          <w:tcPr>
            <w:tcW w:w="348" w:type="pct"/>
            <w:tcBorders>
              <w:top w:val="single" w:color="auto" w:sz="4" w:space="0"/>
              <w:left w:val="single" w:color="auto" w:sz="4" w:space="0"/>
              <w:bottom w:val="single" w:color="auto" w:sz="4" w:space="0"/>
              <w:right w:val="single" w:color="auto" w:sz="4" w:space="0"/>
            </w:tcBorders>
            <w:noWrap/>
            <w:vAlign w:val="center"/>
          </w:tcPr>
          <w:p w14:paraId="1BD025B2">
            <w:pPr>
              <w:pStyle w:val="557"/>
            </w:pPr>
            <w:r>
              <w:rPr>
                <w:rFonts w:hint="eastAsia"/>
              </w:rPr>
              <w:t>11000</w:t>
            </w:r>
          </w:p>
        </w:tc>
        <w:tc>
          <w:tcPr>
            <w:tcW w:w="248" w:type="pct"/>
            <w:tcBorders>
              <w:top w:val="single" w:color="auto" w:sz="4" w:space="0"/>
              <w:left w:val="single" w:color="auto" w:sz="4" w:space="0"/>
              <w:bottom w:val="single" w:color="auto" w:sz="4" w:space="0"/>
              <w:right w:val="single" w:color="auto" w:sz="4" w:space="0"/>
            </w:tcBorders>
            <w:noWrap/>
            <w:vAlign w:val="center"/>
          </w:tcPr>
          <w:p w14:paraId="1B42E047">
            <w:pPr>
              <w:pStyle w:val="557"/>
            </w:pPr>
            <w:r>
              <w:rPr>
                <w:rFonts w:hint="eastAsia"/>
              </w:rPr>
              <w:t>2.02</w:t>
            </w:r>
          </w:p>
        </w:tc>
        <w:tc>
          <w:tcPr>
            <w:tcW w:w="248" w:type="pct"/>
            <w:tcBorders>
              <w:top w:val="single" w:color="auto" w:sz="4" w:space="0"/>
              <w:left w:val="single" w:color="auto" w:sz="4" w:space="0"/>
              <w:bottom w:val="single" w:color="auto" w:sz="4" w:space="0"/>
              <w:right w:val="single" w:color="auto" w:sz="4" w:space="0"/>
            </w:tcBorders>
            <w:noWrap/>
            <w:vAlign w:val="center"/>
          </w:tcPr>
          <w:p w14:paraId="6FA2C9A0">
            <w:pPr>
              <w:pStyle w:val="557"/>
            </w:pPr>
            <w:r>
              <w:rPr>
                <w:rFonts w:hint="eastAsia"/>
              </w:rPr>
              <w:t>1.35</w:t>
            </w:r>
          </w:p>
        </w:tc>
        <w:tc>
          <w:tcPr>
            <w:tcW w:w="248" w:type="pct"/>
            <w:tcBorders>
              <w:top w:val="single" w:color="auto" w:sz="4" w:space="0"/>
              <w:left w:val="single" w:color="auto" w:sz="4" w:space="0"/>
              <w:bottom w:val="single" w:color="auto" w:sz="4" w:space="0"/>
              <w:right w:val="single" w:color="auto" w:sz="4" w:space="0"/>
            </w:tcBorders>
            <w:noWrap/>
            <w:vAlign w:val="center"/>
          </w:tcPr>
          <w:p w14:paraId="531DE40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CC2BA5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573598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53D385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8A6A42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BF4BB32">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06BE4223">
            <w:pPr>
              <w:pStyle w:val="557"/>
            </w:pPr>
            <w:r>
              <w:rPr>
                <w:rFonts w:hint="eastAsia"/>
              </w:rPr>
              <w:t>0.29</w:t>
            </w:r>
          </w:p>
        </w:tc>
      </w:tr>
      <w:tr w14:paraId="7BD2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1A8426C5">
            <w:pPr>
              <w:pStyle w:val="557"/>
            </w:pPr>
            <w:r>
              <w:t>7</w:t>
            </w:r>
          </w:p>
        </w:tc>
        <w:tc>
          <w:tcPr>
            <w:tcW w:w="834" w:type="pct"/>
            <w:tcBorders>
              <w:top w:val="single" w:color="auto" w:sz="4" w:space="0"/>
              <w:left w:val="single" w:color="auto" w:sz="4" w:space="0"/>
              <w:bottom w:val="single" w:color="auto" w:sz="4" w:space="0"/>
              <w:right w:val="single" w:color="auto" w:sz="4" w:space="0"/>
            </w:tcBorders>
            <w:noWrap/>
            <w:vAlign w:val="center"/>
          </w:tcPr>
          <w:p w14:paraId="5AD00970">
            <w:pPr>
              <w:pStyle w:val="557"/>
            </w:pPr>
            <w:r>
              <w:rPr>
                <w:rFonts w:hint="eastAsia"/>
              </w:rPr>
              <w:t>草酰胺装置尾气吸收塔顶排气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7A06FE87">
            <w:pPr>
              <w:pStyle w:val="557"/>
            </w:pPr>
            <w:r>
              <w:rPr>
                <w:rFonts w:hint="eastAsia"/>
              </w:rPr>
              <w:t>-318</w:t>
            </w:r>
          </w:p>
        </w:tc>
        <w:tc>
          <w:tcPr>
            <w:tcW w:w="261" w:type="pct"/>
            <w:tcBorders>
              <w:top w:val="single" w:color="auto" w:sz="4" w:space="0"/>
              <w:left w:val="single" w:color="auto" w:sz="4" w:space="0"/>
              <w:bottom w:val="single" w:color="auto" w:sz="4" w:space="0"/>
              <w:right w:val="single" w:color="auto" w:sz="4" w:space="0"/>
            </w:tcBorders>
            <w:noWrap/>
            <w:vAlign w:val="center"/>
          </w:tcPr>
          <w:p w14:paraId="795F7002">
            <w:pPr>
              <w:pStyle w:val="557"/>
            </w:pPr>
            <w:r>
              <w:rPr>
                <w:rFonts w:hint="eastAsia"/>
              </w:rPr>
              <w:t>210</w:t>
            </w:r>
          </w:p>
        </w:tc>
        <w:tc>
          <w:tcPr>
            <w:tcW w:w="314" w:type="pct"/>
            <w:tcBorders>
              <w:top w:val="single" w:color="auto" w:sz="4" w:space="0"/>
              <w:left w:val="single" w:color="auto" w:sz="4" w:space="0"/>
              <w:bottom w:val="single" w:color="auto" w:sz="4" w:space="0"/>
              <w:right w:val="single" w:color="auto" w:sz="4" w:space="0"/>
            </w:tcBorders>
            <w:noWrap/>
            <w:vAlign w:val="center"/>
          </w:tcPr>
          <w:p w14:paraId="5D58FD61">
            <w:pPr>
              <w:pStyle w:val="557"/>
            </w:pPr>
            <w:r>
              <w:rPr>
                <w:rFonts w:hint="eastAsia"/>
              </w:rPr>
              <w:t>25</w:t>
            </w:r>
          </w:p>
        </w:tc>
        <w:tc>
          <w:tcPr>
            <w:tcW w:w="261" w:type="pct"/>
            <w:tcBorders>
              <w:top w:val="single" w:color="auto" w:sz="4" w:space="0"/>
              <w:left w:val="single" w:color="auto" w:sz="4" w:space="0"/>
              <w:bottom w:val="single" w:color="auto" w:sz="4" w:space="0"/>
              <w:right w:val="single" w:color="auto" w:sz="4" w:space="0"/>
            </w:tcBorders>
            <w:noWrap/>
            <w:vAlign w:val="center"/>
          </w:tcPr>
          <w:p w14:paraId="39FD476F">
            <w:pPr>
              <w:pStyle w:val="557"/>
            </w:pPr>
            <w:r>
              <w:rPr>
                <w:rFonts w:hint="eastAsia"/>
              </w:rPr>
              <w:t>1.5</w:t>
            </w:r>
          </w:p>
        </w:tc>
        <w:tc>
          <w:tcPr>
            <w:tcW w:w="321" w:type="pct"/>
            <w:tcBorders>
              <w:top w:val="single" w:color="auto" w:sz="4" w:space="0"/>
              <w:left w:val="single" w:color="auto" w:sz="4" w:space="0"/>
              <w:bottom w:val="single" w:color="auto" w:sz="4" w:space="0"/>
              <w:right w:val="single" w:color="auto" w:sz="4" w:space="0"/>
            </w:tcBorders>
            <w:noWrap/>
            <w:vAlign w:val="center"/>
          </w:tcPr>
          <w:p w14:paraId="44AA34F5">
            <w:pPr>
              <w:pStyle w:val="557"/>
            </w:pPr>
            <w:r>
              <w:rPr>
                <w:rFonts w:hint="eastAsia"/>
              </w:rPr>
              <w:t>18</w:t>
            </w:r>
          </w:p>
        </w:tc>
        <w:tc>
          <w:tcPr>
            <w:tcW w:w="348" w:type="pct"/>
            <w:tcBorders>
              <w:top w:val="single" w:color="auto" w:sz="4" w:space="0"/>
              <w:left w:val="single" w:color="auto" w:sz="4" w:space="0"/>
              <w:bottom w:val="single" w:color="auto" w:sz="4" w:space="0"/>
              <w:right w:val="single" w:color="auto" w:sz="4" w:space="0"/>
            </w:tcBorders>
            <w:noWrap/>
            <w:vAlign w:val="center"/>
          </w:tcPr>
          <w:p w14:paraId="50BE675B">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338FEB6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3474E2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18DDF5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ABD2C9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665B5D0">
            <w:pPr>
              <w:pStyle w:val="557"/>
            </w:pPr>
            <w:r>
              <w:rPr>
                <w:rFonts w:hint="eastAsia"/>
              </w:rPr>
              <w:t>0.014</w:t>
            </w:r>
          </w:p>
        </w:tc>
        <w:tc>
          <w:tcPr>
            <w:tcW w:w="248" w:type="pct"/>
            <w:tcBorders>
              <w:top w:val="single" w:color="auto" w:sz="4" w:space="0"/>
              <w:left w:val="single" w:color="auto" w:sz="4" w:space="0"/>
              <w:bottom w:val="single" w:color="auto" w:sz="4" w:space="0"/>
              <w:right w:val="single" w:color="auto" w:sz="4" w:space="0"/>
            </w:tcBorders>
            <w:noWrap/>
            <w:vAlign w:val="center"/>
          </w:tcPr>
          <w:p w14:paraId="16FCD58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C98D4F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E2EECAA">
            <w:pPr>
              <w:pStyle w:val="557"/>
            </w:pPr>
            <w:r>
              <w:rPr>
                <w:rFonts w:hint="eastAsia"/>
              </w:rPr>
              <w:t>0.038</w:t>
            </w:r>
          </w:p>
        </w:tc>
        <w:tc>
          <w:tcPr>
            <w:tcW w:w="250" w:type="pct"/>
            <w:tcBorders>
              <w:top w:val="single" w:color="auto" w:sz="4" w:space="0"/>
              <w:left w:val="single" w:color="auto" w:sz="4" w:space="0"/>
              <w:bottom w:val="single" w:color="auto" w:sz="4" w:space="0"/>
              <w:right w:val="single" w:color="auto" w:sz="4" w:space="0"/>
            </w:tcBorders>
            <w:vAlign w:val="center"/>
          </w:tcPr>
          <w:p w14:paraId="3939DCA5">
            <w:pPr>
              <w:pStyle w:val="557"/>
            </w:pPr>
            <w:r>
              <w:rPr>
                <w:rFonts w:hint="eastAsia"/>
              </w:rPr>
              <w:t>/</w:t>
            </w:r>
          </w:p>
        </w:tc>
      </w:tr>
      <w:tr w14:paraId="0490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70C7B5A">
            <w:pPr>
              <w:pStyle w:val="557"/>
            </w:pPr>
            <w:r>
              <w:t>8</w:t>
            </w:r>
          </w:p>
        </w:tc>
        <w:tc>
          <w:tcPr>
            <w:tcW w:w="834" w:type="pct"/>
            <w:tcBorders>
              <w:top w:val="single" w:color="auto" w:sz="4" w:space="0"/>
              <w:left w:val="single" w:color="auto" w:sz="4" w:space="0"/>
              <w:bottom w:val="single" w:color="auto" w:sz="4" w:space="0"/>
              <w:right w:val="single" w:color="auto" w:sz="4" w:space="0"/>
            </w:tcBorders>
            <w:noWrap/>
            <w:vAlign w:val="center"/>
          </w:tcPr>
          <w:p w14:paraId="14E507C9">
            <w:pPr>
              <w:pStyle w:val="557"/>
            </w:pPr>
            <w:r>
              <w:rPr>
                <w:rFonts w:hint="eastAsia"/>
              </w:rPr>
              <w:t>有机缓释肥装置-1#投料废气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31686690">
            <w:pPr>
              <w:pStyle w:val="557"/>
            </w:pPr>
            <w:r>
              <w:rPr>
                <w:rFonts w:hint="eastAsia"/>
              </w:rPr>
              <w:t>-373</w:t>
            </w:r>
          </w:p>
        </w:tc>
        <w:tc>
          <w:tcPr>
            <w:tcW w:w="261" w:type="pct"/>
            <w:tcBorders>
              <w:top w:val="single" w:color="auto" w:sz="4" w:space="0"/>
              <w:left w:val="single" w:color="auto" w:sz="4" w:space="0"/>
              <w:bottom w:val="single" w:color="auto" w:sz="4" w:space="0"/>
              <w:right w:val="single" w:color="auto" w:sz="4" w:space="0"/>
            </w:tcBorders>
            <w:noWrap/>
            <w:vAlign w:val="center"/>
          </w:tcPr>
          <w:p w14:paraId="0D33732A">
            <w:pPr>
              <w:pStyle w:val="557"/>
            </w:pPr>
            <w:r>
              <w:rPr>
                <w:rFonts w:hint="eastAsia"/>
              </w:rPr>
              <w:t>88</w:t>
            </w:r>
          </w:p>
        </w:tc>
        <w:tc>
          <w:tcPr>
            <w:tcW w:w="314" w:type="pct"/>
            <w:tcBorders>
              <w:top w:val="single" w:color="auto" w:sz="4" w:space="0"/>
              <w:left w:val="single" w:color="auto" w:sz="4" w:space="0"/>
              <w:bottom w:val="single" w:color="auto" w:sz="4" w:space="0"/>
              <w:right w:val="single" w:color="auto" w:sz="4" w:space="0"/>
            </w:tcBorders>
            <w:noWrap/>
            <w:vAlign w:val="center"/>
          </w:tcPr>
          <w:p w14:paraId="09D5C55D">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69012F9D">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6D8C8807">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434B6742">
            <w:pPr>
              <w:pStyle w:val="557"/>
            </w:pPr>
            <w:r>
              <w:rPr>
                <w:rFonts w:hint="eastAsia"/>
              </w:rPr>
              <w:t>21500</w:t>
            </w:r>
          </w:p>
        </w:tc>
        <w:tc>
          <w:tcPr>
            <w:tcW w:w="248" w:type="pct"/>
            <w:tcBorders>
              <w:top w:val="single" w:color="auto" w:sz="4" w:space="0"/>
              <w:left w:val="single" w:color="auto" w:sz="4" w:space="0"/>
              <w:bottom w:val="single" w:color="auto" w:sz="4" w:space="0"/>
              <w:right w:val="single" w:color="auto" w:sz="4" w:space="0"/>
            </w:tcBorders>
            <w:noWrap/>
            <w:vAlign w:val="center"/>
          </w:tcPr>
          <w:p w14:paraId="3EC52C6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D45A56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3E6C0B9">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267C596B">
            <w:pPr>
              <w:pStyle w:val="557"/>
            </w:pPr>
            <w:r>
              <w:rPr>
                <w:rFonts w:hint="eastAsia"/>
              </w:rPr>
              <w:t>0.1</w:t>
            </w:r>
          </w:p>
        </w:tc>
        <w:tc>
          <w:tcPr>
            <w:tcW w:w="248" w:type="pct"/>
            <w:tcBorders>
              <w:top w:val="single" w:color="auto" w:sz="4" w:space="0"/>
              <w:left w:val="single" w:color="auto" w:sz="4" w:space="0"/>
              <w:bottom w:val="single" w:color="auto" w:sz="4" w:space="0"/>
              <w:right w:val="single" w:color="auto" w:sz="4" w:space="0"/>
            </w:tcBorders>
            <w:noWrap/>
            <w:vAlign w:val="center"/>
          </w:tcPr>
          <w:p w14:paraId="0B7F1A0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616C60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2B6DC1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C2571DC">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538DDE29">
            <w:pPr>
              <w:pStyle w:val="557"/>
            </w:pPr>
            <w:r>
              <w:rPr>
                <w:rFonts w:hint="eastAsia"/>
              </w:rPr>
              <w:t>/</w:t>
            </w:r>
          </w:p>
        </w:tc>
      </w:tr>
      <w:tr w14:paraId="3614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3DF81BDB">
            <w:pPr>
              <w:pStyle w:val="557"/>
            </w:pPr>
            <w:r>
              <w:t>9</w:t>
            </w:r>
          </w:p>
        </w:tc>
        <w:tc>
          <w:tcPr>
            <w:tcW w:w="834" w:type="pct"/>
            <w:tcBorders>
              <w:top w:val="single" w:color="auto" w:sz="4" w:space="0"/>
              <w:left w:val="single" w:color="auto" w:sz="4" w:space="0"/>
              <w:bottom w:val="single" w:color="auto" w:sz="4" w:space="0"/>
              <w:right w:val="single" w:color="auto" w:sz="4" w:space="0"/>
            </w:tcBorders>
            <w:noWrap/>
            <w:vAlign w:val="center"/>
          </w:tcPr>
          <w:p w14:paraId="72516BC9">
            <w:pPr>
              <w:pStyle w:val="557"/>
            </w:pPr>
            <w:r>
              <w:rPr>
                <w:rFonts w:hint="eastAsia"/>
              </w:rPr>
              <w:t>2#投料废气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38A0E5F2">
            <w:pPr>
              <w:pStyle w:val="557"/>
            </w:pPr>
            <w:r>
              <w:rPr>
                <w:rFonts w:hint="eastAsia"/>
              </w:rPr>
              <w:t>-371</w:t>
            </w:r>
          </w:p>
        </w:tc>
        <w:tc>
          <w:tcPr>
            <w:tcW w:w="261" w:type="pct"/>
            <w:tcBorders>
              <w:top w:val="single" w:color="auto" w:sz="4" w:space="0"/>
              <w:left w:val="single" w:color="auto" w:sz="4" w:space="0"/>
              <w:bottom w:val="single" w:color="auto" w:sz="4" w:space="0"/>
              <w:right w:val="single" w:color="auto" w:sz="4" w:space="0"/>
            </w:tcBorders>
            <w:noWrap/>
            <w:vAlign w:val="center"/>
          </w:tcPr>
          <w:p w14:paraId="0FA24C5C">
            <w:pPr>
              <w:pStyle w:val="557"/>
            </w:pPr>
            <w:r>
              <w:rPr>
                <w:rFonts w:hint="eastAsia"/>
              </w:rPr>
              <w:t>6</w:t>
            </w:r>
          </w:p>
        </w:tc>
        <w:tc>
          <w:tcPr>
            <w:tcW w:w="314" w:type="pct"/>
            <w:tcBorders>
              <w:top w:val="single" w:color="auto" w:sz="4" w:space="0"/>
              <w:left w:val="single" w:color="auto" w:sz="4" w:space="0"/>
              <w:bottom w:val="single" w:color="auto" w:sz="4" w:space="0"/>
              <w:right w:val="single" w:color="auto" w:sz="4" w:space="0"/>
            </w:tcBorders>
            <w:noWrap/>
            <w:vAlign w:val="center"/>
          </w:tcPr>
          <w:p w14:paraId="605817EC">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2E9AA2E9">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7D6886E1">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2E0B5575">
            <w:pPr>
              <w:pStyle w:val="557"/>
            </w:pPr>
            <w:r>
              <w:rPr>
                <w:rFonts w:hint="eastAsia"/>
              </w:rPr>
              <w:t>21500</w:t>
            </w:r>
          </w:p>
        </w:tc>
        <w:tc>
          <w:tcPr>
            <w:tcW w:w="248" w:type="pct"/>
            <w:tcBorders>
              <w:top w:val="single" w:color="auto" w:sz="4" w:space="0"/>
              <w:left w:val="single" w:color="auto" w:sz="4" w:space="0"/>
              <w:bottom w:val="single" w:color="auto" w:sz="4" w:space="0"/>
              <w:right w:val="single" w:color="auto" w:sz="4" w:space="0"/>
            </w:tcBorders>
            <w:noWrap/>
            <w:vAlign w:val="center"/>
          </w:tcPr>
          <w:p w14:paraId="03DA3CC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659640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E5EFE98">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6D59BA79">
            <w:pPr>
              <w:pStyle w:val="557"/>
            </w:pPr>
            <w:r>
              <w:rPr>
                <w:rFonts w:hint="eastAsia"/>
              </w:rPr>
              <w:t>0.1</w:t>
            </w:r>
          </w:p>
        </w:tc>
        <w:tc>
          <w:tcPr>
            <w:tcW w:w="248" w:type="pct"/>
            <w:tcBorders>
              <w:top w:val="single" w:color="auto" w:sz="4" w:space="0"/>
              <w:left w:val="single" w:color="auto" w:sz="4" w:space="0"/>
              <w:bottom w:val="single" w:color="auto" w:sz="4" w:space="0"/>
              <w:right w:val="single" w:color="auto" w:sz="4" w:space="0"/>
            </w:tcBorders>
            <w:noWrap/>
            <w:vAlign w:val="center"/>
          </w:tcPr>
          <w:p w14:paraId="2653A91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289EDC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073EE1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A82D46E">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381C7081">
            <w:pPr>
              <w:pStyle w:val="557"/>
            </w:pPr>
            <w:r>
              <w:rPr>
                <w:rFonts w:hint="eastAsia"/>
              </w:rPr>
              <w:t>/</w:t>
            </w:r>
          </w:p>
        </w:tc>
      </w:tr>
      <w:tr w14:paraId="2FA2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8ADBCB3">
            <w:pPr>
              <w:pStyle w:val="557"/>
            </w:pPr>
            <w:r>
              <w:t>10</w:t>
            </w:r>
          </w:p>
        </w:tc>
        <w:tc>
          <w:tcPr>
            <w:tcW w:w="834" w:type="pct"/>
            <w:tcBorders>
              <w:top w:val="single" w:color="auto" w:sz="4" w:space="0"/>
              <w:left w:val="single" w:color="auto" w:sz="4" w:space="0"/>
              <w:bottom w:val="single" w:color="auto" w:sz="4" w:space="0"/>
              <w:right w:val="single" w:color="auto" w:sz="4" w:space="0"/>
            </w:tcBorders>
            <w:noWrap/>
            <w:vAlign w:val="center"/>
          </w:tcPr>
          <w:p w14:paraId="1C2D120B">
            <w:pPr>
              <w:pStyle w:val="557"/>
            </w:pPr>
            <w:r>
              <w:rPr>
                <w:rFonts w:hint="eastAsia"/>
              </w:rPr>
              <w:t>1#-造粒废气、1#包装废气、1#烘干废气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081A02DF">
            <w:pPr>
              <w:pStyle w:val="557"/>
            </w:pPr>
            <w:r>
              <w:rPr>
                <w:rFonts w:hint="eastAsia"/>
              </w:rPr>
              <w:t>-241</w:t>
            </w:r>
          </w:p>
        </w:tc>
        <w:tc>
          <w:tcPr>
            <w:tcW w:w="261" w:type="pct"/>
            <w:tcBorders>
              <w:top w:val="single" w:color="auto" w:sz="4" w:space="0"/>
              <w:left w:val="single" w:color="auto" w:sz="4" w:space="0"/>
              <w:bottom w:val="single" w:color="auto" w:sz="4" w:space="0"/>
              <w:right w:val="single" w:color="auto" w:sz="4" w:space="0"/>
            </w:tcBorders>
            <w:noWrap/>
            <w:vAlign w:val="center"/>
          </w:tcPr>
          <w:p w14:paraId="68ECD470">
            <w:pPr>
              <w:pStyle w:val="557"/>
            </w:pPr>
            <w:r>
              <w:rPr>
                <w:rFonts w:hint="eastAsia"/>
              </w:rPr>
              <w:t>-44</w:t>
            </w:r>
          </w:p>
        </w:tc>
        <w:tc>
          <w:tcPr>
            <w:tcW w:w="314" w:type="pct"/>
            <w:tcBorders>
              <w:top w:val="single" w:color="auto" w:sz="4" w:space="0"/>
              <w:left w:val="single" w:color="auto" w:sz="4" w:space="0"/>
              <w:bottom w:val="single" w:color="auto" w:sz="4" w:space="0"/>
              <w:right w:val="single" w:color="auto" w:sz="4" w:space="0"/>
            </w:tcBorders>
            <w:noWrap/>
            <w:vAlign w:val="center"/>
          </w:tcPr>
          <w:p w14:paraId="609ECC10">
            <w:pPr>
              <w:pStyle w:val="557"/>
            </w:pPr>
            <w:r>
              <w:rPr>
                <w:rFonts w:hint="eastAsia"/>
              </w:rPr>
              <w:t>40</w:t>
            </w:r>
          </w:p>
        </w:tc>
        <w:tc>
          <w:tcPr>
            <w:tcW w:w="261" w:type="pct"/>
            <w:tcBorders>
              <w:top w:val="single" w:color="auto" w:sz="4" w:space="0"/>
              <w:left w:val="single" w:color="auto" w:sz="4" w:space="0"/>
              <w:bottom w:val="single" w:color="auto" w:sz="4" w:space="0"/>
              <w:right w:val="single" w:color="auto" w:sz="4" w:space="0"/>
            </w:tcBorders>
            <w:noWrap/>
            <w:vAlign w:val="center"/>
          </w:tcPr>
          <w:p w14:paraId="470779EC">
            <w:pPr>
              <w:pStyle w:val="557"/>
            </w:pPr>
            <w:r>
              <w:rPr>
                <w:rFonts w:hint="eastAsia"/>
              </w:rPr>
              <w:t>1.8</w:t>
            </w:r>
          </w:p>
        </w:tc>
        <w:tc>
          <w:tcPr>
            <w:tcW w:w="321" w:type="pct"/>
            <w:tcBorders>
              <w:top w:val="single" w:color="auto" w:sz="4" w:space="0"/>
              <w:left w:val="single" w:color="auto" w:sz="4" w:space="0"/>
              <w:bottom w:val="single" w:color="auto" w:sz="4" w:space="0"/>
              <w:right w:val="single" w:color="auto" w:sz="4" w:space="0"/>
            </w:tcBorders>
            <w:noWrap/>
            <w:vAlign w:val="center"/>
          </w:tcPr>
          <w:p w14:paraId="04DD3319">
            <w:pPr>
              <w:pStyle w:val="557"/>
            </w:pPr>
            <w:r>
              <w:rPr>
                <w:rFonts w:hint="eastAsia"/>
              </w:rPr>
              <w:t>30</w:t>
            </w:r>
          </w:p>
        </w:tc>
        <w:tc>
          <w:tcPr>
            <w:tcW w:w="348" w:type="pct"/>
            <w:tcBorders>
              <w:top w:val="single" w:color="auto" w:sz="4" w:space="0"/>
              <w:left w:val="single" w:color="auto" w:sz="4" w:space="0"/>
              <w:bottom w:val="single" w:color="auto" w:sz="4" w:space="0"/>
              <w:right w:val="single" w:color="auto" w:sz="4" w:space="0"/>
            </w:tcBorders>
            <w:noWrap/>
            <w:vAlign w:val="center"/>
          </w:tcPr>
          <w:p w14:paraId="34FDE9D3">
            <w:pPr>
              <w:pStyle w:val="557"/>
            </w:pPr>
            <w:r>
              <w:rPr>
                <w:rFonts w:hint="eastAsia"/>
              </w:rPr>
              <w:t>324000</w:t>
            </w:r>
          </w:p>
        </w:tc>
        <w:tc>
          <w:tcPr>
            <w:tcW w:w="248" w:type="pct"/>
            <w:tcBorders>
              <w:top w:val="single" w:color="auto" w:sz="4" w:space="0"/>
              <w:left w:val="single" w:color="auto" w:sz="4" w:space="0"/>
              <w:bottom w:val="single" w:color="auto" w:sz="4" w:space="0"/>
              <w:right w:val="single" w:color="auto" w:sz="4" w:space="0"/>
            </w:tcBorders>
            <w:noWrap/>
            <w:vAlign w:val="center"/>
          </w:tcPr>
          <w:p w14:paraId="0C000FC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96A341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A5E08CF">
            <w:pPr>
              <w:pStyle w:val="557"/>
            </w:pPr>
            <w:r>
              <w:rPr>
                <w:rFonts w:hint="eastAsia"/>
              </w:rPr>
              <w:t>5.95</w:t>
            </w:r>
          </w:p>
        </w:tc>
        <w:tc>
          <w:tcPr>
            <w:tcW w:w="248" w:type="pct"/>
            <w:tcBorders>
              <w:top w:val="single" w:color="auto" w:sz="4" w:space="0"/>
              <w:left w:val="single" w:color="auto" w:sz="4" w:space="0"/>
              <w:bottom w:val="single" w:color="auto" w:sz="4" w:space="0"/>
              <w:right w:val="single" w:color="auto" w:sz="4" w:space="0"/>
            </w:tcBorders>
            <w:noWrap/>
            <w:vAlign w:val="center"/>
          </w:tcPr>
          <w:p w14:paraId="0484EA1C">
            <w:pPr>
              <w:pStyle w:val="557"/>
            </w:pPr>
            <w:r>
              <w:rPr>
                <w:rFonts w:hint="eastAsia"/>
              </w:rPr>
              <w:t>2.98</w:t>
            </w:r>
          </w:p>
        </w:tc>
        <w:tc>
          <w:tcPr>
            <w:tcW w:w="248" w:type="pct"/>
            <w:tcBorders>
              <w:top w:val="single" w:color="auto" w:sz="4" w:space="0"/>
              <w:left w:val="single" w:color="auto" w:sz="4" w:space="0"/>
              <w:bottom w:val="single" w:color="auto" w:sz="4" w:space="0"/>
              <w:right w:val="single" w:color="auto" w:sz="4" w:space="0"/>
            </w:tcBorders>
            <w:noWrap/>
            <w:vAlign w:val="center"/>
          </w:tcPr>
          <w:p w14:paraId="7A15DFDA">
            <w:pPr>
              <w:pStyle w:val="557"/>
            </w:pPr>
            <w:r>
              <w:rPr>
                <w:rFonts w:hint="eastAsia"/>
              </w:rPr>
              <w:t>0.49</w:t>
            </w:r>
          </w:p>
        </w:tc>
        <w:tc>
          <w:tcPr>
            <w:tcW w:w="248" w:type="pct"/>
            <w:tcBorders>
              <w:top w:val="single" w:color="auto" w:sz="4" w:space="0"/>
              <w:left w:val="single" w:color="auto" w:sz="4" w:space="0"/>
              <w:bottom w:val="single" w:color="auto" w:sz="4" w:space="0"/>
              <w:right w:val="single" w:color="auto" w:sz="4" w:space="0"/>
            </w:tcBorders>
            <w:noWrap/>
            <w:vAlign w:val="center"/>
          </w:tcPr>
          <w:p w14:paraId="3439AA6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34BF7BC">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346B9C7F">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1F5F8CA1">
            <w:pPr>
              <w:pStyle w:val="557"/>
            </w:pPr>
            <w:r>
              <w:rPr>
                <w:rFonts w:hint="eastAsia"/>
              </w:rPr>
              <w:t>/</w:t>
            </w:r>
          </w:p>
        </w:tc>
      </w:tr>
      <w:tr w14:paraId="4568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123F2622">
            <w:pPr>
              <w:pStyle w:val="557"/>
            </w:pPr>
            <w:r>
              <w:t>11</w:t>
            </w:r>
          </w:p>
        </w:tc>
        <w:tc>
          <w:tcPr>
            <w:tcW w:w="834" w:type="pct"/>
            <w:tcBorders>
              <w:top w:val="single" w:color="auto" w:sz="4" w:space="0"/>
              <w:left w:val="single" w:color="auto" w:sz="4" w:space="0"/>
              <w:bottom w:val="single" w:color="auto" w:sz="4" w:space="0"/>
              <w:right w:val="single" w:color="auto" w:sz="4" w:space="0"/>
            </w:tcBorders>
            <w:noWrap/>
            <w:vAlign w:val="center"/>
          </w:tcPr>
          <w:p w14:paraId="1BA6ADD6">
            <w:pPr>
              <w:pStyle w:val="557"/>
            </w:pPr>
            <w:r>
              <w:rPr>
                <w:rFonts w:hint="eastAsia"/>
              </w:rPr>
              <w:t>2#-造粒废气、2#包装废气、3#烘干废气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6467A928">
            <w:pPr>
              <w:pStyle w:val="557"/>
            </w:pPr>
            <w:r>
              <w:rPr>
                <w:rFonts w:hint="eastAsia"/>
              </w:rPr>
              <w:t>-273</w:t>
            </w:r>
          </w:p>
        </w:tc>
        <w:tc>
          <w:tcPr>
            <w:tcW w:w="261" w:type="pct"/>
            <w:tcBorders>
              <w:top w:val="single" w:color="auto" w:sz="4" w:space="0"/>
              <w:left w:val="single" w:color="auto" w:sz="4" w:space="0"/>
              <w:bottom w:val="single" w:color="auto" w:sz="4" w:space="0"/>
              <w:right w:val="single" w:color="auto" w:sz="4" w:space="0"/>
            </w:tcBorders>
            <w:noWrap/>
            <w:vAlign w:val="center"/>
          </w:tcPr>
          <w:p w14:paraId="77D14922">
            <w:pPr>
              <w:pStyle w:val="557"/>
            </w:pPr>
            <w:r>
              <w:rPr>
                <w:rFonts w:hint="eastAsia"/>
              </w:rPr>
              <w:t>-95</w:t>
            </w:r>
          </w:p>
        </w:tc>
        <w:tc>
          <w:tcPr>
            <w:tcW w:w="314" w:type="pct"/>
            <w:tcBorders>
              <w:top w:val="single" w:color="auto" w:sz="4" w:space="0"/>
              <w:left w:val="single" w:color="auto" w:sz="4" w:space="0"/>
              <w:bottom w:val="single" w:color="auto" w:sz="4" w:space="0"/>
              <w:right w:val="single" w:color="auto" w:sz="4" w:space="0"/>
            </w:tcBorders>
            <w:noWrap/>
            <w:vAlign w:val="center"/>
          </w:tcPr>
          <w:p w14:paraId="32EF82E1">
            <w:pPr>
              <w:pStyle w:val="557"/>
            </w:pPr>
            <w:r>
              <w:rPr>
                <w:rFonts w:hint="eastAsia"/>
              </w:rPr>
              <w:t>40</w:t>
            </w:r>
          </w:p>
        </w:tc>
        <w:tc>
          <w:tcPr>
            <w:tcW w:w="261" w:type="pct"/>
            <w:tcBorders>
              <w:top w:val="single" w:color="auto" w:sz="4" w:space="0"/>
              <w:left w:val="single" w:color="auto" w:sz="4" w:space="0"/>
              <w:bottom w:val="single" w:color="auto" w:sz="4" w:space="0"/>
              <w:right w:val="single" w:color="auto" w:sz="4" w:space="0"/>
            </w:tcBorders>
            <w:noWrap/>
            <w:vAlign w:val="center"/>
          </w:tcPr>
          <w:p w14:paraId="297CD060">
            <w:pPr>
              <w:pStyle w:val="557"/>
            </w:pPr>
            <w:r>
              <w:rPr>
                <w:rFonts w:hint="eastAsia"/>
              </w:rPr>
              <w:t>1.8</w:t>
            </w:r>
          </w:p>
        </w:tc>
        <w:tc>
          <w:tcPr>
            <w:tcW w:w="321" w:type="pct"/>
            <w:tcBorders>
              <w:top w:val="single" w:color="auto" w:sz="4" w:space="0"/>
              <w:left w:val="single" w:color="auto" w:sz="4" w:space="0"/>
              <w:bottom w:val="single" w:color="auto" w:sz="4" w:space="0"/>
              <w:right w:val="single" w:color="auto" w:sz="4" w:space="0"/>
            </w:tcBorders>
            <w:noWrap/>
            <w:vAlign w:val="center"/>
          </w:tcPr>
          <w:p w14:paraId="3452B629">
            <w:pPr>
              <w:pStyle w:val="557"/>
            </w:pPr>
            <w:r>
              <w:rPr>
                <w:rFonts w:hint="eastAsia"/>
              </w:rPr>
              <w:t>30</w:t>
            </w:r>
          </w:p>
        </w:tc>
        <w:tc>
          <w:tcPr>
            <w:tcW w:w="348" w:type="pct"/>
            <w:tcBorders>
              <w:top w:val="single" w:color="auto" w:sz="4" w:space="0"/>
              <w:left w:val="single" w:color="auto" w:sz="4" w:space="0"/>
              <w:bottom w:val="single" w:color="auto" w:sz="4" w:space="0"/>
              <w:right w:val="single" w:color="auto" w:sz="4" w:space="0"/>
            </w:tcBorders>
            <w:noWrap/>
            <w:vAlign w:val="center"/>
          </w:tcPr>
          <w:p w14:paraId="64232114">
            <w:pPr>
              <w:pStyle w:val="557"/>
            </w:pPr>
            <w:r>
              <w:rPr>
                <w:rFonts w:hint="eastAsia"/>
              </w:rPr>
              <w:t>324000</w:t>
            </w:r>
          </w:p>
        </w:tc>
        <w:tc>
          <w:tcPr>
            <w:tcW w:w="248" w:type="pct"/>
            <w:tcBorders>
              <w:top w:val="single" w:color="auto" w:sz="4" w:space="0"/>
              <w:left w:val="single" w:color="auto" w:sz="4" w:space="0"/>
              <w:bottom w:val="single" w:color="auto" w:sz="4" w:space="0"/>
              <w:right w:val="single" w:color="auto" w:sz="4" w:space="0"/>
            </w:tcBorders>
            <w:noWrap/>
            <w:vAlign w:val="center"/>
          </w:tcPr>
          <w:p w14:paraId="32B8E27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9D4E62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78DD708">
            <w:pPr>
              <w:pStyle w:val="557"/>
            </w:pPr>
            <w:r>
              <w:rPr>
                <w:rFonts w:hint="eastAsia"/>
              </w:rPr>
              <w:t>5.95</w:t>
            </w:r>
          </w:p>
        </w:tc>
        <w:tc>
          <w:tcPr>
            <w:tcW w:w="248" w:type="pct"/>
            <w:tcBorders>
              <w:top w:val="single" w:color="auto" w:sz="4" w:space="0"/>
              <w:left w:val="single" w:color="auto" w:sz="4" w:space="0"/>
              <w:bottom w:val="single" w:color="auto" w:sz="4" w:space="0"/>
              <w:right w:val="single" w:color="auto" w:sz="4" w:space="0"/>
            </w:tcBorders>
            <w:noWrap/>
            <w:vAlign w:val="center"/>
          </w:tcPr>
          <w:p w14:paraId="177F33BD">
            <w:pPr>
              <w:pStyle w:val="557"/>
            </w:pPr>
            <w:r>
              <w:rPr>
                <w:rFonts w:hint="eastAsia"/>
              </w:rPr>
              <w:t>2.98</w:t>
            </w:r>
          </w:p>
        </w:tc>
        <w:tc>
          <w:tcPr>
            <w:tcW w:w="248" w:type="pct"/>
            <w:tcBorders>
              <w:top w:val="single" w:color="auto" w:sz="4" w:space="0"/>
              <w:left w:val="single" w:color="auto" w:sz="4" w:space="0"/>
              <w:bottom w:val="single" w:color="auto" w:sz="4" w:space="0"/>
              <w:right w:val="single" w:color="auto" w:sz="4" w:space="0"/>
            </w:tcBorders>
            <w:noWrap/>
            <w:vAlign w:val="center"/>
          </w:tcPr>
          <w:p w14:paraId="05F08772">
            <w:pPr>
              <w:pStyle w:val="557"/>
            </w:pPr>
            <w:r>
              <w:rPr>
                <w:rFonts w:hint="eastAsia"/>
              </w:rPr>
              <w:t>0.51</w:t>
            </w:r>
          </w:p>
        </w:tc>
        <w:tc>
          <w:tcPr>
            <w:tcW w:w="248" w:type="pct"/>
            <w:tcBorders>
              <w:top w:val="single" w:color="auto" w:sz="4" w:space="0"/>
              <w:left w:val="single" w:color="auto" w:sz="4" w:space="0"/>
              <w:bottom w:val="single" w:color="auto" w:sz="4" w:space="0"/>
              <w:right w:val="single" w:color="auto" w:sz="4" w:space="0"/>
            </w:tcBorders>
            <w:noWrap/>
            <w:vAlign w:val="center"/>
          </w:tcPr>
          <w:p w14:paraId="7788D336">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571BC4AA">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5F5485F2">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8A38D19">
            <w:pPr>
              <w:pStyle w:val="557"/>
            </w:pPr>
            <w:r>
              <w:rPr>
                <w:rFonts w:hint="eastAsia"/>
              </w:rPr>
              <w:t>/</w:t>
            </w:r>
          </w:p>
        </w:tc>
      </w:tr>
      <w:tr w14:paraId="564C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34F8520">
            <w:pPr>
              <w:pStyle w:val="557"/>
            </w:pPr>
            <w:r>
              <w:t>12</w:t>
            </w:r>
          </w:p>
        </w:tc>
        <w:tc>
          <w:tcPr>
            <w:tcW w:w="834" w:type="pct"/>
            <w:tcBorders>
              <w:top w:val="single" w:color="auto" w:sz="4" w:space="0"/>
              <w:left w:val="single" w:color="auto" w:sz="4" w:space="0"/>
              <w:bottom w:val="single" w:color="auto" w:sz="4" w:space="0"/>
              <w:right w:val="single" w:color="auto" w:sz="4" w:space="0"/>
            </w:tcBorders>
            <w:noWrap/>
            <w:vAlign w:val="center"/>
          </w:tcPr>
          <w:p w14:paraId="7CB30F7D">
            <w:pPr>
              <w:pStyle w:val="557"/>
            </w:pPr>
            <w:r>
              <w:rPr>
                <w:rFonts w:hint="eastAsia"/>
              </w:rPr>
              <w:t>1#冷却废气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7C6619B4">
            <w:pPr>
              <w:pStyle w:val="557"/>
            </w:pPr>
            <w:r>
              <w:rPr>
                <w:rFonts w:hint="eastAsia"/>
              </w:rPr>
              <w:t>-352</w:t>
            </w:r>
          </w:p>
        </w:tc>
        <w:tc>
          <w:tcPr>
            <w:tcW w:w="261" w:type="pct"/>
            <w:tcBorders>
              <w:top w:val="single" w:color="auto" w:sz="4" w:space="0"/>
              <w:left w:val="single" w:color="auto" w:sz="4" w:space="0"/>
              <w:bottom w:val="single" w:color="auto" w:sz="4" w:space="0"/>
              <w:right w:val="single" w:color="auto" w:sz="4" w:space="0"/>
            </w:tcBorders>
            <w:noWrap/>
            <w:vAlign w:val="center"/>
          </w:tcPr>
          <w:p w14:paraId="73F512C9">
            <w:pPr>
              <w:pStyle w:val="557"/>
            </w:pPr>
            <w:r>
              <w:rPr>
                <w:rFonts w:hint="eastAsia"/>
              </w:rPr>
              <w:t>-70</w:t>
            </w:r>
          </w:p>
        </w:tc>
        <w:tc>
          <w:tcPr>
            <w:tcW w:w="314" w:type="pct"/>
            <w:tcBorders>
              <w:top w:val="single" w:color="auto" w:sz="4" w:space="0"/>
              <w:left w:val="single" w:color="auto" w:sz="4" w:space="0"/>
              <w:bottom w:val="single" w:color="auto" w:sz="4" w:space="0"/>
              <w:right w:val="single" w:color="auto" w:sz="4" w:space="0"/>
            </w:tcBorders>
            <w:noWrap/>
            <w:vAlign w:val="center"/>
          </w:tcPr>
          <w:p w14:paraId="1BDEA7BA">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47D5440A">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5BA019AF">
            <w:pPr>
              <w:pStyle w:val="557"/>
            </w:pPr>
            <w:r>
              <w:rPr>
                <w:rFonts w:hint="eastAsia"/>
              </w:rPr>
              <w:t>20</w:t>
            </w:r>
          </w:p>
        </w:tc>
        <w:tc>
          <w:tcPr>
            <w:tcW w:w="348" w:type="pct"/>
            <w:tcBorders>
              <w:top w:val="single" w:color="auto" w:sz="4" w:space="0"/>
              <w:left w:val="single" w:color="auto" w:sz="4" w:space="0"/>
              <w:bottom w:val="single" w:color="auto" w:sz="4" w:space="0"/>
              <w:right w:val="single" w:color="auto" w:sz="4" w:space="0"/>
            </w:tcBorders>
            <w:noWrap/>
            <w:vAlign w:val="center"/>
          </w:tcPr>
          <w:p w14:paraId="2806378D">
            <w:pPr>
              <w:pStyle w:val="557"/>
            </w:pPr>
            <w:r>
              <w:rPr>
                <w:rFonts w:hint="eastAsia"/>
              </w:rPr>
              <w:t>50000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118DE20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B26180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F741EA1">
            <w:pPr>
              <w:pStyle w:val="557"/>
            </w:pPr>
            <w:r>
              <w:rPr>
                <w:rFonts w:hint="eastAsia"/>
              </w:rPr>
              <w:t>0.0375</w:t>
            </w:r>
          </w:p>
        </w:tc>
        <w:tc>
          <w:tcPr>
            <w:tcW w:w="248" w:type="pct"/>
            <w:tcBorders>
              <w:top w:val="single" w:color="auto" w:sz="4" w:space="0"/>
              <w:left w:val="single" w:color="auto" w:sz="4" w:space="0"/>
              <w:bottom w:val="single" w:color="auto" w:sz="4" w:space="0"/>
              <w:right w:val="single" w:color="auto" w:sz="4" w:space="0"/>
            </w:tcBorders>
            <w:noWrap/>
            <w:vAlign w:val="center"/>
          </w:tcPr>
          <w:p w14:paraId="34C7E3C6">
            <w:pPr>
              <w:pStyle w:val="557"/>
            </w:pPr>
            <w:r>
              <w:rPr>
                <w:rFonts w:hint="eastAsia"/>
              </w:rPr>
              <w:t>0.01875</w:t>
            </w:r>
          </w:p>
        </w:tc>
        <w:tc>
          <w:tcPr>
            <w:tcW w:w="248" w:type="pct"/>
            <w:tcBorders>
              <w:top w:val="single" w:color="auto" w:sz="4" w:space="0"/>
              <w:left w:val="single" w:color="auto" w:sz="4" w:space="0"/>
              <w:bottom w:val="single" w:color="auto" w:sz="4" w:space="0"/>
              <w:right w:val="single" w:color="auto" w:sz="4" w:space="0"/>
            </w:tcBorders>
            <w:noWrap/>
            <w:vAlign w:val="center"/>
          </w:tcPr>
          <w:p w14:paraId="737A023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AB4B9C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248A6A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82DD21E">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0E2C282">
            <w:pPr>
              <w:pStyle w:val="557"/>
            </w:pPr>
            <w:r>
              <w:rPr>
                <w:rFonts w:hint="eastAsia"/>
              </w:rPr>
              <w:t>/</w:t>
            </w:r>
          </w:p>
        </w:tc>
      </w:tr>
      <w:tr w14:paraId="3E4F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A8E3DE9">
            <w:pPr>
              <w:pStyle w:val="557"/>
            </w:pPr>
            <w:r>
              <w:t>13</w:t>
            </w:r>
          </w:p>
        </w:tc>
        <w:tc>
          <w:tcPr>
            <w:tcW w:w="834" w:type="pct"/>
            <w:tcBorders>
              <w:top w:val="single" w:color="auto" w:sz="4" w:space="0"/>
              <w:left w:val="single" w:color="auto" w:sz="4" w:space="0"/>
              <w:bottom w:val="single" w:color="auto" w:sz="4" w:space="0"/>
              <w:right w:val="single" w:color="auto" w:sz="4" w:space="0"/>
            </w:tcBorders>
            <w:noWrap/>
            <w:vAlign w:val="center"/>
          </w:tcPr>
          <w:p w14:paraId="1DE9E744">
            <w:pPr>
              <w:pStyle w:val="557"/>
            </w:pPr>
            <w:r>
              <w:rPr>
                <w:rFonts w:hint="eastAsia"/>
              </w:rPr>
              <w:t>2#冷却废气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3159EA74">
            <w:pPr>
              <w:pStyle w:val="557"/>
            </w:pPr>
            <w:r>
              <w:rPr>
                <w:rFonts w:hint="eastAsia"/>
              </w:rPr>
              <w:t>-354</w:t>
            </w:r>
          </w:p>
        </w:tc>
        <w:tc>
          <w:tcPr>
            <w:tcW w:w="261" w:type="pct"/>
            <w:tcBorders>
              <w:top w:val="single" w:color="auto" w:sz="4" w:space="0"/>
              <w:left w:val="single" w:color="auto" w:sz="4" w:space="0"/>
              <w:bottom w:val="single" w:color="auto" w:sz="4" w:space="0"/>
              <w:right w:val="single" w:color="auto" w:sz="4" w:space="0"/>
            </w:tcBorders>
            <w:noWrap/>
            <w:vAlign w:val="center"/>
          </w:tcPr>
          <w:p w14:paraId="61843A4E">
            <w:pPr>
              <w:pStyle w:val="557"/>
            </w:pPr>
            <w:r>
              <w:rPr>
                <w:rFonts w:hint="eastAsia"/>
              </w:rPr>
              <w:t>-154</w:t>
            </w:r>
          </w:p>
        </w:tc>
        <w:tc>
          <w:tcPr>
            <w:tcW w:w="314" w:type="pct"/>
            <w:tcBorders>
              <w:top w:val="single" w:color="auto" w:sz="4" w:space="0"/>
              <w:left w:val="single" w:color="auto" w:sz="4" w:space="0"/>
              <w:bottom w:val="single" w:color="auto" w:sz="4" w:space="0"/>
              <w:right w:val="single" w:color="auto" w:sz="4" w:space="0"/>
            </w:tcBorders>
            <w:noWrap/>
            <w:vAlign w:val="center"/>
          </w:tcPr>
          <w:p w14:paraId="28BDBE32">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1236414F">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46742F91">
            <w:pPr>
              <w:pStyle w:val="557"/>
            </w:pPr>
            <w:r>
              <w:rPr>
                <w:rFonts w:hint="eastAsia"/>
              </w:rPr>
              <w:t>20</w:t>
            </w:r>
          </w:p>
        </w:tc>
        <w:tc>
          <w:tcPr>
            <w:tcW w:w="348" w:type="pct"/>
            <w:tcBorders>
              <w:top w:val="single" w:color="auto" w:sz="4" w:space="0"/>
              <w:left w:val="single" w:color="auto" w:sz="4" w:space="0"/>
              <w:bottom w:val="single" w:color="auto" w:sz="4" w:space="0"/>
              <w:right w:val="single" w:color="auto" w:sz="4" w:space="0"/>
            </w:tcBorders>
            <w:noWrap/>
            <w:vAlign w:val="center"/>
          </w:tcPr>
          <w:p w14:paraId="7251AC88">
            <w:pPr>
              <w:pStyle w:val="557"/>
            </w:pPr>
            <w:r>
              <w:rPr>
                <w:rFonts w:hint="eastAsia"/>
              </w:rPr>
              <w:t>50000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4254DBF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C873E4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B6C7EA2">
            <w:pPr>
              <w:pStyle w:val="557"/>
            </w:pPr>
            <w:r>
              <w:rPr>
                <w:rFonts w:hint="eastAsia"/>
              </w:rPr>
              <w:t>0.0375</w:t>
            </w:r>
          </w:p>
        </w:tc>
        <w:tc>
          <w:tcPr>
            <w:tcW w:w="248" w:type="pct"/>
            <w:tcBorders>
              <w:top w:val="single" w:color="auto" w:sz="4" w:space="0"/>
              <w:left w:val="single" w:color="auto" w:sz="4" w:space="0"/>
              <w:bottom w:val="single" w:color="auto" w:sz="4" w:space="0"/>
              <w:right w:val="single" w:color="auto" w:sz="4" w:space="0"/>
            </w:tcBorders>
            <w:noWrap/>
            <w:vAlign w:val="center"/>
          </w:tcPr>
          <w:p w14:paraId="0C42F515">
            <w:pPr>
              <w:pStyle w:val="557"/>
            </w:pPr>
            <w:r>
              <w:rPr>
                <w:rFonts w:hint="eastAsia"/>
              </w:rPr>
              <w:t>0.01875</w:t>
            </w:r>
          </w:p>
        </w:tc>
        <w:tc>
          <w:tcPr>
            <w:tcW w:w="248" w:type="pct"/>
            <w:tcBorders>
              <w:top w:val="single" w:color="auto" w:sz="4" w:space="0"/>
              <w:left w:val="single" w:color="auto" w:sz="4" w:space="0"/>
              <w:bottom w:val="single" w:color="auto" w:sz="4" w:space="0"/>
              <w:right w:val="single" w:color="auto" w:sz="4" w:space="0"/>
            </w:tcBorders>
            <w:noWrap/>
            <w:vAlign w:val="center"/>
          </w:tcPr>
          <w:p w14:paraId="7FC0CD3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28DA5B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F1B960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05772FE">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5E35C0E">
            <w:pPr>
              <w:pStyle w:val="557"/>
            </w:pPr>
            <w:r>
              <w:rPr>
                <w:rFonts w:hint="eastAsia"/>
              </w:rPr>
              <w:t>/</w:t>
            </w:r>
          </w:p>
        </w:tc>
      </w:tr>
      <w:tr w14:paraId="5487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635D90F">
            <w:pPr>
              <w:pStyle w:val="557"/>
            </w:pPr>
            <w:r>
              <w:t>14</w:t>
            </w:r>
          </w:p>
        </w:tc>
        <w:tc>
          <w:tcPr>
            <w:tcW w:w="834" w:type="pct"/>
            <w:tcBorders>
              <w:top w:val="single" w:color="auto" w:sz="4" w:space="0"/>
              <w:left w:val="single" w:color="auto" w:sz="4" w:space="0"/>
              <w:bottom w:val="single" w:color="auto" w:sz="4" w:space="0"/>
              <w:right w:val="single" w:color="auto" w:sz="4" w:space="0"/>
            </w:tcBorders>
            <w:noWrap/>
            <w:vAlign w:val="center"/>
          </w:tcPr>
          <w:p w14:paraId="5AD4BDA9">
            <w:pPr>
              <w:pStyle w:val="557"/>
            </w:pPr>
            <w:r>
              <w:rPr>
                <w:rFonts w:hint="eastAsia"/>
              </w:rPr>
              <w:t>有机缓释肥装置加热炉废气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2E7CD27D">
            <w:pPr>
              <w:pStyle w:val="557"/>
            </w:pPr>
            <w:r>
              <w:rPr>
                <w:rFonts w:hint="eastAsia"/>
              </w:rPr>
              <w:t>-287</w:t>
            </w:r>
          </w:p>
        </w:tc>
        <w:tc>
          <w:tcPr>
            <w:tcW w:w="261" w:type="pct"/>
            <w:tcBorders>
              <w:top w:val="single" w:color="auto" w:sz="4" w:space="0"/>
              <w:left w:val="single" w:color="auto" w:sz="4" w:space="0"/>
              <w:bottom w:val="single" w:color="auto" w:sz="4" w:space="0"/>
              <w:right w:val="single" w:color="auto" w:sz="4" w:space="0"/>
            </w:tcBorders>
            <w:noWrap/>
            <w:vAlign w:val="center"/>
          </w:tcPr>
          <w:p w14:paraId="05A3D3F0">
            <w:pPr>
              <w:pStyle w:val="557"/>
            </w:pPr>
            <w:r>
              <w:rPr>
                <w:rFonts w:hint="eastAsia"/>
              </w:rPr>
              <w:t>149</w:t>
            </w:r>
          </w:p>
        </w:tc>
        <w:tc>
          <w:tcPr>
            <w:tcW w:w="314" w:type="pct"/>
            <w:tcBorders>
              <w:top w:val="single" w:color="auto" w:sz="4" w:space="0"/>
              <w:left w:val="single" w:color="auto" w:sz="4" w:space="0"/>
              <w:bottom w:val="single" w:color="auto" w:sz="4" w:space="0"/>
              <w:right w:val="single" w:color="auto" w:sz="4" w:space="0"/>
            </w:tcBorders>
            <w:noWrap/>
            <w:vAlign w:val="center"/>
          </w:tcPr>
          <w:p w14:paraId="79065F72">
            <w:pPr>
              <w:pStyle w:val="557"/>
            </w:pPr>
            <w:r>
              <w:rPr>
                <w:rFonts w:hint="eastAsia"/>
              </w:rPr>
              <w:t>30</w:t>
            </w:r>
          </w:p>
        </w:tc>
        <w:tc>
          <w:tcPr>
            <w:tcW w:w="261" w:type="pct"/>
            <w:tcBorders>
              <w:top w:val="single" w:color="auto" w:sz="4" w:space="0"/>
              <w:left w:val="single" w:color="auto" w:sz="4" w:space="0"/>
              <w:bottom w:val="single" w:color="auto" w:sz="4" w:space="0"/>
              <w:right w:val="single" w:color="auto" w:sz="4" w:space="0"/>
            </w:tcBorders>
            <w:noWrap/>
            <w:vAlign w:val="center"/>
          </w:tcPr>
          <w:p w14:paraId="0488A0A3">
            <w:pPr>
              <w:pStyle w:val="557"/>
            </w:pPr>
            <w:r>
              <w:rPr>
                <w:rFonts w:hint="eastAsia"/>
              </w:rPr>
              <w:t>0.8</w:t>
            </w:r>
          </w:p>
        </w:tc>
        <w:tc>
          <w:tcPr>
            <w:tcW w:w="321" w:type="pct"/>
            <w:tcBorders>
              <w:top w:val="single" w:color="auto" w:sz="4" w:space="0"/>
              <w:left w:val="single" w:color="auto" w:sz="4" w:space="0"/>
              <w:bottom w:val="single" w:color="auto" w:sz="4" w:space="0"/>
              <w:right w:val="single" w:color="auto" w:sz="4" w:space="0"/>
            </w:tcBorders>
            <w:noWrap/>
            <w:vAlign w:val="center"/>
          </w:tcPr>
          <w:p w14:paraId="08874963">
            <w:pPr>
              <w:pStyle w:val="557"/>
            </w:pPr>
            <w:r>
              <w:rPr>
                <w:rFonts w:hint="eastAsia"/>
              </w:rPr>
              <w:t>80</w:t>
            </w:r>
          </w:p>
        </w:tc>
        <w:tc>
          <w:tcPr>
            <w:tcW w:w="348" w:type="pct"/>
            <w:tcBorders>
              <w:top w:val="single" w:color="auto" w:sz="4" w:space="0"/>
              <w:left w:val="single" w:color="auto" w:sz="4" w:space="0"/>
              <w:bottom w:val="single" w:color="auto" w:sz="4" w:space="0"/>
              <w:right w:val="single" w:color="auto" w:sz="4" w:space="0"/>
            </w:tcBorders>
            <w:noWrap/>
            <w:vAlign w:val="center"/>
          </w:tcPr>
          <w:p w14:paraId="491708F8">
            <w:pPr>
              <w:pStyle w:val="557"/>
            </w:pPr>
            <w:r>
              <w:rPr>
                <w:rFonts w:hint="eastAsia"/>
              </w:rPr>
              <w:t>8062.13</w:t>
            </w:r>
          </w:p>
        </w:tc>
        <w:tc>
          <w:tcPr>
            <w:tcW w:w="248" w:type="pct"/>
            <w:tcBorders>
              <w:top w:val="single" w:color="auto" w:sz="4" w:space="0"/>
              <w:left w:val="single" w:color="auto" w:sz="4" w:space="0"/>
              <w:bottom w:val="single" w:color="auto" w:sz="4" w:space="0"/>
              <w:right w:val="single" w:color="auto" w:sz="4" w:space="0"/>
            </w:tcBorders>
            <w:noWrap/>
            <w:vAlign w:val="center"/>
          </w:tcPr>
          <w:p w14:paraId="13C0002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7D31E94">
            <w:pPr>
              <w:pStyle w:val="557"/>
            </w:pPr>
            <w:r>
              <w:rPr>
                <w:rFonts w:hint="eastAsia"/>
              </w:rPr>
              <w:t>0.729</w:t>
            </w:r>
          </w:p>
        </w:tc>
        <w:tc>
          <w:tcPr>
            <w:tcW w:w="248" w:type="pct"/>
            <w:tcBorders>
              <w:top w:val="single" w:color="auto" w:sz="4" w:space="0"/>
              <w:left w:val="single" w:color="auto" w:sz="4" w:space="0"/>
              <w:bottom w:val="single" w:color="auto" w:sz="4" w:space="0"/>
              <w:right w:val="single" w:color="auto" w:sz="4" w:space="0"/>
            </w:tcBorders>
            <w:noWrap/>
            <w:vAlign w:val="center"/>
          </w:tcPr>
          <w:p w14:paraId="0948ED02">
            <w:pPr>
              <w:pStyle w:val="557"/>
            </w:pPr>
            <w:r>
              <w:rPr>
                <w:rFonts w:hint="eastAsia"/>
              </w:rPr>
              <w:t>0.4</w:t>
            </w:r>
          </w:p>
        </w:tc>
        <w:tc>
          <w:tcPr>
            <w:tcW w:w="248" w:type="pct"/>
            <w:tcBorders>
              <w:top w:val="single" w:color="auto" w:sz="4" w:space="0"/>
              <w:left w:val="single" w:color="auto" w:sz="4" w:space="0"/>
              <w:bottom w:val="single" w:color="auto" w:sz="4" w:space="0"/>
              <w:right w:val="single" w:color="auto" w:sz="4" w:space="0"/>
            </w:tcBorders>
            <w:noWrap/>
            <w:vAlign w:val="center"/>
          </w:tcPr>
          <w:p w14:paraId="4DB92604">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52F43B7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E99760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050EC4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B85AA54">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71E40B04">
            <w:pPr>
              <w:pStyle w:val="557"/>
            </w:pPr>
            <w:r>
              <w:rPr>
                <w:rFonts w:hint="eastAsia"/>
              </w:rPr>
              <w:t>/</w:t>
            </w:r>
          </w:p>
        </w:tc>
      </w:tr>
      <w:tr w14:paraId="2B16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DAB1CCC">
            <w:pPr>
              <w:pStyle w:val="557"/>
            </w:pPr>
            <w:r>
              <w:t>15</w:t>
            </w:r>
          </w:p>
        </w:tc>
        <w:tc>
          <w:tcPr>
            <w:tcW w:w="834" w:type="pct"/>
            <w:tcBorders>
              <w:top w:val="single" w:color="auto" w:sz="4" w:space="0"/>
              <w:left w:val="single" w:color="auto" w:sz="4" w:space="0"/>
              <w:bottom w:val="single" w:color="auto" w:sz="4" w:space="0"/>
              <w:right w:val="single" w:color="auto" w:sz="4" w:space="0"/>
            </w:tcBorders>
            <w:noWrap/>
            <w:vAlign w:val="center"/>
          </w:tcPr>
          <w:p w14:paraId="587CB4CB">
            <w:pPr>
              <w:pStyle w:val="557"/>
            </w:pPr>
            <w:r>
              <w:rPr>
                <w:rFonts w:hint="eastAsia"/>
              </w:rPr>
              <w:t>污水处理站（有组织排放）</w:t>
            </w:r>
          </w:p>
        </w:tc>
        <w:tc>
          <w:tcPr>
            <w:tcW w:w="209" w:type="pct"/>
            <w:tcBorders>
              <w:top w:val="single" w:color="auto" w:sz="4" w:space="0"/>
              <w:left w:val="single" w:color="auto" w:sz="4" w:space="0"/>
              <w:bottom w:val="single" w:color="auto" w:sz="4" w:space="0"/>
              <w:right w:val="single" w:color="auto" w:sz="4" w:space="0"/>
            </w:tcBorders>
            <w:noWrap/>
            <w:vAlign w:val="center"/>
          </w:tcPr>
          <w:p w14:paraId="4330C529">
            <w:pPr>
              <w:pStyle w:val="557"/>
            </w:pPr>
            <w:r>
              <w:rPr>
                <w:rFonts w:hint="eastAsia"/>
              </w:rPr>
              <w:t>76</w:t>
            </w:r>
          </w:p>
        </w:tc>
        <w:tc>
          <w:tcPr>
            <w:tcW w:w="261" w:type="pct"/>
            <w:tcBorders>
              <w:top w:val="single" w:color="auto" w:sz="4" w:space="0"/>
              <w:left w:val="single" w:color="auto" w:sz="4" w:space="0"/>
              <w:bottom w:val="single" w:color="auto" w:sz="4" w:space="0"/>
              <w:right w:val="single" w:color="auto" w:sz="4" w:space="0"/>
            </w:tcBorders>
            <w:noWrap/>
            <w:vAlign w:val="center"/>
          </w:tcPr>
          <w:p w14:paraId="41088193">
            <w:pPr>
              <w:pStyle w:val="557"/>
            </w:pPr>
            <w:r>
              <w:rPr>
                <w:rFonts w:hint="eastAsia"/>
              </w:rPr>
              <w:t>232</w:t>
            </w:r>
          </w:p>
        </w:tc>
        <w:tc>
          <w:tcPr>
            <w:tcW w:w="314" w:type="pct"/>
            <w:tcBorders>
              <w:top w:val="single" w:color="auto" w:sz="4" w:space="0"/>
              <w:left w:val="single" w:color="auto" w:sz="4" w:space="0"/>
              <w:bottom w:val="single" w:color="auto" w:sz="4" w:space="0"/>
              <w:right w:val="single" w:color="auto" w:sz="4" w:space="0"/>
            </w:tcBorders>
            <w:noWrap/>
            <w:vAlign w:val="center"/>
          </w:tcPr>
          <w:p w14:paraId="7E5FA968">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36F30626">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243FB3F4">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3AE74A71">
            <w:pPr>
              <w:pStyle w:val="557"/>
            </w:pPr>
            <w:r>
              <w:rPr>
                <w:rFonts w:hint="eastAsia"/>
              </w:rPr>
              <w:t>20000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561FB0B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8CBF46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36C515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D7A21D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1722D9E">
            <w:pPr>
              <w:pStyle w:val="557"/>
            </w:pPr>
            <w:r>
              <w:rPr>
                <w:rFonts w:hint="eastAsia"/>
              </w:rPr>
              <w:t>0.018</w:t>
            </w:r>
          </w:p>
        </w:tc>
        <w:tc>
          <w:tcPr>
            <w:tcW w:w="248" w:type="pct"/>
            <w:tcBorders>
              <w:top w:val="single" w:color="auto" w:sz="4" w:space="0"/>
              <w:left w:val="single" w:color="auto" w:sz="4" w:space="0"/>
              <w:bottom w:val="single" w:color="auto" w:sz="4" w:space="0"/>
              <w:right w:val="single" w:color="auto" w:sz="4" w:space="0"/>
            </w:tcBorders>
            <w:noWrap/>
            <w:vAlign w:val="center"/>
          </w:tcPr>
          <w:p w14:paraId="744CFCC8">
            <w:pPr>
              <w:pStyle w:val="557"/>
            </w:pPr>
            <w:r>
              <w:rPr>
                <w:rFonts w:hint="eastAsia"/>
              </w:rPr>
              <w:t>0.009</w:t>
            </w:r>
          </w:p>
        </w:tc>
        <w:tc>
          <w:tcPr>
            <w:tcW w:w="248" w:type="pct"/>
            <w:tcBorders>
              <w:top w:val="single" w:color="auto" w:sz="4" w:space="0"/>
              <w:left w:val="single" w:color="auto" w:sz="4" w:space="0"/>
              <w:bottom w:val="single" w:color="auto" w:sz="4" w:space="0"/>
              <w:right w:val="single" w:color="auto" w:sz="4" w:space="0"/>
            </w:tcBorders>
            <w:noWrap/>
            <w:vAlign w:val="center"/>
          </w:tcPr>
          <w:p w14:paraId="488A848F">
            <w:pPr>
              <w:pStyle w:val="557"/>
            </w:pPr>
            <w:r>
              <w:rPr>
                <w:rFonts w:hint="eastAsia"/>
              </w:rPr>
              <w:t>0.56</w:t>
            </w:r>
          </w:p>
        </w:tc>
        <w:tc>
          <w:tcPr>
            <w:tcW w:w="248" w:type="pct"/>
            <w:tcBorders>
              <w:top w:val="single" w:color="auto" w:sz="4" w:space="0"/>
              <w:left w:val="single" w:color="auto" w:sz="4" w:space="0"/>
              <w:bottom w:val="single" w:color="auto" w:sz="4" w:space="0"/>
              <w:right w:val="single" w:color="auto" w:sz="4" w:space="0"/>
            </w:tcBorders>
            <w:noWrap/>
            <w:vAlign w:val="center"/>
          </w:tcPr>
          <w:p w14:paraId="050C3E31">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1BA81EB">
            <w:pPr>
              <w:pStyle w:val="557"/>
            </w:pPr>
            <w:r>
              <w:rPr>
                <w:rFonts w:hint="eastAsia"/>
              </w:rPr>
              <w:t>/</w:t>
            </w:r>
          </w:p>
        </w:tc>
      </w:tr>
      <w:tr w14:paraId="761C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27283D09">
            <w:pPr>
              <w:pStyle w:val="557"/>
            </w:pPr>
            <w:r>
              <w:t>16</w:t>
            </w:r>
          </w:p>
        </w:tc>
        <w:tc>
          <w:tcPr>
            <w:tcW w:w="834" w:type="pct"/>
            <w:tcBorders>
              <w:top w:val="single" w:color="auto" w:sz="4" w:space="0"/>
              <w:left w:val="single" w:color="auto" w:sz="4" w:space="0"/>
              <w:bottom w:val="single" w:color="auto" w:sz="4" w:space="0"/>
              <w:right w:val="single" w:color="auto" w:sz="4" w:space="0"/>
            </w:tcBorders>
            <w:noWrap/>
            <w:vAlign w:val="center"/>
          </w:tcPr>
          <w:p w14:paraId="4DBA506B">
            <w:pPr>
              <w:pStyle w:val="557"/>
            </w:pPr>
            <w:r>
              <w:rPr>
                <w:rFonts w:hint="eastAsia"/>
              </w:rPr>
              <w:t>1#燃气锅炉</w:t>
            </w:r>
          </w:p>
        </w:tc>
        <w:tc>
          <w:tcPr>
            <w:tcW w:w="209" w:type="pct"/>
            <w:tcBorders>
              <w:top w:val="single" w:color="auto" w:sz="4" w:space="0"/>
              <w:left w:val="single" w:color="auto" w:sz="4" w:space="0"/>
              <w:bottom w:val="single" w:color="auto" w:sz="4" w:space="0"/>
              <w:right w:val="single" w:color="auto" w:sz="4" w:space="0"/>
            </w:tcBorders>
            <w:noWrap/>
            <w:vAlign w:val="center"/>
          </w:tcPr>
          <w:p w14:paraId="7FAC0404">
            <w:pPr>
              <w:pStyle w:val="557"/>
            </w:pPr>
            <w:r>
              <w:rPr>
                <w:rFonts w:hint="eastAsia"/>
              </w:rPr>
              <w:t>-114</w:t>
            </w:r>
          </w:p>
        </w:tc>
        <w:tc>
          <w:tcPr>
            <w:tcW w:w="261" w:type="pct"/>
            <w:tcBorders>
              <w:top w:val="single" w:color="auto" w:sz="4" w:space="0"/>
              <w:left w:val="single" w:color="auto" w:sz="4" w:space="0"/>
              <w:bottom w:val="single" w:color="auto" w:sz="4" w:space="0"/>
              <w:right w:val="single" w:color="auto" w:sz="4" w:space="0"/>
            </w:tcBorders>
            <w:noWrap/>
            <w:vAlign w:val="center"/>
          </w:tcPr>
          <w:p w14:paraId="052303EB">
            <w:pPr>
              <w:pStyle w:val="557"/>
            </w:pPr>
            <w:r>
              <w:rPr>
                <w:rFonts w:hint="eastAsia"/>
              </w:rPr>
              <w:t>-84</w:t>
            </w:r>
          </w:p>
        </w:tc>
        <w:tc>
          <w:tcPr>
            <w:tcW w:w="314" w:type="pct"/>
            <w:tcBorders>
              <w:top w:val="single" w:color="auto" w:sz="4" w:space="0"/>
              <w:left w:val="single" w:color="auto" w:sz="4" w:space="0"/>
              <w:bottom w:val="single" w:color="auto" w:sz="4" w:space="0"/>
              <w:right w:val="single" w:color="auto" w:sz="4" w:space="0"/>
            </w:tcBorders>
            <w:noWrap/>
            <w:vAlign w:val="center"/>
          </w:tcPr>
          <w:p w14:paraId="2B5A0898">
            <w:pPr>
              <w:pStyle w:val="557"/>
            </w:pPr>
            <w:r>
              <w:rPr>
                <w:rFonts w:hint="eastAsia"/>
              </w:rPr>
              <w:t>35</w:t>
            </w:r>
          </w:p>
        </w:tc>
        <w:tc>
          <w:tcPr>
            <w:tcW w:w="261" w:type="pct"/>
            <w:tcBorders>
              <w:top w:val="single" w:color="auto" w:sz="4" w:space="0"/>
              <w:left w:val="single" w:color="auto" w:sz="4" w:space="0"/>
              <w:bottom w:val="single" w:color="auto" w:sz="4" w:space="0"/>
              <w:right w:val="single" w:color="auto" w:sz="4" w:space="0"/>
            </w:tcBorders>
            <w:noWrap/>
            <w:vAlign w:val="center"/>
          </w:tcPr>
          <w:p w14:paraId="380867DE">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35856F6A">
            <w:pPr>
              <w:pStyle w:val="557"/>
            </w:pPr>
            <w:r>
              <w:rPr>
                <w:rFonts w:hint="eastAsia"/>
              </w:rPr>
              <w:t>135</w:t>
            </w:r>
          </w:p>
        </w:tc>
        <w:tc>
          <w:tcPr>
            <w:tcW w:w="348" w:type="pct"/>
            <w:tcBorders>
              <w:top w:val="single" w:color="auto" w:sz="4" w:space="0"/>
              <w:left w:val="single" w:color="auto" w:sz="4" w:space="0"/>
              <w:bottom w:val="single" w:color="auto" w:sz="4" w:space="0"/>
              <w:right w:val="single" w:color="auto" w:sz="4" w:space="0"/>
            </w:tcBorders>
            <w:noWrap/>
            <w:vAlign w:val="center"/>
          </w:tcPr>
          <w:p w14:paraId="5B0FFF16">
            <w:pPr>
              <w:pStyle w:val="557"/>
            </w:pPr>
            <w:r>
              <w:rPr>
                <w:rFonts w:hint="eastAsia"/>
              </w:rPr>
              <w:t>146130.3</w:t>
            </w:r>
          </w:p>
        </w:tc>
        <w:tc>
          <w:tcPr>
            <w:tcW w:w="248" w:type="pct"/>
            <w:tcBorders>
              <w:top w:val="single" w:color="auto" w:sz="4" w:space="0"/>
              <w:left w:val="single" w:color="auto" w:sz="4" w:space="0"/>
              <w:bottom w:val="single" w:color="auto" w:sz="4" w:space="0"/>
              <w:right w:val="single" w:color="auto" w:sz="4" w:space="0"/>
            </w:tcBorders>
            <w:noWrap/>
            <w:vAlign w:val="center"/>
          </w:tcPr>
          <w:p w14:paraId="0FB9D71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77C8C7A">
            <w:pPr>
              <w:pStyle w:val="557"/>
            </w:pPr>
            <w:r>
              <w:rPr>
                <w:rFonts w:hint="eastAsia"/>
              </w:rPr>
              <w:t>1.539</w:t>
            </w:r>
          </w:p>
        </w:tc>
        <w:tc>
          <w:tcPr>
            <w:tcW w:w="248" w:type="pct"/>
            <w:tcBorders>
              <w:top w:val="single" w:color="auto" w:sz="4" w:space="0"/>
              <w:left w:val="single" w:color="auto" w:sz="4" w:space="0"/>
              <w:bottom w:val="single" w:color="auto" w:sz="4" w:space="0"/>
              <w:right w:val="single" w:color="auto" w:sz="4" w:space="0"/>
            </w:tcBorders>
            <w:noWrap/>
            <w:vAlign w:val="center"/>
          </w:tcPr>
          <w:p w14:paraId="30261457">
            <w:pPr>
              <w:pStyle w:val="557"/>
            </w:pPr>
            <w:r>
              <w:rPr>
                <w:rFonts w:hint="eastAsia"/>
              </w:rPr>
              <w:t>0.76</w:t>
            </w:r>
          </w:p>
        </w:tc>
        <w:tc>
          <w:tcPr>
            <w:tcW w:w="248" w:type="pct"/>
            <w:tcBorders>
              <w:top w:val="single" w:color="auto" w:sz="4" w:space="0"/>
              <w:left w:val="single" w:color="auto" w:sz="4" w:space="0"/>
              <w:bottom w:val="single" w:color="auto" w:sz="4" w:space="0"/>
              <w:right w:val="single" w:color="auto" w:sz="4" w:space="0"/>
            </w:tcBorders>
            <w:noWrap/>
            <w:vAlign w:val="center"/>
          </w:tcPr>
          <w:p w14:paraId="3FE71649">
            <w:pPr>
              <w:pStyle w:val="557"/>
            </w:pPr>
            <w:r>
              <w:rPr>
                <w:rFonts w:hint="eastAsia"/>
              </w:rPr>
              <w:t>0.38</w:t>
            </w:r>
          </w:p>
        </w:tc>
        <w:tc>
          <w:tcPr>
            <w:tcW w:w="248" w:type="pct"/>
            <w:tcBorders>
              <w:top w:val="single" w:color="auto" w:sz="4" w:space="0"/>
              <w:left w:val="single" w:color="auto" w:sz="4" w:space="0"/>
              <w:bottom w:val="single" w:color="auto" w:sz="4" w:space="0"/>
              <w:right w:val="single" w:color="auto" w:sz="4" w:space="0"/>
            </w:tcBorders>
            <w:noWrap/>
            <w:vAlign w:val="center"/>
          </w:tcPr>
          <w:p w14:paraId="1F4ECFB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D82F66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434526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649B945">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55557F8">
            <w:pPr>
              <w:pStyle w:val="557"/>
            </w:pPr>
            <w:r>
              <w:rPr>
                <w:rFonts w:hint="eastAsia"/>
              </w:rPr>
              <w:t>/</w:t>
            </w:r>
          </w:p>
        </w:tc>
      </w:tr>
      <w:tr w14:paraId="44D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430CE85E">
            <w:pPr>
              <w:pStyle w:val="557"/>
            </w:pPr>
            <w:r>
              <w:t>17</w:t>
            </w:r>
          </w:p>
        </w:tc>
        <w:tc>
          <w:tcPr>
            <w:tcW w:w="834" w:type="pct"/>
            <w:tcBorders>
              <w:top w:val="single" w:color="auto" w:sz="4" w:space="0"/>
              <w:left w:val="single" w:color="auto" w:sz="4" w:space="0"/>
              <w:bottom w:val="single" w:color="auto" w:sz="4" w:space="0"/>
              <w:right w:val="single" w:color="auto" w:sz="4" w:space="0"/>
            </w:tcBorders>
            <w:noWrap/>
            <w:vAlign w:val="center"/>
          </w:tcPr>
          <w:p w14:paraId="613B337D">
            <w:pPr>
              <w:pStyle w:val="557"/>
            </w:pPr>
            <w:r>
              <w:rPr>
                <w:rFonts w:hint="eastAsia"/>
              </w:rPr>
              <w:t>2#燃气锅炉</w:t>
            </w:r>
          </w:p>
        </w:tc>
        <w:tc>
          <w:tcPr>
            <w:tcW w:w="209" w:type="pct"/>
            <w:tcBorders>
              <w:top w:val="single" w:color="auto" w:sz="4" w:space="0"/>
              <w:left w:val="single" w:color="auto" w:sz="4" w:space="0"/>
              <w:bottom w:val="single" w:color="auto" w:sz="4" w:space="0"/>
              <w:right w:val="single" w:color="auto" w:sz="4" w:space="0"/>
            </w:tcBorders>
            <w:noWrap/>
            <w:vAlign w:val="center"/>
          </w:tcPr>
          <w:p w14:paraId="37333E58">
            <w:pPr>
              <w:pStyle w:val="557"/>
            </w:pPr>
            <w:r>
              <w:rPr>
                <w:rFonts w:hint="eastAsia"/>
              </w:rPr>
              <w:t>-116</w:t>
            </w:r>
          </w:p>
        </w:tc>
        <w:tc>
          <w:tcPr>
            <w:tcW w:w="261" w:type="pct"/>
            <w:tcBorders>
              <w:top w:val="single" w:color="auto" w:sz="4" w:space="0"/>
              <w:left w:val="single" w:color="auto" w:sz="4" w:space="0"/>
              <w:bottom w:val="single" w:color="auto" w:sz="4" w:space="0"/>
              <w:right w:val="single" w:color="auto" w:sz="4" w:space="0"/>
            </w:tcBorders>
            <w:noWrap/>
            <w:vAlign w:val="center"/>
          </w:tcPr>
          <w:p w14:paraId="43EB7A14">
            <w:pPr>
              <w:pStyle w:val="557"/>
            </w:pPr>
            <w:r>
              <w:rPr>
                <w:rFonts w:hint="eastAsia"/>
              </w:rPr>
              <w:t>-146</w:t>
            </w:r>
          </w:p>
        </w:tc>
        <w:tc>
          <w:tcPr>
            <w:tcW w:w="314" w:type="pct"/>
            <w:tcBorders>
              <w:top w:val="single" w:color="auto" w:sz="4" w:space="0"/>
              <w:left w:val="single" w:color="auto" w:sz="4" w:space="0"/>
              <w:bottom w:val="single" w:color="auto" w:sz="4" w:space="0"/>
              <w:right w:val="single" w:color="auto" w:sz="4" w:space="0"/>
            </w:tcBorders>
            <w:noWrap/>
            <w:vAlign w:val="center"/>
          </w:tcPr>
          <w:p w14:paraId="3BB72F60">
            <w:pPr>
              <w:pStyle w:val="557"/>
            </w:pPr>
            <w:r>
              <w:rPr>
                <w:rFonts w:hint="eastAsia"/>
              </w:rPr>
              <w:t>35</w:t>
            </w:r>
          </w:p>
        </w:tc>
        <w:tc>
          <w:tcPr>
            <w:tcW w:w="261" w:type="pct"/>
            <w:tcBorders>
              <w:top w:val="single" w:color="auto" w:sz="4" w:space="0"/>
              <w:left w:val="single" w:color="auto" w:sz="4" w:space="0"/>
              <w:bottom w:val="single" w:color="auto" w:sz="4" w:space="0"/>
              <w:right w:val="single" w:color="auto" w:sz="4" w:space="0"/>
            </w:tcBorders>
            <w:noWrap/>
            <w:vAlign w:val="center"/>
          </w:tcPr>
          <w:p w14:paraId="7DA1551B">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314AE7D8">
            <w:pPr>
              <w:pStyle w:val="557"/>
            </w:pPr>
            <w:r>
              <w:rPr>
                <w:rFonts w:hint="eastAsia"/>
              </w:rPr>
              <w:t>135</w:t>
            </w:r>
          </w:p>
        </w:tc>
        <w:tc>
          <w:tcPr>
            <w:tcW w:w="348" w:type="pct"/>
            <w:tcBorders>
              <w:top w:val="single" w:color="auto" w:sz="4" w:space="0"/>
              <w:left w:val="single" w:color="auto" w:sz="4" w:space="0"/>
              <w:bottom w:val="single" w:color="auto" w:sz="4" w:space="0"/>
              <w:right w:val="single" w:color="auto" w:sz="4" w:space="0"/>
            </w:tcBorders>
            <w:noWrap/>
            <w:vAlign w:val="center"/>
          </w:tcPr>
          <w:p w14:paraId="21AD06D6">
            <w:pPr>
              <w:pStyle w:val="557"/>
            </w:pPr>
            <w:r>
              <w:rPr>
                <w:rFonts w:hint="eastAsia"/>
              </w:rPr>
              <w:t>146130.3</w:t>
            </w:r>
          </w:p>
        </w:tc>
        <w:tc>
          <w:tcPr>
            <w:tcW w:w="248" w:type="pct"/>
            <w:tcBorders>
              <w:top w:val="single" w:color="auto" w:sz="4" w:space="0"/>
              <w:left w:val="single" w:color="auto" w:sz="4" w:space="0"/>
              <w:bottom w:val="single" w:color="auto" w:sz="4" w:space="0"/>
              <w:right w:val="single" w:color="auto" w:sz="4" w:space="0"/>
            </w:tcBorders>
            <w:noWrap/>
            <w:vAlign w:val="center"/>
          </w:tcPr>
          <w:p w14:paraId="05EC108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C426A73">
            <w:pPr>
              <w:pStyle w:val="557"/>
            </w:pPr>
            <w:r>
              <w:rPr>
                <w:rFonts w:hint="eastAsia"/>
              </w:rPr>
              <w:t>1.539</w:t>
            </w:r>
          </w:p>
        </w:tc>
        <w:tc>
          <w:tcPr>
            <w:tcW w:w="248" w:type="pct"/>
            <w:tcBorders>
              <w:top w:val="single" w:color="auto" w:sz="4" w:space="0"/>
              <w:left w:val="single" w:color="auto" w:sz="4" w:space="0"/>
              <w:bottom w:val="single" w:color="auto" w:sz="4" w:space="0"/>
              <w:right w:val="single" w:color="auto" w:sz="4" w:space="0"/>
            </w:tcBorders>
            <w:noWrap/>
            <w:vAlign w:val="center"/>
          </w:tcPr>
          <w:p w14:paraId="2AFA9718">
            <w:pPr>
              <w:pStyle w:val="557"/>
            </w:pPr>
            <w:r>
              <w:rPr>
                <w:rFonts w:hint="eastAsia"/>
              </w:rPr>
              <w:t>0.76</w:t>
            </w:r>
          </w:p>
        </w:tc>
        <w:tc>
          <w:tcPr>
            <w:tcW w:w="248" w:type="pct"/>
            <w:tcBorders>
              <w:top w:val="single" w:color="auto" w:sz="4" w:space="0"/>
              <w:left w:val="single" w:color="auto" w:sz="4" w:space="0"/>
              <w:bottom w:val="single" w:color="auto" w:sz="4" w:space="0"/>
              <w:right w:val="single" w:color="auto" w:sz="4" w:space="0"/>
            </w:tcBorders>
            <w:noWrap/>
            <w:vAlign w:val="center"/>
          </w:tcPr>
          <w:p w14:paraId="6A833AF9">
            <w:pPr>
              <w:pStyle w:val="557"/>
            </w:pPr>
            <w:r>
              <w:rPr>
                <w:rFonts w:hint="eastAsia"/>
              </w:rPr>
              <w:t>0.38</w:t>
            </w:r>
          </w:p>
        </w:tc>
        <w:tc>
          <w:tcPr>
            <w:tcW w:w="248" w:type="pct"/>
            <w:tcBorders>
              <w:top w:val="single" w:color="auto" w:sz="4" w:space="0"/>
              <w:left w:val="single" w:color="auto" w:sz="4" w:space="0"/>
              <w:bottom w:val="single" w:color="auto" w:sz="4" w:space="0"/>
              <w:right w:val="single" w:color="auto" w:sz="4" w:space="0"/>
            </w:tcBorders>
            <w:noWrap/>
            <w:vAlign w:val="center"/>
          </w:tcPr>
          <w:p w14:paraId="477A58B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BA9704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E44C51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F4A85EE">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4900F5AB">
            <w:pPr>
              <w:pStyle w:val="557"/>
            </w:pPr>
            <w:r>
              <w:rPr>
                <w:rFonts w:hint="eastAsia"/>
              </w:rPr>
              <w:t>/</w:t>
            </w:r>
          </w:p>
        </w:tc>
      </w:tr>
      <w:tr w14:paraId="6C0B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13B901A">
            <w:pPr>
              <w:pStyle w:val="557"/>
            </w:pPr>
            <w:r>
              <w:t>18</w:t>
            </w:r>
          </w:p>
        </w:tc>
        <w:tc>
          <w:tcPr>
            <w:tcW w:w="834" w:type="pct"/>
            <w:tcBorders>
              <w:top w:val="single" w:color="auto" w:sz="4" w:space="0"/>
              <w:left w:val="single" w:color="auto" w:sz="4" w:space="0"/>
              <w:bottom w:val="single" w:color="auto" w:sz="4" w:space="0"/>
              <w:right w:val="single" w:color="auto" w:sz="4" w:space="0"/>
            </w:tcBorders>
            <w:noWrap/>
            <w:vAlign w:val="center"/>
          </w:tcPr>
          <w:p w14:paraId="6513E5B2">
            <w:pPr>
              <w:pStyle w:val="557"/>
            </w:pPr>
            <w:r>
              <w:rPr>
                <w:rFonts w:hint="eastAsia"/>
              </w:rPr>
              <w:t>筛分破碎废气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475FDCF8">
            <w:pPr>
              <w:pStyle w:val="557"/>
            </w:pPr>
            <w:r>
              <w:rPr>
                <w:rFonts w:hint="eastAsia"/>
              </w:rPr>
              <w:t>-150</w:t>
            </w:r>
          </w:p>
        </w:tc>
        <w:tc>
          <w:tcPr>
            <w:tcW w:w="261" w:type="pct"/>
            <w:tcBorders>
              <w:top w:val="single" w:color="auto" w:sz="4" w:space="0"/>
              <w:left w:val="single" w:color="auto" w:sz="4" w:space="0"/>
              <w:bottom w:val="single" w:color="auto" w:sz="4" w:space="0"/>
              <w:right w:val="single" w:color="auto" w:sz="4" w:space="0"/>
            </w:tcBorders>
            <w:noWrap/>
            <w:vAlign w:val="center"/>
          </w:tcPr>
          <w:p w14:paraId="43ACEC56">
            <w:pPr>
              <w:pStyle w:val="557"/>
            </w:pPr>
            <w:r>
              <w:rPr>
                <w:rFonts w:hint="eastAsia"/>
              </w:rPr>
              <w:t>-202</w:t>
            </w:r>
          </w:p>
        </w:tc>
        <w:tc>
          <w:tcPr>
            <w:tcW w:w="314" w:type="pct"/>
            <w:tcBorders>
              <w:top w:val="single" w:color="auto" w:sz="4" w:space="0"/>
              <w:left w:val="single" w:color="auto" w:sz="4" w:space="0"/>
              <w:bottom w:val="single" w:color="auto" w:sz="4" w:space="0"/>
              <w:right w:val="single" w:color="auto" w:sz="4" w:space="0"/>
            </w:tcBorders>
            <w:noWrap/>
            <w:vAlign w:val="center"/>
          </w:tcPr>
          <w:p w14:paraId="5BF37BB4">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26DD87C7">
            <w:pPr>
              <w:pStyle w:val="557"/>
            </w:pPr>
            <w:r>
              <w:rPr>
                <w:rFonts w:hint="eastAsia"/>
              </w:rPr>
              <w:t>0.45</w:t>
            </w:r>
          </w:p>
        </w:tc>
        <w:tc>
          <w:tcPr>
            <w:tcW w:w="321" w:type="pct"/>
            <w:tcBorders>
              <w:top w:val="single" w:color="auto" w:sz="4" w:space="0"/>
              <w:left w:val="single" w:color="auto" w:sz="4" w:space="0"/>
              <w:bottom w:val="single" w:color="auto" w:sz="4" w:space="0"/>
              <w:right w:val="single" w:color="auto" w:sz="4" w:space="0"/>
            </w:tcBorders>
            <w:noWrap/>
            <w:vAlign w:val="center"/>
          </w:tcPr>
          <w:p w14:paraId="1BAE998A">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1444F81C">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34EF0DC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1EF9F2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0BA30B3">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31EB3B70">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28540DA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B9BC07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132788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847C0B1">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23B82FBA">
            <w:pPr>
              <w:pStyle w:val="557"/>
            </w:pPr>
            <w:r>
              <w:rPr>
                <w:rFonts w:hint="eastAsia"/>
              </w:rPr>
              <w:t>/</w:t>
            </w:r>
          </w:p>
        </w:tc>
      </w:tr>
      <w:tr w14:paraId="7D82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19326666">
            <w:pPr>
              <w:pStyle w:val="557"/>
            </w:pPr>
            <w:r>
              <w:t>19</w:t>
            </w:r>
          </w:p>
        </w:tc>
        <w:tc>
          <w:tcPr>
            <w:tcW w:w="834" w:type="pct"/>
            <w:tcBorders>
              <w:top w:val="single" w:color="auto" w:sz="4" w:space="0"/>
              <w:left w:val="single" w:color="auto" w:sz="4" w:space="0"/>
              <w:bottom w:val="single" w:color="auto" w:sz="4" w:space="0"/>
              <w:right w:val="single" w:color="auto" w:sz="4" w:space="0"/>
            </w:tcBorders>
            <w:noWrap/>
            <w:vAlign w:val="center"/>
          </w:tcPr>
          <w:p w14:paraId="3D8F268E">
            <w:pPr>
              <w:pStyle w:val="557"/>
            </w:pPr>
            <w:r>
              <w:rPr>
                <w:rFonts w:hint="eastAsia"/>
              </w:rPr>
              <w:t>1#转运站</w:t>
            </w:r>
          </w:p>
        </w:tc>
        <w:tc>
          <w:tcPr>
            <w:tcW w:w="209" w:type="pct"/>
            <w:tcBorders>
              <w:top w:val="single" w:color="auto" w:sz="4" w:space="0"/>
              <w:left w:val="single" w:color="auto" w:sz="4" w:space="0"/>
              <w:bottom w:val="single" w:color="auto" w:sz="4" w:space="0"/>
              <w:right w:val="single" w:color="auto" w:sz="4" w:space="0"/>
            </w:tcBorders>
            <w:noWrap/>
            <w:vAlign w:val="center"/>
          </w:tcPr>
          <w:p w14:paraId="37C6E4B6">
            <w:pPr>
              <w:pStyle w:val="557"/>
            </w:pPr>
            <w:r>
              <w:rPr>
                <w:rFonts w:hint="eastAsia"/>
              </w:rPr>
              <w:t>-48</w:t>
            </w:r>
          </w:p>
        </w:tc>
        <w:tc>
          <w:tcPr>
            <w:tcW w:w="261" w:type="pct"/>
            <w:tcBorders>
              <w:top w:val="single" w:color="auto" w:sz="4" w:space="0"/>
              <w:left w:val="single" w:color="auto" w:sz="4" w:space="0"/>
              <w:bottom w:val="single" w:color="auto" w:sz="4" w:space="0"/>
              <w:right w:val="single" w:color="auto" w:sz="4" w:space="0"/>
            </w:tcBorders>
            <w:noWrap/>
            <w:vAlign w:val="center"/>
          </w:tcPr>
          <w:p w14:paraId="6440ECC3">
            <w:pPr>
              <w:pStyle w:val="557"/>
            </w:pPr>
            <w:r>
              <w:rPr>
                <w:rFonts w:hint="eastAsia"/>
              </w:rPr>
              <w:t>-229</w:t>
            </w:r>
          </w:p>
        </w:tc>
        <w:tc>
          <w:tcPr>
            <w:tcW w:w="314" w:type="pct"/>
            <w:tcBorders>
              <w:top w:val="single" w:color="auto" w:sz="4" w:space="0"/>
              <w:left w:val="single" w:color="auto" w:sz="4" w:space="0"/>
              <w:bottom w:val="single" w:color="auto" w:sz="4" w:space="0"/>
              <w:right w:val="single" w:color="auto" w:sz="4" w:space="0"/>
            </w:tcBorders>
            <w:noWrap/>
            <w:vAlign w:val="center"/>
          </w:tcPr>
          <w:p w14:paraId="29C7DC18">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735343BB">
            <w:pPr>
              <w:pStyle w:val="557"/>
            </w:pPr>
            <w:r>
              <w:rPr>
                <w:rFonts w:hint="eastAsia"/>
              </w:rPr>
              <w:t>0.45</w:t>
            </w:r>
          </w:p>
        </w:tc>
        <w:tc>
          <w:tcPr>
            <w:tcW w:w="321" w:type="pct"/>
            <w:tcBorders>
              <w:top w:val="single" w:color="auto" w:sz="4" w:space="0"/>
              <w:left w:val="single" w:color="auto" w:sz="4" w:space="0"/>
              <w:bottom w:val="single" w:color="auto" w:sz="4" w:space="0"/>
              <w:right w:val="single" w:color="auto" w:sz="4" w:space="0"/>
            </w:tcBorders>
            <w:noWrap/>
            <w:vAlign w:val="center"/>
          </w:tcPr>
          <w:p w14:paraId="5C5A53EB">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1052494C">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3FD2A3C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EE2DC5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02BF2E3">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2111BCEB">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40893DA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C0F88B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AFD764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8B0584A">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0037F371">
            <w:pPr>
              <w:pStyle w:val="557"/>
            </w:pPr>
            <w:r>
              <w:rPr>
                <w:rFonts w:hint="eastAsia"/>
              </w:rPr>
              <w:t>/</w:t>
            </w:r>
          </w:p>
        </w:tc>
      </w:tr>
      <w:tr w14:paraId="32B3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20E7017F">
            <w:pPr>
              <w:pStyle w:val="557"/>
            </w:pPr>
            <w:r>
              <w:t>20</w:t>
            </w:r>
          </w:p>
        </w:tc>
        <w:tc>
          <w:tcPr>
            <w:tcW w:w="834" w:type="pct"/>
            <w:tcBorders>
              <w:top w:val="single" w:color="auto" w:sz="4" w:space="0"/>
              <w:left w:val="single" w:color="auto" w:sz="4" w:space="0"/>
              <w:bottom w:val="single" w:color="auto" w:sz="4" w:space="0"/>
              <w:right w:val="single" w:color="auto" w:sz="4" w:space="0"/>
            </w:tcBorders>
            <w:noWrap/>
            <w:vAlign w:val="center"/>
          </w:tcPr>
          <w:p w14:paraId="59312A98">
            <w:pPr>
              <w:pStyle w:val="557"/>
            </w:pPr>
            <w:r>
              <w:rPr>
                <w:rFonts w:hint="eastAsia"/>
              </w:rPr>
              <w:t>2#转运站</w:t>
            </w:r>
          </w:p>
        </w:tc>
        <w:tc>
          <w:tcPr>
            <w:tcW w:w="209" w:type="pct"/>
            <w:tcBorders>
              <w:top w:val="single" w:color="auto" w:sz="4" w:space="0"/>
              <w:left w:val="single" w:color="auto" w:sz="4" w:space="0"/>
              <w:bottom w:val="single" w:color="auto" w:sz="4" w:space="0"/>
              <w:right w:val="single" w:color="auto" w:sz="4" w:space="0"/>
            </w:tcBorders>
            <w:noWrap/>
            <w:vAlign w:val="center"/>
          </w:tcPr>
          <w:p w14:paraId="4E3BF1AB">
            <w:pPr>
              <w:pStyle w:val="557"/>
            </w:pPr>
            <w:r>
              <w:rPr>
                <w:rFonts w:hint="eastAsia"/>
              </w:rPr>
              <w:t>18</w:t>
            </w:r>
          </w:p>
        </w:tc>
        <w:tc>
          <w:tcPr>
            <w:tcW w:w="261" w:type="pct"/>
            <w:tcBorders>
              <w:top w:val="single" w:color="auto" w:sz="4" w:space="0"/>
              <w:left w:val="single" w:color="auto" w:sz="4" w:space="0"/>
              <w:bottom w:val="single" w:color="auto" w:sz="4" w:space="0"/>
              <w:right w:val="single" w:color="auto" w:sz="4" w:space="0"/>
            </w:tcBorders>
            <w:noWrap/>
            <w:vAlign w:val="center"/>
          </w:tcPr>
          <w:p w14:paraId="6CB30EE6">
            <w:pPr>
              <w:pStyle w:val="557"/>
            </w:pPr>
            <w:r>
              <w:rPr>
                <w:rFonts w:hint="eastAsia"/>
              </w:rPr>
              <w:t>-224</w:t>
            </w:r>
          </w:p>
        </w:tc>
        <w:tc>
          <w:tcPr>
            <w:tcW w:w="314" w:type="pct"/>
            <w:tcBorders>
              <w:top w:val="single" w:color="auto" w:sz="4" w:space="0"/>
              <w:left w:val="single" w:color="auto" w:sz="4" w:space="0"/>
              <w:bottom w:val="single" w:color="auto" w:sz="4" w:space="0"/>
              <w:right w:val="single" w:color="auto" w:sz="4" w:space="0"/>
            </w:tcBorders>
            <w:noWrap/>
            <w:vAlign w:val="center"/>
          </w:tcPr>
          <w:p w14:paraId="2C4F8F55">
            <w:pPr>
              <w:pStyle w:val="557"/>
            </w:pPr>
            <w:r>
              <w:rPr>
                <w:rFonts w:hint="eastAsia"/>
              </w:rPr>
              <w:t>62</w:t>
            </w:r>
          </w:p>
        </w:tc>
        <w:tc>
          <w:tcPr>
            <w:tcW w:w="261" w:type="pct"/>
            <w:tcBorders>
              <w:top w:val="single" w:color="auto" w:sz="4" w:space="0"/>
              <w:left w:val="single" w:color="auto" w:sz="4" w:space="0"/>
              <w:bottom w:val="single" w:color="auto" w:sz="4" w:space="0"/>
              <w:right w:val="single" w:color="auto" w:sz="4" w:space="0"/>
            </w:tcBorders>
            <w:noWrap/>
            <w:vAlign w:val="center"/>
          </w:tcPr>
          <w:p w14:paraId="033A7A70">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7577C3E5">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0EA324A7">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23C1D9D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ECE9EF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7B43FDE">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190309F5">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24A1BB7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BA1BEA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71C51F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480E185">
            <w:pPr>
              <w:pStyle w:val="557"/>
            </w:pPr>
            <w:r>
              <w:rPr>
                <w:rFonts w:hint="eastAsia"/>
              </w:rPr>
              <w:t>/</w:t>
            </w:r>
          </w:p>
        </w:tc>
        <w:tc>
          <w:tcPr>
            <w:tcW w:w="250" w:type="pct"/>
            <w:tcBorders>
              <w:top w:val="single" w:color="auto" w:sz="4" w:space="0"/>
              <w:left w:val="single" w:color="auto" w:sz="4" w:space="0"/>
              <w:bottom w:val="single" w:color="auto" w:sz="4" w:space="0"/>
              <w:right w:val="single" w:color="auto" w:sz="4" w:space="0"/>
            </w:tcBorders>
            <w:vAlign w:val="center"/>
          </w:tcPr>
          <w:p w14:paraId="6F588A06">
            <w:pPr>
              <w:pStyle w:val="557"/>
            </w:pPr>
            <w:r>
              <w:rPr>
                <w:rFonts w:hint="eastAsia"/>
              </w:rPr>
              <w:t>/</w:t>
            </w:r>
          </w:p>
        </w:tc>
      </w:tr>
    </w:tbl>
    <w:p w14:paraId="3D5C8440">
      <w:pPr>
        <w:pStyle w:val="16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项目无组织污染物计算参数选取值一览表</w:t>
      </w:r>
    </w:p>
    <w:tbl>
      <w:tblPr>
        <w:tblStyle w:val="65"/>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2781"/>
        <w:gridCol w:w="905"/>
        <w:gridCol w:w="908"/>
        <w:gridCol w:w="1232"/>
        <w:gridCol w:w="1232"/>
        <w:gridCol w:w="1231"/>
        <w:gridCol w:w="1231"/>
        <w:gridCol w:w="971"/>
        <w:gridCol w:w="971"/>
        <w:gridCol w:w="971"/>
        <w:gridCol w:w="974"/>
      </w:tblGrid>
      <w:tr w14:paraId="0C78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vMerge w:val="restart"/>
            <w:tcBorders>
              <w:top w:val="single" w:color="auto" w:sz="4" w:space="0"/>
              <w:left w:val="single" w:color="auto" w:sz="4" w:space="0"/>
              <w:bottom w:val="single" w:color="auto" w:sz="4" w:space="0"/>
              <w:right w:val="single" w:color="auto" w:sz="4" w:space="0"/>
            </w:tcBorders>
            <w:noWrap/>
            <w:vAlign w:val="center"/>
          </w:tcPr>
          <w:p w14:paraId="214A526F">
            <w:pPr>
              <w:pStyle w:val="557"/>
            </w:pPr>
            <w:r>
              <w:rPr>
                <w:rFonts w:hint="eastAsia"/>
              </w:rPr>
              <w:t>序号</w:t>
            </w:r>
          </w:p>
        </w:tc>
        <w:tc>
          <w:tcPr>
            <w:tcW w:w="996" w:type="pct"/>
            <w:vMerge w:val="restart"/>
            <w:tcBorders>
              <w:top w:val="single" w:color="auto" w:sz="4" w:space="0"/>
              <w:left w:val="single" w:color="auto" w:sz="4" w:space="0"/>
              <w:bottom w:val="single" w:color="auto" w:sz="4" w:space="0"/>
              <w:right w:val="single" w:color="auto" w:sz="4" w:space="0"/>
            </w:tcBorders>
            <w:noWrap/>
            <w:vAlign w:val="center"/>
          </w:tcPr>
          <w:p w14:paraId="3B49353B">
            <w:pPr>
              <w:pStyle w:val="557"/>
            </w:pPr>
            <w:r>
              <w:rPr>
                <w:rFonts w:hint="eastAsia"/>
              </w:rPr>
              <w:t>污染源名称</w:t>
            </w:r>
          </w:p>
        </w:tc>
        <w:tc>
          <w:tcPr>
            <w:tcW w:w="324" w:type="pct"/>
            <w:vMerge w:val="restart"/>
            <w:tcBorders>
              <w:top w:val="single" w:color="auto" w:sz="4" w:space="0"/>
              <w:left w:val="single" w:color="auto" w:sz="4" w:space="0"/>
              <w:bottom w:val="single" w:color="auto" w:sz="4" w:space="0"/>
              <w:right w:val="single" w:color="auto" w:sz="4" w:space="0"/>
            </w:tcBorders>
            <w:noWrap/>
            <w:vAlign w:val="center"/>
          </w:tcPr>
          <w:p w14:paraId="028BE829">
            <w:pPr>
              <w:pStyle w:val="557"/>
            </w:pPr>
            <w:r>
              <w:t>X</w:t>
            </w:r>
          </w:p>
        </w:tc>
        <w:tc>
          <w:tcPr>
            <w:tcW w:w="325" w:type="pct"/>
            <w:vMerge w:val="restart"/>
            <w:tcBorders>
              <w:top w:val="single" w:color="auto" w:sz="4" w:space="0"/>
              <w:left w:val="single" w:color="auto" w:sz="4" w:space="0"/>
              <w:bottom w:val="single" w:color="auto" w:sz="4" w:space="0"/>
              <w:right w:val="single" w:color="auto" w:sz="4" w:space="0"/>
            </w:tcBorders>
            <w:noWrap/>
            <w:vAlign w:val="center"/>
          </w:tcPr>
          <w:p w14:paraId="4C562A8F">
            <w:pPr>
              <w:pStyle w:val="557"/>
            </w:pPr>
            <w:r>
              <w:t>Y</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20AB9C9A">
            <w:pPr>
              <w:pStyle w:val="557"/>
            </w:pPr>
            <w:r>
              <w:rPr>
                <w:rFonts w:hint="eastAsia"/>
              </w:rPr>
              <w:t>面源宽度</w:t>
            </w:r>
          </w:p>
          <w:p w14:paraId="72A37298">
            <w:pPr>
              <w:pStyle w:val="557"/>
            </w:pPr>
            <w:r>
              <w:rPr>
                <w:rFonts w:hint="eastAsia"/>
              </w:rPr>
              <w:t>（</w:t>
            </w:r>
            <w:r>
              <w:t>m</w:t>
            </w: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03702955">
            <w:pPr>
              <w:pStyle w:val="557"/>
            </w:pPr>
            <w:r>
              <w:rPr>
                <w:rFonts w:hint="eastAsia"/>
              </w:rPr>
              <w:t>面源长度</w:t>
            </w:r>
          </w:p>
          <w:p w14:paraId="00EE5BF4">
            <w:pPr>
              <w:pStyle w:val="557"/>
            </w:pPr>
            <w:r>
              <w:rPr>
                <w:rFonts w:hint="eastAsia"/>
              </w:rPr>
              <w:t>（</w:t>
            </w:r>
            <w:r>
              <w:t>m</w:t>
            </w: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534A4A59">
            <w:pPr>
              <w:pStyle w:val="557"/>
            </w:pPr>
            <w:r>
              <w:rPr>
                <w:rFonts w:hint="eastAsia"/>
              </w:rPr>
              <w:t>面源角度</w:t>
            </w:r>
          </w:p>
          <w:p w14:paraId="641326B3">
            <w:pPr>
              <w:pStyle w:val="557"/>
            </w:pP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4DC09BAF">
            <w:pPr>
              <w:pStyle w:val="557"/>
            </w:pPr>
            <w:r>
              <w:rPr>
                <w:rFonts w:hint="eastAsia"/>
              </w:rPr>
              <w:t>有效高</w:t>
            </w:r>
            <w:r>
              <w:t>He</w:t>
            </w:r>
          </w:p>
          <w:p w14:paraId="71216FAC">
            <w:pPr>
              <w:pStyle w:val="557"/>
            </w:pPr>
            <w:r>
              <w:rPr>
                <w:rFonts w:hint="eastAsia"/>
              </w:rPr>
              <w:t>（</w:t>
            </w:r>
            <w:r>
              <w:t>m</w:t>
            </w:r>
            <w:r>
              <w:rPr>
                <w:rFonts w:hint="eastAsia"/>
              </w:rPr>
              <w:t>）</w:t>
            </w:r>
          </w:p>
        </w:tc>
        <w:tc>
          <w:tcPr>
            <w:tcW w:w="1392" w:type="pct"/>
            <w:gridSpan w:val="4"/>
            <w:tcBorders>
              <w:top w:val="single" w:color="auto" w:sz="4" w:space="0"/>
              <w:left w:val="single" w:color="auto" w:sz="4" w:space="0"/>
              <w:bottom w:val="single" w:color="auto" w:sz="4" w:space="0"/>
              <w:right w:val="single" w:color="auto" w:sz="4" w:space="0"/>
            </w:tcBorders>
            <w:noWrap/>
            <w:vAlign w:val="center"/>
          </w:tcPr>
          <w:p w14:paraId="2AC6174A">
            <w:pPr>
              <w:pStyle w:val="557"/>
            </w:pPr>
            <w:r>
              <w:rPr>
                <w:rFonts w:hint="eastAsia"/>
              </w:rPr>
              <w:t>排放速率（kg/h）</w:t>
            </w:r>
          </w:p>
        </w:tc>
      </w:tr>
      <w:tr w14:paraId="0C9F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vMerge w:val="continue"/>
            <w:tcBorders>
              <w:top w:val="single" w:color="auto" w:sz="4" w:space="0"/>
              <w:left w:val="single" w:color="auto" w:sz="4" w:space="0"/>
              <w:bottom w:val="single" w:color="auto" w:sz="4" w:space="0"/>
              <w:right w:val="single" w:color="auto" w:sz="4" w:space="0"/>
            </w:tcBorders>
            <w:vAlign w:val="center"/>
          </w:tcPr>
          <w:p w14:paraId="7DDB4B6D">
            <w:pPr>
              <w:jc w:val="center"/>
              <w:rPr>
                <w:rFonts w:hint="eastAsia"/>
                <w:bCs/>
                <w:color w:val="FF0000"/>
                <w:sz w:val="18"/>
                <w:szCs w:val="18"/>
                <w:u w:color="000000"/>
                <w:lang w:val="zh-CN" w:bidi="en-US"/>
              </w:rPr>
            </w:pPr>
          </w:p>
        </w:tc>
        <w:tc>
          <w:tcPr>
            <w:tcW w:w="996" w:type="pct"/>
            <w:vMerge w:val="continue"/>
            <w:tcBorders>
              <w:top w:val="single" w:color="auto" w:sz="4" w:space="0"/>
              <w:left w:val="single" w:color="auto" w:sz="4" w:space="0"/>
              <w:bottom w:val="single" w:color="auto" w:sz="4" w:space="0"/>
              <w:right w:val="single" w:color="auto" w:sz="4" w:space="0"/>
            </w:tcBorders>
            <w:vAlign w:val="center"/>
          </w:tcPr>
          <w:p w14:paraId="60E99F70">
            <w:pPr>
              <w:jc w:val="center"/>
              <w:rPr>
                <w:rFonts w:hint="eastAsia"/>
                <w:bCs/>
                <w:color w:val="FF0000"/>
                <w:sz w:val="18"/>
                <w:szCs w:val="18"/>
                <w:u w:color="000000"/>
                <w:lang w:val="zh-CN" w:bidi="en-US"/>
              </w:rPr>
            </w:pPr>
          </w:p>
        </w:tc>
        <w:tc>
          <w:tcPr>
            <w:tcW w:w="324" w:type="pct"/>
            <w:vMerge w:val="continue"/>
            <w:tcBorders>
              <w:top w:val="single" w:color="auto" w:sz="4" w:space="0"/>
              <w:left w:val="single" w:color="auto" w:sz="4" w:space="0"/>
              <w:bottom w:val="single" w:color="auto" w:sz="4" w:space="0"/>
              <w:right w:val="single" w:color="auto" w:sz="4" w:space="0"/>
            </w:tcBorders>
            <w:vAlign w:val="center"/>
          </w:tcPr>
          <w:p w14:paraId="7D967BDA">
            <w:pPr>
              <w:jc w:val="center"/>
              <w:rPr>
                <w:rFonts w:hint="eastAsia"/>
                <w:bCs/>
                <w:color w:val="FF0000"/>
                <w:sz w:val="18"/>
                <w:szCs w:val="18"/>
                <w:u w:color="000000"/>
                <w:lang w:val="zh-CN" w:bidi="en-US"/>
              </w:rPr>
            </w:pPr>
          </w:p>
        </w:tc>
        <w:tc>
          <w:tcPr>
            <w:tcW w:w="325" w:type="pct"/>
            <w:vMerge w:val="continue"/>
            <w:tcBorders>
              <w:top w:val="single" w:color="auto" w:sz="4" w:space="0"/>
              <w:left w:val="single" w:color="auto" w:sz="4" w:space="0"/>
              <w:bottom w:val="single" w:color="auto" w:sz="4" w:space="0"/>
              <w:right w:val="single" w:color="auto" w:sz="4" w:space="0"/>
            </w:tcBorders>
            <w:vAlign w:val="center"/>
          </w:tcPr>
          <w:p w14:paraId="111A572E">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3A8F324A">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22890BAA">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7E9136DF">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23F2F91B">
            <w:pPr>
              <w:jc w:val="center"/>
              <w:rPr>
                <w:rFonts w:hint="eastAsia"/>
                <w:bCs/>
                <w:color w:val="FF0000"/>
                <w:sz w:val="18"/>
                <w:szCs w:val="18"/>
                <w:u w:color="000000"/>
                <w:lang w:val="zh-CN" w:bidi="en-US"/>
              </w:rPr>
            </w:pPr>
          </w:p>
        </w:tc>
        <w:tc>
          <w:tcPr>
            <w:tcW w:w="348" w:type="pct"/>
            <w:tcBorders>
              <w:top w:val="single" w:color="auto" w:sz="4" w:space="0"/>
              <w:left w:val="single" w:color="auto" w:sz="4" w:space="0"/>
              <w:bottom w:val="single" w:color="auto" w:sz="4" w:space="0"/>
              <w:right w:val="single" w:color="auto" w:sz="4" w:space="0"/>
            </w:tcBorders>
            <w:noWrap/>
            <w:vAlign w:val="center"/>
          </w:tcPr>
          <w:p w14:paraId="3B4B5075">
            <w:pPr>
              <w:pStyle w:val="557"/>
            </w:pPr>
            <w:r>
              <w:t>NH</w:t>
            </w:r>
            <w:r>
              <w:rPr>
                <w:vertAlign w:val="subscript"/>
              </w:rPr>
              <w:t>3</w:t>
            </w:r>
          </w:p>
        </w:tc>
        <w:tc>
          <w:tcPr>
            <w:tcW w:w="348" w:type="pct"/>
            <w:tcBorders>
              <w:top w:val="single" w:color="auto" w:sz="4" w:space="0"/>
              <w:left w:val="single" w:color="auto" w:sz="4" w:space="0"/>
              <w:bottom w:val="single" w:color="auto" w:sz="4" w:space="0"/>
              <w:right w:val="single" w:color="auto" w:sz="4" w:space="0"/>
            </w:tcBorders>
            <w:noWrap/>
            <w:vAlign w:val="center"/>
          </w:tcPr>
          <w:p w14:paraId="535A7590">
            <w:pPr>
              <w:pStyle w:val="557"/>
            </w:pPr>
            <w:r>
              <w:t>H</w:t>
            </w:r>
            <w:r>
              <w:rPr>
                <w:vertAlign w:val="subscript"/>
              </w:rPr>
              <w:t>2</w:t>
            </w:r>
            <w:r>
              <w:t>S</w:t>
            </w:r>
          </w:p>
        </w:tc>
        <w:tc>
          <w:tcPr>
            <w:tcW w:w="348" w:type="pct"/>
            <w:tcBorders>
              <w:top w:val="single" w:color="auto" w:sz="4" w:space="0"/>
              <w:left w:val="single" w:color="auto" w:sz="4" w:space="0"/>
              <w:bottom w:val="single" w:color="auto" w:sz="4" w:space="0"/>
              <w:right w:val="single" w:color="auto" w:sz="4" w:space="0"/>
            </w:tcBorders>
            <w:noWrap/>
            <w:vAlign w:val="center"/>
          </w:tcPr>
          <w:p w14:paraId="505D0614">
            <w:pPr>
              <w:pStyle w:val="557"/>
            </w:pPr>
            <w:r>
              <w:rPr>
                <w:rFonts w:hint="eastAsia"/>
              </w:rPr>
              <w:t>NMHC</w:t>
            </w:r>
          </w:p>
        </w:tc>
        <w:tc>
          <w:tcPr>
            <w:tcW w:w="349" w:type="pct"/>
            <w:tcBorders>
              <w:top w:val="single" w:color="auto" w:sz="4" w:space="0"/>
              <w:left w:val="single" w:color="auto" w:sz="4" w:space="0"/>
              <w:bottom w:val="single" w:color="auto" w:sz="4" w:space="0"/>
              <w:right w:val="single" w:color="auto" w:sz="4" w:space="0"/>
            </w:tcBorders>
            <w:vAlign w:val="center"/>
          </w:tcPr>
          <w:p w14:paraId="1BBF1545">
            <w:pPr>
              <w:pStyle w:val="557"/>
            </w:pPr>
            <w:r>
              <w:rPr>
                <w:rFonts w:hint="eastAsia"/>
              </w:rPr>
              <w:t>硫酸</w:t>
            </w:r>
          </w:p>
        </w:tc>
      </w:tr>
      <w:tr w14:paraId="23D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5313D68">
            <w:pPr>
              <w:pStyle w:val="557"/>
            </w:pPr>
            <w:bookmarkStart w:id="56" w:name="_Hlk186482521"/>
            <w:r>
              <w:t>1</w:t>
            </w:r>
          </w:p>
        </w:tc>
        <w:tc>
          <w:tcPr>
            <w:tcW w:w="996" w:type="pct"/>
            <w:tcBorders>
              <w:top w:val="single" w:color="auto" w:sz="4" w:space="0"/>
              <w:left w:val="single" w:color="auto" w:sz="4" w:space="0"/>
              <w:bottom w:val="single" w:color="auto" w:sz="4" w:space="0"/>
              <w:right w:val="single" w:color="auto" w:sz="4" w:space="0"/>
            </w:tcBorders>
            <w:noWrap/>
            <w:vAlign w:val="center"/>
          </w:tcPr>
          <w:p w14:paraId="2D0DAD74">
            <w:pPr>
              <w:pStyle w:val="557"/>
            </w:pPr>
            <w:r>
              <w:rPr>
                <w:rFonts w:hint="eastAsia"/>
              </w:rPr>
              <w:t>气化装置无组织排放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00C3F97C">
            <w:pPr>
              <w:pStyle w:val="557"/>
            </w:pPr>
            <w:r>
              <w:rPr>
                <w:rFonts w:hint="eastAsia"/>
              </w:rPr>
              <w:t>-72</w:t>
            </w:r>
          </w:p>
        </w:tc>
        <w:tc>
          <w:tcPr>
            <w:tcW w:w="325" w:type="pct"/>
            <w:tcBorders>
              <w:top w:val="single" w:color="auto" w:sz="4" w:space="0"/>
              <w:left w:val="single" w:color="auto" w:sz="4" w:space="0"/>
              <w:bottom w:val="single" w:color="auto" w:sz="4" w:space="0"/>
              <w:right w:val="single" w:color="auto" w:sz="4" w:space="0"/>
            </w:tcBorders>
            <w:noWrap/>
            <w:vAlign w:val="center"/>
          </w:tcPr>
          <w:p w14:paraId="7946C251">
            <w:pPr>
              <w:pStyle w:val="557"/>
            </w:pPr>
            <w:r>
              <w:rPr>
                <w:rFonts w:hint="eastAsia"/>
              </w:rPr>
              <w:t>187</w:t>
            </w:r>
          </w:p>
        </w:tc>
        <w:tc>
          <w:tcPr>
            <w:tcW w:w="441" w:type="pct"/>
            <w:tcBorders>
              <w:top w:val="single" w:color="auto" w:sz="4" w:space="0"/>
              <w:left w:val="single" w:color="auto" w:sz="4" w:space="0"/>
              <w:bottom w:val="single" w:color="auto" w:sz="4" w:space="0"/>
              <w:right w:val="single" w:color="auto" w:sz="4" w:space="0"/>
            </w:tcBorders>
            <w:noWrap/>
            <w:vAlign w:val="center"/>
          </w:tcPr>
          <w:p w14:paraId="2A998714">
            <w:pPr>
              <w:pStyle w:val="557"/>
            </w:pPr>
            <w:r>
              <w:rPr>
                <w:rFonts w:hint="eastAsia"/>
              </w:rPr>
              <w:t>90</w:t>
            </w:r>
          </w:p>
        </w:tc>
        <w:tc>
          <w:tcPr>
            <w:tcW w:w="441" w:type="pct"/>
            <w:tcBorders>
              <w:top w:val="single" w:color="auto" w:sz="4" w:space="0"/>
              <w:left w:val="single" w:color="auto" w:sz="4" w:space="0"/>
              <w:bottom w:val="single" w:color="auto" w:sz="4" w:space="0"/>
              <w:right w:val="single" w:color="auto" w:sz="4" w:space="0"/>
            </w:tcBorders>
            <w:noWrap/>
            <w:vAlign w:val="center"/>
          </w:tcPr>
          <w:p w14:paraId="5EDFCDA0">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4AE05847">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BA77DE0">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0394CB4D">
            <w:pPr>
              <w:pStyle w:val="557"/>
            </w:pPr>
            <w:r>
              <w:rPr>
                <w:rFonts w:hint="eastAsia"/>
              </w:rPr>
              <w:t>0.08</w:t>
            </w:r>
          </w:p>
        </w:tc>
        <w:tc>
          <w:tcPr>
            <w:tcW w:w="348" w:type="pct"/>
            <w:tcBorders>
              <w:top w:val="single" w:color="auto" w:sz="4" w:space="0"/>
              <w:left w:val="single" w:color="auto" w:sz="4" w:space="0"/>
              <w:bottom w:val="single" w:color="auto" w:sz="4" w:space="0"/>
              <w:right w:val="single" w:color="auto" w:sz="4" w:space="0"/>
            </w:tcBorders>
            <w:noWrap/>
            <w:vAlign w:val="center"/>
          </w:tcPr>
          <w:p w14:paraId="7E48030A">
            <w:pPr>
              <w:pStyle w:val="557"/>
            </w:pPr>
            <w:r>
              <w:rPr>
                <w:rFonts w:hint="eastAsia"/>
              </w:rPr>
              <w:t>0.02</w:t>
            </w:r>
          </w:p>
        </w:tc>
        <w:tc>
          <w:tcPr>
            <w:tcW w:w="348" w:type="pct"/>
            <w:tcBorders>
              <w:top w:val="single" w:color="auto" w:sz="4" w:space="0"/>
              <w:left w:val="single" w:color="auto" w:sz="4" w:space="0"/>
              <w:bottom w:val="single" w:color="auto" w:sz="4" w:space="0"/>
              <w:right w:val="single" w:color="auto" w:sz="4" w:space="0"/>
            </w:tcBorders>
            <w:noWrap/>
            <w:vAlign w:val="center"/>
          </w:tcPr>
          <w:p w14:paraId="2BA98E12">
            <w:pPr>
              <w:pStyle w:val="557"/>
            </w:pPr>
            <w:r>
              <w:rPr>
                <w:rFonts w:hint="eastAsia"/>
              </w:rPr>
              <w:t>0.39</w:t>
            </w:r>
          </w:p>
        </w:tc>
        <w:tc>
          <w:tcPr>
            <w:tcW w:w="349" w:type="pct"/>
            <w:tcBorders>
              <w:top w:val="single" w:color="auto" w:sz="4" w:space="0"/>
              <w:left w:val="single" w:color="auto" w:sz="4" w:space="0"/>
              <w:bottom w:val="single" w:color="auto" w:sz="4" w:space="0"/>
              <w:right w:val="single" w:color="auto" w:sz="4" w:space="0"/>
            </w:tcBorders>
            <w:vAlign w:val="center"/>
          </w:tcPr>
          <w:p w14:paraId="22BC10B2">
            <w:pPr>
              <w:pStyle w:val="557"/>
            </w:pPr>
            <w:r>
              <w:rPr>
                <w:rFonts w:hint="eastAsia"/>
              </w:rPr>
              <w:t>/</w:t>
            </w:r>
          </w:p>
        </w:tc>
      </w:tr>
      <w:bookmarkEnd w:id="56"/>
      <w:tr w14:paraId="3F8C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36289D6">
            <w:pPr>
              <w:pStyle w:val="557"/>
            </w:pPr>
            <w:r>
              <w:t>2</w:t>
            </w:r>
          </w:p>
        </w:tc>
        <w:tc>
          <w:tcPr>
            <w:tcW w:w="996" w:type="pct"/>
            <w:tcBorders>
              <w:top w:val="single" w:color="auto" w:sz="4" w:space="0"/>
              <w:left w:val="single" w:color="auto" w:sz="4" w:space="0"/>
              <w:bottom w:val="single" w:color="auto" w:sz="4" w:space="0"/>
              <w:right w:val="single" w:color="auto" w:sz="4" w:space="0"/>
            </w:tcBorders>
            <w:noWrap/>
            <w:vAlign w:val="center"/>
          </w:tcPr>
          <w:p w14:paraId="564EBFA4">
            <w:pPr>
              <w:pStyle w:val="557"/>
            </w:pPr>
            <w:r>
              <w:rPr>
                <w:rFonts w:hint="eastAsia"/>
              </w:rPr>
              <w:t>低温甲醇洗单元无组织排放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261ADBCF">
            <w:pPr>
              <w:pStyle w:val="557"/>
            </w:pPr>
            <w:r>
              <w:rPr>
                <w:rFonts w:hint="eastAsia"/>
              </w:rPr>
              <w:t>55</w:t>
            </w:r>
          </w:p>
        </w:tc>
        <w:tc>
          <w:tcPr>
            <w:tcW w:w="325" w:type="pct"/>
            <w:tcBorders>
              <w:top w:val="single" w:color="auto" w:sz="4" w:space="0"/>
              <w:left w:val="single" w:color="auto" w:sz="4" w:space="0"/>
              <w:bottom w:val="single" w:color="auto" w:sz="4" w:space="0"/>
              <w:right w:val="single" w:color="auto" w:sz="4" w:space="0"/>
            </w:tcBorders>
            <w:noWrap/>
            <w:vAlign w:val="center"/>
          </w:tcPr>
          <w:p w14:paraId="6F6F56E2">
            <w:pPr>
              <w:pStyle w:val="557"/>
            </w:pPr>
            <w:r>
              <w:rPr>
                <w:rFonts w:hint="eastAsia"/>
              </w:rPr>
              <w:t>119</w:t>
            </w:r>
          </w:p>
        </w:tc>
        <w:tc>
          <w:tcPr>
            <w:tcW w:w="441" w:type="pct"/>
            <w:tcBorders>
              <w:top w:val="single" w:color="auto" w:sz="4" w:space="0"/>
              <w:left w:val="single" w:color="auto" w:sz="4" w:space="0"/>
              <w:bottom w:val="single" w:color="auto" w:sz="4" w:space="0"/>
              <w:right w:val="single" w:color="auto" w:sz="4" w:space="0"/>
            </w:tcBorders>
            <w:noWrap/>
            <w:vAlign w:val="center"/>
          </w:tcPr>
          <w:p w14:paraId="1D650F45">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49078496">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40764303">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3F59FBC">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50FDBA60">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30E3CEDD">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2E83D3E5">
            <w:pPr>
              <w:pStyle w:val="557"/>
            </w:pPr>
            <w:r>
              <w:rPr>
                <w:rFonts w:hint="eastAsia"/>
              </w:rPr>
              <w:t>0.63</w:t>
            </w:r>
          </w:p>
        </w:tc>
        <w:tc>
          <w:tcPr>
            <w:tcW w:w="349" w:type="pct"/>
            <w:tcBorders>
              <w:top w:val="single" w:color="auto" w:sz="4" w:space="0"/>
              <w:left w:val="single" w:color="auto" w:sz="4" w:space="0"/>
              <w:bottom w:val="single" w:color="auto" w:sz="4" w:space="0"/>
              <w:right w:val="single" w:color="auto" w:sz="4" w:space="0"/>
            </w:tcBorders>
            <w:vAlign w:val="center"/>
          </w:tcPr>
          <w:p w14:paraId="1264C958">
            <w:pPr>
              <w:pStyle w:val="557"/>
            </w:pPr>
            <w:r>
              <w:rPr>
                <w:rFonts w:hint="eastAsia"/>
              </w:rPr>
              <w:t>/</w:t>
            </w:r>
          </w:p>
        </w:tc>
      </w:tr>
      <w:tr w14:paraId="19AC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1A1D61D7">
            <w:pPr>
              <w:pStyle w:val="557"/>
            </w:pPr>
            <w:r>
              <w:t>3</w:t>
            </w:r>
          </w:p>
        </w:tc>
        <w:tc>
          <w:tcPr>
            <w:tcW w:w="996" w:type="pct"/>
            <w:tcBorders>
              <w:top w:val="single" w:color="auto" w:sz="4" w:space="0"/>
              <w:left w:val="single" w:color="auto" w:sz="4" w:space="0"/>
              <w:bottom w:val="single" w:color="auto" w:sz="4" w:space="0"/>
              <w:right w:val="single" w:color="auto" w:sz="4" w:space="0"/>
            </w:tcBorders>
            <w:noWrap/>
            <w:vAlign w:val="center"/>
          </w:tcPr>
          <w:p w14:paraId="743F3E3C">
            <w:pPr>
              <w:pStyle w:val="557"/>
            </w:pPr>
            <w:r>
              <w:rPr>
                <w:rFonts w:hint="eastAsia"/>
              </w:rPr>
              <w:t>深冷分离单元无组织排放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3943686D">
            <w:pPr>
              <w:pStyle w:val="557"/>
            </w:pPr>
            <w:r>
              <w:rPr>
                <w:rFonts w:hint="eastAsia"/>
              </w:rPr>
              <w:t>117</w:t>
            </w:r>
          </w:p>
        </w:tc>
        <w:tc>
          <w:tcPr>
            <w:tcW w:w="325" w:type="pct"/>
            <w:tcBorders>
              <w:top w:val="single" w:color="auto" w:sz="4" w:space="0"/>
              <w:left w:val="single" w:color="auto" w:sz="4" w:space="0"/>
              <w:bottom w:val="single" w:color="auto" w:sz="4" w:space="0"/>
              <w:right w:val="single" w:color="auto" w:sz="4" w:space="0"/>
            </w:tcBorders>
            <w:noWrap/>
            <w:vAlign w:val="center"/>
          </w:tcPr>
          <w:p w14:paraId="6A09F556">
            <w:pPr>
              <w:pStyle w:val="557"/>
            </w:pPr>
            <w:r>
              <w:rPr>
                <w:rFonts w:hint="eastAsia"/>
              </w:rPr>
              <w:t>-43</w:t>
            </w:r>
          </w:p>
        </w:tc>
        <w:tc>
          <w:tcPr>
            <w:tcW w:w="441" w:type="pct"/>
            <w:tcBorders>
              <w:top w:val="single" w:color="auto" w:sz="4" w:space="0"/>
              <w:left w:val="single" w:color="auto" w:sz="4" w:space="0"/>
              <w:bottom w:val="single" w:color="auto" w:sz="4" w:space="0"/>
              <w:right w:val="single" w:color="auto" w:sz="4" w:space="0"/>
            </w:tcBorders>
            <w:noWrap/>
            <w:vAlign w:val="center"/>
          </w:tcPr>
          <w:p w14:paraId="1B15D8FC">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3031EEE0">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06A5CB1D">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216DD2CE">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0D3CF651">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6C22DDB">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12661FC0">
            <w:pPr>
              <w:pStyle w:val="557"/>
            </w:pPr>
            <w:r>
              <w:rPr>
                <w:rFonts w:hint="eastAsia"/>
              </w:rPr>
              <w:t>0.56</w:t>
            </w:r>
          </w:p>
        </w:tc>
        <w:tc>
          <w:tcPr>
            <w:tcW w:w="349" w:type="pct"/>
            <w:tcBorders>
              <w:top w:val="single" w:color="auto" w:sz="4" w:space="0"/>
              <w:left w:val="single" w:color="auto" w:sz="4" w:space="0"/>
              <w:bottom w:val="single" w:color="auto" w:sz="4" w:space="0"/>
              <w:right w:val="single" w:color="auto" w:sz="4" w:space="0"/>
            </w:tcBorders>
            <w:vAlign w:val="center"/>
          </w:tcPr>
          <w:p w14:paraId="72DCBF85">
            <w:pPr>
              <w:pStyle w:val="557"/>
            </w:pPr>
            <w:r>
              <w:rPr>
                <w:rFonts w:hint="eastAsia"/>
              </w:rPr>
              <w:t>/</w:t>
            </w:r>
          </w:p>
        </w:tc>
      </w:tr>
      <w:tr w14:paraId="2BEE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17B5BC2">
            <w:pPr>
              <w:pStyle w:val="557"/>
            </w:pPr>
            <w:r>
              <w:t>4</w:t>
            </w:r>
          </w:p>
        </w:tc>
        <w:tc>
          <w:tcPr>
            <w:tcW w:w="996" w:type="pct"/>
            <w:tcBorders>
              <w:top w:val="single" w:color="auto" w:sz="4" w:space="0"/>
              <w:left w:val="single" w:color="auto" w:sz="4" w:space="0"/>
              <w:bottom w:val="single" w:color="auto" w:sz="4" w:space="0"/>
              <w:right w:val="single" w:color="auto" w:sz="4" w:space="0"/>
            </w:tcBorders>
            <w:noWrap/>
            <w:vAlign w:val="center"/>
          </w:tcPr>
          <w:p w14:paraId="747BC165">
            <w:pPr>
              <w:pStyle w:val="557"/>
            </w:pPr>
            <w:r>
              <w:rPr>
                <w:rFonts w:hint="eastAsia"/>
              </w:rPr>
              <w:t>硫回收单元无组织排放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4AB72811">
            <w:pPr>
              <w:pStyle w:val="557"/>
            </w:pPr>
            <w:r>
              <w:rPr>
                <w:rFonts w:hint="eastAsia"/>
              </w:rPr>
              <w:t>9</w:t>
            </w:r>
          </w:p>
        </w:tc>
        <w:tc>
          <w:tcPr>
            <w:tcW w:w="325" w:type="pct"/>
            <w:tcBorders>
              <w:top w:val="single" w:color="auto" w:sz="4" w:space="0"/>
              <w:left w:val="single" w:color="auto" w:sz="4" w:space="0"/>
              <w:bottom w:val="single" w:color="auto" w:sz="4" w:space="0"/>
              <w:right w:val="single" w:color="auto" w:sz="4" w:space="0"/>
            </w:tcBorders>
            <w:noWrap/>
            <w:vAlign w:val="center"/>
          </w:tcPr>
          <w:p w14:paraId="6F88FA9A">
            <w:pPr>
              <w:pStyle w:val="557"/>
            </w:pPr>
            <w:r>
              <w:rPr>
                <w:rFonts w:hint="eastAsia"/>
              </w:rPr>
              <w:t>-66</w:t>
            </w:r>
          </w:p>
        </w:tc>
        <w:tc>
          <w:tcPr>
            <w:tcW w:w="441" w:type="pct"/>
            <w:tcBorders>
              <w:top w:val="single" w:color="auto" w:sz="4" w:space="0"/>
              <w:left w:val="single" w:color="auto" w:sz="4" w:space="0"/>
              <w:bottom w:val="single" w:color="auto" w:sz="4" w:space="0"/>
              <w:right w:val="single" w:color="auto" w:sz="4" w:space="0"/>
            </w:tcBorders>
            <w:noWrap/>
            <w:vAlign w:val="center"/>
          </w:tcPr>
          <w:p w14:paraId="7502CB65">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0741DFCD">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05336390">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F7F459C">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09E3149">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FD59F86">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155C7FF">
            <w:pPr>
              <w:pStyle w:val="557"/>
            </w:pPr>
            <w:r>
              <w:rPr>
                <w:rFonts w:hint="eastAsia"/>
              </w:rPr>
              <w:t>0.49</w:t>
            </w:r>
          </w:p>
        </w:tc>
        <w:tc>
          <w:tcPr>
            <w:tcW w:w="349" w:type="pct"/>
            <w:tcBorders>
              <w:top w:val="single" w:color="auto" w:sz="4" w:space="0"/>
              <w:left w:val="single" w:color="auto" w:sz="4" w:space="0"/>
              <w:bottom w:val="single" w:color="auto" w:sz="4" w:space="0"/>
              <w:right w:val="single" w:color="auto" w:sz="4" w:space="0"/>
            </w:tcBorders>
            <w:vAlign w:val="center"/>
          </w:tcPr>
          <w:p w14:paraId="12E66645">
            <w:pPr>
              <w:pStyle w:val="557"/>
            </w:pPr>
            <w:r>
              <w:rPr>
                <w:rFonts w:hint="eastAsia"/>
              </w:rPr>
              <w:t>/</w:t>
            </w:r>
          </w:p>
        </w:tc>
      </w:tr>
      <w:tr w14:paraId="5742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7DD01EB">
            <w:pPr>
              <w:pStyle w:val="557"/>
            </w:pPr>
            <w:r>
              <w:t>5</w:t>
            </w:r>
          </w:p>
        </w:tc>
        <w:tc>
          <w:tcPr>
            <w:tcW w:w="996" w:type="pct"/>
            <w:tcBorders>
              <w:top w:val="single" w:color="auto" w:sz="4" w:space="0"/>
              <w:left w:val="single" w:color="auto" w:sz="4" w:space="0"/>
              <w:bottom w:val="single" w:color="auto" w:sz="4" w:space="0"/>
              <w:right w:val="single" w:color="auto" w:sz="4" w:space="0"/>
            </w:tcBorders>
            <w:noWrap/>
            <w:vAlign w:val="center"/>
          </w:tcPr>
          <w:p w14:paraId="249F722F">
            <w:pPr>
              <w:pStyle w:val="557"/>
            </w:pPr>
            <w:r>
              <w:rPr>
                <w:rFonts w:hint="eastAsia"/>
              </w:rPr>
              <w:t>合成氨装置无组织排放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13EC3870">
            <w:pPr>
              <w:pStyle w:val="557"/>
            </w:pPr>
            <w:r>
              <w:rPr>
                <w:rFonts w:hint="eastAsia"/>
              </w:rPr>
              <w:t>66</w:t>
            </w:r>
          </w:p>
        </w:tc>
        <w:tc>
          <w:tcPr>
            <w:tcW w:w="325" w:type="pct"/>
            <w:tcBorders>
              <w:top w:val="single" w:color="auto" w:sz="4" w:space="0"/>
              <w:left w:val="single" w:color="auto" w:sz="4" w:space="0"/>
              <w:bottom w:val="single" w:color="auto" w:sz="4" w:space="0"/>
              <w:right w:val="single" w:color="auto" w:sz="4" w:space="0"/>
            </w:tcBorders>
            <w:noWrap/>
            <w:vAlign w:val="center"/>
          </w:tcPr>
          <w:p w14:paraId="683DDF7A">
            <w:pPr>
              <w:pStyle w:val="557"/>
            </w:pPr>
            <w:r>
              <w:rPr>
                <w:rFonts w:hint="eastAsia"/>
              </w:rPr>
              <w:t>-139</w:t>
            </w:r>
          </w:p>
        </w:tc>
        <w:tc>
          <w:tcPr>
            <w:tcW w:w="441" w:type="pct"/>
            <w:tcBorders>
              <w:top w:val="single" w:color="auto" w:sz="4" w:space="0"/>
              <w:left w:val="single" w:color="auto" w:sz="4" w:space="0"/>
              <w:bottom w:val="single" w:color="auto" w:sz="4" w:space="0"/>
              <w:right w:val="single" w:color="auto" w:sz="4" w:space="0"/>
            </w:tcBorders>
            <w:noWrap/>
            <w:vAlign w:val="center"/>
          </w:tcPr>
          <w:p w14:paraId="28B32D67">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7CE19956">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75C47F09">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0E4A73C9">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59488EB4">
            <w:pPr>
              <w:pStyle w:val="557"/>
            </w:pPr>
            <w:r>
              <w:rPr>
                <w:rFonts w:hint="eastAsia"/>
              </w:rPr>
              <w:t>0.049</w:t>
            </w:r>
          </w:p>
        </w:tc>
        <w:tc>
          <w:tcPr>
            <w:tcW w:w="348" w:type="pct"/>
            <w:tcBorders>
              <w:top w:val="single" w:color="auto" w:sz="4" w:space="0"/>
              <w:left w:val="single" w:color="auto" w:sz="4" w:space="0"/>
              <w:bottom w:val="single" w:color="auto" w:sz="4" w:space="0"/>
              <w:right w:val="single" w:color="auto" w:sz="4" w:space="0"/>
            </w:tcBorders>
            <w:noWrap/>
            <w:vAlign w:val="center"/>
          </w:tcPr>
          <w:p w14:paraId="4F97816E">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24D4456">
            <w:pPr>
              <w:pStyle w:val="557"/>
            </w:pPr>
            <w:r>
              <w:rPr>
                <w:rFonts w:hint="eastAsia"/>
              </w:rPr>
              <w:t>/</w:t>
            </w:r>
          </w:p>
        </w:tc>
        <w:tc>
          <w:tcPr>
            <w:tcW w:w="349" w:type="pct"/>
            <w:tcBorders>
              <w:top w:val="single" w:color="auto" w:sz="4" w:space="0"/>
              <w:left w:val="single" w:color="auto" w:sz="4" w:space="0"/>
              <w:bottom w:val="single" w:color="auto" w:sz="4" w:space="0"/>
              <w:right w:val="single" w:color="auto" w:sz="4" w:space="0"/>
            </w:tcBorders>
            <w:vAlign w:val="center"/>
          </w:tcPr>
          <w:p w14:paraId="694355E1">
            <w:pPr>
              <w:pStyle w:val="557"/>
            </w:pPr>
            <w:r>
              <w:rPr>
                <w:rFonts w:hint="eastAsia"/>
              </w:rPr>
              <w:t>/</w:t>
            </w:r>
          </w:p>
        </w:tc>
      </w:tr>
      <w:tr w14:paraId="3760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017C80E">
            <w:pPr>
              <w:pStyle w:val="557"/>
            </w:pPr>
            <w:r>
              <w:t>6</w:t>
            </w:r>
          </w:p>
        </w:tc>
        <w:tc>
          <w:tcPr>
            <w:tcW w:w="996" w:type="pct"/>
            <w:tcBorders>
              <w:top w:val="single" w:color="auto" w:sz="4" w:space="0"/>
              <w:left w:val="single" w:color="auto" w:sz="4" w:space="0"/>
              <w:bottom w:val="single" w:color="auto" w:sz="4" w:space="0"/>
              <w:right w:val="single" w:color="auto" w:sz="4" w:space="0"/>
            </w:tcBorders>
            <w:noWrap/>
            <w:vAlign w:val="center"/>
          </w:tcPr>
          <w:p w14:paraId="1B6297B5">
            <w:pPr>
              <w:pStyle w:val="557"/>
            </w:pPr>
            <w:r>
              <w:rPr>
                <w:rFonts w:hint="eastAsia"/>
              </w:rPr>
              <w:t>DMO装置无组织废气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3062AD55">
            <w:pPr>
              <w:pStyle w:val="557"/>
            </w:pPr>
            <w:r>
              <w:rPr>
                <w:rFonts w:hint="eastAsia"/>
              </w:rPr>
              <w:t>102</w:t>
            </w:r>
          </w:p>
        </w:tc>
        <w:tc>
          <w:tcPr>
            <w:tcW w:w="325" w:type="pct"/>
            <w:tcBorders>
              <w:top w:val="single" w:color="auto" w:sz="4" w:space="0"/>
              <w:left w:val="single" w:color="auto" w:sz="4" w:space="0"/>
              <w:bottom w:val="single" w:color="auto" w:sz="4" w:space="0"/>
              <w:right w:val="single" w:color="auto" w:sz="4" w:space="0"/>
            </w:tcBorders>
            <w:noWrap/>
            <w:vAlign w:val="center"/>
          </w:tcPr>
          <w:p w14:paraId="54A060A8">
            <w:pPr>
              <w:pStyle w:val="557"/>
            </w:pPr>
            <w:r>
              <w:rPr>
                <w:rFonts w:hint="eastAsia"/>
              </w:rPr>
              <w:t>169</w:t>
            </w:r>
          </w:p>
        </w:tc>
        <w:tc>
          <w:tcPr>
            <w:tcW w:w="441" w:type="pct"/>
            <w:tcBorders>
              <w:top w:val="single" w:color="auto" w:sz="4" w:space="0"/>
              <w:left w:val="single" w:color="auto" w:sz="4" w:space="0"/>
              <w:bottom w:val="single" w:color="auto" w:sz="4" w:space="0"/>
              <w:right w:val="single" w:color="auto" w:sz="4" w:space="0"/>
            </w:tcBorders>
            <w:noWrap/>
            <w:vAlign w:val="center"/>
          </w:tcPr>
          <w:p w14:paraId="27A8F183">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1745F852">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7254316F">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22F972C0">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56B3FA4D">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519651E9">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ED12DBE">
            <w:pPr>
              <w:pStyle w:val="557"/>
            </w:pPr>
            <w:r>
              <w:rPr>
                <w:rFonts w:hint="eastAsia"/>
              </w:rPr>
              <w:t>0.52</w:t>
            </w:r>
          </w:p>
        </w:tc>
        <w:tc>
          <w:tcPr>
            <w:tcW w:w="349" w:type="pct"/>
            <w:tcBorders>
              <w:top w:val="single" w:color="auto" w:sz="4" w:space="0"/>
              <w:left w:val="single" w:color="auto" w:sz="4" w:space="0"/>
              <w:bottom w:val="single" w:color="auto" w:sz="4" w:space="0"/>
              <w:right w:val="single" w:color="auto" w:sz="4" w:space="0"/>
            </w:tcBorders>
            <w:vAlign w:val="center"/>
          </w:tcPr>
          <w:p w14:paraId="09D47A30">
            <w:pPr>
              <w:pStyle w:val="557"/>
            </w:pPr>
            <w:r>
              <w:rPr>
                <w:rFonts w:hint="eastAsia"/>
              </w:rPr>
              <w:t>/</w:t>
            </w:r>
          </w:p>
        </w:tc>
      </w:tr>
      <w:tr w14:paraId="7CF6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33868E3">
            <w:pPr>
              <w:pStyle w:val="557"/>
            </w:pPr>
            <w:r>
              <w:t>7</w:t>
            </w:r>
          </w:p>
        </w:tc>
        <w:tc>
          <w:tcPr>
            <w:tcW w:w="996" w:type="pct"/>
            <w:tcBorders>
              <w:top w:val="single" w:color="auto" w:sz="4" w:space="0"/>
              <w:left w:val="single" w:color="auto" w:sz="4" w:space="0"/>
              <w:bottom w:val="single" w:color="auto" w:sz="4" w:space="0"/>
              <w:right w:val="single" w:color="auto" w:sz="4" w:space="0"/>
            </w:tcBorders>
            <w:noWrap/>
            <w:vAlign w:val="center"/>
          </w:tcPr>
          <w:p w14:paraId="261C887C">
            <w:pPr>
              <w:pStyle w:val="557"/>
            </w:pPr>
            <w:r>
              <w:rPr>
                <w:rFonts w:hint="eastAsia"/>
              </w:rPr>
              <w:t>草酰胺装置无组织排放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2FACC37C">
            <w:pPr>
              <w:pStyle w:val="557"/>
            </w:pPr>
            <w:r>
              <w:rPr>
                <w:rFonts w:hint="eastAsia"/>
              </w:rPr>
              <w:t>-327</w:t>
            </w:r>
          </w:p>
        </w:tc>
        <w:tc>
          <w:tcPr>
            <w:tcW w:w="325" w:type="pct"/>
            <w:tcBorders>
              <w:top w:val="single" w:color="auto" w:sz="4" w:space="0"/>
              <w:left w:val="single" w:color="auto" w:sz="4" w:space="0"/>
              <w:bottom w:val="single" w:color="auto" w:sz="4" w:space="0"/>
              <w:right w:val="single" w:color="auto" w:sz="4" w:space="0"/>
            </w:tcBorders>
            <w:noWrap/>
            <w:vAlign w:val="center"/>
          </w:tcPr>
          <w:p w14:paraId="11D42CA3">
            <w:pPr>
              <w:pStyle w:val="557"/>
            </w:pPr>
            <w:r>
              <w:rPr>
                <w:rFonts w:hint="eastAsia"/>
              </w:rPr>
              <w:t>177</w:t>
            </w:r>
          </w:p>
        </w:tc>
        <w:tc>
          <w:tcPr>
            <w:tcW w:w="441" w:type="pct"/>
            <w:tcBorders>
              <w:top w:val="single" w:color="auto" w:sz="4" w:space="0"/>
              <w:left w:val="single" w:color="auto" w:sz="4" w:space="0"/>
              <w:bottom w:val="single" w:color="auto" w:sz="4" w:space="0"/>
              <w:right w:val="single" w:color="auto" w:sz="4" w:space="0"/>
            </w:tcBorders>
            <w:noWrap/>
            <w:vAlign w:val="center"/>
          </w:tcPr>
          <w:p w14:paraId="13C132B9">
            <w:pPr>
              <w:pStyle w:val="557"/>
            </w:pPr>
            <w:r>
              <w:rPr>
                <w:rFonts w:hint="eastAsia"/>
              </w:rPr>
              <w:t>80</w:t>
            </w:r>
          </w:p>
        </w:tc>
        <w:tc>
          <w:tcPr>
            <w:tcW w:w="441" w:type="pct"/>
            <w:tcBorders>
              <w:top w:val="single" w:color="auto" w:sz="4" w:space="0"/>
              <w:left w:val="single" w:color="auto" w:sz="4" w:space="0"/>
              <w:bottom w:val="single" w:color="auto" w:sz="4" w:space="0"/>
              <w:right w:val="single" w:color="auto" w:sz="4" w:space="0"/>
            </w:tcBorders>
            <w:noWrap/>
            <w:vAlign w:val="center"/>
          </w:tcPr>
          <w:p w14:paraId="75C39DF3">
            <w:pPr>
              <w:pStyle w:val="557"/>
            </w:pPr>
            <w:r>
              <w:rPr>
                <w:rFonts w:hint="eastAsia"/>
              </w:rPr>
              <w:t>70</w:t>
            </w:r>
          </w:p>
        </w:tc>
        <w:tc>
          <w:tcPr>
            <w:tcW w:w="441" w:type="pct"/>
            <w:tcBorders>
              <w:top w:val="single" w:color="auto" w:sz="4" w:space="0"/>
              <w:left w:val="single" w:color="auto" w:sz="4" w:space="0"/>
              <w:bottom w:val="single" w:color="auto" w:sz="4" w:space="0"/>
              <w:right w:val="single" w:color="auto" w:sz="4" w:space="0"/>
            </w:tcBorders>
            <w:noWrap/>
            <w:vAlign w:val="center"/>
          </w:tcPr>
          <w:p w14:paraId="6C8F5CB3">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52E42EBF">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16E228A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D3DA11F">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05B0D09">
            <w:pPr>
              <w:pStyle w:val="557"/>
            </w:pPr>
            <w:r>
              <w:rPr>
                <w:rFonts w:hint="eastAsia"/>
              </w:rPr>
              <w:t>0.54</w:t>
            </w:r>
          </w:p>
        </w:tc>
        <w:tc>
          <w:tcPr>
            <w:tcW w:w="349" w:type="pct"/>
            <w:tcBorders>
              <w:top w:val="single" w:color="auto" w:sz="4" w:space="0"/>
              <w:left w:val="single" w:color="auto" w:sz="4" w:space="0"/>
              <w:bottom w:val="single" w:color="auto" w:sz="4" w:space="0"/>
              <w:right w:val="single" w:color="auto" w:sz="4" w:space="0"/>
            </w:tcBorders>
            <w:vAlign w:val="center"/>
          </w:tcPr>
          <w:p w14:paraId="000FE5F8">
            <w:pPr>
              <w:pStyle w:val="557"/>
            </w:pPr>
            <w:r>
              <w:rPr>
                <w:rFonts w:hint="eastAsia"/>
              </w:rPr>
              <w:t>/</w:t>
            </w:r>
          </w:p>
        </w:tc>
      </w:tr>
      <w:tr w14:paraId="3368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5FBAFD4">
            <w:pPr>
              <w:pStyle w:val="557"/>
            </w:pPr>
            <w:r>
              <w:t>8</w:t>
            </w:r>
          </w:p>
        </w:tc>
        <w:tc>
          <w:tcPr>
            <w:tcW w:w="996" w:type="pct"/>
            <w:tcBorders>
              <w:top w:val="single" w:color="auto" w:sz="4" w:space="0"/>
              <w:left w:val="single" w:color="auto" w:sz="4" w:space="0"/>
              <w:bottom w:val="single" w:color="auto" w:sz="4" w:space="0"/>
              <w:right w:val="single" w:color="auto" w:sz="4" w:space="0"/>
            </w:tcBorders>
            <w:noWrap/>
            <w:vAlign w:val="center"/>
          </w:tcPr>
          <w:p w14:paraId="2395153C">
            <w:pPr>
              <w:pStyle w:val="557"/>
            </w:pPr>
            <w:r>
              <w:rPr>
                <w:rFonts w:hint="eastAsia"/>
              </w:rPr>
              <w:t>污水处理站（无组织排放）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295C61A2">
            <w:pPr>
              <w:pStyle w:val="557"/>
            </w:pPr>
            <w:r>
              <w:rPr>
                <w:rFonts w:hint="eastAsia"/>
              </w:rPr>
              <w:t>107</w:t>
            </w:r>
          </w:p>
        </w:tc>
        <w:tc>
          <w:tcPr>
            <w:tcW w:w="325" w:type="pct"/>
            <w:tcBorders>
              <w:top w:val="single" w:color="auto" w:sz="4" w:space="0"/>
              <w:left w:val="single" w:color="auto" w:sz="4" w:space="0"/>
              <w:bottom w:val="single" w:color="auto" w:sz="4" w:space="0"/>
              <w:right w:val="single" w:color="auto" w:sz="4" w:space="0"/>
            </w:tcBorders>
            <w:noWrap/>
            <w:vAlign w:val="center"/>
          </w:tcPr>
          <w:p w14:paraId="581A5E97">
            <w:pPr>
              <w:pStyle w:val="557"/>
            </w:pPr>
            <w:r>
              <w:rPr>
                <w:rFonts w:hint="eastAsia"/>
              </w:rPr>
              <w:t>238</w:t>
            </w:r>
          </w:p>
        </w:tc>
        <w:tc>
          <w:tcPr>
            <w:tcW w:w="441" w:type="pct"/>
            <w:tcBorders>
              <w:top w:val="single" w:color="auto" w:sz="4" w:space="0"/>
              <w:left w:val="single" w:color="auto" w:sz="4" w:space="0"/>
              <w:bottom w:val="single" w:color="auto" w:sz="4" w:space="0"/>
              <w:right w:val="single" w:color="auto" w:sz="4" w:space="0"/>
            </w:tcBorders>
            <w:noWrap/>
            <w:vAlign w:val="center"/>
          </w:tcPr>
          <w:p w14:paraId="06AB9F6D">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010FC08A">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545A1A7D">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FB71BA2">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4EABDC35">
            <w:pPr>
              <w:pStyle w:val="557"/>
            </w:pPr>
            <w:r>
              <w:rPr>
                <w:rFonts w:hint="eastAsia"/>
              </w:rPr>
              <w:t>0.002</w:t>
            </w:r>
          </w:p>
        </w:tc>
        <w:tc>
          <w:tcPr>
            <w:tcW w:w="348" w:type="pct"/>
            <w:tcBorders>
              <w:top w:val="single" w:color="auto" w:sz="4" w:space="0"/>
              <w:left w:val="single" w:color="auto" w:sz="4" w:space="0"/>
              <w:bottom w:val="single" w:color="auto" w:sz="4" w:space="0"/>
              <w:right w:val="single" w:color="auto" w:sz="4" w:space="0"/>
            </w:tcBorders>
            <w:noWrap/>
            <w:vAlign w:val="center"/>
          </w:tcPr>
          <w:p w14:paraId="322BCC99">
            <w:pPr>
              <w:pStyle w:val="557"/>
            </w:pPr>
            <w:r>
              <w:rPr>
                <w:rFonts w:hint="eastAsia"/>
              </w:rPr>
              <w:t>0.001</w:t>
            </w:r>
          </w:p>
        </w:tc>
        <w:tc>
          <w:tcPr>
            <w:tcW w:w="348" w:type="pct"/>
            <w:tcBorders>
              <w:top w:val="single" w:color="auto" w:sz="4" w:space="0"/>
              <w:left w:val="single" w:color="auto" w:sz="4" w:space="0"/>
              <w:bottom w:val="single" w:color="auto" w:sz="4" w:space="0"/>
              <w:right w:val="single" w:color="auto" w:sz="4" w:space="0"/>
            </w:tcBorders>
            <w:noWrap/>
            <w:vAlign w:val="center"/>
          </w:tcPr>
          <w:p w14:paraId="5554E046">
            <w:pPr>
              <w:pStyle w:val="557"/>
            </w:pPr>
            <w:r>
              <w:rPr>
                <w:rFonts w:hint="eastAsia"/>
              </w:rPr>
              <w:t>0.31</w:t>
            </w:r>
          </w:p>
        </w:tc>
        <w:tc>
          <w:tcPr>
            <w:tcW w:w="349" w:type="pct"/>
            <w:tcBorders>
              <w:top w:val="single" w:color="auto" w:sz="4" w:space="0"/>
              <w:left w:val="single" w:color="auto" w:sz="4" w:space="0"/>
              <w:bottom w:val="single" w:color="auto" w:sz="4" w:space="0"/>
              <w:right w:val="single" w:color="auto" w:sz="4" w:space="0"/>
            </w:tcBorders>
            <w:vAlign w:val="center"/>
          </w:tcPr>
          <w:p w14:paraId="342CBD57">
            <w:pPr>
              <w:pStyle w:val="557"/>
            </w:pPr>
            <w:r>
              <w:rPr>
                <w:rFonts w:hint="eastAsia"/>
              </w:rPr>
              <w:t>/</w:t>
            </w:r>
          </w:p>
        </w:tc>
      </w:tr>
      <w:tr w14:paraId="4B34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4A00E431">
            <w:pPr>
              <w:pStyle w:val="557"/>
            </w:pPr>
            <w:r>
              <w:t>9</w:t>
            </w:r>
          </w:p>
        </w:tc>
        <w:tc>
          <w:tcPr>
            <w:tcW w:w="996" w:type="pct"/>
            <w:tcBorders>
              <w:top w:val="single" w:color="auto" w:sz="4" w:space="0"/>
              <w:left w:val="single" w:color="auto" w:sz="4" w:space="0"/>
              <w:bottom w:val="single" w:color="auto" w:sz="4" w:space="0"/>
              <w:right w:val="single" w:color="auto" w:sz="4" w:space="0"/>
            </w:tcBorders>
            <w:noWrap/>
            <w:vAlign w:val="center"/>
          </w:tcPr>
          <w:p w14:paraId="1F3F1860">
            <w:pPr>
              <w:pStyle w:val="557"/>
            </w:pPr>
            <w:r>
              <w:rPr>
                <w:rFonts w:hint="eastAsia"/>
              </w:rPr>
              <w:t>循环水场</w:t>
            </w:r>
          </w:p>
        </w:tc>
        <w:tc>
          <w:tcPr>
            <w:tcW w:w="324" w:type="pct"/>
            <w:tcBorders>
              <w:top w:val="single" w:color="auto" w:sz="4" w:space="0"/>
              <w:left w:val="single" w:color="auto" w:sz="4" w:space="0"/>
              <w:bottom w:val="single" w:color="auto" w:sz="4" w:space="0"/>
              <w:right w:val="single" w:color="auto" w:sz="4" w:space="0"/>
            </w:tcBorders>
            <w:noWrap/>
            <w:vAlign w:val="center"/>
          </w:tcPr>
          <w:p w14:paraId="5296D5EB">
            <w:pPr>
              <w:pStyle w:val="557"/>
            </w:pPr>
            <w:r>
              <w:rPr>
                <w:rFonts w:hint="eastAsia"/>
              </w:rPr>
              <w:t>10</w:t>
            </w:r>
          </w:p>
        </w:tc>
        <w:tc>
          <w:tcPr>
            <w:tcW w:w="325" w:type="pct"/>
            <w:tcBorders>
              <w:top w:val="single" w:color="auto" w:sz="4" w:space="0"/>
              <w:left w:val="single" w:color="auto" w:sz="4" w:space="0"/>
              <w:bottom w:val="single" w:color="auto" w:sz="4" w:space="0"/>
              <w:right w:val="single" w:color="auto" w:sz="4" w:space="0"/>
            </w:tcBorders>
            <w:noWrap/>
            <w:vAlign w:val="center"/>
          </w:tcPr>
          <w:p w14:paraId="7F99774D">
            <w:pPr>
              <w:pStyle w:val="557"/>
            </w:pPr>
            <w:r>
              <w:rPr>
                <w:rFonts w:hint="eastAsia"/>
              </w:rPr>
              <w:t>267</w:t>
            </w:r>
          </w:p>
        </w:tc>
        <w:tc>
          <w:tcPr>
            <w:tcW w:w="441" w:type="pct"/>
            <w:tcBorders>
              <w:top w:val="single" w:color="auto" w:sz="4" w:space="0"/>
              <w:left w:val="single" w:color="auto" w:sz="4" w:space="0"/>
              <w:bottom w:val="single" w:color="auto" w:sz="4" w:space="0"/>
              <w:right w:val="single" w:color="auto" w:sz="4" w:space="0"/>
            </w:tcBorders>
            <w:noWrap/>
            <w:vAlign w:val="center"/>
          </w:tcPr>
          <w:p w14:paraId="3D82CA7F">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5D9F37FC">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4033B42F">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A944FA9">
            <w:pPr>
              <w:pStyle w:val="557"/>
            </w:pPr>
            <w:r>
              <w:rPr>
                <w:rFonts w:hint="eastAsia"/>
              </w:rPr>
              <w:t>18</w:t>
            </w:r>
          </w:p>
        </w:tc>
        <w:tc>
          <w:tcPr>
            <w:tcW w:w="348" w:type="pct"/>
            <w:tcBorders>
              <w:top w:val="single" w:color="auto" w:sz="4" w:space="0"/>
              <w:left w:val="single" w:color="auto" w:sz="4" w:space="0"/>
              <w:bottom w:val="single" w:color="auto" w:sz="4" w:space="0"/>
              <w:right w:val="single" w:color="auto" w:sz="4" w:space="0"/>
            </w:tcBorders>
            <w:noWrap/>
            <w:vAlign w:val="center"/>
          </w:tcPr>
          <w:p w14:paraId="46C0BF0A">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B6DC8C2">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DBBAA6B">
            <w:pPr>
              <w:pStyle w:val="557"/>
            </w:pPr>
            <w:r>
              <w:rPr>
                <w:rFonts w:hint="eastAsia"/>
              </w:rPr>
              <w:t>3.36</w:t>
            </w:r>
          </w:p>
        </w:tc>
        <w:tc>
          <w:tcPr>
            <w:tcW w:w="349" w:type="pct"/>
            <w:tcBorders>
              <w:top w:val="single" w:color="auto" w:sz="4" w:space="0"/>
              <w:left w:val="single" w:color="auto" w:sz="4" w:space="0"/>
              <w:bottom w:val="single" w:color="auto" w:sz="4" w:space="0"/>
              <w:right w:val="single" w:color="auto" w:sz="4" w:space="0"/>
            </w:tcBorders>
            <w:vAlign w:val="center"/>
          </w:tcPr>
          <w:p w14:paraId="5385B318">
            <w:pPr>
              <w:pStyle w:val="557"/>
            </w:pPr>
            <w:r>
              <w:rPr>
                <w:rFonts w:hint="eastAsia"/>
              </w:rPr>
              <w:t>/</w:t>
            </w:r>
          </w:p>
        </w:tc>
      </w:tr>
      <w:tr w14:paraId="65A7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AF988A7">
            <w:pPr>
              <w:pStyle w:val="557"/>
            </w:pPr>
            <w:r>
              <w:t>10</w:t>
            </w:r>
          </w:p>
        </w:tc>
        <w:tc>
          <w:tcPr>
            <w:tcW w:w="996" w:type="pct"/>
            <w:tcBorders>
              <w:top w:val="single" w:color="auto" w:sz="4" w:space="0"/>
              <w:left w:val="single" w:color="auto" w:sz="4" w:space="0"/>
              <w:bottom w:val="single" w:color="auto" w:sz="4" w:space="0"/>
              <w:right w:val="single" w:color="auto" w:sz="4" w:space="0"/>
            </w:tcBorders>
            <w:noWrap/>
            <w:vAlign w:val="center"/>
          </w:tcPr>
          <w:p w14:paraId="11FC33FB">
            <w:pPr>
              <w:pStyle w:val="557"/>
            </w:pPr>
            <w:r>
              <w:rPr>
                <w:rFonts w:hint="eastAsia"/>
              </w:rPr>
              <w:t>空分装置循环水站</w:t>
            </w:r>
          </w:p>
        </w:tc>
        <w:tc>
          <w:tcPr>
            <w:tcW w:w="324" w:type="pct"/>
            <w:tcBorders>
              <w:top w:val="single" w:color="auto" w:sz="4" w:space="0"/>
              <w:left w:val="single" w:color="auto" w:sz="4" w:space="0"/>
              <w:bottom w:val="single" w:color="auto" w:sz="4" w:space="0"/>
              <w:right w:val="single" w:color="auto" w:sz="4" w:space="0"/>
            </w:tcBorders>
            <w:noWrap/>
            <w:vAlign w:val="center"/>
          </w:tcPr>
          <w:p w14:paraId="1362D856">
            <w:pPr>
              <w:pStyle w:val="557"/>
            </w:pPr>
            <w:r>
              <w:rPr>
                <w:rFonts w:hint="eastAsia"/>
              </w:rPr>
              <w:t>-239</w:t>
            </w:r>
          </w:p>
        </w:tc>
        <w:tc>
          <w:tcPr>
            <w:tcW w:w="325" w:type="pct"/>
            <w:tcBorders>
              <w:top w:val="single" w:color="auto" w:sz="4" w:space="0"/>
              <w:left w:val="single" w:color="auto" w:sz="4" w:space="0"/>
              <w:bottom w:val="single" w:color="auto" w:sz="4" w:space="0"/>
              <w:right w:val="single" w:color="auto" w:sz="4" w:space="0"/>
            </w:tcBorders>
            <w:noWrap/>
            <w:vAlign w:val="center"/>
          </w:tcPr>
          <w:p w14:paraId="52121EE7">
            <w:pPr>
              <w:pStyle w:val="557"/>
            </w:pPr>
            <w:r>
              <w:rPr>
                <w:rFonts w:hint="eastAsia"/>
              </w:rPr>
              <w:t>169</w:t>
            </w:r>
          </w:p>
        </w:tc>
        <w:tc>
          <w:tcPr>
            <w:tcW w:w="441" w:type="pct"/>
            <w:tcBorders>
              <w:top w:val="single" w:color="auto" w:sz="4" w:space="0"/>
              <w:left w:val="single" w:color="auto" w:sz="4" w:space="0"/>
              <w:bottom w:val="single" w:color="auto" w:sz="4" w:space="0"/>
              <w:right w:val="single" w:color="auto" w:sz="4" w:space="0"/>
            </w:tcBorders>
            <w:noWrap/>
            <w:vAlign w:val="center"/>
          </w:tcPr>
          <w:p w14:paraId="1C385E95">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39914BBA">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1612F0FF">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6FB4129E">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6A3B292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AA619B9">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5135D1A1">
            <w:pPr>
              <w:pStyle w:val="557"/>
            </w:pPr>
            <w:r>
              <w:rPr>
                <w:rFonts w:hint="eastAsia"/>
              </w:rPr>
              <w:t>0.32</w:t>
            </w:r>
          </w:p>
        </w:tc>
        <w:tc>
          <w:tcPr>
            <w:tcW w:w="349" w:type="pct"/>
            <w:tcBorders>
              <w:top w:val="single" w:color="auto" w:sz="4" w:space="0"/>
              <w:left w:val="single" w:color="auto" w:sz="4" w:space="0"/>
              <w:bottom w:val="single" w:color="auto" w:sz="4" w:space="0"/>
              <w:right w:val="single" w:color="auto" w:sz="4" w:space="0"/>
            </w:tcBorders>
            <w:vAlign w:val="center"/>
          </w:tcPr>
          <w:p w14:paraId="18B7FE68">
            <w:pPr>
              <w:pStyle w:val="557"/>
            </w:pPr>
            <w:r>
              <w:rPr>
                <w:rFonts w:hint="eastAsia"/>
              </w:rPr>
              <w:t>/</w:t>
            </w:r>
          </w:p>
        </w:tc>
      </w:tr>
      <w:tr w14:paraId="0A0F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C659826">
            <w:pPr>
              <w:pStyle w:val="557"/>
            </w:pPr>
            <w:r>
              <w:rPr>
                <w:rFonts w:hint="eastAsia"/>
              </w:rPr>
              <w:t>11</w:t>
            </w:r>
          </w:p>
        </w:tc>
        <w:tc>
          <w:tcPr>
            <w:tcW w:w="996" w:type="pct"/>
            <w:tcBorders>
              <w:top w:val="single" w:color="auto" w:sz="4" w:space="0"/>
              <w:left w:val="single" w:color="auto" w:sz="4" w:space="0"/>
              <w:bottom w:val="single" w:color="auto" w:sz="4" w:space="0"/>
              <w:right w:val="single" w:color="auto" w:sz="4" w:space="0"/>
            </w:tcBorders>
            <w:noWrap/>
            <w:vAlign w:val="center"/>
          </w:tcPr>
          <w:p w14:paraId="108ADEB2">
            <w:pPr>
              <w:pStyle w:val="557"/>
            </w:pPr>
            <w:r>
              <w:rPr>
                <w:rFonts w:hint="eastAsia"/>
              </w:rPr>
              <w:t>综合罐组无组织废气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3A8E13ED">
            <w:pPr>
              <w:pStyle w:val="557"/>
            </w:pPr>
            <w:r>
              <w:rPr>
                <w:rFonts w:hint="eastAsia"/>
              </w:rPr>
              <w:t>115</w:t>
            </w:r>
          </w:p>
        </w:tc>
        <w:tc>
          <w:tcPr>
            <w:tcW w:w="325" w:type="pct"/>
            <w:tcBorders>
              <w:top w:val="single" w:color="auto" w:sz="4" w:space="0"/>
              <w:left w:val="single" w:color="auto" w:sz="4" w:space="0"/>
              <w:bottom w:val="single" w:color="auto" w:sz="4" w:space="0"/>
              <w:right w:val="single" w:color="auto" w:sz="4" w:space="0"/>
            </w:tcBorders>
            <w:noWrap/>
            <w:vAlign w:val="center"/>
          </w:tcPr>
          <w:p w14:paraId="779F4CF3">
            <w:pPr>
              <w:pStyle w:val="557"/>
            </w:pPr>
            <w:r>
              <w:rPr>
                <w:rFonts w:hint="eastAsia"/>
              </w:rPr>
              <w:t>-201</w:t>
            </w:r>
          </w:p>
        </w:tc>
        <w:tc>
          <w:tcPr>
            <w:tcW w:w="441" w:type="pct"/>
            <w:tcBorders>
              <w:top w:val="single" w:color="auto" w:sz="4" w:space="0"/>
              <w:left w:val="single" w:color="auto" w:sz="4" w:space="0"/>
              <w:bottom w:val="single" w:color="auto" w:sz="4" w:space="0"/>
              <w:right w:val="single" w:color="auto" w:sz="4" w:space="0"/>
            </w:tcBorders>
            <w:noWrap/>
            <w:vAlign w:val="center"/>
          </w:tcPr>
          <w:p w14:paraId="35580F06">
            <w:pPr>
              <w:pStyle w:val="557"/>
            </w:pPr>
            <w:r>
              <w:rPr>
                <w:rFonts w:hint="eastAsia"/>
              </w:rPr>
              <w:t>100</w:t>
            </w:r>
          </w:p>
        </w:tc>
        <w:tc>
          <w:tcPr>
            <w:tcW w:w="441" w:type="pct"/>
            <w:tcBorders>
              <w:top w:val="single" w:color="auto" w:sz="4" w:space="0"/>
              <w:left w:val="single" w:color="auto" w:sz="4" w:space="0"/>
              <w:bottom w:val="single" w:color="auto" w:sz="4" w:space="0"/>
              <w:right w:val="single" w:color="auto" w:sz="4" w:space="0"/>
            </w:tcBorders>
            <w:noWrap/>
            <w:vAlign w:val="center"/>
          </w:tcPr>
          <w:p w14:paraId="0E451FB1">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0CDD79DC">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27989503">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23994E6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B60EB94">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03A6EC5">
            <w:pPr>
              <w:pStyle w:val="557"/>
            </w:pPr>
            <w:r>
              <w:rPr>
                <w:rFonts w:hint="eastAsia"/>
              </w:rPr>
              <w:t>0.030125</w:t>
            </w:r>
          </w:p>
        </w:tc>
        <w:tc>
          <w:tcPr>
            <w:tcW w:w="349" w:type="pct"/>
            <w:tcBorders>
              <w:top w:val="single" w:color="auto" w:sz="4" w:space="0"/>
              <w:left w:val="single" w:color="auto" w:sz="4" w:space="0"/>
              <w:bottom w:val="single" w:color="auto" w:sz="4" w:space="0"/>
              <w:right w:val="single" w:color="auto" w:sz="4" w:space="0"/>
            </w:tcBorders>
            <w:vAlign w:val="center"/>
          </w:tcPr>
          <w:p w14:paraId="3CB86BE2">
            <w:pPr>
              <w:pStyle w:val="557"/>
            </w:pPr>
            <w:r>
              <w:rPr>
                <w:rFonts w:hint="eastAsia"/>
              </w:rPr>
              <w:t>/</w:t>
            </w:r>
          </w:p>
        </w:tc>
      </w:tr>
      <w:tr w14:paraId="5FB3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14B97ABB">
            <w:pPr>
              <w:pStyle w:val="557"/>
            </w:pPr>
            <w:r>
              <w:rPr>
                <w:rFonts w:hint="eastAsia"/>
              </w:rPr>
              <w:t>12</w:t>
            </w:r>
          </w:p>
        </w:tc>
        <w:tc>
          <w:tcPr>
            <w:tcW w:w="996" w:type="pct"/>
            <w:tcBorders>
              <w:top w:val="single" w:color="auto" w:sz="4" w:space="0"/>
              <w:left w:val="single" w:color="auto" w:sz="4" w:space="0"/>
              <w:bottom w:val="single" w:color="auto" w:sz="4" w:space="0"/>
              <w:right w:val="single" w:color="auto" w:sz="4" w:space="0"/>
            </w:tcBorders>
            <w:noWrap/>
            <w:vAlign w:val="center"/>
          </w:tcPr>
          <w:p w14:paraId="2AA62377">
            <w:pPr>
              <w:pStyle w:val="557"/>
            </w:pPr>
            <w:r>
              <w:rPr>
                <w:rFonts w:hint="eastAsia"/>
              </w:rPr>
              <w:t>亚硝酸甲酯罐组</w:t>
            </w:r>
          </w:p>
        </w:tc>
        <w:tc>
          <w:tcPr>
            <w:tcW w:w="324" w:type="pct"/>
            <w:tcBorders>
              <w:top w:val="single" w:color="auto" w:sz="4" w:space="0"/>
              <w:left w:val="single" w:color="auto" w:sz="4" w:space="0"/>
              <w:bottom w:val="single" w:color="auto" w:sz="4" w:space="0"/>
              <w:right w:val="single" w:color="auto" w:sz="4" w:space="0"/>
            </w:tcBorders>
            <w:noWrap/>
            <w:vAlign w:val="center"/>
          </w:tcPr>
          <w:p w14:paraId="42AB434E">
            <w:pPr>
              <w:pStyle w:val="557"/>
            </w:pPr>
            <w:r>
              <w:rPr>
                <w:rFonts w:hint="eastAsia"/>
              </w:rPr>
              <w:t>231</w:t>
            </w:r>
          </w:p>
        </w:tc>
        <w:tc>
          <w:tcPr>
            <w:tcW w:w="325" w:type="pct"/>
            <w:tcBorders>
              <w:top w:val="single" w:color="auto" w:sz="4" w:space="0"/>
              <w:left w:val="single" w:color="auto" w:sz="4" w:space="0"/>
              <w:bottom w:val="single" w:color="auto" w:sz="4" w:space="0"/>
              <w:right w:val="single" w:color="auto" w:sz="4" w:space="0"/>
            </w:tcBorders>
            <w:noWrap/>
            <w:vAlign w:val="center"/>
          </w:tcPr>
          <w:p w14:paraId="3F41CE38">
            <w:pPr>
              <w:pStyle w:val="557"/>
            </w:pPr>
            <w:r>
              <w:rPr>
                <w:rFonts w:hint="eastAsia"/>
              </w:rPr>
              <w:t>-204</w:t>
            </w:r>
          </w:p>
        </w:tc>
        <w:tc>
          <w:tcPr>
            <w:tcW w:w="441" w:type="pct"/>
            <w:tcBorders>
              <w:top w:val="single" w:color="auto" w:sz="4" w:space="0"/>
              <w:left w:val="single" w:color="auto" w:sz="4" w:space="0"/>
              <w:bottom w:val="single" w:color="auto" w:sz="4" w:space="0"/>
              <w:right w:val="single" w:color="auto" w:sz="4" w:space="0"/>
            </w:tcBorders>
            <w:noWrap/>
            <w:vAlign w:val="center"/>
          </w:tcPr>
          <w:p w14:paraId="5A910DBD">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09C8EBDF">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7C0D862D">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2DE16715">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3B3C587C">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151B6E4F">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58637755">
            <w:pPr>
              <w:pStyle w:val="557"/>
            </w:pPr>
            <w:r>
              <w:rPr>
                <w:rFonts w:hint="eastAsia"/>
              </w:rPr>
              <w:t>0.01625</w:t>
            </w:r>
          </w:p>
        </w:tc>
        <w:tc>
          <w:tcPr>
            <w:tcW w:w="349" w:type="pct"/>
            <w:tcBorders>
              <w:top w:val="single" w:color="auto" w:sz="4" w:space="0"/>
              <w:left w:val="single" w:color="auto" w:sz="4" w:space="0"/>
              <w:bottom w:val="single" w:color="auto" w:sz="4" w:space="0"/>
              <w:right w:val="single" w:color="auto" w:sz="4" w:space="0"/>
            </w:tcBorders>
            <w:vAlign w:val="center"/>
          </w:tcPr>
          <w:p w14:paraId="7AE5DF47">
            <w:pPr>
              <w:pStyle w:val="557"/>
            </w:pPr>
            <w:r>
              <w:rPr>
                <w:rFonts w:hint="eastAsia"/>
              </w:rPr>
              <w:t>/</w:t>
            </w:r>
          </w:p>
        </w:tc>
      </w:tr>
      <w:tr w14:paraId="773D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82BECA2">
            <w:pPr>
              <w:pStyle w:val="557"/>
            </w:pPr>
            <w:r>
              <w:rPr>
                <w:rFonts w:hint="eastAsia"/>
              </w:rPr>
              <w:t>13</w:t>
            </w:r>
          </w:p>
        </w:tc>
        <w:tc>
          <w:tcPr>
            <w:tcW w:w="996" w:type="pct"/>
            <w:tcBorders>
              <w:top w:val="single" w:color="auto" w:sz="4" w:space="0"/>
              <w:left w:val="single" w:color="auto" w:sz="4" w:space="0"/>
              <w:bottom w:val="single" w:color="auto" w:sz="4" w:space="0"/>
              <w:right w:val="single" w:color="auto" w:sz="4" w:space="0"/>
            </w:tcBorders>
            <w:noWrap/>
            <w:vAlign w:val="center"/>
          </w:tcPr>
          <w:p w14:paraId="1821A8C5">
            <w:pPr>
              <w:pStyle w:val="557"/>
            </w:pPr>
            <w:r>
              <w:rPr>
                <w:rFonts w:hint="eastAsia"/>
              </w:rPr>
              <w:t>中间产品罐组</w:t>
            </w:r>
          </w:p>
        </w:tc>
        <w:tc>
          <w:tcPr>
            <w:tcW w:w="324" w:type="pct"/>
            <w:tcBorders>
              <w:top w:val="single" w:color="auto" w:sz="4" w:space="0"/>
              <w:left w:val="single" w:color="auto" w:sz="4" w:space="0"/>
              <w:bottom w:val="single" w:color="auto" w:sz="4" w:space="0"/>
              <w:right w:val="single" w:color="auto" w:sz="4" w:space="0"/>
            </w:tcBorders>
            <w:noWrap/>
            <w:vAlign w:val="center"/>
          </w:tcPr>
          <w:p w14:paraId="5E543D98">
            <w:pPr>
              <w:pStyle w:val="557"/>
            </w:pPr>
            <w:r>
              <w:rPr>
                <w:rFonts w:hint="eastAsia"/>
              </w:rPr>
              <w:t>110</w:t>
            </w:r>
          </w:p>
        </w:tc>
        <w:tc>
          <w:tcPr>
            <w:tcW w:w="325" w:type="pct"/>
            <w:tcBorders>
              <w:top w:val="single" w:color="auto" w:sz="4" w:space="0"/>
              <w:left w:val="single" w:color="auto" w:sz="4" w:space="0"/>
              <w:bottom w:val="single" w:color="auto" w:sz="4" w:space="0"/>
              <w:right w:val="single" w:color="auto" w:sz="4" w:space="0"/>
            </w:tcBorders>
            <w:noWrap/>
            <w:vAlign w:val="center"/>
          </w:tcPr>
          <w:p w14:paraId="60CBDA9E">
            <w:pPr>
              <w:pStyle w:val="557"/>
            </w:pPr>
            <w:r>
              <w:rPr>
                <w:rFonts w:hint="eastAsia"/>
              </w:rPr>
              <w:t>-245</w:t>
            </w:r>
          </w:p>
        </w:tc>
        <w:tc>
          <w:tcPr>
            <w:tcW w:w="441" w:type="pct"/>
            <w:tcBorders>
              <w:top w:val="single" w:color="auto" w:sz="4" w:space="0"/>
              <w:left w:val="single" w:color="auto" w:sz="4" w:space="0"/>
              <w:bottom w:val="single" w:color="auto" w:sz="4" w:space="0"/>
              <w:right w:val="single" w:color="auto" w:sz="4" w:space="0"/>
            </w:tcBorders>
            <w:noWrap/>
            <w:vAlign w:val="center"/>
          </w:tcPr>
          <w:p w14:paraId="078EB68B">
            <w:pPr>
              <w:pStyle w:val="557"/>
            </w:pPr>
            <w:r>
              <w:rPr>
                <w:rFonts w:hint="eastAsia"/>
              </w:rPr>
              <w:t>55</w:t>
            </w:r>
          </w:p>
        </w:tc>
        <w:tc>
          <w:tcPr>
            <w:tcW w:w="441" w:type="pct"/>
            <w:tcBorders>
              <w:top w:val="single" w:color="auto" w:sz="4" w:space="0"/>
              <w:left w:val="single" w:color="auto" w:sz="4" w:space="0"/>
              <w:bottom w:val="single" w:color="auto" w:sz="4" w:space="0"/>
              <w:right w:val="single" w:color="auto" w:sz="4" w:space="0"/>
            </w:tcBorders>
            <w:noWrap/>
            <w:vAlign w:val="center"/>
          </w:tcPr>
          <w:p w14:paraId="08FDAF7E">
            <w:pPr>
              <w:pStyle w:val="557"/>
            </w:pPr>
            <w:r>
              <w:rPr>
                <w:rFonts w:hint="eastAsia"/>
              </w:rPr>
              <w:t>45</w:t>
            </w:r>
          </w:p>
        </w:tc>
        <w:tc>
          <w:tcPr>
            <w:tcW w:w="441" w:type="pct"/>
            <w:tcBorders>
              <w:top w:val="single" w:color="auto" w:sz="4" w:space="0"/>
              <w:left w:val="single" w:color="auto" w:sz="4" w:space="0"/>
              <w:bottom w:val="single" w:color="auto" w:sz="4" w:space="0"/>
              <w:right w:val="single" w:color="auto" w:sz="4" w:space="0"/>
            </w:tcBorders>
            <w:noWrap/>
            <w:vAlign w:val="center"/>
          </w:tcPr>
          <w:p w14:paraId="074222B5">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0F3A3A7F">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47E2CB37">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29AD5D8">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90AA9A4">
            <w:pPr>
              <w:pStyle w:val="557"/>
            </w:pPr>
            <w:r>
              <w:rPr>
                <w:rFonts w:hint="eastAsia"/>
              </w:rPr>
              <w:t>0.185</w:t>
            </w:r>
          </w:p>
        </w:tc>
        <w:tc>
          <w:tcPr>
            <w:tcW w:w="349" w:type="pct"/>
            <w:tcBorders>
              <w:top w:val="single" w:color="auto" w:sz="4" w:space="0"/>
              <w:left w:val="single" w:color="auto" w:sz="4" w:space="0"/>
              <w:bottom w:val="single" w:color="auto" w:sz="4" w:space="0"/>
              <w:right w:val="single" w:color="auto" w:sz="4" w:space="0"/>
            </w:tcBorders>
            <w:vAlign w:val="center"/>
          </w:tcPr>
          <w:p w14:paraId="591AE12D">
            <w:pPr>
              <w:pStyle w:val="557"/>
            </w:pPr>
            <w:r>
              <w:rPr>
                <w:rFonts w:hint="eastAsia"/>
              </w:rPr>
              <w:t>/</w:t>
            </w:r>
          </w:p>
        </w:tc>
      </w:tr>
      <w:tr w14:paraId="205C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A413E5A">
            <w:pPr>
              <w:pStyle w:val="557"/>
            </w:pPr>
            <w:r>
              <w:rPr>
                <w:rFonts w:hint="eastAsia"/>
              </w:rPr>
              <w:t>14</w:t>
            </w:r>
          </w:p>
        </w:tc>
        <w:tc>
          <w:tcPr>
            <w:tcW w:w="996" w:type="pct"/>
            <w:tcBorders>
              <w:top w:val="single" w:color="auto" w:sz="4" w:space="0"/>
              <w:left w:val="single" w:color="auto" w:sz="4" w:space="0"/>
              <w:bottom w:val="single" w:color="auto" w:sz="4" w:space="0"/>
              <w:right w:val="single" w:color="auto" w:sz="4" w:space="0"/>
            </w:tcBorders>
            <w:noWrap/>
            <w:vAlign w:val="center"/>
          </w:tcPr>
          <w:p w14:paraId="0401A7CA">
            <w:pPr>
              <w:pStyle w:val="557"/>
            </w:pPr>
            <w:r>
              <w:rPr>
                <w:rFonts w:hint="eastAsia"/>
              </w:rPr>
              <w:t>汽车装卸站无组织废气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4E8EA07C">
            <w:pPr>
              <w:pStyle w:val="557"/>
            </w:pPr>
            <w:r>
              <w:rPr>
                <w:rFonts w:hint="eastAsia"/>
              </w:rPr>
              <w:t>237</w:t>
            </w:r>
          </w:p>
        </w:tc>
        <w:tc>
          <w:tcPr>
            <w:tcW w:w="325" w:type="pct"/>
            <w:tcBorders>
              <w:top w:val="single" w:color="auto" w:sz="4" w:space="0"/>
              <w:left w:val="single" w:color="auto" w:sz="4" w:space="0"/>
              <w:bottom w:val="single" w:color="auto" w:sz="4" w:space="0"/>
              <w:right w:val="single" w:color="auto" w:sz="4" w:space="0"/>
            </w:tcBorders>
            <w:noWrap/>
            <w:vAlign w:val="center"/>
          </w:tcPr>
          <w:p w14:paraId="50AFA66A">
            <w:pPr>
              <w:pStyle w:val="557"/>
            </w:pPr>
            <w:r>
              <w:rPr>
                <w:rFonts w:hint="eastAsia"/>
              </w:rPr>
              <w:t>-249</w:t>
            </w:r>
          </w:p>
        </w:tc>
        <w:tc>
          <w:tcPr>
            <w:tcW w:w="441" w:type="pct"/>
            <w:tcBorders>
              <w:top w:val="single" w:color="auto" w:sz="4" w:space="0"/>
              <w:left w:val="single" w:color="auto" w:sz="4" w:space="0"/>
              <w:bottom w:val="single" w:color="auto" w:sz="4" w:space="0"/>
              <w:right w:val="single" w:color="auto" w:sz="4" w:space="0"/>
            </w:tcBorders>
            <w:noWrap/>
            <w:vAlign w:val="center"/>
          </w:tcPr>
          <w:p w14:paraId="7D900386">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18E435C6">
            <w:pPr>
              <w:pStyle w:val="557"/>
            </w:pPr>
            <w:r>
              <w:rPr>
                <w:rFonts w:hint="eastAsia"/>
              </w:rPr>
              <w:t>20</w:t>
            </w:r>
          </w:p>
        </w:tc>
        <w:tc>
          <w:tcPr>
            <w:tcW w:w="441" w:type="pct"/>
            <w:tcBorders>
              <w:top w:val="single" w:color="auto" w:sz="4" w:space="0"/>
              <w:left w:val="single" w:color="auto" w:sz="4" w:space="0"/>
              <w:bottom w:val="single" w:color="auto" w:sz="4" w:space="0"/>
              <w:right w:val="single" w:color="auto" w:sz="4" w:space="0"/>
            </w:tcBorders>
            <w:noWrap/>
            <w:vAlign w:val="center"/>
          </w:tcPr>
          <w:p w14:paraId="05EFBDC8">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595054C2">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9D06BAB">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BBF6D1E">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9C9E441">
            <w:pPr>
              <w:pStyle w:val="557"/>
            </w:pPr>
            <w:r>
              <w:rPr>
                <w:rFonts w:hint="eastAsia"/>
              </w:rPr>
              <w:t>0.02125</w:t>
            </w:r>
          </w:p>
        </w:tc>
        <w:tc>
          <w:tcPr>
            <w:tcW w:w="349" w:type="pct"/>
            <w:tcBorders>
              <w:top w:val="single" w:color="auto" w:sz="4" w:space="0"/>
              <w:left w:val="single" w:color="auto" w:sz="4" w:space="0"/>
              <w:bottom w:val="single" w:color="auto" w:sz="4" w:space="0"/>
              <w:right w:val="single" w:color="auto" w:sz="4" w:space="0"/>
            </w:tcBorders>
            <w:vAlign w:val="center"/>
          </w:tcPr>
          <w:p w14:paraId="2146489D">
            <w:pPr>
              <w:pStyle w:val="557"/>
            </w:pPr>
            <w:r>
              <w:rPr>
                <w:rFonts w:hint="eastAsia"/>
              </w:rPr>
              <w:t>/</w:t>
            </w:r>
          </w:p>
        </w:tc>
      </w:tr>
    </w:tbl>
    <w:p w14:paraId="151937CC">
      <w:pPr>
        <w:pStyle w:val="541"/>
        <w:rPr>
          <w:rFonts w:hint="eastAsia"/>
          <w:color w:val="000000" w:themeColor="text1"/>
          <w14:textFill>
            <w14:solidFill>
              <w14:schemeClr w14:val="tx1"/>
            </w14:solidFill>
          </w14:textFill>
        </w:rPr>
      </w:pPr>
      <w:r>
        <w:rPr>
          <w:color w:val="000000" w:themeColor="text1"/>
          <w14:textFill>
            <w14:solidFill>
              <w14:schemeClr w14:val="tx1"/>
            </w14:solidFill>
          </w14:textFill>
        </w:rPr>
        <w:t>表2.6.1-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废气污染物落地浓度估算结果</w:t>
      </w:r>
    </w:p>
    <w:tbl>
      <w:tblPr>
        <w:tblStyle w:val="65"/>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541"/>
        <w:gridCol w:w="987"/>
        <w:gridCol w:w="987"/>
        <w:gridCol w:w="986"/>
        <w:gridCol w:w="986"/>
        <w:gridCol w:w="986"/>
        <w:gridCol w:w="986"/>
        <w:gridCol w:w="986"/>
        <w:gridCol w:w="986"/>
        <w:gridCol w:w="986"/>
        <w:gridCol w:w="986"/>
        <w:gridCol w:w="986"/>
        <w:gridCol w:w="986"/>
      </w:tblGrid>
      <w:tr w14:paraId="3E80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37E4695">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序号</w:t>
            </w:r>
          </w:p>
        </w:tc>
        <w:tc>
          <w:tcPr>
            <w:tcW w:w="1541" w:type="dxa"/>
            <w:noWrap/>
            <w:vAlign w:val="center"/>
          </w:tcPr>
          <w:p w14:paraId="1E6681D2">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污染源名称</w:t>
            </w:r>
          </w:p>
        </w:tc>
        <w:tc>
          <w:tcPr>
            <w:tcW w:w="987" w:type="dxa"/>
            <w:noWrap/>
            <w:vAlign w:val="center"/>
          </w:tcPr>
          <w:p w14:paraId="5D8F17E6">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方位角度</w:t>
            </w: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度</w:t>
            </w:r>
            <w:r>
              <w:rPr>
                <w:rFonts w:ascii="Times New Roman" w:hAnsi="Times New Roman" w:cs="Times New Roman"/>
                <w:color w:val="000000" w:themeColor="text1"/>
                <w:sz w:val="18"/>
                <w:szCs w:val="18"/>
                <w14:textFill>
                  <w14:solidFill>
                    <w14:schemeClr w14:val="tx1"/>
                  </w14:solidFill>
                </w14:textFill>
              </w:rPr>
              <w:t>)</w:t>
            </w:r>
          </w:p>
        </w:tc>
        <w:tc>
          <w:tcPr>
            <w:tcW w:w="987" w:type="dxa"/>
            <w:noWrap/>
            <w:vAlign w:val="center"/>
          </w:tcPr>
          <w:p w14:paraId="5594BEC0">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离源距离</w:t>
            </w:r>
            <w:r>
              <w:rPr>
                <w:rFonts w:ascii="Times New Roman" w:hAnsi="Times New Roman" w:cs="Times New Roman"/>
                <w:color w:val="000000" w:themeColor="text1"/>
                <w:sz w:val="18"/>
                <w:szCs w:val="18"/>
                <w14:textFill>
                  <w14:solidFill>
                    <w14:schemeClr w14:val="tx1"/>
                  </w14:solidFill>
                </w14:textFill>
              </w:rPr>
              <w:t>(m)</w:t>
            </w:r>
          </w:p>
        </w:tc>
        <w:tc>
          <w:tcPr>
            <w:tcW w:w="986" w:type="dxa"/>
            <w:noWrap/>
            <w:vAlign w:val="center"/>
          </w:tcPr>
          <w:p w14:paraId="4666B0AE">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相对源高</w:t>
            </w:r>
            <w:r>
              <w:rPr>
                <w:rFonts w:ascii="Times New Roman" w:hAnsi="Times New Roman" w:cs="Times New Roman"/>
                <w:color w:val="000000" w:themeColor="text1"/>
                <w:sz w:val="18"/>
                <w:szCs w:val="18"/>
                <w14:textFill>
                  <w14:solidFill>
                    <w14:schemeClr w14:val="tx1"/>
                  </w14:solidFill>
                </w14:textFill>
              </w:rPr>
              <w:t>(m)</w:t>
            </w:r>
          </w:p>
        </w:tc>
        <w:tc>
          <w:tcPr>
            <w:tcW w:w="986" w:type="dxa"/>
            <w:noWrap/>
            <w:vAlign w:val="center"/>
          </w:tcPr>
          <w:p w14:paraId="6C94D06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SO</w:t>
            </w:r>
            <w:r>
              <w:rPr>
                <w:rFonts w:ascii="Times New Roman" w:hAnsi="Times New Roman" w:eastAsia="等线" w:cs="Times New Roman"/>
                <w:color w:val="000000" w:themeColor="text1"/>
                <w:sz w:val="18"/>
                <w:szCs w:val="18"/>
                <w:vertAlign w:val="subscript"/>
                <w14:textFill>
                  <w14:solidFill>
                    <w14:schemeClr w14:val="tx1"/>
                  </w14:solidFill>
                </w14:textFill>
              </w:rPr>
              <w:t>2</w:t>
            </w:r>
            <w:r>
              <w:rPr>
                <w:rFonts w:ascii="Times New Roman" w:hAnsi="Times New Roman" w:eastAsia="等线" w:cs="Times New Roman"/>
                <w:color w:val="000000" w:themeColor="text1"/>
                <w:sz w:val="18"/>
                <w:szCs w:val="18"/>
                <w14:textFill>
                  <w14:solidFill>
                    <w14:schemeClr w14:val="tx1"/>
                  </w14:solidFill>
                </w14:textFill>
              </w:rPr>
              <w:t>|D</w:t>
            </w:r>
            <w:r>
              <w:rPr>
                <w:rFonts w:ascii="Times New Roman" w:hAnsi="Times New Roman" w:eastAsia="等线" w:cs="Times New Roman"/>
                <w:color w:val="000000" w:themeColor="text1"/>
                <w:sz w:val="18"/>
                <w:szCs w:val="18"/>
                <w:vertAlign w:val="subscript"/>
                <w14:textFill>
                  <w14:solidFill>
                    <w14:schemeClr w14:val="tx1"/>
                  </w14:solidFill>
                </w14:textFill>
              </w:rPr>
              <w:t>10%</w:t>
            </w:r>
          </w:p>
          <w:p w14:paraId="240B434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noWrap/>
            <w:vAlign w:val="center"/>
          </w:tcPr>
          <w:p w14:paraId="5F1FCDA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NO</w:t>
            </w:r>
            <w:r>
              <w:rPr>
                <w:rFonts w:ascii="Times New Roman" w:hAnsi="Times New Roman" w:eastAsia="等线" w:cs="Times New Roman"/>
                <w:color w:val="000000" w:themeColor="text1"/>
                <w:sz w:val="18"/>
                <w:szCs w:val="18"/>
                <w:vertAlign w:val="subscript"/>
                <w14:textFill>
                  <w14:solidFill>
                    <w14:schemeClr w14:val="tx1"/>
                  </w14:solidFill>
                </w14:textFill>
              </w:rPr>
              <w:t>2</w:t>
            </w:r>
            <w:r>
              <w:rPr>
                <w:rFonts w:ascii="Times New Roman" w:hAnsi="Times New Roman" w:eastAsia="等线" w:cs="Times New Roman"/>
                <w:color w:val="000000" w:themeColor="text1"/>
                <w:sz w:val="18"/>
                <w:szCs w:val="18"/>
                <w14:textFill>
                  <w14:solidFill>
                    <w14:schemeClr w14:val="tx1"/>
                  </w14:solidFill>
                </w14:textFill>
              </w:rPr>
              <w:t>|D</w:t>
            </w:r>
            <w:r>
              <w:rPr>
                <w:rFonts w:ascii="Times New Roman" w:hAnsi="Times New Roman" w:eastAsia="等线" w:cs="Times New Roman"/>
                <w:color w:val="000000" w:themeColor="text1"/>
                <w:sz w:val="18"/>
                <w:szCs w:val="18"/>
                <w:vertAlign w:val="subscript"/>
                <w14:textFill>
                  <w14:solidFill>
                    <w14:schemeClr w14:val="tx1"/>
                  </w14:solidFill>
                </w14:textFill>
              </w:rPr>
              <w:t>10%</w:t>
            </w:r>
          </w:p>
          <w:p w14:paraId="6220A27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noWrap/>
            <w:vAlign w:val="center"/>
          </w:tcPr>
          <w:p w14:paraId="19053DD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PM</w:t>
            </w:r>
            <w:r>
              <w:rPr>
                <w:rFonts w:ascii="Times New Roman" w:hAnsi="Times New Roman" w:eastAsia="等线" w:cs="Times New Roman"/>
                <w:color w:val="000000" w:themeColor="text1"/>
                <w:sz w:val="18"/>
                <w:szCs w:val="18"/>
                <w:vertAlign w:val="subscript"/>
                <w14:textFill>
                  <w14:solidFill>
                    <w14:schemeClr w14:val="tx1"/>
                  </w14:solidFill>
                </w14:textFill>
              </w:rPr>
              <w:t>10</w:t>
            </w:r>
            <w:r>
              <w:rPr>
                <w:rFonts w:ascii="Times New Roman" w:hAnsi="Times New Roman" w:eastAsia="等线" w:cs="Times New Roman"/>
                <w:color w:val="000000" w:themeColor="text1"/>
                <w:sz w:val="18"/>
                <w:szCs w:val="18"/>
                <w14:textFill>
                  <w14:solidFill>
                    <w14:schemeClr w14:val="tx1"/>
                  </w14:solidFill>
                </w14:textFill>
              </w:rPr>
              <w:t>|D</w:t>
            </w:r>
            <w:r>
              <w:rPr>
                <w:rFonts w:ascii="Times New Roman" w:hAnsi="Times New Roman" w:eastAsia="等线" w:cs="Times New Roman"/>
                <w:color w:val="000000" w:themeColor="text1"/>
                <w:sz w:val="18"/>
                <w:szCs w:val="18"/>
                <w:vertAlign w:val="subscript"/>
                <w14:textFill>
                  <w14:solidFill>
                    <w14:schemeClr w14:val="tx1"/>
                  </w14:solidFill>
                </w14:textFill>
              </w:rPr>
              <w:t>10%</w:t>
            </w:r>
          </w:p>
          <w:p w14:paraId="79224B0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noWrap/>
            <w:vAlign w:val="center"/>
          </w:tcPr>
          <w:p w14:paraId="33A62BC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PM</w:t>
            </w:r>
            <w:r>
              <w:rPr>
                <w:rFonts w:ascii="Times New Roman" w:hAnsi="Times New Roman" w:eastAsia="等线" w:cs="Times New Roman"/>
                <w:color w:val="000000" w:themeColor="text1"/>
                <w:sz w:val="18"/>
                <w:szCs w:val="18"/>
                <w:vertAlign w:val="subscript"/>
                <w14:textFill>
                  <w14:solidFill>
                    <w14:schemeClr w14:val="tx1"/>
                  </w14:solidFill>
                </w14:textFill>
              </w:rPr>
              <w:t>2.5</w:t>
            </w:r>
            <w:r>
              <w:rPr>
                <w:rFonts w:ascii="Times New Roman" w:hAnsi="Times New Roman" w:eastAsia="等线" w:cs="Times New Roman"/>
                <w:color w:val="000000" w:themeColor="text1"/>
                <w:sz w:val="18"/>
                <w:szCs w:val="18"/>
                <w14:textFill>
                  <w14:solidFill>
                    <w14:schemeClr w14:val="tx1"/>
                  </w14:solidFill>
                </w14:textFill>
              </w:rPr>
              <w:t>|D</w:t>
            </w:r>
            <w:r>
              <w:rPr>
                <w:rFonts w:ascii="Times New Roman" w:hAnsi="Times New Roman" w:eastAsia="等线" w:cs="Times New Roman"/>
                <w:color w:val="000000" w:themeColor="text1"/>
                <w:sz w:val="18"/>
                <w:szCs w:val="18"/>
                <w:vertAlign w:val="subscript"/>
                <w14:textFill>
                  <w14:solidFill>
                    <w14:schemeClr w14:val="tx1"/>
                  </w14:solidFill>
                </w14:textFill>
              </w:rPr>
              <w:t>10%</w:t>
            </w:r>
          </w:p>
          <w:p w14:paraId="08EA6D7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noWrap/>
            <w:vAlign w:val="center"/>
          </w:tcPr>
          <w:p w14:paraId="2475ADCB">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甲醇</w:t>
            </w:r>
            <w:r>
              <w:rPr>
                <w:rFonts w:ascii="Times New Roman" w:hAnsi="Times New Roman" w:cs="Times New Roman"/>
                <w:color w:val="000000" w:themeColor="text1"/>
                <w:sz w:val="18"/>
                <w:szCs w:val="18"/>
                <w14:textFill>
                  <w14:solidFill>
                    <w14:schemeClr w14:val="tx1"/>
                  </w14:solidFill>
                </w14:textFill>
              </w:rPr>
              <w:t>| D</w:t>
            </w:r>
            <w:r>
              <w:rPr>
                <w:rFonts w:ascii="Times New Roman" w:hAnsi="Times New Roman" w:cs="Times New Roman"/>
                <w:color w:val="000000" w:themeColor="text1"/>
                <w:sz w:val="18"/>
                <w:szCs w:val="18"/>
                <w:vertAlign w:val="subscript"/>
                <w14:textFill>
                  <w14:solidFill>
                    <w14:schemeClr w14:val="tx1"/>
                  </w14:solidFill>
                </w14:textFill>
              </w:rPr>
              <w:t xml:space="preserve">10% </w:t>
            </w:r>
            <w:r>
              <w:rPr>
                <w:rFonts w:ascii="Times New Roman" w:hAnsi="Times New Roman" w:cs="Times New Roman"/>
                <w:color w:val="000000" w:themeColor="text1"/>
                <w:sz w:val="18"/>
                <w:szCs w:val="18"/>
                <w14:textFill>
                  <w14:solidFill>
                    <w14:schemeClr w14:val="tx1"/>
                  </w14:solidFill>
                </w14:textFill>
              </w:rPr>
              <w:t>(m)</w:t>
            </w:r>
          </w:p>
        </w:tc>
        <w:tc>
          <w:tcPr>
            <w:tcW w:w="986" w:type="dxa"/>
            <w:vAlign w:val="center"/>
          </w:tcPr>
          <w:p w14:paraId="5199167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NMHC|D</w:t>
            </w:r>
            <w:r>
              <w:rPr>
                <w:rFonts w:ascii="Times New Roman" w:hAnsi="Times New Roman" w:eastAsia="等线" w:cs="Times New Roman"/>
                <w:color w:val="000000" w:themeColor="text1"/>
                <w:sz w:val="18"/>
                <w:szCs w:val="18"/>
                <w:vertAlign w:val="subscript"/>
                <w14:textFill>
                  <w14:solidFill>
                    <w14:schemeClr w14:val="tx1"/>
                  </w14:solidFill>
                </w14:textFill>
              </w:rPr>
              <w:t>10%</w:t>
            </w:r>
          </w:p>
          <w:p w14:paraId="7900C02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vAlign w:val="center"/>
          </w:tcPr>
          <w:p w14:paraId="2CD7A275">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氨</w:t>
            </w:r>
            <w:r>
              <w:rPr>
                <w:rFonts w:ascii="Times New Roman" w:hAnsi="Times New Roman" w:cs="Times New Roman"/>
                <w:color w:val="000000" w:themeColor="text1"/>
                <w:sz w:val="18"/>
                <w:szCs w:val="18"/>
                <w14:textFill>
                  <w14:solidFill>
                    <w14:schemeClr w14:val="tx1"/>
                  </w14:solidFill>
                </w14:textFill>
              </w:rPr>
              <w:t>| D</w:t>
            </w:r>
            <w:r>
              <w:rPr>
                <w:rFonts w:ascii="Times New Roman" w:hAnsi="Times New Roman" w:cs="Times New Roman"/>
                <w:color w:val="000000" w:themeColor="text1"/>
                <w:sz w:val="18"/>
                <w:szCs w:val="18"/>
                <w:vertAlign w:val="subscript"/>
                <w14:textFill>
                  <w14:solidFill>
                    <w14:schemeClr w14:val="tx1"/>
                  </w14:solidFill>
                </w14:textFill>
              </w:rPr>
              <w:t>10%</w:t>
            </w:r>
          </w:p>
          <w:p w14:paraId="67802EB4">
            <w:pPr>
              <w:jc w:val="center"/>
              <w:rPr>
                <w:rFonts w:hint="eastAsia"/>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c>
          <w:tcPr>
            <w:tcW w:w="986" w:type="dxa"/>
            <w:vAlign w:val="center"/>
          </w:tcPr>
          <w:p w14:paraId="3B8CA52E">
            <w:pPr>
              <w:jc w:val="center"/>
              <w:rPr>
                <w:rFonts w:ascii="Times New Roman" w:hAnsi="Times New Roman" w:cs="Times New Roman"/>
                <w:color w:val="000000" w:themeColor="text1"/>
                <w:sz w:val="18"/>
                <w:szCs w:val="18"/>
                <w:vertAlign w:val="subscript"/>
                <w14:textFill>
                  <w14:solidFill>
                    <w14:schemeClr w14:val="tx1"/>
                  </w14:solidFill>
                </w14:textFill>
              </w:rPr>
            </w:pPr>
            <w:r>
              <w:rPr>
                <w:rFonts w:hint="eastAsia"/>
                <w:color w:val="000000" w:themeColor="text1"/>
                <w:sz w:val="18"/>
                <w:szCs w:val="18"/>
                <w14:textFill>
                  <w14:solidFill>
                    <w14:schemeClr w14:val="tx1"/>
                  </w14:solidFill>
                </w14:textFill>
              </w:rPr>
              <w:t>硫化氢</w:t>
            </w:r>
            <w:r>
              <w:rPr>
                <w:rFonts w:ascii="Times New Roman" w:hAnsi="Times New Roman" w:cs="Times New Roman"/>
                <w:color w:val="000000" w:themeColor="text1"/>
                <w:sz w:val="18"/>
                <w:szCs w:val="18"/>
                <w14:textFill>
                  <w14:solidFill>
                    <w14:schemeClr w14:val="tx1"/>
                  </w14:solidFill>
                </w14:textFill>
              </w:rPr>
              <w:t>|D</w:t>
            </w:r>
            <w:r>
              <w:rPr>
                <w:rFonts w:ascii="Times New Roman" w:hAnsi="Times New Roman" w:cs="Times New Roman"/>
                <w:color w:val="000000" w:themeColor="text1"/>
                <w:sz w:val="18"/>
                <w:szCs w:val="18"/>
                <w:vertAlign w:val="subscript"/>
                <w14:textFill>
                  <w14:solidFill>
                    <w14:schemeClr w14:val="tx1"/>
                  </w14:solidFill>
                </w14:textFill>
              </w:rPr>
              <w:t>10%</w:t>
            </w:r>
          </w:p>
          <w:p w14:paraId="1DA99DD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w:t>
            </w:r>
          </w:p>
        </w:tc>
        <w:tc>
          <w:tcPr>
            <w:tcW w:w="986" w:type="dxa"/>
            <w:vAlign w:val="center"/>
          </w:tcPr>
          <w:p w14:paraId="0F1A246B">
            <w:pPr>
              <w:jc w:val="center"/>
              <w:rPr>
                <w:rFonts w:ascii="Times New Roman" w:hAnsi="Times New Roman" w:cs="Times New Roman"/>
                <w:color w:val="000000" w:themeColor="text1"/>
                <w:sz w:val="18"/>
                <w:szCs w:val="18"/>
                <w:vertAlign w:val="subscript"/>
                <w14:textFill>
                  <w14:solidFill>
                    <w14:schemeClr w14:val="tx1"/>
                  </w14:solidFill>
                </w14:textFill>
              </w:rPr>
            </w:pPr>
            <w:r>
              <w:rPr>
                <w:rFonts w:hint="eastAsia"/>
                <w:color w:val="000000" w:themeColor="text1"/>
                <w:sz w:val="18"/>
                <w:szCs w:val="18"/>
                <w14:textFill>
                  <w14:solidFill>
                    <w14:schemeClr w14:val="tx1"/>
                  </w14:solidFill>
                </w14:textFill>
              </w:rPr>
              <w:t>硫酸雾</w:t>
            </w:r>
            <w:r>
              <w:rPr>
                <w:rFonts w:ascii="Times New Roman" w:hAnsi="Times New Roman" w:cs="Times New Roman"/>
                <w:color w:val="000000" w:themeColor="text1"/>
                <w:sz w:val="18"/>
                <w:szCs w:val="18"/>
                <w14:textFill>
                  <w14:solidFill>
                    <w14:schemeClr w14:val="tx1"/>
                  </w14:solidFill>
                </w14:textFill>
              </w:rPr>
              <w:t>| D</w:t>
            </w:r>
            <w:r>
              <w:rPr>
                <w:rFonts w:ascii="Times New Roman" w:hAnsi="Times New Roman" w:cs="Times New Roman"/>
                <w:color w:val="000000" w:themeColor="text1"/>
                <w:sz w:val="18"/>
                <w:szCs w:val="18"/>
                <w:vertAlign w:val="subscript"/>
                <w14:textFill>
                  <w14:solidFill>
                    <w14:schemeClr w14:val="tx1"/>
                  </w14:solidFill>
                </w14:textFill>
              </w:rPr>
              <w:t>10%</w:t>
            </w:r>
          </w:p>
          <w:p w14:paraId="78F3DD62">
            <w:pPr>
              <w:jc w:val="center"/>
              <w:rPr>
                <w:rFonts w:hint="eastAsia"/>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(m)</w:t>
            </w:r>
          </w:p>
        </w:tc>
      </w:tr>
      <w:tr w14:paraId="16BA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7157D0B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w:t>
            </w:r>
          </w:p>
        </w:tc>
        <w:tc>
          <w:tcPr>
            <w:tcW w:w="1541" w:type="dxa"/>
            <w:noWrap/>
            <w:vAlign w:val="center"/>
          </w:tcPr>
          <w:p w14:paraId="50EF589E">
            <w:pPr>
              <w:pStyle w:val="557"/>
              <w:rPr>
                <w:lang w:eastAsia="zh"/>
              </w:rPr>
            </w:pPr>
            <w:r>
              <w:rPr>
                <w:rFonts w:hint="eastAsia"/>
                <w:lang w:eastAsia="zh"/>
              </w:rPr>
              <w:t>原料煤仓废气</w:t>
            </w:r>
          </w:p>
        </w:tc>
        <w:tc>
          <w:tcPr>
            <w:tcW w:w="987" w:type="dxa"/>
            <w:noWrap/>
            <w:vAlign w:val="center"/>
          </w:tcPr>
          <w:p w14:paraId="092798B7">
            <w:pPr>
              <w:pStyle w:val="557"/>
            </w:pPr>
            <w:r>
              <w:rPr>
                <w:rFonts w:hint="eastAsia"/>
              </w:rPr>
              <w:t>300</w:t>
            </w:r>
          </w:p>
        </w:tc>
        <w:tc>
          <w:tcPr>
            <w:tcW w:w="987" w:type="dxa"/>
            <w:noWrap/>
            <w:vAlign w:val="center"/>
          </w:tcPr>
          <w:p w14:paraId="4F1A6CDC">
            <w:pPr>
              <w:pStyle w:val="557"/>
            </w:pPr>
            <w:r>
              <w:rPr>
                <w:rFonts w:hint="eastAsia"/>
              </w:rPr>
              <w:t>51</w:t>
            </w:r>
          </w:p>
        </w:tc>
        <w:tc>
          <w:tcPr>
            <w:tcW w:w="986" w:type="dxa"/>
            <w:noWrap/>
            <w:vAlign w:val="center"/>
          </w:tcPr>
          <w:p w14:paraId="43CF1F98">
            <w:pPr>
              <w:pStyle w:val="557"/>
            </w:pPr>
            <w:r>
              <w:rPr>
                <w:rFonts w:hint="eastAsia"/>
              </w:rPr>
              <w:t>0.49</w:t>
            </w:r>
          </w:p>
        </w:tc>
        <w:tc>
          <w:tcPr>
            <w:tcW w:w="986" w:type="dxa"/>
            <w:noWrap/>
            <w:vAlign w:val="center"/>
          </w:tcPr>
          <w:p w14:paraId="7BFBE4BB">
            <w:pPr>
              <w:pStyle w:val="557"/>
            </w:pPr>
            <w:r>
              <w:rPr>
                <w:rFonts w:hint="eastAsia"/>
              </w:rPr>
              <w:t>0.00|0</w:t>
            </w:r>
          </w:p>
        </w:tc>
        <w:tc>
          <w:tcPr>
            <w:tcW w:w="986" w:type="dxa"/>
            <w:noWrap/>
            <w:vAlign w:val="center"/>
          </w:tcPr>
          <w:p w14:paraId="0982C3F6">
            <w:pPr>
              <w:pStyle w:val="557"/>
            </w:pPr>
            <w:r>
              <w:rPr>
                <w:rFonts w:hint="eastAsia"/>
              </w:rPr>
              <w:t>0.00|0</w:t>
            </w:r>
          </w:p>
        </w:tc>
        <w:tc>
          <w:tcPr>
            <w:tcW w:w="986" w:type="dxa"/>
            <w:noWrap/>
            <w:vAlign w:val="center"/>
          </w:tcPr>
          <w:p w14:paraId="78A468BD">
            <w:pPr>
              <w:pStyle w:val="557"/>
            </w:pPr>
            <w:r>
              <w:rPr>
                <w:rFonts w:hint="eastAsia"/>
              </w:rPr>
              <w:t>0.40|0</w:t>
            </w:r>
          </w:p>
        </w:tc>
        <w:tc>
          <w:tcPr>
            <w:tcW w:w="986" w:type="dxa"/>
            <w:noWrap/>
            <w:vAlign w:val="center"/>
          </w:tcPr>
          <w:p w14:paraId="56531996">
            <w:pPr>
              <w:pStyle w:val="557"/>
            </w:pPr>
            <w:r>
              <w:rPr>
                <w:rFonts w:hint="eastAsia"/>
              </w:rPr>
              <w:t>0.40|0</w:t>
            </w:r>
          </w:p>
        </w:tc>
        <w:tc>
          <w:tcPr>
            <w:tcW w:w="986" w:type="dxa"/>
            <w:noWrap/>
            <w:vAlign w:val="center"/>
          </w:tcPr>
          <w:p w14:paraId="4D09844E">
            <w:pPr>
              <w:pStyle w:val="557"/>
            </w:pPr>
            <w:r>
              <w:rPr>
                <w:rFonts w:hint="eastAsia"/>
              </w:rPr>
              <w:t>0.00|0</w:t>
            </w:r>
          </w:p>
        </w:tc>
        <w:tc>
          <w:tcPr>
            <w:tcW w:w="986" w:type="dxa"/>
            <w:vAlign w:val="center"/>
          </w:tcPr>
          <w:p w14:paraId="012584FF">
            <w:pPr>
              <w:pStyle w:val="557"/>
            </w:pPr>
            <w:r>
              <w:rPr>
                <w:rFonts w:hint="eastAsia"/>
              </w:rPr>
              <w:t>0.00|0</w:t>
            </w:r>
          </w:p>
        </w:tc>
        <w:tc>
          <w:tcPr>
            <w:tcW w:w="986" w:type="dxa"/>
            <w:vAlign w:val="center"/>
          </w:tcPr>
          <w:p w14:paraId="176BEA41">
            <w:pPr>
              <w:pStyle w:val="557"/>
            </w:pPr>
            <w:r>
              <w:rPr>
                <w:rFonts w:hint="eastAsia"/>
              </w:rPr>
              <w:t>0.00|0</w:t>
            </w:r>
          </w:p>
        </w:tc>
        <w:tc>
          <w:tcPr>
            <w:tcW w:w="986" w:type="dxa"/>
            <w:vAlign w:val="center"/>
          </w:tcPr>
          <w:p w14:paraId="22067B42">
            <w:pPr>
              <w:pStyle w:val="557"/>
            </w:pPr>
            <w:r>
              <w:rPr>
                <w:rFonts w:hint="eastAsia"/>
              </w:rPr>
              <w:t>0.00|0</w:t>
            </w:r>
          </w:p>
        </w:tc>
        <w:tc>
          <w:tcPr>
            <w:tcW w:w="986" w:type="dxa"/>
            <w:vAlign w:val="center"/>
          </w:tcPr>
          <w:p w14:paraId="6DB3686E">
            <w:pPr>
              <w:pStyle w:val="557"/>
            </w:pPr>
            <w:r>
              <w:rPr>
                <w:rFonts w:hint="eastAsia"/>
              </w:rPr>
              <w:t>0.00|0</w:t>
            </w:r>
          </w:p>
        </w:tc>
      </w:tr>
      <w:tr w14:paraId="2BEB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0E3176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w:t>
            </w:r>
          </w:p>
        </w:tc>
        <w:tc>
          <w:tcPr>
            <w:tcW w:w="1541" w:type="dxa"/>
            <w:noWrap/>
            <w:vAlign w:val="center"/>
          </w:tcPr>
          <w:p w14:paraId="2305BFC2">
            <w:pPr>
              <w:pStyle w:val="557"/>
            </w:pPr>
            <w:r>
              <w:rPr>
                <w:rFonts w:hint="eastAsia"/>
              </w:rPr>
              <w:t>磨煤干燥废气</w:t>
            </w:r>
          </w:p>
        </w:tc>
        <w:tc>
          <w:tcPr>
            <w:tcW w:w="987" w:type="dxa"/>
            <w:noWrap/>
            <w:vAlign w:val="center"/>
          </w:tcPr>
          <w:p w14:paraId="2E9A3A30">
            <w:pPr>
              <w:pStyle w:val="557"/>
            </w:pPr>
            <w:r>
              <w:rPr>
                <w:rFonts w:hint="eastAsia"/>
              </w:rPr>
              <w:t>220</w:t>
            </w:r>
          </w:p>
        </w:tc>
        <w:tc>
          <w:tcPr>
            <w:tcW w:w="987" w:type="dxa"/>
            <w:noWrap/>
            <w:vAlign w:val="center"/>
          </w:tcPr>
          <w:p w14:paraId="6DB71811">
            <w:pPr>
              <w:pStyle w:val="557"/>
            </w:pPr>
            <w:r>
              <w:rPr>
                <w:rFonts w:hint="eastAsia"/>
              </w:rPr>
              <w:t>93</w:t>
            </w:r>
          </w:p>
        </w:tc>
        <w:tc>
          <w:tcPr>
            <w:tcW w:w="986" w:type="dxa"/>
            <w:noWrap/>
            <w:vAlign w:val="center"/>
          </w:tcPr>
          <w:p w14:paraId="24233774">
            <w:pPr>
              <w:pStyle w:val="557"/>
            </w:pPr>
            <w:r>
              <w:rPr>
                <w:rFonts w:hint="eastAsia"/>
              </w:rPr>
              <w:t>0.42</w:t>
            </w:r>
          </w:p>
        </w:tc>
        <w:tc>
          <w:tcPr>
            <w:tcW w:w="986" w:type="dxa"/>
            <w:noWrap/>
            <w:vAlign w:val="center"/>
          </w:tcPr>
          <w:p w14:paraId="76133554">
            <w:pPr>
              <w:pStyle w:val="557"/>
            </w:pPr>
            <w:r>
              <w:rPr>
                <w:rFonts w:hint="eastAsia"/>
              </w:rPr>
              <w:t>0.00|0</w:t>
            </w:r>
          </w:p>
        </w:tc>
        <w:tc>
          <w:tcPr>
            <w:tcW w:w="986" w:type="dxa"/>
            <w:noWrap/>
            <w:vAlign w:val="center"/>
          </w:tcPr>
          <w:p w14:paraId="59F1CFB3">
            <w:pPr>
              <w:pStyle w:val="557"/>
            </w:pPr>
            <w:r>
              <w:rPr>
                <w:rFonts w:hint="eastAsia"/>
              </w:rPr>
              <w:t>4.15|0</w:t>
            </w:r>
          </w:p>
        </w:tc>
        <w:tc>
          <w:tcPr>
            <w:tcW w:w="986" w:type="dxa"/>
            <w:noWrap/>
            <w:vAlign w:val="center"/>
          </w:tcPr>
          <w:p w14:paraId="2CB9ED5B">
            <w:pPr>
              <w:pStyle w:val="557"/>
            </w:pPr>
            <w:r>
              <w:rPr>
                <w:rFonts w:hint="eastAsia"/>
              </w:rPr>
              <w:t>0.25|0</w:t>
            </w:r>
          </w:p>
        </w:tc>
        <w:tc>
          <w:tcPr>
            <w:tcW w:w="986" w:type="dxa"/>
            <w:noWrap/>
            <w:vAlign w:val="center"/>
          </w:tcPr>
          <w:p w14:paraId="73D3820A">
            <w:pPr>
              <w:pStyle w:val="557"/>
            </w:pPr>
            <w:r>
              <w:rPr>
                <w:rFonts w:hint="eastAsia"/>
              </w:rPr>
              <w:t>0.25|0</w:t>
            </w:r>
          </w:p>
        </w:tc>
        <w:tc>
          <w:tcPr>
            <w:tcW w:w="986" w:type="dxa"/>
            <w:noWrap/>
            <w:vAlign w:val="center"/>
          </w:tcPr>
          <w:p w14:paraId="1430AC80">
            <w:pPr>
              <w:pStyle w:val="557"/>
            </w:pPr>
            <w:r>
              <w:rPr>
                <w:rFonts w:hint="eastAsia"/>
              </w:rPr>
              <w:t>0.00|0</w:t>
            </w:r>
          </w:p>
        </w:tc>
        <w:tc>
          <w:tcPr>
            <w:tcW w:w="986" w:type="dxa"/>
            <w:vAlign w:val="center"/>
          </w:tcPr>
          <w:p w14:paraId="2A566F83">
            <w:pPr>
              <w:pStyle w:val="557"/>
            </w:pPr>
            <w:r>
              <w:rPr>
                <w:rFonts w:hint="eastAsia"/>
              </w:rPr>
              <w:t>0.00|0</w:t>
            </w:r>
          </w:p>
        </w:tc>
        <w:tc>
          <w:tcPr>
            <w:tcW w:w="986" w:type="dxa"/>
            <w:vAlign w:val="center"/>
          </w:tcPr>
          <w:p w14:paraId="5100B33B">
            <w:pPr>
              <w:pStyle w:val="557"/>
            </w:pPr>
            <w:r>
              <w:rPr>
                <w:rFonts w:hint="eastAsia"/>
              </w:rPr>
              <w:t>0.00|0</w:t>
            </w:r>
          </w:p>
        </w:tc>
        <w:tc>
          <w:tcPr>
            <w:tcW w:w="986" w:type="dxa"/>
            <w:vAlign w:val="center"/>
          </w:tcPr>
          <w:p w14:paraId="22E8B295">
            <w:pPr>
              <w:pStyle w:val="557"/>
            </w:pPr>
            <w:r>
              <w:rPr>
                <w:rFonts w:hint="eastAsia"/>
              </w:rPr>
              <w:t>0.00|0</w:t>
            </w:r>
          </w:p>
        </w:tc>
        <w:tc>
          <w:tcPr>
            <w:tcW w:w="986" w:type="dxa"/>
            <w:vAlign w:val="center"/>
          </w:tcPr>
          <w:p w14:paraId="5417B0EE">
            <w:pPr>
              <w:pStyle w:val="557"/>
            </w:pPr>
            <w:r>
              <w:rPr>
                <w:rFonts w:hint="eastAsia"/>
              </w:rPr>
              <w:t>0.00|0</w:t>
            </w:r>
          </w:p>
        </w:tc>
      </w:tr>
      <w:tr w14:paraId="65A9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3B9B59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w:t>
            </w:r>
          </w:p>
        </w:tc>
        <w:tc>
          <w:tcPr>
            <w:tcW w:w="1541" w:type="dxa"/>
            <w:noWrap/>
            <w:vAlign w:val="center"/>
          </w:tcPr>
          <w:p w14:paraId="0676F9CE">
            <w:pPr>
              <w:pStyle w:val="557"/>
            </w:pPr>
            <w:r>
              <w:rPr>
                <w:rFonts w:hint="eastAsia"/>
              </w:rPr>
              <w:t>粉煤锁斗排气</w:t>
            </w:r>
          </w:p>
        </w:tc>
        <w:tc>
          <w:tcPr>
            <w:tcW w:w="987" w:type="dxa"/>
            <w:noWrap/>
            <w:vAlign w:val="center"/>
          </w:tcPr>
          <w:p w14:paraId="1D5A18EC">
            <w:pPr>
              <w:pStyle w:val="557"/>
            </w:pPr>
            <w:r>
              <w:rPr>
                <w:rFonts w:hint="eastAsia"/>
              </w:rPr>
              <w:t>20</w:t>
            </w:r>
          </w:p>
        </w:tc>
        <w:tc>
          <w:tcPr>
            <w:tcW w:w="987" w:type="dxa"/>
            <w:noWrap/>
            <w:vAlign w:val="center"/>
          </w:tcPr>
          <w:p w14:paraId="247ADB58">
            <w:pPr>
              <w:pStyle w:val="557"/>
            </w:pPr>
            <w:r>
              <w:rPr>
                <w:rFonts w:hint="eastAsia"/>
              </w:rPr>
              <w:t>76</w:t>
            </w:r>
          </w:p>
        </w:tc>
        <w:tc>
          <w:tcPr>
            <w:tcW w:w="986" w:type="dxa"/>
            <w:noWrap/>
            <w:vAlign w:val="center"/>
          </w:tcPr>
          <w:p w14:paraId="183D8EFF">
            <w:pPr>
              <w:pStyle w:val="557"/>
            </w:pPr>
            <w:r>
              <w:rPr>
                <w:rFonts w:hint="eastAsia"/>
              </w:rPr>
              <w:t>0.36</w:t>
            </w:r>
          </w:p>
        </w:tc>
        <w:tc>
          <w:tcPr>
            <w:tcW w:w="986" w:type="dxa"/>
            <w:noWrap/>
            <w:vAlign w:val="center"/>
          </w:tcPr>
          <w:p w14:paraId="0CA37FD1">
            <w:pPr>
              <w:pStyle w:val="557"/>
            </w:pPr>
            <w:r>
              <w:rPr>
                <w:rFonts w:hint="eastAsia"/>
              </w:rPr>
              <w:t>0.00|0</w:t>
            </w:r>
          </w:p>
        </w:tc>
        <w:tc>
          <w:tcPr>
            <w:tcW w:w="986" w:type="dxa"/>
            <w:noWrap/>
            <w:vAlign w:val="center"/>
          </w:tcPr>
          <w:p w14:paraId="776B2AB9">
            <w:pPr>
              <w:pStyle w:val="557"/>
            </w:pPr>
            <w:r>
              <w:rPr>
                <w:rFonts w:hint="eastAsia"/>
              </w:rPr>
              <w:t>7.99|0</w:t>
            </w:r>
          </w:p>
        </w:tc>
        <w:tc>
          <w:tcPr>
            <w:tcW w:w="986" w:type="dxa"/>
            <w:noWrap/>
            <w:vAlign w:val="center"/>
          </w:tcPr>
          <w:p w14:paraId="6552E514">
            <w:pPr>
              <w:pStyle w:val="557"/>
            </w:pPr>
            <w:r>
              <w:rPr>
                <w:rFonts w:hint="eastAsia"/>
              </w:rPr>
              <w:t>0.11|0</w:t>
            </w:r>
          </w:p>
        </w:tc>
        <w:tc>
          <w:tcPr>
            <w:tcW w:w="986" w:type="dxa"/>
            <w:noWrap/>
            <w:vAlign w:val="center"/>
          </w:tcPr>
          <w:p w14:paraId="382B236E">
            <w:pPr>
              <w:pStyle w:val="557"/>
            </w:pPr>
            <w:r>
              <w:rPr>
                <w:rFonts w:hint="eastAsia"/>
              </w:rPr>
              <w:t>0.11|0</w:t>
            </w:r>
          </w:p>
        </w:tc>
        <w:tc>
          <w:tcPr>
            <w:tcW w:w="986" w:type="dxa"/>
            <w:noWrap/>
            <w:vAlign w:val="center"/>
          </w:tcPr>
          <w:p w14:paraId="69FB13C4">
            <w:pPr>
              <w:pStyle w:val="557"/>
            </w:pPr>
            <w:r>
              <w:rPr>
                <w:rFonts w:hint="eastAsia"/>
              </w:rPr>
              <w:t>0.00|0</w:t>
            </w:r>
          </w:p>
        </w:tc>
        <w:tc>
          <w:tcPr>
            <w:tcW w:w="986" w:type="dxa"/>
            <w:vAlign w:val="center"/>
          </w:tcPr>
          <w:p w14:paraId="60323A1E">
            <w:pPr>
              <w:pStyle w:val="557"/>
            </w:pPr>
            <w:r>
              <w:rPr>
                <w:rFonts w:hint="eastAsia"/>
              </w:rPr>
              <w:t>0.00|0</w:t>
            </w:r>
          </w:p>
        </w:tc>
        <w:tc>
          <w:tcPr>
            <w:tcW w:w="986" w:type="dxa"/>
            <w:vAlign w:val="center"/>
          </w:tcPr>
          <w:p w14:paraId="01EC6AAB">
            <w:pPr>
              <w:pStyle w:val="557"/>
            </w:pPr>
            <w:r>
              <w:rPr>
                <w:rFonts w:hint="eastAsia"/>
              </w:rPr>
              <w:t>0.00|0</w:t>
            </w:r>
          </w:p>
        </w:tc>
        <w:tc>
          <w:tcPr>
            <w:tcW w:w="986" w:type="dxa"/>
            <w:vAlign w:val="center"/>
          </w:tcPr>
          <w:p w14:paraId="65C4C676">
            <w:pPr>
              <w:pStyle w:val="557"/>
            </w:pPr>
            <w:r>
              <w:rPr>
                <w:rFonts w:hint="eastAsia"/>
              </w:rPr>
              <w:t>0.00|0</w:t>
            </w:r>
          </w:p>
        </w:tc>
        <w:tc>
          <w:tcPr>
            <w:tcW w:w="986" w:type="dxa"/>
            <w:vAlign w:val="center"/>
          </w:tcPr>
          <w:p w14:paraId="48FE7A61">
            <w:pPr>
              <w:pStyle w:val="557"/>
            </w:pPr>
            <w:r>
              <w:rPr>
                <w:rFonts w:hint="eastAsia"/>
              </w:rPr>
              <w:t>0.00|0</w:t>
            </w:r>
          </w:p>
        </w:tc>
      </w:tr>
      <w:tr w14:paraId="5424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3C3B1EE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w:t>
            </w:r>
          </w:p>
        </w:tc>
        <w:tc>
          <w:tcPr>
            <w:tcW w:w="1541" w:type="dxa"/>
            <w:noWrap/>
            <w:vAlign w:val="center"/>
          </w:tcPr>
          <w:p w14:paraId="431E4B81">
            <w:pPr>
              <w:pStyle w:val="557"/>
            </w:pPr>
            <w:r>
              <w:rPr>
                <w:rFonts w:hint="eastAsia"/>
              </w:rPr>
              <w:t>真空泵排气</w:t>
            </w:r>
          </w:p>
        </w:tc>
        <w:tc>
          <w:tcPr>
            <w:tcW w:w="987" w:type="dxa"/>
            <w:noWrap/>
            <w:vAlign w:val="center"/>
          </w:tcPr>
          <w:p w14:paraId="7C4372CB">
            <w:pPr>
              <w:pStyle w:val="557"/>
            </w:pPr>
            <w:r>
              <w:rPr>
                <w:rFonts w:hint="eastAsia"/>
              </w:rPr>
              <w:t>10</w:t>
            </w:r>
          </w:p>
        </w:tc>
        <w:tc>
          <w:tcPr>
            <w:tcW w:w="987" w:type="dxa"/>
            <w:noWrap/>
            <w:vAlign w:val="center"/>
          </w:tcPr>
          <w:p w14:paraId="4297DB45">
            <w:pPr>
              <w:pStyle w:val="557"/>
            </w:pPr>
            <w:r>
              <w:rPr>
                <w:rFonts w:hint="eastAsia"/>
              </w:rPr>
              <w:t>27</w:t>
            </w:r>
          </w:p>
        </w:tc>
        <w:tc>
          <w:tcPr>
            <w:tcW w:w="986" w:type="dxa"/>
            <w:noWrap/>
            <w:vAlign w:val="center"/>
          </w:tcPr>
          <w:p w14:paraId="56C3B3EA">
            <w:pPr>
              <w:pStyle w:val="557"/>
            </w:pPr>
            <w:r>
              <w:rPr>
                <w:rFonts w:hint="eastAsia"/>
              </w:rPr>
              <w:t>0.52</w:t>
            </w:r>
          </w:p>
        </w:tc>
        <w:tc>
          <w:tcPr>
            <w:tcW w:w="986" w:type="dxa"/>
            <w:noWrap/>
            <w:vAlign w:val="center"/>
          </w:tcPr>
          <w:p w14:paraId="2CDA0DA6">
            <w:pPr>
              <w:pStyle w:val="557"/>
            </w:pPr>
            <w:r>
              <w:rPr>
                <w:rFonts w:hint="eastAsia"/>
              </w:rPr>
              <w:t>0.00|0</w:t>
            </w:r>
          </w:p>
        </w:tc>
        <w:tc>
          <w:tcPr>
            <w:tcW w:w="986" w:type="dxa"/>
            <w:noWrap/>
            <w:vAlign w:val="center"/>
          </w:tcPr>
          <w:p w14:paraId="444A5386">
            <w:pPr>
              <w:pStyle w:val="557"/>
            </w:pPr>
            <w:r>
              <w:rPr>
                <w:rFonts w:hint="eastAsia"/>
              </w:rPr>
              <w:t>0.00|0</w:t>
            </w:r>
          </w:p>
        </w:tc>
        <w:tc>
          <w:tcPr>
            <w:tcW w:w="986" w:type="dxa"/>
            <w:noWrap/>
            <w:vAlign w:val="center"/>
          </w:tcPr>
          <w:p w14:paraId="72731AB0">
            <w:pPr>
              <w:pStyle w:val="557"/>
            </w:pPr>
            <w:r>
              <w:rPr>
                <w:rFonts w:hint="eastAsia"/>
              </w:rPr>
              <w:t>0.00|0</w:t>
            </w:r>
          </w:p>
        </w:tc>
        <w:tc>
          <w:tcPr>
            <w:tcW w:w="986" w:type="dxa"/>
            <w:noWrap/>
            <w:vAlign w:val="center"/>
          </w:tcPr>
          <w:p w14:paraId="44D3B811">
            <w:pPr>
              <w:pStyle w:val="557"/>
            </w:pPr>
            <w:r>
              <w:rPr>
                <w:rFonts w:hint="eastAsia"/>
              </w:rPr>
              <w:t>0.00|0</w:t>
            </w:r>
          </w:p>
        </w:tc>
        <w:tc>
          <w:tcPr>
            <w:tcW w:w="986" w:type="dxa"/>
            <w:noWrap/>
            <w:vAlign w:val="center"/>
          </w:tcPr>
          <w:p w14:paraId="09492DD5">
            <w:pPr>
              <w:pStyle w:val="557"/>
            </w:pPr>
            <w:r>
              <w:rPr>
                <w:rFonts w:hint="eastAsia"/>
              </w:rPr>
              <w:t>0.00|0</w:t>
            </w:r>
          </w:p>
        </w:tc>
        <w:tc>
          <w:tcPr>
            <w:tcW w:w="986" w:type="dxa"/>
            <w:vAlign w:val="center"/>
          </w:tcPr>
          <w:p w14:paraId="57700D0F">
            <w:pPr>
              <w:pStyle w:val="557"/>
            </w:pPr>
            <w:r>
              <w:rPr>
                <w:rFonts w:hint="eastAsia"/>
              </w:rPr>
              <w:t>0.00|0</w:t>
            </w:r>
          </w:p>
        </w:tc>
        <w:tc>
          <w:tcPr>
            <w:tcW w:w="986" w:type="dxa"/>
            <w:vAlign w:val="center"/>
          </w:tcPr>
          <w:p w14:paraId="00B1D9A3">
            <w:pPr>
              <w:pStyle w:val="557"/>
            </w:pPr>
            <w:r>
              <w:rPr>
                <w:rFonts w:hint="eastAsia"/>
              </w:rPr>
              <w:t>0.95|0</w:t>
            </w:r>
          </w:p>
        </w:tc>
        <w:tc>
          <w:tcPr>
            <w:tcW w:w="986" w:type="dxa"/>
            <w:vAlign w:val="center"/>
          </w:tcPr>
          <w:p w14:paraId="41F6E5E2">
            <w:pPr>
              <w:pStyle w:val="557"/>
            </w:pPr>
            <w:r>
              <w:rPr>
                <w:rFonts w:hint="eastAsia"/>
              </w:rPr>
              <w:t>0.50|0</w:t>
            </w:r>
          </w:p>
        </w:tc>
        <w:tc>
          <w:tcPr>
            <w:tcW w:w="986" w:type="dxa"/>
            <w:vAlign w:val="center"/>
          </w:tcPr>
          <w:p w14:paraId="37DDD443">
            <w:pPr>
              <w:pStyle w:val="557"/>
            </w:pPr>
            <w:r>
              <w:rPr>
                <w:rFonts w:hint="eastAsia"/>
              </w:rPr>
              <w:t>0.00|0</w:t>
            </w:r>
          </w:p>
        </w:tc>
      </w:tr>
      <w:tr w14:paraId="7B6F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26A7017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w:t>
            </w:r>
          </w:p>
        </w:tc>
        <w:tc>
          <w:tcPr>
            <w:tcW w:w="1541" w:type="dxa"/>
            <w:noWrap/>
            <w:vAlign w:val="center"/>
          </w:tcPr>
          <w:p w14:paraId="6FF0E19D">
            <w:pPr>
              <w:pStyle w:val="557"/>
            </w:pPr>
            <w:r>
              <w:rPr>
                <w:rFonts w:hint="eastAsia"/>
              </w:rPr>
              <w:t>低温甲醇洗尾气</w:t>
            </w:r>
          </w:p>
        </w:tc>
        <w:tc>
          <w:tcPr>
            <w:tcW w:w="987" w:type="dxa"/>
            <w:noWrap/>
            <w:vAlign w:val="center"/>
          </w:tcPr>
          <w:p w14:paraId="070C2FA3">
            <w:pPr>
              <w:pStyle w:val="557"/>
            </w:pPr>
            <w:r>
              <w:rPr>
                <w:rFonts w:hint="eastAsia"/>
              </w:rPr>
              <w:t>280</w:t>
            </w:r>
          </w:p>
        </w:tc>
        <w:tc>
          <w:tcPr>
            <w:tcW w:w="987" w:type="dxa"/>
            <w:noWrap/>
            <w:vAlign w:val="center"/>
          </w:tcPr>
          <w:p w14:paraId="798C2D65">
            <w:pPr>
              <w:pStyle w:val="557"/>
            </w:pPr>
            <w:r>
              <w:rPr>
                <w:rFonts w:hint="eastAsia"/>
              </w:rPr>
              <w:t>80</w:t>
            </w:r>
          </w:p>
        </w:tc>
        <w:tc>
          <w:tcPr>
            <w:tcW w:w="986" w:type="dxa"/>
            <w:noWrap/>
            <w:vAlign w:val="center"/>
          </w:tcPr>
          <w:p w14:paraId="11B669D7">
            <w:pPr>
              <w:pStyle w:val="557"/>
            </w:pPr>
            <w:r>
              <w:rPr>
                <w:rFonts w:hint="eastAsia"/>
              </w:rPr>
              <w:t>0.43</w:t>
            </w:r>
          </w:p>
        </w:tc>
        <w:tc>
          <w:tcPr>
            <w:tcW w:w="986" w:type="dxa"/>
            <w:noWrap/>
            <w:vAlign w:val="center"/>
          </w:tcPr>
          <w:p w14:paraId="1E07112F">
            <w:pPr>
              <w:pStyle w:val="557"/>
            </w:pPr>
            <w:r>
              <w:rPr>
                <w:rFonts w:hint="eastAsia"/>
              </w:rPr>
              <w:t>0.00|0</w:t>
            </w:r>
          </w:p>
        </w:tc>
        <w:tc>
          <w:tcPr>
            <w:tcW w:w="986" w:type="dxa"/>
            <w:noWrap/>
            <w:vAlign w:val="center"/>
          </w:tcPr>
          <w:p w14:paraId="102AF4C5">
            <w:pPr>
              <w:pStyle w:val="557"/>
            </w:pPr>
            <w:r>
              <w:rPr>
                <w:rFonts w:hint="eastAsia"/>
              </w:rPr>
              <w:t>0.00|0</w:t>
            </w:r>
          </w:p>
        </w:tc>
        <w:tc>
          <w:tcPr>
            <w:tcW w:w="986" w:type="dxa"/>
            <w:noWrap/>
            <w:vAlign w:val="center"/>
          </w:tcPr>
          <w:p w14:paraId="5AFCE1FC">
            <w:pPr>
              <w:pStyle w:val="557"/>
            </w:pPr>
            <w:r>
              <w:rPr>
                <w:rFonts w:hint="eastAsia"/>
              </w:rPr>
              <w:t>0.00|0</w:t>
            </w:r>
          </w:p>
        </w:tc>
        <w:tc>
          <w:tcPr>
            <w:tcW w:w="986" w:type="dxa"/>
            <w:noWrap/>
            <w:vAlign w:val="center"/>
          </w:tcPr>
          <w:p w14:paraId="32767822">
            <w:pPr>
              <w:pStyle w:val="557"/>
            </w:pPr>
            <w:r>
              <w:rPr>
                <w:rFonts w:hint="eastAsia"/>
              </w:rPr>
              <w:t>0.00|0</w:t>
            </w:r>
          </w:p>
        </w:tc>
        <w:tc>
          <w:tcPr>
            <w:tcW w:w="986" w:type="dxa"/>
            <w:noWrap/>
            <w:vAlign w:val="center"/>
          </w:tcPr>
          <w:p w14:paraId="05EB864C">
            <w:pPr>
              <w:pStyle w:val="557"/>
            </w:pPr>
            <w:r>
              <w:rPr>
                <w:rFonts w:hint="eastAsia"/>
              </w:rPr>
              <w:t>0.06|0</w:t>
            </w:r>
          </w:p>
        </w:tc>
        <w:tc>
          <w:tcPr>
            <w:tcW w:w="986" w:type="dxa"/>
            <w:vAlign w:val="center"/>
          </w:tcPr>
          <w:p w14:paraId="378BD233">
            <w:pPr>
              <w:pStyle w:val="557"/>
            </w:pPr>
            <w:r>
              <w:rPr>
                <w:rFonts w:hint="eastAsia"/>
              </w:rPr>
              <w:t>0.00|0</w:t>
            </w:r>
          </w:p>
        </w:tc>
        <w:tc>
          <w:tcPr>
            <w:tcW w:w="986" w:type="dxa"/>
            <w:vAlign w:val="center"/>
          </w:tcPr>
          <w:p w14:paraId="0A0BB809">
            <w:pPr>
              <w:pStyle w:val="557"/>
            </w:pPr>
            <w:r>
              <w:rPr>
                <w:rFonts w:hint="eastAsia"/>
              </w:rPr>
              <w:t>0.00|0</w:t>
            </w:r>
          </w:p>
        </w:tc>
        <w:tc>
          <w:tcPr>
            <w:tcW w:w="986" w:type="dxa"/>
            <w:vAlign w:val="center"/>
          </w:tcPr>
          <w:p w14:paraId="7E9FEC03">
            <w:pPr>
              <w:pStyle w:val="557"/>
            </w:pPr>
            <w:r>
              <w:rPr>
                <w:rFonts w:hint="eastAsia"/>
              </w:rPr>
              <w:t>4.39|0</w:t>
            </w:r>
          </w:p>
        </w:tc>
        <w:tc>
          <w:tcPr>
            <w:tcW w:w="986" w:type="dxa"/>
            <w:vAlign w:val="center"/>
          </w:tcPr>
          <w:p w14:paraId="582E1883">
            <w:pPr>
              <w:pStyle w:val="557"/>
            </w:pPr>
            <w:r>
              <w:rPr>
                <w:rFonts w:hint="eastAsia"/>
              </w:rPr>
              <w:t>0.00|0</w:t>
            </w:r>
          </w:p>
        </w:tc>
      </w:tr>
      <w:tr w14:paraId="74C1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775C2ED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6</w:t>
            </w:r>
          </w:p>
        </w:tc>
        <w:tc>
          <w:tcPr>
            <w:tcW w:w="1541" w:type="dxa"/>
            <w:noWrap/>
            <w:vAlign w:val="center"/>
          </w:tcPr>
          <w:p w14:paraId="267EEC77">
            <w:pPr>
              <w:pStyle w:val="557"/>
            </w:pPr>
            <w:r>
              <w:rPr>
                <w:rFonts w:hint="eastAsia"/>
              </w:rPr>
              <w:t>硫回收制酸尾气</w:t>
            </w:r>
          </w:p>
        </w:tc>
        <w:tc>
          <w:tcPr>
            <w:tcW w:w="987" w:type="dxa"/>
            <w:noWrap/>
            <w:vAlign w:val="center"/>
          </w:tcPr>
          <w:p w14:paraId="6E4267C5">
            <w:pPr>
              <w:pStyle w:val="557"/>
            </w:pPr>
            <w:r>
              <w:rPr>
                <w:rFonts w:hint="eastAsia"/>
              </w:rPr>
              <w:t>350</w:t>
            </w:r>
          </w:p>
        </w:tc>
        <w:tc>
          <w:tcPr>
            <w:tcW w:w="987" w:type="dxa"/>
            <w:noWrap/>
            <w:vAlign w:val="center"/>
          </w:tcPr>
          <w:p w14:paraId="0493E8E8">
            <w:pPr>
              <w:pStyle w:val="557"/>
            </w:pPr>
            <w:r>
              <w:rPr>
                <w:rFonts w:hint="eastAsia"/>
              </w:rPr>
              <w:t>53</w:t>
            </w:r>
          </w:p>
        </w:tc>
        <w:tc>
          <w:tcPr>
            <w:tcW w:w="986" w:type="dxa"/>
            <w:noWrap/>
            <w:vAlign w:val="center"/>
          </w:tcPr>
          <w:p w14:paraId="395AB4F8">
            <w:pPr>
              <w:pStyle w:val="557"/>
            </w:pPr>
            <w:r>
              <w:rPr>
                <w:rFonts w:hint="eastAsia"/>
              </w:rPr>
              <w:t>0.93</w:t>
            </w:r>
          </w:p>
        </w:tc>
        <w:tc>
          <w:tcPr>
            <w:tcW w:w="986" w:type="dxa"/>
            <w:noWrap/>
            <w:vAlign w:val="center"/>
          </w:tcPr>
          <w:p w14:paraId="67DD59C5">
            <w:pPr>
              <w:pStyle w:val="557"/>
            </w:pPr>
            <w:r>
              <w:rPr>
                <w:rFonts w:hint="eastAsia"/>
              </w:rPr>
              <w:t>4.10|0</w:t>
            </w:r>
          </w:p>
        </w:tc>
        <w:tc>
          <w:tcPr>
            <w:tcW w:w="986" w:type="dxa"/>
            <w:noWrap/>
            <w:vAlign w:val="center"/>
          </w:tcPr>
          <w:p w14:paraId="31C9C5F1">
            <w:pPr>
              <w:pStyle w:val="557"/>
            </w:pPr>
            <w:r>
              <w:rPr>
                <w:rFonts w:hint="eastAsia"/>
              </w:rPr>
              <w:t>6.86|0</w:t>
            </w:r>
          </w:p>
        </w:tc>
        <w:tc>
          <w:tcPr>
            <w:tcW w:w="986" w:type="dxa"/>
            <w:noWrap/>
            <w:vAlign w:val="center"/>
          </w:tcPr>
          <w:p w14:paraId="24BB6D31">
            <w:pPr>
              <w:pStyle w:val="557"/>
            </w:pPr>
            <w:r>
              <w:rPr>
                <w:rFonts w:hint="eastAsia"/>
              </w:rPr>
              <w:t>0.00|0</w:t>
            </w:r>
          </w:p>
        </w:tc>
        <w:tc>
          <w:tcPr>
            <w:tcW w:w="986" w:type="dxa"/>
            <w:noWrap/>
            <w:vAlign w:val="center"/>
          </w:tcPr>
          <w:p w14:paraId="4558C4F2">
            <w:pPr>
              <w:pStyle w:val="557"/>
            </w:pPr>
            <w:r>
              <w:rPr>
                <w:rFonts w:hint="eastAsia"/>
              </w:rPr>
              <w:t>0.00|0</w:t>
            </w:r>
          </w:p>
        </w:tc>
        <w:tc>
          <w:tcPr>
            <w:tcW w:w="986" w:type="dxa"/>
            <w:noWrap/>
            <w:vAlign w:val="center"/>
          </w:tcPr>
          <w:p w14:paraId="79885113">
            <w:pPr>
              <w:pStyle w:val="557"/>
            </w:pPr>
            <w:r>
              <w:rPr>
                <w:rFonts w:hint="eastAsia"/>
              </w:rPr>
              <w:t>0.00|0</w:t>
            </w:r>
          </w:p>
        </w:tc>
        <w:tc>
          <w:tcPr>
            <w:tcW w:w="986" w:type="dxa"/>
            <w:vAlign w:val="center"/>
          </w:tcPr>
          <w:p w14:paraId="7D9B4BF2">
            <w:pPr>
              <w:pStyle w:val="557"/>
            </w:pPr>
            <w:r>
              <w:rPr>
                <w:rFonts w:hint="eastAsia"/>
              </w:rPr>
              <w:t>0.00|0</w:t>
            </w:r>
          </w:p>
        </w:tc>
        <w:tc>
          <w:tcPr>
            <w:tcW w:w="986" w:type="dxa"/>
            <w:vAlign w:val="center"/>
          </w:tcPr>
          <w:p w14:paraId="49BD8178">
            <w:pPr>
              <w:pStyle w:val="557"/>
            </w:pPr>
            <w:r>
              <w:rPr>
                <w:rFonts w:hint="eastAsia"/>
              </w:rPr>
              <w:t>0.00|0</w:t>
            </w:r>
          </w:p>
        </w:tc>
        <w:tc>
          <w:tcPr>
            <w:tcW w:w="986" w:type="dxa"/>
            <w:vAlign w:val="center"/>
          </w:tcPr>
          <w:p w14:paraId="061CAA7F">
            <w:pPr>
              <w:pStyle w:val="557"/>
            </w:pPr>
            <w:r>
              <w:rPr>
                <w:rFonts w:hint="eastAsia"/>
              </w:rPr>
              <w:t>0.00|0</w:t>
            </w:r>
          </w:p>
        </w:tc>
        <w:tc>
          <w:tcPr>
            <w:tcW w:w="986" w:type="dxa"/>
            <w:vAlign w:val="center"/>
          </w:tcPr>
          <w:p w14:paraId="14C56BB5">
            <w:pPr>
              <w:pStyle w:val="557"/>
            </w:pPr>
            <w:r>
              <w:rPr>
                <w:rFonts w:hint="eastAsia"/>
              </w:rPr>
              <w:t>0.98|0</w:t>
            </w:r>
          </w:p>
        </w:tc>
      </w:tr>
      <w:tr w14:paraId="3817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8073A4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7</w:t>
            </w:r>
          </w:p>
        </w:tc>
        <w:tc>
          <w:tcPr>
            <w:tcW w:w="1541" w:type="dxa"/>
            <w:noWrap/>
            <w:vAlign w:val="center"/>
          </w:tcPr>
          <w:p w14:paraId="5853775B">
            <w:pPr>
              <w:pStyle w:val="557"/>
            </w:pPr>
            <w:r>
              <w:rPr>
                <w:rFonts w:hint="eastAsia"/>
              </w:rPr>
              <w:t>草酰胺装置尾气吸收塔顶排气</w:t>
            </w:r>
          </w:p>
        </w:tc>
        <w:tc>
          <w:tcPr>
            <w:tcW w:w="987" w:type="dxa"/>
            <w:noWrap/>
            <w:vAlign w:val="center"/>
          </w:tcPr>
          <w:p w14:paraId="1516B56E">
            <w:pPr>
              <w:pStyle w:val="557"/>
            </w:pPr>
            <w:r>
              <w:rPr>
                <w:rFonts w:hint="eastAsia"/>
              </w:rPr>
              <w:t>260</w:t>
            </w:r>
          </w:p>
        </w:tc>
        <w:tc>
          <w:tcPr>
            <w:tcW w:w="987" w:type="dxa"/>
            <w:noWrap/>
            <w:vAlign w:val="center"/>
          </w:tcPr>
          <w:p w14:paraId="233AE87F">
            <w:pPr>
              <w:pStyle w:val="557"/>
            </w:pPr>
            <w:r>
              <w:rPr>
                <w:rFonts w:hint="eastAsia"/>
              </w:rPr>
              <w:t>207</w:t>
            </w:r>
          </w:p>
        </w:tc>
        <w:tc>
          <w:tcPr>
            <w:tcW w:w="986" w:type="dxa"/>
            <w:noWrap/>
            <w:vAlign w:val="center"/>
          </w:tcPr>
          <w:p w14:paraId="25F61812">
            <w:pPr>
              <w:pStyle w:val="557"/>
            </w:pPr>
            <w:r>
              <w:rPr>
                <w:rFonts w:hint="eastAsia"/>
              </w:rPr>
              <w:t>0.6</w:t>
            </w:r>
          </w:p>
        </w:tc>
        <w:tc>
          <w:tcPr>
            <w:tcW w:w="986" w:type="dxa"/>
            <w:noWrap/>
            <w:vAlign w:val="center"/>
          </w:tcPr>
          <w:p w14:paraId="6D062C66">
            <w:pPr>
              <w:pStyle w:val="557"/>
            </w:pPr>
            <w:r>
              <w:rPr>
                <w:rFonts w:hint="eastAsia"/>
              </w:rPr>
              <w:t>0.00|0</w:t>
            </w:r>
          </w:p>
        </w:tc>
        <w:tc>
          <w:tcPr>
            <w:tcW w:w="986" w:type="dxa"/>
            <w:noWrap/>
            <w:vAlign w:val="center"/>
          </w:tcPr>
          <w:p w14:paraId="20E2384C">
            <w:pPr>
              <w:pStyle w:val="557"/>
            </w:pPr>
            <w:r>
              <w:rPr>
                <w:rFonts w:hint="eastAsia"/>
              </w:rPr>
              <w:t>0.00|0</w:t>
            </w:r>
          </w:p>
        </w:tc>
        <w:tc>
          <w:tcPr>
            <w:tcW w:w="986" w:type="dxa"/>
            <w:noWrap/>
            <w:vAlign w:val="center"/>
          </w:tcPr>
          <w:p w14:paraId="21967D2C">
            <w:pPr>
              <w:pStyle w:val="557"/>
            </w:pPr>
            <w:r>
              <w:rPr>
                <w:rFonts w:hint="eastAsia"/>
              </w:rPr>
              <w:t>0.00|0</w:t>
            </w:r>
          </w:p>
        </w:tc>
        <w:tc>
          <w:tcPr>
            <w:tcW w:w="986" w:type="dxa"/>
            <w:noWrap/>
            <w:vAlign w:val="center"/>
          </w:tcPr>
          <w:p w14:paraId="254CD85A">
            <w:pPr>
              <w:pStyle w:val="557"/>
            </w:pPr>
            <w:r>
              <w:rPr>
                <w:rFonts w:hint="eastAsia"/>
              </w:rPr>
              <w:t>0.00|0</w:t>
            </w:r>
          </w:p>
        </w:tc>
        <w:tc>
          <w:tcPr>
            <w:tcW w:w="986" w:type="dxa"/>
            <w:noWrap/>
            <w:vAlign w:val="center"/>
          </w:tcPr>
          <w:p w14:paraId="1014C698">
            <w:pPr>
              <w:pStyle w:val="557"/>
            </w:pPr>
            <w:r>
              <w:rPr>
                <w:rFonts w:hint="eastAsia"/>
              </w:rPr>
              <w:t>0.06|0</w:t>
            </w:r>
          </w:p>
        </w:tc>
        <w:tc>
          <w:tcPr>
            <w:tcW w:w="986" w:type="dxa"/>
            <w:vAlign w:val="center"/>
          </w:tcPr>
          <w:p w14:paraId="08137D27">
            <w:pPr>
              <w:pStyle w:val="557"/>
            </w:pPr>
            <w:r>
              <w:rPr>
                <w:rFonts w:hint="eastAsia"/>
              </w:rPr>
              <w:t>0.00|0</w:t>
            </w:r>
          </w:p>
        </w:tc>
        <w:tc>
          <w:tcPr>
            <w:tcW w:w="986" w:type="dxa"/>
            <w:vAlign w:val="center"/>
          </w:tcPr>
          <w:p w14:paraId="6EB50307">
            <w:pPr>
              <w:pStyle w:val="557"/>
            </w:pPr>
            <w:r>
              <w:rPr>
                <w:rFonts w:hint="eastAsia"/>
              </w:rPr>
              <w:t>0.33|0</w:t>
            </w:r>
          </w:p>
        </w:tc>
        <w:tc>
          <w:tcPr>
            <w:tcW w:w="986" w:type="dxa"/>
            <w:vAlign w:val="center"/>
          </w:tcPr>
          <w:p w14:paraId="314216C9">
            <w:pPr>
              <w:pStyle w:val="557"/>
            </w:pPr>
            <w:r>
              <w:rPr>
                <w:rFonts w:hint="eastAsia"/>
              </w:rPr>
              <w:t>0.00|0</w:t>
            </w:r>
          </w:p>
        </w:tc>
        <w:tc>
          <w:tcPr>
            <w:tcW w:w="986" w:type="dxa"/>
            <w:vAlign w:val="center"/>
          </w:tcPr>
          <w:p w14:paraId="4F70DE95">
            <w:pPr>
              <w:pStyle w:val="557"/>
            </w:pPr>
            <w:r>
              <w:rPr>
                <w:rFonts w:hint="eastAsia"/>
              </w:rPr>
              <w:t>0.00|0</w:t>
            </w:r>
          </w:p>
        </w:tc>
      </w:tr>
      <w:tr w14:paraId="5170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4CCC70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8</w:t>
            </w:r>
          </w:p>
        </w:tc>
        <w:tc>
          <w:tcPr>
            <w:tcW w:w="1541" w:type="dxa"/>
            <w:noWrap/>
            <w:vAlign w:val="center"/>
          </w:tcPr>
          <w:p w14:paraId="3EFC6C33">
            <w:pPr>
              <w:pStyle w:val="557"/>
            </w:pPr>
            <w:r>
              <w:rPr>
                <w:rFonts w:hint="eastAsia"/>
              </w:rPr>
              <w:t>有机缓释肥装置-1#投料废气</w:t>
            </w:r>
          </w:p>
        </w:tc>
        <w:tc>
          <w:tcPr>
            <w:tcW w:w="987" w:type="dxa"/>
            <w:noWrap/>
            <w:vAlign w:val="center"/>
          </w:tcPr>
          <w:p w14:paraId="74CFC8C0">
            <w:pPr>
              <w:pStyle w:val="557"/>
            </w:pPr>
            <w:r>
              <w:rPr>
                <w:rFonts w:hint="eastAsia"/>
              </w:rPr>
              <w:t>250</w:t>
            </w:r>
          </w:p>
        </w:tc>
        <w:tc>
          <w:tcPr>
            <w:tcW w:w="987" w:type="dxa"/>
            <w:noWrap/>
            <w:vAlign w:val="center"/>
          </w:tcPr>
          <w:p w14:paraId="625560FD">
            <w:pPr>
              <w:pStyle w:val="557"/>
            </w:pPr>
            <w:r>
              <w:rPr>
                <w:rFonts w:hint="eastAsia"/>
              </w:rPr>
              <w:t>105</w:t>
            </w:r>
          </w:p>
        </w:tc>
        <w:tc>
          <w:tcPr>
            <w:tcW w:w="986" w:type="dxa"/>
            <w:noWrap/>
            <w:vAlign w:val="center"/>
          </w:tcPr>
          <w:p w14:paraId="0076B1D7">
            <w:pPr>
              <w:pStyle w:val="557"/>
            </w:pPr>
            <w:r>
              <w:rPr>
                <w:rFonts w:hint="eastAsia"/>
              </w:rPr>
              <w:t>1.86</w:t>
            </w:r>
          </w:p>
        </w:tc>
        <w:tc>
          <w:tcPr>
            <w:tcW w:w="986" w:type="dxa"/>
            <w:noWrap/>
            <w:vAlign w:val="center"/>
          </w:tcPr>
          <w:p w14:paraId="6491361B">
            <w:pPr>
              <w:pStyle w:val="557"/>
            </w:pPr>
            <w:r>
              <w:rPr>
                <w:rFonts w:hint="eastAsia"/>
              </w:rPr>
              <w:t>0.00|0</w:t>
            </w:r>
          </w:p>
        </w:tc>
        <w:tc>
          <w:tcPr>
            <w:tcW w:w="986" w:type="dxa"/>
            <w:noWrap/>
            <w:vAlign w:val="center"/>
          </w:tcPr>
          <w:p w14:paraId="31D5A212">
            <w:pPr>
              <w:pStyle w:val="557"/>
            </w:pPr>
            <w:r>
              <w:rPr>
                <w:rFonts w:hint="eastAsia"/>
              </w:rPr>
              <w:t>0.00|0</w:t>
            </w:r>
          </w:p>
        </w:tc>
        <w:tc>
          <w:tcPr>
            <w:tcW w:w="986" w:type="dxa"/>
            <w:noWrap/>
            <w:vAlign w:val="center"/>
          </w:tcPr>
          <w:p w14:paraId="6BB75FEF">
            <w:pPr>
              <w:pStyle w:val="557"/>
            </w:pPr>
            <w:r>
              <w:rPr>
                <w:rFonts w:hint="eastAsia"/>
              </w:rPr>
              <w:t>6.58|0</w:t>
            </w:r>
          </w:p>
        </w:tc>
        <w:tc>
          <w:tcPr>
            <w:tcW w:w="986" w:type="dxa"/>
            <w:noWrap/>
            <w:vAlign w:val="center"/>
          </w:tcPr>
          <w:p w14:paraId="74E83407">
            <w:pPr>
              <w:pStyle w:val="557"/>
            </w:pPr>
            <w:r>
              <w:rPr>
                <w:rFonts w:hint="eastAsia"/>
              </w:rPr>
              <w:t>6.58|0</w:t>
            </w:r>
          </w:p>
        </w:tc>
        <w:tc>
          <w:tcPr>
            <w:tcW w:w="986" w:type="dxa"/>
            <w:noWrap/>
            <w:vAlign w:val="center"/>
          </w:tcPr>
          <w:p w14:paraId="0B20F971">
            <w:pPr>
              <w:pStyle w:val="557"/>
            </w:pPr>
            <w:r>
              <w:rPr>
                <w:rFonts w:hint="eastAsia"/>
              </w:rPr>
              <w:t>0.00|0</w:t>
            </w:r>
          </w:p>
        </w:tc>
        <w:tc>
          <w:tcPr>
            <w:tcW w:w="986" w:type="dxa"/>
            <w:vAlign w:val="center"/>
          </w:tcPr>
          <w:p w14:paraId="0B0E1223">
            <w:pPr>
              <w:pStyle w:val="557"/>
            </w:pPr>
            <w:r>
              <w:rPr>
                <w:rFonts w:hint="eastAsia"/>
              </w:rPr>
              <w:t>0.00|0</w:t>
            </w:r>
          </w:p>
        </w:tc>
        <w:tc>
          <w:tcPr>
            <w:tcW w:w="986" w:type="dxa"/>
            <w:vAlign w:val="center"/>
          </w:tcPr>
          <w:p w14:paraId="35DA7107">
            <w:pPr>
              <w:pStyle w:val="557"/>
            </w:pPr>
            <w:r>
              <w:rPr>
                <w:rFonts w:hint="eastAsia"/>
              </w:rPr>
              <w:t>0.00|0</w:t>
            </w:r>
          </w:p>
        </w:tc>
        <w:tc>
          <w:tcPr>
            <w:tcW w:w="986" w:type="dxa"/>
            <w:vAlign w:val="center"/>
          </w:tcPr>
          <w:p w14:paraId="182EE8BF">
            <w:pPr>
              <w:pStyle w:val="557"/>
            </w:pPr>
            <w:r>
              <w:rPr>
                <w:rFonts w:hint="eastAsia"/>
              </w:rPr>
              <w:t>0.00|0</w:t>
            </w:r>
          </w:p>
        </w:tc>
        <w:tc>
          <w:tcPr>
            <w:tcW w:w="986" w:type="dxa"/>
            <w:vAlign w:val="center"/>
          </w:tcPr>
          <w:p w14:paraId="5AA39AA3">
            <w:pPr>
              <w:pStyle w:val="557"/>
            </w:pPr>
            <w:r>
              <w:rPr>
                <w:rFonts w:hint="eastAsia"/>
              </w:rPr>
              <w:t>0.00|0</w:t>
            </w:r>
          </w:p>
        </w:tc>
      </w:tr>
      <w:tr w14:paraId="1451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5AAE0FB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9</w:t>
            </w:r>
          </w:p>
        </w:tc>
        <w:tc>
          <w:tcPr>
            <w:tcW w:w="1541" w:type="dxa"/>
            <w:noWrap/>
            <w:vAlign w:val="center"/>
          </w:tcPr>
          <w:p w14:paraId="629DF94E">
            <w:pPr>
              <w:pStyle w:val="557"/>
            </w:pPr>
            <w:r>
              <w:rPr>
                <w:rFonts w:hint="eastAsia"/>
              </w:rPr>
              <w:t>2#投料废气</w:t>
            </w:r>
          </w:p>
        </w:tc>
        <w:tc>
          <w:tcPr>
            <w:tcW w:w="987" w:type="dxa"/>
            <w:noWrap/>
            <w:vAlign w:val="center"/>
          </w:tcPr>
          <w:p w14:paraId="61722204">
            <w:pPr>
              <w:pStyle w:val="557"/>
            </w:pPr>
            <w:r>
              <w:rPr>
                <w:rFonts w:hint="eastAsia"/>
              </w:rPr>
              <w:t>250</w:t>
            </w:r>
          </w:p>
        </w:tc>
        <w:tc>
          <w:tcPr>
            <w:tcW w:w="987" w:type="dxa"/>
            <w:noWrap/>
            <w:vAlign w:val="center"/>
          </w:tcPr>
          <w:p w14:paraId="728FD6E1">
            <w:pPr>
              <w:pStyle w:val="557"/>
            </w:pPr>
            <w:r>
              <w:rPr>
                <w:rFonts w:hint="eastAsia"/>
              </w:rPr>
              <w:t>105</w:t>
            </w:r>
          </w:p>
        </w:tc>
        <w:tc>
          <w:tcPr>
            <w:tcW w:w="986" w:type="dxa"/>
            <w:noWrap/>
            <w:vAlign w:val="center"/>
          </w:tcPr>
          <w:p w14:paraId="1333775E">
            <w:pPr>
              <w:pStyle w:val="557"/>
            </w:pPr>
            <w:r>
              <w:rPr>
                <w:rFonts w:hint="eastAsia"/>
              </w:rPr>
              <w:t>1.86</w:t>
            </w:r>
          </w:p>
        </w:tc>
        <w:tc>
          <w:tcPr>
            <w:tcW w:w="986" w:type="dxa"/>
            <w:noWrap/>
            <w:vAlign w:val="center"/>
          </w:tcPr>
          <w:p w14:paraId="38770DEB">
            <w:pPr>
              <w:pStyle w:val="557"/>
            </w:pPr>
            <w:r>
              <w:rPr>
                <w:rFonts w:hint="eastAsia"/>
              </w:rPr>
              <w:t>0.00|0</w:t>
            </w:r>
          </w:p>
        </w:tc>
        <w:tc>
          <w:tcPr>
            <w:tcW w:w="986" w:type="dxa"/>
            <w:noWrap/>
            <w:vAlign w:val="center"/>
          </w:tcPr>
          <w:p w14:paraId="4A5DAFC3">
            <w:pPr>
              <w:pStyle w:val="557"/>
            </w:pPr>
            <w:r>
              <w:rPr>
                <w:rFonts w:hint="eastAsia"/>
              </w:rPr>
              <w:t>0.00|0</w:t>
            </w:r>
          </w:p>
        </w:tc>
        <w:tc>
          <w:tcPr>
            <w:tcW w:w="986" w:type="dxa"/>
            <w:noWrap/>
            <w:vAlign w:val="center"/>
          </w:tcPr>
          <w:p w14:paraId="072C98F2">
            <w:pPr>
              <w:pStyle w:val="557"/>
            </w:pPr>
            <w:r>
              <w:rPr>
                <w:rFonts w:hint="eastAsia"/>
              </w:rPr>
              <w:t>6.58|0</w:t>
            </w:r>
          </w:p>
        </w:tc>
        <w:tc>
          <w:tcPr>
            <w:tcW w:w="986" w:type="dxa"/>
            <w:noWrap/>
            <w:vAlign w:val="center"/>
          </w:tcPr>
          <w:p w14:paraId="54F42BDE">
            <w:pPr>
              <w:pStyle w:val="557"/>
            </w:pPr>
            <w:r>
              <w:rPr>
                <w:rFonts w:hint="eastAsia"/>
              </w:rPr>
              <w:t>6.58|0</w:t>
            </w:r>
          </w:p>
        </w:tc>
        <w:tc>
          <w:tcPr>
            <w:tcW w:w="986" w:type="dxa"/>
            <w:noWrap/>
            <w:vAlign w:val="center"/>
          </w:tcPr>
          <w:p w14:paraId="3643C714">
            <w:pPr>
              <w:pStyle w:val="557"/>
            </w:pPr>
            <w:r>
              <w:rPr>
                <w:rFonts w:hint="eastAsia"/>
              </w:rPr>
              <w:t>0.00|0</w:t>
            </w:r>
          </w:p>
        </w:tc>
        <w:tc>
          <w:tcPr>
            <w:tcW w:w="986" w:type="dxa"/>
            <w:vAlign w:val="center"/>
          </w:tcPr>
          <w:p w14:paraId="61392587">
            <w:pPr>
              <w:pStyle w:val="557"/>
            </w:pPr>
            <w:r>
              <w:rPr>
                <w:rFonts w:hint="eastAsia"/>
              </w:rPr>
              <w:t>0.00|0</w:t>
            </w:r>
          </w:p>
        </w:tc>
        <w:tc>
          <w:tcPr>
            <w:tcW w:w="986" w:type="dxa"/>
            <w:vAlign w:val="center"/>
          </w:tcPr>
          <w:p w14:paraId="68618F05">
            <w:pPr>
              <w:pStyle w:val="557"/>
            </w:pPr>
            <w:r>
              <w:rPr>
                <w:rFonts w:hint="eastAsia"/>
              </w:rPr>
              <w:t>0.00|0</w:t>
            </w:r>
          </w:p>
        </w:tc>
        <w:tc>
          <w:tcPr>
            <w:tcW w:w="986" w:type="dxa"/>
            <w:vAlign w:val="center"/>
          </w:tcPr>
          <w:p w14:paraId="01B8B100">
            <w:pPr>
              <w:pStyle w:val="557"/>
            </w:pPr>
            <w:r>
              <w:rPr>
                <w:rFonts w:hint="eastAsia"/>
              </w:rPr>
              <w:t>0.00|0</w:t>
            </w:r>
          </w:p>
        </w:tc>
        <w:tc>
          <w:tcPr>
            <w:tcW w:w="986" w:type="dxa"/>
            <w:vAlign w:val="center"/>
          </w:tcPr>
          <w:p w14:paraId="256AFBFB">
            <w:pPr>
              <w:pStyle w:val="557"/>
            </w:pPr>
            <w:r>
              <w:rPr>
                <w:rFonts w:hint="eastAsia"/>
              </w:rPr>
              <w:t>0.00|0</w:t>
            </w:r>
          </w:p>
        </w:tc>
      </w:tr>
      <w:tr w14:paraId="47E5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1AB7443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10</w:t>
            </w:r>
          </w:p>
        </w:tc>
        <w:tc>
          <w:tcPr>
            <w:tcW w:w="1541" w:type="dxa"/>
            <w:noWrap/>
            <w:vAlign w:val="center"/>
          </w:tcPr>
          <w:p w14:paraId="03C13A1E">
            <w:pPr>
              <w:pStyle w:val="557"/>
            </w:pPr>
            <w:r>
              <w:rPr>
                <w:rFonts w:hint="eastAsia"/>
              </w:rPr>
              <w:t>1#-造粒废气、1#包装废气、1#烘干废气</w:t>
            </w:r>
          </w:p>
        </w:tc>
        <w:tc>
          <w:tcPr>
            <w:tcW w:w="987" w:type="dxa"/>
            <w:noWrap/>
            <w:vAlign w:val="center"/>
          </w:tcPr>
          <w:p w14:paraId="26DF4A98">
            <w:pPr>
              <w:pStyle w:val="557"/>
            </w:pPr>
            <w:r>
              <w:rPr>
                <w:rFonts w:hint="eastAsia"/>
              </w:rPr>
              <w:t>30</w:t>
            </w:r>
          </w:p>
        </w:tc>
        <w:tc>
          <w:tcPr>
            <w:tcW w:w="987" w:type="dxa"/>
            <w:noWrap/>
            <w:vAlign w:val="center"/>
          </w:tcPr>
          <w:p w14:paraId="5F3D7DD0">
            <w:pPr>
              <w:pStyle w:val="557"/>
            </w:pPr>
            <w:r>
              <w:rPr>
                <w:rFonts w:hint="eastAsia"/>
              </w:rPr>
              <w:t>354</w:t>
            </w:r>
          </w:p>
        </w:tc>
        <w:tc>
          <w:tcPr>
            <w:tcW w:w="986" w:type="dxa"/>
            <w:noWrap/>
            <w:vAlign w:val="center"/>
          </w:tcPr>
          <w:p w14:paraId="5510712C">
            <w:pPr>
              <w:pStyle w:val="557"/>
            </w:pPr>
            <w:r>
              <w:rPr>
                <w:rFonts w:hint="eastAsia"/>
              </w:rPr>
              <w:t>1.36</w:t>
            </w:r>
          </w:p>
        </w:tc>
        <w:tc>
          <w:tcPr>
            <w:tcW w:w="986" w:type="dxa"/>
            <w:noWrap/>
            <w:vAlign w:val="center"/>
          </w:tcPr>
          <w:p w14:paraId="72D2924D">
            <w:pPr>
              <w:pStyle w:val="557"/>
            </w:pPr>
            <w:r>
              <w:rPr>
                <w:rFonts w:hint="eastAsia"/>
              </w:rPr>
              <w:t>0.00|0</w:t>
            </w:r>
          </w:p>
        </w:tc>
        <w:tc>
          <w:tcPr>
            <w:tcW w:w="986" w:type="dxa"/>
            <w:noWrap/>
            <w:vAlign w:val="center"/>
          </w:tcPr>
          <w:p w14:paraId="134394B4">
            <w:pPr>
              <w:pStyle w:val="557"/>
            </w:pPr>
            <w:r>
              <w:rPr>
                <w:rFonts w:hint="eastAsia"/>
              </w:rPr>
              <w:t>0.00|0</w:t>
            </w:r>
          </w:p>
        </w:tc>
        <w:tc>
          <w:tcPr>
            <w:tcW w:w="986" w:type="dxa"/>
            <w:noWrap/>
            <w:vAlign w:val="center"/>
          </w:tcPr>
          <w:p w14:paraId="22AC7344">
            <w:pPr>
              <w:pStyle w:val="557"/>
            </w:pPr>
            <w:r>
              <w:rPr>
                <w:rFonts w:hint="eastAsia"/>
              </w:rPr>
              <w:t>25.08|0</w:t>
            </w:r>
          </w:p>
        </w:tc>
        <w:tc>
          <w:tcPr>
            <w:tcW w:w="986" w:type="dxa"/>
            <w:noWrap/>
            <w:vAlign w:val="center"/>
          </w:tcPr>
          <w:p w14:paraId="4CCEC22E">
            <w:pPr>
              <w:pStyle w:val="557"/>
            </w:pPr>
            <w:r>
              <w:rPr>
                <w:rFonts w:hint="eastAsia"/>
              </w:rPr>
              <w:t>25.08|0</w:t>
            </w:r>
          </w:p>
        </w:tc>
        <w:tc>
          <w:tcPr>
            <w:tcW w:w="986" w:type="dxa"/>
            <w:noWrap/>
            <w:vAlign w:val="center"/>
          </w:tcPr>
          <w:p w14:paraId="32FC4DAE">
            <w:pPr>
              <w:pStyle w:val="557"/>
            </w:pPr>
            <w:r>
              <w:rPr>
                <w:rFonts w:hint="eastAsia"/>
              </w:rPr>
              <w:t>0.00|0</w:t>
            </w:r>
          </w:p>
        </w:tc>
        <w:tc>
          <w:tcPr>
            <w:tcW w:w="986" w:type="dxa"/>
            <w:vAlign w:val="center"/>
          </w:tcPr>
          <w:p w14:paraId="143CE66D">
            <w:pPr>
              <w:pStyle w:val="557"/>
            </w:pPr>
            <w:r>
              <w:rPr>
                <w:rFonts w:hint="eastAsia"/>
              </w:rPr>
              <w:t>0.00|0</w:t>
            </w:r>
          </w:p>
        </w:tc>
        <w:tc>
          <w:tcPr>
            <w:tcW w:w="986" w:type="dxa"/>
            <w:vAlign w:val="center"/>
          </w:tcPr>
          <w:p w14:paraId="7F60B1BF">
            <w:pPr>
              <w:pStyle w:val="557"/>
            </w:pPr>
            <w:r>
              <w:rPr>
                <w:rFonts w:hint="eastAsia"/>
              </w:rPr>
              <w:t>4.39|0</w:t>
            </w:r>
          </w:p>
        </w:tc>
        <w:tc>
          <w:tcPr>
            <w:tcW w:w="986" w:type="dxa"/>
            <w:vAlign w:val="center"/>
          </w:tcPr>
          <w:p w14:paraId="3B8FD789">
            <w:pPr>
              <w:pStyle w:val="557"/>
            </w:pPr>
            <w:r>
              <w:rPr>
                <w:rFonts w:hint="eastAsia"/>
              </w:rPr>
              <w:t>0.00|0</w:t>
            </w:r>
          </w:p>
        </w:tc>
        <w:tc>
          <w:tcPr>
            <w:tcW w:w="986" w:type="dxa"/>
            <w:vAlign w:val="center"/>
          </w:tcPr>
          <w:p w14:paraId="184C7305">
            <w:pPr>
              <w:pStyle w:val="557"/>
            </w:pPr>
            <w:r>
              <w:rPr>
                <w:rFonts w:hint="eastAsia"/>
              </w:rPr>
              <w:t>0.00|0</w:t>
            </w:r>
          </w:p>
        </w:tc>
      </w:tr>
      <w:tr w14:paraId="57F0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3109D5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w:t>
            </w:r>
          </w:p>
        </w:tc>
        <w:tc>
          <w:tcPr>
            <w:tcW w:w="1541" w:type="dxa"/>
            <w:noWrap/>
            <w:vAlign w:val="center"/>
          </w:tcPr>
          <w:p w14:paraId="6F7170B1">
            <w:pPr>
              <w:pStyle w:val="557"/>
            </w:pPr>
            <w:r>
              <w:rPr>
                <w:rFonts w:hint="eastAsia"/>
              </w:rPr>
              <w:t>2#-造粒废气、2#包装废气、2#烘干废气</w:t>
            </w:r>
          </w:p>
        </w:tc>
        <w:tc>
          <w:tcPr>
            <w:tcW w:w="987" w:type="dxa"/>
            <w:noWrap/>
            <w:vAlign w:val="center"/>
          </w:tcPr>
          <w:p w14:paraId="6DFD1ED3">
            <w:pPr>
              <w:pStyle w:val="557"/>
            </w:pPr>
            <w:r>
              <w:rPr>
                <w:rFonts w:hint="eastAsia"/>
              </w:rPr>
              <w:t>30</w:t>
            </w:r>
          </w:p>
        </w:tc>
        <w:tc>
          <w:tcPr>
            <w:tcW w:w="987" w:type="dxa"/>
            <w:noWrap/>
            <w:vAlign w:val="center"/>
          </w:tcPr>
          <w:p w14:paraId="22946D7B">
            <w:pPr>
              <w:pStyle w:val="557"/>
            </w:pPr>
            <w:r>
              <w:rPr>
                <w:rFonts w:hint="eastAsia"/>
              </w:rPr>
              <w:t>354</w:t>
            </w:r>
          </w:p>
        </w:tc>
        <w:tc>
          <w:tcPr>
            <w:tcW w:w="986" w:type="dxa"/>
            <w:noWrap/>
            <w:vAlign w:val="center"/>
          </w:tcPr>
          <w:p w14:paraId="3338BFA8">
            <w:pPr>
              <w:pStyle w:val="557"/>
            </w:pPr>
            <w:r>
              <w:rPr>
                <w:rFonts w:hint="eastAsia"/>
              </w:rPr>
              <w:t>1.36</w:t>
            </w:r>
          </w:p>
        </w:tc>
        <w:tc>
          <w:tcPr>
            <w:tcW w:w="986" w:type="dxa"/>
            <w:noWrap/>
            <w:vAlign w:val="center"/>
          </w:tcPr>
          <w:p w14:paraId="231D5DCF">
            <w:pPr>
              <w:pStyle w:val="557"/>
            </w:pPr>
            <w:r>
              <w:rPr>
                <w:rFonts w:hint="eastAsia"/>
              </w:rPr>
              <w:t>0.00|0</w:t>
            </w:r>
          </w:p>
        </w:tc>
        <w:tc>
          <w:tcPr>
            <w:tcW w:w="986" w:type="dxa"/>
            <w:noWrap/>
            <w:vAlign w:val="center"/>
          </w:tcPr>
          <w:p w14:paraId="38A49681">
            <w:pPr>
              <w:pStyle w:val="557"/>
            </w:pPr>
            <w:r>
              <w:rPr>
                <w:rFonts w:hint="eastAsia"/>
              </w:rPr>
              <w:t>0.00|0</w:t>
            </w:r>
          </w:p>
        </w:tc>
        <w:tc>
          <w:tcPr>
            <w:tcW w:w="986" w:type="dxa"/>
            <w:noWrap/>
            <w:vAlign w:val="center"/>
          </w:tcPr>
          <w:p w14:paraId="1D2EB792">
            <w:pPr>
              <w:pStyle w:val="557"/>
            </w:pPr>
            <w:r>
              <w:rPr>
                <w:rFonts w:hint="eastAsia"/>
              </w:rPr>
              <w:t>25.08|0</w:t>
            </w:r>
          </w:p>
        </w:tc>
        <w:tc>
          <w:tcPr>
            <w:tcW w:w="986" w:type="dxa"/>
            <w:noWrap/>
            <w:vAlign w:val="center"/>
          </w:tcPr>
          <w:p w14:paraId="24451450">
            <w:pPr>
              <w:pStyle w:val="557"/>
            </w:pPr>
            <w:r>
              <w:rPr>
                <w:rFonts w:hint="eastAsia"/>
              </w:rPr>
              <w:t>25.08|0</w:t>
            </w:r>
          </w:p>
        </w:tc>
        <w:tc>
          <w:tcPr>
            <w:tcW w:w="986" w:type="dxa"/>
            <w:noWrap/>
            <w:vAlign w:val="center"/>
          </w:tcPr>
          <w:p w14:paraId="0929045A">
            <w:pPr>
              <w:pStyle w:val="557"/>
            </w:pPr>
            <w:r>
              <w:rPr>
                <w:rFonts w:hint="eastAsia"/>
              </w:rPr>
              <w:t>0.00|0</w:t>
            </w:r>
          </w:p>
        </w:tc>
        <w:tc>
          <w:tcPr>
            <w:tcW w:w="986" w:type="dxa"/>
            <w:vAlign w:val="center"/>
          </w:tcPr>
          <w:p w14:paraId="0598A885">
            <w:pPr>
              <w:pStyle w:val="557"/>
            </w:pPr>
            <w:r>
              <w:rPr>
                <w:rFonts w:hint="eastAsia"/>
              </w:rPr>
              <w:t>0.00|0</w:t>
            </w:r>
          </w:p>
        </w:tc>
        <w:tc>
          <w:tcPr>
            <w:tcW w:w="986" w:type="dxa"/>
            <w:vAlign w:val="center"/>
          </w:tcPr>
          <w:p w14:paraId="4C85B628">
            <w:pPr>
              <w:pStyle w:val="557"/>
            </w:pPr>
            <w:r>
              <w:rPr>
                <w:rFonts w:hint="eastAsia"/>
              </w:rPr>
              <w:t>4.39|0</w:t>
            </w:r>
          </w:p>
        </w:tc>
        <w:tc>
          <w:tcPr>
            <w:tcW w:w="986" w:type="dxa"/>
            <w:vAlign w:val="center"/>
          </w:tcPr>
          <w:p w14:paraId="40A9ED14">
            <w:pPr>
              <w:pStyle w:val="557"/>
            </w:pPr>
            <w:r>
              <w:rPr>
                <w:rFonts w:hint="eastAsia"/>
              </w:rPr>
              <w:t>0.00|0</w:t>
            </w:r>
          </w:p>
        </w:tc>
        <w:tc>
          <w:tcPr>
            <w:tcW w:w="986" w:type="dxa"/>
            <w:vAlign w:val="center"/>
          </w:tcPr>
          <w:p w14:paraId="51F8FC38">
            <w:pPr>
              <w:pStyle w:val="557"/>
            </w:pPr>
            <w:r>
              <w:rPr>
                <w:rFonts w:hint="eastAsia"/>
              </w:rPr>
              <w:t>0.00|0</w:t>
            </w:r>
          </w:p>
        </w:tc>
      </w:tr>
      <w:tr w14:paraId="66E4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D4F6A5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12</w:t>
            </w:r>
          </w:p>
        </w:tc>
        <w:tc>
          <w:tcPr>
            <w:tcW w:w="1541" w:type="dxa"/>
            <w:noWrap/>
            <w:vAlign w:val="center"/>
          </w:tcPr>
          <w:p w14:paraId="7AAE597F">
            <w:pPr>
              <w:pStyle w:val="557"/>
            </w:pPr>
            <w:r>
              <w:rPr>
                <w:rFonts w:hint="eastAsia"/>
              </w:rPr>
              <w:t>1#冷却废气</w:t>
            </w:r>
          </w:p>
        </w:tc>
        <w:tc>
          <w:tcPr>
            <w:tcW w:w="987" w:type="dxa"/>
            <w:noWrap/>
            <w:vAlign w:val="center"/>
          </w:tcPr>
          <w:p w14:paraId="0DAC668F">
            <w:pPr>
              <w:pStyle w:val="557"/>
            </w:pPr>
            <w:r>
              <w:rPr>
                <w:rFonts w:hint="eastAsia"/>
              </w:rPr>
              <w:t>250</w:t>
            </w:r>
          </w:p>
        </w:tc>
        <w:tc>
          <w:tcPr>
            <w:tcW w:w="987" w:type="dxa"/>
            <w:noWrap/>
            <w:vAlign w:val="center"/>
          </w:tcPr>
          <w:p w14:paraId="29E73486">
            <w:pPr>
              <w:pStyle w:val="557"/>
            </w:pPr>
            <w:r>
              <w:rPr>
                <w:rFonts w:hint="eastAsia"/>
              </w:rPr>
              <w:t>105</w:t>
            </w:r>
          </w:p>
        </w:tc>
        <w:tc>
          <w:tcPr>
            <w:tcW w:w="986" w:type="dxa"/>
            <w:noWrap/>
            <w:vAlign w:val="center"/>
          </w:tcPr>
          <w:p w14:paraId="25D6B17A">
            <w:pPr>
              <w:pStyle w:val="557"/>
            </w:pPr>
            <w:r>
              <w:rPr>
                <w:rFonts w:hint="eastAsia"/>
              </w:rPr>
              <w:t>1.86</w:t>
            </w:r>
          </w:p>
        </w:tc>
        <w:tc>
          <w:tcPr>
            <w:tcW w:w="986" w:type="dxa"/>
            <w:noWrap/>
            <w:vAlign w:val="center"/>
          </w:tcPr>
          <w:p w14:paraId="38636306">
            <w:pPr>
              <w:pStyle w:val="557"/>
            </w:pPr>
            <w:r>
              <w:rPr>
                <w:rFonts w:hint="eastAsia"/>
              </w:rPr>
              <w:t>0.00|0</w:t>
            </w:r>
          </w:p>
        </w:tc>
        <w:tc>
          <w:tcPr>
            <w:tcW w:w="986" w:type="dxa"/>
            <w:noWrap/>
            <w:vAlign w:val="center"/>
          </w:tcPr>
          <w:p w14:paraId="57DA9E84">
            <w:pPr>
              <w:pStyle w:val="557"/>
            </w:pPr>
            <w:r>
              <w:rPr>
                <w:rFonts w:hint="eastAsia"/>
              </w:rPr>
              <w:t>0.00|0</w:t>
            </w:r>
          </w:p>
        </w:tc>
        <w:tc>
          <w:tcPr>
            <w:tcW w:w="986" w:type="dxa"/>
            <w:noWrap/>
            <w:vAlign w:val="center"/>
          </w:tcPr>
          <w:p w14:paraId="790016C6">
            <w:pPr>
              <w:pStyle w:val="557"/>
            </w:pPr>
            <w:r>
              <w:rPr>
                <w:rFonts w:hint="eastAsia"/>
              </w:rPr>
              <w:t>1.23|0</w:t>
            </w:r>
          </w:p>
        </w:tc>
        <w:tc>
          <w:tcPr>
            <w:tcW w:w="986" w:type="dxa"/>
            <w:noWrap/>
            <w:vAlign w:val="center"/>
          </w:tcPr>
          <w:p w14:paraId="1376AE8E">
            <w:pPr>
              <w:pStyle w:val="557"/>
            </w:pPr>
            <w:r>
              <w:rPr>
                <w:rFonts w:hint="eastAsia"/>
              </w:rPr>
              <w:t>1.23|0</w:t>
            </w:r>
          </w:p>
        </w:tc>
        <w:tc>
          <w:tcPr>
            <w:tcW w:w="986" w:type="dxa"/>
            <w:noWrap/>
            <w:vAlign w:val="center"/>
          </w:tcPr>
          <w:p w14:paraId="4B13448B">
            <w:pPr>
              <w:pStyle w:val="557"/>
            </w:pPr>
            <w:r>
              <w:rPr>
                <w:rFonts w:hint="eastAsia"/>
              </w:rPr>
              <w:t>0.00|0</w:t>
            </w:r>
          </w:p>
        </w:tc>
        <w:tc>
          <w:tcPr>
            <w:tcW w:w="986" w:type="dxa"/>
            <w:vAlign w:val="center"/>
          </w:tcPr>
          <w:p w14:paraId="3D3962DC">
            <w:pPr>
              <w:pStyle w:val="557"/>
            </w:pPr>
            <w:r>
              <w:rPr>
                <w:rFonts w:hint="eastAsia"/>
              </w:rPr>
              <w:t>0.00|0</w:t>
            </w:r>
          </w:p>
        </w:tc>
        <w:tc>
          <w:tcPr>
            <w:tcW w:w="986" w:type="dxa"/>
            <w:vAlign w:val="center"/>
          </w:tcPr>
          <w:p w14:paraId="5D926E02">
            <w:pPr>
              <w:pStyle w:val="557"/>
            </w:pPr>
            <w:r>
              <w:rPr>
                <w:rFonts w:hint="eastAsia"/>
              </w:rPr>
              <w:t>0.00|0</w:t>
            </w:r>
          </w:p>
        </w:tc>
        <w:tc>
          <w:tcPr>
            <w:tcW w:w="986" w:type="dxa"/>
            <w:vAlign w:val="center"/>
          </w:tcPr>
          <w:p w14:paraId="559325A2">
            <w:pPr>
              <w:pStyle w:val="557"/>
            </w:pPr>
            <w:r>
              <w:rPr>
                <w:rFonts w:hint="eastAsia"/>
              </w:rPr>
              <w:t>0.00|0</w:t>
            </w:r>
          </w:p>
        </w:tc>
        <w:tc>
          <w:tcPr>
            <w:tcW w:w="986" w:type="dxa"/>
            <w:vAlign w:val="center"/>
          </w:tcPr>
          <w:p w14:paraId="091788B4">
            <w:pPr>
              <w:pStyle w:val="557"/>
            </w:pPr>
            <w:r>
              <w:rPr>
                <w:rFonts w:hint="eastAsia"/>
              </w:rPr>
              <w:t>0.00|0</w:t>
            </w:r>
          </w:p>
        </w:tc>
      </w:tr>
      <w:tr w14:paraId="1FB5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56F2FAF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13</w:t>
            </w:r>
          </w:p>
        </w:tc>
        <w:tc>
          <w:tcPr>
            <w:tcW w:w="1541" w:type="dxa"/>
            <w:noWrap/>
            <w:vAlign w:val="center"/>
          </w:tcPr>
          <w:p w14:paraId="4292C3BA">
            <w:pPr>
              <w:pStyle w:val="557"/>
            </w:pPr>
            <w:r>
              <w:rPr>
                <w:rFonts w:hint="eastAsia"/>
              </w:rPr>
              <w:t>2#冷却废气</w:t>
            </w:r>
          </w:p>
        </w:tc>
        <w:tc>
          <w:tcPr>
            <w:tcW w:w="987" w:type="dxa"/>
            <w:noWrap/>
            <w:vAlign w:val="center"/>
          </w:tcPr>
          <w:p w14:paraId="136B82ED">
            <w:pPr>
              <w:pStyle w:val="557"/>
            </w:pPr>
            <w:r>
              <w:rPr>
                <w:rFonts w:hint="eastAsia"/>
              </w:rPr>
              <w:t>250</w:t>
            </w:r>
          </w:p>
        </w:tc>
        <w:tc>
          <w:tcPr>
            <w:tcW w:w="987" w:type="dxa"/>
            <w:noWrap/>
            <w:vAlign w:val="center"/>
          </w:tcPr>
          <w:p w14:paraId="1E8A7519">
            <w:pPr>
              <w:pStyle w:val="557"/>
            </w:pPr>
            <w:r>
              <w:rPr>
                <w:rFonts w:hint="eastAsia"/>
              </w:rPr>
              <w:t>105</w:t>
            </w:r>
          </w:p>
        </w:tc>
        <w:tc>
          <w:tcPr>
            <w:tcW w:w="986" w:type="dxa"/>
            <w:noWrap/>
            <w:vAlign w:val="center"/>
          </w:tcPr>
          <w:p w14:paraId="40BAFFFF">
            <w:pPr>
              <w:pStyle w:val="557"/>
            </w:pPr>
            <w:r>
              <w:rPr>
                <w:rFonts w:hint="eastAsia"/>
              </w:rPr>
              <w:t>1.86</w:t>
            </w:r>
          </w:p>
        </w:tc>
        <w:tc>
          <w:tcPr>
            <w:tcW w:w="986" w:type="dxa"/>
            <w:noWrap/>
            <w:vAlign w:val="center"/>
          </w:tcPr>
          <w:p w14:paraId="60FBB127">
            <w:pPr>
              <w:pStyle w:val="557"/>
            </w:pPr>
            <w:r>
              <w:rPr>
                <w:rFonts w:hint="eastAsia"/>
              </w:rPr>
              <w:t>0.00|0</w:t>
            </w:r>
          </w:p>
        </w:tc>
        <w:tc>
          <w:tcPr>
            <w:tcW w:w="986" w:type="dxa"/>
            <w:noWrap/>
            <w:vAlign w:val="center"/>
          </w:tcPr>
          <w:p w14:paraId="32C80501">
            <w:pPr>
              <w:pStyle w:val="557"/>
            </w:pPr>
            <w:r>
              <w:rPr>
                <w:rFonts w:hint="eastAsia"/>
              </w:rPr>
              <w:t>0.00|0</w:t>
            </w:r>
          </w:p>
        </w:tc>
        <w:tc>
          <w:tcPr>
            <w:tcW w:w="986" w:type="dxa"/>
            <w:noWrap/>
            <w:vAlign w:val="center"/>
          </w:tcPr>
          <w:p w14:paraId="3E74B70E">
            <w:pPr>
              <w:pStyle w:val="557"/>
            </w:pPr>
            <w:r>
              <w:rPr>
                <w:rFonts w:hint="eastAsia"/>
              </w:rPr>
              <w:t>1.23|0</w:t>
            </w:r>
          </w:p>
        </w:tc>
        <w:tc>
          <w:tcPr>
            <w:tcW w:w="986" w:type="dxa"/>
            <w:noWrap/>
            <w:vAlign w:val="center"/>
          </w:tcPr>
          <w:p w14:paraId="1E9F56B3">
            <w:pPr>
              <w:pStyle w:val="557"/>
            </w:pPr>
            <w:r>
              <w:rPr>
                <w:rFonts w:hint="eastAsia"/>
              </w:rPr>
              <w:t>1.23|0</w:t>
            </w:r>
          </w:p>
        </w:tc>
        <w:tc>
          <w:tcPr>
            <w:tcW w:w="986" w:type="dxa"/>
            <w:noWrap/>
            <w:vAlign w:val="center"/>
          </w:tcPr>
          <w:p w14:paraId="61CDD6DC">
            <w:pPr>
              <w:pStyle w:val="557"/>
            </w:pPr>
            <w:r>
              <w:rPr>
                <w:rFonts w:hint="eastAsia"/>
              </w:rPr>
              <w:t>0.00|0</w:t>
            </w:r>
          </w:p>
        </w:tc>
        <w:tc>
          <w:tcPr>
            <w:tcW w:w="986" w:type="dxa"/>
            <w:vAlign w:val="center"/>
          </w:tcPr>
          <w:p w14:paraId="30B89ADA">
            <w:pPr>
              <w:pStyle w:val="557"/>
            </w:pPr>
            <w:r>
              <w:rPr>
                <w:rFonts w:hint="eastAsia"/>
              </w:rPr>
              <w:t>0.00|0</w:t>
            </w:r>
          </w:p>
        </w:tc>
        <w:tc>
          <w:tcPr>
            <w:tcW w:w="986" w:type="dxa"/>
            <w:vAlign w:val="center"/>
          </w:tcPr>
          <w:p w14:paraId="35196A5F">
            <w:pPr>
              <w:pStyle w:val="557"/>
            </w:pPr>
            <w:r>
              <w:rPr>
                <w:rFonts w:hint="eastAsia"/>
              </w:rPr>
              <w:t>0.00|0</w:t>
            </w:r>
          </w:p>
        </w:tc>
        <w:tc>
          <w:tcPr>
            <w:tcW w:w="986" w:type="dxa"/>
            <w:vAlign w:val="center"/>
          </w:tcPr>
          <w:p w14:paraId="2B129BCD">
            <w:pPr>
              <w:pStyle w:val="557"/>
            </w:pPr>
            <w:r>
              <w:rPr>
                <w:rFonts w:hint="eastAsia"/>
              </w:rPr>
              <w:t>0.00|0</w:t>
            </w:r>
          </w:p>
        </w:tc>
        <w:tc>
          <w:tcPr>
            <w:tcW w:w="986" w:type="dxa"/>
            <w:vAlign w:val="center"/>
          </w:tcPr>
          <w:p w14:paraId="03EFC06C">
            <w:pPr>
              <w:pStyle w:val="557"/>
            </w:pPr>
            <w:r>
              <w:rPr>
                <w:rFonts w:hint="eastAsia"/>
              </w:rPr>
              <w:t>0.00|0</w:t>
            </w:r>
          </w:p>
        </w:tc>
      </w:tr>
      <w:tr w14:paraId="1B69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1674EEB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14</w:t>
            </w:r>
          </w:p>
        </w:tc>
        <w:tc>
          <w:tcPr>
            <w:tcW w:w="1541" w:type="dxa"/>
            <w:noWrap/>
            <w:vAlign w:val="center"/>
          </w:tcPr>
          <w:p w14:paraId="1EF59927">
            <w:pPr>
              <w:pStyle w:val="557"/>
            </w:pPr>
            <w:r>
              <w:rPr>
                <w:rFonts w:hint="eastAsia"/>
              </w:rPr>
              <w:t>有机缓释肥装置加热炉废气</w:t>
            </w:r>
          </w:p>
        </w:tc>
        <w:tc>
          <w:tcPr>
            <w:tcW w:w="987" w:type="dxa"/>
            <w:noWrap/>
            <w:vAlign w:val="center"/>
          </w:tcPr>
          <w:p w14:paraId="4F011E05">
            <w:pPr>
              <w:pStyle w:val="557"/>
            </w:pPr>
            <w:r>
              <w:rPr>
                <w:rFonts w:hint="eastAsia"/>
              </w:rPr>
              <w:t>300</w:t>
            </w:r>
          </w:p>
        </w:tc>
        <w:tc>
          <w:tcPr>
            <w:tcW w:w="987" w:type="dxa"/>
            <w:noWrap/>
            <w:vAlign w:val="center"/>
          </w:tcPr>
          <w:p w14:paraId="78E99023">
            <w:pPr>
              <w:pStyle w:val="557"/>
            </w:pPr>
            <w:r>
              <w:rPr>
                <w:rFonts w:hint="eastAsia"/>
              </w:rPr>
              <w:t>40</w:t>
            </w:r>
          </w:p>
        </w:tc>
        <w:tc>
          <w:tcPr>
            <w:tcW w:w="986" w:type="dxa"/>
            <w:noWrap/>
            <w:vAlign w:val="center"/>
          </w:tcPr>
          <w:p w14:paraId="334B8541">
            <w:pPr>
              <w:pStyle w:val="557"/>
            </w:pPr>
            <w:r>
              <w:rPr>
                <w:rFonts w:hint="eastAsia"/>
              </w:rPr>
              <w:t>0.55</w:t>
            </w:r>
          </w:p>
        </w:tc>
        <w:tc>
          <w:tcPr>
            <w:tcW w:w="986" w:type="dxa"/>
            <w:noWrap/>
            <w:vAlign w:val="center"/>
          </w:tcPr>
          <w:p w14:paraId="7343CFDF">
            <w:pPr>
              <w:pStyle w:val="557"/>
            </w:pPr>
            <w:r>
              <w:rPr>
                <w:rFonts w:hint="eastAsia"/>
              </w:rPr>
              <w:t>0.00|0</w:t>
            </w:r>
          </w:p>
        </w:tc>
        <w:tc>
          <w:tcPr>
            <w:tcW w:w="986" w:type="dxa"/>
            <w:noWrap/>
            <w:vAlign w:val="center"/>
          </w:tcPr>
          <w:p w14:paraId="0B8AA63C">
            <w:pPr>
              <w:pStyle w:val="557"/>
            </w:pPr>
            <w:r>
              <w:rPr>
                <w:rFonts w:hint="eastAsia"/>
              </w:rPr>
              <w:t>5.18|0</w:t>
            </w:r>
          </w:p>
        </w:tc>
        <w:tc>
          <w:tcPr>
            <w:tcW w:w="986" w:type="dxa"/>
            <w:noWrap/>
            <w:vAlign w:val="center"/>
          </w:tcPr>
          <w:p w14:paraId="611807F6">
            <w:pPr>
              <w:pStyle w:val="557"/>
            </w:pPr>
            <w:r>
              <w:rPr>
                <w:rFonts w:hint="eastAsia"/>
              </w:rPr>
              <w:t>1.26|0</w:t>
            </w:r>
          </w:p>
        </w:tc>
        <w:tc>
          <w:tcPr>
            <w:tcW w:w="986" w:type="dxa"/>
            <w:noWrap/>
            <w:vAlign w:val="center"/>
          </w:tcPr>
          <w:p w14:paraId="71F66319">
            <w:pPr>
              <w:pStyle w:val="557"/>
            </w:pPr>
            <w:r>
              <w:rPr>
                <w:rFonts w:hint="eastAsia"/>
              </w:rPr>
              <w:t>1.26|0</w:t>
            </w:r>
          </w:p>
        </w:tc>
        <w:tc>
          <w:tcPr>
            <w:tcW w:w="986" w:type="dxa"/>
            <w:noWrap/>
            <w:vAlign w:val="center"/>
          </w:tcPr>
          <w:p w14:paraId="1444A428">
            <w:pPr>
              <w:pStyle w:val="557"/>
            </w:pPr>
            <w:r>
              <w:rPr>
                <w:rFonts w:hint="eastAsia"/>
              </w:rPr>
              <w:t>0.00|0</w:t>
            </w:r>
          </w:p>
        </w:tc>
        <w:tc>
          <w:tcPr>
            <w:tcW w:w="986" w:type="dxa"/>
            <w:vAlign w:val="center"/>
          </w:tcPr>
          <w:p w14:paraId="285A3F91">
            <w:pPr>
              <w:pStyle w:val="557"/>
            </w:pPr>
            <w:r>
              <w:rPr>
                <w:rFonts w:hint="eastAsia"/>
              </w:rPr>
              <w:t>0.00|0</w:t>
            </w:r>
          </w:p>
        </w:tc>
        <w:tc>
          <w:tcPr>
            <w:tcW w:w="986" w:type="dxa"/>
            <w:vAlign w:val="center"/>
          </w:tcPr>
          <w:p w14:paraId="29455786">
            <w:pPr>
              <w:pStyle w:val="557"/>
            </w:pPr>
            <w:r>
              <w:rPr>
                <w:rFonts w:hint="eastAsia"/>
              </w:rPr>
              <w:t>0.00|0</w:t>
            </w:r>
          </w:p>
        </w:tc>
        <w:tc>
          <w:tcPr>
            <w:tcW w:w="986" w:type="dxa"/>
            <w:vAlign w:val="center"/>
          </w:tcPr>
          <w:p w14:paraId="643B6BD8">
            <w:pPr>
              <w:pStyle w:val="557"/>
            </w:pPr>
            <w:r>
              <w:rPr>
                <w:rFonts w:hint="eastAsia"/>
              </w:rPr>
              <w:t>0.00|0</w:t>
            </w:r>
          </w:p>
        </w:tc>
        <w:tc>
          <w:tcPr>
            <w:tcW w:w="986" w:type="dxa"/>
            <w:vAlign w:val="center"/>
          </w:tcPr>
          <w:p w14:paraId="56A53833">
            <w:pPr>
              <w:pStyle w:val="557"/>
            </w:pPr>
            <w:r>
              <w:rPr>
                <w:rFonts w:hint="eastAsia"/>
              </w:rPr>
              <w:t>0.00|0</w:t>
            </w:r>
          </w:p>
        </w:tc>
      </w:tr>
      <w:tr w14:paraId="4B7F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959C2E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15</w:t>
            </w:r>
          </w:p>
        </w:tc>
        <w:tc>
          <w:tcPr>
            <w:tcW w:w="1541" w:type="dxa"/>
            <w:noWrap/>
            <w:vAlign w:val="center"/>
          </w:tcPr>
          <w:p w14:paraId="1396F129">
            <w:pPr>
              <w:pStyle w:val="557"/>
            </w:pPr>
            <w:r>
              <w:rPr>
                <w:rFonts w:hint="eastAsia"/>
              </w:rPr>
              <w:t>污水处理站（有组织排放）</w:t>
            </w:r>
          </w:p>
        </w:tc>
        <w:tc>
          <w:tcPr>
            <w:tcW w:w="987" w:type="dxa"/>
            <w:noWrap/>
            <w:vAlign w:val="center"/>
          </w:tcPr>
          <w:p w14:paraId="20AE722F">
            <w:pPr>
              <w:pStyle w:val="557"/>
            </w:pPr>
            <w:r>
              <w:rPr>
                <w:rFonts w:hint="eastAsia"/>
              </w:rPr>
              <w:t>250</w:t>
            </w:r>
          </w:p>
        </w:tc>
        <w:tc>
          <w:tcPr>
            <w:tcW w:w="987" w:type="dxa"/>
            <w:noWrap/>
            <w:vAlign w:val="center"/>
          </w:tcPr>
          <w:p w14:paraId="5F5F4911">
            <w:pPr>
              <w:pStyle w:val="557"/>
            </w:pPr>
            <w:r>
              <w:rPr>
                <w:rFonts w:hint="eastAsia"/>
              </w:rPr>
              <w:t>105</w:t>
            </w:r>
          </w:p>
        </w:tc>
        <w:tc>
          <w:tcPr>
            <w:tcW w:w="986" w:type="dxa"/>
            <w:noWrap/>
            <w:vAlign w:val="center"/>
          </w:tcPr>
          <w:p w14:paraId="658302C4">
            <w:pPr>
              <w:pStyle w:val="557"/>
            </w:pPr>
            <w:r>
              <w:rPr>
                <w:rFonts w:hint="eastAsia"/>
              </w:rPr>
              <w:t>1.86</w:t>
            </w:r>
          </w:p>
        </w:tc>
        <w:tc>
          <w:tcPr>
            <w:tcW w:w="986" w:type="dxa"/>
            <w:noWrap/>
            <w:vAlign w:val="center"/>
          </w:tcPr>
          <w:p w14:paraId="6E0E0120">
            <w:pPr>
              <w:pStyle w:val="557"/>
            </w:pPr>
            <w:r>
              <w:rPr>
                <w:rFonts w:hint="eastAsia"/>
              </w:rPr>
              <w:t>0.00|0</w:t>
            </w:r>
          </w:p>
        </w:tc>
        <w:tc>
          <w:tcPr>
            <w:tcW w:w="986" w:type="dxa"/>
            <w:noWrap/>
            <w:vAlign w:val="center"/>
          </w:tcPr>
          <w:p w14:paraId="2A4E265B">
            <w:pPr>
              <w:pStyle w:val="557"/>
            </w:pPr>
            <w:r>
              <w:rPr>
                <w:rFonts w:hint="eastAsia"/>
              </w:rPr>
              <w:t>0.00|0</w:t>
            </w:r>
          </w:p>
        </w:tc>
        <w:tc>
          <w:tcPr>
            <w:tcW w:w="986" w:type="dxa"/>
            <w:noWrap/>
            <w:vAlign w:val="center"/>
          </w:tcPr>
          <w:p w14:paraId="1322431C">
            <w:pPr>
              <w:pStyle w:val="557"/>
            </w:pPr>
            <w:r>
              <w:rPr>
                <w:rFonts w:hint="eastAsia"/>
              </w:rPr>
              <w:t>0.00|0</w:t>
            </w:r>
          </w:p>
        </w:tc>
        <w:tc>
          <w:tcPr>
            <w:tcW w:w="986" w:type="dxa"/>
            <w:noWrap/>
            <w:vAlign w:val="center"/>
          </w:tcPr>
          <w:p w14:paraId="247538AE">
            <w:pPr>
              <w:pStyle w:val="557"/>
            </w:pPr>
            <w:r>
              <w:rPr>
                <w:rFonts w:hint="eastAsia"/>
              </w:rPr>
              <w:t>0.00|0</w:t>
            </w:r>
          </w:p>
        </w:tc>
        <w:tc>
          <w:tcPr>
            <w:tcW w:w="986" w:type="dxa"/>
            <w:noWrap/>
            <w:vAlign w:val="center"/>
          </w:tcPr>
          <w:p w14:paraId="400C24D5">
            <w:pPr>
              <w:pStyle w:val="557"/>
            </w:pPr>
            <w:r>
              <w:rPr>
                <w:rFonts w:hint="eastAsia"/>
              </w:rPr>
              <w:t>0.00|0</w:t>
            </w:r>
          </w:p>
        </w:tc>
        <w:tc>
          <w:tcPr>
            <w:tcW w:w="986" w:type="dxa"/>
            <w:vAlign w:val="center"/>
          </w:tcPr>
          <w:p w14:paraId="2CEDCD02">
            <w:pPr>
              <w:pStyle w:val="557"/>
            </w:pPr>
            <w:r>
              <w:rPr>
                <w:rFonts w:hint="eastAsia"/>
              </w:rPr>
              <w:t>4.14|0</w:t>
            </w:r>
          </w:p>
        </w:tc>
        <w:tc>
          <w:tcPr>
            <w:tcW w:w="986" w:type="dxa"/>
            <w:vAlign w:val="center"/>
          </w:tcPr>
          <w:p w14:paraId="39DE8019">
            <w:pPr>
              <w:pStyle w:val="557"/>
            </w:pPr>
            <w:r>
              <w:rPr>
                <w:rFonts w:hint="eastAsia"/>
              </w:rPr>
              <w:t>1.33|0</w:t>
            </w:r>
          </w:p>
        </w:tc>
        <w:tc>
          <w:tcPr>
            <w:tcW w:w="986" w:type="dxa"/>
            <w:vAlign w:val="center"/>
          </w:tcPr>
          <w:p w14:paraId="27E505AB">
            <w:pPr>
              <w:pStyle w:val="557"/>
            </w:pPr>
            <w:r>
              <w:rPr>
                <w:rFonts w:hint="eastAsia"/>
              </w:rPr>
              <w:t>13.32|200</w:t>
            </w:r>
          </w:p>
        </w:tc>
        <w:tc>
          <w:tcPr>
            <w:tcW w:w="986" w:type="dxa"/>
            <w:vAlign w:val="center"/>
          </w:tcPr>
          <w:p w14:paraId="181728A5">
            <w:pPr>
              <w:pStyle w:val="557"/>
            </w:pPr>
            <w:r>
              <w:rPr>
                <w:rFonts w:hint="eastAsia"/>
              </w:rPr>
              <w:t>0.00|0</w:t>
            </w:r>
          </w:p>
        </w:tc>
      </w:tr>
      <w:tr w14:paraId="13FC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406941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16</w:t>
            </w:r>
          </w:p>
        </w:tc>
        <w:tc>
          <w:tcPr>
            <w:tcW w:w="1541" w:type="dxa"/>
            <w:noWrap/>
            <w:vAlign w:val="center"/>
          </w:tcPr>
          <w:p w14:paraId="6B6C6589">
            <w:pPr>
              <w:pStyle w:val="557"/>
            </w:pPr>
            <w:r>
              <w:rPr>
                <w:rFonts w:hint="eastAsia"/>
              </w:rPr>
              <w:t>1#燃气锅炉</w:t>
            </w:r>
          </w:p>
        </w:tc>
        <w:tc>
          <w:tcPr>
            <w:tcW w:w="987" w:type="dxa"/>
            <w:noWrap/>
            <w:vAlign w:val="center"/>
          </w:tcPr>
          <w:p w14:paraId="38802C89">
            <w:pPr>
              <w:pStyle w:val="557"/>
            </w:pPr>
            <w:r>
              <w:rPr>
                <w:rFonts w:hint="eastAsia"/>
              </w:rPr>
              <w:t>200</w:t>
            </w:r>
          </w:p>
        </w:tc>
        <w:tc>
          <w:tcPr>
            <w:tcW w:w="987" w:type="dxa"/>
            <w:noWrap/>
            <w:vAlign w:val="center"/>
          </w:tcPr>
          <w:p w14:paraId="28394FAC">
            <w:pPr>
              <w:pStyle w:val="557"/>
            </w:pPr>
            <w:r>
              <w:rPr>
                <w:rFonts w:hint="eastAsia"/>
              </w:rPr>
              <w:t>230</w:t>
            </w:r>
          </w:p>
        </w:tc>
        <w:tc>
          <w:tcPr>
            <w:tcW w:w="986" w:type="dxa"/>
            <w:noWrap/>
            <w:vAlign w:val="center"/>
          </w:tcPr>
          <w:p w14:paraId="39B25366">
            <w:pPr>
              <w:pStyle w:val="557"/>
            </w:pPr>
            <w:r>
              <w:rPr>
                <w:rFonts w:hint="eastAsia"/>
              </w:rPr>
              <w:t>0.5</w:t>
            </w:r>
          </w:p>
        </w:tc>
        <w:tc>
          <w:tcPr>
            <w:tcW w:w="986" w:type="dxa"/>
            <w:noWrap/>
            <w:vAlign w:val="center"/>
          </w:tcPr>
          <w:p w14:paraId="093648B3">
            <w:pPr>
              <w:pStyle w:val="557"/>
            </w:pPr>
            <w:r>
              <w:rPr>
                <w:rFonts w:hint="eastAsia"/>
              </w:rPr>
              <w:t>0.00|0</w:t>
            </w:r>
          </w:p>
        </w:tc>
        <w:tc>
          <w:tcPr>
            <w:tcW w:w="986" w:type="dxa"/>
            <w:noWrap/>
            <w:vAlign w:val="center"/>
          </w:tcPr>
          <w:p w14:paraId="028FA9F0">
            <w:pPr>
              <w:pStyle w:val="557"/>
            </w:pPr>
            <w:r>
              <w:rPr>
                <w:rFonts w:hint="eastAsia"/>
              </w:rPr>
              <w:t>1.19|0</w:t>
            </w:r>
          </w:p>
        </w:tc>
        <w:tc>
          <w:tcPr>
            <w:tcW w:w="986" w:type="dxa"/>
            <w:noWrap/>
            <w:vAlign w:val="center"/>
          </w:tcPr>
          <w:p w14:paraId="5C77046C">
            <w:pPr>
              <w:pStyle w:val="557"/>
            </w:pPr>
            <w:r>
              <w:rPr>
                <w:rFonts w:hint="eastAsia"/>
              </w:rPr>
              <w:t>0.26|0</w:t>
            </w:r>
          </w:p>
        </w:tc>
        <w:tc>
          <w:tcPr>
            <w:tcW w:w="986" w:type="dxa"/>
            <w:noWrap/>
            <w:vAlign w:val="center"/>
          </w:tcPr>
          <w:p w14:paraId="5CF191D4">
            <w:pPr>
              <w:pStyle w:val="557"/>
            </w:pPr>
            <w:r>
              <w:rPr>
                <w:rFonts w:hint="eastAsia"/>
              </w:rPr>
              <w:t>0.26|0</w:t>
            </w:r>
          </w:p>
        </w:tc>
        <w:tc>
          <w:tcPr>
            <w:tcW w:w="986" w:type="dxa"/>
            <w:noWrap/>
            <w:vAlign w:val="center"/>
          </w:tcPr>
          <w:p w14:paraId="3A7466C1">
            <w:pPr>
              <w:pStyle w:val="557"/>
            </w:pPr>
            <w:r>
              <w:rPr>
                <w:rFonts w:hint="eastAsia"/>
              </w:rPr>
              <w:t>0.00|0</w:t>
            </w:r>
          </w:p>
        </w:tc>
        <w:tc>
          <w:tcPr>
            <w:tcW w:w="986" w:type="dxa"/>
            <w:vAlign w:val="center"/>
          </w:tcPr>
          <w:p w14:paraId="1E96D3CE">
            <w:pPr>
              <w:pStyle w:val="557"/>
            </w:pPr>
            <w:r>
              <w:rPr>
                <w:rFonts w:hint="eastAsia"/>
              </w:rPr>
              <w:t>0.00|0</w:t>
            </w:r>
          </w:p>
        </w:tc>
        <w:tc>
          <w:tcPr>
            <w:tcW w:w="986" w:type="dxa"/>
            <w:vAlign w:val="center"/>
          </w:tcPr>
          <w:p w14:paraId="1B484993">
            <w:pPr>
              <w:pStyle w:val="557"/>
            </w:pPr>
            <w:r>
              <w:rPr>
                <w:rFonts w:hint="eastAsia"/>
              </w:rPr>
              <w:t>0.00|0</w:t>
            </w:r>
          </w:p>
        </w:tc>
        <w:tc>
          <w:tcPr>
            <w:tcW w:w="986" w:type="dxa"/>
            <w:vAlign w:val="center"/>
          </w:tcPr>
          <w:p w14:paraId="3F3B47AC">
            <w:pPr>
              <w:pStyle w:val="557"/>
            </w:pPr>
            <w:r>
              <w:rPr>
                <w:rFonts w:hint="eastAsia"/>
              </w:rPr>
              <w:t>0.00|0</w:t>
            </w:r>
          </w:p>
        </w:tc>
        <w:tc>
          <w:tcPr>
            <w:tcW w:w="986" w:type="dxa"/>
            <w:vAlign w:val="center"/>
          </w:tcPr>
          <w:p w14:paraId="60395EF5">
            <w:pPr>
              <w:pStyle w:val="557"/>
            </w:pPr>
            <w:r>
              <w:rPr>
                <w:rFonts w:hint="eastAsia"/>
              </w:rPr>
              <w:t>0.00|0</w:t>
            </w:r>
          </w:p>
        </w:tc>
      </w:tr>
      <w:tr w14:paraId="406D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5B0D81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17</w:t>
            </w:r>
          </w:p>
        </w:tc>
        <w:tc>
          <w:tcPr>
            <w:tcW w:w="1541" w:type="dxa"/>
            <w:noWrap/>
            <w:vAlign w:val="center"/>
          </w:tcPr>
          <w:p w14:paraId="4C5E7AC4">
            <w:pPr>
              <w:pStyle w:val="557"/>
            </w:pPr>
            <w:r>
              <w:rPr>
                <w:rFonts w:hint="eastAsia"/>
              </w:rPr>
              <w:t>2#燃气锅炉</w:t>
            </w:r>
          </w:p>
        </w:tc>
        <w:tc>
          <w:tcPr>
            <w:tcW w:w="987" w:type="dxa"/>
            <w:noWrap/>
            <w:vAlign w:val="center"/>
          </w:tcPr>
          <w:p w14:paraId="5F988293">
            <w:pPr>
              <w:pStyle w:val="557"/>
            </w:pPr>
            <w:r>
              <w:rPr>
                <w:rFonts w:hint="eastAsia"/>
              </w:rPr>
              <w:t>200</w:t>
            </w:r>
          </w:p>
        </w:tc>
        <w:tc>
          <w:tcPr>
            <w:tcW w:w="987" w:type="dxa"/>
            <w:noWrap/>
            <w:vAlign w:val="center"/>
          </w:tcPr>
          <w:p w14:paraId="78D62547">
            <w:pPr>
              <w:pStyle w:val="557"/>
            </w:pPr>
            <w:r>
              <w:rPr>
                <w:rFonts w:hint="eastAsia"/>
              </w:rPr>
              <w:t>230</w:t>
            </w:r>
          </w:p>
        </w:tc>
        <w:tc>
          <w:tcPr>
            <w:tcW w:w="986" w:type="dxa"/>
            <w:noWrap/>
            <w:vAlign w:val="center"/>
          </w:tcPr>
          <w:p w14:paraId="4A6119DE">
            <w:pPr>
              <w:pStyle w:val="557"/>
            </w:pPr>
            <w:r>
              <w:rPr>
                <w:rFonts w:hint="eastAsia"/>
              </w:rPr>
              <w:t>0.5</w:t>
            </w:r>
          </w:p>
        </w:tc>
        <w:tc>
          <w:tcPr>
            <w:tcW w:w="986" w:type="dxa"/>
            <w:noWrap/>
            <w:vAlign w:val="center"/>
          </w:tcPr>
          <w:p w14:paraId="0A2A23E8">
            <w:pPr>
              <w:pStyle w:val="557"/>
            </w:pPr>
            <w:r>
              <w:rPr>
                <w:rFonts w:hint="eastAsia"/>
              </w:rPr>
              <w:t>0.00|0</w:t>
            </w:r>
          </w:p>
        </w:tc>
        <w:tc>
          <w:tcPr>
            <w:tcW w:w="986" w:type="dxa"/>
            <w:noWrap/>
            <w:vAlign w:val="center"/>
          </w:tcPr>
          <w:p w14:paraId="0DB02EFC">
            <w:pPr>
              <w:pStyle w:val="557"/>
            </w:pPr>
            <w:r>
              <w:rPr>
                <w:rFonts w:hint="eastAsia"/>
              </w:rPr>
              <w:t>1.19|0</w:t>
            </w:r>
          </w:p>
        </w:tc>
        <w:tc>
          <w:tcPr>
            <w:tcW w:w="986" w:type="dxa"/>
            <w:noWrap/>
            <w:vAlign w:val="center"/>
          </w:tcPr>
          <w:p w14:paraId="3B0739C3">
            <w:pPr>
              <w:pStyle w:val="557"/>
            </w:pPr>
            <w:r>
              <w:rPr>
                <w:rFonts w:hint="eastAsia"/>
              </w:rPr>
              <w:t>0.26|0</w:t>
            </w:r>
          </w:p>
        </w:tc>
        <w:tc>
          <w:tcPr>
            <w:tcW w:w="986" w:type="dxa"/>
            <w:noWrap/>
            <w:vAlign w:val="center"/>
          </w:tcPr>
          <w:p w14:paraId="1F3FBADE">
            <w:pPr>
              <w:pStyle w:val="557"/>
            </w:pPr>
            <w:r>
              <w:rPr>
                <w:rFonts w:hint="eastAsia"/>
              </w:rPr>
              <w:t>0.26|0</w:t>
            </w:r>
          </w:p>
        </w:tc>
        <w:tc>
          <w:tcPr>
            <w:tcW w:w="986" w:type="dxa"/>
            <w:noWrap/>
            <w:vAlign w:val="center"/>
          </w:tcPr>
          <w:p w14:paraId="6AF0A5FF">
            <w:pPr>
              <w:pStyle w:val="557"/>
            </w:pPr>
            <w:r>
              <w:rPr>
                <w:rFonts w:hint="eastAsia"/>
              </w:rPr>
              <w:t>0.00|0</w:t>
            </w:r>
          </w:p>
        </w:tc>
        <w:tc>
          <w:tcPr>
            <w:tcW w:w="986" w:type="dxa"/>
            <w:vAlign w:val="center"/>
          </w:tcPr>
          <w:p w14:paraId="2D1D0F30">
            <w:pPr>
              <w:pStyle w:val="557"/>
            </w:pPr>
            <w:r>
              <w:rPr>
                <w:rFonts w:hint="eastAsia"/>
              </w:rPr>
              <w:t>0.00|0</w:t>
            </w:r>
          </w:p>
        </w:tc>
        <w:tc>
          <w:tcPr>
            <w:tcW w:w="986" w:type="dxa"/>
            <w:vAlign w:val="center"/>
          </w:tcPr>
          <w:p w14:paraId="4EDC7F7A">
            <w:pPr>
              <w:pStyle w:val="557"/>
            </w:pPr>
            <w:r>
              <w:rPr>
                <w:rFonts w:hint="eastAsia"/>
              </w:rPr>
              <w:t>0.00|0</w:t>
            </w:r>
          </w:p>
        </w:tc>
        <w:tc>
          <w:tcPr>
            <w:tcW w:w="986" w:type="dxa"/>
            <w:vAlign w:val="center"/>
          </w:tcPr>
          <w:p w14:paraId="7C133964">
            <w:pPr>
              <w:pStyle w:val="557"/>
            </w:pPr>
            <w:r>
              <w:rPr>
                <w:rFonts w:hint="eastAsia"/>
              </w:rPr>
              <w:t>0.00|0</w:t>
            </w:r>
          </w:p>
        </w:tc>
        <w:tc>
          <w:tcPr>
            <w:tcW w:w="986" w:type="dxa"/>
            <w:vAlign w:val="center"/>
          </w:tcPr>
          <w:p w14:paraId="088DBBE0">
            <w:pPr>
              <w:pStyle w:val="557"/>
            </w:pPr>
            <w:r>
              <w:rPr>
                <w:rFonts w:hint="eastAsia"/>
              </w:rPr>
              <w:t>0.00|0</w:t>
            </w:r>
          </w:p>
        </w:tc>
      </w:tr>
      <w:tr w14:paraId="28C6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37964D7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18</w:t>
            </w:r>
          </w:p>
        </w:tc>
        <w:tc>
          <w:tcPr>
            <w:tcW w:w="1541" w:type="dxa"/>
            <w:noWrap/>
            <w:vAlign w:val="center"/>
          </w:tcPr>
          <w:p w14:paraId="1C259922">
            <w:pPr>
              <w:pStyle w:val="557"/>
            </w:pPr>
            <w:r>
              <w:rPr>
                <w:rFonts w:hint="eastAsia"/>
              </w:rPr>
              <w:t>筛分破碎废气</w:t>
            </w:r>
          </w:p>
        </w:tc>
        <w:tc>
          <w:tcPr>
            <w:tcW w:w="987" w:type="dxa"/>
            <w:noWrap/>
            <w:vAlign w:val="center"/>
          </w:tcPr>
          <w:p w14:paraId="69705FDA">
            <w:pPr>
              <w:pStyle w:val="557"/>
            </w:pPr>
            <w:r>
              <w:rPr>
                <w:rFonts w:hint="eastAsia"/>
              </w:rPr>
              <w:t>250</w:t>
            </w:r>
          </w:p>
        </w:tc>
        <w:tc>
          <w:tcPr>
            <w:tcW w:w="987" w:type="dxa"/>
            <w:noWrap/>
            <w:vAlign w:val="center"/>
          </w:tcPr>
          <w:p w14:paraId="171A185F">
            <w:pPr>
              <w:pStyle w:val="557"/>
            </w:pPr>
            <w:r>
              <w:rPr>
                <w:rFonts w:hint="eastAsia"/>
              </w:rPr>
              <w:t>105</w:t>
            </w:r>
          </w:p>
        </w:tc>
        <w:tc>
          <w:tcPr>
            <w:tcW w:w="986" w:type="dxa"/>
            <w:noWrap/>
            <w:vAlign w:val="center"/>
          </w:tcPr>
          <w:p w14:paraId="5F25B6BF">
            <w:pPr>
              <w:pStyle w:val="557"/>
            </w:pPr>
            <w:r>
              <w:rPr>
                <w:rFonts w:hint="eastAsia"/>
              </w:rPr>
              <w:t>1.86</w:t>
            </w:r>
          </w:p>
        </w:tc>
        <w:tc>
          <w:tcPr>
            <w:tcW w:w="986" w:type="dxa"/>
            <w:noWrap/>
            <w:vAlign w:val="center"/>
          </w:tcPr>
          <w:p w14:paraId="44E0AD1B">
            <w:pPr>
              <w:pStyle w:val="557"/>
            </w:pPr>
            <w:r>
              <w:rPr>
                <w:rFonts w:hint="eastAsia"/>
              </w:rPr>
              <w:t>0.00|0</w:t>
            </w:r>
          </w:p>
        </w:tc>
        <w:tc>
          <w:tcPr>
            <w:tcW w:w="986" w:type="dxa"/>
            <w:noWrap/>
            <w:vAlign w:val="center"/>
          </w:tcPr>
          <w:p w14:paraId="7A5DB7FA">
            <w:pPr>
              <w:pStyle w:val="557"/>
            </w:pPr>
            <w:r>
              <w:rPr>
                <w:rFonts w:hint="eastAsia"/>
              </w:rPr>
              <w:t>0.00|0</w:t>
            </w:r>
          </w:p>
        </w:tc>
        <w:tc>
          <w:tcPr>
            <w:tcW w:w="986" w:type="dxa"/>
            <w:noWrap/>
            <w:vAlign w:val="center"/>
          </w:tcPr>
          <w:p w14:paraId="7867E37C">
            <w:pPr>
              <w:pStyle w:val="557"/>
            </w:pPr>
            <w:r>
              <w:rPr>
                <w:rFonts w:hint="eastAsia"/>
              </w:rPr>
              <w:t>4.93|0</w:t>
            </w:r>
          </w:p>
        </w:tc>
        <w:tc>
          <w:tcPr>
            <w:tcW w:w="986" w:type="dxa"/>
            <w:noWrap/>
            <w:vAlign w:val="center"/>
          </w:tcPr>
          <w:p w14:paraId="448EFB04">
            <w:pPr>
              <w:pStyle w:val="557"/>
            </w:pPr>
            <w:r>
              <w:rPr>
                <w:rFonts w:hint="eastAsia"/>
              </w:rPr>
              <w:t>4.93|0</w:t>
            </w:r>
          </w:p>
        </w:tc>
        <w:tc>
          <w:tcPr>
            <w:tcW w:w="986" w:type="dxa"/>
            <w:noWrap/>
            <w:vAlign w:val="center"/>
          </w:tcPr>
          <w:p w14:paraId="3C40A2BE">
            <w:pPr>
              <w:pStyle w:val="557"/>
            </w:pPr>
            <w:r>
              <w:rPr>
                <w:rFonts w:hint="eastAsia"/>
              </w:rPr>
              <w:t>0.00|0</w:t>
            </w:r>
          </w:p>
        </w:tc>
        <w:tc>
          <w:tcPr>
            <w:tcW w:w="986" w:type="dxa"/>
            <w:vAlign w:val="center"/>
          </w:tcPr>
          <w:p w14:paraId="16B02825">
            <w:pPr>
              <w:pStyle w:val="557"/>
            </w:pPr>
            <w:r>
              <w:rPr>
                <w:rFonts w:hint="eastAsia"/>
              </w:rPr>
              <w:t>0.00|0</w:t>
            </w:r>
          </w:p>
        </w:tc>
        <w:tc>
          <w:tcPr>
            <w:tcW w:w="986" w:type="dxa"/>
            <w:vAlign w:val="center"/>
          </w:tcPr>
          <w:p w14:paraId="7F00D41A">
            <w:pPr>
              <w:pStyle w:val="557"/>
            </w:pPr>
            <w:r>
              <w:rPr>
                <w:rFonts w:hint="eastAsia"/>
              </w:rPr>
              <w:t>0.00|0</w:t>
            </w:r>
          </w:p>
        </w:tc>
        <w:tc>
          <w:tcPr>
            <w:tcW w:w="986" w:type="dxa"/>
            <w:vAlign w:val="center"/>
          </w:tcPr>
          <w:p w14:paraId="5DD5E048">
            <w:pPr>
              <w:pStyle w:val="557"/>
            </w:pPr>
            <w:r>
              <w:rPr>
                <w:rFonts w:hint="eastAsia"/>
              </w:rPr>
              <w:t>0.00|0</w:t>
            </w:r>
          </w:p>
        </w:tc>
        <w:tc>
          <w:tcPr>
            <w:tcW w:w="986" w:type="dxa"/>
            <w:vAlign w:val="center"/>
          </w:tcPr>
          <w:p w14:paraId="710A074A">
            <w:pPr>
              <w:pStyle w:val="557"/>
            </w:pPr>
            <w:r>
              <w:rPr>
                <w:rFonts w:hint="eastAsia"/>
              </w:rPr>
              <w:t>0.00|0</w:t>
            </w:r>
          </w:p>
        </w:tc>
      </w:tr>
      <w:tr w14:paraId="3144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600266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19</w:t>
            </w:r>
          </w:p>
        </w:tc>
        <w:tc>
          <w:tcPr>
            <w:tcW w:w="1541" w:type="dxa"/>
            <w:noWrap/>
            <w:vAlign w:val="center"/>
          </w:tcPr>
          <w:p w14:paraId="2ECF103F">
            <w:pPr>
              <w:pStyle w:val="557"/>
            </w:pPr>
            <w:r>
              <w:rPr>
                <w:rFonts w:hint="eastAsia"/>
              </w:rPr>
              <w:t>1#转运站</w:t>
            </w:r>
          </w:p>
        </w:tc>
        <w:tc>
          <w:tcPr>
            <w:tcW w:w="987" w:type="dxa"/>
            <w:noWrap/>
            <w:vAlign w:val="center"/>
          </w:tcPr>
          <w:p w14:paraId="58AF02E6">
            <w:pPr>
              <w:pStyle w:val="557"/>
            </w:pPr>
            <w:r>
              <w:rPr>
                <w:rFonts w:hint="eastAsia"/>
              </w:rPr>
              <w:t>250</w:t>
            </w:r>
          </w:p>
        </w:tc>
        <w:tc>
          <w:tcPr>
            <w:tcW w:w="987" w:type="dxa"/>
            <w:noWrap/>
            <w:vAlign w:val="center"/>
          </w:tcPr>
          <w:p w14:paraId="4D0F0C5E">
            <w:pPr>
              <w:pStyle w:val="557"/>
            </w:pPr>
            <w:r>
              <w:rPr>
                <w:rFonts w:hint="eastAsia"/>
              </w:rPr>
              <w:t>105</w:t>
            </w:r>
          </w:p>
        </w:tc>
        <w:tc>
          <w:tcPr>
            <w:tcW w:w="986" w:type="dxa"/>
            <w:noWrap/>
            <w:vAlign w:val="center"/>
          </w:tcPr>
          <w:p w14:paraId="555A51AE">
            <w:pPr>
              <w:pStyle w:val="557"/>
            </w:pPr>
            <w:r>
              <w:rPr>
                <w:rFonts w:hint="eastAsia"/>
              </w:rPr>
              <w:t>1.86</w:t>
            </w:r>
          </w:p>
        </w:tc>
        <w:tc>
          <w:tcPr>
            <w:tcW w:w="986" w:type="dxa"/>
            <w:noWrap/>
            <w:vAlign w:val="center"/>
          </w:tcPr>
          <w:p w14:paraId="04FC70C2">
            <w:pPr>
              <w:pStyle w:val="557"/>
            </w:pPr>
            <w:r>
              <w:rPr>
                <w:rFonts w:hint="eastAsia"/>
              </w:rPr>
              <w:t>0.00|0</w:t>
            </w:r>
          </w:p>
        </w:tc>
        <w:tc>
          <w:tcPr>
            <w:tcW w:w="986" w:type="dxa"/>
            <w:noWrap/>
            <w:vAlign w:val="center"/>
          </w:tcPr>
          <w:p w14:paraId="637E6F35">
            <w:pPr>
              <w:pStyle w:val="557"/>
            </w:pPr>
            <w:r>
              <w:rPr>
                <w:rFonts w:hint="eastAsia"/>
              </w:rPr>
              <w:t>0.00|0</w:t>
            </w:r>
          </w:p>
        </w:tc>
        <w:tc>
          <w:tcPr>
            <w:tcW w:w="986" w:type="dxa"/>
            <w:noWrap/>
            <w:vAlign w:val="center"/>
          </w:tcPr>
          <w:p w14:paraId="047D2EF5">
            <w:pPr>
              <w:pStyle w:val="557"/>
            </w:pPr>
            <w:r>
              <w:rPr>
                <w:rFonts w:hint="eastAsia"/>
              </w:rPr>
              <w:t>4.93|0</w:t>
            </w:r>
          </w:p>
        </w:tc>
        <w:tc>
          <w:tcPr>
            <w:tcW w:w="986" w:type="dxa"/>
            <w:noWrap/>
            <w:vAlign w:val="center"/>
          </w:tcPr>
          <w:p w14:paraId="517F134B">
            <w:pPr>
              <w:pStyle w:val="557"/>
            </w:pPr>
            <w:r>
              <w:rPr>
                <w:rFonts w:hint="eastAsia"/>
              </w:rPr>
              <w:t>4.93|0</w:t>
            </w:r>
          </w:p>
        </w:tc>
        <w:tc>
          <w:tcPr>
            <w:tcW w:w="986" w:type="dxa"/>
            <w:noWrap/>
            <w:vAlign w:val="center"/>
          </w:tcPr>
          <w:p w14:paraId="1313F71F">
            <w:pPr>
              <w:pStyle w:val="557"/>
            </w:pPr>
            <w:r>
              <w:rPr>
                <w:rFonts w:hint="eastAsia"/>
              </w:rPr>
              <w:t>0.00|0</w:t>
            </w:r>
          </w:p>
        </w:tc>
        <w:tc>
          <w:tcPr>
            <w:tcW w:w="986" w:type="dxa"/>
            <w:vAlign w:val="center"/>
          </w:tcPr>
          <w:p w14:paraId="7FFC0FB0">
            <w:pPr>
              <w:pStyle w:val="557"/>
            </w:pPr>
            <w:r>
              <w:rPr>
                <w:rFonts w:hint="eastAsia"/>
              </w:rPr>
              <w:t>0.00|0</w:t>
            </w:r>
          </w:p>
        </w:tc>
        <w:tc>
          <w:tcPr>
            <w:tcW w:w="986" w:type="dxa"/>
            <w:vAlign w:val="center"/>
          </w:tcPr>
          <w:p w14:paraId="03F2D252">
            <w:pPr>
              <w:pStyle w:val="557"/>
            </w:pPr>
            <w:r>
              <w:rPr>
                <w:rFonts w:hint="eastAsia"/>
              </w:rPr>
              <w:t>0.00|0</w:t>
            </w:r>
          </w:p>
        </w:tc>
        <w:tc>
          <w:tcPr>
            <w:tcW w:w="986" w:type="dxa"/>
            <w:vAlign w:val="center"/>
          </w:tcPr>
          <w:p w14:paraId="157B3F2D">
            <w:pPr>
              <w:pStyle w:val="557"/>
            </w:pPr>
            <w:r>
              <w:rPr>
                <w:rFonts w:hint="eastAsia"/>
              </w:rPr>
              <w:t>0.00|0</w:t>
            </w:r>
          </w:p>
        </w:tc>
        <w:tc>
          <w:tcPr>
            <w:tcW w:w="986" w:type="dxa"/>
            <w:vAlign w:val="center"/>
          </w:tcPr>
          <w:p w14:paraId="34335B58">
            <w:pPr>
              <w:pStyle w:val="557"/>
            </w:pPr>
            <w:r>
              <w:rPr>
                <w:rFonts w:hint="eastAsia"/>
              </w:rPr>
              <w:t>0.00|0</w:t>
            </w:r>
          </w:p>
        </w:tc>
      </w:tr>
      <w:tr w14:paraId="5BB7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1A1CEA0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20</w:t>
            </w:r>
          </w:p>
        </w:tc>
        <w:tc>
          <w:tcPr>
            <w:tcW w:w="1541" w:type="dxa"/>
            <w:noWrap/>
            <w:vAlign w:val="center"/>
          </w:tcPr>
          <w:p w14:paraId="624AFD5C">
            <w:pPr>
              <w:pStyle w:val="557"/>
            </w:pPr>
            <w:r>
              <w:rPr>
                <w:rFonts w:hint="eastAsia"/>
              </w:rPr>
              <w:t>2#转运站</w:t>
            </w:r>
          </w:p>
        </w:tc>
        <w:tc>
          <w:tcPr>
            <w:tcW w:w="987" w:type="dxa"/>
            <w:noWrap/>
            <w:vAlign w:val="center"/>
          </w:tcPr>
          <w:p w14:paraId="71E6A50F">
            <w:pPr>
              <w:pStyle w:val="557"/>
            </w:pPr>
            <w:r>
              <w:rPr>
                <w:rFonts w:hint="eastAsia"/>
              </w:rPr>
              <w:t>350</w:t>
            </w:r>
          </w:p>
        </w:tc>
        <w:tc>
          <w:tcPr>
            <w:tcW w:w="987" w:type="dxa"/>
            <w:noWrap/>
            <w:vAlign w:val="center"/>
          </w:tcPr>
          <w:p w14:paraId="38572D35">
            <w:pPr>
              <w:pStyle w:val="557"/>
            </w:pPr>
            <w:r>
              <w:rPr>
                <w:rFonts w:hint="eastAsia"/>
              </w:rPr>
              <w:t>54</w:t>
            </w:r>
          </w:p>
        </w:tc>
        <w:tc>
          <w:tcPr>
            <w:tcW w:w="986" w:type="dxa"/>
            <w:noWrap/>
            <w:vAlign w:val="center"/>
          </w:tcPr>
          <w:p w14:paraId="036E0E5E">
            <w:pPr>
              <w:pStyle w:val="557"/>
            </w:pPr>
            <w:r>
              <w:rPr>
                <w:rFonts w:hint="eastAsia"/>
              </w:rPr>
              <w:t>0.94</w:t>
            </w:r>
          </w:p>
        </w:tc>
        <w:tc>
          <w:tcPr>
            <w:tcW w:w="986" w:type="dxa"/>
            <w:noWrap/>
            <w:vAlign w:val="center"/>
          </w:tcPr>
          <w:p w14:paraId="3029E3E5">
            <w:pPr>
              <w:pStyle w:val="557"/>
            </w:pPr>
            <w:r>
              <w:rPr>
                <w:rFonts w:hint="eastAsia"/>
              </w:rPr>
              <w:t>0.00|0</w:t>
            </w:r>
          </w:p>
        </w:tc>
        <w:tc>
          <w:tcPr>
            <w:tcW w:w="986" w:type="dxa"/>
            <w:noWrap/>
            <w:vAlign w:val="center"/>
          </w:tcPr>
          <w:p w14:paraId="5218A76D">
            <w:pPr>
              <w:pStyle w:val="557"/>
            </w:pPr>
            <w:r>
              <w:rPr>
                <w:rFonts w:hint="eastAsia"/>
              </w:rPr>
              <w:t>0.00|0</w:t>
            </w:r>
          </w:p>
        </w:tc>
        <w:tc>
          <w:tcPr>
            <w:tcW w:w="986" w:type="dxa"/>
            <w:noWrap/>
            <w:vAlign w:val="center"/>
          </w:tcPr>
          <w:p w14:paraId="16DBD545">
            <w:pPr>
              <w:pStyle w:val="557"/>
            </w:pPr>
            <w:r>
              <w:rPr>
                <w:rFonts w:hint="eastAsia"/>
              </w:rPr>
              <w:t>0.33|0</w:t>
            </w:r>
          </w:p>
        </w:tc>
        <w:tc>
          <w:tcPr>
            <w:tcW w:w="986" w:type="dxa"/>
            <w:noWrap/>
            <w:vAlign w:val="center"/>
          </w:tcPr>
          <w:p w14:paraId="0A917549">
            <w:pPr>
              <w:pStyle w:val="557"/>
            </w:pPr>
            <w:r>
              <w:rPr>
                <w:rFonts w:hint="eastAsia"/>
              </w:rPr>
              <w:t>0.33|0</w:t>
            </w:r>
          </w:p>
        </w:tc>
        <w:tc>
          <w:tcPr>
            <w:tcW w:w="986" w:type="dxa"/>
            <w:noWrap/>
            <w:vAlign w:val="center"/>
          </w:tcPr>
          <w:p w14:paraId="094D345C">
            <w:pPr>
              <w:pStyle w:val="557"/>
            </w:pPr>
            <w:r>
              <w:rPr>
                <w:rFonts w:hint="eastAsia"/>
              </w:rPr>
              <w:t>0.00|0</w:t>
            </w:r>
          </w:p>
        </w:tc>
        <w:tc>
          <w:tcPr>
            <w:tcW w:w="986" w:type="dxa"/>
            <w:vAlign w:val="center"/>
          </w:tcPr>
          <w:p w14:paraId="71DE61CB">
            <w:pPr>
              <w:pStyle w:val="557"/>
            </w:pPr>
            <w:r>
              <w:rPr>
                <w:rFonts w:hint="eastAsia"/>
              </w:rPr>
              <w:t>0.00|0</w:t>
            </w:r>
          </w:p>
        </w:tc>
        <w:tc>
          <w:tcPr>
            <w:tcW w:w="986" w:type="dxa"/>
            <w:vAlign w:val="center"/>
          </w:tcPr>
          <w:p w14:paraId="7B5AA7AC">
            <w:pPr>
              <w:pStyle w:val="557"/>
            </w:pPr>
            <w:r>
              <w:rPr>
                <w:rFonts w:hint="eastAsia"/>
              </w:rPr>
              <w:t>0.00|0</w:t>
            </w:r>
          </w:p>
        </w:tc>
        <w:tc>
          <w:tcPr>
            <w:tcW w:w="986" w:type="dxa"/>
            <w:vAlign w:val="center"/>
          </w:tcPr>
          <w:p w14:paraId="5FDF664C">
            <w:pPr>
              <w:pStyle w:val="557"/>
            </w:pPr>
            <w:r>
              <w:rPr>
                <w:rFonts w:hint="eastAsia"/>
              </w:rPr>
              <w:t>0.00|0</w:t>
            </w:r>
          </w:p>
        </w:tc>
        <w:tc>
          <w:tcPr>
            <w:tcW w:w="986" w:type="dxa"/>
            <w:vAlign w:val="center"/>
          </w:tcPr>
          <w:p w14:paraId="18645258">
            <w:pPr>
              <w:pStyle w:val="557"/>
            </w:pPr>
            <w:r>
              <w:rPr>
                <w:rFonts w:hint="eastAsia"/>
              </w:rPr>
              <w:t>0.00|0</w:t>
            </w:r>
          </w:p>
        </w:tc>
      </w:tr>
      <w:tr w14:paraId="349D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3362BF1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21</w:t>
            </w:r>
          </w:p>
        </w:tc>
        <w:tc>
          <w:tcPr>
            <w:tcW w:w="1541" w:type="dxa"/>
            <w:noWrap/>
            <w:vAlign w:val="center"/>
          </w:tcPr>
          <w:p w14:paraId="6E4A5F80">
            <w:pPr>
              <w:pStyle w:val="557"/>
            </w:pPr>
            <w:r>
              <w:rPr>
                <w:rFonts w:hint="eastAsia"/>
              </w:rPr>
              <w:t>气化装置无组织排放</w:t>
            </w:r>
          </w:p>
        </w:tc>
        <w:tc>
          <w:tcPr>
            <w:tcW w:w="987" w:type="dxa"/>
            <w:noWrap/>
            <w:vAlign w:val="center"/>
          </w:tcPr>
          <w:p w14:paraId="363E9288">
            <w:pPr>
              <w:pStyle w:val="557"/>
            </w:pPr>
            <w:r>
              <w:rPr>
                <w:rFonts w:hint="eastAsia"/>
              </w:rPr>
              <w:t>0</w:t>
            </w:r>
          </w:p>
        </w:tc>
        <w:tc>
          <w:tcPr>
            <w:tcW w:w="987" w:type="dxa"/>
            <w:noWrap/>
            <w:vAlign w:val="center"/>
          </w:tcPr>
          <w:p w14:paraId="19884DF1">
            <w:pPr>
              <w:pStyle w:val="557"/>
            </w:pPr>
            <w:r>
              <w:rPr>
                <w:rFonts w:hint="eastAsia"/>
              </w:rPr>
              <w:t>65</w:t>
            </w:r>
          </w:p>
        </w:tc>
        <w:tc>
          <w:tcPr>
            <w:tcW w:w="986" w:type="dxa"/>
            <w:noWrap/>
            <w:vAlign w:val="center"/>
          </w:tcPr>
          <w:p w14:paraId="1D22C48F">
            <w:pPr>
              <w:pStyle w:val="557"/>
            </w:pPr>
            <w:r>
              <w:rPr>
                <w:rFonts w:hint="eastAsia"/>
              </w:rPr>
              <w:t>0</w:t>
            </w:r>
          </w:p>
        </w:tc>
        <w:tc>
          <w:tcPr>
            <w:tcW w:w="986" w:type="dxa"/>
            <w:noWrap/>
            <w:vAlign w:val="center"/>
          </w:tcPr>
          <w:p w14:paraId="59DB69A8">
            <w:pPr>
              <w:pStyle w:val="557"/>
            </w:pPr>
            <w:r>
              <w:rPr>
                <w:rFonts w:hint="eastAsia"/>
              </w:rPr>
              <w:t>0.00|0</w:t>
            </w:r>
          </w:p>
        </w:tc>
        <w:tc>
          <w:tcPr>
            <w:tcW w:w="986" w:type="dxa"/>
            <w:noWrap/>
            <w:vAlign w:val="center"/>
          </w:tcPr>
          <w:p w14:paraId="5171255A">
            <w:pPr>
              <w:pStyle w:val="557"/>
            </w:pPr>
            <w:r>
              <w:rPr>
                <w:rFonts w:hint="eastAsia"/>
              </w:rPr>
              <w:t>0.00|0</w:t>
            </w:r>
          </w:p>
        </w:tc>
        <w:tc>
          <w:tcPr>
            <w:tcW w:w="986" w:type="dxa"/>
            <w:noWrap/>
            <w:vAlign w:val="center"/>
          </w:tcPr>
          <w:p w14:paraId="7CB2C6EE">
            <w:pPr>
              <w:pStyle w:val="557"/>
            </w:pPr>
            <w:r>
              <w:rPr>
                <w:rFonts w:hint="eastAsia"/>
              </w:rPr>
              <w:t>0.00|0</w:t>
            </w:r>
          </w:p>
        </w:tc>
        <w:tc>
          <w:tcPr>
            <w:tcW w:w="986" w:type="dxa"/>
            <w:noWrap/>
            <w:vAlign w:val="center"/>
          </w:tcPr>
          <w:p w14:paraId="7186A579">
            <w:pPr>
              <w:pStyle w:val="557"/>
            </w:pPr>
            <w:r>
              <w:rPr>
                <w:rFonts w:hint="eastAsia"/>
              </w:rPr>
              <w:t>0.00|0</w:t>
            </w:r>
          </w:p>
        </w:tc>
        <w:tc>
          <w:tcPr>
            <w:tcW w:w="986" w:type="dxa"/>
            <w:noWrap/>
            <w:vAlign w:val="center"/>
          </w:tcPr>
          <w:p w14:paraId="55870D77">
            <w:pPr>
              <w:pStyle w:val="557"/>
            </w:pPr>
            <w:r>
              <w:rPr>
                <w:rFonts w:hint="eastAsia"/>
              </w:rPr>
              <w:t>0.00|0</w:t>
            </w:r>
          </w:p>
        </w:tc>
        <w:tc>
          <w:tcPr>
            <w:tcW w:w="986" w:type="dxa"/>
            <w:vAlign w:val="center"/>
          </w:tcPr>
          <w:p w14:paraId="391C6779">
            <w:pPr>
              <w:pStyle w:val="557"/>
            </w:pPr>
            <w:r>
              <w:rPr>
                <w:rFonts w:hint="eastAsia"/>
              </w:rPr>
              <w:t>6.34|0</w:t>
            </w:r>
          </w:p>
        </w:tc>
        <w:tc>
          <w:tcPr>
            <w:tcW w:w="986" w:type="dxa"/>
            <w:vAlign w:val="center"/>
          </w:tcPr>
          <w:p w14:paraId="11BA4D40">
            <w:pPr>
              <w:pStyle w:val="557"/>
            </w:pPr>
            <w:r>
              <w:rPr>
                <w:rFonts w:hint="eastAsia"/>
              </w:rPr>
              <w:t>13.00|125</w:t>
            </w:r>
          </w:p>
        </w:tc>
        <w:tc>
          <w:tcPr>
            <w:tcW w:w="986" w:type="dxa"/>
            <w:vAlign w:val="center"/>
          </w:tcPr>
          <w:p w14:paraId="33323DE2">
            <w:pPr>
              <w:pStyle w:val="557"/>
            </w:pPr>
            <w:r>
              <w:rPr>
                <w:rFonts w:hint="eastAsia"/>
              </w:rPr>
              <w:t>65.00|650</w:t>
            </w:r>
          </w:p>
        </w:tc>
        <w:tc>
          <w:tcPr>
            <w:tcW w:w="986" w:type="dxa"/>
            <w:vAlign w:val="center"/>
          </w:tcPr>
          <w:p w14:paraId="297CD255">
            <w:pPr>
              <w:pStyle w:val="557"/>
            </w:pPr>
            <w:r>
              <w:rPr>
                <w:rFonts w:hint="eastAsia"/>
              </w:rPr>
              <w:t>0.00|0</w:t>
            </w:r>
          </w:p>
        </w:tc>
      </w:tr>
      <w:tr w14:paraId="1CE6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241F6E6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22</w:t>
            </w:r>
          </w:p>
        </w:tc>
        <w:tc>
          <w:tcPr>
            <w:tcW w:w="1541" w:type="dxa"/>
            <w:noWrap/>
            <w:vAlign w:val="center"/>
          </w:tcPr>
          <w:p w14:paraId="64DBD0C4">
            <w:pPr>
              <w:pStyle w:val="557"/>
            </w:pPr>
            <w:r>
              <w:rPr>
                <w:rFonts w:hint="eastAsia"/>
              </w:rPr>
              <w:t>低温甲醇洗单元无组织排放</w:t>
            </w:r>
          </w:p>
        </w:tc>
        <w:tc>
          <w:tcPr>
            <w:tcW w:w="987" w:type="dxa"/>
            <w:noWrap/>
            <w:vAlign w:val="center"/>
          </w:tcPr>
          <w:p w14:paraId="5FE4DD7F">
            <w:pPr>
              <w:pStyle w:val="557"/>
            </w:pPr>
            <w:r>
              <w:rPr>
                <w:rFonts w:hint="eastAsia"/>
              </w:rPr>
              <w:t>0</w:t>
            </w:r>
          </w:p>
        </w:tc>
        <w:tc>
          <w:tcPr>
            <w:tcW w:w="987" w:type="dxa"/>
            <w:noWrap/>
            <w:vAlign w:val="center"/>
          </w:tcPr>
          <w:p w14:paraId="6A12395C">
            <w:pPr>
              <w:pStyle w:val="557"/>
            </w:pPr>
            <w:r>
              <w:rPr>
                <w:rFonts w:hint="eastAsia"/>
              </w:rPr>
              <w:t>46</w:t>
            </w:r>
          </w:p>
        </w:tc>
        <w:tc>
          <w:tcPr>
            <w:tcW w:w="986" w:type="dxa"/>
            <w:noWrap/>
            <w:vAlign w:val="center"/>
          </w:tcPr>
          <w:p w14:paraId="582F71A9">
            <w:pPr>
              <w:pStyle w:val="557"/>
            </w:pPr>
            <w:r>
              <w:rPr>
                <w:rFonts w:hint="eastAsia"/>
              </w:rPr>
              <w:t>0</w:t>
            </w:r>
          </w:p>
        </w:tc>
        <w:tc>
          <w:tcPr>
            <w:tcW w:w="986" w:type="dxa"/>
            <w:noWrap/>
            <w:vAlign w:val="center"/>
          </w:tcPr>
          <w:p w14:paraId="2F28482C">
            <w:pPr>
              <w:pStyle w:val="557"/>
            </w:pPr>
            <w:r>
              <w:rPr>
                <w:rFonts w:hint="eastAsia"/>
              </w:rPr>
              <w:t>0.00|0</w:t>
            </w:r>
          </w:p>
        </w:tc>
        <w:tc>
          <w:tcPr>
            <w:tcW w:w="986" w:type="dxa"/>
            <w:noWrap/>
            <w:vAlign w:val="center"/>
          </w:tcPr>
          <w:p w14:paraId="3765896A">
            <w:pPr>
              <w:pStyle w:val="557"/>
            </w:pPr>
            <w:r>
              <w:rPr>
                <w:rFonts w:hint="eastAsia"/>
              </w:rPr>
              <w:t>0.00|0</w:t>
            </w:r>
          </w:p>
        </w:tc>
        <w:tc>
          <w:tcPr>
            <w:tcW w:w="986" w:type="dxa"/>
            <w:noWrap/>
            <w:vAlign w:val="center"/>
          </w:tcPr>
          <w:p w14:paraId="4D5581A5">
            <w:pPr>
              <w:pStyle w:val="557"/>
            </w:pPr>
            <w:r>
              <w:rPr>
                <w:rFonts w:hint="eastAsia"/>
              </w:rPr>
              <w:t>0.00|0</w:t>
            </w:r>
          </w:p>
        </w:tc>
        <w:tc>
          <w:tcPr>
            <w:tcW w:w="986" w:type="dxa"/>
            <w:noWrap/>
            <w:vAlign w:val="center"/>
          </w:tcPr>
          <w:p w14:paraId="645B847C">
            <w:pPr>
              <w:pStyle w:val="557"/>
            </w:pPr>
            <w:r>
              <w:rPr>
                <w:rFonts w:hint="eastAsia"/>
              </w:rPr>
              <w:t>0.00|0</w:t>
            </w:r>
          </w:p>
        </w:tc>
        <w:tc>
          <w:tcPr>
            <w:tcW w:w="986" w:type="dxa"/>
            <w:noWrap/>
            <w:vAlign w:val="center"/>
          </w:tcPr>
          <w:p w14:paraId="25F67851">
            <w:pPr>
              <w:pStyle w:val="557"/>
            </w:pPr>
            <w:r>
              <w:rPr>
                <w:rFonts w:hint="eastAsia"/>
              </w:rPr>
              <w:t>0.00|0</w:t>
            </w:r>
          </w:p>
        </w:tc>
        <w:tc>
          <w:tcPr>
            <w:tcW w:w="986" w:type="dxa"/>
            <w:vAlign w:val="center"/>
          </w:tcPr>
          <w:p w14:paraId="7B728B25">
            <w:pPr>
              <w:pStyle w:val="557"/>
            </w:pPr>
            <w:r>
              <w:rPr>
                <w:rFonts w:hint="eastAsia"/>
              </w:rPr>
              <w:t>13.20|100</w:t>
            </w:r>
          </w:p>
        </w:tc>
        <w:tc>
          <w:tcPr>
            <w:tcW w:w="986" w:type="dxa"/>
            <w:vAlign w:val="center"/>
          </w:tcPr>
          <w:p w14:paraId="745114D5">
            <w:pPr>
              <w:pStyle w:val="557"/>
            </w:pPr>
            <w:r>
              <w:rPr>
                <w:rFonts w:hint="eastAsia"/>
              </w:rPr>
              <w:t>0.00|0</w:t>
            </w:r>
          </w:p>
        </w:tc>
        <w:tc>
          <w:tcPr>
            <w:tcW w:w="986" w:type="dxa"/>
            <w:vAlign w:val="center"/>
          </w:tcPr>
          <w:p w14:paraId="65991C19">
            <w:pPr>
              <w:pStyle w:val="557"/>
            </w:pPr>
            <w:r>
              <w:rPr>
                <w:rFonts w:hint="eastAsia"/>
              </w:rPr>
              <w:t>0.00|0</w:t>
            </w:r>
          </w:p>
        </w:tc>
        <w:tc>
          <w:tcPr>
            <w:tcW w:w="986" w:type="dxa"/>
            <w:vAlign w:val="center"/>
          </w:tcPr>
          <w:p w14:paraId="3DD7DA80">
            <w:pPr>
              <w:pStyle w:val="557"/>
            </w:pPr>
            <w:r>
              <w:rPr>
                <w:rFonts w:hint="eastAsia"/>
              </w:rPr>
              <w:t>0.00|0</w:t>
            </w:r>
          </w:p>
        </w:tc>
      </w:tr>
      <w:tr w14:paraId="306D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7EB86A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23</w:t>
            </w:r>
          </w:p>
        </w:tc>
        <w:tc>
          <w:tcPr>
            <w:tcW w:w="1541" w:type="dxa"/>
            <w:noWrap/>
            <w:vAlign w:val="center"/>
          </w:tcPr>
          <w:p w14:paraId="319AAE9C">
            <w:pPr>
              <w:pStyle w:val="557"/>
            </w:pPr>
            <w:r>
              <w:rPr>
                <w:rFonts w:hint="eastAsia"/>
              </w:rPr>
              <w:t>深冷分离单元无组织排放</w:t>
            </w:r>
          </w:p>
        </w:tc>
        <w:tc>
          <w:tcPr>
            <w:tcW w:w="987" w:type="dxa"/>
            <w:noWrap/>
            <w:vAlign w:val="center"/>
          </w:tcPr>
          <w:p w14:paraId="162951A5">
            <w:pPr>
              <w:pStyle w:val="557"/>
            </w:pPr>
            <w:r>
              <w:rPr>
                <w:rFonts w:hint="eastAsia"/>
              </w:rPr>
              <w:t>5</w:t>
            </w:r>
          </w:p>
        </w:tc>
        <w:tc>
          <w:tcPr>
            <w:tcW w:w="987" w:type="dxa"/>
            <w:noWrap/>
            <w:vAlign w:val="center"/>
          </w:tcPr>
          <w:p w14:paraId="4A2DD88B">
            <w:pPr>
              <w:pStyle w:val="557"/>
            </w:pPr>
            <w:r>
              <w:rPr>
                <w:rFonts w:hint="eastAsia"/>
              </w:rPr>
              <w:t>50</w:t>
            </w:r>
          </w:p>
        </w:tc>
        <w:tc>
          <w:tcPr>
            <w:tcW w:w="986" w:type="dxa"/>
            <w:noWrap/>
            <w:vAlign w:val="center"/>
          </w:tcPr>
          <w:p w14:paraId="5BD92FC6">
            <w:pPr>
              <w:pStyle w:val="557"/>
            </w:pPr>
            <w:r>
              <w:rPr>
                <w:rFonts w:hint="eastAsia"/>
              </w:rPr>
              <w:t>0</w:t>
            </w:r>
          </w:p>
        </w:tc>
        <w:tc>
          <w:tcPr>
            <w:tcW w:w="986" w:type="dxa"/>
            <w:noWrap/>
            <w:vAlign w:val="center"/>
          </w:tcPr>
          <w:p w14:paraId="360AB29F">
            <w:pPr>
              <w:pStyle w:val="557"/>
            </w:pPr>
            <w:r>
              <w:rPr>
                <w:rFonts w:hint="eastAsia"/>
              </w:rPr>
              <w:t>0.00|0</w:t>
            </w:r>
          </w:p>
        </w:tc>
        <w:tc>
          <w:tcPr>
            <w:tcW w:w="986" w:type="dxa"/>
            <w:noWrap/>
            <w:vAlign w:val="center"/>
          </w:tcPr>
          <w:p w14:paraId="5373429F">
            <w:pPr>
              <w:pStyle w:val="557"/>
            </w:pPr>
            <w:r>
              <w:rPr>
                <w:rFonts w:hint="eastAsia"/>
              </w:rPr>
              <w:t>0.00|0</w:t>
            </w:r>
          </w:p>
        </w:tc>
        <w:tc>
          <w:tcPr>
            <w:tcW w:w="986" w:type="dxa"/>
            <w:noWrap/>
            <w:vAlign w:val="center"/>
          </w:tcPr>
          <w:p w14:paraId="07CFA4D5">
            <w:pPr>
              <w:pStyle w:val="557"/>
            </w:pPr>
            <w:r>
              <w:rPr>
                <w:rFonts w:hint="eastAsia"/>
              </w:rPr>
              <w:t>0.00|0</w:t>
            </w:r>
          </w:p>
        </w:tc>
        <w:tc>
          <w:tcPr>
            <w:tcW w:w="986" w:type="dxa"/>
            <w:noWrap/>
            <w:vAlign w:val="center"/>
          </w:tcPr>
          <w:p w14:paraId="43F33567">
            <w:pPr>
              <w:pStyle w:val="557"/>
            </w:pPr>
            <w:r>
              <w:rPr>
                <w:rFonts w:hint="eastAsia"/>
              </w:rPr>
              <w:t>0.00|0</w:t>
            </w:r>
          </w:p>
        </w:tc>
        <w:tc>
          <w:tcPr>
            <w:tcW w:w="986" w:type="dxa"/>
            <w:noWrap/>
            <w:vAlign w:val="center"/>
          </w:tcPr>
          <w:p w14:paraId="645488D5">
            <w:pPr>
              <w:pStyle w:val="557"/>
            </w:pPr>
            <w:r>
              <w:rPr>
                <w:rFonts w:hint="eastAsia"/>
              </w:rPr>
              <w:t>0.00|0</w:t>
            </w:r>
          </w:p>
        </w:tc>
        <w:tc>
          <w:tcPr>
            <w:tcW w:w="986" w:type="dxa"/>
            <w:vAlign w:val="center"/>
          </w:tcPr>
          <w:p w14:paraId="1A123A1C">
            <w:pPr>
              <w:pStyle w:val="557"/>
            </w:pPr>
            <w:r>
              <w:rPr>
                <w:rFonts w:hint="eastAsia"/>
              </w:rPr>
              <w:t>10.76|50</w:t>
            </w:r>
          </w:p>
        </w:tc>
        <w:tc>
          <w:tcPr>
            <w:tcW w:w="986" w:type="dxa"/>
            <w:vAlign w:val="center"/>
          </w:tcPr>
          <w:p w14:paraId="484BF8C5">
            <w:pPr>
              <w:pStyle w:val="557"/>
            </w:pPr>
            <w:r>
              <w:rPr>
                <w:rFonts w:hint="eastAsia"/>
              </w:rPr>
              <w:t>0.00|0</w:t>
            </w:r>
          </w:p>
        </w:tc>
        <w:tc>
          <w:tcPr>
            <w:tcW w:w="986" w:type="dxa"/>
            <w:vAlign w:val="center"/>
          </w:tcPr>
          <w:p w14:paraId="25938B0A">
            <w:pPr>
              <w:pStyle w:val="557"/>
            </w:pPr>
            <w:r>
              <w:rPr>
                <w:rFonts w:hint="eastAsia"/>
              </w:rPr>
              <w:t>0.00|0</w:t>
            </w:r>
          </w:p>
        </w:tc>
        <w:tc>
          <w:tcPr>
            <w:tcW w:w="986" w:type="dxa"/>
            <w:vAlign w:val="center"/>
          </w:tcPr>
          <w:p w14:paraId="2849C092">
            <w:pPr>
              <w:pStyle w:val="557"/>
            </w:pPr>
            <w:r>
              <w:rPr>
                <w:rFonts w:hint="eastAsia"/>
              </w:rPr>
              <w:t>0.00|0</w:t>
            </w:r>
          </w:p>
        </w:tc>
      </w:tr>
      <w:tr w14:paraId="152E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7229E5C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24</w:t>
            </w:r>
          </w:p>
        </w:tc>
        <w:tc>
          <w:tcPr>
            <w:tcW w:w="1541" w:type="dxa"/>
            <w:noWrap/>
            <w:vAlign w:val="center"/>
          </w:tcPr>
          <w:p w14:paraId="4C600D48">
            <w:pPr>
              <w:pStyle w:val="557"/>
            </w:pPr>
            <w:r>
              <w:rPr>
                <w:rFonts w:hint="eastAsia"/>
              </w:rPr>
              <w:t>硫回收单元无组织排放</w:t>
            </w:r>
          </w:p>
        </w:tc>
        <w:tc>
          <w:tcPr>
            <w:tcW w:w="987" w:type="dxa"/>
            <w:noWrap/>
            <w:vAlign w:val="center"/>
          </w:tcPr>
          <w:p w14:paraId="1BEA59DA">
            <w:pPr>
              <w:pStyle w:val="557"/>
            </w:pPr>
            <w:r>
              <w:rPr>
                <w:rFonts w:hint="eastAsia"/>
              </w:rPr>
              <w:t>35</w:t>
            </w:r>
          </w:p>
        </w:tc>
        <w:tc>
          <w:tcPr>
            <w:tcW w:w="987" w:type="dxa"/>
            <w:noWrap/>
            <w:vAlign w:val="center"/>
          </w:tcPr>
          <w:p w14:paraId="0885B9BE">
            <w:pPr>
              <w:pStyle w:val="557"/>
            </w:pPr>
            <w:r>
              <w:rPr>
                <w:rFonts w:hint="eastAsia"/>
              </w:rPr>
              <w:t>53</w:t>
            </w:r>
          </w:p>
        </w:tc>
        <w:tc>
          <w:tcPr>
            <w:tcW w:w="986" w:type="dxa"/>
            <w:noWrap/>
            <w:vAlign w:val="center"/>
          </w:tcPr>
          <w:p w14:paraId="0D3374AF">
            <w:pPr>
              <w:pStyle w:val="557"/>
            </w:pPr>
            <w:r>
              <w:rPr>
                <w:rFonts w:hint="eastAsia"/>
              </w:rPr>
              <w:t>0</w:t>
            </w:r>
          </w:p>
        </w:tc>
        <w:tc>
          <w:tcPr>
            <w:tcW w:w="986" w:type="dxa"/>
            <w:noWrap/>
            <w:vAlign w:val="center"/>
          </w:tcPr>
          <w:p w14:paraId="0A101C11">
            <w:pPr>
              <w:pStyle w:val="557"/>
            </w:pPr>
            <w:r>
              <w:rPr>
                <w:rFonts w:hint="eastAsia"/>
              </w:rPr>
              <w:t>0.00|0</w:t>
            </w:r>
          </w:p>
        </w:tc>
        <w:tc>
          <w:tcPr>
            <w:tcW w:w="986" w:type="dxa"/>
            <w:noWrap/>
            <w:vAlign w:val="center"/>
          </w:tcPr>
          <w:p w14:paraId="27117E63">
            <w:pPr>
              <w:pStyle w:val="557"/>
            </w:pPr>
            <w:r>
              <w:rPr>
                <w:rFonts w:hint="eastAsia"/>
              </w:rPr>
              <w:t>0.00|0</w:t>
            </w:r>
          </w:p>
        </w:tc>
        <w:tc>
          <w:tcPr>
            <w:tcW w:w="986" w:type="dxa"/>
            <w:noWrap/>
            <w:vAlign w:val="center"/>
          </w:tcPr>
          <w:p w14:paraId="652A5702">
            <w:pPr>
              <w:pStyle w:val="557"/>
            </w:pPr>
            <w:r>
              <w:rPr>
                <w:rFonts w:hint="eastAsia"/>
              </w:rPr>
              <w:t>0.00|0</w:t>
            </w:r>
          </w:p>
        </w:tc>
        <w:tc>
          <w:tcPr>
            <w:tcW w:w="986" w:type="dxa"/>
            <w:noWrap/>
            <w:vAlign w:val="center"/>
          </w:tcPr>
          <w:p w14:paraId="2458C6AA">
            <w:pPr>
              <w:pStyle w:val="557"/>
            </w:pPr>
            <w:r>
              <w:rPr>
                <w:rFonts w:hint="eastAsia"/>
              </w:rPr>
              <w:t>0.00|0</w:t>
            </w:r>
          </w:p>
        </w:tc>
        <w:tc>
          <w:tcPr>
            <w:tcW w:w="986" w:type="dxa"/>
            <w:noWrap/>
            <w:vAlign w:val="center"/>
          </w:tcPr>
          <w:p w14:paraId="7CCA208D">
            <w:pPr>
              <w:pStyle w:val="557"/>
            </w:pPr>
            <w:r>
              <w:rPr>
                <w:rFonts w:hint="eastAsia"/>
              </w:rPr>
              <w:t>0.00|0</w:t>
            </w:r>
          </w:p>
        </w:tc>
        <w:tc>
          <w:tcPr>
            <w:tcW w:w="986" w:type="dxa"/>
            <w:vAlign w:val="center"/>
          </w:tcPr>
          <w:p w14:paraId="714FB549">
            <w:pPr>
              <w:pStyle w:val="557"/>
            </w:pPr>
            <w:r>
              <w:rPr>
                <w:rFonts w:hint="eastAsia"/>
              </w:rPr>
              <w:t>8.47|0</w:t>
            </w:r>
          </w:p>
        </w:tc>
        <w:tc>
          <w:tcPr>
            <w:tcW w:w="986" w:type="dxa"/>
            <w:vAlign w:val="center"/>
          </w:tcPr>
          <w:p w14:paraId="19EA994C">
            <w:pPr>
              <w:pStyle w:val="557"/>
            </w:pPr>
            <w:r>
              <w:rPr>
                <w:rFonts w:hint="eastAsia"/>
              </w:rPr>
              <w:t>0.00|0</w:t>
            </w:r>
          </w:p>
        </w:tc>
        <w:tc>
          <w:tcPr>
            <w:tcW w:w="986" w:type="dxa"/>
            <w:vAlign w:val="center"/>
          </w:tcPr>
          <w:p w14:paraId="5807C21D">
            <w:pPr>
              <w:pStyle w:val="557"/>
            </w:pPr>
            <w:r>
              <w:rPr>
                <w:rFonts w:hint="eastAsia"/>
              </w:rPr>
              <w:t>0.00|0</w:t>
            </w:r>
          </w:p>
        </w:tc>
        <w:tc>
          <w:tcPr>
            <w:tcW w:w="986" w:type="dxa"/>
            <w:vAlign w:val="center"/>
          </w:tcPr>
          <w:p w14:paraId="3CAEB3A5">
            <w:pPr>
              <w:pStyle w:val="557"/>
            </w:pPr>
            <w:r>
              <w:rPr>
                <w:rFonts w:hint="eastAsia"/>
              </w:rPr>
              <w:t>0.00|0</w:t>
            </w:r>
          </w:p>
        </w:tc>
      </w:tr>
      <w:tr w14:paraId="7DB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348AE3A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25</w:t>
            </w:r>
          </w:p>
        </w:tc>
        <w:tc>
          <w:tcPr>
            <w:tcW w:w="1541" w:type="dxa"/>
            <w:noWrap/>
            <w:vAlign w:val="center"/>
          </w:tcPr>
          <w:p w14:paraId="4F4BFD25">
            <w:pPr>
              <w:pStyle w:val="557"/>
            </w:pPr>
            <w:r>
              <w:rPr>
                <w:rFonts w:hint="eastAsia"/>
              </w:rPr>
              <w:t>合成氨装置无组织排放</w:t>
            </w:r>
          </w:p>
        </w:tc>
        <w:tc>
          <w:tcPr>
            <w:tcW w:w="987" w:type="dxa"/>
            <w:noWrap/>
            <w:vAlign w:val="center"/>
          </w:tcPr>
          <w:p w14:paraId="313B43DE">
            <w:pPr>
              <w:pStyle w:val="557"/>
            </w:pPr>
            <w:r>
              <w:rPr>
                <w:rFonts w:hint="eastAsia"/>
              </w:rPr>
              <w:t>35</w:t>
            </w:r>
          </w:p>
        </w:tc>
        <w:tc>
          <w:tcPr>
            <w:tcW w:w="987" w:type="dxa"/>
            <w:noWrap/>
            <w:vAlign w:val="center"/>
          </w:tcPr>
          <w:p w14:paraId="49A763CE">
            <w:pPr>
              <w:pStyle w:val="557"/>
            </w:pPr>
            <w:r>
              <w:rPr>
                <w:rFonts w:hint="eastAsia"/>
              </w:rPr>
              <w:t>53</w:t>
            </w:r>
          </w:p>
        </w:tc>
        <w:tc>
          <w:tcPr>
            <w:tcW w:w="986" w:type="dxa"/>
            <w:noWrap/>
            <w:vAlign w:val="center"/>
          </w:tcPr>
          <w:p w14:paraId="35ACAC9B">
            <w:pPr>
              <w:pStyle w:val="557"/>
            </w:pPr>
            <w:r>
              <w:rPr>
                <w:rFonts w:hint="eastAsia"/>
              </w:rPr>
              <w:t>0</w:t>
            </w:r>
          </w:p>
        </w:tc>
        <w:tc>
          <w:tcPr>
            <w:tcW w:w="986" w:type="dxa"/>
            <w:noWrap/>
            <w:vAlign w:val="center"/>
          </w:tcPr>
          <w:p w14:paraId="3C6676D3">
            <w:pPr>
              <w:pStyle w:val="557"/>
            </w:pPr>
            <w:r>
              <w:rPr>
                <w:rFonts w:hint="eastAsia"/>
              </w:rPr>
              <w:t>0.00|0</w:t>
            </w:r>
          </w:p>
        </w:tc>
        <w:tc>
          <w:tcPr>
            <w:tcW w:w="986" w:type="dxa"/>
            <w:noWrap/>
            <w:vAlign w:val="center"/>
          </w:tcPr>
          <w:p w14:paraId="41E93F30">
            <w:pPr>
              <w:pStyle w:val="557"/>
            </w:pPr>
            <w:r>
              <w:rPr>
                <w:rFonts w:hint="eastAsia"/>
              </w:rPr>
              <w:t>0.00|0</w:t>
            </w:r>
          </w:p>
        </w:tc>
        <w:tc>
          <w:tcPr>
            <w:tcW w:w="986" w:type="dxa"/>
            <w:noWrap/>
            <w:vAlign w:val="center"/>
          </w:tcPr>
          <w:p w14:paraId="2C29F9AB">
            <w:pPr>
              <w:pStyle w:val="557"/>
            </w:pPr>
            <w:r>
              <w:rPr>
                <w:rFonts w:hint="eastAsia"/>
              </w:rPr>
              <w:t>0.00|0</w:t>
            </w:r>
          </w:p>
        </w:tc>
        <w:tc>
          <w:tcPr>
            <w:tcW w:w="986" w:type="dxa"/>
            <w:noWrap/>
            <w:vAlign w:val="center"/>
          </w:tcPr>
          <w:p w14:paraId="615BD7CE">
            <w:pPr>
              <w:pStyle w:val="557"/>
            </w:pPr>
            <w:r>
              <w:rPr>
                <w:rFonts w:hint="eastAsia"/>
              </w:rPr>
              <w:t>0.00|0</w:t>
            </w:r>
          </w:p>
        </w:tc>
        <w:tc>
          <w:tcPr>
            <w:tcW w:w="986" w:type="dxa"/>
            <w:noWrap/>
            <w:vAlign w:val="center"/>
          </w:tcPr>
          <w:p w14:paraId="1B72ED01">
            <w:pPr>
              <w:pStyle w:val="557"/>
            </w:pPr>
            <w:r>
              <w:rPr>
                <w:rFonts w:hint="eastAsia"/>
              </w:rPr>
              <w:t>0.00|0</w:t>
            </w:r>
          </w:p>
        </w:tc>
        <w:tc>
          <w:tcPr>
            <w:tcW w:w="986" w:type="dxa"/>
            <w:vAlign w:val="center"/>
          </w:tcPr>
          <w:p w14:paraId="22FAF9CF">
            <w:pPr>
              <w:pStyle w:val="557"/>
            </w:pPr>
            <w:r>
              <w:rPr>
                <w:rFonts w:hint="eastAsia"/>
              </w:rPr>
              <w:t>1.30|0</w:t>
            </w:r>
          </w:p>
        </w:tc>
        <w:tc>
          <w:tcPr>
            <w:tcW w:w="986" w:type="dxa"/>
            <w:vAlign w:val="center"/>
          </w:tcPr>
          <w:p w14:paraId="114E47C1">
            <w:pPr>
              <w:pStyle w:val="557"/>
            </w:pPr>
            <w:r>
              <w:rPr>
                <w:rFonts w:hint="eastAsia"/>
              </w:rPr>
              <w:t>8.47|0</w:t>
            </w:r>
          </w:p>
        </w:tc>
        <w:tc>
          <w:tcPr>
            <w:tcW w:w="986" w:type="dxa"/>
            <w:vAlign w:val="center"/>
          </w:tcPr>
          <w:p w14:paraId="03236A85">
            <w:pPr>
              <w:pStyle w:val="557"/>
            </w:pPr>
            <w:r>
              <w:rPr>
                <w:rFonts w:hint="eastAsia"/>
              </w:rPr>
              <w:t>0.00|0</w:t>
            </w:r>
          </w:p>
        </w:tc>
        <w:tc>
          <w:tcPr>
            <w:tcW w:w="986" w:type="dxa"/>
            <w:vAlign w:val="center"/>
          </w:tcPr>
          <w:p w14:paraId="00BA14A9">
            <w:pPr>
              <w:pStyle w:val="557"/>
            </w:pPr>
            <w:r>
              <w:rPr>
                <w:rFonts w:hint="eastAsia"/>
              </w:rPr>
              <w:t>0.00|0</w:t>
            </w:r>
          </w:p>
        </w:tc>
      </w:tr>
      <w:tr w14:paraId="61D2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7C4D0F5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26</w:t>
            </w:r>
          </w:p>
        </w:tc>
        <w:tc>
          <w:tcPr>
            <w:tcW w:w="1541" w:type="dxa"/>
            <w:noWrap/>
            <w:vAlign w:val="center"/>
          </w:tcPr>
          <w:p w14:paraId="33527C82">
            <w:pPr>
              <w:pStyle w:val="557"/>
            </w:pPr>
            <w:r>
              <w:rPr>
                <w:rFonts w:hint="eastAsia"/>
              </w:rPr>
              <w:t>DMO装置无组织废气</w:t>
            </w:r>
          </w:p>
        </w:tc>
        <w:tc>
          <w:tcPr>
            <w:tcW w:w="987" w:type="dxa"/>
            <w:noWrap/>
            <w:vAlign w:val="center"/>
          </w:tcPr>
          <w:p w14:paraId="7E7F6376">
            <w:pPr>
              <w:pStyle w:val="557"/>
            </w:pPr>
            <w:r>
              <w:rPr>
                <w:rFonts w:hint="eastAsia"/>
              </w:rPr>
              <w:t>5</w:t>
            </w:r>
          </w:p>
        </w:tc>
        <w:tc>
          <w:tcPr>
            <w:tcW w:w="987" w:type="dxa"/>
            <w:noWrap/>
            <w:vAlign w:val="center"/>
          </w:tcPr>
          <w:p w14:paraId="781796B5">
            <w:pPr>
              <w:pStyle w:val="557"/>
            </w:pPr>
            <w:r>
              <w:rPr>
                <w:rFonts w:hint="eastAsia"/>
              </w:rPr>
              <w:t>50</w:t>
            </w:r>
          </w:p>
        </w:tc>
        <w:tc>
          <w:tcPr>
            <w:tcW w:w="986" w:type="dxa"/>
            <w:noWrap/>
            <w:vAlign w:val="center"/>
          </w:tcPr>
          <w:p w14:paraId="3BFD8CE0">
            <w:pPr>
              <w:pStyle w:val="557"/>
            </w:pPr>
            <w:r>
              <w:rPr>
                <w:rFonts w:hint="eastAsia"/>
              </w:rPr>
              <w:t>0</w:t>
            </w:r>
          </w:p>
        </w:tc>
        <w:tc>
          <w:tcPr>
            <w:tcW w:w="986" w:type="dxa"/>
            <w:noWrap/>
            <w:vAlign w:val="center"/>
          </w:tcPr>
          <w:p w14:paraId="09122F3E">
            <w:pPr>
              <w:pStyle w:val="557"/>
            </w:pPr>
            <w:r>
              <w:rPr>
                <w:rFonts w:hint="eastAsia"/>
              </w:rPr>
              <w:t>0.00|0</w:t>
            </w:r>
          </w:p>
        </w:tc>
        <w:tc>
          <w:tcPr>
            <w:tcW w:w="986" w:type="dxa"/>
            <w:noWrap/>
            <w:vAlign w:val="center"/>
          </w:tcPr>
          <w:p w14:paraId="19AB040A">
            <w:pPr>
              <w:pStyle w:val="557"/>
            </w:pPr>
            <w:r>
              <w:rPr>
                <w:rFonts w:hint="eastAsia"/>
              </w:rPr>
              <w:t>0.00|0</w:t>
            </w:r>
          </w:p>
        </w:tc>
        <w:tc>
          <w:tcPr>
            <w:tcW w:w="986" w:type="dxa"/>
            <w:noWrap/>
            <w:vAlign w:val="center"/>
          </w:tcPr>
          <w:p w14:paraId="50C6B50B">
            <w:pPr>
              <w:pStyle w:val="557"/>
            </w:pPr>
            <w:r>
              <w:rPr>
                <w:rFonts w:hint="eastAsia"/>
              </w:rPr>
              <w:t>0.00|0</w:t>
            </w:r>
          </w:p>
        </w:tc>
        <w:tc>
          <w:tcPr>
            <w:tcW w:w="986" w:type="dxa"/>
            <w:noWrap/>
            <w:vAlign w:val="center"/>
          </w:tcPr>
          <w:p w14:paraId="721C56C9">
            <w:pPr>
              <w:pStyle w:val="557"/>
            </w:pPr>
            <w:r>
              <w:rPr>
                <w:rFonts w:hint="eastAsia"/>
              </w:rPr>
              <w:t>0.00|0</w:t>
            </w:r>
          </w:p>
        </w:tc>
        <w:tc>
          <w:tcPr>
            <w:tcW w:w="986" w:type="dxa"/>
            <w:noWrap/>
            <w:vAlign w:val="center"/>
          </w:tcPr>
          <w:p w14:paraId="443A5D86">
            <w:pPr>
              <w:pStyle w:val="557"/>
            </w:pPr>
            <w:r>
              <w:rPr>
                <w:rFonts w:hint="eastAsia"/>
              </w:rPr>
              <w:t>0.00|0</w:t>
            </w:r>
          </w:p>
        </w:tc>
        <w:tc>
          <w:tcPr>
            <w:tcW w:w="986" w:type="dxa"/>
            <w:vAlign w:val="center"/>
          </w:tcPr>
          <w:p w14:paraId="0E22A4F1">
            <w:pPr>
              <w:pStyle w:val="557"/>
            </w:pPr>
            <w:r>
              <w:rPr>
                <w:rFonts w:hint="eastAsia"/>
              </w:rPr>
              <w:t>9.99|0</w:t>
            </w:r>
          </w:p>
        </w:tc>
        <w:tc>
          <w:tcPr>
            <w:tcW w:w="986" w:type="dxa"/>
            <w:vAlign w:val="center"/>
          </w:tcPr>
          <w:p w14:paraId="621E5B0F">
            <w:pPr>
              <w:pStyle w:val="557"/>
            </w:pPr>
            <w:r>
              <w:rPr>
                <w:rFonts w:hint="eastAsia"/>
              </w:rPr>
              <w:t>0.00|0</w:t>
            </w:r>
          </w:p>
        </w:tc>
        <w:tc>
          <w:tcPr>
            <w:tcW w:w="986" w:type="dxa"/>
            <w:vAlign w:val="center"/>
          </w:tcPr>
          <w:p w14:paraId="4198406A">
            <w:pPr>
              <w:pStyle w:val="557"/>
            </w:pPr>
            <w:r>
              <w:rPr>
                <w:rFonts w:hint="eastAsia"/>
              </w:rPr>
              <w:t>0.00|0</w:t>
            </w:r>
          </w:p>
        </w:tc>
        <w:tc>
          <w:tcPr>
            <w:tcW w:w="986" w:type="dxa"/>
            <w:vAlign w:val="center"/>
          </w:tcPr>
          <w:p w14:paraId="08EC06EA">
            <w:pPr>
              <w:pStyle w:val="557"/>
            </w:pPr>
            <w:r>
              <w:rPr>
                <w:rFonts w:hint="eastAsia"/>
              </w:rPr>
              <w:t>0.00|0</w:t>
            </w:r>
          </w:p>
        </w:tc>
      </w:tr>
      <w:tr w14:paraId="32F5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509AB65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27</w:t>
            </w:r>
          </w:p>
        </w:tc>
        <w:tc>
          <w:tcPr>
            <w:tcW w:w="1541" w:type="dxa"/>
            <w:noWrap/>
            <w:vAlign w:val="center"/>
          </w:tcPr>
          <w:p w14:paraId="5A51DDED">
            <w:pPr>
              <w:pStyle w:val="557"/>
            </w:pPr>
            <w:r>
              <w:rPr>
                <w:rFonts w:hint="eastAsia"/>
              </w:rPr>
              <w:t>草酰胺装置无组织排放</w:t>
            </w:r>
          </w:p>
        </w:tc>
        <w:tc>
          <w:tcPr>
            <w:tcW w:w="987" w:type="dxa"/>
            <w:noWrap/>
            <w:vAlign w:val="center"/>
          </w:tcPr>
          <w:p w14:paraId="11BBC164">
            <w:pPr>
              <w:pStyle w:val="557"/>
            </w:pPr>
            <w:r>
              <w:rPr>
                <w:rFonts w:hint="eastAsia"/>
              </w:rPr>
              <w:t>40</w:t>
            </w:r>
          </w:p>
        </w:tc>
        <w:tc>
          <w:tcPr>
            <w:tcW w:w="987" w:type="dxa"/>
            <w:noWrap/>
            <w:vAlign w:val="center"/>
          </w:tcPr>
          <w:p w14:paraId="6AF6C934">
            <w:pPr>
              <w:pStyle w:val="557"/>
            </w:pPr>
            <w:r>
              <w:rPr>
                <w:rFonts w:hint="eastAsia"/>
              </w:rPr>
              <w:t>66</w:t>
            </w:r>
          </w:p>
        </w:tc>
        <w:tc>
          <w:tcPr>
            <w:tcW w:w="986" w:type="dxa"/>
            <w:noWrap/>
            <w:vAlign w:val="center"/>
          </w:tcPr>
          <w:p w14:paraId="1891D2B8">
            <w:pPr>
              <w:pStyle w:val="557"/>
            </w:pPr>
            <w:r>
              <w:rPr>
                <w:rFonts w:hint="eastAsia"/>
              </w:rPr>
              <w:t>0</w:t>
            </w:r>
          </w:p>
        </w:tc>
        <w:tc>
          <w:tcPr>
            <w:tcW w:w="986" w:type="dxa"/>
            <w:noWrap/>
            <w:vAlign w:val="center"/>
          </w:tcPr>
          <w:p w14:paraId="2D4D9604">
            <w:pPr>
              <w:pStyle w:val="557"/>
            </w:pPr>
            <w:r>
              <w:rPr>
                <w:rFonts w:hint="eastAsia"/>
              </w:rPr>
              <w:t>0.00|0</w:t>
            </w:r>
          </w:p>
        </w:tc>
        <w:tc>
          <w:tcPr>
            <w:tcW w:w="986" w:type="dxa"/>
            <w:noWrap/>
            <w:vAlign w:val="center"/>
          </w:tcPr>
          <w:p w14:paraId="1480E1A3">
            <w:pPr>
              <w:pStyle w:val="557"/>
            </w:pPr>
            <w:r>
              <w:rPr>
                <w:rFonts w:hint="eastAsia"/>
              </w:rPr>
              <w:t>0.00|0</w:t>
            </w:r>
          </w:p>
        </w:tc>
        <w:tc>
          <w:tcPr>
            <w:tcW w:w="986" w:type="dxa"/>
            <w:noWrap/>
            <w:vAlign w:val="center"/>
          </w:tcPr>
          <w:p w14:paraId="2F5CD6F3">
            <w:pPr>
              <w:pStyle w:val="557"/>
            </w:pPr>
            <w:r>
              <w:rPr>
                <w:rFonts w:hint="eastAsia"/>
              </w:rPr>
              <w:t>0.00|0</w:t>
            </w:r>
          </w:p>
        </w:tc>
        <w:tc>
          <w:tcPr>
            <w:tcW w:w="986" w:type="dxa"/>
            <w:noWrap/>
            <w:vAlign w:val="center"/>
          </w:tcPr>
          <w:p w14:paraId="17AEEC9D">
            <w:pPr>
              <w:pStyle w:val="557"/>
            </w:pPr>
            <w:r>
              <w:rPr>
                <w:rFonts w:hint="eastAsia"/>
              </w:rPr>
              <w:t>0.00|0</w:t>
            </w:r>
          </w:p>
        </w:tc>
        <w:tc>
          <w:tcPr>
            <w:tcW w:w="986" w:type="dxa"/>
            <w:noWrap/>
            <w:vAlign w:val="center"/>
          </w:tcPr>
          <w:p w14:paraId="2CB80FB0">
            <w:pPr>
              <w:pStyle w:val="557"/>
            </w:pPr>
            <w:r>
              <w:rPr>
                <w:rFonts w:hint="eastAsia"/>
              </w:rPr>
              <w:t>0.00|0</w:t>
            </w:r>
          </w:p>
        </w:tc>
        <w:tc>
          <w:tcPr>
            <w:tcW w:w="986" w:type="dxa"/>
            <w:vAlign w:val="center"/>
          </w:tcPr>
          <w:p w14:paraId="2C3EA5CF">
            <w:pPr>
              <w:pStyle w:val="557"/>
            </w:pPr>
            <w:r>
              <w:rPr>
                <w:rFonts w:hint="eastAsia"/>
              </w:rPr>
              <w:t>7.66|0</w:t>
            </w:r>
          </w:p>
        </w:tc>
        <w:tc>
          <w:tcPr>
            <w:tcW w:w="986" w:type="dxa"/>
            <w:vAlign w:val="center"/>
          </w:tcPr>
          <w:p w14:paraId="7A6BCBFD">
            <w:pPr>
              <w:pStyle w:val="557"/>
            </w:pPr>
            <w:r>
              <w:rPr>
                <w:rFonts w:hint="eastAsia"/>
              </w:rPr>
              <w:t>0.00|0</w:t>
            </w:r>
          </w:p>
        </w:tc>
        <w:tc>
          <w:tcPr>
            <w:tcW w:w="986" w:type="dxa"/>
            <w:vAlign w:val="center"/>
          </w:tcPr>
          <w:p w14:paraId="147DA84B">
            <w:pPr>
              <w:pStyle w:val="557"/>
            </w:pPr>
            <w:r>
              <w:rPr>
                <w:rFonts w:hint="eastAsia"/>
              </w:rPr>
              <w:t>0.00|0</w:t>
            </w:r>
          </w:p>
        </w:tc>
        <w:tc>
          <w:tcPr>
            <w:tcW w:w="986" w:type="dxa"/>
            <w:vAlign w:val="center"/>
          </w:tcPr>
          <w:p w14:paraId="33ADF0A1">
            <w:pPr>
              <w:pStyle w:val="557"/>
            </w:pPr>
            <w:r>
              <w:rPr>
                <w:rFonts w:hint="eastAsia"/>
              </w:rPr>
              <w:t>0.00|0</w:t>
            </w:r>
          </w:p>
        </w:tc>
      </w:tr>
      <w:tr w14:paraId="5A64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35FBEF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28</w:t>
            </w:r>
          </w:p>
        </w:tc>
        <w:tc>
          <w:tcPr>
            <w:tcW w:w="1541" w:type="dxa"/>
            <w:noWrap/>
            <w:vAlign w:val="center"/>
          </w:tcPr>
          <w:p w14:paraId="0B2CC951">
            <w:pPr>
              <w:pStyle w:val="557"/>
            </w:pPr>
            <w:r>
              <w:rPr>
                <w:rFonts w:hint="eastAsia"/>
              </w:rPr>
              <w:t>污水处理站（无组织排放）</w:t>
            </w:r>
          </w:p>
        </w:tc>
        <w:tc>
          <w:tcPr>
            <w:tcW w:w="987" w:type="dxa"/>
            <w:noWrap/>
            <w:vAlign w:val="center"/>
          </w:tcPr>
          <w:p w14:paraId="5033F0E1">
            <w:pPr>
              <w:pStyle w:val="557"/>
            </w:pPr>
            <w:r>
              <w:rPr>
                <w:rFonts w:hint="eastAsia"/>
              </w:rPr>
              <w:t>5</w:t>
            </w:r>
          </w:p>
        </w:tc>
        <w:tc>
          <w:tcPr>
            <w:tcW w:w="987" w:type="dxa"/>
            <w:noWrap/>
            <w:vAlign w:val="center"/>
          </w:tcPr>
          <w:p w14:paraId="73ACDA60">
            <w:pPr>
              <w:pStyle w:val="557"/>
            </w:pPr>
            <w:r>
              <w:rPr>
                <w:rFonts w:hint="eastAsia"/>
              </w:rPr>
              <w:t>41</w:t>
            </w:r>
          </w:p>
        </w:tc>
        <w:tc>
          <w:tcPr>
            <w:tcW w:w="986" w:type="dxa"/>
            <w:noWrap/>
            <w:vAlign w:val="center"/>
          </w:tcPr>
          <w:p w14:paraId="494291A1">
            <w:pPr>
              <w:pStyle w:val="557"/>
            </w:pPr>
            <w:r>
              <w:rPr>
                <w:rFonts w:hint="eastAsia"/>
              </w:rPr>
              <w:t>0</w:t>
            </w:r>
          </w:p>
        </w:tc>
        <w:tc>
          <w:tcPr>
            <w:tcW w:w="986" w:type="dxa"/>
            <w:noWrap/>
            <w:vAlign w:val="center"/>
          </w:tcPr>
          <w:p w14:paraId="19D9B7F7">
            <w:pPr>
              <w:pStyle w:val="557"/>
            </w:pPr>
            <w:r>
              <w:rPr>
                <w:rFonts w:hint="eastAsia"/>
              </w:rPr>
              <w:t>0.00|0</w:t>
            </w:r>
          </w:p>
        </w:tc>
        <w:tc>
          <w:tcPr>
            <w:tcW w:w="986" w:type="dxa"/>
            <w:noWrap/>
            <w:vAlign w:val="center"/>
          </w:tcPr>
          <w:p w14:paraId="5073367A">
            <w:pPr>
              <w:pStyle w:val="557"/>
            </w:pPr>
            <w:r>
              <w:rPr>
                <w:rFonts w:hint="eastAsia"/>
              </w:rPr>
              <w:t>0.00|0</w:t>
            </w:r>
          </w:p>
        </w:tc>
        <w:tc>
          <w:tcPr>
            <w:tcW w:w="986" w:type="dxa"/>
            <w:noWrap/>
            <w:vAlign w:val="center"/>
          </w:tcPr>
          <w:p w14:paraId="6EFDC58D">
            <w:pPr>
              <w:pStyle w:val="557"/>
            </w:pPr>
            <w:r>
              <w:rPr>
                <w:rFonts w:hint="eastAsia"/>
              </w:rPr>
              <w:t>0.00|0</w:t>
            </w:r>
          </w:p>
        </w:tc>
        <w:tc>
          <w:tcPr>
            <w:tcW w:w="986" w:type="dxa"/>
            <w:noWrap/>
            <w:vAlign w:val="center"/>
          </w:tcPr>
          <w:p w14:paraId="1890AD42">
            <w:pPr>
              <w:pStyle w:val="557"/>
            </w:pPr>
            <w:r>
              <w:rPr>
                <w:rFonts w:hint="eastAsia"/>
              </w:rPr>
              <w:t>0.00|0</w:t>
            </w:r>
          </w:p>
        </w:tc>
        <w:tc>
          <w:tcPr>
            <w:tcW w:w="986" w:type="dxa"/>
            <w:noWrap/>
            <w:vAlign w:val="center"/>
          </w:tcPr>
          <w:p w14:paraId="01537A59">
            <w:pPr>
              <w:pStyle w:val="557"/>
            </w:pPr>
            <w:r>
              <w:rPr>
                <w:rFonts w:hint="eastAsia"/>
              </w:rPr>
              <w:t>0.00|0</w:t>
            </w:r>
          </w:p>
        </w:tc>
        <w:tc>
          <w:tcPr>
            <w:tcW w:w="986" w:type="dxa"/>
            <w:vAlign w:val="center"/>
          </w:tcPr>
          <w:p w14:paraId="7A8952BD">
            <w:pPr>
              <w:pStyle w:val="557"/>
            </w:pPr>
            <w:r>
              <w:rPr>
                <w:rFonts w:hint="eastAsia"/>
              </w:rPr>
              <w:t>6.72|0</w:t>
            </w:r>
          </w:p>
        </w:tc>
        <w:tc>
          <w:tcPr>
            <w:tcW w:w="986" w:type="dxa"/>
            <w:vAlign w:val="center"/>
          </w:tcPr>
          <w:p w14:paraId="01381586">
            <w:pPr>
              <w:pStyle w:val="557"/>
            </w:pPr>
            <w:r>
              <w:rPr>
                <w:rFonts w:hint="eastAsia"/>
              </w:rPr>
              <w:t>0.43|0</w:t>
            </w:r>
          </w:p>
        </w:tc>
        <w:tc>
          <w:tcPr>
            <w:tcW w:w="986" w:type="dxa"/>
            <w:vAlign w:val="center"/>
          </w:tcPr>
          <w:p w14:paraId="5F9E743E">
            <w:pPr>
              <w:pStyle w:val="557"/>
            </w:pPr>
            <w:r>
              <w:rPr>
                <w:rFonts w:hint="eastAsia"/>
              </w:rPr>
              <w:t>4.33|0</w:t>
            </w:r>
          </w:p>
        </w:tc>
        <w:tc>
          <w:tcPr>
            <w:tcW w:w="986" w:type="dxa"/>
            <w:vAlign w:val="center"/>
          </w:tcPr>
          <w:p w14:paraId="5CDE6210">
            <w:pPr>
              <w:pStyle w:val="557"/>
            </w:pPr>
            <w:r>
              <w:rPr>
                <w:rFonts w:hint="eastAsia"/>
              </w:rPr>
              <w:t>0.00|0</w:t>
            </w:r>
          </w:p>
        </w:tc>
      </w:tr>
      <w:tr w14:paraId="63F9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C3AB39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29</w:t>
            </w:r>
          </w:p>
        </w:tc>
        <w:tc>
          <w:tcPr>
            <w:tcW w:w="1541" w:type="dxa"/>
            <w:noWrap/>
            <w:vAlign w:val="center"/>
          </w:tcPr>
          <w:p w14:paraId="23090C3D">
            <w:pPr>
              <w:pStyle w:val="557"/>
            </w:pPr>
            <w:r>
              <w:rPr>
                <w:rFonts w:hint="eastAsia"/>
              </w:rPr>
              <w:t>循环水场</w:t>
            </w:r>
          </w:p>
        </w:tc>
        <w:tc>
          <w:tcPr>
            <w:tcW w:w="987" w:type="dxa"/>
            <w:noWrap/>
            <w:vAlign w:val="center"/>
          </w:tcPr>
          <w:p w14:paraId="2D274C37">
            <w:pPr>
              <w:pStyle w:val="557"/>
            </w:pPr>
            <w:r>
              <w:rPr>
                <w:rFonts w:hint="eastAsia"/>
              </w:rPr>
              <w:t>5</w:t>
            </w:r>
          </w:p>
        </w:tc>
        <w:tc>
          <w:tcPr>
            <w:tcW w:w="987" w:type="dxa"/>
            <w:noWrap/>
            <w:vAlign w:val="center"/>
          </w:tcPr>
          <w:p w14:paraId="57A39B77">
            <w:pPr>
              <w:pStyle w:val="557"/>
            </w:pPr>
            <w:r>
              <w:rPr>
                <w:rFonts w:hint="eastAsia"/>
              </w:rPr>
              <w:t>41</w:t>
            </w:r>
          </w:p>
        </w:tc>
        <w:tc>
          <w:tcPr>
            <w:tcW w:w="986" w:type="dxa"/>
            <w:noWrap/>
            <w:vAlign w:val="center"/>
          </w:tcPr>
          <w:p w14:paraId="3A901AFE">
            <w:pPr>
              <w:pStyle w:val="557"/>
            </w:pPr>
            <w:r>
              <w:rPr>
                <w:rFonts w:hint="eastAsia"/>
              </w:rPr>
              <w:t>0</w:t>
            </w:r>
          </w:p>
        </w:tc>
        <w:tc>
          <w:tcPr>
            <w:tcW w:w="986" w:type="dxa"/>
            <w:noWrap/>
            <w:vAlign w:val="center"/>
          </w:tcPr>
          <w:p w14:paraId="4568584B">
            <w:pPr>
              <w:pStyle w:val="557"/>
            </w:pPr>
            <w:r>
              <w:rPr>
                <w:rFonts w:hint="eastAsia"/>
              </w:rPr>
              <w:t>0.00|0</w:t>
            </w:r>
          </w:p>
        </w:tc>
        <w:tc>
          <w:tcPr>
            <w:tcW w:w="986" w:type="dxa"/>
            <w:noWrap/>
            <w:vAlign w:val="center"/>
          </w:tcPr>
          <w:p w14:paraId="4F0FFCCD">
            <w:pPr>
              <w:pStyle w:val="557"/>
            </w:pPr>
            <w:r>
              <w:rPr>
                <w:rFonts w:hint="eastAsia"/>
              </w:rPr>
              <w:t>0.00|0</w:t>
            </w:r>
          </w:p>
        </w:tc>
        <w:tc>
          <w:tcPr>
            <w:tcW w:w="986" w:type="dxa"/>
            <w:noWrap/>
            <w:vAlign w:val="center"/>
          </w:tcPr>
          <w:p w14:paraId="33623038">
            <w:pPr>
              <w:pStyle w:val="557"/>
            </w:pPr>
            <w:r>
              <w:rPr>
                <w:rFonts w:hint="eastAsia"/>
              </w:rPr>
              <w:t>0.00|0</w:t>
            </w:r>
          </w:p>
        </w:tc>
        <w:tc>
          <w:tcPr>
            <w:tcW w:w="986" w:type="dxa"/>
            <w:noWrap/>
            <w:vAlign w:val="center"/>
          </w:tcPr>
          <w:p w14:paraId="58E0B5D3">
            <w:pPr>
              <w:pStyle w:val="557"/>
            </w:pPr>
            <w:r>
              <w:rPr>
                <w:rFonts w:hint="eastAsia"/>
              </w:rPr>
              <w:t>0.00|0</w:t>
            </w:r>
          </w:p>
        </w:tc>
        <w:tc>
          <w:tcPr>
            <w:tcW w:w="986" w:type="dxa"/>
            <w:noWrap/>
            <w:vAlign w:val="center"/>
          </w:tcPr>
          <w:p w14:paraId="3FAC458E">
            <w:pPr>
              <w:pStyle w:val="557"/>
            </w:pPr>
            <w:r>
              <w:rPr>
                <w:rFonts w:hint="eastAsia"/>
              </w:rPr>
              <w:t>0.00|0</w:t>
            </w:r>
          </w:p>
        </w:tc>
        <w:tc>
          <w:tcPr>
            <w:tcW w:w="986" w:type="dxa"/>
            <w:vAlign w:val="center"/>
          </w:tcPr>
          <w:p w14:paraId="4EF533A0">
            <w:pPr>
              <w:pStyle w:val="557"/>
            </w:pPr>
            <w:r>
              <w:rPr>
                <w:rFonts w:hint="eastAsia"/>
              </w:rPr>
              <w:t>72.83|575</w:t>
            </w:r>
          </w:p>
        </w:tc>
        <w:tc>
          <w:tcPr>
            <w:tcW w:w="986" w:type="dxa"/>
            <w:vAlign w:val="center"/>
          </w:tcPr>
          <w:p w14:paraId="2FCA4F34">
            <w:pPr>
              <w:pStyle w:val="557"/>
            </w:pPr>
            <w:r>
              <w:rPr>
                <w:rFonts w:hint="eastAsia"/>
              </w:rPr>
              <w:t>0.00|0</w:t>
            </w:r>
          </w:p>
        </w:tc>
        <w:tc>
          <w:tcPr>
            <w:tcW w:w="986" w:type="dxa"/>
            <w:vAlign w:val="center"/>
          </w:tcPr>
          <w:p w14:paraId="7F4D3BB4">
            <w:pPr>
              <w:pStyle w:val="557"/>
            </w:pPr>
            <w:r>
              <w:rPr>
                <w:rFonts w:hint="eastAsia"/>
              </w:rPr>
              <w:t>0.00|0</w:t>
            </w:r>
          </w:p>
        </w:tc>
        <w:tc>
          <w:tcPr>
            <w:tcW w:w="986" w:type="dxa"/>
            <w:vAlign w:val="center"/>
          </w:tcPr>
          <w:p w14:paraId="50F862F9">
            <w:pPr>
              <w:pStyle w:val="557"/>
            </w:pPr>
            <w:r>
              <w:rPr>
                <w:rFonts w:hint="eastAsia"/>
              </w:rPr>
              <w:t>0.00|0</w:t>
            </w:r>
          </w:p>
        </w:tc>
      </w:tr>
      <w:tr w14:paraId="552E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00DDDE6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30</w:t>
            </w:r>
          </w:p>
        </w:tc>
        <w:tc>
          <w:tcPr>
            <w:tcW w:w="1541" w:type="dxa"/>
            <w:noWrap/>
            <w:vAlign w:val="center"/>
          </w:tcPr>
          <w:p w14:paraId="5AAA875C">
            <w:pPr>
              <w:pStyle w:val="557"/>
            </w:pPr>
            <w:r>
              <w:rPr>
                <w:rFonts w:hint="eastAsia"/>
              </w:rPr>
              <w:t>空分装置循环水站</w:t>
            </w:r>
          </w:p>
        </w:tc>
        <w:tc>
          <w:tcPr>
            <w:tcW w:w="987" w:type="dxa"/>
            <w:noWrap/>
            <w:vAlign w:val="center"/>
          </w:tcPr>
          <w:p w14:paraId="5B17C21E">
            <w:pPr>
              <w:pStyle w:val="557"/>
            </w:pPr>
            <w:r>
              <w:rPr>
                <w:rFonts w:hint="eastAsia"/>
              </w:rPr>
              <w:t>5</w:t>
            </w:r>
          </w:p>
        </w:tc>
        <w:tc>
          <w:tcPr>
            <w:tcW w:w="987" w:type="dxa"/>
            <w:noWrap/>
            <w:vAlign w:val="center"/>
          </w:tcPr>
          <w:p w14:paraId="397EDB35">
            <w:pPr>
              <w:pStyle w:val="557"/>
            </w:pPr>
            <w:r>
              <w:rPr>
                <w:rFonts w:hint="eastAsia"/>
              </w:rPr>
              <w:t>50</w:t>
            </w:r>
          </w:p>
        </w:tc>
        <w:tc>
          <w:tcPr>
            <w:tcW w:w="986" w:type="dxa"/>
            <w:noWrap/>
            <w:vAlign w:val="center"/>
          </w:tcPr>
          <w:p w14:paraId="52AC3FB8">
            <w:pPr>
              <w:pStyle w:val="557"/>
            </w:pPr>
            <w:r>
              <w:rPr>
                <w:rFonts w:hint="eastAsia"/>
              </w:rPr>
              <w:t>0</w:t>
            </w:r>
          </w:p>
        </w:tc>
        <w:tc>
          <w:tcPr>
            <w:tcW w:w="986" w:type="dxa"/>
            <w:noWrap/>
            <w:vAlign w:val="center"/>
          </w:tcPr>
          <w:p w14:paraId="351549EA">
            <w:pPr>
              <w:pStyle w:val="557"/>
            </w:pPr>
            <w:r>
              <w:rPr>
                <w:rFonts w:hint="eastAsia"/>
              </w:rPr>
              <w:t>0.00|0</w:t>
            </w:r>
          </w:p>
        </w:tc>
        <w:tc>
          <w:tcPr>
            <w:tcW w:w="986" w:type="dxa"/>
            <w:noWrap/>
            <w:vAlign w:val="center"/>
          </w:tcPr>
          <w:p w14:paraId="0CC16835">
            <w:pPr>
              <w:pStyle w:val="557"/>
            </w:pPr>
            <w:r>
              <w:rPr>
                <w:rFonts w:hint="eastAsia"/>
              </w:rPr>
              <w:t>0.00|0</w:t>
            </w:r>
          </w:p>
        </w:tc>
        <w:tc>
          <w:tcPr>
            <w:tcW w:w="986" w:type="dxa"/>
            <w:noWrap/>
            <w:vAlign w:val="center"/>
          </w:tcPr>
          <w:p w14:paraId="72C776B1">
            <w:pPr>
              <w:pStyle w:val="557"/>
            </w:pPr>
            <w:r>
              <w:rPr>
                <w:rFonts w:hint="eastAsia"/>
              </w:rPr>
              <w:t>0.00|0</w:t>
            </w:r>
          </w:p>
        </w:tc>
        <w:tc>
          <w:tcPr>
            <w:tcW w:w="986" w:type="dxa"/>
            <w:noWrap/>
            <w:vAlign w:val="center"/>
          </w:tcPr>
          <w:p w14:paraId="69216267">
            <w:pPr>
              <w:pStyle w:val="557"/>
            </w:pPr>
            <w:r>
              <w:rPr>
                <w:rFonts w:hint="eastAsia"/>
              </w:rPr>
              <w:t>0.00|0</w:t>
            </w:r>
          </w:p>
        </w:tc>
        <w:tc>
          <w:tcPr>
            <w:tcW w:w="986" w:type="dxa"/>
            <w:noWrap/>
            <w:vAlign w:val="center"/>
          </w:tcPr>
          <w:p w14:paraId="40C8FE3B">
            <w:pPr>
              <w:pStyle w:val="557"/>
            </w:pPr>
            <w:r>
              <w:rPr>
                <w:rFonts w:hint="eastAsia"/>
              </w:rPr>
              <w:t>0.00|0</w:t>
            </w:r>
          </w:p>
        </w:tc>
        <w:tc>
          <w:tcPr>
            <w:tcW w:w="986" w:type="dxa"/>
            <w:vAlign w:val="center"/>
          </w:tcPr>
          <w:p w14:paraId="79CDFE16">
            <w:pPr>
              <w:pStyle w:val="557"/>
            </w:pPr>
            <w:r>
              <w:rPr>
                <w:rFonts w:hint="eastAsia"/>
              </w:rPr>
              <w:t>6.15|0</w:t>
            </w:r>
          </w:p>
        </w:tc>
        <w:tc>
          <w:tcPr>
            <w:tcW w:w="986" w:type="dxa"/>
            <w:vAlign w:val="center"/>
          </w:tcPr>
          <w:p w14:paraId="6E999E55">
            <w:pPr>
              <w:pStyle w:val="557"/>
            </w:pPr>
            <w:r>
              <w:rPr>
                <w:rFonts w:hint="eastAsia"/>
              </w:rPr>
              <w:t>0.00|0</w:t>
            </w:r>
          </w:p>
        </w:tc>
        <w:tc>
          <w:tcPr>
            <w:tcW w:w="986" w:type="dxa"/>
            <w:vAlign w:val="center"/>
          </w:tcPr>
          <w:p w14:paraId="165C04F7">
            <w:pPr>
              <w:pStyle w:val="557"/>
            </w:pPr>
            <w:r>
              <w:rPr>
                <w:rFonts w:hint="eastAsia"/>
              </w:rPr>
              <w:t>0.00|0</w:t>
            </w:r>
          </w:p>
        </w:tc>
        <w:tc>
          <w:tcPr>
            <w:tcW w:w="986" w:type="dxa"/>
            <w:vAlign w:val="center"/>
          </w:tcPr>
          <w:p w14:paraId="6337225D">
            <w:pPr>
              <w:pStyle w:val="557"/>
            </w:pPr>
            <w:r>
              <w:rPr>
                <w:rFonts w:hint="eastAsia"/>
              </w:rPr>
              <w:t>0.00|0</w:t>
            </w:r>
          </w:p>
        </w:tc>
      </w:tr>
      <w:tr w14:paraId="6AED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821CB6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31</w:t>
            </w:r>
          </w:p>
        </w:tc>
        <w:tc>
          <w:tcPr>
            <w:tcW w:w="1541" w:type="dxa"/>
            <w:noWrap/>
            <w:vAlign w:val="center"/>
          </w:tcPr>
          <w:p w14:paraId="738483B5">
            <w:pPr>
              <w:pStyle w:val="557"/>
            </w:pPr>
            <w:r>
              <w:rPr>
                <w:rFonts w:hint="eastAsia"/>
              </w:rPr>
              <w:t>综合罐组无组织废气</w:t>
            </w:r>
          </w:p>
        </w:tc>
        <w:tc>
          <w:tcPr>
            <w:tcW w:w="987" w:type="dxa"/>
            <w:noWrap/>
            <w:vAlign w:val="center"/>
          </w:tcPr>
          <w:p w14:paraId="3DBDA26D">
            <w:pPr>
              <w:pStyle w:val="557"/>
            </w:pPr>
            <w:r>
              <w:rPr>
                <w:rFonts w:hint="eastAsia"/>
              </w:rPr>
              <w:t>0</w:t>
            </w:r>
          </w:p>
        </w:tc>
        <w:tc>
          <w:tcPr>
            <w:tcW w:w="987" w:type="dxa"/>
            <w:noWrap/>
            <w:vAlign w:val="center"/>
          </w:tcPr>
          <w:p w14:paraId="2F0D0A30">
            <w:pPr>
              <w:pStyle w:val="557"/>
            </w:pPr>
            <w:r>
              <w:rPr>
                <w:rFonts w:hint="eastAsia"/>
              </w:rPr>
              <w:t>72</w:t>
            </w:r>
          </w:p>
        </w:tc>
        <w:tc>
          <w:tcPr>
            <w:tcW w:w="986" w:type="dxa"/>
            <w:noWrap/>
            <w:vAlign w:val="center"/>
          </w:tcPr>
          <w:p w14:paraId="224C9E11">
            <w:pPr>
              <w:pStyle w:val="557"/>
            </w:pPr>
            <w:r>
              <w:rPr>
                <w:rFonts w:hint="eastAsia"/>
              </w:rPr>
              <w:t>0</w:t>
            </w:r>
          </w:p>
        </w:tc>
        <w:tc>
          <w:tcPr>
            <w:tcW w:w="986" w:type="dxa"/>
            <w:noWrap/>
            <w:vAlign w:val="center"/>
          </w:tcPr>
          <w:p w14:paraId="7058C8B7">
            <w:pPr>
              <w:pStyle w:val="557"/>
            </w:pPr>
            <w:r>
              <w:rPr>
                <w:rFonts w:hint="eastAsia"/>
              </w:rPr>
              <w:t>0.00|0</w:t>
            </w:r>
          </w:p>
        </w:tc>
        <w:tc>
          <w:tcPr>
            <w:tcW w:w="986" w:type="dxa"/>
            <w:noWrap/>
            <w:vAlign w:val="center"/>
          </w:tcPr>
          <w:p w14:paraId="19190CD1">
            <w:pPr>
              <w:pStyle w:val="557"/>
            </w:pPr>
            <w:r>
              <w:rPr>
                <w:rFonts w:hint="eastAsia"/>
              </w:rPr>
              <w:t>0.00|0</w:t>
            </w:r>
          </w:p>
        </w:tc>
        <w:tc>
          <w:tcPr>
            <w:tcW w:w="986" w:type="dxa"/>
            <w:noWrap/>
            <w:vAlign w:val="center"/>
          </w:tcPr>
          <w:p w14:paraId="710D7CF9">
            <w:pPr>
              <w:pStyle w:val="557"/>
            </w:pPr>
            <w:r>
              <w:rPr>
                <w:rFonts w:hint="eastAsia"/>
              </w:rPr>
              <w:t>0.00|0</w:t>
            </w:r>
          </w:p>
        </w:tc>
        <w:tc>
          <w:tcPr>
            <w:tcW w:w="986" w:type="dxa"/>
            <w:noWrap/>
            <w:vAlign w:val="center"/>
          </w:tcPr>
          <w:p w14:paraId="2D804E80">
            <w:pPr>
              <w:pStyle w:val="557"/>
            </w:pPr>
            <w:r>
              <w:rPr>
                <w:rFonts w:hint="eastAsia"/>
              </w:rPr>
              <w:t>0.00|0</w:t>
            </w:r>
          </w:p>
        </w:tc>
        <w:tc>
          <w:tcPr>
            <w:tcW w:w="986" w:type="dxa"/>
            <w:noWrap/>
            <w:vAlign w:val="center"/>
          </w:tcPr>
          <w:p w14:paraId="2E5049A9">
            <w:pPr>
              <w:pStyle w:val="557"/>
            </w:pPr>
            <w:r>
              <w:rPr>
                <w:rFonts w:hint="eastAsia"/>
              </w:rPr>
              <w:t>0.00|0</w:t>
            </w:r>
          </w:p>
        </w:tc>
        <w:tc>
          <w:tcPr>
            <w:tcW w:w="986" w:type="dxa"/>
            <w:vAlign w:val="center"/>
          </w:tcPr>
          <w:p w14:paraId="5926A4F8">
            <w:pPr>
              <w:pStyle w:val="557"/>
            </w:pPr>
            <w:r>
              <w:rPr>
                <w:rFonts w:hint="eastAsia"/>
              </w:rPr>
              <w:t>0.44|0</w:t>
            </w:r>
          </w:p>
        </w:tc>
        <w:tc>
          <w:tcPr>
            <w:tcW w:w="986" w:type="dxa"/>
            <w:vAlign w:val="center"/>
          </w:tcPr>
          <w:p w14:paraId="3A93B05C">
            <w:pPr>
              <w:pStyle w:val="557"/>
            </w:pPr>
            <w:r>
              <w:rPr>
                <w:rFonts w:hint="eastAsia"/>
              </w:rPr>
              <w:t>0.00|0</w:t>
            </w:r>
          </w:p>
        </w:tc>
        <w:tc>
          <w:tcPr>
            <w:tcW w:w="986" w:type="dxa"/>
            <w:vAlign w:val="center"/>
          </w:tcPr>
          <w:p w14:paraId="4EE19356">
            <w:pPr>
              <w:pStyle w:val="557"/>
            </w:pPr>
            <w:r>
              <w:rPr>
                <w:rFonts w:hint="eastAsia"/>
              </w:rPr>
              <w:t>0.00|0</w:t>
            </w:r>
          </w:p>
        </w:tc>
        <w:tc>
          <w:tcPr>
            <w:tcW w:w="986" w:type="dxa"/>
            <w:vAlign w:val="center"/>
          </w:tcPr>
          <w:p w14:paraId="3EDE22E2">
            <w:pPr>
              <w:pStyle w:val="557"/>
            </w:pPr>
            <w:r>
              <w:rPr>
                <w:rFonts w:hint="eastAsia"/>
              </w:rPr>
              <w:t>0.00|0</w:t>
            </w:r>
          </w:p>
        </w:tc>
      </w:tr>
      <w:tr w14:paraId="7C4F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2326C41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32</w:t>
            </w:r>
          </w:p>
        </w:tc>
        <w:tc>
          <w:tcPr>
            <w:tcW w:w="1541" w:type="dxa"/>
            <w:noWrap/>
            <w:vAlign w:val="center"/>
          </w:tcPr>
          <w:p w14:paraId="213E54D8">
            <w:pPr>
              <w:pStyle w:val="557"/>
            </w:pPr>
            <w:r>
              <w:rPr>
                <w:rFonts w:hint="eastAsia"/>
              </w:rPr>
              <w:t>亚硝酸甲酯罐组</w:t>
            </w:r>
          </w:p>
        </w:tc>
        <w:tc>
          <w:tcPr>
            <w:tcW w:w="987" w:type="dxa"/>
            <w:noWrap/>
            <w:vAlign w:val="center"/>
          </w:tcPr>
          <w:p w14:paraId="6F49A0CE">
            <w:pPr>
              <w:pStyle w:val="557"/>
            </w:pPr>
            <w:r>
              <w:rPr>
                <w:rFonts w:hint="eastAsia"/>
              </w:rPr>
              <w:t>0</w:t>
            </w:r>
          </w:p>
        </w:tc>
        <w:tc>
          <w:tcPr>
            <w:tcW w:w="987" w:type="dxa"/>
            <w:noWrap/>
            <w:vAlign w:val="center"/>
          </w:tcPr>
          <w:p w14:paraId="76AB03D5">
            <w:pPr>
              <w:pStyle w:val="557"/>
            </w:pPr>
            <w:r>
              <w:rPr>
                <w:rFonts w:hint="eastAsia"/>
              </w:rPr>
              <w:t>52</w:t>
            </w:r>
          </w:p>
        </w:tc>
        <w:tc>
          <w:tcPr>
            <w:tcW w:w="986" w:type="dxa"/>
            <w:noWrap/>
            <w:vAlign w:val="center"/>
          </w:tcPr>
          <w:p w14:paraId="19BEEC1B">
            <w:pPr>
              <w:pStyle w:val="557"/>
            </w:pPr>
            <w:r>
              <w:rPr>
                <w:rFonts w:hint="eastAsia"/>
              </w:rPr>
              <w:t>0</w:t>
            </w:r>
          </w:p>
        </w:tc>
        <w:tc>
          <w:tcPr>
            <w:tcW w:w="986" w:type="dxa"/>
            <w:noWrap/>
            <w:vAlign w:val="center"/>
          </w:tcPr>
          <w:p w14:paraId="4C7486AC">
            <w:pPr>
              <w:pStyle w:val="557"/>
            </w:pPr>
            <w:r>
              <w:rPr>
                <w:rFonts w:hint="eastAsia"/>
              </w:rPr>
              <w:t>0.00|0</w:t>
            </w:r>
          </w:p>
        </w:tc>
        <w:tc>
          <w:tcPr>
            <w:tcW w:w="986" w:type="dxa"/>
            <w:noWrap/>
            <w:vAlign w:val="center"/>
          </w:tcPr>
          <w:p w14:paraId="2D5F5D89">
            <w:pPr>
              <w:pStyle w:val="557"/>
            </w:pPr>
            <w:r>
              <w:rPr>
                <w:rFonts w:hint="eastAsia"/>
              </w:rPr>
              <w:t>0.00|0</w:t>
            </w:r>
          </w:p>
        </w:tc>
        <w:tc>
          <w:tcPr>
            <w:tcW w:w="986" w:type="dxa"/>
            <w:noWrap/>
            <w:vAlign w:val="center"/>
          </w:tcPr>
          <w:p w14:paraId="3E941D92">
            <w:pPr>
              <w:pStyle w:val="557"/>
            </w:pPr>
            <w:r>
              <w:rPr>
                <w:rFonts w:hint="eastAsia"/>
              </w:rPr>
              <w:t>0.00|0</w:t>
            </w:r>
          </w:p>
        </w:tc>
        <w:tc>
          <w:tcPr>
            <w:tcW w:w="986" w:type="dxa"/>
            <w:noWrap/>
            <w:vAlign w:val="center"/>
          </w:tcPr>
          <w:p w14:paraId="533F4AD8">
            <w:pPr>
              <w:pStyle w:val="557"/>
            </w:pPr>
            <w:r>
              <w:rPr>
                <w:rFonts w:hint="eastAsia"/>
              </w:rPr>
              <w:t>0.00|0</w:t>
            </w:r>
          </w:p>
        </w:tc>
        <w:tc>
          <w:tcPr>
            <w:tcW w:w="986" w:type="dxa"/>
            <w:noWrap/>
            <w:vAlign w:val="center"/>
          </w:tcPr>
          <w:p w14:paraId="3E273462">
            <w:pPr>
              <w:pStyle w:val="557"/>
            </w:pPr>
            <w:r>
              <w:rPr>
                <w:rFonts w:hint="eastAsia"/>
              </w:rPr>
              <w:t>0.00|0</w:t>
            </w:r>
          </w:p>
        </w:tc>
        <w:tc>
          <w:tcPr>
            <w:tcW w:w="986" w:type="dxa"/>
            <w:vAlign w:val="center"/>
          </w:tcPr>
          <w:p w14:paraId="01116D5F">
            <w:pPr>
              <w:pStyle w:val="557"/>
            </w:pPr>
            <w:r>
              <w:rPr>
                <w:rFonts w:hint="eastAsia"/>
              </w:rPr>
              <w:t>0.31|0</w:t>
            </w:r>
          </w:p>
        </w:tc>
        <w:tc>
          <w:tcPr>
            <w:tcW w:w="986" w:type="dxa"/>
            <w:vAlign w:val="center"/>
          </w:tcPr>
          <w:p w14:paraId="149D79DB">
            <w:pPr>
              <w:pStyle w:val="557"/>
            </w:pPr>
            <w:r>
              <w:rPr>
                <w:rFonts w:hint="eastAsia"/>
              </w:rPr>
              <w:t>0.00|0</w:t>
            </w:r>
          </w:p>
        </w:tc>
        <w:tc>
          <w:tcPr>
            <w:tcW w:w="986" w:type="dxa"/>
            <w:vAlign w:val="center"/>
          </w:tcPr>
          <w:p w14:paraId="78587DB4">
            <w:pPr>
              <w:pStyle w:val="557"/>
            </w:pPr>
            <w:r>
              <w:rPr>
                <w:rFonts w:hint="eastAsia"/>
              </w:rPr>
              <w:t>0.00|0</w:t>
            </w:r>
          </w:p>
        </w:tc>
        <w:tc>
          <w:tcPr>
            <w:tcW w:w="986" w:type="dxa"/>
            <w:vAlign w:val="center"/>
          </w:tcPr>
          <w:p w14:paraId="75DB621A">
            <w:pPr>
              <w:pStyle w:val="557"/>
            </w:pPr>
            <w:r>
              <w:rPr>
                <w:rFonts w:hint="eastAsia"/>
              </w:rPr>
              <w:t>0.00|0</w:t>
            </w:r>
          </w:p>
        </w:tc>
      </w:tr>
      <w:tr w14:paraId="7C05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1181CDD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33</w:t>
            </w:r>
          </w:p>
        </w:tc>
        <w:tc>
          <w:tcPr>
            <w:tcW w:w="1541" w:type="dxa"/>
            <w:noWrap/>
            <w:vAlign w:val="center"/>
          </w:tcPr>
          <w:p w14:paraId="3BC15E08">
            <w:pPr>
              <w:pStyle w:val="557"/>
            </w:pPr>
            <w:r>
              <w:rPr>
                <w:rFonts w:hint="eastAsia"/>
              </w:rPr>
              <w:t>中间产品罐组</w:t>
            </w:r>
          </w:p>
        </w:tc>
        <w:tc>
          <w:tcPr>
            <w:tcW w:w="987" w:type="dxa"/>
            <w:noWrap/>
            <w:vAlign w:val="center"/>
          </w:tcPr>
          <w:p w14:paraId="04413EF6">
            <w:pPr>
              <w:pStyle w:val="557"/>
            </w:pPr>
            <w:r>
              <w:rPr>
                <w:rFonts w:hint="eastAsia"/>
              </w:rPr>
              <w:t>35</w:t>
            </w:r>
          </w:p>
        </w:tc>
        <w:tc>
          <w:tcPr>
            <w:tcW w:w="987" w:type="dxa"/>
            <w:noWrap/>
            <w:vAlign w:val="center"/>
          </w:tcPr>
          <w:p w14:paraId="561925FA">
            <w:pPr>
              <w:pStyle w:val="557"/>
            </w:pPr>
            <w:r>
              <w:rPr>
                <w:rFonts w:hint="eastAsia"/>
              </w:rPr>
              <w:t>49</w:t>
            </w:r>
          </w:p>
        </w:tc>
        <w:tc>
          <w:tcPr>
            <w:tcW w:w="986" w:type="dxa"/>
            <w:noWrap/>
            <w:vAlign w:val="center"/>
          </w:tcPr>
          <w:p w14:paraId="1DD2D405">
            <w:pPr>
              <w:pStyle w:val="557"/>
            </w:pPr>
            <w:r>
              <w:rPr>
                <w:rFonts w:hint="eastAsia"/>
              </w:rPr>
              <w:t>0</w:t>
            </w:r>
          </w:p>
        </w:tc>
        <w:tc>
          <w:tcPr>
            <w:tcW w:w="986" w:type="dxa"/>
            <w:noWrap/>
            <w:vAlign w:val="center"/>
          </w:tcPr>
          <w:p w14:paraId="3C1C8262">
            <w:pPr>
              <w:pStyle w:val="557"/>
            </w:pPr>
            <w:r>
              <w:rPr>
                <w:rFonts w:hint="eastAsia"/>
              </w:rPr>
              <w:t>0.00|0</w:t>
            </w:r>
          </w:p>
        </w:tc>
        <w:tc>
          <w:tcPr>
            <w:tcW w:w="986" w:type="dxa"/>
            <w:noWrap/>
            <w:vAlign w:val="center"/>
          </w:tcPr>
          <w:p w14:paraId="2CC2B6C7">
            <w:pPr>
              <w:pStyle w:val="557"/>
            </w:pPr>
            <w:r>
              <w:rPr>
                <w:rFonts w:hint="eastAsia"/>
              </w:rPr>
              <w:t>0.00|0</w:t>
            </w:r>
          </w:p>
        </w:tc>
        <w:tc>
          <w:tcPr>
            <w:tcW w:w="986" w:type="dxa"/>
            <w:noWrap/>
            <w:vAlign w:val="center"/>
          </w:tcPr>
          <w:p w14:paraId="44EACD94">
            <w:pPr>
              <w:pStyle w:val="557"/>
            </w:pPr>
            <w:r>
              <w:rPr>
                <w:rFonts w:hint="eastAsia"/>
              </w:rPr>
              <w:t>0.00|0</w:t>
            </w:r>
          </w:p>
        </w:tc>
        <w:tc>
          <w:tcPr>
            <w:tcW w:w="986" w:type="dxa"/>
            <w:noWrap/>
            <w:vAlign w:val="center"/>
          </w:tcPr>
          <w:p w14:paraId="7EDD8612">
            <w:pPr>
              <w:pStyle w:val="557"/>
            </w:pPr>
            <w:r>
              <w:rPr>
                <w:rFonts w:hint="eastAsia"/>
              </w:rPr>
              <w:t>0.00|0</w:t>
            </w:r>
          </w:p>
        </w:tc>
        <w:tc>
          <w:tcPr>
            <w:tcW w:w="986" w:type="dxa"/>
            <w:noWrap/>
            <w:vAlign w:val="center"/>
          </w:tcPr>
          <w:p w14:paraId="136D628B">
            <w:pPr>
              <w:pStyle w:val="557"/>
            </w:pPr>
            <w:r>
              <w:rPr>
                <w:rFonts w:hint="eastAsia"/>
              </w:rPr>
              <w:t>0.00|0</w:t>
            </w:r>
          </w:p>
        </w:tc>
        <w:tc>
          <w:tcPr>
            <w:tcW w:w="986" w:type="dxa"/>
            <w:vAlign w:val="center"/>
          </w:tcPr>
          <w:p w14:paraId="666A27AA">
            <w:pPr>
              <w:pStyle w:val="557"/>
            </w:pPr>
            <w:r>
              <w:rPr>
                <w:rFonts w:hint="eastAsia"/>
              </w:rPr>
              <w:t>3.37|0</w:t>
            </w:r>
          </w:p>
        </w:tc>
        <w:tc>
          <w:tcPr>
            <w:tcW w:w="986" w:type="dxa"/>
            <w:vAlign w:val="center"/>
          </w:tcPr>
          <w:p w14:paraId="1180954E">
            <w:pPr>
              <w:pStyle w:val="557"/>
            </w:pPr>
            <w:r>
              <w:rPr>
                <w:rFonts w:hint="eastAsia"/>
              </w:rPr>
              <w:t>0.00|0</w:t>
            </w:r>
          </w:p>
        </w:tc>
        <w:tc>
          <w:tcPr>
            <w:tcW w:w="986" w:type="dxa"/>
            <w:vAlign w:val="center"/>
          </w:tcPr>
          <w:p w14:paraId="0CEC7E12">
            <w:pPr>
              <w:pStyle w:val="557"/>
            </w:pPr>
            <w:r>
              <w:rPr>
                <w:rFonts w:hint="eastAsia"/>
              </w:rPr>
              <w:t>0.00|0</w:t>
            </w:r>
          </w:p>
        </w:tc>
        <w:tc>
          <w:tcPr>
            <w:tcW w:w="986" w:type="dxa"/>
            <w:vAlign w:val="center"/>
          </w:tcPr>
          <w:p w14:paraId="67AD3CDF">
            <w:pPr>
              <w:pStyle w:val="557"/>
            </w:pPr>
            <w:r>
              <w:rPr>
                <w:rFonts w:hint="eastAsia"/>
              </w:rPr>
              <w:t>0.00|0</w:t>
            </w:r>
          </w:p>
        </w:tc>
      </w:tr>
      <w:tr w14:paraId="5AF3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6D2A216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34</w:t>
            </w:r>
          </w:p>
        </w:tc>
        <w:tc>
          <w:tcPr>
            <w:tcW w:w="1541" w:type="dxa"/>
            <w:noWrap/>
            <w:vAlign w:val="center"/>
          </w:tcPr>
          <w:p w14:paraId="0450B574">
            <w:pPr>
              <w:pStyle w:val="557"/>
            </w:pPr>
            <w:r>
              <w:rPr>
                <w:rFonts w:hint="eastAsia"/>
              </w:rPr>
              <w:t>汽车装卸站无组织废气</w:t>
            </w:r>
          </w:p>
        </w:tc>
        <w:tc>
          <w:tcPr>
            <w:tcW w:w="987" w:type="dxa"/>
            <w:noWrap/>
            <w:vAlign w:val="center"/>
          </w:tcPr>
          <w:p w14:paraId="274DE3CE">
            <w:pPr>
              <w:pStyle w:val="557"/>
            </w:pPr>
            <w:r>
              <w:rPr>
                <w:rFonts w:hint="eastAsia"/>
              </w:rPr>
              <w:t>0</w:t>
            </w:r>
          </w:p>
        </w:tc>
        <w:tc>
          <w:tcPr>
            <w:tcW w:w="987" w:type="dxa"/>
            <w:noWrap/>
            <w:vAlign w:val="center"/>
          </w:tcPr>
          <w:p w14:paraId="7229264E">
            <w:pPr>
              <w:pStyle w:val="557"/>
            </w:pPr>
            <w:r>
              <w:rPr>
                <w:rFonts w:hint="eastAsia"/>
              </w:rPr>
              <w:t>29</w:t>
            </w:r>
          </w:p>
        </w:tc>
        <w:tc>
          <w:tcPr>
            <w:tcW w:w="986" w:type="dxa"/>
            <w:noWrap/>
            <w:vAlign w:val="center"/>
          </w:tcPr>
          <w:p w14:paraId="2FAF81B0">
            <w:pPr>
              <w:pStyle w:val="557"/>
            </w:pPr>
            <w:r>
              <w:rPr>
                <w:rFonts w:hint="eastAsia"/>
              </w:rPr>
              <w:t>0</w:t>
            </w:r>
          </w:p>
        </w:tc>
        <w:tc>
          <w:tcPr>
            <w:tcW w:w="986" w:type="dxa"/>
            <w:noWrap/>
            <w:vAlign w:val="center"/>
          </w:tcPr>
          <w:p w14:paraId="7B0F0072">
            <w:pPr>
              <w:pStyle w:val="557"/>
            </w:pPr>
            <w:r>
              <w:rPr>
                <w:rFonts w:hint="eastAsia"/>
              </w:rPr>
              <w:t>0.00|0</w:t>
            </w:r>
          </w:p>
        </w:tc>
        <w:tc>
          <w:tcPr>
            <w:tcW w:w="986" w:type="dxa"/>
            <w:noWrap/>
            <w:vAlign w:val="center"/>
          </w:tcPr>
          <w:p w14:paraId="09910882">
            <w:pPr>
              <w:pStyle w:val="557"/>
            </w:pPr>
            <w:r>
              <w:rPr>
                <w:rFonts w:hint="eastAsia"/>
              </w:rPr>
              <w:t>0.00|0</w:t>
            </w:r>
          </w:p>
        </w:tc>
        <w:tc>
          <w:tcPr>
            <w:tcW w:w="986" w:type="dxa"/>
            <w:noWrap/>
            <w:vAlign w:val="center"/>
          </w:tcPr>
          <w:p w14:paraId="1C0016B4">
            <w:pPr>
              <w:pStyle w:val="557"/>
            </w:pPr>
            <w:r>
              <w:rPr>
                <w:rFonts w:hint="eastAsia"/>
              </w:rPr>
              <w:t>0.00|0</w:t>
            </w:r>
          </w:p>
        </w:tc>
        <w:tc>
          <w:tcPr>
            <w:tcW w:w="986" w:type="dxa"/>
            <w:noWrap/>
            <w:vAlign w:val="center"/>
          </w:tcPr>
          <w:p w14:paraId="4A73C910">
            <w:pPr>
              <w:pStyle w:val="557"/>
            </w:pPr>
            <w:r>
              <w:rPr>
                <w:rFonts w:hint="eastAsia"/>
              </w:rPr>
              <w:t>0.00|0</w:t>
            </w:r>
          </w:p>
        </w:tc>
        <w:tc>
          <w:tcPr>
            <w:tcW w:w="986" w:type="dxa"/>
            <w:noWrap/>
            <w:vAlign w:val="center"/>
          </w:tcPr>
          <w:p w14:paraId="56F54433">
            <w:pPr>
              <w:pStyle w:val="557"/>
            </w:pPr>
            <w:r>
              <w:rPr>
                <w:rFonts w:hint="eastAsia"/>
              </w:rPr>
              <w:t>0.00|0</w:t>
            </w:r>
          </w:p>
        </w:tc>
        <w:tc>
          <w:tcPr>
            <w:tcW w:w="986" w:type="dxa"/>
            <w:vAlign w:val="center"/>
          </w:tcPr>
          <w:p w14:paraId="1A464D1E">
            <w:pPr>
              <w:pStyle w:val="557"/>
            </w:pPr>
            <w:r>
              <w:rPr>
                <w:rFonts w:hint="eastAsia"/>
              </w:rPr>
              <w:t>0.52|0</w:t>
            </w:r>
          </w:p>
        </w:tc>
        <w:tc>
          <w:tcPr>
            <w:tcW w:w="986" w:type="dxa"/>
            <w:vAlign w:val="center"/>
          </w:tcPr>
          <w:p w14:paraId="160943A7">
            <w:pPr>
              <w:pStyle w:val="557"/>
            </w:pPr>
            <w:r>
              <w:rPr>
                <w:rFonts w:hint="eastAsia"/>
              </w:rPr>
              <w:t>0.00|0</w:t>
            </w:r>
          </w:p>
        </w:tc>
        <w:tc>
          <w:tcPr>
            <w:tcW w:w="986" w:type="dxa"/>
            <w:vAlign w:val="center"/>
          </w:tcPr>
          <w:p w14:paraId="7C7529A4">
            <w:pPr>
              <w:pStyle w:val="557"/>
            </w:pPr>
            <w:r>
              <w:rPr>
                <w:rFonts w:hint="eastAsia"/>
              </w:rPr>
              <w:t>0.00|0</w:t>
            </w:r>
          </w:p>
        </w:tc>
        <w:tc>
          <w:tcPr>
            <w:tcW w:w="986" w:type="dxa"/>
            <w:vAlign w:val="center"/>
          </w:tcPr>
          <w:p w14:paraId="35CB7FD3">
            <w:pPr>
              <w:pStyle w:val="557"/>
            </w:pPr>
            <w:r>
              <w:rPr>
                <w:rFonts w:hint="eastAsia"/>
              </w:rPr>
              <w:t>0.00|0</w:t>
            </w:r>
          </w:p>
        </w:tc>
      </w:tr>
      <w:tr w14:paraId="40E0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dxa"/>
            <w:noWrap/>
            <w:vAlign w:val="center"/>
          </w:tcPr>
          <w:p w14:paraId="4DD7CB7F">
            <w:pPr>
              <w:jc w:val="center"/>
              <w:rPr>
                <w:rFonts w:ascii="Times New Roman" w:hAnsi="Times New Roman" w:eastAsia="等线" w:cs="Times New Roman"/>
                <w:color w:val="000000" w:themeColor="text1"/>
                <w:sz w:val="18"/>
                <w:szCs w:val="18"/>
                <w14:textFill>
                  <w14:solidFill>
                    <w14:schemeClr w14:val="tx1"/>
                  </w14:solidFill>
                </w14:textFill>
              </w:rPr>
            </w:pPr>
          </w:p>
        </w:tc>
        <w:tc>
          <w:tcPr>
            <w:tcW w:w="1541" w:type="dxa"/>
            <w:noWrap/>
            <w:vAlign w:val="center"/>
          </w:tcPr>
          <w:p w14:paraId="6AA6B474">
            <w:pPr>
              <w:pStyle w:val="557"/>
            </w:pPr>
            <w:r>
              <w:rPr>
                <w:rFonts w:hint="eastAsia"/>
              </w:rPr>
              <w:t>各源最大值</w:t>
            </w:r>
          </w:p>
        </w:tc>
        <w:tc>
          <w:tcPr>
            <w:tcW w:w="987" w:type="dxa"/>
            <w:noWrap/>
            <w:vAlign w:val="center"/>
          </w:tcPr>
          <w:p w14:paraId="1865C6DF">
            <w:pPr>
              <w:pStyle w:val="557"/>
            </w:pPr>
            <w:r>
              <w:rPr>
                <w:rFonts w:hint="eastAsia"/>
              </w:rPr>
              <w:t>--</w:t>
            </w:r>
          </w:p>
        </w:tc>
        <w:tc>
          <w:tcPr>
            <w:tcW w:w="987" w:type="dxa"/>
            <w:noWrap/>
            <w:vAlign w:val="center"/>
          </w:tcPr>
          <w:p w14:paraId="138B0EBD">
            <w:pPr>
              <w:pStyle w:val="557"/>
            </w:pPr>
            <w:r>
              <w:rPr>
                <w:rFonts w:hint="eastAsia"/>
              </w:rPr>
              <w:t>--</w:t>
            </w:r>
          </w:p>
        </w:tc>
        <w:tc>
          <w:tcPr>
            <w:tcW w:w="986" w:type="dxa"/>
            <w:noWrap/>
            <w:vAlign w:val="center"/>
          </w:tcPr>
          <w:p w14:paraId="58C12533">
            <w:pPr>
              <w:pStyle w:val="557"/>
            </w:pPr>
            <w:r>
              <w:rPr>
                <w:rFonts w:hint="eastAsia"/>
              </w:rPr>
              <w:t>--</w:t>
            </w:r>
          </w:p>
        </w:tc>
        <w:tc>
          <w:tcPr>
            <w:tcW w:w="986" w:type="dxa"/>
            <w:noWrap/>
            <w:vAlign w:val="center"/>
          </w:tcPr>
          <w:p w14:paraId="04BD0CBE">
            <w:pPr>
              <w:pStyle w:val="557"/>
            </w:pPr>
            <w:r>
              <w:rPr>
                <w:rFonts w:hint="eastAsia"/>
              </w:rPr>
              <w:t>4.1</w:t>
            </w:r>
          </w:p>
        </w:tc>
        <w:tc>
          <w:tcPr>
            <w:tcW w:w="986" w:type="dxa"/>
            <w:noWrap/>
            <w:vAlign w:val="center"/>
          </w:tcPr>
          <w:p w14:paraId="639E881F">
            <w:pPr>
              <w:pStyle w:val="557"/>
            </w:pPr>
            <w:r>
              <w:rPr>
                <w:rFonts w:hint="eastAsia"/>
              </w:rPr>
              <w:t>7.99</w:t>
            </w:r>
          </w:p>
        </w:tc>
        <w:tc>
          <w:tcPr>
            <w:tcW w:w="986" w:type="dxa"/>
            <w:noWrap/>
            <w:vAlign w:val="center"/>
          </w:tcPr>
          <w:p w14:paraId="53D908D1">
            <w:pPr>
              <w:pStyle w:val="557"/>
            </w:pPr>
            <w:r>
              <w:rPr>
                <w:rFonts w:hint="eastAsia"/>
              </w:rPr>
              <w:t>25.08</w:t>
            </w:r>
          </w:p>
        </w:tc>
        <w:tc>
          <w:tcPr>
            <w:tcW w:w="986" w:type="dxa"/>
            <w:noWrap/>
            <w:vAlign w:val="center"/>
          </w:tcPr>
          <w:p w14:paraId="483427EC">
            <w:pPr>
              <w:pStyle w:val="557"/>
            </w:pPr>
            <w:r>
              <w:rPr>
                <w:rFonts w:hint="eastAsia"/>
              </w:rPr>
              <w:t>25.08</w:t>
            </w:r>
          </w:p>
        </w:tc>
        <w:tc>
          <w:tcPr>
            <w:tcW w:w="986" w:type="dxa"/>
            <w:noWrap/>
            <w:vAlign w:val="center"/>
          </w:tcPr>
          <w:p w14:paraId="13EC5517">
            <w:pPr>
              <w:pStyle w:val="557"/>
            </w:pPr>
            <w:r>
              <w:rPr>
                <w:rFonts w:hint="eastAsia"/>
              </w:rPr>
              <w:t>0.06</w:t>
            </w:r>
          </w:p>
        </w:tc>
        <w:tc>
          <w:tcPr>
            <w:tcW w:w="986" w:type="dxa"/>
            <w:vAlign w:val="center"/>
          </w:tcPr>
          <w:p w14:paraId="6C890A5A">
            <w:pPr>
              <w:pStyle w:val="557"/>
            </w:pPr>
            <w:r>
              <w:rPr>
                <w:rFonts w:hint="eastAsia"/>
              </w:rPr>
              <w:t>72.83</w:t>
            </w:r>
          </w:p>
        </w:tc>
        <w:tc>
          <w:tcPr>
            <w:tcW w:w="986" w:type="dxa"/>
            <w:vAlign w:val="center"/>
          </w:tcPr>
          <w:p w14:paraId="605F04F9">
            <w:pPr>
              <w:pStyle w:val="557"/>
            </w:pPr>
            <w:r>
              <w:rPr>
                <w:rFonts w:hint="eastAsia"/>
              </w:rPr>
              <w:t>13</w:t>
            </w:r>
          </w:p>
        </w:tc>
        <w:tc>
          <w:tcPr>
            <w:tcW w:w="986" w:type="dxa"/>
            <w:vAlign w:val="center"/>
          </w:tcPr>
          <w:p w14:paraId="384E9C0D">
            <w:pPr>
              <w:pStyle w:val="557"/>
            </w:pPr>
            <w:r>
              <w:rPr>
                <w:rFonts w:hint="eastAsia"/>
              </w:rPr>
              <w:t>65</w:t>
            </w:r>
          </w:p>
        </w:tc>
        <w:tc>
          <w:tcPr>
            <w:tcW w:w="986" w:type="dxa"/>
            <w:vAlign w:val="center"/>
          </w:tcPr>
          <w:p w14:paraId="3AC55F29">
            <w:pPr>
              <w:pStyle w:val="557"/>
            </w:pPr>
            <w:r>
              <w:rPr>
                <w:rFonts w:hint="eastAsia"/>
              </w:rPr>
              <w:t>0.98</w:t>
            </w:r>
          </w:p>
        </w:tc>
      </w:tr>
    </w:tbl>
    <w:p w14:paraId="01144D01">
      <w:pPr>
        <w:pStyle w:val="541"/>
        <w:rPr>
          <w:rFonts w:hint="eastAsia"/>
          <w:color w:val="FF0000"/>
        </w:rPr>
      </w:pPr>
    </w:p>
    <w:p w14:paraId="02DAE1AE">
      <w:pPr>
        <w:pStyle w:val="541"/>
        <w:rPr>
          <w:rFonts w:hint="eastAsia"/>
          <w:color w:val="FF0000"/>
        </w:rPr>
      </w:pPr>
    </w:p>
    <w:p w14:paraId="22107A2D">
      <w:pPr>
        <w:pStyle w:val="541"/>
        <w:rPr>
          <w:rFonts w:hint="eastAsia"/>
          <w:color w:val="FF0000"/>
        </w:rPr>
      </w:pPr>
    </w:p>
    <w:p w14:paraId="6D2BC488">
      <w:pPr>
        <w:pStyle w:val="557"/>
      </w:pPr>
    </w:p>
    <w:p w14:paraId="431F7F18">
      <w:pPr>
        <w:rPr>
          <w:rFonts w:hint="eastAsia"/>
          <w:color w:val="FF0000"/>
        </w:rPr>
        <w:sectPr>
          <w:pgSz w:w="16838" w:h="11906" w:orient="landscape"/>
          <w:pgMar w:top="1800" w:right="1440" w:bottom="1800" w:left="1440" w:header="851" w:footer="850" w:gutter="0"/>
          <w:cols w:space="425" w:num="1"/>
          <w:docGrid w:type="lines" w:linePitch="326" w:charSpace="0"/>
        </w:sectPr>
      </w:pPr>
    </w:p>
    <w:p w14:paraId="2A5B8A52">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地表水环境</w:t>
      </w:r>
    </w:p>
    <w:p w14:paraId="14D63406">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根据《环境影响评价技术导则地表水环境》（HJ2.3-2018），本项目</w:t>
      </w: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、生活污水等</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厂内污水处理站、回用水站</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后，全部回用</w:t>
      </w:r>
      <w:r>
        <w:rPr>
          <w:color w:val="000000" w:themeColor="text1"/>
          <w14:textFill>
            <w14:solidFill>
              <w14:schemeClr w14:val="tx1"/>
            </w14:solidFill>
          </w14:textFill>
        </w:rPr>
        <w:t>，按三级B评价。</w:t>
      </w:r>
    </w:p>
    <w:p w14:paraId="7896818C">
      <w:pPr>
        <w:pStyle w:val="97"/>
        <w:rPr>
          <w:rFonts w:hint="eastAsia"/>
          <w:color w:val="000000" w:themeColor="text1"/>
          <w14:textFill>
            <w14:solidFill>
              <w14:schemeClr w14:val="tx1"/>
            </w14:solidFill>
          </w14:textFill>
        </w:rPr>
      </w:pPr>
      <w:bookmarkStart w:id="57" w:name="_Hlk150244794"/>
      <w:r>
        <w:rPr>
          <w:color w:val="000000" w:themeColor="text1"/>
          <w14:textFill>
            <w14:solidFill>
              <w14:schemeClr w14:val="tx1"/>
            </w14:solidFill>
          </w14:textFill>
        </w:rPr>
        <w:t>地下水环境</w:t>
      </w:r>
    </w:p>
    <w:p w14:paraId="40F4E0FA">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（1）项目类别</w:t>
      </w:r>
    </w:p>
    <w:p w14:paraId="0D67C03F">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w:t>
      </w:r>
      <w:r>
        <w:rPr>
          <w:rFonts w:hint="eastAsia" w:ascii="Times New Roman"/>
          <w:color w:val="000000" w:themeColor="text1"/>
          <w14:textFill>
            <w14:solidFill>
              <w14:schemeClr w14:val="tx1"/>
            </w14:solidFill>
          </w14:textFill>
        </w:rPr>
        <w:t>涉及</w:t>
      </w:r>
      <w:r>
        <w:rPr>
          <w:rFonts w:ascii="Times New Roman"/>
          <w:color w:val="000000" w:themeColor="text1"/>
          <w14:textFill>
            <w14:solidFill>
              <w14:schemeClr w14:val="tx1"/>
            </w14:solidFill>
          </w14:textFill>
        </w:rPr>
        <w:t>《环境影响评价技术导则-地下水环境》（HJ 610-2016）附录A中的行业分类中的L类“石化、化工”中</w:t>
      </w:r>
      <w:r>
        <w:rPr>
          <w:rFonts w:hint="eastAsia" w:ascii="Times New Roman"/>
          <w:color w:val="000000" w:themeColor="text1"/>
          <w14:textFill>
            <w14:solidFill>
              <w14:schemeClr w14:val="tx1"/>
            </w14:solidFill>
          </w14:textFill>
        </w:rPr>
        <w:t>“85、基本化学原料制造；化学肥料制造”“</w:t>
      </w:r>
      <w:r>
        <w:rPr>
          <w:rFonts w:ascii="Times New Roman"/>
          <w:color w:val="000000" w:themeColor="text1"/>
          <w14:textFill>
            <w14:solidFill>
              <w14:schemeClr w14:val="tx1"/>
            </w14:solidFill>
          </w14:textFill>
        </w:rPr>
        <w:t>88</w:t>
      </w:r>
      <w:r>
        <w:rPr>
          <w:rFonts w:hint="eastAsia" w:ascii="Times New Roman"/>
          <w:color w:val="000000" w:themeColor="text1"/>
          <w14:textFill>
            <w14:solidFill>
              <w14:schemeClr w14:val="tx1"/>
            </w14:solidFill>
          </w14:textFill>
        </w:rPr>
        <w:t>、煤炭液化、气化”，</w:t>
      </w:r>
      <w:r>
        <w:rPr>
          <w:rFonts w:ascii="Times New Roman"/>
          <w:color w:val="000000" w:themeColor="text1"/>
          <w14:textFill>
            <w14:solidFill>
              <w14:schemeClr w14:val="tx1"/>
            </w14:solidFill>
          </w14:textFill>
        </w:rPr>
        <w:t>且本项目环境影响评价类别为报告书，因此，划定本项目属于Ⅰ类项目。</w:t>
      </w:r>
    </w:p>
    <w:p w14:paraId="6046FA2A">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（2）建设项目场地的地下水环境敏感程度</w:t>
      </w:r>
    </w:p>
    <w:p w14:paraId="1DF80FD3">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建设项目场地的地下水环境敏感程度可分为敏感、较敏感、不敏感三级，分级原则见表2.6.3-1。</w:t>
      </w:r>
    </w:p>
    <w:p w14:paraId="5083E113">
      <w:pPr>
        <w:pStyle w:val="161"/>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表2.6.3-1</w:t>
      </w:r>
      <w:r>
        <w:rPr>
          <w:color w:val="000000" w:themeColor="text1"/>
          <w:lang w:val="zh-CN"/>
          <w14:textFill>
            <w14:solidFill>
              <w14:schemeClr w14:val="tx1"/>
            </w14:solidFill>
          </w14:textFill>
        </w:rPr>
        <w:t xml:space="preserve">    地下环境敏感程度分级表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9"/>
        <w:gridCol w:w="6956"/>
      </w:tblGrid>
      <w:tr w14:paraId="2F25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6" w:type="dxa"/>
            <w:vAlign w:val="center"/>
          </w:tcPr>
          <w:p w14:paraId="6E5E846B">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敏感程度</w:t>
            </w:r>
          </w:p>
        </w:tc>
        <w:tc>
          <w:tcPr>
            <w:tcW w:w="6853" w:type="dxa"/>
            <w:vAlign w:val="center"/>
          </w:tcPr>
          <w:p w14:paraId="3B0AFA01">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地下水环境敏感特征</w:t>
            </w:r>
          </w:p>
        </w:tc>
      </w:tr>
      <w:tr w14:paraId="2AD5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6" w:type="dxa"/>
            <w:vAlign w:val="center"/>
          </w:tcPr>
          <w:p w14:paraId="55381204">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敏感</w:t>
            </w:r>
          </w:p>
        </w:tc>
        <w:tc>
          <w:tcPr>
            <w:tcW w:w="6853" w:type="dxa"/>
            <w:vAlign w:val="center"/>
          </w:tcPr>
          <w:p w14:paraId="63180070">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1B16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6" w:type="dxa"/>
            <w:vAlign w:val="center"/>
          </w:tcPr>
          <w:p w14:paraId="632D2B2B">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较敏感</w:t>
            </w:r>
          </w:p>
        </w:tc>
        <w:tc>
          <w:tcPr>
            <w:tcW w:w="6853" w:type="dxa"/>
            <w:vAlign w:val="center"/>
          </w:tcPr>
          <w:p w14:paraId="56DDEE95">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集中式饮用水水源（包括已建成的在用、备用、应急水源，在建和规划的饮用水水源）准保护区以外的补给径流区；未划定准保护区的</w:t>
            </w:r>
            <w:r>
              <w:rPr>
                <w:rFonts w:hint="eastAsia"/>
                <w:color w:val="000000" w:themeColor="text1"/>
                <w:kern w:val="2"/>
                <w:szCs w:val="22"/>
                <w14:textFill>
                  <w14:solidFill>
                    <w14:schemeClr w14:val="tx1"/>
                  </w14:solidFill>
                </w14:textFill>
              </w:rPr>
              <w:t>集中</w:t>
            </w:r>
            <w:r>
              <w:rPr>
                <w:color w:val="000000" w:themeColor="text1"/>
                <w:kern w:val="2"/>
                <w:szCs w:val="22"/>
                <w14:textFill>
                  <w14:solidFill>
                    <w14:schemeClr w14:val="tx1"/>
                  </w14:solidFill>
                </w14:textFill>
              </w:rPr>
              <w:t>式饮用水水源，其保护区以外的补给径流区；分散式饮用水水源地；特殊地下水资源（如矿泉水、温泉等）保护区以外的分布区等其他未列入上述敏感分级的环境敏感区。</w:t>
            </w:r>
          </w:p>
        </w:tc>
      </w:tr>
      <w:tr w14:paraId="5B24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6" w:type="dxa"/>
            <w:vAlign w:val="center"/>
          </w:tcPr>
          <w:p w14:paraId="4D558182">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不敏感</w:t>
            </w:r>
          </w:p>
        </w:tc>
        <w:tc>
          <w:tcPr>
            <w:tcW w:w="6853" w:type="dxa"/>
            <w:vAlign w:val="center"/>
          </w:tcPr>
          <w:p w14:paraId="64563B0E">
            <w:pPr>
              <w:pStyle w:val="190"/>
              <w:rPr>
                <w:rFonts w:hint="eastAsia"/>
                <w:color w:val="000000" w:themeColor="text1"/>
                <w:kern w:val="2"/>
                <w:szCs w:val="22"/>
                <w14:textFill>
                  <w14:solidFill>
                    <w14:schemeClr w14:val="tx1"/>
                  </w14:solidFill>
                </w14:textFill>
              </w:rPr>
            </w:pPr>
            <w:r>
              <w:rPr>
                <w:bCs/>
                <w:color w:val="000000" w:themeColor="text1"/>
                <w:kern w:val="2"/>
                <w:szCs w:val="22"/>
                <w14:textFill>
                  <w14:solidFill>
                    <w14:schemeClr w14:val="tx1"/>
                  </w14:solidFill>
                </w14:textFill>
              </w:rPr>
              <w:t>上述地区之外的</w:t>
            </w:r>
            <w:r>
              <w:rPr>
                <w:rFonts w:hint="eastAsia"/>
                <w:bCs/>
                <w:color w:val="000000" w:themeColor="text1"/>
                <w:kern w:val="2"/>
                <w:szCs w:val="22"/>
                <w14:textFill>
                  <w14:solidFill>
                    <w14:schemeClr w14:val="tx1"/>
                  </w14:solidFill>
                </w14:textFill>
              </w:rPr>
              <w:t>其他</w:t>
            </w:r>
            <w:r>
              <w:rPr>
                <w:bCs/>
                <w:color w:val="000000" w:themeColor="text1"/>
                <w:kern w:val="2"/>
                <w:szCs w:val="22"/>
                <w14:textFill>
                  <w14:solidFill>
                    <w14:schemeClr w14:val="tx1"/>
                  </w14:solidFill>
                </w14:textFill>
              </w:rPr>
              <w:t>地区。</w:t>
            </w:r>
          </w:p>
        </w:tc>
      </w:tr>
    </w:tbl>
    <w:p w14:paraId="21290C1A">
      <w:pPr>
        <w:pStyle w:val="281"/>
        <w:ind w:firstLine="480"/>
        <w:rPr>
          <w:color w:val="000000" w:themeColor="text1"/>
          <w14:textFill>
            <w14:solidFill>
              <w14:schemeClr w14:val="tx1"/>
            </w14:solidFill>
          </w14:textFill>
        </w:rPr>
      </w:pPr>
      <w:bookmarkStart w:id="58" w:name="_Hlk150639900"/>
      <w:r>
        <w:rPr>
          <w:rFonts w:hint="eastAsia"/>
          <w:color w:val="000000" w:themeColor="text1"/>
          <w14:textFill>
            <w14:solidFill>
              <w14:schemeClr w14:val="tx1"/>
            </w14:solidFill>
          </w14:textFill>
        </w:rPr>
        <w:t>本项目所在区域</w:t>
      </w:r>
      <w:r>
        <w:rPr>
          <w:rFonts w:hint="eastAsia" w:ascii="宋体" w:hAnsi="宋体"/>
          <w:color w:val="000000" w:themeColor="text1"/>
          <w14:textFill>
            <w14:solidFill>
              <w14:schemeClr w14:val="tx1"/>
            </w14:solidFill>
          </w14:textFill>
        </w:rPr>
        <w:t>不涉及集中式饮用水水源（包括已建成的在用、备用、应急水源，在建和规划的饮用水水源）准保护区和补给径流区，周边水井不属于分散式水源地，因此不是地下水环境敏感区或较敏感区，敏感程度为</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不敏感</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p>
    <w:bookmarkEnd w:id="58"/>
    <w:p w14:paraId="3EC21644">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《环境影响评价技术导则地下水环境》中建设项目地下水环境影响评价工作等级划分见表</w:t>
      </w:r>
      <w:r>
        <w:rPr>
          <w:color w:val="000000" w:themeColor="text1"/>
          <w14:textFill>
            <w14:solidFill>
              <w14:schemeClr w14:val="tx1"/>
            </w14:solidFill>
          </w14:textFill>
        </w:rPr>
        <w:t>2.6.3-2</w:t>
      </w:r>
      <w:r>
        <w:rPr>
          <w:rFonts w:hint="eastAsia" w:ascii="宋体" w:hAnsi="宋体"/>
          <w:color w:val="000000" w:themeColor="text1"/>
          <w14:textFill>
            <w14:solidFill>
              <w14:schemeClr w14:val="tx1"/>
            </w14:solidFill>
          </w14:textFill>
        </w:rPr>
        <w:t>。</w:t>
      </w:r>
    </w:p>
    <w:p w14:paraId="36DCF9DB">
      <w:pPr>
        <w:pStyle w:val="161"/>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表2.6.3-2</w:t>
      </w:r>
      <w:r>
        <w:rPr>
          <w:color w:val="000000" w:themeColor="text1"/>
          <w:lang w:val="zh-CN"/>
          <w14:textFill>
            <w14:solidFill>
              <w14:schemeClr w14:val="tx1"/>
            </w14:solidFill>
          </w14:textFill>
        </w:rPr>
        <w:t xml:space="preserve">    评价工作等级分级表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4"/>
        <w:gridCol w:w="2164"/>
        <w:gridCol w:w="2164"/>
        <w:gridCol w:w="2013"/>
      </w:tblGrid>
      <w:tr w14:paraId="16AD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132" w:type="dxa"/>
            <w:vAlign w:val="center"/>
          </w:tcPr>
          <w:p w14:paraId="566A2784">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项目类别</w:t>
            </w:r>
          </w:p>
          <w:p w14:paraId="417ACE71">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环境敏感程度</w:t>
            </w:r>
          </w:p>
        </w:tc>
        <w:tc>
          <w:tcPr>
            <w:tcW w:w="2132" w:type="dxa"/>
            <w:vAlign w:val="center"/>
          </w:tcPr>
          <w:p w14:paraId="1F4E9693">
            <w:pPr>
              <w:pStyle w:val="190"/>
              <w:rPr>
                <w:rFonts w:hint="eastAsia"/>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Ⅰ</w:t>
            </w:r>
            <w:r>
              <w:rPr>
                <w:color w:val="000000" w:themeColor="text1"/>
                <w:kern w:val="2"/>
                <w:szCs w:val="22"/>
                <w14:textFill>
                  <w14:solidFill>
                    <w14:schemeClr w14:val="tx1"/>
                  </w14:solidFill>
                </w14:textFill>
              </w:rPr>
              <w:t>类项目</w:t>
            </w:r>
          </w:p>
        </w:tc>
        <w:tc>
          <w:tcPr>
            <w:tcW w:w="2132" w:type="dxa"/>
            <w:vAlign w:val="center"/>
          </w:tcPr>
          <w:p w14:paraId="24F350DB">
            <w:pPr>
              <w:pStyle w:val="190"/>
              <w:rPr>
                <w:rFonts w:hint="eastAsia"/>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Ⅱ</w:t>
            </w:r>
            <w:r>
              <w:rPr>
                <w:color w:val="000000" w:themeColor="text1"/>
                <w:kern w:val="2"/>
                <w:szCs w:val="22"/>
                <w14:textFill>
                  <w14:solidFill>
                    <w14:schemeClr w14:val="tx1"/>
                  </w14:solidFill>
                </w14:textFill>
              </w:rPr>
              <w:t>类项目</w:t>
            </w:r>
          </w:p>
        </w:tc>
        <w:tc>
          <w:tcPr>
            <w:tcW w:w="1983" w:type="dxa"/>
            <w:vAlign w:val="center"/>
          </w:tcPr>
          <w:p w14:paraId="2571B807">
            <w:pPr>
              <w:pStyle w:val="190"/>
              <w:rPr>
                <w:rFonts w:hint="eastAsia"/>
                <w:color w:val="000000" w:themeColor="text1"/>
                <w:kern w:val="2"/>
                <w:szCs w:val="22"/>
                <w14:textFill>
                  <w14:solidFill>
                    <w14:schemeClr w14:val="tx1"/>
                  </w14:solidFill>
                </w14:textFill>
              </w:rPr>
            </w:pPr>
            <w:r>
              <w:rPr>
                <w:rFonts w:hint="eastAsia"/>
                <w:color w:val="000000" w:themeColor="text1"/>
                <w:kern w:val="2"/>
                <w:szCs w:val="22"/>
                <w14:textFill>
                  <w14:solidFill>
                    <w14:schemeClr w14:val="tx1"/>
                  </w14:solidFill>
                </w14:textFill>
              </w:rPr>
              <w:t>Ⅲ</w:t>
            </w:r>
            <w:r>
              <w:rPr>
                <w:color w:val="000000" w:themeColor="text1"/>
                <w:kern w:val="2"/>
                <w:szCs w:val="22"/>
                <w14:textFill>
                  <w14:solidFill>
                    <w14:schemeClr w14:val="tx1"/>
                  </w14:solidFill>
                </w14:textFill>
              </w:rPr>
              <w:t>类项目</w:t>
            </w:r>
          </w:p>
        </w:tc>
      </w:tr>
      <w:tr w14:paraId="3D8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132" w:type="dxa"/>
            <w:vAlign w:val="center"/>
          </w:tcPr>
          <w:p w14:paraId="203460E2">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敏感</w:t>
            </w:r>
          </w:p>
        </w:tc>
        <w:tc>
          <w:tcPr>
            <w:tcW w:w="2132" w:type="dxa"/>
            <w:vAlign w:val="center"/>
          </w:tcPr>
          <w:p w14:paraId="14757B79">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一</w:t>
            </w:r>
          </w:p>
        </w:tc>
        <w:tc>
          <w:tcPr>
            <w:tcW w:w="2132" w:type="dxa"/>
            <w:vAlign w:val="center"/>
          </w:tcPr>
          <w:p w14:paraId="7A0E7B5D">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一</w:t>
            </w:r>
          </w:p>
        </w:tc>
        <w:tc>
          <w:tcPr>
            <w:tcW w:w="1983" w:type="dxa"/>
            <w:vAlign w:val="center"/>
          </w:tcPr>
          <w:p w14:paraId="189F97A6">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二</w:t>
            </w:r>
          </w:p>
        </w:tc>
      </w:tr>
      <w:tr w14:paraId="247C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132" w:type="dxa"/>
            <w:vAlign w:val="center"/>
          </w:tcPr>
          <w:p w14:paraId="5C5A811A">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较敏感</w:t>
            </w:r>
          </w:p>
        </w:tc>
        <w:tc>
          <w:tcPr>
            <w:tcW w:w="2132" w:type="dxa"/>
            <w:vAlign w:val="center"/>
          </w:tcPr>
          <w:p w14:paraId="1717B490">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一</w:t>
            </w:r>
          </w:p>
        </w:tc>
        <w:tc>
          <w:tcPr>
            <w:tcW w:w="2132" w:type="dxa"/>
            <w:vAlign w:val="center"/>
          </w:tcPr>
          <w:p w14:paraId="0376C44B">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二</w:t>
            </w:r>
          </w:p>
        </w:tc>
        <w:tc>
          <w:tcPr>
            <w:tcW w:w="1983" w:type="dxa"/>
            <w:vAlign w:val="center"/>
          </w:tcPr>
          <w:p w14:paraId="7E552BC3">
            <w:pPr>
              <w:pStyle w:val="190"/>
              <w:rPr>
                <w:rFonts w:hint="eastAsia"/>
                <w:color w:val="000000" w:themeColor="text1"/>
                <w:kern w:val="2"/>
                <w:szCs w:val="22"/>
                <w14:textFill>
                  <w14:solidFill>
                    <w14:schemeClr w14:val="tx1"/>
                  </w14:solidFill>
                </w14:textFill>
              </w:rPr>
            </w:pPr>
            <w:r>
              <w:rPr>
                <w:b/>
                <w:bCs/>
                <w:color w:val="000000" w:themeColor="text1"/>
                <w:kern w:val="2"/>
                <w:szCs w:val="22"/>
                <w14:textFill>
                  <w14:solidFill>
                    <w14:schemeClr w14:val="tx1"/>
                  </w14:solidFill>
                </w14:textFill>
              </w:rPr>
              <w:t>三</w:t>
            </w:r>
          </w:p>
        </w:tc>
      </w:tr>
      <w:tr w14:paraId="61B8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132" w:type="dxa"/>
            <w:vAlign w:val="center"/>
          </w:tcPr>
          <w:p w14:paraId="63ACD8D9">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不敏感</w:t>
            </w:r>
          </w:p>
        </w:tc>
        <w:tc>
          <w:tcPr>
            <w:tcW w:w="2132" w:type="dxa"/>
            <w:shd w:val="clear" w:color="auto" w:fill="D0CECE" w:themeFill="background2" w:themeFillShade="E6"/>
            <w:vAlign w:val="center"/>
          </w:tcPr>
          <w:p w14:paraId="7907EE45">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二</w:t>
            </w:r>
          </w:p>
        </w:tc>
        <w:tc>
          <w:tcPr>
            <w:tcW w:w="2132" w:type="dxa"/>
            <w:vAlign w:val="center"/>
          </w:tcPr>
          <w:p w14:paraId="404CCD6B">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三</w:t>
            </w:r>
          </w:p>
        </w:tc>
        <w:tc>
          <w:tcPr>
            <w:tcW w:w="1983" w:type="dxa"/>
            <w:vAlign w:val="center"/>
          </w:tcPr>
          <w:p w14:paraId="5D71618E">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三</w:t>
            </w:r>
          </w:p>
        </w:tc>
      </w:tr>
    </w:tbl>
    <w:p w14:paraId="78C9303E">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根据建设项目地下水环境影响评价工作等级划分，本项目地下水环境影响评价等级为二级</w:t>
      </w:r>
      <w:r>
        <w:rPr>
          <w:rFonts w:hint="eastAsia" w:ascii="Times New Roman"/>
          <w:color w:val="000000" w:themeColor="text1"/>
          <w14:textFill>
            <w14:solidFill>
              <w14:schemeClr w14:val="tx1"/>
            </w14:solidFill>
          </w14:textFill>
        </w:rPr>
        <w:t>。</w:t>
      </w:r>
      <w:bookmarkEnd w:id="57"/>
    </w:p>
    <w:p w14:paraId="594CA5F8">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声环境</w:t>
      </w:r>
    </w:p>
    <w:p w14:paraId="6C880736">
      <w:pPr>
        <w:pStyle w:val="104"/>
        <w:ind w:firstLine="512"/>
        <w:jc w:val="both"/>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本项目厂址位于</w:t>
      </w:r>
      <w:r>
        <w:rPr>
          <w:rFonts w:hint="eastAsia" w:ascii="Times New Roman"/>
          <w:color w:val="000000" w:themeColor="text1"/>
          <w:lang w:val="zh-CN"/>
          <w14:textFill>
            <w14:solidFill>
              <w14:schemeClr w14:val="tx1"/>
            </w14:solidFill>
          </w14:textFill>
        </w:rPr>
        <w:t>哈密工业园区</w:t>
      </w:r>
      <w:r>
        <w:rPr>
          <w:rFonts w:ascii="Times New Roman"/>
          <w:color w:val="000000" w:themeColor="text1"/>
          <w14:textFill>
            <w14:solidFill>
              <w14:schemeClr w14:val="tx1"/>
            </w14:solidFill>
          </w14:textFill>
        </w:rPr>
        <w:t>，厂址附近没有声环境敏感目标。根据园区</w:t>
      </w:r>
      <w:r>
        <w:rPr>
          <w:rFonts w:hint="eastAsia"/>
          <w:color w:val="000000" w:themeColor="text1"/>
          <w14:textFill>
            <w14:solidFill>
              <w14:schemeClr w14:val="tx1"/>
            </w14:solidFill>
          </w14:textFill>
        </w:rPr>
        <w:t>总体规划</w:t>
      </w:r>
      <w:r>
        <w:rPr>
          <w:rFonts w:ascii="Times New Roman"/>
          <w:color w:val="000000" w:themeColor="text1"/>
          <w14:textFill>
            <w14:solidFill>
              <w14:schemeClr w14:val="tx1"/>
            </w14:solidFill>
          </w14:textFill>
        </w:rPr>
        <w:t>及</w:t>
      </w:r>
      <w:r>
        <w:rPr>
          <w:rFonts w:hint="eastAsia"/>
          <w:color w:val="000000" w:themeColor="text1"/>
          <w14:textFill>
            <w14:solidFill>
              <w14:schemeClr w14:val="tx1"/>
            </w14:solidFill>
          </w14:textFill>
        </w:rPr>
        <w:t>规划</w:t>
      </w:r>
      <w:r>
        <w:rPr>
          <w:rFonts w:ascii="Times New Roman"/>
          <w:color w:val="000000" w:themeColor="text1"/>
          <w14:textFill>
            <w14:solidFill>
              <w14:schemeClr w14:val="tx1"/>
            </w14:solidFill>
          </w14:textFill>
        </w:rPr>
        <w:t>环评的要求，声环境质量为3</w:t>
      </w:r>
      <w:r>
        <w:rPr>
          <w:rFonts w:hint="eastAsia" w:ascii="Times New Roman"/>
          <w:color w:val="000000" w:themeColor="text1"/>
          <w14:textFill>
            <w14:solidFill>
              <w14:schemeClr w14:val="tx1"/>
            </w14:solidFill>
          </w14:textFill>
        </w:rPr>
        <w:t>类区</w:t>
      </w:r>
      <w:r>
        <w:rPr>
          <w:rFonts w:ascii="Times New Roman"/>
          <w:color w:val="000000" w:themeColor="text1"/>
          <w14:textFill>
            <w14:solidFill>
              <w14:schemeClr w14:val="tx1"/>
            </w14:solidFill>
          </w14:textFill>
        </w:rPr>
        <w:t>。根据《环境影响评价技术导则-声环境》中的评价等级确定原则，声环境评价等级为三级，主要预测厂界达标状况。</w:t>
      </w:r>
    </w:p>
    <w:p w14:paraId="3989A6F1">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w:t>
      </w:r>
      <w:r>
        <w:rPr>
          <w:color w:val="000000" w:themeColor="text1"/>
          <w14:textFill>
            <w14:solidFill>
              <w14:schemeClr w14:val="tx1"/>
            </w14:solidFill>
          </w14:textFill>
        </w:rPr>
        <w:t>环境</w:t>
      </w:r>
    </w:p>
    <w:p w14:paraId="70D63CFF">
      <w:pPr>
        <w:pStyle w:val="281"/>
        <w:ind w:firstLine="480"/>
        <w:rPr>
          <w:color w:val="000000" w:themeColor="text1"/>
          <w14:textFill>
            <w14:solidFill>
              <w14:schemeClr w14:val="tx1"/>
            </w14:solidFill>
          </w14:textFill>
        </w:rPr>
      </w:pPr>
      <w:bookmarkStart w:id="59" w:name="_Toc206904200"/>
      <w:bookmarkStart w:id="60" w:name="_Toc183085425"/>
      <w:bookmarkStart w:id="61" w:name="_Toc225739990"/>
      <w:bookmarkStart w:id="62" w:name="_Toc219552016"/>
      <w:bookmarkStart w:id="63" w:name="_Toc76357677"/>
      <w:bookmarkStart w:id="64" w:name="_Toc107575271"/>
      <w:bookmarkStart w:id="65" w:name="_Toc183085699"/>
      <w:r>
        <w:rPr>
          <w:color w:val="000000" w:themeColor="text1"/>
          <w:lang w:val="zh-CN"/>
          <w14:textFill>
            <w14:solidFill>
              <w14:schemeClr w14:val="tx1"/>
            </w14:solidFill>
          </w14:textFill>
        </w:rPr>
        <w:t>根据《环境影响评价技术导则生态影响》（HJ19-2022）</w:t>
      </w:r>
      <w:r>
        <w:rPr>
          <w:rFonts w:hint="eastAsia"/>
          <w:color w:val="000000" w:themeColor="text1"/>
          <w:lang w:val="zh-CN"/>
          <w14:textFill>
            <w14:solidFill>
              <w14:schemeClr w14:val="tx1"/>
            </w14:solidFill>
          </w14:textFill>
        </w:rPr>
        <w:t>6.1.2中的判定原则</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项目位于</w:t>
      </w:r>
      <w:r>
        <w:rPr>
          <w:rFonts w:hint="eastAsia"/>
          <w:color w:val="000000" w:themeColor="text1"/>
          <w14:textFill>
            <w14:solidFill>
              <w14:schemeClr w14:val="tx1"/>
            </w14:solidFill>
          </w14:textFill>
        </w:rPr>
        <w:t>哈密工业园区</w:t>
      </w:r>
      <w:r>
        <w:rPr>
          <w:rFonts w:hint="eastAsia"/>
          <w:color w:val="000000" w:themeColor="text1"/>
          <w:lang w:val="zh-CN"/>
          <w14:textFill>
            <w14:solidFill>
              <w14:schemeClr w14:val="tx1"/>
            </w14:solidFill>
          </w14:textFill>
        </w:rPr>
        <w:t>，不涉及国家公园、自然保护区、世界自然遗产、重要生境、自然公园、生态保护红线；项目地表水评价等级为三级B，拟建项目</w:t>
      </w:r>
      <w:r>
        <w:rPr>
          <w:color w:val="000000" w:themeColor="text1"/>
          <w:lang w:val="zh-CN"/>
          <w14:textFill>
            <w14:solidFill>
              <w14:schemeClr w14:val="tx1"/>
            </w14:solidFill>
          </w14:textFill>
        </w:rPr>
        <w:t>占地面积</w:t>
      </w:r>
      <w:r>
        <w:rPr>
          <w:rFonts w:hint="eastAsia"/>
          <w:color w:val="000000" w:themeColor="text1"/>
          <w14:textFill>
            <w14:solidFill>
              <w14:schemeClr w14:val="tx1"/>
            </w14:solidFill>
          </w14:textFill>
        </w:rPr>
        <w:t>51.024h</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lang w:val="zh-CN"/>
          <w14:textFill>
            <w14:solidFill>
              <w14:schemeClr w14:val="tx1"/>
            </w14:solidFill>
          </w14:textFill>
        </w:rPr>
        <w:t>。本项目位于已批准规划环评的园区内且符合规划环评要求、不涉及生态敏感区的污染影响类建设项目，可不确定评价等级，直接进行生态影响简单分析。</w:t>
      </w:r>
      <w:bookmarkEnd w:id="59"/>
      <w:bookmarkEnd w:id="60"/>
      <w:bookmarkEnd w:id="61"/>
      <w:bookmarkEnd w:id="62"/>
      <w:bookmarkEnd w:id="63"/>
      <w:bookmarkEnd w:id="64"/>
      <w:bookmarkEnd w:id="65"/>
    </w:p>
    <w:p w14:paraId="65EEED7C">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p w14:paraId="1A1988CA">
      <w:pPr>
        <w:pStyle w:val="104"/>
        <w:ind w:firstLine="512"/>
        <w:rPr>
          <w:rFonts w:hint="eastAsia"/>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本项目为污染影响型项目，根据土壤环境影响评价类别、占地规模与敏感程度划分评价工作等级，详见表2.6.6-1。</w:t>
      </w:r>
    </w:p>
    <w:p w14:paraId="60A15F95">
      <w:pPr>
        <w:pStyle w:val="540"/>
        <w:rPr>
          <w:rFonts w:hint="eastAsia"/>
          <w:color w:val="000000" w:themeColor="text1"/>
          <w14:textFill>
            <w14:solidFill>
              <w14:schemeClr w14:val="tx1"/>
            </w14:solidFill>
          </w14:textFill>
        </w:rPr>
      </w:pPr>
      <w:r>
        <w:rPr>
          <w:color w:val="000000" w:themeColor="text1"/>
          <w14:textFill>
            <w14:solidFill>
              <w14:schemeClr w14:val="tx1"/>
            </w14:solidFill>
          </w14:textFill>
        </w:rPr>
        <w:t>表2.6.6-1    污染影响型评价工作等级划分一览表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 w:type="dxa"/>
          <w:bottom w:w="0" w:type="dxa"/>
          <w:right w:w="6" w:type="dxa"/>
        </w:tblCellMar>
      </w:tblPr>
      <w:tblGrid>
        <w:gridCol w:w="1514"/>
        <w:gridCol w:w="778"/>
        <w:gridCol w:w="777"/>
        <w:gridCol w:w="777"/>
        <w:gridCol w:w="777"/>
        <w:gridCol w:w="777"/>
        <w:gridCol w:w="777"/>
        <w:gridCol w:w="777"/>
        <w:gridCol w:w="777"/>
        <w:gridCol w:w="774"/>
      </w:tblGrid>
      <w:tr w14:paraId="38A1B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1480" w:type="dxa"/>
            <w:vMerge w:val="restart"/>
            <w:vAlign w:val="center"/>
          </w:tcPr>
          <w:p w14:paraId="29DCCBCB">
            <w:pPr>
              <w:pStyle w:val="557"/>
            </w:pPr>
            <w:r>
              <w:t>敏感程度评价工作等级占地规模</w:t>
            </w:r>
          </w:p>
        </w:tc>
        <w:tc>
          <w:tcPr>
            <w:tcW w:w="2281" w:type="dxa"/>
            <w:gridSpan w:val="3"/>
            <w:vAlign w:val="center"/>
          </w:tcPr>
          <w:p w14:paraId="1682FD78">
            <w:pPr>
              <w:pStyle w:val="557"/>
            </w:pPr>
            <w:r>
              <w:t>Ⅰ类</w:t>
            </w:r>
          </w:p>
        </w:tc>
        <w:tc>
          <w:tcPr>
            <w:tcW w:w="2280" w:type="dxa"/>
            <w:gridSpan w:val="3"/>
            <w:vAlign w:val="center"/>
          </w:tcPr>
          <w:p w14:paraId="3A42AC73">
            <w:pPr>
              <w:pStyle w:val="557"/>
            </w:pPr>
            <w:r>
              <w:t>Ⅱ类</w:t>
            </w:r>
          </w:p>
        </w:tc>
        <w:tc>
          <w:tcPr>
            <w:tcW w:w="2277" w:type="dxa"/>
            <w:gridSpan w:val="3"/>
            <w:vAlign w:val="center"/>
          </w:tcPr>
          <w:p w14:paraId="2ADE9909">
            <w:pPr>
              <w:pStyle w:val="557"/>
            </w:pPr>
            <w:r>
              <w:t>Ⅲ类</w:t>
            </w:r>
          </w:p>
        </w:tc>
      </w:tr>
      <w:tr w14:paraId="118C1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1480" w:type="dxa"/>
            <w:vMerge w:val="continue"/>
            <w:vAlign w:val="center"/>
          </w:tcPr>
          <w:p w14:paraId="30337B1B">
            <w:pPr>
              <w:pStyle w:val="557"/>
            </w:pPr>
          </w:p>
        </w:tc>
        <w:tc>
          <w:tcPr>
            <w:tcW w:w="761" w:type="dxa"/>
            <w:vAlign w:val="center"/>
          </w:tcPr>
          <w:p w14:paraId="420687C3">
            <w:pPr>
              <w:pStyle w:val="557"/>
            </w:pPr>
            <w:r>
              <w:t>大</w:t>
            </w:r>
          </w:p>
        </w:tc>
        <w:tc>
          <w:tcPr>
            <w:tcW w:w="760" w:type="dxa"/>
            <w:vAlign w:val="center"/>
          </w:tcPr>
          <w:p w14:paraId="0F930C39">
            <w:pPr>
              <w:pStyle w:val="557"/>
            </w:pPr>
            <w:r>
              <w:t>中</w:t>
            </w:r>
          </w:p>
        </w:tc>
        <w:tc>
          <w:tcPr>
            <w:tcW w:w="760" w:type="dxa"/>
            <w:vAlign w:val="center"/>
          </w:tcPr>
          <w:p w14:paraId="1748AC05">
            <w:pPr>
              <w:pStyle w:val="557"/>
            </w:pPr>
            <w:r>
              <w:t>小</w:t>
            </w:r>
          </w:p>
        </w:tc>
        <w:tc>
          <w:tcPr>
            <w:tcW w:w="760" w:type="dxa"/>
            <w:vAlign w:val="center"/>
          </w:tcPr>
          <w:p w14:paraId="59FBEFF7">
            <w:pPr>
              <w:pStyle w:val="557"/>
            </w:pPr>
            <w:r>
              <w:t>大</w:t>
            </w:r>
          </w:p>
        </w:tc>
        <w:tc>
          <w:tcPr>
            <w:tcW w:w="760" w:type="dxa"/>
            <w:vAlign w:val="center"/>
          </w:tcPr>
          <w:p w14:paraId="3131C0C1">
            <w:pPr>
              <w:pStyle w:val="557"/>
            </w:pPr>
            <w:r>
              <w:t>中</w:t>
            </w:r>
          </w:p>
        </w:tc>
        <w:tc>
          <w:tcPr>
            <w:tcW w:w="760" w:type="dxa"/>
            <w:vAlign w:val="center"/>
          </w:tcPr>
          <w:p w14:paraId="5CBC86C6">
            <w:pPr>
              <w:pStyle w:val="557"/>
            </w:pPr>
            <w:r>
              <w:t>小</w:t>
            </w:r>
          </w:p>
        </w:tc>
        <w:tc>
          <w:tcPr>
            <w:tcW w:w="760" w:type="dxa"/>
            <w:vAlign w:val="center"/>
          </w:tcPr>
          <w:p w14:paraId="478B51E4">
            <w:pPr>
              <w:pStyle w:val="557"/>
            </w:pPr>
            <w:r>
              <w:t>大</w:t>
            </w:r>
          </w:p>
        </w:tc>
        <w:tc>
          <w:tcPr>
            <w:tcW w:w="760" w:type="dxa"/>
            <w:vAlign w:val="center"/>
          </w:tcPr>
          <w:p w14:paraId="46D16A40">
            <w:pPr>
              <w:pStyle w:val="557"/>
            </w:pPr>
            <w:r>
              <w:t>中</w:t>
            </w:r>
          </w:p>
        </w:tc>
        <w:tc>
          <w:tcPr>
            <w:tcW w:w="757" w:type="dxa"/>
            <w:vAlign w:val="center"/>
          </w:tcPr>
          <w:p w14:paraId="6AE5EB98">
            <w:pPr>
              <w:pStyle w:val="557"/>
            </w:pPr>
            <w:r>
              <w:t>小</w:t>
            </w:r>
          </w:p>
        </w:tc>
      </w:tr>
      <w:tr w14:paraId="513EB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1480" w:type="dxa"/>
            <w:vAlign w:val="center"/>
          </w:tcPr>
          <w:p w14:paraId="46800804">
            <w:pPr>
              <w:pStyle w:val="557"/>
            </w:pPr>
            <w:r>
              <w:t>敏感</w:t>
            </w:r>
          </w:p>
        </w:tc>
        <w:tc>
          <w:tcPr>
            <w:tcW w:w="761" w:type="dxa"/>
            <w:vAlign w:val="center"/>
          </w:tcPr>
          <w:p w14:paraId="38C05E84">
            <w:pPr>
              <w:pStyle w:val="557"/>
            </w:pPr>
            <w:r>
              <w:t>一级</w:t>
            </w:r>
          </w:p>
        </w:tc>
        <w:tc>
          <w:tcPr>
            <w:tcW w:w="760" w:type="dxa"/>
            <w:vAlign w:val="center"/>
          </w:tcPr>
          <w:p w14:paraId="46F6B85B">
            <w:pPr>
              <w:pStyle w:val="557"/>
            </w:pPr>
            <w:r>
              <w:t>一级</w:t>
            </w:r>
          </w:p>
        </w:tc>
        <w:tc>
          <w:tcPr>
            <w:tcW w:w="760" w:type="dxa"/>
            <w:vAlign w:val="center"/>
          </w:tcPr>
          <w:p w14:paraId="020B6310">
            <w:pPr>
              <w:pStyle w:val="557"/>
            </w:pPr>
            <w:r>
              <w:t>一级</w:t>
            </w:r>
          </w:p>
        </w:tc>
        <w:tc>
          <w:tcPr>
            <w:tcW w:w="760" w:type="dxa"/>
            <w:vAlign w:val="center"/>
          </w:tcPr>
          <w:p w14:paraId="09E414CA">
            <w:pPr>
              <w:pStyle w:val="557"/>
            </w:pPr>
            <w:r>
              <w:t>二级</w:t>
            </w:r>
          </w:p>
        </w:tc>
        <w:tc>
          <w:tcPr>
            <w:tcW w:w="760" w:type="dxa"/>
            <w:vAlign w:val="center"/>
          </w:tcPr>
          <w:p w14:paraId="0DFE30CD">
            <w:pPr>
              <w:pStyle w:val="557"/>
            </w:pPr>
            <w:r>
              <w:t>二级</w:t>
            </w:r>
          </w:p>
        </w:tc>
        <w:tc>
          <w:tcPr>
            <w:tcW w:w="760" w:type="dxa"/>
            <w:vAlign w:val="center"/>
          </w:tcPr>
          <w:p w14:paraId="6BA2E168">
            <w:pPr>
              <w:pStyle w:val="557"/>
            </w:pPr>
            <w:r>
              <w:t>二级</w:t>
            </w:r>
          </w:p>
        </w:tc>
        <w:tc>
          <w:tcPr>
            <w:tcW w:w="760" w:type="dxa"/>
            <w:vAlign w:val="center"/>
          </w:tcPr>
          <w:p w14:paraId="62AE4588">
            <w:pPr>
              <w:pStyle w:val="557"/>
            </w:pPr>
            <w:r>
              <w:t>三级</w:t>
            </w:r>
          </w:p>
        </w:tc>
        <w:tc>
          <w:tcPr>
            <w:tcW w:w="760" w:type="dxa"/>
            <w:vAlign w:val="center"/>
          </w:tcPr>
          <w:p w14:paraId="52AE6678">
            <w:pPr>
              <w:pStyle w:val="557"/>
            </w:pPr>
            <w:r>
              <w:t>三级</w:t>
            </w:r>
          </w:p>
        </w:tc>
        <w:tc>
          <w:tcPr>
            <w:tcW w:w="757" w:type="dxa"/>
            <w:vAlign w:val="center"/>
          </w:tcPr>
          <w:p w14:paraId="079DF14C">
            <w:pPr>
              <w:pStyle w:val="557"/>
            </w:pPr>
            <w:r>
              <w:t>三级</w:t>
            </w:r>
          </w:p>
        </w:tc>
      </w:tr>
      <w:tr w14:paraId="49361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1480" w:type="dxa"/>
            <w:vAlign w:val="center"/>
          </w:tcPr>
          <w:p w14:paraId="6D6897CC">
            <w:pPr>
              <w:pStyle w:val="557"/>
            </w:pPr>
            <w:r>
              <w:t>较敏感</w:t>
            </w:r>
          </w:p>
        </w:tc>
        <w:tc>
          <w:tcPr>
            <w:tcW w:w="761" w:type="dxa"/>
            <w:shd w:val="clear" w:color="auto" w:fill="FFFFFF" w:themeFill="background1"/>
            <w:vAlign w:val="center"/>
          </w:tcPr>
          <w:p w14:paraId="60945A47">
            <w:pPr>
              <w:pStyle w:val="557"/>
            </w:pPr>
            <w:r>
              <w:t>一级</w:t>
            </w:r>
          </w:p>
        </w:tc>
        <w:tc>
          <w:tcPr>
            <w:tcW w:w="760" w:type="dxa"/>
            <w:vAlign w:val="center"/>
          </w:tcPr>
          <w:p w14:paraId="365848A9">
            <w:pPr>
              <w:pStyle w:val="557"/>
            </w:pPr>
            <w:r>
              <w:t>一级</w:t>
            </w:r>
          </w:p>
        </w:tc>
        <w:tc>
          <w:tcPr>
            <w:tcW w:w="760" w:type="dxa"/>
            <w:vAlign w:val="center"/>
          </w:tcPr>
          <w:p w14:paraId="73E84053">
            <w:pPr>
              <w:pStyle w:val="557"/>
            </w:pPr>
            <w:r>
              <w:t>二级</w:t>
            </w:r>
          </w:p>
        </w:tc>
        <w:tc>
          <w:tcPr>
            <w:tcW w:w="760" w:type="dxa"/>
            <w:vAlign w:val="center"/>
          </w:tcPr>
          <w:p w14:paraId="2FF8B48D">
            <w:pPr>
              <w:pStyle w:val="557"/>
            </w:pPr>
            <w:r>
              <w:t>二级</w:t>
            </w:r>
          </w:p>
        </w:tc>
        <w:tc>
          <w:tcPr>
            <w:tcW w:w="760" w:type="dxa"/>
            <w:vAlign w:val="center"/>
          </w:tcPr>
          <w:p w14:paraId="73335D8F">
            <w:pPr>
              <w:pStyle w:val="557"/>
            </w:pPr>
            <w:r>
              <w:t>二级</w:t>
            </w:r>
          </w:p>
        </w:tc>
        <w:tc>
          <w:tcPr>
            <w:tcW w:w="760" w:type="dxa"/>
            <w:vAlign w:val="center"/>
          </w:tcPr>
          <w:p w14:paraId="14993D13">
            <w:pPr>
              <w:pStyle w:val="557"/>
            </w:pPr>
            <w:r>
              <w:t>三级</w:t>
            </w:r>
          </w:p>
        </w:tc>
        <w:tc>
          <w:tcPr>
            <w:tcW w:w="760" w:type="dxa"/>
            <w:vAlign w:val="center"/>
          </w:tcPr>
          <w:p w14:paraId="55C8BAC6">
            <w:pPr>
              <w:pStyle w:val="557"/>
            </w:pPr>
            <w:r>
              <w:t>三级</w:t>
            </w:r>
          </w:p>
        </w:tc>
        <w:tc>
          <w:tcPr>
            <w:tcW w:w="760" w:type="dxa"/>
            <w:vAlign w:val="center"/>
          </w:tcPr>
          <w:p w14:paraId="10B2129A">
            <w:pPr>
              <w:pStyle w:val="557"/>
            </w:pPr>
            <w:r>
              <w:t>三级</w:t>
            </w:r>
          </w:p>
        </w:tc>
        <w:tc>
          <w:tcPr>
            <w:tcW w:w="757" w:type="dxa"/>
            <w:vAlign w:val="center"/>
          </w:tcPr>
          <w:p w14:paraId="1A805B2A">
            <w:pPr>
              <w:pStyle w:val="557"/>
            </w:pPr>
            <w:r>
              <w:t>-</w:t>
            </w:r>
          </w:p>
        </w:tc>
      </w:tr>
      <w:tr w14:paraId="53A90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1480" w:type="dxa"/>
            <w:shd w:val="clear" w:color="auto" w:fill="FFFFFF" w:themeFill="background1"/>
            <w:vAlign w:val="center"/>
          </w:tcPr>
          <w:p w14:paraId="3C06FC75">
            <w:pPr>
              <w:pStyle w:val="557"/>
            </w:pPr>
            <w:r>
              <w:t>不敏感</w:t>
            </w:r>
          </w:p>
        </w:tc>
        <w:tc>
          <w:tcPr>
            <w:tcW w:w="761" w:type="dxa"/>
            <w:shd w:val="clear" w:color="auto" w:fill="D0CECE" w:themeFill="background2" w:themeFillShade="E6"/>
            <w:vAlign w:val="center"/>
          </w:tcPr>
          <w:p w14:paraId="730FED11">
            <w:pPr>
              <w:pStyle w:val="557"/>
            </w:pPr>
            <w:r>
              <w:t>一级</w:t>
            </w:r>
          </w:p>
        </w:tc>
        <w:tc>
          <w:tcPr>
            <w:tcW w:w="760" w:type="dxa"/>
            <w:vAlign w:val="center"/>
          </w:tcPr>
          <w:p w14:paraId="450699D7">
            <w:pPr>
              <w:pStyle w:val="557"/>
            </w:pPr>
            <w:r>
              <w:t>二级</w:t>
            </w:r>
          </w:p>
        </w:tc>
        <w:tc>
          <w:tcPr>
            <w:tcW w:w="760" w:type="dxa"/>
            <w:vAlign w:val="center"/>
          </w:tcPr>
          <w:p w14:paraId="29489FE7">
            <w:pPr>
              <w:pStyle w:val="557"/>
            </w:pPr>
            <w:r>
              <w:t>二级</w:t>
            </w:r>
          </w:p>
        </w:tc>
        <w:tc>
          <w:tcPr>
            <w:tcW w:w="760" w:type="dxa"/>
            <w:vAlign w:val="center"/>
          </w:tcPr>
          <w:p w14:paraId="622B2FBE">
            <w:pPr>
              <w:pStyle w:val="557"/>
            </w:pPr>
            <w:r>
              <w:t>二级</w:t>
            </w:r>
          </w:p>
        </w:tc>
        <w:tc>
          <w:tcPr>
            <w:tcW w:w="760" w:type="dxa"/>
            <w:vAlign w:val="center"/>
          </w:tcPr>
          <w:p w14:paraId="2DD36929">
            <w:pPr>
              <w:pStyle w:val="557"/>
            </w:pPr>
            <w:r>
              <w:t>三级</w:t>
            </w:r>
          </w:p>
        </w:tc>
        <w:tc>
          <w:tcPr>
            <w:tcW w:w="760" w:type="dxa"/>
            <w:vAlign w:val="center"/>
          </w:tcPr>
          <w:p w14:paraId="22761B45">
            <w:pPr>
              <w:pStyle w:val="557"/>
            </w:pPr>
            <w:r>
              <w:t>三级</w:t>
            </w:r>
          </w:p>
        </w:tc>
        <w:tc>
          <w:tcPr>
            <w:tcW w:w="760" w:type="dxa"/>
            <w:vAlign w:val="center"/>
          </w:tcPr>
          <w:p w14:paraId="2800E396">
            <w:pPr>
              <w:pStyle w:val="557"/>
            </w:pPr>
            <w:r>
              <w:t>三级</w:t>
            </w:r>
          </w:p>
        </w:tc>
        <w:tc>
          <w:tcPr>
            <w:tcW w:w="760" w:type="dxa"/>
            <w:vAlign w:val="center"/>
          </w:tcPr>
          <w:p w14:paraId="4527A9D7">
            <w:pPr>
              <w:pStyle w:val="557"/>
            </w:pPr>
            <w:r>
              <w:t>-</w:t>
            </w:r>
          </w:p>
        </w:tc>
        <w:tc>
          <w:tcPr>
            <w:tcW w:w="757" w:type="dxa"/>
            <w:vAlign w:val="center"/>
          </w:tcPr>
          <w:p w14:paraId="1DAB675D">
            <w:pPr>
              <w:pStyle w:val="557"/>
            </w:pPr>
            <w:r>
              <w:t>-</w:t>
            </w:r>
          </w:p>
        </w:tc>
      </w:tr>
      <w:tr w14:paraId="12E87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8318" w:type="dxa"/>
            <w:gridSpan w:val="10"/>
            <w:vAlign w:val="center"/>
          </w:tcPr>
          <w:p w14:paraId="179D91A0">
            <w:pPr>
              <w:pStyle w:val="557"/>
            </w:pPr>
            <w:r>
              <w:t>注：“-”表示可不开展土壤环境影响评价工作</w:t>
            </w:r>
          </w:p>
        </w:tc>
      </w:tr>
    </w:tbl>
    <w:p w14:paraId="7ABCCB84">
      <w:pPr>
        <w:pStyle w:val="104"/>
        <w:ind w:firstLine="512"/>
        <w:rPr>
          <w:rFonts w:hint="eastAsia" w:asci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ascii="Times New Roman"/>
          <w:color w:val="000000" w:themeColor="text1"/>
          <w14:textFill>
            <w14:solidFill>
              <w14:schemeClr w14:val="tx1"/>
            </w14:solidFill>
          </w14:textFill>
        </w:rPr>
        <w:t>土壤环境影响评价类别及占地规模</w:t>
      </w:r>
    </w:p>
    <w:p w14:paraId="37D86E81">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本项目为化学原料和化学制品制造</w:t>
      </w:r>
      <w:r>
        <w:rPr>
          <w:rFonts w:hint="eastAsia" w:ascii="Times New Roman"/>
          <w:color w:val="000000" w:themeColor="text1"/>
          <w14:textFill>
            <w14:solidFill>
              <w14:schemeClr w14:val="tx1"/>
            </w14:solidFill>
          </w14:textFill>
        </w:rPr>
        <w:t>项目</w:t>
      </w:r>
      <w:r>
        <w:rPr>
          <w:rFonts w:ascii="Times New Roman"/>
          <w:color w:val="000000" w:themeColor="text1"/>
          <w14:textFill>
            <w14:solidFill>
              <w14:schemeClr w14:val="tx1"/>
            </w14:solidFill>
          </w14:textFill>
        </w:rPr>
        <w:t>，根据附录A中判定本项目为Ⅰ类项目；</w:t>
      </w:r>
    </w:p>
    <w:p w14:paraId="051425E8">
      <w:pPr>
        <w:pStyle w:val="104"/>
        <w:ind w:firstLine="512"/>
        <w:rPr>
          <w:rFonts w:hint="eastAsia" w:ascii="Times New Roman"/>
          <w:color w:val="FF0000"/>
        </w:rPr>
      </w:pPr>
      <w:r>
        <w:rPr>
          <w:rFonts w:ascii="Times New Roman"/>
          <w:color w:val="000000" w:themeColor="text1"/>
          <w:lang w:val="zh-CN"/>
          <w14:textFill>
            <w14:solidFill>
              <w14:schemeClr w14:val="tx1"/>
            </w14:solidFill>
          </w14:textFill>
        </w:rPr>
        <w:t>本项目占地面积</w:t>
      </w:r>
      <w:r>
        <w:rPr>
          <w:rFonts w:hint="eastAsia" w:ascii="Times New Roman"/>
          <w:color w:val="000000" w:themeColor="text1"/>
          <w:lang w:val="zh-CN"/>
          <w14:textFill>
            <w14:solidFill>
              <w14:schemeClr w14:val="tx1"/>
            </w14:solidFill>
          </w14:textFill>
        </w:rPr>
        <w:t>约51.024</w:t>
      </w:r>
      <w:r>
        <w:rPr>
          <w:rFonts w:ascii="Times New Roman"/>
          <w:color w:val="000000" w:themeColor="text1"/>
          <w:lang w:val="zh-CN"/>
          <w14:textFill>
            <w14:solidFill>
              <w14:schemeClr w14:val="tx1"/>
            </w14:solidFill>
          </w14:textFill>
        </w:rPr>
        <w:t>hm</w:t>
      </w:r>
      <w:r>
        <w:rPr>
          <w:rFonts w:ascii="Times New Roman"/>
          <w:color w:val="000000" w:themeColor="text1"/>
          <w:vertAlign w:val="superscript"/>
          <w:lang w:val="zh-CN"/>
          <w14:textFill>
            <w14:solidFill>
              <w14:schemeClr w14:val="tx1"/>
            </w14:solidFill>
          </w14:textFill>
        </w:rPr>
        <w:t>2</w:t>
      </w:r>
      <w:r>
        <w:rPr>
          <w:rFonts w:ascii="Times New Roman"/>
          <w:color w:val="000000" w:themeColor="text1"/>
          <w:lang w:val="zh-CN"/>
          <w14:textFill>
            <w14:solidFill>
              <w14:schemeClr w14:val="tx1"/>
            </w14:solidFill>
          </w14:textFill>
        </w:rPr>
        <w:t>（≥</w:t>
      </w:r>
      <w:r>
        <w:rPr>
          <w:rFonts w:hint="eastAsia" w:ascii="Times New Roman"/>
          <w:color w:val="000000" w:themeColor="text1"/>
          <w:lang w:val="zh-CN"/>
          <w14:textFill>
            <w14:solidFill>
              <w14:schemeClr w14:val="tx1"/>
            </w14:solidFill>
          </w14:textFill>
        </w:rPr>
        <w:t>50h</w:t>
      </w:r>
      <w:r>
        <w:rPr>
          <w:rFonts w:ascii="Times New Roman"/>
          <w:color w:val="000000" w:themeColor="text1"/>
          <w:lang w:val="zh-CN"/>
          <w14:textFill>
            <w14:solidFill>
              <w14:schemeClr w14:val="tx1"/>
            </w14:solidFill>
          </w14:textFill>
        </w:rPr>
        <w:t>m</w:t>
      </w:r>
      <w:r>
        <w:rPr>
          <w:rFonts w:ascii="Times New Roman"/>
          <w:color w:val="000000" w:themeColor="text1"/>
          <w:vertAlign w:val="superscript"/>
          <w:lang w:val="zh-CN"/>
          <w14:textFill>
            <w14:solidFill>
              <w14:schemeClr w14:val="tx1"/>
            </w14:solidFill>
          </w14:textFill>
        </w:rPr>
        <w:t>2</w:t>
      </w:r>
      <w:r>
        <w:rPr>
          <w:rFonts w:ascii="Times New Roman"/>
          <w:color w:val="000000" w:themeColor="text1"/>
          <w:lang w:val="zh-CN"/>
          <w14:textFill>
            <w14:solidFill>
              <w14:schemeClr w14:val="tx1"/>
            </w14:solidFill>
          </w14:textFill>
        </w:rPr>
        <w:t>）</w:t>
      </w:r>
      <w:r>
        <w:rPr>
          <w:rFonts w:hint="eastAsia" w:ascii="Times New Roman"/>
          <w:color w:val="000000" w:themeColor="text1"/>
          <w14:textFill>
            <w14:solidFill>
              <w14:schemeClr w14:val="tx1"/>
            </w14:solidFill>
          </w14:textFill>
        </w:rPr>
        <w:t>，占地规模</w:t>
      </w:r>
      <w:r>
        <w:rPr>
          <w:rFonts w:ascii="Times New Roman"/>
          <w:color w:val="000000" w:themeColor="text1"/>
          <w14:textFill>
            <w14:solidFill>
              <w14:schemeClr w14:val="tx1"/>
            </w14:solidFill>
          </w14:textFill>
        </w:rPr>
        <w:t>为大型</w:t>
      </w:r>
      <w:r>
        <w:rPr>
          <w:rFonts w:hint="eastAsia" w:ascii="Times New Roman"/>
          <w:color w:val="000000" w:themeColor="text1"/>
          <w14:textFill>
            <w14:solidFill>
              <w14:schemeClr w14:val="tx1"/>
            </w14:solidFill>
          </w14:textFill>
        </w:rPr>
        <w:t>。</w:t>
      </w:r>
    </w:p>
    <w:p w14:paraId="70FEDCFE">
      <w:pPr>
        <w:pStyle w:val="104"/>
        <w:ind w:firstLine="512"/>
        <w:rPr>
          <w:rFonts w:hint="eastAsia" w:asci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ascii="Times New Roman"/>
          <w:color w:val="000000" w:themeColor="text1"/>
          <w14:textFill>
            <w14:solidFill>
              <w14:schemeClr w14:val="tx1"/>
            </w14:solidFill>
          </w14:textFill>
        </w:rPr>
        <w:t>土壤环境敏感程度</w:t>
      </w:r>
    </w:p>
    <w:p w14:paraId="7C70E073">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建设项目所在地周边的环境影响敏感程度分为敏感、较敏感、不敏感，判别依据详见表2.6.6-2。</w:t>
      </w:r>
    </w:p>
    <w:p w14:paraId="115F9670">
      <w:pPr>
        <w:pStyle w:val="540"/>
        <w:rPr>
          <w:rFonts w:hint="eastAsia"/>
          <w:color w:val="000000" w:themeColor="text1"/>
          <w14:textFill>
            <w14:solidFill>
              <w14:schemeClr w14:val="tx1"/>
            </w14:solidFill>
          </w14:textFill>
        </w:rPr>
      </w:pPr>
      <w:r>
        <w:rPr>
          <w:color w:val="000000" w:themeColor="text1"/>
          <w14:textFill>
            <w14:solidFill>
              <w14:schemeClr w14:val="tx1"/>
            </w14:solidFill>
          </w14:textFill>
        </w:rPr>
        <w:t>表2.6.6-2    污染影响型敏感程度分级一览表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2"/>
        <w:gridCol w:w="6273"/>
      </w:tblGrid>
      <w:tr w14:paraId="2CFF9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82" w:type="dxa"/>
            <w:tcMar>
              <w:left w:w="0" w:type="dxa"/>
              <w:right w:w="0" w:type="dxa"/>
            </w:tcMar>
            <w:vAlign w:val="center"/>
          </w:tcPr>
          <w:p w14:paraId="1B1B0781">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敏感程度</w:t>
            </w:r>
          </w:p>
        </w:tc>
        <w:tc>
          <w:tcPr>
            <w:tcW w:w="6134" w:type="dxa"/>
            <w:tcMar>
              <w:left w:w="0" w:type="dxa"/>
              <w:right w:w="0" w:type="dxa"/>
            </w:tcMar>
            <w:vAlign w:val="center"/>
          </w:tcPr>
          <w:p w14:paraId="76FB97E8">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判别依据</w:t>
            </w:r>
          </w:p>
        </w:tc>
      </w:tr>
      <w:tr w14:paraId="3CF95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82" w:type="dxa"/>
            <w:tcMar>
              <w:left w:w="0" w:type="dxa"/>
              <w:right w:w="0" w:type="dxa"/>
            </w:tcMar>
            <w:vAlign w:val="center"/>
          </w:tcPr>
          <w:p w14:paraId="64D2B296">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敏感</w:t>
            </w:r>
          </w:p>
        </w:tc>
        <w:tc>
          <w:tcPr>
            <w:tcW w:w="6134" w:type="dxa"/>
            <w:tcMar>
              <w:left w:w="0" w:type="dxa"/>
              <w:right w:w="0" w:type="dxa"/>
            </w:tcMar>
            <w:vAlign w:val="center"/>
          </w:tcPr>
          <w:p w14:paraId="021A108B">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建设项目周边存在耕地、园地、牧草地、饮用水水源地或居民区、学校、医院、疗养院、养老院等土壤环境敏感目标的</w:t>
            </w:r>
          </w:p>
        </w:tc>
      </w:tr>
      <w:tr w14:paraId="08200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82" w:type="dxa"/>
            <w:tcMar>
              <w:left w:w="0" w:type="dxa"/>
              <w:right w:w="0" w:type="dxa"/>
            </w:tcMar>
            <w:vAlign w:val="center"/>
          </w:tcPr>
          <w:p w14:paraId="4443820C">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较敏感</w:t>
            </w:r>
          </w:p>
        </w:tc>
        <w:tc>
          <w:tcPr>
            <w:tcW w:w="6134" w:type="dxa"/>
            <w:tcMar>
              <w:left w:w="0" w:type="dxa"/>
              <w:right w:w="0" w:type="dxa"/>
            </w:tcMar>
            <w:vAlign w:val="center"/>
          </w:tcPr>
          <w:p w14:paraId="6CE0D388">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建设项目周边存在其他土壤环境敏感目标的</w:t>
            </w:r>
          </w:p>
        </w:tc>
      </w:tr>
      <w:tr w14:paraId="74181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82" w:type="dxa"/>
            <w:tcMar>
              <w:left w:w="0" w:type="dxa"/>
              <w:right w:w="0" w:type="dxa"/>
            </w:tcMar>
            <w:vAlign w:val="center"/>
          </w:tcPr>
          <w:p w14:paraId="507B5478">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不敏感</w:t>
            </w:r>
          </w:p>
        </w:tc>
        <w:tc>
          <w:tcPr>
            <w:tcW w:w="6134" w:type="dxa"/>
            <w:tcMar>
              <w:left w:w="0" w:type="dxa"/>
              <w:right w:w="0" w:type="dxa"/>
            </w:tcMar>
            <w:vAlign w:val="center"/>
          </w:tcPr>
          <w:p w14:paraId="26646234">
            <w:pPr>
              <w:pStyle w:val="190"/>
              <w:rPr>
                <w:rFonts w:hint="eastAsia"/>
                <w:color w:val="000000" w:themeColor="text1"/>
                <w:kern w:val="2"/>
                <w:szCs w:val="22"/>
                <w14:textFill>
                  <w14:solidFill>
                    <w14:schemeClr w14:val="tx1"/>
                  </w14:solidFill>
                </w14:textFill>
              </w:rPr>
            </w:pPr>
            <w:r>
              <w:rPr>
                <w:color w:val="000000" w:themeColor="text1"/>
                <w:kern w:val="2"/>
                <w:szCs w:val="22"/>
                <w14:textFill>
                  <w14:solidFill>
                    <w14:schemeClr w14:val="tx1"/>
                  </w14:solidFill>
                </w14:textFill>
              </w:rPr>
              <w:t>其他情况</w:t>
            </w:r>
          </w:p>
        </w:tc>
      </w:tr>
    </w:tbl>
    <w:p w14:paraId="5BA51D3B">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color w:val="000000" w:themeColor="text1"/>
          <w:lang w:val="zh-CN"/>
          <w14:textFill>
            <w14:solidFill>
              <w14:schemeClr w14:val="tx1"/>
            </w14:solidFill>
          </w14:textFill>
        </w:rPr>
        <w:t>哈密工业园区</w:t>
      </w:r>
      <w:r>
        <w:rPr>
          <w:rFonts w:hint="eastAsia"/>
          <w:color w:val="000000" w:themeColor="text1"/>
          <w14:textFill>
            <w14:solidFill>
              <w14:schemeClr w14:val="tx1"/>
            </w14:solidFill>
          </w14:textFill>
        </w:rPr>
        <w:t>，占地类型为工业用地，项目四周均为园区建设用地。根据表</w:t>
      </w:r>
      <w:r>
        <w:rPr>
          <w:color w:val="000000" w:themeColor="text1"/>
          <w14:textFill>
            <w14:solidFill>
              <w14:schemeClr w14:val="tx1"/>
            </w14:solidFill>
          </w14:textFill>
        </w:rPr>
        <w:t>2.6.6-1</w:t>
      </w:r>
      <w:r>
        <w:rPr>
          <w:rFonts w:hint="eastAsia"/>
          <w:color w:val="000000" w:themeColor="text1"/>
          <w14:textFill>
            <w14:solidFill>
              <w14:schemeClr w14:val="tx1"/>
            </w14:solidFill>
          </w14:textFill>
        </w:rPr>
        <w:t>判定，项目区土壤环境影响评价工作等级为一级。</w:t>
      </w:r>
    </w:p>
    <w:p w14:paraId="685F5AA4">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环境风险</w:t>
      </w:r>
    </w:p>
    <w:p w14:paraId="2D25293C">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根据《建设项目环境风险评价技术导则》（HJ/T169-2018）及7.4节分析，本项目的环境风险评价等级</w:t>
      </w:r>
      <w:r>
        <w:rPr>
          <w:rFonts w:hint="eastAsia" w:ascii="Times New Roman"/>
          <w:color w:val="000000" w:themeColor="text1"/>
          <w14:textFill>
            <w14:solidFill>
              <w14:schemeClr w14:val="tx1"/>
            </w14:solidFill>
          </w14:textFill>
        </w:rPr>
        <w:t>为一</w:t>
      </w:r>
      <w:r>
        <w:rPr>
          <w:rFonts w:ascii="Times New Roman"/>
          <w:color w:val="000000" w:themeColor="text1"/>
          <w14:textFill>
            <w14:solidFill>
              <w14:schemeClr w14:val="tx1"/>
            </w14:solidFill>
          </w14:textFill>
        </w:rPr>
        <w:t>级</w:t>
      </w:r>
      <w:r>
        <w:rPr>
          <w:rFonts w:hint="eastAsia" w:ascii="Times New Roman"/>
          <w:color w:val="000000" w:themeColor="text1"/>
          <w14:textFill>
            <w14:solidFill>
              <w14:schemeClr w14:val="tx1"/>
            </w14:solidFill>
          </w14:textFill>
        </w:rPr>
        <w:t>。</w:t>
      </w:r>
    </w:p>
    <w:p w14:paraId="05ABAC9B">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电磁环境</w:t>
      </w:r>
    </w:p>
    <w:p w14:paraId="26096690">
      <w:pPr>
        <w:pStyle w:val="98"/>
        <w:rPr>
          <w:rFonts w:hint="eastAsia"/>
        </w:rPr>
      </w:pPr>
      <w:r>
        <w:t>评价等级</w:t>
      </w:r>
    </w:p>
    <w:p w14:paraId="51B07B40">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本项目新建</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20kV</w:t>
      </w:r>
      <w:r>
        <w:rPr>
          <w:rFonts w:hint="eastAsia" w:ascii="宋体" w:hAnsi="宋体"/>
          <w:color w:val="000000" w:themeColor="text1"/>
          <w14:textFill>
            <w14:solidFill>
              <w14:schemeClr w14:val="tx1"/>
            </w14:solidFill>
          </w14:textFill>
        </w:rPr>
        <w:t>变电站，根据《环境影响评价技术导则 输变电》（</w:t>
      </w:r>
      <w:r>
        <w:rPr>
          <w:color w:val="000000" w:themeColor="text1"/>
          <w14:textFill>
            <w14:solidFill>
              <w14:schemeClr w14:val="tx1"/>
            </w14:solidFill>
          </w14:textFill>
        </w:rPr>
        <w:t>HJ24-20</w:t>
      </w:r>
      <w:r>
        <w:rPr>
          <w:rFonts w:hint="eastAsia"/>
          <w:color w:val="000000" w:themeColor="text1"/>
          <w14:textFill>
            <w14:solidFill>
              <w14:schemeClr w14:val="tx1"/>
            </w14:solidFill>
          </w14:textFill>
        </w:rPr>
        <w:t>20</w:t>
      </w:r>
      <w:r>
        <w:rPr>
          <w:rFonts w:hint="eastAsia" w:ascii="宋体" w:hAnsi="宋体"/>
          <w:color w:val="000000" w:themeColor="text1"/>
          <w14:textFill>
            <w14:solidFill>
              <w14:schemeClr w14:val="tx1"/>
            </w14:solidFill>
          </w14:textFill>
        </w:rPr>
        <w:t>）评价工作等级划分原则，确定本工程工作等级，详见表</w:t>
      </w:r>
      <w:r>
        <w:rPr>
          <w:color w:val="000000" w:themeColor="text1"/>
          <w14:textFill>
            <w14:solidFill>
              <w14:schemeClr w14:val="tx1"/>
            </w14:solidFill>
          </w14:textFill>
        </w:rPr>
        <w:t>2.6.8-1</w:t>
      </w:r>
      <w:r>
        <w:rPr>
          <w:rFonts w:hint="eastAsia" w:ascii="宋体" w:hAnsi="宋体"/>
          <w:color w:val="000000" w:themeColor="text1"/>
          <w14:textFill>
            <w14:solidFill>
              <w14:schemeClr w14:val="tx1"/>
            </w14:solidFill>
          </w14:textFill>
        </w:rPr>
        <w:t>。</w:t>
      </w:r>
    </w:p>
    <w:p w14:paraId="7A753763">
      <w:pPr>
        <w:pStyle w:val="535"/>
        <w:rPr>
          <w:rFonts w:hint="eastAsia"/>
          <w:color w:val="000000" w:themeColor="text1"/>
          <w14:textFill>
            <w14:solidFill>
              <w14:schemeClr w14:val="tx1"/>
            </w14:solidFill>
          </w14:textFill>
        </w:rPr>
      </w:pPr>
      <w:r>
        <w:rPr>
          <w:color w:val="000000" w:themeColor="text1"/>
          <w14:textFill>
            <w14:solidFill>
              <w14:schemeClr w14:val="tx1"/>
            </w14:solidFill>
          </w14:textFill>
        </w:rPr>
        <w:t>表2.6.8-1    电磁环境影响评价工作等级划分</w:t>
      </w:r>
    </w:p>
    <w:tbl>
      <w:tblPr>
        <w:tblStyle w:val="65"/>
        <w:tblW w:w="85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0"/>
        <w:gridCol w:w="1343"/>
        <w:gridCol w:w="815"/>
        <w:gridCol w:w="1629"/>
        <w:gridCol w:w="1272"/>
        <w:gridCol w:w="1563"/>
        <w:gridCol w:w="1283"/>
      </w:tblGrid>
      <w:tr w14:paraId="6F0FC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restart"/>
            <w:vAlign w:val="center"/>
          </w:tcPr>
          <w:p w14:paraId="7DDADBCE">
            <w:pPr>
              <w:pStyle w:val="557"/>
            </w:pPr>
            <w:r>
              <w:t>分</w:t>
            </w:r>
          </w:p>
          <w:p w14:paraId="502F5E01">
            <w:pPr>
              <w:pStyle w:val="557"/>
            </w:pPr>
            <w:r>
              <w:t>类</w:t>
            </w:r>
          </w:p>
        </w:tc>
        <w:tc>
          <w:tcPr>
            <w:tcW w:w="1343" w:type="dxa"/>
            <w:vMerge w:val="restart"/>
            <w:vAlign w:val="center"/>
          </w:tcPr>
          <w:p w14:paraId="4436230E">
            <w:pPr>
              <w:pStyle w:val="557"/>
            </w:pPr>
            <w:r>
              <w:t>电压</w:t>
            </w:r>
          </w:p>
          <w:p w14:paraId="6BEBAFFE">
            <w:pPr>
              <w:pStyle w:val="557"/>
            </w:pPr>
            <w:r>
              <w:t>等级</w:t>
            </w:r>
          </w:p>
        </w:tc>
        <w:tc>
          <w:tcPr>
            <w:tcW w:w="815" w:type="dxa"/>
            <w:vMerge w:val="restart"/>
            <w:vAlign w:val="center"/>
          </w:tcPr>
          <w:p w14:paraId="4BCB904B">
            <w:pPr>
              <w:pStyle w:val="557"/>
            </w:pPr>
            <w:r>
              <w:t>工程</w:t>
            </w:r>
          </w:p>
        </w:tc>
        <w:tc>
          <w:tcPr>
            <w:tcW w:w="1629" w:type="dxa"/>
            <w:vMerge w:val="restart"/>
            <w:vAlign w:val="center"/>
          </w:tcPr>
          <w:p w14:paraId="5B6B722C">
            <w:pPr>
              <w:pStyle w:val="557"/>
            </w:pPr>
            <w:r>
              <w:t>条件</w:t>
            </w:r>
          </w:p>
        </w:tc>
        <w:tc>
          <w:tcPr>
            <w:tcW w:w="1272" w:type="dxa"/>
            <w:vMerge w:val="restart"/>
            <w:vAlign w:val="center"/>
          </w:tcPr>
          <w:p w14:paraId="4407F586">
            <w:pPr>
              <w:pStyle w:val="557"/>
            </w:pPr>
            <w:r>
              <w:t>评价工作等级</w:t>
            </w:r>
          </w:p>
        </w:tc>
        <w:tc>
          <w:tcPr>
            <w:tcW w:w="2846" w:type="dxa"/>
            <w:gridSpan w:val="2"/>
            <w:vAlign w:val="center"/>
          </w:tcPr>
          <w:p w14:paraId="0062F2F8">
            <w:pPr>
              <w:pStyle w:val="557"/>
            </w:pPr>
            <w:r>
              <w:t>本工程</w:t>
            </w:r>
          </w:p>
        </w:tc>
      </w:tr>
      <w:tr w14:paraId="643ED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continue"/>
            <w:vAlign w:val="center"/>
          </w:tcPr>
          <w:p w14:paraId="4C39D445">
            <w:pPr>
              <w:pStyle w:val="557"/>
            </w:pPr>
          </w:p>
        </w:tc>
        <w:tc>
          <w:tcPr>
            <w:tcW w:w="1343" w:type="dxa"/>
            <w:vMerge w:val="continue"/>
            <w:vAlign w:val="center"/>
          </w:tcPr>
          <w:p w14:paraId="619148FC">
            <w:pPr>
              <w:pStyle w:val="557"/>
            </w:pPr>
          </w:p>
        </w:tc>
        <w:tc>
          <w:tcPr>
            <w:tcW w:w="815" w:type="dxa"/>
            <w:vMerge w:val="continue"/>
            <w:vAlign w:val="center"/>
          </w:tcPr>
          <w:p w14:paraId="1DA9D74C">
            <w:pPr>
              <w:pStyle w:val="557"/>
            </w:pPr>
          </w:p>
        </w:tc>
        <w:tc>
          <w:tcPr>
            <w:tcW w:w="1629" w:type="dxa"/>
            <w:vMerge w:val="continue"/>
            <w:vAlign w:val="center"/>
          </w:tcPr>
          <w:p w14:paraId="17B539BB">
            <w:pPr>
              <w:pStyle w:val="557"/>
            </w:pPr>
          </w:p>
        </w:tc>
        <w:tc>
          <w:tcPr>
            <w:tcW w:w="1272" w:type="dxa"/>
            <w:vMerge w:val="continue"/>
            <w:vAlign w:val="center"/>
          </w:tcPr>
          <w:p w14:paraId="1E747A7A">
            <w:pPr>
              <w:pStyle w:val="557"/>
            </w:pPr>
          </w:p>
        </w:tc>
        <w:tc>
          <w:tcPr>
            <w:tcW w:w="1563" w:type="dxa"/>
            <w:vAlign w:val="center"/>
          </w:tcPr>
          <w:p w14:paraId="758B4EFE">
            <w:pPr>
              <w:pStyle w:val="557"/>
            </w:pPr>
            <w:r>
              <w:t>条件</w:t>
            </w:r>
          </w:p>
        </w:tc>
        <w:tc>
          <w:tcPr>
            <w:tcW w:w="1283" w:type="dxa"/>
            <w:vAlign w:val="center"/>
          </w:tcPr>
          <w:p w14:paraId="7C625AB5">
            <w:pPr>
              <w:pStyle w:val="557"/>
            </w:pPr>
            <w:r>
              <w:t>工作等级</w:t>
            </w:r>
          </w:p>
        </w:tc>
      </w:tr>
      <w:tr w14:paraId="41BDE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restart"/>
            <w:tcBorders>
              <w:top w:val="single" w:color="auto" w:sz="4" w:space="0"/>
            </w:tcBorders>
            <w:vAlign w:val="center"/>
          </w:tcPr>
          <w:p w14:paraId="5A9BE3A5">
            <w:pPr>
              <w:pStyle w:val="557"/>
            </w:pPr>
            <w:r>
              <w:t>交流</w:t>
            </w:r>
          </w:p>
        </w:tc>
        <w:tc>
          <w:tcPr>
            <w:tcW w:w="1343" w:type="dxa"/>
            <w:vMerge w:val="restart"/>
            <w:tcBorders>
              <w:top w:val="single" w:color="auto" w:sz="4" w:space="0"/>
            </w:tcBorders>
            <w:vAlign w:val="center"/>
          </w:tcPr>
          <w:p w14:paraId="29790FCD">
            <w:pPr>
              <w:pStyle w:val="557"/>
            </w:pPr>
            <w:r>
              <w:t>110kV</w:t>
            </w:r>
          </w:p>
        </w:tc>
        <w:tc>
          <w:tcPr>
            <w:tcW w:w="815" w:type="dxa"/>
            <w:vMerge w:val="restart"/>
            <w:vAlign w:val="center"/>
          </w:tcPr>
          <w:p w14:paraId="246003AA">
            <w:pPr>
              <w:pStyle w:val="557"/>
            </w:pPr>
            <w:r>
              <w:t>变电站</w:t>
            </w:r>
          </w:p>
        </w:tc>
        <w:tc>
          <w:tcPr>
            <w:tcW w:w="1629" w:type="dxa"/>
            <w:vAlign w:val="center"/>
          </w:tcPr>
          <w:p w14:paraId="12796295">
            <w:pPr>
              <w:pStyle w:val="557"/>
            </w:pPr>
            <w:r>
              <w:t>户内式、地下式</w:t>
            </w:r>
          </w:p>
        </w:tc>
        <w:tc>
          <w:tcPr>
            <w:tcW w:w="1272" w:type="dxa"/>
            <w:vAlign w:val="center"/>
          </w:tcPr>
          <w:p w14:paraId="55C7AF17">
            <w:pPr>
              <w:pStyle w:val="557"/>
            </w:pPr>
            <w:r>
              <w:t>三级</w:t>
            </w:r>
          </w:p>
        </w:tc>
        <w:tc>
          <w:tcPr>
            <w:tcW w:w="1563" w:type="dxa"/>
            <w:vAlign w:val="center"/>
          </w:tcPr>
          <w:p w14:paraId="6894F1B3">
            <w:pPr>
              <w:pStyle w:val="557"/>
            </w:pPr>
            <w:r>
              <w:t>/</w:t>
            </w:r>
          </w:p>
        </w:tc>
        <w:tc>
          <w:tcPr>
            <w:tcW w:w="1283" w:type="dxa"/>
            <w:vAlign w:val="center"/>
          </w:tcPr>
          <w:p w14:paraId="350952E5">
            <w:pPr>
              <w:pStyle w:val="557"/>
            </w:pPr>
            <w:r>
              <w:t>/</w:t>
            </w:r>
          </w:p>
        </w:tc>
      </w:tr>
      <w:tr w14:paraId="2E6B0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continue"/>
            <w:vAlign w:val="center"/>
          </w:tcPr>
          <w:p w14:paraId="2C4C09A9">
            <w:pPr>
              <w:pStyle w:val="557"/>
            </w:pPr>
          </w:p>
        </w:tc>
        <w:tc>
          <w:tcPr>
            <w:tcW w:w="1343" w:type="dxa"/>
            <w:vMerge w:val="continue"/>
            <w:tcBorders>
              <w:bottom w:val="single" w:color="auto" w:sz="4" w:space="0"/>
            </w:tcBorders>
            <w:vAlign w:val="center"/>
          </w:tcPr>
          <w:p w14:paraId="7C1B70A8">
            <w:pPr>
              <w:pStyle w:val="557"/>
            </w:pPr>
          </w:p>
        </w:tc>
        <w:tc>
          <w:tcPr>
            <w:tcW w:w="815" w:type="dxa"/>
            <w:vMerge w:val="continue"/>
            <w:vAlign w:val="center"/>
          </w:tcPr>
          <w:p w14:paraId="43BDDC2F">
            <w:pPr>
              <w:pStyle w:val="557"/>
            </w:pPr>
          </w:p>
        </w:tc>
        <w:tc>
          <w:tcPr>
            <w:tcW w:w="1629" w:type="dxa"/>
            <w:vAlign w:val="center"/>
          </w:tcPr>
          <w:p w14:paraId="65B4DA5A">
            <w:pPr>
              <w:pStyle w:val="557"/>
            </w:pPr>
            <w:r>
              <w:t>户外式</w:t>
            </w:r>
          </w:p>
        </w:tc>
        <w:tc>
          <w:tcPr>
            <w:tcW w:w="1272" w:type="dxa"/>
            <w:vAlign w:val="center"/>
          </w:tcPr>
          <w:p w14:paraId="6629A262">
            <w:pPr>
              <w:pStyle w:val="557"/>
            </w:pPr>
            <w:r>
              <w:t>二级</w:t>
            </w:r>
          </w:p>
        </w:tc>
        <w:tc>
          <w:tcPr>
            <w:tcW w:w="1563" w:type="dxa"/>
            <w:vAlign w:val="center"/>
          </w:tcPr>
          <w:p w14:paraId="664774D2">
            <w:pPr>
              <w:pStyle w:val="557"/>
            </w:pPr>
            <w:r>
              <w:t>户外式</w:t>
            </w:r>
          </w:p>
        </w:tc>
        <w:tc>
          <w:tcPr>
            <w:tcW w:w="1283" w:type="dxa"/>
            <w:vAlign w:val="center"/>
          </w:tcPr>
          <w:p w14:paraId="5E5999B8">
            <w:pPr>
              <w:pStyle w:val="557"/>
            </w:pPr>
            <w:r>
              <w:t>二级</w:t>
            </w:r>
          </w:p>
        </w:tc>
      </w:tr>
      <w:tr w14:paraId="6BF00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continue"/>
            <w:vAlign w:val="center"/>
          </w:tcPr>
          <w:p w14:paraId="5A8E23D9">
            <w:pPr>
              <w:pStyle w:val="557"/>
            </w:pPr>
          </w:p>
        </w:tc>
        <w:tc>
          <w:tcPr>
            <w:tcW w:w="1343" w:type="dxa"/>
            <w:vMerge w:val="restart"/>
            <w:vAlign w:val="center"/>
          </w:tcPr>
          <w:p w14:paraId="1A022290">
            <w:pPr>
              <w:pStyle w:val="557"/>
            </w:pPr>
            <w:r>
              <w:t>220-330kV</w:t>
            </w:r>
          </w:p>
        </w:tc>
        <w:tc>
          <w:tcPr>
            <w:tcW w:w="815" w:type="dxa"/>
            <w:vMerge w:val="restart"/>
            <w:vAlign w:val="center"/>
          </w:tcPr>
          <w:p w14:paraId="5EF4A2E9">
            <w:pPr>
              <w:pStyle w:val="557"/>
            </w:pPr>
            <w:r>
              <w:t>变电站</w:t>
            </w:r>
          </w:p>
        </w:tc>
        <w:tc>
          <w:tcPr>
            <w:tcW w:w="1629" w:type="dxa"/>
            <w:vAlign w:val="center"/>
          </w:tcPr>
          <w:p w14:paraId="6A1AB21D">
            <w:pPr>
              <w:pStyle w:val="557"/>
            </w:pPr>
            <w:r>
              <w:t>户内式、地下式</w:t>
            </w:r>
          </w:p>
        </w:tc>
        <w:tc>
          <w:tcPr>
            <w:tcW w:w="1272" w:type="dxa"/>
            <w:vAlign w:val="center"/>
          </w:tcPr>
          <w:p w14:paraId="1D2FEAD6">
            <w:pPr>
              <w:pStyle w:val="557"/>
            </w:pPr>
            <w:r>
              <w:t>三级</w:t>
            </w:r>
          </w:p>
        </w:tc>
        <w:tc>
          <w:tcPr>
            <w:tcW w:w="1563" w:type="dxa"/>
            <w:vAlign w:val="center"/>
          </w:tcPr>
          <w:p w14:paraId="5250E796">
            <w:pPr>
              <w:pStyle w:val="557"/>
            </w:pPr>
            <w:r>
              <w:t>/</w:t>
            </w:r>
          </w:p>
        </w:tc>
        <w:tc>
          <w:tcPr>
            <w:tcW w:w="1283" w:type="dxa"/>
            <w:vAlign w:val="center"/>
          </w:tcPr>
          <w:p w14:paraId="04D14927">
            <w:pPr>
              <w:pStyle w:val="557"/>
            </w:pPr>
            <w:r>
              <w:t>/</w:t>
            </w:r>
          </w:p>
        </w:tc>
      </w:tr>
      <w:tr w14:paraId="0D2B9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00" w:type="dxa"/>
            <w:vMerge w:val="continue"/>
            <w:vAlign w:val="center"/>
          </w:tcPr>
          <w:p w14:paraId="71543749">
            <w:pPr>
              <w:pStyle w:val="557"/>
            </w:pPr>
          </w:p>
        </w:tc>
        <w:tc>
          <w:tcPr>
            <w:tcW w:w="1343" w:type="dxa"/>
            <w:vMerge w:val="continue"/>
            <w:tcBorders>
              <w:bottom w:val="single" w:color="auto" w:sz="4" w:space="0"/>
            </w:tcBorders>
            <w:vAlign w:val="center"/>
          </w:tcPr>
          <w:p w14:paraId="46D9EAD3">
            <w:pPr>
              <w:pStyle w:val="557"/>
            </w:pPr>
          </w:p>
        </w:tc>
        <w:tc>
          <w:tcPr>
            <w:tcW w:w="815" w:type="dxa"/>
            <w:vMerge w:val="continue"/>
            <w:vAlign w:val="center"/>
          </w:tcPr>
          <w:p w14:paraId="31126B82">
            <w:pPr>
              <w:pStyle w:val="557"/>
            </w:pPr>
          </w:p>
        </w:tc>
        <w:tc>
          <w:tcPr>
            <w:tcW w:w="1629" w:type="dxa"/>
            <w:vAlign w:val="center"/>
          </w:tcPr>
          <w:p w14:paraId="2AB31F50">
            <w:pPr>
              <w:pStyle w:val="557"/>
            </w:pPr>
            <w:r>
              <w:t>户外式</w:t>
            </w:r>
          </w:p>
        </w:tc>
        <w:tc>
          <w:tcPr>
            <w:tcW w:w="1272" w:type="dxa"/>
            <w:vAlign w:val="center"/>
          </w:tcPr>
          <w:p w14:paraId="34C505AC">
            <w:pPr>
              <w:pStyle w:val="557"/>
            </w:pPr>
            <w:r>
              <w:t>二级</w:t>
            </w:r>
          </w:p>
        </w:tc>
        <w:tc>
          <w:tcPr>
            <w:tcW w:w="1563" w:type="dxa"/>
            <w:vAlign w:val="center"/>
          </w:tcPr>
          <w:p w14:paraId="05776783">
            <w:pPr>
              <w:pStyle w:val="557"/>
            </w:pPr>
            <w:r>
              <w:t>户外式</w:t>
            </w:r>
          </w:p>
        </w:tc>
        <w:tc>
          <w:tcPr>
            <w:tcW w:w="1283" w:type="dxa"/>
            <w:vAlign w:val="center"/>
          </w:tcPr>
          <w:p w14:paraId="50CABFC4">
            <w:pPr>
              <w:pStyle w:val="557"/>
            </w:pPr>
            <w:r>
              <w:t>二级</w:t>
            </w:r>
          </w:p>
        </w:tc>
      </w:tr>
    </w:tbl>
    <w:p w14:paraId="5D673FA8">
      <w:pPr>
        <w:pStyle w:val="15"/>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根据表2.6.8-1，本项目电磁环境评价为</w:t>
      </w:r>
      <w:r>
        <w:rPr>
          <w:rFonts w:hint="eastAsia" w:ascii="Times New Roman" w:hAnsi="Times New Roman"/>
          <w:color w:val="000000" w:themeColor="text1"/>
          <w14:textFill>
            <w14:solidFill>
              <w14:schemeClr w14:val="tx1"/>
            </w14:solidFill>
          </w14:textFill>
        </w:rPr>
        <w:t>二</w:t>
      </w:r>
      <w:r>
        <w:rPr>
          <w:rFonts w:ascii="Times New Roman" w:hAnsi="Times New Roman"/>
          <w:color w:val="000000" w:themeColor="text1"/>
          <w14:textFill>
            <w14:solidFill>
              <w14:schemeClr w14:val="tx1"/>
            </w14:solidFill>
          </w14:textFill>
        </w:rPr>
        <w:t>级。</w:t>
      </w:r>
    </w:p>
    <w:p w14:paraId="5D02031F">
      <w:pPr>
        <w:pStyle w:val="98"/>
        <w:rPr>
          <w:rFonts w:hint="eastAsia"/>
        </w:rPr>
      </w:pPr>
      <w:r>
        <w:rPr>
          <w:rFonts w:hint="eastAsia"/>
          <w:lang w:eastAsia="zh"/>
        </w:rPr>
        <w:t>影响预测</w:t>
      </w:r>
    </w:p>
    <w:p w14:paraId="313E961A">
      <w:pPr>
        <w:pStyle w:val="15"/>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电磁环境影响预测方法：类比监测法。</w:t>
      </w:r>
    </w:p>
    <w:p w14:paraId="4911351E">
      <w:pPr>
        <w:pStyle w:val="722"/>
        <w:rPr>
          <w:rFonts w:hint="eastAsia"/>
          <w:color w:val="000000" w:themeColor="text1"/>
          <w14:textFill>
            <w14:solidFill>
              <w14:schemeClr w14:val="tx1"/>
            </w14:solidFill>
          </w14:textFill>
        </w:rPr>
      </w:pPr>
      <w:bookmarkStart w:id="66" w:name="_Toc22030"/>
      <w:r>
        <w:rPr>
          <w:color w:val="000000" w:themeColor="text1"/>
          <w14:textFill>
            <w14:solidFill>
              <w14:schemeClr w14:val="tx1"/>
            </w14:solidFill>
          </w14:textFill>
        </w:rPr>
        <w:t>评</w:t>
      </w:r>
      <w:r>
        <w:rPr>
          <w:rFonts w:hint="eastAsia"/>
          <w:color w:val="000000" w:themeColor="text1"/>
          <w14:textFill>
            <w14:solidFill>
              <w14:schemeClr w14:val="tx1"/>
            </w14:solidFill>
          </w14:textFill>
        </w:rPr>
        <w:t>价</w:t>
      </w:r>
      <w:r>
        <w:rPr>
          <w:color w:val="000000" w:themeColor="text1"/>
          <w14:textFill>
            <w14:solidFill>
              <w14:schemeClr w14:val="tx1"/>
            </w14:solidFill>
          </w14:textFill>
        </w:rPr>
        <w:t>范围</w:t>
      </w:r>
      <w:bookmarkEnd w:id="66"/>
    </w:p>
    <w:p w14:paraId="342F994A">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根据确定的评价等级和技术导则，结合区域环境特征，确定本次评价范围如下：</w:t>
      </w:r>
    </w:p>
    <w:p w14:paraId="21187A1C">
      <w:pPr>
        <w:pStyle w:val="104"/>
        <w:ind w:firstLine="512"/>
        <w:rPr>
          <w:rFonts w:hint="eastAsia" w:ascii="Times New Roman"/>
          <w:color w:val="000000" w:themeColor="text1"/>
          <w14:textFill>
            <w14:solidFill>
              <w14:schemeClr w14:val="tx1"/>
            </w14:solidFill>
          </w14:textFill>
        </w:rPr>
      </w:pPr>
      <w:bookmarkStart w:id="67" w:name="_Hlk98256636"/>
      <w:r>
        <w:rPr>
          <w:rFonts w:ascii="Times New Roman"/>
          <w:color w:val="000000" w:themeColor="text1"/>
          <w14:textFill>
            <w14:solidFill>
              <w14:schemeClr w14:val="tx1"/>
            </w14:solidFill>
          </w14:textFill>
        </w:rPr>
        <w:t>（1）大气环境影响</w:t>
      </w:r>
    </w:p>
    <w:bookmarkEnd w:id="67"/>
    <w:p w14:paraId="43114FED">
      <w:pPr>
        <w:pStyle w:val="281"/>
        <w:ind w:firstLine="480"/>
        <w:rPr>
          <w:color w:val="000000" w:themeColor="text1"/>
          <w14:textFill>
            <w14:solidFill>
              <w14:schemeClr w14:val="tx1"/>
            </w14:solidFill>
          </w14:textFill>
        </w:rPr>
      </w:pPr>
      <w:bookmarkStart w:id="68" w:name="_Hlk98235520"/>
      <w:r>
        <w:rPr>
          <w:rFonts w:hint="eastAsia"/>
          <w:color w:val="000000" w:themeColor="text1"/>
          <w14:textFill>
            <w14:solidFill>
              <w14:schemeClr w14:val="tx1"/>
            </w14:solidFill>
          </w14:textFill>
        </w:rPr>
        <w:t>以厂址为中心，边长为东西5.0</w:t>
      </w:r>
      <w:r>
        <w:rPr>
          <w:color w:val="000000" w:themeColor="text1"/>
          <w14:textFill>
            <w14:solidFill>
              <w14:schemeClr w14:val="tx1"/>
            </w14:solidFill>
          </w14:textFill>
        </w:rPr>
        <w:t>km</w:t>
      </w:r>
      <w:r>
        <w:rPr>
          <w:rFonts w:hint="eastAsia"/>
          <w:color w:val="000000" w:themeColor="text1"/>
          <w14:textFill>
            <w14:solidFill>
              <w14:schemeClr w14:val="tx1"/>
            </w14:solidFill>
          </w14:textFill>
        </w:rPr>
        <w:t>×南北5.0</w:t>
      </w:r>
      <w:r>
        <w:rPr>
          <w:color w:val="000000" w:themeColor="text1"/>
          <w14:textFill>
            <w14:solidFill>
              <w14:schemeClr w14:val="tx1"/>
            </w14:solidFill>
          </w14:textFill>
        </w:rPr>
        <w:t>km</w:t>
      </w:r>
      <w:r>
        <w:rPr>
          <w:rFonts w:hint="eastAsia"/>
          <w:color w:val="000000" w:themeColor="text1"/>
          <w14:textFill>
            <w14:solidFill>
              <w14:schemeClr w14:val="tx1"/>
            </w14:solidFill>
          </w14:textFill>
        </w:rPr>
        <w:t>的矩形区域。</w:t>
      </w:r>
    </w:p>
    <w:p w14:paraId="0A34031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（2）地下水环境</w:t>
      </w:r>
    </w:p>
    <w:p w14:paraId="0866D0CA">
      <w:pPr>
        <w:pStyle w:val="281"/>
        <w:ind w:firstLine="480"/>
        <w:rPr>
          <w:color w:val="000000" w:themeColor="text1"/>
          <w14:textFill>
            <w14:solidFill>
              <w14:schemeClr w14:val="tx1"/>
            </w14:solidFill>
          </w14:textFill>
        </w:rPr>
      </w:pPr>
      <w:bookmarkStart w:id="69" w:name="_Hlk150639943"/>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《环境影响评价技术导则地下水环境》（HJ 610-2016）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本项目地下水环境风险评价范围</w:t>
      </w:r>
      <w:r>
        <w:rPr>
          <w:rFonts w:hint="eastAsia"/>
          <w:color w:val="000000" w:themeColor="text1"/>
          <w14:textFill>
            <w14:solidFill>
              <w14:schemeClr w14:val="tx1"/>
            </w14:solidFill>
          </w14:textFill>
        </w:rPr>
        <w:t>按照查表法确定：</w:t>
      </w:r>
      <w:r>
        <w:rPr>
          <w:rFonts w:hint="eastAsia" w:ascii="宋体" w:hAnsi="宋体"/>
          <w:color w:val="000000" w:themeColor="text1"/>
          <w14:textFill>
            <w14:solidFill>
              <w14:schemeClr w14:val="tx1"/>
            </w14:solidFill>
          </w14:textFill>
        </w:rPr>
        <w:t>上游</w:t>
      </w:r>
      <w:r>
        <w:rPr>
          <w:rFonts w:hint="eastAsia"/>
          <w:color w:val="000000" w:themeColor="text1"/>
          <w14:textFill>
            <w14:solidFill>
              <w14:schemeClr w14:val="tx1"/>
            </w14:solidFill>
          </w14:textFill>
        </w:rPr>
        <w:t>东</w:t>
      </w:r>
      <w:r>
        <w:rPr>
          <w:rFonts w:hint="eastAsia" w:ascii="宋体" w:hAnsi="宋体"/>
          <w:color w:val="000000" w:themeColor="text1"/>
          <w14:textFill>
            <w14:solidFill>
              <w14:schemeClr w14:val="tx1"/>
            </w14:solidFill>
          </w14:textFill>
        </w:rPr>
        <w:t>北侧</w:t>
      </w:r>
      <w:r>
        <w:rPr>
          <w:color w:val="000000" w:themeColor="text1"/>
          <w14:textFill>
            <w14:solidFill>
              <w14:schemeClr w14:val="tx1"/>
            </w14:solidFill>
          </w14:textFill>
        </w:rPr>
        <w:t>1km</w:t>
      </w:r>
      <w:r>
        <w:rPr>
          <w:rFonts w:hint="eastAsia" w:ascii="宋体" w:hAnsi="宋体"/>
          <w:color w:val="000000" w:themeColor="text1"/>
          <w14:textFill>
            <w14:solidFill>
              <w14:schemeClr w14:val="tx1"/>
            </w14:solidFill>
          </w14:textFill>
        </w:rPr>
        <w:t>，下游西南侧</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km</w:t>
      </w:r>
      <w:r>
        <w:rPr>
          <w:rFonts w:hint="eastAsia" w:ascii="宋体" w:hAnsi="宋体"/>
          <w:color w:val="000000" w:themeColor="text1"/>
          <w14:textFill>
            <w14:solidFill>
              <w14:schemeClr w14:val="tx1"/>
            </w14:solidFill>
          </w14:textFill>
        </w:rPr>
        <w:t>，两侧各</w:t>
      </w:r>
      <w:r>
        <w:rPr>
          <w:color w:val="000000" w:themeColor="text1"/>
          <w14:textFill>
            <w14:solidFill>
              <w14:schemeClr w14:val="tx1"/>
            </w14:solidFill>
          </w14:textFill>
        </w:rPr>
        <w:t>1km，面积约</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的矩形区域作为</w:t>
      </w:r>
      <w:r>
        <w:rPr>
          <w:rFonts w:hint="eastAsia" w:ascii="宋体" w:hAnsi="宋体"/>
          <w:color w:val="000000" w:themeColor="text1"/>
          <w14:textFill>
            <w14:solidFill>
              <w14:schemeClr w14:val="tx1"/>
            </w14:solidFill>
          </w14:textFill>
        </w:rPr>
        <w:t>环境风险地下水评价范围</w:t>
      </w:r>
      <w:r>
        <w:rPr>
          <w:color w:val="000000" w:themeColor="text1"/>
          <w14:textFill>
            <w14:solidFill>
              <w14:schemeClr w14:val="tx1"/>
            </w14:solidFill>
          </w14:textFill>
        </w:rPr>
        <w:t>。</w:t>
      </w:r>
    </w:p>
    <w:bookmarkEnd w:id="68"/>
    <w:bookmarkEnd w:id="69"/>
    <w:p w14:paraId="6B648389">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（3）声环境</w:t>
      </w:r>
    </w:p>
    <w:p w14:paraId="0A171AC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根据导则要求，一级评价一般以建设项目边界向外</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为评价范围；二、三级评价范围可根据建设项目所在区域和相邻区域的声环境功能区类别及敏感目标等实际情况适当缩小。如依据建设项目声源计算得到的贡献值到</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处，仍不能满足相应功能区标准值时，应将评价范围扩大到满足标准值的距离。</w:t>
      </w:r>
    </w:p>
    <w:p w14:paraId="336B0F7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项目区周围</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范围内没有声环境敏感目标，因此本项目声环境评价范围为厂界外</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范围。</w:t>
      </w:r>
    </w:p>
    <w:p w14:paraId="2D3C695F">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）土壤环境</w:t>
      </w:r>
    </w:p>
    <w:p w14:paraId="01A33D0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评价范围为：以厂界为界，外延</w:t>
      </w:r>
      <w:r>
        <w:rPr>
          <w:color w:val="000000" w:themeColor="text1"/>
          <w14:textFill>
            <w14:solidFill>
              <w14:schemeClr w14:val="tx1"/>
            </w14:solidFill>
          </w14:textFill>
        </w:rPr>
        <w:t>1000m</w:t>
      </w:r>
      <w:r>
        <w:rPr>
          <w:rFonts w:hint="eastAsia"/>
          <w:color w:val="000000" w:themeColor="text1"/>
          <w14:textFill>
            <w14:solidFill>
              <w14:schemeClr w14:val="tx1"/>
            </w14:solidFill>
          </w14:textFill>
        </w:rPr>
        <w:t>范围。</w:t>
      </w:r>
    </w:p>
    <w:p w14:paraId="6E67FA85">
      <w:pPr>
        <w:pStyle w:val="281"/>
        <w:ind w:firstLine="480"/>
        <w:rPr>
          <w:color w:val="000000" w:themeColor="text1"/>
          <w14:textFill>
            <w14:solidFill>
              <w14:schemeClr w14:val="tx1"/>
            </w14:solidFill>
          </w14:textFill>
        </w:rPr>
      </w:pPr>
      <w:bookmarkStart w:id="70" w:name="_Hlk98259394"/>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）环境风险</w:t>
      </w:r>
    </w:p>
    <w:p w14:paraId="2602B223">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大气：距离建设项目边界</w:t>
      </w:r>
      <w:r>
        <w:rPr>
          <w:color w:val="000000" w:themeColor="text1"/>
          <w14:textFill>
            <w14:solidFill>
              <w14:schemeClr w14:val="tx1"/>
            </w14:solidFill>
          </w14:textFill>
        </w:rPr>
        <w:t>5.0km</w:t>
      </w:r>
      <w:r>
        <w:rPr>
          <w:rFonts w:hint="eastAsia" w:ascii="宋体" w:hAnsi="宋体"/>
          <w:color w:val="000000" w:themeColor="text1"/>
          <w14:textFill>
            <w14:solidFill>
              <w14:schemeClr w14:val="tx1"/>
            </w14:solidFill>
          </w14:textFill>
        </w:rPr>
        <w:t>范围内。</w:t>
      </w:r>
    </w:p>
    <w:p w14:paraId="5078A46F">
      <w:pPr>
        <w:pStyle w:val="281"/>
        <w:ind w:firstLine="480"/>
      </w:pPr>
      <w:r>
        <w:rPr>
          <w:rFonts w:hint="eastAsia" w:ascii="宋体" w:hAnsi="宋体"/>
          <w:color w:val="000000" w:themeColor="text1"/>
          <w14:textFill>
            <w14:solidFill>
              <w14:schemeClr w14:val="tx1"/>
            </w14:solidFill>
          </w14:textFill>
        </w:rPr>
        <w:t>地下水：</w:t>
      </w:r>
      <w:bookmarkEnd w:id="70"/>
      <w:r>
        <w:rPr>
          <w:rFonts w:hint="eastAsia"/>
          <w:color w:val="000000" w:themeColor="text1"/>
          <w14:textFill>
            <w14:solidFill>
              <w14:schemeClr w14:val="tx1"/>
            </w14:solidFill>
          </w14:textFill>
        </w:rPr>
        <w:t>厂界</w:t>
      </w:r>
      <w:r>
        <w:rPr>
          <w:rFonts w:hint="eastAsia"/>
        </w:rPr>
        <w:t>上游东北侧1km，下游西南侧3km，两侧各1km，面积约8km</w:t>
      </w:r>
      <w:r>
        <w:rPr>
          <w:rFonts w:hint="eastAsia"/>
          <w:vertAlign w:val="superscript"/>
        </w:rPr>
        <w:t>2</w:t>
      </w:r>
      <w:r>
        <w:rPr>
          <w:rFonts w:hint="eastAsia"/>
        </w:rPr>
        <w:t>的矩形区域作为环境风险地下水评价范围。</w:t>
      </w:r>
    </w:p>
    <w:p w14:paraId="3F49073F">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（6）电磁环境</w:t>
      </w:r>
    </w:p>
    <w:p w14:paraId="6FA7DC51">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根据《环境影响评价技术导则输变电》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 24-2020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，电压等级为220kV</w:t>
      </w:r>
      <w:r>
        <w:rPr>
          <w:rFonts w:hint="eastAsia"/>
          <w:color w:val="000000" w:themeColor="text1"/>
          <w14:textFill>
            <w14:solidFill>
              <w14:schemeClr w14:val="tx1"/>
            </w14:solidFill>
          </w14:textFill>
        </w:rPr>
        <w:t>变电站以站界外</w:t>
      </w:r>
      <w:r>
        <w:rPr>
          <w:color w:val="000000" w:themeColor="text1"/>
          <w14:textFill>
            <w14:solidFill>
              <w14:schemeClr w14:val="tx1"/>
            </w14:solidFill>
          </w14:textFill>
        </w:rPr>
        <w:t>40m为电磁环境影响评价范围。</w:t>
      </w:r>
    </w:p>
    <w:p w14:paraId="15BC06DD">
      <w:pPr>
        <w:pStyle w:val="128"/>
        <w:rPr>
          <w:rFonts w:hint="eastAsia"/>
          <w:color w:val="000000" w:themeColor="text1"/>
          <w14:textFill>
            <w14:solidFill>
              <w14:schemeClr w14:val="tx1"/>
            </w14:solidFill>
          </w14:textFill>
        </w:rPr>
      </w:pPr>
      <w:r>
        <w:rPr>
          <w:color w:val="000000" w:themeColor="text1"/>
          <w14:textFill>
            <w14:solidFill>
              <w14:schemeClr w14:val="tx1"/>
            </w14:solidFill>
          </w14:textFill>
        </w:rPr>
        <w:t>本项目环境影响评价范围见图2</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-1。</w:t>
      </w:r>
    </w:p>
    <w:p w14:paraId="69601470">
      <w:pPr>
        <w:pStyle w:val="3"/>
        <w:rPr>
          <w:rFonts w:hint="eastAsia"/>
          <w:color w:val="000000" w:themeColor="text1"/>
          <w14:textFill>
            <w14:solidFill>
              <w14:schemeClr w14:val="tx1"/>
            </w14:solidFill>
          </w14:textFill>
        </w:rPr>
      </w:pPr>
      <w:bookmarkStart w:id="71" w:name="_Toc13764"/>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8219440</wp:posOffset>
            </wp:positionH>
            <wp:positionV relativeFrom="paragraph">
              <wp:posOffset>71120</wp:posOffset>
            </wp:positionV>
            <wp:extent cx="609600" cy="636905"/>
            <wp:effectExtent l="0" t="0" r="0" b="0"/>
            <wp:wrapNone/>
            <wp:docPr id="1149" name="图片 70306" descr="QQ截图2017011015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70306" descr="QQ截图201701101546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9600" cy="636905"/>
                    </a:xfrm>
                    <a:prstGeom prst="rect">
                      <a:avLst/>
                    </a:prstGeom>
                    <a:noFill/>
                  </pic:spPr>
                </pic:pic>
              </a:graphicData>
            </a:graphic>
          </wp:anchor>
        </w:drawing>
      </w:r>
      <w:bookmarkStart w:id="72" w:name="_Toc225731492"/>
      <w:bookmarkStart w:id="73" w:name="_Toc225699498"/>
      <w:bookmarkStart w:id="74" w:name="_Toc251086918"/>
      <w:bookmarkStart w:id="75" w:name="_Toc477125504"/>
      <w:r>
        <w:rPr>
          <w:color w:val="000000" w:themeColor="text1"/>
          <w14:textFill>
            <w14:solidFill>
              <w14:schemeClr w14:val="tx1"/>
            </w14:solidFill>
          </w14:textFill>
        </w:rPr>
        <w:t>污染控制目标及环境保护目标</w:t>
      </w:r>
      <w:bookmarkEnd w:id="71"/>
      <w:bookmarkEnd w:id="72"/>
      <w:bookmarkEnd w:id="73"/>
      <w:bookmarkEnd w:id="74"/>
      <w:bookmarkEnd w:id="75"/>
    </w:p>
    <w:p w14:paraId="25FD09D2">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污染控制目标</w:t>
      </w:r>
    </w:p>
    <w:p w14:paraId="776E7DCD">
      <w:pPr>
        <w:pStyle w:val="281"/>
        <w:ind w:firstLine="480"/>
        <w:rPr>
          <w:color w:val="FF0000"/>
        </w:rPr>
      </w:pPr>
      <w:r>
        <w:rPr>
          <w:color w:val="000000" w:themeColor="text1"/>
          <w14:textFill>
            <w14:solidFill>
              <w14:schemeClr w14:val="tx1"/>
            </w14:solidFill>
          </w14:textFill>
        </w:rPr>
        <w:t>（1）控制废水治理，生产废水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清净下水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生活污水经处理后</w:t>
      </w:r>
      <w:r>
        <w:rPr>
          <w:rFonts w:hint="eastAsia"/>
          <w:color w:val="000000" w:themeColor="text1"/>
          <w14:textFill>
            <w14:solidFill>
              <w14:schemeClr w14:val="tx1"/>
            </w14:solidFill>
          </w14:textFill>
        </w:rPr>
        <w:t>全部回用，</w:t>
      </w:r>
      <w:r>
        <w:rPr>
          <w:color w:val="000000" w:themeColor="text1"/>
          <w14:textFill>
            <w14:solidFill>
              <w14:schemeClr w14:val="tx1"/>
            </w14:solidFill>
          </w14:textFill>
        </w:rPr>
        <w:t>不排入河、渠等地表水体。厂区做好地面硬化的防渗措施，防止污染地下水</w:t>
      </w:r>
      <w:r>
        <w:rPr>
          <w:rFonts w:hint="eastAsia"/>
          <w:color w:val="000000" w:themeColor="text1"/>
          <w14:textFill>
            <w14:solidFill>
              <w14:schemeClr w14:val="tx1"/>
            </w14:solidFill>
          </w14:textFill>
        </w:rPr>
        <w:t>。</w:t>
      </w:r>
    </w:p>
    <w:p w14:paraId="64DD0A5F">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（2）确保有组织、无组织废气排放达到相应排放标准限值要求</w:t>
      </w:r>
      <w:r>
        <w:rPr>
          <w:rFonts w:hint="eastAsia"/>
          <w:color w:val="000000" w:themeColor="text1"/>
          <w14:textFill>
            <w14:solidFill>
              <w14:schemeClr w14:val="tx1"/>
            </w14:solidFill>
          </w14:textFill>
        </w:rPr>
        <w:t>，保证主要污染物排放总量能够满足国家和地方总量控制要求。区域环境空气质量不因本项目的建设运行而产生明显影响。</w:t>
      </w:r>
    </w:p>
    <w:p w14:paraId="0EE3C3BE">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（3）严格控制设备噪声，保证厂界不超过《工业企业厂界环境噪声排放标准》（GB12348-2008）中的3类标准。</w:t>
      </w:r>
    </w:p>
    <w:p w14:paraId="52D912B5">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（4）固体废物实现分类处置，不对周围环境产生危害和二次污染；危险废物按照规范处置，厂区临时贮存场所符合《危险废物贮存污染控制标准》（GB18597-2023）</w:t>
      </w:r>
      <w:r>
        <w:rPr>
          <w:rFonts w:hint="eastAsia"/>
          <w:color w:val="000000" w:themeColor="text1"/>
          <w14:textFill>
            <w14:solidFill>
              <w14:schemeClr w14:val="tx1"/>
            </w14:solidFill>
          </w14:textFill>
        </w:rPr>
        <w:t>。</w:t>
      </w:r>
    </w:p>
    <w:p w14:paraId="6CAF9CEB">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（5）推行节水措施和清洁生产，将生态环境影响减少到最小程度，确保项目建设不造成生态环境进一步恶化。</w:t>
      </w:r>
    </w:p>
    <w:p w14:paraId="2823C42E">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主要环境保护目标</w:t>
      </w:r>
    </w:p>
    <w:p w14:paraId="7F29E642">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（1）保证评价区域的环境空气质量稳定在现状基础上，不因项目建设影响区域环境空气质量；重点保护目标是位于拟建厂址</w:t>
      </w:r>
      <w:r>
        <w:rPr>
          <w:rFonts w:hint="eastAsia"/>
          <w:color w:val="000000" w:themeColor="text1"/>
          <w14:textFill>
            <w14:solidFill>
              <w14:schemeClr w14:val="tx1"/>
            </w14:solidFill>
          </w14:textFill>
        </w:rPr>
        <w:t>周围居民区</w:t>
      </w:r>
      <w:r>
        <w:rPr>
          <w:color w:val="000000" w:themeColor="text1"/>
          <w14:textFill>
            <w14:solidFill>
              <w14:schemeClr w14:val="tx1"/>
            </w14:solidFill>
          </w14:textFill>
        </w:rPr>
        <w:t>，不因本项目的运营而使环境空气质量级别明显下降。</w:t>
      </w:r>
    </w:p>
    <w:p w14:paraId="0573721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（2）保证项目用水不对评价区域地下水资源产生影响，地面做好硬化确保项目所在区域的地下水环境不改变其现有质量等级；</w:t>
      </w:r>
    </w:p>
    <w:p w14:paraId="38ED40AA">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（3）做好厂区易燃物的风险防范措施，事故状态下对周围环境影响控制在可接受范围内；</w:t>
      </w:r>
    </w:p>
    <w:p w14:paraId="00D67ED9">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（4）保护厂区的生态环境，将不利生态影响降到最小。</w:t>
      </w:r>
    </w:p>
    <w:p w14:paraId="3FCCEA14">
      <w:pPr>
        <w:pStyle w:val="104"/>
        <w:ind w:firstLine="512"/>
        <w:rPr>
          <w:rFonts w:hint="eastAsia"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本项目环境保护目标见表2.8.2-1。</w:t>
      </w:r>
    </w:p>
    <w:p w14:paraId="333CD14B">
      <w:pPr>
        <w:pStyle w:val="535"/>
        <w:rPr>
          <w:rFonts w:hint="eastAsia"/>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-1    评价范围与敏感目标分布图</w:t>
      </w:r>
    </w:p>
    <w:p w14:paraId="3F35E8E3">
      <w:pPr>
        <w:pStyle w:val="91"/>
        <w:ind w:firstLine="400"/>
        <w:rPr>
          <w:rFonts w:hint="eastAsia"/>
        </w:rPr>
      </w:pPr>
    </w:p>
    <w:p w14:paraId="1234209D">
      <w:pPr>
        <w:pStyle w:val="91"/>
        <w:ind w:firstLine="400"/>
        <w:rPr>
          <w:rFonts w:hint="eastAsia"/>
        </w:rPr>
      </w:pPr>
    </w:p>
    <w:p w14:paraId="74D3D9D5">
      <w:pPr>
        <w:pStyle w:val="128"/>
        <w:rPr>
          <w:rFonts w:hint="eastAsia"/>
          <w:color w:val="FF0000"/>
        </w:rPr>
        <w:sectPr>
          <w:pgSz w:w="11906" w:h="16838"/>
          <w:pgMar w:top="1440" w:right="1800" w:bottom="1440" w:left="1800" w:header="851" w:footer="850" w:gutter="0"/>
          <w:cols w:space="425" w:num="1"/>
          <w:docGrid w:type="lines" w:linePitch="326" w:charSpace="0"/>
        </w:sectPr>
      </w:pPr>
    </w:p>
    <w:p w14:paraId="7E58C66C">
      <w:pPr>
        <w:pStyle w:val="128"/>
        <w:ind w:firstLine="0" w:firstLineChars="0"/>
        <w:jc w:val="center"/>
        <w:rPr>
          <w:rFonts w:hint="eastAsia"/>
          <w:color w:val="FF0000"/>
        </w:rPr>
      </w:pPr>
      <w:bookmarkStart w:id="76" w:name="_Hlk170987681"/>
    </w:p>
    <w:bookmarkEnd w:id="76"/>
    <w:p w14:paraId="2EC11BCA">
      <w:pPr>
        <w:pStyle w:val="541"/>
        <w:rPr>
          <w:rFonts w:hint="eastAsia"/>
          <w:color w:val="000000" w:themeColor="text1"/>
          <w14:textFill>
            <w14:solidFill>
              <w14:schemeClr w14:val="tx1"/>
            </w14:solidFill>
          </w14:textFill>
        </w:rPr>
      </w:pPr>
      <w:bookmarkStart w:id="77" w:name="_Hlk98255314"/>
      <w:bookmarkStart w:id="78" w:name="_Hlk98235568"/>
      <w:r>
        <w:rPr>
          <w:color w:val="000000" w:themeColor="text1"/>
          <w14:textFill>
            <w14:solidFill>
              <w14:schemeClr w14:val="tx1"/>
            </w14:solidFill>
          </w14:textFill>
        </w:rPr>
        <w:t>表2.8.2-1    环境保护目标</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3"/>
        <w:gridCol w:w="1824"/>
        <w:gridCol w:w="850"/>
        <w:gridCol w:w="2127"/>
        <w:gridCol w:w="992"/>
        <w:gridCol w:w="992"/>
        <w:gridCol w:w="788"/>
      </w:tblGrid>
      <w:tr w14:paraId="4558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4153E648">
            <w:pPr>
              <w:pStyle w:val="557"/>
            </w:pPr>
            <w:bookmarkStart w:id="79" w:name="_Hlk98187536"/>
            <w:r>
              <w:t>环境要素</w:t>
            </w:r>
          </w:p>
        </w:tc>
        <w:tc>
          <w:tcPr>
            <w:tcW w:w="1824" w:type="dxa"/>
            <w:vAlign w:val="center"/>
          </w:tcPr>
          <w:p w14:paraId="4AB62016">
            <w:pPr>
              <w:pStyle w:val="557"/>
            </w:pPr>
            <w:r>
              <w:t>保护对象</w:t>
            </w:r>
          </w:p>
        </w:tc>
        <w:tc>
          <w:tcPr>
            <w:tcW w:w="850" w:type="dxa"/>
            <w:vAlign w:val="center"/>
          </w:tcPr>
          <w:p w14:paraId="47F9D438">
            <w:pPr>
              <w:pStyle w:val="557"/>
            </w:pPr>
            <w:r>
              <w:t>保护内容</w:t>
            </w:r>
          </w:p>
        </w:tc>
        <w:tc>
          <w:tcPr>
            <w:tcW w:w="2127" w:type="dxa"/>
            <w:vAlign w:val="center"/>
          </w:tcPr>
          <w:p w14:paraId="564F3538">
            <w:pPr>
              <w:pStyle w:val="557"/>
            </w:pPr>
            <w:r>
              <w:t>环境功能区</w:t>
            </w:r>
          </w:p>
        </w:tc>
        <w:tc>
          <w:tcPr>
            <w:tcW w:w="992" w:type="dxa"/>
            <w:vAlign w:val="center"/>
          </w:tcPr>
          <w:p w14:paraId="37B98D1F">
            <w:pPr>
              <w:pStyle w:val="557"/>
            </w:pPr>
            <w:r>
              <w:t>相对厂区方位</w:t>
            </w:r>
          </w:p>
        </w:tc>
        <w:tc>
          <w:tcPr>
            <w:tcW w:w="992" w:type="dxa"/>
            <w:vAlign w:val="center"/>
          </w:tcPr>
          <w:p w14:paraId="6467A7B1">
            <w:pPr>
              <w:pStyle w:val="146"/>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相对厂界距离（km）</w:t>
            </w:r>
          </w:p>
        </w:tc>
        <w:tc>
          <w:tcPr>
            <w:tcW w:w="788" w:type="dxa"/>
            <w:vAlign w:val="center"/>
          </w:tcPr>
          <w:p w14:paraId="77990B70">
            <w:pPr>
              <w:pStyle w:val="146"/>
              <w:jc w:val="center"/>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人口</w:t>
            </w:r>
          </w:p>
        </w:tc>
      </w:tr>
      <w:tr w14:paraId="025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772D87D9">
            <w:pPr>
              <w:pStyle w:val="557"/>
            </w:pPr>
            <w:r>
              <w:t>大气环境</w:t>
            </w:r>
          </w:p>
        </w:tc>
        <w:tc>
          <w:tcPr>
            <w:tcW w:w="1824" w:type="dxa"/>
            <w:vAlign w:val="center"/>
          </w:tcPr>
          <w:p w14:paraId="28C193DC">
            <w:pPr>
              <w:pStyle w:val="557"/>
            </w:pPr>
            <w:r>
              <w:rPr>
                <w:rFonts w:hint="eastAsia"/>
              </w:rPr>
              <w:t>无</w:t>
            </w:r>
          </w:p>
        </w:tc>
        <w:tc>
          <w:tcPr>
            <w:tcW w:w="850" w:type="dxa"/>
            <w:vAlign w:val="center"/>
          </w:tcPr>
          <w:p w14:paraId="2552147F">
            <w:pPr>
              <w:pStyle w:val="557"/>
            </w:pPr>
            <w:r>
              <w:rPr>
                <w:rFonts w:hint="eastAsia"/>
              </w:rPr>
              <w:t>/</w:t>
            </w:r>
          </w:p>
        </w:tc>
        <w:tc>
          <w:tcPr>
            <w:tcW w:w="2127" w:type="dxa"/>
            <w:vAlign w:val="center"/>
          </w:tcPr>
          <w:p w14:paraId="58E9211B">
            <w:pPr>
              <w:pStyle w:val="557"/>
            </w:pPr>
            <w:r>
              <w:rPr>
                <w:rFonts w:hint="eastAsia"/>
              </w:rPr>
              <w:t>/</w:t>
            </w:r>
          </w:p>
        </w:tc>
        <w:tc>
          <w:tcPr>
            <w:tcW w:w="992" w:type="dxa"/>
            <w:vAlign w:val="center"/>
          </w:tcPr>
          <w:p w14:paraId="02A7E1E7">
            <w:pPr>
              <w:pStyle w:val="557"/>
            </w:pPr>
            <w:r>
              <w:rPr>
                <w:rFonts w:hint="eastAsia"/>
              </w:rPr>
              <w:t>/</w:t>
            </w:r>
          </w:p>
        </w:tc>
        <w:tc>
          <w:tcPr>
            <w:tcW w:w="992" w:type="dxa"/>
            <w:vAlign w:val="center"/>
          </w:tcPr>
          <w:p w14:paraId="7D920D44">
            <w:pPr>
              <w:pStyle w:val="557"/>
            </w:pPr>
            <w:r>
              <w:rPr>
                <w:rFonts w:hint="eastAsia"/>
              </w:rPr>
              <w:t>/</w:t>
            </w:r>
          </w:p>
        </w:tc>
        <w:tc>
          <w:tcPr>
            <w:tcW w:w="788" w:type="dxa"/>
            <w:vAlign w:val="center"/>
          </w:tcPr>
          <w:p w14:paraId="6713EC4E">
            <w:pPr>
              <w:pStyle w:val="557"/>
            </w:pPr>
            <w:r>
              <w:rPr>
                <w:rFonts w:hint="eastAsia"/>
              </w:rPr>
              <w:t>/</w:t>
            </w:r>
          </w:p>
        </w:tc>
      </w:tr>
      <w:tr w14:paraId="7E34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507F30D4">
            <w:pPr>
              <w:pStyle w:val="557"/>
            </w:pPr>
            <w:r>
              <w:t>声环境</w:t>
            </w:r>
          </w:p>
        </w:tc>
        <w:tc>
          <w:tcPr>
            <w:tcW w:w="1824" w:type="dxa"/>
            <w:vAlign w:val="center"/>
          </w:tcPr>
          <w:p w14:paraId="3A81100E">
            <w:pPr>
              <w:pStyle w:val="557"/>
            </w:pPr>
            <w:r>
              <w:rPr>
                <w:rFonts w:hint="eastAsia"/>
              </w:rPr>
              <w:t>厂址四周边界</w:t>
            </w:r>
          </w:p>
        </w:tc>
        <w:tc>
          <w:tcPr>
            <w:tcW w:w="850" w:type="dxa"/>
            <w:vAlign w:val="center"/>
          </w:tcPr>
          <w:p w14:paraId="0451CE2B">
            <w:pPr>
              <w:pStyle w:val="557"/>
            </w:pPr>
            <w:r>
              <w:rPr>
                <w:rFonts w:hint="eastAsia"/>
              </w:rPr>
              <w:t>/</w:t>
            </w:r>
          </w:p>
        </w:tc>
        <w:tc>
          <w:tcPr>
            <w:tcW w:w="2127" w:type="dxa"/>
            <w:vAlign w:val="center"/>
          </w:tcPr>
          <w:p w14:paraId="515EFC5F">
            <w:pPr>
              <w:pStyle w:val="557"/>
            </w:pPr>
            <w:r>
              <w:t>《声环境质量标准》（GB3096-2008）3类标准</w:t>
            </w:r>
          </w:p>
        </w:tc>
        <w:tc>
          <w:tcPr>
            <w:tcW w:w="992" w:type="dxa"/>
            <w:vAlign w:val="center"/>
          </w:tcPr>
          <w:p w14:paraId="44049D8E">
            <w:pPr>
              <w:pStyle w:val="557"/>
            </w:pPr>
            <w:r>
              <w:t>/</w:t>
            </w:r>
          </w:p>
        </w:tc>
        <w:tc>
          <w:tcPr>
            <w:tcW w:w="992" w:type="dxa"/>
            <w:vAlign w:val="center"/>
          </w:tcPr>
          <w:p w14:paraId="001D30A6">
            <w:pPr>
              <w:pStyle w:val="557"/>
            </w:pPr>
            <w:r>
              <w:t>/</w:t>
            </w:r>
          </w:p>
        </w:tc>
        <w:tc>
          <w:tcPr>
            <w:tcW w:w="788" w:type="dxa"/>
            <w:vAlign w:val="center"/>
          </w:tcPr>
          <w:p w14:paraId="7ADFFE88">
            <w:pPr>
              <w:pStyle w:val="557"/>
            </w:pPr>
            <w:r>
              <w:t>/</w:t>
            </w:r>
          </w:p>
        </w:tc>
      </w:tr>
      <w:tr w14:paraId="3013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457946F2">
            <w:pPr>
              <w:pStyle w:val="557"/>
            </w:pPr>
            <w:r>
              <w:rPr>
                <w:rFonts w:hint="eastAsia"/>
              </w:rPr>
              <w:t>地表水环境</w:t>
            </w:r>
          </w:p>
        </w:tc>
        <w:tc>
          <w:tcPr>
            <w:tcW w:w="1824" w:type="dxa"/>
            <w:vAlign w:val="center"/>
          </w:tcPr>
          <w:p w14:paraId="58A3878E">
            <w:pPr>
              <w:pStyle w:val="557"/>
            </w:pPr>
            <w:r>
              <w:rPr>
                <w:rFonts w:hint="eastAsia"/>
              </w:rPr>
              <w:t>南湖</w:t>
            </w:r>
            <w:r>
              <w:t>水库</w:t>
            </w:r>
          </w:p>
        </w:tc>
        <w:tc>
          <w:tcPr>
            <w:tcW w:w="850" w:type="dxa"/>
            <w:vAlign w:val="center"/>
          </w:tcPr>
          <w:p w14:paraId="14944408">
            <w:pPr>
              <w:pStyle w:val="557"/>
            </w:pPr>
            <w:r>
              <w:rPr>
                <w:rFonts w:hint="eastAsia"/>
              </w:rPr>
              <w:t>/</w:t>
            </w:r>
          </w:p>
        </w:tc>
        <w:tc>
          <w:tcPr>
            <w:tcW w:w="2127" w:type="dxa"/>
            <w:vAlign w:val="center"/>
          </w:tcPr>
          <w:p w14:paraId="17029A89">
            <w:pPr>
              <w:pStyle w:val="557"/>
            </w:pPr>
            <w:r>
              <w:rPr>
                <w:rFonts w:hint="eastAsia"/>
              </w:rPr>
              <w:t>《地表水环境质量标准》（GB3838-2002）</w:t>
            </w:r>
            <w:r>
              <w:fldChar w:fldCharType="begin"/>
            </w:r>
            <w:r>
              <w:instrText xml:space="preserve"> = 3 \* ROMAN </w:instrText>
            </w:r>
            <w:r>
              <w:fldChar w:fldCharType="separate"/>
            </w:r>
            <w:r>
              <w:t>III</w:t>
            </w:r>
            <w:r>
              <w:fldChar w:fldCharType="end"/>
            </w:r>
            <w:r>
              <w:t>类</w:t>
            </w:r>
          </w:p>
        </w:tc>
        <w:tc>
          <w:tcPr>
            <w:tcW w:w="992" w:type="dxa"/>
            <w:vAlign w:val="center"/>
          </w:tcPr>
          <w:p w14:paraId="59EF3303">
            <w:pPr>
              <w:pStyle w:val="557"/>
              <w:rPr>
                <w:lang w:eastAsia="zh"/>
              </w:rPr>
            </w:pPr>
            <w:r>
              <w:rPr>
                <w:rFonts w:hint="eastAsia"/>
                <w:lang w:eastAsia="zh"/>
              </w:rPr>
              <w:t>S</w:t>
            </w:r>
          </w:p>
        </w:tc>
        <w:tc>
          <w:tcPr>
            <w:tcW w:w="992" w:type="dxa"/>
            <w:vAlign w:val="center"/>
          </w:tcPr>
          <w:p w14:paraId="4884F19A">
            <w:pPr>
              <w:pStyle w:val="557"/>
              <w:rPr>
                <w:lang w:eastAsia="zh"/>
              </w:rPr>
            </w:pPr>
            <w:r>
              <w:rPr>
                <w:rFonts w:hint="eastAsia"/>
                <w:lang w:eastAsia="zh"/>
              </w:rPr>
              <w:t>5</w:t>
            </w:r>
          </w:p>
        </w:tc>
        <w:tc>
          <w:tcPr>
            <w:tcW w:w="788" w:type="dxa"/>
            <w:vAlign w:val="center"/>
          </w:tcPr>
          <w:p w14:paraId="2F356FEC">
            <w:pPr>
              <w:pStyle w:val="557"/>
            </w:pPr>
            <w:r>
              <w:rPr>
                <w:rFonts w:hint="eastAsia"/>
              </w:rPr>
              <w:t>/</w:t>
            </w:r>
          </w:p>
        </w:tc>
      </w:tr>
      <w:tr w14:paraId="136D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758D5F8B">
            <w:pPr>
              <w:pStyle w:val="557"/>
            </w:pPr>
            <w:r>
              <w:t>地下水环境</w:t>
            </w:r>
          </w:p>
        </w:tc>
        <w:tc>
          <w:tcPr>
            <w:tcW w:w="1824" w:type="dxa"/>
            <w:vAlign w:val="center"/>
          </w:tcPr>
          <w:p w14:paraId="4B973C20">
            <w:pPr>
              <w:pStyle w:val="557"/>
            </w:pPr>
            <w:r>
              <w:t>评价区地下水质量</w:t>
            </w:r>
          </w:p>
        </w:tc>
        <w:tc>
          <w:tcPr>
            <w:tcW w:w="850" w:type="dxa"/>
            <w:vAlign w:val="center"/>
          </w:tcPr>
          <w:p w14:paraId="03EA6F5F">
            <w:pPr>
              <w:pStyle w:val="557"/>
            </w:pPr>
            <w:r>
              <w:t>/</w:t>
            </w:r>
          </w:p>
        </w:tc>
        <w:tc>
          <w:tcPr>
            <w:tcW w:w="2127" w:type="dxa"/>
            <w:vAlign w:val="center"/>
          </w:tcPr>
          <w:p w14:paraId="53BF3786">
            <w:pPr>
              <w:pStyle w:val="557"/>
            </w:pPr>
            <w:r>
              <w:t>《地下水质量标准》（GB/T14848-2017）Ⅲ类</w:t>
            </w:r>
          </w:p>
        </w:tc>
        <w:tc>
          <w:tcPr>
            <w:tcW w:w="992" w:type="dxa"/>
            <w:vAlign w:val="center"/>
          </w:tcPr>
          <w:p w14:paraId="69C1E95E">
            <w:pPr>
              <w:pStyle w:val="557"/>
            </w:pPr>
            <w:r>
              <w:t>厂址及下游区域（地下水流场区）</w:t>
            </w:r>
          </w:p>
        </w:tc>
        <w:tc>
          <w:tcPr>
            <w:tcW w:w="992" w:type="dxa"/>
            <w:vAlign w:val="center"/>
          </w:tcPr>
          <w:p w14:paraId="4F22A53F">
            <w:pPr>
              <w:pStyle w:val="557"/>
            </w:pPr>
            <w:r>
              <w:t>/</w:t>
            </w:r>
          </w:p>
        </w:tc>
        <w:tc>
          <w:tcPr>
            <w:tcW w:w="788" w:type="dxa"/>
            <w:vAlign w:val="center"/>
          </w:tcPr>
          <w:p w14:paraId="7F2A4384">
            <w:pPr>
              <w:pStyle w:val="557"/>
            </w:pPr>
            <w:r>
              <w:t>/</w:t>
            </w:r>
          </w:p>
        </w:tc>
      </w:tr>
      <w:tr w14:paraId="471C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5A76C8B1">
            <w:pPr>
              <w:pStyle w:val="557"/>
            </w:pPr>
            <w:r>
              <w:t>生态环境</w:t>
            </w:r>
          </w:p>
        </w:tc>
        <w:tc>
          <w:tcPr>
            <w:tcW w:w="1824" w:type="dxa"/>
            <w:vAlign w:val="center"/>
          </w:tcPr>
          <w:p w14:paraId="19FE0B11">
            <w:pPr>
              <w:pStyle w:val="557"/>
            </w:pPr>
            <w:r>
              <w:t>评价区植被景观</w:t>
            </w:r>
          </w:p>
        </w:tc>
        <w:tc>
          <w:tcPr>
            <w:tcW w:w="850" w:type="dxa"/>
            <w:vAlign w:val="center"/>
          </w:tcPr>
          <w:p w14:paraId="41FB39B5">
            <w:pPr>
              <w:pStyle w:val="557"/>
            </w:pPr>
            <w:r>
              <w:t>/</w:t>
            </w:r>
          </w:p>
        </w:tc>
        <w:tc>
          <w:tcPr>
            <w:tcW w:w="2127" w:type="dxa"/>
            <w:vAlign w:val="center"/>
          </w:tcPr>
          <w:p w14:paraId="5DE1A6E0">
            <w:pPr>
              <w:pStyle w:val="557"/>
            </w:pPr>
            <w:r>
              <w:t>/</w:t>
            </w:r>
          </w:p>
        </w:tc>
        <w:tc>
          <w:tcPr>
            <w:tcW w:w="992" w:type="dxa"/>
            <w:vAlign w:val="center"/>
          </w:tcPr>
          <w:p w14:paraId="34CBBC36">
            <w:pPr>
              <w:pStyle w:val="557"/>
            </w:pPr>
            <w:r>
              <w:t>/</w:t>
            </w:r>
          </w:p>
        </w:tc>
        <w:tc>
          <w:tcPr>
            <w:tcW w:w="992" w:type="dxa"/>
            <w:vAlign w:val="center"/>
          </w:tcPr>
          <w:p w14:paraId="07003F7C">
            <w:pPr>
              <w:pStyle w:val="557"/>
            </w:pPr>
            <w:r>
              <w:t>/</w:t>
            </w:r>
          </w:p>
        </w:tc>
        <w:tc>
          <w:tcPr>
            <w:tcW w:w="788" w:type="dxa"/>
            <w:vAlign w:val="center"/>
          </w:tcPr>
          <w:p w14:paraId="2F901FAF">
            <w:pPr>
              <w:pStyle w:val="557"/>
            </w:pPr>
            <w:r>
              <w:t>/</w:t>
            </w:r>
          </w:p>
        </w:tc>
      </w:tr>
      <w:tr w14:paraId="38F4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Align w:val="center"/>
          </w:tcPr>
          <w:p w14:paraId="25AD4C5D">
            <w:pPr>
              <w:pStyle w:val="557"/>
            </w:pPr>
            <w:r>
              <w:t>土壤环境</w:t>
            </w:r>
          </w:p>
        </w:tc>
        <w:tc>
          <w:tcPr>
            <w:tcW w:w="1824" w:type="dxa"/>
            <w:vAlign w:val="center"/>
          </w:tcPr>
          <w:p w14:paraId="0457452F">
            <w:pPr>
              <w:pStyle w:val="557"/>
            </w:pPr>
            <w:r>
              <w:t>评价区土壤</w:t>
            </w:r>
          </w:p>
        </w:tc>
        <w:tc>
          <w:tcPr>
            <w:tcW w:w="850" w:type="dxa"/>
            <w:vAlign w:val="center"/>
          </w:tcPr>
          <w:p w14:paraId="2305D4CC">
            <w:pPr>
              <w:pStyle w:val="557"/>
            </w:pPr>
            <w:r>
              <w:t>/</w:t>
            </w:r>
          </w:p>
        </w:tc>
        <w:tc>
          <w:tcPr>
            <w:tcW w:w="2127" w:type="dxa"/>
            <w:vAlign w:val="center"/>
          </w:tcPr>
          <w:p w14:paraId="31C15CD8">
            <w:pPr>
              <w:pStyle w:val="557"/>
            </w:pPr>
            <w:r>
              <w:t>GB36600-2018第二类用地风险管控值要求</w:t>
            </w:r>
          </w:p>
        </w:tc>
        <w:tc>
          <w:tcPr>
            <w:tcW w:w="992" w:type="dxa"/>
            <w:vAlign w:val="center"/>
          </w:tcPr>
          <w:p w14:paraId="62138FED">
            <w:pPr>
              <w:pStyle w:val="557"/>
            </w:pPr>
            <w:r>
              <w:t>/</w:t>
            </w:r>
          </w:p>
        </w:tc>
        <w:tc>
          <w:tcPr>
            <w:tcW w:w="992" w:type="dxa"/>
            <w:vAlign w:val="center"/>
          </w:tcPr>
          <w:p w14:paraId="23855F8D">
            <w:pPr>
              <w:pStyle w:val="557"/>
            </w:pPr>
            <w:r>
              <w:t>/</w:t>
            </w:r>
          </w:p>
        </w:tc>
        <w:tc>
          <w:tcPr>
            <w:tcW w:w="788" w:type="dxa"/>
            <w:vAlign w:val="center"/>
          </w:tcPr>
          <w:p w14:paraId="4EAF5FA4">
            <w:pPr>
              <w:pStyle w:val="557"/>
            </w:pPr>
            <w:r>
              <w:t>/</w:t>
            </w:r>
          </w:p>
        </w:tc>
      </w:tr>
      <w:tr w14:paraId="7837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Merge w:val="restart"/>
            <w:vAlign w:val="center"/>
          </w:tcPr>
          <w:p w14:paraId="27F467D4">
            <w:pPr>
              <w:pStyle w:val="557"/>
            </w:pPr>
            <w:r>
              <w:t>环境风险</w:t>
            </w:r>
          </w:p>
        </w:tc>
        <w:tc>
          <w:tcPr>
            <w:tcW w:w="1824" w:type="dxa"/>
            <w:vAlign w:val="center"/>
          </w:tcPr>
          <w:p w14:paraId="663FFF96">
            <w:pPr>
              <w:pStyle w:val="557"/>
            </w:pPr>
            <w:r>
              <w:rPr>
                <w:rFonts w:hint="eastAsia"/>
              </w:rPr>
              <w:t>花园乡</w:t>
            </w:r>
          </w:p>
        </w:tc>
        <w:tc>
          <w:tcPr>
            <w:tcW w:w="850" w:type="dxa"/>
            <w:vAlign w:val="center"/>
          </w:tcPr>
          <w:p w14:paraId="403D19F3">
            <w:pPr>
              <w:pStyle w:val="557"/>
            </w:pPr>
            <w:r>
              <w:t>人群聚集区</w:t>
            </w:r>
          </w:p>
        </w:tc>
        <w:tc>
          <w:tcPr>
            <w:tcW w:w="2127" w:type="dxa"/>
            <w:vAlign w:val="center"/>
          </w:tcPr>
          <w:p w14:paraId="03194DCE">
            <w:pPr>
              <w:pStyle w:val="557"/>
            </w:pPr>
            <w:r>
              <w:t>环境空气质量标准（GB3095-2012）二级</w:t>
            </w:r>
          </w:p>
        </w:tc>
        <w:tc>
          <w:tcPr>
            <w:tcW w:w="992" w:type="dxa"/>
            <w:vAlign w:val="center"/>
          </w:tcPr>
          <w:p w14:paraId="7CCA9918">
            <w:pPr>
              <w:pStyle w:val="557"/>
            </w:pPr>
            <w:r>
              <w:t>SE</w:t>
            </w:r>
          </w:p>
        </w:tc>
        <w:tc>
          <w:tcPr>
            <w:tcW w:w="992" w:type="dxa"/>
            <w:vAlign w:val="center"/>
          </w:tcPr>
          <w:p w14:paraId="036035F2">
            <w:pPr>
              <w:pStyle w:val="557"/>
            </w:pPr>
            <w:r>
              <w:rPr>
                <w:rFonts w:hint="eastAsia"/>
              </w:rPr>
              <w:t>4.6</w:t>
            </w:r>
          </w:p>
        </w:tc>
        <w:tc>
          <w:tcPr>
            <w:tcW w:w="788" w:type="dxa"/>
            <w:vAlign w:val="center"/>
          </w:tcPr>
          <w:p w14:paraId="1D0231A6">
            <w:pPr>
              <w:pStyle w:val="557"/>
            </w:pPr>
            <w:r>
              <w:rPr>
                <w:rFonts w:hint="eastAsia"/>
              </w:rPr>
              <w:t>150</w:t>
            </w:r>
          </w:p>
        </w:tc>
      </w:tr>
      <w:tr w14:paraId="77AC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23" w:type="dxa"/>
            <w:vMerge w:val="continue"/>
            <w:vAlign w:val="center"/>
          </w:tcPr>
          <w:p w14:paraId="020F6D3C">
            <w:pPr>
              <w:pStyle w:val="557"/>
            </w:pPr>
          </w:p>
        </w:tc>
        <w:tc>
          <w:tcPr>
            <w:tcW w:w="1824" w:type="dxa"/>
            <w:vAlign w:val="center"/>
          </w:tcPr>
          <w:p w14:paraId="24DE4362">
            <w:pPr>
              <w:pStyle w:val="557"/>
            </w:pPr>
            <w:r>
              <w:t>地下水</w:t>
            </w:r>
          </w:p>
        </w:tc>
        <w:tc>
          <w:tcPr>
            <w:tcW w:w="850" w:type="dxa"/>
            <w:vAlign w:val="center"/>
          </w:tcPr>
          <w:p w14:paraId="7DCBBD00">
            <w:pPr>
              <w:pStyle w:val="557"/>
            </w:pPr>
            <w:r>
              <w:t>/</w:t>
            </w:r>
          </w:p>
        </w:tc>
        <w:tc>
          <w:tcPr>
            <w:tcW w:w="2127" w:type="dxa"/>
            <w:vAlign w:val="center"/>
          </w:tcPr>
          <w:p w14:paraId="0C1E94E6">
            <w:pPr>
              <w:pStyle w:val="557"/>
            </w:pPr>
            <w:r>
              <w:t>《地下水质量标准》（GB/T14848-2017）Ⅲ类标准</w:t>
            </w:r>
          </w:p>
        </w:tc>
        <w:tc>
          <w:tcPr>
            <w:tcW w:w="992" w:type="dxa"/>
            <w:vAlign w:val="center"/>
          </w:tcPr>
          <w:p w14:paraId="0C43049D">
            <w:pPr>
              <w:pStyle w:val="557"/>
            </w:pPr>
            <w:r>
              <w:t>项目及周边地下水</w:t>
            </w:r>
          </w:p>
        </w:tc>
        <w:tc>
          <w:tcPr>
            <w:tcW w:w="992" w:type="dxa"/>
            <w:vAlign w:val="center"/>
          </w:tcPr>
          <w:p w14:paraId="0214B256">
            <w:pPr>
              <w:pStyle w:val="557"/>
            </w:pPr>
            <w:r>
              <w:t>/</w:t>
            </w:r>
          </w:p>
        </w:tc>
        <w:tc>
          <w:tcPr>
            <w:tcW w:w="788" w:type="dxa"/>
            <w:vAlign w:val="center"/>
          </w:tcPr>
          <w:p w14:paraId="6F0A42AA">
            <w:pPr>
              <w:pStyle w:val="557"/>
            </w:pPr>
            <w:r>
              <w:t>/</w:t>
            </w:r>
          </w:p>
        </w:tc>
      </w:tr>
      <w:bookmarkEnd w:id="77"/>
      <w:bookmarkEnd w:id="78"/>
      <w:bookmarkEnd w:id="79"/>
    </w:tbl>
    <w:p w14:paraId="2B180D94">
      <w:pPr>
        <w:jc w:val="center"/>
        <w:rPr>
          <w:rFonts w:hint="eastAsia"/>
        </w:rPr>
        <w:sectPr>
          <w:pgSz w:w="11906" w:h="16838"/>
          <w:pgMar w:top="1440" w:right="1800" w:bottom="1440" w:left="1800" w:header="851" w:footer="850" w:gutter="0"/>
          <w:cols w:space="425" w:num="1"/>
          <w:docGrid w:type="lines" w:linePitch="326" w:charSpace="0"/>
        </w:sectPr>
      </w:pPr>
    </w:p>
    <w:p w14:paraId="54CDBCB5">
      <w:pPr>
        <w:pStyle w:val="1012"/>
      </w:pPr>
      <w:bookmarkStart w:id="80" w:name="_Toc18877"/>
      <w:bookmarkStart w:id="81" w:name="_Toc11392"/>
      <w:r>
        <w:t>建设项目工程分析</w:t>
      </w:r>
      <w:bookmarkEnd w:id="80"/>
    </w:p>
    <w:p w14:paraId="73CD52B4">
      <w:pPr>
        <w:pStyle w:val="3"/>
        <w:rPr>
          <w:rFonts w:hint="eastAsia"/>
        </w:rPr>
      </w:pPr>
      <w:bookmarkStart w:id="82" w:name="_Toc182475478"/>
      <w:bookmarkStart w:id="83" w:name="_Toc20340"/>
      <w:r>
        <w:t>项目概况</w:t>
      </w:r>
      <w:bookmarkEnd w:id="82"/>
      <w:bookmarkEnd w:id="83"/>
    </w:p>
    <w:p w14:paraId="26EAB343">
      <w:pPr>
        <w:pStyle w:val="281"/>
        <w:ind w:firstLine="480"/>
        <w:rPr>
          <w:rFonts w:cs="Times New Roman"/>
        </w:rPr>
      </w:pPr>
      <w:bookmarkStart w:id="84" w:name="_Hlk150121703"/>
      <w:bookmarkStart w:id="85" w:name="_Hlk150213196"/>
      <w:r>
        <w:rPr>
          <w:rFonts w:cs="Times New Roman"/>
        </w:rPr>
        <w:t>项目名称：</w:t>
      </w:r>
      <w:r>
        <w:rPr>
          <w:rFonts w:hint="eastAsia" w:cs="Times New Roman"/>
        </w:rPr>
        <w:t>新疆天科隆化学有限公司年产6.2万吨水电解制氢及50万吨绿色草酰胺、80万吨有机高效缓释肥项目</w:t>
      </w:r>
    </w:p>
    <w:p w14:paraId="14EBCC29">
      <w:pPr>
        <w:pStyle w:val="281"/>
        <w:ind w:firstLine="480"/>
        <w:rPr>
          <w:rFonts w:cs="Times New Roman"/>
        </w:rPr>
      </w:pPr>
      <w:r>
        <w:rPr>
          <w:rFonts w:cs="Times New Roman"/>
        </w:rPr>
        <w:t>建设性质：新建项目</w:t>
      </w:r>
    </w:p>
    <w:p w14:paraId="35040AED">
      <w:pPr>
        <w:pStyle w:val="281"/>
        <w:ind w:firstLine="480"/>
        <w:rPr>
          <w:rFonts w:cs="Times New Roman"/>
        </w:rPr>
      </w:pPr>
      <w:r>
        <w:rPr>
          <w:rFonts w:cs="Times New Roman"/>
        </w:rPr>
        <w:t>建设单位：</w:t>
      </w:r>
      <w:r>
        <w:rPr>
          <w:rFonts w:hint="eastAsia" w:cs="Times New Roman"/>
        </w:rPr>
        <w:t>新疆天科隆化学有限公司</w:t>
      </w:r>
    </w:p>
    <w:p w14:paraId="7723EB41">
      <w:pPr>
        <w:spacing w:line="360" w:lineRule="auto"/>
        <w:ind w:firstLine="480" w:firstLineChars="200"/>
        <w:rPr>
          <w:rFonts w:ascii="Times New Roman" w:hAnsi="Times New Roman" w:cs="Times New Roman"/>
        </w:rPr>
      </w:pPr>
      <w:r>
        <w:rPr>
          <w:rFonts w:ascii="Times New Roman" w:hAnsi="Times New Roman" w:cs="Times New Roman"/>
        </w:rPr>
        <w:t>建设地点：</w:t>
      </w:r>
      <w:r>
        <w:rPr>
          <w:rFonts w:hint="eastAsia" w:ascii="Times New Roman" w:hAnsi="Times New Roman" w:cs="Times New Roman"/>
        </w:rPr>
        <w:t>位于新疆维吾尔自治区哈密市哈密工业园区南部循环经济产业园</w:t>
      </w:r>
      <w:r>
        <w:rPr>
          <w:rFonts w:ascii="Times New Roman" w:hAnsi="Times New Roman" w:cs="Times New Roman"/>
        </w:rPr>
        <w:t>，占地面积</w:t>
      </w:r>
      <w:r>
        <w:rPr>
          <w:rFonts w:hint="eastAsia" w:ascii="Times New Roman" w:hAnsi="Times New Roman" w:cs="Times New Roman"/>
        </w:rPr>
        <w:t>51.024公顷</w:t>
      </w:r>
      <w:r>
        <w:rPr>
          <w:rFonts w:ascii="Times New Roman" w:hAnsi="Times New Roman" w:cs="Times New Roman"/>
        </w:rPr>
        <w:t>。</w:t>
      </w:r>
      <w:r>
        <w:rPr>
          <w:rFonts w:hint="eastAsia" w:ascii="Times New Roman" w:hAnsi="Times New Roman" w:cs="Times New Roman"/>
        </w:rPr>
        <w:t>本项目西侧和北侧为空地，南侧和东侧为园区道路。</w:t>
      </w:r>
      <w:r>
        <w:rPr>
          <w:rFonts w:ascii="Times New Roman" w:hAnsi="Times New Roman" w:cs="Times New Roman"/>
        </w:rPr>
        <w:t>中心地理坐标。项目厂址位置见图3.1</w:t>
      </w:r>
      <w:r>
        <w:rPr>
          <w:rFonts w:hint="eastAsia" w:ascii="Times New Roman" w:hAnsi="Times New Roman" w:cs="Times New Roman"/>
        </w:rPr>
        <w:t>.1</w:t>
      </w:r>
      <w:r>
        <w:rPr>
          <w:rFonts w:ascii="Times New Roman" w:hAnsi="Times New Roman" w:cs="Times New Roman"/>
        </w:rPr>
        <w:t>-1。</w:t>
      </w:r>
    </w:p>
    <w:p w14:paraId="38050F8E">
      <w:pPr>
        <w:pStyle w:val="281"/>
        <w:ind w:firstLine="480"/>
        <w:rPr>
          <w:rFonts w:cs="Times New Roman"/>
        </w:rPr>
      </w:pPr>
      <w:r>
        <w:rPr>
          <w:rFonts w:cs="Times New Roman"/>
        </w:rPr>
        <w:t>建设内容：</w:t>
      </w:r>
      <w:bookmarkEnd w:id="84"/>
      <w:r>
        <w:rPr>
          <w:rFonts w:cs="Times New Roman"/>
          <w:szCs w:val="24"/>
        </w:rPr>
        <w:t>本项目以</w:t>
      </w:r>
      <w:r>
        <w:rPr>
          <w:rFonts w:hint="eastAsia" w:cs="Times New Roman"/>
          <w:szCs w:val="24"/>
        </w:rPr>
        <w:t>煤炭</w:t>
      </w:r>
      <w:r>
        <w:rPr>
          <w:rFonts w:cs="Times New Roman"/>
          <w:szCs w:val="24"/>
        </w:rPr>
        <w:t>为原料，经过干煤粉气化、合成气净化、CO深冷分离等单元，加工生产DMO</w:t>
      </w:r>
      <w:r>
        <w:rPr>
          <w:rFonts w:hint="eastAsia" w:cs="Times New Roman"/>
          <w:szCs w:val="24"/>
        </w:rPr>
        <w:t>，</w:t>
      </w:r>
      <w:r>
        <w:rPr>
          <w:rFonts w:cs="Times New Roman"/>
          <w:szCs w:val="24"/>
        </w:rPr>
        <w:t>电解水制氢来的氢气与空分装置送来的氮气生产合成氨，作为生产草酰胺的原料。大部分草酰胺作为产品，部分草酰胺与外购的氮磷钾肥混合生产高效有机缓释肥。</w:t>
      </w:r>
    </w:p>
    <w:p w14:paraId="353286A4">
      <w:pPr>
        <w:pStyle w:val="281"/>
        <w:ind w:firstLine="480"/>
        <w:rPr>
          <w:rFonts w:cs="Times New Roman"/>
        </w:rPr>
      </w:pPr>
      <w:r>
        <w:rPr>
          <w:rFonts w:cs="Times New Roman"/>
        </w:rPr>
        <w:t>建设时序：本项目计划</w:t>
      </w:r>
      <w:r>
        <w:rPr>
          <w:rFonts w:cs="Times New Roman"/>
          <w:lang w:val="en-GB"/>
        </w:rPr>
        <w:t>2025年</w:t>
      </w:r>
      <w:r>
        <w:rPr>
          <w:rFonts w:hint="eastAsia" w:cs="Times New Roman"/>
        </w:rPr>
        <w:t>8</w:t>
      </w:r>
      <w:r>
        <w:rPr>
          <w:rFonts w:cs="Times New Roman"/>
          <w:lang w:val="en-GB"/>
        </w:rPr>
        <w:t>月开工建设，2028年3月投产运行。</w:t>
      </w:r>
    </w:p>
    <w:p w14:paraId="6E640310">
      <w:pPr>
        <w:pStyle w:val="281"/>
        <w:ind w:firstLine="480"/>
        <w:rPr>
          <w:rFonts w:cs="Times New Roman"/>
        </w:rPr>
      </w:pPr>
      <w:r>
        <w:rPr>
          <w:rStyle w:val="282"/>
          <w:rFonts w:cs="Times New Roman"/>
        </w:rPr>
        <w:t>项目投资：</w:t>
      </w:r>
      <w:r>
        <w:rPr>
          <w:rFonts w:hint="eastAsia"/>
        </w:rPr>
        <w:t>本项目总投资为616781.88万元，环保投资35918万元，占项目总投资的5.82%。</w:t>
      </w:r>
    </w:p>
    <w:p w14:paraId="0DD67394">
      <w:pPr>
        <w:pStyle w:val="281"/>
        <w:ind w:firstLine="480"/>
        <w:rPr>
          <w:szCs w:val="24"/>
        </w:rPr>
      </w:pPr>
      <w:r>
        <w:rPr>
          <w:rFonts w:hint="eastAsia" w:ascii="宋体" w:hAnsi="宋体"/>
          <w:szCs w:val="24"/>
        </w:rPr>
        <w:t>劳动定员：</w:t>
      </w:r>
      <w:r>
        <w:rPr>
          <w:rFonts w:hint="eastAsia"/>
        </w:rPr>
        <w:t>全厂劳动定员512人，其中生产工人484人，技术管理人员28人。</w:t>
      </w:r>
    </w:p>
    <w:p w14:paraId="771CA47E">
      <w:pPr>
        <w:pStyle w:val="281"/>
        <w:ind w:firstLine="480"/>
        <w:rPr>
          <w:rFonts w:hint="eastAsia" w:ascii="宋体" w:hAnsi="宋体"/>
          <w:szCs w:val="24"/>
        </w:rPr>
      </w:pPr>
      <w:r>
        <w:rPr>
          <w:rFonts w:hint="eastAsia" w:ascii="宋体" w:hAnsi="宋体"/>
          <w:szCs w:val="24"/>
        </w:rPr>
        <w:t>生产制度：全年工作日</w:t>
      </w:r>
      <w:r>
        <w:rPr>
          <w:szCs w:val="24"/>
        </w:rPr>
        <w:t>333</w:t>
      </w:r>
      <w:r>
        <w:rPr>
          <w:rFonts w:hint="eastAsia" w:ascii="宋体" w:hAnsi="宋体"/>
          <w:szCs w:val="24"/>
        </w:rPr>
        <w:t>天，年操作时间</w:t>
      </w:r>
      <w:r>
        <w:rPr>
          <w:szCs w:val="24"/>
        </w:rPr>
        <w:t>8000</w:t>
      </w:r>
      <w:r>
        <w:rPr>
          <w:rFonts w:hint="eastAsia" w:ascii="宋体" w:hAnsi="宋体"/>
          <w:szCs w:val="24"/>
        </w:rPr>
        <w:t>小时，</w:t>
      </w:r>
      <w:r>
        <w:rPr>
          <w:rFonts w:cs="Times New Roman"/>
          <w:szCs w:val="24"/>
        </w:rPr>
        <w:t>操作班次4班3运转</w:t>
      </w:r>
      <w:bookmarkStart w:id="86" w:name="_Toc382048066"/>
      <w:bookmarkEnd w:id="86"/>
      <w:bookmarkStart w:id="87" w:name="_Toc448426366"/>
      <w:r>
        <w:rPr>
          <w:rFonts w:cs="Times New Roman"/>
          <w:szCs w:val="24"/>
        </w:rPr>
        <w:t>。</w:t>
      </w:r>
      <w:bookmarkEnd w:id="85"/>
      <w:bookmarkEnd w:id="87"/>
    </w:p>
    <w:p w14:paraId="20DF6AAA">
      <w:pPr>
        <w:pStyle w:val="281"/>
        <w:ind w:firstLine="480"/>
        <w:rPr>
          <w:szCs w:val="24"/>
        </w:rPr>
      </w:pPr>
    </w:p>
    <w:p w14:paraId="360BBD05">
      <w:pPr>
        <w:pStyle w:val="557"/>
        <w:sectPr>
          <w:pgSz w:w="11906" w:h="16838"/>
          <w:pgMar w:top="1440" w:right="1800" w:bottom="1440" w:left="1800" w:header="851" w:footer="850" w:gutter="0"/>
          <w:cols w:space="425" w:num="1"/>
          <w:docGrid w:type="lines" w:linePitch="326" w:charSpace="0"/>
        </w:sectPr>
      </w:pPr>
    </w:p>
    <w:p w14:paraId="7B5F4AAB">
      <w:pPr>
        <w:pStyle w:val="645"/>
        <w:rPr>
          <w:rFonts w:hint="eastAsia"/>
        </w:rPr>
      </w:pPr>
    </w:p>
    <w:p w14:paraId="11C08ADE">
      <w:pPr>
        <w:pStyle w:val="645"/>
        <w:rPr>
          <w:rFonts w:hint="eastAsia"/>
          <w:highlight w:val="yellow"/>
        </w:rPr>
      </w:pPr>
      <w:r>
        <w:rPr>
          <w:rFonts w:hint="eastAsia"/>
        </w:rPr>
        <w:t>图3</w:t>
      </w:r>
      <w:r>
        <w:t xml:space="preserve">.1.1-1    </w:t>
      </w:r>
      <w:r>
        <w:rPr>
          <w:rFonts w:hint="eastAsia"/>
        </w:rPr>
        <w:t>项目地理位置图</w:t>
      </w:r>
    </w:p>
    <w:p w14:paraId="229C2D28">
      <w:pPr>
        <w:pStyle w:val="645"/>
        <w:rPr>
          <w:rFonts w:hint="eastAsia"/>
        </w:rPr>
        <w:sectPr>
          <w:pgSz w:w="16838" w:h="11906" w:orient="landscape"/>
          <w:pgMar w:top="1800" w:right="1440" w:bottom="1800" w:left="1440" w:header="851" w:footer="850" w:gutter="0"/>
          <w:cols w:space="425" w:num="1"/>
          <w:docGrid w:type="lines" w:linePitch="326" w:charSpace="0"/>
        </w:sectPr>
      </w:pPr>
    </w:p>
    <w:p w14:paraId="5C7D2E72">
      <w:pPr>
        <w:pStyle w:val="97"/>
        <w:rPr>
          <w:rFonts w:hint="eastAsia"/>
        </w:rPr>
      </w:pPr>
      <w:bookmarkStart w:id="88" w:name="_Hlk150213256"/>
      <w:r>
        <w:t>建设内容及规模</w:t>
      </w:r>
    </w:p>
    <w:p w14:paraId="496BC03A">
      <w:pPr>
        <w:pStyle w:val="281"/>
        <w:ind w:firstLine="480"/>
        <w:rPr>
          <w:szCs w:val="24"/>
        </w:rPr>
      </w:pPr>
      <w:bookmarkStart w:id="89" w:name="_Hlk150213236"/>
      <w:r>
        <w:rPr>
          <w:szCs w:val="24"/>
        </w:rPr>
        <w:t>项目生产装置包括</w:t>
      </w:r>
      <w:r>
        <w:rPr>
          <w:rFonts w:hint="eastAsia"/>
        </w:rPr>
        <w:t>气化装置、净化及分离装置、电解水制氢装置</w:t>
      </w:r>
      <w:r>
        <w:rPr>
          <w:szCs w:val="24"/>
        </w:rPr>
        <w:t>、</w:t>
      </w:r>
      <w:r>
        <w:rPr>
          <w:rFonts w:hint="eastAsia"/>
          <w:szCs w:val="24"/>
        </w:rPr>
        <w:t>合成氨装置、DMO装置、草酰胺装置、草酰胺有机缓释肥装置</w:t>
      </w:r>
      <w:r>
        <w:rPr>
          <w:rFonts w:hint="eastAsia"/>
          <w:kern w:val="2"/>
        </w:rPr>
        <w:t>等</w:t>
      </w:r>
      <w:r>
        <w:rPr>
          <w:rFonts w:hint="eastAsia"/>
          <w:szCs w:val="24"/>
        </w:rPr>
        <w:t>。项目主要工程组成</w:t>
      </w:r>
      <w:r>
        <w:rPr>
          <w:szCs w:val="24"/>
        </w:rPr>
        <w:t>见表3.1.1-1</w:t>
      </w:r>
      <w:bookmarkEnd w:id="89"/>
      <w:r>
        <w:rPr>
          <w:rFonts w:hint="eastAsia"/>
          <w:szCs w:val="24"/>
        </w:rPr>
        <w:t>。</w:t>
      </w:r>
    </w:p>
    <w:p w14:paraId="45BA51BA">
      <w:pPr>
        <w:pStyle w:val="535"/>
        <w:rPr>
          <w:rFonts w:hint="eastAsia"/>
          <w:color w:val="auto"/>
        </w:rPr>
      </w:pPr>
      <w:r>
        <w:rPr>
          <w:color w:val="auto"/>
        </w:rPr>
        <w:t>表3.</w:t>
      </w:r>
      <w:r>
        <w:rPr>
          <w:rFonts w:hint="eastAsia"/>
          <w:color w:val="auto"/>
        </w:rPr>
        <w:t>1</w:t>
      </w:r>
      <w:r>
        <w:rPr>
          <w:color w:val="auto"/>
        </w:rPr>
        <w:t xml:space="preserve">.1-1    </w:t>
      </w:r>
      <w:r>
        <w:rPr>
          <w:rFonts w:hint="eastAsia"/>
          <w:color w:val="auto"/>
        </w:rPr>
        <w:t>项目主要工程</w:t>
      </w:r>
      <w:r>
        <w:rPr>
          <w:color w:val="auto"/>
        </w:rPr>
        <w:t>组成表</w:t>
      </w:r>
    </w:p>
    <w:bookmarkEnd w:id="88"/>
    <w:p w14:paraId="17DE328D">
      <w:pPr>
        <w:pStyle w:val="97"/>
        <w:rPr>
          <w:rFonts w:hint="eastAsia"/>
        </w:rPr>
      </w:pPr>
      <w:r>
        <w:rPr>
          <w:rFonts w:hint="eastAsia"/>
        </w:rPr>
        <w:t>产品方案</w:t>
      </w:r>
    </w:p>
    <w:p w14:paraId="424606DE">
      <w:pPr>
        <w:pStyle w:val="281"/>
        <w:ind w:firstLine="480"/>
        <w:rPr>
          <w:rFonts w:hint="eastAsia" w:ascii="宋体" w:hAnsi="宋体"/>
        </w:rPr>
      </w:pPr>
      <w:bookmarkStart w:id="90" w:name="_Hlk177836295"/>
      <w:bookmarkStart w:id="91" w:name="_Hlk150213320"/>
      <w:r>
        <w:rPr>
          <w:rFonts w:hint="eastAsia" w:ascii="宋体" w:hAnsi="宋体"/>
        </w:rPr>
        <w:t>拟建项目产品方案见表</w:t>
      </w:r>
      <w:r>
        <w:t>3.</w:t>
      </w:r>
      <w:r>
        <w:rPr>
          <w:rFonts w:hint="eastAsia"/>
        </w:rPr>
        <w:t>1</w:t>
      </w:r>
      <w:r>
        <w:t>.2-1</w:t>
      </w:r>
      <w:r>
        <w:rPr>
          <w:rFonts w:hint="eastAsia"/>
        </w:rPr>
        <w:t>。</w:t>
      </w:r>
    </w:p>
    <w:p w14:paraId="13823C9B">
      <w:pPr>
        <w:pStyle w:val="161"/>
        <w:rPr>
          <w:rFonts w:hint="eastAsia"/>
          <w:color w:val="auto"/>
        </w:rPr>
      </w:pPr>
      <w:r>
        <w:rPr>
          <w:color w:val="auto"/>
        </w:rPr>
        <w:t>表3.</w:t>
      </w:r>
      <w:r>
        <w:rPr>
          <w:rFonts w:hint="eastAsia"/>
          <w:color w:val="auto"/>
        </w:rPr>
        <w:t>1</w:t>
      </w:r>
      <w:r>
        <w:rPr>
          <w:color w:val="auto"/>
        </w:rPr>
        <w:t>.2-1</w:t>
      </w:r>
      <w:bookmarkStart w:id="92" w:name="_Hlk150121761"/>
      <w:r>
        <w:rPr>
          <w:color w:val="auto"/>
        </w:rPr>
        <w:t xml:space="preserve">    </w:t>
      </w:r>
      <w:r>
        <w:rPr>
          <w:rFonts w:hint="eastAsia"/>
          <w:color w:val="auto"/>
        </w:rPr>
        <w:t xml:space="preserve"> </w:t>
      </w:r>
      <w:r>
        <w:rPr>
          <w:color w:val="auto"/>
        </w:rPr>
        <w:t>产品方案一览表</w:t>
      </w:r>
    </w:p>
    <w:bookmarkEnd w:id="90"/>
    <w:bookmarkEnd w:id="92"/>
    <w:p w14:paraId="065BC481">
      <w:pPr>
        <w:pStyle w:val="281"/>
        <w:ind w:firstLine="480"/>
        <w:rPr>
          <w:rFonts w:hint="eastAsia" w:ascii="宋体" w:hAnsi="宋体"/>
        </w:rPr>
      </w:pPr>
      <w:bookmarkStart w:id="93" w:name="_Hlk150600092"/>
      <w:r>
        <w:rPr>
          <w:rFonts w:hint="eastAsia" w:ascii="宋体" w:hAnsi="宋体"/>
        </w:rPr>
        <w:t>本项目产品质量执行标准：</w:t>
      </w:r>
    </w:p>
    <w:p w14:paraId="098E3334">
      <w:pPr>
        <w:pStyle w:val="281"/>
        <w:ind w:firstLine="480"/>
        <w:rPr>
          <w:rFonts w:hint="eastAsia" w:ascii="宋体" w:hAnsi="宋体"/>
        </w:rPr>
      </w:pPr>
      <w:r>
        <w:rPr>
          <w:rFonts w:hint="eastAsia" w:ascii="宋体" w:hAnsi="宋体"/>
        </w:rPr>
        <w:t>（1）草酰胺</w:t>
      </w:r>
    </w:p>
    <w:p w14:paraId="2F4EF70E">
      <w:pPr>
        <w:pStyle w:val="281"/>
        <w:ind w:firstLine="480"/>
        <w:rPr>
          <w:rFonts w:hint="eastAsia" w:ascii="宋体" w:hAnsi="宋体"/>
        </w:rPr>
      </w:pPr>
      <w:r>
        <w:rPr>
          <w:rFonts w:hint="eastAsia" w:ascii="宋体" w:hAnsi="宋体"/>
        </w:rPr>
        <w:t>本项目草酰胺产品质量指标见下表。</w:t>
      </w:r>
    </w:p>
    <w:p w14:paraId="0368B187">
      <w:pPr>
        <w:pStyle w:val="161"/>
        <w:rPr>
          <w:rFonts w:hint="eastAsia"/>
          <w:color w:val="auto"/>
        </w:rPr>
      </w:pPr>
      <w:r>
        <w:rPr>
          <w:color w:val="auto"/>
        </w:rPr>
        <w:t>表3.1.2-</w:t>
      </w:r>
      <w:r>
        <w:rPr>
          <w:rFonts w:hint="eastAsia"/>
          <w:color w:val="auto"/>
        </w:rPr>
        <w:t>2</w:t>
      </w:r>
      <w:r>
        <w:rPr>
          <w:color w:val="auto"/>
        </w:rPr>
        <w:t xml:space="preserve">    </w:t>
      </w:r>
      <w:r>
        <w:rPr>
          <w:rFonts w:hint="eastAsia"/>
          <w:color w:val="auto"/>
        </w:rPr>
        <w:t>草酰胺</w:t>
      </w:r>
      <w:r>
        <w:rPr>
          <w:color w:val="auto"/>
        </w:rPr>
        <w:t>产品规格</w:t>
      </w:r>
    </w:p>
    <w:p w14:paraId="626F288F">
      <w:pPr>
        <w:pStyle w:val="1014"/>
        <w:rPr>
          <w:sz w:val="21"/>
          <w:szCs w:val="21"/>
        </w:rPr>
      </w:pPr>
      <w:r>
        <w:rPr>
          <w:rFonts w:hint="eastAsia"/>
          <w:sz w:val="21"/>
          <w:szCs w:val="21"/>
        </w:rPr>
        <w:t>注：本表为企业标准。</w:t>
      </w:r>
    </w:p>
    <w:p w14:paraId="5D73EFB5">
      <w:pPr>
        <w:pStyle w:val="104"/>
        <w:ind w:firstLine="512"/>
        <w:rPr>
          <w:rFonts w:hint="eastAsia" w:ascii="Times New Roman"/>
        </w:rPr>
      </w:pPr>
      <w:r>
        <w:rPr>
          <w:rFonts w:hint="eastAsia" w:ascii="Times New Roman"/>
        </w:rPr>
        <w:t>（2）草酰胺有机缓释肥</w:t>
      </w:r>
    </w:p>
    <w:p w14:paraId="43BFD2F6">
      <w:pPr>
        <w:pStyle w:val="104"/>
        <w:ind w:firstLine="512"/>
        <w:rPr>
          <w:rFonts w:hint="eastAsia" w:ascii="Times New Roman"/>
        </w:rPr>
      </w:pPr>
      <w:bookmarkStart w:id="94" w:name="_Hlk150645087"/>
      <w:r>
        <w:rPr>
          <w:rFonts w:hint="eastAsia" w:ascii="Times New Roman"/>
        </w:rPr>
        <w:t>草酰胺有机缓释肥质量满足《复合肥料》（GB/T 15063-2020）高浓度指标</w:t>
      </w:r>
      <w:bookmarkEnd w:id="94"/>
      <w:r>
        <w:rPr>
          <w:rFonts w:hint="eastAsia" w:ascii="Times New Roman"/>
        </w:rPr>
        <w:t>，具体指标见表3.1.2-3。</w:t>
      </w:r>
    </w:p>
    <w:p w14:paraId="310D09E6">
      <w:pPr>
        <w:pStyle w:val="535"/>
        <w:rPr>
          <w:rFonts w:hint="eastAsia"/>
          <w:color w:val="auto"/>
        </w:rPr>
      </w:pPr>
      <w:r>
        <w:rPr>
          <w:color w:val="auto"/>
        </w:rPr>
        <w:t>表3.1.2-</w:t>
      </w:r>
      <w:r>
        <w:rPr>
          <w:rFonts w:hint="eastAsia"/>
          <w:color w:val="auto"/>
        </w:rPr>
        <w:t>3</w:t>
      </w:r>
      <w:r>
        <w:rPr>
          <w:color w:val="auto"/>
        </w:rPr>
        <w:t xml:space="preserve">    草酰胺有机缓释肥产品规格表</w:t>
      </w:r>
    </w:p>
    <w:p w14:paraId="5C4190EC">
      <w:pPr>
        <w:pStyle w:val="104"/>
        <w:ind w:firstLine="512"/>
        <w:rPr>
          <w:rFonts w:hint="eastAsia" w:ascii="Times New Roman"/>
        </w:rPr>
      </w:pPr>
      <w:r>
        <w:rPr>
          <w:rFonts w:hint="eastAsia" w:ascii="Times New Roman"/>
        </w:rPr>
        <w:t>（3）液氨</w:t>
      </w:r>
    </w:p>
    <w:p w14:paraId="5A619BCE">
      <w:pPr>
        <w:pStyle w:val="104"/>
        <w:ind w:firstLine="512"/>
        <w:rPr>
          <w:rFonts w:hint="eastAsia" w:ascii="Times New Roman"/>
        </w:rPr>
      </w:pPr>
      <w:r>
        <w:rPr>
          <w:rFonts w:hint="eastAsia" w:ascii="Times New Roman"/>
        </w:rPr>
        <w:t>本项目液氨产品质量符合《液体无水氨》（GB/T 536-2017）优等品，</w:t>
      </w:r>
      <w:r>
        <w:rPr>
          <w:rFonts w:ascii="Times New Roman"/>
        </w:rPr>
        <w:t>具体指标见表3</w:t>
      </w:r>
      <w:r>
        <w:rPr>
          <w:rFonts w:hint="eastAsia" w:ascii="Times New Roman"/>
        </w:rPr>
        <w:t>.1</w:t>
      </w:r>
      <w:r>
        <w:rPr>
          <w:rFonts w:ascii="Times New Roman"/>
        </w:rPr>
        <w:t>.2-</w:t>
      </w:r>
      <w:r>
        <w:rPr>
          <w:rFonts w:hint="eastAsia" w:ascii="Times New Roman"/>
        </w:rPr>
        <w:t>4</w:t>
      </w:r>
      <w:r>
        <w:rPr>
          <w:rFonts w:ascii="Times New Roman"/>
        </w:rPr>
        <w:t>：</w:t>
      </w:r>
    </w:p>
    <w:p w14:paraId="6DA30127">
      <w:pPr>
        <w:pStyle w:val="535"/>
        <w:rPr>
          <w:rFonts w:hint="eastAsia"/>
          <w:color w:val="auto"/>
        </w:rPr>
      </w:pPr>
      <w:r>
        <w:rPr>
          <w:color w:val="auto"/>
        </w:rPr>
        <w:t>表3.1.2-</w:t>
      </w:r>
      <w:r>
        <w:rPr>
          <w:rFonts w:hint="eastAsia"/>
          <w:color w:val="auto"/>
        </w:rPr>
        <w:t>4</w:t>
      </w:r>
      <w:r>
        <w:rPr>
          <w:color w:val="auto"/>
        </w:rPr>
        <w:t xml:space="preserve">     </w:t>
      </w:r>
      <w:r>
        <w:rPr>
          <w:rFonts w:hint="eastAsia"/>
          <w:color w:val="auto"/>
        </w:rPr>
        <w:t>液氨质量标准</w:t>
      </w:r>
    </w:p>
    <w:p w14:paraId="217034C6">
      <w:pPr>
        <w:pStyle w:val="104"/>
        <w:ind w:firstLine="512"/>
        <w:rPr>
          <w:rFonts w:ascii="Times New Roman" w:hAnsi="Times New Roman" w:cs="Times New Roman"/>
        </w:rPr>
      </w:pPr>
      <w:r>
        <w:rPr>
          <w:rFonts w:ascii="Times New Roman" w:hAnsi="Times New Roman" w:cs="Times New Roman"/>
        </w:rPr>
        <w:t>（4）绿氢</w:t>
      </w:r>
    </w:p>
    <w:p w14:paraId="68A5504A">
      <w:pPr>
        <w:pStyle w:val="104"/>
        <w:ind w:firstLine="512"/>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rPr>
        <w:t>绿氢</w:t>
      </w:r>
      <w:r>
        <w:rPr>
          <w:rFonts w:ascii="Times New Roman" w:hAnsi="Times New Roman" w:cs="Times New Roman"/>
        </w:rPr>
        <w:t>产品质量指标</w:t>
      </w:r>
      <w:r>
        <w:rPr>
          <w:rFonts w:hint="eastAsia" w:ascii="Times New Roman" w:hAnsi="Times New Roman" w:cs="Times New Roman"/>
        </w:rPr>
        <w:t>符合《氢气 第1部分 工业氢》（GB/T 3634.1-2006）优等品，具体</w:t>
      </w:r>
      <w:r>
        <w:rPr>
          <w:rFonts w:ascii="Times New Roman" w:hAnsi="Times New Roman" w:cs="Times New Roman"/>
        </w:rPr>
        <w:t>见下表。</w:t>
      </w:r>
    </w:p>
    <w:p w14:paraId="29062836">
      <w:pPr>
        <w:pStyle w:val="535"/>
        <w:rPr>
          <w:rFonts w:hint="eastAsia"/>
          <w:color w:val="auto"/>
        </w:rPr>
      </w:pPr>
      <w:r>
        <w:rPr>
          <w:color w:val="auto"/>
        </w:rPr>
        <w:t>表3.1.2-</w:t>
      </w:r>
      <w:r>
        <w:rPr>
          <w:rFonts w:hint="eastAsia"/>
          <w:color w:val="auto"/>
        </w:rPr>
        <w:t>5</w:t>
      </w:r>
      <w:r>
        <w:rPr>
          <w:color w:val="auto"/>
        </w:rPr>
        <w:t xml:space="preserve">     </w:t>
      </w:r>
      <w:r>
        <w:rPr>
          <w:rFonts w:hint="eastAsia"/>
          <w:color w:val="auto"/>
        </w:rPr>
        <w:t>绿氢质量标准</w:t>
      </w:r>
    </w:p>
    <w:p w14:paraId="6C4166B9">
      <w:pPr>
        <w:pStyle w:val="104"/>
        <w:ind w:firstLine="512"/>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碳酸二甲酯（</w:t>
      </w:r>
      <w:r>
        <w:rPr>
          <w:rFonts w:ascii="Times New Roman" w:hAnsi="Times New Roman" w:cs="Times New Roman"/>
        </w:rPr>
        <w:t>DMC</w:t>
      </w:r>
      <w:r>
        <w:rPr>
          <w:rFonts w:hint="eastAsia" w:ascii="Times New Roman" w:hAnsi="Times New Roman" w:cs="Times New Roman"/>
        </w:rPr>
        <w:t>）</w:t>
      </w:r>
    </w:p>
    <w:p w14:paraId="240EAF82">
      <w:pPr>
        <w:pStyle w:val="104"/>
        <w:ind w:firstLine="512"/>
        <w:rPr>
          <w:rFonts w:ascii="Times New Roman" w:hAnsi="Times New Roman" w:cs="Times New Roman"/>
        </w:rPr>
      </w:pPr>
      <w:r>
        <w:rPr>
          <w:rFonts w:ascii="Times New Roman" w:hAnsi="Times New Roman" w:cs="Times New Roman"/>
        </w:rPr>
        <w:t>本项目碳酸二甲酯（DMC）产品质量指标</w:t>
      </w:r>
      <w:r>
        <w:rPr>
          <w:rFonts w:hint="eastAsia" w:ascii="Times New Roman" w:hAnsi="Times New Roman" w:cs="Times New Roman"/>
        </w:rPr>
        <w:t>符合《工业用碳酸二甲酯》（GB/T33107-2016）一级品要求，具体</w:t>
      </w:r>
      <w:r>
        <w:rPr>
          <w:rFonts w:ascii="Times New Roman" w:hAnsi="Times New Roman" w:cs="Times New Roman"/>
        </w:rPr>
        <w:t>见下表。</w:t>
      </w:r>
    </w:p>
    <w:p w14:paraId="626FE212">
      <w:pPr>
        <w:pStyle w:val="535"/>
        <w:rPr>
          <w:rFonts w:hint="eastAsia"/>
          <w:color w:val="auto"/>
        </w:rPr>
      </w:pPr>
      <w:r>
        <w:rPr>
          <w:color w:val="auto"/>
        </w:rPr>
        <w:t>表3.1.2-</w:t>
      </w:r>
      <w:r>
        <w:rPr>
          <w:rFonts w:hint="eastAsia"/>
          <w:color w:val="auto"/>
        </w:rPr>
        <w:t>6</w:t>
      </w:r>
      <w:r>
        <w:rPr>
          <w:color w:val="auto"/>
        </w:rPr>
        <w:t xml:space="preserve">     </w:t>
      </w:r>
      <w:r>
        <w:rPr>
          <w:rFonts w:hint="eastAsia"/>
          <w:color w:val="auto"/>
        </w:rPr>
        <w:t>碳酸二甲酯(DMC）规格表</w:t>
      </w:r>
    </w:p>
    <w:p w14:paraId="7940B031">
      <w:pPr>
        <w:pStyle w:val="91"/>
        <w:spacing w:line="360" w:lineRule="auto"/>
        <w:ind w:firstLine="512"/>
        <w:rPr>
          <w:rFonts w:ascii="Times New Roman" w:hAnsi="Times New Roman" w:cs="Times New Roman"/>
          <w:spacing w:val="8"/>
          <w:sz w:val="24"/>
        </w:rPr>
      </w:pPr>
      <w:r>
        <w:rPr>
          <w:rFonts w:ascii="Times New Roman" w:hAnsi="Times New Roman" w:cs="Times New Roman"/>
          <w:spacing w:val="8"/>
          <w:sz w:val="24"/>
        </w:rPr>
        <w:t>（6）甲酸甲酯</w:t>
      </w:r>
    </w:p>
    <w:p w14:paraId="41B437F8">
      <w:pPr>
        <w:pStyle w:val="91"/>
        <w:spacing w:line="360" w:lineRule="auto"/>
        <w:ind w:firstLine="512"/>
        <w:rPr>
          <w:rFonts w:ascii="Times New Roman" w:hAnsi="Times New Roman" w:cs="Times New Roman"/>
          <w:spacing w:val="8"/>
          <w:sz w:val="24"/>
        </w:rPr>
      </w:pPr>
      <w:r>
        <w:rPr>
          <w:rFonts w:ascii="Times New Roman" w:hAnsi="Times New Roman" w:cs="Times New Roman"/>
          <w:spacing w:val="8"/>
          <w:sz w:val="24"/>
        </w:rPr>
        <w:t>本项目</w:t>
      </w:r>
      <w:r>
        <w:rPr>
          <w:rFonts w:hint="eastAsia" w:ascii="Times New Roman" w:hAnsi="Times New Roman" w:cs="Times New Roman"/>
          <w:spacing w:val="8"/>
          <w:sz w:val="24"/>
        </w:rPr>
        <w:t>甲酸甲酯</w:t>
      </w:r>
      <w:r>
        <w:rPr>
          <w:rFonts w:ascii="Times New Roman" w:hAnsi="Times New Roman" w:cs="Times New Roman"/>
          <w:spacing w:val="8"/>
          <w:sz w:val="24"/>
        </w:rPr>
        <w:t>产品质量指标</w:t>
      </w:r>
      <w:r>
        <w:rPr>
          <w:rFonts w:hint="eastAsia" w:ascii="Times New Roman" w:hAnsi="Times New Roman" w:cs="Times New Roman"/>
          <w:spacing w:val="8"/>
          <w:sz w:val="24"/>
        </w:rPr>
        <w:t>符合《工业用甲酸甲酯》（GB/T 33105-2016）中相关指标，具体</w:t>
      </w:r>
      <w:r>
        <w:rPr>
          <w:rFonts w:ascii="Times New Roman" w:hAnsi="Times New Roman" w:cs="Times New Roman"/>
          <w:spacing w:val="8"/>
          <w:sz w:val="24"/>
        </w:rPr>
        <w:t>见下表。</w:t>
      </w:r>
    </w:p>
    <w:p w14:paraId="39D3FBC9">
      <w:pPr>
        <w:pStyle w:val="535"/>
        <w:rPr>
          <w:rFonts w:hint="eastAsia"/>
          <w:color w:val="auto"/>
        </w:rPr>
      </w:pPr>
      <w:r>
        <w:rPr>
          <w:color w:val="auto"/>
        </w:rPr>
        <w:t>表3.1.2-</w:t>
      </w:r>
      <w:r>
        <w:rPr>
          <w:rFonts w:hint="eastAsia"/>
          <w:color w:val="auto"/>
        </w:rPr>
        <w:t>7    甲酸甲酯（MF）副产品规格表</w:t>
      </w:r>
    </w:p>
    <w:bookmarkEnd w:id="91"/>
    <w:bookmarkEnd w:id="93"/>
    <w:p w14:paraId="146F2DEE">
      <w:pPr>
        <w:pStyle w:val="91"/>
        <w:spacing w:line="360" w:lineRule="auto"/>
        <w:ind w:firstLine="512"/>
        <w:rPr>
          <w:rFonts w:ascii="Times New Roman" w:hAnsi="Times New Roman" w:cs="Times New Roman"/>
          <w:spacing w:val="8"/>
          <w:sz w:val="24"/>
        </w:rPr>
      </w:pPr>
      <w:r>
        <w:rPr>
          <w:rFonts w:hint="eastAsia" w:ascii="Times New Roman" w:hAnsi="Times New Roman" w:cs="Times New Roman"/>
          <w:spacing w:val="8"/>
          <w:sz w:val="24"/>
        </w:rPr>
        <w:t>（7）氯化钠</w:t>
      </w:r>
    </w:p>
    <w:p w14:paraId="0841CA1F">
      <w:pPr>
        <w:pStyle w:val="91"/>
        <w:spacing w:line="360" w:lineRule="auto"/>
        <w:ind w:firstLine="512"/>
        <w:rPr>
          <w:rFonts w:ascii="Times New Roman" w:hAnsi="Times New Roman" w:cs="Times New Roman"/>
          <w:sz w:val="24"/>
        </w:rPr>
      </w:pPr>
      <w:r>
        <w:rPr>
          <w:rFonts w:hint="eastAsia" w:ascii="Times New Roman" w:hAnsi="Times New Roman" w:cs="Times New Roman"/>
          <w:spacing w:val="8"/>
          <w:sz w:val="24"/>
        </w:rPr>
        <w:t>本项目高浓盐水处理及蒸发结晶副产氯化钠，</w:t>
      </w:r>
      <w:r>
        <w:rPr>
          <w:rFonts w:ascii="Times New Roman" w:hAnsi="Times New Roman" w:cs="Times New Roman"/>
          <w:sz w:val="24"/>
        </w:rPr>
        <w:t>产品质量指标</w:t>
      </w:r>
      <w:r>
        <w:rPr>
          <w:rFonts w:hint="eastAsia" w:ascii="Times New Roman" w:hAnsi="Times New Roman" w:cs="Times New Roman"/>
          <w:sz w:val="24"/>
        </w:rPr>
        <w:t>符合《</w:t>
      </w:r>
      <w:r>
        <w:rPr>
          <w:rFonts w:ascii="Times New Roman" w:hAnsi="Times New Roman" w:cs="Times New Roman"/>
          <w:sz w:val="24"/>
        </w:rPr>
        <w:t>煤化工副产工业氯化钠</w:t>
      </w:r>
      <w:r>
        <w:rPr>
          <w:rFonts w:hint="eastAsia" w:ascii="Times New Roman" w:hAnsi="Times New Roman" w:cs="Times New Roman"/>
          <w:sz w:val="24"/>
        </w:rPr>
        <w:t>》（T/CCT002-2019）</w:t>
      </w:r>
      <w:r>
        <w:rPr>
          <w:rFonts w:ascii="Times New Roman" w:hAnsi="Times New Roman" w:cs="Times New Roman"/>
          <w:sz w:val="24"/>
        </w:rPr>
        <w:t>工业干盐二级标准要求，</w:t>
      </w:r>
      <w:r>
        <w:rPr>
          <w:rFonts w:hint="eastAsia" w:ascii="Times New Roman" w:hAnsi="Times New Roman" w:cs="Times New Roman"/>
          <w:sz w:val="24"/>
        </w:rPr>
        <w:t>具体</w:t>
      </w:r>
      <w:r>
        <w:rPr>
          <w:rFonts w:ascii="Times New Roman" w:hAnsi="Times New Roman" w:cs="Times New Roman"/>
          <w:sz w:val="24"/>
        </w:rPr>
        <w:t>见下表。</w:t>
      </w:r>
    </w:p>
    <w:p w14:paraId="5EF3C5C0">
      <w:pPr>
        <w:pStyle w:val="535"/>
        <w:rPr>
          <w:rFonts w:hint="eastAsia"/>
          <w:color w:val="auto"/>
        </w:rPr>
      </w:pPr>
      <w:r>
        <w:rPr>
          <w:rFonts w:hint="eastAsia"/>
          <w:color w:val="auto"/>
        </w:rPr>
        <w:t xml:space="preserve">表3.1.2-8    </w:t>
      </w:r>
      <w:r>
        <w:rPr>
          <w:color w:val="auto"/>
        </w:rPr>
        <w:t>氯化钠产品标准</w:t>
      </w:r>
    </w:p>
    <w:p w14:paraId="48F64352">
      <w:pPr>
        <w:pStyle w:val="91"/>
        <w:spacing w:line="360" w:lineRule="auto"/>
        <w:ind w:firstLine="512"/>
        <w:rPr>
          <w:rFonts w:ascii="Times New Roman" w:hAnsi="Times New Roman" w:cs="Times New Roman"/>
          <w:spacing w:val="8"/>
          <w:sz w:val="24"/>
        </w:rPr>
      </w:pPr>
      <w:r>
        <w:rPr>
          <w:rFonts w:hint="eastAsia" w:ascii="Times New Roman" w:hAnsi="Times New Roman" w:cs="Times New Roman"/>
          <w:spacing w:val="8"/>
          <w:sz w:val="24"/>
        </w:rPr>
        <w:t>（8）硫酸钠</w:t>
      </w:r>
    </w:p>
    <w:p w14:paraId="2A818233">
      <w:pPr>
        <w:pStyle w:val="91"/>
        <w:spacing w:line="360" w:lineRule="auto"/>
        <w:ind w:firstLine="512"/>
        <w:rPr>
          <w:rFonts w:ascii="Times New Roman" w:hAnsi="Times New Roman" w:cs="Times New Roman"/>
          <w:spacing w:val="8"/>
          <w:sz w:val="24"/>
        </w:rPr>
      </w:pPr>
      <w:r>
        <w:rPr>
          <w:rFonts w:hint="eastAsia" w:ascii="Times New Roman" w:hAnsi="Times New Roman" w:cs="Times New Roman"/>
          <w:spacing w:val="8"/>
          <w:sz w:val="24"/>
        </w:rPr>
        <w:t>本项目高浓盐水处理及蒸发结晶副产硫酸钠，</w:t>
      </w:r>
      <w:r>
        <w:rPr>
          <w:rFonts w:ascii="Times New Roman" w:hAnsi="Times New Roman" w:cs="Times New Roman"/>
          <w:sz w:val="24"/>
        </w:rPr>
        <w:t>产品质量指标</w:t>
      </w:r>
      <w:r>
        <w:rPr>
          <w:rFonts w:hint="eastAsia" w:ascii="Times New Roman" w:hAnsi="Times New Roman" w:cs="Times New Roman"/>
          <w:sz w:val="24"/>
        </w:rPr>
        <w:t>符合</w:t>
      </w:r>
      <w:r>
        <w:rPr>
          <w:rFonts w:hint="eastAsia" w:ascii="Times New Roman" w:hAnsi="Times New Roman" w:cs="Times New Roman"/>
          <w:spacing w:val="8"/>
          <w:sz w:val="24"/>
        </w:rPr>
        <w:t>《煤化工副产工业硫酸钠》（T/CCT001-2019）A类一等品标准要求，具体指标见下表。</w:t>
      </w:r>
    </w:p>
    <w:p w14:paraId="456C9719">
      <w:pPr>
        <w:pStyle w:val="535"/>
        <w:rPr>
          <w:rFonts w:hint="eastAsia"/>
          <w:color w:val="auto"/>
        </w:rPr>
      </w:pPr>
      <w:r>
        <w:rPr>
          <w:rFonts w:hint="eastAsia"/>
          <w:color w:val="auto"/>
        </w:rPr>
        <w:t>表3.1.2-9    硫酸钠产品标准</w:t>
      </w:r>
    </w:p>
    <w:p w14:paraId="71ED793D">
      <w:pPr>
        <w:pStyle w:val="91"/>
        <w:spacing w:line="360" w:lineRule="auto"/>
        <w:ind w:firstLine="480"/>
        <w:rPr>
          <w:rFonts w:ascii="Times New Roman" w:hAnsi="Times New Roman" w:cs="Times New Roman"/>
          <w:sz w:val="24"/>
        </w:rPr>
      </w:pPr>
    </w:p>
    <w:p w14:paraId="3E510D39">
      <w:pPr>
        <w:pStyle w:val="97"/>
        <w:rPr>
          <w:rFonts w:hint="eastAsia"/>
        </w:rPr>
      </w:pPr>
      <w:r>
        <w:t>主要原辅材料</w:t>
      </w:r>
    </w:p>
    <w:p w14:paraId="46752B7C">
      <w:pPr>
        <w:pStyle w:val="98"/>
        <w:rPr>
          <w:rFonts w:hint="eastAsia"/>
        </w:rPr>
      </w:pPr>
      <w:bookmarkStart w:id="95" w:name="_Hlk150213449"/>
      <w:r>
        <w:t>主要原辅料消耗情况</w:t>
      </w:r>
    </w:p>
    <w:p w14:paraId="1811FD7B">
      <w:pPr>
        <w:pStyle w:val="91"/>
        <w:spacing w:line="360" w:lineRule="auto"/>
        <w:ind w:firstLine="512"/>
        <w:rPr>
          <w:rFonts w:hint="eastAsia"/>
          <w:spacing w:val="8"/>
          <w:sz w:val="24"/>
        </w:rPr>
      </w:pPr>
      <w:bookmarkStart w:id="96" w:name="_Hlk150250499"/>
      <w:r>
        <w:rPr>
          <w:rFonts w:hint="eastAsia"/>
          <w:spacing w:val="8"/>
          <w:sz w:val="24"/>
        </w:rPr>
        <w:t>本项目主要原辅料</w:t>
      </w:r>
      <w:r>
        <w:rPr>
          <w:rStyle w:val="282"/>
          <w:rFonts w:hint="eastAsia"/>
        </w:rPr>
        <w:t>消耗见表3.1.3-1。</w:t>
      </w:r>
    </w:p>
    <w:p w14:paraId="05360B77">
      <w:pPr>
        <w:pStyle w:val="91"/>
        <w:spacing w:line="360" w:lineRule="auto"/>
        <w:ind w:firstLine="482"/>
        <w:jc w:val="center"/>
        <w:rPr>
          <w:rFonts w:hint="eastAsia"/>
        </w:rPr>
      </w:pPr>
      <w:r>
        <w:rPr>
          <w:rFonts w:ascii="黑体" w:hAnsi="黑体" w:eastAsia="黑体"/>
          <w:b/>
          <w:sz w:val="24"/>
          <w:szCs w:val="28"/>
        </w:rPr>
        <w:t>表3.</w:t>
      </w:r>
      <w:r>
        <w:rPr>
          <w:rFonts w:hint="eastAsia" w:ascii="黑体" w:hAnsi="黑体" w:eastAsia="黑体"/>
          <w:b/>
          <w:sz w:val="24"/>
          <w:szCs w:val="28"/>
        </w:rPr>
        <w:t>1</w:t>
      </w:r>
      <w:r>
        <w:rPr>
          <w:rFonts w:ascii="黑体" w:hAnsi="黑体" w:eastAsia="黑体"/>
          <w:b/>
          <w:sz w:val="24"/>
          <w:szCs w:val="28"/>
        </w:rPr>
        <w:t xml:space="preserve">.3-1    </w:t>
      </w:r>
      <w:r>
        <w:rPr>
          <w:rFonts w:hint="eastAsia" w:ascii="黑体" w:hAnsi="黑体" w:eastAsia="黑体"/>
          <w:b/>
          <w:sz w:val="24"/>
          <w:szCs w:val="28"/>
        </w:rPr>
        <w:t>本项目主要</w:t>
      </w:r>
      <w:r>
        <w:rPr>
          <w:rFonts w:ascii="黑体" w:hAnsi="黑体" w:eastAsia="黑体"/>
          <w:b/>
          <w:sz w:val="24"/>
          <w:szCs w:val="28"/>
        </w:rPr>
        <w:t>原辅材料用量一览表</w:t>
      </w:r>
    </w:p>
    <w:bookmarkEnd w:id="96"/>
    <w:p w14:paraId="0562750E">
      <w:pPr>
        <w:pStyle w:val="98"/>
        <w:rPr>
          <w:rFonts w:hint="eastAsia"/>
        </w:rPr>
      </w:pPr>
      <w:r>
        <w:rPr>
          <w:rFonts w:hint="eastAsia"/>
        </w:rPr>
        <w:t>主要原料规格及物化性质</w:t>
      </w:r>
    </w:p>
    <w:p w14:paraId="2D313CA1">
      <w:pPr>
        <w:pStyle w:val="281"/>
        <w:ind w:firstLine="480"/>
        <w:rPr>
          <w:rFonts w:cs="Times New Roman"/>
        </w:rPr>
      </w:pPr>
      <w:bookmarkStart w:id="97" w:name="_Hlk150650212"/>
      <w:bookmarkStart w:id="98" w:name="_Hlk177831583"/>
      <w:r>
        <w:rPr>
          <w:rFonts w:cs="Times New Roman"/>
        </w:rPr>
        <w:t>（1）原煤</w:t>
      </w:r>
    </w:p>
    <w:p w14:paraId="54EFBC36">
      <w:pPr>
        <w:pStyle w:val="281"/>
        <w:ind w:firstLine="480"/>
        <w:rPr>
          <w:rFonts w:cs="Times New Roman"/>
        </w:rPr>
      </w:pPr>
      <w:r>
        <w:rPr>
          <w:rFonts w:cs="Times New Roman"/>
        </w:rPr>
        <w:t>①原料煤</w:t>
      </w:r>
    </w:p>
    <w:p w14:paraId="0C1447A6">
      <w:pPr>
        <w:pStyle w:val="281"/>
        <w:ind w:firstLine="480"/>
        <w:rPr>
          <w:rFonts w:cs="Times New Roman"/>
        </w:rPr>
      </w:pPr>
      <w:r>
        <w:rPr>
          <w:rFonts w:cs="Times New Roman"/>
        </w:rPr>
        <w:t>本项目原料煤用量为</w:t>
      </w:r>
      <w:r>
        <w:rPr>
          <w:rFonts w:hint="eastAsia" w:cs="Times New Roman"/>
        </w:rPr>
        <w:t>44.92</w:t>
      </w:r>
      <w:r>
        <w:rPr>
          <w:rFonts w:cs="Times New Roman"/>
        </w:rPr>
        <w:t>万吨/年，</w:t>
      </w:r>
      <w:r>
        <w:rPr>
          <w:rFonts w:hint="eastAsia" w:cs="Times New Roman"/>
        </w:rPr>
        <w:t>来自新疆哈密地区</w:t>
      </w:r>
      <w:r>
        <w:rPr>
          <w:rFonts w:cs="Times New Roman"/>
        </w:rPr>
        <w:t>，通过汽车直接送到厂内。</w:t>
      </w:r>
    </w:p>
    <w:bookmarkEnd w:id="97"/>
    <w:p w14:paraId="010D7197">
      <w:pPr>
        <w:pStyle w:val="281"/>
        <w:ind w:firstLine="480"/>
        <w:rPr>
          <w:rFonts w:cs="Times New Roman"/>
        </w:rPr>
      </w:pPr>
      <w:r>
        <w:rPr>
          <w:rFonts w:cs="Times New Roman"/>
        </w:rPr>
        <w:t>②煤质分析</w:t>
      </w:r>
    </w:p>
    <w:p w14:paraId="7BCB6FDD">
      <w:pPr>
        <w:pStyle w:val="281"/>
        <w:ind w:firstLine="480"/>
      </w:pPr>
      <w:bookmarkStart w:id="99" w:name="_Hlk176253857"/>
      <w:r>
        <w:rPr>
          <w:rFonts w:hint="eastAsia"/>
        </w:rPr>
        <w:t>本项目采用</w:t>
      </w:r>
      <w:r>
        <w:rPr>
          <w:rFonts w:hint="eastAsia" w:ascii="Arial" w:hAnsi="Arial" w:cs="Arial"/>
          <w:color w:val="000000"/>
        </w:rPr>
        <w:t>新疆哈密地区的煤作为气化原料煤，</w:t>
      </w:r>
      <w:r>
        <w:rPr>
          <w:rFonts w:hint="eastAsia"/>
          <w:kern w:val="2"/>
        </w:rPr>
        <w:t>设计煤种及校核煤种煤质分析数据分别见表3</w:t>
      </w:r>
      <w:r>
        <w:rPr>
          <w:kern w:val="2"/>
        </w:rPr>
        <w:t>.1.3</w:t>
      </w:r>
      <w:r>
        <w:rPr>
          <w:rFonts w:hint="eastAsia"/>
          <w:kern w:val="2"/>
        </w:rPr>
        <w:t>-2</w:t>
      </w:r>
      <w:r>
        <w:rPr>
          <w:rFonts w:hint="eastAsia" w:ascii="Arial" w:hAnsi="Arial" w:cs="Arial"/>
          <w:color w:val="000000"/>
        </w:rPr>
        <w:t>；</w:t>
      </w:r>
      <w:bookmarkEnd w:id="99"/>
    </w:p>
    <w:p w14:paraId="468F7276">
      <w:pPr>
        <w:pStyle w:val="535"/>
        <w:rPr>
          <w:rFonts w:hint="eastAsia"/>
          <w:color w:val="auto"/>
        </w:rPr>
      </w:pPr>
      <w:r>
        <w:rPr>
          <w:rFonts w:hint="eastAsia"/>
          <w:color w:val="auto"/>
        </w:rPr>
        <w:t>表3.1.3-2</w:t>
      </w:r>
      <w:r>
        <w:rPr>
          <w:color w:val="auto"/>
        </w:rPr>
        <w:t xml:space="preserve">   </w:t>
      </w:r>
      <w:r>
        <w:rPr>
          <w:rFonts w:hint="eastAsia"/>
          <w:color w:val="auto"/>
        </w:rPr>
        <w:t>设计煤种及校核煤种分析数据</w:t>
      </w:r>
    </w:p>
    <w:bookmarkEnd w:id="98"/>
    <w:p w14:paraId="082703F2">
      <w:pPr>
        <w:pStyle w:val="91"/>
        <w:spacing w:line="360" w:lineRule="auto"/>
        <w:ind w:firstLine="512"/>
        <w:rPr>
          <w:rFonts w:hint="eastAsia"/>
          <w:spacing w:val="8"/>
          <w:sz w:val="24"/>
        </w:rPr>
      </w:pPr>
      <w:r>
        <w:rPr>
          <w:rFonts w:hint="eastAsia"/>
          <w:spacing w:val="8"/>
          <w:sz w:val="24"/>
        </w:rPr>
        <w:t>（2）原辅材料物化性质</w:t>
      </w:r>
    </w:p>
    <w:p w14:paraId="5BCEFDAE">
      <w:pPr>
        <w:pStyle w:val="91"/>
        <w:spacing w:line="360" w:lineRule="auto"/>
        <w:ind w:firstLine="512"/>
        <w:rPr>
          <w:rFonts w:ascii="Times New Roman" w:hAnsi="Times New Roman" w:cs="Times New Roman"/>
          <w:spacing w:val="8"/>
          <w:sz w:val="24"/>
        </w:rPr>
        <w:sectPr>
          <w:pgSz w:w="11906" w:h="16838"/>
          <w:pgMar w:top="1440" w:right="1800" w:bottom="1440" w:left="1800" w:header="851" w:footer="850" w:gutter="0"/>
          <w:cols w:space="425" w:num="1"/>
          <w:docGrid w:type="lines" w:linePitch="326" w:charSpace="0"/>
        </w:sectPr>
      </w:pPr>
      <w:r>
        <w:rPr>
          <w:rFonts w:hint="eastAsia"/>
          <w:spacing w:val="8"/>
          <w:sz w:val="24"/>
        </w:rPr>
        <w:t>项目原辅材料理化性质见</w:t>
      </w:r>
      <w:r>
        <w:rPr>
          <w:rFonts w:ascii="Times New Roman" w:hAnsi="Times New Roman" w:cs="Times New Roman"/>
          <w:spacing w:val="8"/>
          <w:sz w:val="24"/>
        </w:rPr>
        <w:t>表3.1.3-</w:t>
      </w:r>
      <w:r>
        <w:rPr>
          <w:rFonts w:hint="eastAsia" w:ascii="Times New Roman" w:hAnsi="Times New Roman" w:cs="Times New Roman"/>
          <w:spacing w:val="8"/>
          <w:sz w:val="24"/>
        </w:rPr>
        <w:t>3</w:t>
      </w:r>
      <w:r>
        <w:rPr>
          <w:rFonts w:ascii="Times New Roman" w:hAnsi="Times New Roman" w:cs="Times New Roman"/>
          <w:spacing w:val="8"/>
          <w:sz w:val="24"/>
        </w:rPr>
        <w:t>。</w:t>
      </w:r>
    </w:p>
    <w:p w14:paraId="2EE6E0D7">
      <w:pPr>
        <w:pStyle w:val="535"/>
        <w:rPr>
          <w:rFonts w:hint="eastAsia"/>
          <w:color w:val="auto"/>
        </w:rPr>
      </w:pPr>
      <w:r>
        <w:rPr>
          <w:rFonts w:hint="eastAsia"/>
          <w:color w:val="auto"/>
        </w:rPr>
        <w:t>表3.1.3-3     项目主要原辅材料理化性质一览表</w:t>
      </w:r>
    </w:p>
    <w:tbl>
      <w:tblPr>
        <w:tblStyle w:val="6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389"/>
        <w:gridCol w:w="12200"/>
      </w:tblGrid>
      <w:tr w14:paraId="0581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6A4C6FC5">
            <w:pPr>
              <w:pStyle w:val="190"/>
              <w:rPr>
                <w:rFonts w:ascii="Times New Roman" w:hAnsi="Times New Roman" w:cs="Times New Roman"/>
                <w:szCs w:val="18"/>
              </w:rPr>
            </w:pPr>
            <w:r>
              <w:rPr>
                <w:rFonts w:ascii="Times New Roman" w:hAnsi="Times New Roman" w:cs="Times New Roman"/>
                <w:szCs w:val="18"/>
              </w:rPr>
              <w:t>序号</w:t>
            </w:r>
          </w:p>
        </w:tc>
        <w:tc>
          <w:tcPr>
            <w:tcW w:w="490" w:type="pct"/>
            <w:vAlign w:val="center"/>
          </w:tcPr>
          <w:p w14:paraId="1168C657">
            <w:pPr>
              <w:pStyle w:val="190"/>
              <w:rPr>
                <w:rFonts w:ascii="Times New Roman" w:hAnsi="Times New Roman" w:cs="Times New Roman"/>
                <w:szCs w:val="18"/>
              </w:rPr>
            </w:pPr>
            <w:r>
              <w:rPr>
                <w:rFonts w:ascii="Times New Roman" w:hAnsi="Times New Roman" w:cs="Times New Roman"/>
                <w:szCs w:val="18"/>
              </w:rPr>
              <w:t>原辅材料名称</w:t>
            </w:r>
          </w:p>
        </w:tc>
        <w:tc>
          <w:tcPr>
            <w:tcW w:w="4305" w:type="pct"/>
            <w:vAlign w:val="center"/>
          </w:tcPr>
          <w:p w14:paraId="7B8DAF0D">
            <w:pPr>
              <w:pStyle w:val="190"/>
              <w:rPr>
                <w:rFonts w:ascii="Times New Roman" w:hAnsi="Times New Roman" w:cs="Times New Roman"/>
                <w:szCs w:val="18"/>
              </w:rPr>
            </w:pPr>
            <w:r>
              <w:rPr>
                <w:rFonts w:ascii="Times New Roman" w:hAnsi="Times New Roman" w:cs="Times New Roman"/>
                <w:szCs w:val="18"/>
              </w:rPr>
              <w:t>理化性质</w:t>
            </w:r>
          </w:p>
        </w:tc>
      </w:tr>
      <w:tr w14:paraId="777F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519D4DA4">
            <w:pPr>
              <w:pStyle w:val="190"/>
              <w:rPr>
                <w:rFonts w:ascii="Times New Roman" w:hAnsi="Times New Roman" w:cs="Times New Roman"/>
                <w:szCs w:val="18"/>
              </w:rPr>
            </w:pPr>
            <w:r>
              <w:rPr>
                <w:rFonts w:ascii="Times New Roman" w:hAnsi="Times New Roman" w:cs="Times New Roman"/>
                <w:szCs w:val="18"/>
              </w:rPr>
              <w:t>1</w:t>
            </w:r>
          </w:p>
        </w:tc>
        <w:tc>
          <w:tcPr>
            <w:tcW w:w="490" w:type="pct"/>
            <w:vAlign w:val="center"/>
          </w:tcPr>
          <w:p w14:paraId="1AB875A1">
            <w:pPr>
              <w:pStyle w:val="190"/>
              <w:rPr>
                <w:rFonts w:ascii="Times New Roman" w:hAnsi="Times New Roman" w:cs="Times New Roman"/>
                <w:szCs w:val="18"/>
              </w:rPr>
            </w:pPr>
            <w:r>
              <w:rPr>
                <w:rFonts w:ascii="Times New Roman" w:hAnsi="Times New Roman" w:cs="Times New Roman"/>
                <w:szCs w:val="18"/>
              </w:rPr>
              <w:t>氢氧化钠</w:t>
            </w:r>
          </w:p>
        </w:tc>
        <w:tc>
          <w:tcPr>
            <w:tcW w:w="4305" w:type="pct"/>
            <w:vAlign w:val="center"/>
          </w:tcPr>
          <w:p w14:paraId="31856E4A">
            <w:pPr>
              <w:pStyle w:val="190"/>
              <w:jc w:val="left"/>
              <w:rPr>
                <w:rFonts w:ascii="Times New Roman" w:hAnsi="Times New Roman" w:cs="Times New Roman"/>
                <w:szCs w:val="18"/>
              </w:rPr>
            </w:pPr>
            <w:r>
              <w:rPr>
                <w:rFonts w:ascii="Times New Roman" w:hAnsi="Times New Roman" w:cs="Times New Roman"/>
                <w:szCs w:val="18"/>
              </w:rPr>
              <w:t>白色不透明固体，易潮解。熔点（℃）：318.4；沸点（℃）：1390；相对密度（水=1）：2.12；</w:t>
            </w:r>
            <w:r>
              <w:rPr>
                <w:rFonts w:hint="eastAsia" w:ascii="Times New Roman" w:hAnsi="Times New Roman" w:cs="Times New Roman"/>
                <w:szCs w:val="18"/>
              </w:rPr>
              <w:t>饱和蒸汽压</w:t>
            </w:r>
            <w:r>
              <w:rPr>
                <w:rFonts w:ascii="Times New Roman" w:hAnsi="Times New Roman" w:cs="Times New Roman"/>
                <w:szCs w:val="18"/>
              </w:rPr>
              <w:t>（kPa）：0.13（739℃）；溶解性：易溶于水、乙醇、甘油，不溶于丙酮。</w:t>
            </w:r>
          </w:p>
          <w:p w14:paraId="66E4EDB0">
            <w:pPr>
              <w:pStyle w:val="190"/>
              <w:jc w:val="left"/>
              <w:rPr>
                <w:rFonts w:ascii="Times New Roman" w:hAnsi="Times New Roman" w:cs="Times New Roman"/>
                <w:szCs w:val="18"/>
              </w:rPr>
            </w:pPr>
            <w:r>
              <w:rPr>
                <w:rFonts w:ascii="Times New Roman" w:hAnsi="Times New Roman" w:cs="Times New Roman"/>
                <w:szCs w:val="18"/>
              </w:rPr>
              <w:t>危险特性：与酸发生中和反应并放热。遇潮时对铝、锌和锡有腐蚀性，并放出易燃易爆的氢气。本品不会燃烧，遇水和水蒸气大量放热，形成腐蚀性溶液。具有强腐蚀性。</w:t>
            </w:r>
          </w:p>
        </w:tc>
      </w:tr>
      <w:tr w14:paraId="40AA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6E7FC0F5">
            <w:pPr>
              <w:pStyle w:val="190"/>
              <w:rPr>
                <w:rFonts w:ascii="Times New Roman" w:hAnsi="Times New Roman" w:cs="Times New Roman"/>
                <w:szCs w:val="18"/>
              </w:rPr>
            </w:pPr>
            <w:r>
              <w:rPr>
                <w:rFonts w:ascii="Times New Roman" w:hAnsi="Times New Roman" w:cs="Times New Roman"/>
                <w:szCs w:val="18"/>
              </w:rPr>
              <w:t>2</w:t>
            </w:r>
          </w:p>
        </w:tc>
        <w:tc>
          <w:tcPr>
            <w:tcW w:w="490" w:type="pct"/>
            <w:vAlign w:val="center"/>
          </w:tcPr>
          <w:p w14:paraId="361A6839">
            <w:pPr>
              <w:pStyle w:val="190"/>
              <w:rPr>
                <w:rFonts w:ascii="Times New Roman" w:hAnsi="Times New Roman" w:cs="Times New Roman"/>
                <w:szCs w:val="18"/>
              </w:rPr>
            </w:pPr>
            <w:r>
              <w:rPr>
                <w:rFonts w:ascii="Times New Roman" w:hAnsi="Times New Roman" w:cs="Times New Roman"/>
              </w:rPr>
              <w:t>次氯酸钠</w:t>
            </w:r>
          </w:p>
        </w:tc>
        <w:tc>
          <w:tcPr>
            <w:tcW w:w="4305" w:type="pct"/>
            <w:vAlign w:val="center"/>
          </w:tcPr>
          <w:p w14:paraId="2E1D17DE">
            <w:pPr>
              <w:pStyle w:val="557"/>
              <w:jc w:val="left"/>
            </w:pPr>
            <w:r>
              <w:t>分子式：NaClO；分子量：74.4；熔点（℃）：-6；相对密度（水=1）：1：1；沸点（℃）：102.2；</w:t>
            </w:r>
            <w:r>
              <w:rPr>
                <w:rFonts w:hint="eastAsia"/>
              </w:rPr>
              <w:t>饱和蒸汽压</w:t>
            </w:r>
            <w:r>
              <w:t>（kPa）：2.67（25℃）</w:t>
            </w:r>
          </w:p>
          <w:p w14:paraId="2D296C3A">
            <w:pPr>
              <w:pStyle w:val="557"/>
              <w:jc w:val="left"/>
            </w:pPr>
            <w:r>
              <w:t>溶解性：易溶于水、碱液</w:t>
            </w:r>
          </w:p>
          <w:p w14:paraId="2929B8F9">
            <w:pPr>
              <w:pStyle w:val="557"/>
              <w:jc w:val="left"/>
            </w:pPr>
            <w:r>
              <w:t>危险特性：受高热分解产生有毒的腐蚀性气体。有腐蚀性。</w:t>
            </w:r>
          </w:p>
        </w:tc>
      </w:tr>
      <w:tr w14:paraId="5ADB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5529CF27">
            <w:pPr>
              <w:pStyle w:val="190"/>
              <w:rPr>
                <w:rFonts w:ascii="Times New Roman" w:hAnsi="Times New Roman" w:cs="Times New Roman"/>
                <w:szCs w:val="18"/>
              </w:rPr>
            </w:pPr>
            <w:r>
              <w:rPr>
                <w:rFonts w:ascii="Times New Roman" w:hAnsi="Times New Roman" w:cs="Times New Roman"/>
                <w:szCs w:val="18"/>
              </w:rPr>
              <w:t>3</w:t>
            </w:r>
          </w:p>
        </w:tc>
        <w:tc>
          <w:tcPr>
            <w:tcW w:w="490" w:type="pct"/>
            <w:vAlign w:val="center"/>
          </w:tcPr>
          <w:p w14:paraId="3FFCE070">
            <w:pPr>
              <w:pStyle w:val="190"/>
              <w:rPr>
                <w:rFonts w:ascii="Times New Roman" w:hAnsi="Times New Roman" w:cs="Times New Roman"/>
                <w:szCs w:val="18"/>
              </w:rPr>
            </w:pPr>
            <w:r>
              <w:rPr>
                <w:rFonts w:ascii="Times New Roman" w:hAnsi="Times New Roman" w:cs="Times New Roman"/>
              </w:rPr>
              <w:t>盐酸</w:t>
            </w:r>
          </w:p>
        </w:tc>
        <w:tc>
          <w:tcPr>
            <w:tcW w:w="4305" w:type="pct"/>
            <w:vAlign w:val="center"/>
          </w:tcPr>
          <w:p w14:paraId="633AF749">
            <w:pPr>
              <w:pStyle w:val="557"/>
              <w:jc w:val="left"/>
            </w:pPr>
            <w:r>
              <w:t>分子式：HCI；相对分子质量：36.46 ；危险性类别：第8.1类酸性腐蚀品；无色或微黄色发烟液体，有刺鼻的酸味；熔点(℃</w:t>
            </w:r>
            <w:r>
              <w:rPr>
                <w:rFonts w:hint="eastAsia"/>
              </w:rPr>
              <w:t>）</w:t>
            </w:r>
            <w:r>
              <w:t>：-114.8(纯</w:t>
            </w:r>
            <w:r>
              <w:rPr>
                <w:rFonts w:hint="eastAsia"/>
              </w:rPr>
              <w:t>）</w:t>
            </w:r>
            <w:r>
              <w:t>；</w:t>
            </w:r>
          </w:p>
          <w:p w14:paraId="682D9A1D">
            <w:pPr>
              <w:pStyle w:val="557"/>
              <w:jc w:val="left"/>
            </w:pPr>
            <w:r>
              <w:t>沸点(℃</w:t>
            </w:r>
            <w:r>
              <w:rPr>
                <w:rFonts w:hint="eastAsia"/>
              </w:rPr>
              <w:t>）</w:t>
            </w:r>
            <w:r>
              <w:t>：108.6(20%</w:t>
            </w:r>
            <w:r>
              <w:rPr>
                <w:rFonts w:hint="eastAsia"/>
              </w:rPr>
              <w:t>）</w:t>
            </w:r>
            <w:r>
              <w:t>；相对密度(水=1</w:t>
            </w:r>
            <w:r>
              <w:rPr>
                <w:rFonts w:hint="eastAsia"/>
              </w:rPr>
              <w:t>）</w:t>
            </w:r>
            <w:r>
              <w:t>：1.20；相对密度(空气=1</w:t>
            </w:r>
            <w:r>
              <w:rPr>
                <w:rFonts w:hint="eastAsia"/>
              </w:rPr>
              <w:t>）</w:t>
            </w:r>
            <w:r>
              <w:t>：1.26；饱和</w:t>
            </w:r>
            <w:r>
              <w:rPr>
                <w:rFonts w:hint="eastAsia"/>
              </w:rPr>
              <w:t>蒸汽</w:t>
            </w:r>
            <w:r>
              <w:t>压(kPa</w:t>
            </w:r>
            <w:r>
              <w:rPr>
                <w:rFonts w:hint="eastAsia"/>
              </w:rPr>
              <w:t>）</w:t>
            </w:r>
            <w:r>
              <w:t>：30.66(21℃</w:t>
            </w:r>
            <w:r>
              <w:rPr>
                <w:rFonts w:hint="eastAsia"/>
              </w:rPr>
              <w:t>）</w:t>
            </w:r>
            <w:r>
              <w:t>；</w:t>
            </w:r>
          </w:p>
          <w:p w14:paraId="387E2845">
            <w:pPr>
              <w:pStyle w:val="557"/>
              <w:jc w:val="left"/>
            </w:pPr>
            <w:r>
              <w:t>危险特性：能与一些活性金属粉末发生反应，放出氢气。遇氰化物能产生剧毒的氰化氢气体。与碱发生中</w:t>
            </w:r>
            <w:r>
              <w:rPr>
                <w:rFonts w:hint="eastAsia"/>
              </w:rPr>
              <w:t>和</w:t>
            </w:r>
            <w:r>
              <w:t>反应，并放出大量的热。具有较强的腐蚀性。</w:t>
            </w:r>
          </w:p>
        </w:tc>
      </w:tr>
      <w:tr w14:paraId="13C9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3BA77E90">
            <w:pPr>
              <w:pStyle w:val="190"/>
              <w:rPr>
                <w:rFonts w:ascii="Times New Roman" w:hAnsi="Times New Roman" w:cs="Times New Roman"/>
                <w:szCs w:val="18"/>
              </w:rPr>
            </w:pPr>
            <w:r>
              <w:rPr>
                <w:rFonts w:ascii="Times New Roman" w:hAnsi="Times New Roman" w:cs="Times New Roman"/>
                <w:szCs w:val="18"/>
              </w:rPr>
              <w:t>4</w:t>
            </w:r>
          </w:p>
        </w:tc>
        <w:tc>
          <w:tcPr>
            <w:tcW w:w="490" w:type="pct"/>
            <w:vAlign w:val="center"/>
          </w:tcPr>
          <w:p w14:paraId="23AF3C05">
            <w:pPr>
              <w:pStyle w:val="190"/>
              <w:rPr>
                <w:rFonts w:ascii="Times New Roman" w:hAnsi="Times New Roman" w:cs="Times New Roman"/>
              </w:rPr>
            </w:pPr>
            <w:r>
              <w:rPr>
                <w:rFonts w:ascii="Times New Roman" w:hAnsi="Times New Roman" w:cs="Times New Roman"/>
              </w:rPr>
              <w:t>甲醇</w:t>
            </w:r>
          </w:p>
        </w:tc>
        <w:tc>
          <w:tcPr>
            <w:tcW w:w="4305" w:type="pct"/>
            <w:vAlign w:val="center"/>
          </w:tcPr>
          <w:p w14:paraId="149E6043">
            <w:pPr>
              <w:pStyle w:val="557"/>
              <w:jc w:val="left"/>
            </w:pPr>
            <w:r>
              <w:t>分子式：CH</w:t>
            </w:r>
            <w:r>
              <w:rPr>
                <w:vertAlign w:val="subscript"/>
              </w:rPr>
              <w:t>3</w:t>
            </w:r>
            <w:r>
              <w:t>OH，熔点(℃</w:t>
            </w:r>
            <w:r>
              <w:rPr>
                <w:rFonts w:hint="eastAsia"/>
              </w:rPr>
              <w:t>）</w:t>
            </w:r>
            <w:r>
              <w:t>-97.8；沸点(℃</w:t>
            </w:r>
            <w:r>
              <w:rPr>
                <w:rFonts w:hint="eastAsia"/>
              </w:rPr>
              <w:t>）</w:t>
            </w:r>
            <w:r>
              <w:t>64.8；相对密度〔水＝1〕0.79；相对密度(空气＝1</w:t>
            </w:r>
            <w:r>
              <w:rPr>
                <w:rFonts w:hint="eastAsia"/>
              </w:rPr>
              <w:t>）</w:t>
            </w:r>
            <w:r>
              <w:t>1.11；</w:t>
            </w:r>
            <w:r>
              <w:rPr>
                <w:rFonts w:hint="eastAsia"/>
              </w:rPr>
              <w:t>饱和蒸汽压</w:t>
            </w:r>
            <w:r>
              <w:t>(KPa</w:t>
            </w:r>
            <w:r>
              <w:rPr>
                <w:rFonts w:hint="eastAsia"/>
              </w:rPr>
              <w:t>）</w:t>
            </w:r>
            <w:r>
              <w:t>13..33(21.2℃</w:t>
            </w:r>
            <w:r>
              <w:rPr>
                <w:rFonts w:hint="eastAsia"/>
              </w:rPr>
              <w:t>）</w:t>
            </w:r>
            <w:r>
              <w:t>；燃烧热(kJ／mol</w:t>
            </w:r>
            <w:r>
              <w:rPr>
                <w:rFonts w:hint="eastAsia"/>
              </w:rPr>
              <w:t>）</w:t>
            </w:r>
            <w:r>
              <w:t>727.0；溶解性：溶于水，可混溶于醇、醚等多数有机溶剂。</w:t>
            </w:r>
          </w:p>
          <w:p w14:paraId="1ADFB904">
            <w:pPr>
              <w:pStyle w:val="557"/>
              <w:jc w:val="left"/>
            </w:pPr>
            <w:r>
              <w:t>危险特性：第3.2类 中闪点易燃液体</w:t>
            </w:r>
          </w:p>
        </w:tc>
      </w:tr>
      <w:tr w14:paraId="3A38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38B1E948">
            <w:pPr>
              <w:pStyle w:val="190"/>
              <w:rPr>
                <w:rFonts w:ascii="Times New Roman" w:hAnsi="Times New Roman" w:cs="Times New Roman"/>
                <w:szCs w:val="18"/>
              </w:rPr>
            </w:pPr>
            <w:r>
              <w:rPr>
                <w:rFonts w:ascii="Times New Roman" w:hAnsi="Times New Roman" w:cs="Times New Roman"/>
                <w:szCs w:val="18"/>
              </w:rPr>
              <w:t>5</w:t>
            </w:r>
          </w:p>
        </w:tc>
        <w:tc>
          <w:tcPr>
            <w:tcW w:w="490" w:type="pct"/>
            <w:vAlign w:val="center"/>
          </w:tcPr>
          <w:p w14:paraId="1C4F524A">
            <w:pPr>
              <w:pStyle w:val="190"/>
              <w:rPr>
                <w:rFonts w:ascii="Times New Roman" w:hAnsi="Times New Roman" w:cs="Times New Roman"/>
              </w:rPr>
            </w:pPr>
            <w:r>
              <w:rPr>
                <w:rFonts w:ascii="Times New Roman" w:hAnsi="Times New Roman" w:cs="Times New Roman"/>
              </w:rPr>
              <w:t>98%硫酸</w:t>
            </w:r>
          </w:p>
        </w:tc>
        <w:tc>
          <w:tcPr>
            <w:tcW w:w="4305" w:type="pct"/>
            <w:vAlign w:val="center"/>
          </w:tcPr>
          <w:p w14:paraId="2A14A046">
            <w:pPr>
              <w:pStyle w:val="190"/>
              <w:jc w:val="left"/>
              <w:rPr>
                <w:rFonts w:ascii="Times New Roman" w:hAnsi="Times New Roman" w:cs="Times New Roman"/>
                <w:szCs w:val="18"/>
              </w:rPr>
            </w:pPr>
            <w:r>
              <w:rPr>
                <w:rFonts w:ascii="Times New Roman" w:hAnsi="Times New Roman" w:cs="Times New Roman"/>
                <w:szCs w:val="18"/>
              </w:rPr>
              <w:t>分子式：H</w:t>
            </w:r>
            <w:r>
              <w:rPr>
                <w:rFonts w:ascii="Times New Roman" w:hAnsi="Times New Roman" w:cs="Times New Roman"/>
                <w:szCs w:val="18"/>
                <w:vertAlign w:val="subscript"/>
              </w:rPr>
              <w:t>2</w:t>
            </w:r>
            <w:r>
              <w:rPr>
                <w:rFonts w:ascii="Times New Roman" w:hAnsi="Times New Roman" w:cs="Times New Roman"/>
                <w:szCs w:val="18"/>
              </w:rPr>
              <w:t>SO</w:t>
            </w:r>
            <w:r>
              <w:rPr>
                <w:rFonts w:ascii="Times New Roman" w:hAnsi="Times New Roman" w:cs="Times New Roman"/>
                <w:szCs w:val="18"/>
                <w:vertAlign w:val="subscript"/>
              </w:rPr>
              <w:t>4</w:t>
            </w:r>
            <w:r>
              <w:rPr>
                <w:rFonts w:ascii="Times New Roman" w:hAnsi="Times New Roman" w:cs="Times New Roman"/>
                <w:szCs w:val="18"/>
              </w:rPr>
              <w:t>；纯品为无色透明油状液体，无臭；熔点：10.5℃；沸点：330.0℃；蒸气压：0.13/145.8℃；</w:t>
            </w:r>
          </w:p>
          <w:p w14:paraId="74556A87">
            <w:pPr>
              <w:pStyle w:val="190"/>
              <w:jc w:val="left"/>
              <w:rPr>
                <w:rFonts w:ascii="Times New Roman" w:hAnsi="Times New Roman" w:cs="Times New Roman"/>
                <w:szCs w:val="18"/>
              </w:rPr>
            </w:pPr>
            <w:r>
              <w:rPr>
                <w:rFonts w:ascii="Times New Roman" w:hAnsi="Times New Roman" w:cs="Times New Roman"/>
                <w:szCs w:val="18"/>
              </w:rPr>
              <w:t>溶解度：与水混溶；相对密度：空气：3.4、水：1.83；</w:t>
            </w:r>
          </w:p>
          <w:p w14:paraId="0BE4B9BA">
            <w:pPr>
              <w:pStyle w:val="190"/>
              <w:jc w:val="both"/>
              <w:rPr>
                <w:rFonts w:ascii="Times New Roman" w:hAnsi="Times New Roman" w:cs="Times New Roman"/>
                <w:szCs w:val="18"/>
              </w:rPr>
            </w:pPr>
            <w:r>
              <w:rPr>
                <w:rFonts w:ascii="Times New Roman" w:hAnsi="Times New Roman" w:cs="Times New Roman"/>
                <w:szCs w:val="18"/>
              </w:rPr>
              <w:t>危险特性：与易燃物（如苯）和有机物（如糖、纤维素等）接触会发生剧烈反应，甚至引起燃烧。能与一些活性金属粉末发生反应，放出氢气。遇水大量放热，可发生沸溅。具有强腐蚀性。</w:t>
            </w:r>
          </w:p>
          <w:p w14:paraId="60B5D1A3">
            <w:pPr>
              <w:pStyle w:val="557"/>
              <w:jc w:val="both"/>
            </w:pPr>
            <w:r>
              <w:t>毒性毒理：属中等毒性。急性毒性：LD</w:t>
            </w:r>
            <w:r>
              <w:rPr>
                <w:vertAlign w:val="subscript"/>
              </w:rPr>
              <w:t>50</w:t>
            </w:r>
            <w:r>
              <w:t>80mg/kg(大鼠经口</w:t>
            </w:r>
            <w:r>
              <w:rPr>
                <w:rFonts w:hint="eastAsia"/>
              </w:rPr>
              <w:t>）</w:t>
            </w:r>
            <w:r>
              <w:t>；LC</w:t>
            </w:r>
            <w:r>
              <w:rPr>
                <w:vertAlign w:val="subscript"/>
              </w:rPr>
              <w:t>50</w:t>
            </w:r>
            <w:r>
              <w:t>510mg/m</w:t>
            </w:r>
            <w:r>
              <w:rPr>
                <w:vertAlign w:val="superscript"/>
              </w:rPr>
              <w:t>3</w:t>
            </w:r>
            <w:r>
              <w:t>，2小时(大吸入</w:t>
            </w:r>
            <w:r>
              <w:rPr>
                <w:rFonts w:hint="eastAsia"/>
              </w:rPr>
              <w:t>）</w:t>
            </w:r>
            <w:r>
              <w:t>；320mg/m</w:t>
            </w:r>
            <w:r>
              <w:rPr>
                <w:vertAlign w:val="superscript"/>
              </w:rPr>
              <w:t>3</w:t>
            </w:r>
            <w:r>
              <w:t>，2小时(小鼠吸入</w:t>
            </w:r>
            <w:r>
              <w:rPr>
                <w:rFonts w:hint="eastAsia"/>
              </w:rPr>
              <w:t>）</w:t>
            </w:r>
          </w:p>
        </w:tc>
      </w:tr>
      <w:tr w14:paraId="58B9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3" w:type="pct"/>
            <w:vAlign w:val="center"/>
          </w:tcPr>
          <w:p w14:paraId="19686C4E">
            <w:pPr>
              <w:pStyle w:val="190"/>
              <w:rPr>
                <w:rFonts w:ascii="Times New Roman" w:hAnsi="Times New Roman" w:cs="Times New Roman"/>
                <w:szCs w:val="18"/>
              </w:rPr>
            </w:pPr>
            <w:r>
              <w:rPr>
                <w:rFonts w:ascii="Times New Roman" w:hAnsi="Times New Roman" w:cs="Times New Roman"/>
                <w:szCs w:val="18"/>
              </w:rPr>
              <w:t>6</w:t>
            </w:r>
          </w:p>
        </w:tc>
        <w:tc>
          <w:tcPr>
            <w:tcW w:w="490" w:type="pct"/>
            <w:vAlign w:val="center"/>
          </w:tcPr>
          <w:p w14:paraId="560F9DCA">
            <w:pPr>
              <w:pStyle w:val="190"/>
              <w:rPr>
                <w:rFonts w:ascii="Times New Roman" w:hAnsi="Times New Roman" w:cs="Times New Roman"/>
                <w:szCs w:val="18"/>
              </w:rPr>
            </w:pPr>
            <w:r>
              <w:rPr>
                <w:rFonts w:hint="eastAsia" w:ascii="Times New Roman" w:hAnsi="Times New Roman" w:cs="Times New Roman"/>
                <w:szCs w:val="18"/>
              </w:rPr>
              <w:t>氢氧化钾</w:t>
            </w:r>
          </w:p>
        </w:tc>
        <w:tc>
          <w:tcPr>
            <w:tcW w:w="4305" w:type="pct"/>
            <w:vAlign w:val="center"/>
          </w:tcPr>
          <w:p w14:paraId="302523BA">
            <w:pPr>
              <w:pStyle w:val="190"/>
              <w:jc w:val="left"/>
              <w:rPr>
                <w:rFonts w:ascii="Times New Roman" w:hAnsi="Times New Roman" w:cs="Times New Roman"/>
                <w:szCs w:val="18"/>
              </w:rPr>
            </w:pPr>
            <w:r>
              <w:rPr>
                <w:szCs w:val="21"/>
              </w:rPr>
              <w:t>与酸发生中和反应并放热。本品不会燃烧</w:t>
            </w:r>
            <w:r>
              <w:rPr>
                <w:rFonts w:hint="eastAsia"/>
                <w:szCs w:val="21"/>
              </w:rPr>
              <w:t>，</w:t>
            </w:r>
            <w:r>
              <w:rPr>
                <w:szCs w:val="21"/>
              </w:rPr>
              <w:t xml:space="preserve"> 遇水和水蒸气大量放热</w:t>
            </w:r>
            <w:r>
              <w:rPr>
                <w:rFonts w:hint="eastAsia"/>
                <w:szCs w:val="21"/>
              </w:rPr>
              <w:t>，</w:t>
            </w:r>
            <w:r>
              <w:rPr>
                <w:szCs w:val="21"/>
              </w:rPr>
              <w:t xml:space="preserve"> 形成腐蚀性溶液。具有强腐蚀性。</w:t>
            </w:r>
          </w:p>
          <w:p w14:paraId="1BD86C24">
            <w:pPr>
              <w:pStyle w:val="190"/>
              <w:jc w:val="left"/>
              <w:rPr>
                <w:rFonts w:hint="eastAsia"/>
              </w:rPr>
            </w:pPr>
            <w:r>
              <w:rPr>
                <w:rFonts w:ascii="Times New Roman" w:hAnsi="Times New Roman" w:cs="Times New Roman"/>
                <w:szCs w:val="18"/>
              </w:rPr>
              <w:t>本品具有强腐蚀性。粉尘刺激眼和呼吸道，腐蚀鼻中隔；皮肤和眼直接接触可引起灼伤；误服可造成消化道灼伤，</w:t>
            </w:r>
            <w:r>
              <w:rPr>
                <w:rFonts w:hint="eastAsia" w:ascii="Times New Roman" w:hAnsi="Times New Roman" w:cs="Times New Roman"/>
                <w:szCs w:val="18"/>
              </w:rPr>
              <w:t>黏膜</w:t>
            </w:r>
            <w:r>
              <w:rPr>
                <w:rFonts w:ascii="Times New Roman" w:hAnsi="Times New Roman" w:cs="Times New Roman"/>
                <w:szCs w:val="18"/>
              </w:rPr>
              <w:t>糜烂、出血，休克。</w:t>
            </w:r>
          </w:p>
        </w:tc>
      </w:tr>
      <w:bookmarkEnd w:id="95"/>
    </w:tbl>
    <w:p w14:paraId="5B6BC08C">
      <w:pPr>
        <w:pStyle w:val="91"/>
        <w:spacing w:line="360" w:lineRule="auto"/>
        <w:ind w:firstLine="512"/>
        <w:rPr>
          <w:rFonts w:hint="eastAsia"/>
          <w:spacing w:val="8"/>
          <w:sz w:val="24"/>
        </w:rPr>
        <w:sectPr>
          <w:pgSz w:w="16838" w:h="11906" w:orient="landscape"/>
          <w:pgMar w:top="1800" w:right="1440" w:bottom="1800" w:left="1440" w:header="851" w:footer="850" w:gutter="0"/>
          <w:cols w:space="425" w:num="1"/>
          <w:docGrid w:type="lines" w:linePitch="326" w:charSpace="0"/>
        </w:sectPr>
      </w:pPr>
    </w:p>
    <w:p w14:paraId="4FC69A18">
      <w:pPr>
        <w:pStyle w:val="97"/>
        <w:rPr>
          <w:rFonts w:hint="eastAsia"/>
        </w:rPr>
      </w:pPr>
      <w:r>
        <w:rPr>
          <w:rFonts w:hint="eastAsia"/>
        </w:rPr>
        <w:t>公用工程消耗</w:t>
      </w:r>
    </w:p>
    <w:p w14:paraId="11125F64">
      <w:pPr>
        <w:pStyle w:val="91"/>
        <w:spacing w:line="360" w:lineRule="auto"/>
        <w:ind w:firstLine="512"/>
        <w:rPr>
          <w:rFonts w:hint="eastAsia"/>
          <w:spacing w:val="8"/>
          <w:sz w:val="24"/>
        </w:rPr>
      </w:pPr>
      <w:r>
        <w:rPr>
          <w:rFonts w:hint="eastAsia"/>
          <w:spacing w:val="8"/>
          <w:sz w:val="24"/>
        </w:rPr>
        <w:t>本项目建成后，全厂公用工程规格和</w:t>
      </w:r>
      <w:r>
        <w:rPr>
          <w:rStyle w:val="282"/>
          <w:rFonts w:hint="eastAsia"/>
        </w:rPr>
        <w:t>用量见表3.1</w:t>
      </w:r>
      <w:r>
        <w:rPr>
          <w:rStyle w:val="282"/>
        </w:rPr>
        <w:t>.4</w:t>
      </w:r>
      <w:r>
        <w:rPr>
          <w:rStyle w:val="282"/>
          <w:rFonts w:hint="eastAsia"/>
        </w:rPr>
        <w:t>-1。</w:t>
      </w:r>
    </w:p>
    <w:p w14:paraId="08E23C8C">
      <w:pPr>
        <w:pStyle w:val="535"/>
        <w:rPr>
          <w:rFonts w:hint="eastAsia"/>
          <w:color w:val="auto"/>
        </w:rPr>
      </w:pPr>
      <w:r>
        <w:rPr>
          <w:color w:val="auto"/>
        </w:rPr>
        <w:t xml:space="preserve">表3.1.4-1    </w:t>
      </w:r>
      <w:r>
        <w:rPr>
          <w:rFonts w:hint="eastAsia"/>
          <w:color w:val="auto"/>
        </w:rPr>
        <w:t>公用工程规格和用量表</w:t>
      </w:r>
    </w:p>
    <w:p w14:paraId="6A3989B1">
      <w:pPr>
        <w:pStyle w:val="91"/>
        <w:spacing w:line="360" w:lineRule="auto"/>
        <w:ind w:firstLine="512"/>
        <w:rPr>
          <w:rFonts w:ascii="Times New Roman" w:hAnsi="Times New Roman" w:cs="Times New Roman"/>
          <w:spacing w:val="8"/>
          <w:sz w:val="24"/>
        </w:rPr>
      </w:pPr>
      <w:r>
        <w:rPr>
          <w:rFonts w:ascii="Times New Roman" w:hAnsi="Times New Roman" w:cs="Times New Roman"/>
          <w:spacing w:val="8"/>
          <w:sz w:val="24"/>
        </w:rPr>
        <w:t>本项目气化装置惰性气体发生器、锅炉、火炬、有机缓释肥装置加热炉所用燃料气均为CO深冷分离装置</w:t>
      </w:r>
      <w:r>
        <w:rPr>
          <w:rFonts w:hint="eastAsia" w:ascii="Times New Roman" w:hAnsi="Times New Roman" w:cs="Times New Roman"/>
          <w:spacing w:val="8"/>
          <w:sz w:val="24"/>
        </w:rPr>
        <w:t>脱离出的净化</w:t>
      </w:r>
      <w:r>
        <w:rPr>
          <w:rFonts w:ascii="Times New Roman" w:hAnsi="Times New Roman" w:cs="Times New Roman"/>
          <w:spacing w:val="8"/>
          <w:sz w:val="24"/>
        </w:rPr>
        <w:t>气</w:t>
      </w:r>
      <w:r>
        <w:rPr>
          <w:rFonts w:hint="eastAsia" w:ascii="Times New Roman" w:hAnsi="Times New Roman" w:cs="Times New Roman"/>
          <w:spacing w:val="8"/>
          <w:sz w:val="24"/>
        </w:rPr>
        <w:t>。根据设计资料，燃料气组分见表3.1.4-2。</w:t>
      </w:r>
    </w:p>
    <w:p w14:paraId="3C644C67">
      <w:pPr>
        <w:pStyle w:val="535"/>
        <w:rPr>
          <w:rFonts w:hint="eastAsia"/>
          <w:color w:val="auto"/>
        </w:rPr>
      </w:pPr>
      <w:r>
        <w:rPr>
          <w:rFonts w:hint="eastAsia"/>
          <w:color w:val="auto"/>
        </w:rPr>
        <w:t>表3.1.4-2    燃料气组分一览表</w:t>
      </w:r>
    </w:p>
    <w:p w14:paraId="6ED3E3FB">
      <w:pPr>
        <w:pStyle w:val="97"/>
        <w:rPr>
          <w:rFonts w:hint="eastAsia"/>
        </w:rPr>
      </w:pPr>
      <w:r>
        <w:rPr>
          <w:rFonts w:hint="eastAsia"/>
        </w:rPr>
        <w:t>能耗</w:t>
      </w:r>
    </w:p>
    <w:p w14:paraId="51DE08D9">
      <w:pPr>
        <w:pStyle w:val="281"/>
        <w:ind w:firstLine="512"/>
        <w:rPr>
          <w:spacing w:val="8"/>
          <w:szCs w:val="24"/>
        </w:rPr>
      </w:pPr>
      <w:bookmarkStart w:id="100" w:name="_Hlk151749544"/>
      <w:bookmarkStart w:id="101" w:name="_Hlk151749447"/>
      <w:r>
        <w:rPr>
          <w:rFonts w:hint="eastAsia" w:ascii="宋体" w:hAnsi="宋体"/>
          <w:spacing w:val="8"/>
          <w:szCs w:val="24"/>
        </w:rPr>
        <w:t>本项目建成后，全厂综合能源消费量表</w:t>
      </w:r>
      <w:r>
        <w:rPr>
          <w:rFonts w:hint="eastAsia"/>
          <w:spacing w:val="8"/>
          <w:szCs w:val="24"/>
        </w:rPr>
        <w:t>3.1</w:t>
      </w:r>
      <w:r>
        <w:rPr>
          <w:spacing w:val="8"/>
          <w:szCs w:val="24"/>
        </w:rPr>
        <w:t>.5</w:t>
      </w:r>
      <w:r>
        <w:rPr>
          <w:rFonts w:hint="eastAsia"/>
          <w:spacing w:val="8"/>
          <w:szCs w:val="24"/>
        </w:rPr>
        <w:t>-</w:t>
      </w:r>
      <w:r>
        <w:rPr>
          <w:spacing w:val="8"/>
          <w:szCs w:val="24"/>
        </w:rPr>
        <w:t>1</w:t>
      </w:r>
      <w:r>
        <w:rPr>
          <w:rFonts w:hint="eastAsia" w:ascii="宋体" w:hAnsi="宋体"/>
          <w:spacing w:val="8"/>
          <w:szCs w:val="24"/>
        </w:rPr>
        <w:t>。</w:t>
      </w:r>
    </w:p>
    <w:bookmarkEnd w:id="100"/>
    <w:p w14:paraId="4E063FA1">
      <w:pPr>
        <w:pStyle w:val="535"/>
        <w:rPr>
          <w:rFonts w:hint="eastAsia"/>
          <w:color w:val="auto"/>
        </w:rPr>
      </w:pPr>
      <w:r>
        <w:rPr>
          <w:rFonts w:hint="eastAsia"/>
          <w:color w:val="auto"/>
        </w:rPr>
        <w:t>表</w:t>
      </w:r>
      <w:r>
        <w:rPr>
          <w:rFonts w:hint="eastAsia"/>
          <w:color w:val="auto"/>
          <w:spacing w:val="8"/>
        </w:rPr>
        <w:t>3.1</w:t>
      </w:r>
      <w:r>
        <w:rPr>
          <w:color w:val="auto"/>
          <w:spacing w:val="8"/>
        </w:rPr>
        <w:t>.5</w:t>
      </w:r>
      <w:r>
        <w:rPr>
          <w:rFonts w:hint="eastAsia"/>
          <w:color w:val="auto"/>
          <w:spacing w:val="8"/>
        </w:rPr>
        <w:t>-</w:t>
      </w:r>
      <w:r>
        <w:rPr>
          <w:color w:val="auto"/>
          <w:spacing w:val="8"/>
        </w:rPr>
        <w:t xml:space="preserve">1   </w:t>
      </w:r>
      <w:bookmarkStart w:id="102" w:name="_Ref73109271"/>
      <w:r>
        <w:rPr>
          <w:color w:val="auto"/>
          <w:spacing w:val="8"/>
        </w:rPr>
        <w:t xml:space="preserve"> </w:t>
      </w:r>
      <w:r>
        <w:rPr>
          <w:rFonts w:hint="eastAsia"/>
          <w:color w:val="auto"/>
        </w:rPr>
        <w:t>项目能</w:t>
      </w:r>
      <w:r>
        <w:rPr>
          <w:color w:val="auto"/>
        </w:rPr>
        <w:t>耗计算</w:t>
      </w:r>
    </w:p>
    <w:bookmarkEnd w:id="101"/>
    <w:bookmarkEnd w:id="102"/>
    <w:p w14:paraId="60C3D250">
      <w:pPr>
        <w:pStyle w:val="97"/>
        <w:rPr>
          <w:rFonts w:hint="eastAsia"/>
        </w:rPr>
      </w:pPr>
      <w:r>
        <w:t>厂区总平面布置</w:t>
      </w:r>
    </w:p>
    <w:p w14:paraId="53682433">
      <w:pPr>
        <w:pStyle w:val="98"/>
        <w:rPr>
          <w:rFonts w:hint="eastAsia"/>
          <w:snapToGrid w:val="0"/>
        </w:rPr>
      </w:pPr>
      <w:r>
        <w:t>功能分区</w:t>
      </w:r>
    </w:p>
    <w:p w14:paraId="5D4189E6">
      <w:pPr>
        <w:pStyle w:val="281"/>
        <w:ind w:firstLine="480"/>
        <w:rPr>
          <w:highlight w:val="yellow"/>
        </w:rPr>
      </w:pPr>
      <w:r>
        <w:rPr>
          <w:rFonts w:hint="eastAsia" w:cs="Times New Roman"/>
        </w:rPr>
        <w:t>本项目共用地51.024公顷，合765.4亩，项目场地为一约800m×666m的矩形，用地由三个地块组成，地块间各由一条现状路隔开（现状路不计入项目总用地面积）。</w:t>
      </w:r>
    </w:p>
    <w:p w14:paraId="3654206F">
      <w:pPr>
        <w:pStyle w:val="281"/>
        <w:ind w:firstLine="480"/>
        <w:rPr>
          <w:rFonts w:hint="eastAsia" w:ascii="宋体" w:hAnsi="宋体"/>
        </w:rPr>
      </w:pPr>
      <w:r>
        <w:rPr>
          <w:rFonts w:hint="eastAsia" w:ascii="宋体" w:hAnsi="宋体"/>
        </w:rPr>
        <w:t>根据本项目用地周边环境，道路交通，气候等条件，结合工艺流程，</w:t>
      </w:r>
      <w:r>
        <w:rPr>
          <w:rFonts w:hint="eastAsia" w:cs="Times New Roman"/>
        </w:rPr>
        <w:t>本项目总平面布置分为六大功能分区：分别为生产管理区、气化净化合成区、电解水制氢区、DMO/草酰胺/有机缓释肥装置区、储运区、公辅区。</w:t>
      </w:r>
    </w:p>
    <w:p w14:paraId="546D2108">
      <w:pPr>
        <w:pStyle w:val="98"/>
        <w:rPr>
          <w:rFonts w:hint="eastAsia"/>
          <w:snapToGrid w:val="0"/>
        </w:rPr>
      </w:pPr>
      <w:r>
        <w:t>总平面布置方案</w:t>
      </w:r>
    </w:p>
    <w:p w14:paraId="79992085">
      <w:pPr>
        <w:spacing w:line="360" w:lineRule="auto"/>
        <w:ind w:firstLine="480" w:firstLineChars="200"/>
        <w:rPr>
          <w:rFonts w:ascii="Times New Roman" w:hAnsi="Times New Roman" w:cs="Times New Roman"/>
        </w:rPr>
      </w:pPr>
      <w:r>
        <w:rPr>
          <w:rFonts w:hint="eastAsia" w:ascii="Times New Roman" w:hAnsi="Times New Roman" w:cs="Times New Roman"/>
        </w:rPr>
        <w:t>生产管理区包括办公楼、食堂、中心化验楼、中心控制室、综合仓库、仪电机修等。生产管理区位于厂区东南角，次主导风向的上风向处，出入口接入园区主干道。</w:t>
      </w:r>
    </w:p>
    <w:p w14:paraId="02818EBF">
      <w:pPr>
        <w:spacing w:line="360" w:lineRule="auto"/>
        <w:ind w:firstLine="480" w:firstLineChars="200"/>
        <w:rPr>
          <w:rFonts w:ascii="Times New Roman" w:hAnsi="Times New Roman" w:cs="Times New Roman"/>
        </w:rPr>
      </w:pPr>
      <w:r>
        <w:rPr>
          <w:rFonts w:hint="eastAsia" w:ascii="Times New Roman" w:hAnsi="Times New Roman" w:cs="Times New Roman"/>
        </w:rPr>
        <w:t>储运区包括煤棚、汽车装卸站、综合罐组、液氨罐组、中间产品罐组、亚硝酸甲酯罐组等。储运区设置于厂区西南角，主导风频下风向处，出入口接入南侧园区主干道，方便物料运输。</w:t>
      </w:r>
    </w:p>
    <w:p w14:paraId="3F4DF5C0">
      <w:pPr>
        <w:spacing w:line="360" w:lineRule="auto"/>
        <w:ind w:firstLine="480" w:firstLineChars="200"/>
        <w:rPr>
          <w:rFonts w:ascii="Times New Roman" w:hAnsi="Times New Roman" w:cs="Times New Roman"/>
        </w:rPr>
      </w:pPr>
      <w:r>
        <w:rPr>
          <w:rFonts w:hint="eastAsia" w:ascii="Times New Roman" w:hAnsi="Times New Roman" w:cs="Times New Roman"/>
        </w:rPr>
        <w:t>气化净化合成区包括气化（含磨煤干燥、气化、渣水处理、压滤）及输煤栈桥、煤气冷却、低温甲醇洗、CO深冷分离、二氧化碳压缩、硫回收、氨合成、氨冰机/合成气压缩等。</w:t>
      </w:r>
    </w:p>
    <w:p w14:paraId="2CD9A1B7">
      <w:pPr>
        <w:spacing w:line="360" w:lineRule="auto"/>
        <w:ind w:firstLine="480" w:firstLineChars="200"/>
        <w:rPr>
          <w:rFonts w:ascii="Times New Roman" w:hAnsi="Times New Roman" w:cs="Times New Roman"/>
        </w:rPr>
      </w:pPr>
      <w:r>
        <w:rPr>
          <w:rFonts w:hint="eastAsia" w:ascii="Times New Roman" w:hAnsi="Times New Roman" w:cs="Times New Roman"/>
        </w:rPr>
        <w:t>电解水制氢区包括6.2万吨/年电解水制氢装置、制氢35V变电所等。</w:t>
      </w:r>
    </w:p>
    <w:p w14:paraId="341DC797">
      <w:pPr>
        <w:spacing w:line="360" w:lineRule="auto"/>
        <w:ind w:firstLine="480" w:firstLineChars="200"/>
        <w:rPr>
          <w:rFonts w:ascii="Times New Roman" w:hAnsi="Times New Roman" w:cs="Times New Roman"/>
        </w:rPr>
      </w:pPr>
      <w:r>
        <w:rPr>
          <w:rFonts w:hint="eastAsia" w:ascii="Times New Roman" w:hAnsi="Times New Roman" w:cs="Times New Roman"/>
        </w:rPr>
        <w:t>DMO/草酰胺/有机缓释肥装置区包括66.2万吨/年DMO装置、40万吨/年有机缓释肥装置、50万吨/年草酰胺装置、缓释肥平面库、35KV变电所二等。</w:t>
      </w:r>
    </w:p>
    <w:p w14:paraId="757ECB16">
      <w:pPr>
        <w:spacing w:line="360" w:lineRule="auto"/>
        <w:ind w:firstLine="480" w:firstLineChars="200"/>
        <w:rPr>
          <w:rFonts w:ascii="Times New Roman" w:hAnsi="Times New Roman" w:cs="Times New Roman"/>
        </w:rPr>
      </w:pPr>
      <w:r>
        <w:rPr>
          <w:rFonts w:hint="eastAsia" w:ascii="Times New Roman" w:hAnsi="Times New Roman" w:cs="Times New Roman"/>
        </w:rPr>
        <w:t>气化净化合成区、电解水制氢区和DMO/草酰胺/有机缓释肥装置区位于厂区中部。其中气化净化合成区位于液体储运区东侧，煤棚和锅炉的北侧；电解水制氢区位于气化净化合成区南侧，锅炉的东侧；DMO/草酰胺/有机缓释肥装置位于气化净化合成区东侧，缓释肥库区出入口接入东侧园区道路，方便物料运输。主要生产工艺装置集中布置于厂区中部，节能降耗，节省投资。</w:t>
      </w:r>
    </w:p>
    <w:p w14:paraId="1C420607">
      <w:pPr>
        <w:spacing w:line="360" w:lineRule="auto"/>
        <w:ind w:firstLine="480" w:firstLineChars="200"/>
        <w:rPr>
          <w:rFonts w:ascii="Times New Roman" w:hAnsi="Times New Roman" w:cs="Times New Roman"/>
        </w:rPr>
      </w:pPr>
      <w:r>
        <w:rPr>
          <w:rFonts w:hint="eastAsia" w:ascii="Times New Roman" w:hAnsi="Times New Roman" w:cs="Times New Roman"/>
        </w:rPr>
        <w:t>公辅区包括火炬、污水处理、回用水处理站、蒸发结晶及干燥、高浓盐水处理、事故水池及雨水监测池、空分、初期雨水池、危废暂存库、化学品库、机柜室、35KV变配电所、锅炉房、泡沫站、220kv总变电站、工艺循环水、综合供水、冷冻水站、脱盐水站等。公辅区采取集中和分散相结合的布置。火炬、污水处理、回用水处理站、蒸发结晶及干燥、高浓盐水处理、事故水池及雨水监测池等装置集中布置在厂区西北侧边缘；空分布置在厂区东北角，厂区污染源主导风向上风侧；220kv总变电站、工艺循环水、综合供水、冷冻水站、脱盐水站等集中布置在生产管理区和主要生产工艺装置区之间，作为缓冲段，尽量避免主生产区可能对厂前区产生的影响；各工艺装置的机柜室、35KV变配电所分散就近布置。</w:t>
      </w:r>
    </w:p>
    <w:p w14:paraId="2BEDF7E9">
      <w:pPr>
        <w:pStyle w:val="281"/>
        <w:ind w:firstLine="480"/>
      </w:pPr>
      <w:r>
        <w:rPr>
          <w:rFonts w:hint="eastAsia"/>
        </w:rPr>
        <w:t>综上所述，厂区平面布置合理，功能分区满足工艺流程要求，工艺管线短捷，物流通畅，方便生产及管理。本项目占地面积约51.024公顷。</w:t>
      </w:r>
    </w:p>
    <w:p w14:paraId="634C766A">
      <w:pPr>
        <w:pStyle w:val="281"/>
        <w:ind w:firstLine="512"/>
        <w:rPr>
          <w:spacing w:val="8"/>
        </w:rPr>
      </w:pPr>
      <w:r>
        <w:rPr>
          <w:spacing w:val="8"/>
        </w:rPr>
        <w:t>平面总图设计技术指标见表3.</w:t>
      </w:r>
      <w:r>
        <w:rPr>
          <w:rFonts w:hint="eastAsia"/>
          <w:spacing w:val="8"/>
        </w:rPr>
        <w:t>1</w:t>
      </w:r>
      <w:r>
        <w:rPr>
          <w:spacing w:val="8"/>
        </w:rPr>
        <w:t>.6-1，厂区平面布置见图3.</w:t>
      </w:r>
      <w:r>
        <w:rPr>
          <w:rFonts w:hint="eastAsia"/>
          <w:spacing w:val="8"/>
        </w:rPr>
        <w:t>1</w:t>
      </w:r>
      <w:r>
        <w:rPr>
          <w:spacing w:val="8"/>
        </w:rPr>
        <w:t>.6-1。</w:t>
      </w:r>
    </w:p>
    <w:p w14:paraId="0767B95F">
      <w:pPr>
        <w:pStyle w:val="161"/>
        <w:rPr>
          <w:rFonts w:hint="eastAsia"/>
          <w:color w:val="auto"/>
        </w:rPr>
      </w:pPr>
      <w:r>
        <w:rPr>
          <w:rFonts w:hint="eastAsia"/>
          <w:color w:val="auto"/>
        </w:rPr>
        <w:t>表3.1.6-1</w:t>
      </w:r>
      <w:r>
        <w:rPr>
          <w:color w:val="auto"/>
        </w:rPr>
        <w:t xml:space="preserve">    平面总图设计技术指标一览表</w:t>
      </w:r>
    </w:p>
    <w:p w14:paraId="313F2477">
      <w:pPr>
        <w:pStyle w:val="722"/>
        <w:numPr>
          <w:ilvl w:val="1"/>
          <w:numId w:val="0"/>
        </w:numPr>
        <w:rPr>
          <w:rFonts w:hint="eastAsia"/>
        </w:rPr>
        <w:sectPr>
          <w:pgSz w:w="11906" w:h="16838"/>
          <w:pgMar w:top="1440" w:right="1800" w:bottom="1440" w:left="1800" w:header="851" w:footer="850" w:gutter="0"/>
          <w:cols w:space="425" w:num="1"/>
          <w:docGrid w:type="lines" w:linePitch="326" w:charSpace="0"/>
        </w:sectPr>
      </w:pPr>
      <w:bookmarkStart w:id="103" w:name="_Toc182475479"/>
    </w:p>
    <w:p w14:paraId="5E66B07C">
      <w:pPr>
        <w:pStyle w:val="722"/>
        <w:rPr>
          <w:rFonts w:hint="eastAsia"/>
        </w:rPr>
      </w:pPr>
      <w:bookmarkStart w:id="104" w:name="_Toc10393"/>
      <w:r>
        <w:t>工艺流程及产污环节</w:t>
      </w:r>
      <w:bookmarkEnd w:id="103"/>
      <w:bookmarkEnd w:id="104"/>
    </w:p>
    <w:p w14:paraId="248D7B49">
      <w:pPr>
        <w:pStyle w:val="97"/>
        <w:rPr>
          <w:rFonts w:hint="eastAsia"/>
        </w:rPr>
      </w:pPr>
      <w:bookmarkStart w:id="105" w:name="_Hlk177039045"/>
      <w:r>
        <w:rPr>
          <w:rFonts w:hint="eastAsia"/>
        </w:rPr>
        <w:t>总工艺流程</w:t>
      </w:r>
    </w:p>
    <w:p w14:paraId="62BF6B1F">
      <w:pPr>
        <w:snapToGrid w:val="0"/>
        <w:spacing w:line="360" w:lineRule="auto"/>
        <w:ind w:firstLine="480" w:firstLineChars="200"/>
        <w:contextualSpacing/>
        <w:rPr>
          <w:rFonts w:hint="eastAsia"/>
        </w:rPr>
      </w:pPr>
      <w:r>
        <w:rPr>
          <w:rFonts w:ascii="Times New Roman" w:hAnsi="Times New Roman" w:cs="Times New Roman"/>
        </w:rPr>
        <w:t>本项目以</w:t>
      </w:r>
      <w:r>
        <w:rPr>
          <w:rFonts w:hint="eastAsia" w:ascii="Times New Roman" w:hAnsi="Times New Roman" w:cs="Times New Roman"/>
        </w:rPr>
        <w:t>煤炭</w:t>
      </w:r>
      <w:r>
        <w:rPr>
          <w:rFonts w:ascii="Times New Roman" w:hAnsi="Times New Roman" w:cs="Times New Roman"/>
        </w:rPr>
        <w:t>为原料，经过干煤粉气化、合成气净化、CO深冷分离等单元，加工生产DMO</w:t>
      </w:r>
      <w:r>
        <w:rPr>
          <w:rFonts w:hint="eastAsia" w:ascii="Times New Roman" w:hAnsi="Times New Roman" w:cs="Times New Roman"/>
        </w:rPr>
        <w:t>，</w:t>
      </w:r>
      <w:r>
        <w:rPr>
          <w:rFonts w:ascii="Times New Roman" w:hAnsi="Times New Roman" w:cs="Times New Roman"/>
        </w:rPr>
        <w:t>电解水制氢来的氢气与空分装置送来的氮气生产合成氨，</w:t>
      </w:r>
      <w:r>
        <w:rPr>
          <w:rFonts w:hint="eastAsia"/>
        </w:rPr>
        <w:t>部分作为产品销售，部分作为生产草酰胺的原料。</w:t>
      </w:r>
      <w:r>
        <w:rPr>
          <w:rFonts w:ascii="Times New Roman" w:hAnsi="Times New Roman" w:cs="Times New Roman"/>
        </w:rPr>
        <w:t>大部分草酰胺作为产品，部分草酰胺与外购的氮磷钾肥混合生产高效有机缓释肥。化工装置主要包括气化装置、</w:t>
      </w:r>
      <w:r>
        <w:rPr>
          <w:rFonts w:hint="eastAsia" w:ascii="Times New Roman" w:hAnsi="Times New Roman" w:cs="Times New Roman"/>
        </w:rPr>
        <w:t>煤气冷却装置、</w:t>
      </w:r>
      <w:r>
        <w:rPr>
          <w:rFonts w:ascii="Times New Roman" w:hAnsi="Times New Roman" w:cs="Times New Roman"/>
        </w:rPr>
        <w:t>低温甲醇洗装置、CO深冷分离装置、DMO合成装置、电解水制氢装置、合成氨装置、草酰胺装置、草酰胺有机缓释肥装置以及相应配套的公用工程及辅助设施。</w:t>
      </w:r>
      <w:r>
        <w:rPr>
          <w:rFonts w:hint="eastAsia"/>
        </w:rPr>
        <w:t>总工艺流程详见全厂方块流程图和全厂物料平衡。</w:t>
      </w:r>
    </w:p>
    <w:p w14:paraId="647D68AA">
      <w:pPr>
        <w:pStyle w:val="281"/>
        <w:ind w:firstLine="480"/>
      </w:pPr>
      <w:r>
        <w:rPr>
          <w:rFonts w:hint="eastAsia"/>
        </w:rPr>
        <w:t>项目</w:t>
      </w:r>
      <w:r>
        <w:t>总工艺流程图见</w:t>
      </w:r>
      <w:r>
        <w:rPr>
          <w:rFonts w:hint="eastAsia"/>
        </w:rPr>
        <w:t>3.2</w:t>
      </w:r>
      <w:r>
        <w:t>.1</w:t>
      </w:r>
      <w:r>
        <w:rPr>
          <w:rFonts w:hint="eastAsia"/>
        </w:rPr>
        <w:t>-1。</w:t>
      </w:r>
    </w:p>
    <w:bookmarkEnd w:id="105"/>
    <w:p w14:paraId="3A252AE2">
      <w:pPr>
        <w:pStyle w:val="281"/>
        <w:ind w:firstLine="480"/>
        <w:sectPr>
          <w:pgSz w:w="11906" w:h="16838"/>
          <w:pgMar w:top="1440" w:right="1800" w:bottom="1440" w:left="1800" w:header="851" w:footer="850" w:gutter="0"/>
          <w:cols w:space="425" w:num="1"/>
          <w:docGrid w:type="lines" w:linePitch="326" w:charSpace="0"/>
        </w:sectPr>
      </w:pPr>
    </w:p>
    <w:p w14:paraId="3EEAF3DF">
      <w:pPr>
        <w:pStyle w:val="645"/>
        <w:rPr>
          <w:rFonts w:hint="eastAsia"/>
        </w:rPr>
      </w:pPr>
    </w:p>
    <w:p w14:paraId="569A8EB2">
      <w:pPr>
        <w:pStyle w:val="645"/>
        <w:rPr>
          <w:rFonts w:hint="eastAsia"/>
        </w:rPr>
      </w:pPr>
    </w:p>
    <w:p w14:paraId="026136F5">
      <w:pPr>
        <w:pStyle w:val="645"/>
        <w:rPr>
          <w:rFonts w:hint="eastAsia"/>
        </w:rPr>
      </w:pPr>
      <w:r>
        <w:rPr>
          <w:rFonts w:hint="eastAsia"/>
        </w:rPr>
        <w:t>图3.2</w:t>
      </w:r>
      <w:r>
        <w:t>.1</w:t>
      </w:r>
      <w:r>
        <w:rPr>
          <w:rFonts w:hint="eastAsia"/>
        </w:rPr>
        <w:t>-1</w:t>
      </w:r>
      <w:r>
        <w:t xml:space="preserve">    </w:t>
      </w:r>
      <w:r>
        <w:rPr>
          <w:rFonts w:hint="eastAsia"/>
        </w:rPr>
        <w:t>项目</w:t>
      </w:r>
      <w:r>
        <w:t>总工艺流程图</w:t>
      </w:r>
    </w:p>
    <w:p w14:paraId="668604E2">
      <w:pPr>
        <w:pStyle w:val="645"/>
        <w:rPr>
          <w:rFonts w:hint="eastAsia"/>
        </w:rPr>
        <w:sectPr>
          <w:pgSz w:w="16838" w:h="11906" w:orient="landscape"/>
          <w:pgMar w:top="1440" w:right="1800" w:bottom="1440" w:left="1800" w:header="851" w:footer="851" w:gutter="0"/>
          <w:cols w:space="425" w:num="1"/>
          <w:docGrid w:type="lines" w:linePitch="326" w:charSpace="0"/>
        </w:sectPr>
      </w:pPr>
    </w:p>
    <w:p w14:paraId="3E762E91">
      <w:pPr>
        <w:pStyle w:val="97"/>
        <w:rPr>
          <w:rFonts w:hint="eastAsia"/>
        </w:rPr>
      </w:pPr>
      <w:bookmarkStart w:id="106" w:name="_Hlk114134848"/>
      <w:bookmarkStart w:id="107" w:name="_Hlk150213739"/>
      <w:r>
        <w:rPr>
          <w:rFonts w:hint="eastAsia"/>
        </w:rPr>
        <w:t>气化装置</w:t>
      </w:r>
      <w:bookmarkEnd w:id="106"/>
      <w:r>
        <w:rPr>
          <w:rFonts w:hint="eastAsia"/>
        </w:rPr>
        <w:t>（编号01）</w:t>
      </w:r>
    </w:p>
    <w:p w14:paraId="56E540B3">
      <w:pPr>
        <w:pStyle w:val="98"/>
        <w:rPr>
          <w:rFonts w:hint="eastAsia"/>
        </w:rPr>
      </w:pPr>
      <w:r>
        <w:rPr>
          <w:rFonts w:hint="eastAsia"/>
        </w:rPr>
        <w:t>装置概述</w:t>
      </w:r>
    </w:p>
    <w:p w14:paraId="33EFEC91">
      <w:pPr>
        <w:pStyle w:val="281"/>
        <w:ind w:firstLine="480"/>
      </w:pPr>
      <w:r>
        <w:rPr>
          <w:rFonts w:hint="eastAsia"/>
        </w:rPr>
        <w:t>本项目采用</w:t>
      </w:r>
      <w:r>
        <w:rPr>
          <w:kern w:val="2"/>
        </w:rPr>
        <w:t>半废锅HT-L粉煤加压气化技术，</w:t>
      </w:r>
      <w:r>
        <w:rPr>
          <w:rFonts w:hint="eastAsia"/>
          <w:kern w:val="2"/>
        </w:rPr>
        <w:t>项目设置1台航天粉煤加压气化炉</w:t>
      </w:r>
      <w:r>
        <w:rPr>
          <w:kern w:val="2"/>
        </w:rPr>
        <w:t>。</w:t>
      </w:r>
      <w:r>
        <w:t>煤气化装置的主要作用是使煤和氧气在气化炉内发生部分氧化反应，得到以一氧化碳和氢气为主要成分的</w:t>
      </w:r>
      <w:r>
        <w:rPr>
          <w:rFonts w:hint="eastAsia"/>
        </w:rPr>
        <w:t>粗煤气</w:t>
      </w:r>
      <w:r>
        <w:t>，供下游装置使用。</w:t>
      </w:r>
    </w:p>
    <w:p w14:paraId="165352D7">
      <w:pPr>
        <w:pStyle w:val="281"/>
        <w:ind w:firstLine="480"/>
      </w:pPr>
      <w:r>
        <w:rPr>
          <w:rFonts w:hint="eastAsia"/>
        </w:rPr>
        <w:t>本装置包含</w:t>
      </w:r>
      <w:r>
        <w:rPr>
          <w:kern w:val="2"/>
        </w:rPr>
        <w:t>磨煤及干燥单元</w:t>
      </w:r>
      <w:r>
        <w:rPr>
          <w:rFonts w:hint="eastAsia"/>
        </w:rPr>
        <w:t>、</w:t>
      </w:r>
      <w:r>
        <w:rPr>
          <w:kern w:val="2"/>
        </w:rPr>
        <w:t>煤加压及进煤单元</w:t>
      </w:r>
      <w:r>
        <w:rPr>
          <w:rFonts w:hint="eastAsia"/>
          <w:kern w:val="2"/>
        </w:rPr>
        <w:t>、</w:t>
      </w:r>
      <w:r>
        <w:rPr>
          <w:kern w:val="2"/>
        </w:rPr>
        <w:t>气化及合成气洗涤单元</w:t>
      </w:r>
      <w:r>
        <w:rPr>
          <w:rFonts w:hint="eastAsia"/>
          <w:kern w:val="2"/>
        </w:rPr>
        <w:t>、</w:t>
      </w:r>
      <w:r>
        <w:rPr>
          <w:kern w:val="2"/>
        </w:rPr>
        <w:t>渣及灰水处理单元</w:t>
      </w:r>
      <w:r>
        <w:rPr>
          <w:rFonts w:hint="eastAsia"/>
          <w:kern w:val="2"/>
        </w:rPr>
        <w:t>、</w:t>
      </w:r>
      <w:r>
        <w:rPr>
          <w:kern w:val="2"/>
        </w:rPr>
        <w:t>气化公用工程</w:t>
      </w:r>
      <w:r>
        <w:rPr>
          <w:rFonts w:hint="eastAsia"/>
        </w:rPr>
        <w:t>单元</w:t>
      </w:r>
      <w:r>
        <w:rPr>
          <w:rFonts w:hint="eastAsia" w:ascii="宋体" w:hAnsi="宋体"/>
        </w:rPr>
        <w:t>。</w:t>
      </w:r>
    </w:p>
    <w:p w14:paraId="159DC59E">
      <w:pPr>
        <w:pStyle w:val="281"/>
        <w:ind w:firstLine="480"/>
      </w:pPr>
      <w:r>
        <w:rPr>
          <w:rFonts w:hint="eastAsia"/>
        </w:rPr>
        <w:t>装置规模：1×2</w:t>
      </w:r>
      <w:r>
        <w:t>000</w:t>
      </w:r>
      <w:r>
        <w:rPr>
          <w:kern w:val="2"/>
        </w:rPr>
        <w:t>t/d</w:t>
      </w:r>
    </w:p>
    <w:p w14:paraId="60B30B20">
      <w:pPr>
        <w:pStyle w:val="281"/>
        <w:ind w:firstLine="480"/>
      </w:pPr>
      <w:r>
        <w:rPr>
          <w:rFonts w:hint="eastAsia"/>
        </w:rPr>
        <w:t>年开工时间：</w:t>
      </w:r>
      <w:r>
        <w:t>8000h</w:t>
      </w:r>
      <w:r>
        <w:rPr>
          <w:rFonts w:hint="eastAsia"/>
        </w:rPr>
        <w:t>。</w:t>
      </w:r>
    </w:p>
    <w:p w14:paraId="4FBEA477">
      <w:pPr>
        <w:pStyle w:val="98"/>
        <w:rPr>
          <w:rFonts w:hint="eastAsia"/>
        </w:rPr>
      </w:pPr>
      <w:r>
        <w:t>工艺技术的选择</w:t>
      </w:r>
    </w:p>
    <w:p w14:paraId="5FB83AE7">
      <w:pPr>
        <w:pStyle w:val="281"/>
        <w:ind w:firstLine="480"/>
        <w:rPr>
          <w:rFonts w:cs="Times New Roman"/>
          <w:kern w:val="2"/>
        </w:rPr>
      </w:pPr>
      <w:r>
        <w:rPr>
          <w:rFonts w:cs="Times New Roman"/>
          <w:kern w:val="2"/>
        </w:rPr>
        <w:t>本项目从降低能耗和水耗角度考虑，煤气化工艺</w:t>
      </w:r>
      <w:r>
        <w:rPr>
          <w:rFonts w:hint="eastAsia" w:cs="Times New Roman"/>
          <w:kern w:val="2"/>
        </w:rPr>
        <w:t>选择</w:t>
      </w:r>
      <w:r>
        <w:rPr>
          <w:rFonts w:cs="Times New Roman"/>
          <w:kern w:val="2"/>
        </w:rPr>
        <w:t>干煤粉气流床气化工艺。</w:t>
      </w:r>
      <w:r>
        <w:rPr>
          <w:rFonts w:cs="Times New Roman"/>
        </w:rPr>
        <w:t>干煤粉气化技术国外典型代表性有Shell技术，国内具有代表性的为HT-L技</w:t>
      </w:r>
      <w:r>
        <w:rPr>
          <w:rFonts w:cs="Times New Roman"/>
          <w:kern w:val="2"/>
        </w:rPr>
        <w:t>术和神宁炉干煤粉气化技术。</w:t>
      </w:r>
    </w:p>
    <w:p w14:paraId="39B8894F">
      <w:pPr>
        <w:pStyle w:val="281"/>
        <w:ind w:firstLine="480"/>
        <w:rPr>
          <w:rFonts w:cs="Times New Roman"/>
        </w:rPr>
      </w:pPr>
      <w:r>
        <w:rPr>
          <w:rFonts w:cs="Times New Roman"/>
          <w:kern w:val="2"/>
        </w:rPr>
        <w:t>目前</w:t>
      </w:r>
      <w:r>
        <w:rPr>
          <w:rFonts w:cs="Times New Roman"/>
        </w:rPr>
        <w:t>。Shell气化技术在国内引进的装置中已有多套已经开车，由于其投资较高，项目多采用单套运行，导致在开车初期，气化炉的运转率没有达到预期的水平。随着生产实践经验的不断积累，目前Shell气化装置1000吨级和2000吨级气化炉年运转率已达到较高水平，但是考虑到Shell气化装置的专利费和投资仍然较高，因此本项目暂不考虑采用国外技术。</w:t>
      </w:r>
    </w:p>
    <w:p w14:paraId="777869EC">
      <w:pPr>
        <w:pStyle w:val="281"/>
        <w:ind w:firstLine="480"/>
        <w:rPr>
          <w:rFonts w:cs="Times New Roman"/>
        </w:rPr>
      </w:pPr>
      <w:r>
        <w:rPr>
          <w:rFonts w:cs="Times New Roman"/>
        </w:rPr>
        <w:t>神宁炉干煤粉气化技术属于在GSP气化工艺基础上自主开发的国产化气化技术，神华煤制油项目28台神宁炉已于2017年3月实现成功开车，目前各项气化指标稳定。</w:t>
      </w:r>
    </w:p>
    <w:p w14:paraId="618474D9">
      <w:pPr>
        <w:pStyle w:val="281"/>
        <w:ind w:firstLine="480"/>
        <w:rPr>
          <w:rFonts w:cs="Times New Roman"/>
        </w:rPr>
      </w:pPr>
      <w:r>
        <w:rPr>
          <w:rFonts w:cs="Times New Roman"/>
        </w:rPr>
        <w:t>HT-L粉煤加压气化技术是由中国航天科技集团公司在吸收了当今世界两大先进煤气化技术优点的基础上自主开发的一种煤气化工艺技术，在国内已经有一定的使用业绩，其关键设备基本国产化，投资相对较低。</w:t>
      </w:r>
    </w:p>
    <w:p w14:paraId="31839B40">
      <w:pPr>
        <w:pStyle w:val="281"/>
        <w:ind w:firstLine="480"/>
        <w:rPr>
          <w:rFonts w:cs="Times New Roman"/>
          <w:kern w:val="2"/>
        </w:rPr>
      </w:pPr>
      <w:r>
        <w:rPr>
          <w:rFonts w:cs="Times New Roman"/>
        </w:rPr>
        <w:t>综上所述，本项目煤气化工艺拟推荐采用全激冷HT-L粉煤加压气化技术，</w:t>
      </w:r>
      <w:r>
        <w:rPr>
          <w:rFonts w:cs="Times New Roman"/>
          <w:kern w:val="2"/>
        </w:rPr>
        <w:t>建设</w:t>
      </w:r>
      <w:r>
        <w:rPr>
          <w:rFonts w:hint="eastAsia" w:cs="Times New Roman"/>
          <w:kern w:val="2"/>
        </w:rPr>
        <w:t>2</w:t>
      </w:r>
      <w:r>
        <w:rPr>
          <w:rFonts w:cs="Times New Roman"/>
          <w:kern w:val="2"/>
        </w:rPr>
        <w:t>000t/d规模的航天炉</w:t>
      </w:r>
      <w:r>
        <w:rPr>
          <w:rFonts w:hint="eastAsia" w:cs="Times New Roman"/>
          <w:kern w:val="2"/>
        </w:rPr>
        <w:t>1</w:t>
      </w:r>
      <w:r>
        <w:rPr>
          <w:rFonts w:cs="Times New Roman"/>
          <w:kern w:val="2"/>
        </w:rPr>
        <w:t>台。</w:t>
      </w:r>
    </w:p>
    <w:bookmarkEnd w:id="107"/>
    <w:p w14:paraId="20E7A7BD">
      <w:pPr>
        <w:pStyle w:val="98"/>
        <w:rPr>
          <w:rFonts w:hint="eastAsia"/>
        </w:rPr>
      </w:pPr>
      <w:r>
        <w:t>原料供应及</w:t>
      </w:r>
      <w:r>
        <w:rPr>
          <w:rFonts w:hint="eastAsia"/>
        </w:rPr>
        <w:t>公用工程消耗</w:t>
      </w:r>
    </w:p>
    <w:p w14:paraId="721ACE0E">
      <w:pPr>
        <w:pStyle w:val="281"/>
        <w:ind w:firstLine="480"/>
      </w:pPr>
      <w:r>
        <w:rPr>
          <w:rFonts w:hint="eastAsia"/>
        </w:rPr>
        <w:t>煤气化装置主要原辅材料及能耗见表3</w:t>
      </w:r>
      <w:r>
        <w:t>.2.2-</w:t>
      </w:r>
      <w:r>
        <w:rPr>
          <w:rFonts w:hint="eastAsia"/>
        </w:rPr>
        <w:t>1；</w:t>
      </w:r>
    </w:p>
    <w:p w14:paraId="095FEB78">
      <w:pPr>
        <w:pStyle w:val="541"/>
        <w:rPr>
          <w:rFonts w:hint="eastAsia"/>
        </w:rPr>
      </w:pPr>
      <w:bookmarkStart w:id="108" w:name="_Hlk150626889"/>
      <w:r>
        <w:rPr>
          <w:rFonts w:hint="eastAsia"/>
        </w:rPr>
        <w:t>表3.2.</w:t>
      </w:r>
      <w:r>
        <w:t>2</w:t>
      </w:r>
      <w:r>
        <w:rPr>
          <w:rFonts w:hint="eastAsia"/>
        </w:rPr>
        <w:t>-1</w:t>
      </w:r>
      <w:r>
        <w:t xml:space="preserve">    </w:t>
      </w:r>
      <w:r>
        <w:rPr>
          <w:rFonts w:hint="eastAsia"/>
        </w:rPr>
        <w:t>煤气化装置原辅材料及能耗表</w:t>
      </w:r>
    </w:p>
    <w:bookmarkEnd w:id="108"/>
    <w:p w14:paraId="3FD92227">
      <w:pPr>
        <w:pStyle w:val="98"/>
        <w:rPr>
          <w:rFonts w:hint="eastAsia"/>
        </w:rPr>
      </w:pPr>
      <w:r>
        <w:t>产品方案</w:t>
      </w:r>
    </w:p>
    <w:p w14:paraId="07FFF78E">
      <w:pPr>
        <w:pStyle w:val="281"/>
        <w:ind w:firstLine="480"/>
      </w:pPr>
      <w:bookmarkStart w:id="109" w:name="_Hlk98255682"/>
      <w:r>
        <w:rPr>
          <w:rFonts w:hint="eastAsia"/>
        </w:rPr>
        <w:t>煤气化装置</w:t>
      </w:r>
      <w:r>
        <w:t>主要产品为</w:t>
      </w:r>
      <w:r>
        <w:rPr>
          <w:rFonts w:hint="eastAsia" w:ascii="宋体" w:hAnsi="宋体"/>
        </w:rPr>
        <w:t>粗煤气</w:t>
      </w:r>
      <w:r>
        <w:t>。产品方案见表3.2.2-</w:t>
      </w:r>
      <w:r>
        <w:rPr>
          <w:rFonts w:hint="eastAsia"/>
        </w:rPr>
        <w:t>2。</w:t>
      </w:r>
    </w:p>
    <w:p w14:paraId="01C8BDB5">
      <w:pPr>
        <w:pStyle w:val="541"/>
        <w:rPr>
          <w:rFonts w:hint="eastAsia" w:eastAsia="宋体"/>
        </w:rPr>
      </w:pPr>
      <w:r>
        <w:rPr>
          <w:rFonts w:hint="eastAsia"/>
        </w:rPr>
        <w:t>表3.2.</w:t>
      </w:r>
      <w:r>
        <w:t>2</w:t>
      </w:r>
      <w:r>
        <w:rPr>
          <w:rFonts w:hint="eastAsia"/>
        </w:rPr>
        <w:t>-2    煤气化装置产品方案表</w:t>
      </w:r>
    </w:p>
    <w:p w14:paraId="0D22884C">
      <w:pPr>
        <w:pStyle w:val="281"/>
        <w:ind w:firstLine="480"/>
      </w:pPr>
      <w:r>
        <w:rPr>
          <w:rFonts w:hint="eastAsia"/>
          <w:szCs w:val="18"/>
        </w:rPr>
        <w:t>根据设计单位提供资料，粗煤气</w:t>
      </w:r>
      <w:r>
        <w:t>组分见表3.2.2-</w:t>
      </w:r>
      <w:r>
        <w:rPr>
          <w:rFonts w:hint="eastAsia"/>
        </w:rPr>
        <w:t>3。</w:t>
      </w:r>
    </w:p>
    <w:p w14:paraId="00D3804A">
      <w:pPr>
        <w:pStyle w:val="541"/>
        <w:rPr>
          <w:rFonts w:hint="eastAsia"/>
        </w:rPr>
      </w:pPr>
      <w:r>
        <w:rPr>
          <w:rFonts w:hint="eastAsia"/>
        </w:rPr>
        <w:t>表3.2.</w:t>
      </w:r>
      <w:r>
        <w:t>2</w:t>
      </w:r>
      <w:r>
        <w:rPr>
          <w:rFonts w:hint="eastAsia"/>
        </w:rPr>
        <w:t>-3</w:t>
      </w:r>
      <w:r>
        <w:t xml:space="preserve">    </w:t>
      </w:r>
      <w:r>
        <w:rPr>
          <w:rFonts w:hint="eastAsia"/>
        </w:rPr>
        <w:t>粗煤气</w:t>
      </w:r>
      <w:r>
        <w:rPr>
          <w:rFonts w:hint="eastAsia"/>
          <w:u w:color="000000"/>
        </w:rPr>
        <w:t>组分一览表</w:t>
      </w:r>
    </w:p>
    <w:bookmarkEnd w:id="109"/>
    <w:p w14:paraId="4CED5597">
      <w:pPr>
        <w:pStyle w:val="98"/>
        <w:rPr>
          <w:rFonts w:hint="eastAsia"/>
        </w:rPr>
      </w:pPr>
      <w:bookmarkStart w:id="110" w:name="_Hlk150213791"/>
      <w:r>
        <w:t>工艺流程及产</w:t>
      </w:r>
      <w:r>
        <w:rPr>
          <w:rFonts w:hint="eastAsia"/>
        </w:rPr>
        <w:t>污</w:t>
      </w:r>
      <w:r>
        <w:t>环节</w:t>
      </w:r>
    </w:p>
    <w:p w14:paraId="47F94DB6">
      <w:pPr>
        <w:pStyle w:val="814"/>
        <w:rPr>
          <w:rFonts w:hint="eastAsia"/>
        </w:rPr>
      </w:pPr>
      <w:r>
        <w:rPr>
          <w:rFonts w:hint="eastAsia"/>
        </w:rPr>
        <w:t>工艺流程</w:t>
      </w:r>
    </w:p>
    <w:p w14:paraId="422724F2">
      <w:pPr>
        <w:pStyle w:val="281"/>
        <w:ind w:firstLine="480"/>
        <w:rPr>
          <w:rFonts w:cs="Times New Roman"/>
        </w:rPr>
      </w:pPr>
      <w:r>
        <w:rPr>
          <w:rFonts w:cs="Times New Roman"/>
        </w:rPr>
        <w:t>在本项目中，煤气化装置的任务是利用粉煤在气化炉内与氧气和蒸汽发生部分氧化反应，制备以一氧化碳和氢气为主要成分的粗</w:t>
      </w:r>
      <w:r>
        <w:rPr>
          <w:rFonts w:hint="eastAsia" w:cs="Times New Roman"/>
        </w:rPr>
        <w:t>煤</w:t>
      </w:r>
      <w:r>
        <w:rPr>
          <w:rFonts w:cs="Times New Roman"/>
        </w:rPr>
        <w:t>气，供下游装置使用。</w:t>
      </w:r>
    </w:p>
    <w:p w14:paraId="72C12BFB">
      <w:pPr>
        <w:pStyle w:val="281"/>
        <w:ind w:firstLine="480"/>
        <w:rPr>
          <w:rFonts w:cs="Times New Roman"/>
        </w:rPr>
      </w:pPr>
      <w:r>
        <w:rPr>
          <w:rFonts w:cs="Times New Roman"/>
        </w:rPr>
        <w:t>本项目煤气化装置采用的工艺技术为中国航天科技集团公司北京航天万源煤化工工程技术有限公司的全激冷HT-L粉煤加压气化技术，在气化压力6.0MPaG，气化温度约1400℃的条件下将煤粉转化为粗</w:t>
      </w:r>
      <w:r>
        <w:rPr>
          <w:rFonts w:hint="eastAsia" w:cs="Times New Roman"/>
        </w:rPr>
        <w:t>煤</w:t>
      </w:r>
      <w:r>
        <w:rPr>
          <w:rFonts w:cs="Times New Roman"/>
        </w:rPr>
        <w:t>气</w:t>
      </w:r>
      <w:r>
        <w:rPr>
          <w:rFonts w:hint="eastAsia" w:cs="Times New Roman"/>
        </w:rPr>
        <w:t>（粗合成气）</w:t>
      </w:r>
      <w:r>
        <w:rPr>
          <w:rFonts w:cs="Times New Roman"/>
        </w:rPr>
        <w:t>，采用下行水激冷流程冷却</w:t>
      </w:r>
      <w:r>
        <w:rPr>
          <w:rFonts w:hint="eastAsia" w:cs="Times New Roman"/>
        </w:rPr>
        <w:t>煤气</w:t>
      </w:r>
      <w:r>
        <w:rPr>
          <w:rFonts w:cs="Times New Roman"/>
        </w:rPr>
        <w:t>。被</w:t>
      </w:r>
      <w:r>
        <w:rPr>
          <w:rFonts w:hint="eastAsia" w:cs="Times New Roman"/>
        </w:rPr>
        <w:t>水蒸气</w:t>
      </w:r>
      <w:r>
        <w:rPr>
          <w:rFonts w:cs="Times New Roman"/>
        </w:rPr>
        <w:t>饱和的</w:t>
      </w:r>
      <w:r>
        <w:rPr>
          <w:rFonts w:hint="eastAsia" w:cs="Times New Roman"/>
        </w:rPr>
        <w:t>粗煤气</w:t>
      </w:r>
      <w:r>
        <w:rPr>
          <w:rFonts w:cs="Times New Roman"/>
        </w:rPr>
        <w:t>作为</w:t>
      </w:r>
      <w:r>
        <w:rPr>
          <w:rFonts w:hint="eastAsia" w:cs="Times New Roman"/>
        </w:rPr>
        <w:t>后续</w:t>
      </w:r>
      <w:r>
        <w:rPr>
          <w:rFonts w:cs="Times New Roman"/>
        </w:rPr>
        <w:t>装置的原料气。</w:t>
      </w:r>
    </w:p>
    <w:p w14:paraId="77C134BD">
      <w:pPr>
        <w:pStyle w:val="281"/>
        <w:ind w:firstLine="480"/>
        <w:rPr>
          <w:rFonts w:cs="Times New Roman"/>
        </w:rPr>
      </w:pPr>
      <w:r>
        <w:rPr>
          <w:rFonts w:cs="Times New Roman"/>
        </w:rPr>
        <w:t>煤气化装置有效气（CO+H</w:t>
      </w:r>
      <w:r>
        <w:rPr>
          <w:rFonts w:cs="Times New Roman"/>
          <w:vertAlign w:val="subscript"/>
        </w:rPr>
        <w:t>2</w:t>
      </w:r>
      <w:r>
        <w:rPr>
          <w:rFonts w:cs="Times New Roman"/>
        </w:rPr>
        <w:t>）设计生产能力为</w:t>
      </w:r>
      <w:r>
        <w:rPr>
          <w:rFonts w:hint="eastAsia" w:cs="Times New Roman"/>
        </w:rPr>
        <w:t>71930</w:t>
      </w:r>
      <w:r>
        <w:rPr>
          <w:rFonts w:cs="Times New Roman"/>
        </w:rPr>
        <w:t>Nm</w:t>
      </w:r>
      <w:r>
        <w:rPr>
          <w:rFonts w:cs="Times New Roman"/>
          <w:vertAlign w:val="superscript"/>
        </w:rPr>
        <w:t>3</w:t>
      </w:r>
      <w:r>
        <w:rPr>
          <w:rFonts w:cs="Times New Roman"/>
        </w:rPr>
        <w:t>/h。HT-L粉煤加压气化工艺流程简述如下：</w:t>
      </w:r>
    </w:p>
    <w:p w14:paraId="4A1140E7">
      <w:pPr>
        <w:pStyle w:val="281"/>
        <w:ind w:firstLine="480"/>
        <w:rPr>
          <w:rFonts w:cs="Times New Roman"/>
        </w:rPr>
      </w:pPr>
      <w:r>
        <w:rPr>
          <w:rFonts w:cs="Times New Roman"/>
        </w:rPr>
        <w:t>（1）磨煤及干燥单元</w:t>
      </w:r>
    </w:p>
    <w:p w14:paraId="12F3BCB5">
      <w:pPr>
        <w:pStyle w:val="281"/>
        <w:ind w:firstLine="480"/>
        <w:rPr>
          <w:rFonts w:cs="Times New Roman"/>
        </w:rPr>
      </w:pPr>
      <w:r>
        <w:rPr>
          <w:rFonts w:hint="eastAsia" w:cs="Times New Roman"/>
        </w:rPr>
        <w:t>以下部分涉密。</w:t>
      </w:r>
    </w:p>
    <w:p w14:paraId="2B9B169D">
      <w:pPr>
        <w:pStyle w:val="281"/>
        <w:ind w:firstLine="480"/>
        <w:rPr>
          <w:rFonts w:cs="Times New Roman"/>
        </w:rPr>
      </w:pPr>
      <w:r>
        <w:rPr>
          <w:rFonts w:cs="Times New Roman"/>
        </w:rPr>
        <w:t>（2）煤加压及进煤单元</w:t>
      </w:r>
    </w:p>
    <w:p w14:paraId="77BF5AFA">
      <w:pPr>
        <w:pStyle w:val="281"/>
        <w:ind w:firstLine="480"/>
        <w:rPr>
          <w:rFonts w:cs="Times New Roman"/>
        </w:rPr>
      </w:pPr>
      <w:r>
        <w:rPr>
          <w:rFonts w:hint="eastAsia" w:cs="Times New Roman"/>
        </w:rPr>
        <w:t>以下部分涉密。</w:t>
      </w:r>
    </w:p>
    <w:p w14:paraId="03120FC7">
      <w:pPr>
        <w:pStyle w:val="281"/>
        <w:ind w:firstLine="480"/>
        <w:rPr>
          <w:rFonts w:cs="Times New Roman"/>
        </w:rPr>
      </w:pPr>
      <w:r>
        <w:rPr>
          <w:rFonts w:cs="Times New Roman"/>
        </w:rPr>
        <w:t>（3）气化及合成气洗涤单元</w:t>
      </w:r>
    </w:p>
    <w:p w14:paraId="66F3E895">
      <w:pPr>
        <w:pStyle w:val="281"/>
        <w:ind w:firstLine="480"/>
        <w:rPr>
          <w:rFonts w:cs="Times New Roman"/>
        </w:rPr>
      </w:pPr>
      <w:r>
        <w:rPr>
          <w:rFonts w:hint="eastAsia" w:cs="Times New Roman"/>
        </w:rPr>
        <w:t>以下部分涉密。</w:t>
      </w:r>
    </w:p>
    <w:p w14:paraId="362E8B2D">
      <w:pPr>
        <w:pStyle w:val="281"/>
        <w:ind w:firstLine="480"/>
        <w:rPr>
          <w:rFonts w:cs="Times New Roman"/>
        </w:rPr>
      </w:pPr>
      <w:r>
        <w:rPr>
          <w:rFonts w:cs="Times New Roman"/>
        </w:rPr>
        <w:t>（4）渣及灰水处理单元</w:t>
      </w:r>
    </w:p>
    <w:p w14:paraId="329E0F2C">
      <w:pPr>
        <w:pStyle w:val="281"/>
        <w:ind w:firstLine="480"/>
        <w:rPr>
          <w:rFonts w:cs="Times New Roman"/>
        </w:rPr>
      </w:pPr>
      <w:r>
        <w:rPr>
          <w:rFonts w:hint="eastAsia" w:cs="Times New Roman"/>
        </w:rPr>
        <w:t>以下部分涉密。</w:t>
      </w:r>
    </w:p>
    <w:p w14:paraId="74B8CBF2">
      <w:pPr>
        <w:pStyle w:val="281"/>
        <w:ind w:firstLine="480"/>
        <w:rPr>
          <w:rFonts w:cs="Times New Roman"/>
        </w:rPr>
      </w:pPr>
      <w:r>
        <w:rPr>
          <w:rFonts w:cs="Times New Roman"/>
        </w:rPr>
        <w:t>（5）气化公用工程</w:t>
      </w:r>
    </w:p>
    <w:bookmarkEnd w:id="110"/>
    <w:p w14:paraId="7074EF42">
      <w:pPr>
        <w:pStyle w:val="281"/>
        <w:ind w:firstLine="480"/>
        <w:rPr>
          <w:rFonts w:cs="Times New Roman"/>
        </w:rPr>
      </w:pPr>
      <w:r>
        <w:rPr>
          <w:rFonts w:hint="eastAsia" w:cs="Times New Roman"/>
        </w:rPr>
        <w:t>以下部分涉密。</w:t>
      </w:r>
    </w:p>
    <w:p w14:paraId="510BA9FE">
      <w:pPr>
        <w:pStyle w:val="281"/>
        <w:ind w:firstLine="480"/>
        <w:rPr>
          <w:rFonts w:cs="Times New Roman"/>
        </w:rPr>
      </w:pPr>
      <w:r>
        <w:rPr>
          <w:rFonts w:hint="eastAsia" w:cs="Times New Roman"/>
        </w:rPr>
        <w:t>装置中所用的新鲜水、除盐水、工厂空气、仪表空气、化学品等由全厂公用工程系统和空分装置统一供给。</w:t>
      </w:r>
      <w:r>
        <w:rPr>
          <w:rFonts w:cs="Times New Roman"/>
        </w:rPr>
        <w:t>工艺流程见图3.2.2-1</w:t>
      </w:r>
      <w:r>
        <w:rPr>
          <w:rFonts w:hint="eastAsia" w:cs="Times New Roman"/>
        </w:rPr>
        <w:t>，产污节点图见图3.2.2-2</w:t>
      </w:r>
      <w:r>
        <w:rPr>
          <w:rFonts w:cs="Times New Roman"/>
        </w:rPr>
        <w:t>。</w:t>
      </w:r>
    </w:p>
    <w:p w14:paraId="47854838">
      <w:pPr>
        <w:pStyle w:val="281"/>
        <w:ind w:firstLine="480"/>
        <w:sectPr>
          <w:pgSz w:w="11906" w:h="16838"/>
          <w:pgMar w:top="1440" w:right="1800" w:bottom="1440" w:left="1800" w:header="851" w:footer="850" w:gutter="0"/>
          <w:cols w:space="425" w:num="1"/>
          <w:docGrid w:type="lines" w:linePitch="326" w:charSpace="0"/>
        </w:sectPr>
      </w:pPr>
    </w:p>
    <w:p w14:paraId="5F30691A">
      <w:pPr>
        <w:jc w:val="center"/>
        <w:rPr>
          <w:rFonts w:hint="eastAsia"/>
        </w:rPr>
      </w:pPr>
    </w:p>
    <w:p w14:paraId="5F3D05B3">
      <w:pPr>
        <w:pStyle w:val="645"/>
        <w:rPr>
          <w:rFonts w:hint="eastAsia"/>
        </w:rPr>
      </w:pPr>
      <w:r>
        <w:rPr>
          <w:rFonts w:hint="eastAsia"/>
        </w:rPr>
        <w:t>图3.2</w:t>
      </w:r>
      <w:r>
        <w:t>.</w:t>
      </w:r>
      <w:r>
        <w:rPr>
          <w:rFonts w:hint="eastAsia"/>
        </w:rPr>
        <w:t>2-1</w:t>
      </w:r>
      <w:r>
        <w:t xml:space="preserve">    </w:t>
      </w:r>
      <w:r>
        <w:rPr>
          <w:rFonts w:hint="eastAsia"/>
        </w:rPr>
        <w:t>气化装置</w:t>
      </w:r>
      <w:r>
        <w:t>工艺流程图</w:t>
      </w:r>
    </w:p>
    <w:p w14:paraId="43109C83">
      <w:pPr>
        <w:ind w:firstLine="480" w:firstLineChars="200"/>
        <w:jc w:val="center"/>
        <w:rPr>
          <w:rFonts w:hint="eastAsia"/>
        </w:rPr>
        <w:sectPr>
          <w:pgSz w:w="16838" w:h="11906" w:orient="landscape"/>
          <w:pgMar w:top="1800" w:right="1440" w:bottom="1800" w:left="1440" w:header="851" w:footer="850" w:gutter="0"/>
          <w:cols w:space="425" w:num="1"/>
          <w:docGrid w:type="lines" w:linePitch="326" w:charSpace="0"/>
        </w:sectPr>
      </w:pPr>
    </w:p>
    <w:p w14:paraId="6F512A6C">
      <w:pPr>
        <w:jc w:val="both"/>
        <w:rPr>
          <w:rFonts w:hint="eastAsia"/>
        </w:rPr>
      </w:pPr>
    </w:p>
    <w:p w14:paraId="17D57376">
      <w:pPr>
        <w:pStyle w:val="645"/>
        <w:rPr>
          <w:rFonts w:hint="eastAsia"/>
        </w:rPr>
      </w:pPr>
      <w:r>
        <w:rPr>
          <w:rFonts w:hint="eastAsia"/>
        </w:rPr>
        <w:t>图3.2.2-2    气化装置工艺流程及产污节点图</w:t>
      </w:r>
    </w:p>
    <w:p w14:paraId="72BB4404">
      <w:pPr>
        <w:pStyle w:val="814"/>
        <w:rPr>
          <w:rFonts w:hint="eastAsia"/>
        </w:rPr>
      </w:pPr>
      <w:r>
        <w:rPr>
          <w:rFonts w:hint="eastAsia"/>
        </w:rPr>
        <w:t>产污环节</w:t>
      </w:r>
    </w:p>
    <w:p w14:paraId="152D389B">
      <w:pPr>
        <w:pStyle w:val="281"/>
        <w:ind w:firstLine="480"/>
      </w:pPr>
      <w:bookmarkStart w:id="111" w:name="_Hlk150627725"/>
      <w:r>
        <w:rPr>
          <w:rFonts w:hint="eastAsia"/>
        </w:rPr>
        <w:t>本项目</w:t>
      </w:r>
      <w:r>
        <w:rPr>
          <w:rFonts w:hint="eastAsia"/>
          <w:kern w:val="2"/>
        </w:rPr>
        <w:t>设置1台2</w:t>
      </w:r>
      <w:r>
        <w:rPr>
          <w:kern w:val="2"/>
        </w:rPr>
        <w:t>000t/d规模</w:t>
      </w:r>
      <w:r>
        <w:rPr>
          <w:rFonts w:hint="eastAsia"/>
          <w:kern w:val="2"/>
        </w:rPr>
        <w:t>的煤气化装置，产污环节具体见下表。</w:t>
      </w:r>
    </w:p>
    <w:p w14:paraId="02E13C33">
      <w:pPr>
        <w:pStyle w:val="541"/>
        <w:rPr>
          <w:rFonts w:hint="eastAsia"/>
        </w:rPr>
      </w:pPr>
      <w:bookmarkStart w:id="112" w:name="_Hlk177836736"/>
      <w:r>
        <w:rPr>
          <w:rFonts w:hint="eastAsia"/>
        </w:rPr>
        <w:t>表3.2.</w:t>
      </w:r>
      <w:r>
        <w:t>2</w:t>
      </w:r>
      <w:r>
        <w:rPr>
          <w:rFonts w:hint="eastAsia"/>
        </w:rPr>
        <w:t>-4</w:t>
      </w:r>
      <w:r>
        <w:t xml:space="preserve">    </w:t>
      </w:r>
      <w:r>
        <w:rPr>
          <w:rFonts w:hint="eastAsia"/>
        </w:rPr>
        <w:t>煤气化装置“三废”一览表</w:t>
      </w:r>
    </w:p>
    <w:bookmarkEnd w:id="111"/>
    <w:bookmarkEnd w:id="112"/>
    <w:p w14:paraId="15CF123F">
      <w:pPr>
        <w:rPr>
          <w:rFonts w:hint="eastAsia"/>
        </w:rPr>
      </w:pPr>
    </w:p>
    <w:p w14:paraId="43FBCAB0">
      <w:pPr>
        <w:pStyle w:val="98"/>
        <w:rPr>
          <w:rFonts w:hint="eastAsia"/>
        </w:rPr>
      </w:pPr>
      <w:r>
        <w:t>主要设备</w:t>
      </w:r>
    </w:p>
    <w:p w14:paraId="2D9B9D94">
      <w:pPr>
        <w:pStyle w:val="281"/>
        <w:ind w:firstLine="480"/>
        <w:rPr>
          <w:rFonts w:hint="eastAsia" w:ascii="宋体" w:hAnsi="宋体"/>
        </w:rPr>
      </w:pPr>
      <w:r>
        <w:rPr>
          <w:rFonts w:hint="eastAsia"/>
        </w:rPr>
        <w:t>本项目设置1套煤气化装置，</w:t>
      </w:r>
      <w:r>
        <w:rPr>
          <w:rFonts w:hint="eastAsia" w:ascii="宋体" w:hAnsi="宋体"/>
        </w:rPr>
        <w:t>煤气化装置主要</w:t>
      </w:r>
      <w:r>
        <w:rPr>
          <w:rFonts w:ascii="宋体" w:hAnsi="宋体"/>
        </w:rPr>
        <w:t>设备见下表</w:t>
      </w:r>
      <w:r>
        <w:rPr>
          <w:rFonts w:hint="eastAsia" w:ascii="宋体" w:hAnsi="宋体"/>
        </w:rPr>
        <w:t>：</w:t>
      </w:r>
    </w:p>
    <w:p w14:paraId="45F8EFDC">
      <w:pPr>
        <w:pStyle w:val="541"/>
        <w:rPr>
          <w:rFonts w:hint="eastAsia"/>
        </w:rPr>
      </w:pPr>
      <w:bookmarkStart w:id="113" w:name="_Hlk150626977"/>
      <w:r>
        <w:rPr>
          <w:rFonts w:hint="eastAsia"/>
        </w:rPr>
        <w:t>表3.2.</w:t>
      </w:r>
      <w:r>
        <w:t>2</w:t>
      </w:r>
      <w:r>
        <w:rPr>
          <w:rFonts w:hint="eastAsia"/>
        </w:rPr>
        <w:t>-</w:t>
      </w:r>
      <w:bookmarkEnd w:id="113"/>
      <w:r>
        <w:rPr>
          <w:rFonts w:hint="eastAsia"/>
        </w:rPr>
        <w:t>5</w:t>
      </w:r>
      <w:r>
        <w:t xml:space="preserve">    </w:t>
      </w:r>
      <w:r>
        <w:rPr>
          <w:rFonts w:hint="eastAsia"/>
        </w:rPr>
        <w:t>煤气化装置一览表</w:t>
      </w:r>
    </w:p>
    <w:p w14:paraId="7A16B47E">
      <w:pPr>
        <w:pStyle w:val="281"/>
        <w:ind w:firstLine="480"/>
        <w:rPr>
          <w:rFonts w:hint="eastAsia" w:ascii="宋体" w:hAnsi="宋体"/>
        </w:rPr>
      </w:pPr>
    </w:p>
    <w:p w14:paraId="5417435A">
      <w:pPr>
        <w:pStyle w:val="281"/>
        <w:ind w:firstLine="480"/>
        <w:rPr>
          <w:rFonts w:hint="eastAsia" w:ascii="宋体" w:hAnsi="宋体"/>
        </w:rPr>
      </w:pPr>
    </w:p>
    <w:p w14:paraId="1B7FBE05">
      <w:pPr>
        <w:pStyle w:val="98"/>
        <w:rPr>
          <w:rFonts w:hint="eastAsia"/>
        </w:rPr>
      </w:pPr>
      <w:r>
        <w:t>物料平衡</w:t>
      </w:r>
    </w:p>
    <w:p w14:paraId="0EA995FE">
      <w:pPr>
        <w:pStyle w:val="814"/>
        <w:rPr>
          <w:rFonts w:hint="eastAsia"/>
        </w:rPr>
      </w:pPr>
      <w:bookmarkStart w:id="114" w:name="_Hlk150215151"/>
      <w:r>
        <w:t>物料平衡</w:t>
      </w:r>
    </w:p>
    <w:p w14:paraId="1AEBF264">
      <w:pPr>
        <w:pStyle w:val="281"/>
        <w:ind w:firstLine="480"/>
      </w:pPr>
      <w:bookmarkStart w:id="115" w:name="_Hlk180229600"/>
      <w:r>
        <w:rPr>
          <w:rFonts w:hint="eastAsia"/>
        </w:rPr>
        <w:t>煤气化装置的物料平衡见</w:t>
      </w:r>
      <w:r>
        <w:rPr>
          <w:rFonts w:hint="eastAsia" w:ascii="宋体" w:hAnsi="宋体"/>
        </w:rPr>
        <w:t>图</w:t>
      </w:r>
      <w:r>
        <w:rPr>
          <w:rFonts w:hint="eastAsia"/>
        </w:rPr>
        <w:t>3.2.</w:t>
      </w:r>
      <w:r>
        <w:t>2</w:t>
      </w:r>
      <w:r>
        <w:rPr>
          <w:rFonts w:hint="eastAsia"/>
        </w:rPr>
        <w:t>-3、</w:t>
      </w:r>
      <w:r>
        <w:rPr>
          <w:rFonts w:hint="eastAsia" w:ascii="宋体" w:hAnsi="宋体"/>
        </w:rPr>
        <w:t>表</w:t>
      </w:r>
      <w:r>
        <w:rPr>
          <w:rFonts w:hint="eastAsia"/>
        </w:rPr>
        <w:t>3.2.</w:t>
      </w:r>
      <w:r>
        <w:t>2</w:t>
      </w:r>
      <w:r>
        <w:rPr>
          <w:rFonts w:hint="eastAsia"/>
        </w:rPr>
        <w:t>-6。</w:t>
      </w:r>
    </w:p>
    <w:p w14:paraId="68BE93E2">
      <w:pPr>
        <w:pStyle w:val="541"/>
        <w:rPr>
          <w:rFonts w:hint="eastAsia"/>
        </w:rPr>
      </w:pPr>
      <w:bookmarkStart w:id="116" w:name="_Hlk167296024"/>
      <w:bookmarkStart w:id="117" w:name="_Hlk176258114"/>
      <w:r>
        <w:rPr>
          <w:rFonts w:hint="eastAsia"/>
        </w:rPr>
        <w:t>表3.2.</w:t>
      </w:r>
      <w:r>
        <w:t>2</w:t>
      </w:r>
      <w:r>
        <w:rPr>
          <w:rFonts w:hint="eastAsia"/>
        </w:rPr>
        <w:t>-6</w:t>
      </w:r>
      <w:r>
        <w:t xml:space="preserve">   </w:t>
      </w:r>
      <w:r>
        <w:rPr>
          <w:rFonts w:hint="eastAsia"/>
        </w:rPr>
        <w:t xml:space="preserve"> 煤气化装置物料平衡表</w:t>
      </w:r>
    </w:p>
    <w:bookmarkEnd w:id="116"/>
    <w:p w14:paraId="723C2FB9">
      <w:pPr>
        <w:pStyle w:val="557"/>
        <w:sectPr>
          <w:pgSz w:w="11906" w:h="16838"/>
          <w:pgMar w:top="1440" w:right="1800" w:bottom="1440" w:left="1800" w:header="851" w:footer="992" w:gutter="0"/>
          <w:cols w:space="720" w:num="1"/>
          <w:docGrid w:type="lines" w:linePitch="312" w:charSpace="0"/>
        </w:sectPr>
      </w:pPr>
    </w:p>
    <w:p w14:paraId="09FFB842">
      <w:pPr>
        <w:pStyle w:val="535"/>
        <w:rPr>
          <w:rFonts w:hint="eastAsia" w:ascii="宋体" w:hAnsi="宋体"/>
          <w:color w:val="auto"/>
        </w:rPr>
      </w:pPr>
    </w:p>
    <w:p w14:paraId="324C6CC2">
      <w:pPr>
        <w:pStyle w:val="535"/>
        <w:rPr>
          <w:rFonts w:hint="eastAsia"/>
          <w:color w:val="FF0000"/>
        </w:rPr>
      </w:pPr>
      <w:r>
        <w:rPr>
          <w:rFonts w:hint="eastAsia" w:ascii="宋体" w:hAnsi="宋体"/>
          <w:color w:val="auto"/>
        </w:rPr>
        <w:t>图3.2.2-3    煤气化装置物料平衡图（单位：kg/h）</w:t>
      </w:r>
    </w:p>
    <w:p w14:paraId="38F50B78">
      <w:pPr>
        <w:pStyle w:val="557"/>
        <w:sectPr>
          <w:pgSz w:w="16838" w:h="11906" w:orient="landscape"/>
          <w:pgMar w:top="1800" w:right="1440" w:bottom="1800" w:left="1440" w:header="851" w:footer="992" w:gutter="0"/>
          <w:cols w:space="720" w:num="1"/>
          <w:docGrid w:type="lines" w:linePitch="312" w:charSpace="0"/>
        </w:sectPr>
      </w:pPr>
    </w:p>
    <w:p w14:paraId="2BC5CEE4">
      <w:pPr>
        <w:pStyle w:val="814"/>
        <w:rPr>
          <w:rFonts w:hint="eastAsia"/>
        </w:rPr>
      </w:pPr>
      <w:r>
        <w:rPr>
          <w:rFonts w:hint="eastAsia"/>
        </w:rPr>
        <w:t>水</w:t>
      </w:r>
      <w:r>
        <w:t>平衡</w:t>
      </w:r>
    </w:p>
    <w:p w14:paraId="5E9EC191">
      <w:pPr>
        <w:pStyle w:val="281"/>
        <w:ind w:firstLine="480"/>
      </w:pPr>
      <w:bookmarkStart w:id="118" w:name="_Hlk167296030"/>
      <w:r>
        <w:rPr>
          <w:rFonts w:hint="eastAsia"/>
        </w:rPr>
        <w:t>煤气化装置水平衡见表3</w:t>
      </w:r>
      <w:r>
        <w:t>.2.2-</w:t>
      </w:r>
      <w:r>
        <w:rPr>
          <w:rFonts w:hint="eastAsia"/>
        </w:rPr>
        <w:t>7。</w:t>
      </w:r>
    </w:p>
    <w:p w14:paraId="0B74AF1F">
      <w:pPr>
        <w:pStyle w:val="535"/>
        <w:rPr>
          <w:rFonts w:hint="eastAsia"/>
        </w:rPr>
      </w:pPr>
      <w:r>
        <w:rPr>
          <w:rFonts w:hint="eastAsia"/>
        </w:rPr>
        <w:t>表3.2.2-7     煤气化装置水平衡表</w:t>
      </w:r>
    </w:p>
    <w:bookmarkEnd w:id="118"/>
    <w:p w14:paraId="166EEAC4">
      <w:pPr>
        <w:pStyle w:val="557"/>
      </w:pPr>
    </w:p>
    <w:p w14:paraId="38312504">
      <w:pPr>
        <w:pStyle w:val="814"/>
        <w:rPr>
          <w:rFonts w:hint="eastAsia"/>
        </w:rPr>
      </w:pPr>
      <w:r>
        <w:rPr>
          <w:rFonts w:hint="eastAsia"/>
        </w:rPr>
        <w:t>硫</w:t>
      </w:r>
      <w:r>
        <w:t>平衡</w:t>
      </w:r>
    </w:p>
    <w:p w14:paraId="5065CCB0">
      <w:pPr>
        <w:pStyle w:val="281"/>
        <w:ind w:firstLine="480"/>
      </w:pPr>
      <w:r>
        <w:rPr>
          <w:rFonts w:hint="eastAsia"/>
        </w:rPr>
        <w:t>煤气化装置硫平衡见表3</w:t>
      </w:r>
      <w:r>
        <w:t>.2.2-</w:t>
      </w:r>
      <w:r>
        <w:rPr>
          <w:rFonts w:hint="eastAsia"/>
        </w:rPr>
        <w:t>8。</w:t>
      </w:r>
    </w:p>
    <w:p w14:paraId="6C6A6BA7">
      <w:pPr>
        <w:pStyle w:val="541"/>
        <w:rPr>
          <w:rFonts w:hint="eastAsia"/>
        </w:rPr>
      </w:pPr>
      <w:bookmarkStart w:id="119" w:name="_Hlk167296036"/>
      <w:r>
        <w:rPr>
          <w:rFonts w:hint="eastAsia"/>
        </w:rPr>
        <w:t>表3.2.</w:t>
      </w:r>
      <w:r>
        <w:t>2</w:t>
      </w:r>
      <w:r>
        <w:rPr>
          <w:rFonts w:hint="eastAsia"/>
        </w:rPr>
        <w:t xml:space="preserve">-8 </w:t>
      </w:r>
      <w:r>
        <w:t xml:space="preserve">   </w:t>
      </w:r>
      <w:r>
        <w:rPr>
          <w:rFonts w:hint="eastAsia"/>
        </w:rPr>
        <w:t>煤气化装置硫平衡表</w:t>
      </w:r>
    </w:p>
    <w:bookmarkEnd w:id="119"/>
    <w:p w14:paraId="49B0DF34">
      <w:pPr>
        <w:pStyle w:val="557"/>
      </w:pPr>
    </w:p>
    <w:p w14:paraId="216F9958">
      <w:pPr>
        <w:pStyle w:val="814"/>
        <w:rPr>
          <w:rFonts w:hint="eastAsia"/>
        </w:rPr>
      </w:pPr>
      <w:r>
        <w:rPr>
          <w:rFonts w:hint="eastAsia"/>
        </w:rPr>
        <w:t>碳</w:t>
      </w:r>
      <w:r>
        <w:t>平衡</w:t>
      </w:r>
    </w:p>
    <w:p w14:paraId="515A9B6F">
      <w:pPr>
        <w:pStyle w:val="281"/>
        <w:ind w:firstLine="480"/>
      </w:pPr>
      <w:r>
        <w:rPr>
          <w:rFonts w:hint="eastAsia"/>
        </w:rPr>
        <w:t>煤气化装置碳平衡见表3</w:t>
      </w:r>
      <w:r>
        <w:t>.2.2-</w:t>
      </w:r>
      <w:r>
        <w:rPr>
          <w:rFonts w:hint="eastAsia"/>
        </w:rPr>
        <w:t>9。</w:t>
      </w:r>
    </w:p>
    <w:p w14:paraId="1C09E2B1">
      <w:pPr>
        <w:pStyle w:val="541"/>
        <w:rPr>
          <w:rFonts w:hint="eastAsia"/>
        </w:rPr>
      </w:pPr>
      <w:bookmarkStart w:id="120" w:name="_Hlk167296045"/>
      <w:r>
        <w:rPr>
          <w:rFonts w:hint="eastAsia"/>
        </w:rPr>
        <w:t>表3.2.</w:t>
      </w:r>
      <w:r>
        <w:t>2</w:t>
      </w:r>
      <w:r>
        <w:rPr>
          <w:rFonts w:hint="eastAsia"/>
        </w:rPr>
        <w:t xml:space="preserve">-9 </w:t>
      </w:r>
      <w:r>
        <w:t xml:space="preserve">   </w:t>
      </w:r>
      <w:r>
        <w:rPr>
          <w:rFonts w:hint="eastAsia"/>
        </w:rPr>
        <w:t>煤气化装置碳平衡表</w:t>
      </w:r>
    </w:p>
    <w:bookmarkEnd w:id="115"/>
    <w:bookmarkEnd w:id="117"/>
    <w:bookmarkEnd w:id="120"/>
    <w:p w14:paraId="424A7352">
      <w:pPr>
        <w:pStyle w:val="557"/>
        <w:sectPr>
          <w:pgSz w:w="11906" w:h="16838"/>
          <w:pgMar w:top="1440" w:right="1800" w:bottom="1440" w:left="1800" w:header="851" w:footer="992" w:gutter="0"/>
          <w:cols w:space="720" w:num="1"/>
          <w:docGrid w:type="lines" w:linePitch="312" w:charSpace="0"/>
        </w:sectPr>
      </w:pPr>
    </w:p>
    <w:bookmarkEnd w:id="114"/>
    <w:p w14:paraId="3D36F485">
      <w:pPr>
        <w:pStyle w:val="98"/>
        <w:rPr>
          <w:rFonts w:hint="eastAsia"/>
        </w:rPr>
      </w:pPr>
      <w:bookmarkStart w:id="121" w:name="_Hlk150647157"/>
      <w:r>
        <w:t>污染</w:t>
      </w:r>
      <w:r>
        <w:rPr>
          <w:rFonts w:hint="eastAsia"/>
        </w:rPr>
        <w:t>物</w:t>
      </w:r>
      <w:r>
        <w:t>源强核算</w:t>
      </w:r>
    </w:p>
    <w:p w14:paraId="004F6318">
      <w:pPr>
        <w:pStyle w:val="814"/>
        <w:rPr>
          <w:rFonts w:hint="eastAsia"/>
        </w:rPr>
      </w:pPr>
      <w:r>
        <w:rPr>
          <w:rFonts w:hint="eastAsia"/>
        </w:rPr>
        <w:t>废气</w:t>
      </w:r>
    </w:p>
    <w:p w14:paraId="00993BDB">
      <w:pPr>
        <w:pStyle w:val="281"/>
        <w:ind w:firstLine="480"/>
        <w:rPr>
          <w:rFonts w:cs="Times New Roman"/>
          <w:u w:color="000000"/>
        </w:rPr>
      </w:pPr>
      <w:r>
        <w:rPr>
          <w:rFonts w:cs="Times New Roman"/>
          <w:u w:color="000000"/>
        </w:rPr>
        <w:t>（1）原料煤仓废气（G</w:t>
      </w:r>
      <w:r>
        <w:rPr>
          <w:rFonts w:cs="Times New Roman"/>
          <w:u w:color="000000"/>
          <w:vertAlign w:val="subscript"/>
        </w:rPr>
        <w:t>1-1</w:t>
      </w:r>
      <w:r>
        <w:rPr>
          <w:rFonts w:cs="Times New Roman"/>
          <w:u w:color="000000"/>
        </w:rPr>
        <w:t>）</w:t>
      </w:r>
    </w:p>
    <w:p w14:paraId="1199F384">
      <w:pPr>
        <w:pStyle w:val="626"/>
        <w:ind w:firstLine="480"/>
        <w:rPr>
          <w:rFonts w:ascii="Times New Roman" w:hAnsi="Times New Roman" w:eastAsia="宋体" w:cs="Times New Roman"/>
          <w:szCs w:val="24"/>
        </w:rPr>
      </w:pPr>
      <w:r>
        <w:rPr>
          <w:rFonts w:ascii="Times New Roman" w:hAnsi="Times New Roman" w:eastAsia="宋体" w:cs="Times New Roman"/>
          <w:u w:color="000000"/>
        </w:rPr>
        <w:t>煤气化装置设置1个原料煤仓</w:t>
      </w:r>
      <w:r>
        <w:rPr>
          <w:rFonts w:ascii="Times New Roman" w:hAnsi="Times New Roman" w:eastAsia="宋体" w:cs="Times New Roman"/>
        </w:rPr>
        <w:t>，</w:t>
      </w:r>
      <w:r>
        <w:rPr>
          <w:rFonts w:hint="eastAsia" w:ascii="Times New Roman" w:hAnsi="Times New Roman" w:eastAsia="宋体" w:cs="Times New Roman"/>
        </w:rPr>
        <w:t>煤仓</w:t>
      </w:r>
      <w:r>
        <w:rPr>
          <w:rFonts w:ascii="Times New Roman" w:hAnsi="Times New Roman" w:eastAsia="宋体" w:cs="Times New Roman"/>
        </w:rPr>
        <w:t>粉尘源强</w:t>
      </w:r>
      <w:r>
        <w:rPr>
          <w:rFonts w:ascii="Times New Roman" w:hAnsi="Times New Roman" w:eastAsia="宋体" w:cs="Times New Roman"/>
          <w:szCs w:val="24"/>
        </w:rPr>
        <w:t>类比《新疆新昊化工有限公司资源清洁利用绿色低碳多联产项目</w:t>
      </w:r>
      <w:r>
        <w:rPr>
          <w:rFonts w:hint="eastAsia" w:ascii="Times New Roman" w:hAnsi="Times New Roman" w:eastAsia="宋体" w:cs="Times New Roman"/>
          <w:szCs w:val="24"/>
        </w:rPr>
        <w:t>环境影响报告书</w:t>
      </w:r>
      <w:r>
        <w:rPr>
          <w:rFonts w:hint="eastAsia" w:ascii="Times New Roman" w:hAnsi="Times New Roman" w:eastAsia="宋体" w:cs="Times New Roman"/>
        </w:rPr>
        <w:t>》（本项目气化装置与其气化装置单台装置工艺及规模相同），</w:t>
      </w:r>
      <w:r>
        <w:rPr>
          <w:rFonts w:ascii="Times New Roman" w:hAnsi="Times New Roman" w:eastAsia="宋体" w:cs="Times New Roman"/>
        </w:rPr>
        <w:t>布袋除尘器的效率参照</w:t>
      </w:r>
      <w:r>
        <w:rPr>
          <w:rFonts w:ascii="Times New Roman" w:hAnsi="Times New Roman" w:eastAsia="宋体" w:cs="Times New Roman"/>
          <w:szCs w:val="24"/>
        </w:rPr>
        <w:t>《污染源源强核算技术指南火电》（HJ888-2018）附录B中表B.1废气除尘技术及效果。</w:t>
      </w:r>
    </w:p>
    <w:p w14:paraId="5A1FBE38">
      <w:pPr>
        <w:pStyle w:val="643"/>
        <w:rPr>
          <w:rFonts w:ascii="Times New Roman" w:hAnsi="Times New Roman" w:cs="Times New Roman"/>
        </w:rPr>
      </w:pPr>
      <w:r>
        <w:rPr>
          <w:rFonts w:ascii="Times New Roman" w:hAnsi="Times New Roman" w:cs="Times New Roman"/>
          <w:u w:color="000000"/>
        </w:rPr>
        <w:t>原料煤仓</w:t>
      </w:r>
      <w:r>
        <w:rPr>
          <w:rFonts w:ascii="Times New Roman" w:hAnsi="Times New Roman" w:cs="Times New Roman"/>
        </w:rPr>
        <w:t>废气产排情况见表3.2.2-</w:t>
      </w:r>
      <w:r>
        <w:rPr>
          <w:rFonts w:hint="eastAsia" w:ascii="Times New Roman" w:hAnsi="Times New Roman" w:cs="Times New Roman"/>
        </w:rPr>
        <w:t>10</w:t>
      </w:r>
      <w:r>
        <w:rPr>
          <w:rFonts w:ascii="Times New Roman" w:hAnsi="Times New Roman" w:cs="Times New Roman"/>
        </w:rPr>
        <w:t>。</w:t>
      </w:r>
    </w:p>
    <w:p w14:paraId="0ED15066">
      <w:pPr>
        <w:pStyle w:val="645"/>
        <w:rPr>
          <w:rFonts w:hint="eastAsia"/>
        </w:rPr>
      </w:pPr>
      <w:r>
        <w:rPr>
          <w:rFonts w:hint="eastAsia"/>
        </w:rPr>
        <w:t>表</w:t>
      </w:r>
      <w:r>
        <w:t>3.2.2-</w:t>
      </w:r>
      <w:r>
        <w:rPr>
          <w:rFonts w:hint="eastAsia"/>
        </w:rPr>
        <w:t>10</w:t>
      </w:r>
      <w:r>
        <w:t xml:space="preserve">    </w:t>
      </w:r>
      <w:r>
        <w:rPr>
          <w:rFonts w:hint="eastAsia"/>
          <w:u w:color="000000"/>
        </w:rPr>
        <w:t>原料</w:t>
      </w:r>
      <w:r>
        <w:rPr>
          <w:rFonts w:hint="eastAsia"/>
        </w:rPr>
        <w:t>煤仓废气产排情况</w:t>
      </w:r>
      <w:r>
        <w:t>一览表</w:t>
      </w:r>
    </w:p>
    <w:tbl>
      <w:tblPr>
        <w:tblStyle w:val="65"/>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2"/>
        <w:gridCol w:w="1010"/>
        <w:gridCol w:w="584"/>
        <w:gridCol w:w="572"/>
        <w:gridCol w:w="653"/>
        <w:gridCol w:w="569"/>
        <w:gridCol w:w="641"/>
        <w:gridCol w:w="852"/>
        <w:gridCol w:w="710"/>
        <w:gridCol w:w="710"/>
        <w:gridCol w:w="710"/>
        <w:gridCol w:w="427"/>
        <w:gridCol w:w="606"/>
      </w:tblGrid>
      <w:tr w14:paraId="4FA1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4" w:hRule="atLeast"/>
          <w:jc w:val="center"/>
        </w:trPr>
        <w:tc>
          <w:tcPr>
            <w:tcW w:w="272" w:type="pct"/>
            <w:vAlign w:val="center"/>
          </w:tcPr>
          <w:p w14:paraId="0F061BAB">
            <w:pPr>
              <w:pStyle w:val="557"/>
            </w:pPr>
            <w:r>
              <w:t>序号</w:t>
            </w:r>
          </w:p>
        </w:tc>
        <w:tc>
          <w:tcPr>
            <w:tcW w:w="593" w:type="pct"/>
            <w:vAlign w:val="center"/>
          </w:tcPr>
          <w:p w14:paraId="786034F3">
            <w:pPr>
              <w:pStyle w:val="557"/>
            </w:pPr>
            <w:r>
              <w:t>污染源</w:t>
            </w:r>
          </w:p>
        </w:tc>
        <w:tc>
          <w:tcPr>
            <w:tcW w:w="343" w:type="pct"/>
            <w:vAlign w:val="center"/>
          </w:tcPr>
          <w:p w14:paraId="1DDC5992">
            <w:pPr>
              <w:pStyle w:val="557"/>
            </w:pPr>
            <w:r>
              <w:t>核算方法</w:t>
            </w:r>
          </w:p>
        </w:tc>
        <w:tc>
          <w:tcPr>
            <w:tcW w:w="336" w:type="pct"/>
            <w:vAlign w:val="center"/>
          </w:tcPr>
          <w:p w14:paraId="2965034B">
            <w:pPr>
              <w:pStyle w:val="557"/>
            </w:pPr>
            <w:r>
              <w:t>污染物</w:t>
            </w:r>
          </w:p>
        </w:tc>
        <w:tc>
          <w:tcPr>
            <w:tcW w:w="383" w:type="pct"/>
            <w:vAlign w:val="center"/>
          </w:tcPr>
          <w:p w14:paraId="233C1224">
            <w:pPr>
              <w:pStyle w:val="557"/>
            </w:pPr>
            <w:r>
              <w:t>产生浓度mg/m</w:t>
            </w:r>
            <w:r>
              <w:rPr>
                <w:vertAlign w:val="superscript"/>
              </w:rPr>
              <w:t>3</w:t>
            </w:r>
          </w:p>
        </w:tc>
        <w:tc>
          <w:tcPr>
            <w:tcW w:w="335" w:type="pct"/>
            <w:vAlign w:val="center"/>
          </w:tcPr>
          <w:p w14:paraId="5290A3E7">
            <w:pPr>
              <w:pStyle w:val="557"/>
            </w:pPr>
            <w:r>
              <w:t>产生速率kg/h</w:t>
            </w:r>
          </w:p>
        </w:tc>
        <w:tc>
          <w:tcPr>
            <w:tcW w:w="376" w:type="pct"/>
            <w:vAlign w:val="center"/>
          </w:tcPr>
          <w:p w14:paraId="11ECB0EF">
            <w:pPr>
              <w:pStyle w:val="557"/>
            </w:pPr>
            <w:r>
              <w:t>产生量t/a</w:t>
            </w:r>
          </w:p>
        </w:tc>
        <w:tc>
          <w:tcPr>
            <w:tcW w:w="500" w:type="pct"/>
            <w:vAlign w:val="center"/>
          </w:tcPr>
          <w:p w14:paraId="404C7666">
            <w:pPr>
              <w:pStyle w:val="557"/>
            </w:pPr>
            <w:r>
              <w:t>治理措施</w:t>
            </w:r>
          </w:p>
        </w:tc>
        <w:tc>
          <w:tcPr>
            <w:tcW w:w="416" w:type="pct"/>
            <w:vAlign w:val="center"/>
          </w:tcPr>
          <w:p w14:paraId="5066FC06">
            <w:pPr>
              <w:pStyle w:val="557"/>
            </w:pPr>
            <w:r>
              <w:t>去除效率</w:t>
            </w:r>
          </w:p>
        </w:tc>
        <w:tc>
          <w:tcPr>
            <w:tcW w:w="416" w:type="pct"/>
            <w:vAlign w:val="center"/>
          </w:tcPr>
          <w:p w14:paraId="19DF4B46">
            <w:pPr>
              <w:pStyle w:val="557"/>
            </w:pPr>
            <w:r>
              <w:t>排气量</w:t>
            </w:r>
          </w:p>
          <w:p w14:paraId="26576EC9">
            <w:pPr>
              <w:pStyle w:val="557"/>
            </w:pPr>
            <w:r>
              <w:t>m</w:t>
            </w:r>
            <w:r>
              <w:rPr>
                <w:vertAlign w:val="superscript"/>
              </w:rPr>
              <w:t>3</w:t>
            </w:r>
            <w:r>
              <w:t>/h</w:t>
            </w:r>
          </w:p>
        </w:tc>
        <w:tc>
          <w:tcPr>
            <w:tcW w:w="416" w:type="pct"/>
            <w:vAlign w:val="center"/>
          </w:tcPr>
          <w:p w14:paraId="0341CAE6">
            <w:pPr>
              <w:pStyle w:val="557"/>
            </w:pPr>
            <w:r>
              <w:t>排放浓度mg/m</w:t>
            </w:r>
            <w:r>
              <w:rPr>
                <w:vertAlign w:val="superscript"/>
              </w:rPr>
              <w:t>3</w:t>
            </w:r>
          </w:p>
        </w:tc>
        <w:tc>
          <w:tcPr>
            <w:tcW w:w="251" w:type="pct"/>
            <w:vAlign w:val="center"/>
          </w:tcPr>
          <w:p w14:paraId="0E117DAC">
            <w:pPr>
              <w:pStyle w:val="557"/>
            </w:pPr>
            <w:r>
              <w:t>排放速率</w:t>
            </w:r>
          </w:p>
          <w:p w14:paraId="500EF817">
            <w:pPr>
              <w:pStyle w:val="557"/>
            </w:pPr>
            <w:r>
              <w:t>kg/h</w:t>
            </w:r>
          </w:p>
        </w:tc>
        <w:tc>
          <w:tcPr>
            <w:tcW w:w="356" w:type="pct"/>
            <w:vAlign w:val="center"/>
          </w:tcPr>
          <w:p w14:paraId="69507B92">
            <w:pPr>
              <w:pStyle w:val="557"/>
            </w:pPr>
            <w:r>
              <w:t>排放量t/a</w:t>
            </w:r>
          </w:p>
        </w:tc>
      </w:tr>
      <w:tr w14:paraId="72BB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2" w:type="pct"/>
            <w:vAlign w:val="center"/>
          </w:tcPr>
          <w:p w14:paraId="010B3006">
            <w:pPr>
              <w:pStyle w:val="557"/>
            </w:pPr>
            <w:r>
              <w:t>G</w:t>
            </w:r>
            <w:r>
              <w:rPr>
                <w:vertAlign w:val="subscript"/>
              </w:rPr>
              <w:t>1-1</w:t>
            </w:r>
          </w:p>
        </w:tc>
        <w:tc>
          <w:tcPr>
            <w:tcW w:w="593" w:type="pct"/>
            <w:vAlign w:val="center"/>
          </w:tcPr>
          <w:p w14:paraId="253DFFD7">
            <w:pPr>
              <w:pStyle w:val="557"/>
            </w:pPr>
            <w:r>
              <w:rPr>
                <w:rFonts w:hint="eastAsia"/>
              </w:rPr>
              <w:t>原料煤仓废气</w:t>
            </w:r>
          </w:p>
        </w:tc>
        <w:tc>
          <w:tcPr>
            <w:tcW w:w="343" w:type="pct"/>
            <w:vAlign w:val="center"/>
          </w:tcPr>
          <w:p w14:paraId="568CB4A5">
            <w:pPr>
              <w:pStyle w:val="557"/>
            </w:pPr>
            <w:r>
              <w:t>类比法</w:t>
            </w:r>
          </w:p>
        </w:tc>
        <w:tc>
          <w:tcPr>
            <w:tcW w:w="336" w:type="pct"/>
            <w:vAlign w:val="center"/>
          </w:tcPr>
          <w:p w14:paraId="6EFB059A">
            <w:pPr>
              <w:pStyle w:val="557"/>
            </w:pPr>
            <w:r>
              <w:t>颗粒物</w:t>
            </w:r>
          </w:p>
        </w:tc>
        <w:tc>
          <w:tcPr>
            <w:tcW w:w="383" w:type="pct"/>
            <w:vAlign w:val="center"/>
          </w:tcPr>
          <w:p w14:paraId="2F12DD6E">
            <w:pPr>
              <w:pStyle w:val="557"/>
            </w:pPr>
            <w:r>
              <w:t>3000</w:t>
            </w:r>
          </w:p>
        </w:tc>
        <w:tc>
          <w:tcPr>
            <w:tcW w:w="335" w:type="pct"/>
            <w:vAlign w:val="center"/>
          </w:tcPr>
          <w:p w14:paraId="01C5A1CD">
            <w:pPr>
              <w:pStyle w:val="557"/>
            </w:pPr>
            <w:r>
              <w:rPr>
                <w:rFonts w:hint="eastAsia"/>
              </w:rPr>
              <w:t>14.86</w:t>
            </w:r>
          </w:p>
        </w:tc>
        <w:tc>
          <w:tcPr>
            <w:tcW w:w="376" w:type="pct"/>
            <w:vAlign w:val="center"/>
          </w:tcPr>
          <w:p w14:paraId="15DCEAF9">
            <w:pPr>
              <w:pStyle w:val="557"/>
            </w:pPr>
            <w:r>
              <w:rPr>
                <w:rFonts w:hint="eastAsia"/>
              </w:rPr>
              <w:t>118.84</w:t>
            </w:r>
          </w:p>
        </w:tc>
        <w:tc>
          <w:tcPr>
            <w:tcW w:w="500" w:type="pct"/>
            <w:vAlign w:val="center"/>
          </w:tcPr>
          <w:p w14:paraId="572F2075">
            <w:pPr>
              <w:pStyle w:val="557"/>
            </w:pPr>
            <w:r>
              <w:rPr>
                <w:rFonts w:hint="eastAsia"/>
              </w:rPr>
              <w:t>袋式</w:t>
            </w:r>
            <w:r>
              <w:t>除尘器</w:t>
            </w:r>
          </w:p>
        </w:tc>
        <w:tc>
          <w:tcPr>
            <w:tcW w:w="416" w:type="pct"/>
            <w:vAlign w:val="center"/>
          </w:tcPr>
          <w:p w14:paraId="45FD1CB8">
            <w:pPr>
              <w:pStyle w:val="557"/>
            </w:pPr>
            <w:r>
              <w:t>99.0%</w:t>
            </w:r>
          </w:p>
        </w:tc>
        <w:tc>
          <w:tcPr>
            <w:tcW w:w="416" w:type="pct"/>
            <w:vAlign w:val="center"/>
          </w:tcPr>
          <w:p w14:paraId="1A438E1F">
            <w:pPr>
              <w:pStyle w:val="557"/>
            </w:pPr>
            <w:r>
              <w:rPr>
                <w:rFonts w:hint="eastAsia"/>
              </w:rPr>
              <w:t>8000</w:t>
            </w:r>
          </w:p>
        </w:tc>
        <w:tc>
          <w:tcPr>
            <w:tcW w:w="416" w:type="pct"/>
            <w:vAlign w:val="center"/>
          </w:tcPr>
          <w:p w14:paraId="2CAFF57C">
            <w:pPr>
              <w:pStyle w:val="557"/>
            </w:pPr>
            <w:r>
              <w:rPr>
                <w:rFonts w:hint="eastAsia"/>
              </w:rPr>
              <w:t>18.75</w:t>
            </w:r>
          </w:p>
        </w:tc>
        <w:tc>
          <w:tcPr>
            <w:tcW w:w="251" w:type="pct"/>
            <w:vAlign w:val="center"/>
          </w:tcPr>
          <w:p w14:paraId="75694EB1">
            <w:pPr>
              <w:pStyle w:val="557"/>
            </w:pPr>
            <w:r>
              <w:t>0.1</w:t>
            </w:r>
            <w:r>
              <w:rPr>
                <w:rFonts w:hint="eastAsia"/>
              </w:rPr>
              <w:t>5</w:t>
            </w:r>
          </w:p>
        </w:tc>
        <w:tc>
          <w:tcPr>
            <w:tcW w:w="356" w:type="pct"/>
            <w:vAlign w:val="center"/>
          </w:tcPr>
          <w:p w14:paraId="63FCC26D">
            <w:pPr>
              <w:pStyle w:val="557"/>
            </w:pPr>
            <w:r>
              <w:rPr>
                <w:rFonts w:hint="eastAsia"/>
              </w:rPr>
              <w:t>1.19</w:t>
            </w:r>
          </w:p>
        </w:tc>
      </w:tr>
    </w:tbl>
    <w:p w14:paraId="27B2D915">
      <w:pPr>
        <w:pStyle w:val="281"/>
        <w:ind w:firstLine="480"/>
        <w:rPr>
          <w:rFonts w:cs="Times New Roman"/>
          <w:u w:color="000000"/>
        </w:rPr>
      </w:pPr>
      <w:bookmarkStart w:id="122" w:name="_Hlk176360718"/>
      <w:bookmarkStart w:id="123" w:name="_Hlk177054429"/>
      <w:bookmarkStart w:id="124" w:name="_Hlk177059500"/>
      <w:r>
        <w:rPr>
          <w:rFonts w:cs="Times New Roman"/>
          <w:u w:color="000000"/>
        </w:rPr>
        <w:t>（2）</w:t>
      </w:r>
      <w:r>
        <w:rPr>
          <w:rFonts w:hint="eastAsia" w:cs="Times New Roman"/>
          <w:u w:color="000000"/>
        </w:rPr>
        <w:t>磨煤干燥废气</w:t>
      </w:r>
      <w:r>
        <w:rPr>
          <w:rFonts w:cs="Times New Roman"/>
          <w:u w:color="000000"/>
        </w:rPr>
        <w:t>（G</w:t>
      </w:r>
      <w:r>
        <w:rPr>
          <w:rFonts w:cs="Times New Roman"/>
          <w:u w:color="000000"/>
          <w:vertAlign w:val="subscript"/>
        </w:rPr>
        <w:t>1-2</w:t>
      </w:r>
      <w:r>
        <w:rPr>
          <w:rFonts w:cs="Times New Roman"/>
          <w:u w:color="000000"/>
        </w:rPr>
        <w:t>）</w:t>
      </w:r>
    </w:p>
    <w:p w14:paraId="133EB59A">
      <w:pPr>
        <w:pStyle w:val="281"/>
        <w:ind w:firstLine="480"/>
        <w:rPr>
          <w:rFonts w:cs="Times New Roman"/>
          <w:u w:color="000000"/>
        </w:rPr>
      </w:pPr>
      <w:r>
        <w:rPr>
          <w:rFonts w:cs="Times New Roman"/>
          <w:u w:color="000000"/>
        </w:rPr>
        <w:t>本项目磨煤干燥工序惰性气体发生器采用</w:t>
      </w:r>
      <w:r>
        <w:rPr>
          <w:rFonts w:hint="eastAsia" w:cs="Times New Roman"/>
          <w:u w:color="000000"/>
        </w:rPr>
        <w:t>项目自产</w:t>
      </w:r>
      <w:r>
        <w:rPr>
          <w:rFonts w:cs="Times New Roman"/>
          <w:u w:color="000000"/>
        </w:rPr>
        <w:t>燃料气为燃料</w:t>
      </w:r>
      <w:r>
        <w:rPr>
          <w:rFonts w:hint="eastAsia" w:cs="Times New Roman"/>
          <w:u w:color="000000"/>
        </w:rPr>
        <w:t>，燃料气用量为5500Nm</w:t>
      </w:r>
      <w:r>
        <w:rPr>
          <w:rFonts w:hint="eastAsia" w:cs="Times New Roman"/>
          <w:u w:color="000000"/>
          <w:vertAlign w:val="superscript"/>
        </w:rPr>
        <w:t>3</w:t>
      </w:r>
      <w:r>
        <w:rPr>
          <w:rFonts w:hint="eastAsia" w:cs="Times New Roman"/>
          <w:u w:color="000000"/>
        </w:rPr>
        <w:t>/h</w:t>
      </w:r>
      <w:r>
        <w:rPr>
          <w:rFonts w:cs="Times New Roman"/>
          <w:u w:color="000000"/>
        </w:rPr>
        <w:t>，</w:t>
      </w:r>
      <w:r>
        <w:rPr>
          <w:rFonts w:hint="eastAsia" w:cs="Times New Roman"/>
          <w:u w:color="000000"/>
        </w:rPr>
        <w:t>磨煤干燥废气</w:t>
      </w:r>
      <w:r>
        <w:rPr>
          <w:rFonts w:cs="Times New Roman"/>
          <w:u w:color="000000"/>
        </w:rPr>
        <w:t>主要由燃料气燃烧废气和煤尘组成。</w:t>
      </w:r>
    </w:p>
    <w:p w14:paraId="67C9868C">
      <w:pPr>
        <w:pStyle w:val="281"/>
        <w:ind w:firstLine="480"/>
        <w:rPr>
          <w:rFonts w:cs="Times New Roman"/>
        </w:rPr>
      </w:pPr>
      <w:r>
        <w:rPr>
          <w:rFonts w:cs="Times New Roman"/>
        </w:rPr>
        <w:t>根据设计资料，燃料气组分见下表3.2.2-</w:t>
      </w:r>
      <w:r>
        <w:rPr>
          <w:rFonts w:hint="eastAsia" w:cs="Times New Roman" w:eastAsiaTheme="minorEastAsia"/>
        </w:rPr>
        <w:t>11</w:t>
      </w:r>
      <w:r>
        <w:rPr>
          <w:rFonts w:cs="Times New Roman"/>
        </w:rPr>
        <w:t>。</w:t>
      </w:r>
    </w:p>
    <w:p w14:paraId="393B8C24">
      <w:pPr>
        <w:pStyle w:val="535"/>
        <w:rPr>
          <w:rFonts w:hint="eastAsia"/>
          <w:color w:val="auto"/>
        </w:rPr>
      </w:pPr>
      <w:r>
        <w:rPr>
          <w:rFonts w:hint="eastAsia"/>
          <w:color w:val="auto"/>
        </w:rPr>
        <w:t xml:space="preserve">表3.2.2-11 </w:t>
      </w:r>
      <w:r>
        <w:rPr>
          <w:color w:val="auto"/>
        </w:rPr>
        <w:t xml:space="preserve">   </w:t>
      </w:r>
      <w:r>
        <w:rPr>
          <w:rFonts w:hint="eastAsia"/>
          <w:color w:val="auto"/>
        </w:rPr>
        <w:t>燃料气组成表</w:t>
      </w:r>
    </w:p>
    <w:p w14:paraId="3C7C0E68">
      <w:pPr>
        <w:pStyle w:val="562"/>
        <w:ind w:firstLine="400"/>
        <w:rPr>
          <w:rFonts w:hint="eastAsia"/>
        </w:rPr>
      </w:pPr>
    </w:p>
    <w:bookmarkEnd w:id="122"/>
    <w:p w14:paraId="7E4170A3">
      <w:pPr>
        <w:pStyle w:val="281"/>
        <w:ind w:firstLine="480"/>
        <w:rPr>
          <w:rFonts w:cs="Times New Roman"/>
        </w:rPr>
      </w:pPr>
      <w:r>
        <w:rPr>
          <w:rFonts w:hint="eastAsia" w:cs="Times New Roman"/>
        </w:rPr>
        <w:t>①</w:t>
      </w:r>
      <w:r>
        <w:rPr>
          <w:rFonts w:cs="Times New Roman"/>
        </w:rPr>
        <w:t>颗粒物计算</w:t>
      </w:r>
    </w:p>
    <w:bookmarkEnd w:id="123"/>
    <w:p w14:paraId="2F8B1AA5">
      <w:pPr>
        <w:pStyle w:val="281"/>
        <w:ind w:firstLine="480"/>
        <w:rPr>
          <w:rFonts w:cs="Times New Roman"/>
        </w:rPr>
      </w:pPr>
      <w:r>
        <w:rPr>
          <w:rFonts w:cs="Times New Roman"/>
        </w:rPr>
        <w:t>1）燃料气燃烧产生</w:t>
      </w:r>
    </w:p>
    <w:p w14:paraId="068A087B">
      <w:pPr>
        <w:pStyle w:val="281"/>
        <w:ind w:firstLine="480"/>
        <w:rPr>
          <w:rFonts w:cs="Times New Roman"/>
        </w:rPr>
      </w:pPr>
      <w:r>
        <w:rPr>
          <w:rFonts w:cs="Times New Roman"/>
        </w:rPr>
        <w:t>颗粒物产污系数参照全国污染源普查工业污染源普查数据-2511原油加工及石油制品制造行业，具体见表3.2.2-12。</w:t>
      </w:r>
    </w:p>
    <w:p w14:paraId="787416AB">
      <w:pPr>
        <w:pStyle w:val="535"/>
        <w:rPr>
          <w:rFonts w:hint="eastAsia"/>
          <w:color w:val="auto"/>
        </w:rPr>
      </w:pPr>
      <w:r>
        <w:rPr>
          <w:rFonts w:hint="eastAsia"/>
          <w:color w:val="auto"/>
        </w:rPr>
        <w:t>表</w:t>
      </w:r>
      <w:r>
        <w:rPr>
          <w:color w:val="auto"/>
        </w:rPr>
        <w:t>3.2.2-</w:t>
      </w:r>
      <w:r>
        <w:rPr>
          <w:rFonts w:hint="eastAsia"/>
          <w:color w:val="auto"/>
        </w:rPr>
        <w:t>12</w:t>
      </w:r>
      <w:r>
        <w:rPr>
          <w:color w:val="auto"/>
        </w:rPr>
        <w:t xml:space="preserve">    </w:t>
      </w:r>
      <w:r>
        <w:rPr>
          <w:rFonts w:hint="eastAsia"/>
          <w:color w:val="auto"/>
        </w:rPr>
        <w:t>惰性气体发生器废气污染物产生系数</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992"/>
        <w:gridCol w:w="1743"/>
        <w:gridCol w:w="2126"/>
        <w:gridCol w:w="2126"/>
      </w:tblGrid>
      <w:tr w14:paraId="271F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0" w:type="dxa"/>
            <w:gridSpan w:val="2"/>
            <w:vAlign w:val="center"/>
          </w:tcPr>
          <w:p w14:paraId="1896A2F9">
            <w:pPr>
              <w:pStyle w:val="557"/>
            </w:pPr>
            <w:r>
              <w:t>污染源</w:t>
            </w:r>
          </w:p>
        </w:tc>
        <w:tc>
          <w:tcPr>
            <w:tcW w:w="1743" w:type="dxa"/>
            <w:vAlign w:val="center"/>
          </w:tcPr>
          <w:p w14:paraId="65F6DFE1">
            <w:pPr>
              <w:pStyle w:val="557"/>
            </w:pPr>
            <w:r>
              <w:t>污染物</w:t>
            </w:r>
          </w:p>
        </w:tc>
        <w:tc>
          <w:tcPr>
            <w:tcW w:w="2126" w:type="dxa"/>
            <w:vAlign w:val="center"/>
          </w:tcPr>
          <w:p w14:paraId="4AF7A822">
            <w:pPr>
              <w:pStyle w:val="557"/>
            </w:pPr>
            <w:r>
              <w:t>单位</w:t>
            </w:r>
          </w:p>
        </w:tc>
        <w:tc>
          <w:tcPr>
            <w:tcW w:w="2126" w:type="dxa"/>
            <w:vAlign w:val="center"/>
          </w:tcPr>
          <w:p w14:paraId="19FA01B0">
            <w:pPr>
              <w:pStyle w:val="557"/>
            </w:pPr>
            <w:r>
              <w:t>产污系数</w:t>
            </w:r>
          </w:p>
        </w:tc>
      </w:tr>
      <w:tr w14:paraId="518F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18" w:type="dxa"/>
            <w:vAlign w:val="center"/>
          </w:tcPr>
          <w:p w14:paraId="7BE08769">
            <w:pPr>
              <w:pStyle w:val="557"/>
            </w:pPr>
            <w:r>
              <w:t>惰性气体发生器</w:t>
            </w:r>
          </w:p>
        </w:tc>
        <w:tc>
          <w:tcPr>
            <w:tcW w:w="992" w:type="dxa"/>
            <w:vAlign w:val="center"/>
          </w:tcPr>
          <w:p w14:paraId="6FB7BAD5">
            <w:pPr>
              <w:pStyle w:val="557"/>
            </w:pPr>
            <w:r>
              <w:t>燃料气</w:t>
            </w:r>
          </w:p>
        </w:tc>
        <w:tc>
          <w:tcPr>
            <w:tcW w:w="1743" w:type="dxa"/>
            <w:vAlign w:val="center"/>
          </w:tcPr>
          <w:p w14:paraId="76876899">
            <w:pPr>
              <w:pStyle w:val="557"/>
            </w:pPr>
            <w:r>
              <w:t>颗粒物</w:t>
            </w:r>
          </w:p>
        </w:tc>
        <w:tc>
          <w:tcPr>
            <w:tcW w:w="2126" w:type="dxa"/>
            <w:vAlign w:val="center"/>
          </w:tcPr>
          <w:p w14:paraId="43C4B316">
            <w:pPr>
              <w:pStyle w:val="557"/>
            </w:pPr>
            <w:r>
              <w:t>千克/万标立方米燃料</w:t>
            </w:r>
          </w:p>
        </w:tc>
        <w:tc>
          <w:tcPr>
            <w:tcW w:w="2126" w:type="dxa"/>
            <w:vAlign w:val="center"/>
          </w:tcPr>
          <w:p w14:paraId="6C17366B">
            <w:pPr>
              <w:pStyle w:val="557"/>
            </w:pPr>
            <w:r>
              <w:t>1.24</w:t>
            </w:r>
          </w:p>
        </w:tc>
      </w:tr>
    </w:tbl>
    <w:p w14:paraId="0F3FF345">
      <w:pPr>
        <w:pStyle w:val="281"/>
        <w:ind w:firstLine="480"/>
        <w:rPr>
          <w:rFonts w:cs="Times New Roman"/>
        </w:rPr>
      </w:pPr>
      <w:r>
        <w:rPr>
          <w:rFonts w:cs="Times New Roman"/>
        </w:rPr>
        <w:t>本项目磨煤干燥机燃料气燃烧颗粒物产生量为0.</w:t>
      </w:r>
      <w:r>
        <w:rPr>
          <w:rFonts w:hint="eastAsia" w:cs="Times New Roman"/>
        </w:rPr>
        <w:t>43</w:t>
      </w:r>
      <w:r>
        <w:rPr>
          <w:rFonts w:cs="Times New Roman"/>
        </w:rPr>
        <w:t>kg/h，采用布袋除尘器处理。</w:t>
      </w:r>
    </w:p>
    <w:p w14:paraId="23645D75">
      <w:pPr>
        <w:pStyle w:val="281"/>
        <w:ind w:firstLine="480"/>
        <w:rPr>
          <w:rFonts w:cs="Times New Roman"/>
        </w:rPr>
      </w:pPr>
      <w:r>
        <w:rPr>
          <w:rFonts w:cs="Times New Roman"/>
        </w:rPr>
        <w:t>2）</w:t>
      </w:r>
      <w:r>
        <w:rPr>
          <w:rFonts w:cs="Times New Roman"/>
          <w:u w:color="000000"/>
        </w:rPr>
        <w:t>磨煤干燥产生</w:t>
      </w:r>
    </w:p>
    <w:p w14:paraId="5C621E9B">
      <w:pPr>
        <w:pStyle w:val="281"/>
        <w:ind w:firstLine="480"/>
        <w:rPr>
          <w:rFonts w:cs="Times New Roman"/>
        </w:rPr>
      </w:pPr>
      <w:r>
        <w:rPr>
          <w:rFonts w:hint="eastAsia" w:cs="Times New Roman"/>
        </w:rPr>
        <w:t>①颗粒物计算</w:t>
      </w:r>
    </w:p>
    <w:p w14:paraId="3B3CF6A0">
      <w:pPr>
        <w:pStyle w:val="281"/>
        <w:ind w:firstLine="480"/>
        <w:rPr>
          <w:rFonts w:cs="Times New Roman"/>
        </w:rPr>
      </w:pPr>
      <w:r>
        <w:rPr>
          <w:rFonts w:cs="Times New Roman"/>
        </w:rPr>
        <w:t>参考</w:t>
      </w:r>
      <w:bookmarkStart w:id="125" w:name="_Hlk177035237"/>
      <w:r>
        <w:rPr>
          <w:rFonts w:cs="Times New Roman"/>
        </w:rPr>
        <w:t>《第二次全国污染源普查工业污染源产排污系数手册》</w:t>
      </w:r>
      <w:bookmarkEnd w:id="125"/>
      <w:r>
        <w:rPr>
          <w:rFonts w:cs="Times New Roman"/>
        </w:rPr>
        <w:t>252煤炭加工行业系数手册表2，煤制合成气生产行业粉煤气化颗粒物产生量系数2.52千克/吨-原料，本项目磨煤干燥机</w:t>
      </w:r>
      <w:r>
        <w:rPr>
          <w:rFonts w:hint="eastAsia" w:cs="Times New Roman"/>
        </w:rPr>
        <w:t>磨煤量为56.15t/h，</w:t>
      </w:r>
      <w:r>
        <w:rPr>
          <w:rFonts w:cs="Times New Roman"/>
        </w:rPr>
        <w:t>废气颗粒物产生量为</w:t>
      </w:r>
      <w:r>
        <w:rPr>
          <w:rFonts w:hint="eastAsia" w:cs="Times New Roman"/>
        </w:rPr>
        <w:t>141.5</w:t>
      </w:r>
      <w:r>
        <w:rPr>
          <w:rFonts w:cs="Times New Roman"/>
        </w:rPr>
        <w:t>kg/h，采用布袋除尘器处理。</w:t>
      </w:r>
    </w:p>
    <w:p w14:paraId="2CCE3B8E">
      <w:pPr>
        <w:pStyle w:val="281"/>
        <w:ind w:firstLine="480"/>
        <w:rPr>
          <w:rFonts w:cs="Times New Roman"/>
        </w:rPr>
      </w:pPr>
      <w:r>
        <w:rPr>
          <w:rFonts w:hint="eastAsia" w:cs="Times New Roman"/>
        </w:rPr>
        <w:t>②</w:t>
      </w:r>
      <w:r>
        <w:rPr>
          <w:rFonts w:cs="Times New Roman"/>
        </w:rPr>
        <w:t>氮氧化物计算</w:t>
      </w:r>
    </w:p>
    <w:p w14:paraId="7ECF91D8">
      <w:pPr>
        <w:pStyle w:val="281"/>
        <w:ind w:firstLine="480"/>
        <w:rPr>
          <w:rFonts w:cs="Times New Roman"/>
          <w:u w:color="000000"/>
        </w:rPr>
      </w:pPr>
      <w:r>
        <w:rPr>
          <w:rFonts w:cs="Times New Roman"/>
          <w:u w:color="000000"/>
        </w:rPr>
        <w:t>根据设备厂商提供资料，</w:t>
      </w:r>
      <w:r>
        <w:rPr>
          <w:rFonts w:cs="Times New Roman"/>
        </w:rPr>
        <w:t>惰性气体发生器</w:t>
      </w:r>
      <w:r>
        <w:rPr>
          <w:rFonts w:cs="Times New Roman"/>
          <w:u w:color="000000"/>
        </w:rPr>
        <w:t>加装低氮燃烧器，氮氧化物出口保证浓度100mg/m</w:t>
      </w:r>
      <w:r>
        <w:rPr>
          <w:rFonts w:cs="Times New Roman"/>
          <w:u w:color="000000"/>
          <w:vertAlign w:val="superscript"/>
        </w:rPr>
        <w:t>3</w:t>
      </w:r>
      <w:r>
        <w:rPr>
          <w:rFonts w:cs="Times New Roman"/>
          <w:u w:color="000000"/>
        </w:rPr>
        <w:t>。</w:t>
      </w:r>
    </w:p>
    <w:p w14:paraId="7C1B14CF">
      <w:pPr>
        <w:pStyle w:val="281"/>
        <w:ind w:firstLine="480"/>
        <w:rPr>
          <w:rFonts w:cs="Times New Roman"/>
        </w:rPr>
      </w:pPr>
      <w:r>
        <w:rPr>
          <w:rFonts w:hint="eastAsia" w:cs="Times New Roman"/>
        </w:rPr>
        <w:t>③二氧化硫计算</w:t>
      </w:r>
    </w:p>
    <w:p w14:paraId="35FA4774">
      <w:pPr>
        <w:pStyle w:val="281"/>
        <w:ind w:firstLine="480"/>
        <w:rPr>
          <w:rFonts w:cs="Times New Roman"/>
        </w:rPr>
      </w:pPr>
      <w:r>
        <w:rPr>
          <w:rFonts w:hint="eastAsia" w:cs="Times New Roman"/>
        </w:rPr>
        <w:t>本项目自产燃料气为CO深冷分离单元脱离出的净化气，含硫量为0。</w:t>
      </w:r>
    </w:p>
    <w:p w14:paraId="5D940987">
      <w:pPr>
        <w:pStyle w:val="281"/>
        <w:ind w:firstLine="480"/>
        <w:rPr>
          <w:rFonts w:hint="eastAsia" w:ascii="宋体" w:hAnsi="宋体"/>
        </w:rPr>
      </w:pPr>
      <w:r>
        <w:rPr>
          <w:rFonts w:cs="Times New Roman"/>
        </w:rPr>
        <w:t>通过计算，煤气化装置</w:t>
      </w:r>
      <w:r>
        <w:rPr>
          <w:rFonts w:cs="Times New Roman"/>
          <w:u w:color="000000"/>
        </w:rPr>
        <w:t>磨煤干燥</w:t>
      </w:r>
      <w:r>
        <w:rPr>
          <w:rFonts w:cs="Times New Roman"/>
        </w:rPr>
        <w:t>废气污染物产排情况见表3.2.2-1</w:t>
      </w:r>
      <w:r>
        <w:rPr>
          <w:rFonts w:hint="eastAsia" w:cs="Times New Roman"/>
        </w:rPr>
        <w:t>3</w:t>
      </w:r>
      <w:r>
        <w:rPr>
          <w:rFonts w:hint="eastAsia" w:ascii="宋体" w:hAnsi="宋体"/>
        </w:rPr>
        <w:t>。</w:t>
      </w:r>
    </w:p>
    <w:p w14:paraId="133E5876">
      <w:pPr>
        <w:pStyle w:val="535"/>
        <w:rPr>
          <w:rFonts w:hint="eastAsia"/>
          <w:color w:val="auto"/>
        </w:rPr>
      </w:pPr>
      <w:bookmarkStart w:id="126" w:name="_Hlk177898935"/>
      <w:bookmarkStart w:id="127" w:name="_Hlk176360727"/>
      <w:r>
        <w:rPr>
          <w:rFonts w:hint="eastAsia"/>
          <w:color w:val="auto"/>
        </w:rPr>
        <w:t>表</w:t>
      </w:r>
      <w:r>
        <w:rPr>
          <w:color w:val="auto"/>
        </w:rPr>
        <w:t>3.2.2-1</w:t>
      </w:r>
      <w:r>
        <w:rPr>
          <w:rFonts w:hint="eastAsia"/>
          <w:color w:val="auto"/>
        </w:rPr>
        <w:t>3</w:t>
      </w:r>
      <w:r>
        <w:rPr>
          <w:color w:val="auto"/>
        </w:rPr>
        <w:t xml:space="preserve">    </w:t>
      </w:r>
      <w:r>
        <w:rPr>
          <w:rFonts w:hint="eastAsia"/>
          <w:color w:val="auto"/>
          <w:u w:color="000000"/>
        </w:rPr>
        <w:t>磨煤干燥</w:t>
      </w:r>
      <w:r>
        <w:rPr>
          <w:rFonts w:hint="eastAsia"/>
          <w:color w:val="auto"/>
        </w:rPr>
        <w:t>废气污染物产排情况一览表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22"/>
        <w:gridCol w:w="382"/>
        <w:gridCol w:w="770"/>
        <w:gridCol w:w="818"/>
        <w:gridCol w:w="767"/>
        <w:gridCol w:w="683"/>
        <w:gridCol w:w="887"/>
        <w:gridCol w:w="617"/>
        <w:gridCol w:w="631"/>
        <w:gridCol w:w="582"/>
        <w:gridCol w:w="543"/>
        <w:gridCol w:w="532"/>
      </w:tblGrid>
      <w:tr w14:paraId="0435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 w:type="pct"/>
            <w:vAlign w:val="center"/>
          </w:tcPr>
          <w:p w14:paraId="59D4673B">
            <w:pPr>
              <w:pStyle w:val="557"/>
            </w:pPr>
            <w:bookmarkStart w:id="128" w:name="_Hlk179672028"/>
          </w:p>
        </w:tc>
        <w:tc>
          <w:tcPr>
            <w:tcW w:w="481" w:type="pct"/>
            <w:vAlign w:val="center"/>
          </w:tcPr>
          <w:p w14:paraId="44891D66">
            <w:pPr>
              <w:pStyle w:val="557"/>
            </w:pPr>
            <w:r>
              <w:t>装置</w:t>
            </w:r>
          </w:p>
        </w:tc>
        <w:tc>
          <w:tcPr>
            <w:tcW w:w="224" w:type="pct"/>
            <w:vAlign w:val="center"/>
          </w:tcPr>
          <w:p w14:paraId="5B399929">
            <w:pPr>
              <w:pStyle w:val="557"/>
            </w:pPr>
            <w:r>
              <w:t>核算方法</w:t>
            </w:r>
          </w:p>
        </w:tc>
        <w:tc>
          <w:tcPr>
            <w:tcW w:w="451" w:type="pct"/>
            <w:vAlign w:val="center"/>
          </w:tcPr>
          <w:p w14:paraId="4BB5A232">
            <w:pPr>
              <w:pStyle w:val="557"/>
            </w:pPr>
            <w:r>
              <w:t>污染物</w:t>
            </w:r>
          </w:p>
        </w:tc>
        <w:tc>
          <w:tcPr>
            <w:tcW w:w="479" w:type="pct"/>
            <w:vAlign w:val="center"/>
          </w:tcPr>
          <w:p w14:paraId="121C2C03">
            <w:pPr>
              <w:pStyle w:val="557"/>
            </w:pPr>
            <w:r>
              <w:t>产生浓度mg/m</w:t>
            </w:r>
            <w:r>
              <w:rPr>
                <w:vertAlign w:val="superscript"/>
              </w:rPr>
              <w:t>3</w:t>
            </w:r>
          </w:p>
        </w:tc>
        <w:tc>
          <w:tcPr>
            <w:tcW w:w="449" w:type="pct"/>
            <w:vAlign w:val="center"/>
          </w:tcPr>
          <w:p w14:paraId="5DD12C61">
            <w:pPr>
              <w:pStyle w:val="557"/>
            </w:pPr>
            <w:r>
              <w:t>产生速率kg/h</w:t>
            </w:r>
          </w:p>
        </w:tc>
        <w:tc>
          <w:tcPr>
            <w:tcW w:w="401" w:type="pct"/>
            <w:vAlign w:val="center"/>
          </w:tcPr>
          <w:p w14:paraId="3CA07568">
            <w:pPr>
              <w:pStyle w:val="557"/>
            </w:pPr>
            <w:r>
              <w:t>产生量t/a</w:t>
            </w:r>
          </w:p>
        </w:tc>
        <w:tc>
          <w:tcPr>
            <w:tcW w:w="519" w:type="pct"/>
            <w:vAlign w:val="center"/>
          </w:tcPr>
          <w:p w14:paraId="72C4ED65">
            <w:pPr>
              <w:pStyle w:val="557"/>
            </w:pPr>
            <w:r>
              <w:t>治理措施</w:t>
            </w:r>
          </w:p>
        </w:tc>
        <w:tc>
          <w:tcPr>
            <w:tcW w:w="362" w:type="pct"/>
            <w:vAlign w:val="center"/>
          </w:tcPr>
          <w:p w14:paraId="07D43B00">
            <w:pPr>
              <w:pStyle w:val="557"/>
            </w:pPr>
            <w:r>
              <w:t>去除效率%</w:t>
            </w:r>
          </w:p>
        </w:tc>
        <w:tc>
          <w:tcPr>
            <w:tcW w:w="370" w:type="pct"/>
            <w:vAlign w:val="center"/>
          </w:tcPr>
          <w:p w14:paraId="73E8137D">
            <w:pPr>
              <w:pStyle w:val="557"/>
            </w:pPr>
            <w:r>
              <w:t>排气量</w:t>
            </w:r>
          </w:p>
          <w:p w14:paraId="29408DDC">
            <w:pPr>
              <w:pStyle w:val="557"/>
            </w:pPr>
            <w:r>
              <w:t>m</w:t>
            </w:r>
            <w:r>
              <w:rPr>
                <w:vertAlign w:val="superscript"/>
              </w:rPr>
              <w:t>3</w:t>
            </w:r>
            <w:r>
              <w:t>/h</w:t>
            </w:r>
          </w:p>
        </w:tc>
        <w:tc>
          <w:tcPr>
            <w:tcW w:w="342" w:type="pct"/>
            <w:vAlign w:val="center"/>
          </w:tcPr>
          <w:p w14:paraId="2C8EF6AE">
            <w:pPr>
              <w:pStyle w:val="557"/>
            </w:pPr>
            <w:r>
              <w:t>排放浓度mg/m</w:t>
            </w:r>
            <w:r>
              <w:rPr>
                <w:vertAlign w:val="superscript"/>
              </w:rPr>
              <w:t>3</w:t>
            </w:r>
          </w:p>
        </w:tc>
        <w:tc>
          <w:tcPr>
            <w:tcW w:w="319" w:type="pct"/>
            <w:vAlign w:val="center"/>
          </w:tcPr>
          <w:p w14:paraId="039A4F2D">
            <w:pPr>
              <w:pStyle w:val="557"/>
            </w:pPr>
            <w:r>
              <w:t>排放速率kg/h</w:t>
            </w:r>
          </w:p>
        </w:tc>
        <w:tc>
          <w:tcPr>
            <w:tcW w:w="312" w:type="pct"/>
            <w:vAlign w:val="center"/>
          </w:tcPr>
          <w:p w14:paraId="51DC1C48">
            <w:pPr>
              <w:pStyle w:val="557"/>
            </w:pPr>
            <w:r>
              <w:t>排放量t/a</w:t>
            </w:r>
          </w:p>
        </w:tc>
      </w:tr>
      <w:tr w14:paraId="51F2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85" w:type="pct"/>
            <w:vMerge w:val="restart"/>
            <w:vAlign w:val="center"/>
          </w:tcPr>
          <w:p w14:paraId="1FEF1602">
            <w:pPr>
              <w:pStyle w:val="557"/>
            </w:pPr>
            <w:r>
              <w:t>G</w:t>
            </w:r>
            <w:r>
              <w:rPr>
                <w:vertAlign w:val="subscript"/>
              </w:rPr>
              <w:t>1-2</w:t>
            </w:r>
          </w:p>
        </w:tc>
        <w:tc>
          <w:tcPr>
            <w:tcW w:w="481" w:type="pct"/>
            <w:vMerge w:val="restart"/>
            <w:vAlign w:val="center"/>
          </w:tcPr>
          <w:p w14:paraId="322C149B">
            <w:pPr>
              <w:pStyle w:val="557"/>
            </w:pPr>
            <w:r>
              <w:t>惰性气体发生器</w:t>
            </w:r>
          </w:p>
        </w:tc>
        <w:tc>
          <w:tcPr>
            <w:tcW w:w="224" w:type="pct"/>
            <w:vMerge w:val="restart"/>
            <w:vAlign w:val="center"/>
          </w:tcPr>
          <w:p w14:paraId="601F5BE4">
            <w:pPr>
              <w:pStyle w:val="557"/>
            </w:pPr>
            <w:r>
              <w:t>系数法</w:t>
            </w:r>
          </w:p>
        </w:tc>
        <w:tc>
          <w:tcPr>
            <w:tcW w:w="451" w:type="pct"/>
            <w:vAlign w:val="center"/>
          </w:tcPr>
          <w:p w14:paraId="2E153503">
            <w:pPr>
              <w:pStyle w:val="557"/>
            </w:pPr>
            <w:r>
              <w:t>颗粒物</w:t>
            </w:r>
          </w:p>
        </w:tc>
        <w:tc>
          <w:tcPr>
            <w:tcW w:w="479" w:type="pct"/>
            <w:vAlign w:val="center"/>
          </w:tcPr>
          <w:p w14:paraId="7E9F7F3D">
            <w:pPr>
              <w:jc w:val="center"/>
              <w:textAlignment w:val="center"/>
              <w:rPr>
                <w:rFonts w:hint="eastAsia"/>
              </w:rPr>
            </w:pPr>
            <w:r>
              <w:rPr>
                <w:rFonts w:ascii="Times New Roman" w:hAnsi="Times New Roman" w:cs="Times New Roman"/>
                <w:color w:val="000000"/>
                <w:sz w:val="18"/>
                <w:szCs w:val="18"/>
              </w:rPr>
              <w:t>2669.81</w:t>
            </w:r>
          </w:p>
        </w:tc>
        <w:tc>
          <w:tcPr>
            <w:tcW w:w="449" w:type="pct"/>
            <w:vAlign w:val="center"/>
          </w:tcPr>
          <w:p w14:paraId="47E14E7B">
            <w:pPr>
              <w:jc w:val="center"/>
              <w:textAlignment w:val="center"/>
              <w:rPr>
                <w:rFonts w:hint="eastAsia"/>
              </w:rPr>
            </w:pPr>
            <w:r>
              <w:rPr>
                <w:rFonts w:ascii="Times New Roman" w:hAnsi="Times New Roman" w:cs="Times New Roman"/>
                <w:color w:val="000000"/>
                <w:sz w:val="18"/>
                <w:szCs w:val="18"/>
              </w:rPr>
              <w:t>141.5</w:t>
            </w:r>
          </w:p>
        </w:tc>
        <w:tc>
          <w:tcPr>
            <w:tcW w:w="401" w:type="pct"/>
            <w:vAlign w:val="center"/>
          </w:tcPr>
          <w:p w14:paraId="298CA053">
            <w:pPr>
              <w:jc w:val="center"/>
              <w:textAlignment w:val="center"/>
              <w:rPr>
                <w:rFonts w:hint="eastAsia"/>
              </w:rPr>
            </w:pPr>
            <w:r>
              <w:rPr>
                <w:rFonts w:ascii="Times New Roman" w:hAnsi="Times New Roman" w:cs="Times New Roman"/>
                <w:color w:val="000000"/>
                <w:sz w:val="18"/>
                <w:szCs w:val="18"/>
              </w:rPr>
              <w:t>1132</w:t>
            </w:r>
          </w:p>
        </w:tc>
        <w:tc>
          <w:tcPr>
            <w:tcW w:w="519" w:type="pct"/>
            <w:vMerge w:val="restart"/>
            <w:vAlign w:val="center"/>
          </w:tcPr>
          <w:p w14:paraId="12EF4940">
            <w:pPr>
              <w:pStyle w:val="557"/>
            </w:pPr>
            <w:r>
              <w:rPr>
                <w:rFonts w:hint="eastAsia"/>
              </w:rPr>
              <w:t>清洁燃料+</w:t>
            </w:r>
            <w:r>
              <w:t>低氮燃烧+布袋除尘器</w:t>
            </w:r>
          </w:p>
        </w:tc>
        <w:tc>
          <w:tcPr>
            <w:tcW w:w="362" w:type="pct"/>
            <w:vAlign w:val="center"/>
          </w:tcPr>
          <w:p w14:paraId="00D9DF77">
            <w:pPr>
              <w:pStyle w:val="557"/>
            </w:pPr>
            <w:r>
              <w:t>99.</w:t>
            </w:r>
            <w:r>
              <w:rPr>
                <w:rFonts w:hint="eastAsia"/>
              </w:rPr>
              <w:t>5</w:t>
            </w:r>
          </w:p>
        </w:tc>
        <w:tc>
          <w:tcPr>
            <w:tcW w:w="370" w:type="pct"/>
            <w:vMerge w:val="restart"/>
            <w:vAlign w:val="center"/>
          </w:tcPr>
          <w:p w14:paraId="415E8915">
            <w:pPr>
              <w:pStyle w:val="557"/>
            </w:pPr>
            <w:r>
              <w:rPr>
                <w:rFonts w:hint="eastAsia"/>
              </w:rPr>
              <w:t>53000</w:t>
            </w:r>
          </w:p>
        </w:tc>
        <w:tc>
          <w:tcPr>
            <w:tcW w:w="342" w:type="pct"/>
            <w:vAlign w:val="center"/>
          </w:tcPr>
          <w:p w14:paraId="62BDD4F4">
            <w:pPr>
              <w:jc w:val="center"/>
              <w:textAlignment w:val="center"/>
              <w:rPr>
                <w:rFonts w:hint="eastAsia"/>
              </w:rPr>
            </w:pPr>
            <w:r>
              <w:rPr>
                <w:rFonts w:ascii="Times New Roman" w:hAnsi="Times New Roman" w:cs="Times New Roman"/>
                <w:color w:val="000000"/>
                <w:sz w:val="18"/>
                <w:szCs w:val="18"/>
              </w:rPr>
              <w:t>13.35</w:t>
            </w:r>
          </w:p>
        </w:tc>
        <w:tc>
          <w:tcPr>
            <w:tcW w:w="319" w:type="pct"/>
            <w:vAlign w:val="center"/>
          </w:tcPr>
          <w:p w14:paraId="279F7048">
            <w:pPr>
              <w:jc w:val="center"/>
              <w:textAlignment w:val="center"/>
              <w:rPr>
                <w:rFonts w:hint="eastAsia"/>
              </w:rPr>
            </w:pPr>
            <w:r>
              <w:rPr>
                <w:rFonts w:ascii="Times New Roman" w:hAnsi="Times New Roman" w:cs="Times New Roman"/>
                <w:color w:val="000000"/>
                <w:sz w:val="18"/>
                <w:szCs w:val="18"/>
              </w:rPr>
              <w:t>0.7</w:t>
            </w:r>
            <w:r>
              <w:rPr>
                <w:rFonts w:hint="eastAsia" w:ascii="Times New Roman" w:hAnsi="Times New Roman" w:cs="Times New Roman"/>
                <w:color w:val="000000"/>
                <w:sz w:val="18"/>
                <w:szCs w:val="18"/>
              </w:rPr>
              <w:t>1</w:t>
            </w:r>
          </w:p>
        </w:tc>
        <w:tc>
          <w:tcPr>
            <w:tcW w:w="312" w:type="pct"/>
            <w:vAlign w:val="center"/>
          </w:tcPr>
          <w:p w14:paraId="2AA33341">
            <w:pPr>
              <w:jc w:val="center"/>
              <w:textAlignment w:val="center"/>
              <w:rPr>
                <w:rFonts w:hint="eastAsia"/>
              </w:rPr>
            </w:pPr>
            <w:r>
              <w:rPr>
                <w:rFonts w:ascii="Times New Roman" w:hAnsi="Times New Roman" w:cs="Times New Roman"/>
                <w:color w:val="000000"/>
                <w:sz w:val="18"/>
                <w:szCs w:val="18"/>
              </w:rPr>
              <w:t>5.66</w:t>
            </w:r>
          </w:p>
        </w:tc>
      </w:tr>
      <w:tr w14:paraId="19DA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 w:type="pct"/>
            <w:vMerge w:val="continue"/>
            <w:vAlign w:val="center"/>
          </w:tcPr>
          <w:p w14:paraId="4D2300DE">
            <w:pPr>
              <w:pStyle w:val="557"/>
            </w:pPr>
          </w:p>
        </w:tc>
        <w:tc>
          <w:tcPr>
            <w:tcW w:w="481" w:type="pct"/>
            <w:vMerge w:val="continue"/>
            <w:vAlign w:val="center"/>
          </w:tcPr>
          <w:p w14:paraId="52E52EF9">
            <w:pPr>
              <w:pStyle w:val="557"/>
            </w:pPr>
          </w:p>
        </w:tc>
        <w:tc>
          <w:tcPr>
            <w:tcW w:w="224" w:type="pct"/>
            <w:vMerge w:val="continue"/>
            <w:vAlign w:val="center"/>
          </w:tcPr>
          <w:p w14:paraId="3D47D6A1">
            <w:pPr>
              <w:pStyle w:val="557"/>
            </w:pPr>
          </w:p>
        </w:tc>
        <w:tc>
          <w:tcPr>
            <w:tcW w:w="451" w:type="pct"/>
            <w:vAlign w:val="center"/>
          </w:tcPr>
          <w:p w14:paraId="0801C5F8">
            <w:pPr>
              <w:pStyle w:val="557"/>
            </w:pPr>
            <w:r>
              <w:t>NO</w:t>
            </w:r>
            <w:r>
              <w:rPr>
                <w:vertAlign w:val="subscript"/>
              </w:rPr>
              <w:t>X</w:t>
            </w:r>
          </w:p>
        </w:tc>
        <w:tc>
          <w:tcPr>
            <w:tcW w:w="479" w:type="pct"/>
            <w:vAlign w:val="center"/>
          </w:tcPr>
          <w:p w14:paraId="471468A6">
            <w:pPr>
              <w:jc w:val="center"/>
              <w:textAlignment w:val="center"/>
              <w:rPr>
                <w:rFonts w:hint="eastAsia"/>
              </w:rPr>
            </w:pPr>
            <w:r>
              <w:rPr>
                <w:rFonts w:ascii="Times New Roman" w:hAnsi="Times New Roman" w:cs="Times New Roman"/>
                <w:color w:val="000000"/>
                <w:sz w:val="18"/>
                <w:szCs w:val="18"/>
              </w:rPr>
              <w:t>100</w:t>
            </w:r>
          </w:p>
        </w:tc>
        <w:tc>
          <w:tcPr>
            <w:tcW w:w="449" w:type="pct"/>
            <w:vAlign w:val="center"/>
          </w:tcPr>
          <w:p w14:paraId="74FF92ED">
            <w:pPr>
              <w:jc w:val="center"/>
              <w:textAlignment w:val="center"/>
              <w:rPr>
                <w:rFonts w:hint="eastAsia"/>
              </w:rPr>
            </w:pPr>
            <w:r>
              <w:rPr>
                <w:rFonts w:ascii="Times New Roman" w:hAnsi="Times New Roman" w:cs="Times New Roman"/>
                <w:color w:val="000000"/>
                <w:sz w:val="18"/>
                <w:szCs w:val="18"/>
              </w:rPr>
              <w:t>5.3</w:t>
            </w:r>
          </w:p>
        </w:tc>
        <w:tc>
          <w:tcPr>
            <w:tcW w:w="401" w:type="pct"/>
            <w:vAlign w:val="center"/>
          </w:tcPr>
          <w:p w14:paraId="0BB47A26">
            <w:pPr>
              <w:jc w:val="center"/>
              <w:textAlignment w:val="center"/>
              <w:rPr>
                <w:rFonts w:hint="eastAsia"/>
              </w:rPr>
            </w:pPr>
            <w:r>
              <w:rPr>
                <w:rFonts w:ascii="Times New Roman" w:hAnsi="Times New Roman" w:cs="Times New Roman"/>
                <w:color w:val="000000"/>
                <w:sz w:val="18"/>
                <w:szCs w:val="18"/>
              </w:rPr>
              <w:t>42.4</w:t>
            </w:r>
          </w:p>
        </w:tc>
        <w:tc>
          <w:tcPr>
            <w:tcW w:w="519" w:type="pct"/>
            <w:vMerge w:val="continue"/>
            <w:vAlign w:val="center"/>
          </w:tcPr>
          <w:p w14:paraId="25BEB496">
            <w:pPr>
              <w:pStyle w:val="557"/>
            </w:pPr>
          </w:p>
        </w:tc>
        <w:tc>
          <w:tcPr>
            <w:tcW w:w="362" w:type="pct"/>
            <w:vAlign w:val="center"/>
          </w:tcPr>
          <w:p w14:paraId="20229B7C">
            <w:pPr>
              <w:pStyle w:val="557"/>
            </w:pPr>
            <w:r>
              <w:t>/</w:t>
            </w:r>
          </w:p>
        </w:tc>
        <w:tc>
          <w:tcPr>
            <w:tcW w:w="370" w:type="pct"/>
            <w:vMerge w:val="continue"/>
            <w:vAlign w:val="center"/>
          </w:tcPr>
          <w:p w14:paraId="6AB3B857">
            <w:pPr>
              <w:pStyle w:val="557"/>
            </w:pPr>
          </w:p>
        </w:tc>
        <w:tc>
          <w:tcPr>
            <w:tcW w:w="342" w:type="pct"/>
            <w:vAlign w:val="center"/>
          </w:tcPr>
          <w:p w14:paraId="0BB3C8B6">
            <w:pPr>
              <w:jc w:val="center"/>
              <w:textAlignment w:val="center"/>
              <w:rPr>
                <w:rFonts w:hint="eastAsia"/>
              </w:rPr>
            </w:pPr>
            <w:r>
              <w:rPr>
                <w:rFonts w:ascii="Times New Roman" w:hAnsi="Times New Roman" w:cs="Times New Roman"/>
                <w:color w:val="000000"/>
                <w:sz w:val="18"/>
                <w:szCs w:val="18"/>
              </w:rPr>
              <w:t>100</w:t>
            </w:r>
          </w:p>
        </w:tc>
        <w:tc>
          <w:tcPr>
            <w:tcW w:w="319" w:type="pct"/>
            <w:vAlign w:val="center"/>
          </w:tcPr>
          <w:p w14:paraId="0B279F33">
            <w:pPr>
              <w:jc w:val="center"/>
              <w:textAlignment w:val="center"/>
              <w:rPr>
                <w:rFonts w:hint="eastAsia"/>
              </w:rPr>
            </w:pPr>
            <w:r>
              <w:rPr>
                <w:rFonts w:ascii="Times New Roman" w:hAnsi="Times New Roman" w:cs="Times New Roman"/>
                <w:color w:val="000000"/>
                <w:sz w:val="18"/>
                <w:szCs w:val="18"/>
              </w:rPr>
              <w:t>5.3</w:t>
            </w:r>
          </w:p>
        </w:tc>
        <w:tc>
          <w:tcPr>
            <w:tcW w:w="312" w:type="pct"/>
            <w:vAlign w:val="center"/>
          </w:tcPr>
          <w:p w14:paraId="0A131A08">
            <w:pPr>
              <w:jc w:val="center"/>
              <w:textAlignment w:val="center"/>
              <w:rPr>
                <w:rFonts w:hint="eastAsia"/>
              </w:rPr>
            </w:pPr>
            <w:r>
              <w:rPr>
                <w:rFonts w:ascii="Times New Roman" w:hAnsi="Times New Roman" w:cs="Times New Roman"/>
                <w:color w:val="000000"/>
                <w:sz w:val="18"/>
                <w:szCs w:val="18"/>
              </w:rPr>
              <w:t>42.4</w:t>
            </w:r>
          </w:p>
        </w:tc>
      </w:tr>
      <w:bookmarkEnd w:id="124"/>
      <w:bookmarkEnd w:id="126"/>
      <w:bookmarkEnd w:id="127"/>
      <w:bookmarkEnd w:id="128"/>
    </w:tbl>
    <w:p w14:paraId="6AF01D14">
      <w:pPr>
        <w:pStyle w:val="281"/>
        <w:ind w:firstLine="480"/>
        <w:rPr>
          <w:u w:color="000000"/>
        </w:rPr>
      </w:pPr>
      <w:r>
        <w:rPr>
          <w:rFonts w:hint="eastAsia"/>
          <w:u w:color="000000"/>
        </w:rPr>
        <w:t>（</w:t>
      </w:r>
      <w:r>
        <w:rPr>
          <w:u w:color="000000"/>
        </w:rPr>
        <w:t>3</w:t>
      </w:r>
      <w:r>
        <w:rPr>
          <w:rFonts w:hint="eastAsia"/>
          <w:u w:color="000000"/>
        </w:rPr>
        <w:t>）粉煤锁斗排气（</w:t>
      </w:r>
      <w:bookmarkStart w:id="129" w:name="OLE_LINK5"/>
      <w:r>
        <w:rPr>
          <w:rFonts w:hint="eastAsia"/>
          <w:u w:color="000000"/>
        </w:rPr>
        <w:t>G</w:t>
      </w:r>
      <w:r>
        <w:rPr>
          <w:rFonts w:hint="eastAsia"/>
          <w:u w:color="000000"/>
          <w:vertAlign w:val="subscript"/>
        </w:rPr>
        <w:t>1-</w:t>
      </w:r>
      <w:r>
        <w:rPr>
          <w:u w:color="000000"/>
          <w:vertAlign w:val="subscript"/>
        </w:rPr>
        <w:t>3</w:t>
      </w:r>
      <w:bookmarkEnd w:id="129"/>
      <w:r>
        <w:rPr>
          <w:rFonts w:hint="eastAsia"/>
          <w:u w:color="000000"/>
        </w:rPr>
        <w:t>）</w:t>
      </w:r>
    </w:p>
    <w:p w14:paraId="189877FD">
      <w:pPr>
        <w:pStyle w:val="281"/>
        <w:ind w:firstLine="480"/>
      </w:pPr>
      <w:r>
        <w:rPr>
          <w:rFonts w:hint="eastAsia" w:cs="Times New Roman"/>
          <w:szCs w:val="24"/>
        </w:rPr>
        <w:t>一次加料过程中，常压粉煤贮罐内的粉煤通过重力作用进入粉煤锁斗。</w:t>
      </w:r>
      <w:r>
        <w:rPr>
          <w:rFonts w:hint="eastAsia"/>
          <w:u w:color="000000"/>
        </w:rPr>
        <w:t>粉煤锁斗排气</w:t>
      </w:r>
      <w:r>
        <w:rPr>
          <w:u w:color="000000"/>
        </w:rPr>
        <w:t>主要污染物为颗粒物</w:t>
      </w:r>
      <w:r>
        <w:rPr>
          <w:rFonts w:hint="eastAsia"/>
          <w:u w:color="000000"/>
        </w:rPr>
        <w:t>，产生源强类比《新疆新昊化工有限公司资源清洁利用绿色低碳多联产项目环境影响报告书》，粉煤锁斗</w:t>
      </w:r>
      <w:r>
        <w:rPr>
          <w:rFonts w:hint="eastAsia"/>
        </w:rPr>
        <w:t>废气产排情况见表</w:t>
      </w:r>
      <w:r>
        <w:t>3.2.2-1</w:t>
      </w:r>
      <w:r>
        <w:rPr>
          <w:rFonts w:hint="eastAsia"/>
        </w:rPr>
        <w:t>4。</w:t>
      </w:r>
    </w:p>
    <w:p w14:paraId="2C3FD1CB">
      <w:pPr>
        <w:pStyle w:val="645"/>
        <w:rPr>
          <w:rFonts w:hint="eastAsia"/>
          <w:u w:color="000000"/>
        </w:rPr>
      </w:pPr>
      <w:r>
        <w:rPr>
          <w:rFonts w:hint="eastAsia"/>
        </w:rPr>
        <w:t>表</w:t>
      </w:r>
      <w:r>
        <w:t>3.2.2-1</w:t>
      </w:r>
      <w:r>
        <w:rPr>
          <w:rFonts w:hint="eastAsia"/>
        </w:rPr>
        <w:t>4</w:t>
      </w:r>
      <w:r>
        <w:t xml:space="preserve">    </w:t>
      </w:r>
      <w:r>
        <w:rPr>
          <w:rFonts w:hint="eastAsia"/>
          <w:u w:color="000000"/>
        </w:rPr>
        <w:t>粉煤仓</w:t>
      </w:r>
      <w:r>
        <w:rPr>
          <w:rFonts w:hint="eastAsia"/>
        </w:rPr>
        <w:t>废气产排情况</w:t>
      </w:r>
      <w:r>
        <w:t>一览表</w:t>
      </w:r>
    </w:p>
    <w:tbl>
      <w:tblPr>
        <w:tblStyle w:val="65"/>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4"/>
        <w:gridCol w:w="853"/>
        <w:gridCol w:w="709"/>
        <w:gridCol w:w="686"/>
        <w:gridCol w:w="652"/>
        <w:gridCol w:w="570"/>
        <w:gridCol w:w="537"/>
        <w:gridCol w:w="1134"/>
        <w:gridCol w:w="530"/>
        <w:gridCol w:w="708"/>
        <w:gridCol w:w="708"/>
        <w:gridCol w:w="427"/>
        <w:gridCol w:w="606"/>
      </w:tblGrid>
      <w:tr w14:paraId="6315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4" w:hRule="atLeast"/>
          <w:jc w:val="center"/>
        </w:trPr>
        <w:tc>
          <w:tcPr>
            <w:tcW w:w="225" w:type="pct"/>
            <w:vAlign w:val="center"/>
          </w:tcPr>
          <w:p w14:paraId="27602B05">
            <w:pPr>
              <w:pStyle w:val="557"/>
            </w:pPr>
            <w:r>
              <w:t>序号</w:t>
            </w:r>
          </w:p>
        </w:tc>
        <w:tc>
          <w:tcPr>
            <w:tcW w:w="500" w:type="pct"/>
            <w:vAlign w:val="center"/>
          </w:tcPr>
          <w:p w14:paraId="2F5F233A">
            <w:pPr>
              <w:pStyle w:val="557"/>
            </w:pPr>
            <w:r>
              <w:t>污染源</w:t>
            </w:r>
          </w:p>
        </w:tc>
        <w:tc>
          <w:tcPr>
            <w:tcW w:w="416" w:type="pct"/>
            <w:vAlign w:val="center"/>
          </w:tcPr>
          <w:p w14:paraId="6FD73BB0">
            <w:pPr>
              <w:pStyle w:val="557"/>
            </w:pPr>
            <w:r>
              <w:t>核算方法</w:t>
            </w:r>
          </w:p>
        </w:tc>
        <w:tc>
          <w:tcPr>
            <w:tcW w:w="403" w:type="pct"/>
            <w:vAlign w:val="center"/>
          </w:tcPr>
          <w:p w14:paraId="2F19C40D">
            <w:pPr>
              <w:pStyle w:val="557"/>
            </w:pPr>
            <w:r>
              <w:t>污染物</w:t>
            </w:r>
          </w:p>
        </w:tc>
        <w:tc>
          <w:tcPr>
            <w:tcW w:w="383" w:type="pct"/>
            <w:vAlign w:val="center"/>
          </w:tcPr>
          <w:p w14:paraId="0A82FCF8">
            <w:pPr>
              <w:pStyle w:val="557"/>
            </w:pPr>
            <w:r>
              <w:t>产生浓度mg/m</w:t>
            </w:r>
            <w:r>
              <w:rPr>
                <w:vertAlign w:val="superscript"/>
              </w:rPr>
              <w:t>3</w:t>
            </w:r>
          </w:p>
        </w:tc>
        <w:tc>
          <w:tcPr>
            <w:tcW w:w="335" w:type="pct"/>
            <w:vAlign w:val="center"/>
          </w:tcPr>
          <w:p w14:paraId="5E2F6C31">
            <w:pPr>
              <w:pStyle w:val="557"/>
            </w:pPr>
            <w:r>
              <w:t>产生</w:t>
            </w:r>
            <w:r>
              <w:rPr>
                <w:rFonts w:hint="eastAsia"/>
              </w:rPr>
              <w:t>速率</w:t>
            </w:r>
            <w:r>
              <w:t>kg/h</w:t>
            </w:r>
          </w:p>
        </w:tc>
        <w:tc>
          <w:tcPr>
            <w:tcW w:w="316" w:type="pct"/>
            <w:vAlign w:val="center"/>
          </w:tcPr>
          <w:p w14:paraId="5C56732F">
            <w:pPr>
              <w:pStyle w:val="557"/>
            </w:pPr>
            <w:r>
              <w:rPr>
                <w:rFonts w:hint="eastAsia"/>
              </w:rPr>
              <w:t>产生量t/a</w:t>
            </w:r>
          </w:p>
        </w:tc>
        <w:tc>
          <w:tcPr>
            <w:tcW w:w="666" w:type="pct"/>
            <w:vAlign w:val="center"/>
          </w:tcPr>
          <w:p w14:paraId="7B8DB4AD">
            <w:pPr>
              <w:pStyle w:val="557"/>
            </w:pPr>
            <w:r>
              <w:rPr>
                <w:rFonts w:hint="eastAsia"/>
              </w:rPr>
              <w:t>治理</w:t>
            </w:r>
            <w:r>
              <w:t>措施</w:t>
            </w:r>
          </w:p>
        </w:tc>
        <w:tc>
          <w:tcPr>
            <w:tcW w:w="312" w:type="pct"/>
            <w:vAlign w:val="center"/>
          </w:tcPr>
          <w:p w14:paraId="0659528D">
            <w:pPr>
              <w:pStyle w:val="557"/>
            </w:pPr>
            <w:r>
              <w:rPr>
                <w:rFonts w:hint="eastAsia"/>
              </w:rPr>
              <w:t>去除效率</w:t>
            </w:r>
          </w:p>
        </w:tc>
        <w:tc>
          <w:tcPr>
            <w:tcW w:w="416" w:type="pct"/>
            <w:vAlign w:val="center"/>
          </w:tcPr>
          <w:p w14:paraId="2BC0AEE2">
            <w:pPr>
              <w:pStyle w:val="557"/>
            </w:pPr>
            <w:r>
              <w:t>排气量</w:t>
            </w:r>
          </w:p>
          <w:p w14:paraId="1A01EEC4">
            <w:pPr>
              <w:pStyle w:val="557"/>
            </w:pPr>
            <w:r>
              <w:t>m</w:t>
            </w:r>
            <w:r>
              <w:rPr>
                <w:vertAlign w:val="superscript"/>
              </w:rPr>
              <w:t>3</w:t>
            </w:r>
            <w:r>
              <w:t>/h</w:t>
            </w:r>
          </w:p>
        </w:tc>
        <w:tc>
          <w:tcPr>
            <w:tcW w:w="416" w:type="pct"/>
            <w:vAlign w:val="center"/>
          </w:tcPr>
          <w:p w14:paraId="5731A6CD">
            <w:pPr>
              <w:pStyle w:val="557"/>
            </w:pPr>
            <w:r>
              <w:t>排放浓度mg/m</w:t>
            </w:r>
            <w:r>
              <w:rPr>
                <w:vertAlign w:val="superscript"/>
              </w:rPr>
              <w:t>3</w:t>
            </w:r>
          </w:p>
        </w:tc>
        <w:tc>
          <w:tcPr>
            <w:tcW w:w="251" w:type="pct"/>
            <w:vAlign w:val="center"/>
          </w:tcPr>
          <w:p w14:paraId="26D8D8E5">
            <w:pPr>
              <w:pStyle w:val="557"/>
            </w:pPr>
            <w:r>
              <w:t>排放</w:t>
            </w:r>
            <w:r>
              <w:rPr>
                <w:rFonts w:hint="eastAsia"/>
              </w:rPr>
              <w:t>速率</w:t>
            </w:r>
          </w:p>
          <w:p w14:paraId="68059B89">
            <w:pPr>
              <w:pStyle w:val="557"/>
            </w:pPr>
            <w:r>
              <w:t>kg/h</w:t>
            </w:r>
          </w:p>
        </w:tc>
        <w:tc>
          <w:tcPr>
            <w:tcW w:w="356" w:type="pct"/>
            <w:vAlign w:val="center"/>
          </w:tcPr>
          <w:p w14:paraId="3A2CC883">
            <w:pPr>
              <w:pStyle w:val="557"/>
            </w:pPr>
            <w:r>
              <w:t>排放</w:t>
            </w:r>
            <w:r>
              <w:rPr>
                <w:rFonts w:hint="eastAsia"/>
              </w:rPr>
              <w:t>量t/a</w:t>
            </w:r>
          </w:p>
        </w:tc>
      </w:tr>
      <w:tr w14:paraId="16D6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25" w:type="pct"/>
            <w:vAlign w:val="center"/>
          </w:tcPr>
          <w:p w14:paraId="3B70567B">
            <w:pPr>
              <w:pStyle w:val="557"/>
            </w:pPr>
            <w:r>
              <w:t>G</w:t>
            </w:r>
            <w:r>
              <w:rPr>
                <w:vertAlign w:val="subscript"/>
              </w:rPr>
              <w:t>1-3</w:t>
            </w:r>
          </w:p>
        </w:tc>
        <w:tc>
          <w:tcPr>
            <w:tcW w:w="500" w:type="pct"/>
            <w:vAlign w:val="center"/>
          </w:tcPr>
          <w:p w14:paraId="5FB27F54">
            <w:pPr>
              <w:pStyle w:val="557"/>
            </w:pPr>
            <w:r>
              <w:rPr>
                <w:rFonts w:hint="eastAsia"/>
              </w:rPr>
              <w:t>粉煤锁斗</w:t>
            </w:r>
          </w:p>
        </w:tc>
        <w:tc>
          <w:tcPr>
            <w:tcW w:w="416" w:type="pct"/>
            <w:vAlign w:val="center"/>
          </w:tcPr>
          <w:p w14:paraId="5DCBA0C4">
            <w:pPr>
              <w:pStyle w:val="557"/>
            </w:pPr>
            <w:r>
              <w:t>类比法</w:t>
            </w:r>
          </w:p>
        </w:tc>
        <w:tc>
          <w:tcPr>
            <w:tcW w:w="687" w:type="dxa"/>
            <w:vAlign w:val="center"/>
          </w:tcPr>
          <w:p w14:paraId="67E36494">
            <w:pPr>
              <w:pStyle w:val="557"/>
            </w:pPr>
            <w:r>
              <w:t>颗粒物</w:t>
            </w:r>
          </w:p>
        </w:tc>
        <w:tc>
          <w:tcPr>
            <w:tcW w:w="653" w:type="dxa"/>
            <w:vAlign w:val="center"/>
          </w:tcPr>
          <w:p w14:paraId="199678C1">
            <w:pPr>
              <w:pStyle w:val="557"/>
            </w:pPr>
            <w:r>
              <w:t>3000</w:t>
            </w:r>
          </w:p>
        </w:tc>
        <w:tc>
          <w:tcPr>
            <w:tcW w:w="570" w:type="dxa"/>
            <w:vAlign w:val="center"/>
          </w:tcPr>
          <w:p w14:paraId="3CA348AC">
            <w:pPr>
              <w:pStyle w:val="557"/>
            </w:pPr>
            <w:r>
              <w:rPr>
                <w:rFonts w:hint="eastAsia"/>
              </w:rPr>
              <w:t>14.86</w:t>
            </w:r>
          </w:p>
        </w:tc>
        <w:tc>
          <w:tcPr>
            <w:tcW w:w="538" w:type="dxa"/>
            <w:vAlign w:val="center"/>
          </w:tcPr>
          <w:p w14:paraId="5F27D00A">
            <w:pPr>
              <w:pStyle w:val="557"/>
            </w:pPr>
            <w:r>
              <w:rPr>
                <w:rFonts w:hint="eastAsia"/>
              </w:rPr>
              <w:t>118.84</w:t>
            </w:r>
          </w:p>
        </w:tc>
        <w:tc>
          <w:tcPr>
            <w:tcW w:w="1133" w:type="dxa"/>
            <w:vAlign w:val="center"/>
          </w:tcPr>
          <w:p w14:paraId="1564FC82">
            <w:pPr>
              <w:pStyle w:val="557"/>
            </w:pPr>
            <w:r>
              <w:rPr>
                <w:rFonts w:hint="eastAsia"/>
              </w:rPr>
              <w:t>袋式</w:t>
            </w:r>
            <w:r>
              <w:t>除尘器</w:t>
            </w:r>
          </w:p>
        </w:tc>
        <w:tc>
          <w:tcPr>
            <w:tcW w:w="531" w:type="dxa"/>
            <w:vAlign w:val="center"/>
          </w:tcPr>
          <w:p w14:paraId="5E37B7C7">
            <w:pPr>
              <w:pStyle w:val="557"/>
            </w:pPr>
            <w:r>
              <w:t>99.0%</w:t>
            </w:r>
          </w:p>
        </w:tc>
        <w:tc>
          <w:tcPr>
            <w:tcW w:w="709" w:type="dxa"/>
            <w:vAlign w:val="center"/>
          </w:tcPr>
          <w:p w14:paraId="1A92421C">
            <w:pPr>
              <w:pStyle w:val="557"/>
            </w:pPr>
            <w:r>
              <w:rPr>
                <w:rFonts w:hint="eastAsia"/>
              </w:rPr>
              <w:t>8500</w:t>
            </w:r>
          </w:p>
        </w:tc>
        <w:tc>
          <w:tcPr>
            <w:tcW w:w="709" w:type="dxa"/>
            <w:vAlign w:val="center"/>
          </w:tcPr>
          <w:p w14:paraId="77FEE677">
            <w:pPr>
              <w:pStyle w:val="557"/>
            </w:pPr>
            <w:r>
              <w:rPr>
                <w:rFonts w:hint="eastAsia"/>
              </w:rPr>
              <w:t>17.65</w:t>
            </w:r>
          </w:p>
        </w:tc>
        <w:tc>
          <w:tcPr>
            <w:tcW w:w="427" w:type="dxa"/>
            <w:vAlign w:val="center"/>
          </w:tcPr>
          <w:p w14:paraId="08DC4936">
            <w:pPr>
              <w:pStyle w:val="557"/>
            </w:pPr>
            <w:r>
              <w:t>0.1</w:t>
            </w:r>
            <w:r>
              <w:rPr>
                <w:rFonts w:hint="eastAsia"/>
              </w:rPr>
              <w:t>5</w:t>
            </w:r>
          </w:p>
        </w:tc>
        <w:tc>
          <w:tcPr>
            <w:tcW w:w="606" w:type="dxa"/>
            <w:vAlign w:val="center"/>
          </w:tcPr>
          <w:p w14:paraId="05F15857">
            <w:pPr>
              <w:pStyle w:val="557"/>
            </w:pPr>
            <w:r>
              <w:rPr>
                <w:rFonts w:hint="eastAsia"/>
              </w:rPr>
              <w:t>1.19</w:t>
            </w:r>
          </w:p>
        </w:tc>
      </w:tr>
    </w:tbl>
    <w:p w14:paraId="4497A7B1">
      <w:pPr>
        <w:pStyle w:val="281"/>
        <w:ind w:firstLine="480"/>
      </w:pPr>
      <w:r>
        <w:rPr>
          <w:rFonts w:hint="eastAsia"/>
          <w:u w:color="000000"/>
        </w:rPr>
        <w:t>（4）</w:t>
      </w:r>
      <w:r>
        <w:rPr>
          <w:rFonts w:hint="eastAsia"/>
        </w:rPr>
        <w:t>闪蒸不</w:t>
      </w:r>
      <w:r>
        <w:t>凝气</w:t>
      </w:r>
      <w:r>
        <w:rPr>
          <w:rFonts w:hint="eastAsia"/>
        </w:rPr>
        <w:t>（</w:t>
      </w:r>
      <w:r>
        <w:rPr>
          <w:rFonts w:hint="eastAsia"/>
          <w:u w:color="000000"/>
        </w:rPr>
        <w:t>G</w:t>
      </w:r>
      <w:r>
        <w:rPr>
          <w:rFonts w:hint="eastAsia"/>
          <w:u w:color="000000"/>
          <w:vertAlign w:val="subscript"/>
        </w:rPr>
        <w:t>1-4</w:t>
      </w:r>
      <w:r>
        <w:rPr>
          <w:rFonts w:hint="eastAsia"/>
        </w:rPr>
        <w:t>）</w:t>
      </w:r>
    </w:p>
    <w:p w14:paraId="09090260">
      <w:pPr>
        <w:pStyle w:val="281"/>
        <w:ind w:firstLine="480"/>
        <w:rPr>
          <w:rFonts w:cs="Times New Roman"/>
          <w:szCs w:val="24"/>
          <w:u w:color="000000"/>
        </w:rPr>
      </w:pPr>
      <w:r>
        <w:rPr>
          <w:rFonts w:hint="eastAsia" w:cs="Times New Roman"/>
          <w:szCs w:val="24"/>
        </w:rPr>
        <w:t>低压闪蒸罐底部的黑水减压后再送到真空闪蒸罐闪蒸，顶部闪蒸出来的蒸汽进入低闪汽提塔与灰水逆流换热，然后进入低闪冷凝器，分离出的闪蒸不凝气送硫回收。</w:t>
      </w:r>
      <w:r>
        <w:rPr>
          <w:rFonts w:hint="eastAsia" w:cs="Times New Roman"/>
          <w:u w:color="000000"/>
        </w:rPr>
        <w:t>闪蒸</w:t>
      </w:r>
      <w:r>
        <w:rPr>
          <w:rFonts w:cs="Times New Roman"/>
          <w:u w:color="000000"/>
        </w:rPr>
        <w:t>不凝气</w:t>
      </w:r>
      <w:r>
        <w:rPr>
          <w:rFonts w:cs="Times New Roman"/>
          <w:szCs w:val="24"/>
          <w:u w:color="000000"/>
        </w:rPr>
        <w:t>成分见表3.2.2-1</w:t>
      </w:r>
      <w:r>
        <w:rPr>
          <w:rFonts w:hint="eastAsia" w:cs="Times New Roman"/>
          <w:szCs w:val="24"/>
          <w:u w:color="000000"/>
        </w:rPr>
        <w:t>5</w:t>
      </w:r>
      <w:r>
        <w:rPr>
          <w:rFonts w:cs="Times New Roman"/>
          <w:szCs w:val="24"/>
          <w:u w:color="000000"/>
        </w:rPr>
        <w:t>。</w:t>
      </w:r>
    </w:p>
    <w:p w14:paraId="39ACE4E2">
      <w:pPr>
        <w:pStyle w:val="535"/>
        <w:rPr>
          <w:rFonts w:hint="eastAsia"/>
          <w:color w:val="auto"/>
        </w:rPr>
      </w:pPr>
      <w:r>
        <w:rPr>
          <w:rFonts w:hint="eastAsia"/>
          <w:color w:val="auto"/>
        </w:rPr>
        <w:t>表3.2.2-15</w:t>
      </w:r>
      <w:r>
        <w:rPr>
          <w:color w:val="auto"/>
        </w:rPr>
        <w:t xml:space="preserve"> </w:t>
      </w:r>
      <w:r>
        <w:rPr>
          <w:rFonts w:hint="eastAsia"/>
          <w:color w:val="auto"/>
        </w:rPr>
        <w:t xml:space="preserve"> </w:t>
      </w:r>
      <w:r>
        <w:rPr>
          <w:color w:val="auto"/>
        </w:rPr>
        <w:t xml:space="preserve"> </w:t>
      </w:r>
      <w:r>
        <w:rPr>
          <w:rFonts w:hint="eastAsia"/>
          <w:u w:color="000000"/>
        </w:rPr>
        <w:t>闪蒸不凝气</w:t>
      </w:r>
      <w:r>
        <w:rPr>
          <w:rFonts w:hint="eastAsia"/>
          <w:color w:val="auto"/>
        </w:rPr>
        <w:t>组分一览表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073"/>
        <w:gridCol w:w="2552"/>
        <w:gridCol w:w="2451"/>
      </w:tblGrid>
      <w:tr w14:paraId="2000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Align w:val="center"/>
          </w:tcPr>
          <w:p w14:paraId="38D57AEF">
            <w:pPr>
              <w:pStyle w:val="190"/>
              <w:rPr>
                <w:rFonts w:ascii="Times New Roman" w:hAnsi="Times New Roman" w:cs="Times New Roman"/>
                <w:kern w:val="2"/>
                <w:szCs w:val="18"/>
              </w:rPr>
            </w:pPr>
            <w:r>
              <w:rPr>
                <w:rFonts w:ascii="Times New Roman" w:hAnsi="Times New Roman" w:cs="Times New Roman"/>
                <w:kern w:val="2"/>
                <w:szCs w:val="18"/>
              </w:rPr>
              <w:t>序号</w:t>
            </w:r>
          </w:p>
        </w:tc>
        <w:tc>
          <w:tcPr>
            <w:tcW w:w="2073" w:type="dxa"/>
            <w:vAlign w:val="center"/>
          </w:tcPr>
          <w:p w14:paraId="70D9EB94">
            <w:pPr>
              <w:pStyle w:val="190"/>
              <w:rPr>
                <w:rFonts w:ascii="Times New Roman" w:hAnsi="Times New Roman" w:cs="Times New Roman"/>
                <w:kern w:val="2"/>
                <w:szCs w:val="18"/>
              </w:rPr>
            </w:pPr>
            <w:r>
              <w:rPr>
                <w:rFonts w:ascii="Times New Roman" w:hAnsi="Times New Roman" w:cs="Times New Roman"/>
                <w:kern w:val="2"/>
                <w:szCs w:val="18"/>
              </w:rPr>
              <w:t>组分</w:t>
            </w:r>
          </w:p>
        </w:tc>
        <w:tc>
          <w:tcPr>
            <w:tcW w:w="2552" w:type="dxa"/>
            <w:vAlign w:val="center"/>
          </w:tcPr>
          <w:p w14:paraId="732F74EA">
            <w:pPr>
              <w:pStyle w:val="190"/>
              <w:rPr>
                <w:rFonts w:ascii="Times New Roman" w:hAnsi="Times New Roman" w:cs="Times New Roman"/>
                <w:kern w:val="2"/>
                <w:szCs w:val="18"/>
              </w:rPr>
            </w:pPr>
            <w:r>
              <w:rPr>
                <w:rFonts w:ascii="Times New Roman" w:hAnsi="Times New Roman" w:cs="Times New Roman"/>
                <w:kern w:val="2"/>
                <w:szCs w:val="18"/>
              </w:rPr>
              <w:t>含量（v%）</w:t>
            </w:r>
          </w:p>
        </w:tc>
        <w:tc>
          <w:tcPr>
            <w:tcW w:w="2451" w:type="dxa"/>
            <w:vAlign w:val="center"/>
          </w:tcPr>
          <w:p w14:paraId="7EA5216D">
            <w:pPr>
              <w:pStyle w:val="190"/>
              <w:rPr>
                <w:rFonts w:ascii="Times New Roman" w:hAnsi="Times New Roman" w:cs="Times New Roman"/>
                <w:kern w:val="2"/>
                <w:szCs w:val="18"/>
              </w:rPr>
            </w:pPr>
            <w:r>
              <w:rPr>
                <w:rFonts w:ascii="Times New Roman" w:hAnsi="Times New Roman" w:cs="Times New Roman"/>
                <w:kern w:val="2"/>
                <w:szCs w:val="18"/>
              </w:rPr>
              <w:t>气量（</w:t>
            </w:r>
            <w:r>
              <w:rPr>
                <w:rFonts w:ascii="Times New Roman" w:hAnsi="Times New Roman" w:cs="Times New Roman"/>
                <w:szCs w:val="18"/>
              </w:rPr>
              <w:t>Nm</w:t>
            </w:r>
            <w:r>
              <w:rPr>
                <w:rFonts w:ascii="Times New Roman" w:hAnsi="Times New Roman" w:cs="Times New Roman"/>
                <w:szCs w:val="18"/>
                <w:vertAlign w:val="superscript"/>
              </w:rPr>
              <w:t>3</w:t>
            </w:r>
            <w:r>
              <w:rPr>
                <w:rFonts w:ascii="Times New Roman" w:hAnsi="Times New Roman" w:cs="Times New Roman"/>
                <w:szCs w:val="18"/>
              </w:rPr>
              <w:t>/h</w:t>
            </w:r>
            <w:r>
              <w:rPr>
                <w:rFonts w:ascii="Times New Roman" w:hAnsi="Times New Roman" w:cs="Times New Roman"/>
                <w:kern w:val="2"/>
                <w:szCs w:val="18"/>
              </w:rPr>
              <w:t>）</w:t>
            </w:r>
          </w:p>
        </w:tc>
      </w:tr>
      <w:tr w14:paraId="53E0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restart"/>
            <w:vAlign w:val="center"/>
          </w:tcPr>
          <w:p w14:paraId="4683DF15">
            <w:pPr>
              <w:pStyle w:val="190"/>
              <w:rPr>
                <w:rFonts w:ascii="Times New Roman" w:hAnsi="Times New Roman" w:cs="Times New Roman"/>
                <w:kern w:val="2"/>
                <w:szCs w:val="18"/>
              </w:rPr>
            </w:pPr>
            <w:r>
              <w:rPr>
                <w:rFonts w:hint="eastAsia" w:ascii="Times New Roman" w:hAnsi="Times New Roman" w:cs="Times New Roman"/>
                <w:kern w:val="2"/>
                <w:szCs w:val="18"/>
              </w:rPr>
              <w:t>闪蒸</w:t>
            </w:r>
            <w:r>
              <w:rPr>
                <w:rFonts w:ascii="Times New Roman" w:hAnsi="Times New Roman" w:cs="Times New Roman"/>
                <w:u w:color="000000"/>
              </w:rPr>
              <w:t>不凝气</w:t>
            </w:r>
          </w:p>
        </w:tc>
        <w:tc>
          <w:tcPr>
            <w:tcW w:w="2073" w:type="dxa"/>
            <w:vAlign w:val="center"/>
          </w:tcPr>
          <w:p w14:paraId="4C1209E3">
            <w:pPr>
              <w:pStyle w:val="190"/>
              <w:rPr>
                <w:rFonts w:ascii="Times New Roman" w:hAnsi="Times New Roman" w:cs="Times New Roman"/>
                <w:szCs w:val="18"/>
              </w:rPr>
            </w:pPr>
            <w:r>
              <w:rPr>
                <w:rFonts w:ascii="Times New Roman" w:hAnsi="Times New Roman" w:eastAsia="等线" w:cs="Times New Roman"/>
                <w:szCs w:val="18"/>
              </w:rPr>
              <w:t>H</w:t>
            </w:r>
            <w:r>
              <w:rPr>
                <w:rFonts w:ascii="Times New Roman" w:hAnsi="Times New Roman" w:eastAsia="等线" w:cs="Times New Roman"/>
                <w:szCs w:val="18"/>
                <w:vertAlign w:val="subscript"/>
              </w:rPr>
              <w:t>2</w:t>
            </w:r>
            <w:r>
              <w:rPr>
                <w:rFonts w:ascii="Times New Roman" w:hAnsi="Times New Roman" w:eastAsia="等线" w:cs="Times New Roman"/>
                <w:szCs w:val="18"/>
              </w:rPr>
              <w:t>O</w:t>
            </w:r>
          </w:p>
        </w:tc>
        <w:tc>
          <w:tcPr>
            <w:tcW w:w="2552" w:type="dxa"/>
            <w:vAlign w:val="center"/>
          </w:tcPr>
          <w:p w14:paraId="6B121A76">
            <w:pPr>
              <w:pStyle w:val="190"/>
              <w:rPr>
                <w:rFonts w:ascii="Times New Roman" w:hAnsi="Times New Roman" w:cs="Times New Roman"/>
                <w:szCs w:val="18"/>
              </w:rPr>
            </w:pPr>
            <w:r>
              <w:rPr>
                <w:rFonts w:hint="eastAsia" w:ascii="Times New Roman" w:hAnsi="Times New Roman" w:cs="Times New Roman"/>
                <w:szCs w:val="18"/>
              </w:rPr>
              <w:t>8.326</w:t>
            </w:r>
          </w:p>
        </w:tc>
        <w:tc>
          <w:tcPr>
            <w:tcW w:w="2451" w:type="dxa"/>
            <w:vAlign w:val="center"/>
          </w:tcPr>
          <w:p w14:paraId="308E0845">
            <w:pPr>
              <w:jc w:val="center"/>
              <w:textAlignment w:val="center"/>
              <w:rPr>
                <w:rFonts w:hint="eastAsia"/>
              </w:rPr>
            </w:pPr>
            <w:r>
              <w:rPr>
                <w:rFonts w:ascii="Times New Roman" w:hAnsi="Times New Roman" w:cs="Times New Roman"/>
                <w:color w:val="000000"/>
                <w:sz w:val="18"/>
                <w:szCs w:val="18"/>
              </w:rPr>
              <w:t xml:space="preserve">13.74 </w:t>
            </w:r>
          </w:p>
        </w:tc>
      </w:tr>
      <w:tr w14:paraId="4718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5539E432">
            <w:pPr>
              <w:pStyle w:val="190"/>
              <w:rPr>
                <w:rFonts w:ascii="Times New Roman" w:hAnsi="Times New Roman" w:cs="Times New Roman"/>
                <w:kern w:val="2"/>
                <w:szCs w:val="18"/>
              </w:rPr>
            </w:pPr>
          </w:p>
        </w:tc>
        <w:tc>
          <w:tcPr>
            <w:tcW w:w="2073" w:type="dxa"/>
            <w:vAlign w:val="center"/>
          </w:tcPr>
          <w:p w14:paraId="28F43DD6">
            <w:pPr>
              <w:pStyle w:val="190"/>
              <w:rPr>
                <w:rFonts w:ascii="Times New Roman" w:hAnsi="Times New Roman" w:cs="Times New Roman"/>
                <w:szCs w:val="18"/>
              </w:rPr>
            </w:pPr>
            <w:r>
              <w:rPr>
                <w:rFonts w:ascii="Times New Roman" w:hAnsi="Times New Roman" w:cs="Times New Roman"/>
                <w:szCs w:val="18"/>
              </w:rPr>
              <w:t>CO</w:t>
            </w:r>
          </w:p>
        </w:tc>
        <w:tc>
          <w:tcPr>
            <w:tcW w:w="2552" w:type="dxa"/>
            <w:vAlign w:val="center"/>
          </w:tcPr>
          <w:p w14:paraId="3CF51542">
            <w:pPr>
              <w:pStyle w:val="190"/>
              <w:rPr>
                <w:rFonts w:ascii="Times New Roman" w:hAnsi="Times New Roman" w:cs="Times New Roman"/>
                <w:szCs w:val="18"/>
              </w:rPr>
            </w:pPr>
            <w:r>
              <w:rPr>
                <w:rFonts w:hint="eastAsia" w:ascii="Times New Roman" w:hAnsi="Times New Roman" w:cs="Times New Roman"/>
                <w:szCs w:val="18"/>
              </w:rPr>
              <w:t>28.655</w:t>
            </w:r>
          </w:p>
        </w:tc>
        <w:tc>
          <w:tcPr>
            <w:tcW w:w="2451" w:type="dxa"/>
            <w:vAlign w:val="center"/>
          </w:tcPr>
          <w:p w14:paraId="213D48A4">
            <w:pPr>
              <w:jc w:val="center"/>
              <w:textAlignment w:val="center"/>
              <w:rPr>
                <w:rFonts w:hint="eastAsia"/>
              </w:rPr>
            </w:pPr>
            <w:r>
              <w:rPr>
                <w:rFonts w:ascii="Times New Roman" w:hAnsi="Times New Roman" w:cs="Times New Roman"/>
                <w:color w:val="000000"/>
                <w:sz w:val="18"/>
                <w:szCs w:val="18"/>
              </w:rPr>
              <w:t xml:space="preserve">47.28 </w:t>
            </w:r>
          </w:p>
        </w:tc>
      </w:tr>
      <w:tr w14:paraId="4671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0F88DC57">
            <w:pPr>
              <w:pStyle w:val="190"/>
              <w:rPr>
                <w:rFonts w:ascii="Times New Roman" w:hAnsi="Times New Roman" w:cs="Times New Roman"/>
                <w:kern w:val="2"/>
                <w:szCs w:val="18"/>
              </w:rPr>
            </w:pPr>
          </w:p>
        </w:tc>
        <w:tc>
          <w:tcPr>
            <w:tcW w:w="2073" w:type="dxa"/>
            <w:vAlign w:val="center"/>
          </w:tcPr>
          <w:p w14:paraId="1079A1AB">
            <w:pPr>
              <w:pStyle w:val="190"/>
              <w:rPr>
                <w:rFonts w:ascii="Times New Roman" w:hAnsi="Times New Roman" w:eastAsia="等线" w:cs="Times New Roman"/>
                <w:szCs w:val="18"/>
              </w:rPr>
            </w:pPr>
            <w:r>
              <w:rPr>
                <w:rFonts w:ascii="Times New Roman" w:hAnsi="Times New Roman" w:eastAsia="等线" w:cs="Times New Roman"/>
                <w:szCs w:val="18"/>
              </w:rPr>
              <w:t>H</w:t>
            </w:r>
            <w:r>
              <w:rPr>
                <w:rFonts w:ascii="Times New Roman" w:hAnsi="Times New Roman" w:eastAsia="等线" w:cs="Times New Roman"/>
                <w:szCs w:val="18"/>
                <w:vertAlign w:val="subscript"/>
              </w:rPr>
              <w:t>2</w:t>
            </w:r>
          </w:p>
        </w:tc>
        <w:tc>
          <w:tcPr>
            <w:tcW w:w="2552" w:type="dxa"/>
            <w:vAlign w:val="center"/>
          </w:tcPr>
          <w:p w14:paraId="253BC91B">
            <w:pPr>
              <w:pStyle w:val="190"/>
              <w:rPr>
                <w:rFonts w:ascii="Times New Roman" w:hAnsi="Times New Roman" w:eastAsia="等线" w:cs="Times New Roman"/>
                <w:color w:val="000000"/>
                <w:szCs w:val="18"/>
              </w:rPr>
            </w:pPr>
            <w:r>
              <w:rPr>
                <w:rFonts w:hint="eastAsia" w:ascii="Times New Roman" w:hAnsi="Times New Roman" w:eastAsia="等线" w:cs="Times New Roman"/>
                <w:color w:val="000000"/>
                <w:szCs w:val="18"/>
              </w:rPr>
              <w:t>15.856</w:t>
            </w:r>
          </w:p>
        </w:tc>
        <w:tc>
          <w:tcPr>
            <w:tcW w:w="2451" w:type="dxa"/>
            <w:vAlign w:val="center"/>
          </w:tcPr>
          <w:p w14:paraId="019EDC31">
            <w:pPr>
              <w:jc w:val="center"/>
              <w:textAlignment w:val="center"/>
              <w:rPr>
                <w:rFonts w:hint="eastAsia"/>
              </w:rPr>
            </w:pPr>
            <w:r>
              <w:rPr>
                <w:rFonts w:ascii="Times New Roman" w:hAnsi="Times New Roman" w:cs="Times New Roman"/>
                <w:color w:val="000000"/>
                <w:sz w:val="18"/>
                <w:szCs w:val="18"/>
              </w:rPr>
              <w:t xml:space="preserve">26.16 </w:t>
            </w:r>
          </w:p>
        </w:tc>
      </w:tr>
      <w:tr w14:paraId="5133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1B9B8251">
            <w:pPr>
              <w:pStyle w:val="190"/>
              <w:rPr>
                <w:rFonts w:ascii="Times New Roman" w:hAnsi="Times New Roman" w:cs="Times New Roman"/>
                <w:kern w:val="2"/>
                <w:szCs w:val="18"/>
              </w:rPr>
            </w:pPr>
          </w:p>
        </w:tc>
        <w:tc>
          <w:tcPr>
            <w:tcW w:w="2073" w:type="dxa"/>
            <w:vAlign w:val="center"/>
          </w:tcPr>
          <w:p w14:paraId="37E3152C">
            <w:pPr>
              <w:pStyle w:val="190"/>
              <w:rPr>
                <w:rFonts w:ascii="Times New Roman" w:hAnsi="Times New Roman" w:cs="Times New Roman"/>
                <w:szCs w:val="18"/>
              </w:rPr>
            </w:pPr>
            <w:r>
              <w:rPr>
                <w:rFonts w:ascii="Times New Roman" w:hAnsi="Times New Roman" w:eastAsia="等线" w:cs="Times New Roman"/>
                <w:szCs w:val="18"/>
              </w:rPr>
              <w:t>CO</w:t>
            </w:r>
            <w:r>
              <w:rPr>
                <w:rFonts w:ascii="Times New Roman" w:hAnsi="Times New Roman" w:eastAsia="等线" w:cs="Times New Roman"/>
                <w:szCs w:val="18"/>
                <w:vertAlign w:val="subscript"/>
              </w:rPr>
              <w:t>2</w:t>
            </w:r>
          </w:p>
        </w:tc>
        <w:tc>
          <w:tcPr>
            <w:tcW w:w="2552" w:type="dxa"/>
            <w:vAlign w:val="center"/>
          </w:tcPr>
          <w:p w14:paraId="1DB01838">
            <w:pPr>
              <w:pStyle w:val="190"/>
              <w:rPr>
                <w:rFonts w:ascii="Times New Roman" w:hAnsi="Times New Roman" w:cs="Times New Roman"/>
                <w:szCs w:val="18"/>
              </w:rPr>
            </w:pPr>
            <w:r>
              <w:rPr>
                <w:rFonts w:hint="eastAsia" w:ascii="Times New Roman" w:hAnsi="Times New Roman" w:cs="Times New Roman"/>
                <w:szCs w:val="18"/>
              </w:rPr>
              <w:t>42.424</w:t>
            </w:r>
          </w:p>
        </w:tc>
        <w:tc>
          <w:tcPr>
            <w:tcW w:w="2451" w:type="dxa"/>
            <w:vAlign w:val="center"/>
          </w:tcPr>
          <w:p w14:paraId="079DF104">
            <w:pPr>
              <w:jc w:val="center"/>
              <w:textAlignment w:val="center"/>
              <w:rPr>
                <w:rFonts w:hint="eastAsia"/>
              </w:rPr>
            </w:pPr>
            <w:r>
              <w:rPr>
                <w:rFonts w:ascii="Times New Roman" w:hAnsi="Times New Roman" w:cs="Times New Roman"/>
                <w:color w:val="000000"/>
                <w:sz w:val="18"/>
                <w:szCs w:val="18"/>
              </w:rPr>
              <w:t xml:space="preserve">70.00 </w:t>
            </w:r>
          </w:p>
        </w:tc>
      </w:tr>
      <w:tr w14:paraId="7019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4EB20052">
            <w:pPr>
              <w:pStyle w:val="190"/>
              <w:rPr>
                <w:rFonts w:ascii="Times New Roman" w:hAnsi="Times New Roman" w:cs="Times New Roman"/>
                <w:kern w:val="2"/>
                <w:szCs w:val="18"/>
              </w:rPr>
            </w:pPr>
          </w:p>
        </w:tc>
        <w:tc>
          <w:tcPr>
            <w:tcW w:w="2073" w:type="dxa"/>
            <w:vAlign w:val="center"/>
          </w:tcPr>
          <w:p w14:paraId="1DC32488">
            <w:pPr>
              <w:pStyle w:val="190"/>
              <w:rPr>
                <w:rFonts w:ascii="Times New Roman" w:hAnsi="Times New Roman" w:eastAsia="等线" w:cs="Times New Roman"/>
                <w:szCs w:val="18"/>
              </w:rPr>
            </w:pPr>
            <w:r>
              <w:rPr>
                <w:rFonts w:hint="eastAsia" w:ascii="Times New Roman" w:hAnsi="Times New Roman" w:eastAsia="等线" w:cs="Times New Roman"/>
                <w:szCs w:val="18"/>
              </w:rPr>
              <w:t>CH</w:t>
            </w:r>
            <w:r>
              <w:rPr>
                <w:rFonts w:hint="eastAsia" w:ascii="Times New Roman" w:hAnsi="Times New Roman" w:eastAsia="等线" w:cs="Times New Roman"/>
                <w:szCs w:val="18"/>
                <w:vertAlign w:val="subscript"/>
              </w:rPr>
              <w:t>4</w:t>
            </w:r>
          </w:p>
        </w:tc>
        <w:tc>
          <w:tcPr>
            <w:tcW w:w="2552" w:type="dxa"/>
            <w:vAlign w:val="center"/>
          </w:tcPr>
          <w:p w14:paraId="625D279B">
            <w:pPr>
              <w:pStyle w:val="190"/>
              <w:rPr>
                <w:rFonts w:ascii="Times New Roman" w:hAnsi="Times New Roman" w:eastAsia="等线" w:cs="Times New Roman"/>
                <w:color w:val="000000"/>
                <w:szCs w:val="18"/>
              </w:rPr>
            </w:pPr>
            <w:r>
              <w:rPr>
                <w:rFonts w:hint="eastAsia" w:ascii="Times New Roman" w:hAnsi="Times New Roman" w:eastAsia="等线" w:cs="Times New Roman"/>
                <w:color w:val="000000"/>
                <w:szCs w:val="18"/>
              </w:rPr>
              <w:t>0.011</w:t>
            </w:r>
          </w:p>
        </w:tc>
        <w:tc>
          <w:tcPr>
            <w:tcW w:w="2451" w:type="dxa"/>
            <w:vAlign w:val="center"/>
          </w:tcPr>
          <w:p w14:paraId="2AC559F9">
            <w:pPr>
              <w:jc w:val="center"/>
              <w:textAlignment w:val="center"/>
              <w:rPr>
                <w:rFonts w:hint="eastAsia"/>
              </w:rPr>
            </w:pPr>
            <w:r>
              <w:rPr>
                <w:rFonts w:ascii="Times New Roman" w:hAnsi="Times New Roman" w:cs="Times New Roman"/>
                <w:color w:val="000000"/>
                <w:sz w:val="18"/>
                <w:szCs w:val="18"/>
              </w:rPr>
              <w:t xml:space="preserve">0.02 </w:t>
            </w:r>
          </w:p>
        </w:tc>
      </w:tr>
      <w:tr w14:paraId="5574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1C244492">
            <w:pPr>
              <w:pStyle w:val="190"/>
              <w:rPr>
                <w:rFonts w:ascii="Times New Roman" w:hAnsi="Times New Roman" w:cs="Times New Roman"/>
                <w:kern w:val="2"/>
                <w:szCs w:val="18"/>
              </w:rPr>
            </w:pPr>
          </w:p>
        </w:tc>
        <w:tc>
          <w:tcPr>
            <w:tcW w:w="2073" w:type="dxa"/>
            <w:vAlign w:val="center"/>
          </w:tcPr>
          <w:p w14:paraId="36675002">
            <w:pPr>
              <w:pStyle w:val="190"/>
              <w:rPr>
                <w:rFonts w:ascii="Times New Roman" w:hAnsi="Times New Roman" w:cs="Times New Roman"/>
                <w:szCs w:val="18"/>
                <w:u w:color="000000"/>
              </w:rPr>
            </w:pPr>
            <w:r>
              <w:rPr>
                <w:rFonts w:ascii="Times New Roman" w:hAnsi="Times New Roman" w:eastAsia="等线" w:cs="Times New Roman"/>
                <w:szCs w:val="18"/>
              </w:rPr>
              <w:t>H</w:t>
            </w:r>
            <w:r>
              <w:rPr>
                <w:rFonts w:ascii="Times New Roman" w:hAnsi="Times New Roman" w:eastAsia="等线" w:cs="Times New Roman"/>
                <w:szCs w:val="18"/>
                <w:vertAlign w:val="subscript"/>
              </w:rPr>
              <w:t>2</w:t>
            </w:r>
            <w:r>
              <w:rPr>
                <w:rFonts w:ascii="Times New Roman" w:hAnsi="Times New Roman" w:eastAsia="等线" w:cs="Times New Roman"/>
                <w:szCs w:val="18"/>
              </w:rPr>
              <w:t>S</w:t>
            </w:r>
          </w:p>
        </w:tc>
        <w:tc>
          <w:tcPr>
            <w:tcW w:w="2552" w:type="dxa"/>
            <w:vAlign w:val="center"/>
          </w:tcPr>
          <w:p w14:paraId="347534B2">
            <w:pPr>
              <w:pStyle w:val="190"/>
              <w:rPr>
                <w:rFonts w:ascii="Times New Roman" w:hAnsi="Times New Roman" w:cs="Times New Roman"/>
                <w:szCs w:val="18"/>
              </w:rPr>
            </w:pPr>
            <w:r>
              <w:rPr>
                <w:rFonts w:hint="eastAsia" w:ascii="Times New Roman" w:hAnsi="Times New Roman" w:cs="Times New Roman"/>
                <w:szCs w:val="18"/>
              </w:rPr>
              <w:t>2.802</w:t>
            </w:r>
          </w:p>
        </w:tc>
        <w:tc>
          <w:tcPr>
            <w:tcW w:w="2451" w:type="dxa"/>
            <w:vAlign w:val="center"/>
          </w:tcPr>
          <w:p w14:paraId="0F734D96">
            <w:pPr>
              <w:jc w:val="center"/>
              <w:textAlignment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ascii="Times New Roman" w:hAnsi="Times New Roman" w:cs="Times New Roman"/>
                <w:color w:val="000000"/>
                <w:sz w:val="18"/>
                <w:szCs w:val="18"/>
              </w:rPr>
              <w:t xml:space="preserve">4.62 </w:t>
            </w:r>
          </w:p>
        </w:tc>
      </w:tr>
      <w:tr w14:paraId="005C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6227BF5C">
            <w:pPr>
              <w:pStyle w:val="190"/>
              <w:rPr>
                <w:rFonts w:ascii="Times New Roman" w:hAnsi="Times New Roman" w:cs="Times New Roman"/>
                <w:kern w:val="2"/>
                <w:szCs w:val="18"/>
              </w:rPr>
            </w:pPr>
          </w:p>
        </w:tc>
        <w:tc>
          <w:tcPr>
            <w:tcW w:w="2073" w:type="dxa"/>
            <w:vAlign w:val="center"/>
          </w:tcPr>
          <w:p w14:paraId="29E529DA">
            <w:pPr>
              <w:pStyle w:val="190"/>
              <w:rPr>
                <w:rFonts w:ascii="Times New Roman" w:hAnsi="Times New Roman" w:cs="Times New Roman"/>
                <w:szCs w:val="18"/>
              </w:rPr>
            </w:pPr>
            <w:r>
              <w:rPr>
                <w:rFonts w:ascii="Times New Roman" w:hAnsi="Times New Roman" w:eastAsia="等线" w:cs="Times New Roman"/>
                <w:szCs w:val="18"/>
              </w:rPr>
              <w:t>N</w:t>
            </w:r>
            <w:r>
              <w:rPr>
                <w:rFonts w:ascii="Times New Roman" w:hAnsi="Times New Roman" w:eastAsia="等线" w:cs="Times New Roman"/>
                <w:szCs w:val="18"/>
                <w:vertAlign w:val="subscript"/>
              </w:rPr>
              <w:t>2</w:t>
            </w:r>
          </w:p>
        </w:tc>
        <w:tc>
          <w:tcPr>
            <w:tcW w:w="2552" w:type="dxa"/>
            <w:vAlign w:val="center"/>
          </w:tcPr>
          <w:p w14:paraId="57836C95">
            <w:pPr>
              <w:pStyle w:val="190"/>
              <w:rPr>
                <w:rFonts w:ascii="Times New Roman" w:hAnsi="Times New Roman" w:cs="Times New Roman"/>
                <w:szCs w:val="18"/>
              </w:rPr>
            </w:pPr>
            <w:r>
              <w:rPr>
                <w:rFonts w:hint="eastAsia" w:ascii="Times New Roman" w:hAnsi="Times New Roman" w:cs="Times New Roman"/>
                <w:szCs w:val="18"/>
              </w:rPr>
              <w:t>0.13</w:t>
            </w:r>
          </w:p>
        </w:tc>
        <w:tc>
          <w:tcPr>
            <w:tcW w:w="2451" w:type="dxa"/>
            <w:vAlign w:val="center"/>
          </w:tcPr>
          <w:p w14:paraId="67E9688B">
            <w:pPr>
              <w:jc w:val="center"/>
              <w:textAlignment w:val="center"/>
              <w:rPr>
                <w:rFonts w:hint="eastAsia"/>
              </w:rPr>
            </w:pPr>
            <w:r>
              <w:rPr>
                <w:rFonts w:ascii="Times New Roman" w:hAnsi="Times New Roman" w:cs="Times New Roman"/>
                <w:color w:val="000000"/>
                <w:sz w:val="18"/>
                <w:szCs w:val="18"/>
              </w:rPr>
              <w:t xml:space="preserve">0.21 </w:t>
            </w:r>
          </w:p>
        </w:tc>
      </w:tr>
      <w:tr w14:paraId="261E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7822FCAB">
            <w:pPr>
              <w:pStyle w:val="190"/>
              <w:rPr>
                <w:rFonts w:ascii="Times New Roman" w:hAnsi="Times New Roman" w:cs="Times New Roman"/>
                <w:kern w:val="2"/>
                <w:szCs w:val="18"/>
              </w:rPr>
            </w:pPr>
          </w:p>
        </w:tc>
        <w:tc>
          <w:tcPr>
            <w:tcW w:w="2073" w:type="dxa"/>
            <w:vAlign w:val="center"/>
          </w:tcPr>
          <w:p w14:paraId="71441997">
            <w:pPr>
              <w:pStyle w:val="190"/>
              <w:rPr>
                <w:rFonts w:ascii="Times New Roman" w:hAnsi="Times New Roman" w:cs="Times New Roman"/>
                <w:szCs w:val="18"/>
              </w:rPr>
            </w:pPr>
            <w:r>
              <w:rPr>
                <w:rFonts w:ascii="Times New Roman" w:hAnsi="Times New Roman" w:eastAsia="等线" w:cs="Times New Roman"/>
                <w:szCs w:val="18"/>
              </w:rPr>
              <w:t>Ar</w:t>
            </w:r>
          </w:p>
        </w:tc>
        <w:tc>
          <w:tcPr>
            <w:tcW w:w="2552" w:type="dxa"/>
            <w:vAlign w:val="center"/>
          </w:tcPr>
          <w:p w14:paraId="5C96AC9E">
            <w:pPr>
              <w:pStyle w:val="190"/>
              <w:rPr>
                <w:rFonts w:ascii="Times New Roman" w:hAnsi="Times New Roman" w:cs="Times New Roman"/>
                <w:szCs w:val="18"/>
              </w:rPr>
            </w:pPr>
            <w:r>
              <w:rPr>
                <w:rFonts w:hint="eastAsia" w:ascii="Times New Roman" w:hAnsi="Times New Roman" w:cs="Times New Roman"/>
                <w:szCs w:val="18"/>
              </w:rPr>
              <w:t>0.106</w:t>
            </w:r>
          </w:p>
        </w:tc>
        <w:tc>
          <w:tcPr>
            <w:tcW w:w="2451" w:type="dxa"/>
            <w:vAlign w:val="center"/>
          </w:tcPr>
          <w:p w14:paraId="1B68FF7E">
            <w:pPr>
              <w:jc w:val="center"/>
              <w:textAlignment w:val="center"/>
              <w:rPr>
                <w:rFonts w:hint="eastAsia"/>
              </w:rPr>
            </w:pPr>
            <w:r>
              <w:rPr>
                <w:rFonts w:ascii="Times New Roman" w:hAnsi="Times New Roman" w:cs="Times New Roman"/>
                <w:color w:val="000000"/>
                <w:sz w:val="18"/>
                <w:szCs w:val="18"/>
              </w:rPr>
              <w:t xml:space="preserve">0.17 </w:t>
            </w:r>
          </w:p>
        </w:tc>
      </w:tr>
      <w:tr w14:paraId="48E6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746E723B">
            <w:pPr>
              <w:pStyle w:val="190"/>
              <w:rPr>
                <w:rFonts w:ascii="Times New Roman" w:hAnsi="Times New Roman" w:cs="Times New Roman"/>
                <w:kern w:val="2"/>
                <w:szCs w:val="18"/>
              </w:rPr>
            </w:pPr>
          </w:p>
        </w:tc>
        <w:tc>
          <w:tcPr>
            <w:tcW w:w="2073" w:type="dxa"/>
            <w:vAlign w:val="center"/>
          </w:tcPr>
          <w:p w14:paraId="4C2149A7">
            <w:pPr>
              <w:pStyle w:val="190"/>
              <w:rPr>
                <w:rFonts w:ascii="Times New Roman" w:hAnsi="Times New Roman" w:cs="Times New Roman"/>
                <w:szCs w:val="18"/>
                <w:u w:color="000000"/>
              </w:rPr>
            </w:pPr>
            <w:r>
              <w:rPr>
                <w:rFonts w:hint="eastAsia" w:ascii="Times New Roman" w:hAnsi="Times New Roman" w:cs="Times New Roman"/>
                <w:szCs w:val="18"/>
                <w:u w:color="000000"/>
              </w:rPr>
              <w:t>HCl</w:t>
            </w:r>
          </w:p>
        </w:tc>
        <w:tc>
          <w:tcPr>
            <w:tcW w:w="2552" w:type="dxa"/>
            <w:vAlign w:val="center"/>
          </w:tcPr>
          <w:p w14:paraId="34136E33">
            <w:pPr>
              <w:pStyle w:val="190"/>
              <w:rPr>
                <w:rFonts w:ascii="Times New Roman" w:hAnsi="Times New Roman" w:cs="Times New Roman"/>
                <w:szCs w:val="18"/>
              </w:rPr>
            </w:pPr>
            <w:r>
              <w:rPr>
                <w:rFonts w:hint="eastAsia" w:ascii="Times New Roman" w:hAnsi="Times New Roman" w:cs="Times New Roman"/>
                <w:szCs w:val="18"/>
              </w:rPr>
              <w:t>1.279</w:t>
            </w:r>
          </w:p>
        </w:tc>
        <w:tc>
          <w:tcPr>
            <w:tcW w:w="2451" w:type="dxa"/>
            <w:vAlign w:val="center"/>
          </w:tcPr>
          <w:p w14:paraId="68776EE5">
            <w:pPr>
              <w:jc w:val="center"/>
              <w:textAlignment w:val="center"/>
              <w:rPr>
                <w:rFonts w:hint="eastAsia"/>
              </w:rPr>
            </w:pPr>
            <w:r>
              <w:rPr>
                <w:rFonts w:ascii="Times New Roman" w:hAnsi="Times New Roman" w:cs="Times New Roman"/>
                <w:color w:val="000000"/>
                <w:sz w:val="18"/>
                <w:szCs w:val="18"/>
              </w:rPr>
              <w:t xml:space="preserve">2.11 </w:t>
            </w:r>
          </w:p>
        </w:tc>
      </w:tr>
      <w:tr w14:paraId="31F4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42961EA9">
            <w:pPr>
              <w:pStyle w:val="190"/>
              <w:rPr>
                <w:rFonts w:ascii="Times New Roman" w:hAnsi="Times New Roman" w:cs="Times New Roman"/>
                <w:kern w:val="2"/>
                <w:szCs w:val="18"/>
              </w:rPr>
            </w:pPr>
          </w:p>
        </w:tc>
        <w:tc>
          <w:tcPr>
            <w:tcW w:w="2073" w:type="dxa"/>
            <w:vAlign w:val="center"/>
          </w:tcPr>
          <w:p w14:paraId="142312A3">
            <w:pPr>
              <w:pStyle w:val="190"/>
              <w:rPr>
                <w:rFonts w:ascii="Times New Roman" w:hAnsi="Times New Roman" w:eastAsia="等线" w:cs="Times New Roman"/>
                <w:color w:val="000000"/>
                <w:szCs w:val="18"/>
              </w:rPr>
            </w:pPr>
            <w:r>
              <w:rPr>
                <w:rFonts w:ascii="Times New Roman" w:hAnsi="Times New Roman" w:eastAsia="等线" w:cs="Times New Roman"/>
                <w:szCs w:val="18"/>
              </w:rPr>
              <w:t>NH</w:t>
            </w:r>
            <w:r>
              <w:rPr>
                <w:rFonts w:ascii="Times New Roman" w:hAnsi="Times New Roman" w:eastAsia="等线" w:cs="Times New Roman"/>
                <w:szCs w:val="18"/>
                <w:vertAlign w:val="subscript"/>
              </w:rPr>
              <w:t>3</w:t>
            </w:r>
          </w:p>
        </w:tc>
        <w:tc>
          <w:tcPr>
            <w:tcW w:w="2552" w:type="dxa"/>
            <w:vAlign w:val="center"/>
          </w:tcPr>
          <w:p w14:paraId="208EB781">
            <w:pPr>
              <w:pStyle w:val="190"/>
              <w:rPr>
                <w:rFonts w:ascii="Times New Roman" w:hAnsi="Times New Roman" w:eastAsia="等线" w:cs="Times New Roman"/>
                <w:color w:val="000000"/>
                <w:szCs w:val="18"/>
              </w:rPr>
            </w:pPr>
            <w:r>
              <w:rPr>
                <w:rFonts w:hint="eastAsia" w:ascii="Times New Roman" w:hAnsi="Times New Roman" w:eastAsia="等线" w:cs="Times New Roman"/>
                <w:color w:val="000000"/>
                <w:szCs w:val="18"/>
              </w:rPr>
              <w:t>0.003</w:t>
            </w:r>
          </w:p>
        </w:tc>
        <w:tc>
          <w:tcPr>
            <w:tcW w:w="2451" w:type="dxa"/>
            <w:vAlign w:val="center"/>
          </w:tcPr>
          <w:p w14:paraId="1E22A3DC">
            <w:pPr>
              <w:jc w:val="center"/>
              <w:textAlignment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ascii="Times New Roman" w:hAnsi="Times New Roman" w:cs="Times New Roman"/>
                <w:color w:val="000000"/>
                <w:sz w:val="18"/>
                <w:szCs w:val="18"/>
              </w:rPr>
              <w:t xml:space="preserve">0.005 </w:t>
            </w:r>
          </w:p>
        </w:tc>
      </w:tr>
      <w:tr w14:paraId="6149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1E2D6BBC">
            <w:pPr>
              <w:pStyle w:val="190"/>
              <w:rPr>
                <w:rFonts w:ascii="Times New Roman" w:hAnsi="Times New Roman" w:cs="Times New Roman"/>
                <w:kern w:val="2"/>
                <w:szCs w:val="18"/>
              </w:rPr>
            </w:pPr>
          </w:p>
        </w:tc>
        <w:tc>
          <w:tcPr>
            <w:tcW w:w="2073" w:type="dxa"/>
            <w:vAlign w:val="center"/>
          </w:tcPr>
          <w:p w14:paraId="4F8ABC4D">
            <w:pPr>
              <w:pStyle w:val="190"/>
              <w:rPr>
                <w:rFonts w:ascii="Times New Roman" w:hAnsi="Times New Roman" w:cs="Times New Roman"/>
                <w:szCs w:val="18"/>
                <w:u w:color="000000"/>
              </w:rPr>
            </w:pPr>
            <w:r>
              <w:rPr>
                <w:rFonts w:ascii="Times New Roman" w:hAnsi="Times New Roman" w:eastAsia="等线" w:cs="Times New Roman"/>
                <w:szCs w:val="18"/>
              </w:rPr>
              <w:t>COS</w:t>
            </w:r>
          </w:p>
        </w:tc>
        <w:tc>
          <w:tcPr>
            <w:tcW w:w="2552" w:type="dxa"/>
            <w:vAlign w:val="center"/>
          </w:tcPr>
          <w:p w14:paraId="1866A7DF">
            <w:pPr>
              <w:pStyle w:val="190"/>
              <w:rPr>
                <w:rFonts w:ascii="Times New Roman" w:hAnsi="Times New Roman" w:cs="Times New Roman"/>
                <w:szCs w:val="18"/>
              </w:rPr>
            </w:pPr>
            <w:r>
              <w:rPr>
                <w:rFonts w:hint="eastAsia" w:ascii="Times New Roman" w:hAnsi="Times New Roman" w:cs="Times New Roman"/>
                <w:szCs w:val="18"/>
              </w:rPr>
              <w:t>0.394</w:t>
            </w:r>
          </w:p>
        </w:tc>
        <w:tc>
          <w:tcPr>
            <w:tcW w:w="2451" w:type="dxa"/>
            <w:vAlign w:val="center"/>
          </w:tcPr>
          <w:p w14:paraId="3542DDF2">
            <w:pPr>
              <w:jc w:val="center"/>
              <w:textAlignment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ascii="Times New Roman" w:hAnsi="Times New Roman" w:cs="Times New Roman"/>
                <w:color w:val="000000"/>
                <w:sz w:val="18"/>
                <w:szCs w:val="18"/>
              </w:rPr>
              <w:t xml:space="preserve">0.65 </w:t>
            </w:r>
          </w:p>
        </w:tc>
      </w:tr>
      <w:tr w14:paraId="2E20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545FF52B">
            <w:pPr>
              <w:pStyle w:val="190"/>
              <w:rPr>
                <w:rFonts w:ascii="Times New Roman" w:hAnsi="Times New Roman" w:cs="Times New Roman"/>
                <w:kern w:val="2"/>
                <w:szCs w:val="18"/>
              </w:rPr>
            </w:pPr>
          </w:p>
        </w:tc>
        <w:tc>
          <w:tcPr>
            <w:tcW w:w="2073" w:type="dxa"/>
            <w:vAlign w:val="center"/>
          </w:tcPr>
          <w:p w14:paraId="004D5A67">
            <w:pPr>
              <w:pStyle w:val="190"/>
              <w:rPr>
                <w:rFonts w:ascii="Times New Roman" w:hAnsi="Times New Roman" w:eastAsia="等线" w:cs="Times New Roman"/>
                <w:color w:val="000000"/>
                <w:szCs w:val="18"/>
              </w:rPr>
            </w:pPr>
            <w:r>
              <w:rPr>
                <w:rFonts w:ascii="Times New Roman" w:hAnsi="Times New Roman" w:cs="Times New Roman"/>
              </w:rPr>
              <w:t>HCN</w:t>
            </w:r>
          </w:p>
        </w:tc>
        <w:tc>
          <w:tcPr>
            <w:tcW w:w="2552" w:type="dxa"/>
            <w:vAlign w:val="center"/>
          </w:tcPr>
          <w:p w14:paraId="3291C47C">
            <w:pPr>
              <w:pStyle w:val="190"/>
              <w:rPr>
                <w:rFonts w:ascii="Times New Roman" w:hAnsi="Times New Roman" w:eastAsia="等线" w:cs="Times New Roman"/>
                <w:color w:val="000000"/>
                <w:szCs w:val="18"/>
              </w:rPr>
            </w:pPr>
            <w:r>
              <w:rPr>
                <w:rFonts w:hint="eastAsia" w:ascii="Times New Roman" w:hAnsi="Times New Roman" w:eastAsia="等线" w:cs="Times New Roman"/>
                <w:color w:val="000000"/>
                <w:szCs w:val="18"/>
              </w:rPr>
              <w:t>0.014</w:t>
            </w:r>
          </w:p>
        </w:tc>
        <w:tc>
          <w:tcPr>
            <w:tcW w:w="2451" w:type="dxa"/>
            <w:vAlign w:val="center"/>
          </w:tcPr>
          <w:p w14:paraId="1D2BA331">
            <w:pPr>
              <w:jc w:val="center"/>
              <w:textAlignment w:val="center"/>
              <w:rPr>
                <w:rFonts w:hint="eastAsia"/>
              </w:rPr>
            </w:pPr>
            <w:r>
              <w:rPr>
                <w:rFonts w:ascii="Times New Roman" w:hAnsi="Times New Roman" w:cs="Times New Roman"/>
                <w:color w:val="000000"/>
                <w:sz w:val="18"/>
                <w:szCs w:val="18"/>
              </w:rPr>
              <w:t xml:space="preserve">0.02 </w:t>
            </w:r>
          </w:p>
        </w:tc>
      </w:tr>
      <w:tr w14:paraId="3662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28" w:type="dxa"/>
            <w:vMerge w:val="continue"/>
            <w:vAlign w:val="center"/>
          </w:tcPr>
          <w:p w14:paraId="25F796D7">
            <w:pPr>
              <w:pStyle w:val="190"/>
              <w:rPr>
                <w:rFonts w:ascii="Times New Roman" w:hAnsi="Times New Roman" w:cs="Times New Roman"/>
                <w:kern w:val="2"/>
                <w:szCs w:val="18"/>
              </w:rPr>
            </w:pPr>
          </w:p>
        </w:tc>
        <w:tc>
          <w:tcPr>
            <w:tcW w:w="2073" w:type="dxa"/>
            <w:vAlign w:val="center"/>
          </w:tcPr>
          <w:p w14:paraId="26626DDB">
            <w:pPr>
              <w:pStyle w:val="190"/>
              <w:rPr>
                <w:rFonts w:ascii="Times New Roman" w:hAnsi="Times New Roman" w:cs="Times New Roman"/>
                <w:szCs w:val="18"/>
              </w:rPr>
            </w:pPr>
            <w:r>
              <w:rPr>
                <w:rFonts w:ascii="Times New Roman" w:hAnsi="Times New Roman" w:cs="Times New Roman"/>
                <w:kern w:val="2"/>
                <w:szCs w:val="18"/>
              </w:rPr>
              <w:t>合计气量</w:t>
            </w:r>
          </w:p>
        </w:tc>
        <w:tc>
          <w:tcPr>
            <w:tcW w:w="2552" w:type="dxa"/>
            <w:vAlign w:val="center"/>
          </w:tcPr>
          <w:p w14:paraId="291D236E">
            <w:pPr>
              <w:pStyle w:val="190"/>
              <w:rPr>
                <w:rFonts w:ascii="Times New Roman" w:hAnsi="Times New Roman" w:cs="Times New Roman"/>
                <w:szCs w:val="18"/>
              </w:rPr>
            </w:pPr>
            <w:r>
              <w:rPr>
                <w:rFonts w:ascii="Times New Roman" w:hAnsi="Times New Roman" w:cs="Times New Roman"/>
                <w:szCs w:val="18"/>
              </w:rPr>
              <w:t>100</w:t>
            </w:r>
          </w:p>
        </w:tc>
        <w:tc>
          <w:tcPr>
            <w:tcW w:w="2451" w:type="dxa"/>
            <w:vAlign w:val="center"/>
          </w:tcPr>
          <w:p w14:paraId="5DE507A1">
            <w:pPr>
              <w:jc w:val="center"/>
              <w:rPr>
                <w:rFonts w:ascii="Times New Roman" w:hAnsi="Times New Roman" w:cs="Times New Roman"/>
                <w:sz w:val="18"/>
                <w:szCs w:val="18"/>
              </w:rPr>
            </w:pPr>
            <w:r>
              <w:rPr>
                <w:rFonts w:hint="eastAsia" w:ascii="Times New Roman" w:hAnsi="Times New Roman" w:cs="Times New Roman"/>
                <w:sz w:val="18"/>
                <w:szCs w:val="18"/>
              </w:rPr>
              <w:t>165</w:t>
            </w:r>
            <w:r>
              <w:rPr>
                <w:rFonts w:ascii="Times New Roman" w:hAnsi="Times New Roman" w:cs="Times New Roman"/>
                <w:sz w:val="18"/>
                <w:szCs w:val="18"/>
              </w:rPr>
              <w:t>Nm</w:t>
            </w:r>
            <w:r>
              <w:rPr>
                <w:rFonts w:ascii="Times New Roman" w:hAnsi="Times New Roman" w:cs="Times New Roman"/>
                <w:sz w:val="18"/>
                <w:szCs w:val="18"/>
                <w:vertAlign w:val="superscript"/>
              </w:rPr>
              <w:t>3</w:t>
            </w:r>
            <w:r>
              <w:rPr>
                <w:rFonts w:ascii="Times New Roman" w:hAnsi="Times New Roman" w:cs="Times New Roman"/>
                <w:sz w:val="18"/>
                <w:szCs w:val="18"/>
              </w:rPr>
              <w:t>/h</w:t>
            </w:r>
          </w:p>
        </w:tc>
      </w:tr>
    </w:tbl>
    <w:p w14:paraId="7E17685F">
      <w:pPr>
        <w:pStyle w:val="281"/>
        <w:ind w:firstLine="480"/>
        <w:rPr>
          <w:u w:color="000000"/>
        </w:rPr>
      </w:pPr>
      <w:r>
        <w:rPr>
          <w:rFonts w:hint="eastAsia"/>
          <w:u w:color="000000"/>
        </w:rPr>
        <w:t>（5）</w:t>
      </w:r>
      <w:bookmarkStart w:id="130" w:name="_Hlk158052020"/>
      <w:r>
        <w:rPr>
          <w:rFonts w:hint="eastAsia"/>
          <w:u w:color="000000"/>
        </w:rPr>
        <w:t>真空</w:t>
      </w:r>
      <w:bookmarkEnd w:id="130"/>
      <w:r>
        <w:rPr>
          <w:rFonts w:hint="eastAsia"/>
          <w:u w:color="000000"/>
        </w:rPr>
        <w:t>泵排气</w:t>
      </w:r>
      <w:r>
        <w:rPr>
          <w:u w:color="000000"/>
        </w:rPr>
        <w:t>（</w:t>
      </w:r>
      <w:r>
        <w:rPr>
          <w:rFonts w:hint="eastAsia"/>
          <w:u w:color="000000"/>
        </w:rPr>
        <w:t>G</w:t>
      </w:r>
      <w:r>
        <w:rPr>
          <w:rFonts w:hint="eastAsia"/>
          <w:u w:color="000000"/>
          <w:vertAlign w:val="subscript"/>
        </w:rPr>
        <w:t>1</w:t>
      </w:r>
      <w:r>
        <w:rPr>
          <w:u w:color="000000"/>
          <w:vertAlign w:val="subscript"/>
        </w:rPr>
        <w:t>-</w:t>
      </w:r>
      <w:r>
        <w:rPr>
          <w:rFonts w:hint="eastAsia"/>
          <w:u w:color="000000"/>
          <w:vertAlign w:val="subscript"/>
        </w:rPr>
        <w:t>5</w:t>
      </w:r>
      <w:r>
        <w:rPr>
          <w:u w:color="000000"/>
        </w:rPr>
        <w:t>）</w:t>
      </w:r>
    </w:p>
    <w:p w14:paraId="630C059D">
      <w:pPr>
        <w:pStyle w:val="281"/>
        <w:ind w:firstLine="480"/>
        <w:rPr>
          <w:szCs w:val="24"/>
          <w:u w:color="000000"/>
        </w:rPr>
      </w:pPr>
      <w:r>
        <w:rPr>
          <w:u w:color="000000"/>
        </w:rPr>
        <w:t>真空闪蒸罐进一步闪蒸出其中溶解的气体，闪蒸气体经真空闪蒸罐顶冷凝器冷凝后，进入真空闪蒸分离罐，真空闪蒸分离罐排出的水送至灰水槽，不凝气由</w:t>
      </w:r>
      <w:r>
        <w:rPr>
          <w:rFonts w:hint="eastAsia"/>
          <w:u w:color="000000"/>
        </w:rPr>
        <w:t>28m高排气筒</w:t>
      </w:r>
      <w:r>
        <w:rPr>
          <w:u w:color="000000"/>
        </w:rPr>
        <w:t>排至大气。</w:t>
      </w:r>
      <w:r>
        <w:rPr>
          <w:rFonts w:hint="eastAsia"/>
          <w:u w:color="000000"/>
        </w:rPr>
        <w:t>真空泵排气气量为1500</w:t>
      </w:r>
      <w:r>
        <w:rPr>
          <w:szCs w:val="22"/>
        </w:rPr>
        <w:t>Nm</w:t>
      </w:r>
      <w:r>
        <w:rPr>
          <w:szCs w:val="22"/>
          <w:vertAlign w:val="superscript"/>
        </w:rPr>
        <w:t>3</w:t>
      </w:r>
      <w:r>
        <w:rPr>
          <w:szCs w:val="22"/>
        </w:rPr>
        <w:t>/h</w:t>
      </w:r>
      <w:r>
        <w:rPr>
          <w:rFonts w:hint="eastAsia"/>
          <w:szCs w:val="22"/>
        </w:rPr>
        <w:t>，</w:t>
      </w:r>
      <w:r>
        <w:rPr>
          <w:rFonts w:hint="eastAsia"/>
          <w:u w:color="000000"/>
        </w:rPr>
        <w:t>产生源强类比《新疆新昊化工有限公司资源清洁利用绿色低碳多联产项目环境影响报告书》，</w:t>
      </w:r>
      <w:r>
        <w:rPr>
          <w:rFonts w:hint="eastAsia"/>
          <w:szCs w:val="24"/>
          <w:u w:color="000000"/>
        </w:rPr>
        <w:t>污染物产排情况见表3.2.2-16。</w:t>
      </w:r>
    </w:p>
    <w:p w14:paraId="5F4030AC">
      <w:pPr>
        <w:pStyle w:val="645"/>
        <w:rPr>
          <w:rFonts w:hint="eastAsia"/>
        </w:rPr>
      </w:pPr>
      <w:r>
        <w:rPr>
          <w:rFonts w:hint="eastAsia"/>
        </w:rPr>
        <w:t>表</w:t>
      </w:r>
      <w:r>
        <w:t>3.2.2-</w:t>
      </w:r>
      <w:r>
        <w:rPr>
          <w:rFonts w:hint="eastAsia"/>
        </w:rPr>
        <w:t>16</w:t>
      </w:r>
      <w:r>
        <w:t xml:space="preserve">    </w:t>
      </w:r>
      <w:r>
        <w:rPr>
          <w:rFonts w:hint="eastAsia"/>
          <w:u w:color="000000"/>
        </w:rPr>
        <w:t>真空泵排气污染物</w:t>
      </w:r>
      <w:r>
        <w:rPr>
          <w:rFonts w:hint="eastAsia"/>
        </w:rPr>
        <w:t>产排情况</w:t>
      </w:r>
      <w:r>
        <w:t>一览表</w:t>
      </w:r>
    </w:p>
    <w:tbl>
      <w:tblPr>
        <w:tblStyle w:val="65"/>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7"/>
        <w:gridCol w:w="687"/>
        <w:gridCol w:w="595"/>
        <w:gridCol w:w="597"/>
        <w:gridCol w:w="716"/>
        <w:gridCol w:w="596"/>
        <w:gridCol w:w="716"/>
        <w:gridCol w:w="716"/>
        <w:gridCol w:w="716"/>
        <w:gridCol w:w="597"/>
        <w:gridCol w:w="836"/>
        <w:gridCol w:w="629"/>
        <w:gridCol w:w="629"/>
      </w:tblGrid>
      <w:tr w14:paraId="5B33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280" w:type="pct"/>
            <w:vAlign w:val="center"/>
          </w:tcPr>
          <w:p w14:paraId="3C98321E">
            <w:pPr>
              <w:pStyle w:val="557"/>
            </w:pPr>
            <w:r>
              <w:t>序号</w:t>
            </w:r>
          </w:p>
        </w:tc>
        <w:tc>
          <w:tcPr>
            <w:tcW w:w="404" w:type="pct"/>
            <w:vAlign w:val="center"/>
          </w:tcPr>
          <w:p w14:paraId="35C77780">
            <w:pPr>
              <w:pStyle w:val="557"/>
            </w:pPr>
            <w:r>
              <w:t>污染源</w:t>
            </w:r>
          </w:p>
        </w:tc>
        <w:tc>
          <w:tcPr>
            <w:tcW w:w="349" w:type="pct"/>
            <w:vAlign w:val="center"/>
          </w:tcPr>
          <w:p w14:paraId="404031BB">
            <w:pPr>
              <w:pStyle w:val="557"/>
            </w:pPr>
            <w:r>
              <w:t>核算方法</w:t>
            </w:r>
          </w:p>
        </w:tc>
        <w:tc>
          <w:tcPr>
            <w:tcW w:w="350" w:type="pct"/>
            <w:vAlign w:val="center"/>
          </w:tcPr>
          <w:p w14:paraId="79C0B0AA">
            <w:pPr>
              <w:pStyle w:val="557"/>
            </w:pPr>
            <w:r>
              <w:t>污染物</w:t>
            </w:r>
          </w:p>
        </w:tc>
        <w:tc>
          <w:tcPr>
            <w:tcW w:w="420" w:type="pct"/>
            <w:vAlign w:val="center"/>
          </w:tcPr>
          <w:p w14:paraId="704672E0">
            <w:pPr>
              <w:pStyle w:val="557"/>
            </w:pPr>
            <w:r>
              <w:t>产生浓度mg/m</w:t>
            </w:r>
            <w:r>
              <w:rPr>
                <w:vertAlign w:val="superscript"/>
              </w:rPr>
              <w:t>3</w:t>
            </w:r>
          </w:p>
        </w:tc>
        <w:tc>
          <w:tcPr>
            <w:tcW w:w="349" w:type="pct"/>
            <w:vAlign w:val="center"/>
          </w:tcPr>
          <w:p w14:paraId="59B1E4CC">
            <w:pPr>
              <w:pStyle w:val="557"/>
            </w:pPr>
            <w:r>
              <w:t>产生速率kg/h</w:t>
            </w:r>
          </w:p>
        </w:tc>
        <w:tc>
          <w:tcPr>
            <w:tcW w:w="420" w:type="pct"/>
            <w:vAlign w:val="center"/>
          </w:tcPr>
          <w:p w14:paraId="18A355D5">
            <w:pPr>
              <w:pStyle w:val="557"/>
            </w:pPr>
            <w:r>
              <w:t>产生量t/a</w:t>
            </w:r>
          </w:p>
        </w:tc>
        <w:tc>
          <w:tcPr>
            <w:tcW w:w="420" w:type="pct"/>
            <w:vAlign w:val="center"/>
          </w:tcPr>
          <w:p w14:paraId="4D207930">
            <w:pPr>
              <w:pStyle w:val="557"/>
            </w:pPr>
            <w:r>
              <w:t>治理措施</w:t>
            </w:r>
          </w:p>
        </w:tc>
        <w:tc>
          <w:tcPr>
            <w:tcW w:w="420" w:type="pct"/>
            <w:vAlign w:val="center"/>
          </w:tcPr>
          <w:p w14:paraId="71D5F1BD">
            <w:pPr>
              <w:pStyle w:val="557"/>
            </w:pPr>
            <w:r>
              <w:t>去除效率</w:t>
            </w:r>
          </w:p>
        </w:tc>
        <w:tc>
          <w:tcPr>
            <w:tcW w:w="350" w:type="pct"/>
            <w:vAlign w:val="center"/>
          </w:tcPr>
          <w:p w14:paraId="37A7CE8E">
            <w:pPr>
              <w:pStyle w:val="557"/>
            </w:pPr>
            <w:r>
              <w:t>排气量</w:t>
            </w:r>
          </w:p>
          <w:p w14:paraId="3BABF0D5">
            <w:pPr>
              <w:pStyle w:val="557"/>
            </w:pPr>
            <w:r>
              <w:t>m</w:t>
            </w:r>
            <w:r>
              <w:rPr>
                <w:vertAlign w:val="superscript"/>
              </w:rPr>
              <w:t>3</w:t>
            </w:r>
            <w:r>
              <w:t>/h</w:t>
            </w:r>
          </w:p>
        </w:tc>
        <w:tc>
          <w:tcPr>
            <w:tcW w:w="490" w:type="pct"/>
            <w:vAlign w:val="center"/>
          </w:tcPr>
          <w:p w14:paraId="4E42EDA6">
            <w:pPr>
              <w:pStyle w:val="557"/>
            </w:pPr>
            <w:r>
              <w:t>排放浓度</w:t>
            </w:r>
          </w:p>
          <w:p w14:paraId="78A3E413">
            <w:pPr>
              <w:pStyle w:val="557"/>
            </w:pPr>
            <w:r>
              <w:t>mg/m</w:t>
            </w:r>
            <w:r>
              <w:rPr>
                <w:vertAlign w:val="superscript"/>
              </w:rPr>
              <w:t>3</w:t>
            </w:r>
          </w:p>
        </w:tc>
        <w:tc>
          <w:tcPr>
            <w:tcW w:w="369" w:type="pct"/>
            <w:vAlign w:val="center"/>
          </w:tcPr>
          <w:p w14:paraId="4271A6E3">
            <w:pPr>
              <w:pStyle w:val="557"/>
            </w:pPr>
            <w:r>
              <w:t>排放速率kg/h</w:t>
            </w:r>
          </w:p>
        </w:tc>
        <w:tc>
          <w:tcPr>
            <w:tcW w:w="369" w:type="pct"/>
            <w:vAlign w:val="center"/>
          </w:tcPr>
          <w:p w14:paraId="1D1C2138">
            <w:pPr>
              <w:pStyle w:val="557"/>
            </w:pPr>
            <w:r>
              <w:t>排放量t/a</w:t>
            </w:r>
          </w:p>
        </w:tc>
      </w:tr>
      <w:tr w14:paraId="7221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0" w:type="pct"/>
            <w:vMerge w:val="restart"/>
            <w:vAlign w:val="center"/>
          </w:tcPr>
          <w:p w14:paraId="5125B44C">
            <w:pPr>
              <w:pStyle w:val="557"/>
            </w:pPr>
            <w:r>
              <w:t>G</w:t>
            </w:r>
            <w:r>
              <w:rPr>
                <w:vertAlign w:val="subscript"/>
              </w:rPr>
              <w:t>1-4</w:t>
            </w:r>
          </w:p>
        </w:tc>
        <w:tc>
          <w:tcPr>
            <w:tcW w:w="404" w:type="pct"/>
            <w:vMerge w:val="restart"/>
            <w:vAlign w:val="center"/>
          </w:tcPr>
          <w:p w14:paraId="2E82AB1E">
            <w:pPr>
              <w:pStyle w:val="557"/>
            </w:pPr>
            <w:r>
              <w:t>真空</w:t>
            </w:r>
            <w:r>
              <w:rPr>
                <w:rFonts w:hint="eastAsia"/>
              </w:rPr>
              <w:t>泵排气</w:t>
            </w:r>
          </w:p>
        </w:tc>
        <w:tc>
          <w:tcPr>
            <w:tcW w:w="349" w:type="pct"/>
            <w:vMerge w:val="restart"/>
            <w:vAlign w:val="center"/>
          </w:tcPr>
          <w:p w14:paraId="65EB59C4">
            <w:pPr>
              <w:pStyle w:val="557"/>
            </w:pPr>
            <w:r>
              <w:rPr>
                <w:rFonts w:hint="eastAsia"/>
              </w:rPr>
              <w:t>类比法</w:t>
            </w:r>
          </w:p>
        </w:tc>
        <w:tc>
          <w:tcPr>
            <w:tcW w:w="350" w:type="pct"/>
            <w:vAlign w:val="center"/>
          </w:tcPr>
          <w:p w14:paraId="10DF9311">
            <w:pPr>
              <w:pStyle w:val="557"/>
            </w:pPr>
            <w:r>
              <w:t>H</w:t>
            </w:r>
            <w:r>
              <w:rPr>
                <w:vertAlign w:val="subscript"/>
              </w:rPr>
              <w:t>2</w:t>
            </w:r>
            <w:r>
              <w:t>S</w:t>
            </w:r>
          </w:p>
        </w:tc>
        <w:tc>
          <w:tcPr>
            <w:tcW w:w="420" w:type="pct"/>
            <w:vAlign w:val="center"/>
          </w:tcPr>
          <w:p w14:paraId="6C19A500">
            <w:pPr>
              <w:pStyle w:val="557"/>
            </w:pPr>
            <w:r>
              <w:t>/</w:t>
            </w:r>
          </w:p>
        </w:tc>
        <w:tc>
          <w:tcPr>
            <w:tcW w:w="349" w:type="pct"/>
            <w:vAlign w:val="center"/>
          </w:tcPr>
          <w:p w14:paraId="2EDBE930">
            <w:pPr>
              <w:pStyle w:val="557"/>
            </w:pPr>
            <w:r>
              <w:t>0.001</w:t>
            </w:r>
          </w:p>
        </w:tc>
        <w:tc>
          <w:tcPr>
            <w:tcW w:w="420" w:type="pct"/>
            <w:vAlign w:val="center"/>
          </w:tcPr>
          <w:p w14:paraId="458D9766">
            <w:pPr>
              <w:pStyle w:val="557"/>
            </w:pPr>
            <w:r>
              <w:t>0.008</w:t>
            </w:r>
          </w:p>
        </w:tc>
        <w:tc>
          <w:tcPr>
            <w:tcW w:w="420" w:type="pct"/>
            <w:vAlign w:val="center"/>
          </w:tcPr>
          <w:p w14:paraId="63F61066">
            <w:pPr>
              <w:pStyle w:val="557"/>
            </w:pPr>
            <w:r>
              <w:t>/</w:t>
            </w:r>
          </w:p>
        </w:tc>
        <w:tc>
          <w:tcPr>
            <w:tcW w:w="420" w:type="pct"/>
            <w:vAlign w:val="center"/>
          </w:tcPr>
          <w:p w14:paraId="71E00BEB">
            <w:pPr>
              <w:pStyle w:val="557"/>
            </w:pPr>
            <w:r>
              <w:t>/</w:t>
            </w:r>
          </w:p>
        </w:tc>
        <w:tc>
          <w:tcPr>
            <w:tcW w:w="350" w:type="pct"/>
            <w:vMerge w:val="restart"/>
            <w:vAlign w:val="center"/>
          </w:tcPr>
          <w:p w14:paraId="3B3621AB">
            <w:pPr>
              <w:pStyle w:val="557"/>
            </w:pPr>
            <w:r>
              <w:rPr>
                <w:rFonts w:hint="eastAsia"/>
              </w:rPr>
              <w:t>1500</w:t>
            </w:r>
          </w:p>
        </w:tc>
        <w:tc>
          <w:tcPr>
            <w:tcW w:w="490" w:type="pct"/>
            <w:vAlign w:val="center"/>
          </w:tcPr>
          <w:p w14:paraId="26B67B28">
            <w:pPr>
              <w:pStyle w:val="557"/>
            </w:pPr>
            <w:r>
              <w:t>/</w:t>
            </w:r>
          </w:p>
        </w:tc>
        <w:tc>
          <w:tcPr>
            <w:tcW w:w="369" w:type="pct"/>
            <w:vAlign w:val="center"/>
          </w:tcPr>
          <w:p w14:paraId="419F85CC">
            <w:pPr>
              <w:pStyle w:val="557"/>
            </w:pPr>
            <w:r>
              <w:t>0.001</w:t>
            </w:r>
          </w:p>
        </w:tc>
        <w:tc>
          <w:tcPr>
            <w:tcW w:w="369" w:type="pct"/>
            <w:vAlign w:val="center"/>
          </w:tcPr>
          <w:p w14:paraId="1FDCBBE7">
            <w:pPr>
              <w:pStyle w:val="557"/>
            </w:pPr>
            <w:r>
              <w:t>0.008</w:t>
            </w:r>
          </w:p>
        </w:tc>
      </w:tr>
      <w:tr w14:paraId="5288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0" w:type="pct"/>
            <w:vMerge w:val="continue"/>
            <w:vAlign w:val="center"/>
          </w:tcPr>
          <w:p w14:paraId="02178434">
            <w:pPr>
              <w:pStyle w:val="557"/>
            </w:pPr>
            <w:bookmarkStart w:id="131" w:name="_Hlk177060693"/>
          </w:p>
        </w:tc>
        <w:tc>
          <w:tcPr>
            <w:tcW w:w="404" w:type="pct"/>
            <w:vMerge w:val="continue"/>
            <w:vAlign w:val="center"/>
          </w:tcPr>
          <w:p w14:paraId="5B376195">
            <w:pPr>
              <w:pStyle w:val="557"/>
            </w:pPr>
          </w:p>
        </w:tc>
        <w:tc>
          <w:tcPr>
            <w:tcW w:w="349" w:type="pct"/>
            <w:vMerge w:val="continue"/>
            <w:vAlign w:val="center"/>
          </w:tcPr>
          <w:p w14:paraId="76A76ECA">
            <w:pPr>
              <w:pStyle w:val="557"/>
            </w:pPr>
          </w:p>
        </w:tc>
        <w:tc>
          <w:tcPr>
            <w:tcW w:w="350" w:type="pct"/>
            <w:vAlign w:val="center"/>
          </w:tcPr>
          <w:p w14:paraId="10522E2D">
            <w:pPr>
              <w:pStyle w:val="557"/>
            </w:pPr>
            <w:r>
              <w:rPr>
                <w:rFonts w:hint="eastAsia"/>
              </w:rPr>
              <w:t>NH3</w:t>
            </w:r>
          </w:p>
        </w:tc>
        <w:tc>
          <w:tcPr>
            <w:tcW w:w="420" w:type="pct"/>
            <w:vAlign w:val="center"/>
          </w:tcPr>
          <w:p w14:paraId="3BC23250">
            <w:pPr>
              <w:pStyle w:val="557"/>
            </w:pPr>
            <w:r>
              <w:rPr>
                <w:rFonts w:hint="eastAsia"/>
              </w:rPr>
              <w:t>/</w:t>
            </w:r>
          </w:p>
        </w:tc>
        <w:tc>
          <w:tcPr>
            <w:tcW w:w="349" w:type="pct"/>
            <w:vAlign w:val="center"/>
          </w:tcPr>
          <w:p w14:paraId="24110938">
            <w:pPr>
              <w:pStyle w:val="557"/>
            </w:pPr>
            <w:r>
              <w:rPr>
                <w:rFonts w:hint="eastAsia"/>
              </w:rPr>
              <w:t>0.11</w:t>
            </w:r>
          </w:p>
        </w:tc>
        <w:tc>
          <w:tcPr>
            <w:tcW w:w="420" w:type="pct"/>
            <w:vAlign w:val="center"/>
          </w:tcPr>
          <w:p w14:paraId="3C9B813C">
            <w:pPr>
              <w:pStyle w:val="557"/>
            </w:pPr>
            <w:r>
              <w:rPr>
                <w:rFonts w:hint="eastAsia"/>
              </w:rPr>
              <w:t>0.88</w:t>
            </w:r>
          </w:p>
        </w:tc>
        <w:tc>
          <w:tcPr>
            <w:tcW w:w="420" w:type="pct"/>
            <w:vAlign w:val="center"/>
          </w:tcPr>
          <w:p w14:paraId="34B9B71C">
            <w:pPr>
              <w:pStyle w:val="557"/>
            </w:pPr>
            <w:r>
              <w:t>/</w:t>
            </w:r>
          </w:p>
        </w:tc>
        <w:tc>
          <w:tcPr>
            <w:tcW w:w="420" w:type="pct"/>
            <w:vAlign w:val="center"/>
          </w:tcPr>
          <w:p w14:paraId="53B27E9E">
            <w:pPr>
              <w:pStyle w:val="557"/>
            </w:pPr>
            <w:r>
              <w:t>/</w:t>
            </w:r>
          </w:p>
        </w:tc>
        <w:tc>
          <w:tcPr>
            <w:tcW w:w="350" w:type="pct"/>
            <w:vMerge w:val="continue"/>
            <w:vAlign w:val="center"/>
          </w:tcPr>
          <w:p w14:paraId="01B05E40">
            <w:pPr>
              <w:pStyle w:val="557"/>
            </w:pPr>
          </w:p>
        </w:tc>
        <w:tc>
          <w:tcPr>
            <w:tcW w:w="490" w:type="pct"/>
            <w:vAlign w:val="center"/>
          </w:tcPr>
          <w:p w14:paraId="661C7179">
            <w:pPr>
              <w:pStyle w:val="557"/>
            </w:pPr>
            <w:r>
              <w:t>/</w:t>
            </w:r>
          </w:p>
        </w:tc>
        <w:tc>
          <w:tcPr>
            <w:tcW w:w="369" w:type="pct"/>
            <w:vAlign w:val="center"/>
          </w:tcPr>
          <w:p w14:paraId="6C3A1FF3">
            <w:pPr>
              <w:pStyle w:val="557"/>
            </w:pPr>
            <w:r>
              <w:rPr>
                <w:rFonts w:hint="eastAsia"/>
              </w:rPr>
              <w:t>0.11</w:t>
            </w:r>
          </w:p>
        </w:tc>
        <w:tc>
          <w:tcPr>
            <w:tcW w:w="369" w:type="pct"/>
            <w:vAlign w:val="center"/>
          </w:tcPr>
          <w:p w14:paraId="0CE89AD3">
            <w:pPr>
              <w:pStyle w:val="557"/>
            </w:pPr>
            <w:r>
              <w:rPr>
                <w:rFonts w:hint="eastAsia"/>
              </w:rPr>
              <w:t>0.88</w:t>
            </w:r>
          </w:p>
        </w:tc>
      </w:tr>
    </w:tbl>
    <w:p w14:paraId="53E6526A">
      <w:pPr>
        <w:pStyle w:val="281"/>
        <w:ind w:firstLine="480"/>
      </w:pPr>
      <w:r>
        <w:rPr>
          <w:rFonts w:hint="eastAsia"/>
        </w:rPr>
        <w:t>（6）无组织排放废气（G</w:t>
      </w:r>
      <w:r>
        <w:rPr>
          <w:vertAlign w:val="subscript"/>
        </w:rPr>
        <w:t>1</w:t>
      </w:r>
      <w:r>
        <w:rPr>
          <w:rFonts w:hint="eastAsia"/>
          <w:vertAlign w:val="subscript"/>
        </w:rPr>
        <w:t>-7</w:t>
      </w:r>
      <w:r>
        <w:rPr>
          <w:rFonts w:hint="eastAsia"/>
        </w:rPr>
        <w:t>）</w:t>
      </w:r>
    </w:p>
    <w:p w14:paraId="45F4884C">
      <w:pPr>
        <w:pStyle w:val="281"/>
        <w:ind w:firstLine="480"/>
      </w:pPr>
      <w:r>
        <w:rPr>
          <w:rFonts w:hint="eastAsia"/>
        </w:rPr>
        <w:t>煤气化装置设备与管线组件密封点挥发性有机物计算采用</w:t>
      </w:r>
      <w:bookmarkStart w:id="132" w:name="_Hlk161313652"/>
      <w:r>
        <w:rPr>
          <w:rFonts w:hint="eastAsia"/>
        </w:rPr>
        <w:t>《</w:t>
      </w:r>
      <w:r>
        <w:rPr>
          <w:rFonts w:hint="eastAsia" w:ascii="宋体" w:hAnsi="宋体"/>
        </w:rPr>
        <w:t>排污许可证申请与核发技术规范</w:t>
      </w:r>
      <w:r>
        <w:rPr>
          <w:rFonts w:hint="eastAsia"/>
        </w:rPr>
        <w:t xml:space="preserve"> </w:t>
      </w:r>
      <w:r>
        <w:rPr>
          <w:rFonts w:hint="eastAsia" w:ascii="宋体" w:hAnsi="宋体"/>
        </w:rPr>
        <w:t>石化工业</w:t>
      </w:r>
      <w:r>
        <w:rPr>
          <w:rFonts w:hint="eastAsia"/>
        </w:rPr>
        <w:t>》（HJ853-2017）5.2.3许可排放量要求的方法计算：</w:t>
      </w:r>
    </w:p>
    <w:p w14:paraId="511D92A4">
      <w:pPr>
        <w:pStyle w:val="281"/>
        <w:ind w:firstLine="480"/>
        <w:jc w:val="center"/>
        <w:rPr>
          <w:rFonts w:hint="eastAsia" w:ascii="宋体" w:hAnsi="宋体"/>
          <w:bCs/>
        </w:rPr>
      </w:pPr>
      <w:r>
        <w:rPr>
          <w:rFonts w:ascii="宋体" w:hAnsi="宋体"/>
          <w:bCs/>
        </w:rPr>
        <w:drawing>
          <wp:inline distT="0" distB="0" distL="0" distR="0">
            <wp:extent cx="2106295" cy="422275"/>
            <wp:effectExtent l="0" t="0" r="8255" b="15875"/>
            <wp:docPr id="699954016"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54016" name="图片 1" descr="文本&#10;&#10;中度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34812" cy="428479"/>
                    </a:xfrm>
                    <a:prstGeom prst="rect">
                      <a:avLst/>
                    </a:prstGeom>
                    <a:noFill/>
                    <a:ln>
                      <a:noFill/>
                    </a:ln>
                  </pic:spPr>
                </pic:pic>
              </a:graphicData>
            </a:graphic>
          </wp:inline>
        </w:drawing>
      </w:r>
    </w:p>
    <w:p w14:paraId="768F7EE8">
      <w:pPr>
        <w:pStyle w:val="281"/>
        <w:ind w:firstLine="480"/>
        <w:rPr>
          <w:bCs/>
        </w:rPr>
      </w:pPr>
      <w:r>
        <w:rPr>
          <w:bCs/>
        </w:rPr>
        <w:t>式中：</w:t>
      </w:r>
    </w:p>
    <w:p w14:paraId="7A04889B">
      <w:pPr>
        <w:pStyle w:val="281"/>
        <w:ind w:firstLine="420"/>
        <w:rPr>
          <w:bCs/>
          <w:sz w:val="21"/>
        </w:rPr>
      </w:pPr>
      <w:r>
        <w:rPr>
          <w:bCs/>
          <w:sz w:val="21"/>
        </w:rPr>
        <w:t>E</w:t>
      </w:r>
      <w:r>
        <w:rPr>
          <w:bCs/>
          <w:sz w:val="21"/>
          <w:vertAlign w:val="subscript"/>
        </w:rPr>
        <w:t>设备</w:t>
      </w:r>
      <w:r>
        <w:rPr>
          <w:bCs/>
          <w:sz w:val="21"/>
        </w:rPr>
        <w:t>—设备与管线组件密封点泄漏的挥发性有机物年许可排放量，kg/a；</w:t>
      </w:r>
    </w:p>
    <w:p w14:paraId="1AF9AC1B">
      <w:pPr>
        <w:pStyle w:val="281"/>
        <w:ind w:firstLine="420"/>
        <w:rPr>
          <w:bCs/>
          <w:sz w:val="21"/>
        </w:rPr>
      </w:pPr>
      <w:r>
        <w:rPr>
          <w:bCs/>
          <w:sz w:val="21"/>
        </w:rPr>
        <w:t>t</w:t>
      </w:r>
      <w:r>
        <w:rPr>
          <w:bCs/>
          <w:sz w:val="21"/>
          <w:vertAlign w:val="subscript"/>
        </w:rPr>
        <w:t>i</w:t>
      </w:r>
      <w:r>
        <w:rPr>
          <w:bCs/>
          <w:sz w:val="21"/>
        </w:rPr>
        <w:t>—密封点i的年运行时间，h/a；</w:t>
      </w:r>
    </w:p>
    <w:p w14:paraId="774C3CC8">
      <w:pPr>
        <w:pStyle w:val="281"/>
        <w:ind w:firstLine="420"/>
        <w:rPr>
          <w:bCs/>
          <w:sz w:val="21"/>
        </w:rPr>
      </w:pPr>
      <w:r>
        <w:rPr>
          <w:bCs/>
          <w:sz w:val="21"/>
        </w:rPr>
        <w:t>e</w:t>
      </w:r>
      <w:r>
        <w:rPr>
          <w:bCs/>
          <w:sz w:val="21"/>
          <w:vertAlign w:val="subscript"/>
        </w:rPr>
        <w:t>TOC</w:t>
      </w:r>
      <w:r>
        <w:rPr>
          <w:rFonts w:hint="eastAsia"/>
          <w:bCs/>
          <w:sz w:val="21"/>
          <w:vertAlign w:val="subscript"/>
        </w:rPr>
        <w:t>,</w:t>
      </w:r>
      <w:r>
        <w:rPr>
          <w:bCs/>
          <w:sz w:val="21"/>
          <w:vertAlign w:val="subscript"/>
        </w:rPr>
        <w:t>i</w:t>
      </w:r>
      <w:r>
        <w:rPr>
          <w:bCs/>
          <w:sz w:val="21"/>
        </w:rPr>
        <w:t>—密封点i的总有机碳（TOC）排放速率，kg/h</w:t>
      </w:r>
      <w:r>
        <w:rPr>
          <w:rFonts w:hint="eastAsia"/>
          <w:bCs/>
          <w:sz w:val="21"/>
        </w:rPr>
        <w:t>；</w:t>
      </w:r>
    </w:p>
    <w:p w14:paraId="42C4AE9B">
      <w:pPr>
        <w:pStyle w:val="281"/>
        <w:ind w:firstLine="420"/>
        <w:rPr>
          <w:bCs/>
          <w:sz w:val="21"/>
        </w:rPr>
      </w:pPr>
      <w:r>
        <w:rPr>
          <w:bCs/>
          <w:sz w:val="21"/>
        </w:rPr>
        <w:t>WF</w:t>
      </w:r>
      <w:r>
        <w:rPr>
          <w:bCs/>
          <w:sz w:val="21"/>
          <w:vertAlign w:val="subscript"/>
        </w:rPr>
        <w:t>VOCs</w:t>
      </w:r>
      <w:r>
        <w:rPr>
          <w:rFonts w:hint="eastAsia"/>
          <w:bCs/>
          <w:sz w:val="21"/>
          <w:vertAlign w:val="subscript"/>
        </w:rPr>
        <w:t>,</w:t>
      </w:r>
      <w:r>
        <w:rPr>
          <w:bCs/>
          <w:sz w:val="21"/>
          <w:vertAlign w:val="subscript"/>
        </w:rPr>
        <w:t>i</w:t>
      </w:r>
      <w:r>
        <w:rPr>
          <w:bCs/>
          <w:sz w:val="21"/>
        </w:rPr>
        <w:t>—流经密封点i 的物料中挥发性有机物平均质量分数，根据设计文件取值；</w:t>
      </w:r>
    </w:p>
    <w:p w14:paraId="0E6B4428">
      <w:pPr>
        <w:pStyle w:val="281"/>
        <w:ind w:firstLine="420"/>
        <w:rPr>
          <w:bCs/>
          <w:sz w:val="21"/>
        </w:rPr>
      </w:pPr>
      <w:r>
        <w:rPr>
          <w:bCs/>
          <w:sz w:val="21"/>
        </w:rPr>
        <w:t>WF</w:t>
      </w:r>
      <w:r>
        <w:rPr>
          <w:bCs/>
          <w:sz w:val="21"/>
          <w:vertAlign w:val="subscript"/>
        </w:rPr>
        <w:t>TOC</w:t>
      </w:r>
      <w:r>
        <w:rPr>
          <w:rFonts w:hint="eastAsia"/>
          <w:bCs/>
          <w:sz w:val="21"/>
          <w:vertAlign w:val="subscript"/>
        </w:rPr>
        <w:t>,</w:t>
      </w:r>
      <w:r>
        <w:rPr>
          <w:bCs/>
          <w:sz w:val="21"/>
          <w:vertAlign w:val="subscript"/>
        </w:rPr>
        <w:t>i</w:t>
      </w:r>
      <w:r>
        <w:rPr>
          <w:bCs/>
          <w:sz w:val="21"/>
        </w:rPr>
        <w:t>—流经密封点i的物料中总有机碳（TOC）平均质量分数，根据设计文件取值；</w:t>
      </w:r>
    </w:p>
    <w:p w14:paraId="44226FD3">
      <w:pPr>
        <w:pStyle w:val="281"/>
        <w:ind w:firstLine="420"/>
      </w:pPr>
      <w:r>
        <w:rPr>
          <w:bCs/>
          <w:sz w:val="21"/>
        </w:rPr>
        <w:t>n—挥发性有机物流经的设备与管线组件密封点数</w:t>
      </w:r>
      <w:bookmarkEnd w:id="132"/>
      <w:r>
        <w:rPr>
          <w:rFonts w:hint="eastAsia"/>
          <w:bCs/>
          <w:sz w:val="21"/>
        </w:rPr>
        <w:t>；</w:t>
      </w:r>
    </w:p>
    <w:p w14:paraId="7828BB74">
      <w:pPr>
        <w:pStyle w:val="281"/>
        <w:ind w:firstLine="420"/>
        <w:rPr>
          <w:bCs/>
          <w:sz w:val="21"/>
        </w:rPr>
      </w:pPr>
      <w:r>
        <w:rPr>
          <w:rFonts w:hint="eastAsia"/>
          <w:bCs/>
          <w:sz w:val="21"/>
        </w:rPr>
        <w:t>煤气化装置挥发性有机物无组织排放计算结果见表</w:t>
      </w:r>
      <w:r>
        <w:rPr>
          <w:bCs/>
          <w:sz w:val="21"/>
        </w:rPr>
        <w:t>3.2.2-</w:t>
      </w:r>
      <w:r>
        <w:rPr>
          <w:rFonts w:hint="eastAsia"/>
          <w:bCs/>
          <w:sz w:val="21"/>
        </w:rPr>
        <w:t>18；</w:t>
      </w:r>
    </w:p>
    <w:p w14:paraId="4DAC4E1F">
      <w:pPr>
        <w:pStyle w:val="541"/>
        <w:rPr>
          <w:rFonts w:hint="eastAsia"/>
          <w:u w:color="000000"/>
        </w:rPr>
      </w:pPr>
      <w:r>
        <w:rPr>
          <w:rFonts w:hint="eastAsia"/>
        </w:rPr>
        <w:t>表</w:t>
      </w:r>
      <w:r>
        <w:t>3.2.2-</w:t>
      </w:r>
      <w:r>
        <w:rPr>
          <w:rFonts w:hint="eastAsia"/>
        </w:rPr>
        <w:t>18</w:t>
      </w:r>
      <w:r>
        <w:rPr>
          <w:u w:color="000000"/>
        </w:rPr>
        <w:t xml:space="preserve">   </w:t>
      </w:r>
      <w:r>
        <w:rPr>
          <w:rFonts w:hint="eastAsia"/>
          <w:u w:color="000000"/>
        </w:rPr>
        <w:t xml:space="preserve">  </w:t>
      </w:r>
      <w:r>
        <w:rPr>
          <w:rFonts w:hint="eastAsia"/>
        </w:rPr>
        <w:t>煤气化装置</w:t>
      </w:r>
      <w:r>
        <w:rPr>
          <w:rFonts w:hint="eastAsia"/>
          <w:u w:color="000000"/>
        </w:rPr>
        <w:t>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291"/>
        <w:gridCol w:w="1289"/>
        <w:gridCol w:w="1526"/>
        <w:gridCol w:w="1257"/>
        <w:gridCol w:w="1066"/>
      </w:tblGrid>
      <w:tr w14:paraId="11D7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noWrap/>
            <w:vAlign w:val="center"/>
          </w:tcPr>
          <w:p w14:paraId="663DD433">
            <w:pPr>
              <w:pStyle w:val="557"/>
            </w:pPr>
            <w:r>
              <w:t>设备类型</w:t>
            </w:r>
          </w:p>
        </w:tc>
        <w:tc>
          <w:tcPr>
            <w:tcW w:w="1291" w:type="dxa"/>
            <w:noWrap/>
            <w:vAlign w:val="center"/>
          </w:tcPr>
          <w:p w14:paraId="6D0299AB">
            <w:pPr>
              <w:pStyle w:val="557"/>
            </w:pPr>
            <w:r>
              <w:t>排放系数e</w:t>
            </w:r>
            <w:r>
              <w:rPr>
                <w:vertAlign w:val="subscript"/>
              </w:rPr>
              <w:t>TOC,i</w:t>
            </w:r>
          </w:p>
        </w:tc>
        <w:tc>
          <w:tcPr>
            <w:tcW w:w="1289" w:type="dxa"/>
            <w:noWrap/>
            <w:vAlign w:val="center"/>
          </w:tcPr>
          <w:p w14:paraId="17CE199A">
            <w:pPr>
              <w:pStyle w:val="557"/>
            </w:pPr>
            <w:r>
              <w:t>个数</w:t>
            </w:r>
          </w:p>
        </w:tc>
        <w:tc>
          <w:tcPr>
            <w:tcW w:w="1526" w:type="dxa"/>
            <w:noWrap/>
            <w:vAlign w:val="center"/>
          </w:tcPr>
          <w:p w14:paraId="58B8F2C0">
            <w:pPr>
              <w:pStyle w:val="557"/>
            </w:pPr>
            <w:r>
              <w:t>排放时间h</w:t>
            </w:r>
          </w:p>
        </w:tc>
        <w:tc>
          <w:tcPr>
            <w:tcW w:w="0" w:type="auto"/>
            <w:noWrap/>
            <w:vAlign w:val="center"/>
          </w:tcPr>
          <w:p w14:paraId="4A45865E">
            <w:pPr>
              <w:pStyle w:val="557"/>
            </w:pPr>
            <w:r>
              <w:t>排放速率kg/h</w:t>
            </w:r>
          </w:p>
        </w:tc>
        <w:tc>
          <w:tcPr>
            <w:tcW w:w="0" w:type="auto"/>
            <w:noWrap/>
            <w:vAlign w:val="center"/>
          </w:tcPr>
          <w:p w14:paraId="68409D16">
            <w:pPr>
              <w:pStyle w:val="557"/>
            </w:pPr>
            <w:r>
              <w:t>排放量kg/a</w:t>
            </w:r>
          </w:p>
        </w:tc>
      </w:tr>
      <w:tr w14:paraId="6F95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0AAA6AD5">
            <w:pPr>
              <w:pStyle w:val="557"/>
            </w:pPr>
            <w:r>
              <w:t>气体阀门</w:t>
            </w:r>
          </w:p>
        </w:tc>
        <w:tc>
          <w:tcPr>
            <w:tcW w:w="1291" w:type="dxa"/>
            <w:noWrap/>
            <w:vAlign w:val="center"/>
          </w:tcPr>
          <w:p w14:paraId="46D1371C">
            <w:pPr>
              <w:jc w:val="center"/>
              <w:textAlignment w:val="center"/>
              <w:rPr>
                <w:rFonts w:hint="eastAsia"/>
              </w:rPr>
            </w:pPr>
            <w:r>
              <w:rPr>
                <w:rFonts w:ascii="Times New Roman" w:hAnsi="Times New Roman" w:cs="Times New Roman"/>
                <w:color w:val="000000"/>
                <w:sz w:val="18"/>
                <w:szCs w:val="18"/>
              </w:rPr>
              <w:t>0.024</w:t>
            </w:r>
          </w:p>
        </w:tc>
        <w:tc>
          <w:tcPr>
            <w:tcW w:w="1289" w:type="dxa"/>
            <w:noWrap/>
            <w:vAlign w:val="center"/>
          </w:tcPr>
          <w:p w14:paraId="633BFCD2">
            <w:pPr>
              <w:jc w:val="center"/>
              <w:textAlignment w:val="center"/>
              <w:rPr>
                <w:rFonts w:hint="eastAsia"/>
              </w:rPr>
            </w:pPr>
            <w:r>
              <w:rPr>
                <w:rFonts w:ascii="Times New Roman" w:hAnsi="Times New Roman" w:cs="Times New Roman"/>
                <w:color w:val="000000"/>
                <w:sz w:val="18"/>
                <w:szCs w:val="18"/>
              </w:rPr>
              <w:t>400</w:t>
            </w:r>
          </w:p>
        </w:tc>
        <w:tc>
          <w:tcPr>
            <w:tcW w:w="1526" w:type="dxa"/>
            <w:noWrap/>
            <w:vAlign w:val="center"/>
          </w:tcPr>
          <w:p w14:paraId="0F5EE15A">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45F80419">
            <w:pPr>
              <w:jc w:val="center"/>
              <w:textAlignment w:val="center"/>
              <w:rPr>
                <w:rFonts w:hint="eastAsia"/>
              </w:rPr>
            </w:pPr>
            <w:r>
              <w:rPr>
                <w:rFonts w:ascii="Times New Roman" w:hAnsi="Times New Roman" w:cs="Times New Roman"/>
                <w:color w:val="000000"/>
                <w:sz w:val="18"/>
                <w:szCs w:val="18"/>
              </w:rPr>
              <w:t>9.6</w:t>
            </w:r>
          </w:p>
        </w:tc>
        <w:tc>
          <w:tcPr>
            <w:tcW w:w="1066" w:type="dxa"/>
            <w:noWrap/>
            <w:vAlign w:val="center"/>
          </w:tcPr>
          <w:p w14:paraId="56C21B15">
            <w:pPr>
              <w:jc w:val="center"/>
              <w:textAlignment w:val="center"/>
              <w:rPr>
                <w:rFonts w:hint="eastAsia"/>
              </w:rPr>
            </w:pPr>
            <w:r>
              <w:rPr>
                <w:rFonts w:ascii="Times New Roman" w:hAnsi="Times New Roman" w:cs="Times New Roman"/>
                <w:color w:val="000000"/>
                <w:sz w:val="18"/>
                <w:szCs w:val="18"/>
              </w:rPr>
              <w:t>76800</w:t>
            </w:r>
          </w:p>
        </w:tc>
      </w:tr>
      <w:tr w14:paraId="586A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61CB1B81">
            <w:pPr>
              <w:pStyle w:val="557"/>
            </w:pPr>
            <w:r>
              <w:t>开口阀或开口管线</w:t>
            </w:r>
          </w:p>
        </w:tc>
        <w:tc>
          <w:tcPr>
            <w:tcW w:w="1291" w:type="dxa"/>
            <w:noWrap/>
            <w:vAlign w:val="center"/>
          </w:tcPr>
          <w:p w14:paraId="47EB12AF">
            <w:pPr>
              <w:jc w:val="center"/>
              <w:textAlignment w:val="center"/>
              <w:rPr>
                <w:rFonts w:hint="eastAsia"/>
              </w:rPr>
            </w:pPr>
            <w:r>
              <w:rPr>
                <w:rFonts w:ascii="Times New Roman" w:hAnsi="Times New Roman" w:cs="Times New Roman"/>
                <w:color w:val="000000"/>
                <w:sz w:val="18"/>
                <w:szCs w:val="18"/>
              </w:rPr>
              <w:t>0.03</w:t>
            </w:r>
          </w:p>
        </w:tc>
        <w:tc>
          <w:tcPr>
            <w:tcW w:w="1289" w:type="dxa"/>
            <w:noWrap/>
            <w:vAlign w:val="center"/>
          </w:tcPr>
          <w:p w14:paraId="20388FDA">
            <w:pPr>
              <w:jc w:val="center"/>
              <w:textAlignment w:val="center"/>
              <w:rPr>
                <w:rFonts w:hint="eastAsia"/>
              </w:rPr>
            </w:pPr>
            <w:r>
              <w:rPr>
                <w:rFonts w:ascii="Times New Roman" w:hAnsi="Times New Roman" w:cs="Times New Roman"/>
                <w:color w:val="000000"/>
                <w:sz w:val="18"/>
                <w:szCs w:val="18"/>
              </w:rPr>
              <w:t>20</w:t>
            </w:r>
          </w:p>
        </w:tc>
        <w:tc>
          <w:tcPr>
            <w:tcW w:w="1526" w:type="dxa"/>
            <w:noWrap/>
            <w:vAlign w:val="center"/>
          </w:tcPr>
          <w:p w14:paraId="34F37497">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7ACC88E3">
            <w:pPr>
              <w:jc w:val="center"/>
              <w:textAlignment w:val="center"/>
              <w:rPr>
                <w:rFonts w:hint="eastAsia"/>
              </w:rPr>
            </w:pPr>
            <w:r>
              <w:rPr>
                <w:rFonts w:ascii="Times New Roman" w:hAnsi="Times New Roman" w:cs="Times New Roman"/>
                <w:color w:val="000000"/>
                <w:sz w:val="18"/>
                <w:szCs w:val="18"/>
              </w:rPr>
              <w:t>0.6</w:t>
            </w:r>
          </w:p>
        </w:tc>
        <w:tc>
          <w:tcPr>
            <w:tcW w:w="1066" w:type="dxa"/>
            <w:noWrap/>
            <w:vAlign w:val="center"/>
          </w:tcPr>
          <w:p w14:paraId="13AC69F9">
            <w:pPr>
              <w:jc w:val="center"/>
              <w:textAlignment w:val="center"/>
              <w:rPr>
                <w:rFonts w:hint="eastAsia"/>
              </w:rPr>
            </w:pPr>
            <w:r>
              <w:rPr>
                <w:rFonts w:ascii="Times New Roman" w:hAnsi="Times New Roman" w:cs="Times New Roman"/>
                <w:color w:val="000000"/>
                <w:sz w:val="18"/>
                <w:szCs w:val="18"/>
              </w:rPr>
              <w:t>4800</w:t>
            </w:r>
          </w:p>
        </w:tc>
      </w:tr>
      <w:tr w14:paraId="2D8A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7D2119F0">
            <w:pPr>
              <w:pStyle w:val="557"/>
            </w:pPr>
            <w:r>
              <w:t>有机液体阀门</w:t>
            </w:r>
          </w:p>
        </w:tc>
        <w:tc>
          <w:tcPr>
            <w:tcW w:w="1291" w:type="dxa"/>
            <w:noWrap/>
            <w:vAlign w:val="center"/>
          </w:tcPr>
          <w:p w14:paraId="79ED1587">
            <w:pPr>
              <w:jc w:val="center"/>
              <w:textAlignment w:val="center"/>
              <w:rPr>
                <w:rFonts w:hint="eastAsia"/>
              </w:rPr>
            </w:pPr>
            <w:r>
              <w:rPr>
                <w:rFonts w:ascii="Times New Roman" w:hAnsi="Times New Roman" w:cs="Times New Roman"/>
                <w:color w:val="000000"/>
                <w:sz w:val="18"/>
                <w:szCs w:val="18"/>
              </w:rPr>
              <w:t>0.036</w:t>
            </w:r>
          </w:p>
        </w:tc>
        <w:tc>
          <w:tcPr>
            <w:tcW w:w="1289" w:type="dxa"/>
            <w:noWrap/>
            <w:vAlign w:val="center"/>
          </w:tcPr>
          <w:p w14:paraId="175FDA4D">
            <w:pPr>
              <w:jc w:val="center"/>
              <w:textAlignment w:val="center"/>
              <w:rPr>
                <w:rFonts w:hint="eastAsia"/>
              </w:rPr>
            </w:pPr>
            <w:r>
              <w:rPr>
                <w:rFonts w:ascii="Times New Roman" w:hAnsi="Times New Roman" w:cs="Times New Roman"/>
                <w:color w:val="000000"/>
                <w:sz w:val="18"/>
                <w:szCs w:val="18"/>
              </w:rPr>
              <w:t>150</w:t>
            </w:r>
          </w:p>
        </w:tc>
        <w:tc>
          <w:tcPr>
            <w:tcW w:w="1526" w:type="dxa"/>
            <w:noWrap/>
            <w:vAlign w:val="center"/>
          </w:tcPr>
          <w:p w14:paraId="534671FF">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50901C0D">
            <w:pPr>
              <w:jc w:val="center"/>
              <w:textAlignment w:val="center"/>
              <w:rPr>
                <w:rFonts w:hint="eastAsia"/>
              </w:rPr>
            </w:pPr>
            <w:r>
              <w:rPr>
                <w:rFonts w:ascii="Times New Roman" w:hAnsi="Times New Roman" w:cs="Times New Roman"/>
                <w:color w:val="000000"/>
                <w:sz w:val="18"/>
                <w:szCs w:val="18"/>
              </w:rPr>
              <w:t>5.4</w:t>
            </w:r>
          </w:p>
        </w:tc>
        <w:tc>
          <w:tcPr>
            <w:tcW w:w="1066" w:type="dxa"/>
            <w:noWrap/>
            <w:vAlign w:val="center"/>
          </w:tcPr>
          <w:p w14:paraId="43910573">
            <w:pPr>
              <w:jc w:val="center"/>
              <w:textAlignment w:val="center"/>
              <w:rPr>
                <w:rFonts w:hint="eastAsia"/>
              </w:rPr>
            </w:pPr>
            <w:r>
              <w:rPr>
                <w:rFonts w:ascii="Times New Roman" w:hAnsi="Times New Roman" w:cs="Times New Roman"/>
                <w:color w:val="000000"/>
                <w:sz w:val="18"/>
                <w:szCs w:val="18"/>
              </w:rPr>
              <w:t>43200</w:t>
            </w:r>
          </w:p>
        </w:tc>
      </w:tr>
      <w:tr w14:paraId="52F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44E92B21">
            <w:pPr>
              <w:pStyle w:val="557"/>
            </w:pPr>
            <w:bookmarkStart w:id="133" w:name="_Hlk161826874"/>
            <w:r>
              <w:t>法兰或连接件</w:t>
            </w:r>
            <w:bookmarkEnd w:id="133"/>
          </w:p>
        </w:tc>
        <w:tc>
          <w:tcPr>
            <w:tcW w:w="1291" w:type="dxa"/>
            <w:noWrap/>
            <w:vAlign w:val="center"/>
          </w:tcPr>
          <w:p w14:paraId="4028794A">
            <w:pPr>
              <w:jc w:val="center"/>
              <w:textAlignment w:val="center"/>
              <w:rPr>
                <w:rFonts w:hint="eastAsia"/>
              </w:rPr>
            </w:pPr>
            <w:r>
              <w:rPr>
                <w:rFonts w:ascii="Times New Roman" w:hAnsi="Times New Roman" w:cs="Times New Roman"/>
                <w:color w:val="000000"/>
                <w:sz w:val="18"/>
                <w:szCs w:val="18"/>
              </w:rPr>
              <w:t>0.044</w:t>
            </w:r>
          </w:p>
        </w:tc>
        <w:tc>
          <w:tcPr>
            <w:tcW w:w="1289" w:type="dxa"/>
            <w:noWrap/>
            <w:vAlign w:val="center"/>
          </w:tcPr>
          <w:p w14:paraId="6BC1DFBA">
            <w:pPr>
              <w:jc w:val="center"/>
              <w:textAlignment w:val="center"/>
              <w:rPr>
                <w:rFonts w:hint="eastAsia"/>
              </w:rPr>
            </w:pPr>
            <w:r>
              <w:rPr>
                <w:rFonts w:ascii="Times New Roman" w:hAnsi="Times New Roman" w:cs="Times New Roman"/>
                <w:color w:val="000000"/>
                <w:sz w:val="18"/>
                <w:szCs w:val="18"/>
              </w:rPr>
              <w:t>2500</w:t>
            </w:r>
          </w:p>
        </w:tc>
        <w:tc>
          <w:tcPr>
            <w:tcW w:w="1526" w:type="dxa"/>
            <w:noWrap/>
            <w:vAlign w:val="center"/>
          </w:tcPr>
          <w:p w14:paraId="07B0C63B">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23B16907">
            <w:pPr>
              <w:jc w:val="center"/>
              <w:textAlignment w:val="center"/>
              <w:rPr>
                <w:rFonts w:hint="eastAsia"/>
              </w:rPr>
            </w:pPr>
            <w:r>
              <w:rPr>
                <w:rFonts w:ascii="Times New Roman" w:hAnsi="Times New Roman" w:cs="Times New Roman"/>
                <w:color w:val="000000"/>
                <w:sz w:val="18"/>
                <w:szCs w:val="18"/>
              </w:rPr>
              <w:t>110</w:t>
            </w:r>
          </w:p>
        </w:tc>
        <w:tc>
          <w:tcPr>
            <w:tcW w:w="1066" w:type="dxa"/>
            <w:noWrap/>
            <w:vAlign w:val="center"/>
          </w:tcPr>
          <w:p w14:paraId="6816EFBB">
            <w:pPr>
              <w:jc w:val="center"/>
              <w:textAlignment w:val="center"/>
              <w:rPr>
                <w:rFonts w:hint="eastAsia"/>
              </w:rPr>
            </w:pPr>
            <w:r>
              <w:rPr>
                <w:rFonts w:ascii="Times New Roman" w:hAnsi="Times New Roman" w:cs="Times New Roman"/>
                <w:color w:val="000000"/>
                <w:sz w:val="18"/>
                <w:szCs w:val="18"/>
              </w:rPr>
              <w:t>880000</w:t>
            </w:r>
          </w:p>
        </w:tc>
      </w:tr>
      <w:tr w14:paraId="0B4E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07F3352B">
            <w:pPr>
              <w:pStyle w:val="557"/>
            </w:pPr>
            <w:r>
              <w:t>泵、压缩机、搅拌器、泄压设备</w:t>
            </w:r>
          </w:p>
        </w:tc>
        <w:tc>
          <w:tcPr>
            <w:tcW w:w="1291" w:type="dxa"/>
            <w:noWrap/>
            <w:vAlign w:val="center"/>
          </w:tcPr>
          <w:p w14:paraId="184B69B2">
            <w:pPr>
              <w:jc w:val="center"/>
              <w:textAlignment w:val="center"/>
              <w:rPr>
                <w:rFonts w:hint="eastAsia"/>
              </w:rPr>
            </w:pPr>
            <w:r>
              <w:rPr>
                <w:rFonts w:ascii="Times New Roman" w:hAnsi="Times New Roman" w:cs="Times New Roman"/>
                <w:color w:val="000000"/>
                <w:sz w:val="18"/>
                <w:szCs w:val="18"/>
              </w:rPr>
              <w:t>0.14</w:t>
            </w:r>
          </w:p>
        </w:tc>
        <w:tc>
          <w:tcPr>
            <w:tcW w:w="1289" w:type="dxa"/>
            <w:noWrap/>
            <w:vAlign w:val="center"/>
          </w:tcPr>
          <w:p w14:paraId="2022988C">
            <w:pPr>
              <w:jc w:val="center"/>
              <w:textAlignment w:val="center"/>
              <w:rPr>
                <w:rFonts w:hint="eastAsia"/>
              </w:rPr>
            </w:pPr>
            <w:r>
              <w:rPr>
                <w:rFonts w:ascii="Times New Roman" w:hAnsi="Times New Roman" w:cs="Times New Roman"/>
                <w:color w:val="000000"/>
                <w:sz w:val="18"/>
                <w:szCs w:val="18"/>
              </w:rPr>
              <w:t>34</w:t>
            </w:r>
          </w:p>
        </w:tc>
        <w:tc>
          <w:tcPr>
            <w:tcW w:w="1526" w:type="dxa"/>
            <w:noWrap/>
            <w:vAlign w:val="center"/>
          </w:tcPr>
          <w:p w14:paraId="6A430641">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2853CBD3">
            <w:pPr>
              <w:jc w:val="center"/>
              <w:textAlignment w:val="center"/>
              <w:rPr>
                <w:rFonts w:hint="eastAsia"/>
              </w:rPr>
            </w:pPr>
            <w:r>
              <w:rPr>
                <w:rFonts w:ascii="Times New Roman" w:hAnsi="Times New Roman" w:cs="Times New Roman"/>
                <w:color w:val="000000"/>
                <w:sz w:val="18"/>
                <w:szCs w:val="18"/>
              </w:rPr>
              <w:t>4.76</w:t>
            </w:r>
          </w:p>
        </w:tc>
        <w:tc>
          <w:tcPr>
            <w:tcW w:w="1066" w:type="dxa"/>
            <w:noWrap/>
            <w:vAlign w:val="center"/>
          </w:tcPr>
          <w:p w14:paraId="31BF19D2">
            <w:pPr>
              <w:jc w:val="center"/>
              <w:textAlignment w:val="center"/>
              <w:rPr>
                <w:rFonts w:hint="eastAsia"/>
              </w:rPr>
            </w:pPr>
            <w:r>
              <w:rPr>
                <w:rFonts w:ascii="Times New Roman" w:hAnsi="Times New Roman" w:cs="Times New Roman"/>
                <w:color w:val="000000"/>
                <w:sz w:val="18"/>
                <w:szCs w:val="18"/>
              </w:rPr>
              <w:t>38080</w:t>
            </w:r>
          </w:p>
        </w:tc>
      </w:tr>
      <w:tr w14:paraId="6B39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vAlign w:val="center"/>
          </w:tcPr>
          <w:p w14:paraId="5905581A">
            <w:pPr>
              <w:pStyle w:val="557"/>
            </w:pPr>
            <w:r>
              <w:t>其他</w:t>
            </w:r>
          </w:p>
        </w:tc>
        <w:tc>
          <w:tcPr>
            <w:tcW w:w="1291" w:type="dxa"/>
            <w:noWrap/>
            <w:vAlign w:val="center"/>
          </w:tcPr>
          <w:p w14:paraId="3D11B0C4">
            <w:pPr>
              <w:jc w:val="center"/>
              <w:textAlignment w:val="center"/>
              <w:rPr>
                <w:rFonts w:hint="eastAsia"/>
              </w:rPr>
            </w:pPr>
            <w:r>
              <w:rPr>
                <w:rFonts w:ascii="Times New Roman" w:hAnsi="Times New Roman" w:cs="Times New Roman"/>
                <w:color w:val="000000"/>
                <w:sz w:val="18"/>
                <w:szCs w:val="18"/>
              </w:rPr>
              <w:t>0.073</w:t>
            </w:r>
          </w:p>
        </w:tc>
        <w:tc>
          <w:tcPr>
            <w:tcW w:w="1289" w:type="dxa"/>
            <w:noWrap/>
            <w:vAlign w:val="center"/>
          </w:tcPr>
          <w:p w14:paraId="6AB72871">
            <w:pPr>
              <w:jc w:val="center"/>
              <w:textAlignment w:val="center"/>
              <w:rPr>
                <w:rFonts w:hint="eastAsia"/>
              </w:rPr>
            </w:pPr>
            <w:r>
              <w:rPr>
                <w:rFonts w:ascii="Times New Roman" w:hAnsi="Times New Roman" w:cs="Times New Roman"/>
                <w:color w:val="000000"/>
                <w:sz w:val="18"/>
                <w:szCs w:val="18"/>
              </w:rPr>
              <w:t>/</w:t>
            </w:r>
          </w:p>
        </w:tc>
        <w:tc>
          <w:tcPr>
            <w:tcW w:w="1526" w:type="dxa"/>
            <w:noWrap/>
            <w:vAlign w:val="center"/>
          </w:tcPr>
          <w:p w14:paraId="0F975DB5">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3CF29663">
            <w:pPr>
              <w:jc w:val="center"/>
              <w:textAlignment w:val="center"/>
              <w:rPr>
                <w:rFonts w:hint="eastAsia"/>
              </w:rPr>
            </w:pPr>
            <w:r>
              <w:rPr>
                <w:rFonts w:ascii="Times New Roman" w:hAnsi="Times New Roman" w:cs="Times New Roman"/>
                <w:color w:val="000000"/>
                <w:sz w:val="18"/>
                <w:szCs w:val="18"/>
              </w:rPr>
              <w:t>/</w:t>
            </w:r>
          </w:p>
        </w:tc>
        <w:tc>
          <w:tcPr>
            <w:tcW w:w="1066" w:type="dxa"/>
            <w:noWrap/>
            <w:vAlign w:val="center"/>
          </w:tcPr>
          <w:p w14:paraId="41801F31">
            <w:pPr>
              <w:jc w:val="center"/>
              <w:textAlignment w:val="center"/>
              <w:rPr>
                <w:rFonts w:hint="eastAsia"/>
              </w:rPr>
            </w:pPr>
            <w:r>
              <w:rPr>
                <w:rFonts w:ascii="Times New Roman" w:hAnsi="Times New Roman" w:cs="Times New Roman"/>
                <w:color w:val="000000"/>
                <w:sz w:val="18"/>
                <w:szCs w:val="18"/>
              </w:rPr>
              <w:t>/</w:t>
            </w:r>
          </w:p>
        </w:tc>
      </w:tr>
      <w:tr w14:paraId="26F4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noWrap/>
            <w:vAlign w:val="center"/>
          </w:tcPr>
          <w:p w14:paraId="1858F0F1">
            <w:pPr>
              <w:pStyle w:val="557"/>
            </w:pPr>
            <w:r>
              <w:t>合计</w:t>
            </w:r>
          </w:p>
        </w:tc>
        <w:tc>
          <w:tcPr>
            <w:tcW w:w="1291" w:type="dxa"/>
            <w:noWrap/>
            <w:vAlign w:val="center"/>
          </w:tcPr>
          <w:p w14:paraId="271FF93C">
            <w:pPr>
              <w:jc w:val="center"/>
              <w:textAlignment w:val="center"/>
              <w:rPr>
                <w:rFonts w:hint="eastAsia"/>
              </w:rPr>
            </w:pPr>
            <w:r>
              <w:rPr>
                <w:rFonts w:ascii="Times New Roman" w:hAnsi="Times New Roman" w:cs="Times New Roman"/>
                <w:color w:val="000000"/>
                <w:sz w:val="18"/>
                <w:szCs w:val="18"/>
              </w:rPr>
              <w:t>/</w:t>
            </w:r>
          </w:p>
        </w:tc>
        <w:tc>
          <w:tcPr>
            <w:tcW w:w="1289" w:type="dxa"/>
            <w:noWrap/>
            <w:vAlign w:val="center"/>
          </w:tcPr>
          <w:p w14:paraId="10A948AB">
            <w:pPr>
              <w:jc w:val="center"/>
              <w:rPr>
                <w:rFonts w:hint="eastAsia"/>
              </w:rPr>
            </w:pPr>
          </w:p>
        </w:tc>
        <w:tc>
          <w:tcPr>
            <w:tcW w:w="1526" w:type="dxa"/>
            <w:noWrap/>
            <w:vAlign w:val="center"/>
          </w:tcPr>
          <w:p w14:paraId="495581BE">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705F23A6">
            <w:pPr>
              <w:jc w:val="center"/>
              <w:textAlignment w:val="center"/>
              <w:rPr>
                <w:rFonts w:hint="eastAsia"/>
              </w:rPr>
            </w:pPr>
            <w:r>
              <w:rPr>
                <w:rFonts w:ascii="Times New Roman" w:hAnsi="Times New Roman" w:cs="Times New Roman"/>
                <w:color w:val="000000"/>
                <w:sz w:val="18"/>
                <w:szCs w:val="18"/>
              </w:rPr>
              <w:t>130.36</w:t>
            </w:r>
          </w:p>
        </w:tc>
        <w:tc>
          <w:tcPr>
            <w:tcW w:w="1066" w:type="dxa"/>
            <w:noWrap/>
            <w:vAlign w:val="center"/>
          </w:tcPr>
          <w:p w14:paraId="0CE7780A">
            <w:pPr>
              <w:jc w:val="center"/>
              <w:textAlignment w:val="center"/>
              <w:rPr>
                <w:rFonts w:hint="eastAsia"/>
              </w:rPr>
            </w:pPr>
            <w:r>
              <w:rPr>
                <w:rFonts w:ascii="Times New Roman" w:hAnsi="Times New Roman" w:cs="Times New Roman"/>
                <w:color w:val="000000"/>
                <w:sz w:val="18"/>
                <w:szCs w:val="18"/>
              </w:rPr>
              <w:t>1042880</w:t>
            </w:r>
          </w:p>
        </w:tc>
      </w:tr>
      <w:tr w14:paraId="6ED0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3" w:type="dxa"/>
            <w:noWrap/>
            <w:vAlign w:val="center"/>
          </w:tcPr>
          <w:p w14:paraId="1B00A1BD">
            <w:pPr>
              <w:pStyle w:val="557"/>
            </w:pPr>
            <w:r>
              <w:t>E</w:t>
            </w:r>
            <w:r>
              <w:rPr>
                <w:vertAlign w:val="subscript"/>
              </w:rPr>
              <w:t>设备</w:t>
            </w:r>
          </w:p>
        </w:tc>
        <w:tc>
          <w:tcPr>
            <w:tcW w:w="1291" w:type="dxa"/>
            <w:noWrap/>
            <w:vAlign w:val="center"/>
          </w:tcPr>
          <w:p w14:paraId="024995DF">
            <w:pPr>
              <w:pStyle w:val="557"/>
            </w:pPr>
            <w:r>
              <w:t>/</w:t>
            </w:r>
          </w:p>
        </w:tc>
        <w:tc>
          <w:tcPr>
            <w:tcW w:w="1289" w:type="dxa"/>
            <w:noWrap/>
            <w:vAlign w:val="center"/>
          </w:tcPr>
          <w:p w14:paraId="5C07470E">
            <w:pPr>
              <w:pStyle w:val="557"/>
            </w:pPr>
          </w:p>
        </w:tc>
        <w:tc>
          <w:tcPr>
            <w:tcW w:w="1526" w:type="dxa"/>
            <w:noWrap/>
            <w:vAlign w:val="center"/>
          </w:tcPr>
          <w:p w14:paraId="1E3DC306">
            <w:pPr>
              <w:pStyle w:val="557"/>
            </w:pPr>
            <w:r>
              <w:t>/</w:t>
            </w:r>
          </w:p>
        </w:tc>
        <w:tc>
          <w:tcPr>
            <w:tcW w:w="0" w:type="auto"/>
            <w:noWrap/>
            <w:vAlign w:val="center"/>
          </w:tcPr>
          <w:p w14:paraId="426F8CFA">
            <w:pPr>
              <w:pStyle w:val="557"/>
            </w:pPr>
            <w:r>
              <w:rPr>
                <w:rFonts w:eastAsia="等线"/>
              </w:rPr>
              <w:t>0.</w:t>
            </w:r>
            <w:r>
              <w:rPr>
                <w:rFonts w:hint="eastAsia" w:eastAsia="等线"/>
              </w:rPr>
              <w:t>39</w:t>
            </w:r>
            <w:r>
              <w:t>kg/h</w:t>
            </w:r>
          </w:p>
        </w:tc>
        <w:tc>
          <w:tcPr>
            <w:tcW w:w="0" w:type="auto"/>
            <w:noWrap/>
            <w:vAlign w:val="center"/>
          </w:tcPr>
          <w:p w14:paraId="4C803DD1">
            <w:pPr>
              <w:pStyle w:val="557"/>
            </w:pPr>
            <w:r>
              <w:rPr>
                <w:rFonts w:hint="eastAsia"/>
              </w:rPr>
              <w:t>3.13</w:t>
            </w:r>
            <w:r>
              <w:t>t/a</w:t>
            </w:r>
          </w:p>
        </w:tc>
      </w:tr>
    </w:tbl>
    <w:p w14:paraId="4B841B87">
      <w:pPr>
        <w:pStyle w:val="557"/>
      </w:pPr>
    </w:p>
    <w:p w14:paraId="2620E17C">
      <w:pPr>
        <w:pStyle w:val="281"/>
        <w:ind w:firstLine="480"/>
        <w:rPr>
          <w:szCs w:val="24"/>
        </w:rPr>
      </w:pPr>
      <w:bookmarkStart w:id="134" w:name="_Hlk177060679"/>
      <w:r>
        <w:rPr>
          <w:szCs w:val="24"/>
        </w:rPr>
        <w:t>根据类比</w:t>
      </w:r>
      <w:r>
        <w:rPr>
          <w:rFonts w:hint="eastAsia"/>
          <w:u w:color="000000"/>
        </w:rPr>
        <w:t>《新疆新昊化工有限公司资源清洁利用绿色低碳多联产项目环境影响报告书》</w:t>
      </w:r>
      <w:r>
        <w:rPr>
          <w:rFonts w:hint="eastAsia"/>
          <w:szCs w:val="24"/>
        </w:rPr>
        <w:t>（该项目与本项目均使用</w:t>
      </w:r>
      <w:r>
        <w:t>中国航天科技集团公司北京航天万源煤化工工程技术有限公司的半废锅HT-L粉煤加压气化技术</w:t>
      </w:r>
      <w:r>
        <w:rPr>
          <w:rFonts w:hint="eastAsia"/>
        </w:rPr>
        <w:t>，工艺流程与本项目相同，该项目单台气化炉规模与本项目相同，具有类比性</w:t>
      </w:r>
      <w:r>
        <w:rPr>
          <w:rFonts w:hint="eastAsia"/>
          <w:szCs w:val="24"/>
        </w:rPr>
        <w:t>）。根据类比，</w:t>
      </w:r>
      <w:r>
        <w:rPr>
          <w:szCs w:val="24"/>
        </w:rPr>
        <w:t>煤气化装置无组织排放废气</w:t>
      </w:r>
      <w:r>
        <w:rPr>
          <w:rFonts w:hint="eastAsia"/>
          <w:szCs w:val="24"/>
        </w:rPr>
        <w:t>中的H</w:t>
      </w:r>
      <w:r>
        <w:rPr>
          <w:szCs w:val="24"/>
          <w:vertAlign w:val="subscript"/>
        </w:rPr>
        <w:t>2</w:t>
      </w:r>
      <w:r>
        <w:rPr>
          <w:szCs w:val="24"/>
        </w:rPr>
        <w:t>S产生量为0.0</w:t>
      </w:r>
      <w:r>
        <w:rPr>
          <w:rFonts w:hint="eastAsia"/>
          <w:szCs w:val="24"/>
        </w:rPr>
        <w:t>2</w:t>
      </w:r>
      <w:r>
        <w:rPr>
          <w:szCs w:val="24"/>
        </w:rPr>
        <w:t>kg/h，NH</w:t>
      </w:r>
      <w:r>
        <w:rPr>
          <w:szCs w:val="24"/>
          <w:vertAlign w:val="subscript"/>
        </w:rPr>
        <w:t>3</w:t>
      </w:r>
      <w:r>
        <w:rPr>
          <w:szCs w:val="24"/>
        </w:rPr>
        <w:t>产生量为0.</w:t>
      </w:r>
      <w:r>
        <w:rPr>
          <w:rFonts w:hint="eastAsia"/>
          <w:szCs w:val="24"/>
        </w:rPr>
        <w:t>08</w:t>
      </w:r>
      <w:r>
        <w:rPr>
          <w:szCs w:val="24"/>
        </w:rPr>
        <w:t>kg/h</w:t>
      </w:r>
      <w:r>
        <w:rPr>
          <w:rFonts w:hint="eastAsia"/>
          <w:szCs w:val="24"/>
        </w:rPr>
        <w:t>；根据计算，煤气化装置</w:t>
      </w:r>
      <w:r>
        <w:rPr>
          <w:szCs w:val="24"/>
        </w:rPr>
        <w:t>NMHC产生量为</w:t>
      </w:r>
      <w:r>
        <w:rPr>
          <w:rFonts w:hint="eastAsia"/>
          <w:szCs w:val="24"/>
        </w:rPr>
        <w:t>0.39</w:t>
      </w:r>
      <w:r>
        <w:rPr>
          <w:szCs w:val="24"/>
        </w:rPr>
        <w:t>kg/h。</w:t>
      </w:r>
    </w:p>
    <w:bookmarkEnd w:id="131"/>
    <w:bookmarkEnd w:id="134"/>
    <w:p w14:paraId="56772AE9">
      <w:pPr>
        <w:pStyle w:val="281"/>
        <w:ind w:firstLine="480"/>
        <w:sectPr>
          <w:pgSz w:w="11906" w:h="16838"/>
          <w:pgMar w:top="1440" w:right="1800" w:bottom="1440" w:left="1800" w:header="851" w:footer="992" w:gutter="0"/>
          <w:cols w:space="720" w:num="1"/>
          <w:docGrid w:type="lines" w:linePitch="312" w:charSpace="0"/>
        </w:sectPr>
      </w:pPr>
      <w:r>
        <w:rPr>
          <w:rFonts w:hint="eastAsia"/>
          <w:szCs w:val="24"/>
        </w:rPr>
        <w:t>煤气化装置废气</w:t>
      </w:r>
      <w:r>
        <w:rPr>
          <w:rFonts w:hint="eastAsia"/>
        </w:rPr>
        <w:t>产排情况见表3.2.2-19。</w:t>
      </w:r>
    </w:p>
    <w:p w14:paraId="34B616D2">
      <w:pPr>
        <w:pStyle w:val="645"/>
        <w:rPr>
          <w:rFonts w:hint="eastAsia"/>
        </w:rPr>
      </w:pPr>
      <w:r>
        <w:rPr>
          <w:rFonts w:hint="eastAsia"/>
        </w:rPr>
        <w:t>表3.2.2-19</w:t>
      </w:r>
      <w:r>
        <w:t xml:space="preserve">    </w:t>
      </w:r>
      <w:r>
        <w:rPr>
          <w:rFonts w:hint="eastAsia"/>
        </w:rPr>
        <w:t>气化装置废气产排情况</w:t>
      </w:r>
      <w:r>
        <w:t>一览表</w:t>
      </w:r>
    </w:p>
    <w:p w14:paraId="48963887">
      <w:pPr>
        <w:pStyle w:val="281"/>
        <w:ind w:firstLine="480"/>
      </w:pPr>
    </w:p>
    <w:p w14:paraId="46035C66">
      <w:pPr>
        <w:pStyle w:val="281"/>
        <w:ind w:firstLine="480"/>
        <w:sectPr>
          <w:pgSz w:w="16838" w:h="11906" w:orient="landscape"/>
          <w:pgMar w:top="1800" w:right="1440" w:bottom="1800" w:left="1440" w:header="851" w:footer="992" w:gutter="0"/>
          <w:cols w:space="720" w:num="1"/>
          <w:docGrid w:type="lines" w:linePitch="312" w:charSpace="0"/>
        </w:sectPr>
      </w:pPr>
    </w:p>
    <w:p w14:paraId="09FC883B">
      <w:pPr>
        <w:pStyle w:val="814"/>
        <w:rPr>
          <w:rFonts w:hint="eastAsia"/>
        </w:rPr>
      </w:pPr>
      <w:r>
        <w:rPr>
          <w:rFonts w:hint="eastAsia"/>
        </w:rPr>
        <w:t>废水</w:t>
      </w:r>
    </w:p>
    <w:p w14:paraId="3802E460">
      <w:pPr>
        <w:pStyle w:val="626"/>
        <w:ind w:firstLine="480"/>
        <w:rPr>
          <w:szCs w:val="24"/>
        </w:rPr>
      </w:pPr>
      <w:r>
        <w:rPr>
          <w:rFonts w:hint="eastAsia" w:eastAsia="宋体"/>
        </w:rPr>
        <w:t>（1）气化灰水</w:t>
      </w:r>
      <w:r>
        <w:rPr>
          <w:rFonts w:ascii="Times New Roman" w:hAnsi="Times New Roman" w:eastAsia="宋体"/>
        </w:rPr>
        <w:t>（W</w:t>
      </w:r>
      <w:r>
        <w:rPr>
          <w:rFonts w:ascii="Times New Roman" w:hAnsi="Times New Roman" w:eastAsia="宋体"/>
          <w:vertAlign w:val="subscript"/>
        </w:rPr>
        <w:t>1-1</w:t>
      </w:r>
      <w:r>
        <w:rPr>
          <w:rFonts w:ascii="Times New Roman" w:hAnsi="Times New Roman" w:eastAsia="宋体"/>
        </w:rPr>
        <w:t>）</w:t>
      </w:r>
    </w:p>
    <w:p w14:paraId="61FFFF67">
      <w:pPr>
        <w:pStyle w:val="281"/>
        <w:ind w:firstLine="480"/>
        <w:rPr>
          <w:szCs w:val="24"/>
        </w:rPr>
      </w:pPr>
      <w:r>
        <w:rPr>
          <w:szCs w:val="24"/>
        </w:rPr>
        <w:t>气化装置废水产生量采用物料衡算法，正常气化装置水处理工段废水排放量为</w:t>
      </w:r>
      <w:r>
        <w:rPr>
          <w:rFonts w:hint="eastAsia" w:eastAsia="TimesNewRomanPSMT"/>
          <w:szCs w:val="24"/>
        </w:rPr>
        <w:t>50362kg</w:t>
      </w:r>
      <w:r>
        <w:rPr>
          <w:rFonts w:eastAsia="TimesNewRomanPSMT"/>
          <w:szCs w:val="24"/>
        </w:rPr>
        <w:t>/h</w:t>
      </w:r>
      <w:r>
        <w:rPr>
          <w:szCs w:val="24"/>
        </w:rPr>
        <w:t>，废水中主要污染物包括</w:t>
      </w:r>
      <w:r>
        <w:rPr>
          <w:rFonts w:hint="eastAsia"/>
          <w:szCs w:val="24"/>
        </w:rPr>
        <w:t>S</w:t>
      </w:r>
      <w:r>
        <w:rPr>
          <w:szCs w:val="24"/>
        </w:rPr>
        <w:t>S</w:t>
      </w:r>
      <w:r>
        <w:rPr>
          <w:rFonts w:hint="eastAsia"/>
          <w:szCs w:val="24"/>
        </w:rPr>
        <w:t>、</w:t>
      </w:r>
      <w:r>
        <w:rPr>
          <w:szCs w:val="24"/>
        </w:rPr>
        <w:t>BOD</w:t>
      </w:r>
      <w:r>
        <w:rPr>
          <w:rFonts w:hint="eastAsia"/>
          <w:szCs w:val="24"/>
        </w:rPr>
        <w:t>、</w:t>
      </w:r>
      <w:r>
        <w:rPr>
          <w:szCs w:val="24"/>
        </w:rPr>
        <w:t>COD</w:t>
      </w:r>
      <w:r>
        <w:rPr>
          <w:rFonts w:hint="eastAsia"/>
          <w:szCs w:val="24"/>
        </w:rPr>
        <w:t>、氯化物、硫化物、</w:t>
      </w:r>
      <w:r>
        <w:rPr>
          <w:szCs w:val="24"/>
        </w:rPr>
        <w:t>NH</w:t>
      </w:r>
      <w:r>
        <w:rPr>
          <w:szCs w:val="24"/>
          <w:vertAlign w:val="subscript"/>
        </w:rPr>
        <w:t>3</w:t>
      </w:r>
      <w:r>
        <w:rPr>
          <w:szCs w:val="24"/>
        </w:rPr>
        <w:t>-N</w:t>
      </w:r>
      <w:r>
        <w:rPr>
          <w:rStyle w:val="282"/>
        </w:rPr>
        <w:t>等，</w:t>
      </w:r>
      <w:r>
        <w:rPr>
          <w:szCs w:val="24"/>
        </w:rPr>
        <w:t>排入厂区污水处理站统一处理。水质数据</w:t>
      </w:r>
      <w:r>
        <w:rPr>
          <w:rFonts w:hint="eastAsia"/>
          <w:szCs w:val="24"/>
        </w:rPr>
        <w:t>类比《新疆新昊化工有限公司资源清洁利用绿色低碳多联产项目》。</w:t>
      </w:r>
    </w:p>
    <w:p w14:paraId="34F60C07">
      <w:pPr>
        <w:pStyle w:val="281"/>
        <w:ind w:firstLine="480"/>
        <w:rPr>
          <w:szCs w:val="24"/>
        </w:rPr>
      </w:pPr>
      <w:r>
        <w:rPr>
          <w:rFonts w:hint="eastAsia"/>
          <w:szCs w:val="24"/>
        </w:rPr>
        <w:t>（</w:t>
      </w:r>
      <w:r>
        <w:rPr>
          <w:szCs w:val="24"/>
        </w:rPr>
        <w:t>2</w:t>
      </w:r>
      <w:r>
        <w:rPr>
          <w:rFonts w:hint="eastAsia"/>
          <w:szCs w:val="24"/>
        </w:rPr>
        <w:t>）汽包排污水（</w:t>
      </w:r>
      <w:r>
        <w:t>W</w:t>
      </w:r>
      <w:r>
        <w:rPr>
          <w:vertAlign w:val="subscript"/>
        </w:rPr>
        <w:t>1-2</w:t>
      </w:r>
      <w:r>
        <w:rPr>
          <w:rFonts w:hint="eastAsia"/>
          <w:szCs w:val="24"/>
        </w:rPr>
        <w:t>）</w:t>
      </w:r>
    </w:p>
    <w:p w14:paraId="5E383AD0">
      <w:pPr>
        <w:pStyle w:val="281"/>
        <w:ind w:firstLine="480"/>
        <w:rPr>
          <w:szCs w:val="24"/>
        </w:rPr>
      </w:pPr>
      <w:r>
        <w:rPr>
          <w:rFonts w:hint="eastAsia"/>
          <w:szCs w:val="24"/>
        </w:rPr>
        <w:t>煤气化装置汽包污水产生量均为350</w:t>
      </w:r>
      <w:r>
        <w:rPr>
          <w:rFonts w:hint="eastAsia"/>
        </w:rPr>
        <w:t>kg</w:t>
      </w:r>
      <w:r>
        <w:t>/h</w:t>
      </w:r>
      <w:r>
        <w:rPr>
          <w:rFonts w:hint="eastAsia"/>
          <w:szCs w:val="24"/>
        </w:rPr>
        <w:t>，主要污染物是</w:t>
      </w:r>
      <w:r>
        <w:rPr>
          <w:szCs w:val="24"/>
        </w:rPr>
        <w:t>COD</w:t>
      </w:r>
      <w:r>
        <w:rPr>
          <w:rFonts w:hint="eastAsia"/>
          <w:szCs w:val="24"/>
        </w:rPr>
        <w:t>、</w:t>
      </w:r>
      <w:r>
        <w:rPr>
          <w:szCs w:val="24"/>
        </w:rPr>
        <w:t>SS，</w:t>
      </w:r>
      <w:r>
        <w:rPr>
          <w:rFonts w:hint="eastAsia"/>
          <w:szCs w:val="24"/>
        </w:rPr>
        <w:t>送循环水系统补水。</w:t>
      </w:r>
    </w:p>
    <w:p w14:paraId="2E352856">
      <w:pPr>
        <w:pStyle w:val="281"/>
        <w:ind w:firstLine="480"/>
        <w:rPr>
          <w:szCs w:val="24"/>
        </w:rPr>
      </w:pPr>
      <w:r>
        <w:rPr>
          <w:rFonts w:hint="eastAsia"/>
          <w:szCs w:val="24"/>
        </w:rPr>
        <w:t>（3）地面冲洗水（</w:t>
      </w:r>
      <w:r>
        <w:t>W</w:t>
      </w:r>
      <w:r>
        <w:rPr>
          <w:vertAlign w:val="subscript"/>
        </w:rPr>
        <w:t>1-</w:t>
      </w:r>
      <w:r>
        <w:rPr>
          <w:rFonts w:hint="eastAsia"/>
          <w:vertAlign w:val="subscript"/>
        </w:rPr>
        <w:t>3</w:t>
      </w:r>
      <w:r>
        <w:rPr>
          <w:rFonts w:hint="eastAsia"/>
          <w:szCs w:val="24"/>
        </w:rPr>
        <w:t>）</w:t>
      </w:r>
    </w:p>
    <w:p w14:paraId="48593EDD">
      <w:pPr>
        <w:pStyle w:val="281"/>
        <w:ind w:firstLine="480"/>
        <w:rPr>
          <w:u w:color="000000"/>
        </w:rPr>
      </w:pPr>
      <w:r>
        <w:rPr>
          <w:rFonts w:hint="eastAsia"/>
          <w:szCs w:val="24"/>
        </w:rPr>
        <w:t>煤气化装置地面冲洗水，产生量为1000</w:t>
      </w:r>
      <w:r>
        <w:rPr>
          <w:rFonts w:hint="eastAsia"/>
        </w:rPr>
        <w:t>kg</w:t>
      </w:r>
      <w:r>
        <w:t>/h</w:t>
      </w:r>
      <w:r>
        <w:rPr>
          <w:rFonts w:hint="eastAsia"/>
          <w:szCs w:val="24"/>
        </w:rPr>
        <w:t>，间断产生，</w:t>
      </w:r>
      <w:r>
        <w:rPr>
          <w:szCs w:val="24"/>
        </w:rPr>
        <w:t>排入厂区污水处理站统一处理</w:t>
      </w:r>
      <w:r>
        <w:rPr>
          <w:rFonts w:hint="eastAsia"/>
          <w:szCs w:val="24"/>
        </w:rPr>
        <w:t>。</w:t>
      </w:r>
    </w:p>
    <w:p w14:paraId="22CD7309">
      <w:pPr>
        <w:pStyle w:val="281"/>
        <w:ind w:firstLine="480"/>
        <w:rPr>
          <w:bCs/>
        </w:rPr>
      </w:pPr>
      <w:r>
        <w:rPr>
          <w:rFonts w:hint="eastAsia"/>
          <w:u w:color="000000"/>
        </w:rPr>
        <w:t>气化装置废水</w:t>
      </w:r>
      <w:r>
        <w:rPr>
          <w:bCs/>
        </w:rPr>
        <w:t>源强核算结果具体见表</w:t>
      </w:r>
      <w:r>
        <w:rPr>
          <w:rFonts w:hint="eastAsia"/>
          <w:bCs/>
        </w:rPr>
        <w:t>3.2.</w:t>
      </w:r>
      <w:r>
        <w:rPr>
          <w:bCs/>
        </w:rPr>
        <w:t>2</w:t>
      </w:r>
      <w:r>
        <w:rPr>
          <w:rFonts w:hint="eastAsia"/>
          <w:bCs/>
        </w:rPr>
        <w:t>-20。</w:t>
      </w:r>
    </w:p>
    <w:p w14:paraId="3EC2F670">
      <w:pPr>
        <w:pStyle w:val="541"/>
        <w:rPr>
          <w:rFonts w:hint="eastAsia"/>
        </w:rPr>
      </w:pPr>
      <w:r>
        <w:rPr>
          <w:rFonts w:hint="eastAsia"/>
        </w:rPr>
        <w:t>表3.2.</w:t>
      </w:r>
      <w:r>
        <w:t>2</w:t>
      </w:r>
      <w:r>
        <w:rPr>
          <w:rFonts w:hint="eastAsia"/>
        </w:rPr>
        <w:t>-20</w:t>
      </w:r>
      <w:r>
        <w:t xml:space="preserve">  </w:t>
      </w:r>
      <w:r>
        <w:rPr>
          <w:rFonts w:hint="eastAsia"/>
        </w:rPr>
        <w:t xml:space="preserve"> 气化装置废水污染源源强核算结果一览表</w:t>
      </w:r>
    </w:p>
    <w:tbl>
      <w:tblPr>
        <w:tblStyle w:val="65"/>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816"/>
        <w:gridCol w:w="952"/>
        <w:gridCol w:w="694"/>
        <w:gridCol w:w="874"/>
        <w:gridCol w:w="1034"/>
        <w:gridCol w:w="902"/>
        <w:gridCol w:w="1563"/>
        <w:gridCol w:w="684"/>
      </w:tblGrid>
      <w:tr w14:paraId="05EC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5874FC2E">
            <w:pPr>
              <w:pStyle w:val="190"/>
              <w:rPr>
                <w:rFonts w:ascii="Times New Roman" w:hAnsi="Times New Roman" w:cs="Times New Roman"/>
                <w:szCs w:val="18"/>
              </w:rPr>
            </w:pPr>
            <w:r>
              <w:rPr>
                <w:rFonts w:ascii="Times New Roman" w:hAnsi="Times New Roman" w:cs="Times New Roman"/>
                <w:szCs w:val="18"/>
              </w:rPr>
              <w:t>编号</w:t>
            </w:r>
          </w:p>
        </w:tc>
        <w:tc>
          <w:tcPr>
            <w:tcW w:w="816" w:type="dxa"/>
            <w:vMerge w:val="restart"/>
            <w:vAlign w:val="center"/>
          </w:tcPr>
          <w:p w14:paraId="1AFB5438">
            <w:pPr>
              <w:pStyle w:val="190"/>
              <w:rPr>
                <w:rFonts w:ascii="Times New Roman" w:hAnsi="Times New Roman" w:cs="Times New Roman"/>
                <w:szCs w:val="18"/>
              </w:rPr>
            </w:pPr>
            <w:r>
              <w:rPr>
                <w:rFonts w:ascii="Times New Roman" w:hAnsi="Times New Roman" w:cs="Times New Roman"/>
                <w:szCs w:val="18"/>
              </w:rPr>
              <w:t>排放源</w:t>
            </w:r>
          </w:p>
        </w:tc>
        <w:tc>
          <w:tcPr>
            <w:tcW w:w="952" w:type="dxa"/>
            <w:vMerge w:val="restart"/>
            <w:vAlign w:val="center"/>
          </w:tcPr>
          <w:p w14:paraId="36DAA436">
            <w:pPr>
              <w:pStyle w:val="190"/>
              <w:rPr>
                <w:rFonts w:ascii="Times New Roman" w:hAnsi="Times New Roman" w:cs="Times New Roman"/>
                <w:szCs w:val="18"/>
              </w:rPr>
            </w:pPr>
            <w:r>
              <w:rPr>
                <w:rFonts w:ascii="Times New Roman" w:hAnsi="Times New Roman" w:cs="Times New Roman"/>
                <w:szCs w:val="18"/>
              </w:rPr>
              <w:t>污染物</w:t>
            </w:r>
          </w:p>
        </w:tc>
        <w:tc>
          <w:tcPr>
            <w:tcW w:w="694" w:type="dxa"/>
            <w:vMerge w:val="restart"/>
            <w:vAlign w:val="center"/>
          </w:tcPr>
          <w:p w14:paraId="7CDA8A79">
            <w:pPr>
              <w:pStyle w:val="190"/>
              <w:rPr>
                <w:rFonts w:ascii="Times New Roman" w:hAnsi="Times New Roman" w:cs="Times New Roman"/>
                <w:szCs w:val="18"/>
              </w:rPr>
            </w:pPr>
            <w:r>
              <w:rPr>
                <w:rFonts w:ascii="Times New Roman" w:hAnsi="Times New Roman" w:cs="Times New Roman"/>
                <w:szCs w:val="18"/>
              </w:rPr>
              <w:t>核算方法</w:t>
            </w:r>
          </w:p>
        </w:tc>
        <w:tc>
          <w:tcPr>
            <w:tcW w:w="2810" w:type="dxa"/>
            <w:gridSpan w:val="3"/>
            <w:vAlign w:val="center"/>
          </w:tcPr>
          <w:p w14:paraId="66FF4282">
            <w:pPr>
              <w:pStyle w:val="190"/>
              <w:rPr>
                <w:rFonts w:ascii="Times New Roman" w:hAnsi="Times New Roman" w:cs="Times New Roman"/>
                <w:szCs w:val="18"/>
              </w:rPr>
            </w:pPr>
            <w:r>
              <w:rPr>
                <w:rFonts w:ascii="Times New Roman" w:hAnsi="Times New Roman" w:cs="Times New Roman"/>
                <w:szCs w:val="18"/>
              </w:rPr>
              <w:t>污染物产生情况</w:t>
            </w:r>
          </w:p>
        </w:tc>
        <w:tc>
          <w:tcPr>
            <w:tcW w:w="1563" w:type="dxa"/>
            <w:vMerge w:val="restart"/>
            <w:vAlign w:val="center"/>
          </w:tcPr>
          <w:p w14:paraId="69A76D7C">
            <w:pPr>
              <w:pStyle w:val="190"/>
              <w:rPr>
                <w:rFonts w:ascii="Times New Roman" w:hAnsi="Times New Roman" w:cs="Times New Roman"/>
                <w:szCs w:val="18"/>
              </w:rPr>
            </w:pPr>
            <w:r>
              <w:rPr>
                <w:rFonts w:ascii="Times New Roman" w:hAnsi="Times New Roman" w:cs="Times New Roman"/>
                <w:szCs w:val="18"/>
              </w:rPr>
              <w:t>处置措施</w:t>
            </w:r>
          </w:p>
        </w:tc>
        <w:tc>
          <w:tcPr>
            <w:tcW w:w="684" w:type="dxa"/>
            <w:vMerge w:val="restart"/>
            <w:vAlign w:val="center"/>
          </w:tcPr>
          <w:p w14:paraId="57201C57">
            <w:pPr>
              <w:pStyle w:val="190"/>
              <w:rPr>
                <w:rFonts w:ascii="Times New Roman" w:hAnsi="Times New Roman" w:cs="Times New Roman"/>
                <w:szCs w:val="18"/>
              </w:rPr>
            </w:pPr>
            <w:r>
              <w:rPr>
                <w:rFonts w:ascii="Times New Roman" w:hAnsi="Times New Roman" w:cs="Times New Roman"/>
                <w:szCs w:val="18"/>
              </w:rPr>
              <w:t>排放时间（h）</w:t>
            </w:r>
          </w:p>
        </w:tc>
      </w:tr>
      <w:tr w14:paraId="3C50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4E414141">
            <w:pPr>
              <w:pStyle w:val="190"/>
              <w:rPr>
                <w:rFonts w:ascii="Times New Roman" w:hAnsi="Times New Roman" w:cs="Times New Roman"/>
                <w:szCs w:val="18"/>
              </w:rPr>
            </w:pPr>
          </w:p>
        </w:tc>
        <w:tc>
          <w:tcPr>
            <w:tcW w:w="816" w:type="dxa"/>
            <w:vMerge w:val="continue"/>
            <w:vAlign w:val="center"/>
          </w:tcPr>
          <w:p w14:paraId="38714264">
            <w:pPr>
              <w:pStyle w:val="190"/>
              <w:rPr>
                <w:rFonts w:ascii="Times New Roman" w:hAnsi="Times New Roman" w:cs="Times New Roman"/>
                <w:szCs w:val="18"/>
              </w:rPr>
            </w:pPr>
          </w:p>
        </w:tc>
        <w:tc>
          <w:tcPr>
            <w:tcW w:w="952" w:type="dxa"/>
            <w:vMerge w:val="continue"/>
            <w:vAlign w:val="center"/>
          </w:tcPr>
          <w:p w14:paraId="6C0CBFC1">
            <w:pPr>
              <w:pStyle w:val="190"/>
              <w:rPr>
                <w:rFonts w:ascii="Times New Roman" w:hAnsi="Times New Roman" w:cs="Times New Roman"/>
                <w:szCs w:val="18"/>
              </w:rPr>
            </w:pPr>
          </w:p>
        </w:tc>
        <w:tc>
          <w:tcPr>
            <w:tcW w:w="694" w:type="dxa"/>
            <w:vMerge w:val="continue"/>
            <w:vAlign w:val="center"/>
          </w:tcPr>
          <w:p w14:paraId="40254F9E">
            <w:pPr>
              <w:pStyle w:val="190"/>
              <w:rPr>
                <w:rFonts w:ascii="Times New Roman" w:hAnsi="Times New Roman" w:cs="Times New Roman"/>
                <w:szCs w:val="18"/>
              </w:rPr>
            </w:pPr>
          </w:p>
        </w:tc>
        <w:tc>
          <w:tcPr>
            <w:tcW w:w="874" w:type="dxa"/>
            <w:vAlign w:val="center"/>
          </w:tcPr>
          <w:p w14:paraId="726C27A7">
            <w:pPr>
              <w:pStyle w:val="190"/>
              <w:rPr>
                <w:rFonts w:ascii="Times New Roman" w:hAnsi="Times New Roman" w:cs="Times New Roman"/>
                <w:szCs w:val="18"/>
              </w:rPr>
            </w:pPr>
            <w:r>
              <w:rPr>
                <w:rFonts w:ascii="Times New Roman" w:hAnsi="Times New Roman" w:cs="Times New Roman"/>
                <w:szCs w:val="18"/>
              </w:rPr>
              <w:t>废水产生量（kg/h）</w:t>
            </w:r>
          </w:p>
        </w:tc>
        <w:tc>
          <w:tcPr>
            <w:tcW w:w="1034" w:type="dxa"/>
            <w:vAlign w:val="center"/>
          </w:tcPr>
          <w:p w14:paraId="3A3A27E8">
            <w:pPr>
              <w:pStyle w:val="190"/>
              <w:rPr>
                <w:rFonts w:ascii="Times New Roman" w:hAnsi="Times New Roman" w:cs="Times New Roman"/>
                <w:szCs w:val="18"/>
              </w:rPr>
            </w:pPr>
            <w:r>
              <w:rPr>
                <w:rFonts w:ascii="Times New Roman" w:hAnsi="Times New Roman" w:cs="Times New Roman"/>
                <w:szCs w:val="18"/>
              </w:rPr>
              <w:t>产生浓度（mg/L）</w:t>
            </w:r>
          </w:p>
        </w:tc>
        <w:tc>
          <w:tcPr>
            <w:tcW w:w="902" w:type="dxa"/>
            <w:vAlign w:val="center"/>
          </w:tcPr>
          <w:p w14:paraId="6419BB08">
            <w:pPr>
              <w:pStyle w:val="190"/>
              <w:rPr>
                <w:rFonts w:ascii="Times New Roman" w:hAnsi="Times New Roman" w:cs="Times New Roman"/>
                <w:szCs w:val="18"/>
              </w:rPr>
            </w:pPr>
            <w:r>
              <w:rPr>
                <w:rFonts w:ascii="Times New Roman" w:hAnsi="Times New Roman" w:cs="Times New Roman"/>
                <w:szCs w:val="18"/>
              </w:rPr>
              <w:t>产生量（kg/h）</w:t>
            </w:r>
          </w:p>
        </w:tc>
        <w:tc>
          <w:tcPr>
            <w:tcW w:w="1563" w:type="dxa"/>
            <w:vMerge w:val="continue"/>
            <w:vAlign w:val="center"/>
          </w:tcPr>
          <w:p w14:paraId="4A29143F">
            <w:pPr>
              <w:pStyle w:val="190"/>
              <w:rPr>
                <w:rFonts w:ascii="Times New Roman" w:hAnsi="Times New Roman" w:cs="Times New Roman"/>
                <w:szCs w:val="18"/>
              </w:rPr>
            </w:pPr>
          </w:p>
        </w:tc>
        <w:tc>
          <w:tcPr>
            <w:tcW w:w="684" w:type="dxa"/>
            <w:vMerge w:val="continue"/>
            <w:vAlign w:val="center"/>
          </w:tcPr>
          <w:p w14:paraId="24FA95C5">
            <w:pPr>
              <w:pStyle w:val="190"/>
              <w:rPr>
                <w:rFonts w:ascii="Times New Roman" w:hAnsi="Times New Roman" w:cs="Times New Roman"/>
                <w:szCs w:val="18"/>
              </w:rPr>
            </w:pPr>
          </w:p>
        </w:tc>
      </w:tr>
      <w:tr w14:paraId="56CD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768ED0A2">
            <w:pPr>
              <w:pStyle w:val="190"/>
              <w:rPr>
                <w:rFonts w:ascii="Times New Roman" w:hAnsi="Times New Roman" w:cs="Times New Roman"/>
                <w:szCs w:val="18"/>
              </w:rPr>
            </w:pPr>
            <w:r>
              <w:rPr>
                <w:rFonts w:ascii="Times New Roman" w:hAnsi="Times New Roman" w:cs="Times New Roman"/>
                <w:szCs w:val="18"/>
              </w:rPr>
              <w:t>W</w:t>
            </w:r>
            <w:r>
              <w:rPr>
                <w:rFonts w:ascii="Times New Roman" w:hAnsi="Times New Roman" w:cs="Times New Roman"/>
                <w:szCs w:val="18"/>
                <w:vertAlign w:val="subscript"/>
              </w:rPr>
              <w:t>1-1</w:t>
            </w:r>
          </w:p>
        </w:tc>
        <w:tc>
          <w:tcPr>
            <w:tcW w:w="816" w:type="dxa"/>
            <w:vMerge w:val="restart"/>
            <w:vAlign w:val="center"/>
          </w:tcPr>
          <w:p w14:paraId="5FE6C84B">
            <w:pPr>
              <w:pStyle w:val="190"/>
              <w:rPr>
                <w:rFonts w:ascii="Times New Roman" w:hAnsi="Times New Roman" w:cs="Times New Roman"/>
                <w:szCs w:val="18"/>
              </w:rPr>
            </w:pPr>
            <w:r>
              <w:rPr>
                <w:rFonts w:ascii="Times New Roman" w:hAnsi="Times New Roman" w:cs="Times New Roman"/>
                <w:szCs w:val="18"/>
              </w:rPr>
              <w:t>气化灰水</w:t>
            </w:r>
          </w:p>
        </w:tc>
        <w:tc>
          <w:tcPr>
            <w:tcW w:w="952" w:type="dxa"/>
            <w:vAlign w:val="center"/>
          </w:tcPr>
          <w:p w14:paraId="339EBF63">
            <w:pPr>
              <w:pStyle w:val="190"/>
              <w:rPr>
                <w:rFonts w:ascii="Times New Roman" w:hAnsi="Times New Roman" w:cs="Times New Roman"/>
                <w:szCs w:val="18"/>
              </w:rPr>
            </w:pPr>
            <w:r>
              <w:rPr>
                <w:rFonts w:ascii="Times New Roman" w:hAnsi="Times New Roman" w:cs="Times New Roman"/>
                <w:szCs w:val="18"/>
              </w:rPr>
              <w:t>SS</w:t>
            </w:r>
          </w:p>
        </w:tc>
        <w:tc>
          <w:tcPr>
            <w:tcW w:w="694" w:type="dxa"/>
            <w:vMerge w:val="restart"/>
            <w:vAlign w:val="center"/>
          </w:tcPr>
          <w:p w14:paraId="6C210025">
            <w:pPr>
              <w:pStyle w:val="190"/>
              <w:rPr>
                <w:rFonts w:ascii="Times New Roman" w:hAnsi="Times New Roman" w:cs="Times New Roman"/>
                <w:szCs w:val="18"/>
              </w:rPr>
            </w:pPr>
            <w:r>
              <w:rPr>
                <w:rFonts w:hint="eastAsia" w:ascii="Times New Roman" w:hAnsi="Times New Roman" w:cs="Times New Roman"/>
                <w:szCs w:val="18"/>
              </w:rPr>
              <w:t>类比法</w:t>
            </w:r>
          </w:p>
        </w:tc>
        <w:tc>
          <w:tcPr>
            <w:tcW w:w="874" w:type="dxa"/>
            <w:vMerge w:val="restart"/>
            <w:vAlign w:val="center"/>
          </w:tcPr>
          <w:p w14:paraId="490F7AB6">
            <w:pPr>
              <w:jc w:val="center"/>
              <w:rPr>
                <w:rFonts w:ascii="Times New Roman" w:hAnsi="Times New Roman" w:cs="Times New Roman"/>
                <w:sz w:val="18"/>
                <w:szCs w:val="18"/>
              </w:rPr>
            </w:pPr>
            <w:r>
              <w:rPr>
                <w:rFonts w:hint="eastAsia" w:ascii="Times New Roman" w:hAnsi="Times New Roman" w:eastAsia="TimesNewRomanPSMT" w:cs="Times New Roman"/>
                <w:sz w:val="18"/>
                <w:szCs w:val="18"/>
              </w:rPr>
              <w:t>50</w:t>
            </w:r>
            <w:r>
              <w:rPr>
                <w:rFonts w:hint="eastAsia" w:ascii="Times New Roman" w:hAnsi="Times New Roman" w:cs="Times New Roman"/>
                <w:sz w:val="18"/>
                <w:szCs w:val="18"/>
              </w:rPr>
              <w:t>01</w:t>
            </w:r>
            <w:r>
              <w:rPr>
                <w:rFonts w:hint="eastAsia" w:ascii="Times New Roman" w:hAnsi="Times New Roman" w:eastAsia="TimesNewRomanPSMT" w:cs="Times New Roman"/>
                <w:sz w:val="18"/>
                <w:szCs w:val="18"/>
              </w:rPr>
              <w:t>2</w:t>
            </w:r>
          </w:p>
        </w:tc>
        <w:tc>
          <w:tcPr>
            <w:tcW w:w="1034" w:type="dxa"/>
            <w:vAlign w:val="center"/>
          </w:tcPr>
          <w:p w14:paraId="71E367EA">
            <w:pPr>
              <w:pStyle w:val="190"/>
              <w:rPr>
                <w:rFonts w:ascii="Times New Roman" w:hAnsi="Times New Roman" w:cs="Times New Roman"/>
                <w:szCs w:val="18"/>
              </w:rPr>
            </w:pPr>
            <w:r>
              <w:rPr>
                <w:rFonts w:hint="eastAsia" w:ascii="Times New Roman" w:hAnsi="Times New Roman" w:eastAsia="等线" w:cs="Times New Roman"/>
                <w:color w:val="000000"/>
                <w:szCs w:val="18"/>
              </w:rPr>
              <w:t>100</w:t>
            </w:r>
          </w:p>
        </w:tc>
        <w:tc>
          <w:tcPr>
            <w:tcW w:w="902" w:type="dxa"/>
            <w:vAlign w:val="center"/>
          </w:tcPr>
          <w:p w14:paraId="3C166702">
            <w:pPr>
              <w:jc w:val="center"/>
              <w:textAlignment w:val="center"/>
              <w:rPr>
                <w:rFonts w:ascii="Times New Roman" w:hAnsi="Times New Roman" w:cs="Times New Roman"/>
                <w:szCs w:val="18"/>
              </w:rPr>
            </w:pPr>
            <w:r>
              <w:rPr>
                <w:rFonts w:ascii="Times New Roman" w:hAnsi="Times New Roman" w:cs="Times New Roman"/>
                <w:color w:val="000000"/>
                <w:sz w:val="18"/>
                <w:szCs w:val="18"/>
              </w:rPr>
              <w:t>5</w:t>
            </w:r>
          </w:p>
        </w:tc>
        <w:tc>
          <w:tcPr>
            <w:tcW w:w="1563" w:type="dxa"/>
            <w:vMerge w:val="restart"/>
            <w:vAlign w:val="center"/>
          </w:tcPr>
          <w:p w14:paraId="427A79E3">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684" w:type="dxa"/>
            <w:vMerge w:val="restart"/>
            <w:vAlign w:val="center"/>
          </w:tcPr>
          <w:p w14:paraId="6FA2E236">
            <w:pPr>
              <w:pStyle w:val="190"/>
              <w:rPr>
                <w:rFonts w:ascii="Times New Roman" w:hAnsi="Times New Roman" w:cs="Times New Roman"/>
                <w:szCs w:val="18"/>
              </w:rPr>
            </w:pPr>
            <w:r>
              <w:rPr>
                <w:rFonts w:ascii="Times New Roman" w:hAnsi="Times New Roman" w:cs="Times New Roman"/>
                <w:szCs w:val="18"/>
              </w:rPr>
              <w:t>8000</w:t>
            </w:r>
          </w:p>
        </w:tc>
      </w:tr>
      <w:tr w14:paraId="7204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189B5B70">
            <w:pPr>
              <w:pStyle w:val="190"/>
              <w:rPr>
                <w:rFonts w:ascii="Times New Roman" w:hAnsi="Times New Roman" w:cs="Times New Roman"/>
                <w:szCs w:val="18"/>
              </w:rPr>
            </w:pPr>
          </w:p>
        </w:tc>
        <w:tc>
          <w:tcPr>
            <w:tcW w:w="816" w:type="dxa"/>
            <w:vMerge w:val="continue"/>
            <w:vAlign w:val="center"/>
          </w:tcPr>
          <w:p w14:paraId="1B0F8459">
            <w:pPr>
              <w:pStyle w:val="190"/>
              <w:rPr>
                <w:rFonts w:ascii="Times New Roman" w:hAnsi="Times New Roman" w:cs="Times New Roman"/>
                <w:szCs w:val="18"/>
              </w:rPr>
            </w:pPr>
          </w:p>
        </w:tc>
        <w:tc>
          <w:tcPr>
            <w:tcW w:w="952" w:type="dxa"/>
            <w:vAlign w:val="center"/>
          </w:tcPr>
          <w:p w14:paraId="3D5507B3">
            <w:pPr>
              <w:pStyle w:val="190"/>
              <w:rPr>
                <w:rFonts w:ascii="Times New Roman" w:hAnsi="Times New Roman" w:cs="Times New Roman"/>
                <w:szCs w:val="18"/>
              </w:rPr>
            </w:pPr>
            <w:r>
              <w:rPr>
                <w:rFonts w:ascii="Times New Roman" w:hAnsi="Times New Roman" w:cs="Times New Roman"/>
                <w:szCs w:val="18"/>
              </w:rPr>
              <w:t>BOD</w:t>
            </w:r>
          </w:p>
        </w:tc>
        <w:tc>
          <w:tcPr>
            <w:tcW w:w="694" w:type="dxa"/>
            <w:vMerge w:val="continue"/>
            <w:vAlign w:val="center"/>
          </w:tcPr>
          <w:p w14:paraId="02152ECE">
            <w:pPr>
              <w:pStyle w:val="190"/>
              <w:rPr>
                <w:rFonts w:ascii="Times New Roman" w:hAnsi="Times New Roman" w:cs="Times New Roman"/>
                <w:szCs w:val="18"/>
              </w:rPr>
            </w:pPr>
          </w:p>
        </w:tc>
        <w:tc>
          <w:tcPr>
            <w:tcW w:w="874" w:type="dxa"/>
            <w:vMerge w:val="continue"/>
            <w:vAlign w:val="center"/>
          </w:tcPr>
          <w:p w14:paraId="01B140F9">
            <w:pPr>
              <w:pStyle w:val="190"/>
              <w:rPr>
                <w:rFonts w:ascii="Times New Roman" w:hAnsi="Times New Roman" w:cs="Times New Roman"/>
                <w:szCs w:val="18"/>
              </w:rPr>
            </w:pPr>
          </w:p>
        </w:tc>
        <w:tc>
          <w:tcPr>
            <w:tcW w:w="1034" w:type="dxa"/>
            <w:vAlign w:val="center"/>
          </w:tcPr>
          <w:p w14:paraId="0816436A">
            <w:pPr>
              <w:pStyle w:val="190"/>
              <w:rPr>
                <w:rFonts w:ascii="Times New Roman" w:hAnsi="Times New Roman" w:cs="Times New Roman"/>
                <w:szCs w:val="18"/>
              </w:rPr>
            </w:pPr>
            <w:r>
              <w:rPr>
                <w:rFonts w:ascii="Times New Roman" w:hAnsi="Times New Roman" w:eastAsia="等线" w:cs="Times New Roman"/>
                <w:color w:val="000000"/>
                <w:szCs w:val="18"/>
              </w:rPr>
              <w:t>300</w:t>
            </w:r>
          </w:p>
        </w:tc>
        <w:tc>
          <w:tcPr>
            <w:tcW w:w="902" w:type="dxa"/>
            <w:vAlign w:val="center"/>
          </w:tcPr>
          <w:p w14:paraId="5924F166">
            <w:pPr>
              <w:jc w:val="center"/>
              <w:textAlignment w:val="center"/>
              <w:rPr>
                <w:rFonts w:ascii="Times New Roman" w:hAnsi="Times New Roman" w:eastAsia="等线" w:cs="Times New Roman"/>
                <w:szCs w:val="18"/>
              </w:rPr>
            </w:pPr>
            <w:r>
              <w:rPr>
                <w:rFonts w:hint="eastAsia" w:ascii="Times New Roman" w:hAnsi="Times New Roman" w:cs="Times New Roman"/>
                <w:color w:val="000000"/>
                <w:sz w:val="18"/>
                <w:szCs w:val="18"/>
              </w:rPr>
              <w:t>15</w:t>
            </w:r>
          </w:p>
        </w:tc>
        <w:tc>
          <w:tcPr>
            <w:tcW w:w="1563" w:type="dxa"/>
            <w:vMerge w:val="continue"/>
            <w:vAlign w:val="center"/>
          </w:tcPr>
          <w:p w14:paraId="794DBB99">
            <w:pPr>
              <w:pStyle w:val="190"/>
              <w:rPr>
                <w:rFonts w:ascii="Times New Roman" w:hAnsi="Times New Roman" w:cs="Times New Roman"/>
                <w:szCs w:val="18"/>
              </w:rPr>
            </w:pPr>
          </w:p>
        </w:tc>
        <w:tc>
          <w:tcPr>
            <w:tcW w:w="684" w:type="dxa"/>
            <w:vMerge w:val="continue"/>
            <w:vAlign w:val="center"/>
          </w:tcPr>
          <w:p w14:paraId="3622D9A3">
            <w:pPr>
              <w:pStyle w:val="190"/>
              <w:rPr>
                <w:rFonts w:ascii="Times New Roman" w:hAnsi="Times New Roman" w:cs="Times New Roman"/>
                <w:szCs w:val="18"/>
              </w:rPr>
            </w:pPr>
          </w:p>
        </w:tc>
      </w:tr>
      <w:tr w14:paraId="35E0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23A0CC28">
            <w:pPr>
              <w:pStyle w:val="190"/>
              <w:rPr>
                <w:rFonts w:ascii="Times New Roman" w:hAnsi="Times New Roman" w:cs="Times New Roman"/>
                <w:szCs w:val="18"/>
              </w:rPr>
            </w:pPr>
          </w:p>
        </w:tc>
        <w:tc>
          <w:tcPr>
            <w:tcW w:w="816" w:type="dxa"/>
            <w:vMerge w:val="continue"/>
            <w:vAlign w:val="center"/>
          </w:tcPr>
          <w:p w14:paraId="6AC4D4E6">
            <w:pPr>
              <w:pStyle w:val="190"/>
              <w:rPr>
                <w:rFonts w:ascii="Times New Roman" w:hAnsi="Times New Roman" w:cs="Times New Roman"/>
                <w:szCs w:val="18"/>
              </w:rPr>
            </w:pPr>
          </w:p>
        </w:tc>
        <w:tc>
          <w:tcPr>
            <w:tcW w:w="952" w:type="dxa"/>
            <w:vAlign w:val="center"/>
          </w:tcPr>
          <w:p w14:paraId="1C286881">
            <w:pPr>
              <w:pStyle w:val="190"/>
              <w:rPr>
                <w:rFonts w:ascii="Times New Roman" w:hAnsi="Times New Roman" w:cs="Times New Roman"/>
                <w:szCs w:val="18"/>
              </w:rPr>
            </w:pPr>
            <w:r>
              <w:rPr>
                <w:rFonts w:ascii="Times New Roman" w:hAnsi="Times New Roman" w:cs="Times New Roman"/>
                <w:szCs w:val="18"/>
              </w:rPr>
              <w:t>COD</w:t>
            </w:r>
          </w:p>
        </w:tc>
        <w:tc>
          <w:tcPr>
            <w:tcW w:w="694" w:type="dxa"/>
            <w:vMerge w:val="continue"/>
            <w:vAlign w:val="center"/>
          </w:tcPr>
          <w:p w14:paraId="553DD489">
            <w:pPr>
              <w:pStyle w:val="190"/>
              <w:rPr>
                <w:rFonts w:ascii="Times New Roman" w:hAnsi="Times New Roman" w:cs="Times New Roman"/>
                <w:szCs w:val="18"/>
              </w:rPr>
            </w:pPr>
          </w:p>
        </w:tc>
        <w:tc>
          <w:tcPr>
            <w:tcW w:w="874" w:type="dxa"/>
            <w:vMerge w:val="continue"/>
            <w:vAlign w:val="center"/>
          </w:tcPr>
          <w:p w14:paraId="400F6409">
            <w:pPr>
              <w:pStyle w:val="190"/>
              <w:rPr>
                <w:rFonts w:ascii="Times New Roman" w:hAnsi="Times New Roman" w:cs="Times New Roman"/>
                <w:szCs w:val="18"/>
              </w:rPr>
            </w:pPr>
          </w:p>
        </w:tc>
        <w:tc>
          <w:tcPr>
            <w:tcW w:w="1034" w:type="dxa"/>
            <w:vAlign w:val="center"/>
          </w:tcPr>
          <w:p w14:paraId="297D8610">
            <w:pPr>
              <w:pStyle w:val="190"/>
              <w:rPr>
                <w:rFonts w:ascii="Times New Roman" w:hAnsi="Times New Roman" w:cs="Times New Roman"/>
                <w:szCs w:val="18"/>
              </w:rPr>
            </w:pPr>
            <w:r>
              <w:rPr>
                <w:rFonts w:hint="eastAsia" w:ascii="Times New Roman" w:hAnsi="Times New Roman" w:eastAsia="等线" w:cs="Times New Roman"/>
                <w:color w:val="000000"/>
                <w:szCs w:val="18"/>
              </w:rPr>
              <w:t>600</w:t>
            </w:r>
          </w:p>
        </w:tc>
        <w:tc>
          <w:tcPr>
            <w:tcW w:w="902" w:type="dxa"/>
            <w:vAlign w:val="center"/>
          </w:tcPr>
          <w:p w14:paraId="4F8CD0A7">
            <w:pPr>
              <w:jc w:val="center"/>
              <w:textAlignment w:val="center"/>
              <w:rPr>
                <w:rFonts w:ascii="Times New Roman" w:hAnsi="Times New Roman" w:cs="Times New Roman"/>
                <w:szCs w:val="18"/>
              </w:rPr>
            </w:pPr>
            <w:r>
              <w:rPr>
                <w:rFonts w:hint="eastAsia" w:ascii="Times New Roman" w:hAnsi="Times New Roman" w:cs="Times New Roman"/>
                <w:color w:val="000000"/>
                <w:sz w:val="18"/>
                <w:szCs w:val="18"/>
              </w:rPr>
              <w:t>30.01</w:t>
            </w:r>
          </w:p>
        </w:tc>
        <w:tc>
          <w:tcPr>
            <w:tcW w:w="1563" w:type="dxa"/>
            <w:vMerge w:val="continue"/>
            <w:vAlign w:val="center"/>
          </w:tcPr>
          <w:p w14:paraId="682D8363">
            <w:pPr>
              <w:pStyle w:val="190"/>
              <w:rPr>
                <w:rFonts w:ascii="Times New Roman" w:hAnsi="Times New Roman" w:cs="Times New Roman"/>
                <w:szCs w:val="18"/>
              </w:rPr>
            </w:pPr>
          </w:p>
        </w:tc>
        <w:tc>
          <w:tcPr>
            <w:tcW w:w="684" w:type="dxa"/>
            <w:vMerge w:val="continue"/>
            <w:vAlign w:val="center"/>
          </w:tcPr>
          <w:p w14:paraId="35165C4F">
            <w:pPr>
              <w:pStyle w:val="190"/>
              <w:rPr>
                <w:rFonts w:ascii="Times New Roman" w:hAnsi="Times New Roman" w:cs="Times New Roman"/>
                <w:szCs w:val="18"/>
              </w:rPr>
            </w:pPr>
          </w:p>
        </w:tc>
      </w:tr>
      <w:tr w14:paraId="6F57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713AF13C">
            <w:pPr>
              <w:pStyle w:val="190"/>
              <w:rPr>
                <w:rFonts w:ascii="Times New Roman" w:hAnsi="Times New Roman" w:cs="Times New Roman"/>
                <w:szCs w:val="18"/>
              </w:rPr>
            </w:pPr>
          </w:p>
        </w:tc>
        <w:tc>
          <w:tcPr>
            <w:tcW w:w="816" w:type="dxa"/>
            <w:vMerge w:val="continue"/>
            <w:vAlign w:val="center"/>
          </w:tcPr>
          <w:p w14:paraId="7D4577D0">
            <w:pPr>
              <w:pStyle w:val="190"/>
              <w:rPr>
                <w:rFonts w:ascii="Times New Roman" w:hAnsi="Times New Roman" w:cs="Times New Roman"/>
                <w:szCs w:val="18"/>
              </w:rPr>
            </w:pPr>
          </w:p>
        </w:tc>
        <w:tc>
          <w:tcPr>
            <w:tcW w:w="952" w:type="dxa"/>
            <w:vAlign w:val="center"/>
          </w:tcPr>
          <w:p w14:paraId="6D1271DA">
            <w:pPr>
              <w:pStyle w:val="190"/>
              <w:rPr>
                <w:rFonts w:ascii="Times New Roman" w:hAnsi="Times New Roman" w:cs="Times New Roman"/>
                <w:szCs w:val="18"/>
              </w:rPr>
            </w:pPr>
            <w:r>
              <w:rPr>
                <w:rFonts w:ascii="Times New Roman" w:hAnsi="Times New Roman" w:cs="Times New Roman"/>
                <w:szCs w:val="18"/>
              </w:rPr>
              <w:t>氯化物</w:t>
            </w:r>
          </w:p>
        </w:tc>
        <w:tc>
          <w:tcPr>
            <w:tcW w:w="694" w:type="dxa"/>
            <w:vMerge w:val="continue"/>
            <w:vAlign w:val="center"/>
          </w:tcPr>
          <w:p w14:paraId="77A6ABCE">
            <w:pPr>
              <w:pStyle w:val="190"/>
              <w:rPr>
                <w:rFonts w:ascii="Times New Roman" w:hAnsi="Times New Roman" w:cs="Times New Roman"/>
                <w:szCs w:val="18"/>
              </w:rPr>
            </w:pPr>
          </w:p>
        </w:tc>
        <w:tc>
          <w:tcPr>
            <w:tcW w:w="874" w:type="dxa"/>
            <w:vMerge w:val="continue"/>
            <w:vAlign w:val="center"/>
          </w:tcPr>
          <w:p w14:paraId="501A0887">
            <w:pPr>
              <w:pStyle w:val="190"/>
              <w:rPr>
                <w:rFonts w:ascii="Times New Roman" w:hAnsi="Times New Roman" w:cs="Times New Roman"/>
                <w:szCs w:val="18"/>
              </w:rPr>
            </w:pPr>
          </w:p>
        </w:tc>
        <w:tc>
          <w:tcPr>
            <w:tcW w:w="1034" w:type="dxa"/>
            <w:vAlign w:val="center"/>
          </w:tcPr>
          <w:p w14:paraId="11C60547">
            <w:pPr>
              <w:pStyle w:val="190"/>
              <w:rPr>
                <w:rFonts w:ascii="Times New Roman" w:hAnsi="Times New Roman" w:cs="Times New Roman"/>
                <w:szCs w:val="18"/>
              </w:rPr>
            </w:pPr>
            <w:r>
              <w:rPr>
                <w:rFonts w:hint="eastAsia" w:ascii="Times New Roman" w:hAnsi="Times New Roman" w:eastAsia="等线" w:cs="Times New Roman"/>
                <w:color w:val="000000"/>
                <w:szCs w:val="18"/>
              </w:rPr>
              <w:t>100</w:t>
            </w:r>
          </w:p>
        </w:tc>
        <w:tc>
          <w:tcPr>
            <w:tcW w:w="902" w:type="dxa"/>
            <w:vAlign w:val="center"/>
          </w:tcPr>
          <w:p w14:paraId="74C52D49">
            <w:pPr>
              <w:jc w:val="center"/>
              <w:textAlignment w:val="center"/>
              <w:rPr>
                <w:rFonts w:ascii="Times New Roman" w:hAnsi="Times New Roman" w:eastAsia="等线" w:cs="Times New Roman"/>
                <w:szCs w:val="18"/>
              </w:rPr>
            </w:pPr>
            <w:r>
              <w:rPr>
                <w:rFonts w:hint="eastAsia" w:ascii="Times New Roman" w:hAnsi="Times New Roman" w:cs="Times New Roman"/>
                <w:color w:val="000000"/>
                <w:sz w:val="18"/>
                <w:szCs w:val="18"/>
              </w:rPr>
              <w:t>5</w:t>
            </w:r>
          </w:p>
        </w:tc>
        <w:tc>
          <w:tcPr>
            <w:tcW w:w="1563" w:type="dxa"/>
            <w:vMerge w:val="continue"/>
            <w:vAlign w:val="center"/>
          </w:tcPr>
          <w:p w14:paraId="4B674813">
            <w:pPr>
              <w:pStyle w:val="190"/>
              <w:rPr>
                <w:rFonts w:ascii="Times New Roman" w:hAnsi="Times New Roman" w:cs="Times New Roman"/>
                <w:szCs w:val="18"/>
              </w:rPr>
            </w:pPr>
          </w:p>
        </w:tc>
        <w:tc>
          <w:tcPr>
            <w:tcW w:w="684" w:type="dxa"/>
            <w:vMerge w:val="continue"/>
            <w:vAlign w:val="center"/>
          </w:tcPr>
          <w:p w14:paraId="5444D2CC">
            <w:pPr>
              <w:pStyle w:val="190"/>
              <w:rPr>
                <w:rFonts w:ascii="Times New Roman" w:hAnsi="Times New Roman" w:cs="Times New Roman"/>
                <w:szCs w:val="18"/>
              </w:rPr>
            </w:pPr>
          </w:p>
        </w:tc>
      </w:tr>
      <w:tr w14:paraId="7005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15FCB9A5">
            <w:pPr>
              <w:pStyle w:val="190"/>
              <w:rPr>
                <w:rFonts w:ascii="Times New Roman" w:hAnsi="Times New Roman" w:cs="Times New Roman"/>
                <w:szCs w:val="18"/>
              </w:rPr>
            </w:pPr>
          </w:p>
        </w:tc>
        <w:tc>
          <w:tcPr>
            <w:tcW w:w="816" w:type="dxa"/>
            <w:vMerge w:val="continue"/>
            <w:vAlign w:val="center"/>
          </w:tcPr>
          <w:p w14:paraId="1B6ABBE5">
            <w:pPr>
              <w:pStyle w:val="190"/>
              <w:rPr>
                <w:rFonts w:ascii="Times New Roman" w:hAnsi="Times New Roman" w:cs="Times New Roman"/>
                <w:szCs w:val="18"/>
              </w:rPr>
            </w:pPr>
          </w:p>
        </w:tc>
        <w:tc>
          <w:tcPr>
            <w:tcW w:w="952" w:type="dxa"/>
            <w:vAlign w:val="center"/>
          </w:tcPr>
          <w:p w14:paraId="68B70892">
            <w:pPr>
              <w:pStyle w:val="190"/>
              <w:rPr>
                <w:rFonts w:ascii="Times New Roman" w:hAnsi="Times New Roman" w:cs="Times New Roman"/>
                <w:szCs w:val="18"/>
              </w:rPr>
            </w:pPr>
            <w:r>
              <w:rPr>
                <w:rFonts w:ascii="Times New Roman" w:hAnsi="Times New Roman" w:cs="Times New Roman"/>
                <w:szCs w:val="18"/>
              </w:rPr>
              <w:t>硫化物</w:t>
            </w:r>
          </w:p>
        </w:tc>
        <w:tc>
          <w:tcPr>
            <w:tcW w:w="694" w:type="dxa"/>
            <w:vMerge w:val="continue"/>
            <w:vAlign w:val="center"/>
          </w:tcPr>
          <w:p w14:paraId="50D0B4B6">
            <w:pPr>
              <w:pStyle w:val="190"/>
              <w:rPr>
                <w:rFonts w:ascii="Times New Roman" w:hAnsi="Times New Roman" w:cs="Times New Roman"/>
                <w:szCs w:val="18"/>
              </w:rPr>
            </w:pPr>
          </w:p>
        </w:tc>
        <w:tc>
          <w:tcPr>
            <w:tcW w:w="874" w:type="dxa"/>
            <w:vMerge w:val="continue"/>
            <w:vAlign w:val="center"/>
          </w:tcPr>
          <w:p w14:paraId="71B184A1">
            <w:pPr>
              <w:pStyle w:val="190"/>
              <w:rPr>
                <w:rFonts w:ascii="Times New Roman" w:hAnsi="Times New Roman" w:cs="Times New Roman"/>
                <w:szCs w:val="18"/>
              </w:rPr>
            </w:pPr>
          </w:p>
        </w:tc>
        <w:tc>
          <w:tcPr>
            <w:tcW w:w="1034" w:type="dxa"/>
            <w:vAlign w:val="center"/>
          </w:tcPr>
          <w:p w14:paraId="4239FE83">
            <w:pPr>
              <w:pStyle w:val="190"/>
              <w:rPr>
                <w:rFonts w:ascii="Times New Roman" w:hAnsi="Times New Roman" w:cs="Times New Roman"/>
                <w:szCs w:val="18"/>
              </w:rPr>
            </w:pPr>
            <w:r>
              <w:rPr>
                <w:rFonts w:ascii="Times New Roman" w:hAnsi="Times New Roman" w:eastAsia="等线" w:cs="Times New Roman"/>
                <w:color w:val="000000"/>
                <w:szCs w:val="18"/>
              </w:rPr>
              <w:t>10</w:t>
            </w:r>
          </w:p>
        </w:tc>
        <w:tc>
          <w:tcPr>
            <w:tcW w:w="902" w:type="dxa"/>
            <w:vAlign w:val="center"/>
          </w:tcPr>
          <w:p w14:paraId="45E5C254">
            <w:pPr>
              <w:jc w:val="center"/>
              <w:textAlignment w:val="center"/>
              <w:rPr>
                <w:rFonts w:ascii="Times New Roman" w:hAnsi="Times New Roman" w:eastAsia="等线" w:cs="Times New Roman"/>
                <w:szCs w:val="18"/>
              </w:rPr>
            </w:pPr>
            <w:r>
              <w:rPr>
                <w:rFonts w:hint="eastAsia" w:ascii="Times New Roman" w:hAnsi="Times New Roman" w:cs="Times New Roman"/>
                <w:color w:val="000000"/>
                <w:sz w:val="18"/>
                <w:szCs w:val="18"/>
              </w:rPr>
              <w:t>0.5</w:t>
            </w:r>
          </w:p>
        </w:tc>
        <w:tc>
          <w:tcPr>
            <w:tcW w:w="1563" w:type="dxa"/>
            <w:vMerge w:val="continue"/>
            <w:vAlign w:val="center"/>
          </w:tcPr>
          <w:p w14:paraId="1A5CE915">
            <w:pPr>
              <w:pStyle w:val="190"/>
              <w:rPr>
                <w:rFonts w:ascii="Times New Roman" w:hAnsi="Times New Roman" w:cs="Times New Roman"/>
                <w:szCs w:val="18"/>
              </w:rPr>
            </w:pPr>
          </w:p>
        </w:tc>
        <w:tc>
          <w:tcPr>
            <w:tcW w:w="684" w:type="dxa"/>
            <w:vMerge w:val="continue"/>
            <w:vAlign w:val="center"/>
          </w:tcPr>
          <w:p w14:paraId="796698ED">
            <w:pPr>
              <w:pStyle w:val="190"/>
              <w:rPr>
                <w:rFonts w:ascii="Times New Roman" w:hAnsi="Times New Roman" w:cs="Times New Roman"/>
                <w:szCs w:val="18"/>
              </w:rPr>
            </w:pPr>
          </w:p>
        </w:tc>
      </w:tr>
      <w:tr w14:paraId="290D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260493EF">
            <w:pPr>
              <w:pStyle w:val="190"/>
              <w:rPr>
                <w:rFonts w:ascii="Times New Roman" w:hAnsi="Times New Roman" w:cs="Times New Roman"/>
                <w:szCs w:val="18"/>
              </w:rPr>
            </w:pPr>
          </w:p>
        </w:tc>
        <w:tc>
          <w:tcPr>
            <w:tcW w:w="816" w:type="dxa"/>
            <w:vMerge w:val="continue"/>
            <w:vAlign w:val="center"/>
          </w:tcPr>
          <w:p w14:paraId="18ABF2CC">
            <w:pPr>
              <w:pStyle w:val="190"/>
              <w:rPr>
                <w:rFonts w:ascii="Times New Roman" w:hAnsi="Times New Roman" w:cs="Times New Roman"/>
                <w:szCs w:val="18"/>
              </w:rPr>
            </w:pPr>
          </w:p>
        </w:tc>
        <w:tc>
          <w:tcPr>
            <w:tcW w:w="952" w:type="dxa"/>
            <w:vAlign w:val="center"/>
          </w:tcPr>
          <w:p w14:paraId="178E2DB7">
            <w:pPr>
              <w:pStyle w:val="190"/>
              <w:rPr>
                <w:rFonts w:ascii="Times New Roman" w:hAnsi="Times New Roman" w:cs="Times New Roman"/>
                <w:szCs w:val="18"/>
              </w:rPr>
            </w:pPr>
            <w:r>
              <w:rPr>
                <w:rFonts w:ascii="Times New Roman" w:hAnsi="Times New Roman" w:cs="Times New Roman"/>
                <w:szCs w:val="18"/>
              </w:rPr>
              <w:t>NH</w:t>
            </w:r>
            <w:r>
              <w:rPr>
                <w:rFonts w:ascii="Times New Roman" w:hAnsi="Times New Roman" w:cs="Times New Roman"/>
                <w:szCs w:val="18"/>
                <w:vertAlign w:val="subscript"/>
              </w:rPr>
              <w:t>3</w:t>
            </w:r>
            <w:r>
              <w:rPr>
                <w:rFonts w:ascii="Times New Roman" w:hAnsi="Times New Roman" w:cs="Times New Roman"/>
                <w:szCs w:val="18"/>
              </w:rPr>
              <w:t>-N</w:t>
            </w:r>
          </w:p>
        </w:tc>
        <w:tc>
          <w:tcPr>
            <w:tcW w:w="694" w:type="dxa"/>
            <w:vMerge w:val="continue"/>
            <w:vAlign w:val="center"/>
          </w:tcPr>
          <w:p w14:paraId="447C8266">
            <w:pPr>
              <w:pStyle w:val="190"/>
              <w:rPr>
                <w:rFonts w:ascii="Times New Roman" w:hAnsi="Times New Roman" w:cs="Times New Roman"/>
                <w:szCs w:val="18"/>
              </w:rPr>
            </w:pPr>
          </w:p>
        </w:tc>
        <w:tc>
          <w:tcPr>
            <w:tcW w:w="874" w:type="dxa"/>
            <w:vMerge w:val="continue"/>
            <w:vAlign w:val="center"/>
          </w:tcPr>
          <w:p w14:paraId="77A35061">
            <w:pPr>
              <w:pStyle w:val="190"/>
              <w:rPr>
                <w:rFonts w:ascii="Times New Roman" w:hAnsi="Times New Roman" w:cs="Times New Roman"/>
                <w:szCs w:val="18"/>
              </w:rPr>
            </w:pPr>
          </w:p>
        </w:tc>
        <w:tc>
          <w:tcPr>
            <w:tcW w:w="1034" w:type="dxa"/>
            <w:vAlign w:val="center"/>
          </w:tcPr>
          <w:p w14:paraId="4F4F8476">
            <w:pPr>
              <w:pStyle w:val="190"/>
              <w:rPr>
                <w:rFonts w:ascii="Times New Roman" w:hAnsi="Times New Roman" w:cs="Times New Roman"/>
                <w:szCs w:val="18"/>
              </w:rPr>
            </w:pPr>
            <w:r>
              <w:rPr>
                <w:rFonts w:hint="eastAsia" w:ascii="Times New Roman" w:hAnsi="Times New Roman" w:eastAsia="等线" w:cs="Times New Roman"/>
                <w:color w:val="000000"/>
                <w:szCs w:val="18"/>
              </w:rPr>
              <w:t>400</w:t>
            </w:r>
          </w:p>
        </w:tc>
        <w:tc>
          <w:tcPr>
            <w:tcW w:w="902" w:type="dxa"/>
            <w:vAlign w:val="center"/>
          </w:tcPr>
          <w:p w14:paraId="38997A02">
            <w:pPr>
              <w:jc w:val="center"/>
              <w:textAlignment w:val="center"/>
              <w:rPr>
                <w:rFonts w:ascii="Times New Roman" w:hAnsi="Times New Roman" w:eastAsia="等线" w:cs="Times New Roman"/>
                <w:szCs w:val="18"/>
              </w:rPr>
            </w:pPr>
            <w:r>
              <w:rPr>
                <w:rFonts w:hint="eastAsia" w:ascii="Times New Roman" w:hAnsi="Times New Roman" w:cs="Times New Roman"/>
                <w:color w:val="000000"/>
                <w:sz w:val="18"/>
                <w:szCs w:val="18"/>
              </w:rPr>
              <w:t>20</w:t>
            </w:r>
          </w:p>
        </w:tc>
        <w:tc>
          <w:tcPr>
            <w:tcW w:w="1563" w:type="dxa"/>
            <w:vMerge w:val="continue"/>
            <w:vAlign w:val="center"/>
          </w:tcPr>
          <w:p w14:paraId="72EA8214">
            <w:pPr>
              <w:pStyle w:val="190"/>
              <w:rPr>
                <w:rFonts w:ascii="Times New Roman" w:hAnsi="Times New Roman" w:cs="Times New Roman"/>
                <w:szCs w:val="18"/>
              </w:rPr>
            </w:pPr>
          </w:p>
        </w:tc>
        <w:tc>
          <w:tcPr>
            <w:tcW w:w="684" w:type="dxa"/>
            <w:vMerge w:val="continue"/>
            <w:vAlign w:val="center"/>
          </w:tcPr>
          <w:p w14:paraId="298D33ED">
            <w:pPr>
              <w:pStyle w:val="190"/>
              <w:rPr>
                <w:rFonts w:ascii="Times New Roman" w:hAnsi="Times New Roman" w:cs="Times New Roman"/>
                <w:szCs w:val="18"/>
              </w:rPr>
            </w:pPr>
          </w:p>
        </w:tc>
      </w:tr>
      <w:tr w14:paraId="3351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1154880F">
            <w:pPr>
              <w:pStyle w:val="190"/>
              <w:rPr>
                <w:rFonts w:ascii="Times New Roman" w:hAnsi="Times New Roman" w:cs="Times New Roman"/>
                <w:szCs w:val="18"/>
              </w:rPr>
            </w:pPr>
          </w:p>
        </w:tc>
        <w:tc>
          <w:tcPr>
            <w:tcW w:w="816" w:type="dxa"/>
            <w:vMerge w:val="continue"/>
            <w:vAlign w:val="center"/>
          </w:tcPr>
          <w:p w14:paraId="72F455D4">
            <w:pPr>
              <w:pStyle w:val="190"/>
              <w:rPr>
                <w:rFonts w:ascii="Times New Roman" w:hAnsi="Times New Roman" w:cs="Times New Roman"/>
                <w:szCs w:val="18"/>
              </w:rPr>
            </w:pPr>
          </w:p>
        </w:tc>
        <w:tc>
          <w:tcPr>
            <w:tcW w:w="952" w:type="dxa"/>
            <w:vAlign w:val="center"/>
          </w:tcPr>
          <w:p w14:paraId="228D9091">
            <w:pPr>
              <w:pStyle w:val="190"/>
              <w:rPr>
                <w:rFonts w:ascii="Times New Roman" w:hAnsi="Times New Roman" w:cs="Times New Roman"/>
                <w:szCs w:val="18"/>
              </w:rPr>
            </w:pPr>
            <w:r>
              <w:rPr>
                <w:rFonts w:ascii="Times New Roman" w:hAnsi="Times New Roman" w:cs="Times New Roman"/>
                <w:szCs w:val="18"/>
              </w:rPr>
              <w:t>HCN</w:t>
            </w:r>
          </w:p>
        </w:tc>
        <w:tc>
          <w:tcPr>
            <w:tcW w:w="694" w:type="dxa"/>
            <w:vMerge w:val="continue"/>
            <w:vAlign w:val="center"/>
          </w:tcPr>
          <w:p w14:paraId="2BEFC98B">
            <w:pPr>
              <w:pStyle w:val="190"/>
              <w:rPr>
                <w:rFonts w:ascii="Times New Roman" w:hAnsi="Times New Roman" w:cs="Times New Roman"/>
                <w:szCs w:val="18"/>
              </w:rPr>
            </w:pPr>
          </w:p>
        </w:tc>
        <w:tc>
          <w:tcPr>
            <w:tcW w:w="874" w:type="dxa"/>
            <w:vMerge w:val="continue"/>
            <w:vAlign w:val="center"/>
          </w:tcPr>
          <w:p w14:paraId="29139C2F">
            <w:pPr>
              <w:pStyle w:val="190"/>
              <w:rPr>
                <w:rFonts w:ascii="Times New Roman" w:hAnsi="Times New Roman" w:cs="Times New Roman"/>
                <w:szCs w:val="18"/>
              </w:rPr>
            </w:pPr>
          </w:p>
        </w:tc>
        <w:tc>
          <w:tcPr>
            <w:tcW w:w="1034" w:type="dxa"/>
            <w:vAlign w:val="center"/>
          </w:tcPr>
          <w:p w14:paraId="705B83E0">
            <w:pPr>
              <w:pStyle w:val="190"/>
              <w:rPr>
                <w:rFonts w:ascii="Times New Roman" w:hAnsi="Times New Roman" w:cs="Times New Roman"/>
                <w:szCs w:val="18"/>
              </w:rPr>
            </w:pPr>
            <w:r>
              <w:rPr>
                <w:rFonts w:hint="eastAsia" w:ascii="Times New Roman" w:hAnsi="Times New Roman" w:eastAsia="等线" w:cs="Times New Roman"/>
                <w:color w:val="000000"/>
                <w:szCs w:val="18"/>
              </w:rPr>
              <w:t>10</w:t>
            </w:r>
          </w:p>
        </w:tc>
        <w:tc>
          <w:tcPr>
            <w:tcW w:w="902" w:type="dxa"/>
            <w:vAlign w:val="center"/>
          </w:tcPr>
          <w:p w14:paraId="01DF0930">
            <w:pPr>
              <w:jc w:val="center"/>
              <w:textAlignment w:val="center"/>
              <w:rPr>
                <w:rFonts w:ascii="Times New Roman" w:hAnsi="Times New Roman" w:eastAsia="等线" w:cs="Times New Roman"/>
                <w:color w:val="000000"/>
                <w:szCs w:val="18"/>
              </w:rPr>
            </w:pPr>
            <w:r>
              <w:rPr>
                <w:rFonts w:ascii="Times New Roman" w:hAnsi="Times New Roman" w:cs="Times New Roman"/>
                <w:color w:val="000000"/>
                <w:sz w:val="18"/>
                <w:szCs w:val="18"/>
              </w:rPr>
              <w:t>0.5</w:t>
            </w:r>
          </w:p>
        </w:tc>
        <w:tc>
          <w:tcPr>
            <w:tcW w:w="1563" w:type="dxa"/>
            <w:vMerge w:val="continue"/>
            <w:vAlign w:val="center"/>
          </w:tcPr>
          <w:p w14:paraId="64701DA0">
            <w:pPr>
              <w:pStyle w:val="190"/>
              <w:rPr>
                <w:rFonts w:ascii="Times New Roman" w:hAnsi="Times New Roman" w:cs="Times New Roman"/>
                <w:szCs w:val="18"/>
              </w:rPr>
            </w:pPr>
          </w:p>
        </w:tc>
        <w:tc>
          <w:tcPr>
            <w:tcW w:w="684" w:type="dxa"/>
            <w:vMerge w:val="continue"/>
            <w:vAlign w:val="center"/>
          </w:tcPr>
          <w:p w14:paraId="3C2D5CE4">
            <w:pPr>
              <w:pStyle w:val="190"/>
              <w:rPr>
                <w:rFonts w:ascii="Times New Roman" w:hAnsi="Times New Roman" w:cs="Times New Roman"/>
                <w:szCs w:val="18"/>
              </w:rPr>
            </w:pPr>
          </w:p>
        </w:tc>
      </w:tr>
      <w:tr w14:paraId="7435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5789F436">
            <w:pPr>
              <w:pStyle w:val="190"/>
              <w:rPr>
                <w:rFonts w:ascii="Times New Roman" w:hAnsi="Times New Roman" w:cs="Times New Roman"/>
                <w:szCs w:val="18"/>
              </w:rPr>
            </w:pPr>
          </w:p>
        </w:tc>
        <w:tc>
          <w:tcPr>
            <w:tcW w:w="816" w:type="dxa"/>
            <w:vMerge w:val="continue"/>
            <w:vAlign w:val="center"/>
          </w:tcPr>
          <w:p w14:paraId="626AB0A7">
            <w:pPr>
              <w:pStyle w:val="190"/>
              <w:rPr>
                <w:rFonts w:ascii="Times New Roman" w:hAnsi="Times New Roman" w:cs="Times New Roman"/>
                <w:szCs w:val="18"/>
              </w:rPr>
            </w:pPr>
          </w:p>
        </w:tc>
        <w:tc>
          <w:tcPr>
            <w:tcW w:w="952" w:type="dxa"/>
            <w:vAlign w:val="center"/>
          </w:tcPr>
          <w:p w14:paraId="3207EC3B">
            <w:pPr>
              <w:pStyle w:val="190"/>
              <w:rPr>
                <w:rFonts w:ascii="Times New Roman" w:hAnsi="Times New Roman" w:cs="Times New Roman"/>
                <w:szCs w:val="18"/>
              </w:rPr>
            </w:pPr>
            <w:r>
              <w:rPr>
                <w:rFonts w:hint="eastAsia" w:ascii="Times New Roman" w:hAnsi="Times New Roman" w:cs="Times New Roman"/>
                <w:szCs w:val="18"/>
              </w:rPr>
              <w:t>溶解性总固体</w:t>
            </w:r>
          </w:p>
        </w:tc>
        <w:tc>
          <w:tcPr>
            <w:tcW w:w="694" w:type="dxa"/>
            <w:vMerge w:val="continue"/>
            <w:vAlign w:val="center"/>
          </w:tcPr>
          <w:p w14:paraId="74FE6D0C">
            <w:pPr>
              <w:pStyle w:val="190"/>
              <w:rPr>
                <w:rFonts w:ascii="Times New Roman" w:hAnsi="Times New Roman" w:cs="Times New Roman"/>
                <w:szCs w:val="18"/>
              </w:rPr>
            </w:pPr>
          </w:p>
        </w:tc>
        <w:tc>
          <w:tcPr>
            <w:tcW w:w="874" w:type="dxa"/>
            <w:vMerge w:val="continue"/>
            <w:vAlign w:val="center"/>
          </w:tcPr>
          <w:p w14:paraId="5FAA487D">
            <w:pPr>
              <w:pStyle w:val="190"/>
              <w:rPr>
                <w:rFonts w:ascii="Times New Roman" w:hAnsi="Times New Roman" w:cs="Times New Roman"/>
                <w:szCs w:val="18"/>
              </w:rPr>
            </w:pPr>
          </w:p>
        </w:tc>
        <w:tc>
          <w:tcPr>
            <w:tcW w:w="1034" w:type="dxa"/>
            <w:vAlign w:val="center"/>
          </w:tcPr>
          <w:p w14:paraId="22ABC93D">
            <w:pPr>
              <w:pStyle w:val="190"/>
              <w:rPr>
                <w:rFonts w:ascii="Times New Roman" w:hAnsi="Times New Roman" w:eastAsia="等线" w:cs="Times New Roman"/>
                <w:color w:val="000000"/>
                <w:szCs w:val="18"/>
              </w:rPr>
            </w:pPr>
            <w:r>
              <w:rPr>
                <w:rFonts w:hint="eastAsia" w:ascii="Times New Roman" w:hAnsi="Times New Roman" w:eastAsia="等线" w:cs="Times New Roman"/>
                <w:color w:val="000000"/>
                <w:szCs w:val="18"/>
              </w:rPr>
              <w:t>2000</w:t>
            </w:r>
          </w:p>
        </w:tc>
        <w:tc>
          <w:tcPr>
            <w:tcW w:w="902" w:type="dxa"/>
            <w:vAlign w:val="center"/>
          </w:tcPr>
          <w:p w14:paraId="3353FD3B">
            <w:pPr>
              <w:jc w:val="center"/>
              <w:textAlignment w:val="center"/>
              <w:rPr>
                <w:rFonts w:ascii="Times New Roman" w:hAnsi="Times New Roman" w:cs="Times New Roman"/>
                <w:color w:val="000000"/>
                <w:szCs w:val="18"/>
              </w:rPr>
            </w:pPr>
            <w:r>
              <w:rPr>
                <w:rFonts w:hint="eastAsia" w:ascii="Times New Roman" w:hAnsi="Times New Roman" w:cs="Times New Roman"/>
                <w:color w:val="000000"/>
                <w:sz w:val="18"/>
                <w:szCs w:val="18"/>
              </w:rPr>
              <w:t>100.02</w:t>
            </w:r>
          </w:p>
        </w:tc>
        <w:tc>
          <w:tcPr>
            <w:tcW w:w="1563" w:type="dxa"/>
            <w:vMerge w:val="continue"/>
            <w:vAlign w:val="center"/>
          </w:tcPr>
          <w:p w14:paraId="382692A1">
            <w:pPr>
              <w:pStyle w:val="190"/>
              <w:rPr>
                <w:rFonts w:ascii="Times New Roman" w:hAnsi="Times New Roman" w:cs="Times New Roman"/>
                <w:szCs w:val="18"/>
              </w:rPr>
            </w:pPr>
          </w:p>
        </w:tc>
        <w:tc>
          <w:tcPr>
            <w:tcW w:w="684" w:type="dxa"/>
            <w:vMerge w:val="continue"/>
            <w:vAlign w:val="center"/>
          </w:tcPr>
          <w:p w14:paraId="3AD40E4B">
            <w:pPr>
              <w:pStyle w:val="190"/>
              <w:rPr>
                <w:rFonts w:ascii="Times New Roman" w:hAnsi="Times New Roman" w:cs="Times New Roman"/>
                <w:szCs w:val="18"/>
              </w:rPr>
            </w:pPr>
          </w:p>
        </w:tc>
      </w:tr>
      <w:tr w14:paraId="2ED0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36BEFA49">
            <w:pPr>
              <w:pStyle w:val="190"/>
              <w:rPr>
                <w:rFonts w:ascii="Times New Roman" w:hAnsi="Times New Roman" w:cs="Times New Roman"/>
                <w:szCs w:val="18"/>
                <w:u w:color="000000"/>
              </w:rPr>
            </w:pPr>
            <w:r>
              <w:rPr>
                <w:rFonts w:ascii="Times New Roman" w:hAnsi="Times New Roman" w:cs="Times New Roman"/>
                <w:szCs w:val="18"/>
                <w:u w:color="000000"/>
              </w:rPr>
              <w:t>W</w:t>
            </w:r>
            <w:r>
              <w:rPr>
                <w:rFonts w:ascii="Times New Roman" w:hAnsi="Times New Roman" w:cs="Times New Roman"/>
                <w:szCs w:val="18"/>
                <w:u w:color="000000"/>
                <w:vertAlign w:val="subscript"/>
              </w:rPr>
              <w:t>1-2</w:t>
            </w:r>
          </w:p>
        </w:tc>
        <w:tc>
          <w:tcPr>
            <w:tcW w:w="816" w:type="dxa"/>
            <w:vMerge w:val="restart"/>
            <w:vAlign w:val="center"/>
          </w:tcPr>
          <w:p w14:paraId="57949C5C">
            <w:pPr>
              <w:pStyle w:val="190"/>
              <w:rPr>
                <w:rFonts w:ascii="Times New Roman" w:hAnsi="Times New Roman" w:cs="Times New Roman"/>
                <w:szCs w:val="18"/>
                <w:u w:color="000000"/>
              </w:rPr>
            </w:pPr>
            <w:r>
              <w:rPr>
                <w:rFonts w:hint="eastAsia" w:ascii="Times New Roman" w:hAnsi="Times New Roman" w:cs="Times New Roman"/>
                <w:szCs w:val="18"/>
                <w:u w:color="000000"/>
              </w:rPr>
              <w:t>汽包</w:t>
            </w:r>
            <w:r>
              <w:rPr>
                <w:rFonts w:ascii="Times New Roman" w:hAnsi="Times New Roman" w:cs="Times New Roman"/>
                <w:szCs w:val="18"/>
                <w:u w:color="000000"/>
              </w:rPr>
              <w:t>排污水</w:t>
            </w:r>
          </w:p>
        </w:tc>
        <w:tc>
          <w:tcPr>
            <w:tcW w:w="952" w:type="dxa"/>
            <w:vAlign w:val="center"/>
          </w:tcPr>
          <w:p w14:paraId="7B3F4717">
            <w:pPr>
              <w:pStyle w:val="190"/>
              <w:rPr>
                <w:rFonts w:ascii="Times New Roman" w:hAnsi="Times New Roman" w:cs="Times New Roman"/>
                <w:szCs w:val="18"/>
              </w:rPr>
            </w:pPr>
            <w:r>
              <w:rPr>
                <w:rFonts w:ascii="Times New Roman" w:hAnsi="Times New Roman" w:cs="Times New Roman"/>
                <w:szCs w:val="18"/>
                <w:u w:color="000000"/>
              </w:rPr>
              <w:t>SS</w:t>
            </w:r>
          </w:p>
        </w:tc>
        <w:tc>
          <w:tcPr>
            <w:tcW w:w="694" w:type="dxa"/>
            <w:vMerge w:val="restart"/>
            <w:vAlign w:val="center"/>
          </w:tcPr>
          <w:p w14:paraId="45973D1C">
            <w:pPr>
              <w:pStyle w:val="190"/>
              <w:rPr>
                <w:rFonts w:ascii="Times New Roman" w:hAnsi="Times New Roman" w:cs="Times New Roman"/>
                <w:szCs w:val="18"/>
              </w:rPr>
            </w:pPr>
            <w:r>
              <w:rPr>
                <w:rFonts w:hint="eastAsia" w:ascii="Times New Roman" w:hAnsi="Times New Roman" w:cs="Times New Roman"/>
                <w:szCs w:val="18"/>
              </w:rPr>
              <w:t>类比法</w:t>
            </w:r>
          </w:p>
        </w:tc>
        <w:tc>
          <w:tcPr>
            <w:tcW w:w="874" w:type="dxa"/>
            <w:vMerge w:val="restart"/>
            <w:vAlign w:val="center"/>
          </w:tcPr>
          <w:p w14:paraId="56102979">
            <w:pPr>
              <w:pStyle w:val="190"/>
              <w:rPr>
                <w:rFonts w:ascii="Times New Roman" w:hAnsi="Times New Roman" w:cs="Times New Roman"/>
                <w:szCs w:val="18"/>
              </w:rPr>
            </w:pPr>
            <w:r>
              <w:rPr>
                <w:rFonts w:hint="eastAsia" w:ascii="Times New Roman" w:hAnsi="Times New Roman" w:cs="Times New Roman"/>
                <w:szCs w:val="18"/>
              </w:rPr>
              <w:t>350</w:t>
            </w:r>
          </w:p>
        </w:tc>
        <w:tc>
          <w:tcPr>
            <w:tcW w:w="1034" w:type="dxa"/>
            <w:vAlign w:val="center"/>
          </w:tcPr>
          <w:p w14:paraId="4513D9AE">
            <w:pPr>
              <w:pStyle w:val="190"/>
              <w:rPr>
                <w:rFonts w:ascii="Times New Roman" w:hAnsi="Times New Roman" w:cs="Times New Roman"/>
                <w:szCs w:val="18"/>
              </w:rPr>
            </w:pPr>
            <w:r>
              <w:rPr>
                <w:rFonts w:ascii="Times New Roman" w:hAnsi="Times New Roman" w:eastAsia="等线" w:cs="Times New Roman"/>
                <w:color w:val="000000"/>
                <w:szCs w:val="18"/>
              </w:rPr>
              <w:t>100</w:t>
            </w:r>
          </w:p>
        </w:tc>
        <w:tc>
          <w:tcPr>
            <w:tcW w:w="902" w:type="dxa"/>
            <w:vAlign w:val="center"/>
          </w:tcPr>
          <w:p w14:paraId="2592B012">
            <w:pPr>
              <w:pStyle w:val="190"/>
              <w:rPr>
                <w:rFonts w:ascii="Times New Roman" w:hAnsi="Times New Roman" w:eastAsia="等线" w:cs="Times New Roman"/>
                <w:szCs w:val="18"/>
              </w:rPr>
            </w:pPr>
            <w:r>
              <w:rPr>
                <w:rFonts w:ascii="Times New Roman" w:hAnsi="Times New Roman" w:eastAsia="等线" w:cs="Times New Roman"/>
                <w:color w:val="000000"/>
                <w:szCs w:val="18"/>
              </w:rPr>
              <w:t>0.0</w:t>
            </w:r>
            <w:r>
              <w:rPr>
                <w:rFonts w:hint="eastAsia" w:ascii="Times New Roman" w:hAnsi="Times New Roman" w:eastAsia="等线" w:cs="Times New Roman"/>
                <w:color w:val="000000"/>
                <w:szCs w:val="18"/>
              </w:rPr>
              <w:t>35</w:t>
            </w:r>
          </w:p>
        </w:tc>
        <w:tc>
          <w:tcPr>
            <w:tcW w:w="1563" w:type="dxa"/>
            <w:vMerge w:val="continue"/>
            <w:vAlign w:val="center"/>
          </w:tcPr>
          <w:p w14:paraId="07795D70">
            <w:pPr>
              <w:pStyle w:val="190"/>
              <w:rPr>
                <w:rFonts w:ascii="Times New Roman" w:hAnsi="Times New Roman" w:cs="Times New Roman"/>
                <w:szCs w:val="18"/>
              </w:rPr>
            </w:pPr>
          </w:p>
        </w:tc>
        <w:tc>
          <w:tcPr>
            <w:tcW w:w="684" w:type="dxa"/>
            <w:vMerge w:val="continue"/>
            <w:vAlign w:val="center"/>
          </w:tcPr>
          <w:p w14:paraId="56023C52">
            <w:pPr>
              <w:pStyle w:val="190"/>
              <w:rPr>
                <w:rFonts w:ascii="Times New Roman" w:hAnsi="Times New Roman" w:cs="Times New Roman"/>
                <w:szCs w:val="18"/>
              </w:rPr>
            </w:pPr>
          </w:p>
        </w:tc>
      </w:tr>
      <w:tr w14:paraId="0052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228E0DC1">
            <w:pPr>
              <w:pStyle w:val="190"/>
              <w:rPr>
                <w:rFonts w:ascii="Times New Roman" w:hAnsi="Times New Roman" w:cs="Times New Roman"/>
                <w:szCs w:val="18"/>
                <w:u w:color="000000"/>
              </w:rPr>
            </w:pPr>
          </w:p>
        </w:tc>
        <w:tc>
          <w:tcPr>
            <w:tcW w:w="816" w:type="dxa"/>
            <w:vMerge w:val="continue"/>
            <w:vAlign w:val="center"/>
          </w:tcPr>
          <w:p w14:paraId="3EB26D7F">
            <w:pPr>
              <w:pStyle w:val="190"/>
              <w:rPr>
                <w:rFonts w:ascii="Times New Roman" w:hAnsi="Times New Roman" w:cs="Times New Roman"/>
                <w:szCs w:val="18"/>
                <w:u w:color="000000"/>
              </w:rPr>
            </w:pPr>
          </w:p>
        </w:tc>
        <w:tc>
          <w:tcPr>
            <w:tcW w:w="952" w:type="dxa"/>
            <w:vAlign w:val="center"/>
          </w:tcPr>
          <w:p w14:paraId="5E1F6672">
            <w:pPr>
              <w:pStyle w:val="190"/>
              <w:rPr>
                <w:rFonts w:ascii="Times New Roman" w:hAnsi="Times New Roman" w:cs="Times New Roman"/>
                <w:szCs w:val="18"/>
                <w:u w:color="000000"/>
              </w:rPr>
            </w:pPr>
            <w:r>
              <w:rPr>
                <w:rFonts w:ascii="Times New Roman" w:hAnsi="Times New Roman" w:cs="Times New Roman"/>
                <w:szCs w:val="18"/>
                <w:u w:color="000000"/>
              </w:rPr>
              <w:t>COD</w:t>
            </w:r>
          </w:p>
        </w:tc>
        <w:tc>
          <w:tcPr>
            <w:tcW w:w="694" w:type="dxa"/>
            <w:vMerge w:val="continue"/>
            <w:vAlign w:val="center"/>
          </w:tcPr>
          <w:p w14:paraId="75A9FDED">
            <w:pPr>
              <w:pStyle w:val="190"/>
              <w:rPr>
                <w:rFonts w:ascii="Times New Roman" w:hAnsi="Times New Roman" w:cs="Times New Roman"/>
                <w:szCs w:val="18"/>
              </w:rPr>
            </w:pPr>
          </w:p>
        </w:tc>
        <w:tc>
          <w:tcPr>
            <w:tcW w:w="874" w:type="dxa"/>
            <w:vMerge w:val="continue"/>
            <w:vAlign w:val="center"/>
          </w:tcPr>
          <w:p w14:paraId="157F5720">
            <w:pPr>
              <w:pStyle w:val="190"/>
              <w:rPr>
                <w:rFonts w:ascii="Times New Roman" w:hAnsi="Times New Roman" w:cs="Times New Roman"/>
                <w:szCs w:val="18"/>
              </w:rPr>
            </w:pPr>
          </w:p>
        </w:tc>
        <w:tc>
          <w:tcPr>
            <w:tcW w:w="1034" w:type="dxa"/>
            <w:vAlign w:val="center"/>
          </w:tcPr>
          <w:p w14:paraId="513E1B00">
            <w:pPr>
              <w:pStyle w:val="190"/>
              <w:rPr>
                <w:rFonts w:ascii="Times New Roman" w:hAnsi="Times New Roman" w:cs="Times New Roman"/>
                <w:szCs w:val="18"/>
              </w:rPr>
            </w:pPr>
            <w:r>
              <w:rPr>
                <w:rFonts w:ascii="Times New Roman" w:hAnsi="Times New Roman" w:eastAsia="等线" w:cs="Times New Roman"/>
                <w:color w:val="000000"/>
                <w:szCs w:val="18"/>
              </w:rPr>
              <w:t>100</w:t>
            </w:r>
          </w:p>
        </w:tc>
        <w:tc>
          <w:tcPr>
            <w:tcW w:w="902" w:type="dxa"/>
            <w:vAlign w:val="center"/>
          </w:tcPr>
          <w:p w14:paraId="569EA790">
            <w:pPr>
              <w:pStyle w:val="190"/>
              <w:rPr>
                <w:rFonts w:ascii="Times New Roman" w:hAnsi="Times New Roman" w:eastAsia="等线" w:cs="Times New Roman"/>
                <w:szCs w:val="18"/>
              </w:rPr>
            </w:pPr>
            <w:r>
              <w:rPr>
                <w:rFonts w:ascii="Times New Roman" w:hAnsi="Times New Roman" w:eastAsia="等线" w:cs="Times New Roman"/>
                <w:color w:val="000000"/>
                <w:szCs w:val="18"/>
              </w:rPr>
              <w:t>0.0</w:t>
            </w:r>
            <w:r>
              <w:rPr>
                <w:rFonts w:hint="eastAsia" w:ascii="Times New Roman" w:hAnsi="Times New Roman" w:eastAsia="等线" w:cs="Times New Roman"/>
                <w:color w:val="000000"/>
                <w:szCs w:val="18"/>
              </w:rPr>
              <w:t>35</w:t>
            </w:r>
          </w:p>
        </w:tc>
        <w:tc>
          <w:tcPr>
            <w:tcW w:w="1563" w:type="dxa"/>
            <w:vMerge w:val="continue"/>
            <w:vAlign w:val="center"/>
          </w:tcPr>
          <w:p w14:paraId="1F8F33FA">
            <w:pPr>
              <w:pStyle w:val="190"/>
              <w:rPr>
                <w:rFonts w:ascii="Times New Roman" w:hAnsi="Times New Roman" w:cs="Times New Roman"/>
                <w:szCs w:val="18"/>
              </w:rPr>
            </w:pPr>
          </w:p>
        </w:tc>
        <w:tc>
          <w:tcPr>
            <w:tcW w:w="684" w:type="dxa"/>
            <w:vMerge w:val="continue"/>
            <w:vAlign w:val="center"/>
          </w:tcPr>
          <w:p w14:paraId="53C9D08A">
            <w:pPr>
              <w:pStyle w:val="190"/>
              <w:rPr>
                <w:rFonts w:ascii="Times New Roman" w:hAnsi="Times New Roman" w:cs="Times New Roman"/>
                <w:szCs w:val="18"/>
              </w:rPr>
            </w:pPr>
          </w:p>
        </w:tc>
      </w:tr>
      <w:tr w14:paraId="6348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6B7C59F3">
            <w:pPr>
              <w:pStyle w:val="190"/>
              <w:rPr>
                <w:rFonts w:ascii="Times New Roman" w:hAnsi="Times New Roman" w:cs="Times New Roman"/>
                <w:szCs w:val="18"/>
              </w:rPr>
            </w:pPr>
            <w:r>
              <w:rPr>
                <w:rFonts w:ascii="Times New Roman" w:hAnsi="Times New Roman" w:cs="Times New Roman"/>
                <w:szCs w:val="18"/>
              </w:rPr>
              <w:t>W</w:t>
            </w:r>
            <w:r>
              <w:rPr>
                <w:rFonts w:ascii="Times New Roman" w:hAnsi="Times New Roman" w:cs="Times New Roman"/>
                <w:szCs w:val="18"/>
                <w:vertAlign w:val="subscript"/>
              </w:rPr>
              <w:t>1-3</w:t>
            </w:r>
          </w:p>
        </w:tc>
        <w:tc>
          <w:tcPr>
            <w:tcW w:w="816" w:type="dxa"/>
            <w:vMerge w:val="restart"/>
            <w:vAlign w:val="center"/>
          </w:tcPr>
          <w:p w14:paraId="1C93B6A4">
            <w:pPr>
              <w:pStyle w:val="190"/>
              <w:rPr>
                <w:rFonts w:ascii="Times New Roman" w:hAnsi="Times New Roman" w:cs="Times New Roman"/>
                <w:szCs w:val="18"/>
                <w:u w:color="000000"/>
              </w:rPr>
            </w:pPr>
            <w:r>
              <w:rPr>
                <w:rFonts w:ascii="Times New Roman" w:hAnsi="Times New Roman" w:cs="Times New Roman"/>
                <w:kern w:val="2"/>
                <w:szCs w:val="18"/>
              </w:rPr>
              <w:t>地面冲洗水</w:t>
            </w:r>
          </w:p>
        </w:tc>
        <w:tc>
          <w:tcPr>
            <w:tcW w:w="952" w:type="dxa"/>
            <w:vAlign w:val="center"/>
          </w:tcPr>
          <w:p w14:paraId="69D28113">
            <w:pPr>
              <w:pStyle w:val="190"/>
              <w:rPr>
                <w:rFonts w:ascii="Times New Roman" w:hAnsi="Times New Roman" w:cs="Times New Roman"/>
                <w:szCs w:val="18"/>
              </w:rPr>
            </w:pPr>
            <w:r>
              <w:rPr>
                <w:rFonts w:ascii="Times New Roman" w:hAnsi="Times New Roman" w:cs="Times New Roman"/>
                <w:kern w:val="2"/>
                <w:szCs w:val="18"/>
              </w:rPr>
              <w:t>SS</w:t>
            </w:r>
          </w:p>
        </w:tc>
        <w:tc>
          <w:tcPr>
            <w:tcW w:w="694" w:type="dxa"/>
            <w:vMerge w:val="restart"/>
            <w:vAlign w:val="center"/>
          </w:tcPr>
          <w:p w14:paraId="4BAEAB64">
            <w:pPr>
              <w:pStyle w:val="190"/>
              <w:rPr>
                <w:rFonts w:ascii="Times New Roman" w:hAnsi="Times New Roman" w:cs="Times New Roman"/>
                <w:szCs w:val="18"/>
              </w:rPr>
            </w:pPr>
            <w:r>
              <w:rPr>
                <w:rFonts w:ascii="Times New Roman" w:hAnsi="Times New Roman" w:cs="Times New Roman"/>
                <w:szCs w:val="18"/>
              </w:rPr>
              <w:t>类比法</w:t>
            </w:r>
          </w:p>
        </w:tc>
        <w:tc>
          <w:tcPr>
            <w:tcW w:w="874" w:type="dxa"/>
            <w:vMerge w:val="restart"/>
            <w:vAlign w:val="center"/>
          </w:tcPr>
          <w:p w14:paraId="06F1EDFA">
            <w:pPr>
              <w:pStyle w:val="190"/>
              <w:rPr>
                <w:rFonts w:ascii="Times New Roman" w:hAnsi="Times New Roman" w:cs="Times New Roman"/>
                <w:szCs w:val="18"/>
              </w:rPr>
            </w:pPr>
            <w:r>
              <w:rPr>
                <w:rFonts w:hint="eastAsia" w:ascii="Times New Roman" w:hAnsi="Times New Roman" w:cs="Times New Roman"/>
                <w:szCs w:val="18"/>
              </w:rPr>
              <w:t>1</w:t>
            </w:r>
            <w:r>
              <w:rPr>
                <w:rFonts w:ascii="Times New Roman" w:hAnsi="Times New Roman" w:cs="Times New Roman"/>
                <w:szCs w:val="18"/>
              </w:rPr>
              <w:t>000</w:t>
            </w:r>
          </w:p>
        </w:tc>
        <w:tc>
          <w:tcPr>
            <w:tcW w:w="1034" w:type="dxa"/>
            <w:vAlign w:val="center"/>
          </w:tcPr>
          <w:p w14:paraId="0A4350B6">
            <w:pPr>
              <w:pStyle w:val="190"/>
              <w:rPr>
                <w:rFonts w:ascii="Times New Roman" w:hAnsi="Times New Roman" w:cs="Times New Roman"/>
                <w:szCs w:val="18"/>
              </w:rPr>
            </w:pPr>
            <w:r>
              <w:rPr>
                <w:rFonts w:hint="eastAsia" w:ascii="Times New Roman" w:hAnsi="Times New Roman" w:eastAsia="等线" w:cs="Times New Roman"/>
                <w:color w:val="000000"/>
                <w:szCs w:val="18"/>
              </w:rPr>
              <w:t>300</w:t>
            </w:r>
          </w:p>
        </w:tc>
        <w:tc>
          <w:tcPr>
            <w:tcW w:w="902" w:type="dxa"/>
            <w:vAlign w:val="center"/>
          </w:tcPr>
          <w:p w14:paraId="537C1522">
            <w:pPr>
              <w:pStyle w:val="190"/>
              <w:rPr>
                <w:rFonts w:ascii="Times New Roman" w:hAnsi="Times New Roman" w:eastAsia="等线" w:cs="Times New Roman"/>
                <w:szCs w:val="18"/>
              </w:rPr>
            </w:pPr>
            <w:r>
              <w:rPr>
                <w:rFonts w:ascii="Times New Roman" w:hAnsi="Times New Roman" w:eastAsia="等线" w:cs="Times New Roman"/>
                <w:color w:val="000000"/>
                <w:szCs w:val="18"/>
              </w:rPr>
              <w:t>0.</w:t>
            </w:r>
            <w:r>
              <w:rPr>
                <w:rFonts w:hint="eastAsia" w:ascii="Times New Roman" w:hAnsi="Times New Roman" w:eastAsia="等线" w:cs="Times New Roman"/>
                <w:color w:val="000000"/>
                <w:szCs w:val="18"/>
              </w:rPr>
              <w:t>3</w:t>
            </w:r>
          </w:p>
        </w:tc>
        <w:tc>
          <w:tcPr>
            <w:tcW w:w="1563" w:type="dxa"/>
            <w:vMerge w:val="restart"/>
            <w:vAlign w:val="center"/>
          </w:tcPr>
          <w:p w14:paraId="5A4389F9">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684" w:type="dxa"/>
            <w:vMerge w:val="restart"/>
            <w:vAlign w:val="center"/>
          </w:tcPr>
          <w:p w14:paraId="6C110061">
            <w:pPr>
              <w:pStyle w:val="190"/>
              <w:rPr>
                <w:rFonts w:ascii="Times New Roman" w:hAnsi="Times New Roman" w:cs="Times New Roman"/>
                <w:szCs w:val="18"/>
              </w:rPr>
            </w:pPr>
            <w:r>
              <w:rPr>
                <w:rFonts w:ascii="Times New Roman" w:hAnsi="Times New Roman" w:cs="Times New Roman"/>
                <w:kern w:val="2"/>
                <w:szCs w:val="18"/>
              </w:rPr>
              <w:t>间歇</w:t>
            </w:r>
          </w:p>
        </w:tc>
      </w:tr>
      <w:tr w14:paraId="0EBF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6C35DAC4">
            <w:pPr>
              <w:pStyle w:val="190"/>
              <w:rPr>
                <w:rFonts w:ascii="Times New Roman" w:hAnsi="Times New Roman" w:cs="Times New Roman"/>
                <w:szCs w:val="18"/>
              </w:rPr>
            </w:pPr>
          </w:p>
        </w:tc>
        <w:tc>
          <w:tcPr>
            <w:tcW w:w="816" w:type="dxa"/>
            <w:vMerge w:val="continue"/>
            <w:vAlign w:val="center"/>
          </w:tcPr>
          <w:p w14:paraId="6916760E">
            <w:pPr>
              <w:pStyle w:val="190"/>
              <w:rPr>
                <w:rFonts w:ascii="Times New Roman" w:hAnsi="Times New Roman" w:cs="Times New Roman"/>
                <w:kern w:val="2"/>
                <w:szCs w:val="18"/>
              </w:rPr>
            </w:pPr>
          </w:p>
        </w:tc>
        <w:tc>
          <w:tcPr>
            <w:tcW w:w="952" w:type="dxa"/>
            <w:vAlign w:val="center"/>
          </w:tcPr>
          <w:p w14:paraId="1DBBE3CF">
            <w:pPr>
              <w:pStyle w:val="190"/>
              <w:rPr>
                <w:rFonts w:ascii="Times New Roman" w:hAnsi="Times New Roman" w:cs="Times New Roman"/>
                <w:kern w:val="2"/>
                <w:szCs w:val="18"/>
              </w:rPr>
            </w:pPr>
            <w:r>
              <w:rPr>
                <w:rFonts w:ascii="Times New Roman" w:hAnsi="Times New Roman" w:cs="Times New Roman"/>
                <w:kern w:val="2"/>
                <w:szCs w:val="18"/>
              </w:rPr>
              <w:t>COD</w:t>
            </w:r>
          </w:p>
        </w:tc>
        <w:tc>
          <w:tcPr>
            <w:tcW w:w="694" w:type="dxa"/>
            <w:vMerge w:val="continue"/>
            <w:vAlign w:val="center"/>
          </w:tcPr>
          <w:p w14:paraId="4C1F452E">
            <w:pPr>
              <w:pStyle w:val="190"/>
              <w:rPr>
                <w:rFonts w:ascii="Times New Roman" w:hAnsi="Times New Roman" w:cs="Times New Roman"/>
                <w:kern w:val="2"/>
                <w:szCs w:val="18"/>
              </w:rPr>
            </w:pPr>
          </w:p>
        </w:tc>
        <w:tc>
          <w:tcPr>
            <w:tcW w:w="874" w:type="dxa"/>
            <w:vMerge w:val="continue"/>
            <w:vAlign w:val="center"/>
          </w:tcPr>
          <w:p w14:paraId="66ADCC67">
            <w:pPr>
              <w:pStyle w:val="190"/>
              <w:rPr>
                <w:rFonts w:ascii="Times New Roman" w:hAnsi="Times New Roman" w:cs="Times New Roman"/>
                <w:szCs w:val="18"/>
              </w:rPr>
            </w:pPr>
          </w:p>
        </w:tc>
        <w:tc>
          <w:tcPr>
            <w:tcW w:w="1034" w:type="dxa"/>
            <w:vAlign w:val="center"/>
          </w:tcPr>
          <w:p w14:paraId="34876B54">
            <w:pPr>
              <w:pStyle w:val="190"/>
              <w:rPr>
                <w:rFonts w:ascii="Times New Roman" w:hAnsi="Times New Roman" w:eastAsia="等线" w:cs="Times New Roman"/>
                <w:szCs w:val="18"/>
              </w:rPr>
            </w:pPr>
            <w:r>
              <w:rPr>
                <w:rFonts w:hint="eastAsia" w:ascii="Times New Roman" w:hAnsi="Times New Roman" w:eastAsia="等线" w:cs="Times New Roman"/>
                <w:color w:val="000000"/>
                <w:szCs w:val="18"/>
              </w:rPr>
              <w:t>4</w:t>
            </w:r>
            <w:r>
              <w:rPr>
                <w:rFonts w:ascii="Times New Roman" w:hAnsi="Times New Roman" w:eastAsia="等线" w:cs="Times New Roman"/>
                <w:color w:val="000000"/>
                <w:szCs w:val="18"/>
              </w:rPr>
              <w:t>00</w:t>
            </w:r>
          </w:p>
        </w:tc>
        <w:tc>
          <w:tcPr>
            <w:tcW w:w="902" w:type="dxa"/>
            <w:vAlign w:val="center"/>
          </w:tcPr>
          <w:p w14:paraId="4A2D3C2C">
            <w:pPr>
              <w:pStyle w:val="190"/>
              <w:rPr>
                <w:rFonts w:ascii="Times New Roman" w:hAnsi="Times New Roman" w:eastAsia="等线" w:cs="Times New Roman"/>
                <w:color w:val="000000"/>
                <w:szCs w:val="18"/>
              </w:rPr>
            </w:pPr>
            <w:r>
              <w:rPr>
                <w:rFonts w:ascii="Times New Roman" w:hAnsi="Times New Roman" w:eastAsia="等线" w:cs="Times New Roman"/>
                <w:color w:val="000000"/>
                <w:szCs w:val="18"/>
              </w:rPr>
              <w:t>0.</w:t>
            </w:r>
            <w:r>
              <w:rPr>
                <w:rFonts w:hint="eastAsia" w:ascii="Times New Roman" w:hAnsi="Times New Roman" w:eastAsia="等线" w:cs="Times New Roman"/>
                <w:color w:val="000000"/>
                <w:szCs w:val="18"/>
              </w:rPr>
              <w:t>4</w:t>
            </w:r>
          </w:p>
        </w:tc>
        <w:tc>
          <w:tcPr>
            <w:tcW w:w="1563" w:type="dxa"/>
            <w:vMerge w:val="continue"/>
            <w:vAlign w:val="center"/>
          </w:tcPr>
          <w:p w14:paraId="446A48D7">
            <w:pPr>
              <w:pStyle w:val="190"/>
              <w:rPr>
                <w:rFonts w:ascii="Times New Roman" w:hAnsi="Times New Roman" w:cs="Times New Roman"/>
                <w:szCs w:val="18"/>
              </w:rPr>
            </w:pPr>
          </w:p>
        </w:tc>
        <w:tc>
          <w:tcPr>
            <w:tcW w:w="684" w:type="dxa"/>
            <w:vMerge w:val="continue"/>
            <w:vAlign w:val="center"/>
          </w:tcPr>
          <w:p w14:paraId="3C792650">
            <w:pPr>
              <w:pStyle w:val="190"/>
              <w:rPr>
                <w:rFonts w:ascii="Times New Roman" w:hAnsi="Times New Roman" w:cs="Times New Roman"/>
                <w:kern w:val="2"/>
                <w:szCs w:val="18"/>
              </w:rPr>
            </w:pPr>
          </w:p>
        </w:tc>
      </w:tr>
      <w:tr w14:paraId="4F44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6A485687">
            <w:pPr>
              <w:pStyle w:val="190"/>
              <w:rPr>
                <w:rFonts w:ascii="Times New Roman" w:hAnsi="Times New Roman" w:cs="Times New Roman"/>
                <w:szCs w:val="18"/>
              </w:rPr>
            </w:pPr>
          </w:p>
        </w:tc>
        <w:tc>
          <w:tcPr>
            <w:tcW w:w="816" w:type="dxa"/>
            <w:vMerge w:val="continue"/>
            <w:vAlign w:val="center"/>
          </w:tcPr>
          <w:p w14:paraId="742C5833">
            <w:pPr>
              <w:pStyle w:val="190"/>
              <w:rPr>
                <w:rFonts w:ascii="Times New Roman" w:hAnsi="Times New Roman" w:cs="Times New Roman"/>
                <w:szCs w:val="18"/>
                <w:u w:color="000000"/>
              </w:rPr>
            </w:pPr>
          </w:p>
        </w:tc>
        <w:tc>
          <w:tcPr>
            <w:tcW w:w="952" w:type="dxa"/>
            <w:vAlign w:val="center"/>
          </w:tcPr>
          <w:p w14:paraId="64409097">
            <w:pPr>
              <w:pStyle w:val="190"/>
              <w:rPr>
                <w:rFonts w:ascii="Times New Roman" w:hAnsi="Times New Roman" w:cs="Times New Roman"/>
                <w:szCs w:val="18"/>
              </w:rPr>
            </w:pPr>
            <w:r>
              <w:rPr>
                <w:rFonts w:ascii="Times New Roman" w:hAnsi="Times New Roman" w:cs="Times New Roman"/>
                <w:szCs w:val="18"/>
                <w:u w:color="000000"/>
              </w:rPr>
              <w:t>氨氮</w:t>
            </w:r>
          </w:p>
        </w:tc>
        <w:tc>
          <w:tcPr>
            <w:tcW w:w="694" w:type="dxa"/>
            <w:vMerge w:val="continue"/>
            <w:vAlign w:val="center"/>
          </w:tcPr>
          <w:p w14:paraId="1BF7D8A2">
            <w:pPr>
              <w:pStyle w:val="190"/>
              <w:rPr>
                <w:rFonts w:ascii="Times New Roman" w:hAnsi="Times New Roman" w:cs="Times New Roman"/>
                <w:szCs w:val="18"/>
              </w:rPr>
            </w:pPr>
          </w:p>
        </w:tc>
        <w:tc>
          <w:tcPr>
            <w:tcW w:w="874" w:type="dxa"/>
            <w:vMerge w:val="continue"/>
            <w:vAlign w:val="center"/>
          </w:tcPr>
          <w:p w14:paraId="0E3E8849">
            <w:pPr>
              <w:pStyle w:val="190"/>
              <w:rPr>
                <w:rFonts w:ascii="Times New Roman" w:hAnsi="Times New Roman" w:cs="Times New Roman"/>
                <w:szCs w:val="18"/>
              </w:rPr>
            </w:pPr>
          </w:p>
        </w:tc>
        <w:tc>
          <w:tcPr>
            <w:tcW w:w="1034" w:type="dxa"/>
            <w:vAlign w:val="center"/>
          </w:tcPr>
          <w:p w14:paraId="0FFF0C4C">
            <w:pPr>
              <w:pStyle w:val="190"/>
              <w:rPr>
                <w:rFonts w:ascii="Times New Roman" w:hAnsi="Times New Roman" w:cs="Times New Roman"/>
                <w:szCs w:val="18"/>
              </w:rPr>
            </w:pPr>
            <w:r>
              <w:rPr>
                <w:rFonts w:hint="eastAsia" w:ascii="Times New Roman" w:hAnsi="Times New Roman" w:eastAsia="等线" w:cs="Times New Roman"/>
                <w:color w:val="000000"/>
                <w:szCs w:val="18"/>
              </w:rPr>
              <w:t>35</w:t>
            </w:r>
          </w:p>
        </w:tc>
        <w:tc>
          <w:tcPr>
            <w:tcW w:w="902" w:type="dxa"/>
            <w:vAlign w:val="center"/>
          </w:tcPr>
          <w:p w14:paraId="468786CB">
            <w:pPr>
              <w:pStyle w:val="190"/>
              <w:rPr>
                <w:rFonts w:ascii="Times New Roman" w:hAnsi="Times New Roman" w:eastAsia="等线" w:cs="Times New Roman"/>
                <w:szCs w:val="18"/>
              </w:rPr>
            </w:pPr>
            <w:r>
              <w:rPr>
                <w:rFonts w:ascii="Times New Roman" w:hAnsi="Times New Roman" w:eastAsia="等线" w:cs="Times New Roman"/>
                <w:color w:val="000000"/>
                <w:szCs w:val="18"/>
              </w:rPr>
              <w:t>0.0</w:t>
            </w:r>
            <w:r>
              <w:rPr>
                <w:rFonts w:hint="eastAsia" w:ascii="Times New Roman" w:hAnsi="Times New Roman" w:eastAsia="等线" w:cs="Times New Roman"/>
                <w:color w:val="000000"/>
                <w:szCs w:val="18"/>
              </w:rPr>
              <w:t>35</w:t>
            </w:r>
          </w:p>
        </w:tc>
        <w:tc>
          <w:tcPr>
            <w:tcW w:w="1563" w:type="dxa"/>
            <w:vMerge w:val="continue"/>
            <w:vAlign w:val="center"/>
          </w:tcPr>
          <w:p w14:paraId="584AE2A6">
            <w:pPr>
              <w:pStyle w:val="190"/>
              <w:rPr>
                <w:rFonts w:ascii="Times New Roman" w:hAnsi="Times New Roman" w:cs="Times New Roman"/>
                <w:szCs w:val="18"/>
              </w:rPr>
            </w:pPr>
          </w:p>
        </w:tc>
        <w:tc>
          <w:tcPr>
            <w:tcW w:w="684" w:type="dxa"/>
            <w:vMerge w:val="continue"/>
            <w:vAlign w:val="center"/>
          </w:tcPr>
          <w:p w14:paraId="4BE5F064">
            <w:pPr>
              <w:pStyle w:val="190"/>
              <w:rPr>
                <w:rFonts w:ascii="Times New Roman" w:hAnsi="Times New Roman" w:cs="Times New Roman"/>
                <w:szCs w:val="18"/>
              </w:rPr>
            </w:pPr>
          </w:p>
        </w:tc>
      </w:tr>
      <w:tr w14:paraId="28E1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01345FB5">
            <w:pPr>
              <w:pStyle w:val="190"/>
              <w:rPr>
                <w:rFonts w:ascii="Times New Roman" w:hAnsi="Times New Roman" w:cs="Times New Roman"/>
                <w:szCs w:val="18"/>
              </w:rPr>
            </w:pPr>
          </w:p>
        </w:tc>
        <w:tc>
          <w:tcPr>
            <w:tcW w:w="816" w:type="dxa"/>
            <w:vMerge w:val="continue"/>
            <w:vAlign w:val="center"/>
          </w:tcPr>
          <w:p w14:paraId="514864C4">
            <w:pPr>
              <w:pStyle w:val="190"/>
              <w:rPr>
                <w:rFonts w:ascii="Times New Roman" w:hAnsi="Times New Roman" w:cs="Times New Roman"/>
                <w:szCs w:val="18"/>
                <w:u w:color="000000"/>
              </w:rPr>
            </w:pPr>
          </w:p>
        </w:tc>
        <w:tc>
          <w:tcPr>
            <w:tcW w:w="952" w:type="dxa"/>
            <w:vAlign w:val="center"/>
          </w:tcPr>
          <w:p w14:paraId="614E8E04">
            <w:pPr>
              <w:pStyle w:val="190"/>
              <w:rPr>
                <w:rFonts w:ascii="Times New Roman" w:hAnsi="Times New Roman" w:cs="Times New Roman"/>
                <w:szCs w:val="18"/>
              </w:rPr>
            </w:pPr>
            <w:r>
              <w:rPr>
                <w:rFonts w:ascii="Times New Roman" w:hAnsi="Times New Roman" w:cs="Times New Roman"/>
                <w:szCs w:val="18"/>
                <w:u w:color="000000"/>
              </w:rPr>
              <w:t>石油类</w:t>
            </w:r>
          </w:p>
        </w:tc>
        <w:tc>
          <w:tcPr>
            <w:tcW w:w="694" w:type="dxa"/>
            <w:vMerge w:val="continue"/>
            <w:vAlign w:val="center"/>
          </w:tcPr>
          <w:p w14:paraId="1DAB1A74">
            <w:pPr>
              <w:pStyle w:val="190"/>
              <w:rPr>
                <w:rFonts w:ascii="Times New Roman" w:hAnsi="Times New Roman" w:cs="Times New Roman"/>
                <w:szCs w:val="18"/>
              </w:rPr>
            </w:pPr>
          </w:p>
        </w:tc>
        <w:tc>
          <w:tcPr>
            <w:tcW w:w="874" w:type="dxa"/>
            <w:vMerge w:val="continue"/>
            <w:vAlign w:val="center"/>
          </w:tcPr>
          <w:p w14:paraId="4822964D">
            <w:pPr>
              <w:pStyle w:val="190"/>
              <w:rPr>
                <w:rFonts w:ascii="Times New Roman" w:hAnsi="Times New Roman" w:cs="Times New Roman"/>
                <w:szCs w:val="18"/>
              </w:rPr>
            </w:pPr>
          </w:p>
        </w:tc>
        <w:tc>
          <w:tcPr>
            <w:tcW w:w="1034" w:type="dxa"/>
            <w:vAlign w:val="center"/>
          </w:tcPr>
          <w:p w14:paraId="71ECF0B8">
            <w:pPr>
              <w:pStyle w:val="190"/>
              <w:rPr>
                <w:rFonts w:ascii="Times New Roman" w:hAnsi="Times New Roman" w:cs="Times New Roman"/>
                <w:szCs w:val="18"/>
              </w:rPr>
            </w:pPr>
            <w:r>
              <w:rPr>
                <w:rFonts w:hint="eastAsia" w:ascii="Times New Roman" w:hAnsi="Times New Roman" w:eastAsia="等线" w:cs="Times New Roman"/>
                <w:color w:val="000000"/>
                <w:szCs w:val="18"/>
              </w:rPr>
              <w:t>20</w:t>
            </w:r>
          </w:p>
        </w:tc>
        <w:tc>
          <w:tcPr>
            <w:tcW w:w="902" w:type="dxa"/>
            <w:vAlign w:val="center"/>
          </w:tcPr>
          <w:p w14:paraId="29DBC080">
            <w:pPr>
              <w:pStyle w:val="190"/>
              <w:rPr>
                <w:rFonts w:ascii="Times New Roman" w:hAnsi="Times New Roman" w:eastAsia="等线" w:cs="Times New Roman"/>
                <w:szCs w:val="18"/>
              </w:rPr>
            </w:pPr>
            <w:r>
              <w:rPr>
                <w:rFonts w:ascii="Times New Roman" w:hAnsi="Times New Roman" w:eastAsia="等线" w:cs="Times New Roman"/>
                <w:color w:val="000000"/>
                <w:szCs w:val="18"/>
              </w:rPr>
              <w:t>0.</w:t>
            </w:r>
            <w:r>
              <w:rPr>
                <w:rFonts w:hint="eastAsia" w:ascii="Times New Roman" w:hAnsi="Times New Roman" w:eastAsia="等线" w:cs="Times New Roman"/>
                <w:color w:val="000000"/>
                <w:szCs w:val="18"/>
              </w:rPr>
              <w:t>02</w:t>
            </w:r>
          </w:p>
        </w:tc>
        <w:tc>
          <w:tcPr>
            <w:tcW w:w="1563" w:type="dxa"/>
            <w:vMerge w:val="continue"/>
            <w:vAlign w:val="center"/>
          </w:tcPr>
          <w:p w14:paraId="6E74B980">
            <w:pPr>
              <w:pStyle w:val="190"/>
              <w:rPr>
                <w:rFonts w:ascii="Times New Roman" w:hAnsi="Times New Roman" w:cs="Times New Roman"/>
                <w:szCs w:val="18"/>
              </w:rPr>
            </w:pPr>
          </w:p>
        </w:tc>
        <w:tc>
          <w:tcPr>
            <w:tcW w:w="684" w:type="dxa"/>
            <w:vMerge w:val="continue"/>
            <w:vAlign w:val="center"/>
          </w:tcPr>
          <w:p w14:paraId="0EFD5CE3">
            <w:pPr>
              <w:pStyle w:val="190"/>
              <w:rPr>
                <w:rFonts w:ascii="Times New Roman" w:hAnsi="Times New Roman" w:cs="Times New Roman"/>
                <w:szCs w:val="18"/>
              </w:rPr>
            </w:pPr>
          </w:p>
        </w:tc>
      </w:tr>
    </w:tbl>
    <w:p w14:paraId="61A81526">
      <w:pPr>
        <w:pStyle w:val="281"/>
        <w:ind w:firstLine="480"/>
        <w:rPr>
          <w:bCs/>
        </w:rPr>
        <w:sectPr>
          <w:pgSz w:w="11906" w:h="16838"/>
          <w:pgMar w:top="1440" w:right="1800" w:bottom="1440" w:left="1800" w:header="851" w:footer="992" w:gutter="0"/>
          <w:cols w:space="720" w:num="1"/>
          <w:docGrid w:type="lines" w:linePitch="312" w:charSpace="0"/>
        </w:sectPr>
      </w:pPr>
    </w:p>
    <w:p w14:paraId="08404BAB">
      <w:pPr>
        <w:pStyle w:val="814"/>
        <w:rPr>
          <w:rFonts w:hint="eastAsia"/>
          <w:u w:color="000000"/>
        </w:rPr>
      </w:pPr>
      <w:r>
        <w:rPr>
          <w:rFonts w:hint="eastAsia"/>
          <w:u w:color="000000"/>
        </w:rPr>
        <w:t>噪声</w:t>
      </w:r>
    </w:p>
    <w:p w14:paraId="25A39213">
      <w:pPr>
        <w:pStyle w:val="281"/>
        <w:ind w:firstLine="480"/>
        <w:rPr>
          <w:u w:color="000000"/>
        </w:rPr>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0dB之间，此类噪声为连续噪声源。噪声源强依据《污染源源强核算技术指南 化肥工业》（HJ994-2018）附表B。</w:t>
      </w:r>
    </w:p>
    <w:p w14:paraId="0F27AA2A">
      <w:pPr>
        <w:pStyle w:val="281"/>
        <w:ind w:firstLine="480"/>
        <w:rPr>
          <w:u w:color="000000"/>
        </w:rPr>
      </w:pPr>
      <w:r>
        <w:rPr>
          <w:rFonts w:hint="eastAsia"/>
          <w:u w:color="000000"/>
        </w:rPr>
        <w:t>煤气化装置主要噪声源及治理情况见表3.2.</w:t>
      </w:r>
      <w:r>
        <w:rPr>
          <w:u w:color="000000"/>
        </w:rPr>
        <w:t>2</w:t>
      </w:r>
      <w:r>
        <w:rPr>
          <w:rFonts w:hint="eastAsia"/>
          <w:u w:color="000000"/>
        </w:rPr>
        <w:t>-21。</w:t>
      </w:r>
    </w:p>
    <w:p w14:paraId="7FB7B6C4">
      <w:pPr>
        <w:pStyle w:val="541"/>
        <w:rPr>
          <w:rFonts w:hint="eastAsia"/>
          <w:u w:color="000000"/>
        </w:rPr>
      </w:pPr>
      <w:r>
        <w:rPr>
          <w:rFonts w:hint="eastAsia"/>
          <w:u w:color="000000"/>
        </w:rPr>
        <w:t>表</w:t>
      </w:r>
      <w:r>
        <w:rPr>
          <w:u w:color="000000"/>
        </w:rPr>
        <w:t>3.2.2-</w:t>
      </w:r>
      <w:r>
        <w:rPr>
          <w:rFonts w:hint="eastAsia"/>
          <w:u w:color="000000"/>
        </w:rPr>
        <w:t xml:space="preserve">21 </w:t>
      </w:r>
      <w:r>
        <w:rPr>
          <w:u w:color="000000"/>
        </w:rPr>
        <w:t xml:space="preserve">   </w:t>
      </w:r>
      <w:r>
        <w:rPr>
          <w:rFonts w:hint="eastAsia"/>
          <w:u w:color="000000"/>
        </w:rPr>
        <w:t>煤气化装置噪声污染源一览表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850"/>
        <w:gridCol w:w="567"/>
        <w:gridCol w:w="709"/>
        <w:gridCol w:w="850"/>
        <w:gridCol w:w="851"/>
        <w:gridCol w:w="1527"/>
        <w:gridCol w:w="549"/>
        <w:gridCol w:w="692"/>
        <w:gridCol w:w="692"/>
        <w:gridCol w:w="692"/>
      </w:tblGrid>
      <w:tr w14:paraId="0039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25" w:type="dxa"/>
            <w:vMerge w:val="restart"/>
            <w:tcBorders>
              <w:top w:val="single" w:color="auto" w:sz="4" w:space="0"/>
              <w:left w:val="single" w:color="auto" w:sz="4" w:space="0"/>
              <w:right w:val="single" w:color="auto" w:sz="4" w:space="0"/>
            </w:tcBorders>
            <w:vAlign w:val="center"/>
          </w:tcPr>
          <w:p w14:paraId="45EB6F2B">
            <w:pPr>
              <w:jc w:val="center"/>
              <w:rPr>
                <w:rFonts w:ascii="Times New Roman" w:hAnsi="Times New Roman" w:cs="Times New Roman"/>
                <w:sz w:val="18"/>
                <w:szCs w:val="18"/>
              </w:rPr>
            </w:pPr>
            <w:r>
              <w:rPr>
                <w:rFonts w:ascii="Times New Roman" w:hAnsi="Times New Roman" w:cs="Times New Roman"/>
                <w:sz w:val="18"/>
                <w:szCs w:val="18"/>
              </w:rPr>
              <w:t>编号</w:t>
            </w:r>
          </w:p>
        </w:tc>
        <w:tc>
          <w:tcPr>
            <w:tcW w:w="850" w:type="dxa"/>
            <w:vMerge w:val="restart"/>
            <w:tcBorders>
              <w:top w:val="single" w:color="auto" w:sz="4" w:space="0"/>
              <w:left w:val="single" w:color="auto" w:sz="4" w:space="0"/>
              <w:right w:val="single" w:color="auto" w:sz="4" w:space="0"/>
            </w:tcBorders>
            <w:vAlign w:val="center"/>
          </w:tcPr>
          <w:p w14:paraId="7414A919">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67" w:type="dxa"/>
            <w:vMerge w:val="restart"/>
            <w:tcBorders>
              <w:top w:val="single" w:color="auto" w:sz="4" w:space="0"/>
              <w:left w:val="single" w:color="auto" w:sz="4" w:space="0"/>
              <w:right w:val="single" w:color="auto" w:sz="4" w:space="0"/>
            </w:tcBorders>
            <w:vAlign w:val="center"/>
          </w:tcPr>
          <w:p w14:paraId="57A8142C">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709" w:type="dxa"/>
            <w:vMerge w:val="restart"/>
            <w:tcBorders>
              <w:top w:val="single" w:color="auto" w:sz="4" w:space="0"/>
              <w:left w:val="single" w:color="auto" w:sz="4" w:space="0"/>
              <w:right w:val="single" w:color="auto" w:sz="4" w:space="0"/>
            </w:tcBorders>
            <w:vAlign w:val="center"/>
          </w:tcPr>
          <w:p w14:paraId="661AD1FF">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2DF700B3">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076" w:type="dxa"/>
            <w:gridSpan w:val="2"/>
            <w:tcBorders>
              <w:top w:val="single" w:color="auto" w:sz="4" w:space="0"/>
              <w:left w:val="single" w:color="auto" w:sz="4" w:space="0"/>
              <w:right w:val="single" w:color="auto" w:sz="4" w:space="0"/>
            </w:tcBorders>
            <w:vAlign w:val="center"/>
          </w:tcPr>
          <w:p w14:paraId="77E29D6E">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384" w:type="dxa"/>
            <w:gridSpan w:val="2"/>
            <w:tcBorders>
              <w:top w:val="single" w:color="auto" w:sz="4" w:space="0"/>
              <w:left w:val="single" w:color="auto" w:sz="4" w:space="0"/>
              <w:right w:val="single" w:color="auto" w:sz="4" w:space="0"/>
            </w:tcBorders>
            <w:vAlign w:val="center"/>
          </w:tcPr>
          <w:p w14:paraId="4BBE6CF6">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92" w:type="dxa"/>
            <w:vMerge w:val="restart"/>
            <w:tcBorders>
              <w:top w:val="single" w:color="auto" w:sz="4" w:space="0"/>
              <w:left w:val="single" w:color="auto" w:sz="4" w:space="0"/>
              <w:right w:val="single" w:color="auto" w:sz="4" w:space="0"/>
            </w:tcBorders>
            <w:vAlign w:val="center"/>
          </w:tcPr>
          <w:p w14:paraId="6366F7B3">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425D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vMerge w:val="continue"/>
            <w:tcBorders>
              <w:left w:val="single" w:color="auto" w:sz="4" w:space="0"/>
              <w:bottom w:val="single" w:color="auto" w:sz="4" w:space="0"/>
              <w:right w:val="single" w:color="auto" w:sz="4" w:space="0"/>
            </w:tcBorders>
            <w:vAlign w:val="center"/>
          </w:tcPr>
          <w:p w14:paraId="394373ED">
            <w:pPr>
              <w:jc w:val="center"/>
              <w:rPr>
                <w:rFonts w:ascii="Times New Roman" w:hAnsi="Times New Roman" w:cs="Times New Roman"/>
                <w:sz w:val="18"/>
                <w:szCs w:val="18"/>
              </w:rPr>
            </w:pPr>
          </w:p>
        </w:tc>
        <w:tc>
          <w:tcPr>
            <w:tcW w:w="850" w:type="dxa"/>
            <w:vMerge w:val="continue"/>
            <w:tcBorders>
              <w:left w:val="single" w:color="auto" w:sz="4" w:space="0"/>
              <w:bottom w:val="single" w:color="auto" w:sz="4" w:space="0"/>
              <w:right w:val="single" w:color="auto" w:sz="4" w:space="0"/>
            </w:tcBorders>
            <w:vAlign w:val="center"/>
          </w:tcPr>
          <w:p w14:paraId="6BC32FCD">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3A0DB87E">
            <w:pPr>
              <w:jc w:val="center"/>
              <w:rPr>
                <w:rFonts w:ascii="Times New Roman" w:hAnsi="Times New Roman" w:cs="Times New Roman"/>
                <w:sz w:val="18"/>
                <w:szCs w:val="18"/>
              </w:rPr>
            </w:pPr>
          </w:p>
        </w:tc>
        <w:tc>
          <w:tcPr>
            <w:tcW w:w="709" w:type="dxa"/>
            <w:vMerge w:val="continue"/>
            <w:tcBorders>
              <w:left w:val="single" w:color="auto" w:sz="4" w:space="0"/>
              <w:bottom w:val="single" w:color="auto" w:sz="4" w:space="0"/>
              <w:right w:val="single" w:color="auto" w:sz="4" w:space="0"/>
            </w:tcBorders>
            <w:vAlign w:val="center"/>
          </w:tcPr>
          <w:p w14:paraId="3B6B9EB4">
            <w:pPr>
              <w:jc w:val="center"/>
              <w:rPr>
                <w:rFonts w:ascii="Times New Roman" w:hAnsi="Times New Roman" w:cs="Times New Roman"/>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14:paraId="2AB42C92">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51" w:type="dxa"/>
            <w:tcBorders>
              <w:top w:val="single" w:color="auto" w:sz="4" w:space="0"/>
              <w:left w:val="single" w:color="auto" w:sz="4" w:space="0"/>
              <w:bottom w:val="single" w:color="auto" w:sz="4" w:space="0"/>
              <w:right w:val="single" w:color="auto" w:sz="4" w:space="0"/>
            </w:tcBorders>
            <w:vAlign w:val="center"/>
          </w:tcPr>
          <w:p w14:paraId="5D1E93F6">
            <w:pPr>
              <w:jc w:val="center"/>
              <w:rPr>
                <w:rFonts w:ascii="Times New Roman" w:hAnsi="Times New Roman" w:cs="Times New Roman"/>
                <w:sz w:val="18"/>
                <w:szCs w:val="18"/>
              </w:rPr>
            </w:pPr>
            <w:r>
              <w:rPr>
                <w:rFonts w:ascii="Times New Roman" w:hAnsi="Times New Roman" w:cs="Times New Roman"/>
                <w:sz w:val="18"/>
                <w:szCs w:val="18"/>
              </w:rPr>
              <w:t>声源表</w:t>
            </w:r>
          </w:p>
          <w:p w14:paraId="791F23AC">
            <w:pPr>
              <w:jc w:val="center"/>
              <w:rPr>
                <w:rFonts w:ascii="Times New Roman" w:hAnsi="Times New Roman" w:cs="Times New Roman"/>
                <w:sz w:val="18"/>
                <w:szCs w:val="18"/>
              </w:rPr>
            </w:pPr>
            <w:r>
              <w:rPr>
                <w:rFonts w:ascii="Times New Roman" w:hAnsi="Times New Roman" w:cs="Times New Roman"/>
                <w:sz w:val="18"/>
                <w:szCs w:val="18"/>
              </w:rPr>
              <w:t>达量dB(A</w:t>
            </w:r>
            <w:r>
              <w:rPr>
                <w:rFonts w:hint="eastAsia" w:ascii="Times New Roman" w:hAnsi="Times New Roman" w:cs="Times New Roman"/>
                <w:sz w:val="18"/>
                <w:szCs w:val="18"/>
              </w:rPr>
              <w:t>）</w:t>
            </w:r>
          </w:p>
        </w:tc>
        <w:tc>
          <w:tcPr>
            <w:tcW w:w="1527" w:type="dxa"/>
            <w:tcBorders>
              <w:left w:val="single" w:color="auto" w:sz="4" w:space="0"/>
              <w:bottom w:val="single" w:color="auto" w:sz="4" w:space="0"/>
              <w:right w:val="single" w:color="auto" w:sz="4" w:space="0"/>
            </w:tcBorders>
            <w:vAlign w:val="center"/>
          </w:tcPr>
          <w:p w14:paraId="3AA87F7C">
            <w:pPr>
              <w:jc w:val="center"/>
              <w:rPr>
                <w:rFonts w:ascii="Times New Roman" w:hAnsi="Times New Roman" w:cs="Times New Roman"/>
                <w:sz w:val="18"/>
                <w:szCs w:val="18"/>
              </w:rPr>
            </w:pPr>
            <w:r>
              <w:rPr>
                <w:rFonts w:ascii="Times New Roman" w:hAnsi="Times New Roman" w:cs="Times New Roman"/>
                <w:sz w:val="18"/>
                <w:szCs w:val="18"/>
              </w:rPr>
              <w:t>工艺</w:t>
            </w:r>
          </w:p>
        </w:tc>
        <w:tc>
          <w:tcPr>
            <w:tcW w:w="549" w:type="dxa"/>
            <w:tcBorders>
              <w:left w:val="single" w:color="auto" w:sz="4" w:space="0"/>
              <w:bottom w:val="single" w:color="auto" w:sz="4" w:space="0"/>
              <w:right w:val="single" w:color="auto" w:sz="4" w:space="0"/>
            </w:tcBorders>
            <w:vAlign w:val="center"/>
          </w:tcPr>
          <w:p w14:paraId="6D2F9794">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92" w:type="dxa"/>
            <w:tcBorders>
              <w:left w:val="single" w:color="auto" w:sz="4" w:space="0"/>
              <w:bottom w:val="single" w:color="auto" w:sz="4" w:space="0"/>
              <w:right w:val="single" w:color="auto" w:sz="4" w:space="0"/>
            </w:tcBorders>
            <w:vAlign w:val="center"/>
          </w:tcPr>
          <w:p w14:paraId="55D6F94F">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692" w:type="dxa"/>
            <w:tcBorders>
              <w:left w:val="single" w:color="auto" w:sz="4" w:space="0"/>
              <w:bottom w:val="single" w:color="auto" w:sz="4" w:space="0"/>
              <w:right w:val="single" w:color="auto" w:sz="4" w:space="0"/>
            </w:tcBorders>
            <w:vAlign w:val="center"/>
          </w:tcPr>
          <w:p w14:paraId="33271EF2">
            <w:pPr>
              <w:jc w:val="center"/>
              <w:rPr>
                <w:rFonts w:ascii="Times New Roman" w:hAnsi="Times New Roman" w:cs="Times New Roman"/>
                <w:sz w:val="18"/>
                <w:szCs w:val="18"/>
              </w:rPr>
            </w:pPr>
            <w:r>
              <w:rPr>
                <w:rFonts w:ascii="Times New Roman" w:hAnsi="Times New Roman" w:cs="Times New Roman"/>
                <w:sz w:val="18"/>
                <w:szCs w:val="18"/>
              </w:rPr>
              <w:t>声源表</w:t>
            </w:r>
          </w:p>
          <w:p w14:paraId="7EDAFC2F">
            <w:pPr>
              <w:jc w:val="center"/>
              <w:rPr>
                <w:rFonts w:ascii="Times New Roman" w:hAnsi="Times New Roman" w:cs="Times New Roman"/>
                <w:sz w:val="18"/>
                <w:szCs w:val="18"/>
              </w:rPr>
            </w:pPr>
            <w:r>
              <w:rPr>
                <w:rFonts w:ascii="Times New Roman" w:hAnsi="Times New Roman" w:cs="Times New Roman"/>
                <w:sz w:val="18"/>
                <w:szCs w:val="18"/>
              </w:rPr>
              <w:t>达量</w:t>
            </w:r>
          </w:p>
          <w:p w14:paraId="320981D9">
            <w:pPr>
              <w:jc w:val="center"/>
              <w:rPr>
                <w:rFonts w:ascii="Times New Roman" w:hAnsi="Times New Roman" w:cs="Times New Roman"/>
                <w:sz w:val="18"/>
                <w:szCs w:val="18"/>
              </w:rPr>
            </w:pPr>
            <w:r>
              <w:rPr>
                <w:rFonts w:ascii="Times New Roman" w:hAnsi="Times New Roman" w:cs="Times New Roman"/>
                <w:sz w:val="18"/>
                <w:szCs w:val="18"/>
              </w:rPr>
              <w:t>dB(A</w:t>
            </w:r>
            <w:r>
              <w:rPr>
                <w:rFonts w:hint="eastAsia" w:ascii="Times New Roman" w:hAnsi="Times New Roman" w:cs="Times New Roman"/>
                <w:sz w:val="18"/>
                <w:szCs w:val="18"/>
              </w:rPr>
              <w:t>）</w:t>
            </w:r>
          </w:p>
        </w:tc>
        <w:tc>
          <w:tcPr>
            <w:tcW w:w="692" w:type="dxa"/>
            <w:vMerge w:val="continue"/>
            <w:tcBorders>
              <w:left w:val="single" w:color="auto" w:sz="4" w:space="0"/>
              <w:bottom w:val="single" w:color="auto" w:sz="4" w:space="0"/>
              <w:right w:val="single" w:color="auto" w:sz="4" w:space="0"/>
            </w:tcBorders>
            <w:vAlign w:val="center"/>
          </w:tcPr>
          <w:p w14:paraId="31C73587">
            <w:pPr>
              <w:jc w:val="center"/>
              <w:rPr>
                <w:rFonts w:ascii="Times New Roman" w:hAnsi="Times New Roman" w:cs="Times New Roman"/>
                <w:sz w:val="18"/>
                <w:szCs w:val="18"/>
              </w:rPr>
            </w:pPr>
          </w:p>
        </w:tc>
      </w:tr>
      <w:tr w14:paraId="1C33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111677E4">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1-1</w:t>
            </w:r>
          </w:p>
        </w:tc>
        <w:tc>
          <w:tcPr>
            <w:tcW w:w="850" w:type="dxa"/>
            <w:tcBorders>
              <w:left w:val="single" w:color="auto" w:sz="4" w:space="0"/>
              <w:bottom w:val="single" w:color="auto" w:sz="4" w:space="0"/>
              <w:right w:val="single" w:color="auto" w:sz="4" w:space="0"/>
            </w:tcBorders>
            <w:vAlign w:val="center"/>
          </w:tcPr>
          <w:p w14:paraId="26021556">
            <w:pPr>
              <w:jc w:val="center"/>
              <w:rPr>
                <w:rFonts w:ascii="Times New Roman" w:hAnsi="Times New Roman" w:cs="Times New Roman"/>
                <w:sz w:val="18"/>
                <w:szCs w:val="18"/>
              </w:rPr>
            </w:pPr>
            <w:r>
              <w:rPr>
                <w:rFonts w:ascii="Times New Roman" w:hAnsi="Times New Roman" w:cs="Times New Roman"/>
                <w:sz w:val="18"/>
                <w:szCs w:val="18"/>
              </w:rPr>
              <w:t>风机</w:t>
            </w:r>
          </w:p>
        </w:tc>
        <w:tc>
          <w:tcPr>
            <w:tcW w:w="567" w:type="dxa"/>
            <w:tcBorders>
              <w:left w:val="single" w:color="auto" w:sz="4" w:space="0"/>
              <w:bottom w:val="single" w:color="auto" w:sz="4" w:space="0"/>
              <w:right w:val="single" w:color="auto" w:sz="4" w:space="0"/>
            </w:tcBorders>
            <w:vAlign w:val="center"/>
          </w:tcPr>
          <w:p w14:paraId="38F93DDD">
            <w:pPr>
              <w:jc w:val="center"/>
              <w:rPr>
                <w:rFonts w:ascii="Times New Roman" w:hAnsi="Times New Roman" w:cs="Times New Roman"/>
                <w:sz w:val="18"/>
                <w:szCs w:val="18"/>
              </w:rPr>
            </w:pPr>
            <w:r>
              <w:rPr>
                <w:rFonts w:hint="eastAsia" w:ascii="Times New Roman" w:hAnsi="Times New Roman" w:cs="Times New Roman"/>
                <w:sz w:val="18"/>
                <w:szCs w:val="18"/>
              </w:rPr>
              <w:t>10</w:t>
            </w:r>
          </w:p>
        </w:tc>
        <w:tc>
          <w:tcPr>
            <w:tcW w:w="709" w:type="dxa"/>
            <w:tcBorders>
              <w:left w:val="single" w:color="auto" w:sz="4" w:space="0"/>
              <w:bottom w:val="single" w:color="auto" w:sz="4" w:space="0"/>
              <w:right w:val="single" w:color="auto" w:sz="4" w:space="0"/>
            </w:tcBorders>
            <w:vAlign w:val="center"/>
          </w:tcPr>
          <w:p w14:paraId="4CC714E9">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0C7A0F61">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41ACC2D2">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1BBAD02D">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549" w:type="dxa"/>
            <w:tcBorders>
              <w:left w:val="single" w:color="auto" w:sz="4" w:space="0"/>
              <w:bottom w:val="single" w:color="auto" w:sz="4" w:space="0"/>
              <w:right w:val="single" w:color="auto" w:sz="4" w:space="0"/>
            </w:tcBorders>
            <w:vAlign w:val="center"/>
          </w:tcPr>
          <w:p w14:paraId="68D118AD">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38AC85E1">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4D98EB32">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7E83AA90">
            <w:pPr>
              <w:jc w:val="center"/>
              <w:rPr>
                <w:rFonts w:ascii="Times New Roman" w:hAnsi="Times New Roman" w:cs="Times New Roman"/>
                <w:sz w:val="18"/>
                <w:szCs w:val="18"/>
              </w:rPr>
            </w:pPr>
            <w:r>
              <w:rPr>
                <w:rFonts w:ascii="Times New Roman" w:hAnsi="Times New Roman" w:cs="Times New Roman"/>
                <w:sz w:val="18"/>
                <w:szCs w:val="18"/>
              </w:rPr>
              <w:t>8000</w:t>
            </w:r>
          </w:p>
        </w:tc>
      </w:tr>
      <w:tr w14:paraId="3BE2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76714FCE">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1-2</w:t>
            </w:r>
          </w:p>
        </w:tc>
        <w:tc>
          <w:tcPr>
            <w:tcW w:w="850" w:type="dxa"/>
            <w:tcBorders>
              <w:left w:val="single" w:color="auto" w:sz="4" w:space="0"/>
              <w:bottom w:val="single" w:color="auto" w:sz="4" w:space="0"/>
              <w:right w:val="single" w:color="auto" w:sz="4" w:space="0"/>
            </w:tcBorders>
            <w:vAlign w:val="center"/>
          </w:tcPr>
          <w:p w14:paraId="740F94F5">
            <w:pPr>
              <w:jc w:val="center"/>
              <w:rPr>
                <w:rFonts w:ascii="Times New Roman" w:hAnsi="Times New Roman" w:cs="Times New Roman"/>
                <w:sz w:val="18"/>
                <w:szCs w:val="18"/>
              </w:rPr>
            </w:pPr>
            <w:r>
              <w:rPr>
                <w:rFonts w:ascii="Times New Roman" w:hAnsi="Times New Roman" w:cs="Times New Roman"/>
                <w:sz w:val="18"/>
                <w:szCs w:val="18"/>
              </w:rPr>
              <w:t>机泵</w:t>
            </w:r>
          </w:p>
        </w:tc>
        <w:tc>
          <w:tcPr>
            <w:tcW w:w="567" w:type="dxa"/>
            <w:tcBorders>
              <w:left w:val="single" w:color="auto" w:sz="4" w:space="0"/>
              <w:bottom w:val="single" w:color="auto" w:sz="4" w:space="0"/>
              <w:right w:val="single" w:color="auto" w:sz="4" w:space="0"/>
            </w:tcBorders>
            <w:vAlign w:val="center"/>
          </w:tcPr>
          <w:p w14:paraId="14D2766A">
            <w:pPr>
              <w:jc w:val="center"/>
              <w:rPr>
                <w:rFonts w:ascii="Times New Roman" w:hAnsi="Times New Roman" w:cs="Times New Roman"/>
                <w:sz w:val="18"/>
                <w:szCs w:val="18"/>
              </w:rPr>
            </w:pPr>
            <w:r>
              <w:rPr>
                <w:rFonts w:hint="eastAsia" w:ascii="Times New Roman" w:hAnsi="Times New Roman" w:cs="Times New Roman"/>
                <w:sz w:val="18"/>
                <w:szCs w:val="18"/>
              </w:rPr>
              <w:t>42</w:t>
            </w:r>
          </w:p>
        </w:tc>
        <w:tc>
          <w:tcPr>
            <w:tcW w:w="709" w:type="dxa"/>
            <w:tcBorders>
              <w:left w:val="single" w:color="auto" w:sz="4" w:space="0"/>
              <w:bottom w:val="single" w:color="auto" w:sz="4" w:space="0"/>
              <w:right w:val="single" w:color="auto" w:sz="4" w:space="0"/>
            </w:tcBorders>
            <w:vAlign w:val="center"/>
          </w:tcPr>
          <w:p w14:paraId="69157A46">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7800D15A">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526C688C">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23F3B0A2">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549" w:type="dxa"/>
            <w:tcBorders>
              <w:left w:val="single" w:color="auto" w:sz="4" w:space="0"/>
              <w:bottom w:val="single" w:color="auto" w:sz="4" w:space="0"/>
              <w:right w:val="single" w:color="auto" w:sz="4" w:space="0"/>
            </w:tcBorders>
            <w:vAlign w:val="center"/>
          </w:tcPr>
          <w:p w14:paraId="56CBEE4C">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6881C355">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552F7908">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194309FD">
            <w:pPr>
              <w:jc w:val="center"/>
              <w:rPr>
                <w:rFonts w:ascii="Times New Roman" w:hAnsi="Times New Roman" w:cs="Times New Roman"/>
                <w:sz w:val="18"/>
                <w:szCs w:val="18"/>
              </w:rPr>
            </w:pPr>
            <w:r>
              <w:rPr>
                <w:rFonts w:ascii="Times New Roman" w:hAnsi="Times New Roman" w:cs="Times New Roman"/>
                <w:sz w:val="18"/>
                <w:szCs w:val="18"/>
              </w:rPr>
              <w:t>8000</w:t>
            </w:r>
          </w:p>
        </w:tc>
      </w:tr>
      <w:tr w14:paraId="5B4A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0E7D6ED1">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1-3</w:t>
            </w:r>
          </w:p>
        </w:tc>
        <w:tc>
          <w:tcPr>
            <w:tcW w:w="850" w:type="dxa"/>
            <w:tcBorders>
              <w:left w:val="single" w:color="auto" w:sz="4" w:space="0"/>
              <w:bottom w:val="single" w:color="auto" w:sz="4" w:space="0"/>
              <w:right w:val="single" w:color="auto" w:sz="4" w:space="0"/>
            </w:tcBorders>
            <w:vAlign w:val="center"/>
          </w:tcPr>
          <w:p w14:paraId="7D10F2A2">
            <w:pPr>
              <w:jc w:val="center"/>
              <w:rPr>
                <w:rFonts w:ascii="Times New Roman" w:hAnsi="Times New Roman" w:cs="Times New Roman"/>
                <w:sz w:val="18"/>
                <w:szCs w:val="18"/>
              </w:rPr>
            </w:pPr>
            <w:r>
              <w:rPr>
                <w:rFonts w:ascii="Times New Roman" w:hAnsi="Times New Roman" w:cs="Times New Roman"/>
                <w:sz w:val="18"/>
                <w:szCs w:val="18"/>
              </w:rPr>
              <w:t>搅拌机</w:t>
            </w:r>
          </w:p>
        </w:tc>
        <w:tc>
          <w:tcPr>
            <w:tcW w:w="567" w:type="dxa"/>
            <w:tcBorders>
              <w:left w:val="single" w:color="auto" w:sz="4" w:space="0"/>
              <w:bottom w:val="single" w:color="auto" w:sz="4" w:space="0"/>
              <w:right w:val="single" w:color="auto" w:sz="4" w:space="0"/>
            </w:tcBorders>
            <w:vAlign w:val="center"/>
          </w:tcPr>
          <w:p w14:paraId="0E391F39">
            <w:pPr>
              <w:jc w:val="center"/>
              <w:rPr>
                <w:rFonts w:ascii="Times New Roman" w:hAnsi="Times New Roman" w:cs="Times New Roman"/>
                <w:sz w:val="18"/>
                <w:szCs w:val="18"/>
              </w:rPr>
            </w:pPr>
            <w:r>
              <w:rPr>
                <w:rFonts w:ascii="Times New Roman" w:hAnsi="Times New Roman" w:cs="Times New Roman"/>
                <w:sz w:val="18"/>
                <w:szCs w:val="18"/>
              </w:rPr>
              <w:t>4</w:t>
            </w:r>
          </w:p>
        </w:tc>
        <w:tc>
          <w:tcPr>
            <w:tcW w:w="709" w:type="dxa"/>
            <w:tcBorders>
              <w:left w:val="single" w:color="auto" w:sz="4" w:space="0"/>
              <w:bottom w:val="single" w:color="auto" w:sz="4" w:space="0"/>
              <w:right w:val="single" w:color="auto" w:sz="4" w:space="0"/>
            </w:tcBorders>
            <w:vAlign w:val="center"/>
          </w:tcPr>
          <w:p w14:paraId="406F969D">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13F1D4C3">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3F7BFA82">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12461383">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549" w:type="dxa"/>
            <w:tcBorders>
              <w:left w:val="single" w:color="auto" w:sz="4" w:space="0"/>
              <w:bottom w:val="single" w:color="auto" w:sz="4" w:space="0"/>
              <w:right w:val="single" w:color="auto" w:sz="4" w:space="0"/>
            </w:tcBorders>
            <w:vAlign w:val="center"/>
          </w:tcPr>
          <w:p w14:paraId="25674A9B">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06A5D0C3">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22468203">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05F67746">
            <w:pPr>
              <w:jc w:val="center"/>
              <w:rPr>
                <w:rFonts w:ascii="Times New Roman" w:hAnsi="Times New Roman" w:cs="Times New Roman"/>
                <w:sz w:val="18"/>
                <w:szCs w:val="18"/>
              </w:rPr>
            </w:pPr>
            <w:r>
              <w:rPr>
                <w:rFonts w:ascii="Times New Roman" w:hAnsi="Times New Roman" w:cs="Times New Roman"/>
                <w:sz w:val="18"/>
                <w:szCs w:val="18"/>
              </w:rPr>
              <w:t>8000</w:t>
            </w:r>
          </w:p>
        </w:tc>
      </w:tr>
    </w:tbl>
    <w:p w14:paraId="5017C097">
      <w:pPr>
        <w:pStyle w:val="557"/>
      </w:pPr>
    </w:p>
    <w:p w14:paraId="3A4453DF">
      <w:pPr>
        <w:pStyle w:val="814"/>
        <w:rPr>
          <w:rFonts w:hint="eastAsia"/>
        </w:rPr>
      </w:pPr>
      <w:r>
        <w:rPr>
          <w:rFonts w:hint="eastAsia"/>
        </w:rPr>
        <w:t>固废</w:t>
      </w:r>
    </w:p>
    <w:p w14:paraId="6A5264E1">
      <w:pPr>
        <w:pStyle w:val="281"/>
        <w:ind w:firstLine="480"/>
        <w:rPr>
          <w:rFonts w:cs="Times New Roman"/>
        </w:rPr>
      </w:pPr>
      <w:bookmarkStart w:id="135" w:name="_Hlk177834915"/>
      <w:bookmarkStart w:id="136" w:name="_Hlk177035665"/>
      <w:bookmarkStart w:id="137" w:name="_Hlk98259590"/>
      <w:r>
        <w:rPr>
          <w:rFonts w:hint="eastAsia" w:cs="Times New Roman"/>
        </w:rPr>
        <w:t>（1）</w:t>
      </w:r>
      <w:r>
        <w:rPr>
          <w:rFonts w:cs="Times New Roman"/>
        </w:rPr>
        <w:t>气化粗渣（S</w:t>
      </w:r>
      <w:r>
        <w:rPr>
          <w:rFonts w:cs="Times New Roman"/>
          <w:vertAlign w:val="subscript"/>
        </w:rPr>
        <w:t>1-</w:t>
      </w:r>
      <w:r>
        <w:rPr>
          <w:rFonts w:hint="eastAsia" w:cs="Times New Roman"/>
          <w:vertAlign w:val="subscript"/>
        </w:rPr>
        <w:t>1</w:t>
      </w:r>
      <w:r>
        <w:rPr>
          <w:rFonts w:cs="Times New Roman"/>
        </w:rPr>
        <w:t>）、气化细渣（S</w:t>
      </w:r>
      <w:r>
        <w:rPr>
          <w:rFonts w:cs="Times New Roman"/>
          <w:vertAlign w:val="subscript"/>
        </w:rPr>
        <w:t>1-</w:t>
      </w:r>
      <w:r>
        <w:rPr>
          <w:rFonts w:hint="eastAsia" w:cs="Times New Roman"/>
          <w:vertAlign w:val="subscript"/>
        </w:rPr>
        <w:t>2</w:t>
      </w:r>
      <w:r>
        <w:rPr>
          <w:rFonts w:cs="Times New Roman"/>
        </w:rPr>
        <w:t>）</w:t>
      </w:r>
    </w:p>
    <w:p w14:paraId="75F507E4">
      <w:pPr>
        <w:pStyle w:val="281"/>
        <w:ind w:firstLine="480"/>
        <w:rPr>
          <w:rFonts w:cs="Times New Roman"/>
        </w:rPr>
      </w:pPr>
      <w:r>
        <w:rPr>
          <w:rFonts w:cs="Times New Roman"/>
        </w:rPr>
        <w:t>在正常工况下气化装置主要固体废物有煤气化装置产生气化粗渣、气化细渣，均属于Ⅱ类一般工业固体废物，参考《污染源源强核算技术指南 化肥工业》（HJ994-2018），气化渣采用物料衡算法。</w:t>
      </w:r>
    </w:p>
    <w:p w14:paraId="543CB535">
      <w:pPr>
        <w:pStyle w:val="281"/>
        <w:ind w:firstLine="480"/>
        <w:rPr>
          <w:rFonts w:cs="Times New Roman"/>
        </w:rPr>
      </w:pPr>
      <w:r>
        <w:rPr>
          <w:rFonts w:cs="Times New Roman"/>
        </w:rPr>
        <w:t>原料煤（收到基）消耗量为</w:t>
      </w:r>
      <w:r>
        <w:rPr>
          <w:rFonts w:hint="eastAsia" w:cs="Times New Roman"/>
        </w:rPr>
        <w:t>56.15</w:t>
      </w:r>
      <w:r>
        <w:rPr>
          <w:rFonts w:cs="Times New Roman"/>
        </w:rPr>
        <w:t>t/h，原料煤带入灰分为</w:t>
      </w:r>
      <w:r>
        <w:rPr>
          <w:rFonts w:hint="eastAsia" w:cs="Times New Roman"/>
        </w:rPr>
        <w:t>10.29</w:t>
      </w:r>
      <w:r>
        <w:rPr>
          <w:rFonts w:cs="Times New Roman"/>
        </w:rPr>
        <w:t>t/h。</w:t>
      </w:r>
    </w:p>
    <w:p w14:paraId="38008400">
      <w:pPr>
        <w:pStyle w:val="281"/>
        <w:ind w:firstLine="480"/>
        <w:rPr>
          <w:rFonts w:cs="Times New Roman"/>
        </w:rPr>
      </w:pPr>
      <w:bookmarkStart w:id="138" w:name="_Hlk176258051"/>
      <w:r>
        <w:rPr>
          <w:rFonts w:cs="Times New Roman"/>
        </w:rPr>
        <w:t>根据设计资料，半废锅HT-L粉煤加压气化技术气化细渣、气化粗渣中的灰分分配比大致为46.4：53.6。气化细渣、气化粗渣带有少部分残碳、约30-40%的水分。根据计算，气化粗渣、细渣产生量见表3.2.2-</w:t>
      </w:r>
      <w:r>
        <w:rPr>
          <w:rFonts w:hint="eastAsia" w:cs="Times New Roman"/>
        </w:rPr>
        <w:t>22</w:t>
      </w:r>
      <w:r>
        <w:rPr>
          <w:rFonts w:cs="Times New Roman"/>
        </w:rPr>
        <w:t>；</w:t>
      </w:r>
    </w:p>
    <w:p w14:paraId="06D4D45D">
      <w:pPr>
        <w:pStyle w:val="645"/>
        <w:rPr>
          <w:rFonts w:hint="eastAsia"/>
        </w:rPr>
      </w:pPr>
      <w:r>
        <w:rPr>
          <w:rFonts w:hint="eastAsia"/>
        </w:rPr>
        <w:t>表3</w:t>
      </w:r>
      <w:r>
        <w:t>.2.2-</w:t>
      </w:r>
      <w:r>
        <w:rPr>
          <w:rFonts w:hint="eastAsia"/>
        </w:rPr>
        <w:t>22</w:t>
      </w:r>
      <w:r>
        <w:t xml:space="preserve">     </w:t>
      </w:r>
      <w:r>
        <w:rPr>
          <w:rFonts w:hint="eastAsia"/>
        </w:rPr>
        <w:t>气化粗渣、气化细渣产生量</w:t>
      </w:r>
    </w:p>
    <w:tbl>
      <w:tblPr>
        <w:tblStyle w:val="6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453"/>
        <w:gridCol w:w="2175"/>
        <w:gridCol w:w="2066"/>
      </w:tblGrid>
      <w:tr w14:paraId="116B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8" w:type="dxa"/>
            <w:vAlign w:val="center"/>
          </w:tcPr>
          <w:p w14:paraId="2DE39787">
            <w:pPr>
              <w:pStyle w:val="557"/>
            </w:pPr>
          </w:p>
        </w:tc>
        <w:tc>
          <w:tcPr>
            <w:tcW w:w="2453" w:type="dxa"/>
            <w:vAlign w:val="center"/>
          </w:tcPr>
          <w:p w14:paraId="0F38E22C">
            <w:pPr>
              <w:pStyle w:val="557"/>
            </w:pPr>
            <w:r>
              <w:t>产生量（kg/h）</w:t>
            </w:r>
          </w:p>
        </w:tc>
        <w:tc>
          <w:tcPr>
            <w:tcW w:w="2175" w:type="dxa"/>
            <w:vAlign w:val="center"/>
          </w:tcPr>
          <w:p w14:paraId="14497A71">
            <w:pPr>
              <w:pStyle w:val="557"/>
            </w:pPr>
            <w:r>
              <w:t>产生量（t/a）</w:t>
            </w:r>
          </w:p>
        </w:tc>
        <w:tc>
          <w:tcPr>
            <w:tcW w:w="2066" w:type="dxa"/>
            <w:vAlign w:val="center"/>
          </w:tcPr>
          <w:p w14:paraId="61EB0D53">
            <w:pPr>
              <w:pStyle w:val="557"/>
            </w:pPr>
            <w:r>
              <w:t>处理措施</w:t>
            </w:r>
          </w:p>
        </w:tc>
      </w:tr>
      <w:tr w14:paraId="646F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8" w:type="dxa"/>
            <w:vAlign w:val="center"/>
          </w:tcPr>
          <w:p w14:paraId="569A1FAE">
            <w:pPr>
              <w:pStyle w:val="557"/>
            </w:pPr>
            <w:r>
              <w:t>气化细渣</w:t>
            </w:r>
          </w:p>
        </w:tc>
        <w:tc>
          <w:tcPr>
            <w:tcW w:w="2453" w:type="dxa"/>
            <w:vAlign w:val="center"/>
          </w:tcPr>
          <w:p w14:paraId="71BE2D5A">
            <w:pPr>
              <w:pStyle w:val="557"/>
            </w:pPr>
            <w:r>
              <w:rPr>
                <w:rFonts w:hint="eastAsia"/>
              </w:rPr>
              <w:t>4774.56</w:t>
            </w:r>
          </w:p>
        </w:tc>
        <w:tc>
          <w:tcPr>
            <w:tcW w:w="2175" w:type="dxa"/>
            <w:vAlign w:val="center"/>
          </w:tcPr>
          <w:p w14:paraId="27DEB90D">
            <w:pPr>
              <w:pStyle w:val="557"/>
            </w:pPr>
            <w:r>
              <w:rPr>
                <w:rFonts w:hint="eastAsia"/>
              </w:rPr>
              <w:t>38196.48</w:t>
            </w:r>
          </w:p>
        </w:tc>
        <w:tc>
          <w:tcPr>
            <w:tcW w:w="2066" w:type="dxa"/>
            <w:vMerge w:val="restart"/>
            <w:vAlign w:val="center"/>
          </w:tcPr>
          <w:p w14:paraId="266DFC2B">
            <w:pPr>
              <w:pStyle w:val="557"/>
            </w:pPr>
            <w:r>
              <w:t>送一般固废填埋场</w:t>
            </w:r>
          </w:p>
        </w:tc>
      </w:tr>
      <w:tr w14:paraId="3FD0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8" w:type="dxa"/>
            <w:vAlign w:val="center"/>
          </w:tcPr>
          <w:p w14:paraId="2FFD4ECF">
            <w:pPr>
              <w:pStyle w:val="557"/>
            </w:pPr>
            <w:r>
              <w:t>气化粗渣</w:t>
            </w:r>
          </w:p>
        </w:tc>
        <w:tc>
          <w:tcPr>
            <w:tcW w:w="2453" w:type="dxa"/>
            <w:vAlign w:val="center"/>
          </w:tcPr>
          <w:p w14:paraId="23C534D1">
            <w:pPr>
              <w:pStyle w:val="557"/>
            </w:pPr>
            <w:r>
              <w:rPr>
                <w:rFonts w:hint="eastAsia"/>
              </w:rPr>
              <w:t>5515.44</w:t>
            </w:r>
          </w:p>
        </w:tc>
        <w:tc>
          <w:tcPr>
            <w:tcW w:w="2175" w:type="dxa"/>
            <w:vAlign w:val="center"/>
          </w:tcPr>
          <w:p w14:paraId="5F87F2B1">
            <w:pPr>
              <w:pStyle w:val="557"/>
            </w:pPr>
            <w:r>
              <w:rPr>
                <w:rFonts w:hint="eastAsia"/>
              </w:rPr>
              <w:t>44123.52</w:t>
            </w:r>
          </w:p>
        </w:tc>
        <w:tc>
          <w:tcPr>
            <w:tcW w:w="2066" w:type="dxa"/>
            <w:vMerge w:val="continue"/>
            <w:vAlign w:val="center"/>
          </w:tcPr>
          <w:p w14:paraId="7D76560D">
            <w:pPr>
              <w:pStyle w:val="557"/>
            </w:pPr>
          </w:p>
        </w:tc>
      </w:tr>
      <w:bookmarkEnd w:id="135"/>
      <w:bookmarkEnd w:id="136"/>
      <w:bookmarkEnd w:id="138"/>
    </w:tbl>
    <w:p w14:paraId="2F091BD5">
      <w:pPr>
        <w:pStyle w:val="281"/>
        <w:ind w:firstLine="480"/>
        <w:rPr>
          <w:rFonts w:cs="Times New Roman"/>
        </w:rPr>
      </w:pPr>
      <w:r>
        <w:rPr>
          <w:rFonts w:cs="Times New Roman"/>
        </w:rPr>
        <w:t>（</w:t>
      </w:r>
      <w:r>
        <w:rPr>
          <w:rFonts w:hint="eastAsia" w:cs="Times New Roman"/>
        </w:rPr>
        <w:t>2</w:t>
      </w:r>
      <w:r>
        <w:rPr>
          <w:rFonts w:cs="Times New Roman"/>
        </w:rPr>
        <w:t>）原</w:t>
      </w:r>
      <w:r>
        <w:rPr>
          <w:rFonts w:hint="eastAsia" w:cs="Times New Roman"/>
        </w:rPr>
        <w:t>料</w:t>
      </w:r>
      <w:r>
        <w:rPr>
          <w:rFonts w:cs="Times New Roman"/>
        </w:rPr>
        <w:t>煤仓收尘灰（S</w:t>
      </w:r>
      <w:r>
        <w:rPr>
          <w:rFonts w:cs="Times New Roman"/>
          <w:vertAlign w:val="subscript"/>
        </w:rPr>
        <w:t>1-</w:t>
      </w:r>
      <w:r>
        <w:rPr>
          <w:rFonts w:hint="eastAsia" w:cs="Times New Roman"/>
          <w:vertAlign w:val="subscript"/>
        </w:rPr>
        <w:t>3</w:t>
      </w:r>
      <w:r>
        <w:rPr>
          <w:rFonts w:cs="Times New Roman"/>
        </w:rPr>
        <w:t>）</w:t>
      </w:r>
    </w:p>
    <w:p w14:paraId="0B7D7E6B">
      <w:pPr>
        <w:pStyle w:val="281"/>
        <w:ind w:firstLine="480"/>
        <w:rPr>
          <w:rFonts w:cs="Times New Roman"/>
        </w:rPr>
      </w:pPr>
      <w:r>
        <w:rPr>
          <w:rFonts w:cs="Times New Roman"/>
          <w:u w:color="000000"/>
        </w:rPr>
        <w:t>根据计算，</w:t>
      </w:r>
      <w:r>
        <w:rPr>
          <w:rFonts w:cs="Times New Roman"/>
        </w:rPr>
        <w:t>原煤仓</w:t>
      </w:r>
      <w:r>
        <w:rPr>
          <w:rFonts w:cs="Times New Roman"/>
          <w:u w:color="000000"/>
        </w:rPr>
        <w:t>除尘器</w:t>
      </w:r>
      <w:r>
        <w:rPr>
          <w:rFonts w:cs="Times New Roman"/>
        </w:rPr>
        <w:t>收尘灰主要为原煤，产生</w:t>
      </w:r>
      <w:r>
        <w:rPr>
          <w:rFonts w:cs="Times New Roman"/>
          <w:u w:color="000000"/>
        </w:rPr>
        <w:t>量为</w:t>
      </w:r>
      <w:r>
        <w:rPr>
          <w:rFonts w:hint="eastAsia" w:cs="Times New Roman"/>
          <w:u w:color="000000"/>
        </w:rPr>
        <w:t>117.65</w:t>
      </w:r>
      <w:r>
        <w:rPr>
          <w:rFonts w:cs="Times New Roman"/>
        </w:rPr>
        <w:t>t/a，</w:t>
      </w:r>
      <w:r>
        <w:rPr>
          <w:rFonts w:hint="eastAsia" w:cs="Times New Roman"/>
        </w:rPr>
        <w:t>掺于原料中</w:t>
      </w:r>
      <w:r>
        <w:rPr>
          <w:rFonts w:cs="Times New Roman"/>
        </w:rPr>
        <w:t>回用于生产。</w:t>
      </w:r>
    </w:p>
    <w:p w14:paraId="68677FA6">
      <w:pPr>
        <w:pStyle w:val="281"/>
        <w:ind w:firstLine="480"/>
        <w:rPr>
          <w:rFonts w:cs="Times New Roman"/>
        </w:rPr>
      </w:pPr>
      <w:r>
        <w:rPr>
          <w:rFonts w:cs="Times New Roman"/>
        </w:rPr>
        <w:t>（</w:t>
      </w:r>
      <w:r>
        <w:rPr>
          <w:rFonts w:hint="eastAsia" w:cs="Times New Roman"/>
        </w:rPr>
        <w:t>3</w:t>
      </w:r>
      <w:r>
        <w:rPr>
          <w:rFonts w:cs="Times New Roman"/>
        </w:rPr>
        <w:t>）磨煤及干燥收尘灰（S</w:t>
      </w:r>
      <w:r>
        <w:rPr>
          <w:rFonts w:cs="Times New Roman"/>
          <w:vertAlign w:val="subscript"/>
        </w:rPr>
        <w:t>1-</w:t>
      </w:r>
      <w:r>
        <w:rPr>
          <w:rFonts w:hint="eastAsia" w:cs="Times New Roman"/>
          <w:vertAlign w:val="subscript"/>
        </w:rPr>
        <w:t>4</w:t>
      </w:r>
      <w:r>
        <w:rPr>
          <w:rFonts w:cs="Times New Roman"/>
        </w:rPr>
        <w:t>）</w:t>
      </w:r>
    </w:p>
    <w:p w14:paraId="6598E6A8">
      <w:pPr>
        <w:pStyle w:val="281"/>
        <w:ind w:firstLine="480"/>
        <w:rPr>
          <w:rFonts w:cs="Times New Roman"/>
        </w:rPr>
      </w:pPr>
      <w:r>
        <w:rPr>
          <w:rFonts w:cs="Times New Roman"/>
          <w:u w:color="000000"/>
        </w:rPr>
        <w:t>根据计算，</w:t>
      </w:r>
      <w:r>
        <w:rPr>
          <w:rFonts w:cs="Times New Roman"/>
        </w:rPr>
        <w:t>磨煤及干燥收尘灰主要为原煤，产生</w:t>
      </w:r>
      <w:r>
        <w:rPr>
          <w:rFonts w:cs="Times New Roman"/>
          <w:u w:color="000000"/>
        </w:rPr>
        <w:t>量为</w:t>
      </w:r>
      <w:r>
        <w:rPr>
          <w:rFonts w:hint="eastAsia" w:cs="Times New Roman"/>
          <w:u w:color="000000"/>
        </w:rPr>
        <w:t>1126.34</w:t>
      </w:r>
      <w:r>
        <w:rPr>
          <w:rFonts w:cs="Times New Roman"/>
        </w:rPr>
        <w:t>t/a，回用于生产。</w:t>
      </w:r>
    </w:p>
    <w:p w14:paraId="35D5B5B1">
      <w:pPr>
        <w:pStyle w:val="281"/>
        <w:ind w:firstLine="480"/>
        <w:rPr>
          <w:rFonts w:cs="Times New Roman"/>
        </w:rPr>
      </w:pPr>
      <w:r>
        <w:rPr>
          <w:rFonts w:cs="Times New Roman"/>
        </w:rPr>
        <w:t>（4）粉煤</w:t>
      </w:r>
      <w:r>
        <w:rPr>
          <w:rFonts w:hint="eastAsia" w:cs="Times New Roman"/>
        </w:rPr>
        <w:t>锁斗</w:t>
      </w:r>
      <w:r>
        <w:rPr>
          <w:rFonts w:cs="Times New Roman"/>
        </w:rPr>
        <w:t>收尘灰（S</w:t>
      </w:r>
      <w:r>
        <w:rPr>
          <w:rFonts w:cs="Times New Roman"/>
          <w:vertAlign w:val="subscript"/>
        </w:rPr>
        <w:t>1-</w:t>
      </w:r>
      <w:r>
        <w:rPr>
          <w:rFonts w:hint="eastAsia" w:cs="Times New Roman"/>
          <w:vertAlign w:val="subscript"/>
        </w:rPr>
        <w:t>5</w:t>
      </w:r>
      <w:r>
        <w:rPr>
          <w:rFonts w:cs="Times New Roman"/>
        </w:rPr>
        <w:t>）</w:t>
      </w:r>
    </w:p>
    <w:p w14:paraId="62A80809">
      <w:pPr>
        <w:pStyle w:val="281"/>
        <w:ind w:firstLine="480"/>
        <w:rPr>
          <w:rFonts w:cs="Times New Roman"/>
        </w:rPr>
      </w:pPr>
      <w:r>
        <w:rPr>
          <w:rFonts w:cs="Times New Roman"/>
          <w:u w:color="000000"/>
        </w:rPr>
        <w:t>根据计算，</w:t>
      </w:r>
      <w:r>
        <w:rPr>
          <w:rFonts w:cs="Times New Roman"/>
        </w:rPr>
        <w:t>粉煤仓收尘灰主要为原煤，产生</w:t>
      </w:r>
      <w:r>
        <w:rPr>
          <w:rFonts w:cs="Times New Roman"/>
          <w:u w:color="000000"/>
        </w:rPr>
        <w:t>量为</w:t>
      </w:r>
      <w:r>
        <w:rPr>
          <w:rFonts w:hint="eastAsia" w:cs="Times New Roman"/>
          <w:u w:color="000000"/>
        </w:rPr>
        <w:t>117.65</w:t>
      </w:r>
      <w:r>
        <w:rPr>
          <w:rFonts w:cs="Times New Roman"/>
        </w:rPr>
        <w:t>t/a，回用于生产。</w:t>
      </w:r>
    </w:p>
    <w:p w14:paraId="63493F13">
      <w:pPr>
        <w:pStyle w:val="281"/>
        <w:ind w:firstLine="480"/>
        <w:rPr>
          <w:rFonts w:eastAsiaTheme="minorEastAsia"/>
          <w:u w:color="000000"/>
        </w:rPr>
      </w:pPr>
      <w:r>
        <w:rPr>
          <w:rFonts w:hint="eastAsia"/>
        </w:rPr>
        <w:t>综上，</w:t>
      </w:r>
      <w:r>
        <w:rPr>
          <w:rFonts w:hint="eastAsia"/>
          <w:u w:color="000000"/>
        </w:rPr>
        <w:t>煤气化装置固废产排情况具体见表</w:t>
      </w:r>
      <w:r>
        <w:rPr>
          <w:u w:color="000000"/>
        </w:rPr>
        <w:t>3.2.2-</w:t>
      </w:r>
      <w:r>
        <w:rPr>
          <w:rFonts w:hint="eastAsia" w:eastAsiaTheme="minorEastAsia"/>
          <w:u w:color="000000"/>
        </w:rPr>
        <w:t>23。</w:t>
      </w:r>
    </w:p>
    <w:p w14:paraId="0C0594C5">
      <w:pPr>
        <w:pStyle w:val="541"/>
        <w:rPr>
          <w:rFonts w:hint="eastAsia" w:ascii="宋体" w:hAnsi="宋体"/>
          <w:b w:val="0"/>
          <w:bCs/>
        </w:rPr>
      </w:pPr>
      <w:r>
        <w:rPr>
          <w:rFonts w:hint="eastAsia"/>
          <w:u w:color="000000"/>
        </w:rPr>
        <w:t>表</w:t>
      </w:r>
      <w:r>
        <w:rPr>
          <w:u w:color="000000"/>
        </w:rPr>
        <w:t>3.2.2-</w:t>
      </w:r>
      <w:r>
        <w:rPr>
          <w:rFonts w:hint="eastAsia"/>
          <w:u w:color="000000"/>
        </w:rPr>
        <w:t>23</w:t>
      </w:r>
      <w:r>
        <w:rPr>
          <w:u w:color="000000"/>
        </w:rPr>
        <w:t xml:space="preserve">   </w:t>
      </w:r>
      <w:r>
        <w:rPr>
          <w:rFonts w:hint="eastAsia"/>
        </w:rPr>
        <w:t xml:space="preserve"> </w:t>
      </w:r>
      <w:r>
        <w:rPr>
          <w:rFonts w:hint="eastAsia"/>
          <w:u w:color="000000"/>
        </w:rPr>
        <w:t>煤气化装置固体废物污染源源强核算表</w:t>
      </w:r>
    </w:p>
    <w:tbl>
      <w:tblPr>
        <w:tblStyle w:val="65"/>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60"/>
        <w:gridCol w:w="1664"/>
        <w:gridCol w:w="1135"/>
        <w:gridCol w:w="1419"/>
        <w:gridCol w:w="1062"/>
        <w:gridCol w:w="1710"/>
        <w:gridCol w:w="954"/>
      </w:tblGrid>
      <w:tr w14:paraId="0CCF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vMerge w:val="restart"/>
            <w:tcBorders>
              <w:top w:val="single" w:color="auto" w:sz="4" w:space="0"/>
              <w:left w:val="single" w:color="auto" w:sz="4" w:space="0"/>
              <w:bottom w:val="single" w:color="auto" w:sz="4" w:space="0"/>
              <w:right w:val="single" w:color="auto" w:sz="4" w:space="0"/>
            </w:tcBorders>
            <w:vAlign w:val="center"/>
          </w:tcPr>
          <w:p w14:paraId="4D290D60">
            <w:pPr>
              <w:pStyle w:val="557"/>
            </w:pPr>
            <w:r>
              <w:t>编号</w:t>
            </w:r>
          </w:p>
        </w:tc>
        <w:tc>
          <w:tcPr>
            <w:tcW w:w="978" w:type="pct"/>
            <w:vMerge w:val="restart"/>
            <w:tcBorders>
              <w:top w:val="single" w:color="auto" w:sz="4" w:space="0"/>
              <w:left w:val="single" w:color="auto" w:sz="4" w:space="0"/>
              <w:bottom w:val="single" w:color="auto" w:sz="4" w:space="0"/>
              <w:right w:val="single" w:color="auto" w:sz="4" w:space="0"/>
            </w:tcBorders>
            <w:vAlign w:val="center"/>
          </w:tcPr>
          <w:p w14:paraId="3AF3047A">
            <w:pPr>
              <w:pStyle w:val="557"/>
            </w:pPr>
            <w:r>
              <w:t>固废名称</w:t>
            </w:r>
          </w:p>
        </w:tc>
        <w:tc>
          <w:tcPr>
            <w:tcW w:w="1501" w:type="pct"/>
            <w:gridSpan w:val="2"/>
            <w:tcBorders>
              <w:top w:val="single" w:color="auto" w:sz="4" w:space="0"/>
              <w:left w:val="single" w:color="auto" w:sz="4" w:space="0"/>
              <w:bottom w:val="single" w:color="auto" w:sz="4" w:space="0"/>
              <w:right w:val="single" w:color="auto" w:sz="4" w:space="0"/>
            </w:tcBorders>
            <w:vAlign w:val="center"/>
          </w:tcPr>
          <w:p w14:paraId="17FF85AE">
            <w:pPr>
              <w:pStyle w:val="557"/>
            </w:pPr>
            <w:r>
              <w:t>固废属性</w:t>
            </w:r>
          </w:p>
        </w:tc>
        <w:tc>
          <w:tcPr>
            <w:tcW w:w="624" w:type="pct"/>
            <w:vMerge w:val="restart"/>
            <w:tcBorders>
              <w:top w:val="single" w:color="auto" w:sz="4" w:space="0"/>
              <w:left w:val="single" w:color="auto" w:sz="4" w:space="0"/>
              <w:bottom w:val="single" w:color="auto" w:sz="4" w:space="0"/>
              <w:right w:val="single" w:color="auto" w:sz="4" w:space="0"/>
            </w:tcBorders>
            <w:vAlign w:val="center"/>
          </w:tcPr>
          <w:p w14:paraId="40B81105">
            <w:pPr>
              <w:pStyle w:val="557"/>
            </w:pPr>
            <w:r>
              <w:t>产生量（t/a）</w:t>
            </w:r>
          </w:p>
        </w:tc>
        <w:tc>
          <w:tcPr>
            <w:tcW w:w="1005" w:type="pct"/>
            <w:vMerge w:val="restart"/>
            <w:tcBorders>
              <w:top w:val="single" w:color="auto" w:sz="4" w:space="0"/>
              <w:left w:val="single" w:color="auto" w:sz="4" w:space="0"/>
              <w:bottom w:val="single" w:color="auto" w:sz="4" w:space="0"/>
              <w:right w:val="single" w:color="auto" w:sz="4" w:space="0"/>
            </w:tcBorders>
            <w:vAlign w:val="center"/>
          </w:tcPr>
          <w:p w14:paraId="7071B81E">
            <w:pPr>
              <w:pStyle w:val="557"/>
            </w:pPr>
            <w:r>
              <w:t>处理措施</w:t>
            </w:r>
          </w:p>
        </w:tc>
        <w:tc>
          <w:tcPr>
            <w:tcW w:w="560" w:type="pct"/>
            <w:vMerge w:val="restart"/>
            <w:tcBorders>
              <w:top w:val="single" w:color="auto" w:sz="4" w:space="0"/>
              <w:left w:val="single" w:color="auto" w:sz="4" w:space="0"/>
              <w:bottom w:val="single" w:color="auto" w:sz="4" w:space="0"/>
              <w:right w:val="single" w:color="auto" w:sz="4" w:space="0"/>
            </w:tcBorders>
            <w:vAlign w:val="center"/>
          </w:tcPr>
          <w:p w14:paraId="55B145CB">
            <w:pPr>
              <w:pStyle w:val="557"/>
            </w:pPr>
            <w:r>
              <w:t>处理量（t/a）</w:t>
            </w:r>
          </w:p>
        </w:tc>
      </w:tr>
      <w:tr w14:paraId="51B5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vMerge w:val="continue"/>
            <w:tcBorders>
              <w:left w:val="single" w:color="auto" w:sz="4" w:space="0"/>
              <w:bottom w:val="single" w:color="auto" w:sz="4" w:space="0"/>
              <w:right w:val="single" w:color="auto" w:sz="4" w:space="0"/>
            </w:tcBorders>
            <w:vAlign w:val="center"/>
          </w:tcPr>
          <w:p w14:paraId="083C958C">
            <w:pPr>
              <w:pStyle w:val="557"/>
            </w:pPr>
          </w:p>
        </w:tc>
        <w:tc>
          <w:tcPr>
            <w:tcW w:w="978" w:type="pct"/>
            <w:vMerge w:val="continue"/>
            <w:tcBorders>
              <w:left w:val="single" w:color="auto" w:sz="4" w:space="0"/>
              <w:bottom w:val="single" w:color="auto" w:sz="4" w:space="0"/>
              <w:right w:val="single" w:color="auto" w:sz="4" w:space="0"/>
            </w:tcBorders>
            <w:vAlign w:val="center"/>
          </w:tcPr>
          <w:p w14:paraId="1741E046">
            <w:pPr>
              <w:pStyle w:val="557"/>
            </w:pPr>
          </w:p>
        </w:tc>
        <w:tc>
          <w:tcPr>
            <w:tcW w:w="667" w:type="pct"/>
            <w:tcBorders>
              <w:left w:val="single" w:color="auto" w:sz="4" w:space="0"/>
              <w:bottom w:val="single" w:color="auto" w:sz="4" w:space="0"/>
              <w:right w:val="single" w:color="auto" w:sz="4" w:space="0"/>
            </w:tcBorders>
            <w:vAlign w:val="center"/>
          </w:tcPr>
          <w:p w14:paraId="55458AAF">
            <w:pPr>
              <w:pStyle w:val="557"/>
            </w:pPr>
            <w:r>
              <w:t>固废属性</w:t>
            </w:r>
          </w:p>
        </w:tc>
        <w:tc>
          <w:tcPr>
            <w:tcW w:w="833" w:type="pct"/>
            <w:tcBorders>
              <w:left w:val="single" w:color="auto" w:sz="4" w:space="0"/>
              <w:bottom w:val="single" w:color="auto" w:sz="4" w:space="0"/>
              <w:right w:val="single" w:color="auto" w:sz="4" w:space="0"/>
            </w:tcBorders>
            <w:vAlign w:val="center"/>
          </w:tcPr>
          <w:p w14:paraId="67E650AF">
            <w:pPr>
              <w:pStyle w:val="557"/>
            </w:pPr>
            <w:r>
              <w:t>代码</w:t>
            </w:r>
          </w:p>
        </w:tc>
        <w:tc>
          <w:tcPr>
            <w:tcW w:w="624" w:type="pct"/>
            <w:vMerge w:val="continue"/>
            <w:tcBorders>
              <w:left w:val="single" w:color="auto" w:sz="4" w:space="0"/>
              <w:bottom w:val="single" w:color="auto" w:sz="4" w:space="0"/>
              <w:right w:val="single" w:color="auto" w:sz="4" w:space="0"/>
            </w:tcBorders>
            <w:vAlign w:val="center"/>
          </w:tcPr>
          <w:p w14:paraId="09B2461C">
            <w:pPr>
              <w:pStyle w:val="557"/>
            </w:pPr>
          </w:p>
        </w:tc>
        <w:tc>
          <w:tcPr>
            <w:tcW w:w="1005" w:type="pct"/>
            <w:vMerge w:val="continue"/>
            <w:tcBorders>
              <w:left w:val="single" w:color="auto" w:sz="4" w:space="0"/>
              <w:bottom w:val="single" w:color="auto" w:sz="4" w:space="0"/>
              <w:right w:val="single" w:color="auto" w:sz="4" w:space="0"/>
            </w:tcBorders>
            <w:vAlign w:val="center"/>
          </w:tcPr>
          <w:p w14:paraId="17384F4E">
            <w:pPr>
              <w:pStyle w:val="557"/>
            </w:pPr>
          </w:p>
        </w:tc>
        <w:tc>
          <w:tcPr>
            <w:tcW w:w="560" w:type="pct"/>
            <w:vMerge w:val="continue"/>
            <w:tcBorders>
              <w:left w:val="single" w:color="auto" w:sz="4" w:space="0"/>
              <w:bottom w:val="single" w:color="auto" w:sz="4" w:space="0"/>
              <w:right w:val="single" w:color="auto" w:sz="4" w:space="0"/>
            </w:tcBorders>
            <w:vAlign w:val="center"/>
          </w:tcPr>
          <w:p w14:paraId="6647207A">
            <w:pPr>
              <w:pStyle w:val="557"/>
            </w:pPr>
          </w:p>
        </w:tc>
      </w:tr>
      <w:tr w14:paraId="4D12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tcBorders>
              <w:left w:val="single" w:color="auto" w:sz="4" w:space="0"/>
              <w:bottom w:val="single" w:color="auto" w:sz="4" w:space="0"/>
              <w:right w:val="single" w:color="auto" w:sz="4" w:space="0"/>
            </w:tcBorders>
            <w:vAlign w:val="center"/>
          </w:tcPr>
          <w:p w14:paraId="46286215">
            <w:pPr>
              <w:pStyle w:val="557"/>
            </w:pPr>
            <w:r>
              <w:t>S</w:t>
            </w:r>
            <w:r>
              <w:rPr>
                <w:vertAlign w:val="subscript"/>
              </w:rPr>
              <w:t>1-</w:t>
            </w:r>
            <w:r>
              <w:rPr>
                <w:rFonts w:hint="eastAsia"/>
                <w:vertAlign w:val="subscript"/>
              </w:rPr>
              <w:t>1</w:t>
            </w:r>
          </w:p>
        </w:tc>
        <w:tc>
          <w:tcPr>
            <w:tcW w:w="978" w:type="pct"/>
            <w:tcBorders>
              <w:left w:val="single" w:color="auto" w:sz="4" w:space="0"/>
              <w:bottom w:val="single" w:color="auto" w:sz="4" w:space="0"/>
              <w:right w:val="single" w:color="auto" w:sz="4" w:space="0"/>
            </w:tcBorders>
            <w:vAlign w:val="center"/>
          </w:tcPr>
          <w:p w14:paraId="164797D3">
            <w:pPr>
              <w:pStyle w:val="557"/>
            </w:pPr>
            <w:r>
              <w:t>气化细渣</w:t>
            </w:r>
          </w:p>
        </w:tc>
        <w:tc>
          <w:tcPr>
            <w:tcW w:w="667" w:type="pct"/>
            <w:tcBorders>
              <w:left w:val="single" w:color="auto" w:sz="4" w:space="0"/>
              <w:bottom w:val="single" w:color="auto" w:sz="4" w:space="0"/>
              <w:right w:val="single" w:color="auto" w:sz="4" w:space="0"/>
            </w:tcBorders>
            <w:vAlign w:val="center"/>
          </w:tcPr>
          <w:p w14:paraId="5398251C">
            <w:pPr>
              <w:pStyle w:val="557"/>
            </w:pPr>
            <w:r>
              <w:t>一般固废</w:t>
            </w:r>
          </w:p>
        </w:tc>
        <w:tc>
          <w:tcPr>
            <w:tcW w:w="833" w:type="pct"/>
            <w:tcBorders>
              <w:left w:val="single" w:color="auto" w:sz="4" w:space="0"/>
              <w:bottom w:val="single" w:color="auto" w:sz="4" w:space="0"/>
              <w:right w:val="single" w:color="auto" w:sz="4" w:space="0"/>
            </w:tcBorders>
            <w:vAlign w:val="center"/>
          </w:tcPr>
          <w:p w14:paraId="0ED48A80">
            <w:pPr>
              <w:pStyle w:val="557"/>
            </w:pPr>
            <w:r>
              <w:t>252-003-S16</w:t>
            </w:r>
          </w:p>
        </w:tc>
        <w:tc>
          <w:tcPr>
            <w:tcW w:w="1062" w:type="dxa"/>
            <w:tcBorders>
              <w:left w:val="single" w:color="auto" w:sz="4" w:space="0"/>
              <w:bottom w:val="single" w:color="auto" w:sz="4" w:space="0"/>
              <w:right w:val="single" w:color="auto" w:sz="4" w:space="0"/>
            </w:tcBorders>
            <w:vAlign w:val="center"/>
          </w:tcPr>
          <w:p w14:paraId="0AD2167D">
            <w:pPr>
              <w:pStyle w:val="557"/>
            </w:pPr>
            <w:r>
              <w:rPr>
                <w:rFonts w:hint="eastAsia"/>
              </w:rPr>
              <w:t>38196.48</w:t>
            </w:r>
          </w:p>
        </w:tc>
        <w:tc>
          <w:tcPr>
            <w:tcW w:w="1005" w:type="pct"/>
            <w:vMerge w:val="restart"/>
            <w:tcBorders>
              <w:left w:val="single" w:color="auto" w:sz="4" w:space="0"/>
              <w:right w:val="single" w:color="auto" w:sz="4" w:space="0"/>
            </w:tcBorders>
            <w:vAlign w:val="center"/>
          </w:tcPr>
          <w:p w14:paraId="38B55F8D">
            <w:pPr>
              <w:pStyle w:val="557"/>
            </w:pPr>
            <w:r>
              <w:t>送一般固废填埋场。</w:t>
            </w:r>
          </w:p>
        </w:tc>
        <w:tc>
          <w:tcPr>
            <w:tcW w:w="954" w:type="dxa"/>
            <w:tcBorders>
              <w:left w:val="single" w:color="auto" w:sz="4" w:space="0"/>
              <w:bottom w:val="single" w:color="auto" w:sz="4" w:space="0"/>
              <w:right w:val="single" w:color="auto" w:sz="4" w:space="0"/>
            </w:tcBorders>
            <w:vAlign w:val="center"/>
          </w:tcPr>
          <w:p w14:paraId="211F6929">
            <w:pPr>
              <w:pStyle w:val="557"/>
            </w:pPr>
            <w:r>
              <w:rPr>
                <w:rFonts w:hint="eastAsia"/>
              </w:rPr>
              <w:t>38196.48</w:t>
            </w:r>
          </w:p>
        </w:tc>
      </w:tr>
      <w:tr w14:paraId="5C0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tcBorders>
              <w:left w:val="single" w:color="auto" w:sz="4" w:space="0"/>
              <w:right w:val="single" w:color="auto" w:sz="4" w:space="0"/>
            </w:tcBorders>
            <w:vAlign w:val="center"/>
          </w:tcPr>
          <w:p w14:paraId="46D2EFF1">
            <w:pPr>
              <w:pStyle w:val="557"/>
            </w:pPr>
            <w:r>
              <w:t>S</w:t>
            </w:r>
            <w:r>
              <w:rPr>
                <w:vertAlign w:val="subscript"/>
              </w:rPr>
              <w:t>1-</w:t>
            </w:r>
            <w:r>
              <w:rPr>
                <w:rFonts w:hint="eastAsia"/>
                <w:vertAlign w:val="subscript"/>
              </w:rPr>
              <w:t>2</w:t>
            </w:r>
          </w:p>
        </w:tc>
        <w:tc>
          <w:tcPr>
            <w:tcW w:w="978" w:type="pct"/>
            <w:tcBorders>
              <w:left w:val="single" w:color="auto" w:sz="4" w:space="0"/>
              <w:right w:val="single" w:color="auto" w:sz="4" w:space="0"/>
            </w:tcBorders>
            <w:vAlign w:val="center"/>
          </w:tcPr>
          <w:p w14:paraId="254BC958">
            <w:pPr>
              <w:pStyle w:val="557"/>
            </w:pPr>
            <w:r>
              <w:t>气化粗渣</w:t>
            </w:r>
          </w:p>
        </w:tc>
        <w:tc>
          <w:tcPr>
            <w:tcW w:w="667" w:type="pct"/>
            <w:tcBorders>
              <w:left w:val="single" w:color="auto" w:sz="4" w:space="0"/>
              <w:right w:val="single" w:color="auto" w:sz="4" w:space="0"/>
            </w:tcBorders>
            <w:vAlign w:val="center"/>
          </w:tcPr>
          <w:p w14:paraId="6777F1CF">
            <w:pPr>
              <w:pStyle w:val="557"/>
            </w:pPr>
            <w:r>
              <w:t>一般固废</w:t>
            </w:r>
          </w:p>
        </w:tc>
        <w:tc>
          <w:tcPr>
            <w:tcW w:w="833" w:type="pct"/>
            <w:tcBorders>
              <w:left w:val="single" w:color="auto" w:sz="4" w:space="0"/>
              <w:right w:val="single" w:color="auto" w:sz="4" w:space="0"/>
            </w:tcBorders>
            <w:vAlign w:val="center"/>
          </w:tcPr>
          <w:p w14:paraId="7F847EEB">
            <w:pPr>
              <w:pStyle w:val="557"/>
            </w:pPr>
            <w:r>
              <w:t>252-002-S16</w:t>
            </w:r>
          </w:p>
        </w:tc>
        <w:tc>
          <w:tcPr>
            <w:tcW w:w="1062" w:type="dxa"/>
            <w:tcBorders>
              <w:left w:val="single" w:color="auto" w:sz="4" w:space="0"/>
              <w:right w:val="single" w:color="auto" w:sz="4" w:space="0"/>
            </w:tcBorders>
            <w:vAlign w:val="center"/>
          </w:tcPr>
          <w:p w14:paraId="1905ECB8">
            <w:pPr>
              <w:pStyle w:val="557"/>
            </w:pPr>
            <w:r>
              <w:rPr>
                <w:rFonts w:hint="eastAsia"/>
              </w:rPr>
              <w:t>44123.52</w:t>
            </w:r>
          </w:p>
        </w:tc>
        <w:tc>
          <w:tcPr>
            <w:tcW w:w="1005" w:type="pct"/>
            <w:vMerge w:val="continue"/>
            <w:tcBorders>
              <w:left w:val="single" w:color="auto" w:sz="4" w:space="0"/>
              <w:right w:val="single" w:color="auto" w:sz="4" w:space="0"/>
            </w:tcBorders>
            <w:vAlign w:val="center"/>
          </w:tcPr>
          <w:p w14:paraId="1356FF53">
            <w:pPr>
              <w:pStyle w:val="557"/>
            </w:pPr>
          </w:p>
        </w:tc>
        <w:tc>
          <w:tcPr>
            <w:tcW w:w="954" w:type="dxa"/>
            <w:tcBorders>
              <w:left w:val="single" w:color="auto" w:sz="4" w:space="0"/>
              <w:right w:val="single" w:color="auto" w:sz="4" w:space="0"/>
            </w:tcBorders>
            <w:vAlign w:val="center"/>
          </w:tcPr>
          <w:p w14:paraId="0B8DDAA3">
            <w:pPr>
              <w:pStyle w:val="557"/>
            </w:pPr>
            <w:r>
              <w:rPr>
                <w:rFonts w:hint="eastAsia"/>
              </w:rPr>
              <w:t>44123.52</w:t>
            </w:r>
          </w:p>
        </w:tc>
      </w:tr>
      <w:tr w14:paraId="0997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tcBorders>
              <w:left w:val="single" w:color="auto" w:sz="4" w:space="0"/>
              <w:right w:val="single" w:color="auto" w:sz="4" w:space="0"/>
            </w:tcBorders>
            <w:vAlign w:val="center"/>
          </w:tcPr>
          <w:p w14:paraId="6E59CF17">
            <w:pPr>
              <w:jc w:val="center"/>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sz w:val="18"/>
                <w:szCs w:val="18"/>
                <w:vertAlign w:val="subscript"/>
              </w:rPr>
              <w:t>1-</w:t>
            </w:r>
            <w:r>
              <w:rPr>
                <w:rFonts w:hint="eastAsia" w:ascii="Times New Roman" w:hAnsi="Times New Roman" w:cs="Times New Roman"/>
                <w:sz w:val="18"/>
                <w:szCs w:val="18"/>
                <w:vertAlign w:val="subscript"/>
              </w:rPr>
              <w:t>3</w:t>
            </w:r>
          </w:p>
        </w:tc>
        <w:tc>
          <w:tcPr>
            <w:tcW w:w="978" w:type="pct"/>
            <w:tcBorders>
              <w:left w:val="single" w:color="auto" w:sz="4" w:space="0"/>
              <w:right w:val="single" w:color="auto" w:sz="4" w:space="0"/>
            </w:tcBorders>
            <w:vAlign w:val="center"/>
          </w:tcPr>
          <w:p w14:paraId="066A8AE3">
            <w:pPr>
              <w:pStyle w:val="557"/>
            </w:pPr>
            <w:r>
              <w:t>原煤仓收尘灰</w:t>
            </w:r>
          </w:p>
        </w:tc>
        <w:tc>
          <w:tcPr>
            <w:tcW w:w="667" w:type="pct"/>
            <w:tcBorders>
              <w:left w:val="single" w:color="auto" w:sz="4" w:space="0"/>
              <w:right w:val="single" w:color="auto" w:sz="4" w:space="0"/>
            </w:tcBorders>
            <w:vAlign w:val="center"/>
          </w:tcPr>
          <w:p w14:paraId="405EDEBC">
            <w:pPr>
              <w:pStyle w:val="557"/>
            </w:pPr>
            <w:r>
              <w:t>一般固废</w:t>
            </w:r>
          </w:p>
        </w:tc>
        <w:tc>
          <w:tcPr>
            <w:tcW w:w="833" w:type="pct"/>
            <w:tcBorders>
              <w:left w:val="single" w:color="auto" w:sz="4" w:space="0"/>
              <w:right w:val="single" w:color="auto" w:sz="4" w:space="0"/>
            </w:tcBorders>
            <w:vAlign w:val="center"/>
          </w:tcPr>
          <w:p w14:paraId="1293BBF3">
            <w:pPr>
              <w:pStyle w:val="557"/>
            </w:pPr>
            <w:r>
              <w:t>900-099-S16</w:t>
            </w:r>
          </w:p>
        </w:tc>
        <w:tc>
          <w:tcPr>
            <w:tcW w:w="624" w:type="pct"/>
            <w:tcBorders>
              <w:left w:val="single" w:color="auto" w:sz="4" w:space="0"/>
              <w:right w:val="single" w:color="auto" w:sz="4" w:space="0"/>
            </w:tcBorders>
            <w:vAlign w:val="center"/>
          </w:tcPr>
          <w:p w14:paraId="489E1119">
            <w:pPr>
              <w:pStyle w:val="557"/>
            </w:pPr>
            <w:r>
              <w:t>285.12</w:t>
            </w:r>
          </w:p>
        </w:tc>
        <w:tc>
          <w:tcPr>
            <w:tcW w:w="1005" w:type="pct"/>
            <w:tcBorders>
              <w:left w:val="single" w:color="auto" w:sz="4" w:space="0"/>
              <w:right w:val="single" w:color="auto" w:sz="4" w:space="0"/>
            </w:tcBorders>
            <w:vAlign w:val="center"/>
          </w:tcPr>
          <w:p w14:paraId="7302D248">
            <w:pPr>
              <w:pStyle w:val="557"/>
            </w:pPr>
            <w:r>
              <w:t>回用</w:t>
            </w:r>
          </w:p>
        </w:tc>
        <w:tc>
          <w:tcPr>
            <w:tcW w:w="560" w:type="pct"/>
            <w:tcBorders>
              <w:left w:val="single" w:color="auto" w:sz="4" w:space="0"/>
              <w:right w:val="single" w:color="auto" w:sz="4" w:space="0"/>
            </w:tcBorders>
            <w:vAlign w:val="center"/>
          </w:tcPr>
          <w:p w14:paraId="4E4A0B11">
            <w:pPr>
              <w:pStyle w:val="557"/>
            </w:pPr>
            <w:r>
              <w:rPr>
                <w:rFonts w:hint="eastAsia"/>
              </w:rPr>
              <w:t>117.65</w:t>
            </w:r>
          </w:p>
        </w:tc>
      </w:tr>
      <w:tr w14:paraId="4287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tcBorders>
              <w:left w:val="single" w:color="auto" w:sz="4" w:space="0"/>
              <w:right w:val="single" w:color="auto" w:sz="4" w:space="0"/>
            </w:tcBorders>
            <w:vAlign w:val="center"/>
          </w:tcPr>
          <w:p w14:paraId="11920A8A">
            <w:pPr>
              <w:jc w:val="center"/>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sz w:val="18"/>
                <w:szCs w:val="18"/>
                <w:vertAlign w:val="subscript"/>
              </w:rPr>
              <w:t>1-</w:t>
            </w:r>
            <w:r>
              <w:rPr>
                <w:rFonts w:hint="eastAsia" w:ascii="Times New Roman" w:hAnsi="Times New Roman" w:cs="Times New Roman"/>
                <w:sz w:val="18"/>
                <w:szCs w:val="18"/>
                <w:vertAlign w:val="subscript"/>
              </w:rPr>
              <w:t>4</w:t>
            </w:r>
          </w:p>
        </w:tc>
        <w:tc>
          <w:tcPr>
            <w:tcW w:w="978" w:type="pct"/>
            <w:tcBorders>
              <w:left w:val="single" w:color="auto" w:sz="4" w:space="0"/>
              <w:right w:val="single" w:color="auto" w:sz="4" w:space="0"/>
            </w:tcBorders>
            <w:vAlign w:val="center"/>
          </w:tcPr>
          <w:p w14:paraId="2AAB1225">
            <w:pPr>
              <w:pStyle w:val="557"/>
            </w:pPr>
            <w:r>
              <w:t>磨煤及干燥收尘灰</w:t>
            </w:r>
          </w:p>
        </w:tc>
        <w:tc>
          <w:tcPr>
            <w:tcW w:w="667" w:type="pct"/>
            <w:tcBorders>
              <w:left w:val="single" w:color="auto" w:sz="4" w:space="0"/>
              <w:right w:val="single" w:color="auto" w:sz="4" w:space="0"/>
            </w:tcBorders>
            <w:vAlign w:val="center"/>
          </w:tcPr>
          <w:p w14:paraId="7FE3F040">
            <w:pPr>
              <w:pStyle w:val="557"/>
            </w:pPr>
            <w:r>
              <w:t>一般固废</w:t>
            </w:r>
          </w:p>
        </w:tc>
        <w:tc>
          <w:tcPr>
            <w:tcW w:w="833" w:type="pct"/>
            <w:tcBorders>
              <w:left w:val="single" w:color="auto" w:sz="4" w:space="0"/>
              <w:right w:val="single" w:color="auto" w:sz="4" w:space="0"/>
            </w:tcBorders>
            <w:vAlign w:val="center"/>
          </w:tcPr>
          <w:p w14:paraId="6684CD25">
            <w:pPr>
              <w:pStyle w:val="557"/>
            </w:pPr>
            <w:r>
              <w:t>900-099-S16</w:t>
            </w:r>
          </w:p>
        </w:tc>
        <w:tc>
          <w:tcPr>
            <w:tcW w:w="624" w:type="pct"/>
            <w:tcBorders>
              <w:left w:val="single" w:color="auto" w:sz="4" w:space="0"/>
              <w:right w:val="single" w:color="auto" w:sz="4" w:space="0"/>
            </w:tcBorders>
            <w:vAlign w:val="center"/>
          </w:tcPr>
          <w:p w14:paraId="0FBEF510">
            <w:pPr>
              <w:pStyle w:val="557"/>
            </w:pPr>
            <w:r>
              <w:rPr>
                <w:rFonts w:hint="eastAsia"/>
              </w:rPr>
              <w:t>2747.94</w:t>
            </w:r>
          </w:p>
        </w:tc>
        <w:tc>
          <w:tcPr>
            <w:tcW w:w="1005" w:type="pct"/>
            <w:tcBorders>
              <w:left w:val="single" w:color="auto" w:sz="4" w:space="0"/>
              <w:right w:val="single" w:color="auto" w:sz="4" w:space="0"/>
            </w:tcBorders>
            <w:vAlign w:val="center"/>
          </w:tcPr>
          <w:p w14:paraId="2BCC1A84">
            <w:pPr>
              <w:pStyle w:val="557"/>
            </w:pPr>
            <w:r>
              <w:t>回用</w:t>
            </w:r>
          </w:p>
        </w:tc>
        <w:tc>
          <w:tcPr>
            <w:tcW w:w="560" w:type="pct"/>
            <w:tcBorders>
              <w:left w:val="single" w:color="auto" w:sz="4" w:space="0"/>
              <w:right w:val="single" w:color="auto" w:sz="4" w:space="0"/>
            </w:tcBorders>
            <w:vAlign w:val="center"/>
          </w:tcPr>
          <w:p w14:paraId="5021FA2A">
            <w:pPr>
              <w:pStyle w:val="557"/>
            </w:pPr>
            <w:r>
              <w:rPr>
                <w:rFonts w:hint="eastAsia"/>
              </w:rPr>
              <w:t>1126.34</w:t>
            </w:r>
          </w:p>
        </w:tc>
      </w:tr>
      <w:tr w14:paraId="0E79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329" w:type="pct"/>
            <w:tcBorders>
              <w:left w:val="single" w:color="auto" w:sz="4" w:space="0"/>
              <w:bottom w:val="single" w:color="auto" w:sz="4" w:space="0"/>
              <w:right w:val="single" w:color="auto" w:sz="4" w:space="0"/>
            </w:tcBorders>
            <w:vAlign w:val="center"/>
          </w:tcPr>
          <w:p w14:paraId="52967FA7">
            <w:pPr>
              <w:jc w:val="center"/>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sz w:val="18"/>
                <w:szCs w:val="18"/>
                <w:vertAlign w:val="subscript"/>
              </w:rPr>
              <w:t>1-</w:t>
            </w:r>
            <w:r>
              <w:rPr>
                <w:rFonts w:hint="eastAsia" w:ascii="Times New Roman" w:hAnsi="Times New Roman" w:cs="Times New Roman"/>
                <w:sz w:val="18"/>
                <w:szCs w:val="18"/>
                <w:vertAlign w:val="subscript"/>
              </w:rPr>
              <w:t>5</w:t>
            </w:r>
          </w:p>
        </w:tc>
        <w:tc>
          <w:tcPr>
            <w:tcW w:w="978" w:type="pct"/>
            <w:tcBorders>
              <w:left w:val="single" w:color="auto" w:sz="4" w:space="0"/>
              <w:bottom w:val="single" w:color="auto" w:sz="4" w:space="0"/>
              <w:right w:val="single" w:color="auto" w:sz="4" w:space="0"/>
            </w:tcBorders>
            <w:vAlign w:val="center"/>
          </w:tcPr>
          <w:p w14:paraId="72AC1137">
            <w:pPr>
              <w:pStyle w:val="557"/>
            </w:pPr>
            <w:r>
              <w:t>粉煤</w:t>
            </w:r>
            <w:r>
              <w:rPr>
                <w:rFonts w:hint="eastAsia"/>
              </w:rPr>
              <w:t>锁斗</w:t>
            </w:r>
            <w:r>
              <w:t>收尘灰</w:t>
            </w:r>
          </w:p>
        </w:tc>
        <w:tc>
          <w:tcPr>
            <w:tcW w:w="667" w:type="pct"/>
            <w:tcBorders>
              <w:left w:val="single" w:color="auto" w:sz="4" w:space="0"/>
              <w:bottom w:val="single" w:color="auto" w:sz="4" w:space="0"/>
              <w:right w:val="single" w:color="auto" w:sz="4" w:space="0"/>
            </w:tcBorders>
            <w:vAlign w:val="center"/>
          </w:tcPr>
          <w:p w14:paraId="4E1D6C3B">
            <w:pPr>
              <w:pStyle w:val="557"/>
            </w:pPr>
            <w:r>
              <w:t>一般固废</w:t>
            </w:r>
          </w:p>
        </w:tc>
        <w:tc>
          <w:tcPr>
            <w:tcW w:w="833" w:type="pct"/>
            <w:tcBorders>
              <w:left w:val="single" w:color="auto" w:sz="4" w:space="0"/>
              <w:bottom w:val="single" w:color="auto" w:sz="4" w:space="0"/>
              <w:right w:val="single" w:color="auto" w:sz="4" w:space="0"/>
            </w:tcBorders>
            <w:vAlign w:val="center"/>
          </w:tcPr>
          <w:p w14:paraId="59CDFA02">
            <w:pPr>
              <w:pStyle w:val="557"/>
            </w:pPr>
            <w:r>
              <w:t>900-099-S16</w:t>
            </w:r>
          </w:p>
        </w:tc>
        <w:tc>
          <w:tcPr>
            <w:tcW w:w="624" w:type="pct"/>
            <w:tcBorders>
              <w:left w:val="single" w:color="auto" w:sz="4" w:space="0"/>
              <w:bottom w:val="single" w:color="auto" w:sz="4" w:space="0"/>
              <w:right w:val="single" w:color="auto" w:sz="4" w:space="0"/>
            </w:tcBorders>
            <w:vAlign w:val="center"/>
          </w:tcPr>
          <w:p w14:paraId="4DFD121E">
            <w:pPr>
              <w:pStyle w:val="557"/>
            </w:pPr>
            <w:r>
              <w:t>285.12</w:t>
            </w:r>
          </w:p>
        </w:tc>
        <w:tc>
          <w:tcPr>
            <w:tcW w:w="1005" w:type="pct"/>
            <w:tcBorders>
              <w:left w:val="single" w:color="auto" w:sz="4" w:space="0"/>
              <w:bottom w:val="single" w:color="auto" w:sz="4" w:space="0"/>
              <w:right w:val="single" w:color="auto" w:sz="4" w:space="0"/>
            </w:tcBorders>
            <w:vAlign w:val="center"/>
          </w:tcPr>
          <w:p w14:paraId="00ACD840">
            <w:pPr>
              <w:pStyle w:val="557"/>
            </w:pPr>
            <w:r>
              <w:t>回用</w:t>
            </w:r>
          </w:p>
        </w:tc>
        <w:tc>
          <w:tcPr>
            <w:tcW w:w="560" w:type="pct"/>
            <w:tcBorders>
              <w:left w:val="single" w:color="auto" w:sz="4" w:space="0"/>
              <w:bottom w:val="single" w:color="auto" w:sz="4" w:space="0"/>
              <w:right w:val="single" w:color="auto" w:sz="4" w:space="0"/>
            </w:tcBorders>
            <w:vAlign w:val="center"/>
          </w:tcPr>
          <w:p w14:paraId="01F0D071">
            <w:pPr>
              <w:pStyle w:val="557"/>
            </w:pPr>
            <w:r>
              <w:rPr>
                <w:rFonts w:hint="eastAsia"/>
              </w:rPr>
              <w:t>117.65</w:t>
            </w:r>
          </w:p>
        </w:tc>
      </w:tr>
    </w:tbl>
    <w:p w14:paraId="5ABC8067">
      <w:pPr>
        <w:pStyle w:val="562"/>
        <w:ind w:firstLine="400"/>
        <w:rPr>
          <w:rFonts w:hint="eastAsia"/>
        </w:rPr>
      </w:pPr>
    </w:p>
    <w:bookmarkEnd w:id="121"/>
    <w:bookmarkEnd w:id="137"/>
    <w:p w14:paraId="0C96D37D">
      <w:pPr>
        <w:pStyle w:val="97"/>
        <w:rPr>
          <w:rFonts w:hint="eastAsia"/>
        </w:rPr>
      </w:pPr>
      <w:r>
        <w:rPr>
          <w:rFonts w:hint="eastAsia"/>
        </w:rPr>
        <w:t>净化及分离装置（编号02）</w:t>
      </w:r>
    </w:p>
    <w:p w14:paraId="113C18F6">
      <w:pPr>
        <w:pStyle w:val="98"/>
        <w:rPr>
          <w:rFonts w:hint="eastAsia"/>
        </w:rPr>
      </w:pPr>
      <w:r>
        <w:rPr>
          <w:rFonts w:hint="eastAsia"/>
        </w:rPr>
        <w:t>装置概述</w:t>
      </w:r>
    </w:p>
    <w:p w14:paraId="499651D6">
      <w:pPr>
        <w:pStyle w:val="281"/>
        <w:ind w:firstLine="480"/>
        <w:rPr>
          <w:rFonts w:cs="Times New Roman"/>
          <w:szCs w:val="24"/>
        </w:rPr>
      </w:pPr>
      <w:bookmarkStart w:id="139" w:name="_Hlk150857369"/>
      <w:bookmarkStart w:id="140" w:name="_Hlk150840353"/>
      <w:r>
        <w:rPr>
          <w:rFonts w:hint="eastAsia"/>
        </w:rPr>
        <w:t>净化及分离</w:t>
      </w:r>
      <w:r>
        <w:rPr>
          <w:rFonts w:hint="eastAsia" w:ascii="宋体" w:hAnsi="宋体"/>
        </w:rPr>
        <w:t>装置</w:t>
      </w:r>
      <w:bookmarkEnd w:id="139"/>
      <w:bookmarkEnd w:id="140"/>
      <w:r>
        <w:rPr>
          <w:rFonts w:hint="eastAsia"/>
        </w:rPr>
        <w:t>是</w:t>
      </w:r>
      <w:r>
        <w:rPr>
          <w:rFonts w:hint="eastAsia" w:ascii="宋体" w:hAnsi="宋体"/>
        </w:rPr>
        <w:t>对粗煤气进行处理，以</w:t>
      </w:r>
      <w:r>
        <w:rPr>
          <w:rFonts w:cs="Times New Roman"/>
          <w:szCs w:val="24"/>
        </w:rPr>
        <w:t>满足</w:t>
      </w:r>
      <w:r>
        <w:rPr>
          <w:rFonts w:hint="eastAsia" w:cs="Times New Roman"/>
          <w:szCs w:val="24"/>
        </w:rPr>
        <w:t>后续</w:t>
      </w:r>
      <w:r>
        <w:rPr>
          <w:rFonts w:cs="Times New Roman"/>
          <w:szCs w:val="24"/>
        </w:rPr>
        <w:t>装置的需求。</w:t>
      </w:r>
      <w:r>
        <w:t>本</w:t>
      </w:r>
      <w:r>
        <w:rPr>
          <w:rFonts w:hint="eastAsia" w:ascii="宋体" w:hAnsi="宋体"/>
        </w:rPr>
        <w:t>装置</w:t>
      </w:r>
      <w:r>
        <w:t>由</w:t>
      </w:r>
      <w:r>
        <w:rPr>
          <w:rFonts w:hint="eastAsia"/>
        </w:rPr>
        <w:t>煤气冷却单元、低温甲醇洗单元、一氧化碳深冷分离单元、硫回收单元、二氧化碳压缩单元组成。</w:t>
      </w:r>
    </w:p>
    <w:p w14:paraId="26CE48A0">
      <w:pPr>
        <w:pStyle w:val="281"/>
        <w:ind w:firstLine="480"/>
      </w:pPr>
      <w:r>
        <w:rPr>
          <w:rFonts w:hint="eastAsia" w:ascii="宋体" w:hAnsi="宋体"/>
        </w:rPr>
        <w:t>年开工时间：</w:t>
      </w:r>
      <w:r>
        <w:t>8000h</w:t>
      </w:r>
      <w:r>
        <w:rPr>
          <w:rFonts w:hint="eastAsia" w:ascii="宋体" w:hAnsi="宋体"/>
        </w:rPr>
        <w:t>。</w:t>
      </w:r>
    </w:p>
    <w:p w14:paraId="52C4D959">
      <w:pPr>
        <w:pStyle w:val="98"/>
        <w:rPr>
          <w:rFonts w:hint="eastAsia"/>
        </w:rPr>
      </w:pPr>
      <w:r>
        <w:t>原辅材料</w:t>
      </w:r>
      <w:r>
        <w:rPr>
          <w:rFonts w:hint="eastAsia"/>
        </w:rPr>
        <w:t>供应</w:t>
      </w:r>
      <w:r>
        <w:t>及公用工程消耗</w:t>
      </w:r>
    </w:p>
    <w:p w14:paraId="64D30026">
      <w:pPr>
        <w:pStyle w:val="281"/>
        <w:ind w:firstLine="480"/>
      </w:pPr>
      <w:r>
        <w:rPr>
          <w:rFonts w:hint="eastAsia"/>
        </w:rPr>
        <w:t>净化及分离</w:t>
      </w:r>
      <w:r>
        <w:rPr>
          <w:rFonts w:hint="eastAsia" w:ascii="宋体" w:hAnsi="宋体"/>
        </w:rPr>
        <w:t>装置</w:t>
      </w:r>
      <w:r>
        <w:rPr>
          <w:rFonts w:hint="eastAsia"/>
        </w:rPr>
        <w:t>主要原辅材料及能耗见下表。</w:t>
      </w:r>
    </w:p>
    <w:p w14:paraId="0DB9A353">
      <w:pPr>
        <w:pStyle w:val="535"/>
        <w:rPr>
          <w:rFonts w:hint="eastAsia"/>
          <w:color w:val="auto"/>
        </w:rPr>
      </w:pPr>
      <w:r>
        <w:rPr>
          <w:rFonts w:hint="eastAsia"/>
          <w:color w:val="auto"/>
        </w:rPr>
        <w:t>表3.2.</w:t>
      </w:r>
      <w:r>
        <w:rPr>
          <w:color w:val="auto"/>
        </w:rPr>
        <w:t>3</w:t>
      </w:r>
      <w:r>
        <w:rPr>
          <w:rFonts w:hint="eastAsia"/>
          <w:color w:val="auto"/>
        </w:rPr>
        <w:t xml:space="preserve">-1  </w:t>
      </w:r>
      <w:r>
        <w:rPr>
          <w:rFonts w:hint="eastAsia"/>
        </w:rPr>
        <w:t>净化及分离</w:t>
      </w:r>
      <w:r>
        <w:rPr>
          <w:rFonts w:hint="eastAsia" w:ascii="宋体" w:hAnsi="宋体"/>
        </w:rPr>
        <w:t>装置</w:t>
      </w:r>
      <w:r>
        <w:rPr>
          <w:rFonts w:hint="eastAsia"/>
        </w:rPr>
        <w:t>原辅</w:t>
      </w:r>
      <w:r>
        <w:rPr>
          <w:rFonts w:hint="eastAsia"/>
          <w:color w:val="auto"/>
        </w:rPr>
        <w:t>材料及能耗消耗表</w:t>
      </w:r>
    </w:p>
    <w:p w14:paraId="25BB61C0">
      <w:pPr>
        <w:pStyle w:val="98"/>
        <w:rPr>
          <w:rFonts w:hint="eastAsia"/>
        </w:rPr>
      </w:pPr>
      <w:r>
        <w:t>工艺流程及产</w:t>
      </w:r>
      <w:r>
        <w:rPr>
          <w:rFonts w:hint="eastAsia"/>
        </w:rPr>
        <w:t>污</w:t>
      </w:r>
      <w:r>
        <w:t>环节</w:t>
      </w:r>
    </w:p>
    <w:p w14:paraId="20A1B7E0">
      <w:pPr>
        <w:pStyle w:val="814"/>
        <w:rPr>
          <w:rFonts w:hint="eastAsia"/>
        </w:rPr>
      </w:pPr>
      <w:r>
        <w:rPr>
          <w:rFonts w:hint="eastAsia" w:ascii="Times New Roman" w:hAnsi="Times New Roman" w:cs="Times New Roman"/>
        </w:rPr>
        <w:t>煤气冷却单元</w:t>
      </w:r>
    </w:p>
    <w:p w14:paraId="7717DDE5">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69A88C01">
      <w:pPr>
        <w:spacing w:line="360" w:lineRule="auto"/>
        <w:ind w:firstLine="480" w:firstLineChars="200"/>
        <w:rPr>
          <w:rFonts w:ascii="Times New Roman" w:hAnsi="Times New Roman" w:cs="Times New Roman"/>
        </w:rPr>
      </w:pPr>
      <w:r>
        <w:rPr>
          <w:rFonts w:hint="eastAsia" w:ascii="Times New Roman" w:hAnsi="Times New Roman" w:cs="Times New Roman"/>
        </w:rPr>
        <w:t>（2）产污环节</w:t>
      </w:r>
    </w:p>
    <w:p w14:paraId="020FFF46">
      <w:pPr>
        <w:pStyle w:val="281"/>
        <w:ind w:firstLine="480"/>
        <w:rPr>
          <w:rFonts w:cs="Times New Roman"/>
        </w:rPr>
      </w:pPr>
      <w:r>
        <w:rPr>
          <w:rFonts w:hint="eastAsia" w:cs="Times New Roman"/>
        </w:rPr>
        <w:t>煤气冷却</w:t>
      </w:r>
      <w:r>
        <w:rPr>
          <w:rFonts w:cs="Times New Roman"/>
        </w:rPr>
        <w:t>单元产污环节及处理措施见下表。</w:t>
      </w:r>
    </w:p>
    <w:p w14:paraId="3AC0CC0A">
      <w:pPr>
        <w:pStyle w:val="541"/>
        <w:rPr>
          <w:rFonts w:hint="eastAsia"/>
        </w:rPr>
      </w:pPr>
      <w:r>
        <w:rPr>
          <w:rFonts w:hint="eastAsia"/>
        </w:rPr>
        <w:t>表3.2.</w:t>
      </w:r>
      <w:r>
        <w:t>3</w:t>
      </w:r>
      <w:r>
        <w:rPr>
          <w:rFonts w:hint="eastAsia"/>
        </w:rPr>
        <w:t>-2</w:t>
      </w:r>
      <w:r>
        <w:t xml:space="preserve">    </w:t>
      </w:r>
      <w:r>
        <w:rPr>
          <w:rFonts w:hint="eastAsia" w:cs="Times New Roman"/>
        </w:rPr>
        <w:t>煤气冷却</w:t>
      </w:r>
      <w:r>
        <w:rPr>
          <w:rFonts w:cs="Times New Roman"/>
        </w:rPr>
        <w:t>单元</w:t>
      </w:r>
      <w:r>
        <w:rPr>
          <w:rFonts w:hint="eastAsia"/>
        </w:rPr>
        <w:t>产污环节表</w:t>
      </w:r>
    </w:p>
    <w:p w14:paraId="11606A8A">
      <w:pPr>
        <w:rPr>
          <w:rFonts w:ascii="Times New Roman" w:hAnsi="Times New Roman" w:cs="Times New Roman"/>
        </w:rPr>
      </w:pPr>
      <w:r>
        <w:rPr>
          <w:rFonts w:ascii="Times New Roman" w:hAnsi="Times New Roman" w:cs="Times New Roman"/>
        </w:rPr>
        <w:br w:type="page"/>
      </w:r>
    </w:p>
    <w:p w14:paraId="3AE3DE84">
      <w:pPr>
        <w:spacing w:line="360" w:lineRule="auto"/>
        <w:jc w:val="both"/>
        <w:rPr>
          <w:rFonts w:hint="eastAsia"/>
        </w:rPr>
      </w:pPr>
    </w:p>
    <w:p w14:paraId="52DC3223">
      <w:pPr>
        <w:spacing w:line="360" w:lineRule="auto"/>
        <w:jc w:val="center"/>
        <w:rPr>
          <w:rFonts w:ascii="Times New Roman" w:hAnsi="Times New Roman" w:cs="Times New Roman"/>
        </w:rPr>
      </w:pPr>
      <w:r>
        <w:rPr>
          <w:rFonts w:hint="eastAsia"/>
        </w:rPr>
        <w:t>图3.2</w:t>
      </w:r>
      <w:r>
        <w:t>.</w:t>
      </w:r>
      <w:r>
        <w:rPr>
          <w:rFonts w:hint="eastAsia"/>
        </w:rPr>
        <w:t>3-1</w:t>
      </w:r>
      <w:r>
        <w:t xml:space="preserve">    </w:t>
      </w:r>
      <w:r>
        <w:rPr>
          <w:rFonts w:hint="eastAsia"/>
        </w:rPr>
        <w:t>煤气冷却单元</w:t>
      </w:r>
      <w:r>
        <w:t>工艺流程图</w:t>
      </w:r>
    </w:p>
    <w:p w14:paraId="647C4DCB">
      <w:pPr>
        <w:spacing w:line="360" w:lineRule="auto"/>
        <w:ind w:firstLine="480" w:firstLineChars="200"/>
        <w:rPr>
          <w:rFonts w:ascii="Times New Roman" w:hAnsi="Times New Roman" w:cs="Times New Roman"/>
        </w:rPr>
      </w:pPr>
    </w:p>
    <w:p w14:paraId="0FC13FDD">
      <w:pPr>
        <w:spacing w:line="360" w:lineRule="auto"/>
        <w:ind w:firstLine="480" w:firstLineChars="200"/>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14:paraId="03BBAFF8">
      <w:pPr>
        <w:pStyle w:val="814"/>
        <w:rPr>
          <w:rFonts w:hint="eastAsia"/>
        </w:rPr>
      </w:pPr>
      <w:r>
        <w:rPr>
          <w:rFonts w:hint="eastAsia" w:ascii="Times New Roman" w:hAnsi="Times New Roman" w:cs="Times New Roman"/>
        </w:rPr>
        <w:t>低温甲醇洗单元</w:t>
      </w:r>
    </w:p>
    <w:p w14:paraId="525A76CA">
      <w:pPr>
        <w:spacing w:line="360" w:lineRule="auto"/>
        <w:ind w:firstLine="480" w:firstLineChars="200"/>
        <w:rPr>
          <w:rFonts w:ascii="Times New Roman" w:hAnsi="Times New Roman" w:cs="Times New Roman"/>
        </w:rPr>
      </w:pPr>
      <w:r>
        <w:rPr>
          <w:rFonts w:hint="eastAsia" w:ascii="Times New Roman" w:hAnsi="Times New Roman" w:cs="Times New Roman"/>
        </w:rPr>
        <w:t>（1）概述</w:t>
      </w:r>
    </w:p>
    <w:p w14:paraId="738BF7F9">
      <w:pPr>
        <w:spacing w:line="360" w:lineRule="auto"/>
        <w:ind w:firstLine="480" w:firstLineChars="200"/>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单元</w:t>
      </w:r>
      <w:r>
        <w:rPr>
          <w:rFonts w:ascii="Times New Roman" w:hAnsi="Times New Roman" w:cs="Times New Roman"/>
        </w:rPr>
        <w:t>的主要任务包含两个方面，一方面是脱除原料气中的H</w:t>
      </w:r>
      <w:r>
        <w:rPr>
          <w:rFonts w:ascii="Times New Roman" w:hAnsi="Times New Roman" w:cs="Times New Roman"/>
          <w:vertAlign w:val="subscript"/>
        </w:rPr>
        <w:t>2</w:t>
      </w:r>
      <w:r>
        <w:rPr>
          <w:rFonts w:ascii="Times New Roman" w:hAnsi="Times New Roman" w:cs="Times New Roman"/>
        </w:rPr>
        <w:t>S及有机硫；另一方面是脱除CO</w:t>
      </w:r>
      <w:r>
        <w:rPr>
          <w:rFonts w:ascii="Times New Roman" w:hAnsi="Times New Roman" w:cs="Times New Roman"/>
          <w:vertAlign w:val="subscript"/>
        </w:rPr>
        <w:t>2</w:t>
      </w:r>
      <w:r>
        <w:rPr>
          <w:rFonts w:ascii="Times New Roman" w:hAnsi="Times New Roman" w:cs="Times New Roman"/>
        </w:rPr>
        <w:t>。低温甲醇洗工艺为典型物理吸收法，是以冷甲醇为吸收溶剂，利用甲醇在低温下对酸性气体溶解度极大的特性，脱除原料气中的酸性气体。由于甲醇的蒸汽压较高，所以低温甲醇洗工艺常在低温(-35℃～-60℃</w:t>
      </w:r>
      <w:r>
        <w:rPr>
          <w:rFonts w:hint="eastAsia" w:ascii="Times New Roman" w:hAnsi="Times New Roman" w:cs="Times New Roman"/>
        </w:rPr>
        <w:t>）</w:t>
      </w:r>
      <w:r>
        <w:rPr>
          <w:rFonts w:ascii="Times New Roman" w:hAnsi="Times New Roman" w:cs="Times New Roman"/>
        </w:rPr>
        <w:t>下操作，在低温下CO</w:t>
      </w:r>
      <w:r>
        <w:rPr>
          <w:rFonts w:ascii="Times New Roman" w:hAnsi="Times New Roman" w:cs="Times New Roman"/>
          <w:vertAlign w:val="subscript"/>
        </w:rPr>
        <w:t>2</w:t>
      </w:r>
      <w:r>
        <w:rPr>
          <w:rFonts w:ascii="Times New Roman" w:hAnsi="Times New Roman" w:cs="Times New Roman"/>
        </w:rPr>
        <w:t>与H</w:t>
      </w:r>
      <w:r>
        <w:rPr>
          <w:rFonts w:ascii="Times New Roman" w:hAnsi="Times New Roman" w:cs="Times New Roman"/>
          <w:vertAlign w:val="subscript"/>
        </w:rPr>
        <w:t>2</w:t>
      </w:r>
      <w:r>
        <w:rPr>
          <w:rFonts w:ascii="Times New Roman" w:hAnsi="Times New Roman" w:cs="Times New Roman"/>
        </w:rPr>
        <w:t>S的溶解度随温度下降而显著地上升，因而所需的溶剂量较少，装置的设备也较小。在-30℃下，H</w:t>
      </w:r>
      <w:r>
        <w:rPr>
          <w:rFonts w:ascii="Times New Roman" w:hAnsi="Times New Roman" w:cs="Times New Roman"/>
          <w:vertAlign w:val="subscript"/>
        </w:rPr>
        <w:t>2</w:t>
      </w:r>
      <w:r>
        <w:rPr>
          <w:rFonts w:ascii="Times New Roman" w:hAnsi="Times New Roman" w:cs="Times New Roman"/>
        </w:rPr>
        <w:t>S在甲醇中的溶解度为CO</w:t>
      </w:r>
      <w:r>
        <w:rPr>
          <w:rFonts w:ascii="Times New Roman" w:hAnsi="Times New Roman" w:cs="Times New Roman"/>
          <w:vertAlign w:val="subscript"/>
        </w:rPr>
        <w:t>2</w:t>
      </w:r>
      <w:r>
        <w:rPr>
          <w:rFonts w:ascii="Times New Roman" w:hAnsi="Times New Roman" w:cs="Times New Roman"/>
        </w:rPr>
        <w:t>的6.1倍，因此能选择性脱除H</w:t>
      </w:r>
      <w:r>
        <w:rPr>
          <w:rFonts w:ascii="Times New Roman" w:hAnsi="Times New Roman" w:cs="Times New Roman"/>
          <w:vertAlign w:val="subscript"/>
        </w:rPr>
        <w:t>2</w:t>
      </w:r>
      <w:r>
        <w:rPr>
          <w:rFonts w:ascii="Times New Roman" w:hAnsi="Times New Roman" w:cs="Times New Roman"/>
        </w:rPr>
        <w:t>S。</w:t>
      </w:r>
    </w:p>
    <w:p w14:paraId="5BB50E6E">
      <w:pPr>
        <w:spacing w:line="360" w:lineRule="auto"/>
        <w:ind w:firstLine="480" w:firstLineChars="200"/>
        <w:rPr>
          <w:rFonts w:ascii="Times New Roman" w:hAnsi="Times New Roman" w:cs="Times New Roman"/>
        </w:rPr>
      </w:pPr>
      <w:r>
        <w:rPr>
          <w:rFonts w:hint="eastAsia" w:ascii="Times New Roman" w:hAnsi="Times New Roman" w:cs="Times New Roman"/>
        </w:rPr>
        <w:t>（2）工艺流程</w:t>
      </w:r>
    </w:p>
    <w:p w14:paraId="4BF77F48">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70DAC784">
      <w:pPr>
        <w:pStyle w:val="281"/>
        <w:ind w:firstLine="480"/>
        <w:rPr>
          <w:rFonts w:cs="Times New Roman"/>
        </w:rPr>
      </w:pPr>
      <w:r>
        <w:rPr>
          <w:rFonts w:hint="eastAsia" w:cs="Times New Roman"/>
        </w:rPr>
        <w:t>（3）产污环节</w:t>
      </w:r>
    </w:p>
    <w:p w14:paraId="14251568">
      <w:pPr>
        <w:pStyle w:val="281"/>
        <w:ind w:firstLine="480"/>
        <w:rPr>
          <w:rFonts w:cs="Times New Roman"/>
        </w:rPr>
      </w:pPr>
      <w:r>
        <w:rPr>
          <w:rFonts w:hint="eastAsia" w:cs="Times New Roman"/>
        </w:rPr>
        <w:t>低温甲醇洗</w:t>
      </w:r>
      <w:r>
        <w:rPr>
          <w:rFonts w:cs="Times New Roman"/>
        </w:rPr>
        <w:t>单元产污环节及处理措施见下表。</w:t>
      </w:r>
    </w:p>
    <w:p w14:paraId="6DB2F365">
      <w:pPr>
        <w:pStyle w:val="541"/>
        <w:rPr>
          <w:rFonts w:hint="eastAsia"/>
        </w:rPr>
      </w:pPr>
      <w:r>
        <w:rPr>
          <w:rFonts w:hint="eastAsia"/>
        </w:rPr>
        <w:t>表3.2.</w:t>
      </w:r>
      <w:r>
        <w:t>3</w:t>
      </w:r>
      <w:r>
        <w:rPr>
          <w:rFonts w:hint="eastAsia"/>
        </w:rPr>
        <w:t>-3</w:t>
      </w:r>
      <w:r>
        <w:t xml:space="preserve">    </w:t>
      </w:r>
      <w:r>
        <w:rPr>
          <w:rFonts w:hint="eastAsia" w:cs="Times New Roman"/>
        </w:rPr>
        <w:t>低温甲醇洗</w:t>
      </w:r>
      <w:r>
        <w:rPr>
          <w:rFonts w:cs="Times New Roman"/>
        </w:rPr>
        <w:t>单元</w:t>
      </w:r>
      <w:r>
        <w:rPr>
          <w:rFonts w:hint="eastAsia"/>
        </w:rPr>
        <w:t>产污环节表</w:t>
      </w:r>
    </w:p>
    <w:p w14:paraId="053067E0">
      <w:pPr>
        <w:pStyle w:val="281"/>
        <w:ind w:firstLine="480"/>
        <w:rPr>
          <w:rFonts w:cs="Times New Roman"/>
          <w:highlight w:val="yellow"/>
        </w:rPr>
        <w:sectPr>
          <w:pgSz w:w="11906" w:h="16838"/>
          <w:pgMar w:top="1440" w:right="1800" w:bottom="1440" w:left="1800" w:header="851" w:footer="992" w:gutter="0"/>
          <w:cols w:space="720" w:num="1"/>
          <w:docGrid w:type="lines" w:linePitch="312" w:charSpace="0"/>
        </w:sectPr>
      </w:pPr>
    </w:p>
    <w:p w14:paraId="2D0DAB5B">
      <w:pPr>
        <w:pStyle w:val="281"/>
        <w:ind w:firstLine="0" w:firstLineChars="0"/>
        <w:jc w:val="center"/>
        <w:rPr>
          <w:rFonts w:cs="Times New Roman"/>
        </w:rPr>
      </w:pPr>
    </w:p>
    <w:p w14:paraId="007397A2">
      <w:pPr>
        <w:pStyle w:val="645"/>
        <w:rPr>
          <w:rFonts w:hint="eastAsia" w:cs="Times New Roman"/>
        </w:rPr>
      </w:pPr>
      <w:r>
        <w:rPr>
          <w:rFonts w:hint="eastAsia"/>
        </w:rPr>
        <w:t>图3.2</w:t>
      </w:r>
      <w:r>
        <w:t>.</w:t>
      </w:r>
      <w:r>
        <w:rPr>
          <w:rFonts w:hint="eastAsia"/>
        </w:rPr>
        <w:t>3-2</w:t>
      </w:r>
      <w:r>
        <w:t xml:space="preserve">    </w:t>
      </w:r>
      <w:r>
        <w:rPr>
          <w:rFonts w:hint="eastAsia"/>
        </w:rPr>
        <w:t>低温甲醇洗单元</w:t>
      </w:r>
      <w:r>
        <w:t>工艺流程</w:t>
      </w:r>
      <w:r>
        <w:rPr>
          <w:rFonts w:hint="eastAsia"/>
        </w:rPr>
        <w:t>及产污环节</w:t>
      </w:r>
      <w:r>
        <w:t>图</w:t>
      </w:r>
    </w:p>
    <w:p w14:paraId="6D8CBF98">
      <w:pPr>
        <w:pStyle w:val="281"/>
        <w:ind w:firstLine="480"/>
        <w:rPr>
          <w:rFonts w:cs="Times New Roman"/>
          <w:highlight w:val="yellow"/>
        </w:rPr>
        <w:sectPr>
          <w:pgSz w:w="16838" w:h="11906" w:orient="landscape"/>
          <w:pgMar w:top="1800" w:right="1440" w:bottom="1800" w:left="1440" w:header="851" w:footer="992" w:gutter="0"/>
          <w:cols w:space="720" w:num="1"/>
          <w:docGrid w:type="lines" w:linePitch="312" w:charSpace="0"/>
        </w:sectPr>
      </w:pPr>
    </w:p>
    <w:p w14:paraId="4B9F2EB1">
      <w:pPr>
        <w:pStyle w:val="814"/>
        <w:rPr>
          <w:rFonts w:hint="eastAsia"/>
        </w:rPr>
      </w:pPr>
      <w:r>
        <w:rPr>
          <w:rFonts w:hint="eastAsia" w:cs="Times New Roman"/>
        </w:rPr>
        <w:t>一氧化碳深冷分离</w:t>
      </w:r>
      <w:r>
        <w:rPr>
          <w:rFonts w:hint="eastAsia" w:ascii="Times New Roman" w:hAnsi="Times New Roman" w:cs="Times New Roman"/>
        </w:rPr>
        <w:t>单元</w:t>
      </w:r>
    </w:p>
    <w:p w14:paraId="34CF2713">
      <w:pPr>
        <w:spacing w:line="360" w:lineRule="auto"/>
        <w:ind w:firstLine="480" w:firstLineChars="200"/>
        <w:rPr>
          <w:rFonts w:ascii="Times New Roman" w:hAnsi="Times New Roman" w:cs="Times New Roman"/>
        </w:rPr>
      </w:pPr>
      <w:r>
        <w:rPr>
          <w:rFonts w:hint="eastAsia" w:ascii="Times New Roman" w:hAnsi="Times New Roman" w:cs="Times New Roman"/>
        </w:rPr>
        <w:t>（1）概述</w:t>
      </w:r>
    </w:p>
    <w:p w14:paraId="0A1AD787">
      <w:pPr>
        <w:spacing w:line="360" w:lineRule="auto"/>
        <w:ind w:firstLine="480" w:firstLineChars="200"/>
        <w:rPr>
          <w:rFonts w:ascii="Times New Roman" w:hAnsi="Times New Roman" w:cs="Times New Roman"/>
        </w:rPr>
      </w:pPr>
      <w:r>
        <w:rPr>
          <w:rFonts w:hint="eastAsia" w:ascii="Times New Roman" w:hAnsi="Times New Roman" w:cs="Times New Roman"/>
        </w:rPr>
        <w:t>本单元</w:t>
      </w:r>
      <w:r>
        <w:rPr>
          <w:rFonts w:ascii="Times New Roman" w:hAnsi="Times New Roman" w:cs="Times New Roman"/>
        </w:rPr>
        <w:t>向下游装置提供符合工艺要求的CO和H</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低温甲醇洗</w:t>
      </w:r>
      <w:r>
        <w:rPr>
          <w:rFonts w:ascii="Times New Roman" w:hAnsi="Times New Roman" w:cs="Times New Roman"/>
        </w:rPr>
        <w:t>单元来的</w:t>
      </w:r>
      <w:r>
        <w:rPr>
          <w:rFonts w:hint="eastAsia" w:ascii="Times New Roman" w:hAnsi="Times New Roman" w:cs="Times New Roman"/>
        </w:rPr>
        <w:t>净化气由本单元</w:t>
      </w:r>
      <w:r>
        <w:rPr>
          <w:rFonts w:ascii="Times New Roman" w:hAnsi="Times New Roman" w:cs="Times New Roman"/>
        </w:rPr>
        <w:t>进行CO和H</w:t>
      </w:r>
      <w:r>
        <w:rPr>
          <w:rFonts w:ascii="Times New Roman" w:hAnsi="Times New Roman" w:cs="Times New Roman"/>
          <w:vertAlign w:val="subscript"/>
        </w:rPr>
        <w:t>2</w:t>
      </w:r>
      <w:r>
        <w:rPr>
          <w:rFonts w:ascii="Times New Roman" w:hAnsi="Times New Roman" w:cs="Times New Roman"/>
        </w:rPr>
        <w:t>分离提纯。</w:t>
      </w:r>
    </w:p>
    <w:p w14:paraId="42CAFE6E">
      <w:pPr>
        <w:spacing w:line="360" w:lineRule="auto"/>
        <w:ind w:firstLine="480" w:firstLineChars="200"/>
        <w:rPr>
          <w:rFonts w:ascii="Times New Roman" w:hAnsi="Times New Roman" w:cs="Times New Roman"/>
        </w:rPr>
      </w:pPr>
      <w:r>
        <w:rPr>
          <w:rFonts w:hint="eastAsia" w:ascii="Times New Roman" w:hAnsi="Times New Roman" w:cs="Times New Roman"/>
        </w:rPr>
        <w:t>（2）工艺流程</w:t>
      </w:r>
    </w:p>
    <w:p w14:paraId="008F9822">
      <w:pPr>
        <w:pStyle w:val="281"/>
        <w:ind w:firstLine="480"/>
        <w:rPr>
          <w:rFonts w:cs="Times New Roman"/>
        </w:rPr>
      </w:pPr>
      <w:r>
        <w:rPr>
          <w:rFonts w:hint="eastAsia" w:cs="Times New Roman"/>
        </w:rPr>
        <w:t>略</w:t>
      </w:r>
    </w:p>
    <w:p w14:paraId="1FCBFF7C">
      <w:pPr>
        <w:pStyle w:val="281"/>
        <w:ind w:firstLine="480"/>
        <w:rPr>
          <w:rFonts w:cs="Times New Roman"/>
        </w:rPr>
      </w:pPr>
      <w:r>
        <w:rPr>
          <w:rFonts w:hint="eastAsia" w:cs="Times New Roman"/>
        </w:rPr>
        <w:t>（3）产污环节</w:t>
      </w:r>
    </w:p>
    <w:p w14:paraId="7014F530">
      <w:pPr>
        <w:pStyle w:val="281"/>
        <w:ind w:firstLine="480"/>
        <w:rPr>
          <w:rFonts w:cs="Times New Roman"/>
        </w:rPr>
      </w:pPr>
      <w:r>
        <w:rPr>
          <w:rFonts w:hint="eastAsia" w:cs="Times New Roman"/>
        </w:rPr>
        <w:t>CO深冷分离</w:t>
      </w:r>
      <w:r>
        <w:rPr>
          <w:rFonts w:cs="Times New Roman"/>
        </w:rPr>
        <w:t>单元产污环节及处理措施见下表。</w:t>
      </w:r>
    </w:p>
    <w:p w14:paraId="6F0F202B">
      <w:pPr>
        <w:pStyle w:val="541"/>
        <w:rPr>
          <w:rFonts w:hint="eastAsia"/>
        </w:rPr>
      </w:pPr>
      <w:r>
        <w:rPr>
          <w:rFonts w:hint="eastAsia"/>
        </w:rPr>
        <w:t>表3.2.</w:t>
      </w:r>
      <w:r>
        <w:t>3</w:t>
      </w:r>
      <w:r>
        <w:rPr>
          <w:rFonts w:hint="eastAsia"/>
        </w:rPr>
        <w:t>-4</w:t>
      </w:r>
      <w:r>
        <w:t xml:space="preserve">    </w:t>
      </w:r>
      <w:r>
        <w:rPr>
          <w:rFonts w:hint="eastAsia" w:cs="Times New Roman"/>
        </w:rPr>
        <w:t>CO深冷分离</w:t>
      </w:r>
      <w:r>
        <w:rPr>
          <w:rFonts w:cs="Times New Roman"/>
        </w:rPr>
        <w:t>单元</w:t>
      </w:r>
      <w:r>
        <w:rPr>
          <w:rFonts w:hint="eastAsia"/>
        </w:rPr>
        <w:t>产污环节表</w:t>
      </w:r>
    </w:p>
    <w:p w14:paraId="3251FF3E">
      <w:pPr>
        <w:pStyle w:val="281"/>
        <w:ind w:firstLine="0" w:firstLineChars="0"/>
      </w:pPr>
    </w:p>
    <w:p w14:paraId="0EB9BD7A">
      <w:pPr>
        <w:pStyle w:val="645"/>
        <w:rPr>
          <w:rFonts w:hint="eastAsia"/>
        </w:rPr>
      </w:pPr>
      <w:r>
        <w:rPr>
          <w:rFonts w:hint="eastAsia"/>
        </w:rPr>
        <w:t>图3.2</w:t>
      </w:r>
      <w:r>
        <w:t>.</w:t>
      </w:r>
      <w:r>
        <w:rPr>
          <w:rFonts w:hint="eastAsia"/>
        </w:rPr>
        <w:t>3-3</w:t>
      </w:r>
      <w:r>
        <w:t xml:space="preserve">    </w:t>
      </w:r>
      <w:r>
        <w:rPr>
          <w:rFonts w:hint="eastAsia"/>
        </w:rPr>
        <w:t>CO深冷分离单元</w:t>
      </w:r>
      <w:r>
        <w:t>工艺流程图</w:t>
      </w:r>
    </w:p>
    <w:p w14:paraId="06A69D88">
      <w:pPr>
        <w:pStyle w:val="281"/>
        <w:ind w:firstLine="480"/>
        <w:rPr>
          <w:rFonts w:cs="Times New Roman"/>
        </w:rPr>
        <w:sectPr>
          <w:pgSz w:w="11906" w:h="16838"/>
          <w:pgMar w:top="1440" w:right="1800" w:bottom="1440" w:left="1800" w:header="851" w:footer="992" w:gutter="0"/>
          <w:cols w:space="720" w:num="1"/>
          <w:docGrid w:type="lines" w:linePitch="312" w:charSpace="0"/>
        </w:sectPr>
      </w:pPr>
    </w:p>
    <w:p w14:paraId="40F62453">
      <w:pPr>
        <w:pStyle w:val="814"/>
        <w:rPr>
          <w:rFonts w:hint="eastAsia"/>
        </w:rPr>
      </w:pPr>
      <w:r>
        <w:rPr>
          <w:rFonts w:hint="eastAsia" w:cs="Times New Roman"/>
        </w:rPr>
        <w:t>硫回收</w:t>
      </w:r>
      <w:r>
        <w:rPr>
          <w:rFonts w:hint="eastAsia" w:ascii="Times New Roman" w:hAnsi="Times New Roman" w:cs="Times New Roman"/>
        </w:rPr>
        <w:t>单元</w:t>
      </w:r>
    </w:p>
    <w:p w14:paraId="3DDC6DA7">
      <w:pPr>
        <w:spacing w:line="360" w:lineRule="auto"/>
        <w:ind w:firstLine="480" w:firstLineChars="200"/>
        <w:rPr>
          <w:rFonts w:ascii="Times New Roman" w:hAnsi="Times New Roman" w:cs="Times New Roman"/>
        </w:rPr>
      </w:pPr>
      <w:r>
        <w:rPr>
          <w:rFonts w:hint="eastAsia" w:ascii="Times New Roman" w:hAnsi="Times New Roman" w:cs="Times New Roman"/>
        </w:rPr>
        <w:t>（1）概述</w:t>
      </w:r>
    </w:p>
    <w:p w14:paraId="4C676FEA">
      <w:pPr>
        <w:spacing w:line="360" w:lineRule="auto"/>
        <w:ind w:firstLine="480" w:firstLineChars="200"/>
        <w:rPr>
          <w:rFonts w:ascii="Times New Roman" w:hAnsi="Times New Roman" w:cs="Times New Roman"/>
        </w:rPr>
      </w:pPr>
      <w:r>
        <w:rPr>
          <w:rFonts w:hint="eastAsia" w:ascii="Times New Roman" w:hAnsi="Times New Roman" w:cs="Times New Roman"/>
        </w:rPr>
        <w:t>本项目硫回收采用湿法制酸工艺技术。</w:t>
      </w:r>
      <w:r>
        <w:rPr>
          <w:rFonts w:ascii="Times New Roman" w:hAnsi="Times New Roman" w:cs="Times New Roman"/>
        </w:rPr>
        <w:t>本</w:t>
      </w:r>
      <w:r>
        <w:rPr>
          <w:rFonts w:hint="eastAsia" w:ascii="Times New Roman" w:hAnsi="Times New Roman" w:cs="Times New Roman"/>
        </w:rPr>
        <w:t>单元</w:t>
      </w:r>
      <w:r>
        <w:rPr>
          <w:rFonts w:ascii="Times New Roman" w:hAnsi="Times New Roman" w:cs="Times New Roman"/>
        </w:rPr>
        <w:t>酸性气来自低温甲醇洗单元，酸性气中除H</w:t>
      </w:r>
      <w:r>
        <w:rPr>
          <w:rFonts w:ascii="Times New Roman" w:hAnsi="Times New Roman" w:cs="Times New Roman"/>
          <w:vertAlign w:val="subscript"/>
        </w:rPr>
        <w:t>2</w:t>
      </w:r>
      <w:r>
        <w:rPr>
          <w:rFonts w:ascii="Times New Roman" w:hAnsi="Times New Roman" w:cs="Times New Roman"/>
        </w:rPr>
        <w:t>S、CO</w:t>
      </w:r>
      <w:r>
        <w:rPr>
          <w:rFonts w:ascii="Times New Roman" w:hAnsi="Times New Roman" w:cs="Times New Roman"/>
          <w:vertAlign w:val="subscript"/>
        </w:rPr>
        <w:t>2</w:t>
      </w:r>
      <w:r>
        <w:rPr>
          <w:rFonts w:ascii="Times New Roman" w:hAnsi="Times New Roman" w:cs="Times New Roman"/>
        </w:rPr>
        <w:t>及少量惰性气体外无其他影响产品质量的有害成分，在水蒸气存在下将SO</w:t>
      </w:r>
      <w:r>
        <w:rPr>
          <w:rFonts w:ascii="Times New Roman" w:hAnsi="Times New Roman" w:cs="Times New Roman"/>
          <w:vertAlign w:val="subscript"/>
        </w:rPr>
        <w:t>2</w:t>
      </w:r>
      <w:r>
        <w:rPr>
          <w:rFonts w:ascii="Times New Roman" w:hAnsi="Times New Roman" w:cs="Times New Roman"/>
        </w:rPr>
        <w:t>催化转化成SO</w:t>
      </w:r>
      <w:r>
        <w:rPr>
          <w:rFonts w:ascii="Times New Roman" w:hAnsi="Times New Roman" w:cs="Times New Roman"/>
          <w:vertAlign w:val="subscript"/>
        </w:rPr>
        <w:t>3</w:t>
      </w:r>
      <w:r>
        <w:rPr>
          <w:rFonts w:ascii="Times New Roman" w:hAnsi="Times New Roman" w:cs="Times New Roman"/>
        </w:rPr>
        <w:t>并直接凝结成酸。</w:t>
      </w:r>
    </w:p>
    <w:p w14:paraId="373D5274">
      <w:pPr>
        <w:spacing w:line="360" w:lineRule="auto"/>
        <w:ind w:firstLine="480" w:firstLineChars="200"/>
        <w:rPr>
          <w:rFonts w:ascii="Times New Roman" w:hAnsi="Times New Roman" w:cs="Times New Roman"/>
        </w:rPr>
      </w:pPr>
      <w:r>
        <w:rPr>
          <w:rFonts w:hint="eastAsia" w:ascii="Times New Roman" w:hAnsi="Times New Roman" w:cs="Times New Roman"/>
        </w:rPr>
        <w:t>（2）工艺流程</w:t>
      </w:r>
    </w:p>
    <w:p w14:paraId="4690FBF0">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431E112F">
      <w:pPr>
        <w:pStyle w:val="281"/>
        <w:ind w:firstLine="480"/>
        <w:rPr>
          <w:rFonts w:cs="Times New Roman"/>
        </w:rPr>
      </w:pPr>
      <w:r>
        <w:rPr>
          <w:rFonts w:hint="eastAsia" w:cs="Times New Roman"/>
        </w:rPr>
        <w:t>（3）产污环节</w:t>
      </w:r>
    </w:p>
    <w:p w14:paraId="73862099">
      <w:pPr>
        <w:pStyle w:val="281"/>
        <w:ind w:firstLine="480"/>
        <w:rPr>
          <w:rFonts w:cs="Times New Roman"/>
        </w:rPr>
      </w:pPr>
      <w:r>
        <w:rPr>
          <w:rFonts w:hint="eastAsia" w:cs="Times New Roman"/>
        </w:rPr>
        <w:t>硫回收</w:t>
      </w:r>
      <w:r>
        <w:rPr>
          <w:rFonts w:cs="Times New Roman"/>
        </w:rPr>
        <w:t>单元产污环节及处理措施见下表。</w:t>
      </w:r>
    </w:p>
    <w:p w14:paraId="7B9D7654">
      <w:pPr>
        <w:pStyle w:val="541"/>
        <w:rPr>
          <w:rFonts w:hint="eastAsia"/>
        </w:rPr>
      </w:pPr>
      <w:r>
        <w:rPr>
          <w:rFonts w:hint="eastAsia"/>
        </w:rPr>
        <w:t>表3.2.</w:t>
      </w:r>
      <w:r>
        <w:t>3</w:t>
      </w:r>
      <w:r>
        <w:rPr>
          <w:rFonts w:hint="eastAsia"/>
        </w:rPr>
        <w:t>-5</w:t>
      </w:r>
      <w:r>
        <w:t xml:space="preserve">    </w:t>
      </w:r>
      <w:r>
        <w:rPr>
          <w:rFonts w:hint="eastAsia" w:cs="Times New Roman"/>
        </w:rPr>
        <w:t>硫回收</w:t>
      </w:r>
      <w:r>
        <w:rPr>
          <w:rFonts w:cs="Times New Roman"/>
        </w:rPr>
        <w:t>单元</w:t>
      </w:r>
      <w:r>
        <w:rPr>
          <w:rFonts w:hint="eastAsia"/>
        </w:rPr>
        <w:t>产污环节表</w:t>
      </w:r>
    </w:p>
    <w:p w14:paraId="62D17252">
      <w:pPr>
        <w:spacing w:line="360" w:lineRule="auto"/>
        <w:jc w:val="both"/>
        <w:rPr>
          <w:rFonts w:hint="eastAsia"/>
        </w:rPr>
      </w:pPr>
    </w:p>
    <w:p w14:paraId="181B8CBB">
      <w:pPr>
        <w:spacing w:line="360" w:lineRule="auto"/>
        <w:jc w:val="both"/>
        <w:rPr>
          <w:rFonts w:hint="eastAsia"/>
        </w:rPr>
      </w:pPr>
    </w:p>
    <w:p w14:paraId="73F2ACB6">
      <w:pPr>
        <w:pStyle w:val="645"/>
        <w:rPr>
          <w:rFonts w:hint="eastAsia"/>
        </w:rPr>
      </w:pPr>
      <w:r>
        <w:rPr>
          <w:rFonts w:hint="eastAsia"/>
        </w:rPr>
        <w:t>图3.2</w:t>
      </w:r>
      <w:r>
        <w:t>.</w:t>
      </w:r>
      <w:r>
        <w:rPr>
          <w:rFonts w:hint="eastAsia"/>
        </w:rPr>
        <w:t>3-4</w:t>
      </w:r>
      <w:r>
        <w:t xml:space="preserve">   </w:t>
      </w:r>
      <w:r>
        <w:rPr>
          <w:rFonts w:hint="eastAsia"/>
        </w:rPr>
        <w:t>硫回收单元</w:t>
      </w:r>
      <w:r>
        <w:t>工艺流程图</w:t>
      </w:r>
    </w:p>
    <w:p w14:paraId="3FD8A699">
      <w:pPr>
        <w:spacing w:line="360" w:lineRule="auto"/>
        <w:jc w:val="center"/>
        <w:rPr>
          <w:rFonts w:hint="eastAsia"/>
        </w:rPr>
      </w:pPr>
    </w:p>
    <w:p w14:paraId="757C0562">
      <w:pPr>
        <w:pStyle w:val="645"/>
        <w:rPr>
          <w:rFonts w:hint="eastAsia"/>
        </w:rPr>
      </w:pPr>
    </w:p>
    <w:p w14:paraId="31E77D95">
      <w:pPr>
        <w:spacing w:line="360" w:lineRule="auto"/>
        <w:ind w:firstLine="480" w:firstLineChars="200"/>
        <w:rPr>
          <w:rFonts w:hint="eastAsia"/>
        </w:rPr>
        <w:sectPr>
          <w:pgSz w:w="11906" w:h="16838"/>
          <w:pgMar w:top="1440" w:right="1800" w:bottom="1440" w:left="1800" w:header="851" w:footer="992" w:gutter="0"/>
          <w:cols w:space="720" w:num="1"/>
          <w:docGrid w:type="lines" w:linePitch="312" w:charSpace="0"/>
        </w:sectPr>
      </w:pPr>
    </w:p>
    <w:p w14:paraId="18C99612">
      <w:pPr>
        <w:pStyle w:val="814"/>
        <w:rPr>
          <w:rFonts w:hint="eastAsia"/>
        </w:rPr>
      </w:pPr>
      <w:r>
        <w:rPr>
          <w:rFonts w:hint="eastAsia" w:ascii="Times New Roman" w:hAnsi="Times New Roman" w:cs="Times New Roman"/>
        </w:rPr>
        <w:t>二氧化碳压缩单元</w:t>
      </w:r>
    </w:p>
    <w:p w14:paraId="088EFB52">
      <w:pPr>
        <w:spacing w:line="360" w:lineRule="auto"/>
        <w:ind w:firstLine="480" w:firstLineChars="200"/>
        <w:rPr>
          <w:rFonts w:ascii="Times New Roman" w:hAnsi="Times New Roman" w:cs="Times New Roman"/>
        </w:rPr>
      </w:pPr>
      <w:r>
        <w:rPr>
          <w:rFonts w:hint="eastAsia" w:ascii="Times New Roman" w:hAnsi="Times New Roman" w:cs="Times New Roman"/>
        </w:rPr>
        <w:t>（1）概述</w:t>
      </w:r>
    </w:p>
    <w:p w14:paraId="704C36E7">
      <w:pPr>
        <w:spacing w:line="360" w:lineRule="auto"/>
        <w:ind w:firstLine="480" w:firstLineChars="200"/>
        <w:rPr>
          <w:rFonts w:ascii="Times New Roman" w:hAnsi="Times New Roman" w:cs="Times New Roman"/>
        </w:rPr>
      </w:pPr>
      <w:r>
        <w:rPr>
          <w:rFonts w:hint="eastAsia" w:ascii="Times New Roman" w:hAnsi="Times New Roman" w:cs="Times New Roman"/>
        </w:rPr>
        <w:t>本单元将来自低温甲醇洗单元的CO</w:t>
      </w:r>
      <w:r>
        <w:rPr>
          <w:rFonts w:hint="eastAsia" w:ascii="Times New Roman" w:hAnsi="Times New Roman" w:cs="Times New Roman"/>
          <w:vertAlign w:val="subscript"/>
        </w:rPr>
        <w:t>2</w:t>
      </w:r>
      <w:r>
        <w:rPr>
          <w:rFonts w:hint="eastAsia" w:ascii="Times New Roman" w:hAnsi="Times New Roman" w:cs="Times New Roman"/>
        </w:rPr>
        <w:t>进行压缩，压缩后送至气化装置。</w:t>
      </w:r>
    </w:p>
    <w:p w14:paraId="36E32C03">
      <w:pPr>
        <w:spacing w:line="360" w:lineRule="auto"/>
        <w:ind w:firstLine="480" w:firstLineChars="200"/>
        <w:rPr>
          <w:rFonts w:ascii="Times New Roman" w:hAnsi="Times New Roman" w:cs="Times New Roman"/>
        </w:rPr>
      </w:pPr>
      <w:r>
        <w:rPr>
          <w:rFonts w:hint="eastAsia" w:ascii="Times New Roman" w:hAnsi="Times New Roman" w:cs="Times New Roman"/>
        </w:rPr>
        <w:t>（2）工艺流程</w:t>
      </w:r>
    </w:p>
    <w:p w14:paraId="441C3EBD">
      <w:pPr>
        <w:pStyle w:val="281"/>
        <w:ind w:firstLine="480"/>
        <w:rPr>
          <w:rFonts w:cs="Times New Roman"/>
        </w:rPr>
      </w:pPr>
      <w:r>
        <w:rPr>
          <w:rFonts w:hint="eastAsia" w:cs="Times New Roman"/>
        </w:rPr>
        <w:t>略</w:t>
      </w:r>
    </w:p>
    <w:p w14:paraId="0A9FB5BA">
      <w:pPr>
        <w:pStyle w:val="281"/>
        <w:ind w:firstLine="480"/>
        <w:rPr>
          <w:rFonts w:cs="Times New Roman"/>
        </w:rPr>
      </w:pPr>
      <w:r>
        <w:rPr>
          <w:rFonts w:hint="eastAsia" w:cs="Times New Roman"/>
        </w:rPr>
        <w:t>（3）产污环节</w:t>
      </w:r>
    </w:p>
    <w:p w14:paraId="2C0B449D">
      <w:pPr>
        <w:pStyle w:val="281"/>
        <w:ind w:firstLine="480"/>
        <w:rPr>
          <w:rFonts w:cs="Times New Roman"/>
        </w:rPr>
      </w:pPr>
      <w:r>
        <w:rPr>
          <w:rFonts w:hint="eastAsia" w:cs="Times New Roman"/>
        </w:rPr>
        <w:t>二氧化碳压缩</w:t>
      </w:r>
      <w:r>
        <w:rPr>
          <w:rFonts w:cs="Times New Roman"/>
        </w:rPr>
        <w:t>单元产污环节及处理措施见下表。</w:t>
      </w:r>
    </w:p>
    <w:p w14:paraId="4753FCAC">
      <w:pPr>
        <w:pStyle w:val="541"/>
        <w:rPr>
          <w:rFonts w:hint="eastAsia"/>
        </w:rPr>
      </w:pPr>
      <w:r>
        <w:rPr>
          <w:rFonts w:hint="eastAsia"/>
        </w:rPr>
        <w:t>表3.2.</w:t>
      </w:r>
      <w:r>
        <w:t>3</w:t>
      </w:r>
      <w:r>
        <w:rPr>
          <w:rFonts w:hint="eastAsia"/>
        </w:rPr>
        <w:t>-6</w:t>
      </w:r>
      <w:r>
        <w:t xml:space="preserve">    </w:t>
      </w:r>
      <w:r>
        <w:rPr>
          <w:rFonts w:hint="eastAsia" w:cs="Times New Roman"/>
        </w:rPr>
        <w:t>二氧化碳压缩</w:t>
      </w:r>
      <w:r>
        <w:rPr>
          <w:rFonts w:cs="Times New Roman"/>
        </w:rPr>
        <w:t>单元</w:t>
      </w:r>
      <w:r>
        <w:rPr>
          <w:rFonts w:hint="eastAsia"/>
        </w:rPr>
        <w:t>产污环节表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646"/>
        <w:gridCol w:w="1596"/>
        <w:gridCol w:w="2396"/>
        <w:gridCol w:w="692"/>
        <w:gridCol w:w="940"/>
        <w:gridCol w:w="1628"/>
      </w:tblGrid>
      <w:tr w14:paraId="7798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7" w:type="dxa"/>
            <w:vAlign w:val="center"/>
          </w:tcPr>
          <w:p w14:paraId="7C1130D1">
            <w:pPr>
              <w:jc w:val="center"/>
              <w:rPr>
                <w:rFonts w:ascii="Times New Roman" w:hAnsi="Times New Roman" w:cs="Times New Roman"/>
                <w:sz w:val="18"/>
                <w:szCs w:val="18"/>
              </w:rPr>
            </w:pPr>
            <w:r>
              <w:rPr>
                <w:rFonts w:ascii="Times New Roman" w:hAnsi="Times New Roman" w:cs="Times New Roman"/>
                <w:sz w:val="18"/>
                <w:szCs w:val="18"/>
              </w:rPr>
              <w:t>污染物</w:t>
            </w:r>
          </w:p>
        </w:tc>
        <w:tc>
          <w:tcPr>
            <w:tcW w:w="646" w:type="dxa"/>
            <w:vAlign w:val="center"/>
          </w:tcPr>
          <w:p w14:paraId="3A8AB611">
            <w:pPr>
              <w:jc w:val="center"/>
              <w:rPr>
                <w:rFonts w:ascii="Times New Roman" w:hAnsi="Times New Roman" w:cs="Times New Roman"/>
                <w:sz w:val="18"/>
                <w:szCs w:val="18"/>
              </w:rPr>
            </w:pPr>
            <w:r>
              <w:rPr>
                <w:rFonts w:ascii="Times New Roman" w:hAnsi="Times New Roman" w:cs="Times New Roman"/>
                <w:sz w:val="18"/>
                <w:szCs w:val="18"/>
              </w:rPr>
              <w:t>序号</w:t>
            </w:r>
          </w:p>
        </w:tc>
        <w:tc>
          <w:tcPr>
            <w:tcW w:w="1596" w:type="dxa"/>
            <w:vAlign w:val="center"/>
          </w:tcPr>
          <w:p w14:paraId="767772A1">
            <w:pPr>
              <w:jc w:val="center"/>
              <w:rPr>
                <w:rFonts w:ascii="Times New Roman" w:hAnsi="Times New Roman" w:cs="Times New Roman"/>
                <w:sz w:val="18"/>
                <w:szCs w:val="18"/>
              </w:rPr>
            </w:pPr>
            <w:r>
              <w:rPr>
                <w:rFonts w:ascii="Times New Roman" w:hAnsi="Times New Roman" w:cs="Times New Roman"/>
                <w:sz w:val="18"/>
                <w:szCs w:val="18"/>
              </w:rPr>
              <w:t>产污环节</w:t>
            </w:r>
          </w:p>
        </w:tc>
        <w:tc>
          <w:tcPr>
            <w:tcW w:w="2396" w:type="dxa"/>
            <w:vAlign w:val="center"/>
          </w:tcPr>
          <w:p w14:paraId="5F757D21">
            <w:pPr>
              <w:jc w:val="center"/>
              <w:rPr>
                <w:rFonts w:ascii="Times New Roman" w:hAnsi="Times New Roman" w:cs="Times New Roman"/>
                <w:sz w:val="18"/>
                <w:szCs w:val="18"/>
              </w:rPr>
            </w:pPr>
            <w:r>
              <w:rPr>
                <w:rFonts w:ascii="Times New Roman" w:hAnsi="Times New Roman" w:cs="Times New Roman"/>
                <w:sz w:val="18"/>
                <w:szCs w:val="18"/>
              </w:rPr>
              <w:t>主要污染因子</w:t>
            </w:r>
          </w:p>
        </w:tc>
        <w:tc>
          <w:tcPr>
            <w:tcW w:w="692" w:type="dxa"/>
            <w:vAlign w:val="center"/>
          </w:tcPr>
          <w:p w14:paraId="394E3188">
            <w:pPr>
              <w:jc w:val="center"/>
              <w:rPr>
                <w:rFonts w:ascii="Times New Roman" w:hAnsi="Times New Roman" w:cs="Times New Roman"/>
                <w:sz w:val="18"/>
                <w:szCs w:val="18"/>
              </w:rPr>
            </w:pPr>
            <w:r>
              <w:rPr>
                <w:rFonts w:ascii="Times New Roman" w:hAnsi="Times New Roman" w:cs="Times New Roman"/>
                <w:sz w:val="18"/>
                <w:szCs w:val="18"/>
              </w:rPr>
              <w:t>排放特征</w:t>
            </w:r>
          </w:p>
        </w:tc>
        <w:tc>
          <w:tcPr>
            <w:tcW w:w="940" w:type="dxa"/>
            <w:vAlign w:val="center"/>
          </w:tcPr>
          <w:p w14:paraId="07CF0062">
            <w:pPr>
              <w:jc w:val="center"/>
              <w:rPr>
                <w:rFonts w:ascii="Times New Roman" w:hAnsi="Times New Roman" w:cs="Times New Roman"/>
                <w:sz w:val="18"/>
                <w:szCs w:val="18"/>
              </w:rPr>
            </w:pPr>
            <w:r>
              <w:rPr>
                <w:rFonts w:ascii="Times New Roman" w:hAnsi="Times New Roman" w:cs="Times New Roman"/>
                <w:sz w:val="18"/>
                <w:szCs w:val="18"/>
              </w:rPr>
              <w:t>收集方式</w:t>
            </w:r>
          </w:p>
        </w:tc>
        <w:tc>
          <w:tcPr>
            <w:tcW w:w="1628" w:type="dxa"/>
            <w:vAlign w:val="center"/>
          </w:tcPr>
          <w:p w14:paraId="2B4E5824">
            <w:pPr>
              <w:jc w:val="center"/>
              <w:rPr>
                <w:rFonts w:ascii="Times New Roman" w:hAnsi="Times New Roman" w:cs="Times New Roman"/>
                <w:sz w:val="18"/>
                <w:szCs w:val="18"/>
              </w:rPr>
            </w:pPr>
            <w:r>
              <w:rPr>
                <w:rFonts w:ascii="Times New Roman" w:hAnsi="Times New Roman" w:cs="Times New Roman"/>
                <w:sz w:val="18"/>
                <w:szCs w:val="18"/>
              </w:rPr>
              <w:t>处理措施</w:t>
            </w:r>
          </w:p>
        </w:tc>
      </w:tr>
      <w:tr w14:paraId="6ACE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7" w:type="dxa"/>
            <w:vAlign w:val="center"/>
          </w:tcPr>
          <w:p w14:paraId="2149B78B">
            <w:pPr>
              <w:jc w:val="center"/>
              <w:rPr>
                <w:rFonts w:ascii="Times New Roman" w:hAnsi="Times New Roman" w:cs="Times New Roman"/>
                <w:sz w:val="18"/>
                <w:szCs w:val="18"/>
              </w:rPr>
            </w:pPr>
            <w:r>
              <w:rPr>
                <w:rFonts w:hint="eastAsia" w:ascii="Times New Roman" w:hAnsi="Times New Roman" w:cs="Times New Roman"/>
                <w:sz w:val="18"/>
                <w:szCs w:val="18"/>
              </w:rPr>
              <w:t>废水</w:t>
            </w:r>
          </w:p>
        </w:tc>
        <w:tc>
          <w:tcPr>
            <w:tcW w:w="646" w:type="dxa"/>
            <w:vAlign w:val="center"/>
          </w:tcPr>
          <w:p w14:paraId="24130D77">
            <w:pPr>
              <w:jc w:val="center"/>
              <w:rPr>
                <w:rFonts w:ascii="Times New Roman" w:hAnsi="Times New Roman" w:cs="Times New Roman"/>
                <w:sz w:val="18"/>
                <w:szCs w:val="18"/>
              </w:rPr>
            </w:pPr>
            <w:r>
              <w:rPr>
                <w:rFonts w:hint="eastAsia" w:ascii="Times New Roman" w:hAnsi="Times New Roman" w:cs="Times New Roman"/>
                <w:sz w:val="18"/>
                <w:szCs w:val="18"/>
              </w:rPr>
              <w:t>W</w:t>
            </w:r>
            <w:r>
              <w:rPr>
                <w:rFonts w:hint="eastAsia" w:ascii="Times New Roman" w:hAnsi="Times New Roman" w:cs="Times New Roman"/>
                <w:sz w:val="18"/>
                <w:szCs w:val="18"/>
                <w:vertAlign w:val="subscript"/>
              </w:rPr>
              <w:t>2-10</w:t>
            </w:r>
          </w:p>
        </w:tc>
        <w:tc>
          <w:tcPr>
            <w:tcW w:w="1596" w:type="dxa"/>
            <w:vAlign w:val="center"/>
          </w:tcPr>
          <w:p w14:paraId="09F84A07">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地面冲洗水</w:t>
            </w:r>
          </w:p>
        </w:tc>
        <w:tc>
          <w:tcPr>
            <w:tcW w:w="2396" w:type="dxa"/>
            <w:vAlign w:val="center"/>
          </w:tcPr>
          <w:p w14:paraId="153CA013">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COD</w:t>
            </w:r>
            <w:r>
              <w:rPr>
                <w:rFonts w:hint="eastAsia" w:ascii="Times New Roman" w:hAnsi="Times New Roman" w:cs="Times New Roman"/>
                <w:sz w:val="18"/>
                <w:szCs w:val="18"/>
              </w:rPr>
              <w:t>、氨氮、悬浮物</w:t>
            </w:r>
          </w:p>
        </w:tc>
        <w:tc>
          <w:tcPr>
            <w:tcW w:w="692" w:type="dxa"/>
            <w:vAlign w:val="center"/>
          </w:tcPr>
          <w:p w14:paraId="51D5AEDA">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间断</w:t>
            </w:r>
          </w:p>
        </w:tc>
        <w:tc>
          <w:tcPr>
            <w:tcW w:w="940" w:type="dxa"/>
            <w:vAlign w:val="center"/>
          </w:tcPr>
          <w:p w14:paraId="0DA1B2A5">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628" w:type="dxa"/>
            <w:vAlign w:val="center"/>
          </w:tcPr>
          <w:p w14:paraId="0F4F286E">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污水处理站</w:t>
            </w:r>
          </w:p>
        </w:tc>
      </w:tr>
      <w:tr w14:paraId="6502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7" w:type="dxa"/>
            <w:vAlign w:val="center"/>
          </w:tcPr>
          <w:p w14:paraId="177CD412">
            <w:pPr>
              <w:jc w:val="center"/>
              <w:rPr>
                <w:rFonts w:ascii="Times New Roman" w:hAnsi="Times New Roman" w:cs="Times New Roman"/>
                <w:sz w:val="18"/>
                <w:szCs w:val="18"/>
              </w:rPr>
            </w:pPr>
            <w:r>
              <w:rPr>
                <w:rFonts w:ascii="Times New Roman" w:hAnsi="Times New Roman" w:cs="Times New Roman"/>
                <w:sz w:val="18"/>
                <w:szCs w:val="18"/>
              </w:rPr>
              <w:t>噪声</w:t>
            </w:r>
          </w:p>
        </w:tc>
        <w:tc>
          <w:tcPr>
            <w:tcW w:w="646" w:type="dxa"/>
            <w:vAlign w:val="center"/>
          </w:tcPr>
          <w:p w14:paraId="2AE066B8">
            <w:pPr>
              <w:jc w:val="center"/>
              <w:rPr>
                <w:rFonts w:ascii="Times New Roman" w:hAnsi="Times New Roman" w:cs="Times New Roman"/>
                <w:sz w:val="18"/>
                <w:szCs w:val="18"/>
              </w:rPr>
            </w:pPr>
            <w:r>
              <w:rPr>
                <w:rFonts w:ascii="Times New Roman" w:hAnsi="Times New Roman" w:cs="Times New Roman"/>
                <w:sz w:val="18"/>
                <w:szCs w:val="18"/>
              </w:rPr>
              <w:t>/</w:t>
            </w:r>
          </w:p>
        </w:tc>
        <w:tc>
          <w:tcPr>
            <w:tcW w:w="1596" w:type="dxa"/>
            <w:vAlign w:val="center"/>
          </w:tcPr>
          <w:p w14:paraId="7DD172D0">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 xml:space="preserve">机泵、风机、压缩机等 </w:t>
            </w:r>
          </w:p>
        </w:tc>
        <w:tc>
          <w:tcPr>
            <w:tcW w:w="2396" w:type="dxa"/>
            <w:vAlign w:val="center"/>
          </w:tcPr>
          <w:p w14:paraId="672E8AD3">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噪声级</w:t>
            </w:r>
          </w:p>
          <w:p w14:paraId="7F90A4D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85～90dB</w:t>
            </w:r>
          </w:p>
        </w:tc>
        <w:tc>
          <w:tcPr>
            <w:tcW w:w="692" w:type="dxa"/>
            <w:vAlign w:val="center"/>
          </w:tcPr>
          <w:p w14:paraId="6B105399">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连续</w:t>
            </w:r>
          </w:p>
        </w:tc>
        <w:tc>
          <w:tcPr>
            <w:tcW w:w="940" w:type="dxa"/>
            <w:vAlign w:val="center"/>
          </w:tcPr>
          <w:p w14:paraId="6C63F4B6">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1628" w:type="dxa"/>
            <w:vAlign w:val="center"/>
          </w:tcPr>
          <w:p w14:paraId="51AFEC1E">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减震、隔声措施</w:t>
            </w:r>
          </w:p>
        </w:tc>
      </w:tr>
    </w:tbl>
    <w:p w14:paraId="1CBCDE81">
      <w:pPr>
        <w:pStyle w:val="98"/>
        <w:rPr>
          <w:rFonts w:hint="eastAsia"/>
        </w:rPr>
      </w:pPr>
      <w:r>
        <w:t>主要设备</w:t>
      </w:r>
    </w:p>
    <w:p w14:paraId="14B0CDF6">
      <w:pPr>
        <w:pStyle w:val="281"/>
        <w:ind w:firstLine="480"/>
      </w:pPr>
      <w:r>
        <w:rPr>
          <w:rFonts w:hint="eastAsia"/>
        </w:rPr>
        <w:t>净化及分离装置</w:t>
      </w:r>
      <w:r>
        <w:t>主要设备见下表。</w:t>
      </w:r>
    </w:p>
    <w:p w14:paraId="5DDA1AB3">
      <w:pPr>
        <w:pStyle w:val="541"/>
        <w:rPr>
          <w:rFonts w:hint="eastAsia"/>
        </w:rPr>
      </w:pPr>
      <w:bookmarkStart w:id="141" w:name="_Hlk122412140"/>
      <w:r>
        <w:rPr>
          <w:rFonts w:hint="eastAsia"/>
        </w:rPr>
        <w:t>表3.2.</w:t>
      </w:r>
      <w:r>
        <w:t>3</w:t>
      </w:r>
      <w:r>
        <w:rPr>
          <w:rFonts w:hint="eastAsia"/>
        </w:rPr>
        <w:t>-7</w:t>
      </w:r>
      <w:r>
        <w:t xml:space="preserve">    </w:t>
      </w:r>
      <w:r>
        <w:rPr>
          <w:rFonts w:hint="eastAsia"/>
        </w:rPr>
        <w:t>煤气冷却单元设备一览表</w:t>
      </w:r>
      <w:bookmarkEnd w:id="141"/>
    </w:p>
    <w:p w14:paraId="133F380C">
      <w:pPr>
        <w:pStyle w:val="281"/>
        <w:ind w:firstLine="480"/>
      </w:pPr>
    </w:p>
    <w:p w14:paraId="7B55D0DD">
      <w:pPr>
        <w:pStyle w:val="281"/>
        <w:ind w:firstLine="480"/>
      </w:pPr>
    </w:p>
    <w:p w14:paraId="263AAA71">
      <w:pPr>
        <w:pStyle w:val="281"/>
        <w:ind w:firstLine="480"/>
      </w:pPr>
    </w:p>
    <w:p w14:paraId="33A98A24">
      <w:pPr>
        <w:pStyle w:val="281"/>
        <w:ind w:firstLine="480"/>
      </w:pPr>
    </w:p>
    <w:p w14:paraId="0A255FCC">
      <w:pPr>
        <w:pStyle w:val="281"/>
        <w:ind w:firstLine="480"/>
        <w:sectPr>
          <w:pgSz w:w="11906" w:h="16838"/>
          <w:pgMar w:top="1440" w:right="1800" w:bottom="1440" w:left="1800" w:header="851" w:footer="992" w:gutter="0"/>
          <w:cols w:space="720" w:num="1"/>
          <w:docGrid w:type="lines" w:linePitch="312" w:charSpace="0"/>
        </w:sectPr>
      </w:pPr>
    </w:p>
    <w:p w14:paraId="56D8CAFB">
      <w:pPr>
        <w:pStyle w:val="98"/>
        <w:rPr>
          <w:rFonts w:hint="eastAsia"/>
        </w:rPr>
      </w:pPr>
      <w:r>
        <w:t>物料平衡</w:t>
      </w:r>
    </w:p>
    <w:p w14:paraId="55EFF006">
      <w:pPr>
        <w:pStyle w:val="814"/>
        <w:rPr>
          <w:rFonts w:hint="eastAsia" w:ascii="宋体" w:hAnsi="宋体"/>
        </w:rPr>
      </w:pPr>
      <w:bookmarkStart w:id="142" w:name="_Hlk150215326"/>
      <w:r>
        <w:rPr>
          <w:rFonts w:hint="eastAsia"/>
        </w:rPr>
        <w:t>煤气冷却单元</w:t>
      </w:r>
    </w:p>
    <w:p w14:paraId="70D80525">
      <w:pPr>
        <w:pStyle w:val="281"/>
        <w:ind w:firstLine="480"/>
      </w:pPr>
      <w:bookmarkStart w:id="143" w:name="_Hlk180227900"/>
      <w:r>
        <w:rPr>
          <w:rFonts w:hint="eastAsia"/>
        </w:rPr>
        <w:t>（1）物料平衡</w:t>
      </w:r>
    </w:p>
    <w:p w14:paraId="2A4A5D05">
      <w:pPr>
        <w:pStyle w:val="281"/>
        <w:ind w:firstLine="480"/>
      </w:pPr>
      <w:r>
        <w:rPr>
          <w:rFonts w:hint="eastAsia"/>
        </w:rPr>
        <w:t>煤气冷却单元物料平衡见</w:t>
      </w:r>
      <w:r>
        <w:rPr>
          <w:rFonts w:cs="Times New Roman"/>
        </w:rPr>
        <w:t>表3.2.3-1</w:t>
      </w:r>
      <w:r>
        <w:rPr>
          <w:rFonts w:hint="eastAsia" w:cs="Times New Roman"/>
        </w:rPr>
        <w:t>2</w:t>
      </w:r>
      <w:r>
        <w:rPr>
          <w:rFonts w:cs="Times New Roman"/>
        </w:rPr>
        <w:t>；</w:t>
      </w:r>
    </w:p>
    <w:p w14:paraId="01DF56F9">
      <w:pPr>
        <w:pStyle w:val="535"/>
        <w:rPr>
          <w:rFonts w:hint="eastAsia"/>
          <w:color w:val="auto"/>
        </w:rPr>
      </w:pPr>
      <w:bookmarkStart w:id="144" w:name="_Hlk167266763"/>
      <w:bookmarkStart w:id="145" w:name="_Hlk176261173"/>
      <w:r>
        <w:rPr>
          <w:rFonts w:hint="eastAsia"/>
          <w:color w:val="auto"/>
        </w:rPr>
        <w:t>表3.2.</w:t>
      </w:r>
      <w:r>
        <w:rPr>
          <w:color w:val="auto"/>
        </w:rPr>
        <w:t>3</w:t>
      </w:r>
      <w:r>
        <w:rPr>
          <w:rFonts w:hint="eastAsia"/>
          <w:color w:val="auto"/>
        </w:rPr>
        <w:t>-</w:t>
      </w:r>
      <w:r>
        <w:rPr>
          <w:color w:val="auto"/>
        </w:rPr>
        <w:t>1</w:t>
      </w:r>
      <w:r>
        <w:rPr>
          <w:rFonts w:hint="eastAsia"/>
          <w:color w:val="auto"/>
        </w:rPr>
        <w:t>2</w:t>
      </w:r>
      <w:r>
        <w:rPr>
          <w:color w:val="auto"/>
        </w:rPr>
        <w:t xml:space="preserve">     </w:t>
      </w:r>
      <w:r>
        <w:rPr>
          <w:rFonts w:hint="eastAsia"/>
        </w:rPr>
        <w:t>煤气冷却</w:t>
      </w:r>
      <w:r>
        <w:rPr>
          <w:rFonts w:hint="eastAsia"/>
          <w:color w:val="auto"/>
        </w:rPr>
        <w:t>单元物料平衡表</w:t>
      </w:r>
    </w:p>
    <w:bookmarkEnd w:id="144"/>
    <w:bookmarkEnd w:id="145"/>
    <w:p w14:paraId="70182CE0">
      <w:pPr>
        <w:pStyle w:val="281"/>
        <w:ind w:firstLine="480"/>
      </w:pPr>
      <w:r>
        <w:rPr>
          <w:rFonts w:hint="eastAsia"/>
        </w:rPr>
        <w:t>（</w:t>
      </w:r>
      <w:r>
        <w:t>2</w:t>
      </w:r>
      <w:r>
        <w:rPr>
          <w:rFonts w:hint="eastAsia"/>
        </w:rPr>
        <w:t>）水平衡</w:t>
      </w:r>
    </w:p>
    <w:p w14:paraId="6A7E83D6">
      <w:pPr>
        <w:pStyle w:val="281"/>
        <w:ind w:firstLine="480"/>
      </w:pPr>
      <w:r>
        <w:rPr>
          <w:rFonts w:hint="eastAsia"/>
        </w:rPr>
        <w:t>煤气冷却单元水平衡见表3.2.</w:t>
      </w:r>
      <w:r>
        <w:t>3</w:t>
      </w:r>
      <w:r>
        <w:rPr>
          <w:rFonts w:hint="eastAsia"/>
        </w:rPr>
        <w:t>-</w:t>
      </w:r>
      <w:r>
        <w:t>1</w:t>
      </w:r>
      <w:r>
        <w:rPr>
          <w:rFonts w:hint="eastAsia"/>
        </w:rPr>
        <w:t>3；</w:t>
      </w:r>
    </w:p>
    <w:p w14:paraId="1294A042">
      <w:pPr>
        <w:pStyle w:val="535"/>
        <w:rPr>
          <w:rFonts w:hint="eastAsia"/>
          <w:color w:val="auto"/>
        </w:rPr>
      </w:pPr>
      <w:r>
        <w:rPr>
          <w:rFonts w:hint="eastAsia"/>
          <w:color w:val="auto"/>
        </w:rPr>
        <w:t>表3.2.</w:t>
      </w:r>
      <w:r>
        <w:rPr>
          <w:color w:val="auto"/>
        </w:rPr>
        <w:t>3</w:t>
      </w:r>
      <w:r>
        <w:rPr>
          <w:rFonts w:hint="eastAsia"/>
          <w:color w:val="auto"/>
        </w:rPr>
        <w:t>-</w:t>
      </w:r>
      <w:r>
        <w:rPr>
          <w:color w:val="auto"/>
        </w:rPr>
        <w:t>1</w:t>
      </w:r>
      <w:r>
        <w:rPr>
          <w:rFonts w:hint="eastAsia"/>
          <w:color w:val="auto"/>
        </w:rPr>
        <w:t>3</w:t>
      </w:r>
      <w:r>
        <w:rPr>
          <w:color w:val="auto"/>
        </w:rPr>
        <w:t xml:space="preserve">    </w:t>
      </w:r>
      <w:r>
        <w:rPr>
          <w:rFonts w:hint="eastAsia"/>
        </w:rPr>
        <w:t>煤气冷却</w:t>
      </w:r>
      <w:r>
        <w:rPr>
          <w:rFonts w:hint="eastAsia"/>
          <w:color w:val="auto"/>
        </w:rPr>
        <w:t>单元水平衡表</w:t>
      </w:r>
    </w:p>
    <w:p w14:paraId="6AD4AC96">
      <w:pPr>
        <w:pStyle w:val="281"/>
        <w:ind w:firstLine="480"/>
      </w:pPr>
      <w:r>
        <w:rPr>
          <w:rFonts w:hint="eastAsia"/>
        </w:rPr>
        <w:t>（3）硫平衡</w:t>
      </w:r>
    </w:p>
    <w:p w14:paraId="7BEDE190">
      <w:pPr>
        <w:pStyle w:val="281"/>
        <w:ind w:firstLine="480"/>
      </w:pPr>
      <w:r>
        <w:rPr>
          <w:rFonts w:hint="eastAsia"/>
        </w:rPr>
        <w:t>煤气冷却单元硫平衡见表3.2.</w:t>
      </w:r>
      <w:r>
        <w:t>3</w:t>
      </w:r>
      <w:r>
        <w:rPr>
          <w:rFonts w:hint="eastAsia"/>
        </w:rPr>
        <w:t>-</w:t>
      </w:r>
      <w:r>
        <w:t>1</w:t>
      </w:r>
      <w:r>
        <w:rPr>
          <w:rFonts w:hint="eastAsia"/>
        </w:rPr>
        <w:t>4；</w:t>
      </w:r>
    </w:p>
    <w:p w14:paraId="6FF340E1">
      <w:pPr>
        <w:pStyle w:val="645"/>
        <w:rPr>
          <w:rFonts w:hint="eastAsia"/>
        </w:rPr>
      </w:pPr>
      <w:bookmarkStart w:id="146" w:name="_Hlk167296070"/>
      <w:r>
        <w:rPr>
          <w:rFonts w:hint="eastAsia"/>
        </w:rPr>
        <w:t>表3.2.</w:t>
      </w:r>
      <w:r>
        <w:t>3</w:t>
      </w:r>
      <w:r>
        <w:rPr>
          <w:rFonts w:hint="eastAsia"/>
        </w:rPr>
        <w:t>-</w:t>
      </w:r>
      <w:r>
        <w:t>1</w:t>
      </w:r>
      <w:r>
        <w:rPr>
          <w:rFonts w:hint="eastAsia"/>
        </w:rPr>
        <w:t>4</w:t>
      </w:r>
      <w:r>
        <w:t xml:space="preserve">     </w:t>
      </w:r>
      <w:r>
        <w:rPr>
          <w:rFonts w:hint="eastAsia"/>
        </w:rPr>
        <w:t>煤气冷却单元硫平衡表</w:t>
      </w:r>
    </w:p>
    <w:bookmarkEnd w:id="146"/>
    <w:p w14:paraId="620CE369">
      <w:pPr>
        <w:pStyle w:val="281"/>
        <w:ind w:firstLine="480"/>
      </w:pPr>
      <w:r>
        <w:rPr>
          <w:rFonts w:hint="eastAsia"/>
        </w:rPr>
        <w:t>（4）碳平衡</w:t>
      </w:r>
    </w:p>
    <w:p w14:paraId="237D0DBC">
      <w:pPr>
        <w:pStyle w:val="281"/>
        <w:ind w:firstLine="480"/>
      </w:pPr>
      <w:r>
        <w:rPr>
          <w:rFonts w:hint="eastAsia"/>
        </w:rPr>
        <w:t>煤气冷却单元碳平衡见表3.2.</w:t>
      </w:r>
      <w:r>
        <w:t>3</w:t>
      </w:r>
      <w:r>
        <w:rPr>
          <w:rFonts w:hint="eastAsia"/>
        </w:rPr>
        <w:t>-15；</w:t>
      </w:r>
    </w:p>
    <w:p w14:paraId="0F84AFEE">
      <w:pPr>
        <w:pStyle w:val="645"/>
        <w:rPr>
          <w:rFonts w:hint="eastAsia"/>
        </w:rPr>
      </w:pPr>
      <w:bookmarkStart w:id="147" w:name="_Hlk167296076"/>
      <w:bookmarkStart w:id="148" w:name="_Hlk176262552"/>
      <w:r>
        <w:rPr>
          <w:rFonts w:hint="eastAsia"/>
        </w:rPr>
        <w:t>表3.2.</w:t>
      </w:r>
      <w:r>
        <w:t>3</w:t>
      </w:r>
      <w:r>
        <w:rPr>
          <w:rFonts w:hint="eastAsia"/>
        </w:rPr>
        <w:t>-15</w:t>
      </w:r>
      <w:r>
        <w:t xml:space="preserve">     </w:t>
      </w:r>
      <w:r>
        <w:rPr>
          <w:rFonts w:hint="eastAsia"/>
        </w:rPr>
        <w:t>煤气冷却单元碳平衡表</w:t>
      </w:r>
    </w:p>
    <w:bookmarkEnd w:id="147"/>
    <w:bookmarkEnd w:id="148"/>
    <w:p w14:paraId="705DEDA3">
      <w:pPr>
        <w:pStyle w:val="557"/>
        <w:jc w:val="both"/>
      </w:pPr>
    </w:p>
    <w:bookmarkEnd w:id="143"/>
    <w:p w14:paraId="5E727E8C">
      <w:pPr>
        <w:pStyle w:val="814"/>
        <w:rPr>
          <w:rFonts w:hint="eastAsia"/>
        </w:rPr>
      </w:pPr>
      <w:r>
        <w:rPr>
          <w:rFonts w:hint="eastAsia"/>
        </w:rPr>
        <w:t>低温甲醇洗单元</w:t>
      </w:r>
    </w:p>
    <w:p w14:paraId="696DB645">
      <w:pPr>
        <w:pStyle w:val="281"/>
        <w:ind w:firstLine="480"/>
      </w:pPr>
      <w:r>
        <w:rPr>
          <w:rFonts w:hint="eastAsia"/>
        </w:rPr>
        <w:t>（1）物料平衡</w:t>
      </w:r>
    </w:p>
    <w:p w14:paraId="30F6671C">
      <w:pPr>
        <w:pStyle w:val="281"/>
        <w:ind w:firstLine="480"/>
      </w:pPr>
      <w:r>
        <w:rPr>
          <w:rFonts w:hint="eastAsia"/>
        </w:rPr>
        <w:t>低温甲醇洗单元物料平衡见表3.2.</w:t>
      </w:r>
      <w:r>
        <w:t>3</w:t>
      </w:r>
      <w:r>
        <w:rPr>
          <w:rFonts w:hint="eastAsia"/>
        </w:rPr>
        <w:t>-16。</w:t>
      </w:r>
    </w:p>
    <w:p w14:paraId="77DE622E">
      <w:pPr>
        <w:pStyle w:val="541"/>
        <w:rPr>
          <w:rFonts w:hint="eastAsia"/>
        </w:rPr>
      </w:pPr>
      <w:bookmarkStart w:id="149" w:name="_Hlk167296083"/>
      <w:r>
        <w:rPr>
          <w:rFonts w:hint="eastAsia"/>
        </w:rPr>
        <w:t>表3.2.</w:t>
      </w:r>
      <w:r>
        <w:t>3</w:t>
      </w:r>
      <w:r>
        <w:rPr>
          <w:rFonts w:hint="eastAsia"/>
        </w:rPr>
        <w:t>-16</w:t>
      </w:r>
      <w:r>
        <w:t xml:space="preserve">   </w:t>
      </w:r>
      <w:r>
        <w:rPr>
          <w:rFonts w:hint="eastAsia"/>
        </w:rPr>
        <w:t>低温甲醇洗单元物料平衡表</w:t>
      </w:r>
    </w:p>
    <w:p w14:paraId="296963B7">
      <w:pPr>
        <w:pStyle w:val="281"/>
        <w:ind w:firstLine="480"/>
      </w:pPr>
      <w:r>
        <w:rPr>
          <w:rFonts w:hint="eastAsia"/>
        </w:rPr>
        <w:t>（2）水平衡</w:t>
      </w:r>
    </w:p>
    <w:p w14:paraId="4B2337A0">
      <w:pPr>
        <w:pStyle w:val="281"/>
        <w:ind w:firstLine="480"/>
      </w:pPr>
      <w:r>
        <w:rPr>
          <w:rFonts w:hint="eastAsia"/>
        </w:rPr>
        <w:t>低温甲醇洗单元水平衡见表3.2.</w:t>
      </w:r>
      <w:r>
        <w:t>3</w:t>
      </w:r>
      <w:r>
        <w:rPr>
          <w:rFonts w:hint="eastAsia"/>
        </w:rPr>
        <w:t>-17。</w:t>
      </w:r>
    </w:p>
    <w:p w14:paraId="2119CE4B">
      <w:pPr>
        <w:pStyle w:val="541"/>
        <w:rPr>
          <w:rFonts w:hint="eastAsia"/>
        </w:rPr>
      </w:pPr>
      <w:r>
        <w:rPr>
          <w:rFonts w:hint="eastAsia"/>
        </w:rPr>
        <w:t>表3.2.</w:t>
      </w:r>
      <w:r>
        <w:t>3</w:t>
      </w:r>
      <w:r>
        <w:rPr>
          <w:rFonts w:hint="eastAsia"/>
        </w:rPr>
        <w:t>-17</w:t>
      </w:r>
      <w:r>
        <w:t xml:space="preserve">   </w:t>
      </w:r>
      <w:r>
        <w:rPr>
          <w:rFonts w:hint="eastAsia"/>
        </w:rPr>
        <w:t>低温甲醇洗单元水平衡表</w:t>
      </w:r>
    </w:p>
    <w:p w14:paraId="760BCC90">
      <w:pPr>
        <w:pStyle w:val="281"/>
        <w:ind w:firstLine="480"/>
      </w:pPr>
      <w:r>
        <w:rPr>
          <w:rFonts w:hint="eastAsia"/>
        </w:rPr>
        <w:t>（3）硫平衡</w:t>
      </w:r>
    </w:p>
    <w:p w14:paraId="3DB3AECB">
      <w:pPr>
        <w:pStyle w:val="281"/>
        <w:ind w:firstLine="480"/>
      </w:pPr>
      <w:r>
        <w:rPr>
          <w:rFonts w:hint="eastAsia"/>
        </w:rPr>
        <w:t>低温甲醇洗单元硫平衡见表3.2.</w:t>
      </w:r>
      <w:r>
        <w:t>3</w:t>
      </w:r>
      <w:r>
        <w:rPr>
          <w:rFonts w:hint="eastAsia"/>
        </w:rPr>
        <w:t>-18；</w:t>
      </w:r>
    </w:p>
    <w:p w14:paraId="31456C9A">
      <w:pPr>
        <w:pStyle w:val="535"/>
        <w:rPr>
          <w:rFonts w:hint="eastAsia"/>
          <w:color w:val="auto"/>
        </w:rPr>
      </w:pPr>
      <w:bookmarkStart w:id="150" w:name="_Hlk167296121"/>
      <w:r>
        <w:rPr>
          <w:rFonts w:hint="eastAsia"/>
          <w:color w:val="auto"/>
        </w:rPr>
        <w:t>表3.2.</w:t>
      </w:r>
      <w:r>
        <w:rPr>
          <w:color w:val="auto"/>
        </w:rPr>
        <w:t>3</w:t>
      </w:r>
      <w:r>
        <w:rPr>
          <w:rFonts w:hint="eastAsia"/>
          <w:color w:val="auto"/>
        </w:rPr>
        <w:t>-18</w:t>
      </w:r>
      <w:r>
        <w:rPr>
          <w:color w:val="auto"/>
        </w:rPr>
        <w:t xml:space="preserve">    </w:t>
      </w:r>
      <w:r>
        <w:rPr>
          <w:rFonts w:hint="eastAsia"/>
        </w:rPr>
        <w:t>低温甲醇洗单元</w:t>
      </w:r>
      <w:r>
        <w:rPr>
          <w:rFonts w:hint="eastAsia"/>
          <w:color w:val="auto"/>
        </w:rPr>
        <w:t>硫平衡表</w:t>
      </w:r>
    </w:p>
    <w:bookmarkEnd w:id="150"/>
    <w:p w14:paraId="4F641507">
      <w:pPr>
        <w:pStyle w:val="281"/>
        <w:ind w:firstLine="480"/>
      </w:pPr>
      <w:r>
        <w:rPr>
          <w:rFonts w:hint="eastAsia"/>
        </w:rPr>
        <w:t>（4）碳平衡</w:t>
      </w:r>
    </w:p>
    <w:p w14:paraId="4D879984">
      <w:pPr>
        <w:pStyle w:val="281"/>
        <w:ind w:firstLine="480"/>
      </w:pPr>
      <w:r>
        <w:rPr>
          <w:rFonts w:hint="eastAsia"/>
        </w:rPr>
        <w:t>低温甲醇洗单元碳平衡见表3.2.</w:t>
      </w:r>
      <w:r>
        <w:t>3</w:t>
      </w:r>
      <w:r>
        <w:rPr>
          <w:rFonts w:hint="eastAsia"/>
        </w:rPr>
        <w:t>-19；</w:t>
      </w:r>
    </w:p>
    <w:p w14:paraId="66192CF9">
      <w:pPr>
        <w:pStyle w:val="645"/>
        <w:rPr>
          <w:rFonts w:hint="eastAsia"/>
        </w:rPr>
      </w:pPr>
      <w:bookmarkStart w:id="151" w:name="_Hlk167296126"/>
      <w:r>
        <w:rPr>
          <w:rFonts w:hint="eastAsia"/>
        </w:rPr>
        <w:t>表3.2.</w:t>
      </w:r>
      <w:r>
        <w:t>3</w:t>
      </w:r>
      <w:r>
        <w:rPr>
          <w:rFonts w:hint="eastAsia"/>
        </w:rPr>
        <w:t>-19</w:t>
      </w:r>
      <w:r>
        <w:t xml:space="preserve">     </w:t>
      </w:r>
      <w:r>
        <w:rPr>
          <w:rFonts w:hint="eastAsia"/>
        </w:rPr>
        <w:t>低温甲醇洗单元碳平衡表</w:t>
      </w:r>
    </w:p>
    <w:bookmarkEnd w:id="149"/>
    <w:bookmarkEnd w:id="151"/>
    <w:p w14:paraId="6EDF4C5B">
      <w:pPr>
        <w:pStyle w:val="814"/>
        <w:rPr>
          <w:rFonts w:hint="eastAsia"/>
        </w:rPr>
      </w:pPr>
      <w:r>
        <w:rPr>
          <w:rFonts w:hint="eastAsia"/>
        </w:rPr>
        <w:t>CO深冷分离单元</w:t>
      </w:r>
    </w:p>
    <w:p w14:paraId="07814196">
      <w:pPr>
        <w:pStyle w:val="281"/>
        <w:ind w:firstLine="480"/>
      </w:pPr>
      <w:r>
        <w:rPr>
          <w:rFonts w:hint="eastAsia"/>
        </w:rPr>
        <w:t>（1）物料平衡</w:t>
      </w:r>
    </w:p>
    <w:p w14:paraId="04BDDB28">
      <w:pPr>
        <w:pStyle w:val="281"/>
        <w:ind w:firstLine="480"/>
      </w:pPr>
      <w:r>
        <w:rPr>
          <w:rFonts w:hint="eastAsia"/>
        </w:rPr>
        <w:t>CO深冷分离单元物料平衡见表3.2.</w:t>
      </w:r>
      <w:r>
        <w:t>3</w:t>
      </w:r>
      <w:r>
        <w:rPr>
          <w:rFonts w:hint="eastAsia"/>
        </w:rPr>
        <w:t>-20。</w:t>
      </w:r>
    </w:p>
    <w:p w14:paraId="028D41D6">
      <w:pPr>
        <w:pStyle w:val="541"/>
        <w:rPr>
          <w:rFonts w:hint="eastAsia"/>
        </w:rPr>
      </w:pPr>
      <w:r>
        <w:rPr>
          <w:rFonts w:hint="eastAsia"/>
        </w:rPr>
        <w:t>表3.2.</w:t>
      </w:r>
      <w:r>
        <w:t>3</w:t>
      </w:r>
      <w:r>
        <w:rPr>
          <w:rFonts w:hint="eastAsia"/>
        </w:rPr>
        <w:t xml:space="preserve">-20 </w:t>
      </w:r>
      <w:r>
        <w:t xml:space="preserve">  </w:t>
      </w:r>
      <w:r>
        <w:rPr>
          <w:rFonts w:hint="eastAsia"/>
        </w:rPr>
        <w:t>CO深冷分离单元物料平衡表</w:t>
      </w:r>
    </w:p>
    <w:p w14:paraId="002359FB">
      <w:pPr>
        <w:pStyle w:val="281"/>
        <w:ind w:firstLine="480"/>
      </w:pPr>
      <w:r>
        <w:rPr>
          <w:rFonts w:hint="eastAsia"/>
        </w:rPr>
        <w:t>（2）碳平衡</w:t>
      </w:r>
    </w:p>
    <w:p w14:paraId="673F9E3E">
      <w:pPr>
        <w:pStyle w:val="281"/>
        <w:ind w:firstLine="480"/>
      </w:pPr>
      <w:r>
        <w:rPr>
          <w:rFonts w:hint="eastAsia"/>
        </w:rPr>
        <w:t>CO深冷分离单元碳平衡见表3.2.</w:t>
      </w:r>
      <w:r>
        <w:t>3</w:t>
      </w:r>
      <w:r>
        <w:rPr>
          <w:rFonts w:hint="eastAsia"/>
        </w:rPr>
        <w:t>-21；</w:t>
      </w:r>
    </w:p>
    <w:p w14:paraId="0EA699DF">
      <w:pPr>
        <w:pStyle w:val="645"/>
        <w:rPr>
          <w:rFonts w:hint="eastAsia"/>
        </w:rPr>
      </w:pPr>
      <w:r>
        <w:rPr>
          <w:rFonts w:hint="eastAsia"/>
        </w:rPr>
        <w:t>表3.2.</w:t>
      </w:r>
      <w:r>
        <w:t>3</w:t>
      </w:r>
      <w:r>
        <w:rPr>
          <w:rFonts w:hint="eastAsia"/>
        </w:rPr>
        <w:t>-21</w:t>
      </w:r>
      <w:r>
        <w:t xml:space="preserve">     </w:t>
      </w:r>
      <w:r>
        <w:rPr>
          <w:rFonts w:hint="eastAsia"/>
        </w:rPr>
        <w:t>CO深冷分离单元碳平衡表</w:t>
      </w:r>
    </w:p>
    <w:p w14:paraId="2869B211">
      <w:pPr>
        <w:pStyle w:val="814"/>
        <w:rPr>
          <w:rFonts w:hint="eastAsia"/>
        </w:rPr>
      </w:pPr>
      <w:r>
        <w:rPr>
          <w:rFonts w:hint="eastAsia"/>
        </w:rPr>
        <w:t>硫回收单元</w:t>
      </w:r>
    </w:p>
    <w:p w14:paraId="79E0F689">
      <w:pPr>
        <w:pStyle w:val="281"/>
        <w:ind w:firstLine="480"/>
      </w:pPr>
      <w:r>
        <w:rPr>
          <w:rFonts w:hint="eastAsia"/>
        </w:rPr>
        <w:t>（1）物料平衡</w:t>
      </w:r>
    </w:p>
    <w:p w14:paraId="465EE719">
      <w:pPr>
        <w:pStyle w:val="281"/>
        <w:ind w:firstLine="480"/>
      </w:pPr>
      <w:r>
        <w:rPr>
          <w:rFonts w:hint="eastAsia"/>
        </w:rPr>
        <w:t>硫回收单元物料平衡见表3.2.</w:t>
      </w:r>
      <w:r>
        <w:t>3</w:t>
      </w:r>
      <w:r>
        <w:rPr>
          <w:rFonts w:hint="eastAsia"/>
        </w:rPr>
        <w:t>-22。</w:t>
      </w:r>
      <w:bookmarkStart w:id="152" w:name="_Hlk167296146"/>
    </w:p>
    <w:p w14:paraId="41D47157">
      <w:pPr>
        <w:pStyle w:val="541"/>
        <w:rPr>
          <w:rFonts w:hint="eastAsia"/>
        </w:rPr>
      </w:pPr>
      <w:r>
        <w:rPr>
          <w:rFonts w:hint="eastAsia"/>
        </w:rPr>
        <w:t>表3.2.</w:t>
      </w:r>
      <w:r>
        <w:t>3</w:t>
      </w:r>
      <w:r>
        <w:rPr>
          <w:rFonts w:hint="eastAsia"/>
        </w:rPr>
        <w:t xml:space="preserve">-22 </w:t>
      </w:r>
      <w:r>
        <w:t xml:space="preserve">  </w:t>
      </w:r>
      <w:r>
        <w:rPr>
          <w:rFonts w:hint="eastAsia"/>
        </w:rPr>
        <w:t>硫回收单元物料平衡表</w:t>
      </w:r>
    </w:p>
    <w:bookmarkEnd w:id="152"/>
    <w:p w14:paraId="0E0CE67B">
      <w:pPr>
        <w:pStyle w:val="281"/>
        <w:ind w:firstLine="480"/>
      </w:pPr>
      <w:r>
        <w:rPr>
          <w:rFonts w:hint="eastAsia"/>
        </w:rPr>
        <w:t>（2）硫平衡</w:t>
      </w:r>
    </w:p>
    <w:p w14:paraId="1FF2C84A">
      <w:pPr>
        <w:pStyle w:val="281"/>
        <w:ind w:firstLine="480"/>
      </w:pPr>
      <w:r>
        <w:rPr>
          <w:rFonts w:hint="eastAsia"/>
        </w:rPr>
        <w:t>硫回收单元硫平衡见表3.2.</w:t>
      </w:r>
      <w:r>
        <w:t>3</w:t>
      </w:r>
      <w:r>
        <w:rPr>
          <w:rFonts w:hint="eastAsia"/>
        </w:rPr>
        <w:t>-23；</w:t>
      </w:r>
    </w:p>
    <w:p w14:paraId="3FFA7CEC">
      <w:pPr>
        <w:pStyle w:val="645"/>
        <w:rPr>
          <w:rFonts w:hint="eastAsia"/>
        </w:rPr>
      </w:pPr>
      <w:r>
        <w:rPr>
          <w:rFonts w:hint="eastAsia"/>
        </w:rPr>
        <w:t>表3.2.</w:t>
      </w:r>
      <w:r>
        <w:t>3</w:t>
      </w:r>
      <w:r>
        <w:rPr>
          <w:rFonts w:hint="eastAsia"/>
        </w:rPr>
        <w:t>-23</w:t>
      </w:r>
      <w:r>
        <w:t xml:space="preserve">     </w:t>
      </w:r>
      <w:r>
        <w:rPr>
          <w:rFonts w:hint="eastAsia"/>
        </w:rPr>
        <w:t>硫回收单元硫平衡表</w:t>
      </w:r>
    </w:p>
    <w:p w14:paraId="079752DD">
      <w:pPr>
        <w:pStyle w:val="281"/>
        <w:ind w:firstLine="480"/>
      </w:pPr>
      <w:r>
        <w:rPr>
          <w:rFonts w:hint="eastAsia"/>
        </w:rPr>
        <w:t>（3）碳平衡</w:t>
      </w:r>
    </w:p>
    <w:p w14:paraId="535295B1">
      <w:pPr>
        <w:pStyle w:val="281"/>
        <w:ind w:firstLine="480"/>
      </w:pPr>
      <w:r>
        <w:rPr>
          <w:rFonts w:hint="eastAsia"/>
        </w:rPr>
        <w:t>硫回收单元碳平衡见表3.2.</w:t>
      </w:r>
      <w:r>
        <w:t>3</w:t>
      </w:r>
      <w:r>
        <w:rPr>
          <w:rFonts w:hint="eastAsia"/>
        </w:rPr>
        <w:t>-24；</w:t>
      </w:r>
    </w:p>
    <w:p w14:paraId="224583FD">
      <w:pPr>
        <w:pStyle w:val="645"/>
        <w:rPr>
          <w:rFonts w:hint="eastAsia"/>
        </w:rPr>
      </w:pPr>
      <w:r>
        <w:rPr>
          <w:rFonts w:hint="eastAsia"/>
        </w:rPr>
        <w:t>表3.2.</w:t>
      </w:r>
      <w:r>
        <w:t>3</w:t>
      </w:r>
      <w:r>
        <w:rPr>
          <w:rFonts w:hint="eastAsia"/>
        </w:rPr>
        <w:t>-24</w:t>
      </w:r>
      <w:r>
        <w:t xml:space="preserve">     </w:t>
      </w:r>
      <w:r>
        <w:rPr>
          <w:rFonts w:hint="eastAsia"/>
        </w:rPr>
        <w:t>硫回收单元碳平衡表</w:t>
      </w:r>
    </w:p>
    <w:bookmarkEnd w:id="142"/>
    <w:p w14:paraId="5FE54ED5">
      <w:pPr>
        <w:pStyle w:val="98"/>
        <w:rPr>
          <w:rFonts w:hint="eastAsia"/>
        </w:rPr>
      </w:pPr>
      <w:bookmarkStart w:id="153" w:name="_Hlk150647451"/>
      <w:r>
        <w:t>污染</w:t>
      </w:r>
      <w:r>
        <w:rPr>
          <w:rFonts w:hint="eastAsia"/>
        </w:rPr>
        <w:t>物</w:t>
      </w:r>
      <w:r>
        <w:t>源强核算</w:t>
      </w:r>
    </w:p>
    <w:p w14:paraId="7B0E3DFB">
      <w:pPr>
        <w:pStyle w:val="814"/>
        <w:rPr>
          <w:rFonts w:hint="eastAsia"/>
          <w:u w:color="000000"/>
        </w:rPr>
      </w:pPr>
      <w:r>
        <w:rPr>
          <w:rFonts w:hint="eastAsia"/>
          <w:u w:color="000000"/>
        </w:rPr>
        <w:t>煤气冷却单元</w:t>
      </w:r>
    </w:p>
    <w:p w14:paraId="6C6CC902">
      <w:pPr>
        <w:pStyle w:val="281"/>
        <w:ind w:firstLine="480"/>
        <w:rPr>
          <w:szCs w:val="24"/>
          <w:u w:color="000000"/>
        </w:rPr>
      </w:pPr>
      <w:r>
        <w:rPr>
          <w:rFonts w:hint="eastAsia"/>
          <w:szCs w:val="24"/>
          <w:u w:color="000000"/>
        </w:rPr>
        <w:t>（</w:t>
      </w:r>
      <w:r>
        <w:rPr>
          <w:szCs w:val="24"/>
          <w:u w:color="000000"/>
        </w:rPr>
        <w:t>1</w:t>
      </w:r>
      <w:r>
        <w:rPr>
          <w:rFonts w:hint="eastAsia"/>
          <w:szCs w:val="24"/>
          <w:u w:color="000000"/>
        </w:rPr>
        <w:t>）废气</w:t>
      </w:r>
    </w:p>
    <w:p w14:paraId="24683143">
      <w:pPr>
        <w:pStyle w:val="281"/>
        <w:ind w:firstLine="480"/>
        <w:rPr>
          <w:rFonts w:hint="eastAsia" w:ascii="宋体" w:hAnsi="宋体"/>
          <w:szCs w:val="24"/>
          <w:u w:color="000000"/>
        </w:rPr>
      </w:pPr>
      <w:r>
        <w:rPr>
          <w:rFonts w:hint="eastAsia"/>
        </w:rPr>
        <w:t>①汽提尾气（G</w:t>
      </w:r>
      <w:r>
        <w:rPr>
          <w:vertAlign w:val="subscript"/>
        </w:rPr>
        <w:t>2-1</w:t>
      </w:r>
      <w:r>
        <w:rPr>
          <w:rFonts w:hint="eastAsia"/>
        </w:rPr>
        <w:t>）</w:t>
      </w:r>
    </w:p>
    <w:p w14:paraId="4C36A198">
      <w:pPr>
        <w:pStyle w:val="281"/>
        <w:ind w:firstLine="480"/>
      </w:pPr>
      <w:r>
        <w:t>来自各分离器的低温工艺冷凝液与洗氨塔的洗氨水合并后进入低温冷凝液闪蒸槽闪蒸。从冷凝液汽提塔顶部出来的汽提气经汽提气/冷凝液换热器与低温冷凝液换热后，进入汽提气水冷器降温至~90℃后进入汽提气分离器</w:t>
      </w:r>
      <w:r>
        <w:rPr>
          <w:rFonts w:hint="eastAsia"/>
        </w:rPr>
        <w:t>。低温冷凝液</w:t>
      </w:r>
      <w:r>
        <w:t>闪蒸</w:t>
      </w:r>
      <w:r>
        <w:rPr>
          <w:rFonts w:hint="eastAsia"/>
        </w:rPr>
        <w:t>气与冷凝液汽提塔尾气合并</w:t>
      </w:r>
      <w:r>
        <w:t>送锅炉</w:t>
      </w:r>
      <w:r>
        <w:rPr>
          <w:rFonts w:hint="eastAsia"/>
        </w:rPr>
        <w:t>系统。</w:t>
      </w:r>
    </w:p>
    <w:p w14:paraId="66E21E48">
      <w:pPr>
        <w:pStyle w:val="281"/>
        <w:ind w:firstLine="480"/>
        <w:rPr>
          <w:rFonts w:hint="eastAsia" w:ascii="宋体" w:hAnsi="宋体"/>
          <w:szCs w:val="24"/>
          <w:u w:color="000000"/>
        </w:rPr>
      </w:pPr>
      <w:r>
        <w:rPr>
          <w:rFonts w:hint="eastAsia" w:ascii="宋体" w:hAnsi="宋体"/>
          <w:szCs w:val="24"/>
          <w:u w:color="000000"/>
        </w:rPr>
        <w:t>根据物料平衡计算，</w:t>
      </w:r>
      <w:r>
        <w:rPr>
          <w:rFonts w:hint="eastAsia"/>
        </w:rPr>
        <w:t>汽提尾气</w:t>
      </w:r>
      <w:r>
        <w:rPr>
          <w:rFonts w:hint="eastAsia"/>
          <w:u w:color="000000"/>
        </w:rPr>
        <w:t>组分见</w:t>
      </w:r>
      <w:r>
        <w:rPr>
          <w:rFonts w:hint="eastAsia"/>
          <w:szCs w:val="24"/>
          <w:u w:color="000000"/>
        </w:rPr>
        <w:t>下表。</w:t>
      </w:r>
    </w:p>
    <w:p w14:paraId="0BB096BD">
      <w:pPr>
        <w:pStyle w:val="535"/>
        <w:rPr>
          <w:rFonts w:hint="eastAsia"/>
          <w:color w:val="auto"/>
        </w:rPr>
      </w:pPr>
      <w:r>
        <w:rPr>
          <w:rFonts w:hint="eastAsia"/>
        </w:rPr>
        <w:t>表3.2.</w:t>
      </w:r>
      <w:r>
        <w:t>3</w:t>
      </w:r>
      <w:r>
        <w:rPr>
          <w:rFonts w:hint="eastAsia"/>
        </w:rPr>
        <w:t>-25</w:t>
      </w:r>
      <w:r>
        <w:rPr>
          <w:color w:val="auto"/>
        </w:rPr>
        <w:t xml:space="preserve">  </w:t>
      </w:r>
      <w:r>
        <w:rPr>
          <w:rFonts w:hint="eastAsia"/>
          <w:color w:val="auto"/>
        </w:rPr>
        <w:t xml:space="preserve"> </w:t>
      </w:r>
      <w:r>
        <w:rPr>
          <w:rFonts w:hint="eastAsia"/>
        </w:rPr>
        <w:t>汽提尾气</w:t>
      </w:r>
      <w:r>
        <w:rPr>
          <w:rFonts w:hint="eastAsia"/>
          <w:color w:val="auto"/>
        </w:rPr>
        <w:t>组分一览表</w:t>
      </w:r>
    </w:p>
    <w:p w14:paraId="10937754">
      <w:pPr>
        <w:pStyle w:val="281"/>
        <w:ind w:firstLine="480"/>
        <w:rPr>
          <w:szCs w:val="24"/>
          <w:u w:color="000000"/>
        </w:rPr>
      </w:pPr>
      <w:r>
        <w:rPr>
          <w:rFonts w:hint="eastAsia"/>
          <w:szCs w:val="24"/>
          <w:u w:color="000000"/>
        </w:rPr>
        <w:t>（2）废水</w:t>
      </w:r>
    </w:p>
    <w:p w14:paraId="04557A81">
      <w:pPr>
        <w:pStyle w:val="281"/>
        <w:ind w:firstLine="480"/>
        <w:rPr>
          <w:szCs w:val="24"/>
        </w:rPr>
      </w:pPr>
      <w:r>
        <w:rPr>
          <w:rFonts w:hint="eastAsia" w:ascii="宋体" w:hAnsi="宋体"/>
        </w:rPr>
        <w:t>①</w:t>
      </w:r>
      <w:r>
        <w:rPr>
          <w:rFonts w:hint="eastAsia"/>
        </w:rPr>
        <w:t>汽提废水（W</w:t>
      </w:r>
      <w:r>
        <w:rPr>
          <w:vertAlign w:val="subscript"/>
        </w:rPr>
        <w:t>2-1</w:t>
      </w:r>
      <w:r>
        <w:rPr>
          <w:rFonts w:hint="eastAsia"/>
        </w:rPr>
        <w:t>）</w:t>
      </w:r>
    </w:p>
    <w:p w14:paraId="5E49680D">
      <w:pPr>
        <w:pStyle w:val="281"/>
        <w:ind w:firstLine="480"/>
      </w:pPr>
      <w:r>
        <w:t>来自各分离器的低温工艺冷凝液与洗氨塔的洗氨水合并后进入低温冷凝液闪蒸槽闪蒸。从冷凝液汽提塔顶部出来的汽提气经汽提气/冷凝液换热器与低温冷凝液换热后，进入汽提气水冷器降温至~90℃后进入汽提气分离器</w:t>
      </w:r>
      <w:r>
        <w:rPr>
          <w:rFonts w:hint="eastAsia"/>
        </w:rPr>
        <w:t>。根据物料衡算，汽提废水</w:t>
      </w:r>
      <w:r>
        <w:rPr>
          <w:lang w:bidi="en-US"/>
        </w:rPr>
        <w:t>产生量</w:t>
      </w:r>
      <w:r>
        <w:rPr>
          <w:rFonts w:hint="eastAsia"/>
          <w:lang w:bidi="en-US"/>
        </w:rPr>
        <w:t>为1750</w:t>
      </w:r>
      <w:r>
        <w:rPr>
          <w:rFonts w:hint="eastAsia"/>
        </w:rPr>
        <w:t>kg</w:t>
      </w:r>
      <w:r>
        <w:t>/h。</w:t>
      </w:r>
    </w:p>
    <w:p w14:paraId="4129959C">
      <w:pPr>
        <w:pStyle w:val="281"/>
        <w:ind w:firstLine="480"/>
      </w:pPr>
      <w:r>
        <w:rPr>
          <w:rFonts w:hint="eastAsia" w:ascii="宋体" w:hAnsi="宋体"/>
          <w:szCs w:val="24"/>
        </w:rPr>
        <w:t>②</w:t>
      </w:r>
      <w:r>
        <w:rPr>
          <w:rFonts w:hint="eastAsia"/>
        </w:rPr>
        <w:t>汽包排污水（W</w:t>
      </w:r>
      <w:r>
        <w:rPr>
          <w:vertAlign w:val="subscript"/>
        </w:rPr>
        <w:t>2-2</w:t>
      </w:r>
      <w:r>
        <w:rPr>
          <w:rFonts w:hint="eastAsia"/>
        </w:rPr>
        <w:t>）</w:t>
      </w:r>
    </w:p>
    <w:p w14:paraId="735D682C">
      <w:pPr>
        <w:pStyle w:val="281"/>
        <w:ind w:firstLine="480"/>
        <w:rPr>
          <w:szCs w:val="24"/>
        </w:rPr>
      </w:pPr>
      <w:r>
        <w:rPr>
          <w:rFonts w:hint="eastAsia"/>
          <w:szCs w:val="24"/>
        </w:rPr>
        <w:t>汽包排污水产生量为100</w:t>
      </w:r>
      <w:r>
        <w:rPr>
          <w:rFonts w:hint="eastAsia"/>
        </w:rPr>
        <w:t>kg/</w:t>
      </w:r>
      <w:r>
        <w:t>h</w:t>
      </w:r>
      <w:r>
        <w:rPr>
          <w:rFonts w:hint="eastAsia"/>
          <w:szCs w:val="24"/>
        </w:rPr>
        <w:t>，产生源强</w:t>
      </w:r>
      <w:r>
        <w:rPr>
          <w:rFonts w:hint="eastAsia"/>
        </w:rPr>
        <w:t>类比《新疆新昊化工有限公司资源清洁利用绿色低碳多联产项目环境影响报告书》，</w:t>
      </w:r>
      <w:r>
        <w:rPr>
          <w:rFonts w:hint="eastAsia"/>
          <w:szCs w:val="24"/>
        </w:rPr>
        <w:t>主要污染物是</w:t>
      </w:r>
      <w:r>
        <w:rPr>
          <w:szCs w:val="24"/>
        </w:rPr>
        <w:t>COD</w:t>
      </w:r>
      <w:r>
        <w:rPr>
          <w:rFonts w:hint="eastAsia"/>
          <w:szCs w:val="24"/>
        </w:rPr>
        <w:t>、</w:t>
      </w:r>
      <w:r>
        <w:rPr>
          <w:szCs w:val="24"/>
        </w:rPr>
        <w:t>SS</w:t>
      </w:r>
      <w:r>
        <w:rPr>
          <w:rFonts w:hint="eastAsia"/>
          <w:szCs w:val="24"/>
        </w:rPr>
        <w:t>，送气化装置。</w:t>
      </w:r>
    </w:p>
    <w:p w14:paraId="61724C67">
      <w:pPr>
        <w:pStyle w:val="281"/>
        <w:ind w:firstLine="480"/>
        <w:rPr>
          <w:szCs w:val="24"/>
        </w:rPr>
      </w:pPr>
      <w:r>
        <w:rPr>
          <w:rFonts w:hint="eastAsia"/>
          <w:szCs w:val="24"/>
        </w:rPr>
        <w:t>③地面冲洗水（</w:t>
      </w:r>
      <w:r>
        <w:rPr>
          <w:rFonts w:hint="eastAsia"/>
        </w:rPr>
        <w:t>W</w:t>
      </w:r>
      <w:r>
        <w:rPr>
          <w:vertAlign w:val="subscript"/>
        </w:rPr>
        <w:t>2-</w:t>
      </w:r>
      <w:r>
        <w:rPr>
          <w:rFonts w:hint="eastAsia"/>
          <w:vertAlign w:val="subscript"/>
        </w:rPr>
        <w:t>3</w:t>
      </w:r>
      <w:r>
        <w:rPr>
          <w:rFonts w:hint="eastAsia"/>
          <w:szCs w:val="24"/>
        </w:rPr>
        <w:t>）</w:t>
      </w:r>
    </w:p>
    <w:p w14:paraId="78EA0553">
      <w:pPr>
        <w:pStyle w:val="281"/>
        <w:ind w:firstLine="480"/>
      </w:pPr>
      <w:r>
        <w:rPr>
          <w:rFonts w:hint="eastAsia"/>
          <w:szCs w:val="24"/>
        </w:rPr>
        <w:t>类比同类项目，煤气冷却单元地面冲洗水产生量为500</w:t>
      </w:r>
      <w:r>
        <w:rPr>
          <w:rFonts w:hint="eastAsia"/>
        </w:rPr>
        <w:t>kg/</w:t>
      </w:r>
      <w:r>
        <w:t>h</w:t>
      </w:r>
      <w:r>
        <w:rPr>
          <w:rFonts w:hint="eastAsia"/>
          <w:szCs w:val="24"/>
        </w:rPr>
        <w:t>，间断产生，</w:t>
      </w:r>
      <w:r>
        <w:rPr>
          <w:szCs w:val="24"/>
        </w:rPr>
        <w:t>排入厂区污水处理站统一处理</w:t>
      </w:r>
      <w:r>
        <w:rPr>
          <w:rFonts w:hint="eastAsia"/>
          <w:szCs w:val="24"/>
        </w:rPr>
        <w:t>。煤气冷却单元</w:t>
      </w:r>
      <w:r>
        <w:rPr>
          <w:rFonts w:hint="eastAsia"/>
          <w:u w:color="000000"/>
        </w:rPr>
        <w:t>废水</w:t>
      </w:r>
      <w:r>
        <w:rPr>
          <w:bCs/>
        </w:rPr>
        <w:t>源强核算结果具体见</w:t>
      </w:r>
      <w:r>
        <w:rPr>
          <w:rFonts w:hint="eastAsia"/>
        </w:rPr>
        <w:t>表</w:t>
      </w:r>
      <w:r>
        <w:t>3.2.</w:t>
      </w:r>
      <w:r>
        <w:rPr>
          <w:rFonts w:hint="eastAsia"/>
        </w:rPr>
        <w:t>3</w:t>
      </w:r>
      <w:r>
        <w:t>-</w:t>
      </w:r>
      <w:r>
        <w:rPr>
          <w:rFonts w:hint="eastAsia"/>
        </w:rPr>
        <w:t>26。</w:t>
      </w:r>
    </w:p>
    <w:p w14:paraId="44DB2F4C">
      <w:pPr>
        <w:pStyle w:val="541"/>
        <w:rPr>
          <w:rFonts w:hint="eastAsia"/>
        </w:rPr>
      </w:pPr>
      <w:r>
        <w:rPr>
          <w:rFonts w:hint="eastAsia"/>
        </w:rPr>
        <w:t>表</w:t>
      </w:r>
      <w:r>
        <w:t>3.2.</w:t>
      </w:r>
      <w:r>
        <w:rPr>
          <w:rFonts w:hint="eastAsia"/>
        </w:rPr>
        <w:t>3</w:t>
      </w:r>
      <w:r>
        <w:t>-</w:t>
      </w:r>
      <w:r>
        <w:rPr>
          <w:rFonts w:hint="eastAsia"/>
        </w:rPr>
        <w:t xml:space="preserve">26   </w:t>
      </w:r>
      <w:r>
        <w:t xml:space="preserve"> </w:t>
      </w:r>
      <w:r>
        <w:rPr>
          <w:rFonts w:hint="eastAsia"/>
        </w:rPr>
        <w:t>煤气冷却单元废水污染源源强核算结果一览表</w:t>
      </w:r>
    </w:p>
    <w:p w14:paraId="27B2510D">
      <w:pPr>
        <w:pStyle w:val="281"/>
        <w:ind w:firstLine="480"/>
        <w:rPr>
          <w:szCs w:val="24"/>
          <w:u w:color="000000"/>
        </w:rPr>
      </w:pPr>
      <w:r>
        <w:rPr>
          <w:rFonts w:hint="eastAsia"/>
          <w:szCs w:val="24"/>
          <w:u w:color="000000"/>
        </w:rPr>
        <w:t>（3）噪声</w:t>
      </w:r>
    </w:p>
    <w:p w14:paraId="7EDC1C69">
      <w:pPr>
        <w:pStyle w:val="281"/>
        <w:ind w:firstLine="480"/>
        <w:rPr>
          <w:u w:color="000000"/>
        </w:rPr>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0dB之间，此类噪声为连续噪声源。各设备噪声源强参照《污染源源强核算技术指南 化肥工业》（HJ994-2018）附表B。</w:t>
      </w:r>
    </w:p>
    <w:p w14:paraId="5D3AED4A">
      <w:pPr>
        <w:pStyle w:val="281"/>
        <w:ind w:firstLine="480"/>
        <w:rPr>
          <w:u w:color="000000"/>
        </w:rPr>
      </w:pPr>
      <w:r>
        <w:rPr>
          <w:rFonts w:hint="eastAsia"/>
          <w:u w:color="000000"/>
        </w:rPr>
        <w:t>煤气冷却单元主要噪声源及治理情况见</w:t>
      </w:r>
      <w:r>
        <w:rPr>
          <w:rFonts w:hint="eastAsia"/>
        </w:rPr>
        <w:t>表3.2.</w:t>
      </w:r>
      <w:r>
        <w:t>3</w:t>
      </w:r>
      <w:r>
        <w:rPr>
          <w:rFonts w:hint="eastAsia"/>
        </w:rPr>
        <w:t>-27。</w:t>
      </w:r>
    </w:p>
    <w:p w14:paraId="38AE278B">
      <w:pPr>
        <w:pStyle w:val="541"/>
        <w:rPr>
          <w:rFonts w:hint="eastAsia"/>
          <w:u w:color="000000"/>
        </w:rPr>
      </w:pPr>
      <w:r>
        <w:rPr>
          <w:rFonts w:hint="eastAsia"/>
        </w:rPr>
        <w:t>表3.2.</w:t>
      </w:r>
      <w:r>
        <w:t>3</w:t>
      </w:r>
      <w:r>
        <w:rPr>
          <w:rFonts w:hint="eastAsia"/>
        </w:rPr>
        <w:t xml:space="preserve">-27 </w:t>
      </w:r>
      <w:r>
        <w:rPr>
          <w:u w:color="000000"/>
        </w:rPr>
        <w:t xml:space="preserve">   </w:t>
      </w:r>
      <w:r>
        <w:rPr>
          <w:rFonts w:hint="eastAsia"/>
          <w:u w:color="000000"/>
        </w:rPr>
        <w:t>煤气冷却单元噪声污染源一览表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850"/>
        <w:gridCol w:w="567"/>
        <w:gridCol w:w="709"/>
        <w:gridCol w:w="850"/>
        <w:gridCol w:w="851"/>
        <w:gridCol w:w="1527"/>
        <w:gridCol w:w="549"/>
        <w:gridCol w:w="692"/>
        <w:gridCol w:w="692"/>
        <w:gridCol w:w="692"/>
      </w:tblGrid>
      <w:tr w14:paraId="574F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vMerge w:val="restart"/>
            <w:tcBorders>
              <w:top w:val="single" w:color="auto" w:sz="4" w:space="0"/>
              <w:left w:val="single" w:color="auto" w:sz="4" w:space="0"/>
              <w:right w:val="single" w:color="auto" w:sz="4" w:space="0"/>
            </w:tcBorders>
            <w:vAlign w:val="center"/>
          </w:tcPr>
          <w:p w14:paraId="0C2FDC69">
            <w:pPr>
              <w:jc w:val="center"/>
              <w:rPr>
                <w:rFonts w:ascii="Times New Roman" w:hAnsi="Times New Roman" w:cs="Times New Roman"/>
                <w:sz w:val="18"/>
                <w:szCs w:val="18"/>
              </w:rPr>
            </w:pPr>
            <w:r>
              <w:rPr>
                <w:rFonts w:ascii="Times New Roman" w:hAnsi="Times New Roman" w:cs="Times New Roman"/>
                <w:sz w:val="18"/>
                <w:szCs w:val="18"/>
              </w:rPr>
              <w:t>编号</w:t>
            </w:r>
          </w:p>
        </w:tc>
        <w:tc>
          <w:tcPr>
            <w:tcW w:w="850" w:type="dxa"/>
            <w:vMerge w:val="restart"/>
            <w:tcBorders>
              <w:top w:val="single" w:color="auto" w:sz="4" w:space="0"/>
              <w:left w:val="single" w:color="auto" w:sz="4" w:space="0"/>
              <w:right w:val="single" w:color="auto" w:sz="4" w:space="0"/>
            </w:tcBorders>
            <w:vAlign w:val="center"/>
          </w:tcPr>
          <w:p w14:paraId="2327649D">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67" w:type="dxa"/>
            <w:vMerge w:val="restart"/>
            <w:tcBorders>
              <w:top w:val="single" w:color="auto" w:sz="4" w:space="0"/>
              <w:left w:val="single" w:color="auto" w:sz="4" w:space="0"/>
              <w:right w:val="single" w:color="auto" w:sz="4" w:space="0"/>
            </w:tcBorders>
            <w:vAlign w:val="center"/>
          </w:tcPr>
          <w:p w14:paraId="394BA4EA">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709" w:type="dxa"/>
            <w:vMerge w:val="restart"/>
            <w:tcBorders>
              <w:top w:val="single" w:color="auto" w:sz="4" w:space="0"/>
              <w:left w:val="single" w:color="auto" w:sz="4" w:space="0"/>
              <w:right w:val="single" w:color="auto" w:sz="4" w:space="0"/>
            </w:tcBorders>
            <w:vAlign w:val="center"/>
          </w:tcPr>
          <w:p w14:paraId="26028298">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958D60A">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076" w:type="dxa"/>
            <w:gridSpan w:val="2"/>
            <w:tcBorders>
              <w:top w:val="single" w:color="auto" w:sz="4" w:space="0"/>
              <w:left w:val="single" w:color="auto" w:sz="4" w:space="0"/>
              <w:right w:val="single" w:color="auto" w:sz="4" w:space="0"/>
            </w:tcBorders>
            <w:vAlign w:val="center"/>
          </w:tcPr>
          <w:p w14:paraId="701808C9">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384" w:type="dxa"/>
            <w:gridSpan w:val="2"/>
            <w:tcBorders>
              <w:top w:val="single" w:color="auto" w:sz="4" w:space="0"/>
              <w:left w:val="single" w:color="auto" w:sz="4" w:space="0"/>
              <w:right w:val="single" w:color="auto" w:sz="4" w:space="0"/>
            </w:tcBorders>
            <w:vAlign w:val="center"/>
          </w:tcPr>
          <w:p w14:paraId="6515E7FA">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92" w:type="dxa"/>
            <w:vMerge w:val="restart"/>
            <w:tcBorders>
              <w:top w:val="single" w:color="auto" w:sz="4" w:space="0"/>
              <w:left w:val="single" w:color="auto" w:sz="4" w:space="0"/>
              <w:right w:val="single" w:color="auto" w:sz="4" w:space="0"/>
            </w:tcBorders>
            <w:vAlign w:val="center"/>
          </w:tcPr>
          <w:p w14:paraId="14713D76">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26A6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vMerge w:val="continue"/>
            <w:tcBorders>
              <w:left w:val="single" w:color="auto" w:sz="4" w:space="0"/>
              <w:bottom w:val="single" w:color="auto" w:sz="4" w:space="0"/>
              <w:right w:val="single" w:color="auto" w:sz="4" w:space="0"/>
            </w:tcBorders>
            <w:vAlign w:val="center"/>
          </w:tcPr>
          <w:p w14:paraId="227916F1">
            <w:pPr>
              <w:jc w:val="center"/>
              <w:rPr>
                <w:rFonts w:ascii="Times New Roman" w:hAnsi="Times New Roman" w:cs="Times New Roman"/>
                <w:sz w:val="18"/>
                <w:szCs w:val="18"/>
              </w:rPr>
            </w:pPr>
          </w:p>
        </w:tc>
        <w:tc>
          <w:tcPr>
            <w:tcW w:w="850" w:type="dxa"/>
            <w:vMerge w:val="continue"/>
            <w:tcBorders>
              <w:left w:val="single" w:color="auto" w:sz="4" w:space="0"/>
              <w:bottom w:val="single" w:color="auto" w:sz="4" w:space="0"/>
              <w:right w:val="single" w:color="auto" w:sz="4" w:space="0"/>
            </w:tcBorders>
            <w:vAlign w:val="center"/>
          </w:tcPr>
          <w:p w14:paraId="1A71F2C5">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207B3387">
            <w:pPr>
              <w:jc w:val="center"/>
              <w:rPr>
                <w:rFonts w:ascii="Times New Roman" w:hAnsi="Times New Roman" w:cs="Times New Roman"/>
                <w:sz w:val="18"/>
                <w:szCs w:val="18"/>
              </w:rPr>
            </w:pPr>
          </w:p>
        </w:tc>
        <w:tc>
          <w:tcPr>
            <w:tcW w:w="709" w:type="dxa"/>
            <w:vMerge w:val="continue"/>
            <w:tcBorders>
              <w:left w:val="single" w:color="auto" w:sz="4" w:space="0"/>
              <w:bottom w:val="single" w:color="auto" w:sz="4" w:space="0"/>
              <w:right w:val="single" w:color="auto" w:sz="4" w:space="0"/>
            </w:tcBorders>
            <w:vAlign w:val="center"/>
          </w:tcPr>
          <w:p w14:paraId="31749238">
            <w:pPr>
              <w:jc w:val="center"/>
              <w:rPr>
                <w:rFonts w:ascii="Times New Roman" w:hAnsi="Times New Roman" w:cs="Times New Roman"/>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14:paraId="601A2F74">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51" w:type="dxa"/>
            <w:tcBorders>
              <w:top w:val="single" w:color="auto" w:sz="4" w:space="0"/>
              <w:left w:val="single" w:color="auto" w:sz="4" w:space="0"/>
              <w:bottom w:val="single" w:color="auto" w:sz="4" w:space="0"/>
              <w:right w:val="single" w:color="auto" w:sz="4" w:space="0"/>
            </w:tcBorders>
            <w:vAlign w:val="center"/>
          </w:tcPr>
          <w:p w14:paraId="679B6F6C">
            <w:pPr>
              <w:jc w:val="center"/>
              <w:rPr>
                <w:rFonts w:ascii="Times New Roman" w:hAnsi="Times New Roman" w:cs="Times New Roman"/>
                <w:sz w:val="18"/>
                <w:szCs w:val="18"/>
              </w:rPr>
            </w:pPr>
            <w:r>
              <w:rPr>
                <w:rFonts w:ascii="Times New Roman" w:hAnsi="Times New Roman" w:cs="Times New Roman"/>
                <w:sz w:val="18"/>
                <w:szCs w:val="18"/>
              </w:rPr>
              <w:t>声源表</w:t>
            </w:r>
          </w:p>
          <w:p w14:paraId="510E6CDB">
            <w:pPr>
              <w:jc w:val="center"/>
              <w:rPr>
                <w:rFonts w:ascii="Times New Roman" w:hAnsi="Times New Roman" w:cs="Times New Roman"/>
                <w:sz w:val="18"/>
                <w:szCs w:val="18"/>
              </w:rPr>
            </w:pPr>
            <w:r>
              <w:rPr>
                <w:rFonts w:ascii="Times New Roman" w:hAnsi="Times New Roman" w:cs="Times New Roman"/>
                <w:sz w:val="18"/>
                <w:szCs w:val="18"/>
              </w:rPr>
              <w:t>达量dB(A</w:t>
            </w:r>
            <w:r>
              <w:rPr>
                <w:rFonts w:hint="eastAsia" w:ascii="Times New Roman" w:hAnsi="Times New Roman" w:cs="Times New Roman"/>
                <w:sz w:val="18"/>
                <w:szCs w:val="18"/>
              </w:rPr>
              <w:t>）</w:t>
            </w:r>
          </w:p>
        </w:tc>
        <w:tc>
          <w:tcPr>
            <w:tcW w:w="1527" w:type="dxa"/>
            <w:tcBorders>
              <w:left w:val="single" w:color="auto" w:sz="4" w:space="0"/>
              <w:bottom w:val="single" w:color="auto" w:sz="4" w:space="0"/>
              <w:right w:val="single" w:color="auto" w:sz="4" w:space="0"/>
            </w:tcBorders>
            <w:vAlign w:val="center"/>
          </w:tcPr>
          <w:p w14:paraId="3172F99B">
            <w:pPr>
              <w:jc w:val="center"/>
              <w:rPr>
                <w:rFonts w:ascii="Times New Roman" w:hAnsi="Times New Roman" w:cs="Times New Roman"/>
                <w:sz w:val="18"/>
                <w:szCs w:val="18"/>
              </w:rPr>
            </w:pPr>
            <w:r>
              <w:rPr>
                <w:rFonts w:ascii="Times New Roman" w:hAnsi="Times New Roman" w:cs="Times New Roman"/>
                <w:sz w:val="18"/>
                <w:szCs w:val="18"/>
              </w:rPr>
              <w:t>工艺</w:t>
            </w:r>
          </w:p>
        </w:tc>
        <w:tc>
          <w:tcPr>
            <w:tcW w:w="549" w:type="dxa"/>
            <w:tcBorders>
              <w:left w:val="single" w:color="auto" w:sz="4" w:space="0"/>
              <w:bottom w:val="single" w:color="auto" w:sz="4" w:space="0"/>
              <w:right w:val="single" w:color="auto" w:sz="4" w:space="0"/>
            </w:tcBorders>
            <w:vAlign w:val="center"/>
          </w:tcPr>
          <w:p w14:paraId="22DE864D">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92" w:type="dxa"/>
            <w:tcBorders>
              <w:left w:val="single" w:color="auto" w:sz="4" w:space="0"/>
              <w:bottom w:val="single" w:color="auto" w:sz="4" w:space="0"/>
              <w:right w:val="single" w:color="auto" w:sz="4" w:space="0"/>
            </w:tcBorders>
            <w:vAlign w:val="center"/>
          </w:tcPr>
          <w:p w14:paraId="4DD30D64">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692" w:type="dxa"/>
            <w:tcBorders>
              <w:left w:val="single" w:color="auto" w:sz="4" w:space="0"/>
              <w:bottom w:val="single" w:color="auto" w:sz="4" w:space="0"/>
              <w:right w:val="single" w:color="auto" w:sz="4" w:space="0"/>
            </w:tcBorders>
            <w:vAlign w:val="center"/>
          </w:tcPr>
          <w:p w14:paraId="34B591DE">
            <w:pPr>
              <w:jc w:val="center"/>
              <w:rPr>
                <w:rFonts w:ascii="Times New Roman" w:hAnsi="Times New Roman" w:cs="Times New Roman"/>
                <w:sz w:val="18"/>
                <w:szCs w:val="18"/>
              </w:rPr>
            </w:pPr>
            <w:r>
              <w:rPr>
                <w:rFonts w:ascii="Times New Roman" w:hAnsi="Times New Roman" w:cs="Times New Roman"/>
                <w:sz w:val="18"/>
                <w:szCs w:val="18"/>
              </w:rPr>
              <w:t>声源表</w:t>
            </w:r>
          </w:p>
          <w:p w14:paraId="34A9B1A3">
            <w:pPr>
              <w:jc w:val="center"/>
              <w:rPr>
                <w:rFonts w:ascii="Times New Roman" w:hAnsi="Times New Roman" w:cs="Times New Roman"/>
                <w:sz w:val="18"/>
                <w:szCs w:val="18"/>
              </w:rPr>
            </w:pPr>
            <w:r>
              <w:rPr>
                <w:rFonts w:ascii="Times New Roman" w:hAnsi="Times New Roman" w:cs="Times New Roman"/>
                <w:sz w:val="18"/>
                <w:szCs w:val="18"/>
              </w:rPr>
              <w:t>达量</w:t>
            </w:r>
          </w:p>
          <w:p w14:paraId="6D1098B2">
            <w:pPr>
              <w:jc w:val="center"/>
              <w:rPr>
                <w:rFonts w:ascii="Times New Roman" w:hAnsi="Times New Roman" w:cs="Times New Roman"/>
                <w:sz w:val="18"/>
                <w:szCs w:val="18"/>
              </w:rPr>
            </w:pPr>
            <w:r>
              <w:rPr>
                <w:rFonts w:ascii="Times New Roman" w:hAnsi="Times New Roman" w:cs="Times New Roman"/>
                <w:sz w:val="18"/>
                <w:szCs w:val="18"/>
              </w:rPr>
              <w:t>dB(A</w:t>
            </w:r>
            <w:r>
              <w:rPr>
                <w:rFonts w:hint="eastAsia" w:ascii="Times New Roman" w:hAnsi="Times New Roman" w:cs="Times New Roman"/>
                <w:sz w:val="18"/>
                <w:szCs w:val="18"/>
              </w:rPr>
              <w:t>）</w:t>
            </w:r>
          </w:p>
        </w:tc>
        <w:tc>
          <w:tcPr>
            <w:tcW w:w="692" w:type="dxa"/>
            <w:vMerge w:val="continue"/>
            <w:tcBorders>
              <w:left w:val="single" w:color="auto" w:sz="4" w:space="0"/>
              <w:bottom w:val="single" w:color="auto" w:sz="4" w:space="0"/>
              <w:right w:val="single" w:color="auto" w:sz="4" w:space="0"/>
            </w:tcBorders>
            <w:vAlign w:val="center"/>
          </w:tcPr>
          <w:p w14:paraId="30BEE6BE">
            <w:pPr>
              <w:jc w:val="center"/>
              <w:rPr>
                <w:rFonts w:ascii="Times New Roman" w:hAnsi="Times New Roman" w:cs="Times New Roman"/>
                <w:sz w:val="18"/>
                <w:szCs w:val="18"/>
              </w:rPr>
            </w:pPr>
          </w:p>
        </w:tc>
      </w:tr>
      <w:tr w14:paraId="0A60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67307C71">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2-1</w:t>
            </w:r>
          </w:p>
        </w:tc>
        <w:tc>
          <w:tcPr>
            <w:tcW w:w="850" w:type="dxa"/>
            <w:tcBorders>
              <w:left w:val="single" w:color="auto" w:sz="4" w:space="0"/>
              <w:bottom w:val="single" w:color="auto" w:sz="4" w:space="0"/>
              <w:right w:val="single" w:color="auto" w:sz="4" w:space="0"/>
            </w:tcBorders>
            <w:vAlign w:val="center"/>
          </w:tcPr>
          <w:p w14:paraId="4A22F901">
            <w:pPr>
              <w:jc w:val="center"/>
              <w:rPr>
                <w:rFonts w:ascii="Times New Roman" w:hAnsi="Times New Roman" w:cs="Times New Roman"/>
                <w:sz w:val="18"/>
                <w:szCs w:val="18"/>
              </w:rPr>
            </w:pPr>
            <w:r>
              <w:rPr>
                <w:rFonts w:ascii="Times New Roman" w:hAnsi="Times New Roman" w:cs="Times New Roman"/>
                <w:sz w:val="18"/>
                <w:szCs w:val="18"/>
              </w:rPr>
              <w:t>风机</w:t>
            </w:r>
          </w:p>
        </w:tc>
        <w:tc>
          <w:tcPr>
            <w:tcW w:w="567" w:type="dxa"/>
            <w:tcBorders>
              <w:left w:val="single" w:color="auto" w:sz="4" w:space="0"/>
              <w:bottom w:val="single" w:color="auto" w:sz="4" w:space="0"/>
              <w:right w:val="single" w:color="auto" w:sz="4" w:space="0"/>
            </w:tcBorders>
            <w:vAlign w:val="center"/>
          </w:tcPr>
          <w:p w14:paraId="3AB7822A">
            <w:pPr>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Borders>
              <w:left w:val="single" w:color="auto" w:sz="4" w:space="0"/>
              <w:bottom w:val="single" w:color="auto" w:sz="4" w:space="0"/>
              <w:right w:val="single" w:color="auto" w:sz="4" w:space="0"/>
            </w:tcBorders>
            <w:vAlign w:val="center"/>
          </w:tcPr>
          <w:p w14:paraId="2D096731">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5CC885C9">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13C158B3">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7B7474FC">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549" w:type="dxa"/>
            <w:tcBorders>
              <w:left w:val="single" w:color="auto" w:sz="4" w:space="0"/>
              <w:bottom w:val="single" w:color="auto" w:sz="4" w:space="0"/>
              <w:right w:val="single" w:color="auto" w:sz="4" w:space="0"/>
            </w:tcBorders>
            <w:vAlign w:val="center"/>
          </w:tcPr>
          <w:p w14:paraId="3DB8DCF6">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7801951E">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6FC2923D">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16710F32">
            <w:pPr>
              <w:jc w:val="center"/>
              <w:rPr>
                <w:rFonts w:ascii="Times New Roman" w:hAnsi="Times New Roman" w:cs="Times New Roman"/>
                <w:sz w:val="18"/>
                <w:szCs w:val="18"/>
              </w:rPr>
            </w:pPr>
            <w:r>
              <w:rPr>
                <w:rFonts w:ascii="Times New Roman" w:hAnsi="Times New Roman" w:cs="Times New Roman"/>
                <w:sz w:val="18"/>
                <w:szCs w:val="18"/>
              </w:rPr>
              <w:t>8000</w:t>
            </w:r>
          </w:p>
        </w:tc>
      </w:tr>
      <w:tr w14:paraId="5EEF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39E66A40">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2-2</w:t>
            </w:r>
          </w:p>
        </w:tc>
        <w:tc>
          <w:tcPr>
            <w:tcW w:w="850" w:type="dxa"/>
            <w:tcBorders>
              <w:left w:val="single" w:color="auto" w:sz="4" w:space="0"/>
              <w:bottom w:val="single" w:color="auto" w:sz="4" w:space="0"/>
              <w:right w:val="single" w:color="auto" w:sz="4" w:space="0"/>
            </w:tcBorders>
            <w:vAlign w:val="center"/>
          </w:tcPr>
          <w:p w14:paraId="5786E0F5">
            <w:pPr>
              <w:jc w:val="center"/>
              <w:rPr>
                <w:rFonts w:ascii="Times New Roman" w:hAnsi="Times New Roman" w:cs="Times New Roman"/>
                <w:sz w:val="18"/>
                <w:szCs w:val="18"/>
              </w:rPr>
            </w:pPr>
            <w:r>
              <w:rPr>
                <w:rFonts w:ascii="Times New Roman" w:hAnsi="Times New Roman" w:cs="Times New Roman"/>
                <w:sz w:val="18"/>
                <w:szCs w:val="18"/>
              </w:rPr>
              <w:t>机泵</w:t>
            </w:r>
          </w:p>
        </w:tc>
        <w:tc>
          <w:tcPr>
            <w:tcW w:w="567" w:type="dxa"/>
            <w:tcBorders>
              <w:left w:val="single" w:color="auto" w:sz="4" w:space="0"/>
              <w:bottom w:val="single" w:color="auto" w:sz="4" w:space="0"/>
              <w:right w:val="single" w:color="auto" w:sz="4" w:space="0"/>
            </w:tcBorders>
            <w:vAlign w:val="center"/>
          </w:tcPr>
          <w:p w14:paraId="6C70EA52">
            <w:pPr>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709" w:type="dxa"/>
            <w:tcBorders>
              <w:left w:val="single" w:color="auto" w:sz="4" w:space="0"/>
              <w:bottom w:val="single" w:color="auto" w:sz="4" w:space="0"/>
              <w:right w:val="single" w:color="auto" w:sz="4" w:space="0"/>
            </w:tcBorders>
            <w:vAlign w:val="center"/>
          </w:tcPr>
          <w:p w14:paraId="42DA4B64">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4B8B220E">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33A64E0D">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0E0D0FD5">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549" w:type="dxa"/>
            <w:tcBorders>
              <w:left w:val="single" w:color="auto" w:sz="4" w:space="0"/>
              <w:bottom w:val="single" w:color="auto" w:sz="4" w:space="0"/>
              <w:right w:val="single" w:color="auto" w:sz="4" w:space="0"/>
            </w:tcBorders>
            <w:vAlign w:val="center"/>
          </w:tcPr>
          <w:p w14:paraId="26252051">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79559744">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639915B8">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02E3242A">
            <w:pPr>
              <w:jc w:val="center"/>
              <w:rPr>
                <w:rFonts w:ascii="Times New Roman" w:hAnsi="Times New Roman" w:cs="Times New Roman"/>
                <w:sz w:val="18"/>
                <w:szCs w:val="18"/>
              </w:rPr>
            </w:pPr>
            <w:r>
              <w:rPr>
                <w:rFonts w:ascii="Times New Roman" w:hAnsi="Times New Roman" w:cs="Times New Roman"/>
                <w:sz w:val="18"/>
                <w:szCs w:val="18"/>
              </w:rPr>
              <w:t>8000</w:t>
            </w:r>
          </w:p>
        </w:tc>
      </w:tr>
    </w:tbl>
    <w:p w14:paraId="1649957B">
      <w:pPr>
        <w:pStyle w:val="281"/>
        <w:ind w:firstLine="480"/>
        <w:rPr>
          <w:szCs w:val="24"/>
          <w:u w:color="000000"/>
        </w:rPr>
      </w:pPr>
      <w:r>
        <w:rPr>
          <w:rFonts w:hint="eastAsia"/>
          <w:szCs w:val="24"/>
          <w:u w:color="000000"/>
        </w:rPr>
        <w:t>（4）固废</w:t>
      </w:r>
    </w:p>
    <w:p w14:paraId="1FF84BDA">
      <w:pPr>
        <w:pStyle w:val="281"/>
        <w:ind w:firstLine="480"/>
      </w:pPr>
      <w:r>
        <w:rPr>
          <w:rFonts w:hint="eastAsia"/>
        </w:rPr>
        <w:t>煤气冷却单元固废主要为废脱毒剂、废催化剂、废水解剂等。煤气冷却</w:t>
      </w:r>
      <w:r>
        <w:t>单元</w:t>
      </w:r>
      <w:r>
        <w:rPr>
          <w:rFonts w:hint="eastAsia"/>
        </w:rPr>
        <w:t>固废产排情况见表3.2.</w:t>
      </w:r>
      <w:r>
        <w:t>3</w:t>
      </w:r>
      <w:r>
        <w:rPr>
          <w:rFonts w:hint="eastAsia"/>
        </w:rPr>
        <w:t>-28。</w:t>
      </w:r>
    </w:p>
    <w:p w14:paraId="1382BE91">
      <w:pPr>
        <w:pStyle w:val="535"/>
        <w:rPr>
          <w:rFonts w:hint="eastAsia" w:ascii="宋体" w:hAnsi="宋体"/>
          <w:bCs/>
          <w:color w:val="auto"/>
        </w:rPr>
      </w:pPr>
      <w:r>
        <w:rPr>
          <w:rFonts w:hint="eastAsia"/>
        </w:rPr>
        <w:t>表3.2.</w:t>
      </w:r>
      <w:r>
        <w:t>3</w:t>
      </w:r>
      <w:r>
        <w:rPr>
          <w:rFonts w:hint="eastAsia"/>
        </w:rPr>
        <w:t xml:space="preserve">-28 </w:t>
      </w:r>
      <w:r>
        <w:rPr>
          <w:color w:val="auto"/>
          <w:u w:color="000000"/>
        </w:rPr>
        <w:t xml:space="preserve">  </w:t>
      </w:r>
      <w:r>
        <w:rPr>
          <w:rFonts w:hint="eastAsia"/>
          <w:u w:color="000000"/>
        </w:rPr>
        <w:t>煤气冷却单元</w:t>
      </w:r>
      <w:r>
        <w:rPr>
          <w:rFonts w:hint="eastAsia"/>
          <w:color w:val="auto"/>
        </w:rPr>
        <w:t>固体废物污染源源强核算</w:t>
      </w:r>
      <w:r>
        <w:rPr>
          <w:rFonts w:hint="eastAsia"/>
          <w:color w:val="auto"/>
          <w:u w:color="000000"/>
        </w:rPr>
        <w:t>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96"/>
        <w:gridCol w:w="1631"/>
        <w:gridCol w:w="850"/>
        <w:gridCol w:w="1843"/>
        <w:gridCol w:w="1134"/>
        <w:gridCol w:w="1417"/>
        <w:gridCol w:w="1034"/>
      </w:tblGrid>
      <w:tr w14:paraId="38BD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vMerge w:val="restart"/>
            <w:tcBorders>
              <w:top w:val="single" w:color="auto" w:sz="4" w:space="0"/>
              <w:left w:val="single" w:color="auto" w:sz="4" w:space="0"/>
              <w:bottom w:val="single" w:color="auto" w:sz="4" w:space="0"/>
              <w:right w:val="single" w:color="auto" w:sz="4" w:space="0"/>
            </w:tcBorders>
            <w:vAlign w:val="center"/>
          </w:tcPr>
          <w:p w14:paraId="19D58863">
            <w:pPr>
              <w:pStyle w:val="557"/>
            </w:pPr>
            <w:r>
              <w:t>编号</w:t>
            </w:r>
          </w:p>
        </w:tc>
        <w:tc>
          <w:tcPr>
            <w:tcW w:w="1631" w:type="dxa"/>
            <w:vMerge w:val="restart"/>
            <w:tcBorders>
              <w:top w:val="single" w:color="auto" w:sz="4" w:space="0"/>
              <w:left w:val="single" w:color="auto" w:sz="4" w:space="0"/>
              <w:bottom w:val="single" w:color="auto" w:sz="4" w:space="0"/>
              <w:right w:val="single" w:color="auto" w:sz="4" w:space="0"/>
            </w:tcBorders>
            <w:vAlign w:val="center"/>
          </w:tcPr>
          <w:p w14:paraId="2FDDEAEC">
            <w:pPr>
              <w:pStyle w:val="557"/>
            </w:pPr>
            <w:r>
              <w:t>固废名称</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6F8A38F9">
            <w:pPr>
              <w:pStyle w:val="557"/>
            </w:pPr>
            <w:r>
              <w:t>固废属性</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24B88F1C">
            <w:pPr>
              <w:pStyle w:val="557"/>
            </w:pPr>
            <w:r>
              <w:t>产生量</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14:paraId="5756F951">
            <w:pPr>
              <w:pStyle w:val="557"/>
            </w:pPr>
            <w:r>
              <w:t>处理措施</w:t>
            </w:r>
          </w:p>
        </w:tc>
        <w:tc>
          <w:tcPr>
            <w:tcW w:w="1034" w:type="dxa"/>
            <w:vMerge w:val="restart"/>
            <w:tcBorders>
              <w:top w:val="single" w:color="auto" w:sz="4" w:space="0"/>
              <w:left w:val="single" w:color="auto" w:sz="4" w:space="0"/>
              <w:bottom w:val="single" w:color="auto" w:sz="4" w:space="0"/>
              <w:right w:val="single" w:color="auto" w:sz="4" w:space="0"/>
            </w:tcBorders>
            <w:vAlign w:val="center"/>
          </w:tcPr>
          <w:p w14:paraId="3EA77197">
            <w:pPr>
              <w:pStyle w:val="557"/>
            </w:pPr>
            <w:r>
              <w:t>处理量</w:t>
            </w:r>
          </w:p>
        </w:tc>
      </w:tr>
      <w:tr w14:paraId="2EEB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vMerge w:val="continue"/>
            <w:tcBorders>
              <w:left w:val="single" w:color="auto" w:sz="4" w:space="0"/>
              <w:bottom w:val="single" w:color="auto" w:sz="4" w:space="0"/>
              <w:right w:val="single" w:color="auto" w:sz="4" w:space="0"/>
            </w:tcBorders>
            <w:vAlign w:val="center"/>
          </w:tcPr>
          <w:p w14:paraId="5AEBBF3F">
            <w:pPr>
              <w:pStyle w:val="557"/>
            </w:pPr>
          </w:p>
        </w:tc>
        <w:tc>
          <w:tcPr>
            <w:tcW w:w="1631" w:type="dxa"/>
            <w:vMerge w:val="continue"/>
            <w:tcBorders>
              <w:left w:val="single" w:color="auto" w:sz="4" w:space="0"/>
              <w:bottom w:val="single" w:color="auto" w:sz="4" w:space="0"/>
              <w:right w:val="single" w:color="auto" w:sz="4" w:space="0"/>
            </w:tcBorders>
            <w:vAlign w:val="center"/>
          </w:tcPr>
          <w:p w14:paraId="2114C51B">
            <w:pPr>
              <w:pStyle w:val="557"/>
            </w:pPr>
          </w:p>
        </w:tc>
        <w:tc>
          <w:tcPr>
            <w:tcW w:w="850" w:type="dxa"/>
            <w:tcBorders>
              <w:left w:val="single" w:color="auto" w:sz="4" w:space="0"/>
              <w:bottom w:val="single" w:color="auto" w:sz="4" w:space="0"/>
              <w:right w:val="single" w:color="auto" w:sz="4" w:space="0"/>
            </w:tcBorders>
            <w:vAlign w:val="center"/>
          </w:tcPr>
          <w:p w14:paraId="34DA61E5">
            <w:pPr>
              <w:pStyle w:val="557"/>
            </w:pPr>
            <w:r>
              <w:t>固废属性</w:t>
            </w:r>
          </w:p>
        </w:tc>
        <w:tc>
          <w:tcPr>
            <w:tcW w:w="1843" w:type="dxa"/>
            <w:tcBorders>
              <w:left w:val="single" w:color="auto" w:sz="4" w:space="0"/>
              <w:bottom w:val="single" w:color="auto" w:sz="4" w:space="0"/>
              <w:right w:val="single" w:color="auto" w:sz="4" w:space="0"/>
            </w:tcBorders>
            <w:vAlign w:val="center"/>
          </w:tcPr>
          <w:p w14:paraId="38EA53CD">
            <w:pPr>
              <w:pStyle w:val="557"/>
            </w:pPr>
            <w:r>
              <w:t>代码</w:t>
            </w:r>
          </w:p>
        </w:tc>
        <w:tc>
          <w:tcPr>
            <w:tcW w:w="1134" w:type="dxa"/>
            <w:vMerge w:val="continue"/>
            <w:tcBorders>
              <w:left w:val="single" w:color="auto" w:sz="4" w:space="0"/>
              <w:bottom w:val="single" w:color="auto" w:sz="4" w:space="0"/>
              <w:right w:val="single" w:color="auto" w:sz="4" w:space="0"/>
            </w:tcBorders>
            <w:vAlign w:val="center"/>
          </w:tcPr>
          <w:p w14:paraId="109DAF80">
            <w:pPr>
              <w:pStyle w:val="557"/>
            </w:pPr>
          </w:p>
        </w:tc>
        <w:tc>
          <w:tcPr>
            <w:tcW w:w="1417" w:type="dxa"/>
            <w:vMerge w:val="continue"/>
            <w:tcBorders>
              <w:left w:val="single" w:color="auto" w:sz="4" w:space="0"/>
              <w:bottom w:val="single" w:color="auto" w:sz="4" w:space="0"/>
              <w:right w:val="single" w:color="auto" w:sz="4" w:space="0"/>
            </w:tcBorders>
            <w:vAlign w:val="center"/>
          </w:tcPr>
          <w:p w14:paraId="0C6274AE">
            <w:pPr>
              <w:pStyle w:val="557"/>
            </w:pPr>
          </w:p>
        </w:tc>
        <w:tc>
          <w:tcPr>
            <w:tcW w:w="1034" w:type="dxa"/>
            <w:vMerge w:val="continue"/>
            <w:tcBorders>
              <w:left w:val="single" w:color="auto" w:sz="4" w:space="0"/>
              <w:bottom w:val="single" w:color="auto" w:sz="4" w:space="0"/>
              <w:right w:val="single" w:color="auto" w:sz="4" w:space="0"/>
            </w:tcBorders>
            <w:vAlign w:val="center"/>
          </w:tcPr>
          <w:p w14:paraId="3822ED03">
            <w:pPr>
              <w:pStyle w:val="557"/>
            </w:pPr>
          </w:p>
        </w:tc>
      </w:tr>
      <w:tr w14:paraId="6543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tcBorders>
              <w:left w:val="single" w:color="auto" w:sz="4" w:space="0"/>
              <w:bottom w:val="single" w:color="auto" w:sz="4" w:space="0"/>
              <w:right w:val="single" w:color="auto" w:sz="4" w:space="0"/>
            </w:tcBorders>
            <w:vAlign w:val="center"/>
          </w:tcPr>
          <w:p w14:paraId="145993AD">
            <w:pPr>
              <w:pStyle w:val="557"/>
            </w:pPr>
            <w:r>
              <w:t>S</w:t>
            </w:r>
            <w:r>
              <w:rPr>
                <w:vertAlign w:val="subscript"/>
              </w:rPr>
              <w:t>2-1</w:t>
            </w:r>
          </w:p>
        </w:tc>
        <w:tc>
          <w:tcPr>
            <w:tcW w:w="1631" w:type="dxa"/>
            <w:tcBorders>
              <w:left w:val="single" w:color="auto" w:sz="4" w:space="0"/>
              <w:bottom w:val="single" w:color="auto" w:sz="4" w:space="0"/>
              <w:right w:val="single" w:color="auto" w:sz="4" w:space="0"/>
            </w:tcBorders>
            <w:vAlign w:val="center"/>
          </w:tcPr>
          <w:p w14:paraId="4B830753">
            <w:pPr>
              <w:pStyle w:val="557"/>
            </w:pPr>
            <w:r>
              <w:rPr>
                <w:rFonts w:hint="eastAsia"/>
              </w:rPr>
              <w:t>煤气冷却单元-</w:t>
            </w:r>
            <w:r>
              <w:t>废脱毒剂</w:t>
            </w:r>
          </w:p>
        </w:tc>
        <w:tc>
          <w:tcPr>
            <w:tcW w:w="850" w:type="dxa"/>
            <w:tcBorders>
              <w:left w:val="single" w:color="auto" w:sz="4" w:space="0"/>
              <w:bottom w:val="single" w:color="auto" w:sz="4" w:space="0"/>
              <w:right w:val="single" w:color="auto" w:sz="4" w:space="0"/>
            </w:tcBorders>
            <w:vAlign w:val="center"/>
          </w:tcPr>
          <w:p w14:paraId="7CBCCCD2">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1843" w:type="dxa"/>
            <w:tcBorders>
              <w:left w:val="single" w:color="auto" w:sz="4" w:space="0"/>
              <w:bottom w:val="single" w:color="auto" w:sz="4" w:space="0"/>
              <w:right w:val="single" w:color="auto" w:sz="4" w:space="0"/>
            </w:tcBorders>
            <w:vAlign w:val="center"/>
          </w:tcPr>
          <w:p w14:paraId="720A940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HW49 900-041-49</w:t>
            </w:r>
          </w:p>
        </w:tc>
        <w:tc>
          <w:tcPr>
            <w:tcW w:w="1134" w:type="dxa"/>
            <w:tcBorders>
              <w:left w:val="single" w:color="auto" w:sz="4" w:space="0"/>
              <w:bottom w:val="single" w:color="auto" w:sz="4" w:space="0"/>
              <w:right w:val="single" w:color="auto" w:sz="4" w:space="0"/>
            </w:tcBorders>
            <w:vAlign w:val="center"/>
          </w:tcPr>
          <w:p w14:paraId="1ADE384C">
            <w:pPr>
              <w:jc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hint="eastAsia" w:ascii="Times New Roman" w:hAnsi="Times New Roman" w:eastAsia="等线" w:cs="Times New Roman"/>
                <w:color w:val="000000"/>
                <w:sz w:val="18"/>
                <w:szCs w:val="18"/>
              </w:rPr>
              <w:t>20t/2a</w:t>
            </w:r>
          </w:p>
        </w:tc>
        <w:tc>
          <w:tcPr>
            <w:tcW w:w="1417" w:type="dxa"/>
            <w:vMerge w:val="restart"/>
            <w:tcBorders>
              <w:left w:val="single" w:color="auto" w:sz="4" w:space="0"/>
              <w:right w:val="single" w:color="auto" w:sz="4" w:space="0"/>
            </w:tcBorders>
            <w:vAlign w:val="center"/>
          </w:tcPr>
          <w:p w14:paraId="5A228E67">
            <w:pPr>
              <w:pStyle w:val="557"/>
            </w:pPr>
            <w:r>
              <w:t>厂内暂存后送有资质单位处置</w:t>
            </w:r>
          </w:p>
        </w:tc>
        <w:tc>
          <w:tcPr>
            <w:tcW w:w="1034" w:type="dxa"/>
            <w:tcBorders>
              <w:left w:val="single" w:color="auto" w:sz="4" w:space="0"/>
              <w:bottom w:val="single" w:color="auto" w:sz="4" w:space="0"/>
              <w:right w:val="single" w:color="auto" w:sz="4" w:space="0"/>
            </w:tcBorders>
            <w:vAlign w:val="center"/>
          </w:tcPr>
          <w:p w14:paraId="7ABDFA9A">
            <w:pPr>
              <w:jc w:val="center"/>
              <w:rPr>
                <w:rFonts w:hint="eastAsia"/>
              </w:rPr>
            </w:pPr>
            <w:r>
              <w:rPr>
                <w:rFonts w:hint="eastAsia" w:ascii="Times New Roman" w:hAnsi="Times New Roman" w:eastAsia="等线" w:cs="Times New Roman"/>
                <w:color w:val="000000"/>
                <w:sz w:val="18"/>
                <w:szCs w:val="18"/>
              </w:rPr>
              <w:t>20t/2a</w:t>
            </w:r>
          </w:p>
        </w:tc>
      </w:tr>
      <w:tr w14:paraId="10F8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tcBorders>
              <w:left w:val="single" w:color="auto" w:sz="4" w:space="0"/>
              <w:right w:val="single" w:color="auto" w:sz="4" w:space="0"/>
            </w:tcBorders>
            <w:vAlign w:val="center"/>
          </w:tcPr>
          <w:p w14:paraId="795F8BDC">
            <w:pPr>
              <w:pStyle w:val="557"/>
            </w:pPr>
            <w:r>
              <w:t>S</w:t>
            </w:r>
            <w:r>
              <w:rPr>
                <w:vertAlign w:val="subscript"/>
              </w:rPr>
              <w:t>2-2</w:t>
            </w:r>
          </w:p>
        </w:tc>
        <w:tc>
          <w:tcPr>
            <w:tcW w:w="1631" w:type="dxa"/>
            <w:tcBorders>
              <w:left w:val="single" w:color="auto" w:sz="4" w:space="0"/>
              <w:right w:val="single" w:color="auto" w:sz="4" w:space="0"/>
            </w:tcBorders>
            <w:vAlign w:val="center"/>
          </w:tcPr>
          <w:p w14:paraId="618561C5">
            <w:pPr>
              <w:pStyle w:val="557"/>
            </w:pPr>
            <w:r>
              <w:rPr>
                <w:rFonts w:hint="eastAsia"/>
              </w:rPr>
              <w:t>煤气冷却单元-废水解剂</w:t>
            </w:r>
          </w:p>
        </w:tc>
        <w:tc>
          <w:tcPr>
            <w:tcW w:w="850" w:type="dxa"/>
            <w:tcBorders>
              <w:left w:val="single" w:color="auto" w:sz="4" w:space="0"/>
              <w:right w:val="single" w:color="auto" w:sz="4" w:space="0"/>
            </w:tcBorders>
            <w:vAlign w:val="center"/>
          </w:tcPr>
          <w:p w14:paraId="55049D4E">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1843" w:type="dxa"/>
            <w:tcBorders>
              <w:left w:val="single" w:color="auto" w:sz="4" w:space="0"/>
              <w:right w:val="single" w:color="auto" w:sz="4" w:space="0"/>
            </w:tcBorders>
            <w:vAlign w:val="center"/>
          </w:tcPr>
          <w:p w14:paraId="2D1391E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HW49 900-041-49</w:t>
            </w:r>
          </w:p>
        </w:tc>
        <w:tc>
          <w:tcPr>
            <w:tcW w:w="1134" w:type="dxa"/>
            <w:tcBorders>
              <w:left w:val="single" w:color="auto" w:sz="4" w:space="0"/>
              <w:right w:val="single" w:color="auto" w:sz="4" w:space="0"/>
            </w:tcBorders>
            <w:vAlign w:val="center"/>
          </w:tcPr>
          <w:p w14:paraId="62D11937">
            <w:pPr>
              <w:jc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hint="eastAsia" w:ascii="Times New Roman" w:hAnsi="Times New Roman" w:eastAsia="等线" w:cs="Times New Roman"/>
                <w:color w:val="000000"/>
                <w:sz w:val="18"/>
                <w:szCs w:val="18"/>
              </w:rPr>
              <w:t>54t/a</w:t>
            </w:r>
          </w:p>
        </w:tc>
        <w:tc>
          <w:tcPr>
            <w:tcW w:w="1417" w:type="dxa"/>
            <w:vMerge w:val="continue"/>
            <w:tcBorders>
              <w:left w:val="single" w:color="auto" w:sz="4" w:space="0"/>
              <w:right w:val="single" w:color="auto" w:sz="4" w:space="0"/>
            </w:tcBorders>
            <w:vAlign w:val="center"/>
          </w:tcPr>
          <w:p w14:paraId="0AC14C11">
            <w:pPr>
              <w:pStyle w:val="557"/>
            </w:pPr>
          </w:p>
        </w:tc>
        <w:tc>
          <w:tcPr>
            <w:tcW w:w="1034" w:type="dxa"/>
            <w:tcBorders>
              <w:left w:val="single" w:color="auto" w:sz="4" w:space="0"/>
              <w:right w:val="single" w:color="auto" w:sz="4" w:space="0"/>
            </w:tcBorders>
            <w:vAlign w:val="center"/>
          </w:tcPr>
          <w:p w14:paraId="348FF008">
            <w:pPr>
              <w:jc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hint="eastAsia" w:ascii="Times New Roman" w:hAnsi="Times New Roman" w:eastAsia="等线" w:cs="Times New Roman"/>
                <w:color w:val="000000"/>
                <w:sz w:val="18"/>
                <w:szCs w:val="18"/>
              </w:rPr>
              <w:t>54t/a</w:t>
            </w:r>
          </w:p>
        </w:tc>
      </w:tr>
    </w:tbl>
    <w:p w14:paraId="1F5BD042">
      <w:pPr>
        <w:pStyle w:val="814"/>
        <w:rPr>
          <w:rFonts w:hint="eastAsia"/>
          <w:u w:color="000000"/>
        </w:rPr>
      </w:pPr>
      <w:r>
        <w:rPr>
          <w:rFonts w:hint="eastAsia"/>
          <w:u w:color="000000"/>
        </w:rPr>
        <w:t>低温甲醇洗单元</w:t>
      </w:r>
    </w:p>
    <w:p w14:paraId="20513504">
      <w:pPr>
        <w:pStyle w:val="281"/>
        <w:ind w:firstLine="480"/>
        <w:rPr>
          <w:szCs w:val="24"/>
          <w:u w:color="000000"/>
        </w:rPr>
      </w:pPr>
      <w:r>
        <w:rPr>
          <w:rFonts w:hint="eastAsia"/>
          <w:szCs w:val="24"/>
          <w:u w:color="000000"/>
        </w:rPr>
        <w:t>（1）废气</w:t>
      </w:r>
    </w:p>
    <w:p w14:paraId="666BA767">
      <w:pPr>
        <w:pStyle w:val="281"/>
        <w:ind w:firstLine="480"/>
        <w:rPr>
          <w:szCs w:val="24"/>
          <w:u w:color="000000"/>
        </w:rPr>
      </w:pPr>
      <w:r>
        <w:rPr>
          <w:rFonts w:hint="eastAsia" w:ascii="宋体" w:hAnsi="宋体"/>
          <w:szCs w:val="24"/>
          <w:u w:color="000000"/>
        </w:rPr>
        <w:t>①低温甲醇洗尾气</w:t>
      </w:r>
      <w:r>
        <w:rPr>
          <w:szCs w:val="24"/>
          <w:u w:color="000000"/>
        </w:rPr>
        <w:t>（G</w:t>
      </w:r>
      <w:r>
        <w:rPr>
          <w:szCs w:val="24"/>
          <w:u w:color="000000"/>
          <w:vertAlign w:val="subscript"/>
        </w:rPr>
        <w:t>2-</w:t>
      </w:r>
      <w:r>
        <w:rPr>
          <w:rFonts w:hint="eastAsia"/>
          <w:szCs w:val="24"/>
          <w:u w:color="000000"/>
          <w:vertAlign w:val="subscript"/>
        </w:rPr>
        <w:t>2</w:t>
      </w:r>
      <w:r>
        <w:rPr>
          <w:szCs w:val="24"/>
          <w:u w:color="000000"/>
        </w:rPr>
        <w:t>）</w:t>
      </w:r>
    </w:p>
    <w:p w14:paraId="4B020929">
      <w:pPr>
        <w:pStyle w:val="281"/>
        <w:ind w:firstLine="480"/>
      </w:pPr>
      <w:r>
        <w:rPr>
          <w:rFonts w:cs="Times New Roman"/>
        </w:rPr>
        <w:t>采用低温甲醇洗工艺脱除酸性气体</w:t>
      </w:r>
      <w:r>
        <w:rPr>
          <w:rFonts w:hint="eastAsia"/>
        </w:rPr>
        <w:t>，会产生含甲醇和H</w:t>
      </w:r>
      <w:r>
        <w:rPr>
          <w:rFonts w:hint="eastAsia"/>
          <w:vertAlign w:val="subscript"/>
        </w:rPr>
        <w:t>2</w:t>
      </w:r>
      <w:r>
        <w:rPr>
          <w:rFonts w:hint="eastAsia"/>
        </w:rPr>
        <w:t>S的尾气，本项目采用水洗净化处理低温甲醇洗尾气。低温甲醇洗洗涤塔尾气排放量为24200m</w:t>
      </w:r>
      <w:r>
        <w:rPr>
          <w:rFonts w:hint="eastAsia"/>
          <w:vertAlign w:val="superscript"/>
        </w:rPr>
        <w:t>3</w:t>
      </w:r>
      <w:r>
        <w:rPr>
          <w:rFonts w:hint="eastAsia"/>
        </w:rPr>
        <w:t>/h，产生源强类比《新疆新昊化工有限公司资源清洁利用绿色低碳多联产项目环境影响报告书》，低温甲醇洗尾气产排情况见下表。</w:t>
      </w:r>
    </w:p>
    <w:p w14:paraId="28265591">
      <w:pPr>
        <w:pStyle w:val="645"/>
        <w:rPr>
          <w:rFonts w:hint="eastAsia"/>
        </w:rPr>
      </w:pPr>
      <w:bookmarkStart w:id="154" w:name="_Hlk176344179"/>
      <w:bookmarkStart w:id="155" w:name="_Hlk177900643"/>
      <w:r>
        <w:rPr>
          <w:rFonts w:hint="eastAsia"/>
        </w:rPr>
        <w:t>表3.2.</w:t>
      </w:r>
      <w:r>
        <w:t>3</w:t>
      </w:r>
      <w:r>
        <w:rPr>
          <w:rFonts w:hint="eastAsia"/>
        </w:rPr>
        <w:t>-29</w:t>
      </w:r>
      <w:r>
        <w:t xml:space="preserve">   </w:t>
      </w:r>
      <w:r>
        <w:rPr>
          <w:rFonts w:hint="eastAsia" w:ascii="宋体" w:hAnsi="宋体"/>
          <w:u w:color="000000"/>
        </w:rPr>
        <w:t>低温甲醇洗尾气</w:t>
      </w:r>
      <w:r>
        <w:rPr>
          <w:rFonts w:hint="eastAsia"/>
          <w:u w:color="000000"/>
        </w:rPr>
        <w:t>污染物</w:t>
      </w:r>
      <w:r>
        <w:rPr>
          <w:rFonts w:hint="eastAsia"/>
        </w:rPr>
        <w:t>产排情况</w:t>
      </w:r>
      <w:r>
        <w:t>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6"/>
        <w:gridCol w:w="1184"/>
        <w:gridCol w:w="425"/>
        <w:gridCol w:w="851"/>
        <w:gridCol w:w="709"/>
        <w:gridCol w:w="566"/>
        <w:gridCol w:w="568"/>
        <w:gridCol w:w="424"/>
        <w:gridCol w:w="425"/>
        <w:gridCol w:w="851"/>
        <w:gridCol w:w="769"/>
        <w:gridCol w:w="629"/>
        <w:gridCol w:w="628"/>
      </w:tblGrid>
      <w:tr w14:paraId="6FD6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jc w:val="center"/>
        </w:trPr>
        <w:tc>
          <w:tcPr>
            <w:tcW w:w="280" w:type="pct"/>
            <w:vAlign w:val="center"/>
          </w:tcPr>
          <w:p w14:paraId="61AD7630">
            <w:pPr>
              <w:pStyle w:val="557"/>
            </w:pPr>
            <w:r>
              <w:t>序号</w:t>
            </w:r>
          </w:p>
        </w:tc>
        <w:tc>
          <w:tcPr>
            <w:tcW w:w="696" w:type="pct"/>
            <w:vAlign w:val="center"/>
          </w:tcPr>
          <w:p w14:paraId="569BF976">
            <w:pPr>
              <w:pStyle w:val="557"/>
            </w:pPr>
            <w:r>
              <w:t>污染源</w:t>
            </w:r>
          </w:p>
        </w:tc>
        <w:tc>
          <w:tcPr>
            <w:tcW w:w="250" w:type="pct"/>
            <w:vAlign w:val="center"/>
          </w:tcPr>
          <w:p w14:paraId="38BDFE88">
            <w:pPr>
              <w:pStyle w:val="557"/>
            </w:pPr>
            <w:r>
              <w:t>核算方法</w:t>
            </w:r>
          </w:p>
        </w:tc>
        <w:tc>
          <w:tcPr>
            <w:tcW w:w="500" w:type="pct"/>
            <w:vAlign w:val="center"/>
          </w:tcPr>
          <w:p w14:paraId="6BDA7900">
            <w:pPr>
              <w:pStyle w:val="557"/>
            </w:pPr>
            <w:r>
              <w:t>污染物</w:t>
            </w:r>
          </w:p>
        </w:tc>
        <w:tc>
          <w:tcPr>
            <w:tcW w:w="417" w:type="pct"/>
            <w:vAlign w:val="center"/>
          </w:tcPr>
          <w:p w14:paraId="3760EDC9">
            <w:pPr>
              <w:pStyle w:val="557"/>
            </w:pPr>
            <w:r>
              <w:t>产生浓度mg/m</w:t>
            </w:r>
            <w:r>
              <w:rPr>
                <w:vertAlign w:val="superscript"/>
              </w:rPr>
              <w:t>3</w:t>
            </w:r>
          </w:p>
        </w:tc>
        <w:tc>
          <w:tcPr>
            <w:tcW w:w="333" w:type="pct"/>
            <w:vAlign w:val="center"/>
          </w:tcPr>
          <w:p w14:paraId="1C8F0A5E">
            <w:pPr>
              <w:pStyle w:val="557"/>
            </w:pPr>
            <w:r>
              <w:t>产生速率kg/h</w:t>
            </w:r>
          </w:p>
        </w:tc>
        <w:tc>
          <w:tcPr>
            <w:tcW w:w="334" w:type="pct"/>
            <w:vAlign w:val="center"/>
          </w:tcPr>
          <w:p w14:paraId="368D8387">
            <w:pPr>
              <w:pStyle w:val="557"/>
            </w:pPr>
            <w:r>
              <w:t>产生量t/a</w:t>
            </w:r>
          </w:p>
        </w:tc>
        <w:tc>
          <w:tcPr>
            <w:tcW w:w="249" w:type="pct"/>
            <w:vAlign w:val="center"/>
          </w:tcPr>
          <w:p w14:paraId="6DFBA18A">
            <w:pPr>
              <w:pStyle w:val="557"/>
            </w:pPr>
            <w:r>
              <w:t>治理措施</w:t>
            </w:r>
          </w:p>
        </w:tc>
        <w:tc>
          <w:tcPr>
            <w:tcW w:w="250" w:type="pct"/>
            <w:vAlign w:val="center"/>
          </w:tcPr>
          <w:p w14:paraId="6971209E">
            <w:pPr>
              <w:pStyle w:val="557"/>
            </w:pPr>
            <w:r>
              <w:t>去除效率</w:t>
            </w:r>
          </w:p>
        </w:tc>
        <w:tc>
          <w:tcPr>
            <w:tcW w:w="500" w:type="pct"/>
            <w:vAlign w:val="center"/>
          </w:tcPr>
          <w:p w14:paraId="33FD4669">
            <w:pPr>
              <w:pStyle w:val="557"/>
            </w:pPr>
            <w:r>
              <w:t>排气量</w:t>
            </w:r>
          </w:p>
          <w:p w14:paraId="1682EB09">
            <w:pPr>
              <w:pStyle w:val="557"/>
            </w:pPr>
            <w:r>
              <w:t>m</w:t>
            </w:r>
            <w:r>
              <w:rPr>
                <w:vertAlign w:val="superscript"/>
              </w:rPr>
              <w:t>3</w:t>
            </w:r>
            <w:r>
              <w:t>/h</w:t>
            </w:r>
          </w:p>
        </w:tc>
        <w:tc>
          <w:tcPr>
            <w:tcW w:w="452" w:type="pct"/>
            <w:vAlign w:val="center"/>
          </w:tcPr>
          <w:p w14:paraId="377F7749">
            <w:pPr>
              <w:pStyle w:val="557"/>
            </w:pPr>
            <w:r>
              <w:t>排放浓度</w:t>
            </w:r>
          </w:p>
          <w:p w14:paraId="300FFC25">
            <w:pPr>
              <w:pStyle w:val="557"/>
            </w:pPr>
            <w:r>
              <w:t>mg/m</w:t>
            </w:r>
            <w:r>
              <w:rPr>
                <w:vertAlign w:val="superscript"/>
              </w:rPr>
              <w:t>3</w:t>
            </w:r>
          </w:p>
        </w:tc>
        <w:tc>
          <w:tcPr>
            <w:tcW w:w="370" w:type="pct"/>
            <w:vAlign w:val="center"/>
          </w:tcPr>
          <w:p w14:paraId="7048DC00">
            <w:pPr>
              <w:pStyle w:val="557"/>
            </w:pPr>
            <w:r>
              <w:t>排放速率kg/h</w:t>
            </w:r>
          </w:p>
        </w:tc>
        <w:tc>
          <w:tcPr>
            <w:tcW w:w="369" w:type="pct"/>
            <w:vAlign w:val="center"/>
          </w:tcPr>
          <w:p w14:paraId="362CCD8F">
            <w:pPr>
              <w:pStyle w:val="557"/>
            </w:pPr>
            <w:r>
              <w:t>排放量t/a</w:t>
            </w:r>
          </w:p>
        </w:tc>
      </w:tr>
      <w:tr w14:paraId="1735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0" w:type="pct"/>
            <w:vMerge w:val="restart"/>
            <w:vAlign w:val="center"/>
          </w:tcPr>
          <w:p w14:paraId="19CEF82A">
            <w:pPr>
              <w:pStyle w:val="557"/>
            </w:pPr>
            <w:r>
              <w:t>G</w:t>
            </w:r>
            <w:r>
              <w:rPr>
                <w:vertAlign w:val="subscript"/>
              </w:rPr>
              <w:t>2-3</w:t>
            </w:r>
          </w:p>
        </w:tc>
        <w:tc>
          <w:tcPr>
            <w:tcW w:w="696" w:type="pct"/>
            <w:vMerge w:val="restart"/>
            <w:vAlign w:val="center"/>
          </w:tcPr>
          <w:p w14:paraId="3413299E">
            <w:pPr>
              <w:pStyle w:val="557"/>
            </w:pPr>
            <w:r>
              <w:t>低温甲醇洗尾气</w:t>
            </w:r>
          </w:p>
        </w:tc>
        <w:tc>
          <w:tcPr>
            <w:tcW w:w="250" w:type="pct"/>
            <w:vMerge w:val="restart"/>
            <w:vAlign w:val="center"/>
          </w:tcPr>
          <w:p w14:paraId="5E305B61">
            <w:pPr>
              <w:pStyle w:val="557"/>
            </w:pPr>
            <w:r>
              <w:rPr>
                <w:rFonts w:hint="eastAsia"/>
              </w:rPr>
              <w:t>类比法</w:t>
            </w:r>
          </w:p>
        </w:tc>
        <w:tc>
          <w:tcPr>
            <w:tcW w:w="500" w:type="pct"/>
            <w:vAlign w:val="center"/>
          </w:tcPr>
          <w:p w14:paraId="002E6EEF">
            <w:pPr>
              <w:pStyle w:val="557"/>
            </w:pPr>
            <w:r>
              <w:t>H</w:t>
            </w:r>
            <w:r>
              <w:rPr>
                <w:vertAlign w:val="subscript"/>
              </w:rPr>
              <w:t>2</w:t>
            </w:r>
            <w:r>
              <w:t>S</w:t>
            </w:r>
          </w:p>
        </w:tc>
        <w:tc>
          <w:tcPr>
            <w:tcW w:w="709" w:type="dxa"/>
            <w:vAlign w:val="center"/>
          </w:tcPr>
          <w:p w14:paraId="1062805F">
            <w:pPr>
              <w:jc w:val="center"/>
              <w:textAlignment w:val="center"/>
              <w:rPr>
                <w:rFonts w:hint="eastAsia"/>
              </w:rPr>
            </w:pPr>
            <w:r>
              <w:rPr>
                <w:rFonts w:ascii="Times New Roman" w:hAnsi="Times New Roman" w:cs="Times New Roman"/>
                <w:color w:val="000000"/>
                <w:sz w:val="18"/>
                <w:szCs w:val="18"/>
              </w:rPr>
              <w:t xml:space="preserve">5.37 </w:t>
            </w:r>
          </w:p>
        </w:tc>
        <w:tc>
          <w:tcPr>
            <w:tcW w:w="566" w:type="dxa"/>
            <w:vAlign w:val="center"/>
          </w:tcPr>
          <w:p w14:paraId="2DE3832C">
            <w:pPr>
              <w:jc w:val="center"/>
              <w:textAlignment w:val="center"/>
              <w:rPr>
                <w:rFonts w:hint="eastAsia"/>
              </w:rPr>
            </w:pPr>
            <w:r>
              <w:rPr>
                <w:rFonts w:ascii="Times New Roman" w:hAnsi="Times New Roman" w:cs="Times New Roman"/>
                <w:color w:val="000000"/>
                <w:sz w:val="18"/>
                <w:szCs w:val="18"/>
              </w:rPr>
              <w:t>0.13</w:t>
            </w:r>
          </w:p>
        </w:tc>
        <w:tc>
          <w:tcPr>
            <w:tcW w:w="568" w:type="dxa"/>
            <w:vAlign w:val="center"/>
          </w:tcPr>
          <w:p w14:paraId="0C2BFBD8">
            <w:pPr>
              <w:jc w:val="center"/>
              <w:textAlignment w:val="center"/>
              <w:rPr>
                <w:rFonts w:hint="eastAsia"/>
              </w:rPr>
            </w:pPr>
            <w:r>
              <w:rPr>
                <w:rFonts w:ascii="Times New Roman" w:hAnsi="Times New Roman" w:cs="Times New Roman"/>
                <w:color w:val="000000"/>
                <w:sz w:val="18"/>
                <w:szCs w:val="18"/>
              </w:rPr>
              <w:t>1.04</w:t>
            </w:r>
          </w:p>
        </w:tc>
        <w:tc>
          <w:tcPr>
            <w:tcW w:w="249" w:type="pct"/>
            <w:vMerge w:val="restart"/>
            <w:vAlign w:val="center"/>
          </w:tcPr>
          <w:p w14:paraId="0E6956C1">
            <w:pPr>
              <w:pStyle w:val="557"/>
            </w:pPr>
            <w:r>
              <w:t>水洗塔</w:t>
            </w:r>
          </w:p>
        </w:tc>
        <w:tc>
          <w:tcPr>
            <w:tcW w:w="250" w:type="pct"/>
            <w:vAlign w:val="center"/>
          </w:tcPr>
          <w:p w14:paraId="7A31CFF3">
            <w:pPr>
              <w:pStyle w:val="557"/>
            </w:pPr>
            <w:r>
              <w:t>/</w:t>
            </w:r>
          </w:p>
        </w:tc>
        <w:tc>
          <w:tcPr>
            <w:tcW w:w="500" w:type="pct"/>
            <w:vMerge w:val="restart"/>
            <w:vAlign w:val="center"/>
          </w:tcPr>
          <w:p w14:paraId="64039310">
            <w:pPr>
              <w:pStyle w:val="557"/>
            </w:pPr>
            <w:r>
              <w:t xml:space="preserve">98796.18 </w:t>
            </w:r>
          </w:p>
        </w:tc>
        <w:tc>
          <w:tcPr>
            <w:tcW w:w="769" w:type="dxa"/>
            <w:vAlign w:val="center"/>
          </w:tcPr>
          <w:p w14:paraId="782DBB54">
            <w:pPr>
              <w:jc w:val="center"/>
              <w:textAlignment w:val="center"/>
              <w:rPr>
                <w:rFonts w:hint="eastAsia"/>
              </w:rPr>
            </w:pPr>
            <w:r>
              <w:rPr>
                <w:rFonts w:ascii="Times New Roman" w:hAnsi="Times New Roman" w:cs="Times New Roman"/>
                <w:color w:val="000000"/>
                <w:sz w:val="18"/>
                <w:szCs w:val="18"/>
              </w:rPr>
              <w:t>5.52</w:t>
            </w:r>
          </w:p>
        </w:tc>
        <w:tc>
          <w:tcPr>
            <w:tcW w:w="629" w:type="dxa"/>
            <w:vAlign w:val="center"/>
          </w:tcPr>
          <w:p w14:paraId="0D7882A6">
            <w:pPr>
              <w:jc w:val="center"/>
              <w:textAlignment w:val="center"/>
              <w:rPr>
                <w:rFonts w:hint="eastAsia"/>
              </w:rPr>
            </w:pPr>
            <w:r>
              <w:rPr>
                <w:rFonts w:ascii="Times New Roman" w:hAnsi="Times New Roman" w:cs="Times New Roman"/>
                <w:color w:val="000000"/>
                <w:sz w:val="18"/>
                <w:szCs w:val="18"/>
              </w:rPr>
              <w:t>0.13</w:t>
            </w:r>
          </w:p>
        </w:tc>
        <w:tc>
          <w:tcPr>
            <w:tcW w:w="628" w:type="dxa"/>
            <w:vAlign w:val="center"/>
          </w:tcPr>
          <w:p w14:paraId="6338DAF7">
            <w:pPr>
              <w:jc w:val="center"/>
              <w:textAlignment w:val="center"/>
              <w:rPr>
                <w:rFonts w:hint="eastAsia"/>
              </w:rPr>
            </w:pPr>
            <w:r>
              <w:rPr>
                <w:rFonts w:ascii="Times New Roman" w:hAnsi="Times New Roman" w:cs="Times New Roman"/>
                <w:color w:val="000000"/>
                <w:sz w:val="18"/>
                <w:szCs w:val="18"/>
              </w:rPr>
              <w:t>1.04</w:t>
            </w:r>
          </w:p>
        </w:tc>
      </w:tr>
      <w:tr w14:paraId="0CDD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80" w:type="pct"/>
            <w:vMerge w:val="continue"/>
            <w:vAlign w:val="center"/>
          </w:tcPr>
          <w:p w14:paraId="6DFB93A9">
            <w:pPr>
              <w:pStyle w:val="557"/>
            </w:pPr>
          </w:p>
        </w:tc>
        <w:tc>
          <w:tcPr>
            <w:tcW w:w="696" w:type="pct"/>
            <w:vMerge w:val="continue"/>
            <w:vAlign w:val="center"/>
          </w:tcPr>
          <w:p w14:paraId="675CA431">
            <w:pPr>
              <w:pStyle w:val="557"/>
            </w:pPr>
          </w:p>
        </w:tc>
        <w:tc>
          <w:tcPr>
            <w:tcW w:w="250" w:type="pct"/>
            <w:vMerge w:val="continue"/>
            <w:vAlign w:val="center"/>
          </w:tcPr>
          <w:p w14:paraId="6813D7EC">
            <w:pPr>
              <w:pStyle w:val="557"/>
            </w:pPr>
          </w:p>
        </w:tc>
        <w:tc>
          <w:tcPr>
            <w:tcW w:w="500" w:type="pct"/>
            <w:vAlign w:val="center"/>
          </w:tcPr>
          <w:p w14:paraId="5C4F56B1">
            <w:pPr>
              <w:pStyle w:val="557"/>
            </w:pPr>
            <w:r>
              <w:t>甲醇</w:t>
            </w:r>
          </w:p>
        </w:tc>
        <w:tc>
          <w:tcPr>
            <w:tcW w:w="709" w:type="dxa"/>
            <w:vAlign w:val="center"/>
          </w:tcPr>
          <w:p w14:paraId="6ABDBBF5">
            <w:pPr>
              <w:jc w:val="center"/>
              <w:textAlignment w:val="center"/>
              <w:rPr>
                <w:rFonts w:hint="eastAsia"/>
              </w:rPr>
            </w:pPr>
            <w:r>
              <w:rPr>
                <w:rFonts w:ascii="Times New Roman" w:hAnsi="Times New Roman" w:cs="Times New Roman"/>
                <w:color w:val="000000"/>
                <w:sz w:val="18"/>
                <w:szCs w:val="18"/>
              </w:rPr>
              <w:t xml:space="preserve">477.27 </w:t>
            </w:r>
          </w:p>
        </w:tc>
        <w:tc>
          <w:tcPr>
            <w:tcW w:w="566" w:type="dxa"/>
            <w:vAlign w:val="center"/>
          </w:tcPr>
          <w:p w14:paraId="0BE0A948">
            <w:pPr>
              <w:jc w:val="center"/>
              <w:textAlignment w:val="center"/>
              <w:rPr>
                <w:rFonts w:hint="eastAsia"/>
              </w:rPr>
            </w:pPr>
            <w:r>
              <w:rPr>
                <w:rFonts w:ascii="Times New Roman" w:hAnsi="Times New Roman" w:cs="Times New Roman"/>
                <w:color w:val="000000"/>
                <w:sz w:val="18"/>
                <w:szCs w:val="18"/>
              </w:rPr>
              <w:t>11.55</w:t>
            </w:r>
          </w:p>
        </w:tc>
        <w:tc>
          <w:tcPr>
            <w:tcW w:w="568" w:type="dxa"/>
            <w:vAlign w:val="center"/>
          </w:tcPr>
          <w:p w14:paraId="44CAEBA0">
            <w:pPr>
              <w:jc w:val="center"/>
              <w:textAlignment w:val="center"/>
              <w:rPr>
                <w:rFonts w:hint="eastAsia"/>
              </w:rPr>
            </w:pPr>
            <w:r>
              <w:rPr>
                <w:rFonts w:ascii="Times New Roman" w:hAnsi="Times New Roman" w:cs="Times New Roman"/>
                <w:color w:val="000000"/>
                <w:sz w:val="18"/>
                <w:szCs w:val="18"/>
              </w:rPr>
              <w:t>92.4</w:t>
            </w:r>
          </w:p>
        </w:tc>
        <w:tc>
          <w:tcPr>
            <w:tcW w:w="249" w:type="pct"/>
            <w:vMerge w:val="continue"/>
            <w:vAlign w:val="center"/>
          </w:tcPr>
          <w:p w14:paraId="37BE2301">
            <w:pPr>
              <w:pStyle w:val="557"/>
            </w:pPr>
          </w:p>
        </w:tc>
        <w:tc>
          <w:tcPr>
            <w:tcW w:w="250" w:type="pct"/>
            <w:vAlign w:val="center"/>
          </w:tcPr>
          <w:p w14:paraId="1451BAF4">
            <w:pPr>
              <w:pStyle w:val="557"/>
            </w:pPr>
            <w:r>
              <w:t>95</w:t>
            </w:r>
          </w:p>
        </w:tc>
        <w:tc>
          <w:tcPr>
            <w:tcW w:w="500" w:type="pct"/>
            <w:vMerge w:val="continue"/>
            <w:vAlign w:val="center"/>
          </w:tcPr>
          <w:p w14:paraId="1E7DD119">
            <w:pPr>
              <w:pStyle w:val="557"/>
            </w:pPr>
          </w:p>
        </w:tc>
        <w:tc>
          <w:tcPr>
            <w:tcW w:w="769" w:type="dxa"/>
            <w:vAlign w:val="center"/>
          </w:tcPr>
          <w:p w14:paraId="5BCB773C">
            <w:pPr>
              <w:jc w:val="center"/>
              <w:textAlignment w:val="center"/>
              <w:rPr>
                <w:rFonts w:hint="eastAsia"/>
              </w:rPr>
            </w:pPr>
            <w:r>
              <w:rPr>
                <w:rFonts w:ascii="Times New Roman" w:hAnsi="Times New Roman" w:cs="Times New Roman"/>
                <w:color w:val="000000"/>
                <w:sz w:val="18"/>
                <w:szCs w:val="18"/>
              </w:rPr>
              <w:t>23.86</w:t>
            </w:r>
          </w:p>
        </w:tc>
        <w:tc>
          <w:tcPr>
            <w:tcW w:w="629" w:type="dxa"/>
            <w:vAlign w:val="center"/>
          </w:tcPr>
          <w:p w14:paraId="27AA19C2">
            <w:pPr>
              <w:jc w:val="center"/>
              <w:textAlignment w:val="center"/>
              <w:rPr>
                <w:rFonts w:hint="eastAsia"/>
              </w:rPr>
            </w:pPr>
            <w:r>
              <w:rPr>
                <w:rFonts w:ascii="Times New Roman" w:hAnsi="Times New Roman" w:cs="Times New Roman"/>
                <w:color w:val="000000"/>
                <w:sz w:val="18"/>
                <w:szCs w:val="18"/>
              </w:rPr>
              <w:t>0.5775</w:t>
            </w:r>
          </w:p>
        </w:tc>
        <w:tc>
          <w:tcPr>
            <w:tcW w:w="628" w:type="dxa"/>
            <w:vAlign w:val="center"/>
          </w:tcPr>
          <w:p w14:paraId="43AADC9A">
            <w:pPr>
              <w:jc w:val="center"/>
              <w:textAlignment w:val="center"/>
              <w:rPr>
                <w:rFonts w:hint="eastAsia"/>
              </w:rPr>
            </w:pPr>
            <w:r>
              <w:rPr>
                <w:rFonts w:ascii="Times New Roman" w:hAnsi="Times New Roman" w:cs="Times New Roman"/>
                <w:color w:val="000000"/>
                <w:sz w:val="18"/>
                <w:szCs w:val="18"/>
              </w:rPr>
              <w:t>4.62</w:t>
            </w:r>
          </w:p>
        </w:tc>
      </w:tr>
      <w:bookmarkEnd w:id="154"/>
      <w:bookmarkEnd w:id="155"/>
    </w:tbl>
    <w:p w14:paraId="34B9B40C">
      <w:pPr>
        <w:pStyle w:val="281"/>
        <w:ind w:firstLine="480"/>
        <w:rPr>
          <w:szCs w:val="24"/>
          <w:u w:color="000000"/>
        </w:rPr>
      </w:pPr>
      <w:r>
        <w:rPr>
          <w:rFonts w:hint="eastAsia" w:ascii="宋体" w:hAnsi="宋体"/>
          <w:szCs w:val="24"/>
          <w:u w:color="000000"/>
        </w:rPr>
        <w:t>②低温甲醇洗酸性气</w:t>
      </w:r>
      <w:r>
        <w:rPr>
          <w:szCs w:val="24"/>
          <w:u w:color="000000"/>
        </w:rPr>
        <w:t>（G</w:t>
      </w:r>
      <w:r>
        <w:rPr>
          <w:szCs w:val="24"/>
          <w:u w:color="000000"/>
          <w:vertAlign w:val="subscript"/>
        </w:rPr>
        <w:t>2-</w:t>
      </w:r>
      <w:r>
        <w:rPr>
          <w:rFonts w:hint="eastAsia"/>
          <w:szCs w:val="24"/>
          <w:u w:color="000000"/>
          <w:vertAlign w:val="subscript"/>
        </w:rPr>
        <w:t>3</w:t>
      </w:r>
      <w:r>
        <w:rPr>
          <w:szCs w:val="24"/>
          <w:u w:color="000000"/>
        </w:rPr>
        <w:t>）</w:t>
      </w:r>
    </w:p>
    <w:p w14:paraId="533D06D3">
      <w:pPr>
        <w:pStyle w:val="281"/>
        <w:ind w:firstLine="480"/>
      </w:pPr>
      <w:r>
        <w:t>H</w:t>
      </w:r>
      <w:r>
        <w:rPr>
          <w:szCs w:val="16"/>
          <w:vertAlign w:val="subscript"/>
        </w:rPr>
        <w:t>2</w:t>
      </w:r>
      <w:r>
        <w:t>S浓缩塔出来的酸性气，送硫回收</w:t>
      </w:r>
      <w:r>
        <w:rPr>
          <w:rFonts w:hint="eastAsia"/>
        </w:rPr>
        <w:t>单元</w:t>
      </w:r>
      <w:r>
        <w:t>处理，酸性气主要成分见下表。</w:t>
      </w:r>
    </w:p>
    <w:p w14:paraId="673BBE04">
      <w:pPr>
        <w:pStyle w:val="535"/>
        <w:ind w:firstLine="480"/>
        <w:rPr>
          <w:rFonts w:hint="eastAsia"/>
          <w:color w:val="auto"/>
        </w:rPr>
      </w:pPr>
      <w:r>
        <w:rPr>
          <w:rFonts w:hint="eastAsia"/>
          <w:color w:val="auto"/>
        </w:rPr>
        <w:t>表3.2.</w:t>
      </w:r>
      <w:r>
        <w:rPr>
          <w:color w:val="auto"/>
        </w:rPr>
        <w:t>3</w:t>
      </w:r>
      <w:r>
        <w:rPr>
          <w:rFonts w:hint="eastAsia"/>
          <w:color w:val="auto"/>
        </w:rPr>
        <w:t xml:space="preserve">-30 </w:t>
      </w:r>
      <w:r>
        <w:rPr>
          <w:color w:val="auto"/>
        </w:rPr>
        <w:t xml:space="preserve">   </w:t>
      </w:r>
      <w:r>
        <w:rPr>
          <w:rFonts w:hint="eastAsia" w:ascii="宋体" w:hAnsi="宋体"/>
          <w:color w:val="auto"/>
          <w:u w:color="000000"/>
        </w:rPr>
        <w:t>低温甲醇洗酸性气组分</w:t>
      </w:r>
      <w:r>
        <w:rPr>
          <w:rFonts w:hint="eastAsia"/>
          <w:color w:val="auto"/>
        </w:rPr>
        <w:t>一览表</w:t>
      </w:r>
    </w:p>
    <w:tbl>
      <w:tblPr>
        <w:tblStyle w:val="65"/>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073"/>
        <w:gridCol w:w="2552"/>
        <w:gridCol w:w="2451"/>
      </w:tblGrid>
      <w:tr w14:paraId="2132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tcBorders>
              <w:left w:val="single" w:color="auto" w:sz="4" w:space="0"/>
              <w:right w:val="single" w:color="auto" w:sz="4" w:space="0"/>
            </w:tcBorders>
            <w:vAlign w:val="center"/>
          </w:tcPr>
          <w:p w14:paraId="79F598D5">
            <w:pPr>
              <w:pStyle w:val="557"/>
            </w:pPr>
            <w:r>
              <w:t>序号</w:t>
            </w:r>
          </w:p>
        </w:tc>
        <w:tc>
          <w:tcPr>
            <w:tcW w:w="2073" w:type="dxa"/>
            <w:tcBorders>
              <w:left w:val="single" w:color="auto" w:sz="4" w:space="0"/>
              <w:bottom w:val="single" w:color="auto" w:sz="4" w:space="0"/>
              <w:right w:val="single" w:color="auto" w:sz="4" w:space="0"/>
            </w:tcBorders>
            <w:vAlign w:val="center"/>
          </w:tcPr>
          <w:p w14:paraId="5DF52D78">
            <w:pPr>
              <w:pStyle w:val="557"/>
            </w:pPr>
            <w:r>
              <w:t>组分</w:t>
            </w:r>
          </w:p>
        </w:tc>
        <w:tc>
          <w:tcPr>
            <w:tcW w:w="2552" w:type="dxa"/>
            <w:tcBorders>
              <w:left w:val="single" w:color="auto" w:sz="4" w:space="0"/>
              <w:bottom w:val="single" w:color="auto" w:sz="4" w:space="0"/>
              <w:right w:val="single" w:color="auto" w:sz="4" w:space="0"/>
            </w:tcBorders>
            <w:vAlign w:val="center"/>
          </w:tcPr>
          <w:p w14:paraId="21DE4BCF">
            <w:pPr>
              <w:pStyle w:val="557"/>
            </w:pPr>
            <w:r>
              <w:t>含量（v%）</w:t>
            </w:r>
          </w:p>
        </w:tc>
        <w:tc>
          <w:tcPr>
            <w:tcW w:w="2451" w:type="dxa"/>
            <w:tcBorders>
              <w:left w:val="single" w:color="auto" w:sz="4" w:space="0"/>
              <w:bottom w:val="single" w:color="auto" w:sz="4" w:space="0"/>
              <w:right w:val="single" w:color="auto" w:sz="4" w:space="0"/>
            </w:tcBorders>
            <w:vAlign w:val="center"/>
          </w:tcPr>
          <w:p w14:paraId="680EF74C">
            <w:pPr>
              <w:pStyle w:val="557"/>
            </w:pPr>
            <w:r>
              <w:t>气量（Nm</w:t>
            </w:r>
            <w:r>
              <w:rPr>
                <w:vertAlign w:val="superscript"/>
              </w:rPr>
              <w:t>3</w:t>
            </w:r>
            <w:r>
              <w:t>/h）</w:t>
            </w:r>
          </w:p>
        </w:tc>
      </w:tr>
      <w:tr w14:paraId="1FFF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restart"/>
            <w:tcBorders>
              <w:left w:val="single" w:color="auto" w:sz="4" w:space="0"/>
              <w:right w:val="single" w:color="auto" w:sz="4" w:space="0"/>
            </w:tcBorders>
            <w:vAlign w:val="center"/>
          </w:tcPr>
          <w:p w14:paraId="1A22AB41">
            <w:pPr>
              <w:pStyle w:val="557"/>
            </w:pPr>
            <w:r>
              <w:t>酸性气组分</w:t>
            </w:r>
          </w:p>
        </w:tc>
        <w:tc>
          <w:tcPr>
            <w:tcW w:w="2073" w:type="dxa"/>
            <w:tcBorders>
              <w:left w:val="single" w:color="auto" w:sz="4" w:space="0"/>
              <w:bottom w:val="single" w:color="auto" w:sz="4" w:space="0"/>
              <w:right w:val="single" w:color="auto" w:sz="4" w:space="0"/>
            </w:tcBorders>
            <w:vAlign w:val="center"/>
          </w:tcPr>
          <w:p w14:paraId="3F10A8F7">
            <w:pPr>
              <w:pStyle w:val="557"/>
            </w:pPr>
            <w:r>
              <w:rPr>
                <w:rFonts w:hint="eastAsia"/>
              </w:rPr>
              <w:t>CO</w:t>
            </w:r>
          </w:p>
        </w:tc>
        <w:tc>
          <w:tcPr>
            <w:tcW w:w="2552" w:type="dxa"/>
            <w:tcBorders>
              <w:left w:val="single" w:color="auto" w:sz="4" w:space="0"/>
              <w:bottom w:val="single" w:color="auto" w:sz="4" w:space="0"/>
              <w:right w:val="single" w:color="auto" w:sz="4" w:space="0"/>
            </w:tcBorders>
          </w:tcPr>
          <w:p w14:paraId="7D2EE916">
            <w:pPr>
              <w:pStyle w:val="557"/>
            </w:pPr>
            <w:r>
              <w:rPr>
                <w:rFonts w:hint="eastAsia"/>
              </w:rPr>
              <w:t>0.0001</w:t>
            </w:r>
          </w:p>
        </w:tc>
        <w:tc>
          <w:tcPr>
            <w:tcW w:w="2451" w:type="dxa"/>
            <w:tcBorders>
              <w:left w:val="single" w:color="auto" w:sz="4" w:space="0"/>
              <w:bottom w:val="single" w:color="auto" w:sz="4" w:space="0"/>
              <w:right w:val="single" w:color="auto" w:sz="4" w:space="0"/>
            </w:tcBorders>
          </w:tcPr>
          <w:p w14:paraId="0BB0FDA3">
            <w:pPr>
              <w:pStyle w:val="557"/>
            </w:pPr>
            <w:r>
              <w:rPr>
                <w:rFonts w:hint="eastAsia"/>
              </w:rPr>
              <w:t>0.0002</w:t>
            </w:r>
          </w:p>
        </w:tc>
      </w:tr>
      <w:tr w14:paraId="52E8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right w:val="single" w:color="auto" w:sz="4" w:space="0"/>
            </w:tcBorders>
            <w:vAlign w:val="center"/>
          </w:tcPr>
          <w:p w14:paraId="15CD60DB">
            <w:pPr>
              <w:pStyle w:val="557"/>
            </w:pPr>
          </w:p>
        </w:tc>
        <w:tc>
          <w:tcPr>
            <w:tcW w:w="2073" w:type="dxa"/>
            <w:tcBorders>
              <w:left w:val="single" w:color="auto" w:sz="4" w:space="0"/>
              <w:bottom w:val="single" w:color="auto" w:sz="4" w:space="0"/>
              <w:right w:val="single" w:color="auto" w:sz="4" w:space="0"/>
            </w:tcBorders>
            <w:vAlign w:val="center"/>
          </w:tcPr>
          <w:p w14:paraId="03096D21">
            <w:pPr>
              <w:pStyle w:val="557"/>
            </w:pPr>
            <w:r>
              <w:rPr>
                <w:rFonts w:hint="eastAsia"/>
              </w:rPr>
              <w:t>H</w:t>
            </w:r>
            <w:r>
              <w:rPr>
                <w:rFonts w:hint="eastAsia"/>
                <w:vertAlign w:val="subscript"/>
              </w:rPr>
              <w:t>2</w:t>
            </w:r>
          </w:p>
        </w:tc>
        <w:tc>
          <w:tcPr>
            <w:tcW w:w="2552" w:type="dxa"/>
            <w:tcBorders>
              <w:left w:val="single" w:color="auto" w:sz="4" w:space="0"/>
              <w:bottom w:val="single" w:color="auto" w:sz="4" w:space="0"/>
              <w:right w:val="single" w:color="auto" w:sz="4" w:space="0"/>
            </w:tcBorders>
          </w:tcPr>
          <w:p w14:paraId="1BAC4DFA">
            <w:pPr>
              <w:pStyle w:val="557"/>
            </w:pPr>
            <w:r>
              <w:rPr>
                <w:rFonts w:hint="eastAsia"/>
              </w:rPr>
              <w:t>0.0004</w:t>
            </w:r>
          </w:p>
        </w:tc>
        <w:tc>
          <w:tcPr>
            <w:tcW w:w="2451" w:type="dxa"/>
            <w:tcBorders>
              <w:left w:val="single" w:color="auto" w:sz="4" w:space="0"/>
              <w:bottom w:val="single" w:color="auto" w:sz="4" w:space="0"/>
              <w:right w:val="single" w:color="auto" w:sz="4" w:space="0"/>
            </w:tcBorders>
          </w:tcPr>
          <w:p w14:paraId="3C383222">
            <w:pPr>
              <w:pStyle w:val="557"/>
            </w:pPr>
            <w:r>
              <w:rPr>
                <w:rFonts w:hint="eastAsia"/>
              </w:rPr>
              <w:t>0.0007</w:t>
            </w:r>
          </w:p>
        </w:tc>
      </w:tr>
      <w:tr w14:paraId="1527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right w:val="single" w:color="auto" w:sz="4" w:space="0"/>
            </w:tcBorders>
            <w:vAlign w:val="center"/>
          </w:tcPr>
          <w:p w14:paraId="2F93BE32">
            <w:pPr>
              <w:pStyle w:val="557"/>
            </w:pPr>
          </w:p>
        </w:tc>
        <w:tc>
          <w:tcPr>
            <w:tcW w:w="2073" w:type="dxa"/>
            <w:tcBorders>
              <w:top w:val="single" w:color="auto" w:sz="4" w:space="0"/>
              <w:left w:val="single" w:color="auto" w:sz="4" w:space="0"/>
              <w:bottom w:val="single" w:color="auto" w:sz="4" w:space="0"/>
              <w:right w:val="single" w:color="auto" w:sz="4" w:space="0"/>
            </w:tcBorders>
            <w:vAlign w:val="center"/>
          </w:tcPr>
          <w:p w14:paraId="51F450AA">
            <w:pPr>
              <w:pStyle w:val="557"/>
            </w:pPr>
            <w:r>
              <w:t>CO</w:t>
            </w:r>
            <w:r>
              <w:rPr>
                <w:vertAlign w:val="subscript"/>
              </w:rPr>
              <w:t>2</w:t>
            </w:r>
          </w:p>
        </w:tc>
        <w:tc>
          <w:tcPr>
            <w:tcW w:w="2552" w:type="dxa"/>
            <w:tcBorders>
              <w:top w:val="single" w:color="auto" w:sz="4" w:space="0"/>
              <w:left w:val="single" w:color="auto" w:sz="4" w:space="0"/>
              <w:bottom w:val="single" w:color="auto" w:sz="4" w:space="0"/>
              <w:right w:val="single" w:color="auto" w:sz="4" w:space="0"/>
            </w:tcBorders>
            <w:vAlign w:val="center"/>
          </w:tcPr>
          <w:p w14:paraId="24C7750F">
            <w:pPr>
              <w:pStyle w:val="557"/>
            </w:pPr>
            <w:r>
              <w:t>69.82</w:t>
            </w:r>
          </w:p>
        </w:tc>
        <w:tc>
          <w:tcPr>
            <w:tcW w:w="2451" w:type="dxa"/>
            <w:tcBorders>
              <w:top w:val="single" w:color="auto" w:sz="4" w:space="0"/>
              <w:left w:val="single" w:color="auto" w:sz="4" w:space="0"/>
              <w:bottom w:val="single" w:color="auto" w:sz="4" w:space="0"/>
              <w:right w:val="single" w:color="auto" w:sz="4" w:space="0"/>
            </w:tcBorders>
            <w:vAlign w:val="center"/>
          </w:tcPr>
          <w:p w14:paraId="12E27820">
            <w:pPr>
              <w:pStyle w:val="557"/>
            </w:pPr>
            <w:r>
              <w:t xml:space="preserve">500.00 </w:t>
            </w:r>
          </w:p>
        </w:tc>
      </w:tr>
      <w:tr w14:paraId="04CC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right w:val="single" w:color="auto" w:sz="4" w:space="0"/>
            </w:tcBorders>
            <w:vAlign w:val="center"/>
          </w:tcPr>
          <w:p w14:paraId="1771B4D6">
            <w:pPr>
              <w:pStyle w:val="557"/>
            </w:pPr>
          </w:p>
        </w:tc>
        <w:tc>
          <w:tcPr>
            <w:tcW w:w="2073" w:type="dxa"/>
            <w:tcBorders>
              <w:top w:val="single" w:color="auto" w:sz="4" w:space="0"/>
              <w:left w:val="single" w:color="auto" w:sz="4" w:space="0"/>
              <w:bottom w:val="single" w:color="auto" w:sz="4" w:space="0"/>
              <w:right w:val="single" w:color="auto" w:sz="4" w:space="0"/>
            </w:tcBorders>
            <w:vAlign w:val="center"/>
          </w:tcPr>
          <w:p w14:paraId="00333297">
            <w:pPr>
              <w:pStyle w:val="557"/>
            </w:pPr>
            <w:r>
              <w:t>N</w:t>
            </w:r>
            <w:r>
              <w:rPr>
                <w:vertAlign w:val="subscript"/>
              </w:rPr>
              <w:t>2</w:t>
            </w:r>
          </w:p>
        </w:tc>
        <w:tc>
          <w:tcPr>
            <w:tcW w:w="2552" w:type="dxa"/>
            <w:tcBorders>
              <w:top w:val="single" w:color="auto" w:sz="4" w:space="0"/>
              <w:left w:val="single" w:color="auto" w:sz="4" w:space="0"/>
              <w:bottom w:val="single" w:color="auto" w:sz="4" w:space="0"/>
              <w:right w:val="single" w:color="auto" w:sz="4" w:space="0"/>
            </w:tcBorders>
            <w:vAlign w:val="center"/>
          </w:tcPr>
          <w:p w14:paraId="47286ADA">
            <w:pPr>
              <w:pStyle w:val="557"/>
            </w:pPr>
            <w:r>
              <w:t>4.8</w:t>
            </w:r>
          </w:p>
        </w:tc>
        <w:tc>
          <w:tcPr>
            <w:tcW w:w="2451" w:type="dxa"/>
            <w:tcBorders>
              <w:top w:val="single" w:color="auto" w:sz="4" w:space="0"/>
              <w:left w:val="single" w:color="auto" w:sz="4" w:space="0"/>
              <w:bottom w:val="single" w:color="auto" w:sz="4" w:space="0"/>
              <w:right w:val="single" w:color="auto" w:sz="4" w:space="0"/>
            </w:tcBorders>
            <w:vAlign w:val="center"/>
          </w:tcPr>
          <w:p w14:paraId="7497F62D">
            <w:pPr>
              <w:pStyle w:val="557"/>
            </w:pPr>
            <w:r>
              <w:t xml:space="preserve">8.75 </w:t>
            </w:r>
          </w:p>
        </w:tc>
      </w:tr>
      <w:tr w14:paraId="0E26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right w:val="single" w:color="auto" w:sz="4" w:space="0"/>
            </w:tcBorders>
            <w:vAlign w:val="center"/>
          </w:tcPr>
          <w:p w14:paraId="215F8DCA">
            <w:pPr>
              <w:pStyle w:val="557"/>
            </w:pPr>
          </w:p>
        </w:tc>
        <w:tc>
          <w:tcPr>
            <w:tcW w:w="2073" w:type="dxa"/>
            <w:tcBorders>
              <w:top w:val="single" w:color="auto" w:sz="4" w:space="0"/>
              <w:left w:val="single" w:color="auto" w:sz="4" w:space="0"/>
              <w:bottom w:val="single" w:color="auto" w:sz="4" w:space="0"/>
              <w:right w:val="single" w:color="auto" w:sz="4" w:space="0"/>
            </w:tcBorders>
            <w:vAlign w:val="center"/>
          </w:tcPr>
          <w:p w14:paraId="69CF3407">
            <w:pPr>
              <w:pStyle w:val="557"/>
            </w:pPr>
            <w:r>
              <w:t>H</w:t>
            </w:r>
            <w:r>
              <w:rPr>
                <w:vertAlign w:val="subscript"/>
              </w:rPr>
              <w:t>2</w:t>
            </w:r>
            <w:r>
              <w:t>S+COS</w:t>
            </w:r>
          </w:p>
        </w:tc>
        <w:tc>
          <w:tcPr>
            <w:tcW w:w="2552" w:type="dxa"/>
            <w:tcBorders>
              <w:top w:val="single" w:color="auto" w:sz="4" w:space="0"/>
              <w:left w:val="single" w:color="auto" w:sz="4" w:space="0"/>
              <w:bottom w:val="single" w:color="auto" w:sz="4" w:space="0"/>
              <w:right w:val="single" w:color="auto" w:sz="4" w:space="0"/>
            </w:tcBorders>
            <w:vAlign w:val="center"/>
          </w:tcPr>
          <w:p w14:paraId="4D0BF2D8">
            <w:pPr>
              <w:pStyle w:val="557"/>
            </w:pPr>
            <w:r>
              <w:rPr>
                <w:rFonts w:hint="eastAsia"/>
              </w:rPr>
              <w:t>25.29</w:t>
            </w:r>
          </w:p>
        </w:tc>
        <w:tc>
          <w:tcPr>
            <w:tcW w:w="2451" w:type="dxa"/>
            <w:tcBorders>
              <w:top w:val="single" w:color="auto" w:sz="4" w:space="0"/>
              <w:left w:val="single" w:color="auto" w:sz="4" w:space="0"/>
              <w:bottom w:val="single" w:color="auto" w:sz="4" w:space="0"/>
              <w:right w:val="single" w:color="auto" w:sz="4" w:space="0"/>
            </w:tcBorders>
            <w:vAlign w:val="center"/>
          </w:tcPr>
          <w:p w14:paraId="5E701D70">
            <w:pPr>
              <w:pStyle w:val="557"/>
            </w:pPr>
            <w:r>
              <w:rPr>
                <w:rFonts w:hint="eastAsia"/>
              </w:rPr>
              <w:t>203.45</w:t>
            </w:r>
          </w:p>
        </w:tc>
      </w:tr>
      <w:tr w14:paraId="0772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right w:val="single" w:color="auto" w:sz="4" w:space="0"/>
            </w:tcBorders>
            <w:vAlign w:val="center"/>
          </w:tcPr>
          <w:p w14:paraId="6943ED02">
            <w:pPr>
              <w:pStyle w:val="557"/>
            </w:pPr>
          </w:p>
        </w:tc>
        <w:tc>
          <w:tcPr>
            <w:tcW w:w="2073" w:type="dxa"/>
            <w:tcBorders>
              <w:top w:val="single" w:color="auto" w:sz="4" w:space="0"/>
              <w:left w:val="single" w:color="auto" w:sz="4" w:space="0"/>
              <w:bottom w:val="single" w:color="auto" w:sz="4" w:space="0"/>
              <w:right w:val="single" w:color="auto" w:sz="4" w:space="0"/>
            </w:tcBorders>
            <w:vAlign w:val="center"/>
          </w:tcPr>
          <w:p w14:paraId="6DE841F6">
            <w:pPr>
              <w:pStyle w:val="557"/>
            </w:pPr>
            <w:r>
              <w:t>CH</w:t>
            </w:r>
            <w:r>
              <w:rPr>
                <w:vertAlign w:val="subscript"/>
              </w:rPr>
              <w:t>3</w:t>
            </w:r>
            <w:r>
              <w:t>OH</w:t>
            </w:r>
          </w:p>
        </w:tc>
        <w:tc>
          <w:tcPr>
            <w:tcW w:w="2552" w:type="dxa"/>
            <w:tcBorders>
              <w:top w:val="single" w:color="auto" w:sz="4" w:space="0"/>
              <w:left w:val="single" w:color="auto" w:sz="4" w:space="0"/>
              <w:bottom w:val="single" w:color="auto" w:sz="4" w:space="0"/>
              <w:right w:val="single" w:color="auto" w:sz="4" w:space="0"/>
            </w:tcBorders>
            <w:vAlign w:val="center"/>
          </w:tcPr>
          <w:p w14:paraId="02376B37">
            <w:pPr>
              <w:pStyle w:val="557"/>
            </w:pPr>
            <w:r>
              <w:rPr>
                <w:rFonts w:hint="eastAsia"/>
              </w:rPr>
              <w:t>0.09</w:t>
            </w:r>
          </w:p>
        </w:tc>
        <w:tc>
          <w:tcPr>
            <w:tcW w:w="2451" w:type="dxa"/>
            <w:tcBorders>
              <w:top w:val="single" w:color="auto" w:sz="4" w:space="0"/>
              <w:left w:val="single" w:color="auto" w:sz="4" w:space="0"/>
              <w:bottom w:val="single" w:color="auto" w:sz="4" w:space="0"/>
              <w:right w:val="single" w:color="auto" w:sz="4" w:space="0"/>
            </w:tcBorders>
            <w:vAlign w:val="center"/>
          </w:tcPr>
          <w:p w14:paraId="2318BF60">
            <w:pPr>
              <w:pStyle w:val="557"/>
            </w:pPr>
            <w:r>
              <w:rPr>
                <w:rFonts w:hint="eastAsia"/>
              </w:rPr>
              <w:t>0.71</w:t>
            </w:r>
          </w:p>
        </w:tc>
      </w:tr>
      <w:tr w14:paraId="1FCE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428" w:type="dxa"/>
            <w:vMerge w:val="continue"/>
            <w:tcBorders>
              <w:left w:val="single" w:color="auto" w:sz="4" w:space="0"/>
              <w:bottom w:val="single" w:color="auto" w:sz="4" w:space="0"/>
              <w:right w:val="single" w:color="auto" w:sz="4" w:space="0"/>
            </w:tcBorders>
            <w:vAlign w:val="center"/>
          </w:tcPr>
          <w:p w14:paraId="4FCB61AB">
            <w:pPr>
              <w:pStyle w:val="557"/>
            </w:pPr>
          </w:p>
        </w:tc>
        <w:tc>
          <w:tcPr>
            <w:tcW w:w="2073" w:type="dxa"/>
            <w:tcBorders>
              <w:top w:val="single" w:color="auto" w:sz="4" w:space="0"/>
              <w:left w:val="single" w:color="auto" w:sz="4" w:space="0"/>
              <w:bottom w:val="single" w:color="auto" w:sz="4" w:space="0"/>
              <w:right w:val="single" w:color="auto" w:sz="4" w:space="0"/>
            </w:tcBorders>
            <w:vAlign w:val="center"/>
          </w:tcPr>
          <w:p w14:paraId="486EBFF4">
            <w:pPr>
              <w:pStyle w:val="557"/>
            </w:pPr>
            <w:r>
              <w:t>合计气量</w:t>
            </w:r>
          </w:p>
        </w:tc>
        <w:tc>
          <w:tcPr>
            <w:tcW w:w="2552" w:type="dxa"/>
            <w:tcBorders>
              <w:top w:val="single" w:color="auto" w:sz="4" w:space="0"/>
              <w:left w:val="single" w:color="auto" w:sz="4" w:space="0"/>
              <w:bottom w:val="single" w:color="auto" w:sz="4" w:space="0"/>
              <w:right w:val="single" w:color="auto" w:sz="4" w:space="0"/>
            </w:tcBorders>
            <w:vAlign w:val="center"/>
          </w:tcPr>
          <w:p w14:paraId="5BC6BD85">
            <w:pPr>
              <w:pStyle w:val="557"/>
            </w:pPr>
            <w:r>
              <w:t>100</w:t>
            </w:r>
          </w:p>
        </w:tc>
        <w:tc>
          <w:tcPr>
            <w:tcW w:w="2451" w:type="dxa"/>
            <w:tcBorders>
              <w:top w:val="single" w:color="auto" w:sz="4" w:space="0"/>
              <w:left w:val="single" w:color="auto" w:sz="4" w:space="0"/>
              <w:bottom w:val="single" w:color="auto" w:sz="4" w:space="0"/>
              <w:right w:val="single" w:color="auto" w:sz="4" w:space="0"/>
            </w:tcBorders>
            <w:vAlign w:val="center"/>
          </w:tcPr>
          <w:p w14:paraId="726174E6">
            <w:pPr>
              <w:pStyle w:val="557"/>
            </w:pPr>
            <w:r>
              <w:rPr>
                <w:rFonts w:hint="eastAsia"/>
              </w:rPr>
              <w:t>712.35</w:t>
            </w:r>
          </w:p>
        </w:tc>
      </w:tr>
    </w:tbl>
    <w:p w14:paraId="53799BD0">
      <w:pPr>
        <w:pStyle w:val="281"/>
        <w:ind w:firstLine="480"/>
      </w:pPr>
      <w:r>
        <w:rPr>
          <w:rFonts w:hint="eastAsia" w:ascii="宋体" w:hAnsi="宋体"/>
          <w:szCs w:val="24"/>
          <w:u w:color="000000"/>
        </w:rPr>
        <w:t>③</w:t>
      </w:r>
      <w:r>
        <w:rPr>
          <w:rFonts w:hint="eastAsia"/>
        </w:rPr>
        <w:t>无组织废气（G</w:t>
      </w:r>
      <w:r>
        <w:rPr>
          <w:vertAlign w:val="subscript"/>
        </w:rPr>
        <w:t>2-</w:t>
      </w:r>
      <w:r>
        <w:rPr>
          <w:rFonts w:hint="eastAsia"/>
          <w:vertAlign w:val="subscript"/>
        </w:rPr>
        <w:t>4</w:t>
      </w:r>
      <w:r>
        <w:rPr>
          <w:rFonts w:hint="eastAsia"/>
        </w:rPr>
        <w:t>）</w:t>
      </w:r>
    </w:p>
    <w:p w14:paraId="7B5B5B84">
      <w:pPr>
        <w:pStyle w:val="281"/>
        <w:ind w:firstLine="480"/>
      </w:pPr>
      <w:r>
        <w:rPr>
          <w:rFonts w:hint="eastAsia"/>
        </w:rPr>
        <w:t>低温甲醇洗单元设备动静密封点无组织排放</w:t>
      </w:r>
      <w:r>
        <w:rPr>
          <w:bCs/>
        </w:rPr>
        <w:t>挥发性有机物</w:t>
      </w:r>
      <w:r>
        <w:rPr>
          <w:rFonts w:hint="eastAsia"/>
        </w:rPr>
        <w:t>依据《污染源源强核算技术指南 化肥工业（HJ994-2018）》</w:t>
      </w:r>
      <w:r>
        <w:rPr>
          <w:rFonts w:hint="eastAsia" w:ascii="宋体" w:hAnsi="宋体"/>
          <w:bCs/>
        </w:rPr>
        <w:t>设备与管线组件密封点泄漏挥发性有机物排放量计算方法</w:t>
      </w:r>
      <w:r>
        <w:rPr>
          <w:rFonts w:hint="eastAsia"/>
        </w:rPr>
        <w:t>。</w:t>
      </w:r>
    </w:p>
    <w:p w14:paraId="7AD2D8CD">
      <w:pPr>
        <w:pStyle w:val="281"/>
        <w:ind w:firstLine="480"/>
        <w:jc w:val="center"/>
      </w:pPr>
      <w:r>
        <w:drawing>
          <wp:inline distT="0" distB="0" distL="0" distR="0">
            <wp:extent cx="2751455" cy="727710"/>
            <wp:effectExtent l="0" t="0" r="10795" b="15240"/>
            <wp:docPr id="957158715"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58715" name="图片 2" descr="图示, 示意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53153" cy="728178"/>
                    </a:xfrm>
                    <a:prstGeom prst="rect">
                      <a:avLst/>
                    </a:prstGeom>
                    <a:noFill/>
                    <a:ln>
                      <a:noFill/>
                    </a:ln>
                  </pic:spPr>
                </pic:pic>
              </a:graphicData>
            </a:graphic>
          </wp:inline>
        </w:drawing>
      </w:r>
    </w:p>
    <w:p w14:paraId="05D42870">
      <w:pPr>
        <w:pStyle w:val="281"/>
        <w:ind w:firstLine="480"/>
        <w:rPr>
          <w:sz w:val="21"/>
        </w:rPr>
      </w:pPr>
      <w:r>
        <w:t>式中：</w:t>
      </w:r>
      <w:r>
        <w:rPr>
          <w:sz w:val="21"/>
        </w:rPr>
        <w:t xml:space="preserve">D </w:t>
      </w:r>
      <w:r>
        <w:rPr>
          <w:sz w:val="21"/>
          <w:vertAlign w:val="subscript"/>
        </w:rPr>
        <w:t>设备</w:t>
      </w:r>
      <w:r>
        <w:rPr>
          <w:rFonts w:hint="eastAsia"/>
          <w:sz w:val="21"/>
        </w:rPr>
        <w:t>-</w:t>
      </w:r>
      <w:r>
        <w:rPr>
          <w:sz w:val="21"/>
        </w:rPr>
        <w:t>设备与管线组件密封点泄漏的挥发性有机物排放量，kg/a；</w:t>
      </w:r>
    </w:p>
    <w:p w14:paraId="371FFCD2">
      <w:pPr>
        <w:pStyle w:val="281"/>
        <w:ind w:firstLine="420"/>
        <w:rPr>
          <w:sz w:val="21"/>
        </w:rPr>
      </w:pPr>
      <w:r>
        <w:rPr>
          <w:sz w:val="21"/>
        </w:rPr>
        <w:t>α</w:t>
      </w:r>
      <w:r>
        <w:rPr>
          <w:rFonts w:hint="eastAsia"/>
          <w:sz w:val="21"/>
        </w:rPr>
        <w:t>-</w:t>
      </w:r>
      <w:r>
        <w:rPr>
          <w:sz w:val="21"/>
        </w:rPr>
        <w:t>设备与管线组件密封点泄漏比例</w:t>
      </w:r>
      <w:r>
        <w:rPr>
          <w:rFonts w:hint="eastAsia"/>
          <w:sz w:val="21"/>
        </w:rPr>
        <w:t>，取值0.003；</w:t>
      </w:r>
    </w:p>
    <w:p w14:paraId="6132DD9A">
      <w:pPr>
        <w:pStyle w:val="281"/>
        <w:ind w:firstLine="420"/>
        <w:rPr>
          <w:sz w:val="21"/>
        </w:rPr>
      </w:pPr>
      <w:r>
        <w:rPr>
          <w:sz w:val="21"/>
        </w:rPr>
        <w:t>n</w:t>
      </w:r>
      <w:r>
        <w:rPr>
          <w:rFonts w:hint="eastAsia"/>
          <w:sz w:val="21"/>
        </w:rPr>
        <w:t>-</w:t>
      </w:r>
      <w:r>
        <w:rPr>
          <w:sz w:val="21"/>
        </w:rPr>
        <w:t>挥发性有机物流经的设备与管线组件密封点数；</w:t>
      </w:r>
    </w:p>
    <w:p w14:paraId="776C4A90">
      <w:pPr>
        <w:pStyle w:val="281"/>
        <w:ind w:firstLine="420"/>
        <w:rPr>
          <w:sz w:val="21"/>
        </w:rPr>
      </w:pPr>
      <w:r>
        <w:rPr>
          <w:sz w:val="21"/>
        </w:rPr>
        <w:t>e</w:t>
      </w:r>
      <w:r>
        <w:rPr>
          <w:sz w:val="21"/>
          <w:vertAlign w:val="subscript"/>
        </w:rPr>
        <w:t>TOC,i</w:t>
      </w:r>
      <w:r>
        <w:rPr>
          <w:rFonts w:hint="eastAsia"/>
          <w:sz w:val="21"/>
        </w:rPr>
        <w:t>-</w:t>
      </w:r>
      <w:r>
        <w:rPr>
          <w:sz w:val="21"/>
        </w:rPr>
        <w:t>密封点 i 的总有机碳（TOC）排放速率，kg/h；</w:t>
      </w:r>
    </w:p>
    <w:p w14:paraId="10756C8D">
      <w:pPr>
        <w:pStyle w:val="281"/>
        <w:ind w:firstLine="420"/>
        <w:rPr>
          <w:sz w:val="21"/>
        </w:rPr>
      </w:pPr>
      <w:r>
        <w:rPr>
          <w:sz w:val="21"/>
        </w:rPr>
        <w:t>WF</w:t>
      </w:r>
      <w:r>
        <w:rPr>
          <w:sz w:val="21"/>
          <w:vertAlign w:val="subscript"/>
        </w:rPr>
        <w:t>VOCs,i</w:t>
      </w:r>
      <w:r>
        <w:rPr>
          <w:rFonts w:hint="eastAsia"/>
          <w:sz w:val="21"/>
        </w:rPr>
        <w:t>-</w:t>
      </w:r>
      <w:r>
        <w:rPr>
          <w:sz w:val="21"/>
        </w:rPr>
        <w:t>流经密封点 i 的物料中挥发性有机物设计平均质量分数，量纲一的量；</w:t>
      </w:r>
    </w:p>
    <w:p w14:paraId="03D228FB">
      <w:pPr>
        <w:pStyle w:val="281"/>
        <w:ind w:firstLine="420"/>
        <w:rPr>
          <w:sz w:val="21"/>
        </w:rPr>
      </w:pPr>
      <w:r>
        <w:rPr>
          <w:sz w:val="21"/>
        </w:rPr>
        <w:t>WF</w:t>
      </w:r>
      <w:r>
        <w:rPr>
          <w:sz w:val="21"/>
          <w:vertAlign w:val="subscript"/>
        </w:rPr>
        <w:t>TOC,i</w:t>
      </w:r>
      <w:r>
        <w:rPr>
          <w:rFonts w:hint="eastAsia"/>
          <w:sz w:val="21"/>
        </w:rPr>
        <w:t>-</w:t>
      </w:r>
      <w:r>
        <w:rPr>
          <w:sz w:val="21"/>
        </w:rPr>
        <w:t>流经密封点 i 的物料中总有机碳（TOC）设计平均质量分数，量纲一的量；</w:t>
      </w:r>
    </w:p>
    <w:p w14:paraId="307ACACD">
      <w:pPr>
        <w:pStyle w:val="281"/>
        <w:ind w:firstLine="420"/>
      </w:pPr>
      <w:r>
        <w:rPr>
          <w:sz w:val="21"/>
        </w:rPr>
        <w:t>t</w:t>
      </w:r>
      <w:r>
        <w:rPr>
          <w:sz w:val="21"/>
          <w:vertAlign w:val="subscript"/>
        </w:rPr>
        <w:t>i</w:t>
      </w:r>
      <w:r>
        <w:rPr>
          <w:sz w:val="21"/>
        </w:rPr>
        <w:t>——密封点 i 的设计年运行时间，h/a。</w:t>
      </w:r>
    </w:p>
    <w:p w14:paraId="71C2D4FD">
      <w:pPr>
        <w:pStyle w:val="281"/>
        <w:ind w:firstLine="480"/>
        <w:rPr>
          <w:u w:color="000000"/>
        </w:rPr>
      </w:pPr>
      <w:r>
        <w:rPr>
          <w:rFonts w:hint="eastAsia"/>
          <w:u w:color="000000"/>
        </w:rPr>
        <w:t>低温甲醇洗单元</w:t>
      </w:r>
      <w:r>
        <w:rPr>
          <w:rFonts w:hint="eastAsia"/>
        </w:rPr>
        <w:t>挥发性有机物</w:t>
      </w:r>
      <w:r>
        <w:rPr>
          <w:rFonts w:hint="eastAsia"/>
          <w:u w:color="000000"/>
        </w:rPr>
        <w:t>无组织排放</w:t>
      </w:r>
      <w:r>
        <w:rPr>
          <w:rFonts w:hint="eastAsia" w:ascii="宋体" w:hAnsi="宋体"/>
          <w:bCs/>
        </w:rPr>
        <w:t>计算结果见</w:t>
      </w:r>
      <w:r>
        <w:rPr>
          <w:rFonts w:hint="eastAsia"/>
        </w:rPr>
        <w:t>表</w:t>
      </w:r>
      <w:r>
        <w:t>3.2.</w:t>
      </w:r>
      <w:r>
        <w:rPr>
          <w:rFonts w:hint="eastAsia"/>
        </w:rPr>
        <w:t>3</w:t>
      </w:r>
      <w:r>
        <w:t>-</w:t>
      </w:r>
      <w:r>
        <w:rPr>
          <w:rFonts w:hint="eastAsia"/>
        </w:rPr>
        <w:t>31。</w:t>
      </w:r>
    </w:p>
    <w:p w14:paraId="5A71E8CB">
      <w:pPr>
        <w:pStyle w:val="541"/>
        <w:rPr>
          <w:rFonts w:hint="eastAsia"/>
          <w:u w:color="000000"/>
        </w:rPr>
      </w:pPr>
      <w:r>
        <w:rPr>
          <w:rFonts w:hint="eastAsia"/>
        </w:rPr>
        <w:t>表</w:t>
      </w:r>
      <w:r>
        <w:t>3.2.</w:t>
      </w:r>
      <w:r>
        <w:rPr>
          <w:rFonts w:hint="eastAsia"/>
        </w:rPr>
        <w:t>3</w:t>
      </w:r>
      <w:r>
        <w:t>-</w:t>
      </w:r>
      <w:r>
        <w:rPr>
          <w:rFonts w:hint="eastAsia"/>
        </w:rPr>
        <w:t>31</w:t>
      </w:r>
      <w:r>
        <w:rPr>
          <w:u w:color="000000"/>
        </w:rPr>
        <w:t xml:space="preserve"> </w:t>
      </w:r>
      <w:r>
        <w:rPr>
          <w:rFonts w:hint="eastAsia"/>
          <w:u w:color="000000"/>
        </w:rPr>
        <w:t xml:space="preserve">   低温甲醇洗单元无组织排放废气核算表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096"/>
        <w:gridCol w:w="1026"/>
        <w:gridCol w:w="1257"/>
        <w:gridCol w:w="1066"/>
      </w:tblGrid>
      <w:tr w14:paraId="4FEA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noWrap/>
            <w:vAlign w:val="center"/>
          </w:tcPr>
          <w:p w14:paraId="5EFC8963">
            <w:pPr>
              <w:pStyle w:val="557"/>
            </w:pPr>
            <w:r>
              <w:t>设备类型</w:t>
            </w:r>
          </w:p>
        </w:tc>
        <w:tc>
          <w:tcPr>
            <w:tcW w:w="1559" w:type="dxa"/>
            <w:noWrap/>
            <w:vAlign w:val="center"/>
          </w:tcPr>
          <w:p w14:paraId="192F8C69">
            <w:pPr>
              <w:pStyle w:val="557"/>
            </w:pPr>
            <w:r>
              <w:t>排放系数e</w:t>
            </w:r>
            <w:r>
              <w:rPr>
                <w:vertAlign w:val="subscript"/>
              </w:rPr>
              <w:t>TOC,i</w:t>
            </w:r>
          </w:p>
        </w:tc>
        <w:tc>
          <w:tcPr>
            <w:tcW w:w="1096" w:type="dxa"/>
            <w:noWrap/>
            <w:vAlign w:val="center"/>
          </w:tcPr>
          <w:p w14:paraId="502A4BC5">
            <w:pPr>
              <w:pStyle w:val="557"/>
            </w:pPr>
            <w:r>
              <w:t>个数</w:t>
            </w:r>
          </w:p>
        </w:tc>
        <w:tc>
          <w:tcPr>
            <w:tcW w:w="0" w:type="auto"/>
            <w:noWrap/>
            <w:vAlign w:val="center"/>
          </w:tcPr>
          <w:p w14:paraId="01A9A42E">
            <w:pPr>
              <w:pStyle w:val="557"/>
            </w:pPr>
            <w:r>
              <w:t>排放时间h</w:t>
            </w:r>
          </w:p>
        </w:tc>
        <w:tc>
          <w:tcPr>
            <w:tcW w:w="0" w:type="auto"/>
            <w:noWrap/>
            <w:vAlign w:val="center"/>
          </w:tcPr>
          <w:p w14:paraId="640C237E">
            <w:pPr>
              <w:pStyle w:val="557"/>
            </w:pPr>
            <w:r>
              <w:t>排放速率kg/h</w:t>
            </w:r>
          </w:p>
        </w:tc>
        <w:tc>
          <w:tcPr>
            <w:tcW w:w="0" w:type="auto"/>
            <w:noWrap/>
            <w:vAlign w:val="center"/>
          </w:tcPr>
          <w:p w14:paraId="40BA8E1D">
            <w:pPr>
              <w:pStyle w:val="557"/>
            </w:pPr>
            <w:r>
              <w:t>排放量kg/a</w:t>
            </w:r>
          </w:p>
        </w:tc>
      </w:tr>
      <w:tr w14:paraId="1922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7BA30D3A">
            <w:pPr>
              <w:pStyle w:val="557"/>
            </w:pPr>
            <w:r>
              <w:t>连接件</w:t>
            </w:r>
          </w:p>
        </w:tc>
        <w:tc>
          <w:tcPr>
            <w:tcW w:w="1559" w:type="dxa"/>
            <w:noWrap/>
            <w:vAlign w:val="center"/>
          </w:tcPr>
          <w:p w14:paraId="393F645B">
            <w:pPr>
              <w:jc w:val="center"/>
              <w:textAlignment w:val="center"/>
              <w:rPr>
                <w:rFonts w:hint="eastAsia"/>
              </w:rPr>
            </w:pPr>
            <w:r>
              <w:rPr>
                <w:rFonts w:ascii="Times New Roman" w:hAnsi="Times New Roman" w:cs="Times New Roman"/>
                <w:color w:val="000000"/>
                <w:sz w:val="18"/>
                <w:szCs w:val="18"/>
              </w:rPr>
              <w:t>0.028</w:t>
            </w:r>
          </w:p>
        </w:tc>
        <w:tc>
          <w:tcPr>
            <w:tcW w:w="1096" w:type="dxa"/>
            <w:noWrap/>
            <w:vAlign w:val="center"/>
          </w:tcPr>
          <w:p w14:paraId="4FF9BB51">
            <w:pPr>
              <w:jc w:val="center"/>
              <w:textAlignment w:val="center"/>
              <w:rPr>
                <w:rFonts w:hint="eastAsia"/>
              </w:rPr>
            </w:pPr>
            <w:r>
              <w:rPr>
                <w:rFonts w:ascii="Times New Roman" w:hAnsi="Times New Roman" w:cs="Times New Roman"/>
                <w:color w:val="000000"/>
                <w:sz w:val="18"/>
                <w:szCs w:val="18"/>
              </w:rPr>
              <w:t>1000</w:t>
            </w:r>
          </w:p>
        </w:tc>
        <w:tc>
          <w:tcPr>
            <w:tcW w:w="1026" w:type="dxa"/>
            <w:noWrap/>
            <w:vAlign w:val="center"/>
          </w:tcPr>
          <w:p w14:paraId="3A93FE79">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5A963EF3">
            <w:pPr>
              <w:jc w:val="center"/>
              <w:textAlignment w:val="center"/>
              <w:rPr>
                <w:rFonts w:hint="eastAsia"/>
              </w:rPr>
            </w:pPr>
            <w:r>
              <w:rPr>
                <w:rFonts w:ascii="Times New Roman" w:hAnsi="Times New Roman" w:cs="Times New Roman"/>
                <w:color w:val="000000"/>
                <w:sz w:val="18"/>
                <w:szCs w:val="18"/>
              </w:rPr>
              <w:t>28</w:t>
            </w:r>
          </w:p>
        </w:tc>
        <w:tc>
          <w:tcPr>
            <w:tcW w:w="1066" w:type="dxa"/>
            <w:noWrap/>
            <w:vAlign w:val="center"/>
          </w:tcPr>
          <w:p w14:paraId="50F9C5B2">
            <w:pPr>
              <w:jc w:val="center"/>
              <w:textAlignment w:val="center"/>
              <w:rPr>
                <w:rFonts w:hint="eastAsia"/>
              </w:rPr>
            </w:pPr>
            <w:r>
              <w:rPr>
                <w:rFonts w:ascii="Times New Roman" w:hAnsi="Times New Roman" w:cs="Times New Roman"/>
                <w:color w:val="000000"/>
                <w:sz w:val="18"/>
                <w:szCs w:val="18"/>
              </w:rPr>
              <w:t>224000</w:t>
            </w:r>
          </w:p>
        </w:tc>
      </w:tr>
      <w:tr w14:paraId="66B1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C53FCE1">
            <w:pPr>
              <w:pStyle w:val="557"/>
            </w:pPr>
            <w:r>
              <w:t>开口阀或开口管线</w:t>
            </w:r>
          </w:p>
        </w:tc>
        <w:tc>
          <w:tcPr>
            <w:tcW w:w="1559" w:type="dxa"/>
            <w:noWrap/>
            <w:vAlign w:val="center"/>
          </w:tcPr>
          <w:p w14:paraId="4D192239">
            <w:pPr>
              <w:jc w:val="center"/>
              <w:textAlignment w:val="center"/>
              <w:rPr>
                <w:rFonts w:hint="eastAsia"/>
              </w:rPr>
            </w:pPr>
            <w:r>
              <w:rPr>
                <w:rFonts w:ascii="Times New Roman" w:hAnsi="Times New Roman" w:cs="Times New Roman"/>
                <w:color w:val="000000"/>
                <w:sz w:val="18"/>
                <w:szCs w:val="18"/>
              </w:rPr>
              <w:t>0.03</w:t>
            </w:r>
          </w:p>
        </w:tc>
        <w:tc>
          <w:tcPr>
            <w:tcW w:w="1096" w:type="dxa"/>
            <w:noWrap/>
            <w:vAlign w:val="center"/>
          </w:tcPr>
          <w:p w14:paraId="5842C06B">
            <w:pPr>
              <w:jc w:val="center"/>
              <w:textAlignment w:val="center"/>
              <w:rPr>
                <w:rFonts w:hint="eastAsia"/>
              </w:rPr>
            </w:pPr>
            <w:r>
              <w:rPr>
                <w:rFonts w:ascii="Times New Roman" w:hAnsi="Times New Roman" w:cs="Times New Roman"/>
                <w:color w:val="000000"/>
                <w:sz w:val="18"/>
                <w:szCs w:val="18"/>
              </w:rPr>
              <w:t>5</w:t>
            </w:r>
          </w:p>
        </w:tc>
        <w:tc>
          <w:tcPr>
            <w:tcW w:w="1026" w:type="dxa"/>
            <w:noWrap/>
            <w:vAlign w:val="center"/>
          </w:tcPr>
          <w:p w14:paraId="13DCAF4D">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43DDC11">
            <w:pPr>
              <w:jc w:val="center"/>
              <w:textAlignment w:val="center"/>
              <w:rPr>
                <w:rFonts w:hint="eastAsia"/>
              </w:rPr>
            </w:pPr>
            <w:r>
              <w:rPr>
                <w:rFonts w:ascii="Times New Roman" w:hAnsi="Times New Roman" w:cs="Times New Roman"/>
                <w:color w:val="000000"/>
                <w:sz w:val="18"/>
                <w:szCs w:val="18"/>
              </w:rPr>
              <w:t>0.15</w:t>
            </w:r>
          </w:p>
        </w:tc>
        <w:tc>
          <w:tcPr>
            <w:tcW w:w="1066" w:type="dxa"/>
            <w:noWrap/>
            <w:vAlign w:val="center"/>
          </w:tcPr>
          <w:p w14:paraId="24302968">
            <w:pPr>
              <w:jc w:val="center"/>
              <w:textAlignment w:val="center"/>
              <w:rPr>
                <w:rFonts w:hint="eastAsia"/>
              </w:rPr>
            </w:pPr>
            <w:r>
              <w:rPr>
                <w:rFonts w:ascii="Times New Roman" w:hAnsi="Times New Roman" w:cs="Times New Roman"/>
                <w:color w:val="000000"/>
                <w:sz w:val="18"/>
                <w:szCs w:val="18"/>
              </w:rPr>
              <w:t>1200</w:t>
            </w:r>
          </w:p>
        </w:tc>
      </w:tr>
      <w:tr w14:paraId="6057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839B547">
            <w:pPr>
              <w:pStyle w:val="557"/>
            </w:pPr>
            <w:r>
              <w:t>阀门</w:t>
            </w:r>
          </w:p>
        </w:tc>
        <w:tc>
          <w:tcPr>
            <w:tcW w:w="1559" w:type="dxa"/>
            <w:noWrap/>
            <w:vAlign w:val="center"/>
          </w:tcPr>
          <w:p w14:paraId="18EC27C8">
            <w:pPr>
              <w:jc w:val="center"/>
              <w:textAlignment w:val="center"/>
              <w:rPr>
                <w:rFonts w:hint="eastAsia"/>
              </w:rPr>
            </w:pPr>
            <w:r>
              <w:rPr>
                <w:rFonts w:ascii="Times New Roman" w:hAnsi="Times New Roman" w:cs="Times New Roman"/>
                <w:color w:val="000000"/>
                <w:sz w:val="18"/>
                <w:szCs w:val="18"/>
              </w:rPr>
              <w:t>0.064</w:t>
            </w:r>
          </w:p>
        </w:tc>
        <w:tc>
          <w:tcPr>
            <w:tcW w:w="1096" w:type="dxa"/>
            <w:noWrap/>
            <w:vAlign w:val="center"/>
          </w:tcPr>
          <w:p w14:paraId="36BEE5F8">
            <w:pPr>
              <w:jc w:val="center"/>
              <w:textAlignment w:val="center"/>
              <w:rPr>
                <w:rFonts w:hint="eastAsia"/>
              </w:rPr>
            </w:pPr>
            <w:r>
              <w:rPr>
                <w:rFonts w:ascii="Times New Roman" w:hAnsi="Times New Roman" w:cs="Times New Roman"/>
                <w:color w:val="000000"/>
                <w:sz w:val="18"/>
                <w:szCs w:val="18"/>
              </w:rPr>
              <w:t>175</w:t>
            </w:r>
          </w:p>
        </w:tc>
        <w:tc>
          <w:tcPr>
            <w:tcW w:w="1026" w:type="dxa"/>
            <w:noWrap/>
            <w:vAlign w:val="center"/>
          </w:tcPr>
          <w:p w14:paraId="54892B6A">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2D5376EC">
            <w:pPr>
              <w:jc w:val="center"/>
              <w:textAlignment w:val="center"/>
              <w:rPr>
                <w:rFonts w:hint="eastAsia"/>
              </w:rPr>
            </w:pPr>
            <w:r>
              <w:rPr>
                <w:rFonts w:ascii="Times New Roman" w:hAnsi="Times New Roman" w:cs="Times New Roman"/>
                <w:color w:val="000000"/>
                <w:sz w:val="18"/>
                <w:szCs w:val="18"/>
              </w:rPr>
              <w:t>11.2</w:t>
            </w:r>
          </w:p>
        </w:tc>
        <w:tc>
          <w:tcPr>
            <w:tcW w:w="1066" w:type="dxa"/>
            <w:noWrap/>
            <w:vAlign w:val="center"/>
          </w:tcPr>
          <w:p w14:paraId="76060769">
            <w:pPr>
              <w:jc w:val="center"/>
              <w:textAlignment w:val="center"/>
              <w:rPr>
                <w:rFonts w:hint="eastAsia"/>
              </w:rPr>
            </w:pPr>
            <w:r>
              <w:rPr>
                <w:rFonts w:ascii="Times New Roman" w:hAnsi="Times New Roman" w:cs="Times New Roman"/>
                <w:color w:val="000000"/>
                <w:sz w:val="18"/>
                <w:szCs w:val="18"/>
              </w:rPr>
              <w:t>89600</w:t>
            </w:r>
          </w:p>
        </w:tc>
      </w:tr>
      <w:tr w14:paraId="15AC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C39D709">
            <w:pPr>
              <w:pStyle w:val="557"/>
            </w:pPr>
            <w:r>
              <w:t>压缩机、搅拌器、泄压设备</w:t>
            </w:r>
          </w:p>
        </w:tc>
        <w:tc>
          <w:tcPr>
            <w:tcW w:w="1559" w:type="dxa"/>
            <w:noWrap/>
            <w:vAlign w:val="center"/>
          </w:tcPr>
          <w:p w14:paraId="21FB2905">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3B6179DC">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258CCCFB">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25A08DC8">
            <w:pPr>
              <w:jc w:val="center"/>
              <w:rPr>
                <w:rFonts w:hint="eastAsia"/>
              </w:rPr>
            </w:pPr>
            <w:r>
              <w:rPr>
                <w:rFonts w:hint="eastAsia"/>
              </w:rPr>
              <w:t>/</w:t>
            </w:r>
          </w:p>
        </w:tc>
        <w:tc>
          <w:tcPr>
            <w:tcW w:w="1066" w:type="dxa"/>
            <w:noWrap/>
            <w:vAlign w:val="center"/>
          </w:tcPr>
          <w:p w14:paraId="1B6BE7E8">
            <w:pPr>
              <w:jc w:val="center"/>
              <w:rPr>
                <w:rFonts w:hint="eastAsia"/>
              </w:rPr>
            </w:pPr>
            <w:r>
              <w:rPr>
                <w:rFonts w:hint="eastAsia"/>
              </w:rPr>
              <w:t>/</w:t>
            </w:r>
          </w:p>
        </w:tc>
      </w:tr>
      <w:tr w14:paraId="0279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440DC87">
            <w:pPr>
              <w:pStyle w:val="557"/>
            </w:pPr>
            <w:r>
              <w:t>泵</w:t>
            </w:r>
          </w:p>
        </w:tc>
        <w:tc>
          <w:tcPr>
            <w:tcW w:w="1559" w:type="dxa"/>
            <w:noWrap/>
            <w:vAlign w:val="center"/>
          </w:tcPr>
          <w:p w14:paraId="1758DCC5">
            <w:pPr>
              <w:jc w:val="center"/>
              <w:textAlignment w:val="center"/>
              <w:rPr>
                <w:rFonts w:hint="eastAsia"/>
              </w:rPr>
            </w:pPr>
            <w:r>
              <w:rPr>
                <w:rFonts w:ascii="Times New Roman" w:hAnsi="Times New Roman" w:cs="Times New Roman"/>
                <w:color w:val="000000"/>
                <w:sz w:val="18"/>
                <w:szCs w:val="18"/>
              </w:rPr>
              <w:t>0.074</w:t>
            </w:r>
          </w:p>
        </w:tc>
        <w:tc>
          <w:tcPr>
            <w:tcW w:w="1096" w:type="dxa"/>
            <w:noWrap/>
            <w:vAlign w:val="center"/>
          </w:tcPr>
          <w:p w14:paraId="471A2E1C">
            <w:pPr>
              <w:jc w:val="center"/>
              <w:textAlignment w:val="center"/>
              <w:rPr>
                <w:rFonts w:hint="eastAsia"/>
              </w:rPr>
            </w:pPr>
            <w:r>
              <w:rPr>
                <w:rFonts w:ascii="Times New Roman" w:hAnsi="Times New Roman" w:cs="Times New Roman"/>
                <w:color w:val="000000"/>
                <w:sz w:val="18"/>
                <w:szCs w:val="18"/>
              </w:rPr>
              <w:t>6</w:t>
            </w:r>
          </w:p>
        </w:tc>
        <w:tc>
          <w:tcPr>
            <w:tcW w:w="1026" w:type="dxa"/>
            <w:noWrap/>
            <w:vAlign w:val="center"/>
          </w:tcPr>
          <w:p w14:paraId="5267B905">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7031CE47">
            <w:pPr>
              <w:jc w:val="center"/>
              <w:textAlignment w:val="center"/>
              <w:rPr>
                <w:rFonts w:hint="eastAsia"/>
              </w:rPr>
            </w:pPr>
            <w:r>
              <w:rPr>
                <w:rFonts w:ascii="Times New Roman" w:hAnsi="Times New Roman" w:cs="Times New Roman"/>
                <w:color w:val="000000"/>
                <w:sz w:val="18"/>
                <w:szCs w:val="18"/>
              </w:rPr>
              <w:t>0.444</w:t>
            </w:r>
          </w:p>
        </w:tc>
        <w:tc>
          <w:tcPr>
            <w:tcW w:w="1066" w:type="dxa"/>
            <w:noWrap/>
            <w:vAlign w:val="center"/>
          </w:tcPr>
          <w:p w14:paraId="41C3755A">
            <w:pPr>
              <w:jc w:val="center"/>
              <w:textAlignment w:val="center"/>
              <w:rPr>
                <w:rFonts w:hint="eastAsia"/>
              </w:rPr>
            </w:pPr>
            <w:r>
              <w:rPr>
                <w:rFonts w:ascii="Times New Roman" w:hAnsi="Times New Roman" w:cs="Times New Roman"/>
                <w:color w:val="000000"/>
                <w:sz w:val="18"/>
                <w:szCs w:val="18"/>
              </w:rPr>
              <w:t>3552</w:t>
            </w:r>
          </w:p>
        </w:tc>
      </w:tr>
      <w:tr w14:paraId="5E4F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496D3BE">
            <w:pPr>
              <w:pStyle w:val="557"/>
            </w:pPr>
            <w:r>
              <w:t>法兰</w:t>
            </w:r>
          </w:p>
        </w:tc>
        <w:tc>
          <w:tcPr>
            <w:tcW w:w="1559" w:type="dxa"/>
            <w:noWrap/>
            <w:vAlign w:val="center"/>
          </w:tcPr>
          <w:p w14:paraId="7945D2E6">
            <w:pPr>
              <w:jc w:val="center"/>
              <w:textAlignment w:val="center"/>
              <w:rPr>
                <w:rFonts w:hint="eastAsia"/>
              </w:rPr>
            </w:pPr>
            <w:r>
              <w:rPr>
                <w:rFonts w:ascii="Times New Roman" w:hAnsi="Times New Roman" w:cs="Times New Roman"/>
                <w:color w:val="000000"/>
                <w:sz w:val="18"/>
                <w:szCs w:val="18"/>
              </w:rPr>
              <w:t>0.085</w:t>
            </w:r>
          </w:p>
        </w:tc>
        <w:tc>
          <w:tcPr>
            <w:tcW w:w="1096" w:type="dxa"/>
            <w:noWrap/>
            <w:vAlign w:val="center"/>
          </w:tcPr>
          <w:p w14:paraId="06B8BF37">
            <w:pPr>
              <w:jc w:val="center"/>
              <w:textAlignment w:val="center"/>
              <w:rPr>
                <w:rFonts w:hint="eastAsia"/>
              </w:rPr>
            </w:pPr>
            <w:r>
              <w:rPr>
                <w:rFonts w:ascii="Times New Roman" w:hAnsi="Times New Roman" w:cs="Times New Roman"/>
                <w:color w:val="000000"/>
                <w:sz w:val="18"/>
                <w:szCs w:val="18"/>
              </w:rPr>
              <w:t>2000</w:t>
            </w:r>
          </w:p>
        </w:tc>
        <w:tc>
          <w:tcPr>
            <w:tcW w:w="1026" w:type="dxa"/>
            <w:noWrap/>
            <w:vAlign w:val="center"/>
          </w:tcPr>
          <w:p w14:paraId="788C459E">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3857B7C8">
            <w:pPr>
              <w:jc w:val="center"/>
              <w:textAlignment w:val="center"/>
              <w:rPr>
                <w:rFonts w:hint="eastAsia"/>
              </w:rPr>
            </w:pPr>
            <w:r>
              <w:rPr>
                <w:rFonts w:ascii="Times New Roman" w:hAnsi="Times New Roman" w:cs="Times New Roman"/>
                <w:color w:val="000000"/>
                <w:sz w:val="18"/>
                <w:szCs w:val="18"/>
              </w:rPr>
              <w:t>170</w:t>
            </w:r>
          </w:p>
        </w:tc>
        <w:tc>
          <w:tcPr>
            <w:tcW w:w="1066" w:type="dxa"/>
            <w:noWrap/>
            <w:vAlign w:val="center"/>
          </w:tcPr>
          <w:p w14:paraId="18325763">
            <w:pPr>
              <w:jc w:val="center"/>
              <w:textAlignment w:val="center"/>
              <w:rPr>
                <w:rFonts w:hint="eastAsia"/>
              </w:rPr>
            </w:pPr>
            <w:r>
              <w:rPr>
                <w:rFonts w:ascii="Times New Roman" w:hAnsi="Times New Roman" w:cs="Times New Roman"/>
                <w:color w:val="000000"/>
                <w:sz w:val="18"/>
                <w:szCs w:val="18"/>
              </w:rPr>
              <w:t>1360000</w:t>
            </w:r>
          </w:p>
        </w:tc>
      </w:tr>
      <w:tr w14:paraId="7921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2199C229">
            <w:pPr>
              <w:pStyle w:val="557"/>
            </w:pPr>
            <w:r>
              <w:t>其他</w:t>
            </w:r>
          </w:p>
        </w:tc>
        <w:tc>
          <w:tcPr>
            <w:tcW w:w="1559" w:type="dxa"/>
            <w:noWrap/>
            <w:vAlign w:val="center"/>
          </w:tcPr>
          <w:p w14:paraId="22BA51D9">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60E2B916">
            <w:pPr>
              <w:jc w:val="center"/>
              <w:textAlignment w:val="center"/>
              <w:rPr>
                <w:rFonts w:hint="eastAsia"/>
              </w:rPr>
            </w:pPr>
            <w:r>
              <w:rPr>
                <w:rFonts w:ascii="Times New Roman" w:hAnsi="Times New Roman" w:cs="Times New Roman"/>
                <w:color w:val="000000"/>
                <w:sz w:val="18"/>
                <w:szCs w:val="18"/>
              </w:rPr>
              <w:t>15</w:t>
            </w:r>
          </w:p>
        </w:tc>
        <w:tc>
          <w:tcPr>
            <w:tcW w:w="1026" w:type="dxa"/>
            <w:noWrap/>
            <w:vAlign w:val="center"/>
          </w:tcPr>
          <w:p w14:paraId="74E3773A">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5561DE09">
            <w:pPr>
              <w:jc w:val="center"/>
              <w:textAlignment w:val="center"/>
              <w:rPr>
                <w:rFonts w:hint="eastAsia"/>
              </w:rPr>
            </w:pPr>
            <w:r>
              <w:rPr>
                <w:rFonts w:ascii="Times New Roman" w:hAnsi="Times New Roman" w:cs="Times New Roman"/>
                <w:color w:val="000000"/>
                <w:sz w:val="18"/>
                <w:szCs w:val="18"/>
              </w:rPr>
              <w:t>1.095</w:t>
            </w:r>
          </w:p>
        </w:tc>
        <w:tc>
          <w:tcPr>
            <w:tcW w:w="1066" w:type="dxa"/>
            <w:noWrap/>
            <w:vAlign w:val="center"/>
          </w:tcPr>
          <w:p w14:paraId="268FE3C0">
            <w:pPr>
              <w:jc w:val="center"/>
              <w:textAlignment w:val="center"/>
              <w:rPr>
                <w:rFonts w:hint="eastAsia"/>
              </w:rPr>
            </w:pPr>
            <w:r>
              <w:rPr>
                <w:rFonts w:ascii="Times New Roman" w:hAnsi="Times New Roman" w:cs="Times New Roman"/>
                <w:color w:val="000000"/>
                <w:sz w:val="18"/>
                <w:szCs w:val="18"/>
              </w:rPr>
              <w:t>8760</w:t>
            </w:r>
          </w:p>
        </w:tc>
      </w:tr>
      <w:tr w14:paraId="2CE2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3026C56">
            <w:pPr>
              <w:pStyle w:val="557"/>
            </w:pPr>
            <w:r>
              <w:t>合计</w:t>
            </w:r>
          </w:p>
        </w:tc>
        <w:tc>
          <w:tcPr>
            <w:tcW w:w="1559" w:type="dxa"/>
            <w:noWrap/>
            <w:vAlign w:val="center"/>
          </w:tcPr>
          <w:p w14:paraId="0F02D605">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7AD928D3">
            <w:pPr>
              <w:jc w:val="center"/>
              <w:rPr>
                <w:rFonts w:hint="eastAsia"/>
              </w:rPr>
            </w:pPr>
            <w:r>
              <w:rPr>
                <w:rFonts w:hint="eastAsia"/>
              </w:rPr>
              <w:t>/</w:t>
            </w:r>
          </w:p>
        </w:tc>
        <w:tc>
          <w:tcPr>
            <w:tcW w:w="1026" w:type="dxa"/>
            <w:noWrap/>
            <w:vAlign w:val="center"/>
          </w:tcPr>
          <w:p w14:paraId="78002188">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38135A6A">
            <w:pPr>
              <w:jc w:val="center"/>
              <w:textAlignment w:val="center"/>
              <w:rPr>
                <w:rFonts w:hint="eastAsia"/>
              </w:rPr>
            </w:pPr>
            <w:r>
              <w:rPr>
                <w:rFonts w:ascii="Times New Roman" w:hAnsi="Times New Roman" w:cs="Times New Roman"/>
                <w:color w:val="000000"/>
                <w:sz w:val="18"/>
                <w:szCs w:val="18"/>
              </w:rPr>
              <w:t>210.889</w:t>
            </w:r>
          </w:p>
        </w:tc>
        <w:tc>
          <w:tcPr>
            <w:tcW w:w="1066" w:type="dxa"/>
            <w:noWrap/>
            <w:vAlign w:val="center"/>
          </w:tcPr>
          <w:p w14:paraId="59805FA9">
            <w:pPr>
              <w:jc w:val="center"/>
              <w:textAlignment w:val="center"/>
              <w:rPr>
                <w:rFonts w:hint="eastAsia"/>
              </w:rPr>
            </w:pPr>
            <w:r>
              <w:rPr>
                <w:rFonts w:ascii="Times New Roman" w:hAnsi="Times New Roman" w:cs="Times New Roman"/>
                <w:color w:val="000000"/>
                <w:sz w:val="18"/>
                <w:szCs w:val="18"/>
              </w:rPr>
              <w:t>1687112</w:t>
            </w:r>
          </w:p>
        </w:tc>
      </w:tr>
      <w:tr w14:paraId="11BC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0A0D330">
            <w:pPr>
              <w:pStyle w:val="557"/>
            </w:pPr>
            <w:r>
              <w:t>E</w:t>
            </w:r>
            <w:r>
              <w:rPr>
                <w:vertAlign w:val="subscript"/>
              </w:rPr>
              <w:t>设备</w:t>
            </w:r>
          </w:p>
        </w:tc>
        <w:tc>
          <w:tcPr>
            <w:tcW w:w="1559" w:type="dxa"/>
            <w:noWrap/>
            <w:vAlign w:val="center"/>
          </w:tcPr>
          <w:p w14:paraId="04D2839A">
            <w:pPr>
              <w:pStyle w:val="557"/>
            </w:pPr>
            <w:r>
              <w:t>/</w:t>
            </w:r>
          </w:p>
        </w:tc>
        <w:tc>
          <w:tcPr>
            <w:tcW w:w="1096" w:type="dxa"/>
            <w:noWrap/>
            <w:vAlign w:val="center"/>
          </w:tcPr>
          <w:p w14:paraId="1B0F500A">
            <w:pPr>
              <w:pStyle w:val="557"/>
            </w:pPr>
          </w:p>
        </w:tc>
        <w:tc>
          <w:tcPr>
            <w:tcW w:w="0" w:type="auto"/>
            <w:noWrap/>
            <w:vAlign w:val="center"/>
          </w:tcPr>
          <w:p w14:paraId="357E3FBD">
            <w:pPr>
              <w:pStyle w:val="557"/>
            </w:pPr>
            <w:r>
              <w:t>/</w:t>
            </w:r>
          </w:p>
        </w:tc>
        <w:tc>
          <w:tcPr>
            <w:tcW w:w="0" w:type="auto"/>
            <w:noWrap/>
            <w:vAlign w:val="center"/>
          </w:tcPr>
          <w:p w14:paraId="476000AA">
            <w:pPr>
              <w:pStyle w:val="557"/>
            </w:pPr>
            <w:r>
              <w:rPr>
                <w:rFonts w:hint="eastAsia"/>
              </w:rPr>
              <w:t>0.63</w:t>
            </w:r>
          </w:p>
        </w:tc>
        <w:tc>
          <w:tcPr>
            <w:tcW w:w="0" w:type="auto"/>
            <w:noWrap/>
            <w:vAlign w:val="center"/>
          </w:tcPr>
          <w:p w14:paraId="49064CC7">
            <w:pPr>
              <w:pStyle w:val="557"/>
            </w:pPr>
            <w:r>
              <w:rPr>
                <w:rFonts w:hint="eastAsia"/>
              </w:rPr>
              <w:t>5.06</w:t>
            </w:r>
            <w:r>
              <w:t>t/a</w:t>
            </w:r>
          </w:p>
        </w:tc>
      </w:tr>
    </w:tbl>
    <w:p w14:paraId="00A380F5">
      <w:pPr>
        <w:pStyle w:val="281"/>
        <w:ind w:firstLine="480"/>
        <w:rPr>
          <w:szCs w:val="24"/>
          <w:u w:color="000000"/>
        </w:rPr>
      </w:pPr>
      <w:r>
        <w:rPr>
          <w:rFonts w:hint="eastAsia"/>
          <w:szCs w:val="24"/>
          <w:u w:color="000000"/>
        </w:rPr>
        <w:t>（2）废水</w:t>
      </w:r>
    </w:p>
    <w:p w14:paraId="1B96E324">
      <w:pPr>
        <w:pStyle w:val="128"/>
        <w:rPr>
          <w:rFonts w:hint="eastAsia"/>
        </w:rPr>
      </w:pPr>
      <w:r>
        <w:rPr>
          <w:rFonts w:hint="eastAsia" w:ascii="宋体"/>
        </w:rPr>
        <w:t>①</w:t>
      </w:r>
      <w:r>
        <w:rPr>
          <w:rFonts w:hint="eastAsia"/>
          <w:szCs w:val="21"/>
        </w:rPr>
        <w:t>含醇废水</w:t>
      </w:r>
      <w:r>
        <w:rPr>
          <w:rFonts w:hint="eastAsia"/>
        </w:rPr>
        <w:t>（</w:t>
      </w:r>
      <w:r>
        <w:t>W</w:t>
      </w:r>
      <w:r>
        <w:rPr>
          <w:vertAlign w:val="subscript"/>
        </w:rPr>
        <w:t>2-5</w:t>
      </w:r>
      <w:r>
        <w:rPr>
          <w:rFonts w:hint="eastAsia"/>
        </w:rPr>
        <w:t>）</w:t>
      </w:r>
    </w:p>
    <w:p w14:paraId="06948F09">
      <w:pPr>
        <w:pStyle w:val="128"/>
        <w:rPr>
          <w:rFonts w:hint="eastAsia"/>
        </w:rPr>
      </w:pPr>
      <w:r>
        <w:t>甲醇水分离塔塔釜出来的废水，</w:t>
      </w:r>
      <w:r>
        <w:rPr>
          <w:rFonts w:hint="eastAsia"/>
        </w:rPr>
        <w:t>经换热降温后送</w:t>
      </w:r>
      <w:r>
        <w:t>至污水处理</w:t>
      </w:r>
      <w:r>
        <w:rPr>
          <w:rFonts w:hint="eastAsia"/>
        </w:rPr>
        <w:t>。根据物料衡算，含醇</w:t>
      </w:r>
      <w:r>
        <w:t>废水产生量</w:t>
      </w:r>
      <w:r>
        <w:rPr>
          <w:rFonts w:hint="eastAsia"/>
        </w:rPr>
        <w:t>7500kg</w:t>
      </w:r>
      <w:r>
        <w:t>/h，废水主要含COD、BOD、氨氮。</w:t>
      </w:r>
    </w:p>
    <w:p w14:paraId="0C3FF8AB">
      <w:pPr>
        <w:pStyle w:val="281"/>
        <w:ind w:firstLine="480"/>
        <w:rPr>
          <w:szCs w:val="24"/>
        </w:rPr>
      </w:pPr>
      <w:r>
        <w:rPr>
          <w:rFonts w:hint="eastAsia" w:ascii="宋体" w:hAnsi="宋体"/>
          <w:szCs w:val="24"/>
        </w:rPr>
        <w:t>②</w:t>
      </w:r>
      <w:r>
        <w:rPr>
          <w:rFonts w:hint="eastAsia"/>
          <w:szCs w:val="24"/>
        </w:rPr>
        <w:t>地面冲洗水（</w:t>
      </w:r>
      <w:r>
        <w:rPr>
          <w:rFonts w:hint="eastAsia"/>
        </w:rPr>
        <w:t>W</w:t>
      </w:r>
      <w:r>
        <w:rPr>
          <w:vertAlign w:val="subscript"/>
        </w:rPr>
        <w:t>2-6</w:t>
      </w:r>
      <w:r>
        <w:rPr>
          <w:rFonts w:hint="eastAsia"/>
          <w:szCs w:val="24"/>
        </w:rPr>
        <w:t>）</w:t>
      </w:r>
    </w:p>
    <w:p w14:paraId="0D337049">
      <w:pPr>
        <w:pStyle w:val="281"/>
        <w:ind w:firstLine="480"/>
        <w:rPr>
          <w:szCs w:val="24"/>
        </w:rPr>
      </w:pPr>
      <w:r>
        <w:rPr>
          <w:rFonts w:hint="eastAsia"/>
          <w:szCs w:val="24"/>
        </w:rPr>
        <w:t>低温甲醇洗单元地面冲洗水，产生量为500kg</w:t>
      </w:r>
      <w:r>
        <w:rPr>
          <w:szCs w:val="24"/>
        </w:rPr>
        <w:t>/h</w:t>
      </w:r>
      <w:r>
        <w:rPr>
          <w:rFonts w:hint="eastAsia"/>
          <w:szCs w:val="24"/>
        </w:rPr>
        <w:t>，间断产生，</w:t>
      </w:r>
      <w:r>
        <w:rPr>
          <w:szCs w:val="24"/>
        </w:rPr>
        <w:t>排入厂区污水处理站统一处理</w:t>
      </w:r>
      <w:r>
        <w:rPr>
          <w:rFonts w:hint="eastAsia"/>
          <w:szCs w:val="24"/>
        </w:rPr>
        <w:t>。</w:t>
      </w:r>
    </w:p>
    <w:p w14:paraId="0967462D">
      <w:pPr>
        <w:pStyle w:val="281"/>
        <w:ind w:firstLine="480"/>
        <w:rPr>
          <w:bCs/>
        </w:rPr>
      </w:pPr>
      <w:r>
        <w:rPr>
          <w:rFonts w:hint="eastAsia"/>
          <w:szCs w:val="24"/>
        </w:rPr>
        <w:t>低温甲醇洗单元</w:t>
      </w:r>
      <w:r>
        <w:rPr>
          <w:rFonts w:hint="eastAsia"/>
          <w:u w:color="000000"/>
        </w:rPr>
        <w:t>废水</w:t>
      </w:r>
      <w:r>
        <w:rPr>
          <w:bCs/>
        </w:rPr>
        <w:t>源强核算结果具体见</w:t>
      </w:r>
      <w:r>
        <w:rPr>
          <w:rFonts w:hint="eastAsia"/>
        </w:rPr>
        <w:t>表3.2.</w:t>
      </w:r>
      <w:r>
        <w:t>3</w:t>
      </w:r>
      <w:r>
        <w:rPr>
          <w:rFonts w:hint="eastAsia"/>
        </w:rPr>
        <w:t>-32。</w:t>
      </w:r>
    </w:p>
    <w:p w14:paraId="59FBD72B">
      <w:pPr>
        <w:pStyle w:val="541"/>
        <w:rPr>
          <w:rFonts w:hint="eastAsia"/>
        </w:rPr>
      </w:pPr>
      <w:r>
        <w:rPr>
          <w:rFonts w:hint="eastAsia"/>
        </w:rPr>
        <w:t>表</w:t>
      </w:r>
      <w:r>
        <w:t>3.2.</w:t>
      </w:r>
      <w:r>
        <w:rPr>
          <w:rFonts w:hint="eastAsia"/>
        </w:rPr>
        <w:t>3</w:t>
      </w:r>
      <w:r>
        <w:t>-</w:t>
      </w:r>
      <w:r>
        <w:rPr>
          <w:rFonts w:hint="eastAsia"/>
        </w:rPr>
        <w:t>32   低温甲醇洗单元废水污染源源强核算结果一览表</w:t>
      </w:r>
    </w:p>
    <w:tbl>
      <w:tblPr>
        <w:tblStyle w:val="65"/>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816"/>
        <w:gridCol w:w="952"/>
        <w:gridCol w:w="694"/>
        <w:gridCol w:w="874"/>
        <w:gridCol w:w="1034"/>
        <w:gridCol w:w="902"/>
        <w:gridCol w:w="1563"/>
        <w:gridCol w:w="684"/>
      </w:tblGrid>
      <w:tr w14:paraId="0F60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2D7A7243">
            <w:pPr>
              <w:pStyle w:val="557"/>
            </w:pPr>
            <w:r>
              <w:t>编号</w:t>
            </w:r>
          </w:p>
        </w:tc>
        <w:tc>
          <w:tcPr>
            <w:tcW w:w="816" w:type="dxa"/>
            <w:vMerge w:val="restart"/>
            <w:vAlign w:val="center"/>
          </w:tcPr>
          <w:p w14:paraId="4D7E4A35">
            <w:pPr>
              <w:pStyle w:val="557"/>
            </w:pPr>
            <w:r>
              <w:t>排放源</w:t>
            </w:r>
          </w:p>
        </w:tc>
        <w:tc>
          <w:tcPr>
            <w:tcW w:w="952" w:type="dxa"/>
            <w:vMerge w:val="restart"/>
            <w:vAlign w:val="center"/>
          </w:tcPr>
          <w:p w14:paraId="00F1B33E">
            <w:pPr>
              <w:pStyle w:val="557"/>
            </w:pPr>
            <w:r>
              <w:t>污染物</w:t>
            </w:r>
          </w:p>
        </w:tc>
        <w:tc>
          <w:tcPr>
            <w:tcW w:w="694" w:type="dxa"/>
            <w:vMerge w:val="restart"/>
            <w:vAlign w:val="center"/>
          </w:tcPr>
          <w:p w14:paraId="5375F8C9">
            <w:pPr>
              <w:pStyle w:val="557"/>
            </w:pPr>
            <w:r>
              <w:t>核算方法</w:t>
            </w:r>
          </w:p>
        </w:tc>
        <w:tc>
          <w:tcPr>
            <w:tcW w:w="2810" w:type="dxa"/>
            <w:gridSpan w:val="3"/>
            <w:vAlign w:val="center"/>
          </w:tcPr>
          <w:p w14:paraId="6FD617C0">
            <w:pPr>
              <w:pStyle w:val="557"/>
            </w:pPr>
            <w:r>
              <w:t>污染物产生情况</w:t>
            </w:r>
          </w:p>
        </w:tc>
        <w:tc>
          <w:tcPr>
            <w:tcW w:w="1563" w:type="dxa"/>
            <w:vMerge w:val="restart"/>
            <w:vAlign w:val="center"/>
          </w:tcPr>
          <w:p w14:paraId="035A192A">
            <w:pPr>
              <w:pStyle w:val="557"/>
            </w:pPr>
            <w:r>
              <w:t>处置措施</w:t>
            </w:r>
          </w:p>
        </w:tc>
        <w:tc>
          <w:tcPr>
            <w:tcW w:w="684" w:type="dxa"/>
            <w:vMerge w:val="restart"/>
            <w:vAlign w:val="center"/>
          </w:tcPr>
          <w:p w14:paraId="32840FD7">
            <w:pPr>
              <w:pStyle w:val="557"/>
            </w:pPr>
            <w:r>
              <w:t>排放时间（h）</w:t>
            </w:r>
          </w:p>
        </w:tc>
      </w:tr>
      <w:tr w14:paraId="2F36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0110552C">
            <w:pPr>
              <w:pStyle w:val="557"/>
            </w:pPr>
          </w:p>
        </w:tc>
        <w:tc>
          <w:tcPr>
            <w:tcW w:w="816" w:type="dxa"/>
            <w:vMerge w:val="continue"/>
            <w:vAlign w:val="center"/>
          </w:tcPr>
          <w:p w14:paraId="6AA033BA">
            <w:pPr>
              <w:pStyle w:val="557"/>
            </w:pPr>
          </w:p>
        </w:tc>
        <w:tc>
          <w:tcPr>
            <w:tcW w:w="952" w:type="dxa"/>
            <w:vMerge w:val="continue"/>
            <w:vAlign w:val="center"/>
          </w:tcPr>
          <w:p w14:paraId="1EED4FFF">
            <w:pPr>
              <w:pStyle w:val="557"/>
            </w:pPr>
          </w:p>
        </w:tc>
        <w:tc>
          <w:tcPr>
            <w:tcW w:w="694" w:type="dxa"/>
            <w:vMerge w:val="continue"/>
            <w:vAlign w:val="center"/>
          </w:tcPr>
          <w:p w14:paraId="1122BE62">
            <w:pPr>
              <w:pStyle w:val="557"/>
            </w:pPr>
          </w:p>
        </w:tc>
        <w:tc>
          <w:tcPr>
            <w:tcW w:w="874" w:type="dxa"/>
            <w:vAlign w:val="center"/>
          </w:tcPr>
          <w:p w14:paraId="7CEE79C8">
            <w:pPr>
              <w:pStyle w:val="557"/>
            </w:pPr>
            <w:r>
              <w:t>废水产生量（kg/h）</w:t>
            </w:r>
          </w:p>
        </w:tc>
        <w:tc>
          <w:tcPr>
            <w:tcW w:w="1034" w:type="dxa"/>
            <w:vAlign w:val="center"/>
          </w:tcPr>
          <w:p w14:paraId="63C2F919">
            <w:pPr>
              <w:pStyle w:val="557"/>
            </w:pPr>
            <w:r>
              <w:t>产生浓度（mg/L）</w:t>
            </w:r>
          </w:p>
        </w:tc>
        <w:tc>
          <w:tcPr>
            <w:tcW w:w="902" w:type="dxa"/>
            <w:vAlign w:val="center"/>
          </w:tcPr>
          <w:p w14:paraId="49DB0F45">
            <w:pPr>
              <w:pStyle w:val="557"/>
            </w:pPr>
            <w:r>
              <w:t>产生量（kg/h）</w:t>
            </w:r>
          </w:p>
        </w:tc>
        <w:tc>
          <w:tcPr>
            <w:tcW w:w="1563" w:type="dxa"/>
            <w:vMerge w:val="continue"/>
            <w:vAlign w:val="center"/>
          </w:tcPr>
          <w:p w14:paraId="73E5A613">
            <w:pPr>
              <w:pStyle w:val="557"/>
            </w:pPr>
          </w:p>
        </w:tc>
        <w:tc>
          <w:tcPr>
            <w:tcW w:w="684" w:type="dxa"/>
            <w:vMerge w:val="continue"/>
            <w:vAlign w:val="center"/>
          </w:tcPr>
          <w:p w14:paraId="4C212934">
            <w:pPr>
              <w:pStyle w:val="557"/>
            </w:pPr>
          </w:p>
        </w:tc>
      </w:tr>
      <w:tr w14:paraId="7892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5996A4E2">
            <w:pPr>
              <w:pStyle w:val="557"/>
              <w:rPr>
                <w:b/>
              </w:rPr>
            </w:pPr>
            <w:r>
              <w:t>W</w:t>
            </w:r>
            <w:r>
              <w:rPr>
                <w:vertAlign w:val="subscript"/>
              </w:rPr>
              <w:t>2-5</w:t>
            </w:r>
          </w:p>
        </w:tc>
        <w:tc>
          <w:tcPr>
            <w:tcW w:w="816" w:type="dxa"/>
            <w:vMerge w:val="restart"/>
            <w:vAlign w:val="center"/>
          </w:tcPr>
          <w:p w14:paraId="034046B3">
            <w:pPr>
              <w:pStyle w:val="557"/>
            </w:pPr>
            <w:r>
              <w:t>含醇废水</w:t>
            </w:r>
          </w:p>
        </w:tc>
        <w:tc>
          <w:tcPr>
            <w:tcW w:w="952" w:type="dxa"/>
            <w:vAlign w:val="center"/>
          </w:tcPr>
          <w:p w14:paraId="53E4F746">
            <w:pPr>
              <w:pStyle w:val="557"/>
            </w:pPr>
            <w:r>
              <w:t xml:space="preserve">COD </w:t>
            </w:r>
          </w:p>
        </w:tc>
        <w:tc>
          <w:tcPr>
            <w:tcW w:w="694" w:type="dxa"/>
            <w:vMerge w:val="restart"/>
            <w:vAlign w:val="center"/>
          </w:tcPr>
          <w:p w14:paraId="11EF25C1">
            <w:pPr>
              <w:pStyle w:val="557"/>
            </w:pPr>
            <w:r>
              <w:t>物料衡算法</w:t>
            </w:r>
          </w:p>
        </w:tc>
        <w:tc>
          <w:tcPr>
            <w:tcW w:w="874" w:type="dxa"/>
            <w:vMerge w:val="restart"/>
            <w:vAlign w:val="center"/>
          </w:tcPr>
          <w:p w14:paraId="1E88281E">
            <w:pPr>
              <w:pStyle w:val="557"/>
            </w:pPr>
            <w:r>
              <w:rPr>
                <w:rFonts w:hint="eastAsia"/>
              </w:rPr>
              <w:t>5100</w:t>
            </w:r>
          </w:p>
        </w:tc>
        <w:tc>
          <w:tcPr>
            <w:tcW w:w="1034" w:type="dxa"/>
            <w:vAlign w:val="center"/>
          </w:tcPr>
          <w:p w14:paraId="6877D9EB">
            <w:pPr>
              <w:pStyle w:val="557"/>
            </w:pPr>
            <w:r>
              <w:t>500</w:t>
            </w:r>
          </w:p>
        </w:tc>
        <w:tc>
          <w:tcPr>
            <w:tcW w:w="902" w:type="dxa"/>
            <w:vAlign w:val="center"/>
          </w:tcPr>
          <w:p w14:paraId="58EFF019">
            <w:pPr>
              <w:jc w:val="center"/>
              <w:textAlignment w:val="center"/>
              <w:rPr>
                <w:rFonts w:hint="eastAsia"/>
              </w:rPr>
            </w:pPr>
            <w:r>
              <w:rPr>
                <w:rFonts w:hint="eastAsia" w:ascii="Times New Roman" w:hAnsi="Times New Roman" w:cs="Times New Roman"/>
                <w:color w:val="000000"/>
                <w:sz w:val="18"/>
                <w:szCs w:val="18"/>
              </w:rPr>
              <w:t>2.55</w:t>
            </w:r>
          </w:p>
        </w:tc>
        <w:tc>
          <w:tcPr>
            <w:tcW w:w="1563" w:type="dxa"/>
            <w:vMerge w:val="restart"/>
            <w:vAlign w:val="center"/>
          </w:tcPr>
          <w:p w14:paraId="07DAE639">
            <w:pPr>
              <w:pStyle w:val="557"/>
            </w:pPr>
            <w:r>
              <w:t>排入厂内污水处理站处理</w:t>
            </w:r>
          </w:p>
        </w:tc>
        <w:tc>
          <w:tcPr>
            <w:tcW w:w="684" w:type="dxa"/>
            <w:vMerge w:val="restart"/>
            <w:vAlign w:val="center"/>
          </w:tcPr>
          <w:p w14:paraId="73BEC4D6">
            <w:pPr>
              <w:pStyle w:val="557"/>
            </w:pPr>
            <w:r>
              <w:t>8000</w:t>
            </w:r>
          </w:p>
        </w:tc>
      </w:tr>
      <w:tr w14:paraId="37F8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1E7E077E">
            <w:pPr>
              <w:pStyle w:val="557"/>
            </w:pPr>
          </w:p>
        </w:tc>
        <w:tc>
          <w:tcPr>
            <w:tcW w:w="816" w:type="dxa"/>
            <w:vMerge w:val="continue"/>
            <w:vAlign w:val="center"/>
          </w:tcPr>
          <w:p w14:paraId="63F23CB8">
            <w:pPr>
              <w:pStyle w:val="557"/>
            </w:pPr>
          </w:p>
        </w:tc>
        <w:tc>
          <w:tcPr>
            <w:tcW w:w="952" w:type="dxa"/>
            <w:vAlign w:val="center"/>
          </w:tcPr>
          <w:p w14:paraId="5F1057C7">
            <w:pPr>
              <w:pStyle w:val="557"/>
            </w:pPr>
            <w:r>
              <w:t>BOD</w:t>
            </w:r>
            <w:r>
              <w:rPr>
                <w:vertAlign w:val="subscript"/>
              </w:rPr>
              <w:t>5</w:t>
            </w:r>
          </w:p>
        </w:tc>
        <w:tc>
          <w:tcPr>
            <w:tcW w:w="694" w:type="dxa"/>
            <w:vMerge w:val="continue"/>
            <w:vAlign w:val="center"/>
          </w:tcPr>
          <w:p w14:paraId="11044D94">
            <w:pPr>
              <w:pStyle w:val="557"/>
            </w:pPr>
          </w:p>
        </w:tc>
        <w:tc>
          <w:tcPr>
            <w:tcW w:w="874" w:type="dxa"/>
            <w:vMerge w:val="continue"/>
            <w:vAlign w:val="center"/>
          </w:tcPr>
          <w:p w14:paraId="6D20E9E6">
            <w:pPr>
              <w:pStyle w:val="557"/>
            </w:pPr>
          </w:p>
        </w:tc>
        <w:tc>
          <w:tcPr>
            <w:tcW w:w="1034" w:type="dxa"/>
            <w:vAlign w:val="center"/>
          </w:tcPr>
          <w:p w14:paraId="22BA132B">
            <w:pPr>
              <w:pStyle w:val="557"/>
            </w:pPr>
            <w:r>
              <w:t>200</w:t>
            </w:r>
          </w:p>
        </w:tc>
        <w:tc>
          <w:tcPr>
            <w:tcW w:w="902" w:type="dxa"/>
            <w:vAlign w:val="center"/>
          </w:tcPr>
          <w:p w14:paraId="577E20C7">
            <w:pPr>
              <w:jc w:val="center"/>
              <w:textAlignment w:val="center"/>
              <w:rPr>
                <w:rFonts w:hint="eastAsia"/>
              </w:rPr>
            </w:pPr>
            <w:r>
              <w:rPr>
                <w:rFonts w:ascii="Times New Roman" w:hAnsi="Times New Roman" w:cs="Times New Roman"/>
                <w:color w:val="000000"/>
                <w:sz w:val="18"/>
                <w:szCs w:val="18"/>
              </w:rPr>
              <w:t>1.</w:t>
            </w:r>
            <w:r>
              <w:rPr>
                <w:rFonts w:hint="eastAsia" w:ascii="Times New Roman" w:hAnsi="Times New Roman" w:cs="Times New Roman"/>
                <w:color w:val="000000"/>
                <w:sz w:val="18"/>
                <w:szCs w:val="18"/>
              </w:rPr>
              <w:t>02</w:t>
            </w:r>
          </w:p>
        </w:tc>
        <w:tc>
          <w:tcPr>
            <w:tcW w:w="1563" w:type="dxa"/>
            <w:vMerge w:val="continue"/>
            <w:vAlign w:val="center"/>
          </w:tcPr>
          <w:p w14:paraId="1CBC4910">
            <w:pPr>
              <w:pStyle w:val="557"/>
            </w:pPr>
          </w:p>
        </w:tc>
        <w:tc>
          <w:tcPr>
            <w:tcW w:w="684" w:type="dxa"/>
            <w:vMerge w:val="continue"/>
            <w:vAlign w:val="center"/>
          </w:tcPr>
          <w:p w14:paraId="7E4BAB53">
            <w:pPr>
              <w:pStyle w:val="557"/>
            </w:pPr>
          </w:p>
        </w:tc>
      </w:tr>
      <w:tr w14:paraId="4D50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40" w:type="dxa"/>
            <w:vMerge w:val="continue"/>
            <w:vAlign w:val="center"/>
          </w:tcPr>
          <w:p w14:paraId="52226FF3">
            <w:pPr>
              <w:pStyle w:val="557"/>
            </w:pPr>
          </w:p>
        </w:tc>
        <w:tc>
          <w:tcPr>
            <w:tcW w:w="816" w:type="dxa"/>
            <w:vMerge w:val="continue"/>
            <w:vAlign w:val="center"/>
          </w:tcPr>
          <w:p w14:paraId="0E2DA655">
            <w:pPr>
              <w:pStyle w:val="557"/>
            </w:pPr>
          </w:p>
        </w:tc>
        <w:tc>
          <w:tcPr>
            <w:tcW w:w="952" w:type="dxa"/>
            <w:vAlign w:val="center"/>
          </w:tcPr>
          <w:p w14:paraId="0852B152">
            <w:pPr>
              <w:pStyle w:val="557"/>
            </w:pPr>
            <w:r>
              <w:t>氨氮</w:t>
            </w:r>
          </w:p>
        </w:tc>
        <w:tc>
          <w:tcPr>
            <w:tcW w:w="694" w:type="dxa"/>
            <w:vMerge w:val="continue"/>
            <w:vAlign w:val="center"/>
          </w:tcPr>
          <w:p w14:paraId="6769513B">
            <w:pPr>
              <w:pStyle w:val="557"/>
            </w:pPr>
          </w:p>
        </w:tc>
        <w:tc>
          <w:tcPr>
            <w:tcW w:w="874" w:type="dxa"/>
            <w:vMerge w:val="continue"/>
            <w:vAlign w:val="center"/>
          </w:tcPr>
          <w:p w14:paraId="4E5E3859">
            <w:pPr>
              <w:pStyle w:val="557"/>
            </w:pPr>
          </w:p>
        </w:tc>
        <w:tc>
          <w:tcPr>
            <w:tcW w:w="1034" w:type="dxa"/>
            <w:vAlign w:val="center"/>
          </w:tcPr>
          <w:p w14:paraId="0FA48819">
            <w:pPr>
              <w:pStyle w:val="557"/>
            </w:pPr>
            <w:r>
              <w:t>30</w:t>
            </w:r>
          </w:p>
        </w:tc>
        <w:tc>
          <w:tcPr>
            <w:tcW w:w="902" w:type="dxa"/>
            <w:vAlign w:val="center"/>
          </w:tcPr>
          <w:p w14:paraId="3605F1C9">
            <w:pPr>
              <w:jc w:val="center"/>
              <w:textAlignment w:val="center"/>
              <w:rPr>
                <w:rFonts w:hint="eastAsia"/>
              </w:rPr>
            </w:pPr>
            <w:r>
              <w:rPr>
                <w:rFonts w:ascii="Times New Roman" w:hAnsi="Times New Roman" w:cs="Times New Roman"/>
                <w:color w:val="000000"/>
                <w:sz w:val="18"/>
                <w:szCs w:val="18"/>
              </w:rPr>
              <w:t>0.</w:t>
            </w:r>
            <w:r>
              <w:rPr>
                <w:rFonts w:hint="eastAsia" w:ascii="Times New Roman" w:hAnsi="Times New Roman" w:cs="Times New Roman"/>
                <w:color w:val="000000"/>
                <w:sz w:val="18"/>
                <w:szCs w:val="18"/>
              </w:rPr>
              <w:t>15</w:t>
            </w:r>
          </w:p>
        </w:tc>
        <w:tc>
          <w:tcPr>
            <w:tcW w:w="1563" w:type="dxa"/>
            <w:vMerge w:val="continue"/>
            <w:vAlign w:val="center"/>
          </w:tcPr>
          <w:p w14:paraId="1D198988">
            <w:pPr>
              <w:pStyle w:val="557"/>
            </w:pPr>
          </w:p>
        </w:tc>
        <w:tc>
          <w:tcPr>
            <w:tcW w:w="684" w:type="dxa"/>
            <w:vMerge w:val="continue"/>
            <w:vAlign w:val="center"/>
          </w:tcPr>
          <w:p w14:paraId="77BDF441">
            <w:pPr>
              <w:pStyle w:val="557"/>
            </w:pPr>
          </w:p>
        </w:tc>
      </w:tr>
      <w:tr w14:paraId="0AFC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restart"/>
            <w:vAlign w:val="center"/>
          </w:tcPr>
          <w:p w14:paraId="1E3012FC">
            <w:pPr>
              <w:pStyle w:val="557"/>
            </w:pPr>
            <w:r>
              <w:t>W</w:t>
            </w:r>
            <w:r>
              <w:rPr>
                <w:vertAlign w:val="subscript"/>
              </w:rPr>
              <w:t>2-6</w:t>
            </w:r>
          </w:p>
        </w:tc>
        <w:tc>
          <w:tcPr>
            <w:tcW w:w="816" w:type="dxa"/>
            <w:vMerge w:val="restart"/>
            <w:vAlign w:val="center"/>
          </w:tcPr>
          <w:p w14:paraId="35551421">
            <w:pPr>
              <w:pStyle w:val="557"/>
            </w:pPr>
            <w:r>
              <w:t>地面冲洗水</w:t>
            </w:r>
          </w:p>
        </w:tc>
        <w:tc>
          <w:tcPr>
            <w:tcW w:w="952" w:type="dxa"/>
            <w:vAlign w:val="center"/>
          </w:tcPr>
          <w:p w14:paraId="1BF213E0">
            <w:pPr>
              <w:pStyle w:val="557"/>
            </w:pPr>
            <w:r>
              <w:t>COD</w:t>
            </w:r>
          </w:p>
        </w:tc>
        <w:tc>
          <w:tcPr>
            <w:tcW w:w="694" w:type="dxa"/>
            <w:vMerge w:val="restart"/>
            <w:vAlign w:val="center"/>
          </w:tcPr>
          <w:p w14:paraId="30F142B5">
            <w:pPr>
              <w:pStyle w:val="557"/>
            </w:pPr>
            <w:r>
              <w:t>类比法</w:t>
            </w:r>
          </w:p>
        </w:tc>
        <w:tc>
          <w:tcPr>
            <w:tcW w:w="874" w:type="dxa"/>
            <w:vMerge w:val="restart"/>
            <w:vAlign w:val="center"/>
          </w:tcPr>
          <w:p w14:paraId="3298D46D">
            <w:pPr>
              <w:pStyle w:val="557"/>
            </w:pPr>
            <w:r>
              <w:rPr>
                <w:rFonts w:hint="eastAsia"/>
              </w:rPr>
              <w:t>500</w:t>
            </w:r>
          </w:p>
        </w:tc>
        <w:tc>
          <w:tcPr>
            <w:tcW w:w="1034" w:type="dxa"/>
            <w:vAlign w:val="center"/>
          </w:tcPr>
          <w:p w14:paraId="2C1A15B1">
            <w:pPr>
              <w:pStyle w:val="557"/>
            </w:pPr>
            <w:r>
              <w:rPr>
                <w:rFonts w:hint="eastAsia"/>
              </w:rPr>
              <w:t>4</w:t>
            </w:r>
            <w:r>
              <w:t>00</w:t>
            </w:r>
          </w:p>
        </w:tc>
        <w:tc>
          <w:tcPr>
            <w:tcW w:w="902" w:type="dxa"/>
            <w:vAlign w:val="center"/>
          </w:tcPr>
          <w:p w14:paraId="7FBEF4B3">
            <w:pPr>
              <w:jc w:val="center"/>
              <w:textAlignment w:val="center"/>
              <w:rPr>
                <w:rFonts w:ascii="Times New Roman" w:hAnsi="Times New Roman" w:cs="Times New Roman"/>
                <w:sz w:val="18"/>
                <w:szCs w:val="18"/>
              </w:rPr>
            </w:pPr>
            <w:r>
              <w:rPr>
                <w:rFonts w:ascii="Times New Roman" w:hAnsi="Times New Roman" w:cs="Times New Roman"/>
                <w:sz w:val="18"/>
                <w:szCs w:val="18"/>
              </w:rPr>
              <w:t>0.2</w:t>
            </w:r>
          </w:p>
        </w:tc>
        <w:tc>
          <w:tcPr>
            <w:tcW w:w="1563" w:type="dxa"/>
            <w:vMerge w:val="continue"/>
            <w:vAlign w:val="center"/>
          </w:tcPr>
          <w:p w14:paraId="5BBE6937">
            <w:pPr>
              <w:pStyle w:val="557"/>
            </w:pPr>
          </w:p>
        </w:tc>
        <w:tc>
          <w:tcPr>
            <w:tcW w:w="684" w:type="dxa"/>
            <w:vMerge w:val="restart"/>
            <w:vAlign w:val="center"/>
          </w:tcPr>
          <w:p w14:paraId="32D75C4A">
            <w:pPr>
              <w:pStyle w:val="557"/>
            </w:pPr>
            <w:r>
              <w:t>间歇</w:t>
            </w:r>
          </w:p>
        </w:tc>
      </w:tr>
      <w:tr w14:paraId="3674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40" w:type="dxa"/>
            <w:vMerge w:val="continue"/>
            <w:vAlign w:val="center"/>
          </w:tcPr>
          <w:p w14:paraId="0EEE11D7">
            <w:pPr>
              <w:pStyle w:val="557"/>
            </w:pPr>
          </w:p>
        </w:tc>
        <w:tc>
          <w:tcPr>
            <w:tcW w:w="816" w:type="dxa"/>
            <w:vMerge w:val="continue"/>
            <w:vAlign w:val="center"/>
          </w:tcPr>
          <w:p w14:paraId="5E2F10DD">
            <w:pPr>
              <w:pStyle w:val="557"/>
            </w:pPr>
          </w:p>
        </w:tc>
        <w:tc>
          <w:tcPr>
            <w:tcW w:w="952" w:type="dxa"/>
            <w:vAlign w:val="center"/>
          </w:tcPr>
          <w:p w14:paraId="4EA6CB1F">
            <w:pPr>
              <w:pStyle w:val="557"/>
            </w:pPr>
            <w:r>
              <w:t>氨氮</w:t>
            </w:r>
          </w:p>
        </w:tc>
        <w:tc>
          <w:tcPr>
            <w:tcW w:w="694" w:type="dxa"/>
            <w:vMerge w:val="continue"/>
            <w:vAlign w:val="center"/>
          </w:tcPr>
          <w:p w14:paraId="6FCB401F">
            <w:pPr>
              <w:pStyle w:val="557"/>
            </w:pPr>
          </w:p>
        </w:tc>
        <w:tc>
          <w:tcPr>
            <w:tcW w:w="874" w:type="dxa"/>
            <w:vMerge w:val="continue"/>
            <w:vAlign w:val="center"/>
          </w:tcPr>
          <w:p w14:paraId="6367D9A0">
            <w:pPr>
              <w:pStyle w:val="557"/>
            </w:pPr>
          </w:p>
        </w:tc>
        <w:tc>
          <w:tcPr>
            <w:tcW w:w="1034" w:type="dxa"/>
            <w:vAlign w:val="center"/>
          </w:tcPr>
          <w:p w14:paraId="2214AC6A">
            <w:pPr>
              <w:pStyle w:val="557"/>
            </w:pPr>
            <w:r>
              <w:rPr>
                <w:rFonts w:hint="eastAsia"/>
              </w:rPr>
              <w:t>35</w:t>
            </w:r>
          </w:p>
        </w:tc>
        <w:tc>
          <w:tcPr>
            <w:tcW w:w="902" w:type="dxa"/>
            <w:vAlign w:val="center"/>
          </w:tcPr>
          <w:p w14:paraId="0E271775">
            <w:pPr>
              <w:jc w:val="center"/>
              <w:textAlignment w:val="center"/>
              <w:rPr>
                <w:rFonts w:ascii="Times New Roman" w:hAnsi="Times New Roman" w:cs="Times New Roman"/>
                <w:sz w:val="18"/>
                <w:szCs w:val="18"/>
              </w:rPr>
            </w:pPr>
            <w:r>
              <w:rPr>
                <w:rFonts w:ascii="Times New Roman" w:hAnsi="Times New Roman" w:cs="Times New Roman"/>
                <w:sz w:val="18"/>
                <w:szCs w:val="18"/>
              </w:rPr>
              <w:t>0.018</w:t>
            </w:r>
          </w:p>
        </w:tc>
        <w:tc>
          <w:tcPr>
            <w:tcW w:w="1563" w:type="dxa"/>
            <w:vMerge w:val="continue"/>
            <w:vAlign w:val="center"/>
          </w:tcPr>
          <w:p w14:paraId="0CBB98C8">
            <w:pPr>
              <w:pStyle w:val="557"/>
            </w:pPr>
          </w:p>
        </w:tc>
        <w:tc>
          <w:tcPr>
            <w:tcW w:w="684" w:type="dxa"/>
            <w:vMerge w:val="continue"/>
            <w:vAlign w:val="center"/>
          </w:tcPr>
          <w:p w14:paraId="13E0E9C1">
            <w:pPr>
              <w:pStyle w:val="557"/>
            </w:pPr>
          </w:p>
        </w:tc>
      </w:tr>
      <w:tr w14:paraId="27C2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40" w:type="dxa"/>
            <w:vMerge w:val="continue"/>
            <w:vAlign w:val="center"/>
          </w:tcPr>
          <w:p w14:paraId="27D3CB5F">
            <w:pPr>
              <w:pStyle w:val="557"/>
            </w:pPr>
          </w:p>
        </w:tc>
        <w:tc>
          <w:tcPr>
            <w:tcW w:w="816" w:type="dxa"/>
            <w:vMerge w:val="continue"/>
            <w:vAlign w:val="center"/>
          </w:tcPr>
          <w:p w14:paraId="032DBF7A">
            <w:pPr>
              <w:pStyle w:val="557"/>
            </w:pPr>
          </w:p>
        </w:tc>
        <w:tc>
          <w:tcPr>
            <w:tcW w:w="952" w:type="dxa"/>
            <w:vAlign w:val="center"/>
          </w:tcPr>
          <w:p w14:paraId="0D175522">
            <w:pPr>
              <w:pStyle w:val="557"/>
            </w:pPr>
            <w:r>
              <w:t>SS</w:t>
            </w:r>
          </w:p>
        </w:tc>
        <w:tc>
          <w:tcPr>
            <w:tcW w:w="694" w:type="dxa"/>
            <w:vMerge w:val="continue"/>
            <w:vAlign w:val="center"/>
          </w:tcPr>
          <w:p w14:paraId="5329BA77">
            <w:pPr>
              <w:pStyle w:val="557"/>
            </w:pPr>
          </w:p>
        </w:tc>
        <w:tc>
          <w:tcPr>
            <w:tcW w:w="874" w:type="dxa"/>
            <w:vMerge w:val="continue"/>
            <w:vAlign w:val="center"/>
          </w:tcPr>
          <w:p w14:paraId="02E35226">
            <w:pPr>
              <w:pStyle w:val="557"/>
            </w:pPr>
          </w:p>
        </w:tc>
        <w:tc>
          <w:tcPr>
            <w:tcW w:w="1034" w:type="dxa"/>
            <w:vAlign w:val="center"/>
          </w:tcPr>
          <w:p w14:paraId="65D327B6">
            <w:pPr>
              <w:pStyle w:val="557"/>
            </w:pPr>
            <w:r>
              <w:rPr>
                <w:rFonts w:hint="eastAsia"/>
              </w:rPr>
              <w:t>3</w:t>
            </w:r>
            <w:r>
              <w:t>00</w:t>
            </w:r>
          </w:p>
        </w:tc>
        <w:tc>
          <w:tcPr>
            <w:tcW w:w="902" w:type="dxa"/>
            <w:vAlign w:val="center"/>
          </w:tcPr>
          <w:p w14:paraId="70A75BE4">
            <w:pPr>
              <w:jc w:val="center"/>
              <w:textAlignment w:val="center"/>
              <w:rPr>
                <w:rFonts w:ascii="Times New Roman" w:hAnsi="Times New Roman" w:cs="Times New Roman"/>
                <w:sz w:val="18"/>
                <w:szCs w:val="18"/>
              </w:rPr>
            </w:pPr>
            <w:r>
              <w:rPr>
                <w:rFonts w:ascii="Times New Roman" w:hAnsi="Times New Roman" w:cs="Times New Roman"/>
                <w:sz w:val="18"/>
                <w:szCs w:val="18"/>
              </w:rPr>
              <w:t>0.15</w:t>
            </w:r>
          </w:p>
        </w:tc>
        <w:tc>
          <w:tcPr>
            <w:tcW w:w="1563" w:type="dxa"/>
            <w:vMerge w:val="continue"/>
            <w:vAlign w:val="center"/>
          </w:tcPr>
          <w:p w14:paraId="5F7D2473">
            <w:pPr>
              <w:pStyle w:val="557"/>
            </w:pPr>
          </w:p>
        </w:tc>
        <w:tc>
          <w:tcPr>
            <w:tcW w:w="684" w:type="dxa"/>
            <w:vMerge w:val="continue"/>
            <w:vAlign w:val="center"/>
          </w:tcPr>
          <w:p w14:paraId="5EEC3BE6">
            <w:pPr>
              <w:pStyle w:val="557"/>
            </w:pPr>
          </w:p>
        </w:tc>
      </w:tr>
    </w:tbl>
    <w:p w14:paraId="75F9CD3F">
      <w:pPr>
        <w:pStyle w:val="281"/>
        <w:ind w:firstLine="480"/>
        <w:rPr>
          <w:szCs w:val="24"/>
          <w:u w:color="000000"/>
        </w:rPr>
      </w:pPr>
      <w:r>
        <w:rPr>
          <w:rFonts w:hint="eastAsia"/>
          <w:szCs w:val="24"/>
          <w:u w:color="000000"/>
        </w:rPr>
        <w:t>（3）噪声</w:t>
      </w:r>
    </w:p>
    <w:p w14:paraId="0B43ED2A">
      <w:pPr>
        <w:pStyle w:val="281"/>
        <w:ind w:firstLine="480"/>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0dB之间，此类噪声为连续噪声源。各设备噪声源强参照《污染源源强核算技术指南 化肥工业》（HJ994-2018）附表B。低温甲醇洗单元主要噪声源及治理情况见</w:t>
      </w:r>
      <w:r>
        <w:rPr>
          <w:rFonts w:hint="eastAsia"/>
        </w:rPr>
        <w:t>表3.2.</w:t>
      </w:r>
      <w:r>
        <w:t>3</w:t>
      </w:r>
      <w:r>
        <w:rPr>
          <w:rFonts w:hint="eastAsia"/>
        </w:rPr>
        <w:t>-33。</w:t>
      </w:r>
    </w:p>
    <w:p w14:paraId="47EE20BA">
      <w:pPr>
        <w:pStyle w:val="541"/>
        <w:rPr>
          <w:rFonts w:hint="eastAsia"/>
          <w:u w:color="000000"/>
        </w:rPr>
      </w:pPr>
      <w:r>
        <w:rPr>
          <w:rFonts w:hint="eastAsia"/>
        </w:rPr>
        <w:t>表3.2.</w:t>
      </w:r>
      <w:r>
        <w:t>3</w:t>
      </w:r>
      <w:r>
        <w:rPr>
          <w:rFonts w:hint="eastAsia"/>
        </w:rPr>
        <w:t>-33</w:t>
      </w:r>
      <w:r>
        <w:rPr>
          <w:u w:color="000000"/>
        </w:rPr>
        <w:t xml:space="preserve">   </w:t>
      </w:r>
      <w:r>
        <w:rPr>
          <w:rFonts w:hint="eastAsia"/>
          <w:u w:color="000000"/>
        </w:rPr>
        <w:t xml:space="preserve"> 低温甲醇洗单元噪声污染源一览表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850"/>
        <w:gridCol w:w="567"/>
        <w:gridCol w:w="709"/>
        <w:gridCol w:w="850"/>
        <w:gridCol w:w="851"/>
        <w:gridCol w:w="1527"/>
        <w:gridCol w:w="549"/>
        <w:gridCol w:w="692"/>
        <w:gridCol w:w="692"/>
        <w:gridCol w:w="692"/>
      </w:tblGrid>
      <w:tr w14:paraId="2893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25" w:type="dxa"/>
            <w:vMerge w:val="restart"/>
            <w:tcBorders>
              <w:top w:val="single" w:color="auto" w:sz="4" w:space="0"/>
              <w:left w:val="single" w:color="auto" w:sz="4" w:space="0"/>
              <w:right w:val="single" w:color="auto" w:sz="4" w:space="0"/>
            </w:tcBorders>
            <w:vAlign w:val="center"/>
          </w:tcPr>
          <w:p w14:paraId="156A4974">
            <w:pPr>
              <w:jc w:val="center"/>
              <w:rPr>
                <w:rFonts w:ascii="Times New Roman" w:hAnsi="Times New Roman" w:cs="Times New Roman"/>
                <w:sz w:val="18"/>
                <w:szCs w:val="18"/>
              </w:rPr>
            </w:pPr>
            <w:r>
              <w:rPr>
                <w:rFonts w:ascii="Times New Roman" w:hAnsi="Times New Roman" w:cs="Times New Roman"/>
                <w:sz w:val="18"/>
                <w:szCs w:val="18"/>
              </w:rPr>
              <w:t>编号</w:t>
            </w:r>
          </w:p>
        </w:tc>
        <w:tc>
          <w:tcPr>
            <w:tcW w:w="850" w:type="dxa"/>
            <w:vMerge w:val="restart"/>
            <w:tcBorders>
              <w:top w:val="single" w:color="auto" w:sz="4" w:space="0"/>
              <w:left w:val="single" w:color="auto" w:sz="4" w:space="0"/>
              <w:right w:val="single" w:color="auto" w:sz="4" w:space="0"/>
            </w:tcBorders>
            <w:vAlign w:val="center"/>
          </w:tcPr>
          <w:p w14:paraId="29909E5D">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67" w:type="dxa"/>
            <w:vMerge w:val="restart"/>
            <w:tcBorders>
              <w:top w:val="single" w:color="auto" w:sz="4" w:space="0"/>
              <w:left w:val="single" w:color="auto" w:sz="4" w:space="0"/>
              <w:right w:val="single" w:color="auto" w:sz="4" w:space="0"/>
            </w:tcBorders>
            <w:vAlign w:val="center"/>
          </w:tcPr>
          <w:p w14:paraId="2C182A9B">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709" w:type="dxa"/>
            <w:vMerge w:val="restart"/>
            <w:tcBorders>
              <w:top w:val="single" w:color="auto" w:sz="4" w:space="0"/>
              <w:left w:val="single" w:color="auto" w:sz="4" w:space="0"/>
              <w:right w:val="single" w:color="auto" w:sz="4" w:space="0"/>
            </w:tcBorders>
            <w:vAlign w:val="center"/>
          </w:tcPr>
          <w:p w14:paraId="36274776">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BED5AD4">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076" w:type="dxa"/>
            <w:gridSpan w:val="2"/>
            <w:tcBorders>
              <w:top w:val="single" w:color="auto" w:sz="4" w:space="0"/>
              <w:left w:val="single" w:color="auto" w:sz="4" w:space="0"/>
              <w:right w:val="single" w:color="auto" w:sz="4" w:space="0"/>
            </w:tcBorders>
            <w:vAlign w:val="center"/>
          </w:tcPr>
          <w:p w14:paraId="7BC22C23">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384" w:type="dxa"/>
            <w:gridSpan w:val="2"/>
            <w:tcBorders>
              <w:top w:val="single" w:color="auto" w:sz="4" w:space="0"/>
              <w:left w:val="single" w:color="auto" w:sz="4" w:space="0"/>
              <w:right w:val="single" w:color="auto" w:sz="4" w:space="0"/>
            </w:tcBorders>
            <w:vAlign w:val="center"/>
          </w:tcPr>
          <w:p w14:paraId="63243299">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92" w:type="dxa"/>
            <w:vMerge w:val="restart"/>
            <w:tcBorders>
              <w:top w:val="single" w:color="auto" w:sz="4" w:space="0"/>
              <w:left w:val="single" w:color="auto" w:sz="4" w:space="0"/>
              <w:right w:val="single" w:color="auto" w:sz="4" w:space="0"/>
            </w:tcBorders>
            <w:vAlign w:val="center"/>
          </w:tcPr>
          <w:p w14:paraId="7EB60965">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51CB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vMerge w:val="continue"/>
            <w:tcBorders>
              <w:left w:val="single" w:color="auto" w:sz="4" w:space="0"/>
              <w:bottom w:val="single" w:color="auto" w:sz="4" w:space="0"/>
              <w:right w:val="single" w:color="auto" w:sz="4" w:space="0"/>
            </w:tcBorders>
            <w:vAlign w:val="center"/>
          </w:tcPr>
          <w:p w14:paraId="398433D5">
            <w:pPr>
              <w:jc w:val="center"/>
              <w:rPr>
                <w:rFonts w:ascii="Times New Roman" w:hAnsi="Times New Roman" w:cs="Times New Roman"/>
                <w:sz w:val="18"/>
                <w:szCs w:val="18"/>
              </w:rPr>
            </w:pPr>
          </w:p>
        </w:tc>
        <w:tc>
          <w:tcPr>
            <w:tcW w:w="850" w:type="dxa"/>
            <w:vMerge w:val="continue"/>
            <w:tcBorders>
              <w:left w:val="single" w:color="auto" w:sz="4" w:space="0"/>
              <w:bottom w:val="single" w:color="auto" w:sz="4" w:space="0"/>
              <w:right w:val="single" w:color="auto" w:sz="4" w:space="0"/>
            </w:tcBorders>
            <w:vAlign w:val="center"/>
          </w:tcPr>
          <w:p w14:paraId="1FC55357">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701AE5BA">
            <w:pPr>
              <w:jc w:val="center"/>
              <w:rPr>
                <w:rFonts w:ascii="Times New Roman" w:hAnsi="Times New Roman" w:cs="Times New Roman"/>
                <w:sz w:val="18"/>
                <w:szCs w:val="18"/>
              </w:rPr>
            </w:pPr>
          </w:p>
        </w:tc>
        <w:tc>
          <w:tcPr>
            <w:tcW w:w="709" w:type="dxa"/>
            <w:vMerge w:val="continue"/>
            <w:tcBorders>
              <w:left w:val="single" w:color="auto" w:sz="4" w:space="0"/>
              <w:bottom w:val="single" w:color="auto" w:sz="4" w:space="0"/>
              <w:right w:val="single" w:color="auto" w:sz="4" w:space="0"/>
            </w:tcBorders>
            <w:vAlign w:val="center"/>
          </w:tcPr>
          <w:p w14:paraId="52EC0874">
            <w:pPr>
              <w:jc w:val="center"/>
              <w:rPr>
                <w:rFonts w:ascii="Times New Roman" w:hAnsi="Times New Roman" w:cs="Times New Roman"/>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14:paraId="440D3BF5">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51" w:type="dxa"/>
            <w:tcBorders>
              <w:top w:val="single" w:color="auto" w:sz="4" w:space="0"/>
              <w:left w:val="single" w:color="auto" w:sz="4" w:space="0"/>
              <w:bottom w:val="single" w:color="auto" w:sz="4" w:space="0"/>
              <w:right w:val="single" w:color="auto" w:sz="4" w:space="0"/>
            </w:tcBorders>
            <w:vAlign w:val="center"/>
          </w:tcPr>
          <w:p w14:paraId="4AC1FC79">
            <w:pPr>
              <w:jc w:val="center"/>
              <w:rPr>
                <w:rFonts w:ascii="Times New Roman" w:hAnsi="Times New Roman" w:cs="Times New Roman"/>
                <w:sz w:val="18"/>
                <w:szCs w:val="18"/>
              </w:rPr>
            </w:pPr>
            <w:r>
              <w:rPr>
                <w:rFonts w:ascii="Times New Roman" w:hAnsi="Times New Roman" w:cs="Times New Roman"/>
                <w:sz w:val="18"/>
                <w:szCs w:val="18"/>
              </w:rPr>
              <w:t>声源表</w:t>
            </w:r>
          </w:p>
          <w:p w14:paraId="0EFF78F7">
            <w:pPr>
              <w:jc w:val="center"/>
              <w:rPr>
                <w:rFonts w:ascii="Times New Roman" w:hAnsi="Times New Roman" w:cs="Times New Roman"/>
                <w:sz w:val="18"/>
                <w:szCs w:val="18"/>
              </w:rPr>
            </w:pPr>
            <w:r>
              <w:rPr>
                <w:rFonts w:ascii="Times New Roman" w:hAnsi="Times New Roman" w:cs="Times New Roman"/>
                <w:sz w:val="18"/>
                <w:szCs w:val="18"/>
              </w:rPr>
              <w:t>达量dB(A</w:t>
            </w:r>
            <w:r>
              <w:rPr>
                <w:rFonts w:hint="eastAsia" w:ascii="Times New Roman" w:hAnsi="Times New Roman" w:cs="Times New Roman"/>
                <w:sz w:val="18"/>
                <w:szCs w:val="18"/>
              </w:rPr>
              <w:t>）</w:t>
            </w:r>
          </w:p>
        </w:tc>
        <w:tc>
          <w:tcPr>
            <w:tcW w:w="1527" w:type="dxa"/>
            <w:tcBorders>
              <w:left w:val="single" w:color="auto" w:sz="4" w:space="0"/>
              <w:bottom w:val="single" w:color="auto" w:sz="4" w:space="0"/>
              <w:right w:val="single" w:color="auto" w:sz="4" w:space="0"/>
            </w:tcBorders>
            <w:vAlign w:val="center"/>
          </w:tcPr>
          <w:p w14:paraId="79D04862">
            <w:pPr>
              <w:jc w:val="center"/>
              <w:rPr>
                <w:rFonts w:ascii="Times New Roman" w:hAnsi="Times New Roman" w:cs="Times New Roman"/>
                <w:sz w:val="18"/>
                <w:szCs w:val="18"/>
              </w:rPr>
            </w:pPr>
            <w:r>
              <w:rPr>
                <w:rFonts w:ascii="Times New Roman" w:hAnsi="Times New Roman" w:cs="Times New Roman"/>
                <w:sz w:val="18"/>
                <w:szCs w:val="18"/>
              </w:rPr>
              <w:t>工艺</w:t>
            </w:r>
          </w:p>
        </w:tc>
        <w:tc>
          <w:tcPr>
            <w:tcW w:w="549" w:type="dxa"/>
            <w:tcBorders>
              <w:left w:val="single" w:color="auto" w:sz="4" w:space="0"/>
              <w:bottom w:val="single" w:color="auto" w:sz="4" w:space="0"/>
              <w:right w:val="single" w:color="auto" w:sz="4" w:space="0"/>
            </w:tcBorders>
            <w:vAlign w:val="center"/>
          </w:tcPr>
          <w:p w14:paraId="4675E1B2">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92" w:type="dxa"/>
            <w:tcBorders>
              <w:left w:val="single" w:color="auto" w:sz="4" w:space="0"/>
              <w:bottom w:val="single" w:color="auto" w:sz="4" w:space="0"/>
              <w:right w:val="single" w:color="auto" w:sz="4" w:space="0"/>
            </w:tcBorders>
            <w:vAlign w:val="center"/>
          </w:tcPr>
          <w:p w14:paraId="33603A83">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692" w:type="dxa"/>
            <w:tcBorders>
              <w:left w:val="single" w:color="auto" w:sz="4" w:space="0"/>
              <w:bottom w:val="single" w:color="auto" w:sz="4" w:space="0"/>
              <w:right w:val="single" w:color="auto" w:sz="4" w:space="0"/>
            </w:tcBorders>
            <w:vAlign w:val="center"/>
          </w:tcPr>
          <w:p w14:paraId="0DB18D0F">
            <w:pPr>
              <w:jc w:val="center"/>
              <w:rPr>
                <w:rFonts w:ascii="Times New Roman" w:hAnsi="Times New Roman" w:cs="Times New Roman"/>
                <w:sz w:val="18"/>
                <w:szCs w:val="18"/>
              </w:rPr>
            </w:pPr>
            <w:r>
              <w:rPr>
                <w:rFonts w:ascii="Times New Roman" w:hAnsi="Times New Roman" w:cs="Times New Roman"/>
                <w:sz w:val="18"/>
                <w:szCs w:val="18"/>
              </w:rPr>
              <w:t>声源表</w:t>
            </w:r>
          </w:p>
          <w:p w14:paraId="6F7D2747">
            <w:pPr>
              <w:jc w:val="center"/>
              <w:rPr>
                <w:rFonts w:ascii="Times New Roman" w:hAnsi="Times New Roman" w:cs="Times New Roman"/>
                <w:sz w:val="18"/>
                <w:szCs w:val="18"/>
              </w:rPr>
            </w:pPr>
            <w:r>
              <w:rPr>
                <w:rFonts w:ascii="Times New Roman" w:hAnsi="Times New Roman" w:cs="Times New Roman"/>
                <w:sz w:val="18"/>
                <w:szCs w:val="18"/>
              </w:rPr>
              <w:t>达量</w:t>
            </w:r>
          </w:p>
          <w:p w14:paraId="2F58BCCA">
            <w:pPr>
              <w:jc w:val="center"/>
              <w:rPr>
                <w:rFonts w:ascii="Times New Roman" w:hAnsi="Times New Roman" w:cs="Times New Roman"/>
                <w:sz w:val="18"/>
                <w:szCs w:val="18"/>
              </w:rPr>
            </w:pPr>
            <w:r>
              <w:rPr>
                <w:rFonts w:ascii="Times New Roman" w:hAnsi="Times New Roman" w:cs="Times New Roman"/>
                <w:sz w:val="18"/>
                <w:szCs w:val="18"/>
              </w:rPr>
              <w:t>dB(A</w:t>
            </w:r>
            <w:r>
              <w:rPr>
                <w:rFonts w:hint="eastAsia" w:ascii="Times New Roman" w:hAnsi="Times New Roman" w:cs="Times New Roman"/>
                <w:sz w:val="18"/>
                <w:szCs w:val="18"/>
              </w:rPr>
              <w:t>）</w:t>
            </w:r>
          </w:p>
        </w:tc>
        <w:tc>
          <w:tcPr>
            <w:tcW w:w="692" w:type="dxa"/>
            <w:vMerge w:val="continue"/>
            <w:tcBorders>
              <w:left w:val="single" w:color="auto" w:sz="4" w:space="0"/>
              <w:bottom w:val="single" w:color="auto" w:sz="4" w:space="0"/>
              <w:right w:val="single" w:color="auto" w:sz="4" w:space="0"/>
            </w:tcBorders>
            <w:vAlign w:val="center"/>
          </w:tcPr>
          <w:p w14:paraId="7A4F5DBB">
            <w:pPr>
              <w:jc w:val="center"/>
              <w:rPr>
                <w:rFonts w:ascii="Times New Roman" w:hAnsi="Times New Roman" w:cs="Times New Roman"/>
                <w:sz w:val="18"/>
                <w:szCs w:val="18"/>
              </w:rPr>
            </w:pPr>
          </w:p>
        </w:tc>
      </w:tr>
      <w:tr w14:paraId="4DCC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135D5D76">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2-3</w:t>
            </w:r>
          </w:p>
        </w:tc>
        <w:tc>
          <w:tcPr>
            <w:tcW w:w="850" w:type="dxa"/>
            <w:tcBorders>
              <w:left w:val="single" w:color="auto" w:sz="4" w:space="0"/>
              <w:bottom w:val="single" w:color="auto" w:sz="4" w:space="0"/>
              <w:right w:val="single" w:color="auto" w:sz="4" w:space="0"/>
            </w:tcBorders>
            <w:vAlign w:val="center"/>
          </w:tcPr>
          <w:p w14:paraId="7FD736F4">
            <w:pPr>
              <w:jc w:val="center"/>
              <w:rPr>
                <w:rFonts w:ascii="Times New Roman" w:hAnsi="Times New Roman" w:cs="Times New Roman"/>
                <w:sz w:val="18"/>
                <w:szCs w:val="18"/>
              </w:rPr>
            </w:pPr>
            <w:r>
              <w:rPr>
                <w:rFonts w:ascii="Times New Roman" w:hAnsi="Times New Roman" w:cs="Times New Roman"/>
                <w:sz w:val="18"/>
                <w:szCs w:val="18"/>
              </w:rPr>
              <w:t>压缩机</w:t>
            </w:r>
          </w:p>
        </w:tc>
        <w:tc>
          <w:tcPr>
            <w:tcW w:w="567" w:type="dxa"/>
            <w:tcBorders>
              <w:left w:val="single" w:color="auto" w:sz="4" w:space="0"/>
              <w:bottom w:val="single" w:color="auto" w:sz="4" w:space="0"/>
              <w:right w:val="single" w:color="auto" w:sz="4" w:space="0"/>
            </w:tcBorders>
            <w:vAlign w:val="center"/>
          </w:tcPr>
          <w:p w14:paraId="7E642C97">
            <w:pPr>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709" w:type="dxa"/>
            <w:tcBorders>
              <w:left w:val="single" w:color="auto" w:sz="4" w:space="0"/>
              <w:bottom w:val="single" w:color="auto" w:sz="4" w:space="0"/>
              <w:right w:val="single" w:color="auto" w:sz="4" w:space="0"/>
            </w:tcBorders>
            <w:vAlign w:val="center"/>
          </w:tcPr>
          <w:p w14:paraId="640FAA18">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47FD43B1">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5A1AC97F">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50B0F210">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549" w:type="dxa"/>
            <w:tcBorders>
              <w:left w:val="single" w:color="auto" w:sz="4" w:space="0"/>
              <w:bottom w:val="single" w:color="auto" w:sz="4" w:space="0"/>
              <w:right w:val="single" w:color="auto" w:sz="4" w:space="0"/>
            </w:tcBorders>
            <w:vAlign w:val="center"/>
          </w:tcPr>
          <w:p w14:paraId="2F43435A">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427BB0FB">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1E416C7F">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4EEBF969">
            <w:pPr>
              <w:jc w:val="center"/>
              <w:rPr>
                <w:rFonts w:ascii="Times New Roman" w:hAnsi="Times New Roman" w:cs="Times New Roman"/>
                <w:sz w:val="18"/>
                <w:szCs w:val="18"/>
              </w:rPr>
            </w:pPr>
            <w:r>
              <w:rPr>
                <w:rFonts w:ascii="Times New Roman" w:hAnsi="Times New Roman" w:cs="Times New Roman"/>
                <w:sz w:val="18"/>
                <w:szCs w:val="18"/>
              </w:rPr>
              <w:t>8000</w:t>
            </w:r>
          </w:p>
        </w:tc>
      </w:tr>
      <w:tr w14:paraId="228B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25" w:type="dxa"/>
            <w:tcBorders>
              <w:left w:val="single" w:color="auto" w:sz="4" w:space="0"/>
              <w:right w:val="single" w:color="auto" w:sz="4" w:space="0"/>
            </w:tcBorders>
            <w:vAlign w:val="center"/>
          </w:tcPr>
          <w:p w14:paraId="28A5CD85">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2-4</w:t>
            </w:r>
          </w:p>
        </w:tc>
        <w:tc>
          <w:tcPr>
            <w:tcW w:w="850" w:type="dxa"/>
            <w:tcBorders>
              <w:left w:val="single" w:color="auto" w:sz="4" w:space="0"/>
              <w:right w:val="single" w:color="auto" w:sz="4" w:space="0"/>
            </w:tcBorders>
            <w:vAlign w:val="center"/>
          </w:tcPr>
          <w:p w14:paraId="7BCA3E88">
            <w:pPr>
              <w:jc w:val="center"/>
              <w:rPr>
                <w:rFonts w:ascii="Times New Roman" w:hAnsi="Times New Roman" w:cs="Times New Roman"/>
                <w:sz w:val="18"/>
                <w:szCs w:val="18"/>
              </w:rPr>
            </w:pPr>
            <w:r>
              <w:rPr>
                <w:rFonts w:ascii="Times New Roman" w:hAnsi="Times New Roman" w:cs="Times New Roman"/>
                <w:sz w:val="18"/>
                <w:szCs w:val="18"/>
              </w:rPr>
              <w:t>机泵</w:t>
            </w:r>
          </w:p>
        </w:tc>
        <w:tc>
          <w:tcPr>
            <w:tcW w:w="567" w:type="dxa"/>
            <w:tcBorders>
              <w:left w:val="single" w:color="auto" w:sz="4" w:space="0"/>
              <w:right w:val="single" w:color="auto" w:sz="4" w:space="0"/>
            </w:tcBorders>
            <w:vAlign w:val="center"/>
          </w:tcPr>
          <w:p w14:paraId="18CDD1BB">
            <w:pPr>
              <w:jc w:val="center"/>
              <w:rPr>
                <w:rFonts w:ascii="Times New Roman" w:hAnsi="Times New Roman" w:cs="Times New Roman"/>
                <w:sz w:val="18"/>
                <w:szCs w:val="18"/>
              </w:rPr>
            </w:pPr>
            <w:r>
              <w:rPr>
                <w:rFonts w:ascii="Times New Roman" w:hAnsi="Times New Roman" w:cs="Times New Roman"/>
                <w:sz w:val="18"/>
                <w:szCs w:val="18"/>
              </w:rPr>
              <w:t>17</w:t>
            </w:r>
          </w:p>
        </w:tc>
        <w:tc>
          <w:tcPr>
            <w:tcW w:w="709" w:type="dxa"/>
            <w:tcBorders>
              <w:left w:val="single" w:color="auto" w:sz="4" w:space="0"/>
              <w:right w:val="single" w:color="auto" w:sz="4" w:space="0"/>
            </w:tcBorders>
            <w:vAlign w:val="center"/>
          </w:tcPr>
          <w:p w14:paraId="2AF3C32F">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6493AA27">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0FF39055">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right w:val="single" w:color="auto" w:sz="4" w:space="0"/>
            </w:tcBorders>
            <w:vAlign w:val="center"/>
          </w:tcPr>
          <w:p w14:paraId="0DF4D184">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549" w:type="dxa"/>
            <w:tcBorders>
              <w:left w:val="single" w:color="auto" w:sz="4" w:space="0"/>
              <w:right w:val="single" w:color="auto" w:sz="4" w:space="0"/>
            </w:tcBorders>
            <w:vAlign w:val="center"/>
          </w:tcPr>
          <w:p w14:paraId="0416771E">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right w:val="single" w:color="auto" w:sz="4" w:space="0"/>
            </w:tcBorders>
            <w:vAlign w:val="center"/>
          </w:tcPr>
          <w:p w14:paraId="6CE47C48">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right w:val="single" w:color="auto" w:sz="4" w:space="0"/>
            </w:tcBorders>
            <w:vAlign w:val="center"/>
          </w:tcPr>
          <w:p w14:paraId="1480D3D0">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right w:val="single" w:color="auto" w:sz="4" w:space="0"/>
            </w:tcBorders>
            <w:vAlign w:val="center"/>
          </w:tcPr>
          <w:p w14:paraId="2D4A9D91">
            <w:pPr>
              <w:jc w:val="center"/>
              <w:rPr>
                <w:rFonts w:ascii="Times New Roman" w:hAnsi="Times New Roman" w:cs="Times New Roman"/>
                <w:sz w:val="18"/>
                <w:szCs w:val="18"/>
              </w:rPr>
            </w:pPr>
            <w:r>
              <w:rPr>
                <w:rFonts w:ascii="Times New Roman" w:hAnsi="Times New Roman" w:cs="Times New Roman"/>
                <w:sz w:val="18"/>
                <w:szCs w:val="18"/>
              </w:rPr>
              <w:t>8000</w:t>
            </w:r>
          </w:p>
        </w:tc>
      </w:tr>
      <w:bookmarkEnd w:id="153"/>
    </w:tbl>
    <w:p w14:paraId="60210E64">
      <w:pPr>
        <w:pStyle w:val="814"/>
        <w:rPr>
          <w:rFonts w:hint="eastAsia"/>
        </w:rPr>
      </w:pPr>
      <w:r>
        <w:rPr>
          <w:rFonts w:hint="eastAsia"/>
        </w:rPr>
        <w:t>CO深冷分离单元</w:t>
      </w:r>
    </w:p>
    <w:p w14:paraId="6F320976">
      <w:pPr>
        <w:pStyle w:val="281"/>
        <w:ind w:firstLine="480"/>
      </w:pPr>
      <w:r>
        <w:rPr>
          <w:rFonts w:hint="eastAsia"/>
        </w:rPr>
        <w:t>（1）废气</w:t>
      </w:r>
    </w:p>
    <w:p w14:paraId="6DA1ECB9">
      <w:pPr>
        <w:pStyle w:val="281"/>
        <w:ind w:firstLine="480"/>
      </w:pPr>
      <w:r>
        <w:rPr>
          <w:rFonts w:hint="eastAsia"/>
        </w:rPr>
        <w:t>CO深冷分离单元设备动静密封点无组织排放</w:t>
      </w:r>
      <w:r>
        <w:rPr>
          <w:bCs/>
        </w:rPr>
        <w:t>挥发性有机物</w:t>
      </w:r>
      <w:r>
        <w:rPr>
          <w:rFonts w:hint="eastAsia"/>
        </w:rPr>
        <w:t>依据《污染源源强核算技术指南 化肥工业（HJ994-2018）》</w:t>
      </w:r>
      <w:r>
        <w:rPr>
          <w:rFonts w:hint="eastAsia" w:ascii="宋体" w:hAnsi="宋体"/>
          <w:bCs/>
        </w:rPr>
        <w:t>设备与管线组件密封点泄漏挥发性有机物排放量计算方法</w:t>
      </w:r>
      <w:r>
        <w:rPr>
          <w:rFonts w:hint="eastAsia"/>
        </w:rPr>
        <w:t>。</w:t>
      </w:r>
    </w:p>
    <w:p w14:paraId="780374F5">
      <w:pPr>
        <w:pStyle w:val="281"/>
        <w:ind w:firstLine="480"/>
        <w:jc w:val="center"/>
      </w:pPr>
      <w:r>
        <w:drawing>
          <wp:inline distT="0" distB="0" distL="0" distR="0">
            <wp:extent cx="2751455" cy="727710"/>
            <wp:effectExtent l="0" t="0" r="10795" b="15240"/>
            <wp:docPr id="135"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descr="图示, 示意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53153" cy="728178"/>
                    </a:xfrm>
                    <a:prstGeom prst="rect">
                      <a:avLst/>
                    </a:prstGeom>
                    <a:noFill/>
                    <a:ln>
                      <a:noFill/>
                    </a:ln>
                  </pic:spPr>
                </pic:pic>
              </a:graphicData>
            </a:graphic>
          </wp:inline>
        </w:drawing>
      </w:r>
    </w:p>
    <w:p w14:paraId="37AACFAB">
      <w:pPr>
        <w:pStyle w:val="281"/>
        <w:ind w:firstLine="480"/>
        <w:rPr>
          <w:sz w:val="21"/>
        </w:rPr>
      </w:pPr>
      <w:r>
        <w:t>式中：</w:t>
      </w:r>
      <w:r>
        <w:rPr>
          <w:sz w:val="21"/>
        </w:rPr>
        <w:t xml:space="preserve">D </w:t>
      </w:r>
      <w:r>
        <w:rPr>
          <w:sz w:val="21"/>
          <w:vertAlign w:val="subscript"/>
        </w:rPr>
        <w:t>设备</w:t>
      </w:r>
      <w:r>
        <w:rPr>
          <w:rFonts w:hint="eastAsia"/>
          <w:sz w:val="21"/>
        </w:rPr>
        <w:t>-</w:t>
      </w:r>
      <w:r>
        <w:rPr>
          <w:sz w:val="21"/>
        </w:rPr>
        <w:t>设备与管线组件密封点泄漏的挥发性有机物排放量，kg/a；</w:t>
      </w:r>
    </w:p>
    <w:p w14:paraId="2EEDA5EB">
      <w:pPr>
        <w:pStyle w:val="281"/>
        <w:ind w:firstLine="420"/>
        <w:rPr>
          <w:sz w:val="21"/>
        </w:rPr>
      </w:pPr>
      <w:r>
        <w:rPr>
          <w:sz w:val="21"/>
        </w:rPr>
        <w:t>α</w:t>
      </w:r>
      <w:r>
        <w:rPr>
          <w:rFonts w:hint="eastAsia"/>
          <w:sz w:val="21"/>
        </w:rPr>
        <w:t>-</w:t>
      </w:r>
      <w:r>
        <w:rPr>
          <w:sz w:val="21"/>
        </w:rPr>
        <w:t>设备与管线组件密封点泄漏比例</w:t>
      </w:r>
      <w:r>
        <w:rPr>
          <w:rFonts w:hint="eastAsia"/>
          <w:sz w:val="21"/>
        </w:rPr>
        <w:t>，取值0.003；</w:t>
      </w:r>
    </w:p>
    <w:p w14:paraId="6E02F731">
      <w:pPr>
        <w:pStyle w:val="281"/>
        <w:ind w:firstLine="420"/>
        <w:rPr>
          <w:sz w:val="21"/>
        </w:rPr>
      </w:pPr>
      <w:r>
        <w:rPr>
          <w:sz w:val="21"/>
        </w:rPr>
        <w:t>n</w:t>
      </w:r>
      <w:r>
        <w:rPr>
          <w:rFonts w:hint="eastAsia"/>
          <w:sz w:val="21"/>
        </w:rPr>
        <w:t>-</w:t>
      </w:r>
      <w:r>
        <w:rPr>
          <w:sz w:val="21"/>
        </w:rPr>
        <w:t>挥发性有机物流经的设备与管线组件密封点数；</w:t>
      </w:r>
    </w:p>
    <w:p w14:paraId="02D2164E">
      <w:pPr>
        <w:pStyle w:val="281"/>
        <w:ind w:firstLine="420"/>
        <w:rPr>
          <w:sz w:val="21"/>
        </w:rPr>
      </w:pPr>
      <w:r>
        <w:rPr>
          <w:sz w:val="21"/>
        </w:rPr>
        <w:t>e</w:t>
      </w:r>
      <w:r>
        <w:rPr>
          <w:sz w:val="21"/>
          <w:vertAlign w:val="subscript"/>
        </w:rPr>
        <w:t>TOC,i</w:t>
      </w:r>
      <w:r>
        <w:rPr>
          <w:rFonts w:hint="eastAsia"/>
          <w:sz w:val="21"/>
        </w:rPr>
        <w:t>-</w:t>
      </w:r>
      <w:r>
        <w:rPr>
          <w:sz w:val="21"/>
        </w:rPr>
        <w:t>密封点 i 的总有机碳（TOC）排放速率，kg/h；</w:t>
      </w:r>
    </w:p>
    <w:p w14:paraId="50AE596B">
      <w:pPr>
        <w:pStyle w:val="281"/>
        <w:ind w:firstLine="420"/>
        <w:rPr>
          <w:sz w:val="21"/>
        </w:rPr>
      </w:pPr>
      <w:r>
        <w:rPr>
          <w:sz w:val="21"/>
        </w:rPr>
        <w:t>WF</w:t>
      </w:r>
      <w:r>
        <w:rPr>
          <w:sz w:val="21"/>
          <w:vertAlign w:val="subscript"/>
        </w:rPr>
        <w:t>VOCs,i</w:t>
      </w:r>
      <w:r>
        <w:rPr>
          <w:rFonts w:hint="eastAsia"/>
          <w:sz w:val="21"/>
        </w:rPr>
        <w:t>-</w:t>
      </w:r>
      <w:r>
        <w:rPr>
          <w:sz w:val="21"/>
        </w:rPr>
        <w:t>流经密封点 i 的物料中挥发性有机物设计平均质量分数，量纲一的量；</w:t>
      </w:r>
    </w:p>
    <w:p w14:paraId="4BA948B9">
      <w:pPr>
        <w:pStyle w:val="281"/>
        <w:ind w:firstLine="420"/>
        <w:rPr>
          <w:sz w:val="21"/>
        </w:rPr>
      </w:pPr>
      <w:r>
        <w:rPr>
          <w:sz w:val="21"/>
        </w:rPr>
        <w:t>WF</w:t>
      </w:r>
      <w:r>
        <w:rPr>
          <w:sz w:val="21"/>
          <w:vertAlign w:val="subscript"/>
        </w:rPr>
        <w:t>TOC,i</w:t>
      </w:r>
      <w:r>
        <w:rPr>
          <w:rFonts w:hint="eastAsia"/>
          <w:sz w:val="21"/>
        </w:rPr>
        <w:t>-</w:t>
      </w:r>
      <w:r>
        <w:rPr>
          <w:sz w:val="21"/>
        </w:rPr>
        <w:t>流经密封点 i 的物料中总有机碳（TOC）设计平均质量分数，量纲一的量；</w:t>
      </w:r>
    </w:p>
    <w:p w14:paraId="3857AC70">
      <w:pPr>
        <w:pStyle w:val="281"/>
        <w:ind w:firstLine="420"/>
      </w:pPr>
      <w:r>
        <w:rPr>
          <w:sz w:val="21"/>
        </w:rPr>
        <w:t>t</w:t>
      </w:r>
      <w:r>
        <w:rPr>
          <w:sz w:val="21"/>
          <w:vertAlign w:val="subscript"/>
        </w:rPr>
        <w:t>i</w:t>
      </w:r>
      <w:r>
        <w:rPr>
          <w:sz w:val="21"/>
        </w:rPr>
        <w:t>——密封点 i 的设计年运行时间，h/a。</w:t>
      </w:r>
    </w:p>
    <w:p w14:paraId="167F0641">
      <w:pPr>
        <w:pStyle w:val="281"/>
        <w:ind w:firstLine="480"/>
        <w:rPr>
          <w:u w:color="000000"/>
        </w:rPr>
      </w:pPr>
      <w:r>
        <w:rPr>
          <w:rFonts w:hint="eastAsia"/>
        </w:rPr>
        <w:t>CO深冷分离</w:t>
      </w:r>
      <w:r>
        <w:rPr>
          <w:rFonts w:hint="eastAsia"/>
          <w:u w:color="000000"/>
        </w:rPr>
        <w:t>单元</w:t>
      </w:r>
      <w:r>
        <w:rPr>
          <w:rFonts w:hint="eastAsia"/>
        </w:rPr>
        <w:t>挥发性有机物</w:t>
      </w:r>
      <w:r>
        <w:rPr>
          <w:rFonts w:hint="eastAsia"/>
          <w:u w:color="000000"/>
        </w:rPr>
        <w:t>无组织排放</w:t>
      </w:r>
      <w:r>
        <w:rPr>
          <w:rFonts w:hint="eastAsia" w:ascii="宋体" w:hAnsi="宋体"/>
          <w:bCs/>
        </w:rPr>
        <w:t>计算结果见</w:t>
      </w:r>
      <w:r>
        <w:rPr>
          <w:rFonts w:hint="eastAsia"/>
        </w:rPr>
        <w:t>表</w:t>
      </w:r>
      <w:r>
        <w:t>3.2.</w:t>
      </w:r>
      <w:r>
        <w:rPr>
          <w:rFonts w:hint="eastAsia"/>
        </w:rPr>
        <w:t>3</w:t>
      </w:r>
      <w:r>
        <w:t>-</w:t>
      </w:r>
      <w:r>
        <w:rPr>
          <w:rFonts w:hint="eastAsia"/>
        </w:rPr>
        <w:t>34。</w:t>
      </w:r>
    </w:p>
    <w:p w14:paraId="221F9C9E">
      <w:pPr>
        <w:pStyle w:val="541"/>
        <w:rPr>
          <w:rFonts w:hint="eastAsia"/>
          <w:u w:color="000000"/>
        </w:rPr>
      </w:pPr>
      <w:r>
        <w:rPr>
          <w:rFonts w:hint="eastAsia"/>
        </w:rPr>
        <w:t>表</w:t>
      </w:r>
      <w:r>
        <w:t>3.2.</w:t>
      </w:r>
      <w:r>
        <w:rPr>
          <w:rFonts w:hint="eastAsia"/>
        </w:rPr>
        <w:t>3</w:t>
      </w:r>
      <w:r>
        <w:t>-</w:t>
      </w:r>
      <w:r>
        <w:rPr>
          <w:rFonts w:hint="eastAsia"/>
        </w:rPr>
        <w:t>34</w:t>
      </w:r>
      <w:r>
        <w:rPr>
          <w:u w:color="000000"/>
        </w:rPr>
        <w:t xml:space="preserve"> </w:t>
      </w:r>
      <w:r>
        <w:rPr>
          <w:rFonts w:hint="eastAsia"/>
          <w:u w:color="000000"/>
        </w:rPr>
        <w:t xml:space="preserve">   </w:t>
      </w:r>
      <w:r>
        <w:rPr>
          <w:rFonts w:hint="eastAsia"/>
        </w:rPr>
        <w:t>CO深冷分离</w:t>
      </w:r>
      <w:r>
        <w:rPr>
          <w:rFonts w:hint="eastAsia"/>
          <w:u w:color="000000"/>
        </w:rPr>
        <w:t>单元无组织排放废气核算表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096"/>
        <w:gridCol w:w="1026"/>
        <w:gridCol w:w="1257"/>
        <w:gridCol w:w="1066"/>
      </w:tblGrid>
      <w:tr w14:paraId="52AA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noWrap/>
            <w:vAlign w:val="center"/>
          </w:tcPr>
          <w:p w14:paraId="31C82B4C">
            <w:pPr>
              <w:pStyle w:val="557"/>
            </w:pPr>
            <w:r>
              <w:t>设备类型</w:t>
            </w:r>
          </w:p>
        </w:tc>
        <w:tc>
          <w:tcPr>
            <w:tcW w:w="1559" w:type="dxa"/>
            <w:noWrap/>
            <w:vAlign w:val="center"/>
          </w:tcPr>
          <w:p w14:paraId="6731CA8A">
            <w:pPr>
              <w:pStyle w:val="557"/>
            </w:pPr>
            <w:r>
              <w:t>排放系数e</w:t>
            </w:r>
            <w:r>
              <w:rPr>
                <w:vertAlign w:val="subscript"/>
              </w:rPr>
              <w:t>TOC,i</w:t>
            </w:r>
          </w:p>
        </w:tc>
        <w:tc>
          <w:tcPr>
            <w:tcW w:w="1096" w:type="dxa"/>
            <w:noWrap/>
            <w:vAlign w:val="center"/>
          </w:tcPr>
          <w:p w14:paraId="7C33F85B">
            <w:pPr>
              <w:pStyle w:val="557"/>
            </w:pPr>
            <w:r>
              <w:t>个数</w:t>
            </w:r>
          </w:p>
        </w:tc>
        <w:tc>
          <w:tcPr>
            <w:tcW w:w="0" w:type="auto"/>
            <w:noWrap/>
            <w:vAlign w:val="center"/>
          </w:tcPr>
          <w:p w14:paraId="70CBAE4C">
            <w:pPr>
              <w:pStyle w:val="557"/>
            </w:pPr>
            <w:r>
              <w:t>排放时间h</w:t>
            </w:r>
          </w:p>
        </w:tc>
        <w:tc>
          <w:tcPr>
            <w:tcW w:w="0" w:type="auto"/>
            <w:noWrap/>
            <w:vAlign w:val="center"/>
          </w:tcPr>
          <w:p w14:paraId="50EA8189">
            <w:pPr>
              <w:pStyle w:val="557"/>
            </w:pPr>
            <w:r>
              <w:t>排放速率kg/h</w:t>
            </w:r>
          </w:p>
        </w:tc>
        <w:tc>
          <w:tcPr>
            <w:tcW w:w="0" w:type="auto"/>
            <w:noWrap/>
            <w:vAlign w:val="center"/>
          </w:tcPr>
          <w:p w14:paraId="4F783C36">
            <w:pPr>
              <w:pStyle w:val="557"/>
            </w:pPr>
            <w:r>
              <w:t>排放量kg/a</w:t>
            </w:r>
          </w:p>
        </w:tc>
      </w:tr>
      <w:tr w14:paraId="7A1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7B0DA4DB">
            <w:pPr>
              <w:pStyle w:val="557"/>
            </w:pPr>
            <w:r>
              <w:t>连接件</w:t>
            </w:r>
          </w:p>
        </w:tc>
        <w:tc>
          <w:tcPr>
            <w:tcW w:w="1559" w:type="dxa"/>
            <w:noWrap/>
            <w:vAlign w:val="center"/>
          </w:tcPr>
          <w:p w14:paraId="557A4E28">
            <w:pPr>
              <w:jc w:val="center"/>
              <w:textAlignment w:val="center"/>
              <w:rPr>
                <w:rFonts w:hint="eastAsia"/>
              </w:rPr>
            </w:pPr>
            <w:r>
              <w:rPr>
                <w:rFonts w:ascii="Times New Roman" w:hAnsi="Times New Roman" w:cs="Times New Roman"/>
                <w:color w:val="000000"/>
                <w:sz w:val="18"/>
                <w:szCs w:val="18"/>
              </w:rPr>
              <w:t>0.028</w:t>
            </w:r>
          </w:p>
        </w:tc>
        <w:tc>
          <w:tcPr>
            <w:tcW w:w="1096" w:type="dxa"/>
            <w:noWrap/>
            <w:vAlign w:val="center"/>
          </w:tcPr>
          <w:p w14:paraId="50154440">
            <w:pPr>
              <w:jc w:val="center"/>
              <w:textAlignment w:val="center"/>
              <w:rPr>
                <w:rFonts w:hint="eastAsia"/>
              </w:rPr>
            </w:pPr>
            <w:r>
              <w:rPr>
                <w:rFonts w:ascii="Times New Roman" w:hAnsi="Times New Roman" w:cs="Times New Roman"/>
                <w:color w:val="000000"/>
                <w:sz w:val="18"/>
                <w:szCs w:val="18"/>
              </w:rPr>
              <w:t>800</w:t>
            </w:r>
          </w:p>
        </w:tc>
        <w:tc>
          <w:tcPr>
            <w:tcW w:w="1026" w:type="dxa"/>
            <w:noWrap/>
            <w:vAlign w:val="center"/>
          </w:tcPr>
          <w:p w14:paraId="5AE81E6B">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5E3E08A">
            <w:pPr>
              <w:jc w:val="center"/>
              <w:textAlignment w:val="center"/>
              <w:rPr>
                <w:rFonts w:hint="eastAsia"/>
              </w:rPr>
            </w:pPr>
            <w:r>
              <w:rPr>
                <w:rFonts w:ascii="Times New Roman" w:hAnsi="Times New Roman" w:cs="Times New Roman"/>
                <w:color w:val="000000"/>
                <w:sz w:val="18"/>
                <w:szCs w:val="18"/>
              </w:rPr>
              <w:t>22.4</w:t>
            </w:r>
          </w:p>
        </w:tc>
        <w:tc>
          <w:tcPr>
            <w:tcW w:w="1066" w:type="dxa"/>
            <w:noWrap/>
            <w:vAlign w:val="center"/>
          </w:tcPr>
          <w:p w14:paraId="6229D6A9">
            <w:pPr>
              <w:jc w:val="center"/>
              <w:textAlignment w:val="center"/>
              <w:rPr>
                <w:rFonts w:hint="eastAsia"/>
              </w:rPr>
            </w:pPr>
            <w:r>
              <w:rPr>
                <w:rFonts w:ascii="Times New Roman" w:hAnsi="Times New Roman" w:cs="Times New Roman"/>
                <w:color w:val="000000"/>
                <w:sz w:val="18"/>
                <w:szCs w:val="18"/>
              </w:rPr>
              <w:t>179200</w:t>
            </w:r>
          </w:p>
        </w:tc>
      </w:tr>
      <w:tr w14:paraId="55F3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73BF7A2">
            <w:pPr>
              <w:pStyle w:val="557"/>
            </w:pPr>
            <w:r>
              <w:t>开口阀或开口管线</w:t>
            </w:r>
          </w:p>
        </w:tc>
        <w:tc>
          <w:tcPr>
            <w:tcW w:w="1559" w:type="dxa"/>
            <w:noWrap/>
            <w:vAlign w:val="center"/>
          </w:tcPr>
          <w:p w14:paraId="6297ECC6">
            <w:pPr>
              <w:jc w:val="center"/>
              <w:textAlignment w:val="center"/>
              <w:rPr>
                <w:rFonts w:hint="eastAsia"/>
              </w:rPr>
            </w:pPr>
            <w:r>
              <w:rPr>
                <w:rFonts w:ascii="Times New Roman" w:hAnsi="Times New Roman" w:cs="Times New Roman"/>
                <w:color w:val="000000"/>
                <w:sz w:val="18"/>
                <w:szCs w:val="18"/>
              </w:rPr>
              <w:t>0.03</w:t>
            </w:r>
          </w:p>
        </w:tc>
        <w:tc>
          <w:tcPr>
            <w:tcW w:w="1096" w:type="dxa"/>
            <w:noWrap/>
            <w:vAlign w:val="center"/>
          </w:tcPr>
          <w:p w14:paraId="7963497C">
            <w:pPr>
              <w:jc w:val="center"/>
              <w:textAlignment w:val="center"/>
              <w:rPr>
                <w:rFonts w:hint="eastAsia"/>
              </w:rPr>
            </w:pPr>
            <w:r>
              <w:rPr>
                <w:rFonts w:ascii="Times New Roman" w:hAnsi="Times New Roman" w:cs="Times New Roman"/>
                <w:color w:val="000000"/>
                <w:sz w:val="18"/>
                <w:szCs w:val="18"/>
              </w:rPr>
              <w:t>4</w:t>
            </w:r>
          </w:p>
        </w:tc>
        <w:tc>
          <w:tcPr>
            <w:tcW w:w="1026" w:type="dxa"/>
            <w:noWrap/>
            <w:vAlign w:val="center"/>
          </w:tcPr>
          <w:p w14:paraId="710706EA">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35A13C5D">
            <w:pPr>
              <w:jc w:val="center"/>
              <w:textAlignment w:val="center"/>
              <w:rPr>
                <w:rFonts w:hint="eastAsia"/>
              </w:rPr>
            </w:pPr>
            <w:r>
              <w:rPr>
                <w:rFonts w:ascii="Times New Roman" w:hAnsi="Times New Roman" w:cs="Times New Roman"/>
                <w:color w:val="000000"/>
                <w:sz w:val="18"/>
                <w:szCs w:val="18"/>
              </w:rPr>
              <w:t>0.12</w:t>
            </w:r>
          </w:p>
        </w:tc>
        <w:tc>
          <w:tcPr>
            <w:tcW w:w="1066" w:type="dxa"/>
            <w:noWrap/>
            <w:vAlign w:val="center"/>
          </w:tcPr>
          <w:p w14:paraId="05959148">
            <w:pPr>
              <w:jc w:val="center"/>
              <w:textAlignment w:val="center"/>
              <w:rPr>
                <w:rFonts w:hint="eastAsia"/>
              </w:rPr>
            </w:pPr>
            <w:r>
              <w:rPr>
                <w:rFonts w:ascii="Times New Roman" w:hAnsi="Times New Roman" w:cs="Times New Roman"/>
                <w:color w:val="000000"/>
                <w:sz w:val="18"/>
                <w:szCs w:val="18"/>
              </w:rPr>
              <w:t>960</w:t>
            </w:r>
          </w:p>
        </w:tc>
      </w:tr>
      <w:tr w14:paraId="1432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6E2A29D6">
            <w:pPr>
              <w:pStyle w:val="557"/>
            </w:pPr>
            <w:r>
              <w:t>阀门</w:t>
            </w:r>
          </w:p>
        </w:tc>
        <w:tc>
          <w:tcPr>
            <w:tcW w:w="1559" w:type="dxa"/>
            <w:noWrap/>
            <w:vAlign w:val="center"/>
          </w:tcPr>
          <w:p w14:paraId="6293FBF7">
            <w:pPr>
              <w:jc w:val="center"/>
              <w:textAlignment w:val="center"/>
              <w:rPr>
                <w:rFonts w:hint="eastAsia"/>
              </w:rPr>
            </w:pPr>
            <w:r>
              <w:rPr>
                <w:rFonts w:ascii="Times New Roman" w:hAnsi="Times New Roman" w:cs="Times New Roman"/>
                <w:color w:val="000000"/>
                <w:sz w:val="18"/>
                <w:szCs w:val="18"/>
              </w:rPr>
              <w:t>0.064</w:t>
            </w:r>
          </w:p>
        </w:tc>
        <w:tc>
          <w:tcPr>
            <w:tcW w:w="1096" w:type="dxa"/>
            <w:noWrap/>
            <w:vAlign w:val="center"/>
          </w:tcPr>
          <w:p w14:paraId="62360B12">
            <w:pPr>
              <w:jc w:val="center"/>
              <w:textAlignment w:val="center"/>
              <w:rPr>
                <w:rFonts w:hint="eastAsia"/>
              </w:rPr>
            </w:pPr>
            <w:r>
              <w:rPr>
                <w:rFonts w:ascii="Times New Roman" w:hAnsi="Times New Roman" w:cs="Times New Roman"/>
                <w:color w:val="000000"/>
                <w:sz w:val="18"/>
                <w:szCs w:val="18"/>
              </w:rPr>
              <w:t>165</w:t>
            </w:r>
          </w:p>
        </w:tc>
        <w:tc>
          <w:tcPr>
            <w:tcW w:w="1026" w:type="dxa"/>
            <w:noWrap/>
            <w:vAlign w:val="center"/>
          </w:tcPr>
          <w:p w14:paraId="4E53914C">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76F9EFB1">
            <w:pPr>
              <w:jc w:val="center"/>
              <w:textAlignment w:val="center"/>
              <w:rPr>
                <w:rFonts w:hint="eastAsia"/>
              </w:rPr>
            </w:pPr>
            <w:r>
              <w:rPr>
                <w:rFonts w:ascii="Times New Roman" w:hAnsi="Times New Roman" w:cs="Times New Roman"/>
                <w:color w:val="000000"/>
                <w:sz w:val="18"/>
                <w:szCs w:val="18"/>
              </w:rPr>
              <w:t>10.56</w:t>
            </w:r>
          </w:p>
        </w:tc>
        <w:tc>
          <w:tcPr>
            <w:tcW w:w="1066" w:type="dxa"/>
            <w:noWrap/>
            <w:vAlign w:val="center"/>
          </w:tcPr>
          <w:p w14:paraId="6D6D4665">
            <w:pPr>
              <w:jc w:val="center"/>
              <w:textAlignment w:val="center"/>
              <w:rPr>
                <w:rFonts w:hint="eastAsia"/>
              </w:rPr>
            </w:pPr>
            <w:r>
              <w:rPr>
                <w:rFonts w:ascii="Times New Roman" w:hAnsi="Times New Roman" w:cs="Times New Roman"/>
                <w:color w:val="000000"/>
                <w:sz w:val="18"/>
                <w:szCs w:val="18"/>
              </w:rPr>
              <w:t>84480</w:t>
            </w:r>
          </w:p>
        </w:tc>
      </w:tr>
      <w:tr w14:paraId="074D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6FDF961D">
            <w:pPr>
              <w:pStyle w:val="557"/>
            </w:pPr>
            <w:r>
              <w:t>压缩机、搅拌器、泄压设备</w:t>
            </w:r>
          </w:p>
        </w:tc>
        <w:tc>
          <w:tcPr>
            <w:tcW w:w="1559" w:type="dxa"/>
            <w:noWrap/>
            <w:vAlign w:val="center"/>
          </w:tcPr>
          <w:p w14:paraId="6F8EBF48">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524D2AF6">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7575F84E">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49C3B97A">
            <w:pPr>
              <w:jc w:val="center"/>
              <w:textAlignment w:val="center"/>
              <w:rPr>
                <w:rFonts w:hint="eastAsia"/>
              </w:rPr>
            </w:pPr>
            <w:r>
              <w:rPr>
                <w:rFonts w:hint="eastAsia"/>
                <w:color w:val="000000"/>
              </w:rPr>
              <w:t>/</w:t>
            </w:r>
          </w:p>
        </w:tc>
        <w:tc>
          <w:tcPr>
            <w:tcW w:w="1066" w:type="dxa"/>
            <w:noWrap/>
            <w:vAlign w:val="center"/>
          </w:tcPr>
          <w:p w14:paraId="74AF61F2">
            <w:pPr>
              <w:jc w:val="center"/>
              <w:textAlignment w:val="center"/>
              <w:rPr>
                <w:rFonts w:hint="eastAsia"/>
              </w:rPr>
            </w:pPr>
            <w:r>
              <w:rPr>
                <w:rFonts w:hint="eastAsia"/>
                <w:color w:val="000000"/>
              </w:rPr>
              <w:t>/</w:t>
            </w:r>
          </w:p>
        </w:tc>
      </w:tr>
      <w:tr w14:paraId="3086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30BD179">
            <w:pPr>
              <w:pStyle w:val="557"/>
            </w:pPr>
            <w:r>
              <w:t>泵</w:t>
            </w:r>
          </w:p>
        </w:tc>
        <w:tc>
          <w:tcPr>
            <w:tcW w:w="1559" w:type="dxa"/>
            <w:noWrap/>
            <w:vAlign w:val="center"/>
          </w:tcPr>
          <w:p w14:paraId="376FD457">
            <w:pPr>
              <w:jc w:val="center"/>
              <w:textAlignment w:val="center"/>
              <w:rPr>
                <w:rFonts w:hint="eastAsia"/>
              </w:rPr>
            </w:pPr>
            <w:r>
              <w:rPr>
                <w:rFonts w:ascii="Times New Roman" w:hAnsi="Times New Roman" w:cs="Times New Roman"/>
                <w:color w:val="000000"/>
                <w:sz w:val="18"/>
                <w:szCs w:val="18"/>
              </w:rPr>
              <w:t>0.074</w:t>
            </w:r>
          </w:p>
        </w:tc>
        <w:tc>
          <w:tcPr>
            <w:tcW w:w="1096" w:type="dxa"/>
            <w:noWrap/>
            <w:vAlign w:val="center"/>
          </w:tcPr>
          <w:p w14:paraId="5831EF16">
            <w:pPr>
              <w:jc w:val="center"/>
              <w:textAlignment w:val="center"/>
              <w:rPr>
                <w:rFonts w:hint="eastAsia"/>
              </w:rPr>
            </w:pPr>
            <w:r>
              <w:rPr>
                <w:rFonts w:ascii="Times New Roman" w:hAnsi="Times New Roman" w:cs="Times New Roman"/>
                <w:color w:val="000000"/>
                <w:sz w:val="18"/>
                <w:szCs w:val="18"/>
              </w:rPr>
              <w:t>6</w:t>
            </w:r>
          </w:p>
        </w:tc>
        <w:tc>
          <w:tcPr>
            <w:tcW w:w="1026" w:type="dxa"/>
            <w:noWrap/>
            <w:vAlign w:val="center"/>
          </w:tcPr>
          <w:p w14:paraId="0EAE04E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44FEA03B">
            <w:pPr>
              <w:jc w:val="center"/>
              <w:textAlignment w:val="center"/>
              <w:rPr>
                <w:rFonts w:hint="eastAsia"/>
              </w:rPr>
            </w:pPr>
            <w:r>
              <w:rPr>
                <w:rFonts w:ascii="Times New Roman" w:hAnsi="Times New Roman" w:cs="Times New Roman"/>
                <w:color w:val="000000"/>
                <w:sz w:val="18"/>
                <w:szCs w:val="18"/>
              </w:rPr>
              <w:t>0.444</w:t>
            </w:r>
          </w:p>
        </w:tc>
        <w:tc>
          <w:tcPr>
            <w:tcW w:w="1066" w:type="dxa"/>
            <w:noWrap/>
            <w:vAlign w:val="center"/>
          </w:tcPr>
          <w:p w14:paraId="7755C581">
            <w:pPr>
              <w:jc w:val="center"/>
              <w:textAlignment w:val="center"/>
              <w:rPr>
                <w:rFonts w:hint="eastAsia"/>
              </w:rPr>
            </w:pPr>
            <w:r>
              <w:rPr>
                <w:rFonts w:ascii="Times New Roman" w:hAnsi="Times New Roman" w:cs="Times New Roman"/>
                <w:color w:val="000000"/>
                <w:sz w:val="18"/>
                <w:szCs w:val="18"/>
              </w:rPr>
              <w:t>3552</w:t>
            </w:r>
          </w:p>
        </w:tc>
      </w:tr>
      <w:tr w14:paraId="2C5A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3C19A13">
            <w:pPr>
              <w:pStyle w:val="557"/>
            </w:pPr>
            <w:r>
              <w:t>法兰</w:t>
            </w:r>
          </w:p>
        </w:tc>
        <w:tc>
          <w:tcPr>
            <w:tcW w:w="1559" w:type="dxa"/>
            <w:noWrap/>
            <w:vAlign w:val="center"/>
          </w:tcPr>
          <w:p w14:paraId="7540B200">
            <w:pPr>
              <w:jc w:val="center"/>
              <w:textAlignment w:val="center"/>
              <w:rPr>
                <w:rFonts w:hint="eastAsia"/>
              </w:rPr>
            </w:pPr>
            <w:r>
              <w:rPr>
                <w:rFonts w:ascii="Times New Roman" w:hAnsi="Times New Roman" w:cs="Times New Roman"/>
                <w:color w:val="000000"/>
                <w:sz w:val="18"/>
                <w:szCs w:val="18"/>
              </w:rPr>
              <w:t>0.085</w:t>
            </w:r>
          </w:p>
        </w:tc>
        <w:tc>
          <w:tcPr>
            <w:tcW w:w="1096" w:type="dxa"/>
            <w:noWrap/>
            <w:vAlign w:val="center"/>
          </w:tcPr>
          <w:p w14:paraId="4DF9A7CE">
            <w:pPr>
              <w:jc w:val="center"/>
              <w:textAlignment w:val="center"/>
              <w:rPr>
                <w:rFonts w:hint="eastAsia"/>
              </w:rPr>
            </w:pPr>
            <w:r>
              <w:rPr>
                <w:rFonts w:ascii="Times New Roman" w:hAnsi="Times New Roman" w:cs="Times New Roman"/>
                <w:color w:val="000000"/>
                <w:sz w:val="18"/>
                <w:szCs w:val="18"/>
              </w:rPr>
              <w:t>1800</w:t>
            </w:r>
          </w:p>
        </w:tc>
        <w:tc>
          <w:tcPr>
            <w:tcW w:w="1026" w:type="dxa"/>
            <w:noWrap/>
            <w:vAlign w:val="center"/>
          </w:tcPr>
          <w:p w14:paraId="7DA762C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9853713">
            <w:pPr>
              <w:jc w:val="center"/>
              <w:textAlignment w:val="center"/>
              <w:rPr>
                <w:rFonts w:hint="eastAsia"/>
              </w:rPr>
            </w:pPr>
            <w:r>
              <w:rPr>
                <w:rFonts w:ascii="Times New Roman" w:hAnsi="Times New Roman" w:cs="Times New Roman"/>
                <w:color w:val="000000"/>
                <w:sz w:val="18"/>
                <w:szCs w:val="18"/>
              </w:rPr>
              <w:t>153</w:t>
            </w:r>
          </w:p>
        </w:tc>
        <w:tc>
          <w:tcPr>
            <w:tcW w:w="1066" w:type="dxa"/>
            <w:noWrap/>
            <w:vAlign w:val="center"/>
          </w:tcPr>
          <w:p w14:paraId="269E922B">
            <w:pPr>
              <w:jc w:val="center"/>
              <w:textAlignment w:val="center"/>
              <w:rPr>
                <w:rFonts w:hint="eastAsia"/>
              </w:rPr>
            </w:pPr>
            <w:r>
              <w:rPr>
                <w:rFonts w:ascii="Times New Roman" w:hAnsi="Times New Roman" w:cs="Times New Roman"/>
                <w:color w:val="000000"/>
                <w:sz w:val="18"/>
                <w:szCs w:val="18"/>
              </w:rPr>
              <w:t>1224000</w:t>
            </w:r>
          </w:p>
        </w:tc>
      </w:tr>
      <w:tr w14:paraId="013E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203A054B">
            <w:pPr>
              <w:pStyle w:val="557"/>
            </w:pPr>
            <w:r>
              <w:t>其他</w:t>
            </w:r>
          </w:p>
        </w:tc>
        <w:tc>
          <w:tcPr>
            <w:tcW w:w="1559" w:type="dxa"/>
            <w:noWrap/>
            <w:vAlign w:val="center"/>
          </w:tcPr>
          <w:p w14:paraId="6CE9C5B1">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5F520106">
            <w:pPr>
              <w:jc w:val="center"/>
              <w:textAlignment w:val="center"/>
              <w:rPr>
                <w:rFonts w:hint="eastAsia"/>
              </w:rPr>
            </w:pPr>
            <w:r>
              <w:rPr>
                <w:rFonts w:ascii="Times New Roman" w:hAnsi="Times New Roman" w:cs="Times New Roman"/>
                <w:color w:val="000000"/>
                <w:sz w:val="18"/>
                <w:szCs w:val="18"/>
              </w:rPr>
              <w:t>15</w:t>
            </w:r>
          </w:p>
        </w:tc>
        <w:tc>
          <w:tcPr>
            <w:tcW w:w="1026" w:type="dxa"/>
            <w:noWrap/>
            <w:vAlign w:val="center"/>
          </w:tcPr>
          <w:p w14:paraId="67FE2868">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C6106D5">
            <w:pPr>
              <w:jc w:val="center"/>
              <w:textAlignment w:val="center"/>
              <w:rPr>
                <w:rFonts w:hint="eastAsia"/>
              </w:rPr>
            </w:pPr>
            <w:r>
              <w:rPr>
                <w:rFonts w:ascii="Times New Roman" w:hAnsi="Times New Roman" w:cs="Times New Roman"/>
                <w:color w:val="000000"/>
                <w:sz w:val="18"/>
                <w:szCs w:val="18"/>
              </w:rPr>
              <w:t>1.095</w:t>
            </w:r>
          </w:p>
        </w:tc>
        <w:tc>
          <w:tcPr>
            <w:tcW w:w="1066" w:type="dxa"/>
            <w:noWrap/>
            <w:vAlign w:val="center"/>
          </w:tcPr>
          <w:p w14:paraId="514FE62E">
            <w:pPr>
              <w:jc w:val="center"/>
              <w:textAlignment w:val="center"/>
              <w:rPr>
                <w:rFonts w:hint="eastAsia"/>
              </w:rPr>
            </w:pPr>
            <w:r>
              <w:rPr>
                <w:rFonts w:ascii="Times New Roman" w:hAnsi="Times New Roman" w:cs="Times New Roman"/>
                <w:color w:val="000000"/>
                <w:sz w:val="18"/>
                <w:szCs w:val="18"/>
              </w:rPr>
              <w:t>8760</w:t>
            </w:r>
          </w:p>
        </w:tc>
      </w:tr>
      <w:tr w14:paraId="3244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F16E2DE">
            <w:pPr>
              <w:pStyle w:val="557"/>
            </w:pPr>
            <w:r>
              <w:t>合计</w:t>
            </w:r>
          </w:p>
        </w:tc>
        <w:tc>
          <w:tcPr>
            <w:tcW w:w="1559" w:type="dxa"/>
            <w:noWrap/>
            <w:vAlign w:val="center"/>
          </w:tcPr>
          <w:p w14:paraId="3C0A386A">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6F2310AC">
            <w:pPr>
              <w:jc w:val="center"/>
              <w:rPr>
                <w:rFonts w:hint="eastAsia"/>
              </w:rPr>
            </w:pPr>
          </w:p>
        </w:tc>
        <w:tc>
          <w:tcPr>
            <w:tcW w:w="1026" w:type="dxa"/>
            <w:noWrap/>
            <w:vAlign w:val="center"/>
          </w:tcPr>
          <w:p w14:paraId="2F439258">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4E51F72F">
            <w:pPr>
              <w:jc w:val="center"/>
              <w:textAlignment w:val="center"/>
              <w:rPr>
                <w:rFonts w:hint="eastAsia"/>
              </w:rPr>
            </w:pPr>
            <w:r>
              <w:rPr>
                <w:rFonts w:ascii="Times New Roman" w:hAnsi="Times New Roman" w:cs="Times New Roman"/>
                <w:color w:val="000000"/>
                <w:sz w:val="18"/>
                <w:szCs w:val="18"/>
              </w:rPr>
              <w:t>187.619</w:t>
            </w:r>
          </w:p>
        </w:tc>
        <w:tc>
          <w:tcPr>
            <w:tcW w:w="1066" w:type="dxa"/>
            <w:noWrap/>
            <w:vAlign w:val="center"/>
          </w:tcPr>
          <w:p w14:paraId="3984AF46">
            <w:pPr>
              <w:jc w:val="center"/>
              <w:textAlignment w:val="center"/>
              <w:rPr>
                <w:rFonts w:hint="eastAsia"/>
              </w:rPr>
            </w:pPr>
            <w:r>
              <w:rPr>
                <w:rFonts w:ascii="Times New Roman" w:hAnsi="Times New Roman" w:cs="Times New Roman"/>
                <w:color w:val="000000"/>
                <w:sz w:val="18"/>
                <w:szCs w:val="18"/>
              </w:rPr>
              <w:t>1500952</w:t>
            </w:r>
          </w:p>
        </w:tc>
      </w:tr>
      <w:tr w14:paraId="721E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8FEA930">
            <w:pPr>
              <w:pStyle w:val="557"/>
            </w:pPr>
            <w:r>
              <w:t>E</w:t>
            </w:r>
            <w:r>
              <w:rPr>
                <w:vertAlign w:val="subscript"/>
              </w:rPr>
              <w:t>设备</w:t>
            </w:r>
          </w:p>
        </w:tc>
        <w:tc>
          <w:tcPr>
            <w:tcW w:w="1559" w:type="dxa"/>
            <w:noWrap/>
            <w:vAlign w:val="center"/>
          </w:tcPr>
          <w:p w14:paraId="7CAD64BC">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22FE7962">
            <w:pPr>
              <w:jc w:val="center"/>
              <w:rPr>
                <w:rFonts w:hint="eastAsia"/>
              </w:rPr>
            </w:pPr>
          </w:p>
        </w:tc>
        <w:tc>
          <w:tcPr>
            <w:tcW w:w="1026" w:type="dxa"/>
            <w:noWrap/>
            <w:vAlign w:val="center"/>
          </w:tcPr>
          <w:p w14:paraId="17836C76">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27E4A5C3">
            <w:pPr>
              <w:jc w:val="center"/>
              <w:textAlignment w:val="center"/>
              <w:rPr>
                <w:rFonts w:hint="eastAsia"/>
              </w:rPr>
            </w:pPr>
            <w:r>
              <w:rPr>
                <w:rFonts w:ascii="Times New Roman" w:hAnsi="Times New Roman" w:cs="Times New Roman"/>
                <w:color w:val="000000"/>
                <w:sz w:val="18"/>
                <w:szCs w:val="18"/>
              </w:rPr>
              <w:t>0.56</w:t>
            </w:r>
          </w:p>
        </w:tc>
        <w:tc>
          <w:tcPr>
            <w:tcW w:w="1066" w:type="dxa"/>
            <w:noWrap/>
            <w:vAlign w:val="center"/>
          </w:tcPr>
          <w:p w14:paraId="09B7FAD7">
            <w:pPr>
              <w:jc w:val="center"/>
              <w:textAlignment w:val="center"/>
              <w:rPr>
                <w:rFonts w:hint="eastAsia"/>
              </w:rPr>
            </w:pPr>
            <w:r>
              <w:rPr>
                <w:rFonts w:ascii="Times New Roman" w:hAnsi="Times New Roman" w:cs="Times New Roman"/>
                <w:color w:val="000000"/>
                <w:sz w:val="18"/>
                <w:szCs w:val="18"/>
              </w:rPr>
              <w:t>4.5</w:t>
            </w:r>
          </w:p>
        </w:tc>
      </w:tr>
    </w:tbl>
    <w:p w14:paraId="22641765">
      <w:pPr>
        <w:pStyle w:val="281"/>
        <w:ind w:firstLine="480"/>
      </w:pPr>
      <w:r>
        <w:rPr>
          <w:rFonts w:hint="eastAsia"/>
        </w:rPr>
        <w:t>（2）废水</w:t>
      </w:r>
    </w:p>
    <w:p w14:paraId="74E24625">
      <w:pPr>
        <w:pStyle w:val="281"/>
        <w:ind w:firstLine="480"/>
      </w:pPr>
      <w:r>
        <w:rPr>
          <w:rFonts w:hint="eastAsia" w:ascii="宋体" w:hAnsi="宋体"/>
        </w:rPr>
        <w:t>①</w:t>
      </w:r>
      <w:r>
        <w:rPr>
          <w:rFonts w:hint="eastAsia"/>
          <w:szCs w:val="24"/>
        </w:rPr>
        <w:t>地面冲洗水</w:t>
      </w:r>
      <w:r>
        <w:rPr>
          <w:rFonts w:hint="eastAsia"/>
        </w:rPr>
        <w:t>（</w:t>
      </w:r>
      <w:r>
        <w:t>W</w:t>
      </w:r>
      <w:r>
        <w:rPr>
          <w:vertAlign w:val="subscript"/>
        </w:rPr>
        <w:t>2-</w:t>
      </w:r>
      <w:r>
        <w:rPr>
          <w:rFonts w:hint="eastAsia"/>
          <w:vertAlign w:val="subscript"/>
        </w:rPr>
        <w:t>8</w:t>
      </w:r>
      <w:r>
        <w:rPr>
          <w:rFonts w:hint="eastAsia"/>
        </w:rPr>
        <w:t>）</w:t>
      </w:r>
    </w:p>
    <w:p w14:paraId="27A9EC15">
      <w:pPr>
        <w:pStyle w:val="281"/>
        <w:ind w:firstLine="480"/>
        <w:rPr>
          <w:szCs w:val="24"/>
        </w:rPr>
      </w:pPr>
      <w:r>
        <w:rPr>
          <w:rFonts w:hint="eastAsia"/>
        </w:rPr>
        <w:t>CO深冷分离</w:t>
      </w:r>
      <w:r>
        <w:rPr>
          <w:rFonts w:hint="eastAsia"/>
          <w:szCs w:val="24"/>
        </w:rPr>
        <w:t>单元地面冲洗水产生量为500kg</w:t>
      </w:r>
      <w:r>
        <w:rPr>
          <w:szCs w:val="24"/>
        </w:rPr>
        <w:t>/h</w:t>
      </w:r>
      <w:r>
        <w:rPr>
          <w:rFonts w:hint="eastAsia"/>
          <w:szCs w:val="24"/>
        </w:rPr>
        <w:t>，间断产生，</w:t>
      </w:r>
      <w:r>
        <w:rPr>
          <w:szCs w:val="24"/>
        </w:rPr>
        <w:t>排入厂区污水处理站统一处理</w:t>
      </w:r>
      <w:r>
        <w:rPr>
          <w:rFonts w:hint="eastAsia"/>
          <w:szCs w:val="24"/>
        </w:rPr>
        <w:t>。</w:t>
      </w:r>
    </w:p>
    <w:p w14:paraId="3CD2B82C">
      <w:pPr>
        <w:pStyle w:val="281"/>
        <w:ind w:firstLine="480"/>
      </w:pPr>
      <w:r>
        <w:rPr>
          <w:rFonts w:hint="eastAsia"/>
        </w:rPr>
        <w:t>CO深冷分离单元废水污染源源强核算结果见表3.2.3-35。</w:t>
      </w:r>
    </w:p>
    <w:p w14:paraId="7AF041F4">
      <w:pPr>
        <w:pStyle w:val="535"/>
        <w:rPr>
          <w:rFonts w:hint="eastAsia"/>
          <w:color w:val="auto"/>
        </w:rPr>
      </w:pPr>
      <w:r>
        <w:rPr>
          <w:rFonts w:hint="eastAsia"/>
          <w:color w:val="auto"/>
        </w:rPr>
        <w:t xml:space="preserve">表3.2.3-35     </w:t>
      </w:r>
      <w:r>
        <w:rPr>
          <w:rFonts w:hint="eastAsia"/>
        </w:rPr>
        <w:t>CO深冷分离单元</w:t>
      </w:r>
      <w:r>
        <w:rPr>
          <w:rFonts w:hint="eastAsia"/>
          <w:color w:val="auto"/>
        </w:rPr>
        <w:t>废水污染源源强核算结果一览表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851"/>
        <w:gridCol w:w="992"/>
        <w:gridCol w:w="723"/>
        <w:gridCol w:w="911"/>
        <w:gridCol w:w="1078"/>
        <w:gridCol w:w="940"/>
        <w:gridCol w:w="1629"/>
        <w:gridCol w:w="713"/>
      </w:tblGrid>
      <w:tr w14:paraId="7A2E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6E1F22E7">
            <w:pPr>
              <w:pStyle w:val="190"/>
              <w:rPr>
                <w:rFonts w:ascii="Times New Roman" w:hAnsi="Times New Roman" w:cs="Times New Roman"/>
                <w:szCs w:val="18"/>
              </w:rPr>
            </w:pPr>
            <w:r>
              <w:rPr>
                <w:rFonts w:ascii="Times New Roman" w:hAnsi="Times New Roman" w:cs="Times New Roman"/>
                <w:szCs w:val="18"/>
              </w:rPr>
              <w:t>编号</w:t>
            </w:r>
          </w:p>
        </w:tc>
        <w:tc>
          <w:tcPr>
            <w:tcW w:w="851" w:type="dxa"/>
            <w:vMerge w:val="restart"/>
            <w:vAlign w:val="center"/>
          </w:tcPr>
          <w:p w14:paraId="3B8ADC19">
            <w:pPr>
              <w:pStyle w:val="190"/>
              <w:rPr>
                <w:rFonts w:ascii="Times New Roman" w:hAnsi="Times New Roman" w:cs="Times New Roman"/>
                <w:szCs w:val="18"/>
              </w:rPr>
            </w:pPr>
            <w:r>
              <w:rPr>
                <w:rFonts w:ascii="Times New Roman" w:hAnsi="Times New Roman" w:cs="Times New Roman"/>
                <w:szCs w:val="18"/>
              </w:rPr>
              <w:t>排放源</w:t>
            </w:r>
          </w:p>
        </w:tc>
        <w:tc>
          <w:tcPr>
            <w:tcW w:w="992" w:type="dxa"/>
            <w:vMerge w:val="restart"/>
            <w:vAlign w:val="center"/>
          </w:tcPr>
          <w:p w14:paraId="592A7F60">
            <w:pPr>
              <w:pStyle w:val="190"/>
              <w:rPr>
                <w:rFonts w:ascii="Times New Roman" w:hAnsi="Times New Roman" w:cs="Times New Roman"/>
                <w:szCs w:val="18"/>
              </w:rPr>
            </w:pPr>
            <w:r>
              <w:rPr>
                <w:rFonts w:ascii="Times New Roman" w:hAnsi="Times New Roman" w:cs="Times New Roman"/>
                <w:szCs w:val="18"/>
              </w:rPr>
              <w:t>污染物</w:t>
            </w:r>
          </w:p>
        </w:tc>
        <w:tc>
          <w:tcPr>
            <w:tcW w:w="723" w:type="dxa"/>
            <w:vMerge w:val="restart"/>
            <w:vAlign w:val="center"/>
          </w:tcPr>
          <w:p w14:paraId="4E656CFA">
            <w:pPr>
              <w:pStyle w:val="190"/>
              <w:rPr>
                <w:rFonts w:ascii="Times New Roman" w:hAnsi="Times New Roman" w:cs="Times New Roman"/>
                <w:szCs w:val="18"/>
              </w:rPr>
            </w:pPr>
            <w:r>
              <w:rPr>
                <w:rFonts w:ascii="Times New Roman" w:hAnsi="Times New Roman" w:cs="Times New Roman"/>
                <w:szCs w:val="18"/>
              </w:rPr>
              <w:t>核算方法</w:t>
            </w:r>
          </w:p>
        </w:tc>
        <w:tc>
          <w:tcPr>
            <w:tcW w:w="2929" w:type="dxa"/>
            <w:gridSpan w:val="3"/>
            <w:vAlign w:val="center"/>
          </w:tcPr>
          <w:p w14:paraId="24128A43">
            <w:pPr>
              <w:pStyle w:val="190"/>
              <w:rPr>
                <w:rFonts w:ascii="Times New Roman" w:hAnsi="Times New Roman" w:cs="Times New Roman"/>
                <w:szCs w:val="18"/>
              </w:rPr>
            </w:pPr>
            <w:r>
              <w:rPr>
                <w:rFonts w:ascii="Times New Roman" w:hAnsi="Times New Roman" w:cs="Times New Roman"/>
                <w:szCs w:val="18"/>
              </w:rPr>
              <w:t>污染物产生情况</w:t>
            </w:r>
          </w:p>
        </w:tc>
        <w:tc>
          <w:tcPr>
            <w:tcW w:w="1629" w:type="dxa"/>
            <w:vMerge w:val="restart"/>
            <w:vAlign w:val="center"/>
          </w:tcPr>
          <w:p w14:paraId="764F0534">
            <w:pPr>
              <w:pStyle w:val="190"/>
              <w:rPr>
                <w:rFonts w:ascii="Times New Roman" w:hAnsi="Times New Roman" w:cs="Times New Roman"/>
                <w:szCs w:val="18"/>
              </w:rPr>
            </w:pPr>
            <w:r>
              <w:rPr>
                <w:rFonts w:ascii="Times New Roman" w:hAnsi="Times New Roman" w:cs="Times New Roman"/>
                <w:szCs w:val="18"/>
              </w:rPr>
              <w:t>处置措施</w:t>
            </w:r>
          </w:p>
        </w:tc>
        <w:tc>
          <w:tcPr>
            <w:tcW w:w="713" w:type="dxa"/>
            <w:vMerge w:val="restart"/>
            <w:vAlign w:val="center"/>
          </w:tcPr>
          <w:p w14:paraId="50878610">
            <w:pPr>
              <w:pStyle w:val="190"/>
              <w:rPr>
                <w:rFonts w:ascii="Times New Roman" w:hAnsi="Times New Roman" w:cs="Times New Roman"/>
                <w:szCs w:val="18"/>
              </w:rPr>
            </w:pPr>
            <w:r>
              <w:rPr>
                <w:rFonts w:ascii="Times New Roman" w:hAnsi="Times New Roman" w:cs="Times New Roman"/>
                <w:szCs w:val="18"/>
              </w:rPr>
              <w:t>排放时间（h）</w:t>
            </w:r>
          </w:p>
        </w:tc>
      </w:tr>
      <w:tr w14:paraId="0CAD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779917BB">
            <w:pPr>
              <w:pStyle w:val="190"/>
              <w:rPr>
                <w:rFonts w:ascii="Times New Roman" w:hAnsi="Times New Roman" w:cs="Times New Roman"/>
                <w:szCs w:val="18"/>
              </w:rPr>
            </w:pPr>
          </w:p>
        </w:tc>
        <w:tc>
          <w:tcPr>
            <w:tcW w:w="851" w:type="dxa"/>
            <w:vMerge w:val="continue"/>
            <w:vAlign w:val="center"/>
          </w:tcPr>
          <w:p w14:paraId="47305659">
            <w:pPr>
              <w:pStyle w:val="190"/>
              <w:rPr>
                <w:rFonts w:ascii="Times New Roman" w:hAnsi="Times New Roman" w:cs="Times New Roman"/>
                <w:szCs w:val="18"/>
              </w:rPr>
            </w:pPr>
          </w:p>
        </w:tc>
        <w:tc>
          <w:tcPr>
            <w:tcW w:w="992" w:type="dxa"/>
            <w:vMerge w:val="continue"/>
            <w:vAlign w:val="center"/>
          </w:tcPr>
          <w:p w14:paraId="246D6016">
            <w:pPr>
              <w:pStyle w:val="190"/>
              <w:rPr>
                <w:rFonts w:ascii="Times New Roman" w:hAnsi="Times New Roman" w:cs="Times New Roman"/>
                <w:szCs w:val="18"/>
              </w:rPr>
            </w:pPr>
          </w:p>
        </w:tc>
        <w:tc>
          <w:tcPr>
            <w:tcW w:w="723" w:type="dxa"/>
            <w:vMerge w:val="continue"/>
            <w:vAlign w:val="center"/>
          </w:tcPr>
          <w:p w14:paraId="130BF7F9">
            <w:pPr>
              <w:pStyle w:val="190"/>
              <w:rPr>
                <w:rFonts w:ascii="Times New Roman" w:hAnsi="Times New Roman" w:cs="Times New Roman"/>
                <w:szCs w:val="18"/>
              </w:rPr>
            </w:pPr>
          </w:p>
        </w:tc>
        <w:tc>
          <w:tcPr>
            <w:tcW w:w="911" w:type="dxa"/>
            <w:vAlign w:val="center"/>
          </w:tcPr>
          <w:p w14:paraId="4D34C5FA">
            <w:pPr>
              <w:pStyle w:val="190"/>
              <w:rPr>
                <w:rFonts w:ascii="Times New Roman" w:hAnsi="Times New Roman" w:cs="Times New Roman"/>
                <w:szCs w:val="18"/>
              </w:rPr>
            </w:pPr>
            <w:r>
              <w:rPr>
                <w:rFonts w:ascii="Times New Roman" w:hAnsi="Times New Roman" w:cs="Times New Roman"/>
                <w:szCs w:val="18"/>
              </w:rPr>
              <w:t>废水产生量（kg/h）</w:t>
            </w:r>
          </w:p>
        </w:tc>
        <w:tc>
          <w:tcPr>
            <w:tcW w:w="1078" w:type="dxa"/>
            <w:vAlign w:val="center"/>
          </w:tcPr>
          <w:p w14:paraId="7C9BDC56">
            <w:pPr>
              <w:pStyle w:val="190"/>
              <w:rPr>
                <w:rFonts w:ascii="Times New Roman" w:hAnsi="Times New Roman" w:cs="Times New Roman"/>
                <w:szCs w:val="18"/>
              </w:rPr>
            </w:pPr>
            <w:r>
              <w:rPr>
                <w:rFonts w:ascii="Times New Roman" w:hAnsi="Times New Roman" w:cs="Times New Roman"/>
                <w:szCs w:val="18"/>
              </w:rPr>
              <w:t>产生浓度（mg/L）</w:t>
            </w:r>
          </w:p>
        </w:tc>
        <w:tc>
          <w:tcPr>
            <w:tcW w:w="940" w:type="dxa"/>
            <w:vAlign w:val="center"/>
          </w:tcPr>
          <w:p w14:paraId="0260CB41">
            <w:pPr>
              <w:pStyle w:val="190"/>
              <w:rPr>
                <w:rFonts w:ascii="Times New Roman" w:hAnsi="Times New Roman" w:cs="Times New Roman"/>
                <w:szCs w:val="18"/>
              </w:rPr>
            </w:pPr>
            <w:r>
              <w:rPr>
                <w:rFonts w:ascii="Times New Roman" w:hAnsi="Times New Roman" w:cs="Times New Roman"/>
                <w:szCs w:val="18"/>
              </w:rPr>
              <w:t>产生量（kg/h）</w:t>
            </w:r>
          </w:p>
        </w:tc>
        <w:tc>
          <w:tcPr>
            <w:tcW w:w="1629" w:type="dxa"/>
            <w:vMerge w:val="continue"/>
            <w:vAlign w:val="center"/>
          </w:tcPr>
          <w:p w14:paraId="56622167">
            <w:pPr>
              <w:pStyle w:val="190"/>
              <w:rPr>
                <w:rFonts w:ascii="Times New Roman" w:hAnsi="Times New Roman" w:cs="Times New Roman"/>
                <w:szCs w:val="18"/>
              </w:rPr>
            </w:pPr>
          </w:p>
        </w:tc>
        <w:tc>
          <w:tcPr>
            <w:tcW w:w="713" w:type="dxa"/>
            <w:vMerge w:val="continue"/>
            <w:vAlign w:val="center"/>
          </w:tcPr>
          <w:p w14:paraId="0DA84D62">
            <w:pPr>
              <w:pStyle w:val="190"/>
              <w:rPr>
                <w:rFonts w:ascii="Times New Roman" w:hAnsi="Times New Roman" w:cs="Times New Roman"/>
                <w:szCs w:val="18"/>
              </w:rPr>
            </w:pPr>
          </w:p>
        </w:tc>
      </w:tr>
      <w:tr w14:paraId="373C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6FA4349A">
            <w:pPr>
              <w:pStyle w:val="190"/>
              <w:rPr>
                <w:rFonts w:ascii="Times New Roman" w:hAnsi="Times New Roman" w:cs="Times New Roman"/>
                <w:szCs w:val="18"/>
              </w:rPr>
            </w:pPr>
            <w:r>
              <w:rPr>
                <w:rFonts w:hint="eastAsia"/>
              </w:rPr>
              <w:t>CO深冷分离单元</w:t>
            </w:r>
            <w:r>
              <w:rPr>
                <w:rFonts w:ascii="Times New Roman" w:hAnsi="Times New Roman" w:cs="Times New Roman"/>
                <w:szCs w:val="18"/>
              </w:rPr>
              <w:t>废水</w:t>
            </w:r>
          </w:p>
        </w:tc>
        <w:tc>
          <w:tcPr>
            <w:tcW w:w="851" w:type="dxa"/>
            <w:vMerge w:val="restart"/>
            <w:vAlign w:val="center"/>
          </w:tcPr>
          <w:p w14:paraId="0982EA97">
            <w:pPr>
              <w:pStyle w:val="190"/>
              <w:rPr>
                <w:rFonts w:ascii="Times New Roman" w:hAnsi="Times New Roman" w:cs="Times New Roman"/>
                <w:szCs w:val="18"/>
                <w:u w:color="000000"/>
              </w:rPr>
            </w:pPr>
            <w:r>
              <w:rPr>
                <w:rFonts w:ascii="Times New Roman" w:hAnsi="Times New Roman" w:cs="Times New Roman"/>
                <w:szCs w:val="18"/>
              </w:rPr>
              <w:t>地面冲洗水、机泵冷却水</w:t>
            </w:r>
          </w:p>
        </w:tc>
        <w:tc>
          <w:tcPr>
            <w:tcW w:w="992" w:type="dxa"/>
            <w:vAlign w:val="center"/>
          </w:tcPr>
          <w:p w14:paraId="7E6E5308">
            <w:pPr>
              <w:pStyle w:val="190"/>
              <w:rPr>
                <w:rFonts w:ascii="Times New Roman" w:hAnsi="Times New Roman" w:cs="Times New Roman"/>
                <w:szCs w:val="18"/>
              </w:rPr>
            </w:pPr>
            <w:r>
              <w:rPr>
                <w:rFonts w:ascii="Times New Roman" w:hAnsi="Times New Roman" w:cs="Times New Roman"/>
                <w:kern w:val="2"/>
                <w:szCs w:val="18"/>
              </w:rPr>
              <w:t>COD</w:t>
            </w:r>
          </w:p>
        </w:tc>
        <w:tc>
          <w:tcPr>
            <w:tcW w:w="723" w:type="dxa"/>
            <w:vMerge w:val="restart"/>
            <w:vAlign w:val="center"/>
          </w:tcPr>
          <w:p w14:paraId="6974523D">
            <w:pPr>
              <w:pStyle w:val="190"/>
              <w:rPr>
                <w:rFonts w:ascii="Times New Roman" w:hAnsi="Times New Roman" w:cs="Times New Roman"/>
                <w:szCs w:val="18"/>
              </w:rPr>
            </w:pPr>
            <w:r>
              <w:rPr>
                <w:rFonts w:ascii="Times New Roman" w:hAnsi="Times New Roman" w:cs="Times New Roman"/>
                <w:kern w:val="2"/>
                <w:szCs w:val="18"/>
              </w:rPr>
              <w:t>类比法</w:t>
            </w:r>
          </w:p>
        </w:tc>
        <w:tc>
          <w:tcPr>
            <w:tcW w:w="911" w:type="dxa"/>
            <w:vMerge w:val="restart"/>
            <w:vAlign w:val="center"/>
          </w:tcPr>
          <w:p w14:paraId="2E83E393">
            <w:pPr>
              <w:pStyle w:val="190"/>
              <w:rPr>
                <w:rFonts w:ascii="Times New Roman" w:hAnsi="Times New Roman" w:cs="Times New Roman"/>
                <w:szCs w:val="18"/>
              </w:rPr>
            </w:pPr>
            <w:r>
              <w:rPr>
                <w:rFonts w:hint="eastAsia" w:ascii="Times New Roman" w:hAnsi="Times New Roman" w:cs="Times New Roman"/>
                <w:szCs w:val="18"/>
              </w:rPr>
              <w:t>5</w:t>
            </w:r>
            <w:r>
              <w:rPr>
                <w:rFonts w:ascii="Times New Roman" w:hAnsi="Times New Roman" w:cs="Times New Roman"/>
                <w:szCs w:val="18"/>
              </w:rPr>
              <w:t>00</w:t>
            </w:r>
          </w:p>
        </w:tc>
        <w:tc>
          <w:tcPr>
            <w:tcW w:w="1078" w:type="dxa"/>
            <w:vAlign w:val="center"/>
          </w:tcPr>
          <w:p w14:paraId="14BE4A15">
            <w:pPr>
              <w:pStyle w:val="190"/>
              <w:rPr>
                <w:rFonts w:ascii="Times New Roman" w:hAnsi="Times New Roman" w:cs="Times New Roman"/>
                <w:szCs w:val="18"/>
              </w:rPr>
            </w:pPr>
            <w:r>
              <w:rPr>
                <w:rFonts w:hint="eastAsia" w:ascii="Times New Roman" w:hAnsi="Times New Roman" w:cs="Times New Roman"/>
                <w:szCs w:val="18"/>
              </w:rPr>
              <w:t>4</w:t>
            </w:r>
            <w:r>
              <w:rPr>
                <w:rFonts w:ascii="Times New Roman" w:hAnsi="Times New Roman" w:cs="Times New Roman"/>
                <w:szCs w:val="18"/>
              </w:rPr>
              <w:t>00</w:t>
            </w:r>
          </w:p>
        </w:tc>
        <w:tc>
          <w:tcPr>
            <w:tcW w:w="940" w:type="dxa"/>
            <w:vAlign w:val="center"/>
          </w:tcPr>
          <w:p w14:paraId="632CCCA3">
            <w:pPr>
              <w:jc w:val="center"/>
              <w:textAlignment w:val="center"/>
              <w:rPr>
                <w:rFonts w:ascii="Times New Roman" w:hAnsi="Times New Roman" w:cs="Times New Roman"/>
                <w:sz w:val="18"/>
                <w:szCs w:val="18"/>
              </w:rPr>
            </w:pPr>
            <w:r>
              <w:rPr>
                <w:rFonts w:ascii="Times New Roman" w:hAnsi="Times New Roman" w:cs="Times New Roman"/>
                <w:sz w:val="18"/>
                <w:szCs w:val="18"/>
              </w:rPr>
              <w:t>0.2</w:t>
            </w:r>
          </w:p>
        </w:tc>
        <w:tc>
          <w:tcPr>
            <w:tcW w:w="1629" w:type="dxa"/>
            <w:vMerge w:val="restart"/>
            <w:vAlign w:val="center"/>
          </w:tcPr>
          <w:p w14:paraId="48B36E38">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713" w:type="dxa"/>
            <w:vMerge w:val="restart"/>
            <w:vAlign w:val="center"/>
          </w:tcPr>
          <w:p w14:paraId="26982E7D">
            <w:pPr>
              <w:pStyle w:val="190"/>
              <w:rPr>
                <w:rFonts w:ascii="Times New Roman" w:hAnsi="Times New Roman" w:cs="Times New Roman"/>
                <w:szCs w:val="18"/>
              </w:rPr>
            </w:pPr>
            <w:r>
              <w:rPr>
                <w:rFonts w:ascii="Times New Roman" w:hAnsi="Times New Roman" w:cs="Times New Roman"/>
                <w:kern w:val="2"/>
                <w:szCs w:val="18"/>
              </w:rPr>
              <w:t>间歇</w:t>
            </w:r>
          </w:p>
        </w:tc>
      </w:tr>
      <w:tr w14:paraId="5DCA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68" w:type="dxa"/>
            <w:vMerge w:val="continue"/>
            <w:vAlign w:val="center"/>
          </w:tcPr>
          <w:p w14:paraId="1F05C917">
            <w:pPr>
              <w:pStyle w:val="190"/>
              <w:rPr>
                <w:rFonts w:ascii="Times New Roman" w:hAnsi="Times New Roman" w:cs="Times New Roman"/>
                <w:szCs w:val="18"/>
              </w:rPr>
            </w:pPr>
          </w:p>
        </w:tc>
        <w:tc>
          <w:tcPr>
            <w:tcW w:w="851" w:type="dxa"/>
            <w:vMerge w:val="continue"/>
            <w:vAlign w:val="center"/>
          </w:tcPr>
          <w:p w14:paraId="3C00291C">
            <w:pPr>
              <w:pStyle w:val="190"/>
              <w:rPr>
                <w:rFonts w:ascii="Times New Roman" w:hAnsi="Times New Roman" w:cs="Times New Roman"/>
                <w:szCs w:val="18"/>
                <w:u w:color="000000"/>
              </w:rPr>
            </w:pPr>
          </w:p>
        </w:tc>
        <w:tc>
          <w:tcPr>
            <w:tcW w:w="992" w:type="dxa"/>
            <w:vAlign w:val="center"/>
          </w:tcPr>
          <w:p w14:paraId="6D35E206">
            <w:pPr>
              <w:pStyle w:val="190"/>
              <w:rPr>
                <w:rFonts w:ascii="Times New Roman" w:hAnsi="Times New Roman" w:cs="Times New Roman"/>
                <w:szCs w:val="18"/>
              </w:rPr>
            </w:pPr>
            <w:r>
              <w:rPr>
                <w:rFonts w:ascii="Times New Roman" w:hAnsi="Times New Roman" w:cs="Times New Roman"/>
                <w:szCs w:val="18"/>
                <w:u w:color="000000"/>
              </w:rPr>
              <w:t>氨氮</w:t>
            </w:r>
          </w:p>
        </w:tc>
        <w:tc>
          <w:tcPr>
            <w:tcW w:w="723" w:type="dxa"/>
            <w:vMerge w:val="continue"/>
            <w:vAlign w:val="center"/>
          </w:tcPr>
          <w:p w14:paraId="472CEBA0">
            <w:pPr>
              <w:pStyle w:val="190"/>
              <w:rPr>
                <w:rFonts w:ascii="Times New Roman" w:hAnsi="Times New Roman" w:cs="Times New Roman"/>
                <w:szCs w:val="18"/>
              </w:rPr>
            </w:pPr>
          </w:p>
        </w:tc>
        <w:tc>
          <w:tcPr>
            <w:tcW w:w="911" w:type="dxa"/>
            <w:vMerge w:val="continue"/>
            <w:vAlign w:val="center"/>
          </w:tcPr>
          <w:p w14:paraId="21584540">
            <w:pPr>
              <w:pStyle w:val="190"/>
              <w:rPr>
                <w:rFonts w:ascii="Times New Roman" w:hAnsi="Times New Roman" w:cs="Times New Roman"/>
                <w:szCs w:val="18"/>
              </w:rPr>
            </w:pPr>
          </w:p>
        </w:tc>
        <w:tc>
          <w:tcPr>
            <w:tcW w:w="1078" w:type="dxa"/>
            <w:vAlign w:val="center"/>
          </w:tcPr>
          <w:p w14:paraId="52655FD9">
            <w:pPr>
              <w:pStyle w:val="190"/>
              <w:rPr>
                <w:rFonts w:ascii="Times New Roman" w:hAnsi="Times New Roman" w:cs="Times New Roman"/>
                <w:szCs w:val="18"/>
              </w:rPr>
            </w:pPr>
            <w:r>
              <w:rPr>
                <w:rFonts w:hint="eastAsia" w:ascii="Times New Roman" w:hAnsi="Times New Roman" w:cs="Times New Roman"/>
                <w:szCs w:val="18"/>
              </w:rPr>
              <w:t>35</w:t>
            </w:r>
          </w:p>
        </w:tc>
        <w:tc>
          <w:tcPr>
            <w:tcW w:w="940" w:type="dxa"/>
            <w:vAlign w:val="center"/>
          </w:tcPr>
          <w:p w14:paraId="161AD922">
            <w:pPr>
              <w:jc w:val="center"/>
              <w:textAlignment w:val="center"/>
              <w:rPr>
                <w:rFonts w:ascii="Times New Roman" w:hAnsi="Times New Roman" w:cs="Times New Roman"/>
                <w:sz w:val="18"/>
                <w:szCs w:val="18"/>
              </w:rPr>
            </w:pPr>
            <w:r>
              <w:rPr>
                <w:rFonts w:ascii="Times New Roman" w:hAnsi="Times New Roman" w:cs="Times New Roman"/>
                <w:sz w:val="18"/>
                <w:szCs w:val="18"/>
              </w:rPr>
              <w:t>0.018</w:t>
            </w:r>
          </w:p>
        </w:tc>
        <w:tc>
          <w:tcPr>
            <w:tcW w:w="1629" w:type="dxa"/>
            <w:vMerge w:val="continue"/>
            <w:vAlign w:val="center"/>
          </w:tcPr>
          <w:p w14:paraId="1F08A3E7">
            <w:pPr>
              <w:pStyle w:val="190"/>
              <w:rPr>
                <w:rFonts w:ascii="Times New Roman" w:hAnsi="Times New Roman" w:cs="Times New Roman"/>
                <w:szCs w:val="18"/>
              </w:rPr>
            </w:pPr>
          </w:p>
        </w:tc>
        <w:tc>
          <w:tcPr>
            <w:tcW w:w="713" w:type="dxa"/>
            <w:vMerge w:val="continue"/>
            <w:vAlign w:val="center"/>
          </w:tcPr>
          <w:p w14:paraId="29849163">
            <w:pPr>
              <w:pStyle w:val="190"/>
              <w:rPr>
                <w:rFonts w:ascii="Times New Roman" w:hAnsi="Times New Roman" w:cs="Times New Roman"/>
                <w:szCs w:val="18"/>
              </w:rPr>
            </w:pPr>
          </w:p>
        </w:tc>
      </w:tr>
      <w:tr w14:paraId="333E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34F2D80E">
            <w:pPr>
              <w:pStyle w:val="190"/>
              <w:rPr>
                <w:rFonts w:ascii="Times New Roman" w:hAnsi="Times New Roman" w:cs="Times New Roman"/>
                <w:szCs w:val="18"/>
              </w:rPr>
            </w:pPr>
          </w:p>
        </w:tc>
        <w:tc>
          <w:tcPr>
            <w:tcW w:w="851" w:type="dxa"/>
            <w:vMerge w:val="continue"/>
            <w:vAlign w:val="center"/>
          </w:tcPr>
          <w:p w14:paraId="635765E7">
            <w:pPr>
              <w:pStyle w:val="190"/>
              <w:rPr>
                <w:rFonts w:ascii="Times New Roman" w:hAnsi="Times New Roman" w:cs="Times New Roman"/>
                <w:szCs w:val="18"/>
                <w:u w:color="000000"/>
              </w:rPr>
            </w:pPr>
          </w:p>
        </w:tc>
        <w:tc>
          <w:tcPr>
            <w:tcW w:w="992" w:type="dxa"/>
            <w:vAlign w:val="center"/>
          </w:tcPr>
          <w:p w14:paraId="2AED4070">
            <w:pPr>
              <w:pStyle w:val="190"/>
              <w:rPr>
                <w:rFonts w:ascii="Times New Roman" w:hAnsi="Times New Roman" w:cs="Times New Roman"/>
                <w:szCs w:val="18"/>
              </w:rPr>
            </w:pPr>
            <w:r>
              <w:rPr>
                <w:rFonts w:ascii="Times New Roman" w:hAnsi="Times New Roman" w:cs="Times New Roman"/>
                <w:kern w:val="2"/>
                <w:szCs w:val="18"/>
              </w:rPr>
              <w:t>SS</w:t>
            </w:r>
          </w:p>
        </w:tc>
        <w:tc>
          <w:tcPr>
            <w:tcW w:w="723" w:type="dxa"/>
            <w:vMerge w:val="continue"/>
            <w:vAlign w:val="center"/>
          </w:tcPr>
          <w:p w14:paraId="6ACDC347">
            <w:pPr>
              <w:pStyle w:val="190"/>
              <w:rPr>
                <w:rFonts w:ascii="Times New Roman" w:hAnsi="Times New Roman" w:cs="Times New Roman"/>
                <w:szCs w:val="18"/>
              </w:rPr>
            </w:pPr>
          </w:p>
        </w:tc>
        <w:tc>
          <w:tcPr>
            <w:tcW w:w="911" w:type="dxa"/>
            <w:vMerge w:val="continue"/>
            <w:vAlign w:val="center"/>
          </w:tcPr>
          <w:p w14:paraId="72C97CA4">
            <w:pPr>
              <w:pStyle w:val="190"/>
              <w:rPr>
                <w:rFonts w:ascii="Times New Roman" w:hAnsi="Times New Roman" w:cs="Times New Roman"/>
                <w:szCs w:val="18"/>
              </w:rPr>
            </w:pPr>
          </w:p>
        </w:tc>
        <w:tc>
          <w:tcPr>
            <w:tcW w:w="1078" w:type="dxa"/>
            <w:vAlign w:val="center"/>
          </w:tcPr>
          <w:p w14:paraId="36BF978A">
            <w:pPr>
              <w:pStyle w:val="190"/>
              <w:rPr>
                <w:rFonts w:ascii="Times New Roman" w:hAnsi="Times New Roman" w:cs="Times New Roman"/>
                <w:szCs w:val="18"/>
              </w:rPr>
            </w:pPr>
            <w:r>
              <w:rPr>
                <w:rFonts w:hint="eastAsia" w:ascii="Times New Roman" w:hAnsi="Times New Roman" w:cs="Times New Roman"/>
                <w:szCs w:val="18"/>
              </w:rPr>
              <w:t>3</w:t>
            </w:r>
            <w:r>
              <w:rPr>
                <w:rFonts w:ascii="Times New Roman" w:hAnsi="Times New Roman" w:cs="Times New Roman"/>
                <w:szCs w:val="18"/>
              </w:rPr>
              <w:t>00</w:t>
            </w:r>
          </w:p>
        </w:tc>
        <w:tc>
          <w:tcPr>
            <w:tcW w:w="940" w:type="dxa"/>
            <w:vAlign w:val="center"/>
          </w:tcPr>
          <w:p w14:paraId="6F255BA0">
            <w:pPr>
              <w:jc w:val="center"/>
              <w:textAlignment w:val="center"/>
              <w:rPr>
                <w:rFonts w:ascii="Times New Roman" w:hAnsi="Times New Roman" w:cs="Times New Roman"/>
                <w:sz w:val="18"/>
                <w:szCs w:val="18"/>
              </w:rPr>
            </w:pPr>
            <w:r>
              <w:rPr>
                <w:rFonts w:ascii="Times New Roman" w:hAnsi="Times New Roman" w:cs="Times New Roman"/>
                <w:sz w:val="18"/>
                <w:szCs w:val="18"/>
              </w:rPr>
              <w:t>0.15</w:t>
            </w:r>
          </w:p>
        </w:tc>
        <w:tc>
          <w:tcPr>
            <w:tcW w:w="1629" w:type="dxa"/>
            <w:vMerge w:val="continue"/>
            <w:vAlign w:val="center"/>
          </w:tcPr>
          <w:p w14:paraId="073908CE">
            <w:pPr>
              <w:pStyle w:val="190"/>
              <w:rPr>
                <w:rFonts w:ascii="Times New Roman" w:hAnsi="Times New Roman" w:cs="Times New Roman"/>
                <w:szCs w:val="18"/>
              </w:rPr>
            </w:pPr>
          </w:p>
        </w:tc>
        <w:tc>
          <w:tcPr>
            <w:tcW w:w="713" w:type="dxa"/>
            <w:vMerge w:val="continue"/>
            <w:vAlign w:val="center"/>
          </w:tcPr>
          <w:p w14:paraId="32138E18">
            <w:pPr>
              <w:pStyle w:val="190"/>
              <w:rPr>
                <w:rFonts w:ascii="Times New Roman" w:hAnsi="Times New Roman" w:cs="Times New Roman"/>
                <w:szCs w:val="18"/>
              </w:rPr>
            </w:pPr>
          </w:p>
        </w:tc>
      </w:tr>
    </w:tbl>
    <w:p w14:paraId="12B9D8D3">
      <w:pPr>
        <w:pStyle w:val="281"/>
        <w:ind w:firstLine="480"/>
      </w:pPr>
      <w:r>
        <w:rPr>
          <w:rFonts w:hint="eastAsia"/>
        </w:rPr>
        <w:t>（3）噪声</w:t>
      </w:r>
    </w:p>
    <w:p w14:paraId="7EBFD4B1">
      <w:pPr>
        <w:pStyle w:val="281"/>
        <w:ind w:firstLine="480"/>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0dB之间，此类噪声为连续噪声源。各设备噪声源强参照《污染源源强核算技术指南 化肥工业》（HJ994-2018）附表B。CO深冷分离单元主要噪声源及治理情况见</w:t>
      </w:r>
      <w:r>
        <w:rPr>
          <w:rFonts w:hint="eastAsia"/>
        </w:rPr>
        <w:t>表3.2.</w:t>
      </w:r>
      <w:r>
        <w:t>3</w:t>
      </w:r>
      <w:r>
        <w:rPr>
          <w:rFonts w:hint="eastAsia"/>
        </w:rPr>
        <w:t>-36。</w:t>
      </w:r>
    </w:p>
    <w:p w14:paraId="204F736D">
      <w:pPr>
        <w:pStyle w:val="541"/>
        <w:rPr>
          <w:rFonts w:hint="eastAsia"/>
          <w:u w:color="000000"/>
        </w:rPr>
      </w:pPr>
      <w:r>
        <w:rPr>
          <w:rFonts w:hint="eastAsia"/>
        </w:rPr>
        <w:t>表3.2.</w:t>
      </w:r>
      <w:r>
        <w:t>3</w:t>
      </w:r>
      <w:r>
        <w:rPr>
          <w:rFonts w:hint="eastAsia"/>
        </w:rPr>
        <w:t>-36</w:t>
      </w:r>
      <w:r>
        <w:rPr>
          <w:u w:color="000000"/>
        </w:rPr>
        <w:t xml:space="preserve">   </w:t>
      </w:r>
      <w:r>
        <w:rPr>
          <w:rFonts w:hint="eastAsia"/>
          <w:u w:color="000000"/>
        </w:rPr>
        <w:t xml:space="preserve"> CO深冷分离单元噪声污染源一览表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5"/>
        <w:gridCol w:w="850"/>
        <w:gridCol w:w="567"/>
        <w:gridCol w:w="709"/>
        <w:gridCol w:w="850"/>
        <w:gridCol w:w="851"/>
        <w:gridCol w:w="1527"/>
        <w:gridCol w:w="549"/>
        <w:gridCol w:w="692"/>
        <w:gridCol w:w="692"/>
        <w:gridCol w:w="692"/>
      </w:tblGrid>
      <w:tr w14:paraId="321F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25" w:type="dxa"/>
            <w:vMerge w:val="restart"/>
            <w:tcBorders>
              <w:top w:val="single" w:color="auto" w:sz="4" w:space="0"/>
              <w:left w:val="single" w:color="auto" w:sz="4" w:space="0"/>
              <w:right w:val="single" w:color="auto" w:sz="4" w:space="0"/>
            </w:tcBorders>
            <w:vAlign w:val="center"/>
          </w:tcPr>
          <w:p w14:paraId="230BF072">
            <w:pPr>
              <w:jc w:val="center"/>
              <w:rPr>
                <w:rFonts w:ascii="Times New Roman" w:hAnsi="Times New Roman" w:cs="Times New Roman"/>
                <w:sz w:val="18"/>
                <w:szCs w:val="18"/>
              </w:rPr>
            </w:pPr>
            <w:r>
              <w:rPr>
                <w:rFonts w:ascii="Times New Roman" w:hAnsi="Times New Roman" w:cs="Times New Roman"/>
                <w:sz w:val="18"/>
                <w:szCs w:val="18"/>
              </w:rPr>
              <w:t>编号</w:t>
            </w:r>
          </w:p>
        </w:tc>
        <w:tc>
          <w:tcPr>
            <w:tcW w:w="850" w:type="dxa"/>
            <w:vMerge w:val="restart"/>
            <w:tcBorders>
              <w:top w:val="single" w:color="auto" w:sz="4" w:space="0"/>
              <w:left w:val="single" w:color="auto" w:sz="4" w:space="0"/>
              <w:right w:val="single" w:color="auto" w:sz="4" w:space="0"/>
            </w:tcBorders>
            <w:vAlign w:val="center"/>
          </w:tcPr>
          <w:p w14:paraId="1C1402B5">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67" w:type="dxa"/>
            <w:vMerge w:val="restart"/>
            <w:tcBorders>
              <w:top w:val="single" w:color="auto" w:sz="4" w:space="0"/>
              <w:left w:val="single" w:color="auto" w:sz="4" w:space="0"/>
              <w:right w:val="single" w:color="auto" w:sz="4" w:space="0"/>
            </w:tcBorders>
            <w:vAlign w:val="center"/>
          </w:tcPr>
          <w:p w14:paraId="46B8A38F">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709" w:type="dxa"/>
            <w:vMerge w:val="restart"/>
            <w:tcBorders>
              <w:top w:val="single" w:color="auto" w:sz="4" w:space="0"/>
              <w:left w:val="single" w:color="auto" w:sz="4" w:space="0"/>
              <w:right w:val="single" w:color="auto" w:sz="4" w:space="0"/>
            </w:tcBorders>
            <w:vAlign w:val="center"/>
          </w:tcPr>
          <w:p w14:paraId="34677B91">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0FC429F">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076" w:type="dxa"/>
            <w:gridSpan w:val="2"/>
            <w:tcBorders>
              <w:top w:val="single" w:color="auto" w:sz="4" w:space="0"/>
              <w:left w:val="single" w:color="auto" w:sz="4" w:space="0"/>
              <w:right w:val="single" w:color="auto" w:sz="4" w:space="0"/>
            </w:tcBorders>
            <w:vAlign w:val="center"/>
          </w:tcPr>
          <w:p w14:paraId="6894722D">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384" w:type="dxa"/>
            <w:gridSpan w:val="2"/>
            <w:tcBorders>
              <w:top w:val="single" w:color="auto" w:sz="4" w:space="0"/>
              <w:left w:val="single" w:color="auto" w:sz="4" w:space="0"/>
              <w:right w:val="single" w:color="auto" w:sz="4" w:space="0"/>
            </w:tcBorders>
            <w:vAlign w:val="center"/>
          </w:tcPr>
          <w:p w14:paraId="21ED0CD4">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92" w:type="dxa"/>
            <w:vMerge w:val="restart"/>
            <w:tcBorders>
              <w:top w:val="single" w:color="auto" w:sz="4" w:space="0"/>
              <w:left w:val="single" w:color="auto" w:sz="4" w:space="0"/>
              <w:right w:val="single" w:color="auto" w:sz="4" w:space="0"/>
            </w:tcBorders>
            <w:vAlign w:val="center"/>
          </w:tcPr>
          <w:p w14:paraId="1E11F636">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786C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vMerge w:val="continue"/>
            <w:tcBorders>
              <w:left w:val="single" w:color="auto" w:sz="4" w:space="0"/>
              <w:bottom w:val="single" w:color="auto" w:sz="4" w:space="0"/>
              <w:right w:val="single" w:color="auto" w:sz="4" w:space="0"/>
            </w:tcBorders>
            <w:vAlign w:val="center"/>
          </w:tcPr>
          <w:p w14:paraId="737D8C99">
            <w:pPr>
              <w:jc w:val="center"/>
              <w:rPr>
                <w:rFonts w:ascii="Times New Roman" w:hAnsi="Times New Roman" w:cs="Times New Roman"/>
                <w:sz w:val="18"/>
                <w:szCs w:val="18"/>
              </w:rPr>
            </w:pPr>
          </w:p>
        </w:tc>
        <w:tc>
          <w:tcPr>
            <w:tcW w:w="850" w:type="dxa"/>
            <w:vMerge w:val="continue"/>
            <w:tcBorders>
              <w:left w:val="single" w:color="auto" w:sz="4" w:space="0"/>
              <w:bottom w:val="single" w:color="auto" w:sz="4" w:space="0"/>
              <w:right w:val="single" w:color="auto" w:sz="4" w:space="0"/>
            </w:tcBorders>
            <w:vAlign w:val="center"/>
          </w:tcPr>
          <w:p w14:paraId="3287CD4F">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1EDC0FC4">
            <w:pPr>
              <w:jc w:val="center"/>
              <w:rPr>
                <w:rFonts w:ascii="Times New Roman" w:hAnsi="Times New Roman" w:cs="Times New Roman"/>
                <w:sz w:val="18"/>
                <w:szCs w:val="18"/>
              </w:rPr>
            </w:pPr>
          </w:p>
        </w:tc>
        <w:tc>
          <w:tcPr>
            <w:tcW w:w="709" w:type="dxa"/>
            <w:vMerge w:val="continue"/>
            <w:tcBorders>
              <w:left w:val="single" w:color="auto" w:sz="4" w:space="0"/>
              <w:bottom w:val="single" w:color="auto" w:sz="4" w:space="0"/>
              <w:right w:val="single" w:color="auto" w:sz="4" w:space="0"/>
            </w:tcBorders>
            <w:vAlign w:val="center"/>
          </w:tcPr>
          <w:p w14:paraId="7B55914A">
            <w:pPr>
              <w:jc w:val="center"/>
              <w:rPr>
                <w:rFonts w:ascii="Times New Roman" w:hAnsi="Times New Roman" w:cs="Times New Roman"/>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14:paraId="1CB3C1D7">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51" w:type="dxa"/>
            <w:tcBorders>
              <w:top w:val="single" w:color="auto" w:sz="4" w:space="0"/>
              <w:left w:val="single" w:color="auto" w:sz="4" w:space="0"/>
              <w:bottom w:val="single" w:color="auto" w:sz="4" w:space="0"/>
              <w:right w:val="single" w:color="auto" w:sz="4" w:space="0"/>
            </w:tcBorders>
            <w:vAlign w:val="center"/>
          </w:tcPr>
          <w:p w14:paraId="3720159F">
            <w:pPr>
              <w:jc w:val="center"/>
              <w:rPr>
                <w:rFonts w:ascii="Times New Roman" w:hAnsi="Times New Roman" w:cs="Times New Roman"/>
                <w:sz w:val="18"/>
                <w:szCs w:val="18"/>
              </w:rPr>
            </w:pPr>
            <w:r>
              <w:rPr>
                <w:rFonts w:ascii="Times New Roman" w:hAnsi="Times New Roman" w:cs="Times New Roman"/>
                <w:sz w:val="18"/>
                <w:szCs w:val="18"/>
              </w:rPr>
              <w:t>声源表</w:t>
            </w:r>
          </w:p>
          <w:p w14:paraId="64EA374C">
            <w:pPr>
              <w:jc w:val="center"/>
              <w:rPr>
                <w:rFonts w:ascii="Times New Roman" w:hAnsi="Times New Roman" w:cs="Times New Roman"/>
                <w:sz w:val="18"/>
                <w:szCs w:val="18"/>
              </w:rPr>
            </w:pPr>
            <w:r>
              <w:rPr>
                <w:rFonts w:ascii="Times New Roman" w:hAnsi="Times New Roman" w:cs="Times New Roman"/>
                <w:sz w:val="18"/>
                <w:szCs w:val="18"/>
              </w:rPr>
              <w:t>达量dB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527" w:type="dxa"/>
            <w:tcBorders>
              <w:left w:val="single" w:color="auto" w:sz="4" w:space="0"/>
              <w:bottom w:val="single" w:color="auto" w:sz="4" w:space="0"/>
              <w:right w:val="single" w:color="auto" w:sz="4" w:space="0"/>
            </w:tcBorders>
            <w:vAlign w:val="center"/>
          </w:tcPr>
          <w:p w14:paraId="085843D7">
            <w:pPr>
              <w:jc w:val="center"/>
              <w:rPr>
                <w:rFonts w:ascii="Times New Roman" w:hAnsi="Times New Roman" w:cs="Times New Roman"/>
                <w:sz w:val="18"/>
                <w:szCs w:val="18"/>
              </w:rPr>
            </w:pPr>
            <w:r>
              <w:rPr>
                <w:rFonts w:ascii="Times New Roman" w:hAnsi="Times New Roman" w:cs="Times New Roman"/>
                <w:sz w:val="18"/>
                <w:szCs w:val="18"/>
              </w:rPr>
              <w:t>工艺</w:t>
            </w:r>
          </w:p>
        </w:tc>
        <w:tc>
          <w:tcPr>
            <w:tcW w:w="549" w:type="dxa"/>
            <w:tcBorders>
              <w:left w:val="single" w:color="auto" w:sz="4" w:space="0"/>
              <w:bottom w:val="single" w:color="auto" w:sz="4" w:space="0"/>
              <w:right w:val="single" w:color="auto" w:sz="4" w:space="0"/>
            </w:tcBorders>
            <w:vAlign w:val="center"/>
          </w:tcPr>
          <w:p w14:paraId="3D2F51CB">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92" w:type="dxa"/>
            <w:tcBorders>
              <w:left w:val="single" w:color="auto" w:sz="4" w:space="0"/>
              <w:bottom w:val="single" w:color="auto" w:sz="4" w:space="0"/>
              <w:right w:val="single" w:color="auto" w:sz="4" w:space="0"/>
            </w:tcBorders>
            <w:vAlign w:val="center"/>
          </w:tcPr>
          <w:p w14:paraId="5B61A58C">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692" w:type="dxa"/>
            <w:tcBorders>
              <w:left w:val="single" w:color="auto" w:sz="4" w:space="0"/>
              <w:bottom w:val="single" w:color="auto" w:sz="4" w:space="0"/>
              <w:right w:val="single" w:color="auto" w:sz="4" w:space="0"/>
            </w:tcBorders>
            <w:vAlign w:val="center"/>
          </w:tcPr>
          <w:p w14:paraId="4C18CCAB">
            <w:pPr>
              <w:jc w:val="center"/>
              <w:rPr>
                <w:rFonts w:ascii="Times New Roman" w:hAnsi="Times New Roman" w:cs="Times New Roman"/>
                <w:sz w:val="18"/>
                <w:szCs w:val="18"/>
              </w:rPr>
            </w:pPr>
            <w:r>
              <w:rPr>
                <w:rFonts w:ascii="Times New Roman" w:hAnsi="Times New Roman" w:cs="Times New Roman"/>
                <w:sz w:val="18"/>
                <w:szCs w:val="18"/>
              </w:rPr>
              <w:t>声源表</w:t>
            </w:r>
          </w:p>
          <w:p w14:paraId="6E7089AB">
            <w:pPr>
              <w:jc w:val="center"/>
              <w:rPr>
                <w:rFonts w:ascii="Times New Roman" w:hAnsi="Times New Roman" w:cs="Times New Roman"/>
                <w:sz w:val="18"/>
                <w:szCs w:val="18"/>
              </w:rPr>
            </w:pPr>
            <w:r>
              <w:rPr>
                <w:rFonts w:ascii="Times New Roman" w:hAnsi="Times New Roman" w:cs="Times New Roman"/>
                <w:sz w:val="18"/>
                <w:szCs w:val="18"/>
              </w:rPr>
              <w:t>达量</w:t>
            </w:r>
          </w:p>
          <w:p w14:paraId="6E5E653F">
            <w:pPr>
              <w:jc w:val="center"/>
              <w:rPr>
                <w:rFonts w:ascii="Times New Roman" w:hAnsi="Times New Roman" w:cs="Times New Roman"/>
                <w:sz w:val="18"/>
                <w:szCs w:val="18"/>
              </w:rPr>
            </w:pPr>
            <w:r>
              <w:rPr>
                <w:rFonts w:ascii="Times New Roman" w:hAnsi="Times New Roman" w:cs="Times New Roman"/>
                <w:sz w:val="18"/>
                <w:szCs w:val="18"/>
              </w:rPr>
              <w:t>dB(A</w:t>
            </w:r>
            <w:r>
              <w:rPr>
                <w:rFonts w:hint="eastAsia" w:ascii="Times New Roman" w:hAnsi="Times New Roman" w:cs="Times New Roman"/>
                <w:sz w:val="18"/>
                <w:szCs w:val="18"/>
              </w:rPr>
              <w:t>)</w:t>
            </w:r>
          </w:p>
        </w:tc>
        <w:tc>
          <w:tcPr>
            <w:tcW w:w="692" w:type="dxa"/>
            <w:vMerge w:val="continue"/>
            <w:tcBorders>
              <w:left w:val="single" w:color="auto" w:sz="4" w:space="0"/>
              <w:bottom w:val="single" w:color="auto" w:sz="4" w:space="0"/>
              <w:right w:val="single" w:color="auto" w:sz="4" w:space="0"/>
            </w:tcBorders>
            <w:vAlign w:val="center"/>
          </w:tcPr>
          <w:p w14:paraId="365F131B">
            <w:pPr>
              <w:jc w:val="center"/>
              <w:rPr>
                <w:rFonts w:ascii="Times New Roman" w:hAnsi="Times New Roman" w:cs="Times New Roman"/>
                <w:sz w:val="18"/>
                <w:szCs w:val="18"/>
              </w:rPr>
            </w:pPr>
          </w:p>
        </w:tc>
      </w:tr>
      <w:tr w14:paraId="78CA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25" w:type="dxa"/>
            <w:tcBorders>
              <w:left w:val="single" w:color="auto" w:sz="4" w:space="0"/>
              <w:bottom w:val="single" w:color="auto" w:sz="4" w:space="0"/>
              <w:right w:val="single" w:color="auto" w:sz="4" w:space="0"/>
            </w:tcBorders>
            <w:vAlign w:val="center"/>
          </w:tcPr>
          <w:p w14:paraId="7DDA71AB">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w:t>
            </w:r>
            <w:r>
              <w:rPr>
                <w:rFonts w:hint="eastAsia" w:ascii="Times New Roman" w:hAnsi="Times New Roman" w:cs="Times New Roman"/>
                <w:sz w:val="18"/>
                <w:szCs w:val="18"/>
                <w:vertAlign w:val="subscript"/>
              </w:rPr>
              <w:t>5</w:t>
            </w:r>
          </w:p>
        </w:tc>
        <w:tc>
          <w:tcPr>
            <w:tcW w:w="850" w:type="dxa"/>
            <w:tcBorders>
              <w:left w:val="single" w:color="auto" w:sz="4" w:space="0"/>
              <w:bottom w:val="single" w:color="auto" w:sz="4" w:space="0"/>
              <w:right w:val="single" w:color="auto" w:sz="4" w:space="0"/>
            </w:tcBorders>
            <w:vAlign w:val="center"/>
          </w:tcPr>
          <w:p w14:paraId="40479F89">
            <w:pPr>
              <w:jc w:val="center"/>
              <w:rPr>
                <w:rFonts w:ascii="Times New Roman" w:hAnsi="Times New Roman" w:cs="Times New Roman"/>
                <w:sz w:val="18"/>
                <w:szCs w:val="18"/>
              </w:rPr>
            </w:pPr>
            <w:r>
              <w:rPr>
                <w:rFonts w:ascii="Times New Roman" w:hAnsi="Times New Roman" w:cs="Times New Roman"/>
                <w:sz w:val="18"/>
                <w:szCs w:val="18"/>
              </w:rPr>
              <w:t>压缩机</w:t>
            </w:r>
          </w:p>
        </w:tc>
        <w:tc>
          <w:tcPr>
            <w:tcW w:w="567" w:type="dxa"/>
            <w:tcBorders>
              <w:left w:val="single" w:color="auto" w:sz="4" w:space="0"/>
              <w:bottom w:val="single" w:color="auto" w:sz="4" w:space="0"/>
              <w:right w:val="single" w:color="auto" w:sz="4" w:space="0"/>
            </w:tcBorders>
            <w:vAlign w:val="center"/>
          </w:tcPr>
          <w:p w14:paraId="16C032B3">
            <w:pPr>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Borders>
              <w:left w:val="single" w:color="auto" w:sz="4" w:space="0"/>
              <w:bottom w:val="single" w:color="auto" w:sz="4" w:space="0"/>
              <w:right w:val="single" w:color="auto" w:sz="4" w:space="0"/>
            </w:tcBorders>
            <w:vAlign w:val="center"/>
          </w:tcPr>
          <w:p w14:paraId="6665AE07">
            <w:pPr>
              <w:jc w:val="center"/>
              <w:rPr>
                <w:rFonts w:ascii="Times New Roman" w:hAnsi="Times New Roman" w:cs="Times New Roman"/>
                <w:sz w:val="18"/>
                <w:szCs w:val="18"/>
              </w:rPr>
            </w:pPr>
            <w:r>
              <w:rPr>
                <w:rFonts w:ascii="Times New Roman" w:hAnsi="Times New Roman" w:cs="Times New Roman"/>
                <w:sz w:val="18"/>
                <w:szCs w:val="18"/>
              </w:rPr>
              <w:t>连续</w:t>
            </w:r>
          </w:p>
        </w:tc>
        <w:tc>
          <w:tcPr>
            <w:tcW w:w="850" w:type="dxa"/>
            <w:tcBorders>
              <w:top w:val="single" w:color="auto" w:sz="4" w:space="0"/>
              <w:left w:val="single" w:color="auto" w:sz="4" w:space="0"/>
              <w:bottom w:val="single" w:color="auto" w:sz="4" w:space="0"/>
              <w:right w:val="single" w:color="auto" w:sz="4" w:space="0"/>
            </w:tcBorders>
            <w:vAlign w:val="center"/>
          </w:tcPr>
          <w:p w14:paraId="65D23ACD">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1" w:type="dxa"/>
            <w:tcBorders>
              <w:top w:val="single" w:color="auto" w:sz="4" w:space="0"/>
              <w:left w:val="single" w:color="auto" w:sz="4" w:space="0"/>
              <w:bottom w:val="single" w:color="auto" w:sz="4" w:space="0"/>
              <w:right w:val="single" w:color="auto" w:sz="4" w:space="0"/>
            </w:tcBorders>
            <w:vAlign w:val="center"/>
          </w:tcPr>
          <w:p w14:paraId="4D26B8C4">
            <w:pPr>
              <w:jc w:val="center"/>
              <w:rPr>
                <w:rFonts w:ascii="Times New Roman" w:hAnsi="Times New Roman" w:cs="Times New Roman"/>
                <w:sz w:val="18"/>
                <w:szCs w:val="18"/>
              </w:rPr>
            </w:pPr>
            <w:r>
              <w:rPr>
                <w:rFonts w:ascii="Times New Roman" w:hAnsi="Times New Roman" w:cs="Times New Roman"/>
                <w:sz w:val="18"/>
                <w:szCs w:val="18"/>
              </w:rPr>
              <w:t>90</w:t>
            </w:r>
          </w:p>
        </w:tc>
        <w:tc>
          <w:tcPr>
            <w:tcW w:w="1527" w:type="dxa"/>
            <w:tcBorders>
              <w:left w:val="single" w:color="auto" w:sz="4" w:space="0"/>
              <w:bottom w:val="single" w:color="auto" w:sz="4" w:space="0"/>
              <w:right w:val="single" w:color="auto" w:sz="4" w:space="0"/>
            </w:tcBorders>
            <w:vAlign w:val="center"/>
          </w:tcPr>
          <w:p w14:paraId="618B1F6D">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549" w:type="dxa"/>
            <w:tcBorders>
              <w:left w:val="single" w:color="auto" w:sz="4" w:space="0"/>
              <w:bottom w:val="single" w:color="auto" w:sz="4" w:space="0"/>
              <w:right w:val="single" w:color="auto" w:sz="4" w:space="0"/>
            </w:tcBorders>
            <w:vAlign w:val="center"/>
          </w:tcPr>
          <w:p w14:paraId="31418BD7">
            <w:pPr>
              <w:jc w:val="center"/>
              <w:rPr>
                <w:rFonts w:ascii="Times New Roman" w:hAnsi="Times New Roman" w:cs="Times New Roman"/>
                <w:sz w:val="18"/>
                <w:szCs w:val="18"/>
              </w:rPr>
            </w:pPr>
            <w:r>
              <w:rPr>
                <w:rFonts w:ascii="Times New Roman" w:hAnsi="Times New Roman" w:cs="Times New Roman"/>
                <w:sz w:val="18"/>
                <w:szCs w:val="18"/>
              </w:rPr>
              <w:t>20</w:t>
            </w:r>
          </w:p>
        </w:tc>
        <w:tc>
          <w:tcPr>
            <w:tcW w:w="692" w:type="dxa"/>
            <w:tcBorders>
              <w:left w:val="single" w:color="auto" w:sz="4" w:space="0"/>
              <w:bottom w:val="single" w:color="auto" w:sz="4" w:space="0"/>
              <w:right w:val="single" w:color="auto" w:sz="4" w:space="0"/>
            </w:tcBorders>
            <w:vAlign w:val="center"/>
          </w:tcPr>
          <w:p w14:paraId="3A9E7885">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692" w:type="dxa"/>
            <w:tcBorders>
              <w:left w:val="single" w:color="auto" w:sz="4" w:space="0"/>
              <w:bottom w:val="single" w:color="auto" w:sz="4" w:space="0"/>
              <w:right w:val="single" w:color="auto" w:sz="4" w:space="0"/>
            </w:tcBorders>
            <w:vAlign w:val="center"/>
          </w:tcPr>
          <w:p w14:paraId="6C824FBE">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left w:val="single" w:color="auto" w:sz="4" w:space="0"/>
              <w:bottom w:val="single" w:color="auto" w:sz="4" w:space="0"/>
              <w:right w:val="single" w:color="auto" w:sz="4" w:space="0"/>
            </w:tcBorders>
            <w:vAlign w:val="center"/>
          </w:tcPr>
          <w:p w14:paraId="5E3A2C86">
            <w:pPr>
              <w:jc w:val="center"/>
              <w:rPr>
                <w:rFonts w:ascii="Times New Roman" w:hAnsi="Times New Roman" w:cs="Times New Roman"/>
                <w:sz w:val="18"/>
                <w:szCs w:val="18"/>
              </w:rPr>
            </w:pPr>
            <w:r>
              <w:rPr>
                <w:rFonts w:ascii="Times New Roman" w:hAnsi="Times New Roman" w:cs="Times New Roman"/>
                <w:sz w:val="18"/>
                <w:szCs w:val="18"/>
              </w:rPr>
              <w:t>8000</w:t>
            </w:r>
          </w:p>
        </w:tc>
      </w:tr>
    </w:tbl>
    <w:p w14:paraId="1E8A9FD9">
      <w:pPr>
        <w:pStyle w:val="281"/>
        <w:ind w:firstLine="480"/>
        <w:rPr>
          <w:u w:color="000000"/>
        </w:rPr>
      </w:pPr>
      <w:r>
        <w:rPr>
          <w:rFonts w:hint="eastAsia"/>
          <w:u w:color="000000"/>
        </w:rPr>
        <w:t>（4）固废</w:t>
      </w:r>
    </w:p>
    <w:p w14:paraId="47231396">
      <w:pPr>
        <w:pStyle w:val="281"/>
        <w:ind w:firstLine="480"/>
      </w:pPr>
      <w:r>
        <w:rPr>
          <w:rFonts w:hint="eastAsia"/>
        </w:rPr>
        <w:t>CO深冷分离单元固废主要为废分子筛。CO深冷分离</w:t>
      </w:r>
      <w:r>
        <w:t>单元</w:t>
      </w:r>
      <w:r>
        <w:rPr>
          <w:rFonts w:hint="eastAsia"/>
        </w:rPr>
        <w:t>固废产排情况见表3.2.</w:t>
      </w:r>
      <w:r>
        <w:t>3</w:t>
      </w:r>
      <w:r>
        <w:rPr>
          <w:rFonts w:hint="eastAsia"/>
        </w:rPr>
        <w:t>-37。</w:t>
      </w:r>
    </w:p>
    <w:p w14:paraId="27B32D79">
      <w:pPr>
        <w:pStyle w:val="535"/>
        <w:rPr>
          <w:rFonts w:hint="eastAsia" w:ascii="宋体" w:hAnsi="宋体"/>
          <w:bCs/>
          <w:color w:val="auto"/>
        </w:rPr>
      </w:pPr>
      <w:r>
        <w:rPr>
          <w:rFonts w:hint="eastAsia"/>
        </w:rPr>
        <w:t>表3.2.</w:t>
      </w:r>
      <w:r>
        <w:t>3</w:t>
      </w:r>
      <w:r>
        <w:rPr>
          <w:rFonts w:hint="eastAsia"/>
        </w:rPr>
        <w:t xml:space="preserve">-37 </w:t>
      </w:r>
      <w:r>
        <w:rPr>
          <w:color w:val="auto"/>
          <w:u w:color="000000"/>
        </w:rPr>
        <w:t xml:space="preserve">  </w:t>
      </w:r>
      <w:r>
        <w:rPr>
          <w:rFonts w:hint="eastAsia"/>
          <w:u w:color="000000"/>
        </w:rPr>
        <w:t>CO深冷分离单元</w:t>
      </w:r>
      <w:r>
        <w:rPr>
          <w:rFonts w:hint="eastAsia"/>
          <w:color w:val="auto"/>
        </w:rPr>
        <w:t>固体废物污染源源强核算</w:t>
      </w:r>
      <w:r>
        <w:rPr>
          <w:rFonts w:hint="eastAsia"/>
          <w:color w:val="auto"/>
          <w:u w:color="000000"/>
        </w:rPr>
        <w:t>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96"/>
        <w:gridCol w:w="1631"/>
        <w:gridCol w:w="850"/>
        <w:gridCol w:w="1843"/>
        <w:gridCol w:w="1134"/>
        <w:gridCol w:w="1417"/>
        <w:gridCol w:w="1034"/>
      </w:tblGrid>
      <w:tr w14:paraId="741F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vMerge w:val="restart"/>
            <w:tcBorders>
              <w:top w:val="single" w:color="auto" w:sz="4" w:space="0"/>
              <w:left w:val="single" w:color="auto" w:sz="4" w:space="0"/>
              <w:bottom w:val="single" w:color="auto" w:sz="4" w:space="0"/>
              <w:right w:val="single" w:color="auto" w:sz="4" w:space="0"/>
            </w:tcBorders>
            <w:vAlign w:val="center"/>
          </w:tcPr>
          <w:p w14:paraId="1FE4357A">
            <w:pPr>
              <w:pStyle w:val="557"/>
            </w:pPr>
            <w:r>
              <w:t>编号</w:t>
            </w:r>
          </w:p>
        </w:tc>
        <w:tc>
          <w:tcPr>
            <w:tcW w:w="1631" w:type="dxa"/>
            <w:vMerge w:val="restart"/>
            <w:tcBorders>
              <w:top w:val="single" w:color="auto" w:sz="4" w:space="0"/>
              <w:left w:val="single" w:color="auto" w:sz="4" w:space="0"/>
              <w:bottom w:val="single" w:color="auto" w:sz="4" w:space="0"/>
              <w:right w:val="single" w:color="auto" w:sz="4" w:space="0"/>
            </w:tcBorders>
            <w:vAlign w:val="center"/>
          </w:tcPr>
          <w:p w14:paraId="10E45DD8">
            <w:pPr>
              <w:pStyle w:val="557"/>
            </w:pPr>
            <w:r>
              <w:t>固废名称</w:t>
            </w:r>
          </w:p>
        </w:tc>
        <w:tc>
          <w:tcPr>
            <w:tcW w:w="2693" w:type="dxa"/>
            <w:gridSpan w:val="2"/>
            <w:tcBorders>
              <w:top w:val="single" w:color="auto" w:sz="4" w:space="0"/>
              <w:left w:val="single" w:color="auto" w:sz="4" w:space="0"/>
              <w:bottom w:val="single" w:color="auto" w:sz="4" w:space="0"/>
              <w:right w:val="single" w:color="auto" w:sz="4" w:space="0"/>
            </w:tcBorders>
            <w:vAlign w:val="center"/>
          </w:tcPr>
          <w:p w14:paraId="23F0D6C0">
            <w:pPr>
              <w:pStyle w:val="557"/>
            </w:pPr>
            <w:r>
              <w:t>固废属性</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96B4ED3">
            <w:pPr>
              <w:pStyle w:val="557"/>
            </w:pPr>
            <w:r>
              <w:t>产生量</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14:paraId="54BBF501">
            <w:pPr>
              <w:pStyle w:val="557"/>
            </w:pPr>
            <w:r>
              <w:t>处理措施</w:t>
            </w:r>
          </w:p>
        </w:tc>
        <w:tc>
          <w:tcPr>
            <w:tcW w:w="1034" w:type="dxa"/>
            <w:vMerge w:val="restart"/>
            <w:tcBorders>
              <w:top w:val="single" w:color="auto" w:sz="4" w:space="0"/>
              <w:left w:val="single" w:color="auto" w:sz="4" w:space="0"/>
              <w:bottom w:val="single" w:color="auto" w:sz="4" w:space="0"/>
              <w:right w:val="single" w:color="auto" w:sz="4" w:space="0"/>
            </w:tcBorders>
            <w:vAlign w:val="center"/>
          </w:tcPr>
          <w:p w14:paraId="49B306F9">
            <w:pPr>
              <w:pStyle w:val="557"/>
            </w:pPr>
            <w:r>
              <w:t>处理量</w:t>
            </w:r>
          </w:p>
        </w:tc>
      </w:tr>
      <w:tr w14:paraId="09BD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vMerge w:val="continue"/>
            <w:tcBorders>
              <w:left w:val="single" w:color="auto" w:sz="4" w:space="0"/>
              <w:bottom w:val="single" w:color="auto" w:sz="4" w:space="0"/>
              <w:right w:val="single" w:color="auto" w:sz="4" w:space="0"/>
            </w:tcBorders>
            <w:vAlign w:val="center"/>
          </w:tcPr>
          <w:p w14:paraId="703DBC48">
            <w:pPr>
              <w:pStyle w:val="557"/>
            </w:pPr>
          </w:p>
        </w:tc>
        <w:tc>
          <w:tcPr>
            <w:tcW w:w="1631" w:type="dxa"/>
            <w:vMerge w:val="continue"/>
            <w:tcBorders>
              <w:left w:val="single" w:color="auto" w:sz="4" w:space="0"/>
              <w:bottom w:val="single" w:color="auto" w:sz="4" w:space="0"/>
              <w:right w:val="single" w:color="auto" w:sz="4" w:space="0"/>
            </w:tcBorders>
            <w:vAlign w:val="center"/>
          </w:tcPr>
          <w:p w14:paraId="0B6D0162">
            <w:pPr>
              <w:pStyle w:val="557"/>
            </w:pPr>
          </w:p>
        </w:tc>
        <w:tc>
          <w:tcPr>
            <w:tcW w:w="850" w:type="dxa"/>
            <w:tcBorders>
              <w:left w:val="single" w:color="auto" w:sz="4" w:space="0"/>
              <w:bottom w:val="single" w:color="auto" w:sz="4" w:space="0"/>
              <w:right w:val="single" w:color="auto" w:sz="4" w:space="0"/>
            </w:tcBorders>
            <w:vAlign w:val="center"/>
          </w:tcPr>
          <w:p w14:paraId="6FDABD61">
            <w:pPr>
              <w:pStyle w:val="557"/>
            </w:pPr>
            <w:r>
              <w:t>固废属性</w:t>
            </w:r>
          </w:p>
        </w:tc>
        <w:tc>
          <w:tcPr>
            <w:tcW w:w="1843" w:type="dxa"/>
            <w:tcBorders>
              <w:left w:val="single" w:color="auto" w:sz="4" w:space="0"/>
              <w:bottom w:val="single" w:color="auto" w:sz="4" w:space="0"/>
              <w:right w:val="single" w:color="auto" w:sz="4" w:space="0"/>
            </w:tcBorders>
            <w:vAlign w:val="center"/>
          </w:tcPr>
          <w:p w14:paraId="35A01598">
            <w:pPr>
              <w:pStyle w:val="557"/>
            </w:pPr>
            <w:r>
              <w:t>代码</w:t>
            </w:r>
          </w:p>
        </w:tc>
        <w:tc>
          <w:tcPr>
            <w:tcW w:w="1134" w:type="dxa"/>
            <w:vMerge w:val="continue"/>
            <w:tcBorders>
              <w:left w:val="single" w:color="auto" w:sz="4" w:space="0"/>
              <w:bottom w:val="single" w:color="auto" w:sz="4" w:space="0"/>
              <w:right w:val="single" w:color="auto" w:sz="4" w:space="0"/>
            </w:tcBorders>
            <w:vAlign w:val="center"/>
          </w:tcPr>
          <w:p w14:paraId="59693CA9">
            <w:pPr>
              <w:pStyle w:val="557"/>
            </w:pPr>
          </w:p>
        </w:tc>
        <w:tc>
          <w:tcPr>
            <w:tcW w:w="1417" w:type="dxa"/>
            <w:vMerge w:val="continue"/>
            <w:tcBorders>
              <w:left w:val="single" w:color="auto" w:sz="4" w:space="0"/>
              <w:bottom w:val="single" w:color="auto" w:sz="4" w:space="0"/>
              <w:right w:val="single" w:color="auto" w:sz="4" w:space="0"/>
            </w:tcBorders>
            <w:vAlign w:val="center"/>
          </w:tcPr>
          <w:p w14:paraId="3549146F">
            <w:pPr>
              <w:pStyle w:val="557"/>
            </w:pPr>
          </w:p>
        </w:tc>
        <w:tc>
          <w:tcPr>
            <w:tcW w:w="1034" w:type="dxa"/>
            <w:vMerge w:val="continue"/>
            <w:tcBorders>
              <w:left w:val="single" w:color="auto" w:sz="4" w:space="0"/>
              <w:bottom w:val="single" w:color="auto" w:sz="4" w:space="0"/>
              <w:right w:val="single" w:color="auto" w:sz="4" w:space="0"/>
            </w:tcBorders>
            <w:vAlign w:val="center"/>
          </w:tcPr>
          <w:p w14:paraId="4FA1B586">
            <w:pPr>
              <w:pStyle w:val="557"/>
            </w:pPr>
          </w:p>
        </w:tc>
      </w:tr>
      <w:tr w14:paraId="5FDB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596" w:type="dxa"/>
            <w:tcBorders>
              <w:left w:val="single" w:color="auto" w:sz="4" w:space="0"/>
              <w:bottom w:val="single" w:color="auto" w:sz="4" w:space="0"/>
              <w:right w:val="single" w:color="auto" w:sz="4" w:space="0"/>
            </w:tcBorders>
            <w:vAlign w:val="center"/>
          </w:tcPr>
          <w:p w14:paraId="4CFAB360">
            <w:pPr>
              <w:pStyle w:val="557"/>
            </w:pPr>
            <w:r>
              <w:t>S</w:t>
            </w:r>
            <w:r>
              <w:rPr>
                <w:vertAlign w:val="subscript"/>
              </w:rPr>
              <w:t>2-</w:t>
            </w:r>
            <w:r>
              <w:rPr>
                <w:rFonts w:hint="eastAsia"/>
                <w:vertAlign w:val="subscript"/>
              </w:rPr>
              <w:t>4</w:t>
            </w:r>
          </w:p>
        </w:tc>
        <w:tc>
          <w:tcPr>
            <w:tcW w:w="1631" w:type="dxa"/>
            <w:tcBorders>
              <w:left w:val="single" w:color="auto" w:sz="4" w:space="0"/>
              <w:bottom w:val="single" w:color="auto" w:sz="4" w:space="0"/>
              <w:right w:val="single" w:color="auto" w:sz="4" w:space="0"/>
            </w:tcBorders>
            <w:vAlign w:val="center"/>
          </w:tcPr>
          <w:p w14:paraId="48C04FA1">
            <w:pPr>
              <w:pStyle w:val="557"/>
            </w:pPr>
            <w:r>
              <w:t>废</w:t>
            </w:r>
            <w:r>
              <w:rPr>
                <w:rFonts w:hint="eastAsia"/>
              </w:rPr>
              <w:t>分子筛</w:t>
            </w:r>
          </w:p>
        </w:tc>
        <w:tc>
          <w:tcPr>
            <w:tcW w:w="850" w:type="dxa"/>
            <w:tcBorders>
              <w:left w:val="single" w:color="auto" w:sz="4" w:space="0"/>
              <w:bottom w:val="single" w:color="auto" w:sz="4" w:space="0"/>
              <w:right w:val="single" w:color="auto" w:sz="4" w:space="0"/>
            </w:tcBorders>
            <w:vAlign w:val="center"/>
          </w:tcPr>
          <w:p w14:paraId="14BBA098">
            <w:pPr>
              <w:pStyle w:val="557"/>
            </w:pPr>
            <w:r>
              <w:rPr>
                <w:rFonts w:hint="eastAsia"/>
              </w:rPr>
              <w:t>一般固废</w:t>
            </w:r>
          </w:p>
        </w:tc>
        <w:tc>
          <w:tcPr>
            <w:tcW w:w="1843" w:type="dxa"/>
            <w:tcBorders>
              <w:left w:val="single" w:color="auto" w:sz="4" w:space="0"/>
              <w:bottom w:val="single" w:color="auto" w:sz="4" w:space="0"/>
              <w:right w:val="single" w:color="auto" w:sz="4" w:space="0"/>
            </w:tcBorders>
            <w:vAlign w:val="center"/>
          </w:tcPr>
          <w:p w14:paraId="7D0C972B">
            <w:pPr>
              <w:pStyle w:val="557"/>
            </w:pPr>
            <w:r>
              <w:rPr>
                <w:rFonts w:hint="eastAsia"/>
              </w:rPr>
              <w:t>900-005-S59</w:t>
            </w:r>
          </w:p>
        </w:tc>
        <w:tc>
          <w:tcPr>
            <w:tcW w:w="1134" w:type="dxa"/>
            <w:tcBorders>
              <w:left w:val="single" w:color="auto" w:sz="4" w:space="0"/>
              <w:bottom w:val="single" w:color="auto" w:sz="4" w:space="0"/>
              <w:right w:val="single" w:color="auto" w:sz="4" w:space="0"/>
            </w:tcBorders>
            <w:vAlign w:val="center"/>
          </w:tcPr>
          <w:p w14:paraId="6710566A">
            <w:pPr>
              <w:pStyle w:val="557"/>
            </w:pPr>
            <w:r>
              <w:rPr>
                <w:rFonts w:hint="eastAsia"/>
              </w:rPr>
              <w:t>190</w:t>
            </w:r>
            <w:r>
              <w:t>m</w:t>
            </w:r>
            <w:r>
              <w:rPr>
                <w:vertAlign w:val="superscript"/>
              </w:rPr>
              <w:t>3</w:t>
            </w:r>
            <w:r>
              <w:t>/</w:t>
            </w:r>
            <w:r>
              <w:rPr>
                <w:rFonts w:hint="eastAsia"/>
              </w:rPr>
              <w:t>5</w:t>
            </w:r>
            <w:r>
              <w:t>a</w:t>
            </w:r>
          </w:p>
        </w:tc>
        <w:tc>
          <w:tcPr>
            <w:tcW w:w="1417" w:type="dxa"/>
            <w:tcBorders>
              <w:left w:val="single" w:color="auto" w:sz="4" w:space="0"/>
              <w:right w:val="single" w:color="auto" w:sz="4" w:space="0"/>
            </w:tcBorders>
            <w:vAlign w:val="center"/>
          </w:tcPr>
          <w:p w14:paraId="78CFFBD8">
            <w:pPr>
              <w:pStyle w:val="557"/>
            </w:pPr>
            <w:r>
              <w:t>厂内暂存后送有资质单位处置</w:t>
            </w:r>
          </w:p>
        </w:tc>
        <w:tc>
          <w:tcPr>
            <w:tcW w:w="1034" w:type="dxa"/>
            <w:tcBorders>
              <w:left w:val="single" w:color="auto" w:sz="4" w:space="0"/>
              <w:bottom w:val="single" w:color="auto" w:sz="4" w:space="0"/>
              <w:right w:val="single" w:color="auto" w:sz="4" w:space="0"/>
            </w:tcBorders>
            <w:vAlign w:val="center"/>
          </w:tcPr>
          <w:p w14:paraId="5DFD776A">
            <w:pPr>
              <w:pStyle w:val="557"/>
            </w:pPr>
            <w:r>
              <w:rPr>
                <w:rFonts w:hint="eastAsia"/>
              </w:rPr>
              <w:t>190</w:t>
            </w:r>
            <w:r>
              <w:t>m</w:t>
            </w:r>
            <w:r>
              <w:rPr>
                <w:vertAlign w:val="superscript"/>
              </w:rPr>
              <w:t>3</w:t>
            </w:r>
            <w:r>
              <w:t>/</w:t>
            </w:r>
            <w:r>
              <w:rPr>
                <w:rFonts w:hint="eastAsia"/>
              </w:rPr>
              <w:t>5</w:t>
            </w:r>
            <w:r>
              <w:t>a</w:t>
            </w:r>
          </w:p>
        </w:tc>
      </w:tr>
    </w:tbl>
    <w:p w14:paraId="7329AB22">
      <w:pPr>
        <w:pStyle w:val="814"/>
        <w:rPr>
          <w:rFonts w:hint="eastAsia"/>
        </w:rPr>
      </w:pPr>
      <w:r>
        <w:rPr>
          <w:rFonts w:hint="eastAsia"/>
        </w:rPr>
        <w:t>硫回收单元</w:t>
      </w:r>
    </w:p>
    <w:p w14:paraId="20972785">
      <w:pPr>
        <w:pStyle w:val="281"/>
        <w:ind w:firstLine="480"/>
      </w:pPr>
      <w:bookmarkStart w:id="156" w:name="_Hlk177923196"/>
      <w:r>
        <w:rPr>
          <w:rFonts w:hint="eastAsia"/>
        </w:rPr>
        <w:t>（1）废气</w:t>
      </w:r>
    </w:p>
    <w:p w14:paraId="61D3F002">
      <w:pPr>
        <w:pStyle w:val="281"/>
        <w:ind w:firstLine="480"/>
      </w:pPr>
      <w:r>
        <w:rPr>
          <w:rFonts w:hint="eastAsia" w:ascii="宋体" w:hAnsi="宋体"/>
        </w:rPr>
        <w:t>①制酸尾气</w:t>
      </w:r>
      <w:r>
        <w:rPr>
          <w:rFonts w:hint="eastAsia"/>
        </w:rPr>
        <w:t>（</w:t>
      </w:r>
      <w:r>
        <w:t>G</w:t>
      </w:r>
      <w:r>
        <w:rPr>
          <w:vertAlign w:val="subscript"/>
        </w:rPr>
        <w:t>2-</w:t>
      </w:r>
      <w:r>
        <w:rPr>
          <w:rFonts w:hint="eastAsia"/>
          <w:vertAlign w:val="subscript"/>
        </w:rPr>
        <w:t>6</w:t>
      </w:r>
      <w:r>
        <w:rPr>
          <w:rFonts w:hint="eastAsia"/>
        </w:rPr>
        <w:t>）</w:t>
      </w:r>
    </w:p>
    <w:p w14:paraId="1AAB5CA3">
      <w:pPr>
        <w:pStyle w:val="281"/>
        <w:ind w:firstLine="480"/>
      </w:pPr>
      <w:r>
        <w:rPr>
          <w:rFonts w:hint="eastAsia"/>
        </w:rPr>
        <w:t>硫回收单元酸性气包含煤气化装置闪蒸不凝气、低温甲醇洗单元的汽提塔酸性气，酸性气总气量为1750.28</w:t>
      </w:r>
      <w:r>
        <w:rPr>
          <w:rFonts w:hint="eastAsia"/>
          <w:szCs w:val="24"/>
        </w:rPr>
        <w:t>m</w:t>
      </w:r>
      <w:r>
        <w:rPr>
          <w:rFonts w:hint="eastAsia"/>
          <w:szCs w:val="24"/>
          <w:vertAlign w:val="superscript"/>
        </w:rPr>
        <w:t>3</w:t>
      </w:r>
      <w:r>
        <w:rPr>
          <w:rFonts w:hint="eastAsia"/>
          <w:szCs w:val="24"/>
        </w:rPr>
        <w:t>/h。</w:t>
      </w:r>
    </w:p>
    <w:p w14:paraId="3B0D9FDF">
      <w:pPr>
        <w:pStyle w:val="281"/>
        <w:ind w:firstLine="480"/>
      </w:pPr>
      <w:r>
        <w:rPr>
          <w:rFonts w:hint="eastAsia"/>
        </w:rPr>
        <w:t>硫回收单元制酸尾气</w:t>
      </w:r>
      <w:r>
        <w:t>SO</w:t>
      </w:r>
      <w:r>
        <w:rPr>
          <w:vertAlign w:val="subscript"/>
        </w:rPr>
        <w:t>2</w:t>
      </w:r>
      <w:r>
        <w:rPr>
          <w:rFonts w:hint="eastAsia"/>
        </w:rPr>
        <w:t>、硫酸雾</w:t>
      </w:r>
      <w:r>
        <w:t>的产生量</w:t>
      </w:r>
      <w:r>
        <w:rPr>
          <w:rFonts w:hint="eastAsia"/>
        </w:rPr>
        <w:t>参照</w:t>
      </w:r>
      <w:bookmarkStart w:id="157" w:name="_Hlk177035286"/>
      <w:r>
        <w:t>《污染源源强核算技术指南 石油炼制工业》</w:t>
      </w:r>
      <w:bookmarkEnd w:id="157"/>
      <w:r>
        <w:t>（HJ982-2018）酸性气回收装置</w:t>
      </w:r>
      <w:r>
        <w:rPr>
          <w:rFonts w:hint="eastAsia"/>
        </w:rPr>
        <w:t>源强核算。</w:t>
      </w:r>
    </w:p>
    <w:p w14:paraId="14BB12DE">
      <w:pPr>
        <w:pStyle w:val="281"/>
        <w:ind w:firstLine="480"/>
      </w:pPr>
      <w:r>
        <w:rPr>
          <w:rFonts w:hint="eastAsia"/>
        </w:rPr>
        <w:t>1）</w:t>
      </w:r>
      <w:r>
        <w:t>SO</w:t>
      </w:r>
      <w:r>
        <w:rPr>
          <w:vertAlign w:val="subscript"/>
        </w:rPr>
        <w:t>2</w:t>
      </w:r>
      <w:r>
        <w:rPr>
          <w:rFonts w:hint="eastAsia"/>
        </w:rPr>
        <w:t>产生量</w:t>
      </w:r>
    </w:p>
    <w:p w14:paraId="67CF94DB">
      <w:pPr>
        <w:pStyle w:val="281"/>
        <w:ind w:firstLine="480"/>
        <w:jc w:val="center"/>
      </w:pPr>
      <w:r>
        <w:drawing>
          <wp:inline distT="0" distB="0" distL="0" distR="0">
            <wp:extent cx="2077085" cy="424180"/>
            <wp:effectExtent l="0" t="0" r="18415" b="13970"/>
            <wp:docPr id="111376529"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529" name="图片 1" descr="图片包含 图示&#10;&#10;描述已自动生成"/>
                    <pic:cNvPicPr>
                      <a:picLocks noChangeAspect="1"/>
                    </pic:cNvPicPr>
                  </pic:nvPicPr>
                  <pic:blipFill>
                    <a:blip r:embed="rId18"/>
                    <a:stretch>
                      <a:fillRect/>
                    </a:stretch>
                  </pic:blipFill>
                  <pic:spPr>
                    <a:xfrm>
                      <a:off x="0" y="0"/>
                      <a:ext cx="2104362" cy="429720"/>
                    </a:xfrm>
                    <a:prstGeom prst="rect">
                      <a:avLst/>
                    </a:prstGeom>
                  </pic:spPr>
                </pic:pic>
              </a:graphicData>
            </a:graphic>
          </wp:inline>
        </w:drawing>
      </w:r>
    </w:p>
    <w:p w14:paraId="218E76F8">
      <w:pPr>
        <w:pStyle w:val="281"/>
        <w:ind w:firstLine="480"/>
        <w:rPr>
          <w:sz w:val="21"/>
        </w:rPr>
      </w:pPr>
      <w:r>
        <w:rPr>
          <w:rFonts w:hint="eastAsia"/>
        </w:rPr>
        <w:t>式中：</w:t>
      </w:r>
      <w:r>
        <w:rPr>
          <w:rFonts w:hint="eastAsia"/>
          <w:sz w:val="21"/>
        </w:rPr>
        <w:t>D-核算时段内SO</w:t>
      </w:r>
      <w:r>
        <w:rPr>
          <w:rFonts w:hint="eastAsia"/>
          <w:sz w:val="21"/>
          <w:vertAlign w:val="subscript"/>
        </w:rPr>
        <w:t>2</w:t>
      </w:r>
      <w:r>
        <w:rPr>
          <w:rFonts w:hint="eastAsia"/>
          <w:sz w:val="21"/>
        </w:rPr>
        <w:t>的产生量，kg；</w:t>
      </w:r>
    </w:p>
    <w:p w14:paraId="7176C0A9">
      <w:pPr>
        <w:pStyle w:val="281"/>
        <w:ind w:firstLine="1260" w:firstLineChars="600"/>
        <w:rPr>
          <w:sz w:val="21"/>
        </w:rPr>
      </w:pPr>
      <w:r>
        <w:rPr>
          <w:rFonts w:hint="eastAsia"/>
          <w:sz w:val="21"/>
        </w:rPr>
        <w:t>Q-核算时段内标准状态下酸性气体的量，m</w:t>
      </w:r>
      <w:r>
        <w:rPr>
          <w:rFonts w:hint="eastAsia"/>
          <w:sz w:val="21"/>
          <w:vertAlign w:val="superscript"/>
        </w:rPr>
        <w:t>3</w:t>
      </w:r>
      <w:r>
        <w:rPr>
          <w:rFonts w:hint="eastAsia"/>
          <w:sz w:val="21"/>
        </w:rPr>
        <w:t>，本项目取值1750.28m</w:t>
      </w:r>
      <w:r>
        <w:rPr>
          <w:rFonts w:hint="eastAsia"/>
          <w:sz w:val="21"/>
          <w:vertAlign w:val="superscript"/>
        </w:rPr>
        <w:t>3</w:t>
      </w:r>
      <w:r>
        <w:rPr>
          <w:rFonts w:hint="eastAsia"/>
          <w:sz w:val="21"/>
        </w:rPr>
        <w:t>/h；</w:t>
      </w:r>
    </w:p>
    <w:p w14:paraId="73CA18EA">
      <w:pPr>
        <w:pStyle w:val="281"/>
        <w:ind w:firstLine="1260" w:firstLineChars="600"/>
        <w:rPr>
          <w:sz w:val="21"/>
        </w:rPr>
      </w:pPr>
      <w:r>
        <w:rPr>
          <w:rFonts w:hint="eastAsia"/>
          <w:sz w:val="21"/>
        </w:rPr>
        <w:t>y-酸性气体中H</w:t>
      </w:r>
      <w:r>
        <w:rPr>
          <w:rFonts w:hint="eastAsia"/>
          <w:sz w:val="21"/>
          <w:vertAlign w:val="subscript"/>
        </w:rPr>
        <w:t>2</w:t>
      </w:r>
      <w:r>
        <w:rPr>
          <w:rFonts w:hint="eastAsia"/>
          <w:sz w:val="21"/>
        </w:rPr>
        <w:t>S的体积分数，%，本项目取值25.20%；</w:t>
      </w:r>
    </w:p>
    <w:p w14:paraId="2B2ABD39">
      <w:pPr>
        <w:pStyle w:val="281"/>
        <w:ind w:firstLine="1260" w:firstLineChars="600"/>
      </w:pPr>
      <w:r>
        <w:rPr>
          <w:sz w:val="21"/>
        </w:rPr>
        <w:t>η</w:t>
      </w:r>
      <w:r>
        <w:rPr>
          <w:rFonts w:hint="eastAsia"/>
          <w:sz w:val="21"/>
        </w:rPr>
        <w:t>-SO</w:t>
      </w:r>
      <w:r>
        <w:rPr>
          <w:rFonts w:hint="eastAsia"/>
          <w:sz w:val="21"/>
          <w:vertAlign w:val="subscript"/>
        </w:rPr>
        <w:t>2</w:t>
      </w:r>
      <w:r>
        <w:rPr>
          <w:rFonts w:hint="eastAsia"/>
          <w:sz w:val="21"/>
        </w:rPr>
        <w:t>转化成SO</w:t>
      </w:r>
      <w:r>
        <w:rPr>
          <w:rFonts w:hint="eastAsia"/>
          <w:sz w:val="21"/>
          <w:vertAlign w:val="subscript"/>
        </w:rPr>
        <w:t>3</w:t>
      </w:r>
      <w:r>
        <w:rPr>
          <w:rFonts w:hint="eastAsia"/>
          <w:sz w:val="21"/>
        </w:rPr>
        <w:t>的转化率，99.2%。</w:t>
      </w:r>
    </w:p>
    <w:p w14:paraId="21AA030F">
      <w:pPr>
        <w:pStyle w:val="281"/>
        <w:ind w:firstLine="480"/>
      </w:pPr>
      <w:r>
        <w:rPr>
          <w:rFonts w:hint="eastAsia"/>
        </w:rPr>
        <w:t>2）硫酸雾</w:t>
      </w:r>
      <w:r>
        <w:t>产生量</w:t>
      </w:r>
      <w:r>
        <w:rPr>
          <w:rFonts w:hint="eastAsia"/>
        </w:rPr>
        <w:t>计算：</w:t>
      </w:r>
    </w:p>
    <w:p w14:paraId="124417A4">
      <w:pPr>
        <w:pStyle w:val="281"/>
        <w:ind w:firstLine="480"/>
        <w:jc w:val="center"/>
      </w:pPr>
      <w:r>
        <w:drawing>
          <wp:inline distT="0" distB="0" distL="0" distR="0">
            <wp:extent cx="2318385" cy="440055"/>
            <wp:effectExtent l="0" t="0" r="5715" b="17145"/>
            <wp:docPr id="504020420"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20420" name="图片 1" descr="图片包含 文本&#10;&#10;描述已自动生成"/>
                    <pic:cNvPicPr>
                      <a:picLocks noChangeAspect="1"/>
                    </pic:cNvPicPr>
                  </pic:nvPicPr>
                  <pic:blipFill>
                    <a:blip r:embed="rId19"/>
                    <a:stretch>
                      <a:fillRect/>
                    </a:stretch>
                  </pic:blipFill>
                  <pic:spPr>
                    <a:xfrm>
                      <a:off x="0" y="0"/>
                      <a:ext cx="2364669" cy="448907"/>
                    </a:xfrm>
                    <a:prstGeom prst="rect">
                      <a:avLst/>
                    </a:prstGeom>
                  </pic:spPr>
                </pic:pic>
              </a:graphicData>
            </a:graphic>
          </wp:inline>
        </w:drawing>
      </w:r>
    </w:p>
    <w:p w14:paraId="594BA31A">
      <w:pPr>
        <w:pStyle w:val="281"/>
        <w:ind w:firstLine="480"/>
        <w:rPr>
          <w:sz w:val="21"/>
        </w:rPr>
      </w:pPr>
      <w:r>
        <w:rPr>
          <w:rFonts w:hint="eastAsia"/>
        </w:rPr>
        <w:t>式中：</w:t>
      </w:r>
      <w:r>
        <w:rPr>
          <w:rFonts w:hint="eastAsia"/>
          <w:sz w:val="21"/>
        </w:rPr>
        <w:t>D-核算时段内硫酸的产生量，kg；</w:t>
      </w:r>
    </w:p>
    <w:p w14:paraId="45BD02F2">
      <w:pPr>
        <w:pStyle w:val="281"/>
        <w:ind w:firstLine="1260" w:firstLineChars="600"/>
        <w:rPr>
          <w:sz w:val="21"/>
        </w:rPr>
      </w:pPr>
      <w:r>
        <w:rPr>
          <w:rFonts w:hint="eastAsia"/>
          <w:sz w:val="21"/>
        </w:rPr>
        <w:t>Q-核算时段内标准状态下酸性气体的量，m</w:t>
      </w:r>
      <w:r>
        <w:rPr>
          <w:rFonts w:hint="eastAsia"/>
          <w:sz w:val="21"/>
          <w:vertAlign w:val="superscript"/>
        </w:rPr>
        <w:t>3</w:t>
      </w:r>
      <w:r>
        <w:rPr>
          <w:rFonts w:hint="eastAsia"/>
          <w:sz w:val="21"/>
        </w:rPr>
        <w:t>，本项目取值1750.28m</w:t>
      </w:r>
      <w:r>
        <w:rPr>
          <w:rFonts w:hint="eastAsia"/>
          <w:sz w:val="21"/>
          <w:vertAlign w:val="superscript"/>
        </w:rPr>
        <w:t>3</w:t>
      </w:r>
      <w:r>
        <w:rPr>
          <w:rFonts w:hint="eastAsia"/>
          <w:sz w:val="21"/>
        </w:rPr>
        <w:t>/h；</w:t>
      </w:r>
    </w:p>
    <w:p w14:paraId="7F26EA55">
      <w:pPr>
        <w:pStyle w:val="281"/>
        <w:ind w:firstLine="1260" w:firstLineChars="600"/>
        <w:rPr>
          <w:sz w:val="21"/>
        </w:rPr>
      </w:pPr>
      <w:r>
        <w:rPr>
          <w:rFonts w:hint="eastAsia"/>
          <w:sz w:val="21"/>
        </w:rPr>
        <w:t>y-酸性气体中H</w:t>
      </w:r>
      <w:r>
        <w:rPr>
          <w:rFonts w:hint="eastAsia"/>
          <w:sz w:val="21"/>
          <w:vertAlign w:val="subscript"/>
        </w:rPr>
        <w:t>2</w:t>
      </w:r>
      <w:r>
        <w:rPr>
          <w:rFonts w:hint="eastAsia"/>
          <w:sz w:val="21"/>
        </w:rPr>
        <w:t>S的体积分数，%，本项目取值25.20%；</w:t>
      </w:r>
    </w:p>
    <w:p w14:paraId="12F8B8B7">
      <w:pPr>
        <w:pStyle w:val="281"/>
        <w:ind w:firstLine="1260" w:firstLineChars="600"/>
        <w:rPr>
          <w:sz w:val="21"/>
        </w:rPr>
      </w:pPr>
      <w:r>
        <w:rPr>
          <w:sz w:val="21"/>
        </w:rPr>
        <w:t>η</w:t>
      </w:r>
      <w:r>
        <w:rPr>
          <w:rFonts w:hint="eastAsia"/>
          <w:sz w:val="21"/>
        </w:rPr>
        <w:t>-SO</w:t>
      </w:r>
      <w:r>
        <w:rPr>
          <w:rFonts w:hint="eastAsia"/>
          <w:sz w:val="21"/>
          <w:vertAlign w:val="subscript"/>
        </w:rPr>
        <w:t>2</w:t>
      </w:r>
      <w:r>
        <w:rPr>
          <w:rFonts w:hint="eastAsia"/>
          <w:sz w:val="21"/>
        </w:rPr>
        <w:t>转化成SO</w:t>
      </w:r>
      <w:r>
        <w:rPr>
          <w:rFonts w:hint="eastAsia"/>
          <w:sz w:val="21"/>
          <w:vertAlign w:val="subscript"/>
        </w:rPr>
        <w:t>3</w:t>
      </w:r>
      <w:r>
        <w:rPr>
          <w:rFonts w:hint="eastAsia"/>
          <w:sz w:val="21"/>
        </w:rPr>
        <w:t>的转化率，99.2%；</w:t>
      </w:r>
    </w:p>
    <w:p w14:paraId="6AD30571">
      <w:pPr>
        <w:pStyle w:val="281"/>
        <w:ind w:firstLine="1260" w:firstLineChars="600"/>
        <w:rPr>
          <w:sz w:val="21"/>
        </w:rPr>
      </w:pPr>
      <w:r>
        <w:rPr>
          <w:sz w:val="21"/>
        </w:rPr>
        <w:t>φ</w:t>
      </w:r>
      <w:r>
        <w:rPr>
          <w:rFonts w:hint="eastAsia"/>
          <w:sz w:val="21"/>
        </w:rPr>
        <w:t>-SO</w:t>
      </w:r>
      <w:r>
        <w:rPr>
          <w:rFonts w:hint="eastAsia"/>
          <w:sz w:val="21"/>
          <w:vertAlign w:val="subscript"/>
        </w:rPr>
        <w:t>3</w:t>
      </w:r>
      <w:r>
        <w:rPr>
          <w:rFonts w:hint="eastAsia"/>
          <w:sz w:val="21"/>
        </w:rPr>
        <w:t>吸收率，99.5%。</w:t>
      </w:r>
    </w:p>
    <w:p w14:paraId="3C84AC66">
      <w:pPr>
        <w:pStyle w:val="281"/>
        <w:ind w:firstLine="480"/>
      </w:pPr>
      <w:r>
        <w:rPr>
          <w:rFonts w:hint="eastAsia"/>
        </w:rPr>
        <w:t>3）氮氧化物产生量计算</w:t>
      </w:r>
    </w:p>
    <w:p w14:paraId="48D691B5">
      <w:pPr>
        <w:pStyle w:val="281"/>
        <w:ind w:firstLine="480"/>
      </w:pPr>
      <w:r>
        <w:rPr>
          <w:rFonts w:hint="eastAsia"/>
        </w:rPr>
        <w:t>氮氧化物产生源强类比《新疆新昊化工有限公司资源清洁利用绿色低碳多联产项目环境影响报告书》。</w:t>
      </w:r>
    </w:p>
    <w:p w14:paraId="6AA09F9F">
      <w:pPr>
        <w:pStyle w:val="281"/>
        <w:ind w:firstLine="480"/>
      </w:pPr>
      <w:r>
        <w:rPr>
          <w:rFonts w:hint="eastAsia"/>
        </w:rPr>
        <w:t>经过计算，硫回收尾气产排情况见下表：</w:t>
      </w:r>
    </w:p>
    <w:p w14:paraId="2F1892EB">
      <w:pPr>
        <w:pStyle w:val="535"/>
        <w:rPr>
          <w:rFonts w:hint="eastAsia"/>
          <w:color w:val="auto"/>
        </w:rPr>
      </w:pPr>
      <w:r>
        <w:rPr>
          <w:rFonts w:hint="eastAsia"/>
          <w:color w:val="auto"/>
        </w:rPr>
        <w:t>表3.2.</w:t>
      </w:r>
      <w:r>
        <w:rPr>
          <w:color w:val="auto"/>
        </w:rPr>
        <w:t>3</w:t>
      </w:r>
      <w:r>
        <w:rPr>
          <w:rFonts w:hint="eastAsia"/>
          <w:color w:val="auto"/>
        </w:rPr>
        <w:t>-38</w:t>
      </w:r>
      <w:r>
        <w:rPr>
          <w:color w:val="auto"/>
        </w:rPr>
        <w:t xml:space="preserve">   </w:t>
      </w:r>
      <w:r>
        <w:rPr>
          <w:rFonts w:hint="eastAsia"/>
          <w:color w:val="auto"/>
          <w:u w:color="000000"/>
        </w:rPr>
        <w:t>制酸尾气</w:t>
      </w:r>
      <w:r>
        <w:rPr>
          <w:rFonts w:hint="eastAsia"/>
          <w:color w:val="auto"/>
        </w:rPr>
        <w:t>污染物产排情况一览表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797"/>
        <w:gridCol w:w="850"/>
        <w:gridCol w:w="993"/>
        <w:gridCol w:w="850"/>
        <w:gridCol w:w="851"/>
        <w:gridCol w:w="1078"/>
        <w:gridCol w:w="863"/>
        <w:gridCol w:w="769"/>
        <w:gridCol w:w="838"/>
      </w:tblGrid>
      <w:tr w14:paraId="6640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dxa"/>
            <w:vAlign w:val="center"/>
          </w:tcPr>
          <w:p w14:paraId="5CC91A62">
            <w:pPr>
              <w:pStyle w:val="190"/>
              <w:rPr>
                <w:rFonts w:ascii="Times New Roman" w:hAnsi="Times New Roman" w:cs="Times New Roman"/>
                <w:szCs w:val="18"/>
                <w:u w:color="000000"/>
              </w:rPr>
            </w:pPr>
            <w:r>
              <w:rPr>
                <w:rFonts w:ascii="Times New Roman" w:hAnsi="Times New Roman" w:cs="Times New Roman"/>
                <w:szCs w:val="18"/>
                <w:u w:color="000000"/>
              </w:rPr>
              <w:t>产生源</w:t>
            </w:r>
          </w:p>
        </w:tc>
        <w:tc>
          <w:tcPr>
            <w:tcW w:w="797" w:type="dxa"/>
            <w:vAlign w:val="center"/>
          </w:tcPr>
          <w:p w14:paraId="2A0619B7">
            <w:pPr>
              <w:pStyle w:val="190"/>
              <w:rPr>
                <w:rFonts w:ascii="Times New Roman" w:hAnsi="Times New Roman" w:cs="Times New Roman"/>
                <w:szCs w:val="18"/>
                <w:u w:color="000000"/>
              </w:rPr>
            </w:pPr>
            <w:r>
              <w:rPr>
                <w:rFonts w:ascii="Times New Roman" w:hAnsi="Times New Roman" w:cs="Times New Roman"/>
                <w:szCs w:val="18"/>
                <w:u w:color="000000"/>
              </w:rPr>
              <w:t>污染物</w:t>
            </w:r>
          </w:p>
        </w:tc>
        <w:tc>
          <w:tcPr>
            <w:tcW w:w="850" w:type="dxa"/>
            <w:vAlign w:val="center"/>
          </w:tcPr>
          <w:p w14:paraId="47153B7A">
            <w:pPr>
              <w:pStyle w:val="190"/>
              <w:rPr>
                <w:rFonts w:ascii="Times New Roman" w:hAnsi="Times New Roman" w:cs="Times New Roman"/>
                <w:szCs w:val="18"/>
                <w:u w:color="000000"/>
              </w:rPr>
            </w:pPr>
            <w:r>
              <w:rPr>
                <w:rFonts w:ascii="Times New Roman" w:hAnsi="Times New Roman" w:cs="Times New Roman"/>
                <w:szCs w:val="18"/>
                <w:u w:color="000000"/>
              </w:rPr>
              <w:t>排放气量</w:t>
            </w:r>
          </w:p>
        </w:tc>
        <w:tc>
          <w:tcPr>
            <w:tcW w:w="993" w:type="dxa"/>
            <w:vAlign w:val="center"/>
          </w:tcPr>
          <w:p w14:paraId="1497816D">
            <w:pPr>
              <w:pStyle w:val="190"/>
              <w:rPr>
                <w:rFonts w:ascii="Times New Roman" w:hAnsi="Times New Roman" w:cs="Times New Roman"/>
                <w:szCs w:val="18"/>
                <w:u w:color="000000"/>
              </w:rPr>
            </w:pPr>
            <w:r>
              <w:rPr>
                <w:rFonts w:ascii="Times New Roman" w:hAnsi="Times New Roman" w:cs="Times New Roman"/>
                <w:szCs w:val="18"/>
                <w:u w:color="000000"/>
              </w:rPr>
              <w:t>产生浓度mg/m</w:t>
            </w:r>
            <w:r>
              <w:rPr>
                <w:rFonts w:ascii="Times New Roman" w:hAnsi="Times New Roman" w:cs="Times New Roman"/>
                <w:szCs w:val="18"/>
                <w:u w:color="000000"/>
                <w:vertAlign w:val="superscript"/>
              </w:rPr>
              <w:t>3</w:t>
            </w:r>
          </w:p>
        </w:tc>
        <w:tc>
          <w:tcPr>
            <w:tcW w:w="850" w:type="dxa"/>
            <w:vAlign w:val="center"/>
          </w:tcPr>
          <w:p w14:paraId="134CFEBA">
            <w:pPr>
              <w:pStyle w:val="190"/>
              <w:rPr>
                <w:rFonts w:ascii="Times New Roman" w:hAnsi="Times New Roman" w:cs="Times New Roman"/>
                <w:szCs w:val="18"/>
                <w:u w:color="000000"/>
              </w:rPr>
            </w:pPr>
            <w:r>
              <w:rPr>
                <w:rFonts w:ascii="Times New Roman" w:hAnsi="Times New Roman" w:cs="Times New Roman"/>
                <w:szCs w:val="18"/>
                <w:u w:color="000000"/>
              </w:rPr>
              <w:t>产生速率kg/h</w:t>
            </w:r>
          </w:p>
        </w:tc>
        <w:tc>
          <w:tcPr>
            <w:tcW w:w="851" w:type="dxa"/>
            <w:vAlign w:val="center"/>
          </w:tcPr>
          <w:p w14:paraId="0BD4EE08">
            <w:pPr>
              <w:pStyle w:val="190"/>
              <w:rPr>
                <w:rFonts w:ascii="Times New Roman" w:hAnsi="Times New Roman" w:cs="Times New Roman"/>
                <w:szCs w:val="18"/>
                <w:u w:color="000000"/>
              </w:rPr>
            </w:pPr>
            <w:r>
              <w:rPr>
                <w:rFonts w:ascii="Times New Roman" w:hAnsi="Times New Roman" w:cs="Times New Roman"/>
                <w:szCs w:val="18"/>
                <w:u w:color="000000"/>
              </w:rPr>
              <w:t>产生量t/a</w:t>
            </w:r>
          </w:p>
        </w:tc>
        <w:tc>
          <w:tcPr>
            <w:tcW w:w="1078" w:type="dxa"/>
            <w:vAlign w:val="center"/>
          </w:tcPr>
          <w:p w14:paraId="02BC4ED3">
            <w:pPr>
              <w:pStyle w:val="190"/>
              <w:rPr>
                <w:rFonts w:ascii="Times New Roman" w:hAnsi="Times New Roman" w:cs="Times New Roman"/>
                <w:szCs w:val="18"/>
                <w:u w:color="000000"/>
              </w:rPr>
            </w:pPr>
            <w:r>
              <w:rPr>
                <w:rFonts w:ascii="Times New Roman" w:hAnsi="Times New Roman" w:cs="Times New Roman"/>
                <w:szCs w:val="18"/>
              </w:rPr>
              <w:t>处理措施</w:t>
            </w:r>
          </w:p>
        </w:tc>
        <w:tc>
          <w:tcPr>
            <w:tcW w:w="863" w:type="dxa"/>
            <w:vAlign w:val="center"/>
          </w:tcPr>
          <w:p w14:paraId="0D28A4AF">
            <w:pPr>
              <w:pStyle w:val="190"/>
              <w:rPr>
                <w:rFonts w:ascii="Times New Roman" w:hAnsi="Times New Roman" w:cs="Times New Roman"/>
                <w:szCs w:val="18"/>
                <w:u w:color="000000"/>
              </w:rPr>
            </w:pPr>
            <w:r>
              <w:rPr>
                <w:rFonts w:ascii="Times New Roman" w:hAnsi="Times New Roman" w:cs="Times New Roman"/>
                <w:szCs w:val="18"/>
                <w:u w:color="000000"/>
              </w:rPr>
              <w:t>排放浓度mg/m</w:t>
            </w:r>
            <w:r>
              <w:rPr>
                <w:rFonts w:ascii="Times New Roman" w:hAnsi="Times New Roman" w:cs="Times New Roman"/>
                <w:szCs w:val="18"/>
                <w:u w:color="000000"/>
                <w:vertAlign w:val="superscript"/>
              </w:rPr>
              <w:t>3</w:t>
            </w:r>
          </w:p>
        </w:tc>
        <w:tc>
          <w:tcPr>
            <w:tcW w:w="769" w:type="dxa"/>
            <w:vAlign w:val="center"/>
          </w:tcPr>
          <w:p w14:paraId="6B42919C">
            <w:pPr>
              <w:pStyle w:val="190"/>
              <w:rPr>
                <w:rFonts w:ascii="Times New Roman" w:hAnsi="Times New Roman" w:cs="Times New Roman"/>
                <w:szCs w:val="18"/>
                <w:u w:color="000000"/>
              </w:rPr>
            </w:pPr>
            <w:r>
              <w:rPr>
                <w:rFonts w:ascii="Times New Roman" w:hAnsi="Times New Roman" w:cs="Times New Roman"/>
                <w:szCs w:val="18"/>
                <w:u w:color="000000"/>
              </w:rPr>
              <w:t>排放速率kg/h</w:t>
            </w:r>
          </w:p>
        </w:tc>
        <w:tc>
          <w:tcPr>
            <w:tcW w:w="838" w:type="dxa"/>
            <w:vAlign w:val="center"/>
          </w:tcPr>
          <w:p w14:paraId="73D8FBCE">
            <w:pPr>
              <w:pStyle w:val="190"/>
              <w:rPr>
                <w:rFonts w:ascii="Times New Roman" w:hAnsi="Times New Roman" w:cs="Times New Roman"/>
                <w:szCs w:val="18"/>
                <w:u w:color="000000"/>
              </w:rPr>
            </w:pPr>
            <w:r>
              <w:rPr>
                <w:rFonts w:ascii="Times New Roman" w:hAnsi="Times New Roman" w:cs="Times New Roman"/>
                <w:szCs w:val="18"/>
                <w:u w:color="000000"/>
              </w:rPr>
              <w:t>排放量t/a</w:t>
            </w:r>
          </w:p>
        </w:tc>
      </w:tr>
      <w:tr w14:paraId="39C7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dxa"/>
            <w:vMerge w:val="restart"/>
            <w:vAlign w:val="center"/>
          </w:tcPr>
          <w:p w14:paraId="669100BA">
            <w:pPr>
              <w:pStyle w:val="190"/>
              <w:rPr>
                <w:rFonts w:ascii="Times New Roman" w:hAnsi="Times New Roman" w:cs="Times New Roman"/>
                <w:szCs w:val="18"/>
                <w:u w:color="000000"/>
              </w:rPr>
            </w:pPr>
            <w:r>
              <w:rPr>
                <w:rFonts w:ascii="Times New Roman" w:hAnsi="Times New Roman" w:cs="Times New Roman"/>
                <w:u w:color="000000"/>
              </w:rPr>
              <w:t>硫回收</w:t>
            </w:r>
          </w:p>
        </w:tc>
        <w:tc>
          <w:tcPr>
            <w:tcW w:w="797" w:type="dxa"/>
            <w:vAlign w:val="center"/>
          </w:tcPr>
          <w:p w14:paraId="63D5C206">
            <w:pPr>
              <w:pStyle w:val="190"/>
              <w:rPr>
                <w:rFonts w:ascii="Times New Roman" w:hAnsi="Times New Roman" w:cs="Times New Roman"/>
                <w:szCs w:val="18"/>
                <w:u w:color="000000"/>
              </w:rPr>
            </w:pPr>
            <w:r>
              <w:rPr>
                <w:rFonts w:ascii="Times New Roman" w:hAnsi="Times New Roman" w:cs="Times New Roman"/>
                <w:szCs w:val="18"/>
                <w:u w:color="000000"/>
              </w:rPr>
              <w:t>SO</w:t>
            </w:r>
            <w:r>
              <w:rPr>
                <w:rFonts w:ascii="Times New Roman" w:hAnsi="Times New Roman" w:cs="Times New Roman"/>
                <w:szCs w:val="18"/>
                <w:u w:color="000000"/>
                <w:vertAlign w:val="subscript"/>
              </w:rPr>
              <w:t>2</w:t>
            </w:r>
          </w:p>
        </w:tc>
        <w:tc>
          <w:tcPr>
            <w:tcW w:w="850" w:type="dxa"/>
            <w:vMerge w:val="restart"/>
            <w:vAlign w:val="center"/>
          </w:tcPr>
          <w:p w14:paraId="1A8153F2">
            <w:pPr>
              <w:pStyle w:val="190"/>
              <w:rPr>
                <w:rFonts w:ascii="Times New Roman" w:hAnsi="Times New Roman" w:cs="Times New Roman"/>
              </w:rPr>
            </w:pPr>
            <w:r>
              <w:rPr>
                <w:rFonts w:ascii="Times New Roman" w:hAnsi="Times New Roman" w:cs="Times New Roman"/>
              </w:rPr>
              <w:t>15000</w:t>
            </w:r>
          </w:p>
          <w:p w14:paraId="6E7E36BD">
            <w:pPr>
              <w:pStyle w:val="190"/>
              <w:rPr>
                <w:rFonts w:ascii="Times New Roman" w:hAnsi="Times New Roman" w:cs="Times New Roman"/>
                <w:szCs w:val="18"/>
                <w:u w:color="000000"/>
              </w:rPr>
            </w:pP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/h</w:t>
            </w:r>
          </w:p>
        </w:tc>
        <w:tc>
          <w:tcPr>
            <w:tcW w:w="993" w:type="dxa"/>
            <w:vAlign w:val="center"/>
          </w:tcPr>
          <w:p w14:paraId="7B06E9F7">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916.36 </w:t>
            </w:r>
          </w:p>
        </w:tc>
        <w:tc>
          <w:tcPr>
            <w:tcW w:w="850" w:type="dxa"/>
            <w:vAlign w:val="center"/>
          </w:tcPr>
          <w:p w14:paraId="534AABEE">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10.08</w:t>
            </w:r>
          </w:p>
        </w:tc>
        <w:tc>
          <w:tcPr>
            <w:tcW w:w="851" w:type="dxa"/>
            <w:vAlign w:val="center"/>
          </w:tcPr>
          <w:p w14:paraId="72B2A565">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80.64</w:t>
            </w:r>
          </w:p>
        </w:tc>
        <w:tc>
          <w:tcPr>
            <w:tcW w:w="1078" w:type="dxa"/>
            <w:vMerge w:val="restart"/>
            <w:vAlign w:val="center"/>
          </w:tcPr>
          <w:p w14:paraId="4A800F06">
            <w:pPr>
              <w:pStyle w:val="190"/>
              <w:rPr>
                <w:rFonts w:ascii="Times New Roman" w:hAnsi="Times New Roman" w:cs="Times New Roman"/>
                <w:szCs w:val="18"/>
                <w:u w:color="000000"/>
              </w:rPr>
            </w:pPr>
            <w:r>
              <w:rPr>
                <w:rFonts w:ascii="Times New Roman" w:hAnsi="Times New Roman" w:eastAsia="等线" w:cs="Times New Roman"/>
                <w:color w:val="000000"/>
                <w:szCs w:val="18"/>
              </w:rPr>
              <w:t>SCR+</w:t>
            </w:r>
            <w:r>
              <w:rPr>
                <w:rFonts w:ascii="Times New Roman" w:hAnsi="Times New Roman" w:cs="Times New Roman"/>
                <w:color w:val="000000"/>
                <w:szCs w:val="18"/>
              </w:rPr>
              <w:t>酸雾捕集器</w:t>
            </w:r>
            <w:r>
              <w:rPr>
                <w:rFonts w:ascii="Times New Roman" w:hAnsi="Times New Roman" w:eastAsia="等线" w:cs="Times New Roman"/>
                <w:color w:val="000000"/>
                <w:szCs w:val="18"/>
              </w:rPr>
              <w:t>+</w:t>
            </w:r>
            <w:r>
              <w:rPr>
                <w:rFonts w:ascii="Times New Roman" w:hAnsi="Times New Roman" w:cs="Times New Roman"/>
                <w:color w:val="000000"/>
                <w:szCs w:val="18"/>
              </w:rPr>
              <w:t>水洗</w:t>
            </w:r>
            <w:r>
              <w:rPr>
                <w:rFonts w:ascii="Times New Roman" w:hAnsi="Times New Roman" w:eastAsia="等线" w:cs="Times New Roman"/>
                <w:color w:val="000000"/>
                <w:szCs w:val="18"/>
              </w:rPr>
              <w:t>+</w:t>
            </w:r>
            <w:r>
              <w:rPr>
                <w:rFonts w:ascii="Times New Roman" w:hAnsi="Times New Roman" w:cs="Times New Roman"/>
                <w:color w:val="000000"/>
                <w:szCs w:val="18"/>
              </w:rPr>
              <w:t>氨洗</w:t>
            </w:r>
          </w:p>
        </w:tc>
        <w:tc>
          <w:tcPr>
            <w:tcW w:w="863" w:type="dxa"/>
            <w:vAlign w:val="center"/>
          </w:tcPr>
          <w:p w14:paraId="2DCD326C">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183.27 </w:t>
            </w:r>
          </w:p>
        </w:tc>
        <w:tc>
          <w:tcPr>
            <w:tcW w:w="769" w:type="dxa"/>
            <w:vAlign w:val="center"/>
          </w:tcPr>
          <w:p w14:paraId="34141986">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2.02 </w:t>
            </w:r>
          </w:p>
        </w:tc>
        <w:tc>
          <w:tcPr>
            <w:tcW w:w="838" w:type="dxa"/>
            <w:vAlign w:val="center"/>
          </w:tcPr>
          <w:p w14:paraId="0223FDAE">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16.13 </w:t>
            </w:r>
          </w:p>
        </w:tc>
      </w:tr>
      <w:tr w14:paraId="3C96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dxa"/>
            <w:vMerge w:val="continue"/>
            <w:vAlign w:val="center"/>
          </w:tcPr>
          <w:p w14:paraId="3A7B3DD5">
            <w:pPr>
              <w:pStyle w:val="190"/>
              <w:rPr>
                <w:rFonts w:ascii="Times New Roman" w:hAnsi="Times New Roman" w:cs="Times New Roman"/>
                <w:szCs w:val="18"/>
                <w:u w:color="000000"/>
              </w:rPr>
            </w:pPr>
          </w:p>
        </w:tc>
        <w:tc>
          <w:tcPr>
            <w:tcW w:w="797" w:type="dxa"/>
            <w:vAlign w:val="center"/>
          </w:tcPr>
          <w:p w14:paraId="24FFDC63">
            <w:pPr>
              <w:pStyle w:val="190"/>
              <w:rPr>
                <w:rFonts w:ascii="Times New Roman" w:hAnsi="Times New Roman" w:cs="Times New Roman"/>
                <w:szCs w:val="18"/>
                <w:u w:color="000000"/>
              </w:rPr>
            </w:pPr>
            <w:r>
              <w:rPr>
                <w:rFonts w:ascii="Times New Roman" w:hAnsi="Times New Roman" w:cs="Times New Roman"/>
                <w:szCs w:val="18"/>
                <w:u w:color="000000"/>
              </w:rPr>
              <w:t>硫酸雾</w:t>
            </w:r>
          </w:p>
        </w:tc>
        <w:tc>
          <w:tcPr>
            <w:tcW w:w="850" w:type="dxa"/>
            <w:vMerge w:val="continue"/>
            <w:vAlign w:val="center"/>
          </w:tcPr>
          <w:p w14:paraId="06B68ACD">
            <w:pPr>
              <w:pStyle w:val="190"/>
              <w:rPr>
                <w:rFonts w:ascii="Times New Roman" w:hAnsi="Times New Roman" w:cs="Times New Roman"/>
                <w:szCs w:val="18"/>
                <w:u w:color="000000"/>
              </w:rPr>
            </w:pPr>
          </w:p>
        </w:tc>
        <w:tc>
          <w:tcPr>
            <w:tcW w:w="993" w:type="dxa"/>
            <w:vAlign w:val="center"/>
          </w:tcPr>
          <w:p w14:paraId="23F77CDE">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870</w:t>
            </w:r>
          </w:p>
        </w:tc>
        <w:tc>
          <w:tcPr>
            <w:tcW w:w="850" w:type="dxa"/>
            <w:vAlign w:val="center"/>
          </w:tcPr>
          <w:p w14:paraId="687E126F">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9.57</w:t>
            </w:r>
          </w:p>
        </w:tc>
        <w:tc>
          <w:tcPr>
            <w:tcW w:w="851" w:type="dxa"/>
            <w:vAlign w:val="center"/>
          </w:tcPr>
          <w:p w14:paraId="47961898">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76.56</w:t>
            </w:r>
          </w:p>
        </w:tc>
        <w:tc>
          <w:tcPr>
            <w:tcW w:w="1078" w:type="dxa"/>
            <w:vMerge w:val="continue"/>
            <w:vAlign w:val="center"/>
          </w:tcPr>
          <w:p w14:paraId="643A6B1D">
            <w:pPr>
              <w:pStyle w:val="190"/>
              <w:rPr>
                <w:rFonts w:ascii="Times New Roman" w:hAnsi="Times New Roman" w:cs="Times New Roman"/>
                <w:szCs w:val="18"/>
                <w:u w:color="000000"/>
              </w:rPr>
            </w:pPr>
          </w:p>
        </w:tc>
        <w:tc>
          <w:tcPr>
            <w:tcW w:w="863" w:type="dxa"/>
            <w:vAlign w:val="center"/>
          </w:tcPr>
          <w:p w14:paraId="302C26F4">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26.1</w:t>
            </w:r>
          </w:p>
        </w:tc>
        <w:tc>
          <w:tcPr>
            <w:tcW w:w="769" w:type="dxa"/>
            <w:vAlign w:val="center"/>
          </w:tcPr>
          <w:p w14:paraId="28DF3C4D">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0.29 </w:t>
            </w:r>
          </w:p>
        </w:tc>
        <w:tc>
          <w:tcPr>
            <w:tcW w:w="838" w:type="dxa"/>
            <w:vAlign w:val="center"/>
          </w:tcPr>
          <w:p w14:paraId="171931C3">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 xml:space="preserve">2.30 </w:t>
            </w:r>
          </w:p>
        </w:tc>
      </w:tr>
      <w:tr w14:paraId="62AB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dxa"/>
            <w:vMerge w:val="continue"/>
            <w:vAlign w:val="center"/>
          </w:tcPr>
          <w:p w14:paraId="003E6859">
            <w:pPr>
              <w:pStyle w:val="190"/>
              <w:rPr>
                <w:rFonts w:ascii="Times New Roman" w:hAnsi="Times New Roman" w:cs="Times New Roman"/>
                <w:szCs w:val="18"/>
                <w:u w:color="000000"/>
              </w:rPr>
            </w:pPr>
          </w:p>
        </w:tc>
        <w:tc>
          <w:tcPr>
            <w:tcW w:w="797" w:type="dxa"/>
            <w:vAlign w:val="center"/>
          </w:tcPr>
          <w:p w14:paraId="7535CFEF">
            <w:pPr>
              <w:pStyle w:val="190"/>
              <w:rPr>
                <w:rFonts w:ascii="Times New Roman" w:hAnsi="Times New Roman" w:cs="Times New Roman"/>
                <w:szCs w:val="18"/>
                <w:u w:color="000000"/>
              </w:rPr>
            </w:pPr>
            <w:r>
              <w:rPr>
                <w:rFonts w:ascii="Times New Roman" w:hAnsi="Times New Roman" w:cs="Times New Roman"/>
                <w:szCs w:val="18"/>
                <w:u w:color="000000"/>
              </w:rPr>
              <w:t>NOx</w:t>
            </w:r>
          </w:p>
        </w:tc>
        <w:tc>
          <w:tcPr>
            <w:tcW w:w="850" w:type="dxa"/>
            <w:vMerge w:val="continue"/>
            <w:vAlign w:val="center"/>
          </w:tcPr>
          <w:p w14:paraId="2C76E71B">
            <w:pPr>
              <w:pStyle w:val="190"/>
              <w:rPr>
                <w:rFonts w:ascii="Times New Roman" w:hAnsi="Times New Roman" w:cs="Times New Roman"/>
                <w:szCs w:val="18"/>
                <w:u w:color="000000"/>
              </w:rPr>
            </w:pPr>
          </w:p>
        </w:tc>
        <w:tc>
          <w:tcPr>
            <w:tcW w:w="993" w:type="dxa"/>
            <w:vAlign w:val="center"/>
          </w:tcPr>
          <w:p w14:paraId="688CD298">
            <w:pPr>
              <w:jc w:val="center"/>
              <w:textAlignment w:val="center"/>
              <w:rPr>
                <w:rFonts w:ascii="Times New Roman" w:hAnsi="Times New Roman" w:cs="Times New Roman"/>
                <w:sz w:val="18"/>
                <w:szCs w:val="18"/>
              </w:rPr>
            </w:pPr>
            <w:r>
              <w:rPr>
                <w:rFonts w:ascii="Times New Roman" w:hAnsi="Times New Roman" w:cs="Times New Roman"/>
                <w:color w:val="000000"/>
                <w:sz w:val="18"/>
                <w:szCs w:val="18"/>
              </w:rPr>
              <w:t xml:space="preserve">545.45 </w:t>
            </w:r>
          </w:p>
        </w:tc>
        <w:tc>
          <w:tcPr>
            <w:tcW w:w="850" w:type="dxa"/>
            <w:vAlign w:val="center"/>
          </w:tcPr>
          <w:p w14:paraId="7D77FE9C">
            <w:pPr>
              <w:jc w:val="center"/>
              <w:textAlignment w:val="center"/>
              <w:rPr>
                <w:rFonts w:ascii="Times New Roman" w:hAnsi="Times New Roman" w:cs="Times New Roman"/>
                <w:sz w:val="18"/>
                <w:szCs w:val="18"/>
              </w:rPr>
            </w:pPr>
            <w:r>
              <w:rPr>
                <w:rFonts w:ascii="Times New Roman" w:hAnsi="Times New Roman" w:cs="Times New Roman"/>
                <w:color w:val="000000"/>
                <w:sz w:val="18"/>
                <w:szCs w:val="18"/>
              </w:rPr>
              <w:t>6</w:t>
            </w:r>
          </w:p>
        </w:tc>
        <w:tc>
          <w:tcPr>
            <w:tcW w:w="851" w:type="dxa"/>
            <w:vAlign w:val="center"/>
          </w:tcPr>
          <w:p w14:paraId="7F6FAE5D">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48</w:t>
            </w:r>
          </w:p>
        </w:tc>
        <w:tc>
          <w:tcPr>
            <w:tcW w:w="1078" w:type="dxa"/>
            <w:vMerge w:val="continue"/>
            <w:vAlign w:val="center"/>
          </w:tcPr>
          <w:p w14:paraId="7A812430">
            <w:pPr>
              <w:pStyle w:val="190"/>
              <w:rPr>
                <w:rFonts w:ascii="Times New Roman" w:hAnsi="Times New Roman" w:cs="Times New Roman"/>
                <w:szCs w:val="18"/>
                <w:u w:color="000000"/>
              </w:rPr>
            </w:pPr>
          </w:p>
        </w:tc>
        <w:tc>
          <w:tcPr>
            <w:tcW w:w="863" w:type="dxa"/>
            <w:vAlign w:val="center"/>
          </w:tcPr>
          <w:p w14:paraId="47562FC3">
            <w:pPr>
              <w:jc w:val="center"/>
              <w:textAlignment w:val="center"/>
              <w:rPr>
                <w:rFonts w:ascii="Times New Roman" w:hAnsi="Times New Roman" w:cs="Times New Roman"/>
                <w:sz w:val="18"/>
                <w:szCs w:val="18"/>
              </w:rPr>
            </w:pPr>
            <w:r>
              <w:rPr>
                <w:rFonts w:ascii="Times New Roman" w:hAnsi="Times New Roman" w:cs="Times New Roman"/>
                <w:color w:val="000000"/>
                <w:sz w:val="18"/>
                <w:szCs w:val="18"/>
              </w:rPr>
              <w:t xml:space="preserve">136.36 </w:t>
            </w:r>
          </w:p>
        </w:tc>
        <w:tc>
          <w:tcPr>
            <w:tcW w:w="769" w:type="dxa"/>
            <w:vAlign w:val="center"/>
          </w:tcPr>
          <w:p w14:paraId="50731C16">
            <w:pPr>
              <w:jc w:val="center"/>
              <w:textAlignment w:val="center"/>
              <w:rPr>
                <w:rFonts w:ascii="Times New Roman" w:hAnsi="Times New Roman" w:cs="Times New Roman"/>
                <w:sz w:val="18"/>
                <w:szCs w:val="18"/>
              </w:rPr>
            </w:pPr>
            <w:r>
              <w:rPr>
                <w:rFonts w:ascii="Times New Roman" w:hAnsi="Times New Roman" w:cs="Times New Roman"/>
                <w:color w:val="000000"/>
                <w:sz w:val="18"/>
                <w:szCs w:val="18"/>
              </w:rPr>
              <w:t>1.5</w:t>
            </w:r>
          </w:p>
        </w:tc>
        <w:tc>
          <w:tcPr>
            <w:tcW w:w="838" w:type="dxa"/>
            <w:vAlign w:val="center"/>
          </w:tcPr>
          <w:p w14:paraId="6B09666F">
            <w:pPr>
              <w:jc w:val="center"/>
              <w:textAlignment w:val="center"/>
              <w:rPr>
                <w:rFonts w:ascii="Times New Roman" w:hAnsi="Times New Roman" w:cs="Times New Roman"/>
                <w:szCs w:val="18"/>
                <w:u w:color="000000"/>
              </w:rPr>
            </w:pPr>
            <w:r>
              <w:rPr>
                <w:rFonts w:ascii="Times New Roman" w:hAnsi="Times New Roman" w:cs="Times New Roman"/>
                <w:color w:val="000000"/>
                <w:sz w:val="18"/>
                <w:szCs w:val="18"/>
              </w:rPr>
              <w:t>12</w:t>
            </w:r>
          </w:p>
        </w:tc>
      </w:tr>
    </w:tbl>
    <w:p w14:paraId="6E1ECE1E">
      <w:pPr>
        <w:pStyle w:val="281"/>
        <w:ind w:firstLine="480"/>
        <w:rPr>
          <w:szCs w:val="24"/>
          <w:u w:color="000000"/>
        </w:rPr>
      </w:pPr>
      <w:bookmarkStart w:id="158" w:name="_Hlk177900850"/>
      <w:r>
        <w:rPr>
          <w:rFonts w:hint="eastAsia" w:ascii="宋体" w:hAnsi="宋体"/>
        </w:rPr>
        <w:t>②</w:t>
      </w:r>
      <w:r>
        <w:rPr>
          <w:rFonts w:hint="eastAsia"/>
          <w:u w:color="000000"/>
        </w:rPr>
        <w:t>无组织排放废气</w:t>
      </w:r>
      <w:r>
        <w:rPr>
          <w:szCs w:val="24"/>
          <w:u w:color="000000"/>
        </w:rPr>
        <w:t>（G</w:t>
      </w:r>
      <w:r>
        <w:rPr>
          <w:szCs w:val="24"/>
          <w:u w:color="000000"/>
          <w:vertAlign w:val="subscript"/>
        </w:rPr>
        <w:t>2-</w:t>
      </w:r>
      <w:r>
        <w:rPr>
          <w:rFonts w:hint="eastAsia"/>
          <w:szCs w:val="24"/>
          <w:u w:color="000000"/>
          <w:vertAlign w:val="subscript"/>
        </w:rPr>
        <w:t>7</w:t>
      </w:r>
      <w:r>
        <w:rPr>
          <w:szCs w:val="24"/>
          <w:u w:color="000000"/>
        </w:rPr>
        <w:t>）</w:t>
      </w:r>
    </w:p>
    <w:p w14:paraId="2ED64465">
      <w:pPr>
        <w:pStyle w:val="281"/>
        <w:ind w:firstLine="480"/>
      </w:pPr>
      <w:r>
        <w:rPr>
          <w:rFonts w:hint="eastAsia"/>
        </w:rPr>
        <w:t>硫回收单元设备动静密封点无组织排放</w:t>
      </w:r>
      <w:r>
        <w:rPr>
          <w:bCs/>
        </w:rPr>
        <w:t>挥发性有机物</w:t>
      </w:r>
      <w:r>
        <w:rPr>
          <w:rFonts w:hint="eastAsia"/>
        </w:rPr>
        <w:t>依据《污染源源强核算技术指南 化肥工业（HJ994-2018）》</w:t>
      </w:r>
      <w:r>
        <w:rPr>
          <w:rFonts w:hint="eastAsia" w:ascii="宋体" w:hAnsi="宋体"/>
          <w:bCs/>
        </w:rPr>
        <w:t>设备与管线组件密封点泄漏挥发性有机物排放量计算方法</w:t>
      </w:r>
      <w:r>
        <w:rPr>
          <w:rFonts w:hint="eastAsia"/>
        </w:rPr>
        <w:t>。硫回收单元挥发性有机物</w:t>
      </w:r>
      <w:r>
        <w:rPr>
          <w:rFonts w:hint="eastAsia"/>
          <w:u w:color="000000"/>
        </w:rPr>
        <w:t>无组织排放</w:t>
      </w:r>
      <w:r>
        <w:rPr>
          <w:rFonts w:hint="eastAsia" w:ascii="宋体" w:hAnsi="宋体"/>
          <w:bCs/>
        </w:rPr>
        <w:t>计算结果见</w:t>
      </w:r>
      <w:r>
        <w:rPr>
          <w:rFonts w:hint="eastAsia"/>
        </w:rPr>
        <w:t>表3.2.3-39。</w:t>
      </w:r>
    </w:p>
    <w:p w14:paraId="6D0A94F4">
      <w:pPr>
        <w:pStyle w:val="541"/>
        <w:rPr>
          <w:rFonts w:hint="eastAsia"/>
          <w:u w:color="000000"/>
        </w:rPr>
      </w:pPr>
      <w:r>
        <w:rPr>
          <w:rFonts w:hint="eastAsia"/>
        </w:rPr>
        <w:t>表3.2.3-39</w:t>
      </w:r>
      <w:r>
        <w:rPr>
          <w:u w:color="000000"/>
        </w:rPr>
        <w:t xml:space="preserve"> </w:t>
      </w:r>
      <w:r>
        <w:rPr>
          <w:rFonts w:hint="eastAsia"/>
          <w:u w:color="000000"/>
        </w:rPr>
        <w:t xml:space="preserve"> </w:t>
      </w:r>
      <w:r>
        <w:rPr>
          <w:u w:color="000000"/>
        </w:rPr>
        <w:t xml:space="preserve"> </w:t>
      </w:r>
      <w:r>
        <w:rPr>
          <w:rFonts w:hint="eastAsia"/>
          <w:u w:color="000000"/>
        </w:rPr>
        <w:t xml:space="preserve"> </w:t>
      </w:r>
      <w:r>
        <w:rPr>
          <w:rFonts w:hint="eastAsia"/>
        </w:rPr>
        <w:t>硫回收单元</w:t>
      </w:r>
      <w:r>
        <w:rPr>
          <w:rFonts w:hint="eastAsia"/>
          <w:u w:color="000000"/>
        </w:rPr>
        <w:t>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096"/>
        <w:gridCol w:w="1026"/>
        <w:gridCol w:w="1257"/>
        <w:gridCol w:w="1066"/>
      </w:tblGrid>
      <w:tr w14:paraId="3CD4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noWrap/>
            <w:vAlign w:val="center"/>
          </w:tcPr>
          <w:p w14:paraId="4A0152AB">
            <w:pPr>
              <w:pStyle w:val="557"/>
            </w:pPr>
            <w:r>
              <w:t>设备类型</w:t>
            </w:r>
          </w:p>
        </w:tc>
        <w:tc>
          <w:tcPr>
            <w:tcW w:w="1559" w:type="dxa"/>
            <w:noWrap/>
            <w:vAlign w:val="center"/>
          </w:tcPr>
          <w:p w14:paraId="2FCD580B">
            <w:pPr>
              <w:pStyle w:val="557"/>
            </w:pPr>
            <w:r>
              <w:t>排放系数e</w:t>
            </w:r>
            <w:r>
              <w:rPr>
                <w:vertAlign w:val="subscript"/>
              </w:rPr>
              <w:t>TOC,i</w:t>
            </w:r>
          </w:p>
        </w:tc>
        <w:tc>
          <w:tcPr>
            <w:tcW w:w="1096" w:type="dxa"/>
            <w:noWrap/>
            <w:vAlign w:val="center"/>
          </w:tcPr>
          <w:p w14:paraId="73B76360">
            <w:pPr>
              <w:pStyle w:val="557"/>
            </w:pPr>
            <w:r>
              <w:t>个数</w:t>
            </w:r>
          </w:p>
        </w:tc>
        <w:tc>
          <w:tcPr>
            <w:tcW w:w="0" w:type="auto"/>
            <w:noWrap/>
            <w:vAlign w:val="center"/>
          </w:tcPr>
          <w:p w14:paraId="5D6C61B8">
            <w:pPr>
              <w:pStyle w:val="557"/>
            </w:pPr>
            <w:r>
              <w:t>排放时间h</w:t>
            </w:r>
          </w:p>
        </w:tc>
        <w:tc>
          <w:tcPr>
            <w:tcW w:w="0" w:type="auto"/>
            <w:noWrap/>
            <w:vAlign w:val="center"/>
          </w:tcPr>
          <w:p w14:paraId="21EDB5D3">
            <w:pPr>
              <w:pStyle w:val="557"/>
            </w:pPr>
            <w:r>
              <w:t>排放速率kg/h</w:t>
            </w:r>
          </w:p>
        </w:tc>
        <w:tc>
          <w:tcPr>
            <w:tcW w:w="0" w:type="auto"/>
            <w:noWrap/>
            <w:vAlign w:val="center"/>
          </w:tcPr>
          <w:p w14:paraId="37651B4C">
            <w:pPr>
              <w:pStyle w:val="557"/>
            </w:pPr>
            <w:r>
              <w:t>排放量kg/a</w:t>
            </w:r>
          </w:p>
        </w:tc>
      </w:tr>
      <w:tr w14:paraId="11C6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51EA04DE">
            <w:pPr>
              <w:pStyle w:val="557"/>
            </w:pPr>
            <w:r>
              <w:t>连接件</w:t>
            </w:r>
          </w:p>
        </w:tc>
        <w:tc>
          <w:tcPr>
            <w:tcW w:w="1559" w:type="dxa"/>
            <w:noWrap/>
            <w:vAlign w:val="center"/>
          </w:tcPr>
          <w:p w14:paraId="19C98959">
            <w:pPr>
              <w:jc w:val="center"/>
              <w:textAlignment w:val="center"/>
              <w:rPr>
                <w:rFonts w:hint="eastAsia"/>
              </w:rPr>
            </w:pPr>
            <w:r>
              <w:rPr>
                <w:rFonts w:ascii="Times New Roman" w:hAnsi="Times New Roman" w:cs="Times New Roman"/>
                <w:color w:val="000000"/>
                <w:sz w:val="18"/>
                <w:szCs w:val="18"/>
              </w:rPr>
              <w:t>0.028</w:t>
            </w:r>
          </w:p>
        </w:tc>
        <w:tc>
          <w:tcPr>
            <w:tcW w:w="1096" w:type="dxa"/>
            <w:noWrap/>
            <w:vAlign w:val="center"/>
          </w:tcPr>
          <w:p w14:paraId="63A6E6DC">
            <w:pPr>
              <w:jc w:val="center"/>
              <w:textAlignment w:val="center"/>
              <w:rPr>
                <w:rFonts w:hint="eastAsia"/>
              </w:rPr>
            </w:pPr>
            <w:r>
              <w:rPr>
                <w:rFonts w:ascii="Times New Roman" w:hAnsi="Times New Roman" w:cs="Times New Roman"/>
                <w:color w:val="000000"/>
                <w:sz w:val="18"/>
                <w:szCs w:val="18"/>
              </w:rPr>
              <w:t>1000</w:t>
            </w:r>
          </w:p>
        </w:tc>
        <w:tc>
          <w:tcPr>
            <w:tcW w:w="1026" w:type="dxa"/>
            <w:noWrap/>
            <w:vAlign w:val="center"/>
          </w:tcPr>
          <w:p w14:paraId="14F3635C">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5837874E">
            <w:pPr>
              <w:jc w:val="center"/>
              <w:textAlignment w:val="center"/>
              <w:rPr>
                <w:rFonts w:hint="eastAsia"/>
              </w:rPr>
            </w:pPr>
            <w:r>
              <w:rPr>
                <w:rFonts w:ascii="Times New Roman" w:hAnsi="Times New Roman" w:cs="Times New Roman"/>
                <w:color w:val="000000"/>
                <w:sz w:val="18"/>
                <w:szCs w:val="18"/>
              </w:rPr>
              <w:t>28</w:t>
            </w:r>
          </w:p>
        </w:tc>
        <w:tc>
          <w:tcPr>
            <w:tcW w:w="1066" w:type="dxa"/>
            <w:noWrap/>
            <w:vAlign w:val="center"/>
          </w:tcPr>
          <w:p w14:paraId="654E8EBB">
            <w:pPr>
              <w:jc w:val="center"/>
              <w:textAlignment w:val="center"/>
              <w:rPr>
                <w:rFonts w:hint="eastAsia"/>
              </w:rPr>
            </w:pPr>
            <w:r>
              <w:rPr>
                <w:rFonts w:ascii="Times New Roman" w:hAnsi="Times New Roman" w:cs="Times New Roman"/>
                <w:color w:val="000000"/>
                <w:sz w:val="18"/>
                <w:szCs w:val="18"/>
              </w:rPr>
              <w:t>224000</w:t>
            </w:r>
          </w:p>
        </w:tc>
      </w:tr>
      <w:tr w14:paraId="12C4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695539D">
            <w:pPr>
              <w:pStyle w:val="557"/>
            </w:pPr>
            <w:r>
              <w:t>开口阀或开口管线</w:t>
            </w:r>
          </w:p>
        </w:tc>
        <w:tc>
          <w:tcPr>
            <w:tcW w:w="1559" w:type="dxa"/>
            <w:noWrap/>
            <w:vAlign w:val="center"/>
          </w:tcPr>
          <w:p w14:paraId="29B55C0B">
            <w:pPr>
              <w:jc w:val="center"/>
              <w:textAlignment w:val="center"/>
              <w:rPr>
                <w:rFonts w:hint="eastAsia"/>
              </w:rPr>
            </w:pPr>
            <w:r>
              <w:rPr>
                <w:rFonts w:ascii="Times New Roman" w:hAnsi="Times New Roman" w:cs="Times New Roman"/>
                <w:color w:val="000000"/>
                <w:sz w:val="18"/>
                <w:szCs w:val="18"/>
              </w:rPr>
              <w:t>0.03</w:t>
            </w:r>
          </w:p>
        </w:tc>
        <w:tc>
          <w:tcPr>
            <w:tcW w:w="1096" w:type="dxa"/>
            <w:noWrap/>
            <w:vAlign w:val="center"/>
          </w:tcPr>
          <w:p w14:paraId="2D98D9B4">
            <w:pPr>
              <w:jc w:val="center"/>
              <w:textAlignment w:val="center"/>
              <w:rPr>
                <w:rFonts w:hint="eastAsia"/>
              </w:rPr>
            </w:pPr>
            <w:r>
              <w:rPr>
                <w:rFonts w:ascii="Times New Roman" w:hAnsi="Times New Roman" w:cs="Times New Roman"/>
                <w:color w:val="000000"/>
                <w:sz w:val="18"/>
                <w:szCs w:val="18"/>
              </w:rPr>
              <w:t>10</w:t>
            </w:r>
          </w:p>
        </w:tc>
        <w:tc>
          <w:tcPr>
            <w:tcW w:w="1026" w:type="dxa"/>
            <w:noWrap/>
            <w:vAlign w:val="center"/>
          </w:tcPr>
          <w:p w14:paraId="5BE4A1B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6D1C9C5B">
            <w:pPr>
              <w:jc w:val="center"/>
              <w:textAlignment w:val="center"/>
              <w:rPr>
                <w:rFonts w:hint="eastAsia"/>
              </w:rPr>
            </w:pPr>
            <w:r>
              <w:rPr>
                <w:rFonts w:ascii="Times New Roman" w:hAnsi="Times New Roman" w:cs="Times New Roman"/>
                <w:color w:val="000000"/>
                <w:sz w:val="18"/>
                <w:szCs w:val="18"/>
              </w:rPr>
              <w:t>0.3</w:t>
            </w:r>
          </w:p>
        </w:tc>
        <w:tc>
          <w:tcPr>
            <w:tcW w:w="1066" w:type="dxa"/>
            <w:noWrap/>
            <w:vAlign w:val="center"/>
          </w:tcPr>
          <w:p w14:paraId="7DA735B5">
            <w:pPr>
              <w:jc w:val="center"/>
              <w:textAlignment w:val="center"/>
              <w:rPr>
                <w:rFonts w:hint="eastAsia"/>
              </w:rPr>
            </w:pPr>
            <w:r>
              <w:rPr>
                <w:rFonts w:ascii="Times New Roman" w:hAnsi="Times New Roman" w:cs="Times New Roman"/>
                <w:color w:val="000000"/>
                <w:sz w:val="18"/>
                <w:szCs w:val="18"/>
              </w:rPr>
              <w:t>2400</w:t>
            </w:r>
          </w:p>
        </w:tc>
      </w:tr>
      <w:tr w14:paraId="5977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1EDF295">
            <w:pPr>
              <w:pStyle w:val="557"/>
            </w:pPr>
            <w:r>
              <w:t>阀门</w:t>
            </w:r>
          </w:p>
        </w:tc>
        <w:tc>
          <w:tcPr>
            <w:tcW w:w="1559" w:type="dxa"/>
            <w:noWrap/>
            <w:vAlign w:val="center"/>
          </w:tcPr>
          <w:p w14:paraId="707FFE6A">
            <w:pPr>
              <w:jc w:val="center"/>
              <w:textAlignment w:val="center"/>
              <w:rPr>
                <w:rFonts w:hint="eastAsia"/>
              </w:rPr>
            </w:pPr>
            <w:r>
              <w:rPr>
                <w:rFonts w:ascii="Times New Roman" w:hAnsi="Times New Roman" w:cs="Times New Roman"/>
                <w:color w:val="000000"/>
                <w:sz w:val="18"/>
                <w:szCs w:val="18"/>
              </w:rPr>
              <w:t>0.064</w:t>
            </w:r>
          </w:p>
        </w:tc>
        <w:tc>
          <w:tcPr>
            <w:tcW w:w="1096" w:type="dxa"/>
            <w:noWrap/>
            <w:vAlign w:val="center"/>
          </w:tcPr>
          <w:p w14:paraId="795022DD">
            <w:pPr>
              <w:jc w:val="center"/>
              <w:textAlignment w:val="center"/>
              <w:rPr>
                <w:rFonts w:hint="eastAsia"/>
              </w:rPr>
            </w:pPr>
            <w:r>
              <w:rPr>
                <w:rFonts w:ascii="Times New Roman" w:hAnsi="Times New Roman" w:cs="Times New Roman"/>
                <w:color w:val="000000"/>
                <w:sz w:val="18"/>
                <w:szCs w:val="18"/>
              </w:rPr>
              <w:t>100</w:t>
            </w:r>
          </w:p>
        </w:tc>
        <w:tc>
          <w:tcPr>
            <w:tcW w:w="1026" w:type="dxa"/>
            <w:noWrap/>
            <w:vAlign w:val="center"/>
          </w:tcPr>
          <w:p w14:paraId="125669F4">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82B7E40">
            <w:pPr>
              <w:jc w:val="center"/>
              <w:textAlignment w:val="center"/>
              <w:rPr>
                <w:rFonts w:hint="eastAsia"/>
              </w:rPr>
            </w:pPr>
            <w:r>
              <w:rPr>
                <w:rFonts w:ascii="Times New Roman" w:hAnsi="Times New Roman" w:cs="Times New Roman"/>
                <w:color w:val="000000"/>
                <w:sz w:val="18"/>
                <w:szCs w:val="18"/>
              </w:rPr>
              <w:t>6.4</w:t>
            </w:r>
          </w:p>
        </w:tc>
        <w:tc>
          <w:tcPr>
            <w:tcW w:w="1066" w:type="dxa"/>
            <w:noWrap/>
            <w:vAlign w:val="center"/>
          </w:tcPr>
          <w:p w14:paraId="57971119">
            <w:pPr>
              <w:jc w:val="center"/>
              <w:textAlignment w:val="center"/>
              <w:rPr>
                <w:rFonts w:hint="eastAsia"/>
              </w:rPr>
            </w:pPr>
            <w:r>
              <w:rPr>
                <w:rFonts w:ascii="Times New Roman" w:hAnsi="Times New Roman" w:cs="Times New Roman"/>
                <w:color w:val="000000"/>
                <w:sz w:val="18"/>
                <w:szCs w:val="18"/>
              </w:rPr>
              <w:t>51200</w:t>
            </w:r>
          </w:p>
        </w:tc>
      </w:tr>
      <w:tr w14:paraId="38EA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66F0125D">
            <w:pPr>
              <w:pStyle w:val="557"/>
            </w:pPr>
            <w:r>
              <w:t>压缩机、搅拌器、泄压设备</w:t>
            </w:r>
          </w:p>
        </w:tc>
        <w:tc>
          <w:tcPr>
            <w:tcW w:w="1559" w:type="dxa"/>
            <w:noWrap/>
            <w:vAlign w:val="center"/>
          </w:tcPr>
          <w:p w14:paraId="22FD7040">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6FC80164">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66EA57BB">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47348B42">
            <w:pPr>
              <w:jc w:val="center"/>
              <w:textAlignment w:val="center"/>
              <w:rPr>
                <w:rFonts w:hint="eastAsia"/>
              </w:rPr>
            </w:pPr>
            <w:r>
              <w:rPr>
                <w:rFonts w:hint="eastAsia"/>
                <w:color w:val="000000"/>
              </w:rPr>
              <w:t>/</w:t>
            </w:r>
          </w:p>
        </w:tc>
        <w:tc>
          <w:tcPr>
            <w:tcW w:w="1066" w:type="dxa"/>
            <w:noWrap/>
            <w:vAlign w:val="center"/>
          </w:tcPr>
          <w:p w14:paraId="45CF3326">
            <w:pPr>
              <w:jc w:val="center"/>
              <w:textAlignment w:val="center"/>
              <w:rPr>
                <w:rFonts w:hint="eastAsia"/>
              </w:rPr>
            </w:pPr>
            <w:r>
              <w:rPr>
                <w:rFonts w:hint="eastAsia"/>
                <w:color w:val="000000"/>
              </w:rPr>
              <w:t>/</w:t>
            </w:r>
          </w:p>
        </w:tc>
      </w:tr>
      <w:tr w14:paraId="5D89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8E53E14">
            <w:pPr>
              <w:pStyle w:val="557"/>
            </w:pPr>
            <w:r>
              <w:t>泵</w:t>
            </w:r>
          </w:p>
        </w:tc>
        <w:tc>
          <w:tcPr>
            <w:tcW w:w="1559" w:type="dxa"/>
            <w:noWrap/>
            <w:vAlign w:val="center"/>
          </w:tcPr>
          <w:p w14:paraId="5D8B4986">
            <w:pPr>
              <w:jc w:val="center"/>
              <w:textAlignment w:val="center"/>
              <w:rPr>
                <w:rFonts w:hint="eastAsia"/>
              </w:rPr>
            </w:pPr>
            <w:r>
              <w:rPr>
                <w:rFonts w:ascii="Times New Roman" w:hAnsi="Times New Roman" w:cs="Times New Roman"/>
                <w:color w:val="000000"/>
                <w:sz w:val="18"/>
                <w:szCs w:val="18"/>
              </w:rPr>
              <w:t>0.074</w:t>
            </w:r>
          </w:p>
        </w:tc>
        <w:tc>
          <w:tcPr>
            <w:tcW w:w="1096" w:type="dxa"/>
            <w:noWrap/>
            <w:vAlign w:val="center"/>
          </w:tcPr>
          <w:p w14:paraId="439085BA">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1A670791">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7D99F4BA">
            <w:pPr>
              <w:jc w:val="center"/>
              <w:rPr>
                <w:rFonts w:hint="eastAsia"/>
              </w:rPr>
            </w:pPr>
          </w:p>
        </w:tc>
        <w:tc>
          <w:tcPr>
            <w:tcW w:w="1066" w:type="dxa"/>
            <w:noWrap/>
            <w:vAlign w:val="center"/>
          </w:tcPr>
          <w:p w14:paraId="164E8679">
            <w:pPr>
              <w:jc w:val="center"/>
              <w:rPr>
                <w:rFonts w:hint="eastAsia"/>
              </w:rPr>
            </w:pPr>
          </w:p>
        </w:tc>
      </w:tr>
      <w:tr w14:paraId="2F2C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166F546">
            <w:pPr>
              <w:pStyle w:val="557"/>
            </w:pPr>
            <w:r>
              <w:t>法兰</w:t>
            </w:r>
          </w:p>
        </w:tc>
        <w:tc>
          <w:tcPr>
            <w:tcW w:w="1559" w:type="dxa"/>
            <w:noWrap/>
            <w:vAlign w:val="center"/>
          </w:tcPr>
          <w:p w14:paraId="65DC2FA8">
            <w:pPr>
              <w:jc w:val="center"/>
              <w:textAlignment w:val="center"/>
              <w:rPr>
                <w:rFonts w:hint="eastAsia"/>
              </w:rPr>
            </w:pPr>
            <w:r>
              <w:rPr>
                <w:rFonts w:ascii="Times New Roman" w:hAnsi="Times New Roman" w:cs="Times New Roman"/>
                <w:color w:val="000000"/>
                <w:sz w:val="18"/>
                <w:szCs w:val="18"/>
              </w:rPr>
              <w:t>0.085</w:t>
            </w:r>
          </w:p>
        </w:tc>
        <w:tc>
          <w:tcPr>
            <w:tcW w:w="1096" w:type="dxa"/>
            <w:noWrap/>
            <w:vAlign w:val="center"/>
          </w:tcPr>
          <w:p w14:paraId="4B1D26D5">
            <w:pPr>
              <w:jc w:val="center"/>
              <w:textAlignment w:val="center"/>
              <w:rPr>
                <w:rFonts w:hint="eastAsia"/>
              </w:rPr>
            </w:pPr>
            <w:r>
              <w:rPr>
                <w:rFonts w:ascii="Times New Roman" w:hAnsi="Times New Roman" w:cs="Times New Roman"/>
                <w:color w:val="000000"/>
                <w:sz w:val="18"/>
                <w:szCs w:val="18"/>
              </w:rPr>
              <w:t>1500</w:t>
            </w:r>
          </w:p>
        </w:tc>
        <w:tc>
          <w:tcPr>
            <w:tcW w:w="1026" w:type="dxa"/>
            <w:noWrap/>
            <w:vAlign w:val="center"/>
          </w:tcPr>
          <w:p w14:paraId="3867A6C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7B75DB42">
            <w:pPr>
              <w:jc w:val="center"/>
              <w:textAlignment w:val="center"/>
              <w:rPr>
                <w:rFonts w:hint="eastAsia"/>
              </w:rPr>
            </w:pPr>
            <w:r>
              <w:rPr>
                <w:rFonts w:ascii="Times New Roman" w:hAnsi="Times New Roman" w:cs="Times New Roman"/>
                <w:color w:val="000000"/>
                <w:sz w:val="18"/>
                <w:szCs w:val="18"/>
              </w:rPr>
              <w:t>127.5</w:t>
            </w:r>
          </w:p>
        </w:tc>
        <w:tc>
          <w:tcPr>
            <w:tcW w:w="1066" w:type="dxa"/>
            <w:noWrap/>
            <w:vAlign w:val="center"/>
          </w:tcPr>
          <w:p w14:paraId="7369714E">
            <w:pPr>
              <w:jc w:val="center"/>
              <w:textAlignment w:val="center"/>
              <w:rPr>
                <w:rFonts w:hint="eastAsia"/>
              </w:rPr>
            </w:pPr>
            <w:r>
              <w:rPr>
                <w:rFonts w:ascii="Times New Roman" w:hAnsi="Times New Roman" w:cs="Times New Roman"/>
                <w:color w:val="000000"/>
                <w:sz w:val="18"/>
                <w:szCs w:val="18"/>
              </w:rPr>
              <w:t>1020000</w:t>
            </w:r>
          </w:p>
        </w:tc>
      </w:tr>
      <w:tr w14:paraId="49AA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5E205A8A">
            <w:pPr>
              <w:pStyle w:val="557"/>
            </w:pPr>
            <w:r>
              <w:t>其他</w:t>
            </w:r>
          </w:p>
        </w:tc>
        <w:tc>
          <w:tcPr>
            <w:tcW w:w="1559" w:type="dxa"/>
            <w:noWrap/>
            <w:vAlign w:val="center"/>
          </w:tcPr>
          <w:p w14:paraId="1A3E4A16">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62ACDB52">
            <w:pPr>
              <w:jc w:val="center"/>
              <w:textAlignment w:val="center"/>
              <w:rPr>
                <w:rFonts w:hint="eastAsia"/>
              </w:rPr>
            </w:pPr>
            <w:r>
              <w:rPr>
                <w:rFonts w:ascii="Times New Roman" w:hAnsi="Times New Roman" w:cs="Times New Roman"/>
                <w:color w:val="000000"/>
                <w:sz w:val="18"/>
                <w:szCs w:val="18"/>
              </w:rPr>
              <w:t>20</w:t>
            </w:r>
          </w:p>
        </w:tc>
        <w:tc>
          <w:tcPr>
            <w:tcW w:w="1026" w:type="dxa"/>
            <w:noWrap/>
            <w:vAlign w:val="center"/>
          </w:tcPr>
          <w:p w14:paraId="1C66D4DF">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3001410F">
            <w:pPr>
              <w:jc w:val="center"/>
              <w:textAlignment w:val="center"/>
              <w:rPr>
                <w:rFonts w:hint="eastAsia"/>
              </w:rPr>
            </w:pPr>
            <w:r>
              <w:rPr>
                <w:rFonts w:ascii="Times New Roman" w:hAnsi="Times New Roman" w:cs="Times New Roman"/>
                <w:color w:val="000000"/>
                <w:sz w:val="18"/>
                <w:szCs w:val="18"/>
              </w:rPr>
              <w:t>1.46</w:t>
            </w:r>
          </w:p>
        </w:tc>
        <w:tc>
          <w:tcPr>
            <w:tcW w:w="1066" w:type="dxa"/>
            <w:noWrap/>
            <w:vAlign w:val="center"/>
          </w:tcPr>
          <w:p w14:paraId="3B29B251">
            <w:pPr>
              <w:jc w:val="center"/>
              <w:textAlignment w:val="center"/>
              <w:rPr>
                <w:rFonts w:hint="eastAsia"/>
              </w:rPr>
            </w:pPr>
            <w:r>
              <w:rPr>
                <w:rFonts w:ascii="Times New Roman" w:hAnsi="Times New Roman" w:cs="Times New Roman"/>
                <w:color w:val="000000"/>
                <w:sz w:val="18"/>
                <w:szCs w:val="18"/>
              </w:rPr>
              <w:t>11680</w:t>
            </w:r>
          </w:p>
        </w:tc>
      </w:tr>
      <w:tr w14:paraId="1F93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3CB62C5">
            <w:pPr>
              <w:pStyle w:val="557"/>
            </w:pPr>
            <w:r>
              <w:t>合计</w:t>
            </w:r>
          </w:p>
        </w:tc>
        <w:tc>
          <w:tcPr>
            <w:tcW w:w="1559" w:type="dxa"/>
            <w:noWrap/>
            <w:vAlign w:val="center"/>
          </w:tcPr>
          <w:p w14:paraId="1C99004D">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34AD508E">
            <w:pPr>
              <w:jc w:val="center"/>
              <w:rPr>
                <w:rFonts w:hint="eastAsia"/>
              </w:rPr>
            </w:pPr>
          </w:p>
        </w:tc>
        <w:tc>
          <w:tcPr>
            <w:tcW w:w="1026" w:type="dxa"/>
            <w:noWrap/>
            <w:vAlign w:val="center"/>
          </w:tcPr>
          <w:p w14:paraId="77F83578">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08282D4A">
            <w:pPr>
              <w:jc w:val="center"/>
              <w:textAlignment w:val="center"/>
              <w:rPr>
                <w:rFonts w:hint="eastAsia"/>
              </w:rPr>
            </w:pPr>
            <w:r>
              <w:rPr>
                <w:rFonts w:ascii="Times New Roman" w:hAnsi="Times New Roman" w:cs="Times New Roman"/>
                <w:color w:val="000000"/>
                <w:sz w:val="18"/>
                <w:szCs w:val="18"/>
              </w:rPr>
              <w:t>163.66</w:t>
            </w:r>
          </w:p>
        </w:tc>
        <w:tc>
          <w:tcPr>
            <w:tcW w:w="1066" w:type="dxa"/>
            <w:noWrap/>
            <w:vAlign w:val="center"/>
          </w:tcPr>
          <w:p w14:paraId="085E2A8E">
            <w:pPr>
              <w:jc w:val="center"/>
              <w:textAlignment w:val="center"/>
              <w:rPr>
                <w:rFonts w:hint="eastAsia"/>
              </w:rPr>
            </w:pPr>
            <w:r>
              <w:rPr>
                <w:rFonts w:ascii="Times New Roman" w:hAnsi="Times New Roman" w:cs="Times New Roman"/>
                <w:color w:val="000000"/>
                <w:sz w:val="18"/>
                <w:szCs w:val="18"/>
              </w:rPr>
              <w:t>1309280</w:t>
            </w:r>
          </w:p>
        </w:tc>
      </w:tr>
      <w:tr w14:paraId="30E6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6FE4F19C">
            <w:pPr>
              <w:pStyle w:val="557"/>
            </w:pPr>
            <w:r>
              <w:t>E</w:t>
            </w:r>
            <w:r>
              <w:rPr>
                <w:vertAlign w:val="subscript"/>
              </w:rPr>
              <w:t>设备</w:t>
            </w:r>
          </w:p>
        </w:tc>
        <w:tc>
          <w:tcPr>
            <w:tcW w:w="1559" w:type="dxa"/>
            <w:noWrap/>
            <w:vAlign w:val="center"/>
          </w:tcPr>
          <w:p w14:paraId="3D15DFDD">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0B39F43C">
            <w:pPr>
              <w:jc w:val="center"/>
              <w:rPr>
                <w:rFonts w:hint="eastAsia"/>
              </w:rPr>
            </w:pPr>
          </w:p>
        </w:tc>
        <w:tc>
          <w:tcPr>
            <w:tcW w:w="1026" w:type="dxa"/>
            <w:noWrap/>
            <w:vAlign w:val="center"/>
          </w:tcPr>
          <w:p w14:paraId="495B5832">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50534B0F">
            <w:pPr>
              <w:jc w:val="center"/>
              <w:textAlignment w:val="center"/>
              <w:rPr>
                <w:rFonts w:hint="eastAsia"/>
              </w:rPr>
            </w:pPr>
            <w:r>
              <w:rPr>
                <w:rFonts w:ascii="Times New Roman" w:hAnsi="Times New Roman" w:cs="Times New Roman"/>
                <w:color w:val="000000"/>
                <w:sz w:val="18"/>
                <w:szCs w:val="18"/>
              </w:rPr>
              <w:t xml:space="preserve">0.49 </w:t>
            </w:r>
          </w:p>
        </w:tc>
        <w:tc>
          <w:tcPr>
            <w:tcW w:w="1066" w:type="dxa"/>
            <w:noWrap/>
            <w:vAlign w:val="center"/>
          </w:tcPr>
          <w:p w14:paraId="26735093">
            <w:pPr>
              <w:jc w:val="center"/>
              <w:textAlignment w:val="center"/>
              <w:rPr>
                <w:rFonts w:hint="eastAsia"/>
              </w:rPr>
            </w:pPr>
            <w:r>
              <w:rPr>
                <w:rFonts w:ascii="Times New Roman" w:hAnsi="Times New Roman" w:cs="Times New Roman"/>
                <w:color w:val="000000"/>
                <w:sz w:val="18"/>
                <w:szCs w:val="18"/>
              </w:rPr>
              <w:t>3.93</w:t>
            </w:r>
            <w:r>
              <w:rPr>
                <w:rFonts w:hint="eastAsia" w:ascii="Times New Roman" w:hAnsi="Times New Roman" w:cs="Times New Roman"/>
                <w:color w:val="000000"/>
                <w:sz w:val="18"/>
                <w:szCs w:val="18"/>
              </w:rPr>
              <w:t>t/a</w:t>
            </w:r>
            <w:r>
              <w:rPr>
                <w:rFonts w:ascii="Times New Roman" w:hAnsi="Times New Roman" w:cs="Times New Roman"/>
                <w:color w:val="000000"/>
                <w:sz w:val="18"/>
                <w:szCs w:val="18"/>
              </w:rPr>
              <w:t xml:space="preserve"> </w:t>
            </w:r>
          </w:p>
        </w:tc>
      </w:tr>
      <w:bookmarkEnd w:id="156"/>
      <w:bookmarkEnd w:id="158"/>
    </w:tbl>
    <w:p w14:paraId="2174E63D">
      <w:pPr>
        <w:pStyle w:val="281"/>
        <w:ind w:firstLine="480"/>
      </w:pPr>
      <w:r>
        <w:rPr>
          <w:rFonts w:hint="eastAsia"/>
        </w:rPr>
        <w:t>（2）废水</w:t>
      </w:r>
    </w:p>
    <w:p w14:paraId="1CB1802A">
      <w:pPr>
        <w:pStyle w:val="281"/>
        <w:ind w:firstLine="480"/>
      </w:pPr>
      <w:r>
        <w:rPr>
          <w:rFonts w:hint="eastAsia" w:ascii="宋体" w:hAnsi="宋体"/>
        </w:rPr>
        <w:t>①</w:t>
      </w:r>
      <w:r>
        <w:rPr>
          <w:rFonts w:hint="eastAsia"/>
        </w:rPr>
        <w:t>汽包排水（</w:t>
      </w:r>
      <w:r>
        <w:t>W</w:t>
      </w:r>
      <w:r>
        <w:rPr>
          <w:vertAlign w:val="subscript"/>
        </w:rPr>
        <w:t>2-</w:t>
      </w:r>
      <w:r>
        <w:rPr>
          <w:rFonts w:hint="eastAsia"/>
          <w:vertAlign w:val="subscript"/>
        </w:rPr>
        <w:t>8</w:t>
      </w:r>
      <w:r>
        <w:rPr>
          <w:rFonts w:hint="eastAsia"/>
        </w:rPr>
        <w:t>）</w:t>
      </w:r>
    </w:p>
    <w:p w14:paraId="608E821B">
      <w:pPr>
        <w:pStyle w:val="281"/>
        <w:ind w:firstLine="480"/>
        <w:rPr>
          <w:szCs w:val="24"/>
        </w:rPr>
      </w:pPr>
      <w:r>
        <w:rPr>
          <w:rFonts w:hint="eastAsia"/>
          <w:szCs w:val="24"/>
        </w:rPr>
        <w:t>硫回收单元废热锅炉汽包污水产生量均为200kg</w:t>
      </w:r>
      <w:r>
        <w:rPr>
          <w:szCs w:val="24"/>
        </w:rPr>
        <w:t>/h</w:t>
      </w:r>
      <w:r>
        <w:rPr>
          <w:rFonts w:hint="eastAsia"/>
          <w:szCs w:val="24"/>
        </w:rPr>
        <w:t>，主要污染物是</w:t>
      </w:r>
      <w:r>
        <w:rPr>
          <w:szCs w:val="24"/>
        </w:rPr>
        <w:t>COD</w:t>
      </w:r>
      <w:r>
        <w:rPr>
          <w:rFonts w:hint="eastAsia"/>
          <w:szCs w:val="24"/>
        </w:rPr>
        <w:t>、</w:t>
      </w:r>
      <w:r>
        <w:rPr>
          <w:szCs w:val="24"/>
        </w:rPr>
        <w:t>SS，</w:t>
      </w:r>
      <w:r>
        <w:rPr>
          <w:rFonts w:hint="eastAsia"/>
          <w:szCs w:val="24"/>
        </w:rPr>
        <w:t>送污水处理站。</w:t>
      </w:r>
    </w:p>
    <w:p w14:paraId="56221E26">
      <w:pPr>
        <w:pStyle w:val="281"/>
        <w:ind w:firstLine="480"/>
        <w:rPr>
          <w:szCs w:val="24"/>
        </w:rPr>
      </w:pPr>
      <w:r>
        <w:rPr>
          <w:rFonts w:hint="eastAsia" w:ascii="宋体" w:hAnsi="宋体"/>
          <w:szCs w:val="24"/>
        </w:rPr>
        <w:t>②</w:t>
      </w:r>
      <w:r>
        <w:rPr>
          <w:rFonts w:hint="eastAsia"/>
          <w:szCs w:val="24"/>
        </w:rPr>
        <w:t>地面冲洗水</w:t>
      </w:r>
      <w:r>
        <w:rPr>
          <w:rFonts w:hint="eastAsia"/>
        </w:rPr>
        <w:t>（</w:t>
      </w:r>
      <w:r>
        <w:t>W</w:t>
      </w:r>
      <w:r>
        <w:rPr>
          <w:vertAlign w:val="subscript"/>
        </w:rPr>
        <w:t>2-</w:t>
      </w:r>
      <w:r>
        <w:rPr>
          <w:rFonts w:hint="eastAsia"/>
          <w:vertAlign w:val="subscript"/>
        </w:rPr>
        <w:t>9</w:t>
      </w:r>
      <w:r>
        <w:rPr>
          <w:rFonts w:hint="eastAsia"/>
        </w:rPr>
        <w:t>）</w:t>
      </w:r>
    </w:p>
    <w:p w14:paraId="75EB778F">
      <w:pPr>
        <w:pStyle w:val="281"/>
        <w:ind w:firstLine="480"/>
        <w:rPr>
          <w:szCs w:val="24"/>
        </w:rPr>
      </w:pPr>
      <w:r>
        <w:rPr>
          <w:rFonts w:hint="eastAsia"/>
          <w:szCs w:val="24"/>
        </w:rPr>
        <w:t>硫回收单元地面冲洗水产生量为500kg</w:t>
      </w:r>
      <w:r>
        <w:rPr>
          <w:szCs w:val="24"/>
        </w:rPr>
        <w:t>/h</w:t>
      </w:r>
      <w:r>
        <w:rPr>
          <w:rFonts w:hint="eastAsia"/>
          <w:szCs w:val="24"/>
        </w:rPr>
        <w:t>，间断产生，</w:t>
      </w:r>
      <w:r>
        <w:rPr>
          <w:szCs w:val="24"/>
        </w:rPr>
        <w:t>排入厂区污水处理站统一处理</w:t>
      </w:r>
      <w:r>
        <w:rPr>
          <w:rFonts w:hint="eastAsia"/>
          <w:szCs w:val="24"/>
        </w:rPr>
        <w:t>。</w:t>
      </w:r>
    </w:p>
    <w:p w14:paraId="6556AE65">
      <w:pPr>
        <w:pStyle w:val="281"/>
        <w:ind w:firstLine="480"/>
      </w:pPr>
      <w:r>
        <w:rPr>
          <w:rFonts w:hint="eastAsia"/>
        </w:rPr>
        <w:t>废水源强类比《新疆新昊化工有限公司资源清洁利用绿色低碳多联产项目环境影响报告书》，硫回收单元废水污染源源强核算结果见表3.2.3-40。</w:t>
      </w:r>
    </w:p>
    <w:p w14:paraId="496D45DD">
      <w:pPr>
        <w:pStyle w:val="535"/>
        <w:rPr>
          <w:rFonts w:hint="eastAsia"/>
          <w:color w:val="auto"/>
        </w:rPr>
      </w:pPr>
      <w:bookmarkStart w:id="159" w:name="_Hlk176272852"/>
      <w:r>
        <w:rPr>
          <w:rFonts w:hint="eastAsia"/>
          <w:color w:val="auto"/>
        </w:rPr>
        <w:t>表3.2.3-40     硫回收单元废水污染源源强核算结果一览表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851"/>
        <w:gridCol w:w="992"/>
        <w:gridCol w:w="723"/>
        <w:gridCol w:w="911"/>
        <w:gridCol w:w="1078"/>
        <w:gridCol w:w="940"/>
        <w:gridCol w:w="1629"/>
        <w:gridCol w:w="713"/>
      </w:tblGrid>
      <w:tr w14:paraId="2D0E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001DFBB7">
            <w:pPr>
              <w:pStyle w:val="190"/>
              <w:rPr>
                <w:rFonts w:ascii="Times New Roman" w:hAnsi="Times New Roman" w:cs="Times New Roman"/>
                <w:szCs w:val="18"/>
              </w:rPr>
            </w:pPr>
            <w:r>
              <w:rPr>
                <w:rFonts w:ascii="Times New Roman" w:hAnsi="Times New Roman" w:cs="Times New Roman"/>
                <w:szCs w:val="18"/>
              </w:rPr>
              <w:t>编号</w:t>
            </w:r>
          </w:p>
        </w:tc>
        <w:tc>
          <w:tcPr>
            <w:tcW w:w="851" w:type="dxa"/>
            <w:vMerge w:val="restart"/>
            <w:vAlign w:val="center"/>
          </w:tcPr>
          <w:p w14:paraId="194E5973">
            <w:pPr>
              <w:pStyle w:val="190"/>
              <w:rPr>
                <w:rFonts w:ascii="Times New Roman" w:hAnsi="Times New Roman" w:cs="Times New Roman"/>
                <w:szCs w:val="18"/>
              </w:rPr>
            </w:pPr>
            <w:r>
              <w:rPr>
                <w:rFonts w:ascii="Times New Roman" w:hAnsi="Times New Roman" w:cs="Times New Roman"/>
                <w:szCs w:val="18"/>
              </w:rPr>
              <w:t>排放源</w:t>
            </w:r>
          </w:p>
        </w:tc>
        <w:tc>
          <w:tcPr>
            <w:tcW w:w="992" w:type="dxa"/>
            <w:vMerge w:val="restart"/>
            <w:vAlign w:val="center"/>
          </w:tcPr>
          <w:p w14:paraId="6DCA4C92">
            <w:pPr>
              <w:pStyle w:val="190"/>
              <w:rPr>
                <w:rFonts w:ascii="Times New Roman" w:hAnsi="Times New Roman" w:cs="Times New Roman"/>
                <w:szCs w:val="18"/>
              </w:rPr>
            </w:pPr>
            <w:r>
              <w:rPr>
                <w:rFonts w:ascii="Times New Roman" w:hAnsi="Times New Roman" w:cs="Times New Roman"/>
                <w:szCs w:val="18"/>
              </w:rPr>
              <w:t>污染物</w:t>
            </w:r>
          </w:p>
        </w:tc>
        <w:tc>
          <w:tcPr>
            <w:tcW w:w="723" w:type="dxa"/>
            <w:vMerge w:val="restart"/>
            <w:vAlign w:val="center"/>
          </w:tcPr>
          <w:p w14:paraId="04E8634D">
            <w:pPr>
              <w:pStyle w:val="190"/>
              <w:rPr>
                <w:rFonts w:ascii="Times New Roman" w:hAnsi="Times New Roman" w:cs="Times New Roman"/>
                <w:szCs w:val="18"/>
              </w:rPr>
            </w:pPr>
            <w:r>
              <w:rPr>
                <w:rFonts w:ascii="Times New Roman" w:hAnsi="Times New Roman" w:cs="Times New Roman"/>
                <w:szCs w:val="18"/>
              </w:rPr>
              <w:t>核算方法</w:t>
            </w:r>
          </w:p>
        </w:tc>
        <w:tc>
          <w:tcPr>
            <w:tcW w:w="2929" w:type="dxa"/>
            <w:gridSpan w:val="3"/>
            <w:vAlign w:val="center"/>
          </w:tcPr>
          <w:p w14:paraId="623639FE">
            <w:pPr>
              <w:pStyle w:val="190"/>
              <w:rPr>
                <w:rFonts w:ascii="Times New Roman" w:hAnsi="Times New Roman" w:cs="Times New Roman"/>
                <w:szCs w:val="18"/>
              </w:rPr>
            </w:pPr>
            <w:r>
              <w:rPr>
                <w:rFonts w:ascii="Times New Roman" w:hAnsi="Times New Roman" w:cs="Times New Roman"/>
                <w:szCs w:val="18"/>
              </w:rPr>
              <w:t>污染物产生情况</w:t>
            </w:r>
          </w:p>
        </w:tc>
        <w:tc>
          <w:tcPr>
            <w:tcW w:w="1629" w:type="dxa"/>
            <w:vMerge w:val="restart"/>
            <w:vAlign w:val="center"/>
          </w:tcPr>
          <w:p w14:paraId="555BA7E1">
            <w:pPr>
              <w:pStyle w:val="190"/>
              <w:rPr>
                <w:rFonts w:ascii="Times New Roman" w:hAnsi="Times New Roman" w:cs="Times New Roman"/>
                <w:szCs w:val="18"/>
              </w:rPr>
            </w:pPr>
            <w:r>
              <w:rPr>
                <w:rFonts w:ascii="Times New Roman" w:hAnsi="Times New Roman" w:cs="Times New Roman"/>
                <w:szCs w:val="18"/>
              </w:rPr>
              <w:t>处置措施</w:t>
            </w:r>
          </w:p>
        </w:tc>
        <w:tc>
          <w:tcPr>
            <w:tcW w:w="713" w:type="dxa"/>
            <w:vMerge w:val="restart"/>
            <w:vAlign w:val="center"/>
          </w:tcPr>
          <w:p w14:paraId="38443E14">
            <w:pPr>
              <w:pStyle w:val="190"/>
              <w:rPr>
                <w:rFonts w:ascii="Times New Roman" w:hAnsi="Times New Roman" w:cs="Times New Roman"/>
                <w:szCs w:val="18"/>
              </w:rPr>
            </w:pPr>
            <w:r>
              <w:rPr>
                <w:rFonts w:ascii="Times New Roman" w:hAnsi="Times New Roman" w:cs="Times New Roman"/>
                <w:szCs w:val="18"/>
              </w:rPr>
              <w:t>排放时间（h）</w:t>
            </w:r>
          </w:p>
        </w:tc>
      </w:tr>
      <w:tr w14:paraId="4CE5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180DA6E5">
            <w:pPr>
              <w:pStyle w:val="190"/>
              <w:rPr>
                <w:rFonts w:ascii="Times New Roman" w:hAnsi="Times New Roman" w:cs="Times New Roman"/>
                <w:szCs w:val="18"/>
              </w:rPr>
            </w:pPr>
          </w:p>
        </w:tc>
        <w:tc>
          <w:tcPr>
            <w:tcW w:w="851" w:type="dxa"/>
            <w:vMerge w:val="continue"/>
            <w:vAlign w:val="center"/>
          </w:tcPr>
          <w:p w14:paraId="5EC84E8B">
            <w:pPr>
              <w:pStyle w:val="190"/>
              <w:rPr>
                <w:rFonts w:ascii="Times New Roman" w:hAnsi="Times New Roman" w:cs="Times New Roman"/>
                <w:szCs w:val="18"/>
              </w:rPr>
            </w:pPr>
          </w:p>
        </w:tc>
        <w:tc>
          <w:tcPr>
            <w:tcW w:w="992" w:type="dxa"/>
            <w:vMerge w:val="continue"/>
            <w:vAlign w:val="center"/>
          </w:tcPr>
          <w:p w14:paraId="457A22E8">
            <w:pPr>
              <w:pStyle w:val="190"/>
              <w:rPr>
                <w:rFonts w:ascii="Times New Roman" w:hAnsi="Times New Roman" w:cs="Times New Roman"/>
                <w:szCs w:val="18"/>
              </w:rPr>
            </w:pPr>
          </w:p>
        </w:tc>
        <w:tc>
          <w:tcPr>
            <w:tcW w:w="723" w:type="dxa"/>
            <w:vMerge w:val="continue"/>
            <w:vAlign w:val="center"/>
          </w:tcPr>
          <w:p w14:paraId="7999F425">
            <w:pPr>
              <w:pStyle w:val="190"/>
              <w:rPr>
                <w:rFonts w:ascii="Times New Roman" w:hAnsi="Times New Roman" w:cs="Times New Roman"/>
                <w:szCs w:val="18"/>
              </w:rPr>
            </w:pPr>
          </w:p>
        </w:tc>
        <w:tc>
          <w:tcPr>
            <w:tcW w:w="911" w:type="dxa"/>
            <w:vAlign w:val="center"/>
          </w:tcPr>
          <w:p w14:paraId="223835CA">
            <w:pPr>
              <w:pStyle w:val="190"/>
              <w:rPr>
                <w:rFonts w:ascii="Times New Roman" w:hAnsi="Times New Roman" w:cs="Times New Roman"/>
                <w:szCs w:val="18"/>
              </w:rPr>
            </w:pPr>
            <w:r>
              <w:rPr>
                <w:rFonts w:ascii="Times New Roman" w:hAnsi="Times New Roman" w:cs="Times New Roman"/>
                <w:szCs w:val="18"/>
              </w:rPr>
              <w:t>废水产生量（kg/h）</w:t>
            </w:r>
          </w:p>
        </w:tc>
        <w:tc>
          <w:tcPr>
            <w:tcW w:w="1078" w:type="dxa"/>
            <w:vAlign w:val="center"/>
          </w:tcPr>
          <w:p w14:paraId="61745415">
            <w:pPr>
              <w:pStyle w:val="190"/>
              <w:rPr>
                <w:rFonts w:ascii="Times New Roman" w:hAnsi="Times New Roman" w:cs="Times New Roman"/>
                <w:szCs w:val="18"/>
              </w:rPr>
            </w:pPr>
            <w:r>
              <w:rPr>
                <w:rFonts w:ascii="Times New Roman" w:hAnsi="Times New Roman" w:cs="Times New Roman"/>
                <w:szCs w:val="18"/>
              </w:rPr>
              <w:t>产生浓度（mg/L）</w:t>
            </w:r>
          </w:p>
        </w:tc>
        <w:tc>
          <w:tcPr>
            <w:tcW w:w="940" w:type="dxa"/>
            <w:vAlign w:val="center"/>
          </w:tcPr>
          <w:p w14:paraId="46CA9154">
            <w:pPr>
              <w:pStyle w:val="190"/>
              <w:rPr>
                <w:rFonts w:ascii="Times New Roman" w:hAnsi="Times New Roman" w:cs="Times New Roman"/>
                <w:szCs w:val="18"/>
              </w:rPr>
            </w:pPr>
            <w:r>
              <w:rPr>
                <w:rFonts w:ascii="Times New Roman" w:hAnsi="Times New Roman" w:cs="Times New Roman"/>
                <w:szCs w:val="18"/>
              </w:rPr>
              <w:t>产生量（kg/h）</w:t>
            </w:r>
          </w:p>
        </w:tc>
        <w:tc>
          <w:tcPr>
            <w:tcW w:w="1629" w:type="dxa"/>
            <w:vMerge w:val="continue"/>
            <w:vAlign w:val="center"/>
          </w:tcPr>
          <w:p w14:paraId="64362C57">
            <w:pPr>
              <w:pStyle w:val="190"/>
              <w:rPr>
                <w:rFonts w:ascii="Times New Roman" w:hAnsi="Times New Roman" w:cs="Times New Roman"/>
                <w:szCs w:val="18"/>
              </w:rPr>
            </w:pPr>
          </w:p>
        </w:tc>
        <w:tc>
          <w:tcPr>
            <w:tcW w:w="713" w:type="dxa"/>
            <w:vMerge w:val="continue"/>
            <w:vAlign w:val="center"/>
          </w:tcPr>
          <w:p w14:paraId="0D4FE3DE">
            <w:pPr>
              <w:pStyle w:val="190"/>
              <w:rPr>
                <w:rFonts w:ascii="Times New Roman" w:hAnsi="Times New Roman" w:cs="Times New Roman"/>
                <w:szCs w:val="18"/>
              </w:rPr>
            </w:pPr>
          </w:p>
        </w:tc>
      </w:tr>
      <w:tr w14:paraId="545F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1BCA8EEF">
            <w:pPr>
              <w:pStyle w:val="190"/>
              <w:rPr>
                <w:rFonts w:ascii="Times New Roman" w:hAnsi="Times New Roman" w:cs="Times New Roman"/>
                <w:szCs w:val="18"/>
                <w:u w:color="000000"/>
              </w:rPr>
            </w:pPr>
            <w:r>
              <w:rPr>
                <w:rFonts w:ascii="Times New Roman" w:hAnsi="Times New Roman" w:cs="Times New Roman"/>
                <w:szCs w:val="18"/>
              </w:rPr>
              <w:t>硫回收单元废水</w:t>
            </w:r>
          </w:p>
        </w:tc>
        <w:tc>
          <w:tcPr>
            <w:tcW w:w="851" w:type="dxa"/>
            <w:vMerge w:val="restart"/>
            <w:vAlign w:val="center"/>
          </w:tcPr>
          <w:p w14:paraId="44DA24CA">
            <w:pPr>
              <w:rPr>
                <w:rFonts w:ascii="Times New Roman" w:hAnsi="Times New Roman" w:cs="Times New Roman"/>
                <w:sz w:val="18"/>
                <w:szCs w:val="18"/>
              </w:rPr>
            </w:pPr>
            <w:r>
              <w:rPr>
                <w:rFonts w:ascii="Times New Roman" w:hAnsi="Times New Roman" w:cs="Times New Roman"/>
                <w:sz w:val="18"/>
                <w:szCs w:val="18"/>
              </w:rPr>
              <w:t>汽包排水</w:t>
            </w:r>
          </w:p>
        </w:tc>
        <w:tc>
          <w:tcPr>
            <w:tcW w:w="992" w:type="dxa"/>
            <w:vAlign w:val="center"/>
          </w:tcPr>
          <w:p w14:paraId="7FC23B89">
            <w:pPr>
              <w:pStyle w:val="190"/>
              <w:rPr>
                <w:rFonts w:ascii="Times New Roman" w:hAnsi="Times New Roman" w:cs="Times New Roman"/>
                <w:szCs w:val="18"/>
              </w:rPr>
            </w:pPr>
            <w:r>
              <w:rPr>
                <w:rFonts w:ascii="Times New Roman" w:hAnsi="Times New Roman" w:cs="Times New Roman"/>
                <w:szCs w:val="18"/>
                <w:u w:color="000000"/>
              </w:rPr>
              <w:t>COD</w:t>
            </w:r>
          </w:p>
        </w:tc>
        <w:tc>
          <w:tcPr>
            <w:tcW w:w="723" w:type="dxa"/>
            <w:vMerge w:val="restart"/>
            <w:vAlign w:val="center"/>
          </w:tcPr>
          <w:p w14:paraId="5972F506">
            <w:pPr>
              <w:pStyle w:val="190"/>
              <w:rPr>
                <w:rFonts w:ascii="Times New Roman" w:hAnsi="Times New Roman" w:cs="Times New Roman"/>
                <w:szCs w:val="18"/>
              </w:rPr>
            </w:pPr>
            <w:r>
              <w:rPr>
                <w:rFonts w:ascii="Times New Roman" w:hAnsi="Times New Roman" w:cs="Times New Roman"/>
                <w:kern w:val="2"/>
                <w:szCs w:val="18"/>
              </w:rPr>
              <w:t>类比法</w:t>
            </w:r>
          </w:p>
        </w:tc>
        <w:tc>
          <w:tcPr>
            <w:tcW w:w="911" w:type="dxa"/>
            <w:vMerge w:val="restart"/>
            <w:vAlign w:val="center"/>
          </w:tcPr>
          <w:p w14:paraId="2A2EC391">
            <w:pPr>
              <w:pStyle w:val="190"/>
              <w:rPr>
                <w:rFonts w:ascii="Times New Roman" w:hAnsi="Times New Roman" w:cs="Times New Roman"/>
                <w:szCs w:val="18"/>
              </w:rPr>
            </w:pPr>
            <w:r>
              <w:rPr>
                <w:rFonts w:hint="eastAsia" w:ascii="Times New Roman" w:hAnsi="Times New Roman" w:cs="Times New Roman"/>
                <w:szCs w:val="18"/>
              </w:rPr>
              <w:t>200</w:t>
            </w:r>
          </w:p>
        </w:tc>
        <w:tc>
          <w:tcPr>
            <w:tcW w:w="1078" w:type="dxa"/>
            <w:vAlign w:val="center"/>
          </w:tcPr>
          <w:p w14:paraId="5F116A17">
            <w:pPr>
              <w:pStyle w:val="190"/>
              <w:rPr>
                <w:rFonts w:ascii="Times New Roman" w:hAnsi="Times New Roman" w:cs="Times New Roman"/>
                <w:szCs w:val="18"/>
              </w:rPr>
            </w:pPr>
            <w:r>
              <w:rPr>
                <w:rFonts w:ascii="Times New Roman" w:hAnsi="Times New Roman" w:cs="Times New Roman"/>
                <w:szCs w:val="18"/>
              </w:rPr>
              <w:t>100</w:t>
            </w:r>
          </w:p>
        </w:tc>
        <w:tc>
          <w:tcPr>
            <w:tcW w:w="940" w:type="dxa"/>
            <w:vAlign w:val="center"/>
          </w:tcPr>
          <w:p w14:paraId="3A1FDB15">
            <w:pPr>
              <w:pStyle w:val="190"/>
              <w:rPr>
                <w:rFonts w:ascii="Times New Roman" w:hAnsi="Times New Roman" w:eastAsia="等线" w:cs="Times New Roman"/>
                <w:szCs w:val="18"/>
              </w:rPr>
            </w:pPr>
            <w:r>
              <w:rPr>
                <w:rFonts w:ascii="Times New Roman" w:hAnsi="Times New Roman" w:eastAsia="等线" w:cs="Times New Roman"/>
                <w:szCs w:val="18"/>
              </w:rPr>
              <w:t>0.0</w:t>
            </w:r>
            <w:r>
              <w:rPr>
                <w:rFonts w:hint="eastAsia" w:ascii="Times New Roman" w:hAnsi="Times New Roman" w:eastAsia="等线" w:cs="Times New Roman"/>
                <w:szCs w:val="18"/>
              </w:rPr>
              <w:t>2</w:t>
            </w:r>
          </w:p>
        </w:tc>
        <w:tc>
          <w:tcPr>
            <w:tcW w:w="1629" w:type="dxa"/>
            <w:vMerge w:val="restart"/>
            <w:vAlign w:val="center"/>
          </w:tcPr>
          <w:p w14:paraId="73248F97">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713" w:type="dxa"/>
            <w:vMerge w:val="restart"/>
            <w:vAlign w:val="center"/>
          </w:tcPr>
          <w:p w14:paraId="5CA58153">
            <w:pPr>
              <w:pStyle w:val="190"/>
              <w:rPr>
                <w:rFonts w:ascii="Times New Roman" w:hAnsi="Times New Roman" w:cs="Times New Roman"/>
                <w:szCs w:val="18"/>
              </w:rPr>
            </w:pPr>
            <w:r>
              <w:rPr>
                <w:rFonts w:ascii="Times New Roman" w:hAnsi="Times New Roman" w:cs="Times New Roman"/>
                <w:szCs w:val="18"/>
              </w:rPr>
              <w:t>8000</w:t>
            </w:r>
          </w:p>
        </w:tc>
      </w:tr>
      <w:tr w14:paraId="3AD2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68" w:type="dxa"/>
            <w:vMerge w:val="continue"/>
            <w:vAlign w:val="center"/>
          </w:tcPr>
          <w:p w14:paraId="639556DB">
            <w:pPr>
              <w:pStyle w:val="190"/>
              <w:rPr>
                <w:rFonts w:ascii="Times New Roman" w:hAnsi="Times New Roman" w:cs="Times New Roman"/>
                <w:szCs w:val="18"/>
                <w:u w:color="000000"/>
              </w:rPr>
            </w:pPr>
          </w:p>
        </w:tc>
        <w:tc>
          <w:tcPr>
            <w:tcW w:w="851" w:type="dxa"/>
            <w:vMerge w:val="continue"/>
            <w:vAlign w:val="center"/>
          </w:tcPr>
          <w:p w14:paraId="7331EF17">
            <w:pPr>
              <w:pStyle w:val="190"/>
              <w:rPr>
                <w:rFonts w:ascii="Times New Roman" w:hAnsi="Times New Roman" w:cs="Times New Roman"/>
                <w:szCs w:val="18"/>
                <w:u w:color="000000"/>
              </w:rPr>
            </w:pPr>
          </w:p>
        </w:tc>
        <w:tc>
          <w:tcPr>
            <w:tcW w:w="992" w:type="dxa"/>
            <w:vAlign w:val="center"/>
          </w:tcPr>
          <w:p w14:paraId="5DAE35E5">
            <w:pPr>
              <w:pStyle w:val="190"/>
              <w:rPr>
                <w:rFonts w:ascii="Times New Roman" w:hAnsi="Times New Roman" w:cs="Times New Roman"/>
                <w:szCs w:val="18"/>
                <w:u w:color="000000"/>
              </w:rPr>
            </w:pPr>
            <w:r>
              <w:rPr>
                <w:rFonts w:ascii="Times New Roman" w:hAnsi="Times New Roman" w:cs="Times New Roman"/>
                <w:szCs w:val="18"/>
                <w:u w:color="000000"/>
              </w:rPr>
              <w:t>SS</w:t>
            </w:r>
          </w:p>
        </w:tc>
        <w:tc>
          <w:tcPr>
            <w:tcW w:w="723" w:type="dxa"/>
            <w:vMerge w:val="continue"/>
            <w:vAlign w:val="center"/>
          </w:tcPr>
          <w:p w14:paraId="7F568BCC">
            <w:pPr>
              <w:pStyle w:val="190"/>
              <w:rPr>
                <w:rFonts w:ascii="Times New Roman" w:hAnsi="Times New Roman" w:cs="Times New Roman"/>
                <w:szCs w:val="18"/>
              </w:rPr>
            </w:pPr>
          </w:p>
        </w:tc>
        <w:tc>
          <w:tcPr>
            <w:tcW w:w="911" w:type="dxa"/>
            <w:vMerge w:val="continue"/>
            <w:vAlign w:val="center"/>
          </w:tcPr>
          <w:p w14:paraId="363E09BF">
            <w:pPr>
              <w:pStyle w:val="190"/>
              <w:rPr>
                <w:rFonts w:ascii="Times New Roman" w:hAnsi="Times New Roman" w:cs="Times New Roman"/>
                <w:szCs w:val="18"/>
              </w:rPr>
            </w:pPr>
          </w:p>
        </w:tc>
        <w:tc>
          <w:tcPr>
            <w:tcW w:w="1078" w:type="dxa"/>
            <w:vAlign w:val="center"/>
          </w:tcPr>
          <w:p w14:paraId="0508A8F3">
            <w:pPr>
              <w:pStyle w:val="190"/>
              <w:rPr>
                <w:rFonts w:ascii="Times New Roman" w:hAnsi="Times New Roman" w:cs="Times New Roman"/>
                <w:szCs w:val="18"/>
              </w:rPr>
            </w:pPr>
            <w:r>
              <w:rPr>
                <w:rFonts w:ascii="Times New Roman" w:hAnsi="Times New Roman" w:cs="Times New Roman"/>
                <w:szCs w:val="18"/>
              </w:rPr>
              <w:t>100</w:t>
            </w:r>
          </w:p>
        </w:tc>
        <w:tc>
          <w:tcPr>
            <w:tcW w:w="940" w:type="dxa"/>
            <w:vAlign w:val="center"/>
          </w:tcPr>
          <w:p w14:paraId="38462D79">
            <w:pPr>
              <w:pStyle w:val="190"/>
              <w:rPr>
                <w:rFonts w:ascii="Times New Roman" w:hAnsi="Times New Roman" w:eastAsia="等线" w:cs="Times New Roman"/>
                <w:szCs w:val="18"/>
              </w:rPr>
            </w:pPr>
            <w:r>
              <w:rPr>
                <w:rFonts w:ascii="Times New Roman" w:hAnsi="Times New Roman" w:eastAsia="等线" w:cs="Times New Roman"/>
                <w:szCs w:val="18"/>
              </w:rPr>
              <w:t>0.0</w:t>
            </w:r>
            <w:r>
              <w:rPr>
                <w:rFonts w:hint="eastAsia" w:ascii="Times New Roman" w:hAnsi="Times New Roman" w:eastAsia="等线" w:cs="Times New Roman"/>
                <w:szCs w:val="18"/>
              </w:rPr>
              <w:t>2</w:t>
            </w:r>
          </w:p>
        </w:tc>
        <w:tc>
          <w:tcPr>
            <w:tcW w:w="1629" w:type="dxa"/>
            <w:vMerge w:val="continue"/>
            <w:vAlign w:val="center"/>
          </w:tcPr>
          <w:p w14:paraId="774B4176">
            <w:pPr>
              <w:pStyle w:val="190"/>
              <w:rPr>
                <w:rFonts w:ascii="Times New Roman" w:hAnsi="Times New Roman" w:cs="Times New Roman"/>
                <w:szCs w:val="18"/>
              </w:rPr>
            </w:pPr>
          </w:p>
        </w:tc>
        <w:tc>
          <w:tcPr>
            <w:tcW w:w="713" w:type="dxa"/>
            <w:vMerge w:val="continue"/>
            <w:vAlign w:val="center"/>
          </w:tcPr>
          <w:p w14:paraId="1D1B4926">
            <w:pPr>
              <w:pStyle w:val="190"/>
              <w:rPr>
                <w:rFonts w:ascii="Times New Roman" w:hAnsi="Times New Roman" w:cs="Times New Roman"/>
                <w:szCs w:val="18"/>
              </w:rPr>
            </w:pPr>
          </w:p>
        </w:tc>
      </w:tr>
      <w:tr w14:paraId="7113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26206F46">
            <w:pPr>
              <w:pStyle w:val="190"/>
              <w:rPr>
                <w:rFonts w:ascii="Times New Roman" w:hAnsi="Times New Roman" w:cs="Times New Roman"/>
                <w:szCs w:val="18"/>
              </w:rPr>
            </w:pPr>
          </w:p>
        </w:tc>
        <w:tc>
          <w:tcPr>
            <w:tcW w:w="851" w:type="dxa"/>
            <w:vMerge w:val="restart"/>
            <w:vAlign w:val="center"/>
          </w:tcPr>
          <w:p w14:paraId="4559900B">
            <w:pPr>
              <w:pStyle w:val="190"/>
              <w:rPr>
                <w:rFonts w:ascii="Times New Roman" w:hAnsi="Times New Roman" w:cs="Times New Roman"/>
                <w:szCs w:val="18"/>
                <w:u w:color="000000"/>
              </w:rPr>
            </w:pPr>
            <w:r>
              <w:rPr>
                <w:rFonts w:ascii="Times New Roman" w:hAnsi="Times New Roman" w:cs="Times New Roman"/>
                <w:szCs w:val="18"/>
              </w:rPr>
              <w:t>地面冲洗水</w:t>
            </w:r>
          </w:p>
        </w:tc>
        <w:tc>
          <w:tcPr>
            <w:tcW w:w="992" w:type="dxa"/>
            <w:vAlign w:val="center"/>
          </w:tcPr>
          <w:p w14:paraId="17F7D801">
            <w:pPr>
              <w:pStyle w:val="190"/>
              <w:rPr>
                <w:rFonts w:ascii="Times New Roman" w:hAnsi="Times New Roman" w:cs="Times New Roman"/>
                <w:szCs w:val="18"/>
              </w:rPr>
            </w:pPr>
            <w:r>
              <w:rPr>
                <w:rFonts w:ascii="Times New Roman" w:hAnsi="Times New Roman" w:cs="Times New Roman"/>
                <w:kern w:val="2"/>
                <w:szCs w:val="18"/>
              </w:rPr>
              <w:t>COD</w:t>
            </w:r>
          </w:p>
        </w:tc>
        <w:tc>
          <w:tcPr>
            <w:tcW w:w="723" w:type="dxa"/>
            <w:vMerge w:val="restart"/>
            <w:vAlign w:val="center"/>
          </w:tcPr>
          <w:p w14:paraId="1A266852">
            <w:pPr>
              <w:pStyle w:val="190"/>
              <w:rPr>
                <w:rFonts w:ascii="Times New Roman" w:hAnsi="Times New Roman" w:cs="Times New Roman"/>
                <w:szCs w:val="18"/>
              </w:rPr>
            </w:pPr>
            <w:r>
              <w:rPr>
                <w:rFonts w:ascii="Times New Roman" w:hAnsi="Times New Roman" w:cs="Times New Roman"/>
                <w:kern w:val="2"/>
                <w:szCs w:val="18"/>
              </w:rPr>
              <w:t>类比法</w:t>
            </w:r>
          </w:p>
        </w:tc>
        <w:tc>
          <w:tcPr>
            <w:tcW w:w="911" w:type="dxa"/>
            <w:vMerge w:val="restart"/>
            <w:vAlign w:val="center"/>
          </w:tcPr>
          <w:p w14:paraId="4E7CCFFB">
            <w:pPr>
              <w:pStyle w:val="190"/>
              <w:rPr>
                <w:rFonts w:ascii="Times New Roman" w:hAnsi="Times New Roman" w:cs="Times New Roman"/>
                <w:szCs w:val="18"/>
              </w:rPr>
            </w:pPr>
            <w:r>
              <w:rPr>
                <w:rFonts w:hint="eastAsia" w:ascii="Times New Roman" w:hAnsi="Times New Roman" w:cs="Times New Roman"/>
                <w:szCs w:val="18"/>
              </w:rPr>
              <w:t>5</w:t>
            </w:r>
            <w:r>
              <w:rPr>
                <w:rFonts w:ascii="Times New Roman" w:hAnsi="Times New Roman" w:cs="Times New Roman"/>
                <w:szCs w:val="18"/>
              </w:rPr>
              <w:t>00</w:t>
            </w:r>
          </w:p>
        </w:tc>
        <w:tc>
          <w:tcPr>
            <w:tcW w:w="1078" w:type="dxa"/>
            <w:vAlign w:val="center"/>
          </w:tcPr>
          <w:p w14:paraId="2543A0E2">
            <w:pPr>
              <w:pStyle w:val="190"/>
              <w:rPr>
                <w:rFonts w:ascii="Times New Roman" w:hAnsi="Times New Roman" w:cs="Times New Roman"/>
                <w:szCs w:val="18"/>
              </w:rPr>
            </w:pPr>
            <w:r>
              <w:rPr>
                <w:rFonts w:hint="eastAsia" w:ascii="Times New Roman" w:hAnsi="Times New Roman" w:cs="Times New Roman"/>
                <w:szCs w:val="18"/>
              </w:rPr>
              <w:t>4</w:t>
            </w:r>
            <w:r>
              <w:rPr>
                <w:rFonts w:ascii="Times New Roman" w:hAnsi="Times New Roman" w:cs="Times New Roman"/>
                <w:szCs w:val="18"/>
              </w:rPr>
              <w:t>00</w:t>
            </w:r>
          </w:p>
        </w:tc>
        <w:tc>
          <w:tcPr>
            <w:tcW w:w="940" w:type="dxa"/>
            <w:vAlign w:val="center"/>
          </w:tcPr>
          <w:p w14:paraId="2E7FC9A1">
            <w:pPr>
              <w:jc w:val="center"/>
              <w:textAlignment w:val="center"/>
              <w:rPr>
                <w:rFonts w:ascii="Times New Roman" w:hAnsi="Times New Roman" w:cs="Times New Roman"/>
                <w:sz w:val="18"/>
                <w:szCs w:val="18"/>
              </w:rPr>
            </w:pPr>
            <w:r>
              <w:rPr>
                <w:rFonts w:ascii="Times New Roman" w:hAnsi="Times New Roman" w:cs="Times New Roman"/>
                <w:sz w:val="18"/>
                <w:szCs w:val="18"/>
              </w:rPr>
              <w:t>0.2</w:t>
            </w:r>
          </w:p>
        </w:tc>
        <w:tc>
          <w:tcPr>
            <w:tcW w:w="1629" w:type="dxa"/>
            <w:vMerge w:val="restart"/>
            <w:vAlign w:val="center"/>
          </w:tcPr>
          <w:p w14:paraId="776702EC">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713" w:type="dxa"/>
            <w:vMerge w:val="restart"/>
            <w:vAlign w:val="center"/>
          </w:tcPr>
          <w:p w14:paraId="45E804FB">
            <w:pPr>
              <w:pStyle w:val="190"/>
              <w:rPr>
                <w:rFonts w:ascii="Times New Roman" w:hAnsi="Times New Roman" w:cs="Times New Roman"/>
                <w:szCs w:val="18"/>
              </w:rPr>
            </w:pPr>
            <w:r>
              <w:rPr>
                <w:rFonts w:ascii="Times New Roman" w:hAnsi="Times New Roman" w:cs="Times New Roman"/>
                <w:kern w:val="2"/>
                <w:szCs w:val="18"/>
              </w:rPr>
              <w:t>间歇</w:t>
            </w:r>
          </w:p>
        </w:tc>
      </w:tr>
      <w:tr w14:paraId="2BE2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68" w:type="dxa"/>
            <w:vMerge w:val="continue"/>
            <w:vAlign w:val="center"/>
          </w:tcPr>
          <w:p w14:paraId="233AA1B8">
            <w:pPr>
              <w:pStyle w:val="190"/>
              <w:rPr>
                <w:rFonts w:ascii="Times New Roman" w:hAnsi="Times New Roman" w:cs="Times New Roman"/>
                <w:szCs w:val="18"/>
              </w:rPr>
            </w:pPr>
          </w:p>
        </w:tc>
        <w:tc>
          <w:tcPr>
            <w:tcW w:w="851" w:type="dxa"/>
            <w:vMerge w:val="continue"/>
            <w:vAlign w:val="center"/>
          </w:tcPr>
          <w:p w14:paraId="1B5AC3EC">
            <w:pPr>
              <w:pStyle w:val="190"/>
              <w:rPr>
                <w:rFonts w:ascii="Times New Roman" w:hAnsi="Times New Roman" w:cs="Times New Roman"/>
                <w:szCs w:val="18"/>
                <w:u w:color="000000"/>
              </w:rPr>
            </w:pPr>
          </w:p>
        </w:tc>
        <w:tc>
          <w:tcPr>
            <w:tcW w:w="992" w:type="dxa"/>
            <w:vAlign w:val="center"/>
          </w:tcPr>
          <w:p w14:paraId="041AF16E">
            <w:pPr>
              <w:pStyle w:val="190"/>
              <w:rPr>
                <w:rFonts w:ascii="Times New Roman" w:hAnsi="Times New Roman" w:cs="Times New Roman"/>
                <w:szCs w:val="18"/>
              </w:rPr>
            </w:pPr>
            <w:r>
              <w:rPr>
                <w:rFonts w:ascii="Times New Roman" w:hAnsi="Times New Roman" w:cs="Times New Roman"/>
                <w:szCs w:val="18"/>
                <w:u w:color="000000"/>
              </w:rPr>
              <w:t>氨氮</w:t>
            </w:r>
          </w:p>
        </w:tc>
        <w:tc>
          <w:tcPr>
            <w:tcW w:w="723" w:type="dxa"/>
            <w:vMerge w:val="continue"/>
            <w:vAlign w:val="center"/>
          </w:tcPr>
          <w:p w14:paraId="18ACC162">
            <w:pPr>
              <w:pStyle w:val="190"/>
              <w:rPr>
                <w:rFonts w:ascii="Times New Roman" w:hAnsi="Times New Roman" w:cs="Times New Roman"/>
                <w:szCs w:val="18"/>
              </w:rPr>
            </w:pPr>
          </w:p>
        </w:tc>
        <w:tc>
          <w:tcPr>
            <w:tcW w:w="911" w:type="dxa"/>
            <w:vMerge w:val="continue"/>
            <w:vAlign w:val="center"/>
          </w:tcPr>
          <w:p w14:paraId="36839DD3">
            <w:pPr>
              <w:pStyle w:val="190"/>
              <w:rPr>
                <w:rFonts w:ascii="Times New Roman" w:hAnsi="Times New Roman" w:cs="Times New Roman"/>
                <w:szCs w:val="18"/>
              </w:rPr>
            </w:pPr>
          </w:p>
        </w:tc>
        <w:tc>
          <w:tcPr>
            <w:tcW w:w="1078" w:type="dxa"/>
            <w:vAlign w:val="center"/>
          </w:tcPr>
          <w:p w14:paraId="724A7D98">
            <w:pPr>
              <w:pStyle w:val="190"/>
              <w:rPr>
                <w:rFonts w:ascii="Times New Roman" w:hAnsi="Times New Roman" w:cs="Times New Roman"/>
                <w:szCs w:val="18"/>
              </w:rPr>
            </w:pPr>
            <w:r>
              <w:rPr>
                <w:rFonts w:hint="eastAsia" w:ascii="Times New Roman" w:hAnsi="Times New Roman" w:cs="Times New Roman"/>
                <w:szCs w:val="18"/>
              </w:rPr>
              <w:t>35</w:t>
            </w:r>
          </w:p>
        </w:tc>
        <w:tc>
          <w:tcPr>
            <w:tcW w:w="940" w:type="dxa"/>
            <w:vAlign w:val="center"/>
          </w:tcPr>
          <w:p w14:paraId="2EC1172C">
            <w:pPr>
              <w:jc w:val="center"/>
              <w:textAlignment w:val="center"/>
              <w:rPr>
                <w:rFonts w:ascii="Times New Roman" w:hAnsi="Times New Roman" w:cs="Times New Roman"/>
                <w:sz w:val="18"/>
                <w:szCs w:val="18"/>
              </w:rPr>
            </w:pPr>
            <w:r>
              <w:rPr>
                <w:rFonts w:ascii="Times New Roman" w:hAnsi="Times New Roman" w:cs="Times New Roman"/>
                <w:sz w:val="18"/>
                <w:szCs w:val="18"/>
              </w:rPr>
              <w:t>0.018</w:t>
            </w:r>
          </w:p>
        </w:tc>
        <w:tc>
          <w:tcPr>
            <w:tcW w:w="1629" w:type="dxa"/>
            <w:vMerge w:val="continue"/>
            <w:vAlign w:val="center"/>
          </w:tcPr>
          <w:p w14:paraId="40A2BCA4">
            <w:pPr>
              <w:pStyle w:val="190"/>
              <w:rPr>
                <w:rFonts w:ascii="Times New Roman" w:hAnsi="Times New Roman" w:cs="Times New Roman"/>
                <w:szCs w:val="18"/>
              </w:rPr>
            </w:pPr>
          </w:p>
        </w:tc>
        <w:tc>
          <w:tcPr>
            <w:tcW w:w="713" w:type="dxa"/>
            <w:vMerge w:val="continue"/>
            <w:vAlign w:val="center"/>
          </w:tcPr>
          <w:p w14:paraId="3E2BA842">
            <w:pPr>
              <w:pStyle w:val="190"/>
              <w:rPr>
                <w:rFonts w:ascii="Times New Roman" w:hAnsi="Times New Roman" w:cs="Times New Roman"/>
                <w:szCs w:val="18"/>
              </w:rPr>
            </w:pPr>
          </w:p>
        </w:tc>
      </w:tr>
      <w:tr w14:paraId="4A35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36E567ED">
            <w:pPr>
              <w:pStyle w:val="190"/>
              <w:rPr>
                <w:rFonts w:ascii="Times New Roman" w:hAnsi="Times New Roman" w:cs="Times New Roman"/>
                <w:szCs w:val="18"/>
              </w:rPr>
            </w:pPr>
          </w:p>
        </w:tc>
        <w:tc>
          <w:tcPr>
            <w:tcW w:w="851" w:type="dxa"/>
            <w:vMerge w:val="continue"/>
            <w:vAlign w:val="center"/>
          </w:tcPr>
          <w:p w14:paraId="19D0B442">
            <w:pPr>
              <w:pStyle w:val="190"/>
              <w:rPr>
                <w:rFonts w:ascii="Times New Roman" w:hAnsi="Times New Roman" w:cs="Times New Roman"/>
                <w:szCs w:val="18"/>
                <w:u w:color="000000"/>
              </w:rPr>
            </w:pPr>
          </w:p>
        </w:tc>
        <w:tc>
          <w:tcPr>
            <w:tcW w:w="992" w:type="dxa"/>
            <w:vAlign w:val="center"/>
          </w:tcPr>
          <w:p w14:paraId="76A0148D">
            <w:pPr>
              <w:pStyle w:val="190"/>
              <w:rPr>
                <w:rFonts w:ascii="Times New Roman" w:hAnsi="Times New Roman" w:cs="Times New Roman"/>
                <w:szCs w:val="18"/>
              </w:rPr>
            </w:pPr>
            <w:r>
              <w:rPr>
                <w:rFonts w:ascii="Times New Roman" w:hAnsi="Times New Roman" w:cs="Times New Roman"/>
                <w:kern w:val="2"/>
                <w:szCs w:val="18"/>
              </w:rPr>
              <w:t>SS</w:t>
            </w:r>
          </w:p>
        </w:tc>
        <w:tc>
          <w:tcPr>
            <w:tcW w:w="723" w:type="dxa"/>
            <w:vMerge w:val="continue"/>
            <w:vAlign w:val="center"/>
          </w:tcPr>
          <w:p w14:paraId="7641577C">
            <w:pPr>
              <w:pStyle w:val="190"/>
              <w:rPr>
                <w:rFonts w:ascii="Times New Roman" w:hAnsi="Times New Roman" w:cs="Times New Roman"/>
                <w:szCs w:val="18"/>
              </w:rPr>
            </w:pPr>
          </w:p>
        </w:tc>
        <w:tc>
          <w:tcPr>
            <w:tcW w:w="911" w:type="dxa"/>
            <w:vMerge w:val="continue"/>
            <w:vAlign w:val="center"/>
          </w:tcPr>
          <w:p w14:paraId="43C63066">
            <w:pPr>
              <w:pStyle w:val="190"/>
              <w:rPr>
                <w:rFonts w:ascii="Times New Roman" w:hAnsi="Times New Roman" w:cs="Times New Roman"/>
                <w:szCs w:val="18"/>
              </w:rPr>
            </w:pPr>
          </w:p>
        </w:tc>
        <w:tc>
          <w:tcPr>
            <w:tcW w:w="1078" w:type="dxa"/>
            <w:vAlign w:val="center"/>
          </w:tcPr>
          <w:p w14:paraId="253B98BD">
            <w:pPr>
              <w:pStyle w:val="190"/>
              <w:rPr>
                <w:rFonts w:ascii="Times New Roman" w:hAnsi="Times New Roman" w:cs="Times New Roman"/>
                <w:szCs w:val="18"/>
              </w:rPr>
            </w:pPr>
            <w:r>
              <w:rPr>
                <w:rFonts w:hint="eastAsia" w:ascii="Times New Roman" w:hAnsi="Times New Roman" w:cs="Times New Roman"/>
                <w:szCs w:val="18"/>
              </w:rPr>
              <w:t>3</w:t>
            </w:r>
            <w:r>
              <w:rPr>
                <w:rFonts w:ascii="Times New Roman" w:hAnsi="Times New Roman" w:cs="Times New Roman"/>
                <w:szCs w:val="18"/>
              </w:rPr>
              <w:t>00</w:t>
            </w:r>
          </w:p>
        </w:tc>
        <w:tc>
          <w:tcPr>
            <w:tcW w:w="940" w:type="dxa"/>
            <w:vAlign w:val="center"/>
          </w:tcPr>
          <w:p w14:paraId="7A5F62C6">
            <w:pPr>
              <w:jc w:val="center"/>
              <w:textAlignment w:val="center"/>
              <w:rPr>
                <w:rFonts w:ascii="Times New Roman" w:hAnsi="Times New Roman" w:cs="Times New Roman"/>
                <w:sz w:val="18"/>
                <w:szCs w:val="18"/>
              </w:rPr>
            </w:pPr>
            <w:r>
              <w:rPr>
                <w:rFonts w:ascii="Times New Roman" w:hAnsi="Times New Roman" w:cs="Times New Roman"/>
                <w:sz w:val="18"/>
                <w:szCs w:val="18"/>
              </w:rPr>
              <w:t>0.15</w:t>
            </w:r>
          </w:p>
        </w:tc>
        <w:tc>
          <w:tcPr>
            <w:tcW w:w="1629" w:type="dxa"/>
            <w:vMerge w:val="continue"/>
            <w:vAlign w:val="center"/>
          </w:tcPr>
          <w:p w14:paraId="385D3726">
            <w:pPr>
              <w:pStyle w:val="190"/>
              <w:rPr>
                <w:rFonts w:ascii="Times New Roman" w:hAnsi="Times New Roman" w:cs="Times New Roman"/>
                <w:szCs w:val="18"/>
              </w:rPr>
            </w:pPr>
          </w:p>
        </w:tc>
        <w:tc>
          <w:tcPr>
            <w:tcW w:w="713" w:type="dxa"/>
            <w:vMerge w:val="continue"/>
            <w:vAlign w:val="center"/>
          </w:tcPr>
          <w:p w14:paraId="6B1971F6">
            <w:pPr>
              <w:pStyle w:val="190"/>
              <w:rPr>
                <w:rFonts w:ascii="Times New Roman" w:hAnsi="Times New Roman" w:cs="Times New Roman"/>
                <w:szCs w:val="18"/>
              </w:rPr>
            </w:pPr>
          </w:p>
        </w:tc>
      </w:tr>
      <w:bookmarkEnd w:id="159"/>
    </w:tbl>
    <w:p w14:paraId="0F77EBC1">
      <w:pPr>
        <w:pStyle w:val="281"/>
        <w:ind w:firstLine="480"/>
      </w:pPr>
      <w:r>
        <w:rPr>
          <w:rFonts w:hint="eastAsia"/>
        </w:rPr>
        <w:t>（3）噪声</w:t>
      </w:r>
    </w:p>
    <w:p w14:paraId="069C0C9B">
      <w:pPr>
        <w:pStyle w:val="281"/>
        <w:ind w:firstLine="480"/>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0dB之间，此类噪声为连续噪声源。各设备噪声源强参照《污染源源强核算技术指南 化肥工业》（HJ994-2018）附表B。</w:t>
      </w:r>
      <w:r>
        <w:rPr>
          <w:rFonts w:hint="eastAsia" w:ascii="宋体" w:hAnsi="宋体"/>
        </w:rPr>
        <w:t>硫回收单元</w:t>
      </w:r>
      <w:r>
        <w:rPr>
          <w:rFonts w:hint="eastAsia"/>
          <w:u w:color="000000"/>
        </w:rPr>
        <w:t>主要噪声源及治理情况见</w:t>
      </w:r>
      <w:r>
        <w:rPr>
          <w:rFonts w:hint="eastAsia"/>
        </w:rPr>
        <w:t>表3.2.</w:t>
      </w:r>
      <w:r>
        <w:t>3</w:t>
      </w:r>
      <w:r>
        <w:rPr>
          <w:rFonts w:hint="eastAsia"/>
        </w:rPr>
        <w:t>-41。</w:t>
      </w:r>
    </w:p>
    <w:p w14:paraId="2B9C4058">
      <w:pPr>
        <w:pStyle w:val="541"/>
        <w:rPr>
          <w:rFonts w:hint="eastAsia"/>
          <w:u w:color="000000"/>
        </w:rPr>
      </w:pPr>
      <w:r>
        <w:rPr>
          <w:rFonts w:hint="eastAsia"/>
        </w:rPr>
        <w:t>表3.2.3-41</w:t>
      </w:r>
      <w:r>
        <w:rPr>
          <w:u w:color="000000"/>
        </w:rPr>
        <w:t xml:space="preserve">    </w:t>
      </w:r>
      <w:r>
        <w:rPr>
          <w:rFonts w:hint="eastAsia" w:ascii="宋体" w:hAnsi="宋体"/>
        </w:rPr>
        <w:t>硫回收单元</w:t>
      </w:r>
      <w:r>
        <w:rPr>
          <w:rFonts w:hint="eastAsia"/>
          <w:u w:color="000000"/>
        </w:rPr>
        <w:t>噪声污染源一览表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7"/>
        <w:gridCol w:w="567"/>
        <w:gridCol w:w="709"/>
        <w:gridCol w:w="886"/>
        <w:gridCol w:w="648"/>
        <w:gridCol w:w="821"/>
        <w:gridCol w:w="1509"/>
        <w:gridCol w:w="426"/>
        <w:gridCol w:w="648"/>
        <w:gridCol w:w="548"/>
        <w:gridCol w:w="1076"/>
      </w:tblGrid>
      <w:tr w14:paraId="6272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67" w:type="dxa"/>
            <w:vMerge w:val="restart"/>
            <w:tcBorders>
              <w:top w:val="single" w:color="auto" w:sz="4" w:space="0"/>
              <w:left w:val="single" w:color="auto" w:sz="4" w:space="0"/>
              <w:right w:val="single" w:color="auto" w:sz="4" w:space="0"/>
            </w:tcBorders>
            <w:vAlign w:val="center"/>
          </w:tcPr>
          <w:p w14:paraId="245D45FD">
            <w:pPr>
              <w:jc w:val="center"/>
              <w:rPr>
                <w:rFonts w:ascii="Times New Roman" w:hAnsi="Times New Roman" w:cs="Times New Roman"/>
                <w:sz w:val="18"/>
                <w:szCs w:val="18"/>
              </w:rPr>
            </w:pPr>
            <w:r>
              <w:rPr>
                <w:rFonts w:ascii="Times New Roman" w:hAnsi="Times New Roman" w:cs="Times New Roman"/>
                <w:sz w:val="18"/>
                <w:szCs w:val="18"/>
              </w:rPr>
              <w:t>编号</w:t>
            </w:r>
          </w:p>
        </w:tc>
        <w:tc>
          <w:tcPr>
            <w:tcW w:w="567" w:type="dxa"/>
            <w:vMerge w:val="restart"/>
            <w:tcBorders>
              <w:top w:val="single" w:color="auto" w:sz="4" w:space="0"/>
              <w:left w:val="single" w:color="auto" w:sz="4" w:space="0"/>
              <w:right w:val="single" w:color="auto" w:sz="4" w:space="0"/>
            </w:tcBorders>
            <w:vAlign w:val="center"/>
          </w:tcPr>
          <w:p w14:paraId="2952C278">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709" w:type="dxa"/>
            <w:vMerge w:val="restart"/>
            <w:tcBorders>
              <w:top w:val="single" w:color="auto" w:sz="4" w:space="0"/>
              <w:left w:val="single" w:color="auto" w:sz="4" w:space="0"/>
              <w:right w:val="single" w:color="auto" w:sz="4" w:space="0"/>
            </w:tcBorders>
            <w:vAlign w:val="center"/>
          </w:tcPr>
          <w:p w14:paraId="66FB3AFA">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886" w:type="dxa"/>
            <w:vMerge w:val="restart"/>
            <w:tcBorders>
              <w:top w:val="single" w:color="auto" w:sz="4" w:space="0"/>
              <w:left w:val="single" w:color="auto" w:sz="4" w:space="0"/>
              <w:right w:val="single" w:color="auto" w:sz="4" w:space="0"/>
            </w:tcBorders>
            <w:vAlign w:val="center"/>
          </w:tcPr>
          <w:p w14:paraId="4F126A4D">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469" w:type="dxa"/>
            <w:gridSpan w:val="2"/>
            <w:tcBorders>
              <w:top w:val="single" w:color="auto" w:sz="4" w:space="0"/>
              <w:left w:val="single" w:color="auto" w:sz="4" w:space="0"/>
              <w:bottom w:val="single" w:color="auto" w:sz="4" w:space="0"/>
              <w:right w:val="single" w:color="auto" w:sz="4" w:space="0"/>
            </w:tcBorders>
            <w:vAlign w:val="center"/>
          </w:tcPr>
          <w:p w14:paraId="1084F1E1">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1935" w:type="dxa"/>
            <w:gridSpan w:val="2"/>
            <w:tcBorders>
              <w:top w:val="single" w:color="auto" w:sz="4" w:space="0"/>
              <w:left w:val="single" w:color="auto" w:sz="4" w:space="0"/>
              <w:right w:val="single" w:color="auto" w:sz="4" w:space="0"/>
            </w:tcBorders>
            <w:vAlign w:val="center"/>
          </w:tcPr>
          <w:p w14:paraId="573FF969">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196" w:type="dxa"/>
            <w:gridSpan w:val="2"/>
            <w:tcBorders>
              <w:top w:val="single" w:color="auto" w:sz="4" w:space="0"/>
              <w:left w:val="single" w:color="auto" w:sz="4" w:space="0"/>
              <w:right w:val="single" w:color="auto" w:sz="4" w:space="0"/>
            </w:tcBorders>
            <w:vAlign w:val="center"/>
          </w:tcPr>
          <w:p w14:paraId="4C502595">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1076" w:type="dxa"/>
            <w:vMerge w:val="restart"/>
            <w:tcBorders>
              <w:top w:val="single" w:color="auto" w:sz="4" w:space="0"/>
              <w:left w:val="single" w:color="auto" w:sz="4" w:space="0"/>
              <w:right w:val="single" w:color="auto" w:sz="4" w:space="0"/>
            </w:tcBorders>
            <w:vAlign w:val="center"/>
          </w:tcPr>
          <w:p w14:paraId="39BEA94F">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7AAD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67" w:type="dxa"/>
            <w:vMerge w:val="continue"/>
            <w:tcBorders>
              <w:left w:val="single" w:color="auto" w:sz="4" w:space="0"/>
              <w:bottom w:val="single" w:color="auto" w:sz="4" w:space="0"/>
              <w:right w:val="single" w:color="auto" w:sz="4" w:space="0"/>
            </w:tcBorders>
            <w:vAlign w:val="center"/>
          </w:tcPr>
          <w:p w14:paraId="4CD98A81">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50A3526D">
            <w:pPr>
              <w:jc w:val="center"/>
              <w:rPr>
                <w:rFonts w:ascii="Times New Roman" w:hAnsi="Times New Roman" w:cs="Times New Roman"/>
                <w:sz w:val="18"/>
                <w:szCs w:val="18"/>
              </w:rPr>
            </w:pPr>
          </w:p>
        </w:tc>
        <w:tc>
          <w:tcPr>
            <w:tcW w:w="709" w:type="dxa"/>
            <w:vMerge w:val="continue"/>
            <w:tcBorders>
              <w:left w:val="single" w:color="auto" w:sz="4" w:space="0"/>
              <w:bottom w:val="single" w:color="auto" w:sz="4" w:space="0"/>
              <w:right w:val="single" w:color="auto" w:sz="4" w:space="0"/>
            </w:tcBorders>
            <w:vAlign w:val="center"/>
          </w:tcPr>
          <w:p w14:paraId="249DF817">
            <w:pPr>
              <w:jc w:val="center"/>
              <w:rPr>
                <w:rFonts w:ascii="Times New Roman" w:hAnsi="Times New Roman" w:cs="Times New Roman"/>
                <w:sz w:val="18"/>
                <w:szCs w:val="18"/>
              </w:rPr>
            </w:pPr>
          </w:p>
        </w:tc>
        <w:tc>
          <w:tcPr>
            <w:tcW w:w="886" w:type="dxa"/>
            <w:vMerge w:val="continue"/>
            <w:tcBorders>
              <w:left w:val="single" w:color="auto" w:sz="4" w:space="0"/>
              <w:bottom w:val="single" w:color="auto" w:sz="4" w:space="0"/>
              <w:right w:val="single" w:color="auto" w:sz="4" w:space="0"/>
            </w:tcBorders>
            <w:vAlign w:val="center"/>
          </w:tcPr>
          <w:p w14:paraId="5B4351B0">
            <w:pPr>
              <w:jc w:val="center"/>
              <w:rPr>
                <w:rFonts w:ascii="Times New Roman" w:hAnsi="Times New Roman" w:cs="Times New Roman"/>
                <w:sz w:val="18"/>
                <w:szCs w:val="18"/>
              </w:rPr>
            </w:pPr>
          </w:p>
        </w:tc>
        <w:tc>
          <w:tcPr>
            <w:tcW w:w="648" w:type="dxa"/>
            <w:tcBorders>
              <w:top w:val="single" w:color="auto" w:sz="4" w:space="0"/>
              <w:left w:val="single" w:color="auto" w:sz="4" w:space="0"/>
              <w:bottom w:val="single" w:color="auto" w:sz="4" w:space="0"/>
              <w:right w:val="single" w:color="auto" w:sz="4" w:space="0"/>
            </w:tcBorders>
            <w:vAlign w:val="center"/>
          </w:tcPr>
          <w:p w14:paraId="40A1A3C8">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21" w:type="dxa"/>
            <w:tcBorders>
              <w:top w:val="single" w:color="auto" w:sz="4" w:space="0"/>
              <w:left w:val="single" w:color="auto" w:sz="4" w:space="0"/>
              <w:bottom w:val="single" w:color="auto" w:sz="4" w:space="0"/>
              <w:right w:val="single" w:color="auto" w:sz="4" w:space="0"/>
            </w:tcBorders>
            <w:vAlign w:val="center"/>
          </w:tcPr>
          <w:p w14:paraId="1414F724">
            <w:pPr>
              <w:jc w:val="center"/>
              <w:rPr>
                <w:rFonts w:ascii="Times New Roman" w:hAnsi="Times New Roman" w:cs="Times New Roman"/>
                <w:sz w:val="18"/>
                <w:szCs w:val="18"/>
              </w:rPr>
            </w:pPr>
            <w:r>
              <w:rPr>
                <w:rFonts w:ascii="Times New Roman" w:hAnsi="Times New Roman" w:cs="Times New Roman"/>
                <w:sz w:val="18"/>
                <w:szCs w:val="18"/>
              </w:rPr>
              <w:t>声源表</w:t>
            </w:r>
          </w:p>
          <w:p w14:paraId="0359DE7F">
            <w:pPr>
              <w:jc w:val="center"/>
              <w:rPr>
                <w:rFonts w:ascii="Times New Roman" w:hAnsi="Times New Roman" w:cs="Times New Roman"/>
                <w:sz w:val="18"/>
                <w:szCs w:val="18"/>
              </w:rPr>
            </w:pPr>
            <w:r>
              <w:rPr>
                <w:rFonts w:ascii="Times New Roman" w:hAnsi="Times New Roman" w:cs="Times New Roman"/>
                <w:sz w:val="18"/>
                <w:szCs w:val="18"/>
              </w:rPr>
              <w:t>达量dB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509" w:type="dxa"/>
            <w:tcBorders>
              <w:left w:val="single" w:color="auto" w:sz="4" w:space="0"/>
              <w:bottom w:val="single" w:color="auto" w:sz="4" w:space="0"/>
              <w:right w:val="single" w:color="auto" w:sz="4" w:space="0"/>
            </w:tcBorders>
            <w:vAlign w:val="center"/>
          </w:tcPr>
          <w:p w14:paraId="29B96D61">
            <w:pPr>
              <w:jc w:val="center"/>
              <w:rPr>
                <w:rFonts w:ascii="Times New Roman" w:hAnsi="Times New Roman" w:cs="Times New Roman"/>
                <w:sz w:val="18"/>
                <w:szCs w:val="18"/>
              </w:rPr>
            </w:pPr>
            <w:r>
              <w:rPr>
                <w:rFonts w:ascii="Times New Roman" w:hAnsi="Times New Roman" w:cs="Times New Roman"/>
                <w:sz w:val="18"/>
                <w:szCs w:val="18"/>
              </w:rPr>
              <w:t>工艺</w:t>
            </w:r>
          </w:p>
        </w:tc>
        <w:tc>
          <w:tcPr>
            <w:tcW w:w="426" w:type="dxa"/>
            <w:tcBorders>
              <w:left w:val="single" w:color="auto" w:sz="4" w:space="0"/>
              <w:bottom w:val="single" w:color="auto" w:sz="4" w:space="0"/>
              <w:right w:val="single" w:color="auto" w:sz="4" w:space="0"/>
            </w:tcBorders>
            <w:vAlign w:val="center"/>
          </w:tcPr>
          <w:p w14:paraId="49A5E167">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48" w:type="dxa"/>
            <w:tcBorders>
              <w:left w:val="single" w:color="auto" w:sz="4" w:space="0"/>
              <w:bottom w:val="single" w:color="auto" w:sz="4" w:space="0"/>
              <w:right w:val="single" w:color="auto" w:sz="4" w:space="0"/>
            </w:tcBorders>
            <w:vAlign w:val="center"/>
          </w:tcPr>
          <w:p w14:paraId="7BC50AF9">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548" w:type="dxa"/>
            <w:tcBorders>
              <w:left w:val="single" w:color="auto" w:sz="4" w:space="0"/>
              <w:bottom w:val="single" w:color="auto" w:sz="4" w:space="0"/>
              <w:right w:val="single" w:color="auto" w:sz="4" w:space="0"/>
            </w:tcBorders>
            <w:vAlign w:val="center"/>
          </w:tcPr>
          <w:p w14:paraId="5142FB80">
            <w:pPr>
              <w:jc w:val="center"/>
              <w:rPr>
                <w:rFonts w:ascii="Times New Roman" w:hAnsi="Times New Roman" w:cs="Times New Roman"/>
                <w:sz w:val="18"/>
                <w:szCs w:val="18"/>
              </w:rPr>
            </w:pPr>
            <w:r>
              <w:rPr>
                <w:rFonts w:ascii="Times New Roman" w:hAnsi="Times New Roman" w:cs="Times New Roman"/>
                <w:sz w:val="18"/>
                <w:szCs w:val="18"/>
              </w:rPr>
              <w:t>声源表</w:t>
            </w:r>
          </w:p>
          <w:p w14:paraId="11B73FE2">
            <w:pPr>
              <w:jc w:val="center"/>
              <w:rPr>
                <w:rFonts w:ascii="Times New Roman" w:hAnsi="Times New Roman" w:cs="Times New Roman"/>
                <w:sz w:val="18"/>
                <w:szCs w:val="18"/>
              </w:rPr>
            </w:pPr>
            <w:r>
              <w:rPr>
                <w:rFonts w:ascii="Times New Roman" w:hAnsi="Times New Roman" w:cs="Times New Roman"/>
                <w:sz w:val="18"/>
                <w:szCs w:val="18"/>
              </w:rPr>
              <w:t>达量</w:t>
            </w:r>
          </w:p>
          <w:p w14:paraId="3E1A8789">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076" w:type="dxa"/>
            <w:vMerge w:val="continue"/>
            <w:tcBorders>
              <w:left w:val="single" w:color="auto" w:sz="4" w:space="0"/>
              <w:bottom w:val="single" w:color="auto" w:sz="4" w:space="0"/>
              <w:right w:val="single" w:color="auto" w:sz="4" w:space="0"/>
            </w:tcBorders>
            <w:vAlign w:val="center"/>
          </w:tcPr>
          <w:p w14:paraId="1ACE62B8">
            <w:pPr>
              <w:jc w:val="center"/>
              <w:rPr>
                <w:rFonts w:ascii="Times New Roman" w:hAnsi="Times New Roman" w:cs="Times New Roman"/>
                <w:sz w:val="18"/>
                <w:szCs w:val="18"/>
              </w:rPr>
            </w:pPr>
          </w:p>
        </w:tc>
      </w:tr>
      <w:tr w14:paraId="6C33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67" w:type="dxa"/>
            <w:tcBorders>
              <w:left w:val="single" w:color="auto" w:sz="4" w:space="0"/>
              <w:right w:val="single" w:color="auto" w:sz="4" w:space="0"/>
            </w:tcBorders>
            <w:vAlign w:val="center"/>
          </w:tcPr>
          <w:p w14:paraId="002C65CB">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2-6</w:t>
            </w:r>
          </w:p>
        </w:tc>
        <w:tc>
          <w:tcPr>
            <w:tcW w:w="567" w:type="dxa"/>
            <w:tcBorders>
              <w:left w:val="single" w:color="auto" w:sz="4" w:space="0"/>
              <w:right w:val="single" w:color="auto" w:sz="4" w:space="0"/>
            </w:tcBorders>
            <w:vAlign w:val="center"/>
          </w:tcPr>
          <w:p w14:paraId="4249DFF5">
            <w:pPr>
              <w:jc w:val="center"/>
              <w:rPr>
                <w:rFonts w:ascii="Times New Roman" w:hAnsi="Times New Roman" w:cs="Times New Roman"/>
                <w:sz w:val="18"/>
                <w:szCs w:val="18"/>
              </w:rPr>
            </w:pPr>
            <w:r>
              <w:rPr>
                <w:rFonts w:ascii="Times New Roman" w:hAnsi="Times New Roman" w:cs="Times New Roman"/>
                <w:sz w:val="18"/>
                <w:szCs w:val="18"/>
              </w:rPr>
              <w:t>风机</w:t>
            </w:r>
          </w:p>
        </w:tc>
        <w:tc>
          <w:tcPr>
            <w:tcW w:w="709" w:type="dxa"/>
            <w:tcBorders>
              <w:left w:val="single" w:color="auto" w:sz="4" w:space="0"/>
              <w:bottom w:val="single" w:color="auto" w:sz="4" w:space="0"/>
              <w:right w:val="single" w:color="auto" w:sz="4" w:space="0"/>
            </w:tcBorders>
            <w:vAlign w:val="center"/>
          </w:tcPr>
          <w:p w14:paraId="27219139">
            <w:pPr>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886" w:type="dxa"/>
            <w:tcBorders>
              <w:left w:val="single" w:color="auto" w:sz="4" w:space="0"/>
              <w:bottom w:val="single" w:color="auto" w:sz="4" w:space="0"/>
              <w:right w:val="single" w:color="auto" w:sz="4" w:space="0"/>
            </w:tcBorders>
            <w:vAlign w:val="center"/>
          </w:tcPr>
          <w:p w14:paraId="4DCD0A0D">
            <w:pPr>
              <w:jc w:val="center"/>
              <w:rPr>
                <w:rFonts w:ascii="Times New Roman" w:hAnsi="Times New Roman" w:cs="Times New Roman"/>
                <w:sz w:val="18"/>
                <w:szCs w:val="18"/>
              </w:rPr>
            </w:pPr>
            <w:r>
              <w:rPr>
                <w:rFonts w:ascii="Times New Roman" w:hAnsi="Times New Roman" w:cs="Times New Roman"/>
                <w:sz w:val="18"/>
                <w:szCs w:val="18"/>
              </w:rPr>
              <w:t>连续</w:t>
            </w:r>
          </w:p>
        </w:tc>
        <w:tc>
          <w:tcPr>
            <w:tcW w:w="648" w:type="dxa"/>
            <w:tcBorders>
              <w:top w:val="single" w:color="auto" w:sz="4" w:space="0"/>
              <w:left w:val="single" w:color="auto" w:sz="4" w:space="0"/>
              <w:bottom w:val="single" w:color="auto" w:sz="4" w:space="0"/>
              <w:right w:val="single" w:color="auto" w:sz="4" w:space="0"/>
            </w:tcBorders>
            <w:vAlign w:val="center"/>
          </w:tcPr>
          <w:p w14:paraId="4E078677">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21" w:type="dxa"/>
            <w:tcBorders>
              <w:top w:val="single" w:color="auto" w:sz="4" w:space="0"/>
              <w:left w:val="single" w:color="auto" w:sz="4" w:space="0"/>
              <w:bottom w:val="single" w:color="auto" w:sz="4" w:space="0"/>
              <w:right w:val="single" w:color="auto" w:sz="4" w:space="0"/>
            </w:tcBorders>
            <w:vAlign w:val="center"/>
          </w:tcPr>
          <w:p w14:paraId="11BE52BC">
            <w:pPr>
              <w:jc w:val="center"/>
              <w:rPr>
                <w:rFonts w:ascii="Times New Roman" w:hAnsi="Times New Roman" w:cs="Times New Roman"/>
                <w:sz w:val="18"/>
                <w:szCs w:val="18"/>
              </w:rPr>
            </w:pPr>
            <w:r>
              <w:rPr>
                <w:rFonts w:ascii="Times New Roman" w:hAnsi="Times New Roman" w:cs="Times New Roman"/>
                <w:sz w:val="18"/>
                <w:szCs w:val="18"/>
              </w:rPr>
              <w:t>90</w:t>
            </w:r>
          </w:p>
        </w:tc>
        <w:tc>
          <w:tcPr>
            <w:tcW w:w="1509" w:type="dxa"/>
            <w:tcBorders>
              <w:left w:val="single" w:color="auto" w:sz="4" w:space="0"/>
              <w:bottom w:val="single" w:color="auto" w:sz="4" w:space="0"/>
              <w:right w:val="single" w:color="auto" w:sz="4" w:space="0"/>
            </w:tcBorders>
            <w:vAlign w:val="center"/>
          </w:tcPr>
          <w:p w14:paraId="4D789F0F">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426" w:type="dxa"/>
            <w:tcBorders>
              <w:left w:val="single" w:color="auto" w:sz="4" w:space="0"/>
              <w:bottom w:val="single" w:color="auto" w:sz="4" w:space="0"/>
              <w:right w:val="single" w:color="auto" w:sz="4" w:space="0"/>
            </w:tcBorders>
            <w:vAlign w:val="center"/>
          </w:tcPr>
          <w:p w14:paraId="277AD519">
            <w:pPr>
              <w:jc w:val="center"/>
              <w:rPr>
                <w:rFonts w:ascii="Times New Roman" w:hAnsi="Times New Roman" w:cs="Times New Roman"/>
                <w:sz w:val="18"/>
                <w:szCs w:val="18"/>
              </w:rPr>
            </w:pPr>
            <w:r>
              <w:rPr>
                <w:rFonts w:ascii="Times New Roman" w:hAnsi="Times New Roman" w:cs="Times New Roman"/>
                <w:sz w:val="18"/>
                <w:szCs w:val="18"/>
              </w:rPr>
              <w:t>20</w:t>
            </w:r>
          </w:p>
        </w:tc>
        <w:tc>
          <w:tcPr>
            <w:tcW w:w="648" w:type="dxa"/>
            <w:tcBorders>
              <w:left w:val="single" w:color="auto" w:sz="4" w:space="0"/>
              <w:bottom w:val="single" w:color="auto" w:sz="4" w:space="0"/>
              <w:right w:val="single" w:color="auto" w:sz="4" w:space="0"/>
            </w:tcBorders>
            <w:vAlign w:val="center"/>
          </w:tcPr>
          <w:p w14:paraId="2E4DE0F9">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548" w:type="dxa"/>
            <w:tcBorders>
              <w:left w:val="single" w:color="auto" w:sz="4" w:space="0"/>
              <w:bottom w:val="single" w:color="auto" w:sz="4" w:space="0"/>
              <w:right w:val="single" w:color="auto" w:sz="4" w:space="0"/>
            </w:tcBorders>
            <w:vAlign w:val="center"/>
          </w:tcPr>
          <w:p w14:paraId="7CBC6F78">
            <w:pPr>
              <w:jc w:val="center"/>
              <w:rPr>
                <w:rFonts w:ascii="Times New Roman" w:hAnsi="Times New Roman" w:cs="Times New Roman"/>
                <w:sz w:val="18"/>
                <w:szCs w:val="18"/>
              </w:rPr>
            </w:pPr>
            <w:r>
              <w:rPr>
                <w:rFonts w:ascii="Times New Roman" w:hAnsi="Times New Roman" w:cs="Times New Roman"/>
                <w:sz w:val="18"/>
                <w:szCs w:val="18"/>
              </w:rPr>
              <w:t>70</w:t>
            </w:r>
          </w:p>
        </w:tc>
        <w:tc>
          <w:tcPr>
            <w:tcW w:w="1076" w:type="dxa"/>
            <w:tcBorders>
              <w:left w:val="single" w:color="auto" w:sz="4" w:space="0"/>
              <w:bottom w:val="single" w:color="auto" w:sz="4" w:space="0"/>
              <w:right w:val="single" w:color="auto" w:sz="4" w:space="0"/>
            </w:tcBorders>
            <w:vAlign w:val="center"/>
          </w:tcPr>
          <w:p w14:paraId="640D4594">
            <w:pPr>
              <w:jc w:val="center"/>
              <w:rPr>
                <w:rFonts w:ascii="Times New Roman" w:hAnsi="Times New Roman" w:cs="Times New Roman"/>
                <w:sz w:val="18"/>
                <w:szCs w:val="18"/>
              </w:rPr>
            </w:pPr>
            <w:r>
              <w:rPr>
                <w:rFonts w:ascii="Times New Roman" w:hAnsi="Times New Roman" w:cs="Times New Roman"/>
                <w:sz w:val="18"/>
                <w:szCs w:val="18"/>
              </w:rPr>
              <w:t>8000</w:t>
            </w:r>
          </w:p>
        </w:tc>
      </w:tr>
      <w:tr w14:paraId="5999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67" w:type="dxa"/>
            <w:tcBorders>
              <w:left w:val="single" w:color="auto" w:sz="4" w:space="0"/>
              <w:right w:val="single" w:color="auto" w:sz="4" w:space="0"/>
            </w:tcBorders>
            <w:vAlign w:val="center"/>
          </w:tcPr>
          <w:p w14:paraId="01D32680">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2-7</w:t>
            </w:r>
          </w:p>
        </w:tc>
        <w:tc>
          <w:tcPr>
            <w:tcW w:w="567" w:type="dxa"/>
            <w:tcBorders>
              <w:left w:val="single" w:color="auto" w:sz="4" w:space="0"/>
              <w:right w:val="single" w:color="auto" w:sz="4" w:space="0"/>
            </w:tcBorders>
            <w:vAlign w:val="center"/>
          </w:tcPr>
          <w:p w14:paraId="1C789CCC">
            <w:pPr>
              <w:jc w:val="center"/>
              <w:rPr>
                <w:rFonts w:ascii="Times New Roman" w:hAnsi="Times New Roman" w:cs="Times New Roman"/>
                <w:sz w:val="18"/>
                <w:szCs w:val="18"/>
              </w:rPr>
            </w:pPr>
            <w:r>
              <w:rPr>
                <w:rFonts w:ascii="Times New Roman" w:hAnsi="Times New Roman" w:cs="Times New Roman"/>
                <w:sz w:val="18"/>
                <w:szCs w:val="18"/>
              </w:rPr>
              <w:t>机泵</w:t>
            </w:r>
          </w:p>
        </w:tc>
        <w:tc>
          <w:tcPr>
            <w:tcW w:w="709" w:type="dxa"/>
            <w:tcBorders>
              <w:left w:val="single" w:color="auto" w:sz="4" w:space="0"/>
              <w:right w:val="single" w:color="auto" w:sz="4" w:space="0"/>
            </w:tcBorders>
            <w:vAlign w:val="center"/>
          </w:tcPr>
          <w:p w14:paraId="5A23FC9A">
            <w:pPr>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886" w:type="dxa"/>
            <w:tcBorders>
              <w:left w:val="single" w:color="auto" w:sz="4" w:space="0"/>
              <w:right w:val="single" w:color="auto" w:sz="4" w:space="0"/>
            </w:tcBorders>
            <w:vAlign w:val="center"/>
          </w:tcPr>
          <w:p w14:paraId="319E7D28">
            <w:pPr>
              <w:jc w:val="center"/>
              <w:rPr>
                <w:rFonts w:ascii="Times New Roman" w:hAnsi="Times New Roman" w:cs="Times New Roman"/>
                <w:sz w:val="18"/>
                <w:szCs w:val="18"/>
              </w:rPr>
            </w:pPr>
            <w:r>
              <w:rPr>
                <w:rFonts w:ascii="Times New Roman" w:hAnsi="Times New Roman" w:cs="Times New Roman"/>
                <w:sz w:val="18"/>
                <w:szCs w:val="18"/>
              </w:rPr>
              <w:t>连续</w:t>
            </w:r>
          </w:p>
        </w:tc>
        <w:tc>
          <w:tcPr>
            <w:tcW w:w="648" w:type="dxa"/>
            <w:tcBorders>
              <w:top w:val="single" w:color="auto" w:sz="4" w:space="0"/>
              <w:left w:val="single" w:color="auto" w:sz="4" w:space="0"/>
              <w:bottom w:val="single" w:color="auto" w:sz="4" w:space="0"/>
              <w:right w:val="single" w:color="auto" w:sz="4" w:space="0"/>
            </w:tcBorders>
            <w:vAlign w:val="center"/>
          </w:tcPr>
          <w:p w14:paraId="28343FE0">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21" w:type="dxa"/>
            <w:tcBorders>
              <w:top w:val="single" w:color="auto" w:sz="4" w:space="0"/>
              <w:left w:val="single" w:color="auto" w:sz="4" w:space="0"/>
              <w:bottom w:val="single" w:color="auto" w:sz="4" w:space="0"/>
              <w:right w:val="single" w:color="auto" w:sz="4" w:space="0"/>
            </w:tcBorders>
            <w:vAlign w:val="center"/>
          </w:tcPr>
          <w:p w14:paraId="77832DC4">
            <w:pPr>
              <w:jc w:val="center"/>
              <w:rPr>
                <w:rFonts w:ascii="Times New Roman" w:hAnsi="Times New Roman" w:cs="Times New Roman"/>
                <w:sz w:val="18"/>
                <w:szCs w:val="18"/>
              </w:rPr>
            </w:pPr>
            <w:r>
              <w:rPr>
                <w:rFonts w:ascii="Times New Roman" w:hAnsi="Times New Roman" w:cs="Times New Roman"/>
                <w:sz w:val="18"/>
                <w:szCs w:val="18"/>
              </w:rPr>
              <w:t>90</w:t>
            </w:r>
          </w:p>
        </w:tc>
        <w:tc>
          <w:tcPr>
            <w:tcW w:w="1509" w:type="dxa"/>
            <w:tcBorders>
              <w:left w:val="single" w:color="auto" w:sz="4" w:space="0"/>
              <w:right w:val="single" w:color="auto" w:sz="4" w:space="0"/>
            </w:tcBorders>
            <w:vAlign w:val="center"/>
          </w:tcPr>
          <w:p w14:paraId="7E7FBDA6">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6" w:type="dxa"/>
            <w:tcBorders>
              <w:left w:val="single" w:color="auto" w:sz="4" w:space="0"/>
              <w:right w:val="single" w:color="auto" w:sz="4" w:space="0"/>
            </w:tcBorders>
            <w:vAlign w:val="center"/>
          </w:tcPr>
          <w:p w14:paraId="059B767B">
            <w:pPr>
              <w:jc w:val="center"/>
              <w:rPr>
                <w:rFonts w:ascii="Times New Roman" w:hAnsi="Times New Roman" w:cs="Times New Roman"/>
                <w:sz w:val="18"/>
                <w:szCs w:val="18"/>
              </w:rPr>
            </w:pPr>
            <w:r>
              <w:rPr>
                <w:rFonts w:ascii="Times New Roman" w:hAnsi="Times New Roman" w:cs="Times New Roman"/>
                <w:sz w:val="18"/>
                <w:szCs w:val="18"/>
              </w:rPr>
              <w:t>20</w:t>
            </w:r>
          </w:p>
        </w:tc>
        <w:tc>
          <w:tcPr>
            <w:tcW w:w="648" w:type="dxa"/>
            <w:tcBorders>
              <w:left w:val="single" w:color="auto" w:sz="4" w:space="0"/>
              <w:right w:val="single" w:color="auto" w:sz="4" w:space="0"/>
            </w:tcBorders>
            <w:vAlign w:val="center"/>
          </w:tcPr>
          <w:p w14:paraId="381CF2D3">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548" w:type="dxa"/>
            <w:tcBorders>
              <w:left w:val="single" w:color="auto" w:sz="4" w:space="0"/>
              <w:right w:val="single" w:color="auto" w:sz="4" w:space="0"/>
            </w:tcBorders>
            <w:vAlign w:val="center"/>
          </w:tcPr>
          <w:p w14:paraId="499C4D96">
            <w:pPr>
              <w:jc w:val="center"/>
              <w:rPr>
                <w:rFonts w:ascii="Times New Roman" w:hAnsi="Times New Roman" w:cs="Times New Roman"/>
                <w:sz w:val="18"/>
                <w:szCs w:val="18"/>
              </w:rPr>
            </w:pPr>
            <w:r>
              <w:rPr>
                <w:rFonts w:ascii="Times New Roman" w:hAnsi="Times New Roman" w:cs="Times New Roman"/>
                <w:sz w:val="18"/>
                <w:szCs w:val="18"/>
              </w:rPr>
              <w:t>70</w:t>
            </w:r>
          </w:p>
        </w:tc>
        <w:tc>
          <w:tcPr>
            <w:tcW w:w="1076" w:type="dxa"/>
            <w:tcBorders>
              <w:left w:val="single" w:color="auto" w:sz="4" w:space="0"/>
              <w:right w:val="single" w:color="auto" w:sz="4" w:space="0"/>
            </w:tcBorders>
            <w:vAlign w:val="center"/>
          </w:tcPr>
          <w:p w14:paraId="0C595188">
            <w:pPr>
              <w:jc w:val="center"/>
              <w:rPr>
                <w:rFonts w:ascii="Times New Roman" w:hAnsi="Times New Roman" w:cs="Times New Roman"/>
                <w:sz w:val="18"/>
                <w:szCs w:val="18"/>
              </w:rPr>
            </w:pPr>
            <w:r>
              <w:rPr>
                <w:rFonts w:ascii="Times New Roman" w:hAnsi="Times New Roman" w:cs="Times New Roman"/>
                <w:sz w:val="18"/>
                <w:szCs w:val="18"/>
              </w:rPr>
              <w:t>8000</w:t>
            </w:r>
          </w:p>
        </w:tc>
      </w:tr>
    </w:tbl>
    <w:p w14:paraId="70DC2F7D">
      <w:pPr>
        <w:pStyle w:val="281"/>
        <w:ind w:firstLine="480"/>
        <w:rPr>
          <w:u w:color="000000"/>
        </w:rPr>
      </w:pPr>
      <w:r>
        <w:rPr>
          <w:rFonts w:hint="eastAsia"/>
          <w:u w:color="000000"/>
        </w:rPr>
        <w:t>（4）固废</w:t>
      </w:r>
    </w:p>
    <w:p w14:paraId="4A16B19D">
      <w:pPr>
        <w:pStyle w:val="281"/>
        <w:ind w:firstLine="480"/>
        <w:rPr>
          <w:u w:color="000000"/>
        </w:rPr>
      </w:pPr>
      <w:r>
        <w:rPr>
          <w:rFonts w:hint="eastAsia" w:ascii="宋体" w:hAnsi="宋体"/>
        </w:rPr>
        <w:t>硫回收单元</w:t>
      </w:r>
      <w:r>
        <w:rPr>
          <w:rFonts w:hint="eastAsia"/>
          <w:u w:color="000000"/>
        </w:rPr>
        <w:t>固废主要为废吸附剂，</w:t>
      </w:r>
      <w:r>
        <w:rPr>
          <w:rFonts w:hint="eastAsia" w:ascii="宋体" w:hAnsi="宋体"/>
        </w:rPr>
        <w:t>硫回收单元</w:t>
      </w:r>
      <w:r>
        <w:rPr>
          <w:rFonts w:hint="eastAsia"/>
          <w:u w:color="000000"/>
        </w:rPr>
        <w:t>固废产排情况见</w:t>
      </w:r>
      <w:r>
        <w:rPr>
          <w:rFonts w:hint="eastAsia"/>
        </w:rPr>
        <w:t>表3.2.</w:t>
      </w:r>
      <w:r>
        <w:t>3</w:t>
      </w:r>
      <w:r>
        <w:rPr>
          <w:rFonts w:hint="eastAsia"/>
        </w:rPr>
        <w:t>-42。</w:t>
      </w:r>
    </w:p>
    <w:p w14:paraId="63A8C0C1">
      <w:pPr>
        <w:pStyle w:val="535"/>
        <w:rPr>
          <w:rFonts w:hint="eastAsia" w:ascii="宋体" w:hAnsi="宋体"/>
          <w:bCs/>
          <w:color w:val="auto"/>
        </w:rPr>
      </w:pPr>
      <w:r>
        <w:rPr>
          <w:rFonts w:hint="eastAsia"/>
          <w:color w:val="auto"/>
        </w:rPr>
        <w:t>表3.2.</w:t>
      </w:r>
      <w:r>
        <w:rPr>
          <w:color w:val="auto"/>
        </w:rPr>
        <w:t>3</w:t>
      </w:r>
      <w:r>
        <w:rPr>
          <w:rFonts w:hint="eastAsia"/>
          <w:color w:val="auto"/>
        </w:rPr>
        <w:t>-42</w:t>
      </w:r>
      <w:r>
        <w:rPr>
          <w:color w:val="auto"/>
          <w:u w:color="000000"/>
        </w:rPr>
        <w:t xml:space="preserve">    </w:t>
      </w:r>
      <w:r>
        <w:rPr>
          <w:rFonts w:hint="eastAsia" w:ascii="宋体" w:hAnsi="宋体"/>
          <w:color w:val="auto"/>
        </w:rPr>
        <w:t>硫回收单元</w:t>
      </w:r>
      <w:r>
        <w:rPr>
          <w:rFonts w:hint="eastAsia"/>
          <w:color w:val="auto"/>
        </w:rPr>
        <w:t>固体废物污染源源强核算</w:t>
      </w:r>
      <w:r>
        <w:rPr>
          <w:rFonts w:hint="eastAsia"/>
          <w:color w:val="auto"/>
          <w:u w:color="000000"/>
        </w:rPr>
        <w:t>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67"/>
        <w:gridCol w:w="1948"/>
        <w:gridCol w:w="924"/>
        <w:gridCol w:w="1627"/>
        <w:gridCol w:w="927"/>
        <w:gridCol w:w="1485"/>
        <w:gridCol w:w="927"/>
      </w:tblGrid>
      <w:tr w14:paraId="47DC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14:paraId="5BF79B75">
            <w:pPr>
              <w:pStyle w:val="557"/>
            </w:pPr>
            <w:r>
              <w:t>编号</w:t>
            </w:r>
          </w:p>
        </w:tc>
        <w:tc>
          <w:tcPr>
            <w:tcW w:w="1948" w:type="dxa"/>
            <w:vMerge w:val="restart"/>
            <w:tcBorders>
              <w:top w:val="single" w:color="auto" w:sz="4" w:space="0"/>
              <w:left w:val="single" w:color="auto" w:sz="4" w:space="0"/>
              <w:bottom w:val="single" w:color="auto" w:sz="4" w:space="0"/>
              <w:right w:val="single" w:color="auto" w:sz="4" w:space="0"/>
            </w:tcBorders>
            <w:vAlign w:val="center"/>
          </w:tcPr>
          <w:p w14:paraId="4513AE32">
            <w:pPr>
              <w:pStyle w:val="557"/>
            </w:pPr>
            <w:r>
              <w:t>固废名称</w:t>
            </w:r>
          </w:p>
        </w:tc>
        <w:tc>
          <w:tcPr>
            <w:tcW w:w="2551" w:type="dxa"/>
            <w:gridSpan w:val="2"/>
            <w:tcBorders>
              <w:top w:val="single" w:color="auto" w:sz="4" w:space="0"/>
              <w:left w:val="single" w:color="auto" w:sz="4" w:space="0"/>
              <w:bottom w:val="single" w:color="auto" w:sz="4" w:space="0"/>
              <w:right w:val="single" w:color="auto" w:sz="4" w:space="0"/>
            </w:tcBorders>
            <w:vAlign w:val="center"/>
          </w:tcPr>
          <w:p w14:paraId="1F0E9413">
            <w:pPr>
              <w:pStyle w:val="557"/>
            </w:pPr>
            <w:r>
              <w:t>固废属性</w:t>
            </w:r>
          </w:p>
        </w:tc>
        <w:tc>
          <w:tcPr>
            <w:tcW w:w="927" w:type="dxa"/>
            <w:vMerge w:val="restart"/>
            <w:tcBorders>
              <w:top w:val="single" w:color="auto" w:sz="4" w:space="0"/>
              <w:left w:val="single" w:color="auto" w:sz="4" w:space="0"/>
              <w:bottom w:val="single" w:color="auto" w:sz="4" w:space="0"/>
              <w:right w:val="single" w:color="auto" w:sz="4" w:space="0"/>
            </w:tcBorders>
            <w:vAlign w:val="center"/>
          </w:tcPr>
          <w:p w14:paraId="0D536390">
            <w:pPr>
              <w:pStyle w:val="557"/>
            </w:pPr>
            <w:r>
              <w:t>产生量</w:t>
            </w:r>
          </w:p>
        </w:tc>
        <w:tc>
          <w:tcPr>
            <w:tcW w:w="1485" w:type="dxa"/>
            <w:vMerge w:val="restart"/>
            <w:tcBorders>
              <w:top w:val="single" w:color="auto" w:sz="4" w:space="0"/>
              <w:left w:val="single" w:color="auto" w:sz="4" w:space="0"/>
              <w:bottom w:val="single" w:color="auto" w:sz="4" w:space="0"/>
              <w:right w:val="single" w:color="auto" w:sz="4" w:space="0"/>
            </w:tcBorders>
            <w:vAlign w:val="center"/>
          </w:tcPr>
          <w:p w14:paraId="531F49CD">
            <w:pPr>
              <w:pStyle w:val="557"/>
            </w:pPr>
            <w:r>
              <w:t>处理措施</w:t>
            </w:r>
          </w:p>
        </w:tc>
        <w:tc>
          <w:tcPr>
            <w:tcW w:w="927" w:type="dxa"/>
            <w:vMerge w:val="restart"/>
            <w:tcBorders>
              <w:top w:val="single" w:color="auto" w:sz="4" w:space="0"/>
              <w:left w:val="single" w:color="auto" w:sz="4" w:space="0"/>
              <w:bottom w:val="single" w:color="auto" w:sz="4" w:space="0"/>
              <w:right w:val="single" w:color="auto" w:sz="4" w:space="0"/>
            </w:tcBorders>
            <w:vAlign w:val="center"/>
          </w:tcPr>
          <w:p w14:paraId="725F2A0A">
            <w:pPr>
              <w:pStyle w:val="557"/>
            </w:pPr>
            <w:r>
              <w:t>处理量</w:t>
            </w:r>
          </w:p>
        </w:tc>
      </w:tr>
      <w:tr w14:paraId="4C8C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67" w:type="dxa"/>
            <w:vMerge w:val="continue"/>
            <w:tcBorders>
              <w:left w:val="single" w:color="auto" w:sz="4" w:space="0"/>
              <w:bottom w:val="single" w:color="auto" w:sz="4" w:space="0"/>
              <w:right w:val="single" w:color="auto" w:sz="4" w:space="0"/>
            </w:tcBorders>
            <w:vAlign w:val="center"/>
          </w:tcPr>
          <w:p w14:paraId="7C275359">
            <w:pPr>
              <w:pStyle w:val="557"/>
            </w:pPr>
          </w:p>
        </w:tc>
        <w:tc>
          <w:tcPr>
            <w:tcW w:w="1948" w:type="dxa"/>
            <w:vMerge w:val="continue"/>
            <w:tcBorders>
              <w:left w:val="single" w:color="auto" w:sz="4" w:space="0"/>
              <w:bottom w:val="single" w:color="auto" w:sz="4" w:space="0"/>
              <w:right w:val="single" w:color="auto" w:sz="4" w:space="0"/>
            </w:tcBorders>
            <w:vAlign w:val="center"/>
          </w:tcPr>
          <w:p w14:paraId="0BB582DC">
            <w:pPr>
              <w:pStyle w:val="557"/>
            </w:pPr>
          </w:p>
        </w:tc>
        <w:tc>
          <w:tcPr>
            <w:tcW w:w="924" w:type="dxa"/>
            <w:tcBorders>
              <w:left w:val="single" w:color="auto" w:sz="4" w:space="0"/>
              <w:bottom w:val="single" w:color="auto" w:sz="4" w:space="0"/>
              <w:right w:val="single" w:color="auto" w:sz="4" w:space="0"/>
            </w:tcBorders>
            <w:vAlign w:val="center"/>
          </w:tcPr>
          <w:p w14:paraId="4D69D969">
            <w:pPr>
              <w:pStyle w:val="557"/>
            </w:pPr>
            <w:r>
              <w:t>固废属性</w:t>
            </w:r>
          </w:p>
        </w:tc>
        <w:tc>
          <w:tcPr>
            <w:tcW w:w="1627" w:type="dxa"/>
            <w:tcBorders>
              <w:left w:val="single" w:color="auto" w:sz="4" w:space="0"/>
              <w:bottom w:val="single" w:color="auto" w:sz="4" w:space="0"/>
              <w:right w:val="single" w:color="auto" w:sz="4" w:space="0"/>
            </w:tcBorders>
            <w:vAlign w:val="center"/>
          </w:tcPr>
          <w:p w14:paraId="70C6606A">
            <w:pPr>
              <w:pStyle w:val="557"/>
            </w:pPr>
            <w:r>
              <w:t>代码</w:t>
            </w:r>
          </w:p>
        </w:tc>
        <w:tc>
          <w:tcPr>
            <w:tcW w:w="927" w:type="dxa"/>
            <w:vMerge w:val="continue"/>
            <w:tcBorders>
              <w:left w:val="single" w:color="auto" w:sz="4" w:space="0"/>
              <w:bottom w:val="single" w:color="auto" w:sz="4" w:space="0"/>
              <w:right w:val="single" w:color="auto" w:sz="4" w:space="0"/>
            </w:tcBorders>
            <w:vAlign w:val="center"/>
          </w:tcPr>
          <w:p w14:paraId="056DC975">
            <w:pPr>
              <w:pStyle w:val="557"/>
            </w:pPr>
          </w:p>
        </w:tc>
        <w:tc>
          <w:tcPr>
            <w:tcW w:w="1485" w:type="dxa"/>
            <w:vMerge w:val="continue"/>
            <w:tcBorders>
              <w:left w:val="single" w:color="auto" w:sz="4" w:space="0"/>
              <w:bottom w:val="single" w:color="auto" w:sz="4" w:space="0"/>
              <w:right w:val="single" w:color="auto" w:sz="4" w:space="0"/>
            </w:tcBorders>
            <w:vAlign w:val="center"/>
          </w:tcPr>
          <w:p w14:paraId="5FD64639">
            <w:pPr>
              <w:pStyle w:val="557"/>
            </w:pPr>
          </w:p>
        </w:tc>
        <w:tc>
          <w:tcPr>
            <w:tcW w:w="927" w:type="dxa"/>
            <w:vMerge w:val="continue"/>
            <w:tcBorders>
              <w:left w:val="single" w:color="auto" w:sz="4" w:space="0"/>
              <w:bottom w:val="single" w:color="auto" w:sz="4" w:space="0"/>
              <w:right w:val="single" w:color="auto" w:sz="4" w:space="0"/>
            </w:tcBorders>
            <w:vAlign w:val="center"/>
          </w:tcPr>
          <w:p w14:paraId="3A50E5CE">
            <w:pPr>
              <w:pStyle w:val="557"/>
            </w:pPr>
          </w:p>
        </w:tc>
      </w:tr>
      <w:tr w14:paraId="4544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67" w:type="dxa"/>
            <w:tcBorders>
              <w:left w:val="single" w:color="auto" w:sz="4" w:space="0"/>
              <w:right w:val="single" w:color="auto" w:sz="4" w:space="0"/>
            </w:tcBorders>
            <w:vAlign w:val="center"/>
          </w:tcPr>
          <w:p w14:paraId="51DF86B2">
            <w:pPr>
              <w:pStyle w:val="557"/>
            </w:pPr>
            <w:r>
              <w:t>S</w:t>
            </w:r>
            <w:r>
              <w:rPr>
                <w:vertAlign w:val="subscript"/>
              </w:rPr>
              <w:t>2-</w:t>
            </w:r>
            <w:r>
              <w:rPr>
                <w:rFonts w:hint="eastAsia"/>
                <w:vertAlign w:val="subscript"/>
              </w:rPr>
              <w:t>5</w:t>
            </w:r>
          </w:p>
        </w:tc>
        <w:tc>
          <w:tcPr>
            <w:tcW w:w="1948" w:type="dxa"/>
            <w:tcBorders>
              <w:left w:val="single" w:color="auto" w:sz="4" w:space="0"/>
              <w:right w:val="single" w:color="auto" w:sz="4" w:space="0"/>
            </w:tcBorders>
            <w:vAlign w:val="center"/>
          </w:tcPr>
          <w:p w14:paraId="073F3C73">
            <w:pPr>
              <w:pStyle w:val="557"/>
            </w:pPr>
            <w:r>
              <w:t>废脱硝催化剂</w:t>
            </w:r>
          </w:p>
        </w:tc>
        <w:tc>
          <w:tcPr>
            <w:tcW w:w="924" w:type="dxa"/>
            <w:tcBorders>
              <w:left w:val="single" w:color="auto" w:sz="4" w:space="0"/>
              <w:right w:val="single" w:color="auto" w:sz="4" w:space="0"/>
            </w:tcBorders>
            <w:vAlign w:val="center"/>
          </w:tcPr>
          <w:p w14:paraId="1FFEBCD4">
            <w:pPr>
              <w:pStyle w:val="557"/>
            </w:pPr>
            <w:r>
              <w:t>危险废物</w:t>
            </w:r>
          </w:p>
        </w:tc>
        <w:tc>
          <w:tcPr>
            <w:tcW w:w="1627" w:type="dxa"/>
            <w:tcBorders>
              <w:left w:val="single" w:color="auto" w:sz="4" w:space="0"/>
              <w:right w:val="single" w:color="auto" w:sz="4" w:space="0"/>
            </w:tcBorders>
            <w:vAlign w:val="center"/>
          </w:tcPr>
          <w:p w14:paraId="0A9EDB93">
            <w:pPr>
              <w:pStyle w:val="557"/>
            </w:pPr>
            <w:r>
              <w:t>HW50 772-007-50</w:t>
            </w:r>
          </w:p>
        </w:tc>
        <w:tc>
          <w:tcPr>
            <w:tcW w:w="927" w:type="dxa"/>
            <w:tcBorders>
              <w:left w:val="single" w:color="auto" w:sz="4" w:space="0"/>
              <w:right w:val="single" w:color="auto" w:sz="4" w:space="0"/>
            </w:tcBorders>
            <w:vAlign w:val="center"/>
          </w:tcPr>
          <w:p w14:paraId="0B5A3F9E">
            <w:pPr>
              <w:pStyle w:val="557"/>
            </w:pPr>
            <w:r>
              <w:rPr>
                <w:rFonts w:hint="eastAsia"/>
              </w:rPr>
              <w:t>1</w:t>
            </w:r>
            <w:r>
              <w:t>t/</w:t>
            </w:r>
            <w:r>
              <w:rPr>
                <w:rFonts w:hint="eastAsia"/>
              </w:rPr>
              <w:t>3</w:t>
            </w:r>
            <w:r>
              <w:t>a</w:t>
            </w:r>
          </w:p>
        </w:tc>
        <w:tc>
          <w:tcPr>
            <w:tcW w:w="1485" w:type="dxa"/>
            <w:vMerge w:val="restart"/>
            <w:tcBorders>
              <w:left w:val="single" w:color="auto" w:sz="4" w:space="0"/>
              <w:right w:val="single" w:color="auto" w:sz="4" w:space="0"/>
            </w:tcBorders>
            <w:vAlign w:val="center"/>
          </w:tcPr>
          <w:p w14:paraId="20474021">
            <w:pPr>
              <w:pStyle w:val="557"/>
            </w:pPr>
            <w:r>
              <w:t>厂内暂存后送有资质单位处置</w:t>
            </w:r>
          </w:p>
        </w:tc>
        <w:tc>
          <w:tcPr>
            <w:tcW w:w="927" w:type="dxa"/>
            <w:tcBorders>
              <w:left w:val="single" w:color="auto" w:sz="4" w:space="0"/>
              <w:right w:val="single" w:color="auto" w:sz="4" w:space="0"/>
            </w:tcBorders>
            <w:vAlign w:val="center"/>
          </w:tcPr>
          <w:p w14:paraId="68740083">
            <w:pPr>
              <w:pStyle w:val="557"/>
            </w:pPr>
            <w:r>
              <w:rPr>
                <w:rFonts w:hint="eastAsia"/>
              </w:rPr>
              <w:t>1</w:t>
            </w:r>
            <w:r>
              <w:t>t/</w:t>
            </w:r>
            <w:r>
              <w:rPr>
                <w:rFonts w:hint="eastAsia"/>
              </w:rPr>
              <w:t>3</w:t>
            </w:r>
            <w:r>
              <w:t>a</w:t>
            </w:r>
          </w:p>
        </w:tc>
      </w:tr>
      <w:tr w14:paraId="3AF1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67" w:type="dxa"/>
            <w:tcBorders>
              <w:left w:val="single" w:color="auto" w:sz="4" w:space="0"/>
              <w:right w:val="single" w:color="auto" w:sz="4" w:space="0"/>
            </w:tcBorders>
            <w:vAlign w:val="center"/>
          </w:tcPr>
          <w:p w14:paraId="7150E4D6">
            <w:pPr>
              <w:pStyle w:val="557"/>
            </w:pPr>
            <w:r>
              <w:t>S</w:t>
            </w:r>
            <w:r>
              <w:rPr>
                <w:vertAlign w:val="subscript"/>
              </w:rPr>
              <w:t>2-</w:t>
            </w:r>
            <w:r>
              <w:rPr>
                <w:rFonts w:hint="eastAsia"/>
                <w:vertAlign w:val="subscript"/>
              </w:rPr>
              <w:t>6</w:t>
            </w:r>
          </w:p>
        </w:tc>
        <w:tc>
          <w:tcPr>
            <w:tcW w:w="1948" w:type="dxa"/>
            <w:tcBorders>
              <w:left w:val="single" w:color="auto" w:sz="4" w:space="0"/>
              <w:right w:val="single" w:color="auto" w:sz="4" w:space="0"/>
            </w:tcBorders>
            <w:vAlign w:val="center"/>
          </w:tcPr>
          <w:p w14:paraId="4767C81F">
            <w:pPr>
              <w:pStyle w:val="557"/>
            </w:pPr>
            <w:r>
              <w:t>废SO</w:t>
            </w:r>
            <w:r>
              <w:rPr>
                <w:vertAlign w:val="subscript"/>
              </w:rPr>
              <w:t>2</w:t>
            </w:r>
            <w:r>
              <w:t>转化催化剂</w:t>
            </w:r>
          </w:p>
        </w:tc>
        <w:tc>
          <w:tcPr>
            <w:tcW w:w="924" w:type="dxa"/>
            <w:tcBorders>
              <w:left w:val="single" w:color="auto" w:sz="4" w:space="0"/>
              <w:right w:val="single" w:color="auto" w:sz="4" w:space="0"/>
            </w:tcBorders>
            <w:vAlign w:val="center"/>
          </w:tcPr>
          <w:p w14:paraId="73753A21">
            <w:pPr>
              <w:pStyle w:val="557"/>
            </w:pPr>
            <w:r>
              <w:t>危险废物</w:t>
            </w:r>
          </w:p>
        </w:tc>
        <w:tc>
          <w:tcPr>
            <w:tcW w:w="1627" w:type="dxa"/>
            <w:tcBorders>
              <w:left w:val="single" w:color="auto" w:sz="4" w:space="0"/>
              <w:right w:val="single" w:color="auto" w:sz="4" w:space="0"/>
            </w:tcBorders>
          </w:tcPr>
          <w:p w14:paraId="73440144">
            <w:pPr>
              <w:pStyle w:val="557"/>
            </w:pPr>
            <w:r>
              <w:t>HW50 261-173-50</w:t>
            </w:r>
          </w:p>
        </w:tc>
        <w:tc>
          <w:tcPr>
            <w:tcW w:w="927" w:type="dxa"/>
            <w:tcBorders>
              <w:left w:val="single" w:color="auto" w:sz="4" w:space="0"/>
              <w:right w:val="single" w:color="auto" w:sz="4" w:space="0"/>
            </w:tcBorders>
            <w:vAlign w:val="center"/>
          </w:tcPr>
          <w:p w14:paraId="12F18285">
            <w:pPr>
              <w:pStyle w:val="557"/>
            </w:pPr>
            <w:r>
              <w:rPr>
                <w:rFonts w:hint="eastAsia"/>
              </w:rPr>
              <w:t>84</w:t>
            </w:r>
            <w:r>
              <w:t>t/</w:t>
            </w:r>
            <w:r>
              <w:rPr>
                <w:rFonts w:hint="eastAsia"/>
              </w:rPr>
              <w:t>4</w:t>
            </w:r>
            <w:r>
              <w:t>a</w:t>
            </w:r>
          </w:p>
        </w:tc>
        <w:tc>
          <w:tcPr>
            <w:tcW w:w="1485" w:type="dxa"/>
            <w:vMerge w:val="continue"/>
            <w:tcBorders>
              <w:left w:val="single" w:color="auto" w:sz="4" w:space="0"/>
              <w:right w:val="single" w:color="auto" w:sz="4" w:space="0"/>
            </w:tcBorders>
            <w:vAlign w:val="center"/>
          </w:tcPr>
          <w:p w14:paraId="5628E2AF">
            <w:pPr>
              <w:pStyle w:val="557"/>
            </w:pPr>
          </w:p>
        </w:tc>
        <w:tc>
          <w:tcPr>
            <w:tcW w:w="927" w:type="dxa"/>
            <w:tcBorders>
              <w:left w:val="single" w:color="auto" w:sz="4" w:space="0"/>
              <w:right w:val="single" w:color="auto" w:sz="4" w:space="0"/>
            </w:tcBorders>
            <w:vAlign w:val="center"/>
          </w:tcPr>
          <w:p w14:paraId="798D4084">
            <w:pPr>
              <w:pStyle w:val="557"/>
            </w:pPr>
            <w:r>
              <w:rPr>
                <w:rFonts w:hint="eastAsia"/>
              </w:rPr>
              <w:t>84</w:t>
            </w:r>
            <w:r>
              <w:t>t/</w:t>
            </w:r>
            <w:r>
              <w:rPr>
                <w:rFonts w:hint="eastAsia"/>
              </w:rPr>
              <w:t>4</w:t>
            </w:r>
            <w:r>
              <w:t>a</w:t>
            </w:r>
          </w:p>
        </w:tc>
      </w:tr>
    </w:tbl>
    <w:p w14:paraId="4C6DF14B">
      <w:pPr>
        <w:pStyle w:val="814"/>
        <w:rPr>
          <w:rFonts w:hint="eastAsia"/>
        </w:rPr>
      </w:pPr>
      <w:r>
        <w:rPr>
          <w:rFonts w:hint="eastAsia"/>
        </w:rPr>
        <w:t>二氧化碳压缩单元</w:t>
      </w:r>
    </w:p>
    <w:p w14:paraId="30CEB23F">
      <w:pPr>
        <w:pStyle w:val="281"/>
        <w:ind w:firstLine="480"/>
      </w:pPr>
      <w:r>
        <w:rPr>
          <w:rFonts w:hint="eastAsia"/>
        </w:rPr>
        <w:t>（1）废水</w:t>
      </w:r>
    </w:p>
    <w:p w14:paraId="0498F93A">
      <w:pPr>
        <w:pStyle w:val="281"/>
        <w:ind w:firstLine="480"/>
        <w:rPr>
          <w:szCs w:val="24"/>
        </w:rPr>
      </w:pPr>
      <w:r>
        <w:rPr>
          <w:rFonts w:hint="eastAsia" w:ascii="宋体" w:hAnsi="宋体"/>
          <w:szCs w:val="24"/>
        </w:rPr>
        <w:t>①</w:t>
      </w:r>
      <w:r>
        <w:rPr>
          <w:rFonts w:hint="eastAsia"/>
          <w:szCs w:val="24"/>
        </w:rPr>
        <w:t>地面冲洗水</w:t>
      </w:r>
      <w:r>
        <w:rPr>
          <w:rFonts w:hint="eastAsia"/>
        </w:rPr>
        <w:t>（</w:t>
      </w:r>
      <w:r>
        <w:t>W</w:t>
      </w:r>
      <w:r>
        <w:rPr>
          <w:vertAlign w:val="subscript"/>
        </w:rPr>
        <w:t>2-</w:t>
      </w:r>
      <w:r>
        <w:rPr>
          <w:rFonts w:hint="eastAsia"/>
          <w:vertAlign w:val="subscript"/>
        </w:rPr>
        <w:t>9</w:t>
      </w:r>
      <w:r>
        <w:rPr>
          <w:rFonts w:hint="eastAsia"/>
        </w:rPr>
        <w:t>）</w:t>
      </w:r>
    </w:p>
    <w:p w14:paraId="7B9DCD7B">
      <w:pPr>
        <w:pStyle w:val="281"/>
        <w:ind w:firstLine="480"/>
        <w:rPr>
          <w:szCs w:val="24"/>
        </w:rPr>
      </w:pPr>
      <w:r>
        <w:rPr>
          <w:rFonts w:hint="eastAsia"/>
        </w:rPr>
        <w:t>二氧化碳压缩单元</w:t>
      </w:r>
      <w:r>
        <w:rPr>
          <w:rFonts w:hint="eastAsia"/>
          <w:szCs w:val="24"/>
        </w:rPr>
        <w:t>地面冲洗水产生量为500kg</w:t>
      </w:r>
      <w:r>
        <w:rPr>
          <w:szCs w:val="24"/>
        </w:rPr>
        <w:t>/h</w:t>
      </w:r>
      <w:r>
        <w:rPr>
          <w:rFonts w:hint="eastAsia"/>
          <w:szCs w:val="24"/>
        </w:rPr>
        <w:t>，间断产生，</w:t>
      </w:r>
      <w:r>
        <w:rPr>
          <w:szCs w:val="24"/>
        </w:rPr>
        <w:t>排入厂区污水处理站统一处理</w:t>
      </w:r>
      <w:r>
        <w:rPr>
          <w:rFonts w:hint="eastAsia"/>
          <w:szCs w:val="24"/>
        </w:rPr>
        <w:t>。</w:t>
      </w:r>
    </w:p>
    <w:p w14:paraId="6FE0D65A">
      <w:pPr>
        <w:pStyle w:val="281"/>
        <w:ind w:firstLine="480"/>
      </w:pPr>
      <w:r>
        <w:rPr>
          <w:rFonts w:hint="eastAsia"/>
        </w:rPr>
        <w:t>二氧化碳压缩单元废水污染源源强核算结果见表3.2.3-43。</w:t>
      </w:r>
    </w:p>
    <w:p w14:paraId="1F8C1F7A">
      <w:pPr>
        <w:pStyle w:val="535"/>
        <w:rPr>
          <w:rFonts w:hint="eastAsia"/>
          <w:color w:val="auto"/>
        </w:rPr>
      </w:pPr>
      <w:r>
        <w:rPr>
          <w:rFonts w:hint="eastAsia"/>
          <w:color w:val="auto"/>
        </w:rPr>
        <w:t xml:space="preserve">表3.2.3-43     </w:t>
      </w:r>
      <w:r>
        <w:rPr>
          <w:rFonts w:hint="eastAsia"/>
        </w:rPr>
        <w:t>二氧化碳压缩</w:t>
      </w:r>
      <w:r>
        <w:rPr>
          <w:rFonts w:hint="eastAsia"/>
          <w:color w:val="auto"/>
        </w:rPr>
        <w:t>单元废水污染源源强核算结果一览表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851"/>
        <w:gridCol w:w="992"/>
        <w:gridCol w:w="723"/>
        <w:gridCol w:w="911"/>
        <w:gridCol w:w="1078"/>
        <w:gridCol w:w="940"/>
        <w:gridCol w:w="1629"/>
        <w:gridCol w:w="713"/>
      </w:tblGrid>
      <w:tr w14:paraId="612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5DA04AA2">
            <w:pPr>
              <w:pStyle w:val="190"/>
              <w:rPr>
                <w:rFonts w:ascii="Times New Roman" w:hAnsi="Times New Roman" w:cs="Times New Roman"/>
                <w:szCs w:val="18"/>
              </w:rPr>
            </w:pPr>
            <w:r>
              <w:rPr>
                <w:rFonts w:ascii="Times New Roman" w:hAnsi="Times New Roman" w:cs="Times New Roman"/>
                <w:szCs w:val="18"/>
              </w:rPr>
              <w:t>编号</w:t>
            </w:r>
          </w:p>
        </w:tc>
        <w:tc>
          <w:tcPr>
            <w:tcW w:w="851" w:type="dxa"/>
            <w:vMerge w:val="restart"/>
            <w:vAlign w:val="center"/>
          </w:tcPr>
          <w:p w14:paraId="695C1558">
            <w:pPr>
              <w:pStyle w:val="190"/>
              <w:rPr>
                <w:rFonts w:ascii="Times New Roman" w:hAnsi="Times New Roman" w:cs="Times New Roman"/>
                <w:szCs w:val="18"/>
              </w:rPr>
            </w:pPr>
            <w:r>
              <w:rPr>
                <w:rFonts w:ascii="Times New Roman" w:hAnsi="Times New Roman" w:cs="Times New Roman"/>
                <w:szCs w:val="18"/>
              </w:rPr>
              <w:t>排放源</w:t>
            </w:r>
          </w:p>
        </w:tc>
        <w:tc>
          <w:tcPr>
            <w:tcW w:w="992" w:type="dxa"/>
            <w:vMerge w:val="restart"/>
            <w:vAlign w:val="center"/>
          </w:tcPr>
          <w:p w14:paraId="0CABD1C6">
            <w:pPr>
              <w:pStyle w:val="190"/>
              <w:rPr>
                <w:rFonts w:ascii="Times New Roman" w:hAnsi="Times New Roman" w:cs="Times New Roman"/>
                <w:szCs w:val="18"/>
              </w:rPr>
            </w:pPr>
            <w:r>
              <w:rPr>
                <w:rFonts w:ascii="Times New Roman" w:hAnsi="Times New Roman" w:cs="Times New Roman"/>
                <w:szCs w:val="18"/>
              </w:rPr>
              <w:t>污染物</w:t>
            </w:r>
          </w:p>
        </w:tc>
        <w:tc>
          <w:tcPr>
            <w:tcW w:w="723" w:type="dxa"/>
            <w:vMerge w:val="restart"/>
            <w:vAlign w:val="center"/>
          </w:tcPr>
          <w:p w14:paraId="369B559F">
            <w:pPr>
              <w:pStyle w:val="190"/>
              <w:rPr>
                <w:rFonts w:ascii="Times New Roman" w:hAnsi="Times New Roman" w:cs="Times New Roman"/>
                <w:szCs w:val="18"/>
              </w:rPr>
            </w:pPr>
            <w:r>
              <w:rPr>
                <w:rFonts w:ascii="Times New Roman" w:hAnsi="Times New Roman" w:cs="Times New Roman"/>
                <w:szCs w:val="18"/>
              </w:rPr>
              <w:t>核算方法</w:t>
            </w:r>
          </w:p>
        </w:tc>
        <w:tc>
          <w:tcPr>
            <w:tcW w:w="2929" w:type="dxa"/>
            <w:gridSpan w:val="3"/>
            <w:vAlign w:val="center"/>
          </w:tcPr>
          <w:p w14:paraId="0030938D">
            <w:pPr>
              <w:pStyle w:val="190"/>
              <w:rPr>
                <w:rFonts w:ascii="Times New Roman" w:hAnsi="Times New Roman" w:cs="Times New Roman"/>
                <w:szCs w:val="18"/>
              </w:rPr>
            </w:pPr>
            <w:r>
              <w:rPr>
                <w:rFonts w:ascii="Times New Roman" w:hAnsi="Times New Roman" w:cs="Times New Roman"/>
                <w:szCs w:val="18"/>
              </w:rPr>
              <w:t>污染物产生情况</w:t>
            </w:r>
          </w:p>
        </w:tc>
        <w:tc>
          <w:tcPr>
            <w:tcW w:w="1629" w:type="dxa"/>
            <w:vMerge w:val="restart"/>
            <w:vAlign w:val="center"/>
          </w:tcPr>
          <w:p w14:paraId="62993314">
            <w:pPr>
              <w:pStyle w:val="190"/>
              <w:rPr>
                <w:rFonts w:ascii="Times New Roman" w:hAnsi="Times New Roman" w:cs="Times New Roman"/>
                <w:szCs w:val="18"/>
              </w:rPr>
            </w:pPr>
            <w:r>
              <w:rPr>
                <w:rFonts w:ascii="Times New Roman" w:hAnsi="Times New Roman" w:cs="Times New Roman"/>
                <w:szCs w:val="18"/>
              </w:rPr>
              <w:t>处置措施</w:t>
            </w:r>
          </w:p>
        </w:tc>
        <w:tc>
          <w:tcPr>
            <w:tcW w:w="713" w:type="dxa"/>
            <w:vMerge w:val="restart"/>
            <w:vAlign w:val="center"/>
          </w:tcPr>
          <w:p w14:paraId="2A498293">
            <w:pPr>
              <w:pStyle w:val="190"/>
              <w:rPr>
                <w:rFonts w:ascii="Times New Roman" w:hAnsi="Times New Roman" w:cs="Times New Roman"/>
                <w:szCs w:val="18"/>
              </w:rPr>
            </w:pPr>
            <w:r>
              <w:rPr>
                <w:rFonts w:ascii="Times New Roman" w:hAnsi="Times New Roman" w:cs="Times New Roman"/>
                <w:szCs w:val="18"/>
              </w:rPr>
              <w:t>排放时间（h）</w:t>
            </w:r>
          </w:p>
        </w:tc>
      </w:tr>
      <w:tr w14:paraId="519F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668" w:type="dxa"/>
            <w:vMerge w:val="continue"/>
            <w:vAlign w:val="center"/>
          </w:tcPr>
          <w:p w14:paraId="19381DF3">
            <w:pPr>
              <w:pStyle w:val="190"/>
              <w:rPr>
                <w:rFonts w:ascii="Times New Roman" w:hAnsi="Times New Roman" w:cs="Times New Roman"/>
                <w:szCs w:val="18"/>
              </w:rPr>
            </w:pPr>
          </w:p>
        </w:tc>
        <w:tc>
          <w:tcPr>
            <w:tcW w:w="851" w:type="dxa"/>
            <w:vMerge w:val="continue"/>
            <w:vAlign w:val="center"/>
          </w:tcPr>
          <w:p w14:paraId="18E1BC69">
            <w:pPr>
              <w:pStyle w:val="190"/>
              <w:rPr>
                <w:rFonts w:ascii="Times New Roman" w:hAnsi="Times New Roman" w:cs="Times New Roman"/>
                <w:szCs w:val="18"/>
              </w:rPr>
            </w:pPr>
          </w:p>
        </w:tc>
        <w:tc>
          <w:tcPr>
            <w:tcW w:w="992" w:type="dxa"/>
            <w:vMerge w:val="continue"/>
            <w:vAlign w:val="center"/>
          </w:tcPr>
          <w:p w14:paraId="2705C669">
            <w:pPr>
              <w:pStyle w:val="190"/>
              <w:rPr>
                <w:rFonts w:ascii="Times New Roman" w:hAnsi="Times New Roman" w:cs="Times New Roman"/>
                <w:szCs w:val="18"/>
              </w:rPr>
            </w:pPr>
          </w:p>
        </w:tc>
        <w:tc>
          <w:tcPr>
            <w:tcW w:w="723" w:type="dxa"/>
            <w:vMerge w:val="continue"/>
            <w:vAlign w:val="center"/>
          </w:tcPr>
          <w:p w14:paraId="239981D0">
            <w:pPr>
              <w:pStyle w:val="190"/>
              <w:rPr>
                <w:rFonts w:ascii="Times New Roman" w:hAnsi="Times New Roman" w:cs="Times New Roman"/>
                <w:szCs w:val="18"/>
              </w:rPr>
            </w:pPr>
          </w:p>
        </w:tc>
        <w:tc>
          <w:tcPr>
            <w:tcW w:w="911" w:type="dxa"/>
            <w:vAlign w:val="center"/>
          </w:tcPr>
          <w:p w14:paraId="5315CFF8">
            <w:pPr>
              <w:pStyle w:val="190"/>
              <w:rPr>
                <w:rFonts w:ascii="Times New Roman" w:hAnsi="Times New Roman" w:cs="Times New Roman"/>
                <w:szCs w:val="18"/>
              </w:rPr>
            </w:pPr>
            <w:r>
              <w:rPr>
                <w:rFonts w:ascii="Times New Roman" w:hAnsi="Times New Roman" w:cs="Times New Roman"/>
                <w:szCs w:val="18"/>
              </w:rPr>
              <w:t>废水产生量（kg/h）</w:t>
            </w:r>
          </w:p>
        </w:tc>
        <w:tc>
          <w:tcPr>
            <w:tcW w:w="1078" w:type="dxa"/>
            <w:vAlign w:val="center"/>
          </w:tcPr>
          <w:p w14:paraId="06D83AE8">
            <w:pPr>
              <w:pStyle w:val="190"/>
              <w:rPr>
                <w:rFonts w:ascii="Times New Roman" w:hAnsi="Times New Roman" w:cs="Times New Roman"/>
                <w:szCs w:val="18"/>
              </w:rPr>
            </w:pPr>
            <w:r>
              <w:rPr>
                <w:rFonts w:ascii="Times New Roman" w:hAnsi="Times New Roman" w:cs="Times New Roman"/>
                <w:szCs w:val="18"/>
              </w:rPr>
              <w:t>产生浓度（mg/L）</w:t>
            </w:r>
          </w:p>
        </w:tc>
        <w:tc>
          <w:tcPr>
            <w:tcW w:w="940" w:type="dxa"/>
            <w:vAlign w:val="center"/>
          </w:tcPr>
          <w:p w14:paraId="305899A5">
            <w:pPr>
              <w:pStyle w:val="190"/>
              <w:rPr>
                <w:rFonts w:ascii="Times New Roman" w:hAnsi="Times New Roman" w:cs="Times New Roman"/>
                <w:szCs w:val="18"/>
              </w:rPr>
            </w:pPr>
            <w:r>
              <w:rPr>
                <w:rFonts w:ascii="Times New Roman" w:hAnsi="Times New Roman" w:cs="Times New Roman"/>
                <w:szCs w:val="18"/>
              </w:rPr>
              <w:t>产生量（kg/h）</w:t>
            </w:r>
          </w:p>
        </w:tc>
        <w:tc>
          <w:tcPr>
            <w:tcW w:w="1629" w:type="dxa"/>
            <w:vMerge w:val="continue"/>
            <w:vAlign w:val="center"/>
          </w:tcPr>
          <w:p w14:paraId="520B0DBB">
            <w:pPr>
              <w:pStyle w:val="190"/>
              <w:rPr>
                <w:rFonts w:ascii="Times New Roman" w:hAnsi="Times New Roman" w:cs="Times New Roman"/>
                <w:szCs w:val="18"/>
              </w:rPr>
            </w:pPr>
          </w:p>
        </w:tc>
        <w:tc>
          <w:tcPr>
            <w:tcW w:w="713" w:type="dxa"/>
            <w:vMerge w:val="continue"/>
            <w:vAlign w:val="center"/>
          </w:tcPr>
          <w:p w14:paraId="0D1AA105">
            <w:pPr>
              <w:pStyle w:val="190"/>
              <w:rPr>
                <w:rFonts w:ascii="Times New Roman" w:hAnsi="Times New Roman" w:cs="Times New Roman"/>
                <w:szCs w:val="18"/>
              </w:rPr>
            </w:pPr>
          </w:p>
        </w:tc>
      </w:tr>
      <w:tr w14:paraId="0777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restart"/>
            <w:vAlign w:val="center"/>
          </w:tcPr>
          <w:p w14:paraId="7E7C2E4E">
            <w:pPr>
              <w:pStyle w:val="190"/>
              <w:rPr>
                <w:rFonts w:ascii="Times New Roman" w:hAnsi="Times New Roman" w:cs="Times New Roman"/>
                <w:szCs w:val="18"/>
              </w:rPr>
            </w:pPr>
            <w:r>
              <w:rPr>
                <w:rFonts w:hint="eastAsia"/>
              </w:rPr>
              <w:t>二氧化碳压缩</w:t>
            </w:r>
            <w:r>
              <w:rPr>
                <w:rFonts w:ascii="Times New Roman" w:hAnsi="Times New Roman" w:cs="Times New Roman"/>
                <w:szCs w:val="18"/>
              </w:rPr>
              <w:t>单元废水</w:t>
            </w:r>
          </w:p>
        </w:tc>
        <w:tc>
          <w:tcPr>
            <w:tcW w:w="851" w:type="dxa"/>
            <w:vMerge w:val="restart"/>
            <w:vAlign w:val="center"/>
          </w:tcPr>
          <w:p w14:paraId="7D095DC5">
            <w:pPr>
              <w:pStyle w:val="190"/>
              <w:rPr>
                <w:rFonts w:ascii="Times New Roman" w:hAnsi="Times New Roman" w:cs="Times New Roman"/>
                <w:szCs w:val="18"/>
                <w:u w:color="000000"/>
              </w:rPr>
            </w:pPr>
            <w:r>
              <w:rPr>
                <w:rFonts w:ascii="Times New Roman" w:hAnsi="Times New Roman" w:cs="Times New Roman"/>
                <w:szCs w:val="18"/>
              </w:rPr>
              <w:t>地面冲洗水</w:t>
            </w:r>
          </w:p>
        </w:tc>
        <w:tc>
          <w:tcPr>
            <w:tcW w:w="992" w:type="dxa"/>
            <w:vAlign w:val="center"/>
          </w:tcPr>
          <w:p w14:paraId="6B5F3D15">
            <w:pPr>
              <w:pStyle w:val="190"/>
              <w:rPr>
                <w:rFonts w:ascii="Times New Roman" w:hAnsi="Times New Roman" w:cs="Times New Roman"/>
                <w:szCs w:val="18"/>
              </w:rPr>
            </w:pPr>
            <w:r>
              <w:rPr>
                <w:rFonts w:ascii="Times New Roman" w:hAnsi="Times New Roman" w:cs="Times New Roman"/>
                <w:kern w:val="2"/>
                <w:szCs w:val="18"/>
              </w:rPr>
              <w:t>COD</w:t>
            </w:r>
          </w:p>
        </w:tc>
        <w:tc>
          <w:tcPr>
            <w:tcW w:w="723" w:type="dxa"/>
            <w:vMerge w:val="restart"/>
            <w:vAlign w:val="center"/>
          </w:tcPr>
          <w:p w14:paraId="3FB74BD6">
            <w:pPr>
              <w:pStyle w:val="190"/>
              <w:rPr>
                <w:rFonts w:ascii="Times New Roman" w:hAnsi="Times New Roman" w:cs="Times New Roman"/>
                <w:szCs w:val="18"/>
              </w:rPr>
            </w:pPr>
            <w:r>
              <w:rPr>
                <w:rFonts w:ascii="Times New Roman" w:hAnsi="Times New Roman" w:cs="Times New Roman"/>
                <w:kern w:val="2"/>
                <w:szCs w:val="18"/>
              </w:rPr>
              <w:t>类比法</w:t>
            </w:r>
          </w:p>
        </w:tc>
        <w:tc>
          <w:tcPr>
            <w:tcW w:w="911" w:type="dxa"/>
            <w:vMerge w:val="restart"/>
            <w:vAlign w:val="center"/>
          </w:tcPr>
          <w:p w14:paraId="75E5184C">
            <w:pPr>
              <w:pStyle w:val="190"/>
              <w:rPr>
                <w:rFonts w:ascii="Times New Roman" w:hAnsi="Times New Roman" w:cs="Times New Roman"/>
                <w:szCs w:val="18"/>
              </w:rPr>
            </w:pPr>
            <w:r>
              <w:rPr>
                <w:rFonts w:hint="eastAsia" w:ascii="Times New Roman" w:hAnsi="Times New Roman" w:cs="Times New Roman"/>
                <w:szCs w:val="18"/>
              </w:rPr>
              <w:t>5</w:t>
            </w:r>
            <w:r>
              <w:rPr>
                <w:rFonts w:ascii="Times New Roman" w:hAnsi="Times New Roman" w:cs="Times New Roman"/>
                <w:szCs w:val="18"/>
              </w:rPr>
              <w:t>00</w:t>
            </w:r>
          </w:p>
        </w:tc>
        <w:tc>
          <w:tcPr>
            <w:tcW w:w="1078" w:type="dxa"/>
            <w:vAlign w:val="center"/>
          </w:tcPr>
          <w:p w14:paraId="70E2075B">
            <w:pPr>
              <w:pStyle w:val="190"/>
              <w:rPr>
                <w:rFonts w:ascii="Times New Roman" w:hAnsi="Times New Roman" w:cs="Times New Roman"/>
                <w:szCs w:val="18"/>
              </w:rPr>
            </w:pPr>
            <w:r>
              <w:rPr>
                <w:rFonts w:hint="eastAsia" w:ascii="Times New Roman" w:hAnsi="Times New Roman" w:cs="Times New Roman"/>
                <w:szCs w:val="18"/>
              </w:rPr>
              <w:t>400</w:t>
            </w:r>
          </w:p>
        </w:tc>
        <w:tc>
          <w:tcPr>
            <w:tcW w:w="940" w:type="dxa"/>
            <w:vAlign w:val="center"/>
          </w:tcPr>
          <w:p w14:paraId="2A410FB1">
            <w:pPr>
              <w:jc w:val="center"/>
              <w:textAlignment w:val="center"/>
              <w:rPr>
                <w:rFonts w:ascii="Times New Roman" w:hAnsi="Times New Roman" w:cs="Times New Roman"/>
                <w:szCs w:val="18"/>
              </w:rPr>
            </w:pPr>
            <w:r>
              <w:rPr>
                <w:rFonts w:ascii="Times New Roman" w:hAnsi="Times New Roman" w:cs="Times New Roman"/>
                <w:sz w:val="18"/>
                <w:szCs w:val="18"/>
              </w:rPr>
              <w:t>0.2</w:t>
            </w:r>
          </w:p>
        </w:tc>
        <w:tc>
          <w:tcPr>
            <w:tcW w:w="1629" w:type="dxa"/>
            <w:vMerge w:val="restart"/>
            <w:vAlign w:val="center"/>
          </w:tcPr>
          <w:p w14:paraId="1D03C6DB">
            <w:pPr>
              <w:pStyle w:val="190"/>
              <w:rPr>
                <w:rFonts w:ascii="Times New Roman" w:hAnsi="Times New Roman" w:cs="Times New Roman"/>
                <w:szCs w:val="18"/>
              </w:rPr>
            </w:pPr>
            <w:r>
              <w:rPr>
                <w:rFonts w:ascii="Times New Roman" w:hAnsi="Times New Roman" w:cs="Times New Roman"/>
                <w:szCs w:val="18"/>
              </w:rPr>
              <w:t>排入厂内污水处理站处理</w:t>
            </w:r>
          </w:p>
        </w:tc>
        <w:tc>
          <w:tcPr>
            <w:tcW w:w="713" w:type="dxa"/>
            <w:vMerge w:val="restart"/>
            <w:vAlign w:val="center"/>
          </w:tcPr>
          <w:p w14:paraId="34F072F6">
            <w:pPr>
              <w:pStyle w:val="190"/>
              <w:rPr>
                <w:rFonts w:ascii="Times New Roman" w:hAnsi="Times New Roman" w:cs="Times New Roman"/>
                <w:szCs w:val="18"/>
              </w:rPr>
            </w:pPr>
            <w:r>
              <w:rPr>
                <w:rFonts w:ascii="Times New Roman" w:hAnsi="Times New Roman" w:cs="Times New Roman"/>
                <w:kern w:val="2"/>
                <w:szCs w:val="18"/>
              </w:rPr>
              <w:t>间歇</w:t>
            </w:r>
          </w:p>
        </w:tc>
      </w:tr>
      <w:tr w14:paraId="74D6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668" w:type="dxa"/>
            <w:vMerge w:val="continue"/>
            <w:vAlign w:val="center"/>
          </w:tcPr>
          <w:p w14:paraId="7DFD1A0C">
            <w:pPr>
              <w:pStyle w:val="190"/>
              <w:rPr>
                <w:rFonts w:ascii="Times New Roman" w:hAnsi="Times New Roman" w:cs="Times New Roman"/>
                <w:szCs w:val="18"/>
              </w:rPr>
            </w:pPr>
          </w:p>
        </w:tc>
        <w:tc>
          <w:tcPr>
            <w:tcW w:w="851" w:type="dxa"/>
            <w:vMerge w:val="continue"/>
            <w:vAlign w:val="center"/>
          </w:tcPr>
          <w:p w14:paraId="71DD3292">
            <w:pPr>
              <w:pStyle w:val="190"/>
              <w:rPr>
                <w:rFonts w:ascii="Times New Roman" w:hAnsi="Times New Roman" w:cs="Times New Roman"/>
                <w:szCs w:val="18"/>
                <w:u w:color="000000"/>
              </w:rPr>
            </w:pPr>
          </w:p>
        </w:tc>
        <w:tc>
          <w:tcPr>
            <w:tcW w:w="992" w:type="dxa"/>
            <w:vAlign w:val="center"/>
          </w:tcPr>
          <w:p w14:paraId="4DEA00C0">
            <w:pPr>
              <w:pStyle w:val="190"/>
              <w:rPr>
                <w:rFonts w:ascii="Times New Roman" w:hAnsi="Times New Roman" w:cs="Times New Roman"/>
                <w:szCs w:val="18"/>
              </w:rPr>
            </w:pPr>
            <w:r>
              <w:rPr>
                <w:rFonts w:ascii="Times New Roman" w:hAnsi="Times New Roman" w:cs="Times New Roman"/>
                <w:szCs w:val="18"/>
                <w:u w:color="000000"/>
              </w:rPr>
              <w:t>氨氮</w:t>
            </w:r>
          </w:p>
        </w:tc>
        <w:tc>
          <w:tcPr>
            <w:tcW w:w="723" w:type="dxa"/>
            <w:vMerge w:val="continue"/>
            <w:vAlign w:val="center"/>
          </w:tcPr>
          <w:p w14:paraId="252BAD61">
            <w:pPr>
              <w:pStyle w:val="190"/>
              <w:rPr>
                <w:rFonts w:ascii="Times New Roman" w:hAnsi="Times New Roman" w:cs="Times New Roman"/>
                <w:szCs w:val="18"/>
              </w:rPr>
            </w:pPr>
          </w:p>
        </w:tc>
        <w:tc>
          <w:tcPr>
            <w:tcW w:w="911" w:type="dxa"/>
            <w:vMerge w:val="continue"/>
            <w:vAlign w:val="center"/>
          </w:tcPr>
          <w:p w14:paraId="17A71DBC">
            <w:pPr>
              <w:pStyle w:val="190"/>
              <w:rPr>
                <w:rFonts w:ascii="Times New Roman" w:hAnsi="Times New Roman" w:cs="Times New Roman"/>
                <w:szCs w:val="18"/>
              </w:rPr>
            </w:pPr>
          </w:p>
        </w:tc>
        <w:tc>
          <w:tcPr>
            <w:tcW w:w="1078" w:type="dxa"/>
            <w:vAlign w:val="center"/>
          </w:tcPr>
          <w:p w14:paraId="012C7152">
            <w:pPr>
              <w:pStyle w:val="190"/>
              <w:rPr>
                <w:rFonts w:ascii="Times New Roman" w:hAnsi="Times New Roman" w:cs="Times New Roman"/>
                <w:szCs w:val="18"/>
              </w:rPr>
            </w:pPr>
            <w:r>
              <w:rPr>
                <w:rFonts w:hint="eastAsia" w:ascii="Times New Roman" w:hAnsi="Times New Roman" w:cs="Times New Roman"/>
                <w:szCs w:val="18"/>
              </w:rPr>
              <w:t>35</w:t>
            </w:r>
          </w:p>
        </w:tc>
        <w:tc>
          <w:tcPr>
            <w:tcW w:w="940" w:type="dxa"/>
            <w:vAlign w:val="center"/>
          </w:tcPr>
          <w:p w14:paraId="2103F6DC">
            <w:pPr>
              <w:jc w:val="center"/>
              <w:textAlignment w:val="center"/>
              <w:rPr>
                <w:rFonts w:ascii="Times New Roman" w:hAnsi="Times New Roman" w:cs="Times New Roman"/>
                <w:szCs w:val="18"/>
              </w:rPr>
            </w:pPr>
            <w:r>
              <w:rPr>
                <w:rFonts w:ascii="Times New Roman" w:hAnsi="Times New Roman" w:cs="Times New Roman"/>
                <w:sz w:val="18"/>
                <w:szCs w:val="18"/>
              </w:rPr>
              <w:t>0.018</w:t>
            </w:r>
          </w:p>
        </w:tc>
        <w:tc>
          <w:tcPr>
            <w:tcW w:w="1629" w:type="dxa"/>
            <w:vMerge w:val="continue"/>
            <w:vAlign w:val="center"/>
          </w:tcPr>
          <w:p w14:paraId="302225DF">
            <w:pPr>
              <w:pStyle w:val="190"/>
              <w:rPr>
                <w:rFonts w:ascii="Times New Roman" w:hAnsi="Times New Roman" w:cs="Times New Roman"/>
                <w:szCs w:val="18"/>
              </w:rPr>
            </w:pPr>
          </w:p>
        </w:tc>
        <w:tc>
          <w:tcPr>
            <w:tcW w:w="713" w:type="dxa"/>
            <w:vMerge w:val="continue"/>
            <w:vAlign w:val="center"/>
          </w:tcPr>
          <w:p w14:paraId="2913BA16">
            <w:pPr>
              <w:pStyle w:val="190"/>
              <w:rPr>
                <w:rFonts w:ascii="Times New Roman" w:hAnsi="Times New Roman" w:cs="Times New Roman"/>
                <w:szCs w:val="18"/>
              </w:rPr>
            </w:pPr>
          </w:p>
        </w:tc>
      </w:tr>
      <w:tr w14:paraId="1FAB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8" w:type="dxa"/>
            <w:vMerge w:val="continue"/>
            <w:vAlign w:val="center"/>
          </w:tcPr>
          <w:p w14:paraId="69C0A5DC">
            <w:pPr>
              <w:pStyle w:val="190"/>
              <w:rPr>
                <w:rFonts w:ascii="Times New Roman" w:hAnsi="Times New Roman" w:cs="Times New Roman"/>
                <w:szCs w:val="18"/>
              </w:rPr>
            </w:pPr>
          </w:p>
        </w:tc>
        <w:tc>
          <w:tcPr>
            <w:tcW w:w="851" w:type="dxa"/>
            <w:vMerge w:val="continue"/>
            <w:vAlign w:val="center"/>
          </w:tcPr>
          <w:p w14:paraId="1EA7CC5B">
            <w:pPr>
              <w:pStyle w:val="190"/>
              <w:rPr>
                <w:rFonts w:ascii="Times New Roman" w:hAnsi="Times New Roman" w:cs="Times New Roman"/>
                <w:szCs w:val="18"/>
                <w:u w:color="000000"/>
              </w:rPr>
            </w:pPr>
          </w:p>
        </w:tc>
        <w:tc>
          <w:tcPr>
            <w:tcW w:w="992" w:type="dxa"/>
            <w:vAlign w:val="center"/>
          </w:tcPr>
          <w:p w14:paraId="265773F6">
            <w:pPr>
              <w:pStyle w:val="190"/>
              <w:rPr>
                <w:rFonts w:ascii="Times New Roman" w:hAnsi="Times New Roman" w:cs="Times New Roman"/>
                <w:szCs w:val="18"/>
              </w:rPr>
            </w:pPr>
            <w:r>
              <w:rPr>
                <w:rFonts w:ascii="Times New Roman" w:hAnsi="Times New Roman" w:cs="Times New Roman"/>
                <w:kern w:val="2"/>
                <w:szCs w:val="18"/>
              </w:rPr>
              <w:t>SS</w:t>
            </w:r>
          </w:p>
        </w:tc>
        <w:tc>
          <w:tcPr>
            <w:tcW w:w="723" w:type="dxa"/>
            <w:vMerge w:val="continue"/>
            <w:vAlign w:val="center"/>
          </w:tcPr>
          <w:p w14:paraId="040860FD">
            <w:pPr>
              <w:pStyle w:val="190"/>
              <w:rPr>
                <w:rFonts w:ascii="Times New Roman" w:hAnsi="Times New Roman" w:cs="Times New Roman"/>
                <w:szCs w:val="18"/>
              </w:rPr>
            </w:pPr>
          </w:p>
        </w:tc>
        <w:tc>
          <w:tcPr>
            <w:tcW w:w="911" w:type="dxa"/>
            <w:vMerge w:val="continue"/>
            <w:vAlign w:val="center"/>
          </w:tcPr>
          <w:p w14:paraId="507D7B5D">
            <w:pPr>
              <w:pStyle w:val="190"/>
              <w:rPr>
                <w:rFonts w:ascii="Times New Roman" w:hAnsi="Times New Roman" w:cs="Times New Roman"/>
                <w:szCs w:val="18"/>
              </w:rPr>
            </w:pPr>
          </w:p>
        </w:tc>
        <w:tc>
          <w:tcPr>
            <w:tcW w:w="1078" w:type="dxa"/>
            <w:vAlign w:val="center"/>
          </w:tcPr>
          <w:p w14:paraId="78F27420">
            <w:pPr>
              <w:pStyle w:val="190"/>
              <w:rPr>
                <w:rFonts w:ascii="Times New Roman" w:hAnsi="Times New Roman" w:cs="Times New Roman"/>
                <w:szCs w:val="18"/>
              </w:rPr>
            </w:pPr>
            <w:r>
              <w:rPr>
                <w:rFonts w:hint="eastAsia" w:ascii="Times New Roman" w:hAnsi="Times New Roman" w:cs="Times New Roman"/>
                <w:szCs w:val="18"/>
              </w:rPr>
              <w:t>300</w:t>
            </w:r>
          </w:p>
        </w:tc>
        <w:tc>
          <w:tcPr>
            <w:tcW w:w="940" w:type="dxa"/>
            <w:vAlign w:val="center"/>
          </w:tcPr>
          <w:p w14:paraId="085DEB8F">
            <w:pPr>
              <w:jc w:val="center"/>
              <w:textAlignment w:val="center"/>
              <w:rPr>
                <w:rFonts w:ascii="Times New Roman" w:hAnsi="Times New Roman" w:cs="Times New Roman"/>
                <w:szCs w:val="18"/>
              </w:rPr>
            </w:pPr>
            <w:r>
              <w:rPr>
                <w:rFonts w:ascii="Times New Roman" w:hAnsi="Times New Roman" w:cs="Times New Roman"/>
                <w:sz w:val="18"/>
                <w:szCs w:val="18"/>
              </w:rPr>
              <w:t>0.15</w:t>
            </w:r>
          </w:p>
        </w:tc>
        <w:tc>
          <w:tcPr>
            <w:tcW w:w="1629" w:type="dxa"/>
            <w:vMerge w:val="continue"/>
            <w:vAlign w:val="center"/>
          </w:tcPr>
          <w:p w14:paraId="16229136">
            <w:pPr>
              <w:pStyle w:val="190"/>
              <w:rPr>
                <w:rFonts w:ascii="Times New Roman" w:hAnsi="Times New Roman" w:cs="Times New Roman"/>
                <w:szCs w:val="18"/>
              </w:rPr>
            </w:pPr>
          </w:p>
        </w:tc>
        <w:tc>
          <w:tcPr>
            <w:tcW w:w="713" w:type="dxa"/>
            <w:vMerge w:val="continue"/>
            <w:vAlign w:val="center"/>
          </w:tcPr>
          <w:p w14:paraId="47298A4D">
            <w:pPr>
              <w:pStyle w:val="190"/>
              <w:rPr>
                <w:rFonts w:ascii="Times New Roman" w:hAnsi="Times New Roman" w:cs="Times New Roman"/>
                <w:szCs w:val="18"/>
              </w:rPr>
            </w:pPr>
          </w:p>
        </w:tc>
      </w:tr>
    </w:tbl>
    <w:p w14:paraId="11CC1327">
      <w:pPr>
        <w:pStyle w:val="281"/>
        <w:ind w:firstLine="480"/>
      </w:pPr>
      <w:r>
        <w:rPr>
          <w:rFonts w:hint="eastAsia"/>
        </w:rPr>
        <w:t>（3）噪声</w:t>
      </w:r>
    </w:p>
    <w:p w14:paraId="5D077557">
      <w:pPr>
        <w:pStyle w:val="281"/>
        <w:ind w:firstLine="480"/>
      </w:pPr>
      <w:r>
        <w:rPr>
          <w:rFonts w:hint="eastAsia"/>
          <w:u w:color="000000"/>
        </w:rPr>
        <w:t>噪声主要来源于设备机械噪声和流体动力噪声。主要噪声源有各种风机、泵等，噪声级一般在</w:t>
      </w:r>
      <w:r>
        <w:rPr>
          <w:u w:color="000000"/>
        </w:rPr>
        <w:t>9</w:t>
      </w:r>
      <w:r>
        <w:rPr>
          <w:rFonts w:hint="eastAsia"/>
          <w:u w:color="000000"/>
        </w:rPr>
        <w:t>0dB之间，此类噪声为连续噪声源。各设备噪声源强参照《污染源源强核算技术指南 化肥工业》（HJ994-2018）附表B。</w:t>
      </w:r>
      <w:r>
        <w:rPr>
          <w:rFonts w:hint="eastAsia" w:ascii="宋体" w:hAnsi="宋体"/>
        </w:rPr>
        <w:t>二氧化碳压缩单元</w:t>
      </w:r>
      <w:r>
        <w:rPr>
          <w:rFonts w:hint="eastAsia"/>
          <w:u w:color="000000"/>
        </w:rPr>
        <w:t>主要噪声源及治理情况见</w:t>
      </w:r>
      <w:r>
        <w:rPr>
          <w:rFonts w:hint="eastAsia"/>
        </w:rPr>
        <w:t>表3.2.</w:t>
      </w:r>
      <w:r>
        <w:t>3</w:t>
      </w:r>
      <w:r>
        <w:rPr>
          <w:rFonts w:hint="eastAsia"/>
        </w:rPr>
        <w:t>-44。</w:t>
      </w:r>
    </w:p>
    <w:p w14:paraId="022D70F6">
      <w:pPr>
        <w:pStyle w:val="541"/>
        <w:rPr>
          <w:rFonts w:hint="eastAsia"/>
          <w:u w:color="000000"/>
        </w:rPr>
      </w:pPr>
      <w:r>
        <w:rPr>
          <w:rFonts w:hint="eastAsia"/>
        </w:rPr>
        <w:t>表3.2.3-44</w:t>
      </w:r>
      <w:r>
        <w:rPr>
          <w:u w:color="000000"/>
        </w:rPr>
        <w:t xml:space="preserve">    </w:t>
      </w:r>
      <w:r>
        <w:rPr>
          <w:rFonts w:hint="eastAsia" w:ascii="宋体" w:hAnsi="宋体"/>
        </w:rPr>
        <w:t>二氧化碳压缩单元</w:t>
      </w:r>
      <w:r>
        <w:rPr>
          <w:rFonts w:hint="eastAsia"/>
          <w:u w:color="000000"/>
        </w:rPr>
        <w:t>噪声污染源一览表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4"/>
        <w:gridCol w:w="564"/>
        <w:gridCol w:w="705"/>
        <w:gridCol w:w="880"/>
        <w:gridCol w:w="644"/>
        <w:gridCol w:w="819"/>
        <w:gridCol w:w="1500"/>
        <w:gridCol w:w="424"/>
        <w:gridCol w:w="644"/>
        <w:gridCol w:w="590"/>
        <w:gridCol w:w="1071"/>
      </w:tblGrid>
      <w:tr w14:paraId="3896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64" w:type="dxa"/>
            <w:vMerge w:val="restart"/>
            <w:tcBorders>
              <w:top w:val="single" w:color="auto" w:sz="4" w:space="0"/>
              <w:left w:val="single" w:color="auto" w:sz="4" w:space="0"/>
              <w:right w:val="single" w:color="auto" w:sz="4" w:space="0"/>
            </w:tcBorders>
            <w:vAlign w:val="center"/>
          </w:tcPr>
          <w:p w14:paraId="2453457E">
            <w:pPr>
              <w:jc w:val="center"/>
              <w:rPr>
                <w:rFonts w:ascii="Times New Roman" w:hAnsi="Times New Roman" w:cs="Times New Roman"/>
                <w:sz w:val="18"/>
                <w:szCs w:val="18"/>
              </w:rPr>
            </w:pPr>
            <w:r>
              <w:rPr>
                <w:rFonts w:ascii="Times New Roman" w:hAnsi="Times New Roman" w:cs="Times New Roman"/>
                <w:sz w:val="18"/>
                <w:szCs w:val="18"/>
              </w:rPr>
              <w:t>编号</w:t>
            </w:r>
          </w:p>
        </w:tc>
        <w:tc>
          <w:tcPr>
            <w:tcW w:w="564" w:type="dxa"/>
            <w:vMerge w:val="restart"/>
            <w:tcBorders>
              <w:top w:val="single" w:color="auto" w:sz="4" w:space="0"/>
              <w:left w:val="single" w:color="auto" w:sz="4" w:space="0"/>
              <w:right w:val="single" w:color="auto" w:sz="4" w:space="0"/>
            </w:tcBorders>
            <w:vAlign w:val="center"/>
          </w:tcPr>
          <w:p w14:paraId="299DA820">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705" w:type="dxa"/>
            <w:vMerge w:val="restart"/>
            <w:tcBorders>
              <w:top w:val="single" w:color="auto" w:sz="4" w:space="0"/>
              <w:left w:val="single" w:color="auto" w:sz="4" w:space="0"/>
              <w:right w:val="single" w:color="auto" w:sz="4" w:space="0"/>
            </w:tcBorders>
            <w:vAlign w:val="center"/>
          </w:tcPr>
          <w:p w14:paraId="2047AAB2">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880" w:type="dxa"/>
            <w:vMerge w:val="restart"/>
            <w:tcBorders>
              <w:top w:val="single" w:color="auto" w:sz="4" w:space="0"/>
              <w:left w:val="single" w:color="auto" w:sz="4" w:space="0"/>
              <w:right w:val="single" w:color="auto" w:sz="4" w:space="0"/>
            </w:tcBorders>
            <w:vAlign w:val="center"/>
          </w:tcPr>
          <w:p w14:paraId="786C24AF">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463" w:type="dxa"/>
            <w:gridSpan w:val="2"/>
            <w:tcBorders>
              <w:top w:val="single" w:color="auto" w:sz="4" w:space="0"/>
              <w:left w:val="single" w:color="auto" w:sz="4" w:space="0"/>
              <w:bottom w:val="single" w:color="auto" w:sz="4" w:space="0"/>
              <w:right w:val="single" w:color="auto" w:sz="4" w:space="0"/>
            </w:tcBorders>
            <w:vAlign w:val="center"/>
          </w:tcPr>
          <w:p w14:paraId="67C84C5A">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1924" w:type="dxa"/>
            <w:gridSpan w:val="2"/>
            <w:tcBorders>
              <w:top w:val="single" w:color="auto" w:sz="4" w:space="0"/>
              <w:left w:val="single" w:color="auto" w:sz="4" w:space="0"/>
              <w:right w:val="single" w:color="auto" w:sz="4" w:space="0"/>
            </w:tcBorders>
            <w:vAlign w:val="center"/>
          </w:tcPr>
          <w:p w14:paraId="0A25FF6D">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234" w:type="dxa"/>
            <w:gridSpan w:val="2"/>
            <w:tcBorders>
              <w:top w:val="single" w:color="auto" w:sz="4" w:space="0"/>
              <w:left w:val="single" w:color="auto" w:sz="4" w:space="0"/>
              <w:right w:val="single" w:color="auto" w:sz="4" w:space="0"/>
            </w:tcBorders>
            <w:vAlign w:val="center"/>
          </w:tcPr>
          <w:p w14:paraId="6EC4AD32">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1071" w:type="dxa"/>
            <w:vMerge w:val="restart"/>
            <w:tcBorders>
              <w:top w:val="single" w:color="auto" w:sz="4" w:space="0"/>
              <w:left w:val="single" w:color="auto" w:sz="4" w:space="0"/>
              <w:right w:val="single" w:color="auto" w:sz="4" w:space="0"/>
            </w:tcBorders>
            <w:vAlign w:val="center"/>
          </w:tcPr>
          <w:p w14:paraId="0A3544A3">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3EE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64" w:type="dxa"/>
            <w:vMerge w:val="continue"/>
            <w:tcBorders>
              <w:left w:val="single" w:color="auto" w:sz="4" w:space="0"/>
              <w:bottom w:val="single" w:color="auto" w:sz="4" w:space="0"/>
              <w:right w:val="single" w:color="auto" w:sz="4" w:space="0"/>
            </w:tcBorders>
            <w:vAlign w:val="center"/>
          </w:tcPr>
          <w:p w14:paraId="0F9802E3">
            <w:pPr>
              <w:jc w:val="center"/>
              <w:rPr>
                <w:rFonts w:ascii="Times New Roman" w:hAnsi="Times New Roman" w:cs="Times New Roman"/>
                <w:sz w:val="18"/>
                <w:szCs w:val="18"/>
              </w:rPr>
            </w:pPr>
          </w:p>
        </w:tc>
        <w:tc>
          <w:tcPr>
            <w:tcW w:w="564" w:type="dxa"/>
            <w:vMerge w:val="continue"/>
            <w:tcBorders>
              <w:left w:val="single" w:color="auto" w:sz="4" w:space="0"/>
              <w:bottom w:val="single" w:color="auto" w:sz="4" w:space="0"/>
              <w:right w:val="single" w:color="auto" w:sz="4" w:space="0"/>
            </w:tcBorders>
            <w:vAlign w:val="center"/>
          </w:tcPr>
          <w:p w14:paraId="55B377A2">
            <w:pPr>
              <w:jc w:val="center"/>
              <w:rPr>
                <w:rFonts w:ascii="Times New Roman" w:hAnsi="Times New Roman" w:cs="Times New Roman"/>
                <w:sz w:val="18"/>
                <w:szCs w:val="18"/>
              </w:rPr>
            </w:pPr>
          </w:p>
        </w:tc>
        <w:tc>
          <w:tcPr>
            <w:tcW w:w="705" w:type="dxa"/>
            <w:vMerge w:val="continue"/>
            <w:tcBorders>
              <w:left w:val="single" w:color="auto" w:sz="4" w:space="0"/>
              <w:bottom w:val="single" w:color="auto" w:sz="4" w:space="0"/>
              <w:right w:val="single" w:color="auto" w:sz="4" w:space="0"/>
            </w:tcBorders>
            <w:vAlign w:val="center"/>
          </w:tcPr>
          <w:p w14:paraId="61017264">
            <w:pPr>
              <w:jc w:val="center"/>
              <w:rPr>
                <w:rFonts w:ascii="Times New Roman" w:hAnsi="Times New Roman" w:cs="Times New Roman"/>
                <w:sz w:val="18"/>
                <w:szCs w:val="18"/>
              </w:rPr>
            </w:pPr>
          </w:p>
        </w:tc>
        <w:tc>
          <w:tcPr>
            <w:tcW w:w="880" w:type="dxa"/>
            <w:vMerge w:val="continue"/>
            <w:tcBorders>
              <w:left w:val="single" w:color="auto" w:sz="4" w:space="0"/>
              <w:bottom w:val="single" w:color="auto" w:sz="4" w:space="0"/>
              <w:right w:val="single" w:color="auto" w:sz="4" w:space="0"/>
            </w:tcBorders>
            <w:vAlign w:val="center"/>
          </w:tcPr>
          <w:p w14:paraId="0F8E5FCA">
            <w:pPr>
              <w:jc w:val="center"/>
              <w:rPr>
                <w:rFonts w:ascii="Times New Roman" w:hAnsi="Times New Roman" w:cs="Times New Roman"/>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63FD8CB7">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19" w:type="dxa"/>
            <w:tcBorders>
              <w:top w:val="single" w:color="auto" w:sz="4" w:space="0"/>
              <w:left w:val="single" w:color="auto" w:sz="4" w:space="0"/>
              <w:bottom w:val="single" w:color="auto" w:sz="4" w:space="0"/>
              <w:right w:val="single" w:color="auto" w:sz="4" w:space="0"/>
            </w:tcBorders>
            <w:vAlign w:val="center"/>
          </w:tcPr>
          <w:p w14:paraId="110C3B80">
            <w:pPr>
              <w:jc w:val="center"/>
              <w:rPr>
                <w:rFonts w:ascii="Times New Roman" w:hAnsi="Times New Roman" w:cs="Times New Roman"/>
                <w:sz w:val="18"/>
                <w:szCs w:val="18"/>
              </w:rPr>
            </w:pPr>
            <w:r>
              <w:rPr>
                <w:rFonts w:ascii="Times New Roman" w:hAnsi="Times New Roman" w:cs="Times New Roman"/>
                <w:sz w:val="18"/>
                <w:szCs w:val="18"/>
              </w:rPr>
              <w:t>声源表</w:t>
            </w:r>
          </w:p>
          <w:p w14:paraId="1D534A03">
            <w:pPr>
              <w:jc w:val="center"/>
              <w:rPr>
                <w:rFonts w:ascii="Times New Roman" w:hAnsi="Times New Roman" w:cs="Times New Roman"/>
                <w:sz w:val="18"/>
                <w:szCs w:val="18"/>
              </w:rPr>
            </w:pPr>
            <w:r>
              <w:rPr>
                <w:rFonts w:ascii="Times New Roman" w:hAnsi="Times New Roman" w:cs="Times New Roman"/>
                <w:sz w:val="18"/>
                <w:szCs w:val="18"/>
              </w:rPr>
              <w:t>达量dB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500" w:type="dxa"/>
            <w:tcBorders>
              <w:left w:val="single" w:color="auto" w:sz="4" w:space="0"/>
              <w:bottom w:val="single" w:color="auto" w:sz="4" w:space="0"/>
              <w:right w:val="single" w:color="auto" w:sz="4" w:space="0"/>
            </w:tcBorders>
            <w:vAlign w:val="center"/>
          </w:tcPr>
          <w:p w14:paraId="1F4B0486">
            <w:pPr>
              <w:jc w:val="center"/>
              <w:rPr>
                <w:rFonts w:ascii="Times New Roman" w:hAnsi="Times New Roman" w:cs="Times New Roman"/>
                <w:sz w:val="18"/>
                <w:szCs w:val="18"/>
              </w:rPr>
            </w:pPr>
            <w:r>
              <w:rPr>
                <w:rFonts w:ascii="Times New Roman" w:hAnsi="Times New Roman" w:cs="Times New Roman"/>
                <w:sz w:val="18"/>
                <w:szCs w:val="18"/>
              </w:rPr>
              <w:t>工艺</w:t>
            </w:r>
          </w:p>
        </w:tc>
        <w:tc>
          <w:tcPr>
            <w:tcW w:w="424" w:type="dxa"/>
            <w:tcBorders>
              <w:left w:val="single" w:color="auto" w:sz="4" w:space="0"/>
              <w:bottom w:val="single" w:color="auto" w:sz="4" w:space="0"/>
              <w:right w:val="single" w:color="auto" w:sz="4" w:space="0"/>
            </w:tcBorders>
            <w:vAlign w:val="center"/>
          </w:tcPr>
          <w:p w14:paraId="1BF93B55">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644" w:type="dxa"/>
            <w:tcBorders>
              <w:left w:val="single" w:color="auto" w:sz="4" w:space="0"/>
              <w:bottom w:val="single" w:color="auto" w:sz="4" w:space="0"/>
              <w:right w:val="single" w:color="auto" w:sz="4" w:space="0"/>
            </w:tcBorders>
            <w:vAlign w:val="center"/>
          </w:tcPr>
          <w:p w14:paraId="4365FDA0">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590" w:type="dxa"/>
            <w:tcBorders>
              <w:left w:val="single" w:color="auto" w:sz="4" w:space="0"/>
              <w:bottom w:val="single" w:color="auto" w:sz="4" w:space="0"/>
              <w:right w:val="single" w:color="auto" w:sz="4" w:space="0"/>
            </w:tcBorders>
            <w:vAlign w:val="center"/>
          </w:tcPr>
          <w:p w14:paraId="3ABFC37C">
            <w:pPr>
              <w:jc w:val="center"/>
              <w:rPr>
                <w:rFonts w:ascii="Times New Roman" w:hAnsi="Times New Roman" w:cs="Times New Roman"/>
                <w:sz w:val="18"/>
                <w:szCs w:val="18"/>
              </w:rPr>
            </w:pPr>
            <w:r>
              <w:rPr>
                <w:rFonts w:ascii="Times New Roman" w:hAnsi="Times New Roman" w:cs="Times New Roman"/>
                <w:sz w:val="18"/>
                <w:szCs w:val="18"/>
              </w:rPr>
              <w:t>声源表</w:t>
            </w:r>
          </w:p>
          <w:p w14:paraId="69BB3626">
            <w:pPr>
              <w:jc w:val="center"/>
              <w:rPr>
                <w:rFonts w:ascii="Times New Roman" w:hAnsi="Times New Roman" w:cs="Times New Roman"/>
                <w:sz w:val="18"/>
                <w:szCs w:val="18"/>
              </w:rPr>
            </w:pPr>
            <w:r>
              <w:rPr>
                <w:rFonts w:ascii="Times New Roman" w:hAnsi="Times New Roman" w:cs="Times New Roman"/>
                <w:sz w:val="18"/>
                <w:szCs w:val="18"/>
              </w:rPr>
              <w:t>达量</w:t>
            </w:r>
          </w:p>
          <w:p w14:paraId="4E19424B">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071" w:type="dxa"/>
            <w:vMerge w:val="continue"/>
            <w:tcBorders>
              <w:left w:val="single" w:color="auto" w:sz="4" w:space="0"/>
              <w:bottom w:val="single" w:color="auto" w:sz="4" w:space="0"/>
              <w:right w:val="single" w:color="auto" w:sz="4" w:space="0"/>
            </w:tcBorders>
            <w:vAlign w:val="center"/>
          </w:tcPr>
          <w:p w14:paraId="3A112611">
            <w:pPr>
              <w:jc w:val="center"/>
              <w:rPr>
                <w:rFonts w:ascii="Times New Roman" w:hAnsi="Times New Roman" w:cs="Times New Roman"/>
                <w:sz w:val="18"/>
                <w:szCs w:val="18"/>
              </w:rPr>
            </w:pPr>
          </w:p>
        </w:tc>
      </w:tr>
      <w:tr w14:paraId="536E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64" w:type="dxa"/>
            <w:tcBorders>
              <w:left w:val="single" w:color="auto" w:sz="4" w:space="0"/>
              <w:right w:val="single" w:color="auto" w:sz="4" w:space="0"/>
            </w:tcBorders>
            <w:vAlign w:val="center"/>
          </w:tcPr>
          <w:p w14:paraId="51460688">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2-</w:t>
            </w:r>
            <w:r>
              <w:rPr>
                <w:rFonts w:hint="eastAsia" w:ascii="Times New Roman" w:hAnsi="Times New Roman" w:cs="Times New Roman"/>
                <w:sz w:val="18"/>
                <w:szCs w:val="18"/>
                <w:vertAlign w:val="subscript"/>
              </w:rPr>
              <w:t>8</w:t>
            </w:r>
          </w:p>
        </w:tc>
        <w:tc>
          <w:tcPr>
            <w:tcW w:w="564" w:type="dxa"/>
            <w:tcBorders>
              <w:left w:val="single" w:color="auto" w:sz="4" w:space="0"/>
              <w:right w:val="single" w:color="auto" w:sz="4" w:space="0"/>
            </w:tcBorders>
            <w:vAlign w:val="center"/>
          </w:tcPr>
          <w:p w14:paraId="067579CF">
            <w:pPr>
              <w:jc w:val="center"/>
              <w:rPr>
                <w:rFonts w:ascii="Times New Roman" w:hAnsi="Times New Roman" w:cs="Times New Roman"/>
                <w:sz w:val="18"/>
                <w:szCs w:val="18"/>
              </w:rPr>
            </w:pPr>
            <w:r>
              <w:rPr>
                <w:rFonts w:hint="eastAsia" w:ascii="Times New Roman" w:hAnsi="Times New Roman" w:cs="Times New Roman"/>
                <w:sz w:val="18"/>
                <w:szCs w:val="18"/>
              </w:rPr>
              <w:t>压缩</w:t>
            </w:r>
            <w:r>
              <w:rPr>
                <w:rFonts w:ascii="Times New Roman" w:hAnsi="Times New Roman" w:cs="Times New Roman"/>
                <w:sz w:val="18"/>
                <w:szCs w:val="18"/>
              </w:rPr>
              <w:t>机</w:t>
            </w:r>
          </w:p>
        </w:tc>
        <w:tc>
          <w:tcPr>
            <w:tcW w:w="705" w:type="dxa"/>
            <w:tcBorders>
              <w:left w:val="single" w:color="auto" w:sz="4" w:space="0"/>
              <w:bottom w:val="single" w:color="auto" w:sz="4" w:space="0"/>
              <w:right w:val="single" w:color="auto" w:sz="4" w:space="0"/>
            </w:tcBorders>
            <w:vAlign w:val="center"/>
          </w:tcPr>
          <w:p w14:paraId="63CEAAFA">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880" w:type="dxa"/>
            <w:tcBorders>
              <w:left w:val="single" w:color="auto" w:sz="4" w:space="0"/>
              <w:bottom w:val="single" w:color="auto" w:sz="4" w:space="0"/>
              <w:right w:val="single" w:color="auto" w:sz="4" w:space="0"/>
            </w:tcBorders>
            <w:vAlign w:val="center"/>
          </w:tcPr>
          <w:p w14:paraId="0A821C2E">
            <w:pPr>
              <w:jc w:val="center"/>
              <w:rPr>
                <w:rFonts w:ascii="Times New Roman" w:hAnsi="Times New Roman" w:cs="Times New Roman"/>
                <w:sz w:val="18"/>
                <w:szCs w:val="18"/>
              </w:rPr>
            </w:pPr>
            <w:r>
              <w:rPr>
                <w:rFonts w:ascii="Times New Roman" w:hAnsi="Times New Roman" w:cs="Times New Roman"/>
                <w:sz w:val="18"/>
                <w:szCs w:val="18"/>
              </w:rPr>
              <w:t>连续</w:t>
            </w:r>
          </w:p>
        </w:tc>
        <w:tc>
          <w:tcPr>
            <w:tcW w:w="644" w:type="dxa"/>
            <w:tcBorders>
              <w:top w:val="single" w:color="auto" w:sz="4" w:space="0"/>
              <w:left w:val="single" w:color="auto" w:sz="4" w:space="0"/>
              <w:bottom w:val="single" w:color="auto" w:sz="4" w:space="0"/>
              <w:right w:val="single" w:color="auto" w:sz="4" w:space="0"/>
            </w:tcBorders>
            <w:vAlign w:val="center"/>
          </w:tcPr>
          <w:p w14:paraId="3C7FBEA4">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19" w:type="dxa"/>
            <w:tcBorders>
              <w:top w:val="single" w:color="auto" w:sz="4" w:space="0"/>
              <w:left w:val="single" w:color="auto" w:sz="4" w:space="0"/>
              <w:bottom w:val="single" w:color="auto" w:sz="4" w:space="0"/>
              <w:right w:val="single" w:color="auto" w:sz="4" w:space="0"/>
            </w:tcBorders>
            <w:vAlign w:val="center"/>
          </w:tcPr>
          <w:p w14:paraId="0BC180AF">
            <w:pPr>
              <w:jc w:val="center"/>
              <w:rPr>
                <w:rFonts w:ascii="Times New Roman" w:hAnsi="Times New Roman" w:cs="Times New Roman"/>
                <w:sz w:val="18"/>
                <w:szCs w:val="18"/>
              </w:rPr>
            </w:pPr>
            <w:r>
              <w:rPr>
                <w:rFonts w:ascii="Times New Roman" w:hAnsi="Times New Roman" w:cs="Times New Roman"/>
                <w:sz w:val="18"/>
                <w:szCs w:val="18"/>
              </w:rPr>
              <w:t>90</w:t>
            </w:r>
          </w:p>
        </w:tc>
        <w:tc>
          <w:tcPr>
            <w:tcW w:w="1500" w:type="dxa"/>
            <w:tcBorders>
              <w:left w:val="single" w:color="auto" w:sz="4" w:space="0"/>
              <w:bottom w:val="single" w:color="auto" w:sz="4" w:space="0"/>
              <w:right w:val="single" w:color="auto" w:sz="4" w:space="0"/>
            </w:tcBorders>
            <w:vAlign w:val="center"/>
          </w:tcPr>
          <w:p w14:paraId="19726AA8">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424" w:type="dxa"/>
            <w:tcBorders>
              <w:left w:val="single" w:color="auto" w:sz="4" w:space="0"/>
              <w:bottom w:val="single" w:color="auto" w:sz="4" w:space="0"/>
              <w:right w:val="single" w:color="auto" w:sz="4" w:space="0"/>
            </w:tcBorders>
            <w:vAlign w:val="center"/>
          </w:tcPr>
          <w:p w14:paraId="55726188">
            <w:pPr>
              <w:jc w:val="center"/>
              <w:rPr>
                <w:rFonts w:ascii="Times New Roman" w:hAnsi="Times New Roman" w:cs="Times New Roman"/>
                <w:sz w:val="18"/>
                <w:szCs w:val="18"/>
              </w:rPr>
            </w:pPr>
            <w:r>
              <w:rPr>
                <w:rFonts w:ascii="Times New Roman" w:hAnsi="Times New Roman" w:cs="Times New Roman"/>
                <w:sz w:val="18"/>
                <w:szCs w:val="18"/>
              </w:rPr>
              <w:t>20</w:t>
            </w:r>
          </w:p>
        </w:tc>
        <w:tc>
          <w:tcPr>
            <w:tcW w:w="644" w:type="dxa"/>
            <w:tcBorders>
              <w:left w:val="single" w:color="auto" w:sz="4" w:space="0"/>
              <w:bottom w:val="single" w:color="auto" w:sz="4" w:space="0"/>
              <w:right w:val="single" w:color="auto" w:sz="4" w:space="0"/>
            </w:tcBorders>
            <w:vAlign w:val="center"/>
          </w:tcPr>
          <w:p w14:paraId="20148895">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590" w:type="dxa"/>
            <w:tcBorders>
              <w:left w:val="single" w:color="auto" w:sz="4" w:space="0"/>
              <w:bottom w:val="single" w:color="auto" w:sz="4" w:space="0"/>
              <w:right w:val="single" w:color="auto" w:sz="4" w:space="0"/>
            </w:tcBorders>
            <w:vAlign w:val="center"/>
          </w:tcPr>
          <w:p w14:paraId="4EC87E5D">
            <w:pPr>
              <w:jc w:val="center"/>
              <w:rPr>
                <w:rFonts w:ascii="Times New Roman" w:hAnsi="Times New Roman" w:cs="Times New Roman"/>
                <w:sz w:val="18"/>
                <w:szCs w:val="18"/>
              </w:rPr>
            </w:pPr>
            <w:r>
              <w:rPr>
                <w:rFonts w:ascii="Times New Roman" w:hAnsi="Times New Roman" w:cs="Times New Roman"/>
                <w:sz w:val="18"/>
                <w:szCs w:val="18"/>
              </w:rPr>
              <w:t>70</w:t>
            </w:r>
          </w:p>
        </w:tc>
        <w:tc>
          <w:tcPr>
            <w:tcW w:w="1071" w:type="dxa"/>
            <w:tcBorders>
              <w:left w:val="single" w:color="auto" w:sz="4" w:space="0"/>
              <w:bottom w:val="single" w:color="auto" w:sz="4" w:space="0"/>
              <w:right w:val="single" w:color="auto" w:sz="4" w:space="0"/>
            </w:tcBorders>
            <w:vAlign w:val="center"/>
          </w:tcPr>
          <w:p w14:paraId="7CA4A580">
            <w:pPr>
              <w:jc w:val="center"/>
              <w:rPr>
                <w:rFonts w:ascii="Times New Roman" w:hAnsi="Times New Roman" w:cs="Times New Roman"/>
                <w:sz w:val="18"/>
                <w:szCs w:val="18"/>
              </w:rPr>
            </w:pPr>
            <w:r>
              <w:rPr>
                <w:rFonts w:ascii="Times New Roman" w:hAnsi="Times New Roman" w:cs="Times New Roman"/>
                <w:sz w:val="18"/>
                <w:szCs w:val="18"/>
              </w:rPr>
              <w:t>8000</w:t>
            </w:r>
          </w:p>
        </w:tc>
      </w:tr>
    </w:tbl>
    <w:p w14:paraId="41C339B9">
      <w:pPr>
        <w:rPr>
          <w:rFonts w:hint="eastAsia"/>
        </w:rPr>
      </w:pPr>
    </w:p>
    <w:p w14:paraId="798A44AC">
      <w:pPr>
        <w:pStyle w:val="97"/>
        <w:rPr>
          <w:rFonts w:hint="eastAsia"/>
        </w:rPr>
      </w:pPr>
      <w:r>
        <w:rPr>
          <w:rFonts w:hint="eastAsia"/>
        </w:rPr>
        <w:t>电解水制氢装置（编号03）</w:t>
      </w:r>
    </w:p>
    <w:p w14:paraId="48796BDA">
      <w:pPr>
        <w:pStyle w:val="98"/>
        <w:rPr>
          <w:rFonts w:hint="eastAsia"/>
        </w:rPr>
      </w:pPr>
      <w:r>
        <w:rPr>
          <w:rFonts w:hint="eastAsia"/>
        </w:rPr>
        <w:t>装置概述</w:t>
      </w:r>
    </w:p>
    <w:p w14:paraId="752B5D4A">
      <w:pPr>
        <w:pStyle w:val="281"/>
        <w:ind w:firstLine="480"/>
      </w:pPr>
      <w:r>
        <w:rPr>
          <w:rFonts w:hint="eastAsia" w:cs="Times New Roman"/>
          <w:szCs w:val="24"/>
        </w:rPr>
        <w:t>生产能力：</w:t>
      </w:r>
      <w:r>
        <w:rPr>
          <w:rFonts w:cs="Times New Roman"/>
        </w:rPr>
        <w:t>86800Nm</w:t>
      </w:r>
      <w:r>
        <w:rPr>
          <w:rFonts w:cs="Times New Roman"/>
          <w:vertAlign w:val="superscript"/>
        </w:rPr>
        <w:t>3</w:t>
      </w:r>
      <w:r>
        <w:rPr>
          <w:rFonts w:cs="Times New Roman"/>
        </w:rPr>
        <w:t>/h 氢气。</w:t>
      </w:r>
    </w:p>
    <w:p w14:paraId="1BA6CA95">
      <w:pPr>
        <w:pStyle w:val="281"/>
        <w:ind w:firstLine="480"/>
      </w:pPr>
      <w:r>
        <w:t>操作弹性：</w:t>
      </w:r>
      <w:r>
        <w:rPr>
          <w:rFonts w:hint="eastAsia"/>
        </w:rPr>
        <w:t>5</w:t>
      </w:r>
      <w:r>
        <w:t>0-110%</w:t>
      </w:r>
    </w:p>
    <w:p w14:paraId="68B682C7">
      <w:pPr>
        <w:pStyle w:val="281"/>
        <w:ind w:firstLine="480"/>
      </w:pPr>
      <w:r>
        <w:rPr>
          <w:rFonts w:hint="eastAsia" w:ascii="宋体" w:hAnsi="宋体"/>
        </w:rPr>
        <w:t>年开工时间：</w:t>
      </w:r>
      <w:r>
        <w:t>8000h</w:t>
      </w:r>
      <w:r>
        <w:rPr>
          <w:rFonts w:hint="eastAsia" w:ascii="宋体" w:hAnsi="宋体"/>
        </w:rPr>
        <w:t>。</w:t>
      </w:r>
    </w:p>
    <w:p w14:paraId="3CC40587">
      <w:pPr>
        <w:pStyle w:val="98"/>
        <w:rPr>
          <w:rFonts w:hint="eastAsia"/>
        </w:rPr>
      </w:pPr>
      <w:r>
        <w:rPr>
          <w:rFonts w:hint="eastAsia"/>
        </w:rPr>
        <w:t>原辅材料及公用工程消耗</w:t>
      </w:r>
    </w:p>
    <w:p w14:paraId="4714E1D6">
      <w:pPr>
        <w:pStyle w:val="128"/>
        <w:rPr>
          <w:rFonts w:hAnsi="Times New Roman" w:cs="Times New Roman"/>
        </w:rPr>
      </w:pPr>
      <w:r>
        <w:rPr>
          <w:rFonts w:hAnsi="Times New Roman" w:cs="Times New Roman"/>
        </w:rPr>
        <w:t>电解水制氢装置的原料为脱盐水</w:t>
      </w:r>
      <w:r>
        <w:rPr>
          <w:rFonts w:hint="eastAsia" w:hAnsi="Times New Roman" w:cs="Times New Roman"/>
        </w:rPr>
        <w:t>，消耗情况见表3.2.4-1</w:t>
      </w:r>
      <w:r>
        <w:rPr>
          <w:rFonts w:hAnsi="Times New Roman" w:cs="Times New Roman"/>
        </w:rPr>
        <w:t>，由脱盐水装置提供，其规格</w:t>
      </w:r>
      <w:r>
        <w:rPr>
          <w:rFonts w:hint="eastAsia" w:hAnsi="Times New Roman" w:cs="Times New Roman"/>
        </w:rPr>
        <w:t>见表3.2.4-2</w:t>
      </w:r>
      <w:r>
        <w:rPr>
          <w:rFonts w:hAnsi="Times New Roman" w:cs="Times New Roman"/>
        </w:rPr>
        <w:t>。</w:t>
      </w:r>
    </w:p>
    <w:p w14:paraId="0728A7C3">
      <w:pPr>
        <w:pStyle w:val="535"/>
        <w:rPr>
          <w:rFonts w:hint="eastAsia"/>
          <w:color w:val="auto"/>
        </w:rPr>
      </w:pPr>
      <w:r>
        <w:rPr>
          <w:rFonts w:hint="eastAsia"/>
          <w:color w:val="auto"/>
        </w:rPr>
        <w:t xml:space="preserve">表3.2.4-1  </w:t>
      </w:r>
      <w:r>
        <w:rPr>
          <w:rFonts w:hint="eastAsia"/>
        </w:rPr>
        <w:t>电解水制氢</w:t>
      </w:r>
      <w:r>
        <w:rPr>
          <w:rFonts w:hint="eastAsia" w:ascii="宋体" w:hAnsi="宋体"/>
        </w:rPr>
        <w:t>装置</w:t>
      </w:r>
      <w:r>
        <w:rPr>
          <w:rFonts w:hint="eastAsia"/>
        </w:rPr>
        <w:t>原辅</w:t>
      </w:r>
      <w:r>
        <w:rPr>
          <w:rFonts w:hint="eastAsia"/>
          <w:color w:val="auto"/>
        </w:rPr>
        <w:t>材料及能耗消耗表</w:t>
      </w:r>
    </w:p>
    <w:tbl>
      <w:tblPr>
        <w:tblStyle w:val="65"/>
        <w:tblW w:w="488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3"/>
        <w:gridCol w:w="2187"/>
        <w:gridCol w:w="1064"/>
        <w:gridCol w:w="1323"/>
        <w:gridCol w:w="1183"/>
        <w:gridCol w:w="1701"/>
      </w:tblGrid>
      <w:tr w14:paraId="6D6BDE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tblHeader/>
          <w:jc w:val="center"/>
        </w:trPr>
        <w:tc>
          <w:tcPr>
            <w:tcW w:w="518" w:type="pct"/>
            <w:tcBorders>
              <w:top w:val="single" w:color="auto" w:sz="4" w:space="0"/>
              <w:left w:val="single" w:color="auto" w:sz="4" w:space="0"/>
              <w:bottom w:val="single" w:color="auto" w:sz="4" w:space="0"/>
              <w:right w:val="single" w:color="auto" w:sz="4" w:space="0"/>
            </w:tcBorders>
            <w:vAlign w:val="center"/>
          </w:tcPr>
          <w:p w14:paraId="3DB88F3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序号</w:t>
            </w:r>
          </w:p>
        </w:tc>
        <w:tc>
          <w:tcPr>
            <w:tcW w:w="1313" w:type="pct"/>
            <w:tcBorders>
              <w:top w:val="single" w:color="auto" w:sz="4" w:space="0"/>
              <w:left w:val="single" w:color="auto" w:sz="4" w:space="0"/>
              <w:bottom w:val="single" w:color="auto" w:sz="4" w:space="0"/>
              <w:right w:val="single" w:color="auto" w:sz="4" w:space="0"/>
            </w:tcBorders>
            <w:vAlign w:val="center"/>
          </w:tcPr>
          <w:p w14:paraId="6C5B5E1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名称</w:t>
            </w:r>
          </w:p>
        </w:tc>
        <w:tc>
          <w:tcPr>
            <w:tcW w:w="639" w:type="pct"/>
            <w:tcBorders>
              <w:top w:val="single" w:color="auto" w:sz="4" w:space="0"/>
              <w:left w:val="single" w:color="auto" w:sz="4" w:space="0"/>
              <w:bottom w:val="single" w:color="auto" w:sz="4" w:space="0"/>
              <w:right w:val="single" w:color="auto" w:sz="4" w:space="0"/>
            </w:tcBorders>
            <w:vAlign w:val="center"/>
          </w:tcPr>
          <w:p w14:paraId="08347C4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单位</w:t>
            </w:r>
          </w:p>
        </w:tc>
        <w:tc>
          <w:tcPr>
            <w:tcW w:w="794" w:type="pct"/>
            <w:tcBorders>
              <w:top w:val="single" w:color="auto" w:sz="4" w:space="0"/>
              <w:left w:val="single" w:color="auto" w:sz="4" w:space="0"/>
              <w:bottom w:val="single" w:color="auto" w:sz="4" w:space="0"/>
              <w:right w:val="single" w:color="auto" w:sz="4" w:space="0"/>
            </w:tcBorders>
            <w:vAlign w:val="center"/>
          </w:tcPr>
          <w:p w14:paraId="6090A25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使用情况</w:t>
            </w:r>
          </w:p>
        </w:tc>
        <w:tc>
          <w:tcPr>
            <w:tcW w:w="710" w:type="pct"/>
            <w:tcBorders>
              <w:top w:val="single" w:color="auto" w:sz="4" w:space="0"/>
              <w:left w:val="single" w:color="auto" w:sz="4" w:space="0"/>
              <w:bottom w:val="single" w:color="auto" w:sz="4" w:space="0"/>
              <w:right w:val="single" w:color="auto" w:sz="4" w:space="0"/>
            </w:tcBorders>
            <w:vAlign w:val="center"/>
          </w:tcPr>
          <w:p w14:paraId="27B172D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消耗量</w:t>
            </w:r>
          </w:p>
        </w:tc>
        <w:tc>
          <w:tcPr>
            <w:tcW w:w="1021" w:type="pct"/>
            <w:tcBorders>
              <w:top w:val="single" w:color="auto" w:sz="4" w:space="0"/>
              <w:left w:val="single" w:color="auto" w:sz="4" w:space="0"/>
              <w:bottom w:val="single" w:color="auto" w:sz="4" w:space="0"/>
              <w:right w:val="single" w:color="auto" w:sz="4" w:space="0"/>
            </w:tcBorders>
            <w:vAlign w:val="center"/>
          </w:tcPr>
          <w:p w14:paraId="5D8FB6FD">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备注</w:t>
            </w:r>
          </w:p>
        </w:tc>
      </w:tr>
      <w:tr w14:paraId="01578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9" w:hRule="atLeast"/>
          <w:jc w:val="center"/>
        </w:trPr>
        <w:tc>
          <w:tcPr>
            <w:tcW w:w="518" w:type="pct"/>
            <w:tcBorders>
              <w:left w:val="single" w:color="auto" w:sz="4" w:space="0"/>
              <w:bottom w:val="single" w:color="auto" w:sz="4" w:space="0"/>
              <w:right w:val="single" w:color="auto" w:sz="4" w:space="0"/>
            </w:tcBorders>
            <w:vAlign w:val="center"/>
          </w:tcPr>
          <w:p w14:paraId="5E4A79B9">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1313" w:type="pct"/>
            <w:tcBorders>
              <w:left w:val="single" w:color="auto" w:sz="4" w:space="0"/>
              <w:bottom w:val="single" w:color="auto" w:sz="4" w:space="0"/>
              <w:right w:val="single" w:color="auto" w:sz="4" w:space="0"/>
            </w:tcBorders>
            <w:vAlign w:val="center"/>
          </w:tcPr>
          <w:p w14:paraId="6A2C972E">
            <w:pPr>
              <w:jc w:val="center"/>
              <w:rPr>
                <w:rFonts w:ascii="Times New Roman" w:hAnsi="Times New Roman" w:cs="Times New Roman"/>
                <w:sz w:val="18"/>
                <w:szCs w:val="18"/>
              </w:rPr>
            </w:pPr>
            <w:r>
              <w:rPr>
                <w:rFonts w:hint="eastAsia" w:ascii="Times New Roman" w:hAnsi="Times New Roman" w:cs="Times New Roman"/>
                <w:sz w:val="18"/>
                <w:szCs w:val="18"/>
              </w:rPr>
              <w:t>除盐水</w:t>
            </w:r>
          </w:p>
        </w:tc>
        <w:tc>
          <w:tcPr>
            <w:tcW w:w="639" w:type="pct"/>
            <w:tcBorders>
              <w:top w:val="single" w:color="auto" w:sz="4" w:space="0"/>
              <w:left w:val="single" w:color="auto" w:sz="4" w:space="0"/>
              <w:bottom w:val="single" w:color="auto" w:sz="4" w:space="0"/>
              <w:right w:val="single" w:color="auto" w:sz="4" w:space="0"/>
            </w:tcBorders>
            <w:vAlign w:val="center"/>
          </w:tcPr>
          <w:p w14:paraId="4BB0ABE8">
            <w:pPr>
              <w:jc w:val="center"/>
              <w:rPr>
                <w:rFonts w:ascii="Times New Roman" w:hAnsi="Times New Roman" w:cs="Times New Roman"/>
                <w:sz w:val="18"/>
                <w:szCs w:val="18"/>
              </w:rPr>
            </w:pPr>
            <w:r>
              <w:rPr>
                <w:rFonts w:hint="eastAsia" w:ascii="Times New Roman" w:hAnsi="Times New Roman" w:cs="Times New Roman"/>
                <w:sz w:val="18"/>
                <w:szCs w:val="18"/>
              </w:rPr>
              <w:t>kg/h</w:t>
            </w:r>
          </w:p>
        </w:tc>
        <w:tc>
          <w:tcPr>
            <w:tcW w:w="794" w:type="pct"/>
            <w:tcBorders>
              <w:top w:val="single" w:color="auto" w:sz="4" w:space="0"/>
              <w:left w:val="single" w:color="auto" w:sz="4" w:space="0"/>
              <w:bottom w:val="single" w:color="auto" w:sz="4" w:space="0"/>
              <w:right w:val="single" w:color="auto" w:sz="4" w:space="0"/>
            </w:tcBorders>
            <w:vAlign w:val="center"/>
          </w:tcPr>
          <w:p w14:paraId="53BFC835">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710" w:type="pct"/>
            <w:tcBorders>
              <w:top w:val="single" w:color="auto" w:sz="4" w:space="0"/>
              <w:left w:val="single" w:color="auto" w:sz="4" w:space="0"/>
              <w:bottom w:val="single" w:color="auto" w:sz="4" w:space="0"/>
              <w:right w:val="single" w:color="auto" w:sz="4" w:space="0"/>
            </w:tcBorders>
            <w:vAlign w:val="center"/>
          </w:tcPr>
          <w:p w14:paraId="7F708CCA">
            <w:pPr>
              <w:jc w:val="center"/>
              <w:rPr>
                <w:rFonts w:ascii="Times New Roman" w:hAnsi="Times New Roman" w:cs="Times New Roman"/>
                <w:sz w:val="18"/>
                <w:szCs w:val="18"/>
              </w:rPr>
            </w:pPr>
            <w:r>
              <w:rPr>
                <w:rFonts w:hint="eastAsia" w:ascii="Times New Roman" w:hAnsi="Times New Roman" w:cs="Times New Roman"/>
                <w:sz w:val="18"/>
                <w:szCs w:val="18"/>
              </w:rPr>
              <w:t>70907</w:t>
            </w:r>
          </w:p>
        </w:tc>
        <w:tc>
          <w:tcPr>
            <w:tcW w:w="1021" w:type="pct"/>
            <w:tcBorders>
              <w:top w:val="single" w:color="auto" w:sz="4" w:space="0"/>
              <w:left w:val="single" w:color="auto" w:sz="4" w:space="0"/>
              <w:bottom w:val="single" w:color="auto" w:sz="4" w:space="0"/>
              <w:right w:val="single" w:color="auto" w:sz="4" w:space="0"/>
            </w:tcBorders>
            <w:vAlign w:val="center"/>
          </w:tcPr>
          <w:p w14:paraId="1BD62509">
            <w:pPr>
              <w:jc w:val="center"/>
              <w:rPr>
                <w:rFonts w:ascii="Times New Roman" w:hAnsi="Times New Roman" w:cs="Times New Roman"/>
                <w:sz w:val="18"/>
                <w:szCs w:val="18"/>
              </w:rPr>
            </w:pPr>
            <w:r>
              <w:rPr>
                <w:rFonts w:hint="eastAsia" w:ascii="Times New Roman" w:hAnsi="Times New Roman" w:cs="Times New Roman"/>
                <w:sz w:val="18"/>
                <w:szCs w:val="18"/>
              </w:rPr>
              <w:t>来自脱盐水站</w:t>
            </w:r>
          </w:p>
        </w:tc>
      </w:tr>
    </w:tbl>
    <w:p w14:paraId="1554907E">
      <w:pPr>
        <w:pStyle w:val="540"/>
        <w:rPr>
          <w:rFonts w:hint="eastAsia"/>
          <w:color w:val="auto"/>
        </w:rPr>
      </w:pPr>
      <w:r>
        <w:rPr>
          <w:rFonts w:hint="eastAsia"/>
          <w:color w:val="auto"/>
        </w:rPr>
        <w:t xml:space="preserve">表3.2.4-2 </w:t>
      </w:r>
      <w:r>
        <w:rPr>
          <w:color w:val="auto"/>
        </w:rPr>
        <w:t xml:space="preserve">  </w:t>
      </w:r>
      <w:r>
        <w:rPr>
          <w:rFonts w:hint="eastAsia"/>
          <w:color w:val="auto"/>
        </w:rPr>
        <w:t xml:space="preserve"> 脱盐水规格表</w:t>
      </w:r>
    </w:p>
    <w:tbl>
      <w:tblPr>
        <w:tblStyle w:val="735"/>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56"/>
        <w:gridCol w:w="1942"/>
        <w:gridCol w:w="2434"/>
        <w:gridCol w:w="1577"/>
      </w:tblGrid>
      <w:tr w14:paraId="02E2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6837E6BF">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名称</w:t>
            </w:r>
          </w:p>
        </w:tc>
        <w:tc>
          <w:tcPr>
            <w:tcW w:w="1168" w:type="pct"/>
            <w:vAlign w:val="center"/>
          </w:tcPr>
          <w:p w14:paraId="439C22D6">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单位</w:t>
            </w:r>
          </w:p>
        </w:tc>
        <w:tc>
          <w:tcPr>
            <w:tcW w:w="1464" w:type="pct"/>
            <w:vAlign w:val="center"/>
          </w:tcPr>
          <w:p w14:paraId="57F14E0C">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指标</w:t>
            </w:r>
          </w:p>
        </w:tc>
        <w:tc>
          <w:tcPr>
            <w:tcW w:w="948" w:type="pct"/>
            <w:vAlign w:val="center"/>
          </w:tcPr>
          <w:p w14:paraId="5F4C082F">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备注</w:t>
            </w:r>
          </w:p>
        </w:tc>
      </w:tr>
      <w:tr w14:paraId="0D102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56BE666C">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电阻率</w:t>
            </w:r>
          </w:p>
        </w:tc>
        <w:tc>
          <w:tcPr>
            <w:tcW w:w="1168" w:type="pct"/>
            <w:vAlign w:val="center"/>
          </w:tcPr>
          <w:p w14:paraId="616C210A">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Ω .cm</w:t>
            </w:r>
          </w:p>
        </w:tc>
        <w:tc>
          <w:tcPr>
            <w:tcW w:w="1464" w:type="pct"/>
            <w:vAlign w:val="center"/>
          </w:tcPr>
          <w:p w14:paraId="0C3C6B61">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≥1³ 10</w:t>
            </w:r>
            <w:r>
              <w:rPr>
                <w:rFonts w:ascii="Times New Roman" w:hAnsi="Times New Roman" w:cs="Times New Roman" w:eastAsiaTheme="minorEastAsia"/>
                <w:snapToGrid w:val="0"/>
                <w:color w:val="000000"/>
                <w:sz w:val="18"/>
                <w:szCs w:val="18"/>
                <w:vertAlign w:val="superscript"/>
              </w:rPr>
              <w:t>6</w:t>
            </w:r>
          </w:p>
        </w:tc>
        <w:tc>
          <w:tcPr>
            <w:tcW w:w="948" w:type="pct"/>
            <w:vAlign w:val="center"/>
          </w:tcPr>
          <w:p w14:paraId="04F02D8D">
            <w:pPr>
              <w:jc w:val="center"/>
              <w:rPr>
                <w:rFonts w:ascii="Arial" w:hAnsi="Arial" w:cs="Arial" w:eastAsiaTheme="minorEastAsia"/>
                <w:snapToGrid w:val="0"/>
                <w:color w:val="000000"/>
                <w:sz w:val="18"/>
                <w:szCs w:val="18"/>
              </w:rPr>
            </w:pPr>
          </w:p>
        </w:tc>
      </w:tr>
      <w:tr w14:paraId="65281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40CFDC89">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铁离子</w:t>
            </w:r>
          </w:p>
        </w:tc>
        <w:tc>
          <w:tcPr>
            <w:tcW w:w="1168" w:type="pct"/>
            <w:vAlign w:val="center"/>
          </w:tcPr>
          <w:p w14:paraId="014C4E70">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mg/L</w:t>
            </w:r>
          </w:p>
        </w:tc>
        <w:tc>
          <w:tcPr>
            <w:tcW w:w="1464" w:type="pct"/>
            <w:vAlign w:val="center"/>
          </w:tcPr>
          <w:p w14:paraId="6769C9EB">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&lt;1</w:t>
            </w:r>
          </w:p>
        </w:tc>
        <w:tc>
          <w:tcPr>
            <w:tcW w:w="948" w:type="pct"/>
            <w:vAlign w:val="center"/>
          </w:tcPr>
          <w:p w14:paraId="60743528">
            <w:pPr>
              <w:jc w:val="center"/>
              <w:rPr>
                <w:rFonts w:ascii="Arial" w:hAnsi="Arial" w:cs="Arial" w:eastAsiaTheme="minorEastAsia"/>
                <w:snapToGrid w:val="0"/>
                <w:color w:val="000000"/>
                <w:sz w:val="18"/>
                <w:szCs w:val="18"/>
              </w:rPr>
            </w:pPr>
          </w:p>
        </w:tc>
      </w:tr>
      <w:tr w14:paraId="50DDE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4EFA7C54">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氯离子</w:t>
            </w:r>
          </w:p>
        </w:tc>
        <w:tc>
          <w:tcPr>
            <w:tcW w:w="1168" w:type="pct"/>
            <w:vAlign w:val="center"/>
          </w:tcPr>
          <w:p w14:paraId="7A8087AA">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mg/L</w:t>
            </w:r>
          </w:p>
        </w:tc>
        <w:tc>
          <w:tcPr>
            <w:tcW w:w="1464" w:type="pct"/>
            <w:vAlign w:val="center"/>
          </w:tcPr>
          <w:p w14:paraId="2FE18D34">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&lt;2</w:t>
            </w:r>
          </w:p>
        </w:tc>
        <w:tc>
          <w:tcPr>
            <w:tcW w:w="948" w:type="pct"/>
            <w:vAlign w:val="center"/>
          </w:tcPr>
          <w:p w14:paraId="7AF2D4E3">
            <w:pPr>
              <w:jc w:val="center"/>
              <w:rPr>
                <w:rFonts w:ascii="Arial" w:hAnsi="Arial" w:cs="Arial" w:eastAsiaTheme="minorEastAsia"/>
                <w:snapToGrid w:val="0"/>
                <w:color w:val="000000"/>
                <w:sz w:val="18"/>
                <w:szCs w:val="18"/>
              </w:rPr>
            </w:pPr>
          </w:p>
        </w:tc>
      </w:tr>
      <w:tr w14:paraId="58D8C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6D47E499">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干残渣</w:t>
            </w:r>
          </w:p>
        </w:tc>
        <w:tc>
          <w:tcPr>
            <w:tcW w:w="1168" w:type="pct"/>
            <w:vAlign w:val="center"/>
          </w:tcPr>
          <w:p w14:paraId="7A19B053">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mg/L</w:t>
            </w:r>
          </w:p>
        </w:tc>
        <w:tc>
          <w:tcPr>
            <w:tcW w:w="1464" w:type="pct"/>
            <w:vAlign w:val="center"/>
          </w:tcPr>
          <w:p w14:paraId="468E4BF9">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&lt;7</w:t>
            </w:r>
          </w:p>
        </w:tc>
        <w:tc>
          <w:tcPr>
            <w:tcW w:w="948" w:type="pct"/>
            <w:vAlign w:val="center"/>
          </w:tcPr>
          <w:p w14:paraId="5C0577FB">
            <w:pPr>
              <w:jc w:val="center"/>
              <w:rPr>
                <w:rFonts w:ascii="Arial" w:hAnsi="Arial" w:cs="Arial" w:eastAsiaTheme="minorEastAsia"/>
                <w:snapToGrid w:val="0"/>
                <w:color w:val="000000"/>
                <w:sz w:val="18"/>
                <w:szCs w:val="18"/>
              </w:rPr>
            </w:pPr>
          </w:p>
        </w:tc>
      </w:tr>
      <w:tr w14:paraId="0E472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17" w:type="pct"/>
            <w:vAlign w:val="center"/>
          </w:tcPr>
          <w:p w14:paraId="0E6E681E">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悬浮物</w:t>
            </w:r>
          </w:p>
        </w:tc>
        <w:tc>
          <w:tcPr>
            <w:tcW w:w="1168" w:type="pct"/>
            <w:vAlign w:val="center"/>
          </w:tcPr>
          <w:p w14:paraId="3C9D11D4">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mg/L</w:t>
            </w:r>
          </w:p>
        </w:tc>
        <w:tc>
          <w:tcPr>
            <w:tcW w:w="1464" w:type="pct"/>
            <w:vAlign w:val="center"/>
          </w:tcPr>
          <w:p w14:paraId="70C1BE11">
            <w:pPr>
              <w:jc w:val="center"/>
              <w:rPr>
                <w:rFonts w:ascii="Times New Roman" w:hAnsi="Times New Roman" w:cs="Times New Roman" w:eastAsiaTheme="minorEastAsia"/>
                <w:snapToGrid w:val="0"/>
                <w:color w:val="000000"/>
                <w:sz w:val="18"/>
                <w:szCs w:val="18"/>
              </w:rPr>
            </w:pPr>
            <w:r>
              <w:rPr>
                <w:rFonts w:ascii="Times New Roman" w:hAnsi="Times New Roman" w:cs="Times New Roman" w:eastAsiaTheme="minorEastAsia"/>
                <w:snapToGrid w:val="0"/>
                <w:color w:val="000000"/>
                <w:sz w:val="18"/>
                <w:szCs w:val="18"/>
              </w:rPr>
              <w:t>&lt;1</w:t>
            </w:r>
          </w:p>
        </w:tc>
        <w:tc>
          <w:tcPr>
            <w:tcW w:w="948" w:type="pct"/>
            <w:vAlign w:val="center"/>
          </w:tcPr>
          <w:p w14:paraId="53A57A07">
            <w:pPr>
              <w:jc w:val="center"/>
              <w:rPr>
                <w:rFonts w:ascii="Arial" w:hAnsi="Arial" w:cs="Arial" w:eastAsiaTheme="minorEastAsia"/>
                <w:snapToGrid w:val="0"/>
                <w:color w:val="000000"/>
                <w:sz w:val="18"/>
                <w:szCs w:val="18"/>
              </w:rPr>
            </w:pPr>
          </w:p>
        </w:tc>
      </w:tr>
    </w:tbl>
    <w:p w14:paraId="5BE6694F">
      <w:pPr>
        <w:pStyle w:val="98"/>
        <w:rPr>
          <w:rFonts w:hint="eastAsia"/>
        </w:rPr>
      </w:pPr>
      <w:r>
        <w:rPr>
          <w:rFonts w:hint="eastAsia"/>
        </w:rPr>
        <w:t>工艺流程及产污环节</w:t>
      </w:r>
    </w:p>
    <w:p w14:paraId="3162E161">
      <w:pPr>
        <w:pStyle w:val="814"/>
        <w:rPr>
          <w:rFonts w:hint="eastAsia"/>
        </w:rPr>
      </w:pPr>
      <w:r>
        <w:rPr>
          <w:rFonts w:hint="eastAsia"/>
        </w:rPr>
        <w:t>工艺流程</w:t>
      </w:r>
    </w:p>
    <w:p w14:paraId="396D0C5F">
      <w:pPr>
        <w:pStyle w:val="281"/>
        <w:ind w:firstLine="480"/>
        <w:rPr>
          <w:rFonts w:cs="Times New Roman"/>
        </w:rPr>
      </w:pPr>
      <w:r>
        <w:rPr>
          <w:rFonts w:hint="eastAsia" w:cs="Times New Roman"/>
        </w:rPr>
        <w:t>以下部分涉密。</w:t>
      </w:r>
    </w:p>
    <w:p w14:paraId="278072F4">
      <w:pPr>
        <w:spacing w:line="360" w:lineRule="auto"/>
        <w:ind w:firstLine="480" w:firstLineChars="200"/>
        <w:rPr>
          <w:rFonts w:ascii="Times New Roman" w:hAnsi="Times New Roman" w:cs="Times New Roman"/>
        </w:rPr>
      </w:pPr>
    </w:p>
    <w:p w14:paraId="05C6B756">
      <w:pPr>
        <w:pStyle w:val="814"/>
        <w:rPr>
          <w:rFonts w:hint="eastAsia"/>
        </w:rPr>
      </w:pPr>
      <w:r>
        <w:t>产污节点</w:t>
      </w:r>
    </w:p>
    <w:p w14:paraId="337416AA">
      <w:pPr>
        <w:pStyle w:val="128"/>
        <w:rPr>
          <w:rFonts w:hint="eastAsia"/>
        </w:rPr>
      </w:pPr>
      <w:bookmarkStart w:id="160" w:name="_Hlk150646735"/>
      <w:r>
        <w:rPr>
          <w:rFonts w:hint="eastAsia"/>
        </w:rPr>
        <w:t>电解水制氢装置产污环节见下表。</w:t>
      </w:r>
    </w:p>
    <w:p w14:paraId="079648FC">
      <w:pPr>
        <w:pStyle w:val="535"/>
        <w:rPr>
          <w:rFonts w:hint="eastAsia"/>
        </w:rPr>
      </w:pPr>
      <w:r>
        <w:rPr>
          <w:rFonts w:hint="eastAsia"/>
        </w:rPr>
        <w:t>表3.2.4-3</w:t>
      </w:r>
      <w:r>
        <w:t xml:space="preserve">   </w:t>
      </w:r>
      <w:r>
        <w:rPr>
          <w:rFonts w:hint="eastAsia"/>
        </w:rPr>
        <w:t>电解水制氢装置工艺产污节点一览表</w:t>
      </w:r>
    </w:p>
    <w:tbl>
      <w:tblPr>
        <w:tblStyle w:val="6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706"/>
        <w:gridCol w:w="2125"/>
        <w:gridCol w:w="1559"/>
        <w:gridCol w:w="1421"/>
        <w:gridCol w:w="1751"/>
      </w:tblGrid>
      <w:tr w14:paraId="71E86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tcBorders>
              <w:top w:val="single" w:color="auto" w:sz="4" w:space="0"/>
              <w:left w:val="single" w:color="auto" w:sz="4" w:space="0"/>
              <w:right w:val="single" w:color="auto" w:sz="4" w:space="0"/>
            </w:tcBorders>
            <w:vAlign w:val="center"/>
          </w:tcPr>
          <w:p w14:paraId="2B7A9B21">
            <w:pPr>
              <w:pStyle w:val="557"/>
            </w:pPr>
            <w:bookmarkStart w:id="161" w:name="_Hlk122947900"/>
          </w:p>
        </w:tc>
        <w:tc>
          <w:tcPr>
            <w:tcW w:w="414" w:type="pct"/>
            <w:tcBorders>
              <w:top w:val="single" w:color="auto" w:sz="4" w:space="0"/>
              <w:left w:val="single" w:color="auto" w:sz="4" w:space="0"/>
              <w:right w:val="single" w:color="auto" w:sz="4" w:space="0"/>
            </w:tcBorders>
            <w:vAlign w:val="center"/>
          </w:tcPr>
          <w:p w14:paraId="199E0194">
            <w:pPr>
              <w:pStyle w:val="557"/>
            </w:pPr>
            <w:r>
              <w:t>编号</w:t>
            </w:r>
          </w:p>
        </w:tc>
        <w:tc>
          <w:tcPr>
            <w:tcW w:w="1246" w:type="pct"/>
            <w:tcBorders>
              <w:top w:val="single" w:color="auto" w:sz="4" w:space="0"/>
              <w:left w:val="single" w:color="auto" w:sz="4" w:space="0"/>
              <w:right w:val="single" w:color="auto" w:sz="4" w:space="0"/>
            </w:tcBorders>
            <w:vAlign w:val="center"/>
          </w:tcPr>
          <w:p w14:paraId="5DAF5445">
            <w:pPr>
              <w:pStyle w:val="557"/>
            </w:pPr>
            <w:r>
              <w:t>污染源名称</w:t>
            </w:r>
          </w:p>
        </w:tc>
        <w:tc>
          <w:tcPr>
            <w:tcW w:w="914" w:type="pct"/>
            <w:tcBorders>
              <w:top w:val="single" w:color="auto" w:sz="4" w:space="0"/>
              <w:left w:val="single" w:color="auto" w:sz="4" w:space="0"/>
              <w:bottom w:val="single" w:color="auto" w:sz="4" w:space="0"/>
              <w:right w:val="single" w:color="auto" w:sz="4" w:space="0"/>
            </w:tcBorders>
            <w:vAlign w:val="center"/>
          </w:tcPr>
          <w:p w14:paraId="2A40BC2D">
            <w:pPr>
              <w:pStyle w:val="557"/>
            </w:pPr>
            <w:r>
              <w:t>污染物组分</w:t>
            </w:r>
          </w:p>
        </w:tc>
        <w:tc>
          <w:tcPr>
            <w:tcW w:w="833" w:type="pct"/>
            <w:tcBorders>
              <w:top w:val="single" w:color="auto" w:sz="4" w:space="0"/>
              <w:left w:val="single" w:color="auto" w:sz="4" w:space="0"/>
              <w:bottom w:val="single" w:color="auto" w:sz="4" w:space="0"/>
              <w:right w:val="single" w:color="auto" w:sz="4" w:space="0"/>
            </w:tcBorders>
            <w:vAlign w:val="center"/>
          </w:tcPr>
          <w:p w14:paraId="107FCD69">
            <w:pPr>
              <w:pStyle w:val="557"/>
            </w:pPr>
            <w:r>
              <w:t>排放特征</w:t>
            </w:r>
          </w:p>
        </w:tc>
        <w:tc>
          <w:tcPr>
            <w:tcW w:w="1027" w:type="pct"/>
            <w:tcBorders>
              <w:top w:val="single" w:color="auto" w:sz="4" w:space="0"/>
              <w:left w:val="single" w:color="auto" w:sz="4" w:space="0"/>
              <w:right w:val="single" w:color="auto" w:sz="4" w:space="0"/>
            </w:tcBorders>
            <w:vAlign w:val="center"/>
          </w:tcPr>
          <w:p w14:paraId="11F7FE6D">
            <w:pPr>
              <w:pStyle w:val="557"/>
            </w:pPr>
            <w:r>
              <w:t>去向</w:t>
            </w:r>
          </w:p>
        </w:tc>
      </w:tr>
      <w:tr w14:paraId="3FBB4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tcBorders>
              <w:left w:val="single" w:color="auto" w:sz="4" w:space="0"/>
              <w:right w:val="single" w:color="auto" w:sz="4" w:space="0"/>
            </w:tcBorders>
            <w:vAlign w:val="center"/>
          </w:tcPr>
          <w:p w14:paraId="7BE2F2E5">
            <w:pPr>
              <w:pStyle w:val="557"/>
            </w:pPr>
            <w:r>
              <w:t>废水</w:t>
            </w:r>
          </w:p>
        </w:tc>
        <w:tc>
          <w:tcPr>
            <w:tcW w:w="414" w:type="pct"/>
            <w:tcBorders>
              <w:left w:val="single" w:color="auto" w:sz="4" w:space="0"/>
              <w:right w:val="single" w:color="auto" w:sz="4" w:space="0"/>
            </w:tcBorders>
            <w:vAlign w:val="center"/>
          </w:tcPr>
          <w:p w14:paraId="4C8D29B6">
            <w:pPr>
              <w:pStyle w:val="557"/>
            </w:pPr>
            <w:r>
              <w:t>W</w:t>
            </w:r>
            <w:r>
              <w:rPr>
                <w:rFonts w:hint="eastAsia"/>
                <w:vertAlign w:val="subscript"/>
              </w:rPr>
              <w:t>3-</w:t>
            </w:r>
            <w:r>
              <w:rPr>
                <w:vertAlign w:val="subscript"/>
              </w:rPr>
              <w:t>1</w:t>
            </w:r>
          </w:p>
        </w:tc>
        <w:tc>
          <w:tcPr>
            <w:tcW w:w="1246" w:type="pct"/>
            <w:tcBorders>
              <w:left w:val="single" w:color="auto" w:sz="4" w:space="0"/>
              <w:bottom w:val="single" w:color="auto" w:sz="4" w:space="0"/>
              <w:right w:val="single" w:color="auto" w:sz="4" w:space="0"/>
            </w:tcBorders>
            <w:vAlign w:val="center"/>
          </w:tcPr>
          <w:p w14:paraId="5E8601F5">
            <w:pPr>
              <w:pStyle w:val="557"/>
            </w:pPr>
            <w:r>
              <w:t>地面冲洗水</w:t>
            </w:r>
          </w:p>
        </w:tc>
        <w:tc>
          <w:tcPr>
            <w:tcW w:w="914" w:type="pct"/>
            <w:tcBorders>
              <w:top w:val="single" w:color="auto" w:sz="4" w:space="0"/>
              <w:left w:val="single" w:color="auto" w:sz="4" w:space="0"/>
              <w:bottom w:val="single" w:color="auto" w:sz="4" w:space="0"/>
              <w:right w:val="single" w:color="auto" w:sz="4" w:space="0"/>
            </w:tcBorders>
            <w:vAlign w:val="center"/>
          </w:tcPr>
          <w:p w14:paraId="560601D9">
            <w:pPr>
              <w:pStyle w:val="557"/>
              <w:rPr>
                <w:lang w:bidi="en-US"/>
              </w:rPr>
            </w:pPr>
            <w:r>
              <w:t>COD、</w:t>
            </w:r>
            <w:r>
              <w:rPr>
                <w:rFonts w:hint="eastAsia"/>
              </w:rPr>
              <w:t>石油类</w:t>
            </w:r>
          </w:p>
        </w:tc>
        <w:tc>
          <w:tcPr>
            <w:tcW w:w="833" w:type="pct"/>
            <w:tcBorders>
              <w:top w:val="single" w:color="auto" w:sz="4" w:space="0"/>
              <w:left w:val="single" w:color="auto" w:sz="4" w:space="0"/>
              <w:bottom w:val="single" w:color="auto" w:sz="4" w:space="0"/>
              <w:right w:val="single" w:color="auto" w:sz="4" w:space="0"/>
            </w:tcBorders>
            <w:vAlign w:val="center"/>
          </w:tcPr>
          <w:p w14:paraId="3F81C69C">
            <w:pPr>
              <w:pStyle w:val="557"/>
            </w:pPr>
            <w:r>
              <w:rPr>
                <w:rFonts w:hint="eastAsia"/>
              </w:rPr>
              <w:t>间歇</w:t>
            </w:r>
          </w:p>
        </w:tc>
        <w:tc>
          <w:tcPr>
            <w:tcW w:w="1027" w:type="pct"/>
            <w:tcBorders>
              <w:left w:val="single" w:color="auto" w:sz="4" w:space="0"/>
              <w:bottom w:val="single" w:color="auto" w:sz="4" w:space="0"/>
              <w:right w:val="single" w:color="auto" w:sz="4" w:space="0"/>
            </w:tcBorders>
            <w:vAlign w:val="center"/>
          </w:tcPr>
          <w:p w14:paraId="70AD3446">
            <w:pPr>
              <w:pStyle w:val="557"/>
            </w:pPr>
            <w:r>
              <w:t>污水处理站</w:t>
            </w:r>
          </w:p>
        </w:tc>
      </w:tr>
      <w:tr w14:paraId="43B8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vMerge w:val="restart"/>
            <w:tcBorders>
              <w:top w:val="single" w:color="auto" w:sz="4" w:space="0"/>
              <w:left w:val="single" w:color="auto" w:sz="4" w:space="0"/>
              <w:right w:val="single" w:color="auto" w:sz="4" w:space="0"/>
            </w:tcBorders>
            <w:vAlign w:val="center"/>
          </w:tcPr>
          <w:p w14:paraId="0E9E03A4">
            <w:pPr>
              <w:pStyle w:val="557"/>
            </w:pPr>
            <w:r>
              <w:t>固废</w:t>
            </w:r>
          </w:p>
        </w:tc>
        <w:tc>
          <w:tcPr>
            <w:tcW w:w="414" w:type="pct"/>
            <w:tcBorders>
              <w:top w:val="single" w:color="auto" w:sz="4" w:space="0"/>
              <w:left w:val="single" w:color="auto" w:sz="4" w:space="0"/>
              <w:right w:val="single" w:color="auto" w:sz="4" w:space="0"/>
            </w:tcBorders>
            <w:vAlign w:val="center"/>
          </w:tcPr>
          <w:p w14:paraId="5EFE6DDD">
            <w:pPr>
              <w:pStyle w:val="557"/>
            </w:pPr>
            <w:r>
              <w:t>S</w:t>
            </w:r>
            <w:r>
              <w:rPr>
                <w:rFonts w:hint="eastAsia"/>
                <w:vertAlign w:val="subscript"/>
              </w:rPr>
              <w:t>3-</w:t>
            </w:r>
            <w:r>
              <w:rPr>
                <w:vertAlign w:val="subscript"/>
              </w:rPr>
              <w:t>1</w:t>
            </w:r>
          </w:p>
        </w:tc>
        <w:tc>
          <w:tcPr>
            <w:tcW w:w="1246" w:type="pct"/>
            <w:tcBorders>
              <w:top w:val="single" w:color="auto" w:sz="4" w:space="0"/>
              <w:left w:val="single" w:color="auto" w:sz="4" w:space="0"/>
              <w:bottom w:val="single" w:color="auto" w:sz="4" w:space="0"/>
              <w:right w:val="single" w:color="auto" w:sz="4" w:space="0"/>
            </w:tcBorders>
            <w:vAlign w:val="center"/>
          </w:tcPr>
          <w:p w14:paraId="61C99578">
            <w:pPr>
              <w:pStyle w:val="557"/>
            </w:pPr>
            <w:r>
              <w:rPr>
                <w:rFonts w:hint="eastAsia"/>
              </w:rPr>
              <w:t>废脱氧（氢）催化剂</w:t>
            </w:r>
          </w:p>
        </w:tc>
        <w:tc>
          <w:tcPr>
            <w:tcW w:w="914" w:type="pct"/>
            <w:tcBorders>
              <w:top w:val="single" w:color="auto" w:sz="4" w:space="0"/>
              <w:left w:val="single" w:color="auto" w:sz="4" w:space="0"/>
              <w:bottom w:val="single" w:color="auto" w:sz="4" w:space="0"/>
              <w:right w:val="single" w:color="auto" w:sz="4" w:space="0"/>
            </w:tcBorders>
            <w:vAlign w:val="center"/>
          </w:tcPr>
          <w:p w14:paraId="0D7802CD">
            <w:pPr>
              <w:pStyle w:val="557"/>
            </w:pPr>
            <w:r>
              <w:rPr>
                <w:rFonts w:hint="eastAsia"/>
              </w:rPr>
              <w:t>含钯</w:t>
            </w:r>
          </w:p>
        </w:tc>
        <w:tc>
          <w:tcPr>
            <w:tcW w:w="833" w:type="pct"/>
            <w:tcBorders>
              <w:top w:val="single" w:color="auto" w:sz="4" w:space="0"/>
              <w:left w:val="single" w:color="auto" w:sz="4" w:space="0"/>
              <w:bottom w:val="single" w:color="auto" w:sz="4" w:space="0"/>
              <w:right w:val="single" w:color="auto" w:sz="4" w:space="0"/>
            </w:tcBorders>
            <w:vAlign w:val="center"/>
          </w:tcPr>
          <w:p w14:paraId="50101CA8">
            <w:pPr>
              <w:pStyle w:val="557"/>
            </w:pPr>
            <w:r>
              <w:t>间歇</w:t>
            </w:r>
          </w:p>
        </w:tc>
        <w:tc>
          <w:tcPr>
            <w:tcW w:w="1027" w:type="pct"/>
            <w:vMerge w:val="restart"/>
            <w:tcBorders>
              <w:left w:val="single" w:color="auto" w:sz="4" w:space="0"/>
              <w:right w:val="single" w:color="auto" w:sz="4" w:space="0"/>
            </w:tcBorders>
            <w:vAlign w:val="center"/>
          </w:tcPr>
          <w:p w14:paraId="15283CFD">
            <w:pPr>
              <w:pStyle w:val="557"/>
            </w:pPr>
            <w:r>
              <w:t>厂内暂存后，送有资质单位处置</w:t>
            </w:r>
          </w:p>
        </w:tc>
      </w:tr>
      <w:tr w14:paraId="30C31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vMerge w:val="continue"/>
            <w:tcBorders>
              <w:left w:val="single" w:color="auto" w:sz="4" w:space="0"/>
              <w:right w:val="single" w:color="auto" w:sz="4" w:space="0"/>
            </w:tcBorders>
            <w:vAlign w:val="center"/>
          </w:tcPr>
          <w:p w14:paraId="1675F835">
            <w:pPr>
              <w:pStyle w:val="557"/>
            </w:pPr>
          </w:p>
        </w:tc>
        <w:tc>
          <w:tcPr>
            <w:tcW w:w="414" w:type="pct"/>
            <w:tcBorders>
              <w:top w:val="single" w:color="auto" w:sz="4" w:space="0"/>
              <w:left w:val="single" w:color="auto" w:sz="4" w:space="0"/>
              <w:right w:val="single" w:color="auto" w:sz="4" w:space="0"/>
            </w:tcBorders>
            <w:vAlign w:val="center"/>
          </w:tcPr>
          <w:p w14:paraId="46BFBD54">
            <w:pPr>
              <w:pStyle w:val="557"/>
            </w:pPr>
            <w:r>
              <w:t>S</w:t>
            </w:r>
            <w:r>
              <w:rPr>
                <w:rFonts w:hint="eastAsia"/>
                <w:vertAlign w:val="subscript"/>
              </w:rPr>
              <w:t>3-</w:t>
            </w:r>
            <w:r>
              <w:rPr>
                <w:vertAlign w:val="subscript"/>
              </w:rPr>
              <w:t>2</w:t>
            </w:r>
          </w:p>
        </w:tc>
        <w:tc>
          <w:tcPr>
            <w:tcW w:w="1246" w:type="pct"/>
            <w:tcBorders>
              <w:top w:val="single" w:color="auto" w:sz="4" w:space="0"/>
              <w:left w:val="single" w:color="auto" w:sz="4" w:space="0"/>
              <w:bottom w:val="single" w:color="auto" w:sz="4" w:space="0"/>
              <w:right w:val="single" w:color="auto" w:sz="4" w:space="0"/>
            </w:tcBorders>
            <w:vAlign w:val="center"/>
          </w:tcPr>
          <w:p w14:paraId="44CF2292">
            <w:pPr>
              <w:pStyle w:val="557"/>
            </w:pPr>
            <w:r>
              <w:rPr>
                <w:rFonts w:hint="eastAsia"/>
              </w:rPr>
              <w:t>废分子筛</w:t>
            </w:r>
          </w:p>
        </w:tc>
        <w:tc>
          <w:tcPr>
            <w:tcW w:w="914" w:type="pct"/>
            <w:tcBorders>
              <w:top w:val="single" w:color="auto" w:sz="4" w:space="0"/>
              <w:left w:val="single" w:color="auto" w:sz="4" w:space="0"/>
              <w:bottom w:val="single" w:color="auto" w:sz="4" w:space="0"/>
              <w:right w:val="single" w:color="auto" w:sz="4" w:space="0"/>
            </w:tcBorders>
            <w:vAlign w:val="center"/>
          </w:tcPr>
          <w:p w14:paraId="596E19D2">
            <w:pPr>
              <w:pStyle w:val="557"/>
            </w:pPr>
            <w:r>
              <w:rPr>
                <w:rFonts w:hint="eastAsia"/>
              </w:rPr>
              <w:t>废分子筛</w:t>
            </w:r>
          </w:p>
        </w:tc>
        <w:tc>
          <w:tcPr>
            <w:tcW w:w="833" w:type="pct"/>
            <w:tcBorders>
              <w:top w:val="single" w:color="auto" w:sz="4" w:space="0"/>
              <w:left w:val="single" w:color="auto" w:sz="4" w:space="0"/>
              <w:bottom w:val="single" w:color="auto" w:sz="4" w:space="0"/>
              <w:right w:val="single" w:color="auto" w:sz="4" w:space="0"/>
            </w:tcBorders>
            <w:vAlign w:val="center"/>
          </w:tcPr>
          <w:p w14:paraId="6FE184DF">
            <w:pPr>
              <w:pStyle w:val="557"/>
            </w:pPr>
            <w:r>
              <w:t>间歇</w:t>
            </w:r>
          </w:p>
        </w:tc>
        <w:tc>
          <w:tcPr>
            <w:tcW w:w="1027" w:type="pct"/>
            <w:vMerge w:val="continue"/>
            <w:tcBorders>
              <w:left w:val="single" w:color="auto" w:sz="4" w:space="0"/>
              <w:right w:val="single" w:color="auto" w:sz="4" w:space="0"/>
            </w:tcBorders>
            <w:vAlign w:val="center"/>
          </w:tcPr>
          <w:p w14:paraId="39B35B52">
            <w:pPr>
              <w:pStyle w:val="557"/>
            </w:pPr>
          </w:p>
        </w:tc>
      </w:tr>
      <w:tr w14:paraId="2B802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vMerge w:val="continue"/>
            <w:tcBorders>
              <w:left w:val="single" w:color="auto" w:sz="4" w:space="0"/>
              <w:right w:val="single" w:color="auto" w:sz="4" w:space="0"/>
            </w:tcBorders>
            <w:vAlign w:val="center"/>
          </w:tcPr>
          <w:p w14:paraId="47B4479D">
            <w:pPr>
              <w:pStyle w:val="557"/>
            </w:pPr>
          </w:p>
        </w:tc>
        <w:tc>
          <w:tcPr>
            <w:tcW w:w="414" w:type="pct"/>
            <w:tcBorders>
              <w:top w:val="single" w:color="auto" w:sz="4" w:space="0"/>
              <w:left w:val="single" w:color="auto" w:sz="4" w:space="0"/>
              <w:right w:val="single" w:color="auto" w:sz="4" w:space="0"/>
            </w:tcBorders>
            <w:vAlign w:val="center"/>
          </w:tcPr>
          <w:p w14:paraId="6A2C2F05">
            <w:pPr>
              <w:pStyle w:val="557"/>
            </w:pPr>
            <w:r>
              <w:t>S</w:t>
            </w:r>
            <w:r>
              <w:rPr>
                <w:rFonts w:hint="eastAsia"/>
                <w:vertAlign w:val="subscript"/>
              </w:rPr>
              <w:t>3-3</w:t>
            </w:r>
          </w:p>
        </w:tc>
        <w:tc>
          <w:tcPr>
            <w:tcW w:w="1246" w:type="pct"/>
            <w:tcBorders>
              <w:top w:val="single" w:color="auto" w:sz="4" w:space="0"/>
              <w:left w:val="single" w:color="auto" w:sz="4" w:space="0"/>
              <w:bottom w:val="single" w:color="auto" w:sz="4" w:space="0"/>
              <w:right w:val="single" w:color="auto" w:sz="4" w:space="0"/>
            </w:tcBorders>
            <w:vAlign w:val="center"/>
          </w:tcPr>
          <w:p w14:paraId="3C14BC9E">
            <w:pPr>
              <w:pStyle w:val="557"/>
            </w:pPr>
            <w:r>
              <w:rPr>
                <w:rFonts w:hint="eastAsia"/>
              </w:rPr>
              <w:t>废碱液</w:t>
            </w:r>
          </w:p>
        </w:tc>
        <w:tc>
          <w:tcPr>
            <w:tcW w:w="914" w:type="pct"/>
            <w:tcBorders>
              <w:top w:val="single" w:color="auto" w:sz="4" w:space="0"/>
              <w:left w:val="single" w:color="auto" w:sz="4" w:space="0"/>
              <w:bottom w:val="single" w:color="auto" w:sz="4" w:space="0"/>
              <w:right w:val="single" w:color="auto" w:sz="4" w:space="0"/>
            </w:tcBorders>
            <w:vAlign w:val="center"/>
          </w:tcPr>
          <w:p w14:paraId="0294BF29">
            <w:pPr>
              <w:pStyle w:val="557"/>
            </w:pPr>
            <w:r>
              <w:rPr>
                <w:rFonts w:hint="eastAsia"/>
              </w:rPr>
              <w:t>碱液</w:t>
            </w:r>
          </w:p>
        </w:tc>
        <w:tc>
          <w:tcPr>
            <w:tcW w:w="833" w:type="pct"/>
            <w:tcBorders>
              <w:top w:val="single" w:color="auto" w:sz="4" w:space="0"/>
              <w:left w:val="single" w:color="auto" w:sz="4" w:space="0"/>
              <w:bottom w:val="single" w:color="auto" w:sz="4" w:space="0"/>
              <w:right w:val="single" w:color="auto" w:sz="4" w:space="0"/>
            </w:tcBorders>
            <w:vAlign w:val="center"/>
          </w:tcPr>
          <w:p w14:paraId="1F763F7E">
            <w:pPr>
              <w:pStyle w:val="557"/>
            </w:pPr>
            <w:r>
              <w:rPr>
                <w:rFonts w:hint="eastAsia"/>
              </w:rPr>
              <w:t>间歇</w:t>
            </w:r>
          </w:p>
        </w:tc>
        <w:tc>
          <w:tcPr>
            <w:tcW w:w="1027" w:type="pct"/>
            <w:vMerge w:val="continue"/>
            <w:tcBorders>
              <w:left w:val="single" w:color="auto" w:sz="4" w:space="0"/>
              <w:right w:val="single" w:color="auto" w:sz="4" w:space="0"/>
            </w:tcBorders>
            <w:vAlign w:val="center"/>
          </w:tcPr>
          <w:p w14:paraId="166E9613">
            <w:pPr>
              <w:pStyle w:val="557"/>
            </w:pPr>
          </w:p>
        </w:tc>
      </w:tr>
      <w:tr w14:paraId="3814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63" w:type="pct"/>
            <w:tcBorders>
              <w:left w:val="single" w:color="auto" w:sz="4" w:space="0"/>
              <w:right w:val="single" w:color="auto" w:sz="4" w:space="0"/>
            </w:tcBorders>
            <w:vAlign w:val="center"/>
          </w:tcPr>
          <w:p w14:paraId="6E034FE7">
            <w:pPr>
              <w:pStyle w:val="557"/>
            </w:pPr>
            <w:r>
              <w:t>噪声</w:t>
            </w:r>
          </w:p>
        </w:tc>
        <w:tc>
          <w:tcPr>
            <w:tcW w:w="414" w:type="pct"/>
            <w:tcBorders>
              <w:left w:val="single" w:color="auto" w:sz="4" w:space="0"/>
              <w:right w:val="single" w:color="auto" w:sz="4" w:space="0"/>
            </w:tcBorders>
            <w:vAlign w:val="center"/>
          </w:tcPr>
          <w:p w14:paraId="101D41FD">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3</w:t>
            </w:r>
          </w:p>
        </w:tc>
        <w:tc>
          <w:tcPr>
            <w:tcW w:w="1246" w:type="pct"/>
            <w:tcBorders>
              <w:left w:val="single" w:color="auto" w:sz="4" w:space="0"/>
              <w:right w:val="single" w:color="auto" w:sz="4" w:space="0"/>
            </w:tcBorders>
            <w:vAlign w:val="center"/>
          </w:tcPr>
          <w:p w14:paraId="4D793E22">
            <w:pPr>
              <w:pStyle w:val="557"/>
            </w:pPr>
            <w:r>
              <w:t>压缩机</w:t>
            </w:r>
          </w:p>
        </w:tc>
        <w:tc>
          <w:tcPr>
            <w:tcW w:w="914" w:type="pct"/>
            <w:tcBorders>
              <w:top w:val="single" w:color="auto" w:sz="4" w:space="0"/>
              <w:left w:val="single" w:color="auto" w:sz="4" w:space="0"/>
              <w:bottom w:val="single" w:color="auto" w:sz="4" w:space="0"/>
              <w:right w:val="single" w:color="auto" w:sz="4" w:space="0"/>
            </w:tcBorders>
            <w:vAlign w:val="center"/>
          </w:tcPr>
          <w:p w14:paraId="3F51732C">
            <w:pPr>
              <w:pStyle w:val="557"/>
            </w:pPr>
            <w:r>
              <w:t>/</w:t>
            </w:r>
          </w:p>
        </w:tc>
        <w:tc>
          <w:tcPr>
            <w:tcW w:w="833" w:type="pct"/>
            <w:tcBorders>
              <w:top w:val="single" w:color="auto" w:sz="4" w:space="0"/>
              <w:left w:val="single" w:color="auto" w:sz="4" w:space="0"/>
              <w:bottom w:val="single" w:color="auto" w:sz="4" w:space="0"/>
              <w:right w:val="single" w:color="auto" w:sz="4" w:space="0"/>
            </w:tcBorders>
            <w:vAlign w:val="center"/>
          </w:tcPr>
          <w:p w14:paraId="32BC2A23">
            <w:pPr>
              <w:pStyle w:val="557"/>
            </w:pPr>
            <w:r>
              <w:t>噪声级85-95dB</w:t>
            </w:r>
          </w:p>
        </w:tc>
        <w:tc>
          <w:tcPr>
            <w:tcW w:w="1027" w:type="pct"/>
            <w:tcBorders>
              <w:left w:val="single" w:color="auto" w:sz="4" w:space="0"/>
              <w:right w:val="single" w:color="auto" w:sz="4" w:space="0"/>
            </w:tcBorders>
            <w:vAlign w:val="center"/>
          </w:tcPr>
          <w:p w14:paraId="77A961AB">
            <w:pPr>
              <w:pStyle w:val="557"/>
            </w:pPr>
            <w:r>
              <w:t>连续</w:t>
            </w:r>
          </w:p>
        </w:tc>
      </w:tr>
      <w:bookmarkEnd w:id="160"/>
      <w:bookmarkEnd w:id="161"/>
    </w:tbl>
    <w:p w14:paraId="13BAC80F">
      <w:pPr>
        <w:pStyle w:val="281"/>
        <w:ind w:firstLine="480"/>
        <w:rPr>
          <w:szCs w:val="24"/>
        </w:rPr>
      </w:pPr>
      <w:r>
        <w:rPr>
          <w:rFonts w:hint="eastAsia"/>
        </w:rPr>
        <w:t>电解水制氢装置</w:t>
      </w:r>
      <w:r>
        <w:rPr>
          <w:rStyle w:val="282"/>
          <w:rFonts w:hint="eastAsia" w:ascii="宋体" w:hAnsi="宋体"/>
        </w:rPr>
        <w:t>工艺流程及产污节点示意图见图</w:t>
      </w:r>
      <w:r>
        <w:rPr>
          <w:rStyle w:val="282"/>
        </w:rPr>
        <w:t>3.2.</w:t>
      </w:r>
      <w:r>
        <w:rPr>
          <w:rStyle w:val="282"/>
          <w:rFonts w:hint="eastAsia"/>
        </w:rPr>
        <w:t>4</w:t>
      </w:r>
      <w:r>
        <w:rPr>
          <w:rStyle w:val="282"/>
        </w:rPr>
        <w:t>-</w:t>
      </w:r>
      <w:r>
        <w:rPr>
          <w:rStyle w:val="282"/>
          <w:rFonts w:hint="eastAsia" w:eastAsiaTheme="minorEastAsia"/>
        </w:rPr>
        <w:t>1</w:t>
      </w:r>
      <w:r>
        <w:rPr>
          <w:rFonts w:hint="eastAsia" w:ascii="宋体" w:hAnsi="宋体"/>
        </w:rPr>
        <w:t>。</w:t>
      </w:r>
    </w:p>
    <w:p w14:paraId="7F999381">
      <w:pPr>
        <w:pStyle w:val="98"/>
        <w:rPr>
          <w:rFonts w:hint="eastAsia"/>
        </w:rPr>
      </w:pPr>
      <w:r>
        <w:t>主要设备</w:t>
      </w:r>
    </w:p>
    <w:p w14:paraId="41BCB493">
      <w:pPr>
        <w:pStyle w:val="128"/>
        <w:rPr>
          <w:rFonts w:hint="eastAsia"/>
        </w:rPr>
      </w:pPr>
      <w:r>
        <w:rPr>
          <w:rFonts w:hint="eastAsia"/>
        </w:rPr>
        <w:t>电解水制氢装置主要设备见表3.2.4-4。</w:t>
      </w:r>
    </w:p>
    <w:p w14:paraId="7F6836DA">
      <w:pPr>
        <w:spacing w:line="360" w:lineRule="auto"/>
        <w:ind w:firstLine="480" w:firstLineChars="200"/>
        <w:rPr>
          <w:rFonts w:hint="eastAsia"/>
        </w:rPr>
        <w:sectPr>
          <w:footerReference r:id="rId8" w:type="default"/>
          <w:pgSz w:w="11906" w:h="16838"/>
          <w:pgMar w:top="1440" w:right="1800" w:bottom="1440" w:left="1800" w:header="850" w:footer="794" w:gutter="0"/>
          <w:cols w:space="720" w:num="1"/>
          <w:docGrid w:type="lines" w:linePitch="312" w:charSpace="0"/>
        </w:sectPr>
      </w:pPr>
    </w:p>
    <w:p w14:paraId="5C0D4606">
      <w:pPr>
        <w:spacing w:line="360" w:lineRule="auto"/>
        <w:jc w:val="center"/>
        <w:rPr>
          <w:rFonts w:hint="eastAsia"/>
        </w:rPr>
      </w:pPr>
    </w:p>
    <w:p w14:paraId="044445B3">
      <w:pPr>
        <w:pStyle w:val="535"/>
        <w:rPr>
          <w:rFonts w:hint="eastAsia"/>
          <w:color w:val="auto"/>
        </w:rPr>
      </w:pPr>
      <w:r>
        <w:rPr>
          <w:rFonts w:hint="eastAsia"/>
          <w:color w:val="auto"/>
        </w:rPr>
        <w:t>图</w:t>
      </w:r>
      <w:r>
        <w:rPr>
          <w:color w:val="auto"/>
        </w:rPr>
        <w:t>3.2.</w:t>
      </w:r>
      <w:r>
        <w:rPr>
          <w:rFonts w:hint="eastAsia"/>
          <w:color w:val="auto"/>
        </w:rPr>
        <w:t>4</w:t>
      </w:r>
      <w:r>
        <w:rPr>
          <w:color w:val="auto"/>
        </w:rPr>
        <w:t>-</w:t>
      </w:r>
      <w:r>
        <w:rPr>
          <w:rFonts w:hint="eastAsia"/>
          <w:color w:val="auto"/>
        </w:rPr>
        <w:t>1</w:t>
      </w:r>
      <w:r>
        <w:rPr>
          <w:color w:val="auto"/>
        </w:rPr>
        <w:t xml:space="preserve">    </w:t>
      </w:r>
      <w:r>
        <w:rPr>
          <w:rFonts w:hint="eastAsia"/>
          <w:color w:val="auto"/>
        </w:rPr>
        <w:t>电解水制氢装置工艺流程及产污环节图</w:t>
      </w:r>
    </w:p>
    <w:p w14:paraId="50BBE524">
      <w:pPr>
        <w:pStyle w:val="535"/>
        <w:rPr>
          <w:rFonts w:hint="eastAsia"/>
          <w:color w:val="auto"/>
        </w:rPr>
      </w:pPr>
    </w:p>
    <w:p w14:paraId="1BC7A59E">
      <w:pPr>
        <w:pStyle w:val="535"/>
        <w:rPr>
          <w:rFonts w:hint="eastAsia"/>
          <w:color w:val="auto"/>
        </w:rPr>
      </w:pPr>
    </w:p>
    <w:p w14:paraId="0634E461">
      <w:pPr>
        <w:pStyle w:val="645"/>
        <w:rPr>
          <w:rFonts w:hint="eastAsia"/>
        </w:rPr>
      </w:pPr>
      <w:r>
        <w:rPr>
          <w:rFonts w:hint="eastAsia"/>
        </w:rPr>
        <w:t>表3.2.4-4    电解水制氢装置装置设备一览表</w:t>
      </w:r>
    </w:p>
    <w:p w14:paraId="2CDAD430">
      <w:pPr>
        <w:pStyle w:val="535"/>
        <w:rPr>
          <w:rFonts w:hint="eastAsia"/>
          <w:color w:val="auto"/>
        </w:rPr>
      </w:pPr>
    </w:p>
    <w:p w14:paraId="5A08CE7C">
      <w:pPr>
        <w:pStyle w:val="535"/>
        <w:rPr>
          <w:rFonts w:hint="eastAsia" w:ascii="宋体" w:hAnsi="宋体" w:eastAsia="宋体"/>
          <w:color w:val="auto"/>
        </w:rPr>
      </w:pPr>
    </w:p>
    <w:p w14:paraId="742BBC61">
      <w:pPr>
        <w:pStyle w:val="98"/>
        <w:rPr>
          <w:rFonts w:hint="eastAsia"/>
        </w:rPr>
      </w:pPr>
      <w:r>
        <w:rPr>
          <w:rFonts w:hint="eastAsia"/>
        </w:rPr>
        <w:t>物料平衡</w:t>
      </w:r>
    </w:p>
    <w:p w14:paraId="4CE6D225">
      <w:pPr>
        <w:pStyle w:val="814"/>
        <w:rPr>
          <w:rFonts w:hint="eastAsia"/>
        </w:rPr>
      </w:pPr>
      <w:r>
        <w:rPr>
          <w:rFonts w:hint="eastAsia"/>
        </w:rPr>
        <w:t>物料平衡</w:t>
      </w:r>
    </w:p>
    <w:p w14:paraId="4E18A77D">
      <w:pPr>
        <w:pStyle w:val="281"/>
        <w:ind w:firstLine="480"/>
      </w:pPr>
      <w:r>
        <w:rPr>
          <w:rFonts w:hint="eastAsia"/>
        </w:rPr>
        <w:t>电解水制氢单元物料平衡见</w:t>
      </w:r>
      <w:r>
        <w:rPr>
          <w:rFonts w:cs="Times New Roman"/>
        </w:rPr>
        <w:t>表3.2.</w:t>
      </w:r>
      <w:r>
        <w:rPr>
          <w:rFonts w:hint="eastAsia" w:cs="Times New Roman"/>
        </w:rPr>
        <w:t>4-5。</w:t>
      </w:r>
    </w:p>
    <w:p w14:paraId="22DE3C48">
      <w:pPr>
        <w:pStyle w:val="535"/>
        <w:rPr>
          <w:rFonts w:hint="eastAsia"/>
          <w:color w:val="auto"/>
        </w:rPr>
      </w:pPr>
      <w:r>
        <w:rPr>
          <w:rFonts w:hint="eastAsia"/>
          <w:color w:val="auto"/>
        </w:rPr>
        <w:t>表3.2.4-5</w:t>
      </w:r>
      <w:r>
        <w:rPr>
          <w:color w:val="auto"/>
        </w:rPr>
        <w:t xml:space="preserve">     </w:t>
      </w:r>
      <w:r>
        <w:rPr>
          <w:rFonts w:hint="eastAsia"/>
          <w:color w:val="auto"/>
        </w:rPr>
        <w:t>电解水制氢单元物料平衡表</w:t>
      </w:r>
    </w:p>
    <w:p w14:paraId="42BB4FC7">
      <w:pPr>
        <w:pStyle w:val="814"/>
        <w:rPr>
          <w:rFonts w:hint="eastAsia"/>
        </w:rPr>
      </w:pPr>
      <w:r>
        <w:rPr>
          <w:rFonts w:hint="eastAsia"/>
        </w:rPr>
        <w:t>氢平衡</w:t>
      </w:r>
    </w:p>
    <w:p w14:paraId="26F052EC">
      <w:pPr>
        <w:pStyle w:val="281"/>
        <w:ind w:firstLine="480"/>
      </w:pPr>
      <w:r>
        <w:rPr>
          <w:rFonts w:hint="eastAsia"/>
        </w:rPr>
        <w:t>电解水制氢单元氢平衡见表3.2.4-6；</w:t>
      </w:r>
    </w:p>
    <w:p w14:paraId="6CA9E21A">
      <w:pPr>
        <w:pStyle w:val="645"/>
        <w:rPr>
          <w:rFonts w:hint="eastAsia"/>
        </w:rPr>
      </w:pPr>
      <w:r>
        <w:rPr>
          <w:rFonts w:hint="eastAsia"/>
        </w:rPr>
        <w:t>表3.2.</w:t>
      </w:r>
      <w:r>
        <w:t>3</w:t>
      </w:r>
      <w:r>
        <w:rPr>
          <w:rFonts w:hint="eastAsia"/>
        </w:rPr>
        <w:t>-6</w:t>
      </w:r>
      <w:r>
        <w:t xml:space="preserve">    </w:t>
      </w:r>
      <w:r>
        <w:rPr>
          <w:rFonts w:hint="eastAsia"/>
        </w:rPr>
        <w:t>电解水制氢单元氢平衡表</w:t>
      </w:r>
    </w:p>
    <w:p w14:paraId="4C53EC64">
      <w:pPr>
        <w:pStyle w:val="557"/>
      </w:pPr>
    </w:p>
    <w:p w14:paraId="4AA0965D">
      <w:pPr>
        <w:pStyle w:val="98"/>
        <w:rPr>
          <w:rFonts w:hint="eastAsia"/>
        </w:rPr>
      </w:pPr>
      <w:r>
        <w:t>污染</w:t>
      </w:r>
      <w:r>
        <w:rPr>
          <w:rFonts w:hint="eastAsia"/>
        </w:rPr>
        <w:t>物</w:t>
      </w:r>
      <w:r>
        <w:t>源强核算</w:t>
      </w:r>
    </w:p>
    <w:p w14:paraId="0DB5460E">
      <w:pPr>
        <w:pStyle w:val="814"/>
        <w:rPr>
          <w:rFonts w:hint="eastAsia"/>
        </w:rPr>
      </w:pPr>
      <w:r>
        <w:rPr>
          <w:rFonts w:hint="eastAsia"/>
        </w:rPr>
        <w:t>废水</w:t>
      </w:r>
    </w:p>
    <w:p w14:paraId="7E4D3982">
      <w:pPr>
        <w:pStyle w:val="626"/>
        <w:ind w:firstLine="480"/>
        <w:rPr>
          <w:szCs w:val="24"/>
        </w:rPr>
      </w:pPr>
      <w:r>
        <w:rPr>
          <w:rFonts w:hint="eastAsia" w:eastAsia="宋体"/>
        </w:rPr>
        <w:t>（1）地面冲洗水</w:t>
      </w:r>
      <w:r>
        <w:rPr>
          <w:rFonts w:ascii="Times New Roman" w:hAnsi="Times New Roman" w:eastAsia="宋体"/>
        </w:rPr>
        <w:t>（W</w:t>
      </w:r>
      <w:r>
        <w:rPr>
          <w:rFonts w:hint="eastAsia" w:ascii="Times New Roman" w:hAnsi="Times New Roman" w:eastAsia="宋体"/>
          <w:vertAlign w:val="subscript"/>
        </w:rPr>
        <w:t>3</w:t>
      </w:r>
      <w:r>
        <w:rPr>
          <w:rFonts w:ascii="Times New Roman" w:hAnsi="Times New Roman" w:eastAsia="宋体"/>
          <w:vertAlign w:val="subscript"/>
        </w:rPr>
        <w:t>-1</w:t>
      </w:r>
      <w:r>
        <w:rPr>
          <w:rFonts w:ascii="Times New Roman" w:hAnsi="Times New Roman" w:eastAsia="宋体"/>
        </w:rPr>
        <w:t>）</w:t>
      </w:r>
    </w:p>
    <w:p w14:paraId="73A439CB">
      <w:pPr>
        <w:pStyle w:val="281"/>
        <w:ind w:firstLine="480"/>
        <w:rPr>
          <w:szCs w:val="24"/>
        </w:rPr>
      </w:pPr>
      <w:r>
        <w:rPr>
          <w:rFonts w:hint="eastAsia"/>
          <w:szCs w:val="24"/>
        </w:rPr>
        <w:t>电解水制氢装置地面冲洗水，产生量为500</w:t>
      </w:r>
      <w:r>
        <w:rPr>
          <w:rFonts w:hint="eastAsia"/>
        </w:rPr>
        <w:t>kg</w:t>
      </w:r>
      <w:r>
        <w:t>/h</w:t>
      </w:r>
      <w:r>
        <w:rPr>
          <w:rFonts w:hint="eastAsia"/>
          <w:szCs w:val="24"/>
        </w:rPr>
        <w:t>，间断产生，</w:t>
      </w:r>
      <w:r>
        <w:rPr>
          <w:szCs w:val="24"/>
        </w:rPr>
        <w:t>排入厂区污水处理站统一处理</w:t>
      </w:r>
      <w:r>
        <w:rPr>
          <w:rFonts w:hint="eastAsia"/>
          <w:szCs w:val="24"/>
        </w:rPr>
        <w:t>。</w:t>
      </w:r>
    </w:p>
    <w:p w14:paraId="7E4A0D77">
      <w:pPr>
        <w:pStyle w:val="281"/>
        <w:ind w:firstLine="480"/>
        <w:rPr>
          <w:bCs/>
        </w:rPr>
      </w:pPr>
      <w:r>
        <w:rPr>
          <w:rFonts w:hint="eastAsia"/>
          <w:szCs w:val="24"/>
        </w:rPr>
        <w:t>电解水制氢</w:t>
      </w:r>
      <w:r>
        <w:rPr>
          <w:rFonts w:hint="eastAsia"/>
          <w:u w:color="000000"/>
        </w:rPr>
        <w:t>装置废水</w:t>
      </w:r>
      <w:r>
        <w:rPr>
          <w:bCs/>
        </w:rPr>
        <w:t>源强核算结果具体见表</w:t>
      </w:r>
      <w:r>
        <w:rPr>
          <w:rFonts w:hint="eastAsia"/>
          <w:bCs/>
        </w:rPr>
        <w:t>3.2.4-7。</w:t>
      </w:r>
    </w:p>
    <w:p w14:paraId="79F37DA5">
      <w:pPr>
        <w:pStyle w:val="541"/>
        <w:rPr>
          <w:rFonts w:hint="eastAsia"/>
        </w:rPr>
      </w:pPr>
      <w:r>
        <w:rPr>
          <w:rFonts w:hint="eastAsia"/>
        </w:rPr>
        <w:t>表3.2.4-7</w:t>
      </w:r>
      <w:r>
        <w:t xml:space="preserve">  </w:t>
      </w:r>
      <w:r>
        <w:rPr>
          <w:rFonts w:hint="eastAsia"/>
        </w:rPr>
        <w:t xml:space="preserve"> 电解水制氢装置废水污染源源强核算结果一览表</w:t>
      </w:r>
    </w:p>
    <w:p w14:paraId="0D28270B">
      <w:pPr>
        <w:pStyle w:val="814"/>
        <w:rPr>
          <w:rFonts w:hint="eastAsia"/>
        </w:rPr>
      </w:pPr>
      <w:r>
        <w:rPr>
          <w:rFonts w:hint="eastAsia"/>
        </w:rPr>
        <w:t>噪声</w:t>
      </w:r>
    </w:p>
    <w:p w14:paraId="586E8D76">
      <w:pPr>
        <w:pStyle w:val="281"/>
        <w:ind w:firstLine="480"/>
      </w:pPr>
      <w:r>
        <w:rPr>
          <w:rFonts w:hint="eastAsia"/>
        </w:rPr>
        <w:t>电解水制氢装置</w:t>
      </w:r>
      <w:r>
        <w:t>噪声源主要来自</w:t>
      </w:r>
      <w:r>
        <w:rPr>
          <w:rFonts w:hint="eastAsia"/>
        </w:rPr>
        <w:t>压缩机。</w:t>
      </w:r>
      <w:r>
        <w:rPr>
          <w:rFonts w:hint="eastAsia"/>
          <w:u w:color="000000"/>
        </w:rPr>
        <w:t>各设备噪声源强参照《污染源源强核算技术指南 化肥工业》（HJ994-2018）附表B。</w:t>
      </w:r>
      <w:r>
        <w:rPr>
          <w:rFonts w:hint="eastAsia"/>
        </w:rPr>
        <w:t>电解水制氢装置噪声源噪声产生及治理情况见表3.2.</w:t>
      </w:r>
      <w:r>
        <w:t>4</w:t>
      </w:r>
      <w:r>
        <w:rPr>
          <w:rFonts w:hint="eastAsia"/>
        </w:rPr>
        <w:t>-8。</w:t>
      </w:r>
    </w:p>
    <w:p w14:paraId="2435D81D">
      <w:pPr>
        <w:pStyle w:val="535"/>
        <w:rPr>
          <w:rFonts w:hint="eastAsia"/>
        </w:rPr>
      </w:pPr>
      <w:r>
        <w:rPr>
          <w:rFonts w:hint="eastAsia"/>
        </w:rPr>
        <w:t>表3.2.</w:t>
      </w:r>
      <w:r>
        <w:t>4</w:t>
      </w:r>
      <w:r>
        <w:rPr>
          <w:rFonts w:hint="eastAsia"/>
        </w:rPr>
        <w:t>-8</w:t>
      </w:r>
      <w:r>
        <w:t xml:space="preserve">    </w:t>
      </w:r>
      <w:r>
        <w:rPr>
          <w:rFonts w:hint="eastAsia"/>
        </w:rPr>
        <w:t>电解水制氢装置噪声产生及治理情况表</w:t>
      </w:r>
    </w:p>
    <w:p w14:paraId="40B087C2">
      <w:pPr>
        <w:pStyle w:val="814"/>
        <w:rPr>
          <w:rFonts w:hint="eastAsia"/>
        </w:rPr>
      </w:pPr>
      <w:r>
        <w:rPr>
          <w:rFonts w:hint="eastAsia"/>
        </w:rPr>
        <w:t>固废</w:t>
      </w:r>
    </w:p>
    <w:p w14:paraId="4F54F24B">
      <w:pPr>
        <w:pStyle w:val="281"/>
        <w:ind w:firstLine="480"/>
        <w:rPr>
          <w:u w:color="000000"/>
        </w:rPr>
      </w:pPr>
      <w:r>
        <w:rPr>
          <w:rFonts w:hint="eastAsia" w:ascii="宋体" w:hAnsi="宋体"/>
        </w:rPr>
        <w:t>电解水制氢装置</w:t>
      </w:r>
      <w:r>
        <w:rPr>
          <w:rFonts w:hint="eastAsia"/>
          <w:u w:color="000000"/>
        </w:rPr>
        <w:t>固废主要为废催化剂、废分子筛、废碱液，</w:t>
      </w:r>
      <w:r>
        <w:rPr>
          <w:rFonts w:hint="eastAsia" w:ascii="宋体" w:hAnsi="宋体"/>
        </w:rPr>
        <w:t>电解水制氢装置</w:t>
      </w:r>
      <w:r>
        <w:rPr>
          <w:rFonts w:hint="eastAsia"/>
          <w:u w:color="000000"/>
        </w:rPr>
        <w:t>固废产排情况见</w:t>
      </w:r>
      <w:r>
        <w:rPr>
          <w:rFonts w:hint="eastAsia"/>
        </w:rPr>
        <w:t>表3.2.4-9。</w:t>
      </w:r>
    </w:p>
    <w:p w14:paraId="08E018C4">
      <w:pPr>
        <w:pStyle w:val="535"/>
        <w:rPr>
          <w:rFonts w:hint="eastAsia" w:ascii="宋体" w:hAnsi="宋体"/>
          <w:bCs/>
          <w:color w:val="auto"/>
        </w:rPr>
      </w:pPr>
      <w:r>
        <w:rPr>
          <w:rFonts w:hint="eastAsia"/>
          <w:color w:val="auto"/>
        </w:rPr>
        <w:t>表3.2.4-9</w:t>
      </w:r>
      <w:r>
        <w:rPr>
          <w:color w:val="auto"/>
          <w:u w:color="000000"/>
        </w:rPr>
        <w:t xml:space="preserve">    </w:t>
      </w:r>
      <w:r>
        <w:rPr>
          <w:rFonts w:hint="eastAsia" w:ascii="宋体" w:hAnsi="宋体"/>
        </w:rPr>
        <w:t>电解水制氢装置</w:t>
      </w:r>
      <w:r>
        <w:rPr>
          <w:rFonts w:hint="eastAsia"/>
          <w:color w:val="auto"/>
        </w:rPr>
        <w:t>固体废物污染源源强核算</w:t>
      </w:r>
      <w:r>
        <w:rPr>
          <w:rFonts w:hint="eastAsia"/>
          <w:color w:val="auto"/>
          <w:u w:color="000000"/>
        </w:rPr>
        <w:t>表</w:t>
      </w:r>
    </w:p>
    <w:p w14:paraId="1822D1CD">
      <w:pPr>
        <w:pStyle w:val="97"/>
        <w:rPr>
          <w:rFonts w:hint="eastAsia"/>
        </w:rPr>
      </w:pPr>
      <w:r>
        <w:rPr>
          <w:rFonts w:hint="eastAsia"/>
        </w:rPr>
        <w:t>合成氨装置（编号04）</w:t>
      </w:r>
    </w:p>
    <w:p w14:paraId="0AD75A9A">
      <w:pPr>
        <w:pStyle w:val="98"/>
        <w:rPr>
          <w:rFonts w:hint="eastAsia"/>
        </w:rPr>
      </w:pPr>
      <w:r>
        <w:rPr>
          <w:rFonts w:hint="eastAsia"/>
        </w:rPr>
        <w:t>装置概述</w:t>
      </w:r>
    </w:p>
    <w:p w14:paraId="02BB711C">
      <w:pPr>
        <w:pStyle w:val="281"/>
        <w:ind w:firstLine="480"/>
      </w:pPr>
      <w:r>
        <w:rPr>
          <w:rFonts w:hint="eastAsia"/>
          <w:kern w:val="2"/>
        </w:rPr>
        <w:t>项目设置1套合成氨装置，</w:t>
      </w:r>
      <w:r>
        <w:t>生产</w:t>
      </w:r>
      <w:r>
        <w:rPr>
          <w:rFonts w:hint="eastAsia"/>
          <w:kern w:val="2"/>
        </w:rPr>
        <w:t>规模为30</w:t>
      </w:r>
      <w:r>
        <w:t>万吨/年</w:t>
      </w:r>
      <w:r>
        <w:rPr>
          <w:rFonts w:hint="eastAsia"/>
        </w:rPr>
        <w:t>。</w:t>
      </w:r>
      <w:r>
        <w:t>液氨产品主要用作下游生产</w:t>
      </w:r>
      <w:r>
        <w:rPr>
          <w:rFonts w:hint="eastAsia"/>
        </w:rPr>
        <w:t>有机缓释肥</w:t>
      </w:r>
      <w:r>
        <w:t>的原料</w:t>
      </w:r>
      <w:r>
        <w:rPr>
          <w:rFonts w:hint="eastAsia"/>
        </w:rPr>
        <w:t>。本装置主要包括合成气压缩单元、氨合成单元。</w:t>
      </w:r>
    </w:p>
    <w:p w14:paraId="6BEEE442">
      <w:pPr>
        <w:pStyle w:val="281"/>
        <w:ind w:firstLine="480"/>
        <w:rPr>
          <w:rFonts w:hint="eastAsia" w:ascii="宋体" w:hAnsi="宋体"/>
        </w:rPr>
      </w:pPr>
      <w:bookmarkStart w:id="162" w:name="_Hlk158394699"/>
      <w:r>
        <w:rPr>
          <w:rFonts w:hint="eastAsia" w:ascii="宋体" w:hAnsi="宋体"/>
        </w:rPr>
        <w:t>操作弹性</w:t>
      </w:r>
      <w:bookmarkEnd w:id="162"/>
      <w:r>
        <w:rPr>
          <w:rFonts w:hint="eastAsia" w:ascii="宋体" w:hAnsi="宋体"/>
        </w:rPr>
        <w:t>：</w:t>
      </w:r>
      <w:r>
        <w:rPr>
          <w:rFonts w:hint="eastAsia"/>
        </w:rPr>
        <w:t>70</w:t>
      </w:r>
      <w:r>
        <w:t>%~110%</w:t>
      </w:r>
      <w:r>
        <w:rPr>
          <w:rFonts w:hint="eastAsia"/>
        </w:rPr>
        <w:t>。</w:t>
      </w:r>
    </w:p>
    <w:p w14:paraId="46B7B4CF">
      <w:pPr>
        <w:pStyle w:val="281"/>
        <w:ind w:firstLine="480"/>
      </w:pPr>
      <w:r>
        <w:rPr>
          <w:rFonts w:hint="eastAsia" w:ascii="宋体" w:hAnsi="宋体"/>
        </w:rPr>
        <w:t>年开工时间：</w:t>
      </w:r>
      <w:r>
        <w:t>8000h</w:t>
      </w:r>
      <w:r>
        <w:rPr>
          <w:rFonts w:hint="eastAsia" w:ascii="宋体" w:hAnsi="宋体"/>
        </w:rPr>
        <w:t>。</w:t>
      </w:r>
    </w:p>
    <w:p w14:paraId="10A04B49">
      <w:pPr>
        <w:pStyle w:val="98"/>
        <w:rPr>
          <w:rFonts w:hint="eastAsia"/>
        </w:rPr>
      </w:pPr>
      <w:r>
        <w:t>原辅材料</w:t>
      </w:r>
      <w:r>
        <w:rPr>
          <w:rFonts w:hint="eastAsia"/>
        </w:rPr>
        <w:t>供应及公用工程消耗</w:t>
      </w:r>
    </w:p>
    <w:p w14:paraId="7074DA14">
      <w:pPr>
        <w:pStyle w:val="128"/>
        <w:rPr>
          <w:rFonts w:hint="eastAsia"/>
        </w:rPr>
      </w:pPr>
      <w:r>
        <w:t>合成氨装置</w:t>
      </w:r>
      <w:r>
        <w:rPr>
          <w:rFonts w:hint="eastAsia"/>
        </w:rPr>
        <w:t>原辅材料及公用工程消耗情况见表</w:t>
      </w:r>
      <w:r>
        <w:t>3.2.</w:t>
      </w:r>
      <w:r>
        <w:rPr>
          <w:rFonts w:hint="eastAsia"/>
        </w:rPr>
        <w:t>5</w:t>
      </w:r>
      <w:r>
        <w:t>-</w:t>
      </w:r>
      <w:r>
        <w:rPr>
          <w:rFonts w:hint="eastAsia"/>
        </w:rPr>
        <w:t>1。</w:t>
      </w:r>
    </w:p>
    <w:p w14:paraId="4DDF11B3">
      <w:pPr>
        <w:pStyle w:val="541"/>
        <w:rPr>
          <w:rFonts w:hint="eastAsia"/>
        </w:rPr>
      </w:pPr>
      <w:r>
        <w:rPr>
          <w:rFonts w:hint="eastAsia"/>
        </w:rPr>
        <w:t xml:space="preserve">表3.2.5-1 </w:t>
      </w:r>
      <w:r>
        <w:t xml:space="preserve">  </w:t>
      </w:r>
      <w:r>
        <w:rPr>
          <w:rFonts w:ascii="Times New Roman" w:hAnsi="Times New Roman"/>
        </w:rPr>
        <w:t>合成氨装置</w:t>
      </w:r>
      <w:r>
        <w:rPr>
          <w:rFonts w:hint="eastAsia"/>
        </w:rPr>
        <w:t>原辅材料及公用工程消耗表</w:t>
      </w:r>
    </w:p>
    <w:p w14:paraId="01B6D12E">
      <w:pPr>
        <w:pStyle w:val="98"/>
        <w:rPr>
          <w:rFonts w:hint="eastAsia"/>
        </w:rPr>
      </w:pPr>
      <w:r>
        <w:rPr>
          <w:rFonts w:hint="eastAsia"/>
        </w:rPr>
        <w:t>工艺流程及产污环节</w:t>
      </w:r>
    </w:p>
    <w:p w14:paraId="5D837A52">
      <w:pPr>
        <w:pStyle w:val="814"/>
        <w:rPr>
          <w:rFonts w:hint="eastAsia"/>
        </w:rPr>
      </w:pPr>
      <w:r>
        <w:rPr>
          <w:rFonts w:hint="eastAsia"/>
        </w:rPr>
        <w:t>工艺流程</w:t>
      </w:r>
    </w:p>
    <w:p w14:paraId="17F886DE">
      <w:pPr>
        <w:pStyle w:val="281"/>
        <w:ind w:firstLine="480"/>
      </w:pPr>
      <w:r>
        <w:t>（1）合成气压缩</w:t>
      </w:r>
    </w:p>
    <w:p w14:paraId="345AAC6B">
      <w:pPr>
        <w:pStyle w:val="281"/>
        <w:ind w:firstLine="480"/>
      </w:pPr>
      <w:r>
        <w:rPr>
          <w:rFonts w:hint="eastAsia" w:cs="Times New Roman"/>
        </w:rPr>
        <w:t>略</w:t>
      </w:r>
    </w:p>
    <w:p w14:paraId="15956070">
      <w:pPr>
        <w:pStyle w:val="281"/>
        <w:ind w:firstLine="480"/>
      </w:pPr>
      <w:r>
        <w:t>（2）</w:t>
      </w:r>
      <w:r>
        <w:rPr>
          <w:rFonts w:hint="eastAsia"/>
        </w:rPr>
        <w:t>氨合成</w:t>
      </w:r>
    </w:p>
    <w:p w14:paraId="1EA15AD1">
      <w:pPr>
        <w:pStyle w:val="281"/>
        <w:ind w:firstLine="480"/>
      </w:pPr>
      <w:r>
        <w:rPr>
          <w:rFonts w:hint="eastAsia"/>
        </w:rPr>
        <w:t>略。</w:t>
      </w:r>
    </w:p>
    <w:p w14:paraId="2F25CB42">
      <w:pPr>
        <w:pStyle w:val="814"/>
        <w:rPr>
          <w:rFonts w:hint="eastAsia"/>
        </w:rPr>
      </w:pPr>
      <w:bookmarkStart w:id="163" w:name="_Hlk117509145"/>
      <w:r>
        <w:rPr>
          <w:rFonts w:hint="eastAsia"/>
        </w:rPr>
        <w:t>产污环节</w:t>
      </w:r>
    </w:p>
    <w:p w14:paraId="57F379D1">
      <w:pPr>
        <w:pStyle w:val="281"/>
        <w:ind w:firstLine="480"/>
        <w:rPr>
          <w:rFonts w:hint="eastAsia" w:ascii="宋体" w:hAnsi="宋体"/>
        </w:rPr>
      </w:pPr>
      <w:bookmarkStart w:id="164" w:name="_Hlk150646717"/>
      <w:r>
        <w:rPr>
          <w:rFonts w:hint="eastAsia" w:ascii="宋体" w:hAnsi="宋体"/>
        </w:rPr>
        <w:t>合成氨装置产污环节</w:t>
      </w:r>
      <w:r>
        <w:rPr>
          <w:rFonts w:hint="eastAsia"/>
        </w:rPr>
        <w:t>及处理措施见下表。工艺流程及产污节点图见3.2.5-1。</w:t>
      </w:r>
    </w:p>
    <w:p w14:paraId="329534C6">
      <w:pPr>
        <w:pStyle w:val="541"/>
        <w:rPr>
          <w:rFonts w:hint="eastAsia"/>
        </w:rPr>
      </w:pPr>
      <w:r>
        <w:rPr>
          <w:rFonts w:hint="eastAsia"/>
        </w:rPr>
        <w:t>表3.2.5-2</w:t>
      </w:r>
      <w:r>
        <w:t xml:space="preserve">   </w:t>
      </w:r>
      <w:r>
        <w:rPr>
          <w:rFonts w:hint="eastAsia"/>
        </w:rPr>
        <w:t xml:space="preserve"> </w:t>
      </w:r>
      <w:r>
        <w:rPr>
          <w:rFonts w:hint="eastAsia" w:ascii="宋体" w:hAnsi="宋体"/>
        </w:rPr>
        <w:t>合成氨装置</w:t>
      </w:r>
      <w:r>
        <w:rPr>
          <w:rFonts w:hint="eastAsia"/>
        </w:rPr>
        <w:t>产污环节表</w:t>
      </w:r>
    </w:p>
    <w:bookmarkEnd w:id="163"/>
    <w:bookmarkEnd w:id="164"/>
    <w:p w14:paraId="21164E59">
      <w:pPr>
        <w:pStyle w:val="98"/>
        <w:rPr>
          <w:rFonts w:hint="eastAsia"/>
        </w:rPr>
      </w:pPr>
      <w:r>
        <w:rPr>
          <w:rFonts w:hint="eastAsia"/>
        </w:rPr>
        <w:t>主要设备</w:t>
      </w:r>
    </w:p>
    <w:p w14:paraId="6FC86B92">
      <w:pPr>
        <w:pStyle w:val="281"/>
        <w:ind w:firstLine="480"/>
      </w:pPr>
      <w:r>
        <w:rPr>
          <w:rFonts w:hint="eastAsia"/>
        </w:rPr>
        <w:t>合成氨</w:t>
      </w:r>
      <w:r>
        <w:t>装置</w:t>
      </w:r>
      <w:r>
        <w:rPr>
          <w:rFonts w:hint="eastAsia"/>
        </w:rPr>
        <w:t>主要设备见表3.2.5-3。</w:t>
      </w:r>
    </w:p>
    <w:p w14:paraId="76D3A590">
      <w:pPr>
        <w:pStyle w:val="281"/>
        <w:ind w:firstLine="480"/>
        <w:rPr>
          <w:rFonts w:hint="eastAsia" w:ascii="宋体" w:hAnsi="宋体"/>
        </w:rPr>
      </w:pPr>
    </w:p>
    <w:p w14:paraId="30838A50">
      <w:pPr>
        <w:pStyle w:val="281"/>
        <w:ind w:firstLine="480"/>
        <w:rPr>
          <w:rFonts w:hint="eastAsia" w:ascii="宋体" w:hAnsi="宋体"/>
        </w:rPr>
      </w:pPr>
    </w:p>
    <w:p w14:paraId="415DE26C">
      <w:pPr>
        <w:pStyle w:val="535"/>
        <w:rPr>
          <w:rFonts w:hint="eastAsia"/>
          <w:color w:val="auto"/>
        </w:rPr>
      </w:pPr>
    </w:p>
    <w:p w14:paraId="156EF1E0">
      <w:pPr>
        <w:pStyle w:val="535"/>
        <w:rPr>
          <w:rFonts w:hint="eastAsia"/>
          <w:color w:val="auto"/>
        </w:rPr>
      </w:pPr>
      <w:r>
        <w:rPr>
          <w:rFonts w:hint="eastAsia"/>
          <w:color w:val="auto"/>
        </w:rPr>
        <w:t>图</w:t>
      </w:r>
      <w:r>
        <w:rPr>
          <w:color w:val="auto"/>
        </w:rPr>
        <w:t>3.2.</w:t>
      </w:r>
      <w:r>
        <w:rPr>
          <w:rFonts w:hint="eastAsia"/>
          <w:color w:val="auto"/>
        </w:rPr>
        <w:t>5</w:t>
      </w:r>
      <w:r>
        <w:rPr>
          <w:color w:val="auto"/>
        </w:rPr>
        <w:t>-</w:t>
      </w:r>
      <w:r>
        <w:rPr>
          <w:rFonts w:hint="eastAsia"/>
          <w:color w:val="auto"/>
        </w:rPr>
        <w:t xml:space="preserve">1 </w:t>
      </w:r>
      <w:r>
        <w:rPr>
          <w:color w:val="auto"/>
        </w:rPr>
        <w:t xml:space="preserve">   </w:t>
      </w:r>
      <w:r>
        <w:rPr>
          <w:rFonts w:hint="eastAsia"/>
          <w:color w:val="auto"/>
        </w:rPr>
        <w:t>合成氨装置工艺流程及产污环节图</w:t>
      </w:r>
    </w:p>
    <w:p w14:paraId="64672681">
      <w:pPr>
        <w:pStyle w:val="535"/>
        <w:rPr>
          <w:rFonts w:hint="eastAsia"/>
          <w:color w:val="auto"/>
        </w:rPr>
      </w:pPr>
    </w:p>
    <w:p w14:paraId="671F2A8C">
      <w:pPr>
        <w:pStyle w:val="540"/>
        <w:rPr>
          <w:rFonts w:hint="eastAsia"/>
          <w:color w:val="auto"/>
        </w:rPr>
      </w:pPr>
      <w:r>
        <w:rPr>
          <w:rFonts w:hint="eastAsia"/>
          <w:color w:val="auto"/>
        </w:rPr>
        <w:t>表3.2.5-3</w:t>
      </w:r>
      <w:r>
        <w:rPr>
          <w:color w:val="auto"/>
        </w:rPr>
        <w:t xml:space="preserve">    </w:t>
      </w:r>
      <w:r>
        <w:rPr>
          <w:rFonts w:hint="eastAsia" w:ascii="宋体" w:hAnsi="宋体"/>
        </w:rPr>
        <w:t>合成氨</w:t>
      </w:r>
      <w:r>
        <w:t>装置</w:t>
      </w:r>
      <w:r>
        <w:rPr>
          <w:rFonts w:hint="eastAsia"/>
          <w:color w:val="auto"/>
        </w:rPr>
        <w:t>主要设备情况一览表</w:t>
      </w:r>
    </w:p>
    <w:p w14:paraId="13D6CA22">
      <w:pPr>
        <w:pStyle w:val="535"/>
        <w:rPr>
          <w:rFonts w:hint="eastAsia"/>
          <w:color w:val="auto"/>
        </w:rPr>
      </w:pPr>
    </w:p>
    <w:p w14:paraId="72F61F64">
      <w:pPr>
        <w:pStyle w:val="535"/>
        <w:rPr>
          <w:rFonts w:hint="eastAsia"/>
          <w:color w:val="auto"/>
        </w:rPr>
      </w:pPr>
    </w:p>
    <w:p w14:paraId="41151197">
      <w:pPr>
        <w:pStyle w:val="98"/>
        <w:rPr>
          <w:rFonts w:hint="eastAsia"/>
        </w:rPr>
      </w:pPr>
      <w:r>
        <w:rPr>
          <w:rFonts w:hint="eastAsia"/>
        </w:rPr>
        <w:t>物料平衡</w:t>
      </w:r>
    </w:p>
    <w:p w14:paraId="60509EED">
      <w:pPr>
        <w:pStyle w:val="128"/>
        <w:rPr>
          <w:rFonts w:hint="eastAsia"/>
        </w:rPr>
      </w:pPr>
      <w:bookmarkStart w:id="165" w:name="_Hlk177837062"/>
      <w:bookmarkStart w:id="166" w:name="_Hlk150215599"/>
      <w:r>
        <w:rPr>
          <w:rFonts w:hint="eastAsia" w:ascii="宋体"/>
        </w:rPr>
        <w:t>合成氨</w:t>
      </w:r>
      <w:r>
        <w:t>装置</w:t>
      </w:r>
      <w:r>
        <w:rPr>
          <w:rFonts w:hint="eastAsia"/>
        </w:rPr>
        <w:t>物料平衡见表3.2.</w:t>
      </w:r>
      <w:bookmarkStart w:id="167" w:name="_Hlk158325873"/>
      <w:r>
        <w:rPr>
          <w:rFonts w:hint="eastAsia"/>
        </w:rPr>
        <w:t>5-4。</w:t>
      </w:r>
    </w:p>
    <w:p w14:paraId="0FEDD878">
      <w:pPr>
        <w:pStyle w:val="535"/>
        <w:rPr>
          <w:rFonts w:hint="eastAsia"/>
        </w:rPr>
      </w:pPr>
      <w:bookmarkStart w:id="168" w:name="_Hlk167296192"/>
      <w:r>
        <w:rPr>
          <w:rFonts w:hint="eastAsia"/>
        </w:rPr>
        <w:t>表3.2.5-4</w:t>
      </w:r>
      <w:r>
        <w:t xml:space="preserve">   </w:t>
      </w:r>
      <w:r>
        <w:rPr>
          <w:rFonts w:hint="eastAsia"/>
        </w:rPr>
        <w:t xml:space="preserve"> </w:t>
      </w:r>
      <w:r>
        <w:rPr>
          <w:rFonts w:hint="eastAsia" w:ascii="宋体" w:hAnsi="宋体"/>
        </w:rPr>
        <w:t>合成氨</w:t>
      </w:r>
      <w:r>
        <w:t>装置</w:t>
      </w:r>
      <w:r>
        <w:rPr>
          <w:rFonts w:hint="eastAsia"/>
        </w:rPr>
        <w:t>物料平衡表</w:t>
      </w:r>
    </w:p>
    <w:bookmarkEnd w:id="165"/>
    <w:bookmarkEnd w:id="166"/>
    <w:bookmarkEnd w:id="167"/>
    <w:bookmarkEnd w:id="168"/>
    <w:p w14:paraId="32963C6D">
      <w:pPr>
        <w:pStyle w:val="557"/>
      </w:pPr>
    </w:p>
    <w:p w14:paraId="4898EA5A">
      <w:pPr>
        <w:pStyle w:val="98"/>
        <w:rPr>
          <w:rFonts w:hint="eastAsia"/>
        </w:rPr>
      </w:pPr>
      <w:r>
        <w:t>污染</w:t>
      </w:r>
      <w:r>
        <w:rPr>
          <w:rFonts w:hint="eastAsia"/>
        </w:rPr>
        <w:t>物</w:t>
      </w:r>
      <w:r>
        <w:t>源强核算</w:t>
      </w:r>
    </w:p>
    <w:p w14:paraId="2D6366D9">
      <w:pPr>
        <w:pStyle w:val="814"/>
        <w:rPr>
          <w:rFonts w:hint="eastAsia"/>
        </w:rPr>
      </w:pPr>
      <w:bookmarkStart w:id="169" w:name="_Hlk150647585"/>
      <w:r>
        <w:rPr>
          <w:rFonts w:hint="eastAsia"/>
        </w:rPr>
        <w:t>废气</w:t>
      </w:r>
    </w:p>
    <w:p w14:paraId="596D58BD">
      <w:pPr>
        <w:pStyle w:val="128"/>
        <w:rPr>
          <w:rFonts w:hint="eastAsia"/>
        </w:rPr>
      </w:pPr>
      <w:bookmarkStart w:id="170" w:name="_Hlk177061063"/>
      <w:r>
        <w:rPr>
          <w:rFonts w:hint="eastAsia"/>
        </w:rPr>
        <w:t>本单元送火炬气体成分依据设计资料。无组织排放废气计算如下。</w:t>
      </w:r>
    </w:p>
    <w:p w14:paraId="52F2368E">
      <w:pPr>
        <w:pStyle w:val="128"/>
        <w:rPr>
          <w:rFonts w:hint="eastAsia"/>
        </w:rPr>
      </w:pPr>
      <w:r>
        <w:rPr>
          <w:rFonts w:hint="eastAsia"/>
        </w:rPr>
        <w:t>液氨为合成氨装置的产品，设计上液氨均在完全密封的系统中生产和贮运。项目液氨生产、贮运设施及其与上述设施相连接的各种管线系统不严密处会漏出部分气体，主要污染物为氨，以无组织形式排放，合成氨装置对装置的气密性要求很高，故正常生产时，装置的无组织排放应属于微量。</w:t>
      </w:r>
    </w:p>
    <w:p w14:paraId="3123D501">
      <w:pPr>
        <w:pStyle w:val="128"/>
        <w:rPr>
          <w:rFonts w:hint="eastAsia"/>
        </w:rPr>
      </w:pPr>
      <w:r>
        <w:rPr>
          <w:rFonts w:hint="eastAsia"/>
        </w:rPr>
        <w:t>根据对同类行业、同类工艺的合成氨生产厂家进行调研，在实际生产中，各类动、静密封系统仍会因为工艺参数变化、器件老化、环境因素（温差、压差）、安检频次等原因，会存在设备及管道不严密处的微量泄漏。本次合成氨装置无组织废气源强类比《灵谷化工有限公司年产55万吨合成氨、130万吨尿素水溶液技改项目环境影响报告书》，该项目合成氨装置规模为55万吨/年，生产工艺一致，可作为类比对象。</w:t>
      </w:r>
    </w:p>
    <w:p w14:paraId="46AF6506">
      <w:pPr>
        <w:pStyle w:val="128"/>
        <w:rPr>
          <w:rFonts w:hint="eastAsia"/>
        </w:rPr>
      </w:pPr>
      <w:r>
        <w:rPr>
          <w:rFonts w:hint="eastAsia"/>
        </w:rPr>
        <w:t>该项目无组织排放量为0.089kg/h；本项目合成氨装置规模为30万吨/年，根据类比，合成氨装置的无组织排放量为0.049kg/h（0.39t/a）。</w:t>
      </w:r>
    </w:p>
    <w:bookmarkEnd w:id="170"/>
    <w:p w14:paraId="51C372F7">
      <w:pPr>
        <w:pStyle w:val="128"/>
        <w:rPr>
          <w:rFonts w:hint="eastAsia"/>
        </w:rPr>
      </w:pPr>
      <w:r>
        <w:rPr>
          <w:rFonts w:hint="eastAsia"/>
        </w:rPr>
        <w:t>综上，合成氨装置废气产排该情况见表3.2.5-5。</w:t>
      </w:r>
    </w:p>
    <w:p w14:paraId="521E5B20">
      <w:pPr>
        <w:pStyle w:val="535"/>
        <w:rPr>
          <w:rFonts w:hint="eastAsia"/>
        </w:rPr>
      </w:pPr>
      <w:r>
        <w:rPr>
          <w:rFonts w:hint="eastAsia"/>
        </w:rPr>
        <w:t>表3.2.5-5    合成氨装置废气产排情况一览表</w:t>
      </w:r>
    </w:p>
    <w:tbl>
      <w:tblPr>
        <w:tblStyle w:val="65"/>
        <w:tblW w:w="8505" w:type="dxa"/>
        <w:jc w:val="center"/>
        <w:tblLayout w:type="autofit"/>
        <w:tblCellMar>
          <w:top w:w="0" w:type="dxa"/>
          <w:left w:w="108" w:type="dxa"/>
          <w:bottom w:w="0" w:type="dxa"/>
          <w:right w:w="108" w:type="dxa"/>
        </w:tblCellMar>
      </w:tblPr>
      <w:tblGrid>
        <w:gridCol w:w="443"/>
        <w:gridCol w:w="1078"/>
        <w:gridCol w:w="683"/>
        <w:gridCol w:w="577"/>
        <w:gridCol w:w="697"/>
        <w:gridCol w:w="699"/>
        <w:gridCol w:w="602"/>
        <w:gridCol w:w="586"/>
        <w:gridCol w:w="613"/>
        <w:gridCol w:w="577"/>
        <w:gridCol w:w="697"/>
        <w:gridCol w:w="621"/>
        <w:gridCol w:w="632"/>
      </w:tblGrid>
      <w:tr w14:paraId="2E220781">
        <w:tblPrEx>
          <w:tblCellMar>
            <w:top w:w="0" w:type="dxa"/>
            <w:left w:w="108" w:type="dxa"/>
            <w:bottom w:w="0" w:type="dxa"/>
            <w:right w:w="108" w:type="dxa"/>
          </w:tblCellMar>
        </w:tblPrEx>
        <w:trPr>
          <w:trHeight w:val="326" w:hRule="atLeast"/>
          <w:jc w:val="center"/>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719ABBF4">
            <w:pPr>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1086" w:type="dxa"/>
            <w:vMerge w:val="restart"/>
            <w:tcBorders>
              <w:top w:val="single" w:color="auto" w:sz="4" w:space="0"/>
              <w:left w:val="single" w:color="auto" w:sz="4" w:space="0"/>
              <w:bottom w:val="single" w:color="auto" w:sz="4" w:space="0"/>
              <w:right w:val="single" w:color="auto" w:sz="4" w:space="0"/>
            </w:tcBorders>
            <w:vAlign w:val="center"/>
          </w:tcPr>
          <w:p w14:paraId="58297DF8">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污染源</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14:paraId="4AD27686">
            <w:pPr>
              <w:jc w:val="center"/>
              <w:rPr>
                <w:rFonts w:ascii="Times New Roman" w:hAnsi="Times New Roman" w:cs="Times New Roman"/>
                <w:color w:val="000000"/>
                <w:sz w:val="18"/>
                <w:szCs w:val="18"/>
              </w:rPr>
            </w:pPr>
            <w:r>
              <w:rPr>
                <w:rFonts w:ascii="Times New Roman" w:hAnsi="Times New Roman" w:cs="Times New Roman"/>
                <w:color w:val="000000"/>
                <w:sz w:val="18"/>
                <w:szCs w:val="18"/>
              </w:rPr>
              <w:t>核算方法</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14:paraId="0719CDF2">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污染物</w:t>
            </w:r>
          </w:p>
        </w:tc>
        <w:tc>
          <w:tcPr>
            <w:tcW w:w="697" w:type="dxa"/>
            <w:vMerge w:val="restart"/>
            <w:tcBorders>
              <w:top w:val="single" w:color="auto" w:sz="4" w:space="0"/>
              <w:left w:val="single" w:color="auto" w:sz="4" w:space="0"/>
              <w:bottom w:val="single" w:color="auto" w:sz="4" w:space="0"/>
              <w:right w:val="single" w:color="auto" w:sz="4" w:space="0"/>
            </w:tcBorders>
            <w:vAlign w:val="center"/>
          </w:tcPr>
          <w:p w14:paraId="03FE7989">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产生浓度mg/m</w:t>
            </w:r>
            <w:r>
              <w:rPr>
                <w:rFonts w:ascii="Times New Roman" w:hAnsi="Times New Roman" w:cs="Times New Roman"/>
                <w:color w:val="000000"/>
                <w:sz w:val="18"/>
                <w:szCs w:val="18"/>
                <w:vertAlign w:val="superscript"/>
              </w:rPr>
              <w:t>3</w:t>
            </w:r>
          </w:p>
        </w:tc>
        <w:tc>
          <w:tcPr>
            <w:tcW w:w="700" w:type="dxa"/>
            <w:vMerge w:val="restart"/>
            <w:tcBorders>
              <w:top w:val="single" w:color="auto" w:sz="4" w:space="0"/>
              <w:left w:val="single" w:color="auto" w:sz="4" w:space="0"/>
              <w:bottom w:val="single" w:color="auto" w:sz="4" w:space="0"/>
              <w:right w:val="single" w:color="auto" w:sz="4" w:space="0"/>
            </w:tcBorders>
            <w:vAlign w:val="center"/>
          </w:tcPr>
          <w:p w14:paraId="54892E39">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产生速率kg/h</w:t>
            </w:r>
          </w:p>
        </w:tc>
        <w:tc>
          <w:tcPr>
            <w:tcW w:w="602" w:type="dxa"/>
            <w:vMerge w:val="restart"/>
            <w:tcBorders>
              <w:top w:val="single" w:color="auto" w:sz="4" w:space="0"/>
              <w:left w:val="single" w:color="auto" w:sz="4" w:space="0"/>
              <w:bottom w:val="single" w:color="auto" w:sz="4" w:space="0"/>
              <w:right w:val="single" w:color="auto" w:sz="4" w:space="0"/>
            </w:tcBorders>
            <w:vAlign w:val="center"/>
          </w:tcPr>
          <w:p w14:paraId="2DBF160D">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产生量t/a</w:t>
            </w:r>
          </w:p>
        </w:tc>
        <w:tc>
          <w:tcPr>
            <w:tcW w:w="588" w:type="dxa"/>
            <w:vMerge w:val="restart"/>
            <w:tcBorders>
              <w:top w:val="single" w:color="auto" w:sz="4" w:space="0"/>
              <w:left w:val="single" w:color="auto" w:sz="4" w:space="0"/>
              <w:bottom w:val="single" w:color="auto" w:sz="4" w:space="0"/>
              <w:right w:val="single" w:color="auto" w:sz="4" w:space="0"/>
            </w:tcBorders>
            <w:vAlign w:val="center"/>
          </w:tcPr>
          <w:p w14:paraId="16BDC64B">
            <w:pPr>
              <w:jc w:val="center"/>
              <w:rPr>
                <w:rFonts w:ascii="Times New Roman" w:hAnsi="Times New Roman" w:cs="Times New Roman"/>
                <w:color w:val="000000"/>
                <w:sz w:val="18"/>
                <w:szCs w:val="18"/>
              </w:rPr>
            </w:pPr>
            <w:r>
              <w:rPr>
                <w:rFonts w:ascii="Times New Roman" w:hAnsi="Times New Roman" w:cs="Times New Roman"/>
                <w:color w:val="000000"/>
                <w:sz w:val="18"/>
                <w:szCs w:val="18"/>
              </w:rPr>
              <w:t>治理措施</w:t>
            </w:r>
          </w:p>
        </w:tc>
        <w:tc>
          <w:tcPr>
            <w:tcW w:w="615" w:type="dxa"/>
            <w:vMerge w:val="restart"/>
            <w:tcBorders>
              <w:top w:val="single" w:color="auto" w:sz="4" w:space="0"/>
              <w:left w:val="single" w:color="auto" w:sz="4" w:space="0"/>
              <w:bottom w:val="single" w:color="auto" w:sz="4" w:space="0"/>
              <w:right w:val="single" w:color="auto" w:sz="4" w:space="0"/>
            </w:tcBorders>
            <w:vAlign w:val="center"/>
          </w:tcPr>
          <w:p w14:paraId="096CEF5C">
            <w:pPr>
              <w:jc w:val="center"/>
              <w:rPr>
                <w:rFonts w:ascii="Times New Roman" w:hAnsi="Times New Roman" w:cs="Times New Roman"/>
                <w:color w:val="000000"/>
                <w:sz w:val="18"/>
                <w:szCs w:val="18"/>
              </w:rPr>
            </w:pPr>
            <w:r>
              <w:rPr>
                <w:rFonts w:ascii="Times New Roman" w:hAnsi="Times New Roman" w:cs="Times New Roman"/>
                <w:color w:val="000000"/>
                <w:sz w:val="18"/>
                <w:szCs w:val="18"/>
              </w:rPr>
              <w:t>去除效率</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14:paraId="3327542B">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排气量m</w:t>
            </w:r>
            <w:r>
              <w:rPr>
                <w:rFonts w:ascii="Times New Roman" w:hAnsi="Times New Roman" w:cs="Times New Roman"/>
                <w:color w:val="000000"/>
                <w:sz w:val="18"/>
                <w:szCs w:val="18"/>
                <w:vertAlign w:val="superscript"/>
              </w:rPr>
              <w:t>3</w:t>
            </w:r>
            <w:r>
              <w:rPr>
                <w:rFonts w:ascii="Times New Roman" w:hAnsi="Times New Roman" w:cs="Times New Roman"/>
                <w:color w:val="000000"/>
                <w:sz w:val="18"/>
                <w:szCs w:val="18"/>
              </w:rPr>
              <w:t>/h</w:t>
            </w:r>
          </w:p>
        </w:tc>
        <w:tc>
          <w:tcPr>
            <w:tcW w:w="697" w:type="dxa"/>
            <w:vMerge w:val="restart"/>
            <w:tcBorders>
              <w:top w:val="single" w:color="auto" w:sz="4" w:space="0"/>
              <w:left w:val="single" w:color="auto" w:sz="4" w:space="0"/>
              <w:bottom w:val="single" w:color="auto" w:sz="4" w:space="0"/>
              <w:right w:val="single" w:color="auto" w:sz="4" w:space="0"/>
            </w:tcBorders>
            <w:vAlign w:val="center"/>
          </w:tcPr>
          <w:p w14:paraId="06D4D4DC">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排放浓度mg/m</w:t>
            </w:r>
            <w:r>
              <w:rPr>
                <w:rFonts w:ascii="Times New Roman" w:hAnsi="Times New Roman" w:cs="Times New Roman"/>
                <w:color w:val="000000"/>
                <w:sz w:val="18"/>
                <w:szCs w:val="18"/>
                <w:vertAlign w:val="superscript"/>
              </w:rPr>
              <w:t>3</w:t>
            </w:r>
          </w:p>
        </w:tc>
        <w:tc>
          <w:tcPr>
            <w:tcW w:w="585" w:type="dxa"/>
            <w:vMerge w:val="restart"/>
            <w:tcBorders>
              <w:top w:val="single" w:color="auto" w:sz="4" w:space="0"/>
              <w:left w:val="single" w:color="auto" w:sz="4" w:space="0"/>
              <w:bottom w:val="single" w:color="auto" w:sz="4" w:space="0"/>
              <w:right w:val="single" w:color="auto" w:sz="4" w:space="0"/>
            </w:tcBorders>
            <w:vAlign w:val="center"/>
          </w:tcPr>
          <w:p w14:paraId="2DF6AA3B">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排放速率kg/h</w:t>
            </w:r>
          </w:p>
        </w:tc>
        <w:tc>
          <w:tcPr>
            <w:tcW w:w="632" w:type="dxa"/>
            <w:vMerge w:val="restart"/>
            <w:tcBorders>
              <w:top w:val="single" w:color="auto" w:sz="4" w:space="0"/>
              <w:left w:val="single" w:color="auto" w:sz="4" w:space="0"/>
              <w:bottom w:val="single" w:color="auto" w:sz="4" w:space="0"/>
              <w:right w:val="single" w:color="auto" w:sz="4" w:space="0"/>
            </w:tcBorders>
            <w:vAlign w:val="center"/>
          </w:tcPr>
          <w:p w14:paraId="6AED56A6">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排放量t/a</w:t>
            </w:r>
          </w:p>
        </w:tc>
      </w:tr>
      <w:tr w14:paraId="6EE62763">
        <w:tblPrEx>
          <w:tblCellMar>
            <w:top w:w="0" w:type="dxa"/>
            <w:left w:w="108" w:type="dxa"/>
            <w:bottom w:w="0" w:type="dxa"/>
            <w:right w:w="108" w:type="dxa"/>
          </w:tblCellMar>
        </w:tblPrEx>
        <w:trPr>
          <w:trHeight w:val="32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86BA99">
            <w:pPr>
              <w:rPr>
                <w:rFonts w:ascii="Times New Roman" w:hAnsi="Times New Roman" w:cs="Times New Roman"/>
                <w:color w:val="000000"/>
                <w:sz w:val="18"/>
                <w:szCs w:val="18"/>
              </w:rPr>
            </w:pPr>
          </w:p>
        </w:tc>
        <w:tc>
          <w:tcPr>
            <w:tcW w:w="1086" w:type="dxa"/>
            <w:vMerge w:val="continue"/>
            <w:tcBorders>
              <w:top w:val="single" w:color="auto" w:sz="4" w:space="0"/>
              <w:left w:val="single" w:color="auto" w:sz="4" w:space="0"/>
              <w:bottom w:val="single" w:color="auto" w:sz="4" w:space="0"/>
              <w:right w:val="single" w:color="auto" w:sz="4" w:space="0"/>
            </w:tcBorders>
            <w:vAlign w:val="center"/>
          </w:tcPr>
          <w:p w14:paraId="4DB17E83">
            <w:pPr>
              <w:rPr>
                <w:rFonts w:ascii="Times New Roman" w:hAnsi="Times New Roman" w:cs="Times New Roman"/>
                <w:color w:val="000000"/>
                <w:sz w:val="18"/>
                <w:szCs w:val="18"/>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14:paraId="2D4F35E4">
            <w:pPr>
              <w:rPr>
                <w:rFonts w:ascii="Times New Roman" w:hAnsi="Times New Roman" w:cs="Times New Roman"/>
                <w:color w:val="000000"/>
                <w:sz w:val="18"/>
                <w:szCs w:val="18"/>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14:paraId="52D33E8C">
            <w:pPr>
              <w:rPr>
                <w:rFonts w:ascii="Times New Roman" w:hAnsi="Times New Roman" w:cs="Times New Roman"/>
                <w:color w:val="000000"/>
                <w:sz w:val="18"/>
                <w:szCs w:val="18"/>
              </w:rPr>
            </w:pPr>
          </w:p>
        </w:tc>
        <w:tc>
          <w:tcPr>
            <w:tcW w:w="697" w:type="dxa"/>
            <w:vMerge w:val="continue"/>
            <w:tcBorders>
              <w:top w:val="single" w:color="auto" w:sz="4" w:space="0"/>
              <w:left w:val="single" w:color="auto" w:sz="4" w:space="0"/>
              <w:bottom w:val="single" w:color="auto" w:sz="4" w:space="0"/>
              <w:right w:val="single" w:color="auto" w:sz="4" w:space="0"/>
            </w:tcBorders>
            <w:vAlign w:val="center"/>
          </w:tcPr>
          <w:p w14:paraId="0D136F15">
            <w:pPr>
              <w:rPr>
                <w:rFonts w:ascii="Times New Roman" w:hAnsi="Times New Roman" w:cs="Times New Roman"/>
                <w:color w:val="000000"/>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vAlign w:val="center"/>
          </w:tcPr>
          <w:p w14:paraId="3D993386">
            <w:pPr>
              <w:rPr>
                <w:rFonts w:ascii="Times New Roman" w:hAnsi="Times New Roman" w:cs="Times New Roman"/>
                <w:color w:val="000000"/>
                <w:sz w:val="18"/>
                <w:szCs w:val="18"/>
              </w:rPr>
            </w:pPr>
          </w:p>
        </w:tc>
        <w:tc>
          <w:tcPr>
            <w:tcW w:w="602" w:type="dxa"/>
            <w:vMerge w:val="continue"/>
            <w:tcBorders>
              <w:top w:val="single" w:color="auto" w:sz="4" w:space="0"/>
              <w:left w:val="single" w:color="auto" w:sz="4" w:space="0"/>
              <w:bottom w:val="single" w:color="auto" w:sz="4" w:space="0"/>
              <w:right w:val="single" w:color="auto" w:sz="4" w:space="0"/>
            </w:tcBorders>
            <w:vAlign w:val="center"/>
          </w:tcPr>
          <w:p w14:paraId="395A6CAE">
            <w:pPr>
              <w:rPr>
                <w:rFonts w:ascii="Times New Roman" w:hAnsi="Times New Roman" w:cs="Times New Roman"/>
                <w:color w:val="000000"/>
                <w:sz w:val="18"/>
                <w:szCs w:val="18"/>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14:paraId="5D08103F">
            <w:pPr>
              <w:rPr>
                <w:rFonts w:ascii="Times New Roman" w:hAnsi="Times New Roman" w:cs="Times New Roman"/>
                <w:color w:val="000000"/>
                <w:sz w:val="18"/>
                <w:szCs w:val="18"/>
              </w:rPr>
            </w:pPr>
          </w:p>
        </w:tc>
        <w:tc>
          <w:tcPr>
            <w:tcW w:w="615" w:type="dxa"/>
            <w:vMerge w:val="continue"/>
            <w:tcBorders>
              <w:top w:val="single" w:color="auto" w:sz="4" w:space="0"/>
              <w:left w:val="single" w:color="auto" w:sz="4" w:space="0"/>
              <w:bottom w:val="single" w:color="auto" w:sz="4" w:space="0"/>
              <w:right w:val="single" w:color="auto" w:sz="4" w:space="0"/>
            </w:tcBorders>
            <w:vAlign w:val="center"/>
          </w:tcPr>
          <w:p w14:paraId="19643434">
            <w:pPr>
              <w:rPr>
                <w:rFonts w:ascii="Times New Roman" w:hAnsi="Times New Roman" w:cs="Times New Roman"/>
                <w:color w:val="000000"/>
                <w:sz w:val="18"/>
                <w:szCs w:val="18"/>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14:paraId="34337746">
            <w:pPr>
              <w:rPr>
                <w:rFonts w:ascii="Times New Roman" w:hAnsi="Times New Roman" w:cs="Times New Roman"/>
                <w:color w:val="000000"/>
                <w:sz w:val="18"/>
                <w:szCs w:val="18"/>
              </w:rPr>
            </w:pPr>
          </w:p>
        </w:tc>
        <w:tc>
          <w:tcPr>
            <w:tcW w:w="697" w:type="dxa"/>
            <w:vMerge w:val="continue"/>
            <w:tcBorders>
              <w:top w:val="single" w:color="auto" w:sz="4" w:space="0"/>
              <w:left w:val="single" w:color="auto" w:sz="4" w:space="0"/>
              <w:bottom w:val="single" w:color="auto" w:sz="4" w:space="0"/>
              <w:right w:val="single" w:color="auto" w:sz="4" w:space="0"/>
            </w:tcBorders>
            <w:vAlign w:val="center"/>
          </w:tcPr>
          <w:p w14:paraId="35737DBD">
            <w:pPr>
              <w:rPr>
                <w:rFonts w:ascii="Times New Roman" w:hAnsi="Times New Roman" w:cs="Times New Roman"/>
                <w:color w:val="000000"/>
                <w:sz w:val="18"/>
                <w:szCs w:val="18"/>
              </w:rPr>
            </w:pPr>
          </w:p>
        </w:tc>
        <w:tc>
          <w:tcPr>
            <w:tcW w:w="585" w:type="dxa"/>
            <w:vMerge w:val="continue"/>
            <w:tcBorders>
              <w:top w:val="single" w:color="auto" w:sz="4" w:space="0"/>
              <w:left w:val="single" w:color="auto" w:sz="4" w:space="0"/>
              <w:bottom w:val="single" w:color="auto" w:sz="4" w:space="0"/>
              <w:right w:val="single" w:color="auto" w:sz="4" w:space="0"/>
            </w:tcBorders>
            <w:vAlign w:val="center"/>
          </w:tcPr>
          <w:p w14:paraId="2AAB962D">
            <w:pPr>
              <w:rPr>
                <w:rFonts w:ascii="Times New Roman" w:hAnsi="Times New Roman" w:cs="Times New Roman"/>
                <w:color w:val="000000"/>
                <w:sz w:val="18"/>
                <w:szCs w:val="18"/>
              </w:rPr>
            </w:pPr>
          </w:p>
        </w:tc>
        <w:tc>
          <w:tcPr>
            <w:tcW w:w="632" w:type="dxa"/>
            <w:vMerge w:val="continue"/>
            <w:tcBorders>
              <w:top w:val="single" w:color="auto" w:sz="4" w:space="0"/>
              <w:left w:val="single" w:color="auto" w:sz="4" w:space="0"/>
              <w:bottom w:val="single" w:color="auto" w:sz="4" w:space="0"/>
              <w:right w:val="single" w:color="auto" w:sz="4" w:space="0"/>
            </w:tcBorders>
            <w:vAlign w:val="center"/>
          </w:tcPr>
          <w:p w14:paraId="13AD0003">
            <w:pPr>
              <w:rPr>
                <w:rFonts w:ascii="Times New Roman" w:hAnsi="Times New Roman" w:cs="Times New Roman"/>
                <w:color w:val="000000"/>
                <w:sz w:val="18"/>
                <w:szCs w:val="18"/>
              </w:rPr>
            </w:pPr>
          </w:p>
        </w:tc>
      </w:tr>
      <w:tr w14:paraId="4E5D1F34">
        <w:tblPrEx>
          <w:tblCellMar>
            <w:top w:w="0" w:type="dxa"/>
            <w:left w:w="108" w:type="dxa"/>
            <w:bottom w:w="0" w:type="dxa"/>
            <w:right w:w="108" w:type="dxa"/>
          </w:tblCellMar>
        </w:tblPrEx>
        <w:trPr>
          <w:trHeight w:val="284" w:hRule="atLeast"/>
          <w:jc w:val="center"/>
        </w:trPr>
        <w:tc>
          <w:tcPr>
            <w:tcW w:w="0" w:type="auto"/>
            <w:tcBorders>
              <w:top w:val="nil"/>
              <w:left w:val="single" w:color="auto" w:sz="4" w:space="0"/>
              <w:bottom w:val="single" w:color="auto" w:sz="4" w:space="0"/>
              <w:right w:val="single" w:color="auto" w:sz="4" w:space="0"/>
            </w:tcBorders>
            <w:vAlign w:val="center"/>
          </w:tcPr>
          <w:p w14:paraId="0E81F8E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G</w:t>
            </w:r>
            <w:r>
              <w:rPr>
                <w:rFonts w:ascii="Times New Roman" w:hAnsi="Times New Roman" w:eastAsia="等线" w:cs="Times New Roman"/>
                <w:color w:val="000000"/>
                <w:sz w:val="18"/>
                <w:szCs w:val="18"/>
                <w:vertAlign w:val="subscript"/>
              </w:rPr>
              <w:t>3-1</w:t>
            </w:r>
          </w:p>
        </w:tc>
        <w:tc>
          <w:tcPr>
            <w:tcW w:w="1086" w:type="dxa"/>
            <w:tcBorders>
              <w:top w:val="nil"/>
              <w:left w:val="nil"/>
              <w:bottom w:val="single" w:color="auto" w:sz="4" w:space="0"/>
              <w:right w:val="single" w:color="auto" w:sz="4" w:space="0"/>
            </w:tcBorders>
            <w:vAlign w:val="center"/>
          </w:tcPr>
          <w:p w14:paraId="2B376E98">
            <w:pPr>
              <w:jc w:val="center"/>
              <w:rPr>
                <w:rFonts w:ascii="Times New Roman" w:hAnsi="Times New Roman" w:cs="Times New Roman"/>
                <w:color w:val="000000"/>
                <w:sz w:val="18"/>
                <w:szCs w:val="18"/>
              </w:rPr>
            </w:pPr>
            <w:r>
              <w:rPr>
                <w:rFonts w:ascii="Times New Roman" w:hAnsi="Times New Roman" w:cs="Times New Roman"/>
                <w:sz w:val="18"/>
                <w:szCs w:val="18"/>
              </w:rPr>
              <w:t>合成氨装置</w:t>
            </w:r>
            <w:r>
              <w:rPr>
                <w:rFonts w:ascii="Times New Roman" w:hAnsi="Times New Roman" w:cs="Times New Roman"/>
                <w:color w:val="000000"/>
                <w:sz w:val="18"/>
                <w:szCs w:val="18"/>
              </w:rPr>
              <w:t>无组织排放</w:t>
            </w:r>
          </w:p>
        </w:tc>
        <w:tc>
          <w:tcPr>
            <w:tcW w:w="686" w:type="dxa"/>
            <w:tcBorders>
              <w:top w:val="nil"/>
              <w:left w:val="nil"/>
              <w:bottom w:val="single" w:color="auto" w:sz="4" w:space="0"/>
              <w:right w:val="single" w:color="auto" w:sz="4" w:space="0"/>
            </w:tcBorders>
            <w:vAlign w:val="center"/>
          </w:tcPr>
          <w:p w14:paraId="089A9689">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类比法</w:t>
            </w:r>
          </w:p>
        </w:tc>
        <w:tc>
          <w:tcPr>
            <w:tcW w:w="577" w:type="dxa"/>
            <w:tcBorders>
              <w:top w:val="nil"/>
              <w:left w:val="nil"/>
              <w:bottom w:val="single" w:color="auto" w:sz="4" w:space="0"/>
              <w:right w:val="single" w:color="auto" w:sz="4" w:space="0"/>
            </w:tcBorders>
            <w:noWrap/>
            <w:vAlign w:val="center"/>
          </w:tcPr>
          <w:p w14:paraId="2D8DCD0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NH</w:t>
            </w:r>
            <w:r>
              <w:rPr>
                <w:rFonts w:ascii="Times New Roman" w:hAnsi="Times New Roman" w:eastAsia="等线" w:cs="Times New Roman"/>
                <w:color w:val="000000"/>
                <w:sz w:val="18"/>
                <w:szCs w:val="18"/>
                <w:vertAlign w:val="subscript"/>
              </w:rPr>
              <w:t>3</w:t>
            </w:r>
          </w:p>
        </w:tc>
        <w:tc>
          <w:tcPr>
            <w:tcW w:w="697" w:type="dxa"/>
            <w:tcBorders>
              <w:top w:val="nil"/>
              <w:left w:val="nil"/>
              <w:bottom w:val="single" w:color="auto" w:sz="4" w:space="0"/>
              <w:right w:val="single" w:color="auto" w:sz="4" w:space="0"/>
            </w:tcBorders>
            <w:vAlign w:val="center"/>
          </w:tcPr>
          <w:p w14:paraId="33FF556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c>
          <w:tcPr>
            <w:tcW w:w="700" w:type="dxa"/>
            <w:tcBorders>
              <w:top w:val="nil"/>
              <w:left w:val="nil"/>
              <w:bottom w:val="single" w:color="auto" w:sz="4" w:space="0"/>
              <w:right w:val="single" w:color="auto" w:sz="4" w:space="0"/>
            </w:tcBorders>
            <w:vAlign w:val="center"/>
          </w:tcPr>
          <w:p w14:paraId="657CB57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w:t>
            </w:r>
            <w:r>
              <w:rPr>
                <w:rFonts w:hint="eastAsia" w:ascii="Times New Roman" w:hAnsi="Times New Roman" w:eastAsia="等线" w:cs="Times New Roman"/>
                <w:color w:val="000000"/>
                <w:sz w:val="18"/>
                <w:szCs w:val="18"/>
              </w:rPr>
              <w:t>.049</w:t>
            </w:r>
          </w:p>
        </w:tc>
        <w:tc>
          <w:tcPr>
            <w:tcW w:w="602" w:type="dxa"/>
            <w:tcBorders>
              <w:top w:val="nil"/>
              <w:left w:val="nil"/>
              <w:bottom w:val="single" w:color="auto" w:sz="4" w:space="0"/>
              <w:right w:val="single" w:color="auto" w:sz="4" w:space="0"/>
            </w:tcBorders>
            <w:noWrap/>
            <w:vAlign w:val="center"/>
          </w:tcPr>
          <w:p w14:paraId="7C4AC75C">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0.39</w:t>
            </w:r>
          </w:p>
        </w:tc>
        <w:tc>
          <w:tcPr>
            <w:tcW w:w="588" w:type="dxa"/>
            <w:tcBorders>
              <w:top w:val="nil"/>
              <w:left w:val="nil"/>
              <w:bottom w:val="single" w:color="auto" w:sz="4" w:space="0"/>
              <w:right w:val="single" w:color="auto" w:sz="4" w:space="0"/>
            </w:tcBorders>
            <w:vAlign w:val="center"/>
          </w:tcPr>
          <w:p w14:paraId="5BCEFD8B">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15" w:type="dxa"/>
            <w:tcBorders>
              <w:top w:val="nil"/>
              <w:left w:val="nil"/>
              <w:bottom w:val="single" w:color="auto" w:sz="4" w:space="0"/>
              <w:right w:val="single" w:color="auto" w:sz="4" w:space="0"/>
            </w:tcBorders>
            <w:vAlign w:val="center"/>
          </w:tcPr>
          <w:p w14:paraId="2EE1B7B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c>
          <w:tcPr>
            <w:tcW w:w="577" w:type="dxa"/>
            <w:tcBorders>
              <w:top w:val="nil"/>
              <w:left w:val="nil"/>
              <w:bottom w:val="single" w:color="auto" w:sz="4" w:space="0"/>
              <w:right w:val="single" w:color="auto" w:sz="4" w:space="0"/>
            </w:tcBorders>
            <w:vAlign w:val="center"/>
          </w:tcPr>
          <w:p w14:paraId="2451580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c>
          <w:tcPr>
            <w:tcW w:w="697" w:type="dxa"/>
            <w:tcBorders>
              <w:top w:val="nil"/>
              <w:left w:val="nil"/>
              <w:bottom w:val="single" w:color="auto" w:sz="4" w:space="0"/>
              <w:right w:val="single" w:color="auto" w:sz="4" w:space="0"/>
            </w:tcBorders>
            <w:vAlign w:val="center"/>
          </w:tcPr>
          <w:p w14:paraId="5FAB8E2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c>
          <w:tcPr>
            <w:tcW w:w="585" w:type="dxa"/>
            <w:tcBorders>
              <w:top w:val="nil"/>
              <w:left w:val="nil"/>
              <w:bottom w:val="single" w:color="auto" w:sz="4" w:space="0"/>
              <w:right w:val="single" w:color="auto" w:sz="4" w:space="0"/>
            </w:tcBorders>
            <w:vAlign w:val="center"/>
          </w:tcPr>
          <w:p w14:paraId="5379B7E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w:t>
            </w:r>
            <w:r>
              <w:rPr>
                <w:rFonts w:hint="eastAsia" w:ascii="Times New Roman" w:hAnsi="Times New Roman" w:eastAsia="等线" w:cs="Times New Roman"/>
                <w:color w:val="000000"/>
                <w:sz w:val="18"/>
                <w:szCs w:val="18"/>
              </w:rPr>
              <w:t>.049</w:t>
            </w:r>
          </w:p>
        </w:tc>
        <w:tc>
          <w:tcPr>
            <w:tcW w:w="632" w:type="dxa"/>
            <w:tcBorders>
              <w:top w:val="nil"/>
              <w:left w:val="nil"/>
              <w:bottom w:val="single" w:color="auto" w:sz="4" w:space="0"/>
              <w:right w:val="single" w:color="auto" w:sz="4" w:space="0"/>
            </w:tcBorders>
            <w:noWrap/>
            <w:vAlign w:val="center"/>
          </w:tcPr>
          <w:p w14:paraId="7F8FE550">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0.39</w:t>
            </w:r>
          </w:p>
        </w:tc>
      </w:tr>
    </w:tbl>
    <w:p w14:paraId="6582F284">
      <w:pPr>
        <w:pStyle w:val="814"/>
        <w:rPr>
          <w:rFonts w:hint="eastAsia"/>
        </w:rPr>
      </w:pPr>
      <w:r>
        <w:rPr>
          <w:rFonts w:hint="eastAsia"/>
        </w:rPr>
        <w:t>噪声</w:t>
      </w:r>
    </w:p>
    <w:p w14:paraId="6B9EAFFB">
      <w:pPr>
        <w:pStyle w:val="281"/>
        <w:ind w:firstLine="480"/>
      </w:pPr>
      <w:r>
        <w:rPr>
          <w:rFonts w:hint="eastAsia"/>
        </w:rPr>
        <w:t>合成氨装置</w:t>
      </w:r>
      <w:r>
        <w:t>噪声源主要来自</w:t>
      </w:r>
      <w:r>
        <w:rPr>
          <w:rFonts w:hint="eastAsia"/>
        </w:rPr>
        <w:t>压缩机</w:t>
      </w:r>
      <w:r>
        <w:t>、</w:t>
      </w:r>
      <w:r>
        <w:rPr>
          <w:rFonts w:hint="eastAsia"/>
        </w:rPr>
        <w:t>机泵等。</w:t>
      </w:r>
      <w:r>
        <w:rPr>
          <w:rFonts w:hint="eastAsia"/>
          <w:u w:color="000000"/>
        </w:rPr>
        <w:t>各设备噪声源强参照《污染源源强核算技术指南 化肥工业》（HJ994-2018）附表B。</w:t>
      </w:r>
      <w:r>
        <w:rPr>
          <w:rFonts w:hint="eastAsia"/>
        </w:rPr>
        <w:t>合成氨装置噪声源噪声产生及治理情况见表3.2.5-6。</w:t>
      </w:r>
    </w:p>
    <w:p w14:paraId="41D21DF4">
      <w:pPr>
        <w:pStyle w:val="535"/>
        <w:rPr>
          <w:rFonts w:hint="eastAsia"/>
        </w:rPr>
      </w:pPr>
      <w:r>
        <w:rPr>
          <w:rFonts w:hint="eastAsia"/>
        </w:rPr>
        <w:t>表3.2.5-6</w:t>
      </w:r>
      <w:r>
        <w:t xml:space="preserve">    </w:t>
      </w:r>
      <w:r>
        <w:rPr>
          <w:rFonts w:hint="eastAsia"/>
        </w:rPr>
        <w:t>合成氨装置噪声产生及治理情况表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830"/>
        <w:gridCol w:w="425"/>
        <w:gridCol w:w="567"/>
        <w:gridCol w:w="851"/>
        <w:gridCol w:w="850"/>
        <w:gridCol w:w="1560"/>
        <w:gridCol w:w="425"/>
        <w:gridCol w:w="850"/>
        <w:gridCol w:w="909"/>
        <w:gridCol w:w="692"/>
      </w:tblGrid>
      <w:tr w14:paraId="2B22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restart"/>
            <w:tcBorders>
              <w:top w:val="single" w:color="auto" w:sz="4" w:space="0"/>
              <w:left w:val="single" w:color="auto" w:sz="4" w:space="0"/>
              <w:right w:val="single" w:color="auto" w:sz="4" w:space="0"/>
            </w:tcBorders>
            <w:vAlign w:val="center"/>
          </w:tcPr>
          <w:p w14:paraId="34D3F787">
            <w:pPr>
              <w:jc w:val="center"/>
              <w:rPr>
                <w:rFonts w:ascii="Times New Roman" w:hAnsi="Times New Roman" w:cs="Times New Roman"/>
                <w:sz w:val="18"/>
                <w:szCs w:val="18"/>
              </w:rPr>
            </w:pPr>
          </w:p>
        </w:tc>
        <w:tc>
          <w:tcPr>
            <w:tcW w:w="830" w:type="dxa"/>
            <w:vMerge w:val="restart"/>
            <w:tcBorders>
              <w:top w:val="single" w:color="auto" w:sz="4" w:space="0"/>
              <w:left w:val="single" w:color="auto" w:sz="4" w:space="0"/>
              <w:right w:val="single" w:color="auto" w:sz="4" w:space="0"/>
            </w:tcBorders>
            <w:vAlign w:val="center"/>
          </w:tcPr>
          <w:p w14:paraId="42CBC05F">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425" w:type="dxa"/>
            <w:vMerge w:val="restart"/>
            <w:tcBorders>
              <w:top w:val="single" w:color="auto" w:sz="4" w:space="0"/>
              <w:left w:val="single" w:color="auto" w:sz="4" w:space="0"/>
              <w:right w:val="single" w:color="auto" w:sz="4" w:space="0"/>
            </w:tcBorders>
            <w:vAlign w:val="center"/>
          </w:tcPr>
          <w:p w14:paraId="1D9FDD8C">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567" w:type="dxa"/>
            <w:vMerge w:val="restart"/>
            <w:tcBorders>
              <w:top w:val="single" w:color="auto" w:sz="4" w:space="0"/>
              <w:left w:val="single" w:color="auto" w:sz="4" w:space="0"/>
              <w:right w:val="single" w:color="auto" w:sz="4" w:space="0"/>
            </w:tcBorders>
            <w:vAlign w:val="center"/>
          </w:tcPr>
          <w:p w14:paraId="1902FFF4">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2322010B">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1985" w:type="dxa"/>
            <w:gridSpan w:val="2"/>
            <w:tcBorders>
              <w:top w:val="single" w:color="auto" w:sz="4" w:space="0"/>
              <w:left w:val="single" w:color="auto" w:sz="4" w:space="0"/>
              <w:right w:val="single" w:color="auto" w:sz="4" w:space="0"/>
            </w:tcBorders>
            <w:vAlign w:val="center"/>
          </w:tcPr>
          <w:p w14:paraId="6A8ECED2">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759" w:type="dxa"/>
            <w:gridSpan w:val="2"/>
            <w:tcBorders>
              <w:top w:val="single" w:color="auto" w:sz="4" w:space="0"/>
              <w:left w:val="single" w:color="auto" w:sz="4" w:space="0"/>
              <w:right w:val="single" w:color="auto" w:sz="4" w:space="0"/>
            </w:tcBorders>
            <w:vAlign w:val="center"/>
          </w:tcPr>
          <w:p w14:paraId="03A1479A">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92" w:type="dxa"/>
            <w:vMerge w:val="restart"/>
            <w:tcBorders>
              <w:top w:val="single" w:color="auto" w:sz="4" w:space="0"/>
              <w:left w:val="single" w:color="auto" w:sz="4" w:space="0"/>
              <w:right w:val="single" w:color="auto" w:sz="4" w:space="0"/>
            </w:tcBorders>
            <w:vAlign w:val="center"/>
          </w:tcPr>
          <w:p w14:paraId="5D449557">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7653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continue"/>
            <w:tcBorders>
              <w:left w:val="single" w:color="auto" w:sz="4" w:space="0"/>
              <w:bottom w:val="single" w:color="auto" w:sz="4" w:space="0"/>
              <w:right w:val="single" w:color="auto" w:sz="4" w:space="0"/>
            </w:tcBorders>
            <w:vAlign w:val="center"/>
          </w:tcPr>
          <w:p w14:paraId="58136168">
            <w:pPr>
              <w:jc w:val="center"/>
              <w:rPr>
                <w:rFonts w:ascii="Times New Roman" w:hAnsi="Times New Roman" w:cs="Times New Roman"/>
                <w:sz w:val="18"/>
                <w:szCs w:val="18"/>
              </w:rPr>
            </w:pPr>
          </w:p>
        </w:tc>
        <w:tc>
          <w:tcPr>
            <w:tcW w:w="830" w:type="dxa"/>
            <w:vMerge w:val="continue"/>
            <w:tcBorders>
              <w:left w:val="single" w:color="auto" w:sz="4" w:space="0"/>
              <w:bottom w:val="single" w:color="auto" w:sz="4" w:space="0"/>
              <w:right w:val="single" w:color="auto" w:sz="4" w:space="0"/>
            </w:tcBorders>
            <w:vAlign w:val="center"/>
          </w:tcPr>
          <w:p w14:paraId="7A8CAF9D">
            <w:pPr>
              <w:jc w:val="center"/>
              <w:rPr>
                <w:rFonts w:ascii="Times New Roman" w:hAnsi="Times New Roman" w:cs="Times New Roman"/>
                <w:sz w:val="18"/>
                <w:szCs w:val="18"/>
              </w:rPr>
            </w:pPr>
          </w:p>
        </w:tc>
        <w:tc>
          <w:tcPr>
            <w:tcW w:w="425" w:type="dxa"/>
            <w:vMerge w:val="continue"/>
            <w:tcBorders>
              <w:left w:val="single" w:color="auto" w:sz="4" w:space="0"/>
              <w:bottom w:val="single" w:color="auto" w:sz="4" w:space="0"/>
              <w:right w:val="single" w:color="auto" w:sz="4" w:space="0"/>
            </w:tcBorders>
            <w:vAlign w:val="center"/>
          </w:tcPr>
          <w:p w14:paraId="023A1C44">
            <w:pPr>
              <w:jc w:val="center"/>
              <w:rPr>
                <w:rFonts w:ascii="Times New Roman" w:hAnsi="Times New Roman" w:cs="Times New Roman"/>
                <w:sz w:val="18"/>
                <w:szCs w:val="18"/>
              </w:rPr>
            </w:pPr>
          </w:p>
        </w:tc>
        <w:tc>
          <w:tcPr>
            <w:tcW w:w="567" w:type="dxa"/>
            <w:vMerge w:val="continue"/>
            <w:tcBorders>
              <w:left w:val="single" w:color="auto" w:sz="4" w:space="0"/>
              <w:bottom w:val="single" w:color="auto" w:sz="4" w:space="0"/>
              <w:right w:val="single" w:color="auto" w:sz="4" w:space="0"/>
            </w:tcBorders>
            <w:vAlign w:val="center"/>
          </w:tcPr>
          <w:p w14:paraId="0A5B047E">
            <w:pPr>
              <w:jc w:val="center"/>
              <w:rPr>
                <w:rFonts w:ascii="Times New Roman" w:hAnsi="Times New Roman" w:cs="Times New Roman"/>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14:paraId="60C81A8F">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850" w:type="dxa"/>
            <w:tcBorders>
              <w:top w:val="single" w:color="auto" w:sz="4" w:space="0"/>
              <w:left w:val="single" w:color="auto" w:sz="4" w:space="0"/>
              <w:bottom w:val="single" w:color="auto" w:sz="4" w:space="0"/>
              <w:right w:val="single" w:color="auto" w:sz="4" w:space="0"/>
            </w:tcBorders>
            <w:vAlign w:val="center"/>
          </w:tcPr>
          <w:p w14:paraId="77AFC70A">
            <w:pPr>
              <w:jc w:val="center"/>
              <w:rPr>
                <w:rFonts w:ascii="Times New Roman" w:hAnsi="Times New Roman" w:cs="Times New Roman"/>
                <w:sz w:val="18"/>
                <w:szCs w:val="18"/>
              </w:rPr>
            </w:pPr>
            <w:r>
              <w:rPr>
                <w:rFonts w:ascii="Times New Roman" w:hAnsi="Times New Roman" w:cs="Times New Roman"/>
                <w:sz w:val="18"/>
                <w:szCs w:val="18"/>
              </w:rPr>
              <w:t>声源表达量dB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560" w:type="dxa"/>
            <w:tcBorders>
              <w:left w:val="single" w:color="auto" w:sz="4" w:space="0"/>
              <w:bottom w:val="single" w:color="auto" w:sz="4" w:space="0"/>
              <w:right w:val="single" w:color="auto" w:sz="4" w:space="0"/>
            </w:tcBorders>
            <w:vAlign w:val="center"/>
          </w:tcPr>
          <w:p w14:paraId="2D73B927">
            <w:pPr>
              <w:jc w:val="center"/>
              <w:rPr>
                <w:rFonts w:ascii="Times New Roman" w:hAnsi="Times New Roman" w:cs="Times New Roman"/>
                <w:sz w:val="18"/>
                <w:szCs w:val="18"/>
              </w:rPr>
            </w:pPr>
            <w:r>
              <w:rPr>
                <w:rFonts w:ascii="Times New Roman" w:hAnsi="Times New Roman" w:cs="Times New Roman"/>
                <w:sz w:val="18"/>
                <w:szCs w:val="18"/>
              </w:rPr>
              <w:t>工艺</w:t>
            </w:r>
          </w:p>
        </w:tc>
        <w:tc>
          <w:tcPr>
            <w:tcW w:w="425" w:type="dxa"/>
            <w:tcBorders>
              <w:left w:val="single" w:color="auto" w:sz="4" w:space="0"/>
              <w:bottom w:val="single" w:color="auto" w:sz="4" w:space="0"/>
              <w:right w:val="single" w:color="auto" w:sz="4" w:space="0"/>
            </w:tcBorders>
            <w:vAlign w:val="center"/>
          </w:tcPr>
          <w:p w14:paraId="4B92E402">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850" w:type="dxa"/>
            <w:tcBorders>
              <w:left w:val="single" w:color="auto" w:sz="4" w:space="0"/>
              <w:bottom w:val="single" w:color="auto" w:sz="4" w:space="0"/>
              <w:right w:val="single" w:color="auto" w:sz="4" w:space="0"/>
            </w:tcBorders>
            <w:vAlign w:val="center"/>
          </w:tcPr>
          <w:p w14:paraId="5D420E92">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909" w:type="dxa"/>
            <w:tcBorders>
              <w:left w:val="single" w:color="auto" w:sz="4" w:space="0"/>
              <w:bottom w:val="single" w:color="auto" w:sz="4" w:space="0"/>
              <w:right w:val="single" w:color="auto" w:sz="4" w:space="0"/>
            </w:tcBorders>
            <w:vAlign w:val="center"/>
          </w:tcPr>
          <w:p w14:paraId="4A35DBD1">
            <w:pPr>
              <w:jc w:val="center"/>
              <w:rPr>
                <w:rFonts w:ascii="Times New Roman" w:hAnsi="Times New Roman" w:cs="Times New Roman"/>
                <w:sz w:val="18"/>
                <w:szCs w:val="18"/>
              </w:rPr>
            </w:pPr>
            <w:r>
              <w:rPr>
                <w:rFonts w:ascii="Times New Roman" w:hAnsi="Times New Roman" w:cs="Times New Roman"/>
                <w:sz w:val="18"/>
                <w:szCs w:val="18"/>
              </w:rPr>
              <w:t>声源表达量dB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692" w:type="dxa"/>
            <w:vMerge w:val="continue"/>
            <w:tcBorders>
              <w:left w:val="single" w:color="auto" w:sz="4" w:space="0"/>
              <w:bottom w:val="single" w:color="auto" w:sz="4" w:space="0"/>
              <w:right w:val="single" w:color="auto" w:sz="4" w:space="0"/>
            </w:tcBorders>
            <w:vAlign w:val="center"/>
          </w:tcPr>
          <w:p w14:paraId="0F3EC688">
            <w:pPr>
              <w:jc w:val="center"/>
              <w:rPr>
                <w:rFonts w:ascii="Times New Roman" w:hAnsi="Times New Roman" w:cs="Times New Roman"/>
                <w:sz w:val="18"/>
                <w:szCs w:val="18"/>
              </w:rPr>
            </w:pPr>
          </w:p>
        </w:tc>
      </w:tr>
      <w:tr w14:paraId="5AA5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6B62D599">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4</w:t>
            </w:r>
            <w:r>
              <w:rPr>
                <w:rFonts w:ascii="Times New Roman" w:hAnsi="Times New Roman" w:cs="Times New Roman"/>
                <w:sz w:val="18"/>
                <w:szCs w:val="18"/>
                <w:vertAlign w:val="subscript"/>
              </w:rPr>
              <w:t>-1</w:t>
            </w:r>
          </w:p>
        </w:tc>
        <w:tc>
          <w:tcPr>
            <w:tcW w:w="830" w:type="dxa"/>
            <w:tcBorders>
              <w:top w:val="single" w:color="auto" w:sz="4" w:space="0"/>
              <w:left w:val="single" w:color="auto" w:sz="4" w:space="0"/>
              <w:bottom w:val="single" w:color="auto" w:sz="4" w:space="0"/>
              <w:right w:val="single" w:color="auto" w:sz="4" w:space="0"/>
            </w:tcBorders>
            <w:vAlign w:val="center"/>
          </w:tcPr>
          <w:p w14:paraId="49A9316A">
            <w:pPr>
              <w:jc w:val="center"/>
              <w:rPr>
                <w:rFonts w:ascii="Times New Roman" w:hAnsi="Times New Roman" w:cs="Times New Roman"/>
                <w:sz w:val="18"/>
                <w:szCs w:val="18"/>
              </w:rPr>
            </w:pPr>
            <w:r>
              <w:rPr>
                <w:rFonts w:ascii="Times New Roman" w:hAnsi="Times New Roman" w:cs="Times New Roman"/>
                <w:sz w:val="18"/>
                <w:szCs w:val="18"/>
              </w:rPr>
              <w:t>机泵</w:t>
            </w:r>
          </w:p>
        </w:tc>
        <w:tc>
          <w:tcPr>
            <w:tcW w:w="425" w:type="dxa"/>
            <w:tcBorders>
              <w:top w:val="single" w:color="auto" w:sz="4" w:space="0"/>
              <w:left w:val="single" w:color="auto" w:sz="4" w:space="0"/>
              <w:bottom w:val="single" w:color="auto" w:sz="4" w:space="0"/>
              <w:right w:val="single" w:color="auto" w:sz="4" w:space="0"/>
            </w:tcBorders>
            <w:vAlign w:val="center"/>
          </w:tcPr>
          <w:p w14:paraId="7AD97975">
            <w:pPr>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567" w:type="dxa"/>
            <w:tcBorders>
              <w:top w:val="single" w:color="auto" w:sz="4" w:space="0"/>
              <w:left w:val="single" w:color="auto" w:sz="4" w:space="0"/>
              <w:bottom w:val="single" w:color="auto" w:sz="4" w:space="0"/>
              <w:right w:val="single" w:color="auto" w:sz="4" w:space="0"/>
            </w:tcBorders>
            <w:vAlign w:val="center"/>
          </w:tcPr>
          <w:p w14:paraId="0415886D">
            <w:pPr>
              <w:jc w:val="center"/>
              <w:rPr>
                <w:rFonts w:ascii="Times New Roman" w:hAnsi="Times New Roman" w:cs="Times New Roman"/>
                <w:sz w:val="18"/>
                <w:szCs w:val="18"/>
              </w:rPr>
            </w:pPr>
            <w:r>
              <w:rPr>
                <w:rFonts w:ascii="Times New Roman" w:hAnsi="Times New Roman" w:cs="Times New Roman"/>
                <w:sz w:val="18"/>
                <w:szCs w:val="18"/>
              </w:rPr>
              <w:t>连续</w:t>
            </w:r>
          </w:p>
        </w:tc>
        <w:tc>
          <w:tcPr>
            <w:tcW w:w="851" w:type="dxa"/>
            <w:tcBorders>
              <w:top w:val="single" w:color="auto" w:sz="4" w:space="0"/>
              <w:left w:val="single" w:color="auto" w:sz="4" w:space="0"/>
              <w:bottom w:val="single" w:color="auto" w:sz="4" w:space="0"/>
              <w:right w:val="single" w:color="auto" w:sz="4" w:space="0"/>
            </w:tcBorders>
            <w:vAlign w:val="center"/>
          </w:tcPr>
          <w:p w14:paraId="491F6815">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0" w:type="dxa"/>
            <w:tcBorders>
              <w:top w:val="single" w:color="auto" w:sz="4" w:space="0"/>
              <w:left w:val="single" w:color="auto" w:sz="4" w:space="0"/>
              <w:right w:val="single" w:color="auto" w:sz="4" w:space="0"/>
            </w:tcBorders>
            <w:vAlign w:val="center"/>
          </w:tcPr>
          <w:p w14:paraId="54E8C718">
            <w:pPr>
              <w:jc w:val="center"/>
              <w:rPr>
                <w:rFonts w:ascii="Times New Roman" w:hAnsi="Times New Roman" w:cs="Times New Roman"/>
                <w:sz w:val="18"/>
                <w:szCs w:val="18"/>
              </w:rPr>
            </w:pPr>
            <w:r>
              <w:rPr>
                <w:rFonts w:ascii="Times New Roman" w:hAnsi="Times New Roman" w:cs="Times New Roman"/>
                <w:sz w:val="18"/>
                <w:szCs w:val="18"/>
              </w:rPr>
              <w:t>85</w:t>
            </w:r>
          </w:p>
        </w:tc>
        <w:tc>
          <w:tcPr>
            <w:tcW w:w="1560" w:type="dxa"/>
            <w:tcBorders>
              <w:top w:val="single" w:color="auto" w:sz="4" w:space="0"/>
              <w:left w:val="single" w:color="auto" w:sz="4" w:space="0"/>
              <w:bottom w:val="single" w:color="auto" w:sz="4" w:space="0"/>
              <w:right w:val="single" w:color="auto" w:sz="4" w:space="0"/>
            </w:tcBorders>
            <w:vAlign w:val="center"/>
          </w:tcPr>
          <w:p w14:paraId="012AB8EB">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5F04B0A3">
            <w:pPr>
              <w:jc w:val="center"/>
              <w:rPr>
                <w:rFonts w:ascii="Times New Roman" w:hAnsi="Times New Roman" w:cs="Times New Roman"/>
                <w:sz w:val="18"/>
                <w:szCs w:val="18"/>
              </w:rPr>
            </w:pPr>
            <w:r>
              <w:rPr>
                <w:rFonts w:ascii="Times New Roman" w:hAnsi="Times New Roman" w:cs="Times New Roman"/>
                <w:sz w:val="18"/>
                <w:szCs w:val="18"/>
              </w:rPr>
              <w:t>20</w:t>
            </w:r>
          </w:p>
        </w:tc>
        <w:tc>
          <w:tcPr>
            <w:tcW w:w="850" w:type="dxa"/>
            <w:tcBorders>
              <w:top w:val="single" w:color="auto" w:sz="4" w:space="0"/>
              <w:left w:val="single" w:color="auto" w:sz="4" w:space="0"/>
              <w:bottom w:val="single" w:color="auto" w:sz="4" w:space="0"/>
              <w:right w:val="single" w:color="auto" w:sz="4" w:space="0"/>
            </w:tcBorders>
            <w:vAlign w:val="center"/>
          </w:tcPr>
          <w:p w14:paraId="51F94FEE">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909" w:type="dxa"/>
            <w:tcBorders>
              <w:top w:val="single" w:color="auto" w:sz="4" w:space="0"/>
              <w:left w:val="single" w:color="auto" w:sz="4" w:space="0"/>
              <w:bottom w:val="single" w:color="auto" w:sz="4" w:space="0"/>
              <w:right w:val="single" w:color="auto" w:sz="4" w:space="0"/>
            </w:tcBorders>
            <w:vAlign w:val="center"/>
          </w:tcPr>
          <w:p w14:paraId="647C4649">
            <w:pPr>
              <w:jc w:val="center"/>
              <w:rPr>
                <w:rFonts w:ascii="Times New Roman" w:hAnsi="Times New Roman" w:cs="Times New Roman"/>
                <w:sz w:val="18"/>
                <w:szCs w:val="18"/>
              </w:rPr>
            </w:pPr>
            <w:r>
              <w:rPr>
                <w:rFonts w:ascii="Times New Roman" w:hAnsi="Times New Roman" w:cs="Times New Roman"/>
                <w:sz w:val="18"/>
                <w:szCs w:val="18"/>
              </w:rPr>
              <w:t>65</w:t>
            </w:r>
          </w:p>
        </w:tc>
        <w:tc>
          <w:tcPr>
            <w:tcW w:w="692" w:type="dxa"/>
            <w:tcBorders>
              <w:top w:val="single" w:color="auto" w:sz="4" w:space="0"/>
              <w:left w:val="single" w:color="auto" w:sz="4" w:space="0"/>
              <w:bottom w:val="single" w:color="auto" w:sz="4" w:space="0"/>
              <w:right w:val="single" w:color="auto" w:sz="4" w:space="0"/>
            </w:tcBorders>
            <w:vAlign w:val="center"/>
          </w:tcPr>
          <w:p w14:paraId="0EA13CC8">
            <w:pPr>
              <w:jc w:val="center"/>
              <w:rPr>
                <w:rFonts w:ascii="Times New Roman" w:hAnsi="Times New Roman" w:cs="Times New Roman"/>
                <w:sz w:val="18"/>
                <w:szCs w:val="18"/>
              </w:rPr>
            </w:pPr>
            <w:r>
              <w:rPr>
                <w:rFonts w:ascii="Times New Roman" w:hAnsi="Times New Roman" w:cs="Times New Roman"/>
                <w:sz w:val="18"/>
                <w:szCs w:val="18"/>
              </w:rPr>
              <w:t>8000</w:t>
            </w:r>
          </w:p>
        </w:tc>
      </w:tr>
      <w:tr w14:paraId="264E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1BE420A9">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4</w:t>
            </w:r>
            <w:r>
              <w:rPr>
                <w:rFonts w:ascii="Times New Roman" w:hAnsi="Times New Roman" w:cs="Times New Roman"/>
                <w:sz w:val="18"/>
                <w:szCs w:val="18"/>
                <w:vertAlign w:val="subscript"/>
              </w:rPr>
              <w:t>-2</w:t>
            </w:r>
          </w:p>
        </w:tc>
        <w:tc>
          <w:tcPr>
            <w:tcW w:w="830" w:type="dxa"/>
            <w:tcBorders>
              <w:top w:val="single" w:color="auto" w:sz="4" w:space="0"/>
              <w:left w:val="single" w:color="auto" w:sz="4" w:space="0"/>
              <w:bottom w:val="single" w:color="auto" w:sz="4" w:space="0"/>
              <w:right w:val="single" w:color="auto" w:sz="4" w:space="0"/>
            </w:tcBorders>
            <w:vAlign w:val="center"/>
          </w:tcPr>
          <w:p w14:paraId="19C5B15D">
            <w:pPr>
              <w:jc w:val="center"/>
              <w:rPr>
                <w:rFonts w:ascii="Times New Roman" w:hAnsi="Times New Roman" w:cs="Times New Roman"/>
                <w:sz w:val="18"/>
                <w:szCs w:val="18"/>
              </w:rPr>
            </w:pPr>
            <w:r>
              <w:rPr>
                <w:rFonts w:ascii="Times New Roman" w:hAnsi="Times New Roman" w:cs="Times New Roman"/>
                <w:sz w:val="18"/>
                <w:szCs w:val="18"/>
              </w:rPr>
              <w:t>压缩机</w:t>
            </w:r>
          </w:p>
        </w:tc>
        <w:tc>
          <w:tcPr>
            <w:tcW w:w="425" w:type="dxa"/>
            <w:tcBorders>
              <w:top w:val="single" w:color="auto" w:sz="4" w:space="0"/>
              <w:left w:val="single" w:color="auto" w:sz="4" w:space="0"/>
              <w:bottom w:val="single" w:color="auto" w:sz="4" w:space="0"/>
              <w:right w:val="single" w:color="auto" w:sz="4" w:space="0"/>
            </w:tcBorders>
            <w:vAlign w:val="center"/>
          </w:tcPr>
          <w:p w14:paraId="5031F894">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567" w:type="dxa"/>
            <w:tcBorders>
              <w:top w:val="single" w:color="auto" w:sz="4" w:space="0"/>
              <w:left w:val="single" w:color="auto" w:sz="4" w:space="0"/>
              <w:bottom w:val="single" w:color="auto" w:sz="4" w:space="0"/>
              <w:right w:val="single" w:color="auto" w:sz="4" w:space="0"/>
            </w:tcBorders>
            <w:vAlign w:val="center"/>
          </w:tcPr>
          <w:p w14:paraId="281A1DA9">
            <w:pPr>
              <w:jc w:val="center"/>
              <w:rPr>
                <w:rFonts w:ascii="Times New Roman" w:hAnsi="Times New Roman" w:cs="Times New Roman"/>
                <w:sz w:val="18"/>
                <w:szCs w:val="18"/>
              </w:rPr>
            </w:pPr>
            <w:r>
              <w:rPr>
                <w:rFonts w:ascii="Times New Roman" w:hAnsi="Times New Roman" w:cs="Times New Roman"/>
                <w:sz w:val="18"/>
                <w:szCs w:val="18"/>
              </w:rPr>
              <w:t>连续</w:t>
            </w:r>
          </w:p>
        </w:tc>
        <w:tc>
          <w:tcPr>
            <w:tcW w:w="851" w:type="dxa"/>
            <w:tcBorders>
              <w:top w:val="single" w:color="auto" w:sz="4" w:space="0"/>
              <w:left w:val="single" w:color="auto" w:sz="4" w:space="0"/>
              <w:bottom w:val="single" w:color="auto" w:sz="4" w:space="0"/>
              <w:right w:val="single" w:color="auto" w:sz="4" w:space="0"/>
            </w:tcBorders>
            <w:vAlign w:val="center"/>
          </w:tcPr>
          <w:p w14:paraId="0CF09259">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850" w:type="dxa"/>
            <w:tcBorders>
              <w:left w:val="single" w:color="auto" w:sz="4" w:space="0"/>
              <w:right w:val="single" w:color="auto" w:sz="4" w:space="0"/>
            </w:tcBorders>
            <w:vAlign w:val="center"/>
          </w:tcPr>
          <w:p w14:paraId="042B0B6B">
            <w:pPr>
              <w:jc w:val="center"/>
              <w:rPr>
                <w:rFonts w:ascii="Times New Roman" w:hAnsi="Times New Roman" w:cs="Times New Roman"/>
                <w:sz w:val="18"/>
                <w:szCs w:val="18"/>
              </w:rPr>
            </w:pPr>
            <w:r>
              <w:rPr>
                <w:rFonts w:ascii="Times New Roman" w:hAnsi="Times New Roman" w:cs="Times New Roman"/>
                <w:sz w:val="18"/>
                <w:szCs w:val="18"/>
              </w:rPr>
              <w:t>90</w:t>
            </w:r>
          </w:p>
        </w:tc>
        <w:tc>
          <w:tcPr>
            <w:tcW w:w="1560" w:type="dxa"/>
            <w:tcBorders>
              <w:top w:val="single" w:color="auto" w:sz="4" w:space="0"/>
              <w:left w:val="single" w:color="auto" w:sz="4" w:space="0"/>
              <w:bottom w:val="single" w:color="auto" w:sz="4" w:space="0"/>
              <w:right w:val="single" w:color="auto" w:sz="4" w:space="0"/>
            </w:tcBorders>
            <w:vAlign w:val="center"/>
          </w:tcPr>
          <w:p w14:paraId="0261CC5C">
            <w:pPr>
              <w:jc w:val="center"/>
              <w:rPr>
                <w:rFonts w:ascii="Times New Roman" w:hAnsi="Times New Roman" w:cs="Times New Roman"/>
                <w:sz w:val="18"/>
                <w:szCs w:val="18"/>
              </w:rPr>
            </w:pPr>
            <w:r>
              <w:rPr>
                <w:rFonts w:hint="eastAsia" w:ascii="Times New Roman" w:hAnsi="Times New Roman" w:cs="Times New Roman"/>
                <w:sz w:val="18"/>
                <w:szCs w:val="18"/>
              </w:rPr>
              <w:t>隔声、减震</w:t>
            </w:r>
          </w:p>
        </w:tc>
        <w:tc>
          <w:tcPr>
            <w:tcW w:w="425" w:type="dxa"/>
            <w:tcBorders>
              <w:left w:val="single" w:color="auto" w:sz="4" w:space="0"/>
              <w:right w:val="single" w:color="auto" w:sz="4" w:space="0"/>
            </w:tcBorders>
            <w:vAlign w:val="center"/>
          </w:tcPr>
          <w:p w14:paraId="7CE999A5">
            <w:pPr>
              <w:jc w:val="center"/>
              <w:rPr>
                <w:rFonts w:ascii="Times New Roman" w:hAnsi="Times New Roman" w:cs="Times New Roman"/>
                <w:sz w:val="18"/>
                <w:szCs w:val="18"/>
              </w:rPr>
            </w:pPr>
            <w:r>
              <w:rPr>
                <w:rFonts w:ascii="Times New Roman" w:hAnsi="Times New Roman" w:cs="Times New Roman"/>
                <w:sz w:val="18"/>
                <w:szCs w:val="18"/>
              </w:rPr>
              <w:t>20</w:t>
            </w:r>
          </w:p>
        </w:tc>
        <w:tc>
          <w:tcPr>
            <w:tcW w:w="850" w:type="dxa"/>
            <w:tcBorders>
              <w:top w:val="single" w:color="auto" w:sz="4" w:space="0"/>
              <w:left w:val="single" w:color="auto" w:sz="4" w:space="0"/>
              <w:bottom w:val="single" w:color="auto" w:sz="4" w:space="0"/>
              <w:right w:val="single" w:color="auto" w:sz="4" w:space="0"/>
            </w:tcBorders>
            <w:vAlign w:val="center"/>
          </w:tcPr>
          <w:p w14:paraId="28B83FF0">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909" w:type="dxa"/>
            <w:tcBorders>
              <w:top w:val="single" w:color="auto" w:sz="4" w:space="0"/>
              <w:left w:val="single" w:color="auto" w:sz="4" w:space="0"/>
              <w:bottom w:val="single" w:color="auto" w:sz="4" w:space="0"/>
              <w:right w:val="single" w:color="auto" w:sz="4" w:space="0"/>
            </w:tcBorders>
            <w:vAlign w:val="center"/>
          </w:tcPr>
          <w:p w14:paraId="3F79A172">
            <w:pPr>
              <w:jc w:val="center"/>
              <w:rPr>
                <w:rFonts w:ascii="Times New Roman" w:hAnsi="Times New Roman" w:cs="Times New Roman"/>
                <w:sz w:val="18"/>
                <w:szCs w:val="18"/>
              </w:rPr>
            </w:pPr>
            <w:r>
              <w:rPr>
                <w:rFonts w:ascii="Times New Roman" w:hAnsi="Times New Roman" w:cs="Times New Roman"/>
                <w:sz w:val="18"/>
                <w:szCs w:val="18"/>
              </w:rPr>
              <w:t>70</w:t>
            </w:r>
          </w:p>
        </w:tc>
        <w:tc>
          <w:tcPr>
            <w:tcW w:w="692" w:type="dxa"/>
            <w:tcBorders>
              <w:top w:val="single" w:color="auto" w:sz="4" w:space="0"/>
              <w:left w:val="single" w:color="auto" w:sz="4" w:space="0"/>
              <w:bottom w:val="single" w:color="auto" w:sz="4" w:space="0"/>
              <w:right w:val="single" w:color="auto" w:sz="4" w:space="0"/>
            </w:tcBorders>
            <w:vAlign w:val="center"/>
          </w:tcPr>
          <w:p w14:paraId="3833624A">
            <w:pPr>
              <w:jc w:val="center"/>
              <w:rPr>
                <w:rFonts w:ascii="Times New Roman" w:hAnsi="Times New Roman" w:cs="Times New Roman"/>
                <w:sz w:val="18"/>
                <w:szCs w:val="18"/>
              </w:rPr>
            </w:pPr>
            <w:r>
              <w:rPr>
                <w:rFonts w:ascii="Times New Roman" w:hAnsi="Times New Roman" w:cs="Times New Roman"/>
                <w:sz w:val="18"/>
                <w:szCs w:val="18"/>
              </w:rPr>
              <w:t>8000</w:t>
            </w:r>
          </w:p>
        </w:tc>
      </w:tr>
    </w:tbl>
    <w:p w14:paraId="2C0A8574">
      <w:pPr>
        <w:pStyle w:val="814"/>
        <w:rPr>
          <w:rFonts w:hint="eastAsia"/>
        </w:rPr>
      </w:pPr>
      <w:r>
        <w:rPr>
          <w:rFonts w:hint="eastAsia"/>
        </w:rPr>
        <w:t>固废</w:t>
      </w:r>
    </w:p>
    <w:p w14:paraId="2AAE75E7">
      <w:pPr>
        <w:pStyle w:val="128"/>
        <w:rPr>
          <w:rFonts w:hint="eastAsia"/>
        </w:rPr>
      </w:pPr>
      <w:r>
        <w:rPr>
          <w:rFonts w:hint="eastAsia"/>
        </w:rPr>
        <w:t>合成氨装置固体废物产生及排放情况见表3.2.5-7。</w:t>
      </w:r>
    </w:p>
    <w:p w14:paraId="01EDF2B1">
      <w:pPr>
        <w:pStyle w:val="540"/>
        <w:rPr>
          <w:rFonts w:hint="eastAsia"/>
          <w:color w:val="auto"/>
        </w:rPr>
      </w:pPr>
      <w:r>
        <w:rPr>
          <w:rFonts w:hint="eastAsia"/>
          <w:color w:val="auto"/>
        </w:rPr>
        <w:t>表3.2.5-7</w:t>
      </w:r>
      <w:r>
        <w:rPr>
          <w:color w:val="auto"/>
        </w:rPr>
        <w:t xml:space="preserve">    </w:t>
      </w:r>
      <w:r>
        <w:rPr>
          <w:rFonts w:hint="eastAsia"/>
        </w:rPr>
        <w:t>合成氨装置</w:t>
      </w:r>
      <w:r>
        <w:rPr>
          <w:rFonts w:hint="eastAsia"/>
          <w:color w:val="auto"/>
        </w:rPr>
        <w:t>固体废物产生及排放情况表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
        <w:gridCol w:w="1381"/>
        <w:gridCol w:w="1992"/>
        <w:gridCol w:w="1034"/>
        <w:gridCol w:w="1625"/>
        <w:gridCol w:w="941"/>
        <w:gridCol w:w="1067"/>
      </w:tblGrid>
      <w:tr w14:paraId="0547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14:paraId="208426A0">
            <w:pPr>
              <w:pStyle w:val="190"/>
              <w:rPr>
                <w:rFonts w:ascii="Times New Roman" w:hAnsi="Times New Roman" w:cs="Times New Roman"/>
                <w:kern w:val="2"/>
                <w:szCs w:val="18"/>
              </w:rPr>
            </w:pPr>
            <w:r>
              <w:rPr>
                <w:rFonts w:ascii="Times New Roman" w:hAnsi="Times New Roman" w:cs="Times New Roman"/>
                <w:kern w:val="2"/>
                <w:szCs w:val="18"/>
              </w:rPr>
              <w:t>序号</w:t>
            </w:r>
          </w:p>
        </w:tc>
        <w:tc>
          <w:tcPr>
            <w:tcW w:w="1381" w:type="dxa"/>
            <w:tcBorders>
              <w:top w:val="single" w:color="auto" w:sz="4" w:space="0"/>
              <w:left w:val="single" w:color="auto" w:sz="4" w:space="0"/>
              <w:bottom w:val="single" w:color="auto" w:sz="4" w:space="0"/>
              <w:right w:val="single" w:color="auto" w:sz="4" w:space="0"/>
            </w:tcBorders>
            <w:vAlign w:val="center"/>
          </w:tcPr>
          <w:p w14:paraId="08CA960E">
            <w:pPr>
              <w:pStyle w:val="190"/>
              <w:rPr>
                <w:rFonts w:ascii="Times New Roman" w:hAnsi="Times New Roman" w:cs="Times New Roman"/>
                <w:kern w:val="2"/>
                <w:szCs w:val="18"/>
              </w:rPr>
            </w:pPr>
            <w:r>
              <w:rPr>
                <w:rFonts w:ascii="Times New Roman" w:hAnsi="Times New Roman" w:cs="Times New Roman"/>
                <w:kern w:val="2"/>
                <w:szCs w:val="18"/>
              </w:rPr>
              <w:t>废渣名称及来源</w:t>
            </w:r>
          </w:p>
        </w:tc>
        <w:tc>
          <w:tcPr>
            <w:tcW w:w="1992" w:type="dxa"/>
            <w:tcBorders>
              <w:top w:val="single" w:color="auto" w:sz="4" w:space="0"/>
              <w:left w:val="single" w:color="auto" w:sz="4" w:space="0"/>
              <w:bottom w:val="single" w:color="auto" w:sz="4" w:space="0"/>
              <w:right w:val="single" w:color="auto" w:sz="4" w:space="0"/>
            </w:tcBorders>
            <w:vAlign w:val="center"/>
          </w:tcPr>
          <w:p w14:paraId="5EEB5DF7">
            <w:pPr>
              <w:pStyle w:val="190"/>
              <w:rPr>
                <w:rFonts w:ascii="Times New Roman" w:hAnsi="Times New Roman" w:cs="Times New Roman"/>
                <w:kern w:val="2"/>
                <w:szCs w:val="18"/>
              </w:rPr>
            </w:pPr>
            <w:r>
              <w:rPr>
                <w:rFonts w:ascii="Times New Roman" w:hAnsi="Times New Roman" w:cs="Times New Roman"/>
                <w:kern w:val="2"/>
                <w:szCs w:val="18"/>
              </w:rPr>
              <w:t>组成及特性</w:t>
            </w:r>
          </w:p>
        </w:tc>
        <w:tc>
          <w:tcPr>
            <w:tcW w:w="1034" w:type="dxa"/>
            <w:tcBorders>
              <w:top w:val="single" w:color="auto" w:sz="4" w:space="0"/>
              <w:left w:val="single" w:color="auto" w:sz="4" w:space="0"/>
              <w:bottom w:val="single" w:color="auto" w:sz="4" w:space="0"/>
              <w:right w:val="single" w:color="auto" w:sz="4" w:space="0"/>
            </w:tcBorders>
            <w:vAlign w:val="center"/>
          </w:tcPr>
          <w:p w14:paraId="0680C67E">
            <w:pPr>
              <w:pStyle w:val="190"/>
              <w:rPr>
                <w:rFonts w:ascii="Times New Roman" w:hAnsi="Times New Roman" w:cs="Times New Roman"/>
                <w:kern w:val="2"/>
                <w:szCs w:val="18"/>
              </w:rPr>
            </w:pPr>
            <w:r>
              <w:rPr>
                <w:rFonts w:ascii="Times New Roman" w:hAnsi="Times New Roman" w:cs="Times New Roman"/>
                <w:kern w:val="2"/>
                <w:szCs w:val="18"/>
              </w:rPr>
              <w:t>属性</w:t>
            </w:r>
          </w:p>
        </w:tc>
        <w:tc>
          <w:tcPr>
            <w:tcW w:w="1625" w:type="dxa"/>
            <w:tcBorders>
              <w:top w:val="single" w:color="auto" w:sz="4" w:space="0"/>
              <w:left w:val="single" w:color="auto" w:sz="4" w:space="0"/>
              <w:bottom w:val="single" w:color="auto" w:sz="4" w:space="0"/>
              <w:right w:val="single" w:color="auto" w:sz="4" w:space="0"/>
            </w:tcBorders>
            <w:vAlign w:val="center"/>
          </w:tcPr>
          <w:p w14:paraId="154B899F">
            <w:pPr>
              <w:pStyle w:val="190"/>
              <w:rPr>
                <w:rFonts w:ascii="Times New Roman" w:hAnsi="Times New Roman" w:cs="Times New Roman"/>
                <w:kern w:val="2"/>
                <w:szCs w:val="18"/>
              </w:rPr>
            </w:pPr>
            <w:r>
              <w:rPr>
                <w:rFonts w:ascii="Times New Roman" w:hAnsi="Times New Roman" w:cs="Times New Roman"/>
                <w:kern w:val="2"/>
                <w:szCs w:val="18"/>
              </w:rPr>
              <w:t>固废代码</w:t>
            </w:r>
          </w:p>
        </w:tc>
        <w:tc>
          <w:tcPr>
            <w:tcW w:w="941" w:type="dxa"/>
            <w:tcBorders>
              <w:top w:val="single" w:color="auto" w:sz="4" w:space="0"/>
              <w:left w:val="single" w:color="auto" w:sz="4" w:space="0"/>
              <w:bottom w:val="single" w:color="auto" w:sz="4" w:space="0"/>
              <w:right w:val="single" w:color="auto" w:sz="4" w:space="0"/>
            </w:tcBorders>
            <w:vAlign w:val="center"/>
          </w:tcPr>
          <w:p w14:paraId="0DEB54EF">
            <w:pPr>
              <w:pStyle w:val="190"/>
              <w:rPr>
                <w:rFonts w:ascii="Times New Roman" w:hAnsi="Times New Roman" w:cs="Times New Roman"/>
                <w:kern w:val="2"/>
                <w:szCs w:val="18"/>
              </w:rPr>
            </w:pPr>
            <w:r>
              <w:rPr>
                <w:rFonts w:ascii="Times New Roman" w:hAnsi="Times New Roman" w:cs="Times New Roman"/>
                <w:kern w:val="2"/>
                <w:szCs w:val="18"/>
              </w:rPr>
              <w:t>产生量</w:t>
            </w:r>
          </w:p>
        </w:tc>
        <w:tc>
          <w:tcPr>
            <w:tcW w:w="1067" w:type="dxa"/>
            <w:tcBorders>
              <w:top w:val="single" w:color="auto" w:sz="4" w:space="0"/>
              <w:left w:val="single" w:color="auto" w:sz="4" w:space="0"/>
              <w:bottom w:val="single" w:color="auto" w:sz="4" w:space="0"/>
              <w:right w:val="single" w:color="auto" w:sz="4" w:space="0"/>
            </w:tcBorders>
            <w:vAlign w:val="center"/>
          </w:tcPr>
          <w:p w14:paraId="182602D5">
            <w:pPr>
              <w:pStyle w:val="190"/>
              <w:rPr>
                <w:rFonts w:ascii="Times New Roman" w:hAnsi="Times New Roman" w:cs="Times New Roman"/>
                <w:kern w:val="2"/>
                <w:szCs w:val="18"/>
              </w:rPr>
            </w:pPr>
            <w:r>
              <w:rPr>
                <w:rFonts w:ascii="Times New Roman" w:hAnsi="Times New Roman" w:cs="Times New Roman"/>
                <w:kern w:val="2"/>
                <w:szCs w:val="18"/>
              </w:rPr>
              <w:t>治理措施</w:t>
            </w:r>
          </w:p>
        </w:tc>
      </w:tr>
      <w:tr w14:paraId="0DFF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14:paraId="2030B851">
            <w:pPr>
              <w:pStyle w:val="190"/>
              <w:rPr>
                <w:rFonts w:ascii="Times New Roman" w:hAnsi="Times New Roman" w:cs="Times New Roman"/>
                <w:kern w:val="2"/>
                <w:szCs w:val="18"/>
              </w:rPr>
            </w:pPr>
            <w:r>
              <w:rPr>
                <w:rFonts w:ascii="Times New Roman" w:hAnsi="Times New Roman" w:cs="Times New Roman"/>
                <w:szCs w:val="18"/>
              </w:rPr>
              <w:t>S</w:t>
            </w:r>
            <w:r>
              <w:rPr>
                <w:rFonts w:hint="eastAsia" w:ascii="Times New Roman" w:hAnsi="Times New Roman" w:cs="Times New Roman"/>
                <w:szCs w:val="18"/>
                <w:vertAlign w:val="subscript"/>
              </w:rPr>
              <w:t>4</w:t>
            </w:r>
            <w:r>
              <w:rPr>
                <w:rFonts w:ascii="Times New Roman" w:hAnsi="Times New Roman" w:cs="Times New Roman"/>
                <w:szCs w:val="18"/>
                <w:vertAlign w:val="subscript"/>
              </w:rPr>
              <w:t>-1</w:t>
            </w:r>
          </w:p>
        </w:tc>
        <w:tc>
          <w:tcPr>
            <w:tcW w:w="1381" w:type="dxa"/>
            <w:tcBorders>
              <w:top w:val="single" w:color="auto" w:sz="4" w:space="0"/>
              <w:left w:val="single" w:color="auto" w:sz="4" w:space="0"/>
              <w:bottom w:val="single" w:color="auto" w:sz="4" w:space="0"/>
              <w:right w:val="single" w:color="auto" w:sz="4" w:space="0"/>
            </w:tcBorders>
            <w:vAlign w:val="center"/>
          </w:tcPr>
          <w:p w14:paraId="081BAE4E">
            <w:pPr>
              <w:pStyle w:val="190"/>
              <w:rPr>
                <w:rFonts w:ascii="Times New Roman" w:hAnsi="Times New Roman" w:cs="Times New Roman"/>
                <w:kern w:val="2"/>
                <w:szCs w:val="18"/>
              </w:rPr>
            </w:pPr>
            <w:r>
              <w:rPr>
                <w:rFonts w:ascii="Times New Roman" w:hAnsi="Times New Roman" w:cs="Times New Roman"/>
                <w:color w:val="000000" w:themeColor="text1"/>
                <w:szCs w:val="18"/>
                <w14:textFill>
                  <w14:solidFill>
                    <w14:schemeClr w14:val="tx1"/>
                  </w14:solidFill>
                </w14:textFill>
              </w:rPr>
              <w:t>废氨合成催化剂</w:t>
            </w:r>
          </w:p>
        </w:tc>
        <w:tc>
          <w:tcPr>
            <w:tcW w:w="1992" w:type="dxa"/>
            <w:tcBorders>
              <w:top w:val="single" w:color="auto" w:sz="4" w:space="0"/>
              <w:left w:val="single" w:color="auto" w:sz="4" w:space="0"/>
              <w:bottom w:val="single" w:color="auto" w:sz="4" w:space="0"/>
              <w:right w:val="single" w:color="auto" w:sz="4" w:space="0"/>
            </w:tcBorders>
            <w:vAlign w:val="center"/>
          </w:tcPr>
          <w:p w14:paraId="28FAA6A0">
            <w:pPr>
              <w:pStyle w:val="190"/>
              <w:rPr>
                <w:rFonts w:ascii="Times New Roman" w:hAnsi="Times New Roman" w:cs="Times New Roman"/>
                <w:kern w:val="2"/>
                <w:szCs w:val="18"/>
              </w:rPr>
            </w:pPr>
            <w:r>
              <w:rPr>
                <w:rFonts w:hint="eastAsia" w:ascii="Times New Roman" w:hAnsi="Times New Roman" w:cs="Times New Roman"/>
              </w:rPr>
              <w:t>氧化铁、氧化铝等</w:t>
            </w:r>
          </w:p>
        </w:tc>
        <w:tc>
          <w:tcPr>
            <w:tcW w:w="1034" w:type="dxa"/>
            <w:tcBorders>
              <w:top w:val="single" w:color="auto" w:sz="4" w:space="0"/>
              <w:left w:val="single" w:color="auto" w:sz="4" w:space="0"/>
              <w:bottom w:val="single" w:color="auto" w:sz="4" w:space="0"/>
              <w:right w:val="single" w:color="auto" w:sz="4" w:space="0"/>
            </w:tcBorders>
            <w:vAlign w:val="center"/>
          </w:tcPr>
          <w:p w14:paraId="32D71C1F">
            <w:pPr>
              <w:pStyle w:val="190"/>
              <w:rPr>
                <w:rFonts w:ascii="Times New Roman" w:hAnsi="Times New Roman" w:cs="Times New Roman"/>
                <w:kern w:val="2"/>
                <w:szCs w:val="18"/>
              </w:rPr>
            </w:pPr>
            <w:r>
              <w:rPr>
                <w:rFonts w:ascii="Times New Roman" w:hAnsi="Times New Roman" w:cs="Times New Roman"/>
                <w:kern w:val="2"/>
                <w:szCs w:val="18"/>
              </w:rPr>
              <w:t>危险废物</w:t>
            </w:r>
          </w:p>
        </w:tc>
        <w:tc>
          <w:tcPr>
            <w:tcW w:w="1625" w:type="dxa"/>
            <w:tcBorders>
              <w:top w:val="single" w:color="auto" w:sz="4" w:space="0"/>
              <w:left w:val="single" w:color="auto" w:sz="4" w:space="0"/>
              <w:bottom w:val="single" w:color="auto" w:sz="4" w:space="0"/>
              <w:right w:val="single" w:color="auto" w:sz="4" w:space="0"/>
            </w:tcBorders>
            <w:vAlign w:val="center"/>
          </w:tcPr>
          <w:p w14:paraId="015E9C7E">
            <w:pPr>
              <w:jc w:val="center"/>
              <w:rPr>
                <w:rFonts w:ascii="Times New Roman" w:hAnsi="Times New Roman" w:cs="Times New Roman"/>
                <w:sz w:val="18"/>
                <w:szCs w:val="18"/>
              </w:rPr>
            </w:pPr>
            <w:r>
              <w:rPr>
                <w:rFonts w:ascii="Times New Roman" w:hAnsi="Times New Roman" w:cs="Times New Roman"/>
                <w:sz w:val="18"/>
                <w:szCs w:val="18"/>
              </w:rPr>
              <w:t xml:space="preserve">HW50 </w:t>
            </w:r>
            <w:r>
              <w:rPr>
                <w:rFonts w:ascii="Times New Roman" w:hAnsi="Times New Roman" w:cs="Times New Roman"/>
                <w:color w:val="000000"/>
                <w:sz w:val="18"/>
                <w:szCs w:val="18"/>
              </w:rPr>
              <w:t>261-164-50</w:t>
            </w:r>
          </w:p>
        </w:tc>
        <w:tc>
          <w:tcPr>
            <w:tcW w:w="941" w:type="dxa"/>
            <w:tcBorders>
              <w:top w:val="single" w:color="auto" w:sz="4" w:space="0"/>
              <w:left w:val="single" w:color="auto" w:sz="4" w:space="0"/>
              <w:bottom w:val="single" w:color="auto" w:sz="4" w:space="0"/>
              <w:right w:val="single" w:color="auto" w:sz="4" w:space="0"/>
            </w:tcBorders>
            <w:vAlign w:val="center"/>
          </w:tcPr>
          <w:p w14:paraId="25A64F56">
            <w:pPr>
              <w:pStyle w:val="190"/>
              <w:rPr>
                <w:rFonts w:ascii="Times New Roman" w:hAnsi="Times New Roman" w:cs="Times New Roman"/>
                <w:kern w:val="2"/>
                <w:szCs w:val="18"/>
              </w:rPr>
            </w:pPr>
            <w:r>
              <w:rPr>
                <w:rFonts w:hint="eastAsia" w:ascii="Times New Roman" w:hAnsi="Times New Roman" w:cs="Times New Roman"/>
                <w:kern w:val="2"/>
                <w:szCs w:val="18"/>
              </w:rPr>
              <w:t>123t</w:t>
            </w:r>
            <w:r>
              <w:rPr>
                <w:rFonts w:ascii="Times New Roman" w:hAnsi="Times New Roman" w:cs="Times New Roman"/>
                <w:kern w:val="2"/>
                <w:szCs w:val="18"/>
              </w:rPr>
              <w:t>/</w:t>
            </w:r>
            <w:r>
              <w:rPr>
                <w:rFonts w:hint="eastAsia" w:ascii="Times New Roman" w:hAnsi="Times New Roman" w:cs="Times New Roman"/>
                <w:kern w:val="2"/>
                <w:szCs w:val="18"/>
              </w:rPr>
              <w:t>8</w:t>
            </w:r>
            <w:r>
              <w:rPr>
                <w:rFonts w:ascii="Times New Roman" w:hAnsi="Times New Roman" w:cs="Times New Roman"/>
                <w:kern w:val="2"/>
                <w:szCs w:val="18"/>
              </w:rPr>
              <w:t>a</w:t>
            </w:r>
          </w:p>
        </w:tc>
        <w:tc>
          <w:tcPr>
            <w:tcW w:w="1067" w:type="dxa"/>
            <w:tcBorders>
              <w:top w:val="single" w:color="auto" w:sz="4" w:space="0"/>
              <w:left w:val="single" w:color="auto" w:sz="4" w:space="0"/>
              <w:right w:val="single" w:color="auto" w:sz="4" w:space="0"/>
            </w:tcBorders>
            <w:vAlign w:val="center"/>
          </w:tcPr>
          <w:p w14:paraId="783E6D9B">
            <w:pPr>
              <w:pStyle w:val="190"/>
              <w:rPr>
                <w:rFonts w:ascii="Times New Roman" w:hAnsi="Times New Roman" w:cs="Times New Roman"/>
                <w:kern w:val="2"/>
                <w:szCs w:val="18"/>
              </w:rPr>
            </w:pPr>
            <w:r>
              <w:rPr>
                <w:rFonts w:ascii="Times New Roman" w:hAnsi="Times New Roman" w:cs="Times New Roman"/>
                <w:kern w:val="2"/>
                <w:szCs w:val="18"/>
              </w:rPr>
              <w:t>交有危险废物处置资质单位处理</w:t>
            </w:r>
          </w:p>
        </w:tc>
      </w:tr>
    </w:tbl>
    <w:p w14:paraId="2AEAA43C">
      <w:pPr>
        <w:pStyle w:val="557"/>
      </w:pPr>
    </w:p>
    <w:bookmarkEnd w:id="169"/>
    <w:p w14:paraId="06AB4B58">
      <w:pPr>
        <w:pStyle w:val="97"/>
        <w:rPr>
          <w:rFonts w:hint="eastAsia"/>
        </w:rPr>
      </w:pPr>
      <w:r>
        <w:rPr>
          <w:rFonts w:hint="eastAsia" w:ascii="Times New Roman" w:hAnsi="Times New Roman"/>
        </w:rPr>
        <w:t>DMO（草酸二甲酯）装置</w:t>
      </w:r>
      <w:r>
        <w:rPr>
          <w:rFonts w:hint="eastAsia"/>
        </w:rPr>
        <w:t>（编号0</w:t>
      </w:r>
      <w:r>
        <w:t>5</w:t>
      </w:r>
      <w:r>
        <w:rPr>
          <w:rFonts w:hint="eastAsia"/>
        </w:rPr>
        <w:t>）</w:t>
      </w:r>
    </w:p>
    <w:p w14:paraId="747635A0">
      <w:pPr>
        <w:pStyle w:val="98"/>
        <w:rPr>
          <w:rFonts w:hint="eastAsia"/>
        </w:rPr>
      </w:pPr>
      <w:r>
        <w:rPr>
          <w:rFonts w:hint="eastAsia"/>
        </w:rPr>
        <w:t>装置概述</w:t>
      </w:r>
    </w:p>
    <w:p w14:paraId="75F41FFA">
      <w:pPr>
        <w:pStyle w:val="281"/>
        <w:ind w:firstLine="480"/>
      </w:pPr>
      <w:r>
        <w:rPr>
          <w:rFonts w:hint="eastAsia"/>
          <w:kern w:val="2"/>
        </w:rPr>
        <w:t>本项目</w:t>
      </w:r>
      <w:r>
        <w:rPr>
          <w:rFonts w:hint="eastAsia"/>
        </w:rPr>
        <w:t>设置1套</w:t>
      </w:r>
      <w:r>
        <w:rPr>
          <w:rFonts w:hint="eastAsia"/>
          <w:kern w:val="2"/>
        </w:rPr>
        <w:t>DMO</w:t>
      </w:r>
      <w:r>
        <w:rPr>
          <w:kern w:val="2"/>
        </w:rPr>
        <w:t>装置</w:t>
      </w:r>
      <w:r>
        <w:rPr>
          <w:rFonts w:hint="eastAsia"/>
        </w:rPr>
        <w:t>，生产草酸二甲酯，装置设计规模为66.2万吨/年。</w:t>
      </w:r>
      <w:r>
        <w:rPr>
          <w:rFonts w:cs="Times New Roman"/>
        </w:rPr>
        <w:t>本装置主要包括：氮氧化物制备单元、酯化及酯化分离单元、羰化及羰化分离单元、尾气处理单元及公用工程单元。</w:t>
      </w:r>
    </w:p>
    <w:p w14:paraId="317BA68B">
      <w:pPr>
        <w:pStyle w:val="281"/>
        <w:ind w:firstLine="480"/>
      </w:pPr>
      <w:r>
        <w:t>操作弹性：60-1</w:t>
      </w:r>
      <w:r>
        <w:rPr>
          <w:rFonts w:hint="eastAsia"/>
        </w:rPr>
        <w:t>0</w:t>
      </w:r>
      <w:r>
        <w:t>0%</w:t>
      </w:r>
    </w:p>
    <w:p w14:paraId="6FB0EB8C">
      <w:pPr>
        <w:pStyle w:val="281"/>
        <w:ind w:firstLine="480"/>
      </w:pPr>
      <w:r>
        <w:t>年开工时间：8000h。</w:t>
      </w:r>
    </w:p>
    <w:p w14:paraId="71495DE1">
      <w:pPr>
        <w:pStyle w:val="98"/>
        <w:rPr>
          <w:rFonts w:hint="eastAsia"/>
        </w:rPr>
      </w:pPr>
      <w:r>
        <w:rPr>
          <w:rFonts w:hint="eastAsia"/>
        </w:rPr>
        <w:t>原辅材料及公用工程消耗</w:t>
      </w:r>
    </w:p>
    <w:p w14:paraId="26A3830A">
      <w:pPr>
        <w:pStyle w:val="128"/>
        <w:rPr>
          <w:rFonts w:hint="eastAsia"/>
        </w:rPr>
      </w:pPr>
      <w:r>
        <w:rPr>
          <w:rFonts w:hint="eastAsia"/>
        </w:rPr>
        <w:t>（1）</w:t>
      </w:r>
      <w:r>
        <w:t>原辅材料</w:t>
      </w:r>
      <w:r>
        <w:rPr>
          <w:rFonts w:hint="eastAsia"/>
        </w:rPr>
        <w:t>消耗情况</w:t>
      </w:r>
    </w:p>
    <w:p w14:paraId="69E6EBAD">
      <w:pPr>
        <w:pStyle w:val="128"/>
        <w:rPr>
          <w:rFonts w:hint="eastAsia"/>
        </w:rPr>
      </w:pPr>
      <w:r>
        <w:rPr>
          <w:rFonts w:hint="eastAsia"/>
          <w:kern w:val="2"/>
        </w:rPr>
        <w:t>DMO装置</w:t>
      </w:r>
      <w:r>
        <w:rPr>
          <w:rFonts w:hint="eastAsia"/>
        </w:rPr>
        <w:t>原辅材料情况见表</w:t>
      </w:r>
      <w:bookmarkStart w:id="171" w:name="_Hlk122955017"/>
      <w:r>
        <w:t>3.2.6-</w:t>
      </w:r>
      <w:r>
        <w:rPr>
          <w:rFonts w:hint="eastAsia"/>
        </w:rPr>
        <w:t>1</w:t>
      </w:r>
      <w:bookmarkEnd w:id="171"/>
      <w:r>
        <w:rPr>
          <w:rFonts w:hint="eastAsia"/>
        </w:rPr>
        <w:t>。</w:t>
      </w:r>
    </w:p>
    <w:p w14:paraId="5AEC2BE8">
      <w:pPr>
        <w:pStyle w:val="535"/>
        <w:rPr>
          <w:rFonts w:hint="eastAsia"/>
          <w:color w:val="auto"/>
        </w:rPr>
      </w:pPr>
      <w:r>
        <w:rPr>
          <w:rFonts w:hint="eastAsia"/>
          <w:color w:val="auto"/>
        </w:rPr>
        <w:t>表</w:t>
      </w:r>
      <w:r>
        <w:rPr>
          <w:color w:val="auto"/>
        </w:rPr>
        <w:t xml:space="preserve">3.2.6-1    </w:t>
      </w:r>
      <w:r>
        <w:rPr>
          <w:rFonts w:hint="eastAsia"/>
          <w:kern w:val="2"/>
        </w:rPr>
        <w:t>DMO装置</w:t>
      </w:r>
      <w:r>
        <w:rPr>
          <w:rFonts w:hint="eastAsia"/>
          <w:color w:val="auto"/>
        </w:rPr>
        <w:t>原辅材料消耗表</w:t>
      </w:r>
    </w:p>
    <w:p w14:paraId="315D37E0">
      <w:pPr>
        <w:pStyle w:val="281"/>
        <w:ind w:firstLine="480"/>
      </w:pPr>
      <w:r>
        <w:rPr>
          <w:rFonts w:hint="eastAsia"/>
        </w:rPr>
        <w:t>（2）公用工程消耗情况</w:t>
      </w:r>
    </w:p>
    <w:p w14:paraId="603568FC">
      <w:pPr>
        <w:pStyle w:val="281"/>
        <w:ind w:firstLine="480"/>
      </w:pPr>
      <w:r>
        <w:rPr>
          <w:rFonts w:hint="eastAsia"/>
          <w:kern w:val="2"/>
        </w:rPr>
        <w:t>DMO装置</w:t>
      </w:r>
      <w:r>
        <w:rPr>
          <w:rFonts w:hint="eastAsia"/>
        </w:rPr>
        <w:t>原辅材料情况见表</w:t>
      </w:r>
      <w:r>
        <w:t>3.2.6-</w:t>
      </w:r>
      <w:r>
        <w:rPr>
          <w:rFonts w:hint="eastAsia"/>
        </w:rPr>
        <w:t>2。</w:t>
      </w:r>
    </w:p>
    <w:p w14:paraId="7C0978DD">
      <w:pPr>
        <w:pStyle w:val="535"/>
        <w:rPr>
          <w:rFonts w:hint="eastAsia"/>
          <w:color w:val="auto"/>
        </w:rPr>
      </w:pPr>
      <w:r>
        <w:rPr>
          <w:rFonts w:hint="eastAsia"/>
          <w:color w:val="auto"/>
        </w:rPr>
        <w:t>表3.2.6-2   DMO装置公用工程消耗表</w:t>
      </w:r>
    </w:p>
    <w:p w14:paraId="126EB704">
      <w:pPr>
        <w:pStyle w:val="98"/>
        <w:rPr>
          <w:rFonts w:hint="eastAsia"/>
        </w:rPr>
      </w:pPr>
      <w:bookmarkStart w:id="172" w:name="_Hlk150638281"/>
      <w:r>
        <w:rPr>
          <w:rFonts w:hint="eastAsia"/>
        </w:rPr>
        <w:t>工艺流程及产污环节</w:t>
      </w:r>
    </w:p>
    <w:bookmarkEnd w:id="172"/>
    <w:p w14:paraId="3C6FCA54">
      <w:pPr>
        <w:pStyle w:val="814"/>
        <w:rPr>
          <w:rFonts w:hint="eastAsia"/>
        </w:rPr>
      </w:pPr>
      <w:r>
        <w:rPr>
          <w:rFonts w:hint="eastAsia"/>
        </w:rPr>
        <w:t>工艺流程</w:t>
      </w:r>
    </w:p>
    <w:p w14:paraId="27B1C2FF">
      <w:pPr>
        <w:spacing w:line="360" w:lineRule="auto"/>
        <w:ind w:firstLine="48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氮氧化物制备单元</w:t>
      </w:r>
    </w:p>
    <w:p w14:paraId="6992793D">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334219BD">
      <w:pPr>
        <w:spacing w:line="360" w:lineRule="auto"/>
        <w:ind w:firstLine="48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酯化及酯化分离单元</w:t>
      </w:r>
    </w:p>
    <w:p w14:paraId="09E235D0">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46373159">
      <w:pPr>
        <w:pStyle w:val="281"/>
        <w:ind w:firstLine="480"/>
        <w:rPr>
          <w:rFonts w:cs="Times New Roman"/>
        </w:rPr>
      </w:pPr>
      <w:r>
        <w:rPr>
          <w:rFonts w:hint="eastAsia" w:cs="Times New Roman"/>
        </w:rPr>
        <w:t>工艺流程及产污节点图见图3.2-6-1。</w:t>
      </w:r>
    </w:p>
    <w:p w14:paraId="4E6CF36E">
      <w:pPr>
        <w:pStyle w:val="814"/>
        <w:rPr>
          <w:rFonts w:hint="eastAsia"/>
        </w:rPr>
      </w:pPr>
      <w:r>
        <w:rPr>
          <w:rFonts w:hint="eastAsia"/>
        </w:rPr>
        <w:t>产污环节</w:t>
      </w:r>
    </w:p>
    <w:p w14:paraId="44C3A378">
      <w:pPr>
        <w:pStyle w:val="281"/>
        <w:ind w:firstLine="480"/>
      </w:pPr>
      <w:r>
        <w:rPr>
          <w:rFonts w:hint="eastAsia"/>
        </w:rPr>
        <w:t>DMO</w:t>
      </w:r>
      <w:r>
        <w:t>装置</w:t>
      </w:r>
      <w:r>
        <w:rPr>
          <w:rFonts w:hint="eastAsia" w:ascii="宋体" w:hAnsi="宋体"/>
        </w:rPr>
        <w:t>产污环节</w:t>
      </w:r>
      <w:r>
        <w:rPr>
          <w:rFonts w:hint="eastAsia"/>
        </w:rPr>
        <w:t>及处理措施具体见表</w:t>
      </w:r>
      <w:r>
        <w:t>3.2.6-</w:t>
      </w:r>
      <w:r>
        <w:rPr>
          <w:rFonts w:hint="eastAsia"/>
        </w:rPr>
        <w:t>3。</w:t>
      </w:r>
    </w:p>
    <w:p w14:paraId="20630AA3">
      <w:pPr>
        <w:pStyle w:val="645"/>
        <w:rPr>
          <w:rFonts w:hint="eastAsia"/>
        </w:rPr>
      </w:pPr>
      <w:r>
        <w:rPr>
          <w:rFonts w:hint="eastAsia"/>
        </w:rPr>
        <w:t>表</w:t>
      </w:r>
      <w:r>
        <w:t>3.2.6-</w:t>
      </w:r>
      <w:r>
        <w:rPr>
          <w:rFonts w:hint="eastAsia"/>
        </w:rPr>
        <w:t xml:space="preserve">3 </w:t>
      </w:r>
      <w:r>
        <w:t xml:space="preserve">   </w:t>
      </w:r>
      <w:r>
        <w:rPr>
          <w:rFonts w:hint="eastAsia"/>
        </w:rPr>
        <w:t>DMO</w:t>
      </w:r>
      <w:r>
        <w:t>装置</w:t>
      </w:r>
      <w:r>
        <w:rPr>
          <w:rFonts w:hint="eastAsia"/>
        </w:rPr>
        <w:t>产污环节表</w:t>
      </w:r>
    </w:p>
    <w:tbl>
      <w:tblPr>
        <w:tblStyle w:val="6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711"/>
        <w:gridCol w:w="2126"/>
        <w:gridCol w:w="1633"/>
        <w:gridCol w:w="1204"/>
        <w:gridCol w:w="2178"/>
      </w:tblGrid>
      <w:tr w14:paraId="76378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tcBorders>
              <w:top w:val="single" w:color="auto" w:sz="4" w:space="0"/>
              <w:left w:val="single" w:color="auto" w:sz="4" w:space="0"/>
              <w:right w:val="single" w:color="auto" w:sz="4" w:space="0"/>
            </w:tcBorders>
            <w:vAlign w:val="center"/>
          </w:tcPr>
          <w:p w14:paraId="129BD31A">
            <w:pPr>
              <w:pStyle w:val="557"/>
            </w:pPr>
          </w:p>
        </w:tc>
        <w:tc>
          <w:tcPr>
            <w:tcW w:w="417" w:type="pct"/>
            <w:tcBorders>
              <w:top w:val="single" w:color="auto" w:sz="4" w:space="0"/>
              <w:left w:val="single" w:color="auto" w:sz="4" w:space="0"/>
              <w:right w:val="single" w:color="auto" w:sz="4" w:space="0"/>
            </w:tcBorders>
            <w:vAlign w:val="center"/>
          </w:tcPr>
          <w:p w14:paraId="7EFE55A6">
            <w:pPr>
              <w:pStyle w:val="557"/>
            </w:pPr>
            <w:r>
              <w:t>编号</w:t>
            </w:r>
          </w:p>
        </w:tc>
        <w:tc>
          <w:tcPr>
            <w:tcW w:w="1247" w:type="pct"/>
            <w:tcBorders>
              <w:top w:val="single" w:color="auto" w:sz="4" w:space="0"/>
              <w:left w:val="single" w:color="auto" w:sz="4" w:space="0"/>
              <w:right w:val="single" w:color="auto" w:sz="4" w:space="0"/>
            </w:tcBorders>
            <w:vAlign w:val="center"/>
          </w:tcPr>
          <w:p w14:paraId="7E28ACE6">
            <w:pPr>
              <w:pStyle w:val="557"/>
            </w:pPr>
            <w:r>
              <w:t>污染源名称</w:t>
            </w:r>
          </w:p>
        </w:tc>
        <w:tc>
          <w:tcPr>
            <w:tcW w:w="958" w:type="pct"/>
            <w:tcBorders>
              <w:top w:val="single" w:color="auto" w:sz="4" w:space="0"/>
              <w:left w:val="single" w:color="auto" w:sz="4" w:space="0"/>
              <w:bottom w:val="single" w:color="auto" w:sz="4" w:space="0"/>
              <w:right w:val="single" w:color="auto" w:sz="4" w:space="0"/>
            </w:tcBorders>
            <w:vAlign w:val="center"/>
          </w:tcPr>
          <w:p w14:paraId="797DED76">
            <w:pPr>
              <w:pStyle w:val="557"/>
            </w:pPr>
            <w:r>
              <w:t>污染物组分</w:t>
            </w:r>
          </w:p>
        </w:tc>
        <w:tc>
          <w:tcPr>
            <w:tcW w:w="706" w:type="pct"/>
            <w:tcBorders>
              <w:top w:val="single" w:color="auto" w:sz="4" w:space="0"/>
              <w:left w:val="single" w:color="auto" w:sz="4" w:space="0"/>
              <w:bottom w:val="single" w:color="auto" w:sz="4" w:space="0"/>
              <w:right w:val="single" w:color="auto" w:sz="4" w:space="0"/>
            </w:tcBorders>
            <w:vAlign w:val="center"/>
          </w:tcPr>
          <w:p w14:paraId="6F0BB616">
            <w:pPr>
              <w:pStyle w:val="557"/>
            </w:pPr>
            <w:r>
              <w:t>排放特征</w:t>
            </w:r>
          </w:p>
        </w:tc>
        <w:tc>
          <w:tcPr>
            <w:tcW w:w="1277" w:type="pct"/>
            <w:tcBorders>
              <w:top w:val="single" w:color="auto" w:sz="4" w:space="0"/>
              <w:left w:val="single" w:color="auto" w:sz="4" w:space="0"/>
              <w:right w:val="single" w:color="auto" w:sz="4" w:space="0"/>
            </w:tcBorders>
            <w:vAlign w:val="center"/>
          </w:tcPr>
          <w:p w14:paraId="2F554B53">
            <w:pPr>
              <w:pStyle w:val="557"/>
            </w:pPr>
            <w:r>
              <w:t>去向</w:t>
            </w:r>
          </w:p>
        </w:tc>
      </w:tr>
      <w:tr w14:paraId="6AB1B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restart"/>
            <w:tcBorders>
              <w:top w:val="single" w:color="auto" w:sz="4" w:space="0"/>
              <w:left w:val="single" w:color="auto" w:sz="4" w:space="0"/>
              <w:right w:val="single" w:color="auto" w:sz="4" w:space="0"/>
            </w:tcBorders>
            <w:vAlign w:val="center"/>
          </w:tcPr>
          <w:p w14:paraId="4B4A4D0C">
            <w:pPr>
              <w:pStyle w:val="557"/>
            </w:pPr>
            <w:r>
              <w:t>废气</w:t>
            </w:r>
          </w:p>
        </w:tc>
        <w:tc>
          <w:tcPr>
            <w:tcW w:w="417" w:type="pct"/>
            <w:tcBorders>
              <w:top w:val="single" w:color="auto" w:sz="4" w:space="0"/>
              <w:left w:val="single" w:color="auto" w:sz="4" w:space="0"/>
              <w:right w:val="single" w:color="auto" w:sz="4" w:space="0"/>
            </w:tcBorders>
            <w:vAlign w:val="center"/>
          </w:tcPr>
          <w:p w14:paraId="7C7AB513">
            <w:pPr>
              <w:pStyle w:val="557"/>
            </w:pPr>
            <w:r>
              <w:t>G</w:t>
            </w:r>
            <w:r>
              <w:rPr>
                <w:rFonts w:hint="eastAsia"/>
                <w:vertAlign w:val="subscript"/>
              </w:rPr>
              <w:t>5-</w:t>
            </w:r>
            <w:r>
              <w:rPr>
                <w:vertAlign w:val="subscript"/>
              </w:rPr>
              <w:t>1</w:t>
            </w:r>
          </w:p>
        </w:tc>
        <w:tc>
          <w:tcPr>
            <w:tcW w:w="1247" w:type="pct"/>
            <w:tcBorders>
              <w:top w:val="single" w:color="auto" w:sz="4" w:space="0"/>
              <w:left w:val="single" w:color="auto" w:sz="4" w:space="0"/>
              <w:right w:val="single" w:color="auto" w:sz="4" w:space="0"/>
            </w:tcBorders>
            <w:vAlign w:val="center"/>
          </w:tcPr>
          <w:p w14:paraId="0A819371">
            <w:pPr>
              <w:pStyle w:val="557"/>
            </w:pPr>
            <w:r>
              <w:rPr>
                <w:rFonts w:hint="eastAsia"/>
              </w:rPr>
              <w:t>羰化排气</w:t>
            </w:r>
          </w:p>
        </w:tc>
        <w:tc>
          <w:tcPr>
            <w:tcW w:w="958" w:type="pct"/>
            <w:tcBorders>
              <w:top w:val="single" w:color="auto" w:sz="4" w:space="0"/>
              <w:left w:val="single" w:color="auto" w:sz="4" w:space="0"/>
              <w:bottom w:val="single" w:color="auto" w:sz="4" w:space="0"/>
              <w:right w:val="single" w:color="auto" w:sz="4" w:space="0"/>
            </w:tcBorders>
            <w:vAlign w:val="center"/>
          </w:tcPr>
          <w:p w14:paraId="2801FB24">
            <w:pPr>
              <w:pStyle w:val="557"/>
            </w:pPr>
            <w:r>
              <w:rPr>
                <w:rFonts w:hint="eastAsia"/>
              </w:rPr>
              <w:t>N</w:t>
            </w:r>
            <w:r>
              <w:rPr>
                <w:rFonts w:hint="eastAsia"/>
                <w:vertAlign w:val="subscript"/>
              </w:rPr>
              <w:t>2</w:t>
            </w:r>
            <w:r>
              <w:rPr>
                <w:rFonts w:hint="eastAsia"/>
              </w:rPr>
              <w:t>、CO、O</w:t>
            </w:r>
            <w:r>
              <w:rPr>
                <w:rFonts w:hint="eastAsia"/>
                <w:vertAlign w:val="subscript"/>
              </w:rPr>
              <w:t>2</w:t>
            </w:r>
            <w:r>
              <w:rPr>
                <w:rFonts w:hint="eastAsia"/>
              </w:rPr>
              <w:t>、CO</w:t>
            </w:r>
            <w:r>
              <w:rPr>
                <w:rFonts w:hint="eastAsia"/>
                <w:vertAlign w:val="subscript"/>
              </w:rPr>
              <w:t>2</w:t>
            </w:r>
            <w:r>
              <w:rPr>
                <w:rFonts w:hint="eastAsia"/>
              </w:rPr>
              <w:t>、CH</w:t>
            </w:r>
            <w:r>
              <w:rPr>
                <w:rFonts w:hint="eastAsia"/>
                <w:vertAlign w:val="subscript"/>
              </w:rPr>
              <w:t>4</w:t>
            </w:r>
            <w:r>
              <w:rPr>
                <w:rFonts w:hint="eastAsia"/>
              </w:rPr>
              <w:t>、Ar、H</w:t>
            </w:r>
            <w:r>
              <w:rPr>
                <w:rFonts w:hint="eastAsia"/>
                <w:vertAlign w:val="subscript"/>
              </w:rPr>
              <w:t>2</w:t>
            </w:r>
            <w:r>
              <w:rPr>
                <w:rFonts w:hint="eastAsia"/>
              </w:rPr>
              <w:t>O、甲酸甲酯</w:t>
            </w:r>
          </w:p>
        </w:tc>
        <w:tc>
          <w:tcPr>
            <w:tcW w:w="706" w:type="pct"/>
            <w:tcBorders>
              <w:top w:val="single" w:color="auto" w:sz="4" w:space="0"/>
              <w:left w:val="single" w:color="auto" w:sz="4" w:space="0"/>
              <w:bottom w:val="single" w:color="auto" w:sz="4" w:space="0"/>
              <w:right w:val="single" w:color="auto" w:sz="4" w:space="0"/>
            </w:tcBorders>
            <w:vAlign w:val="center"/>
          </w:tcPr>
          <w:p w14:paraId="6F0C6A8B">
            <w:pPr>
              <w:pStyle w:val="557"/>
            </w:pPr>
            <w:r>
              <w:t>连续</w:t>
            </w:r>
          </w:p>
        </w:tc>
        <w:tc>
          <w:tcPr>
            <w:tcW w:w="1277" w:type="pct"/>
            <w:tcBorders>
              <w:top w:val="single" w:color="auto" w:sz="4" w:space="0"/>
              <w:left w:val="single" w:color="auto" w:sz="4" w:space="0"/>
              <w:right w:val="single" w:color="auto" w:sz="4" w:space="0"/>
            </w:tcBorders>
            <w:vAlign w:val="center"/>
          </w:tcPr>
          <w:p w14:paraId="4A6047DD">
            <w:pPr>
              <w:pStyle w:val="557"/>
            </w:pPr>
            <w:r>
              <w:rPr>
                <w:rFonts w:hint="eastAsia"/>
              </w:rPr>
              <w:t>送锅炉作配风燃烧</w:t>
            </w:r>
          </w:p>
        </w:tc>
      </w:tr>
      <w:tr w14:paraId="307FA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continue"/>
            <w:tcBorders>
              <w:left w:val="single" w:color="auto" w:sz="4" w:space="0"/>
              <w:right w:val="single" w:color="auto" w:sz="4" w:space="0"/>
            </w:tcBorders>
            <w:vAlign w:val="center"/>
          </w:tcPr>
          <w:p w14:paraId="3F94BFF0">
            <w:pPr>
              <w:pStyle w:val="557"/>
            </w:pPr>
          </w:p>
        </w:tc>
        <w:tc>
          <w:tcPr>
            <w:tcW w:w="417" w:type="pct"/>
            <w:tcBorders>
              <w:top w:val="single" w:color="auto" w:sz="4" w:space="0"/>
              <w:left w:val="single" w:color="auto" w:sz="4" w:space="0"/>
              <w:right w:val="single" w:color="auto" w:sz="4" w:space="0"/>
            </w:tcBorders>
            <w:vAlign w:val="center"/>
          </w:tcPr>
          <w:p w14:paraId="489426D7">
            <w:pPr>
              <w:pStyle w:val="557"/>
            </w:pPr>
            <w:r>
              <w:t>G</w:t>
            </w:r>
            <w:r>
              <w:rPr>
                <w:rFonts w:hint="eastAsia"/>
                <w:vertAlign w:val="subscript"/>
              </w:rPr>
              <w:t>5-</w:t>
            </w:r>
            <w:r>
              <w:rPr>
                <w:vertAlign w:val="subscript"/>
              </w:rPr>
              <w:t>2</w:t>
            </w:r>
          </w:p>
        </w:tc>
        <w:tc>
          <w:tcPr>
            <w:tcW w:w="1247" w:type="pct"/>
            <w:tcBorders>
              <w:top w:val="single" w:color="auto" w:sz="4" w:space="0"/>
              <w:left w:val="single" w:color="auto" w:sz="4" w:space="0"/>
              <w:right w:val="single" w:color="auto" w:sz="4" w:space="0"/>
            </w:tcBorders>
            <w:vAlign w:val="center"/>
          </w:tcPr>
          <w:p w14:paraId="76A2D8F9">
            <w:pPr>
              <w:pStyle w:val="557"/>
            </w:pPr>
            <w:r>
              <w:rPr>
                <w:rFonts w:hint="eastAsia"/>
              </w:rPr>
              <w:t>驰放气</w:t>
            </w:r>
          </w:p>
        </w:tc>
        <w:tc>
          <w:tcPr>
            <w:tcW w:w="958" w:type="pct"/>
            <w:tcBorders>
              <w:top w:val="single" w:color="auto" w:sz="4" w:space="0"/>
              <w:left w:val="single" w:color="auto" w:sz="4" w:space="0"/>
              <w:right w:val="single" w:color="auto" w:sz="4" w:space="0"/>
            </w:tcBorders>
            <w:vAlign w:val="center"/>
          </w:tcPr>
          <w:p w14:paraId="606AC49D">
            <w:pPr>
              <w:pStyle w:val="557"/>
            </w:pPr>
            <w:r>
              <w:rPr>
                <w:rFonts w:hint="eastAsia"/>
              </w:rPr>
              <w:t>N</w:t>
            </w:r>
            <w:r>
              <w:rPr>
                <w:rFonts w:hint="eastAsia"/>
                <w:vertAlign w:val="subscript"/>
              </w:rPr>
              <w:t>2</w:t>
            </w:r>
            <w:r>
              <w:rPr>
                <w:rFonts w:hint="eastAsia"/>
              </w:rPr>
              <w:t>、O</w:t>
            </w:r>
            <w:r>
              <w:rPr>
                <w:rFonts w:hint="eastAsia"/>
                <w:vertAlign w:val="subscript"/>
              </w:rPr>
              <w:t>2</w:t>
            </w:r>
            <w:r>
              <w:rPr>
                <w:rFonts w:hint="eastAsia"/>
              </w:rPr>
              <w:t>、Ar、H</w:t>
            </w:r>
            <w:r>
              <w:rPr>
                <w:rFonts w:hint="eastAsia"/>
                <w:vertAlign w:val="subscript"/>
              </w:rPr>
              <w:t>2</w:t>
            </w:r>
            <w:r>
              <w:rPr>
                <w:rFonts w:hint="eastAsia"/>
              </w:rPr>
              <w:t>O、CH</w:t>
            </w:r>
            <w:r>
              <w:rPr>
                <w:rFonts w:hint="eastAsia"/>
                <w:vertAlign w:val="subscript"/>
              </w:rPr>
              <w:t>4</w:t>
            </w:r>
            <w:r>
              <w:rPr>
                <w:rFonts w:hint="eastAsia"/>
              </w:rPr>
              <w:t>O</w:t>
            </w:r>
          </w:p>
        </w:tc>
        <w:tc>
          <w:tcPr>
            <w:tcW w:w="706" w:type="pct"/>
            <w:tcBorders>
              <w:top w:val="single" w:color="auto" w:sz="4" w:space="0"/>
              <w:left w:val="single" w:color="auto" w:sz="4" w:space="0"/>
              <w:right w:val="single" w:color="auto" w:sz="4" w:space="0"/>
            </w:tcBorders>
            <w:vAlign w:val="center"/>
          </w:tcPr>
          <w:p w14:paraId="7B05941F">
            <w:pPr>
              <w:pStyle w:val="557"/>
            </w:pPr>
            <w:r>
              <w:t>连续</w:t>
            </w:r>
          </w:p>
        </w:tc>
        <w:tc>
          <w:tcPr>
            <w:tcW w:w="1277" w:type="pct"/>
            <w:tcBorders>
              <w:top w:val="single" w:color="auto" w:sz="4" w:space="0"/>
              <w:left w:val="single" w:color="auto" w:sz="4" w:space="0"/>
              <w:right w:val="single" w:color="auto" w:sz="4" w:space="0"/>
            </w:tcBorders>
            <w:vAlign w:val="center"/>
          </w:tcPr>
          <w:p w14:paraId="20106858">
            <w:pPr>
              <w:pStyle w:val="557"/>
            </w:pPr>
            <w:r>
              <w:rPr>
                <w:rFonts w:hint="eastAsia"/>
              </w:rPr>
              <w:t>达标排放</w:t>
            </w:r>
          </w:p>
        </w:tc>
      </w:tr>
      <w:tr w14:paraId="17470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continue"/>
            <w:tcBorders>
              <w:left w:val="single" w:color="auto" w:sz="4" w:space="0"/>
              <w:right w:val="single" w:color="auto" w:sz="4" w:space="0"/>
            </w:tcBorders>
            <w:vAlign w:val="center"/>
          </w:tcPr>
          <w:p w14:paraId="2D3D01F3">
            <w:pPr>
              <w:pStyle w:val="557"/>
            </w:pPr>
          </w:p>
        </w:tc>
        <w:tc>
          <w:tcPr>
            <w:tcW w:w="417" w:type="pct"/>
            <w:tcBorders>
              <w:top w:val="single" w:color="auto" w:sz="4" w:space="0"/>
              <w:left w:val="single" w:color="auto" w:sz="4" w:space="0"/>
              <w:right w:val="single" w:color="auto" w:sz="4" w:space="0"/>
            </w:tcBorders>
            <w:vAlign w:val="center"/>
          </w:tcPr>
          <w:p w14:paraId="18808FE3">
            <w:pPr>
              <w:pStyle w:val="557"/>
            </w:pPr>
            <w:r>
              <w:t>G</w:t>
            </w:r>
            <w:r>
              <w:rPr>
                <w:rFonts w:hint="eastAsia"/>
                <w:vertAlign w:val="subscript"/>
              </w:rPr>
              <w:t>5-3</w:t>
            </w:r>
          </w:p>
        </w:tc>
        <w:tc>
          <w:tcPr>
            <w:tcW w:w="1247" w:type="pct"/>
            <w:tcBorders>
              <w:top w:val="single" w:color="auto" w:sz="4" w:space="0"/>
              <w:left w:val="single" w:color="auto" w:sz="4" w:space="0"/>
              <w:right w:val="single" w:color="auto" w:sz="4" w:space="0"/>
            </w:tcBorders>
            <w:vAlign w:val="center"/>
          </w:tcPr>
          <w:p w14:paraId="171CAB51">
            <w:pPr>
              <w:pStyle w:val="557"/>
            </w:pPr>
            <w:r>
              <w:rPr>
                <w:rFonts w:hint="eastAsia"/>
              </w:rPr>
              <w:t>无组织废气</w:t>
            </w:r>
          </w:p>
        </w:tc>
        <w:tc>
          <w:tcPr>
            <w:tcW w:w="958" w:type="pct"/>
            <w:tcBorders>
              <w:top w:val="single" w:color="auto" w:sz="4" w:space="0"/>
              <w:left w:val="single" w:color="auto" w:sz="4" w:space="0"/>
              <w:right w:val="single" w:color="auto" w:sz="4" w:space="0"/>
            </w:tcBorders>
            <w:vAlign w:val="center"/>
          </w:tcPr>
          <w:p w14:paraId="41E51094">
            <w:pPr>
              <w:pStyle w:val="557"/>
            </w:pPr>
            <w:r>
              <w:rPr>
                <w:rFonts w:hint="eastAsia"/>
              </w:rPr>
              <w:t>NMHC</w:t>
            </w:r>
          </w:p>
        </w:tc>
        <w:tc>
          <w:tcPr>
            <w:tcW w:w="706" w:type="pct"/>
            <w:tcBorders>
              <w:top w:val="single" w:color="auto" w:sz="4" w:space="0"/>
              <w:left w:val="single" w:color="auto" w:sz="4" w:space="0"/>
              <w:right w:val="single" w:color="auto" w:sz="4" w:space="0"/>
            </w:tcBorders>
            <w:vAlign w:val="center"/>
          </w:tcPr>
          <w:p w14:paraId="0BB9C28E">
            <w:pPr>
              <w:pStyle w:val="557"/>
            </w:pPr>
            <w:r>
              <w:t>连续</w:t>
            </w:r>
          </w:p>
        </w:tc>
        <w:tc>
          <w:tcPr>
            <w:tcW w:w="1277" w:type="pct"/>
            <w:tcBorders>
              <w:top w:val="single" w:color="auto" w:sz="4" w:space="0"/>
              <w:left w:val="single" w:color="auto" w:sz="4" w:space="0"/>
              <w:right w:val="single" w:color="auto" w:sz="4" w:space="0"/>
            </w:tcBorders>
            <w:vAlign w:val="center"/>
          </w:tcPr>
          <w:p w14:paraId="70696B52">
            <w:pPr>
              <w:pStyle w:val="557"/>
            </w:pPr>
            <w:r>
              <w:rPr>
                <w:rFonts w:hint="eastAsia"/>
              </w:rPr>
              <w:t>无组织排放</w:t>
            </w:r>
          </w:p>
        </w:tc>
      </w:tr>
      <w:tr w14:paraId="61D28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restart"/>
            <w:tcBorders>
              <w:left w:val="single" w:color="auto" w:sz="4" w:space="0"/>
              <w:right w:val="single" w:color="auto" w:sz="4" w:space="0"/>
            </w:tcBorders>
            <w:vAlign w:val="center"/>
          </w:tcPr>
          <w:p w14:paraId="1B3C80A7">
            <w:pPr>
              <w:pStyle w:val="557"/>
            </w:pPr>
            <w:r>
              <w:t>废水</w:t>
            </w:r>
          </w:p>
        </w:tc>
        <w:tc>
          <w:tcPr>
            <w:tcW w:w="417" w:type="pct"/>
            <w:tcBorders>
              <w:left w:val="single" w:color="auto" w:sz="4" w:space="0"/>
              <w:right w:val="single" w:color="auto" w:sz="4" w:space="0"/>
            </w:tcBorders>
            <w:vAlign w:val="center"/>
          </w:tcPr>
          <w:p w14:paraId="7B204A8D">
            <w:pPr>
              <w:pStyle w:val="557"/>
            </w:pPr>
            <w:r>
              <w:t>W</w:t>
            </w:r>
            <w:r>
              <w:rPr>
                <w:rFonts w:hint="eastAsia"/>
                <w:vertAlign w:val="subscript"/>
              </w:rPr>
              <w:t>5-</w:t>
            </w:r>
            <w:r>
              <w:rPr>
                <w:vertAlign w:val="subscript"/>
              </w:rPr>
              <w:t>1</w:t>
            </w:r>
          </w:p>
        </w:tc>
        <w:tc>
          <w:tcPr>
            <w:tcW w:w="1247" w:type="pct"/>
            <w:tcBorders>
              <w:left w:val="single" w:color="auto" w:sz="4" w:space="0"/>
              <w:bottom w:val="single" w:color="auto" w:sz="4" w:space="0"/>
              <w:right w:val="single" w:color="auto" w:sz="4" w:space="0"/>
            </w:tcBorders>
            <w:vAlign w:val="center"/>
          </w:tcPr>
          <w:p w14:paraId="20D8F2CB">
            <w:pPr>
              <w:pStyle w:val="557"/>
            </w:pPr>
            <w:r>
              <w:rPr>
                <w:kern w:val="0"/>
              </w:rPr>
              <w:t>硝酸提浓塔顶馏出液</w:t>
            </w:r>
          </w:p>
        </w:tc>
        <w:tc>
          <w:tcPr>
            <w:tcW w:w="958" w:type="pct"/>
            <w:tcBorders>
              <w:top w:val="single" w:color="auto" w:sz="4" w:space="0"/>
              <w:left w:val="single" w:color="auto" w:sz="4" w:space="0"/>
              <w:bottom w:val="single" w:color="auto" w:sz="4" w:space="0"/>
              <w:right w:val="single" w:color="auto" w:sz="4" w:space="0"/>
            </w:tcBorders>
            <w:vAlign w:val="center"/>
          </w:tcPr>
          <w:p w14:paraId="3DE71B0E">
            <w:pPr>
              <w:pStyle w:val="152"/>
              <w:rPr>
                <w:rFonts w:ascii="Times New Roman" w:hAnsi="Times New Roman" w:eastAsia="宋体" w:cs="Times New Roman"/>
                <w:sz w:val="18"/>
                <w:szCs w:val="18"/>
                <w:u w:color="000000"/>
                <w:lang w:bidi="en-US"/>
              </w:rPr>
            </w:pPr>
            <w:r>
              <w:rPr>
                <w:rFonts w:hint="eastAsia" w:ascii="Times New Roman" w:hAnsi="Times New Roman" w:eastAsia="宋体" w:cs="Times New Roman"/>
                <w:sz w:val="18"/>
                <w:szCs w:val="18"/>
                <w:u w:color="000000"/>
                <w:lang w:bidi="en-US"/>
              </w:rPr>
              <w:t>COD、BOD、甲醇、pH</w:t>
            </w:r>
          </w:p>
        </w:tc>
        <w:tc>
          <w:tcPr>
            <w:tcW w:w="706" w:type="pct"/>
            <w:tcBorders>
              <w:top w:val="single" w:color="auto" w:sz="4" w:space="0"/>
              <w:left w:val="single" w:color="auto" w:sz="4" w:space="0"/>
              <w:bottom w:val="single" w:color="auto" w:sz="4" w:space="0"/>
              <w:right w:val="single" w:color="auto" w:sz="4" w:space="0"/>
            </w:tcBorders>
            <w:vAlign w:val="center"/>
          </w:tcPr>
          <w:p w14:paraId="6605C299">
            <w:pPr>
              <w:pStyle w:val="557"/>
            </w:pPr>
            <w:r>
              <w:t>连续</w:t>
            </w:r>
          </w:p>
        </w:tc>
        <w:tc>
          <w:tcPr>
            <w:tcW w:w="1277" w:type="pct"/>
            <w:tcBorders>
              <w:left w:val="single" w:color="auto" w:sz="4" w:space="0"/>
              <w:bottom w:val="single" w:color="auto" w:sz="4" w:space="0"/>
              <w:right w:val="single" w:color="auto" w:sz="4" w:space="0"/>
            </w:tcBorders>
            <w:vAlign w:val="center"/>
          </w:tcPr>
          <w:p w14:paraId="0607519C">
            <w:pPr>
              <w:pStyle w:val="557"/>
            </w:pPr>
            <w:r>
              <w:t>污水处理站</w:t>
            </w:r>
          </w:p>
        </w:tc>
      </w:tr>
      <w:tr w14:paraId="38BBE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continue"/>
            <w:tcBorders>
              <w:left w:val="single" w:color="auto" w:sz="4" w:space="0"/>
              <w:right w:val="single" w:color="auto" w:sz="4" w:space="0"/>
            </w:tcBorders>
            <w:vAlign w:val="center"/>
          </w:tcPr>
          <w:p w14:paraId="63D0FF0D">
            <w:pPr>
              <w:pStyle w:val="557"/>
            </w:pPr>
          </w:p>
        </w:tc>
        <w:tc>
          <w:tcPr>
            <w:tcW w:w="417" w:type="pct"/>
            <w:tcBorders>
              <w:left w:val="single" w:color="auto" w:sz="4" w:space="0"/>
              <w:right w:val="single" w:color="auto" w:sz="4" w:space="0"/>
            </w:tcBorders>
            <w:vAlign w:val="center"/>
          </w:tcPr>
          <w:p w14:paraId="63D58E81">
            <w:pPr>
              <w:pStyle w:val="557"/>
            </w:pPr>
            <w:r>
              <w:t>W</w:t>
            </w:r>
            <w:r>
              <w:rPr>
                <w:rFonts w:hint="eastAsia"/>
                <w:vertAlign w:val="subscript"/>
              </w:rPr>
              <w:t>5-</w:t>
            </w:r>
            <w:r>
              <w:rPr>
                <w:vertAlign w:val="subscript"/>
              </w:rPr>
              <w:t>2</w:t>
            </w:r>
          </w:p>
        </w:tc>
        <w:tc>
          <w:tcPr>
            <w:tcW w:w="1247" w:type="pct"/>
            <w:tcBorders>
              <w:left w:val="single" w:color="auto" w:sz="4" w:space="0"/>
              <w:bottom w:val="single" w:color="auto" w:sz="4" w:space="0"/>
              <w:right w:val="single" w:color="auto" w:sz="4" w:space="0"/>
            </w:tcBorders>
            <w:vAlign w:val="center"/>
          </w:tcPr>
          <w:p w14:paraId="12C8E393">
            <w:pPr>
              <w:pStyle w:val="557"/>
            </w:pPr>
            <w:r>
              <w:rPr>
                <w:kern w:val="0"/>
              </w:rPr>
              <w:t>蒸汽</w:t>
            </w:r>
            <w:r>
              <w:rPr>
                <w:rFonts w:hint="eastAsia"/>
                <w:kern w:val="0"/>
              </w:rPr>
              <w:t>发生器</w:t>
            </w:r>
            <w:r>
              <w:rPr>
                <w:kern w:val="0"/>
              </w:rPr>
              <w:t>排污水</w:t>
            </w:r>
          </w:p>
        </w:tc>
        <w:tc>
          <w:tcPr>
            <w:tcW w:w="958" w:type="pct"/>
            <w:tcBorders>
              <w:top w:val="single" w:color="auto" w:sz="4" w:space="0"/>
              <w:left w:val="single" w:color="auto" w:sz="4" w:space="0"/>
              <w:bottom w:val="single" w:color="auto" w:sz="4" w:space="0"/>
              <w:right w:val="single" w:color="auto" w:sz="4" w:space="0"/>
            </w:tcBorders>
            <w:vAlign w:val="center"/>
          </w:tcPr>
          <w:p w14:paraId="3FCF49C8">
            <w:pPr>
              <w:pStyle w:val="557"/>
            </w:pPr>
            <w:r>
              <w:rPr>
                <w:kern w:val="0"/>
              </w:rPr>
              <w:t>溶解固形物</w:t>
            </w:r>
            <w:r>
              <w:rPr>
                <w:rFonts w:hint="eastAsia"/>
                <w:kern w:val="0"/>
              </w:rPr>
              <w:t>、</w:t>
            </w:r>
            <w:r>
              <w:rPr>
                <w:rFonts w:hint="eastAsia"/>
              </w:rPr>
              <w:t>pH</w:t>
            </w:r>
          </w:p>
        </w:tc>
        <w:tc>
          <w:tcPr>
            <w:tcW w:w="706" w:type="pct"/>
            <w:tcBorders>
              <w:top w:val="single" w:color="auto" w:sz="4" w:space="0"/>
              <w:left w:val="single" w:color="auto" w:sz="4" w:space="0"/>
              <w:bottom w:val="single" w:color="auto" w:sz="4" w:space="0"/>
              <w:right w:val="single" w:color="auto" w:sz="4" w:space="0"/>
            </w:tcBorders>
            <w:vAlign w:val="center"/>
          </w:tcPr>
          <w:p w14:paraId="0E4E4D29">
            <w:pPr>
              <w:pStyle w:val="557"/>
            </w:pPr>
            <w:r>
              <w:t>连续</w:t>
            </w:r>
          </w:p>
        </w:tc>
        <w:tc>
          <w:tcPr>
            <w:tcW w:w="1277" w:type="pct"/>
            <w:tcBorders>
              <w:top w:val="single" w:color="auto" w:sz="4" w:space="0"/>
              <w:left w:val="single" w:color="auto" w:sz="4" w:space="0"/>
              <w:bottom w:val="single" w:color="auto" w:sz="4" w:space="0"/>
              <w:right w:val="single" w:color="auto" w:sz="4" w:space="0"/>
            </w:tcBorders>
            <w:vAlign w:val="center"/>
          </w:tcPr>
          <w:p w14:paraId="6CF2C6A7">
            <w:pPr>
              <w:pStyle w:val="557"/>
            </w:pPr>
            <w:r>
              <w:t>污水处理站</w:t>
            </w:r>
          </w:p>
        </w:tc>
      </w:tr>
      <w:tr w14:paraId="7D9FF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continue"/>
            <w:tcBorders>
              <w:left w:val="single" w:color="auto" w:sz="4" w:space="0"/>
              <w:right w:val="single" w:color="auto" w:sz="4" w:space="0"/>
            </w:tcBorders>
            <w:vAlign w:val="center"/>
          </w:tcPr>
          <w:p w14:paraId="1C99ED2D">
            <w:pPr>
              <w:pStyle w:val="557"/>
            </w:pPr>
          </w:p>
        </w:tc>
        <w:tc>
          <w:tcPr>
            <w:tcW w:w="417" w:type="pct"/>
            <w:tcBorders>
              <w:left w:val="single" w:color="auto" w:sz="4" w:space="0"/>
              <w:right w:val="single" w:color="auto" w:sz="4" w:space="0"/>
            </w:tcBorders>
            <w:vAlign w:val="center"/>
          </w:tcPr>
          <w:p w14:paraId="582C9D54">
            <w:pPr>
              <w:pStyle w:val="557"/>
            </w:pPr>
            <w:r>
              <w:t>W</w:t>
            </w:r>
            <w:r>
              <w:rPr>
                <w:rFonts w:hint="eastAsia"/>
                <w:vertAlign w:val="subscript"/>
              </w:rPr>
              <w:t>5-3</w:t>
            </w:r>
          </w:p>
        </w:tc>
        <w:tc>
          <w:tcPr>
            <w:tcW w:w="1247" w:type="pct"/>
            <w:tcBorders>
              <w:left w:val="single" w:color="auto" w:sz="4" w:space="0"/>
              <w:bottom w:val="single" w:color="auto" w:sz="4" w:space="0"/>
              <w:right w:val="single" w:color="auto" w:sz="4" w:space="0"/>
            </w:tcBorders>
            <w:vAlign w:val="center"/>
          </w:tcPr>
          <w:p w14:paraId="429C9262">
            <w:pPr>
              <w:pStyle w:val="557"/>
              <w:rPr>
                <w:kern w:val="0"/>
              </w:rPr>
            </w:pPr>
            <w:r>
              <w:rPr>
                <w:rFonts w:hint="eastAsia"/>
                <w:kern w:val="0"/>
              </w:rPr>
              <w:t>回收塔废水</w:t>
            </w:r>
          </w:p>
        </w:tc>
        <w:tc>
          <w:tcPr>
            <w:tcW w:w="958" w:type="pct"/>
            <w:tcBorders>
              <w:top w:val="single" w:color="auto" w:sz="4" w:space="0"/>
              <w:left w:val="single" w:color="auto" w:sz="4" w:space="0"/>
              <w:bottom w:val="single" w:color="auto" w:sz="4" w:space="0"/>
              <w:right w:val="single" w:color="auto" w:sz="4" w:space="0"/>
            </w:tcBorders>
            <w:vAlign w:val="center"/>
          </w:tcPr>
          <w:p w14:paraId="0BA87E8A">
            <w:pPr>
              <w:pStyle w:val="557"/>
              <w:rPr>
                <w:kern w:val="0"/>
              </w:rPr>
            </w:pPr>
            <w:r>
              <w:rPr>
                <w:rFonts w:hint="eastAsia"/>
                <w:kern w:val="0"/>
              </w:rPr>
              <w:t>甲醇</w:t>
            </w:r>
          </w:p>
        </w:tc>
        <w:tc>
          <w:tcPr>
            <w:tcW w:w="706" w:type="pct"/>
            <w:tcBorders>
              <w:top w:val="single" w:color="auto" w:sz="4" w:space="0"/>
              <w:left w:val="single" w:color="auto" w:sz="4" w:space="0"/>
              <w:bottom w:val="single" w:color="auto" w:sz="4" w:space="0"/>
              <w:right w:val="single" w:color="auto" w:sz="4" w:space="0"/>
            </w:tcBorders>
            <w:vAlign w:val="center"/>
          </w:tcPr>
          <w:p w14:paraId="5A0B2BCE">
            <w:pPr>
              <w:pStyle w:val="557"/>
            </w:pPr>
            <w:r>
              <w:t>连续</w:t>
            </w:r>
          </w:p>
        </w:tc>
        <w:tc>
          <w:tcPr>
            <w:tcW w:w="1277" w:type="pct"/>
            <w:tcBorders>
              <w:top w:val="single" w:color="auto" w:sz="4" w:space="0"/>
              <w:left w:val="single" w:color="auto" w:sz="4" w:space="0"/>
              <w:bottom w:val="single" w:color="auto" w:sz="4" w:space="0"/>
              <w:right w:val="single" w:color="auto" w:sz="4" w:space="0"/>
            </w:tcBorders>
            <w:vAlign w:val="center"/>
          </w:tcPr>
          <w:p w14:paraId="799C5619">
            <w:pPr>
              <w:pStyle w:val="557"/>
            </w:pPr>
            <w:r>
              <w:t>污水处理站</w:t>
            </w:r>
          </w:p>
        </w:tc>
      </w:tr>
      <w:tr w14:paraId="0F463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restart"/>
            <w:tcBorders>
              <w:top w:val="single" w:color="auto" w:sz="4" w:space="0"/>
              <w:left w:val="single" w:color="auto" w:sz="4" w:space="0"/>
              <w:right w:val="single" w:color="auto" w:sz="4" w:space="0"/>
            </w:tcBorders>
            <w:vAlign w:val="center"/>
          </w:tcPr>
          <w:p w14:paraId="7D9C6D13">
            <w:pPr>
              <w:pStyle w:val="557"/>
            </w:pPr>
            <w:r>
              <w:t>固废</w:t>
            </w:r>
          </w:p>
        </w:tc>
        <w:tc>
          <w:tcPr>
            <w:tcW w:w="417" w:type="pct"/>
            <w:tcBorders>
              <w:top w:val="single" w:color="auto" w:sz="4" w:space="0"/>
              <w:left w:val="single" w:color="auto" w:sz="4" w:space="0"/>
              <w:right w:val="single" w:color="auto" w:sz="4" w:space="0"/>
            </w:tcBorders>
            <w:vAlign w:val="center"/>
          </w:tcPr>
          <w:p w14:paraId="751165AA">
            <w:pPr>
              <w:pStyle w:val="557"/>
            </w:pPr>
            <w:r>
              <w:t>S</w:t>
            </w:r>
            <w:r>
              <w:rPr>
                <w:rFonts w:hint="eastAsia"/>
                <w:vertAlign w:val="subscript"/>
              </w:rPr>
              <w:t>5-</w:t>
            </w:r>
            <w:r>
              <w:rPr>
                <w:vertAlign w:val="subscript"/>
              </w:rPr>
              <w:t>1</w:t>
            </w:r>
          </w:p>
        </w:tc>
        <w:tc>
          <w:tcPr>
            <w:tcW w:w="1247" w:type="pct"/>
            <w:tcBorders>
              <w:top w:val="single" w:color="auto" w:sz="4" w:space="0"/>
              <w:left w:val="single" w:color="auto" w:sz="4" w:space="0"/>
              <w:bottom w:val="single" w:color="auto" w:sz="4" w:space="0"/>
              <w:right w:val="single" w:color="auto" w:sz="4" w:space="0"/>
            </w:tcBorders>
            <w:vAlign w:val="center"/>
          </w:tcPr>
          <w:p w14:paraId="37761D06">
            <w:pPr>
              <w:pStyle w:val="557"/>
            </w:pPr>
            <w:r>
              <w:rPr>
                <w:rFonts w:hint="eastAsia"/>
              </w:rPr>
              <w:t>废羰化催化剂</w:t>
            </w:r>
          </w:p>
        </w:tc>
        <w:tc>
          <w:tcPr>
            <w:tcW w:w="958" w:type="pct"/>
            <w:tcBorders>
              <w:top w:val="single" w:color="auto" w:sz="4" w:space="0"/>
              <w:left w:val="single" w:color="auto" w:sz="4" w:space="0"/>
              <w:bottom w:val="single" w:color="auto" w:sz="4" w:space="0"/>
              <w:right w:val="single" w:color="auto" w:sz="4" w:space="0"/>
            </w:tcBorders>
            <w:vAlign w:val="center"/>
          </w:tcPr>
          <w:p w14:paraId="4944492B">
            <w:pPr>
              <w:pStyle w:val="557"/>
            </w:pPr>
            <w:r>
              <w:t>/</w:t>
            </w:r>
          </w:p>
        </w:tc>
        <w:tc>
          <w:tcPr>
            <w:tcW w:w="706" w:type="pct"/>
            <w:tcBorders>
              <w:top w:val="single" w:color="auto" w:sz="4" w:space="0"/>
              <w:left w:val="single" w:color="auto" w:sz="4" w:space="0"/>
              <w:bottom w:val="single" w:color="auto" w:sz="4" w:space="0"/>
              <w:right w:val="single" w:color="auto" w:sz="4" w:space="0"/>
            </w:tcBorders>
            <w:vAlign w:val="center"/>
          </w:tcPr>
          <w:p w14:paraId="5BB7D63A">
            <w:pPr>
              <w:pStyle w:val="557"/>
            </w:pPr>
            <w:r>
              <w:t>连续</w:t>
            </w:r>
          </w:p>
        </w:tc>
        <w:tc>
          <w:tcPr>
            <w:tcW w:w="1277" w:type="pct"/>
            <w:tcBorders>
              <w:left w:val="single" w:color="auto" w:sz="4" w:space="0"/>
              <w:right w:val="single" w:color="auto" w:sz="4" w:space="0"/>
            </w:tcBorders>
            <w:vAlign w:val="center"/>
          </w:tcPr>
          <w:p w14:paraId="36A26695">
            <w:pPr>
              <w:pStyle w:val="557"/>
            </w:pPr>
            <w:r>
              <w:rPr>
                <w:rFonts w:hint="eastAsia"/>
              </w:rPr>
              <w:t>供应商回收</w:t>
            </w:r>
          </w:p>
        </w:tc>
      </w:tr>
      <w:tr w14:paraId="7753A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vMerge w:val="continue"/>
            <w:tcBorders>
              <w:top w:val="single" w:color="auto" w:sz="4" w:space="0"/>
              <w:left w:val="single" w:color="auto" w:sz="4" w:space="0"/>
              <w:right w:val="single" w:color="auto" w:sz="4" w:space="0"/>
            </w:tcBorders>
            <w:vAlign w:val="center"/>
          </w:tcPr>
          <w:p w14:paraId="12D69D85">
            <w:pPr>
              <w:pStyle w:val="557"/>
            </w:pPr>
          </w:p>
        </w:tc>
        <w:tc>
          <w:tcPr>
            <w:tcW w:w="417" w:type="pct"/>
            <w:tcBorders>
              <w:top w:val="single" w:color="auto" w:sz="4" w:space="0"/>
              <w:left w:val="single" w:color="auto" w:sz="4" w:space="0"/>
              <w:right w:val="single" w:color="auto" w:sz="4" w:space="0"/>
            </w:tcBorders>
            <w:vAlign w:val="center"/>
          </w:tcPr>
          <w:p w14:paraId="4E65C072">
            <w:pPr>
              <w:pStyle w:val="557"/>
            </w:pPr>
            <w:r>
              <w:t>S</w:t>
            </w:r>
            <w:r>
              <w:rPr>
                <w:rFonts w:hint="eastAsia"/>
                <w:vertAlign w:val="subscript"/>
              </w:rPr>
              <w:t>5-</w:t>
            </w:r>
            <w:r>
              <w:rPr>
                <w:vertAlign w:val="subscript"/>
              </w:rPr>
              <w:t>2</w:t>
            </w:r>
          </w:p>
        </w:tc>
        <w:tc>
          <w:tcPr>
            <w:tcW w:w="1247" w:type="pct"/>
            <w:tcBorders>
              <w:top w:val="single" w:color="auto" w:sz="4" w:space="0"/>
              <w:left w:val="single" w:color="auto" w:sz="4" w:space="0"/>
              <w:bottom w:val="single" w:color="auto" w:sz="4" w:space="0"/>
              <w:right w:val="single" w:color="auto" w:sz="4" w:space="0"/>
            </w:tcBorders>
            <w:vAlign w:val="center"/>
          </w:tcPr>
          <w:p w14:paraId="3094BA0B">
            <w:pPr>
              <w:pStyle w:val="557"/>
            </w:pPr>
            <w:r>
              <w:rPr>
                <w:rFonts w:hint="eastAsia"/>
              </w:rPr>
              <w:t>废瓷球</w:t>
            </w:r>
          </w:p>
        </w:tc>
        <w:tc>
          <w:tcPr>
            <w:tcW w:w="958" w:type="pct"/>
            <w:tcBorders>
              <w:top w:val="single" w:color="auto" w:sz="4" w:space="0"/>
              <w:left w:val="single" w:color="auto" w:sz="4" w:space="0"/>
              <w:bottom w:val="single" w:color="auto" w:sz="4" w:space="0"/>
              <w:right w:val="single" w:color="auto" w:sz="4" w:space="0"/>
            </w:tcBorders>
            <w:vAlign w:val="center"/>
          </w:tcPr>
          <w:p w14:paraId="54B20FA9">
            <w:pPr>
              <w:pStyle w:val="557"/>
            </w:pPr>
            <w:r>
              <w:t>/</w:t>
            </w:r>
          </w:p>
        </w:tc>
        <w:tc>
          <w:tcPr>
            <w:tcW w:w="706" w:type="pct"/>
            <w:tcBorders>
              <w:top w:val="single" w:color="auto" w:sz="4" w:space="0"/>
              <w:left w:val="single" w:color="auto" w:sz="4" w:space="0"/>
              <w:bottom w:val="single" w:color="auto" w:sz="4" w:space="0"/>
              <w:right w:val="single" w:color="auto" w:sz="4" w:space="0"/>
            </w:tcBorders>
          </w:tcPr>
          <w:p w14:paraId="4E0FB42A">
            <w:pPr>
              <w:pStyle w:val="557"/>
            </w:pPr>
            <w:r>
              <w:t>连续</w:t>
            </w:r>
          </w:p>
        </w:tc>
        <w:tc>
          <w:tcPr>
            <w:tcW w:w="1277" w:type="pct"/>
            <w:tcBorders>
              <w:left w:val="single" w:color="auto" w:sz="4" w:space="0"/>
              <w:right w:val="single" w:color="auto" w:sz="4" w:space="0"/>
            </w:tcBorders>
            <w:vAlign w:val="center"/>
          </w:tcPr>
          <w:p w14:paraId="4B7F8D11">
            <w:pPr>
              <w:pStyle w:val="557"/>
            </w:pPr>
            <w:r>
              <w:t>厂内暂存后送有资质单位处置</w:t>
            </w:r>
          </w:p>
        </w:tc>
      </w:tr>
      <w:tr w14:paraId="3FEC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93" w:type="pct"/>
            <w:tcBorders>
              <w:left w:val="single" w:color="auto" w:sz="4" w:space="0"/>
              <w:right w:val="single" w:color="auto" w:sz="4" w:space="0"/>
            </w:tcBorders>
            <w:vAlign w:val="center"/>
          </w:tcPr>
          <w:p w14:paraId="606992B5">
            <w:pPr>
              <w:pStyle w:val="557"/>
            </w:pPr>
            <w:r>
              <w:t>噪声</w:t>
            </w:r>
          </w:p>
        </w:tc>
        <w:tc>
          <w:tcPr>
            <w:tcW w:w="417" w:type="pct"/>
            <w:tcBorders>
              <w:left w:val="single" w:color="auto" w:sz="4" w:space="0"/>
              <w:right w:val="single" w:color="auto" w:sz="4" w:space="0"/>
            </w:tcBorders>
            <w:vAlign w:val="center"/>
          </w:tcPr>
          <w:p w14:paraId="4D2E0BFC">
            <w:pPr>
              <w:pStyle w:val="611"/>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5</w:t>
            </w:r>
          </w:p>
        </w:tc>
        <w:tc>
          <w:tcPr>
            <w:tcW w:w="1247" w:type="pct"/>
            <w:tcBorders>
              <w:left w:val="single" w:color="auto" w:sz="4" w:space="0"/>
              <w:right w:val="single" w:color="auto" w:sz="4" w:space="0"/>
            </w:tcBorders>
            <w:vAlign w:val="center"/>
          </w:tcPr>
          <w:p w14:paraId="7A8EA167">
            <w:pPr>
              <w:pStyle w:val="557"/>
            </w:pPr>
            <w:r>
              <w:t>机泵、风机等</w:t>
            </w:r>
          </w:p>
        </w:tc>
        <w:tc>
          <w:tcPr>
            <w:tcW w:w="958" w:type="pct"/>
            <w:tcBorders>
              <w:top w:val="single" w:color="auto" w:sz="4" w:space="0"/>
              <w:left w:val="single" w:color="auto" w:sz="4" w:space="0"/>
              <w:bottom w:val="single" w:color="auto" w:sz="4" w:space="0"/>
              <w:right w:val="single" w:color="auto" w:sz="4" w:space="0"/>
            </w:tcBorders>
            <w:vAlign w:val="center"/>
          </w:tcPr>
          <w:p w14:paraId="4CD2EAF9">
            <w:pPr>
              <w:pStyle w:val="557"/>
            </w:pPr>
            <w:r>
              <w:t>/</w:t>
            </w:r>
          </w:p>
        </w:tc>
        <w:tc>
          <w:tcPr>
            <w:tcW w:w="706" w:type="pct"/>
            <w:tcBorders>
              <w:top w:val="single" w:color="auto" w:sz="4" w:space="0"/>
              <w:left w:val="single" w:color="auto" w:sz="4" w:space="0"/>
              <w:bottom w:val="single" w:color="auto" w:sz="4" w:space="0"/>
              <w:right w:val="single" w:color="auto" w:sz="4" w:space="0"/>
            </w:tcBorders>
            <w:vAlign w:val="center"/>
          </w:tcPr>
          <w:p w14:paraId="528D245A">
            <w:pPr>
              <w:pStyle w:val="557"/>
            </w:pPr>
            <w:r>
              <w:t>噪声级85-95dB</w:t>
            </w:r>
          </w:p>
        </w:tc>
        <w:tc>
          <w:tcPr>
            <w:tcW w:w="1277" w:type="pct"/>
            <w:tcBorders>
              <w:left w:val="single" w:color="auto" w:sz="4" w:space="0"/>
              <w:right w:val="single" w:color="auto" w:sz="4" w:space="0"/>
            </w:tcBorders>
            <w:vAlign w:val="center"/>
          </w:tcPr>
          <w:p w14:paraId="0BB87EFE">
            <w:pPr>
              <w:pStyle w:val="557"/>
            </w:pPr>
            <w:r>
              <w:t>连续</w:t>
            </w:r>
          </w:p>
        </w:tc>
      </w:tr>
    </w:tbl>
    <w:p w14:paraId="72954397">
      <w:pPr>
        <w:pStyle w:val="281"/>
        <w:ind w:firstLine="480"/>
        <w:sectPr>
          <w:pgSz w:w="11906" w:h="16838"/>
          <w:pgMar w:top="1440" w:right="1800" w:bottom="1440" w:left="1800" w:header="851" w:footer="850" w:gutter="0"/>
          <w:cols w:space="425" w:num="1"/>
          <w:docGrid w:type="lines" w:linePitch="326" w:charSpace="0"/>
        </w:sectPr>
      </w:pPr>
    </w:p>
    <w:p w14:paraId="634EDFA1">
      <w:pPr>
        <w:pStyle w:val="281"/>
        <w:ind w:firstLine="0" w:firstLineChars="0"/>
        <w:jc w:val="center"/>
      </w:pPr>
    </w:p>
    <w:p w14:paraId="63E6135B">
      <w:pPr>
        <w:pStyle w:val="535"/>
        <w:rPr>
          <w:rFonts w:hint="eastAsia"/>
        </w:rPr>
      </w:pPr>
      <w:r>
        <w:rPr>
          <w:rFonts w:hint="eastAsia"/>
          <w:color w:val="auto"/>
        </w:rPr>
        <w:t>图</w:t>
      </w:r>
      <w:r>
        <w:rPr>
          <w:color w:val="auto"/>
        </w:rPr>
        <w:t>3.2.</w:t>
      </w:r>
      <w:r>
        <w:rPr>
          <w:rFonts w:hint="eastAsia"/>
          <w:color w:val="auto"/>
        </w:rPr>
        <w:t>6</w:t>
      </w:r>
      <w:r>
        <w:rPr>
          <w:color w:val="auto"/>
        </w:rPr>
        <w:t>-</w:t>
      </w:r>
      <w:r>
        <w:rPr>
          <w:rFonts w:hint="eastAsia"/>
          <w:color w:val="auto"/>
        </w:rPr>
        <w:t xml:space="preserve">1 </w:t>
      </w:r>
      <w:r>
        <w:rPr>
          <w:color w:val="auto"/>
        </w:rPr>
        <w:t xml:space="preserve">   </w:t>
      </w:r>
      <w:r>
        <w:rPr>
          <w:rFonts w:hint="eastAsia"/>
          <w:color w:val="auto"/>
        </w:rPr>
        <w:t>DMO装置工艺流程及产污环节图</w:t>
      </w:r>
    </w:p>
    <w:p w14:paraId="0C816B2B">
      <w:pPr>
        <w:pStyle w:val="281"/>
        <w:ind w:firstLine="480"/>
        <w:sectPr>
          <w:pgSz w:w="16838" w:h="11906" w:orient="landscape"/>
          <w:pgMar w:top="1800" w:right="1440" w:bottom="1800" w:left="1440" w:header="851" w:footer="850" w:gutter="0"/>
          <w:cols w:space="425" w:num="1"/>
          <w:docGrid w:type="lines" w:linePitch="326" w:charSpace="0"/>
        </w:sectPr>
      </w:pPr>
    </w:p>
    <w:p w14:paraId="5BF913AE">
      <w:pPr>
        <w:pStyle w:val="98"/>
        <w:rPr>
          <w:rFonts w:hint="eastAsia"/>
        </w:rPr>
      </w:pPr>
      <w:r>
        <w:rPr>
          <w:rFonts w:hint="eastAsia"/>
        </w:rPr>
        <w:t>主要设备</w:t>
      </w:r>
    </w:p>
    <w:p w14:paraId="7D74E9DA">
      <w:pPr>
        <w:pStyle w:val="281"/>
        <w:ind w:firstLine="480"/>
        <w:rPr>
          <w:rFonts w:cs="Times New Roman"/>
        </w:rPr>
      </w:pPr>
      <w:r>
        <w:rPr>
          <w:rFonts w:cs="Times New Roman"/>
        </w:rPr>
        <w:t>DMO</w:t>
      </w:r>
      <w:r>
        <w:rPr>
          <w:rFonts w:cs="Times New Roman"/>
          <w:kern w:val="2"/>
        </w:rPr>
        <w:t>装置</w:t>
      </w:r>
      <w:r>
        <w:rPr>
          <w:rFonts w:cs="Times New Roman"/>
        </w:rPr>
        <w:t>主要设备见表3.2.6-</w:t>
      </w:r>
      <w:r>
        <w:rPr>
          <w:rFonts w:hint="eastAsia" w:cs="Times New Roman"/>
        </w:rPr>
        <w:t>4</w:t>
      </w:r>
      <w:r>
        <w:rPr>
          <w:rFonts w:cs="Times New Roman"/>
        </w:rPr>
        <w:t>。</w:t>
      </w:r>
    </w:p>
    <w:p w14:paraId="093C42C4">
      <w:pPr>
        <w:pStyle w:val="645"/>
        <w:rPr>
          <w:rFonts w:hint="eastAsia"/>
        </w:rPr>
      </w:pPr>
      <w:r>
        <w:rPr>
          <w:rFonts w:hint="eastAsia"/>
        </w:rPr>
        <w:t>表3.2.6-4    DMO装置主要设备表</w:t>
      </w:r>
    </w:p>
    <w:p w14:paraId="67DA0256">
      <w:pPr>
        <w:pStyle w:val="281"/>
        <w:ind w:firstLine="0" w:firstLineChars="0"/>
        <w:rPr>
          <w:rFonts w:cs="Times New Roman"/>
        </w:rPr>
      </w:pPr>
    </w:p>
    <w:p w14:paraId="319892BB">
      <w:pPr>
        <w:pStyle w:val="281"/>
        <w:ind w:firstLine="480"/>
        <w:rPr>
          <w:rFonts w:cs="Times New Roman"/>
        </w:rPr>
      </w:pPr>
    </w:p>
    <w:p w14:paraId="4541E294">
      <w:pPr>
        <w:pStyle w:val="98"/>
        <w:rPr>
          <w:rFonts w:hint="eastAsia"/>
        </w:rPr>
      </w:pPr>
      <w:r>
        <w:rPr>
          <w:rFonts w:hint="eastAsia"/>
        </w:rPr>
        <w:t>物料平衡</w:t>
      </w:r>
    </w:p>
    <w:p w14:paraId="0B9E2F05">
      <w:pPr>
        <w:pStyle w:val="814"/>
        <w:rPr>
          <w:rFonts w:hint="eastAsia"/>
        </w:rPr>
      </w:pPr>
      <w:r>
        <w:rPr>
          <w:rFonts w:hint="eastAsia"/>
        </w:rPr>
        <w:t>物料平衡</w:t>
      </w:r>
    </w:p>
    <w:p w14:paraId="4E7E91D5">
      <w:pPr>
        <w:pStyle w:val="281"/>
        <w:ind w:firstLine="480"/>
      </w:pPr>
      <w:r>
        <w:rPr>
          <w:rFonts w:hint="eastAsia"/>
        </w:rPr>
        <w:t>DMO装置物料平衡见</w:t>
      </w:r>
      <w:r>
        <w:rPr>
          <w:rFonts w:cs="Times New Roman"/>
        </w:rPr>
        <w:t>表3.2.</w:t>
      </w:r>
      <w:r>
        <w:rPr>
          <w:rFonts w:hint="eastAsia" w:cs="Times New Roman"/>
        </w:rPr>
        <w:t>6-5</w:t>
      </w:r>
      <w:r>
        <w:rPr>
          <w:rFonts w:cs="Times New Roman"/>
        </w:rPr>
        <w:t>；</w:t>
      </w:r>
    </w:p>
    <w:p w14:paraId="68AD6900">
      <w:pPr>
        <w:pStyle w:val="535"/>
        <w:rPr>
          <w:rFonts w:hint="eastAsia"/>
          <w:color w:val="auto"/>
        </w:rPr>
      </w:pPr>
      <w:r>
        <w:rPr>
          <w:rFonts w:hint="eastAsia"/>
          <w:color w:val="auto"/>
        </w:rPr>
        <w:t>表3.2.6-5</w:t>
      </w:r>
      <w:r>
        <w:rPr>
          <w:color w:val="auto"/>
        </w:rPr>
        <w:t xml:space="preserve">     </w:t>
      </w:r>
      <w:r>
        <w:rPr>
          <w:rFonts w:hint="eastAsia"/>
        </w:rPr>
        <w:t>DMO装置</w:t>
      </w:r>
      <w:r>
        <w:rPr>
          <w:rFonts w:hint="eastAsia"/>
          <w:color w:val="auto"/>
        </w:rPr>
        <w:t>物料平衡表</w:t>
      </w:r>
    </w:p>
    <w:p w14:paraId="5FA20FEC">
      <w:pPr>
        <w:pStyle w:val="814"/>
        <w:rPr>
          <w:rFonts w:hint="eastAsia"/>
        </w:rPr>
      </w:pPr>
      <w:r>
        <w:rPr>
          <w:rFonts w:hint="eastAsia"/>
        </w:rPr>
        <w:t>水平衡</w:t>
      </w:r>
    </w:p>
    <w:p w14:paraId="6749B24A">
      <w:pPr>
        <w:pStyle w:val="281"/>
        <w:ind w:firstLine="480"/>
      </w:pPr>
      <w:r>
        <w:rPr>
          <w:rFonts w:hint="eastAsia"/>
        </w:rPr>
        <w:t>DMO装置水平衡见表3.2.6-6；</w:t>
      </w:r>
    </w:p>
    <w:p w14:paraId="1149ADC2">
      <w:pPr>
        <w:pStyle w:val="535"/>
        <w:rPr>
          <w:rFonts w:hint="eastAsia"/>
          <w:color w:val="auto"/>
        </w:rPr>
      </w:pPr>
      <w:r>
        <w:rPr>
          <w:rFonts w:hint="eastAsia"/>
          <w:color w:val="auto"/>
        </w:rPr>
        <w:t>表3.2.6-6</w:t>
      </w:r>
      <w:r>
        <w:rPr>
          <w:color w:val="auto"/>
        </w:rPr>
        <w:t xml:space="preserve">    </w:t>
      </w:r>
      <w:r>
        <w:rPr>
          <w:rFonts w:hint="eastAsia"/>
        </w:rPr>
        <w:t>DMO装置水</w:t>
      </w:r>
      <w:r>
        <w:rPr>
          <w:rFonts w:hint="eastAsia"/>
          <w:color w:val="auto"/>
        </w:rPr>
        <w:t>平衡表</w:t>
      </w:r>
    </w:p>
    <w:p w14:paraId="529B9C07">
      <w:pPr>
        <w:pStyle w:val="814"/>
        <w:rPr>
          <w:rFonts w:hint="eastAsia"/>
        </w:rPr>
      </w:pPr>
      <w:r>
        <w:rPr>
          <w:rFonts w:hint="eastAsia"/>
        </w:rPr>
        <w:t>碳平衡</w:t>
      </w:r>
    </w:p>
    <w:p w14:paraId="36BDAD5B">
      <w:pPr>
        <w:pStyle w:val="281"/>
        <w:ind w:firstLine="480"/>
      </w:pPr>
      <w:r>
        <w:rPr>
          <w:rFonts w:hint="eastAsia"/>
        </w:rPr>
        <w:t>DMO装置碳平衡见表3.2.6-7；</w:t>
      </w:r>
    </w:p>
    <w:p w14:paraId="25B05CB8">
      <w:pPr>
        <w:pStyle w:val="535"/>
        <w:rPr>
          <w:rFonts w:hint="eastAsia"/>
          <w:color w:val="auto"/>
        </w:rPr>
      </w:pPr>
      <w:r>
        <w:rPr>
          <w:rFonts w:hint="eastAsia"/>
          <w:color w:val="auto"/>
        </w:rPr>
        <w:t>表3.2.6-7</w:t>
      </w:r>
      <w:r>
        <w:rPr>
          <w:color w:val="auto"/>
        </w:rPr>
        <w:t xml:space="preserve">    </w:t>
      </w:r>
      <w:r>
        <w:rPr>
          <w:rFonts w:hint="eastAsia"/>
        </w:rPr>
        <w:t>DMO装置碳</w:t>
      </w:r>
      <w:r>
        <w:rPr>
          <w:rFonts w:hint="eastAsia"/>
          <w:color w:val="auto"/>
        </w:rPr>
        <w:t>平衡表</w:t>
      </w:r>
    </w:p>
    <w:p w14:paraId="79E1BE74">
      <w:pPr>
        <w:rPr>
          <w:rFonts w:hint="eastAsia"/>
        </w:rPr>
      </w:pPr>
    </w:p>
    <w:p w14:paraId="64547082">
      <w:pPr>
        <w:pStyle w:val="98"/>
        <w:rPr>
          <w:rFonts w:hint="eastAsia"/>
        </w:rPr>
      </w:pPr>
      <w:r>
        <w:rPr>
          <w:rFonts w:hint="eastAsia"/>
        </w:rPr>
        <w:t>污染物源强核算</w:t>
      </w:r>
    </w:p>
    <w:p w14:paraId="166D1B8C">
      <w:pPr>
        <w:pStyle w:val="814"/>
        <w:rPr>
          <w:rFonts w:hint="eastAsia"/>
        </w:rPr>
      </w:pPr>
      <w:bookmarkStart w:id="173" w:name="_Hlk150647903"/>
      <w:r>
        <w:rPr>
          <w:rFonts w:hint="eastAsia"/>
        </w:rPr>
        <w:t>废气</w:t>
      </w:r>
    </w:p>
    <w:p w14:paraId="72C6880C">
      <w:pPr>
        <w:pStyle w:val="281"/>
        <w:ind w:firstLine="480"/>
      </w:pPr>
      <w:r>
        <w:rPr>
          <w:rFonts w:hint="eastAsia"/>
        </w:rPr>
        <w:t>无组织废气：</w:t>
      </w:r>
    </w:p>
    <w:p w14:paraId="455E2B6C">
      <w:pPr>
        <w:pStyle w:val="281"/>
        <w:ind w:firstLine="480"/>
      </w:pPr>
      <w:r>
        <w:rPr>
          <w:rFonts w:hint="eastAsia"/>
        </w:rPr>
        <w:t>DMO装置设备动静密封点无组织排放</w:t>
      </w:r>
      <w:r>
        <w:rPr>
          <w:bCs/>
        </w:rPr>
        <w:t>挥发性有机物</w:t>
      </w:r>
      <w:r>
        <w:rPr>
          <w:rFonts w:hint="eastAsia"/>
        </w:rPr>
        <w:t>依据《污染源源强核算技术指南 化肥工业（HJ994-2018）》</w:t>
      </w:r>
      <w:r>
        <w:rPr>
          <w:rFonts w:hint="eastAsia" w:ascii="宋体" w:hAnsi="宋体"/>
          <w:bCs/>
        </w:rPr>
        <w:t>设备与管线组件密封点泄漏挥发性有机物排放量计算方法</w:t>
      </w:r>
      <w:r>
        <w:rPr>
          <w:rFonts w:hint="eastAsia"/>
        </w:rPr>
        <w:t>。DMO装置挥发性有机物</w:t>
      </w:r>
      <w:r>
        <w:rPr>
          <w:rFonts w:hint="eastAsia"/>
          <w:u w:color="000000"/>
        </w:rPr>
        <w:t>无组织排放</w:t>
      </w:r>
      <w:r>
        <w:rPr>
          <w:rFonts w:hint="eastAsia" w:ascii="宋体" w:hAnsi="宋体"/>
          <w:bCs/>
        </w:rPr>
        <w:t>计算结果见</w:t>
      </w:r>
      <w:r>
        <w:rPr>
          <w:rFonts w:hint="eastAsia"/>
        </w:rPr>
        <w:t>表3.2.6-7。</w:t>
      </w:r>
    </w:p>
    <w:p w14:paraId="48B499D6">
      <w:pPr>
        <w:pStyle w:val="541"/>
        <w:rPr>
          <w:rFonts w:hint="eastAsia"/>
          <w:u w:color="000000"/>
        </w:rPr>
      </w:pPr>
      <w:r>
        <w:rPr>
          <w:rFonts w:hint="eastAsia"/>
        </w:rPr>
        <w:t>表3.2.6-7</w:t>
      </w:r>
      <w:r>
        <w:rPr>
          <w:u w:color="000000"/>
        </w:rPr>
        <w:t xml:space="preserve"> </w:t>
      </w:r>
      <w:r>
        <w:rPr>
          <w:rFonts w:hint="eastAsia"/>
          <w:u w:color="000000"/>
        </w:rPr>
        <w:t xml:space="preserve"> </w:t>
      </w:r>
      <w:r>
        <w:rPr>
          <w:u w:color="000000"/>
        </w:rPr>
        <w:t xml:space="preserve"> </w:t>
      </w:r>
      <w:r>
        <w:rPr>
          <w:rFonts w:hint="eastAsia"/>
          <w:u w:color="000000"/>
        </w:rPr>
        <w:t xml:space="preserve"> </w:t>
      </w:r>
      <w:r>
        <w:rPr>
          <w:rFonts w:hint="eastAsia"/>
        </w:rPr>
        <w:t>DMO装置</w:t>
      </w:r>
      <w:r>
        <w:rPr>
          <w:rFonts w:hint="eastAsia"/>
          <w:u w:color="000000"/>
        </w:rPr>
        <w:t>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096"/>
        <w:gridCol w:w="1026"/>
        <w:gridCol w:w="1257"/>
        <w:gridCol w:w="1066"/>
      </w:tblGrid>
      <w:tr w14:paraId="6F7D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noWrap/>
            <w:vAlign w:val="center"/>
          </w:tcPr>
          <w:p w14:paraId="537E8B25">
            <w:pPr>
              <w:pStyle w:val="557"/>
            </w:pPr>
            <w:r>
              <w:t>设备类型</w:t>
            </w:r>
          </w:p>
        </w:tc>
        <w:tc>
          <w:tcPr>
            <w:tcW w:w="1559" w:type="dxa"/>
            <w:noWrap/>
            <w:vAlign w:val="center"/>
          </w:tcPr>
          <w:p w14:paraId="38ACF391">
            <w:pPr>
              <w:pStyle w:val="557"/>
            </w:pPr>
            <w:r>
              <w:t>排放系数e</w:t>
            </w:r>
            <w:r>
              <w:rPr>
                <w:vertAlign w:val="subscript"/>
              </w:rPr>
              <w:t>TOC,i</w:t>
            </w:r>
          </w:p>
        </w:tc>
        <w:tc>
          <w:tcPr>
            <w:tcW w:w="1096" w:type="dxa"/>
            <w:noWrap/>
            <w:vAlign w:val="center"/>
          </w:tcPr>
          <w:p w14:paraId="5E08D572">
            <w:pPr>
              <w:pStyle w:val="557"/>
            </w:pPr>
            <w:r>
              <w:t>个数</w:t>
            </w:r>
          </w:p>
        </w:tc>
        <w:tc>
          <w:tcPr>
            <w:tcW w:w="0" w:type="auto"/>
            <w:noWrap/>
            <w:vAlign w:val="center"/>
          </w:tcPr>
          <w:p w14:paraId="13F1531A">
            <w:pPr>
              <w:pStyle w:val="557"/>
            </w:pPr>
            <w:r>
              <w:t>排放时间h</w:t>
            </w:r>
          </w:p>
        </w:tc>
        <w:tc>
          <w:tcPr>
            <w:tcW w:w="0" w:type="auto"/>
            <w:noWrap/>
            <w:vAlign w:val="center"/>
          </w:tcPr>
          <w:p w14:paraId="2C0DDA5F">
            <w:pPr>
              <w:pStyle w:val="557"/>
            </w:pPr>
            <w:r>
              <w:t>排放速率kg/h</w:t>
            </w:r>
          </w:p>
        </w:tc>
        <w:tc>
          <w:tcPr>
            <w:tcW w:w="0" w:type="auto"/>
            <w:noWrap/>
            <w:vAlign w:val="center"/>
          </w:tcPr>
          <w:p w14:paraId="2A7F44C1">
            <w:pPr>
              <w:pStyle w:val="557"/>
            </w:pPr>
            <w:r>
              <w:t>排放量kg/a</w:t>
            </w:r>
          </w:p>
        </w:tc>
      </w:tr>
      <w:tr w14:paraId="3FAE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C20F2C9">
            <w:pPr>
              <w:pStyle w:val="557"/>
            </w:pPr>
            <w:r>
              <w:t>连接件</w:t>
            </w:r>
          </w:p>
        </w:tc>
        <w:tc>
          <w:tcPr>
            <w:tcW w:w="1559" w:type="dxa"/>
            <w:noWrap/>
            <w:vAlign w:val="center"/>
          </w:tcPr>
          <w:p w14:paraId="570EEBB3">
            <w:pPr>
              <w:jc w:val="center"/>
              <w:textAlignment w:val="center"/>
              <w:rPr>
                <w:rFonts w:hint="eastAsia"/>
              </w:rPr>
            </w:pPr>
            <w:r>
              <w:rPr>
                <w:rFonts w:ascii="Times New Roman" w:hAnsi="Times New Roman" w:cs="Times New Roman"/>
                <w:color w:val="000000"/>
                <w:sz w:val="18"/>
                <w:szCs w:val="18"/>
              </w:rPr>
              <w:t>0.028</w:t>
            </w:r>
          </w:p>
        </w:tc>
        <w:tc>
          <w:tcPr>
            <w:tcW w:w="1096" w:type="dxa"/>
            <w:noWrap/>
            <w:vAlign w:val="center"/>
          </w:tcPr>
          <w:p w14:paraId="72751455">
            <w:pPr>
              <w:jc w:val="center"/>
              <w:textAlignment w:val="center"/>
              <w:rPr>
                <w:rFonts w:hint="eastAsia"/>
              </w:rPr>
            </w:pPr>
            <w:r>
              <w:rPr>
                <w:rFonts w:ascii="Times New Roman" w:hAnsi="Times New Roman" w:cs="Times New Roman"/>
                <w:color w:val="000000"/>
                <w:sz w:val="18"/>
                <w:szCs w:val="18"/>
              </w:rPr>
              <w:t>1000</w:t>
            </w:r>
          </w:p>
        </w:tc>
        <w:tc>
          <w:tcPr>
            <w:tcW w:w="1026" w:type="dxa"/>
            <w:noWrap/>
            <w:vAlign w:val="center"/>
          </w:tcPr>
          <w:p w14:paraId="1099E6B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7B3481E5">
            <w:pPr>
              <w:jc w:val="center"/>
              <w:textAlignment w:val="center"/>
              <w:rPr>
                <w:rFonts w:hint="eastAsia"/>
              </w:rPr>
            </w:pPr>
            <w:r>
              <w:rPr>
                <w:rFonts w:ascii="Times New Roman" w:hAnsi="Times New Roman" w:cs="Times New Roman"/>
                <w:color w:val="000000"/>
                <w:sz w:val="18"/>
                <w:szCs w:val="18"/>
              </w:rPr>
              <w:t>28</w:t>
            </w:r>
          </w:p>
        </w:tc>
        <w:tc>
          <w:tcPr>
            <w:tcW w:w="1066" w:type="dxa"/>
            <w:noWrap/>
            <w:vAlign w:val="center"/>
          </w:tcPr>
          <w:p w14:paraId="28682DB9">
            <w:pPr>
              <w:jc w:val="center"/>
              <w:textAlignment w:val="center"/>
              <w:rPr>
                <w:rFonts w:hint="eastAsia"/>
              </w:rPr>
            </w:pPr>
            <w:r>
              <w:rPr>
                <w:rFonts w:ascii="Times New Roman" w:hAnsi="Times New Roman" w:cs="Times New Roman"/>
                <w:color w:val="000000"/>
                <w:sz w:val="18"/>
                <w:szCs w:val="18"/>
              </w:rPr>
              <w:t>224000</w:t>
            </w:r>
          </w:p>
        </w:tc>
      </w:tr>
      <w:tr w14:paraId="55B3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2FC891E7">
            <w:pPr>
              <w:pStyle w:val="557"/>
            </w:pPr>
            <w:r>
              <w:t>开口阀或开口管线</w:t>
            </w:r>
          </w:p>
        </w:tc>
        <w:tc>
          <w:tcPr>
            <w:tcW w:w="1559" w:type="dxa"/>
            <w:noWrap/>
            <w:vAlign w:val="center"/>
          </w:tcPr>
          <w:p w14:paraId="3C920D88">
            <w:pPr>
              <w:jc w:val="center"/>
              <w:textAlignment w:val="center"/>
              <w:rPr>
                <w:rFonts w:hint="eastAsia"/>
              </w:rPr>
            </w:pPr>
            <w:r>
              <w:rPr>
                <w:rFonts w:ascii="Times New Roman" w:hAnsi="Times New Roman" w:cs="Times New Roman"/>
                <w:color w:val="000000"/>
                <w:sz w:val="18"/>
                <w:szCs w:val="18"/>
              </w:rPr>
              <w:t>0.03</w:t>
            </w:r>
          </w:p>
        </w:tc>
        <w:tc>
          <w:tcPr>
            <w:tcW w:w="1096" w:type="dxa"/>
            <w:noWrap/>
            <w:vAlign w:val="center"/>
          </w:tcPr>
          <w:p w14:paraId="4A1DE03D">
            <w:pPr>
              <w:jc w:val="center"/>
              <w:textAlignment w:val="center"/>
              <w:rPr>
                <w:rFonts w:hint="eastAsia"/>
              </w:rPr>
            </w:pPr>
            <w:r>
              <w:rPr>
                <w:rFonts w:ascii="Times New Roman" w:hAnsi="Times New Roman" w:cs="Times New Roman"/>
                <w:color w:val="000000"/>
                <w:sz w:val="18"/>
                <w:szCs w:val="18"/>
              </w:rPr>
              <w:t>10</w:t>
            </w:r>
          </w:p>
        </w:tc>
        <w:tc>
          <w:tcPr>
            <w:tcW w:w="1026" w:type="dxa"/>
            <w:noWrap/>
            <w:vAlign w:val="center"/>
          </w:tcPr>
          <w:p w14:paraId="77306916">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173C6489">
            <w:pPr>
              <w:jc w:val="center"/>
              <w:textAlignment w:val="center"/>
              <w:rPr>
                <w:rFonts w:hint="eastAsia"/>
              </w:rPr>
            </w:pPr>
            <w:r>
              <w:rPr>
                <w:rFonts w:ascii="Times New Roman" w:hAnsi="Times New Roman" w:cs="Times New Roman"/>
                <w:color w:val="000000"/>
                <w:sz w:val="18"/>
                <w:szCs w:val="18"/>
              </w:rPr>
              <w:t>0.3</w:t>
            </w:r>
          </w:p>
        </w:tc>
        <w:tc>
          <w:tcPr>
            <w:tcW w:w="1066" w:type="dxa"/>
            <w:noWrap/>
            <w:vAlign w:val="center"/>
          </w:tcPr>
          <w:p w14:paraId="02E992D9">
            <w:pPr>
              <w:jc w:val="center"/>
              <w:textAlignment w:val="center"/>
              <w:rPr>
                <w:rFonts w:hint="eastAsia"/>
              </w:rPr>
            </w:pPr>
            <w:r>
              <w:rPr>
                <w:rFonts w:ascii="Times New Roman" w:hAnsi="Times New Roman" w:cs="Times New Roman"/>
                <w:color w:val="000000"/>
                <w:sz w:val="18"/>
                <w:szCs w:val="18"/>
              </w:rPr>
              <w:t>2400</w:t>
            </w:r>
          </w:p>
        </w:tc>
      </w:tr>
      <w:tr w14:paraId="2C57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562C6318">
            <w:pPr>
              <w:pStyle w:val="557"/>
            </w:pPr>
            <w:r>
              <w:t>阀门</w:t>
            </w:r>
          </w:p>
        </w:tc>
        <w:tc>
          <w:tcPr>
            <w:tcW w:w="1559" w:type="dxa"/>
            <w:noWrap/>
            <w:vAlign w:val="center"/>
          </w:tcPr>
          <w:p w14:paraId="7FE26090">
            <w:pPr>
              <w:jc w:val="center"/>
              <w:textAlignment w:val="center"/>
              <w:rPr>
                <w:rFonts w:hint="eastAsia"/>
              </w:rPr>
            </w:pPr>
            <w:r>
              <w:rPr>
                <w:rFonts w:ascii="Times New Roman" w:hAnsi="Times New Roman" w:cs="Times New Roman"/>
                <w:color w:val="000000"/>
                <w:sz w:val="18"/>
                <w:szCs w:val="18"/>
              </w:rPr>
              <w:t>0.064</w:t>
            </w:r>
          </w:p>
        </w:tc>
        <w:tc>
          <w:tcPr>
            <w:tcW w:w="1096" w:type="dxa"/>
            <w:noWrap/>
            <w:vAlign w:val="center"/>
          </w:tcPr>
          <w:p w14:paraId="2A9F7424">
            <w:pPr>
              <w:jc w:val="center"/>
              <w:textAlignment w:val="center"/>
              <w:rPr>
                <w:rFonts w:hint="eastAsia"/>
              </w:rPr>
            </w:pPr>
            <w:r>
              <w:rPr>
                <w:rFonts w:ascii="Times New Roman" w:hAnsi="Times New Roman" w:cs="Times New Roman"/>
                <w:color w:val="000000"/>
                <w:sz w:val="18"/>
                <w:szCs w:val="18"/>
              </w:rPr>
              <w:t>100</w:t>
            </w:r>
          </w:p>
        </w:tc>
        <w:tc>
          <w:tcPr>
            <w:tcW w:w="1026" w:type="dxa"/>
            <w:noWrap/>
            <w:vAlign w:val="center"/>
          </w:tcPr>
          <w:p w14:paraId="42375E6C">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612E2ACD">
            <w:pPr>
              <w:jc w:val="center"/>
              <w:textAlignment w:val="center"/>
              <w:rPr>
                <w:rFonts w:hint="eastAsia"/>
              </w:rPr>
            </w:pPr>
            <w:r>
              <w:rPr>
                <w:rFonts w:ascii="Times New Roman" w:hAnsi="Times New Roman" w:cs="Times New Roman"/>
                <w:color w:val="000000"/>
                <w:sz w:val="18"/>
                <w:szCs w:val="18"/>
              </w:rPr>
              <w:t>6.4</w:t>
            </w:r>
          </w:p>
        </w:tc>
        <w:tc>
          <w:tcPr>
            <w:tcW w:w="1066" w:type="dxa"/>
            <w:noWrap/>
            <w:vAlign w:val="center"/>
          </w:tcPr>
          <w:p w14:paraId="432CE4F2">
            <w:pPr>
              <w:jc w:val="center"/>
              <w:textAlignment w:val="center"/>
              <w:rPr>
                <w:rFonts w:hint="eastAsia"/>
              </w:rPr>
            </w:pPr>
            <w:r>
              <w:rPr>
                <w:rFonts w:ascii="Times New Roman" w:hAnsi="Times New Roman" w:cs="Times New Roman"/>
                <w:color w:val="000000"/>
                <w:sz w:val="18"/>
                <w:szCs w:val="18"/>
              </w:rPr>
              <w:t>51200</w:t>
            </w:r>
          </w:p>
        </w:tc>
      </w:tr>
      <w:tr w14:paraId="20BF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586236A">
            <w:pPr>
              <w:pStyle w:val="557"/>
            </w:pPr>
            <w:r>
              <w:t>压缩机、搅拌器、泄压设备</w:t>
            </w:r>
          </w:p>
        </w:tc>
        <w:tc>
          <w:tcPr>
            <w:tcW w:w="1559" w:type="dxa"/>
            <w:noWrap/>
            <w:vAlign w:val="center"/>
          </w:tcPr>
          <w:p w14:paraId="46096E2D">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72D497ED">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60D5484C">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71436658">
            <w:pPr>
              <w:jc w:val="center"/>
              <w:textAlignment w:val="center"/>
              <w:rPr>
                <w:rFonts w:hint="eastAsia"/>
              </w:rPr>
            </w:pPr>
            <w:r>
              <w:rPr>
                <w:rFonts w:hint="eastAsia"/>
                <w:color w:val="000000"/>
              </w:rPr>
              <w:t>/</w:t>
            </w:r>
          </w:p>
        </w:tc>
        <w:tc>
          <w:tcPr>
            <w:tcW w:w="1066" w:type="dxa"/>
            <w:noWrap/>
            <w:vAlign w:val="center"/>
          </w:tcPr>
          <w:p w14:paraId="41BA3CE6">
            <w:pPr>
              <w:jc w:val="center"/>
              <w:textAlignment w:val="center"/>
              <w:rPr>
                <w:rFonts w:hint="eastAsia"/>
              </w:rPr>
            </w:pPr>
            <w:r>
              <w:rPr>
                <w:rFonts w:hint="eastAsia"/>
                <w:color w:val="000000"/>
              </w:rPr>
              <w:t>/</w:t>
            </w:r>
          </w:p>
        </w:tc>
      </w:tr>
      <w:tr w14:paraId="51E1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5D229105">
            <w:pPr>
              <w:pStyle w:val="557"/>
            </w:pPr>
            <w:r>
              <w:t>泵</w:t>
            </w:r>
          </w:p>
        </w:tc>
        <w:tc>
          <w:tcPr>
            <w:tcW w:w="1559" w:type="dxa"/>
            <w:noWrap/>
            <w:vAlign w:val="center"/>
          </w:tcPr>
          <w:p w14:paraId="122252CC">
            <w:pPr>
              <w:jc w:val="center"/>
              <w:textAlignment w:val="center"/>
              <w:rPr>
                <w:rFonts w:hint="eastAsia"/>
              </w:rPr>
            </w:pPr>
            <w:r>
              <w:rPr>
                <w:rFonts w:ascii="Times New Roman" w:hAnsi="Times New Roman" w:cs="Times New Roman"/>
                <w:color w:val="000000"/>
                <w:sz w:val="18"/>
                <w:szCs w:val="18"/>
              </w:rPr>
              <w:t>0.074</w:t>
            </w:r>
          </w:p>
        </w:tc>
        <w:tc>
          <w:tcPr>
            <w:tcW w:w="1096" w:type="dxa"/>
            <w:noWrap/>
            <w:vAlign w:val="center"/>
          </w:tcPr>
          <w:p w14:paraId="49CF17C1">
            <w:pPr>
              <w:jc w:val="center"/>
              <w:textAlignment w:val="center"/>
              <w:rPr>
                <w:rFonts w:hint="eastAsia"/>
              </w:rPr>
            </w:pPr>
            <w:r>
              <w:rPr>
                <w:rFonts w:ascii="Times New Roman" w:hAnsi="Times New Roman" w:cs="Times New Roman"/>
                <w:color w:val="000000"/>
                <w:sz w:val="18"/>
                <w:szCs w:val="18"/>
              </w:rPr>
              <w:t>/</w:t>
            </w:r>
          </w:p>
        </w:tc>
        <w:tc>
          <w:tcPr>
            <w:tcW w:w="1026" w:type="dxa"/>
            <w:noWrap/>
            <w:vAlign w:val="center"/>
          </w:tcPr>
          <w:p w14:paraId="28CF1112">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2ACE9DBB">
            <w:pPr>
              <w:jc w:val="center"/>
              <w:rPr>
                <w:rFonts w:hint="eastAsia"/>
              </w:rPr>
            </w:pPr>
            <w:r>
              <w:rPr>
                <w:rFonts w:hint="eastAsia"/>
              </w:rPr>
              <w:t>/</w:t>
            </w:r>
          </w:p>
        </w:tc>
        <w:tc>
          <w:tcPr>
            <w:tcW w:w="1066" w:type="dxa"/>
            <w:noWrap/>
            <w:vAlign w:val="center"/>
          </w:tcPr>
          <w:p w14:paraId="5385DFA1">
            <w:pPr>
              <w:jc w:val="center"/>
              <w:rPr>
                <w:rFonts w:hint="eastAsia"/>
              </w:rPr>
            </w:pPr>
            <w:r>
              <w:rPr>
                <w:rFonts w:hint="eastAsia"/>
              </w:rPr>
              <w:t>/</w:t>
            </w:r>
          </w:p>
        </w:tc>
      </w:tr>
      <w:tr w14:paraId="3C39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2FE07AD">
            <w:pPr>
              <w:pStyle w:val="557"/>
            </w:pPr>
            <w:r>
              <w:t>法兰</w:t>
            </w:r>
          </w:p>
        </w:tc>
        <w:tc>
          <w:tcPr>
            <w:tcW w:w="1559" w:type="dxa"/>
            <w:noWrap/>
            <w:vAlign w:val="center"/>
          </w:tcPr>
          <w:p w14:paraId="26793EBB">
            <w:pPr>
              <w:jc w:val="center"/>
              <w:textAlignment w:val="center"/>
              <w:rPr>
                <w:rFonts w:hint="eastAsia"/>
              </w:rPr>
            </w:pPr>
            <w:r>
              <w:rPr>
                <w:rFonts w:ascii="Times New Roman" w:hAnsi="Times New Roman" w:cs="Times New Roman"/>
                <w:color w:val="000000"/>
                <w:sz w:val="18"/>
                <w:szCs w:val="18"/>
              </w:rPr>
              <w:t>0.085</w:t>
            </w:r>
          </w:p>
        </w:tc>
        <w:tc>
          <w:tcPr>
            <w:tcW w:w="1096" w:type="dxa"/>
            <w:noWrap/>
            <w:vAlign w:val="center"/>
          </w:tcPr>
          <w:p w14:paraId="14685F55">
            <w:pPr>
              <w:jc w:val="center"/>
              <w:textAlignment w:val="center"/>
              <w:rPr>
                <w:rFonts w:hint="eastAsia"/>
              </w:rPr>
            </w:pPr>
            <w:r>
              <w:rPr>
                <w:rFonts w:ascii="Times New Roman" w:hAnsi="Times New Roman" w:cs="Times New Roman"/>
                <w:color w:val="000000"/>
                <w:sz w:val="18"/>
                <w:szCs w:val="18"/>
              </w:rPr>
              <w:t>1500</w:t>
            </w:r>
          </w:p>
        </w:tc>
        <w:tc>
          <w:tcPr>
            <w:tcW w:w="1026" w:type="dxa"/>
            <w:noWrap/>
            <w:vAlign w:val="center"/>
          </w:tcPr>
          <w:p w14:paraId="031DF9BA">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300210BD">
            <w:pPr>
              <w:jc w:val="center"/>
              <w:textAlignment w:val="center"/>
              <w:rPr>
                <w:rFonts w:hint="eastAsia"/>
              </w:rPr>
            </w:pPr>
            <w:r>
              <w:rPr>
                <w:rFonts w:ascii="Times New Roman" w:hAnsi="Times New Roman" w:cs="Times New Roman"/>
                <w:color w:val="000000"/>
                <w:sz w:val="18"/>
                <w:szCs w:val="18"/>
              </w:rPr>
              <w:t>136</w:t>
            </w:r>
          </w:p>
        </w:tc>
        <w:tc>
          <w:tcPr>
            <w:tcW w:w="1066" w:type="dxa"/>
            <w:noWrap/>
            <w:vAlign w:val="center"/>
          </w:tcPr>
          <w:p w14:paraId="5A48F708">
            <w:pPr>
              <w:jc w:val="center"/>
              <w:textAlignment w:val="center"/>
              <w:rPr>
                <w:rFonts w:hint="eastAsia"/>
              </w:rPr>
            </w:pPr>
            <w:r>
              <w:rPr>
                <w:rFonts w:ascii="Times New Roman" w:hAnsi="Times New Roman" w:cs="Times New Roman"/>
                <w:color w:val="000000"/>
                <w:sz w:val="18"/>
                <w:szCs w:val="18"/>
              </w:rPr>
              <w:t>1088000</w:t>
            </w:r>
          </w:p>
        </w:tc>
      </w:tr>
      <w:tr w14:paraId="24CF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06B93A8">
            <w:pPr>
              <w:pStyle w:val="557"/>
            </w:pPr>
            <w:r>
              <w:t>其他</w:t>
            </w:r>
          </w:p>
        </w:tc>
        <w:tc>
          <w:tcPr>
            <w:tcW w:w="1559" w:type="dxa"/>
            <w:noWrap/>
            <w:vAlign w:val="center"/>
          </w:tcPr>
          <w:p w14:paraId="0A0C47BC">
            <w:pPr>
              <w:jc w:val="center"/>
              <w:textAlignment w:val="center"/>
              <w:rPr>
                <w:rFonts w:hint="eastAsia"/>
              </w:rPr>
            </w:pPr>
            <w:r>
              <w:rPr>
                <w:rFonts w:ascii="Times New Roman" w:hAnsi="Times New Roman" w:cs="Times New Roman"/>
                <w:color w:val="000000"/>
                <w:sz w:val="18"/>
                <w:szCs w:val="18"/>
              </w:rPr>
              <w:t>0.073</w:t>
            </w:r>
          </w:p>
        </w:tc>
        <w:tc>
          <w:tcPr>
            <w:tcW w:w="1096" w:type="dxa"/>
            <w:noWrap/>
            <w:vAlign w:val="center"/>
          </w:tcPr>
          <w:p w14:paraId="1428B783">
            <w:pPr>
              <w:jc w:val="center"/>
              <w:textAlignment w:val="center"/>
              <w:rPr>
                <w:rFonts w:hint="eastAsia"/>
              </w:rPr>
            </w:pPr>
            <w:r>
              <w:rPr>
                <w:rFonts w:ascii="Times New Roman" w:hAnsi="Times New Roman" w:cs="Times New Roman"/>
                <w:color w:val="000000"/>
                <w:sz w:val="18"/>
                <w:szCs w:val="18"/>
              </w:rPr>
              <w:t>20</w:t>
            </w:r>
          </w:p>
        </w:tc>
        <w:tc>
          <w:tcPr>
            <w:tcW w:w="1026" w:type="dxa"/>
            <w:noWrap/>
            <w:vAlign w:val="center"/>
          </w:tcPr>
          <w:p w14:paraId="7914E99D">
            <w:pPr>
              <w:jc w:val="center"/>
              <w:textAlignment w:val="center"/>
              <w:rPr>
                <w:rFonts w:hint="eastAsia"/>
              </w:rPr>
            </w:pPr>
            <w:r>
              <w:rPr>
                <w:rFonts w:ascii="Times New Roman" w:hAnsi="Times New Roman" w:cs="Times New Roman"/>
                <w:color w:val="000000"/>
                <w:sz w:val="18"/>
                <w:szCs w:val="18"/>
              </w:rPr>
              <w:t>8000</w:t>
            </w:r>
          </w:p>
        </w:tc>
        <w:tc>
          <w:tcPr>
            <w:tcW w:w="1257" w:type="dxa"/>
            <w:noWrap/>
            <w:vAlign w:val="center"/>
          </w:tcPr>
          <w:p w14:paraId="325321C0">
            <w:pPr>
              <w:jc w:val="center"/>
              <w:textAlignment w:val="center"/>
              <w:rPr>
                <w:rFonts w:hint="eastAsia"/>
              </w:rPr>
            </w:pPr>
            <w:r>
              <w:rPr>
                <w:rFonts w:ascii="Times New Roman" w:hAnsi="Times New Roman" w:cs="Times New Roman"/>
                <w:color w:val="000000"/>
                <w:sz w:val="18"/>
                <w:szCs w:val="18"/>
              </w:rPr>
              <w:t>1.46</w:t>
            </w:r>
          </w:p>
        </w:tc>
        <w:tc>
          <w:tcPr>
            <w:tcW w:w="1066" w:type="dxa"/>
            <w:noWrap/>
            <w:vAlign w:val="center"/>
          </w:tcPr>
          <w:p w14:paraId="3A428403">
            <w:pPr>
              <w:jc w:val="center"/>
              <w:textAlignment w:val="center"/>
              <w:rPr>
                <w:rFonts w:hint="eastAsia"/>
              </w:rPr>
            </w:pPr>
            <w:r>
              <w:rPr>
                <w:rFonts w:ascii="Times New Roman" w:hAnsi="Times New Roman" w:cs="Times New Roman"/>
                <w:color w:val="000000"/>
                <w:sz w:val="18"/>
                <w:szCs w:val="18"/>
              </w:rPr>
              <w:t>11680</w:t>
            </w:r>
          </w:p>
        </w:tc>
      </w:tr>
      <w:tr w14:paraId="4BD3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F2E4E4C">
            <w:pPr>
              <w:pStyle w:val="557"/>
            </w:pPr>
            <w:r>
              <w:t>合计</w:t>
            </w:r>
          </w:p>
        </w:tc>
        <w:tc>
          <w:tcPr>
            <w:tcW w:w="1559" w:type="dxa"/>
            <w:noWrap/>
            <w:vAlign w:val="center"/>
          </w:tcPr>
          <w:p w14:paraId="6E7E800A">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0602F5F3">
            <w:pPr>
              <w:jc w:val="center"/>
              <w:rPr>
                <w:rFonts w:hint="eastAsia"/>
              </w:rPr>
            </w:pPr>
          </w:p>
        </w:tc>
        <w:tc>
          <w:tcPr>
            <w:tcW w:w="1026" w:type="dxa"/>
            <w:noWrap/>
            <w:vAlign w:val="center"/>
          </w:tcPr>
          <w:p w14:paraId="3AA21790">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776EB033">
            <w:pPr>
              <w:jc w:val="center"/>
              <w:textAlignment w:val="center"/>
              <w:rPr>
                <w:rFonts w:hint="eastAsia"/>
              </w:rPr>
            </w:pPr>
            <w:r>
              <w:rPr>
                <w:rFonts w:ascii="Times New Roman" w:hAnsi="Times New Roman" w:cs="Times New Roman"/>
                <w:color w:val="000000"/>
                <w:sz w:val="18"/>
                <w:szCs w:val="18"/>
              </w:rPr>
              <w:t>172.16</w:t>
            </w:r>
          </w:p>
        </w:tc>
        <w:tc>
          <w:tcPr>
            <w:tcW w:w="1066" w:type="dxa"/>
            <w:noWrap/>
            <w:vAlign w:val="center"/>
          </w:tcPr>
          <w:p w14:paraId="6C6A79E7">
            <w:pPr>
              <w:jc w:val="center"/>
              <w:textAlignment w:val="center"/>
              <w:rPr>
                <w:rFonts w:hint="eastAsia"/>
              </w:rPr>
            </w:pPr>
            <w:r>
              <w:rPr>
                <w:rFonts w:ascii="Times New Roman" w:hAnsi="Times New Roman" w:cs="Times New Roman"/>
                <w:color w:val="000000"/>
                <w:sz w:val="18"/>
                <w:szCs w:val="18"/>
              </w:rPr>
              <w:t>1377280</w:t>
            </w:r>
          </w:p>
        </w:tc>
      </w:tr>
      <w:tr w14:paraId="18CE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D612DCA">
            <w:pPr>
              <w:pStyle w:val="557"/>
            </w:pPr>
            <w:r>
              <w:t>E</w:t>
            </w:r>
            <w:r>
              <w:rPr>
                <w:vertAlign w:val="subscript"/>
              </w:rPr>
              <w:t>设备</w:t>
            </w:r>
          </w:p>
        </w:tc>
        <w:tc>
          <w:tcPr>
            <w:tcW w:w="1559" w:type="dxa"/>
            <w:noWrap/>
            <w:vAlign w:val="center"/>
          </w:tcPr>
          <w:p w14:paraId="64265C6C">
            <w:pPr>
              <w:jc w:val="center"/>
              <w:textAlignment w:val="center"/>
              <w:rPr>
                <w:rFonts w:hint="eastAsia"/>
              </w:rPr>
            </w:pPr>
            <w:r>
              <w:rPr>
                <w:rFonts w:ascii="Times New Roman" w:hAnsi="Times New Roman" w:cs="Times New Roman"/>
                <w:color w:val="000000"/>
                <w:sz w:val="18"/>
                <w:szCs w:val="18"/>
              </w:rPr>
              <w:t>/</w:t>
            </w:r>
          </w:p>
        </w:tc>
        <w:tc>
          <w:tcPr>
            <w:tcW w:w="1096" w:type="dxa"/>
            <w:noWrap/>
            <w:vAlign w:val="center"/>
          </w:tcPr>
          <w:p w14:paraId="2EB4845C">
            <w:pPr>
              <w:jc w:val="center"/>
              <w:rPr>
                <w:rFonts w:hint="eastAsia"/>
              </w:rPr>
            </w:pPr>
          </w:p>
        </w:tc>
        <w:tc>
          <w:tcPr>
            <w:tcW w:w="1026" w:type="dxa"/>
            <w:noWrap/>
            <w:vAlign w:val="center"/>
          </w:tcPr>
          <w:p w14:paraId="5E469131">
            <w:pPr>
              <w:jc w:val="center"/>
              <w:textAlignment w:val="center"/>
              <w:rPr>
                <w:rFonts w:hint="eastAsia"/>
              </w:rPr>
            </w:pPr>
            <w:r>
              <w:rPr>
                <w:rFonts w:ascii="Times New Roman" w:hAnsi="Times New Roman" w:cs="Times New Roman"/>
                <w:color w:val="000000"/>
                <w:sz w:val="18"/>
                <w:szCs w:val="18"/>
              </w:rPr>
              <w:t>/</w:t>
            </w:r>
          </w:p>
        </w:tc>
        <w:tc>
          <w:tcPr>
            <w:tcW w:w="1257" w:type="dxa"/>
            <w:noWrap/>
            <w:vAlign w:val="center"/>
          </w:tcPr>
          <w:p w14:paraId="543CE17C">
            <w:pPr>
              <w:jc w:val="center"/>
              <w:textAlignment w:val="center"/>
              <w:rPr>
                <w:rFonts w:hint="eastAsia"/>
              </w:rPr>
            </w:pPr>
            <w:r>
              <w:rPr>
                <w:rFonts w:ascii="Times New Roman" w:hAnsi="Times New Roman" w:cs="Times New Roman"/>
                <w:color w:val="000000"/>
                <w:sz w:val="18"/>
                <w:szCs w:val="18"/>
              </w:rPr>
              <w:t xml:space="preserve">0.52 </w:t>
            </w:r>
          </w:p>
        </w:tc>
        <w:tc>
          <w:tcPr>
            <w:tcW w:w="1066" w:type="dxa"/>
            <w:noWrap/>
            <w:vAlign w:val="center"/>
          </w:tcPr>
          <w:p w14:paraId="3EA34656">
            <w:pPr>
              <w:jc w:val="center"/>
              <w:textAlignment w:val="center"/>
              <w:rPr>
                <w:rFonts w:hint="eastAsia"/>
              </w:rPr>
            </w:pPr>
            <w:r>
              <w:rPr>
                <w:rFonts w:ascii="Times New Roman" w:hAnsi="Times New Roman" w:cs="Times New Roman"/>
                <w:color w:val="000000"/>
                <w:sz w:val="18"/>
                <w:szCs w:val="18"/>
              </w:rPr>
              <w:t>4.13</w:t>
            </w:r>
            <w:r>
              <w:rPr>
                <w:rFonts w:hint="eastAsia" w:ascii="Times New Roman" w:hAnsi="Times New Roman" w:cs="Times New Roman"/>
                <w:color w:val="000000"/>
                <w:sz w:val="18"/>
                <w:szCs w:val="18"/>
              </w:rPr>
              <w:t>t/a</w:t>
            </w:r>
          </w:p>
        </w:tc>
      </w:tr>
    </w:tbl>
    <w:p w14:paraId="37CD9C82">
      <w:pPr>
        <w:pStyle w:val="814"/>
        <w:rPr>
          <w:rFonts w:hint="eastAsia"/>
        </w:rPr>
      </w:pPr>
      <w:r>
        <w:rPr>
          <w:rFonts w:hint="eastAsia"/>
        </w:rPr>
        <w:t>废水</w:t>
      </w:r>
    </w:p>
    <w:p w14:paraId="65FA069C">
      <w:pPr>
        <w:pStyle w:val="626"/>
        <w:ind w:firstLine="480"/>
        <w:rPr>
          <w:rFonts w:ascii="Times New Roman" w:hAnsi="Times New Roman" w:eastAsia="宋体"/>
          <w:u w:color="000000"/>
        </w:rPr>
      </w:pPr>
      <w:r>
        <w:rPr>
          <w:rFonts w:hint="eastAsia"/>
        </w:rPr>
        <w:t>根据《污染源源强核算技术指南 准则》（HJ</w:t>
      </w:r>
      <w:r>
        <w:t>88</w:t>
      </w:r>
      <w:r>
        <w:rPr>
          <w:rFonts w:hint="eastAsia"/>
        </w:rPr>
        <w:t>4-2018），</w:t>
      </w:r>
      <w:r>
        <w:rPr>
          <w:rFonts w:ascii="Times New Roman" w:hAnsi="Times New Roman" w:eastAsia="宋体" w:cs="Times New Roman"/>
        </w:rPr>
        <w:t>DMO装</w:t>
      </w:r>
      <w:r>
        <w:rPr>
          <w:rFonts w:hint="eastAsia" w:eastAsia="宋体"/>
        </w:rPr>
        <w:t>置</w:t>
      </w:r>
      <w:r>
        <w:rPr>
          <w:rFonts w:hint="eastAsia"/>
        </w:rPr>
        <w:t>废水产生量采用</w:t>
      </w:r>
      <w:r>
        <w:rPr>
          <w:rFonts w:hint="eastAsia" w:eastAsia="宋体"/>
        </w:rPr>
        <w:t>物料衡算</w:t>
      </w:r>
      <w:r>
        <w:rPr>
          <w:rFonts w:hint="eastAsia"/>
        </w:rPr>
        <w:t>法计算</w:t>
      </w:r>
      <w:r>
        <w:rPr>
          <w:rFonts w:hint="eastAsia" w:eastAsia="宋体"/>
        </w:rPr>
        <w:t>，废水源强依据设计资料，</w:t>
      </w:r>
      <w:r>
        <w:rPr>
          <w:rFonts w:ascii="Times New Roman" w:hAnsi="Times New Roman" w:eastAsia="宋体" w:cs="Times New Roman"/>
        </w:rPr>
        <w:t>DMO</w:t>
      </w:r>
      <w:r>
        <w:rPr>
          <w:rFonts w:hint="eastAsia"/>
        </w:rPr>
        <w:t>装置</w:t>
      </w:r>
      <w:r>
        <w:rPr>
          <w:rFonts w:ascii="Times New Roman" w:hAnsi="Times New Roman" w:eastAsia="宋体"/>
          <w:u w:color="000000"/>
        </w:rPr>
        <w:t>废水产</w:t>
      </w:r>
      <w:r>
        <w:rPr>
          <w:rStyle w:val="282"/>
          <w:rFonts w:eastAsia="宋体"/>
        </w:rPr>
        <w:t>排情况见</w:t>
      </w:r>
      <w:r>
        <w:rPr>
          <w:rStyle w:val="282"/>
          <w:rFonts w:hint="eastAsia" w:ascii="宋体" w:hAnsi="宋体" w:eastAsia="宋体"/>
        </w:rPr>
        <w:t>表</w:t>
      </w:r>
      <w:r>
        <w:rPr>
          <w:rStyle w:val="282"/>
        </w:rPr>
        <w:t>3.2.6-</w:t>
      </w:r>
      <w:r>
        <w:rPr>
          <w:rStyle w:val="282"/>
          <w:rFonts w:hint="eastAsia" w:eastAsiaTheme="minorEastAsia"/>
        </w:rPr>
        <w:t>8</w:t>
      </w:r>
      <w:r>
        <w:rPr>
          <w:rStyle w:val="282"/>
          <w:rFonts w:hint="eastAsia" w:eastAsia="宋体"/>
        </w:rPr>
        <w:t>；</w:t>
      </w:r>
    </w:p>
    <w:p w14:paraId="43DC7147">
      <w:pPr>
        <w:pStyle w:val="535"/>
        <w:rPr>
          <w:rFonts w:hint="eastAsia"/>
        </w:rPr>
      </w:pPr>
      <w:r>
        <w:rPr>
          <w:rFonts w:hint="eastAsia"/>
          <w:color w:val="auto"/>
        </w:rPr>
        <w:t>表</w:t>
      </w:r>
      <w:r>
        <w:rPr>
          <w:color w:val="auto"/>
        </w:rPr>
        <w:t>3.2.6-</w:t>
      </w:r>
      <w:r>
        <w:rPr>
          <w:rFonts w:hint="eastAsia"/>
        </w:rPr>
        <w:t>8</w:t>
      </w:r>
      <w:r>
        <w:rPr>
          <w:rFonts w:hint="eastAsia" w:cs="黑体"/>
        </w:rPr>
        <w:t xml:space="preserve">    </w:t>
      </w:r>
      <w:r>
        <w:rPr>
          <w:rFonts w:ascii="Times New Roman" w:hAnsi="Times New Roman" w:cs="Times New Roman"/>
        </w:rPr>
        <w:t>DMO装置</w:t>
      </w:r>
      <w:r>
        <w:rPr>
          <w:rFonts w:hint="eastAsia"/>
        </w:rPr>
        <w:t>废水产排情况表</w:t>
      </w:r>
    </w:p>
    <w:tbl>
      <w:tblPr>
        <w:tblStyle w:val="6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68"/>
        <w:gridCol w:w="811"/>
        <w:gridCol w:w="1041"/>
        <w:gridCol w:w="993"/>
        <w:gridCol w:w="993"/>
        <w:gridCol w:w="997"/>
        <w:gridCol w:w="877"/>
        <w:gridCol w:w="866"/>
      </w:tblGrid>
      <w:tr w14:paraId="134A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7AF28C21">
            <w:pPr>
              <w:pStyle w:val="557"/>
            </w:pPr>
            <w:r>
              <w:t>编号</w:t>
            </w:r>
          </w:p>
        </w:tc>
        <w:tc>
          <w:tcPr>
            <w:tcW w:w="744" w:type="pct"/>
            <w:vMerge w:val="restart"/>
            <w:vAlign w:val="center"/>
          </w:tcPr>
          <w:p w14:paraId="45F6B7F0">
            <w:pPr>
              <w:pStyle w:val="557"/>
            </w:pPr>
            <w:r>
              <w:t>排放源</w:t>
            </w:r>
          </w:p>
        </w:tc>
        <w:tc>
          <w:tcPr>
            <w:tcW w:w="476" w:type="pct"/>
            <w:vMerge w:val="restart"/>
            <w:vAlign w:val="center"/>
          </w:tcPr>
          <w:p w14:paraId="24FB4609">
            <w:pPr>
              <w:pStyle w:val="557"/>
            </w:pPr>
            <w:r>
              <w:t>污染物</w:t>
            </w:r>
          </w:p>
        </w:tc>
        <w:tc>
          <w:tcPr>
            <w:tcW w:w="611" w:type="pct"/>
            <w:vMerge w:val="restart"/>
            <w:vAlign w:val="center"/>
          </w:tcPr>
          <w:p w14:paraId="56BA848F">
            <w:pPr>
              <w:pStyle w:val="557"/>
            </w:pPr>
            <w:r>
              <w:t>核算方法</w:t>
            </w:r>
          </w:p>
        </w:tc>
        <w:tc>
          <w:tcPr>
            <w:tcW w:w="583" w:type="pct"/>
            <w:vMerge w:val="restart"/>
            <w:vAlign w:val="center"/>
          </w:tcPr>
          <w:p w14:paraId="4C7C521E">
            <w:pPr>
              <w:pStyle w:val="557"/>
            </w:pPr>
            <w:r>
              <w:t>废水量（kg/h）</w:t>
            </w:r>
          </w:p>
        </w:tc>
        <w:tc>
          <w:tcPr>
            <w:tcW w:w="1168" w:type="pct"/>
            <w:gridSpan w:val="2"/>
            <w:vAlign w:val="center"/>
          </w:tcPr>
          <w:p w14:paraId="58671F84">
            <w:pPr>
              <w:pStyle w:val="557"/>
            </w:pPr>
            <w:r>
              <w:t>污染物产生情况</w:t>
            </w:r>
          </w:p>
        </w:tc>
        <w:tc>
          <w:tcPr>
            <w:tcW w:w="515" w:type="pct"/>
            <w:vMerge w:val="restart"/>
            <w:vAlign w:val="center"/>
          </w:tcPr>
          <w:p w14:paraId="0730E3E6">
            <w:pPr>
              <w:pStyle w:val="557"/>
            </w:pPr>
            <w:r>
              <w:t>处置措施</w:t>
            </w:r>
          </w:p>
        </w:tc>
        <w:tc>
          <w:tcPr>
            <w:tcW w:w="508" w:type="pct"/>
            <w:vMerge w:val="restart"/>
            <w:vAlign w:val="center"/>
          </w:tcPr>
          <w:p w14:paraId="79A392F7">
            <w:pPr>
              <w:pStyle w:val="557"/>
            </w:pPr>
            <w:r>
              <w:t>排放时间（h）</w:t>
            </w:r>
          </w:p>
        </w:tc>
      </w:tr>
      <w:tr w14:paraId="0AAF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tcBorders>
              <w:bottom w:val="single" w:color="auto" w:sz="4" w:space="0"/>
            </w:tcBorders>
            <w:vAlign w:val="center"/>
          </w:tcPr>
          <w:p w14:paraId="1C9D8936">
            <w:pPr>
              <w:pStyle w:val="557"/>
            </w:pPr>
          </w:p>
        </w:tc>
        <w:tc>
          <w:tcPr>
            <w:tcW w:w="744" w:type="pct"/>
            <w:vMerge w:val="continue"/>
            <w:tcBorders>
              <w:bottom w:val="single" w:color="auto" w:sz="4" w:space="0"/>
            </w:tcBorders>
            <w:vAlign w:val="center"/>
          </w:tcPr>
          <w:p w14:paraId="62A58CDF">
            <w:pPr>
              <w:pStyle w:val="557"/>
            </w:pPr>
          </w:p>
        </w:tc>
        <w:tc>
          <w:tcPr>
            <w:tcW w:w="476" w:type="pct"/>
            <w:vMerge w:val="continue"/>
            <w:tcBorders>
              <w:bottom w:val="single" w:color="auto" w:sz="4" w:space="0"/>
            </w:tcBorders>
            <w:vAlign w:val="center"/>
          </w:tcPr>
          <w:p w14:paraId="041A1FF5">
            <w:pPr>
              <w:pStyle w:val="557"/>
            </w:pPr>
          </w:p>
        </w:tc>
        <w:tc>
          <w:tcPr>
            <w:tcW w:w="611" w:type="pct"/>
            <w:vMerge w:val="continue"/>
            <w:tcBorders>
              <w:bottom w:val="single" w:color="auto" w:sz="4" w:space="0"/>
            </w:tcBorders>
            <w:vAlign w:val="center"/>
          </w:tcPr>
          <w:p w14:paraId="79489E6A">
            <w:pPr>
              <w:pStyle w:val="557"/>
            </w:pPr>
          </w:p>
        </w:tc>
        <w:tc>
          <w:tcPr>
            <w:tcW w:w="583" w:type="pct"/>
            <w:vMerge w:val="continue"/>
            <w:tcBorders>
              <w:bottom w:val="single" w:color="auto" w:sz="4" w:space="0"/>
            </w:tcBorders>
            <w:vAlign w:val="center"/>
          </w:tcPr>
          <w:p w14:paraId="71F25359">
            <w:pPr>
              <w:pStyle w:val="557"/>
            </w:pPr>
          </w:p>
        </w:tc>
        <w:tc>
          <w:tcPr>
            <w:tcW w:w="583" w:type="pct"/>
            <w:tcBorders>
              <w:bottom w:val="single" w:color="auto" w:sz="4" w:space="0"/>
            </w:tcBorders>
            <w:vAlign w:val="center"/>
          </w:tcPr>
          <w:p w14:paraId="78746D7F">
            <w:pPr>
              <w:pStyle w:val="557"/>
            </w:pPr>
            <w:r>
              <w:t>产生浓度（mg/L）</w:t>
            </w:r>
          </w:p>
        </w:tc>
        <w:tc>
          <w:tcPr>
            <w:tcW w:w="585" w:type="pct"/>
            <w:tcBorders>
              <w:bottom w:val="single" w:color="auto" w:sz="4" w:space="0"/>
            </w:tcBorders>
            <w:vAlign w:val="center"/>
          </w:tcPr>
          <w:p w14:paraId="25999E32">
            <w:pPr>
              <w:pStyle w:val="557"/>
            </w:pPr>
            <w:r>
              <w:t>产生量（kg/h）</w:t>
            </w:r>
          </w:p>
        </w:tc>
        <w:tc>
          <w:tcPr>
            <w:tcW w:w="515" w:type="pct"/>
            <w:vMerge w:val="continue"/>
            <w:tcBorders>
              <w:bottom w:val="single" w:color="auto" w:sz="4" w:space="0"/>
            </w:tcBorders>
            <w:vAlign w:val="center"/>
          </w:tcPr>
          <w:p w14:paraId="11569DC9">
            <w:pPr>
              <w:pStyle w:val="557"/>
            </w:pPr>
          </w:p>
        </w:tc>
        <w:tc>
          <w:tcPr>
            <w:tcW w:w="508" w:type="pct"/>
            <w:vMerge w:val="continue"/>
            <w:tcBorders>
              <w:bottom w:val="single" w:color="auto" w:sz="4" w:space="0"/>
            </w:tcBorders>
            <w:vAlign w:val="center"/>
          </w:tcPr>
          <w:p w14:paraId="42EFF5A5">
            <w:pPr>
              <w:pStyle w:val="557"/>
            </w:pPr>
          </w:p>
        </w:tc>
      </w:tr>
      <w:tr w14:paraId="4E15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0DF4026F">
            <w:pPr>
              <w:pStyle w:val="557"/>
            </w:pPr>
            <w:r>
              <w:t>W</w:t>
            </w:r>
            <w:r>
              <w:rPr>
                <w:vertAlign w:val="subscript"/>
              </w:rPr>
              <w:t>5-1</w:t>
            </w:r>
          </w:p>
        </w:tc>
        <w:tc>
          <w:tcPr>
            <w:tcW w:w="744" w:type="pct"/>
            <w:vMerge w:val="restart"/>
            <w:vAlign w:val="center"/>
          </w:tcPr>
          <w:p w14:paraId="650E13D8">
            <w:pPr>
              <w:pStyle w:val="557"/>
            </w:pPr>
            <w:r>
              <w:rPr>
                <w:rFonts w:hint="eastAsia"/>
              </w:rPr>
              <w:t>硝酸提浓塔顶馏出液</w:t>
            </w:r>
          </w:p>
        </w:tc>
        <w:tc>
          <w:tcPr>
            <w:tcW w:w="476" w:type="pct"/>
            <w:vAlign w:val="center"/>
          </w:tcPr>
          <w:p w14:paraId="681C3629">
            <w:pPr>
              <w:pStyle w:val="557"/>
            </w:pPr>
            <w:r>
              <w:t>COD</w:t>
            </w:r>
          </w:p>
        </w:tc>
        <w:tc>
          <w:tcPr>
            <w:tcW w:w="611" w:type="pct"/>
            <w:vMerge w:val="restart"/>
            <w:vAlign w:val="center"/>
          </w:tcPr>
          <w:p w14:paraId="1D56A3EE">
            <w:pPr>
              <w:pStyle w:val="557"/>
            </w:pPr>
            <w:r>
              <w:rPr>
                <w:rFonts w:hint="eastAsia"/>
              </w:rPr>
              <w:t>物料衡算法</w:t>
            </w:r>
          </w:p>
        </w:tc>
        <w:tc>
          <w:tcPr>
            <w:tcW w:w="583" w:type="pct"/>
            <w:vMerge w:val="restart"/>
            <w:vAlign w:val="center"/>
          </w:tcPr>
          <w:p w14:paraId="1FDB9D8E">
            <w:pPr>
              <w:pStyle w:val="557"/>
            </w:pPr>
            <w:r>
              <w:rPr>
                <w:rFonts w:hint="eastAsia"/>
              </w:rPr>
              <w:t>14000</w:t>
            </w:r>
          </w:p>
        </w:tc>
        <w:tc>
          <w:tcPr>
            <w:tcW w:w="583" w:type="pct"/>
            <w:vAlign w:val="center"/>
          </w:tcPr>
          <w:p w14:paraId="47381DFD">
            <w:pPr>
              <w:pStyle w:val="557"/>
            </w:pPr>
            <w:r>
              <w:rPr>
                <w:rFonts w:hint="eastAsia"/>
              </w:rPr>
              <w:t>154</w:t>
            </w:r>
          </w:p>
        </w:tc>
        <w:tc>
          <w:tcPr>
            <w:tcW w:w="585" w:type="pct"/>
            <w:vAlign w:val="center"/>
          </w:tcPr>
          <w:p w14:paraId="4EE33EBD">
            <w:pPr>
              <w:pStyle w:val="557"/>
            </w:pPr>
            <w:r>
              <w:rPr>
                <w:rFonts w:hint="eastAsia"/>
              </w:rPr>
              <w:t>2.16</w:t>
            </w:r>
          </w:p>
        </w:tc>
        <w:tc>
          <w:tcPr>
            <w:tcW w:w="515" w:type="pct"/>
            <w:vMerge w:val="restart"/>
            <w:vAlign w:val="center"/>
          </w:tcPr>
          <w:p w14:paraId="7EEAAB9A">
            <w:pPr>
              <w:pStyle w:val="557"/>
            </w:pPr>
            <w:r>
              <w:rPr>
                <w:rFonts w:hint="eastAsia"/>
              </w:rPr>
              <w:t>厂内污水处理站</w:t>
            </w:r>
          </w:p>
        </w:tc>
        <w:tc>
          <w:tcPr>
            <w:tcW w:w="508" w:type="pct"/>
            <w:vMerge w:val="restart"/>
            <w:vAlign w:val="center"/>
          </w:tcPr>
          <w:p w14:paraId="0BC63613">
            <w:pPr>
              <w:pStyle w:val="557"/>
            </w:pPr>
            <w:r>
              <w:t>8000</w:t>
            </w:r>
          </w:p>
        </w:tc>
      </w:tr>
      <w:tr w14:paraId="2E4D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1C4FA531">
            <w:pPr>
              <w:pStyle w:val="557"/>
            </w:pPr>
          </w:p>
        </w:tc>
        <w:tc>
          <w:tcPr>
            <w:tcW w:w="744" w:type="pct"/>
            <w:vMerge w:val="continue"/>
            <w:vAlign w:val="center"/>
          </w:tcPr>
          <w:p w14:paraId="3680F708">
            <w:pPr>
              <w:pStyle w:val="557"/>
            </w:pPr>
          </w:p>
        </w:tc>
        <w:tc>
          <w:tcPr>
            <w:tcW w:w="476" w:type="pct"/>
            <w:vAlign w:val="center"/>
          </w:tcPr>
          <w:p w14:paraId="0C91CA85">
            <w:pPr>
              <w:pStyle w:val="557"/>
            </w:pPr>
            <w:r>
              <w:rPr>
                <w:rFonts w:hint="eastAsia"/>
              </w:rPr>
              <w:t>BOD</w:t>
            </w:r>
          </w:p>
        </w:tc>
        <w:tc>
          <w:tcPr>
            <w:tcW w:w="611" w:type="pct"/>
            <w:vMerge w:val="continue"/>
            <w:vAlign w:val="center"/>
          </w:tcPr>
          <w:p w14:paraId="50131746">
            <w:pPr>
              <w:pStyle w:val="557"/>
            </w:pPr>
          </w:p>
        </w:tc>
        <w:tc>
          <w:tcPr>
            <w:tcW w:w="583" w:type="pct"/>
            <w:vMerge w:val="continue"/>
            <w:vAlign w:val="center"/>
          </w:tcPr>
          <w:p w14:paraId="0770B2CC">
            <w:pPr>
              <w:pStyle w:val="557"/>
            </w:pPr>
          </w:p>
        </w:tc>
        <w:tc>
          <w:tcPr>
            <w:tcW w:w="583" w:type="pct"/>
            <w:vAlign w:val="center"/>
          </w:tcPr>
          <w:p w14:paraId="0987F1D6">
            <w:pPr>
              <w:pStyle w:val="557"/>
            </w:pPr>
            <w:r>
              <w:rPr>
                <w:rFonts w:hint="eastAsia"/>
              </w:rPr>
              <w:t>38.6</w:t>
            </w:r>
          </w:p>
        </w:tc>
        <w:tc>
          <w:tcPr>
            <w:tcW w:w="585" w:type="pct"/>
            <w:vAlign w:val="center"/>
          </w:tcPr>
          <w:p w14:paraId="3F555B49">
            <w:pPr>
              <w:pStyle w:val="557"/>
            </w:pPr>
            <w:r>
              <w:rPr>
                <w:rFonts w:hint="eastAsia"/>
              </w:rPr>
              <w:t>0.54</w:t>
            </w:r>
          </w:p>
        </w:tc>
        <w:tc>
          <w:tcPr>
            <w:tcW w:w="515" w:type="pct"/>
            <w:vMerge w:val="continue"/>
            <w:vAlign w:val="center"/>
          </w:tcPr>
          <w:p w14:paraId="489BD05E">
            <w:pPr>
              <w:pStyle w:val="557"/>
            </w:pPr>
          </w:p>
        </w:tc>
        <w:tc>
          <w:tcPr>
            <w:tcW w:w="508" w:type="pct"/>
            <w:vMerge w:val="continue"/>
            <w:vAlign w:val="center"/>
          </w:tcPr>
          <w:p w14:paraId="1C957F9E">
            <w:pPr>
              <w:pStyle w:val="557"/>
            </w:pPr>
          </w:p>
        </w:tc>
      </w:tr>
      <w:tr w14:paraId="3092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Align w:val="center"/>
          </w:tcPr>
          <w:p w14:paraId="6E16C210">
            <w:pPr>
              <w:pStyle w:val="557"/>
            </w:pPr>
            <w:r>
              <w:t>W</w:t>
            </w:r>
            <w:r>
              <w:rPr>
                <w:vertAlign w:val="subscript"/>
              </w:rPr>
              <w:t>5-2</w:t>
            </w:r>
          </w:p>
        </w:tc>
        <w:tc>
          <w:tcPr>
            <w:tcW w:w="744" w:type="pct"/>
            <w:vAlign w:val="center"/>
          </w:tcPr>
          <w:p w14:paraId="7A1FD286">
            <w:pPr>
              <w:pStyle w:val="557"/>
            </w:pPr>
            <w:r>
              <w:rPr>
                <w:rFonts w:hint="eastAsia"/>
              </w:rPr>
              <w:t>发生蒸汽排污水</w:t>
            </w:r>
          </w:p>
        </w:tc>
        <w:tc>
          <w:tcPr>
            <w:tcW w:w="476" w:type="pct"/>
            <w:vAlign w:val="center"/>
          </w:tcPr>
          <w:p w14:paraId="31DC627B">
            <w:pPr>
              <w:pStyle w:val="557"/>
            </w:pPr>
            <w:r>
              <w:rPr>
                <w:rFonts w:hint="eastAsia"/>
              </w:rPr>
              <w:t>溶解性固体</w:t>
            </w:r>
          </w:p>
        </w:tc>
        <w:tc>
          <w:tcPr>
            <w:tcW w:w="611" w:type="pct"/>
            <w:vAlign w:val="center"/>
          </w:tcPr>
          <w:p w14:paraId="6EBACFA3">
            <w:pPr>
              <w:pStyle w:val="557"/>
            </w:pPr>
            <w:r>
              <w:rPr>
                <w:rFonts w:hint="eastAsia"/>
              </w:rPr>
              <w:t>物料衡算法</w:t>
            </w:r>
          </w:p>
        </w:tc>
        <w:tc>
          <w:tcPr>
            <w:tcW w:w="583" w:type="pct"/>
            <w:vAlign w:val="center"/>
          </w:tcPr>
          <w:p w14:paraId="0FBCA0F2">
            <w:pPr>
              <w:pStyle w:val="557"/>
            </w:pPr>
            <w:r>
              <w:rPr>
                <w:rFonts w:hint="eastAsia"/>
              </w:rPr>
              <w:t>676</w:t>
            </w:r>
          </w:p>
        </w:tc>
        <w:tc>
          <w:tcPr>
            <w:tcW w:w="583" w:type="pct"/>
            <w:vAlign w:val="center"/>
          </w:tcPr>
          <w:p w14:paraId="527719C9">
            <w:pPr>
              <w:pStyle w:val="557"/>
            </w:pPr>
            <w:r>
              <w:rPr>
                <w:rFonts w:hint="eastAsia"/>
              </w:rPr>
              <w:t>4000</w:t>
            </w:r>
          </w:p>
        </w:tc>
        <w:tc>
          <w:tcPr>
            <w:tcW w:w="585" w:type="pct"/>
            <w:vAlign w:val="center"/>
          </w:tcPr>
          <w:p w14:paraId="3E2524DD">
            <w:pPr>
              <w:pStyle w:val="557"/>
            </w:pPr>
            <w:r>
              <w:rPr>
                <w:rFonts w:hint="eastAsia"/>
              </w:rPr>
              <w:t>2.7</w:t>
            </w:r>
          </w:p>
        </w:tc>
        <w:tc>
          <w:tcPr>
            <w:tcW w:w="515" w:type="pct"/>
            <w:vMerge w:val="continue"/>
            <w:vAlign w:val="center"/>
          </w:tcPr>
          <w:p w14:paraId="3203FAE4">
            <w:pPr>
              <w:pStyle w:val="557"/>
            </w:pPr>
          </w:p>
        </w:tc>
        <w:tc>
          <w:tcPr>
            <w:tcW w:w="508" w:type="pct"/>
            <w:vMerge w:val="continue"/>
            <w:vAlign w:val="center"/>
          </w:tcPr>
          <w:p w14:paraId="5DBCD70A">
            <w:pPr>
              <w:pStyle w:val="557"/>
            </w:pPr>
          </w:p>
        </w:tc>
      </w:tr>
      <w:tr w14:paraId="0D88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91" w:type="pct"/>
            <w:vMerge w:val="restart"/>
            <w:vAlign w:val="center"/>
          </w:tcPr>
          <w:p w14:paraId="018A6998">
            <w:pPr>
              <w:pStyle w:val="557"/>
            </w:pPr>
            <w:r>
              <w:t>W</w:t>
            </w:r>
            <w:r>
              <w:rPr>
                <w:vertAlign w:val="subscript"/>
              </w:rPr>
              <w:t>5-</w:t>
            </w:r>
            <w:r>
              <w:rPr>
                <w:rFonts w:hint="eastAsia"/>
                <w:vertAlign w:val="subscript"/>
              </w:rPr>
              <w:t>3</w:t>
            </w:r>
          </w:p>
        </w:tc>
        <w:tc>
          <w:tcPr>
            <w:tcW w:w="744" w:type="pct"/>
            <w:vMerge w:val="restart"/>
            <w:vAlign w:val="center"/>
          </w:tcPr>
          <w:p w14:paraId="360195F4">
            <w:pPr>
              <w:pStyle w:val="557"/>
            </w:pPr>
            <w:r>
              <w:rPr>
                <w:rFonts w:hint="eastAsia"/>
              </w:rPr>
              <w:t>回收塔废水</w:t>
            </w:r>
          </w:p>
        </w:tc>
        <w:tc>
          <w:tcPr>
            <w:tcW w:w="476" w:type="pct"/>
            <w:vAlign w:val="center"/>
          </w:tcPr>
          <w:p w14:paraId="75E29225">
            <w:pPr>
              <w:pStyle w:val="557"/>
            </w:pPr>
            <w:r>
              <w:t>COD</w:t>
            </w:r>
          </w:p>
        </w:tc>
        <w:tc>
          <w:tcPr>
            <w:tcW w:w="611" w:type="pct"/>
            <w:vMerge w:val="restart"/>
            <w:vAlign w:val="center"/>
          </w:tcPr>
          <w:p w14:paraId="100D9F50">
            <w:pPr>
              <w:pStyle w:val="557"/>
            </w:pPr>
            <w:r>
              <w:rPr>
                <w:rFonts w:hint="eastAsia"/>
              </w:rPr>
              <w:t>物料衡算法</w:t>
            </w:r>
          </w:p>
        </w:tc>
        <w:tc>
          <w:tcPr>
            <w:tcW w:w="583" w:type="pct"/>
            <w:vMerge w:val="restart"/>
            <w:vAlign w:val="center"/>
          </w:tcPr>
          <w:p w14:paraId="75A57BED">
            <w:pPr>
              <w:pStyle w:val="557"/>
            </w:pPr>
            <w:r>
              <w:rPr>
                <w:rFonts w:hint="eastAsia"/>
              </w:rPr>
              <w:t>155</w:t>
            </w:r>
          </w:p>
        </w:tc>
        <w:tc>
          <w:tcPr>
            <w:tcW w:w="583" w:type="pct"/>
            <w:vAlign w:val="center"/>
          </w:tcPr>
          <w:p w14:paraId="68903851">
            <w:pPr>
              <w:pStyle w:val="557"/>
            </w:pPr>
            <w:r>
              <w:rPr>
                <w:rFonts w:hint="eastAsia"/>
              </w:rPr>
              <w:t>500</w:t>
            </w:r>
          </w:p>
        </w:tc>
        <w:tc>
          <w:tcPr>
            <w:tcW w:w="585" w:type="pct"/>
            <w:vAlign w:val="center"/>
          </w:tcPr>
          <w:p w14:paraId="7FCD7A20">
            <w:pPr>
              <w:pStyle w:val="557"/>
            </w:pPr>
            <w:r>
              <w:rPr>
                <w:rFonts w:hint="eastAsia"/>
              </w:rPr>
              <w:t>0.08</w:t>
            </w:r>
          </w:p>
        </w:tc>
        <w:tc>
          <w:tcPr>
            <w:tcW w:w="515" w:type="pct"/>
            <w:vMerge w:val="continue"/>
            <w:vAlign w:val="center"/>
          </w:tcPr>
          <w:p w14:paraId="08D323C0">
            <w:pPr>
              <w:pStyle w:val="557"/>
            </w:pPr>
          </w:p>
        </w:tc>
        <w:tc>
          <w:tcPr>
            <w:tcW w:w="508" w:type="pct"/>
            <w:vMerge w:val="continue"/>
            <w:vAlign w:val="center"/>
          </w:tcPr>
          <w:p w14:paraId="270F359F">
            <w:pPr>
              <w:pStyle w:val="557"/>
            </w:pPr>
          </w:p>
        </w:tc>
      </w:tr>
      <w:tr w14:paraId="14E8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91" w:type="pct"/>
            <w:vMerge w:val="continue"/>
            <w:vAlign w:val="center"/>
          </w:tcPr>
          <w:p w14:paraId="5870048A">
            <w:pPr>
              <w:pStyle w:val="557"/>
            </w:pPr>
          </w:p>
        </w:tc>
        <w:tc>
          <w:tcPr>
            <w:tcW w:w="744" w:type="pct"/>
            <w:vMerge w:val="continue"/>
            <w:vAlign w:val="center"/>
          </w:tcPr>
          <w:p w14:paraId="5C6B0B55">
            <w:pPr>
              <w:pStyle w:val="557"/>
            </w:pPr>
          </w:p>
        </w:tc>
        <w:tc>
          <w:tcPr>
            <w:tcW w:w="476" w:type="pct"/>
            <w:vAlign w:val="center"/>
          </w:tcPr>
          <w:p w14:paraId="119E969F">
            <w:pPr>
              <w:pStyle w:val="557"/>
            </w:pPr>
            <w:r>
              <w:rPr>
                <w:rFonts w:hint="eastAsia"/>
              </w:rPr>
              <w:t>BOD</w:t>
            </w:r>
          </w:p>
        </w:tc>
        <w:tc>
          <w:tcPr>
            <w:tcW w:w="611" w:type="pct"/>
            <w:vMerge w:val="continue"/>
            <w:vAlign w:val="center"/>
          </w:tcPr>
          <w:p w14:paraId="0C0503F8">
            <w:pPr>
              <w:pStyle w:val="557"/>
            </w:pPr>
          </w:p>
        </w:tc>
        <w:tc>
          <w:tcPr>
            <w:tcW w:w="583" w:type="pct"/>
            <w:vMerge w:val="continue"/>
            <w:vAlign w:val="center"/>
          </w:tcPr>
          <w:p w14:paraId="3775E908">
            <w:pPr>
              <w:pStyle w:val="557"/>
            </w:pPr>
          </w:p>
        </w:tc>
        <w:tc>
          <w:tcPr>
            <w:tcW w:w="583" w:type="pct"/>
            <w:vAlign w:val="center"/>
          </w:tcPr>
          <w:p w14:paraId="4179AAA1">
            <w:pPr>
              <w:pStyle w:val="557"/>
            </w:pPr>
            <w:r>
              <w:rPr>
                <w:rFonts w:hint="eastAsia"/>
              </w:rPr>
              <w:t>200</w:t>
            </w:r>
          </w:p>
        </w:tc>
        <w:tc>
          <w:tcPr>
            <w:tcW w:w="585" w:type="pct"/>
            <w:vAlign w:val="center"/>
          </w:tcPr>
          <w:p w14:paraId="7393AA57">
            <w:pPr>
              <w:pStyle w:val="557"/>
            </w:pPr>
            <w:r>
              <w:rPr>
                <w:rFonts w:hint="eastAsia"/>
              </w:rPr>
              <w:t>0.03</w:t>
            </w:r>
          </w:p>
        </w:tc>
        <w:tc>
          <w:tcPr>
            <w:tcW w:w="515" w:type="pct"/>
            <w:vMerge w:val="continue"/>
            <w:vAlign w:val="center"/>
          </w:tcPr>
          <w:p w14:paraId="02FAD33B">
            <w:pPr>
              <w:pStyle w:val="557"/>
            </w:pPr>
          </w:p>
        </w:tc>
        <w:tc>
          <w:tcPr>
            <w:tcW w:w="508" w:type="pct"/>
            <w:vMerge w:val="continue"/>
            <w:vAlign w:val="center"/>
          </w:tcPr>
          <w:p w14:paraId="6B862937">
            <w:pPr>
              <w:pStyle w:val="557"/>
            </w:pPr>
          </w:p>
        </w:tc>
      </w:tr>
      <w:tr w14:paraId="74F4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91" w:type="pct"/>
            <w:vMerge w:val="continue"/>
            <w:vAlign w:val="center"/>
          </w:tcPr>
          <w:p w14:paraId="26F9DD94">
            <w:pPr>
              <w:pStyle w:val="557"/>
            </w:pPr>
          </w:p>
        </w:tc>
        <w:tc>
          <w:tcPr>
            <w:tcW w:w="744" w:type="pct"/>
            <w:vMerge w:val="continue"/>
            <w:vAlign w:val="center"/>
          </w:tcPr>
          <w:p w14:paraId="5AB63DCC">
            <w:pPr>
              <w:pStyle w:val="557"/>
            </w:pPr>
          </w:p>
        </w:tc>
        <w:tc>
          <w:tcPr>
            <w:tcW w:w="476" w:type="pct"/>
            <w:vAlign w:val="center"/>
          </w:tcPr>
          <w:p w14:paraId="1C6D9C72">
            <w:pPr>
              <w:pStyle w:val="557"/>
            </w:pPr>
            <w:r>
              <w:rPr>
                <w:rFonts w:hint="eastAsia"/>
              </w:rPr>
              <w:t>氨氮</w:t>
            </w:r>
          </w:p>
        </w:tc>
        <w:tc>
          <w:tcPr>
            <w:tcW w:w="611" w:type="pct"/>
            <w:vMerge w:val="continue"/>
            <w:vAlign w:val="center"/>
          </w:tcPr>
          <w:p w14:paraId="34177305">
            <w:pPr>
              <w:pStyle w:val="557"/>
            </w:pPr>
          </w:p>
        </w:tc>
        <w:tc>
          <w:tcPr>
            <w:tcW w:w="583" w:type="pct"/>
            <w:vMerge w:val="continue"/>
            <w:vAlign w:val="center"/>
          </w:tcPr>
          <w:p w14:paraId="02A443BD">
            <w:pPr>
              <w:pStyle w:val="557"/>
            </w:pPr>
          </w:p>
        </w:tc>
        <w:tc>
          <w:tcPr>
            <w:tcW w:w="583" w:type="pct"/>
            <w:vAlign w:val="center"/>
          </w:tcPr>
          <w:p w14:paraId="72C7509F">
            <w:pPr>
              <w:pStyle w:val="557"/>
            </w:pPr>
            <w:r>
              <w:rPr>
                <w:rFonts w:hint="eastAsia"/>
              </w:rPr>
              <w:t>30</w:t>
            </w:r>
          </w:p>
        </w:tc>
        <w:tc>
          <w:tcPr>
            <w:tcW w:w="585" w:type="pct"/>
            <w:vAlign w:val="center"/>
          </w:tcPr>
          <w:p w14:paraId="636CCEFC">
            <w:pPr>
              <w:pStyle w:val="557"/>
            </w:pPr>
            <w:r>
              <w:rPr>
                <w:rFonts w:hint="eastAsia"/>
              </w:rPr>
              <w:t>0.005</w:t>
            </w:r>
          </w:p>
        </w:tc>
        <w:tc>
          <w:tcPr>
            <w:tcW w:w="515" w:type="pct"/>
            <w:vMerge w:val="continue"/>
            <w:vAlign w:val="center"/>
          </w:tcPr>
          <w:p w14:paraId="604D879D">
            <w:pPr>
              <w:pStyle w:val="557"/>
            </w:pPr>
          </w:p>
        </w:tc>
        <w:tc>
          <w:tcPr>
            <w:tcW w:w="508" w:type="pct"/>
            <w:vMerge w:val="continue"/>
            <w:vAlign w:val="center"/>
          </w:tcPr>
          <w:p w14:paraId="19588BB9">
            <w:pPr>
              <w:pStyle w:val="557"/>
            </w:pPr>
          </w:p>
        </w:tc>
      </w:tr>
      <w:tr w14:paraId="1BE5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72EB6B47">
            <w:pPr>
              <w:pStyle w:val="557"/>
            </w:pPr>
            <w:r>
              <w:t>W</w:t>
            </w:r>
            <w:r>
              <w:rPr>
                <w:vertAlign w:val="subscript"/>
              </w:rPr>
              <w:t>5-</w:t>
            </w:r>
            <w:r>
              <w:rPr>
                <w:rFonts w:hint="eastAsia"/>
                <w:vertAlign w:val="subscript"/>
              </w:rPr>
              <w:t>4</w:t>
            </w:r>
          </w:p>
        </w:tc>
        <w:tc>
          <w:tcPr>
            <w:tcW w:w="744" w:type="pct"/>
            <w:vMerge w:val="restart"/>
            <w:vAlign w:val="center"/>
          </w:tcPr>
          <w:p w14:paraId="4C7F7D4D">
            <w:pPr>
              <w:pStyle w:val="557"/>
            </w:pPr>
            <w:r>
              <w:t>地面冲洗水</w:t>
            </w:r>
          </w:p>
        </w:tc>
        <w:tc>
          <w:tcPr>
            <w:tcW w:w="476" w:type="pct"/>
            <w:vAlign w:val="center"/>
          </w:tcPr>
          <w:p w14:paraId="51F6CC36">
            <w:pPr>
              <w:pStyle w:val="557"/>
            </w:pPr>
            <w:r>
              <w:t>COD</w:t>
            </w:r>
          </w:p>
        </w:tc>
        <w:tc>
          <w:tcPr>
            <w:tcW w:w="611" w:type="pct"/>
            <w:vMerge w:val="restart"/>
            <w:vAlign w:val="center"/>
          </w:tcPr>
          <w:p w14:paraId="04051A46">
            <w:pPr>
              <w:pStyle w:val="557"/>
            </w:pPr>
            <w:r>
              <w:t>类比法</w:t>
            </w:r>
          </w:p>
        </w:tc>
        <w:tc>
          <w:tcPr>
            <w:tcW w:w="583" w:type="pct"/>
            <w:vMerge w:val="restart"/>
            <w:vAlign w:val="center"/>
          </w:tcPr>
          <w:p w14:paraId="52CD9D0F">
            <w:pPr>
              <w:pStyle w:val="557"/>
            </w:pPr>
            <w:r>
              <w:rPr>
                <w:rFonts w:hint="eastAsia"/>
              </w:rPr>
              <w:t>1000</w:t>
            </w:r>
          </w:p>
        </w:tc>
        <w:tc>
          <w:tcPr>
            <w:tcW w:w="583" w:type="pct"/>
            <w:vAlign w:val="center"/>
          </w:tcPr>
          <w:p w14:paraId="350F3A0B">
            <w:pPr>
              <w:pStyle w:val="557"/>
            </w:pPr>
            <w:r>
              <w:t>100</w:t>
            </w:r>
          </w:p>
        </w:tc>
        <w:tc>
          <w:tcPr>
            <w:tcW w:w="585" w:type="pct"/>
            <w:vAlign w:val="center"/>
          </w:tcPr>
          <w:p w14:paraId="2432798F">
            <w:pPr>
              <w:pStyle w:val="557"/>
            </w:pPr>
            <w:r>
              <w:rPr>
                <w:rFonts w:hint="eastAsia"/>
              </w:rPr>
              <w:t>0.1</w:t>
            </w:r>
          </w:p>
        </w:tc>
        <w:tc>
          <w:tcPr>
            <w:tcW w:w="515" w:type="pct"/>
            <w:vMerge w:val="restart"/>
            <w:vAlign w:val="center"/>
          </w:tcPr>
          <w:p w14:paraId="3F6E3A51">
            <w:pPr>
              <w:pStyle w:val="557"/>
            </w:pPr>
            <w:r>
              <w:t>厂内污水处理站</w:t>
            </w:r>
          </w:p>
        </w:tc>
        <w:tc>
          <w:tcPr>
            <w:tcW w:w="508" w:type="pct"/>
            <w:vMerge w:val="restart"/>
            <w:vAlign w:val="center"/>
          </w:tcPr>
          <w:p w14:paraId="02C00754">
            <w:pPr>
              <w:pStyle w:val="557"/>
            </w:pPr>
            <w:r>
              <w:t>间歇</w:t>
            </w:r>
          </w:p>
        </w:tc>
      </w:tr>
      <w:tr w14:paraId="1E5F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5879E4DB">
            <w:pPr>
              <w:pStyle w:val="557"/>
            </w:pPr>
          </w:p>
        </w:tc>
        <w:tc>
          <w:tcPr>
            <w:tcW w:w="744" w:type="pct"/>
            <w:vMerge w:val="continue"/>
            <w:vAlign w:val="center"/>
          </w:tcPr>
          <w:p w14:paraId="574D8970">
            <w:pPr>
              <w:pStyle w:val="557"/>
            </w:pPr>
          </w:p>
        </w:tc>
        <w:tc>
          <w:tcPr>
            <w:tcW w:w="476" w:type="pct"/>
            <w:vAlign w:val="center"/>
          </w:tcPr>
          <w:p w14:paraId="549E6C65">
            <w:pPr>
              <w:pStyle w:val="557"/>
            </w:pPr>
            <w:r>
              <w:t>SS</w:t>
            </w:r>
          </w:p>
        </w:tc>
        <w:tc>
          <w:tcPr>
            <w:tcW w:w="611" w:type="pct"/>
            <w:vMerge w:val="continue"/>
            <w:vAlign w:val="center"/>
          </w:tcPr>
          <w:p w14:paraId="5CB14F4F">
            <w:pPr>
              <w:pStyle w:val="557"/>
            </w:pPr>
          </w:p>
        </w:tc>
        <w:tc>
          <w:tcPr>
            <w:tcW w:w="583" w:type="pct"/>
            <w:vMerge w:val="continue"/>
            <w:vAlign w:val="center"/>
          </w:tcPr>
          <w:p w14:paraId="193C63C4">
            <w:pPr>
              <w:pStyle w:val="557"/>
            </w:pPr>
          </w:p>
        </w:tc>
        <w:tc>
          <w:tcPr>
            <w:tcW w:w="583" w:type="pct"/>
            <w:vAlign w:val="center"/>
          </w:tcPr>
          <w:p w14:paraId="3CCC166B">
            <w:pPr>
              <w:pStyle w:val="557"/>
            </w:pPr>
            <w:r>
              <w:t>200</w:t>
            </w:r>
          </w:p>
        </w:tc>
        <w:tc>
          <w:tcPr>
            <w:tcW w:w="585" w:type="pct"/>
            <w:vAlign w:val="center"/>
          </w:tcPr>
          <w:p w14:paraId="7C84D3E5">
            <w:pPr>
              <w:pStyle w:val="557"/>
            </w:pPr>
            <w:r>
              <w:rPr>
                <w:rFonts w:hint="eastAsia"/>
              </w:rPr>
              <w:t>0.2</w:t>
            </w:r>
          </w:p>
        </w:tc>
        <w:tc>
          <w:tcPr>
            <w:tcW w:w="515" w:type="pct"/>
            <w:vMerge w:val="continue"/>
            <w:vAlign w:val="center"/>
          </w:tcPr>
          <w:p w14:paraId="0EC1EDE8">
            <w:pPr>
              <w:pStyle w:val="557"/>
            </w:pPr>
          </w:p>
        </w:tc>
        <w:tc>
          <w:tcPr>
            <w:tcW w:w="508" w:type="pct"/>
            <w:vMerge w:val="continue"/>
            <w:vAlign w:val="center"/>
          </w:tcPr>
          <w:p w14:paraId="40D09E8B">
            <w:pPr>
              <w:pStyle w:val="557"/>
            </w:pPr>
          </w:p>
        </w:tc>
      </w:tr>
      <w:tr w14:paraId="6FBF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41CF8B14">
            <w:pPr>
              <w:pStyle w:val="557"/>
            </w:pPr>
          </w:p>
        </w:tc>
        <w:tc>
          <w:tcPr>
            <w:tcW w:w="744" w:type="pct"/>
            <w:vMerge w:val="continue"/>
            <w:vAlign w:val="center"/>
          </w:tcPr>
          <w:p w14:paraId="521744B3">
            <w:pPr>
              <w:pStyle w:val="557"/>
            </w:pPr>
          </w:p>
        </w:tc>
        <w:tc>
          <w:tcPr>
            <w:tcW w:w="476" w:type="pct"/>
            <w:vAlign w:val="center"/>
          </w:tcPr>
          <w:p w14:paraId="61B356F9">
            <w:pPr>
              <w:pStyle w:val="557"/>
            </w:pPr>
            <w:r>
              <w:t>氨氮</w:t>
            </w:r>
          </w:p>
        </w:tc>
        <w:tc>
          <w:tcPr>
            <w:tcW w:w="611" w:type="pct"/>
            <w:vMerge w:val="continue"/>
            <w:vAlign w:val="center"/>
          </w:tcPr>
          <w:p w14:paraId="381C8764">
            <w:pPr>
              <w:pStyle w:val="557"/>
            </w:pPr>
          </w:p>
        </w:tc>
        <w:tc>
          <w:tcPr>
            <w:tcW w:w="583" w:type="pct"/>
            <w:vMerge w:val="continue"/>
            <w:vAlign w:val="center"/>
          </w:tcPr>
          <w:p w14:paraId="3982E79D">
            <w:pPr>
              <w:pStyle w:val="557"/>
            </w:pPr>
          </w:p>
        </w:tc>
        <w:tc>
          <w:tcPr>
            <w:tcW w:w="583" w:type="pct"/>
            <w:vAlign w:val="center"/>
          </w:tcPr>
          <w:p w14:paraId="6DFC352B">
            <w:pPr>
              <w:pStyle w:val="557"/>
            </w:pPr>
            <w:r>
              <w:t>30</w:t>
            </w:r>
          </w:p>
        </w:tc>
        <w:tc>
          <w:tcPr>
            <w:tcW w:w="585" w:type="pct"/>
            <w:vAlign w:val="center"/>
          </w:tcPr>
          <w:p w14:paraId="7F90A93B">
            <w:pPr>
              <w:pStyle w:val="557"/>
            </w:pPr>
            <w:r>
              <w:rPr>
                <w:rFonts w:hint="eastAsia"/>
              </w:rPr>
              <w:t>0.03</w:t>
            </w:r>
          </w:p>
        </w:tc>
        <w:tc>
          <w:tcPr>
            <w:tcW w:w="515" w:type="pct"/>
            <w:vMerge w:val="continue"/>
            <w:vAlign w:val="center"/>
          </w:tcPr>
          <w:p w14:paraId="6BB92AF3">
            <w:pPr>
              <w:pStyle w:val="557"/>
            </w:pPr>
          </w:p>
        </w:tc>
        <w:tc>
          <w:tcPr>
            <w:tcW w:w="508" w:type="pct"/>
            <w:vMerge w:val="continue"/>
            <w:vAlign w:val="center"/>
          </w:tcPr>
          <w:p w14:paraId="39B1A97C">
            <w:pPr>
              <w:pStyle w:val="557"/>
            </w:pPr>
          </w:p>
        </w:tc>
      </w:tr>
    </w:tbl>
    <w:p w14:paraId="2A731CB2">
      <w:pPr>
        <w:pStyle w:val="557"/>
      </w:pPr>
    </w:p>
    <w:p w14:paraId="1D2093EF">
      <w:pPr>
        <w:pStyle w:val="814"/>
        <w:rPr>
          <w:rFonts w:hint="eastAsia"/>
        </w:rPr>
      </w:pPr>
      <w:r>
        <w:rPr>
          <w:rFonts w:hint="eastAsia"/>
        </w:rPr>
        <w:t>噪声</w:t>
      </w:r>
    </w:p>
    <w:p w14:paraId="05D8054E">
      <w:pPr>
        <w:pStyle w:val="128"/>
        <w:rPr>
          <w:rFonts w:hint="eastAsia"/>
        </w:rPr>
      </w:pPr>
      <w:r>
        <w:rPr>
          <w:rFonts w:hAnsi="Times New Roman" w:cs="Times New Roman"/>
        </w:rPr>
        <w:t>DMO</w:t>
      </w:r>
      <w:r>
        <w:rPr>
          <w:rFonts w:hint="eastAsia"/>
        </w:rPr>
        <w:t>装置</w:t>
      </w:r>
      <w:r>
        <w:t>噪声源主要来自</w:t>
      </w:r>
      <w:r>
        <w:rPr>
          <w:rFonts w:hint="eastAsia"/>
        </w:rPr>
        <w:t>机泵、风机等，</w:t>
      </w:r>
      <w:r>
        <w:rPr>
          <w:rFonts w:hint="eastAsia"/>
          <w:u w:color="000000"/>
        </w:rPr>
        <w:t>各设备噪声源强参照《污染源源强核算技术指南 化肥工业》（HJ994-2018）附表B。</w:t>
      </w:r>
      <w:r>
        <w:rPr>
          <w:rFonts w:hAnsi="Times New Roman" w:cs="Times New Roman"/>
        </w:rPr>
        <w:t>DMO</w:t>
      </w:r>
      <w:r>
        <w:rPr>
          <w:rFonts w:hint="eastAsia"/>
        </w:rPr>
        <w:t>装置</w:t>
      </w:r>
      <w:r>
        <w:t>各类</w:t>
      </w:r>
      <w:r>
        <w:rPr>
          <w:rFonts w:hint="eastAsia"/>
        </w:rPr>
        <w:t>噪声源噪声产生及治理情况见表3.2.</w:t>
      </w:r>
      <w:r>
        <w:t>6</w:t>
      </w:r>
      <w:r>
        <w:rPr>
          <w:rFonts w:hint="eastAsia"/>
        </w:rPr>
        <w:t>-9</w:t>
      </w:r>
      <w:r>
        <w:t>。</w:t>
      </w:r>
    </w:p>
    <w:p w14:paraId="4B502DC5">
      <w:pPr>
        <w:pStyle w:val="540"/>
        <w:rPr>
          <w:rFonts w:hint="eastAsia"/>
          <w:color w:val="auto"/>
        </w:rPr>
      </w:pPr>
      <w:r>
        <w:rPr>
          <w:rFonts w:hint="eastAsia"/>
          <w:color w:val="auto"/>
        </w:rPr>
        <w:t>表3.2.</w:t>
      </w:r>
      <w:r>
        <w:rPr>
          <w:color w:val="auto"/>
        </w:rPr>
        <w:t>6</w:t>
      </w:r>
      <w:r>
        <w:rPr>
          <w:rFonts w:hint="eastAsia"/>
          <w:color w:val="auto"/>
        </w:rPr>
        <w:t>-9</w:t>
      </w:r>
      <w:r>
        <w:rPr>
          <w:color w:val="auto"/>
        </w:rPr>
        <w:t xml:space="preserve">    </w:t>
      </w:r>
      <w:r>
        <w:rPr>
          <w:rFonts w:ascii="Times New Roman" w:hAnsi="Times New Roman" w:eastAsia="宋体" w:cs="Times New Roman"/>
        </w:rPr>
        <w:t>DMO</w:t>
      </w:r>
      <w:r>
        <w:rPr>
          <w:rFonts w:hint="eastAsia"/>
        </w:rPr>
        <w:t>装置</w:t>
      </w:r>
      <w:r>
        <w:rPr>
          <w:rFonts w:hint="eastAsia"/>
          <w:color w:val="auto"/>
        </w:rPr>
        <w:t>噪声产生及治理情况表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1114"/>
        <w:gridCol w:w="580"/>
        <w:gridCol w:w="693"/>
        <w:gridCol w:w="711"/>
        <w:gridCol w:w="709"/>
        <w:gridCol w:w="1701"/>
        <w:gridCol w:w="425"/>
        <w:gridCol w:w="709"/>
        <w:gridCol w:w="709"/>
        <w:gridCol w:w="608"/>
      </w:tblGrid>
      <w:tr w14:paraId="19DE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restart"/>
            <w:tcBorders>
              <w:top w:val="single" w:color="auto" w:sz="4" w:space="0"/>
              <w:left w:val="single" w:color="auto" w:sz="4" w:space="0"/>
              <w:right w:val="single" w:color="auto" w:sz="4" w:space="0"/>
            </w:tcBorders>
            <w:vAlign w:val="center"/>
          </w:tcPr>
          <w:p w14:paraId="5DF8AD64">
            <w:pPr>
              <w:jc w:val="center"/>
              <w:rPr>
                <w:rFonts w:ascii="Times New Roman" w:hAnsi="Times New Roman" w:cs="Times New Roman"/>
                <w:sz w:val="18"/>
                <w:szCs w:val="18"/>
              </w:rPr>
            </w:pPr>
            <w:r>
              <w:rPr>
                <w:rFonts w:ascii="Times New Roman" w:hAnsi="Times New Roman" w:cs="Times New Roman"/>
                <w:sz w:val="18"/>
                <w:szCs w:val="18"/>
              </w:rPr>
              <w:t>编号</w:t>
            </w:r>
          </w:p>
        </w:tc>
        <w:tc>
          <w:tcPr>
            <w:tcW w:w="1114" w:type="dxa"/>
            <w:vMerge w:val="restart"/>
            <w:tcBorders>
              <w:top w:val="single" w:color="auto" w:sz="4" w:space="0"/>
              <w:left w:val="single" w:color="auto" w:sz="4" w:space="0"/>
              <w:right w:val="single" w:color="auto" w:sz="4" w:space="0"/>
            </w:tcBorders>
            <w:vAlign w:val="center"/>
          </w:tcPr>
          <w:p w14:paraId="2820B277">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80" w:type="dxa"/>
            <w:vMerge w:val="restart"/>
            <w:tcBorders>
              <w:top w:val="single" w:color="auto" w:sz="4" w:space="0"/>
              <w:left w:val="single" w:color="auto" w:sz="4" w:space="0"/>
              <w:right w:val="single" w:color="auto" w:sz="4" w:space="0"/>
            </w:tcBorders>
            <w:vAlign w:val="center"/>
          </w:tcPr>
          <w:p w14:paraId="096B509B">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693" w:type="dxa"/>
            <w:vMerge w:val="restart"/>
            <w:tcBorders>
              <w:top w:val="single" w:color="auto" w:sz="4" w:space="0"/>
              <w:left w:val="single" w:color="auto" w:sz="4" w:space="0"/>
              <w:right w:val="single" w:color="auto" w:sz="4" w:space="0"/>
            </w:tcBorders>
            <w:vAlign w:val="center"/>
          </w:tcPr>
          <w:p w14:paraId="750007D2">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420" w:type="dxa"/>
            <w:gridSpan w:val="2"/>
            <w:tcBorders>
              <w:top w:val="single" w:color="auto" w:sz="4" w:space="0"/>
              <w:left w:val="single" w:color="auto" w:sz="4" w:space="0"/>
              <w:bottom w:val="single" w:color="auto" w:sz="4" w:space="0"/>
              <w:right w:val="single" w:color="auto" w:sz="4" w:space="0"/>
            </w:tcBorders>
            <w:vAlign w:val="center"/>
          </w:tcPr>
          <w:p w14:paraId="1D39085D">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126" w:type="dxa"/>
            <w:gridSpan w:val="2"/>
            <w:tcBorders>
              <w:top w:val="single" w:color="auto" w:sz="4" w:space="0"/>
              <w:left w:val="single" w:color="auto" w:sz="4" w:space="0"/>
              <w:right w:val="single" w:color="auto" w:sz="4" w:space="0"/>
            </w:tcBorders>
            <w:vAlign w:val="center"/>
          </w:tcPr>
          <w:p w14:paraId="3002A20A">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418" w:type="dxa"/>
            <w:gridSpan w:val="2"/>
            <w:tcBorders>
              <w:top w:val="single" w:color="auto" w:sz="4" w:space="0"/>
              <w:left w:val="single" w:color="auto" w:sz="4" w:space="0"/>
              <w:right w:val="single" w:color="auto" w:sz="4" w:space="0"/>
            </w:tcBorders>
            <w:vAlign w:val="center"/>
          </w:tcPr>
          <w:p w14:paraId="700F33B2">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08" w:type="dxa"/>
            <w:vMerge w:val="restart"/>
            <w:tcBorders>
              <w:top w:val="single" w:color="auto" w:sz="4" w:space="0"/>
              <w:left w:val="single" w:color="auto" w:sz="4" w:space="0"/>
              <w:right w:val="single" w:color="auto" w:sz="4" w:space="0"/>
            </w:tcBorders>
            <w:vAlign w:val="center"/>
          </w:tcPr>
          <w:p w14:paraId="123F1A3E">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3DA1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continue"/>
            <w:tcBorders>
              <w:left w:val="single" w:color="auto" w:sz="4" w:space="0"/>
              <w:bottom w:val="single" w:color="auto" w:sz="4" w:space="0"/>
              <w:right w:val="single" w:color="auto" w:sz="4" w:space="0"/>
            </w:tcBorders>
            <w:vAlign w:val="center"/>
          </w:tcPr>
          <w:p w14:paraId="09529572">
            <w:pPr>
              <w:jc w:val="center"/>
              <w:rPr>
                <w:rFonts w:ascii="Times New Roman" w:hAnsi="Times New Roman" w:cs="Times New Roman"/>
                <w:sz w:val="18"/>
                <w:szCs w:val="18"/>
              </w:rPr>
            </w:pPr>
          </w:p>
        </w:tc>
        <w:tc>
          <w:tcPr>
            <w:tcW w:w="1114" w:type="dxa"/>
            <w:vMerge w:val="continue"/>
            <w:tcBorders>
              <w:left w:val="single" w:color="auto" w:sz="4" w:space="0"/>
              <w:bottom w:val="single" w:color="auto" w:sz="4" w:space="0"/>
              <w:right w:val="single" w:color="auto" w:sz="4" w:space="0"/>
            </w:tcBorders>
            <w:vAlign w:val="center"/>
          </w:tcPr>
          <w:p w14:paraId="403BF37B">
            <w:pPr>
              <w:jc w:val="center"/>
              <w:rPr>
                <w:rFonts w:ascii="Times New Roman" w:hAnsi="Times New Roman" w:cs="Times New Roman"/>
                <w:sz w:val="18"/>
                <w:szCs w:val="18"/>
              </w:rPr>
            </w:pPr>
          </w:p>
        </w:tc>
        <w:tc>
          <w:tcPr>
            <w:tcW w:w="580" w:type="dxa"/>
            <w:vMerge w:val="continue"/>
            <w:tcBorders>
              <w:left w:val="single" w:color="auto" w:sz="4" w:space="0"/>
              <w:bottom w:val="single" w:color="auto" w:sz="4" w:space="0"/>
              <w:right w:val="single" w:color="auto" w:sz="4" w:space="0"/>
            </w:tcBorders>
            <w:vAlign w:val="center"/>
          </w:tcPr>
          <w:p w14:paraId="56F890F2">
            <w:pPr>
              <w:jc w:val="center"/>
              <w:rPr>
                <w:rFonts w:ascii="Times New Roman" w:hAnsi="Times New Roman" w:cs="Times New Roman"/>
                <w:sz w:val="18"/>
                <w:szCs w:val="18"/>
              </w:rPr>
            </w:pPr>
          </w:p>
        </w:tc>
        <w:tc>
          <w:tcPr>
            <w:tcW w:w="693" w:type="dxa"/>
            <w:vMerge w:val="continue"/>
            <w:tcBorders>
              <w:left w:val="single" w:color="auto" w:sz="4" w:space="0"/>
              <w:bottom w:val="single" w:color="auto" w:sz="4" w:space="0"/>
              <w:right w:val="single" w:color="auto" w:sz="4" w:space="0"/>
            </w:tcBorders>
            <w:vAlign w:val="center"/>
          </w:tcPr>
          <w:p w14:paraId="18DD76E6">
            <w:pPr>
              <w:jc w:val="center"/>
              <w:rPr>
                <w:rFonts w:ascii="Times New Roman" w:hAnsi="Times New Roman" w:cs="Times New Roman"/>
                <w:sz w:val="18"/>
                <w:szCs w:val="18"/>
              </w:rPr>
            </w:pPr>
          </w:p>
        </w:tc>
        <w:tc>
          <w:tcPr>
            <w:tcW w:w="711" w:type="dxa"/>
            <w:tcBorders>
              <w:top w:val="single" w:color="auto" w:sz="4" w:space="0"/>
              <w:left w:val="single" w:color="auto" w:sz="4" w:space="0"/>
              <w:bottom w:val="single" w:color="auto" w:sz="4" w:space="0"/>
              <w:right w:val="single" w:color="auto" w:sz="4" w:space="0"/>
            </w:tcBorders>
            <w:vAlign w:val="center"/>
          </w:tcPr>
          <w:p w14:paraId="03270703">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top w:val="single" w:color="auto" w:sz="4" w:space="0"/>
              <w:left w:val="single" w:color="auto" w:sz="4" w:space="0"/>
              <w:bottom w:val="single" w:color="auto" w:sz="4" w:space="0"/>
              <w:right w:val="single" w:color="auto" w:sz="4" w:space="0"/>
            </w:tcBorders>
            <w:vAlign w:val="center"/>
          </w:tcPr>
          <w:p w14:paraId="0B44AD13">
            <w:pPr>
              <w:jc w:val="center"/>
              <w:rPr>
                <w:rFonts w:ascii="Times New Roman" w:hAnsi="Times New Roman" w:cs="Times New Roman"/>
                <w:sz w:val="18"/>
                <w:szCs w:val="18"/>
              </w:rPr>
            </w:pPr>
            <w:r>
              <w:rPr>
                <w:rFonts w:ascii="Times New Roman" w:hAnsi="Times New Roman" w:cs="Times New Roman"/>
                <w:sz w:val="18"/>
                <w:szCs w:val="18"/>
              </w:rPr>
              <w:t>声源表</w:t>
            </w:r>
          </w:p>
          <w:p w14:paraId="64B0611C">
            <w:pPr>
              <w:jc w:val="center"/>
              <w:rPr>
                <w:rFonts w:ascii="Times New Roman" w:hAnsi="Times New Roman" w:cs="Times New Roman"/>
                <w:sz w:val="18"/>
                <w:szCs w:val="18"/>
              </w:rPr>
            </w:pPr>
            <w:r>
              <w:rPr>
                <w:rFonts w:ascii="Times New Roman" w:hAnsi="Times New Roman" w:cs="Times New Roman"/>
                <w:sz w:val="18"/>
                <w:szCs w:val="18"/>
              </w:rPr>
              <w:t>达量</w:t>
            </w:r>
          </w:p>
          <w:p w14:paraId="5D8A4A46">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701" w:type="dxa"/>
            <w:tcBorders>
              <w:left w:val="single" w:color="auto" w:sz="4" w:space="0"/>
              <w:bottom w:val="single" w:color="auto" w:sz="4" w:space="0"/>
              <w:right w:val="single" w:color="auto" w:sz="4" w:space="0"/>
            </w:tcBorders>
            <w:vAlign w:val="center"/>
          </w:tcPr>
          <w:p w14:paraId="1D504B8E">
            <w:pPr>
              <w:jc w:val="center"/>
              <w:rPr>
                <w:rFonts w:ascii="Times New Roman" w:hAnsi="Times New Roman" w:cs="Times New Roman"/>
                <w:sz w:val="18"/>
                <w:szCs w:val="18"/>
              </w:rPr>
            </w:pPr>
            <w:r>
              <w:rPr>
                <w:rFonts w:ascii="Times New Roman" w:hAnsi="Times New Roman" w:cs="Times New Roman"/>
                <w:sz w:val="18"/>
                <w:szCs w:val="18"/>
              </w:rPr>
              <w:t>工艺</w:t>
            </w:r>
          </w:p>
        </w:tc>
        <w:tc>
          <w:tcPr>
            <w:tcW w:w="425" w:type="dxa"/>
            <w:tcBorders>
              <w:left w:val="single" w:color="auto" w:sz="4" w:space="0"/>
              <w:bottom w:val="single" w:color="auto" w:sz="4" w:space="0"/>
              <w:right w:val="single" w:color="auto" w:sz="4" w:space="0"/>
            </w:tcBorders>
            <w:vAlign w:val="center"/>
          </w:tcPr>
          <w:p w14:paraId="2C6F3E2F">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709" w:type="dxa"/>
            <w:tcBorders>
              <w:left w:val="single" w:color="auto" w:sz="4" w:space="0"/>
              <w:bottom w:val="single" w:color="auto" w:sz="4" w:space="0"/>
              <w:right w:val="single" w:color="auto" w:sz="4" w:space="0"/>
            </w:tcBorders>
            <w:vAlign w:val="center"/>
          </w:tcPr>
          <w:p w14:paraId="42B1625F">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left w:val="single" w:color="auto" w:sz="4" w:space="0"/>
              <w:bottom w:val="single" w:color="auto" w:sz="4" w:space="0"/>
              <w:right w:val="single" w:color="auto" w:sz="4" w:space="0"/>
            </w:tcBorders>
            <w:vAlign w:val="center"/>
          </w:tcPr>
          <w:p w14:paraId="2A17B36D">
            <w:pPr>
              <w:jc w:val="center"/>
              <w:rPr>
                <w:rFonts w:ascii="Times New Roman" w:hAnsi="Times New Roman" w:cs="Times New Roman"/>
                <w:sz w:val="18"/>
                <w:szCs w:val="18"/>
              </w:rPr>
            </w:pPr>
            <w:r>
              <w:rPr>
                <w:rFonts w:ascii="Times New Roman" w:hAnsi="Times New Roman" w:cs="Times New Roman"/>
                <w:sz w:val="18"/>
                <w:szCs w:val="18"/>
              </w:rPr>
              <w:t>声源表</w:t>
            </w:r>
          </w:p>
          <w:p w14:paraId="6A4B1910">
            <w:pPr>
              <w:jc w:val="center"/>
              <w:rPr>
                <w:rFonts w:ascii="Times New Roman" w:hAnsi="Times New Roman" w:cs="Times New Roman"/>
                <w:sz w:val="18"/>
                <w:szCs w:val="18"/>
              </w:rPr>
            </w:pPr>
            <w:r>
              <w:rPr>
                <w:rFonts w:ascii="Times New Roman" w:hAnsi="Times New Roman" w:cs="Times New Roman"/>
                <w:sz w:val="18"/>
                <w:szCs w:val="18"/>
              </w:rPr>
              <w:t>达量</w:t>
            </w:r>
          </w:p>
          <w:p w14:paraId="5E0D6B0E">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608" w:type="dxa"/>
            <w:vMerge w:val="continue"/>
            <w:tcBorders>
              <w:left w:val="single" w:color="auto" w:sz="4" w:space="0"/>
              <w:bottom w:val="single" w:color="auto" w:sz="4" w:space="0"/>
              <w:right w:val="single" w:color="auto" w:sz="4" w:space="0"/>
            </w:tcBorders>
            <w:vAlign w:val="center"/>
          </w:tcPr>
          <w:p w14:paraId="43D0D5AC">
            <w:pPr>
              <w:jc w:val="center"/>
              <w:rPr>
                <w:rFonts w:ascii="Times New Roman" w:hAnsi="Times New Roman" w:cs="Times New Roman"/>
                <w:sz w:val="18"/>
                <w:szCs w:val="18"/>
              </w:rPr>
            </w:pPr>
          </w:p>
        </w:tc>
      </w:tr>
      <w:tr w14:paraId="6FEC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A59077E">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5-1</w:t>
            </w:r>
          </w:p>
        </w:tc>
        <w:tc>
          <w:tcPr>
            <w:tcW w:w="1114" w:type="dxa"/>
            <w:tcBorders>
              <w:top w:val="single" w:color="auto" w:sz="4" w:space="0"/>
              <w:left w:val="single" w:color="auto" w:sz="4" w:space="0"/>
              <w:bottom w:val="single" w:color="auto" w:sz="4" w:space="0"/>
              <w:right w:val="single" w:color="auto" w:sz="4" w:space="0"/>
            </w:tcBorders>
            <w:vAlign w:val="center"/>
          </w:tcPr>
          <w:p w14:paraId="1481275F">
            <w:pPr>
              <w:jc w:val="center"/>
              <w:rPr>
                <w:rFonts w:ascii="Times New Roman" w:hAnsi="Times New Roman" w:cs="Times New Roman"/>
                <w:sz w:val="18"/>
                <w:szCs w:val="18"/>
              </w:rPr>
            </w:pPr>
            <w:r>
              <w:rPr>
                <w:rFonts w:ascii="Times New Roman" w:hAnsi="Times New Roman" w:cs="Times New Roman"/>
                <w:sz w:val="18"/>
                <w:szCs w:val="18"/>
              </w:rPr>
              <w:t>机泵</w:t>
            </w:r>
          </w:p>
        </w:tc>
        <w:tc>
          <w:tcPr>
            <w:tcW w:w="580" w:type="dxa"/>
            <w:tcBorders>
              <w:top w:val="single" w:color="auto" w:sz="4" w:space="0"/>
              <w:left w:val="single" w:color="auto" w:sz="4" w:space="0"/>
              <w:bottom w:val="single" w:color="auto" w:sz="4" w:space="0"/>
              <w:right w:val="single" w:color="auto" w:sz="4" w:space="0"/>
            </w:tcBorders>
            <w:vAlign w:val="center"/>
          </w:tcPr>
          <w:p w14:paraId="39D01CA3">
            <w:pPr>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693" w:type="dxa"/>
            <w:tcBorders>
              <w:top w:val="single" w:color="auto" w:sz="4" w:space="0"/>
              <w:left w:val="single" w:color="auto" w:sz="4" w:space="0"/>
              <w:bottom w:val="single" w:color="auto" w:sz="4" w:space="0"/>
              <w:right w:val="single" w:color="auto" w:sz="4" w:space="0"/>
            </w:tcBorders>
            <w:vAlign w:val="center"/>
          </w:tcPr>
          <w:p w14:paraId="7FE76ABC">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6BF6A01C">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6F694F13">
            <w:pPr>
              <w:jc w:val="center"/>
              <w:rPr>
                <w:rFonts w:ascii="Times New Roman" w:hAnsi="Times New Roman" w:cs="Times New Roman"/>
                <w:sz w:val="18"/>
                <w:szCs w:val="18"/>
              </w:rPr>
            </w:pPr>
            <w:r>
              <w:rPr>
                <w:rFonts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360B8450">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72DFC701">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0DE25851">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3F62E515">
            <w:pPr>
              <w:jc w:val="center"/>
              <w:rPr>
                <w:rFonts w:ascii="Times New Roman" w:hAnsi="Times New Roman" w:cs="Times New Roman"/>
                <w:sz w:val="18"/>
                <w:szCs w:val="18"/>
              </w:rPr>
            </w:pPr>
            <w:r>
              <w:rPr>
                <w:rFonts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4FFB1F4F">
            <w:pPr>
              <w:jc w:val="center"/>
              <w:rPr>
                <w:rFonts w:ascii="Times New Roman" w:hAnsi="Times New Roman" w:cs="Times New Roman"/>
                <w:sz w:val="18"/>
                <w:szCs w:val="18"/>
              </w:rPr>
            </w:pPr>
            <w:r>
              <w:rPr>
                <w:rFonts w:ascii="Times New Roman" w:hAnsi="Times New Roman" w:cs="Times New Roman"/>
                <w:sz w:val="18"/>
                <w:szCs w:val="18"/>
              </w:rPr>
              <w:t>8000</w:t>
            </w:r>
          </w:p>
        </w:tc>
      </w:tr>
      <w:tr w14:paraId="1000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1617A21">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5-2</w:t>
            </w:r>
          </w:p>
        </w:tc>
        <w:tc>
          <w:tcPr>
            <w:tcW w:w="1114" w:type="dxa"/>
            <w:tcBorders>
              <w:top w:val="single" w:color="auto" w:sz="4" w:space="0"/>
              <w:left w:val="single" w:color="auto" w:sz="4" w:space="0"/>
              <w:bottom w:val="single" w:color="auto" w:sz="4" w:space="0"/>
              <w:right w:val="single" w:color="auto" w:sz="4" w:space="0"/>
            </w:tcBorders>
            <w:vAlign w:val="center"/>
          </w:tcPr>
          <w:p w14:paraId="43972F83">
            <w:pPr>
              <w:jc w:val="center"/>
              <w:rPr>
                <w:rFonts w:ascii="Times New Roman" w:hAnsi="Times New Roman" w:cs="Times New Roman"/>
                <w:sz w:val="18"/>
                <w:szCs w:val="18"/>
              </w:rPr>
            </w:pPr>
            <w:r>
              <w:rPr>
                <w:rFonts w:hint="eastAsia" w:ascii="Times New Roman" w:hAnsi="Times New Roman" w:cs="Times New Roman"/>
                <w:sz w:val="18"/>
                <w:szCs w:val="18"/>
              </w:rPr>
              <w:t>压缩机</w:t>
            </w:r>
          </w:p>
        </w:tc>
        <w:tc>
          <w:tcPr>
            <w:tcW w:w="580" w:type="dxa"/>
            <w:tcBorders>
              <w:top w:val="single" w:color="auto" w:sz="4" w:space="0"/>
              <w:left w:val="single" w:color="auto" w:sz="4" w:space="0"/>
              <w:bottom w:val="single" w:color="auto" w:sz="4" w:space="0"/>
              <w:right w:val="single" w:color="auto" w:sz="4" w:space="0"/>
            </w:tcBorders>
            <w:vAlign w:val="center"/>
          </w:tcPr>
          <w:p w14:paraId="1A06813E">
            <w:pPr>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693" w:type="dxa"/>
            <w:tcBorders>
              <w:top w:val="single" w:color="auto" w:sz="4" w:space="0"/>
              <w:left w:val="single" w:color="auto" w:sz="4" w:space="0"/>
              <w:bottom w:val="single" w:color="auto" w:sz="4" w:space="0"/>
              <w:right w:val="single" w:color="auto" w:sz="4" w:space="0"/>
            </w:tcBorders>
            <w:vAlign w:val="center"/>
          </w:tcPr>
          <w:p w14:paraId="0698FA66">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35CACA7C">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3FC6D010">
            <w:pPr>
              <w:jc w:val="center"/>
              <w:rPr>
                <w:rFonts w:ascii="Times New Roman" w:hAnsi="Times New Roman" w:cs="Times New Roman"/>
                <w:sz w:val="18"/>
                <w:szCs w:val="18"/>
              </w:rPr>
            </w:pPr>
            <w:r>
              <w:rPr>
                <w:rFonts w:hint="eastAsia" w:ascii="Times New Roman" w:hAnsi="Times New Roman" w:cs="Times New Roman"/>
                <w:sz w:val="18"/>
                <w:szCs w:val="18"/>
              </w:rPr>
              <w:t>90</w:t>
            </w:r>
          </w:p>
        </w:tc>
        <w:tc>
          <w:tcPr>
            <w:tcW w:w="1701" w:type="dxa"/>
            <w:tcBorders>
              <w:top w:val="single" w:color="auto" w:sz="4" w:space="0"/>
              <w:left w:val="single" w:color="auto" w:sz="4" w:space="0"/>
              <w:bottom w:val="single" w:color="auto" w:sz="4" w:space="0"/>
              <w:right w:val="single" w:color="auto" w:sz="4" w:space="0"/>
            </w:tcBorders>
            <w:vAlign w:val="center"/>
          </w:tcPr>
          <w:p w14:paraId="4928C78F">
            <w:pPr>
              <w:jc w:val="center"/>
              <w:rPr>
                <w:rFonts w:ascii="Times New Roman" w:hAnsi="Times New Roman" w:cs="Times New Roman"/>
                <w:sz w:val="18"/>
                <w:szCs w:val="18"/>
              </w:rPr>
            </w:pPr>
            <w:r>
              <w:rPr>
                <w:rFonts w:hint="eastAsia" w:ascii="Times New Roman" w:hAnsi="Times New Roman" w:cs="Times New Roman"/>
                <w:sz w:val="18"/>
                <w:szCs w:val="18"/>
              </w:rPr>
              <w:t>隔声、减震</w:t>
            </w:r>
          </w:p>
        </w:tc>
        <w:tc>
          <w:tcPr>
            <w:tcW w:w="425" w:type="dxa"/>
            <w:tcBorders>
              <w:top w:val="single" w:color="auto" w:sz="4" w:space="0"/>
              <w:left w:val="single" w:color="auto" w:sz="4" w:space="0"/>
              <w:right w:val="single" w:color="auto" w:sz="4" w:space="0"/>
            </w:tcBorders>
            <w:vAlign w:val="center"/>
          </w:tcPr>
          <w:p w14:paraId="3C7C994F">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131235CE">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3CA6EBF7">
            <w:pPr>
              <w:jc w:val="center"/>
              <w:rPr>
                <w:rFonts w:ascii="Times New Roman" w:hAnsi="Times New Roman" w:cs="Times New Roman"/>
                <w:sz w:val="18"/>
                <w:szCs w:val="18"/>
              </w:rPr>
            </w:pPr>
            <w:r>
              <w:rPr>
                <w:rFonts w:hint="eastAsia" w:ascii="Times New Roman" w:hAnsi="Times New Roman" w:cs="Times New Roman"/>
                <w:sz w:val="18"/>
                <w:szCs w:val="18"/>
              </w:rPr>
              <w:t>70</w:t>
            </w:r>
          </w:p>
        </w:tc>
        <w:tc>
          <w:tcPr>
            <w:tcW w:w="608" w:type="dxa"/>
            <w:tcBorders>
              <w:top w:val="single" w:color="auto" w:sz="4" w:space="0"/>
              <w:left w:val="single" w:color="auto" w:sz="4" w:space="0"/>
              <w:bottom w:val="single" w:color="auto" w:sz="4" w:space="0"/>
              <w:right w:val="single" w:color="auto" w:sz="4" w:space="0"/>
            </w:tcBorders>
            <w:vAlign w:val="center"/>
          </w:tcPr>
          <w:p w14:paraId="6AB72B2F">
            <w:pPr>
              <w:jc w:val="center"/>
              <w:rPr>
                <w:rFonts w:ascii="Times New Roman" w:hAnsi="Times New Roman" w:cs="Times New Roman"/>
                <w:sz w:val="18"/>
                <w:szCs w:val="18"/>
              </w:rPr>
            </w:pPr>
            <w:r>
              <w:rPr>
                <w:rFonts w:ascii="Times New Roman" w:hAnsi="Times New Roman" w:cs="Times New Roman"/>
                <w:sz w:val="18"/>
                <w:szCs w:val="18"/>
              </w:rPr>
              <w:t>8000</w:t>
            </w:r>
          </w:p>
        </w:tc>
      </w:tr>
    </w:tbl>
    <w:p w14:paraId="0288EEE0">
      <w:pPr>
        <w:pStyle w:val="814"/>
        <w:rPr>
          <w:rFonts w:hint="eastAsia"/>
        </w:rPr>
      </w:pPr>
      <w:r>
        <w:t>固体废物</w:t>
      </w:r>
    </w:p>
    <w:p w14:paraId="5A40CB69">
      <w:pPr>
        <w:pStyle w:val="128"/>
        <w:rPr>
          <w:rFonts w:hint="eastAsia"/>
        </w:rPr>
      </w:pPr>
      <w:r>
        <w:rPr>
          <w:rFonts w:hAnsi="Times New Roman" w:cs="Times New Roman"/>
        </w:rPr>
        <w:t>DMO</w:t>
      </w:r>
      <w:r>
        <w:rPr>
          <w:rFonts w:hint="eastAsia"/>
        </w:rPr>
        <w:t>装置固废产生及治理情况见表3.2.</w:t>
      </w:r>
      <w:r>
        <w:t>6</w:t>
      </w:r>
      <w:r>
        <w:rPr>
          <w:rFonts w:hint="eastAsia"/>
        </w:rPr>
        <w:t>-</w:t>
      </w:r>
      <w:r>
        <w:t>1</w:t>
      </w:r>
      <w:r>
        <w:rPr>
          <w:rFonts w:hint="eastAsia"/>
        </w:rPr>
        <w:t>0。</w:t>
      </w:r>
    </w:p>
    <w:p w14:paraId="02C8524B">
      <w:pPr>
        <w:pStyle w:val="645"/>
        <w:rPr>
          <w:rFonts w:hint="eastAsia"/>
        </w:rPr>
      </w:pPr>
      <w:r>
        <w:rPr>
          <w:rFonts w:hint="eastAsia"/>
        </w:rPr>
        <w:t>表3.2.</w:t>
      </w:r>
      <w:r>
        <w:t>6</w:t>
      </w:r>
      <w:r>
        <w:rPr>
          <w:rFonts w:hint="eastAsia"/>
        </w:rPr>
        <w:t>-</w:t>
      </w:r>
      <w:r>
        <w:t>1</w:t>
      </w:r>
      <w:r>
        <w:rPr>
          <w:rFonts w:hint="eastAsia"/>
        </w:rPr>
        <w:t>0</w:t>
      </w:r>
      <w:r>
        <w:t xml:space="preserve"> </w:t>
      </w:r>
      <w:r>
        <w:rPr>
          <w:rFonts w:hint="eastAsia"/>
        </w:rPr>
        <w:t xml:space="preserve">  </w:t>
      </w:r>
      <w:r>
        <w:t xml:space="preserve"> </w:t>
      </w:r>
      <w:r>
        <w:rPr>
          <w:rFonts w:ascii="Times New Roman" w:hAnsi="Times New Roman" w:eastAsia="宋体" w:cs="Times New Roman"/>
        </w:rPr>
        <w:t>DMO</w:t>
      </w:r>
      <w:r>
        <w:rPr>
          <w:rFonts w:hint="eastAsia"/>
        </w:rPr>
        <w:t>装置固体废物产排情况表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1649"/>
        <w:gridCol w:w="1113"/>
        <w:gridCol w:w="1633"/>
        <w:gridCol w:w="1134"/>
        <w:gridCol w:w="1134"/>
        <w:gridCol w:w="1175"/>
      </w:tblGrid>
      <w:tr w14:paraId="2EB7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5A09B4E0">
            <w:pPr>
              <w:pStyle w:val="190"/>
              <w:rPr>
                <w:rFonts w:ascii="Times New Roman" w:hAnsi="Times New Roman" w:cs="Times New Roman"/>
                <w:kern w:val="2"/>
                <w:szCs w:val="18"/>
              </w:rPr>
            </w:pPr>
            <w:r>
              <w:rPr>
                <w:rFonts w:ascii="Times New Roman" w:hAnsi="Times New Roman" w:cs="Times New Roman"/>
                <w:kern w:val="2"/>
                <w:szCs w:val="18"/>
              </w:rPr>
              <w:t>序号</w:t>
            </w:r>
          </w:p>
        </w:tc>
        <w:tc>
          <w:tcPr>
            <w:tcW w:w="1649" w:type="dxa"/>
            <w:tcBorders>
              <w:top w:val="single" w:color="auto" w:sz="4" w:space="0"/>
              <w:left w:val="single" w:color="auto" w:sz="4" w:space="0"/>
              <w:bottom w:val="single" w:color="auto" w:sz="4" w:space="0"/>
              <w:right w:val="single" w:color="auto" w:sz="4" w:space="0"/>
            </w:tcBorders>
            <w:vAlign w:val="center"/>
          </w:tcPr>
          <w:p w14:paraId="416CE6F8">
            <w:pPr>
              <w:pStyle w:val="190"/>
              <w:rPr>
                <w:rFonts w:ascii="Times New Roman" w:hAnsi="Times New Roman" w:cs="Times New Roman"/>
                <w:kern w:val="2"/>
                <w:szCs w:val="18"/>
              </w:rPr>
            </w:pPr>
            <w:r>
              <w:rPr>
                <w:rFonts w:ascii="Times New Roman" w:hAnsi="Times New Roman" w:cs="Times New Roman"/>
                <w:kern w:val="2"/>
                <w:szCs w:val="18"/>
              </w:rPr>
              <w:t>固废名称</w:t>
            </w:r>
          </w:p>
        </w:tc>
        <w:tc>
          <w:tcPr>
            <w:tcW w:w="1113" w:type="dxa"/>
            <w:tcBorders>
              <w:top w:val="single" w:color="auto" w:sz="4" w:space="0"/>
              <w:left w:val="single" w:color="auto" w:sz="4" w:space="0"/>
              <w:bottom w:val="single" w:color="auto" w:sz="4" w:space="0"/>
              <w:right w:val="single" w:color="auto" w:sz="4" w:space="0"/>
            </w:tcBorders>
            <w:vAlign w:val="center"/>
          </w:tcPr>
          <w:p w14:paraId="09E590AA">
            <w:pPr>
              <w:pStyle w:val="190"/>
              <w:rPr>
                <w:rFonts w:ascii="Times New Roman" w:hAnsi="Times New Roman" w:cs="Times New Roman"/>
                <w:kern w:val="2"/>
                <w:szCs w:val="18"/>
              </w:rPr>
            </w:pPr>
            <w:r>
              <w:rPr>
                <w:rFonts w:ascii="Times New Roman" w:hAnsi="Times New Roman" w:cs="Times New Roman"/>
                <w:kern w:val="2"/>
                <w:szCs w:val="18"/>
              </w:rPr>
              <w:t>属性</w:t>
            </w:r>
          </w:p>
        </w:tc>
        <w:tc>
          <w:tcPr>
            <w:tcW w:w="1633" w:type="dxa"/>
            <w:tcBorders>
              <w:top w:val="single" w:color="auto" w:sz="4" w:space="0"/>
              <w:left w:val="single" w:color="auto" w:sz="4" w:space="0"/>
              <w:bottom w:val="single" w:color="auto" w:sz="4" w:space="0"/>
              <w:right w:val="single" w:color="auto" w:sz="4" w:space="0"/>
            </w:tcBorders>
            <w:vAlign w:val="center"/>
          </w:tcPr>
          <w:p w14:paraId="46EB71B2">
            <w:pPr>
              <w:pStyle w:val="190"/>
              <w:rPr>
                <w:rFonts w:ascii="Times New Roman" w:hAnsi="Times New Roman" w:cs="Times New Roman"/>
                <w:kern w:val="2"/>
                <w:szCs w:val="18"/>
              </w:rPr>
            </w:pPr>
            <w:r>
              <w:rPr>
                <w:rFonts w:ascii="Times New Roman" w:hAnsi="Times New Roman" w:cs="Times New Roman"/>
                <w:kern w:val="2"/>
                <w:szCs w:val="18"/>
              </w:rPr>
              <w:t>代码</w:t>
            </w:r>
          </w:p>
        </w:tc>
        <w:tc>
          <w:tcPr>
            <w:tcW w:w="1134" w:type="dxa"/>
            <w:tcBorders>
              <w:top w:val="single" w:color="auto" w:sz="4" w:space="0"/>
              <w:left w:val="single" w:color="auto" w:sz="4" w:space="0"/>
              <w:bottom w:val="single" w:color="auto" w:sz="4" w:space="0"/>
              <w:right w:val="single" w:color="auto" w:sz="4" w:space="0"/>
            </w:tcBorders>
            <w:vAlign w:val="center"/>
          </w:tcPr>
          <w:p w14:paraId="51758C62">
            <w:pPr>
              <w:pStyle w:val="190"/>
              <w:rPr>
                <w:rFonts w:ascii="Times New Roman" w:hAnsi="Times New Roman" w:cs="Times New Roman"/>
                <w:kern w:val="2"/>
                <w:szCs w:val="18"/>
              </w:rPr>
            </w:pPr>
            <w:r>
              <w:rPr>
                <w:rFonts w:ascii="Times New Roman" w:hAnsi="Times New Roman" w:cs="Times New Roman"/>
                <w:kern w:val="2"/>
                <w:szCs w:val="18"/>
              </w:rPr>
              <w:t>产生量（t/a）</w:t>
            </w:r>
          </w:p>
        </w:tc>
        <w:tc>
          <w:tcPr>
            <w:tcW w:w="1134" w:type="dxa"/>
            <w:tcBorders>
              <w:top w:val="single" w:color="auto" w:sz="4" w:space="0"/>
              <w:left w:val="single" w:color="auto" w:sz="4" w:space="0"/>
              <w:bottom w:val="single" w:color="auto" w:sz="4" w:space="0"/>
              <w:right w:val="single" w:color="auto" w:sz="4" w:space="0"/>
            </w:tcBorders>
            <w:vAlign w:val="center"/>
          </w:tcPr>
          <w:p w14:paraId="259779D3">
            <w:pPr>
              <w:pStyle w:val="190"/>
              <w:rPr>
                <w:rFonts w:ascii="Times New Roman" w:hAnsi="Times New Roman" w:cs="Times New Roman"/>
                <w:kern w:val="2"/>
                <w:szCs w:val="18"/>
              </w:rPr>
            </w:pPr>
            <w:r>
              <w:rPr>
                <w:rFonts w:ascii="Times New Roman" w:hAnsi="Times New Roman" w:cs="Times New Roman"/>
                <w:kern w:val="2"/>
                <w:szCs w:val="18"/>
              </w:rPr>
              <w:t>治理措施</w:t>
            </w:r>
          </w:p>
        </w:tc>
        <w:tc>
          <w:tcPr>
            <w:tcW w:w="1175" w:type="dxa"/>
            <w:tcBorders>
              <w:top w:val="single" w:color="auto" w:sz="4" w:space="0"/>
              <w:left w:val="single" w:color="auto" w:sz="4" w:space="0"/>
              <w:bottom w:val="single" w:color="auto" w:sz="4" w:space="0"/>
              <w:right w:val="single" w:color="auto" w:sz="4" w:space="0"/>
            </w:tcBorders>
            <w:vAlign w:val="center"/>
          </w:tcPr>
          <w:p w14:paraId="3F294E8C">
            <w:pPr>
              <w:pStyle w:val="190"/>
              <w:rPr>
                <w:rFonts w:ascii="Times New Roman" w:hAnsi="Times New Roman" w:cs="Times New Roman"/>
                <w:kern w:val="2"/>
                <w:szCs w:val="18"/>
              </w:rPr>
            </w:pPr>
            <w:r>
              <w:rPr>
                <w:rFonts w:ascii="Times New Roman" w:hAnsi="Times New Roman" w:cs="Times New Roman"/>
                <w:kern w:val="2"/>
                <w:szCs w:val="18"/>
              </w:rPr>
              <w:t>处理量（t/a）</w:t>
            </w:r>
          </w:p>
        </w:tc>
      </w:tr>
      <w:tr w14:paraId="25AC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429AB5F6">
            <w:pPr>
              <w:pStyle w:val="190"/>
              <w:rPr>
                <w:rFonts w:ascii="Times New Roman" w:hAnsi="Times New Roman" w:cs="Times New Roman"/>
                <w:kern w:val="2"/>
                <w:szCs w:val="18"/>
              </w:rPr>
            </w:pPr>
            <w:r>
              <w:rPr>
                <w:rFonts w:ascii="Times New Roman" w:hAnsi="Times New Roman" w:cs="Times New Roman"/>
              </w:rPr>
              <w:t>S</w:t>
            </w:r>
            <w:r>
              <w:rPr>
                <w:rFonts w:ascii="Times New Roman" w:hAnsi="Times New Roman" w:cs="Times New Roman"/>
                <w:vertAlign w:val="subscript"/>
              </w:rPr>
              <w:t>5-1</w:t>
            </w:r>
          </w:p>
        </w:tc>
        <w:tc>
          <w:tcPr>
            <w:tcW w:w="1649" w:type="dxa"/>
            <w:tcBorders>
              <w:top w:val="single" w:color="auto" w:sz="4" w:space="0"/>
              <w:left w:val="single" w:color="auto" w:sz="4" w:space="0"/>
              <w:bottom w:val="single" w:color="auto" w:sz="4" w:space="0"/>
              <w:right w:val="single" w:color="auto" w:sz="4" w:space="0"/>
            </w:tcBorders>
            <w:vAlign w:val="center"/>
          </w:tcPr>
          <w:p w14:paraId="44436B52">
            <w:pPr>
              <w:pStyle w:val="190"/>
              <w:rPr>
                <w:rFonts w:ascii="Times New Roman" w:hAnsi="Times New Roman" w:cs="Times New Roman"/>
                <w:kern w:val="2"/>
                <w:szCs w:val="18"/>
              </w:rPr>
            </w:pPr>
            <w:r>
              <w:rPr>
                <w:rFonts w:hint="eastAsia" w:ascii="Times New Roman" w:hAnsi="Times New Roman" w:cs="Times New Roman"/>
                <w:kern w:val="2"/>
                <w:szCs w:val="18"/>
              </w:rPr>
              <w:t>废羰化催化剂</w:t>
            </w:r>
          </w:p>
        </w:tc>
        <w:tc>
          <w:tcPr>
            <w:tcW w:w="1113" w:type="dxa"/>
            <w:tcBorders>
              <w:top w:val="single" w:color="auto" w:sz="4" w:space="0"/>
              <w:left w:val="single" w:color="auto" w:sz="4" w:space="0"/>
              <w:bottom w:val="single" w:color="auto" w:sz="4" w:space="0"/>
              <w:right w:val="single" w:color="auto" w:sz="4" w:space="0"/>
            </w:tcBorders>
            <w:vAlign w:val="center"/>
          </w:tcPr>
          <w:p w14:paraId="6978F12B">
            <w:pPr>
              <w:pStyle w:val="190"/>
              <w:rPr>
                <w:rFonts w:ascii="Times New Roman" w:hAnsi="Times New Roman" w:cs="Times New Roman"/>
                <w:kern w:val="2"/>
                <w:szCs w:val="18"/>
              </w:rPr>
            </w:pPr>
            <w:r>
              <w:rPr>
                <w:rFonts w:ascii="Times New Roman" w:hAnsi="Times New Roman" w:cs="Times New Roman"/>
                <w:kern w:val="2"/>
                <w:szCs w:val="18"/>
              </w:rPr>
              <w:t>危险废物</w:t>
            </w:r>
          </w:p>
        </w:tc>
        <w:tc>
          <w:tcPr>
            <w:tcW w:w="1633" w:type="dxa"/>
            <w:tcBorders>
              <w:top w:val="single" w:color="auto" w:sz="4" w:space="0"/>
              <w:left w:val="single" w:color="auto" w:sz="4" w:space="0"/>
              <w:bottom w:val="single" w:color="auto" w:sz="4" w:space="0"/>
              <w:right w:val="single" w:color="auto" w:sz="4" w:space="0"/>
            </w:tcBorders>
            <w:vAlign w:val="center"/>
          </w:tcPr>
          <w:p w14:paraId="5FC8EA4B">
            <w:pPr>
              <w:pStyle w:val="190"/>
              <w:rPr>
                <w:rFonts w:ascii="Times New Roman" w:hAnsi="Times New Roman" w:cs="Times New Roman"/>
                <w:kern w:val="2"/>
                <w:szCs w:val="18"/>
              </w:rPr>
            </w:pPr>
            <w:r>
              <w:rPr>
                <w:rFonts w:ascii="Times New Roman" w:hAnsi="Times New Roman" w:eastAsia="等线" w:cs="Times New Roman"/>
                <w:color w:val="000000"/>
                <w:szCs w:val="18"/>
              </w:rPr>
              <w:t>HW50 261-167-50</w:t>
            </w:r>
          </w:p>
        </w:tc>
        <w:tc>
          <w:tcPr>
            <w:tcW w:w="1134" w:type="dxa"/>
            <w:tcBorders>
              <w:top w:val="single" w:color="auto" w:sz="4" w:space="0"/>
              <w:left w:val="single" w:color="auto" w:sz="4" w:space="0"/>
              <w:bottom w:val="single" w:color="auto" w:sz="4" w:space="0"/>
              <w:right w:val="single" w:color="auto" w:sz="4" w:space="0"/>
            </w:tcBorders>
            <w:vAlign w:val="center"/>
          </w:tcPr>
          <w:p w14:paraId="39D119C3">
            <w:pPr>
              <w:pStyle w:val="190"/>
              <w:rPr>
                <w:rFonts w:ascii="Times New Roman" w:hAnsi="Times New Roman" w:cs="Times New Roman"/>
                <w:kern w:val="2"/>
                <w:szCs w:val="18"/>
              </w:rPr>
            </w:pPr>
            <w:r>
              <w:rPr>
                <w:rFonts w:hint="eastAsia" w:ascii="Times New Roman" w:hAnsi="Times New Roman" w:cs="Times New Roman"/>
                <w:kern w:val="2"/>
                <w:szCs w:val="18"/>
              </w:rPr>
              <w:t>59.4</w:t>
            </w:r>
          </w:p>
        </w:tc>
        <w:tc>
          <w:tcPr>
            <w:tcW w:w="1134" w:type="dxa"/>
            <w:tcBorders>
              <w:top w:val="single" w:color="auto" w:sz="4" w:space="0"/>
              <w:left w:val="single" w:color="auto" w:sz="4" w:space="0"/>
              <w:bottom w:val="single" w:color="auto" w:sz="4" w:space="0"/>
              <w:right w:val="single" w:color="auto" w:sz="4" w:space="0"/>
            </w:tcBorders>
            <w:vAlign w:val="center"/>
          </w:tcPr>
          <w:p w14:paraId="25D61181">
            <w:pPr>
              <w:pStyle w:val="190"/>
              <w:rPr>
                <w:rFonts w:ascii="Times New Roman" w:hAnsi="Times New Roman" w:cs="Times New Roman"/>
                <w:kern w:val="2"/>
                <w:szCs w:val="18"/>
              </w:rPr>
            </w:pPr>
            <w:r>
              <w:rPr>
                <w:rFonts w:hint="eastAsia" w:ascii="Times New Roman" w:hAnsi="Times New Roman" w:cs="Times New Roman"/>
                <w:kern w:val="2"/>
                <w:szCs w:val="18"/>
              </w:rPr>
              <w:t>供应商回收</w:t>
            </w:r>
          </w:p>
        </w:tc>
        <w:tc>
          <w:tcPr>
            <w:tcW w:w="1175" w:type="dxa"/>
            <w:tcBorders>
              <w:top w:val="single" w:color="auto" w:sz="4" w:space="0"/>
              <w:left w:val="single" w:color="auto" w:sz="4" w:space="0"/>
              <w:bottom w:val="single" w:color="auto" w:sz="4" w:space="0"/>
              <w:right w:val="single" w:color="auto" w:sz="4" w:space="0"/>
            </w:tcBorders>
            <w:vAlign w:val="center"/>
          </w:tcPr>
          <w:p w14:paraId="206A362A">
            <w:pPr>
              <w:pStyle w:val="190"/>
              <w:rPr>
                <w:rFonts w:ascii="Times New Roman" w:hAnsi="Times New Roman" w:cs="Times New Roman"/>
                <w:kern w:val="2"/>
                <w:szCs w:val="18"/>
              </w:rPr>
            </w:pPr>
            <w:r>
              <w:rPr>
                <w:rFonts w:hint="eastAsia" w:ascii="Times New Roman" w:hAnsi="Times New Roman" w:cs="Times New Roman"/>
                <w:kern w:val="2"/>
                <w:szCs w:val="18"/>
              </w:rPr>
              <w:t>59.4</w:t>
            </w:r>
          </w:p>
        </w:tc>
      </w:tr>
      <w:tr w14:paraId="0F7B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right w:val="single" w:color="auto" w:sz="4" w:space="0"/>
            </w:tcBorders>
            <w:vAlign w:val="center"/>
          </w:tcPr>
          <w:p w14:paraId="6E8935FA">
            <w:pPr>
              <w:pStyle w:val="190"/>
              <w:rPr>
                <w:rFonts w:ascii="Times New Roman" w:hAnsi="Times New Roman" w:cs="Times New Roman"/>
                <w:szCs w:val="22"/>
              </w:rPr>
            </w:pPr>
            <w:r>
              <w:rPr>
                <w:rFonts w:ascii="Times New Roman" w:hAnsi="Times New Roman" w:cs="Times New Roman"/>
              </w:rPr>
              <w:t>S</w:t>
            </w:r>
            <w:r>
              <w:rPr>
                <w:rFonts w:ascii="Times New Roman" w:hAnsi="Times New Roman" w:cs="Times New Roman"/>
                <w:vertAlign w:val="subscript"/>
              </w:rPr>
              <w:t>5-2</w:t>
            </w:r>
          </w:p>
        </w:tc>
        <w:tc>
          <w:tcPr>
            <w:tcW w:w="1649" w:type="dxa"/>
            <w:tcBorders>
              <w:top w:val="single" w:color="auto" w:sz="4" w:space="0"/>
              <w:left w:val="single" w:color="auto" w:sz="4" w:space="0"/>
              <w:right w:val="single" w:color="auto" w:sz="4" w:space="0"/>
            </w:tcBorders>
            <w:vAlign w:val="center"/>
          </w:tcPr>
          <w:p w14:paraId="20E8B088">
            <w:pPr>
              <w:pStyle w:val="190"/>
              <w:rPr>
                <w:rFonts w:ascii="Times New Roman" w:hAnsi="Times New Roman" w:cs="Times New Roman"/>
                <w:szCs w:val="18"/>
              </w:rPr>
            </w:pPr>
            <w:r>
              <w:rPr>
                <w:rFonts w:hint="eastAsia" w:ascii="Times New Roman" w:hAnsi="Times New Roman" w:cs="Times New Roman"/>
              </w:rPr>
              <w:t>废瓷球</w:t>
            </w:r>
          </w:p>
        </w:tc>
        <w:tc>
          <w:tcPr>
            <w:tcW w:w="1113" w:type="dxa"/>
            <w:tcBorders>
              <w:top w:val="single" w:color="auto" w:sz="4" w:space="0"/>
              <w:left w:val="single" w:color="auto" w:sz="4" w:space="0"/>
              <w:right w:val="single" w:color="auto" w:sz="4" w:space="0"/>
            </w:tcBorders>
            <w:vAlign w:val="center"/>
          </w:tcPr>
          <w:p w14:paraId="19C91CDD">
            <w:pPr>
              <w:pStyle w:val="190"/>
              <w:rPr>
                <w:rFonts w:ascii="Times New Roman" w:hAnsi="Times New Roman" w:cs="Times New Roman"/>
                <w:kern w:val="2"/>
                <w:szCs w:val="18"/>
              </w:rPr>
            </w:pPr>
            <w:r>
              <w:rPr>
                <w:rFonts w:hint="eastAsia" w:ascii="Times New Roman" w:hAnsi="Times New Roman" w:cs="Times New Roman"/>
                <w:kern w:val="2"/>
                <w:szCs w:val="18"/>
              </w:rPr>
              <w:t>危险废物</w:t>
            </w:r>
          </w:p>
        </w:tc>
        <w:tc>
          <w:tcPr>
            <w:tcW w:w="1633" w:type="dxa"/>
            <w:tcBorders>
              <w:top w:val="single" w:color="auto" w:sz="4" w:space="0"/>
              <w:left w:val="single" w:color="auto" w:sz="4" w:space="0"/>
              <w:right w:val="single" w:color="auto" w:sz="4" w:space="0"/>
            </w:tcBorders>
            <w:vAlign w:val="center"/>
          </w:tcPr>
          <w:p w14:paraId="5364FA63">
            <w:pPr>
              <w:pStyle w:val="190"/>
              <w:rPr>
                <w:rFonts w:ascii="Times New Roman" w:hAnsi="Times New Roman" w:cs="Times New Roman"/>
                <w:kern w:val="2"/>
                <w:szCs w:val="18"/>
              </w:rPr>
            </w:pPr>
            <w:r>
              <w:rPr>
                <w:rFonts w:ascii="Times New Roman" w:hAnsi="Times New Roman" w:cs="Times New Roman"/>
                <w:kern w:val="2"/>
                <w:szCs w:val="18"/>
              </w:rPr>
              <w:t>HW49 900-041-49</w:t>
            </w:r>
          </w:p>
        </w:tc>
        <w:tc>
          <w:tcPr>
            <w:tcW w:w="1134" w:type="dxa"/>
            <w:tcBorders>
              <w:top w:val="single" w:color="auto" w:sz="4" w:space="0"/>
              <w:left w:val="single" w:color="auto" w:sz="4" w:space="0"/>
              <w:bottom w:val="single" w:color="auto" w:sz="4" w:space="0"/>
              <w:right w:val="single" w:color="auto" w:sz="4" w:space="0"/>
            </w:tcBorders>
            <w:vAlign w:val="center"/>
          </w:tcPr>
          <w:p w14:paraId="63E69954">
            <w:pPr>
              <w:pStyle w:val="190"/>
              <w:rPr>
                <w:rFonts w:ascii="Times New Roman" w:hAnsi="Times New Roman" w:cs="Times New Roman"/>
                <w:kern w:val="2"/>
                <w:szCs w:val="18"/>
              </w:rPr>
            </w:pPr>
            <w:r>
              <w:rPr>
                <w:rFonts w:hint="eastAsia" w:ascii="Times New Roman" w:hAnsi="Times New Roman" w:cs="Times New Roman"/>
              </w:rPr>
              <w:t>9.13</w:t>
            </w:r>
          </w:p>
        </w:tc>
        <w:tc>
          <w:tcPr>
            <w:tcW w:w="1134" w:type="dxa"/>
            <w:tcBorders>
              <w:top w:val="single" w:color="auto" w:sz="4" w:space="0"/>
              <w:left w:val="single" w:color="auto" w:sz="4" w:space="0"/>
              <w:right w:val="single" w:color="auto" w:sz="4" w:space="0"/>
            </w:tcBorders>
            <w:vAlign w:val="center"/>
          </w:tcPr>
          <w:p w14:paraId="209524E7">
            <w:pPr>
              <w:pStyle w:val="190"/>
              <w:rPr>
                <w:rFonts w:ascii="Times New Roman" w:hAnsi="Times New Roman" w:cs="Times New Roman"/>
                <w:kern w:val="2"/>
                <w:szCs w:val="18"/>
              </w:rPr>
            </w:pPr>
            <w:r>
              <w:rPr>
                <w:rFonts w:hint="eastAsia" w:ascii="Times New Roman" w:hAnsi="Times New Roman" w:cs="Times New Roman"/>
                <w:kern w:val="2"/>
                <w:szCs w:val="18"/>
              </w:rPr>
              <w:t>填埋</w:t>
            </w:r>
          </w:p>
        </w:tc>
        <w:tc>
          <w:tcPr>
            <w:tcW w:w="1175" w:type="dxa"/>
            <w:tcBorders>
              <w:top w:val="single" w:color="auto" w:sz="4" w:space="0"/>
              <w:left w:val="single" w:color="auto" w:sz="4" w:space="0"/>
              <w:bottom w:val="single" w:color="auto" w:sz="4" w:space="0"/>
              <w:right w:val="single" w:color="auto" w:sz="4" w:space="0"/>
            </w:tcBorders>
            <w:vAlign w:val="center"/>
          </w:tcPr>
          <w:p w14:paraId="14B56F4A">
            <w:pPr>
              <w:pStyle w:val="190"/>
              <w:rPr>
                <w:rFonts w:hint="eastAsia"/>
              </w:rPr>
            </w:pPr>
            <w:r>
              <w:rPr>
                <w:rFonts w:hint="eastAsia" w:ascii="Times New Roman" w:hAnsi="Times New Roman" w:cs="Times New Roman"/>
              </w:rPr>
              <w:t>9.13</w:t>
            </w:r>
          </w:p>
        </w:tc>
      </w:tr>
      <w:bookmarkEnd w:id="173"/>
    </w:tbl>
    <w:p w14:paraId="7FC653BD">
      <w:pPr>
        <w:pStyle w:val="97"/>
        <w:rPr>
          <w:rFonts w:hint="eastAsia"/>
        </w:rPr>
      </w:pPr>
      <w:r>
        <w:rPr>
          <w:rFonts w:hint="eastAsia"/>
        </w:rPr>
        <w:t>草酰胺装置（编号0</w:t>
      </w:r>
      <w:r>
        <w:t>6</w:t>
      </w:r>
      <w:r>
        <w:rPr>
          <w:rFonts w:hint="eastAsia"/>
        </w:rPr>
        <w:t>）</w:t>
      </w:r>
    </w:p>
    <w:p w14:paraId="76877956">
      <w:pPr>
        <w:pStyle w:val="98"/>
        <w:rPr>
          <w:rFonts w:hint="eastAsia"/>
        </w:rPr>
      </w:pPr>
      <w:r>
        <w:rPr>
          <w:rFonts w:hint="eastAsia"/>
        </w:rPr>
        <w:t>装置概述</w:t>
      </w:r>
    </w:p>
    <w:p w14:paraId="4646C5DD">
      <w:pPr>
        <w:pStyle w:val="281"/>
        <w:ind w:firstLine="480"/>
        <w:rPr>
          <w:rFonts w:cs="Times New Roman"/>
        </w:rPr>
      </w:pPr>
      <w:r>
        <w:rPr>
          <w:rFonts w:cs="Times New Roman"/>
        </w:rPr>
        <w:t>本装置主要包括：草酰胺合成、分离、液体精馏、固体干燥单元及公用工程单元。</w:t>
      </w:r>
    </w:p>
    <w:p w14:paraId="24217F3C">
      <w:pPr>
        <w:pStyle w:val="281"/>
        <w:ind w:firstLine="480"/>
        <w:rPr>
          <w:rFonts w:cs="Times New Roman"/>
        </w:rPr>
      </w:pPr>
      <w:r>
        <w:rPr>
          <w:rFonts w:cs="Times New Roman"/>
        </w:rPr>
        <w:t>设计规模：50万吨/年；</w:t>
      </w:r>
    </w:p>
    <w:p w14:paraId="341AF35E">
      <w:pPr>
        <w:pStyle w:val="281"/>
        <w:ind w:firstLine="480"/>
        <w:rPr>
          <w:rFonts w:hint="eastAsia" w:ascii="宋体" w:hAnsi="宋体"/>
        </w:rPr>
      </w:pPr>
      <w:r>
        <w:rPr>
          <w:rFonts w:hint="eastAsia" w:ascii="宋体" w:hAnsi="宋体"/>
        </w:rPr>
        <w:t>操</w:t>
      </w:r>
      <w:r>
        <w:rPr>
          <w:rFonts w:hint="eastAsia"/>
        </w:rPr>
        <w:t>作弹性：60-100%；</w:t>
      </w:r>
    </w:p>
    <w:p w14:paraId="08F73D6F">
      <w:pPr>
        <w:pStyle w:val="281"/>
        <w:ind w:firstLine="480"/>
      </w:pPr>
      <w:r>
        <w:rPr>
          <w:rFonts w:hint="eastAsia" w:ascii="宋体" w:hAnsi="宋体"/>
        </w:rPr>
        <w:t>年开工时间：</w:t>
      </w:r>
      <w:r>
        <w:t>8000h</w:t>
      </w:r>
      <w:r>
        <w:rPr>
          <w:rFonts w:hint="eastAsia" w:ascii="宋体" w:hAnsi="宋体"/>
        </w:rPr>
        <w:t>。</w:t>
      </w:r>
    </w:p>
    <w:p w14:paraId="0FFC8E77">
      <w:pPr>
        <w:pStyle w:val="98"/>
        <w:rPr>
          <w:rFonts w:hint="eastAsia"/>
        </w:rPr>
      </w:pPr>
      <w:r>
        <w:rPr>
          <w:rFonts w:hint="eastAsia"/>
        </w:rPr>
        <w:t>原辅材料及公用工程消耗</w:t>
      </w:r>
    </w:p>
    <w:p w14:paraId="66F2151D">
      <w:pPr>
        <w:pStyle w:val="128"/>
        <w:rPr>
          <w:rFonts w:hint="eastAsia"/>
        </w:rPr>
      </w:pPr>
      <w:r>
        <w:rPr>
          <w:rFonts w:hint="eastAsia"/>
        </w:rPr>
        <w:t>（1）原辅材料及公用工程</w:t>
      </w:r>
    </w:p>
    <w:p w14:paraId="7020E7FA">
      <w:pPr>
        <w:pStyle w:val="128"/>
        <w:rPr>
          <w:rFonts w:hint="eastAsia"/>
        </w:rPr>
      </w:pPr>
      <w:r>
        <w:rPr>
          <w:rFonts w:hint="eastAsia"/>
        </w:rPr>
        <w:t>草酰胺</w:t>
      </w:r>
      <w:r>
        <w:t>装置</w:t>
      </w:r>
      <w:r>
        <w:rPr>
          <w:rFonts w:hint="eastAsia"/>
        </w:rPr>
        <w:t>原辅材料及公用工程消耗情况见表</w:t>
      </w:r>
      <w:r>
        <w:t>3.2.7-</w:t>
      </w:r>
      <w:r>
        <w:rPr>
          <w:rFonts w:hint="eastAsia"/>
        </w:rPr>
        <w:t>1。</w:t>
      </w:r>
    </w:p>
    <w:p w14:paraId="397057FC">
      <w:pPr>
        <w:pStyle w:val="540"/>
        <w:rPr>
          <w:rFonts w:hint="eastAsia"/>
          <w:color w:val="auto"/>
        </w:rPr>
      </w:pPr>
      <w:r>
        <w:rPr>
          <w:rFonts w:hint="eastAsia"/>
          <w:color w:val="auto"/>
        </w:rPr>
        <w:t>表3.2.</w:t>
      </w:r>
      <w:r>
        <w:rPr>
          <w:color w:val="auto"/>
        </w:rPr>
        <w:t>7</w:t>
      </w:r>
      <w:r>
        <w:rPr>
          <w:rFonts w:hint="eastAsia"/>
          <w:color w:val="auto"/>
        </w:rPr>
        <w:t xml:space="preserve">-1  </w:t>
      </w:r>
      <w:r>
        <w:rPr>
          <w:color w:val="auto"/>
        </w:rPr>
        <w:t xml:space="preserve">  </w:t>
      </w:r>
      <w:r>
        <w:rPr>
          <w:rFonts w:hint="eastAsia"/>
          <w:color w:val="auto"/>
        </w:rPr>
        <w:t>原辅材料及公用工程消耗情况表</w:t>
      </w:r>
    </w:p>
    <w:p w14:paraId="25EC2342">
      <w:pPr>
        <w:rPr>
          <w:rFonts w:hint="eastAsia"/>
        </w:rPr>
      </w:pPr>
      <w:r>
        <w:rPr>
          <w:rFonts w:hint="eastAsia"/>
        </w:rPr>
        <w:br w:type="page"/>
      </w:r>
    </w:p>
    <w:p w14:paraId="6F11641B">
      <w:pPr>
        <w:pStyle w:val="128"/>
        <w:rPr>
          <w:rFonts w:hint="eastAsia"/>
        </w:rPr>
      </w:pPr>
      <w:r>
        <w:rPr>
          <w:rFonts w:hint="eastAsia"/>
        </w:rPr>
        <w:t>（2）原辅材料理化性质</w:t>
      </w:r>
    </w:p>
    <w:p w14:paraId="093A4471">
      <w:pPr>
        <w:pStyle w:val="540"/>
        <w:rPr>
          <w:rFonts w:hint="eastAsia"/>
          <w:color w:val="auto"/>
        </w:rPr>
      </w:pPr>
      <w:r>
        <w:rPr>
          <w:rFonts w:hint="eastAsia"/>
          <w:color w:val="auto"/>
        </w:rPr>
        <w:t>表3.2.</w:t>
      </w:r>
      <w:r>
        <w:rPr>
          <w:color w:val="auto"/>
        </w:rPr>
        <w:t>7</w:t>
      </w:r>
      <w:r>
        <w:rPr>
          <w:rFonts w:hint="eastAsia"/>
          <w:color w:val="auto"/>
        </w:rPr>
        <w:t xml:space="preserve">-2  </w:t>
      </w:r>
      <w:r>
        <w:rPr>
          <w:color w:val="auto"/>
        </w:rPr>
        <w:t xml:space="preserve">  </w:t>
      </w:r>
      <w:r>
        <w:rPr>
          <w:rFonts w:hint="eastAsia"/>
          <w:color w:val="auto"/>
        </w:rPr>
        <w:t>液氨理化性质</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7580"/>
      </w:tblGrid>
      <w:tr w14:paraId="165F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1" w:type="pct"/>
            <w:vAlign w:val="center"/>
          </w:tcPr>
          <w:p w14:paraId="1B60546E">
            <w:pPr>
              <w:pStyle w:val="190"/>
              <w:rPr>
                <w:rFonts w:ascii="Times New Roman" w:hAnsi="Times New Roman" w:cs="Times New Roman"/>
                <w:szCs w:val="18"/>
              </w:rPr>
            </w:pPr>
            <w:r>
              <w:rPr>
                <w:rFonts w:ascii="Times New Roman" w:hAnsi="Times New Roman" w:cs="Times New Roman"/>
                <w:szCs w:val="18"/>
              </w:rPr>
              <w:t>原辅材料名称</w:t>
            </w:r>
          </w:p>
        </w:tc>
        <w:tc>
          <w:tcPr>
            <w:tcW w:w="4448" w:type="pct"/>
            <w:vAlign w:val="center"/>
          </w:tcPr>
          <w:p w14:paraId="5993CE56">
            <w:pPr>
              <w:pStyle w:val="190"/>
              <w:rPr>
                <w:rFonts w:ascii="Times New Roman" w:hAnsi="Times New Roman" w:cs="Times New Roman"/>
                <w:szCs w:val="18"/>
              </w:rPr>
            </w:pPr>
            <w:r>
              <w:rPr>
                <w:rFonts w:ascii="Times New Roman" w:hAnsi="Times New Roman" w:cs="Times New Roman"/>
                <w:szCs w:val="18"/>
              </w:rPr>
              <w:t>理化性质</w:t>
            </w:r>
          </w:p>
        </w:tc>
      </w:tr>
      <w:tr w14:paraId="306A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1" w:type="pct"/>
            <w:vAlign w:val="center"/>
          </w:tcPr>
          <w:p w14:paraId="6B949E8F">
            <w:pPr>
              <w:pStyle w:val="190"/>
              <w:rPr>
                <w:rFonts w:ascii="Times New Roman" w:hAnsi="Times New Roman" w:cs="Times New Roman"/>
                <w:szCs w:val="18"/>
              </w:rPr>
            </w:pPr>
            <w:r>
              <w:rPr>
                <w:rFonts w:ascii="Times New Roman" w:hAnsi="Times New Roman" w:cs="Times New Roman"/>
                <w:szCs w:val="18"/>
              </w:rPr>
              <w:t>液氨</w:t>
            </w:r>
          </w:p>
        </w:tc>
        <w:tc>
          <w:tcPr>
            <w:tcW w:w="4448" w:type="pct"/>
            <w:vAlign w:val="center"/>
          </w:tcPr>
          <w:p w14:paraId="3F93B595">
            <w:pPr>
              <w:pStyle w:val="557"/>
              <w:jc w:val="left"/>
            </w:pPr>
            <w:r>
              <w:t>液氨是一种无色液体，有强烈刺激性气味。</w:t>
            </w:r>
            <w:r>
              <w:fldChar w:fldCharType="begin"/>
            </w:r>
            <w:r>
              <w:instrText xml:space="preserve"> HYPERLINK "https://baike.baidu.com/item/%E6%B0%A8/384093?fromModule=lemma_inlink" \t "_blank" </w:instrText>
            </w:r>
            <w:r>
              <w:fldChar w:fldCharType="separate"/>
            </w:r>
            <w:r>
              <w:t>氨</w:t>
            </w:r>
            <w:r>
              <w:fldChar w:fldCharType="end"/>
            </w:r>
            <w:r>
              <w:t>作为一种重要的化工原料，为运输及储存便利，通常将气态的氨气通过加压或冷却得到液态氨。液氨易溶于水，溶于水后形成铵根离子NH</w:t>
            </w:r>
            <w:r>
              <w:rPr>
                <w:vertAlign w:val="subscript"/>
              </w:rPr>
              <w:t>4</w:t>
            </w:r>
            <w:r>
              <w:rPr>
                <w:vertAlign w:val="superscript"/>
              </w:rPr>
              <w:t>+</w:t>
            </w:r>
            <w:r>
              <w:t>、氢氧根离子OH</w:t>
            </w:r>
            <w:r>
              <w:rPr>
                <w:vertAlign w:val="superscript"/>
              </w:rPr>
              <w:t>-</w:t>
            </w:r>
            <w:r>
              <w:t>，溶液呈碱性。液氨多储于耐压钢瓶或钢槽中，且不能与乙醛、丙烯醛、硼等物质共存。液氨在工业上应用广泛，具有腐蚀性且容易挥发。</w:t>
            </w:r>
          </w:p>
          <w:p w14:paraId="20A9E2AF">
            <w:pPr>
              <w:pStyle w:val="557"/>
              <w:jc w:val="left"/>
            </w:pPr>
            <w:r>
              <w:t>熔点：-77.7 ℃；沸点-33.5 ℃；</w:t>
            </w:r>
          </w:p>
        </w:tc>
      </w:tr>
    </w:tbl>
    <w:p w14:paraId="6E9A6F85">
      <w:pPr>
        <w:pStyle w:val="128"/>
        <w:rPr>
          <w:rFonts w:hint="eastAsia"/>
        </w:rPr>
      </w:pPr>
    </w:p>
    <w:p w14:paraId="35B54531">
      <w:pPr>
        <w:pStyle w:val="98"/>
        <w:rPr>
          <w:rFonts w:hint="eastAsia"/>
        </w:rPr>
      </w:pPr>
      <w:r>
        <w:rPr>
          <w:rFonts w:hint="eastAsia"/>
        </w:rPr>
        <w:t>工艺流程及产污环节</w:t>
      </w:r>
    </w:p>
    <w:p w14:paraId="062C36A8">
      <w:pPr>
        <w:pStyle w:val="814"/>
        <w:rPr>
          <w:rFonts w:hint="eastAsia"/>
        </w:rPr>
      </w:pPr>
      <w:r>
        <w:rPr>
          <w:rFonts w:hint="eastAsia"/>
        </w:rPr>
        <w:t>工艺流程</w:t>
      </w:r>
    </w:p>
    <w:p w14:paraId="693973F1">
      <w:pPr>
        <w:pStyle w:val="281"/>
        <w:ind w:firstLine="480"/>
        <w:rPr>
          <w:rFonts w:cs="Times New Roman"/>
        </w:rPr>
      </w:pPr>
      <w:r>
        <w:rPr>
          <w:rFonts w:hint="eastAsia" w:cs="Times New Roman"/>
        </w:rPr>
        <w:t>略。</w:t>
      </w:r>
    </w:p>
    <w:p w14:paraId="5C21C522">
      <w:pPr>
        <w:pStyle w:val="281"/>
        <w:ind w:firstLine="480"/>
        <w:rPr>
          <w:rFonts w:cs="Times New Roman"/>
        </w:rPr>
      </w:pPr>
      <w:r>
        <w:rPr>
          <w:rFonts w:hint="eastAsia" w:cs="Times New Roman"/>
        </w:rPr>
        <w:t>草酰胺装置工艺流程及产污节点见图3.2.7-1。</w:t>
      </w:r>
    </w:p>
    <w:p w14:paraId="1694885D">
      <w:pPr>
        <w:pStyle w:val="281"/>
        <w:ind w:firstLine="0" w:firstLineChars="0"/>
      </w:pPr>
    </w:p>
    <w:p w14:paraId="5B40178C">
      <w:pPr>
        <w:pStyle w:val="645"/>
        <w:rPr>
          <w:rFonts w:hint="eastAsia"/>
        </w:rPr>
      </w:pPr>
      <w:r>
        <w:rPr>
          <w:rFonts w:hint="eastAsia"/>
        </w:rPr>
        <w:t>图3.2.7-1    草酰胺工艺流程及产污环节图</w:t>
      </w:r>
    </w:p>
    <w:p w14:paraId="44D445CD">
      <w:pPr>
        <w:pStyle w:val="281"/>
        <w:ind w:firstLine="480"/>
        <w:sectPr>
          <w:pgSz w:w="11906" w:h="16838"/>
          <w:pgMar w:top="1440" w:right="1800" w:bottom="1440" w:left="1800" w:header="851" w:footer="850" w:gutter="0"/>
          <w:cols w:space="425" w:num="1"/>
          <w:docGrid w:type="lines" w:linePitch="326" w:charSpace="0"/>
        </w:sectPr>
      </w:pPr>
    </w:p>
    <w:p w14:paraId="1E86B18D">
      <w:pPr>
        <w:pStyle w:val="814"/>
        <w:rPr>
          <w:rFonts w:hint="eastAsia"/>
        </w:rPr>
      </w:pPr>
      <w:r>
        <w:rPr>
          <w:rFonts w:hint="eastAsia"/>
        </w:rPr>
        <w:t>产污节点</w:t>
      </w:r>
    </w:p>
    <w:p w14:paraId="30562D2A">
      <w:pPr>
        <w:pStyle w:val="281"/>
        <w:ind w:firstLine="480"/>
      </w:pPr>
      <w:bookmarkStart w:id="174" w:name="_Hlk150646807"/>
      <w:r>
        <w:rPr>
          <w:rFonts w:hint="eastAsia"/>
        </w:rPr>
        <w:t>草酰胺</w:t>
      </w:r>
      <w:r>
        <w:t>装置</w:t>
      </w:r>
      <w:r>
        <w:rPr>
          <w:rFonts w:hint="eastAsia" w:ascii="宋体" w:hAnsi="宋体"/>
        </w:rPr>
        <w:t>产污环节</w:t>
      </w:r>
      <w:r>
        <w:rPr>
          <w:rFonts w:hint="eastAsia"/>
        </w:rPr>
        <w:t>及处理措施具体见</w:t>
      </w:r>
      <w:r>
        <w:rPr>
          <w:rFonts w:hint="eastAsia" w:ascii="宋体" w:hAnsi="宋体"/>
        </w:rPr>
        <w:t>表</w:t>
      </w:r>
      <w:r>
        <w:rPr>
          <w:rFonts w:hint="eastAsia"/>
        </w:rPr>
        <w:t>3.2.</w:t>
      </w:r>
      <w:r>
        <w:t>7</w:t>
      </w:r>
      <w:r>
        <w:rPr>
          <w:rFonts w:hint="eastAsia"/>
        </w:rPr>
        <w:t>-</w:t>
      </w:r>
      <w:r>
        <w:t>3</w:t>
      </w:r>
      <w:r>
        <w:rPr>
          <w:rFonts w:hint="eastAsia"/>
        </w:rPr>
        <w:t>。</w:t>
      </w:r>
    </w:p>
    <w:p w14:paraId="750F6DE9">
      <w:pPr>
        <w:pStyle w:val="541"/>
        <w:rPr>
          <w:rFonts w:hint="eastAsia"/>
        </w:rPr>
      </w:pPr>
      <w:r>
        <w:rPr>
          <w:rFonts w:hint="eastAsia"/>
        </w:rPr>
        <w:t>表3.2.</w:t>
      </w:r>
      <w:r>
        <w:t>7</w:t>
      </w:r>
      <w:r>
        <w:rPr>
          <w:rFonts w:hint="eastAsia"/>
        </w:rPr>
        <w:t>-</w:t>
      </w:r>
      <w:r>
        <w:t xml:space="preserve">3 </w:t>
      </w:r>
      <w:r>
        <w:rPr>
          <w:rFonts w:hint="eastAsia"/>
        </w:rPr>
        <w:t xml:space="preserve"> </w:t>
      </w:r>
      <w:r>
        <w:t xml:space="preserve">  </w:t>
      </w:r>
      <w:r>
        <w:rPr>
          <w:rFonts w:hint="eastAsia"/>
        </w:rPr>
        <w:t>草酰胺装置产污环节表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09"/>
        <w:gridCol w:w="2572"/>
        <w:gridCol w:w="1847"/>
        <w:gridCol w:w="966"/>
        <w:gridCol w:w="1602"/>
      </w:tblGrid>
      <w:tr w14:paraId="0BD2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Align w:val="center"/>
          </w:tcPr>
          <w:p w14:paraId="6BF872B0">
            <w:pPr>
              <w:jc w:val="center"/>
              <w:rPr>
                <w:rFonts w:ascii="Times New Roman" w:hAnsi="Times New Roman" w:cs="Times New Roman"/>
                <w:sz w:val="18"/>
                <w:szCs w:val="18"/>
              </w:rPr>
            </w:pPr>
            <w:r>
              <w:rPr>
                <w:rFonts w:ascii="Times New Roman" w:hAnsi="Times New Roman" w:cs="Times New Roman"/>
                <w:sz w:val="18"/>
                <w:szCs w:val="18"/>
              </w:rPr>
              <w:t>污染物</w:t>
            </w:r>
          </w:p>
        </w:tc>
        <w:tc>
          <w:tcPr>
            <w:tcW w:w="709" w:type="dxa"/>
            <w:vAlign w:val="center"/>
          </w:tcPr>
          <w:p w14:paraId="3554AB45">
            <w:pPr>
              <w:jc w:val="center"/>
              <w:rPr>
                <w:rFonts w:ascii="Times New Roman" w:hAnsi="Times New Roman" w:cs="Times New Roman"/>
                <w:sz w:val="18"/>
                <w:szCs w:val="18"/>
              </w:rPr>
            </w:pPr>
            <w:r>
              <w:rPr>
                <w:rFonts w:ascii="Times New Roman" w:hAnsi="Times New Roman" w:cs="Times New Roman"/>
                <w:sz w:val="18"/>
                <w:szCs w:val="18"/>
              </w:rPr>
              <w:t>序号</w:t>
            </w:r>
          </w:p>
        </w:tc>
        <w:tc>
          <w:tcPr>
            <w:tcW w:w="2572" w:type="dxa"/>
            <w:vAlign w:val="center"/>
          </w:tcPr>
          <w:p w14:paraId="0C3B4E1C">
            <w:pPr>
              <w:jc w:val="center"/>
              <w:rPr>
                <w:rFonts w:ascii="Times New Roman" w:hAnsi="Times New Roman" w:cs="Times New Roman"/>
                <w:sz w:val="18"/>
                <w:szCs w:val="18"/>
              </w:rPr>
            </w:pPr>
            <w:r>
              <w:rPr>
                <w:rFonts w:ascii="Times New Roman" w:hAnsi="Times New Roman" w:cs="Times New Roman"/>
                <w:sz w:val="18"/>
                <w:szCs w:val="18"/>
              </w:rPr>
              <w:t>产污环节</w:t>
            </w:r>
          </w:p>
        </w:tc>
        <w:tc>
          <w:tcPr>
            <w:tcW w:w="1847" w:type="dxa"/>
            <w:vAlign w:val="center"/>
          </w:tcPr>
          <w:p w14:paraId="5A304C0E">
            <w:pPr>
              <w:jc w:val="center"/>
              <w:rPr>
                <w:rFonts w:ascii="Times New Roman" w:hAnsi="Times New Roman" w:cs="Times New Roman"/>
                <w:sz w:val="18"/>
                <w:szCs w:val="18"/>
              </w:rPr>
            </w:pPr>
            <w:r>
              <w:rPr>
                <w:rFonts w:ascii="Times New Roman" w:hAnsi="Times New Roman" w:cs="Times New Roman"/>
                <w:sz w:val="18"/>
                <w:szCs w:val="18"/>
              </w:rPr>
              <w:t>主要污染因子</w:t>
            </w:r>
          </w:p>
        </w:tc>
        <w:tc>
          <w:tcPr>
            <w:tcW w:w="966" w:type="dxa"/>
            <w:vAlign w:val="center"/>
          </w:tcPr>
          <w:p w14:paraId="09E2A4A8">
            <w:pPr>
              <w:jc w:val="center"/>
              <w:rPr>
                <w:rFonts w:ascii="Times New Roman" w:hAnsi="Times New Roman" w:cs="Times New Roman"/>
                <w:sz w:val="18"/>
                <w:szCs w:val="18"/>
              </w:rPr>
            </w:pPr>
            <w:r>
              <w:rPr>
                <w:rFonts w:ascii="Times New Roman" w:hAnsi="Times New Roman" w:cs="Times New Roman"/>
                <w:sz w:val="18"/>
                <w:szCs w:val="18"/>
              </w:rPr>
              <w:t>排放特征</w:t>
            </w:r>
          </w:p>
        </w:tc>
        <w:tc>
          <w:tcPr>
            <w:tcW w:w="1602" w:type="dxa"/>
            <w:vAlign w:val="center"/>
          </w:tcPr>
          <w:p w14:paraId="56D38644">
            <w:pPr>
              <w:jc w:val="center"/>
              <w:rPr>
                <w:rFonts w:ascii="Times New Roman" w:hAnsi="Times New Roman" w:cs="Times New Roman"/>
                <w:sz w:val="18"/>
                <w:szCs w:val="18"/>
              </w:rPr>
            </w:pPr>
            <w:r>
              <w:rPr>
                <w:rFonts w:ascii="Times New Roman" w:hAnsi="Times New Roman" w:cs="Times New Roman"/>
                <w:sz w:val="18"/>
                <w:szCs w:val="18"/>
              </w:rPr>
              <w:t>处理措施</w:t>
            </w:r>
          </w:p>
        </w:tc>
      </w:tr>
      <w:tr w14:paraId="4087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restart"/>
            <w:vAlign w:val="center"/>
          </w:tcPr>
          <w:p w14:paraId="2D0D0908">
            <w:pPr>
              <w:jc w:val="center"/>
              <w:rPr>
                <w:rFonts w:ascii="Times New Roman" w:hAnsi="Times New Roman" w:cs="Times New Roman"/>
                <w:sz w:val="18"/>
                <w:szCs w:val="18"/>
              </w:rPr>
            </w:pPr>
            <w:r>
              <w:rPr>
                <w:rFonts w:ascii="Times New Roman" w:hAnsi="Times New Roman" w:cs="Times New Roman"/>
                <w:sz w:val="18"/>
                <w:szCs w:val="18"/>
              </w:rPr>
              <w:t>废气</w:t>
            </w:r>
          </w:p>
        </w:tc>
        <w:tc>
          <w:tcPr>
            <w:tcW w:w="709" w:type="dxa"/>
            <w:vAlign w:val="center"/>
          </w:tcPr>
          <w:p w14:paraId="68205231">
            <w:pPr>
              <w:jc w:val="center"/>
              <w:rPr>
                <w:rFonts w:ascii="Times New Roman" w:hAnsi="Times New Roman" w:cs="Times New Roman"/>
                <w:sz w:val="18"/>
                <w:szCs w:val="18"/>
              </w:rPr>
            </w:pPr>
            <w:r>
              <w:rPr>
                <w:rFonts w:ascii="Times New Roman" w:hAnsi="Times New Roman" w:cs="Times New Roman"/>
                <w:sz w:val="18"/>
                <w:szCs w:val="18"/>
              </w:rPr>
              <w:t>G</w:t>
            </w:r>
            <w:r>
              <w:rPr>
                <w:rFonts w:ascii="Times New Roman" w:hAnsi="Times New Roman" w:cs="Times New Roman"/>
                <w:sz w:val="18"/>
                <w:szCs w:val="18"/>
                <w:vertAlign w:val="subscript"/>
              </w:rPr>
              <w:t>6-1</w:t>
            </w:r>
          </w:p>
        </w:tc>
        <w:tc>
          <w:tcPr>
            <w:tcW w:w="2572" w:type="dxa"/>
            <w:vAlign w:val="center"/>
          </w:tcPr>
          <w:p w14:paraId="3AFE1D49">
            <w:pPr>
              <w:pStyle w:val="557"/>
            </w:pPr>
            <w:r>
              <w:rPr>
                <w:rFonts w:hint="eastAsia"/>
              </w:rPr>
              <w:t>尾气吸收塔顶排气</w:t>
            </w:r>
          </w:p>
        </w:tc>
        <w:tc>
          <w:tcPr>
            <w:tcW w:w="1847" w:type="dxa"/>
            <w:vAlign w:val="center"/>
          </w:tcPr>
          <w:p w14:paraId="41B63A2F">
            <w:pPr>
              <w:jc w:val="center"/>
              <w:rPr>
                <w:rFonts w:ascii="Times New Roman" w:hAnsi="Times New Roman" w:cs="Times New Roman"/>
                <w:sz w:val="18"/>
                <w:szCs w:val="18"/>
              </w:rPr>
            </w:pPr>
            <w:r>
              <w:rPr>
                <w:rFonts w:hint="eastAsia" w:ascii="Times New Roman" w:hAnsi="Times New Roman" w:cs="Times New Roman"/>
                <w:sz w:val="18"/>
                <w:szCs w:val="18"/>
              </w:rPr>
              <w:t>甲醇、氨</w:t>
            </w:r>
          </w:p>
        </w:tc>
        <w:tc>
          <w:tcPr>
            <w:tcW w:w="966" w:type="dxa"/>
            <w:vAlign w:val="center"/>
          </w:tcPr>
          <w:p w14:paraId="06E2ED8D">
            <w:pPr>
              <w:jc w:val="center"/>
              <w:rPr>
                <w:rFonts w:ascii="Times New Roman" w:hAnsi="Times New Roman" w:cs="Times New Roman"/>
                <w:sz w:val="18"/>
                <w:szCs w:val="18"/>
              </w:rPr>
            </w:pPr>
            <w:r>
              <w:rPr>
                <w:rFonts w:ascii="Times New Roman" w:hAnsi="Times New Roman" w:cs="Times New Roman"/>
                <w:sz w:val="18"/>
                <w:szCs w:val="18"/>
              </w:rPr>
              <w:t>连续</w:t>
            </w:r>
          </w:p>
        </w:tc>
        <w:tc>
          <w:tcPr>
            <w:tcW w:w="1602" w:type="dxa"/>
            <w:vAlign w:val="center"/>
          </w:tcPr>
          <w:p w14:paraId="4ABFF0D8">
            <w:pPr>
              <w:jc w:val="center"/>
              <w:rPr>
                <w:rFonts w:ascii="Times New Roman" w:hAnsi="Times New Roman" w:cs="Times New Roman"/>
                <w:sz w:val="18"/>
                <w:szCs w:val="18"/>
              </w:rPr>
            </w:pPr>
            <w:r>
              <w:rPr>
                <w:rFonts w:hint="eastAsia" w:ascii="Times New Roman" w:hAnsi="Times New Roman" w:cs="Times New Roman"/>
                <w:sz w:val="18"/>
                <w:szCs w:val="18"/>
              </w:rPr>
              <w:t>水洗+25m排气筒排放</w:t>
            </w:r>
          </w:p>
        </w:tc>
      </w:tr>
      <w:tr w14:paraId="30C6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281DB4D4">
            <w:pPr>
              <w:jc w:val="center"/>
              <w:rPr>
                <w:rFonts w:ascii="Times New Roman" w:hAnsi="Times New Roman" w:cs="Times New Roman"/>
                <w:sz w:val="18"/>
                <w:szCs w:val="18"/>
              </w:rPr>
            </w:pPr>
          </w:p>
        </w:tc>
        <w:tc>
          <w:tcPr>
            <w:tcW w:w="709" w:type="dxa"/>
            <w:vAlign w:val="center"/>
          </w:tcPr>
          <w:p w14:paraId="16AEE09E">
            <w:pPr>
              <w:jc w:val="center"/>
              <w:rPr>
                <w:rFonts w:ascii="Times New Roman" w:hAnsi="Times New Roman" w:cs="Times New Roman"/>
                <w:sz w:val="18"/>
                <w:szCs w:val="18"/>
              </w:rPr>
            </w:pPr>
            <w:r>
              <w:rPr>
                <w:rFonts w:ascii="Times New Roman" w:hAnsi="Times New Roman" w:cs="Times New Roman"/>
                <w:sz w:val="18"/>
                <w:szCs w:val="18"/>
              </w:rPr>
              <w:t>G</w:t>
            </w:r>
            <w:r>
              <w:rPr>
                <w:rFonts w:ascii="Times New Roman" w:hAnsi="Times New Roman" w:cs="Times New Roman"/>
                <w:sz w:val="18"/>
                <w:szCs w:val="18"/>
                <w:vertAlign w:val="subscript"/>
              </w:rPr>
              <w:t>6-</w:t>
            </w:r>
            <w:r>
              <w:rPr>
                <w:rFonts w:hint="eastAsia" w:ascii="Times New Roman" w:hAnsi="Times New Roman" w:cs="Times New Roman"/>
                <w:sz w:val="18"/>
                <w:szCs w:val="18"/>
                <w:vertAlign w:val="subscript"/>
              </w:rPr>
              <w:t>2</w:t>
            </w:r>
          </w:p>
        </w:tc>
        <w:tc>
          <w:tcPr>
            <w:tcW w:w="2572" w:type="dxa"/>
            <w:vAlign w:val="center"/>
          </w:tcPr>
          <w:p w14:paraId="4DEBB855">
            <w:pPr>
              <w:jc w:val="center"/>
              <w:rPr>
                <w:rFonts w:ascii="Times New Roman" w:hAnsi="Times New Roman" w:cs="Times New Roman"/>
                <w:sz w:val="18"/>
                <w:szCs w:val="18"/>
              </w:rPr>
            </w:pPr>
            <w:r>
              <w:rPr>
                <w:rFonts w:ascii="Times New Roman" w:hAnsi="Times New Roman" w:cs="Times New Roman"/>
                <w:sz w:val="18"/>
                <w:szCs w:val="18"/>
              </w:rPr>
              <w:t>无组织排放</w:t>
            </w:r>
          </w:p>
        </w:tc>
        <w:tc>
          <w:tcPr>
            <w:tcW w:w="1847" w:type="dxa"/>
            <w:vAlign w:val="center"/>
          </w:tcPr>
          <w:p w14:paraId="670B71CA">
            <w:pPr>
              <w:jc w:val="center"/>
              <w:rPr>
                <w:rFonts w:ascii="Times New Roman" w:hAnsi="Times New Roman" w:cs="Times New Roman"/>
                <w:sz w:val="18"/>
                <w:szCs w:val="18"/>
              </w:rPr>
            </w:pPr>
            <w:r>
              <w:rPr>
                <w:rFonts w:ascii="Times New Roman" w:hAnsi="Times New Roman" w:cs="Times New Roman"/>
                <w:sz w:val="18"/>
                <w:szCs w:val="18"/>
              </w:rPr>
              <w:t>NMHC</w:t>
            </w:r>
          </w:p>
        </w:tc>
        <w:tc>
          <w:tcPr>
            <w:tcW w:w="966" w:type="dxa"/>
            <w:vAlign w:val="center"/>
          </w:tcPr>
          <w:p w14:paraId="3D193537">
            <w:pPr>
              <w:jc w:val="center"/>
              <w:rPr>
                <w:rFonts w:ascii="Times New Roman" w:hAnsi="Times New Roman" w:cs="Times New Roman"/>
                <w:sz w:val="18"/>
                <w:szCs w:val="18"/>
              </w:rPr>
            </w:pPr>
            <w:r>
              <w:rPr>
                <w:rFonts w:ascii="Times New Roman" w:hAnsi="Times New Roman" w:cs="Times New Roman"/>
                <w:sz w:val="18"/>
                <w:szCs w:val="18"/>
              </w:rPr>
              <w:t>连续</w:t>
            </w:r>
          </w:p>
        </w:tc>
        <w:tc>
          <w:tcPr>
            <w:tcW w:w="1602" w:type="dxa"/>
            <w:vAlign w:val="center"/>
          </w:tcPr>
          <w:p w14:paraId="0B1B48DD">
            <w:pPr>
              <w:jc w:val="center"/>
              <w:rPr>
                <w:rFonts w:ascii="Times New Roman" w:hAnsi="Times New Roman" w:cs="Times New Roman"/>
                <w:sz w:val="18"/>
                <w:szCs w:val="18"/>
              </w:rPr>
            </w:pPr>
            <w:r>
              <w:rPr>
                <w:rFonts w:ascii="Times New Roman" w:hAnsi="Times New Roman" w:cs="Times New Roman"/>
                <w:sz w:val="18"/>
                <w:szCs w:val="18"/>
              </w:rPr>
              <w:t>/</w:t>
            </w:r>
          </w:p>
        </w:tc>
      </w:tr>
      <w:tr w14:paraId="06E5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restart"/>
            <w:vAlign w:val="center"/>
          </w:tcPr>
          <w:p w14:paraId="5CF8390B">
            <w:pPr>
              <w:jc w:val="center"/>
              <w:rPr>
                <w:rFonts w:ascii="Times New Roman" w:hAnsi="Times New Roman" w:cs="Times New Roman"/>
                <w:sz w:val="18"/>
                <w:szCs w:val="18"/>
              </w:rPr>
            </w:pPr>
            <w:r>
              <w:rPr>
                <w:rFonts w:hint="eastAsia" w:ascii="Times New Roman" w:hAnsi="Times New Roman" w:cs="Times New Roman"/>
                <w:sz w:val="18"/>
                <w:szCs w:val="18"/>
              </w:rPr>
              <w:t>废水</w:t>
            </w:r>
          </w:p>
        </w:tc>
        <w:tc>
          <w:tcPr>
            <w:tcW w:w="709" w:type="dxa"/>
            <w:vAlign w:val="center"/>
          </w:tcPr>
          <w:p w14:paraId="39B14C83">
            <w:pPr>
              <w:jc w:val="center"/>
              <w:rPr>
                <w:rFonts w:ascii="Times New Roman" w:hAnsi="Times New Roman" w:cs="Times New Roman"/>
                <w:sz w:val="18"/>
                <w:szCs w:val="18"/>
              </w:rPr>
            </w:pPr>
            <w:r>
              <w:rPr>
                <w:rFonts w:hint="eastAsia" w:ascii="Times New Roman" w:hAnsi="Times New Roman" w:cs="Times New Roman"/>
                <w:sz w:val="18"/>
                <w:szCs w:val="18"/>
              </w:rPr>
              <w:t>W</w:t>
            </w:r>
            <w:r>
              <w:rPr>
                <w:rFonts w:hint="eastAsia" w:ascii="Times New Roman" w:hAnsi="Times New Roman" w:cs="Times New Roman"/>
                <w:sz w:val="18"/>
                <w:szCs w:val="18"/>
                <w:vertAlign w:val="subscript"/>
              </w:rPr>
              <w:t>6-1</w:t>
            </w:r>
          </w:p>
        </w:tc>
        <w:tc>
          <w:tcPr>
            <w:tcW w:w="2572" w:type="dxa"/>
            <w:vAlign w:val="center"/>
          </w:tcPr>
          <w:p w14:paraId="61D11E8C">
            <w:pPr>
              <w:jc w:val="center"/>
              <w:rPr>
                <w:rFonts w:ascii="Times New Roman" w:hAnsi="Times New Roman" w:cs="Times New Roman"/>
                <w:sz w:val="18"/>
                <w:szCs w:val="18"/>
              </w:rPr>
            </w:pPr>
            <w:r>
              <w:rPr>
                <w:rFonts w:hint="eastAsia" w:ascii="Times New Roman" w:hAnsi="Times New Roman" w:cs="Times New Roman"/>
                <w:sz w:val="18"/>
                <w:szCs w:val="18"/>
              </w:rPr>
              <w:t>尾气吸收塔底废水</w:t>
            </w:r>
          </w:p>
        </w:tc>
        <w:tc>
          <w:tcPr>
            <w:tcW w:w="1847" w:type="dxa"/>
            <w:vAlign w:val="center"/>
          </w:tcPr>
          <w:p w14:paraId="2E8DBC59">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甲醇、氨</w:t>
            </w:r>
          </w:p>
        </w:tc>
        <w:tc>
          <w:tcPr>
            <w:tcW w:w="966" w:type="dxa"/>
            <w:vAlign w:val="center"/>
          </w:tcPr>
          <w:p w14:paraId="0E7F73DB">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Merge w:val="restart"/>
            <w:vAlign w:val="center"/>
          </w:tcPr>
          <w:p w14:paraId="4A8C6403">
            <w:pPr>
              <w:pStyle w:val="557"/>
            </w:pPr>
            <w:r>
              <w:rPr>
                <w:rFonts w:hint="eastAsia"/>
              </w:rPr>
              <w:t>污水处理厂</w:t>
            </w:r>
          </w:p>
        </w:tc>
      </w:tr>
      <w:tr w14:paraId="2AAE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31DA41F4">
            <w:pPr>
              <w:jc w:val="center"/>
              <w:rPr>
                <w:rFonts w:ascii="Times New Roman" w:hAnsi="Times New Roman" w:cs="Times New Roman"/>
                <w:sz w:val="18"/>
                <w:szCs w:val="18"/>
              </w:rPr>
            </w:pPr>
          </w:p>
        </w:tc>
        <w:tc>
          <w:tcPr>
            <w:tcW w:w="709" w:type="dxa"/>
            <w:vAlign w:val="center"/>
          </w:tcPr>
          <w:p w14:paraId="1D2100AA">
            <w:pPr>
              <w:jc w:val="center"/>
              <w:rPr>
                <w:rFonts w:ascii="Times New Roman" w:hAnsi="Times New Roman" w:cs="Times New Roman"/>
                <w:sz w:val="18"/>
                <w:szCs w:val="18"/>
              </w:rPr>
            </w:pPr>
            <w:r>
              <w:rPr>
                <w:rFonts w:hint="eastAsia" w:ascii="Times New Roman" w:hAnsi="Times New Roman" w:cs="Times New Roman"/>
                <w:sz w:val="18"/>
                <w:szCs w:val="18"/>
              </w:rPr>
              <w:t>W</w:t>
            </w:r>
            <w:r>
              <w:rPr>
                <w:rFonts w:hint="eastAsia" w:ascii="Times New Roman" w:hAnsi="Times New Roman" w:cs="Times New Roman"/>
                <w:sz w:val="18"/>
                <w:szCs w:val="18"/>
                <w:vertAlign w:val="subscript"/>
              </w:rPr>
              <w:t>6-2</w:t>
            </w:r>
          </w:p>
        </w:tc>
        <w:tc>
          <w:tcPr>
            <w:tcW w:w="2572" w:type="dxa"/>
            <w:vAlign w:val="center"/>
          </w:tcPr>
          <w:p w14:paraId="16233721">
            <w:pPr>
              <w:jc w:val="center"/>
              <w:rPr>
                <w:rFonts w:ascii="Times New Roman" w:hAnsi="Times New Roman" w:cs="Times New Roman"/>
                <w:sz w:val="18"/>
                <w:szCs w:val="18"/>
              </w:rPr>
            </w:pPr>
            <w:r>
              <w:rPr>
                <w:rFonts w:hint="eastAsia" w:ascii="Times New Roman" w:hAnsi="Times New Roman" w:cs="Times New Roman"/>
                <w:sz w:val="18"/>
                <w:szCs w:val="18"/>
              </w:rPr>
              <w:t>蒸汽包废水</w:t>
            </w:r>
          </w:p>
        </w:tc>
        <w:tc>
          <w:tcPr>
            <w:tcW w:w="1847" w:type="dxa"/>
            <w:vAlign w:val="center"/>
          </w:tcPr>
          <w:p w14:paraId="60069765">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pH</w:t>
            </w:r>
          </w:p>
        </w:tc>
        <w:tc>
          <w:tcPr>
            <w:tcW w:w="966" w:type="dxa"/>
            <w:vAlign w:val="center"/>
          </w:tcPr>
          <w:p w14:paraId="77EAF68C">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Merge w:val="continue"/>
            <w:vAlign w:val="center"/>
          </w:tcPr>
          <w:p w14:paraId="0C01588A">
            <w:pPr>
              <w:pStyle w:val="557"/>
            </w:pPr>
          </w:p>
        </w:tc>
      </w:tr>
      <w:tr w14:paraId="39BA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Align w:val="center"/>
          </w:tcPr>
          <w:p w14:paraId="00A76535">
            <w:pPr>
              <w:jc w:val="center"/>
              <w:rPr>
                <w:rFonts w:ascii="Times New Roman" w:hAnsi="Times New Roman" w:cs="Times New Roman"/>
                <w:sz w:val="18"/>
                <w:szCs w:val="18"/>
              </w:rPr>
            </w:pPr>
            <w:r>
              <w:rPr>
                <w:rFonts w:ascii="Times New Roman" w:hAnsi="Times New Roman" w:cs="Times New Roman"/>
                <w:sz w:val="18"/>
                <w:szCs w:val="18"/>
              </w:rPr>
              <w:t>噪声</w:t>
            </w:r>
          </w:p>
        </w:tc>
        <w:tc>
          <w:tcPr>
            <w:tcW w:w="709" w:type="dxa"/>
            <w:vAlign w:val="center"/>
          </w:tcPr>
          <w:p w14:paraId="30E2477F">
            <w:pPr>
              <w:jc w:val="center"/>
              <w:rPr>
                <w:rFonts w:ascii="Times New Roman" w:hAnsi="Times New Roman" w:cs="Times New Roman"/>
                <w:sz w:val="18"/>
                <w:szCs w:val="18"/>
              </w:rPr>
            </w:pPr>
            <w:r>
              <w:rPr>
                <w:rFonts w:ascii="Times New Roman" w:hAnsi="Times New Roman" w:cs="Times New Roman"/>
                <w:sz w:val="18"/>
                <w:szCs w:val="18"/>
              </w:rPr>
              <w:t>N</w:t>
            </w:r>
            <w:r>
              <w:rPr>
                <w:rFonts w:ascii="Times New Roman" w:hAnsi="Times New Roman" w:cs="Times New Roman"/>
                <w:sz w:val="18"/>
                <w:szCs w:val="18"/>
                <w:vertAlign w:val="subscript"/>
              </w:rPr>
              <w:t>6</w:t>
            </w:r>
          </w:p>
        </w:tc>
        <w:tc>
          <w:tcPr>
            <w:tcW w:w="2572" w:type="dxa"/>
            <w:vAlign w:val="center"/>
          </w:tcPr>
          <w:p w14:paraId="73DD912D">
            <w:pPr>
              <w:jc w:val="center"/>
              <w:rPr>
                <w:rFonts w:ascii="Times New Roman" w:hAnsi="Times New Roman" w:cs="Times New Roman"/>
                <w:sz w:val="18"/>
                <w:szCs w:val="18"/>
              </w:rPr>
            </w:pPr>
            <w:r>
              <w:rPr>
                <w:rFonts w:ascii="Times New Roman" w:hAnsi="Times New Roman" w:cs="Times New Roman"/>
                <w:sz w:val="18"/>
                <w:szCs w:val="18"/>
              </w:rPr>
              <w:t>搅拌器、压缩机，风机、机泵</w:t>
            </w:r>
          </w:p>
        </w:tc>
        <w:tc>
          <w:tcPr>
            <w:tcW w:w="1847" w:type="dxa"/>
            <w:vAlign w:val="center"/>
          </w:tcPr>
          <w:p w14:paraId="16175FFA">
            <w:pPr>
              <w:autoSpaceDE w:val="0"/>
              <w:autoSpaceDN w:val="0"/>
              <w:adjustRightInd w:val="0"/>
              <w:jc w:val="center"/>
              <w:rPr>
                <w:rFonts w:ascii="Times New Roman" w:hAnsi="Times New Roman" w:cs="Times New Roman"/>
              </w:rPr>
            </w:pPr>
            <w:r>
              <w:rPr>
                <w:rFonts w:ascii="Times New Roman" w:hAnsi="Times New Roman" w:cs="Times New Roman"/>
                <w:sz w:val="18"/>
                <w:szCs w:val="18"/>
              </w:rPr>
              <w:t>噪声级85～90dB</w:t>
            </w:r>
          </w:p>
        </w:tc>
        <w:tc>
          <w:tcPr>
            <w:tcW w:w="966" w:type="dxa"/>
            <w:vAlign w:val="center"/>
          </w:tcPr>
          <w:p w14:paraId="19C9B5FE">
            <w:pPr>
              <w:jc w:val="center"/>
              <w:rPr>
                <w:rFonts w:ascii="Times New Roman" w:hAnsi="Times New Roman" w:cs="Times New Roman"/>
                <w:sz w:val="18"/>
                <w:szCs w:val="18"/>
              </w:rPr>
            </w:pPr>
            <w:r>
              <w:rPr>
                <w:rFonts w:ascii="Times New Roman" w:hAnsi="Times New Roman" w:cs="Times New Roman"/>
                <w:sz w:val="18"/>
                <w:szCs w:val="18"/>
              </w:rPr>
              <w:t>连续</w:t>
            </w:r>
          </w:p>
        </w:tc>
        <w:tc>
          <w:tcPr>
            <w:tcW w:w="1602" w:type="dxa"/>
            <w:vAlign w:val="center"/>
          </w:tcPr>
          <w:p w14:paraId="6A577F47">
            <w:pPr>
              <w:pStyle w:val="557"/>
            </w:pPr>
            <w:r>
              <w:t>减震、隔声措施</w:t>
            </w:r>
          </w:p>
        </w:tc>
      </w:tr>
      <w:bookmarkEnd w:id="174"/>
    </w:tbl>
    <w:p w14:paraId="4AB9559B">
      <w:pPr>
        <w:pStyle w:val="98"/>
        <w:rPr>
          <w:rFonts w:hint="eastAsia"/>
        </w:rPr>
      </w:pPr>
      <w:r>
        <w:rPr>
          <w:rFonts w:hint="eastAsia"/>
        </w:rPr>
        <w:t>主要设备</w:t>
      </w:r>
    </w:p>
    <w:p w14:paraId="4315F48C">
      <w:pPr>
        <w:pStyle w:val="281"/>
        <w:ind w:firstLine="480"/>
        <w:rPr>
          <w:rFonts w:hint="eastAsia" w:ascii="宋体" w:hAnsi="宋体"/>
        </w:rPr>
      </w:pPr>
      <w:r>
        <w:rPr>
          <w:rFonts w:hint="eastAsia"/>
        </w:rPr>
        <w:t>草酰胺</w:t>
      </w:r>
      <w:r>
        <w:t>装置主要设备见</w:t>
      </w:r>
      <w:r>
        <w:rPr>
          <w:rFonts w:hint="eastAsia" w:ascii="宋体" w:hAnsi="宋体"/>
        </w:rPr>
        <w:t>表</w:t>
      </w:r>
      <w:r>
        <w:rPr>
          <w:rFonts w:hint="eastAsia"/>
        </w:rPr>
        <w:t>3.2.</w:t>
      </w:r>
      <w:r>
        <w:t>7</w:t>
      </w:r>
      <w:r>
        <w:rPr>
          <w:rFonts w:hint="eastAsia"/>
        </w:rPr>
        <w:t>-</w:t>
      </w:r>
      <w:r>
        <w:t>4</w:t>
      </w:r>
      <w:r>
        <w:rPr>
          <w:rFonts w:hint="eastAsia" w:ascii="宋体" w:hAnsi="宋体"/>
        </w:rPr>
        <w:t>。</w:t>
      </w:r>
    </w:p>
    <w:p w14:paraId="3C538583">
      <w:pPr>
        <w:pStyle w:val="645"/>
        <w:rPr>
          <w:rFonts w:hint="eastAsia"/>
        </w:rPr>
      </w:pPr>
      <w:r>
        <w:rPr>
          <w:rFonts w:hint="eastAsia"/>
        </w:rPr>
        <w:t>表3.2.</w:t>
      </w:r>
      <w:r>
        <w:t>7</w:t>
      </w:r>
      <w:r>
        <w:rPr>
          <w:rFonts w:hint="eastAsia"/>
        </w:rPr>
        <w:t>-</w:t>
      </w:r>
      <w:r>
        <w:t xml:space="preserve">4     </w:t>
      </w:r>
      <w:r>
        <w:rPr>
          <w:rFonts w:hint="eastAsia"/>
        </w:rPr>
        <w:t>草酰胺装置</w:t>
      </w:r>
      <w:r>
        <w:t>设备表</w:t>
      </w:r>
    </w:p>
    <w:p w14:paraId="6B35C695">
      <w:pPr>
        <w:pStyle w:val="562"/>
        <w:ind w:firstLine="400"/>
        <w:rPr>
          <w:rFonts w:hint="eastAsia"/>
        </w:rPr>
      </w:pPr>
    </w:p>
    <w:p w14:paraId="091033B9">
      <w:pPr>
        <w:pStyle w:val="98"/>
        <w:rPr>
          <w:rFonts w:hint="eastAsia"/>
        </w:rPr>
      </w:pPr>
      <w:r>
        <w:rPr>
          <w:rFonts w:hint="eastAsia"/>
        </w:rPr>
        <w:t>物料平衡</w:t>
      </w:r>
    </w:p>
    <w:p w14:paraId="4D9D01C5">
      <w:pPr>
        <w:pStyle w:val="814"/>
        <w:rPr>
          <w:rFonts w:hint="eastAsia"/>
        </w:rPr>
      </w:pPr>
      <w:bookmarkStart w:id="175" w:name="_Hlk150215873"/>
      <w:r>
        <w:rPr>
          <w:rFonts w:hint="eastAsia"/>
        </w:rPr>
        <w:t>物料平衡</w:t>
      </w:r>
    </w:p>
    <w:p w14:paraId="1B59B9EF">
      <w:pPr>
        <w:pStyle w:val="128"/>
        <w:rPr>
          <w:rFonts w:hint="eastAsia"/>
        </w:rPr>
      </w:pPr>
      <w:r>
        <w:rPr>
          <w:rFonts w:hint="eastAsia"/>
        </w:rPr>
        <w:t>草酰胺</w:t>
      </w:r>
      <w:r>
        <w:t>装置</w:t>
      </w:r>
      <w:r>
        <w:rPr>
          <w:rFonts w:hint="eastAsia"/>
        </w:rPr>
        <w:t>物料平衡见表3.2.</w:t>
      </w:r>
      <w:r>
        <w:t>7</w:t>
      </w:r>
      <w:r>
        <w:rPr>
          <w:rFonts w:hint="eastAsia"/>
        </w:rPr>
        <w:t>-</w:t>
      </w:r>
      <w:r>
        <w:t>5</w:t>
      </w:r>
      <w:r>
        <w:rPr>
          <w:rFonts w:hint="eastAsia"/>
        </w:rPr>
        <w:t>。</w:t>
      </w:r>
    </w:p>
    <w:p w14:paraId="5C3ED7B8">
      <w:pPr>
        <w:pStyle w:val="535"/>
        <w:rPr>
          <w:rFonts w:hint="eastAsia"/>
        </w:rPr>
      </w:pPr>
      <w:bookmarkStart w:id="176" w:name="_Hlk167296312"/>
      <w:r>
        <w:rPr>
          <w:rFonts w:hint="eastAsia"/>
        </w:rPr>
        <w:t>表3.2.7-5    草酰胺装置物料衡算表</w:t>
      </w:r>
      <w:bookmarkEnd w:id="175"/>
    </w:p>
    <w:bookmarkEnd w:id="176"/>
    <w:p w14:paraId="71E69C23">
      <w:pPr>
        <w:pStyle w:val="814"/>
        <w:rPr>
          <w:rFonts w:hint="eastAsia"/>
        </w:rPr>
      </w:pPr>
      <w:r>
        <w:rPr>
          <w:rFonts w:hint="eastAsia"/>
        </w:rPr>
        <w:t>水平衡</w:t>
      </w:r>
    </w:p>
    <w:p w14:paraId="3700D2F1">
      <w:pPr>
        <w:pStyle w:val="281"/>
        <w:ind w:firstLine="480"/>
      </w:pPr>
      <w:r>
        <w:rPr>
          <w:rFonts w:hint="eastAsia"/>
        </w:rPr>
        <w:t>草酰胺装置水平衡见表3.2.6-6；</w:t>
      </w:r>
    </w:p>
    <w:p w14:paraId="35A93481">
      <w:pPr>
        <w:pStyle w:val="535"/>
        <w:rPr>
          <w:rFonts w:hint="eastAsia"/>
          <w:color w:val="auto"/>
        </w:rPr>
      </w:pPr>
      <w:r>
        <w:rPr>
          <w:rFonts w:hint="eastAsia"/>
          <w:color w:val="auto"/>
        </w:rPr>
        <w:t>表3.2.6-6</w:t>
      </w:r>
      <w:r>
        <w:rPr>
          <w:color w:val="auto"/>
        </w:rPr>
        <w:t xml:space="preserve">    </w:t>
      </w:r>
      <w:r>
        <w:rPr>
          <w:rFonts w:hint="eastAsia"/>
        </w:rPr>
        <w:t>草酰胺装置水</w:t>
      </w:r>
      <w:r>
        <w:rPr>
          <w:rFonts w:hint="eastAsia"/>
          <w:color w:val="auto"/>
        </w:rPr>
        <w:t>平衡表</w:t>
      </w:r>
    </w:p>
    <w:p w14:paraId="3750013F">
      <w:pPr>
        <w:pStyle w:val="814"/>
        <w:rPr>
          <w:rFonts w:hint="eastAsia"/>
        </w:rPr>
      </w:pPr>
      <w:r>
        <w:rPr>
          <w:rFonts w:hint="eastAsia"/>
        </w:rPr>
        <w:t>氨平衡</w:t>
      </w:r>
    </w:p>
    <w:p w14:paraId="134C9333">
      <w:pPr>
        <w:pStyle w:val="281"/>
        <w:ind w:firstLine="480"/>
      </w:pPr>
      <w:r>
        <w:rPr>
          <w:rFonts w:hint="eastAsia"/>
        </w:rPr>
        <w:t>草酰胺装置氨平衡见表3.2.6-7；</w:t>
      </w:r>
    </w:p>
    <w:p w14:paraId="7BB7BFAD">
      <w:pPr>
        <w:pStyle w:val="535"/>
        <w:rPr>
          <w:rFonts w:hint="eastAsia"/>
          <w:color w:val="auto"/>
        </w:rPr>
      </w:pPr>
      <w:r>
        <w:rPr>
          <w:rFonts w:hint="eastAsia"/>
          <w:color w:val="auto"/>
        </w:rPr>
        <w:t>表3.2.6-7</w:t>
      </w:r>
      <w:r>
        <w:rPr>
          <w:color w:val="auto"/>
        </w:rPr>
        <w:t xml:space="preserve">    </w:t>
      </w:r>
      <w:r>
        <w:rPr>
          <w:rFonts w:hint="eastAsia"/>
        </w:rPr>
        <w:t>草酰胺装置氨</w:t>
      </w:r>
      <w:r>
        <w:rPr>
          <w:rFonts w:hint="eastAsia"/>
          <w:color w:val="auto"/>
        </w:rPr>
        <w:t>平衡表</w:t>
      </w:r>
    </w:p>
    <w:p w14:paraId="534139DF">
      <w:pPr>
        <w:pStyle w:val="814"/>
        <w:rPr>
          <w:rFonts w:hint="eastAsia"/>
        </w:rPr>
      </w:pPr>
      <w:r>
        <w:rPr>
          <w:rFonts w:hint="eastAsia"/>
        </w:rPr>
        <w:t>碳平衡</w:t>
      </w:r>
    </w:p>
    <w:p w14:paraId="0855FAC1">
      <w:pPr>
        <w:pStyle w:val="128"/>
        <w:rPr>
          <w:rFonts w:hint="eastAsia"/>
        </w:rPr>
      </w:pPr>
      <w:r>
        <w:rPr>
          <w:rFonts w:hint="eastAsia"/>
        </w:rPr>
        <w:t>草酰胺</w:t>
      </w:r>
      <w:r>
        <w:t>装置</w:t>
      </w:r>
      <w:r>
        <w:rPr>
          <w:rFonts w:hint="eastAsia"/>
        </w:rPr>
        <w:t>碳平衡见表3.2.</w:t>
      </w:r>
      <w:r>
        <w:t>7</w:t>
      </w:r>
      <w:r>
        <w:rPr>
          <w:rFonts w:hint="eastAsia"/>
        </w:rPr>
        <w:t>-8。</w:t>
      </w:r>
    </w:p>
    <w:p w14:paraId="65817050">
      <w:pPr>
        <w:pStyle w:val="535"/>
        <w:rPr>
          <w:rFonts w:hint="eastAsia"/>
        </w:rPr>
      </w:pPr>
      <w:r>
        <w:rPr>
          <w:rFonts w:hint="eastAsia"/>
        </w:rPr>
        <w:t>表3.2.7-8    草酰胺装置碳平衡表</w:t>
      </w:r>
    </w:p>
    <w:p w14:paraId="31BEA1BA">
      <w:pPr>
        <w:pStyle w:val="128"/>
        <w:rPr>
          <w:rFonts w:hint="eastAsia"/>
        </w:rPr>
      </w:pPr>
    </w:p>
    <w:p w14:paraId="794F2F4A">
      <w:pPr>
        <w:pStyle w:val="98"/>
        <w:rPr>
          <w:rFonts w:hint="eastAsia"/>
        </w:rPr>
      </w:pPr>
      <w:r>
        <w:rPr>
          <w:rFonts w:hint="eastAsia"/>
        </w:rPr>
        <w:t>污染物源强核算</w:t>
      </w:r>
    </w:p>
    <w:p w14:paraId="6DD6181A">
      <w:pPr>
        <w:pStyle w:val="814"/>
        <w:rPr>
          <w:rFonts w:hint="eastAsia"/>
        </w:rPr>
      </w:pPr>
      <w:r>
        <w:rPr>
          <w:rFonts w:hint="eastAsia"/>
        </w:rPr>
        <w:t>废气</w:t>
      </w:r>
    </w:p>
    <w:p w14:paraId="49677EC7">
      <w:pPr>
        <w:pStyle w:val="128"/>
        <w:rPr>
          <w:rFonts w:hint="eastAsia"/>
        </w:rPr>
      </w:pPr>
      <w:r>
        <w:rPr>
          <w:rFonts w:hint="eastAsia"/>
        </w:rPr>
        <w:t>（1）根据设计，草酰胺装置尾气吸收塔顶排气送入水洗塔处理后外排。产排情况见下表。</w:t>
      </w:r>
    </w:p>
    <w:p w14:paraId="22777056">
      <w:pPr>
        <w:pStyle w:val="535"/>
        <w:rPr>
          <w:rFonts w:hint="eastAsia"/>
        </w:rPr>
      </w:pPr>
      <w:r>
        <w:rPr>
          <w:rFonts w:hint="eastAsia"/>
        </w:rPr>
        <w:t>表3.2.7-7     污染物产排情况一览表</w:t>
      </w:r>
    </w:p>
    <w:tbl>
      <w:tblPr>
        <w:tblStyle w:val="6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46"/>
        <w:gridCol w:w="599"/>
        <w:gridCol w:w="594"/>
        <w:gridCol w:w="741"/>
        <w:gridCol w:w="741"/>
        <w:gridCol w:w="746"/>
        <w:gridCol w:w="626"/>
        <w:gridCol w:w="594"/>
        <w:gridCol w:w="741"/>
        <w:gridCol w:w="621"/>
        <w:gridCol w:w="659"/>
        <w:gridCol w:w="649"/>
      </w:tblGrid>
      <w:tr w14:paraId="4D18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25" w:type="pct"/>
            <w:vAlign w:val="center"/>
          </w:tcPr>
          <w:p w14:paraId="5B1D5720">
            <w:pPr>
              <w:pStyle w:val="557"/>
            </w:pPr>
            <w:r>
              <w:t>污染源</w:t>
            </w:r>
          </w:p>
        </w:tc>
        <w:tc>
          <w:tcPr>
            <w:tcW w:w="358" w:type="pct"/>
            <w:vAlign w:val="center"/>
          </w:tcPr>
          <w:p w14:paraId="0FA45632">
            <w:pPr>
              <w:pStyle w:val="557"/>
            </w:pPr>
            <w:r>
              <w:t>核算方法</w:t>
            </w:r>
          </w:p>
        </w:tc>
        <w:tc>
          <w:tcPr>
            <w:tcW w:w="355" w:type="pct"/>
            <w:vAlign w:val="center"/>
          </w:tcPr>
          <w:p w14:paraId="2E8B8166">
            <w:pPr>
              <w:pStyle w:val="557"/>
            </w:pPr>
            <w:r>
              <w:t>污染物</w:t>
            </w:r>
          </w:p>
        </w:tc>
        <w:tc>
          <w:tcPr>
            <w:tcW w:w="443" w:type="pct"/>
            <w:vAlign w:val="center"/>
          </w:tcPr>
          <w:p w14:paraId="38EFF99A">
            <w:pPr>
              <w:pStyle w:val="557"/>
            </w:pPr>
            <w:r>
              <w:t>产生浓度mg/m</w:t>
            </w:r>
            <w:r>
              <w:rPr>
                <w:vertAlign w:val="superscript"/>
              </w:rPr>
              <w:t>3</w:t>
            </w:r>
          </w:p>
        </w:tc>
        <w:tc>
          <w:tcPr>
            <w:tcW w:w="443" w:type="pct"/>
            <w:vAlign w:val="center"/>
          </w:tcPr>
          <w:p w14:paraId="694750B9">
            <w:pPr>
              <w:pStyle w:val="557"/>
            </w:pPr>
            <w:r>
              <w:t>产生速率kg/h</w:t>
            </w:r>
          </w:p>
        </w:tc>
        <w:tc>
          <w:tcPr>
            <w:tcW w:w="446" w:type="pct"/>
            <w:vAlign w:val="center"/>
          </w:tcPr>
          <w:p w14:paraId="6FF0C9DB">
            <w:pPr>
              <w:pStyle w:val="557"/>
            </w:pPr>
            <w:r>
              <w:t>产生量t/a</w:t>
            </w:r>
          </w:p>
        </w:tc>
        <w:tc>
          <w:tcPr>
            <w:tcW w:w="374" w:type="pct"/>
            <w:vAlign w:val="center"/>
          </w:tcPr>
          <w:p w14:paraId="037CD20B">
            <w:pPr>
              <w:pStyle w:val="557"/>
            </w:pPr>
            <w:r>
              <w:t>治理措施</w:t>
            </w:r>
          </w:p>
        </w:tc>
        <w:tc>
          <w:tcPr>
            <w:tcW w:w="355" w:type="pct"/>
            <w:vAlign w:val="center"/>
          </w:tcPr>
          <w:p w14:paraId="6692B0A8">
            <w:pPr>
              <w:pStyle w:val="557"/>
            </w:pPr>
            <w:r>
              <w:t>去除效率</w:t>
            </w:r>
          </w:p>
        </w:tc>
        <w:tc>
          <w:tcPr>
            <w:tcW w:w="443" w:type="pct"/>
            <w:vAlign w:val="center"/>
          </w:tcPr>
          <w:p w14:paraId="249013DF">
            <w:pPr>
              <w:pStyle w:val="557"/>
            </w:pPr>
            <w:r>
              <w:t>排气量</w:t>
            </w:r>
          </w:p>
          <w:p w14:paraId="465708A2">
            <w:pPr>
              <w:pStyle w:val="557"/>
            </w:pPr>
            <w:r>
              <w:t>m</w:t>
            </w:r>
            <w:r>
              <w:rPr>
                <w:vertAlign w:val="superscript"/>
              </w:rPr>
              <w:t>3</w:t>
            </w:r>
            <w:r>
              <w:t>/h</w:t>
            </w:r>
          </w:p>
        </w:tc>
        <w:tc>
          <w:tcPr>
            <w:tcW w:w="371" w:type="pct"/>
            <w:vAlign w:val="center"/>
          </w:tcPr>
          <w:p w14:paraId="13F318A7">
            <w:pPr>
              <w:pStyle w:val="557"/>
            </w:pPr>
            <w:r>
              <w:t>排放浓度mg/m</w:t>
            </w:r>
            <w:r>
              <w:rPr>
                <w:vertAlign w:val="superscript"/>
              </w:rPr>
              <w:t>3</w:t>
            </w:r>
          </w:p>
        </w:tc>
        <w:tc>
          <w:tcPr>
            <w:tcW w:w="394" w:type="pct"/>
            <w:vAlign w:val="center"/>
          </w:tcPr>
          <w:p w14:paraId="7005846C">
            <w:pPr>
              <w:pStyle w:val="557"/>
            </w:pPr>
            <w:r>
              <w:t>排放速率kg/h</w:t>
            </w:r>
          </w:p>
        </w:tc>
        <w:tc>
          <w:tcPr>
            <w:tcW w:w="388" w:type="pct"/>
            <w:vAlign w:val="center"/>
          </w:tcPr>
          <w:p w14:paraId="1EB6278F">
            <w:pPr>
              <w:pStyle w:val="557"/>
            </w:pPr>
            <w:r>
              <w:t>排放量t/a</w:t>
            </w:r>
          </w:p>
        </w:tc>
      </w:tr>
      <w:tr w14:paraId="02C8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25" w:type="pct"/>
            <w:vMerge w:val="restart"/>
            <w:vAlign w:val="center"/>
          </w:tcPr>
          <w:p w14:paraId="3CB68F8A">
            <w:pPr>
              <w:pStyle w:val="557"/>
            </w:pPr>
            <w:bookmarkStart w:id="177" w:name="_Hlk183601615"/>
            <w:r>
              <w:rPr>
                <w:rFonts w:hint="eastAsia"/>
              </w:rPr>
              <w:t>草酰胺装置尾气吸收塔顶排气</w:t>
            </w:r>
          </w:p>
        </w:tc>
        <w:tc>
          <w:tcPr>
            <w:tcW w:w="358" w:type="pct"/>
            <w:vMerge w:val="restart"/>
            <w:vAlign w:val="center"/>
          </w:tcPr>
          <w:p w14:paraId="42AD7BB9">
            <w:pPr>
              <w:pStyle w:val="557"/>
            </w:pPr>
            <w:r>
              <w:t>物料衡算</w:t>
            </w:r>
          </w:p>
        </w:tc>
        <w:tc>
          <w:tcPr>
            <w:tcW w:w="355" w:type="pct"/>
            <w:vAlign w:val="center"/>
          </w:tcPr>
          <w:p w14:paraId="147032D7">
            <w:pPr>
              <w:pStyle w:val="557"/>
            </w:pPr>
            <w:r>
              <w:rPr>
                <w:rFonts w:hint="eastAsia"/>
              </w:rPr>
              <w:t>甲醇</w:t>
            </w:r>
          </w:p>
        </w:tc>
        <w:tc>
          <w:tcPr>
            <w:tcW w:w="443" w:type="pct"/>
            <w:vAlign w:val="center"/>
          </w:tcPr>
          <w:p w14:paraId="2F5B1249">
            <w:pPr>
              <w:pStyle w:val="557"/>
            </w:pPr>
            <w:r>
              <w:rPr>
                <w:rFonts w:hint="eastAsia"/>
              </w:rPr>
              <w:t>76</w:t>
            </w:r>
          </w:p>
        </w:tc>
        <w:tc>
          <w:tcPr>
            <w:tcW w:w="443" w:type="pct"/>
            <w:vAlign w:val="center"/>
          </w:tcPr>
          <w:p w14:paraId="53D94C7D">
            <w:pPr>
              <w:pStyle w:val="557"/>
            </w:pPr>
            <w:r>
              <w:rPr>
                <w:rFonts w:hint="eastAsia"/>
              </w:rPr>
              <w:t>0.76</w:t>
            </w:r>
          </w:p>
        </w:tc>
        <w:tc>
          <w:tcPr>
            <w:tcW w:w="446" w:type="pct"/>
            <w:vAlign w:val="center"/>
          </w:tcPr>
          <w:p w14:paraId="52584CAC">
            <w:pPr>
              <w:pStyle w:val="557"/>
            </w:pPr>
            <w:r>
              <w:rPr>
                <w:rFonts w:hint="eastAsia"/>
              </w:rPr>
              <w:t>6.08</w:t>
            </w:r>
          </w:p>
        </w:tc>
        <w:tc>
          <w:tcPr>
            <w:tcW w:w="374" w:type="pct"/>
            <w:vMerge w:val="restart"/>
            <w:vAlign w:val="center"/>
          </w:tcPr>
          <w:p w14:paraId="20824697">
            <w:pPr>
              <w:pStyle w:val="557"/>
            </w:pPr>
            <w:r>
              <w:rPr>
                <w:rFonts w:hint="eastAsia"/>
              </w:rPr>
              <w:t>水洗塔</w:t>
            </w:r>
          </w:p>
        </w:tc>
        <w:tc>
          <w:tcPr>
            <w:tcW w:w="355" w:type="pct"/>
            <w:vAlign w:val="center"/>
          </w:tcPr>
          <w:p w14:paraId="40DADC1B">
            <w:pPr>
              <w:jc w:val="center"/>
              <w:textAlignment w:val="center"/>
              <w:rPr>
                <w:rFonts w:hint="eastAsia"/>
              </w:rPr>
            </w:pPr>
            <w:r>
              <w:rPr>
                <w:rFonts w:ascii="Times New Roman" w:hAnsi="Times New Roman" w:cs="Times New Roman"/>
                <w:color w:val="000000"/>
                <w:sz w:val="18"/>
                <w:szCs w:val="18"/>
              </w:rPr>
              <w:t>95%</w:t>
            </w:r>
          </w:p>
        </w:tc>
        <w:tc>
          <w:tcPr>
            <w:tcW w:w="443" w:type="pct"/>
            <w:vAlign w:val="center"/>
          </w:tcPr>
          <w:p w14:paraId="273ADC11">
            <w:pPr>
              <w:jc w:val="center"/>
              <w:textAlignment w:val="center"/>
              <w:rPr>
                <w:rFonts w:hint="eastAsia"/>
              </w:rPr>
            </w:pPr>
            <w:r>
              <w:rPr>
                <w:rFonts w:ascii="Times New Roman" w:hAnsi="Times New Roman" w:cs="Times New Roman"/>
                <w:color w:val="000000"/>
                <w:sz w:val="18"/>
                <w:szCs w:val="18"/>
              </w:rPr>
              <w:t>10000</w:t>
            </w:r>
          </w:p>
        </w:tc>
        <w:tc>
          <w:tcPr>
            <w:tcW w:w="371" w:type="pct"/>
            <w:vAlign w:val="center"/>
          </w:tcPr>
          <w:p w14:paraId="18192D01">
            <w:pPr>
              <w:jc w:val="center"/>
              <w:textAlignment w:val="center"/>
              <w:rPr>
                <w:rFonts w:hint="eastAsia"/>
              </w:rPr>
            </w:pPr>
            <w:r>
              <w:rPr>
                <w:rFonts w:ascii="Times New Roman" w:hAnsi="Times New Roman" w:cs="Times New Roman"/>
                <w:color w:val="000000"/>
                <w:sz w:val="18"/>
                <w:szCs w:val="18"/>
              </w:rPr>
              <w:t>3.8</w:t>
            </w:r>
          </w:p>
        </w:tc>
        <w:tc>
          <w:tcPr>
            <w:tcW w:w="394" w:type="pct"/>
            <w:vAlign w:val="center"/>
          </w:tcPr>
          <w:p w14:paraId="18E03504">
            <w:pPr>
              <w:jc w:val="center"/>
              <w:textAlignment w:val="center"/>
              <w:rPr>
                <w:rFonts w:hint="eastAsia"/>
              </w:rPr>
            </w:pPr>
            <w:r>
              <w:rPr>
                <w:rFonts w:ascii="Times New Roman" w:hAnsi="Times New Roman" w:cs="Times New Roman"/>
                <w:color w:val="000000"/>
                <w:sz w:val="18"/>
                <w:szCs w:val="18"/>
              </w:rPr>
              <w:t>0.038</w:t>
            </w:r>
          </w:p>
        </w:tc>
        <w:tc>
          <w:tcPr>
            <w:tcW w:w="388" w:type="pct"/>
            <w:vAlign w:val="center"/>
          </w:tcPr>
          <w:p w14:paraId="6C5E9006">
            <w:pPr>
              <w:jc w:val="center"/>
              <w:textAlignment w:val="center"/>
              <w:rPr>
                <w:rFonts w:hint="eastAsia"/>
              </w:rPr>
            </w:pPr>
            <w:r>
              <w:rPr>
                <w:rFonts w:ascii="Times New Roman" w:hAnsi="Times New Roman" w:cs="Times New Roman"/>
                <w:color w:val="000000"/>
                <w:sz w:val="18"/>
                <w:szCs w:val="18"/>
              </w:rPr>
              <w:t>0.304</w:t>
            </w:r>
          </w:p>
        </w:tc>
      </w:tr>
      <w:bookmarkEnd w:id="177"/>
      <w:tr w14:paraId="37F0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25" w:type="pct"/>
            <w:vMerge w:val="continue"/>
            <w:vAlign w:val="center"/>
          </w:tcPr>
          <w:p w14:paraId="552047D4">
            <w:pPr>
              <w:pStyle w:val="557"/>
            </w:pPr>
          </w:p>
        </w:tc>
        <w:tc>
          <w:tcPr>
            <w:tcW w:w="358" w:type="pct"/>
            <w:vMerge w:val="continue"/>
            <w:vAlign w:val="center"/>
          </w:tcPr>
          <w:p w14:paraId="527076AB">
            <w:pPr>
              <w:pStyle w:val="557"/>
            </w:pPr>
          </w:p>
        </w:tc>
        <w:tc>
          <w:tcPr>
            <w:tcW w:w="355" w:type="pct"/>
            <w:vAlign w:val="center"/>
          </w:tcPr>
          <w:p w14:paraId="3F85691E">
            <w:pPr>
              <w:pStyle w:val="557"/>
            </w:pPr>
            <w:r>
              <w:t>NH</w:t>
            </w:r>
            <w:r>
              <w:rPr>
                <w:vertAlign w:val="subscript"/>
              </w:rPr>
              <w:t>3</w:t>
            </w:r>
          </w:p>
        </w:tc>
        <w:tc>
          <w:tcPr>
            <w:tcW w:w="443" w:type="pct"/>
            <w:vAlign w:val="center"/>
          </w:tcPr>
          <w:p w14:paraId="7C1E8C6C">
            <w:pPr>
              <w:pStyle w:val="557"/>
            </w:pPr>
            <w:r>
              <w:rPr>
                <w:rFonts w:hint="eastAsia"/>
              </w:rPr>
              <w:t>14</w:t>
            </w:r>
          </w:p>
        </w:tc>
        <w:tc>
          <w:tcPr>
            <w:tcW w:w="443" w:type="pct"/>
            <w:vAlign w:val="center"/>
          </w:tcPr>
          <w:p w14:paraId="3AFDF3FC">
            <w:pPr>
              <w:pStyle w:val="557"/>
            </w:pPr>
            <w:r>
              <w:rPr>
                <w:rFonts w:hint="eastAsia"/>
              </w:rPr>
              <w:t>0.14</w:t>
            </w:r>
            <w:r>
              <w:t xml:space="preserve"> </w:t>
            </w:r>
          </w:p>
        </w:tc>
        <w:tc>
          <w:tcPr>
            <w:tcW w:w="446" w:type="pct"/>
            <w:vAlign w:val="center"/>
          </w:tcPr>
          <w:p w14:paraId="3B85E1FD">
            <w:pPr>
              <w:pStyle w:val="557"/>
            </w:pPr>
            <w:r>
              <w:rPr>
                <w:rFonts w:hint="eastAsia"/>
              </w:rPr>
              <w:t>1.12</w:t>
            </w:r>
          </w:p>
        </w:tc>
        <w:tc>
          <w:tcPr>
            <w:tcW w:w="374" w:type="pct"/>
            <w:vMerge w:val="continue"/>
            <w:vAlign w:val="center"/>
          </w:tcPr>
          <w:p w14:paraId="1A3B7FC7">
            <w:pPr>
              <w:pStyle w:val="557"/>
            </w:pPr>
          </w:p>
        </w:tc>
        <w:tc>
          <w:tcPr>
            <w:tcW w:w="355" w:type="pct"/>
            <w:vAlign w:val="center"/>
          </w:tcPr>
          <w:p w14:paraId="77A1B91A">
            <w:pPr>
              <w:jc w:val="center"/>
              <w:textAlignment w:val="center"/>
              <w:rPr>
                <w:rFonts w:hint="eastAsia"/>
              </w:rPr>
            </w:pPr>
            <w:r>
              <w:rPr>
                <w:rFonts w:ascii="Times New Roman" w:hAnsi="Times New Roman" w:cs="Times New Roman"/>
                <w:color w:val="000000"/>
                <w:sz w:val="18"/>
                <w:szCs w:val="18"/>
              </w:rPr>
              <w:t>90%</w:t>
            </w:r>
          </w:p>
        </w:tc>
        <w:tc>
          <w:tcPr>
            <w:tcW w:w="443" w:type="pct"/>
            <w:vAlign w:val="center"/>
          </w:tcPr>
          <w:p w14:paraId="1247030C">
            <w:pPr>
              <w:jc w:val="center"/>
              <w:textAlignment w:val="center"/>
              <w:rPr>
                <w:rFonts w:hint="eastAsia"/>
              </w:rPr>
            </w:pPr>
            <w:r>
              <w:rPr>
                <w:rFonts w:ascii="Times New Roman" w:hAnsi="Times New Roman" w:cs="Times New Roman"/>
                <w:color w:val="000000"/>
                <w:sz w:val="18"/>
                <w:szCs w:val="18"/>
              </w:rPr>
              <w:t>10000</w:t>
            </w:r>
          </w:p>
        </w:tc>
        <w:tc>
          <w:tcPr>
            <w:tcW w:w="371" w:type="pct"/>
            <w:vAlign w:val="center"/>
          </w:tcPr>
          <w:p w14:paraId="494CACB7">
            <w:pPr>
              <w:jc w:val="center"/>
              <w:textAlignment w:val="center"/>
              <w:rPr>
                <w:rFonts w:hint="eastAsia"/>
              </w:rPr>
            </w:pPr>
            <w:r>
              <w:rPr>
                <w:rFonts w:ascii="Times New Roman" w:hAnsi="Times New Roman" w:cs="Times New Roman"/>
                <w:color w:val="000000"/>
                <w:sz w:val="18"/>
                <w:szCs w:val="18"/>
              </w:rPr>
              <w:t>1.4</w:t>
            </w:r>
          </w:p>
        </w:tc>
        <w:tc>
          <w:tcPr>
            <w:tcW w:w="394" w:type="pct"/>
            <w:vAlign w:val="center"/>
          </w:tcPr>
          <w:p w14:paraId="1D8ABBA7">
            <w:pPr>
              <w:jc w:val="center"/>
              <w:textAlignment w:val="center"/>
              <w:rPr>
                <w:rFonts w:hint="eastAsia"/>
              </w:rPr>
            </w:pPr>
            <w:r>
              <w:rPr>
                <w:rFonts w:ascii="Times New Roman" w:hAnsi="Times New Roman" w:cs="Times New Roman"/>
                <w:color w:val="000000"/>
                <w:sz w:val="18"/>
                <w:szCs w:val="18"/>
              </w:rPr>
              <w:t>0.014</w:t>
            </w:r>
          </w:p>
        </w:tc>
        <w:tc>
          <w:tcPr>
            <w:tcW w:w="388" w:type="pct"/>
            <w:vAlign w:val="center"/>
          </w:tcPr>
          <w:p w14:paraId="6E4DC0F8">
            <w:pPr>
              <w:jc w:val="center"/>
              <w:textAlignment w:val="center"/>
              <w:rPr>
                <w:rFonts w:hint="eastAsia"/>
              </w:rPr>
            </w:pPr>
            <w:r>
              <w:rPr>
                <w:rFonts w:ascii="Times New Roman" w:hAnsi="Times New Roman" w:cs="Times New Roman"/>
                <w:color w:val="000000"/>
                <w:sz w:val="18"/>
                <w:szCs w:val="18"/>
              </w:rPr>
              <w:t>0.112</w:t>
            </w:r>
          </w:p>
        </w:tc>
      </w:tr>
    </w:tbl>
    <w:p w14:paraId="2DC13528">
      <w:pPr>
        <w:pStyle w:val="128"/>
        <w:rPr>
          <w:rFonts w:hint="eastAsia"/>
        </w:rPr>
      </w:pPr>
      <w:r>
        <w:rPr>
          <w:rFonts w:hint="eastAsia"/>
        </w:rPr>
        <w:t>（2）草酰胺装置无组织废气</w:t>
      </w:r>
    </w:p>
    <w:p w14:paraId="682111CD">
      <w:pPr>
        <w:pStyle w:val="281"/>
        <w:ind w:firstLine="480"/>
      </w:pPr>
      <w:r>
        <w:rPr>
          <w:rFonts w:hint="eastAsia"/>
        </w:rPr>
        <w:t>草酰胺装置设备动静密封点无组织排放</w:t>
      </w:r>
      <w:r>
        <w:rPr>
          <w:bCs/>
        </w:rPr>
        <w:t>挥发性有机物</w:t>
      </w:r>
      <w:r>
        <w:rPr>
          <w:rFonts w:hint="eastAsia"/>
        </w:rPr>
        <w:t>依据《污染源源强核算技术指南 化肥工业（HJ994-2018）》</w:t>
      </w:r>
      <w:r>
        <w:rPr>
          <w:rFonts w:hint="eastAsia" w:ascii="宋体" w:hAnsi="宋体"/>
          <w:bCs/>
        </w:rPr>
        <w:t>设备与管线组件密封点泄漏挥发性有机物排放量计算方法</w:t>
      </w:r>
      <w:r>
        <w:rPr>
          <w:rFonts w:hint="eastAsia"/>
        </w:rPr>
        <w:t>。</w:t>
      </w:r>
    </w:p>
    <w:p w14:paraId="57B4D03F">
      <w:pPr>
        <w:pStyle w:val="281"/>
        <w:ind w:firstLine="480"/>
        <w:jc w:val="center"/>
      </w:pPr>
      <w:r>
        <w:drawing>
          <wp:inline distT="0" distB="0" distL="0" distR="0">
            <wp:extent cx="2751455" cy="727710"/>
            <wp:effectExtent l="0" t="0" r="10795" b="15240"/>
            <wp:docPr id="137"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 descr="图示, 示意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53153" cy="728178"/>
                    </a:xfrm>
                    <a:prstGeom prst="rect">
                      <a:avLst/>
                    </a:prstGeom>
                    <a:noFill/>
                    <a:ln>
                      <a:noFill/>
                    </a:ln>
                  </pic:spPr>
                </pic:pic>
              </a:graphicData>
            </a:graphic>
          </wp:inline>
        </w:drawing>
      </w:r>
    </w:p>
    <w:p w14:paraId="4EA5D482">
      <w:pPr>
        <w:pStyle w:val="281"/>
        <w:ind w:firstLine="480"/>
        <w:rPr>
          <w:sz w:val="21"/>
        </w:rPr>
      </w:pPr>
      <w:r>
        <w:t>式中：</w:t>
      </w:r>
      <w:r>
        <w:rPr>
          <w:sz w:val="21"/>
        </w:rPr>
        <w:t>D</w:t>
      </w:r>
      <w:r>
        <w:rPr>
          <w:sz w:val="21"/>
          <w:vertAlign w:val="subscript"/>
        </w:rPr>
        <w:t>设备</w:t>
      </w:r>
      <w:r>
        <w:rPr>
          <w:rFonts w:hint="eastAsia"/>
          <w:sz w:val="21"/>
        </w:rPr>
        <w:t>-</w:t>
      </w:r>
      <w:r>
        <w:rPr>
          <w:sz w:val="21"/>
        </w:rPr>
        <w:t>设备与管线组件密封点泄漏的挥发性有机物排放量，kg/a；</w:t>
      </w:r>
    </w:p>
    <w:p w14:paraId="4AD64DFA">
      <w:pPr>
        <w:pStyle w:val="281"/>
        <w:ind w:firstLine="420"/>
        <w:rPr>
          <w:sz w:val="21"/>
        </w:rPr>
      </w:pPr>
      <w:r>
        <w:rPr>
          <w:sz w:val="21"/>
        </w:rPr>
        <w:t>α</w:t>
      </w:r>
      <w:r>
        <w:rPr>
          <w:rFonts w:hint="eastAsia"/>
          <w:sz w:val="21"/>
        </w:rPr>
        <w:t>-</w:t>
      </w:r>
      <w:r>
        <w:rPr>
          <w:sz w:val="21"/>
        </w:rPr>
        <w:t>设备与管线组件密封点泄漏比例</w:t>
      </w:r>
      <w:r>
        <w:rPr>
          <w:rFonts w:hint="eastAsia"/>
          <w:sz w:val="21"/>
        </w:rPr>
        <w:t>，取值0.003</w:t>
      </w:r>
    </w:p>
    <w:p w14:paraId="1A7A45FE">
      <w:pPr>
        <w:pStyle w:val="281"/>
        <w:ind w:firstLine="420"/>
        <w:rPr>
          <w:sz w:val="21"/>
        </w:rPr>
      </w:pPr>
      <w:r>
        <w:rPr>
          <w:sz w:val="21"/>
        </w:rPr>
        <w:t>n</w:t>
      </w:r>
      <w:r>
        <w:rPr>
          <w:rFonts w:hint="eastAsia"/>
          <w:sz w:val="21"/>
        </w:rPr>
        <w:t>-</w:t>
      </w:r>
      <w:r>
        <w:rPr>
          <w:sz w:val="21"/>
        </w:rPr>
        <w:t>挥发性有机物流经的设备与管线组件密封点数；</w:t>
      </w:r>
    </w:p>
    <w:p w14:paraId="5FDBD067">
      <w:pPr>
        <w:pStyle w:val="281"/>
        <w:ind w:firstLine="420"/>
        <w:rPr>
          <w:sz w:val="21"/>
        </w:rPr>
      </w:pPr>
      <w:r>
        <w:rPr>
          <w:sz w:val="21"/>
        </w:rPr>
        <w:t>e</w:t>
      </w:r>
      <w:r>
        <w:rPr>
          <w:sz w:val="21"/>
          <w:vertAlign w:val="subscript"/>
        </w:rPr>
        <w:t>TOC,i</w:t>
      </w:r>
      <w:r>
        <w:rPr>
          <w:rFonts w:hint="eastAsia"/>
          <w:sz w:val="21"/>
        </w:rPr>
        <w:t>-</w:t>
      </w:r>
      <w:r>
        <w:rPr>
          <w:sz w:val="21"/>
        </w:rPr>
        <w:t>密封点i的总有机碳（TOC）排放速率，kg/h；</w:t>
      </w:r>
    </w:p>
    <w:p w14:paraId="0ED6E2ED">
      <w:pPr>
        <w:pStyle w:val="281"/>
        <w:ind w:firstLine="420"/>
        <w:rPr>
          <w:sz w:val="21"/>
        </w:rPr>
      </w:pPr>
      <w:r>
        <w:rPr>
          <w:sz w:val="21"/>
        </w:rPr>
        <w:t>WF</w:t>
      </w:r>
      <w:r>
        <w:rPr>
          <w:sz w:val="21"/>
          <w:vertAlign w:val="subscript"/>
        </w:rPr>
        <w:t>VOCs,i</w:t>
      </w:r>
      <w:r>
        <w:rPr>
          <w:rFonts w:hint="eastAsia"/>
          <w:sz w:val="21"/>
        </w:rPr>
        <w:t>-</w:t>
      </w:r>
      <w:r>
        <w:rPr>
          <w:sz w:val="21"/>
        </w:rPr>
        <w:t>流经密封点i的物料中挥发性有机物设计平均质量分数，量纲一的量；</w:t>
      </w:r>
    </w:p>
    <w:p w14:paraId="64CC59F7">
      <w:pPr>
        <w:pStyle w:val="281"/>
        <w:ind w:firstLine="420"/>
        <w:rPr>
          <w:sz w:val="21"/>
        </w:rPr>
      </w:pPr>
      <w:r>
        <w:rPr>
          <w:sz w:val="21"/>
        </w:rPr>
        <w:t>WF</w:t>
      </w:r>
      <w:r>
        <w:rPr>
          <w:sz w:val="21"/>
          <w:vertAlign w:val="subscript"/>
        </w:rPr>
        <w:t>TOC,i</w:t>
      </w:r>
      <w:r>
        <w:rPr>
          <w:rFonts w:hint="eastAsia"/>
          <w:sz w:val="21"/>
        </w:rPr>
        <w:t>-</w:t>
      </w:r>
      <w:r>
        <w:rPr>
          <w:sz w:val="21"/>
        </w:rPr>
        <w:t>流经密封点i的物料中总有机碳（TOC）设计平均质量分数，量纲一的量；</w:t>
      </w:r>
    </w:p>
    <w:p w14:paraId="0EA43798">
      <w:pPr>
        <w:pStyle w:val="281"/>
        <w:ind w:firstLine="420"/>
      </w:pPr>
      <w:r>
        <w:rPr>
          <w:sz w:val="21"/>
        </w:rPr>
        <w:t>t</w:t>
      </w:r>
      <w:r>
        <w:rPr>
          <w:sz w:val="21"/>
          <w:vertAlign w:val="subscript"/>
        </w:rPr>
        <w:t>i</w:t>
      </w:r>
      <w:r>
        <w:rPr>
          <w:sz w:val="21"/>
        </w:rPr>
        <w:t>——密封点i的设计年运行时间，h/a。</w:t>
      </w:r>
    </w:p>
    <w:p w14:paraId="4CF5740C">
      <w:pPr>
        <w:pStyle w:val="281"/>
        <w:ind w:firstLine="480"/>
        <w:rPr>
          <w:u w:color="000000"/>
        </w:rPr>
      </w:pPr>
      <w:r>
        <w:rPr>
          <w:rFonts w:hint="eastAsia"/>
        </w:rPr>
        <w:t>草酰胺装置挥发性有机物</w:t>
      </w:r>
      <w:r>
        <w:rPr>
          <w:rFonts w:hint="eastAsia"/>
          <w:u w:color="000000"/>
        </w:rPr>
        <w:t>无组织排放</w:t>
      </w:r>
      <w:r>
        <w:rPr>
          <w:rFonts w:hint="eastAsia" w:ascii="宋体" w:hAnsi="宋体"/>
          <w:bCs/>
        </w:rPr>
        <w:t>计算结果见</w:t>
      </w:r>
      <w:r>
        <w:rPr>
          <w:rFonts w:hint="eastAsia"/>
        </w:rPr>
        <w:t>表</w:t>
      </w:r>
      <w:r>
        <w:t>3.2.</w:t>
      </w:r>
      <w:r>
        <w:rPr>
          <w:rFonts w:hint="eastAsia"/>
        </w:rPr>
        <w:t>7-8。</w:t>
      </w:r>
    </w:p>
    <w:p w14:paraId="7F71C22D">
      <w:pPr>
        <w:pStyle w:val="541"/>
        <w:rPr>
          <w:rFonts w:hint="eastAsia"/>
          <w:u w:color="000000"/>
        </w:rPr>
      </w:pPr>
      <w:r>
        <w:rPr>
          <w:rFonts w:hint="eastAsia"/>
        </w:rPr>
        <w:t>表</w:t>
      </w:r>
      <w:r>
        <w:t>3.2.</w:t>
      </w:r>
      <w:r>
        <w:rPr>
          <w:rFonts w:hint="eastAsia"/>
        </w:rPr>
        <w:t>7-8</w:t>
      </w:r>
      <w:r>
        <w:rPr>
          <w:u w:color="000000"/>
        </w:rPr>
        <w:t xml:space="preserve"> </w:t>
      </w:r>
      <w:r>
        <w:rPr>
          <w:rFonts w:hint="eastAsia"/>
          <w:u w:color="000000"/>
        </w:rPr>
        <w:t xml:space="preserve">   </w:t>
      </w:r>
      <w:r>
        <w:rPr>
          <w:rFonts w:hint="eastAsia"/>
        </w:rPr>
        <w:t>草酰胺装置</w:t>
      </w:r>
      <w:r>
        <w:rPr>
          <w:rFonts w:hint="eastAsia"/>
          <w:u w:color="000000"/>
        </w:rPr>
        <w:t>无组织排放废气核算表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096"/>
        <w:gridCol w:w="1026"/>
        <w:gridCol w:w="1257"/>
        <w:gridCol w:w="1066"/>
      </w:tblGrid>
      <w:tr w14:paraId="1904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noWrap/>
            <w:vAlign w:val="center"/>
          </w:tcPr>
          <w:p w14:paraId="4A334609">
            <w:pPr>
              <w:pStyle w:val="557"/>
            </w:pPr>
            <w:r>
              <w:t>设备类型</w:t>
            </w:r>
          </w:p>
        </w:tc>
        <w:tc>
          <w:tcPr>
            <w:tcW w:w="1559" w:type="dxa"/>
            <w:noWrap/>
            <w:vAlign w:val="center"/>
          </w:tcPr>
          <w:p w14:paraId="2C12B3B1">
            <w:pPr>
              <w:pStyle w:val="557"/>
            </w:pPr>
            <w:r>
              <w:t>排放系数e</w:t>
            </w:r>
            <w:r>
              <w:rPr>
                <w:vertAlign w:val="subscript"/>
              </w:rPr>
              <w:t>TOC,i</w:t>
            </w:r>
          </w:p>
        </w:tc>
        <w:tc>
          <w:tcPr>
            <w:tcW w:w="1096" w:type="dxa"/>
            <w:noWrap/>
            <w:vAlign w:val="center"/>
          </w:tcPr>
          <w:p w14:paraId="648460C5">
            <w:pPr>
              <w:pStyle w:val="557"/>
            </w:pPr>
            <w:r>
              <w:t>个数</w:t>
            </w:r>
          </w:p>
        </w:tc>
        <w:tc>
          <w:tcPr>
            <w:tcW w:w="0" w:type="auto"/>
            <w:noWrap/>
            <w:vAlign w:val="center"/>
          </w:tcPr>
          <w:p w14:paraId="45814CBE">
            <w:pPr>
              <w:pStyle w:val="557"/>
            </w:pPr>
            <w:r>
              <w:t>排放时间h</w:t>
            </w:r>
          </w:p>
        </w:tc>
        <w:tc>
          <w:tcPr>
            <w:tcW w:w="0" w:type="auto"/>
            <w:noWrap/>
            <w:vAlign w:val="center"/>
          </w:tcPr>
          <w:p w14:paraId="0C69F370">
            <w:pPr>
              <w:pStyle w:val="557"/>
            </w:pPr>
            <w:r>
              <w:t>排放速率kg/h</w:t>
            </w:r>
          </w:p>
        </w:tc>
        <w:tc>
          <w:tcPr>
            <w:tcW w:w="0" w:type="auto"/>
            <w:noWrap/>
            <w:vAlign w:val="center"/>
          </w:tcPr>
          <w:p w14:paraId="57ACBE11">
            <w:pPr>
              <w:pStyle w:val="557"/>
            </w:pPr>
            <w:r>
              <w:t>排放量kg/a</w:t>
            </w:r>
          </w:p>
        </w:tc>
      </w:tr>
      <w:tr w14:paraId="509B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5C31AA49">
            <w:pPr>
              <w:pStyle w:val="557"/>
            </w:pPr>
            <w:r>
              <w:t>连接件</w:t>
            </w:r>
          </w:p>
        </w:tc>
        <w:tc>
          <w:tcPr>
            <w:tcW w:w="1559" w:type="dxa"/>
            <w:noWrap/>
            <w:vAlign w:val="center"/>
          </w:tcPr>
          <w:p w14:paraId="785E8DA1">
            <w:pPr>
              <w:pStyle w:val="557"/>
            </w:pPr>
            <w:r>
              <w:t>0.028</w:t>
            </w:r>
          </w:p>
        </w:tc>
        <w:tc>
          <w:tcPr>
            <w:tcW w:w="1096" w:type="dxa"/>
            <w:noWrap/>
            <w:vAlign w:val="center"/>
          </w:tcPr>
          <w:p w14:paraId="5E6C54E5">
            <w:pPr>
              <w:pStyle w:val="557"/>
            </w:pPr>
            <w:r>
              <w:rPr>
                <w:rFonts w:hint="eastAsia"/>
              </w:rPr>
              <w:t>800</w:t>
            </w:r>
          </w:p>
        </w:tc>
        <w:tc>
          <w:tcPr>
            <w:tcW w:w="0" w:type="auto"/>
            <w:noWrap/>
            <w:vAlign w:val="center"/>
          </w:tcPr>
          <w:p w14:paraId="7D01B552">
            <w:pPr>
              <w:pStyle w:val="557"/>
            </w:pPr>
            <w:r>
              <w:t>8000</w:t>
            </w:r>
          </w:p>
        </w:tc>
        <w:tc>
          <w:tcPr>
            <w:tcW w:w="1257" w:type="dxa"/>
            <w:noWrap/>
            <w:vAlign w:val="center"/>
          </w:tcPr>
          <w:p w14:paraId="45960CB7">
            <w:pPr>
              <w:jc w:val="center"/>
              <w:textAlignment w:val="center"/>
              <w:rPr>
                <w:rFonts w:hint="eastAsia"/>
              </w:rPr>
            </w:pPr>
            <w:r>
              <w:rPr>
                <w:rFonts w:ascii="Times New Roman" w:hAnsi="Times New Roman" w:cs="Times New Roman"/>
                <w:color w:val="000000"/>
                <w:sz w:val="18"/>
                <w:szCs w:val="18"/>
              </w:rPr>
              <w:t>22.4</w:t>
            </w:r>
          </w:p>
        </w:tc>
        <w:tc>
          <w:tcPr>
            <w:tcW w:w="1066" w:type="dxa"/>
            <w:noWrap/>
            <w:vAlign w:val="center"/>
          </w:tcPr>
          <w:p w14:paraId="2872A11F">
            <w:pPr>
              <w:jc w:val="center"/>
              <w:textAlignment w:val="center"/>
              <w:rPr>
                <w:rFonts w:hint="eastAsia"/>
              </w:rPr>
            </w:pPr>
            <w:r>
              <w:rPr>
                <w:rFonts w:ascii="Times New Roman" w:hAnsi="Times New Roman" w:cs="Times New Roman"/>
                <w:color w:val="000000"/>
                <w:sz w:val="18"/>
                <w:szCs w:val="18"/>
              </w:rPr>
              <w:t>179200</w:t>
            </w:r>
          </w:p>
        </w:tc>
      </w:tr>
      <w:tr w14:paraId="4A58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0A73EB02">
            <w:pPr>
              <w:pStyle w:val="557"/>
            </w:pPr>
            <w:r>
              <w:t>开口阀或开口管线</w:t>
            </w:r>
          </w:p>
        </w:tc>
        <w:tc>
          <w:tcPr>
            <w:tcW w:w="1559" w:type="dxa"/>
            <w:noWrap/>
            <w:vAlign w:val="center"/>
          </w:tcPr>
          <w:p w14:paraId="1C0B73F6">
            <w:pPr>
              <w:pStyle w:val="557"/>
            </w:pPr>
            <w:r>
              <w:t>0.03</w:t>
            </w:r>
          </w:p>
        </w:tc>
        <w:tc>
          <w:tcPr>
            <w:tcW w:w="1096" w:type="dxa"/>
            <w:noWrap/>
            <w:vAlign w:val="center"/>
          </w:tcPr>
          <w:p w14:paraId="7E6C5BBC">
            <w:pPr>
              <w:pStyle w:val="557"/>
            </w:pPr>
            <w:r>
              <w:t>5</w:t>
            </w:r>
          </w:p>
        </w:tc>
        <w:tc>
          <w:tcPr>
            <w:tcW w:w="0" w:type="auto"/>
            <w:noWrap/>
            <w:vAlign w:val="center"/>
          </w:tcPr>
          <w:p w14:paraId="1E08446B">
            <w:pPr>
              <w:pStyle w:val="557"/>
            </w:pPr>
            <w:r>
              <w:t>8000</w:t>
            </w:r>
          </w:p>
        </w:tc>
        <w:tc>
          <w:tcPr>
            <w:tcW w:w="1257" w:type="dxa"/>
            <w:noWrap/>
            <w:vAlign w:val="center"/>
          </w:tcPr>
          <w:p w14:paraId="3E357FEF">
            <w:pPr>
              <w:jc w:val="center"/>
              <w:textAlignment w:val="center"/>
              <w:rPr>
                <w:rFonts w:hint="eastAsia"/>
              </w:rPr>
            </w:pPr>
            <w:r>
              <w:rPr>
                <w:rFonts w:ascii="Times New Roman" w:hAnsi="Times New Roman" w:cs="Times New Roman"/>
                <w:color w:val="000000"/>
                <w:sz w:val="18"/>
                <w:szCs w:val="18"/>
              </w:rPr>
              <w:t>0.15</w:t>
            </w:r>
          </w:p>
        </w:tc>
        <w:tc>
          <w:tcPr>
            <w:tcW w:w="1066" w:type="dxa"/>
            <w:noWrap/>
            <w:vAlign w:val="center"/>
          </w:tcPr>
          <w:p w14:paraId="2579BD1B">
            <w:pPr>
              <w:jc w:val="center"/>
              <w:textAlignment w:val="center"/>
              <w:rPr>
                <w:rFonts w:hint="eastAsia"/>
              </w:rPr>
            </w:pPr>
            <w:r>
              <w:rPr>
                <w:rFonts w:ascii="Times New Roman" w:hAnsi="Times New Roman" w:cs="Times New Roman"/>
                <w:color w:val="000000"/>
                <w:sz w:val="18"/>
                <w:szCs w:val="18"/>
              </w:rPr>
              <w:t>1200</w:t>
            </w:r>
          </w:p>
        </w:tc>
      </w:tr>
      <w:tr w14:paraId="415D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405A1F84">
            <w:pPr>
              <w:pStyle w:val="557"/>
            </w:pPr>
            <w:r>
              <w:t>阀门</w:t>
            </w:r>
          </w:p>
        </w:tc>
        <w:tc>
          <w:tcPr>
            <w:tcW w:w="1559" w:type="dxa"/>
            <w:noWrap/>
            <w:vAlign w:val="center"/>
          </w:tcPr>
          <w:p w14:paraId="5C77D31C">
            <w:pPr>
              <w:pStyle w:val="557"/>
            </w:pPr>
            <w:r>
              <w:t>0.064</w:t>
            </w:r>
          </w:p>
        </w:tc>
        <w:tc>
          <w:tcPr>
            <w:tcW w:w="1096" w:type="dxa"/>
            <w:noWrap/>
            <w:vAlign w:val="center"/>
          </w:tcPr>
          <w:p w14:paraId="7BEAAFEF">
            <w:pPr>
              <w:pStyle w:val="557"/>
            </w:pPr>
            <w:r>
              <w:t>1</w:t>
            </w:r>
            <w:r>
              <w:rPr>
                <w:rFonts w:hint="eastAsia"/>
              </w:rPr>
              <w:t>60</w:t>
            </w:r>
          </w:p>
        </w:tc>
        <w:tc>
          <w:tcPr>
            <w:tcW w:w="0" w:type="auto"/>
            <w:noWrap/>
            <w:vAlign w:val="center"/>
          </w:tcPr>
          <w:p w14:paraId="756C7110">
            <w:pPr>
              <w:pStyle w:val="557"/>
            </w:pPr>
            <w:r>
              <w:t>8000</w:t>
            </w:r>
          </w:p>
        </w:tc>
        <w:tc>
          <w:tcPr>
            <w:tcW w:w="1257" w:type="dxa"/>
            <w:noWrap/>
            <w:vAlign w:val="center"/>
          </w:tcPr>
          <w:p w14:paraId="5C3A5BC9">
            <w:pPr>
              <w:jc w:val="center"/>
              <w:textAlignment w:val="center"/>
              <w:rPr>
                <w:rFonts w:hint="eastAsia"/>
              </w:rPr>
            </w:pPr>
            <w:r>
              <w:rPr>
                <w:rFonts w:ascii="Times New Roman" w:hAnsi="Times New Roman" w:cs="Times New Roman"/>
                <w:color w:val="000000"/>
                <w:sz w:val="18"/>
                <w:szCs w:val="18"/>
              </w:rPr>
              <w:t>10.24</w:t>
            </w:r>
          </w:p>
        </w:tc>
        <w:tc>
          <w:tcPr>
            <w:tcW w:w="1066" w:type="dxa"/>
            <w:noWrap/>
            <w:vAlign w:val="center"/>
          </w:tcPr>
          <w:p w14:paraId="45E01A4A">
            <w:pPr>
              <w:jc w:val="center"/>
              <w:textAlignment w:val="center"/>
              <w:rPr>
                <w:rFonts w:hint="eastAsia"/>
              </w:rPr>
            </w:pPr>
            <w:r>
              <w:rPr>
                <w:rFonts w:ascii="Times New Roman" w:hAnsi="Times New Roman" w:cs="Times New Roman"/>
                <w:color w:val="000000"/>
                <w:sz w:val="18"/>
                <w:szCs w:val="18"/>
              </w:rPr>
              <w:t>81920</w:t>
            </w:r>
          </w:p>
        </w:tc>
      </w:tr>
      <w:tr w14:paraId="2F52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955E5B6">
            <w:pPr>
              <w:pStyle w:val="557"/>
            </w:pPr>
            <w:r>
              <w:t>压缩机、搅拌器、泄压设备</w:t>
            </w:r>
          </w:p>
        </w:tc>
        <w:tc>
          <w:tcPr>
            <w:tcW w:w="1559" w:type="dxa"/>
            <w:noWrap/>
            <w:vAlign w:val="center"/>
          </w:tcPr>
          <w:p w14:paraId="2F5A54C7">
            <w:pPr>
              <w:pStyle w:val="557"/>
            </w:pPr>
            <w:r>
              <w:t>0.073</w:t>
            </w:r>
          </w:p>
        </w:tc>
        <w:tc>
          <w:tcPr>
            <w:tcW w:w="1096" w:type="dxa"/>
            <w:noWrap/>
            <w:vAlign w:val="center"/>
          </w:tcPr>
          <w:p w14:paraId="37733215">
            <w:pPr>
              <w:pStyle w:val="557"/>
            </w:pPr>
            <w:r>
              <w:t>/</w:t>
            </w:r>
          </w:p>
        </w:tc>
        <w:tc>
          <w:tcPr>
            <w:tcW w:w="0" w:type="auto"/>
            <w:noWrap/>
            <w:vAlign w:val="center"/>
          </w:tcPr>
          <w:p w14:paraId="595516A9">
            <w:pPr>
              <w:pStyle w:val="557"/>
            </w:pPr>
            <w:r>
              <w:t>/</w:t>
            </w:r>
          </w:p>
        </w:tc>
        <w:tc>
          <w:tcPr>
            <w:tcW w:w="0" w:type="auto"/>
            <w:noWrap/>
            <w:vAlign w:val="center"/>
          </w:tcPr>
          <w:p w14:paraId="305332BA">
            <w:pPr>
              <w:pStyle w:val="557"/>
            </w:pPr>
            <w:r>
              <w:rPr>
                <w:rFonts w:hint="eastAsia"/>
              </w:rPr>
              <w:t>/</w:t>
            </w:r>
          </w:p>
        </w:tc>
        <w:tc>
          <w:tcPr>
            <w:tcW w:w="1066" w:type="dxa"/>
            <w:noWrap/>
            <w:vAlign w:val="center"/>
          </w:tcPr>
          <w:p w14:paraId="02CDE18A">
            <w:pPr>
              <w:jc w:val="center"/>
              <w:rPr>
                <w:rFonts w:hint="eastAsia"/>
              </w:rPr>
            </w:pPr>
            <w:r>
              <w:rPr>
                <w:rFonts w:hint="eastAsia"/>
              </w:rPr>
              <w:t>/</w:t>
            </w:r>
          </w:p>
        </w:tc>
      </w:tr>
      <w:tr w14:paraId="2EB9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7DD7480C">
            <w:pPr>
              <w:pStyle w:val="557"/>
            </w:pPr>
            <w:r>
              <w:t>泵</w:t>
            </w:r>
          </w:p>
        </w:tc>
        <w:tc>
          <w:tcPr>
            <w:tcW w:w="1559" w:type="dxa"/>
            <w:noWrap/>
            <w:vAlign w:val="center"/>
          </w:tcPr>
          <w:p w14:paraId="46F3F696">
            <w:pPr>
              <w:pStyle w:val="557"/>
            </w:pPr>
            <w:r>
              <w:t>0.074</w:t>
            </w:r>
          </w:p>
        </w:tc>
        <w:tc>
          <w:tcPr>
            <w:tcW w:w="1096" w:type="dxa"/>
            <w:noWrap/>
            <w:vAlign w:val="center"/>
          </w:tcPr>
          <w:p w14:paraId="1847A6A5">
            <w:pPr>
              <w:pStyle w:val="557"/>
            </w:pPr>
            <w:r>
              <w:t>6</w:t>
            </w:r>
          </w:p>
        </w:tc>
        <w:tc>
          <w:tcPr>
            <w:tcW w:w="0" w:type="auto"/>
            <w:noWrap/>
            <w:vAlign w:val="center"/>
          </w:tcPr>
          <w:p w14:paraId="0FD0CCBB">
            <w:pPr>
              <w:pStyle w:val="557"/>
            </w:pPr>
            <w:r>
              <w:t>8000</w:t>
            </w:r>
          </w:p>
        </w:tc>
        <w:tc>
          <w:tcPr>
            <w:tcW w:w="1257" w:type="dxa"/>
            <w:noWrap/>
            <w:vAlign w:val="center"/>
          </w:tcPr>
          <w:p w14:paraId="584ACBAB">
            <w:pPr>
              <w:jc w:val="center"/>
              <w:textAlignment w:val="center"/>
              <w:rPr>
                <w:rFonts w:hint="eastAsia"/>
              </w:rPr>
            </w:pPr>
            <w:r>
              <w:rPr>
                <w:rFonts w:ascii="Times New Roman" w:hAnsi="Times New Roman" w:cs="Times New Roman"/>
                <w:color w:val="000000"/>
                <w:sz w:val="18"/>
                <w:szCs w:val="18"/>
              </w:rPr>
              <w:t>0.444</w:t>
            </w:r>
          </w:p>
        </w:tc>
        <w:tc>
          <w:tcPr>
            <w:tcW w:w="1066" w:type="dxa"/>
            <w:noWrap/>
            <w:vAlign w:val="center"/>
          </w:tcPr>
          <w:p w14:paraId="48743FA1">
            <w:pPr>
              <w:jc w:val="center"/>
              <w:textAlignment w:val="center"/>
              <w:rPr>
                <w:rFonts w:hint="eastAsia"/>
              </w:rPr>
            </w:pPr>
            <w:r>
              <w:rPr>
                <w:rFonts w:ascii="Times New Roman" w:hAnsi="Times New Roman" w:cs="Times New Roman"/>
                <w:color w:val="000000"/>
                <w:sz w:val="18"/>
                <w:szCs w:val="18"/>
              </w:rPr>
              <w:t>3552</w:t>
            </w:r>
          </w:p>
        </w:tc>
      </w:tr>
      <w:tr w14:paraId="2276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2B27B44B">
            <w:pPr>
              <w:pStyle w:val="557"/>
            </w:pPr>
            <w:r>
              <w:t>法兰</w:t>
            </w:r>
          </w:p>
        </w:tc>
        <w:tc>
          <w:tcPr>
            <w:tcW w:w="1559" w:type="dxa"/>
            <w:noWrap/>
            <w:vAlign w:val="center"/>
          </w:tcPr>
          <w:p w14:paraId="2D3C6A74">
            <w:pPr>
              <w:pStyle w:val="557"/>
            </w:pPr>
            <w:r>
              <w:t>0.085</w:t>
            </w:r>
          </w:p>
        </w:tc>
        <w:tc>
          <w:tcPr>
            <w:tcW w:w="1096" w:type="dxa"/>
            <w:noWrap/>
            <w:vAlign w:val="center"/>
          </w:tcPr>
          <w:p w14:paraId="01CCA961">
            <w:pPr>
              <w:pStyle w:val="557"/>
            </w:pPr>
            <w:r>
              <w:t>2</w:t>
            </w:r>
            <w:r>
              <w:rPr>
                <w:rFonts w:hint="eastAsia"/>
              </w:rPr>
              <w:t>200</w:t>
            </w:r>
          </w:p>
        </w:tc>
        <w:tc>
          <w:tcPr>
            <w:tcW w:w="0" w:type="auto"/>
            <w:noWrap/>
            <w:vAlign w:val="center"/>
          </w:tcPr>
          <w:p w14:paraId="238A9B6C">
            <w:pPr>
              <w:pStyle w:val="557"/>
            </w:pPr>
            <w:r>
              <w:t>8000</w:t>
            </w:r>
          </w:p>
        </w:tc>
        <w:tc>
          <w:tcPr>
            <w:tcW w:w="1257" w:type="dxa"/>
            <w:noWrap/>
            <w:vAlign w:val="center"/>
          </w:tcPr>
          <w:p w14:paraId="17794605">
            <w:pPr>
              <w:jc w:val="center"/>
              <w:textAlignment w:val="center"/>
              <w:rPr>
                <w:rFonts w:hint="eastAsia"/>
              </w:rPr>
            </w:pPr>
            <w:r>
              <w:rPr>
                <w:rFonts w:ascii="Times New Roman" w:hAnsi="Times New Roman" w:cs="Times New Roman"/>
                <w:color w:val="000000"/>
                <w:sz w:val="18"/>
                <w:szCs w:val="18"/>
              </w:rPr>
              <w:t>144.5</w:t>
            </w:r>
          </w:p>
        </w:tc>
        <w:tc>
          <w:tcPr>
            <w:tcW w:w="1066" w:type="dxa"/>
            <w:noWrap/>
            <w:vAlign w:val="center"/>
          </w:tcPr>
          <w:p w14:paraId="227FF8BF">
            <w:pPr>
              <w:jc w:val="center"/>
              <w:textAlignment w:val="center"/>
              <w:rPr>
                <w:rFonts w:hint="eastAsia"/>
              </w:rPr>
            </w:pPr>
            <w:r>
              <w:rPr>
                <w:rFonts w:ascii="Times New Roman" w:hAnsi="Times New Roman" w:cs="Times New Roman"/>
                <w:color w:val="000000"/>
                <w:sz w:val="18"/>
                <w:szCs w:val="18"/>
              </w:rPr>
              <w:t>1156000</w:t>
            </w:r>
          </w:p>
        </w:tc>
      </w:tr>
      <w:tr w14:paraId="3836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379D478A">
            <w:pPr>
              <w:pStyle w:val="557"/>
            </w:pPr>
            <w:r>
              <w:t>其他</w:t>
            </w:r>
          </w:p>
        </w:tc>
        <w:tc>
          <w:tcPr>
            <w:tcW w:w="1559" w:type="dxa"/>
            <w:noWrap/>
            <w:vAlign w:val="center"/>
          </w:tcPr>
          <w:p w14:paraId="27CE4988">
            <w:pPr>
              <w:pStyle w:val="557"/>
            </w:pPr>
            <w:r>
              <w:t>0.073</w:t>
            </w:r>
          </w:p>
        </w:tc>
        <w:tc>
          <w:tcPr>
            <w:tcW w:w="1096" w:type="dxa"/>
            <w:noWrap/>
            <w:vAlign w:val="center"/>
          </w:tcPr>
          <w:p w14:paraId="2FE7BC6D">
            <w:pPr>
              <w:pStyle w:val="557"/>
            </w:pPr>
            <w:r>
              <w:t>15</w:t>
            </w:r>
          </w:p>
        </w:tc>
        <w:tc>
          <w:tcPr>
            <w:tcW w:w="0" w:type="auto"/>
            <w:noWrap/>
            <w:vAlign w:val="center"/>
          </w:tcPr>
          <w:p w14:paraId="68346927">
            <w:pPr>
              <w:pStyle w:val="557"/>
            </w:pPr>
            <w:r>
              <w:t>8000</w:t>
            </w:r>
          </w:p>
        </w:tc>
        <w:tc>
          <w:tcPr>
            <w:tcW w:w="1257" w:type="dxa"/>
            <w:noWrap/>
            <w:vAlign w:val="center"/>
          </w:tcPr>
          <w:p w14:paraId="3DB2E8EA">
            <w:pPr>
              <w:jc w:val="center"/>
              <w:textAlignment w:val="center"/>
              <w:rPr>
                <w:rFonts w:hint="eastAsia"/>
              </w:rPr>
            </w:pPr>
            <w:r>
              <w:rPr>
                <w:rFonts w:ascii="Times New Roman" w:hAnsi="Times New Roman" w:cs="Times New Roman"/>
                <w:color w:val="000000"/>
                <w:sz w:val="18"/>
                <w:szCs w:val="18"/>
              </w:rPr>
              <w:t>1.095</w:t>
            </w:r>
          </w:p>
        </w:tc>
        <w:tc>
          <w:tcPr>
            <w:tcW w:w="1066" w:type="dxa"/>
            <w:noWrap/>
            <w:vAlign w:val="center"/>
          </w:tcPr>
          <w:p w14:paraId="139E3A7E">
            <w:pPr>
              <w:jc w:val="center"/>
              <w:textAlignment w:val="center"/>
              <w:rPr>
                <w:rFonts w:hint="eastAsia"/>
              </w:rPr>
            </w:pPr>
            <w:r>
              <w:rPr>
                <w:rFonts w:ascii="Times New Roman" w:hAnsi="Times New Roman" w:cs="Times New Roman"/>
                <w:color w:val="000000"/>
                <w:sz w:val="18"/>
                <w:szCs w:val="18"/>
              </w:rPr>
              <w:t>8760</w:t>
            </w:r>
          </w:p>
        </w:tc>
      </w:tr>
      <w:tr w14:paraId="68E4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2589DF1A">
            <w:pPr>
              <w:pStyle w:val="557"/>
            </w:pPr>
            <w:r>
              <w:t>合计</w:t>
            </w:r>
          </w:p>
        </w:tc>
        <w:tc>
          <w:tcPr>
            <w:tcW w:w="1559" w:type="dxa"/>
            <w:noWrap/>
            <w:vAlign w:val="center"/>
          </w:tcPr>
          <w:p w14:paraId="3540B686">
            <w:pPr>
              <w:pStyle w:val="557"/>
            </w:pPr>
            <w:r>
              <w:t>/</w:t>
            </w:r>
          </w:p>
        </w:tc>
        <w:tc>
          <w:tcPr>
            <w:tcW w:w="1096" w:type="dxa"/>
            <w:noWrap/>
            <w:vAlign w:val="center"/>
          </w:tcPr>
          <w:p w14:paraId="0EA6F080">
            <w:pPr>
              <w:pStyle w:val="557"/>
            </w:pPr>
          </w:p>
        </w:tc>
        <w:tc>
          <w:tcPr>
            <w:tcW w:w="0" w:type="auto"/>
            <w:noWrap/>
            <w:vAlign w:val="center"/>
          </w:tcPr>
          <w:p w14:paraId="35650C5B">
            <w:pPr>
              <w:pStyle w:val="557"/>
            </w:pPr>
            <w:r>
              <w:t>/</w:t>
            </w:r>
          </w:p>
        </w:tc>
        <w:tc>
          <w:tcPr>
            <w:tcW w:w="1257" w:type="dxa"/>
            <w:noWrap/>
            <w:vAlign w:val="center"/>
          </w:tcPr>
          <w:p w14:paraId="0097DF32">
            <w:pPr>
              <w:jc w:val="center"/>
              <w:textAlignment w:val="center"/>
              <w:rPr>
                <w:rFonts w:hint="eastAsia"/>
              </w:rPr>
            </w:pPr>
            <w:r>
              <w:rPr>
                <w:rFonts w:ascii="Times New Roman" w:hAnsi="Times New Roman" w:cs="Times New Roman"/>
                <w:color w:val="000000"/>
                <w:sz w:val="18"/>
                <w:szCs w:val="18"/>
              </w:rPr>
              <w:t>178.829</w:t>
            </w:r>
          </w:p>
        </w:tc>
        <w:tc>
          <w:tcPr>
            <w:tcW w:w="1066" w:type="dxa"/>
            <w:noWrap/>
            <w:vAlign w:val="center"/>
          </w:tcPr>
          <w:p w14:paraId="5D5A365D">
            <w:pPr>
              <w:jc w:val="center"/>
              <w:textAlignment w:val="center"/>
              <w:rPr>
                <w:rFonts w:hint="eastAsia"/>
              </w:rPr>
            </w:pPr>
            <w:r>
              <w:rPr>
                <w:rFonts w:ascii="Times New Roman" w:hAnsi="Times New Roman" w:cs="Times New Roman"/>
                <w:color w:val="000000"/>
                <w:sz w:val="18"/>
                <w:szCs w:val="18"/>
              </w:rPr>
              <w:t>1430632</w:t>
            </w:r>
          </w:p>
        </w:tc>
      </w:tr>
      <w:tr w14:paraId="6764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8" w:type="dxa"/>
            <w:vAlign w:val="center"/>
          </w:tcPr>
          <w:p w14:paraId="1D348497">
            <w:pPr>
              <w:pStyle w:val="557"/>
            </w:pPr>
            <w:r>
              <w:t>E</w:t>
            </w:r>
            <w:r>
              <w:rPr>
                <w:vertAlign w:val="subscript"/>
              </w:rPr>
              <w:t>设备</w:t>
            </w:r>
          </w:p>
        </w:tc>
        <w:tc>
          <w:tcPr>
            <w:tcW w:w="1559" w:type="dxa"/>
            <w:noWrap/>
            <w:vAlign w:val="center"/>
          </w:tcPr>
          <w:p w14:paraId="02CF63AF">
            <w:pPr>
              <w:pStyle w:val="557"/>
            </w:pPr>
            <w:r>
              <w:t>/</w:t>
            </w:r>
          </w:p>
        </w:tc>
        <w:tc>
          <w:tcPr>
            <w:tcW w:w="1096" w:type="dxa"/>
            <w:noWrap/>
            <w:vAlign w:val="center"/>
          </w:tcPr>
          <w:p w14:paraId="692FE758">
            <w:pPr>
              <w:pStyle w:val="557"/>
            </w:pPr>
          </w:p>
        </w:tc>
        <w:tc>
          <w:tcPr>
            <w:tcW w:w="0" w:type="auto"/>
            <w:noWrap/>
            <w:vAlign w:val="center"/>
          </w:tcPr>
          <w:p w14:paraId="6DCB12B4">
            <w:pPr>
              <w:pStyle w:val="557"/>
            </w:pPr>
            <w:r>
              <w:t>/</w:t>
            </w:r>
          </w:p>
        </w:tc>
        <w:tc>
          <w:tcPr>
            <w:tcW w:w="1257" w:type="dxa"/>
            <w:noWrap/>
            <w:vAlign w:val="center"/>
          </w:tcPr>
          <w:p w14:paraId="22997E46">
            <w:pPr>
              <w:jc w:val="center"/>
              <w:textAlignment w:val="center"/>
              <w:rPr>
                <w:rFonts w:hint="eastAsia"/>
              </w:rPr>
            </w:pPr>
            <w:r>
              <w:rPr>
                <w:rFonts w:ascii="Times New Roman" w:hAnsi="Times New Roman" w:cs="Times New Roman"/>
                <w:color w:val="000000"/>
                <w:sz w:val="18"/>
                <w:szCs w:val="18"/>
              </w:rPr>
              <w:t xml:space="preserve">0.54 </w:t>
            </w:r>
          </w:p>
        </w:tc>
        <w:tc>
          <w:tcPr>
            <w:tcW w:w="1066" w:type="dxa"/>
            <w:noWrap/>
            <w:vAlign w:val="center"/>
          </w:tcPr>
          <w:p w14:paraId="758E1912">
            <w:pPr>
              <w:jc w:val="center"/>
              <w:textAlignment w:val="center"/>
              <w:rPr>
                <w:rFonts w:hint="eastAsia"/>
              </w:rPr>
            </w:pPr>
            <w:r>
              <w:rPr>
                <w:rFonts w:ascii="Times New Roman" w:hAnsi="Times New Roman" w:cs="Times New Roman"/>
                <w:color w:val="000000"/>
                <w:sz w:val="18"/>
                <w:szCs w:val="18"/>
              </w:rPr>
              <w:t>4.29</w:t>
            </w:r>
            <w:r>
              <w:rPr>
                <w:rFonts w:hint="eastAsia" w:ascii="Times New Roman" w:hAnsi="Times New Roman" w:cs="Times New Roman"/>
                <w:color w:val="000000"/>
                <w:sz w:val="18"/>
                <w:szCs w:val="18"/>
              </w:rPr>
              <w:t>t/a</w:t>
            </w:r>
          </w:p>
        </w:tc>
      </w:tr>
    </w:tbl>
    <w:p w14:paraId="1E194F53">
      <w:pPr>
        <w:pStyle w:val="281"/>
        <w:ind w:firstLine="480"/>
      </w:pPr>
      <w:r>
        <w:rPr>
          <w:rFonts w:hint="eastAsia"/>
        </w:rPr>
        <w:t>草酰胺装置废气污染物产排情况一览表见表3.2.7-9。</w:t>
      </w:r>
    </w:p>
    <w:p w14:paraId="4C04EA55">
      <w:pPr>
        <w:pStyle w:val="626"/>
        <w:ind w:firstLine="480"/>
      </w:pPr>
    </w:p>
    <w:p w14:paraId="739EAE25">
      <w:pPr>
        <w:pStyle w:val="626"/>
        <w:ind w:firstLine="480"/>
        <w:sectPr>
          <w:pgSz w:w="11906" w:h="16838"/>
          <w:pgMar w:top="1440" w:right="1800" w:bottom="1440" w:left="1800" w:header="851" w:footer="850" w:gutter="0"/>
          <w:cols w:space="425" w:num="1"/>
          <w:docGrid w:type="lines" w:linePitch="326" w:charSpace="0"/>
        </w:sectPr>
      </w:pPr>
    </w:p>
    <w:p w14:paraId="298BB788">
      <w:pPr>
        <w:pStyle w:val="535"/>
        <w:rPr>
          <w:rFonts w:hint="eastAsia"/>
        </w:rPr>
      </w:pPr>
      <w:r>
        <w:rPr>
          <w:rFonts w:hint="eastAsia"/>
        </w:rPr>
        <w:t>表3.2.7-9     草酰胺装置废气污染物产排情况一览表</w:t>
      </w:r>
    </w:p>
    <w:tbl>
      <w:tblPr>
        <w:tblStyle w:val="6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13"/>
        <w:gridCol w:w="814"/>
        <w:gridCol w:w="814"/>
        <w:gridCol w:w="1044"/>
        <w:gridCol w:w="1018"/>
        <w:gridCol w:w="947"/>
        <w:gridCol w:w="939"/>
        <w:gridCol w:w="814"/>
        <w:gridCol w:w="814"/>
        <w:gridCol w:w="871"/>
        <w:gridCol w:w="871"/>
        <w:gridCol w:w="1143"/>
        <w:gridCol w:w="814"/>
        <w:gridCol w:w="814"/>
        <w:gridCol w:w="820"/>
      </w:tblGrid>
      <w:tr w14:paraId="6CC3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7" w:type="pct"/>
            <w:vMerge w:val="restart"/>
            <w:vAlign w:val="center"/>
          </w:tcPr>
          <w:p w14:paraId="700C9A12">
            <w:pPr>
              <w:jc w:val="center"/>
              <w:textAlignment w:val="center"/>
              <w:rPr>
                <w:rFonts w:hint="eastAsia"/>
                <w:color w:val="000000"/>
                <w:sz w:val="18"/>
                <w:szCs w:val="18"/>
              </w:rPr>
            </w:pPr>
            <w:r>
              <w:rPr>
                <w:rFonts w:hint="eastAsia"/>
                <w:color w:val="000000"/>
                <w:sz w:val="18"/>
                <w:szCs w:val="18"/>
              </w:rPr>
              <w:t>序号</w:t>
            </w:r>
          </w:p>
        </w:tc>
        <w:tc>
          <w:tcPr>
            <w:tcW w:w="287" w:type="pct"/>
            <w:vMerge w:val="restart"/>
            <w:vAlign w:val="center"/>
          </w:tcPr>
          <w:p w14:paraId="2E7F9130">
            <w:pPr>
              <w:jc w:val="center"/>
              <w:textAlignment w:val="center"/>
              <w:rPr>
                <w:rFonts w:hint="eastAsia"/>
                <w:color w:val="000000"/>
                <w:sz w:val="18"/>
                <w:szCs w:val="18"/>
              </w:rPr>
            </w:pPr>
            <w:r>
              <w:rPr>
                <w:rFonts w:hint="eastAsia"/>
                <w:color w:val="000000"/>
                <w:sz w:val="18"/>
                <w:szCs w:val="18"/>
              </w:rPr>
              <w:t>污染源</w:t>
            </w:r>
          </w:p>
        </w:tc>
        <w:tc>
          <w:tcPr>
            <w:tcW w:w="287" w:type="pct"/>
            <w:vMerge w:val="restart"/>
            <w:vAlign w:val="center"/>
          </w:tcPr>
          <w:p w14:paraId="6EF1A099">
            <w:pPr>
              <w:jc w:val="center"/>
              <w:textAlignment w:val="center"/>
              <w:rPr>
                <w:rFonts w:hint="eastAsia"/>
                <w:color w:val="000000"/>
                <w:sz w:val="18"/>
                <w:szCs w:val="18"/>
              </w:rPr>
            </w:pPr>
            <w:r>
              <w:rPr>
                <w:rFonts w:hint="eastAsia"/>
                <w:color w:val="000000"/>
                <w:sz w:val="18"/>
                <w:szCs w:val="18"/>
              </w:rPr>
              <w:t>核算方法</w:t>
            </w:r>
          </w:p>
        </w:tc>
        <w:tc>
          <w:tcPr>
            <w:tcW w:w="287" w:type="pct"/>
            <w:vMerge w:val="restart"/>
            <w:vAlign w:val="center"/>
          </w:tcPr>
          <w:p w14:paraId="46AAF655">
            <w:pPr>
              <w:jc w:val="center"/>
              <w:textAlignment w:val="center"/>
              <w:rPr>
                <w:rFonts w:hint="eastAsia"/>
                <w:color w:val="000000"/>
                <w:sz w:val="18"/>
                <w:szCs w:val="18"/>
              </w:rPr>
            </w:pPr>
            <w:r>
              <w:rPr>
                <w:rFonts w:hint="eastAsia"/>
                <w:color w:val="000000"/>
                <w:sz w:val="18"/>
                <w:szCs w:val="18"/>
              </w:rPr>
              <w:t>污染物</w:t>
            </w:r>
          </w:p>
        </w:tc>
        <w:tc>
          <w:tcPr>
            <w:tcW w:w="368" w:type="pct"/>
            <w:vMerge w:val="restart"/>
            <w:vAlign w:val="center"/>
          </w:tcPr>
          <w:p w14:paraId="27B8F252">
            <w:pPr>
              <w:jc w:val="center"/>
              <w:textAlignment w:val="center"/>
              <w:rPr>
                <w:rFonts w:hint="eastAsia"/>
                <w:color w:val="000000"/>
                <w:sz w:val="18"/>
                <w:szCs w:val="18"/>
              </w:rPr>
            </w:pPr>
            <w:r>
              <w:rPr>
                <w:rFonts w:hint="eastAsia"/>
                <w:color w:val="000000"/>
                <w:sz w:val="18"/>
                <w:szCs w:val="18"/>
              </w:rPr>
              <w:t>产生浓度</w:t>
            </w:r>
            <w:r>
              <w:rPr>
                <w:rFonts w:ascii="Times New Roman" w:hAnsi="Times New Roman" w:cs="Times New Roman"/>
                <w:color w:val="000000"/>
                <w:sz w:val="18"/>
                <w:szCs w:val="18"/>
              </w:rPr>
              <w:t>mg/m</w:t>
            </w:r>
            <w:r>
              <w:rPr>
                <w:rFonts w:ascii="Times New Roman" w:hAnsi="Times New Roman" w:cs="Times New Roman"/>
                <w:color w:val="000000"/>
                <w:sz w:val="18"/>
                <w:szCs w:val="18"/>
                <w:vertAlign w:val="superscript"/>
              </w:rPr>
              <w:t>3</w:t>
            </w:r>
          </w:p>
        </w:tc>
        <w:tc>
          <w:tcPr>
            <w:tcW w:w="359" w:type="pct"/>
            <w:vMerge w:val="restart"/>
            <w:vAlign w:val="center"/>
          </w:tcPr>
          <w:p w14:paraId="7D350CA7">
            <w:pPr>
              <w:jc w:val="center"/>
              <w:textAlignment w:val="center"/>
              <w:rPr>
                <w:rFonts w:hint="eastAsia"/>
                <w:color w:val="000000"/>
                <w:sz w:val="18"/>
                <w:szCs w:val="18"/>
              </w:rPr>
            </w:pPr>
            <w:r>
              <w:rPr>
                <w:rFonts w:hint="eastAsia"/>
                <w:color w:val="000000"/>
                <w:sz w:val="18"/>
                <w:szCs w:val="18"/>
              </w:rPr>
              <w:t>产生速率</w:t>
            </w:r>
            <w:r>
              <w:rPr>
                <w:rFonts w:ascii="Times New Roman" w:hAnsi="Times New Roman" w:cs="Times New Roman"/>
                <w:color w:val="000000"/>
                <w:sz w:val="18"/>
                <w:szCs w:val="18"/>
              </w:rPr>
              <w:t>kg/h</w:t>
            </w:r>
          </w:p>
        </w:tc>
        <w:tc>
          <w:tcPr>
            <w:tcW w:w="334" w:type="pct"/>
            <w:vMerge w:val="restart"/>
            <w:vAlign w:val="center"/>
          </w:tcPr>
          <w:p w14:paraId="77334CD7">
            <w:pPr>
              <w:jc w:val="center"/>
              <w:textAlignment w:val="center"/>
              <w:rPr>
                <w:rFonts w:hint="eastAsia"/>
                <w:color w:val="000000"/>
                <w:sz w:val="18"/>
                <w:szCs w:val="18"/>
              </w:rPr>
            </w:pPr>
            <w:r>
              <w:rPr>
                <w:rFonts w:hint="eastAsia"/>
                <w:color w:val="000000"/>
                <w:sz w:val="18"/>
                <w:szCs w:val="18"/>
              </w:rPr>
              <w:t>产生量</w:t>
            </w:r>
            <w:r>
              <w:rPr>
                <w:rFonts w:ascii="Times New Roman" w:hAnsi="Times New Roman" w:cs="Times New Roman"/>
                <w:color w:val="000000"/>
                <w:sz w:val="18"/>
                <w:szCs w:val="18"/>
              </w:rPr>
              <w:t>t/a</w:t>
            </w:r>
          </w:p>
        </w:tc>
        <w:tc>
          <w:tcPr>
            <w:tcW w:w="331" w:type="pct"/>
            <w:vMerge w:val="restart"/>
            <w:vAlign w:val="center"/>
          </w:tcPr>
          <w:p w14:paraId="0617BCC9">
            <w:pPr>
              <w:jc w:val="center"/>
              <w:textAlignment w:val="center"/>
              <w:rPr>
                <w:rFonts w:hint="eastAsia"/>
                <w:color w:val="000000"/>
                <w:sz w:val="18"/>
                <w:szCs w:val="18"/>
              </w:rPr>
            </w:pPr>
            <w:r>
              <w:rPr>
                <w:rFonts w:hint="eastAsia"/>
                <w:color w:val="000000"/>
                <w:sz w:val="18"/>
                <w:szCs w:val="18"/>
              </w:rPr>
              <w:t>治理措施</w:t>
            </w:r>
          </w:p>
        </w:tc>
        <w:tc>
          <w:tcPr>
            <w:tcW w:w="287" w:type="pct"/>
            <w:vMerge w:val="restart"/>
            <w:vAlign w:val="center"/>
          </w:tcPr>
          <w:p w14:paraId="57B2150E">
            <w:pPr>
              <w:jc w:val="center"/>
              <w:textAlignment w:val="center"/>
              <w:rPr>
                <w:rFonts w:hint="eastAsia"/>
                <w:color w:val="000000"/>
                <w:sz w:val="18"/>
                <w:szCs w:val="18"/>
              </w:rPr>
            </w:pPr>
            <w:r>
              <w:rPr>
                <w:rFonts w:hint="eastAsia"/>
                <w:color w:val="000000"/>
                <w:sz w:val="18"/>
                <w:szCs w:val="18"/>
              </w:rPr>
              <w:t>去除效率</w:t>
            </w:r>
          </w:p>
        </w:tc>
        <w:tc>
          <w:tcPr>
            <w:tcW w:w="287" w:type="pct"/>
            <w:vMerge w:val="restart"/>
            <w:vAlign w:val="center"/>
          </w:tcPr>
          <w:p w14:paraId="65DE901A">
            <w:pPr>
              <w:jc w:val="center"/>
              <w:textAlignment w:val="center"/>
              <w:rPr>
                <w:rFonts w:hint="eastAsia"/>
                <w:color w:val="000000"/>
                <w:sz w:val="18"/>
                <w:szCs w:val="18"/>
              </w:rPr>
            </w:pPr>
            <w:r>
              <w:rPr>
                <w:rFonts w:hint="eastAsia"/>
                <w:color w:val="000000"/>
                <w:sz w:val="18"/>
                <w:szCs w:val="18"/>
              </w:rPr>
              <w:t>排气量</w:t>
            </w:r>
            <w:r>
              <w:rPr>
                <w:rFonts w:ascii="Times New Roman" w:hAnsi="Times New Roman" w:cs="Times New Roman"/>
                <w:color w:val="000000"/>
                <w:sz w:val="18"/>
                <w:szCs w:val="18"/>
              </w:rPr>
              <w:t>m</w:t>
            </w:r>
            <w:r>
              <w:rPr>
                <w:rFonts w:ascii="Times New Roman" w:hAnsi="Times New Roman" w:cs="Times New Roman"/>
                <w:color w:val="000000"/>
                <w:sz w:val="18"/>
                <w:szCs w:val="18"/>
                <w:vertAlign w:val="superscript"/>
              </w:rPr>
              <w:t>3</w:t>
            </w:r>
            <w:r>
              <w:rPr>
                <w:rFonts w:ascii="Times New Roman" w:hAnsi="Times New Roman" w:cs="Times New Roman"/>
                <w:color w:val="000000"/>
                <w:sz w:val="18"/>
                <w:szCs w:val="18"/>
              </w:rPr>
              <w:t>/h</w:t>
            </w:r>
          </w:p>
        </w:tc>
        <w:tc>
          <w:tcPr>
            <w:tcW w:w="307" w:type="pct"/>
            <w:vMerge w:val="restart"/>
            <w:vAlign w:val="center"/>
          </w:tcPr>
          <w:p w14:paraId="264B235E">
            <w:pPr>
              <w:jc w:val="center"/>
              <w:textAlignment w:val="center"/>
              <w:rPr>
                <w:rFonts w:hint="eastAsia"/>
                <w:color w:val="000000"/>
                <w:sz w:val="18"/>
                <w:szCs w:val="18"/>
              </w:rPr>
            </w:pPr>
            <w:r>
              <w:rPr>
                <w:rFonts w:hint="eastAsia"/>
                <w:color w:val="000000"/>
                <w:sz w:val="18"/>
                <w:szCs w:val="18"/>
              </w:rPr>
              <w:t>排放浓度</w:t>
            </w:r>
            <w:r>
              <w:rPr>
                <w:rFonts w:ascii="Times New Roman" w:hAnsi="Times New Roman" w:cs="Times New Roman"/>
                <w:color w:val="000000"/>
                <w:sz w:val="18"/>
                <w:szCs w:val="18"/>
              </w:rPr>
              <w:t>mg/m</w:t>
            </w:r>
            <w:r>
              <w:rPr>
                <w:rFonts w:ascii="Times New Roman" w:hAnsi="Times New Roman" w:cs="Times New Roman"/>
                <w:color w:val="000000"/>
                <w:sz w:val="18"/>
                <w:szCs w:val="18"/>
                <w:vertAlign w:val="superscript"/>
              </w:rPr>
              <w:t>3</w:t>
            </w:r>
          </w:p>
        </w:tc>
        <w:tc>
          <w:tcPr>
            <w:tcW w:w="307" w:type="pct"/>
            <w:vMerge w:val="restart"/>
            <w:vAlign w:val="center"/>
          </w:tcPr>
          <w:p w14:paraId="2B989289">
            <w:pPr>
              <w:jc w:val="center"/>
              <w:textAlignment w:val="center"/>
              <w:rPr>
                <w:rFonts w:hint="eastAsia"/>
                <w:color w:val="000000"/>
                <w:sz w:val="18"/>
                <w:szCs w:val="18"/>
              </w:rPr>
            </w:pPr>
            <w:r>
              <w:rPr>
                <w:rFonts w:hint="eastAsia"/>
                <w:color w:val="000000"/>
                <w:sz w:val="18"/>
                <w:szCs w:val="18"/>
              </w:rPr>
              <w:t>排放速率</w:t>
            </w:r>
            <w:r>
              <w:rPr>
                <w:rFonts w:ascii="Times New Roman" w:hAnsi="Times New Roman" w:cs="Times New Roman"/>
                <w:color w:val="000000"/>
                <w:sz w:val="18"/>
                <w:szCs w:val="18"/>
              </w:rPr>
              <w:t>kg/h</w:t>
            </w:r>
          </w:p>
        </w:tc>
        <w:tc>
          <w:tcPr>
            <w:tcW w:w="403" w:type="pct"/>
            <w:vMerge w:val="restart"/>
            <w:vAlign w:val="center"/>
          </w:tcPr>
          <w:p w14:paraId="173A4CE4">
            <w:pPr>
              <w:jc w:val="center"/>
              <w:textAlignment w:val="center"/>
              <w:rPr>
                <w:rFonts w:hint="eastAsia"/>
                <w:color w:val="000000"/>
                <w:sz w:val="18"/>
                <w:szCs w:val="18"/>
              </w:rPr>
            </w:pPr>
            <w:r>
              <w:rPr>
                <w:rFonts w:hint="eastAsia"/>
                <w:color w:val="000000"/>
                <w:sz w:val="18"/>
                <w:szCs w:val="18"/>
              </w:rPr>
              <w:t>排放量</w:t>
            </w:r>
            <w:r>
              <w:rPr>
                <w:rFonts w:ascii="Times New Roman" w:hAnsi="Times New Roman" w:cs="Times New Roman"/>
                <w:color w:val="000000"/>
                <w:sz w:val="18"/>
                <w:szCs w:val="18"/>
              </w:rPr>
              <w:t>t/a</w:t>
            </w:r>
          </w:p>
        </w:tc>
        <w:tc>
          <w:tcPr>
            <w:tcW w:w="863" w:type="pct"/>
            <w:gridSpan w:val="3"/>
            <w:noWrap/>
            <w:vAlign w:val="center"/>
          </w:tcPr>
          <w:p w14:paraId="32A4865E">
            <w:pPr>
              <w:jc w:val="center"/>
              <w:textAlignment w:val="center"/>
              <w:rPr>
                <w:rFonts w:hint="eastAsia"/>
                <w:color w:val="000000"/>
                <w:sz w:val="18"/>
                <w:szCs w:val="18"/>
              </w:rPr>
            </w:pPr>
            <w:r>
              <w:rPr>
                <w:rFonts w:hint="eastAsia"/>
                <w:color w:val="000000"/>
                <w:sz w:val="18"/>
                <w:szCs w:val="18"/>
              </w:rPr>
              <w:t>排气筒参数</w:t>
            </w:r>
          </w:p>
        </w:tc>
      </w:tr>
      <w:tr w14:paraId="2DFB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7" w:type="pct"/>
            <w:vMerge w:val="continue"/>
            <w:vAlign w:val="center"/>
          </w:tcPr>
          <w:p w14:paraId="27BEC284">
            <w:pPr>
              <w:jc w:val="center"/>
              <w:rPr>
                <w:rFonts w:hint="eastAsia"/>
                <w:color w:val="000000"/>
                <w:sz w:val="18"/>
                <w:szCs w:val="18"/>
              </w:rPr>
            </w:pPr>
          </w:p>
        </w:tc>
        <w:tc>
          <w:tcPr>
            <w:tcW w:w="287" w:type="pct"/>
            <w:vMerge w:val="continue"/>
            <w:vAlign w:val="center"/>
          </w:tcPr>
          <w:p w14:paraId="5C38FFEB">
            <w:pPr>
              <w:jc w:val="center"/>
              <w:rPr>
                <w:rFonts w:hint="eastAsia"/>
                <w:color w:val="000000"/>
                <w:sz w:val="18"/>
                <w:szCs w:val="18"/>
              </w:rPr>
            </w:pPr>
          </w:p>
        </w:tc>
        <w:tc>
          <w:tcPr>
            <w:tcW w:w="287" w:type="pct"/>
            <w:vMerge w:val="continue"/>
            <w:vAlign w:val="center"/>
          </w:tcPr>
          <w:p w14:paraId="11BEBC88">
            <w:pPr>
              <w:jc w:val="center"/>
              <w:rPr>
                <w:rFonts w:hint="eastAsia"/>
                <w:color w:val="000000"/>
                <w:sz w:val="18"/>
                <w:szCs w:val="18"/>
              </w:rPr>
            </w:pPr>
          </w:p>
        </w:tc>
        <w:tc>
          <w:tcPr>
            <w:tcW w:w="287" w:type="pct"/>
            <w:vMerge w:val="continue"/>
            <w:vAlign w:val="center"/>
          </w:tcPr>
          <w:p w14:paraId="5D535EEF">
            <w:pPr>
              <w:jc w:val="center"/>
              <w:rPr>
                <w:rFonts w:hint="eastAsia"/>
                <w:color w:val="000000"/>
                <w:sz w:val="18"/>
                <w:szCs w:val="18"/>
              </w:rPr>
            </w:pPr>
          </w:p>
        </w:tc>
        <w:tc>
          <w:tcPr>
            <w:tcW w:w="368" w:type="pct"/>
            <w:vMerge w:val="continue"/>
            <w:vAlign w:val="center"/>
          </w:tcPr>
          <w:p w14:paraId="626DD322">
            <w:pPr>
              <w:jc w:val="center"/>
              <w:rPr>
                <w:rFonts w:hint="eastAsia"/>
                <w:color w:val="000000"/>
                <w:sz w:val="18"/>
                <w:szCs w:val="18"/>
              </w:rPr>
            </w:pPr>
          </w:p>
        </w:tc>
        <w:tc>
          <w:tcPr>
            <w:tcW w:w="359" w:type="pct"/>
            <w:vMerge w:val="continue"/>
            <w:vAlign w:val="center"/>
          </w:tcPr>
          <w:p w14:paraId="2A49B72A">
            <w:pPr>
              <w:jc w:val="center"/>
              <w:rPr>
                <w:rFonts w:hint="eastAsia"/>
                <w:color w:val="000000"/>
                <w:sz w:val="18"/>
                <w:szCs w:val="18"/>
              </w:rPr>
            </w:pPr>
          </w:p>
        </w:tc>
        <w:tc>
          <w:tcPr>
            <w:tcW w:w="334" w:type="pct"/>
            <w:vMerge w:val="continue"/>
            <w:vAlign w:val="center"/>
          </w:tcPr>
          <w:p w14:paraId="69048ABD">
            <w:pPr>
              <w:jc w:val="center"/>
              <w:rPr>
                <w:rFonts w:hint="eastAsia"/>
                <w:color w:val="000000"/>
                <w:sz w:val="18"/>
                <w:szCs w:val="18"/>
              </w:rPr>
            </w:pPr>
          </w:p>
        </w:tc>
        <w:tc>
          <w:tcPr>
            <w:tcW w:w="331" w:type="pct"/>
            <w:vMerge w:val="continue"/>
            <w:vAlign w:val="center"/>
          </w:tcPr>
          <w:p w14:paraId="6E4B759C">
            <w:pPr>
              <w:jc w:val="center"/>
              <w:rPr>
                <w:rFonts w:hint="eastAsia"/>
                <w:color w:val="000000"/>
                <w:sz w:val="18"/>
                <w:szCs w:val="18"/>
              </w:rPr>
            </w:pPr>
          </w:p>
        </w:tc>
        <w:tc>
          <w:tcPr>
            <w:tcW w:w="287" w:type="pct"/>
            <w:vMerge w:val="continue"/>
            <w:vAlign w:val="center"/>
          </w:tcPr>
          <w:p w14:paraId="5FEBD2AA">
            <w:pPr>
              <w:jc w:val="center"/>
              <w:rPr>
                <w:rFonts w:hint="eastAsia"/>
                <w:color w:val="000000"/>
                <w:sz w:val="18"/>
                <w:szCs w:val="18"/>
              </w:rPr>
            </w:pPr>
          </w:p>
        </w:tc>
        <w:tc>
          <w:tcPr>
            <w:tcW w:w="287" w:type="pct"/>
            <w:vMerge w:val="continue"/>
            <w:vAlign w:val="center"/>
          </w:tcPr>
          <w:p w14:paraId="74FD9A4C">
            <w:pPr>
              <w:jc w:val="center"/>
              <w:rPr>
                <w:rFonts w:hint="eastAsia"/>
                <w:color w:val="000000"/>
                <w:sz w:val="18"/>
                <w:szCs w:val="18"/>
              </w:rPr>
            </w:pPr>
          </w:p>
        </w:tc>
        <w:tc>
          <w:tcPr>
            <w:tcW w:w="307" w:type="pct"/>
            <w:vMerge w:val="continue"/>
            <w:vAlign w:val="center"/>
          </w:tcPr>
          <w:p w14:paraId="40154DF2">
            <w:pPr>
              <w:jc w:val="center"/>
              <w:rPr>
                <w:rFonts w:hint="eastAsia"/>
                <w:color w:val="000000"/>
                <w:sz w:val="18"/>
                <w:szCs w:val="18"/>
              </w:rPr>
            </w:pPr>
          </w:p>
        </w:tc>
        <w:tc>
          <w:tcPr>
            <w:tcW w:w="307" w:type="pct"/>
            <w:vMerge w:val="continue"/>
            <w:vAlign w:val="center"/>
          </w:tcPr>
          <w:p w14:paraId="0C5C0BF8">
            <w:pPr>
              <w:jc w:val="center"/>
              <w:rPr>
                <w:rFonts w:hint="eastAsia"/>
                <w:color w:val="000000"/>
                <w:sz w:val="18"/>
                <w:szCs w:val="18"/>
              </w:rPr>
            </w:pPr>
          </w:p>
        </w:tc>
        <w:tc>
          <w:tcPr>
            <w:tcW w:w="403" w:type="pct"/>
            <w:vMerge w:val="continue"/>
            <w:vAlign w:val="center"/>
          </w:tcPr>
          <w:p w14:paraId="4243CE69">
            <w:pPr>
              <w:jc w:val="center"/>
              <w:rPr>
                <w:rFonts w:hint="eastAsia"/>
                <w:color w:val="000000"/>
                <w:sz w:val="18"/>
                <w:szCs w:val="18"/>
              </w:rPr>
            </w:pPr>
          </w:p>
        </w:tc>
        <w:tc>
          <w:tcPr>
            <w:tcW w:w="287" w:type="pct"/>
            <w:vAlign w:val="center"/>
          </w:tcPr>
          <w:p w14:paraId="3E525727">
            <w:pPr>
              <w:jc w:val="center"/>
              <w:textAlignment w:val="center"/>
              <w:rPr>
                <w:rFonts w:hint="eastAsia"/>
                <w:color w:val="000000"/>
                <w:sz w:val="18"/>
                <w:szCs w:val="18"/>
              </w:rPr>
            </w:pPr>
            <w:r>
              <w:rPr>
                <w:rFonts w:hint="eastAsia"/>
                <w:color w:val="000000"/>
                <w:sz w:val="18"/>
                <w:szCs w:val="18"/>
              </w:rPr>
              <w:t>高度</w:t>
            </w:r>
            <w:r>
              <w:rPr>
                <w:rFonts w:ascii="Times New Roman" w:hAnsi="Times New Roman" w:cs="Times New Roman"/>
                <w:color w:val="000000"/>
                <w:sz w:val="18"/>
                <w:szCs w:val="18"/>
              </w:rPr>
              <w:t>m</w:t>
            </w:r>
          </w:p>
        </w:tc>
        <w:tc>
          <w:tcPr>
            <w:tcW w:w="287" w:type="pct"/>
            <w:vAlign w:val="center"/>
          </w:tcPr>
          <w:p w14:paraId="77E6582B">
            <w:pPr>
              <w:jc w:val="center"/>
              <w:textAlignment w:val="center"/>
              <w:rPr>
                <w:rFonts w:hint="eastAsia"/>
                <w:color w:val="000000"/>
                <w:sz w:val="18"/>
                <w:szCs w:val="18"/>
              </w:rPr>
            </w:pPr>
            <w:r>
              <w:rPr>
                <w:rFonts w:hint="eastAsia"/>
                <w:color w:val="000000"/>
                <w:sz w:val="18"/>
                <w:szCs w:val="18"/>
              </w:rPr>
              <w:t>内径</w:t>
            </w:r>
            <w:r>
              <w:rPr>
                <w:rFonts w:ascii="Times New Roman" w:hAnsi="Times New Roman" w:cs="Times New Roman"/>
                <w:color w:val="000000"/>
                <w:sz w:val="18"/>
                <w:szCs w:val="18"/>
              </w:rPr>
              <w:t>m</w:t>
            </w:r>
          </w:p>
        </w:tc>
        <w:tc>
          <w:tcPr>
            <w:tcW w:w="288" w:type="pct"/>
            <w:vAlign w:val="center"/>
          </w:tcPr>
          <w:p w14:paraId="5AD16421">
            <w:pPr>
              <w:jc w:val="center"/>
              <w:textAlignment w:val="center"/>
              <w:rPr>
                <w:rFonts w:hint="eastAsia"/>
                <w:color w:val="000000"/>
                <w:sz w:val="18"/>
                <w:szCs w:val="18"/>
              </w:rPr>
            </w:pPr>
            <w:r>
              <w:rPr>
                <w:rFonts w:hint="eastAsia"/>
                <w:color w:val="000000"/>
                <w:sz w:val="18"/>
                <w:szCs w:val="18"/>
              </w:rPr>
              <w:t>温度</w:t>
            </w:r>
            <w:r>
              <w:rPr>
                <w:rFonts w:ascii="Times New Roman" w:hAnsi="Times New Roman" w:cs="Times New Roman"/>
                <w:color w:val="000000"/>
                <w:sz w:val="18"/>
                <w:szCs w:val="18"/>
              </w:rPr>
              <w:t>℃</w:t>
            </w:r>
          </w:p>
        </w:tc>
      </w:tr>
      <w:tr w14:paraId="77CD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87" w:type="pct"/>
            <w:vMerge w:val="restart"/>
            <w:vAlign w:val="center"/>
          </w:tcPr>
          <w:p w14:paraId="15E9DABA">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G</w:t>
            </w:r>
            <w:r>
              <w:rPr>
                <w:rFonts w:ascii="Times New Roman" w:hAnsi="Times New Roman" w:cs="Times New Roman"/>
                <w:color w:val="000000"/>
                <w:sz w:val="18"/>
                <w:szCs w:val="18"/>
                <w:vertAlign w:val="subscript"/>
              </w:rPr>
              <w:t>6-1</w:t>
            </w:r>
          </w:p>
        </w:tc>
        <w:tc>
          <w:tcPr>
            <w:tcW w:w="287" w:type="pct"/>
            <w:vMerge w:val="restart"/>
            <w:vAlign w:val="center"/>
          </w:tcPr>
          <w:p w14:paraId="4778BF34">
            <w:pPr>
              <w:jc w:val="center"/>
              <w:textAlignment w:val="center"/>
              <w:rPr>
                <w:rFonts w:hint="eastAsia"/>
                <w:color w:val="000000"/>
                <w:sz w:val="18"/>
                <w:szCs w:val="18"/>
              </w:rPr>
            </w:pPr>
            <w:r>
              <w:rPr>
                <w:rFonts w:hint="eastAsia"/>
                <w:color w:val="000000"/>
                <w:sz w:val="18"/>
                <w:szCs w:val="18"/>
              </w:rPr>
              <w:t>草酰胺装置尾气吸收塔顶排气</w:t>
            </w:r>
          </w:p>
        </w:tc>
        <w:tc>
          <w:tcPr>
            <w:tcW w:w="287" w:type="pct"/>
            <w:vMerge w:val="restart"/>
            <w:vAlign w:val="center"/>
          </w:tcPr>
          <w:p w14:paraId="7E4BF91D">
            <w:pPr>
              <w:jc w:val="center"/>
              <w:textAlignment w:val="center"/>
              <w:rPr>
                <w:rFonts w:hint="eastAsia"/>
                <w:color w:val="000000"/>
                <w:sz w:val="18"/>
                <w:szCs w:val="18"/>
              </w:rPr>
            </w:pPr>
            <w:r>
              <w:rPr>
                <w:rFonts w:hint="eastAsia"/>
                <w:color w:val="000000"/>
                <w:sz w:val="18"/>
                <w:szCs w:val="18"/>
              </w:rPr>
              <w:t>物料衡算法</w:t>
            </w:r>
          </w:p>
        </w:tc>
        <w:tc>
          <w:tcPr>
            <w:tcW w:w="287" w:type="pct"/>
            <w:vAlign w:val="center"/>
          </w:tcPr>
          <w:p w14:paraId="43A0DBD3">
            <w:pPr>
              <w:jc w:val="center"/>
              <w:textAlignment w:val="center"/>
              <w:rPr>
                <w:rFonts w:hint="eastAsia"/>
                <w:color w:val="000000"/>
                <w:sz w:val="18"/>
                <w:szCs w:val="18"/>
              </w:rPr>
            </w:pPr>
            <w:r>
              <w:rPr>
                <w:rFonts w:hint="eastAsia"/>
                <w:color w:val="000000"/>
                <w:sz w:val="18"/>
                <w:szCs w:val="18"/>
              </w:rPr>
              <w:t>甲醇</w:t>
            </w:r>
          </w:p>
        </w:tc>
        <w:tc>
          <w:tcPr>
            <w:tcW w:w="368" w:type="pct"/>
            <w:vAlign w:val="center"/>
          </w:tcPr>
          <w:p w14:paraId="0D1E0519">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76</w:t>
            </w:r>
          </w:p>
        </w:tc>
        <w:tc>
          <w:tcPr>
            <w:tcW w:w="359" w:type="pct"/>
            <w:vAlign w:val="center"/>
          </w:tcPr>
          <w:p w14:paraId="53B64295">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0.76</w:t>
            </w:r>
          </w:p>
        </w:tc>
        <w:tc>
          <w:tcPr>
            <w:tcW w:w="334" w:type="pct"/>
            <w:vAlign w:val="center"/>
          </w:tcPr>
          <w:p w14:paraId="1225384E">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6.08</w:t>
            </w:r>
          </w:p>
        </w:tc>
        <w:tc>
          <w:tcPr>
            <w:tcW w:w="331" w:type="pct"/>
            <w:vMerge w:val="restart"/>
            <w:vAlign w:val="center"/>
          </w:tcPr>
          <w:p w14:paraId="38EDCA93">
            <w:pPr>
              <w:jc w:val="center"/>
              <w:textAlignment w:val="center"/>
              <w:rPr>
                <w:rFonts w:hint="eastAsia"/>
                <w:color w:val="000000"/>
                <w:sz w:val="18"/>
                <w:szCs w:val="18"/>
              </w:rPr>
            </w:pPr>
            <w:r>
              <w:rPr>
                <w:rFonts w:hint="eastAsia"/>
                <w:color w:val="000000"/>
                <w:sz w:val="18"/>
                <w:szCs w:val="18"/>
              </w:rPr>
              <w:t>水洗塔</w:t>
            </w:r>
          </w:p>
        </w:tc>
        <w:tc>
          <w:tcPr>
            <w:tcW w:w="287" w:type="pct"/>
            <w:vAlign w:val="center"/>
          </w:tcPr>
          <w:p w14:paraId="158132C3">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287" w:type="pct"/>
            <w:vAlign w:val="center"/>
          </w:tcPr>
          <w:p w14:paraId="18850FA6">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307" w:type="pct"/>
            <w:vAlign w:val="center"/>
          </w:tcPr>
          <w:p w14:paraId="43B61E9C">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3.8</w:t>
            </w:r>
          </w:p>
        </w:tc>
        <w:tc>
          <w:tcPr>
            <w:tcW w:w="307" w:type="pct"/>
            <w:vAlign w:val="center"/>
          </w:tcPr>
          <w:p w14:paraId="3CC10F34">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0.038</w:t>
            </w:r>
          </w:p>
        </w:tc>
        <w:tc>
          <w:tcPr>
            <w:tcW w:w="403" w:type="pct"/>
            <w:vAlign w:val="center"/>
          </w:tcPr>
          <w:p w14:paraId="55711123">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0.304</w:t>
            </w:r>
          </w:p>
        </w:tc>
        <w:tc>
          <w:tcPr>
            <w:tcW w:w="287" w:type="pct"/>
            <w:vMerge w:val="restart"/>
            <w:vAlign w:val="center"/>
          </w:tcPr>
          <w:p w14:paraId="6DAB3DFC">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287" w:type="pct"/>
            <w:vMerge w:val="restart"/>
            <w:vAlign w:val="center"/>
          </w:tcPr>
          <w:p w14:paraId="5D75D751">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88" w:type="pct"/>
            <w:vMerge w:val="restart"/>
            <w:vAlign w:val="center"/>
          </w:tcPr>
          <w:p w14:paraId="0CD2387D">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r>
      <w:tr w14:paraId="6838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7" w:type="pct"/>
            <w:vMerge w:val="continue"/>
            <w:vAlign w:val="center"/>
          </w:tcPr>
          <w:p w14:paraId="2BB5AB40">
            <w:pPr>
              <w:jc w:val="center"/>
              <w:rPr>
                <w:rFonts w:ascii="Times New Roman" w:hAnsi="Times New Roman" w:cs="Times New Roman"/>
                <w:color w:val="000000"/>
                <w:sz w:val="18"/>
                <w:szCs w:val="18"/>
              </w:rPr>
            </w:pPr>
          </w:p>
        </w:tc>
        <w:tc>
          <w:tcPr>
            <w:tcW w:w="287" w:type="pct"/>
            <w:vMerge w:val="continue"/>
            <w:vAlign w:val="center"/>
          </w:tcPr>
          <w:p w14:paraId="73778C31">
            <w:pPr>
              <w:jc w:val="center"/>
              <w:rPr>
                <w:rFonts w:hint="eastAsia"/>
                <w:color w:val="000000"/>
                <w:sz w:val="18"/>
                <w:szCs w:val="18"/>
              </w:rPr>
            </w:pPr>
          </w:p>
        </w:tc>
        <w:tc>
          <w:tcPr>
            <w:tcW w:w="287" w:type="pct"/>
            <w:vMerge w:val="continue"/>
            <w:vAlign w:val="center"/>
          </w:tcPr>
          <w:p w14:paraId="4C4A1AC0">
            <w:pPr>
              <w:jc w:val="center"/>
              <w:textAlignment w:val="center"/>
              <w:rPr>
                <w:rFonts w:hint="eastAsia"/>
                <w:color w:val="000000"/>
                <w:sz w:val="18"/>
                <w:szCs w:val="18"/>
              </w:rPr>
            </w:pPr>
          </w:p>
        </w:tc>
        <w:tc>
          <w:tcPr>
            <w:tcW w:w="287" w:type="pct"/>
            <w:vAlign w:val="center"/>
          </w:tcPr>
          <w:p w14:paraId="51F127C4">
            <w:pPr>
              <w:jc w:val="center"/>
              <w:textAlignment w:val="center"/>
              <w:rPr>
                <w:rFonts w:hint="eastAsia"/>
                <w:color w:val="000000"/>
                <w:sz w:val="18"/>
                <w:szCs w:val="18"/>
              </w:rPr>
            </w:pPr>
            <w:r>
              <w:rPr>
                <w:rFonts w:hint="eastAsia"/>
                <w:color w:val="000000"/>
                <w:sz w:val="18"/>
                <w:szCs w:val="18"/>
              </w:rPr>
              <w:t>氨</w:t>
            </w:r>
          </w:p>
        </w:tc>
        <w:tc>
          <w:tcPr>
            <w:tcW w:w="368" w:type="pct"/>
            <w:vAlign w:val="center"/>
          </w:tcPr>
          <w:p w14:paraId="2B8F7940">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359" w:type="pct"/>
            <w:vAlign w:val="center"/>
          </w:tcPr>
          <w:p w14:paraId="3A2B4712">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0.14</w:t>
            </w:r>
          </w:p>
        </w:tc>
        <w:tc>
          <w:tcPr>
            <w:tcW w:w="334" w:type="pct"/>
            <w:vAlign w:val="center"/>
          </w:tcPr>
          <w:p w14:paraId="29524792">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1.12</w:t>
            </w:r>
          </w:p>
        </w:tc>
        <w:tc>
          <w:tcPr>
            <w:tcW w:w="331" w:type="pct"/>
            <w:vMerge w:val="continue"/>
            <w:vAlign w:val="center"/>
          </w:tcPr>
          <w:p w14:paraId="54907132">
            <w:pPr>
              <w:jc w:val="center"/>
              <w:rPr>
                <w:rFonts w:hint="eastAsia"/>
                <w:color w:val="000000"/>
                <w:sz w:val="18"/>
                <w:szCs w:val="18"/>
              </w:rPr>
            </w:pPr>
          </w:p>
        </w:tc>
        <w:tc>
          <w:tcPr>
            <w:tcW w:w="287" w:type="pct"/>
            <w:vAlign w:val="center"/>
          </w:tcPr>
          <w:p w14:paraId="44537E1B">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287" w:type="pct"/>
            <w:vAlign w:val="center"/>
          </w:tcPr>
          <w:p w14:paraId="52199DB6">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307" w:type="pct"/>
            <w:vAlign w:val="center"/>
          </w:tcPr>
          <w:p w14:paraId="3BC42908">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307" w:type="pct"/>
            <w:vAlign w:val="center"/>
          </w:tcPr>
          <w:p w14:paraId="6F66F08B">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0.014</w:t>
            </w:r>
          </w:p>
        </w:tc>
        <w:tc>
          <w:tcPr>
            <w:tcW w:w="403" w:type="pct"/>
            <w:vAlign w:val="center"/>
          </w:tcPr>
          <w:p w14:paraId="5B270020">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0.112</w:t>
            </w:r>
          </w:p>
        </w:tc>
        <w:tc>
          <w:tcPr>
            <w:tcW w:w="287" w:type="pct"/>
            <w:vMerge w:val="continue"/>
            <w:vAlign w:val="center"/>
          </w:tcPr>
          <w:p w14:paraId="023CC0BE">
            <w:pPr>
              <w:jc w:val="center"/>
              <w:rPr>
                <w:rFonts w:ascii="Times New Roman" w:hAnsi="Times New Roman" w:cs="Times New Roman"/>
                <w:color w:val="000000"/>
                <w:sz w:val="18"/>
                <w:szCs w:val="18"/>
              </w:rPr>
            </w:pPr>
          </w:p>
        </w:tc>
        <w:tc>
          <w:tcPr>
            <w:tcW w:w="287" w:type="pct"/>
            <w:vMerge w:val="continue"/>
            <w:vAlign w:val="center"/>
          </w:tcPr>
          <w:p w14:paraId="6FBAE8D3">
            <w:pPr>
              <w:jc w:val="center"/>
              <w:rPr>
                <w:rFonts w:ascii="Times New Roman" w:hAnsi="Times New Roman" w:cs="Times New Roman"/>
                <w:color w:val="000000"/>
                <w:sz w:val="18"/>
                <w:szCs w:val="18"/>
              </w:rPr>
            </w:pPr>
          </w:p>
        </w:tc>
        <w:tc>
          <w:tcPr>
            <w:tcW w:w="288" w:type="pct"/>
            <w:vMerge w:val="continue"/>
            <w:vAlign w:val="center"/>
          </w:tcPr>
          <w:p w14:paraId="7082E282">
            <w:pPr>
              <w:jc w:val="center"/>
              <w:rPr>
                <w:rFonts w:ascii="Times New Roman" w:hAnsi="Times New Roman" w:cs="Times New Roman"/>
                <w:color w:val="000000"/>
                <w:sz w:val="18"/>
                <w:szCs w:val="18"/>
              </w:rPr>
            </w:pPr>
          </w:p>
        </w:tc>
      </w:tr>
      <w:tr w14:paraId="2FE9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7" w:type="pct"/>
            <w:vAlign w:val="center"/>
          </w:tcPr>
          <w:p w14:paraId="5CEEF889">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G</w:t>
            </w:r>
            <w:r>
              <w:rPr>
                <w:rFonts w:ascii="Times New Roman" w:hAnsi="Times New Roman" w:cs="Times New Roman"/>
                <w:color w:val="000000"/>
                <w:sz w:val="18"/>
                <w:szCs w:val="18"/>
                <w:vertAlign w:val="subscript"/>
              </w:rPr>
              <w:t>6-2</w:t>
            </w:r>
          </w:p>
        </w:tc>
        <w:tc>
          <w:tcPr>
            <w:tcW w:w="287" w:type="pct"/>
            <w:vAlign w:val="center"/>
          </w:tcPr>
          <w:p w14:paraId="56C1866C">
            <w:pPr>
              <w:jc w:val="center"/>
              <w:textAlignment w:val="center"/>
              <w:rPr>
                <w:rFonts w:hint="eastAsia"/>
                <w:color w:val="000000"/>
                <w:sz w:val="18"/>
                <w:szCs w:val="18"/>
              </w:rPr>
            </w:pPr>
            <w:r>
              <w:rPr>
                <w:rFonts w:hint="eastAsia"/>
                <w:color w:val="000000"/>
                <w:sz w:val="18"/>
                <w:szCs w:val="18"/>
              </w:rPr>
              <w:t>草酰胺装置无组织排放</w:t>
            </w:r>
          </w:p>
        </w:tc>
        <w:tc>
          <w:tcPr>
            <w:tcW w:w="287" w:type="pct"/>
            <w:vAlign w:val="center"/>
          </w:tcPr>
          <w:p w14:paraId="594EB13A">
            <w:pPr>
              <w:jc w:val="center"/>
              <w:textAlignment w:val="center"/>
              <w:rPr>
                <w:rFonts w:hint="eastAsia"/>
                <w:color w:val="000000"/>
                <w:sz w:val="18"/>
                <w:szCs w:val="18"/>
              </w:rPr>
            </w:pPr>
            <w:r>
              <w:rPr>
                <w:rFonts w:hint="eastAsia"/>
                <w:color w:val="000000"/>
                <w:sz w:val="18"/>
                <w:szCs w:val="18"/>
              </w:rPr>
              <w:t>系数法</w:t>
            </w:r>
          </w:p>
        </w:tc>
        <w:tc>
          <w:tcPr>
            <w:tcW w:w="287" w:type="pct"/>
            <w:noWrap/>
            <w:vAlign w:val="center"/>
          </w:tcPr>
          <w:p w14:paraId="3AF1EFAA">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NMHC</w:t>
            </w:r>
          </w:p>
        </w:tc>
        <w:tc>
          <w:tcPr>
            <w:tcW w:w="368" w:type="pct"/>
            <w:vAlign w:val="center"/>
          </w:tcPr>
          <w:p w14:paraId="6E840E51">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9" w:type="pct"/>
            <w:vAlign w:val="center"/>
          </w:tcPr>
          <w:p w14:paraId="5B263727">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Pr>
                <w:rFonts w:hint="eastAsia" w:ascii="Times New Roman" w:hAnsi="Times New Roman" w:cs="Times New Roman"/>
                <w:color w:val="000000"/>
                <w:sz w:val="18"/>
                <w:szCs w:val="18"/>
              </w:rPr>
              <w:t>54</w:t>
            </w:r>
          </w:p>
        </w:tc>
        <w:tc>
          <w:tcPr>
            <w:tcW w:w="334" w:type="pct"/>
            <w:vAlign w:val="center"/>
          </w:tcPr>
          <w:p w14:paraId="641ECB93">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4.29</w:t>
            </w:r>
          </w:p>
        </w:tc>
        <w:tc>
          <w:tcPr>
            <w:tcW w:w="331" w:type="pct"/>
            <w:vAlign w:val="center"/>
          </w:tcPr>
          <w:p w14:paraId="0C74C2A3">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7" w:type="pct"/>
            <w:vAlign w:val="center"/>
          </w:tcPr>
          <w:p w14:paraId="765BA0D5">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7" w:type="pct"/>
            <w:vAlign w:val="center"/>
          </w:tcPr>
          <w:p w14:paraId="3435FF5E">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07" w:type="pct"/>
            <w:vAlign w:val="center"/>
          </w:tcPr>
          <w:p w14:paraId="169299E2">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07" w:type="pct"/>
            <w:vAlign w:val="center"/>
          </w:tcPr>
          <w:p w14:paraId="112639B0">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Pr>
                <w:rFonts w:hint="eastAsia" w:ascii="Times New Roman" w:hAnsi="Times New Roman" w:cs="Times New Roman"/>
                <w:color w:val="000000"/>
                <w:sz w:val="18"/>
                <w:szCs w:val="18"/>
              </w:rPr>
              <w:t>54</w:t>
            </w:r>
          </w:p>
        </w:tc>
        <w:tc>
          <w:tcPr>
            <w:tcW w:w="403" w:type="pct"/>
            <w:vAlign w:val="center"/>
          </w:tcPr>
          <w:p w14:paraId="027FCC77">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4.29</w:t>
            </w:r>
          </w:p>
        </w:tc>
        <w:tc>
          <w:tcPr>
            <w:tcW w:w="287" w:type="pct"/>
            <w:vAlign w:val="center"/>
          </w:tcPr>
          <w:p w14:paraId="7BD39531">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7" w:type="pct"/>
            <w:vAlign w:val="center"/>
          </w:tcPr>
          <w:p w14:paraId="7F0F8032">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 w:type="pct"/>
            <w:vAlign w:val="center"/>
          </w:tcPr>
          <w:p w14:paraId="10B5F7A0">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bl>
    <w:p w14:paraId="2AE85064">
      <w:pPr>
        <w:pStyle w:val="626"/>
        <w:ind w:firstLine="0" w:firstLineChars="0"/>
      </w:pPr>
    </w:p>
    <w:p w14:paraId="2D60DB14">
      <w:pPr>
        <w:pStyle w:val="626"/>
        <w:ind w:firstLine="480"/>
      </w:pPr>
    </w:p>
    <w:p w14:paraId="77C1646E">
      <w:pPr>
        <w:pStyle w:val="626"/>
        <w:ind w:firstLine="480"/>
        <w:sectPr>
          <w:pgSz w:w="16838" w:h="11906" w:orient="landscape"/>
          <w:pgMar w:top="1800" w:right="1440" w:bottom="1800" w:left="1440" w:header="851" w:footer="850" w:gutter="0"/>
          <w:cols w:space="425" w:num="1"/>
          <w:docGrid w:type="lines" w:linePitch="326" w:charSpace="0"/>
        </w:sectPr>
      </w:pPr>
    </w:p>
    <w:p w14:paraId="5136CBD1">
      <w:pPr>
        <w:pStyle w:val="814"/>
        <w:rPr>
          <w:rFonts w:hint="eastAsia"/>
        </w:rPr>
      </w:pPr>
      <w:r>
        <w:rPr>
          <w:rFonts w:hint="eastAsia"/>
        </w:rPr>
        <w:t>废水</w:t>
      </w:r>
    </w:p>
    <w:p w14:paraId="3E35F482">
      <w:pPr>
        <w:pStyle w:val="626"/>
        <w:ind w:firstLine="480"/>
        <w:rPr>
          <w:rFonts w:ascii="Times New Roman" w:hAnsi="Times New Roman" w:eastAsia="宋体"/>
          <w:u w:color="000000"/>
        </w:rPr>
      </w:pPr>
      <w:r>
        <w:rPr>
          <w:rFonts w:hint="eastAsia" w:ascii="Times New Roman" w:hAnsi="Times New Roman" w:eastAsia="宋体" w:cs="Times New Roman"/>
        </w:rPr>
        <w:t>草酰胺</w:t>
      </w:r>
      <w:r>
        <w:rPr>
          <w:rFonts w:hint="eastAsia"/>
        </w:rPr>
        <w:t>装置</w:t>
      </w:r>
      <w:r>
        <w:rPr>
          <w:rFonts w:ascii="Times New Roman" w:hAnsi="Times New Roman" w:eastAsia="宋体"/>
          <w:u w:color="000000"/>
        </w:rPr>
        <w:t>废水产</w:t>
      </w:r>
      <w:r>
        <w:rPr>
          <w:rStyle w:val="282"/>
          <w:rFonts w:eastAsia="宋体"/>
        </w:rPr>
        <w:t>排情况见</w:t>
      </w:r>
      <w:r>
        <w:rPr>
          <w:rStyle w:val="282"/>
          <w:rFonts w:hint="eastAsia" w:ascii="宋体" w:hAnsi="宋体" w:eastAsia="宋体"/>
        </w:rPr>
        <w:t>表</w:t>
      </w:r>
      <w:r>
        <w:rPr>
          <w:rStyle w:val="282"/>
        </w:rPr>
        <w:t>3.2.</w:t>
      </w:r>
      <w:r>
        <w:rPr>
          <w:rStyle w:val="282"/>
          <w:rFonts w:hint="eastAsia" w:eastAsia="宋体"/>
        </w:rPr>
        <w:t>7-10；</w:t>
      </w:r>
    </w:p>
    <w:p w14:paraId="36F1E210">
      <w:pPr>
        <w:pStyle w:val="535"/>
        <w:rPr>
          <w:rFonts w:hint="eastAsia"/>
        </w:rPr>
      </w:pPr>
      <w:r>
        <w:rPr>
          <w:rFonts w:hint="eastAsia"/>
          <w:color w:val="auto"/>
        </w:rPr>
        <w:t>表</w:t>
      </w:r>
      <w:r>
        <w:rPr>
          <w:color w:val="auto"/>
        </w:rPr>
        <w:t>3.2.</w:t>
      </w:r>
      <w:r>
        <w:rPr>
          <w:rFonts w:hint="eastAsia"/>
          <w:color w:val="auto"/>
        </w:rPr>
        <w:t>7-10</w:t>
      </w:r>
      <w:r>
        <w:rPr>
          <w:rFonts w:hint="eastAsia" w:cs="黑体"/>
        </w:rPr>
        <w:t xml:space="preserve">    </w:t>
      </w:r>
      <w:r>
        <w:rPr>
          <w:rFonts w:hint="eastAsia" w:ascii="Times New Roman" w:hAnsi="Times New Roman" w:cs="Times New Roman"/>
        </w:rPr>
        <w:t>草酰胺</w:t>
      </w:r>
      <w:r>
        <w:rPr>
          <w:rFonts w:ascii="Times New Roman" w:hAnsi="Times New Roman" w:cs="Times New Roman"/>
        </w:rPr>
        <w:t>装置</w:t>
      </w:r>
      <w:r>
        <w:rPr>
          <w:rFonts w:hint="eastAsia"/>
        </w:rPr>
        <w:t>废水产排情况表</w:t>
      </w:r>
    </w:p>
    <w:tbl>
      <w:tblPr>
        <w:tblStyle w:val="6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0"/>
        <w:gridCol w:w="1000"/>
        <w:gridCol w:w="1041"/>
        <w:gridCol w:w="993"/>
        <w:gridCol w:w="993"/>
        <w:gridCol w:w="997"/>
        <w:gridCol w:w="877"/>
        <w:gridCol w:w="865"/>
      </w:tblGrid>
      <w:tr w14:paraId="6D35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787A5A8C">
            <w:pPr>
              <w:pStyle w:val="557"/>
            </w:pPr>
            <w:r>
              <w:t>编号</w:t>
            </w:r>
          </w:p>
        </w:tc>
        <w:tc>
          <w:tcPr>
            <w:tcW w:w="634" w:type="pct"/>
            <w:vMerge w:val="restart"/>
            <w:vAlign w:val="center"/>
          </w:tcPr>
          <w:p w14:paraId="08F0ABCB">
            <w:pPr>
              <w:pStyle w:val="557"/>
            </w:pPr>
            <w:r>
              <w:t>排放源</w:t>
            </w:r>
          </w:p>
        </w:tc>
        <w:tc>
          <w:tcPr>
            <w:tcW w:w="587" w:type="pct"/>
            <w:vMerge w:val="restart"/>
            <w:vAlign w:val="center"/>
          </w:tcPr>
          <w:p w14:paraId="13FB32D6">
            <w:pPr>
              <w:pStyle w:val="557"/>
            </w:pPr>
            <w:r>
              <w:t>污染物</w:t>
            </w:r>
          </w:p>
        </w:tc>
        <w:tc>
          <w:tcPr>
            <w:tcW w:w="611" w:type="pct"/>
            <w:vMerge w:val="restart"/>
            <w:vAlign w:val="center"/>
          </w:tcPr>
          <w:p w14:paraId="26D9F60A">
            <w:pPr>
              <w:pStyle w:val="557"/>
            </w:pPr>
            <w:r>
              <w:t>核算方法</w:t>
            </w:r>
          </w:p>
        </w:tc>
        <w:tc>
          <w:tcPr>
            <w:tcW w:w="583" w:type="pct"/>
            <w:vMerge w:val="restart"/>
            <w:vAlign w:val="center"/>
          </w:tcPr>
          <w:p w14:paraId="12C09D40">
            <w:pPr>
              <w:pStyle w:val="557"/>
            </w:pPr>
            <w:r>
              <w:t>废水量（kg/h）</w:t>
            </w:r>
          </w:p>
        </w:tc>
        <w:tc>
          <w:tcPr>
            <w:tcW w:w="1168" w:type="pct"/>
            <w:gridSpan w:val="2"/>
            <w:vAlign w:val="center"/>
          </w:tcPr>
          <w:p w14:paraId="025D5BE6">
            <w:pPr>
              <w:pStyle w:val="557"/>
            </w:pPr>
            <w:r>
              <w:t>污染物产生情况</w:t>
            </w:r>
          </w:p>
        </w:tc>
        <w:tc>
          <w:tcPr>
            <w:tcW w:w="515" w:type="pct"/>
            <w:vMerge w:val="restart"/>
            <w:vAlign w:val="center"/>
          </w:tcPr>
          <w:p w14:paraId="529B2A25">
            <w:pPr>
              <w:pStyle w:val="557"/>
            </w:pPr>
            <w:r>
              <w:t>处置措施</w:t>
            </w:r>
          </w:p>
        </w:tc>
        <w:tc>
          <w:tcPr>
            <w:tcW w:w="507" w:type="pct"/>
            <w:vMerge w:val="restart"/>
            <w:vAlign w:val="center"/>
          </w:tcPr>
          <w:p w14:paraId="25ACB200">
            <w:pPr>
              <w:pStyle w:val="557"/>
            </w:pPr>
            <w:r>
              <w:t>排放时间（h）</w:t>
            </w:r>
          </w:p>
        </w:tc>
      </w:tr>
      <w:tr w14:paraId="4885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tcBorders>
              <w:bottom w:val="single" w:color="auto" w:sz="4" w:space="0"/>
            </w:tcBorders>
            <w:vAlign w:val="center"/>
          </w:tcPr>
          <w:p w14:paraId="3563AB11">
            <w:pPr>
              <w:pStyle w:val="557"/>
            </w:pPr>
          </w:p>
        </w:tc>
        <w:tc>
          <w:tcPr>
            <w:tcW w:w="634" w:type="pct"/>
            <w:vMerge w:val="continue"/>
            <w:tcBorders>
              <w:bottom w:val="single" w:color="auto" w:sz="4" w:space="0"/>
            </w:tcBorders>
            <w:vAlign w:val="center"/>
          </w:tcPr>
          <w:p w14:paraId="4BA68983">
            <w:pPr>
              <w:pStyle w:val="557"/>
            </w:pPr>
          </w:p>
        </w:tc>
        <w:tc>
          <w:tcPr>
            <w:tcW w:w="587" w:type="pct"/>
            <w:vMerge w:val="continue"/>
            <w:tcBorders>
              <w:bottom w:val="single" w:color="auto" w:sz="4" w:space="0"/>
            </w:tcBorders>
            <w:vAlign w:val="center"/>
          </w:tcPr>
          <w:p w14:paraId="4EF6345D">
            <w:pPr>
              <w:pStyle w:val="557"/>
            </w:pPr>
          </w:p>
        </w:tc>
        <w:tc>
          <w:tcPr>
            <w:tcW w:w="611" w:type="pct"/>
            <w:vMerge w:val="continue"/>
            <w:tcBorders>
              <w:bottom w:val="single" w:color="auto" w:sz="4" w:space="0"/>
            </w:tcBorders>
            <w:vAlign w:val="center"/>
          </w:tcPr>
          <w:p w14:paraId="5643C274">
            <w:pPr>
              <w:pStyle w:val="557"/>
            </w:pPr>
          </w:p>
        </w:tc>
        <w:tc>
          <w:tcPr>
            <w:tcW w:w="583" w:type="pct"/>
            <w:vMerge w:val="continue"/>
            <w:tcBorders>
              <w:bottom w:val="single" w:color="auto" w:sz="4" w:space="0"/>
            </w:tcBorders>
            <w:vAlign w:val="center"/>
          </w:tcPr>
          <w:p w14:paraId="0087C0D9">
            <w:pPr>
              <w:pStyle w:val="557"/>
            </w:pPr>
          </w:p>
        </w:tc>
        <w:tc>
          <w:tcPr>
            <w:tcW w:w="583" w:type="pct"/>
            <w:tcBorders>
              <w:bottom w:val="single" w:color="auto" w:sz="4" w:space="0"/>
            </w:tcBorders>
            <w:vAlign w:val="center"/>
          </w:tcPr>
          <w:p w14:paraId="72FDFD1A">
            <w:pPr>
              <w:pStyle w:val="557"/>
            </w:pPr>
            <w:r>
              <w:t>产生浓度（mg/L）</w:t>
            </w:r>
          </w:p>
        </w:tc>
        <w:tc>
          <w:tcPr>
            <w:tcW w:w="584" w:type="pct"/>
            <w:tcBorders>
              <w:bottom w:val="single" w:color="auto" w:sz="4" w:space="0"/>
            </w:tcBorders>
            <w:vAlign w:val="center"/>
          </w:tcPr>
          <w:p w14:paraId="14E3B819">
            <w:pPr>
              <w:pStyle w:val="557"/>
            </w:pPr>
            <w:r>
              <w:t>产生量（kg/h）</w:t>
            </w:r>
          </w:p>
        </w:tc>
        <w:tc>
          <w:tcPr>
            <w:tcW w:w="515" w:type="pct"/>
            <w:vMerge w:val="continue"/>
            <w:tcBorders>
              <w:bottom w:val="single" w:color="auto" w:sz="4" w:space="0"/>
            </w:tcBorders>
            <w:vAlign w:val="center"/>
          </w:tcPr>
          <w:p w14:paraId="7F1A5A70">
            <w:pPr>
              <w:pStyle w:val="557"/>
            </w:pPr>
          </w:p>
        </w:tc>
        <w:tc>
          <w:tcPr>
            <w:tcW w:w="507" w:type="pct"/>
            <w:vMerge w:val="continue"/>
            <w:tcBorders>
              <w:bottom w:val="single" w:color="auto" w:sz="4" w:space="0"/>
            </w:tcBorders>
            <w:vAlign w:val="center"/>
          </w:tcPr>
          <w:p w14:paraId="310C8635">
            <w:pPr>
              <w:pStyle w:val="557"/>
            </w:pPr>
          </w:p>
        </w:tc>
      </w:tr>
      <w:tr w14:paraId="1B58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3F05931F">
            <w:pPr>
              <w:pStyle w:val="557"/>
            </w:pPr>
            <w:r>
              <w:t>W</w:t>
            </w:r>
            <w:r>
              <w:rPr>
                <w:vertAlign w:val="subscript"/>
              </w:rPr>
              <w:t>5-1</w:t>
            </w:r>
          </w:p>
        </w:tc>
        <w:tc>
          <w:tcPr>
            <w:tcW w:w="634" w:type="pct"/>
            <w:vMerge w:val="restart"/>
            <w:vAlign w:val="center"/>
          </w:tcPr>
          <w:p w14:paraId="53E9E474">
            <w:pPr>
              <w:pStyle w:val="557"/>
            </w:pPr>
            <w:r>
              <w:rPr>
                <w:rFonts w:hint="eastAsia"/>
              </w:rPr>
              <w:t>尾气吸收塔底废水</w:t>
            </w:r>
          </w:p>
        </w:tc>
        <w:tc>
          <w:tcPr>
            <w:tcW w:w="587" w:type="pct"/>
            <w:vAlign w:val="center"/>
          </w:tcPr>
          <w:p w14:paraId="4EEE07F6">
            <w:pPr>
              <w:pStyle w:val="557"/>
            </w:pPr>
            <w:r>
              <w:t>COD</w:t>
            </w:r>
          </w:p>
        </w:tc>
        <w:tc>
          <w:tcPr>
            <w:tcW w:w="611" w:type="pct"/>
            <w:vMerge w:val="restart"/>
            <w:vAlign w:val="center"/>
          </w:tcPr>
          <w:p w14:paraId="1CB44FB2">
            <w:pPr>
              <w:pStyle w:val="557"/>
            </w:pPr>
            <w:r>
              <w:t>物料衡算法</w:t>
            </w:r>
          </w:p>
        </w:tc>
        <w:tc>
          <w:tcPr>
            <w:tcW w:w="583" w:type="pct"/>
            <w:vMerge w:val="restart"/>
            <w:vAlign w:val="center"/>
          </w:tcPr>
          <w:p w14:paraId="4C6225A6">
            <w:pPr>
              <w:pStyle w:val="557"/>
            </w:pPr>
            <w:r>
              <w:rPr>
                <w:rFonts w:hint="eastAsia"/>
              </w:rPr>
              <w:t>5110</w:t>
            </w:r>
          </w:p>
        </w:tc>
        <w:tc>
          <w:tcPr>
            <w:tcW w:w="583" w:type="pct"/>
            <w:vAlign w:val="center"/>
          </w:tcPr>
          <w:p w14:paraId="6C4B1DCE">
            <w:pPr>
              <w:pStyle w:val="557"/>
            </w:pPr>
            <w:r>
              <w:rPr>
                <w:rFonts w:hint="eastAsia"/>
              </w:rPr>
              <w:t>400</w:t>
            </w:r>
          </w:p>
        </w:tc>
        <w:tc>
          <w:tcPr>
            <w:tcW w:w="584" w:type="pct"/>
            <w:vAlign w:val="center"/>
          </w:tcPr>
          <w:p w14:paraId="18C35323">
            <w:pPr>
              <w:pStyle w:val="557"/>
            </w:pPr>
            <w:r>
              <w:rPr>
                <w:rFonts w:hint="eastAsia"/>
              </w:rPr>
              <w:t>2.04</w:t>
            </w:r>
          </w:p>
        </w:tc>
        <w:tc>
          <w:tcPr>
            <w:tcW w:w="515" w:type="pct"/>
            <w:vMerge w:val="restart"/>
            <w:vAlign w:val="center"/>
          </w:tcPr>
          <w:p w14:paraId="18591D64">
            <w:pPr>
              <w:pStyle w:val="557"/>
            </w:pPr>
            <w:r>
              <w:rPr>
                <w:rFonts w:hint="eastAsia"/>
              </w:rPr>
              <w:t>厂内污水处理站</w:t>
            </w:r>
          </w:p>
        </w:tc>
        <w:tc>
          <w:tcPr>
            <w:tcW w:w="507" w:type="pct"/>
            <w:vMerge w:val="restart"/>
            <w:vAlign w:val="center"/>
          </w:tcPr>
          <w:p w14:paraId="2DC9373B">
            <w:pPr>
              <w:pStyle w:val="557"/>
            </w:pPr>
            <w:r>
              <w:t>8000</w:t>
            </w:r>
          </w:p>
        </w:tc>
      </w:tr>
      <w:tr w14:paraId="4AD6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33AD8CEA">
            <w:pPr>
              <w:pStyle w:val="557"/>
            </w:pPr>
          </w:p>
        </w:tc>
        <w:tc>
          <w:tcPr>
            <w:tcW w:w="634" w:type="pct"/>
            <w:vMerge w:val="continue"/>
            <w:vAlign w:val="center"/>
          </w:tcPr>
          <w:p w14:paraId="2403B35E">
            <w:pPr>
              <w:pStyle w:val="557"/>
            </w:pPr>
          </w:p>
        </w:tc>
        <w:tc>
          <w:tcPr>
            <w:tcW w:w="587" w:type="pct"/>
            <w:vAlign w:val="center"/>
          </w:tcPr>
          <w:p w14:paraId="3D04E621">
            <w:pPr>
              <w:pStyle w:val="557"/>
            </w:pPr>
            <w:r>
              <w:rPr>
                <w:rFonts w:hint="eastAsia"/>
              </w:rPr>
              <w:t>氨氮</w:t>
            </w:r>
          </w:p>
        </w:tc>
        <w:tc>
          <w:tcPr>
            <w:tcW w:w="611" w:type="pct"/>
            <w:vMerge w:val="continue"/>
            <w:vAlign w:val="center"/>
          </w:tcPr>
          <w:p w14:paraId="7FFD56AD">
            <w:pPr>
              <w:pStyle w:val="557"/>
            </w:pPr>
          </w:p>
        </w:tc>
        <w:tc>
          <w:tcPr>
            <w:tcW w:w="583" w:type="pct"/>
            <w:vMerge w:val="continue"/>
            <w:vAlign w:val="center"/>
          </w:tcPr>
          <w:p w14:paraId="34F3311F">
            <w:pPr>
              <w:pStyle w:val="557"/>
            </w:pPr>
          </w:p>
        </w:tc>
        <w:tc>
          <w:tcPr>
            <w:tcW w:w="583" w:type="pct"/>
            <w:vAlign w:val="center"/>
          </w:tcPr>
          <w:p w14:paraId="70B038EB">
            <w:pPr>
              <w:pStyle w:val="557"/>
            </w:pPr>
            <w:r>
              <w:rPr>
                <w:rFonts w:hint="eastAsia"/>
              </w:rPr>
              <w:t>350</w:t>
            </w:r>
          </w:p>
        </w:tc>
        <w:tc>
          <w:tcPr>
            <w:tcW w:w="584" w:type="pct"/>
            <w:vAlign w:val="center"/>
          </w:tcPr>
          <w:p w14:paraId="3384743A">
            <w:pPr>
              <w:pStyle w:val="557"/>
            </w:pPr>
            <w:r>
              <w:rPr>
                <w:rFonts w:hint="eastAsia"/>
              </w:rPr>
              <w:t>1.79</w:t>
            </w:r>
          </w:p>
        </w:tc>
        <w:tc>
          <w:tcPr>
            <w:tcW w:w="515" w:type="pct"/>
            <w:vMerge w:val="continue"/>
            <w:vAlign w:val="center"/>
          </w:tcPr>
          <w:p w14:paraId="7B6B9B6D">
            <w:pPr>
              <w:pStyle w:val="557"/>
            </w:pPr>
          </w:p>
        </w:tc>
        <w:tc>
          <w:tcPr>
            <w:tcW w:w="507" w:type="pct"/>
            <w:vMerge w:val="continue"/>
            <w:vAlign w:val="center"/>
          </w:tcPr>
          <w:p w14:paraId="6A3693F0">
            <w:pPr>
              <w:pStyle w:val="557"/>
            </w:pPr>
          </w:p>
        </w:tc>
      </w:tr>
      <w:tr w14:paraId="36A1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Align w:val="center"/>
          </w:tcPr>
          <w:p w14:paraId="1C7CF92D">
            <w:pPr>
              <w:pStyle w:val="557"/>
            </w:pPr>
            <w:r>
              <w:t>W</w:t>
            </w:r>
            <w:r>
              <w:rPr>
                <w:vertAlign w:val="subscript"/>
              </w:rPr>
              <w:t>5-2</w:t>
            </w:r>
          </w:p>
        </w:tc>
        <w:tc>
          <w:tcPr>
            <w:tcW w:w="634" w:type="pct"/>
            <w:vAlign w:val="center"/>
          </w:tcPr>
          <w:p w14:paraId="016FF1C4">
            <w:pPr>
              <w:pStyle w:val="557"/>
            </w:pPr>
            <w:r>
              <w:rPr>
                <w:rFonts w:hint="eastAsia"/>
              </w:rPr>
              <w:t>蒸汽包废水</w:t>
            </w:r>
          </w:p>
        </w:tc>
        <w:tc>
          <w:tcPr>
            <w:tcW w:w="587" w:type="pct"/>
            <w:vAlign w:val="center"/>
          </w:tcPr>
          <w:p w14:paraId="3E9AAB71">
            <w:pPr>
              <w:pStyle w:val="557"/>
            </w:pPr>
            <w:r>
              <w:rPr>
                <w:rFonts w:hint="eastAsia"/>
              </w:rPr>
              <w:t>溶解性固体</w:t>
            </w:r>
          </w:p>
        </w:tc>
        <w:tc>
          <w:tcPr>
            <w:tcW w:w="611" w:type="pct"/>
            <w:vAlign w:val="center"/>
          </w:tcPr>
          <w:p w14:paraId="4EAFF394">
            <w:pPr>
              <w:pStyle w:val="557"/>
            </w:pPr>
            <w:r>
              <w:rPr>
                <w:rFonts w:hint="eastAsia"/>
              </w:rPr>
              <w:t>类比法</w:t>
            </w:r>
          </w:p>
        </w:tc>
        <w:tc>
          <w:tcPr>
            <w:tcW w:w="583" w:type="pct"/>
            <w:vAlign w:val="center"/>
          </w:tcPr>
          <w:p w14:paraId="4F205ECA">
            <w:pPr>
              <w:pStyle w:val="557"/>
            </w:pPr>
            <w:r>
              <w:rPr>
                <w:rFonts w:hint="eastAsia"/>
              </w:rPr>
              <w:t>300</w:t>
            </w:r>
          </w:p>
        </w:tc>
        <w:tc>
          <w:tcPr>
            <w:tcW w:w="583" w:type="pct"/>
            <w:vAlign w:val="center"/>
          </w:tcPr>
          <w:p w14:paraId="27E1460C">
            <w:pPr>
              <w:pStyle w:val="557"/>
            </w:pPr>
            <w:r>
              <w:rPr>
                <w:rFonts w:hint="eastAsia"/>
              </w:rPr>
              <w:t>4000</w:t>
            </w:r>
          </w:p>
        </w:tc>
        <w:tc>
          <w:tcPr>
            <w:tcW w:w="584" w:type="pct"/>
            <w:vAlign w:val="center"/>
          </w:tcPr>
          <w:p w14:paraId="08490BF6">
            <w:pPr>
              <w:pStyle w:val="557"/>
            </w:pPr>
            <w:r>
              <w:rPr>
                <w:rFonts w:hint="eastAsia"/>
              </w:rPr>
              <w:t>1.2</w:t>
            </w:r>
          </w:p>
        </w:tc>
        <w:tc>
          <w:tcPr>
            <w:tcW w:w="515" w:type="pct"/>
            <w:vAlign w:val="center"/>
          </w:tcPr>
          <w:p w14:paraId="755C886C">
            <w:pPr>
              <w:pStyle w:val="557"/>
            </w:pPr>
            <w:r>
              <w:t>厂内污水处理站</w:t>
            </w:r>
          </w:p>
        </w:tc>
        <w:tc>
          <w:tcPr>
            <w:tcW w:w="507" w:type="pct"/>
            <w:vAlign w:val="center"/>
          </w:tcPr>
          <w:p w14:paraId="79EA8FF1">
            <w:pPr>
              <w:pStyle w:val="557"/>
            </w:pPr>
            <w:r>
              <w:rPr>
                <w:rFonts w:hint="eastAsia"/>
              </w:rPr>
              <w:t>8000</w:t>
            </w:r>
          </w:p>
        </w:tc>
      </w:tr>
      <w:tr w14:paraId="4E8B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59E4A6B0">
            <w:pPr>
              <w:pStyle w:val="557"/>
            </w:pPr>
            <w:r>
              <w:t>W</w:t>
            </w:r>
            <w:r>
              <w:rPr>
                <w:vertAlign w:val="subscript"/>
              </w:rPr>
              <w:t>5-</w:t>
            </w:r>
            <w:r>
              <w:rPr>
                <w:rFonts w:hint="eastAsia"/>
                <w:vertAlign w:val="subscript"/>
              </w:rPr>
              <w:t>3</w:t>
            </w:r>
          </w:p>
        </w:tc>
        <w:tc>
          <w:tcPr>
            <w:tcW w:w="634" w:type="pct"/>
            <w:vMerge w:val="restart"/>
            <w:vAlign w:val="center"/>
          </w:tcPr>
          <w:p w14:paraId="33DBA646">
            <w:pPr>
              <w:pStyle w:val="557"/>
            </w:pPr>
            <w:r>
              <w:t>地面冲洗水</w:t>
            </w:r>
          </w:p>
        </w:tc>
        <w:tc>
          <w:tcPr>
            <w:tcW w:w="587" w:type="pct"/>
            <w:vAlign w:val="center"/>
          </w:tcPr>
          <w:p w14:paraId="0C869A55">
            <w:pPr>
              <w:pStyle w:val="557"/>
            </w:pPr>
            <w:r>
              <w:t>COD</w:t>
            </w:r>
          </w:p>
        </w:tc>
        <w:tc>
          <w:tcPr>
            <w:tcW w:w="611" w:type="pct"/>
            <w:vMerge w:val="restart"/>
            <w:vAlign w:val="center"/>
          </w:tcPr>
          <w:p w14:paraId="22DB6C9F">
            <w:pPr>
              <w:pStyle w:val="557"/>
            </w:pPr>
            <w:r>
              <w:t>类比法</w:t>
            </w:r>
          </w:p>
        </w:tc>
        <w:tc>
          <w:tcPr>
            <w:tcW w:w="583" w:type="pct"/>
            <w:vMerge w:val="restart"/>
            <w:vAlign w:val="center"/>
          </w:tcPr>
          <w:p w14:paraId="56E2DD03">
            <w:pPr>
              <w:pStyle w:val="557"/>
            </w:pPr>
            <w:r>
              <w:rPr>
                <w:rFonts w:hint="eastAsia"/>
              </w:rPr>
              <w:t>1000</w:t>
            </w:r>
          </w:p>
        </w:tc>
        <w:tc>
          <w:tcPr>
            <w:tcW w:w="583" w:type="pct"/>
            <w:vAlign w:val="center"/>
          </w:tcPr>
          <w:p w14:paraId="5845A058">
            <w:pPr>
              <w:pStyle w:val="557"/>
            </w:pPr>
            <w:r>
              <w:t>100</w:t>
            </w:r>
          </w:p>
        </w:tc>
        <w:tc>
          <w:tcPr>
            <w:tcW w:w="584" w:type="pct"/>
            <w:vAlign w:val="center"/>
          </w:tcPr>
          <w:p w14:paraId="02252B29">
            <w:pPr>
              <w:pStyle w:val="557"/>
            </w:pPr>
            <w:r>
              <w:rPr>
                <w:rFonts w:hint="eastAsia"/>
              </w:rPr>
              <w:t>0.1</w:t>
            </w:r>
          </w:p>
        </w:tc>
        <w:tc>
          <w:tcPr>
            <w:tcW w:w="515" w:type="pct"/>
            <w:vMerge w:val="restart"/>
            <w:vAlign w:val="center"/>
          </w:tcPr>
          <w:p w14:paraId="66F5798B">
            <w:pPr>
              <w:pStyle w:val="557"/>
            </w:pPr>
            <w:r>
              <w:t>厂内污水处理站</w:t>
            </w:r>
          </w:p>
        </w:tc>
        <w:tc>
          <w:tcPr>
            <w:tcW w:w="507" w:type="pct"/>
            <w:vMerge w:val="restart"/>
            <w:vAlign w:val="center"/>
          </w:tcPr>
          <w:p w14:paraId="7244A56F">
            <w:pPr>
              <w:pStyle w:val="557"/>
            </w:pPr>
            <w:r>
              <w:t>间歇</w:t>
            </w:r>
          </w:p>
        </w:tc>
      </w:tr>
      <w:tr w14:paraId="70DC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589F56B5">
            <w:pPr>
              <w:pStyle w:val="557"/>
            </w:pPr>
          </w:p>
        </w:tc>
        <w:tc>
          <w:tcPr>
            <w:tcW w:w="634" w:type="pct"/>
            <w:vMerge w:val="continue"/>
            <w:vAlign w:val="center"/>
          </w:tcPr>
          <w:p w14:paraId="73CE3E42">
            <w:pPr>
              <w:pStyle w:val="557"/>
            </w:pPr>
          </w:p>
        </w:tc>
        <w:tc>
          <w:tcPr>
            <w:tcW w:w="587" w:type="pct"/>
            <w:vAlign w:val="center"/>
          </w:tcPr>
          <w:p w14:paraId="4A376861">
            <w:pPr>
              <w:pStyle w:val="557"/>
            </w:pPr>
            <w:r>
              <w:t>SS</w:t>
            </w:r>
          </w:p>
        </w:tc>
        <w:tc>
          <w:tcPr>
            <w:tcW w:w="611" w:type="pct"/>
            <w:vMerge w:val="continue"/>
            <w:vAlign w:val="center"/>
          </w:tcPr>
          <w:p w14:paraId="4AAC3B90">
            <w:pPr>
              <w:pStyle w:val="557"/>
            </w:pPr>
          </w:p>
        </w:tc>
        <w:tc>
          <w:tcPr>
            <w:tcW w:w="583" w:type="pct"/>
            <w:vMerge w:val="continue"/>
            <w:vAlign w:val="center"/>
          </w:tcPr>
          <w:p w14:paraId="4C75D37C">
            <w:pPr>
              <w:pStyle w:val="557"/>
            </w:pPr>
          </w:p>
        </w:tc>
        <w:tc>
          <w:tcPr>
            <w:tcW w:w="583" w:type="pct"/>
            <w:vAlign w:val="center"/>
          </w:tcPr>
          <w:p w14:paraId="5F3F2385">
            <w:pPr>
              <w:pStyle w:val="557"/>
            </w:pPr>
            <w:r>
              <w:t>200</w:t>
            </w:r>
          </w:p>
        </w:tc>
        <w:tc>
          <w:tcPr>
            <w:tcW w:w="584" w:type="pct"/>
            <w:vAlign w:val="center"/>
          </w:tcPr>
          <w:p w14:paraId="14429F9A">
            <w:pPr>
              <w:pStyle w:val="557"/>
            </w:pPr>
            <w:r>
              <w:rPr>
                <w:rFonts w:hint="eastAsia"/>
              </w:rPr>
              <w:t>0.2</w:t>
            </w:r>
          </w:p>
        </w:tc>
        <w:tc>
          <w:tcPr>
            <w:tcW w:w="515" w:type="pct"/>
            <w:vMerge w:val="continue"/>
            <w:vAlign w:val="center"/>
          </w:tcPr>
          <w:p w14:paraId="5AF19B34">
            <w:pPr>
              <w:pStyle w:val="557"/>
            </w:pPr>
          </w:p>
        </w:tc>
        <w:tc>
          <w:tcPr>
            <w:tcW w:w="507" w:type="pct"/>
            <w:vMerge w:val="continue"/>
            <w:vAlign w:val="center"/>
          </w:tcPr>
          <w:p w14:paraId="01DC05F1">
            <w:pPr>
              <w:pStyle w:val="557"/>
            </w:pPr>
          </w:p>
        </w:tc>
      </w:tr>
      <w:tr w14:paraId="267A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5AD37D21">
            <w:pPr>
              <w:pStyle w:val="557"/>
            </w:pPr>
          </w:p>
        </w:tc>
        <w:tc>
          <w:tcPr>
            <w:tcW w:w="634" w:type="pct"/>
            <w:vMerge w:val="continue"/>
            <w:vAlign w:val="center"/>
          </w:tcPr>
          <w:p w14:paraId="7E744E99">
            <w:pPr>
              <w:pStyle w:val="557"/>
            </w:pPr>
          </w:p>
        </w:tc>
        <w:tc>
          <w:tcPr>
            <w:tcW w:w="587" w:type="pct"/>
            <w:vAlign w:val="center"/>
          </w:tcPr>
          <w:p w14:paraId="4EF84E33">
            <w:pPr>
              <w:pStyle w:val="557"/>
            </w:pPr>
            <w:r>
              <w:t>氨氮</w:t>
            </w:r>
          </w:p>
        </w:tc>
        <w:tc>
          <w:tcPr>
            <w:tcW w:w="611" w:type="pct"/>
            <w:vMerge w:val="continue"/>
            <w:vAlign w:val="center"/>
          </w:tcPr>
          <w:p w14:paraId="26DCD5DE">
            <w:pPr>
              <w:pStyle w:val="557"/>
            </w:pPr>
          </w:p>
        </w:tc>
        <w:tc>
          <w:tcPr>
            <w:tcW w:w="583" w:type="pct"/>
            <w:vMerge w:val="continue"/>
            <w:vAlign w:val="center"/>
          </w:tcPr>
          <w:p w14:paraId="0105693D">
            <w:pPr>
              <w:pStyle w:val="557"/>
            </w:pPr>
          </w:p>
        </w:tc>
        <w:tc>
          <w:tcPr>
            <w:tcW w:w="583" w:type="pct"/>
            <w:vAlign w:val="center"/>
          </w:tcPr>
          <w:p w14:paraId="47A2F67E">
            <w:pPr>
              <w:pStyle w:val="557"/>
            </w:pPr>
            <w:r>
              <w:t>30</w:t>
            </w:r>
          </w:p>
        </w:tc>
        <w:tc>
          <w:tcPr>
            <w:tcW w:w="584" w:type="pct"/>
            <w:vAlign w:val="center"/>
          </w:tcPr>
          <w:p w14:paraId="51D7157E">
            <w:pPr>
              <w:pStyle w:val="557"/>
            </w:pPr>
            <w:r>
              <w:rPr>
                <w:rFonts w:hint="eastAsia"/>
              </w:rPr>
              <w:t>0.03</w:t>
            </w:r>
          </w:p>
        </w:tc>
        <w:tc>
          <w:tcPr>
            <w:tcW w:w="515" w:type="pct"/>
            <w:vMerge w:val="continue"/>
            <w:vAlign w:val="center"/>
          </w:tcPr>
          <w:p w14:paraId="43606049">
            <w:pPr>
              <w:pStyle w:val="557"/>
            </w:pPr>
          </w:p>
        </w:tc>
        <w:tc>
          <w:tcPr>
            <w:tcW w:w="507" w:type="pct"/>
            <w:vMerge w:val="continue"/>
            <w:vAlign w:val="center"/>
          </w:tcPr>
          <w:p w14:paraId="635A9E5E">
            <w:pPr>
              <w:pStyle w:val="557"/>
            </w:pPr>
          </w:p>
        </w:tc>
      </w:tr>
    </w:tbl>
    <w:p w14:paraId="426C0C9A">
      <w:pPr>
        <w:pStyle w:val="814"/>
        <w:rPr>
          <w:rFonts w:hint="eastAsia"/>
        </w:rPr>
      </w:pPr>
      <w:bookmarkStart w:id="178" w:name="_Hlk150648177"/>
      <w:r>
        <w:rPr>
          <w:rFonts w:hint="eastAsia"/>
        </w:rPr>
        <w:t>噪声</w:t>
      </w:r>
    </w:p>
    <w:p w14:paraId="462C4EF4">
      <w:pPr>
        <w:pStyle w:val="281"/>
        <w:ind w:firstLine="480"/>
      </w:pPr>
      <w:r>
        <w:rPr>
          <w:rFonts w:hint="eastAsia"/>
        </w:rPr>
        <w:t>草酰胺装置</w:t>
      </w:r>
      <w:r>
        <w:t>噪声源主要来自</w:t>
      </w:r>
      <w:r>
        <w:rPr>
          <w:rFonts w:hint="eastAsia"/>
        </w:rPr>
        <w:t>风机、机泵等，</w:t>
      </w:r>
      <w:r>
        <w:rPr>
          <w:rFonts w:hint="eastAsia"/>
          <w:u w:color="000000"/>
        </w:rPr>
        <w:t>各设备噪声源强参照《污染源源强核算技术指南 化肥工业》（HJ994-2018）附表B。</w:t>
      </w:r>
      <w:r>
        <w:rPr>
          <w:rFonts w:hint="eastAsia"/>
        </w:rPr>
        <w:t>草酰胺装置</w:t>
      </w:r>
      <w:r>
        <w:t>各类</w:t>
      </w:r>
      <w:r>
        <w:rPr>
          <w:rFonts w:hint="eastAsia"/>
        </w:rPr>
        <w:t>噪声源噪声产生及治理情况见表3.2.7-11</w:t>
      </w:r>
      <w:r>
        <w:t>。</w:t>
      </w:r>
    </w:p>
    <w:p w14:paraId="2CDDCCC5">
      <w:pPr>
        <w:pStyle w:val="540"/>
        <w:rPr>
          <w:rFonts w:hint="eastAsia"/>
          <w:color w:val="auto"/>
        </w:rPr>
      </w:pPr>
      <w:r>
        <w:rPr>
          <w:rFonts w:hint="eastAsia"/>
          <w:color w:val="auto"/>
        </w:rPr>
        <w:t>表3.2.7-11</w:t>
      </w:r>
      <w:r>
        <w:rPr>
          <w:color w:val="auto"/>
        </w:rPr>
        <w:t xml:space="preserve">    </w:t>
      </w:r>
      <w:r>
        <w:rPr>
          <w:rFonts w:hint="eastAsia"/>
        </w:rPr>
        <w:t>草酰胺装置</w:t>
      </w:r>
      <w:r>
        <w:rPr>
          <w:rFonts w:hint="eastAsia"/>
          <w:color w:val="auto"/>
        </w:rPr>
        <w:t>噪声产生及治理情况表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1114"/>
        <w:gridCol w:w="580"/>
        <w:gridCol w:w="693"/>
        <w:gridCol w:w="711"/>
        <w:gridCol w:w="709"/>
        <w:gridCol w:w="1701"/>
        <w:gridCol w:w="425"/>
        <w:gridCol w:w="709"/>
        <w:gridCol w:w="709"/>
        <w:gridCol w:w="608"/>
      </w:tblGrid>
      <w:tr w14:paraId="44A7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restart"/>
            <w:tcBorders>
              <w:top w:val="single" w:color="auto" w:sz="4" w:space="0"/>
              <w:left w:val="single" w:color="auto" w:sz="4" w:space="0"/>
              <w:right w:val="single" w:color="auto" w:sz="4" w:space="0"/>
            </w:tcBorders>
            <w:vAlign w:val="center"/>
          </w:tcPr>
          <w:p w14:paraId="54056B25">
            <w:pPr>
              <w:jc w:val="center"/>
              <w:rPr>
                <w:rFonts w:ascii="Times New Roman" w:hAnsi="Times New Roman" w:cs="Times New Roman"/>
                <w:sz w:val="18"/>
                <w:szCs w:val="18"/>
              </w:rPr>
            </w:pPr>
            <w:r>
              <w:rPr>
                <w:rFonts w:ascii="Times New Roman" w:hAnsi="Times New Roman" w:cs="Times New Roman"/>
                <w:sz w:val="18"/>
                <w:szCs w:val="18"/>
              </w:rPr>
              <w:t>编号</w:t>
            </w:r>
          </w:p>
        </w:tc>
        <w:tc>
          <w:tcPr>
            <w:tcW w:w="1114" w:type="dxa"/>
            <w:vMerge w:val="restart"/>
            <w:tcBorders>
              <w:top w:val="single" w:color="auto" w:sz="4" w:space="0"/>
              <w:left w:val="single" w:color="auto" w:sz="4" w:space="0"/>
              <w:right w:val="single" w:color="auto" w:sz="4" w:space="0"/>
            </w:tcBorders>
            <w:vAlign w:val="center"/>
          </w:tcPr>
          <w:p w14:paraId="6EEC5284">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80" w:type="dxa"/>
            <w:vMerge w:val="restart"/>
            <w:tcBorders>
              <w:top w:val="single" w:color="auto" w:sz="4" w:space="0"/>
              <w:left w:val="single" w:color="auto" w:sz="4" w:space="0"/>
              <w:right w:val="single" w:color="auto" w:sz="4" w:space="0"/>
            </w:tcBorders>
            <w:vAlign w:val="center"/>
          </w:tcPr>
          <w:p w14:paraId="7B267741">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693" w:type="dxa"/>
            <w:vMerge w:val="restart"/>
            <w:tcBorders>
              <w:top w:val="single" w:color="auto" w:sz="4" w:space="0"/>
              <w:left w:val="single" w:color="auto" w:sz="4" w:space="0"/>
              <w:right w:val="single" w:color="auto" w:sz="4" w:space="0"/>
            </w:tcBorders>
            <w:vAlign w:val="center"/>
          </w:tcPr>
          <w:p w14:paraId="0DB9E8A2">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420" w:type="dxa"/>
            <w:gridSpan w:val="2"/>
            <w:tcBorders>
              <w:top w:val="single" w:color="auto" w:sz="4" w:space="0"/>
              <w:left w:val="single" w:color="auto" w:sz="4" w:space="0"/>
              <w:bottom w:val="single" w:color="auto" w:sz="4" w:space="0"/>
              <w:right w:val="single" w:color="auto" w:sz="4" w:space="0"/>
            </w:tcBorders>
            <w:vAlign w:val="center"/>
          </w:tcPr>
          <w:p w14:paraId="301E579C">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126" w:type="dxa"/>
            <w:gridSpan w:val="2"/>
            <w:tcBorders>
              <w:top w:val="single" w:color="auto" w:sz="4" w:space="0"/>
              <w:left w:val="single" w:color="auto" w:sz="4" w:space="0"/>
              <w:right w:val="single" w:color="auto" w:sz="4" w:space="0"/>
            </w:tcBorders>
            <w:vAlign w:val="center"/>
          </w:tcPr>
          <w:p w14:paraId="1713BD76">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418" w:type="dxa"/>
            <w:gridSpan w:val="2"/>
            <w:tcBorders>
              <w:top w:val="single" w:color="auto" w:sz="4" w:space="0"/>
              <w:left w:val="single" w:color="auto" w:sz="4" w:space="0"/>
              <w:right w:val="single" w:color="auto" w:sz="4" w:space="0"/>
            </w:tcBorders>
            <w:vAlign w:val="center"/>
          </w:tcPr>
          <w:p w14:paraId="6B581DC6">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08" w:type="dxa"/>
            <w:vMerge w:val="restart"/>
            <w:tcBorders>
              <w:top w:val="single" w:color="auto" w:sz="4" w:space="0"/>
              <w:left w:val="single" w:color="auto" w:sz="4" w:space="0"/>
              <w:right w:val="single" w:color="auto" w:sz="4" w:space="0"/>
            </w:tcBorders>
            <w:vAlign w:val="center"/>
          </w:tcPr>
          <w:p w14:paraId="2E7B20D4">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0C07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continue"/>
            <w:tcBorders>
              <w:left w:val="single" w:color="auto" w:sz="4" w:space="0"/>
              <w:bottom w:val="single" w:color="auto" w:sz="4" w:space="0"/>
              <w:right w:val="single" w:color="auto" w:sz="4" w:space="0"/>
            </w:tcBorders>
            <w:vAlign w:val="center"/>
          </w:tcPr>
          <w:p w14:paraId="5C9F4633">
            <w:pPr>
              <w:jc w:val="center"/>
              <w:rPr>
                <w:rFonts w:ascii="Times New Roman" w:hAnsi="Times New Roman" w:cs="Times New Roman"/>
                <w:sz w:val="18"/>
                <w:szCs w:val="18"/>
              </w:rPr>
            </w:pPr>
          </w:p>
        </w:tc>
        <w:tc>
          <w:tcPr>
            <w:tcW w:w="1114" w:type="dxa"/>
            <w:vMerge w:val="continue"/>
            <w:tcBorders>
              <w:left w:val="single" w:color="auto" w:sz="4" w:space="0"/>
              <w:bottom w:val="single" w:color="auto" w:sz="4" w:space="0"/>
              <w:right w:val="single" w:color="auto" w:sz="4" w:space="0"/>
            </w:tcBorders>
            <w:vAlign w:val="center"/>
          </w:tcPr>
          <w:p w14:paraId="6554EE50">
            <w:pPr>
              <w:jc w:val="center"/>
              <w:rPr>
                <w:rFonts w:ascii="Times New Roman" w:hAnsi="Times New Roman" w:cs="Times New Roman"/>
                <w:sz w:val="18"/>
                <w:szCs w:val="18"/>
              </w:rPr>
            </w:pPr>
          </w:p>
        </w:tc>
        <w:tc>
          <w:tcPr>
            <w:tcW w:w="580" w:type="dxa"/>
            <w:vMerge w:val="continue"/>
            <w:tcBorders>
              <w:left w:val="single" w:color="auto" w:sz="4" w:space="0"/>
              <w:bottom w:val="single" w:color="auto" w:sz="4" w:space="0"/>
              <w:right w:val="single" w:color="auto" w:sz="4" w:space="0"/>
            </w:tcBorders>
            <w:vAlign w:val="center"/>
          </w:tcPr>
          <w:p w14:paraId="06476076">
            <w:pPr>
              <w:jc w:val="center"/>
              <w:rPr>
                <w:rFonts w:ascii="Times New Roman" w:hAnsi="Times New Roman" w:cs="Times New Roman"/>
                <w:sz w:val="18"/>
                <w:szCs w:val="18"/>
              </w:rPr>
            </w:pPr>
          </w:p>
        </w:tc>
        <w:tc>
          <w:tcPr>
            <w:tcW w:w="693" w:type="dxa"/>
            <w:vMerge w:val="continue"/>
            <w:tcBorders>
              <w:left w:val="single" w:color="auto" w:sz="4" w:space="0"/>
              <w:bottom w:val="single" w:color="auto" w:sz="4" w:space="0"/>
              <w:right w:val="single" w:color="auto" w:sz="4" w:space="0"/>
            </w:tcBorders>
            <w:vAlign w:val="center"/>
          </w:tcPr>
          <w:p w14:paraId="7B4C49D5">
            <w:pPr>
              <w:jc w:val="center"/>
              <w:rPr>
                <w:rFonts w:ascii="Times New Roman" w:hAnsi="Times New Roman" w:cs="Times New Roman"/>
                <w:sz w:val="18"/>
                <w:szCs w:val="18"/>
              </w:rPr>
            </w:pPr>
          </w:p>
        </w:tc>
        <w:tc>
          <w:tcPr>
            <w:tcW w:w="711" w:type="dxa"/>
            <w:tcBorders>
              <w:top w:val="single" w:color="auto" w:sz="4" w:space="0"/>
              <w:left w:val="single" w:color="auto" w:sz="4" w:space="0"/>
              <w:bottom w:val="single" w:color="auto" w:sz="4" w:space="0"/>
              <w:right w:val="single" w:color="auto" w:sz="4" w:space="0"/>
            </w:tcBorders>
            <w:vAlign w:val="center"/>
          </w:tcPr>
          <w:p w14:paraId="38B96EB5">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top w:val="single" w:color="auto" w:sz="4" w:space="0"/>
              <w:left w:val="single" w:color="auto" w:sz="4" w:space="0"/>
              <w:bottom w:val="single" w:color="auto" w:sz="4" w:space="0"/>
              <w:right w:val="single" w:color="auto" w:sz="4" w:space="0"/>
            </w:tcBorders>
            <w:vAlign w:val="center"/>
          </w:tcPr>
          <w:p w14:paraId="3CD8F92F">
            <w:pPr>
              <w:jc w:val="center"/>
              <w:rPr>
                <w:rFonts w:ascii="Times New Roman" w:hAnsi="Times New Roman" w:cs="Times New Roman"/>
                <w:sz w:val="18"/>
                <w:szCs w:val="18"/>
              </w:rPr>
            </w:pPr>
            <w:r>
              <w:rPr>
                <w:rFonts w:ascii="Times New Roman" w:hAnsi="Times New Roman" w:cs="Times New Roman"/>
                <w:sz w:val="18"/>
                <w:szCs w:val="18"/>
              </w:rPr>
              <w:t>声源表</w:t>
            </w:r>
          </w:p>
          <w:p w14:paraId="6ADC5B56">
            <w:pPr>
              <w:jc w:val="center"/>
              <w:rPr>
                <w:rFonts w:ascii="Times New Roman" w:hAnsi="Times New Roman" w:cs="Times New Roman"/>
                <w:sz w:val="18"/>
                <w:szCs w:val="18"/>
              </w:rPr>
            </w:pPr>
            <w:r>
              <w:rPr>
                <w:rFonts w:ascii="Times New Roman" w:hAnsi="Times New Roman" w:cs="Times New Roman"/>
                <w:sz w:val="18"/>
                <w:szCs w:val="18"/>
              </w:rPr>
              <w:t>达量</w:t>
            </w:r>
          </w:p>
          <w:p w14:paraId="22A8D539">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701" w:type="dxa"/>
            <w:tcBorders>
              <w:left w:val="single" w:color="auto" w:sz="4" w:space="0"/>
              <w:bottom w:val="single" w:color="auto" w:sz="4" w:space="0"/>
              <w:right w:val="single" w:color="auto" w:sz="4" w:space="0"/>
            </w:tcBorders>
            <w:vAlign w:val="center"/>
          </w:tcPr>
          <w:p w14:paraId="4208C399">
            <w:pPr>
              <w:jc w:val="center"/>
              <w:rPr>
                <w:rFonts w:ascii="Times New Roman" w:hAnsi="Times New Roman" w:cs="Times New Roman"/>
                <w:sz w:val="18"/>
                <w:szCs w:val="18"/>
              </w:rPr>
            </w:pPr>
            <w:r>
              <w:rPr>
                <w:rFonts w:ascii="Times New Roman" w:hAnsi="Times New Roman" w:cs="Times New Roman"/>
                <w:sz w:val="18"/>
                <w:szCs w:val="18"/>
              </w:rPr>
              <w:t>工艺</w:t>
            </w:r>
          </w:p>
        </w:tc>
        <w:tc>
          <w:tcPr>
            <w:tcW w:w="425" w:type="dxa"/>
            <w:tcBorders>
              <w:left w:val="single" w:color="auto" w:sz="4" w:space="0"/>
              <w:bottom w:val="single" w:color="auto" w:sz="4" w:space="0"/>
              <w:right w:val="single" w:color="auto" w:sz="4" w:space="0"/>
            </w:tcBorders>
            <w:vAlign w:val="center"/>
          </w:tcPr>
          <w:p w14:paraId="6544A0E4">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709" w:type="dxa"/>
            <w:tcBorders>
              <w:left w:val="single" w:color="auto" w:sz="4" w:space="0"/>
              <w:bottom w:val="single" w:color="auto" w:sz="4" w:space="0"/>
              <w:right w:val="single" w:color="auto" w:sz="4" w:space="0"/>
            </w:tcBorders>
            <w:vAlign w:val="center"/>
          </w:tcPr>
          <w:p w14:paraId="14DD42A4">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left w:val="single" w:color="auto" w:sz="4" w:space="0"/>
              <w:bottom w:val="single" w:color="auto" w:sz="4" w:space="0"/>
              <w:right w:val="single" w:color="auto" w:sz="4" w:space="0"/>
            </w:tcBorders>
            <w:vAlign w:val="center"/>
          </w:tcPr>
          <w:p w14:paraId="07525211">
            <w:pPr>
              <w:jc w:val="center"/>
              <w:rPr>
                <w:rFonts w:ascii="Times New Roman" w:hAnsi="Times New Roman" w:cs="Times New Roman"/>
                <w:sz w:val="18"/>
                <w:szCs w:val="18"/>
              </w:rPr>
            </w:pPr>
            <w:r>
              <w:rPr>
                <w:rFonts w:ascii="Times New Roman" w:hAnsi="Times New Roman" w:cs="Times New Roman"/>
                <w:sz w:val="18"/>
                <w:szCs w:val="18"/>
              </w:rPr>
              <w:t>声源表</w:t>
            </w:r>
          </w:p>
          <w:p w14:paraId="7C230A66">
            <w:pPr>
              <w:jc w:val="center"/>
              <w:rPr>
                <w:rFonts w:ascii="Times New Roman" w:hAnsi="Times New Roman" w:cs="Times New Roman"/>
                <w:sz w:val="18"/>
                <w:szCs w:val="18"/>
              </w:rPr>
            </w:pPr>
            <w:r>
              <w:rPr>
                <w:rFonts w:ascii="Times New Roman" w:hAnsi="Times New Roman" w:cs="Times New Roman"/>
                <w:sz w:val="18"/>
                <w:szCs w:val="18"/>
              </w:rPr>
              <w:t>达量</w:t>
            </w:r>
          </w:p>
          <w:p w14:paraId="6752DC0B">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608" w:type="dxa"/>
            <w:vMerge w:val="continue"/>
            <w:tcBorders>
              <w:left w:val="single" w:color="auto" w:sz="4" w:space="0"/>
              <w:bottom w:val="single" w:color="auto" w:sz="4" w:space="0"/>
              <w:right w:val="single" w:color="auto" w:sz="4" w:space="0"/>
            </w:tcBorders>
            <w:vAlign w:val="center"/>
          </w:tcPr>
          <w:p w14:paraId="70D08EE6">
            <w:pPr>
              <w:jc w:val="center"/>
              <w:rPr>
                <w:rFonts w:ascii="Times New Roman" w:hAnsi="Times New Roman" w:cs="Times New Roman"/>
                <w:sz w:val="18"/>
                <w:szCs w:val="18"/>
              </w:rPr>
            </w:pPr>
          </w:p>
        </w:tc>
      </w:tr>
      <w:tr w14:paraId="08DB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479CAE2">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6</w:t>
            </w:r>
            <w:r>
              <w:rPr>
                <w:rFonts w:ascii="Times New Roman" w:hAnsi="Times New Roman" w:cs="Times New Roman"/>
                <w:sz w:val="18"/>
                <w:szCs w:val="18"/>
                <w:vertAlign w:val="subscript"/>
              </w:rPr>
              <w:t>-1</w:t>
            </w:r>
          </w:p>
        </w:tc>
        <w:tc>
          <w:tcPr>
            <w:tcW w:w="1114" w:type="dxa"/>
            <w:tcBorders>
              <w:top w:val="single" w:color="auto" w:sz="4" w:space="0"/>
              <w:left w:val="single" w:color="auto" w:sz="4" w:space="0"/>
              <w:bottom w:val="single" w:color="auto" w:sz="4" w:space="0"/>
              <w:right w:val="single" w:color="auto" w:sz="4" w:space="0"/>
            </w:tcBorders>
            <w:vAlign w:val="center"/>
          </w:tcPr>
          <w:p w14:paraId="4F68E56A">
            <w:pPr>
              <w:jc w:val="center"/>
              <w:rPr>
                <w:rFonts w:ascii="Times New Roman" w:hAnsi="Times New Roman" w:cs="Times New Roman"/>
                <w:sz w:val="18"/>
                <w:szCs w:val="18"/>
              </w:rPr>
            </w:pPr>
            <w:r>
              <w:rPr>
                <w:rFonts w:ascii="Times New Roman" w:hAnsi="Times New Roman" w:cs="Times New Roman"/>
                <w:sz w:val="18"/>
                <w:szCs w:val="18"/>
              </w:rPr>
              <w:t>机泵</w:t>
            </w:r>
          </w:p>
        </w:tc>
        <w:tc>
          <w:tcPr>
            <w:tcW w:w="580" w:type="dxa"/>
            <w:tcBorders>
              <w:top w:val="single" w:color="auto" w:sz="4" w:space="0"/>
              <w:left w:val="single" w:color="auto" w:sz="4" w:space="0"/>
              <w:bottom w:val="single" w:color="auto" w:sz="4" w:space="0"/>
              <w:right w:val="single" w:color="auto" w:sz="4" w:space="0"/>
            </w:tcBorders>
            <w:vAlign w:val="center"/>
          </w:tcPr>
          <w:p w14:paraId="0635FEE2">
            <w:pPr>
              <w:jc w:val="center"/>
              <w:rPr>
                <w:rFonts w:ascii="Times New Roman" w:hAnsi="Times New Roman" w:cs="Times New Roman"/>
                <w:sz w:val="18"/>
                <w:szCs w:val="18"/>
              </w:rPr>
            </w:pPr>
            <w:r>
              <w:rPr>
                <w:rFonts w:hint="eastAsia" w:ascii="Times New Roman" w:hAnsi="Times New Roman" w:cs="Times New Roman"/>
                <w:sz w:val="18"/>
                <w:szCs w:val="18"/>
              </w:rPr>
              <w:t>44</w:t>
            </w:r>
          </w:p>
        </w:tc>
        <w:tc>
          <w:tcPr>
            <w:tcW w:w="693" w:type="dxa"/>
            <w:tcBorders>
              <w:top w:val="single" w:color="auto" w:sz="4" w:space="0"/>
              <w:left w:val="single" w:color="auto" w:sz="4" w:space="0"/>
              <w:bottom w:val="single" w:color="auto" w:sz="4" w:space="0"/>
              <w:right w:val="single" w:color="auto" w:sz="4" w:space="0"/>
            </w:tcBorders>
            <w:vAlign w:val="center"/>
          </w:tcPr>
          <w:p w14:paraId="607FE2BD">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252A672B">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66C4B5C9">
            <w:pPr>
              <w:jc w:val="center"/>
              <w:rPr>
                <w:rFonts w:ascii="Times New Roman" w:hAnsi="Times New Roman" w:cs="Times New Roman"/>
                <w:sz w:val="18"/>
                <w:szCs w:val="18"/>
              </w:rPr>
            </w:pPr>
            <w:r>
              <w:rPr>
                <w:rFonts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237EBFB4">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508D3481">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54242A14">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0A6F2CB7">
            <w:pPr>
              <w:jc w:val="center"/>
              <w:rPr>
                <w:rFonts w:ascii="Times New Roman" w:hAnsi="Times New Roman" w:cs="Times New Roman"/>
                <w:sz w:val="18"/>
                <w:szCs w:val="18"/>
              </w:rPr>
            </w:pPr>
            <w:r>
              <w:rPr>
                <w:rFonts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66132E16">
            <w:pPr>
              <w:jc w:val="center"/>
              <w:rPr>
                <w:rFonts w:ascii="Times New Roman" w:hAnsi="Times New Roman" w:cs="Times New Roman"/>
                <w:sz w:val="18"/>
                <w:szCs w:val="18"/>
              </w:rPr>
            </w:pPr>
            <w:r>
              <w:rPr>
                <w:rFonts w:ascii="Times New Roman" w:hAnsi="Times New Roman" w:cs="Times New Roman"/>
                <w:sz w:val="18"/>
                <w:szCs w:val="18"/>
              </w:rPr>
              <w:t>8000</w:t>
            </w:r>
          </w:p>
        </w:tc>
      </w:tr>
      <w:tr w14:paraId="78CB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9D47AC6">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6</w:t>
            </w:r>
            <w:r>
              <w:rPr>
                <w:rFonts w:ascii="Times New Roman" w:hAnsi="Times New Roman" w:cs="Times New Roman"/>
                <w:sz w:val="18"/>
                <w:szCs w:val="18"/>
                <w:vertAlign w:val="subscript"/>
              </w:rPr>
              <w:t>-2</w:t>
            </w:r>
          </w:p>
        </w:tc>
        <w:tc>
          <w:tcPr>
            <w:tcW w:w="1114" w:type="dxa"/>
            <w:tcBorders>
              <w:top w:val="single" w:color="auto" w:sz="4" w:space="0"/>
              <w:left w:val="single" w:color="auto" w:sz="4" w:space="0"/>
              <w:bottom w:val="single" w:color="auto" w:sz="4" w:space="0"/>
              <w:right w:val="single" w:color="auto" w:sz="4" w:space="0"/>
            </w:tcBorders>
            <w:vAlign w:val="center"/>
          </w:tcPr>
          <w:p w14:paraId="67770074">
            <w:pPr>
              <w:jc w:val="center"/>
              <w:rPr>
                <w:rFonts w:ascii="Times New Roman" w:hAnsi="Times New Roman" w:cs="Times New Roman"/>
                <w:sz w:val="18"/>
                <w:szCs w:val="18"/>
              </w:rPr>
            </w:pPr>
            <w:r>
              <w:rPr>
                <w:rFonts w:ascii="Times New Roman" w:hAnsi="Times New Roman" w:cs="Times New Roman"/>
                <w:sz w:val="18"/>
                <w:szCs w:val="18"/>
              </w:rPr>
              <w:t>搅拌器</w:t>
            </w:r>
          </w:p>
        </w:tc>
        <w:tc>
          <w:tcPr>
            <w:tcW w:w="580" w:type="dxa"/>
            <w:tcBorders>
              <w:top w:val="single" w:color="auto" w:sz="4" w:space="0"/>
              <w:left w:val="single" w:color="auto" w:sz="4" w:space="0"/>
              <w:bottom w:val="single" w:color="auto" w:sz="4" w:space="0"/>
              <w:right w:val="single" w:color="auto" w:sz="4" w:space="0"/>
            </w:tcBorders>
            <w:vAlign w:val="center"/>
          </w:tcPr>
          <w:p w14:paraId="5B594C2A">
            <w:pPr>
              <w:jc w:val="center"/>
              <w:rPr>
                <w:rFonts w:ascii="Times New Roman" w:hAnsi="Times New Roman" w:cs="Times New Roman"/>
                <w:sz w:val="18"/>
                <w:szCs w:val="18"/>
              </w:rPr>
            </w:pPr>
            <w:r>
              <w:rPr>
                <w:rFonts w:ascii="Times New Roman" w:hAnsi="Times New Roman" w:cs="Times New Roman"/>
                <w:sz w:val="18"/>
                <w:szCs w:val="18"/>
              </w:rPr>
              <w:t>9</w:t>
            </w:r>
          </w:p>
        </w:tc>
        <w:tc>
          <w:tcPr>
            <w:tcW w:w="693" w:type="dxa"/>
            <w:tcBorders>
              <w:top w:val="single" w:color="auto" w:sz="4" w:space="0"/>
              <w:left w:val="single" w:color="auto" w:sz="4" w:space="0"/>
              <w:bottom w:val="single" w:color="auto" w:sz="4" w:space="0"/>
              <w:right w:val="single" w:color="auto" w:sz="4" w:space="0"/>
            </w:tcBorders>
            <w:vAlign w:val="center"/>
          </w:tcPr>
          <w:p w14:paraId="0BCBC1ED">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22DB4C55">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520C2B4D">
            <w:pPr>
              <w:jc w:val="center"/>
              <w:rPr>
                <w:rFonts w:ascii="Times New Roman" w:hAnsi="Times New Roman" w:cs="Times New Roman"/>
                <w:sz w:val="18"/>
                <w:szCs w:val="18"/>
              </w:rPr>
            </w:pPr>
            <w:r>
              <w:rPr>
                <w:rFonts w:ascii="Times New Roman" w:hAnsi="Times New Roman" w:cs="Times New Roman"/>
                <w:sz w:val="18"/>
                <w:szCs w:val="18"/>
              </w:rPr>
              <w:t>70</w:t>
            </w:r>
          </w:p>
        </w:tc>
        <w:tc>
          <w:tcPr>
            <w:tcW w:w="1701" w:type="dxa"/>
            <w:tcBorders>
              <w:top w:val="single" w:color="auto" w:sz="4" w:space="0"/>
              <w:left w:val="single" w:color="auto" w:sz="4" w:space="0"/>
              <w:bottom w:val="single" w:color="auto" w:sz="4" w:space="0"/>
              <w:right w:val="single" w:color="auto" w:sz="4" w:space="0"/>
            </w:tcBorders>
            <w:vAlign w:val="center"/>
          </w:tcPr>
          <w:p w14:paraId="37E5FB52">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0CE7442C">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1F2EF51F">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677E7562">
            <w:pPr>
              <w:jc w:val="center"/>
              <w:rPr>
                <w:rFonts w:ascii="Times New Roman" w:hAnsi="Times New Roman" w:cs="Times New Roman"/>
                <w:sz w:val="18"/>
                <w:szCs w:val="18"/>
              </w:rPr>
            </w:pPr>
            <w:r>
              <w:rPr>
                <w:rFonts w:ascii="Times New Roman" w:hAnsi="Times New Roman" w:cs="Times New Roman"/>
                <w:sz w:val="18"/>
                <w:szCs w:val="18"/>
              </w:rPr>
              <w:t>50</w:t>
            </w:r>
          </w:p>
        </w:tc>
        <w:tc>
          <w:tcPr>
            <w:tcW w:w="608" w:type="dxa"/>
            <w:tcBorders>
              <w:top w:val="single" w:color="auto" w:sz="4" w:space="0"/>
              <w:left w:val="single" w:color="auto" w:sz="4" w:space="0"/>
              <w:bottom w:val="single" w:color="auto" w:sz="4" w:space="0"/>
              <w:right w:val="single" w:color="auto" w:sz="4" w:space="0"/>
            </w:tcBorders>
            <w:vAlign w:val="center"/>
          </w:tcPr>
          <w:p w14:paraId="796A299C">
            <w:pPr>
              <w:jc w:val="center"/>
              <w:rPr>
                <w:rFonts w:ascii="Times New Roman" w:hAnsi="Times New Roman" w:cs="Times New Roman"/>
                <w:sz w:val="18"/>
                <w:szCs w:val="18"/>
              </w:rPr>
            </w:pPr>
            <w:r>
              <w:rPr>
                <w:rFonts w:ascii="Times New Roman" w:hAnsi="Times New Roman" w:cs="Times New Roman"/>
                <w:sz w:val="18"/>
                <w:szCs w:val="18"/>
              </w:rPr>
              <w:t>8000</w:t>
            </w:r>
          </w:p>
        </w:tc>
      </w:tr>
      <w:tr w14:paraId="3B52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25873F44">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6</w:t>
            </w:r>
            <w:r>
              <w:rPr>
                <w:rFonts w:ascii="Times New Roman" w:hAnsi="Times New Roman" w:cs="Times New Roman"/>
                <w:sz w:val="18"/>
                <w:szCs w:val="18"/>
                <w:vertAlign w:val="subscript"/>
              </w:rPr>
              <w:t>-3</w:t>
            </w:r>
          </w:p>
        </w:tc>
        <w:tc>
          <w:tcPr>
            <w:tcW w:w="1114" w:type="dxa"/>
            <w:tcBorders>
              <w:top w:val="single" w:color="auto" w:sz="4" w:space="0"/>
              <w:left w:val="single" w:color="auto" w:sz="4" w:space="0"/>
              <w:bottom w:val="single" w:color="auto" w:sz="4" w:space="0"/>
              <w:right w:val="single" w:color="auto" w:sz="4" w:space="0"/>
            </w:tcBorders>
            <w:vAlign w:val="center"/>
          </w:tcPr>
          <w:p w14:paraId="5092CBF9">
            <w:pPr>
              <w:jc w:val="center"/>
              <w:rPr>
                <w:rFonts w:ascii="Times New Roman" w:hAnsi="Times New Roman" w:cs="Times New Roman"/>
                <w:sz w:val="18"/>
                <w:szCs w:val="18"/>
              </w:rPr>
            </w:pPr>
            <w:r>
              <w:rPr>
                <w:rFonts w:ascii="Times New Roman" w:hAnsi="Times New Roman" w:cs="Times New Roman"/>
                <w:sz w:val="18"/>
                <w:szCs w:val="18"/>
              </w:rPr>
              <w:t>包装机</w:t>
            </w:r>
          </w:p>
        </w:tc>
        <w:tc>
          <w:tcPr>
            <w:tcW w:w="580" w:type="dxa"/>
            <w:tcBorders>
              <w:top w:val="single" w:color="auto" w:sz="4" w:space="0"/>
              <w:left w:val="single" w:color="auto" w:sz="4" w:space="0"/>
              <w:bottom w:val="single" w:color="auto" w:sz="4" w:space="0"/>
              <w:right w:val="single" w:color="auto" w:sz="4" w:space="0"/>
            </w:tcBorders>
            <w:vAlign w:val="center"/>
          </w:tcPr>
          <w:p w14:paraId="2AA7F91C">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693" w:type="dxa"/>
            <w:tcBorders>
              <w:top w:val="single" w:color="auto" w:sz="4" w:space="0"/>
              <w:left w:val="single" w:color="auto" w:sz="4" w:space="0"/>
              <w:bottom w:val="single" w:color="auto" w:sz="4" w:space="0"/>
              <w:right w:val="single" w:color="auto" w:sz="4" w:space="0"/>
            </w:tcBorders>
            <w:vAlign w:val="center"/>
          </w:tcPr>
          <w:p w14:paraId="090C5EFF">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3AA51C7A">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left w:val="single" w:color="auto" w:sz="4" w:space="0"/>
              <w:right w:val="single" w:color="auto" w:sz="4" w:space="0"/>
            </w:tcBorders>
            <w:vAlign w:val="center"/>
          </w:tcPr>
          <w:p w14:paraId="6B4244DE">
            <w:pPr>
              <w:jc w:val="center"/>
              <w:rPr>
                <w:rFonts w:ascii="Times New Roman" w:hAnsi="Times New Roman" w:cs="Times New Roman"/>
                <w:sz w:val="18"/>
                <w:szCs w:val="18"/>
              </w:rPr>
            </w:pPr>
            <w:r>
              <w:rPr>
                <w:rFonts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6858DC9A">
            <w:pPr>
              <w:jc w:val="center"/>
              <w:rPr>
                <w:rFonts w:ascii="Times New Roman" w:hAnsi="Times New Roman" w:cs="Times New Roman"/>
                <w:sz w:val="18"/>
                <w:szCs w:val="18"/>
              </w:rPr>
            </w:pPr>
            <w:r>
              <w:rPr>
                <w:rFonts w:ascii="Times New Roman" w:hAnsi="Times New Roman" w:cs="Times New Roman"/>
                <w:sz w:val="18"/>
                <w:szCs w:val="18"/>
              </w:rPr>
              <w:t>厂房隔声、基础减振</w:t>
            </w:r>
          </w:p>
        </w:tc>
        <w:tc>
          <w:tcPr>
            <w:tcW w:w="425" w:type="dxa"/>
            <w:tcBorders>
              <w:left w:val="single" w:color="auto" w:sz="4" w:space="0"/>
              <w:right w:val="single" w:color="auto" w:sz="4" w:space="0"/>
            </w:tcBorders>
            <w:vAlign w:val="center"/>
          </w:tcPr>
          <w:p w14:paraId="3413E5C6">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7A62B0FF">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372D1F32">
            <w:pPr>
              <w:jc w:val="center"/>
              <w:rPr>
                <w:rFonts w:ascii="Times New Roman" w:hAnsi="Times New Roman" w:cs="Times New Roman"/>
                <w:sz w:val="18"/>
                <w:szCs w:val="18"/>
              </w:rPr>
            </w:pPr>
            <w:r>
              <w:rPr>
                <w:rFonts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5912A50B">
            <w:pPr>
              <w:jc w:val="center"/>
              <w:rPr>
                <w:rFonts w:ascii="Times New Roman" w:hAnsi="Times New Roman" w:cs="Times New Roman"/>
                <w:sz w:val="18"/>
                <w:szCs w:val="18"/>
              </w:rPr>
            </w:pPr>
            <w:r>
              <w:rPr>
                <w:rFonts w:ascii="Times New Roman" w:hAnsi="Times New Roman" w:cs="Times New Roman"/>
                <w:sz w:val="18"/>
                <w:szCs w:val="18"/>
              </w:rPr>
              <w:t>8000</w:t>
            </w:r>
          </w:p>
        </w:tc>
      </w:tr>
    </w:tbl>
    <w:p w14:paraId="657A6B02">
      <w:pPr>
        <w:pStyle w:val="281"/>
        <w:ind w:firstLine="480"/>
      </w:pPr>
    </w:p>
    <w:p w14:paraId="246805CB">
      <w:pPr>
        <w:pStyle w:val="557"/>
        <w:sectPr>
          <w:pgSz w:w="11906" w:h="16838"/>
          <w:pgMar w:top="1440" w:right="1800" w:bottom="1440" w:left="1800" w:header="851" w:footer="850" w:gutter="0"/>
          <w:cols w:space="425" w:num="1"/>
          <w:docGrid w:type="lines" w:linePitch="326" w:charSpace="0"/>
        </w:sectPr>
      </w:pPr>
    </w:p>
    <w:bookmarkEnd w:id="178"/>
    <w:p w14:paraId="45B2FCF6">
      <w:pPr>
        <w:pStyle w:val="97"/>
        <w:rPr>
          <w:rFonts w:hint="eastAsia"/>
        </w:rPr>
      </w:pPr>
      <w:r>
        <w:rPr>
          <w:rFonts w:hint="eastAsia" w:ascii="Times New Roman" w:hAnsi="Times New Roman"/>
        </w:rPr>
        <w:t>有机缓释肥</w:t>
      </w:r>
      <w:r>
        <w:rPr>
          <w:rFonts w:hint="eastAsia"/>
        </w:rPr>
        <w:t>装置（编号0</w:t>
      </w:r>
      <w:r>
        <w:t>7</w:t>
      </w:r>
      <w:r>
        <w:rPr>
          <w:rFonts w:hint="eastAsia"/>
        </w:rPr>
        <w:t>）</w:t>
      </w:r>
    </w:p>
    <w:p w14:paraId="7E9F3664">
      <w:pPr>
        <w:pStyle w:val="98"/>
        <w:rPr>
          <w:rFonts w:hint="eastAsia"/>
        </w:rPr>
      </w:pPr>
      <w:r>
        <w:rPr>
          <w:rFonts w:hint="eastAsia"/>
        </w:rPr>
        <w:t>装置概述</w:t>
      </w:r>
    </w:p>
    <w:p w14:paraId="3CF6900A">
      <w:pPr>
        <w:pStyle w:val="281"/>
        <w:ind w:firstLine="480"/>
      </w:pPr>
      <w:r>
        <w:rPr>
          <w:rFonts w:hint="eastAsia" w:cs="Times New Roman"/>
        </w:rPr>
        <w:t>本项目设置2套有机缓释肥装置，</w:t>
      </w:r>
      <w:r>
        <w:rPr>
          <w:rFonts w:cs="Times New Roman"/>
        </w:rPr>
        <w:t>主要包括原料上料单元、共熔体料浆制备单元、造粒单元、烘干冷处理单元、添加剂制备单元等。</w:t>
      </w:r>
      <w:r>
        <w:rPr>
          <w:rFonts w:hint="eastAsia" w:cs="Times New Roman"/>
        </w:rPr>
        <w:t>单套装置规模为20万吨/年。</w:t>
      </w:r>
    </w:p>
    <w:p w14:paraId="5A00B742">
      <w:pPr>
        <w:pStyle w:val="281"/>
        <w:ind w:firstLine="480"/>
      </w:pPr>
      <w:r>
        <w:rPr>
          <w:rFonts w:hint="eastAsia" w:ascii="宋体" w:hAnsi="宋体"/>
        </w:rPr>
        <w:t>年开工时间：</w:t>
      </w:r>
      <w:r>
        <w:t>8000h</w:t>
      </w:r>
      <w:r>
        <w:rPr>
          <w:rFonts w:hint="eastAsia" w:ascii="宋体" w:hAnsi="宋体"/>
        </w:rPr>
        <w:t>。</w:t>
      </w:r>
    </w:p>
    <w:p w14:paraId="688340D5">
      <w:pPr>
        <w:pStyle w:val="98"/>
        <w:rPr>
          <w:rFonts w:hint="eastAsia"/>
        </w:rPr>
      </w:pPr>
      <w:r>
        <w:rPr>
          <w:rFonts w:hint="eastAsia"/>
        </w:rPr>
        <w:t>原辅材料及公用工程消耗</w:t>
      </w:r>
    </w:p>
    <w:p w14:paraId="0E5B0DC3">
      <w:pPr>
        <w:pStyle w:val="128"/>
        <w:rPr>
          <w:rFonts w:hint="eastAsia"/>
        </w:rPr>
      </w:pPr>
      <w:r>
        <w:rPr>
          <w:rFonts w:hint="eastAsia"/>
          <w:kern w:val="2"/>
        </w:rPr>
        <w:t>有机缓释肥</w:t>
      </w:r>
      <w:r>
        <w:rPr>
          <w:rFonts w:hint="eastAsia"/>
        </w:rPr>
        <w:t>装置原辅材料及公用工程消耗情况见表</w:t>
      </w:r>
      <w:r>
        <w:t>3.2.8-</w:t>
      </w:r>
      <w:r>
        <w:rPr>
          <w:rFonts w:hint="eastAsia"/>
        </w:rPr>
        <w:t>1。</w:t>
      </w:r>
    </w:p>
    <w:p w14:paraId="562BB845">
      <w:pPr>
        <w:pStyle w:val="540"/>
        <w:rPr>
          <w:rFonts w:hint="eastAsia"/>
          <w:color w:val="auto"/>
        </w:rPr>
      </w:pPr>
      <w:r>
        <w:rPr>
          <w:rFonts w:hint="eastAsia"/>
          <w:color w:val="auto"/>
        </w:rPr>
        <w:t>表3.2.</w:t>
      </w:r>
      <w:r>
        <w:rPr>
          <w:color w:val="auto"/>
        </w:rPr>
        <w:t>8</w:t>
      </w:r>
      <w:r>
        <w:rPr>
          <w:rFonts w:hint="eastAsia"/>
          <w:color w:val="auto"/>
        </w:rPr>
        <w:t xml:space="preserve">-1 </w:t>
      </w:r>
      <w:r>
        <w:rPr>
          <w:color w:val="auto"/>
        </w:rPr>
        <w:t xml:space="preserve">  </w:t>
      </w:r>
      <w:r>
        <w:rPr>
          <w:rFonts w:hint="eastAsia"/>
          <w:color w:val="auto"/>
        </w:rPr>
        <w:t xml:space="preserve"> 原辅材料及公用工程消耗情况表</w:t>
      </w:r>
    </w:p>
    <w:p w14:paraId="66492560">
      <w:pPr>
        <w:pStyle w:val="98"/>
        <w:rPr>
          <w:rFonts w:hint="eastAsia"/>
        </w:rPr>
      </w:pPr>
      <w:r>
        <w:rPr>
          <w:rFonts w:hint="eastAsia"/>
        </w:rPr>
        <w:t>工艺流程及产污环节</w:t>
      </w:r>
    </w:p>
    <w:p w14:paraId="1F2BCCD0">
      <w:pPr>
        <w:pStyle w:val="814"/>
        <w:rPr>
          <w:rFonts w:hint="eastAsia"/>
        </w:rPr>
      </w:pPr>
      <w:r>
        <w:rPr>
          <w:rFonts w:hint="eastAsia"/>
        </w:rPr>
        <w:t>工艺流程</w:t>
      </w:r>
    </w:p>
    <w:p w14:paraId="6E5D017B">
      <w:pPr>
        <w:spacing w:line="360" w:lineRule="auto"/>
        <w:ind w:firstLine="480" w:firstLineChars="200"/>
        <w:rPr>
          <w:rFonts w:ascii="Times New Roman" w:hAnsi="Times New Roman" w:cs="Times New Roman"/>
        </w:rPr>
      </w:pPr>
      <w:r>
        <w:rPr>
          <w:rFonts w:hint="eastAsia" w:ascii="Times New Roman" w:hAnsi="Times New Roman" w:cs="Times New Roman"/>
        </w:rPr>
        <w:t>略。</w:t>
      </w:r>
    </w:p>
    <w:p w14:paraId="010EB530">
      <w:pPr>
        <w:pStyle w:val="814"/>
        <w:rPr>
          <w:rFonts w:hint="eastAsia"/>
        </w:rPr>
      </w:pPr>
      <w:r>
        <w:rPr>
          <w:rFonts w:hint="eastAsia"/>
        </w:rPr>
        <w:t>有机缓释肥装置产污节点</w:t>
      </w:r>
    </w:p>
    <w:p w14:paraId="2C499C53">
      <w:pPr>
        <w:pStyle w:val="281"/>
        <w:ind w:firstLine="480"/>
      </w:pPr>
      <w:r>
        <w:rPr>
          <w:rFonts w:hint="eastAsia"/>
        </w:rPr>
        <w:t>有机缓释肥</w:t>
      </w:r>
      <w:r>
        <w:t>装置</w:t>
      </w:r>
      <w:r>
        <w:rPr>
          <w:rFonts w:hint="eastAsia" w:ascii="宋体" w:hAnsi="宋体"/>
        </w:rPr>
        <w:t>产污环节</w:t>
      </w:r>
      <w:r>
        <w:rPr>
          <w:rFonts w:hint="eastAsia"/>
        </w:rPr>
        <w:t>及处理措施具体见</w:t>
      </w:r>
      <w:r>
        <w:rPr>
          <w:rFonts w:hint="eastAsia" w:ascii="宋体" w:hAnsi="宋体"/>
        </w:rPr>
        <w:t>表</w:t>
      </w:r>
      <w:r>
        <w:rPr>
          <w:rFonts w:hint="eastAsia"/>
        </w:rPr>
        <w:t>3.2.8-2。</w:t>
      </w:r>
    </w:p>
    <w:p w14:paraId="1EFEE43D">
      <w:pPr>
        <w:pStyle w:val="541"/>
        <w:rPr>
          <w:rFonts w:hint="eastAsia"/>
        </w:rPr>
      </w:pPr>
      <w:r>
        <w:rPr>
          <w:rFonts w:hint="eastAsia"/>
        </w:rPr>
        <w:t>表3.2.8-2</w:t>
      </w:r>
      <w:r>
        <w:t xml:space="preserve"> </w:t>
      </w:r>
      <w:r>
        <w:rPr>
          <w:rFonts w:hint="eastAsia"/>
        </w:rPr>
        <w:t xml:space="preserve"> </w:t>
      </w:r>
      <w:r>
        <w:t xml:space="preserve">  </w:t>
      </w:r>
      <w:r>
        <w:rPr>
          <w:rFonts w:hint="eastAsia"/>
        </w:rPr>
        <w:t>有机缓释肥装置产污环节表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09"/>
        <w:gridCol w:w="2572"/>
        <w:gridCol w:w="1847"/>
        <w:gridCol w:w="966"/>
        <w:gridCol w:w="1602"/>
      </w:tblGrid>
      <w:tr w14:paraId="50D8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Align w:val="center"/>
          </w:tcPr>
          <w:p w14:paraId="3386AD19">
            <w:pPr>
              <w:jc w:val="center"/>
              <w:rPr>
                <w:rFonts w:ascii="Times New Roman" w:hAnsi="Times New Roman" w:cs="Times New Roman"/>
                <w:sz w:val="18"/>
                <w:szCs w:val="18"/>
              </w:rPr>
            </w:pPr>
            <w:r>
              <w:rPr>
                <w:rFonts w:ascii="Times New Roman" w:hAnsi="Times New Roman" w:cs="Times New Roman"/>
                <w:sz w:val="18"/>
                <w:szCs w:val="18"/>
              </w:rPr>
              <w:t>污染物</w:t>
            </w:r>
          </w:p>
        </w:tc>
        <w:tc>
          <w:tcPr>
            <w:tcW w:w="709" w:type="dxa"/>
            <w:vAlign w:val="center"/>
          </w:tcPr>
          <w:p w14:paraId="50AB6B5D">
            <w:pPr>
              <w:jc w:val="center"/>
              <w:rPr>
                <w:rFonts w:ascii="Times New Roman" w:hAnsi="Times New Roman" w:cs="Times New Roman"/>
                <w:sz w:val="18"/>
                <w:szCs w:val="18"/>
              </w:rPr>
            </w:pPr>
            <w:r>
              <w:rPr>
                <w:rFonts w:ascii="Times New Roman" w:hAnsi="Times New Roman" w:cs="Times New Roman"/>
                <w:sz w:val="18"/>
                <w:szCs w:val="18"/>
              </w:rPr>
              <w:t>序号</w:t>
            </w:r>
          </w:p>
        </w:tc>
        <w:tc>
          <w:tcPr>
            <w:tcW w:w="2572" w:type="dxa"/>
            <w:vAlign w:val="center"/>
          </w:tcPr>
          <w:p w14:paraId="5B42B7B9">
            <w:pPr>
              <w:jc w:val="center"/>
              <w:rPr>
                <w:rFonts w:ascii="Times New Roman" w:hAnsi="Times New Roman" w:cs="Times New Roman"/>
                <w:sz w:val="18"/>
                <w:szCs w:val="18"/>
              </w:rPr>
            </w:pPr>
            <w:r>
              <w:rPr>
                <w:rFonts w:ascii="Times New Roman" w:hAnsi="Times New Roman" w:cs="Times New Roman"/>
                <w:sz w:val="18"/>
                <w:szCs w:val="18"/>
              </w:rPr>
              <w:t>产污环节</w:t>
            </w:r>
          </w:p>
        </w:tc>
        <w:tc>
          <w:tcPr>
            <w:tcW w:w="1847" w:type="dxa"/>
            <w:vAlign w:val="center"/>
          </w:tcPr>
          <w:p w14:paraId="298F09C7">
            <w:pPr>
              <w:jc w:val="center"/>
              <w:rPr>
                <w:rFonts w:ascii="Times New Roman" w:hAnsi="Times New Roman" w:cs="Times New Roman"/>
                <w:sz w:val="18"/>
                <w:szCs w:val="18"/>
              </w:rPr>
            </w:pPr>
            <w:r>
              <w:rPr>
                <w:rFonts w:ascii="Times New Roman" w:hAnsi="Times New Roman" w:cs="Times New Roman"/>
                <w:sz w:val="18"/>
                <w:szCs w:val="18"/>
              </w:rPr>
              <w:t>主要污染因子</w:t>
            </w:r>
          </w:p>
        </w:tc>
        <w:tc>
          <w:tcPr>
            <w:tcW w:w="966" w:type="dxa"/>
            <w:vAlign w:val="center"/>
          </w:tcPr>
          <w:p w14:paraId="6F76DB66">
            <w:pPr>
              <w:jc w:val="center"/>
              <w:rPr>
                <w:rFonts w:ascii="Times New Roman" w:hAnsi="Times New Roman" w:cs="Times New Roman"/>
                <w:sz w:val="18"/>
                <w:szCs w:val="18"/>
              </w:rPr>
            </w:pPr>
            <w:r>
              <w:rPr>
                <w:rFonts w:ascii="Times New Roman" w:hAnsi="Times New Roman" w:cs="Times New Roman"/>
                <w:sz w:val="18"/>
                <w:szCs w:val="18"/>
              </w:rPr>
              <w:t>排放特征</w:t>
            </w:r>
          </w:p>
        </w:tc>
        <w:tc>
          <w:tcPr>
            <w:tcW w:w="1602" w:type="dxa"/>
            <w:vAlign w:val="center"/>
          </w:tcPr>
          <w:p w14:paraId="3DCBDC87">
            <w:pPr>
              <w:jc w:val="center"/>
              <w:rPr>
                <w:rFonts w:ascii="Times New Roman" w:hAnsi="Times New Roman" w:cs="Times New Roman"/>
                <w:sz w:val="18"/>
                <w:szCs w:val="18"/>
              </w:rPr>
            </w:pPr>
            <w:r>
              <w:rPr>
                <w:rFonts w:ascii="Times New Roman" w:hAnsi="Times New Roman" w:cs="Times New Roman"/>
                <w:sz w:val="18"/>
                <w:szCs w:val="18"/>
              </w:rPr>
              <w:t>处理措施</w:t>
            </w:r>
          </w:p>
        </w:tc>
      </w:tr>
      <w:tr w14:paraId="519D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restart"/>
            <w:vAlign w:val="center"/>
          </w:tcPr>
          <w:p w14:paraId="0A75A677">
            <w:pPr>
              <w:jc w:val="center"/>
              <w:rPr>
                <w:rFonts w:ascii="Times New Roman" w:hAnsi="Times New Roman" w:cs="Times New Roman"/>
                <w:sz w:val="18"/>
                <w:szCs w:val="18"/>
              </w:rPr>
            </w:pPr>
            <w:r>
              <w:rPr>
                <w:rFonts w:ascii="Times New Roman" w:hAnsi="Times New Roman" w:cs="Times New Roman"/>
                <w:sz w:val="18"/>
                <w:szCs w:val="18"/>
              </w:rPr>
              <w:t>废气</w:t>
            </w:r>
          </w:p>
        </w:tc>
        <w:tc>
          <w:tcPr>
            <w:tcW w:w="709" w:type="dxa"/>
            <w:vAlign w:val="center"/>
          </w:tcPr>
          <w:p w14:paraId="5E7FE072">
            <w:pPr>
              <w:jc w:val="center"/>
              <w:rPr>
                <w:rFonts w:ascii="Times New Roman" w:hAnsi="Times New Roman" w:cs="Times New Roman"/>
                <w:sz w:val="18"/>
                <w:szCs w:val="18"/>
              </w:rPr>
            </w:pPr>
            <w:r>
              <w:rPr>
                <w:rFonts w:ascii="Times New Roman" w:hAnsi="Times New Roman" w:cs="Times New Roman"/>
                <w:sz w:val="18"/>
                <w:szCs w:val="18"/>
              </w:rPr>
              <w:t>G</w:t>
            </w:r>
            <w:r>
              <w:rPr>
                <w:rFonts w:hint="eastAsia" w:ascii="Times New Roman" w:hAnsi="Times New Roman" w:cs="Times New Roman"/>
                <w:sz w:val="18"/>
                <w:szCs w:val="18"/>
                <w:vertAlign w:val="subscript"/>
              </w:rPr>
              <w:t>7</w:t>
            </w:r>
            <w:r>
              <w:rPr>
                <w:rFonts w:ascii="Times New Roman" w:hAnsi="Times New Roman" w:cs="Times New Roman"/>
                <w:sz w:val="18"/>
                <w:szCs w:val="18"/>
                <w:vertAlign w:val="subscript"/>
              </w:rPr>
              <w:t>-1</w:t>
            </w:r>
          </w:p>
        </w:tc>
        <w:tc>
          <w:tcPr>
            <w:tcW w:w="2572" w:type="dxa"/>
            <w:vAlign w:val="center"/>
          </w:tcPr>
          <w:p w14:paraId="6AD25E9C">
            <w:pPr>
              <w:pStyle w:val="557"/>
            </w:pPr>
            <w:r>
              <w:rPr>
                <w:rFonts w:hint="eastAsia"/>
              </w:rPr>
              <w:t>投料废气</w:t>
            </w:r>
          </w:p>
        </w:tc>
        <w:tc>
          <w:tcPr>
            <w:tcW w:w="1847" w:type="dxa"/>
            <w:vAlign w:val="center"/>
          </w:tcPr>
          <w:p w14:paraId="238487C6">
            <w:pPr>
              <w:jc w:val="center"/>
              <w:rPr>
                <w:rFonts w:ascii="Times New Roman" w:hAnsi="Times New Roman" w:cs="Times New Roman"/>
                <w:sz w:val="18"/>
                <w:szCs w:val="18"/>
              </w:rPr>
            </w:pPr>
            <w:r>
              <w:rPr>
                <w:rFonts w:hint="eastAsia" w:ascii="Times New Roman" w:hAnsi="Times New Roman" w:cs="Times New Roman"/>
                <w:sz w:val="18"/>
                <w:szCs w:val="18"/>
              </w:rPr>
              <w:t>颗粒物</w:t>
            </w:r>
          </w:p>
        </w:tc>
        <w:tc>
          <w:tcPr>
            <w:tcW w:w="966" w:type="dxa"/>
            <w:vAlign w:val="center"/>
          </w:tcPr>
          <w:p w14:paraId="2E598F92">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3CE5A94F">
            <w:pPr>
              <w:jc w:val="center"/>
              <w:rPr>
                <w:rFonts w:ascii="Times New Roman" w:hAnsi="Times New Roman" w:cs="Times New Roman"/>
                <w:sz w:val="18"/>
                <w:szCs w:val="18"/>
              </w:rPr>
            </w:pPr>
            <w:r>
              <w:rPr>
                <w:rFonts w:hint="eastAsia" w:ascii="Times New Roman" w:hAnsi="Times New Roman" w:cs="Times New Roman"/>
                <w:sz w:val="18"/>
                <w:szCs w:val="18"/>
              </w:rPr>
              <w:t>布袋除尘</w:t>
            </w:r>
          </w:p>
        </w:tc>
      </w:tr>
      <w:tr w14:paraId="5792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10A0F435">
            <w:pPr>
              <w:jc w:val="center"/>
              <w:rPr>
                <w:rFonts w:ascii="Times New Roman" w:hAnsi="Times New Roman" w:cs="Times New Roman"/>
                <w:sz w:val="18"/>
                <w:szCs w:val="18"/>
              </w:rPr>
            </w:pPr>
          </w:p>
        </w:tc>
        <w:tc>
          <w:tcPr>
            <w:tcW w:w="709" w:type="dxa"/>
            <w:vMerge w:val="restart"/>
            <w:vAlign w:val="center"/>
          </w:tcPr>
          <w:p w14:paraId="09C54CA1">
            <w:pPr>
              <w:jc w:val="center"/>
              <w:rPr>
                <w:rFonts w:ascii="Times New Roman" w:hAnsi="Times New Roman" w:cs="Times New Roman"/>
                <w:sz w:val="18"/>
                <w:szCs w:val="18"/>
              </w:rPr>
            </w:pPr>
            <w:r>
              <w:rPr>
                <w:rFonts w:ascii="Times New Roman" w:hAnsi="Times New Roman" w:cs="Times New Roman"/>
                <w:sz w:val="18"/>
                <w:szCs w:val="18"/>
              </w:rPr>
              <w:t>G</w:t>
            </w:r>
            <w:r>
              <w:rPr>
                <w:rFonts w:hint="eastAsia" w:ascii="Times New Roman" w:hAnsi="Times New Roman" w:cs="Times New Roman"/>
                <w:sz w:val="18"/>
                <w:szCs w:val="18"/>
                <w:vertAlign w:val="subscript"/>
              </w:rPr>
              <w:t>7-2</w:t>
            </w:r>
          </w:p>
        </w:tc>
        <w:tc>
          <w:tcPr>
            <w:tcW w:w="2572" w:type="dxa"/>
            <w:vAlign w:val="center"/>
          </w:tcPr>
          <w:p w14:paraId="711978E1">
            <w:pPr>
              <w:pStyle w:val="557"/>
            </w:pPr>
            <w:r>
              <w:rPr>
                <w:rFonts w:hint="eastAsia"/>
              </w:rPr>
              <w:t>造粒废气</w:t>
            </w:r>
          </w:p>
        </w:tc>
        <w:tc>
          <w:tcPr>
            <w:tcW w:w="1847" w:type="dxa"/>
            <w:vAlign w:val="center"/>
          </w:tcPr>
          <w:p w14:paraId="793F3902">
            <w:pPr>
              <w:jc w:val="center"/>
              <w:rPr>
                <w:rFonts w:ascii="Times New Roman" w:hAnsi="Times New Roman" w:cs="Times New Roman"/>
                <w:sz w:val="18"/>
                <w:szCs w:val="18"/>
              </w:rPr>
            </w:pPr>
            <w:r>
              <w:rPr>
                <w:rFonts w:hint="eastAsia" w:ascii="Times New Roman" w:hAnsi="Times New Roman" w:cs="Times New Roman"/>
                <w:sz w:val="18"/>
                <w:szCs w:val="18"/>
              </w:rPr>
              <w:t>颗粒物、氨</w:t>
            </w:r>
          </w:p>
        </w:tc>
        <w:tc>
          <w:tcPr>
            <w:tcW w:w="966" w:type="dxa"/>
            <w:vAlign w:val="center"/>
          </w:tcPr>
          <w:p w14:paraId="097B09E0">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Merge w:val="restart"/>
            <w:vAlign w:val="center"/>
          </w:tcPr>
          <w:p w14:paraId="50368B80">
            <w:pPr>
              <w:pStyle w:val="557"/>
            </w:pPr>
            <w:r>
              <w:rPr>
                <w:rFonts w:hint="eastAsia"/>
              </w:rPr>
              <w:t>文丘里洗涤塔+酸洗+水洗</w:t>
            </w:r>
          </w:p>
        </w:tc>
      </w:tr>
      <w:tr w14:paraId="4F70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2A1FD4A2">
            <w:pPr>
              <w:jc w:val="center"/>
              <w:rPr>
                <w:rFonts w:ascii="Times New Roman" w:hAnsi="Times New Roman" w:cs="Times New Roman"/>
                <w:sz w:val="18"/>
                <w:szCs w:val="18"/>
              </w:rPr>
            </w:pPr>
          </w:p>
        </w:tc>
        <w:tc>
          <w:tcPr>
            <w:tcW w:w="709" w:type="dxa"/>
            <w:vMerge w:val="continue"/>
            <w:vAlign w:val="center"/>
          </w:tcPr>
          <w:p w14:paraId="222D2152">
            <w:pPr>
              <w:jc w:val="center"/>
              <w:rPr>
                <w:rFonts w:ascii="Times New Roman" w:hAnsi="Times New Roman" w:cs="Times New Roman"/>
                <w:sz w:val="18"/>
                <w:szCs w:val="18"/>
              </w:rPr>
            </w:pPr>
          </w:p>
        </w:tc>
        <w:tc>
          <w:tcPr>
            <w:tcW w:w="2572" w:type="dxa"/>
            <w:vAlign w:val="center"/>
          </w:tcPr>
          <w:p w14:paraId="386411CB">
            <w:pPr>
              <w:pStyle w:val="557"/>
            </w:pPr>
            <w:r>
              <w:rPr>
                <w:rFonts w:hint="eastAsia"/>
              </w:rPr>
              <w:t>包装废气</w:t>
            </w:r>
          </w:p>
        </w:tc>
        <w:tc>
          <w:tcPr>
            <w:tcW w:w="1847" w:type="dxa"/>
            <w:vAlign w:val="center"/>
          </w:tcPr>
          <w:p w14:paraId="720B6BC4">
            <w:pPr>
              <w:jc w:val="center"/>
              <w:rPr>
                <w:rFonts w:ascii="Times New Roman" w:hAnsi="Times New Roman" w:cs="Times New Roman"/>
                <w:sz w:val="18"/>
                <w:szCs w:val="18"/>
              </w:rPr>
            </w:pPr>
            <w:r>
              <w:rPr>
                <w:rFonts w:hint="eastAsia" w:ascii="Times New Roman" w:hAnsi="Times New Roman" w:cs="Times New Roman"/>
                <w:sz w:val="18"/>
                <w:szCs w:val="18"/>
              </w:rPr>
              <w:t>颗粒物</w:t>
            </w:r>
          </w:p>
        </w:tc>
        <w:tc>
          <w:tcPr>
            <w:tcW w:w="966" w:type="dxa"/>
            <w:vAlign w:val="center"/>
          </w:tcPr>
          <w:p w14:paraId="3B3221EF">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Merge w:val="continue"/>
            <w:vAlign w:val="center"/>
          </w:tcPr>
          <w:p w14:paraId="0D4C9EAD">
            <w:pPr>
              <w:pStyle w:val="557"/>
            </w:pPr>
          </w:p>
        </w:tc>
      </w:tr>
      <w:tr w14:paraId="49D2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17A11079">
            <w:pPr>
              <w:jc w:val="center"/>
              <w:rPr>
                <w:rFonts w:ascii="Times New Roman" w:hAnsi="Times New Roman" w:cs="Times New Roman"/>
                <w:sz w:val="18"/>
                <w:szCs w:val="18"/>
              </w:rPr>
            </w:pPr>
          </w:p>
        </w:tc>
        <w:tc>
          <w:tcPr>
            <w:tcW w:w="709" w:type="dxa"/>
            <w:vMerge w:val="continue"/>
            <w:vAlign w:val="center"/>
          </w:tcPr>
          <w:p w14:paraId="1901B997">
            <w:pPr>
              <w:jc w:val="center"/>
              <w:rPr>
                <w:rFonts w:ascii="Times New Roman" w:hAnsi="Times New Roman" w:cs="Times New Roman"/>
                <w:sz w:val="18"/>
                <w:szCs w:val="18"/>
              </w:rPr>
            </w:pPr>
          </w:p>
        </w:tc>
        <w:tc>
          <w:tcPr>
            <w:tcW w:w="2572" w:type="dxa"/>
            <w:vAlign w:val="center"/>
          </w:tcPr>
          <w:p w14:paraId="7239A234">
            <w:pPr>
              <w:pStyle w:val="557"/>
            </w:pPr>
            <w:r>
              <w:rPr>
                <w:rFonts w:hint="eastAsia"/>
              </w:rPr>
              <w:t>烘干废气</w:t>
            </w:r>
          </w:p>
        </w:tc>
        <w:tc>
          <w:tcPr>
            <w:tcW w:w="1847" w:type="dxa"/>
            <w:vAlign w:val="center"/>
          </w:tcPr>
          <w:p w14:paraId="2810A89E">
            <w:pPr>
              <w:jc w:val="center"/>
              <w:rPr>
                <w:rFonts w:ascii="Times New Roman" w:hAnsi="Times New Roman" w:cs="Times New Roman"/>
                <w:sz w:val="18"/>
                <w:szCs w:val="18"/>
              </w:rPr>
            </w:pPr>
            <w:r>
              <w:rPr>
                <w:rFonts w:hint="eastAsia" w:ascii="Times New Roman" w:hAnsi="Times New Roman" w:cs="Times New Roman"/>
                <w:sz w:val="18"/>
                <w:szCs w:val="18"/>
              </w:rPr>
              <w:t>颗粒物</w:t>
            </w:r>
          </w:p>
        </w:tc>
        <w:tc>
          <w:tcPr>
            <w:tcW w:w="966" w:type="dxa"/>
            <w:vAlign w:val="center"/>
          </w:tcPr>
          <w:p w14:paraId="22217577">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78A41551">
            <w:pPr>
              <w:pStyle w:val="557"/>
            </w:pPr>
            <w:r>
              <w:rPr>
                <w:rFonts w:hint="eastAsia"/>
              </w:rPr>
              <w:t>旋风除尘器+重力沉降室除尘+酸洗+水洗</w:t>
            </w:r>
          </w:p>
        </w:tc>
      </w:tr>
      <w:tr w14:paraId="3BA9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3577EA1E">
            <w:pPr>
              <w:jc w:val="center"/>
              <w:rPr>
                <w:rFonts w:ascii="Times New Roman" w:hAnsi="Times New Roman" w:cs="Times New Roman"/>
                <w:sz w:val="18"/>
                <w:szCs w:val="18"/>
              </w:rPr>
            </w:pPr>
          </w:p>
        </w:tc>
        <w:tc>
          <w:tcPr>
            <w:tcW w:w="709" w:type="dxa"/>
            <w:vAlign w:val="center"/>
          </w:tcPr>
          <w:p w14:paraId="545D436F">
            <w:pPr>
              <w:jc w:val="center"/>
              <w:rPr>
                <w:rFonts w:ascii="Times New Roman" w:hAnsi="Times New Roman" w:cs="Times New Roman"/>
                <w:sz w:val="18"/>
                <w:szCs w:val="18"/>
              </w:rPr>
            </w:pPr>
            <w:r>
              <w:rPr>
                <w:rFonts w:ascii="Times New Roman" w:hAnsi="Times New Roman" w:cs="Times New Roman"/>
                <w:sz w:val="18"/>
                <w:szCs w:val="18"/>
              </w:rPr>
              <w:t>G</w:t>
            </w:r>
            <w:r>
              <w:rPr>
                <w:rFonts w:hint="eastAsia" w:ascii="Times New Roman" w:hAnsi="Times New Roman" w:cs="Times New Roman"/>
                <w:sz w:val="18"/>
                <w:szCs w:val="18"/>
                <w:vertAlign w:val="subscript"/>
              </w:rPr>
              <w:t>7-3</w:t>
            </w:r>
          </w:p>
        </w:tc>
        <w:tc>
          <w:tcPr>
            <w:tcW w:w="2572" w:type="dxa"/>
            <w:vAlign w:val="center"/>
          </w:tcPr>
          <w:p w14:paraId="18F0DE8E">
            <w:pPr>
              <w:jc w:val="center"/>
              <w:rPr>
                <w:rFonts w:ascii="Times New Roman" w:hAnsi="Times New Roman" w:cs="Times New Roman"/>
                <w:sz w:val="18"/>
                <w:szCs w:val="18"/>
              </w:rPr>
            </w:pPr>
            <w:r>
              <w:rPr>
                <w:rFonts w:hint="eastAsia" w:ascii="Times New Roman" w:hAnsi="Times New Roman" w:cs="Times New Roman"/>
                <w:sz w:val="18"/>
                <w:szCs w:val="18"/>
              </w:rPr>
              <w:t>冷却废气</w:t>
            </w:r>
          </w:p>
        </w:tc>
        <w:tc>
          <w:tcPr>
            <w:tcW w:w="1847" w:type="dxa"/>
            <w:vAlign w:val="center"/>
          </w:tcPr>
          <w:p w14:paraId="6B96B045">
            <w:pPr>
              <w:jc w:val="center"/>
              <w:rPr>
                <w:rFonts w:ascii="Times New Roman" w:hAnsi="Times New Roman" w:cs="Times New Roman"/>
                <w:sz w:val="18"/>
                <w:szCs w:val="18"/>
              </w:rPr>
            </w:pPr>
            <w:r>
              <w:rPr>
                <w:rFonts w:hint="eastAsia" w:ascii="Times New Roman" w:hAnsi="Times New Roman" w:cs="Times New Roman"/>
                <w:sz w:val="18"/>
                <w:szCs w:val="18"/>
              </w:rPr>
              <w:t>颗粒物</w:t>
            </w:r>
          </w:p>
        </w:tc>
        <w:tc>
          <w:tcPr>
            <w:tcW w:w="966" w:type="dxa"/>
            <w:vAlign w:val="center"/>
          </w:tcPr>
          <w:p w14:paraId="0EF53A3C">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70C7CA50">
            <w:pPr>
              <w:pStyle w:val="557"/>
            </w:pPr>
            <w:r>
              <w:rPr>
                <w:rFonts w:hint="eastAsia"/>
              </w:rPr>
              <w:t>旋风除尘器+布袋除尘器</w:t>
            </w:r>
          </w:p>
        </w:tc>
      </w:tr>
      <w:tr w14:paraId="4523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6AEC6E8E">
            <w:pPr>
              <w:jc w:val="center"/>
              <w:rPr>
                <w:rFonts w:ascii="Times New Roman" w:hAnsi="Times New Roman" w:cs="Times New Roman"/>
                <w:sz w:val="18"/>
                <w:szCs w:val="18"/>
              </w:rPr>
            </w:pPr>
          </w:p>
        </w:tc>
        <w:tc>
          <w:tcPr>
            <w:tcW w:w="709" w:type="dxa"/>
            <w:vAlign w:val="center"/>
          </w:tcPr>
          <w:p w14:paraId="0B5A2F08">
            <w:pPr>
              <w:jc w:val="center"/>
              <w:rPr>
                <w:rFonts w:ascii="Times New Roman" w:hAnsi="Times New Roman" w:cs="Times New Roman"/>
                <w:sz w:val="18"/>
                <w:szCs w:val="18"/>
              </w:rPr>
            </w:pPr>
            <w:r>
              <w:rPr>
                <w:rFonts w:ascii="Times New Roman" w:hAnsi="Times New Roman" w:cs="Times New Roman"/>
                <w:sz w:val="18"/>
                <w:szCs w:val="18"/>
              </w:rPr>
              <w:t>G</w:t>
            </w:r>
            <w:r>
              <w:rPr>
                <w:rFonts w:hint="eastAsia" w:ascii="Times New Roman" w:hAnsi="Times New Roman" w:cs="Times New Roman"/>
                <w:sz w:val="18"/>
                <w:szCs w:val="18"/>
                <w:vertAlign w:val="subscript"/>
              </w:rPr>
              <w:t>7-4</w:t>
            </w:r>
          </w:p>
        </w:tc>
        <w:tc>
          <w:tcPr>
            <w:tcW w:w="2572" w:type="dxa"/>
            <w:vAlign w:val="center"/>
          </w:tcPr>
          <w:p w14:paraId="1DCAF9AF">
            <w:pPr>
              <w:jc w:val="center"/>
              <w:rPr>
                <w:rFonts w:ascii="Times New Roman" w:hAnsi="Times New Roman" w:cs="Times New Roman"/>
                <w:sz w:val="18"/>
                <w:szCs w:val="18"/>
              </w:rPr>
            </w:pPr>
            <w:r>
              <w:rPr>
                <w:rFonts w:hint="eastAsia" w:ascii="Times New Roman" w:hAnsi="Times New Roman" w:cs="Times New Roman"/>
                <w:sz w:val="18"/>
                <w:szCs w:val="18"/>
              </w:rPr>
              <w:t>加热炉废气</w:t>
            </w:r>
          </w:p>
        </w:tc>
        <w:tc>
          <w:tcPr>
            <w:tcW w:w="1847" w:type="dxa"/>
            <w:vAlign w:val="center"/>
          </w:tcPr>
          <w:p w14:paraId="0ED975C2">
            <w:pPr>
              <w:jc w:val="center"/>
              <w:rPr>
                <w:rFonts w:ascii="Times New Roman" w:hAnsi="Times New Roman" w:cs="Times New Roman"/>
                <w:sz w:val="18"/>
                <w:szCs w:val="18"/>
              </w:rPr>
            </w:pPr>
            <w:r>
              <w:rPr>
                <w:rFonts w:hint="eastAsia" w:ascii="Times New Roman" w:hAnsi="Times New Roman" w:cs="Times New Roman"/>
                <w:sz w:val="18"/>
                <w:szCs w:val="18"/>
              </w:rPr>
              <w:t>NO</w:t>
            </w:r>
            <w:r>
              <w:rPr>
                <w:rFonts w:hint="eastAsia" w:ascii="Times New Roman" w:hAnsi="Times New Roman" w:cs="Times New Roman"/>
                <w:sz w:val="18"/>
                <w:szCs w:val="18"/>
                <w:vertAlign w:val="subscript"/>
              </w:rPr>
              <w:t>X</w:t>
            </w:r>
            <w:r>
              <w:rPr>
                <w:rFonts w:hint="eastAsia" w:ascii="Times New Roman" w:hAnsi="Times New Roman" w:cs="Times New Roman"/>
                <w:sz w:val="18"/>
                <w:szCs w:val="18"/>
              </w:rPr>
              <w:t>、颗粒物</w:t>
            </w:r>
          </w:p>
        </w:tc>
        <w:tc>
          <w:tcPr>
            <w:tcW w:w="966" w:type="dxa"/>
            <w:vAlign w:val="center"/>
          </w:tcPr>
          <w:p w14:paraId="47875C62">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2EEFEB54">
            <w:pPr>
              <w:jc w:val="center"/>
              <w:rPr>
                <w:rFonts w:ascii="Times New Roman" w:hAnsi="Times New Roman" w:cs="Times New Roman"/>
                <w:sz w:val="18"/>
                <w:szCs w:val="18"/>
              </w:rPr>
            </w:pPr>
            <w:r>
              <w:rPr>
                <w:rFonts w:hint="eastAsia" w:ascii="Times New Roman" w:hAnsi="Times New Roman" w:cs="Times New Roman"/>
                <w:sz w:val="18"/>
                <w:szCs w:val="18"/>
              </w:rPr>
              <w:t>低氮燃烧</w:t>
            </w:r>
          </w:p>
        </w:tc>
      </w:tr>
      <w:tr w14:paraId="029D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Align w:val="center"/>
          </w:tcPr>
          <w:p w14:paraId="059DD85C">
            <w:pPr>
              <w:jc w:val="center"/>
              <w:rPr>
                <w:rFonts w:ascii="Times New Roman" w:hAnsi="Times New Roman" w:cs="Times New Roman"/>
                <w:sz w:val="18"/>
                <w:szCs w:val="18"/>
              </w:rPr>
            </w:pPr>
            <w:r>
              <w:rPr>
                <w:rFonts w:hint="eastAsia" w:ascii="Times New Roman" w:hAnsi="Times New Roman" w:cs="Times New Roman"/>
                <w:sz w:val="18"/>
                <w:szCs w:val="18"/>
              </w:rPr>
              <w:t>废水</w:t>
            </w:r>
          </w:p>
        </w:tc>
        <w:tc>
          <w:tcPr>
            <w:tcW w:w="709" w:type="dxa"/>
            <w:vAlign w:val="center"/>
          </w:tcPr>
          <w:p w14:paraId="13820370">
            <w:pPr>
              <w:jc w:val="center"/>
              <w:rPr>
                <w:rFonts w:ascii="Times New Roman" w:hAnsi="Times New Roman" w:cs="Times New Roman"/>
                <w:sz w:val="18"/>
                <w:szCs w:val="18"/>
              </w:rPr>
            </w:pPr>
            <w:r>
              <w:rPr>
                <w:rFonts w:hint="eastAsia" w:ascii="Times New Roman" w:hAnsi="Times New Roman" w:cs="Times New Roman"/>
                <w:sz w:val="18"/>
                <w:szCs w:val="18"/>
              </w:rPr>
              <w:t>W</w:t>
            </w:r>
            <w:r>
              <w:rPr>
                <w:rFonts w:hint="eastAsia" w:ascii="Times New Roman" w:hAnsi="Times New Roman" w:cs="Times New Roman"/>
                <w:sz w:val="18"/>
                <w:szCs w:val="18"/>
                <w:vertAlign w:val="subscript"/>
              </w:rPr>
              <w:t>7-1</w:t>
            </w:r>
          </w:p>
        </w:tc>
        <w:tc>
          <w:tcPr>
            <w:tcW w:w="2572" w:type="dxa"/>
            <w:vAlign w:val="center"/>
          </w:tcPr>
          <w:p w14:paraId="7DCA9422">
            <w:pPr>
              <w:jc w:val="center"/>
              <w:rPr>
                <w:rFonts w:ascii="Times New Roman" w:hAnsi="Times New Roman" w:cs="Times New Roman"/>
                <w:sz w:val="18"/>
                <w:szCs w:val="18"/>
              </w:rPr>
            </w:pPr>
            <w:r>
              <w:rPr>
                <w:rFonts w:hint="eastAsia" w:ascii="Times New Roman" w:hAnsi="Times New Roman" w:cs="Times New Roman"/>
                <w:sz w:val="18"/>
                <w:szCs w:val="18"/>
              </w:rPr>
              <w:t>尾气洗涤水</w:t>
            </w:r>
          </w:p>
        </w:tc>
        <w:tc>
          <w:tcPr>
            <w:tcW w:w="1847" w:type="dxa"/>
            <w:vAlign w:val="center"/>
          </w:tcPr>
          <w:p w14:paraId="5FA1E23F">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SS</w:t>
            </w:r>
          </w:p>
        </w:tc>
        <w:tc>
          <w:tcPr>
            <w:tcW w:w="966" w:type="dxa"/>
            <w:vAlign w:val="center"/>
          </w:tcPr>
          <w:p w14:paraId="60717B81">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7C9BDDEC">
            <w:pPr>
              <w:pStyle w:val="557"/>
            </w:pPr>
            <w:r>
              <w:rPr>
                <w:rFonts w:hint="eastAsia"/>
              </w:rPr>
              <w:t>污水处理站</w:t>
            </w:r>
          </w:p>
        </w:tc>
      </w:tr>
      <w:tr w14:paraId="6C66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Align w:val="center"/>
          </w:tcPr>
          <w:p w14:paraId="7702C0F2">
            <w:pPr>
              <w:jc w:val="center"/>
              <w:rPr>
                <w:rFonts w:ascii="Times New Roman" w:hAnsi="Times New Roman" w:cs="Times New Roman"/>
                <w:sz w:val="18"/>
                <w:szCs w:val="18"/>
              </w:rPr>
            </w:pPr>
            <w:r>
              <w:rPr>
                <w:rFonts w:ascii="Times New Roman" w:hAnsi="Times New Roman" w:cs="Times New Roman"/>
                <w:sz w:val="18"/>
                <w:szCs w:val="18"/>
              </w:rPr>
              <w:t>噪声</w:t>
            </w:r>
          </w:p>
        </w:tc>
        <w:tc>
          <w:tcPr>
            <w:tcW w:w="709" w:type="dxa"/>
            <w:vAlign w:val="center"/>
          </w:tcPr>
          <w:p w14:paraId="3FB10099">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w:t>
            </w:r>
          </w:p>
        </w:tc>
        <w:tc>
          <w:tcPr>
            <w:tcW w:w="2572" w:type="dxa"/>
            <w:vAlign w:val="center"/>
          </w:tcPr>
          <w:p w14:paraId="0470C1BB">
            <w:pPr>
              <w:jc w:val="center"/>
              <w:rPr>
                <w:rFonts w:ascii="Times New Roman" w:hAnsi="Times New Roman" w:cs="Times New Roman"/>
                <w:sz w:val="18"/>
                <w:szCs w:val="18"/>
              </w:rPr>
            </w:pPr>
            <w:r>
              <w:rPr>
                <w:rFonts w:ascii="Times New Roman" w:hAnsi="Times New Roman" w:cs="Times New Roman"/>
                <w:sz w:val="18"/>
                <w:szCs w:val="18"/>
              </w:rPr>
              <w:t>搅拌器、压缩机，风机、机泵</w:t>
            </w:r>
          </w:p>
        </w:tc>
        <w:tc>
          <w:tcPr>
            <w:tcW w:w="1847" w:type="dxa"/>
            <w:vAlign w:val="center"/>
          </w:tcPr>
          <w:p w14:paraId="74C4D5BB">
            <w:pPr>
              <w:autoSpaceDE w:val="0"/>
              <w:autoSpaceDN w:val="0"/>
              <w:adjustRightInd w:val="0"/>
              <w:jc w:val="center"/>
              <w:rPr>
                <w:rFonts w:ascii="Times New Roman" w:hAnsi="Times New Roman" w:cs="Times New Roman"/>
              </w:rPr>
            </w:pPr>
            <w:r>
              <w:rPr>
                <w:rFonts w:ascii="Times New Roman" w:hAnsi="Times New Roman" w:cs="Times New Roman"/>
                <w:sz w:val="18"/>
                <w:szCs w:val="18"/>
              </w:rPr>
              <w:t>噪声级85～90dB</w:t>
            </w:r>
          </w:p>
        </w:tc>
        <w:tc>
          <w:tcPr>
            <w:tcW w:w="966" w:type="dxa"/>
            <w:vAlign w:val="center"/>
          </w:tcPr>
          <w:p w14:paraId="3E486CFB">
            <w:pPr>
              <w:jc w:val="center"/>
              <w:rPr>
                <w:rFonts w:ascii="Times New Roman" w:hAnsi="Times New Roman" w:cs="Times New Roman"/>
                <w:sz w:val="18"/>
                <w:szCs w:val="18"/>
              </w:rPr>
            </w:pPr>
            <w:r>
              <w:rPr>
                <w:rFonts w:ascii="Times New Roman" w:hAnsi="Times New Roman" w:cs="Times New Roman"/>
                <w:sz w:val="18"/>
                <w:szCs w:val="18"/>
              </w:rPr>
              <w:t>连续</w:t>
            </w:r>
          </w:p>
        </w:tc>
        <w:tc>
          <w:tcPr>
            <w:tcW w:w="1602" w:type="dxa"/>
            <w:vAlign w:val="center"/>
          </w:tcPr>
          <w:p w14:paraId="7B89B15F">
            <w:pPr>
              <w:pStyle w:val="557"/>
            </w:pPr>
            <w:r>
              <w:t>减震、隔声措施</w:t>
            </w:r>
          </w:p>
        </w:tc>
      </w:tr>
      <w:tr w14:paraId="7631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restart"/>
            <w:vAlign w:val="center"/>
          </w:tcPr>
          <w:p w14:paraId="338A70FE">
            <w:pPr>
              <w:jc w:val="center"/>
              <w:rPr>
                <w:rFonts w:ascii="Times New Roman" w:hAnsi="Times New Roman" w:cs="Times New Roman"/>
                <w:sz w:val="18"/>
                <w:szCs w:val="18"/>
              </w:rPr>
            </w:pPr>
            <w:r>
              <w:rPr>
                <w:rFonts w:hint="eastAsia" w:ascii="Times New Roman" w:hAnsi="Times New Roman" w:cs="Times New Roman"/>
                <w:sz w:val="18"/>
                <w:szCs w:val="18"/>
              </w:rPr>
              <w:t>固废</w:t>
            </w:r>
          </w:p>
        </w:tc>
        <w:tc>
          <w:tcPr>
            <w:tcW w:w="709" w:type="dxa"/>
            <w:vAlign w:val="center"/>
          </w:tcPr>
          <w:p w14:paraId="611D8654">
            <w:pPr>
              <w:jc w:val="center"/>
              <w:rPr>
                <w:rFonts w:ascii="Times New Roman" w:hAnsi="Times New Roman" w:cs="Times New Roman"/>
                <w:sz w:val="18"/>
                <w:szCs w:val="18"/>
              </w:rPr>
            </w:pPr>
            <w:r>
              <w:rPr>
                <w:rFonts w:hint="eastAsia" w:ascii="Times New Roman" w:hAnsi="Times New Roman" w:cs="Times New Roman"/>
                <w:sz w:val="18"/>
                <w:szCs w:val="18"/>
              </w:rPr>
              <w:t>S</w:t>
            </w:r>
            <w:r>
              <w:rPr>
                <w:rFonts w:hint="eastAsia" w:ascii="Times New Roman" w:hAnsi="Times New Roman" w:cs="Times New Roman"/>
                <w:sz w:val="18"/>
                <w:szCs w:val="18"/>
                <w:vertAlign w:val="subscript"/>
              </w:rPr>
              <w:t>7-</w:t>
            </w:r>
            <w:r>
              <w:rPr>
                <w:rFonts w:ascii="Times New Roman" w:hAnsi="Times New Roman" w:cs="Times New Roman"/>
                <w:sz w:val="18"/>
                <w:szCs w:val="18"/>
                <w:vertAlign w:val="subscript"/>
              </w:rPr>
              <w:t>1</w:t>
            </w:r>
          </w:p>
        </w:tc>
        <w:tc>
          <w:tcPr>
            <w:tcW w:w="2572" w:type="dxa"/>
            <w:vAlign w:val="center"/>
          </w:tcPr>
          <w:p w14:paraId="44B73E59">
            <w:pPr>
              <w:jc w:val="center"/>
              <w:rPr>
                <w:rFonts w:ascii="Times New Roman" w:hAnsi="Times New Roman" w:cs="Times New Roman"/>
                <w:sz w:val="18"/>
                <w:szCs w:val="18"/>
              </w:rPr>
            </w:pPr>
            <w:r>
              <w:rPr>
                <w:rFonts w:hint="eastAsia" w:ascii="Times New Roman" w:hAnsi="Times New Roman" w:cs="Times New Roman"/>
                <w:sz w:val="18"/>
                <w:szCs w:val="18"/>
              </w:rPr>
              <w:t>投料废气-收尘灰</w:t>
            </w:r>
          </w:p>
        </w:tc>
        <w:tc>
          <w:tcPr>
            <w:tcW w:w="1847" w:type="dxa"/>
            <w:vAlign w:val="center"/>
          </w:tcPr>
          <w:p w14:paraId="44DFC382">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一般固废</w:t>
            </w:r>
          </w:p>
        </w:tc>
        <w:tc>
          <w:tcPr>
            <w:tcW w:w="966" w:type="dxa"/>
            <w:vAlign w:val="center"/>
          </w:tcPr>
          <w:p w14:paraId="575C30A3">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06C2B1F6">
            <w:pPr>
              <w:pStyle w:val="557"/>
            </w:pPr>
            <w:r>
              <w:rPr>
                <w:rFonts w:hint="eastAsia"/>
              </w:rPr>
              <w:t>回用</w:t>
            </w:r>
          </w:p>
        </w:tc>
      </w:tr>
      <w:tr w14:paraId="252B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09" w:type="dxa"/>
            <w:vMerge w:val="continue"/>
            <w:vAlign w:val="center"/>
          </w:tcPr>
          <w:p w14:paraId="74997C4C">
            <w:pPr>
              <w:jc w:val="center"/>
              <w:rPr>
                <w:rFonts w:ascii="Times New Roman" w:hAnsi="Times New Roman" w:cs="Times New Roman"/>
                <w:sz w:val="18"/>
                <w:szCs w:val="18"/>
              </w:rPr>
            </w:pPr>
          </w:p>
        </w:tc>
        <w:tc>
          <w:tcPr>
            <w:tcW w:w="709" w:type="dxa"/>
            <w:vAlign w:val="center"/>
          </w:tcPr>
          <w:p w14:paraId="3F427129">
            <w:pPr>
              <w:jc w:val="center"/>
              <w:rPr>
                <w:rFonts w:ascii="Times New Roman" w:hAnsi="Times New Roman" w:cs="Times New Roman"/>
                <w:sz w:val="18"/>
                <w:szCs w:val="18"/>
              </w:rPr>
            </w:pPr>
            <w:r>
              <w:rPr>
                <w:rFonts w:hint="eastAsia" w:ascii="Times New Roman" w:hAnsi="Times New Roman" w:cs="Times New Roman"/>
                <w:sz w:val="18"/>
                <w:szCs w:val="18"/>
              </w:rPr>
              <w:t>S</w:t>
            </w:r>
            <w:r>
              <w:rPr>
                <w:rFonts w:hint="eastAsia" w:ascii="Times New Roman" w:hAnsi="Times New Roman" w:cs="Times New Roman"/>
                <w:sz w:val="18"/>
                <w:szCs w:val="18"/>
                <w:vertAlign w:val="subscript"/>
              </w:rPr>
              <w:t>7-2</w:t>
            </w:r>
          </w:p>
        </w:tc>
        <w:tc>
          <w:tcPr>
            <w:tcW w:w="2572" w:type="dxa"/>
            <w:vAlign w:val="center"/>
          </w:tcPr>
          <w:p w14:paraId="72FC0DFB">
            <w:pPr>
              <w:jc w:val="center"/>
              <w:rPr>
                <w:rFonts w:ascii="Times New Roman" w:hAnsi="Times New Roman" w:cs="Times New Roman"/>
                <w:sz w:val="18"/>
                <w:szCs w:val="18"/>
              </w:rPr>
            </w:pPr>
            <w:r>
              <w:rPr>
                <w:rFonts w:hint="eastAsia" w:ascii="Times New Roman" w:hAnsi="Times New Roman" w:cs="Times New Roman"/>
                <w:sz w:val="18"/>
                <w:szCs w:val="18"/>
              </w:rPr>
              <w:t>冷却废气-收尘灰</w:t>
            </w:r>
          </w:p>
        </w:tc>
        <w:tc>
          <w:tcPr>
            <w:tcW w:w="1847" w:type="dxa"/>
            <w:vAlign w:val="center"/>
          </w:tcPr>
          <w:p w14:paraId="4AB13917">
            <w:pPr>
              <w:autoSpaceDE w:val="0"/>
              <w:autoSpaceDN w:val="0"/>
              <w:adjustRightInd w:val="0"/>
              <w:jc w:val="center"/>
              <w:rPr>
                <w:rFonts w:ascii="Times New Roman" w:hAnsi="Times New Roman" w:cs="Times New Roman"/>
                <w:sz w:val="18"/>
                <w:szCs w:val="18"/>
              </w:rPr>
            </w:pPr>
            <w:r>
              <w:rPr>
                <w:rFonts w:hint="eastAsia" w:ascii="Times New Roman" w:hAnsi="Times New Roman" w:cs="Times New Roman"/>
                <w:sz w:val="18"/>
                <w:szCs w:val="18"/>
              </w:rPr>
              <w:t>一般固废</w:t>
            </w:r>
          </w:p>
        </w:tc>
        <w:tc>
          <w:tcPr>
            <w:tcW w:w="966" w:type="dxa"/>
            <w:vAlign w:val="center"/>
          </w:tcPr>
          <w:p w14:paraId="0BE7F835">
            <w:pPr>
              <w:jc w:val="center"/>
              <w:rPr>
                <w:rFonts w:ascii="Times New Roman" w:hAnsi="Times New Roman" w:cs="Times New Roman"/>
                <w:sz w:val="18"/>
                <w:szCs w:val="18"/>
              </w:rPr>
            </w:pPr>
            <w:r>
              <w:rPr>
                <w:rFonts w:hint="eastAsia" w:ascii="Times New Roman" w:hAnsi="Times New Roman" w:cs="Times New Roman"/>
                <w:sz w:val="18"/>
                <w:szCs w:val="18"/>
              </w:rPr>
              <w:t>连续</w:t>
            </w:r>
          </w:p>
        </w:tc>
        <w:tc>
          <w:tcPr>
            <w:tcW w:w="1602" w:type="dxa"/>
            <w:vAlign w:val="center"/>
          </w:tcPr>
          <w:p w14:paraId="5D29BC5B">
            <w:pPr>
              <w:pStyle w:val="557"/>
            </w:pPr>
            <w:r>
              <w:rPr>
                <w:rFonts w:hint="eastAsia"/>
              </w:rPr>
              <w:t>回用</w:t>
            </w:r>
          </w:p>
        </w:tc>
      </w:tr>
    </w:tbl>
    <w:p w14:paraId="1B14B93F">
      <w:pPr>
        <w:pStyle w:val="98"/>
        <w:rPr>
          <w:rFonts w:hint="eastAsia"/>
        </w:rPr>
      </w:pPr>
      <w:r>
        <w:rPr>
          <w:rFonts w:hint="eastAsia"/>
        </w:rPr>
        <w:t>主要设备</w:t>
      </w:r>
    </w:p>
    <w:p w14:paraId="0513723E">
      <w:pPr>
        <w:pStyle w:val="128"/>
        <w:rPr>
          <w:rFonts w:hint="eastAsia"/>
        </w:rPr>
      </w:pPr>
      <w:r>
        <w:rPr>
          <w:rFonts w:hint="eastAsia"/>
        </w:rPr>
        <w:t>有机缓释肥</w:t>
      </w:r>
      <w:r>
        <w:t>装</w:t>
      </w:r>
      <w:r>
        <w:rPr>
          <w:rFonts w:hint="eastAsia"/>
        </w:rPr>
        <w:t>主要设备见表3</w:t>
      </w:r>
      <w:r>
        <w:t>.2.8-</w:t>
      </w:r>
      <w:r>
        <w:rPr>
          <w:rFonts w:hint="eastAsia"/>
        </w:rPr>
        <w:t>3。</w:t>
      </w:r>
    </w:p>
    <w:p w14:paraId="56126B85">
      <w:pPr>
        <w:pStyle w:val="128"/>
        <w:rPr>
          <w:rFonts w:hint="eastAsia"/>
        </w:rPr>
      </w:pPr>
    </w:p>
    <w:p w14:paraId="1BB3B399">
      <w:pPr>
        <w:pStyle w:val="128"/>
        <w:rPr>
          <w:rFonts w:hint="eastAsia"/>
        </w:rPr>
        <w:sectPr>
          <w:pgSz w:w="11906" w:h="16838"/>
          <w:pgMar w:top="1440" w:right="1800" w:bottom="1440" w:left="1800" w:header="851" w:footer="850" w:gutter="0"/>
          <w:cols w:space="425" w:num="1"/>
          <w:docGrid w:type="lines" w:linePitch="326" w:charSpace="0"/>
        </w:sectPr>
      </w:pPr>
    </w:p>
    <w:p w14:paraId="57FDA5BC">
      <w:pPr>
        <w:pStyle w:val="535"/>
        <w:rPr>
          <w:rFonts w:hint="eastAsia"/>
          <w:color w:val="auto"/>
        </w:rPr>
      </w:pPr>
    </w:p>
    <w:p w14:paraId="38CBFD22">
      <w:pPr>
        <w:pStyle w:val="535"/>
        <w:rPr>
          <w:rFonts w:hint="eastAsia"/>
          <w:color w:val="auto"/>
        </w:rPr>
      </w:pPr>
      <w:r>
        <w:rPr>
          <w:rFonts w:hint="eastAsia"/>
          <w:color w:val="auto"/>
        </w:rPr>
        <w:t>图</w:t>
      </w:r>
      <w:r>
        <w:rPr>
          <w:color w:val="auto"/>
        </w:rPr>
        <w:t>3.2.</w:t>
      </w:r>
      <w:r>
        <w:rPr>
          <w:rFonts w:hint="eastAsia"/>
          <w:color w:val="auto"/>
        </w:rPr>
        <w:t>8</w:t>
      </w:r>
      <w:r>
        <w:rPr>
          <w:color w:val="auto"/>
        </w:rPr>
        <w:t>-</w:t>
      </w:r>
      <w:r>
        <w:rPr>
          <w:rFonts w:hint="eastAsia"/>
          <w:color w:val="auto"/>
        </w:rPr>
        <w:t xml:space="preserve">1 </w:t>
      </w:r>
      <w:r>
        <w:rPr>
          <w:color w:val="auto"/>
        </w:rPr>
        <w:t xml:space="preserve">   </w:t>
      </w:r>
      <w:r>
        <w:rPr>
          <w:rFonts w:hint="eastAsia"/>
          <w:color w:val="auto"/>
        </w:rPr>
        <w:t>有机缓释肥装置工艺流程及产污环节图</w:t>
      </w:r>
    </w:p>
    <w:p w14:paraId="5488D1DB">
      <w:pPr>
        <w:pStyle w:val="535"/>
        <w:rPr>
          <w:rFonts w:hint="eastAsia"/>
          <w:color w:val="auto"/>
        </w:rPr>
      </w:pPr>
    </w:p>
    <w:p w14:paraId="115B836A">
      <w:pPr>
        <w:pStyle w:val="535"/>
        <w:rPr>
          <w:rFonts w:hint="eastAsia"/>
          <w:color w:val="auto"/>
        </w:rPr>
      </w:pPr>
    </w:p>
    <w:p w14:paraId="0B8C859C">
      <w:pPr>
        <w:pStyle w:val="645"/>
        <w:rPr>
          <w:rFonts w:hint="eastAsia"/>
        </w:rPr>
      </w:pPr>
      <w:r>
        <w:rPr>
          <w:rFonts w:hint="eastAsia"/>
        </w:rPr>
        <w:t>表3</w:t>
      </w:r>
      <w:r>
        <w:t>.2.8-</w:t>
      </w:r>
      <w:r>
        <w:rPr>
          <w:rFonts w:hint="eastAsia"/>
        </w:rPr>
        <w:t>3</w:t>
      </w:r>
      <w:r>
        <w:t xml:space="preserve">    </w:t>
      </w:r>
      <w:r>
        <w:rPr>
          <w:rFonts w:hint="eastAsia"/>
        </w:rPr>
        <w:t>有机缓释肥</w:t>
      </w:r>
      <w:r>
        <w:t>装</w:t>
      </w:r>
      <w:r>
        <w:rPr>
          <w:rFonts w:hint="eastAsia"/>
        </w:rPr>
        <w:t>置设备一览表</w:t>
      </w:r>
    </w:p>
    <w:p w14:paraId="28EE7782">
      <w:pPr>
        <w:pStyle w:val="128"/>
        <w:rPr>
          <w:rFonts w:hint="eastAsia"/>
        </w:rPr>
      </w:pPr>
      <w:bookmarkStart w:id="179" w:name="_Toc182475480"/>
    </w:p>
    <w:p w14:paraId="5F6B74CA">
      <w:pPr>
        <w:pStyle w:val="128"/>
        <w:rPr>
          <w:rFonts w:hint="eastAsia"/>
        </w:rPr>
        <w:sectPr>
          <w:pgSz w:w="16838" w:h="11906" w:orient="landscape"/>
          <w:pgMar w:top="1800" w:right="1440" w:bottom="1800" w:left="1440" w:header="851" w:footer="850" w:gutter="0"/>
          <w:cols w:space="425" w:num="1"/>
          <w:docGrid w:type="lines" w:linePitch="326" w:charSpace="0"/>
        </w:sectPr>
      </w:pPr>
    </w:p>
    <w:p w14:paraId="386C5CEC">
      <w:pPr>
        <w:pStyle w:val="98"/>
        <w:rPr>
          <w:rFonts w:hint="eastAsia"/>
        </w:rPr>
      </w:pPr>
      <w:r>
        <w:rPr>
          <w:rFonts w:hint="eastAsia"/>
        </w:rPr>
        <w:t>物料平衡</w:t>
      </w:r>
    </w:p>
    <w:p w14:paraId="3035A705">
      <w:pPr>
        <w:pStyle w:val="814"/>
        <w:rPr>
          <w:rFonts w:hint="eastAsia"/>
        </w:rPr>
      </w:pPr>
      <w:r>
        <w:rPr>
          <w:rFonts w:hint="eastAsia"/>
        </w:rPr>
        <w:t>物料平衡</w:t>
      </w:r>
    </w:p>
    <w:p w14:paraId="15554A21">
      <w:pPr>
        <w:pStyle w:val="128"/>
        <w:rPr>
          <w:rFonts w:hint="eastAsia"/>
        </w:rPr>
      </w:pPr>
      <w:r>
        <w:rPr>
          <w:rFonts w:hint="eastAsia"/>
        </w:rPr>
        <w:t>有机缓释肥装置物料平衡见表3.2.8-4。</w:t>
      </w:r>
    </w:p>
    <w:p w14:paraId="04098944">
      <w:pPr>
        <w:pStyle w:val="535"/>
        <w:rPr>
          <w:rFonts w:hint="eastAsia"/>
        </w:rPr>
      </w:pPr>
      <w:r>
        <w:rPr>
          <w:rFonts w:hint="eastAsia"/>
        </w:rPr>
        <w:t>表3.2.8-4    有机缓释肥装置物料衡算表</w:t>
      </w:r>
    </w:p>
    <w:p w14:paraId="7CE3AECC">
      <w:pPr>
        <w:pStyle w:val="814"/>
        <w:rPr>
          <w:rFonts w:hint="eastAsia"/>
        </w:rPr>
      </w:pPr>
      <w:r>
        <w:rPr>
          <w:rFonts w:hint="eastAsia"/>
        </w:rPr>
        <w:t>水平衡</w:t>
      </w:r>
    </w:p>
    <w:p w14:paraId="45B5B1AF">
      <w:pPr>
        <w:pStyle w:val="281"/>
        <w:ind w:firstLine="480"/>
      </w:pPr>
      <w:r>
        <w:rPr>
          <w:rFonts w:hint="eastAsia"/>
        </w:rPr>
        <w:t>有机缓释肥装置水平衡见表3.2.8-5；</w:t>
      </w:r>
    </w:p>
    <w:p w14:paraId="666E5DDD">
      <w:pPr>
        <w:pStyle w:val="535"/>
        <w:rPr>
          <w:rFonts w:hint="eastAsia"/>
          <w:color w:val="auto"/>
        </w:rPr>
      </w:pPr>
      <w:r>
        <w:rPr>
          <w:rFonts w:hint="eastAsia"/>
          <w:color w:val="auto"/>
        </w:rPr>
        <w:t>表3.2.8-5</w:t>
      </w:r>
      <w:r>
        <w:rPr>
          <w:color w:val="auto"/>
        </w:rPr>
        <w:t xml:space="preserve">    </w:t>
      </w:r>
      <w:r>
        <w:rPr>
          <w:rFonts w:hint="eastAsia"/>
        </w:rPr>
        <w:t>有机缓释肥装置水</w:t>
      </w:r>
      <w:r>
        <w:rPr>
          <w:rFonts w:hint="eastAsia"/>
          <w:color w:val="auto"/>
        </w:rPr>
        <w:t>平衡表</w:t>
      </w:r>
    </w:p>
    <w:p w14:paraId="3313D894">
      <w:pPr>
        <w:pStyle w:val="128"/>
        <w:rPr>
          <w:rFonts w:hint="eastAsia"/>
        </w:rPr>
      </w:pPr>
    </w:p>
    <w:p w14:paraId="1B6871D2">
      <w:pPr>
        <w:pStyle w:val="814"/>
        <w:rPr>
          <w:rFonts w:hint="eastAsia"/>
        </w:rPr>
      </w:pPr>
      <w:r>
        <w:rPr>
          <w:rFonts w:hint="eastAsia"/>
        </w:rPr>
        <w:t>碳平衡</w:t>
      </w:r>
    </w:p>
    <w:p w14:paraId="10E346C8">
      <w:pPr>
        <w:pStyle w:val="128"/>
        <w:rPr>
          <w:rFonts w:hint="eastAsia"/>
        </w:rPr>
      </w:pPr>
      <w:r>
        <w:rPr>
          <w:rFonts w:hint="eastAsia"/>
        </w:rPr>
        <w:t>有机缓释肥装置碳平衡见表3.2.8-6。</w:t>
      </w:r>
    </w:p>
    <w:p w14:paraId="7A1F10B0">
      <w:pPr>
        <w:pStyle w:val="535"/>
        <w:rPr>
          <w:rFonts w:hint="eastAsia"/>
        </w:rPr>
      </w:pPr>
      <w:r>
        <w:rPr>
          <w:rFonts w:hint="eastAsia"/>
        </w:rPr>
        <w:t>表3.2.8-6    有机缓释肥装置碳平衡表</w:t>
      </w:r>
    </w:p>
    <w:p w14:paraId="14D02C52">
      <w:pPr>
        <w:rPr>
          <w:rFonts w:hint="eastAsia"/>
        </w:rPr>
      </w:pPr>
    </w:p>
    <w:p w14:paraId="11410D59">
      <w:pPr>
        <w:pStyle w:val="98"/>
        <w:rPr>
          <w:rFonts w:hint="eastAsia"/>
        </w:rPr>
      </w:pPr>
      <w:r>
        <w:rPr>
          <w:rFonts w:hint="eastAsia"/>
        </w:rPr>
        <w:t>污染物源强核算</w:t>
      </w:r>
    </w:p>
    <w:p w14:paraId="07A9D4B8">
      <w:pPr>
        <w:pStyle w:val="814"/>
        <w:rPr>
          <w:rFonts w:hint="eastAsia"/>
        </w:rPr>
      </w:pPr>
      <w:r>
        <w:rPr>
          <w:rFonts w:hint="eastAsia"/>
        </w:rPr>
        <w:t>废气</w:t>
      </w:r>
    </w:p>
    <w:p w14:paraId="195251F7">
      <w:pPr>
        <w:pStyle w:val="128"/>
        <w:rPr>
          <w:rFonts w:hint="eastAsia"/>
        </w:rPr>
      </w:pPr>
      <w:r>
        <w:rPr>
          <w:rFonts w:hint="eastAsia"/>
        </w:rPr>
        <w:t>（1）投料废气</w:t>
      </w:r>
    </w:p>
    <w:p w14:paraId="061F3046">
      <w:pPr>
        <w:pStyle w:val="281"/>
        <w:ind w:firstLine="480"/>
      </w:pPr>
      <w:r>
        <w:rPr>
          <w:rFonts w:hint="eastAsia"/>
        </w:rPr>
        <w:t>投料废气产生的颗粒物参照《逸散性工业粉尘控制技术》第十二章混合肥料厂，车辆卸料并转运至贮斗产污系数0</w:t>
      </w:r>
      <w:r>
        <w:t>.1</w:t>
      </w:r>
      <w:r>
        <w:rPr>
          <w:rFonts w:hint="eastAsia"/>
        </w:rPr>
        <w:t>kg</w:t>
      </w:r>
      <w:r>
        <w:t>/t-</w:t>
      </w:r>
      <w:r>
        <w:rPr>
          <w:rFonts w:hint="eastAsia"/>
        </w:rPr>
        <w:t>产品；</w:t>
      </w:r>
      <w:r>
        <w:t>本项目</w:t>
      </w:r>
      <w:r>
        <w:rPr>
          <w:rFonts w:hint="eastAsia"/>
        </w:rPr>
        <w:t>有机缓释肥</w:t>
      </w:r>
      <w:r>
        <w:t>产量为</w:t>
      </w:r>
      <w:r>
        <w:rPr>
          <w:rFonts w:hint="eastAsia"/>
        </w:rPr>
        <w:t>40</w:t>
      </w:r>
      <w:r>
        <w:t>万吨</w:t>
      </w:r>
      <w:r>
        <w:rPr>
          <w:rFonts w:hint="eastAsia"/>
        </w:rPr>
        <w:t>/</w:t>
      </w:r>
      <w:r>
        <w:t>年，</w:t>
      </w:r>
      <w:r>
        <w:rPr>
          <w:rFonts w:hint="eastAsia"/>
        </w:rPr>
        <w:t>配料废气颗粒物</w:t>
      </w:r>
      <w:r>
        <w:t>产生量为</w:t>
      </w:r>
      <w:r>
        <w:rPr>
          <w:rFonts w:hint="eastAsia"/>
        </w:rPr>
        <w:t>40</w:t>
      </w:r>
      <w:r>
        <w:rPr>
          <w:rStyle w:val="282"/>
        </w:rPr>
        <w:t>t/a</w:t>
      </w:r>
      <w:r>
        <w:rPr>
          <w:rFonts w:hint="eastAsia"/>
        </w:rPr>
        <w:t>，配料废气具体产排情况见表</w:t>
      </w:r>
      <w:r>
        <w:t>3.2.</w:t>
      </w:r>
      <w:r>
        <w:rPr>
          <w:rFonts w:hint="eastAsia"/>
        </w:rPr>
        <w:t>8</w:t>
      </w:r>
      <w:r>
        <w:t>-</w:t>
      </w:r>
      <w:r>
        <w:rPr>
          <w:rFonts w:hint="eastAsia"/>
        </w:rPr>
        <w:t>6。</w:t>
      </w:r>
    </w:p>
    <w:p w14:paraId="758BA21A">
      <w:pPr>
        <w:pStyle w:val="645"/>
        <w:rPr>
          <w:rFonts w:hint="eastAsia"/>
        </w:rPr>
      </w:pPr>
      <w:r>
        <w:rPr>
          <w:rFonts w:hint="eastAsia"/>
        </w:rPr>
        <w:t>表</w:t>
      </w:r>
      <w:r>
        <w:t>3.2.</w:t>
      </w:r>
      <w:r>
        <w:rPr>
          <w:rFonts w:hint="eastAsia"/>
        </w:rPr>
        <w:t>8</w:t>
      </w:r>
      <w:r>
        <w:t>-</w:t>
      </w:r>
      <w:r>
        <w:rPr>
          <w:rFonts w:hint="eastAsia"/>
        </w:rPr>
        <w:t>6</w:t>
      </w:r>
      <w:r>
        <w:t xml:space="preserve">    </w:t>
      </w:r>
      <w:r>
        <w:rPr>
          <w:rFonts w:hint="eastAsia"/>
        </w:rPr>
        <w:t>配料废气产排情况</w:t>
      </w:r>
      <w:r>
        <w:t>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8"/>
        <w:gridCol w:w="573"/>
        <w:gridCol w:w="718"/>
        <w:gridCol w:w="718"/>
        <w:gridCol w:w="638"/>
        <w:gridCol w:w="406"/>
        <w:gridCol w:w="913"/>
        <w:gridCol w:w="580"/>
        <w:gridCol w:w="684"/>
        <w:gridCol w:w="747"/>
        <w:gridCol w:w="620"/>
        <w:gridCol w:w="610"/>
      </w:tblGrid>
      <w:tr w14:paraId="7D1E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68" w:type="pct"/>
            <w:vAlign w:val="center"/>
          </w:tcPr>
          <w:p w14:paraId="08D6B3E3">
            <w:pPr>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503" w:type="pct"/>
            <w:vAlign w:val="center"/>
          </w:tcPr>
          <w:p w14:paraId="2FBFC96F">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污染源</w:t>
            </w:r>
          </w:p>
        </w:tc>
        <w:tc>
          <w:tcPr>
            <w:tcW w:w="336" w:type="pct"/>
            <w:vAlign w:val="center"/>
          </w:tcPr>
          <w:p w14:paraId="6B9F631D">
            <w:pPr>
              <w:jc w:val="center"/>
              <w:rPr>
                <w:rFonts w:ascii="Times New Roman" w:hAnsi="Times New Roman" w:cs="Times New Roman"/>
                <w:color w:val="000000"/>
                <w:sz w:val="18"/>
                <w:szCs w:val="18"/>
              </w:rPr>
            </w:pPr>
            <w:r>
              <w:rPr>
                <w:rFonts w:ascii="Times New Roman" w:hAnsi="Times New Roman" w:cs="Times New Roman"/>
                <w:color w:val="000000"/>
                <w:sz w:val="18"/>
                <w:szCs w:val="18"/>
              </w:rPr>
              <w:t>核算方法</w:t>
            </w:r>
          </w:p>
        </w:tc>
        <w:tc>
          <w:tcPr>
            <w:tcW w:w="421" w:type="pct"/>
            <w:vAlign w:val="center"/>
          </w:tcPr>
          <w:p w14:paraId="5CAA4DCA">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污染物</w:t>
            </w:r>
          </w:p>
        </w:tc>
        <w:tc>
          <w:tcPr>
            <w:tcW w:w="421" w:type="pct"/>
            <w:vAlign w:val="center"/>
          </w:tcPr>
          <w:p w14:paraId="0C771AC6">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产生浓度mg/m</w:t>
            </w:r>
            <w:r>
              <w:rPr>
                <w:rFonts w:ascii="Times New Roman" w:hAnsi="Times New Roman" w:cs="Times New Roman"/>
                <w:color w:val="000000"/>
                <w:sz w:val="18"/>
                <w:szCs w:val="18"/>
                <w:vertAlign w:val="superscript"/>
              </w:rPr>
              <w:t>3</w:t>
            </w:r>
          </w:p>
        </w:tc>
        <w:tc>
          <w:tcPr>
            <w:tcW w:w="374" w:type="pct"/>
            <w:vAlign w:val="center"/>
          </w:tcPr>
          <w:p w14:paraId="504ACFFB">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产生速率kg/h</w:t>
            </w:r>
          </w:p>
        </w:tc>
        <w:tc>
          <w:tcPr>
            <w:tcW w:w="238" w:type="pct"/>
            <w:vAlign w:val="center"/>
          </w:tcPr>
          <w:p w14:paraId="6119B6E9">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产生量t/a</w:t>
            </w:r>
          </w:p>
        </w:tc>
        <w:tc>
          <w:tcPr>
            <w:tcW w:w="535" w:type="pct"/>
            <w:vAlign w:val="center"/>
          </w:tcPr>
          <w:p w14:paraId="328AE39C">
            <w:pPr>
              <w:jc w:val="center"/>
              <w:rPr>
                <w:rFonts w:ascii="Times New Roman" w:hAnsi="Times New Roman" w:cs="Times New Roman"/>
                <w:color w:val="000000"/>
                <w:sz w:val="18"/>
                <w:szCs w:val="18"/>
              </w:rPr>
            </w:pPr>
            <w:r>
              <w:rPr>
                <w:rFonts w:ascii="Times New Roman" w:hAnsi="Times New Roman" w:cs="Times New Roman"/>
                <w:color w:val="000000"/>
                <w:sz w:val="18"/>
                <w:szCs w:val="18"/>
              </w:rPr>
              <w:t>治理措施</w:t>
            </w:r>
          </w:p>
        </w:tc>
        <w:tc>
          <w:tcPr>
            <w:tcW w:w="340" w:type="pct"/>
            <w:vAlign w:val="center"/>
          </w:tcPr>
          <w:p w14:paraId="154A9EC8">
            <w:pPr>
              <w:jc w:val="center"/>
              <w:rPr>
                <w:rFonts w:ascii="Times New Roman" w:hAnsi="Times New Roman" w:cs="Times New Roman"/>
                <w:color w:val="000000"/>
                <w:sz w:val="18"/>
                <w:szCs w:val="18"/>
              </w:rPr>
            </w:pPr>
            <w:r>
              <w:rPr>
                <w:rFonts w:ascii="Times New Roman" w:hAnsi="Times New Roman" w:cs="Times New Roman"/>
                <w:color w:val="000000"/>
                <w:sz w:val="18"/>
                <w:szCs w:val="18"/>
              </w:rPr>
              <w:t>去除效率%</w:t>
            </w:r>
          </w:p>
        </w:tc>
        <w:tc>
          <w:tcPr>
            <w:tcW w:w="401" w:type="pct"/>
            <w:vAlign w:val="center"/>
          </w:tcPr>
          <w:p w14:paraId="6ABA2097">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排气量</w:t>
            </w:r>
          </w:p>
          <w:p w14:paraId="01813B11">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m</w:t>
            </w:r>
            <w:r>
              <w:rPr>
                <w:rFonts w:ascii="Times New Roman" w:hAnsi="Times New Roman" w:eastAsia="等线" w:cs="Times New Roman"/>
                <w:color w:val="000000"/>
                <w:sz w:val="18"/>
                <w:szCs w:val="18"/>
                <w:vertAlign w:val="superscript"/>
              </w:rPr>
              <w:t>3</w:t>
            </w:r>
            <w:r>
              <w:rPr>
                <w:rFonts w:ascii="Times New Roman" w:hAnsi="Times New Roman" w:eastAsia="等线" w:cs="Times New Roman"/>
                <w:color w:val="000000"/>
                <w:sz w:val="18"/>
                <w:szCs w:val="18"/>
              </w:rPr>
              <w:t>/h</w:t>
            </w:r>
          </w:p>
        </w:tc>
        <w:tc>
          <w:tcPr>
            <w:tcW w:w="438" w:type="pct"/>
            <w:vAlign w:val="center"/>
          </w:tcPr>
          <w:p w14:paraId="55C3B877">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排放浓度mg/m</w:t>
            </w:r>
            <w:r>
              <w:rPr>
                <w:rFonts w:ascii="Times New Roman" w:hAnsi="Times New Roman" w:cs="Times New Roman"/>
                <w:color w:val="000000"/>
                <w:sz w:val="18"/>
                <w:szCs w:val="18"/>
                <w:vertAlign w:val="superscript"/>
              </w:rPr>
              <w:t>3</w:t>
            </w:r>
          </w:p>
        </w:tc>
        <w:tc>
          <w:tcPr>
            <w:tcW w:w="363" w:type="pct"/>
            <w:vAlign w:val="center"/>
          </w:tcPr>
          <w:p w14:paraId="50889D66">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排放速率</w:t>
            </w:r>
          </w:p>
          <w:p w14:paraId="240B3423">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kg/h</w:t>
            </w:r>
          </w:p>
        </w:tc>
        <w:tc>
          <w:tcPr>
            <w:tcW w:w="357" w:type="pct"/>
            <w:vAlign w:val="center"/>
          </w:tcPr>
          <w:p w14:paraId="5CDBF3A3">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排放量t/a</w:t>
            </w:r>
          </w:p>
        </w:tc>
      </w:tr>
      <w:tr w14:paraId="71AB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restart"/>
            <w:vAlign w:val="center"/>
          </w:tcPr>
          <w:p w14:paraId="1939756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G</w:t>
            </w:r>
            <w:r>
              <w:rPr>
                <w:rFonts w:ascii="Times New Roman" w:hAnsi="Times New Roman" w:eastAsia="等线" w:cs="Times New Roman"/>
                <w:color w:val="000000"/>
                <w:sz w:val="18"/>
                <w:szCs w:val="18"/>
                <w:vertAlign w:val="subscript"/>
              </w:rPr>
              <w:t>5-1</w:t>
            </w:r>
          </w:p>
        </w:tc>
        <w:tc>
          <w:tcPr>
            <w:tcW w:w="503" w:type="pct"/>
            <w:vAlign w:val="center"/>
          </w:tcPr>
          <w:p w14:paraId="4C58D265">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1#-投料</w:t>
            </w:r>
            <w:r>
              <w:rPr>
                <w:rFonts w:ascii="Times New Roman" w:hAnsi="Times New Roman" w:cs="Times New Roman"/>
                <w:color w:val="000000"/>
                <w:sz w:val="18"/>
                <w:szCs w:val="18"/>
              </w:rPr>
              <w:t>废气</w:t>
            </w:r>
          </w:p>
        </w:tc>
        <w:tc>
          <w:tcPr>
            <w:tcW w:w="336" w:type="pct"/>
            <w:vAlign w:val="center"/>
          </w:tcPr>
          <w:p w14:paraId="068C4376">
            <w:pPr>
              <w:jc w:val="center"/>
              <w:rPr>
                <w:rFonts w:ascii="Times New Roman" w:hAnsi="Times New Roman" w:cs="Times New Roman"/>
                <w:color w:val="000000"/>
                <w:sz w:val="18"/>
                <w:szCs w:val="18"/>
              </w:rPr>
            </w:pPr>
            <w:r>
              <w:rPr>
                <w:rFonts w:ascii="Times New Roman" w:hAnsi="Times New Roman" w:cs="Times New Roman"/>
                <w:color w:val="000000"/>
                <w:sz w:val="18"/>
                <w:szCs w:val="18"/>
              </w:rPr>
              <w:t>系数法</w:t>
            </w:r>
          </w:p>
        </w:tc>
        <w:tc>
          <w:tcPr>
            <w:tcW w:w="421" w:type="pct"/>
            <w:vAlign w:val="center"/>
          </w:tcPr>
          <w:p w14:paraId="4E04C661">
            <w:pPr>
              <w:jc w:val="center"/>
              <w:rPr>
                <w:rFonts w:ascii="Times New Roman" w:hAnsi="Times New Roman" w:cs="Times New Roman"/>
                <w:color w:val="000000"/>
                <w:sz w:val="18"/>
                <w:szCs w:val="18"/>
              </w:rPr>
            </w:pPr>
            <w:r>
              <w:rPr>
                <w:rFonts w:ascii="Times New Roman" w:hAnsi="Times New Roman" w:cs="Times New Roman"/>
                <w:color w:val="000000"/>
                <w:sz w:val="18"/>
                <w:szCs w:val="18"/>
              </w:rPr>
              <w:t>颗粒物</w:t>
            </w:r>
          </w:p>
        </w:tc>
        <w:tc>
          <w:tcPr>
            <w:tcW w:w="421" w:type="pct"/>
            <w:vAlign w:val="center"/>
          </w:tcPr>
          <w:p w14:paraId="283B6024">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465.12</w:t>
            </w:r>
          </w:p>
        </w:tc>
        <w:tc>
          <w:tcPr>
            <w:tcW w:w="374" w:type="pct"/>
            <w:vAlign w:val="center"/>
          </w:tcPr>
          <w:p w14:paraId="08E403F2">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2.5</w:t>
            </w:r>
          </w:p>
        </w:tc>
        <w:tc>
          <w:tcPr>
            <w:tcW w:w="238" w:type="pct"/>
            <w:vAlign w:val="center"/>
          </w:tcPr>
          <w:p w14:paraId="2E781D9A">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20</w:t>
            </w:r>
          </w:p>
        </w:tc>
        <w:tc>
          <w:tcPr>
            <w:tcW w:w="535" w:type="pct"/>
            <w:vAlign w:val="center"/>
          </w:tcPr>
          <w:p w14:paraId="511469BF">
            <w:pPr>
              <w:jc w:val="center"/>
              <w:rPr>
                <w:rFonts w:ascii="Times New Roman" w:hAnsi="Times New Roman" w:cs="Times New Roman"/>
                <w:color w:val="000000"/>
                <w:sz w:val="18"/>
                <w:szCs w:val="18"/>
              </w:rPr>
            </w:pPr>
            <w:r>
              <w:rPr>
                <w:rFonts w:ascii="Times New Roman" w:hAnsi="Times New Roman" w:cs="Times New Roman"/>
                <w:color w:val="000000"/>
                <w:sz w:val="18"/>
                <w:szCs w:val="18"/>
              </w:rPr>
              <w:t>布袋除尘器</w:t>
            </w:r>
          </w:p>
        </w:tc>
        <w:tc>
          <w:tcPr>
            <w:tcW w:w="340" w:type="pct"/>
            <w:vAlign w:val="center"/>
          </w:tcPr>
          <w:p w14:paraId="1729A53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99</w:t>
            </w:r>
          </w:p>
        </w:tc>
        <w:tc>
          <w:tcPr>
            <w:tcW w:w="401" w:type="pct"/>
            <w:noWrap/>
            <w:vAlign w:val="center"/>
          </w:tcPr>
          <w:p w14:paraId="33B33CB7">
            <w:pPr>
              <w:pStyle w:val="557"/>
            </w:pPr>
            <w:r>
              <w:rPr>
                <w:rFonts w:hint="eastAsia"/>
              </w:rPr>
              <w:t>21500</w:t>
            </w:r>
          </w:p>
        </w:tc>
        <w:tc>
          <w:tcPr>
            <w:tcW w:w="438" w:type="pct"/>
            <w:vAlign w:val="center"/>
          </w:tcPr>
          <w:p w14:paraId="7E2D123E">
            <w:pPr>
              <w:jc w:val="center"/>
              <w:textAlignment w:val="center"/>
              <w:rPr>
                <w:rFonts w:hint="eastAsia"/>
              </w:rPr>
            </w:pPr>
            <w:r>
              <w:rPr>
                <w:rFonts w:ascii="Times New Roman" w:hAnsi="Times New Roman" w:cs="Times New Roman"/>
                <w:color w:val="000000"/>
                <w:sz w:val="18"/>
                <w:szCs w:val="18"/>
              </w:rPr>
              <w:t>9.30</w:t>
            </w:r>
          </w:p>
        </w:tc>
        <w:tc>
          <w:tcPr>
            <w:tcW w:w="363" w:type="pct"/>
            <w:vAlign w:val="center"/>
          </w:tcPr>
          <w:p w14:paraId="2221C598">
            <w:pPr>
              <w:jc w:val="center"/>
              <w:textAlignment w:val="center"/>
              <w:rPr>
                <w:rFonts w:hint="eastAsia"/>
              </w:rPr>
            </w:pPr>
            <w:r>
              <w:rPr>
                <w:rFonts w:ascii="Times New Roman" w:hAnsi="Times New Roman" w:cs="Times New Roman"/>
                <w:color w:val="000000"/>
                <w:sz w:val="18"/>
                <w:szCs w:val="18"/>
              </w:rPr>
              <w:t>0.2</w:t>
            </w:r>
          </w:p>
        </w:tc>
        <w:tc>
          <w:tcPr>
            <w:tcW w:w="357" w:type="pct"/>
            <w:vAlign w:val="center"/>
          </w:tcPr>
          <w:p w14:paraId="04A60F72">
            <w:pPr>
              <w:jc w:val="center"/>
              <w:textAlignment w:val="center"/>
              <w:rPr>
                <w:rFonts w:hint="eastAsia"/>
              </w:rPr>
            </w:pPr>
            <w:r>
              <w:rPr>
                <w:rFonts w:ascii="Times New Roman" w:hAnsi="Times New Roman" w:cs="Times New Roman"/>
                <w:color w:val="000000"/>
                <w:sz w:val="18"/>
                <w:szCs w:val="18"/>
              </w:rPr>
              <w:t>1.6</w:t>
            </w:r>
          </w:p>
        </w:tc>
      </w:tr>
      <w:tr w14:paraId="37AE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8" w:type="pct"/>
            <w:vMerge w:val="continue"/>
            <w:vAlign w:val="center"/>
          </w:tcPr>
          <w:p w14:paraId="5064D42A">
            <w:pPr>
              <w:jc w:val="center"/>
              <w:rPr>
                <w:rFonts w:ascii="Times New Roman" w:hAnsi="Times New Roman" w:eastAsia="等线" w:cs="Times New Roman"/>
                <w:color w:val="000000"/>
                <w:sz w:val="18"/>
                <w:szCs w:val="18"/>
              </w:rPr>
            </w:pPr>
          </w:p>
        </w:tc>
        <w:tc>
          <w:tcPr>
            <w:tcW w:w="503" w:type="pct"/>
            <w:vAlign w:val="center"/>
          </w:tcPr>
          <w:p w14:paraId="472C304A">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2#-投料</w:t>
            </w:r>
            <w:r>
              <w:rPr>
                <w:rFonts w:ascii="Times New Roman" w:hAnsi="Times New Roman" w:cs="Times New Roman"/>
                <w:color w:val="000000"/>
                <w:sz w:val="18"/>
                <w:szCs w:val="18"/>
              </w:rPr>
              <w:t>废气</w:t>
            </w:r>
          </w:p>
        </w:tc>
        <w:tc>
          <w:tcPr>
            <w:tcW w:w="336" w:type="pct"/>
            <w:vAlign w:val="center"/>
          </w:tcPr>
          <w:p w14:paraId="05456958">
            <w:pPr>
              <w:jc w:val="center"/>
              <w:rPr>
                <w:rFonts w:ascii="Times New Roman" w:hAnsi="Times New Roman" w:cs="Times New Roman"/>
                <w:color w:val="000000"/>
                <w:sz w:val="18"/>
                <w:szCs w:val="18"/>
              </w:rPr>
            </w:pPr>
            <w:r>
              <w:rPr>
                <w:rFonts w:ascii="Times New Roman" w:hAnsi="Times New Roman" w:cs="Times New Roman"/>
                <w:color w:val="000000"/>
                <w:sz w:val="18"/>
                <w:szCs w:val="18"/>
              </w:rPr>
              <w:t>系数法</w:t>
            </w:r>
          </w:p>
        </w:tc>
        <w:tc>
          <w:tcPr>
            <w:tcW w:w="421" w:type="pct"/>
            <w:vAlign w:val="center"/>
          </w:tcPr>
          <w:p w14:paraId="52E6FC01">
            <w:pPr>
              <w:jc w:val="center"/>
              <w:rPr>
                <w:rFonts w:ascii="Times New Roman" w:hAnsi="Times New Roman" w:cs="Times New Roman"/>
                <w:color w:val="000000"/>
                <w:sz w:val="18"/>
                <w:szCs w:val="18"/>
              </w:rPr>
            </w:pPr>
            <w:r>
              <w:rPr>
                <w:rFonts w:ascii="Times New Roman" w:hAnsi="Times New Roman" w:cs="Times New Roman"/>
                <w:color w:val="000000"/>
                <w:sz w:val="18"/>
                <w:szCs w:val="18"/>
              </w:rPr>
              <w:t>颗粒物</w:t>
            </w:r>
          </w:p>
        </w:tc>
        <w:tc>
          <w:tcPr>
            <w:tcW w:w="421" w:type="pct"/>
            <w:vAlign w:val="center"/>
          </w:tcPr>
          <w:p w14:paraId="025EA48F">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465.12</w:t>
            </w:r>
          </w:p>
        </w:tc>
        <w:tc>
          <w:tcPr>
            <w:tcW w:w="374" w:type="pct"/>
            <w:vAlign w:val="center"/>
          </w:tcPr>
          <w:p w14:paraId="03DBAE89">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2.5</w:t>
            </w:r>
          </w:p>
        </w:tc>
        <w:tc>
          <w:tcPr>
            <w:tcW w:w="238" w:type="pct"/>
            <w:vAlign w:val="center"/>
          </w:tcPr>
          <w:p w14:paraId="1DC3742C">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20</w:t>
            </w:r>
          </w:p>
        </w:tc>
        <w:tc>
          <w:tcPr>
            <w:tcW w:w="535" w:type="pct"/>
            <w:vAlign w:val="center"/>
          </w:tcPr>
          <w:p w14:paraId="6E4C8182">
            <w:pPr>
              <w:jc w:val="center"/>
              <w:rPr>
                <w:rFonts w:ascii="Times New Roman" w:hAnsi="Times New Roman" w:cs="Times New Roman"/>
                <w:color w:val="000000"/>
                <w:sz w:val="18"/>
                <w:szCs w:val="18"/>
              </w:rPr>
            </w:pPr>
            <w:r>
              <w:rPr>
                <w:rFonts w:ascii="Times New Roman" w:hAnsi="Times New Roman" w:cs="Times New Roman"/>
                <w:color w:val="000000"/>
                <w:sz w:val="18"/>
                <w:szCs w:val="18"/>
              </w:rPr>
              <w:t>布袋除尘器</w:t>
            </w:r>
          </w:p>
        </w:tc>
        <w:tc>
          <w:tcPr>
            <w:tcW w:w="340" w:type="pct"/>
            <w:vAlign w:val="center"/>
          </w:tcPr>
          <w:p w14:paraId="0811386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99</w:t>
            </w:r>
          </w:p>
        </w:tc>
        <w:tc>
          <w:tcPr>
            <w:tcW w:w="401" w:type="pct"/>
            <w:noWrap/>
            <w:vAlign w:val="center"/>
          </w:tcPr>
          <w:p w14:paraId="17AD6CF6">
            <w:pPr>
              <w:pStyle w:val="557"/>
            </w:pPr>
            <w:r>
              <w:rPr>
                <w:rFonts w:hint="eastAsia"/>
              </w:rPr>
              <w:t>21500</w:t>
            </w:r>
          </w:p>
        </w:tc>
        <w:tc>
          <w:tcPr>
            <w:tcW w:w="438" w:type="pct"/>
            <w:vAlign w:val="center"/>
          </w:tcPr>
          <w:p w14:paraId="7339CCEA">
            <w:pPr>
              <w:jc w:val="center"/>
              <w:textAlignment w:val="center"/>
              <w:rPr>
                <w:rFonts w:hint="eastAsia"/>
              </w:rPr>
            </w:pPr>
            <w:r>
              <w:rPr>
                <w:rFonts w:ascii="Times New Roman" w:hAnsi="Times New Roman" w:cs="Times New Roman"/>
                <w:color w:val="000000"/>
                <w:sz w:val="18"/>
                <w:szCs w:val="18"/>
              </w:rPr>
              <w:t>9.30</w:t>
            </w:r>
          </w:p>
        </w:tc>
        <w:tc>
          <w:tcPr>
            <w:tcW w:w="363" w:type="pct"/>
            <w:vAlign w:val="center"/>
          </w:tcPr>
          <w:p w14:paraId="0B772C04">
            <w:pPr>
              <w:jc w:val="center"/>
              <w:textAlignment w:val="center"/>
              <w:rPr>
                <w:rFonts w:hint="eastAsia"/>
              </w:rPr>
            </w:pPr>
            <w:r>
              <w:rPr>
                <w:rFonts w:ascii="Times New Roman" w:hAnsi="Times New Roman" w:cs="Times New Roman"/>
                <w:color w:val="000000"/>
                <w:sz w:val="18"/>
                <w:szCs w:val="18"/>
              </w:rPr>
              <w:t>0.2</w:t>
            </w:r>
          </w:p>
        </w:tc>
        <w:tc>
          <w:tcPr>
            <w:tcW w:w="357" w:type="pct"/>
            <w:vAlign w:val="center"/>
          </w:tcPr>
          <w:p w14:paraId="75E0446E">
            <w:pPr>
              <w:jc w:val="center"/>
              <w:textAlignment w:val="center"/>
              <w:rPr>
                <w:rFonts w:hint="eastAsia"/>
              </w:rPr>
            </w:pPr>
            <w:r>
              <w:rPr>
                <w:rFonts w:ascii="Times New Roman" w:hAnsi="Times New Roman" w:cs="Times New Roman"/>
                <w:color w:val="000000"/>
                <w:sz w:val="18"/>
                <w:szCs w:val="18"/>
              </w:rPr>
              <w:t>1.6</w:t>
            </w:r>
          </w:p>
        </w:tc>
      </w:tr>
    </w:tbl>
    <w:p w14:paraId="2FD6B474">
      <w:pPr>
        <w:pStyle w:val="128"/>
        <w:rPr>
          <w:rFonts w:hint="eastAsia"/>
        </w:rPr>
      </w:pPr>
      <w:r>
        <w:rPr>
          <w:rFonts w:hint="eastAsia"/>
        </w:rPr>
        <w:t>（2）造粒废气、烘干废气、包装废气</w:t>
      </w:r>
    </w:p>
    <w:p w14:paraId="5AD58BD3">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复合肥造粒参考</w:t>
      </w:r>
      <w:bookmarkStart w:id="180" w:name="_Hlk177035302"/>
      <w:r>
        <w:rPr>
          <w:rFonts w:hint="eastAsia"/>
          <w:color w:val="000000" w:themeColor="text1"/>
          <w14:textFill>
            <w14:solidFill>
              <w14:schemeClr w14:val="tx1"/>
            </w14:solidFill>
          </w14:textFill>
        </w:rPr>
        <w:t>《污染源源强核算技术指南 化肥工业》（HJ994-2018）</w:t>
      </w:r>
      <w:bookmarkEnd w:id="180"/>
      <w:r>
        <w:rPr>
          <w:rFonts w:hint="eastAsia"/>
          <w:color w:val="000000" w:themeColor="text1"/>
          <w14:textFill>
            <w14:solidFill>
              <w14:schemeClr w14:val="tx1"/>
            </w14:solidFill>
          </w14:textFill>
        </w:rPr>
        <w:t>，造粒塔氨排放计算公式，由于本项目为复合肥造粒，辅料包括硫酸钾、磷酸一氨等肥料，这些肥料在造粒过程中会与尿素融合，通过物料平衡和氨平衡综合分析造粒废气中污染物排放量。</w:t>
      </w:r>
    </w:p>
    <w:p w14:paraId="4D61F4A5">
      <w:pPr>
        <w:pStyle w:val="281"/>
        <w:ind w:firstLine="480"/>
      </w:pPr>
      <w:r>
        <w:rPr>
          <w:rFonts w:hint="eastAsia"/>
        </w:rPr>
        <w:t>造粒废气氨排放参照下式计算：</w:t>
      </w:r>
    </w:p>
    <w:p w14:paraId="41F3335C">
      <w:pPr>
        <w:pStyle w:val="128"/>
        <w:jc w:val="center"/>
        <w:rPr>
          <w:rFonts w:hint="eastAsia"/>
        </w:rPr>
      </w:pPr>
      <w:r>
        <w:rPr>
          <w:rFonts w:hint="eastAsia"/>
        </w:rPr>
        <w:drawing>
          <wp:inline distT="0" distB="0" distL="0" distR="0">
            <wp:extent cx="3197225" cy="547370"/>
            <wp:effectExtent l="0" t="0" r="3175" b="5080"/>
            <wp:docPr id="138" name="图片 32"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descr="徽标&#10;&#10;中度可信度描述已自动生成"/>
                    <pic:cNvPicPr>
                      <a:picLocks noChangeAspect="1" noChangeArrowheads="1"/>
                    </pic:cNvPicPr>
                  </pic:nvPicPr>
                  <pic:blipFill>
                    <a:blip r:embed="rId20"/>
                    <a:srcRect/>
                    <a:stretch>
                      <a:fillRect/>
                    </a:stretch>
                  </pic:blipFill>
                  <pic:spPr>
                    <a:xfrm>
                      <a:off x="0" y="0"/>
                      <a:ext cx="3217121" cy="551256"/>
                    </a:xfrm>
                    <a:prstGeom prst="rect">
                      <a:avLst/>
                    </a:prstGeom>
                    <a:noFill/>
                    <a:ln w="9525">
                      <a:noFill/>
                      <a:miter lim="800000"/>
                      <a:headEnd/>
                      <a:tailEnd/>
                    </a:ln>
                  </pic:spPr>
                </pic:pic>
              </a:graphicData>
            </a:graphic>
          </wp:inline>
        </w:drawing>
      </w:r>
    </w:p>
    <w:p w14:paraId="2A062CF6">
      <w:pPr>
        <w:pStyle w:val="128"/>
        <w:rPr>
          <w:rFonts w:hint="eastAsia"/>
        </w:rPr>
      </w:pPr>
      <w:r>
        <w:rPr>
          <w:rFonts w:hint="eastAsia"/>
        </w:rPr>
        <w:t>式中：</w:t>
      </w:r>
    </w:p>
    <w:p w14:paraId="49F7995B">
      <w:pPr>
        <w:pStyle w:val="128"/>
        <w:ind w:firstLine="840" w:firstLineChars="400"/>
        <w:rPr>
          <w:rFonts w:hint="eastAsia"/>
          <w:sz w:val="21"/>
          <w:szCs w:val="21"/>
        </w:rPr>
      </w:pPr>
      <w:r>
        <w:rPr>
          <w:rFonts w:hint="eastAsia"/>
          <w:sz w:val="21"/>
          <w:szCs w:val="21"/>
        </w:rPr>
        <w:t>D</w:t>
      </w:r>
      <w:r>
        <w:rPr>
          <w:rFonts w:hint="eastAsia"/>
          <w:sz w:val="21"/>
          <w:szCs w:val="21"/>
          <w:vertAlign w:val="subscript"/>
        </w:rPr>
        <w:t>造粒塔氨</w:t>
      </w:r>
      <w:r>
        <w:rPr>
          <w:rFonts w:hint="eastAsia"/>
          <w:sz w:val="21"/>
          <w:szCs w:val="21"/>
        </w:rPr>
        <w:t>——核算时段内造粒塔放空气中氨排放量，kg；</w:t>
      </w:r>
    </w:p>
    <w:p w14:paraId="3AC3168B">
      <w:pPr>
        <w:pStyle w:val="128"/>
        <w:ind w:firstLine="840" w:firstLineChars="400"/>
        <w:rPr>
          <w:rFonts w:hint="eastAsia"/>
          <w:sz w:val="21"/>
          <w:szCs w:val="21"/>
        </w:rPr>
      </w:pPr>
      <w:r>
        <w:rPr>
          <w:rFonts w:hint="eastAsia"/>
          <w:sz w:val="21"/>
          <w:szCs w:val="21"/>
        </w:rPr>
        <w:t>D</w:t>
      </w:r>
      <w:r>
        <w:rPr>
          <w:rFonts w:hint="eastAsia"/>
          <w:sz w:val="21"/>
          <w:szCs w:val="21"/>
          <w:vertAlign w:val="subscript"/>
        </w:rPr>
        <w:t>尿液</w:t>
      </w:r>
      <w:r>
        <w:rPr>
          <w:rFonts w:hint="eastAsia"/>
          <w:sz w:val="21"/>
          <w:szCs w:val="21"/>
        </w:rPr>
        <w:t xml:space="preserve"> ——核算时段内进入造粒塔的尿液量，kg；</w:t>
      </w:r>
    </w:p>
    <w:p w14:paraId="6944AE35">
      <w:pPr>
        <w:pStyle w:val="128"/>
        <w:ind w:firstLine="840" w:firstLineChars="400"/>
        <w:rPr>
          <w:rFonts w:hint="eastAsia"/>
          <w:sz w:val="21"/>
          <w:szCs w:val="21"/>
        </w:rPr>
      </w:pPr>
      <w:r>
        <w:rPr>
          <w:rFonts w:hint="eastAsia"/>
          <w:sz w:val="21"/>
          <w:szCs w:val="21"/>
        </w:rPr>
        <w:t>w</w:t>
      </w:r>
      <w:r>
        <w:rPr>
          <w:rFonts w:hint="eastAsia"/>
          <w:sz w:val="21"/>
          <w:szCs w:val="21"/>
          <w:vertAlign w:val="subscript"/>
        </w:rPr>
        <w:t>氨</w:t>
      </w:r>
      <w:r>
        <w:rPr>
          <w:rFonts w:hint="eastAsia"/>
          <w:sz w:val="21"/>
          <w:szCs w:val="21"/>
        </w:rPr>
        <w:t xml:space="preserve">  —— 核算时段内尿液中游离氨含量，%；</w:t>
      </w:r>
    </w:p>
    <w:p w14:paraId="0ADC0DAF">
      <w:pPr>
        <w:pStyle w:val="128"/>
        <w:ind w:firstLine="840" w:firstLineChars="400"/>
        <w:rPr>
          <w:rFonts w:hint="eastAsia"/>
          <w:sz w:val="21"/>
          <w:szCs w:val="21"/>
        </w:rPr>
      </w:pPr>
      <w:r>
        <w:rPr>
          <w:rFonts w:hint="eastAsia"/>
          <w:sz w:val="21"/>
          <w:szCs w:val="21"/>
        </w:rPr>
        <w:t>W</w:t>
      </w:r>
      <w:r>
        <w:rPr>
          <w:rFonts w:hint="eastAsia"/>
          <w:sz w:val="21"/>
          <w:szCs w:val="21"/>
          <w:vertAlign w:val="subscript"/>
        </w:rPr>
        <w:t>废水</w:t>
      </w:r>
      <w:r>
        <w:rPr>
          <w:rFonts w:hint="eastAsia"/>
          <w:sz w:val="21"/>
          <w:szCs w:val="21"/>
        </w:rPr>
        <w:t>——核算时段内造粒塔采用湿法除尘时产生的废水量，无除尘设施或采用干法除尘时取0，</w:t>
      </w:r>
      <w:r>
        <w:rPr>
          <w:sz w:val="21"/>
          <w:szCs w:val="21"/>
        </w:rPr>
        <w:t>m</w:t>
      </w:r>
      <w:r>
        <w:rPr>
          <w:sz w:val="21"/>
          <w:szCs w:val="21"/>
          <w:vertAlign w:val="superscript"/>
        </w:rPr>
        <w:t>3</w:t>
      </w:r>
      <w:r>
        <w:rPr>
          <w:rFonts w:hint="eastAsia"/>
          <w:sz w:val="21"/>
          <w:szCs w:val="21"/>
        </w:rPr>
        <w:t>；</w:t>
      </w:r>
    </w:p>
    <w:p w14:paraId="3705B1AA">
      <w:pPr>
        <w:pStyle w:val="128"/>
        <w:ind w:firstLine="840" w:firstLineChars="400"/>
        <w:rPr>
          <w:rFonts w:hint="eastAsia"/>
          <w:sz w:val="21"/>
          <w:szCs w:val="21"/>
        </w:rPr>
      </w:pPr>
      <w:r>
        <w:rPr>
          <w:sz w:val="21"/>
          <w:szCs w:val="21"/>
        </w:rPr>
        <w:t>ρ</w:t>
      </w:r>
      <w:r>
        <w:rPr>
          <w:rFonts w:hint="eastAsia"/>
          <w:sz w:val="21"/>
          <w:szCs w:val="21"/>
          <w:vertAlign w:val="subscript"/>
        </w:rPr>
        <w:t>废水</w:t>
      </w:r>
      <w:r>
        <w:rPr>
          <w:rFonts w:hint="eastAsia"/>
          <w:sz w:val="21"/>
          <w:szCs w:val="21"/>
        </w:rPr>
        <w:t>——核算时段内造粒塔采用湿法除尘时废水中氨氮质量浓度，</w:t>
      </w:r>
      <w:r>
        <w:rPr>
          <w:sz w:val="21"/>
          <w:szCs w:val="21"/>
        </w:rPr>
        <w:t>mg/L</w:t>
      </w:r>
    </w:p>
    <w:p w14:paraId="707D9E59">
      <w:pPr>
        <w:pStyle w:val="128"/>
        <w:rPr>
          <w:rFonts w:hint="eastAsia"/>
        </w:rPr>
      </w:pPr>
      <w:r>
        <w:rPr>
          <w:rFonts w:hint="eastAsia"/>
        </w:rPr>
        <w:t>造粒塔废气颗粒物产生情况按照《排放源统计调查产排污核算方法和系数手册》2624 复混肥料制造行业系数手册，复混肥料制造行业系数表</w:t>
      </w:r>
      <w:bookmarkStart w:id="181" w:name="OLE_LINK9"/>
      <w:r>
        <w:rPr>
          <w:rFonts w:hint="eastAsia"/>
        </w:rPr>
        <w:t>熔体法</w:t>
      </w:r>
      <w:bookmarkEnd w:id="181"/>
      <w:r>
        <w:rPr>
          <w:rFonts w:hint="eastAsia"/>
        </w:rPr>
        <w:t>颗粒物产污系数1</w:t>
      </w:r>
      <w:r>
        <w:t>3.1</w:t>
      </w:r>
      <w:r>
        <w:rPr>
          <w:rFonts w:hint="eastAsia"/>
        </w:rPr>
        <w:t>kg</w:t>
      </w:r>
      <w:r>
        <w:t>/t-</w:t>
      </w:r>
      <w:r>
        <w:rPr>
          <w:rFonts w:hint="eastAsia"/>
        </w:rPr>
        <w:t>产品。</w:t>
      </w:r>
    </w:p>
    <w:p w14:paraId="1E30A323">
      <w:pPr>
        <w:pStyle w:val="128"/>
        <w:rPr>
          <w:rFonts w:hint="eastAsia"/>
        </w:rPr>
      </w:pPr>
      <w:r>
        <w:rPr>
          <w:rFonts w:hint="eastAsia"/>
        </w:rPr>
        <w:t>根据物料平衡，本项目造粒尿素使用量为54400.00t/a，磷酸一铵使用量为48000t/a，尿素中游离氨按0.03%计算，磷酸一氨游离氨按0.01%计算。根据计算，本项目两套装置造粒废气NH</w:t>
      </w:r>
      <w:r>
        <w:rPr>
          <w:rFonts w:hint="eastAsia"/>
          <w:vertAlign w:val="subscript"/>
        </w:rPr>
        <w:t>3</w:t>
      </w:r>
      <w:r>
        <w:rPr>
          <w:rFonts w:hint="eastAsia"/>
        </w:rPr>
        <w:t>产生量20.5kg/h（164t/a），颗粒物产生量655kg/h（5240t/a）。经造粒后的有机缓释肥需要经过筛分、称量、包裹袋装处理，成品处理工序排放的废气污染物主要为颗粒物，本项目对各产尘点废气进行统一收集，并入造粒废气管道后处理排放。包装过程产生的颗粒物</w:t>
      </w:r>
      <w:r>
        <w:t>参考《逸散性工业粉尘控制技术》中“第三章石灰厂中表3-1石灰生产的逸散尘排放因子</w:t>
      </w:r>
      <w:r>
        <w:rPr>
          <w:rFonts w:hint="eastAsia"/>
        </w:rPr>
        <w:t>”</w:t>
      </w:r>
      <w:r>
        <w:t>中的</w:t>
      </w:r>
      <w:r>
        <w:rPr>
          <w:rFonts w:hint="eastAsia"/>
        </w:rPr>
        <w:t>包装和装运</w:t>
      </w:r>
      <w:r>
        <w:t>粉尘产生系数（0.125kg/t-</w:t>
      </w:r>
      <w:r>
        <w:rPr>
          <w:rFonts w:hint="eastAsia"/>
        </w:rPr>
        <w:t>产品</w:t>
      </w:r>
      <w:r>
        <w:t>）</w:t>
      </w:r>
      <w:r>
        <w:rPr>
          <w:rFonts w:hint="eastAsia"/>
        </w:rPr>
        <w:t>。两套装置包装过程颗粒物产生量分别约25t/a。</w:t>
      </w:r>
    </w:p>
    <w:p w14:paraId="4AEF3148">
      <w:pPr>
        <w:pStyle w:val="128"/>
        <w:rPr>
          <w:rFonts w:hint="eastAsia"/>
        </w:rPr>
      </w:pPr>
      <w:r>
        <w:rPr>
          <w:rFonts w:hint="eastAsia"/>
        </w:rPr>
        <w:t>1#、2#造粒废气及包装废气分别经文丘里洗涤塔+酸洗+水洗后通过1#、2#综合排气筒排放，1#、2#烘干废气分别经旋风除尘器+重力沉降室除尘并入酸洗+水洗后通过1#、2#综合排气筒排放，烘干废气产生源强同造粒废气。</w:t>
      </w:r>
    </w:p>
    <w:p w14:paraId="55428081">
      <w:pPr>
        <w:pStyle w:val="281"/>
        <w:ind w:firstLine="480"/>
        <w:rPr>
          <w:color w:val="000000" w:themeColor="text1"/>
          <w14:textFill>
            <w14:solidFill>
              <w14:schemeClr w14:val="tx1"/>
            </w14:solidFill>
          </w14:textFill>
        </w:rPr>
      </w:pPr>
      <w:bookmarkStart w:id="182" w:name="_Hlk160895921"/>
      <w:bookmarkStart w:id="183" w:name="_Hlk177829643"/>
      <w:r>
        <w:rPr>
          <w:rFonts w:hint="eastAsia"/>
          <w:color w:val="000000" w:themeColor="text1"/>
          <w14:textFill>
            <w14:solidFill>
              <w14:schemeClr w14:val="tx1"/>
            </w14:solidFill>
          </w14:textFill>
        </w:rPr>
        <w:t>参照《排放源统计调查产排污核算方法和系数手册</w:t>
      </w:r>
      <w:r>
        <w:rPr>
          <w:color w:val="000000" w:themeColor="text1"/>
          <w14:textFill>
            <w14:solidFill>
              <w14:schemeClr w14:val="tx1"/>
            </w14:solidFill>
          </w14:textFill>
        </w:rPr>
        <w:t>4430</w:t>
      </w:r>
      <w:r>
        <w:rPr>
          <w:rFonts w:hint="eastAsia"/>
          <w:color w:val="000000" w:themeColor="text1"/>
          <w14:textFill>
            <w14:solidFill>
              <w14:schemeClr w14:val="tx1"/>
            </w14:solidFill>
          </w14:textFill>
        </w:rPr>
        <w:t>工业锅炉（热力供应）行业系数手册》，喷淋塔对颗粒物的去除效率为8</w:t>
      </w:r>
      <w:r>
        <w:rPr>
          <w:color w:val="000000" w:themeColor="text1"/>
          <w14:textFill>
            <w14:solidFill>
              <w14:schemeClr w14:val="tx1"/>
            </w14:solidFill>
          </w14:textFill>
        </w:rPr>
        <w:t>7.0%</w:t>
      </w:r>
      <w:bookmarkEnd w:id="182"/>
      <w:r>
        <w:rPr>
          <w:rFonts w:hint="eastAsia"/>
          <w:color w:val="000000" w:themeColor="text1"/>
          <w14:textFill>
            <w14:solidFill>
              <w14:schemeClr w14:val="tx1"/>
            </w14:solidFill>
          </w14:textFill>
        </w:rPr>
        <w:t>，旋风除尘器对颗粒物的去除效率计85%。氨极易溶于水，单级水洗塔去除效率约为80%，文丘里洗涤塔+酸洗+水洗对氨的去除效率计99.2%，对颗粒物的去除效率计98.3%。旋风除尘器+重力沉降室除尘+酸洗+水洗氨的去除效率计96%，对颗粒物的去除效率计99.9%。</w:t>
      </w:r>
    </w:p>
    <w:p w14:paraId="7348BD89">
      <w:pPr>
        <w:pStyle w:val="1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经旋风除尘处理后外排，高塔造粒废气具体产排情况见表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p>
    <w:p w14:paraId="489C2775">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造粒废气产排情况</w:t>
      </w:r>
      <w:r>
        <w:rPr>
          <w:color w:val="000000" w:themeColor="text1"/>
          <w14:textFill>
            <w14:solidFill>
              <w14:schemeClr w14:val="tx1"/>
            </w14:solidFill>
          </w14:textFill>
        </w:rPr>
        <w:t>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645"/>
        <w:gridCol w:w="403"/>
        <w:gridCol w:w="643"/>
        <w:gridCol w:w="801"/>
        <w:gridCol w:w="657"/>
        <w:gridCol w:w="658"/>
        <w:gridCol w:w="981"/>
        <w:gridCol w:w="611"/>
        <w:gridCol w:w="669"/>
        <w:gridCol w:w="762"/>
        <w:gridCol w:w="635"/>
        <w:gridCol w:w="595"/>
      </w:tblGrid>
      <w:tr w14:paraId="1B65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vAlign w:val="center"/>
          </w:tcPr>
          <w:p w14:paraId="29A2828E">
            <w:pPr>
              <w:pStyle w:val="557"/>
            </w:pPr>
            <w:r>
              <w:t>序号</w:t>
            </w:r>
          </w:p>
        </w:tc>
        <w:tc>
          <w:tcPr>
            <w:tcW w:w="645" w:type="dxa"/>
            <w:vAlign w:val="center"/>
          </w:tcPr>
          <w:p w14:paraId="5A774D43">
            <w:pPr>
              <w:pStyle w:val="557"/>
            </w:pPr>
            <w:r>
              <w:t>污染源</w:t>
            </w:r>
          </w:p>
        </w:tc>
        <w:tc>
          <w:tcPr>
            <w:tcW w:w="403" w:type="dxa"/>
            <w:vAlign w:val="center"/>
          </w:tcPr>
          <w:p w14:paraId="2DDBEEB7">
            <w:pPr>
              <w:pStyle w:val="557"/>
            </w:pPr>
            <w:r>
              <w:t>核算方法</w:t>
            </w:r>
          </w:p>
        </w:tc>
        <w:tc>
          <w:tcPr>
            <w:tcW w:w="643" w:type="dxa"/>
            <w:vAlign w:val="center"/>
          </w:tcPr>
          <w:p w14:paraId="6961A11E">
            <w:pPr>
              <w:pStyle w:val="557"/>
            </w:pPr>
            <w:r>
              <w:t>污染物</w:t>
            </w:r>
          </w:p>
        </w:tc>
        <w:tc>
          <w:tcPr>
            <w:tcW w:w="801" w:type="dxa"/>
            <w:vAlign w:val="center"/>
          </w:tcPr>
          <w:p w14:paraId="616EF668">
            <w:pPr>
              <w:pStyle w:val="557"/>
            </w:pPr>
            <w:r>
              <w:t>产生浓度mg/m</w:t>
            </w:r>
            <w:r>
              <w:rPr>
                <w:vertAlign w:val="superscript"/>
              </w:rPr>
              <w:t>3</w:t>
            </w:r>
          </w:p>
        </w:tc>
        <w:tc>
          <w:tcPr>
            <w:tcW w:w="657" w:type="dxa"/>
            <w:vAlign w:val="center"/>
          </w:tcPr>
          <w:p w14:paraId="78EFCCF1">
            <w:pPr>
              <w:pStyle w:val="557"/>
            </w:pPr>
            <w:r>
              <w:t>产生速率kg/h</w:t>
            </w:r>
          </w:p>
        </w:tc>
        <w:tc>
          <w:tcPr>
            <w:tcW w:w="658" w:type="dxa"/>
            <w:vAlign w:val="center"/>
          </w:tcPr>
          <w:p w14:paraId="22963F9A">
            <w:pPr>
              <w:pStyle w:val="557"/>
            </w:pPr>
            <w:r>
              <w:t>产生量t/a</w:t>
            </w:r>
          </w:p>
        </w:tc>
        <w:tc>
          <w:tcPr>
            <w:tcW w:w="981" w:type="dxa"/>
            <w:vAlign w:val="center"/>
          </w:tcPr>
          <w:p w14:paraId="7912A8C5">
            <w:pPr>
              <w:pStyle w:val="557"/>
            </w:pPr>
            <w:r>
              <w:t>治理措施</w:t>
            </w:r>
          </w:p>
        </w:tc>
        <w:tc>
          <w:tcPr>
            <w:tcW w:w="611" w:type="dxa"/>
            <w:vAlign w:val="center"/>
          </w:tcPr>
          <w:p w14:paraId="5BE185C0">
            <w:pPr>
              <w:pStyle w:val="557"/>
            </w:pPr>
            <w:r>
              <w:t>去除效率%</w:t>
            </w:r>
          </w:p>
        </w:tc>
        <w:tc>
          <w:tcPr>
            <w:tcW w:w="669" w:type="dxa"/>
            <w:vAlign w:val="center"/>
          </w:tcPr>
          <w:p w14:paraId="75D4FE13">
            <w:pPr>
              <w:pStyle w:val="557"/>
            </w:pPr>
            <w:r>
              <w:t>排气量</w:t>
            </w:r>
          </w:p>
          <w:p w14:paraId="07240B41">
            <w:pPr>
              <w:pStyle w:val="557"/>
            </w:pPr>
            <w:r>
              <w:t>m</w:t>
            </w:r>
            <w:r>
              <w:rPr>
                <w:vertAlign w:val="superscript"/>
              </w:rPr>
              <w:t>3</w:t>
            </w:r>
            <w:r>
              <w:t>/h</w:t>
            </w:r>
          </w:p>
        </w:tc>
        <w:tc>
          <w:tcPr>
            <w:tcW w:w="762" w:type="dxa"/>
            <w:vAlign w:val="center"/>
          </w:tcPr>
          <w:p w14:paraId="0CD062E8">
            <w:pPr>
              <w:pStyle w:val="557"/>
            </w:pPr>
            <w:r>
              <w:t>排放浓度mg/m</w:t>
            </w:r>
            <w:r>
              <w:rPr>
                <w:vertAlign w:val="superscript"/>
              </w:rPr>
              <w:t>3</w:t>
            </w:r>
          </w:p>
        </w:tc>
        <w:tc>
          <w:tcPr>
            <w:tcW w:w="635" w:type="dxa"/>
            <w:vAlign w:val="center"/>
          </w:tcPr>
          <w:p w14:paraId="316F0ACA">
            <w:pPr>
              <w:pStyle w:val="557"/>
            </w:pPr>
            <w:r>
              <w:t>排放速率</w:t>
            </w:r>
          </w:p>
          <w:p w14:paraId="0BFDBD2E">
            <w:pPr>
              <w:pStyle w:val="557"/>
            </w:pPr>
            <w:r>
              <w:t>kg/h</w:t>
            </w:r>
          </w:p>
        </w:tc>
        <w:tc>
          <w:tcPr>
            <w:tcW w:w="595" w:type="dxa"/>
            <w:vAlign w:val="center"/>
          </w:tcPr>
          <w:p w14:paraId="204F405D">
            <w:pPr>
              <w:pStyle w:val="557"/>
            </w:pPr>
            <w:r>
              <w:t>排放量t/a</w:t>
            </w:r>
          </w:p>
        </w:tc>
      </w:tr>
      <w:tr w14:paraId="45EB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restart"/>
            <w:vAlign w:val="center"/>
          </w:tcPr>
          <w:p w14:paraId="0CF89EC4">
            <w:pPr>
              <w:pStyle w:val="557"/>
            </w:pPr>
            <w:r>
              <w:t>G</w:t>
            </w:r>
            <w:r>
              <w:rPr>
                <w:vertAlign w:val="subscript"/>
              </w:rPr>
              <w:t>5-2</w:t>
            </w:r>
          </w:p>
        </w:tc>
        <w:tc>
          <w:tcPr>
            <w:tcW w:w="645" w:type="dxa"/>
            <w:vMerge w:val="restart"/>
            <w:vAlign w:val="center"/>
          </w:tcPr>
          <w:p w14:paraId="38EF8F4F">
            <w:pPr>
              <w:pStyle w:val="557"/>
            </w:pPr>
            <w:r>
              <w:rPr>
                <w:rFonts w:hint="eastAsia"/>
              </w:rPr>
              <w:t>1#</w:t>
            </w:r>
            <w:r>
              <w:t>造粒废气</w:t>
            </w:r>
          </w:p>
        </w:tc>
        <w:tc>
          <w:tcPr>
            <w:tcW w:w="403" w:type="dxa"/>
            <w:vMerge w:val="restart"/>
            <w:vAlign w:val="center"/>
          </w:tcPr>
          <w:p w14:paraId="595995D3">
            <w:pPr>
              <w:pStyle w:val="557"/>
            </w:pPr>
            <w:r>
              <w:t>系数法</w:t>
            </w:r>
          </w:p>
        </w:tc>
        <w:tc>
          <w:tcPr>
            <w:tcW w:w="643" w:type="dxa"/>
            <w:vAlign w:val="center"/>
          </w:tcPr>
          <w:p w14:paraId="5CD5AE78">
            <w:pPr>
              <w:pStyle w:val="557"/>
            </w:pPr>
            <w:r>
              <w:t>颗粒物</w:t>
            </w:r>
          </w:p>
        </w:tc>
        <w:tc>
          <w:tcPr>
            <w:tcW w:w="801" w:type="dxa"/>
            <w:vAlign w:val="center"/>
          </w:tcPr>
          <w:p w14:paraId="0C93243D">
            <w:pPr>
              <w:jc w:val="center"/>
              <w:textAlignment w:val="center"/>
              <w:rPr>
                <w:rFonts w:hint="eastAsia"/>
                <w:sz w:val="18"/>
                <w:szCs w:val="18"/>
              </w:rPr>
            </w:pPr>
            <w:r>
              <w:rPr>
                <w:rFonts w:ascii="Times New Roman" w:hAnsi="Times New Roman" w:cs="Times New Roman"/>
                <w:color w:val="000000"/>
                <w:sz w:val="18"/>
                <w:szCs w:val="18"/>
              </w:rPr>
              <w:t>1010.80</w:t>
            </w:r>
          </w:p>
        </w:tc>
        <w:tc>
          <w:tcPr>
            <w:tcW w:w="657" w:type="dxa"/>
            <w:vAlign w:val="center"/>
          </w:tcPr>
          <w:p w14:paraId="03E1E831">
            <w:pPr>
              <w:jc w:val="center"/>
              <w:textAlignment w:val="center"/>
              <w:rPr>
                <w:rFonts w:hint="eastAsia"/>
                <w:sz w:val="18"/>
                <w:szCs w:val="18"/>
              </w:rPr>
            </w:pPr>
            <w:r>
              <w:rPr>
                <w:rFonts w:ascii="Times New Roman" w:hAnsi="Times New Roman" w:cs="Times New Roman"/>
                <w:color w:val="000000"/>
                <w:sz w:val="18"/>
                <w:szCs w:val="18"/>
              </w:rPr>
              <w:t>327.5</w:t>
            </w:r>
          </w:p>
        </w:tc>
        <w:tc>
          <w:tcPr>
            <w:tcW w:w="658" w:type="dxa"/>
            <w:vAlign w:val="center"/>
          </w:tcPr>
          <w:p w14:paraId="0C9563D7">
            <w:pPr>
              <w:jc w:val="center"/>
              <w:textAlignment w:val="center"/>
              <w:rPr>
                <w:rFonts w:hint="eastAsia"/>
                <w:sz w:val="18"/>
                <w:szCs w:val="18"/>
              </w:rPr>
            </w:pPr>
            <w:r>
              <w:rPr>
                <w:rFonts w:ascii="Times New Roman" w:hAnsi="Times New Roman" w:cs="Times New Roman"/>
                <w:color w:val="000000"/>
                <w:sz w:val="18"/>
                <w:szCs w:val="18"/>
              </w:rPr>
              <w:t>2620</w:t>
            </w:r>
          </w:p>
        </w:tc>
        <w:tc>
          <w:tcPr>
            <w:tcW w:w="981" w:type="dxa"/>
            <w:vMerge w:val="restart"/>
            <w:vAlign w:val="center"/>
          </w:tcPr>
          <w:p w14:paraId="5A23DFE2">
            <w:pPr>
              <w:pStyle w:val="557"/>
            </w:pPr>
            <w:r>
              <w:rPr>
                <w:rFonts w:hint="eastAsia"/>
              </w:rPr>
              <w:t>文丘里洗涤塔+酸洗+水洗</w:t>
            </w:r>
          </w:p>
        </w:tc>
        <w:tc>
          <w:tcPr>
            <w:tcW w:w="611" w:type="dxa"/>
            <w:vAlign w:val="center"/>
          </w:tcPr>
          <w:p w14:paraId="2D50C475">
            <w:pPr>
              <w:pStyle w:val="557"/>
            </w:pPr>
            <w:r>
              <w:rPr>
                <w:rFonts w:hint="eastAsia"/>
              </w:rPr>
              <w:t>98.3</w:t>
            </w:r>
          </w:p>
        </w:tc>
        <w:tc>
          <w:tcPr>
            <w:tcW w:w="669" w:type="dxa"/>
            <w:vMerge w:val="restart"/>
            <w:noWrap/>
            <w:vAlign w:val="center"/>
          </w:tcPr>
          <w:p w14:paraId="0E8D90CD">
            <w:pPr>
              <w:pStyle w:val="557"/>
            </w:pPr>
            <w:r>
              <w:rPr>
                <w:rFonts w:hint="eastAsia"/>
              </w:rPr>
              <w:t>324000</w:t>
            </w:r>
          </w:p>
        </w:tc>
        <w:tc>
          <w:tcPr>
            <w:tcW w:w="762" w:type="dxa"/>
            <w:vAlign w:val="center"/>
          </w:tcPr>
          <w:p w14:paraId="67F8C935">
            <w:pPr>
              <w:jc w:val="center"/>
              <w:textAlignment w:val="center"/>
              <w:rPr>
                <w:rFonts w:ascii="Times New Roman" w:hAnsi="Times New Roman" w:cs="Times New Roman"/>
                <w:sz w:val="18"/>
                <w:szCs w:val="18"/>
              </w:rPr>
            </w:pPr>
            <w:r>
              <w:rPr>
                <w:rFonts w:ascii="Times New Roman" w:hAnsi="Times New Roman" w:cs="Times New Roman"/>
                <w:sz w:val="18"/>
                <w:szCs w:val="18"/>
              </w:rPr>
              <w:t>18.</w:t>
            </w:r>
            <w:r>
              <w:rPr>
                <w:rFonts w:hint="eastAsia" w:ascii="Times New Roman" w:hAnsi="Times New Roman" w:cs="Times New Roman"/>
                <w:sz w:val="18"/>
                <w:szCs w:val="18"/>
              </w:rPr>
              <w:t>36</w:t>
            </w:r>
          </w:p>
        </w:tc>
        <w:tc>
          <w:tcPr>
            <w:tcW w:w="635" w:type="dxa"/>
            <w:vAlign w:val="center"/>
          </w:tcPr>
          <w:p w14:paraId="4E4BF40F">
            <w:pPr>
              <w:jc w:val="center"/>
              <w:textAlignment w:val="center"/>
              <w:rPr>
                <w:rFonts w:ascii="Times New Roman" w:hAnsi="Times New Roman" w:cs="Times New Roman"/>
                <w:sz w:val="18"/>
                <w:szCs w:val="18"/>
              </w:rPr>
            </w:pPr>
            <w:r>
              <w:rPr>
                <w:rFonts w:ascii="Times New Roman" w:hAnsi="Times New Roman" w:cs="Times New Roman"/>
                <w:sz w:val="18"/>
                <w:szCs w:val="18"/>
              </w:rPr>
              <w:t>5.9</w:t>
            </w:r>
            <w:r>
              <w:rPr>
                <w:rFonts w:hint="eastAsia" w:ascii="Times New Roman" w:hAnsi="Times New Roman" w:cs="Times New Roman"/>
                <w:sz w:val="18"/>
                <w:szCs w:val="18"/>
              </w:rPr>
              <w:t>5</w:t>
            </w:r>
          </w:p>
        </w:tc>
        <w:tc>
          <w:tcPr>
            <w:tcW w:w="595" w:type="dxa"/>
            <w:vAlign w:val="center"/>
          </w:tcPr>
          <w:p w14:paraId="52DEBC50">
            <w:pPr>
              <w:jc w:val="center"/>
              <w:textAlignment w:val="center"/>
              <w:rPr>
                <w:rFonts w:ascii="Times New Roman" w:hAnsi="Times New Roman" w:cs="Times New Roman"/>
                <w:sz w:val="18"/>
                <w:szCs w:val="18"/>
              </w:rPr>
            </w:pPr>
            <w:r>
              <w:rPr>
                <w:rFonts w:ascii="Times New Roman" w:hAnsi="Times New Roman" w:cs="Times New Roman"/>
                <w:sz w:val="18"/>
                <w:szCs w:val="18"/>
              </w:rPr>
              <w:t>47.</w:t>
            </w:r>
            <w:r>
              <w:rPr>
                <w:rFonts w:hint="eastAsia" w:ascii="Times New Roman" w:hAnsi="Times New Roman" w:cs="Times New Roman"/>
                <w:sz w:val="18"/>
                <w:szCs w:val="18"/>
              </w:rPr>
              <w:t>59</w:t>
            </w:r>
            <w:r>
              <w:rPr>
                <w:rFonts w:ascii="Times New Roman" w:hAnsi="Times New Roman" w:cs="Times New Roman"/>
                <w:sz w:val="18"/>
                <w:szCs w:val="18"/>
              </w:rPr>
              <w:t>6</w:t>
            </w:r>
          </w:p>
        </w:tc>
      </w:tr>
      <w:tr w14:paraId="0070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6B196D65">
            <w:pPr>
              <w:pStyle w:val="557"/>
            </w:pPr>
          </w:p>
        </w:tc>
        <w:tc>
          <w:tcPr>
            <w:tcW w:w="645" w:type="dxa"/>
            <w:vMerge w:val="continue"/>
            <w:vAlign w:val="center"/>
          </w:tcPr>
          <w:p w14:paraId="4986AB69">
            <w:pPr>
              <w:pStyle w:val="557"/>
            </w:pPr>
          </w:p>
        </w:tc>
        <w:tc>
          <w:tcPr>
            <w:tcW w:w="403" w:type="dxa"/>
            <w:vMerge w:val="continue"/>
            <w:vAlign w:val="center"/>
          </w:tcPr>
          <w:p w14:paraId="4E6AAE64">
            <w:pPr>
              <w:pStyle w:val="557"/>
            </w:pPr>
          </w:p>
        </w:tc>
        <w:tc>
          <w:tcPr>
            <w:tcW w:w="643" w:type="dxa"/>
            <w:vAlign w:val="center"/>
          </w:tcPr>
          <w:p w14:paraId="6DB10499">
            <w:pPr>
              <w:pStyle w:val="557"/>
            </w:pPr>
            <w:r>
              <w:t>NH</w:t>
            </w:r>
            <w:r>
              <w:rPr>
                <w:vertAlign w:val="subscript"/>
              </w:rPr>
              <w:t>3</w:t>
            </w:r>
          </w:p>
        </w:tc>
        <w:tc>
          <w:tcPr>
            <w:tcW w:w="801" w:type="dxa"/>
            <w:vAlign w:val="center"/>
          </w:tcPr>
          <w:p w14:paraId="3B0A4C5B">
            <w:pPr>
              <w:jc w:val="center"/>
              <w:textAlignment w:val="center"/>
              <w:rPr>
                <w:rFonts w:hint="eastAsia"/>
                <w:sz w:val="18"/>
                <w:szCs w:val="18"/>
              </w:rPr>
            </w:pPr>
            <w:r>
              <w:rPr>
                <w:rFonts w:ascii="Times New Roman" w:hAnsi="Times New Roman" w:cs="Times New Roman"/>
                <w:color w:val="000000"/>
                <w:sz w:val="18"/>
                <w:szCs w:val="18"/>
              </w:rPr>
              <w:t>31.64</w:t>
            </w:r>
          </w:p>
        </w:tc>
        <w:tc>
          <w:tcPr>
            <w:tcW w:w="657" w:type="dxa"/>
            <w:vAlign w:val="center"/>
          </w:tcPr>
          <w:p w14:paraId="152012C2">
            <w:pPr>
              <w:jc w:val="center"/>
              <w:textAlignment w:val="center"/>
              <w:rPr>
                <w:rFonts w:hint="eastAsia"/>
                <w:sz w:val="18"/>
                <w:szCs w:val="18"/>
              </w:rPr>
            </w:pPr>
            <w:r>
              <w:rPr>
                <w:rFonts w:ascii="Times New Roman" w:hAnsi="Times New Roman" w:cs="Times New Roman"/>
                <w:color w:val="000000"/>
                <w:sz w:val="18"/>
                <w:szCs w:val="18"/>
              </w:rPr>
              <w:t xml:space="preserve">10.25 </w:t>
            </w:r>
          </w:p>
        </w:tc>
        <w:tc>
          <w:tcPr>
            <w:tcW w:w="658" w:type="dxa"/>
            <w:vAlign w:val="center"/>
          </w:tcPr>
          <w:p w14:paraId="0A7C4BD6">
            <w:pPr>
              <w:jc w:val="center"/>
              <w:textAlignment w:val="center"/>
              <w:rPr>
                <w:rFonts w:hint="eastAsia"/>
                <w:sz w:val="18"/>
                <w:szCs w:val="18"/>
              </w:rPr>
            </w:pPr>
            <w:r>
              <w:rPr>
                <w:rFonts w:ascii="Times New Roman" w:hAnsi="Times New Roman" w:cs="Times New Roman"/>
                <w:color w:val="000000"/>
                <w:sz w:val="18"/>
                <w:szCs w:val="18"/>
              </w:rPr>
              <w:t xml:space="preserve">82.00 </w:t>
            </w:r>
          </w:p>
        </w:tc>
        <w:tc>
          <w:tcPr>
            <w:tcW w:w="981" w:type="dxa"/>
            <w:vMerge w:val="continue"/>
            <w:vAlign w:val="center"/>
          </w:tcPr>
          <w:p w14:paraId="5D75FC6D">
            <w:pPr>
              <w:pStyle w:val="557"/>
            </w:pPr>
          </w:p>
        </w:tc>
        <w:tc>
          <w:tcPr>
            <w:tcW w:w="611" w:type="dxa"/>
            <w:vAlign w:val="center"/>
          </w:tcPr>
          <w:p w14:paraId="1261B778">
            <w:pPr>
              <w:pStyle w:val="557"/>
            </w:pPr>
            <w:r>
              <w:rPr>
                <w:rFonts w:hint="eastAsia"/>
              </w:rPr>
              <w:t>99.2</w:t>
            </w:r>
          </w:p>
        </w:tc>
        <w:tc>
          <w:tcPr>
            <w:tcW w:w="669" w:type="dxa"/>
            <w:vMerge w:val="continue"/>
            <w:vAlign w:val="center"/>
          </w:tcPr>
          <w:p w14:paraId="49C83037">
            <w:pPr>
              <w:pStyle w:val="557"/>
            </w:pPr>
          </w:p>
        </w:tc>
        <w:tc>
          <w:tcPr>
            <w:tcW w:w="762" w:type="dxa"/>
            <w:vAlign w:val="center"/>
          </w:tcPr>
          <w:p w14:paraId="1FEE7B9C">
            <w:pPr>
              <w:jc w:val="center"/>
              <w:textAlignment w:val="center"/>
              <w:rPr>
                <w:rFonts w:ascii="Times New Roman" w:hAnsi="Times New Roman" w:cs="Times New Roman"/>
                <w:sz w:val="18"/>
                <w:szCs w:val="18"/>
              </w:rPr>
            </w:pPr>
            <w:r>
              <w:rPr>
                <w:rFonts w:ascii="Times New Roman" w:hAnsi="Times New Roman" w:cs="Times New Roman"/>
                <w:sz w:val="18"/>
                <w:szCs w:val="18"/>
              </w:rPr>
              <w:t>1.52</w:t>
            </w:r>
          </w:p>
        </w:tc>
        <w:tc>
          <w:tcPr>
            <w:tcW w:w="635" w:type="dxa"/>
            <w:vAlign w:val="center"/>
          </w:tcPr>
          <w:p w14:paraId="1B08CA0B">
            <w:pPr>
              <w:jc w:val="center"/>
              <w:textAlignment w:val="center"/>
              <w:rPr>
                <w:rFonts w:ascii="Times New Roman" w:hAnsi="Times New Roman" w:cs="Times New Roman"/>
                <w:sz w:val="18"/>
                <w:szCs w:val="18"/>
              </w:rPr>
            </w:pPr>
            <w:r>
              <w:rPr>
                <w:rFonts w:ascii="Times New Roman" w:hAnsi="Times New Roman" w:cs="Times New Roman"/>
                <w:sz w:val="18"/>
                <w:szCs w:val="18"/>
              </w:rPr>
              <w:t>0.49</w:t>
            </w:r>
          </w:p>
        </w:tc>
        <w:tc>
          <w:tcPr>
            <w:tcW w:w="595" w:type="dxa"/>
            <w:vAlign w:val="center"/>
          </w:tcPr>
          <w:p w14:paraId="3B3BCE94">
            <w:pPr>
              <w:jc w:val="center"/>
              <w:textAlignment w:val="center"/>
              <w:rPr>
                <w:rFonts w:ascii="Times New Roman" w:hAnsi="Times New Roman" w:cs="Times New Roman"/>
                <w:sz w:val="18"/>
                <w:szCs w:val="18"/>
              </w:rPr>
            </w:pPr>
            <w:r>
              <w:rPr>
                <w:rFonts w:ascii="Times New Roman" w:hAnsi="Times New Roman" w:cs="Times New Roman"/>
                <w:sz w:val="18"/>
                <w:szCs w:val="18"/>
              </w:rPr>
              <w:t>3.94</w:t>
            </w:r>
          </w:p>
        </w:tc>
      </w:tr>
      <w:tr w14:paraId="3918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058D8E00">
            <w:pPr>
              <w:pStyle w:val="557"/>
            </w:pPr>
          </w:p>
        </w:tc>
        <w:tc>
          <w:tcPr>
            <w:tcW w:w="645" w:type="dxa"/>
            <w:vAlign w:val="center"/>
          </w:tcPr>
          <w:p w14:paraId="228D50AC">
            <w:pPr>
              <w:pStyle w:val="557"/>
            </w:pPr>
            <w:r>
              <w:rPr>
                <w:rFonts w:hint="eastAsia"/>
              </w:rPr>
              <w:t>1#包装废气</w:t>
            </w:r>
          </w:p>
        </w:tc>
        <w:tc>
          <w:tcPr>
            <w:tcW w:w="403" w:type="dxa"/>
            <w:vAlign w:val="center"/>
          </w:tcPr>
          <w:p w14:paraId="225C9E13">
            <w:pPr>
              <w:pStyle w:val="557"/>
            </w:pPr>
            <w:r>
              <w:rPr>
                <w:rFonts w:hint="eastAsia"/>
              </w:rPr>
              <w:t>系数法</w:t>
            </w:r>
          </w:p>
        </w:tc>
        <w:tc>
          <w:tcPr>
            <w:tcW w:w="643" w:type="dxa"/>
            <w:vAlign w:val="center"/>
          </w:tcPr>
          <w:p w14:paraId="5629134F">
            <w:pPr>
              <w:pStyle w:val="557"/>
            </w:pPr>
            <w:r>
              <w:rPr>
                <w:rFonts w:hint="eastAsia"/>
              </w:rPr>
              <w:t>颗粒物</w:t>
            </w:r>
          </w:p>
        </w:tc>
        <w:tc>
          <w:tcPr>
            <w:tcW w:w="801" w:type="dxa"/>
            <w:vAlign w:val="center"/>
          </w:tcPr>
          <w:p w14:paraId="00D69C13">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9.65</w:t>
            </w:r>
          </w:p>
        </w:tc>
        <w:tc>
          <w:tcPr>
            <w:tcW w:w="657" w:type="dxa"/>
            <w:vAlign w:val="center"/>
          </w:tcPr>
          <w:p w14:paraId="442E42F1">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3.125</w:t>
            </w:r>
          </w:p>
        </w:tc>
        <w:tc>
          <w:tcPr>
            <w:tcW w:w="658" w:type="dxa"/>
            <w:vAlign w:val="center"/>
          </w:tcPr>
          <w:p w14:paraId="3DCB00AD">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25</w:t>
            </w:r>
          </w:p>
        </w:tc>
        <w:tc>
          <w:tcPr>
            <w:tcW w:w="981" w:type="dxa"/>
            <w:vMerge w:val="continue"/>
            <w:vAlign w:val="center"/>
          </w:tcPr>
          <w:p w14:paraId="2FE5CC15">
            <w:pPr>
              <w:pStyle w:val="557"/>
            </w:pPr>
          </w:p>
        </w:tc>
        <w:tc>
          <w:tcPr>
            <w:tcW w:w="611" w:type="dxa"/>
            <w:vAlign w:val="center"/>
          </w:tcPr>
          <w:p w14:paraId="1DD3164D">
            <w:pPr>
              <w:pStyle w:val="557"/>
            </w:pPr>
            <w:r>
              <w:rPr>
                <w:rFonts w:hint="eastAsia"/>
              </w:rPr>
              <w:t>98.3</w:t>
            </w:r>
          </w:p>
        </w:tc>
        <w:tc>
          <w:tcPr>
            <w:tcW w:w="669" w:type="dxa"/>
            <w:vMerge w:val="continue"/>
            <w:vAlign w:val="center"/>
          </w:tcPr>
          <w:p w14:paraId="460B4530">
            <w:pPr>
              <w:pStyle w:val="557"/>
            </w:pPr>
          </w:p>
        </w:tc>
        <w:tc>
          <w:tcPr>
            <w:tcW w:w="1992" w:type="dxa"/>
            <w:gridSpan w:val="3"/>
            <w:vMerge w:val="restart"/>
            <w:vAlign w:val="center"/>
          </w:tcPr>
          <w:p w14:paraId="396A2BA3">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w:t>
            </w:r>
          </w:p>
        </w:tc>
      </w:tr>
      <w:tr w14:paraId="22A8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0B60F736">
            <w:pPr>
              <w:pStyle w:val="557"/>
            </w:pPr>
          </w:p>
        </w:tc>
        <w:tc>
          <w:tcPr>
            <w:tcW w:w="645" w:type="dxa"/>
            <w:vMerge w:val="restart"/>
            <w:vAlign w:val="center"/>
          </w:tcPr>
          <w:p w14:paraId="21F87A8E">
            <w:pPr>
              <w:pStyle w:val="557"/>
            </w:pPr>
            <w:r>
              <w:rPr>
                <w:rFonts w:hint="eastAsia"/>
              </w:rPr>
              <w:t>1#烘干废气</w:t>
            </w:r>
          </w:p>
        </w:tc>
        <w:tc>
          <w:tcPr>
            <w:tcW w:w="403" w:type="dxa"/>
            <w:vMerge w:val="restart"/>
            <w:vAlign w:val="center"/>
          </w:tcPr>
          <w:p w14:paraId="54826C4E">
            <w:pPr>
              <w:pStyle w:val="557"/>
            </w:pPr>
            <w:r>
              <w:rPr>
                <w:rFonts w:hint="eastAsia"/>
              </w:rPr>
              <w:t>系数法</w:t>
            </w:r>
          </w:p>
        </w:tc>
        <w:tc>
          <w:tcPr>
            <w:tcW w:w="643" w:type="dxa"/>
            <w:vAlign w:val="center"/>
          </w:tcPr>
          <w:p w14:paraId="2A81DA8F">
            <w:pPr>
              <w:pStyle w:val="557"/>
            </w:pPr>
            <w:r>
              <w:t>颗粒物</w:t>
            </w:r>
          </w:p>
        </w:tc>
        <w:tc>
          <w:tcPr>
            <w:tcW w:w="801" w:type="dxa"/>
            <w:vAlign w:val="center"/>
          </w:tcPr>
          <w:p w14:paraId="52AA5AD8">
            <w:pPr>
              <w:jc w:val="center"/>
              <w:textAlignment w:val="center"/>
              <w:rPr>
                <w:rFonts w:hint="eastAsia"/>
                <w:sz w:val="18"/>
                <w:szCs w:val="18"/>
              </w:rPr>
            </w:pPr>
            <w:r>
              <w:rPr>
                <w:rFonts w:ascii="Times New Roman" w:hAnsi="Times New Roman" w:cs="Times New Roman"/>
                <w:color w:val="000000"/>
                <w:sz w:val="18"/>
                <w:szCs w:val="18"/>
              </w:rPr>
              <w:t>1010.80</w:t>
            </w:r>
          </w:p>
        </w:tc>
        <w:tc>
          <w:tcPr>
            <w:tcW w:w="657" w:type="dxa"/>
            <w:vAlign w:val="center"/>
          </w:tcPr>
          <w:p w14:paraId="6C6BE177">
            <w:pPr>
              <w:jc w:val="center"/>
              <w:textAlignment w:val="center"/>
              <w:rPr>
                <w:rFonts w:hint="eastAsia"/>
                <w:sz w:val="18"/>
                <w:szCs w:val="18"/>
              </w:rPr>
            </w:pPr>
            <w:r>
              <w:rPr>
                <w:rFonts w:ascii="Times New Roman" w:hAnsi="Times New Roman" w:cs="Times New Roman"/>
                <w:color w:val="000000"/>
                <w:sz w:val="18"/>
                <w:szCs w:val="18"/>
              </w:rPr>
              <w:t>327.5</w:t>
            </w:r>
          </w:p>
        </w:tc>
        <w:tc>
          <w:tcPr>
            <w:tcW w:w="658" w:type="dxa"/>
            <w:vAlign w:val="center"/>
          </w:tcPr>
          <w:p w14:paraId="01B579A3">
            <w:pPr>
              <w:jc w:val="center"/>
              <w:textAlignment w:val="center"/>
              <w:rPr>
                <w:rFonts w:hint="eastAsia"/>
                <w:sz w:val="18"/>
                <w:szCs w:val="18"/>
              </w:rPr>
            </w:pPr>
            <w:r>
              <w:rPr>
                <w:rFonts w:ascii="Times New Roman" w:hAnsi="Times New Roman" w:cs="Times New Roman"/>
                <w:color w:val="000000"/>
                <w:sz w:val="18"/>
                <w:szCs w:val="18"/>
              </w:rPr>
              <w:t>2620</w:t>
            </w:r>
          </w:p>
        </w:tc>
        <w:tc>
          <w:tcPr>
            <w:tcW w:w="981" w:type="dxa"/>
            <w:vMerge w:val="restart"/>
            <w:vAlign w:val="center"/>
          </w:tcPr>
          <w:p w14:paraId="2A0808CE">
            <w:pPr>
              <w:pStyle w:val="557"/>
            </w:pPr>
            <w:r>
              <w:rPr>
                <w:rFonts w:hint="eastAsia"/>
              </w:rPr>
              <w:t>旋风除尘器+重力沉降室除尘+酸洗+水洗</w:t>
            </w:r>
          </w:p>
        </w:tc>
        <w:tc>
          <w:tcPr>
            <w:tcW w:w="611" w:type="dxa"/>
            <w:vAlign w:val="center"/>
          </w:tcPr>
          <w:p w14:paraId="11468F39">
            <w:pPr>
              <w:pStyle w:val="557"/>
            </w:pPr>
            <w:r>
              <w:rPr>
                <w:rFonts w:hint="eastAsia"/>
              </w:rPr>
              <w:t>99.9</w:t>
            </w:r>
          </w:p>
        </w:tc>
        <w:tc>
          <w:tcPr>
            <w:tcW w:w="669" w:type="dxa"/>
            <w:vMerge w:val="continue"/>
            <w:vAlign w:val="center"/>
          </w:tcPr>
          <w:p w14:paraId="5AF133A7">
            <w:pPr>
              <w:pStyle w:val="557"/>
            </w:pPr>
          </w:p>
        </w:tc>
        <w:tc>
          <w:tcPr>
            <w:tcW w:w="1992" w:type="dxa"/>
            <w:gridSpan w:val="3"/>
            <w:vMerge w:val="continue"/>
            <w:vAlign w:val="center"/>
          </w:tcPr>
          <w:p w14:paraId="7257857A">
            <w:pPr>
              <w:jc w:val="center"/>
              <w:textAlignment w:val="center"/>
              <w:rPr>
                <w:rFonts w:ascii="Times New Roman" w:hAnsi="Times New Roman" w:cs="Times New Roman"/>
                <w:color w:val="000000"/>
                <w:sz w:val="18"/>
                <w:szCs w:val="18"/>
              </w:rPr>
            </w:pPr>
          </w:p>
        </w:tc>
      </w:tr>
      <w:tr w14:paraId="6C94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35E3405C">
            <w:pPr>
              <w:pStyle w:val="557"/>
            </w:pPr>
          </w:p>
        </w:tc>
        <w:tc>
          <w:tcPr>
            <w:tcW w:w="645" w:type="dxa"/>
            <w:vMerge w:val="continue"/>
            <w:vAlign w:val="center"/>
          </w:tcPr>
          <w:p w14:paraId="6A28E1FC">
            <w:pPr>
              <w:pStyle w:val="557"/>
            </w:pPr>
          </w:p>
        </w:tc>
        <w:tc>
          <w:tcPr>
            <w:tcW w:w="403" w:type="dxa"/>
            <w:vMerge w:val="continue"/>
            <w:vAlign w:val="center"/>
          </w:tcPr>
          <w:p w14:paraId="3D727536">
            <w:pPr>
              <w:pStyle w:val="557"/>
            </w:pPr>
          </w:p>
        </w:tc>
        <w:tc>
          <w:tcPr>
            <w:tcW w:w="643" w:type="dxa"/>
            <w:vAlign w:val="center"/>
          </w:tcPr>
          <w:p w14:paraId="6B076B56">
            <w:pPr>
              <w:pStyle w:val="557"/>
            </w:pPr>
            <w:r>
              <w:t>NH</w:t>
            </w:r>
            <w:r>
              <w:rPr>
                <w:vertAlign w:val="subscript"/>
              </w:rPr>
              <w:t>3</w:t>
            </w:r>
          </w:p>
        </w:tc>
        <w:tc>
          <w:tcPr>
            <w:tcW w:w="801" w:type="dxa"/>
            <w:vAlign w:val="center"/>
          </w:tcPr>
          <w:p w14:paraId="16ADB077">
            <w:pPr>
              <w:jc w:val="center"/>
              <w:textAlignment w:val="center"/>
              <w:rPr>
                <w:rFonts w:hint="eastAsia"/>
                <w:sz w:val="18"/>
                <w:szCs w:val="18"/>
              </w:rPr>
            </w:pPr>
            <w:r>
              <w:rPr>
                <w:rFonts w:ascii="Times New Roman" w:hAnsi="Times New Roman" w:cs="Times New Roman"/>
                <w:color w:val="000000"/>
                <w:sz w:val="18"/>
                <w:szCs w:val="18"/>
              </w:rPr>
              <w:t>31.64</w:t>
            </w:r>
          </w:p>
        </w:tc>
        <w:tc>
          <w:tcPr>
            <w:tcW w:w="657" w:type="dxa"/>
            <w:vAlign w:val="center"/>
          </w:tcPr>
          <w:p w14:paraId="20578034">
            <w:pPr>
              <w:jc w:val="center"/>
              <w:textAlignment w:val="center"/>
              <w:rPr>
                <w:rFonts w:hint="eastAsia"/>
                <w:sz w:val="18"/>
                <w:szCs w:val="18"/>
              </w:rPr>
            </w:pPr>
            <w:r>
              <w:rPr>
                <w:rFonts w:ascii="Times New Roman" w:hAnsi="Times New Roman" w:cs="Times New Roman"/>
                <w:color w:val="000000"/>
                <w:sz w:val="18"/>
                <w:szCs w:val="18"/>
              </w:rPr>
              <w:t xml:space="preserve">10.25 </w:t>
            </w:r>
          </w:p>
        </w:tc>
        <w:tc>
          <w:tcPr>
            <w:tcW w:w="658" w:type="dxa"/>
            <w:vAlign w:val="center"/>
          </w:tcPr>
          <w:p w14:paraId="57DDFC7E">
            <w:pPr>
              <w:jc w:val="center"/>
              <w:textAlignment w:val="center"/>
              <w:rPr>
                <w:rFonts w:hint="eastAsia"/>
                <w:sz w:val="18"/>
                <w:szCs w:val="18"/>
              </w:rPr>
            </w:pPr>
            <w:r>
              <w:rPr>
                <w:rFonts w:ascii="Times New Roman" w:hAnsi="Times New Roman" w:cs="Times New Roman"/>
                <w:color w:val="000000"/>
                <w:sz w:val="18"/>
                <w:szCs w:val="18"/>
              </w:rPr>
              <w:t xml:space="preserve">82.00 </w:t>
            </w:r>
          </w:p>
        </w:tc>
        <w:tc>
          <w:tcPr>
            <w:tcW w:w="981" w:type="dxa"/>
            <w:vMerge w:val="continue"/>
            <w:vAlign w:val="center"/>
          </w:tcPr>
          <w:p w14:paraId="7A2C510D">
            <w:pPr>
              <w:pStyle w:val="557"/>
            </w:pPr>
          </w:p>
        </w:tc>
        <w:tc>
          <w:tcPr>
            <w:tcW w:w="611" w:type="dxa"/>
            <w:vAlign w:val="center"/>
          </w:tcPr>
          <w:p w14:paraId="112E536A">
            <w:pPr>
              <w:pStyle w:val="557"/>
            </w:pPr>
            <w:r>
              <w:rPr>
                <w:rFonts w:hint="eastAsia"/>
              </w:rPr>
              <w:t>96</w:t>
            </w:r>
          </w:p>
        </w:tc>
        <w:tc>
          <w:tcPr>
            <w:tcW w:w="669" w:type="dxa"/>
            <w:vMerge w:val="continue"/>
            <w:vAlign w:val="center"/>
          </w:tcPr>
          <w:p w14:paraId="3942CE5E">
            <w:pPr>
              <w:pStyle w:val="557"/>
            </w:pPr>
          </w:p>
        </w:tc>
        <w:tc>
          <w:tcPr>
            <w:tcW w:w="1992" w:type="dxa"/>
            <w:gridSpan w:val="3"/>
            <w:vMerge w:val="continue"/>
            <w:vAlign w:val="center"/>
          </w:tcPr>
          <w:p w14:paraId="52F3C337">
            <w:pPr>
              <w:jc w:val="center"/>
              <w:textAlignment w:val="center"/>
              <w:rPr>
                <w:rFonts w:ascii="Times New Roman" w:hAnsi="Times New Roman" w:cs="Times New Roman"/>
                <w:color w:val="000000"/>
                <w:sz w:val="18"/>
                <w:szCs w:val="18"/>
              </w:rPr>
            </w:pPr>
          </w:p>
        </w:tc>
      </w:tr>
      <w:tr w14:paraId="616D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28FC7B91">
            <w:pPr>
              <w:pStyle w:val="557"/>
            </w:pPr>
          </w:p>
        </w:tc>
        <w:tc>
          <w:tcPr>
            <w:tcW w:w="645" w:type="dxa"/>
            <w:vMerge w:val="restart"/>
            <w:vAlign w:val="center"/>
          </w:tcPr>
          <w:p w14:paraId="791D2A09">
            <w:pPr>
              <w:pStyle w:val="557"/>
            </w:pPr>
            <w:r>
              <w:rPr>
                <w:rFonts w:hint="eastAsia"/>
              </w:rPr>
              <w:t>2#造粒废气</w:t>
            </w:r>
          </w:p>
        </w:tc>
        <w:tc>
          <w:tcPr>
            <w:tcW w:w="403" w:type="dxa"/>
            <w:vMerge w:val="restart"/>
            <w:vAlign w:val="center"/>
          </w:tcPr>
          <w:p w14:paraId="6EE29C98">
            <w:pPr>
              <w:pStyle w:val="557"/>
            </w:pPr>
            <w:r>
              <w:t>系数法</w:t>
            </w:r>
          </w:p>
        </w:tc>
        <w:tc>
          <w:tcPr>
            <w:tcW w:w="643" w:type="dxa"/>
            <w:vAlign w:val="center"/>
          </w:tcPr>
          <w:p w14:paraId="069E60D8">
            <w:pPr>
              <w:pStyle w:val="557"/>
            </w:pPr>
            <w:r>
              <w:t>颗粒物</w:t>
            </w:r>
          </w:p>
        </w:tc>
        <w:tc>
          <w:tcPr>
            <w:tcW w:w="801" w:type="dxa"/>
            <w:vAlign w:val="center"/>
          </w:tcPr>
          <w:p w14:paraId="04F5E80F">
            <w:pPr>
              <w:jc w:val="center"/>
              <w:textAlignment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ascii="Times New Roman" w:hAnsi="Times New Roman" w:cs="Times New Roman"/>
                <w:color w:val="000000"/>
                <w:sz w:val="18"/>
                <w:szCs w:val="18"/>
              </w:rPr>
              <w:t xml:space="preserve">1010.80 </w:t>
            </w:r>
          </w:p>
        </w:tc>
        <w:tc>
          <w:tcPr>
            <w:tcW w:w="657" w:type="dxa"/>
            <w:vAlign w:val="center"/>
          </w:tcPr>
          <w:p w14:paraId="68D433A8">
            <w:pPr>
              <w:jc w:val="center"/>
              <w:textAlignment w:val="center"/>
              <w:rPr>
                <w:rFonts w:hint="eastAsia"/>
                <w:sz w:val="18"/>
                <w:szCs w:val="18"/>
              </w:rPr>
            </w:pPr>
            <w:r>
              <w:rPr>
                <w:rFonts w:ascii="Times New Roman" w:hAnsi="Times New Roman" w:cs="Times New Roman"/>
                <w:color w:val="000000"/>
                <w:sz w:val="18"/>
                <w:szCs w:val="18"/>
              </w:rPr>
              <w:t>327.5</w:t>
            </w:r>
          </w:p>
        </w:tc>
        <w:tc>
          <w:tcPr>
            <w:tcW w:w="658" w:type="dxa"/>
            <w:vAlign w:val="center"/>
          </w:tcPr>
          <w:p w14:paraId="2FCE9451">
            <w:pPr>
              <w:jc w:val="center"/>
              <w:textAlignment w:val="center"/>
              <w:rPr>
                <w:rFonts w:hint="eastAsia"/>
                <w:sz w:val="18"/>
                <w:szCs w:val="18"/>
              </w:rPr>
            </w:pPr>
            <w:r>
              <w:rPr>
                <w:rFonts w:ascii="Times New Roman" w:hAnsi="Times New Roman" w:cs="Times New Roman"/>
                <w:color w:val="000000"/>
                <w:sz w:val="18"/>
                <w:szCs w:val="18"/>
              </w:rPr>
              <w:t>2620</w:t>
            </w:r>
          </w:p>
        </w:tc>
        <w:tc>
          <w:tcPr>
            <w:tcW w:w="981" w:type="dxa"/>
            <w:vMerge w:val="restart"/>
            <w:vAlign w:val="center"/>
          </w:tcPr>
          <w:p w14:paraId="231CAA90">
            <w:pPr>
              <w:pStyle w:val="557"/>
            </w:pPr>
            <w:r>
              <w:rPr>
                <w:rFonts w:hint="eastAsia"/>
              </w:rPr>
              <w:t>文丘里洗涤塔+酸洗+水洗</w:t>
            </w:r>
          </w:p>
        </w:tc>
        <w:tc>
          <w:tcPr>
            <w:tcW w:w="611" w:type="dxa"/>
            <w:vAlign w:val="center"/>
          </w:tcPr>
          <w:p w14:paraId="1DC82690">
            <w:pPr>
              <w:pStyle w:val="557"/>
            </w:pPr>
            <w:r>
              <w:rPr>
                <w:rFonts w:hint="eastAsia"/>
              </w:rPr>
              <w:t>98.3</w:t>
            </w:r>
          </w:p>
        </w:tc>
        <w:tc>
          <w:tcPr>
            <w:tcW w:w="669" w:type="dxa"/>
            <w:vMerge w:val="restart"/>
            <w:vAlign w:val="center"/>
          </w:tcPr>
          <w:p w14:paraId="227C2A65">
            <w:pPr>
              <w:pStyle w:val="557"/>
            </w:pPr>
            <w:r>
              <w:rPr>
                <w:rFonts w:hint="eastAsia"/>
              </w:rPr>
              <w:t>324000</w:t>
            </w:r>
          </w:p>
        </w:tc>
        <w:tc>
          <w:tcPr>
            <w:tcW w:w="762" w:type="dxa"/>
            <w:vAlign w:val="center"/>
          </w:tcPr>
          <w:p w14:paraId="1073347E">
            <w:pPr>
              <w:jc w:val="center"/>
              <w:textAlignment w:val="center"/>
              <w:rPr>
                <w:rFonts w:hint="eastAsia"/>
                <w:sz w:val="18"/>
                <w:szCs w:val="18"/>
              </w:rPr>
            </w:pPr>
            <w:r>
              <w:rPr>
                <w:rFonts w:ascii="Times New Roman" w:hAnsi="Times New Roman" w:cs="Times New Roman"/>
                <w:sz w:val="18"/>
                <w:szCs w:val="18"/>
              </w:rPr>
              <w:t>18.</w:t>
            </w:r>
            <w:r>
              <w:rPr>
                <w:rFonts w:hint="eastAsia" w:ascii="Times New Roman" w:hAnsi="Times New Roman" w:cs="Times New Roman"/>
                <w:sz w:val="18"/>
                <w:szCs w:val="18"/>
              </w:rPr>
              <w:t>36</w:t>
            </w:r>
          </w:p>
        </w:tc>
        <w:tc>
          <w:tcPr>
            <w:tcW w:w="635" w:type="dxa"/>
            <w:vAlign w:val="center"/>
          </w:tcPr>
          <w:p w14:paraId="2EB18A69">
            <w:pPr>
              <w:jc w:val="center"/>
              <w:textAlignment w:val="center"/>
              <w:rPr>
                <w:rFonts w:hint="eastAsia"/>
                <w:sz w:val="18"/>
                <w:szCs w:val="18"/>
              </w:rPr>
            </w:pPr>
            <w:r>
              <w:rPr>
                <w:rFonts w:ascii="Times New Roman" w:hAnsi="Times New Roman" w:cs="Times New Roman"/>
                <w:sz w:val="18"/>
                <w:szCs w:val="18"/>
              </w:rPr>
              <w:t>5.9</w:t>
            </w:r>
            <w:r>
              <w:rPr>
                <w:rFonts w:hint="eastAsia" w:ascii="Times New Roman" w:hAnsi="Times New Roman" w:cs="Times New Roman"/>
                <w:sz w:val="18"/>
                <w:szCs w:val="18"/>
              </w:rPr>
              <w:t>5</w:t>
            </w:r>
          </w:p>
        </w:tc>
        <w:tc>
          <w:tcPr>
            <w:tcW w:w="595" w:type="dxa"/>
            <w:vAlign w:val="center"/>
          </w:tcPr>
          <w:p w14:paraId="6C17A04E">
            <w:pPr>
              <w:jc w:val="center"/>
              <w:textAlignment w:val="center"/>
              <w:rPr>
                <w:rFonts w:hint="eastAsia"/>
                <w:sz w:val="18"/>
                <w:szCs w:val="18"/>
              </w:rPr>
            </w:pPr>
            <w:r>
              <w:rPr>
                <w:rFonts w:ascii="Times New Roman" w:hAnsi="Times New Roman" w:cs="Times New Roman"/>
                <w:sz w:val="18"/>
                <w:szCs w:val="18"/>
              </w:rPr>
              <w:t>47.</w:t>
            </w:r>
            <w:r>
              <w:rPr>
                <w:rFonts w:hint="eastAsia" w:ascii="Times New Roman" w:hAnsi="Times New Roman" w:cs="Times New Roman"/>
                <w:sz w:val="18"/>
                <w:szCs w:val="18"/>
              </w:rPr>
              <w:t>59</w:t>
            </w:r>
            <w:r>
              <w:rPr>
                <w:rFonts w:ascii="Times New Roman" w:hAnsi="Times New Roman" w:cs="Times New Roman"/>
                <w:sz w:val="18"/>
                <w:szCs w:val="18"/>
              </w:rPr>
              <w:t>6</w:t>
            </w:r>
          </w:p>
        </w:tc>
      </w:tr>
      <w:tr w14:paraId="1A7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4962586F">
            <w:pPr>
              <w:pStyle w:val="557"/>
            </w:pPr>
          </w:p>
        </w:tc>
        <w:tc>
          <w:tcPr>
            <w:tcW w:w="645" w:type="dxa"/>
            <w:vMerge w:val="continue"/>
            <w:vAlign w:val="center"/>
          </w:tcPr>
          <w:p w14:paraId="5CE77330">
            <w:pPr>
              <w:pStyle w:val="557"/>
            </w:pPr>
          </w:p>
        </w:tc>
        <w:tc>
          <w:tcPr>
            <w:tcW w:w="403" w:type="dxa"/>
            <w:vMerge w:val="continue"/>
            <w:vAlign w:val="center"/>
          </w:tcPr>
          <w:p w14:paraId="363AE29D">
            <w:pPr>
              <w:pStyle w:val="557"/>
            </w:pPr>
          </w:p>
        </w:tc>
        <w:tc>
          <w:tcPr>
            <w:tcW w:w="643" w:type="dxa"/>
            <w:vAlign w:val="center"/>
          </w:tcPr>
          <w:p w14:paraId="0C146346">
            <w:pPr>
              <w:pStyle w:val="557"/>
            </w:pPr>
            <w:r>
              <w:t>NH</w:t>
            </w:r>
            <w:r>
              <w:rPr>
                <w:vertAlign w:val="subscript"/>
              </w:rPr>
              <w:t>3</w:t>
            </w:r>
          </w:p>
        </w:tc>
        <w:tc>
          <w:tcPr>
            <w:tcW w:w="801" w:type="dxa"/>
            <w:vAlign w:val="center"/>
          </w:tcPr>
          <w:p w14:paraId="05313DCA">
            <w:pPr>
              <w:jc w:val="center"/>
              <w:textAlignment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ascii="Times New Roman" w:hAnsi="Times New Roman" w:cs="Times New Roman"/>
                <w:color w:val="000000"/>
                <w:sz w:val="18"/>
                <w:szCs w:val="18"/>
              </w:rPr>
              <w:t xml:space="preserve">31.64 </w:t>
            </w:r>
          </w:p>
        </w:tc>
        <w:tc>
          <w:tcPr>
            <w:tcW w:w="657" w:type="dxa"/>
            <w:vAlign w:val="center"/>
          </w:tcPr>
          <w:p w14:paraId="4D1C1B31">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10.25 </w:t>
            </w:r>
          </w:p>
        </w:tc>
        <w:tc>
          <w:tcPr>
            <w:tcW w:w="658" w:type="dxa"/>
            <w:vAlign w:val="center"/>
          </w:tcPr>
          <w:p w14:paraId="4A4BF21A">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82.00 </w:t>
            </w:r>
          </w:p>
        </w:tc>
        <w:tc>
          <w:tcPr>
            <w:tcW w:w="981" w:type="dxa"/>
            <w:vMerge w:val="continue"/>
            <w:vAlign w:val="center"/>
          </w:tcPr>
          <w:p w14:paraId="5E93BE56">
            <w:pPr>
              <w:pStyle w:val="557"/>
            </w:pPr>
          </w:p>
        </w:tc>
        <w:tc>
          <w:tcPr>
            <w:tcW w:w="611" w:type="dxa"/>
            <w:vAlign w:val="center"/>
          </w:tcPr>
          <w:p w14:paraId="64F9E2D9">
            <w:pPr>
              <w:pStyle w:val="557"/>
            </w:pPr>
            <w:r>
              <w:rPr>
                <w:rFonts w:hint="eastAsia"/>
              </w:rPr>
              <w:t>99.2</w:t>
            </w:r>
          </w:p>
        </w:tc>
        <w:tc>
          <w:tcPr>
            <w:tcW w:w="669" w:type="dxa"/>
            <w:vMerge w:val="continue"/>
            <w:vAlign w:val="center"/>
          </w:tcPr>
          <w:p w14:paraId="61809777">
            <w:pPr>
              <w:pStyle w:val="557"/>
            </w:pPr>
          </w:p>
        </w:tc>
        <w:tc>
          <w:tcPr>
            <w:tcW w:w="762" w:type="dxa"/>
            <w:vAlign w:val="center"/>
          </w:tcPr>
          <w:p w14:paraId="1D3F9B01">
            <w:pPr>
              <w:jc w:val="center"/>
              <w:textAlignment w:val="center"/>
              <w:rPr>
                <w:rFonts w:hint="eastAsia"/>
                <w:sz w:val="18"/>
                <w:szCs w:val="18"/>
              </w:rPr>
            </w:pPr>
            <w:r>
              <w:rPr>
                <w:rFonts w:ascii="Times New Roman" w:hAnsi="Times New Roman" w:cs="Times New Roman"/>
                <w:sz w:val="18"/>
                <w:szCs w:val="18"/>
              </w:rPr>
              <w:t>1.52</w:t>
            </w:r>
          </w:p>
        </w:tc>
        <w:tc>
          <w:tcPr>
            <w:tcW w:w="635" w:type="dxa"/>
            <w:vAlign w:val="center"/>
          </w:tcPr>
          <w:p w14:paraId="2C2A48FC">
            <w:pPr>
              <w:jc w:val="center"/>
              <w:textAlignment w:val="center"/>
              <w:rPr>
                <w:rFonts w:hint="eastAsia"/>
                <w:sz w:val="18"/>
                <w:szCs w:val="18"/>
              </w:rPr>
            </w:pPr>
            <w:r>
              <w:rPr>
                <w:rFonts w:ascii="Times New Roman" w:hAnsi="Times New Roman" w:cs="Times New Roman"/>
                <w:sz w:val="18"/>
                <w:szCs w:val="18"/>
              </w:rPr>
              <w:t>0.49</w:t>
            </w:r>
          </w:p>
        </w:tc>
        <w:tc>
          <w:tcPr>
            <w:tcW w:w="595" w:type="dxa"/>
            <w:vAlign w:val="center"/>
          </w:tcPr>
          <w:p w14:paraId="6D3EBA4B">
            <w:pPr>
              <w:jc w:val="center"/>
              <w:textAlignment w:val="center"/>
              <w:rPr>
                <w:rFonts w:hint="eastAsia"/>
                <w:sz w:val="18"/>
                <w:szCs w:val="18"/>
              </w:rPr>
            </w:pPr>
            <w:r>
              <w:rPr>
                <w:rFonts w:ascii="Times New Roman" w:hAnsi="Times New Roman" w:cs="Times New Roman"/>
                <w:sz w:val="18"/>
                <w:szCs w:val="18"/>
              </w:rPr>
              <w:t>3.94</w:t>
            </w:r>
          </w:p>
        </w:tc>
      </w:tr>
      <w:tr w14:paraId="322F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66FF66EF">
            <w:pPr>
              <w:pStyle w:val="557"/>
            </w:pPr>
          </w:p>
        </w:tc>
        <w:tc>
          <w:tcPr>
            <w:tcW w:w="645" w:type="dxa"/>
            <w:vAlign w:val="center"/>
          </w:tcPr>
          <w:p w14:paraId="6F1CD043">
            <w:pPr>
              <w:pStyle w:val="557"/>
            </w:pPr>
            <w:r>
              <w:rPr>
                <w:rFonts w:hint="eastAsia"/>
              </w:rPr>
              <w:t>2#包装废气</w:t>
            </w:r>
          </w:p>
        </w:tc>
        <w:tc>
          <w:tcPr>
            <w:tcW w:w="403" w:type="dxa"/>
            <w:vAlign w:val="center"/>
          </w:tcPr>
          <w:p w14:paraId="3F6E9AB1">
            <w:pPr>
              <w:pStyle w:val="557"/>
            </w:pPr>
            <w:r>
              <w:rPr>
                <w:rFonts w:hint="eastAsia"/>
              </w:rPr>
              <w:t>系数法</w:t>
            </w:r>
          </w:p>
        </w:tc>
        <w:tc>
          <w:tcPr>
            <w:tcW w:w="643" w:type="dxa"/>
            <w:vAlign w:val="center"/>
          </w:tcPr>
          <w:p w14:paraId="113157FD">
            <w:pPr>
              <w:pStyle w:val="557"/>
            </w:pPr>
            <w:r>
              <w:rPr>
                <w:rFonts w:hint="eastAsia"/>
              </w:rPr>
              <w:t>颗粒物</w:t>
            </w:r>
          </w:p>
        </w:tc>
        <w:tc>
          <w:tcPr>
            <w:tcW w:w="801" w:type="dxa"/>
            <w:vAlign w:val="center"/>
          </w:tcPr>
          <w:p w14:paraId="2D0936AA">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9.65</w:t>
            </w:r>
          </w:p>
        </w:tc>
        <w:tc>
          <w:tcPr>
            <w:tcW w:w="657" w:type="dxa"/>
            <w:vAlign w:val="center"/>
          </w:tcPr>
          <w:p w14:paraId="5582E29C">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3.125</w:t>
            </w:r>
          </w:p>
        </w:tc>
        <w:tc>
          <w:tcPr>
            <w:tcW w:w="658" w:type="dxa"/>
            <w:vAlign w:val="center"/>
          </w:tcPr>
          <w:p w14:paraId="193C661F">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25</w:t>
            </w:r>
          </w:p>
        </w:tc>
        <w:tc>
          <w:tcPr>
            <w:tcW w:w="981" w:type="dxa"/>
            <w:vMerge w:val="continue"/>
            <w:vAlign w:val="center"/>
          </w:tcPr>
          <w:p w14:paraId="3D2678DF">
            <w:pPr>
              <w:pStyle w:val="557"/>
            </w:pPr>
          </w:p>
        </w:tc>
        <w:tc>
          <w:tcPr>
            <w:tcW w:w="611" w:type="dxa"/>
            <w:vAlign w:val="center"/>
          </w:tcPr>
          <w:p w14:paraId="07F7D30A">
            <w:pPr>
              <w:pStyle w:val="557"/>
            </w:pPr>
            <w:r>
              <w:rPr>
                <w:rFonts w:hint="eastAsia"/>
              </w:rPr>
              <w:t>98.3</w:t>
            </w:r>
          </w:p>
        </w:tc>
        <w:tc>
          <w:tcPr>
            <w:tcW w:w="669" w:type="dxa"/>
            <w:vMerge w:val="continue"/>
            <w:vAlign w:val="center"/>
          </w:tcPr>
          <w:p w14:paraId="4967D9CF">
            <w:pPr>
              <w:pStyle w:val="557"/>
            </w:pPr>
          </w:p>
        </w:tc>
        <w:tc>
          <w:tcPr>
            <w:tcW w:w="1992" w:type="dxa"/>
            <w:gridSpan w:val="3"/>
            <w:vMerge w:val="restart"/>
            <w:vAlign w:val="center"/>
          </w:tcPr>
          <w:p w14:paraId="301BB65D">
            <w:pPr>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w:t>
            </w:r>
          </w:p>
        </w:tc>
      </w:tr>
      <w:tr w14:paraId="0D81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6F7D1D55">
            <w:pPr>
              <w:pStyle w:val="557"/>
            </w:pPr>
          </w:p>
        </w:tc>
        <w:tc>
          <w:tcPr>
            <w:tcW w:w="645" w:type="dxa"/>
            <w:vMerge w:val="restart"/>
            <w:vAlign w:val="center"/>
          </w:tcPr>
          <w:p w14:paraId="2DDB4615">
            <w:pPr>
              <w:pStyle w:val="557"/>
            </w:pPr>
            <w:r>
              <w:rPr>
                <w:rFonts w:hint="eastAsia"/>
              </w:rPr>
              <w:t>2#烘干废气</w:t>
            </w:r>
          </w:p>
        </w:tc>
        <w:tc>
          <w:tcPr>
            <w:tcW w:w="403" w:type="dxa"/>
            <w:vMerge w:val="restart"/>
            <w:vAlign w:val="center"/>
          </w:tcPr>
          <w:p w14:paraId="501C6560">
            <w:pPr>
              <w:pStyle w:val="557"/>
            </w:pPr>
            <w:r>
              <w:rPr>
                <w:rFonts w:hint="eastAsia"/>
              </w:rPr>
              <w:t>系数法</w:t>
            </w:r>
          </w:p>
        </w:tc>
        <w:tc>
          <w:tcPr>
            <w:tcW w:w="643" w:type="dxa"/>
            <w:vAlign w:val="center"/>
          </w:tcPr>
          <w:p w14:paraId="6C69F43B">
            <w:pPr>
              <w:pStyle w:val="557"/>
            </w:pPr>
            <w:r>
              <w:rPr>
                <w:rFonts w:hint="eastAsia"/>
              </w:rPr>
              <w:t>颗粒物</w:t>
            </w:r>
          </w:p>
        </w:tc>
        <w:tc>
          <w:tcPr>
            <w:tcW w:w="801" w:type="dxa"/>
            <w:vAlign w:val="center"/>
          </w:tcPr>
          <w:p w14:paraId="37CB6BE7">
            <w:pPr>
              <w:jc w:val="center"/>
              <w:textAlignment w:val="center"/>
              <w:rPr>
                <w:rFonts w:hint="eastAsia"/>
                <w:sz w:val="18"/>
                <w:szCs w:val="18"/>
              </w:rPr>
            </w:pPr>
            <w:r>
              <w:rPr>
                <w:rFonts w:ascii="Times New Roman" w:hAnsi="Times New Roman" w:cs="Times New Roman"/>
                <w:color w:val="000000"/>
                <w:sz w:val="18"/>
                <w:szCs w:val="18"/>
              </w:rPr>
              <w:t>1010.80</w:t>
            </w:r>
          </w:p>
        </w:tc>
        <w:tc>
          <w:tcPr>
            <w:tcW w:w="657" w:type="dxa"/>
            <w:vAlign w:val="center"/>
          </w:tcPr>
          <w:p w14:paraId="11F74920">
            <w:pPr>
              <w:jc w:val="center"/>
              <w:textAlignment w:val="center"/>
              <w:rPr>
                <w:rFonts w:hint="eastAsia"/>
                <w:sz w:val="18"/>
                <w:szCs w:val="18"/>
              </w:rPr>
            </w:pPr>
            <w:r>
              <w:rPr>
                <w:rFonts w:ascii="Times New Roman" w:hAnsi="Times New Roman" w:cs="Times New Roman"/>
                <w:color w:val="000000"/>
                <w:sz w:val="18"/>
                <w:szCs w:val="18"/>
              </w:rPr>
              <w:t>327.5</w:t>
            </w:r>
          </w:p>
        </w:tc>
        <w:tc>
          <w:tcPr>
            <w:tcW w:w="658" w:type="dxa"/>
            <w:vAlign w:val="center"/>
          </w:tcPr>
          <w:p w14:paraId="56BCF9AF">
            <w:pPr>
              <w:jc w:val="center"/>
              <w:textAlignment w:val="center"/>
              <w:rPr>
                <w:rFonts w:hint="eastAsia"/>
                <w:sz w:val="18"/>
                <w:szCs w:val="18"/>
              </w:rPr>
            </w:pPr>
            <w:r>
              <w:rPr>
                <w:rFonts w:ascii="Times New Roman" w:hAnsi="Times New Roman" w:cs="Times New Roman"/>
                <w:color w:val="000000"/>
                <w:sz w:val="18"/>
                <w:szCs w:val="18"/>
              </w:rPr>
              <w:t>2620</w:t>
            </w:r>
          </w:p>
        </w:tc>
        <w:tc>
          <w:tcPr>
            <w:tcW w:w="981" w:type="dxa"/>
            <w:vMerge w:val="restart"/>
            <w:vAlign w:val="center"/>
          </w:tcPr>
          <w:p w14:paraId="2AC39D18">
            <w:pPr>
              <w:pStyle w:val="557"/>
            </w:pPr>
            <w:r>
              <w:rPr>
                <w:rFonts w:hint="eastAsia"/>
              </w:rPr>
              <w:t>旋风除尘器+重力沉降室除尘+酸洗+水洗</w:t>
            </w:r>
          </w:p>
        </w:tc>
        <w:tc>
          <w:tcPr>
            <w:tcW w:w="611" w:type="dxa"/>
            <w:vAlign w:val="center"/>
          </w:tcPr>
          <w:p w14:paraId="2D6E787D">
            <w:pPr>
              <w:pStyle w:val="557"/>
            </w:pPr>
            <w:r>
              <w:rPr>
                <w:rFonts w:hint="eastAsia"/>
              </w:rPr>
              <w:t>99.9</w:t>
            </w:r>
          </w:p>
        </w:tc>
        <w:tc>
          <w:tcPr>
            <w:tcW w:w="669" w:type="dxa"/>
            <w:vMerge w:val="continue"/>
            <w:vAlign w:val="center"/>
          </w:tcPr>
          <w:p w14:paraId="021113ED">
            <w:pPr>
              <w:pStyle w:val="557"/>
            </w:pPr>
          </w:p>
        </w:tc>
        <w:tc>
          <w:tcPr>
            <w:tcW w:w="1992" w:type="dxa"/>
            <w:gridSpan w:val="3"/>
            <w:vMerge w:val="continue"/>
            <w:vAlign w:val="center"/>
          </w:tcPr>
          <w:p w14:paraId="64362DA2">
            <w:pPr>
              <w:jc w:val="center"/>
              <w:textAlignment w:val="center"/>
              <w:rPr>
                <w:rFonts w:ascii="Times New Roman" w:hAnsi="Times New Roman" w:cs="Times New Roman"/>
                <w:color w:val="000000"/>
                <w:sz w:val="18"/>
                <w:szCs w:val="18"/>
              </w:rPr>
            </w:pPr>
          </w:p>
        </w:tc>
      </w:tr>
      <w:tr w14:paraId="66D3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5" w:type="dxa"/>
            <w:vMerge w:val="continue"/>
            <w:vAlign w:val="center"/>
          </w:tcPr>
          <w:p w14:paraId="3CDB5052">
            <w:pPr>
              <w:pStyle w:val="557"/>
            </w:pPr>
          </w:p>
        </w:tc>
        <w:tc>
          <w:tcPr>
            <w:tcW w:w="645" w:type="dxa"/>
            <w:vMerge w:val="continue"/>
            <w:vAlign w:val="center"/>
          </w:tcPr>
          <w:p w14:paraId="44A51D86">
            <w:pPr>
              <w:pStyle w:val="557"/>
            </w:pPr>
          </w:p>
        </w:tc>
        <w:tc>
          <w:tcPr>
            <w:tcW w:w="403" w:type="dxa"/>
            <w:vMerge w:val="continue"/>
            <w:vAlign w:val="center"/>
          </w:tcPr>
          <w:p w14:paraId="0D6A7F51">
            <w:pPr>
              <w:pStyle w:val="557"/>
            </w:pPr>
          </w:p>
        </w:tc>
        <w:tc>
          <w:tcPr>
            <w:tcW w:w="643" w:type="dxa"/>
            <w:vAlign w:val="center"/>
          </w:tcPr>
          <w:p w14:paraId="49A2ED8A">
            <w:pPr>
              <w:pStyle w:val="557"/>
            </w:pPr>
            <w:r>
              <w:t>NH</w:t>
            </w:r>
            <w:r>
              <w:rPr>
                <w:vertAlign w:val="subscript"/>
              </w:rPr>
              <w:t>3</w:t>
            </w:r>
          </w:p>
        </w:tc>
        <w:tc>
          <w:tcPr>
            <w:tcW w:w="801" w:type="dxa"/>
            <w:vAlign w:val="center"/>
          </w:tcPr>
          <w:p w14:paraId="0A7F99EF">
            <w:pPr>
              <w:jc w:val="center"/>
              <w:textAlignment w:val="center"/>
              <w:rPr>
                <w:rFonts w:hint="eastAsia"/>
                <w:sz w:val="18"/>
                <w:szCs w:val="18"/>
              </w:rPr>
            </w:pPr>
            <w:r>
              <w:rPr>
                <w:rFonts w:ascii="Times New Roman" w:hAnsi="Times New Roman" w:cs="Times New Roman"/>
                <w:color w:val="000000"/>
                <w:sz w:val="18"/>
                <w:szCs w:val="18"/>
              </w:rPr>
              <w:t>31.64</w:t>
            </w:r>
          </w:p>
        </w:tc>
        <w:tc>
          <w:tcPr>
            <w:tcW w:w="657" w:type="dxa"/>
            <w:vAlign w:val="center"/>
          </w:tcPr>
          <w:p w14:paraId="5C410E49">
            <w:pPr>
              <w:jc w:val="center"/>
              <w:textAlignment w:val="center"/>
              <w:rPr>
                <w:rFonts w:hint="eastAsia"/>
                <w:sz w:val="18"/>
                <w:szCs w:val="18"/>
              </w:rPr>
            </w:pPr>
            <w:r>
              <w:rPr>
                <w:rFonts w:ascii="Times New Roman" w:hAnsi="Times New Roman" w:cs="Times New Roman"/>
                <w:color w:val="000000"/>
                <w:sz w:val="18"/>
                <w:szCs w:val="18"/>
              </w:rPr>
              <w:t xml:space="preserve">10.25 </w:t>
            </w:r>
          </w:p>
        </w:tc>
        <w:tc>
          <w:tcPr>
            <w:tcW w:w="658" w:type="dxa"/>
            <w:vAlign w:val="center"/>
          </w:tcPr>
          <w:p w14:paraId="46CDE3A8">
            <w:pPr>
              <w:jc w:val="center"/>
              <w:textAlignment w:val="center"/>
              <w:rPr>
                <w:rFonts w:hint="eastAsia"/>
                <w:sz w:val="18"/>
                <w:szCs w:val="18"/>
              </w:rPr>
            </w:pPr>
            <w:r>
              <w:rPr>
                <w:rFonts w:ascii="Times New Roman" w:hAnsi="Times New Roman" w:cs="Times New Roman"/>
                <w:color w:val="000000"/>
                <w:sz w:val="18"/>
                <w:szCs w:val="18"/>
              </w:rPr>
              <w:t xml:space="preserve">82.00 </w:t>
            </w:r>
          </w:p>
        </w:tc>
        <w:tc>
          <w:tcPr>
            <w:tcW w:w="981" w:type="dxa"/>
            <w:vMerge w:val="continue"/>
            <w:vAlign w:val="center"/>
          </w:tcPr>
          <w:p w14:paraId="63A37567">
            <w:pPr>
              <w:pStyle w:val="557"/>
            </w:pPr>
          </w:p>
        </w:tc>
        <w:tc>
          <w:tcPr>
            <w:tcW w:w="611" w:type="dxa"/>
            <w:vAlign w:val="center"/>
          </w:tcPr>
          <w:p w14:paraId="10DBD44D">
            <w:pPr>
              <w:pStyle w:val="557"/>
            </w:pPr>
            <w:r>
              <w:rPr>
                <w:rFonts w:hint="eastAsia"/>
              </w:rPr>
              <w:t>96</w:t>
            </w:r>
          </w:p>
        </w:tc>
        <w:tc>
          <w:tcPr>
            <w:tcW w:w="669" w:type="dxa"/>
            <w:vMerge w:val="continue"/>
            <w:vAlign w:val="center"/>
          </w:tcPr>
          <w:p w14:paraId="5C6C4651">
            <w:pPr>
              <w:pStyle w:val="557"/>
            </w:pPr>
          </w:p>
        </w:tc>
        <w:tc>
          <w:tcPr>
            <w:tcW w:w="1992" w:type="dxa"/>
            <w:gridSpan w:val="3"/>
            <w:vMerge w:val="continue"/>
            <w:vAlign w:val="center"/>
          </w:tcPr>
          <w:p w14:paraId="40D2820B">
            <w:pPr>
              <w:jc w:val="center"/>
              <w:textAlignment w:val="center"/>
              <w:rPr>
                <w:rFonts w:ascii="Times New Roman" w:hAnsi="Times New Roman" w:cs="Times New Roman"/>
                <w:color w:val="000000"/>
                <w:sz w:val="18"/>
                <w:szCs w:val="18"/>
              </w:rPr>
            </w:pPr>
          </w:p>
        </w:tc>
      </w:tr>
      <w:bookmarkEnd w:id="183"/>
    </w:tbl>
    <w:p w14:paraId="6395B806">
      <w:pPr>
        <w:pStyle w:val="128"/>
        <w:rPr>
          <w:rFonts w:hint="eastAsia"/>
        </w:rPr>
      </w:pPr>
      <w:r>
        <w:rPr>
          <w:rFonts w:hint="eastAsia"/>
        </w:rPr>
        <w:t>（3）冷却废气</w:t>
      </w:r>
    </w:p>
    <w:p w14:paraId="01C1B193">
      <w:pPr>
        <w:pStyle w:val="128"/>
        <w:rPr>
          <w:rFonts w:hint="eastAsia"/>
        </w:rPr>
      </w:pPr>
      <w:r>
        <w:rPr>
          <w:rFonts w:hint="eastAsia"/>
        </w:rPr>
        <w:t>冷却单元废气主要是粗细筛、返料破碎机、板冷器等设备产生。</w:t>
      </w:r>
    </w:p>
    <w:p w14:paraId="7EC5FD62">
      <w:pPr>
        <w:pStyle w:val="128"/>
        <w:rPr>
          <w:rFonts w:hint="eastAsia"/>
        </w:rPr>
      </w:pPr>
      <w:r>
        <w:rPr>
          <w:rFonts w:hint="eastAsia"/>
        </w:rPr>
        <w:t>粗细筛、返料破碎机、板冷器产生的颗粒物按照《逸散性工业粉尘控制技术》第十二章混合肥料厂，车辆卸料并转运至贮斗产污系数0</w:t>
      </w:r>
      <w:r>
        <w:t>.1</w:t>
      </w:r>
      <w:r>
        <w:rPr>
          <w:rFonts w:hint="eastAsia"/>
        </w:rPr>
        <w:t>kg</w:t>
      </w:r>
      <w:r>
        <w:t>/t-</w:t>
      </w:r>
      <w:r>
        <w:rPr>
          <w:rFonts w:hint="eastAsia"/>
        </w:rPr>
        <w:t>产品；成品筛产生的颗粒物</w:t>
      </w:r>
      <w:r>
        <w:t>参考《</w:t>
      </w:r>
      <w:bookmarkStart w:id="184" w:name="OLE_LINK6"/>
      <w:r>
        <w:t>空气污染物排放和控制手册</w:t>
      </w:r>
      <w:bookmarkEnd w:id="184"/>
      <w:r>
        <w:t>》（美国国家环保局）中筛分工序的粉尘产污系数（0.05kg/t-</w:t>
      </w:r>
      <w:r>
        <w:rPr>
          <w:rFonts w:hint="eastAsia"/>
        </w:rPr>
        <w:t>产品</w:t>
      </w:r>
      <w:r>
        <w:t>）</w:t>
      </w:r>
      <w:r>
        <w:rPr>
          <w:rFonts w:hint="eastAsia"/>
        </w:rPr>
        <w:t>；上述废气密闭收集后通过旋风除尘器+布袋除尘器处理后排放。</w:t>
      </w:r>
    </w:p>
    <w:p w14:paraId="0C96A686">
      <w:pPr>
        <w:pStyle w:val="128"/>
        <w:rPr>
          <w:rFonts w:hint="eastAsia"/>
        </w:rPr>
      </w:pPr>
      <w:r>
        <w:t>本项目</w:t>
      </w:r>
      <w:r>
        <w:rPr>
          <w:rFonts w:hint="eastAsia"/>
        </w:rPr>
        <w:t>有机缓释肥</w:t>
      </w:r>
      <w:r>
        <w:t>产量为</w:t>
      </w:r>
      <w:r>
        <w:rPr>
          <w:rFonts w:hint="eastAsia"/>
        </w:rPr>
        <w:t>40</w:t>
      </w:r>
      <w:r>
        <w:t>万吨</w:t>
      </w:r>
      <w:r>
        <w:rPr>
          <w:rFonts w:hint="eastAsia"/>
        </w:rPr>
        <w:t>/</w:t>
      </w:r>
      <w:r>
        <w:t>年，冷却单元</w:t>
      </w:r>
      <w:r>
        <w:rPr>
          <w:rFonts w:hint="eastAsia"/>
        </w:rPr>
        <w:t>颗粒物</w:t>
      </w:r>
      <w:r>
        <w:t>产生量为</w:t>
      </w:r>
      <w:r>
        <w:rPr>
          <w:rFonts w:hint="eastAsia"/>
        </w:rPr>
        <w:t>60</w:t>
      </w:r>
      <w:r>
        <w:rPr>
          <w:rStyle w:val="282"/>
        </w:rPr>
        <w:t>t/a</w:t>
      </w:r>
      <w:r>
        <w:rPr>
          <w:rFonts w:hint="eastAsia"/>
        </w:rPr>
        <w:t>。</w:t>
      </w:r>
    </w:p>
    <w:p w14:paraId="0A7F07EC">
      <w:pPr>
        <w:pStyle w:val="645"/>
        <w:rPr>
          <w:rFonts w:hint="eastAsia"/>
        </w:rPr>
      </w:pPr>
      <w:r>
        <w:rPr>
          <w:rFonts w:hint="eastAsia"/>
        </w:rPr>
        <w:t>表</w:t>
      </w:r>
      <w:r>
        <w:t>3.2.</w:t>
      </w:r>
      <w:r>
        <w:rPr>
          <w:rFonts w:hint="eastAsia"/>
        </w:rPr>
        <w:t>8</w:t>
      </w:r>
      <w:r>
        <w:t>-</w:t>
      </w:r>
      <w:r>
        <w:rPr>
          <w:rFonts w:hint="eastAsia"/>
        </w:rPr>
        <w:t>8</w:t>
      </w:r>
      <w:r>
        <w:t xml:space="preserve">    </w:t>
      </w:r>
      <w:r>
        <w:rPr>
          <w:rFonts w:hint="eastAsia"/>
        </w:rPr>
        <w:t>冷却单元废气产排情况</w:t>
      </w:r>
      <w:r>
        <w:t>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935"/>
        <w:gridCol w:w="481"/>
        <w:gridCol w:w="591"/>
        <w:gridCol w:w="712"/>
        <w:gridCol w:w="579"/>
        <w:gridCol w:w="637"/>
        <w:gridCol w:w="649"/>
        <w:gridCol w:w="681"/>
        <w:gridCol w:w="683"/>
        <w:gridCol w:w="734"/>
        <w:gridCol w:w="712"/>
        <w:gridCol w:w="598"/>
      </w:tblGrid>
      <w:tr w14:paraId="3EE6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11" w:type="pct"/>
            <w:vAlign w:val="center"/>
          </w:tcPr>
          <w:p w14:paraId="465FA6C6">
            <w:pPr>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548" w:type="pct"/>
            <w:vAlign w:val="center"/>
          </w:tcPr>
          <w:p w14:paraId="5E8DE30D">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污染源</w:t>
            </w:r>
          </w:p>
        </w:tc>
        <w:tc>
          <w:tcPr>
            <w:tcW w:w="282" w:type="pct"/>
            <w:vAlign w:val="center"/>
          </w:tcPr>
          <w:p w14:paraId="044C63DC">
            <w:pPr>
              <w:jc w:val="center"/>
              <w:rPr>
                <w:rFonts w:ascii="Times New Roman" w:hAnsi="Times New Roman" w:cs="Times New Roman"/>
                <w:color w:val="000000"/>
                <w:sz w:val="18"/>
                <w:szCs w:val="18"/>
              </w:rPr>
            </w:pPr>
            <w:r>
              <w:rPr>
                <w:rFonts w:ascii="Times New Roman" w:hAnsi="Times New Roman" w:cs="Times New Roman"/>
                <w:color w:val="000000"/>
                <w:sz w:val="18"/>
                <w:szCs w:val="18"/>
              </w:rPr>
              <w:t>核算方法</w:t>
            </w:r>
          </w:p>
        </w:tc>
        <w:tc>
          <w:tcPr>
            <w:tcW w:w="346" w:type="pct"/>
            <w:vAlign w:val="center"/>
          </w:tcPr>
          <w:p w14:paraId="019FA540">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污染物</w:t>
            </w:r>
          </w:p>
        </w:tc>
        <w:tc>
          <w:tcPr>
            <w:tcW w:w="417" w:type="pct"/>
            <w:vAlign w:val="center"/>
          </w:tcPr>
          <w:p w14:paraId="64932FCF">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产生浓度mg/m</w:t>
            </w:r>
            <w:r>
              <w:rPr>
                <w:rFonts w:ascii="Times New Roman" w:hAnsi="Times New Roman" w:cs="Times New Roman"/>
                <w:color w:val="000000"/>
                <w:sz w:val="18"/>
                <w:szCs w:val="18"/>
                <w:vertAlign w:val="superscript"/>
              </w:rPr>
              <w:t>3</w:t>
            </w:r>
          </w:p>
        </w:tc>
        <w:tc>
          <w:tcPr>
            <w:tcW w:w="339" w:type="pct"/>
            <w:vAlign w:val="center"/>
          </w:tcPr>
          <w:p w14:paraId="7D9E14CD">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产生速率kg/h</w:t>
            </w:r>
          </w:p>
        </w:tc>
        <w:tc>
          <w:tcPr>
            <w:tcW w:w="373" w:type="pct"/>
            <w:vAlign w:val="center"/>
          </w:tcPr>
          <w:p w14:paraId="34910AC3">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产生量t/a</w:t>
            </w:r>
          </w:p>
        </w:tc>
        <w:tc>
          <w:tcPr>
            <w:tcW w:w="380" w:type="pct"/>
            <w:vAlign w:val="center"/>
          </w:tcPr>
          <w:p w14:paraId="3B56B248">
            <w:pPr>
              <w:jc w:val="center"/>
              <w:rPr>
                <w:rFonts w:ascii="Times New Roman" w:hAnsi="Times New Roman" w:cs="Times New Roman"/>
                <w:color w:val="000000"/>
                <w:sz w:val="18"/>
                <w:szCs w:val="18"/>
              </w:rPr>
            </w:pPr>
            <w:r>
              <w:rPr>
                <w:rFonts w:ascii="Times New Roman" w:hAnsi="Times New Roman" w:cs="Times New Roman"/>
                <w:color w:val="000000"/>
                <w:sz w:val="18"/>
                <w:szCs w:val="18"/>
              </w:rPr>
              <w:t>治理措施</w:t>
            </w:r>
          </w:p>
        </w:tc>
        <w:tc>
          <w:tcPr>
            <w:tcW w:w="399" w:type="pct"/>
            <w:vAlign w:val="center"/>
          </w:tcPr>
          <w:p w14:paraId="08024D06">
            <w:pPr>
              <w:jc w:val="center"/>
              <w:rPr>
                <w:rFonts w:ascii="Times New Roman" w:hAnsi="Times New Roman" w:cs="Times New Roman"/>
                <w:color w:val="000000"/>
                <w:sz w:val="18"/>
                <w:szCs w:val="18"/>
              </w:rPr>
            </w:pPr>
            <w:r>
              <w:rPr>
                <w:rFonts w:ascii="Times New Roman" w:hAnsi="Times New Roman" w:cs="Times New Roman"/>
                <w:color w:val="000000"/>
                <w:sz w:val="18"/>
                <w:szCs w:val="18"/>
              </w:rPr>
              <w:t>去除效率%</w:t>
            </w:r>
          </w:p>
        </w:tc>
        <w:tc>
          <w:tcPr>
            <w:tcW w:w="400" w:type="pct"/>
            <w:vAlign w:val="center"/>
          </w:tcPr>
          <w:p w14:paraId="5B51A2FD">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排气量</w:t>
            </w:r>
          </w:p>
          <w:p w14:paraId="65E6AC82">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m</w:t>
            </w:r>
            <w:r>
              <w:rPr>
                <w:rFonts w:ascii="Times New Roman" w:hAnsi="Times New Roman" w:eastAsia="等线" w:cs="Times New Roman"/>
                <w:color w:val="000000"/>
                <w:sz w:val="18"/>
                <w:szCs w:val="18"/>
                <w:vertAlign w:val="superscript"/>
              </w:rPr>
              <w:t>3</w:t>
            </w:r>
            <w:r>
              <w:rPr>
                <w:rFonts w:ascii="Times New Roman" w:hAnsi="Times New Roman" w:eastAsia="等线" w:cs="Times New Roman"/>
                <w:color w:val="000000"/>
                <w:sz w:val="18"/>
                <w:szCs w:val="18"/>
              </w:rPr>
              <w:t>/h</w:t>
            </w:r>
          </w:p>
        </w:tc>
        <w:tc>
          <w:tcPr>
            <w:tcW w:w="430" w:type="pct"/>
            <w:vAlign w:val="center"/>
          </w:tcPr>
          <w:p w14:paraId="5D74E6F1">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排放浓度mg/m</w:t>
            </w:r>
            <w:r>
              <w:rPr>
                <w:rFonts w:ascii="Times New Roman" w:hAnsi="Times New Roman" w:cs="Times New Roman"/>
                <w:color w:val="000000"/>
                <w:sz w:val="18"/>
                <w:szCs w:val="18"/>
                <w:vertAlign w:val="superscript"/>
              </w:rPr>
              <w:t>3</w:t>
            </w:r>
          </w:p>
        </w:tc>
        <w:tc>
          <w:tcPr>
            <w:tcW w:w="417" w:type="pct"/>
            <w:vAlign w:val="center"/>
          </w:tcPr>
          <w:p w14:paraId="68CCA515">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排放速率</w:t>
            </w:r>
          </w:p>
          <w:p w14:paraId="0DE6084C">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kg/h</w:t>
            </w:r>
          </w:p>
        </w:tc>
        <w:tc>
          <w:tcPr>
            <w:tcW w:w="350" w:type="pct"/>
            <w:vAlign w:val="center"/>
          </w:tcPr>
          <w:p w14:paraId="4CD91424">
            <w:pPr>
              <w:jc w:val="center"/>
              <w:rPr>
                <w:rFonts w:ascii="Times New Roman" w:hAnsi="Times New Roman" w:cs="Times New Roman"/>
                <w:color w:val="000000"/>
                <w:sz w:val="18"/>
                <w:szCs w:val="18"/>
              </w:rPr>
            </w:pPr>
            <w:r>
              <w:rPr>
                <w:rFonts w:ascii="Times New Roman" w:hAnsi="Times New Roman" w:cs="Times New Roman"/>
                <w:color w:val="000000"/>
                <w:sz w:val="18"/>
                <w:szCs w:val="18"/>
              </w:rPr>
              <w:t>排放量t/a</w:t>
            </w:r>
          </w:p>
        </w:tc>
      </w:tr>
      <w:tr w14:paraId="6C8D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Merge w:val="restart"/>
            <w:vAlign w:val="center"/>
          </w:tcPr>
          <w:p w14:paraId="2B3C4E6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G</w:t>
            </w:r>
            <w:r>
              <w:rPr>
                <w:rFonts w:ascii="Times New Roman" w:hAnsi="Times New Roman" w:eastAsia="等线" w:cs="Times New Roman"/>
                <w:color w:val="000000"/>
                <w:sz w:val="18"/>
                <w:szCs w:val="18"/>
                <w:vertAlign w:val="subscript"/>
              </w:rPr>
              <w:t>5-3</w:t>
            </w:r>
          </w:p>
        </w:tc>
        <w:tc>
          <w:tcPr>
            <w:tcW w:w="548" w:type="pct"/>
            <w:vAlign w:val="center"/>
          </w:tcPr>
          <w:p w14:paraId="43997002">
            <w:pPr>
              <w:jc w:val="center"/>
              <w:rPr>
                <w:rFonts w:ascii="Times New Roman" w:hAnsi="Times New Roman" w:cs="Times New Roman"/>
                <w:color w:val="000000"/>
                <w:sz w:val="18"/>
                <w:szCs w:val="18"/>
              </w:rPr>
            </w:pPr>
            <w:r>
              <w:rPr>
                <w:rFonts w:ascii="Times New Roman" w:hAnsi="Times New Roman" w:cs="Times New Roman"/>
                <w:color w:val="000000"/>
                <w:sz w:val="18"/>
                <w:szCs w:val="18"/>
              </w:rPr>
              <w:t>1#冷却单元废气</w:t>
            </w:r>
          </w:p>
        </w:tc>
        <w:tc>
          <w:tcPr>
            <w:tcW w:w="282" w:type="pct"/>
            <w:vMerge w:val="restart"/>
            <w:vAlign w:val="center"/>
          </w:tcPr>
          <w:p w14:paraId="706AD058">
            <w:pPr>
              <w:jc w:val="center"/>
              <w:rPr>
                <w:rFonts w:ascii="Times New Roman" w:hAnsi="Times New Roman" w:cs="Times New Roman"/>
                <w:color w:val="000000"/>
                <w:sz w:val="18"/>
                <w:szCs w:val="18"/>
              </w:rPr>
            </w:pPr>
            <w:r>
              <w:rPr>
                <w:rFonts w:ascii="Times New Roman" w:hAnsi="Times New Roman" w:cs="Times New Roman"/>
                <w:color w:val="000000"/>
                <w:sz w:val="18"/>
                <w:szCs w:val="18"/>
              </w:rPr>
              <w:t>系数法</w:t>
            </w:r>
          </w:p>
        </w:tc>
        <w:tc>
          <w:tcPr>
            <w:tcW w:w="346" w:type="pct"/>
            <w:vAlign w:val="center"/>
          </w:tcPr>
          <w:p w14:paraId="4CC7B515">
            <w:pPr>
              <w:jc w:val="center"/>
              <w:rPr>
                <w:rFonts w:ascii="Times New Roman" w:hAnsi="Times New Roman" w:cs="Times New Roman"/>
                <w:color w:val="000000"/>
                <w:sz w:val="18"/>
                <w:szCs w:val="18"/>
              </w:rPr>
            </w:pPr>
            <w:r>
              <w:rPr>
                <w:rFonts w:ascii="Times New Roman" w:hAnsi="Times New Roman" w:cs="Times New Roman"/>
                <w:color w:val="000000"/>
                <w:sz w:val="18"/>
                <w:szCs w:val="18"/>
              </w:rPr>
              <w:t>颗粒物</w:t>
            </w:r>
          </w:p>
        </w:tc>
        <w:tc>
          <w:tcPr>
            <w:tcW w:w="417" w:type="pct"/>
            <w:vAlign w:val="center"/>
          </w:tcPr>
          <w:p w14:paraId="247ABCE0">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150</w:t>
            </w:r>
          </w:p>
        </w:tc>
        <w:tc>
          <w:tcPr>
            <w:tcW w:w="339" w:type="pct"/>
            <w:vAlign w:val="center"/>
          </w:tcPr>
          <w:p w14:paraId="13AC937A">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 xml:space="preserve">7.50 </w:t>
            </w:r>
          </w:p>
        </w:tc>
        <w:tc>
          <w:tcPr>
            <w:tcW w:w="373" w:type="pct"/>
            <w:vAlign w:val="center"/>
          </w:tcPr>
          <w:p w14:paraId="5EA26857">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 xml:space="preserve">60.00 </w:t>
            </w:r>
          </w:p>
        </w:tc>
        <w:tc>
          <w:tcPr>
            <w:tcW w:w="380" w:type="pct"/>
            <w:vMerge w:val="restart"/>
            <w:vAlign w:val="center"/>
          </w:tcPr>
          <w:p w14:paraId="1789B437">
            <w:pPr>
              <w:jc w:val="center"/>
              <w:textAlignment w:val="center"/>
              <w:rPr>
                <w:rFonts w:ascii="Times New Roman" w:hAnsi="Times New Roman" w:cs="Times New Roman"/>
                <w:color w:val="000000"/>
                <w:sz w:val="18"/>
                <w:szCs w:val="18"/>
              </w:rPr>
            </w:pPr>
            <w:r>
              <w:rPr>
                <w:rFonts w:hint="eastAsia"/>
                <w:color w:val="000000"/>
                <w:sz w:val="18"/>
                <w:szCs w:val="18"/>
              </w:rPr>
              <w:t>旋风除尘器</w:t>
            </w:r>
            <w:r>
              <w:rPr>
                <w:rFonts w:ascii="Times New Roman" w:hAnsi="Times New Roman" w:cs="Times New Roman"/>
                <w:color w:val="000000"/>
                <w:sz w:val="18"/>
                <w:szCs w:val="18"/>
              </w:rPr>
              <w:t>+</w:t>
            </w:r>
            <w:r>
              <w:rPr>
                <w:rFonts w:hint="eastAsia"/>
                <w:color w:val="000000"/>
                <w:sz w:val="18"/>
                <w:szCs w:val="18"/>
              </w:rPr>
              <w:t>布袋除尘器</w:t>
            </w:r>
          </w:p>
        </w:tc>
        <w:tc>
          <w:tcPr>
            <w:tcW w:w="399" w:type="pct"/>
            <w:vAlign w:val="center"/>
          </w:tcPr>
          <w:p w14:paraId="18D356F5">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99.5%</w:t>
            </w:r>
          </w:p>
        </w:tc>
        <w:tc>
          <w:tcPr>
            <w:tcW w:w="400" w:type="pct"/>
            <w:noWrap/>
            <w:vAlign w:val="center"/>
          </w:tcPr>
          <w:p w14:paraId="7EBBB896">
            <w:pPr>
              <w:jc w:val="center"/>
              <w:textAlignment w:val="center"/>
              <w:rPr>
                <w:rFonts w:hint="eastAsia"/>
              </w:rPr>
            </w:pPr>
            <w:r>
              <w:rPr>
                <w:rFonts w:ascii="Times New Roman" w:hAnsi="Times New Roman" w:cs="Times New Roman"/>
                <w:color w:val="000000"/>
                <w:sz w:val="18"/>
                <w:szCs w:val="18"/>
              </w:rPr>
              <w:t>50000</w:t>
            </w:r>
          </w:p>
        </w:tc>
        <w:tc>
          <w:tcPr>
            <w:tcW w:w="430" w:type="pct"/>
            <w:vAlign w:val="center"/>
          </w:tcPr>
          <w:p w14:paraId="02A54C8E">
            <w:pPr>
              <w:jc w:val="center"/>
              <w:textAlignment w:val="center"/>
              <w:rPr>
                <w:rFonts w:hint="eastAsia"/>
              </w:rPr>
            </w:pPr>
            <w:r>
              <w:rPr>
                <w:rFonts w:ascii="Times New Roman" w:hAnsi="Times New Roman" w:cs="Times New Roman"/>
                <w:color w:val="000000"/>
                <w:sz w:val="18"/>
                <w:szCs w:val="18"/>
              </w:rPr>
              <w:t>0.75</w:t>
            </w:r>
          </w:p>
        </w:tc>
        <w:tc>
          <w:tcPr>
            <w:tcW w:w="417" w:type="pct"/>
            <w:vAlign w:val="center"/>
          </w:tcPr>
          <w:p w14:paraId="1A769305">
            <w:pPr>
              <w:jc w:val="center"/>
              <w:textAlignment w:val="center"/>
              <w:rPr>
                <w:rFonts w:hint="eastAsia"/>
              </w:rPr>
            </w:pPr>
            <w:r>
              <w:rPr>
                <w:rFonts w:ascii="Times New Roman" w:hAnsi="Times New Roman" w:cs="Times New Roman"/>
                <w:color w:val="000000"/>
                <w:sz w:val="18"/>
                <w:szCs w:val="18"/>
              </w:rPr>
              <w:t>0.0375</w:t>
            </w:r>
          </w:p>
        </w:tc>
        <w:tc>
          <w:tcPr>
            <w:tcW w:w="350" w:type="pct"/>
            <w:vAlign w:val="center"/>
          </w:tcPr>
          <w:p w14:paraId="51F2D978">
            <w:pPr>
              <w:jc w:val="center"/>
              <w:textAlignment w:val="center"/>
              <w:rPr>
                <w:rFonts w:hint="eastAsia"/>
              </w:rPr>
            </w:pPr>
            <w:r>
              <w:rPr>
                <w:rFonts w:ascii="Times New Roman" w:hAnsi="Times New Roman" w:cs="Times New Roman"/>
                <w:color w:val="000000"/>
                <w:sz w:val="18"/>
                <w:szCs w:val="18"/>
              </w:rPr>
              <w:t>0.3</w:t>
            </w:r>
          </w:p>
        </w:tc>
      </w:tr>
      <w:tr w14:paraId="4F20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 w:type="pct"/>
            <w:vMerge w:val="continue"/>
            <w:vAlign w:val="center"/>
          </w:tcPr>
          <w:p w14:paraId="140C3C43">
            <w:pPr>
              <w:rPr>
                <w:rFonts w:ascii="Times New Roman" w:hAnsi="Times New Roman" w:eastAsia="等线" w:cs="Times New Roman"/>
                <w:color w:val="000000"/>
                <w:sz w:val="18"/>
                <w:szCs w:val="18"/>
              </w:rPr>
            </w:pPr>
          </w:p>
        </w:tc>
        <w:tc>
          <w:tcPr>
            <w:tcW w:w="548" w:type="pct"/>
            <w:vAlign w:val="center"/>
          </w:tcPr>
          <w:p w14:paraId="3470A158">
            <w:pPr>
              <w:jc w:val="center"/>
              <w:rPr>
                <w:rFonts w:ascii="Times New Roman" w:hAnsi="Times New Roman" w:cs="Times New Roman"/>
                <w:color w:val="000000"/>
                <w:sz w:val="18"/>
                <w:szCs w:val="18"/>
              </w:rPr>
            </w:pPr>
            <w:r>
              <w:rPr>
                <w:rFonts w:ascii="Times New Roman" w:hAnsi="Times New Roman" w:cs="Times New Roman"/>
                <w:color w:val="000000"/>
                <w:sz w:val="18"/>
                <w:szCs w:val="18"/>
              </w:rPr>
              <w:t>2#冷却单元废气</w:t>
            </w:r>
          </w:p>
        </w:tc>
        <w:tc>
          <w:tcPr>
            <w:tcW w:w="282" w:type="pct"/>
            <w:vMerge w:val="continue"/>
            <w:vAlign w:val="center"/>
          </w:tcPr>
          <w:p w14:paraId="5FEA7FFD">
            <w:pPr>
              <w:rPr>
                <w:rFonts w:ascii="Times New Roman" w:hAnsi="Times New Roman" w:cs="Times New Roman"/>
                <w:color w:val="000000"/>
                <w:sz w:val="18"/>
                <w:szCs w:val="18"/>
              </w:rPr>
            </w:pPr>
          </w:p>
        </w:tc>
        <w:tc>
          <w:tcPr>
            <w:tcW w:w="346" w:type="pct"/>
            <w:vAlign w:val="center"/>
          </w:tcPr>
          <w:p w14:paraId="423CF0A4">
            <w:pPr>
              <w:jc w:val="center"/>
              <w:rPr>
                <w:rFonts w:ascii="Times New Roman" w:hAnsi="Times New Roman" w:cs="Times New Roman"/>
                <w:color w:val="000000"/>
                <w:sz w:val="18"/>
                <w:szCs w:val="18"/>
              </w:rPr>
            </w:pPr>
            <w:r>
              <w:rPr>
                <w:rFonts w:ascii="Times New Roman" w:hAnsi="Times New Roman" w:cs="Times New Roman"/>
                <w:color w:val="000000"/>
                <w:sz w:val="18"/>
                <w:szCs w:val="18"/>
              </w:rPr>
              <w:t>颗粒物</w:t>
            </w:r>
          </w:p>
        </w:tc>
        <w:tc>
          <w:tcPr>
            <w:tcW w:w="417" w:type="pct"/>
            <w:vAlign w:val="center"/>
          </w:tcPr>
          <w:p w14:paraId="36E8945A">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150</w:t>
            </w:r>
          </w:p>
        </w:tc>
        <w:tc>
          <w:tcPr>
            <w:tcW w:w="339" w:type="pct"/>
            <w:vAlign w:val="center"/>
          </w:tcPr>
          <w:p w14:paraId="13901332">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 xml:space="preserve">7.50 </w:t>
            </w:r>
          </w:p>
        </w:tc>
        <w:tc>
          <w:tcPr>
            <w:tcW w:w="373" w:type="pct"/>
            <w:vAlign w:val="center"/>
          </w:tcPr>
          <w:p w14:paraId="193D181E">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 xml:space="preserve">60.00 </w:t>
            </w:r>
          </w:p>
        </w:tc>
        <w:tc>
          <w:tcPr>
            <w:tcW w:w="380" w:type="pct"/>
            <w:vMerge w:val="continue"/>
            <w:vAlign w:val="center"/>
          </w:tcPr>
          <w:p w14:paraId="57D2FE27">
            <w:pPr>
              <w:jc w:val="center"/>
              <w:textAlignment w:val="center"/>
              <w:rPr>
                <w:rFonts w:ascii="Times New Roman" w:hAnsi="Times New Roman" w:cs="Times New Roman"/>
                <w:color w:val="000000"/>
                <w:sz w:val="18"/>
                <w:szCs w:val="18"/>
              </w:rPr>
            </w:pPr>
          </w:p>
        </w:tc>
        <w:tc>
          <w:tcPr>
            <w:tcW w:w="399" w:type="pct"/>
            <w:vAlign w:val="center"/>
          </w:tcPr>
          <w:p w14:paraId="546D1467">
            <w:pPr>
              <w:jc w:val="center"/>
              <w:textAlignment w:val="center"/>
              <w:rPr>
                <w:rFonts w:ascii="Times New Roman" w:hAnsi="Times New Roman" w:eastAsia="等线" w:cs="Times New Roman"/>
                <w:color w:val="000000"/>
                <w:sz w:val="18"/>
                <w:szCs w:val="18"/>
              </w:rPr>
            </w:pPr>
            <w:r>
              <w:rPr>
                <w:rFonts w:ascii="Times New Roman" w:hAnsi="Times New Roman" w:cs="Times New Roman"/>
                <w:color w:val="000000"/>
                <w:sz w:val="18"/>
                <w:szCs w:val="18"/>
              </w:rPr>
              <w:t>99.5%</w:t>
            </w:r>
          </w:p>
        </w:tc>
        <w:tc>
          <w:tcPr>
            <w:tcW w:w="400" w:type="pct"/>
            <w:noWrap/>
            <w:vAlign w:val="center"/>
          </w:tcPr>
          <w:p w14:paraId="77B4A561">
            <w:pPr>
              <w:jc w:val="center"/>
              <w:textAlignment w:val="center"/>
              <w:rPr>
                <w:rFonts w:hint="eastAsia"/>
              </w:rPr>
            </w:pPr>
            <w:r>
              <w:rPr>
                <w:rFonts w:ascii="Times New Roman" w:hAnsi="Times New Roman" w:cs="Times New Roman"/>
                <w:color w:val="000000"/>
                <w:sz w:val="18"/>
                <w:szCs w:val="18"/>
              </w:rPr>
              <w:t>50000</w:t>
            </w:r>
          </w:p>
        </w:tc>
        <w:tc>
          <w:tcPr>
            <w:tcW w:w="430" w:type="pct"/>
            <w:vAlign w:val="center"/>
          </w:tcPr>
          <w:p w14:paraId="68398501">
            <w:pPr>
              <w:jc w:val="center"/>
              <w:textAlignment w:val="center"/>
              <w:rPr>
                <w:rFonts w:hint="eastAsia"/>
              </w:rPr>
            </w:pPr>
            <w:r>
              <w:rPr>
                <w:rFonts w:ascii="Times New Roman" w:hAnsi="Times New Roman" w:cs="Times New Roman"/>
                <w:color w:val="000000"/>
                <w:sz w:val="18"/>
                <w:szCs w:val="18"/>
              </w:rPr>
              <w:t>0.75</w:t>
            </w:r>
          </w:p>
        </w:tc>
        <w:tc>
          <w:tcPr>
            <w:tcW w:w="417" w:type="pct"/>
            <w:vAlign w:val="center"/>
          </w:tcPr>
          <w:p w14:paraId="01B0607E">
            <w:pPr>
              <w:jc w:val="center"/>
              <w:textAlignment w:val="center"/>
              <w:rPr>
                <w:rFonts w:hint="eastAsia"/>
              </w:rPr>
            </w:pPr>
            <w:r>
              <w:rPr>
                <w:rFonts w:ascii="Times New Roman" w:hAnsi="Times New Roman" w:cs="Times New Roman"/>
                <w:color w:val="000000"/>
                <w:sz w:val="18"/>
                <w:szCs w:val="18"/>
              </w:rPr>
              <w:t>0.0375</w:t>
            </w:r>
          </w:p>
        </w:tc>
        <w:tc>
          <w:tcPr>
            <w:tcW w:w="350" w:type="pct"/>
            <w:vAlign w:val="center"/>
          </w:tcPr>
          <w:p w14:paraId="66726F2E">
            <w:pPr>
              <w:jc w:val="center"/>
              <w:textAlignment w:val="center"/>
              <w:rPr>
                <w:rFonts w:hint="eastAsia"/>
              </w:rPr>
            </w:pPr>
            <w:r>
              <w:rPr>
                <w:rFonts w:ascii="Times New Roman" w:hAnsi="Times New Roman" w:cs="Times New Roman"/>
                <w:color w:val="000000"/>
                <w:sz w:val="18"/>
                <w:szCs w:val="18"/>
              </w:rPr>
              <w:t>0.3</w:t>
            </w:r>
          </w:p>
        </w:tc>
      </w:tr>
    </w:tbl>
    <w:p w14:paraId="1CBB71FC">
      <w:pPr>
        <w:pStyle w:val="128"/>
        <w:rPr>
          <w:rFonts w:hint="eastAsia"/>
        </w:rPr>
      </w:pPr>
      <w:r>
        <w:rPr>
          <w:rFonts w:hint="eastAsia"/>
        </w:rPr>
        <w:t>（4）加热炉废气</w:t>
      </w:r>
    </w:p>
    <w:p w14:paraId="5E109DB9">
      <w:pPr>
        <w:pStyle w:val="626"/>
        <w:ind w:firstLine="480"/>
      </w:pPr>
      <w:r>
        <w:rPr>
          <w:rFonts w:hint="eastAsia" w:eastAsia="宋体"/>
        </w:rPr>
        <w:t>有机缓释肥装置加热炉</w:t>
      </w:r>
      <w:r>
        <w:rPr>
          <w:rFonts w:hint="eastAsia"/>
        </w:rPr>
        <w:t>采用</w:t>
      </w:r>
      <w:r>
        <w:rPr>
          <w:rFonts w:hint="eastAsia" w:eastAsia="宋体"/>
        </w:rPr>
        <w:t>燃料气作</w:t>
      </w:r>
      <w:r>
        <w:rPr>
          <w:rFonts w:hint="eastAsia"/>
        </w:rPr>
        <w:t>为燃料</w:t>
      </w:r>
      <w:r>
        <w:rPr>
          <w:rStyle w:val="282"/>
          <w:rFonts w:hint="eastAsia" w:ascii="宋体" w:hAnsi="宋体" w:eastAsia="宋体"/>
        </w:rPr>
        <w:t>。</w:t>
      </w:r>
      <w:r>
        <w:rPr>
          <w:rFonts w:hint="eastAsia" w:eastAsia="宋体"/>
        </w:rPr>
        <w:t>燃料气用量</w:t>
      </w:r>
      <w:r>
        <w:rPr>
          <w:rFonts w:ascii="Times New Roman" w:hAnsi="Times New Roman" w:eastAsia="宋体"/>
        </w:rPr>
        <w:t>为</w:t>
      </w:r>
      <w:r>
        <w:rPr>
          <w:rFonts w:hint="eastAsia" w:ascii="Times New Roman" w:hAnsi="Times New Roman" w:eastAsia="宋体"/>
        </w:rPr>
        <w:t>3200</w:t>
      </w:r>
      <w:r>
        <w:rPr>
          <w:rStyle w:val="282"/>
          <w:rFonts w:eastAsia="宋体"/>
        </w:rPr>
        <w:t>Nm</w:t>
      </w:r>
      <w:r>
        <w:rPr>
          <w:rStyle w:val="282"/>
          <w:rFonts w:eastAsia="宋体"/>
          <w:vertAlign w:val="superscript"/>
        </w:rPr>
        <w:t>3</w:t>
      </w:r>
      <w:r>
        <w:rPr>
          <w:rStyle w:val="282"/>
          <w:rFonts w:eastAsia="宋体"/>
        </w:rPr>
        <w:t>/h</w:t>
      </w:r>
      <w:r>
        <w:rPr>
          <w:rStyle w:val="282"/>
          <w:rFonts w:hint="eastAsia" w:eastAsia="宋体"/>
        </w:rPr>
        <w:t>，污染物排放情况如下：</w:t>
      </w:r>
    </w:p>
    <w:p w14:paraId="3E7F9F7E">
      <w:pPr>
        <w:pStyle w:val="281"/>
        <w:ind w:firstLine="480"/>
      </w:pPr>
      <w:r>
        <w:rPr>
          <w:rFonts w:hint="eastAsia"/>
        </w:rPr>
        <w:t>①</w:t>
      </w:r>
      <w:r>
        <w:t>烟气量计算</w:t>
      </w:r>
    </w:p>
    <w:p w14:paraId="41168415">
      <w:pPr>
        <w:pStyle w:val="281"/>
        <w:ind w:firstLine="480"/>
        <w:rPr>
          <w:rFonts w:hint="eastAsia" w:ascii="宋体" w:hAnsi="宋体"/>
        </w:rPr>
      </w:pPr>
      <w:r>
        <w:rPr>
          <w:rFonts w:hint="eastAsia" w:ascii="宋体" w:hAnsi="宋体"/>
        </w:rPr>
        <w:t>参照《污染源源强核算技术指南 石油炼制工业》（</w:t>
      </w:r>
      <w:r>
        <w:rPr>
          <w:rFonts w:hint="eastAsia"/>
        </w:rPr>
        <w:t>HJ982-2018</w:t>
      </w:r>
      <w:r>
        <w:rPr>
          <w:rFonts w:hint="eastAsia" w:ascii="宋体" w:hAnsi="宋体"/>
        </w:rPr>
        <w:t>）工艺加热炉烟气量计算方法，排放烟气量按下式计算：</w:t>
      </w:r>
    </w:p>
    <w:p w14:paraId="17D5F545">
      <w:pPr>
        <w:jc w:val="center"/>
        <w:rPr>
          <w:rFonts w:hint="eastAsia"/>
        </w:rPr>
      </w:pPr>
      <w:r>
        <w:drawing>
          <wp:inline distT="0" distB="0" distL="114300" distR="114300">
            <wp:extent cx="3562985" cy="368300"/>
            <wp:effectExtent l="0" t="0" r="18415" b="13335"/>
            <wp:docPr id="1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3562985" cy="368300"/>
                    </a:xfrm>
                    <a:prstGeom prst="rect">
                      <a:avLst/>
                    </a:prstGeom>
                    <a:noFill/>
                    <a:ln w="9525">
                      <a:noFill/>
                    </a:ln>
                  </pic:spPr>
                </pic:pic>
              </a:graphicData>
            </a:graphic>
          </wp:inline>
        </w:drawing>
      </w:r>
    </w:p>
    <w:p w14:paraId="062F112A">
      <w:pPr>
        <w:pStyle w:val="281"/>
        <w:ind w:firstLine="480"/>
        <w:rPr>
          <w:szCs w:val="24"/>
        </w:rPr>
      </w:pPr>
      <w:r>
        <w:rPr>
          <w:szCs w:val="24"/>
        </w:rPr>
        <w:t>式中：</w:t>
      </w:r>
    </w:p>
    <w:p w14:paraId="56B23B78">
      <w:pPr>
        <w:pStyle w:val="281"/>
        <w:ind w:firstLine="829" w:firstLineChars="395"/>
        <w:rPr>
          <w:sz w:val="21"/>
        </w:rPr>
      </w:pPr>
      <w:r>
        <w:rPr>
          <w:sz w:val="21"/>
        </w:rPr>
        <w:t>V—标准状态下，燃料燃烧产生的湿烟气量，Nm</w:t>
      </w:r>
      <w:r>
        <w:rPr>
          <w:sz w:val="21"/>
          <w:vertAlign w:val="superscript"/>
        </w:rPr>
        <w:t>3</w:t>
      </w:r>
      <w:r>
        <w:rPr>
          <w:sz w:val="21"/>
        </w:rPr>
        <w:t>/h；</w:t>
      </w:r>
    </w:p>
    <w:p w14:paraId="0EA041D0">
      <w:pPr>
        <w:pStyle w:val="281"/>
        <w:ind w:firstLine="840" w:firstLineChars="400"/>
        <w:rPr>
          <w:sz w:val="21"/>
        </w:rPr>
      </w:pPr>
      <w:r>
        <w:rPr>
          <w:sz w:val="21"/>
        </w:rPr>
        <w:t>B—燃料消耗量，Nm</w:t>
      </w:r>
      <w:r>
        <w:rPr>
          <w:sz w:val="21"/>
          <w:vertAlign w:val="superscript"/>
        </w:rPr>
        <w:t>3</w:t>
      </w:r>
      <w:r>
        <w:rPr>
          <w:sz w:val="21"/>
        </w:rPr>
        <w:t>/h</w:t>
      </w:r>
      <w:r>
        <w:rPr>
          <w:rFonts w:hint="eastAsia" w:ascii="宋体" w:hAnsi="宋体"/>
          <w:sz w:val="21"/>
        </w:rPr>
        <w:t>；</w:t>
      </w:r>
    </w:p>
    <w:p w14:paraId="35098C86">
      <w:pPr>
        <w:pStyle w:val="281"/>
        <w:ind w:firstLine="840" w:firstLineChars="400"/>
        <w:rPr>
          <w:sz w:val="21"/>
        </w:rPr>
      </w:pPr>
      <w:r>
        <w:rPr>
          <w:sz w:val="21"/>
        </w:rPr>
        <w:t>φ—燃烧烟气中的过剩氧含量，%，</w:t>
      </w:r>
      <w:r>
        <w:rPr>
          <w:rFonts w:hint="eastAsia"/>
          <w:sz w:val="21"/>
        </w:rPr>
        <w:t>一般为3</w:t>
      </w:r>
      <w:r>
        <w:rPr>
          <w:sz w:val="21"/>
        </w:rPr>
        <w:t>-5%</w:t>
      </w:r>
      <w:r>
        <w:rPr>
          <w:rFonts w:hint="eastAsia"/>
          <w:sz w:val="21"/>
        </w:rPr>
        <w:t>，</w:t>
      </w:r>
      <w:r>
        <w:rPr>
          <w:sz w:val="21"/>
        </w:rPr>
        <w:t>本项目取</w:t>
      </w:r>
      <w:r>
        <w:rPr>
          <w:rFonts w:hint="eastAsia"/>
          <w:sz w:val="21"/>
        </w:rPr>
        <w:t>3</w:t>
      </w:r>
      <w:r>
        <w:rPr>
          <w:sz w:val="21"/>
        </w:rPr>
        <w:t>%</w:t>
      </w:r>
      <w:r>
        <w:rPr>
          <w:rFonts w:hint="eastAsia"/>
          <w:sz w:val="21"/>
        </w:rPr>
        <w:t>；</w:t>
      </w:r>
    </w:p>
    <w:p w14:paraId="4A60C0DA">
      <w:pPr>
        <w:pStyle w:val="281"/>
        <w:ind w:firstLine="840" w:firstLineChars="400"/>
        <w:rPr>
          <w:sz w:val="21"/>
        </w:rPr>
      </w:pPr>
      <w:r>
        <w:rPr>
          <w:sz w:val="21"/>
        </w:rPr>
        <w:t>Q</w:t>
      </w:r>
      <w:r>
        <w:rPr>
          <w:sz w:val="21"/>
          <w:vertAlign w:val="subscript"/>
        </w:rPr>
        <w:t>d</w:t>
      </w:r>
      <w:r>
        <w:rPr>
          <w:sz w:val="21"/>
        </w:rPr>
        <w:t>—燃料低位发热量，kJ/m</w:t>
      </w:r>
      <w:r>
        <w:rPr>
          <w:sz w:val="21"/>
          <w:vertAlign w:val="superscript"/>
        </w:rPr>
        <w:t>3</w:t>
      </w:r>
      <w:r>
        <w:rPr>
          <w:sz w:val="21"/>
        </w:rPr>
        <w:t>。</w:t>
      </w:r>
    </w:p>
    <w:p w14:paraId="7CD352AB">
      <w:pPr>
        <w:pStyle w:val="645"/>
        <w:rPr>
          <w:rFonts w:hint="eastAsia"/>
        </w:rPr>
      </w:pPr>
      <w:r>
        <w:rPr>
          <w:rFonts w:hint="eastAsia"/>
        </w:rPr>
        <w:t xml:space="preserve">表3.2.8-9  </w:t>
      </w:r>
      <w:r>
        <w:t xml:space="preserve">   燃料燃烧产生的湿烟气量</w:t>
      </w:r>
      <w:r>
        <w:rPr>
          <w:rFonts w:hint="eastAsia"/>
        </w:rPr>
        <w:t>计算表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2"/>
        <w:gridCol w:w="4160"/>
      </w:tblGrid>
      <w:tr w14:paraId="6673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2"/>
            <w:vAlign w:val="center"/>
          </w:tcPr>
          <w:p w14:paraId="52176467">
            <w:pPr>
              <w:pStyle w:val="557"/>
            </w:pPr>
            <w:r>
              <w:t>燃料气燃烧废气</w:t>
            </w:r>
          </w:p>
        </w:tc>
      </w:tr>
      <w:tr w14:paraId="4177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59" w:type="pct"/>
            <w:vAlign w:val="center"/>
          </w:tcPr>
          <w:p w14:paraId="7EE8A1AD">
            <w:pPr>
              <w:pStyle w:val="557"/>
            </w:pPr>
            <w:r>
              <w:t>燃料消耗量 Nm</w:t>
            </w:r>
            <w:r>
              <w:rPr>
                <w:vertAlign w:val="superscript"/>
              </w:rPr>
              <w:t>3</w:t>
            </w:r>
            <w:r>
              <w:t>/h</w:t>
            </w:r>
          </w:p>
        </w:tc>
        <w:tc>
          <w:tcPr>
            <w:tcW w:w="2440" w:type="pct"/>
            <w:vAlign w:val="center"/>
          </w:tcPr>
          <w:p w14:paraId="3D8F6734">
            <w:pPr>
              <w:pStyle w:val="557"/>
            </w:pPr>
            <w:r>
              <w:rPr>
                <w:rFonts w:hint="eastAsia"/>
              </w:rPr>
              <w:t>3200</w:t>
            </w:r>
          </w:p>
        </w:tc>
      </w:tr>
      <w:tr w14:paraId="1DA1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59" w:type="pct"/>
            <w:vAlign w:val="center"/>
          </w:tcPr>
          <w:p w14:paraId="0EFC921C">
            <w:pPr>
              <w:pStyle w:val="557"/>
            </w:pPr>
            <w:r>
              <w:t>燃料低位发热量 MJ/m</w:t>
            </w:r>
            <w:r>
              <w:rPr>
                <w:vertAlign w:val="superscript"/>
              </w:rPr>
              <w:t>3</w:t>
            </w:r>
          </w:p>
        </w:tc>
        <w:tc>
          <w:tcPr>
            <w:tcW w:w="2440" w:type="pct"/>
            <w:vAlign w:val="center"/>
          </w:tcPr>
          <w:p w14:paraId="0A7DF80B">
            <w:pPr>
              <w:pStyle w:val="557"/>
            </w:pPr>
            <w:r>
              <w:rPr>
                <w:rFonts w:hint="eastAsia"/>
              </w:rPr>
              <w:t>6.87</w:t>
            </w:r>
          </w:p>
        </w:tc>
      </w:tr>
      <w:tr w14:paraId="1AAE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59" w:type="pct"/>
            <w:vAlign w:val="center"/>
          </w:tcPr>
          <w:p w14:paraId="564B97F7">
            <w:pPr>
              <w:pStyle w:val="557"/>
            </w:pPr>
            <w:r>
              <w:t>烟气量Nm</w:t>
            </w:r>
            <w:r>
              <w:rPr>
                <w:vertAlign w:val="superscript"/>
              </w:rPr>
              <w:t>3</w:t>
            </w:r>
            <w:r>
              <w:t>/h</w:t>
            </w:r>
          </w:p>
        </w:tc>
        <w:tc>
          <w:tcPr>
            <w:tcW w:w="2440" w:type="pct"/>
            <w:vAlign w:val="center"/>
          </w:tcPr>
          <w:p w14:paraId="2D11B08E">
            <w:pPr>
              <w:jc w:val="center"/>
              <w:rPr>
                <w:rFonts w:hint="eastAsia"/>
              </w:rPr>
            </w:pPr>
            <w:r>
              <w:rPr>
                <w:rFonts w:hint="eastAsia" w:ascii="Times New Roman" w:hAnsi="Times New Roman" w:eastAsia="等线" w:cs="Times New Roman"/>
                <w:color w:val="000000"/>
                <w:sz w:val="18"/>
                <w:szCs w:val="18"/>
              </w:rPr>
              <w:t>8062.13</w:t>
            </w:r>
          </w:p>
        </w:tc>
      </w:tr>
    </w:tbl>
    <w:p w14:paraId="4581FF35">
      <w:pPr>
        <w:pStyle w:val="281"/>
        <w:ind w:firstLine="480"/>
        <w:rPr>
          <w:rFonts w:eastAsia="等线"/>
        </w:rPr>
      </w:pPr>
      <w:r>
        <w:t>根据上表，</w:t>
      </w:r>
      <w:r>
        <w:rPr>
          <w:rFonts w:hint="eastAsia"/>
        </w:rPr>
        <w:t>加热炉</w:t>
      </w:r>
      <w:r>
        <w:t>烟气量为</w:t>
      </w:r>
      <w:r>
        <w:rPr>
          <w:rFonts w:hint="eastAsia"/>
        </w:rPr>
        <w:t>8062.13</w:t>
      </w:r>
      <w:r>
        <w:t>Nm</w:t>
      </w:r>
      <w:r>
        <w:rPr>
          <w:vertAlign w:val="superscript"/>
        </w:rPr>
        <w:t>3</w:t>
      </w:r>
      <w:r>
        <w:t>/h</w:t>
      </w:r>
      <w:r>
        <w:rPr>
          <w:rFonts w:hint="eastAsia"/>
        </w:rPr>
        <w:t>。</w:t>
      </w:r>
    </w:p>
    <w:p w14:paraId="272860C2">
      <w:pPr>
        <w:pStyle w:val="281"/>
        <w:ind w:firstLine="480"/>
      </w:pPr>
      <w:r>
        <w:rPr>
          <w:rFonts w:eastAsia="等线"/>
        </w:rPr>
        <w:t>b</w:t>
      </w:r>
      <w:r>
        <w:t>.颗粒物</w:t>
      </w:r>
    </w:p>
    <w:p w14:paraId="5314B769">
      <w:pPr>
        <w:pStyle w:val="281"/>
        <w:ind w:firstLine="480"/>
        <w:rPr>
          <w:rFonts w:hint="eastAsia" w:ascii="宋体" w:hAnsi="宋体"/>
        </w:rPr>
      </w:pPr>
      <w:r>
        <w:rPr>
          <w:rFonts w:hint="eastAsia" w:ascii="宋体" w:hAnsi="宋体"/>
        </w:rPr>
        <w:t>颗粒物核算参照《排放源统计调查产排污核算方法和系数手册》</w:t>
      </w:r>
      <w:r>
        <w:t>2511</w:t>
      </w:r>
      <w:r>
        <w:rPr>
          <w:rFonts w:hint="eastAsia" w:ascii="宋体" w:hAnsi="宋体"/>
        </w:rPr>
        <w:t>原油加工及石油制品制</w:t>
      </w:r>
      <w:r>
        <w:rPr>
          <w:rFonts w:hint="eastAsia"/>
        </w:rPr>
        <w:t>造行业，工艺加热炉颗粒物产污系数为</w:t>
      </w:r>
      <w:r>
        <w:t>1.2</w:t>
      </w:r>
      <w:r>
        <w:rPr>
          <w:rFonts w:hint="eastAsia"/>
        </w:rPr>
        <w:t>4kg</w:t>
      </w:r>
      <w:r>
        <w:t>/</w:t>
      </w:r>
      <w:r>
        <w:rPr>
          <w:rFonts w:hint="eastAsia"/>
        </w:rPr>
        <w:t>1</w:t>
      </w:r>
      <w:r>
        <w:t>0</w:t>
      </w:r>
      <w:r>
        <w:rPr>
          <w:vertAlign w:val="superscript"/>
        </w:rPr>
        <w:t>4</w:t>
      </w:r>
      <w:r>
        <w:rPr>
          <w:rFonts w:hint="eastAsia"/>
        </w:rPr>
        <w:t>m</w:t>
      </w:r>
      <w:r>
        <w:rPr>
          <w:vertAlign w:val="superscript"/>
        </w:rPr>
        <w:t>3</w:t>
      </w:r>
      <w:r>
        <w:t>-</w:t>
      </w:r>
      <w:r>
        <w:rPr>
          <w:rFonts w:hint="eastAsia"/>
        </w:rPr>
        <w:t>燃料。</w:t>
      </w:r>
    </w:p>
    <w:p w14:paraId="5CCD152E">
      <w:pPr>
        <w:pStyle w:val="281"/>
        <w:ind w:firstLine="480"/>
        <w:rPr>
          <w:vertAlign w:val="subscript"/>
        </w:rPr>
      </w:pPr>
      <w:r>
        <w:rPr>
          <w:rFonts w:hint="eastAsia"/>
        </w:rPr>
        <w:t>c.S</w:t>
      </w:r>
      <w:r>
        <w:t>O</w:t>
      </w:r>
      <w:r>
        <w:rPr>
          <w:vertAlign w:val="subscript"/>
        </w:rPr>
        <w:t>2</w:t>
      </w:r>
    </w:p>
    <w:p w14:paraId="42B25DFA">
      <w:pPr>
        <w:pStyle w:val="281"/>
        <w:ind w:firstLine="480"/>
      </w:pPr>
      <w:r>
        <w:rPr>
          <w:rFonts w:hint="eastAsia"/>
        </w:rPr>
        <w:t>燃料为本项目自产燃料气，燃料气不含硫。</w:t>
      </w:r>
    </w:p>
    <w:p w14:paraId="4FCC189C">
      <w:pPr>
        <w:pStyle w:val="281"/>
        <w:ind w:firstLine="480"/>
        <w:rPr>
          <w:vertAlign w:val="subscript"/>
        </w:rPr>
      </w:pPr>
      <w:r>
        <w:rPr>
          <w:rFonts w:hint="eastAsia"/>
        </w:rPr>
        <w:t>d.</w:t>
      </w:r>
      <w:r>
        <w:t>NO</w:t>
      </w:r>
      <w:r>
        <w:rPr>
          <w:vertAlign w:val="subscript"/>
        </w:rPr>
        <w:t>X</w:t>
      </w:r>
    </w:p>
    <w:p w14:paraId="63D8FBE0">
      <w:pPr>
        <w:pStyle w:val="281"/>
        <w:ind w:firstLine="480"/>
        <w:rPr>
          <w:u w:color="000000"/>
        </w:rPr>
      </w:pPr>
      <w:r>
        <w:rPr>
          <w:u w:color="000000"/>
        </w:rPr>
        <w:t>根据设备厂商提供资料，加热炉加装低氮燃烧器，氮氧化物出口保证浓度100mg/m</w:t>
      </w:r>
      <w:r>
        <w:rPr>
          <w:u w:color="000000"/>
          <w:vertAlign w:val="superscript"/>
        </w:rPr>
        <w:t>3</w:t>
      </w:r>
      <w:r>
        <w:rPr>
          <w:u w:color="000000"/>
        </w:rPr>
        <w:t>。</w:t>
      </w:r>
    </w:p>
    <w:p w14:paraId="1643AD19">
      <w:pPr>
        <w:pStyle w:val="128"/>
        <w:rPr>
          <w:rFonts w:hint="eastAsia" w:ascii="宋体"/>
        </w:rPr>
      </w:pPr>
      <w:r>
        <w:rPr>
          <w:rFonts w:hint="eastAsia"/>
          <w:u w:color="000000"/>
        </w:rPr>
        <w:t>两套加热炉燃烧废气并入一根排气筒排放，</w:t>
      </w:r>
      <w:r>
        <w:t>污染物产排情况见</w:t>
      </w:r>
      <w:r>
        <w:rPr>
          <w:rFonts w:hint="eastAsia"/>
        </w:rPr>
        <w:t>表3.2.8-10</w:t>
      </w:r>
      <w:r>
        <w:rPr>
          <w:rFonts w:hint="eastAsia" w:ascii="宋体"/>
        </w:rPr>
        <w:t>；</w:t>
      </w:r>
    </w:p>
    <w:p w14:paraId="3D546110">
      <w:pPr>
        <w:pStyle w:val="535"/>
        <w:rPr>
          <w:rFonts w:hint="eastAsia"/>
          <w:color w:val="auto"/>
        </w:rPr>
      </w:pPr>
      <w:r>
        <w:rPr>
          <w:rFonts w:hint="eastAsia"/>
          <w:color w:val="auto"/>
        </w:rPr>
        <w:t xml:space="preserve">表3.2.8-10 </w:t>
      </w:r>
      <w:r>
        <w:rPr>
          <w:color w:val="auto"/>
        </w:rPr>
        <w:t xml:space="preserve">   </w:t>
      </w:r>
      <w:r>
        <w:rPr>
          <w:rFonts w:hint="eastAsia"/>
          <w:color w:val="auto"/>
          <w:u w:color="000000"/>
        </w:rPr>
        <w:t>加热炉</w:t>
      </w:r>
      <w:r>
        <w:rPr>
          <w:rFonts w:hint="eastAsia"/>
          <w:color w:val="auto"/>
        </w:rPr>
        <w:t>燃烧废气污染物产排情况一览表</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652"/>
        <w:gridCol w:w="862"/>
        <w:gridCol w:w="1050"/>
        <w:gridCol w:w="884"/>
        <w:gridCol w:w="784"/>
        <w:gridCol w:w="1013"/>
        <w:gridCol w:w="1050"/>
        <w:gridCol w:w="884"/>
        <w:gridCol w:w="784"/>
      </w:tblGrid>
      <w:tr w14:paraId="7960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Align w:val="center"/>
          </w:tcPr>
          <w:p w14:paraId="691C7981">
            <w:pPr>
              <w:jc w:val="center"/>
              <w:rPr>
                <w:rFonts w:hint="eastAsia"/>
                <w:sz w:val="18"/>
                <w:szCs w:val="18"/>
              </w:rPr>
            </w:pPr>
            <w:r>
              <w:rPr>
                <w:rFonts w:hint="eastAsia"/>
                <w:sz w:val="18"/>
                <w:szCs w:val="18"/>
              </w:rPr>
              <w:t>产生源</w:t>
            </w:r>
          </w:p>
        </w:tc>
        <w:tc>
          <w:tcPr>
            <w:tcW w:w="0" w:type="auto"/>
            <w:vAlign w:val="center"/>
          </w:tcPr>
          <w:p w14:paraId="046E29C7">
            <w:pPr>
              <w:jc w:val="center"/>
              <w:rPr>
                <w:rFonts w:hint="eastAsia"/>
                <w:sz w:val="18"/>
                <w:szCs w:val="18"/>
              </w:rPr>
            </w:pPr>
            <w:r>
              <w:rPr>
                <w:rFonts w:hint="eastAsia"/>
                <w:sz w:val="18"/>
                <w:szCs w:val="18"/>
              </w:rPr>
              <w:t>污染物</w:t>
            </w:r>
          </w:p>
        </w:tc>
        <w:tc>
          <w:tcPr>
            <w:tcW w:w="0" w:type="auto"/>
            <w:vAlign w:val="center"/>
          </w:tcPr>
          <w:p w14:paraId="11455797">
            <w:pPr>
              <w:jc w:val="center"/>
              <w:rPr>
                <w:rFonts w:hint="eastAsia"/>
                <w:sz w:val="18"/>
                <w:szCs w:val="18"/>
              </w:rPr>
            </w:pPr>
            <w:r>
              <w:rPr>
                <w:rFonts w:hint="eastAsia"/>
                <w:sz w:val="18"/>
                <w:szCs w:val="18"/>
              </w:rPr>
              <w:t>排放气量</w:t>
            </w:r>
          </w:p>
        </w:tc>
        <w:tc>
          <w:tcPr>
            <w:tcW w:w="0" w:type="auto"/>
            <w:vAlign w:val="center"/>
          </w:tcPr>
          <w:p w14:paraId="2C3DFA59">
            <w:pPr>
              <w:jc w:val="center"/>
              <w:rPr>
                <w:rFonts w:hint="eastAsia"/>
                <w:sz w:val="18"/>
                <w:szCs w:val="18"/>
              </w:rPr>
            </w:pPr>
            <w:r>
              <w:rPr>
                <w:rFonts w:hint="eastAsia"/>
                <w:sz w:val="18"/>
                <w:szCs w:val="18"/>
              </w:rPr>
              <w:t>产生浓度</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0" w:type="auto"/>
            <w:vAlign w:val="center"/>
          </w:tcPr>
          <w:p w14:paraId="60B9EE8A">
            <w:pPr>
              <w:jc w:val="center"/>
              <w:rPr>
                <w:rFonts w:hint="eastAsia"/>
                <w:sz w:val="18"/>
                <w:szCs w:val="18"/>
              </w:rPr>
            </w:pPr>
            <w:r>
              <w:rPr>
                <w:rFonts w:hint="eastAsia"/>
                <w:sz w:val="18"/>
                <w:szCs w:val="18"/>
              </w:rPr>
              <w:t>产生速率</w:t>
            </w:r>
            <w:r>
              <w:rPr>
                <w:rFonts w:ascii="Times New Roman" w:hAnsi="Times New Roman" w:cs="Times New Roman"/>
                <w:sz w:val="18"/>
                <w:szCs w:val="18"/>
              </w:rPr>
              <w:t>kg/h</w:t>
            </w:r>
          </w:p>
        </w:tc>
        <w:tc>
          <w:tcPr>
            <w:tcW w:w="0" w:type="auto"/>
            <w:vAlign w:val="center"/>
          </w:tcPr>
          <w:p w14:paraId="5801058A">
            <w:pPr>
              <w:jc w:val="center"/>
              <w:rPr>
                <w:rFonts w:hint="eastAsia"/>
                <w:sz w:val="18"/>
                <w:szCs w:val="18"/>
              </w:rPr>
            </w:pPr>
            <w:r>
              <w:rPr>
                <w:rFonts w:hint="eastAsia"/>
                <w:sz w:val="18"/>
                <w:szCs w:val="18"/>
              </w:rPr>
              <w:t>产生量</w:t>
            </w:r>
            <w:r>
              <w:rPr>
                <w:rFonts w:ascii="Times New Roman" w:hAnsi="Times New Roman" w:cs="Times New Roman"/>
                <w:sz w:val="18"/>
                <w:szCs w:val="18"/>
              </w:rPr>
              <w:t>t/a</w:t>
            </w:r>
          </w:p>
        </w:tc>
        <w:tc>
          <w:tcPr>
            <w:tcW w:w="0" w:type="auto"/>
            <w:vAlign w:val="center"/>
          </w:tcPr>
          <w:p w14:paraId="3A3E5E11">
            <w:pPr>
              <w:jc w:val="center"/>
              <w:rPr>
                <w:rFonts w:hint="eastAsia"/>
                <w:sz w:val="18"/>
                <w:szCs w:val="18"/>
              </w:rPr>
            </w:pPr>
            <w:r>
              <w:rPr>
                <w:rFonts w:hint="eastAsia"/>
                <w:sz w:val="18"/>
                <w:szCs w:val="18"/>
              </w:rPr>
              <w:t>处理措施</w:t>
            </w:r>
          </w:p>
        </w:tc>
        <w:tc>
          <w:tcPr>
            <w:tcW w:w="0" w:type="auto"/>
            <w:vAlign w:val="center"/>
          </w:tcPr>
          <w:p w14:paraId="05AB9157">
            <w:pPr>
              <w:jc w:val="center"/>
              <w:rPr>
                <w:rFonts w:hint="eastAsia"/>
                <w:sz w:val="18"/>
                <w:szCs w:val="18"/>
              </w:rPr>
            </w:pPr>
            <w:r>
              <w:rPr>
                <w:rFonts w:hint="eastAsia"/>
                <w:sz w:val="18"/>
                <w:szCs w:val="18"/>
              </w:rPr>
              <w:t>排放浓度</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0" w:type="auto"/>
            <w:vAlign w:val="center"/>
          </w:tcPr>
          <w:p w14:paraId="21F35DF2">
            <w:pPr>
              <w:jc w:val="center"/>
              <w:rPr>
                <w:rFonts w:hint="eastAsia"/>
                <w:sz w:val="18"/>
                <w:szCs w:val="18"/>
              </w:rPr>
            </w:pPr>
            <w:r>
              <w:rPr>
                <w:rFonts w:hint="eastAsia"/>
                <w:sz w:val="18"/>
                <w:szCs w:val="18"/>
              </w:rPr>
              <w:t>排放速率</w:t>
            </w:r>
            <w:r>
              <w:rPr>
                <w:rFonts w:ascii="Times New Roman" w:hAnsi="Times New Roman" w:cs="Times New Roman"/>
                <w:sz w:val="18"/>
                <w:szCs w:val="18"/>
              </w:rPr>
              <w:t>kg/h</w:t>
            </w:r>
          </w:p>
        </w:tc>
        <w:tc>
          <w:tcPr>
            <w:tcW w:w="0" w:type="auto"/>
            <w:vAlign w:val="center"/>
          </w:tcPr>
          <w:p w14:paraId="1067CE41">
            <w:pPr>
              <w:jc w:val="center"/>
              <w:rPr>
                <w:rFonts w:hint="eastAsia"/>
                <w:sz w:val="18"/>
                <w:szCs w:val="18"/>
              </w:rPr>
            </w:pPr>
            <w:r>
              <w:rPr>
                <w:rFonts w:hint="eastAsia"/>
                <w:sz w:val="18"/>
                <w:szCs w:val="18"/>
              </w:rPr>
              <w:t>排放量</w:t>
            </w:r>
            <w:r>
              <w:rPr>
                <w:rFonts w:ascii="Times New Roman" w:hAnsi="Times New Roman" w:cs="Times New Roman"/>
                <w:sz w:val="18"/>
                <w:szCs w:val="18"/>
              </w:rPr>
              <w:t>t/a</w:t>
            </w:r>
          </w:p>
        </w:tc>
      </w:tr>
      <w:tr w14:paraId="69D1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7FD2F529">
            <w:pPr>
              <w:jc w:val="center"/>
              <w:rPr>
                <w:rFonts w:ascii="Times New Roman" w:hAnsi="Times New Roman" w:eastAsia="等线" w:cs="Times New Roman"/>
                <w:sz w:val="18"/>
                <w:szCs w:val="18"/>
              </w:rPr>
            </w:pPr>
            <w:r>
              <w:rPr>
                <w:rFonts w:hint="eastAsia" w:ascii="Times New Roman" w:hAnsi="Times New Roman" w:eastAsia="等线" w:cs="Times New Roman"/>
                <w:sz w:val="18"/>
                <w:szCs w:val="18"/>
              </w:rPr>
              <w:t>加热炉</w:t>
            </w:r>
          </w:p>
        </w:tc>
        <w:tc>
          <w:tcPr>
            <w:tcW w:w="0" w:type="auto"/>
            <w:vAlign w:val="center"/>
          </w:tcPr>
          <w:p w14:paraId="5B141337">
            <w:pPr>
              <w:jc w:val="center"/>
              <w:rPr>
                <w:rFonts w:hint="eastAsia"/>
                <w:sz w:val="18"/>
                <w:szCs w:val="18"/>
              </w:rPr>
            </w:pPr>
            <w:r>
              <w:rPr>
                <w:rFonts w:hint="eastAsia"/>
                <w:sz w:val="18"/>
                <w:szCs w:val="18"/>
              </w:rPr>
              <w:t>颗粒物</w:t>
            </w:r>
          </w:p>
        </w:tc>
        <w:tc>
          <w:tcPr>
            <w:tcW w:w="0" w:type="auto"/>
            <w:vMerge w:val="restart"/>
            <w:vAlign w:val="center"/>
          </w:tcPr>
          <w:p w14:paraId="2C31FF6C">
            <w:pPr>
              <w:jc w:val="center"/>
              <w:rPr>
                <w:rFonts w:ascii="Times New Roman" w:hAnsi="Times New Roman" w:eastAsia="等线" w:cs="Times New Roman"/>
                <w:sz w:val="18"/>
                <w:szCs w:val="18"/>
              </w:rPr>
            </w:pPr>
            <w:r>
              <w:rPr>
                <w:rFonts w:hint="eastAsia" w:ascii="Times New Roman" w:hAnsi="Times New Roman" w:eastAsia="等线" w:cs="Times New Roman"/>
                <w:sz w:val="18"/>
                <w:szCs w:val="18"/>
              </w:rPr>
              <w:t>8062.13</w:t>
            </w:r>
          </w:p>
          <w:p w14:paraId="15208EEE">
            <w:pPr>
              <w:jc w:val="center"/>
              <w:rPr>
                <w:rFonts w:ascii="Times New Roman" w:hAnsi="Times New Roman" w:eastAsia="等线" w:cs="Times New Roman"/>
                <w:sz w:val="18"/>
                <w:szCs w:val="18"/>
              </w:rPr>
            </w:pPr>
            <w:r>
              <w:rPr>
                <w:rFonts w:ascii="Times New Roman" w:hAnsi="Times New Roman" w:cs="Times New Roman"/>
                <w:sz w:val="18"/>
                <w:szCs w:val="18"/>
              </w:rPr>
              <w:t>Nm</w:t>
            </w:r>
            <w:r>
              <w:rPr>
                <w:rFonts w:ascii="Times New Roman" w:hAnsi="Times New Roman" w:cs="Times New Roman"/>
                <w:sz w:val="18"/>
                <w:szCs w:val="18"/>
                <w:vertAlign w:val="superscript"/>
              </w:rPr>
              <w:t>3</w:t>
            </w:r>
            <w:r>
              <w:rPr>
                <w:rFonts w:ascii="Times New Roman" w:hAnsi="Times New Roman" w:cs="Times New Roman"/>
                <w:sz w:val="18"/>
                <w:szCs w:val="18"/>
              </w:rPr>
              <w:t>/h</w:t>
            </w:r>
          </w:p>
        </w:tc>
        <w:tc>
          <w:tcPr>
            <w:tcW w:w="1050" w:type="dxa"/>
            <w:vAlign w:val="center"/>
          </w:tcPr>
          <w:p w14:paraId="1D17F8E2">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100</w:t>
            </w:r>
          </w:p>
        </w:tc>
        <w:tc>
          <w:tcPr>
            <w:tcW w:w="884" w:type="dxa"/>
            <w:vAlign w:val="center"/>
          </w:tcPr>
          <w:p w14:paraId="3BB3C753">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0.81</w:t>
            </w:r>
          </w:p>
        </w:tc>
        <w:tc>
          <w:tcPr>
            <w:tcW w:w="784" w:type="dxa"/>
            <w:vAlign w:val="center"/>
          </w:tcPr>
          <w:p w14:paraId="7AF29118">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6.45</w:t>
            </w:r>
          </w:p>
        </w:tc>
        <w:tc>
          <w:tcPr>
            <w:tcW w:w="0" w:type="auto"/>
            <w:vMerge w:val="restart"/>
            <w:vAlign w:val="center"/>
          </w:tcPr>
          <w:p w14:paraId="46B52CAC">
            <w:pPr>
              <w:jc w:val="center"/>
              <w:rPr>
                <w:rFonts w:hint="eastAsia"/>
                <w:sz w:val="18"/>
                <w:szCs w:val="18"/>
              </w:rPr>
            </w:pPr>
            <w:r>
              <w:rPr>
                <w:rFonts w:hint="eastAsia"/>
                <w:sz w:val="18"/>
                <w:szCs w:val="18"/>
              </w:rPr>
              <w:t>清洁燃料</w:t>
            </w:r>
            <w:r>
              <w:rPr>
                <w:rFonts w:ascii="Times New Roman" w:hAnsi="Times New Roman" w:cs="Times New Roman"/>
                <w:sz w:val="18"/>
                <w:szCs w:val="18"/>
              </w:rPr>
              <w:t>+</w:t>
            </w:r>
            <w:r>
              <w:rPr>
                <w:rFonts w:hint="eastAsia"/>
                <w:sz w:val="18"/>
                <w:szCs w:val="18"/>
              </w:rPr>
              <w:t>低氮燃烧</w:t>
            </w:r>
          </w:p>
        </w:tc>
        <w:tc>
          <w:tcPr>
            <w:tcW w:w="1050" w:type="dxa"/>
            <w:vAlign w:val="center"/>
          </w:tcPr>
          <w:p w14:paraId="2F7F8C24">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100</w:t>
            </w:r>
          </w:p>
        </w:tc>
        <w:tc>
          <w:tcPr>
            <w:tcW w:w="884" w:type="dxa"/>
            <w:vAlign w:val="center"/>
          </w:tcPr>
          <w:p w14:paraId="4B3009C2">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0.81</w:t>
            </w:r>
          </w:p>
        </w:tc>
        <w:tc>
          <w:tcPr>
            <w:tcW w:w="784" w:type="dxa"/>
            <w:vAlign w:val="center"/>
          </w:tcPr>
          <w:p w14:paraId="0CF338A9">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6.45</w:t>
            </w:r>
          </w:p>
        </w:tc>
      </w:tr>
      <w:tr w14:paraId="406C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23929BC2">
            <w:pPr>
              <w:jc w:val="center"/>
              <w:rPr>
                <w:rFonts w:ascii="Times New Roman" w:hAnsi="Times New Roman" w:eastAsia="等线" w:cs="Times New Roman"/>
                <w:sz w:val="18"/>
                <w:szCs w:val="18"/>
              </w:rPr>
            </w:pPr>
          </w:p>
        </w:tc>
        <w:tc>
          <w:tcPr>
            <w:tcW w:w="0" w:type="auto"/>
            <w:vAlign w:val="center"/>
          </w:tcPr>
          <w:p w14:paraId="4A6E2E0E">
            <w:pPr>
              <w:jc w:val="center"/>
              <w:rPr>
                <w:rFonts w:ascii="Times New Roman" w:hAnsi="Times New Roman" w:eastAsia="等线" w:cs="Times New Roman"/>
                <w:sz w:val="18"/>
                <w:szCs w:val="18"/>
              </w:rPr>
            </w:pPr>
            <w:r>
              <w:rPr>
                <w:rFonts w:ascii="Times New Roman" w:hAnsi="Times New Roman" w:eastAsia="等线" w:cs="Times New Roman"/>
                <w:sz w:val="18"/>
                <w:szCs w:val="18"/>
              </w:rPr>
              <w:t>NOx</w:t>
            </w:r>
          </w:p>
        </w:tc>
        <w:tc>
          <w:tcPr>
            <w:tcW w:w="0" w:type="auto"/>
            <w:vMerge w:val="continue"/>
            <w:vAlign w:val="center"/>
          </w:tcPr>
          <w:p w14:paraId="7FE99AFC">
            <w:pPr>
              <w:jc w:val="center"/>
              <w:rPr>
                <w:rFonts w:ascii="Times New Roman" w:hAnsi="Times New Roman" w:eastAsia="等线" w:cs="Times New Roman"/>
                <w:sz w:val="18"/>
                <w:szCs w:val="18"/>
              </w:rPr>
            </w:pPr>
          </w:p>
        </w:tc>
        <w:tc>
          <w:tcPr>
            <w:tcW w:w="1050" w:type="dxa"/>
            <w:vAlign w:val="center"/>
          </w:tcPr>
          <w:p w14:paraId="3FEBB5D3">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49.22</w:t>
            </w:r>
          </w:p>
        </w:tc>
        <w:tc>
          <w:tcPr>
            <w:tcW w:w="884" w:type="dxa"/>
            <w:vAlign w:val="center"/>
          </w:tcPr>
          <w:p w14:paraId="50AB384B">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0.40</w:t>
            </w:r>
          </w:p>
        </w:tc>
        <w:tc>
          <w:tcPr>
            <w:tcW w:w="784" w:type="dxa"/>
            <w:vAlign w:val="center"/>
          </w:tcPr>
          <w:p w14:paraId="539B6A83">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3.17</w:t>
            </w:r>
          </w:p>
        </w:tc>
        <w:tc>
          <w:tcPr>
            <w:tcW w:w="0" w:type="auto"/>
            <w:vMerge w:val="continue"/>
            <w:vAlign w:val="center"/>
          </w:tcPr>
          <w:p w14:paraId="0C52188E">
            <w:pPr>
              <w:jc w:val="center"/>
              <w:rPr>
                <w:rFonts w:hint="eastAsia"/>
                <w:sz w:val="18"/>
                <w:szCs w:val="18"/>
              </w:rPr>
            </w:pPr>
          </w:p>
        </w:tc>
        <w:tc>
          <w:tcPr>
            <w:tcW w:w="1050" w:type="dxa"/>
            <w:vAlign w:val="center"/>
          </w:tcPr>
          <w:p w14:paraId="4484C7D1">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49.22</w:t>
            </w:r>
          </w:p>
        </w:tc>
        <w:tc>
          <w:tcPr>
            <w:tcW w:w="884" w:type="dxa"/>
            <w:vAlign w:val="center"/>
          </w:tcPr>
          <w:p w14:paraId="34F27AA9">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0.40</w:t>
            </w:r>
          </w:p>
        </w:tc>
        <w:tc>
          <w:tcPr>
            <w:tcW w:w="784" w:type="dxa"/>
            <w:vAlign w:val="center"/>
          </w:tcPr>
          <w:p w14:paraId="55588826">
            <w:pPr>
              <w:jc w:val="center"/>
              <w:textAlignment w:val="center"/>
              <w:rPr>
                <w:rFonts w:ascii="Times New Roman" w:hAnsi="Times New Roman" w:eastAsia="等线" w:cs="Times New Roman"/>
                <w:sz w:val="18"/>
                <w:szCs w:val="18"/>
              </w:rPr>
            </w:pPr>
            <w:r>
              <w:rPr>
                <w:rFonts w:ascii="Times New Roman" w:hAnsi="Times New Roman" w:cs="Times New Roman"/>
                <w:color w:val="000000"/>
                <w:sz w:val="18"/>
                <w:szCs w:val="18"/>
              </w:rPr>
              <w:t>3.17</w:t>
            </w:r>
          </w:p>
        </w:tc>
      </w:tr>
    </w:tbl>
    <w:p w14:paraId="0ABEF7FA">
      <w:pPr>
        <w:pStyle w:val="814"/>
        <w:rPr>
          <w:rFonts w:hint="eastAsia"/>
        </w:rPr>
      </w:pPr>
      <w:r>
        <w:rPr>
          <w:rFonts w:hint="eastAsia"/>
        </w:rPr>
        <w:t>废水</w:t>
      </w:r>
    </w:p>
    <w:p w14:paraId="5B3BDFE6">
      <w:pPr>
        <w:pStyle w:val="626"/>
        <w:ind w:firstLine="480"/>
        <w:rPr>
          <w:rFonts w:ascii="Times New Roman" w:hAnsi="Times New Roman" w:eastAsia="宋体"/>
          <w:u w:color="000000"/>
        </w:rPr>
      </w:pPr>
      <w:r>
        <w:rPr>
          <w:rFonts w:hint="eastAsia" w:ascii="Times New Roman" w:hAnsi="Times New Roman" w:eastAsia="宋体" w:cs="Times New Roman"/>
        </w:rPr>
        <w:t>有机缓释肥</w:t>
      </w:r>
      <w:r>
        <w:rPr>
          <w:rFonts w:hint="eastAsia"/>
        </w:rPr>
        <w:t>装置</w:t>
      </w:r>
      <w:r>
        <w:rPr>
          <w:rFonts w:ascii="Times New Roman" w:hAnsi="Times New Roman" w:eastAsia="宋体"/>
          <w:u w:color="000000"/>
        </w:rPr>
        <w:t>废水</w:t>
      </w:r>
      <w:r>
        <w:rPr>
          <w:rFonts w:hint="eastAsia" w:ascii="Times New Roman" w:hAnsi="Times New Roman" w:eastAsia="宋体"/>
          <w:u w:color="000000"/>
        </w:rPr>
        <w:t>源强依据设计资料，</w:t>
      </w:r>
      <w:r>
        <w:rPr>
          <w:rFonts w:ascii="Times New Roman" w:hAnsi="Times New Roman" w:eastAsia="宋体"/>
          <w:u w:color="000000"/>
        </w:rPr>
        <w:t>产</w:t>
      </w:r>
      <w:r>
        <w:rPr>
          <w:rStyle w:val="282"/>
          <w:rFonts w:eastAsia="宋体"/>
        </w:rPr>
        <w:t>排情况见</w:t>
      </w:r>
      <w:r>
        <w:rPr>
          <w:rStyle w:val="282"/>
          <w:rFonts w:hint="eastAsia" w:ascii="宋体" w:hAnsi="宋体" w:eastAsia="宋体"/>
        </w:rPr>
        <w:t>表</w:t>
      </w:r>
      <w:r>
        <w:rPr>
          <w:rStyle w:val="282"/>
        </w:rPr>
        <w:t>3.2.</w:t>
      </w:r>
      <w:r>
        <w:rPr>
          <w:rStyle w:val="282"/>
          <w:rFonts w:hint="eastAsia" w:eastAsia="宋体"/>
        </w:rPr>
        <w:t>8-11；</w:t>
      </w:r>
    </w:p>
    <w:p w14:paraId="23096F98">
      <w:pPr>
        <w:pStyle w:val="535"/>
        <w:rPr>
          <w:rFonts w:hint="eastAsia"/>
        </w:rPr>
      </w:pPr>
      <w:r>
        <w:rPr>
          <w:rFonts w:hint="eastAsia"/>
          <w:color w:val="auto"/>
        </w:rPr>
        <w:t>表</w:t>
      </w:r>
      <w:r>
        <w:rPr>
          <w:color w:val="auto"/>
        </w:rPr>
        <w:t>3.2.</w:t>
      </w:r>
      <w:r>
        <w:rPr>
          <w:rFonts w:hint="eastAsia"/>
          <w:color w:val="auto"/>
        </w:rPr>
        <w:t>8-11</w:t>
      </w:r>
      <w:r>
        <w:rPr>
          <w:rFonts w:hint="eastAsia" w:cs="黑体"/>
        </w:rPr>
        <w:t xml:space="preserve">    </w:t>
      </w:r>
      <w:r>
        <w:rPr>
          <w:rFonts w:hint="eastAsia" w:ascii="Times New Roman" w:hAnsi="Times New Roman" w:cs="Times New Roman"/>
        </w:rPr>
        <w:t>有机缓释肥</w:t>
      </w:r>
      <w:r>
        <w:rPr>
          <w:rFonts w:ascii="Times New Roman" w:hAnsi="Times New Roman" w:cs="Times New Roman"/>
        </w:rPr>
        <w:t>装置</w:t>
      </w:r>
      <w:r>
        <w:rPr>
          <w:rFonts w:hint="eastAsia"/>
        </w:rPr>
        <w:t>废水产排情况表</w:t>
      </w:r>
    </w:p>
    <w:tbl>
      <w:tblPr>
        <w:tblStyle w:val="6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0"/>
        <w:gridCol w:w="1000"/>
        <w:gridCol w:w="1041"/>
        <w:gridCol w:w="993"/>
        <w:gridCol w:w="993"/>
        <w:gridCol w:w="996"/>
        <w:gridCol w:w="877"/>
        <w:gridCol w:w="866"/>
      </w:tblGrid>
      <w:tr w14:paraId="158A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3C0AE96B">
            <w:pPr>
              <w:pStyle w:val="557"/>
            </w:pPr>
            <w:r>
              <w:t>编号</w:t>
            </w:r>
          </w:p>
        </w:tc>
        <w:tc>
          <w:tcPr>
            <w:tcW w:w="634" w:type="pct"/>
            <w:vMerge w:val="restart"/>
            <w:vAlign w:val="center"/>
          </w:tcPr>
          <w:p w14:paraId="09A9877D">
            <w:pPr>
              <w:pStyle w:val="557"/>
            </w:pPr>
            <w:r>
              <w:t>排放源</w:t>
            </w:r>
          </w:p>
        </w:tc>
        <w:tc>
          <w:tcPr>
            <w:tcW w:w="587" w:type="pct"/>
            <w:vMerge w:val="restart"/>
            <w:vAlign w:val="center"/>
          </w:tcPr>
          <w:p w14:paraId="47BF832D">
            <w:pPr>
              <w:pStyle w:val="557"/>
            </w:pPr>
            <w:r>
              <w:t>污染物</w:t>
            </w:r>
          </w:p>
        </w:tc>
        <w:tc>
          <w:tcPr>
            <w:tcW w:w="611" w:type="pct"/>
            <w:vMerge w:val="restart"/>
            <w:vAlign w:val="center"/>
          </w:tcPr>
          <w:p w14:paraId="19183B1A">
            <w:pPr>
              <w:pStyle w:val="557"/>
            </w:pPr>
            <w:r>
              <w:t>核算方法</w:t>
            </w:r>
          </w:p>
        </w:tc>
        <w:tc>
          <w:tcPr>
            <w:tcW w:w="583" w:type="pct"/>
            <w:vMerge w:val="restart"/>
            <w:vAlign w:val="center"/>
          </w:tcPr>
          <w:p w14:paraId="51A0218C">
            <w:pPr>
              <w:pStyle w:val="557"/>
            </w:pPr>
            <w:r>
              <w:t>废水量（kg/h）</w:t>
            </w:r>
          </w:p>
        </w:tc>
        <w:tc>
          <w:tcPr>
            <w:tcW w:w="1168" w:type="pct"/>
            <w:gridSpan w:val="2"/>
            <w:vAlign w:val="center"/>
          </w:tcPr>
          <w:p w14:paraId="0733CE2E">
            <w:pPr>
              <w:pStyle w:val="557"/>
            </w:pPr>
            <w:r>
              <w:t>污染物产生情况</w:t>
            </w:r>
          </w:p>
        </w:tc>
        <w:tc>
          <w:tcPr>
            <w:tcW w:w="515" w:type="pct"/>
            <w:vMerge w:val="restart"/>
            <w:vAlign w:val="center"/>
          </w:tcPr>
          <w:p w14:paraId="697977C6">
            <w:pPr>
              <w:pStyle w:val="557"/>
            </w:pPr>
            <w:r>
              <w:t>处置措施</w:t>
            </w:r>
          </w:p>
        </w:tc>
        <w:tc>
          <w:tcPr>
            <w:tcW w:w="508" w:type="pct"/>
            <w:vMerge w:val="restart"/>
            <w:vAlign w:val="center"/>
          </w:tcPr>
          <w:p w14:paraId="73F4E88E">
            <w:pPr>
              <w:pStyle w:val="557"/>
            </w:pPr>
            <w:r>
              <w:t>排放时间（h）</w:t>
            </w:r>
          </w:p>
        </w:tc>
      </w:tr>
      <w:tr w14:paraId="6A87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tcBorders>
              <w:bottom w:val="single" w:color="auto" w:sz="4" w:space="0"/>
            </w:tcBorders>
            <w:vAlign w:val="center"/>
          </w:tcPr>
          <w:p w14:paraId="7B59FC90">
            <w:pPr>
              <w:pStyle w:val="557"/>
            </w:pPr>
          </w:p>
        </w:tc>
        <w:tc>
          <w:tcPr>
            <w:tcW w:w="634" w:type="pct"/>
            <w:vMerge w:val="continue"/>
            <w:tcBorders>
              <w:bottom w:val="single" w:color="auto" w:sz="4" w:space="0"/>
            </w:tcBorders>
            <w:vAlign w:val="center"/>
          </w:tcPr>
          <w:p w14:paraId="463B22FD">
            <w:pPr>
              <w:pStyle w:val="557"/>
            </w:pPr>
          </w:p>
        </w:tc>
        <w:tc>
          <w:tcPr>
            <w:tcW w:w="587" w:type="pct"/>
            <w:vMerge w:val="continue"/>
            <w:tcBorders>
              <w:bottom w:val="single" w:color="auto" w:sz="4" w:space="0"/>
            </w:tcBorders>
            <w:vAlign w:val="center"/>
          </w:tcPr>
          <w:p w14:paraId="65BA155B">
            <w:pPr>
              <w:pStyle w:val="557"/>
            </w:pPr>
          </w:p>
        </w:tc>
        <w:tc>
          <w:tcPr>
            <w:tcW w:w="611" w:type="pct"/>
            <w:vMerge w:val="continue"/>
            <w:tcBorders>
              <w:bottom w:val="single" w:color="auto" w:sz="4" w:space="0"/>
            </w:tcBorders>
            <w:vAlign w:val="center"/>
          </w:tcPr>
          <w:p w14:paraId="2ED22EE8">
            <w:pPr>
              <w:pStyle w:val="557"/>
            </w:pPr>
          </w:p>
        </w:tc>
        <w:tc>
          <w:tcPr>
            <w:tcW w:w="583" w:type="pct"/>
            <w:vMerge w:val="continue"/>
            <w:tcBorders>
              <w:bottom w:val="single" w:color="auto" w:sz="4" w:space="0"/>
            </w:tcBorders>
            <w:vAlign w:val="center"/>
          </w:tcPr>
          <w:p w14:paraId="505E54DE">
            <w:pPr>
              <w:pStyle w:val="557"/>
            </w:pPr>
          </w:p>
        </w:tc>
        <w:tc>
          <w:tcPr>
            <w:tcW w:w="583" w:type="pct"/>
            <w:tcBorders>
              <w:bottom w:val="single" w:color="auto" w:sz="4" w:space="0"/>
            </w:tcBorders>
            <w:vAlign w:val="center"/>
          </w:tcPr>
          <w:p w14:paraId="4DEAB9A4">
            <w:pPr>
              <w:pStyle w:val="557"/>
            </w:pPr>
            <w:r>
              <w:t>产生浓度（mg/L）</w:t>
            </w:r>
          </w:p>
        </w:tc>
        <w:tc>
          <w:tcPr>
            <w:tcW w:w="585" w:type="pct"/>
            <w:tcBorders>
              <w:bottom w:val="single" w:color="auto" w:sz="4" w:space="0"/>
            </w:tcBorders>
            <w:vAlign w:val="center"/>
          </w:tcPr>
          <w:p w14:paraId="40E09F1F">
            <w:pPr>
              <w:pStyle w:val="557"/>
            </w:pPr>
            <w:r>
              <w:t>产生量（kg/h）</w:t>
            </w:r>
          </w:p>
        </w:tc>
        <w:tc>
          <w:tcPr>
            <w:tcW w:w="515" w:type="pct"/>
            <w:vMerge w:val="continue"/>
            <w:tcBorders>
              <w:bottom w:val="single" w:color="auto" w:sz="4" w:space="0"/>
            </w:tcBorders>
            <w:vAlign w:val="center"/>
          </w:tcPr>
          <w:p w14:paraId="04453A3D">
            <w:pPr>
              <w:pStyle w:val="557"/>
            </w:pPr>
          </w:p>
        </w:tc>
        <w:tc>
          <w:tcPr>
            <w:tcW w:w="508" w:type="pct"/>
            <w:vMerge w:val="continue"/>
            <w:tcBorders>
              <w:bottom w:val="single" w:color="auto" w:sz="4" w:space="0"/>
            </w:tcBorders>
            <w:vAlign w:val="center"/>
          </w:tcPr>
          <w:p w14:paraId="6ED7DEB2">
            <w:pPr>
              <w:pStyle w:val="557"/>
            </w:pPr>
          </w:p>
        </w:tc>
      </w:tr>
      <w:tr w14:paraId="2EF8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604CF0D1">
            <w:pPr>
              <w:pStyle w:val="557"/>
            </w:pPr>
            <w:r>
              <w:t>W</w:t>
            </w:r>
            <w:r>
              <w:rPr>
                <w:vertAlign w:val="subscript"/>
              </w:rPr>
              <w:t>5-1</w:t>
            </w:r>
          </w:p>
        </w:tc>
        <w:tc>
          <w:tcPr>
            <w:tcW w:w="634" w:type="pct"/>
            <w:vMerge w:val="restart"/>
            <w:vAlign w:val="center"/>
          </w:tcPr>
          <w:p w14:paraId="02BF662F">
            <w:pPr>
              <w:pStyle w:val="557"/>
            </w:pPr>
            <w:r>
              <w:rPr>
                <w:rFonts w:hint="eastAsia"/>
              </w:rPr>
              <w:t>尾气洗涤水</w:t>
            </w:r>
          </w:p>
        </w:tc>
        <w:tc>
          <w:tcPr>
            <w:tcW w:w="587" w:type="pct"/>
            <w:vAlign w:val="center"/>
          </w:tcPr>
          <w:p w14:paraId="03BFCDE7">
            <w:pPr>
              <w:pStyle w:val="557"/>
            </w:pPr>
            <w:r>
              <w:t>COD</w:t>
            </w:r>
          </w:p>
        </w:tc>
        <w:tc>
          <w:tcPr>
            <w:tcW w:w="611" w:type="pct"/>
            <w:vMerge w:val="restart"/>
            <w:vAlign w:val="center"/>
          </w:tcPr>
          <w:p w14:paraId="704ACC91">
            <w:pPr>
              <w:pStyle w:val="557"/>
            </w:pPr>
            <w:r>
              <w:rPr>
                <w:rFonts w:hint="eastAsia"/>
              </w:rPr>
              <w:t>物料衡算</w:t>
            </w:r>
          </w:p>
        </w:tc>
        <w:tc>
          <w:tcPr>
            <w:tcW w:w="583" w:type="pct"/>
            <w:vMerge w:val="restart"/>
            <w:vAlign w:val="center"/>
          </w:tcPr>
          <w:p w14:paraId="0096C99C">
            <w:pPr>
              <w:pStyle w:val="557"/>
            </w:pPr>
            <w:r>
              <w:rPr>
                <w:rFonts w:hint="eastAsia"/>
              </w:rPr>
              <w:t>5000</w:t>
            </w:r>
          </w:p>
        </w:tc>
        <w:tc>
          <w:tcPr>
            <w:tcW w:w="583" w:type="pct"/>
            <w:vAlign w:val="center"/>
          </w:tcPr>
          <w:p w14:paraId="33C12271">
            <w:pPr>
              <w:pStyle w:val="557"/>
            </w:pPr>
            <w:r>
              <w:rPr>
                <w:rFonts w:hint="eastAsia"/>
              </w:rPr>
              <w:t>300</w:t>
            </w:r>
          </w:p>
        </w:tc>
        <w:tc>
          <w:tcPr>
            <w:tcW w:w="585" w:type="pct"/>
            <w:vAlign w:val="center"/>
          </w:tcPr>
          <w:p w14:paraId="13530872">
            <w:pPr>
              <w:pStyle w:val="557"/>
            </w:pPr>
            <w:r>
              <w:rPr>
                <w:rFonts w:hint="eastAsia"/>
              </w:rPr>
              <w:t>1.5</w:t>
            </w:r>
          </w:p>
        </w:tc>
        <w:tc>
          <w:tcPr>
            <w:tcW w:w="515" w:type="pct"/>
            <w:vMerge w:val="restart"/>
            <w:vAlign w:val="center"/>
          </w:tcPr>
          <w:p w14:paraId="7377AFA7">
            <w:pPr>
              <w:pStyle w:val="557"/>
            </w:pPr>
            <w:r>
              <w:rPr>
                <w:rFonts w:hint="eastAsia"/>
              </w:rPr>
              <w:t>厂内污水处理站</w:t>
            </w:r>
          </w:p>
        </w:tc>
        <w:tc>
          <w:tcPr>
            <w:tcW w:w="508" w:type="pct"/>
            <w:vMerge w:val="restart"/>
            <w:vAlign w:val="center"/>
          </w:tcPr>
          <w:p w14:paraId="519A7EA2">
            <w:pPr>
              <w:pStyle w:val="557"/>
            </w:pPr>
            <w:r>
              <w:t>8000</w:t>
            </w:r>
          </w:p>
        </w:tc>
      </w:tr>
      <w:tr w14:paraId="68AF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1F3814A5">
            <w:pPr>
              <w:pStyle w:val="557"/>
            </w:pPr>
          </w:p>
        </w:tc>
        <w:tc>
          <w:tcPr>
            <w:tcW w:w="634" w:type="pct"/>
            <w:vMerge w:val="continue"/>
            <w:vAlign w:val="center"/>
          </w:tcPr>
          <w:p w14:paraId="457CC832">
            <w:pPr>
              <w:pStyle w:val="557"/>
            </w:pPr>
          </w:p>
        </w:tc>
        <w:tc>
          <w:tcPr>
            <w:tcW w:w="587" w:type="pct"/>
            <w:vAlign w:val="center"/>
          </w:tcPr>
          <w:p w14:paraId="5F19003A">
            <w:pPr>
              <w:pStyle w:val="557"/>
            </w:pPr>
            <w:r>
              <w:rPr>
                <w:rFonts w:hint="eastAsia"/>
              </w:rPr>
              <w:t>氨氮</w:t>
            </w:r>
          </w:p>
        </w:tc>
        <w:tc>
          <w:tcPr>
            <w:tcW w:w="611" w:type="pct"/>
            <w:vMerge w:val="continue"/>
            <w:vAlign w:val="center"/>
          </w:tcPr>
          <w:p w14:paraId="5D2A97A5">
            <w:pPr>
              <w:pStyle w:val="557"/>
            </w:pPr>
          </w:p>
        </w:tc>
        <w:tc>
          <w:tcPr>
            <w:tcW w:w="583" w:type="pct"/>
            <w:vMerge w:val="continue"/>
            <w:vAlign w:val="center"/>
          </w:tcPr>
          <w:p w14:paraId="46088855">
            <w:pPr>
              <w:pStyle w:val="557"/>
            </w:pPr>
          </w:p>
        </w:tc>
        <w:tc>
          <w:tcPr>
            <w:tcW w:w="583" w:type="pct"/>
            <w:vAlign w:val="center"/>
          </w:tcPr>
          <w:p w14:paraId="5062F43A">
            <w:pPr>
              <w:pStyle w:val="557"/>
            </w:pPr>
            <w:r>
              <w:rPr>
                <w:rFonts w:hint="eastAsia"/>
              </w:rPr>
              <w:t>50</w:t>
            </w:r>
          </w:p>
        </w:tc>
        <w:tc>
          <w:tcPr>
            <w:tcW w:w="585" w:type="pct"/>
            <w:vAlign w:val="center"/>
          </w:tcPr>
          <w:p w14:paraId="7F403C9E">
            <w:pPr>
              <w:pStyle w:val="557"/>
            </w:pPr>
            <w:r>
              <w:rPr>
                <w:rFonts w:hint="eastAsia"/>
              </w:rPr>
              <w:t>0.25</w:t>
            </w:r>
          </w:p>
        </w:tc>
        <w:tc>
          <w:tcPr>
            <w:tcW w:w="515" w:type="pct"/>
            <w:vMerge w:val="continue"/>
            <w:vAlign w:val="center"/>
          </w:tcPr>
          <w:p w14:paraId="5E627AA6">
            <w:pPr>
              <w:pStyle w:val="557"/>
            </w:pPr>
          </w:p>
        </w:tc>
        <w:tc>
          <w:tcPr>
            <w:tcW w:w="508" w:type="pct"/>
            <w:vMerge w:val="continue"/>
            <w:vAlign w:val="center"/>
          </w:tcPr>
          <w:p w14:paraId="030818E3">
            <w:pPr>
              <w:pStyle w:val="557"/>
            </w:pPr>
          </w:p>
        </w:tc>
      </w:tr>
      <w:tr w14:paraId="1D59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2B7AB857">
            <w:pPr>
              <w:pStyle w:val="557"/>
            </w:pPr>
          </w:p>
        </w:tc>
        <w:tc>
          <w:tcPr>
            <w:tcW w:w="634" w:type="pct"/>
            <w:vMerge w:val="continue"/>
            <w:vAlign w:val="center"/>
          </w:tcPr>
          <w:p w14:paraId="1DFEB9CC">
            <w:pPr>
              <w:pStyle w:val="557"/>
            </w:pPr>
          </w:p>
        </w:tc>
        <w:tc>
          <w:tcPr>
            <w:tcW w:w="587" w:type="pct"/>
            <w:vAlign w:val="center"/>
          </w:tcPr>
          <w:p w14:paraId="502A98EE">
            <w:pPr>
              <w:pStyle w:val="557"/>
            </w:pPr>
            <w:r>
              <w:rPr>
                <w:rFonts w:hint="eastAsia"/>
              </w:rPr>
              <w:t>SS</w:t>
            </w:r>
          </w:p>
        </w:tc>
        <w:tc>
          <w:tcPr>
            <w:tcW w:w="611" w:type="pct"/>
            <w:vMerge w:val="continue"/>
            <w:vAlign w:val="center"/>
          </w:tcPr>
          <w:p w14:paraId="0D39C9CA">
            <w:pPr>
              <w:pStyle w:val="557"/>
            </w:pPr>
          </w:p>
        </w:tc>
        <w:tc>
          <w:tcPr>
            <w:tcW w:w="583" w:type="pct"/>
            <w:vMerge w:val="continue"/>
            <w:vAlign w:val="center"/>
          </w:tcPr>
          <w:p w14:paraId="7CFF105D">
            <w:pPr>
              <w:pStyle w:val="557"/>
            </w:pPr>
          </w:p>
        </w:tc>
        <w:tc>
          <w:tcPr>
            <w:tcW w:w="583" w:type="pct"/>
            <w:vAlign w:val="center"/>
          </w:tcPr>
          <w:p w14:paraId="6023B2A6">
            <w:pPr>
              <w:pStyle w:val="557"/>
            </w:pPr>
            <w:r>
              <w:rPr>
                <w:rFonts w:hint="eastAsia"/>
              </w:rPr>
              <w:t>25</w:t>
            </w:r>
          </w:p>
        </w:tc>
        <w:tc>
          <w:tcPr>
            <w:tcW w:w="585" w:type="pct"/>
            <w:vAlign w:val="center"/>
          </w:tcPr>
          <w:p w14:paraId="548975AD">
            <w:pPr>
              <w:pStyle w:val="557"/>
            </w:pPr>
            <w:r>
              <w:rPr>
                <w:rFonts w:hint="eastAsia"/>
              </w:rPr>
              <w:t>0.125</w:t>
            </w:r>
          </w:p>
        </w:tc>
        <w:tc>
          <w:tcPr>
            <w:tcW w:w="515" w:type="pct"/>
            <w:vMerge w:val="continue"/>
            <w:vAlign w:val="center"/>
          </w:tcPr>
          <w:p w14:paraId="387452DA">
            <w:pPr>
              <w:pStyle w:val="557"/>
            </w:pPr>
          </w:p>
        </w:tc>
        <w:tc>
          <w:tcPr>
            <w:tcW w:w="508" w:type="pct"/>
            <w:vMerge w:val="continue"/>
            <w:vAlign w:val="center"/>
          </w:tcPr>
          <w:p w14:paraId="619B4957">
            <w:pPr>
              <w:pStyle w:val="557"/>
            </w:pPr>
          </w:p>
        </w:tc>
      </w:tr>
      <w:tr w14:paraId="539B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restart"/>
            <w:vAlign w:val="center"/>
          </w:tcPr>
          <w:p w14:paraId="09EED041">
            <w:pPr>
              <w:pStyle w:val="557"/>
            </w:pPr>
            <w:r>
              <w:t>W</w:t>
            </w:r>
            <w:r>
              <w:rPr>
                <w:vertAlign w:val="subscript"/>
              </w:rPr>
              <w:t>5-</w:t>
            </w:r>
            <w:r>
              <w:rPr>
                <w:rFonts w:hint="eastAsia"/>
                <w:vertAlign w:val="subscript"/>
              </w:rPr>
              <w:t>3</w:t>
            </w:r>
          </w:p>
        </w:tc>
        <w:tc>
          <w:tcPr>
            <w:tcW w:w="634" w:type="pct"/>
            <w:vMerge w:val="restart"/>
            <w:vAlign w:val="center"/>
          </w:tcPr>
          <w:p w14:paraId="29B7FF5E">
            <w:pPr>
              <w:pStyle w:val="557"/>
            </w:pPr>
            <w:r>
              <w:t>地面冲洗水</w:t>
            </w:r>
          </w:p>
        </w:tc>
        <w:tc>
          <w:tcPr>
            <w:tcW w:w="587" w:type="pct"/>
            <w:vAlign w:val="center"/>
          </w:tcPr>
          <w:p w14:paraId="12CC8401">
            <w:pPr>
              <w:pStyle w:val="557"/>
            </w:pPr>
            <w:r>
              <w:t>COD</w:t>
            </w:r>
          </w:p>
        </w:tc>
        <w:tc>
          <w:tcPr>
            <w:tcW w:w="611" w:type="pct"/>
            <w:vMerge w:val="restart"/>
            <w:vAlign w:val="center"/>
          </w:tcPr>
          <w:p w14:paraId="4AF0DF72">
            <w:pPr>
              <w:pStyle w:val="557"/>
            </w:pPr>
            <w:r>
              <w:rPr>
                <w:rFonts w:hint="eastAsia"/>
              </w:rPr>
              <w:t>物料衡算</w:t>
            </w:r>
          </w:p>
        </w:tc>
        <w:tc>
          <w:tcPr>
            <w:tcW w:w="583" w:type="pct"/>
            <w:vMerge w:val="restart"/>
            <w:vAlign w:val="center"/>
          </w:tcPr>
          <w:p w14:paraId="15B90463">
            <w:pPr>
              <w:pStyle w:val="557"/>
            </w:pPr>
            <w:r>
              <w:rPr>
                <w:rFonts w:hint="eastAsia"/>
              </w:rPr>
              <w:t>1000</w:t>
            </w:r>
          </w:p>
        </w:tc>
        <w:tc>
          <w:tcPr>
            <w:tcW w:w="583" w:type="pct"/>
            <w:vAlign w:val="center"/>
          </w:tcPr>
          <w:p w14:paraId="75EA19FC">
            <w:pPr>
              <w:pStyle w:val="557"/>
            </w:pPr>
            <w:r>
              <w:t>100</w:t>
            </w:r>
          </w:p>
        </w:tc>
        <w:tc>
          <w:tcPr>
            <w:tcW w:w="585" w:type="pct"/>
            <w:vAlign w:val="center"/>
          </w:tcPr>
          <w:p w14:paraId="30F3D873">
            <w:pPr>
              <w:pStyle w:val="557"/>
            </w:pPr>
            <w:r>
              <w:rPr>
                <w:rFonts w:hint="eastAsia"/>
              </w:rPr>
              <w:t>0.1</w:t>
            </w:r>
          </w:p>
        </w:tc>
        <w:tc>
          <w:tcPr>
            <w:tcW w:w="515" w:type="pct"/>
            <w:vMerge w:val="restart"/>
            <w:vAlign w:val="center"/>
          </w:tcPr>
          <w:p w14:paraId="15C39004">
            <w:pPr>
              <w:pStyle w:val="557"/>
            </w:pPr>
            <w:r>
              <w:t>厂内污水处理站</w:t>
            </w:r>
          </w:p>
        </w:tc>
        <w:tc>
          <w:tcPr>
            <w:tcW w:w="508" w:type="pct"/>
            <w:vMerge w:val="restart"/>
            <w:vAlign w:val="center"/>
          </w:tcPr>
          <w:p w14:paraId="0A78B3EF">
            <w:pPr>
              <w:pStyle w:val="557"/>
            </w:pPr>
            <w:r>
              <w:t>间歇</w:t>
            </w:r>
          </w:p>
        </w:tc>
      </w:tr>
      <w:tr w14:paraId="3F3D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1466762D">
            <w:pPr>
              <w:pStyle w:val="557"/>
            </w:pPr>
          </w:p>
        </w:tc>
        <w:tc>
          <w:tcPr>
            <w:tcW w:w="634" w:type="pct"/>
            <w:vMerge w:val="continue"/>
            <w:vAlign w:val="center"/>
          </w:tcPr>
          <w:p w14:paraId="39D06A80">
            <w:pPr>
              <w:pStyle w:val="557"/>
            </w:pPr>
          </w:p>
        </w:tc>
        <w:tc>
          <w:tcPr>
            <w:tcW w:w="587" w:type="pct"/>
            <w:vAlign w:val="center"/>
          </w:tcPr>
          <w:p w14:paraId="0B92754A">
            <w:pPr>
              <w:pStyle w:val="557"/>
            </w:pPr>
            <w:r>
              <w:t>SS</w:t>
            </w:r>
          </w:p>
        </w:tc>
        <w:tc>
          <w:tcPr>
            <w:tcW w:w="611" w:type="pct"/>
            <w:vMerge w:val="continue"/>
            <w:vAlign w:val="center"/>
          </w:tcPr>
          <w:p w14:paraId="0CAA419F">
            <w:pPr>
              <w:pStyle w:val="557"/>
            </w:pPr>
          </w:p>
        </w:tc>
        <w:tc>
          <w:tcPr>
            <w:tcW w:w="583" w:type="pct"/>
            <w:vMerge w:val="continue"/>
            <w:vAlign w:val="center"/>
          </w:tcPr>
          <w:p w14:paraId="7AA42AE7">
            <w:pPr>
              <w:pStyle w:val="557"/>
            </w:pPr>
          </w:p>
        </w:tc>
        <w:tc>
          <w:tcPr>
            <w:tcW w:w="583" w:type="pct"/>
            <w:vAlign w:val="center"/>
          </w:tcPr>
          <w:p w14:paraId="070EDE53">
            <w:pPr>
              <w:pStyle w:val="557"/>
            </w:pPr>
            <w:r>
              <w:t>200</w:t>
            </w:r>
          </w:p>
        </w:tc>
        <w:tc>
          <w:tcPr>
            <w:tcW w:w="585" w:type="pct"/>
            <w:vAlign w:val="center"/>
          </w:tcPr>
          <w:p w14:paraId="6073DA1C">
            <w:pPr>
              <w:pStyle w:val="557"/>
            </w:pPr>
            <w:r>
              <w:rPr>
                <w:rFonts w:hint="eastAsia"/>
              </w:rPr>
              <w:t>0.2</w:t>
            </w:r>
          </w:p>
        </w:tc>
        <w:tc>
          <w:tcPr>
            <w:tcW w:w="515" w:type="pct"/>
            <w:vMerge w:val="continue"/>
            <w:vAlign w:val="center"/>
          </w:tcPr>
          <w:p w14:paraId="57835AB5">
            <w:pPr>
              <w:pStyle w:val="557"/>
            </w:pPr>
          </w:p>
        </w:tc>
        <w:tc>
          <w:tcPr>
            <w:tcW w:w="508" w:type="pct"/>
            <w:vMerge w:val="continue"/>
            <w:vAlign w:val="center"/>
          </w:tcPr>
          <w:p w14:paraId="653BB93A">
            <w:pPr>
              <w:pStyle w:val="557"/>
            </w:pPr>
          </w:p>
        </w:tc>
      </w:tr>
      <w:tr w14:paraId="3952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1" w:type="pct"/>
            <w:vMerge w:val="continue"/>
            <w:vAlign w:val="center"/>
          </w:tcPr>
          <w:p w14:paraId="43D4C752">
            <w:pPr>
              <w:pStyle w:val="557"/>
            </w:pPr>
          </w:p>
        </w:tc>
        <w:tc>
          <w:tcPr>
            <w:tcW w:w="634" w:type="pct"/>
            <w:vMerge w:val="continue"/>
            <w:vAlign w:val="center"/>
          </w:tcPr>
          <w:p w14:paraId="54EF5A79">
            <w:pPr>
              <w:pStyle w:val="557"/>
            </w:pPr>
          </w:p>
        </w:tc>
        <w:tc>
          <w:tcPr>
            <w:tcW w:w="587" w:type="pct"/>
            <w:vAlign w:val="center"/>
          </w:tcPr>
          <w:p w14:paraId="7D6EAAF2">
            <w:pPr>
              <w:pStyle w:val="557"/>
            </w:pPr>
            <w:r>
              <w:t>氨氮</w:t>
            </w:r>
          </w:p>
        </w:tc>
        <w:tc>
          <w:tcPr>
            <w:tcW w:w="611" w:type="pct"/>
            <w:vMerge w:val="continue"/>
            <w:vAlign w:val="center"/>
          </w:tcPr>
          <w:p w14:paraId="19A101B3">
            <w:pPr>
              <w:pStyle w:val="557"/>
            </w:pPr>
          </w:p>
        </w:tc>
        <w:tc>
          <w:tcPr>
            <w:tcW w:w="583" w:type="pct"/>
            <w:vMerge w:val="continue"/>
            <w:vAlign w:val="center"/>
          </w:tcPr>
          <w:p w14:paraId="50CAE633">
            <w:pPr>
              <w:pStyle w:val="557"/>
            </w:pPr>
          </w:p>
        </w:tc>
        <w:tc>
          <w:tcPr>
            <w:tcW w:w="583" w:type="pct"/>
            <w:vAlign w:val="center"/>
          </w:tcPr>
          <w:p w14:paraId="12EE18E2">
            <w:pPr>
              <w:pStyle w:val="557"/>
            </w:pPr>
            <w:r>
              <w:t>30</w:t>
            </w:r>
          </w:p>
        </w:tc>
        <w:tc>
          <w:tcPr>
            <w:tcW w:w="585" w:type="pct"/>
            <w:vAlign w:val="center"/>
          </w:tcPr>
          <w:p w14:paraId="533D4E39">
            <w:pPr>
              <w:pStyle w:val="557"/>
            </w:pPr>
            <w:r>
              <w:rPr>
                <w:rFonts w:hint="eastAsia"/>
              </w:rPr>
              <w:t>0.03</w:t>
            </w:r>
          </w:p>
        </w:tc>
        <w:tc>
          <w:tcPr>
            <w:tcW w:w="515" w:type="pct"/>
            <w:vMerge w:val="continue"/>
            <w:vAlign w:val="center"/>
          </w:tcPr>
          <w:p w14:paraId="71EEBC6B">
            <w:pPr>
              <w:pStyle w:val="557"/>
            </w:pPr>
          </w:p>
        </w:tc>
        <w:tc>
          <w:tcPr>
            <w:tcW w:w="508" w:type="pct"/>
            <w:vMerge w:val="continue"/>
            <w:vAlign w:val="center"/>
          </w:tcPr>
          <w:p w14:paraId="6EBF3B4C">
            <w:pPr>
              <w:pStyle w:val="557"/>
            </w:pPr>
          </w:p>
        </w:tc>
      </w:tr>
    </w:tbl>
    <w:p w14:paraId="356EF55A">
      <w:pPr>
        <w:pStyle w:val="814"/>
        <w:rPr>
          <w:rFonts w:hint="eastAsia"/>
        </w:rPr>
      </w:pPr>
      <w:r>
        <w:rPr>
          <w:rFonts w:hint="eastAsia"/>
        </w:rPr>
        <w:t>噪声</w:t>
      </w:r>
    </w:p>
    <w:p w14:paraId="7CC740FA">
      <w:pPr>
        <w:pStyle w:val="281"/>
        <w:ind w:firstLine="480"/>
      </w:pPr>
      <w:r>
        <w:rPr>
          <w:rFonts w:hint="eastAsia"/>
        </w:rPr>
        <w:t>有机缓释肥装置</w:t>
      </w:r>
      <w:r>
        <w:t>噪声源主要来自</w:t>
      </w:r>
      <w:r>
        <w:rPr>
          <w:rFonts w:hint="eastAsia"/>
        </w:rPr>
        <w:t>风机、机泵等，</w:t>
      </w:r>
      <w:r>
        <w:rPr>
          <w:rFonts w:hint="eastAsia"/>
          <w:u w:color="000000"/>
        </w:rPr>
        <w:t>各设备噪声源强参照《污染源源强核算技术指南 化肥工业》（HJ994-2018）附表B。</w:t>
      </w:r>
      <w:r>
        <w:rPr>
          <w:rFonts w:hint="eastAsia"/>
        </w:rPr>
        <w:t>草酰胺装置</w:t>
      </w:r>
      <w:r>
        <w:t>各类</w:t>
      </w:r>
      <w:r>
        <w:rPr>
          <w:rFonts w:hint="eastAsia"/>
        </w:rPr>
        <w:t>噪声源噪声产生及治理情况见表3.2.8-12</w:t>
      </w:r>
      <w:r>
        <w:t>。</w:t>
      </w:r>
    </w:p>
    <w:p w14:paraId="0314BB5F">
      <w:pPr>
        <w:pStyle w:val="540"/>
        <w:rPr>
          <w:rFonts w:hint="eastAsia"/>
          <w:color w:val="auto"/>
        </w:rPr>
      </w:pPr>
      <w:r>
        <w:rPr>
          <w:rFonts w:hint="eastAsia"/>
          <w:color w:val="auto"/>
        </w:rPr>
        <w:t>表3.2.8-12</w:t>
      </w:r>
      <w:r>
        <w:rPr>
          <w:color w:val="auto"/>
        </w:rPr>
        <w:t xml:space="preserve">    </w:t>
      </w:r>
      <w:r>
        <w:rPr>
          <w:rFonts w:hint="eastAsia"/>
        </w:rPr>
        <w:t>草酰胺装置</w:t>
      </w:r>
      <w:r>
        <w:rPr>
          <w:rFonts w:hint="eastAsia"/>
          <w:color w:val="auto"/>
        </w:rPr>
        <w:t>噪声产生及治理情况表</w:t>
      </w:r>
    </w:p>
    <w:tbl>
      <w:tblPr>
        <w:tblStyle w:val="6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1114"/>
        <w:gridCol w:w="580"/>
        <w:gridCol w:w="693"/>
        <w:gridCol w:w="711"/>
        <w:gridCol w:w="709"/>
        <w:gridCol w:w="1701"/>
        <w:gridCol w:w="425"/>
        <w:gridCol w:w="709"/>
        <w:gridCol w:w="709"/>
        <w:gridCol w:w="608"/>
      </w:tblGrid>
      <w:tr w14:paraId="45B4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restart"/>
            <w:tcBorders>
              <w:top w:val="single" w:color="auto" w:sz="4" w:space="0"/>
              <w:left w:val="single" w:color="auto" w:sz="4" w:space="0"/>
              <w:right w:val="single" w:color="auto" w:sz="4" w:space="0"/>
            </w:tcBorders>
            <w:vAlign w:val="center"/>
          </w:tcPr>
          <w:p w14:paraId="4D64EB6D">
            <w:pPr>
              <w:jc w:val="center"/>
              <w:rPr>
                <w:rFonts w:ascii="Times New Roman" w:hAnsi="Times New Roman" w:cs="Times New Roman"/>
                <w:sz w:val="18"/>
                <w:szCs w:val="18"/>
              </w:rPr>
            </w:pPr>
            <w:r>
              <w:rPr>
                <w:rFonts w:ascii="Times New Roman" w:hAnsi="Times New Roman" w:cs="Times New Roman"/>
                <w:sz w:val="18"/>
                <w:szCs w:val="18"/>
              </w:rPr>
              <w:t>编号</w:t>
            </w:r>
          </w:p>
        </w:tc>
        <w:tc>
          <w:tcPr>
            <w:tcW w:w="1114" w:type="dxa"/>
            <w:vMerge w:val="restart"/>
            <w:tcBorders>
              <w:top w:val="single" w:color="auto" w:sz="4" w:space="0"/>
              <w:left w:val="single" w:color="auto" w:sz="4" w:space="0"/>
              <w:right w:val="single" w:color="auto" w:sz="4" w:space="0"/>
            </w:tcBorders>
            <w:vAlign w:val="center"/>
          </w:tcPr>
          <w:p w14:paraId="33A88C1E">
            <w:pPr>
              <w:jc w:val="center"/>
              <w:rPr>
                <w:rFonts w:ascii="Times New Roman" w:hAnsi="Times New Roman" w:cs="Times New Roman"/>
                <w:sz w:val="18"/>
                <w:szCs w:val="18"/>
              </w:rPr>
            </w:pPr>
            <w:r>
              <w:rPr>
                <w:rFonts w:ascii="Times New Roman" w:hAnsi="Times New Roman" w:cs="Times New Roman"/>
                <w:sz w:val="18"/>
                <w:szCs w:val="18"/>
              </w:rPr>
              <w:t>噪声源</w:t>
            </w:r>
          </w:p>
        </w:tc>
        <w:tc>
          <w:tcPr>
            <w:tcW w:w="580" w:type="dxa"/>
            <w:vMerge w:val="restart"/>
            <w:tcBorders>
              <w:top w:val="single" w:color="auto" w:sz="4" w:space="0"/>
              <w:left w:val="single" w:color="auto" w:sz="4" w:space="0"/>
              <w:right w:val="single" w:color="auto" w:sz="4" w:space="0"/>
            </w:tcBorders>
            <w:vAlign w:val="center"/>
          </w:tcPr>
          <w:p w14:paraId="64142B5F">
            <w:pPr>
              <w:jc w:val="center"/>
              <w:rPr>
                <w:rFonts w:ascii="Times New Roman" w:hAnsi="Times New Roman" w:cs="Times New Roman"/>
                <w:sz w:val="18"/>
                <w:szCs w:val="18"/>
              </w:rPr>
            </w:pPr>
            <w:r>
              <w:rPr>
                <w:rFonts w:ascii="Times New Roman" w:hAnsi="Times New Roman" w:cs="Times New Roman"/>
                <w:sz w:val="18"/>
                <w:szCs w:val="18"/>
              </w:rPr>
              <w:t>设备数量</w:t>
            </w:r>
          </w:p>
        </w:tc>
        <w:tc>
          <w:tcPr>
            <w:tcW w:w="693" w:type="dxa"/>
            <w:vMerge w:val="restart"/>
            <w:tcBorders>
              <w:top w:val="single" w:color="auto" w:sz="4" w:space="0"/>
              <w:left w:val="single" w:color="auto" w:sz="4" w:space="0"/>
              <w:right w:val="single" w:color="auto" w:sz="4" w:space="0"/>
            </w:tcBorders>
            <w:vAlign w:val="center"/>
          </w:tcPr>
          <w:p w14:paraId="74D0B87F">
            <w:pPr>
              <w:jc w:val="center"/>
              <w:rPr>
                <w:rFonts w:ascii="Times New Roman" w:hAnsi="Times New Roman" w:cs="Times New Roman"/>
                <w:sz w:val="18"/>
                <w:szCs w:val="18"/>
              </w:rPr>
            </w:pPr>
            <w:r>
              <w:rPr>
                <w:rFonts w:ascii="Times New Roman" w:hAnsi="Times New Roman" w:cs="Times New Roman"/>
                <w:sz w:val="18"/>
                <w:szCs w:val="18"/>
              </w:rPr>
              <w:t>声源类型</w:t>
            </w:r>
          </w:p>
        </w:tc>
        <w:tc>
          <w:tcPr>
            <w:tcW w:w="1420" w:type="dxa"/>
            <w:gridSpan w:val="2"/>
            <w:tcBorders>
              <w:top w:val="single" w:color="auto" w:sz="4" w:space="0"/>
              <w:left w:val="single" w:color="auto" w:sz="4" w:space="0"/>
              <w:bottom w:val="single" w:color="auto" w:sz="4" w:space="0"/>
              <w:right w:val="single" w:color="auto" w:sz="4" w:space="0"/>
            </w:tcBorders>
            <w:vAlign w:val="center"/>
          </w:tcPr>
          <w:p w14:paraId="0642C9F0">
            <w:pPr>
              <w:jc w:val="center"/>
              <w:rPr>
                <w:rFonts w:ascii="Times New Roman" w:hAnsi="Times New Roman" w:cs="Times New Roman"/>
                <w:sz w:val="18"/>
                <w:szCs w:val="18"/>
              </w:rPr>
            </w:pPr>
            <w:r>
              <w:rPr>
                <w:rFonts w:ascii="Times New Roman" w:hAnsi="Times New Roman" w:cs="Times New Roman"/>
                <w:sz w:val="18"/>
                <w:szCs w:val="18"/>
              </w:rPr>
              <w:t>噪声产生量</w:t>
            </w:r>
          </w:p>
        </w:tc>
        <w:tc>
          <w:tcPr>
            <w:tcW w:w="2126" w:type="dxa"/>
            <w:gridSpan w:val="2"/>
            <w:tcBorders>
              <w:top w:val="single" w:color="auto" w:sz="4" w:space="0"/>
              <w:left w:val="single" w:color="auto" w:sz="4" w:space="0"/>
              <w:right w:val="single" w:color="auto" w:sz="4" w:space="0"/>
            </w:tcBorders>
            <w:vAlign w:val="center"/>
          </w:tcPr>
          <w:p w14:paraId="4B49C1F2">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418" w:type="dxa"/>
            <w:gridSpan w:val="2"/>
            <w:tcBorders>
              <w:top w:val="single" w:color="auto" w:sz="4" w:space="0"/>
              <w:left w:val="single" w:color="auto" w:sz="4" w:space="0"/>
              <w:right w:val="single" w:color="auto" w:sz="4" w:space="0"/>
            </w:tcBorders>
            <w:vAlign w:val="center"/>
          </w:tcPr>
          <w:p w14:paraId="67A23EDF">
            <w:pPr>
              <w:jc w:val="center"/>
              <w:rPr>
                <w:rFonts w:ascii="Times New Roman" w:hAnsi="Times New Roman" w:cs="Times New Roman"/>
                <w:sz w:val="18"/>
                <w:szCs w:val="18"/>
              </w:rPr>
            </w:pPr>
            <w:r>
              <w:rPr>
                <w:rFonts w:ascii="Times New Roman" w:hAnsi="Times New Roman" w:cs="Times New Roman"/>
                <w:sz w:val="18"/>
                <w:szCs w:val="18"/>
              </w:rPr>
              <w:t>噪声排放量</w:t>
            </w:r>
          </w:p>
        </w:tc>
        <w:tc>
          <w:tcPr>
            <w:tcW w:w="608" w:type="dxa"/>
            <w:vMerge w:val="restart"/>
            <w:tcBorders>
              <w:top w:val="single" w:color="auto" w:sz="4" w:space="0"/>
              <w:left w:val="single" w:color="auto" w:sz="4" w:space="0"/>
              <w:right w:val="single" w:color="auto" w:sz="4" w:space="0"/>
            </w:tcBorders>
            <w:vAlign w:val="center"/>
          </w:tcPr>
          <w:p w14:paraId="5652E8AC">
            <w:pPr>
              <w:jc w:val="center"/>
              <w:rPr>
                <w:rFonts w:ascii="Times New Roman" w:hAnsi="Times New Roman" w:cs="Times New Roman"/>
                <w:sz w:val="18"/>
                <w:szCs w:val="18"/>
              </w:rPr>
            </w:pPr>
            <w:r>
              <w:rPr>
                <w:rFonts w:ascii="Times New Roman" w:hAnsi="Times New Roman" w:cs="Times New Roman"/>
                <w:sz w:val="18"/>
                <w:szCs w:val="18"/>
              </w:rPr>
              <w:t>持续时间（h）</w:t>
            </w:r>
          </w:p>
        </w:tc>
      </w:tr>
      <w:tr w14:paraId="4CF8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vMerge w:val="continue"/>
            <w:tcBorders>
              <w:left w:val="single" w:color="auto" w:sz="4" w:space="0"/>
              <w:bottom w:val="single" w:color="auto" w:sz="4" w:space="0"/>
              <w:right w:val="single" w:color="auto" w:sz="4" w:space="0"/>
            </w:tcBorders>
            <w:vAlign w:val="center"/>
          </w:tcPr>
          <w:p w14:paraId="48B76486">
            <w:pPr>
              <w:jc w:val="center"/>
              <w:rPr>
                <w:rFonts w:ascii="Times New Roman" w:hAnsi="Times New Roman" w:cs="Times New Roman"/>
                <w:sz w:val="18"/>
                <w:szCs w:val="18"/>
              </w:rPr>
            </w:pPr>
          </w:p>
        </w:tc>
        <w:tc>
          <w:tcPr>
            <w:tcW w:w="1114" w:type="dxa"/>
            <w:vMerge w:val="continue"/>
            <w:tcBorders>
              <w:left w:val="single" w:color="auto" w:sz="4" w:space="0"/>
              <w:bottom w:val="single" w:color="auto" w:sz="4" w:space="0"/>
              <w:right w:val="single" w:color="auto" w:sz="4" w:space="0"/>
            </w:tcBorders>
            <w:vAlign w:val="center"/>
          </w:tcPr>
          <w:p w14:paraId="3E98328F">
            <w:pPr>
              <w:jc w:val="center"/>
              <w:rPr>
                <w:rFonts w:ascii="Times New Roman" w:hAnsi="Times New Roman" w:cs="Times New Roman"/>
                <w:sz w:val="18"/>
                <w:szCs w:val="18"/>
              </w:rPr>
            </w:pPr>
          </w:p>
        </w:tc>
        <w:tc>
          <w:tcPr>
            <w:tcW w:w="580" w:type="dxa"/>
            <w:vMerge w:val="continue"/>
            <w:tcBorders>
              <w:left w:val="single" w:color="auto" w:sz="4" w:space="0"/>
              <w:bottom w:val="single" w:color="auto" w:sz="4" w:space="0"/>
              <w:right w:val="single" w:color="auto" w:sz="4" w:space="0"/>
            </w:tcBorders>
            <w:vAlign w:val="center"/>
          </w:tcPr>
          <w:p w14:paraId="6FD87588">
            <w:pPr>
              <w:jc w:val="center"/>
              <w:rPr>
                <w:rFonts w:ascii="Times New Roman" w:hAnsi="Times New Roman" w:cs="Times New Roman"/>
                <w:sz w:val="18"/>
                <w:szCs w:val="18"/>
              </w:rPr>
            </w:pPr>
          </w:p>
        </w:tc>
        <w:tc>
          <w:tcPr>
            <w:tcW w:w="693" w:type="dxa"/>
            <w:vMerge w:val="continue"/>
            <w:tcBorders>
              <w:left w:val="single" w:color="auto" w:sz="4" w:space="0"/>
              <w:bottom w:val="single" w:color="auto" w:sz="4" w:space="0"/>
              <w:right w:val="single" w:color="auto" w:sz="4" w:space="0"/>
            </w:tcBorders>
            <w:vAlign w:val="center"/>
          </w:tcPr>
          <w:p w14:paraId="5E21DD96">
            <w:pPr>
              <w:jc w:val="center"/>
              <w:rPr>
                <w:rFonts w:ascii="Times New Roman" w:hAnsi="Times New Roman" w:cs="Times New Roman"/>
                <w:sz w:val="18"/>
                <w:szCs w:val="18"/>
              </w:rPr>
            </w:pPr>
          </w:p>
        </w:tc>
        <w:tc>
          <w:tcPr>
            <w:tcW w:w="711" w:type="dxa"/>
            <w:tcBorders>
              <w:top w:val="single" w:color="auto" w:sz="4" w:space="0"/>
              <w:left w:val="single" w:color="auto" w:sz="4" w:space="0"/>
              <w:bottom w:val="single" w:color="auto" w:sz="4" w:space="0"/>
              <w:right w:val="single" w:color="auto" w:sz="4" w:space="0"/>
            </w:tcBorders>
            <w:vAlign w:val="center"/>
          </w:tcPr>
          <w:p w14:paraId="543EB502">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top w:val="single" w:color="auto" w:sz="4" w:space="0"/>
              <w:left w:val="single" w:color="auto" w:sz="4" w:space="0"/>
              <w:bottom w:val="single" w:color="auto" w:sz="4" w:space="0"/>
              <w:right w:val="single" w:color="auto" w:sz="4" w:space="0"/>
            </w:tcBorders>
            <w:vAlign w:val="center"/>
          </w:tcPr>
          <w:p w14:paraId="04B2EEB0">
            <w:pPr>
              <w:jc w:val="center"/>
              <w:rPr>
                <w:rFonts w:ascii="Times New Roman" w:hAnsi="Times New Roman" w:cs="Times New Roman"/>
                <w:sz w:val="18"/>
                <w:szCs w:val="18"/>
              </w:rPr>
            </w:pPr>
            <w:r>
              <w:rPr>
                <w:rFonts w:ascii="Times New Roman" w:hAnsi="Times New Roman" w:cs="Times New Roman"/>
                <w:sz w:val="18"/>
                <w:szCs w:val="18"/>
              </w:rPr>
              <w:t>声源表</w:t>
            </w:r>
          </w:p>
          <w:p w14:paraId="5F7B8B0F">
            <w:pPr>
              <w:jc w:val="center"/>
              <w:rPr>
                <w:rFonts w:ascii="Times New Roman" w:hAnsi="Times New Roman" w:cs="Times New Roman"/>
                <w:sz w:val="18"/>
                <w:szCs w:val="18"/>
              </w:rPr>
            </w:pPr>
            <w:r>
              <w:rPr>
                <w:rFonts w:ascii="Times New Roman" w:hAnsi="Times New Roman" w:cs="Times New Roman"/>
                <w:sz w:val="18"/>
                <w:szCs w:val="18"/>
              </w:rPr>
              <w:t>达量</w:t>
            </w:r>
          </w:p>
          <w:p w14:paraId="2192B656">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1701" w:type="dxa"/>
            <w:tcBorders>
              <w:left w:val="single" w:color="auto" w:sz="4" w:space="0"/>
              <w:bottom w:val="single" w:color="auto" w:sz="4" w:space="0"/>
              <w:right w:val="single" w:color="auto" w:sz="4" w:space="0"/>
            </w:tcBorders>
            <w:vAlign w:val="center"/>
          </w:tcPr>
          <w:p w14:paraId="1469CCB3">
            <w:pPr>
              <w:jc w:val="center"/>
              <w:rPr>
                <w:rFonts w:ascii="Times New Roman" w:hAnsi="Times New Roman" w:cs="Times New Roman"/>
                <w:sz w:val="18"/>
                <w:szCs w:val="18"/>
              </w:rPr>
            </w:pPr>
            <w:r>
              <w:rPr>
                <w:rFonts w:ascii="Times New Roman" w:hAnsi="Times New Roman" w:cs="Times New Roman"/>
                <w:sz w:val="18"/>
                <w:szCs w:val="18"/>
              </w:rPr>
              <w:t>工艺</w:t>
            </w:r>
          </w:p>
        </w:tc>
        <w:tc>
          <w:tcPr>
            <w:tcW w:w="425" w:type="dxa"/>
            <w:tcBorders>
              <w:left w:val="single" w:color="auto" w:sz="4" w:space="0"/>
              <w:bottom w:val="single" w:color="auto" w:sz="4" w:space="0"/>
              <w:right w:val="single" w:color="auto" w:sz="4" w:space="0"/>
            </w:tcBorders>
            <w:vAlign w:val="center"/>
          </w:tcPr>
          <w:p w14:paraId="39DE9F22">
            <w:pPr>
              <w:jc w:val="center"/>
              <w:rPr>
                <w:rFonts w:ascii="Times New Roman" w:hAnsi="Times New Roman" w:cs="Times New Roman"/>
                <w:sz w:val="18"/>
                <w:szCs w:val="18"/>
              </w:rPr>
            </w:pPr>
            <w:r>
              <w:rPr>
                <w:rFonts w:ascii="Times New Roman" w:hAnsi="Times New Roman" w:cs="Times New Roman"/>
                <w:sz w:val="18"/>
                <w:szCs w:val="18"/>
              </w:rPr>
              <w:t>降噪效果</w:t>
            </w:r>
          </w:p>
        </w:tc>
        <w:tc>
          <w:tcPr>
            <w:tcW w:w="709" w:type="dxa"/>
            <w:tcBorders>
              <w:left w:val="single" w:color="auto" w:sz="4" w:space="0"/>
              <w:bottom w:val="single" w:color="auto" w:sz="4" w:space="0"/>
              <w:right w:val="single" w:color="auto" w:sz="4" w:space="0"/>
            </w:tcBorders>
            <w:vAlign w:val="center"/>
          </w:tcPr>
          <w:p w14:paraId="2C8BA65B">
            <w:pPr>
              <w:jc w:val="center"/>
              <w:rPr>
                <w:rFonts w:ascii="Times New Roman" w:hAnsi="Times New Roman" w:cs="Times New Roman"/>
                <w:sz w:val="18"/>
                <w:szCs w:val="18"/>
              </w:rPr>
            </w:pPr>
            <w:r>
              <w:rPr>
                <w:rFonts w:ascii="Times New Roman" w:hAnsi="Times New Roman" w:cs="Times New Roman"/>
                <w:sz w:val="18"/>
                <w:szCs w:val="18"/>
              </w:rPr>
              <w:t>核算方法</w:t>
            </w:r>
          </w:p>
        </w:tc>
        <w:tc>
          <w:tcPr>
            <w:tcW w:w="709" w:type="dxa"/>
            <w:tcBorders>
              <w:left w:val="single" w:color="auto" w:sz="4" w:space="0"/>
              <w:bottom w:val="single" w:color="auto" w:sz="4" w:space="0"/>
              <w:right w:val="single" w:color="auto" w:sz="4" w:space="0"/>
            </w:tcBorders>
            <w:vAlign w:val="center"/>
          </w:tcPr>
          <w:p w14:paraId="0479C415">
            <w:pPr>
              <w:jc w:val="center"/>
              <w:rPr>
                <w:rFonts w:ascii="Times New Roman" w:hAnsi="Times New Roman" w:cs="Times New Roman"/>
                <w:sz w:val="18"/>
                <w:szCs w:val="18"/>
              </w:rPr>
            </w:pPr>
            <w:r>
              <w:rPr>
                <w:rFonts w:ascii="Times New Roman" w:hAnsi="Times New Roman" w:cs="Times New Roman"/>
                <w:sz w:val="18"/>
                <w:szCs w:val="18"/>
              </w:rPr>
              <w:t>声源表</w:t>
            </w:r>
          </w:p>
          <w:p w14:paraId="4E6416FF">
            <w:pPr>
              <w:jc w:val="center"/>
              <w:rPr>
                <w:rFonts w:ascii="Times New Roman" w:hAnsi="Times New Roman" w:cs="Times New Roman"/>
                <w:sz w:val="18"/>
                <w:szCs w:val="18"/>
              </w:rPr>
            </w:pPr>
            <w:r>
              <w:rPr>
                <w:rFonts w:ascii="Times New Roman" w:hAnsi="Times New Roman" w:cs="Times New Roman"/>
                <w:sz w:val="18"/>
                <w:szCs w:val="18"/>
              </w:rPr>
              <w:t>达量</w:t>
            </w:r>
          </w:p>
          <w:p w14:paraId="70D30568">
            <w:pPr>
              <w:jc w:val="center"/>
              <w:rPr>
                <w:rFonts w:ascii="Times New Roman" w:hAnsi="Times New Roman" w:cs="Times New Roman"/>
                <w:sz w:val="18"/>
                <w:szCs w:val="18"/>
              </w:rPr>
            </w:pPr>
            <w:r>
              <w:rPr>
                <w:rFonts w:ascii="Times New Roman" w:hAnsi="Times New Roman" w:cs="Times New Roman"/>
                <w:sz w:val="18"/>
                <w:szCs w:val="18"/>
              </w:rPr>
              <w:t>dB</w:t>
            </w:r>
            <w:r>
              <w:rPr>
                <w:rFonts w:hint="eastAsia" w:ascii="Times New Roman" w:hAnsi="Times New Roman" w:cs="Times New Roman"/>
                <w:sz w:val="18"/>
                <w:szCs w:val="18"/>
              </w:rPr>
              <w:t>（</w:t>
            </w:r>
            <w:r>
              <w:rPr>
                <w:rFonts w:ascii="Times New Roman" w:hAnsi="Times New Roman" w:cs="Times New Roman"/>
                <w:sz w:val="18"/>
                <w:szCs w:val="18"/>
              </w:rPr>
              <w:t>A</w:t>
            </w:r>
            <w:r>
              <w:rPr>
                <w:rFonts w:hint="eastAsia" w:ascii="Times New Roman" w:hAnsi="Times New Roman" w:cs="Times New Roman"/>
                <w:sz w:val="18"/>
                <w:szCs w:val="18"/>
              </w:rPr>
              <w:t>）</w:t>
            </w:r>
          </w:p>
        </w:tc>
        <w:tc>
          <w:tcPr>
            <w:tcW w:w="608" w:type="dxa"/>
            <w:vMerge w:val="continue"/>
            <w:tcBorders>
              <w:left w:val="single" w:color="auto" w:sz="4" w:space="0"/>
              <w:bottom w:val="single" w:color="auto" w:sz="4" w:space="0"/>
              <w:right w:val="single" w:color="auto" w:sz="4" w:space="0"/>
            </w:tcBorders>
            <w:vAlign w:val="center"/>
          </w:tcPr>
          <w:p w14:paraId="6A835FA3">
            <w:pPr>
              <w:jc w:val="center"/>
              <w:rPr>
                <w:rFonts w:ascii="Times New Roman" w:hAnsi="Times New Roman" w:cs="Times New Roman"/>
                <w:sz w:val="18"/>
                <w:szCs w:val="18"/>
              </w:rPr>
            </w:pPr>
          </w:p>
        </w:tc>
      </w:tr>
      <w:tr w14:paraId="7AB1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51ACB53">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w:t>
            </w:r>
            <w:r>
              <w:rPr>
                <w:rFonts w:ascii="Times New Roman" w:hAnsi="Times New Roman" w:cs="Times New Roman"/>
                <w:sz w:val="18"/>
                <w:szCs w:val="18"/>
                <w:vertAlign w:val="subscript"/>
              </w:rPr>
              <w:t>1</w:t>
            </w:r>
          </w:p>
        </w:tc>
        <w:tc>
          <w:tcPr>
            <w:tcW w:w="1114" w:type="dxa"/>
            <w:tcBorders>
              <w:top w:val="single" w:color="auto" w:sz="4" w:space="0"/>
              <w:left w:val="single" w:color="auto" w:sz="4" w:space="0"/>
              <w:bottom w:val="single" w:color="auto" w:sz="4" w:space="0"/>
              <w:right w:val="single" w:color="auto" w:sz="4" w:space="0"/>
            </w:tcBorders>
            <w:vAlign w:val="center"/>
          </w:tcPr>
          <w:p w14:paraId="6FF6D48A">
            <w:pPr>
              <w:jc w:val="center"/>
              <w:rPr>
                <w:rFonts w:ascii="Times New Roman" w:hAnsi="Times New Roman" w:cs="Times New Roman"/>
                <w:sz w:val="18"/>
                <w:szCs w:val="18"/>
              </w:rPr>
            </w:pPr>
            <w:r>
              <w:rPr>
                <w:rFonts w:ascii="Times New Roman" w:hAnsi="Times New Roman" w:cs="Times New Roman"/>
                <w:sz w:val="18"/>
                <w:szCs w:val="18"/>
              </w:rPr>
              <w:t>机泵</w:t>
            </w:r>
          </w:p>
        </w:tc>
        <w:tc>
          <w:tcPr>
            <w:tcW w:w="580" w:type="dxa"/>
            <w:tcBorders>
              <w:top w:val="single" w:color="auto" w:sz="4" w:space="0"/>
              <w:left w:val="single" w:color="auto" w:sz="4" w:space="0"/>
              <w:bottom w:val="single" w:color="auto" w:sz="4" w:space="0"/>
              <w:right w:val="single" w:color="auto" w:sz="4" w:space="0"/>
            </w:tcBorders>
            <w:vAlign w:val="center"/>
          </w:tcPr>
          <w:p w14:paraId="6B44A479">
            <w:pPr>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693" w:type="dxa"/>
            <w:tcBorders>
              <w:top w:val="single" w:color="auto" w:sz="4" w:space="0"/>
              <w:left w:val="single" w:color="auto" w:sz="4" w:space="0"/>
              <w:bottom w:val="single" w:color="auto" w:sz="4" w:space="0"/>
              <w:right w:val="single" w:color="auto" w:sz="4" w:space="0"/>
            </w:tcBorders>
            <w:vAlign w:val="center"/>
          </w:tcPr>
          <w:p w14:paraId="436696FD">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51BB4A71">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1923A56C">
            <w:pPr>
              <w:jc w:val="center"/>
              <w:rPr>
                <w:rFonts w:ascii="Times New Roman" w:hAnsi="Times New Roman" w:cs="Times New Roman"/>
                <w:sz w:val="18"/>
                <w:szCs w:val="18"/>
              </w:rPr>
            </w:pPr>
            <w:r>
              <w:rPr>
                <w:rFonts w:hint="eastAsia"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078DE7F2">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6A07DBDE">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4A8AD340">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4AD724E7">
            <w:pPr>
              <w:jc w:val="center"/>
              <w:rPr>
                <w:rFonts w:ascii="Times New Roman" w:hAnsi="Times New Roman" w:cs="Times New Roman"/>
                <w:sz w:val="18"/>
                <w:szCs w:val="18"/>
              </w:rPr>
            </w:pPr>
            <w:r>
              <w:rPr>
                <w:rFonts w:hint="eastAsia" w:ascii="Times New Roman" w:hAnsi="Times New Roman" w:cs="Times New Roman"/>
                <w:sz w:val="18"/>
                <w:szCs w:val="18"/>
              </w:rPr>
              <w:t>70</w:t>
            </w:r>
          </w:p>
        </w:tc>
        <w:tc>
          <w:tcPr>
            <w:tcW w:w="608" w:type="dxa"/>
            <w:tcBorders>
              <w:top w:val="single" w:color="auto" w:sz="4" w:space="0"/>
              <w:left w:val="single" w:color="auto" w:sz="4" w:space="0"/>
              <w:bottom w:val="single" w:color="auto" w:sz="4" w:space="0"/>
              <w:right w:val="single" w:color="auto" w:sz="4" w:space="0"/>
            </w:tcBorders>
            <w:vAlign w:val="center"/>
          </w:tcPr>
          <w:p w14:paraId="3AAF85EA">
            <w:pPr>
              <w:jc w:val="center"/>
              <w:rPr>
                <w:rFonts w:ascii="Times New Roman" w:hAnsi="Times New Roman" w:cs="Times New Roman"/>
                <w:sz w:val="18"/>
                <w:szCs w:val="18"/>
              </w:rPr>
            </w:pPr>
            <w:r>
              <w:rPr>
                <w:rFonts w:ascii="Times New Roman" w:hAnsi="Times New Roman" w:cs="Times New Roman"/>
                <w:sz w:val="18"/>
                <w:szCs w:val="18"/>
              </w:rPr>
              <w:t>8000</w:t>
            </w:r>
          </w:p>
        </w:tc>
      </w:tr>
      <w:tr w14:paraId="4328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A213EB8">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w:t>
            </w:r>
            <w:r>
              <w:rPr>
                <w:rFonts w:ascii="Times New Roman" w:hAnsi="Times New Roman" w:cs="Times New Roman"/>
                <w:sz w:val="18"/>
                <w:szCs w:val="18"/>
                <w:vertAlign w:val="subscript"/>
              </w:rPr>
              <w:t>2</w:t>
            </w:r>
          </w:p>
        </w:tc>
        <w:tc>
          <w:tcPr>
            <w:tcW w:w="1114" w:type="dxa"/>
            <w:tcBorders>
              <w:top w:val="single" w:color="auto" w:sz="4" w:space="0"/>
              <w:left w:val="single" w:color="auto" w:sz="4" w:space="0"/>
              <w:bottom w:val="single" w:color="auto" w:sz="4" w:space="0"/>
              <w:right w:val="single" w:color="auto" w:sz="4" w:space="0"/>
            </w:tcBorders>
            <w:vAlign w:val="center"/>
          </w:tcPr>
          <w:p w14:paraId="687016A5">
            <w:pPr>
              <w:jc w:val="center"/>
              <w:rPr>
                <w:rFonts w:ascii="Times New Roman" w:hAnsi="Times New Roman" w:cs="Times New Roman"/>
                <w:sz w:val="18"/>
                <w:szCs w:val="18"/>
              </w:rPr>
            </w:pPr>
            <w:r>
              <w:rPr>
                <w:rFonts w:ascii="Times New Roman" w:hAnsi="Times New Roman" w:cs="Times New Roman"/>
                <w:sz w:val="18"/>
                <w:szCs w:val="18"/>
              </w:rPr>
              <w:t>搅拌器</w:t>
            </w:r>
          </w:p>
        </w:tc>
        <w:tc>
          <w:tcPr>
            <w:tcW w:w="580" w:type="dxa"/>
            <w:tcBorders>
              <w:top w:val="single" w:color="auto" w:sz="4" w:space="0"/>
              <w:left w:val="single" w:color="auto" w:sz="4" w:space="0"/>
              <w:bottom w:val="single" w:color="auto" w:sz="4" w:space="0"/>
              <w:right w:val="single" w:color="auto" w:sz="4" w:space="0"/>
            </w:tcBorders>
            <w:vAlign w:val="center"/>
          </w:tcPr>
          <w:p w14:paraId="2F21B73F">
            <w:pPr>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693" w:type="dxa"/>
            <w:tcBorders>
              <w:top w:val="single" w:color="auto" w:sz="4" w:space="0"/>
              <w:left w:val="single" w:color="auto" w:sz="4" w:space="0"/>
              <w:bottom w:val="single" w:color="auto" w:sz="4" w:space="0"/>
              <w:right w:val="single" w:color="auto" w:sz="4" w:space="0"/>
            </w:tcBorders>
            <w:vAlign w:val="center"/>
          </w:tcPr>
          <w:p w14:paraId="3B7FB6AA">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2D8F7C3D">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right w:val="single" w:color="auto" w:sz="4" w:space="0"/>
            </w:tcBorders>
            <w:vAlign w:val="center"/>
          </w:tcPr>
          <w:p w14:paraId="749DF9E3">
            <w:pPr>
              <w:jc w:val="center"/>
              <w:rPr>
                <w:rFonts w:ascii="Times New Roman" w:hAnsi="Times New Roman" w:cs="Times New Roman"/>
                <w:sz w:val="18"/>
                <w:szCs w:val="18"/>
              </w:rPr>
            </w:pPr>
            <w:r>
              <w:rPr>
                <w:rFonts w:ascii="Times New Roman" w:hAnsi="Times New Roman" w:cs="Times New Roman"/>
                <w:sz w:val="18"/>
                <w:szCs w:val="18"/>
              </w:rPr>
              <w:t>70</w:t>
            </w:r>
          </w:p>
        </w:tc>
        <w:tc>
          <w:tcPr>
            <w:tcW w:w="1701" w:type="dxa"/>
            <w:tcBorders>
              <w:top w:val="single" w:color="auto" w:sz="4" w:space="0"/>
              <w:left w:val="single" w:color="auto" w:sz="4" w:space="0"/>
              <w:bottom w:val="single" w:color="auto" w:sz="4" w:space="0"/>
              <w:right w:val="single" w:color="auto" w:sz="4" w:space="0"/>
            </w:tcBorders>
            <w:vAlign w:val="center"/>
          </w:tcPr>
          <w:p w14:paraId="6B886F79">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top w:val="single" w:color="auto" w:sz="4" w:space="0"/>
              <w:left w:val="single" w:color="auto" w:sz="4" w:space="0"/>
              <w:right w:val="single" w:color="auto" w:sz="4" w:space="0"/>
            </w:tcBorders>
            <w:vAlign w:val="center"/>
          </w:tcPr>
          <w:p w14:paraId="6C297874">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0DFEF1F4">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0894E234">
            <w:pPr>
              <w:jc w:val="center"/>
              <w:rPr>
                <w:rFonts w:ascii="Times New Roman" w:hAnsi="Times New Roman" w:cs="Times New Roman"/>
                <w:sz w:val="18"/>
                <w:szCs w:val="18"/>
              </w:rPr>
            </w:pPr>
            <w:r>
              <w:rPr>
                <w:rFonts w:ascii="Times New Roman" w:hAnsi="Times New Roman" w:cs="Times New Roman"/>
                <w:sz w:val="18"/>
                <w:szCs w:val="18"/>
              </w:rPr>
              <w:t>50</w:t>
            </w:r>
          </w:p>
        </w:tc>
        <w:tc>
          <w:tcPr>
            <w:tcW w:w="608" w:type="dxa"/>
            <w:tcBorders>
              <w:top w:val="single" w:color="auto" w:sz="4" w:space="0"/>
              <w:left w:val="single" w:color="auto" w:sz="4" w:space="0"/>
              <w:bottom w:val="single" w:color="auto" w:sz="4" w:space="0"/>
              <w:right w:val="single" w:color="auto" w:sz="4" w:space="0"/>
            </w:tcBorders>
            <w:vAlign w:val="center"/>
          </w:tcPr>
          <w:p w14:paraId="52B6A015">
            <w:pPr>
              <w:jc w:val="center"/>
              <w:rPr>
                <w:rFonts w:ascii="Times New Roman" w:hAnsi="Times New Roman" w:cs="Times New Roman"/>
                <w:sz w:val="18"/>
                <w:szCs w:val="18"/>
              </w:rPr>
            </w:pPr>
            <w:r>
              <w:rPr>
                <w:rFonts w:ascii="Times New Roman" w:hAnsi="Times New Roman" w:cs="Times New Roman"/>
                <w:sz w:val="18"/>
                <w:szCs w:val="18"/>
              </w:rPr>
              <w:t>8000</w:t>
            </w:r>
          </w:p>
        </w:tc>
      </w:tr>
      <w:tr w14:paraId="6D19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8262F6A">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w:t>
            </w:r>
            <w:r>
              <w:rPr>
                <w:rFonts w:ascii="Times New Roman" w:hAnsi="Times New Roman" w:cs="Times New Roman"/>
                <w:sz w:val="18"/>
                <w:szCs w:val="18"/>
                <w:vertAlign w:val="subscript"/>
              </w:rPr>
              <w:t>3</w:t>
            </w:r>
          </w:p>
        </w:tc>
        <w:tc>
          <w:tcPr>
            <w:tcW w:w="1114" w:type="dxa"/>
            <w:tcBorders>
              <w:top w:val="single" w:color="auto" w:sz="4" w:space="0"/>
              <w:left w:val="single" w:color="auto" w:sz="4" w:space="0"/>
              <w:bottom w:val="single" w:color="auto" w:sz="4" w:space="0"/>
              <w:right w:val="single" w:color="auto" w:sz="4" w:space="0"/>
            </w:tcBorders>
            <w:vAlign w:val="center"/>
          </w:tcPr>
          <w:p w14:paraId="6BF5EA52">
            <w:pPr>
              <w:jc w:val="center"/>
              <w:rPr>
                <w:rFonts w:ascii="Times New Roman" w:hAnsi="Times New Roman" w:cs="Times New Roman"/>
                <w:sz w:val="18"/>
                <w:szCs w:val="18"/>
              </w:rPr>
            </w:pPr>
            <w:r>
              <w:rPr>
                <w:rFonts w:ascii="Times New Roman" w:hAnsi="Times New Roman" w:cs="Times New Roman"/>
                <w:sz w:val="18"/>
                <w:szCs w:val="18"/>
              </w:rPr>
              <w:t>包装机</w:t>
            </w:r>
          </w:p>
        </w:tc>
        <w:tc>
          <w:tcPr>
            <w:tcW w:w="580" w:type="dxa"/>
            <w:tcBorders>
              <w:top w:val="single" w:color="auto" w:sz="4" w:space="0"/>
              <w:left w:val="single" w:color="auto" w:sz="4" w:space="0"/>
              <w:bottom w:val="single" w:color="auto" w:sz="4" w:space="0"/>
              <w:right w:val="single" w:color="auto" w:sz="4" w:space="0"/>
            </w:tcBorders>
            <w:vAlign w:val="center"/>
          </w:tcPr>
          <w:p w14:paraId="542B2C85">
            <w:pPr>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693" w:type="dxa"/>
            <w:tcBorders>
              <w:top w:val="single" w:color="auto" w:sz="4" w:space="0"/>
              <w:left w:val="single" w:color="auto" w:sz="4" w:space="0"/>
              <w:bottom w:val="single" w:color="auto" w:sz="4" w:space="0"/>
              <w:right w:val="single" w:color="auto" w:sz="4" w:space="0"/>
            </w:tcBorders>
            <w:vAlign w:val="center"/>
          </w:tcPr>
          <w:p w14:paraId="1757D757">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1FECE319">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left w:val="single" w:color="auto" w:sz="4" w:space="0"/>
              <w:right w:val="single" w:color="auto" w:sz="4" w:space="0"/>
            </w:tcBorders>
            <w:vAlign w:val="center"/>
          </w:tcPr>
          <w:p w14:paraId="5DD0FC4A">
            <w:pPr>
              <w:jc w:val="center"/>
              <w:rPr>
                <w:rFonts w:ascii="Times New Roman" w:hAnsi="Times New Roman" w:cs="Times New Roman"/>
                <w:sz w:val="18"/>
                <w:szCs w:val="18"/>
              </w:rPr>
            </w:pPr>
            <w:r>
              <w:rPr>
                <w:rFonts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356B844A">
            <w:pPr>
              <w:jc w:val="center"/>
              <w:rPr>
                <w:rFonts w:ascii="Times New Roman" w:hAnsi="Times New Roman" w:cs="Times New Roman"/>
                <w:sz w:val="18"/>
                <w:szCs w:val="18"/>
              </w:rPr>
            </w:pPr>
            <w:r>
              <w:rPr>
                <w:rFonts w:ascii="Times New Roman" w:hAnsi="Times New Roman" w:cs="Times New Roman"/>
                <w:sz w:val="18"/>
                <w:szCs w:val="18"/>
              </w:rPr>
              <w:t>厂房隔声、基础减振</w:t>
            </w:r>
          </w:p>
        </w:tc>
        <w:tc>
          <w:tcPr>
            <w:tcW w:w="425" w:type="dxa"/>
            <w:tcBorders>
              <w:left w:val="single" w:color="auto" w:sz="4" w:space="0"/>
              <w:right w:val="single" w:color="auto" w:sz="4" w:space="0"/>
            </w:tcBorders>
            <w:vAlign w:val="center"/>
          </w:tcPr>
          <w:p w14:paraId="78BEE9D0">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4F1CD616">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204DD7D8">
            <w:pPr>
              <w:jc w:val="center"/>
              <w:rPr>
                <w:rFonts w:ascii="Times New Roman" w:hAnsi="Times New Roman" w:cs="Times New Roman"/>
                <w:sz w:val="18"/>
                <w:szCs w:val="18"/>
              </w:rPr>
            </w:pPr>
            <w:r>
              <w:rPr>
                <w:rFonts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655E48BE">
            <w:pPr>
              <w:jc w:val="center"/>
              <w:rPr>
                <w:rFonts w:ascii="Times New Roman" w:hAnsi="Times New Roman" w:cs="Times New Roman"/>
                <w:sz w:val="18"/>
                <w:szCs w:val="18"/>
              </w:rPr>
            </w:pPr>
            <w:r>
              <w:rPr>
                <w:rFonts w:ascii="Times New Roman" w:hAnsi="Times New Roman" w:cs="Times New Roman"/>
                <w:sz w:val="18"/>
                <w:szCs w:val="18"/>
              </w:rPr>
              <w:t>8000</w:t>
            </w:r>
          </w:p>
        </w:tc>
      </w:tr>
      <w:tr w14:paraId="73F6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68DF652">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7-4</w:t>
            </w:r>
          </w:p>
        </w:tc>
        <w:tc>
          <w:tcPr>
            <w:tcW w:w="1114" w:type="dxa"/>
            <w:tcBorders>
              <w:top w:val="single" w:color="auto" w:sz="4" w:space="0"/>
              <w:left w:val="single" w:color="auto" w:sz="4" w:space="0"/>
              <w:bottom w:val="single" w:color="auto" w:sz="4" w:space="0"/>
              <w:right w:val="single" w:color="auto" w:sz="4" w:space="0"/>
            </w:tcBorders>
            <w:vAlign w:val="center"/>
          </w:tcPr>
          <w:p w14:paraId="0F2F678E">
            <w:pPr>
              <w:jc w:val="center"/>
              <w:rPr>
                <w:rFonts w:ascii="Times New Roman" w:hAnsi="Times New Roman" w:cs="Times New Roman"/>
                <w:sz w:val="18"/>
                <w:szCs w:val="18"/>
              </w:rPr>
            </w:pPr>
            <w:r>
              <w:rPr>
                <w:rFonts w:hint="eastAsia" w:ascii="Times New Roman" w:hAnsi="Times New Roman" w:cs="Times New Roman"/>
                <w:sz w:val="18"/>
                <w:szCs w:val="18"/>
              </w:rPr>
              <w:t>风机</w:t>
            </w:r>
          </w:p>
        </w:tc>
        <w:tc>
          <w:tcPr>
            <w:tcW w:w="580" w:type="dxa"/>
            <w:tcBorders>
              <w:top w:val="single" w:color="auto" w:sz="4" w:space="0"/>
              <w:left w:val="single" w:color="auto" w:sz="4" w:space="0"/>
              <w:bottom w:val="single" w:color="auto" w:sz="4" w:space="0"/>
              <w:right w:val="single" w:color="auto" w:sz="4" w:space="0"/>
            </w:tcBorders>
            <w:vAlign w:val="center"/>
          </w:tcPr>
          <w:p w14:paraId="28A47C2B">
            <w:pPr>
              <w:jc w:val="center"/>
              <w:rPr>
                <w:rFonts w:ascii="Times New Roman" w:hAnsi="Times New Roman" w:cs="Times New Roman"/>
                <w:sz w:val="18"/>
                <w:szCs w:val="18"/>
              </w:rPr>
            </w:pPr>
            <w:r>
              <w:rPr>
                <w:rFonts w:hint="eastAsia" w:ascii="Times New Roman" w:hAnsi="Times New Roman" w:cs="Times New Roman"/>
                <w:sz w:val="18"/>
                <w:szCs w:val="18"/>
              </w:rPr>
              <w:t>15</w:t>
            </w:r>
          </w:p>
        </w:tc>
        <w:tc>
          <w:tcPr>
            <w:tcW w:w="693" w:type="dxa"/>
            <w:tcBorders>
              <w:top w:val="single" w:color="auto" w:sz="4" w:space="0"/>
              <w:left w:val="single" w:color="auto" w:sz="4" w:space="0"/>
              <w:bottom w:val="single" w:color="auto" w:sz="4" w:space="0"/>
              <w:right w:val="single" w:color="auto" w:sz="4" w:space="0"/>
            </w:tcBorders>
            <w:vAlign w:val="center"/>
          </w:tcPr>
          <w:p w14:paraId="493C3F55">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2756852F">
            <w:pPr>
              <w:jc w:val="center"/>
              <w:rPr>
                <w:rFonts w:ascii="Times New Roman" w:hAnsi="Times New Roman" w:cs="Times New Roman"/>
                <w:sz w:val="18"/>
                <w:szCs w:val="18"/>
              </w:rPr>
            </w:pPr>
            <w:r>
              <w:rPr>
                <w:rFonts w:hint="eastAsia" w:ascii="Times New Roman" w:hAnsi="Times New Roman" w:cs="Times New Roman"/>
                <w:sz w:val="18"/>
                <w:szCs w:val="18"/>
              </w:rPr>
              <w:t>类比法</w:t>
            </w:r>
          </w:p>
        </w:tc>
        <w:tc>
          <w:tcPr>
            <w:tcW w:w="709" w:type="dxa"/>
            <w:tcBorders>
              <w:left w:val="single" w:color="auto" w:sz="4" w:space="0"/>
              <w:right w:val="single" w:color="auto" w:sz="4" w:space="0"/>
            </w:tcBorders>
            <w:vAlign w:val="center"/>
          </w:tcPr>
          <w:p w14:paraId="3D4025BB">
            <w:pPr>
              <w:jc w:val="center"/>
              <w:rPr>
                <w:rFonts w:ascii="Times New Roman" w:hAnsi="Times New Roman" w:cs="Times New Roman"/>
                <w:sz w:val="18"/>
                <w:szCs w:val="18"/>
              </w:rPr>
            </w:pPr>
            <w:r>
              <w:rPr>
                <w:rFonts w:hint="eastAsia"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60F43F9D">
            <w:pPr>
              <w:jc w:val="center"/>
              <w:rPr>
                <w:rFonts w:ascii="Times New Roman" w:hAnsi="Times New Roman" w:cs="Times New Roman"/>
                <w:sz w:val="18"/>
                <w:szCs w:val="18"/>
              </w:rPr>
            </w:pPr>
            <w:r>
              <w:rPr>
                <w:rFonts w:ascii="Times New Roman" w:hAnsi="Times New Roman" w:cs="Times New Roman"/>
                <w:sz w:val="18"/>
                <w:szCs w:val="18"/>
              </w:rPr>
              <w:t>隔声、减振</w:t>
            </w:r>
          </w:p>
        </w:tc>
        <w:tc>
          <w:tcPr>
            <w:tcW w:w="425" w:type="dxa"/>
            <w:tcBorders>
              <w:left w:val="single" w:color="auto" w:sz="4" w:space="0"/>
              <w:right w:val="single" w:color="auto" w:sz="4" w:space="0"/>
            </w:tcBorders>
            <w:vAlign w:val="center"/>
          </w:tcPr>
          <w:p w14:paraId="15394B38">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52076D5F">
            <w:pPr>
              <w:jc w:val="center"/>
              <w:rPr>
                <w:rFonts w:ascii="Times New Roman" w:hAnsi="Times New Roman" w:cs="Times New Roman"/>
                <w:sz w:val="18"/>
                <w:szCs w:val="18"/>
              </w:rPr>
            </w:pPr>
            <w:r>
              <w:rPr>
                <w:rFonts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01FBC10A">
            <w:pPr>
              <w:jc w:val="center"/>
              <w:rPr>
                <w:rFonts w:ascii="Times New Roman" w:hAnsi="Times New Roman" w:cs="Times New Roman"/>
                <w:sz w:val="18"/>
                <w:szCs w:val="18"/>
              </w:rPr>
            </w:pPr>
            <w:r>
              <w:rPr>
                <w:rFonts w:hint="eastAsia" w:ascii="Times New Roman" w:hAnsi="Times New Roman" w:cs="Times New Roman"/>
                <w:sz w:val="18"/>
                <w:szCs w:val="18"/>
              </w:rPr>
              <w:t>70</w:t>
            </w:r>
          </w:p>
        </w:tc>
        <w:tc>
          <w:tcPr>
            <w:tcW w:w="608" w:type="dxa"/>
            <w:tcBorders>
              <w:top w:val="single" w:color="auto" w:sz="4" w:space="0"/>
              <w:left w:val="single" w:color="auto" w:sz="4" w:space="0"/>
              <w:bottom w:val="single" w:color="auto" w:sz="4" w:space="0"/>
              <w:right w:val="single" w:color="auto" w:sz="4" w:space="0"/>
            </w:tcBorders>
            <w:vAlign w:val="center"/>
          </w:tcPr>
          <w:p w14:paraId="322942D9">
            <w:pPr>
              <w:jc w:val="center"/>
              <w:rPr>
                <w:rFonts w:ascii="Times New Roman" w:hAnsi="Times New Roman" w:cs="Times New Roman"/>
                <w:sz w:val="18"/>
                <w:szCs w:val="18"/>
              </w:rPr>
            </w:pPr>
            <w:r>
              <w:rPr>
                <w:rFonts w:ascii="Times New Roman" w:hAnsi="Times New Roman" w:cs="Times New Roman"/>
                <w:sz w:val="18"/>
                <w:szCs w:val="18"/>
              </w:rPr>
              <w:t>8000</w:t>
            </w:r>
          </w:p>
        </w:tc>
      </w:tr>
      <w:tr w14:paraId="2688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4A9DFF37">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7-5</w:t>
            </w:r>
          </w:p>
        </w:tc>
        <w:tc>
          <w:tcPr>
            <w:tcW w:w="1114" w:type="dxa"/>
            <w:tcBorders>
              <w:top w:val="single" w:color="auto" w:sz="4" w:space="0"/>
              <w:left w:val="single" w:color="auto" w:sz="4" w:space="0"/>
              <w:bottom w:val="single" w:color="auto" w:sz="4" w:space="0"/>
              <w:right w:val="single" w:color="auto" w:sz="4" w:space="0"/>
            </w:tcBorders>
            <w:vAlign w:val="center"/>
          </w:tcPr>
          <w:p w14:paraId="2A54B0A2">
            <w:pPr>
              <w:jc w:val="center"/>
              <w:rPr>
                <w:rFonts w:ascii="Times New Roman" w:hAnsi="Times New Roman" w:cs="Times New Roman"/>
                <w:sz w:val="18"/>
                <w:szCs w:val="18"/>
              </w:rPr>
            </w:pPr>
            <w:r>
              <w:rPr>
                <w:rFonts w:hint="eastAsia" w:ascii="Times New Roman" w:hAnsi="Times New Roman" w:cs="Times New Roman"/>
                <w:sz w:val="18"/>
                <w:szCs w:val="18"/>
              </w:rPr>
              <w:t>造粒机</w:t>
            </w:r>
          </w:p>
        </w:tc>
        <w:tc>
          <w:tcPr>
            <w:tcW w:w="580" w:type="dxa"/>
            <w:tcBorders>
              <w:top w:val="single" w:color="auto" w:sz="4" w:space="0"/>
              <w:left w:val="single" w:color="auto" w:sz="4" w:space="0"/>
              <w:bottom w:val="single" w:color="auto" w:sz="4" w:space="0"/>
              <w:right w:val="single" w:color="auto" w:sz="4" w:space="0"/>
            </w:tcBorders>
            <w:vAlign w:val="center"/>
          </w:tcPr>
          <w:p w14:paraId="0E08ED8D">
            <w:pPr>
              <w:jc w:val="center"/>
              <w:rPr>
                <w:rFonts w:ascii="Times New Roman" w:hAnsi="Times New Roman" w:cs="Times New Roman"/>
                <w:sz w:val="18"/>
                <w:szCs w:val="18"/>
              </w:rPr>
            </w:pPr>
            <w:r>
              <w:rPr>
                <w:rFonts w:hint="eastAsia" w:ascii="Times New Roman" w:hAnsi="Times New Roman" w:cs="Times New Roman"/>
                <w:sz w:val="18"/>
                <w:szCs w:val="18"/>
              </w:rPr>
              <w:t>29</w:t>
            </w:r>
          </w:p>
        </w:tc>
        <w:tc>
          <w:tcPr>
            <w:tcW w:w="693" w:type="dxa"/>
            <w:tcBorders>
              <w:top w:val="single" w:color="auto" w:sz="4" w:space="0"/>
              <w:left w:val="single" w:color="auto" w:sz="4" w:space="0"/>
              <w:bottom w:val="single" w:color="auto" w:sz="4" w:space="0"/>
              <w:right w:val="single" w:color="auto" w:sz="4" w:space="0"/>
            </w:tcBorders>
            <w:vAlign w:val="center"/>
          </w:tcPr>
          <w:p w14:paraId="078E04A1">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6E54561F">
            <w:pPr>
              <w:jc w:val="center"/>
              <w:rPr>
                <w:rFonts w:ascii="Times New Roman" w:hAnsi="Times New Roman" w:cs="Times New Roman"/>
                <w:sz w:val="18"/>
                <w:szCs w:val="18"/>
              </w:rPr>
            </w:pPr>
            <w:r>
              <w:rPr>
                <w:rFonts w:hint="eastAsia" w:ascii="Times New Roman" w:hAnsi="Times New Roman" w:cs="Times New Roman"/>
                <w:sz w:val="18"/>
                <w:szCs w:val="18"/>
              </w:rPr>
              <w:t>类比法</w:t>
            </w:r>
          </w:p>
        </w:tc>
        <w:tc>
          <w:tcPr>
            <w:tcW w:w="709" w:type="dxa"/>
            <w:tcBorders>
              <w:left w:val="single" w:color="auto" w:sz="4" w:space="0"/>
              <w:right w:val="single" w:color="auto" w:sz="4" w:space="0"/>
            </w:tcBorders>
            <w:vAlign w:val="center"/>
          </w:tcPr>
          <w:p w14:paraId="3478E7F6">
            <w:pPr>
              <w:jc w:val="center"/>
              <w:rPr>
                <w:rFonts w:ascii="Times New Roman" w:hAnsi="Times New Roman" w:cs="Times New Roman"/>
                <w:sz w:val="18"/>
                <w:szCs w:val="18"/>
              </w:rPr>
            </w:pPr>
            <w:r>
              <w:rPr>
                <w:rFonts w:hint="eastAsia"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1D679638">
            <w:pPr>
              <w:jc w:val="center"/>
              <w:rPr>
                <w:rFonts w:ascii="Times New Roman" w:hAnsi="Times New Roman" w:cs="Times New Roman"/>
                <w:sz w:val="18"/>
                <w:szCs w:val="18"/>
              </w:rPr>
            </w:pPr>
            <w:r>
              <w:rPr>
                <w:rFonts w:ascii="Times New Roman" w:hAnsi="Times New Roman" w:cs="Times New Roman"/>
                <w:sz w:val="18"/>
                <w:szCs w:val="18"/>
              </w:rPr>
              <w:t>低噪声电机、减振</w:t>
            </w:r>
          </w:p>
        </w:tc>
        <w:tc>
          <w:tcPr>
            <w:tcW w:w="425" w:type="dxa"/>
            <w:tcBorders>
              <w:left w:val="single" w:color="auto" w:sz="4" w:space="0"/>
              <w:right w:val="single" w:color="auto" w:sz="4" w:space="0"/>
            </w:tcBorders>
            <w:vAlign w:val="center"/>
          </w:tcPr>
          <w:p w14:paraId="29FAB19F">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117CDAFC">
            <w:pPr>
              <w:jc w:val="center"/>
              <w:rPr>
                <w:rFonts w:ascii="Times New Roman" w:hAnsi="Times New Roman" w:cs="Times New Roman"/>
                <w:sz w:val="18"/>
                <w:szCs w:val="18"/>
              </w:rPr>
            </w:pPr>
            <w:r>
              <w:rPr>
                <w:rFonts w:hint="eastAsia"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7DE9AE30">
            <w:pPr>
              <w:jc w:val="center"/>
              <w:rPr>
                <w:rFonts w:ascii="Times New Roman" w:hAnsi="Times New Roman" w:cs="Times New Roman"/>
                <w:sz w:val="18"/>
                <w:szCs w:val="18"/>
              </w:rPr>
            </w:pPr>
            <w:r>
              <w:rPr>
                <w:rFonts w:hint="eastAsia"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08CC73EF">
            <w:pPr>
              <w:jc w:val="center"/>
              <w:rPr>
                <w:rFonts w:ascii="Times New Roman" w:hAnsi="Times New Roman" w:cs="Times New Roman"/>
                <w:sz w:val="18"/>
                <w:szCs w:val="18"/>
              </w:rPr>
            </w:pPr>
            <w:r>
              <w:rPr>
                <w:rFonts w:ascii="Times New Roman" w:hAnsi="Times New Roman" w:cs="Times New Roman"/>
                <w:sz w:val="18"/>
                <w:szCs w:val="18"/>
              </w:rPr>
              <w:t>8000</w:t>
            </w:r>
          </w:p>
        </w:tc>
      </w:tr>
      <w:tr w14:paraId="64C5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5350B694">
            <w:pPr>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vertAlign w:val="subscript"/>
              </w:rPr>
              <w:t>7-6</w:t>
            </w:r>
          </w:p>
        </w:tc>
        <w:tc>
          <w:tcPr>
            <w:tcW w:w="1114" w:type="dxa"/>
            <w:tcBorders>
              <w:top w:val="single" w:color="auto" w:sz="4" w:space="0"/>
              <w:left w:val="single" w:color="auto" w:sz="4" w:space="0"/>
              <w:bottom w:val="single" w:color="auto" w:sz="4" w:space="0"/>
              <w:right w:val="single" w:color="auto" w:sz="4" w:space="0"/>
            </w:tcBorders>
            <w:vAlign w:val="center"/>
          </w:tcPr>
          <w:p w14:paraId="5A792CF2">
            <w:pPr>
              <w:jc w:val="center"/>
              <w:rPr>
                <w:rFonts w:ascii="Times New Roman" w:hAnsi="Times New Roman" w:cs="Times New Roman"/>
                <w:sz w:val="18"/>
                <w:szCs w:val="18"/>
              </w:rPr>
            </w:pPr>
            <w:r>
              <w:rPr>
                <w:rFonts w:hint="eastAsia" w:ascii="Times New Roman" w:hAnsi="Times New Roman" w:cs="Times New Roman"/>
                <w:sz w:val="18"/>
                <w:szCs w:val="18"/>
              </w:rPr>
              <w:t>筛分机</w:t>
            </w:r>
          </w:p>
        </w:tc>
        <w:tc>
          <w:tcPr>
            <w:tcW w:w="580" w:type="dxa"/>
            <w:tcBorders>
              <w:top w:val="single" w:color="auto" w:sz="4" w:space="0"/>
              <w:left w:val="single" w:color="auto" w:sz="4" w:space="0"/>
              <w:bottom w:val="single" w:color="auto" w:sz="4" w:space="0"/>
              <w:right w:val="single" w:color="auto" w:sz="4" w:space="0"/>
            </w:tcBorders>
            <w:vAlign w:val="center"/>
          </w:tcPr>
          <w:p w14:paraId="75BE304E">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693" w:type="dxa"/>
            <w:tcBorders>
              <w:top w:val="single" w:color="auto" w:sz="4" w:space="0"/>
              <w:left w:val="single" w:color="auto" w:sz="4" w:space="0"/>
              <w:bottom w:val="single" w:color="auto" w:sz="4" w:space="0"/>
              <w:right w:val="single" w:color="auto" w:sz="4" w:space="0"/>
            </w:tcBorders>
            <w:vAlign w:val="center"/>
          </w:tcPr>
          <w:p w14:paraId="1C500BDC">
            <w:pPr>
              <w:jc w:val="center"/>
              <w:rPr>
                <w:rFonts w:ascii="Times New Roman" w:hAnsi="Times New Roman" w:cs="Times New Roman"/>
                <w:sz w:val="18"/>
                <w:szCs w:val="18"/>
              </w:rPr>
            </w:pPr>
            <w:r>
              <w:rPr>
                <w:rFonts w:ascii="Times New Roman" w:hAnsi="Times New Roman" w:cs="Times New Roman"/>
                <w:sz w:val="18"/>
                <w:szCs w:val="18"/>
              </w:rPr>
              <w:t>连续</w:t>
            </w:r>
          </w:p>
        </w:tc>
        <w:tc>
          <w:tcPr>
            <w:tcW w:w="711" w:type="dxa"/>
            <w:tcBorders>
              <w:top w:val="single" w:color="auto" w:sz="4" w:space="0"/>
              <w:left w:val="single" w:color="auto" w:sz="4" w:space="0"/>
              <w:bottom w:val="single" w:color="auto" w:sz="4" w:space="0"/>
              <w:right w:val="single" w:color="auto" w:sz="4" w:space="0"/>
            </w:tcBorders>
            <w:vAlign w:val="center"/>
          </w:tcPr>
          <w:p w14:paraId="45E3C393">
            <w:pPr>
              <w:jc w:val="center"/>
              <w:rPr>
                <w:rFonts w:ascii="Times New Roman" w:hAnsi="Times New Roman" w:cs="Times New Roman"/>
                <w:sz w:val="18"/>
                <w:szCs w:val="18"/>
              </w:rPr>
            </w:pPr>
            <w:r>
              <w:rPr>
                <w:rFonts w:hint="eastAsia" w:ascii="Times New Roman" w:hAnsi="Times New Roman" w:cs="Times New Roman"/>
                <w:sz w:val="18"/>
                <w:szCs w:val="18"/>
              </w:rPr>
              <w:t>类比法</w:t>
            </w:r>
          </w:p>
        </w:tc>
        <w:tc>
          <w:tcPr>
            <w:tcW w:w="709" w:type="dxa"/>
            <w:tcBorders>
              <w:left w:val="single" w:color="auto" w:sz="4" w:space="0"/>
              <w:right w:val="single" w:color="auto" w:sz="4" w:space="0"/>
            </w:tcBorders>
            <w:vAlign w:val="center"/>
          </w:tcPr>
          <w:p w14:paraId="4DD2B146">
            <w:pPr>
              <w:jc w:val="center"/>
              <w:rPr>
                <w:rFonts w:ascii="Times New Roman" w:hAnsi="Times New Roman" w:cs="Times New Roman"/>
                <w:sz w:val="18"/>
                <w:szCs w:val="18"/>
              </w:rPr>
            </w:pPr>
            <w:r>
              <w:rPr>
                <w:rFonts w:hint="eastAsia" w:ascii="Times New Roman" w:hAnsi="Times New Roman" w:cs="Times New Roman"/>
                <w:sz w:val="18"/>
                <w:szCs w:val="18"/>
              </w:rPr>
              <w:t>85</w:t>
            </w:r>
          </w:p>
        </w:tc>
        <w:tc>
          <w:tcPr>
            <w:tcW w:w="1701" w:type="dxa"/>
            <w:tcBorders>
              <w:top w:val="single" w:color="auto" w:sz="4" w:space="0"/>
              <w:left w:val="single" w:color="auto" w:sz="4" w:space="0"/>
              <w:bottom w:val="single" w:color="auto" w:sz="4" w:space="0"/>
              <w:right w:val="single" w:color="auto" w:sz="4" w:space="0"/>
            </w:tcBorders>
            <w:vAlign w:val="center"/>
          </w:tcPr>
          <w:p w14:paraId="26E7A039">
            <w:pPr>
              <w:jc w:val="center"/>
              <w:rPr>
                <w:rFonts w:ascii="Times New Roman" w:hAnsi="Times New Roman" w:cs="Times New Roman"/>
                <w:sz w:val="18"/>
                <w:szCs w:val="18"/>
              </w:rPr>
            </w:pPr>
            <w:r>
              <w:rPr>
                <w:rFonts w:ascii="Times New Roman" w:hAnsi="Times New Roman" w:cs="Times New Roman"/>
                <w:sz w:val="18"/>
                <w:szCs w:val="18"/>
              </w:rPr>
              <w:t>厂房隔声、基础减振</w:t>
            </w:r>
          </w:p>
        </w:tc>
        <w:tc>
          <w:tcPr>
            <w:tcW w:w="425" w:type="dxa"/>
            <w:tcBorders>
              <w:left w:val="single" w:color="auto" w:sz="4" w:space="0"/>
              <w:right w:val="single" w:color="auto" w:sz="4" w:space="0"/>
            </w:tcBorders>
            <w:vAlign w:val="center"/>
          </w:tcPr>
          <w:p w14:paraId="1EFA83B9">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14:paraId="0B9C21F5">
            <w:pPr>
              <w:jc w:val="center"/>
              <w:rPr>
                <w:rFonts w:ascii="Times New Roman" w:hAnsi="Times New Roman" w:cs="Times New Roman"/>
                <w:sz w:val="18"/>
                <w:szCs w:val="18"/>
              </w:rPr>
            </w:pPr>
            <w:r>
              <w:rPr>
                <w:rFonts w:hint="eastAsia" w:ascii="Times New Roman" w:hAnsi="Times New Roman" w:cs="Times New Roman"/>
                <w:sz w:val="18"/>
                <w:szCs w:val="18"/>
              </w:rPr>
              <w:t>类比法</w:t>
            </w:r>
          </w:p>
        </w:tc>
        <w:tc>
          <w:tcPr>
            <w:tcW w:w="709" w:type="dxa"/>
            <w:tcBorders>
              <w:top w:val="single" w:color="auto" w:sz="4" w:space="0"/>
              <w:left w:val="single" w:color="auto" w:sz="4" w:space="0"/>
              <w:bottom w:val="single" w:color="auto" w:sz="4" w:space="0"/>
              <w:right w:val="single" w:color="auto" w:sz="4" w:space="0"/>
            </w:tcBorders>
            <w:vAlign w:val="center"/>
          </w:tcPr>
          <w:p w14:paraId="7FCF6DFF">
            <w:pPr>
              <w:jc w:val="center"/>
              <w:rPr>
                <w:rFonts w:ascii="Times New Roman" w:hAnsi="Times New Roman" w:cs="Times New Roman"/>
                <w:sz w:val="18"/>
                <w:szCs w:val="18"/>
              </w:rPr>
            </w:pPr>
            <w:r>
              <w:rPr>
                <w:rFonts w:hint="eastAsia" w:ascii="Times New Roman" w:hAnsi="Times New Roman" w:cs="Times New Roman"/>
                <w:sz w:val="18"/>
                <w:szCs w:val="18"/>
              </w:rPr>
              <w:t>65</w:t>
            </w:r>
          </w:p>
        </w:tc>
        <w:tc>
          <w:tcPr>
            <w:tcW w:w="608" w:type="dxa"/>
            <w:tcBorders>
              <w:top w:val="single" w:color="auto" w:sz="4" w:space="0"/>
              <w:left w:val="single" w:color="auto" w:sz="4" w:space="0"/>
              <w:bottom w:val="single" w:color="auto" w:sz="4" w:space="0"/>
              <w:right w:val="single" w:color="auto" w:sz="4" w:space="0"/>
            </w:tcBorders>
            <w:vAlign w:val="center"/>
          </w:tcPr>
          <w:p w14:paraId="53BBC01A">
            <w:pPr>
              <w:jc w:val="center"/>
              <w:rPr>
                <w:rFonts w:ascii="Times New Roman" w:hAnsi="Times New Roman" w:cs="Times New Roman"/>
                <w:sz w:val="18"/>
                <w:szCs w:val="18"/>
              </w:rPr>
            </w:pPr>
            <w:r>
              <w:rPr>
                <w:rFonts w:ascii="Times New Roman" w:hAnsi="Times New Roman" w:cs="Times New Roman"/>
                <w:sz w:val="18"/>
                <w:szCs w:val="18"/>
              </w:rPr>
              <w:t>8000</w:t>
            </w:r>
          </w:p>
        </w:tc>
      </w:tr>
    </w:tbl>
    <w:p w14:paraId="0B657A84">
      <w:pPr>
        <w:pStyle w:val="814"/>
        <w:rPr>
          <w:rFonts w:hint="eastAsia"/>
        </w:rPr>
      </w:pPr>
      <w:r>
        <w:rPr>
          <w:rFonts w:hint="eastAsia"/>
        </w:rPr>
        <w:t>固废</w:t>
      </w:r>
    </w:p>
    <w:p w14:paraId="4F19E21C">
      <w:pPr>
        <w:pStyle w:val="128"/>
        <w:rPr>
          <w:rFonts w:hint="eastAsia"/>
        </w:rPr>
      </w:pPr>
      <w:r>
        <w:rPr>
          <w:rFonts w:hint="eastAsia" w:hAnsi="Times New Roman" w:cs="Times New Roman"/>
        </w:rPr>
        <w:t>有机缓释肥</w:t>
      </w:r>
      <w:r>
        <w:rPr>
          <w:rFonts w:hint="eastAsia"/>
        </w:rPr>
        <w:t>装置固废产生及治理情况见表3.2.8-13。</w:t>
      </w:r>
    </w:p>
    <w:p w14:paraId="2F0422F1">
      <w:pPr>
        <w:pStyle w:val="645"/>
        <w:rPr>
          <w:rFonts w:hint="eastAsia"/>
        </w:rPr>
      </w:pPr>
      <w:r>
        <w:rPr>
          <w:rFonts w:hint="eastAsia"/>
        </w:rPr>
        <w:t>表3.2.8-13</w:t>
      </w:r>
      <w:r>
        <w:t xml:space="preserve"> </w:t>
      </w:r>
      <w:r>
        <w:rPr>
          <w:rFonts w:hint="eastAsia"/>
        </w:rPr>
        <w:t xml:space="preserve">  </w:t>
      </w:r>
      <w:r>
        <w:t xml:space="preserve"> </w:t>
      </w:r>
      <w:r>
        <w:rPr>
          <w:rFonts w:ascii="Times New Roman" w:hAnsi="Times New Roman" w:eastAsia="宋体" w:cs="Times New Roman"/>
        </w:rPr>
        <w:t>DMO</w:t>
      </w:r>
      <w:r>
        <w:rPr>
          <w:rFonts w:hint="eastAsia"/>
        </w:rPr>
        <w:t>装置固体废物产排情况表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2410"/>
        <w:gridCol w:w="861"/>
        <w:gridCol w:w="1124"/>
        <w:gridCol w:w="1134"/>
        <w:gridCol w:w="1134"/>
        <w:gridCol w:w="1175"/>
      </w:tblGrid>
      <w:tr w14:paraId="3381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4CBD3810">
            <w:pPr>
              <w:pStyle w:val="190"/>
              <w:rPr>
                <w:rFonts w:ascii="Times New Roman" w:hAnsi="Times New Roman" w:cs="Times New Roman"/>
                <w:kern w:val="2"/>
                <w:szCs w:val="18"/>
              </w:rPr>
            </w:pPr>
            <w:r>
              <w:rPr>
                <w:rFonts w:ascii="Times New Roman" w:hAnsi="Times New Roman" w:cs="Times New Roman"/>
                <w:kern w:val="2"/>
                <w:szCs w:val="18"/>
              </w:rPr>
              <w:t>序号</w:t>
            </w:r>
          </w:p>
        </w:tc>
        <w:tc>
          <w:tcPr>
            <w:tcW w:w="2410" w:type="dxa"/>
            <w:tcBorders>
              <w:top w:val="single" w:color="auto" w:sz="4" w:space="0"/>
              <w:left w:val="single" w:color="auto" w:sz="4" w:space="0"/>
              <w:bottom w:val="single" w:color="auto" w:sz="4" w:space="0"/>
              <w:right w:val="single" w:color="auto" w:sz="4" w:space="0"/>
            </w:tcBorders>
            <w:vAlign w:val="center"/>
          </w:tcPr>
          <w:p w14:paraId="121CA6B7">
            <w:pPr>
              <w:pStyle w:val="190"/>
              <w:rPr>
                <w:rFonts w:ascii="Times New Roman" w:hAnsi="Times New Roman" w:cs="Times New Roman"/>
                <w:kern w:val="2"/>
                <w:szCs w:val="18"/>
              </w:rPr>
            </w:pPr>
            <w:r>
              <w:rPr>
                <w:rFonts w:ascii="Times New Roman" w:hAnsi="Times New Roman" w:cs="Times New Roman"/>
                <w:kern w:val="2"/>
                <w:szCs w:val="18"/>
              </w:rPr>
              <w:t>固废名称</w:t>
            </w:r>
          </w:p>
        </w:tc>
        <w:tc>
          <w:tcPr>
            <w:tcW w:w="861" w:type="dxa"/>
            <w:tcBorders>
              <w:top w:val="single" w:color="auto" w:sz="4" w:space="0"/>
              <w:left w:val="single" w:color="auto" w:sz="4" w:space="0"/>
              <w:bottom w:val="single" w:color="auto" w:sz="4" w:space="0"/>
              <w:right w:val="single" w:color="auto" w:sz="4" w:space="0"/>
            </w:tcBorders>
            <w:vAlign w:val="center"/>
          </w:tcPr>
          <w:p w14:paraId="70347958">
            <w:pPr>
              <w:pStyle w:val="190"/>
              <w:rPr>
                <w:rFonts w:ascii="Times New Roman" w:hAnsi="Times New Roman" w:cs="Times New Roman"/>
                <w:kern w:val="2"/>
                <w:szCs w:val="18"/>
              </w:rPr>
            </w:pPr>
            <w:r>
              <w:rPr>
                <w:rFonts w:ascii="Times New Roman" w:hAnsi="Times New Roman" w:cs="Times New Roman"/>
                <w:kern w:val="2"/>
                <w:szCs w:val="18"/>
              </w:rPr>
              <w:t>属性</w:t>
            </w:r>
          </w:p>
        </w:tc>
        <w:tc>
          <w:tcPr>
            <w:tcW w:w="1124" w:type="dxa"/>
            <w:tcBorders>
              <w:top w:val="single" w:color="auto" w:sz="4" w:space="0"/>
              <w:left w:val="single" w:color="auto" w:sz="4" w:space="0"/>
              <w:bottom w:val="single" w:color="auto" w:sz="4" w:space="0"/>
              <w:right w:val="single" w:color="auto" w:sz="4" w:space="0"/>
            </w:tcBorders>
            <w:vAlign w:val="center"/>
          </w:tcPr>
          <w:p w14:paraId="28200E05">
            <w:pPr>
              <w:pStyle w:val="190"/>
              <w:rPr>
                <w:rFonts w:ascii="Times New Roman" w:hAnsi="Times New Roman" w:cs="Times New Roman"/>
                <w:kern w:val="2"/>
                <w:szCs w:val="18"/>
              </w:rPr>
            </w:pPr>
            <w:r>
              <w:rPr>
                <w:rFonts w:ascii="Times New Roman" w:hAnsi="Times New Roman" w:cs="Times New Roman"/>
                <w:kern w:val="2"/>
                <w:szCs w:val="18"/>
              </w:rPr>
              <w:t>代码</w:t>
            </w:r>
          </w:p>
        </w:tc>
        <w:tc>
          <w:tcPr>
            <w:tcW w:w="1134" w:type="dxa"/>
            <w:tcBorders>
              <w:top w:val="single" w:color="auto" w:sz="4" w:space="0"/>
              <w:left w:val="single" w:color="auto" w:sz="4" w:space="0"/>
              <w:bottom w:val="single" w:color="auto" w:sz="4" w:space="0"/>
              <w:right w:val="single" w:color="auto" w:sz="4" w:space="0"/>
            </w:tcBorders>
            <w:vAlign w:val="center"/>
          </w:tcPr>
          <w:p w14:paraId="70C6A2C4">
            <w:pPr>
              <w:pStyle w:val="190"/>
              <w:rPr>
                <w:rFonts w:ascii="Times New Roman" w:hAnsi="Times New Roman" w:cs="Times New Roman"/>
                <w:kern w:val="2"/>
                <w:szCs w:val="18"/>
              </w:rPr>
            </w:pPr>
            <w:r>
              <w:rPr>
                <w:rFonts w:ascii="Times New Roman" w:hAnsi="Times New Roman" w:cs="Times New Roman"/>
                <w:kern w:val="2"/>
                <w:szCs w:val="18"/>
              </w:rPr>
              <w:t>产生量（t/a）</w:t>
            </w:r>
          </w:p>
        </w:tc>
        <w:tc>
          <w:tcPr>
            <w:tcW w:w="1134" w:type="dxa"/>
            <w:tcBorders>
              <w:top w:val="single" w:color="auto" w:sz="4" w:space="0"/>
              <w:left w:val="single" w:color="auto" w:sz="4" w:space="0"/>
              <w:bottom w:val="single" w:color="auto" w:sz="4" w:space="0"/>
              <w:right w:val="single" w:color="auto" w:sz="4" w:space="0"/>
            </w:tcBorders>
            <w:vAlign w:val="center"/>
          </w:tcPr>
          <w:p w14:paraId="0F5F27F3">
            <w:pPr>
              <w:pStyle w:val="190"/>
              <w:rPr>
                <w:rFonts w:ascii="Times New Roman" w:hAnsi="Times New Roman" w:cs="Times New Roman"/>
                <w:kern w:val="2"/>
                <w:szCs w:val="18"/>
              </w:rPr>
            </w:pPr>
            <w:r>
              <w:rPr>
                <w:rFonts w:ascii="Times New Roman" w:hAnsi="Times New Roman" w:cs="Times New Roman"/>
                <w:kern w:val="2"/>
                <w:szCs w:val="18"/>
              </w:rPr>
              <w:t>治理措施</w:t>
            </w:r>
          </w:p>
        </w:tc>
        <w:tc>
          <w:tcPr>
            <w:tcW w:w="1175" w:type="dxa"/>
            <w:tcBorders>
              <w:top w:val="single" w:color="auto" w:sz="4" w:space="0"/>
              <w:left w:val="single" w:color="auto" w:sz="4" w:space="0"/>
              <w:bottom w:val="single" w:color="auto" w:sz="4" w:space="0"/>
              <w:right w:val="single" w:color="auto" w:sz="4" w:space="0"/>
            </w:tcBorders>
            <w:vAlign w:val="center"/>
          </w:tcPr>
          <w:p w14:paraId="508C5ABC">
            <w:pPr>
              <w:pStyle w:val="190"/>
              <w:rPr>
                <w:rFonts w:ascii="Times New Roman" w:hAnsi="Times New Roman" w:cs="Times New Roman"/>
                <w:kern w:val="2"/>
                <w:szCs w:val="18"/>
              </w:rPr>
            </w:pPr>
            <w:r>
              <w:rPr>
                <w:rFonts w:ascii="Times New Roman" w:hAnsi="Times New Roman" w:cs="Times New Roman"/>
                <w:kern w:val="2"/>
                <w:szCs w:val="18"/>
              </w:rPr>
              <w:t>处理量（t/a）</w:t>
            </w:r>
          </w:p>
        </w:tc>
      </w:tr>
      <w:tr w14:paraId="15EB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14B26F2C">
            <w:pPr>
              <w:pStyle w:val="190"/>
              <w:rPr>
                <w:rFonts w:ascii="Times New Roman" w:hAnsi="Times New Roman" w:cs="Times New Roman"/>
                <w:kern w:val="2"/>
                <w:szCs w:val="18"/>
              </w:rPr>
            </w:pPr>
            <w:r>
              <w:rPr>
                <w:rFonts w:ascii="Times New Roman" w:hAnsi="Times New Roman" w:cs="Times New Roman"/>
              </w:rPr>
              <w:t>S</w:t>
            </w:r>
            <w:r>
              <w:rPr>
                <w:rFonts w:hint="eastAsia" w:ascii="Times New Roman" w:hAnsi="Times New Roman" w:cs="Times New Roman"/>
                <w:vertAlign w:val="subscript"/>
              </w:rPr>
              <w:t>7</w:t>
            </w:r>
            <w:r>
              <w:rPr>
                <w:rFonts w:ascii="Times New Roman" w:hAnsi="Times New Roman" w:cs="Times New Roman"/>
                <w:vertAlign w:val="subscript"/>
              </w:rPr>
              <w:t>-1</w:t>
            </w:r>
          </w:p>
        </w:tc>
        <w:tc>
          <w:tcPr>
            <w:tcW w:w="2410" w:type="dxa"/>
            <w:tcBorders>
              <w:top w:val="single" w:color="auto" w:sz="4" w:space="0"/>
              <w:left w:val="single" w:color="auto" w:sz="4" w:space="0"/>
              <w:bottom w:val="single" w:color="auto" w:sz="4" w:space="0"/>
              <w:right w:val="single" w:color="auto" w:sz="4" w:space="0"/>
            </w:tcBorders>
            <w:vAlign w:val="center"/>
          </w:tcPr>
          <w:p w14:paraId="1C5FA009">
            <w:pPr>
              <w:pStyle w:val="190"/>
              <w:rPr>
                <w:rFonts w:ascii="Times New Roman" w:hAnsi="Times New Roman" w:cs="Times New Roman"/>
                <w:kern w:val="2"/>
                <w:szCs w:val="18"/>
              </w:rPr>
            </w:pPr>
            <w:r>
              <w:rPr>
                <w:rFonts w:hint="eastAsia" w:ascii="Times New Roman" w:hAnsi="Times New Roman" w:cs="Times New Roman"/>
                <w:kern w:val="2"/>
                <w:szCs w:val="18"/>
              </w:rPr>
              <w:t>投料废气-收尘灰</w:t>
            </w:r>
          </w:p>
        </w:tc>
        <w:tc>
          <w:tcPr>
            <w:tcW w:w="861" w:type="dxa"/>
            <w:tcBorders>
              <w:top w:val="single" w:color="auto" w:sz="4" w:space="0"/>
              <w:left w:val="single" w:color="auto" w:sz="4" w:space="0"/>
              <w:bottom w:val="single" w:color="auto" w:sz="4" w:space="0"/>
              <w:right w:val="single" w:color="auto" w:sz="4" w:space="0"/>
            </w:tcBorders>
            <w:vAlign w:val="center"/>
          </w:tcPr>
          <w:p w14:paraId="1B8B43D3">
            <w:pPr>
              <w:pStyle w:val="190"/>
              <w:rPr>
                <w:rFonts w:ascii="Times New Roman" w:hAnsi="Times New Roman" w:cs="Times New Roman"/>
                <w:kern w:val="2"/>
                <w:szCs w:val="18"/>
              </w:rPr>
            </w:pPr>
            <w:r>
              <w:rPr>
                <w:rFonts w:ascii="Times New Roman" w:hAnsi="Times New Roman" w:cs="Times New Roman"/>
                <w:kern w:val="2"/>
                <w:szCs w:val="18"/>
              </w:rPr>
              <w:t>一般固废</w:t>
            </w:r>
          </w:p>
        </w:tc>
        <w:tc>
          <w:tcPr>
            <w:tcW w:w="1124" w:type="dxa"/>
            <w:tcBorders>
              <w:top w:val="single" w:color="auto" w:sz="4" w:space="0"/>
              <w:left w:val="single" w:color="auto" w:sz="4" w:space="0"/>
              <w:bottom w:val="single" w:color="auto" w:sz="4" w:space="0"/>
              <w:right w:val="single" w:color="auto" w:sz="4" w:space="0"/>
            </w:tcBorders>
            <w:vAlign w:val="center"/>
          </w:tcPr>
          <w:p w14:paraId="48B5C53A">
            <w:pPr>
              <w:pStyle w:val="190"/>
              <w:rPr>
                <w:rFonts w:ascii="Times New Roman" w:hAnsi="Times New Roman" w:cs="Times New Roman"/>
                <w:kern w:val="2"/>
                <w:szCs w:val="18"/>
              </w:rPr>
            </w:pPr>
            <w:r>
              <w:rPr>
                <w:rFonts w:ascii="Times New Roman" w:hAnsi="Times New Roman" w:cs="Times New Roman"/>
                <w:kern w:val="2"/>
                <w:szCs w:val="18"/>
              </w:rPr>
              <w:t>900-099-S16</w:t>
            </w:r>
          </w:p>
        </w:tc>
        <w:tc>
          <w:tcPr>
            <w:tcW w:w="1134" w:type="dxa"/>
            <w:tcBorders>
              <w:top w:val="single" w:color="auto" w:sz="4" w:space="0"/>
              <w:left w:val="single" w:color="auto" w:sz="4" w:space="0"/>
              <w:bottom w:val="single" w:color="auto" w:sz="4" w:space="0"/>
              <w:right w:val="single" w:color="auto" w:sz="4" w:space="0"/>
            </w:tcBorders>
            <w:vAlign w:val="center"/>
          </w:tcPr>
          <w:p w14:paraId="005C182B">
            <w:pPr>
              <w:pStyle w:val="190"/>
              <w:rPr>
                <w:rFonts w:ascii="Times New Roman" w:hAnsi="Times New Roman" w:cs="Times New Roman"/>
                <w:kern w:val="2"/>
                <w:szCs w:val="18"/>
              </w:rPr>
            </w:pPr>
            <w:r>
              <w:rPr>
                <w:rFonts w:hint="eastAsia" w:ascii="Times New Roman" w:hAnsi="Times New Roman" w:cs="Times New Roman"/>
                <w:kern w:val="2"/>
                <w:szCs w:val="18"/>
              </w:rPr>
              <w:t>5213.8</w:t>
            </w:r>
          </w:p>
        </w:tc>
        <w:tc>
          <w:tcPr>
            <w:tcW w:w="1134" w:type="dxa"/>
            <w:tcBorders>
              <w:top w:val="single" w:color="auto" w:sz="4" w:space="0"/>
              <w:left w:val="single" w:color="auto" w:sz="4" w:space="0"/>
              <w:bottom w:val="single" w:color="auto" w:sz="4" w:space="0"/>
              <w:right w:val="single" w:color="auto" w:sz="4" w:space="0"/>
            </w:tcBorders>
            <w:vAlign w:val="center"/>
          </w:tcPr>
          <w:p w14:paraId="6817D1C8">
            <w:pPr>
              <w:pStyle w:val="190"/>
              <w:rPr>
                <w:rFonts w:ascii="Times New Roman" w:hAnsi="Times New Roman" w:cs="Times New Roman"/>
                <w:kern w:val="2"/>
                <w:szCs w:val="18"/>
              </w:rPr>
            </w:pPr>
            <w:r>
              <w:rPr>
                <w:rFonts w:hint="eastAsia" w:ascii="Times New Roman" w:hAnsi="Times New Roman" w:cs="Times New Roman"/>
                <w:kern w:val="2"/>
                <w:szCs w:val="18"/>
              </w:rPr>
              <w:t>回用</w:t>
            </w:r>
          </w:p>
        </w:tc>
        <w:tc>
          <w:tcPr>
            <w:tcW w:w="1175" w:type="dxa"/>
            <w:tcBorders>
              <w:top w:val="single" w:color="auto" w:sz="4" w:space="0"/>
              <w:left w:val="single" w:color="auto" w:sz="4" w:space="0"/>
              <w:bottom w:val="single" w:color="auto" w:sz="4" w:space="0"/>
              <w:right w:val="single" w:color="auto" w:sz="4" w:space="0"/>
            </w:tcBorders>
            <w:vAlign w:val="center"/>
          </w:tcPr>
          <w:p w14:paraId="74D7CD48">
            <w:pPr>
              <w:pStyle w:val="190"/>
              <w:rPr>
                <w:rFonts w:ascii="Times New Roman" w:hAnsi="Times New Roman" w:cs="Times New Roman"/>
                <w:kern w:val="2"/>
                <w:szCs w:val="18"/>
              </w:rPr>
            </w:pPr>
            <w:r>
              <w:rPr>
                <w:rFonts w:hint="eastAsia" w:ascii="Times New Roman" w:hAnsi="Times New Roman" w:cs="Times New Roman"/>
                <w:kern w:val="2"/>
                <w:szCs w:val="18"/>
              </w:rPr>
              <w:t>5213.8</w:t>
            </w:r>
          </w:p>
        </w:tc>
      </w:tr>
      <w:tr w14:paraId="66E3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67" w:type="dxa"/>
            <w:tcBorders>
              <w:top w:val="single" w:color="auto" w:sz="4" w:space="0"/>
              <w:left w:val="single" w:color="auto" w:sz="4" w:space="0"/>
              <w:right w:val="single" w:color="auto" w:sz="4" w:space="0"/>
            </w:tcBorders>
            <w:vAlign w:val="center"/>
          </w:tcPr>
          <w:p w14:paraId="7B1FADC9">
            <w:pPr>
              <w:pStyle w:val="190"/>
              <w:rPr>
                <w:rFonts w:ascii="Times New Roman" w:hAnsi="Times New Roman" w:cs="Times New Roman"/>
                <w:szCs w:val="22"/>
              </w:rPr>
            </w:pPr>
            <w:r>
              <w:rPr>
                <w:rFonts w:ascii="Times New Roman" w:hAnsi="Times New Roman" w:cs="Times New Roman"/>
              </w:rPr>
              <w:t>S</w:t>
            </w:r>
            <w:r>
              <w:rPr>
                <w:rFonts w:hint="eastAsia" w:ascii="Times New Roman" w:hAnsi="Times New Roman" w:cs="Times New Roman"/>
                <w:vertAlign w:val="subscript"/>
              </w:rPr>
              <w:t>7</w:t>
            </w:r>
            <w:r>
              <w:rPr>
                <w:rFonts w:ascii="Times New Roman" w:hAnsi="Times New Roman" w:cs="Times New Roman"/>
                <w:vertAlign w:val="subscript"/>
              </w:rPr>
              <w:t>-2</w:t>
            </w:r>
          </w:p>
        </w:tc>
        <w:tc>
          <w:tcPr>
            <w:tcW w:w="2410" w:type="dxa"/>
            <w:tcBorders>
              <w:top w:val="single" w:color="auto" w:sz="4" w:space="0"/>
              <w:left w:val="single" w:color="auto" w:sz="4" w:space="0"/>
              <w:right w:val="single" w:color="auto" w:sz="4" w:space="0"/>
            </w:tcBorders>
            <w:vAlign w:val="center"/>
          </w:tcPr>
          <w:p w14:paraId="095B0124">
            <w:pPr>
              <w:pStyle w:val="190"/>
              <w:rPr>
                <w:rFonts w:ascii="Times New Roman" w:hAnsi="Times New Roman" w:cs="Times New Roman"/>
                <w:szCs w:val="18"/>
              </w:rPr>
            </w:pPr>
            <w:r>
              <w:rPr>
                <w:rFonts w:hint="eastAsia" w:ascii="Times New Roman" w:hAnsi="Times New Roman" w:cs="Times New Roman"/>
                <w:szCs w:val="18"/>
              </w:rPr>
              <w:t>冷却废气-收尘灰</w:t>
            </w:r>
          </w:p>
        </w:tc>
        <w:tc>
          <w:tcPr>
            <w:tcW w:w="861" w:type="dxa"/>
            <w:tcBorders>
              <w:top w:val="single" w:color="auto" w:sz="4" w:space="0"/>
              <w:left w:val="single" w:color="auto" w:sz="4" w:space="0"/>
              <w:right w:val="single" w:color="auto" w:sz="4" w:space="0"/>
            </w:tcBorders>
            <w:vAlign w:val="center"/>
          </w:tcPr>
          <w:p w14:paraId="03478525">
            <w:pPr>
              <w:pStyle w:val="190"/>
              <w:rPr>
                <w:rFonts w:ascii="Times New Roman" w:hAnsi="Times New Roman" w:cs="Times New Roman"/>
                <w:kern w:val="2"/>
                <w:szCs w:val="18"/>
              </w:rPr>
            </w:pPr>
            <w:r>
              <w:rPr>
                <w:rFonts w:ascii="Times New Roman" w:hAnsi="Times New Roman" w:cs="Times New Roman"/>
                <w:kern w:val="2"/>
                <w:szCs w:val="18"/>
              </w:rPr>
              <w:t>一般固废</w:t>
            </w:r>
          </w:p>
        </w:tc>
        <w:tc>
          <w:tcPr>
            <w:tcW w:w="1124" w:type="dxa"/>
            <w:tcBorders>
              <w:top w:val="single" w:color="auto" w:sz="4" w:space="0"/>
              <w:left w:val="single" w:color="auto" w:sz="4" w:space="0"/>
              <w:right w:val="single" w:color="auto" w:sz="4" w:space="0"/>
            </w:tcBorders>
            <w:vAlign w:val="center"/>
          </w:tcPr>
          <w:p w14:paraId="69CB7F5B">
            <w:pPr>
              <w:pStyle w:val="190"/>
              <w:rPr>
                <w:rFonts w:ascii="Times New Roman" w:hAnsi="Times New Roman" w:cs="Times New Roman"/>
                <w:kern w:val="2"/>
                <w:szCs w:val="18"/>
              </w:rPr>
            </w:pPr>
            <w:r>
              <w:rPr>
                <w:rFonts w:ascii="Times New Roman" w:hAnsi="Times New Roman" w:cs="Times New Roman"/>
                <w:kern w:val="2"/>
                <w:szCs w:val="18"/>
              </w:rPr>
              <w:t>900-099-S16</w:t>
            </w:r>
          </w:p>
        </w:tc>
        <w:tc>
          <w:tcPr>
            <w:tcW w:w="1134" w:type="dxa"/>
            <w:tcBorders>
              <w:top w:val="single" w:color="auto" w:sz="4" w:space="0"/>
              <w:left w:val="single" w:color="auto" w:sz="4" w:space="0"/>
              <w:bottom w:val="single" w:color="auto" w:sz="4" w:space="0"/>
              <w:right w:val="single" w:color="auto" w:sz="4" w:space="0"/>
            </w:tcBorders>
            <w:vAlign w:val="center"/>
          </w:tcPr>
          <w:p w14:paraId="3EE1B8A0">
            <w:pPr>
              <w:pStyle w:val="190"/>
              <w:rPr>
                <w:rFonts w:ascii="Times New Roman" w:hAnsi="Times New Roman" w:cs="Times New Roman"/>
                <w:kern w:val="2"/>
                <w:szCs w:val="18"/>
              </w:rPr>
            </w:pPr>
            <w:r>
              <w:rPr>
                <w:rFonts w:hint="eastAsia" w:ascii="Times New Roman" w:hAnsi="Times New Roman" w:cs="Times New Roman"/>
              </w:rPr>
              <w:t>119.4</w:t>
            </w:r>
          </w:p>
        </w:tc>
        <w:tc>
          <w:tcPr>
            <w:tcW w:w="1134" w:type="dxa"/>
            <w:tcBorders>
              <w:top w:val="single" w:color="auto" w:sz="4" w:space="0"/>
              <w:left w:val="single" w:color="auto" w:sz="4" w:space="0"/>
              <w:right w:val="single" w:color="auto" w:sz="4" w:space="0"/>
            </w:tcBorders>
            <w:vAlign w:val="center"/>
          </w:tcPr>
          <w:p w14:paraId="7474B88D">
            <w:pPr>
              <w:pStyle w:val="190"/>
              <w:rPr>
                <w:rFonts w:ascii="Times New Roman" w:hAnsi="Times New Roman" w:cs="Times New Roman"/>
                <w:kern w:val="2"/>
                <w:szCs w:val="18"/>
              </w:rPr>
            </w:pPr>
            <w:r>
              <w:rPr>
                <w:rFonts w:hint="eastAsia" w:ascii="Times New Roman" w:hAnsi="Times New Roman" w:cs="Times New Roman"/>
                <w:kern w:val="2"/>
                <w:szCs w:val="18"/>
              </w:rPr>
              <w:t>回用</w:t>
            </w:r>
          </w:p>
        </w:tc>
        <w:tc>
          <w:tcPr>
            <w:tcW w:w="1175" w:type="dxa"/>
            <w:tcBorders>
              <w:top w:val="single" w:color="auto" w:sz="4" w:space="0"/>
              <w:left w:val="single" w:color="auto" w:sz="4" w:space="0"/>
              <w:bottom w:val="single" w:color="auto" w:sz="4" w:space="0"/>
              <w:right w:val="single" w:color="auto" w:sz="4" w:space="0"/>
            </w:tcBorders>
            <w:vAlign w:val="center"/>
          </w:tcPr>
          <w:p w14:paraId="3CD8DEAD">
            <w:pPr>
              <w:pStyle w:val="190"/>
              <w:rPr>
                <w:rFonts w:hint="eastAsia"/>
              </w:rPr>
            </w:pPr>
            <w:r>
              <w:rPr>
                <w:rFonts w:hint="eastAsia" w:ascii="Times New Roman" w:hAnsi="Times New Roman" w:cs="Times New Roman"/>
              </w:rPr>
              <w:t>119.4</w:t>
            </w:r>
          </w:p>
        </w:tc>
      </w:tr>
    </w:tbl>
    <w:p w14:paraId="3D7CF13B">
      <w:pPr>
        <w:rPr>
          <w:rFonts w:hint="eastAsia"/>
        </w:rPr>
      </w:pPr>
      <w:r>
        <w:rPr>
          <w:rFonts w:hint="eastAsia"/>
        </w:rPr>
        <w:br w:type="page"/>
      </w:r>
    </w:p>
    <w:p w14:paraId="7D3F3E1F">
      <w:pPr>
        <w:pStyle w:val="3"/>
        <w:rPr>
          <w:rFonts w:hint="eastAsia"/>
        </w:rPr>
      </w:pPr>
      <w:bookmarkStart w:id="185" w:name="_Toc4284"/>
      <w:r>
        <w:t>公用工程</w:t>
      </w:r>
      <w:r>
        <w:rPr>
          <w:rFonts w:hint="eastAsia"/>
        </w:rPr>
        <w:t>（编号08）</w:t>
      </w:r>
      <w:bookmarkEnd w:id="179"/>
      <w:bookmarkEnd w:id="185"/>
    </w:p>
    <w:p w14:paraId="7E3F155B">
      <w:pPr>
        <w:pStyle w:val="97"/>
        <w:rPr>
          <w:rFonts w:hint="eastAsia"/>
        </w:rPr>
      </w:pPr>
      <w:r>
        <w:t>供水工程</w:t>
      </w:r>
    </w:p>
    <w:p w14:paraId="55234C0D">
      <w:pPr>
        <w:pStyle w:val="98"/>
        <w:rPr>
          <w:rFonts w:hint="eastAsia"/>
        </w:rPr>
      </w:pPr>
      <w:r>
        <w:t>用水水源</w:t>
      </w:r>
    </w:p>
    <w:p w14:paraId="462982A3">
      <w:pPr>
        <w:snapToGrid w:val="0"/>
        <w:spacing w:line="360" w:lineRule="auto"/>
        <w:ind w:firstLine="480"/>
        <w:rPr>
          <w:rFonts w:ascii="Times New Roman" w:hAnsi="Times New Roman" w:cs="Times New Roman"/>
        </w:rPr>
      </w:pPr>
      <w:r>
        <w:rPr>
          <w:rFonts w:ascii="Times New Roman" w:hAnsi="Times New Roman" w:cs="Times New Roman"/>
        </w:rPr>
        <w:t>哈密化工产业集中区的水源由哈密市三水厂提供。三水厂位于G30国道和Z504省道西北角，哈巴公路以西的位置，占地面积约为7公顷，水源为榆树沟水库地表水和及自备地下水源井，现状供水能力8万立方米/日，其中地表水6.5万立方米/日，地下水1.5万立方米/日，远期规划供水规模达到15万立方米/日。</w:t>
      </w:r>
    </w:p>
    <w:p w14:paraId="418580FB">
      <w:pPr>
        <w:pStyle w:val="281"/>
        <w:ind w:firstLine="480"/>
      </w:pPr>
      <w:r>
        <w:rPr>
          <w:rFonts w:cs="Times New Roman"/>
        </w:rPr>
        <w:t>根据南部循环经济产业园数据统计，现状工业用水512.93万m³/年，化工产业集中区依托南部循环经济产业园现有给水工程，在建9个项目的用水约1486.89万m³/年，其中新鲜水339.32万m³/年，近期规划项目为20万吨/年工业硅项目，用水量约219.2万m³/年，其中新鲜水65.76万m³/年，远期规划项目为20万吨/年PVA项目，用水量约535.2万m³/年，其中新鲜水160.56万m³/年。由上述数据核算，南部循环经济产业园近期规划用水约2219.02</w:t>
      </w:r>
      <w:r>
        <w:rPr>
          <w:rFonts w:hint="eastAsia" w:cs="Times New Roman"/>
        </w:rPr>
        <w:t>万</w:t>
      </w:r>
      <w:r>
        <w:rPr>
          <w:rFonts w:cs="Times New Roman"/>
        </w:rPr>
        <w:t>m³/年，其中新鲜水917.85万m³，远期规划用水约2754.22万m³/年，其中新鲜水1078.41万m³，都</w:t>
      </w:r>
      <w:r>
        <w:rPr>
          <w:rFonts w:hint="eastAsia" w:cs="Times New Roman"/>
        </w:rPr>
        <w:t>在</w:t>
      </w:r>
      <w:r>
        <w:rPr>
          <w:rFonts w:cs="Times New Roman"/>
        </w:rPr>
        <w:t>哈密工业园区的取用水范围内。</w:t>
      </w:r>
    </w:p>
    <w:p w14:paraId="39B1E7E3">
      <w:pPr>
        <w:pStyle w:val="281"/>
        <w:ind w:firstLine="480"/>
        <w:rPr>
          <w:rFonts w:cs="Times New Roman"/>
        </w:rPr>
      </w:pPr>
      <w:r>
        <w:rPr>
          <w:rFonts w:cs="Times New Roman"/>
        </w:rPr>
        <w:t>根据上述数据核算近期新鲜水用量折合2.78万m³/d，远期规划新鲜水用量折合3.3万m³/d，三水厂近期富余供水能力5.22万m³/d，远期富余供水能力4.7~11.7万m³/d，本项目用水量约1.275万m³/d，哈密市三水厂富余供水能力满足本项目用水需要。</w:t>
      </w:r>
    </w:p>
    <w:p w14:paraId="7919CCF9">
      <w:pPr>
        <w:pStyle w:val="281"/>
        <w:ind w:firstLine="480"/>
      </w:pPr>
      <w:r>
        <w:rPr>
          <w:rFonts w:hint="eastAsia" w:cs="Times New Roman"/>
        </w:rPr>
        <w:t>本项目污、废水全部收集、处理和回用，实现零排放，节约使用新鲜水</w:t>
      </w:r>
      <w:r>
        <w:rPr>
          <w:rFonts w:hint="eastAsia" w:cs="Times New Roman"/>
          <w:szCs w:val="24"/>
        </w:rPr>
        <w:t>。</w:t>
      </w:r>
    </w:p>
    <w:p w14:paraId="6DD960AB">
      <w:pPr>
        <w:pStyle w:val="98"/>
        <w:rPr>
          <w:rFonts w:hint="eastAsia"/>
        </w:rPr>
      </w:pPr>
      <w:bookmarkStart w:id="186" w:name="_Hlk98239129"/>
      <w:r>
        <w:rPr>
          <w:rFonts w:hint="eastAsia"/>
        </w:rPr>
        <w:t>给水工程</w:t>
      </w:r>
    </w:p>
    <w:p w14:paraId="475E75D5">
      <w:pPr>
        <w:pStyle w:val="281"/>
        <w:ind w:firstLine="480"/>
        <w:rPr>
          <w:rFonts w:cs="Times New Roman"/>
        </w:rPr>
      </w:pPr>
      <w:r>
        <w:rPr>
          <w:rFonts w:hint="eastAsia" w:cs="Times New Roman"/>
        </w:rPr>
        <w:t>本工程年操作时间按8</w:t>
      </w:r>
      <w:r>
        <w:rPr>
          <w:rFonts w:cs="Times New Roman"/>
        </w:rPr>
        <w:t>000</w:t>
      </w:r>
      <w:r>
        <w:rPr>
          <w:rFonts w:hint="eastAsia" w:cs="Times New Roman"/>
        </w:rPr>
        <w:t>小时考虑。年平均生产、生活新鲜水用水总量为355.3m</w:t>
      </w:r>
      <w:r>
        <w:rPr>
          <w:rFonts w:hint="eastAsia" w:cs="Times New Roman"/>
          <w:vertAlign w:val="superscript"/>
        </w:rPr>
        <w:t>3</w:t>
      </w:r>
      <w:r>
        <w:rPr>
          <w:rFonts w:hint="eastAsia" w:cs="Times New Roman"/>
        </w:rPr>
        <w:t>/h，年用水量284.24万m</w:t>
      </w:r>
      <w:r>
        <w:rPr>
          <w:rFonts w:hint="eastAsia" w:cs="Times New Roman"/>
          <w:vertAlign w:val="superscript"/>
        </w:rPr>
        <w:t>3</w:t>
      </w:r>
      <w:r>
        <w:rPr>
          <w:rFonts w:hint="eastAsia" w:cs="Times New Roman"/>
        </w:rPr>
        <w:t>。</w:t>
      </w:r>
    </w:p>
    <w:p w14:paraId="0DDB5402">
      <w:pPr>
        <w:pStyle w:val="281"/>
        <w:ind w:firstLine="480"/>
        <w:rPr>
          <w:rFonts w:cs="Times New Roman"/>
        </w:rPr>
      </w:pPr>
      <w:r>
        <w:rPr>
          <w:rFonts w:hint="eastAsia" w:cs="Times New Roman"/>
        </w:rPr>
        <w:t>根据各用户对水量、水质、水压及用途的不同要求，本工程厂区给水系统划分为生活给水系统、低压生产水给水系统、高压生产水给水系统、循环冷却水系统、稳高压消防给水系统、中水回用水系统、污水回用水系统。分述如下：</w:t>
      </w:r>
    </w:p>
    <w:p w14:paraId="32328C39">
      <w:pPr>
        <w:pStyle w:val="281"/>
        <w:ind w:firstLine="480"/>
        <w:rPr>
          <w:rFonts w:cs="Times New Roman"/>
        </w:rPr>
      </w:pPr>
      <w:r>
        <w:rPr>
          <w:rFonts w:hint="eastAsia" w:cs="Times New Roman"/>
        </w:rPr>
        <w:t>（1）生活给水管道系统（DW）</w:t>
      </w:r>
    </w:p>
    <w:p w14:paraId="583A22B9">
      <w:pPr>
        <w:pStyle w:val="281"/>
        <w:ind w:firstLine="480"/>
        <w:rPr>
          <w:rFonts w:cs="Times New Roman"/>
        </w:rPr>
      </w:pPr>
      <w:r>
        <w:rPr>
          <w:rFonts w:hint="eastAsia" w:cs="Times New Roman"/>
        </w:rPr>
        <w:t>生活给水系统供水压力0.40MPa，主要供全厂各装置生活用水、化验用水和洗眼淋浴器用水。管网供水压力0.40MPa。管材采用钢骨架聚乙烯复合压力管，电热熔连接，主干管环状布置。</w:t>
      </w:r>
    </w:p>
    <w:p w14:paraId="49530001">
      <w:pPr>
        <w:pStyle w:val="281"/>
        <w:ind w:firstLine="480"/>
        <w:rPr>
          <w:rFonts w:cs="Times New Roman"/>
        </w:rPr>
      </w:pPr>
      <w:r>
        <w:rPr>
          <w:rFonts w:hint="eastAsia" w:cs="Times New Roman"/>
        </w:rPr>
        <w:t>平均生活用水量为10m</w:t>
      </w:r>
      <w:r>
        <w:rPr>
          <w:rFonts w:hint="eastAsia" w:cs="Times New Roman"/>
          <w:vertAlign w:val="superscript"/>
        </w:rPr>
        <w:t>3</w:t>
      </w:r>
      <w:r>
        <w:rPr>
          <w:rFonts w:hint="eastAsia" w:cs="Times New Roman"/>
        </w:rPr>
        <w:t>/h。</w:t>
      </w:r>
    </w:p>
    <w:p w14:paraId="1033F651">
      <w:pPr>
        <w:pStyle w:val="281"/>
        <w:ind w:firstLine="480"/>
        <w:rPr>
          <w:rFonts w:cs="Times New Roman"/>
        </w:rPr>
      </w:pPr>
      <w:r>
        <w:rPr>
          <w:rFonts w:hint="eastAsia" w:cs="Times New Roman"/>
        </w:rPr>
        <w:t>生活水加压泵设置于综合供水泵房站内。设3台水泵，两开一备，变频控制。单台水泵性能参数Q=15m</w:t>
      </w:r>
      <w:r>
        <w:rPr>
          <w:rFonts w:hint="eastAsia" w:cs="Times New Roman"/>
          <w:vertAlign w:val="superscript"/>
        </w:rPr>
        <w:t>3</w:t>
      </w:r>
      <w:r>
        <w:rPr>
          <w:rFonts w:hint="eastAsia" w:cs="Times New Roman"/>
        </w:rPr>
        <w:t>/h，H=50m。</w:t>
      </w:r>
    </w:p>
    <w:p w14:paraId="347D2DA2">
      <w:pPr>
        <w:pStyle w:val="281"/>
        <w:ind w:firstLine="480"/>
        <w:rPr>
          <w:rFonts w:cs="Times New Roman"/>
        </w:rPr>
      </w:pPr>
      <w:r>
        <w:rPr>
          <w:rFonts w:hint="eastAsia" w:cs="Times New Roman"/>
        </w:rPr>
        <w:t>园区生活给水送至生活水箱贮存，经生活给水泵加压送至全厂生活给水管网。</w:t>
      </w:r>
    </w:p>
    <w:p w14:paraId="414C8022">
      <w:pPr>
        <w:pStyle w:val="281"/>
        <w:ind w:firstLine="480"/>
      </w:pPr>
      <w:r>
        <w:rPr>
          <w:rFonts w:hint="eastAsia"/>
        </w:rPr>
        <w:t>（2）低压生产给水系统</w:t>
      </w:r>
    </w:p>
    <w:p w14:paraId="2EDC81DA">
      <w:pPr>
        <w:snapToGrid w:val="0"/>
        <w:spacing w:line="360" w:lineRule="auto"/>
        <w:ind w:firstLine="480"/>
        <w:rPr>
          <w:rFonts w:ascii="Times New Roman" w:hAnsi="Times New Roman" w:cs="Times New Roman"/>
        </w:rPr>
      </w:pPr>
      <w:r>
        <w:rPr>
          <w:rFonts w:hint="eastAsia" w:ascii="Times New Roman" w:hAnsi="Times New Roman" w:cs="Times New Roman"/>
        </w:rPr>
        <w:t>本系统主要为满足新鲜水消防水池、循环水补水和化学水站用水要求而设置，低压生产给水系统供水压力0.</w:t>
      </w:r>
      <w:r>
        <w:rPr>
          <w:rFonts w:ascii="Times New Roman" w:hAnsi="Times New Roman" w:cs="Times New Roman"/>
        </w:rPr>
        <w:t>2</w:t>
      </w:r>
      <w:r>
        <w:rPr>
          <w:rFonts w:hint="eastAsia" w:ascii="Times New Roman" w:hAnsi="Times New Roman" w:cs="Times New Roman"/>
        </w:rPr>
        <w:t>MPa。管材采用钢管，主干管环状布置。</w:t>
      </w:r>
    </w:p>
    <w:p w14:paraId="5C6E5871">
      <w:pPr>
        <w:pStyle w:val="281"/>
        <w:ind w:firstLine="480"/>
        <w:rPr>
          <w:rFonts w:cs="Times New Roman"/>
        </w:rPr>
      </w:pPr>
      <w:r>
        <w:rPr>
          <w:rFonts w:hint="eastAsia" w:cs="Times New Roman"/>
        </w:rPr>
        <w:t>低压生产给水由园区生产给水管网直接供给，当园区停水时，由生产水消防水罐靠液位差供水，本项目内不设置低压生产水泵。低压生产水用水量为</w:t>
      </w:r>
      <w:r>
        <w:rPr>
          <w:rFonts w:cs="Times New Roman"/>
        </w:rPr>
        <w:t>126.2</w:t>
      </w:r>
      <w:r>
        <w:rPr>
          <w:rFonts w:hint="eastAsia" w:cs="Times New Roman"/>
        </w:rPr>
        <w:t>~</w:t>
      </w:r>
      <w:r>
        <w:rPr>
          <w:rFonts w:cs="Times New Roman"/>
        </w:rPr>
        <w:t>881</w:t>
      </w:r>
      <w:r>
        <w:rPr>
          <w:rFonts w:hint="eastAsia" w:cs="Times New Roman"/>
        </w:rPr>
        <w:t>m</w:t>
      </w:r>
      <w:r>
        <w:rPr>
          <w:rFonts w:hint="eastAsia" w:cs="Times New Roman"/>
          <w:vertAlign w:val="superscript"/>
        </w:rPr>
        <w:t>3</w:t>
      </w:r>
      <w:r>
        <w:rPr>
          <w:rFonts w:hint="eastAsia" w:cs="Times New Roman"/>
        </w:rPr>
        <w:t>/h。</w:t>
      </w:r>
    </w:p>
    <w:p w14:paraId="1043D580">
      <w:pPr>
        <w:pStyle w:val="281"/>
        <w:ind w:firstLine="480"/>
        <w:rPr>
          <w:rFonts w:cs="Times New Roman"/>
        </w:rPr>
      </w:pPr>
      <w:r>
        <w:rPr>
          <w:rFonts w:hint="eastAsia" w:cs="Times New Roman"/>
        </w:rPr>
        <w:t>（3）高压生产给水管道系统（GPW）</w:t>
      </w:r>
    </w:p>
    <w:p w14:paraId="156238F0">
      <w:pPr>
        <w:pStyle w:val="281"/>
        <w:ind w:firstLine="480"/>
        <w:rPr>
          <w:rFonts w:cs="Times New Roman"/>
        </w:rPr>
      </w:pPr>
      <w:r>
        <w:rPr>
          <w:rFonts w:hint="eastAsia" w:cs="Times New Roman"/>
        </w:rPr>
        <w:t>本系统主要为满足除低压系统外的其他各装置生产用水、冲洗地坪等要求而设置，供水压力≥0.4Mpa，生产水罐与装置区消防水罐合建，泵房共用，管材采用钢管，主干管环状布置。</w:t>
      </w:r>
    </w:p>
    <w:p w14:paraId="742F13D2">
      <w:pPr>
        <w:pStyle w:val="281"/>
        <w:ind w:firstLine="480"/>
        <w:rPr>
          <w:rFonts w:cs="Times New Roman"/>
        </w:rPr>
      </w:pPr>
      <w:r>
        <w:rPr>
          <w:rFonts w:hint="eastAsia" w:cs="Times New Roman"/>
        </w:rPr>
        <w:t>生产水用水量为58.7m</w:t>
      </w:r>
      <w:r>
        <w:rPr>
          <w:rFonts w:hint="eastAsia" w:cs="Times New Roman"/>
          <w:vertAlign w:val="superscript"/>
        </w:rPr>
        <w:t>3</w:t>
      </w:r>
      <w:r>
        <w:rPr>
          <w:rFonts w:hint="eastAsia" w:cs="Times New Roman"/>
        </w:rPr>
        <w:t>/h，设两台水泵，两开一备，其中一台变频控制。单台水泵性能参数Q=35m</w:t>
      </w:r>
      <w:r>
        <w:rPr>
          <w:rFonts w:hint="eastAsia" w:cs="Times New Roman"/>
          <w:vertAlign w:val="superscript"/>
        </w:rPr>
        <w:t>3</w:t>
      </w:r>
      <w:r>
        <w:rPr>
          <w:rFonts w:hint="eastAsia" w:cs="Times New Roman"/>
        </w:rPr>
        <w:t>/h，H=50m。</w:t>
      </w:r>
    </w:p>
    <w:bookmarkEnd w:id="186"/>
    <w:p w14:paraId="4D1847D0">
      <w:pPr>
        <w:pStyle w:val="98"/>
        <w:rPr>
          <w:rFonts w:hint="eastAsia"/>
        </w:rPr>
      </w:pPr>
      <w:r>
        <w:rPr>
          <w:rFonts w:hint="eastAsia"/>
        </w:rPr>
        <w:t>循环水站</w:t>
      </w:r>
    </w:p>
    <w:p w14:paraId="3787DF63">
      <w:pPr>
        <w:pStyle w:val="814"/>
        <w:rPr>
          <w:rFonts w:hint="eastAsia"/>
        </w:rPr>
      </w:pPr>
      <w:r>
        <w:rPr>
          <w:rFonts w:hint="eastAsia"/>
        </w:rPr>
        <w:t>设计规模</w:t>
      </w:r>
    </w:p>
    <w:p w14:paraId="7291B739">
      <w:pPr>
        <w:pStyle w:val="281"/>
        <w:ind w:firstLine="480"/>
        <w:rPr>
          <w:rFonts w:cs="Times New Roman"/>
        </w:rPr>
      </w:pPr>
      <w:r>
        <w:rPr>
          <w:rFonts w:hint="eastAsia" w:cs="Times New Roman"/>
        </w:rPr>
        <w:t>本项目循环水系统共分六个系统。其中</w:t>
      </w:r>
      <w:bookmarkStart w:id="187" w:name="_Hlk145081895"/>
      <w:r>
        <w:rPr>
          <w:rFonts w:hint="eastAsia" w:cs="Times New Roman"/>
        </w:rPr>
        <w:t>公辅循环水量为</w:t>
      </w:r>
      <w:r>
        <w:rPr>
          <w:rFonts w:cs="Times New Roman"/>
        </w:rPr>
        <w:t>3680</w:t>
      </w:r>
      <w:r>
        <w:rPr>
          <w:rFonts w:hint="eastAsia" w:cs="Times New Roman"/>
        </w:rPr>
        <w:t>m</w:t>
      </w:r>
      <w:r>
        <w:rPr>
          <w:rFonts w:hint="eastAsia" w:cs="Times New Roman"/>
          <w:vertAlign w:val="superscript"/>
        </w:rPr>
        <w:t>3</w:t>
      </w:r>
      <w:r>
        <w:rPr>
          <w:rFonts w:hint="eastAsia" w:cs="Times New Roman"/>
        </w:rPr>
        <w:t>/h，设计规模4</w:t>
      </w:r>
      <w:r>
        <w:rPr>
          <w:rFonts w:cs="Times New Roman"/>
        </w:rPr>
        <w:t>000</w:t>
      </w:r>
      <w:r>
        <w:rPr>
          <w:rFonts w:hint="eastAsia" w:cs="Times New Roman"/>
        </w:rPr>
        <w:t xml:space="preserve"> m</w:t>
      </w:r>
      <w:r>
        <w:rPr>
          <w:rFonts w:hint="eastAsia" w:cs="Times New Roman"/>
          <w:vertAlign w:val="superscript"/>
        </w:rPr>
        <w:t>3</w:t>
      </w:r>
      <w:r>
        <w:rPr>
          <w:rFonts w:hint="eastAsia" w:cs="Times New Roman"/>
        </w:rPr>
        <w:t>/h；空分循环水量为</w:t>
      </w:r>
      <w:bookmarkStart w:id="188" w:name="_Hlk117081162"/>
      <w:r>
        <w:rPr>
          <w:rFonts w:hint="eastAsia" w:cs="Times New Roman"/>
        </w:rPr>
        <w:t>4000m</w:t>
      </w:r>
      <w:r>
        <w:rPr>
          <w:rFonts w:hint="eastAsia" w:cs="Times New Roman"/>
          <w:vertAlign w:val="superscript"/>
        </w:rPr>
        <w:t>3</w:t>
      </w:r>
      <w:r>
        <w:rPr>
          <w:rFonts w:hint="eastAsia" w:cs="Times New Roman"/>
        </w:rPr>
        <w:t>/h</w:t>
      </w:r>
      <w:bookmarkEnd w:id="187"/>
      <w:bookmarkEnd w:id="188"/>
      <w:r>
        <w:rPr>
          <w:rFonts w:hint="eastAsia" w:cs="Times New Roman"/>
        </w:rPr>
        <w:t>，设计规模4</w:t>
      </w:r>
      <w:r>
        <w:rPr>
          <w:rFonts w:cs="Times New Roman"/>
        </w:rPr>
        <w:t>000</w:t>
      </w:r>
      <w:r>
        <w:rPr>
          <w:rFonts w:hint="eastAsia" w:cs="Times New Roman"/>
        </w:rPr>
        <w:t>m</w:t>
      </w:r>
      <w:r>
        <w:rPr>
          <w:rFonts w:hint="eastAsia" w:cs="Times New Roman"/>
          <w:vertAlign w:val="superscript"/>
        </w:rPr>
        <w:t>3</w:t>
      </w:r>
      <w:r>
        <w:rPr>
          <w:rFonts w:hint="eastAsia" w:cs="Times New Roman"/>
        </w:rPr>
        <w:t>/h；电解循环水量为</w:t>
      </w:r>
      <w:r>
        <w:rPr>
          <w:rFonts w:cs="Times New Roman"/>
        </w:rPr>
        <w:t>21000</w:t>
      </w:r>
      <w:r>
        <w:rPr>
          <w:rFonts w:hint="eastAsia" w:cs="Times New Roman"/>
        </w:rPr>
        <w:t>m</w:t>
      </w:r>
      <w:r>
        <w:rPr>
          <w:rFonts w:hint="eastAsia" w:cs="Times New Roman"/>
          <w:vertAlign w:val="superscript"/>
        </w:rPr>
        <w:t>3</w:t>
      </w:r>
      <w:r>
        <w:rPr>
          <w:rFonts w:hint="eastAsia" w:cs="Times New Roman"/>
        </w:rPr>
        <w:t>/h，设计规模</w:t>
      </w:r>
      <w:r>
        <w:rPr>
          <w:rFonts w:cs="Times New Roman"/>
        </w:rPr>
        <w:t>2</w:t>
      </w:r>
      <w:r>
        <w:rPr>
          <w:rFonts w:hint="eastAsia" w:cs="Times New Roman"/>
        </w:rPr>
        <w:t>2</w:t>
      </w:r>
      <w:r>
        <w:rPr>
          <w:rFonts w:cs="Times New Roman"/>
        </w:rPr>
        <w:t>000</w:t>
      </w:r>
      <w:r>
        <w:rPr>
          <w:rFonts w:hint="eastAsia" w:cs="Times New Roman"/>
        </w:rPr>
        <w:t>m</w:t>
      </w:r>
      <w:r>
        <w:rPr>
          <w:rFonts w:hint="eastAsia" w:cs="Times New Roman"/>
          <w:vertAlign w:val="superscript"/>
        </w:rPr>
        <w:t>3</w:t>
      </w:r>
      <w:r>
        <w:rPr>
          <w:rFonts w:hint="eastAsia" w:cs="Times New Roman"/>
        </w:rPr>
        <w:t>/h；DMO循环水量为5386.2m</w:t>
      </w:r>
      <w:r>
        <w:rPr>
          <w:rFonts w:hint="eastAsia" w:cs="Times New Roman"/>
          <w:vertAlign w:val="superscript"/>
        </w:rPr>
        <w:t>3</w:t>
      </w:r>
      <w:r>
        <w:rPr>
          <w:rFonts w:hint="eastAsia" w:cs="Times New Roman"/>
        </w:rPr>
        <w:t>/h，设计规模6</w:t>
      </w:r>
      <w:r>
        <w:rPr>
          <w:rFonts w:cs="Times New Roman"/>
        </w:rPr>
        <w:t>000</w:t>
      </w:r>
      <w:r>
        <w:rPr>
          <w:rFonts w:hint="eastAsia" w:cs="Times New Roman"/>
        </w:rPr>
        <w:t>m</w:t>
      </w:r>
      <w:r>
        <w:rPr>
          <w:rFonts w:hint="eastAsia" w:cs="Times New Roman"/>
          <w:vertAlign w:val="superscript"/>
        </w:rPr>
        <w:t>3</w:t>
      </w:r>
      <w:r>
        <w:rPr>
          <w:rFonts w:hint="eastAsia" w:cs="Times New Roman"/>
        </w:rPr>
        <w:t>/h；草酰胺有机肥循环水量为3848.3m</w:t>
      </w:r>
      <w:r>
        <w:rPr>
          <w:rFonts w:hint="eastAsia" w:cs="Times New Roman"/>
          <w:vertAlign w:val="superscript"/>
        </w:rPr>
        <w:t>3</w:t>
      </w:r>
      <w:r>
        <w:rPr>
          <w:rFonts w:hint="eastAsia" w:cs="Times New Roman"/>
        </w:rPr>
        <w:t>/h，设计规模4</w:t>
      </w:r>
      <w:r>
        <w:rPr>
          <w:rFonts w:cs="Times New Roman"/>
        </w:rPr>
        <w:t>000</w:t>
      </w:r>
      <w:r>
        <w:rPr>
          <w:rFonts w:hint="eastAsia" w:cs="Times New Roman"/>
        </w:rPr>
        <w:t>m</w:t>
      </w:r>
      <w:r>
        <w:rPr>
          <w:rFonts w:hint="eastAsia" w:cs="Times New Roman"/>
          <w:vertAlign w:val="superscript"/>
        </w:rPr>
        <w:t>3</w:t>
      </w:r>
      <w:r>
        <w:rPr>
          <w:rFonts w:hint="eastAsia" w:cs="Times New Roman"/>
        </w:rPr>
        <w:t>/h；合成氨循环水量为9390.13m</w:t>
      </w:r>
      <w:r>
        <w:rPr>
          <w:rFonts w:hint="eastAsia" w:cs="Times New Roman"/>
          <w:vertAlign w:val="superscript"/>
        </w:rPr>
        <w:t>3</w:t>
      </w:r>
      <w:r>
        <w:rPr>
          <w:rFonts w:hint="eastAsia" w:cs="Times New Roman"/>
        </w:rPr>
        <w:t>/h，设计规模10</w:t>
      </w:r>
      <w:r>
        <w:rPr>
          <w:rFonts w:cs="Times New Roman"/>
        </w:rPr>
        <w:t>000</w:t>
      </w:r>
      <w:r>
        <w:rPr>
          <w:rFonts w:hint="eastAsia" w:cs="Times New Roman"/>
        </w:rPr>
        <w:t>m</w:t>
      </w:r>
      <w:r>
        <w:rPr>
          <w:rFonts w:hint="eastAsia" w:cs="Times New Roman"/>
          <w:vertAlign w:val="superscript"/>
        </w:rPr>
        <w:t>3</w:t>
      </w:r>
      <w:r>
        <w:rPr>
          <w:rFonts w:hint="eastAsia" w:cs="Times New Roman"/>
        </w:rPr>
        <w:t>/h。循环水系统采用闭式冷却循环给水系统。</w:t>
      </w:r>
    </w:p>
    <w:p w14:paraId="5B2EF2E0">
      <w:pPr>
        <w:pStyle w:val="814"/>
        <w:rPr>
          <w:rFonts w:hint="eastAsia"/>
        </w:rPr>
      </w:pPr>
      <w:r>
        <w:rPr>
          <w:rFonts w:hint="eastAsia"/>
        </w:rPr>
        <w:t>设计参数</w:t>
      </w:r>
    </w:p>
    <w:p w14:paraId="33286E3E">
      <w:pPr>
        <w:spacing w:line="360" w:lineRule="auto"/>
        <w:ind w:firstLine="480" w:firstLineChars="200"/>
        <w:rPr>
          <w:rFonts w:ascii="Times New Roman" w:hAnsi="Times New Roman" w:cs="Times New Roman"/>
        </w:rPr>
      </w:pPr>
      <w:r>
        <w:rPr>
          <w:rFonts w:hint="eastAsia" w:ascii="Times New Roman" w:hAnsi="Times New Roman" w:cs="Times New Roman"/>
        </w:rPr>
        <w:t>设计给水温度                     42℃；</w:t>
      </w:r>
    </w:p>
    <w:p w14:paraId="311A0575">
      <w:pPr>
        <w:spacing w:line="360" w:lineRule="auto"/>
        <w:ind w:firstLine="480" w:firstLineChars="200"/>
        <w:rPr>
          <w:rFonts w:ascii="Times New Roman" w:hAnsi="Times New Roman" w:cs="Times New Roman"/>
        </w:rPr>
      </w:pPr>
      <w:r>
        <w:rPr>
          <w:rFonts w:hint="eastAsia" w:ascii="Times New Roman" w:hAnsi="Times New Roman" w:cs="Times New Roman"/>
        </w:rPr>
        <w:t>设计回水温度                     32℃；</w:t>
      </w:r>
    </w:p>
    <w:p w14:paraId="4E50378A">
      <w:pPr>
        <w:spacing w:line="360" w:lineRule="auto"/>
        <w:ind w:firstLine="480" w:firstLineChars="200"/>
        <w:rPr>
          <w:rFonts w:ascii="Times New Roman" w:hAnsi="Times New Roman" w:cs="Times New Roman"/>
        </w:rPr>
      </w:pPr>
      <w:r>
        <w:rPr>
          <w:rFonts w:hint="eastAsia" w:ascii="Times New Roman" w:hAnsi="Times New Roman" w:cs="Times New Roman"/>
        </w:rPr>
        <w:t>温差△t=10℃</w:t>
      </w:r>
    </w:p>
    <w:p w14:paraId="766F8165">
      <w:pPr>
        <w:spacing w:line="360" w:lineRule="auto"/>
        <w:ind w:firstLine="480" w:firstLineChars="200"/>
        <w:rPr>
          <w:rFonts w:ascii="Times New Roman" w:hAnsi="Times New Roman" w:cs="Times New Roman"/>
        </w:rPr>
      </w:pPr>
      <w:r>
        <w:rPr>
          <w:rFonts w:hint="eastAsia" w:ascii="Times New Roman" w:hAnsi="Times New Roman" w:cs="Times New Roman"/>
        </w:rPr>
        <w:t>设计给水压力（装置边界）         0.45MPa(G)；</w:t>
      </w:r>
    </w:p>
    <w:p w14:paraId="2EC3FED9">
      <w:pPr>
        <w:spacing w:line="360" w:lineRule="auto"/>
        <w:ind w:firstLine="480" w:firstLineChars="200"/>
        <w:rPr>
          <w:rFonts w:ascii="Times New Roman" w:hAnsi="Times New Roman" w:cs="Times New Roman"/>
        </w:rPr>
      </w:pPr>
      <w:r>
        <w:rPr>
          <w:rFonts w:hint="eastAsia" w:ascii="Times New Roman" w:hAnsi="Times New Roman" w:cs="Times New Roman"/>
        </w:rPr>
        <w:t>设计回水压力（装置边界） 0.</w:t>
      </w:r>
      <w:r>
        <w:rPr>
          <w:rFonts w:ascii="Times New Roman" w:hAnsi="Times New Roman" w:cs="Times New Roman"/>
        </w:rPr>
        <w:t>25</w:t>
      </w:r>
      <w:r>
        <w:rPr>
          <w:rFonts w:hint="eastAsia" w:ascii="Times New Roman" w:hAnsi="Times New Roman" w:cs="Times New Roman"/>
        </w:rPr>
        <w:t>MPa(G)；</w:t>
      </w:r>
    </w:p>
    <w:p w14:paraId="301487C0">
      <w:pPr>
        <w:spacing w:line="360" w:lineRule="auto"/>
        <w:ind w:firstLine="480" w:firstLineChars="200"/>
        <w:rPr>
          <w:rFonts w:ascii="Times New Roman" w:hAnsi="Times New Roman" w:cs="Times New Roman"/>
        </w:rPr>
      </w:pPr>
      <w:r>
        <w:rPr>
          <w:rFonts w:hint="eastAsia" w:ascii="Times New Roman" w:hAnsi="Times New Roman" w:cs="Times New Roman"/>
        </w:rPr>
        <w:t>喷淋水系统设计浓缩倍数N＝5</w:t>
      </w:r>
    </w:p>
    <w:p w14:paraId="1EA89E14">
      <w:pPr>
        <w:pStyle w:val="814"/>
        <w:rPr>
          <w:rFonts w:hint="eastAsia"/>
        </w:rPr>
      </w:pPr>
      <w:r>
        <w:rPr>
          <w:rFonts w:hint="eastAsia"/>
        </w:rPr>
        <w:t>原辅材料及公用工程消耗</w:t>
      </w:r>
    </w:p>
    <w:p w14:paraId="45C52A20">
      <w:pPr>
        <w:pStyle w:val="281"/>
        <w:ind w:firstLine="480"/>
      </w:pPr>
      <w:r>
        <w:rPr>
          <w:rFonts w:hint="eastAsia"/>
        </w:rPr>
        <w:t>循</w:t>
      </w:r>
      <w:r>
        <w:rPr>
          <w:rFonts w:hint="eastAsia" w:ascii="宋体" w:hAnsi="宋体"/>
        </w:rPr>
        <w:t>环水站原辅材料及公用工程消耗情况见表</w:t>
      </w:r>
      <w:r>
        <w:rPr>
          <w:rFonts w:hint="eastAsia"/>
        </w:rPr>
        <w:t>3</w:t>
      </w:r>
      <w:r>
        <w:t>.3.1</w:t>
      </w:r>
      <w:r>
        <w:rPr>
          <w:rFonts w:hint="eastAsia"/>
        </w:rPr>
        <w:t>-1。</w:t>
      </w:r>
    </w:p>
    <w:p w14:paraId="37EDE4B1">
      <w:pPr>
        <w:pStyle w:val="541"/>
        <w:rPr>
          <w:rFonts w:hint="eastAsia"/>
        </w:rPr>
      </w:pPr>
      <w:r>
        <w:rPr>
          <w:rFonts w:hint="eastAsia"/>
        </w:rPr>
        <w:t>表3</w:t>
      </w:r>
      <w:r>
        <w:t>.3.1</w:t>
      </w:r>
      <w:r>
        <w:rPr>
          <w:rFonts w:hint="eastAsia"/>
        </w:rPr>
        <w:t>-1     循环水站</w:t>
      </w:r>
      <w:bookmarkStart w:id="189" w:name="_Hlk159229616"/>
      <w:r>
        <w:rPr>
          <w:rFonts w:hint="eastAsia"/>
        </w:rPr>
        <w:t>原辅材料及公用工程消耗</w:t>
      </w:r>
      <w:bookmarkEnd w:id="189"/>
      <w:r>
        <w:rPr>
          <w:rFonts w:hint="eastAsia"/>
        </w:rPr>
        <w:t>表</w:t>
      </w:r>
    </w:p>
    <w:p w14:paraId="3C6B36B0">
      <w:pPr>
        <w:pStyle w:val="557"/>
      </w:pPr>
    </w:p>
    <w:p w14:paraId="781DD65A">
      <w:pPr>
        <w:pStyle w:val="814"/>
        <w:rPr>
          <w:rFonts w:hint="eastAsia"/>
        </w:rPr>
      </w:pPr>
      <w:r>
        <w:rPr>
          <w:rFonts w:hint="eastAsia"/>
        </w:rPr>
        <w:t>工艺流程</w:t>
      </w:r>
    </w:p>
    <w:p w14:paraId="2BB5216C">
      <w:pPr>
        <w:snapToGrid w:val="0"/>
        <w:spacing w:line="360" w:lineRule="auto"/>
        <w:ind w:firstLine="480"/>
        <w:rPr>
          <w:rFonts w:ascii="Times New Roman" w:hAnsi="Times New Roman" w:cs="Times New Roman"/>
        </w:rPr>
      </w:pPr>
      <w:r>
        <w:rPr>
          <w:rFonts w:hint="eastAsia" w:ascii="Times New Roman" w:hAnsi="Times New Roman" w:cs="Times New Roman"/>
        </w:rPr>
        <w:t>（1）公辅循环水系统</w:t>
      </w:r>
    </w:p>
    <w:p w14:paraId="5ED00745">
      <w:pPr>
        <w:snapToGrid w:val="0"/>
        <w:spacing w:line="360" w:lineRule="auto"/>
        <w:ind w:firstLine="480"/>
        <w:rPr>
          <w:rFonts w:ascii="Times New Roman" w:hAnsi="Times New Roman" w:cs="Times New Roman"/>
        </w:rPr>
      </w:pPr>
      <w:r>
        <w:rPr>
          <w:rFonts w:hint="eastAsia" w:ascii="Times New Roman" w:hAnsi="Times New Roman" w:cs="Times New Roman"/>
        </w:rPr>
        <w:t>公辅循环水系统平均循环水量</w:t>
      </w:r>
      <w:r>
        <w:rPr>
          <w:rFonts w:ascii="Times New Roman" w:hAnsi="Times New Roman" w:cs="Times New Roman"/>
        </w:rPr>
        <w:t>3680</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/h，设计规模4000m</w:t>
      </w:r>
      <w:r>
        <w:rPr>
          <w:rFonts w:hint="eastAsia" w:ascii="Times New Roman" w:hAnsi="Times New Roman" w:cs="Times New Roman"/>
          <w:vertAlign w:val="superscript"/>
        </w:rPr>
        <w:t>3</w:t>
      </w:r>
      <w:r>
        <w:rPr>
          <w:rFonts w:hint="eastAsia" w:ascii="Times New Roman" w:hAnsi="Times New Roman" w:cs="Times New Roman"/>
        </w:rPr>
        <w:t>/h。</w:t>
      </w:r>
    </w:p>
    <w:p w14:paraId="6DB3D681">
      <w:pPr>
        <w:snapToGrid w:val="0"/>
        <w:spacing w:line="360" w:lineRule="auto"/>
        <w:ind w:firstLine="480"/>
        <w:rPr>
          <w:rFonts w:ascii="Times New Roman" w:hAnsi="Times New Roman" w:cs="Times New Roman"/>
        </w:rPr>
      </w:pPr>
      <w:r>
        <w:rPr>
          <w:rFonts w:hint="eastAsia" w:ascii="Times New Roman" w:hAnsi="Times New Roman" w:cs="Times New Roman"/>
        </w:rPr>
        <w:t>公辅循环水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2738F70B">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冷却塔单塔冷却能力2000m</w:t>
      </w:r>
      <w:r>
        <w:rPr>
          <w:rFonts w:hint="eastAsia" w:ascii="Times New Roman" w:hAnsi="Times New Roman" w:cs="Times New Roman"/>
          <w:vertAlign w:val="superscript"/>
        </w:rPr>
        <w:t>3</w:t>
      </w:r>
      <w:r>
        <w:rPr>
          <w:rFonts w:hint="eastAsia" w:ascii="Times New Roman" w:hAnsi="Times New Roman" w:cs="Times New Roman"/>
        </w:rPr>
        <w:t>/h，本系统共设2座闭式冷却塔，每台闭式塔配套两台喷淋水泵，喷淋水量按循环量的80%计算，单塔喷淋泵性能：Q=800m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4F6A354A">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20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28</w:t>
      </w:r>
      <w:r>
        <w:rPr>
          <w:rFonts w:ascii="Times New Roman" w:hAnsi="Times New Roman" w:cs="Times New Roman"/>
        </w:rPr>
        <w:t>0</w:t>
      </w:r>
      <w:r>
        <w:rPr>
          <w:rFonts w:hint="eastAsia" w:ascii="Times New Roman" w:hAnsi="Times New Roman" w:cs="Times New Roman"/>
        </w:rPr>
        <w:t>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v；循环水泵设置在泵房内。为便于设备检修泵房内设10吨电动单梁悬挂式起重机一台。</w:t>
      </w:r>
    </w:p>
    <w:p w14:paraId="388B3EFC">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50FC20FD">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738A62C6">
      <w:pPr>
        <w:snapToGrid w:val="0"/>
        <w:spacing w:line="360" w:lineRule="auto"/>
        <w:ind w:firstLine="480"/>
        <w:rPr>
          <w:rFonts w:ascii="Times New Roman" w:hAnsi="Times New Roman" w:cs="Times New Roman"/>
        </w:rPr>
      </w:pPr>
      <w:r>
        <w:rPr>
          <w:rFonts w:hint="eastAsia" w:ascii="Times New Roman" w:hAnsi="Times New Roman" w:cs="Times New Roman"/>
        </w:rPr>
        <w:t>为保证闭式循环水系统的稳定压力，设置定压补水装置一套，公辅循环水系统设有定压补水罐一台，单台尺寸Φ</w:t>
      </w:r>
      <w:r>
        <w:rPr>
          <w:rFonts w:ascii="Times New Roman" w:hAnsi="Times New Roman" w:cs="Times New Roman"/>
        </w:rPr>
        <w:t>3200*4000</w:t>
      </w:r>
      <w:r>
        <w:rPr>
          <w:rFonts w:hint="eastAsia" w:ascii="Times New Roman" w:hAnsi="Times New Roman" w:cs="Times New Roman"/>
        </w:rPr>
        <w:t>，材质不锈钢，用来稳定循环水回压力。</w:t>
      </w:r>
    </w:p>
    <w:p w14:paraId="1EFC301B">
      <w:pPr>
        <w:snapToGrid w:val="0"/>
        <w:spacing w:line="360" w:lineRule="auto"/>
        <w:ind w:firstLine="480"/>
        <w:rPr>
          <w:rFonts w:ascii="Times New Roman" w:hAnsi="Times New Roman" w:cs="Times New Roman"/>
        </w:rPr>
      </w:pPr>
      <w:r>
        <w:rPr>
          <w:rFonts w:hint="eastAsia" w:ascii="Times New Roman" w:hAnsi="Times New Roman" w:cs="Times New Roman"/>
        </w:rPr>
        <w:t>（2）空分循环水系统</w:t>
      </w:r>
    </w:p>
    <w:p w14:paraId="4BCE3E1F">
      <w:pPr>
        <w:snapToGrid w:val="0"/>
        <w:spacing w:line="360" w:lineRule="auto"/>
        <w:ind w:firstLine="480"/>
        <w:rPr>
          <w:rFonts w:ascii="Times New Roman" w:hAnsi="Times New Roman" w:cs="Times New Roman"/>
        </w:rPr>
      </w:pPr>
      <w:r>
        <w:rPr>
          <w:rFonts w:hint="eastAsia" w:ascii="Times New Roman" w:hAnsi="Times New Roman" w:cs="Times New Roman"/>
        </w:rPr>
        <w:t>空分循环水系统平均循环水量4000m</w:t>
      </w:r>
      <w:r>
        <w:rPr>
          <w:rFonts w:hint="eastAsia" w:ascii="Times New Roman" w:hAnsi="Times New Roman" w:cs="Times New Roman"/>
          <w:vertAlign w:val="superscript"/>
        </w:rPr>
        <w:t>3</w:t>
      </w:r>
      <w:r>
        <w:rPr>
          <w:rFonts w:hint="eastAsia" w:ascii="Times New Roman" w:hAnsi="Times New Roman" w:cs="Times New Roman"/>
        </w:rPr>
        <w:t>/h，设计规模4000m</w:t>
      </w:r>
      <w:r>
        <w:rPr>
          <w:rFonts w:hint="eastAsia" w:ascii="Times New Roman" w:hAnsi="Times New Roman" w:cs="Times New Roman"/>
          <w:vertAlign w:val="superscript"/>
        </w:rPr>
        <w:t>3</w:t>
      </w:r>
      <w:r>
        <w:rPr>
          <w:rFonts w:hint="eastAsia" w:ascii="Times New Roman" w:hAnsi="Times New Roman" w:cs="Times New Roman"/>
        </w:rPr>
        <w:t>/h，空分循环水就近布置于空分装置界区内。</w:t>
      </w:r>
    </w:p>
    <w:p w14:paraId="4231FB96">
      <w:pPr>
        <w:snapToGrid w:val="0"/>
        <w:spacing w:line="360" w:lineRule="auto"/>
        <w:ind w:firstLine="480"/>
        <w:rPr>
          <w:rFonts w:ascii="Times New Roman" w:hAnsi="Times New Roman" w:cs="Times New Roman"/>
        </w:rPr>
      </w:pPr>
      <w:r>
        <w:rPr>
          <w:rFonts w:hint="eastAsia" w:ascii="Times New Roman" w:hAnsi="Times New Roman" w:cs="Times New Roman"/>
        </w:rPr>
        <w:t>空分循环水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128D788B">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 m</w:t>
      </w:r>
      <w:r>
        <w:rPr>
          <w:rFonts w:hint="eastAsia" w:ascii="Times New Roman" w:hAnsi="Times New Roman" w:cs="Times New Roman"/>
          <w:vertAlign w:val="superscript"/>
        </w:rPr>
        <w:t>3</w:t>
      </w:r>
      <w:r>
        <w:rPr>
          <w:rFonts w:hint="eastAsia" w:ascii="Times New Roman" w:hAnsi="Times New Roman" w:cs="Times New Roman"/>
        </w:rPr>
        <w:t>/h，本系统共设2座闭式冷却塔，每台闭式塔配套两台喷淋水泵，喷淋水量按循环量的80%计算，单塔喷淋泵性能：Q=800m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5856382C">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20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28</w:t>
      </w:r>
      <w:r>
        <w:rPr>
          <w:rFonts w:ascii="Times New Roman" w:hAnsi="Times New Roman" w:cs="Times New Roman"/>
        </w:rPr>
        <w:t>0</w:t>
      </w:r>
      <w:r>
        <w:rPr>
          <w:rFonts w:hint="eastAsia" w:ascii="Times New Roman" w:hAnsi="Times New Roman" w:cs="Times New Roman"/>
        </w:rPr>
        <w:t>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v；循环水泵设置在泵房内。为便于设备检修泵房内设10吨电动单梁悬挂式起重机一台。</w:t>
      </w:r>
    </w:p>
    <w:p w14:paraId="7EB5DB5A">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21AD1710">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085A94F6">
      <w:pPr>
        <w:snapToGrid w:val="0"/>
        <w:spacing w:line="360" w:lineRule="auto"/>
        <w:ind w:firstLine="480"/>
        <w:rPr>
          <w:rFonts w:ascii="Times New Roman" w:hAnsi="Times New Roman" w:cs="Times New Roman"/>
        </w:rPr>
      </w:pPr>
      <w:r>
        <w:rPr>
          <w:rFonts w:hint="eastAsia" w:ascii="Times New Roman" w:hAnsi="Times New Roman" w:cs="Times New Roman"/>
        </w:rPr>
        <w:t>为保证闭式循环水系统的稳定压力，设置定压补水装置一套，公辅循环水系统设有定压补水罐一台，单台尺寸Φ</w:t>
      </w:r>
      <w:r>
        <w:rPr>
          <w:rFonts w:ascii="Times New Roman" w:hAnsi="Times New Roman" w:cs="Times New Roman"/>
        </w:rPr>
        <w:t>3200*4000</w:t>
      </w:r>
      <w:r>
        <w:rPr>
          <w:rFonts w:hint="eastAsia" w:ascii="Times New Roman" w:hAnsi="Times New Roman" w:cs="Times New Roman"/>
        </w:rPr>
        <w:t>，材质不锈钢，用来稳定循环水回压力。</w:t>
      </w:r>
    </w:p>
    <w:p w14:paraId="1611542C">
      <w:pPr>
        <w:snapToGrid w:val="0"/>
        <w:spacing w:line="360" w:lineRule="auto"/>
        <w:ind w:firstLine="480"/>
        <w:rPr>
          <w:rFonts w:ascii="Times New Roman" w:hAnsi="Times New Roman" w:cs="Times New Roman"/>
        </w:rPr>
      </w:pPr>
      <w:r>
        <w:rPr>
          <w:rFonts w:hint="eastAsia" w:ascii="Times New Roman" w:hAnsi="Times New Roman" w:cs="Times New Roman"/>
        </w:rPr>
        <w:t>（3）电解循环水系统</w:t>
      </w:r>
    </w:p>
    <w:p w14:paraId="31D6D54E">
      <w:pPr>
        <w:snapToGrid w:val="0"/>
        <w:spacing w:line="360" w:lineRule="auto"/>
        <w:ind w:firstLine="480"/>
        <w:rPr>
          <w:rFonts w:ascii="Times New Roman" w:hAnsi="Times New Roman" w:cs="Times New Roman"/>
        </w:rPr>
      </w:pPr>
      <w:r>
        <w:rPr>
          <w:rFonts w:hint="eastAsia" w:ascii="Times New Roman" w:hAnsi="Times New Roman" w:cs="Times New Roman"/>
        </w:rPr>
        <w:t>电解循环水系统平均循环水量</w:t>
      </w:r>
      <w:r>
        <w:rPr>
          <w:rFonts w:ascii="Times New Roman" w:hAnsi="Times New Roman" w:cs="Times New Roman"/>
        </w:rPr>
        <w:t>21000</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/h，设计规模</w:t>
      </w:r>
      <w:r>
        <w:rPr>
          <w:rFonts w:ascii="Times New Roman" w:hAnsi="Times New Roman" w:cs="Times New Roman"/>
        </w:rPr>
        <w:t>2</w:t>
      </w:r>
      <w:r>
        <w:rPr>
          <w:rFonts w:hint="eastAsia" w:ascii="Times New Roman" w:hAnsi="Times New Roman" w:cs="Times New Roman"/>
        </w:rPr>
        <w:t>2000m</w:t>
      </w:r>
      <w:r>
        <w:rPr>
          <w:rFonts w:hint="eastAsia" w:ascii="Times New Roman" w:hAnsi="Times New Roman" w:cs="Times New Roman"/>
          <w:vertAlign w:val="superscript"/>
        </w:rPr>
        <w:t>3</w:t>
      </w:r>
      <w:r>
        <w:rPr>
          <w:rFonts w:hint="eastAsia" w:ascii="Times New Roman" w:hAnsi="Times New Roman" w:cs="Times New Roman"/>
        </w:rPr>
        <w:t>/h。</w:t>
      </w:r>
    </w:p>
    <w:p w14:paraId="19C1E974">
      <w:pPr>
        <w:snapToGrid w:val="0"/>
        <w:spacing w:line="360" w:lineRule="auto"/>
        <w:ind w:firstLine="480"/>
        <w:rPr>
          <w:rFonts w:ascii="Times New Roman" w:hAnsi="Times New Roman" w:cs="Times New Roman"/>
        </w:rPr>
      </w:pPr>
      <w:r>
        <w:rPr>
          <w:rFonts w:hint="eastAsia" w:ascii="Times New Roman" w:hAnsi="Times New Roman" w:cs="Times New Roman"/>
        </w:rPr>
        <w:t>电解循环水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3F25D1FF">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 m</w:t>
      </w:r>
      <w:r>
        <w:rPr>
          <w:rFonts w:hint="eastAsia" w:ascii="Times New Roman" w:hAnsi="Times New Roman" w:cs="Times New Roman"/>
          <w:vertAlign w:val="superscript"/>
        </w:rPr>
        <w:t>3</w:t>
      </w:r>
      <w:r>
        <w:rPr>
          <w:rFonts w:hint="eastAsia" w:ascii="Times New Roman" w:hAnsi="Times New Roman" w:cs="Times New Roman"/>
        </w:rPr>
        <w:t>/h，本系统共设</w:t>
      </w:r>
      <w:r>
        <w:rPr>
          <w:rFonts w:ascii="Times New Roman" w:hAnsi="Times New Roman" w:cs="Times New Roman"/>
        </w:rPr>
        <w:t>11</w:t>
      </w:r>
      <w:r>
        <w:rPr>
          <w:rFonts w:hint="eastAsia" w:ascii="Times New Roman" w:hAnsi="Times New Roman" w:cs="Times New Roman"/>
        </w:rPr>
        <w:t>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28F5E8B9">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60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80</w:t>
      </w:r>
      <w:r>
        <w:rPr>
          <w:rFonts w:ascii="Times New Roman" w:hAnsi="Times New Roman" w:cs="Times New Roman"/>
        </w:rPr>
        <w:t>0</w:t>
      </w:r>
      <w:r>
        <w:rPr>
          <w:rFonts w:hint="eastAsia" w:ascii="Times New Roman" w:hAnsi="Times New Roman" w:cs="Times New Roman"/>
        </w:rPr>
        <w:t>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 ；循环水泵设置在泵房内。为便于设备检修泵房内设10吨电动单梁悬挂式起重机一台。</w:t>
      </w:r>
    </w:p>
    <w:p w14:paraId="7CEDC6D0">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48F10FF3">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62FDB6D1">
      <w:pPr>
        <w:snapToGrid w:val="0"/>
        <w:spacing w:line="360" w:lineRule="auto"/>
        <w:ind w:firstLine="480"/>
        <w:rPr>
          <w:rFonts w:ascii="Times New Roman" w:hAnsi="Times New Roman" w:cs="Times New Roman"/>
        </w:rPr>
      </w:pPr>
      <w:r>
        <w:rPr>
          <w:rFonts w:hint="eastAsia" w:ascii="Times New Roman" w:hAnsi="Times New Roman" w:cs="Times New Roman"/>
        </w:rPr>
        <w:t>为保证闭式循环水系统的稳定压力，设置定压补水装置一套，公辅循环水系统设有定压补水罐两台，单台尺寸Φ</w:t>
      </w:r>
      <w:r>
        <w:rPr>
          <w:rFonts w:ascii="Times New Roman" w:hAnsi="Times New Roman" w:cs="Times New Roman"/>
        </w:rPr>
        <w:t>3800*5000</w:t>
      </w:r>
      <w:r>
        <w:rPr>
          <w:rFonts w:hint="eastAsia" w:ascii="Times New Roman" w:hAnsi="Times New Roman" w:cs="Times New Roman"/>
        </w:rPr>
        <w:t>，材质不锈钢，用来稳定循环水回压力。</w:t>
      </w:r>
    </w:p>
    <w:p w14:paraId="3A5B4C17">
      <w:pPr>
        <w:snapToGrid w:val="0"/>
        <w:spacing w:line="360" w:lineRule="auto"/>
        <w:ind w:firstLine="480"/>
        <w:rPr>
          <w:rFonts w:ascii="Times New Roman" w:hAnsi="Times New Roman" w:cs="Times New Roman"/>
        </w:rPr>
      </w:pPr>
      <w:r>
        <w:rPr>
          <w:rFonts w:hint="eastAsia" w:ascii="Times New Roman" w:hAnsi="Times New Roman" w:cs="Times New Roman"/>
        </w:rPr>
        <w:t>（4）DMO循环水系统</w:t>
      </w:r>
    </w:p>
    <w:p w14:paraId="5B82D1DD">
      <w:pPr>
        <w:snapToGrid w:val="0"/>
        <w:spacing w:line="360" w:lineRule="auto"/>
        <w:ind w:firstLine="480"/>
        <w:rPr>
          <w:rFonts w:ascii="Times New Roman" w:hAnsi="Times New Roman" w:cs="Times New Roman"/>
        </w:rPr>
      </w:pPr>
      <w:r>
        <w:rPr>
          <w:rFonts w:hint="eastAsia" w:ascii="Times New Roman" w:hAnsi="Times New Roman" w:cs="Times New Roman"/>
        </w:rPr>
        <w:t>电解循环水系统平均循环水量5386.2m</w:t>
      </w:r>
      <w:r>
        <w:rPr>
          <w:rFonts w:hint="eastAsia" w:ascii="Times New Roman" w:hAnsi="Times New Roman" w:cs="Times New Roman"/>
          <w:vertAlign w:val="superscript"/>
        </w:rPr>
        <w:t>3</w:t>
      </w:r>
      <w:r>
        <w:rPr>
          <w:rFonts w:hint="eastAsia" w:ascii="Times New Roman" w:hAnsi="Times New Roman" w:cs="Times New Roman"/>
        </w:rPr>
        <w:t>/h，设计规模6000m</w:t>
      </w:r>
      <w:r>
        <w:rPr>
          <w:rFonts w:hint="eastAsia" w:ascii="Times New Roman" w:hAnsi="Times New Roman" w:cs="Times New Roman"/>
          <w:vertAlign w:val="superscript"/>
        </w:rPr>
        <w:t>3</w:t>
      </w:r>
      <w:r>
        <w:rPr>
          <w:rFonts w:hint="eastAsia" w:ascii="Times New Roman" w:hAnsi="Times New Roman" w:cs="Times New Roman"/>
        </w:rPr>
        <w:t>/h。</w:t>
      </w:r>
    </w:p>
    <w:p w14:paraId="44B9FE60">
      <w:pPr>
        <w:snapToGrid w:val="0"/>
        <w:spacing w:line="360" w:lineRule="auto"/>
        <w:ind w:firstLine="480"/>
        <w:rPr>
          <w:rFonts w:ascii="Times New Roman" w:hAnsi="Times New Roman" w:cs="Times New Roman"/>
        </w:rPr>
      </w:pPr>
      <w:r>
        <w:rPr>
          <w:rFonts w:hint="eastAsia" w:ascii="Times New Roman" w:hAnsi="Times New Roman" w:cs="Times New Roman"/>
        </w:rPr>
        <w:t>电解循环水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2E6082B7">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 m</w:t>
      </w:r>
      <w:r>
        <w:rPr>
          <w:rFonts w:hint="eastAsia" w:ascii="Times New Roman" w:hAnsi="Times New Roman" w:cs="Times New Roman"/>
          <w:vertAlign w:val="superscript"/>
        </w:rPr>
        <w:t>3</w:t>
      </w:r>
      <w:r>
        <w:rPr>
          <w:rFonts w:hint="eastAsia" w:ascii="Times New Roman" w:hAnsi="Times New Roman" w:cs="Times New Roman"/>
        </w:rPr>
        <w:t>/h，本系统共设3座闭式冷却塔，每台闭式塔配套两台喷淋水泵，喷淋水量按循环量的80%计算，单塔喷淋泵性能：Q=800m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47837827">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30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355k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 ；循环水泵设置在泵房内。为便于设备检修泵房内设10吨电动单梁悬挂式起重机一台。</w:t>
      </w:r>
    </w:p>
    <w:p w14:paraId="19A5498F">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7503C12C">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2C16A71A">
      <w:pPr>
        <w:snapToGrid w:val="0"/>
        <w:spacing w:line="360" w:lineRule="auto"/>
        <w:ind w:firstLine="480"/>
        <w:rPr>
          <w:rFonts w:ascii="Times New Roman" w:hAnsi="Times New Roman" w:cs="Times New Roman"/>
        </w:rPr>
      </w:pPr>
      <w:r>
        <w:rPr>
          <w:rFonts w:hint="eastAsia" w:ascii="Times New Roman" w:hAnsi="Times New Roman" w:cs="Times New Roman"/>
        </w:rPr>
        <w:t>为保证闭式循环水系统的稳定压力，设置定压补水装置一套，公辅循环水系统设有定压补水罐一台，单台尺寸Φ</w:t>
      </w:r>
      <w:r>
        <w:rPr>
          <w:rFonts w:ascii="Times New Roman" w:hAnsi="Times New Roman" w:cs="Times New Roman"/>
        </w:rPr>
        <w:t>3200*4000</w:t>
      </w:r>
      <w:r>
        <w:rPr>
          <w:rFonts w:hint="eastAsia" w:ascii="Times New Roman" w:hAnsi="Times New Roman" w:cs="Times New Roman"/>
        </w:rPr>
        <w:t>，材质不锈钢，用来稳定循环水回压力。</w:t>
      </w:r>
    </w:p>
    <w:p w14:paraId="7C155C7F">
      <w:pPr>
        <w:snapToGrid w:val="0"/>
        <w:spacing w:line="360" w:lineRule="auto"/>
        <w:ind w:firstLine="480"/>
        <w:rPr>
          <w:rFonts w:ascii="Times New Roman" w:hAnsi="Times New Roman" w:cs="Times New Roman"/>
        </w:rPr>
      </w:pPr>
      <w:r>
        <w:rPr>
          <w:rFonts w:hint="eastAsia" w:ascii="Times New Roman" w:hAnsi="Times New Roman" w:cs="Times New Roman"/>
        </w:rPr>
        <w:t>（5）草酰胺、有机肥循环水系统</w:t>
      </w:r>
    </w:p>
    <w:p w14:paraId="5A8A5BFC">
      <w:pPr>
        <w:snapToGrid w:val="0"/>
        <w:spacing w:line="360" w:lineRule="auto"/>
        <w:ind w:firstLine="480"/>
        <w:rPr>
          <w:rFonts w:ascii="Times New Roman" w:hAnsi="Times New Roman" w:cs="Times New Roman"/>
        </w:rPr>
      </w:pPr>
      <w:r>
        <w:rPr>
          <w:rFonts w:hint="eastAsia" w:ascii="Times New Roman" w:hAnsi="Times New Roman" w:cs="Times New Roman"/>
        </w:rPr>
        <w:t>草酰胺、有机肥循环水系统平均循环水量3848.3m</w:t>
      </w:r>
      <w:r>
        <w:rPr>
          <w:rFonts w:hint="eastAsia" w:ascii="Times New Roman" w:hAnsi="Times New Roman" w:cs="Times New Roman"/>
          <w:vertAlign w:val="superscript"/>
        </w:rPr>
        <w:t>3</w:t>
      </w:r>
      <w:r>
        <w:rPr>
          <w:rFonts w:hint="eastAsia" w:ascii="Times New Roman" w:hAnsi="Times New Roman" w:cs="Times New Roman"/>
        </w:rPr>
        <w:t>/h，设计规模4000m</w:t>
      </w:r>
      <w:r>
        <w:rPr>
          <w:rFonts w:hint="eastAsia" w:ascii="Times New Roman" w:hAnsi="Times New Roman" w:cs="Times New Roman"/>
          <w:vertAlign w:val="superscript"/>
        </w:rPr>
        <w:t>3</w:t>
      </w:r>
      <w:r>
        <w:rPr>
          <w:rFonts w:hint="eastAsia" w:ascii="Times New Roman" w:hAnsi="Times New Roman" w:cs="Times New Roman"/>
        </w:rPr>
        <w:t>/h。</w:t>
      </w:r>
    </w:p>
    <w:p w14:paraId="08F7C976">
      <w:pPr>
        <w:snapToGrid w:val="0"/>
        <w:spacing w:line="360" w:lineRule="auto"/>
        <w:ind w:firstLine="480"/>
        <w:rPr>
          <w:rFonts w:ascii="Times New Roman" w:hAnsi="Times New Roman" w:cs="Times New Roman"/>
        </w:rPr>
      </w:pPr>
      <w:r>
        <w:rPr>
          <w:rFonts w:hint="eastAsia" w:ascii="Times New Roman" w:hAnsi="Times New Roman" w:cs="Times New Roman"/>
        </w:rPr>
        <w:t>草酰胺、有机肥循环水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24F87176">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 m</w:t>
      </w:r>
      <w:r>
        <w:rPr>
          <w:rFonts w:hint="eastAsia" w:ascii="Times New Roman" w:hAnsi="Times New Roman" w:cs="Times New Roman"/>
          <w:vertAlign w:val="superscript"/>
        </w:rPr>
        <w:t>3</w:t>
      </w:r>
      <w:r>
        <w:rPr>
          <w:rFonts w:hint="eastAsia" w:ascii="Times New Roman" w:hAnsi="Times New Roman" w:cs="Times New Roman"/>
        </w:rPr>
        <w:t>/h，本系统共设2座闭式冷却塔，每台闭式塔配套两台喷淋水泵，喷淋水量按循环量的80%计算，单塔喷淋泵性能：Q=800m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6A257B2E">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20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280k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 ；循环水泵设置在泵房内。为便于设备检修泵房内设10吨电动单梁悬挂式起重机一台。</w:t>
      </w:r>
    </w:p>
    <w:p w14:paraId="3AF38035">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2A8A4BB2">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1686A85C">
      <w:pPr>
        <w:snapToGrid w:val="0"/>
        <w:spacing w:line="360" w:lineRule="auto"/>
        <w:ind w:firstLine="480"/>
        <w:rPr>
          <w:rFonts w:ascii="Times New Roman" w:hAnsi="Times New Roman" w:cs="Times New Roman"/>
        </w:rPr>
      </w:pPr>
      <w:r>
        <w:rPr>
          <w:rFonts w:hint="eastAsia" w:ascii="Times New Roman" w:hAnsi="Times New Roman" w:cs="Times New Roman"/>
        </w:rPr>
        <w:t>为保证闭式循环水系统的稳定压力，设置定压补水装置一套，公辅循环水系统设有定压补水罐一台，单台尺寸Φ</w:t>
      </w:r>
      <w:r>
        <w:rPr>
          <w:rFonts w:ascii="Times New Roman" w:hAnsi="Times New Roman" w:cs="Times New Roman"/>
        </w:rPr>
        <w:t>3200*4000</w:t>
      </w:r>
      <w:r>
        <w:rPr>
          <w:rFonts w:hint="eastAsia" w:ascii="Times New Roman" w:hAnsi="Times New Roman" w:cs="Times New Roman"/>
        </w:rPr>
        <w:t>，材质不锈钢，用来稳定循环水回压力。</w:t>
      </w:r>
    </w:p>
    <w:p w14:paraId="46F589D8">
      <w:pPr>
        <w:snapToGrid w:val="0"/>
        <w:spacing w:line="360" w:lineRule="auto"/>
        <w:ind w:firstLine="480"/>
        <w:rPr>
          <w:rFonts w:ascii="Times New Roman" w:hAnsi="Times New Roman" w:cs="Times New Roman"/>
        </w:rPr>
      </w:pPr>
      <w:r>
        <w:rPr>
          <w:rFonts w:hint="eastAsia" w:ascii="Times New Roman" w:hAnsi="Times New Roman" w:cs="Times New Roman"/>
        </w:rPr>
        <w:t>（6）合成氨循环水系统</w:t>
      </w:r>
    </w:p>
    <w:p w14:paraId="54B5F4B1">
      <w:pPr>
        <w:snapToGrid w:val="0"/>
        <w:spacing w:line="360" w:lineRule="auto"/>
        <w:ind w:firstLine="480"/>
        <w:rPr>
          <w:rFonts w:ascii="Times New Roman" w:hAnsi="Times New Roman" w:cs="Times New Roman"/>
        </w:rPr>
      </w:pPr>
      <w:r>
        <w:rPr>
          <w:rFonts w:hint="eastAsia" w:ascii="Times New Roman" w:hAnsi="Times New Roman" w:cs="Times New Roman"/>
        </w:rPr>
        <w:t>合成氨循环水系统平均循环水量9390.13m</w:t>
      </w:r>
      <w:r>
        <w:rPr>
          <w:rFonts w:hint="eastAsia" w:ascii="Times New Roman" w:hAnsi="Times New Roman" w:cs="Times New Roman"/>
          <w:vertAlign w:val="superscript"/>
        </w:rPr>
        <w:t>3</w:t>
      </w:r>
      <w:r>
        <w:rPr>
          <w:rFonts w:hint="eastAsia" w:ascii="Times New Roman" w:hAnsi="Times New Roman" w:cs="Times New Roman"/>
        </w:rPr>
        <w:t>/h，设计规模10000m</w:t>
      </w:r>
      <w:r>
        <w:rPr>
          <w:rFonts w:hint="eastAsia" w:ascii="Times New Roman" w:hAnsi="Times New Roman" w:cs="Times New Roman"/>
          <w:vertAlign w:val="superscript"/>
        </w:rPr>
        <w:t>3</w:t>
      </w:r>
      <w:r>
        <w:rPr>
          <w:rFonts w:hint="eastAsia" w:ascii="Times New Roman" w:hAnsi="Times New Roman" w:cs="Times New Roman"/>
        </w:rPr>
        <w:t>/h。</w:t>
      </w:r>
    </w:p>
    <w:p w14:paraId="6379003E">
      <w:pPr>
        <w:snapToGrid w:val="0"/>
        <w:spacing w:line="360" w:lineRule="auto"/>
        <w:ind w:firstLine="480"/>
        <w:rPr>
          <w:rFonts w:ascii="Times New Roman" w:hAnsi="Times New Roman" w:cs="Times New Roman"/>
        </w:rPr>
      </w:pPr>
      <w:r>
        <w:rPr>
          <w:rFonts w:hint="eastAsia" w:ascii="Times New Roman" w:hAnsi="Times New Roman" w:cs="Times New Roman"/>
        </w:rPr>
        <w:t>合成氨循环水</w:t>
      </w:r>
      <w:r>
        <w:rPr>
          <w:rFonts w:ascii="Times New Roman" w:hAnsi="Times New Roman" w:cs="Times New Roman"/>
        </w:rPr>
        <w:t>冷却塔采用</w:t>
      </w:r>
      <w:r>
        <w:rPr>
          <w:rFonts w:hint="eastAsia" w:ascii="Times New Roman" w:hAnsi="Times New Roman" w:cs="Times New Roman"/>
        </w:rPr>
        <w:t>干湿联合一体式闭式冷却塔，干冷段与湿冷段串联，冷却塔框架结构与喷淋水池为混凝土结构。干冷段</w:t>
      </w:r>
      <w:r>
        <w:rPr>
          <w:rFonts w:ascii="Times New Roman" w:hAnsi="Times New Roman" w:cs="Times New Roman"/>
        </w:rPr>
        <w:t>采用风冷，依靠风对冷却器盘管进行冷却，环境温度较低时采用</w:t>
      </w:r>
      <w:r>
        <w:rPr>
          <w:rFonts w:hint="eastAsia" w:ascii="Times New Roman" w:hAnsi="Times New Roman" w:cs="Times New Roman"/>
        </w:rPr>
        <w:t>干冷</w:t>
      </w:r>
      <w:r>
        <w:rPr>
          <w:rFonts w:ascii="Times New Roman" w:hAnsi="Times New Roman" w:cs="Times New Roman"/>
        </w:rPr>
        <w:t>；在环境温度比较高时使用二级冷却，在</w:t>
      </w:r>
      <w:r>
        <w:rPr>
          <w:rFonts w:hint="eastAsia" w:ascii="Times New Roman" w:hAnsi="Times New Roman" w:cs="Times New Roman"/>
        </w:rPr>
        <w:t>经过</w:t>
      </w:r>
      <w:r>
        <w:rPr>
          <w:rFonts w:ascii="Times New Roman" w:hAnsi="Times New Roman" w:cs="Times New Roman"/>
        </w:rPr>
        <w:t>风冷</w:t>
      </w:r>
      <w:r>
        <w:rPr>
          <w:rFonts w:hint="eastAsia" w:ascii="Times New Roman" w:hAnsi="Times New Roman" w:cs="Times New Roman"/>
        </w:rPr>
        <w:t>后，在湿冷段利用</w:t>
      </w:r>
      <w:r>
        <w:rPr>
          <w:rFonts w:ascii="Times New Roman" w:hAnsi="Times New Roman" w:cs="Times New Roman"/>
        </w:rPr>
        <w:t>喷淋系统将水淋到冷却器表面上，利用水和盘管表面的温差及水蒸发时的吸热现象用水带走冷却器盘管的热量，然后通过顶部的风机把湿热空气经脱水器回收后排出机外，从而达到冷却效果。</w:t>
      </w:r>
      <w:r>
        <w:rPr>
          <w:rFonts w:hint="eastAsia" w:ascii="Times New Roman" w:hAnsi="Times New Roman" w:cs="Times New Roman"/>
        </w:rPr>
        <w:t>冷却塔采用8℃停机，当环境温度低于8℃时，喷淋泵停止工作。</w:t>
      </w:r>
    </w:p>
    <w:p w14:paraId="340B317A">
      <w:pPr>
        <w:snapToGrid w:val="0"/>
        <w:spacing w:line="360" w:lineRule="auto"/>
        <w:ind w:firstLine="480"/>
        <w:rPr>
          <w:rFonts w:ascii="Times New Roman" w:hAnsi="Times New Roman" w:cs="Times New Roman"/>
        </w:rPr>
      </w:pPr>
      <w:r>
        <w:rPr>
          <w:rFonts w:hint="eastAsia" w:ascii="Times New Roman" w:hAnsi="Times New Roman" w:cs="Times New Roman"/>
        </w:rPr>
        <w:t>冷却塔单塔冷却能力2000m</w:t>
      </w:r>
      <w:r>
        <w:rPr>
          <w:rFonts w:hint="eastAsia" w:ascii="Times New Roman" w:hAnsi="Times New Roman" w:cs="Times New Roman"/>
          <w:vertAlign w:val="superscript"/>
        </w:rPr>
        <w:t>3</w:t>
      </w:r>
      <w:r>
        <w:rPr>
          <w:rFonts w:hint="eastAsia" w:ascii="Times New Roman" w:hAnsi="Times New Roman" w:cs="Times New Roman"/>
        </w:rPr>
        <w:t>/h，本系统共设5座闭式冷却塔，每台闭式塔配套两台喷淋水泵，喷淋水量按循环量的80%计算，单塔喷淋泵性能：Q=800m</w:t>
      </w:r>
      <w:r>
        <w:rPr>
          <w:rFonts w:hint="eastAsia" w:ascii="Times New Roman" w:hAnsi="Times New Roman" w:cs="Times New Roman"/>
          <w:vertAlign w:val="superscript"/>
        </w:rPr>
        <w:t>3</w:t>
      </w:r>
      <w:r>
        <w:rPr>
          <w:rFonts w:hint="eastAsia" w:ascii="Times New Roman" w:hAnsi="Times New Roman" w:cs="Times New Roman"/>
        </w:rPr>
        <w:t>/h，H=12m。另外每台闭式冷却塔空冷器外配置清洗装置，塔排每侧配置清洗小车一台、高压清水泵一台，用于空冷器的定期清洗。</w:t>
      </w:r>
    </w:p>
    <w:p w14:paraId="2C75DED4">
      <w:pPr>
        <w:snapToGrid w:val="0"/>
        <w:spacing w:line="360" w:lineRule="auto"/>
        <w:ind w:firstLine="480"/>
        <w:rPr>
          <w:rFonts w:ascii="Times New Roman" w:hAnsi="Times New Roman" w:cs="Times New Roman"/>
        </w:rPr>
      </w:pPr>
      <w:r>
        <w:rPr>
          <w:rFonts w:ascii="Times New Roman" w:hAnsi="Times New Roman" w:cs="Times New Roman"/>
        </w:rPr>
        <w:t>冷却后的循环冷却给水由循环冷却给水泵加压送至</w:t>
      </w:r>
      <w:r>
        <w:rPr>
          <w:rFonts w:hint="eastAsia" w:ascii="Times New Roman" w:hAnsi="Times New Roman" w:cs="Times New Roman"/>
        </w:rPr>
        <w:t>各</w:t>
      </w:r>
      <w:r>
        <w:rPr>
          <w:rFonts w:ascii="Times New Roman" w:hAnsi="Times New Roman" w:cs="Times New Roman"/>
        </w:rPr>
        <w:t>装置各换</w:t>
      </w:r>
      <w:r>
        <w:rPr>
          <w:rFonts w:hint="eastAsia" w:ascii="Times New Roman" w:hAnsi="Times New Roman" w:cs="Times New Roman"/>
        </w:rPr>
        <w:t>热</w:t>
      </w:r>
      <w:r>
        <w:rPr>
          <w:rFonts w:ascii="Times New Roman" w:hAnsi="Times New Roman" w:cs="Times New Roman"/>
        </w:rPr>
        <w:t>设备使用。</w:t>
      </w:r>
      <w:r>
        <w:rPr>
          <w:rFonts w:hint="eastAsia" w:ascii="Times New Roman" w:hAnsi="Times New Roman" w:cs="Times New Roman"/>
        </w:rPr>
        <w:t>循环水泵设置三台单级双吸卧式离心泵，两开一备，其中一台为变频泵，单机性能：Q</w:t>
      </w:r>
      <w:r>
        <w:rPr>
          <w:rFonts w:ascii="Times New Roman" w:hAnsi="Times New Roman" w:cs="Times New Roman"/>
        </w:rPr>
        <w:t>=</w:t>
      </w:r>
      <w:r>
        <w:rPr>
          <w:rFonts w:hint="eastAsia" w:ascii="Times New Roman" w:hAnsi="Times New Roman" w:cs="Times New Roman"/>
        </w:rPr>
        <w:t>50</w:t>
      </w:r>
      <w:r>
        <w:rPr>
          <w:rFonts w:ascii="Times New Roman" w:hAnsi="Times New Roman" w:cs="Times New Roman"/>
        </w:rPr>
        <w:t>00</w:t>
      </w:r>
      <w:r>
        <w:rPr>
          <w:rFonts w:hint="eastAsia" w:ascii="Times New Roman" w:hAnsi="Times New Roman" w:cs="Times New Roman"/>
        </w:rPr>
        <w:t xml:space="preserve"> m</w:t>
      </w:r>
      <w:r>
        <w:rPr>
          <w:rFonts w:hint="eastAsia" w:ascii="Times New Roman" w:hAnsi="Times New Roman" w:cs="Times New Roman"/>
          <w:vertAlign w:val="superscript"/>
        </w:rPr>
        <w:t>3</w:t>
      </w:r>
      <w:r>
        <w:rPr>
          <w:rFonts w:hint="eastAsia" w:ascii="Times New Roman" w:hAnsi="Times New Roman" w:cs="Times New Roman"/>
        </w:rPr>
        <w:t>/h，H</w:t>
      </w:r>
      <w:r>
        <w:rPr>
          <w:rFonts w:ascii="Times New Roman" w:hAnsi="Times New Roman" w:cs="Times New Roman"/>
        </w:rPr>
        <w:t>=</w:t>
      </w:r>
      <w:r>
        <w:rPr>
          <w:rFonts w:hint="eastAsia" w:ascii="Times New Roman" w:hAnsi="Times New Roman" w:cs="Times New Roman"/>
        </w:rPr>
        <w:t>32</w:t>
      </w:r>
      <w:r>
        <w:rPr>
          <w:rFonts w:ascii="Times New Roman" w:hAnsi="Times New Roman" w:cs="Times New Roman"/>
        </w:rPr>
        <w:t>m</w:t>
      </w:r>
      <w:r>
        <w:rPr>
          <w:rFonts w:hint="eastAsia" w:ascii="Times New Roman" w:hAnsi="Times New Roman" w:cs="Times New Roman"/>
        </w:rPr>
        <w:t>，N</w:t>
      </w:r>
      <w:r>
        <w:rPr>
          <w:rFonts w:ascii="Times New Roman" w:hAnsi="Times New Roman" w:cs="Times New Roman"/>
        </w:rPr>
        <w:t>=</w:t>
      </w:r>
      <w:r>
        <w:rPr>
          <w:rFonts w:hint="eastAsia" w:ascii="Times New Roman" w:hAnsi="Times New Roman" w:cs="Times New Roman"/>
        </w:rPr>
        <w:t>710k</w:t>
      </w:r>
      <w:r>
        <w:rPr>
          <w:rFonts w:ascii="Times New Roman" w:hAnsi="Times New Roman" w:cs="Times New Roman"/>
        </w:rPr>
        <w:t>W</w:t>
      </w:r>
      <w:r>
        <w:rPr>
          <w:rFonts w:hint="eastAsia" w:ascii="Times New Roman" w:hAnsi="Times New Roman" w:cs="Times New Roman"/>
        </w:rPr>
        <w:t>，</w:t>
      </w:r>
      <w:r>
        <w:rPr>
          <w:rFonts w:ascii="Times New Roman" w:hAnsi="Times New Roman" w:cs="Times New Roman"/>
        </w:rPr>
        <w:t>U=</w:t>
      </w:r>
      <w:r>
        <w:rPr>
          <w:rFonts w:hint="eastAsia" w:ascii="Times New Roman" w:hAnsi="Times New Roman" w:cs="Times New Roman"/>
        </w:rPr>
        <w:t>10</w:t>
      </w:r>
      <w:r>
        <w:rPr>
          <w:rFonts w:ascii="Times New Roman" w:hAnsi="Times New Roman" w:cs="Times New Roman"/>
        </w:rPr>
        <w:t>000</w:t>
      </w:r>
      <w:r>
        <w:rPr>
          <w:rFonts w:hint="eastAsia" w:ascii="Times New Roman" w:hAnsi="Times New Roman" w:cs="Times New Roman"/>
        </w:rPr>
        <w:t>v ；循环水泵设置在泵房内。为便于设备检修泵房内设10吨电动单梁悬挂式起重机一台。</w:t>
      </w:r>
    </w:p>
    <w:p w14:paraId="40F225C2">
      <w:pPr>
        <w:snapToGrid w:val="0"/>
        <w:spacing w:line="360" w:lineRule="auto"/>
        <w:ind w:firstLine="480"/>
        <w:rPr>
          <w:rFonts w:ascii="Times New Roman" w:hAnsi="Times New Roman" w:cs="Times New Roman"/>
        </w:rPr>
      </w:pPr>
      <w:r>
        <w:rPr>
          <w:rFonts w:hint="eastAsia" w:ascii="Times New Roman" w:hAnsi="Times New Roman" w:cs="Times New Roman"/>
        </w:rPr>
        <w:t>闭式循环水系统的补充水分闭式冷却系统补充水和喷淋系统补充水两个系统。</w:t>
      </w:r>
    </w:p>
    <w:p w14:paraId="249F6CE7">
      <w:pPr>
        <w:snapToGrid w:val="0"/>
        <w:spacing w:line="360" w:lineRule="auto"/>
        <w:ind w:firstLine="480"/>
        <w:rPr>
          <w:rFonts w:ascii="Times New Roman" w:hAnsi="Times New Roman" w:cs="Times New Roman"/>
        </w:rPr>
      </w:pPr>
      <w:r>
        <w:rPr>
          <w:rFonts w:hint="eastAsia" w:ascii="Times New Roman" w:hAnsi="Times New Roman" w:cs="Times New Roman"/>
        </w:rPr>
        <w:t>闭式冷却循环水补充水采用清净水回用反渗透产水ROW1，根据《化学工业循环冷却水系统设计规范》G</w:t>
      </w:r>
      <w:r>
        <w:rPr>
          <w:rFonts w:ascii="Times New Roman" w:hAnsi="Times New Roman" w:cs="Times New Roman"/>
        </w:rPr>
        <w:t>B50648-2011</w:t>
      </w:r>
      <w:r>
        <w:rPr>
          <w:rFonts w:hint="eastAsia" w:ascii="Times New Roman" w:hAnsi="Times New Roman" w:cs="Times New Roman"/>
        </w:rPr>
        <w:t>，其补水量为循环水量的0</w:t>
      </w:r>
      <w:r>
        <w:rPr>
          <w:rFonts w:ascii="Times New Roman" w:hAnsi="Times New Roman" w:cs="Times New Roman"/>
        </w:rPr>
        <w:t>.1</w:t>
      </w:r>
      <w:r>
        <w:rPr>
          <w:rFonts w:hint="eastAsia" w:ascii="Times New Roman" w:hAnsi="Times New Roman" w:cs="Times New Roman"/>
        </w:rPr>
        <w:t>%，喷淋系统补水采用生产水和ROW2（生化段反渗透产水）回用水作为补充水</w:t>
      </w:r>
      <w:r>
        <w:rPr>
          <w:rFonts w:ascii="Times New Roman" w:hAnsi="Times New Roman" w:cs="Times New Roman"/>
        </w:rPr>
        <w:t>。</w:t>
      </w:r>
      <w:r>
        <w:rPr>
          <w:rFonts w:hint="eastAsia" w:ascii="Times New Roman" w:hAnsi="Times New Roman" w:cs="Times New Roman"/>
        </w:rPr>
        <w:t>根据生产水和回用水的水质情况，喷淋水总补充水量按浓缩倍数N</w:t>
      </w:r>
      <w:r>
        <w:rPr>
          <w:rFonts w:ascii="Times New Roman" w:hAnsi="Times New Roman" w:cs="Times New Roman"/>
        </w:rPr>
        <w:t>=</w:t>
      </w:r>
      <w:r>
        <w:rPr>
          <w:rFonts w:hint="eastAsia" w:ascii="Times New Roman" w:hAnsi="Times New Roman" w:cs="Times New Roman"/>
        </w:rPr>
        <w:t>5计算。</w:t>
      </w:r>
    </w:p>
    <w:p w14:paraId="1321A333">
      <w:pPr>
        <w:pStyle w:val="281"/>
        <w:ind w:firstLine="480"/>
        <w:rPr>
          <w:szCs w:val="24"/>
        </w:rPr>
      </w:pPr>
      <w:r>
        <w:rPr>
          <w:rFonts w:hint="eastAsia" w:cs="Times New Roman"/>
        </w:rPr>
        <w:t>为保证闭式循环水系统的稳定压力，设置定压补水装置一套，公辅循环水系统设有定压补水罐一台，单台尺寸Φ</w:t>
      </w:r>
      <w:r>
        <w:rPr>
          <w:rFonts w:cs="Times New Roman"/>
        </w:rPr>
        <w:t>3800*5000</w:t>
      </w:r>
      <w:r>
        <w:rPr>
          <w:rFonts w:hint="eastAsia" w:cs="Times New Roman"/>
        </w:rPr>
        <w:t>，材质不锈钢，用来稳定循环水回压力。</w:t>
      </w:r>
    </w:p>
    <w:p w14:paraId="0C7EA7BC">
      <w:pPr>
        <w:pStyle w:val="98"/>
        <w:rPr>
          <w:rFonts w:hint="eastAsia"/>
        </w:rPr>
      </w:pPr>
      <w:r>
        <w:rPr>
          <w:rFonts w:hint="eastAsia"/>
        </w:rPr>
        <w:t>脱盐水系统</w:t>
      </w:r>
    </w:p>
    <w:p w14:paraId="71F5805B">
      <w:pPr>
        <w:pStyle w:val="281"/>
        <w:ind w:firstLine="480"/>
      </w:pPr>
      <w:r>
        <w:rPr>
          <w:rFonts w:hint="eastAsia"/>
        </w:rPr>
        <w:t>本项目设置一座脱盐水站，由除盐水制备工序和冷凝液精制工序两部分组成。</w:t>
      </w:r>
    </w:p>
    <w:p w14:paraId="724A1193">
      <w:pPr>
        <w:pStyle w:val="814"/>
        <w:rPr>
          <w:rFonts w:hint="eastAsia"/>
        </w:rPr>
      </w:pPr>
      <w:r>
        <w:rPr>
          <w:rFonts w:hint="eastAsia"/>
        </w:rPr>
        <w:t>设计规模</w:t>
      </w:r>
    </w:p>
    <w:p w14:paraId="1E91319C">
      <w:pPr>
        <w:pStyle w:val="281"/>
        <w:ind w:firstLine="480"/>
      </w:pPr>
      <w:r>
        <w:rPr>
          <w:rFonts w:hint="eastAsia" w:cs="Times New Roman"/>
          <w:szCs w:val="28"/>
        </w:rPr>
        <w:t>为了满足化工工艺用水和锅炉用水，新建脱盐水站，</w:t>
      </w:r>
      <w:r>
        <w:rPr>
          <w:rFonts w:cs="Times New Roman"/>
          <w:szCs w:val="28"/>
        </w:rPr>
        <w:t>考虑一定的裕量及</w:t>
      </w:r>
      <w:r>
        <w:rPr>
          <w:rFonts w:hint="eastAsia" w:cs="Times New Roman"/>
          <w:szCs w:val="28"/>
        </w:rPr>
        <w:t>脱盐水装置处理能力的衰减</w:t>
      </w:r>
      <w:r>
        <w:rPr>
          <w:rFonts w:cs="Times New Roman"/>
          <w:szCs w:val="28"/>
        </w:rPr>
        <w:t>，脱盐水站规模</w:t>
      </w:r>
      <w:r>
        <w:rPr>
          <w:rFonts w:hint="eastAsia" w:cs="Times New Roman"/>
          <w:szCs w:val="28"/>
        </w:rPr>
        <w:t>按</w:t>
      </w:r>
      <w:r>
        <w:rPr>
          <w:rFonts w:cs="Times New Roman"/>
          <w:szCs w:val="28"/>
        </w:rPr>
        <w:t>2</w:t>
      </w:r>
      <w:r>
        <w:rPr>
          <w:rFonts w:ascii="Arial" w:hAnsi="Arial" w:cs="Arial"/>
          <w:szCs w:val="28"/>
        </w:rPr>
        <w:t>×</w:t>
      </w:r>
      <w:r>
        <w:rPr>
          <w:rFonts w:hint="eastAsia" w:cs="Times New Roman"/>
          <w:szCs w:val="28"/>
        </w:rPr>
        <w:t>120</w:t>
      </w:r>
      <w:r>
        <w:rPr>
          <w:rFonts w:cs="Times New Roman"/>
          <w:szCs w:val="28"/>
        </w:rPr>
        <w:t>t/h设计。</w:t>
      </w:r>
    </w:p>
    <w:p w14:paraId="4328F53B">
      <w:pPr>
        <w:pStyle w:val="814"/>
        <w:rPr>
          <w:rFonts w:hint="eastAsia"/>
        </w:rPr>
      </w:pPr>
      <w:r>
        <w:rPr>
          <w:rFonts w:hint="eastAsia"/>
        </w:rPr>
        <w:t>主要设备</w:t>
      </w:r>
    </w:p>
    <w:p w14:paraId="15549DD2">
      <w:pPr>
        <w:pStyle w:val="281"/>
        <w:ind w:firstLine="480"/>
      </w:pPr>
      <w:r>
        <w:rPr>
          <w:rFonts w:hint="eastAsia"/>
        </w:rPr>
        <w:t>脱盐水站主要设备见表3</w:t>
      </w:r>
      <w:r>
        <w:t>.3.1-</w:t>
      </w:r>
      <w:r>
        <w:rPr>
          <w:rFonts w:hint="eastAsia"/>
        </w:rPr>
        <w:t>2。</w:t>
      </w:r>
    </w:p>
    <w:p w14:paraId="6A373C68">
      <w:pPr>
        <w:pStyle w:val="645"/>
        <w:rPr>
          <w:rFonts w:hint="eastAsia"/>
        </w:rPr>
      </w:pPr>
      <w:r>
        <w:rPr>
          <w:rFonts w:hint="eastAsia"/>
        </w:rPr>
        <w:t>表3</w:t>
      </w:r>
      <w:r>
        <w:t>.3.1</w:t>
      </w:r>
      <w:r>
        <w:rPr>
          <w:rFonts w:hint="eastAsia"/>
        </w:rPr>
        <w:t>-2</w:t>
      </w:r>
      <w:r>
        <w:t xml:space="preserve">   </w:t>
      </w:r>
      <w:r>
        <w:rPr>
          <w:rFonts w:hint="eastAsia"/>
        </w:rPr>
        <w:t xml:space="preserve"> 脱盐水站主要设备一览表</w:t>
      </w:r>
    </w:p>
    <w:p w14:paraId="641547AF">
      <w:pPr>
        <w:pStyle w:val="814"/>
        <w:rPr>
          <w:rFonts w:hint="eastAsia"/>
        </w:rPr>
      </w:pPr>
      <w:r>
        <w:rPr>
          <w:rFonts w:hint="eastAsia"/>
        </w:rPr>
        <w:t>工艺流程</w:t>
      </w:r>
    </w:p>
    <w:p w14:paraId="1F6BDF9D">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脱盐水站</w:t>
      </w:r>
      <w:r>
        <w:rPr>
          <w:rFonts w:ascii="Times New Roman" w:hAnsi="Times New Roman" w:cs="Times New Roman"/>
          <w:szCs w:val="28"/>
        </w:rPr>
        <w:t>流程</w:t>
      </w:r>
      <w:r>
        <w:rPr>
          <w:rFonts w:hint="eastAsia" w:ascii="Times New Roman" w:hAnsi="Times New Roman" w:cs="Times New Roman"/>
          <w:szCs w:val="28"/>
        </w:rPr>
        <w:t>如下</w:t>
      </w:r>
      <w:r>
        <w:rPr>
          <w:rFonts w:ascii="Times New Roman" w:hAnsi="Times New Roman" w:cs="Times New Roman"/>
          <w:szCs w:val="28"/>
        </w:rPr>
        <w:t>：</w:t>
      </w:r>
    </w:p>
    <w:p w14:paraId="086E581D">
      <w:pPr>
        <w:pStyle w:val="281"/>
        <w:ind w:firstLine="480"/>
        <w:rPr>
          <w:highlight w:val="yellow"/>
        </w:rPr>
      </w:pPr>
      <w:r>
        <w:rPr>
          <w:rFonts w:cs="Times New Roman"/>
          <w:szCs w:val="28"/>
        </w:rPr>
        <w:t>外管网来新鲜水→</w:t>
      </w:r>
      <w:r>
        <w:rPr>
          <w:rFonts w:hint="eastAsia" w:cs="Times New Roman"/>
          <w:szCs w:val="28"/>
        </w:rPr>
        <w:t>自清洗过滤器</w:t>
      </w:r>
      <w:r>
        <w:rPr>
          <w:rFonts w:cs="Times New Roman"/>
          <w:szCs w:val="28"/>
        </w:rPr>
        <w:t>→</w:t>
      </w:r>
      <w:r>
        <w:rPr>
          <w:rFonts w:hint="eastAsia" w:cs="Times New Roman"/>
          <w:szCs w:val="28"/>
        </w:rPr>
        <w:t>超滤装置</w:t>
      </w:r>
      <w:r>
        <w:rPr>
          <w:rFonts w:cs="Times New Roman"/>
          <w:szCs w:val="28"/>
        </w:rPr>
        <w:t>→大通量保安过滤器→高压泵→</w:t>
      </w:r>
      <w:r>
        <w:rPr>
          <w:rFonts w:hint="eastAsia" w:cs="Times New Roman"/>
          <w:szCs w:val="28"/>
        </w:rPr>
        <w:t>一级</w:t>
      </w:r>
      <w:r>
        <w:rPr>
          <w:rFonts w:cs="Times New Roman"/>
          <w:szCs w:val="28"/>
        </w:rPr>
        <w:t>RO装置→中间水箱→高压泵→</w:t>
      </w:r>
      <w:r>
        <w:rPr>
          <w:rFonts w:hint="eastAsia" w:cs="Times New Roman"/>
          <w:szCs w:val="28"/>
        </w:rPr>
        <w:t>二级</w:t>
      </w:r>
      <w:r>
        <w:rPr>
          <w:rFonts w:cs="Times New Roman"/>
          <w:szCs w:val="28"/>
        </w:rPr>
        <w:t>RO装置→</w:t>
      </w:r>
      <w:r>
        <w:rPr>
          <w:rFonts w:hint="eastAsia" w:cs="Times New Roman"/>
          <w:szCs w:val="28"/>
        </w:rPr>
        <w:t>中间水箱</w:t>
      </w:r>
      <w:r>
        <w:rPr>
          <w:rFonts w:cs="Times New Roman"/>
          <w:szCs w:val="28"/>
        </w:rPr>
        <w:t>→</w:t>
      </w:r>
      <w:r>
        <w:rPr>
          <w:rFonts w:hint="eastAsia" w:cs="Times New Roman"/>
          <w:szCs w:val="28"/>
        </w:rPr>
        <w:t>EDI供水泵</w:t>
      </w:r>
      <w:r>
        <w:rPr>
          <w:rFonts w:cs="Times New Roman"/>
          <w:szCs w:val="28"/>
        </w:rPr>
        <w:t>→</w:t>
      </w:r>
      <w:r>
        <w:rPr>
          <w:rFonts w:hint="eastAsia" w:cs="Times New Roman"/>
          <w:szCs w:val="28"/>
        </w:rPr>
        <w:t>EDI装置</w:t>
      </w:r>
      <w:r>
        <w:rPr>
          <w:rFonts w:cs="Times New Roman"/>
          <w:szCs w:val="28"/>
        </w:rPr>
        <w:t>→脱盐水箱→脱盐水泵→用户。</w:t>
      </w:r>
    </w:p>
    <w:p w14:paraId="0C370E5B">
      <w:pPr>
        <w:pStyle w:val="281"/>
        <w:ind w:firstLine="480"/>
        <w:rPr>
          <w:rFonts w:cs="Times New Roman"/>
          <w:kern w:val="32"/>
          <w:szCs w:val="28"/>
        </w:rPr>
      </w:pPr>
      <w:r>
        <w:rPr>
          <w:rFonts w:hint="eastAsia" w:cs="Times New Roman"/>
          <w:kern w:val="32"/>
          <w:szCs w:val="28"/>
        </w:rPr>
        <w:t>处理后的脱盐水</w:t>
      </w:r>
      <w:r>
        <w:rPr>
          <w:rFonts w:hint="eastAsia" w:cs="Times New Roman"/>
          <w:szCs w:val="28"/>
        </w:rPr>
        <w:t>满足《火力发电机组及蒸汽动力设备水汽质量标准》GBT 12145-2016的</w:t>
      </w:r>
      <w:r>
        <w:rPr>
          <w:rFonts w:cs="Times New Roman"/>
          <w:szCs w:val="28"/>
        </w:rPr>
        <w:t>要求</w:t>
      </w:r>
      <w:r>
        <w:rPr>
          <w:rFonts w:hint="eastAsia" w:cs="Times New Roman"/>
          <w:szCs w:val="28"/>
        </w:rPr>
        <w:t>中“5.9-12.6”压力等级要求，详见下表。</w:t>
      </w:r>
    </w:p>
    <w:p w14:paraId="372E66EA">
      <w:pPr>
        <w:pStyle w:val="645"/>
        <w:rPr>
          <w:rFonts w:hint="eastAsia"/>
        </w:rPr>
      </w:pPr>
      <w:r>
        <w:rPr>
          <w:rFonts w:hint="eastAsia"/>
        </w:rPr>
        <w:t>表3</w:t>
      </w:r>
      <w:r>
        <w:t>.3.1</w:t>
      </w:r>
      <w:r>
        <w:rPr>
          <w:rFonts w:hint="eastAsia"/>
        </w:rPr>
        <w:t>-3</w:t>
      </w:r>
      <w:r>
        <w:t xml:space="preserve">    </w:t>
      </w:r>
      <w:r>
        <w:rPr>
          <w:rFonts w:hint="eastAsia"/>
        </w:rPr>
        <w:t>脱盐水水质指标</w:t>
      </w:r>
    </w:p>
    <w:tbl>
      <w:tblPr>
        <w:tblStyle w:val="6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220"/>
        <w:gridCol w:w="887"/>
        <w:gridCol w:w="875"/>
        <w:gridCol w:w="876"/>
        <w:gridCol w:w="958"/>
        <w:gridCol w:w="1062"/>
        <w:gridCol w:w="863"/>
        <w:gridCol w:w="892"/>
      </w:tblGrid>
      <w:tr w14:paraId="6333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5" w:type="pct"/>
            <w:gridSpan w:val="2"/>
            <w:vMerge w:val="restart"/>
            <w:noWrap/>
            <w:vAlign w:val="center"/>
          </w:tcPr>
          <w:p w14:paraId="0A2EFF2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控制项目</w:t>
            </w:r>
          </w:p>
        </w:tc>
        <w:tc>
          <w:tcPr>
            <w:tcW w:w="542" w:type="pct"/>
            <w:vMerge w:val="restart"/>
            <w:vAlign w:val="center"/>
          </w:tcPr>
          <w:p w14:paraId="47FEE3A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标准值和</w:t>
            </w:r>
          </w:p>
          <w:p w14:paraId="186FE31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3372" w:type="pct"/>
            <w:gridSpan w:val="6"/>
            <w:noWrap/>
            <w:vAlign w:val="center"/>
          </w:tcPr>
          <w:p w14:paraId="1766F0E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过热蒸汽压力 Mpa</w:t>
            </w:r>
          </w:p>
        </w:tc>
      </w:tr>
      <w:tr w14:paraId="7400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5" w:type="pct"/>
            <w:gridSpan w:val="2"/>
            <w:vMerge w:val="continue"/>
            <w:vAlign w:val="center"/>
          </w:tcPr>
          <w:p w14:paraId="47A3A60A">
            <w:pPr>
              <w:pStyle w:val="152"/>
              <w:tabs>
                <w:tab w:val="left" w:pos="980"/>
              </w:tabs>
              <w:rPr>
                <w:rFonts w:ascii="Times New Roman" w:hAnsi="Times New Roman" w:eastAsia="宋体" w:cs="Times New Roman"/>
                <w:sz w:val="21"/>
                <w:szCs w:val="21"/>
              </w:rPr>
            </w:pPr>
          </w:p>
        </w:tc>
        <w:tc>
          <w:tcPr>
            <w:tcW w:w="542" w:type="pct"/>
            <w:vMerge w:val="continue"/>
            <w:vAlign w:val="center"/>
          </w:tcPr>
          <w:p w14:paraId="6C25B269">
            <w:pPr>
              <w:pStyle w:val="152"/>
              <w:tabs>
                <w:tab w:val="left" w:pos="980"/>
              </w:tabs>
              <w:rPr>
                <w:rFonts w:ascii="Times New Roman" w:hAnsi="Times New Roman" w:eastAsia="宋体" w:cs="Times New Roman"/>
                <w:sz w:val="21"/>
                <w:szCs w:val="21"/>
              </w:rPr>
            </w:pPr>
          </w:p>
        </w:tc>
        <w:tc>
          <w:tcPr>
            <w:tcW w:w="2300" w:type="pct"/>
            <w:gridSpan w:val="4"/>
            <w:noWrap/>
            <w:vAlign w:val="center"/>
          </w:tcPr>
          <w:p w14:paraId="7D3A4BB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汽包炉</w:t>
            </w:r>
          </w:p>
        </w:tc>
        <w:tc>
          <w:tcPr>
            <w:tcW w:w="1071" w:type="pct"/>
            <w:gridSpan w:val="2"/>
            <w:noWrap/>
            <w:vAlign w:val="center"/>
          </w:tcPr>
          <w:p w14:paraId="4078C3E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直流炉</w:t>
            </w:r>
          </w:p>
        </w:tc>
      </w:tr>
      <w:tr w14:paraId="615C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5CD16B3A">
            <w:pPr>
              <w:pStyle w:val="152"/>
              <w:tabs>
                <w:tab w:val="left" w:pos="980"/>
              </w:tabs>
              <w:rPr>
                <w:rFonts w:ascii="Times New Roman" w:hAnsi="Times New Roman" w:eastAsia="宋体" w:cs="Times New Roman"/>
                <w:sz w:val="21"/>
                <w:szCs w:val="21"/>
              </w:rPr>
            </w:pPr>
          </w:p>
        </w:tc>
        <w:tc>
          <w:tcPr>
            <w:tcW w:w="542" w:type="pct"/>
            <w:vMerge w:val="continue"/>
            <w:vAlign w:val="center"/>
          </w:tcPr>
          <w:p w14:paraId="690B6E67">
            <w:pPr>
              <w:pStyle w:val="152"/>
              <w:tabs>
                <w:tab w:val="left" w:pos="980"/>
              </w:tabs>
              <w:rPr>
                <w:rFonts w:ascii="Times New Roman" w:hAnsi="Times New Roman" w:eastAsia="宋体" w:cs="Times New Roman"/>
                <w:sz w:val="21"/>
                <w:szCs w:val="21"/>
              </w:rPr>
            </w:pPr>
          </w:p>
        </w:tc>
        <w:tc>
          <w:tcPr>
            <w:tcW w:w="535" w:type="pct"/>
            <w:noWrap/>
            <w:vAlign w:val="center"/>
          </w:tcPr>
          <w:p w14:paraId="7697598E">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3.8~5.8</w:t>
            </w:r>
          </w:p>
        </w:tc>
        <w:tc>
          <w:tcPr>
            <w:tcW w:w="536" w:type="pct"/>
            <w:noWrap/>
            <w:vAlign w:val="center"/>
          </w:tcPr>
          <w:p w14:paraId="27538B42">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5.9~12.6</w:t>
            </w:r>
          </w:p>
        </w:tc>
        <w:tc>
          <w:tcPr>
            <w:tcW w:w="584" w:type="pct"/>
            <w:noWrap/>
            <w:vAlign w:val="center"/>
          </w:tcPr>
          <w:p w14:paraId="4B122164">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12.7~15.6</w:t>
            </w:r>
          </w:p>
        </w:tc>
        <w:tc>
          <w:tcPr>
            <w:tcW w:w="644" w:type="pct"/>
            <w:noWrap/>
            <w:vAlign w:val="center"/>
          </w:tcPr>
          <w:p w14:paraId="1197DEEF">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&gt;15.6（a）</w:t>
            </w:r>
          </w:p>
        </w:tc>
        <w:tc>
          <w:tcPr>
            <w:tcW w:w="528" w:type="pct"/>
            <w:noWrap/>
            <w:vAlign w:val="center"/>
          </w:tcPr>
          <w:p w14:paraId="0A5035FE">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5.9~18.3</w:t>
            </w:r>
          </w:p>
        </w:tc>
        <w:tc>
          <w:tcPr>
            <w:tcW w:w="542" w:type="pct"/>
            <w:noWrap/>
            <w:vAlign w:val="center"/>
          </w:tcPr>
          <w:p w14:paraId="42340978">
            <w:pPr>
              <w:pStyle w:val="152"/>
              <w:tabs>
                <w:tab w:val="left" w:pos="980"/>
              </w:tabs>
              <w:ind w:left="-120" w:leftChars="-50" w:right="-120" w:rightChars="-50"/>
              <w:rPr>
                <w:rFonts w:ascii="Times New Roman" w:hAnsi="Times New Roman" w:eastAsia="宋体" w:cs="Times New Roman"/>
                <w:sz w:val="21"/>
                <w:szCs w:val="21"/>
              </w:rPr>
            </w:pPr>
            <w:r>
              <w:rPr>
                <w:rFonts w:ascii="Times New Roman" w:hAnsi="Times New Roman" w:eastAsia="宋体" w:cs="Times New Roman"/>
                <w:sz w:val="21"/>
                <w:szCs w:val="21"/>
              </w:rPr>
              <w:t>&gt;18.3</w:t>
            </w:r>
          </w:p>
        </w:tc>
      </w:tr>
      <w:tr w14:paraId="4B3E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restart"/>
            <w:vAlign w:val="center"/>
          </w:tcPr>
          <w:p w14:paraId="26C216B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氢电导率（25℃）</w:t>
            </w:r>
          </w:p>
          <w:p w14:paraId="7EEF101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μS/cm</w:t>
            </w:r>
          </w:p>
        </w:tc>
        <w:tc>
          <w:tcPr>
            <w:tcW w:w="542" w:type="pct"/>
            <w:vAlign w:val="center"/>
          </w:tcPr>
          <w:p w14:paraId="344A6FB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26ABD20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28A4887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≤0.30</w:t>
            </w:r>
          </w:p>
        </w:tc>
        <w:tc>
          <w:tcPr>
            <w:tcW w:w="584" w:type="pct"/>
            <w:noWrap/>
            <w:vAlign w:val="center"/>
          </w:tcPr>
          <w:p w14:paraId="4B14331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≤0.30</w:t>
            </w:r>
          </w:p>
        </w:tc>
        <w:tc>
          <w:tcPr>
            <w:tcW w:w="644" w:type="pct"/>
            <w:noWrap/>
            <w:vAlign w:val="center"/>
          </w:tcPr>
          <w:p w14:paraId="60F8EED7">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≤0.15</w:t>
            </w:r>
          </w:p>
        </w:tc>
        <w:tc>
          <w:tcPr>
            <w:tcW w:w="528" w:type="pct"/>
            <w:noWrap/>
            <w:vAlign w:val="center"/>
          </w:tcPr>
          <w:p w14:paraId="48EFA71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≤0.15</w:t>
            </w:r>
          </w:p>
        </w:tc>
        <w:tc>
          <w:tcPr>
            <w:tcW w:w="542" w:type="pct"/>
            <w:noWrap/>
            <w:vAlign w:val="center"/>
          </w:tcPr>
          <w:p w14:paraId="2CEAEAC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≤0.10</w:t>
            </w:r>
          </w:p>
        </w:tc>
      </w:tr>
      <w:tr w14:paraId="3217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258847AE">
            <w:pPr>
              <w:pStyle w:val="152"/>
              <w:tabs>
                <w:tab w:val="left" w:pos="980"/>
              </w:tabs>
              <w:rPr>
                <w:rFonts w:ascii="Times New Roman" w:hAnsi="Times New Roman" w:eastAsia="宋体" w:cs="Times New Roman"/>
                <w:sz w:val="21"/>
                <w:szCs w:val="21"/>
              </w:rPr>
            </w:pPr>
          </w:p>
        </w:tc>
        <w:tc>
          <w:tcPr>
            <w:tcW w:w="542" w:type="pct"/>
            <w:noWrap/>
            <w:vAlign w:val="center"/>
          </w:tcPr>
          <w:p w14:paraId="7832A2C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535" w:type="pct"/>
            <w:noWrap/>
            <w:vAlign w:val="center"/>
          </w:tcPr>
          <w:p w14:paraId="499B411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641E2F4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7508C20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6C07B34C">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≤0.10</w:t>
            </w:r>
          </w:p>
        </w:tc>
        <w:tc>
          <w:tcPr>
            <w:tcW w:w="528" w:type="pct"/>
            <w:noWrap/>
            <w:vAlign w:val="center"/>
          </w:tcPr>
          <w:p w14:paraId="7E764C1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≤0.10</w:t>
            </w:r>
          </w:p>
        </w:tc>
        <w:tc>
          <w:tcPr>
            <w:tcW w:w="542" w:type="pct"/>
            <w:noWrap/>
            <w:vAlign w:val="center"/>
          </w:tcPr>
          <w:p w14:paraId="1B51F45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≤0.08</w:t>
            </w:r>
          </w:p>
        </w:tc>
      </w:tr>
      <w:tr w14:paraId="5EB2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noWrap/>
            <w:vAlign w:val="center"/>
          </w:tcPr>
          <w:p w14:paraId="4170A84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硬度/（μmol/L</w:t>
            </w:r>
            <w:r>
              <w:rPr>
                <w:rFonts w:hint="eastAsia" w:ascii="Times New Roman" w:hAnsi="Times New Roman" w:eastAsia="宋体" w:cs="Times New Roman"/>
                <w:sz w:val="21"/>
                <w:szCs w:val="21"/>
              </w:rPr>
              <w:t>）</w:t>
            </w:r>
          </w:p>
        </w:tc>
        <w:tc>
          <w:tcPr>
            <w:tcW w:w="542" w:type="pct"/>
            <w:vAlign w:val="center"/>
          </w:tcPr>
          <w:p w14:paraId="19F4FF5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66F3977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536" w:type="pct"/>
            <w:noWrap/>
            <w:vAlign w:val="center"/>
          </w:tcPr>
          <w:p w14:paraId="2A07D18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08FD311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744FD53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28" w:type="pct"/>
            <w:noWrap/>
            <w:vAlign w:val="center"/>
          </w:tcPr>
          <w:p w14:paraId="35B3140B">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42" w:type="pct"/>
            <w:noWrap/>
            <w:vAlign w:val="center"/>
          </w:tcPr>
          <w:p w14:paraId="3214B00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r>
      <w:tr w14:paraId="1F63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2" w:type="pct"/>
            <w:vMerge w:val="restart"/>
            <w:vAlign w:val="center"/>
          </w:tcPr>
          <w:p w14:paraId="0EC41AC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溶解氧（b</w:t>
            </w:r>
            <w:r>
              <w:rPr>
                <w:rFonts w:hint="eastAsia" w:ascii="Times New Roman" w:hAnsi="Times New Roman" w:eastAsia="宋体" w:cs="Times New Roman"/>
                <w:sz w:val="21"/>
                <w:szCs w:val="21"/>
              </w:rPr>
              <w:t>）</w:t>
            </w:r>
          </w:p>
          <w:p w14:paraId="1443894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μg/L</w:t>
            </w:r>
          </w:p>
        </w:tc>
        <w:tc>
          <w:tcPr>
            <w:tcW w:w="542" w:type="pct"/>
            <w:noWrap/>
            <w:vAlign w:val="center"/>
          </w:tcPr>
          <w:p w14:paraId="7DF530F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AVT（R</w:t>
            </w:r>
            <w:r>
              <w:rPr>
                <w:rFonts w:hint="eastAsia" w:ascii="Times New Roman" w:hAnsi="Times New Roman" w:eastAsia="宋体" w:cs="Times New Roman"/>
                <w:sz w:val="21"/>
                <w:szCs w:val="21"/>
              </w:rPr>
              <w:t>）</w:t>
            </w:r>
          </w:p>
        </w:tc>
        <w:tc>
          <w:tcPr>
            <w:tcW w:w="542" w:type="pct"/>
            <w:vAlign w:val="center"/>
          </w:tcPr>
          <w:p w14:paraId="42656AD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47BFDF8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36" w:type="pct"/>
            <w:noWrap/>
            <w:vAlign w:val="center"/>
          </w:tcPr>
          <w:p w14:paraId="26EEB40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84" w:type="pct"/>
            <w:noWrap/>
            <w:vAlign w:val="center"/>
          </w:tcPr>
          <w:p w14:paraId="2E7C572B">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644" w:type="pct"/>
            <w:noWrap/>
            <w:vAlign w:val="center"/>
          </w:tcPr>
          <w:p w14:paraId="7328C71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28" w:type="pct"/>
            <w:noWrap/>
            <w:vAlign w:val="center"/>
          </w:tcPr>
          <w:p w14:paraId="7E69A4B9">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42" w:type="pct"/>
            <w:noWrap/>
            <w:vAlign w:val="center"/>
          </w:tcPr>
          <w:p w14:paraId="35E14D69">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≤7</w:t>
            </w:r>
          </w:p>
        </w:tc>
      </w:tr>
      <w:tr w14:paraId="7699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2" w:type="pct"/>
            <w:vMerge w:val="continue"/>
            <w:vAlign w:val="center"/>
          </w:tcPr>
          <w:p w14:paraId="483AB930">
            <w:pPr>
              <w:pStyle w:val="152"/>
              <w:tabs>
                <w:tab w:val="left" w:pos="980"/>
              </w:tabs>
              <w:rPr>
                <w:rFonts w:ascii="Times New Roman" w:hAnsi="Times New Roman" w:eastAsia="宋体" w:cs="Times New Roman"/>
                <w:sz w:val="21"/>
                <w:szCs w:val="21"/>
              </w:rPr>
            </w:pPr>
          </w:p>
        </w:tc>
        <w:tc>
          <w:tcPr>
            <w:tcW w:w="542" w:type="pct"/>
            <w:noWrap/>
            <w:vAlign w:val="center"/>
          </w:tcPr>
          <w:p w14:paraId="0FDF308B">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AVT（O</w:t>
            </w:r>
            <w:r>
              <w:rPr>
                <w:rFonts w:hint="eastAsia" w:ascii="Times New Roman" w:hAnsi="Times New Roman" w:eastAsia="宋体" w:cs="Times New Roman"/>
                <w:sz w:val="21"/>
                <w:szCs w:val="21"/>
              </w:rPr>
              <w:t>）</w:t>
            </w:r>
          </w:p>
        </w:tc>
        <w:tc>
          <w:tcPr>
            <w:tcW w:w="542" w:type="pct"/>
            <w:noWrap/>
            <w:vAlign w:val="center"/>
          </w:tcPr>
          <w:p w14:paraId="005610A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535" w:type="pct"/>
            <w:noWrap/>
            <w:vAlign w:val="center"/>
          </w:tcPr>
          <w:p w14:paraId="00C8929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36" w:type="pct"/>
            <w:noWrap/>
            <w:vAlign w:val="center"/>
          </w:tcPr>
          <w:p w14:paraId="29AC2A69">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84" w:type="pct"/>
            <w:noWrap/>
            <w:vAlign w:val="center"/>
          </w:tcPr>
          <w:p w14:paraId="4CE3BC8C">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644" w:type="pct"/>
            <w:noWrap/>
            <w:vAlign w:val="center"/>
          </w:tcPr>
          <w:p w14:paraId="57C5211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28" w:type="pct"/>
            <w:noWrap/>
            <w:vAlign w:val="center"/>
          </w:tcPr>
          <w:p w14:paraId="4092A40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42" w:type="pct"/>
            <w:noWrap/>
            <w:vAlign w:val="center"/>
          </w:tcPr>
          <w:p w14:paraId="54AC71D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r>
      <w:tr w14:paraId="2391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restart"/>
            <w:vAlign w:val="center"/>
          </w:tcPr>
          <w:p w14:paraId="71703AA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铁</w:t>
            </w:r>
          </w:p>
          <w:p w14:paraId="7987FD4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μg/L</w:t>
            </w:r>
          </w:p>
        </w:tc>
        <w:tc>
          <w:tcPr>
            <w:tcW w:w="542" w:type="pct"/>
            <w:vAlign w:val="center"/>
          </w:tcPr>
          <w:p w14:paraId="710B6A9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5E0459A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536" w:type="pct"/>
            <w:noWrap/>
            <w:vAlign w:val="center"/>
          </w:tcPr>
          <w:p w14:paraId="67F023D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584" w:type="pct"/>
            <w:noWrap/>
            <w:vAlign w:val="center"/>
          </w:tcPr>
          <w:p w14:paraId="029B2C6C">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644" w:type="pct"/>
            <w:noWrap/>
            <w:vAlign w:val="center"/>
          </w:tcPr>
          <w:p w14:paraId="1603EBC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28" w:type="pct"/>
            <w:noWrap/>
            <w:vAlign w:val="center"/>
          </w:tcPr>
          <w:p w14:paraId="2F77E74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42" w:type="pct"/>
            <w:noWrap/>
            <w:vAlign w:val="center"/>
          </w:tcPr>
          <w:p w14:paraId="25F0D7C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w:t>
            </w:r>
          </w:p>
        </w:tc>
      </w:tr>
      <w:tr w14:paraId="243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299BB9ED">
            <w:pPr>
              <w:pStyle w:val="152"/>
              <w:tabs>
                <w:tab w:val="left" w:pos="980"/>
              </w:tabs>
              <w:rPr>
                <w:rFonts w:ascii="Times New Roman" w:hAnsi="Times New Roman" w:eastAsia="宋体" w:cs="Times New Roman"/>
                <w:sz w:val="21"/>
                <w:szCs w:val="21"/>
              </w:rPr>
            </w:pPr>
          </w:p>
        </w:tc>
        <w:tc>
          <w:tcPr>
            <w:tcW w:w="542" w:type="pct"/>
            <w:noWrap/>
            <w:vAlign w:val="center"/>
          </w:tcPr>
          <w:p w14:paraId="56387377">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535" w:type="pct"/>
            <w:noWrap/>
            <w:vAlign w:val="center"/>
          </w:tcPr>
          <w:p w14:paraId="4EB2892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3245613C">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2AB0052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3DC17DA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28" w:type="pct"/>
            <w:noWrap/>
            <w:vAlign w:val="center"/>
          </w:tcPr>
          <w:p w14:paraId="42FE787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542" w:type="pct"/>
            <w:noWrap/>
            <w:vAlign w:val="center"/>
          </w:tcPr>
          <w:p w14:paraId="376120D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≤3</w:t>
            </w:r>
          </w:p>
        </w:tc>
      </w:tr>
      <w:tr w14:paraId="265C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restart"/>
            <w:vAlign w:val="center"/>
          </w:tcPr>
          <w:p w14:paraId="10A0AA47">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铜</w:t>
            </w:r>
          </w:p>
          <w:p w14:paraId="7EB11C3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μg/L</w:t>
            </w:r>
          </w:p>
        </w:tc>
        <w:tc>
          <w:tcPr>
            <w:tcW w:w="542" w:type="pct"/>
            <w:vAlign w:val="center"/>
          </w:tcPr>
          <w:p w14:paraId="6B9358B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0EBE76D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36" w:type="pct"/>
            <w:noWrap/>
            <w:vAlign w:val="center"/>
          </w:tcPr>
          <w:p w14:paraId="3BE2B9C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584" w:type="pct"/>
            <w:noWrap/>
            <w:vAlign w:val="center"/>
          </w:tcPr>
          <w:p w14:paraId="03FECC3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44" w:type="pct"/>
            <w:noWrap/>
            <w:vAlign w:val="center"/>
          </w:tcPr>
          <w:p w14:paraId="60EBF15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28" w:type="pct"/>
            <w:noWrap/>
            <w:vAlign w:val="center"/>
          </w:tcPr>
          <w:p w14:paraId="5695FD9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42" w:type="pct"/>
            <w:noWrap/>
            <w:vAlign w:val="center"/>
          </w:tcPr>
          <w:p w14:paraId="532DFD57">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r>
      <w:tr w14:paraId="46FF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54F036FC">
            <w:pPr>
              <w:pStyle w:val="152"/>
              <w:tabs>
                <w:tab w:val="left" w:pos="980"/>
              </w:tabs>
              <w:rPr>
                <w:rFonts w:ascii="Times New Roman" w:hAnsi="Times New Roman" w:eastAsia="宋体" w:cs="Times New Roman"/>
                <w:sz w:val="21"/>
                <w:szCs w:val="21"/>
              </w:rPr>
            </w:pPr>
          </w:p>
        </w:tc>
        <w:tc>
          <w:tcPr>
            <w:tcW w:w="542" w:type="pct"/>
            <w:noWrap/>
            <w:vAlign w:val="center"/>
          </w:tcPr>
          <w:p w14:paraId="1E7A491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535" w:type="pct"/>
            <w:noWrap/>
            <w:vAlign w:val="center"/>
          </w:tcPr>
          <w:p w14:paraId="54531EF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13D7F699">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5F1C11A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52DD940C">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28" w:type="pct"/>
            <w:noWrap/>
            <w:vAlign w:val="center"/>
          </w:tcPr>
          <w:p w14:paraId="1985778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42" w:type="pct"/>
            <w:noWrap/>
            <w:vAlign w:val="center"/>
          </w:tcPr>
          <w:p w14:paraId="3047A12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w:t>
            </w:r>
          </w:p>
        </w:tc>
      </w:tr>
      <w:tr w14:paraId="4CF5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restart"/>
            <w:vAlign w:val="center"/>
          </w:tcPr>
          <w:p w14:paraId="47D8EAB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钠</w:t>
            </w:r>
          </w:p>
          <w:p w14:paraId="67B0470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μg/L</w:t>
            </w:r>
          </w:p>
        </w:tc>
        <w:tc>
          <w:tcPr>
            <w:tcW w:w="542" w:type="pct"/>
            <w:vAlign w:val="center"/>
          </w:tcPr>
          <w:p w14:paraId="70A13F9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751072B7">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130DDCFB">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15E33E7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49DFEDF6">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28" w:type="pct"/>
            <w:noWrap/>
            <w:vAlign w:val="center"/>
          </w:tcPr>
          <w:p w14:paraId="2EB8DFF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42" w:type="pct"/>
            <w:noWrap/>
            <w:vAlign w:val="center"/>
          </w:tcPr>
          <w:p w14:paraId="0573F7C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r>
      <w:tr w14:paraId="7651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6EBB7F37">
            <w:pPr>
              <w:pStyle w:val="152"/>
              <w:tabs>
                <w:tab w:val="left" w:pos="980"/>
              </w:tabs>
              <w:rPr>
                <w:rFonts w:ascii="Times New Roman" w:hAnsi="Times New Roman" w:eastAsia="宋体" w:cs="Times New Roman"/>
                <w:sz w:val="21"/>
                <w:szCs w:val="21"/>
              </w:rPr>
            </w:pPr>
          </w:p>
        </w:tc>
        <w:tc>
          <w:tcPr>
            <w:tcW w:w="542" w:type="pct"/>
            <w:noWrap/>
            <w:vAlign w:val="center"/>
          </w:tcPr>
          <w:p w14:paraId="2A0C487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535" w:type="pct"/>
            <w:noWrap/>
            <w:vAlign w:val="center"/>
          </w:tcPr>
          <w:p w14:paraId="3444848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439BEDB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4FFBE07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0CE03F8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28" w:type="pct"/>
            <w:noWrap/>
            <w:vAlign w:val="center"/>
          </w:tcPr>
          <w:p w14:paraId="11F109C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42" w:type="pct"/>
            <w:noWrap/>
            <w:vAlign w:val="center"/>
          </w:tcPr>
          <w:p w14:paraId="671045C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w:t>
            </w:r>
          </w:p>
        </w:tc>
      </w:tr>
      <w:tr w14:paraId="24DD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5" w:type="pct"/>
            <w:gridSpan w:val="2"/>
            <w:vMerge w:val="restart"/>
            <w:vAlign w:val="center"/>
          </w:tcPr>
          <w:p w14:paraId="2F79FEA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二氧化硅</w:t>
            </w:r>
          </w:p>
          <w:p w14:paraId="762A01A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μg/L</w:t>
            </w:r>
          </w:p>
        </w:tc>
        <w:tc>
          <w:tcPr>
            <w:tcW w:w="542" w:type="pct"/>
            <w:vAlign w:val="center"/>
          </w:tcPr>
          <w:p w14:paraId="448F944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1655" w:type="pct"/>
            <w:gridSpan w:val="3"/>
            <w:vMerge w:val="restart"/>
            <w:vAlign w:val="center"/>
          </w:tcPr>
          <w:p w14:paraId="5339466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应保证蒸汽二氧化硅符合</w:t>
            </w:r>
          </w:p>
          <w:p w14:paraId="574DF37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表1的规定</w:t>
            </w:r>
          </w:p>
        </w:tc>
        <w:tc>
          <w:tcPr>
            <w:tcW w:w="644" w:type="pct"/>
            <w:noWrap/>
            <w:vAlign w:val="center"/>
          </w:tcPr>
          <w:p w14:paraId="6482229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528" w:type="pct"/>
            <w:noWrap/>
            <w:vAlign w:val="center"/>
          </w:tcPr>
          <w:p w14:paraId="6F75556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42" w:type="pct"/>
            <w:noWrap/>
            <w:vAlign w:val="center"/>
          </w:tcPr>
          <w:p w14:paraId="0359BE1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r>
      <w:tr w14:paraId="2B68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vMerge w:val="continue"/>
            <w:vAlign w:val="center"/>
          </w:tcPr>
          <w:p w14:paraId="54E60A72">
            <w:pPr>
              <w:pStyle w:val="152"/>
              <w:tabs>
                <w:tab w:val="left" w:pos="980"/>
              </w:tabs>
              <w:rPr>
                <w:rFonts w:ascii="Times New Roman" w:hAnsi="Times New Roman" w:eastAsia="宋体" w:cs="Times New Roman"/>
                <w:sz w:val="21"/>
                <w:szCs w:val="21"/>
              </w:rPr>
            </w:pPr>
          </w:p>
        </w:tc>
        <w:tc>
          <w:tcPr>
            <w:tcW w:w="542" w:type="pct"/>
            <w:noWrap/>
            <w:vAlign w:val="center"/>
          </w:tcPr>
          <w:p w14:paraId="182BA3F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期望值</w:t>
            </w:r>
          </w:p>
        </w:tc>
        <w:tc>
          <w:tcPr>
            <w:tcW w:w="1655" w:type="pct"/>
            <w:gridSpan w:val="3"/>
            <w:vMerge w:val="continue"/>
            <w:vAlign w:val="center"/>
          </w:tcPr>
          <w:p w14:paraId="5D3EDBF4">
            <w:pPr>
              <w:pStyle w:val="152"/>
              <w:tabs>
                <w:tab w:val="left" w:pos="980"/>
              </w:tabs>
              <w:rPr>
                <w:rFonts w:ascii="Times New Roman" w:hAnsi="Times New Roman" w:eastAsia="宋体" w:cs="Times New Roman"/>
                <w:sz w:val="21"/>
                <w:szCs w:val="21"/>
              </w:rPr>
            </w:pPr>
          </w:p>
        </w:tc>
        <w:tc>
          <w:tcPr>
            <w:tcW w:w="644" w:type="pct"/>
            <w:noWrap/>
            <w:vAlign w:val="center"/>
          </w:tcPr>
          <w:p w14:paraId="4F88FE9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28" w:type="pct"/>
            <w:noWrap/>
            <w:vAlign w:val="center"/>
          </w:tcPr>
          <w:p w14:paraId="559B2C8F">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42" w:type="pct"/>
            <w:noWrap/>
            <w:vAlign w:val="center"/>
          </w:tcPr>
          <w:p w14:paraId="3D095E0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w:t>
            </w:r>
          </w:p>
        </w:tc>
      </w:tr>
      <w:tr w14:paraId="6EEC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noWrap/>
            <w:vAlign w:val="center"/>
          </w:tcPr>
          <w:p w14:paraId="6321AE3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氯离子/（μg/L）</w:t>
            </w:r>
          </w:p>
        </w:tc>
        <w:tc>
          <w:tcPr>
            <w:tcW w:w="542" w:type="pct"/>
            <w:vAlign w:val="center"/>
          </w:tcPr>
          <w:p w14:paraId="1E25058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0D515FC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05D38845">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84" w:type="pct"/>
            <w:noWrap/>
            <w:vAlign w:val="center"/>
          </w:tcPr>
          <w:p w14:paraId="1F1F7D09">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44" w:type="pct"/>
            <w:noWrap/>
            <w:vAlign w:val="center"/>
          </w:tcPr>
          <w:p w14:paraId="160C7E11">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28" w:type="pct"/>
            <w:noWrap/>
            <w:vAlign w:val="center"/>
          </w:tcPr>
          <w:p w14:paraId="784D03B3">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542" w:type="pct"/>
            <w:noWrap/>
            <w:vAlign w:val="center"/>
          </w:tcPr>
          <w:p w14:paraId="3D93ECB4">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≤1</w:t>
            </w:r>
          </w:p>
        </w:tc>
      </w:tr>
      <w:tr w14:paraId="1899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5" w:type="pct"/>
            <w:gridSpan w:val="2"/>
            <w:noWrap/>
            <w:vAlign w:val="center"/>
          </w:tcPr>
          <w:p w14:paraId="02FDAA9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TOCi/（μg/L）</w:t>
            </w:r>
          </w:p>
        </w:tc>
        <w:tc>
          <w:tcPr>
            <w:tcW w:w="542" w:type="pct"/>
            <w:vAlign w:val="center"/>
          </w:tcPr>
          <w:p w14:paraId="58863D9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标准值</w:t>
            </w:r>
          </w:p>
        </w:tc>
        <w:tc>
          <w:tcPr>
            <w:tcW w:w="535" w:type="pct"/>
            <w:noWrap/>
            <w:vAlign w:val="center"/>
          </w:tcPr>
          <w:p w14:paraId="30F5C8CA">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536" w:type="pct"/>
            <w:noWrap/>
            <w:vAlign w:val="center"/>
          </w:tcPr>
          <w:p w14:paraId="6024AC5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584" w:type="pct"/>
            <w:noWrap/>
            <w:vAlign w:val="center"/>
          </w:tcPr>
          <w:p w14:paraId="79F3B5CE">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644" w:type="pct"/>
            <w:noWrap/>
            <w:vAlign w:val="center"/>
          </w:tcPr>
          <w:p w14:paraId="15928EE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528" w:type="pct"/>
            <w:noWrap/>
            <w:vAlign w:val="center"/>
          </w:tcPr>
          <w:p w14:paraId="32802F12">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542" w:type="pct"/>
            <w:noWrap/>
            <w:vAlign w:val="center"/>
          </w:tcPr>
          <w:p w14:paraId="7A9A9D80">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≤200</w:t>
            </w:r>
          </w:p>
        </w:tc>
      </w:tr>
      <w:tr w14:paraId="1E38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9"/>
            <w:noWrap/>
            <w:vAlign w:val="center"/>
          </w:tcPr>
          <w:p w14:paraId="4A64F5D8">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没有凝结水精处理除盐装置的水冷机组，给水氢电导率应不大于0.30μS/cm</w:t>
            </w:r>
          </w:p>
        </w:tc>
      </w:tr>
      <w:tr w14:paraId="51CA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9"/>
            <w:noWrap/>
            <w:vAlign w:val="center"/>
          </w:tcPr>
          <w:p w14:paraId="6BE1D58D">
            <w:pPr>
              <w:pStyle w:val="152"/>
              <w:tabs>
                <w:tab w:val="left" w:pos="980"/>
              </w:tabs>
              <w:rPr>
                <w:rFonts w:ascii="Times New Roman" w:hAnsi="Times New Roman" w:eastAsia="宋体" w:cs="Times New Roman"/>
                <w:sz w:val="21"/>
                <w:szCs w:val="21"/>
              </w:rPr>
            </w:pPr>
            <w:r>
              <w:rPr>
                <w:rFonts w:ascii="Times New Roman" w:hAnsi="Times New Roman" w:eastAsia="宋体" w:cs="Times New Roman"/>
                <w:sz w:val="21"/>
                <w:szCs w:val="21"/>
              </w:rPr>
              <w:t>(b</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加氧处理溶解氧质保按表4控制</w:t>
            </w:r>
          </w:p>
        </w:tc>
      </w:tr>
    </w:tbl>
    <w:p w14:paraId="616A7C60">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同时也满足电解水制氢的水质要求：</w:t>
      </w:r>
    </w:p>
    <w:p w14:paraId="4D324EEF">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含盐量：[Fe</w:t>
      </w:r>
      <w:r>
        <w:rPr>
          <w:rFonts w:hint="eastAsia" w:ascii="Times New Roman" w:hAnsi="Times New Roman" w:cs="Times New Roman"/>
          <w:szCs w:val="28"/>
          <w:vertAlign w:val="superscript"/>
        </w:rPr>
        <w:t>2+</w:t>
      </w:r>
      <w:r>
        <w:rPr>
          <w:rFonts w:hint="eastAsia" w:ascii="Times New Roman" w:hAnsi="Times New Roman" w:cs="Times New Roman"/>
          <w:szCs w:val="28"/>
        </w:rPr>
        <w:t xml:space="preserve">]≤1mg/l  </w:t>
      </w:r>
    </w:p>
    <w:p w14:paraId="1E0AFB6C">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[Cl</w:t>
      </w:r>
      <w:r>
        <w:rPr>
          <w:rFonts w:hint="eastAsia" w:ascii="Times New Roman" w:hAnsi="Times New Roman" w:cs="Times New Roman"/>
          <w:szCs w:val="28"/>
          <w:vertAlign w:val="superscript"/>
        </w:rPr>
        <w:noBreakHyphen/>
      </w:r>
      <w:r>
        <w:rPr>
          <w:rFonts w:hint="eastAsia" w:ascii="Times New Roman" w:hAnsi="Times New Roman" w:cs="Times New Roman"/>
          <w:szCs w:val="28"/>
        </w:rPr>
        <w:t xml:space="preserve">]≤2mg/l  </w:t>
      </w:r>
    </w:p>
    <w:p w14:paraId="265C147C">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悬浮物≤1mg/l</w:t>
      </w:r>
    </w:p>
    <w:p w14:paraId="358AA001">
      <w:pPr>
        <w:spacing w:line="360" w:lineRule="auto"/>
        <w:ind w:firstLine="480" w:firstLineChars="200"/>
        <w:rPr>
          <w:rFonts w:ascii="Times New Roman" w:hAnsi="Times New Roman" w:cs="Times New Roman"/>
          <w:szCs w:val="28"/>
        </w:rPr>
      </w:pPr>
      <w:r>
        <w:rPr>
          <w:rFonts w:hint="eastAsia" w:ascii="Times New Roman" w:hAnsi="Times New Roman" w:cs="Times New Roman"/>
          <w:szCs w:val="28"/>
        </w:rPr>
        <w:t>电导率（25℃）≤5µs/cm</w:t>
      </w:r>
    </w:p>
    <w:p w14:paraId="222920BB">
      <w:pPr>
        <w:pStyle w:val="557"/>
      </w:pPr>
    </w:p>
    <w:p w14:paraId="1ED95BA9">
      <w:pPr>
        <w:pStyle w:val="98"/>
        <w:rPr>
          <w:rFonts w:hint="eastAsia"/>
        </w:rPr>
      </w:pPr>
      <w:r>
        <w:rPr>
          <w:rFonts w:hint="eastAsia"/>
        </w:rPr>
        <w:t>给水及消防加压站</w:t>
      </w:r>
    </w:p>
    <w:p w14:paraId="139E1EF1">
      <w:pPr>
        <w:pStyle w:val="814"/>
        <w:rPr>
          <w:rFonts w:hint="eastAsia"/>
        </w:rPr>
      </w:pPr>
      <w:r>
        <w:rPr>
          <w:rFonts w:hint="eastAsia"/>
        </w:rPr>
        <w:t>设计规模</w:t>
      </w:r>
    </w:p>
    <w:p w14:paraId="3415AE09">
      <w:pPr>
        <w:snapToGrid w:val="0"/>
        <w:spacing w:line="360" w:lineRule="auto"/>
        <w:ind w:firstLine="480"/>
        <w:rPr>
          <w:rFonts w:ascii="Times New Roman" w:hAnsi="Times New Roman" w:cs="Times New Roman"/>
        </w:rPr>
      </w:pPr>
      <w:r>
        <w:rPr>
          <w:rFonts w:hint="eastAsia" w:ascii="Times New Roman" w:hAnsi="Times New Roman" w:cs="Times New Roman"/>
        </w:rPr>
        <w:t>根据《建筑设计防火规范》GB50016-2014（2</w:t>
      </w:r>
      <w:r>
        <w:rPr>
          <w:rFonts w:ascii="Times New Roman" w:hAnsi="Times New Roman" w:cs="Times New Roman"/>
        </w:rPr>
        <w:t>018</w:t>
      </w:r>
      <w:r>
        <w:rPr>
          <w:rFonts w:hint="eastAsia" w:ascii="Times New Roman" w:hAnsi="Times New Roman" w:cs="Times New Roman"/>
        </w:rPr>
        <w:t>年版）、《消防给水及消火栓系统技术规范》 GB50974-2014、《煤化工工程设计防火标准》GB5</w:t>
      </w:r>
      <w:r>
        <w:rPr>
          <w:rFonts w:ascii="Times New Roman" w:hAnsi="Times New Roman" w:cs="Times New Roman"/>
        </w:rPr>
        <w:t>1428</w:t>
      </w:r>
      <w:r>
        <w:rPr>
          <w:rFonts w:hint="eastAsia" w:ascii="Times New Roman" w:hAnsi="Times New Roman" w:cs="Times New Roman"/>
        </w:rPr>
        <w:t>-20</w:t>
      </w:r>
      <w:r>
        <w:rPr>
          <w:rFonts w:ascii="Times New Roman" w:hAnsi="Times New Roman" w:cs="Times New Roman"/>
        </w:rPr>
        <w:t>21</w:t>
      </w:r>
      <w:r>
        <w:rPr>
          <w:rFonts w:hint="eastAsia" w:ascii="Times New Roman" w:hAnsi="Times New Roman" w:cs="Times New Roman"/>
        </w:rPr>
        <w:t>，本项目总占地面积约51.024ha，项目规模为中型，采用稳高压消防给水系统。</w:t>
      </w:r>
    </w:p>
    <w:p w14:paraId="3EC268BC">
      <w:pPr>
        <w:snapToGrid w:val="0"/>
        <w:spacing w:line="360" w:lineRule="auto"/>
        <w:ind w:firstLine="480"/>
        <w:rPr>
          <w:rFonts w:ascii="Times New Roman" w:hAnsi="Times New Roman" w:cs="Times New Roman"/>
        </w:rPr>
      </w:pPr>
      <w:r>
        <w:rPr>
          <w:rFonts w:hint="eastAsia" w:ascii="Times New Roman" w:hAnsi="Times New Roman" w:cs="Times New Roman"/>
        </w:rPr>
        <w:t>设计一套稳高压消防水系统，按厂区同一时间内的火灾处数为2处，一处位于化工装置区，另一处位于公辅装置。</w:t>
      </w:r>
      <w:r>
        <w:rPr>
          <w:rFonts w:ascii="Times New Roman" w:hAnsi="Times New Roman" w:cs="Times New Roman"/>
        </w:rPr>
        <w:t>本项目装置、罐区最大用水量发生在气化装置区为</w:t>
      </w:r>
      <w:r>
        <w:rPr>
          <w:rFonts w:hint="eastAsia" w:ascii="Times New Roman" w:hAnsi="Times New Roman" w:cs="Times New Roman"/>
        </w:rPr>
        <w:t>300L/s</w:t>
      </w:r>
      <w:r>
        <w:rPr>
          <w:rFonts w:ascii="Times New Roman" w:hAnsi="Times New Roman" w:cs="Times New Roman"/>
        </w:rPr>
        <w:t>，火灾延续时间不小于 3h，液氨罐区为</w:t>
      </w:r>
      <w:r>
        <w:rPr>
          <w:rFonts w:hint="eastAsia" w:ascii="Times New Roman" w:hAnsi="Times New Roman" w:cs="Times New Roman"/>
        </w:rPr>
        <w:t>220L/s</w:t>
      </w:r>
      <w:r>
        <w:rPr>
          <w:rFonts w:ascii="Times New Roman" w:hAnsi="Times New Roman" w:cs="Times New Roman"/>
        </w:rPr>
        <w:t>，火灾延续时间不小于6h，公辅最大用水量发生在空分装置，为</w:t>
      </w:r>
      <w:r>
        <w:rPr>
          <w:rFonts w:hint="eastAsia" w:ascii="Times New Roman" w:hAnsi="Times New Roman" w:cs="Times New Roman"/>
        </w:rPr>
        <w:t>120L/s</w:t>
      </w:r>
      <w:r>
        <w:rPr>
          <w:rFonts w:ascii="Times New Roman" w:hAnsi="Times New Roman" w:cs="Times New Roman"/>
        </w:rPr>
        <w:t>，火灾延续时间不小于 3h</w:t>
      </w:r>
      <w:r>
        <w:rPr>
          <w:rFonts w:hint="eastAsia" w:ascii="Times New Roman" w:hAnsi="Times New Roman" w:cs="Times New Roman"/>
        </w:rPr>
        <w:t>。所需总消防水量42</w:t>
      </w:r>
      <w:r>
        <w:rPr>
          <w:rFonts w:ascii="Times New Roman" w:hAnsi="Times New Roman" w:cs="Times New Roman"/>
        </w:rPr>
        <w:t>0</w:t>
      </w:r>
      <w:r>
        <w:rPr>
          <w:rFonts w:hint="eastAsia" w:ascii="Times New Roman" w:hAnsi="Times New Roman" w:cs="Times New Roman"/>
        </w:rPr>
        <w:t>L/s，所需消防水储量不小于</w:t>
      </w:r>
      <w:r>
        <w:rPr>
          <w:rFonts w:ascii="Times New Roman" w:hAnsi="Times New Roman" w:cs="Times New Roman"/>
        </w:rPr>
        <w:t>5616</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rPr>
        <w:t>。故第一稳高压消防给水系统设计供水能力</w:t>
      </w:r>
      <w:r>
        <w:rPr>
          <w:rFonts w:ascii="Times New Roman" w:hAnsi="Times New Roman" w:cs="Times New Roman"/>
        </w:rPr>
        <w:t>420</w:t>
      </w:r>
      <w:r>
        <w:rPr>
          <w:rFonts w:hint="eastAsia" w:ascii="Times New Roman" w:hAnsi="Times New Roman" w:cs="Times New Roman"/>
        </w:rPr>
        <w:t xml:space="preserve"> L/s，消防水储量6048 m</w:t>
      </w:r>
      <w:r>
        <w:rPr>
          <w:rFonts w:hint="eastAsia" w:ascii="Times New Roman" w:hAnsi="Times New Roman" w:cs="Times New Roman"/>
          <w:vertAlign w:val="superscript"/>
        </w:rPr>
        <w:t>3</w:t>
      </w:r>
      <w:r>
        <w:rPr>
          <w:rFonts w:hint="eastAsia" w:ascii="Times New Roman" w:hAnsi="Times New Roman" w:cs="Times New Roman"/>
        </w:rPr>
        <w:t>。</w:t>
      </w:r>
    </w:p>
    <w:p w14:paraId="4338C97E">
      <w:pPr>
        <w:snapToGrid w:val="0"/>
        <w:spacing w:line="360" w:lineRule="auto"/>
        <w:ind w:firstLine="480"/>
        <w:rPr>
          <w:rFonts w:ascii="Times New Roman" w:hAnsi="Times New Roman" w:cs="Times New Roman"/>
        </w:rPr>
      </w:pPr>
      <w:r>
        <w:rPr>
          <w:rFonts w:hint="eastAsia" w:ascii="Times New Roman" w:hAnsi="Times New Roman" w:cs="Times New Roman"/>
        </w:rPr>
        <w:t>稳高压消防给水系统消防水罐与生产水水罐合建，共设有效容积61</w:t>
      </w:r>
      <w:r>
        <w:rPr>
          <w:rFonts w:ascii="Times New Roman" w:hAnsi="Times New Roman" w:cs="Times New Roman"/>
        </w:rPr>
        <w:t>00</w:t>
      </w:r>
      <w:r>
        <w:rPr>
          <w:rFonts w:hint="eastAsia" w:ascii="Times New Roman" w:hAnsi="Times New Roman" w:cs="Times New Roman"/>
        </w:rPr>
        <w:t>m</w:t>
      </w:r>
      <w:r>
        <w:rPr>
          <w:rFonts w:ascii="Times New Roman" w:hAnsi="Times New Roman" w:cs="Times New Roman"/>
          <w:vertAlign w:val="superscript"/>
        </w:rPr>
        <w:t>3</w:t>
      </w:r>
      <w:r>
        <w:rPr>
          <w:rFonts w:hint="eastAsia" w:ascii="Times New Roman" w:hAnsi="Times New Roman" w:cs="Times New Roman"/>
        </w:rPr>
        <w:t>的生产消防水罐2座，总容积12</w:t>
      </w:r>
      <w:r>
        <w:rPr>
          <w:rFonts w:ascii="Times New Roman" w:hAnsi="Times New Roman" w:cs="Times New Roman"/>
        </w:rPr>
        <w:t>200</w:t>
      </w:r>
      <w:r>
        <w:rPr>
          <w:rFonts w:hint="eastAsia" w:ascii="Times New Roman" w:hAnsi="Times New Roman" w:cs="Times New Roman"/>
        </w:rPr>
        <w:t xml:space="preserve"> m</w:t>
      </w:r>
      <w:r>
        <w:rPr>
          <w:rFonts w:ascii="Times New Roman" w:hAnsi="Times New Roman" w:cs="Times New Roman"/>
          <w:vertAlign w:val="superscript"/>
        </w:rPr>
        <w:t>3</w:t>
      </w:r>
      <w:r>
        <w:rPr>
          <w:rFonts w:hint="eastAsia" w:ascii="Times New Roman" w:hAnsi="Times New Roman" w:cs="Times New Roman"/>
        </w:rPr>
        <w:t>，其中消防水储量6048m</w:t>
      </w:r>
      <w:r>
        <w:rPr>
          <w:rFonts w:ascii="Times New Roman" w:hAnsi="Times New Roman" w:cs="Times New Roman"/>
          <w:vertAlign w:val="superscript"/>
        </w:rPr>
        <w:t>3</w:t>
      </w:r>
      <w:r>
        <w:rPr>
          <w:rFonts w:hint="eastAsia" w:ascii="Times New Roman" w:hAnsi="Times New Roman" w:cs="Times New Roman"/>
        </w:rPr>
        <w:t>，剩余生产水储量6152m</w:t>
      </w:r>
      <w:r>
        <w:rPr>
          <w:rFonts w:ascii="Times New Roman" w:hAnsi="Times New Roman" w:cs="Times New Roman"/>
          <w:vertAlign w:val="superscript"/>
        </w:rPr>
        <w:t>3</w:t>
      </w:r>
      <w:r>
        <w:rPr>
          <w:rFonts w:hint="eastAsia" w:ascii="Times New Roman" w:hAnsi="Times New Roman" w:cs="Times New Roman"/>
        </w:rPr>
        <w:t>，可满足8h的生产需要。水池内设有液位监测仪表，并设有消防水不被动用措施，以保证消防储量不被动用。</w:t>
      </w:r>
    </w:p>
    <w:p w14:paraId="7496AE67">
      <w:pPr>
        <w:snapToGrid w:val="0"/>
        <w:spacing w:line="360" w:lineRule="auto"/>
        <w:ind w:firstLine="480"/>
        <w:rPr>
          <w:rFonts w:ascii="Times New Roman" w:hAnsi="Times New Roman" w:cs="Times New Roman"/>
        </w:rPr>
      </w:pPr>
      <w:r>
        <w:rPr>
          <w:rFonts w:ascii="Times New Roman" w:hAnsi="Times New Roman" w:cs="Times New Roman"/>
        </w:rPr>
        <w:t>消防加压泵选用</w:t>
      </w:r>
      <w:r>
        <w:rPr>
          <w:rFonts w:hint="eastAsia" w:ascii="Times New Roman" w:hAnsi="Times New Roman" w:cs="Times New Roman"/>
        </w:rPr>
        <w:t>电动消防泵三</w:t>
      </w:r>
      <w:r>
        <w:rPr>
          <w:rFonts w:ascii="Times New Roman" w:hAnsi="Times New Roman" w:cs="Times New Roman"/>
        </w:rPr>
        <w:t>台，</w:t>
      </w:r>
      <w:r>
        <w:rPr>
          <w:rFonts w:hint="eastAsia" w:ascii="Times New Roman" w:hAnsi="Times New Roman" w:cs="Times New Roman"/>
        </w:rPr>
        <w:t>柴油消防泵三台</w:t>
      </w:r>
      <w:r>
        <w:rPr>
          <w:rFonts w:ascii="Times New Roman" w:hAnsi="Times New Roman" w:cs="Times New Roman"/>
        </w:rPr>
        <w:t>，</w:t>
      </w:r>
      <w:r>
        <w:rPr>
          <w:rFonts w:hint="eastAsia" w:ascii="Times New Roman" w:hAnsi="Times New Roman" w:cs="Times New Roman"/>
        </w:rPr>
        <w:t>柴油泵为备用泵，</w:t>
      </w:r>
      <w:r>
        <w:rPr>
          <w:rFonts w:ascii="Times New Roman" w:hAnsi="Times New Roman" w:cs="Times New Roman"/>
        </w:rPr>
        <w:t>单机性能：Q=</w:t>
      </w:r>
      <w:r>
        <w:rPr>
          <w:rFonts w:hint="eastAsia" w:ascii="Times New Roman" w:hAnsi="Times New Roman" w:cs="Times New Roman"/>
        </w:rPr>
        <w:t>1</w:t>
      </w:r>
      <w:r>
        <w:rPr>
          <w:rFonts w:ascii="Times New Roman" w:hAnsi="Times New Roman" w:cs="Times New Roman"/>
        </w:rPr>
        <w:t>40</w:t>
      </w:r>
      <w:r>
        <w:rPr>
          <w:rFonts w:hint="eastAsia" w:ascii="Times New Roman" w:hAnsi="Times New Roman" w:cs="Times New Roman"/>
        </w:rPr>
        <w:t>L</w:t>
      </w:r>
      <w:r>
        <w:rPr>
          <w:rFonts w:ascii="Times New Roman" w:hAnsi="Times New Roman" w:cs="Times New Roman"/>
        </w:rPr>
        <w:t>/</w:t>
      </w:r>
      <w:r>
        <w:rPr>
          <w:rFonts w:hint="eastAsia" w:ascii="Times New Roman" w:hAnsi="Times New Roman" w:cs="Times New Roman"/>
        </w:rPr>
        <w:t>S</w:t>
      </w:r>
      <w:r>
        <w:rPr>
          <w:rFonts w:ascii="Times New Roman" w:hAnsi="Times New Roman" w:cs="Times New Roman"/>
        </w:rPr>
        <w:t>，H=</w:t>
      </w:r>
      <w:r>
        <w:rPr>
          <w:rFonts w:hint="eastAsia" w:ascii="Times New Roman" w:hAnsi="Times New Roman" w:cs="Times New Roman"/>
        </w:rPr>
        <w:t>95</w:t>
      </w:r>
      <w:r>
        <w:rPr>
          <w:rFonts w:ascii="Times New Roman" w:hAnsi="Times New Roman" w:cs="Times New Roman"/>
        </w:rPr>
        <w:t>米，配套驱动功率为N=2</w:t>
      </w:r>
      <w:r>
        <w:rPr>
          <w:rFonts w:hint="eastAsia" w:ascii="Times New Roman" w:hAnsi="Times New Roman" w:cs="Times New Roman"/>
        </w:rPr>
        <w:t>5</w:t>
      </w:r>
      <w:r>
        <w:rPr>
          <w:rFonts w:ascii="Times New Roman" w:hAnsi="Times New Roman" w:cs="Times New Roman"/>
        </w:rPr>
        <w:t>0kW；稳压泵采用</w:t>
      </w:r>
      <w:r>
        <w:rPr>
          <w:rFonts w:hint="eastAsia" w:ascii="Times New Roman" w:hAnsi="Times New Roman" w:cs="Times New Roman"/>
        </w:rPr>
        <w:t>65</w:t>
      </w:r>
      <w:r>
        <w:rPr>
          <w:rFonts w:ascii="Times New Roman" w:hAnsi="Times New Roman" w:cs="Times New Roman"/>
        </w:rPr>
        <w:t>GDL</w:t>
      </w:r>
      <w:r>
        <w:rPr>
          <w:rFonts w:hint="eastAsia" w:ascii="Times New Roman" w:hAnsi="Times New Roman" w:cs="Times New Roman"/>
        </w:rPr>
        <w:t>5</w:t>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x</w:t>
      </w:r>
      <w:r>
        <w:rPr>
          <w:rFonts w:hint="eastAsia" w:ascii="Times New Roman" w:hAnsi="Times New Roman" w:cs="Times New Roman"/>
        </w:rPr>
        <w:t>10</w:t>
      </w:r>
      <w:r>
        <w:rPr>
          <w:rFonts w:ascii="Times New Roman" w:hAnsi="Times New Roman" w:cs="Times New Roman"/>
        </w:rPr>
        <w:t>型多级离心泵二台，一开一备，单机性能：Q=36m</w:t>
      </w:r>
      <w:r>
        <w:rPr>
          <w:rFonts w:ascii="Times New Roman" w:hAnsi="Times New Roman" w:cs="Times New Roman"/>
          <w:vertAlign w:val="superscript"/>
        </w:rPr>
        <w:t>3</w:t>
      </w:r>
      <w:r>
        <w:rPr>
          <w:rFonts w:ascii="Times New Roman" w:hAnsi="Times New Roman" w:cs="Times New Roman"/>
        </w:rPr>
        <w:t>/h，H=</w:t>
      </w:r>
      <w:r>
        <w:rPr>
          <w:rFonts w:hint="eastAsia" w:ascii="Times New Roman" w:hAnsi="Times New Roman" w:cs="Times New Roman"/>
        </w:rPr>
        <w:t>100</w:t>
      </w:r>
      <w:r>
        <w:rPr>
          <w:rFonts w:ascii="Times New Roman" w:hAnsi="Times New Roman" w:cs="Times New Roman"/>
        </w:rPr>
        <w:t>米</w:t>
      </w:r>
      <w:r>
        <w:rPr>
          <w:rFonts w:hint="eastAsia" w:ascii="Times New Roman" w:hAnsi="Times New Roman" w:cs="Times New Roman"/>
        </w:rPr>
        <w:t>，</w:t>
      </w:r>
      <w:r>
        <w:rPr>
          <w:rFonts w:ascii="Times New Roman" w:hAnsi="Times New Roman" w:cs="Times New Roman"/>
        </w:rPr>
        <w:t>配套电机N=</w:t>
      </w:r>
      <w:r>
        <w:rPr>
          <w:rFonts w:hint="eastAsia" w:ascii="Times New Roman" w:hAnsi="Times New Roman" w:cs="Times New Roman"/>
        </w:rPr>
        <w:t>22</w:t>
      </w:r>
      <w:r>
        <w:rPr>
          <w:rFonts w:ascii="Times New Roman" w:hAnsi="Times New Roman" w:cs="Times New Roman"/>
        </w:rPr>
        <w:t>kW，n=1480rad/min。</w:t>
      </w:r>
    </w:p>
    <w:p w14:paraId="53AD9822">
      <w:pPr>
        <w:pStyle w:val="281"/>
        <w:ind w:firstLine="480"/>
        <w:rPr>
          <w:szCs w:val="24"/>
        </w:rPr>
      </w:pPr>
      <w:r>
        <w:rPr>
          <w:rFonts w:cs="Times New Roman"/>
        </w:rPr>
        <w:t>为今后检测维修方便，泵房另设有最大起重量</w:t>
      </w:r>
      <w:r>
        <w:rPr>
          <w:rFonts w:hint="eastAsia" w:cs="Times New Roman"/>
        </w:rPr>
        <w:t>2</w:t>
      </w:r>
      <w:r>
        <w:rPr>
          <w:rFonts w:cs="Times New Roman"/>
        </w:rPr>
        <w:t>吨的</w:t>
      </w:r>
      <w:r>
        <w:rPr>
          <w:rFonts w:hint="eastAsia" w:cs="Times New Roman"/>
        </w:rPr>
        <w:t>C</w:t>
      </w:r>
      <w:r>
        <w:rPr>
          <w:rFonts w:cs="Times New Roman"/>
        </w:rPr>
        <w:t>DI</w:t>
      </w:r>
      <w:r>
        <w:rPr>
          <w:rFonts w:hint="eastAsia" w:cs="Times New Roman"/>
        </w:rPr>
        <w:t>2</w:t>
      </w:r>
      <w:r>
        <w:rPr>
          <w:rFonts w:cs="Times New Roman"/>
        </w:rPr>
        <w:t>-9型电动葫芦一套。</w:t>
      </w:r>
    </w:p>
    <w:p w14:paraId="45B22DCA">
      <w:pPr>
        <w:pStyle w:val="814"/>
        <w:rPr>
          <w:rFonts w:hint="eastAsia"/>
        </w:rPr>
      </w:pPr>
      <w:r>
        <w:rPr>
          <w:rFonts w:hint="eastAsia"/>
        </w:rPr>
        <w:t>主要设备</w:t>
      </w:r>
    </w:p>
    <w:p w14:paraId="5F936543">
      <w:pPr>
        <w:pStyle w:val="281"/>
        <w:ind w:firstLine="480"/>
        <w:rPr>
          <w:rFonts w:cs="Times New Roman"/>
          <w:kern w:val="32"/>
          <w:szCs w:val="28"/>
        </w:rPr>
      </w:pPr>
      <w:r>
        <w:rPr>
          <w:rFonts w:hint="eastAsia" w:ascii="Arial" w:hAnsi="Arial"/>
        </w:rPr>
        <w:t>消防泵房</w:t>
      </w:r>
      <w:r>
        <w:rPr>
          <w:rFonts w:hint="eastAsia" w:cs="Times New Roman"/>
          <w:kern w:val="32"/>
          <w:szCs w:val="28"/>
        </w:rPr>
        <w:t>主要设备见</w:t>
      </w:r>
      <w:r>
        <w:rPr>
          <w:rFonts w:hint="eastAsia"/>
        </w:rPr>
        <w:t>表3</w:t>
      </w:r>
      <w:r>
        <w:t>.3.1</w:t>
      </w:r>
      <w:r>
        <w:rPr>
          <w:rFonts w:hint="eastAsia"/>
        </w:rPr>
        <w:t>-4</w:t>
      </w:r>
      <w:r>
        <w:rPr>
          <w:rFonts w:hint="eastAsia" w:cs="Times New Roman"/>
          <w:kern w:val="32"/>
          <w:szCs w:val="28"/>
        </w:rPr>
        <w:t>：</w:t>
      </w:r>
    </w:p>
    <w:p w14:paraId="34A0B519">
      <w:pPr>
        <w:pStyle w:val="645"/>
        <w:rPr>
          <w:rFonts w:hint="eastAsia"/>
        </w:rPr>
      </w:pPr>
      <w:r>
        <w:rPr>
          <w:rFonts w:hint="eastAsia"/>
        </w:rPr>
        <w:t>表3</w:t>
      </w:r>
      <w:r>
        <w:t>.3.1</w:t>
      </w:r>
      <w:r>
        <w:rPr>
          <w:rFonts w:hint="eastAsia"/>
        </w:rPr>
        <w:t>-4</w:t>
      </w:r>
      <w:r>
        <w:t xml:space="preserve">  </w:t>
      </w:r>
      <w:r>
        <w:rPr>
          <w:rFonts w:hint="eastAsia"/>
        </w:rPr>
        <w:t xml:space="preserve"> </w:t>
      </w:r>
      <w:r>
        <w:t xml:space="preserve"> </w:t>
      </w:r>
      <w:r>
        <w:rPr>
          <w:rFonts w:hint="eastAsia" w:ascii="Arial" w:hAnsi="Arial" w:cs="Arial"/>
        </w:rPr>
        <w:t>消防泵房</w:t>
      </w:r>
      <w:r>
        <w:rPr>
          <w:rFonts w:hint="eastAsia"/>
        </w:rPr>
        <w:t>主要设备一览表</w:t>
      </w:r>
    </w:p>
    <w:tbl>
      <w:tblPr>
        <w:tblStyle w:val="65"/>
        <w:tblW w:w="8505" w:type="dxa"/>
        <w:jc w:val="center"/>
        <w:tblLayout w:type="autofit"/>
        <w:tblCellMar>
          <w:top w:w="0" w:type="dxa"/>
          <w:left w:w="108" w:type="dxa"/>
          <w:bottom w:w="0" w:type="dxa"/>
          <w:right w:w="108" w:type="dxa"/>
        </w:tblCellMar>
      </w:tblPr>
      <w:tblGrid>
        <w:gridCol w:w="1072"/>
        <w:gridCol w:w="2748"/>
        <w:gridCol w:w="2541"/>
        <w:gridCol w:w="1072"/>
        <w:gridCol w:w="1072"/>
      </w:tblGrid>
      <w:tr w14:paraId="11032ED0">
        <w:tblPrEx>
          <w:tblCellMar>
            <w:top w:w="0" w:type="dxa"/>
            <w:left w:w="108" w:type="dxa"/>
            <w:bottom w:w="0" w:type="dxa"/>
            <w:right w:w="108" w:type="dxa"/>
          </w:tblCellMar>
        </w:tblPrEx>
        <w:trPr>
          <w:trHeight w:val="28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450604B">
            <w:pPr>
              <w:pStyle w:val="557"/>
            </w:pPr>
            <w: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A8AD969">
            <w:pPr>
              <w:pStyle w:val="557"/>
            </w:pPr>
            <w:r>
              <w:t>设备名称</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BC38BE0">
            <w:pPr>
              <w:pStyle w:val="557"/>
            </w:pPr>
            <w:r>
              <w:t>规格</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7D9FE72">
            <w:pPr>
              <w:pStyle w:val="557"/>
            </w:pPr>
            <w:r>
              <w:t>数量</w:t>
            </w:r>
          </w:p>
        </w:tc>
      </w:tr>
      <w:tr w14:paraId="0E349564">
        <w:tblPrEx>
          <w:tblCellMar>
            <w:top w:w="0" w:type="dxa"/>
            <w:left w:w="108" w:type="dxa"/>
            <w:bottom w:w="0" w:type="dxa"/>
            <w:right w:w="108" w:type="dxa"/>
          </w:tblCellMar>
        </w:tblPrEx>
        <w:trPr>
          <w:trHeight w:val="28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2279B68">
            <w:pPr>
              <w:pStyle w:val="557"/>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81C751">
            <w:pPr>
              <w:pStyle w:val="557"/>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C81C70">
            <w:pPr>
              <w:pStyle w:val="557"/>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79607">
            <w:pPr>
              <w:pStyle w:val="557"/>
            </w:pPr>
            <w:r>
              <w:t>操作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43843A">
            <w:pPr>
              <w:pStyle w:val="557"/>
            </w:pPr>
            <w:r>
              <w:t>备用</w:t>
            </w:r>
          </w:p>
        </w:tc>
      </w:tr>
      <w:tr w14:paraId="0D6EEB57">
        <w:tblPrEx>
          <w:tblCellMar>
            <w:top w:w="0" w:type="dxa"/>
            <w:left w:w="108" w:type="dxa"/>
            <w:bottom w:w="0" w:type="dxa"/>
            <w:right w:w="108"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253DB86">
            <w:pPr>
              <w:pStyle w:val="557"/>
            </w:pPr>
            <w:r>
              <w:t>1</w:t>
            </w:r>
          </w:p>
        </w:tc>
        <w:tc>
          <w:tcPr>
            <w:tcW w:w="0" w:type="auto"/>
            <w:tcBorders>
              <w:top w:val="single" w:color="000000" w:sz="4" w:space="0"/>
              <w:left w:val="single" w:color="000000" w:sz="4" w:space="0"/>
              <w:bottom w:val="single" w:color="000000" w:sz="4" w:space="0"/>
              <w:right w:val="nil"/>
            </w:tcBorders>
            <w:noWrap/>
            <w:vAlign w:val="center"/>
          </w:tcPr>
          <w:p w14:paraId="36194E04">
            <w:pPr>
              <w:pStyle w:val="557"/>
              <w:rPr>
                <w:color w:val="auto"/>
              </w:rPr>
            </w:pPr>
            <w:r>
              <w:t>高压消防电泵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2BAFC">
            <w:pPr>
              <w:pStyle w:val="557"/>
            </w:pPr>
            <w:r>
              <w:t>流量800m</w:t>
            </w:r>
            <w:r>
              <w:rPr>
                <w:vertAlign w:val="superscript"/>
              </w:rPr>
              <w:t>3</w:t>
            </w:r>
            <w:r>
              <w:t>/h；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C0C9E">
            <w:pPr>
              <w:pStyle w:val="557"/>
            </w:pPr>
            <w: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5CF6A5">
            <w:pPr>
              <w:pStyle w:val="557"/>
            </w:pPr>
            <w:r>
              <w:t>0</w:t>
            </w:r>
          </w:p>
        </w:tc>
      </w:tr>
      <w:tr w14:paraId="4756E7B2">
        <w:tblPrEx>
          <w:tblCellMar>
            <w:top w:w="0" w:type="dxa"/>
            <w:left w:w="108" w:type="dxa"/>
            <w:bottom w:w="0" w:type="dxa"/>
            <w:right w:w="108"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3472273">
            <w:pPr>
              <w:pStyle w:val="557"/>
            </w:pPr>
            <w:r>
              <w:t>2</w:t>
            </w:r>
          </w:p>
        </w:tc>
        <w:tc>
          <w:tcPr>
            <w:tcW w:w="0" w:type="auto"/>
            <w:tcBorders>
              <w:top w:val="single" w:color="000000" w:sz="4" w:space="0"/>
              <w:left w:val="single" w:color="000000" w:sz="4" w:space="0"/>
              <w:bottom w:val="single" w:color="000000" w:sz="4" w:space="0"/>
              <w:right w:val="nil"/>
            </w:tcBorders>
            <w:noWrap/>
            <w:vAlign w:val="center"/>
          </w:tcPr>
          <w:p w14:paraId="0B017850">
            <w:pPr>
              <w:pStyle w:val="557"/>
              <w:rPr>
                <w:color w:val="auto"/>
              </w:rPr>
            </w:pPr>
            <w:r>
              <w:t>高压消防柴油泵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714325">
            <w:pPr>
              <w:pStyle w:val="557"/>
            </w:pPr>
            <w:r>
              <w:t>流量800m</w:t>
            </w:r>
            <w:r>
              <w:rPr>
                <w:vertAlign w:val="superscript"/>
              </w:rPr>
              <w:t>3</w:t>
            </w:r>
            <w:r>
              <w:t>/h；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9B11D">
            <w:pPr>
              <w:pStyle w:val="557"/>
            </w:pPr>
            <w: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7C9B1A">
            <w:pPr>
              <w:pStyle w:val="557"/>
            </w:pPr>
            <w:r>
              <w:t>2</w:t>
            </w:r>
          </w:p>
        </w:tc>
      </w:tr>
      <w:tr w14:paraId="558A357D">
        <w:tblPrEx>
          <w:tblCellMar>
            <w:top w:w="0" w:type="dxa"/>
            <w:left w:w="108" w:type="dxa"/>
            <w:bottom w:w="0" w:type="dxa"/>
            <w:right w:w="108"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C037ACB">
            <w:pPr>
              <w:pStyle w:val="557"/>
            </w:pPr>
            <w:r>
              <w:t>3</w:t>
            </w:r>
          </w:p>
        </w:tc>
        <w:tc>
          <w:tcPr>
            <w:tcW w:w="0" w:type="auto"/>
            <w:tcBorders>
              <w:top w:val="single" w:color="000000" w:sz="4" w:space="0"/>
              <w:left w:val="single" w:color="000000" w:sz="4" w:space="0"/>
              <w:bottom w:val="single" w:color="000000" w:sz="4" w:space="0"/>
              <w:right w:val="nil"/>
            </w:tcBorders>
            <w:noWrap/>
            <w:vAlign w:val="center"/>
          </w:tcPr>
          <w:p w14:paraId="5C8AAEF6">
            <w:pPr>
              <w:pStyle w:val="557"/>
            </w:pPr>
            <w:r>
              <w:t>高压消防稳压泵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6FEE3">
            <w:pPr>
              <w:pStyle w:val="557"/>
            </w:pPr>
            <w:r>
              <w:t>流量45m</w:t>
            </w:r>
            <w:r>
              <w:rPr>
                <w:vertAlign w:val="superscript"/>
              </w:rPr>
              <w:t>3</w:t>
            </w:r>
            <w:r>
              <w:t>/h；</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4D3D68">
            <w:pPr>
              <w:pStyle w:val="557"/>
            </w:pPr>
            <w: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398AAF">
            <w:pPr>
              <w:pStyle w:val="557"/>
            </w:pPr>
            <w:r>
              <w:t>1</w:t>
            </w:r>
          </w:p>
        </w:tc>
      </w:tr>
    </w:tbl>
    <w:p w14:paraId="3232D50D">
      <w:pPr>
        <w:pStyle w:val="97"/>
        <w:rPr>
          <w:rFonts w:hint="eastAsia"/>
        </w:rPr>
      </w:pPr>
      <w:r>
        <w:t>排水工程</w:t>
      </w:r>
    </w:p>
    <w:p w14:paraId="632428FD">
      <w:pPr>
        <w:pStyle w:val="98"/>
        <w:rPr>
          <w:rFonts w:hint="eastAsia"/>
        </w:rPr>
      </w:pPr>
      <w:r>
        <w:t>全厂排水系统</w:t>
      </w:r>
    </w:p>
    <w:p w14:paraId="7D4566DF">
      <w:pPr>
        <w:snapToGrid w:val="0"/>
        <w:spacing w:line="360" w:lineRule="auto"/>
        <w:ind w:firstLine="480"/>
        <w:rPr>
          <w:rFonts w:ascii="Times New Roman" w:hAnsi="Times New Roman" w:cs="Times New Roman"/>
        </w:rPr>
      </w:pPr>
      <w:r>
        <w:rPr>
          <w:rFonts w:hint="eastAsia" w:ascii="Times New Roman" w:hAnsi="Times New Roman" w:cs="Times New Roman"/>
        </w:rPr>
        <w:t>本着清污分流的原则，根据污水性质，厂区排水划分为生活污水排水系统、冲洗地坪水及初期雨水排水系统、清净废水排水系统、事故污水排水系统、雨水排水系统。设计严格执行</w:t>
      </w:r>
      <w:r>
        <w:rPr>
          <w:rFonts w:ascii="Times New Roman" w:hAnsi="Times New Roman" w:cs="Times New Roman"/>
        </w:rPr>
        <w:t>《</w:t>
      </w:r>
      <w:r>
        <w:rPr>
          <w:rFonts w:hint="eastAsia" w:ascii="Times New Roman" w:hAnsi="Times New Roman" w:cs="Times New Roman"/>
        </w:rPr>
        <w:t>石油化工工程防渗技术规范</w:t>
      </w:r>
      <w:r>
        <w:rPr>
          <w:rFonts w:ascii="Times New Roman" w:hAnsi="Times New Roman" w:cs="Times New Roman"/>
        </w:rPr>
        <w:t>》GB/T 50934-2013</w:t>
      </w:r>
      <w:r>
        <w:rPr>
          <w:rFonts w:hint="eastAsia" w:ascii="Times New Roman" w:hAnsi="Times New Roman" w:cs="Times New Roman"/>
        </w:rPr>
        <w:t>。</w:t>
      </w:r>
    </w:p>
    <w:p w14:paraId="6A88679B">
      <w:pPr>
        <w:snapToGrid w:val="0"/>
        <w:spacing w:line="360" w:lineRule="auto"/>
        <w:ind w:firstLine="480"/>
        <w:rPr>
          <w:rFonts w:ascii="Times New Roman" w:hAnsi="Times New Roman" w:cs="Times New Roman"/>
        </w:rPr>
      </w:pPr>
      <w:r>
        <w:rPr>
          <w:rFonts w:hint="eastAsia" w:ascii="Times New Roman" w:hAnsi="Times New Roman" w:cs="Times New Roman"/>
        </w:rPr>
        <w:t>（1）生活污水排水系统（S</w:t>
      </w:r>
      <w:r>
        <w:rPr>
          <w:rFonts w:ascii="Times New Roman" w:hAnsi="Times New Roman" w:cs="Times New Roman"/>
        </w:rPr>
        <w:t>D</w:t>
      </w:r>
      <w:r>
        <w:rPr>
          <w:rFonts w:hint="eastAsia" w:ascii="Times New Roman" w:hAnsi="Times New Roman" w:cs="Times New Roman"/>
        </w:rPr>
        <w:t>）</w:t>
      </w:r>
    </w:p>
    <w:p w14:paraId="0DFB830C">
      <w:pPr>
        <w:snapToGrid w:val="0"/>
        <w:spacing w:line="360" w:lineRule="auto"/>
        <w:ind w:firstLine="480"/>
        <w:rPr>
          <w:rFonts w:ascii="Times New Roman" w:hAnsi="Times New Roman" w:cs="Times New Roman"/>
        </w:rPr>
      </w:pPr>
      <w:r>
        <w:rPr>
          <w:rFonts w:hint="eastAsia" w:ascii="Times New Roman" w:hAnsi="Times New Roman" w:cs="Times New Roman"/>
        </w:rPr>
        <w:t>生活污水排水系统收集各车间排出的生活、化验污水，原水处理装置的含泥废水，重力流进入厂区生活污水管道，厕所排水经化粪池处理后重力流进入厂区生产生活污水管道，食堂排水经隔油池处理后重力流进入厂区生产生活污水管道，最终送生化处理装置。</w:t>
      </w:r>
    </w:p>
    <w:p w14:paraId="04DF1FC1">
      <w:pPr>
        <w:snapToGrid w:val="0"/>
        <w:spacing w:line="360" w:lineRule="auto"/>
        <w:ind w:firstLine="480"/>
        <w:rPr>
          <w:rFonts w:ascii="Times New Roman" w:hAnsi="Times New Roman" w:cs="Times New Roman"/>
        </w:rPr>
      </w:pPr>
      <w:r>
        <w:rPr>
          <w:rFonts w:hint="eastAsia" w:ascii="Times New Roman" w:hAnsi="Times New Roman" w:cs="Times New Roman"/>
        </w:rPr>
        <w:t>（2）冲洗地坪水及初期雨水排水系统（</w:t>
      </w:r>
      <w:r>
        <w:rPr>
          <w:rFonts w:ascii="Times New Roman" w:hAnsi="Times New Roman" w:cs="Times New Roman"/>
        </w:rPr>
        <w:t>FRW</w:t>
      </w:r>
      <w:r>
        <w:rPr>
          <w:rFonts w:hint="eastAsia" w:ascii="Times New Roman" w:hAnsi="Times New Roman" w:cs="Times New Roman"/>
        </w:rPr>
        <w:t>）</w:t>
      </w:r>
    </w:p>
    <w:p w14:paraId="7ED1F205">
      <w:pPr>
        <w:snapToGrid w:val="0"/>
        <w:spacing w:line="360" w:lineRule="auto"/>
        <w:ind w:firstLine="480"/>
        <w:rPr>
          <w:rFonts w:ascii="Times New Roman" w:hAnsi="Times New Roman" w:cs="Times New Roman"/>
        </w:rPr>
      </w:pPr>
      <w:bookmarkStart w:id="190" w:name="_Hlk183165258"/>
      <w:r>
        <w:rPr>
          <w:rFonts w:hint="eastAsia" w:ascii="Times New Roman" w:hAnsi="Times New Roman" w:cs="Times New Roman"/>
        </w:rPr>
        <w:t>初期雨水排水系统收集围堰内排出的地坪冲洗水及各装置的初期雨水，经泵加压后由外管架送污水生化处理装置。</w:t>
      </w:r>
    </w:p>
    <w:p w14:paraId="573EB1E3">
      <w:pPr>
        <w:snapToGrid w:val="0"/>
        <w:spacing w:line="360" w:lineRule="auto"/>
        <w:ind w:firstLine="480"/>
        <w:rPr>
          <w:rFonts w:ascii="Times New Roman" w:hAnsi="Times New Roman" w:cs="Times New Roman"/>
        </w:rPr>
      </w:pPr>
      <w:r>
        <w:rPr>
          <w:rFonts w:ascii="Times New Roman" w:hAnsi="Times New Roman" w:cs="Times New Roman"/>
        </w:rPr>
        <w:t>初期雨水收集池</w:t>
      </w:r>
      <w:r>
        <w:rPr>
          <w:rFonts w:hint="eastAsia" w:ascii="Times New Roman" w:hAnsi="Times New Roman" w:cs="Times New Roman"/>
        </w:rPr>
        <w:t>有效容积</w:t>
      </w:r>
      <w:r>
        <w:rPr>
          <w:rFonts w:ascii="Times New Roman" w:hAnsi="Times New Roman" w:cs="Times New Roman"/>
        </w:rPr>
        <w:t>按</w:t>
      </w:r>
      <w:r>
        <w:rPr>
          <w:rFonts w:hint="eastAsia" w:ascii="Times New Roman" w:hAnsi="Times New Roman" w:cs="Times New Roman"/>
        </w:rPr>
        <w:t>围堰内</w:t>
      </w:r>
      <w:r>
        <w:rPr>
          <w:rFonts w:ascii="Times New Roman" w:hAnsi="Times New Roman" w:cs="Times New Roman"/>
        </w:rPr>
        <w:t>污染雨水</w:t>
      </w:r>
      <w:r>
        <w:rPr>
          <w:rFonts w:hint="eastAsia" w:ascii="Times New Roman" w:hAnsi="Times New Roman" w:cs="Times New Roman"/>
        </w:rPr>
        <w:t>20</w:t>
      </w:r>
      <w:r>
        <w:rPr>
          <w:rFonts w:ascii="Times New Roman" w:hAnsi="Times New Roman" w:cs="Times New Roman"/>
        </w:rPr>
        <w:t>mm水深乘以污染区面积计算。</w:t>
      </w:r>
    </w:p>
    <w:p w14:paraId="1B3B25E9">
      <w:pPr>
        <w:snapToGrid w:val="0"/>
        <w:spacing w:line="360" w:lineRule="auto"/>
        <w:ind w:firstLine="480"/>
        <w:rPr>
          <w:rFonts w:ascii="Times New Roman" w:hAnsi="Times New Roman" w:cs="Times New Roman"/>
        </w:rPr>
      </w:pPr>
      <w:r>
        <w:rPr>
          <w:rFonts w:hint="eastAsia" w:ascii="Times New Roman" w:hAnsi="Times New Roman" w:cs="Times New Roman"/>
        </w:rPr>
        <w:t>工艺各装置的有压污水经外管架各自单独送去污水处理场生化处理装置，根据其水质特性进入生化处理装置的相应处理单元。</w:t>
      </w:r>
    </w:p>
    <w:bookmarkEnd w:id="190"/>
    <w:p w14:paraId="472A2A52">
      <w:pPr>
        <w:snapToGrid w:val="0"/>
        <w:spacing w:line="360" w:lineRule="auto"/>
        <w:ind w:firstLine="480"/>
        <w:rPr>
          <w:rFonts w:ascii="Times New Roman" w:hAnsi="Times New Roman" w:cs="Times New Roman"/>
        </w:rPr>
      </w:pPr>
      <w:r>
        <w:rPr>
          <w:rFonts w:hint="eastAsia" w:ascii="Times New Roman" w:hAnsi="Times New Roman" w:cs="Times New Roman"/>
        </w:rPr>
        <w:t>（3）清净废水排水系统（C</w:t>
      </w:r>
      <w:r>
        <w:rPr>
          <w:rFonts w:ascii="Times New Roman" w:hAnsi="Times New Roman" w:cs="Times New Roman"/>
        </w:rPr>
        <w:t>WB</w:t>
      </w:r>
      <w:r>
        <w:rPr>
          <w:rFonts w:hint="eastAsia" w:ascii="Times New Roman" w:hAnsi="Times New Roman" w:cs="Times New Roman"/>
        </w:rPr>
        <w:t>）</w:t>
      </w:r>
    </w:p>
    <w:p w14:paraId="37A65AFD">
      <w:pPr>
        <w:snapToGrid w:val="0"/>
        <w:spacing w:line="360" w:lineRule="auto"/>
        <w:ind w:firstLine="480"/>
        <w:rPr>
          <w:rFonts w:ascii="Times New Roman" w:hAnsi="Times New Roman" w:cs="Times New Roman"/>
        </w:rPr>
      </w:pPr>
      <w:r>
        <w:rPr>
          <w:rFonts w:hint="eastAsia" w:ascii="Times New Roman" w:hAnsi="Times New Roman" w:cs="Times New Roman"/>
        </w:rPr>
        <w:t>清净废水排水系统收集循环水站排污水、旁滤器反冲洗废水、化学水站的排水经泵加压送回污水处理站进行处理。</w:t>
      </w:r>
    </w:p>
    <w:p w14:paraId="03FD7587">
      <w:pPr>
        <w:snapToGrid w:val="0"/>
        <w:spacing w:line="360" w:lineRule="auto"/>
        <w:ind w:firstLine="480"/>
        <w:rPr>
          <w:rFonts w:ascii="Times New Roman" w:hAnsi="Times New Roman" w:cs="Times New Roman"/>
        </w:rPr>
      </w:pPr>
      <w:r>
        <w:rPr>
          <w:rFonts w:hint="eastAsia" w:ascii="Times New Roman" w:hAnsi="Times New Roman" w:cs="Times New Roman"/>
        </w:rPr>
        <w:t>（4）清净雨水排水系统（</w:t>
      </w:r>
      <w:r>
        <w:rPr>
          <w:rFonts w:ascii="Times New Roman" w:hAnsi="Times New Roman" w:cs="Times New Roman"/>
        </w:rPr>
        <w:t>RD</w:t>
      </w:r>
      <w:r>
        <w:rPr>
          <w:rFonts w:hint="eastAsia" w:ascii="Times New Roman" w:hAnsi="Times New Roman" w:cs="Times New Roman"/>
        </w:rPr>
        <w:t>）</w:t>
      </w:r>
    </w:p>
    <w:p w14:paraId="2D9278D0">
      <w:pPr>
        <w:pStyle w:val="281"/>
        <w:ind w:firstLine="480"/>
      </w:pPr>
      <w:r>
        <w:rPr>
          <w:rFonts w:hint="eastAsia" w:cs="Times New Roman"/>
        </w:rPr>
        <w:t>本项目厂区内的清净雨水采用重力暗管敷设，汇集至本项目雨排口末端的雨水监测池，监测池内设置有在线监测仪表，达标后开启外排口闸板，重力排至厂外园区市政雨水系统；不达标时，关闭外排闸板，开启事故水池进水闸板，将不达标雨水切换至事故水池贮存。另外设有雨水提升泵，用于清除池内无法重力排出不达标废水或清洁雨水。</w:t>
      </w:r>
    </w:p>
    <w:p w14:paraId="673182F3">
      <w:pPr>
        <w:pStyle w:val="98"/>
        <w:rPr>
          <w:rFonts w:hint="eastAsia"/>
        </w:rPr>
      </w:pPr>
      <w:r>
        <w:rPr>
          <w:rFonts w:hint="eastAsia"/>
        </w:rPr>
        <w:t>厂内污水处理站</w:t>
      </w:r>
    </w:p>
    <w:p w14:paraId="717997BD">
      <w:pPr>
        <w:pStyle w:val="281"/>
        <w:ind w:firstLine="480"/>
        <w:rPr>
          <w:rFonts w:cs="Times New Roman"/>
        </w:rPr>
      </w:pPr>
      <w:r>
        <w:rPr>
          <w:rFonts w:hint="eastAsia" w:cs="Times New Roman"/>
        </w:rPr>
        <w:t>为节约水资源、提高水利用率、减少外排废水量、减压项目运营成本，本项目设置污水处理装置、中水回用装置、浓盐水处理及蒸发结晶，厂区各工艺装置的生产污水、地坪冲洗水、生活污水、化验废水等送入污水处理装置进行预处理；污水处理出水与脱盐水站浓盐水、循环水排污水混合后一并送入中水回用装置进行回收利用。</w:t>
      </w:r>
    </w:p>
    <w:p w14:paraId="60BF2A57">
      <w:pPr>
        <w:pStyle w:val="281"/>
        <w:ind w:firstLine="480"/>
      </w:pPr>
      <w:r>
        <w:rPr>
          <w:rFonts w:hint="eastAsia"/>
        </w:rPr>
        <w:t>本项目污水处理站处理规模为250</w:t>
      </w:r>
      <w:r>
        <w:t>m</w:t>
      </w:r>
      <w:r>
        <w:rPr>
          <w:vertAlign w:val="superscript"/>
        </w:rPr>
        <w:t>3</w:t>
      </w:r>
      <w:r>
        <w:t>/h</w:t>
      </w:r>
      <w:r>
        <w:rPr>
          <w:rFonts w:hint="eastAsia"/>
        </w:rPr>
        <w:t>。根据设计，污水处理站处理工艺为“</w:t>
      </w:r>
      <w:r>
        <w:rPr>
          <w:rFonts w:hint="eastAsia" w:cs="Times New Roman"/>
        </w:rPr>
        <w:t>气化污水冷却塔</w:t>
      </w:r>
      <w:r>
        <w:rPr>
          <w:rFonts w:cs="Times New Roman"/>
        </w:rPr>
        <w:t>+</w:t>
      </w:r>
      <w:r>
        <w:rPr>
          <w:rFonts w:hint="eastAsia" w:cs="Times New Roman"/>
        </w:rPr>
        <w:t>综合调节池</w:t>
      </w:r>
      <w:r>
        <w:rPr>
          <w:rFonts w:cs="Times New Roman"/>
        </w:rPr>
        <w:t>+</w:t>
      </w:r>
      <w:r>
        <w:rPr>
          <w:rFonts w:hint="eastAsia" w:cs="Times New Roman"/>
        </w:rPr>
        <w:t>高密沉淀池</w:t>
      </w:r>
      <w:r>
        <w:rPr>
          <w:rFonts w:cs="Times New Roman"/>
        </w:rPr>
        <w:t>+HBF</w:t>
      </w:r>
      <w:r>
        <w:rPr>
          <w:rFonts w:hint="eastAsia" w:cs="Times New Roman"/>
        </w:rPr>
        <w:t>（改进型两级</w:t>
      </w:r>
      <w:r>
        <w:rPr>
          <w:rFonts w:cs="Times New Roman"/>
        </w:rPr>
        <w:t>AO</w:t>
      </w:r>
      <w:r>
        <w:rPr>
          <w:rFonts w:hint="eastAsia" w:cs="Times New Roman"/>
        </w:rPr>
        <w:t>）生化处理</w:t>
      </w:r>
      <w:r>
        <w:rPr>
          <w:rFonts w:hint="eastAsia"/>
        </w:rPr>
        <w:t>”。</w:t>
      </w:r>
    </w:p>
    <w:p w14:paraId="20C82F0A">
      <w:pPr>
        <w:pStyle w:val="281"/>
        <w:ind w:firstLine="480"/>
      </w:pPr>
      <w:r>
        <w:rPr>
          <w:rFonts w:hint="eastAsia"/>
        </w:rPr>
        <w:t>本项目</w:t>
      </w:r>
      <w:r>
        <w:rPr>
          <w:rFonts w:hint="eastAsia" w:cs="Times New Roman"/>
        </w:rPr>
        <w:t>回用水处理站包括循环水排污水、污水处理站出水及脱盐水站排水，</w:t>
      </w:r>
      <w:r>
        <w:rPr>
          <w:rFonts w:hint="eastAsia"/>
        </w:rPr>
        <w:t>回用水处理站建设规模为500</w:t>
      </w:r>
      <w:r>
        <w:t>m</w:t>
      </w:r>
      <w:r>
        <w:rPr>
          <w:vertAlign w:val="superscript"/>
        </w:rPr>
        <w:t>3</w:t>
      </w:r>
      <w:r>
        <w:t>/h</w:t>
      </w:r>
      <w:r>
        <w:rPr>
          <w:rFonts w:hint="eastAsia"/>
        </w:rPr>
        <w:t>。</w:t>
      </w:r>
    </w:p>
    <w:p w14:paraId="3AC14788">
      <w:pPr>
        <w:pStyle w:val="281"/>
        <w:ind w:firstLine="480"/>
      </w:pPr>
      <w:r>
        <w:rPr>
          <w:rFonts w:hint="eastAsia" w:cs="Times New Roman"/>
        </w:rPr>
        <w:t>高浓盐水处理的来水为回用水处理站的反渗透浓水，建设规模为1</w:t>
      </w:r>
      <w:r>
        <w:rPr>
          <w:rFonts w:cs="Times New Roman"/>
        </w:rPr>
        <w:t>2</w:t>
      </w:r>
      <w:r>
        <w:rPr>
          <w:rFonts w:hint="eastAsia" w:cs="Times New Roman"/>
        </w:rPr>
        <w:t>0m</w:t>
      </w:r>
      <w:r>
        <w:rPr>
          <w:rFonts w:hint="eastAsia" w:cs="Times New Roman"/>
          <w:vertAlign w:val="superscript"/>
        </w:rPr>
        <w:t>3</w:t>
      </w:r>
      <w:r>
        <w:rPr>
          <w:rFonts w:hint="eastAsia" w:cs="Times New Roman"/>
        </w:rPr>
        <w:t>/h。</w:t>
      </w:r>
    </w:p>
    <w:p w14:paraId="23E20F63">
      <w:pPr>
        <w:pStyle w:val="97"/>
        <w:rPr>
          <w:rFonts w:hint="eastAsia"/>
        </w:rPr>
      </w:pPr>
      <w:r>
        <w:t>供电工程</w:t>
      </w:r>
    </w:p>
    <w:p w14:paraId="327520C8">
      <w:pPr>
        <w:pStyle w:val="98"/>
        <w:rPr>
          <w:rFonts w:hint="eastAsia"/>
        </w:rPr>
      </w:pPr>
      <w:r>
        <w:rPr>
          <w:rFonts w:hint="eastAsia"/>
        </w:rPr>
        <w:t>全厂供电系统</w:t>
      </w:r>
    </w:p>
    <w:p w14:paraId="52776E00">
      <w:pPr>
        <w:spacing w:line="360" w:lineRule="auto"/>
        <w:ind w:firstLine="480" w:firstLineChars="200"/>
        <w:rPr>
          <w:rFonts w:ascii="Times New Roman" w:hAnsi="Times New Roman" w:cs="Times New Roman"/>
        </w:rPr>
      </w:pPr>
      <w:r>
        <w:rPr>
          <w:rFonts w:hint="eastAsia" w:ascii="Times New Roman" w:hAnsi="Times New Roman" w:cs="Times New Roman"/>
        </w:rPr>
        <w:t>本项目设220kV总变一座。选择</w:t>
      </w:r>
      <w:r>
        <w:rPr>
          <w:rFonts w:ascii="Times New Roman" w:hAnsi="Times New Roman" w:cs="Times New Roman"/>
        </w:rPr>
        <w:t>4</w:t>
      </w:r>
      <w:r>
        <w:rPr>
          <w:rFonts w:hint="eastAsia" w:ascii="Times New Roman" w:hAnsi="Times New Roman" w:cs="Times New Roman"/>
        </w:rPr>
        <w:t>台</w:t>
      </w:r>
      <w:r>
        <w:rPr>
          <w:rFonts w:ascii="Times New Roman" w:hAnsi="Times New Roman" w:cs="Times New Roman"/>
        </w:rPr>
        <w:t>240</w:t>
      </w:r>
      <w:r>
        <w:rPr>
          <w:rFonts w:hint="eastAsia" w:ascii="Times New Roman" w:hAnsi="Times New Roman" w:cs="Times New Roman"/>
        </w:rPr>
        <w:t>MVA的220/</w:t>
      </w:r>
      <w:r>
        <w:rPr>
          <w:rFonts w:ascii="Times New Roman" w:hAnsi="Times New Roman" w:cs="Times New Roman"/>
        </w:rPr>
        <w:t>35</w:t>
      </w:r>
      <w:r>
        <w:rPr>
          <w:rFonts w:hint="eastAsia" w:ascii="Times New Roman" w:hAnsi="Times New Roman" w:cs="Times New Roman"/>
        </w:rPr>
        <w:t>kV的主变压器。</w:t>
      </w:r>
    </w:p>
    <w:p w14:paraId="4AC3CB91">
      <w:pPr>
        <w:spacing w:line="360" w:lineRule="auto"/>
        <w:ind w:firstLine="480" w:firstLineChars="200"/>
        <w:rPr>
          <w:rFonts w:ascii="Times New Roman" w:hAnsi="Times New Roman" w:cs="Times New Roman"/>
        </w:rPr>
      </w:pPr>
      <w:r>
        <w:rPr>
          <w:rFonts w:hint="eastAsia" w:ascii="Times New Roman" w:hAnsi="Times New Roman" w:cs="Times New Roman"/>
        </w:rPr>
        <w:t>正常运行时，全厂各装置均由2</w:t>
      </w:r>
      <w:r>
        <w:rPr>
          <w:rFonts w:ascii="Times New Roman" w:hAnsi="Times New Roman" w:cs="Times New Roman"/>
        </w:rPr>
        <w:t>20</w:t>
      </w:r>
      <w:r>
        <w:rPr>
          <w:rFonts w:hint="eastAsia" w:ascii="Times New Roman" w:hAnsi="Times New Roman" w:cs="Times New Roman"/>
        </w:rPr>
        <w:t>k</w:t>
      </w:r>
      <w:r>
        <w:rPr>
          <w:rFonts w:ascii="Times New Roman" w:hAnsi="Times New Roman" w:cs="Times New Roman"/>
        </w:rPr>
        <w:t>V</w:t>
      </w:r>
      <w:r>
        <w:rPr>
          <w:rFonts w:hint="eastAsia" w:ascii="Times New Roman" w:hAnsi="Times New Roman" w:cs="Times New Roman"/>
        </w:rPr>
        <w:t>总变供电，全厂用电</w:t>
      </w:r>
      <w:r>
        <w:rPr>
          <w:rFonts w:ascii="Times New Roman" w:hAnsi="Times New Roman" w:cs="Times New Roman"/>
        </w:rPr>
        <w:t>392347</w:t>
      </w:r>
      <w:r>
        <w:rPr>
          <w:rFonts w:hint="eastAsia" w:ascii="Times New Roman" w:hAnsi="Times New Roman" w:cs="Times New Roman"/>
        </w:rPr>
        <w:t>kW（</w:t>
      </w:r>
      <w:r>
        <w:rPr>
          <w:rFonts w:ascii="Times New Roman" w:hAnsi="Times New Roman" w:cs="Times New Roman"/>
        </w:rPr>
        <w:t>414827</w:t>
      </w:r>
      <w:r>
        <w:rPr>
          <w:rFonts w:hint="eastAsia" w:ascii="Times New Roman" w:hAnsi="Times New Roman" w:cs="Times New Roman"/>
        </w:rPr>
        <w:t>kVA），四台变压器运行，两两一组，变压器负荷率为</w:t>
      </w:r>
      <w:r>
        <w:rPr>
          <w:rFonts w:ascii="Times New Roman" w:hAnsi="Times New Roman" w:cs="Times New Roman"/>
        </w:rPr>
        <w:t>42</w:t>
      </w:r>
      <w:r>
        <w:rPr>
          <w:rFonts w:hint="eastAsia" w:ascii="Times New Roman" w:hAnsi="Times New Roman" w:cs="Times New Roman"/>
        </w:rPr>
        <w:t>%，当一台变压器故障时，另外一台变压器带全部负荷，变压器负荷率为</w:t>
      </w:r>
      <w:r>
        <w:rPr>
          <w:rFonts w:ascii="Times New Roman" w:hAnsi="Times New Roman" w:cs="Times New Roman"/>
        </w:rPr>
        <w:t>84</w:t>
      </w:r>
      <w:r>
        <w:rPr>
          <w:rFonts w:hint="eastAsia" w:ascii="Times New Roman" w:hAnsi="Times New Roman" w:cs="Times New Roman"/>
        </w:rPr>
        <w:t>%，能可靠运行。</w:t>
      </w:r>
    </w:p>
    <w:p w14:paraId="54656426">
      <w:pPr>
        <w:spacing w:line="360" w:lineRule="auto"/>
        <w:ind w:firstLine="480" w:firstLineChars="200"/>
        <w:rPr>
          <w:rFonts w:ascii="Times New Roman" w:hAnsi="Times New Roman" w:cs="Times New Roman"/>
        </w:rPr>
      </w:pPr>
      <w:r>
        <w:rPr>
          <w:rFonts w:hint="eastAsia" w:ascii="Times New Roman" w:hAnsi="Times New Roman" w:cs="Times New Roman"/>
        </w:rPr>
        <w:t>本项目设绿电制氢输氢装置，用电量</w:t>
      </w:r>
      <w:r>
        <w:rPr>
          <w:rFonts w:ascii="Times New Roman" w:hAnsi="Times New Roman" w:cs="Times New Roman"/>
        </w:rPr>
        <w:t>348257</w:t>
      </w:r>
      <w:r>
        <w:rPr>
          <w:rFonts w:hint="eastAsia" w:ascii="Times New Roman" w:hAnsi="Times New Roman" w:cs="Times New Roman"/>
        </w:rPr>
        <w:t>kW，电源由2</w:t>
      </w:r>
      <w:r>
        <w:rPr>
          <w:rFonts w:ascii="Times New Roman" w:hAnsi="Times New Roman" w:cs="Times New Roman"/>
        </w:rPr>
        <w:t>20</w:t>
      </w:r>
      <w:r>
        <w:rPr>
          <w:rFonts w:hint="eastAsia" w:ascii="Times New Roman" w:hAnsi="Times New Roman" w:cs="Times New Roman"/>
        </w:rPr>
        <w:t>k</w:t>
      </w:r>
      <w:r>
        <w:rPr>
          <w:rFonts w:ascii="Times New Roman" w:hAnsi="Times New Roman" w:cs="Times New Roman"/>
        </w:rPr>
        <w:t>V</w:t>
      </w:r>
      <w:r>
        <w:rPr>
          <w:rFonts w:hint="eastAsia" w:ascii="Times New Roman" w:hAnsi="Times New Roman" w:cs="Times New Roman"/>
        </w:rPr>
        <w:t>总变电站提供，绿电指标由电网提供。本项目主接线方案为220kV侧采用双母线接线方式。220kV 总变的35kV侧也采用双母线双分段接线方式。</w:t>
      </w:r>
    </w:p>
    <w:p w14:paraId="50BFE3EA">
      <w:pPr>
        <w:pStyle w:val="98"/>
        <w:rPr>
          <w:rFonts w:hint="eastAsia"/>
        </w:rPr>
      </w:pPr>
      <w:r>
        <w:rPr>
          <w:rFonts w:hint="eastAsia"/>
        </w:rPr>
        <w:t>全厂变电所设置</w:t>
      </w:r>
    </w:p>
    <w:p w14:paraId="6C97673D">
      <w:pPr>
        <w:spacing w:line="360" w:lineRule="auto"/>
        <w:ind w:firstLine="480" w:firstLineChars="200"/>
        <w:rPr>
          <w:rFonts w:ascii="Times New Roman" w:hAnsi="Times New Roman" w:cs="Times New Roman"/>
        </w:rPr>
      </w:pPr>
      <w:r>
        <w:rPr>
          <w:rFonts w:ascii="Times New Roman" w:hAnsi="Times New Roman" w:cs="Times New Roman"/>
        </w:rPr>
        <w:t>22</w:t>
      </w:r>
      <w:r>
        <w:rPr>
          <w:rFonts w:hint="eastAsia" w:ascii="Times New Roman" w:hAnsi="Times New Roman" w:cs="Times New Roman"/>
        </w:rPr>
        <w:t>0kV总变均采用单层室内布置，2</w:t>
      </w:r>
      <w:r>
        <w:rPr>
          <w:rFonts w:ascii="Times New Roman" w:hAnsi="Times New Roman" w:cs="Times New Roman"/>
        </w:rPr>
        <w:t>20KV</w:t>
      </w:r>
      <w:r>
        <w:rPr>
          <w:rFonts w:hint="eastAsia" w:ascii="Times New Roman" w:hAnsi="Times New Roman" w:cs="Times New Roman"/>
        </w:rPr>
        <w:t>主变的35kV侧采用铜管母线与35kV高压配电装置连接，</w:t>
      </w:r>
      <w:r>
        <w:rPr>
          <w:rFonts w:ascii="Times New Roman" w:hAnsi="Times New Roman" w:cs="Times New Roman"/>
        </w:rPr>
        <w:t>22</w:t>
      </w:r>
      <w:r>
        <w:rPr>
          <w:rFonts w:hint="eastAsia" w:ascii="Times New Roman" w:hAnsi="Times New Roman" w:cs="Times New Roman"/>
        </w:rPr>
        <w:t>0kV侧采用架空线与</w:t>
      </w:r>
      <w:r>
        <w:rPr>
          <w:rFonts w:ascii="Times New Roman" w:hAnsi="Times New Roman" w:cs="Times New Roman"/>
        </w:rPr>
        <w:t>22</w:t>
      </w:r>
      <w:r>
        <w:rPr>
          <w:rFonts w:hint="eastAsia" w:ascii="Times New Roman" w:hAnsi="Times New Roman" w:cs="Times New Roman"/>
        </w:rPr>
        <w:t>0kV配电间隔连接。</w:t>
      </w:r>
    </w:p>
    <w:p w14:paraId="07608A32">
      <w:pPr>
        <w:spacing w:line="360" w:lineRule="auto"/>
        <w:ind w:firstLine="480" w:firstLineChars="200"/>
        <w:rPr>
          <w:rFonts w:ascii="Times New Roman" w:hAnsi="Times New Roman" w:cs="Times New Roman"/>
        </w:rPr>
      </w:pPr>
      <w:r>
        <w:rPr>
          <w:rFonts w:hint="eastAsia" w:ascii="Times New Roman" w:hAnsi="Times New Roman" w:cs="Times New Roman"/>
        </w:rPr>
        <w:t>为了提高供电可靠性，减少运行后的维护检修工作量，将</w:t>
      </w:r>
      <w:r>
        <w:rPr>
          <w:rFonts w:ascii="Times New Roman" w:hAnsi="Times New Roman" w:cs="Times New Roman"/>
        </w:rPr>
        <w:t>220KV</w:t>
      </w:r>
      <w:r>
        <w:rPr>
          <w:rFonts w:hint="eastAsia" w:ascii="Times New Roman" w:hAnsi="Times New Roman" w:cs="Times New Roman"/>
        </w:rPr>
        <w:t>配电装置、3</w:t>
      </w:r>
      <w:r>
        <w:rPr>
          <w:rFonts w:ascii="Times New Roman" w:hAnsi="Times New Roman" w:cs="Times New Roman"/>
        </w:rPr>
        <w:t>5</w:t>
      </w:r>
      <w:r>
        <w:rPr>
          <w:rFonts w:hint="eastAsia" w:ascii="Times New Roman" w:hAnsi="Times New Roman" w:cs="Times New Roman"/>
        </w:rPr>
        <w:t>k</w:t>
      </w:r>
      <w:r>
        <w:rPr>
          <w:rFonts w:ascii="Times New Roman" w:hAnsi="Times New Roman" w:cs="Times New Roman"/>
        </w:rPr>
        <w:t>V</w:t>
      </w:r>
      <w:r>
        <w:rPr>
          <w:rFonts w:hint="eastAsia" w:ascii="Times New Roman" w:hAnsi="Times New Roman" w:cs="Times New Roman"/>
        </w:rPr>
        <w:t>配电装置作室内布置，主变及电容补偿装置布置在室外，网控室也布置在室内。</w:t>
      </w:r>
    </w:p>
    <w:p w14:paraId="1DA25D88">
      <w:pPr>
        <w:spacing w:line="360" w:lineRule="auto"/>
        <w:ind w:firstLine="480" w:firstLineChars="200"/>
        <w:rPr>
          <w:rFonts w:ascii="Times New Roman" w:hAnsi="Times New Roman" w:cs="Times New Roman"/>
        </w:rPr>
      </w:pPr>
      <w:r>
        <w:rPr>
          <w:rFonts w:hint="eastAsia" w:ascii="Times New Roman" w:hAnsi="Times New Roman" w:cs="Times New Roman"/>
        </w:rPr>
        <w:t>根据全厂用电情况，在厂内设</w:t>
      </w:r>
      <w:r>
        <w:rPr>
          <w:rFonts w:ascii="Times New Roman" w:hAnsi="Times New Roman" w:cs="Times New Roman"/>
        </w:rPr>
        <w:t>5</w:t>
      </w:r>
      <w:r>
        <w:rPr>
          <w:rFonts w:hint="eastAsia" w:ascii="Times New Roman" w:hAnsi="Times New Roman" w:cs="Times New Roman"/>
        </w:rPr>
        <w:t>座35kV变电站，2座低压变电所。</w:t>
      </w:r>
    </w:p>
    <w:p w14:paraId="78EAFB2D">
      <w:pPr>
        <w:pStyle w:val="97"/>
        <w:rPr>
          <w:rFonts w:hint="eastAsia"/>
        </w:rPr>
      </w:pPr>
      <w:r>
        <w:rPr>
          <w:rFonts w:hint="eastAsia"/>
        </w:rPr>
        <w:t>自动控制</w:t>
      </w:r>
    </w:p>
    <w:p w14:paraId="69B2E634">
      <w:pPr>
        <w:spacing w:line="360" w:lineRule="auto"/>
        <w:ind w:firstLine="480" w:firstLineChars="200"/>
        <w:rPr>
          <w:rFonts w:ascii="Times New Roman" w:hAnsi="Times New Roman" w:cs="Times New Roman"/>
        </w:rPr>
      </w:pPr>
      <w:r>
        <w:rPr>
          <w:rFonts w:ascii="Times New Roman" w:hAnsi="Times New Roman" w:cs="Times New Roman"/>
        </w:rPr>
        <w:t>本项目采用中心控制室加现场机柜室/现场控制室的模式实现。设一个全厂控制室，</w:t>
      </w:r>
      <w:r>
        <w:rPr>
          <w:rFonts w:hint="eastAsia" w:ascii="Times New Roman" w:hAnsi="Times New Roman" w:cs="Times New Roman"/>
        </w:rPr>
        <w:t>包含机柜间</w:t>
      </w:r>
      <w:r>
        <w:rPr>
          <w:rFonts w:ascii="Times New Roman" w:hAnsi="Times New Roman" w:cs="Times New Roman"/>
        </w:rPr>
        <w:t>。原则上生产装置控制系统的操作站设置在中心控制室。本工程设一个中心控制室。设机柜室</w:t>
      </w:r>
      <w:r>
        <w:rPr>
          <w:rFonts w:hint="eastAsia" w:ascii="Times New Roman" w:hAnsi="Times New Roman" w:cs="Times New Roman"/>
        </w:rPr>
        <w:t>一</w:t>
      </w:r>
      <w:r>
        <w:rPr>
          <w:rFonts w:ascii="Times New Roman" w:hAnsi="Times New Roman" w:cs="Times New Roman"/>
        </w:rPr>
        <w:t>、机柜室</w:t>
      </w:r>
      <w:r>
        <w:rPr>
          <w:rFonts w:hint="eastAsia" w:ascii="Times New Roman" w:hAnsi="Times New Roman" w:cs="Times New Roman"/>
        </w:rPr>
        <w:t>二</w:t>
      </w:r>
      <w:r>
        <w:rPr>
          <w:rFonts w:ascii="Times New Roman" w:hAnsi="Times New Roman" w:cs="Times New Roman"/>
        </w:rPr>
        <w:t>、机柜室</w:t>
      </w:r>
      <w:r>
        <w:rPr>
          <w:rFonts w:hint="eastAsia" w:ascii="Times New Roman" w:hAnsi="Times New Roman" w:cs="Times New Roman"/>
        </w:rPr>
        <w:t>三</w:t>
      </w:r>
      <w:r>
        <w:rPr>
          <w:rFonts w:ascii="Times New Roman" w:hAnsi="Times New Roman" w:cs="Times New Roman"/>
        </w:rPr>
        <w:t>。</w:t>
      </w:r>
    </w:p>
    <w:p w14:paraId="0F3658A6">
      <w:pPr>
        <w:spacing w:line="360" w:lineRule="auto"/>
        <w:ind w:firstLine="480" w:firstLineChars="200"/>
        <w:rPr>
          <w:rFonts w:ascii="Times New Roman" w:hAnsi="Times New Roman" w:cs="Times New Roman"/>
        </w:rPr>
      </w:pPr>
      <w:r>
        <w:rPr>
          <w:rFonts w:ascii="Times New Roman" w:hAnsi="Times New Roman" w:cs="Times New Roman"/>
        </w:rPr>
        <w:t>本项目实施后</w:t>
      </w:r>
      <w:r>
        <w:rPr>
          <w:rFonts w:hint="eastAsia" w:ascii="Times New Roman" w:hAnsi="Times New Roman" w:cs="Times New Roman"/>
        </w:rPr>
        <w:t>，</w:t>
      </w:r>
      <w:r>
        <w:rPr>
          <w:rFonts w:ascii="Times New Roman" w:hAnsi="Times New Roman" w:cs="Times New Roman"/>
        </w:rPr>
        <w:t>实现控制、管理、运营一体化，全厂的生产装置、公用工程的自动控制及工厂信息管理具有国内先进水平</w:t>
      </w:r>
      <w:r>
        <w:rPr>
          <w:rFonts w:hint="eastAsia" w:ascii="Times New Roman" w:hAnsi="Times New Roman" w:cs="Times New Roman"/>
        </w:rPr>
        <w:t>。</w:t>
      </w:r>
      <w:r>
        <w:rPr>
          <w:rFonts w:ascii="Times New Roman" w:hAnsi="Times New Roman" w:cs="Times New Roman"/>
        </w:rPr>
        <w:t>全厂控制系统以DCS（集散控制系统）为主，安全停车联锁系统在SIS</w:t>
      </w:r>
      <w:r>
        <w:rPr>
          <w:rFonts w:hint="eastAsia" w:ascii="Times New Roman" w:hAnsi="Times New Roman" w:cs="Times New Roman"/>
        </w:rPr>
        <w:t>（</w:t>
      </w:r>
      <w:r>
        <w:rPr>
          <w:rFonts w:ascii="Times New Roman" w:hAnsi="Times New Roman" w:cs="Times New Roman"/>
        </w:rPr>
        <w:t>安全仪表系统</w:t>
      </w:r>
      <w:r>
        <w:rPr>
          <w:rFonts w:hint="eastAsia" w:ascii="Times New Roman" w:hAnsi="Times New Roman" w:cs="Times New Roman"/>
        </w:rPr>
        <w:t>）</w:t>
      </w:r>
      <w:r>
        <w:rPr>
          <w:rFonts w:ascii="Times New Roman" w:hAnsi="Times New Roman" w:cs="Times New Roman"/>
        </w:rPr>
        <w:t>系统内实现。所采用仪表是先进的、可靠的、适用的，可以保证工艺装置长期、安全</w:t>
      </w:r>
      <w:r>
        <w:rPr>
          <w:rFonts w:hint="eastAsia" w:ascii="Times New Roman" w:hAnsi="Times New Roman" w:cs="Times New Roman"/>
        </w:rPr>
        <w:t>地</w:t>
      </w:r>
      <w:r>
        <w:rPr>
          <w:rFonts w:ascii="Times New Roman" w:hAnsi="Times New Roman" w:cs="Times New Roman"/>
        </w:rPr>
        <w:t>生产和操作。</w:t>
      </w:r>
    </w:p>
    <w:p w14:paraId="32F3802B">
      <w:pPr>
        <w:pStyle w:val="97"/>
        <w:rPr>
          <w:rFonts w:hint="eastAsia"/>
        </w:rPr>
      </w:pPr>
      <w:bookmarkStart w:id="191" w:name="_Toc286659755"/>
      <w:bookmarkStart w:id="192" w:name="_Toc322801569"/>
      <w:bookmarkStart w:id="193" w:name="_Toc286660307"/>
      <w:r>
        <w:rPr>
          <w:rFonts w:hint="eastAsia"/>
        </w:rPr>
        <w:t>空分站</w:t>
      </w:r>
    </w:p>
    <w:p w14:paraId="4288BD60">
      <w:pPr>
        <w:pStyle w:val="98"/>
        <w:rPr>
          <w:rFonts w:hint="eastAsia"/>
        </w:rPr>
      </w:pPr>
      <w:r>
        <w:rPr>
          <w:rFonts w:hint="eastAsia"/>
        </w:rPr>
        <w:t>概述</w:t>
      </w:r>
    </w:p>
    <w:p w14:paraId="12D5D7DB">
      <w:pPr>
        <w:pStyle w:val="281"/>
        <w:ind w:firstLine="480"/>
      </w:pPr>
      <w:r>
        <w:rPr>
          <w:rFonts w:hint="eastAsia" w:ascii="宋体" w:hAnsi="宋体"/>
        </w:rPr>
        <w:t>全厂设置空分站一座；</w:t>
      </w:r>
      <w:r>
        <w:rPr>
          <w:rFonts w:hint="eastAsia" w:cs="Times New Roman"/>
        </w:rPr>
        <w:t>空分装置</w:t>
      </w:r>
      <w:r>
        <w:rPr>
          <w:rFonts w:cs="Times New Roman"/>
        </w:rPr>
        <w:t>采用先进的</w:t>
      </w:r>
      <w:r>
        <w:rPr>
          <w:rFonts w:hint="eastAsia" w:cs="Times New Roman"/>
        </w:rPr>
        <w:t>深冷分离</w:t>
      </w:r>
      <w:r>
        <w:rPr>
          <w:rFonts w:cs="Times New Roman"/>
        </w:rPr>
        <w:t>技术生产</w:t>
      </w:r>
      <w:r>
        <w:rPr>
          <w:rFonts w:hint="eastAsia" w:cs="Times New Roman"/>
        </w:rPr>
        <w:t>氧气、氮气，同时副产液氧、液氮、液氩，并为全厂提供仪表空气、工厂空气</w:t>
      </w:r>
      <w:r>
        <w:rPr>
          <w:rFonts w:cs="Times New Roman"/>
        </w:rPr>
        <w:t>。</w:t>
      </w:r>
    </w:p>
    <w:p w14:paraId="30C6A714">
      <w:pPr>
        <w:pStyle w:val="98"/>
        <w:rPr>
          <w:rFonts w:hint="eastAsia"/>
        </w:rPr>
      </w:pPr>
      <w:r>
        <w:rPr>
          <w:rFonts w:hint="eastAsia"/>
        </w:rPr>
        <w:t>设计规模</w:t>
      </w:r>
    </w:p>
    <w:p w14:paraId="50047EC9">
      <w:pPr>
        <w:pStyle w:val="281"/>
        <w:ind w:firstLine="480"/>
      </w:pPr>
      <w:bookmarkStart w:id="194" w:name="_Hlk177030892"/>
      <w:bookmarkStart w:id="195" w:name="_Hlk90382087"/>
      <w:r>
        <w:t>空分站</w:t>
      </w:r>
      <w:r>
        <w:rPr>
          <w:rFonts w:hint="eastAsia"/>
        </w:rPr>
        <w:t>设两套空分装置，单套</w:t>
      </w:r>
      <w:r>
        <w:t>制氧能力</w:t>
      </w:r>
      <w:r>
        <w:rPr>
          <w:rFonts w:hint="eastAsia"/>
        </w:rPr>
        <w:t>4</w:t>
      </w:r>
      <w:r>
        <w:t>0000Nm</w:t>
      </w:r>
      <w:r>
        <w:rPr>
          <w:vertAlign w:val="superscript"/>
        </w:rPr>
        <w:t>3</w:t>
      </w:r>
      <w:r>
        <w:t>/h，氧气纯度99.6%</w:t>
      </w:r>
      <w:r>
        <w:rPr>
          <w:rFonts w:hint="eastAsia"/>
        </w:rPr>
        <w:t>。</w:t>
      </w:r>
    </w:p>
    <w:bookmarkEnd w:id="194"/>
    <w:p w14:paraId="5780BAA9">
      <w:pPr>
        <w:pStyle w:val="98"/>
        <w:rPr>
          <w:rFonts w:hint="eastAsia"/>
        </w:rPr>
      </w:pPr>
      <w:r>
        <w:rPr>
          <w:rFonts w:hint="eastAsia"/>
        </w:rPr>
        <w:t>原辅材料及公用工程消耗</w:t>
      </w:r>
    </w:p>
    <w:p w14:paraId="0085D6D7">
      <w:pPr>
        <w:pStyle w:val="281"/>
        <w:ind w:firstLine="480"/>
        <w:rPr>
          <w:rFonts w:hint="eastAsia" w:ascii="宋体" w:hAnsi="宋体"/>
        </w:rPr>
      </w:pPr>
      <w:r>
        <w:rPr>
          <w:rFonts w:hint="eastAsia" w:ascii="宋体" w:hAnsi="宋体"/>
        </w:rPr>
        <w:t>空分装置原辅材料及公用工程消耗见下表。</w:t>
      </w:r>
    </w:p>
    <w:p w14:paraId="298FA9BC">
      <w:pPr>
        <w:pStyle w:val="535"/>
        <w:rPr>
          <w:rFonts w:hint="eastAsia"/>
          <w:color w:val="auto"/>
        </w:rPr>
      </w:pPr>
      <w:r>
        <w:rPr>
          <w:rFonts w:hint="eastAsia"/>
          <w:color w:val="auto"/>
        </w:rPr>
        <w:t>表3.3</w:t>
      </w:r>
      <w:r>
        <w:rPr>
          <w:color w:val="auto"/>
        </w:rPr>
        <w:t>.</w:t>
      </w:r>
      <w:r>
        <w:rPr>
          <w:rFonts w:hint="eastAsia"/>
          <w:color w:val="auto"/>
        </w:rPr>
        <w:t>5-1</w:t>
      </w:r>
      <w:r>
        <w:rPr>
          <w:color w:val="auto"/>
        </w:rPr>
        <w:t xml:space="preserve">    </w:t>
      </w:r>
      <w:r>
        <w:rPr>
          <w:rFonts w:hint="eastAsia"/>
          <w:color w:val="auto"/>
        </w:rPr>
        <w:t>空分装置原辅材料及公用工程消耗一览表</w:t>
      </w:r>
    </w:p>
    <w:p w14:paraId="076F4A8C">
      <w:pPr>
        <w:pStyle w:val="98"/>
        <w:rPr>
          <w:rFonts w:hint="eastAsia"/>
        </w:rPr>
      </w:pPr>
      <w:r>
        <w:rPr>
          <w:rFonts w:hint="eastAsia"/>
        </w:rPr>
        <w:t>产品规格</w:t>
      </w:r>
    </w:p>
    <w:p w14:paraId="538B9325">
      <w:pPr>
        <w:pStyle w:val="281"/>
        <w:ind w:firstLine="480"/>
      </w:pPr>
      <w:r>
        <w:rPr>
          <w:rFonts w:hint="eastAsia"/>
        </w:rPr>
        <w:t>空分装置产品规格见表3.3</w:t>
      </w:r>
      <w:r>
        <w:t>.</w:t>
      </w:r>
      <w:r>
        <w:rPr>
          <w:rFonts w:hint="eastAsia"/>
        </w:rPr>
        <w:t>5-2。</w:t>
      </w:r>
    </w:p>
    <w:p w14:paraId="2C98D011">
      <w:pPr>
        <w:pStyle w:val="535"/>
        <w:rPr>
          <w:rFonts w:hint="eastAsia"/>
        </w:rPr>
      </w:pPr>
      <w:r>
        <w:rPr>
          <w:rFonts w:hint="eastAsia"/>
        </w:rPr>
        <w:t>表3.3.5-2    空分装置产品规格</w:t>
      </w:r>
    </w:p>
    <w:p w14:paraId="7D72E142">
      <w:pPr>
        <w:pStyle w:val="557"/>
      </w:pPr>
    </w:p>
    <w:p w14:paraId="3B388CF3">
      <w:pPr>
        <w:pStyle w:val="98"/>
        <w:rPr>
          <w:rFonts w:hint="eastAsia"/>
        </w:rPr>
      </w:pPr>
      <w:r>
        <w:rPr>
          <w:rFonts w:hint="eastAsia"/>
        </w:rPr>
        <w:t>主要设备</w:t>
      </w:r>
    </w:p>
    <w:p w14:paraId="03841661">
      <w:pPr>
        <w:pStyle w:val="281"/>
        <w:ind w:firstLine="480"/>
      </w:pPr>
      <w:r>
        <w:rPr>
          <w:rFonts w:hint="eastAsia"/>
        </w:rPr>
        <w:t>空分装置主要设备见下表。</w:t>
      </w:r>
    </w:p>
    <w:p w14:paraId="7D5B4161">
      <w:pPr>
        <w:pStyle w:val="535"/>
        <w:rPr>
          <w:rFonts w:hint="eastAsia"/>
          <w:color w:val="auto"/>
        </w:rPr>
      </w:pPr>
      <w:r>
        <w:rPr>
          <w:rFonts w:hint="eastAsia"/>
          <w:color w:val="auto"/>
        </w:rPr>
        <w:t>表3.3</w:t>
      </w:r>
      <w:r>
        <w:rPr>
          <w:color w:val="auto"/>
        </w:rPr>
        <w:t>.</w:t>
      </w:r>
      <w:r>
        <w:rPr>
          <w:rFonts w:hint="eastAsia"/>
          <w:color w:val="auto"/>
        </w:rPr>
        <w:t>5-3</w:t>
      </w:r>
      <w:r>
        <w:rPr>
          <w:color w:val="auto"/>
        </w:rPr>
        <w:t xml:space="preserve">    </w:t>
      </w:r>
      <w:r>
        <w:rPr>
          <w:rFonts w:hint="eastAsia"/>
          <w:color w:val="auto"/>
        </w:rPr>
        <w:t>空分装置主要设备表</w:t>
      </w:r>
    </w:p>
    <w:bookmarkEnd w:id="195"/>
    <w:p w14:paraId="30E824A5">
      <w:pPr>
        <w:pStyle w:val="98"/>
        <w:rPr>
          <w:rFonts w:hint="eastAsia"/>
        </w:rPr>
      </w:pPr>
      <w:r>
        <w:rPr>
          <w:rFonts w:hint="eastAsia"/>
        </w:rPr>
        <w:t>工艺流程</w:t>
      </w:r>
    </w:p>
    <w:p w14:paraId="54D291E7">
      <w:pPr>
        <w:spacing w:line="360" w:lineRule="auto"/>
        <w:ind w:firstLine="480" w:firstLineChars="200"/>
        <w:rPr>
          <w:rFonts w:ascii="Times New Roman" w:hAnsi="Times New Roman" w:cs="Times New Roman"/>
        </w:rPr>
      </w:pPr>
      <w:r>
        <w:rPr>
          <w:rFonts w:hint="eastAsia" w:ascii="Times New Roman" w:hAnsi="Times New Roman" w:cs="Times New Roman"/>
        </w:rPr>
        <w:t>空分装置</w:t>
      </w:r>
      <w:r>
        <w:rPr>
          <w:rFonts w:ascii="Times New Roman" w:hAnsi="Times New Roman" w:cs="Times New Roman"/>
        </w:rPr>
        <w:t>采用先进的</w:t>
      </w:r>
      <w:r>
        <w:rPr>
          <w:rFonts w:hint="eastAsia" w:ascii="Times New Roman" w:hAnsi="Times New Roman" w:cs="Times New Roman"/>
        </w:rPr>
        <w:t>深冷分离</w:t>
      </w:r>
      <w:r>
        <w:rPr>
          <w:rFonts w:ascii="Times New Roman" w:hAnsi="Times New Roman" w:cs="Times New Roman"/>
        </w:rPr>
        <w:t>技术生产</w:t>
      </w:r>
      <w:r>
        <w:rPr>
          <w:rFonts w:hint="eastAsia" w:ascii="Times New Roman" w:hAnsi="Times New Roman" w:cs="Times New Roman"/>
        </w:rPr>
        <w:t>氧气、氮气，同时副产液氧、液氮、液氩，并为全厂提供仪表空气、工厂空气</w:t>
      </w:r>
      <w:r>
        <w:rPr>
          <w:rFonts w:ascii="Times New Roman" w:hAnsi="Times New Roman" w:cs="Times New Roman"/>
        </w:rPr>
        <w:t>。</w:t>
      </w:r>
      <w:r>
        <w:rPr>
          <w:rFonts w:hint="eastAsia" w:ascii="Times New Roman" w:hAnsi="Times New Roman" w:cs="Times New Roman"/>
        </w:rPr>
        <w:t>空分装置采用分子筛净化空气、空气增压、液氧液氮双泵内压缩、膨胀空气进下塔、全精馏制氩工艺流程。配置中压透平膨胀机、液体膨胀机及规整填料塔</w:t>
      </w:r>
      <w:r>
        <w:rPr>
          <w:rFonts w:ascii="Times New Roman" w:hAnsi="Times New Roman" w:cs="Times New Roman"/>
        </w:rPr>
        <w:t>。</w:t>
      </w:r>
    </w:p>
    <w:p w14:paraId="2D341B18">
      <w:pPr>
        <w:spacing w:line="360" w:lineRule="auto"/>
        <w:ind w:firstLine="480" w:firstLineChars="200"/>
        <w:rPr>
          <w:rFonts w:ascii="Times New Roman" w:hAnsi="Times New Roman" w:cs="Times New Roman"/>
        </w:rPr>
      </w:pPr>
      <w:r>
        <w:rPr>
          <w:rFonts w:hint="eastAsia" w:ascii="Times New Roman" w:hAnsi="Times New Roman" w:cs="Times New Roman"/>
        </w:rPr>
        <w:t>（1）压缩、预冷和前端净化</w:t>
      </w:r>
    </w:p>
    <w:p w14:paraId="430028D5">
      <w:pPr>
        <w:spacing w:line="360" w:lineRule="auto"/>
        <w:ind w:firstLine="480" w:firstLineChars="200"/>
        <w:rPr>
          <w:rFonts w:ascii="Times New Roman" w:hAnsi="Times New Roman" w:cs="Times New Roman"/>
        </w:rPr>
      </w:pPr>
      <w:r>
        <w:rPr>
          <w:rFonts w:hint="eastAsia" w:ascii="Times New Roman" w:hAnsi="Times New Roman" w:cs="Times New Roman"/>
        </w:rPr>
        <w:t>原料空气自吸入口吸入，经自洁式空气过滤器除去灰尘及其他机械杂质。过滤后的空气进入离心式空压机，经压缩机压缩到一定压力（约0.48Mpa），然后进入空冷塔进行清洗和预冷。空冷塔的给水分为两段，下段使用经循环水系统处理过的冷却水，上段采用闭式循环使用经水冷塔冷却后的脱盐水，使空冷塔出口空气温度降低。</w:t>
      </w:r>
    </w:p>
    <w:p w14:paraId="782B474C">
      <w:pPr>
        <w:spacing w:line="360" w:lineRule="auto"/>
        <w:ind w:firstLine="480" w:firstLineChars="200"/>
        <w:rPr>
          <w:rFonts w:ascii="Times New Roman" w:hAnsi="Times New Roman" w:cs="Times New Roman"/>
        </w:rPr>
      </w:pPr>
      <w:r>
        <w:rPr>
          <w:rFonts w:hint="eastAsia" w:ascii="Times New Roman" w:hAnsi="Times New Roman" w:cs="Times New Roman"/>
        </w:rPr>
        <w:t>经空冷塔冷却后的空气进入切换使用的分子筛纯化器，空气中的二氧化碳、碳氢化合物和水分被吸附。分子筛纯化器为两只切换使用，其中一只工作时，另一只再生。</w:t>
      </w:r>
    </w:p>
    <w:p w14:paraId="2F5B193C">
      <w:pPr>
        <w:spacing w:line="360" w:lineRule="auto"/>
        <w:ind w:firstLine="480" w:firstLineChars="200"/>
        <w:rPr>
          <w:rFonts w:ascii="Times New Roman" w:hAnsi="Times New Roman" w:cs="Times New Roman"/>
        </w:rPr>
      </w:pPr>
      <w:r>
        <w:rPr>
          <w:rFonts w:hint="eastAsia" w:ascii="Times New Roman" w:hAnsi="Times New Roman" w:cs="Times New Roman"/>
        </w:rPr>
        <w:t>净化后的空气分成三股。一股抽出作为空分装置自用仪表空气；一股空气进入主换热器，被返流污氮气冷却后直接进入下塔。另一股空气去空气增压机，这股空气分成两部分：一部分空气经第一段增压后进入中压膨胀机的增压端增压，然后被冷却器冷却至常温后进入主换热器，再从主换热器下部抽出进入中压膨胀机的膨胀端去膨胀制冷，膨胀后的空气送入下塔。另一部分空气在增压机的第二段继续增压，经冷却后进入板式换热器，用来与液氧、液氮换热。高压空气经液体膨胀机膨胀并节流后进入下塔。</w:t>
      </w:r>
    </w:p>
    <w:p w14:paraId="54E3D88E">
      <w:pPr>
        <w:spacing w:line="360" w:lineRule="auto"/>
        <w:ind w:firstLine="480" w:firstLineChars="200"/>
        <w:rPr>
          <w:rFonts w:ascii="Times New Roman" w:hAnsi="Times New Roman" w:cs="Times New Roman"/>
        </w:rPr>
      </w:pPr>
      <w:r>
        <w:rPr>
          <w:rFonts w:hint="eastAsia" w:ascii="Times New Roman" w:hAnsi="Times New Roman" w:cs="Times New Roman"/>
        </w:rPr>
        <w:t>（2）空气精馏</w:t>
      </w:r>
    </w:p>
    <w:p w14:paraId="43F79D8C">
      <w:pPr>
        <w:spacing w:line="360" w:lineRule="auto"/>
        <w:ind w:firstLine="480" w:firstLineChars="200"/>
        <w:rPr>
          <w:rFonts w:ascii="Times New Roman" w:hAnsi="Times New Roman" w:cs="Times New Roman"/>
        </w:rPr>
      </w:pPr>
      <w:r>
        <w:rPr>
          <w:rFonts w:hint="eastAsia" w:ascii="Times New Roman" w:hAnsi="Times New Roman" w:cs="Times New Roman"/>
        </w:rPr>
        <w:t>空气经下塔初步精馏后，获得液空、纯液氮和污液氮，并经过冷器过冷后节流进入上塔。经上塔进一步精馏后，在上塔底部获得液氧，经液氧泵压缩后进入高压板式换热器，复热后出冷箱，进入氧气管网。另抽取一部分液氧过冷后作为产品进入贮槽。</w:t>
      </w:r>
    </w:p>
    <w:p w14:paraId="0D63D529">
      <w:pPr>
        <w:spacing w:line="360" w:lineRule="auto"/>
        <w:ind w:firstLine="480" w:firstLineChars="200"/>
        <w:rPr>
          <w:rFonts w:ascii="Times New Roman" w:hAnsi="Times New Roman" w:cs="Times New Roman"/>
        </w:rPr>
      </w:pPr>
      <w:r>
        <w:rPr>
          <w:rFonts w:hint="eastAsia" w:ascii="Times New Roman" w:hAnsi="Times New Roman" w:cs="Times New Roman"/>
        </w:rPr>
        <w:t>从下塔顶部引出液氮，并经中压液氮泵压缩后，进入高压板式换热器，复热后出冷箱，大部分进入中压氮气管网。又在下塔顶部抽出液氮经过冷器过冷后作为产品进入贮槽。</w:t>
      </w:r>
    </w:p>
    <w:p w14:paraId="49F53C71">
      <w:pPr>
        <w:spacing w:line="360" w:lineRule="auto"/>
        <w:ind w:firstLine="480" w:firstLineChars="200"/>
        <w:rPr>
          <w:rFonts w:ascii="Times New Roman" w:hAnsi="Times New Roman" w:cs="Times New Roman"/>
        </w:rPr>
      </w:pPr>
      <w:r>
        <w:rPr>
          <w:rFonts w:hint="eastAsia" w:ascii="Times New Roman" w:hAnsi="Times New Roman" w:cs="Times New Roman"/>
        </w:rPr>
        <w:t>从上塔上部引出污氮气经过冷器和主换热器复热出冷箱后，一股抽取作为产品污氮气，一股进入分子筛系统的蒸汽加热器，作为分子筛再生气体，另一股污氮气去水冷塔。</w:t>
      </w:r>
    </w:p>
    <w:p w14:paraId="601C9DE1">
      <w:pPr>
        <w:spacing w:line="360" w:lineRule="auto"/>
        <w:ind w:firstLine="480" w:firstLineChars="200"/>
        <w:rPr>
          <w:rFonts w:ascii="Times New Roman" w:hAnsi="Times New Roman" w:cs="Times New Roman"/>
        </w:rPr>
      </w:pPr>
      <w:r>
        <w:rPr>
          <w:rFonts w:hint="eastAsia" w:ascii="Times New Roman" w:hAnsi="Times New Roman" w:cs="Times New Roman"/>
        </w:rPr>
        <w:t>在上塔中部抽取一定量的氩馏份送入粗氩塔；氩馏份经粗氩塔精馏后得到粗氩气，并送入纯氩塔中部，经纯氩塔精馏后在塔底部得到纯液氩。</w:t>
      </w:r>
    </w:p>
    <w:p w14:paraId="44E1B0FB">
      <w:pPr>
        <w:spacing w:line="360" w:lineRule="auto"/>
        <w:ind w:firstLine="480" w:firstLineChars="200"/>
        <w:rPr>
          <w:rFonts w:ascii="Times New Roman" w:hAnsi="Times New Roman" w:cs="Times New Roman"/>
        </w:rPr>
      </w:pPr>
      <w:r>
        <w:rPr>
          <w:rFonts w:hint="eastAsia" w:ascii="Times New Roman" w:hAnsi="Times New Roman" w:cs="Times New Roman"/>
        </w:rPr>
        <w:t>（4）液体贮存及后备系统</w:t>
      </w:r>
    </w:p>
    <w:p w14:paraId="214F6AC5">
      <w:pPr>
        <w:spacing w:line="360" w:lineRule="auto"/>
        <w:ind w:firstLine="480" w:firstLineChars="200"/>
        <w:rPr>
          <w:rFonts w:ascii="Times New Roman" w:hAnsi="Times New Roman" w:cs="Times New Roman"/>
        </w:rPr>
      </w:pPr>
      <w:r>
        <w:rPr>
          <w:rFonts w:hint="eastAsia" w:ascii="Times New Roman" w:hAnsi="Times New Roman" w:cs="Times New Roman"/>
        </w:rPr>
        <w:t>来自常压液氧贮槽的液氧经后备高压液氧泵加压，再经液氧水浴式汽化器气化后送入产品氧气管网。</w:t>
      </w:r>
    </w:p>
    <w:p w14:paraId="7EBFDC62">
      <w:pPr>
        <w:spacing w:line="360" w:lineRule="auto"/>
        <w:ind w:firstLine="480" w:firstLineChars="200"/>
        <w:rPr>
          <w:rFonts w:ascii="Times New Roman" w:hAnsi="Times New Roman" w:cs="Times New Roman"/>
        </w:rPr>
      </w:pPr>
      <w:r>
        <w:rPr>
          <w:rFonts w:hint="eastAsia" w:ascii="Times New Roman" w:hAnsi="Times New Roman" w:cs="Times New Roman"/>
        </w:rPr>
        <w:t>来自常压液氮贮槽的液氮经后备中压液氮泵及后备低压液氮泵加压，再经水浴式汽化器气化后送入产品氮气管网。</w:t>
      </w:r>
    </w:p>
    <w:p w14:paraId="21768D1F">
      <w:pPr>
        <w:spacing w:line="360" w:lineRule="auto"/>
        <w:ind w:firstLine="480" w:firstLineChars="200"/>
        <w:rPr>
          <w:rFonts w:ascii="Times New Roman" w:hAnsi="Times New Roman" w:cs="Times New Roman"/>
        </w:rPr>
      </w:pPr>
      <w:r>
        <w:rPr>
          <w:rFonts w:hint="eastAsia" w:ascii="Times New Roman" w:hAnsi="Times New Roman" w:cs="Times New Roman"/>
        </w:rPr>
        <w:t>来自常压液氮贮槽的液氮经后备高压液氮泵加压，再经空浴式汽化器气化后送入产品高压氮气管网。</w:t>
      </w:r>
    </w:p>
    <w:p w14:paraId="5C1098EE">
      <w:pPr>
        <w:spacing w:line="360" w:lineRule="auto"/>
        <w:ind w:firstLine="480" w:firstLineChars="200"/>
        <w:rPr>
          <w:rFonts w:ascii="Times New Roman" w:hAnsi="Times New Roman" w:cs="Times New Roman"/>
        </w:rPr>
      </w:pPr>
      <w:r>
        <w:rPr>
          <w:rFonts w:hint="eastAsia" w:ascii="Times New Roman" w:hAnsi="Times New Roman" w:cs="Times New Roman"/>
        </w:rPr>
        <w:t>来自真空液氮贮槽的液氮经空浴式汽化器气化后作为安保氮气送出界区。</w:t>
      </w:r>
    </w:p>
    <w:p w14:paraId="03C7C4EC">
      <w:pPr>
        <w:spacing w:line="360" w:lineRule="auto"/>
        <w:ind w:firstLine="480" w:firstLineChars="200"/>
        <w:rPr>
          <w:rFonts w:ascii="Times New Roman" w:hAnsi="Times New Roman" w:cs="Times New Roman"/>
        </w:rPr>
      </w:pPr>
      <w:r>
        <w:rPr>
          <w:rFonts w:hint="eastAsia" w:ascii="Times New Roman" w:hAnsi="Times New Roman" w:cs="Times New Roman"/>
        </w:rPr>
        <w:t>（5）仪表空气后备系统</w:t>
      </w:r>
    </w:p>
    <w:p w14:paraId="21DA38C6">
      <w:pPr>
        <w:spacing w:line="360" w:lineRule="auto"/>
        <w:ind w:firstLine="480" w:firstLineChars="200"/>
        <w:rPr>
          <w:rFonts w:ascii="Times New Roman" w:hAnsi="Times New Roman" w:cs="Times New Roman"/>
        </w:rPr>
      </w:pPr>
      <w:r>
        <w:rPr>
          <w:rFonts w:hint="eastAsia" w:ascii="Times New Roman" w:hAnsi="Times New Roman" w:cs="Times New Roman"/>
        </w:rPr>
        <w:t>由增压机三级出口引出中压空气进仪表空气缓冲罐，减压后作为空分紧急停车后的全厂仪表空气气源送出界区。</w:t>
      </w:r>
    </w:p>
    <w:p w14:paraId="4BC0CFC2">
      <w:pPr>
        <w:pStyle w:val="281"/>
        <w:ind w:firstLine="480"/>
      </w:pPr>
      <w:r>
        <w:rPr>
          <w:rFonts w:hint="eastAsia" w:cs="Times New Roman"/>
        </w:rPr>
        <w:t>仪表空压站设置两套螺杆式仪表空气压缩机，配套有自洁式过滤器、干燥机、冷干机、精密过滤器及储气罐，作为空分开停车工况的全厂备用仪表空气气源。</w:t>
      </w:r>
    </w:p>
    <w:bookmarkEnd w:id="191"/>
    <w:bookmarkEnd w:id="192"/>
    <w:bookmarkEnd w:id="193"/>
    <w:p w14:paraId="3EEF186C">
      <w:pPr>
        <w:pStyle w:val="97"/>
        <w:rPr>
          <w:rFonts w:hint="eastAsia"/>
        </w:rPr>
      </w:pPr>
      <w:r>
        <w:rPr>
          <w:rFonts w:hint="eastAsia"/>
        </w:rPr>
        <w:t>火炬系统</w:t>
      </w:r>
    </w:p>
    <w:p w14:paraId="7588C3FE">
      <w:pPr>
        <w:spacing w:line="360" w:lineRule="auto"/>
        <w:ind w:firstLine="480" w:firstLineChars="200"/>
        <w:rPr>
          <w:rFonts w:ascii="Times New Roman" w:hAnsi="Times New Roman" w:cs="Times New Roman"/>
        </w:rPr>
      </w:pPr>
      <w:r>
        <w:rPr>
          <w:rFonts w:ascii="Times New Roman" w:hAnsi="Times New Roman" w:cs="Times New Roman"/>
        </w:rPr>
        <w:t>全厂火炬包括主火炬1套</w:t>
      </w:r>
      <w:r>
        <w:rPr>
          <w:rFonts w:hint="eastAsia" w:ascii="Times New Roman" w:hAnsi="Times New Roman" w:cs="Times New Roman"/>
        </w:rPr>
        <w:t>、酸性气火炬1套、氨火炬1套</w:t>
      </w:r>
      <w:r>
        <w:rPr>
          <w:rFonts w:ascii="Times New Roman" w:hAnsi="Times New Roman" w:cs="Times New Roman"/>
        </w:rPr>
        <w:t>。</w:t>
      </w:r>
    </w:p>
    <w:p w14:paraId="1AD3E288">
      <w:pPr>
        <w:spacing w:line="360" w:lineRule="auto"/>
        <w:ind w:firstLine="480" w:firstLineChars="200"/>
        <w:rPr>
          <w:rFonts w:ascii="Times New Roman" w:hAnsi="Times New Roman" w:cs="Times New Roman"/>
        </w:rPr>
      </w:pPr>
      <w:r>
        <w:rPr>
          <w:rFonts w:ascii="Times New Roman" w:hAnsi="Times New Roman" w:cs="Times New Roman"/>
        </w:rPr>
        <w:t>气化、</w:t>
      </w:r>
      <w:r>
        <w:rPr>
          <w:rFonts w:hint="eastAsia" w:ascii="Times New Roman" w:hAnsi="Times New Roman" w:cs="Times New Roman"/>
        </w:rPr>
        <w:t>煤气冷却</w:t>
      </w:r>
      <w:r>
        <w:rPr>
          <w:rFonts w:ascii="Times New Roman" w:hAnsi="Times New Roman" w:cs="Times New Roman"/>
        </w:rPr>
        <w:t>、</w:t>
      </w:r>
      <w:r>
        <w:rPr>
          <w:rFonts w:hint="eastAsia" w:ascii="Times New Roman" w:hAnsi="Times New Roman" w:cs="Times New Roman"/>
        </w:rPr>
        <w:t>低温甲醇洗</w:t>
      </w:r>
      <w:r>
        <w:rPr>
          <w:rFonts w:ascii="Times New Roman" w:hAnsi="Times New Roman" w:cs="Times New Roman"/>
        </w:rPr>
        <w:t>、合成气压缩、甲醇合成等各个装置送来的火炬气进入</w:t>
      </w:r>
      <w:r>
        <w:rPr>
          <w:rFonts w:hint="eastAsia" w:ascii="Times New Roman" w:hAnsi="Times New Roman" w:cs="Times New Roman"/>
        </w:rPr>
        <w:t>主火炬</w:t>
      </w:r>
      <w:r>
        <w:rPr>
          <w:rFonts w:ascii="Times New Roman" w:hAnsi="Times New Roman" w:cs="Times New Roman"/>
        </w:rPr>
        <w:t>管网</w:t>
      </w:r>
      <w:r>
        <w:rPr>
          <w:rFonts w:hint="eastAsia" w:ascii="Times New Roman" w:hAnsi="Times New Roman" w:cs="Times New Roman"/>
        </w:rPr>
        <w:t>；低温甲醇洗的酸性气进入酸性气管网；压缩制冷、氨合成的氨火炬气进入氨火炬。</w:t>
      </w:r>
    </w:p>
    <w:p w14:paraId="4DA64D9A">
      <w:pPr>
        <w:spacing w:line="360" w:lineRule="auto"/>
        <w:ind w:firstLine="480" w:firstLineChars="200"/>
        <w:rPr>
          <w:rFonts w:ascii="Times New Roman" w:hAnsi="Times New Roman" w:cs="Times New Roman"/>
        </w:rPr>
      </w:pPr>
      <w:r>
        <w:rPr>
          <w:rFonts w:ascii="Times New Roman" w:hAnsi="Times New Roman" w:cs="Times New Roman"/>
        </w:rPr>
        <w:t>火炬气经过减压，依次进入分液罐、液封罐、火炬筒、分子封，最后通过火炬头，由常明灯引燃。分子封用氮气气封，以防止火炬气回火发生意外，当氮气供应发生故障时，打开通入火炬筒的低压蒸汽阀门，让一定量的水蒸气进入火炬管道，阻止空气进入；当火炬气燃烧有大量黑烟产生时，也应通入蒸汽以起到消烟的作用。</w:t>
      </w:r>
    </w:p>
    <w:p w14:paraId="7FFBF0BF">
      <w:pPr>
        <w:spacing w:line="360" w:lineRule="auto"/>
        <w:ind w:firstLine="480" w:firstLineChars="200"/>
        <w:rPr>
          <w:rFonts w:ascii="Times New Roman" w:hAnsi="Times New Roman" w:cs="Times New Roman"/>
        </w:rPr>
      </w:pPr>
      <w:r>
        <w:rPr>
          <w:rFonts w:ascii="Times New Roman" w:hAnsi="Times New Roman" w:cs="Times New Roman"/>
        </w:rPr>
        <w:t>永久燃烧着的常明灯附在火炬头四周用来点燃火炬气。本设计可保证常明灯在大风中不会熄灭，保证随时进入火炬系统的气体燃烧。</w:t>
      </w:r>
    </w:p>
    <w:p w14:paraId="7F4FCD7D">
      <w:pPr>
        <w:pStyle w:val="281"/>
        <w:ind w:firstLine="480"/>
      </w:pPr>
      <w:r>
        <w:rPr>
          <w:rFonts w:cs="Times New Roman"/>
        </w:rPr>
        <w:t>没有火炬气送来时，氮气、燃料气连续供应，以保证常明灯持续燃烧不灭。一旦前面的生产装置发生事故就可将气体送到本装置燃烧。整个装置的工艺流程简单，易于操作</w:t>
      </w:r>
      <w:r>
        <w:rPr>
          <w:rFonts w:hint="eastAsia" w:cs="Times New Roman"/>
        </w:rPr>
        <w:t>。</w:t>
      </w:r>
    </w:p>
    <w:p w14:paraId="338B2939">
      <w:pPr>
        <w:pStyle w:val="97"/>
        <w:rPr>
          <w:rFonts w:hint="eastAsia"/>
        </w:rPr>
      </w:pPr>
      <w:r>
        <w:rPr>
          <w:rFonts w:hint="eastAsia"/>
        </w:rPr>
        <w:t>供热系统</w:t>
      </w:r>
    </w:p>
    <w:p w14:paraId="7CB95070">
      <w:pPr>
        <w:pStyle w:val="98"/>
        <w:rPr>
          <w:rFonts w:hint="eastAsia"/>
        </w:rPr>
      </w:pPr>
      <w:r>
        <w:rPr>
          <w:rFonts w:hint="eastAsia"/>
        </w:rPr>
        <w:t>蒸汽系统</w:t>
      </w:r>
    </w:p>
    <w:p w14:paraId="6C4FC5A2">
      <w:pPr>
        <w:pStyle w:val="281"/>
        <w:ind w:firstLine="480"/>
      </w:pPr>
      <w:r>
        <w:rPr>
          <w:rFonts w:hint="eastAsia"/>
        </w:rPr>
        <w:t>本项目设9.8MPa</w:t>
      </w:r>
      <w:r>
        <w:rPr>
          <w:rFonts w:hint="eastAsia" w:ascii="宋体" w:hAnsi="宋体"/>
        </w:rPr>
        <w:t>、</w:t>
      </w:r>
      <w:r>
        <w:t>2.5</w:t>
      </w:r>
      <w:r>
        <w:rPr>
          <w:rFonts w:hint="eastAsia"/>
        </w:rPr>
        <w:t>MPa</w:t>
      </w:r>
      <w:r>
        <w:rPr>
          <w:rFonts w:hint="eastAsia" w:ascii="宋体" w:hAnsi="宋体"/>
        </w:rPr>
        <w:t>、</w:t>
      </w:r>
      <w:r>
        <w:t>1.5</w:t>
      </w:r>
      <w:r>
        <w:rPr>
          <w:rFonts w:hint="eastAsia"/>
        </w:rPr>
        <w:t>MPa</w:t>
      </w:r>
      <w:r>
        <w:rPr>
          <w:rFonts w:hint="eastAsia" w:ascii="宋体" w:hAnsi="宋体"/>
        </w:rPr>
        <w:t>、</w:t>
      </w:r>
      <w:r>
        <w:rPr>
          <w:rFonts w:hint="eastAsia"/>
        </w:rPr>
        <w:t>0.</w:t>
      </w:r>
      <w:r>
        <w:t>6</w:t>
      </w:r>
      <w:r>
        <w:rPr>
          <w:rFonts w:hint="eastAsia"/>
        </w:rPr>
        <w:t>MPa蒸汽系统。</w:t>
      </w:r>
      <w:r>
        <w:rPr>
          <w:rFonts w:hint="eastAsia" w:ascii="宋体" w:hAnsi="宋体"/>
        </w:rPr>
        <w:t>各蒸汽管网的参数见表</w:t>
      </w:r>
      <w:r>
        <w:t>3.3.</w:t>
      </w:r>
      <w:r>
        <w:rPr>
          <w:rFonts w:hint="eastAsia"/>
        </w:rPr>
        <w:t>7</w:t>
      </w:r>
      <w:r>
        <w:t>-1</w:t>
      </w:r>
      <w:r>
        <w:rPr>
          <w:rFonts w:hint="eastAsia" w:ascii="宋体" w:hAnsi="宋体"/>
        </w:rPr>
        <w:t>。</w:t>
      </w:r>
    </w:p>
    <w:p w14:paraId="4B5DB5E3">
      <w:pPr>
        <w:spacing w:line="360" w:lineRule="auto"/>
        <w:jc w:val="center"/>
        <w:rPr>
          <w:rFonts w:hint="eastAsia" w:ascii="黑体" w:hAnsi="黑体" w:eastAsia="黑体"/>
          <w:b/>
        </w:rPr>
      </w:pPr>
      <w:r>
        <w:rPr>
          <w:rFonts w:hint="eastAsia" w:ascii="黑体" w:hAnsi="黑体" w:eastAsia="黑体"/>
          <w:b/>
        </w:rPr>
        <w:t>表</w:t>
      </w:r>
      <w:r>
        <w:rPr>
          <w:rFonts w:ascii="黑体" w:hAnsi="黑体" w:eastAsia="黑体"/>
          <w:b/>
        </w:rPr>
        <w:t>3.3.</w:t>
      </w:r>
      <w:r>
        <w:rPr>
          <w:rFonts w:hint="eastAsia" w:ascii="黑体" w:hAnsi="黑体" w:eastAsia="黑体"/>
          <w:b/>
        </w:rPr>
        <w:t>7</w:t>
      </w:r>
      <w:r>
        <w:rPr>
          <w:rFonts w:ascii="黑体" w:hAnsi="黑体" w:eastAsia="黑体"/>
          <w:b/>
        </w:rPr>
        <w:t>-1</w:t>
      </w:r>
      <w:r>
        <w:rPr>
          <w:rFonts w:hint="eastAsia" w:ascii="黑体" w:hAnsi="黑体" w:eastAsia="黑体"/>
          <w:b/>
        </w:rPr>
        <w:t xml:space="preserve"> </w:t>
      </w:r>
      <w:r>
        <w:rPr>
          <w:rFonts w:ascii="黑体" w:hAnsi="黑体" w:eastAsia="黑体"/>
          <w:b/>
        </w:rPr>
        <w:t xml:space="preserve">   </w:t>
      </w:r>
      <w:r>
        <w:rPr>
          <w:rFonts w:hint="eastAsia" w:ascii="黑体" w:hAnsi="黑体" w:eastAsia="黑体"/>
          <w:b/>
        </w:rPr>
        <w:t>各级蒸汽参数和来源一览表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35"/>
        <w:gridCol w:w="1135"/>
        <w:gridCol w:w="1170"/>
        <w:gridCol w:w="4399"/>
      </w:tblGrid>
      <w:tr w14:paraId="3A3E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Align w:val="center"/>
          </w:tcPr>
          <w:p w14:paraId="65179DCE">
            <w:pPr>
              <w:pStyle w:val="557"/>
            </w:pPr>
            <w:r>
              <w:t>序号</w:t>
            </w:r>
          </w:p>
        </w:tc>
        <w:tc>
          <w:tcPr>
            <w:tcW w:w="667" w:type="pct"/>
            <w:vAlign w:val="center"/>
          </w:tcPr>
          <w:p w14:paraId="560DC798">
            <w:pPr>
              <w:pStyle w:val="557"/>
            </w:pPr>
            <w:r>
              <w:t>等级</w:t>
            </w:r>
          </w:p>
        </w:tc>
        <w:tc>
          <w:tcPr>
            <w:tcW w:w="667" w:type="pct"/>
            <w:vAlign w:val="center"/>
          </w:tcPr>
          <w:p w14:paraId="69AEF14D">
            <w:pPr>
              <w:pStyle w:val="557"/>
            </w:pPr>
            <w:r>
              <w:t>压力MPaG</w:t>
            </w:r>
          </w:p>
        </w:tc>
        <w:tc>
          <w:tcPr>
            <w:tcW w:w="688" w:type="pct"/>
            <w:vAlign w:val="center"/>
          </w:tcPr>
          <w:p w14:paraId="776C0411">
            <w:pPr>
              <w:pStyle w:val="557"/>
            </w:pPr>
            <w:r>
              <w:t>温度</w:t>
            </w:r>
            <w:r>
              <w:rPr>
                <w:rFonts w:hint="eastAsia"/>
              </w:rPr>
              <w:t>℃</w:t>
            </w:r>
          </w:p>
        </w:tc>
        <w:tc>
          <w:tcPr>
            <w:tcW w:w="2586" w:type="pct"/>
            <w:vAlign w:val="center"/>
          </w:tcPr>
          <w:p w14:paraId="05E4EC00">
            <w:pPr>
              <w:pStyle w:val="557"/>
            </w:pPr>
            <w:r>
              <w:rPr>
                <w:rFonts w:hint="eastAsia"/>
              </w:rPr>
              <w:t>来源</w:t>
            </w:r>
          </w:p>
        </w:tc>
      </w:tr>
      <w:tr w14:paraId="74C4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Align w:val="center"/>
          </w:tcPr>
          <w:p w14:paraId="0A7AD3A6">
            <w:pPr>
              <w:pStyle w:val="557"/>
            </w:pPr>
            <w:r>
              <w:t>1</w:t>
            </w:r>
          </w:p>
        </w:tc>
        <w:tc>
          <w:tcPr>
            <w:tcW w:w="667" w:type="pct"/>
            <w:vAlign w:val="center"/>
          </w:tcPr>
          <w:p w14:paraId="2516383C">
            <w:pPr>
              <w:pStyle w:val="557"/>
            </w:pPr>
            <w:r>
              <w:t>高压蒸汽</w:t>
            </w:r>
          </w:p>
        </w:tc>
        <w:tc>
          <w:tcPr>
            <w:tcW w:w="667" w:type="pct"/>
            <w:vAlign w:val="center"/>
          </w:tcPr>
          <w:p w14:paraId="607820B9">
            <w:pPr>
              <w:pStyle w:val="557"/>
            </w:pPr>
            <w:r>
              <w:t>9.</w:t>
            </w:r>
            <w:r>
              <w:rPr>
                <w:rFonts w:hint="eastAsia"/>
              </w:rPr>
              <w:t>8</w:t>
            </w:r>
          </w:p>
        </w:tc>
        <w:tc>
          <w:tcPr>
            <w:tcW w:w="688" w:type="pct"/>
            <w:vAlign w:val="center"/>
          </w:tcPr>
          <w:p w14:paraId="7B8C4B9F">
            <w:pPr>
              <w:pStyle w:val="557"/>
            </w:pPr>
            <w:r>
              <w:rPr>
                <w:rFonts w:hint="eastAsia"/>
              </w:rPr>
              <w:t>5</w:t>
            </w:r>
            <w:r>
              <w:t>40</w:t>
            </w:r>
          </w:p>
        </w:tc>
        <w:tc>
          <w:tcPr>
            <w:tcW w:w="2586" w:type="pct"/>
            <w:vAlign w:val="center"/>
          </w:tcPr>
          <w:p w14:paraId="503DFA9D">
            <w:pPr>
              <w:pStyle w:val="557"/>
            </w:pPr>
            <w:r>
              <w:rPr>
                <w:rFonts w:hint="eastAsia"/>
              </w:rPr>
              <w:t>燃气锅炉</w:t>
            </w:r>
          </w:p>
        </w:tc>
      </w:tr>
      <w:tr w14:paraId="59E6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Align w:val="center"/>
          </w:tcPr>
          <w:p w14:paraId="247C1D16">
            <w:pPr>
              <w:pStyle w:val="557"/>
            </w:pPr>
            <w:r>
              <w:t>2</w:t>
            </w:r>
          </w:p>
        </w:tc>
        <w:tc>
          <w:tcPr>
            <w:tcW w:w="667" w:type="pct"/>
            <w:vAlign w:val="center"/>
          </w:tcPr>
          <w:p w14:paraId="48749475">
            <w:pPr>
              <w:pStyle w:val="557"/>
            </w:pPr>
            <w:r>
              <w:t>中压蒸汽</w:t>
            </w:r>
          </w:p>
        </w:tc>
        <w:tc>
          <w:tcPr>
            <w:tcW w:w="667" w:type="pct"/>
            <w:vAlign w:val="center"/>
          </w:tcPr>
          <w:p w14:paraId="3B702093">
            <w:pPr>
              <w:pStyle w:val="557"/>
            </w:pPr>
            <w:r>
              <w:t>2.5</w:t>
            </w:r>
          </w:p>
        </w:tc>
        <w:tc>
          <w:tcPr>
            <w:tcW w:w="688" w:type="pct"/>
            <w:vAlign w:val="center"/>
          </w:tcPr>
          <w:p w14:paraId="579E7999">
            <w:pPr>
              <w:pStyle w:val="557"/>
            </w:pPr>
            <w:r>
              <w:rPr>
                <w:rFonts w:hint="eastAsia"/>
              </w:rPr>
              <w:t>2</w:t>
            </w:r>
            <w:r>
              <w:t>26</w:t>
            </w:r>
          </w:p>
        </w:tc>
        <w:tc>
          <w:tcPr>
            <w:tcW w:w="2586" w:type="pct"/>
            <w:vAlign w:val="center"/>
          </w:tcPr>
          <w:p w14:paraId="75ABC662">
            <w:pPr>
              <w:pStyle w:val="557"/>
            </w:pPr>
            <w:r>
              <w:rPr>
                <w:rFonts w:hint="eastAsia"/>
              </w:rPr>
              <w:t>煤气冷却单元、硫回收单元、合成气压缩机透平抽汽</w:t>
            </w:r>
          </w:p>
        </w:tc>
      </w:tr>
      <w:tr w14:paraId="504F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Align w:val="center"/>
          </w:tcPr>
          <w:p w14:paraId="7EF03D33">
            <w:pPr>
              <w:pStyle w:val="557"/>
            </w:pPr>
            <w:r>
              <w:rPr>
                <w:rFonts w:hint="eastAsia"/>
              </w:rPr>
              <w:t>3</w:t>
            </w:r>
          </w:p>
        </w:tc>
        <w:tc>
          <w:tcPr>
            <w:tcW w:w="667" w:type="pct"/>
            <w:vAlign w:val="center"/>
          </w:tcPr>
          <w:p w14:paraId="6168D48C">
            <w:pPr>
              <w:pStyle w:val="557"/>
            </w:pPr>
            <w:r>
              <w:t>低压蒸汽</w:t>
            </w:r>
          </w:p>
        </w:tc>
        <w:tc>
          <w:tcPr>
            <w:tcW w:w="667" w:type="pct"/>
            <w:vAlign w:val="center"/>
          </w:tcPr>
          <w:p w14:paraId="0DAEE4FD">
            <w:pPr>
              <w:pStyle w:val="557"/>
            </w:pPr>
            <w:r>
              <w:t>1.5</w:t>
            </w:r>
          </w:p>
        </w:tc>
        <w:tc>
          <w:tcPr>
            <w:tcW w:w="688" w:type="pct"/>
            <w:vAlign w:val="center"/>
          </w:tcPr>
          <w:p w14:paraId="0993877E">
            <w:pPr>
              <w:pStyle w:val="557"/>
            </w:pPr>
            <w:r>
              <w:rPr>
                <w:rFonts w:hint="eastAsia"/>
              </w:rPr>
              <w:t>2</w:t>
            </w:r>
            <w:r>
              <w:t>00</w:t>
            </w:r>
          </w:p>
        </w:tc>
        <w:tc>
          <w:tcPr>
            <w:tcW w:w="2586" w:type="pct"/>
            <w:vAlign w:val="center"/>
          </w:tcPr>
          <w:p w14:paraId="7BC1AE7B">
            <w:pPr>
              <w:pStyle w:val="557"/>
            </w:pPr>
            <w:r>
              <w:rPr>
                <w:rFonts w:hint="eastAsia"/>
              </w:rPr>
              <w:t>上游减压供给</w:t>
            </w:r>
          </w:p>
        </w:tc>
      </w:tr>
      <w:tr w14:paraId="56E8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92" w:type="pct"/>
            <w:vAlign w:val="center"/>
          </w:tcPr>
          <w:p w14:paraId="1C2D365A">
            <w:pPr>
              <w:pStyle w:val="557"/>
            </w:pPr>
            <w:r>
              <w:rPr>
                <w:rFonts w:hint="eastAsia"/>
              </w:rPr>
              <w:t>4</w:t>
            </w:r>
          </w:p>
        </w:tc>
        <w:tc>
          <w:tcPr>
            <w:tcW w:w="667" w:type="pct"/>
            <w:vAlign w:val="center"/>
          </w:tcPr>
          <w:p w14:paraId="0D8AE361">
            <w:pPr>
              <w:pStyle w:val="557"/>
            </w:pPr>
            <w:r>
              <w:t>低低压蒸汽</w:t>
            </w:r>
          </w:p>
        </w:tc>
        <w:tc>
          <w:tcPr>
            <w:tcW w:w="667" w:type="pct"/>
            <w:vAlign w:val="center"/>
          </w:tcPr>
          <w:p w14:paraId="2441BB0F">
            <w:pPr>
              <w:pStyle w:val="557"/>
            </w:pPr>
            <w:r>
              <w:t>0.6</w:t>
            </w:r>
          </w:p>
        </w:tc>
        <w:tc>
          <w:tcPr>
            <w:tcW w:w="688" w:type="pct"/>
            <w:vAlign w:val="center"/>
          </w:tcPr>
          <w:p w14:paraId="08B1F87B">
            <w:pPr>
              <w:pStyle w:val="557"/>
            </w:pPr>
            <w:r>
              <w:rPr>
                <w:rFonts w:hint="eastAsia"/>
              </w:rPr>
              <w:t>1</w:t>
            </w:r>
            <w:r>
              <w:t>65</w:t>
            </w:r>
          </w:p>
        </w:tc>
        <w:tc>
          <w:tcPr>
            <w:tcW w:w="2586" w:type="pct"/>
            <w:vAlign w:val="center"/>
          </w:tcPr>
          <w:p w14:paraId="2E964BD8">
            <w:pPr>
              <w:pStyle w:val="557"/>
            </w:pPr>
            <w:r>
              <w:t>CO</w:t>
            </w:r>
            <w:r>
              <w:rPr>
                <w:vertAlign w:val="subscript"/>
              </w:rPr>
              <w:t>2</w:t>
            </w:r>
            <w:r>
              <w:t>压缩机透平排汽</w:t>
            </w:r>
            <w:r>
              <w:rPr>
                <w:rFonts w:hint="eastAsia"/>
              </w:rPr>
              <w:t>、氨</w:t>
            </w:r>
            <w:r>
              <w:t>压缩机透平</w:t>
            </w:r>
            <w:r>
              <w:rPr>
                <w:rFonts w:hint="eastAsia"/>
              </w:rPr>
              <w:t>抽</w:t>
            </w:r>
            <w:r>
              <w:t>汽</w:t>
            </w:r>
            <w:r>
              <w:rPr>
                <w:rFonts w:hint="eastAsia"/>
              </w:rPr>
              <w:t>、煤气冷却单元、煤气化装置</w:t>
            </w:r>
          </w:p>
        </w:tc>
      </w:tr>
    </w:tbl>
    <w:p w14:paraId="2D391A43">
      <w:pPr>
        <w:pStyle w:val="98"/>
        <w:rPr>
          <w:rFonts w:hint="eastAsia"/>
        </w:rPr>
      </w:pPr>
      <w:r>
        <w:rPr>
          <w:rFonts w:hint="eastAsia"/>
        </w:rPr>
        <w:t>锅炉房</w:t>
      </w:r>
    </w:p>
    <w:p w14:paraId="02B15642">
      <w:pPr>
        <w:pStyle w:val="814"/>
        <w:rPr>
          <w:rFonts w:hint="eastAsia"/>
        </w:rPr>
      </w:pPr>
      <w:bookmarkStart w:id="196" w:name="_Toc440966037"/>
      <w:r>
        <w:rPr>
          <w:rFonts w:hint="eastAsia"/>
        </w:rPr>
        <w:t>概述</w:t>
      </w:r>
    </w:p>
    <w:p w14:paraId="6846D440">
      <w:pPr>
        <w:pStyle w:val="104"/>
        <w:ind w:firstLine="512"/>
        <w:rPr>
          <w:rFonts w:hint="eastAsia" w:ascii="Times New Roman"/>
        </w:rPr>
      </w:pPr>
      <w:r>
        <w:rPr>
          <w:rFonts w:hint="eastAsia" w:ascii="Times New Roman"/>
        </w:rPr>
        <w:t>本项目设置锅炉房一座，内设2台100t/h燃气锅炉。</w:t>
      </w:r>
    </w:p>
    <w:p w14:paraId="004996E3">
      <w:pPr>
        <w:pStyle w:val="814"/>
        <w:rPr>
          <w:rFonts w:hint="eastAsia"/>
        </w:rPr>
      </w:pPr>
      <w:r>
        <w:t>建设内容</w:t>
      </w:r>
    </w:p>
    <w:p w14:paraId="222E41B5">
      <w:pPr>
        <w:pStyle w:val="104"/>
        <w:ind w:firstLine="512"/>
        <w:rPr>
          <w:rFonts w:hint="eastAsia" w:ascii="Times New Roman"/>
        </w:rPr>
      </w:pPr>
      <w:r>
        <w:rPr>
          <w:rFonts w:ascii="Times New Roman"/>
        </w:rPr>
        <w:t>锅炉拟选</w:t>
      </w:r>
      <w:r>
        <w:rPr>
          <w:rFonts w:hint="eastAsia" w:ascii="Times New Roman"/>
        </w:rPr>
        <w:t>用</w:t>
      </w:r>
      <w:r>
        <w:rPr>
          <w:rFonts w:hint="eastAsia" w:ascii="Times New Roman" w:hAnsi="Times New Roman" w:cs="Times New Roman"/>
          <w:szCs w:val="28"/>
        </w:rPr>
        <w:t>次中温次中压燃气锅炉</w:t>
      </w:r>
      <w:r>
        <w:rPr>
          <w:rFonts w:ascii="Times New Roman"/>
        </w:rPr>
        <w:t>，同步建设有脱硝设施</w:t>
      </w:r>
      <w:r>
        <w:rPr>
          <w:rFonts w:hint="eastAsia" w:ascii="Times New Roman"/>
        </w:rPr>
        <w:t>烟气经</w:t>
      </w:r>
      <w:r>
        <w:rPr>
          <w:rFonts w:ascii="Times New Roman"/>
        </w:rPr>
        <w:t>净化后排放。</w:t>
      </w:r>
    </w:p>
    <w:bookmarkEnd w:id="196"/>
    <w:p w14:paraId="639B7BEB">
      <w:pPr>
        <w:pStyle w:val="104"/>
        <w:ind w:firstLine="512"/>
        <w:rPr>
          <w:rFonts w:hint="eastAsia"/>
        </w:rPr>
      </w:pPr>
      <w:r>
        <w:rPr>
          <w:rFonts w:hint="eastAsia" w:ascii="Times New Roman"/>
        </w:rPr>
        <w:t>动力站</w:t>
      </w:r>
      <w:r>
        <w:rPr>
          <w:rFonts w:ascii="Times New Roman"/>
        </w:rPr>
        <w:t>建设工程内容见表3.3.</w:t>
      </w:r>
      <w:r>
        <w:rPr>
          <w:rFonts w:hint="eastAsia" w:ascii="Times New Roman"/>
        </w:rPr>
        <w:t>7</w:t>
      </w:r>
      <w:r>
        <w:rPr>
          <w:rFonts w:ascii="Times New Roman"/>
        </w:rPr>
        <w:t>-2</w:t>
      </w:r>
      <w:r>
        <w:rPr>
          <w:rFonts w:hint="eastAsia" w:ascii="Times New Roman"/>
        </w:rPr>
        <w:t>。</w:t>
      </w:r>
    </w:p>
    <w:p w14:paraId="5EEDD351">
      <w:pPr>
        <w:pStyle w:val="645"/>
        <w:rPr>
          <w:rFonts w:hint="eastAsia"/>
        </w:rPr>
      </w:pPr>
      <w:r>
        <w:t>表3.3.</w:t>
      </w:r>
      <w:r>
        <w:rPr>
          <w:rFonts w:hint="eastAsia"/>
        </w:rPr>
        <w:t>7</w:t>
      </w:r>
      <w:r>
        <w:t xml:space="preserve">-2    </w:t>
      </w:r>
      <w:r>
        <w:rPr>
          <w:rFonts w:hint="eastAsia"/>
        </w:rPr>
        <w:t>动力站</w:t>
      </w:r>
      <w:r>
        <w:t>工程建设内容一览表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62"/>
        <w:gridCol w:w="1507"/>
        <w:gridCol w:w="5719"/>
      </w:tblGrid>
      <w:tr w14:paraId="2C82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5" w:type="pct"/>
            <w:gridSpan w:val="3"/>
            <w:vAlign w:val="center"/>
          </w:tcPr>
          <w:p w14:paraId="64D0A84F">
            <w:pPr>
              <w:pStyle w:val="190"/>
              <w:widowControl w:val="0"/>
              <w:rPr>
                <w:rFonts w:ascii="Times New Roman" w:hAnsi="Times New Roman" w:cs="Times New Roman"/>
                <w:snapToGrid w:val="0"/>
                <w:szCs w:val="18"/>
              </w:rPr>
            </w:pPr>
            <w:r>
              <w:rPr>
                <w:rFonts w:ascii="Times New Roman" w:hAnsi="Times New Roman" w:cs="Times New Roman"/>
                <w:snapToGrid w:val="0"/>
                <w:szCs w:val="18"/>
              </w:rPr>
              <w:t>项目</w:t>
            </w:r>
          </w:p>
        </w:tc>
        <w:tc>
          <w:tcPr>
            <w:tcW w:w="3354" w:type="pct"/>
            <w:noWrap/>
            <w:vAlign w:val="center"/>
          </w:tcPr>
          <w:p w14:paraId="33D5CF64">
            <w:pPr>
              <w:pStyle w:val="190"/>
              <w:widowControl w:val="0"/>
              <w:rPr>
                <w:rFonts w:ascii="Times New Roman" w:hAnsi="Times New Roman" w:cs="Times New Roman"/>
                <w:snapToGrid w:val="0"/>
                <w:szCs w:val="18"/>
              </w:rPr>
            </w:pPr>
            <w:r>
              <w:rPr>
                <w:rFonts w:ascii="Times New Roman" w:hAnsi="Times New Roman" w:cs="Times New Roman"/>
                <w:snapToGrid w:val="0"/>
                <w:szCs w:val="18"/>
              </w:rPr>
              <w:t>建设内容</w:t>
            </w:r>
          </w:p>
        </w:tc>
      </w:tr>
      <w:tr w14:paraId="5D0D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restart"/>
            <w:vAlign w:val="center"/>
          </w:tcPr>
          <w:p w14:paraId="14BA7BE1">
            <w:pPr>
              <w:pStyle w:val="190"/>
              <w:widowControl w:val="0"/>
              <w:rPr>
                <w:rFonts w:ascii="Times New Roman" w:hAnsi="Times New Roman" w:cs="Times New Roman"/>
                <w:snapToGrid w:val="0"/>
                <w:szCs w:val="18"/>
              </w:rPr>
            </w:pPr>
            <w:r>
              <w:rPr>
                <w:rFonts w:ascii="Times New Roman" w:hAnsi="Times New Roman" w:cs="Times New Roman"/>
                <w:snapToGrid w:val="0"/>
                <w:szCs w:val="18"/>
              </w:rPr>
              <w:t>主体工程</w:t>
            </w:r>
          </w:p>
        </w:tc>
        <w:tc>
          <w:tcPr>
            <w:tcW w:w="388" w:type="pct"/>
            <w:vMerge w:val="restart"/>
            <w:vAlign w:val="center"/>
          </w:tcPr>
          <w:p w14:paraId="512F3423">
            <w:pPr>
              <w:pStyle w:val="190"/>
              <w:widowControl w:val="0"/>
              <w:rPr>
                <w:rFonts w:ascii="Times New Roman" w:hAnsi="Times New Roman" w:cs="Times New Roman"/>
                <w:snapToGrid w:val="0"/>
                <w:szCs w:val="18"/>
              </w:rPr>
            </w:pPr>
            <w:r>
              <w:rPr>
                <w:rFonts w:ascii="Times New Roman" w:hAnsi="Times New Roman" w:cs="Times New Roman"/>
                <w:snapToGrid w:val="0"/>
                <w:szCs w:val="18"/>
              </w:rPr>
              <w:t>锅炉</w:t>
            </w:r>
          </w:p>
        </w:tc>
        <w:tc>
          <w:tcPr>
            <w:tcW w:w="883" w:type="pct"/>
            <w:vAlign w:val="center"/>
          </w:tcPr>
          <w:p w14:paraId="1AF014E8">
            <w:pPr>
              <w:pStyle w:val="190"/>
              <w:widowControl w:val="0"/>
              <w:rPr>
                <w:rFonts w:ascii="Times New Roman" w:hAnsi="Times New Roman" w:cs="Times New Roman"/>
                <w:snapToGrid w:val="0"/>
                <w:szCs w:val="18"/>
              </w:rPr>
            </w:pPr>
            <w:r>
              <w:rPr>
                <w:rFonts w:ascii="Times New Roman" w:hAnsi="Times New Roman" w:cs="Times New Roman"/>
                <w:snapToGrid w:val="0"/>
                <w:szCs w:val="18"/>
              </w:rPr>
              <w:t>种类</w:t>
            </w:r>
          </w:p>
        </w:tc>
        <w:tc>
          <w:tcPr>
            <w:tcW w:w="3354" w:type="pct"/>
            <w:vAlign w:val="center"/>
          </w:tcPr>
          <w:p w14:paraId="075EDB3B">
            <w:pPr>
              <w:widowControl w:val="0"/>
              <w:jc w:val="center"/>
              <w:rPr>
                <w:rFonts w:ascii="Times New Roman" w:hAnsi="Times New Roman" w:cs="Times New Roman"/>
                <w:snapToGrid w:val="0"/>
                <w:sz w:val="18"/>
                <w:szCs w:val="18"/>
              </w:rPr>
            </w:pPr>
            <w:r>
              <w:rPr>
                <w:rFonts w:ascii="Times New Roman" w:hAnsi="Times New Roman" w:cs="Times New Roman"/>
                <w:snapToGrid w:val="0"/>
                <w:sz w:val="18"/>
                <w:szCs w:val="18"/>
              </w:rPr>
              <w:t>设置</w:t>
            </w:r>
            <w:r>
              <w:rPr>
                <w:rFonts w:hint="eastAsia" w:ascii="Times New Roman" w:hAnsi="Times New Roman" w:cs="Times New Roman"/>
                <w:snapToGrid w:val="0"/>
                <w:sz w:val="18"/>
                <w:szCs w:val="18"/>
              </w:rPr>
              <w:t>2</w:t>
            </w:r>
            <w:r>
              <w:rPr>
                <w:rFonts w:ascii="Times New Roman" w:hAnsi="Times New Roman" w:cs="Times New Roman"/>
                <w:snapToGrid w:val="0"/>
                <w:sz w:val="18"/>
                <w:szCs w:val="18"/>
              </w:rPr>
              <w:t>台</w:t>
            </w:r>
            <w:r>
              <w:rPr>
                <w:rFonts w:hint="eastAsia" w:ascii="Times New Roman" w:hAnsi="Times New Roman" w:cs="Times New Roman"/>
                <w:snapToGrid w:val="0"/>
                <w:sz w:val="18"/>
                <w:szCs w:val="18"/>
              </w:rPr>
              <w:t>1</w:t>
            </w:r>
            <w:r>
              <w:rPr>
                <w:rFonts w:ascii="Times New Roman" w:hAnsi="Times New Roman" w:cs="Times New Roman"/>
                <w:snapToGrid w:val="0"/>
                <w:sz w:val="18"/>
                <w:szCs w:val="18"/>
              </w:rPr>
              <w:t>00t/h燃</w:t>
            </w:r>
            <w:r>
              <w:rPr>
                <w:rFonts w:hint="eastAsia" w:ascii="Times New Roman" w:hAnsi="Times New Roman" w:cs="Times New Roman"/>
                <w:snapToGrid w:val="0"/>
                <w:sz w:val="18"/>
                <w:szCs w:val="18"/>
              </w:rPr>
              <w:t>气</w:t>
            </w:r>
            <w:r>
              <w:rPr>
                <w:rFonts w:ascii="Times New Roman" w:hAnsi="Times New Roman" w:cs="Times New Roman"/>
                <w:snapToGrid w:val="0"/>
                <w:sz w:val="18"/>
                <w:szCs w:val="18"/>
              </w:rPr>
              <w:t>锅炉</w:t>
            </w:r>
          </w:p>
        </w:tc>
      </w:tr>
      <w:tr w14:paraId="6E76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continue"/>
            <w:vAlign w:val="center"/>
          </w:tcPr>
          <w:p w14:paraId="5B17EC45">
            <w:pPr>
              <w:pStyle w:val="190"/>
              <w:widowControl w:val="0"/>
              <w:rPr>
                <w:rFonts w:ascii="Times New Roman" w:hAnsi="Times New Roman" w:cs="Times New Roman"/>
                <w:snapToGrid w:val="0"/>
                <w:szCs w:val="18"/>
              </w:rPr>
            </w:pPr>
          </w:p>
        </w:tc>
        <w:tc>
          <w:tcPr>
            <w:tcW w:w="388" w:type="pct"/>
            <w:vMerge w:val="continue"/>
            <w:vAlign w:val="center"/>
          </w:tcPr>
          <w:p w14:paraId="3FD00B8D">
            <w:pPr>
              <w:pStyle w:val="190"/>
              <w:widowControl w:val="0"/>
              <w:rPr>
                <w:rFonts w:ascii="Times New Roman" w:hAnsi="Times New Roman" w:cs="Times New Roman"/>
                <w:snapToGrid w:val="0"/>
                <w:szCs w:val="18"/>
              </w:rPr>
            </w:pPr>
          </w:p>
        </w:tc>
        <w:tc>
          <w:tcPr>
            <w:tcW w:w="883" w:type="pct"/>
            <w:vAlign w:val="center"/>
          </w:tcPr>
          <w:p w14:paraId="2B57FD0F">
            <w:pPr>
              <w:pStyle w:val="190"/>
              <w:widowControl w:val="0"/>
              <w:rPr>
                <w:rFonts w:ascii="Times New Roman" w:hAnsi="Times New Roman" w:cs="Times New Roman"/>
                <w:snapToGrid w:val="0"/>
                <w:szCs w:val="18"/>
              </w:rPr>
            </w:pPr>
            <w:r>
              <w:rPr>
                <w:rFonts w:ascii="Times New Roman" w:hAnsi="Times New Roman" w:cs="Times New Roman"/>
                <w:snapToGrid w:val="0"/>
                <w:szCs w:val="18"/>
              </w:rPr>
              <w:t>蒸汽量</w:t>
            </w:r>
          </w:p>
        </w:tc>
        <w:tc>
          <w:tcPr>
            <w:tcW w:w="3354" w:type="pct"/>
            <w:vAlign w:val="center"/>
          </w:tcPr>
          <w:p w14:paraId="6994044F">
            <w:pPr>
              <w:pStyle w:val="190"/>
              <w:widowControl w:val="0"/>
              <w:rPr>
                <w:rFonts w:ascii="Times New Roman" w:hAnsi="Times New Roman" w:cs="Times New Roman"/>
                <w:szCs w:val="18"/>
              </w:rPr>
            </w:pPr>
            <w:r>
              <w:rPr>
                <w:rFonts w:ascii="Times New Roman" w:hAnsi="Times New Roman" w:cs="Times New Roman"/>
                <w:snapToGrid w:val="0"/>
                <w:szCs w:val="18"/>
              </w:rPr>
              <w:t>高压蒸汽量为</w:t>
            </w:r>
            <w:r>
              <w:rPr>
                <w:rFonts w:hint="eastAsia" w:ascii="Times New Roman" w:hAnsi="Times New Roman" w:cs="Times New Roman"/>
                <w:snapToGrid w:val="0"/>
                <w:szCs w:val="18"/>
              </w:rPr>
              <w:t>2</w:t>
            </w:r>
            <w:r>
              <w:rPr>
                <w:rFonts w:ascii="Times New Roman" w:hAnsi="Times New Roman" w:cs="Times New Roman"/>
                <w:snapToGrid w:val="0"/>
                <w:szCs w:val="18"/>
              </w:rPr>
              <w:t>00t/h</w:t>
            </w:r>
          </w:p>
        </w:tc>
      </w:tr>
      <w:tr w14:paraId="60C5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restart"/>
            <w:vAlign w:val="center"/>
          </w:tcPr>
          <w:p w14:paraId="495E2606">
            <w:pPr>
              <w:pStyle w:val="190"/>
              <w:widowControl w:val="0"/>
              <w:rPr>
                <w:rFonts w:ascii="Times New Roman" w:hAnsi="Times New Roman" w:cs="Times New Roman"/>
                <w:snapToGrid w:val="0"/>
                <w:szCs w:val="18"/>
              </w:rPr>
            </w:pPr>
            <w:r>
              <w:rPr>
                <w:rFonts w:ascii="Times New Roman" w:hAnsi="Times New Roman" w:cs="Times New Roman"/>
                <w:snapToGrid w:val="0"/>
                <w:szCs w:val="18"/>
              </w:rPr>
              <w:t>环保工程</w:t>
            </w:r>
          </w:p>
        </w:tc>
        <w:tc>
          <w:tcPr>
            <w:tcW w:w="388" w:type="pct"/>
            <w:vMerge w:val="restart"/>
            <w:vAlign w:val="center"/>
          </w:tcPr>
          <w:p w14:paraId="3BE58C85">
            <w:pPr>
              <w:pStyle w:val="190"/>
              <w:widowControl w:val="0"/>
              <w:rPr>
                <w:rFonts w:ascii="Times New Roman" w:hAnsi="Times New Roman" w:cs="Times New Roman"/>
                <w:snapToGrid w:val="0"/>
                <w:szCs w:val="18"/>
              </w:rPr>
            </w:pPr>
            <w:r>
              <w:rPr>
                <w:rFonts w:ascii="Times New Roman" w:hAnsi="Times New Roman" w:cs="Times New Roman"/>
                <w:snapToGrid w:val="0"/>
                <w:szCs w:val="18"/>
              </w:rPr>
              <w:t>废气</w:t>
            </w:r>
          </w:p>
        </w:tc>
        <w:tc>
          <w:tcPr>
            <w:tcW w:w="883" w:type="pct"/>
            <w:vAlign w:val="center"/>
          </w:tcPr>
          <w:p w14:paraId="704CAA12">
            <w:pPr>
              <w:pStyle w:val="190"/>
              <w:widowControl w:val="0"/>
              <w:rPr>
                <w:rFonts w:ascii="Times New Roman" w:hAnsi="Times New Roman" w:cs="Times New Roman"/>
                <w:snapToGrid w:val="0"/>
                <w:szCs w:val="18"/>
              </w:rPr>
            </w:pPr>
            <w:r>
              <w:rPr>
                <w:rFonts w:ascii="Times New Roman" w:hAnsi="Times New Roman" w:cs="Times New Roman"/>
                <w:snapToGrid w:val="0"/>
                <w:szCs w:val="18"/>
              </w:rPr>
              <w:t>除尘措施</w:t>
            </w:r>
          </w:p>
        </w:tc>
        <w:tc>
          <w:tcPr>
            <w:tcW w:w="3354" w:type="pct"/>
            <w:vAlign w:val="center"/>
          </w:tcPr>
          <w:p w14:paraId="482579FC">
            <w:pPr>
              <w:pStyle w:val="190"/>
              <w:widowControl w:val="0"/>
              <w:rPr>
                <w:rFonts w:ascii="Times New Roman" w:hAnsi="Times New Roman" w:cs="Times New Roman"/>
                <w:snapToGrid w:val="0"/>
                <w:szCs w:val="18"/>
              </w:rPr>
            </w:pPr>
            <w:r>
              <w:rPr>
                <w:rFonts w:hint="eastAsia" w:ascii="Times New Roman" w:hAnsi="Times New Roman" w:cs="Times New Roman"/>
                <w:snapToGrid w:val="0"/>
                <w:szCs w:val="18"/>
              </w:rPr>
              <w:t>/</w:t>
            </w:r>
          </w:p>
        </w:tc>
      </w:tr>
      <w:tr w14:paraId="2524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continue"/>
            <w:vAlign w:val="center"/>
          </w:tcPr>
          <w:p w14:paraId="19735046">
            <w:pPr>
              <w:pStyle w:val="190"/>
              <w:widowControl w:val="0"/>
              <w:rPr>
                <w:rFonts w:ascii="Times New Roman" w:hAnsi="Times New Roman" w:cs="Times New Roman"/>
                <w:snapToGrid w:val="0"/>
                <w:szCs w:val="18"/>
              </w:rPr>
            </w:pPr>
          </w:p>
        </w:tc>
        <w:tc>
          <w:tcPr>
            <w:tcW w:w="388" w:type="pct"/>
            <w:vMerge w:val="continue"/>
            <w:vAlign w:val="center"/>
          </w:tcPr>
          <w:p w14:paraId="77DB4B64">
            <w:pPr>
              <w:pStyle w:val="190"/>
              <w:widowControl w:val="0"/>
              <w:rPr>
                <w:rFonts w:ascii="Times New Roman" w:hAnsi="Times New Roman" w:cs="Times New Roman"/>
                <w:snapToGrid w:val="0"/>
                <w:szCs w:val="18"/>
              </w:rPr>
            </w:pPr>
          </w:p>
        </w:tc>
        <w:tc>
          <w:tcPr>
            <w:tcW w:w="883" w:type="pct"/>
            <w:vAlign w:val="center"/>
          </w:tcPr>
          <w:p w14:paraId="32E843D9">
            <w:pPr>
              <w:pStyle w:val="190"/>
              <w:widowControl w:val="0"/>
              <w:rPr>
                <w:rFonts w:ascii="Times New Roman" w:hAnsi="Times New Roman" w:cs="Times New Roman"/>
                <w:snapToGrid w:val="0"/>
                <w:szCs w:val="18"/>
              </w:rPr>
            </w:pPr>
            <w:r>
              <w:rPr>
                <w:rFonts w:ascii="Times New Roman" w:hAnsi="Times New Roman" w:cs="Times New Roman"/>
                <w:snapToGrid w:val="0"/>
                <w:szCs w:val="18"/>
              </w:rPr>
              <w:t>脱硫系统</w:t>
            </w:r>
          </w:p>
        </w:tc>
        <w:tc>
          <w:tcPr>
            <w:tcW w:w="3354" w:type="pct"/>
            <w:vAlign w:val="center"/>
          </w:tcPr>
          <w:p w14:paraId="137FB3E0">
            <w:pPr>
              <w:pStyle w:val="190"/>
              <w:widowControl w:val="0"/>
              <w:rPr>
                <w:rFonts w:ascii="Times New Roman" w:hAnsi="Times New Roman" w:cs="Times New Roman"/>
                <w:snapToGrid w:val="0"/>
                <w:szCs w:val="18"/>
                <w:lang w:val="zh-CN"/>
              </w:rPr>
            </w:pPr>
            <w:r>
              <w:rPr>
                <w:rFonts w:hint="eastAsia" w:ascii="Times New Roman" w:hAnsi="Times New Roman" w:cs="Times New Roman"/>
                <w:snapToGrid w:val="0"/>
                <w:szCs w:val="18"/>
              </w:rPr>
              <w:t>/</w:t>
            </w:r>
          </w:p>
        </w:tc>
      </w:tr>
      <w:tr w14:paraId="3F54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continue"/>
            <w:vAlign w:val="center"/>
          </w:tcPr>
          <w:p w14:paraId="7EF43F8B">
            <w:pPr>
              <w:pStyle w:val="190"/>
              <w:widowControl w:val="0"/>
              <w:rPr>
                <w:rFonts w:ascii="Times New Roman" w:hAnsi="Times New Roman" w:cs="Times New Roman"/>
                <w:snapToGrid w:val="0"/>
                <w:szCs w:val="18"/>
              </w:rPr>
            </w:pPr>
          </w:p>
        </w:tc>
        <w:tc>
          <w:tcPr>
            <w:tcW w:w="388" w:type="pct"/>
            <w:vMerge w:val="continue"/>
            <w:vAlign w:val="center"/>
          </w:tcPr>
          <w:p w14:paraId="7B36A317">
            <w:pPr>
              <w:pStyle w:val="190"/>
              <w:widowControl w:val="0"/>
              <w:rPr>
                <w:rFonts w:ascii="Times New Roman" w:hAnsi="Times New Roman" w:cs="Times New Roman"/>
                <w:snapToGrid w:val="0"/>
                <w:szCs w:val="18"/>
              </w:rPr>
            </w:pPr>
          </w:p>
        </w:tc>
        <w:tc>
          <w:tcPr>
            <w:tcW w:w="883" w:type="pct"/>
            <w:vAlign w:val="center"/>
          </w:tcPr>
          <w:p w14:paraId="7A1BA343">
            <w:pPr>
              <w:pStyle w:val="190"/>
              <w:widowControl w:val="0"/>
              <w:rPr>
                <w:rFonts w:ascii="Times New Roman" w:hAnsi="Times New Roman" w:cs="Times New Roman"/>
                <w:snapToGrid w:val="0"/>
                <w:szCs w:val="18"/>
              </w:rPr>
            </w:pPr>
            <w:r>
              <w:rPr>
                <w:rFonts w:ascii="Times New Roman" w:hAnsi="Times New Roman" w:cs="Times New Roman"/>
                <w:szCs w:val="18"/>
              </w:rPr>
              <w:t>NOx控制措施</w:t>
            </w:r>
          </w:p>
        </w:tc>
        <w:tc>
          <w:tcPr>
            <w:tcW w:w="3354" w:type="pct"/>
            <w:vAlign w:val="center"/>
          </w:tcPr>
          <w:p w14:paraId="11532F90">
            <w:pPr>
              <w:widowControl w:val="0"/>
              <w:jc w:val="center"/>
              <w:rPr>
                <w:rFonts w:ascii="Times New Roman" w:hAnsi="Times New Roman" w:cs="Times New Roman"/>
                <w:dstrike/>
                <w:szCs w:val="18"/>
              </w:rPr>
            </w:pPr>
            <w:r>
              <w:rPr>
                <w:rFonts w:hint="eastAsia" w:ascii="Times New Roman" w:hAnsi="Times New Roman" w:cs="Times New Roman"/>
                <w:snapToGrid w:val="0"/>
                <w:sz w:val="18"/>
                <w:szCs w:val="18"/>
              </w:rPr>
              <w:t>低氮燃烧+SCR脱硝</w:t>
            </w:r>
          </w:p>
        </w:tc>
      </w:tr>
      <w:tr w14:paraId="385E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continue"/>
            <w:vAlign w:val="center"/>
          </w:tcPr>
          <w:p w14:paraId="234B3C20">
            <w:pPr>
              <w:pStyle w:val="190"/>
              <w:widowControl w:val="0"/>
              <w:rPr>
                <w:rFonts w:ascii="Times New Roman" w:hAnsi="Times New Roman" w:cs="Times New Roman"/>
                <w:snapToGrid w:val="0"/>
                <w:szCs w:val="18"/>
              </w:rPr>
            </w:pPr>
          </w:p>
        </w:tc>
        <w:tc>
          <w:tcPr>
            <w:tcW w:w="388" w:type="pct"/>
            <w:vMerge w:val="continue"/>
            <w:vAlign w:val="center"/>
          </w:tcPr>
          <w:p w14:paraId="184E548B">
            <w:pPr>
              <w:pStyle w:val="190"/>
              <w:widowControl w:val="0"/>
              <w:rPr>
                <w:rFonts w:ascii="Times New Roman" w:hAnsi="Times New Roman" w:cs="Times New Roman"/>
                <w:snapToGrid w:val="0"/>
                <w:szCs w:val="18"/>
              </w:rPr>
            </w:pPr>
          </w:p>
        </w:tc>
        <w:tc>
          <w:tcPr>
            <w:tcW w:w="883" w:type="pct"/>
            <w:vAlign w:val="center"/>
          </w:tcPr>
          <w:p w14:paraId="100E25D3">
            <w:pPr>
              <w:pStyle w:val="190"/>
              <w:widowControl w:val="0"/>
              <w:rPr>
                <w:rFonts w:ascii="Times New Roman" w:hAnsi="Times New Roman" w:cs="Times New Roman"/>
                <w:snapToGrid w:val="0"/>
                <w:szCs w:val="18"/>
              </w:rPr>
            </w:pPr>
            <w:r>
              <w:rPr>
                <w:rFonts w:ascii="Times New Roman" w:hAnsi="Times New Roman" w:cs="Times New Roman"/>
                <w:snapToGrid w:val="0"/>
                <w:szCs w:val="18"/>
              </w:rPr>
              <w:t>排气筒</w:t>
            </w:r>
          </w:p>
        </w:tc>
        <w:tc>
          <w:tcPr>
            <w:tcW w:w="3354" w:type="pct"/>
            <w:vAlign w:val="center"/>
          </w:tcPr>
          <w:p w14:paraId="09CDD484">
            <w:pPr>
              <w:pStyle w:val="190"/>
              <w:widowControl w:val="0"/>
              <w:rPr>
                <w:rFonts w:ascii="Times New Roman" w:hAnsi="Times New Roman" w:cs="Times New Roman"/>
                <w:snapToGrid w:val="0"/>
                <w:szCs w:val="18"/>
              </w:rPr>
            </w:pPr>
            <w:r>
              <w:rPr>
                <w:rFonts w:ascii="Times New Roman" w:hAnsi="Times New Roman" w:cs="Times New Roman"/>
                <w:szCs w:val="18"/>
              </w:rPr>
              <w:t>两台燃</w:t>
            </w:r>
            <w:r>
              <w:rPr>
                <w:rFonts w:hint="eastAsia" w:ascii="Times New Roman" w:hAnsi="Times New Roman" w:cs="Times New Roman"/>
                <w:szCs w:val="18"/>
              </w:rPr>
              <w:t>气</w:t>
            </w:r>
            <w:r>
              <w:rPr>
                <w:rFonts w:ascii="Times New Roman" w:hAnsi="Times New Roman" w:cs="Times New Roman"/>
                <w:szCs w:val="18"/>
              </w:rPr>
              <w:t>锅炉</w:t>
            </w:r>
            <w:r>
              <w:rPr>
                <w:rFonts w:hint="eastAsia" w:ascii="Times New Roman" w:hAnsi="Times New Roman" w:cs="Times New Roman"/>
                <w:szCs w:val="18"/>
              </w:rPr>
              <w:t>分别</w:t>
            </w:r>
            <w:r>
              <w:rPr>
                <w:rFonts w:ascii="Times New Roman" w:hAnsi="Times New Roman" w:cs="Times New Roman"/>
                <w:szCs w:val="18"/>
              </w:rPr>
              <w:t>用1</w:t>
            </w:r>
            <w:r>
              <w:rPr>
                <w:rFonts w:ascii="Times New Roman" w:hAnsi="Times New Roman" w:cs="Times New Roman"/>
                <w:snapToGrid w:val="0"/>
                <w:szCs w:val="18"/>
              </w:rPr>
              <w:t>根</w:t>
            </w:r>
            <w:r>
              <w:rPr>
                <w:rFonts w:hint="eastAsia" w:ascii="Times New Roman" w:hAnsi="Times New Roman" w:cs="Times New Roman"/>
                <w:snapToGrid w:val="0"/>
                <w:szCs w:val="18"/>
              </w:rPr>
              <w:t>35</w:t>
            </w:r>
            <w:r>
              <w:rPr>
                <w:rFonts w:ascii="Times New Roman" w:hAnsi="Times New Roman" w:cs="Times New Roman"/>
                <w:snapToGrid w:val="0"/>
                <w:szCs w:val="18"/>
              </w:rPr>
              <w:t>m高，出口内径</w:t>
            </w:r>
            <w:r>
              <w:rPr>
                <w:rFonts w:hint="eastAsia" w:ascii="Times New Roman" w:hAnsi="Times New Roman" w:cs="Times New Roman"/>
                <w:snapToGrid w:val="0"/>
                <w:szCs w:val="18"/>
              </w:rPr>
              <w:t>1.2</w:t>
            </w:r>
            <w:r>
              <w:rPr>
                <w:rFonts w:ascii="Times New Roman" w:hAnsi="Times New Roman" w:cs="Times New Roman"/>
                <w:snapToGrid w:val="0"/>
                <w:szCs w:val="18"/>
              </w:rPr>
              <w:t>m；</w:t>
            </w:r>
          </w:p>
        </w:tc>
      </w:tr>
      <w:tr w14:paraId="2A40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3" w:type="pct"/>
            <w:vMerge w:val="continue"/>
            <w:vAlign w:val="center"/>
          </w:tcPr>
          <w:p w14:paraId="1BE1156C">
            <w:pPr>
              <w:pStyle w:val="190"/>
              <w:widowControl w:val="0"/>
              <w:rPr>
                <w:rFonts w:ascii="Times New Roman" w:hAnsi="Times New Roman" w:cs="Times New Roman"/>
                <w:snapToGrid w:val="0"/>
                <w:szCs w:val="18"/>
              </w:rPr>
            </w:pPr>
          </w:p>
        </w:tc>
        <w:tc>
          <w:tcPr>
            <w:tcW w:w="1271" w:type="pct"/>
            <w:gridSpan w:val="2"/>
            <w:vAlign w:val="center"/>
          </w:tcPr>
          <w:p w14:paraId="24FF824A">
            <w:pPr>
              <w:pStyle w:val="190"/>
              <w:widowControl w:val="0"/>
              <w:rPr>
                <w:rFonts w:ascii="Times New Roman" w:hAnsi="Times New Roman" w:cs="Times New Roman"/>
                <w:szCs w:val="18"/>
              </w:rPr>
            </w:pPr>
            <w:r>
              <w:rPr>
                <w:rFonts w:ascii="Times New Roman" w:hAnsi="Times New Roman" w:cs="Times New Roman"/>
                <w:szCs w:val="18"/>
              </w:rPr>
              <w:t>噪声治理</w:t>
            </w:r>
          </w:p>
        </w:tc>
        <w:tc>
          <w:tcPr>
            <w:tcW w:w="3354" w:type="pct"/>
            <w:vAlign w:val="center"/>
          </w:tcPr>
          <w:p w14:paraId="7936113E">
            <w:pPr>
              <w:pStyle w:val="190"/>
              <w:widowControl w:val="0"/>
              <w:rPr>
                <w:rFonts w:ascii="Times New Roman" w:hAnsi="Times New Roman" w:cs="Times New Roman"/>
                <w:szCs w:val="18"/>
              </w:rPr>
            </w:pPr>
            <w:r>
              <w:rPr>
                <w:rFonts w:ascii="Times New Roman" w:hAnsi="Times New Roman" w:cs="Times New Roman"/>
                <w:szCs w:val="18"/>
              </w:rPr>
              <w:t>按有关规程、规定控制设备噪声。尽量选用低噪声设备，对高噪声设备根据实际情况采取基础减振、安装隔声罩，对锅炉安全阀排汽装消声器等措施；合理布局。</w:t>
            </w:r>
          </w:p>
        </w:tc>
      </w:tr>
    </w:tbl>
    <w:p w14:paraId="06690A75">
      <w:pPr>
        <w:pStyle w:val="97"/>
        <w:rPr>
          <w:rFonts w:hint="eastAsia"/>
        </w:rPr>
      </w:pPr>
      <w:r>
        <w:rPr>
          <w:rFonts w:hint="eastAsia"/>
        </w:rPr>
        <w:t>制冷站</w:t>
      </w:r>
    </w:p>
    <w:p w14:paraId="06C2D405">
      <w:pPr>
        <w:pStyle w:val="98"/>
        <w:rPr>
          <w:rFonts w:hint="eastAsia"/>
        </w:rPr>
      </w:pPr>
      <w:r>
        <w:rPr>
          <w:rFonts w:hint="eastAsia"/>
        </w:rPr>
        <w:t>工艺</w:t>
      </w:r>
    </w:p>
    <w:p w14:paraId="7B4C690D">
      <w:pPr>
        <w:spacing w:line="360" w:lineRule="auto"/>
        <w:ind w:firstLine="480" w:firstLineChars="200"/>
        <w:rPr>
          <w:rFonts w:ascii="Times New Roman" w:hAnsi="Times New Roman" w:cs="Times New Roman"/>
        </w:rPr>
      </w:pPr>
      <w:r>
        <w:rPr>
          <w:rFonts w:hint="eastAsia" w:ascii="Times New Roman" w:hAnsi="Times New Roman" w:cs="Times New Roman"/>
        </w:rPr>
        <w:t>本制冷站（压缩制冷）的主要任务是为氨合成和低温甲醇洗两工段系统提供冷量，为满足工艺生产需要，制冷用液态氨由本工段氨压缩机配套的冷凝器冷凝后供给。冷量等级见下表：</w:t>
      </w:r>
    </w:p>
    <w:p w14:paraId="3D67227E">
      <w:pPr>
        <w:pStyle w:val="645"/>
        <w:rPr>
          <w:rFonts w:hint="eastAsia"/>
        </w:rPr>
      </w:pPr>
      <w:r>
        <w:t>表3.3.</w:t>
      </w:r>
      <w:r>
        <w:rPr>
          <w:rFonts w:hint="eastAsia"/>
        </w:rPr>
        <w:t>8-1</w:t>
      </w:r>
      <w:r>
        <w:t xml:space="preserve">    用冷负荷及参数表</w:t>
      </w:r>
    </w:p>
    <w:tbl>
      <w:tblPr>
        <w:tblStyle w:val="6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1"/>
        <w:gridCol w:w="2843"/>
        <w:gridCol w:w="2486"/>
        <w:gridCol w:w="1062"/>
        <w:gridCol w:w="1067"/>
      </w:tblGrid>
      <w:tr w14:paraId="02E3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623" w:type="pct"/>
            <w:vAlign w:val="center"/>
          </w:tcPr>
          <w:p w14:paraId="38A2FE89">
            <w:pPr>
              <w:jc w:val="center"/>
              <w:rPr>
                <w:rFonts w:ascii="Times New Roman" w:hAnsi="Times New Roman" w:cs="Times New Roman"/>
                <w:sz w:val="18"/>
                <w:szCs w:val="18"/>
              </w:rPr>
            </w:pPr>
            <w:r>
              <w:rPr>
                <w:rFonts w:ascii="Times New Roman" w:hAnsi="Times New Roman" w:cs="Times New Roman"/>
                <w:sz w:val="18"/>
                <w:szCs w:val="18"/>
              </w:rPr>
              <w:t>序号</w:t>
            </w:r>
          </w:p>
        </w:tc>
        <w:tc>
          <w:tcPr>
            <w:tcW w:w="1668" w:type="pct"/>
            <w:vAlign w:val="center"/>
          </w:tcPr>
          <w:p w14:paraId="600BA18A">
            <w:pPr>
              <w:jc w:val="center"/>
              <w:rPr>
                <w:rFonts w:ascii="Times New Roman" w:hAnsi="Times New Roman" w:cs="Times New Roman"/>
                <w:sz w:val="18"/>
                <w:szCs w:val="18"/>
              </w:rPr>
            </w:pPr>
            <w:r>
              <w:rPr>
                <w:rFonts w:ascii="Times New Roman" w:hAnsi="Times New Roman" w:cs="Times New Roman"/>
                <w:sz w:val="18"/>
                <w:szCs w:val="18"/>
              </w:rPr>
              <w:t>用冷装置</w:t>
            </w:r>
          </w:p>
        </w:tc>
        <w:tc>
          <w:tcPr>
            <w:tcW w:w="1459" w:type="pct"/>
            <w:vAlign w:val="center"/>
          </w:tcPr>
          <w:p w14:paraId="394107D2">
            <w:pPr>
              <w:jc w:val="center"/>
              <w:rPr>
                <w:rFonts w:ascii="Times New Roman" w:hAnsi="Times New Roman" w:cs="Times New Roman"/>
                <w:sz w:val="18"/>
                <w:szCs w:val="18"/>
              </w:rPr>
            </w:pPr>
            <w:r>
              <w:rPr>
                <w:rFonts w:ascii="Times New Roman" w:hAnsi="Times New Roman" w:cs="Times New Roman"/>
                <w:sz w:val="18"/>
                <w:szCs w:val="18"/>
              </w:rPr>
              <w:t>用冷温度（蒸发温度）</w:t>
            </w:r>
          </w:p>
        </w:tc>
        <w:tc>
          <w:tcPr>
            <w:tcW w:w="623" w:type="pct"/>
            <w:vAlign w:val="center"/>
          </w:tcPr>
          <w:p w14:paraId="0ED5D138">
            <w:pPr>
              <w:jc w:val="center"/>
              <w:rPr>
                <w:rFonts w:ascii="Times New Roman" w:hAnsi="Times New Roman" w:cs="Times New Roman"/>
                <w:sz w:val="18"/>
                <w:szCs w:val="18"/>
              </w:rPr>
            </w:pPr>
            <w:r>
              <w:rPr>
                <w:rFonts w:ascii="Times New Roman" w:hAnsi="Times New Roman" w:cs="Times New Roman"/>
                <w:sz w:val="18"/>
                <w:szCs w:val="18"/>
              </w:rPr>
              <w:t>用冷量   kW</w:t>
            </w:r>
          </w:p>
        </w:tc>
        <w:tc>
          <w:tcPr>
            <w:tcW w:w="626" w:type="pct"/>
            <w:vAlign w:val="center"/>
          </w:tcPr>
          <w:p w14:paraId="3BC80139">
            <w:pPr>
              <w:jc w:val="center"/>
              <w:rPr>
                <w:rFonts w:ascii="Times New Roman" w:hAnsi="Times New Roman" w:cs="Times New Roman"/>
                <w:sz w:val="18"/>
                <w:szCs w:val="18"/>
              </w:rPr>
            </w:pPr>
            <w:r>
              <w:rPr>
                <w:rFonts w:ascii="Times New Roman" w:hAnsi="Times New Roman" w:cs="Times New Roman"/>
                <w:sz w:val="18"/>
                <w:szCs w:val="18"/>
              </w:rPr>
              <w:t>使用情况</w:t>
            </w:r>
          </w:p>
        </w:tc>
      </w:tr>
      <w:tr w14:paraId="58FBD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23" w:type="pct"/>
            <w:vAlign w:val="center"/>
          </w:tcPr>
          <w:p w14:paraId="76E98500">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1668" w:type="pct"/>
            <w:vAlign w:val="center"/>
          </w:tcPr>
          <w:p w14:paraId="77A059F8">
            <w:pPr>
              <w:jc w:val="center"/>
              <w:rPr>
                <w:rFonts w:ascii="Times New Roman" w:hAnsi="Times New Roman" w:cs="Times New Roman"/>
                <w:sz w:val="18"/>
                <w:szCs w:val="18"/>
              </w:rPr>
            </w:pPr>
            <w:r>
              <w:rPr>
                <w:rFonts w:hint="eastAsia" w:ascii="Times New Roman" w:hAnsi="Times New Roman" w:cs="Times New Roman"/>
                <w:sz w:val="18"/>
                <w:szCs w:val="18"/>
              </w:rPr>
              <w:t>低温甲醇洗工段</w:t>
            </w:r>
          </w:p>
        </w:tc>
        <w:tc>
          <w:tcPr>
            <w:tcW w:w="1459" w:type="pct"/>
            <w:vAlign w:val="center"/>
          </w:tcPr>
          <w:p w14:paraId="5DA87182">
            <w:pPr>
              <w:jc w:val="center"/>
              <w:rPr>
                <w:rFonts w:ascii="Times New Roman" w:hAnsi="Times New Roman" w:cs="Times New Roman"/>
                <w:sz w:val="18"/>
                <w:szCs w:val="18"/>
              </w:rPr>
            </w:pPr>
            <w:r>
              <w:rPr>
                <w:rFonts w:hint="eastAsia" w:ascii="Times New Roman" w:hAnsi="Times New Roman" w:cs="Times New Roman"/>
                <w:sz w:val="18"/>
                <w:szCs w:val="18"/>
              </w:rPr>
              <w:t>-38</w:t>
            </w:r>
            <w:r>
              <w:rPr>
                <w:rFonts w:ascii="Times New Roman" w:hAnsi="Times New Roman" w:cs="Times New Roman"/>
                <w:sz w:val="18"/>
                <w:szCs w:val="18"/>
              </w:rPr>
              <w:t>℃</w:t>
            </w:r>
          </w:p>
        </w:tc>
        <w:tc>
          <w:tcPr>
            <w:tcW w:w="623" w:type="pct"/>
            <w:vAlign w:val="center"/>
          </w:tcPr>
          <w:p w14:paraId="22177027">
            <w:pPr>
              <w:jc w:val="center"/>
              <w:rPr>
                <w:rFonts w:ascii="Times New Roman" w:hAnsi="Times New Roman" w:cs="Times New Roman"/>
                <w:sz w:val="18"/>
                <w:szCs w:val="18"/>
              </w:rPr>
            </w:pPr>
            <w:r>
              <w:rPr>
                <w:rFonts w:ascii="Times New Roman" w:hAnsi="Times New Roman" w:cs="Times New Roman"/>
                <w:sz w:val="18"/>
                <w:szCs w:val="18"/>
              </w:rPr>
              <w:t>3200</w:t>
            </w:r>
          </w:p>
        </w:tc>
        <w:tc>
          <w:tcPr>
            <w:tcW w:w="626" w:type="pct"/>
            <w:vAlign w:val="center"/>
          </w:tcPr>
          <w:p w14:paraId="78365F88">
            <w:pPr>
              <w:jc w:val="center"/>
              <w:rPr>
                <w:rFonts w:ascii="Times New Roman" w:hAnsi="Times New Roman" w:cs="Times New Roman"/>
                <w:sz w:val="18"/>
                <w:szCs w:val="18"/>
              </w:rPr>
            </w:pPr>
            <w:r>
              <w:rPr>
                <w:rFonts w:ascii="Times New Roman" w:hAnsi="Times New Roman" w:cs="Times New Roman"/>
                <w:sz w:val="18"/>
                <w:szCs w:val="18"/>
              </w:rPr>
              <w:t>连续</w:t>
            </w:r>
          </w:p>
        </w:tc>
      </w:tr>
      <w:tr w14:paraId="6D05C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23" w:type="pct"/>
            <w:vMerge w:val="restart"/>
            <w:vAlign w:val="center"/>
          </w:tcPr>
          <w:p w14:paraId="514D5420">
            <w:pPr>
              <w:jc w:val="center"/>
              <w:rPr>
                <w:rFonts w:ascii="Times New Roman" w:hAnsi="Times New Roman" w:cs="Times New Roman"/>
                <w:sz w:val="18"/>
                <w:szCs w:val="18"/>
              </w:rPr>
            </w:pPr>
            <w:r>
              <w:rPr>
                <w:rFonts w:ascii="Times New Roman" w:hAnsi="Times New Roman" w:cs="Times New Roman"/>
                <w:sz w:val="18"/>
                <w:szCs w:val="18"/>
              </w:rPr>
              <w:t>2</w:t>
            </w:r>
          </w:p>
        </w:tc>
        <w:tc>
          <w:tcPr>
            <w:tcW w:w="1668" w:type="pct"/>
            <w:vMerge w:val="restart"/>
            <w:vAlign w:val="center"/>
          </w:tcPr>
          <w:p w14:paraId="1EA13ED2">
            <w:pPr>
              <w:jc w:val="center"/>
              <w:rPr>
                <w:rFonts w:ascii="Times New Roman" w:hAnsi="Times New Roman" w:cs="Times New Roman"/>
                <w:sz w:val="18"/>
                <w:szCs w:val="18"/>
              </w:rPr>
            </w:pPr>
            <w:r>
              <w:rPr>
                <w:rFonts w:hint="eastAsia" w:ascii="Times New Roman" w:hAnsi="Times New Roman" w:cs="Times New Roman"/>
                <w:sz w:val="18"/>
                <w:szCs w:val="18"/>
              </w:rPr>
              <w:t>氨合成工段</w:t>
            </w:r>
          </w:p>
        </w:tc>
        <w:tc>
          <w:tcPr>
            <w:tcW w:w="1459" w:type="pct"/>
            <w:vAlign w:val="center"/>
          </w:tcPr>
          <w:p w14:paraId="2AF3C70C">
            <w:pPr>
              <w:jc w:val="center"/>
              <w:rPr>
                <w:rFonts w:ascii="Times New Roman" w:hAnsi="Times New Roman" w:cs="Times New Roman"/>
                <w:sz w:val="18"/>
                <w:szCs w:val="18"/>
              </w:rPr>
            </w:pPr>
            <w:r>
              <w:rPr>
                <w:rFonts w:ascii="Times New Roman" w:hAnsi="Times New Roman" w:cs="Times New Roman"/>
                <w:sz w:val="18"/>
                <w:szCs w:val="18"/>
              </w:rPr>
              <w:t>-</w:t>
            </w:r>
            <w:r>
              <w:rPr>
                <w:rFonts w:hint="eastAsia" w:ascii="Times New Roman" w:hAnsi="Times New Roman" w:cs="Times New Roman"/>
                <w:sz w:val="18"/>
                <w:szCs w:val="18"/>
              </w:rPr>
              <w:t>15.5</w:t>
            </w:r>
            <w:r>
              <w:rPr>
                <w:rFonts w:ascii="Times New Roman" w:hAnsi="Times New Roman" w:cs="Times New Roman"/>
                <w:sz w:val="18"/>
                <w:szCs w:val="18"/>
              </w:rPr>
              <w:t>℃</w:t>
            </w:r>
          </w:p>
        </w:tc>
        <w:tc>
          <w:tcPr>
            <w:tcW w:w="623" w:type="pct"/>
            <w:vAlign w:val="center"/>
          </w:tcPr>
          <w:p w14:paraId="6527D925">
            <w:pPr>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440</w:t>
            </w:r>
          </w:p>
        </w:tc>
        <w:tc>
          <w:tcPr>
            <w:tcW w:w="626" w:type="pct"/>
            <w:vAlign w:val="center"/>
          </w:tcPr>
          <w:p w14:paraId="44C24CB6">
            <w:pPr>
              <w:jc w:val="center"/>
              <w:rPr>
                <w:rFonts w:ascii="Times New Roman" w:hAnsi="Times New Roman" w:cs="Times New Roman"/>
                <w:sz w:val="18"/>
                <w:szCs w:val="18"/>
              </w:rPr>
            </w:pPr>
            <w:r>
              <w:rPr>
                <w:rFonts w:ascii="Times New Roman" w:hAnsi="Times New Roman" w:cs="Times New Roman"/>
                <w:sz w:val="18"/>
                <w:szCs w:val="18"/>
              </w:rPr>
              <w:t>连续</w:t>
            </w:r>
          </w:p>
        </w:tc>
      </w:tr>
      <w:tr w14:paraId="43B6F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23" w:type="pct"/>
            <w:vMerge w:val="continue"/>
            <w:vAlign w:val="center"/>
          </w:tcPr>
          <w:p w14:paraId="12BD3883">
            <w:pPr>
              <w:jc w:val="center"/>
              <w:rPr>
                <w:rFonts w:ascii="Times New Roman" w:hAnsi="Times New Roman" w:cs="Times New Roman"/>
                <w:sz w:val="18"/>
                <w:szCs w:val="18"/>
              </w:rPr>
            </w:pPr>
          </w:p>
        </w:tc>
        <w:tc>
          <w:tcPr>
            <w:tcW w:w="1668" w:type="pct"/>
            <w:vMerge w:val="continue"/>
            <w:vAlign w:val="center"/>
          </w:tcPr>
          <w:p w14:paraId="002DB0F7">
            <w:pPr>
              <w:jc w:val="center"/>
              <w:rPr>
                <w:rFonts w:ascii="Times New Roman" w:hAnsi="Times New Roman" w:cs="Times New Roman"/>
                <w:sz w:val="18"/>
                <w:szCs w:val="18"/>
              </w:rPr>
            </w:pPr>
          </w:p>
        </w:tc>
        <w:tc>
          <w:tcPr>
            <w:tcW w:w="1459" w:type="pct"/>
            <w:vAlign w:val="center"/>
          </w:tcPr>
          <w:p w14:paraId="73EAB01F">
            <w:pPr>
              <w:jc w:val="center"/>
              <w:rPr>
                <w:rFonts w:ascii="Times New Roman" w:hAnsi="Times New Roman" w:cs="Times New Roman"/>
                <w:sz w:val="18"/>
                <w:szCs w:val="18"/>
              </w:rPr>
            </w:pPr>
            <w:r>
              <w:rPr>
                <w:rFonts w:hint="eastAsia" w:ascii="Times New Roman" w:hAnsi="Times New Roman" w:cs="Times New Roman"/>
                <w:sz w:val="18"/>
                <w:szCs w:val="18"/>
              </w:rPr>
              <w:t>-0.5</w:t>
            </w:r>
            <w:r>
              <w:rPr>
                <w:rFonts w:ascii="Times New Roman" w:hAnsi="Times New Roman" w:cs="Times New Roman"/>
                <w:sz w:val="18"/>
                <w:szCs w:val="18"/>
              </w:rPr>
              <w:t>℃</w:t>
            </w:r>
          </w:p>
        </w:tc>
        <w:tc>
          <w:tcPr>
            <w:tcW w:w="623" w:type="pct"/>
            <w:vAlign w:val="center"/>
          </w:tcPr>
          <w:p w14:paraId="0D737E8A">
            <w:pPr>
              <w:jc w:val="center"/>
              <w:rPr>
                <w:rFonts w:ascii="Times New Roman" w:hAnsi="Times New Roman" w:cs="Times New Roman"/>
                <w:sz w:val="18"/>
                <w:szCs w:val="18"/>
              </w:rPr>
            </w:pPr>
            <w:r>
              <w:rPr>
                <w:rFonts w:ascii="Times New Roman" w:hAnsi="Times New Roman" w:cs="Times New Roman"/>
                <w:sz w:val="18"/>
                <w:szCs w:val="18"/>
              </w:rPr>
              <w:t>7574</w:t>
            </w:r>
          </w:p>
        </w:tc>
        <w:tc>
          <w:tcPr>
            <w:tcW w:w="626" w:type="pct"/>
            <w:vAlign w:val="center"/>
          </w:tcPr>
          <w:p w14:paraId="22CA3DF0">
            <w:pPr>
              <w:jc w:val="center"/>
              <w:rPr>
                <w:rFonts w:ascii="Times New Roman" w:hAnsi="Times New Roman" w:cs="Times New Roman"/>
                <w:sz w:val="18"/>
                <w:szCs w:val="18"/>
              </w:rPr>
            </w:pPr>
            <w:r>
              <w:rPr>
                <w:rFonts w:ascii="Times New Roman" w:hAnsi="Times New Roman" w:cs="Times New Roman"/>
                <w:sz w:val="18"/>
                <w:szCs w:val="18"/>
              </w:rPr>
              <w:t>连续</w:t>
            </w:r>
          </w:p>
        </w:tc>
      </w:tr>
    </w:tbl>
    <w:p w14:paraId="5D2715C6">
      <w:pPr>
        <w:pStyle w:val="104"/>
        <w:ind w:firstLine="512"/>
        <w:rPr>
          <w:rFonts w:hint="eastAsia" w:ascii="Times New Roman"/>
        </w:rPr>
      </w:pPr>
      <w:r>
        <w:rPr>
          <w:rFonts w:hint="eastAsia" w:ascii="Times New Roman"/>
        </w:rPr>
        <w:t>氨压缩制冷选择1台（套）离心式压缩机组，由氨压缩机及其配套的变频电机、润滑油站、压缩机段间分离器及冷却器、冷凝器、过冷器、干气密封等附属设备组成。油站采用集装式油站统一供油。系统设有保护装置，确保机组正常运行，另外油系统中还附带有高位油槽，出现事故状态时可提供3分钟正常润滑油量。</w:t>
      </w:r>
    </w:p>
    <w:p w14:paraId="3F7B3E12">
      <w:pPr>
        <w:pStyle w:val="104"/>
        <w:ind w:firstLine="512"/>
        <w:rPr>
          <w:rFonts w:hint="eastAsia" w:ascii="Times New Roman"/>
        </w:rPr>
      </w:pPr>
      <w:r>
        <w:rPr>
          <w:rFonts w:hint="eastAsia" w:ascii="Times New Roman"/>
        </w:rPr>
        <w:t>氨压缩制冷单元负责为氨合成和低温甲醇洗装置提供液态氨，主要任务是为两个项目装置提供冷量。</w:t>
      </w:r>
    </w:p>
    <w:p w14:paraId="76091D04">
      <w:pPr>
        <w:pStyle w:val="104"/>
        <w:ind w:firstLine="512"/>
        <w:rPr>
          <w:rFonts w:hint="eastAsia" w:ascii="Times New Roman"/>
        </w:rPr>
      </w:pPr>
      <w:r>
        <w:rPr>
          <w:rFonts w:hint="eastAsia" w:ascii="Times New Roman"/>
        </w:rPr>
        <w:t>氨压缩制冷单元是一个闭路循环系统，一股来自低温甲醇洗装置的气氨，压力0.068MPa(a)，温度-38℃；经一段入口分离器后进入离心式氨压缩机进行压缩。两股来自氨合成的气氨，其中第一股压力0.23MPa(a)，温度-15.5℃；经二段补气入口分离器后进入离心式氨压缩机进行压缩。第二股来自氨合成的气氨，压力0.42MPa(a)，温度-0.5℃，经三段补气入口分离器后进入离心式氨压缩机高压缸进行压缩。经过压缩之后，所有气氨压力提升至1.76 MPa(a)后进入冷却器，冷却成40℃的气氨后进入氨冷凝器，将气氨冷凝成40℃的液氨后进入氨缓冲槽，之后一股液氨送至氨合成装置；另一股液氨经过过冷器过冷至10℃之后，送至低温甲醇洗装置。</w:t>
      </w:r>
    </w:p>
    <w:p w14:paraId="56AB128B">
      <w:pPr>
        <w:pStyle w:val="104"/>
        <w:ind w:firstLine="512"/>
        <w:rPr>
          <w:rFonts w:hint="eastAsia" w:ascii="Times New Roman"/>
        </w:rPr>
      </w:pPr>
      <w:r>
        <w:rPr>
          <w:rFonts w:hint="eastAsia" w:ascii="Times New Roman"/>
        </w:rPr>
        <w:t>为提高压缩效率，压缩机设置有段间冷却器和分离器，当气体被压缩至一定压力后，温度也得到相应提高，需要将气体引出经冷却分离后再返回压缩机进一步压缩至所需压力。</w:t>
      </w:r>
    </w:p>
    <w:p w14:paraId="7BF35481">
      <w:pPr>
        <w:pStyle w:val="104"/>
        <w:ind w:firstLine="512"/>
        <w:rPr>
          <w:rFonts w:hint="eastAsia" w:ascii="Times New Roman"/>
        </w:rPr>
      </w:pPr>
      <w:r>
        <w:rPr>
          <w:rFonts w:hint="eastAsia" w:ascii="Times New Roman"/>
        </w:rPr>
        <w:t>为满足开停车、减量和事故等状态下的操作，氨压缩机设有防喘振回路和放空管线。防喘振管线分别从压缩机最终出口管线经调节阀接至压缩机三个补气入口管线。</w:t>
      </w:r>
    </w:p>
    <w:p w14:paraId="40FDDC4A">
      <w:pPr>
        <w:pStyle w:val="98"/>
        <w:rPr>
          <w:rFonts w:hint="eastAsia"/>
        </w:rPr>
      </w:pPr>
      <w:r>
        <w:rPr>
          <w:rFonts w:hint="eastAsia"/>
        </w:rPr>
        <w:t>原辅材料及公用工程</w:t>
      </w:r>
    </w:p>
    <w:p w14:paraId="65F8CD6F">
      <w:pPr>
        <w:pStyle w:val="104"/>
        <w:ind w:firstLine="512"/>
        <w:rPr>
          <w:rFonts w:hint="eastAsia" w:ascii="Times New Roman"/>
        </w:rPr>
      </w:pPr>
      <w:r>
        <w:rPr>
          <w:rFonts w:hint="eastAsia" w:ascii="Times New Roman"/>
        </w:rPr>
        <w:t>制冷站原辅材料及公用工程消耗见下表。</w:t>
      </w:r>
    </w:p>
    <w:p w14:paraId="14EE1144">
      <w:pPr>
        <w:pStyle w:val="645"/>
        <w:rPr>
          <w:rFonts w:hint="eastAsia"/>
        </w:rPr>
      </w:pPr>
      <w:r>
        <w:t>表3.3.</w:t>
      </w:r>
      <w:r>
        <w:rPr>
          <w:rFonts w:hint="eastAsia"/>
        </w:rPr>
        <w:t>8-2</w:t>
      </w:r>
      <w:r>
        <w:t xml:space="preserve">    </w:t>
      </w:r>
      <w:r>
        <w:rPr>
          <w:rFonts w:hint="eastAsia"/>
        </w:rPr>
        <w:t>原辅材料及公用工程消耗一览</w:t>
      </w:r>
      <w:r>
        <w:t>表</w:t>
      </w:r>
    </w:p>
    <w:p w14:paraId="0C190D70">
      <w:pPr>
        <w:pStyle w:val="97"/>
        <w:rPr>
          <w:rFonts w:hint="eastAsia"/>
        </w:rPr>
      </w:pPr>
      <w:r>
        <w:rPr>
          <w:rFonts w:hint="eastAsia"/>
        </w:rPr>
        <w:t>公用工程主要污染源</w:t>
      </w:r>
    </w:p>
    <w:p w14:paraId="382529DA">
      <w:pPr>
        <w:pStyle w:val="98"/>
        <w:rPr>
          <w:rFonts w:hint="eastAsia"/>
        </w:rPr>
      </w:pPr>
      <w:r>
        <w:rPr>
          <w:rFonts w:hint="eastAsia"/>
        </w:rPr>
        <w:t>废气</w:t>
      </w:r>
    </w:p>
    <w:p w14:paraId="04C35176">
      <w:pPr>
        <w:pStyle w:val="281"/>
        <w:ind w:firstLine="480"/>
      </w:pPr>
      <w:bookmarkStart w:id="197" w:name="_Hlk150648801"/>
      <w:r>
        <w:t>公用工程及辅助设施主要废气污染源包括污水处理站废气</w:t>
      </w:r>
      <w:r>
        <w:rPr>
          <w:rFonts w:hint="eastAsia"/>
        </w:rPr>
        <w:t>（G</w:t>
      </w:r>
      <w:r>
        <w:rPr>
          <w:rFonts w:hint="eastAsia"/>
          <w:vertAlign w:val="subscript"/>
        </w:rPr>
        <w:t>8-1</w:t>
      </w:r>
      <w:r>
        <w:rPr>
          <w:rFonts w:hint="eastAsia"/>
        </w:rPr>
        <w:t>）、</w:t>
      </w:r>
      <w:r>
        <w:t>循环水系统</w:t>
      </w:r>
      <w:r>
        <w:rPr>
          <w:rFonts w:hint="eastAsia" w:ascii="宋体" w:hAnsi="宋体"/>
        </w:rPr>
        <w:t>无组织排放</w:t>
      </w:r>
      <w:r>
        <w:rPr>
          <w:rFonts w:hint="eastAsia"/>
        </w:rPr>
        <w:t>（G</w:t>
      </w:r>
      <w:r>
        <w:rPr>
          <w:rFonts w:hint="eastAsia"/>
          <w:vertAlign w:val="subscript"/>
        </w:rPr>
        <w:t>8-2</w:t>
      </w:r>
      <w:r>
        <w:rPr>
          <w:rFonts w:hint="eastAsia"/>
        </w:rPr>
        <w:t>）</w:t>
      </w:r>
      <w:r>
        <w:rPr>
          <w:rFonts w:hint="eastAsia" w:ascii="宋体" w:hAnsi="宋体"/>
        </w:rPr>
        <w:t>、</w:t>
      </w:r>
      <w:r>
        <w:rPr>
          <w:rFonts w:hint="eastAsia"/>
        </w:rPr>
        <w:t>燃气锅炉废气（G</w:t>
      </w:r>
      <w:r>
        <w:rPr>
          <w:rFonts w:hint="eastAsia"/>
          <w:vertAlign w:val="subscript"/>
        </w:rPr>
        <w:t>8-3</w:t>
      </w:r>
      <w:r>
        <w:rPr>
          <w:rFonts w:hint="eastAsia"/>
        </w:rPr>
        <w:t>）、火炬废气（G</w:t>
      </w:r>
      <w:r>
        <w:rPr>
          <w:rFonts w:hint="eastAsia"/>
          <w:vertAlign w:val="subscript"/>
        </w:rPr>
        <w:t>8-4</w:t>
      </w:r>
      <w:r>
        <w:rPr>
          <w:rFonts w:hint="eastAsia"/>
        </w:rPr>
        <w:t>）等</w:t>
      </w:r>
      <w:r>
        <w:t>。</w:t>
      </w:r>
    </w:p>
    <w:p w14:paraId="5418D75C">
      <w:pPr>
        <w:pStyle w:val="814"/>
        <w:rPr>
          <w:rFonts w:hint="eastAsia"/>
          <w:snapToGrid w:val="0"/>
        </w:rPr>
      </w:pPr>
      <w:r>
        <w:t>污水处理站废气</w:t>
      </w:r>
    </w:p>
    <w:p w14:paraId="580AC6CD">
      <w:pPr>
        <w:pStyle w:val="281"/>
        <w:ind w:firstLine="480"/>
      </w:pPr>
      <w:bookmarkStart w:id="198" w:name="_Hlk162435328"/>
      <w:r>
        <w:t>拟建污水处理站运行产生的废气主要为氨、硫化氢、</w:t>
      </w:r>
      <w:r>
        <w:rPr>
          <w:rFonts w:hint="eastAsia"/>
        </w:rPr>
        <w:t>NMHC</w:t>
      </w:r>
      <w:r>
        <w:t>等污染物，对主要废气产生环节包含</w:t>
      </w:r>
      <w:r>
        <w:rPr>
          <w:rFonts w:hint="eastAsia"/>
        </w:rPr>
        <w:t>调节池</w:t>
      </w:r>
      <w:r>
        <w:t>、</w:t>
      </w:r>
      <w:r>
        <w:rPr>
          <w:rFonts w:hint="eastAsia"/>
        </w:rPr>
        <w:t>高密池、HBF</w:t>
      </w:r>
      <w:r>
        <w:t>池</w:t>
      </w:r>
      <w:r>
        <w:rPr>
          <w:rFonts w:hint="eastAsia"/>
        </w:rPr>
        <w:t>、污泥</w:t>
      </w:r>
      <w:r>
        <w:t>池等构筑物进行密封收集废气，为控制污水处理站废气无组织排放，废气收集</w:t>
      </w:r>
      <w:r>
        <w:rPr>
          <w:rFonts w:hint="eastAsia"/>
        </w:rPr>
        <w:t>（收集效率为90%）</w:t>
      </w:r>
      <w:r>
        <w:t>经</w:t>
      </w:r>
      <w:r>
        <w:rPr>
          <w:rFonts w:hint="eastAsia"/>
        </w:rPr>
        <w:t>碱洗+生物除臭系统处理</w:t>
      </w:r>
      <w:r>
        <w:t>后</w:t>
      </w:r>
      <w:r>
        <w:rPr>
          <w:rFonts w:hint="eastAsia"/>
        </w:rPr>
        <w:t>外排</w:t>
      </w:r>
      <w:r>
        <w:t>。</w:t>
      </w:r>
    </w:p>
    <w:p w14:paraId="30799345">
      <w:pPr>
        <w:pStyle w:val="281"/>
        <w:ind w:firstLine="480"/>
        <w:rPr>
          <w:rFonts w:cs="Times New Roman"/>
          <w:highlight w:val="yellow"/>
        </w:rPr>
      </w:pPr>
      <w:r>
        <w:rPr>
          <w:rFonts w:hint="eastAsia" w:cs="Times New Roman"/>
        </w:rPr>
        <w:t>污水处理站产生的NMHC</w:t>
      </w:r>
      <w:r>
        <w:rPr>
          <w:rFonts w:cs="Times New Roman"/>
        </w:rPr>
        <w:t>参考</w:t>
      </w:r>
      <w:r>
        <w:rPr>
          <w:rFonts w:hint="eastAsia" w:cs="Times New Roman"/>
        </w:rPr>
        <w:t>《排污许可证申请与核发技术规范 石化工业（H</w:t>
      </w:r>
      <w:r>
        <w:rPr>
          <w:rFonts w:cs="Times New Roman"/>
        </w:rPr>
        <w:t>J853</w:t>
      </w:r>
      <w:r>
        <w:rPr>
          <w:rFonts w:hint="eastAsia" w:cs="Times New Roman"/>
        </w:rPr>
        <w:t>-</w:t>
      </w:r>
      <w:r>
        <w:rPr>
          <w:rFonts w:cs="Times New Roman"/>
        </w:rPr>
        <w:t>2017</w:t>
      </w:r>
      <w:r>
        <w:rPr>
          <w:rFonts w:hint="eastAsia" w:cs="Times New Roman"/>
        </w:rPr>
        <w:t>）》《</w:t>
      </w:r>
      <w:bookmarkStart w:id="199" w:name="OLE_LINK7"/>
      <w:r>
        <w:rPr>
          <w:rFonts w:hint="eastAsia" w:cs="Times New Roman"/>
        </w:rPr>
        <w:t>石油炼制、石油化学工业VOCs排放量简化核算方法</w:t>
      </w:r>
      <w:bookmarkEnd w:id="199"/>
      <w:r>
        <w:rPr>
          <w:rFonts w:cs="Times New Roman"/>
        </w:rPr>
        <w:t>》（</w:t>
      </w:r>
      <w:r>
        <w:rPr>
          <w:rFonts w:hint="eastAsia"/>
        </w:rPr>
        <w:t>原</w:t>
      </w:r>
      <w:r>
        <w:rPr>
          <w:rFonts w:hint="eastAsia" w:cs="Times New Roman"/>
        </w:rPr>
        <w:t>环境保护部函环监函[</w:t>
      </w:r>
      <w:r>
        <w:rPr>
          <w:rFonts w:cs="Times New Roman"/>
        </w:rPr>
        <w:t>2015]）</w:t>
      </w:r>
      <w:r>
        <w:rPr>
          <w:rFonts w:hint="eastAsia" w:cs="Times New Roman"/>
        </w:rPr>
        <w:t>9号）计算，废水中石油类在浓度小于880mg/L，挥发性有机物产生系数为0.0225kg</w:t>
      </w:r>
      <w:r>
        <w:rPr>
          <w:rFonts w:cs="Times New Roman"/>
        </w:rPr>
        <w:t>/m</w:t>
      </w:r>
      <w:r>
        <w:rPr>
          <w:rFonts w:hint="eastAsia" w:cs="Times New Roman"/>
          <w:vertAlign w:val="superscript"/>
        </w:rPr>
        <w:t>3</w:t>
      </w:r>
      <w:r>
        <w:rPr>
          <w:rFonts w:hint="eastAsia" w:cs="Times New Roman"/>
        </w:rPr>
        <w:t>，废水处理站生物处理设施挥发性有机物产生系数为0</w:t>
      </w:r>
      <w:r>
        <w:rPr>
          <w:rFonts w:cs="Times New Roman"/>
        </w:rPr>
        <w:t>.005</w:t>
      </w:r>
      <w:bookmarkStart w:id="200" w:name="OLE_LINK10"/>
      <w:r>
        <w:rPr>
          <w:rFonts w:hint="eastAsia" w:cs="Times New Roman"/>
        </w:rPr>
        <w:t>kg</w:t>
      </w:r>
      <w:r>
        <w:rPr>
          <w:rFonts w:cs="Times New Roman"/>
        </w:rPr>
        <w:t>/m</w:t>
      </w:r>
      <w:r>
        <w:rPr>
          <w:rFonts w:hint="eastAsia" w:cs="Times New Roman"/>
          <w:vertAlign w:val="superscript"/>
        </w:rPr>
        <w:t>3</w:t>
      </w:r>
      <w:r>
        <w:rPr>
          <w:rFonts w:hint="eastAsia" w:cs="Times New Roman"/>
        </w:rPr>
        <w:t>；</w:t>
      </w:r>
      <w:bookmarkEnd w:id="200"/>
      <w:r>
        <w:rPr>
          <w:rFonts w:hint="eastAsia" w:cs="Times New Roman"/>
        </w:rPr>
        <w:t>废水处理量为113.05</w:t>
      </w:r>
      <w:r>
        <w:rPr>
          <w:rFonts w:cs="Times New Roman"/>
        </w:rPr>
        <w:t>m</w:t>
      </w:r>
      <w:r>
        <w:rPr>
          <w:rFonts w:hint="eastAsia" w:cs="Times New Roman"/>
          <w:vertAlign w:val="superscript"/>
        </w:rPr>
        <w:t>3</w:t>
      </w:r>
      <w:r>
        <w:rPr>
          <w:rFonts w:hint="eastAsia" w:cs="Times New Roman"/>
        </w:rPr>
        <w:t>/h，</w:t>
      </w:r>
      <w:r>
        <w:rPr>
          <w:rFonts w:hint="eastAsia"/>
        </w:rPr>
        <w:t>NMHC</w:t>
      </w:r>
      <w:r>
        <w:rPr>
          <w:rFonts w:hint="eastAsia" w:cs="Times New Roman"/>
        </w:rPr>
        <w:t>产生速率为3.11kg/h；</w:t>
      </w:r>
    </w:p>
    <w:p w14:paraId="43138E04">
      <w:pPr>
        <w:pStyle w:val="281"/>
        <w:ind w:firstLine="480"/>
      </w:pPr>
      <w:r>
        <w:rPr>
          <w:rFonts w:hint="eastAsia" w:cs="Times New Roman"/>
        </w:rPr>
        <w:t>污水处理站产生的</w:t>
      </w:r>
      <w:r>
        <w:rPr>
          <w:rFonts w:cs="Times New Roman"/>
        </w:rPr>
        <w:t>氨</w:t>
      </w:r>
      <w:r>
        <w:rPr>
          <w:rFonts w:hint="eastAsia" w:cs="Times New Roman"/>
        </w:rPr>
        <w:t>、硫化氢参照</w:t>
      </w:r>
      <w:r>
        <w:rPr>
          <w:rFonts w:cs="Times New Roman"/>
        </w:rPr>
        <w:t>《</w:t>
      </w:r>
      <w:r>
        <w:rPr>
          <w:rFonts w:hint="eastAsia" w:cs="Times New Roman"/>
        </w:rPr>
        <w:t>石油炼制工业废气治理工程技术规范</w:t>
      </w:r>
      <w:r>
        <w:rPr>
          <w:rFonts w:cs="Times New Roman"/>
        </w:rPr>
        <w:t>》（</w:t>
      </w:r>
      <w:r>
        <w:rPr>
          <w:rFonts w:hint="eastAsia" w:cs="Times New Roman"/>
        </w:rPr>
        <w:t>H</w:t>
      </w:r>
      <w:r>
        <w:rPr>
          <w:rFonts w:cs="Times New Roman"/>
        </w:rPr>
        <w:t>J1094-2020），污水处理过程氨的</w:t>
      </w:r>
      <w:r>
        <w:t>产生</w:t>
      </w:r>
      <w:r>
        <w:rPr>
          <w:rFonts w:cs="Times New Roman"/>
        </w:rPr>
        <w:t>系数为</w:t>
      </w:r>
      <w:r>
        <w:rPr>
          <w:rFonts w:hint="eastAsia" w:cs="Times New Roman"/>
        </w:rPr>
        <w:t>20mg</w:t>
      </w:r>
      <w:r>
        <w:rPr>
          <w:rFonts w:cs="Times New Roman"/>
        </w:rPr>
        <w:t>/m</w:t>
      </w:r>
      <w:r>
        <w:rPr>
          <w:rFonts w:cs="Times New Roman"/>
          <w:vertAlign w:val="superscript"/>
        </w:rPr>
        <w:t>3</w:t>
      </w:r>
      <w:r>
        <w:rPr>
          <w:rFonts w:hint="eastAsia" w:cs="Times New Roman"/>
        </w:rPr>
        <w:t>；</w:t>
      </w:r>
      <w:r>
        <w:t>硫化氢</w:t>
      </w:r>
      <w:r>
        <w:rPr>
          <w:rFonts w:cs="Times New Roman"/>
        </w:rPr>
        <w:t>的</w:t>
      </w:r>
      <w:r>
        <w:t>产生</w:t>
      </w:r>
      <w:r>
        <w:rPr>
          <w:rFonts w:cs="Times New Roman"/>
        </w:rPr>
        <w:t>系数为</w:t>
      </w:r>
      <w:r>
        <w:rPr>
          <w:rFonts w:hint="eastAsia" w:cs="Times New Roman"/>
        </w:rPr>
        <w:t>10mg</w:t>
      </w:r>
      <w:r>
        <w:rPr>
          <w:rFonts w:cs="Times New Roman"/>
        </w:rPr>
        <w:t>/m</w:t>
      </w:r>
      <w:r>
        <w:rPr>
          <w:rFonts w:cs="Times New Roman"/>
          <w:vertAlign w:val="superscript"/>
        </w:rPr>
        <w:t>3</w:t>
      </w:r>
      <w:r>
        <w:t>。</w:t>
      </w:r>
    </w:p>
    <w:p w14:paraId="603C0206">
      <w:pPr>
        <w:pStyle w:val="281"/>
        <w:ind w:firstLine="480"/>
      </w:pPr>
      <w:r>
        <w:t>各污水池及构筑物（</w:t>
      </w:r>
      <w:r>
        <w:rPr>
          <w:rFonts w:hint="eastAsia"/>
        </w:rPr>
        <w:t>调节池</w:t>
      </w:r>
      <w:r>
        <w:t>、</w:t>
      </w:r>
      <w:r>
        <w:rPr>
          <w:rFonts w:hint="eastAsia"/>
        </w:rPr>
        <w:t>高密池、HBF</w:t>
      </w:r>
      <w:r>
        <w:t>池</w:t>
      </w:r>
      <w:r>
        <w:rPr>
          <w:rFonts w:hint="eastAsia"/>
        </w:rPr>
        <w:t>、污泥</w:t>
      </w:r>
      <w:r>
        <w:t>池等）内产生的恶臭气体，经废气收集系统收集后，首先进入碱洗塔，吸附水溶性和酸性恶臭物质，然后</w:t>
      </w:r>
      <w:r>
        <w:rPr>
          <w:rFonts w:hint="eastAsia"/>
        </w:rPr>
        <w:t>经生物除臭装置处理</w:t>
      </w:r>
      <w:r>
        <w:t>，生物除臭装置采用微生物降解原理降解废气中有机物。经过上述系统处理的废气经排气筒高空排放。</w:t>
      </w:r>
    </w:p>
    <w:p w14:paraId="79268076">
      <w:pPr>
        <w:pStyle w:val="281"/>
        <w:ind w:firstLine="480"/>
        <w:rPr>
          <w:snapToGrid w:val="0"/>
        </w:rPr>
      </w:pPr>
      <w:r>
        <w:t>综上</w:t>
      </w:r>
      <w:r>
        <w:rPr>
          <w:rFonts w:hint="eastAsia"/>
        </w:rPr>
        <w:t>，</w:t>
      </w:r>
      <w:r>
        <w:t>污水处理站废气产排情况见表</w:t>
      </w:r>
      <w:r>
        <w:rPr>
          <w:snapToGrid w:val="0"/>
        </w:rPr>
        <w:t>3.3.</w:t>
      </w:r>
      <w:r>
        <w:rPr>
          <w:rFonts w:hint="eastAsia"/>
          <w:snapToGrid w:val="0"/>
        </w:rPr>
        <w:t>9</w:t>
      </w:r>
      <w:r>
        <w:rPr>
          <w:snapToGrid w:val="0"/>
        </w:rPr>
        <w:t>-1</w:t>
      </w:r>
      <w:r>
        <w:rPr>
          <w:rFonts w:hint="eastAsia"/>
          <w:snapToGrid w:val="0"/>
        </w:rPr>
        <w:t>。</w:t>
      </w:r>
    </w:p>
    <w:p w14:paraId="551B185E">
      <w:pPr>
        <w:pStyle w:val="535"/>
        <w:rPr>
          <w:rFonts w:hint="eastAsia"/>
          <w:color w:val="auto"/>
        </w:rPr>
      </w:pPr>
      <w:r>
        <w:rPr>
          <w:rFonts w:hint="eastAsia"/>
          <w:color w:val="auto"/>
        </w:rPr>
        <w:t>表</w:t>
      </w:r>
      <w:r>
        <w:rPr>
          <w:color w:val="auto"/>
        </w:rPr>
        <w:t>3.3.</w:t>
      </w:r>
      <w:r>
        <w:rPr>
          <w:rFonts w:hint="eastAsia"/>
          <w:color w:val="auto"/>
        </w:rPr>
        <w:t>9-1    污水处理站废气污染物产生及排放情况表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810"/>
        <w:gridCol w:w="666"/>
        <w:gridCol w:w="988"/>
        <w:gridCol w:w="900"/>
        <w:gridCol w:w="780"/>
        <w:gridCol w:w="687"/>
        <w:gridCol w:w="859"/>
        <w:gridCol w:w="816"/>
        <w:gridCol w:w="765"/>
      </w:tblGrid>
      <w:tr w14:paraId="4C23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restart"/>
            <w:vAlign w:val="center"/>
          </w:tcPr>
          <w:p w14:paraId="0B829E66">
            <w:pPr>
              <w:pStyle w:val="557"/>
            </w:pPr>
            <w:r>
              <w:t>污染源名称</w:t>
            </w:r>
          </w:p>
        </w:tc>
        <w:tc>
          <w:tcPr>
            <w:tcW w:w="810" w:type="dxa"/>
            <w:vMerge w:val="restart"/>
            <w:vAlign w:val="center"/>
          </w:tcPr>
          <w:p w14:paraId="2D037723">
            <w:pPr>
              <w:pStyle w:val="557"/>
            </w:pPr>
            <w:r>
              <w:t>污染物</w:t>
            </w:r>
          </w:p>
        </w:tc>
        <w:tc>
          <w:tcPr>
            <w:tcW w:w="666" w:type="dxa"/>
            <w:vMerge w:val="restart"/>
            <w:vAlign w:val="center"/>
          </w:tcPr>
          <w:p w14:paraId="78FE4983">
            <w:pPr>
              <w:pStyle w:val="557"/>
            </w:pPr>
            <w:r>
              <w:t>气量</w:t>
            </w:r>
          </w:p>
        </w:tc>
        <w:tc>
          <w:tcPr>
            <w:tcW w:w="2668" w:type="dxa"/>
            <w:gridSpan w:val="3"/>
            <w:noWrap/>
            <w:vAlign w:val="center"/>
          </w:tcPr>
          <w:p w14:paraId="4E571196">
            <w:pPr>
              <w:pStyle w:val="557"/>
            </w:pPr>
            <w:r>
              <w:t>污染物产生情况</w:t>
            </w:r>
          </w:p>
        </w:tc>
        <w:tc>
          <w:tcPr>
            <w:tcW w:w="687" w:type="dxa"/>
            <w:vMerge w:val="restart"/>
            <w:vAlign w:val="center"/>
          </w:tcPr>
          <w:p w14:paraId="7D4A9004">
            <w:pPr>
              <w:pStyle w:val="557"/>
            </w:pPr>
            <w:r>
              <w:t>处理方法</w:t>
            </w:r>
          </w:p>
        </w:tc>
        <w:tc>
          <w:tcPr>
            <w:tcW w:w="2440" w:type="dxa"/>
            <w:gridSpan w:val="3"/>
            <w:vAlign w:val="center"/>
          </w:tcPr>
          <w:p w14:paraId="3083D234">
            <w:pPr>
              <w:pStyle w:val="557"/>
            </w:pPr>
            <w:r>
              <w:t>生物滴滤除臭后排放情况</w:t>
            </w:r>
          </w:p>
        </w:tc>
      </w:tr>
      <w:tr w14:paraId="5AB9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192E51BF">
            <w:pPr>
              <w:pStyle w:val="557"/>
            </w:pPr>
          </w:p>
        </w:tc>
        <w:tc>
          <w:tcPr>
            <w:tcW w:w="810" w:type="dxa"/>
            <w:vMerge w:val="continue"/>
            <w:vAlign w:val="center"/>
          </w:tcPr>
          <w:p w14:paraId="2102D033">
            <w:pPr>
              <w:pStyle w:val="557"/>
            </w:pPr>
          </w:p>
        </w:tc>
        <w:tc>
          <w:tcPr>
            <w:tcW w:w="666" w:type="dxa"/>
            <w:vMerge w:val="continue"/>
            <w:vAlign w:val="center"/>
          </w:tcPr>
          <w:p w14:paraId="03F9F6C5">
            <w:pPr>
              <w:pStyle w:val="557"/>
            </w:pPr>
          </w:p>
        </w:tc>
        <w:tc>
          <w:tcPr>
            <w:tcW w:w="988" w:type="dxa"/>
            <w:vAlign w:val="center"/>
          </w:tcPr>
          <w:p w14:paraId="277C868F">
            <w:pPr>
              <w:pStyle w:val="557"/>
            </w:pPr>
            <w:r>
              <w:t>产生浓度</w:t>
            </w:r>
          </w:p>
        </w:tc>
        <w:tc>
          <w:tcPr>
            <w:tcW w:w="900" w:type="dxa"/>
            <w:vAlign w:val="center"/>
          </w:tcPr>
          <w:p w14:paraId="6F42EF1E">
            <w:pPr>
              <w:pStyle w:val="557"/>
            </w:pPr>
            <w:r>
              <w:t>产生速率</w:t>
            </w:r>
          </w:p>
        </w:tc>
        <w:tc>
          <w:tcPr>
            <w:tcW w:w="780" w:type="dxa"/>
            <w:vAlign w:val="center"/>
          </w:tcPr>
          <w:p w14:paraId="75DC4390">
            <w:pPr>
              <w:pStyle w:val="557"/>
            </w:pPr>
            <w:r>
              <w:t>产生量</w:t>
            </w:r>
          </w:p>
        </w:tc>
        <w:tc>
          <w:tcPr>
            <w:tcW w:w="687" w:type="dxa"/>
            <w:vMerge w:val="continue"/>
            <w:vAlign w:val="center"/>
          </w:tcPr>
          <w:p w14:paraId="1E18DA49">
            <w:pPr>
              <w:pStyle w:val="557"/>
            </w:pPr>
          </w:p>
        </w:tc>
        <w:tc>
          <w:tcPr>
            <w:tcW w:w="859" w:type="dxa"/>
            <w:vAlign w:val="center"/>
          </w:tcPr>
          <w:p w14:paraId="3A7AD672">
            <w:pPr>
              <w:pStyle w:val="557"/>
            </w:pPr>
            <w:r>
              <w:t>排放浓度</w:t>
            </w:r>
          </w:p>
        </w:tc>
        <w:tc>
          <w:tcPr>
            <w:tcW w:w="816" w:type="dxa"/>
            <w:vAlign w:val="center"/>
          </w:tcPr>
          <w:p w14:paraId="1581A889">
            <w:pPr>
              <w:pStyle w:val="557"/>
            </w:pPr>
            <w:r>
              <w:t>排放速率</w:t>
            </w:r>
          </w:p>
        </w:tc>
        <w:tc>
          <w:tcPr>
            <w:tcW w:w="765" w:type="dxa"/>
            <w:vAlign w:val="center"/>
          </w:tcPr>
          <w:p w14:paraId="2A2B506F">
            <w:pPr>
              <w:pStyle w:val="557"/>
            </w:pPr>
            <w:r>
              <w:t>排放量</w:t>
            </w:r>
          </w:p>
        </w:tc>
      </w:tr>
      <w:tr w14:paraId="1B6A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19DBA919">
            <w:pPr>
              <w:pStyle w:val="557"/>
            </w:pPr>
          </w:p>
        </w:tc>
        <w:tc>
          <w:tcPr>
            <w:tcW w:w="810" w:type="dxa"/>
            <w:vMerge w:val="continue"/>
            <w:vAlign w:val="center"/>
          </w:tcPr>
          <w:p w14:paraId="1AF2E785">
            <w:pPr>
              <w:pStyle w:val="557"/>
            </w:pPr>
          </w:p>
        </w:tc>
        <w:tc>
          <w:tcPr>
            <w:tcW w:w="666" w:type="dxa"/>
            <w:vMerge w:val="continue"/>
            <w:vAlign w:val="center"/>
          </w:tcPr>
          <w:p w14:paraId="73A89F12">
            <w:pPr>
              <w:pStyle w:val="557"/>
            </w:pPr>
          </w:p>
        </w:tc>
        <w:tc>
          <w:tcPr>
            <w:tcW w:w="988" w:type="dxa"/>
            <w:vAlign w:val="center"/>
          </w:tcPr>
          <w:p w14:paraId="26EB79DD">
            <w:pPr>
              <w:pStyle w:val="557"/>
            </w:pPr>
            <w:r>
              <w:t>mg/m</w:t>
            </w:r>
            <w:r>
              <w:rPr>
                <w:vertAlign w:val="superscript"/>
              </w:rPr>
              <w:t>3</w:t>
            </w:r>
          </w:p>
        </w:tc>
        <w:tc>
          <w:tcPr>
            <w:tcW w:w="900" w:type="dxa"/>
            <w:vAlign w:val="center"/>
          </w:tcPr>
          <w:p w14:paraId="32AEE4BC">
            <w:pPr>
              <w:pStyle w:val="557"/>
            </w:pPr>
            <w:r>
              <w:t>kg/h</w:t>
            </w:r>
          </w:p>
        </w:tc>
        <w:tc>
          <w:tcPr>
            <w:tcW w:w="780" w:type="dxa"/>
            <w:vAlign w:val="center"/>
          </w:tcPr>
          <w:p w14:paraId="7A89C4C7">
            <w:pPr>
              <w:pStyle w:val="557"/>
            </w:pPr>
            <w:r>
              <w:t>t/a</w:t>
            </w:r>
          </w:p>
        </w:tc>
        <w:tc>
          <w:tcPr>
            <w:tcW w:w="687" w:type="dxa"/>
            <w:vMerge w:val="continue"/>
            <w:vAlign w:val="center"/>
          </w:tcPr>
          <w:p w14:paraId="124F073F">
            <w:pPr>
              <w:pStyle w:val="557"/>
            </w:pPr>
          </w:p>
        </w:tc>
        <w:tc>
          <w:tcPr>
            <w:tcW w:w="859" w:type="dxa"/>
            <w:vAlign w:val="center"/>
          </w:tcPr>
          <w:p w14:paraId="7CD5C696">
            <w:pPr>
              <w:pStyle w:val="557"/>
            </w:pPr>
            <w:r>
              <w:t>mg/m</w:t>
            </w:r>
            <w:r>
              <w:rPr>
                <w:vertAlign w:val="superscript"/>
              </w:rPr>
              <w:t>3</w:t>
            </w:r>
          </w:p>
        </w:tc>
        <w:tc>
          <w:tcPr>
            <w:tcW w:w="816" w:type="dxa"/>
            <w:vAlign w:val="center"/>
          </w:tcPr>
          <w:p w14:paraId="30306C5E">
            <w:pPr>
              <w:pStyle w:val="557"/>
            </w:pPr>
            <w:r>
              <w:t>kg/h</w:t>
            </w:r>
          </w:p>
        </w:tc>
        <w:tc>
          <w:tcPr>
            <w:tcW w:w="765" w:type="dxa"/>
            <w:vAlign w:val="center"/>
          </w:tcPr>
          <w:p w14:paraId="4CBA2000">
            <w:pPr>
              <w:pStyle w:val="557"/>
            </w:pPr>
            <w:r>
              <w:t>t/a</w:t>
            </w:r>
          </w:p>
        </w:tc>
      </w:tr>
      <w:tr w14:paraId="2FC2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restart"/>
            <w:vAlign w:val="center"/>
          </w:tcPr>
          <w:p w14:paraId="5D3BB103">
            <w:pPr>
              <w:pStyle w:val="557"/>
            </w:pPr>
            <w:r>
              <w:t>污水处理站</w:t>
            </w:r>
          </w:p>
          <w:p w14:paraId="56029F19">
            <w:pPr>
              <w:pStyle w:val="557"/>
            </w:pPr>
            <w:r>
              <w:t>（有组织排放）</w:t>
            </w:r>
          </w:p>
        </w:tc>
        <w:tc>
          <w:tcPr>
            <w:tcW w:w="810" w:type="dxa"/>
            <w:vAlign w:val="center"/>
          </w:tcPr>
          <w:p w14:paraId="3D9E6836">
            <w:pPr>
              <w:pStyle w:val="557"/>
            </w:pPr>
            <w:r>
              <w:t>NMHC</w:t>
            </w:r>
          </w:p>
        </w:tc>
        <w:tc>
          <w:tcPr>
            <w:tcW w:w="666" w:type="dxa"/>
            <w:vMerge w:val="restart"/>
            <w:vAlign w:val="center"/>
          </w:tcPr>
          <w:p w14:paraId="0110A933">
            <w:pPr>
              <w:pStyle w:val="557"/>
            </w:pPr>
            <w:r>
              <w:t>20000</w:t>
            </w:r>
          </w:p>
        </w:tc>
        <w:tc>
          <w:tcPr>
            <w:tcW w:w="988" w:type="dxa"/>
            <w:vAlign w:val="center"/>
          </w:tcPr>
          <w:p w14:paraId="7737CB3D">
            <w:pPr>
              <w:jc w:val="center"/>
              <w:textAlignment w:val="center"/>
              <w:rPr>
                <w:rFonts w:hint="eastAsia"/>
              </w:rPr>
            </w:pPr>
            <w:r>
              <w:rPr>
                <w:rFonts w:ascii="Times New Roman" w:hAnsi="Times New Roman" w:cs="Times New Roman"/>
                <w:color w:val="000000"/>
                <w:sz w:val="18"/>
                <w:szCs w:val="18"/>
              </w:rPr>
              <w:t>140</w:t>
            </w:r>
          </w:p>
        </w:tc>
        <w:tc>
          <w:tcPr>
            <w:tcW w:w="900" w:type="dxa"/>
            <w:vAlign w:val="center"/>
          </w:tcPr>
          <w:p w14:paraId="327CC877">
            <w:pPr>
              <w:jc w:val="center"/>
              <w:textAlignment w:val="center"/>
              <w:rPr>
                <w:rFonts w:hint="eastAsia"/>
              </w:rPr>
            </w:pPr>
            <w:r>
              <w:rPr>
                <w:rFonts w:ascii="Times New Roman" w:hAnsi="Times New Roman" w:cs="Times New Roman"/>
                <w:color w:val="000000"/>
                <w:sz w:val="18"/>
                <w:szCs w:val="18"/>
              </w:rPr>
              <w:t>2.8</w:t>
            </w:r>
          </w:p>
        </w:tc>
        <w:tc>
          <w:tcPr>
            <w:tcW w:w="780" w:type="dxa"/>
            <w:vAlign w:val="center"/>
          </w:tcPr>
          <w:p w14:paraId="7823526C">
            <w:pPr>
              <w:jc w:val="center"/>
              <w:textAlignment w:val="center"/>
              <w:rPr>
                <w:rFonts w:hint="eastAsia"/>
              </w:rPr>
            </w:pPr>
            <w:r>
              <w:rPr>
                <w:rFonts w:ascii="Times New Roman" w:hAnsi="Times New Roman" w:cs="Times New Roman"/>
                <w:color w:val="000000"/>
                <w:sz w:val="18"/>
                <w:szCs w:val="18"/>
              </w:rPr>
              <w:t>22.4</w:t>
            </w:r>
          </w:p>
        </w:tc>
        <w:tc>
          <w:tcPr>
            <w:tcW w:w="687" w:type="dxa"/>
            <w:vMerge w:val="restart"/>
            <w:vAlign w:val="center"/>
          </w:tcPr>
          <w:p w14:paraId="7E1DE73A">
            <w:pPr>
              <w:pStyle w:val="557"/>
              <w:rPr>
                <w:color w:val="auto"/>
              </w:rPr>
            </w:pPr>
            <w:r>
              <w:t>碱洗+生物除臭系统</w:t>
            </w:r>
          </w:p>
        </w:tc>
        <w:tc>
          <w:tcPr>
            <w:tcW w:w="859" w:type="dxa"/>
            <w:vAlign w:val="center"/>
          </w:tcPr>
          <w:p w14:paraId="5C3C8EC9">
            <w:pPr>
              <w:jc w:val="center"/>
              <w:textAlignment w:val="center"/>
              <w:rPr>
                <w:rFonts w:hint="eastAsia"/>
              </w:rPr>
            </w:pPr>
            <w:r>
              <w:rPr>
                <w:rFonts w:ascii="Times New Roman" w:hAnsi="Times New Roman" w:cs="Times New Roman"/>
                <w:color w:val="000000"/>
                <w:sz w:val="18"/>
                <w:szCs w:val="18"/>
              </w:rPr>
              <w:t>28</w:t>
            </w:r>
          </w:p>
        </w:tc>
        <w:tc>
          <w:tcPr>
            <w:tcW w:w="816" w:type="dxa"/>
            <w:vAlign w:val="center"/>
          </w:tcPr>
          <w:p w14:paraId="1A3E9275">
            <w:pPr>
              <w:jc w:val="center"/>
              <w:textAlignment w:val="center"/>
              <w:rPr>
                <w:rFonts w:hint="eastAsia"/>
              </w:rPr>
            </w:pPr>
            <w:r>
              <w:rPr>
                <w:rFonts w:ascii="Times New Roman" w:hAnsi="Times New Roman" w:cs="Times New Roman"/>
                <w:color w:val="000000"/>
                <w:sz w:val="18"/>
                <w:szCs w:val="18"/>
              </w:rPr>
              <w:t>0.56</w:t>
            </w:r>
          </w:p>
        </w:tc>
        <w:tc>
          <w:tcPr>
            <w:tcW w:w="765" w:type="dxa"/>
            <w:vAlign w:val="center"/>
          </w:tcPr>
          <w:p w14:paraId="6D855962">
            <w:pPr>
              <w:jc w:val="center"/>
              <w:textAlignment w:val="center"/>
              <w:rPr>
                <w:rFonts w:hint="eastAsia"/>
              </w:rPr>
            </w:pPr>
            <w:r>
              <w:rPr>
                <w:rFonts w:ascii="Times New Roman" w:hAnsi="Times New Roman" w:cs="Times New Roman"/>
                <w:color w:val="000000"/>
                <w:sz w:val="18"/>
                <w:szCs w:val="18"/>
              </w:rPr>
              <w:t>4.48</w:t>
            </w:r>
          </w:p>
        </w:tc>
      </w:tr>
      <w:tr w14:paraId="0FB9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66A4EFB4">
            <w:pPr>
              <w:pStyle w:val="557"/>
            </w:pPr>
          </w:p>
        </w:tc>
        <w:tc>
          <w:tcPr>
            <w:tcW w:w="810" w:type="dxa"/>
            <w:vAlign w:val="center"/>
          </w:tcPr>
          <w:p w14:paraId="608CB5E3">
            <w:pPr>
              <w:pStyle w:val="557"/>
            </w:pPr>
            <w:r>
              <w:t>氨</w:t>
            </w:r>
          </w:p>
        </w:tc>
        <w:tc>
          <w:tcPr>
            <w:tcW w:w="666" w:type="dxa"/>
            <w:vMerge w:val="continue"/>
            <w:vAlign w:val="center"/>
          </w:tcPr>
          <w:p w14:paraId="112ABC14">
            <w:pPr>
              <w:pStyle w:val="557"/>
            </w:pPr>
          </w:p>
        </w:tc>
        <w:tc>
          <w:tcPr>
            <w:tcW w:w="988" w:type="dxa"/>
            <w:vAlign w:val="center"/>
          </w:tcPr>
          <w:p w14:paraId="2F7E1359">
            <w:pPr>
              <w:jc w:val="center"/>
              <w:textAlignment w:val="center"/>
              <w:rPr>
                <w:rFonts w:hint="eastAsia"/>
              </w:rPr>
            </w:pPr>
            <w:r>
              <w:rPr>
                <w:rFonts w:ascii="Times New Roman" w:hAnsi="Times New Roman" w:cs="Times New Roman"/>
                <w:color w:val="000000"/>
                <w:sz w:val="18"/>
                <w:szCs w:val="18"/>
              </w:rPr>
              <w:t>18</w:t>
            </w:r>
          </w:p>
        </w:tc>
        <w:tc>
          <w:tcPr>
            <w:tcW w:w="900" w:type="dxa"/>
            <w:vAlign w:val="center"/>
          </w:tcPr>
          <w:p w14:paraId="12B90D22">
            <w:pPr>
              <w:jc w:val="center"/>
              <w:textAlignment w:val="center"/>
              <w:rPr>
                <w:rFonts w:hint="eastAsia"/>
              </w:rPr>
            </w:pPr>
            <w:r>
              <w:rPr>
                <w:rFonts w:ascii="Times New Roman" w:hAnsi="Times New Roman" w:cs="Times New Roman"/>
                <w:color w:val="000000"/>
                <w:sz w:val="18"/>
                <w:szCs w:val="18"/>
              </w:rPr>
              <w:t>0.36</w:t>
            </w:r>
          </w:p>
        </w:tc>
        <w:tc>
          <w:tcPr>
            <w:tcW w:w="780" w:type="dxa"/>
            <w:vAlign w:val="center"/>
          </w:tcPr>
          <w:p w14:paraId="603995FC">
            <w:pPr>
              <w:jc w:val="center"/>
              <w:textAlignment w:val="center"/>
              <w:rPr>
                <w:rFonts w:hint="eastAsia"/>
              </w:rPr>
            </w:pPr>
            <w:r>
              <w:rPr>
                <w:rFonts w:ascii="Times New Roman" w:hAnsi="Times New Roman" w:cs="Times New Roman"/>
                <w:color w:val="000000"/>
                <w:sz w:val="18"/>
                <w:szCs w:val="18"/>
              </w:rPr>
              <w:t>2.88</w:t>
            </w:r>
          </w:p>
        </w:tc>
        <w:tc>
          <w:tcPr>
            <w:tcW w:w="687" w:type="dxa"/>
            <w:vMerge w:val="continue"/>
            <w:vAlign w:val="center"/>
          </w:tcPr>
          <w:p w14:paraId="1C3BCD13">
            <w:pPr>
              <w:pStyle w:val="557"/>
            </w:pPr>
          </w:p>
        </w:tc>
        <w:tc>
          <w:tcPr>
            <w:tcW w:w="859" w:type="dxa"/>
            <w:vAlign w:val="center"/>
          </w:tcPr>
          <w:p w14:paraId="3D37144A">
            <w:pPr>
              <w:jc w:val="center"/>
              <w:textAlignment w:val="center"/>
              <w:rPr>
                <w:rFonts w:hint="eastAsia"/>
              </w:rPr>
            </w:pPr>
            <w:r>
              <w:rPr>
                <w:rFonts w:ascii="Times New Roman" w:hAnsi="Times New Roman" w:cs="Times New Roman"/>
                <w:color w:val="000000"/>
                <w:sz w:val="18"/>
                <w:szCs w:val="18"/>
              </w:rPr>
              <w:t>0.9</w:t>
            </w:r>
          </w:p>
        </w:tc>
        <w:tc>
          <w:tcPr>
            <w:tcW w:w="816" w:type="dxa"/>
            <w:vAlign w:val="center"/>
          </w:tcPr>
          <w:p w14:paraId="0512322E">
            <w:pPr>
              <w:jc w:val="center"/>
              <w:textAlignment w:val="center"/>
              <w:rPr>
                <w:rFonts w:hint="eastAsia"/>
              </w:rPr>
            </w:pPr>
            <w:r>
              <w:rPr>
                <w:rFonts w:ascii="Times New Roman" w:hAnsi="Times New Roman" w:cs="Times New Roman"/>
                <w:color w:val="000000"/>
                <w:sz w:val="18"/>
                <w:szCs w:val="18"/>
              </w:rPr>
              <w:t>0.018</w:t>
            </w:r>
          </w:p>
        </w:tc>
        <w:tc>
          <w:tcPr>
            <w:tcW w:w="765" w:type="dxa"/>
            <w:vAlign w:val="center"/>
          </w:tcPr>
          <w:p w14:paraId="261BB347">
            <w:pPr>
              <w:jc w:val="center"/>
              <w:textAlignment w:val="center"/>
              <w:rPr>
                <w:rFonts w:hint="eastAsia"/>
              </w:rPr>
            </w:pPr>
            <w:r>
              <w:rPr>
                <w:rFonts w:ascii="Times New Roman" w:hAnsi="Times New Roman" w:cs="Times New Roman"/>
                <w:color w:val="000000"/>
                <w:sz w:val="18"/>
                <w:szCs w:val="18"/>
              </w:rPr>
              <w:t>0.144</w:t>
            </w:r>
          </w:p>
        </w:tc>
      </w:tr>
      <w:tr w14:paraId="47CE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59112451">
            <w:pPr>
              <w:pStyle w:val="557"/>
            </w:pPr>
          </w:p>
        </w:tc>
        <w:tc>
          <w:tcPr>
            <w:tcW w:w="810" w:type="dxa"/>
            <w:vAlign w:val="center"/>
          </w:tcPr>
          <w:p w14:paraId="01AB2E31">
            <w:pPr>
              <w:pStyle w:val="557"/>
            </w:pPr>
            <w:r>
              <w:t>硫化氢</w:t>
            </w:r>
          </w:p>
        </w:tc>
        <w:tc>
          <w:tcPr>
            <w:tcW w:w="666" w:type="dxa"/>
            <w:vMerge w:val="continue"/>
            <w:vAlign w:val="center"/>
          </w:tcPr>
          <w:p w14:paraId="1F17BD75">
            <w:pPr>
              <w:pStyle w:val="557"/>
            </w:pPr>
          </w:p>
        </w:tc>
        <w:tc>
          <w:tcPr>
            <w:tcW w:w="988" w:type="dxa"/>
            <w:vAlign w:val="center"/>
          </w:tcPr>
          <w:p w14:paraId="6CCBF90F">
            <w:pPr>
              <w:jc w:val="center"/>
              <w:textAlignment w:val="center"/>
              <w:rPr>
                <w:rFonts w:hint="eastAsia"/>
              </w:rPr>
            </w:pPr>
            <w:r>
              <w:rPr>
                <w:rFonts w:ascii="Times New Roman" w:hAnsi="Times New Roman" w:cs="Times New Roman"/>
                <w:color w:val="000000"/>
                <w:sz w:val="18"/>
                <w:szCs w:val="18"/>
              </w:rPr>
              <w:t>9</w:t>
            </w:r>
          </w:p>
        </w:tc>
        <w:tc>
          <w:tcPr>
            <w:tcW w:w="900" w:type="dxa"/>
            <w:vAlign w:val="center"/>
          </w:tcPr>
          <w:p w14:paraId="681EB732">
            <w:pPr>
              <w:jc w:val="center"/>
              <w:textAlignment w:val="center"/>
              <w:rPr>
                <w:rFonts w:hint="eastAsia"/>
              </w:rPr>
            </w:pPr>
            <w:r>
              <w:rPr>
                <w:rFonts w:ascii="Times New Roman" w:hAnsi="Times New Roman" w:cs="Times New Roman"/>
                <w:color w:val="000000"/>
                <w:sz w:val="18"/>
                <w:szCs w:val="18"/>
              </w:rPr>
              <w:t>0.18</w:t>
            </w:r>
          </w:p>
        </w:tc>
        <w:tc>
          <w:tcPr>
            <w:tcW w:w="780" w:type="dxa"/>
            <w:vAlign w:val="center"/>
          </w:tcPr>
          <w:p w14:paraId="7D66F804">
            <w:pPr>
              <w:jc w:val="center"/>
              <w:textAlignment w:val="center"/>
              <w:rPr>
                <w:rFonts w:hint="eastAsia"/>
              </w:rPr>
            </w:pPr>
            <w:r>
              <w:rPr>
                <w:rFonts w:ascii="Times New Roman" w:hAnsi="Times New Roman" w:cs="Times New Roman"/>
                <w:color w:val="000000"/>
                <w:sz w:val="18"/>
                <w:szCs w:val="18"/>
              </w:rPr>
              <w:t>1.44</w:t>
            </w:r>
          </w:p>
        </w:tc>
        <w:tc>
          <w:tcPr>
            <w:tcW w:w="687" w:type="dxa"/>
            <w:vMerge w:val="continue"/>
            <w:vAlign w:val="center"/>
          </w:tcPr>
          <w:p w14:paraId="72459F25">
            <w:pPr>
              <w:pStyle w:val="557"/>
            </w:pPr>
          </w:p>
        </w:tc>
        <w:tc>
          <w:tcPr>
            <w:tcW w:w="859" w:type="dxa"/>
            <w:vAlign w:val="center"/>
          </w:tcPr>
          <w:p w14:paraId="73F74BA5">
            <w:pPr>
              <w:jc w:val="center"/>
              <w:textAlignment w:val="center"/>
              <w:rPr>
                <w:rFonts w:hint="eastAsia"/>
              </w:rPr>
            </w:pPr>
            <w:r>
              <w:rPr>
                <w:rFonts w:ascii="Times New Roman" w:hAnsi="Times New Roman" w:cs="Times New Roman"/>
                <w:color w:val="000000"/>
                <w:sz w:val="18"/>
                <w:szCs w:val="18"/>
              </w:rPr>
              <w:t>0.45</w:t>
            </w:r>
          </w:p>
        </w:tc>
        <w:tc>
          <w:tcPr>
            <w:tcW w:w="816" w:type="dxa"/>
            <w:vAlign w:val="center"/>
          </w:tcPr>
          <w:p w14:paraId="711DE6DC">
            <w:pPr>
              <w:jc w:val="center"/>
              <w:textAlignment w:val="center"/>
              <w:rPr>
                <w:rFonts w:hint="eastAsia"/>
              </w:rPr>
            </w:pPr>
            <w:r>
              <w:rPr>
                <w:rFonts w:ascii="Times New Roman" w:hAnsi="Times New Roman" w:cs="Times New Roman"/>
                <w:color w:val="000000"/>
                <w:sz w:val="18"/>
                <w:szCs w:val="18"/>
              </w:rPr>
              <w:t>0.009</w:t>
            </w:r>
          </w:p>
        </w:tc>
        <w:tc>
          <w:tcPr>
            <w:tcW w:w="765" w:type="dxa"/>
            <w:vAlign w:val="center"/>
          </w:tcPr>
          <w:p w14:paraId="232E71BF">
            <w:pPr>
              <w:jc w:val="center"/>
              <w:textAlignment w:val="center"/>
              <w:rPr>
                <w:rFonts w:hint="eastAsia"/>
              </w:rPr>
            </w:pPr>
            <w:r>
              <w:rPr>
                <w:rFonts w:ascii="Times New Roman" w:hAnsi="Times New Roman" w:cs="Times New Roman"/>
                <w:color w:val="000000"/>
                <w:sz w:val="18"/>
                <w:szCs w:val="18"/>
              </w:rPr>
              <w:t>0.072</w:t>
            </w:r>
          </w:p>
        </w:tc>
      </w:tr>
      <w:tr w14:paraId="11FC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restart"/>
            <w:vAlign w:val="center"/>
          </w:tcPr>
          <w:p w14:paraId="5573D99C">
            <w:pPr>
              <w:pStyle w:val="557"/>
            </w:pPr>
            <w:r>
              <w:t>污水处理站</w:t>
            </w:r>
          </w:p>
          <w:p w14:paraId="58700CF6">
            <w:pPr>
              <w:pStyle w:val="557"/>
            </w:pPr>
            <w:r>
              <w:t>（无组织排放）</w:t>
            </w:r>
          </w:p>
        </w:tc>
        <w:tc>
          <w:tcPr>
            <w:tcW w:w="810" w:type="dxa"/>
            <w:vAlign w:val="center"/>
          </w:tcPr>
          <w:p w14:paraId="5DAE2AA8">
            <w:pPr>
              <w:pStyle w:val="557"/>
            </w:pPr>
            <w:r>
              <w:t>NMHC</w:t>
            </w:r>
          </w:p>
        </w:tc>
        <w:tc>
          <w:tcPr>
            <w:tcW w:w="666" w:type="dxa"/>
            <w:vMerge w:val="restart"/>
            <w:vAlign w:val="center"/>
          </w:tcPr>
          <w:p w14:paraId="7DA76171">
            <w:pPr>
              <w:pStyle w:val="557"/>
            </w:pPr>
            <w:r>
              <w:t>/</w:t>
            </w:r>
          </w:p>
        </w:tc>
        <w:tc>
          <w:tcPr>
            <w:tcW w:w="988" w:type="dxa"/>
            <w:noWrap/>
            <w:vAlign w:val="center"/>
          </w:tcPr>
          <w:p w14:paraId="19523A44">
            <w:pPr>
              <w:pStyle w:val="557"/>
              <w:rPr>
                <w:sz w:val="22"/>
                <w:szCs w:val="22"/>
              </w:rPr>
            </w:pPr>
            <w:r>
              <w:t>/</w:t>
            </w:r>
          </w:p>
        </w:tc>
        <w:tc>
          <w:tcPr>
            <w:tcW w:w="900" w:type="dxa"/>
            <w:vAlign w:val="center"/>
          </w:tcPr>
          <w:p w14:paraId="02921341">
            <w:pPr>
              <w:jc w:val="center"/>
              <w:textAlignment w:val="center"/>
              <w:rPr>
                <w:rFonts w:hint="eastAsia"/>
              </w:rPr>
            </w:pPr>
            <w:r>
              <w:rPr>
                <w:rFonts w:ascii="Times New Roman" w:hAnsi="Times New Roman" w:cs="Times New Roman"/>
                <w:color w:val="000000"/>
                <w:sz w:val="18"/>
                <w:szCs w:val="18"/>
              </w:rPr>
              <w:t>0.31</w:t>
            </w:r>
          </w:p>
        </w:tc>
        <w:tc>
          <w:tcPr>
            <w:tcW w:w="780" w:type="dxa"/>
            <w:vAlign w:val="center"/>
          </w:tcPr>
          <w:p w14:paraId="38F96235">
            <w:pPr>
              <w:jc w:val="center"/>
              <w:textAlignment w:val="center"/>
              <w:rPr>
                <w:rFonts w:hint="eastAsia"/>
              </w:rPr>
            </w:pPr>
            <w:r>
              <w:rPr>
                <w:rFonts w:ascii="Times New Roman" w:hAnsi="Times New Roman" w:cs="Times New Roman"/>
                <w:color w:val="000000"/>
                <w:sz w:val="18"/>
                <w:szCs w:val="18"/>
              </w:rPr>
              <w:t>2.48</w:t>
            </w:r>
          </w:p>
        </w:tc>
        <w:tc>
          <w:tcPr>
            <w:tcW w:w="687" w:type="dxa"/>
            <w:vMerge w:val="restart"/>
            <w:vAlign w:val="center"/>
          </w:tcPr>
          <w:p w14:paraId="52394A92">
            <w:pPr>
              <w:pStyle w:val="557"/>
            </w:pPr>
            <w:r>
              <w:t>/</w:t>
            </w:r>
          </w:p>
        </w:tc>
        <w:tc>
          <w:tcPr>
            <w:tcW w:w="859" w:type="dxa"/>
            <w:vAlign w:val="center"/>
          </w:tcPr>
          <w:p w14:paraId="7AEEA02C">
            <w:pPr>
              <w:pStyle w:val="557"/>
            </w:pPr>
            <w:r>
              <w:t>/</w:t>
            </w:r>
          </w:p>
        </w:tc>
        <w:tc>
          <w:tcPr>
            <w:tcW w:w="816" w:type="dxa"/>
            <w:vAlign w:val="center"/>
          </w:tcPr>
          <w:p w14:paraId="2F83AFB9">
            <w:pPr>
              <w:jc w:val="center"/>
              <w:textAlignment w:val="center"/>
              <w:rPr>
                <w:rFonts w:hint="eastAsia"/>
              </w:rPr>
            </w:pPr>
            <w:r>
              <w:rPr>
                <w:rFonts w:ascii="Times New Roman" w:hAnsi="Times New Roman" w:cs="Times New Roman"/>
                <w:color w:val="000000"/>
                <w:sz w:val="18"/>
                <w:szCs w:val="18"/>
              </w:rPr>
              <w:t>0.31</w:t>
            </w:r>
          </w:p>
        </w:tc>
        <w:tc>
          <w:tcPr>
            <w:tcW w:w="765" w:type="dxa"/>
            <w:vAlign w:val="center"/>
          </w:tcPr>
          <w:p w14:paraId="69F909DF">
            <w:pPr>
              <w:jc w:val="center"/>
              <w:textAlignment w:val="center"/>
              <w:rPr>
                <w:rFonts w:hint="eastAsia"/>
              </w:rPr>
            </w:pPr>
            <w:r>
              <w:rPr>
                <w:rFonts w:ascii="Times New Roman" w:hAnsi="Times New Roman" w:cs="Times New Roman"/>
                <w:color w:val="000000"/>
                <w:sz w:val="18"/>
                <w:szCs w:val="18"/>
              </w:rPr>
              <w:t>2.48</w:t>
            </w:r>
          </w:p>
        </w:tc>
      </w:tr>
      <w:tr w14:paraId="5B43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2312C169">
            <w:pPr>
              <w:pStyle w:val="557"/>
            </w:pPr>
          </w:p>
        </w:tc>
        <w:tc>
          <w:tcPr>
            <w:tcW w:w="810" w:type="dxa"/>
            <w:vAlign w:val="center"/>
          </w:tcPr>
          <w:p w14:paraId="21928D99">
            <w:pPr>
              <w:pStyle w:val="557"/>
            </w:pPr>
            <w:r>
              <w:t>氨</w:t>
            </w:r>
          </w:p>
        </w:tc>
        <w:tc>
          <w:tcPr>
            <w:tcW w:w="666" w:type="dxa"/>
            <w:vMerge w:val="continue"/>
            <w:vAlign w:val="center"/>
          </w:tcPr>
          <w:p w14:paraId="0E4EDFC1">
            <w:pPr>
              <w:pStyle w:val="557"/>
            </w:pPr>
          </w:p>
        </w:tc>
        <w:tc>
          <w:tcPr>
            <w:tcW w:w="988" w:type="dxa"/>
            <w:noWrap/>
            <w:vAlign w:val="center"/>
          </w:tcPr>
          <w:p w14:paraId="02EAB94C">
            <w:pPr>
              <w:pStyle w:val="557"/>
              <w:rPr>
                <w:sz w:val="22"/>
                <w:szCs w:val="22"/>
              </w:rPr>
            </w:pPr>
            <w:r>
              <w:t>/</w:t>
            </w:r>
          </w:p>
        </w:tc>
        <w:tc>
          <w:tcPr>
            <w:tcW w:w="900" w:type="dxa"/>
            <w:vAlign w:val="center"/>
          </w:tcPr>
          <w:p w14:paraId="01D34558">
            <w:pPr>
              <w:jc w:val="center"/>
              <w:textAlignment w:val="center"/>
              <w:rPr>
                <w:rFonts w:hint="eastAsia"/>
              </w:rPr>
            </w:pPr>
            <w:r>
              <w:rPr>
                <w:rFonts w:ascii="Times New Roman" w:hAnsi="Times New Roman" w:cs="Times New Roman"/>
                <w:color w:val="000000"/>
                <w:sz w:val="18"/>
                <w:szCs w:val="18"/>
              </w:rPr>
              <w:t>0.04</w:t>
            </w:r>
          </w:p>
        </w:tc>
        <w:tc>
          <w:tcPr>
            <w:tcW w:w="780" w:type="dxa"/>
            <w:vAlign w:val="center"/>
          </w:tcPr>
          <w:p w14:paraId="2118054F">
            <w:pPr>
              <w:jc w:val="center"/>
              <w:textAlignment w:val="center"/>
              <w:rPr>
                <w:rFonts w:hint="eastAsia"/>
              </w:rPr>
            </w:pPr>
            <w:r>
              <w:rPr>
                <w:rFonts w:ascii="Times New Roman" w:hAnsi="Times New Roman" w:cs="Times New Roman"/>
                <w:color w:val="000000"/>
                <w:sz w:val="18"/>
                <w:szCs w:val="18"/>
              </w:rPr>
              <w:t>0.32</w:t>
            </w:r>
          </w:p>
        </w:tc>
        <w:tc>
          <w:tcPr>
            <w:tcW w:w="687" w:type="dxa"/>
            <w:vMerge w:val="continue"/>
            <w:vAlign w:val="center"/>
          </w:tcPr>
          <w:p w14:paraId="319064FD">
            <w:pPr>
              <w:pStyle w:val="557"/>
            </w:pPr>
          </w:p>
        </w:tc>
        <w:tc>
          <w:tcPr>
            <w:tcW w:w="859" w:type="dxa"/>
            <w:vAlign w:val="center"/>
          </w:tcPr>
          <w:p w14:paraId="0B7F0013">
            <w:pPr>
              <w:pStyle w:val="557"/>
            </w:pPr>
            <w:r>
              <w:t>/</w:t>
            </w:r>
          </w:p>
        </w:tc>
        <w:tc>
          <w:tcPr>
            <w:tcW w:w="816" w:type="dxa"/>
            <w:vAlign w:val="center"/>
          </w:tcPr>
          <w:p w14:paraId="22329B4A">
            <w:pPr>
              <w:jc w:val="center"/>
              <w:textAlignment w:val="center"/>
              <w:rPr>
                <w:rFonts w:hint="eastAsia"/>
              </w:rPr>
            </w:pPr>
            <w:r>
              <w:rPr>
                <w:rFonts w:ascii="Times New Roman" w:hAnsi="Times New Roman" w:cs="Times New Roman"/>
                <w:color w:val="000000"/>
                <w:sz w:val="18"/>
                <w:szCs w:val="18"/>
              </w:rPr>
              <w:t>0.04</w:t>
            </w:r>
          </w:p>
        </w:tc>
        <w:tc>
          <w:tcPr>
            <w:tcW w:w="765" w:type="dxa"/>
            <w:vAlign w:val="center"/>
          </w:tcPr>
          <w:p w14:paraId="0A7C3D2E">
            <w:pPr>
              <w:jc w:val="center"/>
              <w:textAlignment w:val="center"/>
              <w:rPr>
                <w:rFonts w:hint="eastAsia"/>
              </w:rPr>
            </w:pPr>
            <w:r>
              <w:rPr>
                <w:rFonts w:ascii="Times New Roman" w:hAnsi="Times New Roman" w:cs="Times New Roman"/>
                <w:color w:val="000000"/>
                <w:sz w:val="18"/>
                <w:szCs w:val="18"/>
              </w:rPr>
              <w:t>0.32</w:t>
            </w:r>
          </w:p>
        </w:tc>
      </w:tr>
      <w:tr w14:paraId="0713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4" w:type="dxa"/>
            <w:vMerge w:val="continue"/>
            <w:vAlign w:val="center"/>
          </w:tcPr>
          <w:p w14:paraId="4F1B19D8">
            <w:pPr>
              <w:pStyle w:val="557"/>
            </w:pPr>
          </w:p>
        </w:tc>
        <w:tc>
          <w:tcPr>
            <w:tcW w:w="810" w:type="dxa"/>
            <w:vAlign w:val="center"/>
          </w:tcPr>
          <w:p w14:paraId="5DBB5B51">
            <w:pPr>
              <w:pStyle w:val="557"/>
            </w:pPr>
            <w:r>
              <w:t>硫化氢</w:t>
            </w:r>
          </w:p>
        </w:tc>
        <w:tc>
          <w:tcPr>
            <w:tcW w:w="666" w:type="dxa"/>
            <w:vMerge w:val="continue"/>
            <w:vAlign w:val="center"/>
          </w:tcPr>
          <w:p w14:paraId="77AB292F">
            <w:pPr>
              <w:pStyle w:val="557"/>
            </w:pPr>
          </w:p>
        </w:tc>
        <w:tc>
          <w:tcPr>
            <w:tcW w:w="988" w:type="dxa"/>
            <w:noWrap/>
            <w:vAlign w:val="center"/>
          </w:tcPr>
          <w:p w14:paraId="7C57EC74">
            <w:pPr>
              <w:pStyle w:val="557"/>
              <w:rPr>
                <w:sz w:val="22"/>
                <w:szCs w:val="22"/>
              </w:rPr>
            </w:pPr>
            <w:r>
              <w:t>/</w:t>
            </w:r>
          </w:p>
        </w:tc>
        <w:tc>
          <w:tcPr>
            <w:tcW w:w="900" w:type="dxa"/>
            <w:vAlign w:val="center"/>
          </w:tcPr>
          <w:p w14:paraId="54170C0F">
            <w:pPr>
              <w:jc w:val="center"/>
              <w:textAlignment w:val="center"/>
              <w:rPr>
                <w:rFonts w:hint="eastAsia"/>
              </w:rPr>
            </w:pPr>
            <w:r>
              <w:rPr>
                <w:rFonts w:ascii="Times New Roman" w:hAnsi="Times New Roman" w:cs="Times New Roman"/>
                <w:color w:val="000000"/>
                <w:sz w:val="18"/>
                <w:szCs w:val="18"/>
              </w:rPr>
              <w:t>0.02</w:t>
            </w:r>
          </w:p>
        </w:tc>
        <w:tc>
          <w:tcPr>
            <w:tcW w:w="780" w:type="dxa"/>
            <w:vAlign w:val="center"/>
          </w:tcPr>
          <w:p w14:paraId="13368746">
            <w:pPr>
              <w:jc w:val="center"/>
              <w:textAlignment w:val="center"/>
              <w:rPr>
                <w:rFonts w:hint="eastAsia"/>
              </w:rPr>
            </w:pPr>
            <w:r>
              <w:rPr>
                <w:rFonts w:ascii="Times New Roman" w:hAnsi="Times New Roman" w:cs="Times New Roman"/>
                <w:color w:val="000000"/>
                <w:sz w:val="18"/>
                <w:szCs w:val="18"/>
              </w:rPr>
              <w:t>0.16</w:t>
            </w:r>
          </w:p>
        </w:tc>
        <w:tc>
          <w:tcPr>
            <w:tcW w:w="687" w:type="dxa"/>
            <w:vMerge w:val="continue"/>
            <w:vAlign w:val="center"/>
          </w:tcPr>
          <w:p w14:paraId="2DF04A85">
            <w:pPr>
              <w:pStyle w:val="557"/>
            </w:pPr>
          </w:p>
        </w:tc>
        <w:tc>
          <w:tcPr>
            <w:tcW w:w="859" w:type="dxa"/>
            <w:vAlign w:val="center"/>
          </w:tcPr>
          <w:p w14:paraId="76678BBB">
            <w:pPr>
              <w:pStyle w:val="557"/>
            </w:pPr>
            <w:r>
              <w:t>/</w:t>
            </w:r>
          </w:p>
        </w:tc>
        <w:tc>
          <w:tcPr>
            <w:tcW w:w="816" w:type="dxa"/>
            <w:vAlign w:val="center"/>
          </w:tcPr>
          <w:p w14:paraId="7D6886B5">
            <w:pPr>
              <w:jc w:val="center"/>
              <w:textAlignment w:val="center"/>
              <w:rPr>
                <w:rFonts w:hint="eastAsia"/>
              </w:rPr>
            </w:pPr>
            <w:r>
              <w:rPr>
                <w:rFonts w:ascii="Times New Roman" w:hAnsi="Times New Roman" w:cs="Times New Roman"/>
                <w:color w:val="000000"/>
                <w:sz w:val="18"/>
                <w:szCs w:val="18"/>
              </w:rPr>
              <w:t>0.02</w:t>
            </w:r>
          </w:p>
        </w:tc>
        <w:tc>
          <w:tcPr>
            <w:tcW w:w="765" w:type="dxa"/>
            <w:vAlign w:val="center"/>
          </w:tcPr>
          <w:p w14:paraId="2E04BEAC">
            <w:pPr>
              <w:jc w:val="center"/>
              <w:textAlignment w:val="center"/>
              <w:rPr>
                <w:rFonts w:hint="eastAsia"/>
              </w:rPr>
            </w:pPr>
            <w:r>
              <w:rPr>
                <w:rFonts w:ascii="Times New Roman" w:hAnsi="Times New Roman" w:cs="Times New Roman"/>
                <w:color w:val="000000"/>
                <w:sz w:val="18"/>
                <w:szCs w:val="18"/>
              </w:rPr>
              <w:t>0.16</w:t>
            </w:r>
          </w:p>
        </w:tc>
      </w:tr>
      <w:bookmarkEnd w:id="198"/>
    </w:tbl>
    <w:p w14:paraId="1659A16A">
      <w:pPr>
        <w:pStyle w:val="557"/>
      </w:pPr>
      <w:bookmarkStart w:id="201" w:name="_Hlk98237581"/>
    </w:p>
    <w:p w14:paraId="079229EA">
      <w:pPr>
        <w:pStyle w:val="814"/>
        <w:rPr>
          <w:rFonts w:hint="eastAsia"/>
        </w:rPr>
      </w:pPr>
      <w:r>
        <w:t>循环水系统无组织</w:t>
      </w:r>
      <w:r>
        <w:rPr>
          <w:rFonts w:hint="eastAsia" w:ascii="Times New Roman" w:hAnsi="Times New Roman"/>
        </w:rPr>
        <w:t>挥发性有机物</w:t>
      </w:r>
    </w:p>
    <w:p w14:paraId="0D5EB7A6">
      <w:pPr>
        <w:pStyle w:val="529"/>
        <w:rPr>
          <w:rFonts w:ascii="Times New Roman" w:hAnsi="Times New Roman" w:cs="Times New Roman"/>
        </w:rPr>
      </w:pPr>
      <w:r>
        <w:rPr>
          <w:rFonts w:ascii="Times New Roman" w:hAnsi="Times New Roman" w:cs="Times New Roman"/>
        </w:rPr>
        <w:t>本项目循环冷却水挥发性有机物排放核算，通过系数法核算。</w:t>
      </w:r>
    </w:p>
    <w:p w14:paraId="05B81348">
      <w:pPr>
        <w:pStyle w:val="529"/>
        <w:rPr>
          <w:rFonts w:ascii="Times New Roman" w:hAnsi="Times New Roman" w:cs="Times New Roman"/>
        </w:rPr>
      </w:pPr>
      <w:r>
        <w:rPr>
          <w:rFonts w:ascii="Times New Roman" w:hAnsi="Times New Roman" w:cs="Times New Roman"/>
        </w:rPr>
        <w:t>《石油炼制、石油化学工业VOCs排放量简化核算方法》（原环境保护部函环监函[2015]）9号），对循环水中总烃（或石油类）进行监测并采取泄漏设备控制及循环水中总烃浓度控制的，循环水系统挥发性有机物产生系数为0.08kg/1000m</w:t>
      </w:r>
      <w:r>
        <w:rPr>
          <w:rFonts w:ascii="Times New Roman" w:hAnsi="Times New Roman" w:cs="Times New Roman"/>
          <w:vertAlign w:val="superscript"/>
        </w:rPr>
        <w:t>3</w:t>
      </w:r>
      <w:r>
        <w:rPr>
          <w:rFonts w:ascii="Times New Roman" w:hAnsi="Times New Roman" w:cs="Times New Roman"/>
        </w:rPr>
        <w:t>循环水量。本次评价要求建设单位在运行过程中必须对循环水中总烃（或石油类）进行监测并采取泄漏设备控制及循环水中总烃浓度控制，根据上述系数计算本项目循环水站挥发性有机物无组织排放量见下表。</w:t>
      </w:r>
    </w:p>
    <w:p w14:paraId="01C85893">
      <w:pPr>
        <w:pStyle w:val="541"/>
        <w:rPr>
          <w:rFonts w:hint="eastAsia"/>
        </w:rPr>
      </w:pPr>
      <w:r>
        <w:t>表3.3.</w:t>
      </w:r>
      <w:r>
        <w:rPr>
          <w:rFonts w:hint="eastAsia"/>
        </w:rPr>
        <w:t>9</w:t>
      </w:r>
      <w:r>
        <w:t>-</w:t>
      </w:r>
      <w:r>
        <w:rPr>
          <w:rFonts w:hint="eastAsia"/>
        </w:rPr>
        <w:t>2    循环水站VOCs无组织排放</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701"/>
        <w:gridCol w:w="2126"/>
        <w:gridCol w:w="1701"/>
        <w:gridCol w:w="1326"/>
      </w:tblGrid>
      <w:tr w14:paraId="1A16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668" w:type="dxa"/>
            <w:vAlign w:val="center"/>
          </w:tcPr>
          <w:p w14:paraId="7DFAA157">
            <w:pPr>
              <w:pStyle w:val="557"/>
            </w:pPr>
            <w:r>
              <w:t>名称</w:t>
            </w:r>
          </w:p>
        </w:tc>
        <w:tc>
          <w:tcPr>
            <w:tcW w:w="1701" w:type="dxa"/>
            <w:vAlign w:val="center"/>
          </w:tcPr>
          <w:p w14:paraId="130C91AE">
            <w:pPr>
              <w:pStyle w:val="557"/>
            </w:pPr>
            <w:r>
              <w:t>循环水量（m</w:t>
            </w:r>
            <w:r>
              <w:rPr>
                <w:vertAlign w:val="superscript"/>
              </w:rPr>
              <w:t>3</w:t>
            </w:r>
            <w:r>
              <w:t>/h）</w:t>
            </w:r>
          </w:p>
        </w:tc>
        <w:tc>
          <w:tcPr>
            <w:tcW w:w="2126" w:type="dxa"/>
            <w:vAlign w:val="center"/>
          </w:tcPr>
          <w:p w14:paraId="643D6932">
            <w:pPr>
              <w:pStyle w:val="557"/>
            </w:pPr>
            <w:r>
              <w:t>产生系数</w:t>
            </w:r>
          </w:p>
        </w:tc>
        <w:tc>
          <w:tcPr>
            <w:tcW w:w="1701" w:type="dxa"/>
            <w:vAlign w:val="center"/>
          </w:tcPr>
          <w:p w14:paraId="22F98AB8">
            <w:pPr>
              <w:pStyle w:val="557"/>
            </w:pPr>
            <w:r>
              <w:t>产生速率（kg/h）</w:t>
            </w:r>
          </w:p>
        </w:tc>
        <w:tc>
          <w:tcPr>
            <w:tcW w:w="1326" w:type="dxa"/>
            <w:vAlign w:val="center"/>
          </w:tcPr>
          <w:p w14:paraId="5A4B695E">
            <w:pPr>
              <w:pStyle w:val="557"/>
            </w:pPr>
            <w:r>
              <w:t>产生量（t/a）</w:t>
            </w:r>
          </w:p>
        </w:tc>
      </w:tr>
      <w:tr w14:paraId="6D2C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8" w:type="dxa"/>
            <w:vAlign w:val="center"/>
          </w:tcPr>
          <w:p w14:paraId="5E15C9B9">
            <w:pPr>
              <w:pStyle w:val="557"/>
            </w:pPr>
            <w:r>
              <w:t>循环水</w:t>
            </w:r>
            <w:r>
              <w:rPr>
                <w:rFonts w:hint="eastAsia"/>
              </w:rPr>
              <w:t>场</w:t>
            </w:r>
          </w:p>
        </w:tc>
        <w:tc>
          <w:tcPr>
            <w:tcW w:w="1701" w:type="dxa"/>
            <w:vAlign w:val="center"/>
          </w:tcPr>
          <w:p w14:paraId="04E8B80B">
            <w:pPr>
              <w:pStyle w:val="557"/>
            </w:pPr>
            <w:r>
              <w:t>4</w:t>
            </w:r>
            <w:r>
              <w:rPr>
                <w:rFonts w:hint="eastAsia"/>
              </w:rPr>
              <w:t>6000</w:t>
            </w:r>
          </w:p>
        </w:tc>
        <w:tc>
          <w:tcPr>
            <w:tcW w:w="2126" w:type="dxa"/>
            <w:vAlign w:val="center"/>
          </w:tcPr>
          <w:p w14:paraId="6EE93ECE">
            <w:pPr>
              <w:pStyle w:val="557"/>
            </w:pPr>
            <w:r>
              <w:t>0.08kg/1000m</w:t>
            </w:r>
            <w:r>
              <w:rPr>
                <w:vertAlign w:val="superscript"/>
              </w:rPr>
              <w:t>3</w:t>
            </w:r>
            <w:r>
              <w:t>循环水量</w:t>
            </w:r>
          </w:p>
        </w:tc>
        <w:tc>
          <w:tcPr>
            <w:tcW w:w="1701" w:type="dxa"/>
            <w:vAlign w:val="center"/>
          </w:tcPr>
          <w:p w14:paraId="051B699D">
            <w:pPr>
              <w:pStyle w:val="557"/>
            </w:pPr>
            <w:r>
              <w:rPr>
                <w:rFonts w:hint="eastAsia"/>
              </w:rPr>
              <w:t>3.68</w:t>
            </w:r>
          </w:p>
        </w:tc>
        <w:tc>
          <w:tcPr>
            <w:tcW w:w="1326" w:type="dxa"/>
            <w:vAlign w:val="center"/>
          </w:tcPr>
          <w:p w14:paraId="07AF5A6B">
            <w:pPr>
              <w:pStyle w:val="557"/>
            </w:pPr>
            <w:r>
              <w:rPr>
                <w:rFonts w:hint="eastAsia"/>
              </w:rPr>
              <w:t>29.44</w:t>
            </w:r>
          </w:p>
        </w:tc>
      </w:tr>
      <w:tr w14:paraId="6CC3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8" w:type="dxa"/>
            <w:vAlign w:val="center"/>
          </w:tcPr>
          <w:p w14:paraId="5F13212A">
            <w:pPr>
              <w:pStyle w:val="557"/>
            </w:pPr>
            <w:r>
              <w:rPr>
                <w:rFonts w:hint="eastAsia"/>
              </w:rPr>
              <w:t>空分</w:t>
            </w:r>
            <w:r>
              <w:t>循环水站</w:t>
            </w:r>
          </w:p>
        </w:tc>
        <w:tc>
          <w:tcPr>
            <w:tcW w:w="1701" w:type="dxa"/>
            <w:vAlign w:val="center"/>
          </w:tcPr>
          <w:p w14:paraId="7BEC2371">
            <w:pPr>
              <w:pStyle w:val="557"/>
            </w:pPr>
            <w:r>
              <w:rPr>
                <w:rFonts w:hint="eastAsia"/>
              </w:rPr>
              <w:t>4000</w:t>
            </w:r>
          </w:p>
        </w:tc>
        <w:tc>
          <w:tcPr>
            <w:tcW w:w="2126" w:type="dxa"/>
            <w:vAlign w:val="center"/>
          </w:tcPr>
          <w:p w14:paraId="2D18A86D">
            <w:pPr>
              <w:pStyle w:val="557"/>
            </w:pPr>
            <w:r>
              <w:t>0.08kg/1000m</w:t>
            </w:r>
            <w:r>
              <w:rPr>
                <w:vertAlign w:val="superscript"/>
              </w:rPr>
              <w:t>3</w:t>
            </w:r>
            <w:r>
              <w:t>循环水量</w:t>
            </w:r>
          </w:p>
        </w:tc>
        <w:tc>
          <w:tcPr>
            <w:tcW w:w="1701" w:type="dxa"/>
            <w:vAlign w:val="center"/>
          </w:tcPr>
          <w:p w14:paraId="26023989">
            <w:pPr>
              <w:pStyle w:val="557"/>
            </w:pPr>
            <w:r>
              <w:rPr>
                <w:rFonts w:hint="eastAsia"/>
              </w:rPr>
              <w:t>0.32</w:t>
            </w:r>
          </w:p>
        </w:tc>
        <w:tc>
          <w:tcPr>
            <w:tcW w:w="1326" w:type="dxa"/>
            <w:vAlign w:val="center"/>
          </w:tcPr>
          <w:p w14:paraId="3E6611BD">
            <w:pPr>
              <w:pStyle w:val="557"/>
            </w:pPr>
            <w:r>
              <w:rPr>
                <w:rFonts w:hint="eastAsia"/>
              </w:rPr>
              <w:t>2.56</w:t>
            </w:r>
          </w:p>
        </w:tc>
      </w:tr>
      <w:bookmarkEnd w:id="201"/>
    </w:tbl>
    <w:p w14:paraId="1D309678">
      <w:pPr>
        <w:pStyle w:val="814"/>
        <w:rPr>
          <w:rFonts w:hint="eastAsia"/>
          <w:snapToGrid w:val="0"/>
        </w:rPr>
      </w:pPr>
      <w:r>
        <w:rPr>
          <w:rFonts w:hint="eastAsia"/>
          <w:snapToGrid w:val="0"/>
        </w:rPr>
        <w:t>锅炉烟气</w:t>
      </w:r>
    </w:p>
    <w:p w14:paraId="6C092F77">
      <w:pPr>
        <w:pStyle w:val="281"/>
        <w:ind w:firstLine="480"/>
        <w:rPr>
          <w:snapToGrid w:val="0"/>
          <w:highlight w:val="yellow"/>
        </w:rPr>
      </w:pPr>
      <w:r>
        <w:rPr>
          <w:rFonts w:hint="eastAsia"/>
          <w:snapToGrid w:val="0"/>
        </w:rPr>
        <w:t>本项目设置两台100t/h燃气锅炉，锅炉燃料为项目自产燃料气，燃料气用量均为13561.6万立方米/年，项目燃气锅炉年运行时间为8000小时。根据2021年6月9日生态环境部《关于发布排放源统计调查产排污核算方法和系数手册的公告》(生态环境部公告2021第24号)“4430 工业锅炉(热力生产和供应行业)产污系数表-燃气工业锅炉”，工业废气量：107753标立方米/万立方米-原料，氮氧化物：3.03千克/万立方米-原料(低氮燃烧)；颗粒物排放量根据《北京环境总体规划研究》采用产排污系数法核算(颗粒物排污系数为0.45千克/万立方米-原料)。由此计算两个锅炉废气产生量均为146130.31万立方米/年。</w:t>
      </w:r>
    </w:p>
    <w:p w14:paraId="376ED913">
      <w:pPr>
        <w:pStyle w:val="814"/>
        <w:rPr>
          <w:rFonts w:hint="eastAsia"/>
          <w:snapToGrid w:val="0"/>
        </w:rPr>
      </w:pPr>
      <w:r>
        <w:rPr>
          <w:rFonts w:hint="eastAsia"/>
          <w:snapToGrid w:val="0"/>
        </w:rPr>
        <w:t>火炬废气</w:t>
      </w:r>
    </w:p>
    <w:p w14:paraId="328A76A9">
      <w:pPr>
        <w:pStyle w:val="281"/>
        <w:ind w:firstLine="480"/>
      </w:pPr>
      <w:bookmarkStart w:id="202" w:name="_Hlk177922436"/>
      <w:r>
        <w:rPr>
          <w:rFonts w:hint="eastAsia"/>
        </w:rPr>
        <w:t>高压火炬用于处理排放源安全阀整定压力或泄压阀泄放压力较高的火炬气，主要来自煤气化，净化装置等以</w:t>
      </w:r>
      <w:r>
        <w:t>CO</w:t>
      </w:r>
      <w:r>
        <w:rPr>
          <w:rFonts w:hint="eastAsia"/>
        </w:rPr>
        <w:t>、</w:t>
      </w:r>
      <w:r>
        <w:t>H</w:t>
      </w:r>
      <w:r>
        <w:rPr>
          <w:vertAlign w:val="subscript"/>
        </w:rPr>
        <w:t>2</w:t>
      </w:r>
      <w:r>
        <w:rPr>
          <w:rFonts w:hint="eastAsia"/>
        </w:rPr>
        <w:t>为主的泄放气体；高压氨火炬用于处理来自冷冻、酸性气体脱除的氨排放气；酸性气火炬用于处理酸性气体脱除和煤气冷却单元汽提尾气。</w:t>
      </w:r>
    </w:p>
    <w:p w14:paraId="04F6F32F">
      <w:pPr>
        <w:pStyle w:val="128"/>
        <w:rPr>
          <w:rFonts w:hint="eastAsia"/>
        </w:rPr>
      </w:pPr>
      <w:r>
        <w:rPr>
          <w:rFonts w:hint="eastAsia"/>
        </w:rPr>
        <w:t>根据设计资料，火炬系统污染源见</w:t>
      </w:r>
      <w:r>
        <w:t>表3.3.</w:t>
      </w:r>
      <w:r>
        <w:rPr>
          <w:rFonts w:hint="eastAsia"/>
        </w:rPr>
        <w:t>9-3。</w:t>
      </w:r>
    </w:p>
    <w:p w14:paraId="10DC17FC">
      <w:pPr>
        <w:pStyle w:val="541"/>
        <w:rPr>
          <w:rFonts w:hint="eastAsia"/>
        </w:rPr>
      </w:pPr>
      <w:r>
        <w:t>表3.3.</w:t>
      </w:r>
      <w:r>
        <w:rPr>
          <w:rFonts w:hint="eastAsia"/>
        </w:rPr>
        <w:t>9-3</w:t>
      </w:r>
      <w:r>
        <w:t xml:space="preserve">   </w:t>
      </w:r>
      <w:bookmarkStart w:id="203" w:name="_Hlk159235660"/>
      <w:r>
        <w:t xml:space="preserve"> </w:t>
      </w:r>
      <w:r>
        <w:rPr>
          <w:rFonts w:hint="eastAsia"/>
        </w:rPr>
        <w:t>火炬系统污染源</w:t>
      </w:r>
      <w:bookmarkEnd w:id="203"/>
      <w:r>
        <w:t>一览表</w:t>
      </w:r>
    </w:p>
    <w:tbl>
      <w:tblPr>
        <w:tblStyle w:val="6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94"/>
        <w:gridCol w:w="779"/>
        <w:gridCol w:w="820"/>
        <w:gridCol w:w="1470"/>
        <w:gridCol w:w="1008"/>
        <w:gridCol w:w="962"/>
        <w:gridCol w:w="938"/>
        <w:gridCol w:w="1163"/>
      </w:tblGrid>
      <w:tr w14:paraId="6235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Align w:val="center"/>
          </w:tcPr>
          <w:p w14:paraId="6690E414">
            <w:pPr>
              <w:pStyle w:val="557"/>
            </w:pPr>
            <w:r>
              <w:t>序号</w:t>
            </w:r>
          </w:p>
        </w:tc>
        <w:tc>
          <w:tcPr>
            <w:tcW w:w="524" w:type="pct"/>
            <w:vAlign w:val="center"/>
          </w:tcPr>
          <w:p w14:paraId="5F8AC2AF">
            <w:pPr>
              <w:pStyle w:val="557"/>
            </w:pPr>
            <w:r>
              <w:t>装置名称</w:t>
            </w:r>
          </w:p>
        </w:tc>
        <w:tc>
          <w:tcPr>
            <w:tcW w:w="457" w:type="pct"/>
            <w:vAlign w:val="center"/>
          </w:tcPr>
          <w:p w14:paraId="695B913B">
            <w:pPr>
              <w:pStyle w:val="557"/>
            </w:pPr>
            <w:r>
              <w:t>排放温度℃</w:t>
            </w:r>
          </w:p>
        </w:tc>
        <w:tc>
          <w:tcPr>
            <w:tcW w:w="481" w:type="pct"/>
            <w:vAlign w:val="center"/>
          </w:tcPr>
          <w:p w14:paraId="78DF8695">
            <w:pPr>
              <w:pStyle w:val="557"/>
            </w:pPr>
            <w:r>
              <w:t>排放阀前压力MPaG</w:t>
            </w:r>
          </w:p>
        </w:tc>
        <w:tc>
          <w:tcPr>
            <w:tcW w:w="862" w:type="pct"/>
            <w:vAlign w:val="center"/>
          </w:tcPr>
          <w:p w14:paraId="323AEF86">
            <w:pPr>
              <w:pStyle w:val="557"/>
            </w:pPr>
            <w:r>
              <w:t>组分</w:t>
            </w:r>
          </w:p>
        </w:tc>
        <w:tc>
          <w:tcPr>
            <w:tcW w:w="591" w:type="pct"/>
            <w:vAlign w:val="center"/>
          </w:tcPr>
          <w:p w14:paraId="1A03C904">
            <w:pPr>
              <w:pStyle w:val="557"/>
            </w:pPr>
            <w:r>
              <w:t>占比</w:t>
            </w:r>
            <w:r>
              <w:rPr>
                <w:rFonts w:hint="eastAsia"/>
              </w:rPr>
              <w:t>%</w:t>
            </w:r>
          </w:p>
        </w:tc>
        <w:tc>
          <w:tcPr>
            <w:tcW w:w="564" w:type="pct"/>
            <w:vAlign w:val="center"/>
          </w:tcPr>
          <w:p w14:paraId="1E43500F">
            <w:pPr>
              <w:pStyle w:val="557"/>
            </w:pPr>
            <w:r>
              <w:rPr>
                <w:rFonts w:hint="eastAsia"/>
              </w:rPr>
              <w:t>火炬气的流量</w:t>
            </w:r>
            <w:r>
              <w:rPr>
                <w:sz w:val="21"/>
                <w:szCs w:val="21"/>
              </w:rPr>
              <w:t>m</w:t>
            </w:r>
            <w:r>
              <w:rPr>
                <w:sz w:val="21"/>
                <w:szCs w:val="21"/>
                <w:vertAlign w:val="superscript"/>
              </w:rPr>
              <w:t>3</w:t>
            </w:r>
            <w:r>
              <w:rPr>
                <w:sz w:val="21"/>
                <w:szCs w:val="21"/>
              </w:rPr>
              <w:t>/h</w:t>
            </w:r>
          </w:p>
        </w:tc>
        <w:tc>
          <w:tcPr>
            <w:tcW w:w="550" w:type="pct"/>
            <w:vAlign w:val="center"/>
          </w:tcPr>
          <w:p w14:paraId="17630C5E">
            <w:pPr>
              <w:pStyle w:val="557"/>
            </w:pPr>
            <w:r>
              <w:rPr>
                <w:rFonts w:hint="eastAsia"/>
              </w:rPr>
              <w:t>故障原因</w:t>
            </w:r>
          </w:p>
        </w:tc>
        <w:tc>
          <w:tcPr>
            <w:tcW w:w="682" w:type="pct"/>
            <w:vAlign w:val="center"/>
          </w:tcPr>
          <w:p w14:paraId="4DDE3F79">
            <w:pPr>
              <w:pStyle w:val="557"/>
            </w:pPr>
            <w:r>
              <w:rPr>
                <w:rFonts w:hint="eastAsia"/>
              </w:rPr>
              <w:t>备注</w:t>
            </w:r>
          </w:p>
        </w:tc>
      </w:tr>
      <w:tr w14:paraId="6ADF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restart"/>
            <w:vAlign w:val="center"/>
          </w:tcPr>
          <w:p w14:paraId="4A4BEBC7">
            <w:pPr>
              <w:pStyle w:val="557"/>
            </w:pPr>
            <w:r>
              <w:rPr>
                <w:rFonts w:hint="eastAsia"/>
              </w:rPr>
              <w:t>1</w:t>
            </w:r>
          </w:p>
        </w:tc>
        <w:tc>
          <w:tcPr>
            <w:tcW w:w="524" w:type="pct"/>
            <w:vMerge w:val="restart"/>
            <w:vAlign w:val="center"/>
          </w:tcPr>
          <w:p w14:paraId="5DA10DAE">
            <w:pPr>
              <w:pStyle w:val="557"/>
            </w:pPr>
            <w:r>
              <w:t>气化炉开车废气</w:t>
            </w:r>
          </w:p>
        </w:tc>
        <w:tc>
          <w:tcPr>
            <w:tcW w:w="457" w:type="pct"/>
            <w:vMerge w:val="restart"/>
            <w:vAlign w:val="center"/>
          </w:tcPr>
          <w:p w14:paraId="0696A4A1">
            <w:pPr>
              <w:pStyle w:val="557"/>
            </w:pPr>
            <w:r>
              <w:rPr>
                <w:rFonts w:hint="eastAsia"/>
              </w:rPr>
              <w:t>100</w:t>
            </w:r>
          </w:p>
        </w:tc>
        <w:tc>
          <w:tcPr>
            <w:tcW w:w="481" w:type="pct"/>
            <w:vMerge w:val="restart"/>
            <w:vAlign w:val="center"/>
          </w:tcPr>
          <w:p w14:paraId="5C3674DA">
            <w:pPr>
              <w:pStyle w:val="557"/>
            </w:pPr>
            <w:r>
              <w:rPr>
                <w:rFonts w:hint="eastAsia"/>
              </w:rPr>
              <w:t>4.0</w:t>
            </w:r>
          </w:p>
        </w:tc>
        <w:tc>
          <w:tcPr>
            <w:tcW w:w="862" w:type="pct"/>
            <w:vAlign w:val="center"/>
          </w:tcPr>
          <w:p w14:paraId="302DAA29">
            <w:pPr>
              <w:pStyle w:val="557"/>
            </w:pPr>
            <w:r>
              <w:t>CO</w:t>
            </w:r>
          </w:p>
        </w:tc>
        <w:tc>
          <w:tcPr>
            <w:tcW w:w="591" w:type="pct"/>
            <w:vAlign w:val="center"/>
          </w:tcPr>
          <w:p w14:paraId="62E5AE00">
            <w:pPr>
              <w:pStyle w:val="557"/>
            </w:pPr>
            <w:r>
              <w:t>46.99</w:t>
            </w:r>
          </w:p>
        </w:tc>
        <w:tc>
          <w:tcPr>
            <w:tcW w:w="564" w:type="pct"/>
            <w:vMerge w:val="restart"/>
            <w:vAlign w:val="center"/>
          </w:tcPr>
          <w:p w14:paraId="20511E4D">
            <w:pPr>
              <w:pStyle w:val="557"/>
            </w:pPr>
            <w:r>
              <w:rPr>
                <w:rFonts w:hint="eastAsia"/>
              </w:rPr>
              <w:t>10000</w:t>
            </w:r>
          </w:p>
        </w:tc>
        <w:tc>
          <w:tcPr>
            <w:tcW w:w="550" w:type="pct"/>
            <w:vMerge w:val="restart"/>
            <w:vAlign w:val="center"/>
          </w:tcPr>
          <w:p w14:paraId="630443D1">
            <w:pPr>
              <w:pStyle w:val="557"/>
            </w:pPr>
            <w:r>
              <w:rPr>
                <w:rFonts w:hint="eastAsia"/>
              </w:rPr>
              <w:t>气化炉开车</w:t>
            </w:r>
          </w:p>
        </w:tc>
        <w:tc>
          <w:tcPr>
            <w:tcW w:w="682" w:type="pct"/>
            <w:vMerge w:val="restart"/>
            <w:vAlign w:val="center"/>
          </w:tcPr>
          <w:p w14:paraId="35AA8C95">
            <w:pPr>
              <w:pStyle w:val="557"/>
            </w:pPr>
            <w:r>
              <w:rPr>
                <w:rFonts w:hint="eastAsia"/>
              </w:rPr>
              <w:t>排入主火炬系统</w:t>
            </w:r>
          </w:p>
        </w:tc>
      </w:tr>
      <w:tr w14:paraId="4A51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D841C71">
            <w:pPr>
              <w:pStyle w:val="557"/>
            </w:pPr>
          </w:p>
        </w:tc>
        <w:tc>
          <w:tcPr>
            <w:tcW w:w="524" w:type="pct"/>
            <w:vMerge w:val="continue"/>
            <w:vAlign w:val="center"/>
          </w:tcPr>
          <w:p w14:paraId="4043F3FE">
            <w:pPr>
              <w:pStyle w:val="557"/>
            </w:pPr>
          </w:p>
        </w:tc>
        <w:tc>
          <w:tcPr>
            <w:tcW w:w="457" w:type="pct"/>
            <w:vMerge w:val="continue"/>
            <w:vAlign w:val="center"/>
          </w:tcPr>
          <w:p w14:paraId="09F4220E">
            <w:pPr>
              <w:pStyle w:val="557"/>
            </w:pPr>
          </w:p>
        </w:tc>
        <w:tc>
          <w:tcPr>
            <w:tcW w:w="481" w:type="pct"/>
            <w:vMerge w:val="continue"/>
            <w:vAlign w:val="center"/>
          </w:tcPr>
          <w:p w14:paraId="75CB3133">
            <w:pPr>
              <w:pStyle w:val="557"/>
            </w:pPr>
          </w:p>
        </w:tc>
        <w:tc>
          <w:tcPr>
            <w:tcW w:w="862" w:type="pct"/>
            <w:vAlign w:val="center"/>
          </w:tcPr>
          <w:p w14:paraId="0F2B61A0">
            <w:pPr>
              <w:pStyle w:val="557"/>
            </w:pPr>
            <w:r>
              <w:t>H</w:t>
            </w:r>
            <w:r>
              <w:rPr>
                <w:vertAlign w:val="subscript"/>
              </w:rPr>
              <w:t>2</w:t>
            </w:r>
          </w:p>
        </w:tc>
        <w:tc>
          <w:tcPr>
            <w:tcW w:w="591" w:type="pct"/>
            <w:vAlign w:val="center"/>
          </w:tcPr>
          <w:p w14:paraId="0E4CE06A">
            <w:pPr>
              <w:pStyle w:val="557"/>
            </w:pPr>
            <w:r>
              <w:t>19.55</w:t>
            </w:r>
          </w:p>
        </w:tc>
        <w:tc>
          <w:tcPr>
            <w:tcW w:w="564" w:type="pct"/>
            <w:vMerge w:val="continue"/>
            <w:vAlign w:val="center"/>
          </w:tcPr>
          <w:p w14:paraId="3649F935">
            <w:pPr>
              <w:pStyle w:val="557"/>
            </w:pPr>
          </w:p>
        </w:tc>
        <w:tc>
          <w:tcPr>
            <w:tcW w:w="550" w:type="pct"/>
            <w:vMerge w:val="continue"/>
            <w:vAlign w:val="center"/>
          </w:tcPr>
          <w:p w14:paraId="4EEA30A8">
            <w:pPr>
              <w:pStyle w:val="557"/>
            </w:pPr>
          </w:p>
        </w:tc>
        <w:tc>
          <w:tcPr>
            <w:tcW w:w="682" w:type="pct"/>
            <w:vMerge w:val="continue"/>
            <w:vAlign w:val="center"/>
          </w:tcPr>
          <w:p w14:paraId="09598509">
            <w:pPr>
              <w:pStyle w:val="557"/>
            </w:pPr>
          </w:p>
        </w:tc>
      </w:tr>
      <w:tr w14:paraId="766F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F32B24D">
            <w:pPr>
              <w:pStyle w:val="557"/>
            </w:pPr>
          </w:p>
        </w:tc>
        <w:tc>
          <w:tcPr>
            <w:tcW w:w="524" w:type="pct"/>
            <w:vMerge w:val="continue"/>
            <w:vAlign w:val="center"/>
          </w:tcPr>
          <w:p w14:paraId="46EEFC47">
            <w:pPr>
              <w:pStyle w:val="557"/>
            </w:pPr>
          </w:p>
        </w:tc>
        <w:tc>
          <w:tcPr>
            <w:tcW w:w="457" w:type="pct"/>
            <w:vMerge w:val="continue"/>
            <w:vAlign w:val="center"/>
          </w:tcPr>
          <w:p w14:paraId="5951147F">
            <w:pPr>
              <w:pStyle w:val="557"/>
            </w:pPr>
          </w:p>
        </w:tc>
        <w:tc>
          <w:tcPr>
            <w:tcW w:w="481" w:type="pct"/>
            <w:vMerge w:val="continue"/>
            <w:vAlign w:val="center"/>
          </w:tcPr>
          <w:p w14:paraId="168C2AC6">
            <w:pPr>
              <w:pStyle w:val="557"/>
            </w:pPr>
          </w:p>
        </w:tc>
        <w:tc>
          <w:tcPr>
            <w:tcW w:w="862" w:type="pct"/>
            <w:vAlign w:val="center"/>
          </w:tcPr>
          <w:p w14:paraId="1A51B138">
            <w:pPr>
              <w:pStyle w:val="557"/>
            </w:pPr>
            <w:r>
              <w:t>CO</w:t>
            </w:r>
            <w:r>
              <w:rPr>
                <w:vertAlign w:val="subscript"/>
              </w:rPr>
              <w:t>2</w:t>
            </w:r>
          </w:p>
        </w:tc>
        <w:tc>
          <w:tcPr>
            <w:tcW w:w="591" w:type="pct"/>
            <w:vAlign w:val="center"/>
          </w:tcPr>
          <w:p w14:paraId="4B08692A">
            <w:pPr>
              <w:pStyle w:val="557"/>
            </w:pPr>
            <w:r>
              <w:t>5.17</w:t>
            </w:r>
          </w:p>
        </w:tc>
        <w:tc>
          <w:tcPr>
            <w:tcW w:w="564" w:type="pct"/>
            <w:vMerge w:val="continue"/>
            <w:vAlign w:val="center"/>
          </w:tcPr>
          <w:p w14:paraId="1CB75676">
            <w:pPr>
              <w:pStyle w:val="557"/>
            </w:pPr>
          </w:p>
        </w:tc>
        <w:tc>
          <w:tcPr>
            <w:tcW w:w="550" w:type="pct"/>
            <w:vMerge w:val="continue"/>
            <w:vAlign w:val="center"/>
          </w:tcPr>
          <w:p w14:paraId="407CBD6A">
            <w:pPr>
              <w:pStyle w:val="557"/>
            </w:pPr>
          </w:p>
        </w:tc>
        <w:tc>
          <w:tcPr>
            <w:tcW w:w="682" w:type="pct"/>
            <w:vMerge w:val="continue"/>
            <w:vAlign w:val="center"/>
          </w:tcPr>
          <w:p w14:paraId="0C7B6F77">
            <w:pPr>
              <w:pStyle w:val="557"/>
            </w:pPr>
          </w:p>
        </w:tc>
      </w:tr>
      <w:tr w14:paraId="1C63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E12ABFE">
            <w:pPr>
              <w:pStyle w:val="557"/>
            </w:pPr>
          </w:p>
        </w:tc>
        <w:tc>
          <w:tcPr>
            <w:tcW w:w="524" w:type="pct"/>
            <w:vMerge w:val="continue"/>
            <w:vAlign w:val="center"/>
          </w:tcPr>
          <w:p w14:paraId="6D5D09B6">
            <w:pPr>
              <w:pStyle w:val="557"/>
            </w:pPr>
          </w:p>
        </w:tc>
        <w:tc>
          <w:tcPr>
            <w:tcW w:w="457" w:type="pct"/>
            <w:vMerge w:val="continue"/>
            <w:vAlign w:val="center"/>
          </w:tcPr>
          <w:p w14:paraId="254A6E2D">
            <w:pPr>
              <w:pStyle w:val="557"/>
            </w:pPr>
          </w:p>
        </w:tc>
        <w:tc>
          <w:tcPr>
            <w:tcW w:w="481" w:type="pct"/>
            <w:vMerge w:val="continue"/>
            <w:vAlign w:val="center"/>
          </w:tcPr>
          <w:p w14:paraId="33716CEB">
            <w:pPr>
              <w:pStyle w:val="557"/>
            </w:pPr>
          </w:p>
        </w:tc>
        <w:tc>
          <w:tcPr>
            <w:tcW w:w="862" w:type="pct"/>
            <w:vAlign w:val="center"/>
          </w:tcPr>
          <w:p w14:paraId="216C5288">
            <w:pPr>
              <w:pStyle w:val="557"/>
            </w:pPr>
            <w:r>
              <w:t>CH</w:t>
            </w:r>
            <w:r>
              <w:rPr>
                <w:vertAlign w:val="subscript"/>
              </w:rPr>
              <w:t>4</w:t>
            </w:r>
          </w:p>
        </w:tc>
        <w:tc>
          <w:tcPr>
            <w:tcW w:w="591" w:type="pct"/>
            <w:vAlign w:val="center"/>
          </w:tcPr>
          <w:p w14:paraId="53A6F91B">
            <w:pPr>
              <w:pStyle w:val="557"/>
            </w:pPr>
            <w:r>
              <w:t>0.37</w:t>
            </w:r>
          </w:p>
        </w:tc>
        <w:tc>
          <w:tcPr>
            <w:tcW w:w="564" w:type="pct"/>
            <w:vMerge w:val="continue"/>
            <w:vAlign w:val="center"/>
          </w:tcPr>
          <w:p w14:paraId="47AF6882">
            <w:pPr>
              <w:pStyle w:val="557"/>
            </w:pPr>
          </w:p>
        </w:tc>
        <w:tc>
          <w:tcPr>
            <w:tcW w:w="550" w:type="pct"/>
            <w:vMerge w:val="continue"/>
            <w:vAlign w:val="center"/>
          </w:tcPr>
          <w:p w14:paraId="2F492C0D">
            <w:pPr>
              <w:pStyle w:val="557"/>
            </w:pPr>
          </w:p>
        </w:tc>
        <w:tc>
          <w:tcPr>
            <w:tcW w:w="682" w:type="pct"/>
            <w:vMerge w:val="continue"/>
            <w:vAlign w:val="center"/>
          </w:tcPr>
          <w:p w14:paraId="252BCCFC">
            <w:pPr>
              <w:pStyle w:val="557"/>
            </w:pPr>
          </w:p>
        </w:tc>
      </w:tr>
      <w:tr w14:paraId="6C62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5F1BD7D">
            <w:pPr>
              <w:pStyle w:val="557"/>
            </w:pPr>
          </w:p>
        </w:tc>
        <w:tc>
          <w:tcPr>
            <w:tcW w:w="524" w:type="pct"/>
            <w:vMerge w:val="continue"/>
            <w:vAlign w:val="center"/>
          </w:tcPr>
          <w:p w14:paraId="15FF2261">
            <w:pPr>
              <w:pStyle w:val="557"/>
            </w:pPr>
          </w:p>
        </w:tc>
        <w:tc>
          <w:tcPr>
            <w:tcW w:w="457" w:type="pct"/>
            <w:vMerge w:val="continue"/>
            <w:vAlign w:val="center"/>
          </w:tcPr>
          <w:p w14:paraId="77D69F07">
            <w:pPr>
              <w:pStyle w:val="557"/>
            </w:pPr>
          </w:p>
        </w:tc>
        <w:tc>
          <w:tcPr>
            <w:tcW w:w="481" w:type="pct"/>
            <w:vMerge w:val="continue"/>
            <w:vAlign w:val="center"/>
          </w:tcPr>
          <w:p w14:paraId="7F9FCDCB">
            <w:pPr>
              <w:pStyle w:val="557"/>
            </w:pPr>
          </w:p>
        </w:tc>
        <w:tc>
          <w:tcPr>
            <w:tcW w:w="862" w:type="pct"/>
            <w:vAlign w:val="center"/>
          </w:tcPr>
          <w:p w14:paraId="30A6E77F">
            <w:pPr>
              <w:pStyle w:val="557"/>
            </w:pPr>
            <w:r>
              <w:t>H</w:t>
            </w:r>
            <w:r>
              <w:rPr>
                <w:vertAlign w:val="subscript"/>
              </w:rPr>
              <w:t>2</w:t>
            </w:r>
            <w:r>
              <w:t>S</w:t>
            </w:r>
          </w:p>
        </w:tc>
        <w:tc>
          <w:tcPr>
            <w:tcW w:w="591" w:type="pct"/>
            <w:vAlign w:val="center"/>
          </w:tcPr>
          <w:p w14:paraId="0E0BCBA1">
            <w:pPr>
              <w:pStyle w:val="557"/>
            </w:pPr>
            <w:r>
              <w:t>0.02</w:t>
            </w:r>
          </w:p>
        </w:tc>
        <w:tc>
          <w:tcPr>
            <w:tcW w:w="564" w:type="pct"/>
            <w:vMerge w:val="continue"/>
            <w:vAlign w:val="center"/>
          </w:tcPr>
          <w:p w14:paraId="758FA6D1">
            <w:pPr>
              <w:pStyle w:val="557"/>
            </w:pPr>
          </w:p>
        </w:tc>
        <w:tc>
          <w:tcPr>
            <w:tcW w:w="550" w:type="pct"/>
            <w:vMerge w:val="continue"/>
            <w:vAlign w:val="center"/>
          </w:tcPr>
          <w:p w14:paraId="22FF9D22">
            <w:pPr>
              <w:pStyle w:val="557"/>
            </w:pPr>
          </w:p>
        </w:tc>
        <w:tc>
          <w:tcPr>
            <w:tcW w:w="682" w:type="pct"/>
            <w:vMerge w:val="continue"/>
            <w:vAlign w:val="center"/>
          </w:tcPr>
          <w:p w14:paraId="433BE8E9">
            <w:pPr>
              <w:pStyle w:val="557"/>
            </w:pPr>
          </w:p>
        </w:tc>
      </w:tr>
      <w:tr w14:paraId="76BE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BD20607">
            <w:pPr>
              <w:pStyle w:val="557"/>
            </w:pPr>
          </w:p>
        </w:tc>
        <w:tc>
          <w:tcPr>
            <w:tcW w:w="524" w:type="pct"/>
            <w:vMerge w:val="continue"/>
            <w:vAlign w:val="center"/>
          </w:tcPr>
          <w:p w14:paraId="333DFA28">
            <w:pPr>
              <w:pStyle w:val="557"/>
            </w:pPr>
          </w:p>
        </w:tc>
        <w:tc>
          <w:tcPr>
            <w:tcW w:w="457" w:type="pct"/>
            <w:vMerge w:val="continue"/>
            <w:vAlign w:val="center"/>
          </w:tcPr>
          <w:p w14:paraId="6BB2B289">
            <w:pPr>
              <w:pStyle w:val="557"/>
            </w:pPr>
          </w:p>
        </w:tc>
        <w:tc>
          <w:tcPr>
            <w:tcW w:w="481" w:type="pct"/>
            <w:vMerge w:val="continue"/>
            <w:vAlign w:val="center"/>
          </w:tcPr>
          <w:p w14:paraId="41782216">
            <w:pPr>
              <w:pStyle w:val="557"/>
            </w:pPr>
          </w:p>
        </w:tc>
        <w:tc>
          <w:tcPr>
            <w:tcW w:w="862" w:type="pct"/>
            <w:vAlign w:val="center"/>
          </w:tcPr>
          <w:p w14:paraId="38C08A9F">
            <w:pPr>
              <w:pStyle w:val="557"/>
            </w:pPr>
            <w:r>
              <w:t>氮气</w:t>
            </w:r>
          </w:p>
        </w:tc>
        <w:tc>
          <w:tcPr>
            <w:tcW w:w="591" w:type="pct"/>
            <w:vAlign w:val="center"/>
          </w:tcPr>
          <w:p w14:paraId="4D92CD6D">
            <w:pPr>
              <w:pStyle w:val="557"/>
            </w:pPr>
            <w:r>
              <w:t>0.06</w:t>
            </w:r>
          </w:p>
        </w:tc>
        <w:tc>
          <w:tcPr>
            <w:tcW w:w="564" w:type="pct"/>
            <w:vMerge w:val="continue"/>
            <w:vAlign w:val="center"/>
          </w:tcPr>
          <w:p w14:paraId="13DFBC5F">
            <w:pPr>
              <w:pStyle w:val="557"/>
            </w:pPr>
          </w:p>
        </w:tc>
        <w:tc>
          <w:tcPr>
            <w:tcW w:w="550" w:type="pct"/>
            <w:vMerge w:val="continue"/>
            <w:vAlign w:val="center"/>
          </w:tcPr>
          <w:p w14:paraId="094A3FF6">
            <w:pPr>
              <w:pStyle w:val="557"/>
            </w:pPr>
          </w:p>
        </w:tc>
        <w:tc>
          <w:tcPr>
            <w:tcW w:w="682" w:type="pct"/>
            <w:vMerge w:val="continue"/>
            <w:vAlign w:val="center"/>
          </w:tcPr>
          <w:p w14:paraId="008483BB">
            <w:pPr>
              <w:pStyle w:val="557"/>
            </w:pPr>
          </w:p>
        </w:tc>
      </w:tr>
      <w:tr w14:paraId="1CBF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FD1AA49">
            <w:pPr>
              <w:pStyle w:val="557"/>
            </w:pPr>
          </w:p>
        </w:tc>
        <w:tc>
          <w:tcPr>
            <w:tcW w:w="524" w:type="pct"/>
            <w:vMerge w:val="continue"/>
            <w:vAlign w:val="center"/>
          </w:tcPr>
          <w:p w14:paraId="297EB56C">
            <w:pPr>
              <w:pStyle w:val="557"/>
            </w:pPr>
          </w:p>
        </w:tc>
        <w:tc>
          <w:tcPr>
            <w:tcW w:w="457" w:type="pct"/>
            <w:vMerge w:val="continue"/>
            <w:vAlign w:val="center"/>
          </w:tcPr>
          <w:p w14:paraId="7D02B04B">
            <w:pPr>
              <w:pStyle w:val="557"/>
            </w:pPr>
          </w:p>
        </w:tc>
        <w:tc>
          <w:tcPr>
            <w:tcW w:w="481" w:type="pct"/>
            <w:vMerge w:val="continue"/>
            <w:vAlign w:val="center"/>
          </w:tcPr>
          <w:p w14:paraId="6B32390F">
            <w:pPr>
              <w:pStyle w:val="557"/>
            </w:pPr>
          </w:p>
        </w:tc>
        <w:tc>
          <w:tcPr>
            <w:tcW w:w="862" w:type="pct"/>
            <w:vAlign w:val="center"/>
          </w:tcPr>
          <w:p w14:paraId="00C3F28F">
            <w:pPr>
              <w:pStyle w:val="557"/>
            </w:pPr>
            <w:r>
              <w:t>Ar</w:t>
            </w:r>
          </w:p>
        </w:tc>
        <w:tc>
          <w:tcPr>
            <w:tcW w:w="591" w:type="pct"/>
            <w:vAlign w:val="center"/>
          </w:tcPr>
          <w:p w14:paraId="783D0008">
            <w:pPr>
              <w:pStyle w:val="557"/>
            </w:pPr>
            <w:r>
              <w:t>0.05</w:t>
            </w:r>
          </w:p>
        </w:tc>
        <w:tc>
          <w:tcPr>
            <w:tcW w:w="564" w:type="pct"/>
            <w:vMerge w:val="continue"/>
            <w:vAlign w:val="center"/>
          </w:tcPr>
          <w:p w14:paraId="573739ED">
            <w:pPr>
              <w:pStyle w:val="557"/>
            </w:pPr>
          </w:p>
        </w:tc>
        <w:tc>
          <w:tcPr>
            <w:tcW w:w="550" w:type="pct"/>
            <w:vMerge w:val="continue"/>
            <w:vAlign w:val="center"/>
          </w:tcPr>
          <w:p w14:paraId="7CB62A9C">
            <w:pPr>
              <w:pStyle w:val="557"/>
            </w:pPr>
          </w:p>
        </w:tc>
        <w:tc>
          <w:tcPr>
            <w:tcW w:w="682" w:type="pct"/>
            <w:vMerge w:val="continue"/>
            <w:vAlign w:val="center"/>
          </w:tcPr>
          <w:p w14:paraId="738DA9FD">
            <w:pPr>
              <w:pStyle w:val="557"/>
            </w:pPr>
          </w:p>
        </w:tc>
      </w:tr>
      <w:tr w14:paraId="487D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28FDA2D">
            <w:pPr>
              <w:pStyle w:val="557"/>
              <w:rPr>
                <w:highlight w:val="yellow"/>
              </w:rPr>
            </w:pPr>
          </w:p>
        </w:tc>
        <w:tc>
          <w:tcPr>
            <w:tcW w:w="524" w:type="pct"/>
            <w:vMerge w:val="continue"/>
            <w:vAlign w:val="center"/>
          </w:tcPr>
          <w:p w14:paraId="13B1E0E5">
            <w:pPr>
              <w:pStyle w:val="557"/>
              <w:rPr>
                <w:highlight w:val="yellow"/>
              </w:rPr>
            </w:pPr>
          </w:p>
        </w:tc>
        <w:tc>
          <w:tcPr>
            <w:tcW w:w="457" w:type="pct"/>
            <w:vMerge w:val="continue"/>
            <w:vAlign w:val="center"/>
          </w:tcPr>
          <w:p w14:paraId="2A0D5E13">
            <w:pPr>
              <w:pStyle w:val="557"/>
              <w:rPr>
                <w:highlight w:val="yellow"/>
              </w:rPr>
            </w:pPr>
          </w:p>
        </w:tc>
        <w:tc>
          <w:tcPr>
            <w:tcW w:w="481" w:type="pct"/>
            <w:vMerge w:val="continue"/>
            <w:vAlign w:val="center"/>
          </w:tcPr>
          <w:p w14:paraId="5DDED12C">
            <w:pPr>
              <w:pStyle w:val="557"/>
              <w:rPr>
                <w:highlight w:val="yellow"/>
              </w:rPr>
            </w:pPr>
          </w:p>
        </w:tc>
        <w:tc>
          <w:tcPr>
            <w:tcW w:w="862" w:type="pct"/>
            <w:vAlign w:val="center"/>
          </w:tcPr>
          <w:p w14:paraId="480B6FC2">
            <w:pPr>
              <w:pStyle w:val="557"/>
            </w:pPr>
            <w:r>
              <w:t>氨</w:t>
            </w:r>
          </w:p>
        </w:tc>
        <w:tc>
          <w:tcPr>
            <w:tcW w:w="591" w:type="pct"/>
            <w:vAlign w:val="center"/>
          </w:tcPr>
          <w:p w14:paraId="79CB3918">
            <w:pPr>
              <w:pStyle w:val="557"/>
            </w:pPr>
            <w:r>
              <w:t>0.05</w:t>
            </w:r>
          </w:p>
        </w:tc>
        <w:tc>
          <w:tcPr>
            <w:tcW w:w="564" w:type="pct"/>
            <w:vMerge w:val="continue"/>
            <w:vAlign w:val="center"/>
          </w:tcPr>
          <w:p w14:paraId="045A42D6">
            <w:pPr>
              <w:pStyle w:val="557"/>
              <w:rPr>
                <w:highlight w:val="yellow"/>
              </w:rPr>
            </w:pPr>
          </w:p>
        </w:tc>
        <w:tc>
          <w:tcPr>
            <w:tcW w:w="550" w:type="pct"/>
            <w:vMerge w:val="continue"/>
            <w:vAlign w:val="center"/>
          </w:tcPr>
          <w:p w14:paraId="15C2BBA0">
            <w:pPr>
              <w:pStyle w:val="557"/>
              <w:rPr>
                <w:highlight w:val="yellow"/>
              </w:rPr>
            </w:pPr>
          </w:p>
        </w:tc>
        <w:tc>
          <w:tcPr>
            <w:tcW w:w="682" w:type="pct"/>
            <w:vMerge w:val="continue"/>
            <w:vAlign w:val="center"/>
          </w:tcPr>
          <w:p w14:paraId="6AA49F39">
            <w:pPr>
              <w:pStyle w:val="557"/>
              <w:rPr>
                <w:highlight w:val="yellow"/>
              </w:rPr>
            </w:pPr>
          </w:p>
        </w:tc>
      </w:tr>
      <w:tr w14:paraId="487A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restart"/>
            <w:vAlign w:val="center"/>
          </w:tcPr>
          <w:p w14:paraId="0537ADF7">
            <w:pPr>
              <w:pStyle w:val="557"/>
            </w:pPr>
            <w:r>
              <w:rPr>
                <w:rFonts w:hint="eastAsia"/>
              </w:rPr>
              <w:t>2</w:t>
            </w:r>
          </w:p>
        </w:tc>
        <w:tc>
          <w:tcPr>
            <w:tcW w:w="524" w:type="pct"/>
            <w:vMerge w:val="restart"/>
            <w:vAlign w:val="center"/>
          </w:tcPr>
          <w:p w14:paraId="441991B4">
            <w:pPr>
              <w:pStyle w:val="557"/>
            </w:pPr>
            <w:r>
              <w:rPr>
                <w:rFonts w:hint="eastAsia"/>
              </w:rPr>
              <w:t>净化及分离装置-低温甲醇洗单元</w:t>
            </w:r>
          </w:p>
        </w:tc>
        <w:tc>
          <w:tcPr>
            <w:tcW w:w="457" w:type="pct"/>
            <w:vMerge w:val="restart"/>
            <w:vAlign w:val="center"/>
          </w:tcPr>
          <w:p w14:paraId="23F79057">
            <w:pPr>
              <w:pStyle w:val="557"/>
            </w:pPr>
            <w:r>
              <w:rPr>
                <w:rFonts w:hint="eastAsia"/>
              </w:rPr>
              <w:t>30</w:t>
            </w:r>
          </w:p>
        </w:tc>
        <w:tc>
          <w:tcPr>
            <w:tcW w:w="481" w:type="pct"/>
            <w:vMerge w:val="restart"/>
            <w:vAlign w:val="center"/>
          </w:tcPr>
          <w:p w14:paraId="6B692D4C">
            <w:pPr>
              <w:pStyle w:val="557"/>
            </w:pPr>
            <w:r>
              <w:rPr>
                <w:rFonts w:hint="eastAsia"/>
              </w:rPr>
              <w:t>/</w:t>
            </w:r>
          </w:p>
        </w:tc>
        <w:tc>
          <w:tcPr>
            <w:tcW w:w="862" w:type="pct"/>
            <w:vAlign w:val="center"/>
          </w:tcPr>
          <w:p w14:paraId="3CFBB8B1">
            <w:pPr>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O</w:t>
            </w:r>
          </w:p>
        </w:tc>
        <w:tc>
          <w:tcPr>
            <w:tcW w:w="591" w:type="pct"/>
            <w:vAlign w:val="center"/>
          </w:tcPr>
          <w:p w14:paraId="1FE93059">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.0101</w:t>
            </w:r>
          </w:p>
        </w:tc>
        <w:tc>
          <w:tcPr>
            <w:tcW w:w="564" w:type="pct"/>
            <w:vMerge w:val="restart"/>
            <w:vAlign w:val="center"/>
          </w:tcPr>
          <w:p w14:paraId="4FF09C33">
            <w:pPr>
              <w:pStyle w:val="557"/>
            </w:pPr>
            <w:r>
              <w:rPr>
                <w:rFonts w:hint="eastAsia"/>
              </w:rPr>
              <w:t>56694</w:t>
            </w:r>
          </w:p>
        </w:tc>
        <w:tc>
          <w:tcPr>
            <w:tcW w:w="550" w:type="pct"/>
            <w:vMerge w:val="restart"/>
            <w:vAlign w:val="center"/>
          </w:tcPr>
          <w:p w14:paraId="5CA53082">
            <w:pPr>
              <w:pStyle w:val="557"/>
            </w:pPr>
            <w:r>
              <w:rPr>
                <w:rFonts w:hint="eastAsia"/>
              </w:rPr>
              <w:t>净化气超压泄放气</w:t>
            </w:r>
          </w:p>
        </w:tc>
        <w:tc>
          <w:tcPr>
            <w:tcW w:w="682" w:type="pct"/>
            <w:vMerge w:val="restart"/>
            <w:vAlign w:val="center"/>
          </w:tcPr>
          <w:p w14:paraId="4842DF37">
            <w:pPr>
              <w:pStyle w:val="557"/>
            </w:pPr>
            <w:r>
              <w:rPr>
                <w:rFonts w:hint="eastAsia"/>
              </w:rPr>
              <w:t>排入主火炬系统</w:t>
            </w:r>
          </w:p>
        </w:tc>
      </w:tr>
      <w:tr w14:paraId="1F54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06C3011">
            <w:pPr>
              <w:pStyle w:val="557"/>
            </w:pPr>
          </w:p>
        </w:tc>
        <w:tc>
          <w:tcPr>
            <w:tcW w:w="524" w:type="pct"/>
            <w:vMerge w:val="continue"/>
            <w:vAlign w:val="center"/>
          </w:tcPr>
          <w:p w14:paraId="217CB3B3">
            <w:pPr>
              <w:pStyle w:val="557"/>
            </w:pPr>
          </w:p>
        </w:tc>
        <w:tc>
          <w:tcPr>
            <w:tcW w:w="457" w:type="pct"/>
            <w:vMerge w:val="continue"/>
            <w:vAlign w:val="center"/>
          </w:tcPr>
          <w:p w14:paraId="4806A45B">
            <w:pPr>
              <w:pStyle w:val="557"/>
            </w:pPr>
          </w:p>
        </w:tc>
        <w:tc>
          <w:tcPr>
            <w:tcW w:w="481" w:type="pct"/>
            <w:vMerge w:val="continue"/>
            <w:vAlign w:val="center"/>
          </w:tcPr>
          <w:p w14:paraId="41DC1817">
            <w:pPr>
              <w:pStyle w:val="557"/>
            </w:pPr>
          </w:p>
        </w:tc>
        <w:tc>
          <w:tcPr>
            <w:tcW w:w="862" w:type="pct"/>
            <w:vAlign w:val="center"/>
          </w:tcPr>
          <w:p w14:paraId="33950CD0">
            <w:pPr>
              <w:jc w:val="center"/>
              <w:rPr>
                <w:rFonts w:ascii="Times New Roman" w:hAnsi="Times New Roman" w:cs="Times New Roman"/>
                <w:sz w:val="18"/>
                <w:szCs w:val="18"/>
              </w:rPr>
            </w:pPr>
            <w:r>
              <w:rPr>
                <w:rFonts w:hint="eastAsia" w:ascii="Times New Roman" w:hAnsi="Times New Roman" w:cs="Times New Roman"/>
                <w:sz w:val="18"/>
                <w:szCs w:val="18"/>
              </w:rPr>
              <w:t>H</w:t>
            </w:r>
            <w:r>
              <w:rPr>
                <w:rFonts w:hint="eastAsia" w:ascii="Times New Roman" w:hAnsi="Times New Roman" w:cs="Times New Roman"/>
                <w:sz w:val="18"/>
                <w:szCs w:val="18"/>
                <w:vertAlign w:val="subscript"/>
              </w:rPr>
              <w:t>2</w:t>
            </w:r>
          </w:p>
        </w:tc>
        <w:tc>
          <w:tcPr>
            <w:tcW w:w="591" w:type="pct"/>
            <w:vAlign w:val="center"/>
          </w:tcPr>
          <w:p w14:paraId="781954F6">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4.7801</w:t>
            </w:r>
          </w:p>
        </w:tc>
        <w:tc>
          <w:tcPr>
            <w:tcW w:w="564" w:type="pct"/>
            <w:vMerge w:val="continue"/>
            <w:vAlign w:val="center"/>
          </w:tcPr>
          <w:p w14:paraId="7EDD538E">
            <w:pPr>
              <w:pStyle w:val="557"/>
            </w:pPr>
          </w:p>
        </w:tc>
        <w:tc>
          <w:tcPr>
            <w:tcW w:w="550" w:type="pct"/>
            <w:vMerge w:val="continue"/>
            <w:vAlign w:val="center"/>
          </w:tcPr>
          <w:p w14:paraId="0BDB67E6">
            <w:pPr>
              <w:pStyle w:val="557"/>
            </w:pPr>
          </w:p>
        </w:tc>
        <w:tc>
          <w:tcPr>
            <w:tcW w:w="682" w:type="pct"/>
            <w:vMerge w:val="continue"/>
            <w:vAlign w:val="center"/>
          </w:tcPr>
          <w:p w14:paraId="7B2D9906">
            <w:pPr>
              <w:pStyle w:val="557"/>
            </w:pPr>
          </w:p>
        </w:tc>
      </w:tr>
      <w:tr w14:paraId="21B9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075BCCEF">
            <w:pPr>
              <w:pStyle w:val="557"/>
            </w:pPr>
          </w:p>
        </w:tc>
        <w:tc>
          <w:tcPr>
            <w:tcW w:w="524" w:type="pct"/>
            <w:vMerge w:val="continue"/>
            <w:vAlign w:val="center"/>
          </w:tcPr>
          <w:p w14:paraId="67D1B19B">
            <w:pPr>
              <w:pStyle w:val="557"/>
            </w:pPr>
          </w:p>
        </w:tc>
        <w:tc>
          <w:tcPr>
            <w:tcW w:w="457" w:type="pct"/>
            <w:vMerge w:val="continue"/>
            <w:vAlign w:val="center"/>
          </w:tcPr>
          <w:p w14:paraId="72977DC4">
            <w:pPr>
              <w:pStyle w:val="557"/>
            </w:pPr>
          </w:p>
        </w:tc>
        <w:tc>
          <w:tcPr>
            <w:tcW w:w="481" w:type="pct"/>
            <w:vMerge w:val="continue"/>
            <w:vAlign w:val="center"/>
          </w:tcPr>
          <w:p w14:paraId="38C0CF13">
            <w:pPr>
              <w:pStyle w:val="557"/>
            </w:pPr>
          </w:p>
        </w:tc>
        <w:tc>
          <w:tcPr>
            <w:tcW w:w="862" w:type="pct"/>
            <w:vAlign w:val="center"/>
          </w:tcPr>
          <w:p w14:paraId="57D4E3F1">
            <w:pPr>
              <w:jc w:val="center"/>
              <w:rPr>
                <w:rFonts w:ascii="Times New Roman" w:hAnsi="Times New Roman" w:cs="Times New Roman"/>
                <w:sz w:val="18"/>
                <w:szCs w:val="18"/>
              </w:rPr>
            </w:pPr>
            <w:r>
              <w:rPr>
                <w:rFonts w:hint="eastAsia" w:ascii="Times New Roman" w:hAnsi="Times New Roman" w:cs="Times New Roman"/>
                <w:sz w:val="18"/>
                <w:szCs w:val="18"/>
              </w:rPr>
              <w:t>N</w:t>
            </w:r>
            <w:r>
              <w:rPr>
                <w:rFonts w:hint="eastAsia" w:ascii="Times New Roman" w:hAnsi="Times New Roman" w:cs="Times New Roman"/>
                <w:sz w:val="18"/>
                <w:szCs w:val="18"/>
                <w:vertAlign w:val="subscript"/>
              </w:rPr>
              <w:t>2</w:t>
            </w:r>
          </w:p>
        </w:tc>
        <w:tc>
          <w:tcPr>
            <w:tcW w:w="591" w:type="pct"/>
            <w:vAlign w:val="center"/>
          </w:tcPr>
          <w:p w14:paraId="1D397ECD">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.6111</w:t>
            </w:r>
          </w:p>
        </w:tc>
        <w:tc>
          <w:tcPr>
            <w:tcW w:w="564" w:type="pct"/>
            <w:vMerge w:val="continue"/>
            <w:vAlign w:val="center"/>
          </w:tcPr>
          <w:p w14:paraId="41C247AE">
            <w:pPr>
              <w:pStyle w:val="557"/>
            </w:pPr>
          </w:p>
        </w:tc>
        <w:tc>
          <w:tcPr>
            <w:tcW w:w="550" w:type="pct"/>
            <w:vMerge w:val="continue"/>
            <w:vAlign w:val="center"/>
          </w:tcPr>
          <w:p w14:paraId="5544A372">
            <w:pPr>
              <w:pStyle w:val="557"/>
            </w:pPr>
          </w:p>
        </w:tc>
        <w:tc>
          <w:tcPr>
            <w:tcW w:w="682" w:type="pct"/>
            <w:vMerge w:val="continue"/>
            <w:vAlign w:val="center"/>
          </w:tcPr>
          <w:p w14:paraId="453F1FF6">
            <w:pPr>
              <w:pStyle w:val="557"/>
            </w:pPr>
          </w:p>
        </w:tc>
      </w:tr>
      <w:tr w14:paraId="33D5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40BD417">
            <w:pPr>
              <w:pStyle w:val="557"/>
            </w:pPr>
          </w:p>
        </w:tc>
        <w:tc>
          <w:tcPr>
            <w:tcW w:w="524" w:type="pct"/>
            <w:vMerge w:val="continue"/>
            <w:vAlign w:val="center"/>
          </w:tcPr>
          <w:p w14:paraId="04D471D7">
            <w:pPr>
              <w:pStyle w:val="557"/>
            </w:pPr>
          </w:p>
        </w:tc>
        <w:tc>
          <w:tcPr>
            <w:tcW w:w="457" w:type="pct"/>
            <w:vMerge w:val="continue"/>
            <w:vAlign w:val="center"/>
          </w:tcPr>
          <w:p w14:paraId="652005C4">
            <w:pPr>
              <w:pStyle w:val="557"/>
            </w:pPr>
          </w:p>
        </w:tc>
        <w:tc>
          <w:tcPr>
            <w:tcW w:w="481" w:type="pct"/>
            <w:vMerge w:val="continue"/>
            <w:vAlign w:val="center"/>
          </w:tcPr>
          <w:p w14:paraId="188A270B">
            <w:pPr>
              <w:pStyle w:val="557"/>
            </w:pPr>
          </w:p>
        </w:tc>
        <w:tc>
          <w:tcPr>
            <w:tcW w:w="862" w:type="pct"/>
            <w:vAlign w:val="center"/>
          </w:tcPr>
          <w:p w14:paraId="0708879F">
            <w:pPr>
              <w:jc w:val="center"/>
              <w:rPr>
                <w:rFonts w:ascii="Times New Roman" w:hAnsi="Times New Roman" w:cs="Times New Roman"/>
                <w:sz w:val="18"/>
                <w:szCs w:val="18"/>
              </w:rPr>
            </w:pPr>
            <w:r>
              <w:rPr>
                <w:rFonts w:hint="eastAsia" w:ascii="Times New Roman" w:hAnsi="Times New Roman" w:cs="Times New Roman"/>
                <w:sz w:val="18"/>
                <w:szCs w:val="18"/>
              </w:rPr>
              <w:t>AR</w:t>
            </w:r>
          </w:p>
        </w:tc>
        <w:tc>
          <w:tcPr>
            <w:tcW w:w="591" w:type="pct"/>
            <w:vAlign w:val="center"/>
          </w:tcPr>
          <w:p w14:paraId="6D47A232">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.0328</w:t>
            </w:r>
          </w:p>
        </w:tc>
        <w:tc>
          <w:tcPr>
            <w:tcW w:w="564" w:type="pct"/>
            <w:vMerge w:val="continue"/>
            <w:vAlign w:val="center"/>
          </w:tcPr>
          <w:p w14:paraId="70264448">
            <w:pPr>
              <w:pStyle w:val="557"/>
            </w:pPr>
          </w:p>
        </w:tc>
        <w:tc>
          <w:tcPr>
            <w:tcW w:w="550" w:type="pct"/>
            <w:vMerge w:val="continue"/>
            <w:vAlign w:val="center"/>
          </w:tcPr>
          <w:p w14:paraId="0716828F">
            <w:pPr>
              <w:pStyle w:val="557"/>
            </w:pPr>
          </w:p>
        </w:tc>
        <w:tc>
          <w:tcPr>
            <w:tcW w:w="682" w:type="pct"/>
            <w:vMerge w:val="continue"/>
            <w:vAlign w:val="center"/>
          </w:tcPr>
          <w:p w14:paraId="059B59EE">
            <w:pPr>
              <w:pStyle w:val="557"/>
            </w:pPr>
          </w:p>
        </w:tc>
      </w:tr>
      <w:tr w14:paraId="5F7B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92188A5">
            <w:pPr>
              <w:pStyle w:val="557"/>
            </w:pPr>
          </w:p>
        </w:tc>
        <w:tc>
          <w:tcPr>
            <w:tcW w:w="524" w:type="pct"/>
            <w:vMerge w:val="continue"/>
            <w:vAlign w:val="center"/>
          </w:tcPr>
          <w:p w14:paraId="0683E8AD">
            <w:pPr>
              <w:pStyle w:val="557"/>
            </w:pPr>
          </w:p>
        </w:tc>
        <w:tc>
          <w:tcPr>
            <w:tcW w:w="457" w:type="pct"/>
            <w:vMerge w:val="continue"/>
            <w:vAlign w:val="center"/>
          </w:tcPr>
          <w:p w14:paraId="0D81FA4F">
            <w:pPr>
              <w:pStyle w:val="557"/>
            </w:pPr>
          </w:p>
        </w:tc>
        <w:tc>
          <w:tcPr>
            <w:tcW w:w="481" w:type="pct"/>
            <w:vMerge w:val="continue"/>
            <w:vAlign w:val="center"/>
          </w:tcPr>
          <w:p w14:paraId="4E6C6AC9">
            <w:pPr>
              <w:pStyle w:val="557"/>
            </w:pPr>
          </w:p>
        </w:tc>
        <w:tc>
          <w:tcPr>
            <w:tcW w:w="862" w:type="pct"/>
            <w:vAlign w:val="center"/>
          </w:tcPr>
          <w:p w14:paraId="304982CD">
            <w:pPr>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4</w:t>
            </w:r>
          </w:p>
        </w:tc>
        <w:tc>
          <w:tcPr>
            <w:tcW w:w="591" w:type="pct"/>
            <w:vAlign w:val="center"/>
          </w:tcPr>
          <w:p w14:paraId="0F2BCDE3">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.2004</w:t>
            </w:r>
          </w:p>
        </w:tc>
        <w:tc>
          <w:tcPr>
            <w:tcW w:w="564" w:type="pct"/>
            <w:vMerge w:val="continue"/>
            <w:vAlign w:val="center"/>
          </w:tcPr>
          <w:p w14:paraId="1E864805">
            <w:pPr>
              <w:pStyle w:val="557"/>
            </w:pPr>
          </w:p>
        </w:tc>
        <w:tc>
          <w:tcPr>
            <w:tcW w:w="550" w:type="pct"/>
            <w:vMerge w:val="continue"/>
            <w:vAlign w:val="center"/>
          </w:tcPr>
          <w:p w14:paraId="2085B764">
            <w:pPr>
              <w:pStyle w:val="557"/>
            </w:pPr>
          </w:p>
        </w:tc>
        <w:tc>
          <w:tcPr>
            <w:tcW w:w="682" w:type="pct"/>
            <w:vMerge w:val="continue"/>
            <w:vAlign w:val="center"/>
          </w:tcPr>
          <w:p w14:paraId="44D94D6C">
            <w:pPr>
              <w:pStyle w:val="557"/>
            </w:pPr>
          </w:p>
        </w:tc>
      </w:tr>
      <w:tr w14:paraId="6D76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1B6581B">
            <w:pPr>
              <w:pStyle w:val="557"/>
            </w:pPr>
          </w:p>
        </w:tc>
        <w:tc>
          <w:tcPr>
            <w:tcW w:w="524" w:type="pct"/>
            <w:vMerge w:val="continue"/>
            <w:vAlign w:val="center"/>
          </w:tcPr>
          <w:p w14:paraId="3B5EBF4D">
            <w:pPr>
              <w:pStyle w:val="557"/>
            </w:pPr>
          </w:p>
        </w:tc>
        <w:tc>
          <w:tcPr>
            <w:tcW w:w="457" w:type="pct"/>
            <w:vMerge w:val="continue"/>
            <w:vAlign w:val="center"/>
          </w:tcPr>
          <w:p w14:paraId="3CDDCF5B">
            <w:pPr>
              <w:pStyle w:val="557"/>
            </w:pPr>
          </w:p>
        </w:tc>
        <w:tc>
          <w:tcPr>
            <w:tcW w:w="481" w:type="pct"/>
            <w:vMerge w:val="continue"/>
            <w:vAlign w:val="center"/>
          </w:tcPr>
          <w:p w14:paraId="24689C7E">
            <w:pPr>
              <w:pStyle w:val="557"/>
            </w:pPr>
          </w:p>
        </w:tc>
        <w:tc>
          <w:tcPr>
            <w:tcW w:w="862" w:type="pct"/>
            <w:vAlign w:val="center"/>
          </w:tcPr>
          <w:p w14:paraId="5C485DB8">
            <w:pPr>
              <w:jc w:val="center"/>
              <w:rPr>
                <w:rFonts w:ascii="Times New Roman" w:hAnsi="Times New Roman" w:cs="Times New Roman"/>
                <w:sz w:val="18"/>
                <w:szCs w:val="18"/>
              </w:rPr>
            </w:pPr>
            <w:r>
              <w:rPr>
                <w:rFonts w:hint="eastAsia" w:ascii="Times New Roman" w:hAnsi="Times New Roman" w:cs="Times New Roman"/>
                <w:sz w:val="18"/>
                <w:szCs w:val="18"/>
              </w:rPr>
              <w:t>CO</w:t>
            </w:r>
          </w:p>
        </w:tc>
        <w:tc>
          <w:tcPr>
            <w:tcW w:w="591" w:type="pct"/>
            <w:vAlign w:val="center"/>
          </w:tcPr>
          <w:p w14:paraId="5F4054C7">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7</w:t>
            </w:r>
            <w:r>
              <w:rPr>
                <w:rFonts w:ascii="Times New Roman" w:hAnsi="Times New Roman" w:cs="Times New Roman"/>
                <w:sz w:val="18"/>
                <w:szCs w:val="18"/>
              </w:rPr>
              <w:t>4.3655</w:t>
            </w:r>
          </w:p>
        </w:tc>
        <w:tc>
          <w:tcPr>
            <w:tcW w:w="564" w:type="pct"/>
            <w:vMerge w:val="continue"/>
            <w:vAlign w:val="center"/>
          </w:tcPr>
          <w:p w14:paraId="42013693">
            <w:pPr>
              <w:pStyle w:val="557"/>
            </w:pPr>
          </w:p>
        </w:tc>
        <w:tc>
          <w:tcPr>
            <w:tcW w:w="550" w:type="pct"/>
            <w:vMerge w:val="continue"/>
            <w:vAlign w:val="center"/>
          </w:tcPr>
          <w:p w14:paraId="43978EE7">
            <w:pPr>
              <w:pStyle w:val="557"/>
            </w:pPr>
          </w:p>
        </w:tc>
        <w:tc>
          <w:tcPr>
            <w:tcW w:w="682" w:type="pct"/>
            <w:vMerge w:val="continue"/>
            <w:vAlign w:val="center"/>
          </w:tcPr>
          <w:p w14:paraId="2852042B">
            <w:pPr>
              <w:pStyle w:val="557"/>
            </w:pPr>
          </w:p>
        </w:tc>
      </w:tr>
      <w:tr w14:paraId="13B3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restart"/>
            <w:vAlign w:val="center"/>
          </w:tcPr>
          <w:p w14:paraId="7CF2A230">
            <w:pPr>
              <w:pStyle w:val="557"/>
            </w:pPr>
            <w:r>
              <w:rPr>
                <w:rFonts w:hint="eastAsia"/>
              </w:rPr>
              <w:t>3</w:t>
            </w:r>
          </w:p>
        </w:tc>
        <w:tc>
          <w:tcPr>
            <w:tcW w:w="524" w:type="pct"/>
            <w:vMerge w:val="restart"/>
            <w:vAlign w:val="center"/>
          </w:tcPr>
          <w:p w14:paraId="0344F684">
            <w:pPr>
              <w:pStyle w:val="557"/>
            </w:pPr>
            <w:r>
              <w:rPr>
                <w:rFonts w:hint="eastAsia"/>
              </w:rPr>
              <w:t>净化及分离装置-一氧化碳深冷分离</w:t>
            </w:r>
          </w:p>
        </w:tc>
        <w:tc>
          <w:tcPr>
            <w:tcW w:w="457" w:type="pct"/>
            <w:vMerge w:val="restart"/>
            <w:vAlign w:val="center"/>
          </w:tcPr>
          <w:p w14:paraId="07B1C8CC">
            <w:pPr>
              <w:pStyle w:val="557"/>
            </w:pPr>
            <w:r>
              <w:rPr>
                <w:rFonts w:hint="eastAsia"/>
              </w:rPr>
              <w:t>30</w:t>
            </w:r>
          </w:p>
        </w:tc>
        <w:tc>
          <w:tcPr>
            <w:tcW w:w="481" w:type="pct"/>
            <w:vMerge w:val="restart"/>
            <w:vAlign w:val="center"/>
          </w:tcPr>
          <w:p w14:paraId="4A70FF58">
            <w:pPr>
              <w:pStyle w:val="557"/>
            </w:pPr>
            <w:r>
              <w:rPr>
                <w:rFonts w:hint="eastAsia"/>
              </w:rPr>
              <w:t>/</w:t>
            </w:r>
          </w:p>
        </w:tc>
        <w:tc>
          <w:tcPr>
            <w:tcW w:w="862" w:type="pct"/>
            <w:vAlign w:val="center"/>
          </w:tcPr>
          <w:p w14:paraId="6C00BD81">
            <w:pPr>
              <w:jc w:val="center"/>
              <w:rPr>
                <w:rFonts w:ascii="Times New Roman" w:hAnsi="Times New Roman" w:cs="Times New Roman"/>
                <w:sz w:val="18"/>
                <w:szCs w:val="18"/>
              </w:rPr>
            </w:pPr>
            <w:r>
              <w:rPr>
                <w:rFonts w:hint="eastAsia" w:ascii="Times New Roman" w:hAnsi="Times New Roman" w:cs="Times New Roman"/>
                <w:sz w:val="18"/>
                <w:szCs w:val="18"/>
              </w:rPr>
              <w:t>H</w:t>
            </w:r>
            <w:r>
              <w:rPr>
                <w:rFonts w:hint="eastAsia" w:ascii="Times New Roman" w:hAnsi="Times New Roman" w:cs="Times New Roman"/>
                <w:sz w:val="18"/>
                <w:szCs w:val="18"/>
                <w:vertAlign w:val="subscript"/>
              </w:rPr>
              <w:t>2</w:t>
            </w:r>
          </w:p>
        </w:tc>
        <w:tc>
          <w:tcPr>
            <w:tcW w:w="591" w:type="pct"/>
            <w:vAlign w:val="center"/>
          </w:tcPr>
          <w:p w14:paraId="7372FA04">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4.539</w:t>
            </w:r>
          </w:p>
        </w:tc>
        <w:tc>
          <w:tcPr>
            <w:tcW w:w="564" w:type="pct"/>
            <w:vMerge w:val="restart"/>
            <w:vAlign w:val="center"/>
          </w:tcPr>
          <w:p w14:paraId="1CEE6AE9">
            <w:pPr>
              <w:pStyle w:val="557"/>
            </w:pPr>
            <w:r>
              <w:rPr>
                <w:rFonts w:hint="eastAsia"/>
              </w:rPr>
              <w:t>45665</w:t>
            </w:r>
          </w:p>
        </w:tc>
        <w:tc>
          <w:tcPr>
            <w:tcW w:w="550" w:type="pct"/>
            <w:vMerge w:val="restart"/>
            <w:vAlign w:val="center"/>
          </w:tcPr>
          <w:p w14:paraId="01881F13">
            <w:pPr>
              <w:pStyle w:val="557"/>
            </w:pPr>
            <w:r>
              <w:rPr>
                <w:rFonts w:hint="eastAsia"/>
              </w:rPr>
              <w:t>放空气</w:t>
            </w:r>
          </w:p>
        </w:tc>
        <w:tc>
          <w:tcPr>
            <w:tcW w:w="682" w:type="pct"/>
            <w:vMerge w:val="restart"/>
            <w:vAlign w:val="center"/>
          </w:tcPr>
          <w:p w14:paraId="5E1CD8BE">
            <w:pPr>
              <w:pStyle w:val="557"/>
            </w:pPr>
            <w:r>
              <w:rPr>
                <w:rFonts w:hint="eastAsia"/>
              </w:rPr>
              <w:t>排入主火炬系统</w:t>
            </w:r>
          </w:p>
        </w:tc>
      </w:tr>
      <w:tr w14:paraId="2431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64EBCD4">
            <w:pPr>
              <w:pStyle w:val="557"/>
            </w:pPr>
          </w:p>
        </w:tc>
        <w:tc>
          <w:tcPr>
            <w:tcW w:w="524" w:type="pct"/>
            <w:vMerge w:val="continue"/>
            <w:vAlign w:val="center"/>
          </w:tcPr>
          <w:p w14:paraId="45AF060E">
            <w:pPr>
              <w:pStyle w:val="557"/>
            </w:pPr>
          </w:p>
        </w:tc>
        <w:tc>
          <w:tcPr>
            <w:tcW w:w="457" w:type="pct"/>
            <w:vMerge w:val="continue"/>
            <w:vAlign w:val="center"/>
          </w:tcPr>
          <w:p w14:paraId="6688166F">
            <w:pPr>
              <w:pStyle w:val="557"/>
            </w:pPr>
          </w:p>
        </w:tc>
        <w:tc>
          <w:tcPr>
            <w:tcW w:w="481" w:type="pct"/>
            <w:vMerge w:val="continue"/>
            <w:vAlign w:val="center"/>
          </w:tcPr>
          <w:p w14:paraId="0DD187E1">
            <w:pPr>
              <w:pStyle w:val="557"/>
            </w:pPr>
          </w:p>
        </w:tc>
        <w:tc>
          <w:tcPr>
            <w:tcW w:w="862" w:type="pct"/>
            <w:vAlign w:val="center"/>
          </w:tcPr>
          <w:p w14:paraId="3A567744">
            <w:pPr>
              <w:jc w:val="center"/>
              <w:rPr>
                <w:rFonts w:ascii="Times New Roman" w:hAnsi="Times New Roman" w:cs="Times New Roman"/>
                <w:sz w:val="18"/>
                <w:szCs w:val="18"/>
              </w:rPr>
            </w:pPr>
            <w:r>
              <w:rPr>
                <w:rFonts w:hint="eastAsia" w:ascii="Times New Roman" w:hAnsi="Times New Roman" w:cs="Times New Roman"/>
                <w:sz w:val="18"/>
                <w:szCs w:val="18"/>
              </w:rPr>
              <w:t>N</w:t>
            </w:r>
            <w:r>
              <w:rPr>
                <w:rFonts w:hint="eastAsia" w:ascii="Times New Roman" w:hAnsi="Times New Roman" w:cs="Times New Roman"/>
                <w:sz w:val="18"/>
                <w:szCs w:val="18"/>
                <w:vertAlign w:val="subscript"/>
              </w:rPr>
              <w:t>2</w:t>
            </w:r>
          </w:p>
        </w:tc>
        <w:tc>
          <w:tcPr>
            <w:tcW w:w="591" w:type="pct"/>
            <w:vAlign w:val="center"/>
          </w:tcPr>
          <w:p w14:paraId="222A2BD8">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.639</w:t>
            </w:r>
          </w:p>
        </w:tc>
        <w:tc>
          <w:tcPr>
            <w:tcW w:w="564" w:type="pct"/>
            <w:vMerge w:val="continue"/>
            <w:vAlign w:val="center"/>
          </w:tcPr>
          <w:p w14:paraId="46E0C387">
            <w:pPr>
              <w:pStyle w:val="557"/>
            </w:pPr>
          </w:p>
        </w:tc>
        <w:tc>
          <w:tcPr>
            <w:tcW w:w="550" w:type="pct"/>
            <w:vMerge w:val="continue"/>
            <w:vAlign w:val="center"/>
          </w:tcPr>
          <w:p w14:paraId="37B9E584">
            <w:pPr>
              <w:pStyle w:val="557"/>
            </w:pPr>
          </w:p>
        </w:tc>
        <w:tc>
          <w:tcPr>
            <w:tcW w:w="682" w:type="pct"/>
            <w:vMerge w:val="continue"/>
            <w:vAlign w:val="center"/>
          </w:tcPr>
          <w:p w14:paraId="71A6B9C3">
            <w:pPr>
              <w:pStyle w:val="557"/>
            </w:pPr>
          </w:p>
        </w:tc>
      </w:tr>
      <w:tr w14:paraId="7033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806C5C8">
            <w:pPr>
              <w:pStyle w:val="557"/>
            </w:pPr>
          </w:p>
        </w:tc>
        <w:tc>
          <w:tcPr>
            <w:tcW w:w="524" w:type="pct"/>
            <w:vMerge w:val="continue"/>
            <w:vAlign w:val="center"/>
          </w:tcPr>
          <w:p w14:paraId="56DE4DD7">
            <w:pPr>
              <w:pStyle w:val="557"/>
            </w:pPr>
          </w:p>
        </w:tc>
        <w:tc>
          <w:tcPr>
            <w:tcW w:w="457" w:type="pct"/>
            <w:vMerge w:val="continue"/>
            <w:vAlign w:val="center"/>
          </w:tcPr>
          <w:p w14:paraId="295D162F">
            <w:pPr>
              <w:pStyle w:val="557"/>
            </w:pPr>
          </w:p>
        </w:tc>
        <w:tc>
          <w:tcPr>
            <w:tcW w:w="481" w:type="pct"/>
            <w:vMerge w:val="continue"/>
            <w:vAlign w:val="center"/>
          </w:tcPr>
          <w:p w14:paraId="7328E42F">
            <w:pPr>
              <w:pStyle w:val="557"/>
            </w:pPr>
          </w:p>
        </w:tc>
        <w:tc>
          <w:tcPr>
            <w:tcW w:w="862" w:type="pct"/>
            <w:vAlign w:val="center"/>
          </w:tcPr>
          <w:p w14:paraId="02C6DA7C">
            <w:pPr>
              <w:jc w:val="center"/>
              <w:rPr>
                <w:rFonts w:ascii="Times New Roman" w:hAnsi="Times New Roman" w:cs="Times New Roman"/>
                <w:sz w:val="18"/>
                <w:szCs w:val="18"/>
              </w:rPr>
            </w:pPr>
            <w:r>
              <w:rPr>
                <w:rFonts w:hint="eastAsia" w:ascii="Times New Roman" w:hAnsi="Times New Roman" w:cs="Times New Roman"/>
                <w:sz w:val="18"/>
                <w:szCs w:val="18"/>
              </w:rPr>
              <w:t>CO</w:t>
            </w:r>
          </w:p>
        </w:tc>
        <w:tc>
          <w:tcPr>
            <w:tcW w:w="591" w:type="pct"/>
            <w:vAlign w:val="center"/>
          </w:tcPr>
          <w:p w14:paraId="21B880D2">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7</w:t>
            </w:r>
            <w:r>
              <w:rPr>
                <w:rFonts w:ascii="Times New Roman" w:hAnsi="Times New Roman" w:cs="Times New Roman"/>
                <w:sz w:val="18"/>
                <w:szCs w:val="18"/>
              </w:rPr>
              <w:t>4.755</w:t>
            </w:r>
          </w:p>
        </w:tc>
        <w:tc>
          <w:tcPr>
            <w:tcW w:w="564" w:type="pct"/>
            <w:vMerge w:val="continue"/>
            <w:vAlign w:val="center"/>
          </w:tcPr>
          <w:p w14:paraId="3E32AD7E">
            <w:pPr>
              <w:pStyle w:val="557"/>
            </w:pPr>
          </w:p>
        </w:tc>
        <w:tc>
          <w:tcPr>
            <w:tcW w:w="550" w:type="pct"/>
            <w:vMerge w:val="continue"/>
            <w:vAlign w:val="center"/>
          </w:tcPr>
          <w:p w14:paraId="393683E7">
            <w:pPr>
              <w:pStyle w:val="557"/>
            </w:pPr>
          </w:p>
        </w:tc>
        <w:tc>
          <w:tcPr>
            <w:tcW w:w="682" w:type="pct"/>
            <w:vMerge w:val="continue"/>
            <w:vAlign w:val="center"/>
          </w:tcPr>
          <w:p w14:paraId="7B6F198B">
            <w:pPr>
              <w:pStyle w:val="557"/>
            </w:pPr>
          </w:p>
        </w:tc>
      </w:tr>
      <w:tr w14:paraId="52C0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245ED9A">
            <w:pPr>
              <w:pStyle w:val="557"/>
            </w:pPr>
          </w:p>
        </w:tc>
        <w:tc>
          <w:tcPr>
            <w:tcW w:w="524" w:type="pct"/>
            <w:vMerge w:val="continue"/>
            <w:vAlign w:val="center"/>
          </w:tcPr>
          <w:p w14:paraId="1FB8F268">
            <w:pPr>
              <w:pStyle w:val="557"/>
            </w:pPr>
          </w:p>
        </w:tc>
        <w:tc>
          <w:tcPr>
            <w:tcW w:w="457" w:type="pct"/>
            <w:vMerge w:val="continue"/>
            <w:vAlign w:val="center"/>
          </w:tcPr>
          <w:p w14:paraId="153841DF">
            <w:pPr>
              <w:pStyle w:val="557"/>
            </w:pPr>
          </w:p>
        </w:tc>
        <w:tc>
          <w:tcPr>
            <w:tcW w:w="481" w:type="pct"/>
            <w:vMerge w:val="continue"/>
            <w:vAlign w:val="center"/>
          </w:tcPr>
          <w:p w14:paraId="2A43C36E">
            <w:pPr>
              <w:pStyle w:val="557"/>
            </w:pPr>
          </w:p>
        </w:tc>
        <w:tc>
          <w:tcPr>
            <w:tcW w:w="862" w:type="pct"/>
            <w:vAlign w:val="center"/>
          </w:tcPr>
          <w:p w14:paraId="04AD2E61">
            <w:pPr>
              <w:jc w:val="center"/>
              <w:rPr>
                <w:rFonts w:ascii="Times New Roman" w:hAnsi="Times New Roman" w:cs="Times New Roman"/>
                <w:sz w:val="18"/>
                <w:szCs w:val="18"/>
              </w:rPr>
            </w:pPr>
            <w:r>
              <w:rPr>
                <w:rFonts w:hint="eastAsia" w:ascii="Times New Roman" w:hAnsi="Times New Roman" w:cs="Times New Roman"/>
                <w:sz w:val="18"/>
                <w:szCs w:val="18"/>
              </w:rPr>
              <w:t>Ar</w:t>
            </w:r>
          </w:p>
        </w:tc>
        <w:tc>
          <w:tcPr>
            <w:tcW w:w="591" w:type="pct"/>
            <w:vAlign w:val="center"/>
          </w:tcPr>
          <w:p w14:paraId="02D8E36F">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.031</w:t>
            </w:r>
          </w:p>
        </w:tc>
        <w:tc>
          <w:tcPr>
            <w:tcW w:w="564" w:type="pct"/>
            <w:vMerge w:val="continue"/>
            <w:vAlign w:val="center"/>
          </w:tcPr>
          <w:p w14:paraId="5599C289">
            <w:pPr>
              <w:pStyle w:val="557"/>
            </w:pPr>
          </w:p>
        </w:tc>
        <w:tc>
          <w:tcPr>
            <w:tcW w:w="550" w:type="pct"/>
            <w:vMerge w:val="continue"/>
            <w:vAlign w:val="center"/>
          </w:tcPr>
          <w:p w14:paraId="06C8D7DE">
            <w:pPr>
              <w:pStyle w:val="557"/>
            </w:pPr>
          </w:p>
        </w:tc>
        <w:tc>
          <w:tcPr>
            <w:tcW w:w="682" w:type="pct"/>
            <w:vMerge w:val="continue"/>
            <w:vAlign w:val="center"/>
          </w:tcPr>
          <w:p w14:paraId="620E1ED0">
            <w:pPr>
              <w:pStyle w:val="557"/>
            </w:pPr>
          </w:p>
        </w:tc>
      </w:tr>
      <w:tr w14:paraId="7901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4EC8B7F1">
            <w:pPr>
              <w:pStyle w:val="557"/>
            </w:pPr>
          </w:p>
        </w:tc>
        <w:tc>
          <w:tcPr>
            <w:tcW w:w="524" w:type="pct"/>
            <w:vMerge w:val="continue"/>
            <w:vAlign w:val="center"/>
          </w:tcPr>
          <w:p w14:paraId="05457ADC">
            <w:pPr>
              <w:pStyle w:val="557"/>
            </w:pPr>
          </w:p>
        </w:tc>
        <w:tc>
          <w:tcPr>
            <w:tcW w:w="457" w:type="pct"/>
            <w:vMerge w:val="continue"/>
            <w:vAlign w:val="center"/>
          </w:tcPr>
          <w:p w14:paraId="55870963">
            <w:pPr>
              <w:pStyle w:val="557"/>
            </w:pPr>
          </w:p>
        </w:tc>
        <w:tc>
          <w:tcPr>
            <w:tcW w:w="481" w:type="pct"/>
            <w:vMerge w:val="continue"/>
            <w:vAlign w:val="center"/>
          </w:tcPr>
          <w:p w14:paraId="387FEF09">
            <w:pPr>
              <w:pStyle w:val="557"/>
            </w:pPr>
          </w:p>
        </w:tc>
        <w:tc>
          <w:tcPr>
            <w:tcW w:w="862" w:type="pct"/>
            <w:vAlign w:val="center"/>
          </w:tcPr>
          <w:p w14:paraId="1F01FE78">
            <w:pPr>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4</w:t>
            </w:r>
          </w:p>
        </w:tc>
        <w:tc>
          <w:tcPr>
            <w:tcW w:w="591" w:type="pct"/>
            <w:vAlign w:val="center"/>
          </w:tcPr>
          <w:p w14:paraId="2A8BFF09">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.037</w:t>
            </w:r>
          </w:p>
        </w:tc>
        <w:tc>
          <w:tcPr>
            <w:tcW w:w="564" w:type="pct"/>
            <w:vMerge w:val="continue"/>
            <w:vAlign w:val="center"/>
          </w:tcPr>
          <w:p w14:paraId="57C3D402">
            <w:pPr>
              <w:pStyle w:val="557"/>
            </w:pPr>
          </w:p>
        </w:tc>
        <w:tc>
          <w:tcPr>
            <w:tcW w:w="550" w:type="pct"/>
            <w:vMerge w:val="continue"/>
            <w:vAlign w:val="center"/>
          </w:tcPr>
          <w:p w14:paraId="0EA94578">
            <w:pPr>
              <w:pStyle w:val="557"/>
            </w:pPr>
          </w:p>
        </w:tc>
        <w:tc>
          <w:tcPr>
            <w:tcW w:w="682" w:type="pct"/>
            <w:vMerge w:val="continue"/>
            <w:vAlign w:val="center"/>
          </w:tcPr>
          <w:p w14:paraId="0EDABFEC">
            <w:pPr>
              <w:pStyle w:val="557"/>
            </w:pPr>
          </w:p>
        </w:tc>
      </w:tr>
      <w:tr w14:paraId="032B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4A43D13A">
            <w:pPr>
              <w:pStyle w:val="557"/>
            </w:pPr>
          </w:p>
        </w:tc>
        <w:tc>
          <w:tcPr>
            <w:tcW w:w="524" w:type="pct"/>
            <w:vMerge w:val="continue"/>
            <w:vAlign w:val="center"/>
          </w:tcPr>
          <w:p w14:paraId="26BE6B9F">
            <w:pPr>
              <w:pStyle w:val="557"/>
            </w:pPr>
          </w:p>
        </w:tc>
        <w:tc>
          <w:tcPr>
            <w:tcW w:w="457" w:type="pct"/>
            <w:vMerge w:val="continue"/>
            <w:vAlign w:val="center"/>
          </w:tcPr>
          <w:p w14:paraId="72338C86">
            <w:pPr>
              <w:pStyle w:val="557"/>
            </w:pPr>
          </w:p>
        </w:tc>
        <w:tc>
          <w:tcPr>
            <w:tcW w:w="481" w:type="pct"/>
            <w:vMerge w:val="continue"/>
            <w:vAlign w:val="center"/>
          </w:tcPr>
          <w:p w14:paraId="3EA2E1BF">
            <w:pPr>
              <w:pStyle w:val="557"/>
            </w:pPr>
          </w:p>
        </w:tc>
        <w:tc>
          <w:tcPr>
            <w:tcW w:w="862" w:type="pct"/>
            <w:vAlign w:val="center"/>
          </w:tcPr>
          <w:p w14:paraId="09BB39FA">
            <w:pPr>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3</w:t>
            </w:r>
            <w:r>
              <w:rPr>
                <w:rFonts w:hint="eastAsia" w:ascii="Times New Roman" w:hAnsi="Times New Roman" w:cs="Times New Roman"/>
                <w:sz w:val="18"/>
                <w:szCs w:val="18"/>
              </w:rPr>
              <w:t>OH</w:t>
            </w:r>
          </w:p>
        </w:tc>
        <w:tc>
          <w:tcPr>
            <w:tcW w:w="591" w:type="pct"/>
            <w:vAlign w:val="center"/>
          </w:tcPr>
          <w:p w14:paraId="6EABDA46">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.001</w:t>
            </w:r>
          </w:p>
        </w:tc>
        <w:tc>
          <w:tcPr>
            <w:tcW w:w="564" w:type="pct"/>
            <w:vMerge w:val="continue"/>
            <w:vAlign w:val="center"/>
          </w:tcPr>
          <w:p w14:paraId="51E1A0F2">
            <w:pPr>
              <w:pStyle w:val="557"/>
            </w:pPr>
          </w:p>
        </w:tc>
        <w:tc>
          <w:tcPr>
            <w:tcW w:w="550" w:type="pct"/>
            <w:vMerge w:val="continue"/>
            <w:vAlign w:val="center"/>
          </w:tcPr>
          <w:p w14:paraId="57E844F2">
            <w:pPr>
              <w:pStyle w:val="557"/>
            </w:pPr>
          </w:p>
        </w:tc>
        <w:tc>
          <w:tcPr>
            <w:tcW w:w="682" w:type="pct"/>
            <w:vMerge w:val="continue"/>
            <w:vAlign w:val="center"/>
          </w:tcPr>
          <w:p w14:paraId="04A9DA60">
            <w:pPr>
              <w:pStyle w:val="557"/>
            </w:pPr>
          </w:p>
        </w:tc>
      </w:tr>
      <w:tr w14:paraId="3746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2CA64BD6">
            <w:pPr>
              <w:pStyle w:val="557"/>
            </w:pPr>
            <w:r>
              <w:rPr>
                <w:rFonts w:hint="eastAsia"/>
              </w:rPr>
              <w:t>4</w:t>
            </w:r>
          </w:p>
        </w:tc>
        <w:tc>
          <w:tcPr>
            <w:tcW w:w="524" w:type="pct"/>
            <w:vMerge w:val="restart"/>
            <w:vAlign w:val="center"/>
          </w:tcPr>
          <w:p w14:paraId="02B823B2">
            <w:pPr>
              <w:pStyle w:val="557"/>
            </w:pPr>
            <w:r>
              <w:rPr>
                <w:rFonts w:hint="eastAsia"/>
              </w:rPr>
              <w:t>净化及分离装置-硫回收单元</w:t>
            </w:r>
          </w:p>
        </w:tc>
        <w:tc>
          <w:tcPr>
            <w:tcW w:w="457" w:type="pct"/>
            <w:vMerge w:val="restart"/>
            <w:vAlign w:val="center"/>
          </w:tcPr>
          <w:p w14:paraId="6D3E0AB3">
            <w:pPr>
              <w:pStyle w:val="557"/>
            </w:pPr>
            <w:r>
              <w:rPr>
                <w:rFonts w:hint="eastAsia"/>
              </w:rPr>
              <w:t>30</w:t>
            </w:r>
          </w:p>
        </w:tc>
        <w:tc>
          <w:tcPr>
            <w:tcW w:w="481" w:type="pct"/>
            <w:vMerge w:val="restart"/>
            <w:vAlign w:val="center"/>
          </w:tcPr>
          <w:p w14:paraId="002D673A">
            <w:pPr>
              <w:pStyle w:val="557"/>
            </w:pPr>
            <w:r>
              <w:rPr>
                <w:rFonts w:hint="eastAsia"/>
              </w:rPr>
              <w:t>/</w:t>
            </w:r>
          </w:p>
        </w:tc>
        <w:tc>
          <w:tcPr>
            <w:tcW w:w="862" w:type="pct"/>
            <w:vAlign w:val="center"/>
          </w:tcPr>
          <w:p w14:paraId="68DDB95D">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O</w:t>
            </w:r>
          </w:p>
        </w:tc>
        <w:tc>
          <w:tcPr>
            <w:tcW w:w="591" w:type="pct"/>
            <w:vAlign w:val="center"/>
          </w:tcPr>
          <w:p w14:paraId="1D1D25D1">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.0841</w:t>
            </w:r>
          </w:p>
        </w:tc>
        <w:tc>
          <w:tcPr>
            <w:tcW w:w="564" w:type="pct"/>
            <w:vMerge w:val="restart"/>
            <w:vAlign w:val="center"/>
          </w:tcPr>
          <w:p w14:paraId="02407C8D">
            <w:pPr>
              <w:pStyle w:val="557"/>
            </w:pPr>
            <w:r>
              <w:rPr>
                <w:rFonts w:hint="eastAsia"/>
              </w:rPr>
              <w:t>1258</w:t>
            </w:r>
          </w:p>
        </w:tc>
        <w:tc>
          <w:tcPr>
            <w:tcW w:w="550" w:type="pct"/>
            <w:vMerge w:val="restart"/>
            <w:vAlign w:val="center"/>
          </w:tcPr>
          <w:p w14:paraId="7EF6D47B">
            <w:pPr>
              <w:pStyle w:val="557"/>
            </w:pPr>
            <w:r>
              <w:rPr>
                <w:rFonts w:hint="eastAsia"/>
              </w:rPr>
              <w:t>酸性气排放</w:t>
            </w:r>
          </w:p>
        </w:tc>
        <w:tc>
          <w:tcPr>
            <w:tcW w:w="682" w:type="pct"/>
            <w:vMerge w:val="restart"/>
            <w:vAlign w:val="center"/>
          </w:tcPr>
          <w:p w14:paraId="5E4279C8">
            <w:pPr>
              <w:pStyle w:val="557"/>
            </w:pPr>
            <w:r>
              <w:rPr>
                <w:rFonts w:hint="eastAsia"/>
              </w:rPr>
              <w:t>排入酸性气火炬系统</w:t>
            </w:r>
          </w:p>
        </w:tc>
      </w:tr>
      <w:tr w14:paraId="0E0D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1EFDE58">
            <w:pPr>
              <w:pStyle w:val="557"/>
            </w:pPr>
          </w:p>
        </w:tc>
        <w:tc>
          <w:tcPr>
            <w:tcW w:w="524" w:type="pct"/>
            <w:vMerge w:val="continue"/>
            <w:vAlign w:val="center"/>
          </w:tcPr>
          <w:p w14:paraId="5A31A11F">
            <w:pPr>
              <w:pStyle w:val="557"/>
            </w:pPr>
          </w:p>
        </w:tc>
        <w:tc>
          <w:tcPr>
            <w:tcW w:w="457" w:type="pct"/>
            <w:vMerge w:val="continue"/>
            <w:vAlign w:val="center"/>
          </w:tcPr>
          <w:p w14:paraId="3CFF0338">
            <w:pPr>
              <w:pStyle w:val="557"/>
            </w:pPr>
          </w:p>
        </w:tc>
        <w:tc>
          <w:tcPr>
            <w:tcW w:w="481" w:type="pct"/>
            <w:vMerge w:val="continue"/>
            <w:vAlign w:val="center"/>
          </w:tcPr>
          <w:p w14:paraId="1E2B56D5">
            <w:pPr>
              <w:pStyle w:val="557"/>
            </w:pPr>
          </w:p>
        </w:tc>
        <w:tc>
          <w:tcPr>
            <w:tcW w:w="862" w:type="pct"/>
            <w:vAlign w:val="center"/>
          </w:tcPr>
          <w:p w14:paraId="7FAEFAE6">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CO</w:t>
            </w:r>
            <w:r>
              <w:rPr>
                <w:rFonts w:hint="eastAsia" w:ascii="Times New Roman" w:hAnsi="Times New Roman" w:cs="Times New Roman"/>
                <w:sz w:val="18"/>
                <w:szCs w:val="18"/>
                <w:vertAlign w:val="subscript"/>
              </w:rPr>
              <w:t>2</w:t>
            </w:r>
          </w:p>
        </w:tc>
        <w:tc>
          <w:tcPr>
            <w:tcW w:w="591" w:type="pct"/>
            <w:vAlign w:val="center"/>
          </w:tcPr>
          <w:p w14:paraId="76DC3B5E">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2.115</w:t>
            </w:r>
          </w:p>
        </w:tc>
        <w:tc>
          <w:tcPr>
            <w:tcW w:w="564" w:type="pct"/>
            <w:vMerge w:val="continue"/>
            <w:vAlign w:val="center"/>
          </w:tcPr>
          <w:p w14:paraId="79DE820D">
            <w:pPr>
              <w:pStyle w:val="557"/>
            </w:pPr>
          </w:p>
        </w:tc>
        <w:tc>
          <w:tcPr>
            <w:tcW w:w="550" w:type="pct"/>
            <w:vMerge w:val="continue"/>
            <w:vAlign w:val="center"/>
          </w:tcPr>
          <w:p w14:paraId="68302521">
            <w:pPr>
              <w:pStyle w:val="557"/>
            </w:pPr>
          </w:p>
        </w:tc>
        <w:tc>
          <w:tcPr>
            <w:tcW w:w="682" w:type="pct"/>
            <w:vMerge w:val="continue"/>
            <w:vAlign w:val="center"/>
          </w:tcPr>
          <w:p w14:paraId="1A0D5F4C">
            <w:pPr>
              <w:pStyle w:val="557"/>
            </w:pPr>
          </w:p>
        </w:tc>
      </w:tr>
      <w:tr w14:paraId="1345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CD41908">
            <w:pPr>
              <w:pStyle w:val="557"/>
            </w:pPr>
          </w:p>
        </w:tc>
        <w:tc>
          <w:tcPr>
            <w:tcW w:w="524" w:type="pct"/>
            <w:vMerge w:val="continue"/>
            <w:vAlign w:val="center"/>
          </w:tcPr>
          <w:p w14:paraId="2FD12904">
            <w:pPr>
              <w:pStyle w:val="557"/>
            </w:pPr>
          </w:p>
        </w:tc>
        <w:tc>
          <w:tcPr>
            <w:tcW w:w="457" w:type="pct"/>
            <w:vMerge w:val="continue"/>
            <w:vAlign w:val="center"/>
          </w:tcPr>
          <w:p w14:paraId="061F4185">
            <w:pPr>
              <w:pStyle w:val="557"/>
            </w:pPr>
          </w:p>
        </w:tc>
        <w:tc>
          <w:tcPr>
            <w:tcW w:w="481" w:type="pct"/>
            <w:vMerge w:val="continue"/>
            <w:vAlign w:val="center"/>
          </w:tcPr>
          <w:p w14:paraId="78212E3B">
            <w:pPr>
              <w:pStyle w:val="557"/>
            </w:pPr>
          </w:p>
        </w:tc>
        <w:tc>
          <w:tcPr>
            <w:tcW w:w="862" w:type="pct"/>
            <w:vAlign w:val="center"/>
          </w:tcPr>
          <w:p w14:paraId="2BF78000">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N</w:t>
            </w:r>
            <w:r>
              <w:rPr>
                <w:rFonts w:hint="eastAsia" w:ascii="Times New Roman" w:hAnsi="Times New Roman" w:cs="Times New Roman"/>
                <w:sz w:val="18"/>
                <w:szCs w:val="18"/>
                <w:vertAlign w:val="subscript"/>
              </w:rPr>
              <w:t>2</w:t>
            </w:r>
          </w:p>
        </w:tc>
        <w:tc>
          <w:tcPr>
            <w:tcW w:w="591" w:type="pct"/>
            <w:vAlign w:val="center"/>
          </w:tcPr>
          <w:p w14:paraId="50F64F80">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.3765</w:t>
            </w:r>
          </w:p>
        </w:tc>
        <w:tc>
          <w:tcPr>
            <w:tcW w:w="564" w:type="pct"/>
            <w:vMerge w:val="continue"/>
            <w:vAlign w:val="center"/>
          </w:tcPr>
          <w:p w14:paraId="1454B0A1">
            <w:pPr>
              <w:pStyle w:val="557"/>
            </w:pPr>
          </w:p>
        </w:tc>
        <w:tc>
          <w:tcPr>
            <w:tcW w:w="550" w:type="pct"/>
            <w:vMerge w:val="continue"/>
            <w:vAlign w:val="center"/>
          </w:tcPr>
          <w:p w14:paraId="1008BCC6">
            <w:pPr>
              <w:pStyle w:val="557"/>
            </w:pPr>
          </w:p>
        </w:tc>
        <w:tc>
          <w:tcPr>
            <w:tcW w:w="682" w:type="pct"/>
            <w:vMerge w:val="continue"/>
            <w:vAlign w:val="center"/>
          </w:tcPr>
          <w:p w14:paraId="3A3EB8D1">
            <w:pPr>
              <w:pStyle w:val="557"/>
            </w:pPr>
          </w:p>
        </w:tc>
      </w:tr>
      <w:tr w14:paraId="33C8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5B68F3F5">
            <w:pPr>
              <w:pStyle w:val="557"/>
            </w:pPr>
          </w:p>
        </w:tc>
        <w:tc>
          <w:tcPr>
            <w:tcW w:w="524" w:type="pct"/>
            <w:vMerge w:val="continue"/>
            <w:vAlign w:val="center"/>
          </w:tcPr>
          <w:p w14:paraId="6463E8ED">
            <w:pPr>
              <w:pStyle w:val="557"/>
            </w:pPr>
          </w:p>
        </w:tc>
        <w:tc>
          <w:tcPr>
            <w:tcW w:w="457" w:type="pct"/>
            <w:vMerge w:val="continue"/>
            <w:vAlign w:val="center"/>
          </w:tcPr>
          <w:p w14:paraId="67EBADA7">
            <w:pPr>
              <w:pStyle w:val="557"/>
            </w:pPr>
          </w:p>
        </w:tc>
        <w:tc>
          <w:tcPr>
            <w:tcW w:w="481" w:type="pct"/>
            <w:vMerge w:val="continue"/>
            <w:vAlign w:val="center"/>
          </w:tcPr>
          <w:p w14:paraId="5771CC8A">
            <w:pPr>
              <w:pStyle w:val="557"/>
            </w:pPr>
          </w:p>
        </w:tc>
        <w:tc>
          <w:tcPr>
            <w:tcW w:w="862" w:type="pct"/>
            <w:vAlign w:val="center"/>
          </w:tcPr>
          <w:p w14:paraId="43C0A10D">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H</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S</w:t>
            </w:r>
          </w:p>
        </w:tc>
        <w:tc>
          <w:tcPr>
            <w:tcW w:w="591" w:type="pct"/>
            <w:vAlign w:val="center"/>
          </w:tcPr>
          <w:p w14:paraId="4FEF3E2C">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5.424</w:t>
            </w:r>
          </w:p>
        </w:tc>
        <w:tc>
          <w:tcPr>
            <w:tcW w:w="564" w:type="pct"/>
            <w:vMerge w:val="continue"/>
            <w:vAlign w:val="center"/>
          </w:tcPr>
          <w:p w14:paraId="2830FEA5">
            <w:pPr>
              <w:pStyle w:val="557"/>
            </w:pPr>
          </w:p>
        </w:tc>
        <w:tc>
          <w:tcPr>
            <w:tcW w:w="550" w:type="pct"/>
            <w:vMerge w:val="continue"/>
            <w:vAlign w:val="center"/>
          </w:tcPr>
          <w:p w14:paraId="7AA5BF8D">
            <w:pPr>
              <w:pStyle w:val="557"/>
            </w:pPr>
          </w:p>
        </w:tc>
        <w:tc>
          <w:tcPr>
            <w:tcW w:w="682" w:type="pct"/>
            <w:vMerge w:val="continue"/>
            <w:vAlign w:val="center"/>
          </w:tcPr>
          <w:p w14:paraId="43B28C98">
            <w:pPr>
              <w:pStyle w:val="557"/>
            </w:pPr>
          </w:p>
        </w:tc>
      </w:tr>
      <w:tr w14:paraId="6BF6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B11158A">
            <w:pPr>
              <w:pStyle w:val="557"/>
            </w:pPr>
          </w:p>
        </w:tc>
        <w:tc>
          <w:tcPr>
            <w:tcW w:w="524" w:type="pct"/>
            <w:vMerge w:val="continue"/>
            <w:vAlign w:val="center"/>
          </w:tcPr>
          <w:p w14:paraId="49741FD5">
            <w:pPr>
              <w:pStyle w:val="557"/>
            </w:pPr>
          </w:p>
        </w:tc>
        <w:tc>
          <w:tcPr>
            <w:tcW w:w="457" w:type="pct"/>
            <w:vMerge w:val="continue"/>
            <w:vAlign w:val="center"/>
          </w:tcPr>
          <w:p w14:paraId="06F5F9E9">
            <w:pPr>
              <w:pStyle w:val="557"/>
            </w:pPr>
          </w:p>
        </w:tc>
        <w:tc>
          <w:tcPr>
            <w:tcW w:w="481" w:type="pct"/>
            <w:vMerge w:val="continue"/>
            <w:vAlign w:val="center"/>
          </w:tcPr>
          <w:p w14:paraId="258116B8">
            <w:pPr>
              <w:pStyle w:val="557"/>
            </w:pPr>
          </w:p>
        </w:tc>
        <w:tc>
          <w:tcPr>
            <w:tcW w:w="862" w:type="pct"/>
            <w:vAlign w:val="center"/>
          </w:tcPr>
          <w:p w14:paraId="645157B9">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H</w:t>
            </w:r>
            <w:r>
              <w:rPr>
                <w:rFonts w:hint="eastAsia" w:ascii="Times New Roman" w:hAnsi="Times New Roman" w:cs="Times New Roman"/>
                <w:sz w:val="18"/>
                <w:szCs w:val="18"/>
                <w:vertAlign w:val="subscript"/>
              </w:rPr>
              <w:t>2</w:t>
            </w:r>
          </w:p>
        </w:tc>
        <w:tc>
          <w:tcPr>
            <w:tcW w:w="591" w:type="pct"/>
            <w:vAlign w:val="center"/>
          </w:tcPr>
          <w:p w14:paraId="1F9F4DF8">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.0001</w:t>
            </w:r>
          </w:p>
        </w:tc>
        <w:tc>
          <w:tcPr>
            <w:tcW w:w="564" w:type="pct"/>
            <w:vMerge w:val="continue"/>
            <w:vAlign w:val="center"/>
          </w:tcPr>
          <w:p w14:paraId="3D7EDCF0">
            <w:pPr>
              <w:pStyle w:val="557"/>
            </w:pPr>
          </w:p>
        </w:tc>
        <w:tc>
          <w:tcPr>
            <w:tcW w:w="550" w:type="pct"/>
            <w:vMerge w:val="continue"/>
            <w:vAlign w:val="center"/>
          </w:tcPr>
          <w:p w14:paraId="46EEC5B8">
            <w:pPr>
              <w:pStyle w:val="557"/>
            </w:pPr>
          </w:p>
        </w:tc>
        <w:tc>
          <w:tcPr>
            <w:tcW w:w="682" w:type="pct"/>
            <w:vMerge w:val="continue"/>
            <w:vAlign w:val="center"/>
          </w:tcPr>
          <w:p w14:paraId="5123F836">
            <w:pPr>
              <w:pStyle w:val="557"/>
            </w:pPr>
          </w:p>
        </w:tc>
      </w:tr>
      <w:tr w14:paraId="108D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5BDDBC42">
            <w:pPr>
              <w:pStyle w:val="557"/>
            </w:pPr>
            <w:r>
              <w:rPr>
                <w:rFonts w:hint="eastAsia"/>
              </w:rPr>
              <w:t>5</w:t>
            </w:r>
          </w:p>
        </w:tc>
        <w:tc>
          <w:tcPr>
            <w:tcW w:w="524" w:type="pct"/>
            <w:vMerge w:val="restart"/>
            <w:vAlign w:val="center"/>
          </w:tcPr>
          <w:p w14:paraId="648C0937">
            <w:pPr>
              <w:pStyle w:val="557"/>
            </w:pPr>
            <w:r>
              <w:rPr>
                <w:rFonts w:hint="eastAsia"/>
              </w:rPr>
              <w:t>净化及分离装置-硫回收单元</w:t>
            </w:r>
          </w:p>
        </w:tc>
        <w:tc>
          <w:tcPr>
            <w:tcW w:w="457" w:type="pct"/>
            <w:vMerge w:val="restart"/>
            <w:vAlign w:val="center"/>
          </w:tcPr>
          <w:p w14:paraId="6B4A69A1">
            <w:pPr>
              <w:pStyle w:val="557"/>
            </w:pPr>
            <w:r>
              <w:rPr>
                <w:rFonts w:hint="eastAsia"/>
              </w:rPr>
              <w:t>40</w:t>
            </w:r>
          </w:p>
        </w:tc>
        <w:tc>
          <w:tcPr>
            <w:tcW w:w="481" w:type="pct"/>
            <w:vMerge w:val="restart"/>
            <w:vAlign w:val="center"/>
          </w:tcPr>
          <w:p w14:paraId="20C33FD9">
            <w:pPr>
              <w:pStyle w:val="557"/>
            </w:pPr>
            <w:r>
              <w:rPr>
                <w:rFonts w:hint="eastAsia"/>
              </w:rPr>
              <w:t>/</w:t>
            </w:r>
          </w:p>
        </w:tc>
        <w:tc>
          <w:tcPr>
            <w:tcW w:w="862" w:type="pct"/>
            <w:vAlign w:val="center"/>
          </w:tcPr>
          <w:p w14:paraId="7D753322">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CH</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O</w:t>
            </w:r>
          </w:p>
        </w:tc>
        <w:tc>
          <w:tcPr>
            <w:tcW w:w="591" w:type="pct"/>
            <w:vAlign w:val="center"/>
          </w:tcPr>
          <w:p w14:paraId="14378E40">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.14</w:t>
            </w:r>
          </w:p>
        </w:tc>
        <w:tc>
          <w:tcPr>
            <w:tcW w:w="564" w:type="pct"/>
            <w:vMerge w:val="restart"/>
            <w:vAlign w:val="center"/>
          </w:tcPr>
          <w:p w14:paraId="3258DA22">
            <w:pPr>
              <w:pStyle w:val="557"/>
            </w:pPr>
            <w:r>
              <w:rPr>
                <w:rFonts w:hint="eastAsia"/>
              </w:rPr>
              <w:t>300</w:t>
            </w:r>
          </w:p>
        </w:tc>
        <w:tc>
          <w:tcPr>
            <w:tcW w:w="550" w:type="pct"/>
            <w:vMerge w:val="restart"/>
            <w:vAlign w:val="center"/>
          </w:tcPr>
          <w:p w14:paraId="15B51CA0">
            <w:pPr>
              <w:pStyle w:val="557"/>
            </w:pPr>
            <w:r>
              <w:rPr>
                <w:rFonts w:hint="eastAsia"/>
              </w:rPr>
              <w:t>燃料气排放</w:t>
            </w:r>
          </w:p>
        </w:tc>
        <w:tc>
          <w:tcPr>
            <w:tcW w:w="682" w:type="pct"/>
            <w:vMerge w:val="restart"/>
            <w:vAlign w:val="center"/>
          </w:tcPr>
          <w:p w14:paraId="6017EA88">
            <w:pPr>
              <w:pStyle w:val="557"/>
            </w:pPr>
            <w:r>
              <w:rPr>
                <w:rFonts w:hint="eastAsia"/>
              </w:rPr>
              <w:t>排入主火炬系统</w:t>
            </w:r>
          </w:p>
        </w:tc>
      </w:tr>
      <w:tr w14:paraId="4F28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A449415">
            <w:pPr>
              <w:pStyle w:val="557"/>
            </w:pPr>
          </w:p>
        </w:tc>
        <w:tc>
          <w:tcPr>
            <w:tcW w:w="524" w:type="pct"/>
            <w:vMerge w:val="continue"/>
            <w:vAlign w:val="center"/>
          </w:tcPr>
          <w:p w14:paraId="53F1996F">
            <w:pPr>
              <w:pStyle w:val="557"/>
            </w:pPr>
          </w:p>
        </w:tc>
        <w:tc>
          <w:tcPr>
            <w:tcW w:w="457" w:type="pct"/>
            <w:vMerge w:val="continue"/>
            <w:vAlign w:val="center"/>
          </w:tcPr>
          <w:p w14:paraId="76980CD0">
            <w:pPr>
              <w:pStyle w:val="557"/>
            </w:pPr>
          </w:p>
        </w:tc>
        <w:tc>
          <w:tcPr>
            <w:tcW w:w="481" w:type="pct"/>
            <w:vMerge w:val="continue"/>
            <w:vAlign w:val="center"/>
          </w:tcPr>
          <w:p w14:paraId="4230916E">
            <w:pPr>
              <w:pStyle w:val="557"/>
            </w:pPr>
          </w:p>
        </w:tc>
        <w:tc>
          <w:tcPr>
            <w:tcW w:w="862" w:type="pct"/>
            <w:vAlign w:val="center"/>
          </w:tcPr>
          <w:p w14:paraId="5C480B31">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N</w:t>
            </w:r>
            <w:r>
              <w:rPr>
                <w:rFonts w:hint="eastAsia" w:ascii="Times New Roman" w:hAnsi="Times New Roman" w:cs="Times New Roman"/>
                <w:sz w:val="18"/>
                <w:szCs w:val="18"/>
                <w:vertAlign w:val="subscript"/>
              </w:rPr>
              <w:t>2</w:t>
            </w:r>
          </w:p>
        </w:tc>
        <w:tc>
          <w:tcPr>
            <w:tcW w:w="591" w:type="pct"/>
            <w:vAlign w:val="center"/>
          </w:tcPr>
          <w:p w14:paraId="52E235A9">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6.21</w:t>
            </w:r>
          </w:p>
        </w:tc>
        <w:tc>
          <w:tcPr>
            <w:tcW w:w="564" w:type="pct"/>
            <w:vMerge w:val="continue"/>
            <w:vAlign w:val="center"/>
          </w:tcPr>
          <w:p w14:paraId="4B316C96">
            <w:pPr>
              <w:pStyle w:val="557"/>
            </w:pPr>
          </w:p>
        </w:tc>
        <w:tc>
          <w:tcPr>
            <w:tcW w:w="550" w:type="pct"/>
            <w:vMerge w:val="continue"/>
            <w:vAlign w:val="center"/>
          </w:tcPr>
          <w:p w14:paraId="421F8850">
            <w:pPr>
              <w:pStyle w:val="557"/>
            </w:pPr>
          </w:p>
        </w:tc>
        <w:tc>
          <w:tcPr>
            <w:tcW w:w="682" w:type="pct"/>
            <w:vMerge w:val="continue"/>
            <w:vAlign w:val="center"/>
          </w:tcPr>
          <w:p w14:paraId="4EBD4C63">
            <w:pPr>
              <w:pStyle w:val="557"/>
            </w:pPr>
          </w:p>
        </w:tc>
      </w:tr>
      <w:tr w14:paraId="1940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5AB6EF90">
            <w:pPr>
              <w:pStyle w:val="557"/>
            </w:pPr>
          </w:p>
        </w:tc>
        <w:tc>
          <w:tcPr>
            <w:tcW w:w="524" w:type="pct"/>
            <w:vMerge w:val="continue"/>
            <w:vAlign w:val="center"/>
          </w:tcPr>
          <w:p w14:paraId="3711529C">
            <w:pPr>
              <w:pStyle w:val="557"/>
            </w:pPr>
          </w:p>
        </w:tc>
        <w:tc>
          <w:tcPr>
            <w:tcW w:w="457" w:type="pct"/>
            <w:vMerge w:val="continue"/>
            <w:vAlign w:val="center"/>
          </w:tcPr>
          <w:p w14:paraId="2E9B08B5">
            <w:pPr>
              <w:pStyle w:val="557"/>
            </w:pPr>
          </w:p>
        </w:tc>
        <w:tc>
          <w:tcPr>
            <w:tcW w:w="481" w:type="pct"/>
            <w:vMerge w:val="continue"/>
            <w:vAlign w:val="center"/>
          </w:tcPr>
          <w:p w14:paraId="0CA9E006">
            <w:pPr>
              <w:pStyle w:val="557"/>
            </w:pPr>
          </w:p>
        </w:tc>
        <w:tc>
          <w:tcPr>
            <w:tcW w:w="862" w:type="pct"/>
            <w:vAlign w:val="center"/>
          </w:tcPr>
          <w:p w14:paraId="6C03F89B">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H</w:t>
            </w:r>
            <w:r>
              <w:rPr>
                <w:rFonts w:ascii="Times New Roman" w:hAnsi="Times New Roman" w:cs="Times New Roman"/>
                <w:sz w:val="18"/>
                <w:szCs w:val="18"/>
                <w:vertAlign w:val="subscript"/>
              </w:rPr>
              <w:t>2</w:t>
            </w:r>
          </w:p>
        </w:tc>
        <w:tc>
          <w:tcPr>
            <w:tcW w:w="591" w:type="pct"/>
            <w:vAlign w:val="center"/>
          </w:tcPr>
          <w:p w14:paraId="6F653583">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6.04</w:t>
            </w:r>
          </w:p>
        </w:tc>
        <w:tc>
          <w:tcPr>
            <w:tcW w:w="564" w:type="pct"/>
            <w:vMerge w:val="continue"/>
            <w:vAlign w:val="center"/>
          </w:tcPr>
          <w:p w14:paraId="18C2CF50">
            <w:pPr>
              <w:pStyle w:val="557"/>
            </w:pPr>
          </w:p>
        </w:tc>
        <w:tc>
          <w:tcPr>
            <w:tcW w:w="550" w:type="pct"/>
            <w:vMerge w:val="continue"/>
            <w:vAlign w:val="center"/>
          </w:tcPr>
          <w:p w14:paraId="0497F91F">
            <w:pPr>
              <w:pStyle w:val="557"/>
            </w:pPr>
          </w:p>
        </w:tc>
        <w:tc>
          <w:tcPr>
            <w:tcW w:w="682" w:type="pct"/>
            <w:vMerge w:val="continue"/>
            <w:vAlign w:val="center"/>
          </w:tcPr>
          <w:p w14:paraId="553CD18F">
            <w:pPr>
              <w:pStyle w:val="557"/>
            </w:pPr>
          </w:p>
        </w:tc>
      </w:tr>
      <w:tr w14:paraId="633B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4F80B7B1">
            <w:pPr>
              <w:pStyle w:val="557"/>
            </w:pPr>
          </w:p>
        </w:tc>
        <w:tc>
          <w:tcPr>
            <w:tcW w:w="524" w:type="pct"/>
            <w:vMerge w:val="continue"/>
            <w:vAlign w:val="center"/>
          </w:tcPr>
          <w:p w14:paraId="1813E2A3">
            <w:pPr>
              <w:pStyle w:val="557"/>
            </w:pPr>
          </w:p>
        </w:tc>
        <w:tc>
          <w:tcPr>
            <w:tcW w:w="457" w:type="pct"/>
            <w:vMerge w:val="continue"/>
            <w:vAlign w:val="center"/>
          </w:tcPr>
          <w:p w14:paraId="4DEA38D1">
            <w:pPr>
              <w:pStyle w:val="557"/>
            </w:pPr>
          </w:p>
        </w:tc>
        <w:tc>
          <w:tcPr>
            <w:tcW w:w="481" w:type="pct"/>
            <w:vMerge w:val="continue"/>
            <w:vAlign w:val="center"/>
          </w:tcPr>
          <w:p w14:paraId="2D928D35">
            <w:pPr>
              <w:pStyle w:val="557"/>
            </w:pPr>
          </w:p>
        </w:tc>
        <w:tc>
          <w:tcPr>
            <w:tcW w:w="862" w:type="pct"/>
            <w:vAlign w:val="center"/>
          </w:tcPr>
          <w:p w14:paraId="6A3FF794">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A</w:t>
            </w:r>
            <w:r>
              <w:rPr>
                <w:rFonts w:ascii="Times New Roman" w:hAnsi="Times New Roman" w:cs="Times New Roman"/>
                <w:sz w:val="18"/>
                <w:szCs w:val="18"/>
              </w:rPr>
              <w:t>R</w:t>
            </w:r>
          </w:p>
        </w:tc>
        <w:tc>
          <w:tcPr>
            <w:tcW w:w="591" w:type="pct"/>
            <w:vAlign w:val="center"/>
          </w:tcPr>
          <w:p w14:paraId="3309D3FD">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.51</w:t>
            </w:r>
          </w:p>
        </w:tc>
        <w:tc>
          <w:tcPr>
            <w:tcW w:w="564" w:type="pct"/>
            <w:vMerge w:val="continue"/>
            <w:vAlign w:val="center"/>
          </w:tcPr>
          <w:p w14:paraId="1B1667FB">
            <w:pPr>
              <w:pStyle w:val="557"/>
            </w:pPr>
          </w:p>
        </w:tc>
        <w:tc>
          <w:tcPr>
            <w:tcW w:w="550" w:type="pct"/>
            <w:vMerge w:val="continue"/>
            <w:vAlign w:val="center"/>
          </w:tcPr>
          <w:p w14:paraId="459FBE35">
            <w:pPr>
              <w:pStyle w:val="557"/>
            </w:pPr>
          </w:p>
        </w:tc>
        <w:tc>
          <w:tcPr>
            <w:tcW w:w="682" w:type="pct"/>
            <w:vMerge w:val="continue"/>
            <w:vAlign w:val="center"/>
          </w:tcPr>
          <w:p w14:paraId="1C50CFAC">
            <w:pPr>
              <w:pStyle w:val="557"/>
            </w:pPr>
          </w:p>
        </w:tc>
      </w:tr>
      <w:tr w14:paraId="17DA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055594CD">
            <w:pPr>
              <w:pStyle w:val="557"/>
            </w:pPr>
          </w:p>
        </w:tc>
        <w:tc>
          <w:tcPr>
            <w:tcW w:w="524" w:type="pct"/>
            <w:vMerge w:val="continue"/>
            <w:vAlign w:val="center"/>
          </w:tcPr>
          <w:p w14:paraId="3F3A1D37">
            <w:pPr>
              <w:pStyle w:val="557"/>
            </w:pPr>
          </w:p>
        </w:tc>
        <w:tc>
          <w:tcPr>
            <w:tcW w:w="457" w:type="pct"/>
            <w:vMerge w:val="continue"/>
            <w:vAlign w:val="center"/>
          </w:tcPr>
          <w:p w14:paraId="337FAF48">
            <w:pPr>
              <w:pStyle w:val="557"/>
            </w:pPr>
          </w:p>
        </w:tc>
        <w:tc>
          <w:tcPr>
            <w:tcW w:w="481" w:type="pct"/>
            <w:vMerge w:val="continue"/>
            <w:vAlign w:val="center"/>
          </w:tcPr>
          <w:p w14:paraId="44743100">
            <w:pPr>
              <w:pStyle w:val="557"/>
            </w:pPr>
          </w:p>
        </w:tc>
        <w:tc>
          <w:tcPr>
            <w:tcW w:w="862" w:type="pct"/>
            <w:vAlign w:val="center"/>
          </w:tcPr>
          <w:p w14:paraId="3888B0A8">
            <w:pPr>
              <w:spacing w:line="360" w:lineRule="exact"/>
              <w:jc w:val="center"/>
              <w:rPr>
                <w:rFonts w:ascii="Times New Roman" w:hAnsi="Times New Roman" w:cs="Times New Roman"/>
                <w:sz w:val="18"/>
                <w:szCs w:val="18"/>
              </w:rPr>
            </w:pPr>
            <w:r>
              <w:rPr>
                <w:rFonts w:ascii="Times New Roman" w:hAnsi="Times New Roman" w:cs="Times New Roman"/>
                <w:sz w:val="18"/>
                <w:szCs w:val="18"/>
              </w:rPr>
              <w:t>CH</w:t>
            </w:r>
            <w:r>
              <w:rPr>
                <w:rFonts w:ascii="Times New Roman" w:hAnsi="Times New Roman" w:cs="Times New Roman"/>
                <w:sz w:val="18"/>
                <w:szCs w:val="18"/>
                <w:vertAlign w:val="subscript"/>
              </w:rPr>
              <w:t>4</w:t>
            </w:r>
          </w:p>
        </w:tc>
        <w:tc>
          <w:tcPr>
            <w:tcW w:w="591" w:type="pct"/>
            <w:vAlign w:val="center"/>
          </w:tcPr>
          <w:p w14:paraId="6EEDE6D5">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.54</w:t>
            </w:r>
          </w:p>
        </w:tc>
        <w:tc>
          <w:tcPr>
            <w:tcW w:w="564" w:type="pct"/>
            <w:vMerge w:val="continue"/>
            <w:vAlign w:val="center"/>
          </w:tcPr>
          <w:p w14:paraId="37BD765C">
            <w:pPr>
              <w:pStyle w:val="557"/>
            </w:pPr>
          </w:p>
        </w:tc>
        <w:tc>
          <w:tcPr>
            <w:tcW w:w="550" w:type="pct"/>
            <w:vMerge w:val="continue"/>
            <w:vAlign w:val="center"/>
          </w:tcPr>
          <w:p w14:paraId="7A72805C">
            <w:pPr>
              <w:pStyle w:val="557"/>
            </w:pPr>
          </w:p>
        </w:tc>
        <w:tc>
          <w:tcPr>
            <w:tcW w:w="682" w:type="pct"/>
            <w:vMerge w:val="continue"/>
            <w:vAlign w:val="center"/>
          </w:tcPr>
          <w:p w14:paraId="15B33A91">
            <w:pPr>
              <w:pStyle w:val="557"/>
            </w:pPr>
          </w:p>
        </w:tc>
      </w:tr>
      <w:tr w14:paraId="7BBF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6111738">
            <w:pPr>
              <w:pStyle w:val="557"/>
            </w:pPr>
          </w:p>
        </w:tc>
        <w:tc>
          <w:tcPr>
            <w:tcW w:w="524" w:type="pct"/>
            <w:vMerge w:val="continue"/>
            <w:vAlign w:val="center"/>
          </w:tcPr>
          <w:p w14:paraId="48B486C0">
            <w:pPr>
              <w:pStyle w:val="557"/>
            </w:pPr>
          </w:p>
        </w:tc>
        <w:tc>
          <w:tcPr>
            <w:tcW w:w="457" w:type="pct"/>
            <w:vMerge w:val="continue"/>
            <w:vAlign w:val="center"/>
          </w:tcPr>
          <w:p w14:paraId="50A2518F">
            <w:pPr>
              <w:pStyle w:val="557"/>
            </w:pPr>
          </w:p>
        </w:tc>
        <w:tc>
          <w:tcPr>
            <w:tcW w:w="481" w:type="pct"/>
            <w:vMerge w:val="continue"/>
            <w:vAlign w:val="center"/>
          </w:tcPr>
          <w:p w14:paraId="7E1FC4AB">
            <w:pPr>
              <w:pStyle w:val="557"/>
            </w:pPr>
          </w:p>
        </w:tc>
        <w:tc>
          <w:tcPr>
            <w:tcW w:w="862" w:type="pct"/>
            <w:vAlign w:val="center"/>
          </w:tcPr>
          <w:p w14:paraId="23C8DFA4">
            <w:pPr>
              <w:spacing w:line="360" w:lineRule="exact"/>
              <w:jc w:val="center"/>
              <w:rPr>
                <w:rFonts w:ascii="Times New Roman" w:hAnsi="Times New Roman" w:cs="Times New Roman"/>
                <w:sz w:val="18"/>
                <w:szCs w:val="18"/>
              </w:rPr>
            </w:pPr>
            <w:r>
              <w:rPr>
                <w:rFonts w:ascii="Times New Roman" w:hAnsi="Times New Roman" w:cs="Times New Roman"/>
                <w:sz w:val="18"/>
                <w:szCs w:val="18"/>
              </w:rPr>
              <w:t>CO</w:t>
            </w:r>
          </w:p>
        </w:tc>
        <w:tc>
          <w:tcPr>
            <w:tcW w:w="591" w:type="pct"/>
            <w:vAlign w:val="center"/>
          </w:tcPr>
          <w:p w14:paraId="6C385272">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6.56</w:t>
            </w:r>
          </w:p>
        </w:tc>
        <w:tc>
          <w:tcPr>
            <w:tcW w:w="564" w:type="pct"/>
            <w:vMerge w:val="continue"/>
            <w:vAlign w:val="center"/>
          </w:tcPr>
          <w:p w14:paraId="47BFBE46">
            <w:pPr>
              <w:pStyle w:val="557"/>
            </w:pPr>
          </w:p>
        </w:tc>
        <w:tc>
          <w:tcPr>
            <w:tcW w:w="550" w:type="pct"/>
            <w:vMerge w:val="continue"/>
            <w:vAlign w:val="center"/>
          </w:tcPr>
          <w:p w14:paraId="21F35BC6">
            <w:pPr>
              <w:pStyle w:val="557"/>
            </w:pPr>
          </w:p>
        </w:tc>
        <w:tc>
          <w:tcPr>
            <w:tcW w:w="682" w:type="pct"/>
            <w:vMerge w:val="continue"/>
            <w:vAlign w:val="center"/>
          </w:tcPr>
          <w:p w14:paraId="10147454">
            <w:pPr>
              <w:pStyle w:val="557"/>
            </w:pPr>
          </w:p>
        </w:tc>
      </w:tr>
      <w:tr w14:paraId="7FE3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7AB4B1E4">
            <w:pPr>
              <w:pStyle w:val="557"/>
            </w:pPr>
            <w:r>
              <w:rPr>
                <w:rFonts w:hint="eastAsia"/>
              </w:rPr>
              <w:t>6</w:t>
            </w:r>
          </w:p>
        </w:tc>
        <w:tc>
          <w:tcPr>
            <w:tcW w:w="524" w:type="pct"/>
            <w:vMerge w:val="restart"/>
            <w:vAlign w:val="center"/>
          </w:tcPr>
          <w:p w14:paraId="011963A7">
            <w:pPr>
              <w:pStyle w:val="557"/>
            </w:pPr>
            <w:r>
              <w:rPr>
                <w:rFonts w:hint="eastAsia"/>
              </w:rPr>
              <w:t>净化及分离装置-硫回收单元</w:t>
            </w:r>
          </w:p>
        </w:tc>
        <w:tc>
          <w:tcPr>
            <w:tcW w:w="457" w:type="pct"/>
            <w:vMerge w:val="restart"/>
            <w:vAlign w:val="center"/>
          </w:tcPr>
          <w:p w14:paraId="4610BFD4">
            <w:pPr>
              <w:pStyle w:val="557"/>
            </w:pPr>
            <w:r>
              <w:rPr>
                <w:rFonts w:hint="eastAsia"/>
              </w:rPr>
              <w:t>30</w:t>
            </w:r>
          </w:p>
        </w:tc>
        <w:tc>
          <w:tcPr>
            <w:tcW w:w="481" w:type="pct"/>
            <w:vMerge w:val="restart"/>
            <w:vAlign w:val="center"/>
          </w:tcPr>
          <w:p w14:paraId="0B9C10C5">
            <w:pPr>
              <w:pStyle w:val="557"/>
            </w:pPr>
            <w:r>
              <w:rPr>
                <w:rFonts w:hint="eastAsia"/>
              </w:rPr>
              <w:t>/</w:t>
            </w:r>
          </w:p>
        </w:tc>
        <w:tc>
          <w:tcPr>
            <w:tcW w:w="862" w:type="pct"/>
            <w:vAlign w:val="center"/>
          </w:tcPr>
          <w:p w14:paraId="7D3C11F5">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H</w:t>
            </w:r>
            <w:r>
              <w:rPr>
                <w:rFonts w:ascii="Times New Roman" w:hAnsi="Times New Roman" w:eastAsia="微软雅黑" w:cs="Times New Roman"/>
                <w:sz w:val="18"/>
                <w:szCs w:val="18"/>
                <w:vertAlign w:val="subscript"/>
              </w:rPr>
              <w:t>2</w:t>
            </w:r>
          </w:p>
        </w:tc>
        <w:tc>
          <w:tcPr>
            <w:tcW w:w="591" w:type="pct"/>
            <w:vAlign w:val="center"/>
          </w:tcPr>
          <w:p w14:paraId="0489CD48">
            <w:pPr>
              <w:spacing w:line="360" w:lineRule="exact"/>
              <w:jc w:val="center"/>
              <w:rPr>
                <w:rFonts w:ascii="Times New Roman" w:hAnsi="Times New Roman" w:cs="Times New Roman"/>
                <w:sz w:val="18"/>
                <w:szCs w:val="18"/>
              </w:rPr>
            </w:pPr>
            <w:r>
              <w:rPr>
                <w:rFonts w:ascii="Times New Roman" w:hAnsi="Times New Roman" w:cs="Times New Roman"/>
                <w:sz w:val="18"/>
                <w:szCs w:val="18"/>
              </w:rPr>
              <w:t>2.3226</w:t>
            </w:r>
          </w:p>
        </w:tc>
        <w:tc>
          <w:tcPr>
            <w:tcW w:w="564" w:type="pct"/>
            <w:vMerge w:val="restart"/>
            <w:vAlign w:val="center"/>
          </w:tcPr>
          <w:p w14:paraId="3594FE93">
            <w:pPr>
              <w:pStyle w:val="557"/>
            </w:pPr>
            <w:r>
              <w:rPr>
                <w:rFonts w:hint="eastAsia"/>
              </w:rPr>
              <w:t>1470</w:t>
            </w:r>
          </w:p>
        </w:tc>
        <w:tc>
          <w:tcPr>
            <w:tcW w:w="550" w:type="pct"/>
            <w:vMerge w:val="restart"/>
            <w:vAlign w:val="center"/>
          </w:tcPr>
          <w:p w14:paraId="2FF728D1">
            <w:pPr>
              <w:pStyle w:val="557"/>
            </w:pPr>
            <w:r>
              <w:rPr>
                <w:rFonts w:hint="eastAsia"/>
              </w:rPr>
              <w:t>燃料气排放</w:t>
            </w:r>
          </w:p>
        </w:tc>
        <w:tc>
          <w:tcPr>
            <w:tcW w:w="682" w:type="pct"/>
            <w:vMerge w:val="restart"/>
            <w:vAlign w:val="center"/>
          </w:tcPr>
          <w:p w14:paraId="37E5A47B">
            <w:pPr>
              <w:pStyle w:val="557"/>
            </w:pPr>
            <w:r>
              <w:rPr>
                <w:rFonts w:hint="eastAsia"/>
              </w:rPr>
              <w:t>排入主火炬系统</w:t>
            </w:r>
          </w:p>
        </w:tc>
      </w:tr>
      <w:tr w14:paraId="0022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62060411">
            <w:pPr>
              <w:pStyle w:val="557"/>
            </w:pPr>
          </w:p>
        </w:tc>
        <w:tc>
          <w:tcPr>
            <w:tcW w:w="524" w:type="pct"/>
            <w:vMerge w:val="continue"/>
            <w:vAlign w:val="center"/>
          </w:tcPr>
          <w:p w14:paraId="1BD6F524">
            <w:pPr>
              <w:pStyle w:val="557"/>
            </w:pPr>
          </w:p>
        </w:tc>
        <w:tc>
          <w:tcPr>
            <w:tcW w:w="457" w:type="pct"/>
            <w:vMerge w:val="continue"/>
            <w:vAlign w:val="center"/>
          </w:tcPr>
          <w:p w14:paraId="20872E50">
            <w:pPr>
              <w:pStyle w:val="557"/>
            </w:pPr>
          </w:p>
        </w:tc>
        <w:tc>
          <w:tcPr>
            <w:tcW w:w="481" w:type="pct"/>
            <w:vMerge w:val="continue"/>
            <w:vAlign w:val="center"/>
          </w:tcPr>
          <w:p w14:paraId="7D086A6E">
            <w:pPr>
              <w:pStyle w:val="557"/>
            </w:pPr>
          </w:p>
        </w:tc>
        <w:tc>
          <w:tcPr>
            <w:tcW w:w="862" w:type="pct"/>
            <w:vAlign w:val="center"/>
          </w:tcPr>
          <w:p w14:paraId="46E80714">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N</w:t>
            </w:r>
            <w:r>
              <w:rPr>
                <w:rFonts w:ascii="Times New Roman" w:hAnsi="Times New Roman" w:eastAsia="微软雅黑" w:cs="Times New Roman"/>
                <w:sz w:val="18"/>
                <w:szCs w:val="18"/>
                <w:vertAlign w:val="subscript"/>
              </w:rPr>
              <w:t>2</w:t>
            </w:r>
          </w:p>
        </w:tc>
        <w:tc>
          <w:tcPr>
            <w:tcW w:w="591" w:type="pct"/>
            <w:vAlign w:val="center"/>
          </w:tcPr>
          <w:p w14:paraId="4E6473B0">
            <w:pPr>
              <w:spacing w:line="360" w:lineRule="exact"/>
              <w:jc w:val="center"/>
              <w:rPr>
                <w:rFonts w:ascii="Times New Roman" w:hAnsi="Times New Roman" w:cs="Times New Roman"/>
                <w:sz w:val="18"/>
                <w:szCs w:val="18"/>
              </w:rPr>
            </w:pPr>
            <w:r>
              <w:rPr>
                <w:rFonts w:ascii="Times New Roman" w:hAnsi="Times New Roman" w:cs="Times New Roman"/>
                <w:sz w:val="18"/>
                <w:szCs w:val="18"/>
              </w:rPr>
              <w:t>64.1394</w:t>
            </w:r>
          </w:p>
        </w:tc>
        <w:tc>
          <w:tcPr>
            <w:tcW w:w="564" w:type="pct"/>
            <w:vMerge w:val="continue"/>
            <w:vAlign w:val="center"/>
          </w:tcPr>
          <w:p w14:paraId="7EB71694">
            <w:pPr>
              <w:pStyle w:val="557"/>
            </w:pPr>
          </w:p>
        </w:tc>
        <w:tc>
          <w:tcPr>
            <w:tcW w:w="550" w:type="pct"/>
            <w:vMerge w:val="continue"/>
            <w:vAlign w:val="center"/>
          </w:tcPr>
          <w:p w14:paraId="50EA1E55">
            <w:pPr>
              <w:pStyle w:val="557"/>
            </w:pPr>
          </w:p>
        </w:tc>
        <w:tc>
          <w:tcPr>
            <w:tcW w:w="682" w:type="pct"/>
            <w:vMerge w:val="continue"/>
            <w:vAlign w:val="center"/>
          </w:tcPr>
          <w:p w14:paraId="409A7261">
            <w:pPr>
              <w:pStyle w:val="557"/>
            </w:pPr>
          </w:p>
        </w:tc>
      </w:tr>
      <w:tr w14:paraId="649B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50873C6E">
            <w:pPr>
              <w:pStyle w:val="557"/>
            </w:pPr>
          </w:p>
        </w:tc>
        <w:tc>
          <w:tcPr>
            <w:tcW w:w="524" w:type="pct"/>
            <w:vMerge w:val="continue"/>
            <w:vAlign w:val="center"/>
          </w:tcPr>
          <w:p w14:paraId="6F262F36">
            <w:pPr>
              <w:pStyle w:val="557"/>
            </w:pPr>
          </w:p>
        </w:tc>
        <w:tc>
          <w:tcPr>
            <w:tcW w:w="457" w:type="pct"/>
            <w:vMerge w:val="continue"/>
            <w:vAlign w:val="center"/>
          </w:tcPr>
          <w:p w14:paraId="26EE1E62">
            <w:pPr>
              <w:pStyle w:val="557"/>
            </w:pPr>
          </w:p>
        </w:tc>
        <w:tc>
          <w:tcPr>
            <w:tcW w:w="481" w:type="pct"/>
            <w:vMerge w:val="continue"/>
            <w:vAlign w:val="center"/>
          </w:tcPr>
          <w:p w14:paraId="18106182">
            <w:pPr>
              <w:pStyle w:val="557"/>
            </w:pPr>
          </w:p>
        </w:tc>
        <w:tc>
          <w:tcPr>
            <w:tcW w:w="862" w:type="pct"/>
            <w:vAlign w:val="center"/>
          </w:tcPr>
          <w:p w14:paraId="47796BC7">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CO</w:t>
            </w:r>
          </w:p>
        </w:tc>
        <w:tc>
          <w:tcPr>
            <w:tcW w:w="591" w:type="pct"/>
            <w:vAlign w:val="center"/>
          </w:tcPr>
          <w:p w14:paraId="182889F0">
            <w:pPr>
              <w:spacing w:line="360" w:lineRule="exact"/>
              <w:jc w:val="center"/>
              <w:rPr>
                <w:rFonts w:ascii="Times New Roman" w:hAnsi="Times New Roman" w:cs="Times New Roman"/>
                <w:sz w:val="18"/>
                <w:szCs w:val="18"/>
              </w:rPr>
            </w:pPr>
            <w:r>
              <w:rPr>
                <w:rFonts w:ascii="Times New Roman" w:hAnsi="Times New Roman" w:cs="Times New Roman"/>
                <w:sz w:val="18"/>
                <w:szCs w:val="18"/>
              </w:rPr>
              <w:t>32.1693</w:t>
            </w:r>
          </w:p>
        </w:tc>
        <w:tc>
          <w:tcPr>
            <w:tcW w:w="564" w:type="pct"/>
            <w:vMerge w:val="continue"/>
            <w:vAlign w:val="center"/>
          </w:tcPr>
          <w:p w14:paraId="66406B17">
            <w:pPr>
              <w:pStyle w:val="557"/>
            </w:pPr>
          </w:p>
        </w:tc>
        <w:tc>
          <w:tcPr>
            <w:tcW w:w="550" w:type="pct"/>
            <w:vMerge w:val="continue"/>
            <w:vAlign w:val="center"/>
          </w:tcPr>
          <w:p w14:paraId="50594651">
            <w:pPr>
              <w:pStyle w:val="557"/>
            </w:pPr>
          </w:p>
        </w:tc>
        <w:tc>
          <w:tcPr>
            <w:tcW w:w="682" w:type="pct"/>
            <w:vMerge w:val="continue"/>
            <w:vAlign w:val="center"/>
          </w:tcPr>
          <w:p w14:paraId="0BEB8006">
            <w:pPr>
              <w:pStyle w:val="557"/>
            </w:pPr>
          </w:p>
        </w:tc>
      </w:tr>
      <w:tr w14:paraId="23CC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2DC98CFB">
            <w:pPr>
              <w:pStyle w:val="557"/>
            </w:pPr>
          </w:p>
        </w:tc>
        <w:tc>
          <w:tcPr>
            <w:tcW w:w="524" w:type="pct"/>
            <w:vMerge w:val="continue"/>
            <w:vAlign w:val="center"/>
          </w:tcPr>
          <w:p w14:paraId="28323C19">
            <w:pPr>
              <w:pStyle w:val="557"/>
            </w:pPr>
          </w:p>
        </w:tc>
        <w:tc>
          <w:tcPr>
            <w:tcW w:w="457" w:type="pct"/>
            <w:vMerge w:val="continue"/>
            <w:vAlign w:val="center"/>
          </w:tcPr>
          <w:p w14:paraId="2A38466D">
            <w:pPr>
              <w:pStyle w:val="557"/>
            </w:pPr>
          </w:p>
        </w:tc>
        <w:tc>
          <w:tcPr>
            <w:tcW w:w="481" w:type="pct"/>
            <w:vMerge w:val="continue"/>
            <w:vAlign w:val="center"/>
          </w:tcPr>
          <w:p w14:paraId="4BF2980B">
            <w:pPr>
              <w:pStyle w:val="557"/>
            </w:pPr>
          </w:p>
        </w:tc>
        <w:tc>
          <w:tcPr>
            <w:tcW w:w="862" w:type="pct"/>
            <w:vAlign w:val="center"/>
          </w:tcPr>
          <w:p w14:paraId="34BFACAC">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Ar</w:t>
            </w:r>
          </w:p>
        </w:tc>
        <w:tc>
          <w:tcPr>
            <w:tcW w:w="591" w:type="pct"/>
            <w:vAlign w:val="center"/>
          </w:tcPr>
          <w:p w14:paraId="385011AF">
            <w:pPr>
              <w:spacing w:line="360" w:lineRule="exact"/>
              <w:jc w:val="center"/>
              <w:rPr>
                <w:rFonts w:ascii="Times New Roman" w:hAnsi="Times New Roman" w:cs="Times New Roman"/>
                <w:sz w:val="18"/>
                <w:szCs w:val="18"/>
              </w:rPr>
            </w:pPr>
            <w:r>
              <w:rPr>
                <w:rFonts w:ascii="Times New Roman" w:hAnsi="Times New Roman" w:cs="Times New Roman"/>
                <w:sz w:val="18"/>
                <w:szCs w:val="18"/>
              </w:rPr>
              <w:t>0.7012</w:t>
            </w:r>
          </w:p>
        </w:tc>
        <w:tc>
          <w:tcPr>
            <w:tcW w:w="564" w:type="pct"/>
            <w:vMerge w:val="continue"/>
            <w:vAlign w:val="center"/>
          </w:tcPr>
          <w:p w14:paraId="72C34030">
            <w:pPr>
              <w:pStyle w:val="557"/>
            </w:pPr>
          </w:p>
        </w:tc>
        <w:tc>
          <w:tcPr>
            <w:tcW w:w="550" w:type="pct"/>
            <w:vMerge w:val="continue"/>
            <w:vAlign w:val="center"/>
          </w:tcPr>
          <w:p w14:paraId="47825491">
            <w:pPr>
              <w:pStyle w:val="557"/>
            </w:pPr>
          </w:p>
        </w:tc>
        <w:tc>
          <w:tcPr>
            <w:tcW w:w="682" w:type="pct"/>
            <w:vMerge w:val="continue"/>
            <w:vAlign w:val="center"/>
          </w:tcPr>
          <w:p w14:paraId="6DF32480">
            <w:pPr>
              <w:pStyle w:val="557"/>
            </w:pPr>
          </w:p>
        </w:tc>
      </w:tr>
      <w:tr w14:paraId="4906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6D4A6F2B">
            <w:pPr>
              <w:pStyle w:val="557"/>
            </w:pPr>
          </w:p>
        </w:tc>
        <w:tc>
          <w:tcPr>
            <w:tcW w:w="524" w:type="pct"/>
            <w:vMerge w:val="continue"/>
            <w:vAlign w:val="center"/>
          </w:tcPr>
          <w:p w14:paraId="5B97B65C">
            <w:pPr>
              <w:pStyle w:val="557"/>
            </w:pPr>
          </w:p>
        </w:tc>
        <w:tc>
          <w:tcPr>
            <w:tcW w:w="457" w:type="pct"/>
            <w:vMerge w:val="continue"/>
            <w:vAlign w:val="center"/>
          </w:tcPr>
          <w:p w14:paraId="663BDD6F">
            <w:pPr>
              <w:pStyle w:val="557"/>
            </w:pPr>
          </w:p>
        </w:tc>
        <w:tc>
          <w:tcPr>
            <w:tcW w:w="481" w:type="pct"/>
            <w:vMerge w:val="continue"/>
            <w:vAlign w:val="center"/>
          </w:tcPr>
          <w:p w14:paraId="21AAC863">
            <w:pPr>
              <w:pStyle w:val="557"/>
            </w:pPr>
          </w:p>
        </w:tc>
        <w:tc>
          <w:tcPr>
            <w:tcW w:w="862" w:type="pct"/>
            <w:vAlign w:val="center"/>
          </w:tcPr>
          <w:p w14:paraId="2FD6485F">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CH</w:t>
            </w:r>
            <w:r>
              <w:rPr>
                <w:rFonts w:ascii="Times New Roman" w:hAnsi="Times New Roman" w:eastAsia="微软雅黑" w:cs="Times New Roman"/>
                <w:sz w:val="18"/>
                <w:szCs w:val="18"/>
                <w:vertAlign w:val="subscript"/>
              </w:rPr>
              <w:t>4</w:t>
            </w:r>
          </w:p>
        </w:tc>
        <w:tc>
          <w:tcPr>
            <w:tcW w:w="591" w:type="pct"/>
            <w:vAlign w:val="center"/>
          </w:tcPr>
          <w:p w14:paraId="4AA32626">
            <w:pPr>
              <w:spacing w:line="360" w:lineRule="exact"/>
              <w:jc w:val="center"/>
              <w:rPr>
                <w:rFonts w:ascii="Times New Roman" w:hAnsi="Times New Roman" w:cs="Times New Roman"/>
                <w:sz w:val="18"/>
                <w:szCs w:val="18"/>
              </w:rPr>
            </w:pPr>
            <w:r>
              <w:rPr>
                <w:rFonts w:ascii="Times New Roman" w:hAnsi="Times New Roman" w:cs="Times New Roman"/>
                <w:sz w:val="18"/>
                <w:szCs w:val="18"/>
              </w:rPr>
              <w:t>0.6656</w:t>
            </w:r>
          </w:p>
        </w:tc>
        <w:tc>
          <w:tcPr>
            <w:tcW w:w="564" w:type="pct"/>
            <w:vMerge w:val="continue"/>
            <w:vAlign w:val="center"/>
          </w:tcPr>
          <w:p w14:paraId="6FFB5E23">
            <w:pPr>
              <w:pStyle w:val="557"/>
            </w:pPr>
          </w:p>
        </w:tc>
        <w:tc>
          <w:tcPr>
            <w:tcW w:w="550" w:type="pct"/>
            <w:vMerge w:val="continue"/>
            <w:vAlign w:val="center"/>
          </w:tcPr>
          <w:p w14:paraId="195758DB">
            <w:pPr>
              <w:pStyle w:val="557"/>
            </w:pPr>
          </w:p>
        </w:tc>
        <w:tc>
          <w:tcPr>
            <w:tcW w:w="682" w:type="pct"/>
            <w:vMerge w:val="continue"/>
            <w:vAlign w:val="center"/>
          </w:tcPr>
          <w:p w14:paraId="46F89204">
            <w:pPr>
              <w:pStyle w:val="557"/>
            </w:pPr>
          </w:p>
        </w:tc>
      </w:tr>
      <w:tr w14:paraId="3313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16F92F54">
            <w:pPr>
              <w:pStyle w:val="557"/>
            </w:pPr>
            <w:r>
              <w:rPr>
                <w:rFonts w:hint="eastAsia"/>
              </w:rPr>
              <w:t>7</w:t>
            </w:r>
          </w:p>
        </w:tc>
        <w:tc>
          <w:tcPr>
            <w:tcW w:w="524" w:type="pct"/>
            <w:vMerge w:val="restart"/>
            <w:vAlign w:val="center"/>
          </w:tcPr>
          <w:p w14:paraId="70996D8C">
            <w:pPr>
              <w:pStyle w:val="557"/>
            </w:pPr>
            <w:r>
              <w:rPr>
                <w:rFonts w:hint="eastAsia"/>
              </w:rPr>
              <w:t>净化及分离装置-硫回收单元</w:t>
            </w:r>
          </w:p>
        </w:tc>
        <w:tc>
          <w:tcPr>
            <w:tcW w:w="457" w:type="pct"/>
            <w:vMerge w:val="restart"/>
            <w:vAlign w:val="center"/>
          </w:tcPr>
          <w:p w14:paraId="490C915D">
            <w:pPr>
              <w:pStyle w:val="557"/>
            </w:pPr>
            <w:r>
              <w:rPr>
                <w:rFonts w:hint="eastAsia"/>
              </w:rPr>
              <w:t>30</w:t>
            </w:r>
          </w:p>
        </w:tc>
        <w:tc>
          <w:tcPr>
            <w:tcW w:w="481" w:type="pct"/>
            <w:vMerge w:val="restart"/>
            <w:vAlign w:val="center"/>
          </w:tcPr>
          <w:p w14:paraId="02318038">
            <w:pPr>
              <w:pStyle w:val="557"/>
            </w:pPr>
            <w:r>
              <w:rPr>
                <w:rFonts w:hint="eastAsia"/>
              </w:rPr>
              <w:t>/</w:t>
            </w:r>
          </w:p>
        </w:tc>
        <w:tc>
          <w:tcPr>
            <w:tcW w:w="862" w:type="pct"/>
            <w:vAlign w:val="center"/>
          </w:tcPr>
          <w:p w14:paraId="4010993E">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H</w:t>
            </w:r>
            <w:r>
              <w:rPr>
                <w:rFonts w:ascii="Times New Roman" w:hAnsi="Times New Roman" w:eastAsia="微软雅黑" w:cs="Times New Roman"/>
                <w:sz w:val="18"/>
                <w:szCs w:val="18"/>
                <w:vertAlign w:val="subscript"/>
              </w:rPr>
              <w:t>2</w:t>
            </w:r>
          </w:p>
        </w:tc>
        <w:tc>
          <w:tcPr>
            <w:tcW w:w="591" w:type="pct"/>
            <w:vAlign w:val="center"/>
          </w:tcPr>
          <w:p w14:paraId="57D3C281">
            <w:pPr>
              <w:spacing w:line="360" w:lineRule="exact"/>
              <w:jc w:val="center"/>
              <w:rPr>
                <w:rFonts w:ascii="Times New Roman" w:hAnsi="Times New Roman" w:cs="Times New Roman"/>
                <w:sz w:val="18"/>
                <w:szCs w:val="18"/>
              </w:rPr>
            </w:pPr>
            <w:r>
              <w:rPr>
                <w:rFonts w:ascii="Times New Roman" w:hAnsi="Times New Roman" w:cs="Times New Roman"/>
                <w:sz w:val="18"/>
                <w:szCs w:val="18"/>
              </w:rPr>
              <w:t>2.3226</w:t>
            </w:r>
          </w:p>
        </w:tc>
        <w:tc>
          <w:tcPr>
            <w:tcW w:w="564" w:type="pct"/>
            <w:vMerge w:val="restart"/>
            <w:vAlign w:val="center"/>
          </w:tcPr>
          <w:p w14:paraId="71D9BDAE">
            <w:pPr>
              <w:pStyle w:val="557"/>
            </w:pPr>
            <w:r>
              <w:rPr>
                <w:rFonts w:hint="eastAsia"/>
              </w:rPr>
              <w:t>8594</w:t>
            </w:r>
          </w:p>
        </w:tc>
        <w:tc>
          <w:tcPr>
            <w:tcW w:w="550" w:type="pct"/>
            <w:vMerge w:val="restart"/>
            <w:vAlign w:val="center"/>
          </w:tcPr>
          <w:p w14:paraId="494EAEDA">
            <w:pPr>
              <w:pStyle w:val="557"/>
            </w:pPr>
            <w:r>
              <w:rPr>
                <w:rFonts w:hint="eastAsia"/>
              </w:rPr>
              <w:t>燃料气及氮气混合气排放</w:t>
            </w:r>
          </w:p>
        </w:tc>
        <w:tc>
          <w:tcPr>
            <w:tcW w:w="682" w:type="pct"/>
            <w:vMerge w:val="restart"/>
            <w:vAlign w:val="center"/>
          </w:tcPr>
          <w:p w14:paraId="6A96B7BC">
            <w:pPr>
              <w:pStyle w:val="557"/>
            </w:pPr>
            <w:r>
              <w:rPr>
                <w:rFonts w:hint="eastAsia"/>
              </w:rPr>
              <w:t>排入主火炬系统</w:t>
            </w:r>
          </w:p>
        </w:tc>
      </w:tr>
      <w:tr w14:paraId="57A1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2DFD8C1">
            <w:pPr>
              <w:pStyle w:val="557"/>
            </w:pPr>
          </w:p>
        </w:tc>
        <w:tc>
          <w:tcPr>
            <w:tcW w:w="524" w:type="pct"/>
            <w:vMerge w:val="continue"/>
            <w:vAlign w:val="center"/>
          </w:tcPr>
          <w:p w14:paraId="308B21DB">
            <w:pPr>
              <w:pStyle w:val="557"/>
            </w:pPr>
          </w:p>
        </w:tc>
        <w:tc>
          <w:tcPr>
            <w:tcW w:w="457" w:type="pct"/>
            <w:vMerge w:val="continue"/>
            <w:vAlign w:val="center"/>
          </w:tcPr>
          <w:p w14:paraId="649E9BCF">
            <w:pPr>
              <w:pStyle w:val="557"/>
            </w:pPr>
          </w:p>
        </w:tc>
        <w:tc>
          <w:tcPr>
            <w:tcW w:w="481" w:type="pct"/>
            <w:vMerge w:val="continue"/>
            <w:vAlign w:val="center"/>
          </w:tcPr>
          <w:p w14:paraId="33CC3874">
            <w:pPr>
              <w:pStyle w:val="557"/>
            </w:pPr>
          </w:p>
        </w:tc>
        <w:tc>
          <w:tcPr>
            <w:tcW w:w="862" w:type="pct"/>
            <w:vAlign w:val="center"/>
          </w:tcPr>
          <w:p w14:paraId="3C9E9554">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N</w:t>
            </w:r>
            <w:r>
              <w:rPr>
                <w:rFonts w:ascii="Times New Roman" w:hAnsi="Times New Roman" w:eastAsia="微软雅黑" w:cs="Times New Roman"/>
                <w:sz w:val="18"/>
                <w:szCs w:val="18"/>
                <w:vertAlign w:val="subscript"/>
              </w:rPr>
              <w:t>2</w:t>
            </w:r>
          </w:p>
        </w:tc>
        <w:tc>
          <w:tcPr>
            <w:tcW w:w="591" w:type="pct"/>
            <w:vAlign w:val="center"/>
          </w:tcPr>
          <w:p w14:paraId="2AD39387">
            <w:pPr>
              <w:spacing w:line="360" w:lineRule="exact"/>
              <w:jc w:val="center"/>
              <w:rPr>
                <w:rFonts w:ascii="Times New Roman" w:hAnsi="Times New Roman" w:cs="Times New Roman"/>
                <w:sz w:val="18"/>
                <w:szCs w:val="18"/>
              </w:rPr>
            </w:pPr>
            <w:r>
              <w:rPr>
                <w:rFonts w:ascii="Times New Roman" w:hAnsi="Times New Roman" w:cs="Times New Roman"/>
                <w:sz w:val="18"/>
                <w:szCs w:val="18"/>
              </w:rPr>
              <w:t>64.1394</w:t>
            </w:r>
          </w:p>
        </w:tc>
        <w:tc>
          <w:tcPr>
            <w:tcW w:w="564" w:type="pct"/>
            <w:vMerge w:val="continue"/>
            <w:vAlign w:val="center"/>
          </w:tcPr>
          <w:p w14:paraId="11CF7DFC">
            <w:pPr>
              <w:pStyle w:val="557"/>
            </w:pPr>
          </w:p>
        </w:tc>
        <w:tc>
          <w:tcPr>
            <w:tcW w:w="550" w:type="pct"/>
            <w:vMerge w:val="continue"/>
            <w:vAlign w:val="center"/>
          </w:tcPr>
          <w:p w14:paraId="6020DB27">
            <w:pPr>
              <w:pStyle w:val="557"/>
            </w:pPr>
          </w:p>
        </w:tc>
        <w:tc>
          <w:tcPr>
            <w:tcW w:w="682" w:type="pct"/>
            <w:vMerge w:val="continue"/>
            <w:vAlign w:val="center"/>
          </w:tcPr>
          <w:p w14:paraId="67844041">
            <w:pPr>
              <w:pStyle w:val="557"/>
            </w:pPr>
          </w:p>
        </w:tc>
      </w:tr>
      <w:tr w14:paraId="7736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C67EE89">
            <w:pPr>
              <w:pStyle w:val="557"/>
            </w:pPr>
          </w:p>
        </w:tc>
        <w:tc>
          <w:tcPr>
            <w:tcW w:w="524" w:type="pct"/>
            <w:vMerge w:val="continue"/>
            <w:vAlign w:val="center"/>
          </w:tcPr>
          <w:p w14:paraId="3A36EE9D">
            <w:pPr>
              <w:pStyle w:val="557"/>
            </w:pPr>
          </w:p>
        </w:tc>
        <w:tc>
          <w:tcPr>
            <w:tcW w:w="457" w:type="pct"/>
            <w:vMerge w:val="continue"/>
            <w:vAlign w:val="center"/>
          </w:tcPr>
          <w:p w14:paraId="686CC5CA">
            <w:pPr>
              <w:pStyle w:val="557"/>
            </w:pPr>
          </w:p>
        </w:tc>
        <w:tc>
          <w:tcPr>
            <w:tcW w:w="481" w:type="pct"/>
            <w:vMerge w:val="continue"/>
            <w:vAlign w:val="center"/>
          </w:tcPr>
          <w:p w14:paraId="2FECBE89">
            <w:pPr>
              <w:pStyle w:val="557"/>
            </w:pPr>
          </w:p>
        </w:tc>
        <w:tc>
          <w:tcPr>
            <w:tcW w:w="862" w:type="pct"/>
            <w:vAlign w:val="center"/>
          </w:tcPr>
          <w:p w14:paraId="285653AE">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CO</w:t>
            </w:r>
          </w:p>
        </w:tc>
        <w:tc>
          <w:tcPr>
            <w:tcW w:w="591" w:type="pct"/>
            <w:vAlign w:val="center"/>
          </w:tcPr>
          <w:p w14:paraId="12D4FFBF">
            <w:pPr>
              <w:spacing w:line="360" w:lineRule="exact"/>
              <w:jc w:val="center"/>
              <w:rPr>
                <w:rFonts w:ascii="Times New Roman" w:hAnsi="Times New Roman" w:cs="Times New Roman"/>
                <w:sz w:val="18"/>
                <w:szCs w:val="18"/>
              </w:rPr>
            </w:pPr>
            <w:r>
              <w:rPr>
                <w:rFonts w:ascii="Times New Roman" w:hAnsi="Times New Roman" w:cs="Times New Roman"/>
                <w:sz w:val="18"/>
                <w:szCs w:val="18"/>
              </w:rPr>
              <w:t>32.1693</w:t>
            </w:r>
          </w:p>
        </w:tc>
        <w:tc>
          <w:tcPr>
            <w:tcW w:w="564" w:type="pct"/>
            <w:vMerge w:val="continue"/>
            <w:vAlign w:val="center"/>
          </w:tcPr>
          <w:p w14:paraId="10640B72">
            <w:pPr>
              <w:pStyle w:val="557"/>
            </w:pPr>
          </w:p>
        </w:tc>
        <w:tc>
          <w:tcPr>
            <w:tcW w:w="550" w:type="pct"/>
            <w:vMerge w:val="continue"/>
            <w:vAlign w:val="center"/>
          </w:tcPr>
          <w:p w14:paraId="6917CBB5">
            <w:pPr>
              <w:pStyle w:val="557"/>
            </w:pPr>
          </w:p>
        </w:tc>
        <w:tc>
          <w:tcPr>
            <w:tcW w:w="682" w:type="pct"/>
            <w:vMerge w:val="continue"/>
            <w:vAlign w:val="center"/>
          </w:tcPr>
          <w:p w14:paraId="50EEE0E7">
            <w:pPr>
              <w:pStyle w:val="557"/>
            </w:pPr>
          </w:p>
        </w:tc>
      </w:tr>
      <w:tr w14:paraId="29D5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0EE3D66">
            <w:pPr>
              <w:pStyle w:val="557"/>
            </w:pPr>
          </w:p>
        </w:tc>
        <w:tc>
          <w:tcPr>
            <w:tcW w:w="524" w:type="pct"/>
            <w:vMerge w:val="continue"/>
            <w:vAlign w:val="center"/>
          </w:tcPr>
          <w:p w14:paraId="1EB623BC">
            <w:pPr>
              <w:pStyle w:val="557"/>
            </w:pPr>
          </w:p>
        </w:tc>
        <w:tc>
          <w:tcPr>
            <w:tcW w:w="457" w:type="pct"/>
            <w:vMerge w:val="continue"/>
            <w:vAlign w:val="center"/>
          </w:tcPr>
          <w:p w14:paraId="4C85A72E">
            <w:pPr>
              <w:pStyle w:val="557"/>
            </w:pPr>
          </w:p>
        </w:tc>
        <w:tc>
          <w:tcPr>
            <w:tcW w:w="481" w:type="pct"/>
            <w:vMerge w:val="continue"/>
            <w:vAlign w:val="center"/>
          </w:tcPr>
          <w:p w14:paraId="3E6B7F48">
            <w:pPr>
              <w:pStyle w:val="557"/>
            </w:pPr>
          </w:p>
        </w:tc>
        <w:tc>
          <w:tcPr>
            <w:tcW w:w="862" w:type="pct"/>
            <w:vAlign w:val="center"/>
          </w:tcPr>
          <w:p w14:paraId="3CFEB264">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Ar</w:t>
            </w:r>
          </w:p>
        </w:tc>
        <w:tc>
          <w:tcPr>
            <w:tcW w:w="591" w:type="pct"/>
            <w:vAlign w:val="center"/>
          </w:tcPr>
          <w:p w14:paraId="120E79E0">
            <w:pPr>
              <w:spacing w:line="360" w:lineRule="exact"/>
              <w:jc w:val="center"/>
              <w:rPr>
                <w:rFonts w:ascii="Times New Roman" w:hAnsi="Times New Roman" w:cs="Times New Roman"/>
                <w:sz w:val="18"/>
                <w:szCs w:val="18"/>
              </w:rPr>
            </w:pPr>
            <w:r>
              <w:rPr>
                <w:rFonts w:ascii="Times New Roman" w:hAnsi="Times New Roman" w:cs="Times New Roman"/>
                <w:sz w:val="18"/>
                <w:szCs w:val="18"/>
              </w:rPr>
              <w:t>0.7012</w:t>
            </w:r>
          </w:p>
        </w:tc>
        <w:tc>
          <w:tcPr>
            <w:tcW w:w="564" w:type="pct"/>
            <w:vMerge w:val="continue"/>
            <w:vAlign w:val="center"/>
          </w:tcPr>
          <w:p w14:paraId="50664E28">
            <w:pPr>
              <w:pStyle w:val="557"/>
            </w:pPr>
          </w:p>
        </w:tc>
        <w:tc>
          <w:tcPr>
            <w:tcW w:w="550" w:type="pct"/>
            <w:vMerge w:val="continue"/>
            <w:vAlign w:val="center"/>
          </w:tcPr>
          <w:p w14:paraId="7FD12ED1">
            <w:pPr>
              <w:pStyle w:val="557"/>
            </w:pPr>
          </w:p>
        </w:tc>
        <w:tc>
          <w:tcPr>
            <w:tcW w:w="682" w:type="pct"/>
            <w:vMerge w:val="continue"/>
            <w:vAlign w:val="center"/>
          </w:tcPr>
          <w:p w14:paraId="16FE0369">
            <w:pPr>
              <w:pStyle w:val="557"/>
            </w:pPr>
          </w:p>
        </w:tc>
      </w:tr>
      <w:tr w14:paraId="0856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01943CAD">
            <w:pPr>
              <w:pStyle w:val="557"/>
            </w:pPr>
          </w:p>
        </w:tc>
        <w:tc>
          <w:tcPr>
            <w:tcW w:w="524" w:type="pct"/>
            <w:vMerge w:val="continue"/>
            <w:vAlign w:val="center"/>
          </w:tcPr>
          <w:p w14:paraId="2EE86F79">
            <w:pPr>
              <w:pStyle w:val="557"/>
            </w:pPr>
          </w:p>
        </w:tc>
        <w:tc>
          <w:tcPr>
            <w:tcW w:w="457" w:type="pct"/>
            <w:vMerge w:val="continue"/>
            <w:vAlign w:val="center"/>
          </w:tcPr>
          <w:p w14:paraId="26093865">
            <w:pPr>
              <w:pStyle w:val="557"/>
            </w:pPr>
          </w:p>
        </w:tc>
        <w:tc>
          <w:tcPr>
            <w:tcW w:w="481" w:type="pct"/>
            <w:vMerge w:val="continue"/>
            <w:vAlign w:val="center"/>
          </w:tcPr>
          <w:p w14:paraId="4AC54BF3">
            <w:pPr>
              <w:pStyle w:val="557"/>
            </w:pPr>
          </w:p>
        </w:tc>
        <w:tc>
          <w:tcPr>
            <w:tcW w:w="862" w:type="pct"/>
            <w:vAlign w:val="center"/>
          </w:tcPr>
          <w:p w14:paraId="0DFF95E4">
            <w:pPr>
              <w:spacing w:line="360" w:lineRule="exact"/>
              <w:jc w:val="center"/>
              <w:rPr>
                <w:rFonts w:ascii="Times New Roman" w:hAnsi="Times New Roman" w:cs="Times New Roman"/>
                <w:sz w:val="18"/>
                <w:szCs w:val="18"/>
              </w:rPr>
            </w:pPr>
            <w:r>
              <w:rPr>
                <w:rFonts w:ascii="Times New Roman" w:hAnsi="Times New Roman" w:eastAsia="微软雅黑" w:cs="Times New Roman"/>
                <w:sz w:val="18"/>
                <w:szCs w:val="18"/>
              </w:rPr>
              <w:t>CH</w:t>
            </w:r>
            <w:r>
              <w:rPr>
                <w:rFonts w:ascii="Times New Roman" w:hAnsi="Times New Roman" w:eastAsia="微软雅黑" w:cs="Times New Roman"/>
                <w:sz w:val="18"/>
                <w:szCs w:val="18"/>
                <w:vertAlign w:val="subscript"/>
              </w:rPr>
              <w:t>4</w:t>
            </w:r>
          </w:p>
        </w:tc>
        <w:tc>
          <w:tcPr>
            <w:tcW w:w="591" w:type="pct"/>
            <w:vAlign w:val="center"/>
          </w:tcPr>
          <w:p w14:paraId="2125F724">
            <w:pPr>
              <w:spacing w:line="360" w:lineRule="exact"/>
              <w:jc w:val="center"/>
              <w:rPr>
                <w:rFonts w:ascii="Times New Roman" w:hAnsi="Times New Roman" w:cs="Times New Roman"/>
                <w:sz w:val="18"/>
                <w:szCs w:val="18"/>
              </w:rPr>
            </w:pPr>
            <w:r>
              <w:rPr>
                <w:rFonts w:ascii="Times New Roman" w:hAnsi="Times New Roman" w:cs="Times New Roman"/>
                <w:sz w:val="18"/>
                <w:szCs w:val="18"/>
              </w:rPr>
              <w:t>0.6656</w:t>
            </w:r>
          </w:p>
        </w:tc>
        <w:tc>
          <w:tcPr>
            <w:tcW w:w="564" w:type="pct"/>
            <w:vMerge w:val="continue"/>
            <w:vAlign w:val="center"/>
          </w:tcPr>
          <w:p w14:paraId="4886D31B">
            <w:pPr>
              <w:pStyle w:val="557"/>
            </w:pPr>
          </w:p>
        </w:tc>
        <w:tc>
          <w:tcPr>
            <w:tcW w:w="550" w:type="pct"/>
            <w:vMerge w:val="continue"/>
            <w:vAlign w:val="center"/>
          </w:tcPr>
          <w:p w14:paraId="775D8108">
            <w:pPr>
              <w:pStyle w:val="557"/>
            </w:pPr>
          </w:p>
        </w:tc>
        <w:tc>
          <w:tcPr>
            <w:tcW w:w="682" w:type="pct"/>
            <w:vMerge w:val="continue"/>
            <w:vAlign w:val="center"/>
          </w:tcPr>
          <w:p w14:paraId="592C0205">
            <w:pPr>
              <w:pStyle w:val="557"/>
            </w:pPr>
          </w:p>
        </w:tc>
      </w:tr>
      <w:tr w14:paraId="020D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7682FB48">
            <w:pPr>
              <w:pStyle w:val="557"/>
            </w:pPr>
            <w:r>
              <w:rPr>
                <w:rFonts w:hint="eastAsia"/>
              </w:rPr>
              <w:t>8</w:t>
            </w:r>
          </w:p>
        </w:tc>
        <w:tc>
          <w:tcPr>
            <w:tcW w:w="524" w:type="pct"/>
            <w:vMerge w:val="restart"/>
            <w:vAlign w:val="center"/>
          </w:tcPr>
          <w:p w14:paraId="19EEEFEC">
            <w:pPr>
              <w:pStyle w:val="557"/>
            </w:pPr>
            <w:r>
              <w:rPr>
                <w:rFonts w:hint="eastAsia"/>
              </w:rPr>
              <w:t>合成氨装置</w:t>
            </w:r>
          </w:p>
        </w:tc>
        <w:tc>
          <w:tcPr>
            <w:tcW w:w="457" w:type="pct"/>
            <w:vMerge w:val="restart"/>
            <w:vAlign w:val="center"/>
          </w:tcPr>
          <w:p w14:paraId="7E76E076">
            <w:pPr>
              <w:pStyle w:val="557"/>
            </w:pPr>
            <w:r>
              <w:rPr>
                <w:rFonts w:hint="eastAsia"/>
              </w:rPr>
              <w:t>30</w:t>
            </w:r>
          </w:p>
        </w:tc>
        <w:tc>
          <w:tcPr>
            <w:tcW w:w="481" w:type="pct"/>
            <w:vMerge w:val="restart"/>
            <w:vAlign w:val="center"/>
          </w:tcPr>
          <w:p w14:paraId="318E03C2">
            <w:pPr>
              <w:pStyle w:val="557"/>
            </w:pPr>
            <w:r>
              <w:rPr>
                <w:rFonts w:hint="eastAsia"/>
              </w:rPr>
              <w:t>/</w:t>
            </w:r>
          </w:p>
        </w:tc>
        <w:tc>
          <w:tcPr>
            <w:tcW w:w="862" w:type="pct"/>
            <w:vAlign w:val="center"/>
          </w:tcPr>
          <w:p w14:paraId="3032EABE">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H</w:t>
            </w:r>
            <w:r>
              <w:rPr>
                <w:rFonts w:ascii="Times New Roman" w:hAnsi="Times New Roman" w:cs="Times New Roman"/>
                <w:sz w:val="18"/>
                <w:szCs w:val="18"/>
                <w:vertAlign w:val="subscript"/>
                <w:lang w:val="zh-CN"/>
              </w:rPr>
              <w:t>2</w:t>
            </w:r>
          </w:p>
        </w:tc>
        <w:tc>
          <w:tcPr>
            <w:tcW w:w="591" w:type="pct"/>
            <w:vAlign w:val="center"/>
          </w:tcPr>
          <w:p w14:paraId="2C643685">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75</w:t>
            </w:r>
          </w:p>
        </w:tc>
        <w:tc>
          <w:tcPr>
            <w:tcW w:w="564" w:type="pct"/>
            <w:vMerge w:val="restart"/>
            <w:vAlign w:val="center"/>
          </w:tcPr>
          <w:p w14:paraId="1B8C4856">
            <w:pPr>
              <w:pStyle w:val="557"/>
            </w:pPr>
            <w:r>
              <w:rPr>
                <w:rFonts w:hint="eastAsia"/>
              </w:rPr>
              <w:t>86821</w:t>
            </w:r>
          </w:p>
        </w:tc>
        <w:tc>
          <w:tcPr>
            <w:tcW w:w="550" w:type="pct"/>
            <w:vMerge w:val="restart"/>
            <w:vAlign w:val="center"/>
          </w:tcPr>
          <w:p w14:paraId="6FBFD1AC">
            <w:pPr>
              <w:pStyle w:val="557"/>
            </w:pPr>
            <w:r>
              <w:rPr>
                <w:rFonts w:hint="eastAsia"/>
              </w:rPr>
              <w:t>压缩机出口安全阀</w:t>
            </w:r>
          </w:p>
        </w:tc>
        <w:tc>
          <w:tcPr>
            <w:tcW w:w="682" w:type="pct"/>
            <w:vMerge w:val="restart"/>
            <w:vAlign w:val="center"/>
          </w:tcPr>
          <w:p w14:paraId="2CDBA9CC">
            <w:pPr>
              <w:pStyle w:val="557"/>
            </w:pPr>
            <w:r>
              <w:rPr>
                <w:rFonts w:hint="eastAsia"/>
              </w:rPr>
              <w:t>排入氨火炬系统</w:t>
            </w:r>
          </w:p>
        </w:tc>
      </w:tr>
      <w:tr w14:paraId="628F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6601D85D">
            <w:pPr>
              <w:pStyle w:val="557"/>
            </w:pPr>
          </w:p>
        </w:tc>
        <w:tc>
          <w:tcPr>
            <w:tcW w:w="524" w:type="pct"/>
            <w:vMerge w:val="continue"/>
            <w:vAlign w:val="center"/>
          </w:tcPr>
          <w:p w14:paraId="6FD64D2A">
            <w:pPr>
              <w:pStyle w:val="557"/>
            </w:pPr>
          </w:p>
        </w:tc>
        <w:tc>
          <w:tcPr>
            <w:tcW w:w="457" w:type="pct"/>
            <w:vMerge w:val="continue"/>
            <w:vAlign w:val="center"/>
          </w:tcPr>
          <w:p w14:paraId="0B5B2BE3">
            <w:pPr>
              <w:pStyle w:val="557"/>
            </w:pPr>
          </w:p>
        </w:tc>
        <w:tc>
          <w:tcPr>
            <w:tcW w:w="481" w:type="pct"/>
            <w:vMerge w:val="continue"/>
            <w:vAlign w:val="center"/>
          </w:tcPr>
          <w:p w14:paraId="43AF5F08">
            <w:pPr>
              <w:pStyle w:val="557"/>
            </w:pPr>
          </w:p>
        </w:tc>
        <w:tc>
          <w:tcPr>
            <w:tcW w:w="862" w:type="pct"/>
            <w:vAlign w:val="center"/>
          </w:tcPr>
          <w:p w14:paraId="39DD9F42">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N</w:t>
            </w:r>
            <w:r>
              <w:rPr>
                <w:rFonts w:ascii="Times New Roman" w:hAnsi="Times New Roman" w:cs="Times New Roman"/>
                <w:sz w:val="18"/>
                <w:szCs w:val="18"/>
                <w:vertAlign w:val="subscript"/>
                <w:lang w:val="zh-CN"/>
              </w:rPr>
              <w:t>2</w:t>
            </w:r>
          </w:p>
        </w:tc>
        <w:tc>
          <w:tcPr>
            <w:tcW w:w="591" w:type="pct"/>
            <w:vAlign w:val="center"/>
          </w:tcPr>
          <w:p w14:paraId="0633694B">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25</w:t>
            </w:r>
          </w:p>
        </w:tc>
        <w:tc>
          <w:tcPr>
            <w:tcW w:w="564" w:type="pct"/>
            <w:vMerge w:val="continue"/>
            <w:vAlign w:val="center"/>
          </w:tcPr>
          <w:p w14:paraId="7D5B0C34">
            <w:pPr>
              <w:pStyle w:val="557"/>
            </w:pPr>
          </w:p>
        </w:tc>
        <w:tc>
          <w:tcPr>
            <w:tcW w:w="550" w:type="pct"/>
            <w:vMerge w:val="continue"/>
            <w:vAlign w:val="center"/>
          </w:tcPr>
          <w:p w14:paraId="28F01C4E">
            <w:pPr>
              <w:pStyle w:val="557"/>
            </w:pPr>
          </w:p>
        </w:tc>
        <w:tc>
          <w:tcPr>
            <w:tcW w:w="682" w:type="pct"/>
            <w:vMerge w:val="continue"/>
            <w:vAlign w:val="center"/>
          </w:tcPr>
          <w:p w14:paraId="1E7AA817">
            <w:pPr>
              <w:pStyle w:val="557"/>
            </w:pPr>
          </w:p>
        </w:tc>
      </w:tr>
      <w:tr w14:paraId="3DEC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2D8A0BC3">
            <w:pPr>
              <w:pStyle w:val="557"/>
            </w:pPr>
            <w:r>
              <w:rPr>
                <w:rFonts w:hint="eastAsia"/>
              </w:rPr>
              <w:t>9</w:t>
            </w:r>
          </w:p>
        </w:tc>
        <w:tc>
          <w:tcPr>
            <w:tcW w:w="524" w:type="pct"/>
            <w:vMerge w:val="restart"/>
            <w:vAlign w:val="center"/>
          </w:tcPr>
          <w:p w14:paraId="23F20C5C">
            <w:pPr>
              <w:pStyle w:val="557"/>
            </w:pPr>
            <w:r>
              <w:rPr>
                <w:rFonts w:hint="eastAsia"/>
              </w:rPr>
              <w:t>合成氨装置</w:t>
            </w:r>
          </w:p>
        </w:tc>
        <w:tc>
          <w:tcPr>
            <w:tcW w:w="457" w:type="pct"/>
            <w:vMerge w:val="restart"/>
            <w:vAlign w:val="center"/>
          </w:tcPr>
          <w:p w14:paraId="17D0FB11">
            <w:pPr>
              <w:pStyle w:val="557"/>
            </w:pPr>
            <w:r>
              <w:rPr>
                <w:rFonts w:hint="eastAsia"/>
              </w:rPr>
              <w:t>-10</w:t>
            </w:r>
          </w:p>
        </w:tc>
        <w:tc>
          <w:tcPr>
            <w:tcW w:w="481" w:type="pct"/>
            <w:vMerge w:val="restart"/>
            <w:vAlign w:val="center"/>
          </w:tcPr>
          <w:p w14:paraId="473C8641">
            <w:pPr>
              <w:pStyle w:val="557"/>
            </w:pPr>
            <w:r>
              <w:rPr>
                <w:rFonts w:hint="eastAsia"/>
              </w:rPr>
              <w:t>/</w:t>
            </w:r>
          </w:p>
        </w:tc>
        <w:tc>
          <w:tcPr>
            <w:tcW w:w="862" w:type="pct"/>
            <w:vAlign w:val="center"/>
          </w:tcPr>
          <w:p w14:paraId="77F74599">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H</w:t>
            </w:r>
            <w:r>
              <w:rPr>
                <w:rFonts w:ascii="Times New Roman" w:hAnsi="Times New Roman" w:cs="Times New Roman"/>
                <w:sz w:val="18"/>
                <w:szCs w:val="18"/>
                <w:vertAlign w:val="subscript"/>
                <w:lang w:val="zh-CN"/>
              </w:rPr>
              <w:t>2</w:t>
            </w:r>
          </w:p>
        </w:tc>
        <w:tc>
          <w:tcPr>
            <w:tcW w:w="591" w:type="pct"/>
            <w:vAlign w:val="center"/>
          </w:tcPr>
          <w:p w14:paraId="6436048D">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75</w:t>
            </w:r>
          </w:p>
        </w:tc>
        <w:tc>
          <w:tcPr>
            <w:tcW w:w="564" w:type="pct"/>
            <w:vMerge w:val="restart"/>
            <w:vAlign w:val="center"/>
          </w:tcPr>
          <w:p w14:paraId="07598CBD">
            <w:pPr>
              <w:pStyle w:val="557"/>
            </w:pPr>
            <w:r>
              <w:rPr>
                <w:rFonts w:hint="eastAsia"/>
              </w:rPr>
              <w:t>19771</w:t>
            </w:r>
          </w:p>
        </w:tc>
        <w:tc>
          <w:tcPr>
            <w:tcW w:w="550" w:type="pct"/>
            <w:vMerge w:val="restart"/>
            <w:vAlign w:val="center"/>
          </w:tcPr>
          <w:p w14:paraId="1178D746">
            <w:pPr>
              <w:pStyle w:val="557"/>
            </w:pPr>
            <w:r>
              <w:rPr>
                <w:rFonts w:hint="eastAsia"/>
              </w:rPr>
              <w:t>原料气放空气</w:t>
            </w:r>
          </w:p>
        </w:tc>
        <w:tc>
          <w:tcPr>
            <w:tcW w:w="682" w:type="pct"/>
            <w:vMerge w:val="restart"/>
            <w:vAlign w:val="center"/>
          </w:tcPr>
          <w:p w14:paraId="63E75D23">
            <w:pPr>
              <w:pStyle w:val="557"/>
            </w:pPr>
            <w:r>
              <w:rPr>
                <w:rFonts w:hint="eastAsia"/>
              </w:rPr>
              <w:t>排入氨火炬系统</w:t>
            </w:r>
          </w:p>
        </w:tc>
      </w:tr>
      <w:tr w14:paraId="3A73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46D490E2">
            <w:pPr>
              <w:pStyle w:val="557"/>
            </w:pPr>
          </w:p>
        </w:tc>
        <w:tc>
          <w:tcPr>
            <w:tcW w:w="524" w:type="pct"/>
            <w:vMerge w:val="continue"/>
            <w:vAlign w:val="center"/>
          </w:tcPr>
          <w:p w14:paraId="63C705C4">
            <w:pPr>
              <w:pStyle w:val="557"/>
            </w:pPr>
          </w:p>
        </w:tc>
        <w:tc>
          <w:tcPr>
            <w:tcW w:w="457" w:type="pct"/>
            <w:vMerge w:val="continue"/>
            <w:vAlign w:val="center"/>
          </w:tcPr>
          <w:p w14:paraId="65351DF9">
            <w:pPr>
              <w:pStyle w:val="557"/>
            </w:pPr>
          </w:p>
        </w:tc>
        <w:tc>
          <w:tcPr>
            <w:tcW w:w="481" w:type="pct"/>
            <w:vMerge w:val="continue"/>
            <w:vAlign w:val="center"/>
          </w:tcPr>
          <w:p w14:paraId="41CBB744">
            <w:pPr>
              <w:pStyle w:val="557"/>
            </w:pPr>
          </w:p>
        </w:tc>
        <w:tc>
          <w:tcPr>
            <w:tcW w:w="862" w:type="pct"/>
            <w:vAlign w:val="center"/>
          </w:tcPr>
          <w:p w14:paraId="3F42956D">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N</w:t>
            </w:r>
            <w:r>
              <w:rPr>
                <w:rFonts w:ascii="Times New Roman" w:hAnsi="Times New Roman" w:cs="Times New Roman"/>
                <w:sz w:val="18"/>
                <w:szCs w:val="18"/>
                <w:vertAlign w:val="subscript"/>
                <w:lang w:val="zh-CN"/>
              </w:rPr>
              <w:t>2</w:t>
            </w:r>
          </w:p>
        </w:tc>
        <w:tc>
          <w:tcPr>
            <w:tcW w:w="591" w:type="pct"/>
            <w:vAlign w:val="center"/>
          </w:tcPr>
          <w:p w14:paraId="786B5BBF">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25</w:t>
            </w:r>
          </w:p>
        </w:tc>
        <w:tc>
          <w:tcPr>
            <w:tcW w:w="564" w:type="pct"/>
            <w:vMerge w:val="continue"/>
            <w:vAlign w:val="center"/>
          </w:tcPr>
          <w:p w14:paraId="49ABB6D5">
            <w:pPr>
              <w:pStyle w:val="557"/>
            </w:pPr>
          </w:p>
        </w:tc>
        <w:tc>
          <w:tcPr>
            <w:tcW w:w="550" w:type="pct"/>
            <w:vMerge w:val="continue"/>
            <w:vAlign w:val="center"/>
          </w:tcPr>
          <w:p w14:paraId="5B91DA60">
            <w:pPr>
              <w:pStyle w:val="557"/>
            </w:pPr>
          </w:p>
        </w:tc>
        <w:tc>
          <w:tcPr>
            <w:tcW w:w="682" w:type="pct"/>
            <w:vMerge w:val="continue"/>
            <w:vAlign w:val="center"/>
          </w:tcPr>
          <w:p w14:paraId="05737C48">
            <w:pPr>
              <w:pStyle w:val="557"/>
            </w:pPr>
          </w:p>
        </w:tc>
      </w:tr>
      <w:tr w14:paraId="7C6B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7B8573C4">
            <w:pPr>
              <w:pStyle w:val="557"/>
            </w:pPr>
            <w:r>
              <w:rPr>
                <w:rFonts w:hint="eastAsia"/>
              </w:rPr>
              <w:t>10</w:t>
            </w:r>
          </w:p>
        </w:tc>
        <w:tc>
          <w:tcPr>
            <w:tcW w:w="524" w:type="pct"/>
            <w:vMerge w:val="restart"/>
            <w:vAlign w:val="center"/>
          </w:tcPr>
          <w:p w14:paraId="49B711E0">
            <w:pPr>
              <w:pStyle w:val="557"/>
            </w:pPr>
            <w:r>
              <w:rPr>
                <w:rFonts w:hint="eastAsia"/>
              </w:rPr>
              <w:t>合成氨装置</w:t>
            </w:r>
          </w:p>
        </w:tc>
        <w:tc>
          <w:tcPr>
            <w:tcW w:w="457" w:type="pct"/>
            <w:vMerge w:val="restart"/>
            <w:vAlign w:val="center"/>
          </w:tcPr>
          <w:p w14:paraId="0F3598F7">
            <w:pPr>
              <w:pStyle w:val="557"/>
            </w:pPr>
            <w:r>
              <w:rPr>
                <w:rFonts w:hint="eastAsia"/>
              </w:rPr>
              <w:t>-7.73</w:t>
            </w:r>
          </w:p>
        </w:tc>
        <w:tc>
          <w:tcPr>
            <w:tcW w:w="481" w:type="pct"/>
            <w:vMerge w:val="restart"/>
            <w:vAlign w:val="center"/>
          </w:tcPr>
          <w:p w14:paraId="163A065D">
            <w:pPr>
              <w:pStyle w:val="557"/>
            </w:pPr>
            <w:r>
              <w:rPr>
                <w:rFonts w:hint="eastAsia"/>
              </w:rPr>
              <w:t>/</w:t>
            </w:r>
          </w:p>
        </w:tc>
        <w:tc>
          <w:tcPr>
            <w:tcW w:w="862" w:type="pct"/>
            <w:vAlign w:val="center"/>
          </w:tcPr>
          <w:p w14:paraId="4B12CDF7">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H</w:t>
            </w:r>
            <w:r>
              <w:rPr>
                <w:rFonts w:ascii="Times New Roman" w:hAnsi="Times New Roman" w:cs="Times New Roman"/>
                <w:sz w:val="18"/>
                <w:szCs w:val="18"/>
                <w:vertAlign w:val="subscript"/>
                <w:lang w:val="zh-CN"/>
              </w:rPr>
              <w:t>2</w:t>
            </w:r>
          </w:p>
        </w:tc>
        <w:tc>
          <w:tcPr>
            <w:tcW w:w="591" w:type="pct"/>
            <w:vAlign w:val="center"/>
          </w:tcPr>
          <w:p w14:paraId="2B744EB4">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67.75</w:t>
            </w:r>
          </w:p>
        </w:tc>
        <w:tc>
          <w:tcPr>
            <w:tcW w:w="564" w:type="pct"/>
            <w:vMerge w:val="restart"/>
            <w:vAlign w:val="center"/>
          </w:tcPr>
          <w:p w14:paraId="27FC1E4B">
            <w:pPr>
              <w:pStyle w:val="557"/>
            </w:pPr>
            <w:r>
              <w:rPr>
                <w:rFonts w:hint="eastAsia"/>
              </w:rPr>
              <w:t>180</w:t>
            </w:r>
          </w:p>
        </w:tc>
        <w:tc>
          <w:tcPr>
            <w:tcW w:w="550" w:type="pct"/>
            <w:vMerge w:val="restart"/>
            <w:vAlign w:val="center"/>
          </w:tcPr>
          <w:p w14:paraId="0E22E0FE">
            <w:pPr>
              <w:pStyle w:val="557"/>
            </w:pPr>
            <w:r>
              <w:rPr>
                <w:rFonts w:hint="eastAsia"/>
              </w:rPr>
              <w:t>冷交换器驰放气</w:t>
            </w:r>
          </w:p>
        </w:tc>
        <w:tc>
          <w:tcPr>
            <w:tcW w:w="682" w:type="pct"/>
            <w:vMerge w:val="restart"/>
            <w:vAlign w:val="center"/>
          </w:tcPr>
          <w:p w14:paraId="6B1E1729">
            <w:pPr>
              <w:pStyle w:val="557"/>
              <w:rPr>
                <w:b/>
                <w:bCs w:val="0"/>
              </w:rPr>
            </w:pPr>
            <w:r>
              <w:rPr>
                <w:rFonts w:hint="eastAsia"/>
              </w:rPr>
              <w:t>排入氨火炬系统</w:t>
            </w:r>
          </w:p>
        </w:tc>
      </w:tr>
      <w:tr w14:paraId="22BA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3EEDE125">
            <w:pPr>
              <w:pStyle w:val="557"/>
            </w:pPr>
          </w:p>
        </w:tc>
        <w:tc>
          <w:tcPr>
            <w:tcW w:w="524" w:type="pct"/>
            <w:vMerge w:val="continue"/>
            <w:vAlign w:val="center"/>
          </w:tcPr>
          <w:p w14:paraId="46E30C1A">
            <w:pPr>
              <w:pStyle w:val="557"/>
            </w:pPr>
          </w:p>
        </w:tc>
        <w:tc>
          <w:tcPr>
            <w:tcW w:w="457" w:type="pct"/>
            <w:vMerge w:val="continue"/>
            <w:vAlign w:val="center"/>
          </w:tcPr>
          <w:p w14:paraId="0F541C1D">
            <w:pPr>
              <w:pStyle w:val="557"/>
            </w:pPr>
          </w:p>
        </w:tc>
        <w:tc>
          <w:tcPr>
            <w:tcW w:w="481" w:type="pct"/>
            <w:vMerge w:val="continue"/>
            <w:vAlign w:val="center"/>
          </w:tcPr>
          <w:p w14:paraId="28C72FC5">
            <w:pPr>
              <w:pStyle w:val="557"/>
            </w:pPr>
          </w:p>
        </w:tc>
        <w:tc>
          <w:tcPr>
            <w:tcW w:w="862" w:type="pct"/>
            <w:vAlign w:val="center"/>
          </w:tcPr>
          <w:p w14:paraId="7C806AFC">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N</w:t>
            </w:r>
            <w:r>
              <w:rPr>
                <w:rFonts w:ascii="Times New Roman" w:hAnsi="Times New Roman" w:cs="Times New Roman"/>
                <w:sz w:val="18"/>
                <w:szCs w:val="18"/>
                <w:vertAlign w:val="subscript"/>
                <w:lang w:val="zh-CN"/>
              </w:rPr>
              <w:t>2</w:t>
            </w:r>
          </w:p>
        </w:tc>
        <w:tc>
          <w:tcPr>
            <w:tcW w:w="591" w:type="pct"/>
            <w:vAlign w:val="center"/>
          </w:tcPr>
          <w:p w14:paraId="65953E41">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25.27</w:t>
            </w:r>
          </w:p>
        </w:tc>
        <w:tc>
          <w:tcPr>
            <w:tcW w:w="564" w:type="pct"/>
            <w:vMerge w:val="continue"/>
            <w:vAlign w:val="center"/>
          </w:tcPr>
          <w:p w14:paraId="2982356E">
            <w:pPr>
              <w:pStyle w:val="557"/>
            </w:pPr>
          </w:p>
        </w:tc>
        <w:tc>
          <w:tcPr>
            <w:tcW w:w="550" w:type="pct"/>
            <w:vMerge w:val="continue"/>
            <w:vAlign w:val="center"/>
          </w:tcPr>
          <w:p w14:paraId="0348936F">
            <w:pPr>
              <w:pStyle w:val="557"/>
            </w:pPr>
          </w:p>
        </w:tc>
        <w:tc>
          <w:tcPr>
            <w:tcW w:w="682" w:type="pct"/>
            <w:vMerge w:val="continue"/>
            <w:vAlign w:val="center"/>
          </w:tcPr>
          <w:p w14:paraId="124CADF8">
            <w:pPr>
              <w:pStyle w:val="557"/>
            </w:pPr>
          </w:p>
        </w:tc>
      </w:tr>
      <w:tr w14:paraId="018C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6EF5537B">
            <w:pPr>
              <w:pStyle w:val="557"/>
            </w:pPr>
          </w:p>
        </w:tc>
        <w:tc>
          <w:tcPr>
            <w:tcW w:w="524" w:type="pct"/>
            <w:vMerge w:val="continue"/>
            <w:vAlign w:val="center"/>
          </w:tcPr>
          <w:p w14:paraId="549083C1">
            <w:pPr>
              <w:pStyle w:val="557"/>
            </w:pPr>
          </w:p>
        </w:tc>
        <w:tc>
          <w:tcPr>
            <w:tcW w:w="457" w:type="pct"/>
            <w:vMerge w:val="continue"/>
            <w:vAlign w:val="center"/>
          </w:tcPr>
          <w:p w14:paraId="471B5682">
            <w:pPr>
              <w:pStyle w:val="557"/>
            </w:pPr>
          </w:p>
        </w:tc>
        <w:tc>
          <w:tcPr>
            <w:tcW w:w="481" w:type="pct"/>
            <w:vMerge w:val="continue"/>
            <w:vAlign w:val="center"/>
          </w:tcPr>
          <w:p w14:paraId="7ED2996E">
            <w:pPr>
              <w:pStyle w:val="557"/>
            </w:pPr>
          </w:p>
        </w:tc>
        <w:tc>
          <w:tcPr>
            <w:tcW w:w="862" w:type="pct"/>
            <w:vAlign w:val="center"/>
          </w:tcPr>
          <w:p w14:paraId="705519DA">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NH</w:t>
            </w:r>
            <w:r>
              <w:rPr>
                <w:rFonts w:hint="eastAsia" w:ascii="Times New Roman" w:hAnsi="Times New Roman" w:cs="Times New Roman"/>
                <w:sz w:val="18"/>
                <w:szCs w:val="18"/>
                <w:vertAlign w:val="subscript"/>
              </w:rPr>
              <w:t>3</w:t>
            </w:r>
          </w:p>
        </w:tc>
        <w:tc>
          <w:tcPr>
            <w:tcW w:w="591" w:type="pct"/>
            <w:vAlign w:val="center"/>
          </w:tcPr>
          <w:p w14:paraId="0BCDBB02">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6.98</w:t>
            </w:r>
          </w:p>
        </w:tc>
        <w:tc>
          <w:tcPr>
            <w:tcW w:w="564" w:type="pct"/>
            <w:vMerge w:val="continue"/>
            <w:vAlign w:val="center"/>
          </w:tcPr>
          <w:p w14:paraId="6E8BE41C">
            <w:pPr>
              <w:pStyle w:val="557"/>
            </w:pPr>
          </w:p>
        </w:tc>
        <w:tc>
          <w:tcPr>
            <w:tcW w:w="550" w:type="pct"/>
            <w:vMerge w:val="continue"/>
            <w:vAlign w:val="center"/>
          </w:tcPr>
          <w:p w14:paraId="07BB02B5">
            <w:pPr>
              <w:pStyle w:val="557"/>
            </w:pPr>
          </w:p>
        </w:tc>
        <w:tc>
          <w:tcPr>
            <w:tcW w:w="682" w:type="pct"/>
            <w:vMerge w:val="continue"/>
            <w:vAlign w:val="center"/>
          </w:tcPr>
          <w:p w14:paraId="2C638909">
            <w:pPr>
              <w:pStyle w:val="557"/>
            </w:pPr>
          </w:p>
        </w:tc>
      </w:tr>
      <w:tr w14:paraId="76E5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15E0D553">
            <w:pPr>
              <w:pStyle w:val="557"/>
            </w:pPr>
            <w:r>
              <w:rPr>
                <w:rFonts w:hint="eastAsia"/>
              </w:rPr>
              <w:t>11</w:t>
            </w:r>
          </w:p>
        </w:tc>
        <w:tc>
          <w:tcPr>
            <w:tcW w:w="524" w:type="pct"/>
            <w:vMerge w:val="restart"/>
            <w:vAlign w:val="center"/>
          </w:tcPr>
          <w:p w14:paraId="6D648A65">
            <w:pPr>
              <w:pStyle w:val="557"/>
            </w:pPr>
            <w:r>
              <w:rPr>
                <w:rFonts w:hint="eastAsia"/>
              </w:rPr>
              <w:t>合成氨装置</w:t>
            </w:r>
          </w:p>
        </w:tc>
        <w:tc>
          <w:tcPr>
            <w:tcW w:w="457" w:type="pct"/>
            <w:vMerge w:val="restart"/>
            <w:vAlign w:val="center"/>
          </w:tcPr>
          <w:p w14:paraId="451E47B4">
            <w:pPr>
              <w:pStyle w:val="557"/>
            </w:pPr>
            <w:r>
              <w:rPr>
                <w:rFonts w:hint="eastAsia"/>
              </w:rPr>
              <w:t>-6.85</w:t>
            </w:r>
          </w:p>
        </w:tc>
        <w:tc>
          <w:tcPr>
            <w:tcW w:w="481" w:type="pct"/>
            <w:vMerge w:val="restart"/>
            <w:vAlign w:val="center"/>
          </w:tcPr>
          <w:p w14:paraId="35B1A220">
            <w:pPr>
              <w:pStyle w:val="557"/>
            </w:pPr>
            <w:r>
              <w:rPr>
                <w:rFonts w:hint="eastAsia"/>
              </w:rPr>
              <w:t>/</w:t>
            </w:r>
          </w:p>
        </w:tc>
        <w:tc>
          <w:tcPr>
            <w:tcW w:w="862" w:type="pct"/>
            <w:vAlign w:val="center"/>
          </w:tcPr>
          <w:p w14:paraId="7AA58861">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H</w:t>
            </w:r>
            <w:r>
              <w:rPr>
                <w:rFonts w:ascii="Times New Roman" w:hAnsi="Times New Roman" w:cs="Times New Roman"/>
                <w:sz w:val="18"/>
                <w:szCs w:val="18"/>
                <w:vertAlign w:val="subscript"/>
                <w:lang w:val="zh-CN"/>
              </w:rPr>
              <w:t>2</w:t>
            </w:r>
          </w:p>
        </w:tc>
        <w:tc>
          <w:tcPr>
            <w:tcW w:w="591" w:type="pct"/>
            <w:vAlign w:val="center"/>
          </w:tcPr>
          <w:p w14:paraId="3B6DDA83">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58.55</w:t>
            </w:r>
          </w:p>
        </w:tc>
        <w:tc>
          <w:tcPr>
            <w:tcW w:w="564" w:type="pct"/>
            <w:vMerge w:val="restart"/>
            <w:vAlign w:val="center"/>
          </w:tcPr>
          <w:p w14:paraId="0064B560">
            <w:pPr>
              <w:pStyle w:val="557"/>
            </w:pPr>
            <w:r>
              <w:rPr>
                <w:rFonts w:hint="eastAsia"/>
              </w:rPr>
              <w:t>90</w:t>
            </w:r>
          </w:p>
        </w:tc>
        <w:tc>
          <w:tcPr>
            <w:tcW w:w="550" w:type="pct"/>
            <w:vMerge w:val="restart"/>
            <w:vAlign w:val="center"/>
          </w:tcPr>
          <w:p w14:paraId="328ED8ED">
            <w:pPr>
              <w:pStyle w:val="557"/>
            </w:pPr>
            <w:r>
              <w:rPr>
                <w:rFonts w:hint="eastAsia"/>
              </w:rPr>
              <w:t>中压氨分离器闪蒸气</w:t>
            </w:r>
          </w:p>
        </w:tc>
        <w:tc>
          <w:tcPr>
            <w:tcW w:w="682" w:type="pct"/>
            <w:vMerge w:val="restart"/>
            <w:vAlign w:val="center"/>
          </w:tcPr>
          <w:p w14:paraId="2D24C6A7">
            <w:pPr>
              <w:pStyle w:val="557"/>
            </w:pPr>
            <w:r>
              <w:rPr>
                <w:rFonts w:hint="eastAsia"/>
              </w:rPr>
              <w:t>排入氨火炬系统</w:t>
            </w:r>
          </w:p>
        </w:tc>
      </w:tr>
      <w:tr w14:paraId="537F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69CE3BC9">
            <w:pPr>
              <w:pStyle w:val="557"/>
            </w:pPr>
          </w:p>
        </w:tc>
        <w:tc>
          <w:tcPr>
            <w:tcW w:w="524" w:type="pct"/>
            <w:vMerge w:val="continue"/>
            <w:vAlign w:val="center"/>
          </w:tcPr>
          <w:p w14:paraId="27D86B02">
            <w:pPr>
              <w:pStyle w:val="557"/>
            </w:pPr>
          </w:p>
        </w:tc>
        <w:tc>
          <w:tcPr>
            <w:tcW w:w="457" w:type="pct"/>
            <w:vMerge w:val="continue"/>
            <w:vAlign w:val="center"/>
          </w:tcPr>
          <w:p w14:paraId="348DEF2A">
            <w:pPr>
              <w:pStyle w:val="557"/>
            </w:pPr>
          </w:p>
        </w:tc>
        <w:tc>
          <w:tcPr>
            <w:tcW w:w="481" w:type="pct"/>
            <w:vMerge w:val="continue"/>
            <w:vAlign w:val="center"/>
          </w:tcPr>
          <w:p w14:paraId="441CE404">
            <w:pPr>
              <w:pStyle w:val="557"/>
            </w:pPr>
          </w:p>
        </w:tc>
        <w:tc>
          <w:tcPr>
            <w:tcW w:w="862" w:type="pct"/>
            <w:vAlign w:val="center"/>
          </w:tcPr>
          <w:p w14:paraId="23644B6A">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N</w:t>
            </w:r>
            <w:r>
              <w:rPr>
                <w:rFonts w:ascii="Times New Roman" w:hAnsi="Times New Roman" w:cs="Times New Roman"/>
                <w:sz w:val="18"/>
                <w:szCs w:val="18"/>
                <w:vertAlign w:val="subscript"/>
                <w:lang w:val="zh-CN"/>
              </w:rPr>
              <w:t>2</w:t>
            </w:r>
          </w:p>
        </w:tc>
        <w:tc>
          <w:tcPr>
            <w:tcW w:w="591" w:type="pct"/>
            <w:vAlign w:val="center"/>
          </w:tcPr>
          <w:p w14:paraId="59ADF2CE">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26.1</w:t>
            </w:r>
          </w:p>
        </w:tc>
        <w:tc>
          <w:tcPr>
            <w:tcW w:w="564" w:type="pct"/>
            <w:vMerge w:val="continue"/>
            <w:vAlign w:val="center"/>
          </w:tcPr>
          <w:p w14:paraId="0148A5C0">
            <w:pPr>
              <w:pStyle w:val="557"/>
            </w:pPr>
          </w:p>
        </w:tc>
        <w:tc>
          <w:tcPr>
            <w:tcW w:w="550" w:type="pct"/>
            <w:vMerge w:val="continue"/>
            <w:vAlign w:val="center"/>
          </w:tcPr>
          <w:p w14:paraId="5B0B7337">
            <w:pPr>
              <w:pStyle w:val="557"/>
            </w:pPr>
          </w:p>
        </w:tc>
        <w:tc>
          <w:tcPr>
            <w:tcW w:w="682" w:type="pct"/>
            <w:vMerge w:val="continue"/>
            <w:vAlign w:val="center"/>
          </w:tcPr>
          <w:p w14:paraId="614FF539">
            <w:pPr>
              <w:pStyle w:val="557"/>
            </w:pPr>
          </w:p>
        </w:tc>
      </w:tr>
      <w:tr w14:paraId="7E1F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5BAF0347">
            <w:pPr>
              <w:pStyle w:val="557"/>
            </w:pPr>
          </w:p>
        </w:tc>
        <w:tc>
          <w:tcPr>
            <w:tcW w:w="524" w:type="pct"/>
            <w:vMerge w:val="continue"/>
            <w:vAlign w:val="center"/>
          </w:tcPr>
          <w:p w14:paraId="641D9B99">
            <w:pPr>
              <w:pStyle w:val="557"/>
            </w:pPr>
          </w:p>
        </w:tc>
        <w:tc>
          <w:tcPr>
            <w:tcW w:w="457" w:type="pct"/>
            <w:vMerge w:val="continue"/>
            <w:vAlign w:val="center"/>
          </w:tcPr>
          <w:p w14:paraId="5EE7307F">
            <w:pPr>
              <w:pStyle w:val="557"/>
            </w:pPr>
          </w:p>
        </w:tc>
        <w:tc>
          <w:tcPr>
            <w:tcW w:w="481" w:type="pct"/>
            <w:vMerge w:val="continue"/>
            <w:vAlign w:val="center"/>
          </w:tcPr>
          <w:p w14:paraId="663C51E6">
            <w:pPr>
              <w:pStyle w:val="557"/>
            </w:pPr>
          </w:p>
        </w:tc>
        <w:tc>
          <w:tcPr>
            <w:tcW w:w="862" w:type="pct"/>
            <w:vAlign w:val="center"/>
          </w:tcPr>
          <w:p w14:paraId="331ED59F">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NH</w:t>
            </w:r>
            <w:r>
              <w:rPr>
                <w:rFonts w:hint="eastAsia" w:ascii="Times New Roman" w:hAnsi="Times New Roman" w:cs="Times New Roman"/>
                <w:sz w:val="18"/>
                <w:szCs w:val="18"/>
                <w:vertAlign w:val="subscript"/>
              </w:rPr>
              <w:t>3</w:t>
            </w:r>
          </w:p>
        </w:tc>
        <w:tc>
          <w:tcPr>
            <w:tcW w:w="591" w:type="pct"/>
            <w:vAlign w:val="center"/>
          </w:tcPr>
          <w:p w14:paraId="40F61246">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15.36</w:t>
            </w:r>
          </w:p>
        </w:tc>
        <w:tc>
          <w:tcPr>
            <w:tcW w:w="564" w:type="pct"/>
            <w:vMerge w:val="continue"/>
            <w:vAlign w:val="center"/>
          </w:tcPr>
          <w:p w14:paraId="3B27D548">
            <w:pPr>
              <w:pStyle w:val="557"/>
            </w:pPr>
          </w:p>
        </w:tc>
        <w:tc>
          <w:tcPr>
            <w:tcW w:w="550" w:type="pct"/>
            <w:vMerge w:val="continue"/>
            <w:vAlign w:val="center"/>
          </w:tcPr>
          <w:p w14:paraId="022DFA6F">
            <w:pPr>
              <w:pStyle w:val="557"/>
            </w:pPr>
          </w:p>
        </w:tc>
        <w:tc>
          <w:tcPr>
            <w:tcW w:w="682" w:type="pct"/>
            <w:vMerge w:val="continue"/>
            <w:vAlign w:val="center"/>
          </w:tcPr>
          <w:p w14:paraId="38ED2E8B">
            <w:pPr>
              <w:pStyle w:val="557"/>
            </w:pPr>
          </w:p>
        </w:tc>
      </w:tr>
      <w:tr w14:paraId="32F8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vAlign w:val="center"/>
          </w:tcPr>
          <w:p w14:paraId="161F76FF">
            <w:pPr>
              <w:pStyle w:val="557"/>
            </w:pPr>
            <w:r>
              <w:rPr>
                <w:rFonts w:hint="eastAsia"/>
              </w:rPr>
              <w:t>12</w:t>
            </w:r>
          </w:p>
        </w:tc>
        <w:tc>
          <w:tcPr>
            <w:tcW w:w="524" w:type="pct"/>
            <w:vMerge w:val="restart"/>
            <w:vAlign w:val="center"/>
          </w:tcPr>
          <w:p w14:paraId="5024D54D">
            <w:pPr>
              <w:pStyle w:val="557"/>
            </w:pPr>
            <w:r>
              <w:rPr>
                <w:rFonts w:hint="eastAsia"/>
              </w:rPr>
              <w:t>合成氨装置</w:t>
            </w:r>
          </w:p>
        </w:tc>
        <w:tc>
          <w:tcPr>
            <w:tcW w:w="457" w:type="pct"/>
            <w:vMerge w:val="restart"/>
            <w:vAlign w:val="center"/>
          </w:tcPr>
          <w:p w14:paraId="3017BB72">
            <w:pPr>
              <w:pStyle w:val="557"/>
            </w:pPr>
            <w:r>
              <w:rPr>
                <w:rFonts w:hint="eastAsia"/>
              </w:rPr>
              <w:t>35</w:t>
            </w:r>
          </w:p>
        </w:tc>
        <w:tc>
          <w:tcPr>
            <w:tcW w:w="481" w:type="pct"/>
            <w:vMerge w:val="restart"/>
            <w:vAlign w:val="center"/>
          </w:tcPr>
          <w:p w14:paraId="197EE167">
            <w:pPr>
              <w:pStyle w:val="557"/>
            </w:pPr>
            <w:r>
              <w:rPr>
                <w:rFonts w:hint="eastAsia"/>
              </w:rPr>
              <w:t>/</w:t>
            </w:r>
          </w:p>
        </w:tc>
        <w:tc>
          <w:tcPr>
            <w:tcW w:w="862" w:type="pct"/>
            <w:vAlign w:val="center"/>
          </w:tcPr>
          <w:p w14:paraId="3399EFDB">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H</w:t>
            </w:r>
            <w:r>
              <w:rPr>
                <w:rFonts w:ascii="Times New Roman" w:hAnsi="Times New Roman" w:cs="Times New Roman"/>
                <w:sz w:val="18"/>
                <w:szCs w:val="18"/>
                <w:vertAlign w:val="subscript"/>
                <w:lang w:val="zh-CN"/>
              </w:rPr>
              <w:t>2</w:t>
            </w:r>
          </w:p>
        </w:tc>
        <w:tc>
          <w:tcPr>
            <w:tcW w:w="591" w:type="pct"/>
            <w:vAlign w:val="center"/>
          </w:tcPr>
          <w:p w14:paraId="33936A51">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近100</w:t>
            </w:r>
          </w:p>
        </w:tc>
        <w:tc>
          <w:tcPr>
            <w:tcW w:w="564" w:type="pct"/>
            <w:vMerge w:val="restart"/>
            <w:vAlign w:val="center"/>
          </w:tcPr>
          <w:p w14:paraId="39628363">
            <w:pPr>
              <w:pStyle w:val="557"/>
            </w:pPr>
            <w:r>
              <w:rPr>
                <w:rFonts w:hint="eastAsia"/>
              </w:rPr>
              <w:t>36</w:t>
            </w:r>
          </w:p>
        </w:tc>
        <w:tc>
          <w:tcPr>
            <w:tcW w:w="550" w:type="pct"/>
            <w:vMerge w:val="restart"/>
            <w:vAlign w:val="center"/>
          </w:tcPr>
          <w:p w14:paraId="13573E44">
            <w:pPr>
              <w:pStyle w:val="557"/>
            </w:pPr>
            <w:r>
              <w:rPr>
                <w:szCs w:val="21"/>
              </w:rPr>
              <w:t>低压闪蒸槽闪蒸气</w:t>
            </w:r>
          </w:p>
        </w:tc>
        <w:tc>
          <w:tcPr>
            <w:tcW w:w="682" w:type="pct"/>
            <w:vMerge w:val="restart"/>
            <w:vAlign w:val="center"/>
          </w:tcPr>
          <w:p w14:paraId="14FC6D41">
            <w:pPr>
              <w:pStyle w:val="557"/>
            </w:pPr>
            <w:r>
              <w:rPr>
                <w:rFonts w:hint="eastAsia"/>
              </w:rPr>
              <w:t>排入氨火炬系统</w:t>
            </w:r>
          </w:p>
        </w:tc>
      </w:tr>
      <w:tr w14:paraId="3E03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7200D681">
            <w:pPr>
              <w:pStyle w:val="557"/>
            </w:pPr>
          </w:p>
        </w:tc>
        <w:tc>
          <w:tcPr>
            <w:tcW w:w="524" w:type="pct"/>
            <w:vMerge w:val="continue"/>
            <w:vAlign w:val="center"/>
          </w:tcPr>
          <w:p w14:paraId="253216D0">
            <w:pPr>
              <w:pStyle w:val="557"/>
            </w:pPr>
          </w:p>
        </w:tc>
        <w:tc>
          <w:tcPr>
            <w:tcW w:w="457" w:type="pct"/>
            <w:vMerge w:val="continue"/>
            <w:vAlign w:val="center"/>
          </w:tcPr>
          <w:p w14:paraId="0DA1FE76">
            <w:pPr>
              <w:pStyle w:val="557"/>
            </w:pPr>
          </w:p>
        </w:tc>
        <w:tc>
          <w:tcPr>
            <w:tcW w:w="481" w:type="pct"/>
            <w:vMerge w:val="continue"/>
            <w:vAlign w:val="center"/>
          </w:tcPr>
          <w:p w14:paraId="1AABA0A1">
            <w:pPr>
              <w:pStyle w:val="557"/>
            </w:pPr>
          </w:p>
        </w:tc>
        <w:tc>
          <w:tcPr>
            <w:tcW w:w="862" w:type="pct"/>
            <w:vAlign w:val="center"/>
          </w:tcPr>
          <w:p w14:paraId="453DF6F6">
            <w:pPr>
              <w:spacing w:line="360" w:lineRule="exact"/>
              <w:jc w:val="center"/>
              <w:rPr>
                <w:rFonts w:ascii="Times New Roman" w:hAnsi="Times New Roman" w:cs="Times New Roman"/>
                <w:sz w:val="18"/>
                <w:szCs w:val="18"/>
              </w:rPr>
            </w:pPr>
            <w:r>
              <w:rPr>
                <w:rFonts w:ascii="Times New Roman" w:hAnsi="Times New Roman" w:cs="Times New Roman"/>
                <w:sz w:val="18"/>
                <w:szCs w:val="18"/>
                <w:lang w:val="zh-CN"/>
              </w:rPr>
              <w:t>N</w:t>
            </w:r>
            <w:r>
              <w:rPr>
                <w:rFonts w:ascii="Times New Roman" w:hAnsi="Times New Roman" w:cs="Times New Roman"/>
                <w:sz w:val="18"/>
                <w:szCs w:val="18"/>
                <w:vertAlign w:val="subscript"/>
                <w:lang w:val="zh-CN"/>
              </w:rPr>
              <w:t>2</w:t>
            </w:r>
          </w:p>
        </w:tc>
        <w:tc>
          <w:tcPr>
            <w:tcW w:w="591" w:type="pct"/>
            <w:vAlign w:val="center"/>
          </w:tcPr>
          <w:p w14:paraId="7538173A">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微量</w:t>
            </w:r>
          </w:p>
        </w:tc>
        <w:tc>
          <w:tcPr>
            <w:tcW w:w="564" w:type="pct"/>
            <w:vMerge w:val="continue"/>
            <w:vAlign w:val="center"/>
          </w:tcPr>
          <w:p w14:paraId="03E00070">
            <w:pPr>
              <w:pStyle w:val="557"/>
            </w:pPr>
          </w:p>
        </w:tc>
        <w:tc>
          <w:tcPr>
            <w:tcW w:w="550" w:type="pct"/>
            <w:vMerge w:val="continue"/>
            <w:vAlign w:val="center"/>
          </w:tcPr>
          <w:p w14:paraId="437D7F9C">
            <w:pPr>
              <w:pStyle w:val="557"/>
            </w:pPr>
          </w:p>
        </w:tc>
        <w:tc>
          <w:tcPr>
            <w:tcW w:w="682" w:type="pct"/>
            <w:vMerge w:val="continue"/>
            <w:vAlign w:val="center"/>
          </w:tcPr>
          <w:p w14:paraId="409562FB">
            <w:pPr>
              <w:pStyle w:val="557"/>
            </w:pPr>
          </w:p>
        </w:tc>
      </w:tr>
      <w:tr w14:paraId="476E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 w:type="pct"/>
            <w:vMerge w:val="continue"/>
            <w:vAlign w:val="center"/>
          </w:tcPr>
          <w:p w14:paraId="16F5E1C0">
            <w:pPr>
              <w:pStyle w:val="557"/>
            </w:pPr>
          </w:p>
        </w:tc>
        <w:tc>
          <w:tcPr>
            <w:tcW w:w="524" w:type="pct"/>
            <w:vMerge w:val="continue"/>
            <w:vAlign w:val="center"/>
          </w:tcPr>
          <w:p w14:paraId="71E245F5">
            <w:pPr>
              <w:pStyle w:val="557"/>
            </w:pPr>
          </w:p>
        </w:tc>
        <w:tc>
          <w:tcPr>
            <w:tcW w:w="457" w:type="pct"/>
            <w:vMerge w:val="continue"/>
            <w:vAlign w:val="center"/>
          </w:tcPr>
          <w:p w14:paraId="10A2C596">
            <w:pPr>
              <w:pStyle w:val="557"/>
            </w:pPr>
          </w:p>
        </w:tc>
        <w:tc>
          <w:tcPr>
            <w:tcW w:w="481" w:type="pct"/>
            <w:vMerge w:val="continue"/>
            <w:vAlign w:val="center"/>
          </w:tcPr>
          <w:p w14:paraId="4F82CF74">
            <w:pPr>
              <w:pStyle w:val="557"/>
            </w:pPr>
          </w:p>
        </w:tc>
        <w:tc>
          <w:tcPr>
            <w:tcW w:w="862" w:type="pct"/>
            <w:vAlign w:val="center"/>
          </w:tcPr>
          <w:p w14:paraId="685D6550">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NH</w:t>
            </w:r>
            <w:r>
              <w:rPr>
                <w:rFonts w:hint="eastAsia" w:ascii="Times New Roman" w:hAnsi="Times New Roman" w:cs="Times New Roman"/>
                <w:sz w:val="18"/>
                <w:szCs w:val="18"/>
                <w:vertAlign w:val="subscript"/>
              </w:rPr>
              <w:t>3</w:t>
            </w:r>
          </w:p>
        </w:tc>
        <w:tc>
          <w:tcPr>
            <w:tcW w:w="591" w:type="pct"/>
            <w:vAlign w:val="center"/>
          </w:tcPr>
          <w:p w14:paraId="62049589">
            <w:pPr>
              <w:spacing w:line="360" w:lineRule="exact"/>
              <w:jc w:val="center"/>
              <w:rPr>
                <w:rFonts w:ascii="Times New Roman" w:hAnsi="Times New Roman" w:cs="Times New Roman"/>
                <w:sz w:val="18"/>
                <w:szCs w:val="18"/>
              </w:rPr>
            </w:pPr>
            <w:r>
              <w:rPr>
                <w:rFonts w:hint="eastAsia" w:ascii="Times New Roman" w:hAnsi="Times New Roman" w:cs="Times New Roman"/>
                <w:sz w:val="18"/>
                <w:szCs w:val="18"/>
              </w:rPr>
              <w:t>微量</w:t>
            </w:r>
          </w:p>
        </w:tc>
        <w:tc>
          <w:tcPr>
            <w:tcW w:w="564" w:type="pct"/>
            <w:vMerge w:val="continue"/>
            <w:vAlign w:val="center"/>
          </w:tcPr>
          <w:p w14:paraId="64E9A30D">
            <w:pPr>
              <w:pStyle w:val="557"/>
            </w:pPr>
          </w:p>
        </w:tc>
        <w:tc>
          <w:tcPr>
            <w:tcW w:w="550" w:type="pct"/>
            <w:vMerge w:val="continue"/>
            <w:vAlign w:val="center"/>
          </w:tcPr>
          <w:p w14:paraId="72211458">
            <w:pPr>
              <w:pStyle w:val="557"/>
            </w:pPr>
          </w:p>
        </w:tc>
        <w:tc>
          <w:tcPr>
            <w:tcW w:w="682" w:type="pct"/>
            <w:vMerge w:val="continue"/>
            <w:vAlign w:val="center"/>
          </w:tcPr>
          <w:p w14:paraId="7A166003">
            <w:pPr>
              <w:pStyle w:val="557"/>
            </w:pPr>
          </w:p>
        </w:tc>
      </w:tr>
    </w:tbl>
    <w:p w14:paraId="6E16BAA5">
      <w:pPr>
        <w:pStyle w:val="128"/>
        <w:rPr>
          <w:rFonts w:hint="eastAsia"/>
        </w:rPr>
      </w:pPr>
      <w:r>
        <w:rPr>
          <w:rFonts w:hint="eastAsia"/>
        </w:rPr>
        <w:t>参照</w:t>
      </w:r>
      <w:r>
        <w:t>《污染源源强核算技术指南</w:t>
      </w:r>
      <w:r>
        <w:rPr>
          <w:rFonts w:hint="eastAsia"/>
        </w:rPr>
        <w:t>石油炼制</w:t>
      </w:r>
      <w:r>
        <w:t>工业》（HJ</w:t>
      </w:r>
      <w:r>
        <w:rPr>
          <w:rFonts w:hint="eastAsia"/>
        </w:rPr>
        <w:t>982</w:t>
      </w:r>
      <w:r>
        <w:t>-2018），火炬焚烧排放污染物采用下式排放：</w:t>
      </w:r>
    </w:p>
    <w:p w14:paraId="79034D90">
      <w:pPr>
        <w:pStyle w:val="128"/>
        <w:ind w:firstLine="0" w:firstLineChars="0"/>
        <w:jc w:val="center"/>
        <w:rPr>
          <w:rFonts w:hint="eastAsia"/>
        </w:rPr>
      </w:pPr>
      <w:r>
        <w:drawing>
          <wp:inline distT="0" distB="0" distL="0" distR="0">
            <wp:extent cx="2258695" cy="737235"/>
            <wp:effectExtent l="0" t="0" r="8255" b="5715"/>
            <wp:docPr id="14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58695" cy="737235"/>
                    </a:xfrm>
                    <a:prstGeom prst="rect">
                      <a:avLst/>
                    </a:prstGeom>
                    <a:noFill/>
                    <a:ln>
                      <a:noFill/>
                    </a:ln>
                  </pic:spPr>
                </pic:pic>
              </a:graphicData>
            </a:graphic>
          </wp:inline>
        </w:drawing>
      </w:r>
    </w:p>
    <w:p w14:paraId="0EC396CF">
      <w:pPr>
        <w:pStyle w:val="128"/>
        <w:ind w:firstLine="0" w:firstLineChars="0"/>
        <w:rPr>
          <w:rFonts w:hint="eastAsia"/>
          <w:sz w:val="21"/>
          <w:szCs w:val="21"/>
        </w:rPr>
      </w:pPr>
      <w:r>
        <w:t>式中：</w:t>
      </w:r>
      <w:r>
        <w:rPr>
          <w:sz w:val="21"/>
          <w:szCs w:val="21"/>
        </w:rPr>
        <w:t>D</w:t>
      </w:r>
      <w:r>
        <w:rPr>
          <w:sz w:val="21"/>
          <w:szCs w:val="21"/>
          <w:vertAlign w:val="subscript"/>
        </w:rPr>
        <w:t>火炬系统</w:t>
      </w:r>
      <w:r>
        <w:rPr>
          <w:sz w:val="21"/>
          <w:szCs w:val="21"/>
        </w:rPr>
        <w:t>——火炬焚烧排放的二氧化硫和氮氧化物量，kg/a；</w:t>
      </w:r>
    </w:p>
    <w:p w14:paraId="007D42AB">
      <w:pPr>
        <w:pStyle w:val="128"/>
        <w:ind w:firstLine="735" w:firstLineChars="350"/>
        <w:rPr>
          <w:rFonts w:hint="eastAsia"/>
          <w:sz w:val="21"/>
          <w:szCs w:val="21"/>
        </w:rPr>
      </w:pPr>
      <w:r>
        <w:rPr>
          <w:sz w:val="21"/>
          <w:szCs w:val="21"/>
        </w:rPr>
        <w:t>S</w:t>
      </w:r>
      <w:r>
        <w:rPr>
          <w:sz w:val="21"/>
          <w:szCs w:val="21"/>
          <w:vertAlign w:val="subscript"/>
        </w:rPr>
        <w:t>i</w:t>
      </w:r>
      <w:r>
        <w:rPr>
          <w:sz w:val="21"/>
          <w:szCs w:val="21"/>
        </w:rPr>
        <w:t>——第i个火炬气中的硫含量，kg/m</w:t>
      </w:r>
      <w:r>
        <w:rPr>
          <w:sz w:val="21"/>
          <w:szCs w:val="21"/>
          <w:vertAlign w:val="superscript"/>
        </w:rPr>
        <w:t>3</w:t>
      </w:r>
      <w:r>
        <w:rPr>
          <w:sz w:val="21"/>
          <w:szCs w:val="21"/>
        </w:rPr>
        <w:t>；</w:t>
      </w:r>
    </w:p>
    <w:p w14:paraId="607347D3">
      <w:pPr>
        <w:pStyle w:val="128"/>
        <w:ind w:firstLine="735" w:firstLineChars="350"/>
        <w:rPr>
          <w:rFonts w:hint="eastAsia"/>
          <w:sz w:val="21"/>
          <w:szCs w:val="21"/>
        </w:rPr>
      </w:pPr>
      <w:r>
        <w:rPr>
          <w:sz w:val="21"/>
          <w:szCs w:val="21"/>
        </w:rPr>
        <w:t>Q</w:t>
      </w:r>
      <w:r>
        <w:rPr>
          <w:sz w:val="21"/>
          <w:szCs w:val="21"/>
          <w:vertAlign w:val="subscript"/>
        </w:rPr>
        <w:t>i</w:t>
      </w:r>
      <w:r>
        <w:rPr>
          <w:sz w:val="21"/>
          <w:szCs w:val="21"/>
        </w:rPr>
        <w:t>——第i个火炬气的流量，m</w:t>
      </w:r>
      <w:r>
        <w:rPr>
          <w:sz w:val="21"/>
          <w:szCs w:val="21"/>
          <w:vertAlign w:val="superscript"/>
        </w:rPr>
        <w:t>3</w:t>
      </w:r>
      <w:r>
        <w:rPr>
          <w:sz w:val="21"/>
          <w:szCs w:val="21"/>
        </w:rPr>
        <w:t>/h；</w:t>
      </w:r>
    </w:p>
    <w:p w14:paraId="41976237">
      <w:pPr>
        <w:pStyle w:val="128"/>
        <w:ind w:firstLine="735" w:firstLineChars="350"/>
        <w:rPr>
          <w:rFonts w:hint="eastAsia"/>
          <w:sz w:val="21"/>
          <w:szCs w:val="21"/>
        </w:rPr>
      </w:pPr>
      <w:r>
        <w:rPr>
          <w:sz w:val="21"/>
          <w:szCs w:val="21"/>
        </w:rPr>
        <w:t>t</w:t>
      </w:r>
      <w:r>
        <w:rPr>
          <w:sz w:val="21"/>
          <w:szCs w:val="21"/>
          <w:vertAlign w:val="subscript"/>
        </w:rPr>
        <w:t>i</w:t>
      </w:r>
      <w:r>
        <w:rPr>
          <w:sz w:val="21"/>
          <w:szCs w:val="21"/>
        </w:rPr>
        <w:t>——第i个火炬年运行时间，h/a；</w:t>
      </w:r>
    </w:p>
    <w:p w14:paraId="679FA0E2">
      <w:pPr>
        <w:pStyle w:val="128"/>
        <w:ind w:firstLine="735" w:firstLineChars="350"/>
        <w:rPr>
          <w:rFonts w:hint="eastAsia"/>
          <w:sz w:val="21"/>
          <w:szCs w:val="21"/>
        </w:rPr>
      </w:pPr>
      <w:r>
        <w:rPr>
          <w:sz w:val="21"/>
          <w:szCs w:val="21"/>
        </w:rPr>
        <w:t>α——排放系数，0.054kg/m</w:t>
      </w:r>
      <w:r>
        <w:rPr>
          <w:sz w:val="21"/>
          <w:szCs w:val="21"/>
          <w:vertAlign w:val="superscript"/>
        </w:rPr>
        <w:t>3</w:t>
      </w:r>
      <w:r>
        <w:rPr>
          <w:sz w:val="21"/>
          <w:szCs w:val="21"/>
        </w:rPr>
        <w:t>；</w:t>
      </w:r>
    </w:p>
    <w:p w14:paraId="71EBF430">
      <w:pPr>
        <w:pStyle w:val="128"/>
        <w:ind w:firstLine="735" w:firstLineChars="350"/>
        <w:rPr>
          <w:rFonts w:hint="eastAsia"/>
          <w:sz w:val="21"/>
          <w:szCs w:val="21"/>
        </w:rPr>
      </w:pPr>
      <w:r>
        <w:rPr>
          <w:sz w:val="21"/>
          <w:szCs w:val="21"/>
        </w:rPr>
        <w:t>n——火炬个数，量纲一的量。</w:t>
      </w:r>
    </w:p>
    <w:p w14:paraId="0403B979">
      <w:pPr>
        <w:pStyle w:val="281"/>
        <w:ind w:firstLine="480"/>
      </w:pPr>
      <w:r>
        <w:t>根据计算，火炬废气排放情况见下。</w:t>
      </w:r>
    </w:p>
    <w:p w14:paraId="1DEEF6F4">
      <w:pPr>
        <w:pStyle w:val="541"/>
        <w:rPr>
          <w:rFonts w:hint="eastAsia"/>
        </w:rPr>
      </w:pPr>
      <w:r>
        <w:t>表3.3.</w:t>
      </w:r>
      <w:r>
        <w:rPr>
          <w:rFonts w:hint="eastAsia"/>
        </w:rPr>
        <w:t>9-4    火炬系统废气排放情况一览表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092"/>
        <w:gridCol w:w="2075"/>
        <w:gridCol w:w="2075"/>
      </w:tblGrid>
      <w:tr w14:paraId="4C2E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Merge w:val="restart"/>
            <w:vAlign w:val="center"/>
          </w:tcPr>
          <w:p w14:paraId="7384B79E">
            <w:pPr>
              <w:pStyle w:val="557"/>
            </w:pPr>
            <w:r>
              <w:rPr>
                <w:rFonts w:hint="eastAsia"/>
              </w:rPr>
              <w:t>火炬系统</w:t>
            </w:r>
          </w:p>
        </w:tc>
        <w:tc>
          <w:tcPr>
            <w:tcW w:w="2092" w:type="dxa"/>
            <w:vAlign w:val="center"/>
          </w:tcPr>
          <w:p w14:paraId="45852574">
            <w:pPr>
              <w:pStyle w:val="557"/>
            </w:pPr>
            <w:r>
              <w:rPr>
                <w:rFonts w:hint="eastAsia"/>
              </w:rPr>
              <w:t>NOx</w:t>
            </w:r>
          </w:p>
        </w:tc>
        <w:tc>
          <w:tcPr>
            <w:tcW w:w="2075" w:type="dxa"/>
            <w:vAlign w:val="center"/>
          </w:tcPr>
          <w:p w14:paraId="1FFAB320">
            <w:pPr>
              <w:pStyle w:val="557"/>
            </w:pPr>
            <w:r>
              <w:rPr>
                <w:rFonts w:hint="eastAsia"/>
              </w:rPr>
              <w:t>S</w:t>
            </w:r>
            <w:r>
              <w:t>O</w:t>
            </w:r>
            <w:r>
              <w:rPr>
                <w:vertAlign w:val="subscript"/>
              </w:rPr>
              <w:t>2</w:t>
            </w:r>
          </w:p>
        </w:tc>
        <w:tc>
          <w:tcPr>
            <w:tcW w:w="2075" w:type="dxa"/>
            <w:vAlign w:val="center"/>
          </w:tcPr>
          <w:p w14:paraId="6FB6A040">
            <w:pPr>
              <w:pStyle w:val="557"/>
            </w:pPr>
            <w:r>
              <w:rPr>
                <w:rFonts w:hint="eastAsia"/>
              </w:rPr>
              <w:t>挥发性有机物</w:t>
            </w:r>
          </w:p>
        </w:tc>
      </w:tr>
      <w:tr w14:paraId="1708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Merge w:val="continue"/>
            <w:vAlign w:val="center"/>
          </w:tcPr>
          <w:p w14:paraId="32896535">
            <w:pPr>
              <w:pStyle w:val="557"/>
            </w:pPr>
          </w:p>
        </w:tc>
        <w:tc>
          <w:tcPr>
            <w:tcW w:w="2092" w:type="dxa"/>
            <w:vAlign w:val="center"/>
          </w:tcPr>
          <w:p w14:paraId="5BFC60BE">
            <w:pPr>
              <w:pStyle w:val="557"/>
            </w:pPr>
            <w:r>
              <w:rPr>
                <w:rFonts w:hint="eastAsia"/>
              </w:rPr>
              <w:t>排放速率（kg/h）</w:t>
            </w:r>
          </w:p>
        </w:tc>
        <w:tc>
          <w:tcPr>
            <w:tcW w:w="2075" w:type="dxa"/>
            <w:vAlign w:val="center"/>
          </w:tcPr>
          <w:p w14:paraId="7C184597">
            <w:pPr>
              <w:pStyle w:val="557"/>
            </w:pPr>
            <w:r>
              <w:rPr>
                <w:rFonts w:hint="eastAsia"/>
              </w:rPr>
              <w:t>排放速率（kg/h）</w:t>
            </w:r>
          </w:p>
        </w:tc>
        <w:tc>
          <w:tcPr>
            <w:tcW w:w="2075" w:type="dxa"/>
            <w:vAlign w:val="center"/>
          </w:tcPr>
          <w:p w14:paraId="4A32B9A0">
            <w:pPr>
              <w:pStyle w:val="557"/>
            </w:pPr>
            <w:r>
              <w:rPr>
                <w:rFonts w:hint="eastAsia"/>
              </w:rPr>
              <w:t>排放速率（kg/h）</w:t>
            </w:r>
          </w:p>
        </w:tc>
      </w:tr>
      <w:tr w14:paraId="206D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2B10349C">
            <w:pPr>
              <w:pStyle w:val="557"/>
            </w:pPr>
            <w:r>
              <w:rPr>
                <w:rFonts w:hint="eastAsia"/>
              </w:rPr>
              <w:t>主火炬系统</w:t>
            </w:r>
          </w:p>
        </w:tc>
        <w:tc>
          <w:tcPr>
            <w:tcW w:w="2092" w:type="dxa"/>
            <w:vAlign w:val="center"/>
          </w:tcPr>
          <w:p w14:paraId="27BF1260">
            <w:pPr>
              <w:pStyle w:val="557"/>
            </w:pPr>
            <w:r>
              <w:rPr>
                <w:rFonts w:hint="eastAsia"/>
              </w:rPr>
              <w:t>9.62</w:t>
            </w:r>
          </w:p>
        </w:tc>
        <w:tc>
          <w:tcPr>
            <w:tcW w:w="2075" w:type="dxa"/>
            <w:vAlign w:val="center"/>
          </w:tcPr>
          <w:p w14:paraId="6830AE36">
            <w:pPr>
              <w:pStyle w:val="557"/>
            </w:pPr>
            <w:r>
              <w:rPr>
                <w:rFonts w:hint="eastAsia"/>
              </w:rPr>
              <w:t>8.11</w:t>
            </w:r>
          </w:p>
        </w:tc>
        <w:tc>
          <w:tcPr>
            <w:tcW w:w="2075" w:type="dxa"/>
            <w:vAlign w:val="center"/>
          </w:tcPr>
          <w:p w14:paraId="2E983671">
            <w:pPr>
              <w:pStyle w:val="557"/>
            </w:pPr>
            <w:r>
              <w:rPr>
                <w:rFonts w:hint="eastAsia"/>
              </w:rPr>
              <w:t>1.76</w:t>
            </w:r>
          </w:p>
        </w:tc>
      </w:tr>
      <w:tr w14:paraId="3CBD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20BAA2DF">
            <w:pPr>
              <w:pStyle w:val="557"/>
            </w:pPr>
            <w:r>
              <w:rPr>
                <w:rFonts w:hint="eastAsia"/>
              </w:rPr>
              <w:t>酸性气火炬系统</w:t>
            </w:r>
          </w:p>
        </w:tc>
        <w:tc>
          <w:tcPr>
            <w:tcW w:w="2092" w:type="dxa"/>
            <w:vAlign w:val="center"/>
          </w:tcPr>
          <w:p w14:paraId="33071171">
            <w:pPr>
              <w:pStyle w:val="557"/>
            </w:pPr>
            <w:r>
              <w:rPr>
                <w:rFonts w:hint="eastAsia"/>
              </w:rPr>
              <w:t>0.08</w:t>
            </w:r>
          </w:p>
        </w:tc>
        <w:tc>
          <w:tcPr>
            <w:tcW w:w="2075" w:type="dxa"/>
            <w:vAlign w:val="center"/>
          </w:tcPr>
          <w:p w14:paraId="3134DA05">
            <w:pPr>
              <w:pStyle w:val="557"/>
            </w:pPr>
            <w:r>
              <w:rPr>
                <w:rFonts w:hint="eastAsia"/>
              </w:rPr>
              <w:t>16.49</w:t>
            </w:r>
          </w:p>
        </w:tc>
        <w:tc>
          <w:tcPr>
            <w:tcW w:w="2075" w:type="dxa"/>
            <w:vAlign w:val="center"/>
          </w:tcPr>
          <w:p w14:paraId="539CAD9C">
            <w:pPr>
              <w:pStyle w:val="557"/>
            </w:pPr>
            <w:r>
              <w:rPr>
                <w:rFonts w:hint="eastAsia"/>
              </w:rPr>
              <w:t>/</w:t>
            </w:r>
          </w:p>
        </w:tc>
      </w:tr>
      <w:tr w14:paraId="1E62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3C579DA0">
            <w:pPr>
              <w:pStyle w:val="557"/>
            </w:pPr>
            <w:r>
              <w:rPr>
                <w:rFonts w:hint="eastAsia"/>
              </w:rPr>
              <w:t>氨火炬系统</w:t>
            </w:r>
          </w:p>
        </w:tc>
        <w:tc>
          <w:tcPr>
            <w:tcW w:w="2092" w:type="dxa"/>
            <w:vAlign w:val="center"/>
          </w:tcPr>
          <w:p w14:paraId="0846D493">
            <w:pPr>
              <w:pStyle w:val="557"/>
            </w:pPr>
            <w:r>
              <w:rPr>
                <w:rFonts w:hint="eastAsia"/>
              </w:rPr>
              <w:t>56.1</w:t>
            </w:r>
          </w:p>
        </w:tc>
        <w:tc>
          <w:tcPr>
            <w:tcW w:w="2075" w:type="dxa"/>
            <w:vAlign w:val="center"/>
          </w:tcPr>
          <w:p w14:paraId="2055CFE4">
            <w:pPr>
              <w:pStyle w:val="557"/>
            </w:pPr>
            <w:r>
              <w:rPr>
                <w:rFonts w:hint="eastAsia"/>
              </w:rPr>
              <w:t>/</w:t>
            </w:r>
          </w:p>
        </w:tc>
        <w:tc>
          <w:tcPr>
            <w:tcW w:w="2075" w:type="dxa"/>
            <w:vAlign w:val="center"/>
          </w:tcPr>
          <w:p w14:paraId="1715120E">
            <w:pPr>
              <w:pStyle w:val="557"/>
            </w:pPr>
            <w:r>
              <w:rPr>
                <w:rFonts w:hint="eastAsia"/>
              </w:rPr>
              <w:t>/</w:t>
            </w:r>
          </w:p>
        </w:tc>
      </w:tr>
      <w:tr w14:paraId="7F46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4117DC06">
            <w:pPr>
              <w:pStyle w:val="557"/>
            </w:pPr>
            <w:r>
              <w:rPr>
                <w:rFonts w:hint="eastAsia"/>
              </w:rPr>
              <w:t>合计</w:t>
            </w:r>
          </w:p>
        </w:tc>
        <w:tc>
          <w:tcPr>
            <w:tcW w:w="2092" w:type="dxa"/>
            <w:vAlign w:val="center"/>
          </w:tcPr>
          <w:p w14:paraId="4B60A427">
            <w:pPr>
              <w:pStyle w:val="557"/>
            </w:pPr>
            <w:r>
              <w:rPr>
                <w:rFonts w:hint="eastAsia"/>
              </w:rPr>
              <w:t>65.8</w:t>
            </w:r>
          </w:p>
        </w:tc>
        <w:tc>
          <w:tcPr>
            <w:tcW w:w="2075" w:type="dxa"/>
            <w:vAlign w:val="center"/>
          </w:tcPr>
          <w:p w14:paraId="55863B11">
            <w:pPr>
              <w:pStyle w:val="557"/>
            </w:pPr>
            <w:r>
              <w:rPr>
                <w:rFonts w:hint="eastAsia"/>
              </w:rPr>
              <w:t>24.6</w:t>
            </w:r>
          </w:p>
        </w:tc>
        <w:tc>
          <w:tcPr>
            <w:tcW w:w="2075" w:type="dxa"/>
            <w:vAlign w:val="center"/>
          </w:tcPr>
          <w:p w14:paraId="1994DF48">
            <w:pPr>
              <w:pStyle w:val="557"/>
            </w:pPr>
            <w:r>
              <w:rPr>
                <w:rFonts w:hint="eastAsia"/>
              </w:rPr>
              <w:t>1.76</w:t>
            </w:r>
          </w:p>
        </w:tc>
      </w:tr>
      <w:bookmarkEnd w:id="202"/>
    </w:tbl>
    <w:p w14:paraId="4009B031">
      <w:pPr>
        <w:pStyle w:val="281"/>
        <w:ind w:firstLine="480"/>
      </w:pPr>
      <w:r>
        <w:rPr>
          <w:rFonts w:hint="eastAsia"/>
        </w:rPr>
        <w:t>公用工程系统废气污染源源强核算结果见</w:t>
      </w:r>
      <w:r>
        <w:t>表3.3.</w:t>
      </w:r>
      <w:r>
        <w:rPr>
          <w:rFonts w:hint="eastAsia"/>
        </w:rPr>
        <w:t>8</w:t>
      </w:r>
      <w:r>
        <w:t>-</w:t>
      </w:r>
      <w:r>
        <w:rPr>
          <w:rFonts w:hint="eastAsia"/>
        </w:rPr>
        <w:t>9；</w:t>
      </w:r>
    </w:p>
    <w:p w14:paraId="3085B428">
      <w:pPr>
        <w:pStyle w:val="281"/>
        <w:ind w:firstLine="480"/>
      </w:pPr>
    </w:p>
    <w:p w14:paraId="53BD29E7">
      <w:pPr>
        <w:pStyle w:val="281"/>
        <w:ind w:firstLine="480"/>
      </w:pPr>
    </w:p>
    <w:p w14:paraId="001F3194">
      <w:pPr>
        <w:pStyle w:val="645"/>
        <w:rPr>
          <w:rFonts w:hint="eastAsia"/>
        </w:rPr>
      </w:pPr>
      <w:r>
        <w:rPr>
          <w:rFonts w:hint="eastAsia"/>
        </w:rPr>
        <w:t>表</w:t>
      </w:r>
      <w:r>
        <w:t>3.3.</w:t>
      </w:r>
      <w:r>
        <w:rPr>
          <w:rFonts w:hint="eastAsia"/>
        </w:rPr>
        <w:t>9-5    公用工程系统废气污染源产排情况一览表</w:t>
      </w:r>
    </w:p>
    <w:p w14:paraId="087706A3">
      <w:pPr>
        <w:pStyle w:val="281"/>
        <w:ind w:firstLine="480"/>
      </w:pPr>
    </w:p>
    <w:p w14:paraId="7C2E2C79">
      <w:pPr>
        <w:pStyle w:val="281"/>
        <w:ind w:firstLine="480"/>
      </w:pPr>
    </w:p>
    <w:p w14:paraId="529E6C09">
      <w:pPr>
        <w:pStyle w:val="281"/>
        <w:ind w:firstLine="480"/>
        <w:sectPr>
          <w:pgSz w:w="11906" w:h="16838"/>
          <w:pgMar w:top="1440" w:right="1800" w:bottom="1440" w:left="1800" w:header="851" w:footer="850" w:gutter="0"/>
          <w:cols w:space="425" w:num="1"/>
          <w:docGrid w:type="lines" w:linePitch="326" w:charSpace="0"/>
        </w:sectPr>
      </w:pPr>
    </w:p>
    <w:p w14:paraId="4092BBAC">
      <w:pPr>
        <w:pStyle w:val="98"/>
        <w:rPr>
          <w:rFonts w:hint="eastAsia"/>
        </w:rPr>
      </w:pPr>
      <w:r>
        <w:rPr>
          <w:rFonts w:hint="eastAsia"/>
        </w:rPr>
        <w:t>废水</w:t>
      </w:r>
    </w:p>
    <w:p w14:paraId="58368B47">
      <w:pPr>
        <w:pStyle w:val="281"/>
        <w:ind w:firstLine="480"/>
        <w:rPr>
          <w:rFonts w:hint="eastAsia" w:ascii="宋体" w:hAnsi="宋体"/>
        </w:rPr>
      </w:pPr>
      <w:r>
        <w:rPr>
          <w:rFonts w:hint="eastAsia" w:ascii="宋体" w:hAnsi="宋体"/>
        </w:rPr>
        <w:t>公用及辅助</w:t>
      </w:r>
      <w:r>
        <w:rPr>
          <w:rFonts w:hint="eastAsia"/>
        </w:rPr>
        <w:t>工程</w:t>
      </w:r>
      <w:r>
        <w:rPr>
          <w:rFonts w:hint="eastAsia" w:ascii="宋体" w:hAnsi="宋体"/>
        </w:rPr>
        <w:t>主要废水污染源为</w:t>
      </w:r>
      <w:r>
        <w:rPr>
          <w:rFonts w:hint="eastAsia"/>
          <w:snapToGrid w:val="0"/>
          <w:kern w:val="2"/>
          <w:szCs w:val="22"/>
          <w:lang w:val="zh-CN"/>
        </w:rPr>
        <w:t>锅炉</w:t>
      </w:r>
      <w:r>
        <w:rPr>
          <w:rFonts w:hint="eastAsia" w:ascii="宋体" w:hAnsi="宋体"/>
          <w:snapToGrid w:val="0"/>
          <w:kern w:val="2"/>
          <w:szCs w:val="22"/>
          <w:lang w:val="zh-CN"/>
        </w:rPr>
        <w:t>定</w:t>
      </w:r>
      <w:r>
        <w:rPr>
          <w:rFonts w:hint="eastAsia"/>
          <w:snapToGrid w:val="0"/>
          <w:kern w:val="2"/>
          <w:szCs w:val="22"/>
          <w:lang w:val="zh-CN"/>
        </w:rPr>
        <w:t>排水</w:t>
      </w:r>
      <w:r>
        <w:rPr>
          <w:rFonts w:hint="eastAsia" w:ascii="宋体" w:hAnsi="宋体"/>
        </w:rPr>
        <w:t>（</w:t>
      </w:r>
      <w:r>
        <w:rPr>
          <w:rFonts w:hint="eastAsia"/>
        </w:rPr>
        <w:t>W</w:t>
      </w:r>
      <w:r>
        <w:rPr>
          <w:rFonts w:hint="eastAsia"/>
          <w:vertAlign w:val="subscript"/>
        </w:rPr>
        <w:t>8-1</w:t>
      </w:r>
      <w:r>
        <w:rPr>
          <w:rFonts w:hint="eastAsia" w:ascii="宋体" w:hAnsi="宋体"/>
        </w:rPr>
        <w:t>）</w:t>
      </w:r>
      <w:r>
        <w:rPr>
          <w:rFonts w:hint="eastAsia" w:ascii="宋体" w:hAnsi="宋体"/>
          <w:snapToGrid w:val="0"/>
          <w:kern w:val="2"/>
          <w:szCs w:val="22"/>
          <w:lang w:val="zh-CN"/>
        </w:rPr>
        <w:t>、</w:t>
      </w:r>
      <w:r>
        <w:rPr>
          <w:rFonts w:hint="eastAsia" w:ascii="宋体" w:hAnsi="宋体"/>
        </w:rPr>
        <w:t>脱盐水站排水（</w:t>
      </w:r>
      <w:r>
        <w:rPr>
          <w:rFonts w:hint="eastAsia"/>
        </w:rPr>
        <w:t>W</w:t>
      </w:r>
      <w:r>
        <w:rPr>
          <w:rFonts w:hint="eastAsia"/>
          <w:vertAlign w:val="subscript"/>
        </w:rPr>
        <w:t>8-2</w:t>
      </w:r>
      <w:r>
        <w:rPr>
          <w:rFonts w:hint="eastAsia" w:ascii="宋体" w:hAnsi="宋体"/>
        </w:rPr>
        <w:t>）、循环水站排水（</w:t>
      </w:r>
      <w:r>
        <w:rPr>
          <w:rFonts w:hint="eastAsia"/>
        </w:rPr>
        <w:t>W</w:t>
      </w:r>
      <w:r>
        <w:rPr>
          <w:rFonts w:hint="eastAsia"/>
          <w:vertAlign w:val="subscript"/>
        </w:rPr>
        <w:t>8-3</w:t>
      </w:r>
      <w:r>
        <w:rPr>
          <w:rFonts w:hint="eastAsia" w:ascii="宋体" w:hAnsi="宋体"/>
        </w:rPr>
        <w:t>）、生活污水（</w:t>
      </w:r>
      <w:r>
        <w:rPr>
          <w:rFonts w:hint="eastAsia"/>
        </w:rPr>
        <w:t>W</w:t>
      </w:r>
      <w:r>
        <w:rPr>
          <w:rFonts w:hint="eastAsia"/>
          <w:vertAlign w:val="subscript"/>
        </w:rPr>
        <w:t>8-4</w:t>
      </w:r>
      <w:r>
        <w:rPr>
          <w:rFonts w:hint="eastAsia" w:ascii="宋体" w:hAnsi="宋体"/>
        </w:rPr>
        <w:t>）。</w:t>
      </w:r>
    </w:p>
    <w:p w14:paraId="3F89FBCF">
      <w:pPr>
        <w:pStyle w:val="281"/>
        <w:ind w:firstLine="480"/>
      </w:pPr>
      <w:r>
        <w:rPr>
          <w:rFonts w:hint="eastAsia"/>
        </w:rPr>
        <w:t>锅炉定排水：</w:t>
      </w:r>
      <w:r>
        <w:t>根据《锅炉房设计规范》的规定，当蒸汽压力小于等于2.5Mpa时，蒸汽锅炉的排污率不大于10%，而当蒸汽压力大于2.5Mpa时，排污率不大于5%；本项目锅炉蒸汽压力</w:t>
      </w:r>
      <w:r>
        <w:rPr>
          <w:rFonts w:hint="eastAsia"/>
        </w:rPr>
        <w:t>大于</w:t>
      </w:r>
      <w:r>
        <w:t>2.5Mpa，排污率控制</w:t>
      </w:r>
      <w:r>
        <w:rPr>
          <w:rFonts w:hint="eastAsia"/>
        </w:rPr>
        <w:t>在总水量的</w:t>
      </w:r>
      <w:r>
        <w:t>5%</w:t>
      </w:r>
      <w:r>
        <w:rPr>
          <w:rFonts w:hint="eastAsia"/>
        </w:rPr>
        <w:t>以内。本项目锅炉产蒸汽量为2×100t/h</w:t>
      </w:r>
      <w:r>
        <w:t>，</w:t>
      </w:r>
      <w:r>
        <w:rPr>
          <w:rFonts w:hint="eastAsia"/>
        </w:rPr>
        <w:t>故定排水量均为10000</w:t>
      </w:r>
      <w:r>
        <w:t>kg</w:t>
      </w:r>
      <w:r>
        <w:rPr>
          <w:rFonts w:hint="eastAsia"/>
        </w:rPr>
        <w:t>/h。</w:t>
      </w:r>
    </w:p>
    <w:p w14:paraId="2B8E05F3">
      <w:pPr>
        <w:pStyle w:val="281"/>
        <w:ind w:firstLine="480"/>
      </w:pPr>
      <w:r>
        <w:rPr>
          <w:rFonts w:hint="eastAsia"/>
        </w:rPr>
        <w:t>脱盐水站排水：本项目脱盐水站规模均为240</w:t>
      </w:r>
      <w:r>
        <w:t>m</w:t>
      </w:r>
      <w:r>
        <w:rPr>
          <w:vertAlign w:val="superscript"/>
        </w:rPr>
        <w:t>3</w:t>
      </w:r>
      <w:r>
        <w:t>/h</w:t>
      </w:r>
      <w:r>
        <w:rPr>
          <w:rFonts w:hint="eastAsia"/>
        </w:rPr>
        <w:t>。依据设计资料，排污量为123000kg/h。</w:t>
      </w:r>
    </w:p>
    <w:p w14:paraId="0286F547">
      <w:pPr>
        <w:pStyle w:val="281"/>
        <w:ind w:firstLine="480"/>
      </w:pPr>
      <w:r>
        <w:t>循环水站排水：本项目循环水</w:t>
      </w:r>
      <w:r>
        <w:rPr>
          <w:rFonts w:hint="eastAsia"/>
        </w:rPr>
        <w:t>场</w:t>
      </w:r>
      <w:r>
        <w:t>规模为</w:t>
      </w:r>
      <w:r>
        <w:rPr>
          <w:rFonts w:hint="eastAsia"/>
        </w:rPr>
        <w:t>50</w:t>
      </w:r>
      <w:r>
        <w:t>000m</w:t>
      </w:r>
      <w:r>
        <w:rPr>
          <w:vertAlign w:val="superscript"/>
        </w:rPr>
        <w:t>3</w:t>
      </w:r>
      <w:r>
        <w:t>/h；</w:t>
      </w:r>
      <w:r>
        <w:rPr>
          <w:rFonts w:hint="eastAsia"/>
        </w:rPr>
        <w:t>空分</w:t>
      </w:r>
      <w:r>
        <w:t>循环水站规模为</w:t>
      </w:r>
      <w:r>
        <w:rPr>
          <w:rFonts w:hint="eastAsia"/>
        </w:rPr>
        <w:t>4</w:t>
      </w:r>
      <w:r>
        <w:t>000m</w:t>
      </w:r>
      <w:r>
        <w:rPr>
          <w:vertAlign w:val="superscript"/>
        </w:rPr>
        <w:t>3</w:t>
      </w:r>
      <w:r>
        <w:t>/h；</w:t>
      </w:r>
      <w:r>
        <w:rPr>
          <w:rFonts w:hint="eastAsia"/>
        </w:rPr>
        <w:t>均为闭式循环水系统，仅有少量喷淋水外排。依据设计，</w:t>
      </w:r>
      <w:r>
        <w:t>循环水</w:t>
      </w:r>
      <w:r>
        <w:rPr>
          <w:rFonts w:hint="eastAsia"/>
        </w:rPr>
        <w:t>场排污量约为49000kg/h；空分</w:t>
      </w:r>
      <w:r>
        <w:t>循环水</w:t>
      </w:r>
      <w:r>
        <w:rPr>
          <w:rFonts w:hint="eastAsia"/>
        </w:rPr>
        <w:t>排污量为5000kg/h。</w:t>
      </w:r>
    </w:p>
    <w:p w14:paraId="0E7C488A">
      <w:pPr>
        <w:pStyle w:val="281"/>
        <w:ind w:firstLine="480"/>
        <w:rPr>
          <w:rFonts w:hint="eastAsia" w:ascii="宋体" w:hAnsi="宋体"/>
        </w:rPr>
      </w:pPr>
      <w:r>
        <w:rPr>
          <w:rFonts w:hint="eastAsia"/>
        </w:rPr>
        <w:t>生活污水：本项目劳动定员为512</w:t>
      </w:r>
      <w:r>
        <w:t>人，</w:t>
      </w:r>
      <w:r>
        <w:rPr>
          <w:rFonts w:hint="eastAsia"/>
        </w:rPr>
        <w:t>用水量按照每人每天120L/d计，排水量按用水量的80%计算，经计算，生活用水量为2560kg/h，排水量为2048kg/h。</w:t>
      </w:r>
    </w:p>
    <w:p w14:paraId="50F77BE6">
      <w:pPr>
        <w:pStyle w:val="281"/>
        <w:ind w:firstLine="480"/>
        <w:rPr>
          <w:rFonts w:hint="eastAsia" w:ascii="宋体" w:hAnsi="宋体"/>
        </w:rPr>
      </w:pPr>
      <w:r>
        <w:rPr>
          <w:rFonts w:hint="eastAsia" w:ascii="宋体" w:hAnsi="宋体"/>
        </w:rPr>
        <w:t>公用及辅助</w:t>
      </w:r>
      <w:r>
        <w:rPr>
          <w:rFonts w:hint="eastAsia"/>
        </w:rPr>
        <w:t>工程</w:t>
      </w:r>
      <w:r>
        <w:rPr>
          <w:rFonts w:hint="eastAsia" w:ascii="宋体" w:hAnsi="宋体"/>
        </w:rPr>
        <w:t>废水产生情况见</w:t>
      </w:r>
      <w:r>
        <w:t>表3.3.</w:t>
      </w:r>
      <w:r>
        <w:rPr>
          <w:rFonts w:hint="eastAsia"/>
        </w:rPr>
        <w:t>9-6；</w:t>
      </w:r>
    </w:p>
    <w:p w14:paraId="41590603">
      <w:pPr>
        <w:pStyle w:val="541"/>
        <w:rPr>
          <w:rFonts w:hint="eastAsia"/>
        </w:rPr>
      </w:pPr>
      <w:r>
        <w:t>表3.3.</w:t>
      </w:r>
      <w:r>
        <w:rPr>
          <w:rFonts w:hint="eastAsia"/>
        </w:rPr>
        <w:t>9-6</w:t>
      </w:r>
      <w:r>
        <w:t xml:space="preserve">    </w:t>
      </w:r>
      <w:r>
        <w:rPr>
          <w:rFonts w:hint="eastAsia"/>
        </w:rPr>
        <w:t>公用</w:t>
      </w:r>
      <w:r>
        <w:t>及辅助</w:t>
      </w:r>
      <w:r>
        <w:rPr>
          <w:rFonts w:hint="eastAsia"/>
        </w:rPr>
        <w:t>工程废水产生情况</w:t>
      </w:r>
      <w:r>
        <w:t>一览表</w:t>
      </w:r>
    </w:p>
    <w:p w14:paraId="0F488AAB">
      <w:pPr>
        <w:pStyle w:val="98"/>
        <w:rPr>
          <w:rFonts w:hint="eastAsia"/>
        </w:rPr>
      </w:pPr>
      <w:r>
        <w:t>噪声</w:t>
      </w:r>
    </w:p>
    <w:p w14:paraId="6CFC72F9">
      <w:pPr>
        <w:pStyle w:val="281"/>
        <w:ind w:firstLine="480"/>
      </w:pPr>
      <w:r>
        <w:rPr>
          <w:rFonts w:hint="eastAsia"/>
        </w:rPr>
        <w:t>公用</w:t>
      </w:r>
      <w:r>
        <w:t>及辅助</w:t>
      </w:r>
      <w:r>
        <w:rPr>
          <w:rFonts w:hint="eastAsia"/>
        </w:rPr>
        <w:t>工程</w:t>
      </w:r>
      <w:r>
        <w:t>主要</w:t>
      </w:r>
      <w:r>
        <w:rPr>
          <w:rFonts w:hint="eastAsia"/>
        </w:rPr>
        <w:t>噪声</w:t>
      </w:r>
      <w:r>
        <w:t>源</w:t>
      </w:r>
      <w:r>
        <w:rPr>
          <w:rFonts w:hint="eastAsia"/>
        </w:rPr>
        <w:t>为各类机泵</w:t>
      </w:r>
      <w:r>
        <w:t>、</w:t>
      </w:r>
      <w:r>
        <w:rPr>
          <w:rFonts w:hint="eastAsia"/>
        </w:rPr>
        <w:t>冷却塔</w:t>
      </w:r>
      <w:r>
        <w:t>等，</w:t>
      </w:r>
      <w:r>
        <w:rPr>
          <w:rFonts w:hint="eastAsia"/>
        </w:rPr>
        <w:t>具体见表3.3.9-7。</w:t>
      </w:r>
    </w:p>
    <w:p w14:paraId="2BD3A4C8">
      <w:pPr>
        <w:pStyle w:val="541"/>
        <w:rPr>
          <w:rFonts w:hint="eastAsia"/>
        </w:rPr>
      </w:pPr>
      <w:r>
        <w:t>表3.3.</w:t>
      </w:r>
      <w:r>
        <w:rPr>
          <w:rFonts w:hint="eastAsia"/>
        </w:rPr>
        <w:t>9-7    公用</w:t>
      </w:r>
      <w:r>
        <w:t>及辅助</w:t>
      </w:r>
      <w:r>
        <w:rPr>
          <w:rFonts w:hint="eastAsia"/>
        </w:rPr>
        <w:t>工程噪声产生情况</w:t>
      </w:r>
      <w:r>
        <w:t>一览表</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834"/>
        <w:gridCol w:w="482"/>
        <w:gridCol w:w="597"/>
        <w:gridCol w:w="763"/>
        <w:gridCol w:w="796"/>
        <w:gridCol w:w="1278"/>
        <w:gridCol w:w="634"/>
        <w:gridCol w:w="763"/>
        <w:gridCol w:w="798"/>
        <w:gridCol w:w="642"/>
      </w:tblGrid>
      <w:tr w14:paraId="1828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71655CE7">
            <w:pPr>
              <w:pStyle w:val="557"/>
            </w:pPr>
            <w:r>
              <w:rPr>
                <w:rFonts w:hint="eastAsia"/>
              </w:rPr>
              <w:t>装置名称</w:t>
            </w:r>
          </w:p>
        </w:tc>
        <w:tc>
          <w:tcPr>
            <w:tcW w:w="834" w:type="dxa"/>
            <w:vMerge w:val="restart"/>
            <w:vAlign w:val="center"/>
          </w:tcPr>
          <w:p w14:paraId="58A9F85C">
            <w:pPr>
              <w:pStyle w:val="557"/>
            </w:pPr>
            <w:r>
              <w:t>噪声源</w:t>
            </w:r>
          </w:p>
        </w:tc>
        <w:tc>
          <w:tcPr>
            <w:tcW w:w="482" w:type="dxa"/>
            <w:vMerge w:val="restart"/>
            <w:vAlign w:val="center"/>
          </w:tcPr>
          <w:p w14:paraId="0BA9D7BD">
            <w:pPr>
              <w:pStyle w:val="557"/>
            </w:pPr>
            <w:r>
              <w:t>数量</w:t>
            </w:r>
          </w:p>
        </w:tc>
        <w:tc>
          <w:tcPr>
            <w:tcW w:w="597" w:type="dxa"/>
            <w:vMerge w:val="restart"/>
            <w:vAlign w:val="center"/>
          </w:tcPr>
          <w:p w14:paraId="0DC619DF">
            <w:pPr>
              <w:pStyle w:val="557"/>
            </w:pPr>
            <w:r>
              <w:t>排放特征</w:t>
            </w:r>
          </w:p>
        </w:tc>
        <w:tc>
          <w:tcPr>
            <w:tcW w:w="1559" w:type="dxa"/>
            <w:gridSpan w:val="2"/>
            <w:vAlign w:val="center"/>
          </w:tcPr>
          <w:p w14:paraId="03DB39EF">
            <w:pPr>
              <w:pStyle w:val="557"/>
            </w:pPr>
            <w:r>
              <w:t>噪声产生量</w:t>
            </w:r>
          </w:p>
        </w:tc>
        <w:tc>
          <w:tcPr>
            <w:tcW w:w="1912" w:type="dxa"/>
            <w:gridSpan w:val="2"/>
            <w:vAlign w:val="center"/>
          </w:tcPr>
          <w:p w14:paraId="0C4A48F7">
            <w:pPr>
              <w:pStyle w:val="557"/>
            </w:pPr>
            <w:r>
              <w:t>处理措施</w:t>
            </w:r>
          </w:p>
        </w:tc>
        <w:tc>
          <w:tcPr>
            <w:tcW w:w="1561" w:type="dxa"/>
            <w:gridSpan w:val="2"/>
            <w:vAlign w:val="center"/>
          </w:tcPr>
          <w:p w14:paraId="18DDD59E">
            <w:pPr>
              <w:pStyle w:val="557"/>
            </w:pPr>
            <w:r>
              <w:t>噪声排放量</w:t>
            </w:r>
          </w:p>
        </w:tc>
        <w:tc>
          <w:tcPr>
            <w:tcW w:w="642" w:type="dxa"/>
            <w:vMerge w:val="restart"/>
            <w:vAlign w:val="center"/>
          </w:tcPr>
          <w:p w14:paraId="1158D67C">
            <w:pPr>
              <w:pStyle w:val="557"/>
            </w:pPr>
            <w:r>
              <w:t>持续</w:t>
            </w:r>
            <w:r>
              <w:rPr>
                <w:rFonts w:hint="eastAsia"/>
              </w:rPr>
              <w:t>时间</w:t>
            </w:r>
            <w:r>
              <w:t>h</w:t>
            </w:r>
          </w:p>
        </w:tc>
      </w:tr>
      <w:tr w14:paraId="683C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776AE5AE">
            <w:pPr>
              <w:pStyle w:val="557"/>
            </w:pPr>
          </w:p>
        </w:tc>
        <w:tc>
          <w:tcPr>
            <w:tcW w:w="834" w:type="dxa"/>
            <w:vMerge w:val="continue"/>
            <w:vAlign w:val="center"/>
          </w:tcPr>
          <w:p w14:paraId="5AFA2CBC">
            <w:pPr>
              <w:pStyle w:val="557"/>
            </w:pPr>
          </w:p>
        </w:tc>
        <w:tc>
          <w:tcPr>
            <w:tcW w:w="482" w:type="dxa"/>
            <w:vMerge w:val="continue"/>
            <w:vAlign w:val="center"/>
          </w:tcPr>
          <w:p w14:paraId="4A93111F">
            <w:pPr>
              <w:pStyle w:val="557"/>
            </w:pPr>
          </w:p>
        </w:tc>
        <w:tc>
          <w:tcPr>
            <w:tcW w:w="597" w:type="dxa"/>
            <w:vMerge w:val="continue"/>
            <w:vAlign w:val="center"/>
          </w:tcPr>
          <w:p w14:paraId="0704B086">
            <w:pPr>
              <w:pStyle w:val="557"/>
            </w:pPr>
          </w:p>
        </w:tc>
        <w:tc>
          <w:tcPr>
            <w:tcW w:w="763" w:type="dxa"/>
            <w:vAlign w:val="center"/>
          </w:tcPr>
          <w:p w14:paraId="59F4CB7C">
            <w:pPr>
              <w:pStyle w:val="557"/>
            </w:pPr>
            <w:r>
              <w:t>核算方法</w:t>
            </w:r>
          </w:p>
        </w:tc>
        <w:tc>
          <w:tcPr>
            <w:tcW w:w="796" w:type="dxa"/>
            <w:vAlign w:val="center"/>
          </w:tcPr>
          <w:p w14:paraId="1F2F46D7">
            <w:pPr>
              <w:pStyle w:val="557"/>
            </w:pPr>
            <w:r>
              <w:t>声源表达量dB(A</w:t>
            </w:r>
            <w:r>
              <w:rPr>
                <w:rFonts w:hint="eastAsia"/>
              </w:rPr>
              <w:t>）</w:t>
            </w:r>
          </w:p>
        </w:tc>
        <w:tc>
          <w:tcPr>
            <w:tcW w:w="1278" w:type="dxa"/>
            <w:vAlign w:val="center"/>
          </w:tcPr>
          <w:p w14:paraId="73BD6411">
            <w:pPr>
              <w:pStyle w:val="557"/>
            </w:pPr>
            <w:r>
              <w:t>工艺</w:t>
            </w:r>
          </w:p>
        </w:tc>
        <w:tc>
          <w:tcPr>
            <w:tcW w:w="634" w:type="dxa"/>
            <w:vAlign w:val="center"/>
          </w:tcPr>
          <w:p w14:paraId="43B4E8B2">
            <w:pPr>
              <w:pStyle w:val="557"/>
            </w:pPr>
            <w:r>
              <w:t>降噪效果</w:t>
            </w:r>
          </w:p>
        </w:tc>
        <w:tc>
          <w:tcPr>
            <w:tcW w:w="763" w:type="dxa"/>
            <w:vAlign w:val="center"/>
          </w:tcPr>
          <w:p w14:paraId="0E4FCCB5">
            <w:pPr>
              <w:pStyle w:val="557"/>
            </w:pPr>
            <w:r>
              <w:t>核算方法</w:t>
            </w:r>
          </w:p>
        </w:tc>
        <w:tc>
          <w:tcPr>
            <w:tcW w:w="798" w:type="dxa"/>
            <w:vAlign w:val="center"/>
          </w:tcPr>
          <w:p w14:paraId="266CFFA4">
            <w:pPr>
              <w:pStyle w:val="557"/>
            </w:pPr>
            <w:r>
              <w:t>声源表达量dB</w:t>
            </w:r>
            <w:r>
              <w:rPr>
                <w:rFonts w:hint="eastAsia"/>
              </w:rPr>
              <w:t>（</w:t>
            </w:r>
            <w:r>
              <w:t>A</w:t>
            </w:r>
            <w:r>
              <w:rPr>
                <w:rFonts w:hint="eastAsia"/>
              </w:rPr>
              <w:t>）</w:t>
            </w:r>
          </w:p>
        </w:tc>
        <w:tc>
          <w:tcPr>
            <w:tcW w:w="642" w:type="dxa"/>
            <w:vMerge w:val="continue"/>
            <w:vAlign w:val="center"/>
          </w:tcPr>
          <w:p w14:paraId="3E97FFC9">
            <w:pPr>
              <w:pStyle w:val="557"/>
            </w:pPr>
          </w:p>
        </w:tc>
      </w:tr>
      <w:tr w14:paraId="5775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751D9C28">
            <w:pPr>
              <w:pStyle w:val="557"/>
            </w:pPr>
            <w:r>
              <w:rPr>
                <w:rFonts w:hint="eastAsia"/>
                <w:color w:val="auto"/>
              </w:rPr>
              <w:t>循环水场</w:t>
            </w:r>
          </w:p>
        </w:tc>
        <w:tc>
          <w:tcPr>
            <w:tcW w:w="834" w:type="dxa"/>
            <w:vAlign w:val="center"/>
          </w:tcPr>
          <w:p w14:paraId="0BFC98AE">
            <w:pPr>
              <w:pStyle w:val="557"/>
            </w:pPr>
            <w:r>
              <w:rPr>
                <w:rFonts w:hint="eastAsia"/>
              </w:rPr>
              <w:t>机泵</w:t>
            </w:r>
          </w:p>
        </w:tc>
        <w:tc>
          <w:tcPr>
            <w:tcW w:w="482" w:type="dxa"/>
            <w:vAlign w:val="center"/>
          </w:tcPr>
          <w:p w14:paraId="7479FF49">
            <w:pPr>
              <w:pStyle w:val="557"/>
            </w:pPr>
            <w:r>
              <w:t>1</w:t>
            </w:r>
            <w:r>
              <w:rPr>
                <w:rFonts w:hint="eastAsia"/>
              </w:rPr>
              <w:t>2</w:t>
            </w:r>
          </w:p>
        </w:tc>
        <w:tc>
          <w:tcPr>
            <w:tcW w:w="597" w:type="dxa"/>
            <w:vAlign w:val="center"/>
          </w:tcPr>
          <w:p w14:paraId="07437694">
            <w:pPr>
              <w:pStyle w:val="557"/>
            </w:pPr>
            <w:r>
              <w:rPr>
                <w:rFonts w:hint="eastAsia"/>
              </w:rPr>
              <w:t>连续</w:t>
            </w:r>
          </w:p>
        </w:tc>
        <w:tc>
          <w:tcPr>
            <w:tcW w:w="763" w:type="dxa"/>
            <w:vAlign w:val="center"/>
          </w:tcPr>
          <w:p w14:paraId="4228C456">
            <w:pPr>
              <w:pStyle w:val="557"/>
            </w:pPr>
            <w:r>
              <w:t>类比法</w:t>
            </w:r>
          </w:p>
        </w:tc>
        <w:tc>
          <w:tcPr>
            <w:tcW w:w="796" w:type="dxa"/>
            <w:vAlign w:val="center"/>
          </w:tcPr>
          <w:p w14:paraId="3100F667">
            <w:pPr>
              <w:pStyle w:val="557"/>
            </w:pPr>
            <w:r>
              <w:t>80-90</w:t>
            </w:r>
          </w:p>
        </w:tc>
        <w:tc>
          <w:tcPr>
            <w:tcW w:w="1278" w:type="dxa"/>
            <w:vAlign w:val="center"/>
          </w:tcPr>
          <w:p w14:paraId="0CF99B1F">
            <w:pPr>
              <w:pStyle w:val="557"/>
            </w:pPr>
            <w:r>
              <w:rPr>
                <w:rFonts w:hint="eastAsia"/>
              </w:rPr>
              <w:t>低噪声电机、基础减振</w:t>
            </w:r>
          </w:p>
        </w:tc>
        <w:tc>
          <w:tcPr>
            <w:tcW w:w="634" w:type="dxa"/>
            <w:vAlign w:val="center"/>
          </w:tcPr>
          <w:p w14:paraId="5EC0B599">
            <w:pPr>
              <w:pStyle w:val="557"/>
            </w:pPr>
            <w:r>
              <w:t>20</w:t>
            </w:r>
          </w:p>
        </w:tc>
        <w:tc>
          <w:tcPr>
            <w:tcW w:w="763" w:type="dxa"/>
            <w:vAlign w:val="center"/>
          </w:tcPr>
          <w:p w14:paraId="22039769">
            <w:pPr>
              <w:pStyle w:val="557"/>
            </w:pPr>
            <w:r>
              <w:t>类比法</w:t>
            </w:r>
          </w:p>
        </w:tc>
        <w:tc>
          <w:tcPr>
            <w:tcW w:w="798" w:type="dxa"/>
            <w:vAlign w:val="center"/>
          </w:tcPr>
          <w:p w14:paraId="7ED44F0A">
            <w:pPr>
              <w:pStyle w:val="557"/>
            </w:pPr>
            <w:r>
              <w:t>60-70</w:t>
            </w:r>
          </w:p>
        </w:tc>
        <w:tc>
          <w:tcPr>
            <w:tcW w:w="642" w:type="dxa"/>
            <w:vAlign w:val="center"/>
          </w:tcPr>
          <w:p w14:paraId="31E91FCE">
            <w:pPr>
              <w:pStyle w:val="557"/>
            </w:pPr>
            <w:r>
              <w:t>8000</w:t>
            </w:r>
          </w:p>
        </w:tc>
      </w:tr>
      <w:tr w14:paraId="3820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6245448A">
            <w:pPr>
              <w:pStyle w:val="557"/>
            </w:pPr>
          </w:p>
        </w:tc>
        <w:tc>
          <w:tcPr>
            <w:tcW w:w="834" w:type="dxa"/>
            <w:vAlign w:val="center"/>
          </w:tcPr>
          <w:p w14:paraId="1663402C">
            <w:pPr>
              <w:pStyle w:val="557"/>
            </w:pPr>
            <w:r>
              <w:rPr>
                <w:rFonts w:hint="eastAsia"/>
              </w:rPr>
              <w:t>冷却塔</w:t>
            </w:r>
          </w:p>
        </w:tc>
        <w:tc>
          <w:tcPr>
            <w:tcW w:w="482" w:type="dxa"/>
            <w:vAlign w:val="center"/>
          </w:tcPr>
          <w:p w14:paraId="78A189E2">
            <w:pPr>
              <w:pStyle w:val="557"/>
            </w:pPr>
            <w:r>
              <w:rPr>
                <w:rFonts w:hint="eastAsia"/>
              </w:rPr>
              <w:t>25</w:t>
            </w:r>
          </w:p>
        </w:tc>
        <w:tc>
          <w:tcPr>
            <w:tcW w:w="597" w:type="dxa"/>
            <w:vAlign w:val="center"/>
          </w:tcPr>
          <w:p w14:paraId="6833A241">
            <w:pPr>
              <w:pStyle w:val="557"/>
            </w:pPr>
            <w:r>
              <w:rPr>
                <w:rFonts w:hint="eastAsia"/>
              </w:rPr>
              <w:t>连续</w:t>
            </w:r>
          </w:p>
        </w:tc>
        <w:tc>
          <w:tcPr>
            <w:tcW w:w="763" w:type="dxa"/>
            <w:vAlign w:val="center"/>
          </w:tcPr>
          <w:p w14:paraId="1FE47AE5">
            <w:pPr>
              <w:pStyle w:val="557"/>
            </w:pPr>
            <w:r>
              <w:t>类比法</w:t>
            </w:r>
          </w:p>
        </w:tc>
        <w:tc>
          <w:tcPr>
            <w:tcW w:w="796" w:type="dxa"/>
            <w:vAlign w:val="center"/>
          </w:tcPr>
          <w:p w14:paraId="1B4B7085">
            <w:pPr>
              <w:pStyle w:val="557"/>
            </w:pPr>
            <w:r>
              <w:t>85</w:t>
            </w:r>
          </w:p>
        </w:tc>
        <w:tc>
          <w:tcPr>
            <w:tcW w:w="1278" w:type="dxa"/>
            <w:vAlign w:val="center"/>
          </w:tcPr>
          <w:p w14:paraId="3828632D">
            <w:pPr>
              <w:pStyle w:val="557"/>
            </w:pPr>
            <w:r>
              <w:rPr>
                <w:rFonts w:hint="eastAsia"/>
              </w:rPr>
              <w:t>基础减振</w:t>
            </w:r>
          </w:p>
        </w:tc>
        <w:tc>
          <w:tcPr>
            <w:tcW w:w="634" w:type="dxa"/>
            <w:vAlign w:val="center"/>
          </w:tcPr>
          <w:p w14:paraId="00718C6B">
            <w:pPr>
              <w:pStyle w:val="557"/>
            </w:pPr>
            <w:r>
              <w:t>15</w:t>
            </w:r>
          </w:p>
        </w:tc>
        <w:tc>
          <w:tcPr>
            <w:tcW w:w="763" w:type="dxa"/>
            <w:vAlign w:val="center"/>
          </w:tcPr>
          <w:p w14:paraId="1F249AE6">
            <w:pPr>
              <w:pStyle w:val="557"/>
            </w:pPr>
            <w:r>
              <w:t>类比法</w:t>
            </w:r>
          </w:p>
        </w:tc>
        <w:tc>
          <w:tcPr>
            <w:tcW w:w="798" w:type="dxa"/>
            <w:vAlign w:val="center"/>
          </w:tcPr>
          <w:p w14:paraId="5A571B9B">
            <w:pPr>
              <w:pStyle w:val="557"/>
            </w:pPr>
            <w:r>
              <w:t>70</w:t>
            </w:r>
          </w:p>
        </w:tc>
        <w:tc>
          <w:tcPr>
            <w:tcW w:w="642" w:type="dxa"/>
            <w:vAlign w:val="center"/>
          </w:tcPr>
          <w:p w14:paraId="5ACAFB89">
            <w:pPr>
              <w:pStyle w:val="557"/>
            </w:pPr>
            <w:r>
              <w:t>8000</w:t>
            </w:r>
          </w:p>
        </w:tc>
      </w:tr>
      <w:tr w14:paraId="00E2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Align w:val="center"/>
          </w:tcPr>
          <w:p w14:paraId="56B7070E">
            <w:pPr>
              <w:pStyle w:val="557"/>
            </w:pPr>
            <w:r>
              <w:t>脱盐水站</w:t>
            </w:r>
          </w:p>
        </w:tc>
        <w:tc>
          <w:tcPr>
            <w:tcW w:w="834" w:type="dxa"/>
            <w:vAlign w:val="center"/>
          </w:tcPr>
          <w:p w14:paraId="46968A4A">
            <w:pPr>
              <w:pStyle w:val="557"/>
            </w:pPr>
            <w:r>
              <w:rPr>
                <w:rFonts w:hint="eastAsia"/>
              </w:rPr>
              <w:t>机泵</w:t>
            </w:r>
          </w:p>
        </w:tc>
        <w:tc>
          <w:tcPr>
            <w:tcW w:w="482" w:type="dxa"/>
            <w:vAlign w:val="center"/>
          </w:tcPr>
          <w:p w14:paraId="1844096F">
            <w:pPr>
              <w:pStyle w:val="557"/>
            </w:pPr>
            <w:r>
              <w:rPr>
                <w:rFonts w:hint="eastAsia"/>
              </w:rPr>
              <w:t>22</w:t>
            </w:r>
          </w:p>
        </w:tc>
        <w:tc>
          <w:tcPr>
            <w:tcW w:w="597" w:type="dxa"/>
            <w:vAlign w:val="center"/>
          </w:tcPr>
          <w:p w14:paraId="052AA4EB">
            <w:pPr>
              <w:pStyle w:val="557"/>
            </w:pPr>
            <w:r>
              <w:rPr>
                <w:rFonts w:hint="eastAsia"/>
              </w:rPr>
              <w:t>连续</w:t>
            </w:r>
          </w:p>
        </w:tc>
        <w:tc>
          <w:tcPr>
            <w:tcW w:w="763" w:type="dxa"/>
            <w:vAlign w:val="center"/>
          </w:tcPr>
          <w:p w14:paraId="50058AAF">
            <w:pPr>
              <w:pStyle w:val="557"/>
            </w:pPr>
            <w:r>
              <w:t>类比法</w:t>
            </w:r>
          </w:p>
        </w:tc>
        <w:tc>
          <w:tcPr>
            <w:tcW w:w="796" w:type="dxa"/>
            <w:vAlign w:val="center"/>
          </w:tcPr>
          <w:p w14:paraId="7FA64811">
            <w:pPr>
              <w:pStyle w:val="557"/>
            </w:pPr>
            <w:r>
              <w:t>80-90</w:t>
            </w:r>
          </w:p>
        </w:tc>
        <w:tc>
          <w:tcPr>
            <w:tcW w:w="1278" w:type="dxa"/>
            <w:vAlign w:val="center"/>
          </w:tcPr>
          <w:p w14:paraId="2927B4FB">
            <w:pPr>
              <w:pStyle w:val="557"/>
            </w:pPr>
            <w:r>
              <w:rPr>
                <w:rFonts w:hint="eastAsia"/>
              </w:rPr>
              <w:t>低噪声电机、基础减振</w:t>
            </w:r>
          </w:p>
        </w:tc>
        <w:tc>
          <w:tcPr>
            <w:tcW w:w="634" w:type="dxa"/>
            <w:vAlign w:val="center"/>
          </w:tcPr>
          <w:p w14:paraId="7356BDF3">
            <w:pPr>
              <w:pStyle w:val="557"/>
            </w:pPr>
            <w:r>
              <w:t>20</w:t>
            </w:r>
          </w:p>
        </w:tc>
        <w:tc>
          <w:tcPr>
            <w:tcW w:w="763" w:type="dxa"/>
            <w:vAlign w:val="center"/>
          </w:tcPr>
          <w:p w14:paraId="61C1F907">
            <w:pPr>
              <w:pStyle w:val="557"/>
            </w:pPr>
            <w:r>
              <w:t>类比法</w:t>
            </w:r>
          </w:p>
        </w:tc>
        <w:tc>
          <w:tcPr>
            <w:tcW w:w="798" w:type="dxa"/>
            <w:vAlign w:val="center"/>
          </w:tcPr>
          <w:p w14:paraId="697B7528">
            <w:pPr>
              <w:pStyle w:val="557"/>
            </w:pPr>
            <w:r>
              <w:t>60-70</w:t>
            </w:r>
          </w:p>
        </w:tc>
        <w:tc>
          <w:tcPr>
            <w:tcW w:w="642" w:type="dxa"/>
            <w:vAlign w:val="center"/>
          </w:tcPr>
          <w:p w14:paraId="404A63C9">
            <w:pPr>
              <w:pStyle w:val="557"/>
            </w:pPr>
            <w:r>
              <w:rPr>
                <w:rFonts w:hint="eastAsia"/>
              </w:rPr>
              <w:t>8</w:t>
            </w:r>
            <w:r>
              <w:t>000</w:t>
            </w:r>
          </w:p>
        </w:tc>
      </w:tr>
      <w:tr w14:paraId="6B2F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Align w:val="center"/>
          </w:tcPr>
          <w:p w14:paraId="1D4C5A45">
            <w:pPr>
              <w:pStyle w:val="557"/>
            </w:pPr>
            <w:r>
              <w:rPr>
                <w:rFonts w:hint="eastAsia"/>
              </w:rPr>
              <w:t>中水回用系统</w:t>
            </w:r>
          </w:p>
        </w:tc>
        <w:tc>
          <w:tcPr>
            <w:tcW w:w="834" w:type="dxa"/>
            <w:vAlign w:val="center"/>
          </w:tcPr>
          <w:p w14:paraId="152FBEA5">
            <w:pPr>
              <w:pStyle w:val="557"/>
            </w:pPr>
            <w:r>
              <w:rPr>
                <w:rFonts w:hint="eastAsia"/>
              </w:rPr>
              <w:t>机泵</w:t>
            </w:r>
          </w:p>
        </w:tc>
        <w:tc>
          <w:tcPr>
            <w:tcW w:w="482" w:type="dxa"/>
            <w:vAlign w:val="center"/>
          </w:tcPr>
          <w:p w14:paraId="63B17A0C">
            <w:pPr>
              <w:pStyle w:val="557"/>
            </w:pPr>
            <w:r>
              <w:rPr>
                <w:rFonts w:hint="eastAsia"/>
              </w:rPr>
              <w:t>2</w:t>
            </w:r>
          </w:p>
        </w:tc>
        <w:tc>
          <w:tcPr>
            <w:tcW w:w="597" w:type="dxa"/>
            <w:vAlign w:val="center"/>
          </w:tcPr>
          <w:p w14:paraId="2AA40619">
            <w:pPr>
              <w:pStyle w:val="557"/>
            </w:pPr>
            <w:r>
              <w:rPr>
                <w:rFonts w:hint="eastAsia"/>
              </w:rPr>
              <w:t>连续</w:t>
            </w:r>
          </w:p>
        </w:tc>
        <w:tc>
          <w:tcPr>
            <w:tcW w:w="763" w:type="dxa"/>
            <w:vAlign w:val="center"/>
          </w:tcPr>
          <w:p w14:paraId="718AC63E">
            <w:pPr>
              <w:pStyle w:val="557"/>
            </w:pPr>
            <w:r>
              <w:t>类比法</w:t>
            </w:r>
          </w:p>
        </w:tc>
        <w:tc>
          <w:tcPr>
            <w:tcW w:w="796" w:type="dxa"/>
            <w:vAlign w:val="center"/>
          </w:tcPr>
          <w:p w14:paraId="73E43E91">
            <w:pPr>
              <w:pStyle w:val="557"/>
            </w:pPr>
            <w:r>
              <w:t>80-90</w:t>
            </w:r>
          </w:p>
        </w:tc>
        <w:tc>
          <w:tcPr>
            <w:tcW w:w="1278" w:type="dxa"/>
            <w:vAlign w:val="center"/>
          </w:tcPr>
          <w:p w14:paraId="16413F3C">
            <w:pPr>
              <w:pStyle w:val="557"/>
            </w:pPr>
            <w:r>
              <w:rPr>
                <w:rFonts w:hint="eastAsia"/>
              </w:rPr>
              <w:t>低噪声电机、基础减振</w:t>
            </w:r>
          </w:p>
        </w:tc>
        <w:tc>
          <w:tcPr>
            <w:tcW w:w="634" w:type="dxa"/>
            <w:vAlign w:val="center"/>
          </w:tcPr>
          <w:p w14:paraId="60238C54">
            <w:pPr>
              <w:pStyle w:val="557"/>
            </w:pPr>
            <w:r>
              <w:t>20</w:t>
            </w:r>
          </w:p>
        </w:tc>
        <w:tc>
          <w:tcPr>
            <w:tcW w:w="763" w:type="dxa"/>
            <w:vAlign w:val="center"/>
          </w:tcPr>
          <w:p w14:paraId="4ECB60CF">
            <w:pPr>
              <w:pStyle w:val="557"/>
            </w:pPr>
            <w:r>
              <w:t>类比法</w:t>
            </w:r>
          </w:p>
        </w:tc>
        <w:tc>
          <w:tcPr>
            <w:tcW w:w="798" w:type="dxa"/>
            <w:vAlign w:val="center"/>
          </w:tcPr>
          <w:p w14:paraId="6B4DCD6C">
            <w:pPr>
              <w:pStyle w:val="557"/>
            </w:pPr>
            <w:r>
              <w:t>60-70</w:t>
            </w:r>
          </w:p>
        </w:tc>
        <w:tc>
          <w:tcPr>
            <w:tcW w:w="642" w:type="dxa"/>
            <w:vAlign w:val="center"/>
          </w:tcPr>
          <w:p w14:paraId="22CE9B7A">
            <w:pPr>
              <w:pStyle w:val="557"/>
            </w:pPr>
            <w:r>
              <w:rPr>
                <w:rFonts w:hint="eastAsia"/>
              </w:rPr>
              <w:t>8</w:t>
            </w:r>
            <w:r>
              <w:t>000</w:t>
            </w:r>
          </w:p>
        </w:tc>
      </w:tr>
      <w:tr w14:paraId="018D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1271AD79">
            <w:pPr>
              <w:pStyle w:val="557"/>
            </w:pPr>
            <w:r>
              <w:rPr>
                <w:rFonts w:hint="eastAsia"/>
              </w:rPr>
              <w:t>污水处理站</w:t>
            </w:r>
          </w:p>
        </w:tc>
        <w:tc>
          <w:tcPr>
            <w:tcW w:w="834" w:type="dxa"/>
            <w:vAlign w:val="center"/>
          </w:tcPr>
          <w:p w14:paraId="2E18A6A4">
            <w:pPr>
              <w:pStyle w:val="557"/>
            </w:pPr>
            <w:r>
              <w:rPr>
                <w:rFonts w:hint="eastAsia"/>
              </w:rPr>
              <w:t>机泵</w:t>
            </w:r>
          </w:p>
        </w:tc>
        <w:tc>
          <w:tcPr>
            <w:tcW w:w="482" w:type="dxa"/>
            <w:vAlign w:val="center"/>
          </w:tcPr>
          <w:p w14:paraId="02BDB773">
            <w:pPr>
              <w:pStyle w:val="557"/>
            </w:pPr>
            <w:r>
              <w:rPr>
                <w:rFonts w:hint="eastAsia"/>
              </w:rPr>
              <w:t>27</w:t>
            </w:r>
          </w:p>
        </w:tc>
        <w:tc>
          <w:tcPr>
            <w:tcW w:w="597" w:type="dxa"/>
            <w:vAlign w:val="center"/>
          </w:tcPr>
          <w:p w14:paraId="43337066">
            <w:pPr>
              <w:pStyle w:val="557"/>
            </w:pPr>
            <w:r>
              <w:rPr>
                <w:rFonts w:hint="eastAsia"/>
              </w:rPr>
              <w:t>连续</w:t>
            </w:r>
          </w:p>
        </w:tc>
        <w:tc>
          <w:tcPr>
            <w:tcW w:w="763" w:type="dxa"/>
            <w:vAlign w:val="center"/>
          </w:tcPr>
          <w:p w14:paraId="276BC6AF">
            <w:pPr>
              <w:pStyle w:val="557"/>
            </w:pPr>
            <w:r>
              <w:t>类比法</w:t>
            </w:r>
          </w:p>
        </w:tc>
        <w:tc>
          <w:tcPr>
            <w:tcW w:w="796" w:type="dxa"/>
            <w:vAlign w:val="center"/>
          </w:tcPr>
          <w:p w14:paraId="6CB1F8F2">
            <w:pPr>
              <w:pStyle w:val="557"/>
            </w:pPr>
            <w:r>
              <w:t>80-90</w:t>
            </w:r>
          </w:p>
        </w:tc>
        <w:tc>
          <w:tcPr>
            <w:tcW w:w="1278" w:type="dxa"/>
            <w:vAlign w:val="center"/>
          </w:tcPr>
          <w:p w14:paraId="02A83FCC">
            <w:pPr>
              <w:pStyle w:val="557"/>
            </w:pPr>
            <w:r>
              <w:rPr>
                <w:rFonts w:hint="eastAsia"/>
              </w:rPr>
              <w:t>低噪声电机、基础减振</w:t>
            </w:r>
          </w:p>
        </w:tc>
        <w:tc>
          <w:tcPr>
            <w:tcW w:w="634" w:type="dxa"/>
            <w:vAlign w:val="center"/>
          </w:tcPr>
          <w:p w14:paraId="0BA42D89">
            <w:pPr>
              <w:pStyle w:val="557"/>
            </w:pPr>
            <w:r>
              <w:t>20</w:t>
            </w:r>
          </w:p>
        </w:tc>
        <w:tc>
          <w:tcPr>
            <w:tcW w:w="763" w:type="dxa"/>
            <w:vAlign w:val="center"/>
          </w:tcPr>
          <w:p w14:paraId="34738BA2">
            <w:pPr>
              <w:pStyle w:val="557"/>
            </w:pPr>
            <w:r>
              <w:t>类比法</w:t>
            </w:r>
          </w:p>
        </w:tc>
        <w:tc>
          <w:tcPr>
            <w:tcW w:w="798" w:type="dxa"/>
            <w:vAlign w:val="center"/>
          </w:tcPr>
          <w:p w14:paraId="4FC08C6D">
            <w:pPr>
              <w:pStyle w:val="557"/>
            </w:pPr>
            <w:r>
              <w:t>60-70</w:t>
            </w:r>
          </w:p>
        </w:tc>
        <w:tc>
          <w:tcPr>
            <w:tcW w:w="642" w:type="dxa"/>
            <w:vAlign w:val="center"/>
          </w:tcPr>
          <w:p w14:paraId="28D8003D">
            <w:pPr>
              <w:pStyle w:val="557"/>
            </w:pPr>
            <w:r>
              <w:t>8000</w:t>
            </w:r>
          </w:p>
        </w:tc>
      </w:tr>
      <w:tr w14:paraId="7BD2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3A56F139">
            <w:pPr>
              <w:pStyle w:val="557"/>
            </w:pPr>
          </w:p>
        </w:tc>
        <w:tc>
          <w:tcPr>
            <w:tcW w:w="834" w:type="dxa"/>
            <w:vAlign w:val="center"/>
          </w:tcPr>
          <w:p w14:paraId="3470E988">
            <w:pPr>
              <w:pStyle w:val="557"/>
            </w:pPr>
            <w:r>
              <w:rPr>
                <w:rFonts w:hint="eastAsia"/>
              </w:rPr>
              <w:t>风机</w:t>
            </w:r>
          </w:p>
        </w:tc>
        <w:tc>
          <w:tcPr>
            <w:tcW w:w="482" w:type="dxa"/>
            <w:vAlign w:val="center"/>
          </w:tcPr>
          <w:p w14:paraId="6ABBD2D5">
            <w:pPr>
              <w:pStyle w:val="557"/>
            </w:pPr>
            <w:r>
              <w:rPr>
                <w:rFonts w:hint="eastAsia"/>
              </w:rPr>
              <w:t>1</w:t>
            </w:r>
          </w:p>
        </w:tc>
        <w:tc>
          <w:tcPr>
            <w:tcW w:w="597" w:type="dxa"/>
            <w:vAlign w:val="center"/>
          </w:tcPr>
          <w:p w14:paraId="429419B5">
            <w:pPr>
              <w:pStyle w:val="557"/>
            </w:pPr>
            <w:r>
              <w:rPr>
                <w:rFonts w:hint="eastAsia"/>
              </w:rPr>
              <w:t>连续</w:t>
            </w:r>
          </w:p>
        </w:tc>
        <w:tc>
          <w:tcPr>
            <w:tcW w:w="763" w:type="dxa"/>
            <w:vAlign w:val="center"/>
          </w:tcPr>
          <w:p w14:paraId="46AB16E9">
            <w:pPr>
              <w:pStyle w:val="557"/>
            </w:pPr>
            <w:r>
              <w:t>类比法</w:t>
            </w:r>
          </w:p>
        </w:tc>
        <w:tc>
          <w:tcPr>
            <w:tcW w:w="796" w:type="dxa"/>
            <w:vAlign w:val="center"/>
          </w:tcPr>
          <w:p w14:paraId="2C9AC089">
            <w:pPr>
              <w:pStyle w:val="557"/>
            </w:pPr>
            <w:r>
              <w:t>95</w:t>
            </w:r>
          </w:p>
        </w:tc>
        <w:tc>
          <w:tcPr>
            <w:tcW w:w="1278" w:type="dxa"/>
            <w:vAlign w:val="center"/>
          </w:tcPr>
          <w:p w14:paraId="47D92415">
            <w:pPr>
              <w:pStyle w:val="557"/>
            </w:pPr>
            <w:r>
              <w:rPr>
                <w:rFonts w:hint="eastAsia"/>
              </w:rPr>
              <w:t>低噪声叶片</w:t>
            </w:r>
          </w:p>
        </w:tc>
        <w:tc>
          <w:tcPr>
            <w:tcW w:w="634" w:type="dxa"/>
            <w:vAlign w:val="center"/>
          </w:tcPr>
          <w:p w14:paraId="704A0B13">
            <w:pPr>
              <w:pStyle w:val="557"/>
            </w:pPr>
            <w:r>
              <w:t>20</w:t>
            </w:r>
          </w:p>
        </w:tc>
        <w:tc>
          <w:tcPr>
            <w:tcW w:w="763" w:type="dxa"/>
            <w:vAlign w:val="center"/>
          </w:tcPr>
          <w:p w14:paraId="6397C2C0">
            <w:pPr>
              <w:pStyle w:val="557"/>
            </w:pPr>
            <w:r>
              <w:t>类比法</w:t>
            </w:r>
          </w:p>
        </w:tc>
        <w:tc>
          <w:tcPr>
            <w:tcW w:w="798" w:type="dxa"/>
            <w:vAlign w:val="center"/>
          </w:tcPr>
          <w:p w14:paraId="50171A7D">
            <w:pPr>
              <w:pStyle w:val="557"/>
            </w:pPr>
            <w:r>
              <w:t>75</w:t>
            </w:r>
          </w:p>
        </w:tc>
        <w:tc>
          <w:tcPr>
            <w:tcW w:w="642" w:type="dxa"/>
            <w:vAlign w:val="center"/>
          </w:tcPr>
          <w:p w14:paraId="216005FA">
            <w:pPr>
              <w:pStyle w:val="557"/>
            </w:pPr>
            <w:r>
              <w:t>8000</w:t>
            </w:r>
          </w:p>
        </w:tc>
      </w:tr>
      <w:tr w14:paraId="6902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45A775FC">
            <w:pPr>
              <w:pStyle w:val="557"/>
            </w:pPr>
            <w:r>
              <w:rPr>
                <w:rFonts w:hint="eastAsia"/>
              </w:rPr>
              <w:t>锅炉房</w:t>
            </w:r>
          </w:p>
        </w:tc>
        <w:tc>
          <w:tcPr>
            <w:tcW w:w="834" w:type="dxa"/>
            <w:vAlign w:val="center"/>
          </w:tcPr>
          <w:p w14:paraId="44660C67">
            <w:pPr>
              <w:pStyle w:val="557"/>
            </w:pPr>
            <w:r>
              <w:rPr>
                <w:rFonts w:hint="eastAsia"/>
              </w:rPr>
              <w:t>机泵</w:t>
            </w:r>
          </w:p>
        </w:tc>
        <w:tc>
          <w:tcPr>
            <w:tcW w:w="482" w:type="dxa"/>
            <w:vAlign w:val="center"/>
          </w:tcPr>
          <w:p w14:paraId="19F6ACAD">
            <w:pPr>
              <w:pStyle w:val="557"/>
            </w:pPr>
            <w:r>
              <w:rPr>
                <w:rFonts w:hint="eastAsia"/>
              </w:rPr>
              <w:t>7</w:t>
            </w:r>
          </w:p>
        </w:tc>
        <w:tc>
          <w:tcPr>
            <w:tcW w:w="597" w:type="dxa"/>
            <w:vAlign w:val="center"/>
          </w:tcPr>
          <w:p w14:paraId="274B39D9">
            <w:pPr>
              <w:pStyle w:val="557"/>
            </w:pPr>
            <w:r>
              <w:rPr>
                <w:rFonts w:hint="eastAsia"/>
              </w:rPr>
              <w:t>连续</w:t>
            </w:r>
          </w:p>
        </w:tc>
        <w:tc>
          <w:tcPr>
            <w:tcW w:w="763" w:type="dxa"/>
            <w:vAlign w:val="center"/>
          </w:tcPr>
          <w:p w14:paraId="0BF6FAE0">
            <w:pPr>
              <w:pStyle w:val="557"/>
            </w:pPr>
            <w:r>
              <w:t>类比法</w:t>
            </w:r>
          </w:p>
        </w:tc>
        <w:tc>
          <w:tcPr>
            <w:tcW w:w="796" w:type="dxa"/>
            <w:vAlign w:val="center"/>
          </w:tcPr>
          <w:p w14:paraId="1D0309F7">
            <w:pPr>
              <w:pStyle w:val="557"/>
            </w:pPr>
            <w:r>
              <w:t>80-90</w:t>
            </w:r>
          </w:p>
        </w:tc>
        <w:tc>
          <w:tcPr>
            <w:tcW w:w="1278" w:type="dxa"/>
            <w:vAlign w:val="center"/>
          </w:tcPr>
          <w:p w14:paraId="18A2111D">
            <w:pPr>
              <w:pStyle w:val="557"/>
            </w:pPr>
            <w:r>
              <w:rPr>
                <w:rFonts w:hint="eastAsia"/>
              </w:rPr>
              <w:t>低噪声电机、基础减振</w:t>
            </w:r>
          </w:p>
        </w:tc>
        <w:tc>
          <w:tcPr>
            <w:tcW w:w="634" w:type="dxa"/>
            <w:vAlign w:val="center"/>
          </w:tcPr>
          <w:p w14:paraId="1C774AD9">
            <w:pPr>
              <w:pStyle w:val="557"/>
            </w:pPr>
            <w:r>
              <w:t>20</w:t>
            </w:r>
          </w:p>
        </w:tc>
        <w:tc>
          <w:tcPr>
            <w:tcW w:w="763" w:type="dxa"/>
            <w:vAlign w:val="center"/>
          </w:tcPr>
          <w:p w14:paraId="277F1AFC">
            <w:pPr>
              <w:pStyle w:val="557"/>
            </w:pPr>
            <w:r>
              <w:t>类比法</w:t>
            </w:r>
          </w:p>
        </w:tc>
        <w:tc>
          <w:tcPr>
            <w:tcW w:w="798" w:type="dxa"/>
            <w:vAlign w:val="center"/>
          </w:tcPr>
          <w:p w14:paraId="523AF935">
            <w:pPr>
              <w:pStyle w:val="557"/>
            </w:pPr>
            <w:r>
              <w:t>60-70</w:t>
            </w:r>
          </w:p>
        </w:tc>
        <w:tc>
          <w:tcPr>
            <w:tcW w:w="642" w:type="dxa"/>
            <w:vAlign w:val="center"/>
          </w:tcPr>
          <w:p w14:paraId="3B7740EB">
            <w:pPr>
              <w:pStyle w:val="557"/>
            </w:pPr>
            <w:r>
              <w:t>8000</w:t>
            </w:r>
          </w:p>
        </w:tc>
      </w:tr>
      <w:tr w14:paraId="6BD1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17B62485">
            <w:pPr>
              <w:pStyle w:val="557"/>
            </w:pPr>
          </w:p>
        </w:tc>
        <w:tc>
          <w:tcPr>
            <w:tcW w:w="834" w:type="dxa"/>
            <w:vAlign w:val="center"/>
          </w:tcPr>
          <w:p w14:paraId="41A3AE4D">
            <w:pPr>
              <w:pStyle w:val="557"/>
            </w:pPr>
            <w:r>
              <w:rPr>
                <w:rFonts w:hint="eastAsia"/>
              </w:rPr>
              <w:t>风机</w:t>
            </w:r>
          </w:p>
        </w:tc>
        <w:tc>
          <w:tcPr>
            <w:tcW w:w="482" w:type="dxa"/>
            <w:vAlign w:val="center"/>
          </w:tcPr>
          <w:p w14:paraId="3F628B5A">
            <w:pPr>
              <w:pStyle w:val="557"/>
            </w:pPr>
            <w:r>
              <w:rPr>
                <w:rFonts w:hint="eastAsia"/>
              </w:rPr>
              <w:t>2</w:t>
            </w:r>
          </w:p>
        </w:tc>
        <w:tc>
          <w:tcPr>
            <w:tcW w:w="597" w:type="dxa"/>
            <w:vAlign w:val="center"/>
          </w:tcPr>
          <w:p w14:paraId="4288CB32">
            <w:pPr>
              <w:pStyle w:val="557"/>
            </w:pPr>
            <w:r>
              <w:rPr>
                <w:rFonts w:hint="eastAsia"/>
              </w:rPr>
              <w:t>连续</w:t>
            </w:r>
          </w:p>
        </w:tc>
        <w:tc>
          <w:tcPr>
            <w:tcW w:w="763" w:type="dxa"/>
            <w:vAlign w:val="center"/>
          </w:tcPr>
          <w:p w14:paraId="14E80C4B">
            <w:pPr>
              <w:pStyle w:val="557"/>
            </w:pPr>
            <w:r>
              <w:t>类比法</w:t>
            </w:r>
          </w:p>
        </w:tc>
        <w:tc>
          <w:tcPr>
            <w:tcW w:w="796" w:type="dxa"/>
            <w:vAlign w:val="center"/>
          </w:tcPr>
          <w:p w14:paraId="252C4588">
            <w:pPr>
              <w:pStyle w:val="557"/>
            </w:pPr>
            <w:r>
              <w:t>95</w:t>
            </w:r>
          </w:p>
        </w:tc>
        <w:tc>
          <w:tcPr>
            <w:tcW w:w="1278" w:type="dxa"/>
            <w:vAlign w:val="center"/>
          </w:tcPr>
          <w:p w14:paraId="2E74334C">
            <w:pPr>
              <w:pStyle w:val="557"/>
            </w:pPr>
            <w:r>
              <w:rPr>
                <w:rFonts w:hint="eastAsia"/>
              </w:rPr>
              <w:t>低噪声叶片</w:t>
            </w:r>
          </w:p>
        </w:tc>
        <w:tc>
          <w:tcPr>
            <w:tcW w:w="634" w:type="dxa"/>
            <w:vAlign w:val="center"/>
          </w:tcPr>
          <w:p w14:paraId="3AE0A9A0">
            <w:pPr>
              <w:pStyle w:val="557"/>
            </w:pPr>
            <w:r>
              <w:t>20</w:t>
            </w:r>
          </w:p>
        </w:tc>
        <w:tc>
          <w:tcPr>
            <w:tcW w:w="763" w:type="dxa"/>
            <w:vAlign w:val="center"/>
          </w:tcPr>
          <w:p w14:paraId="57D82FBF">
            <w:pPr>
              <w:pStyle w:val="557"/>
            </w:pPr>
            <w:r>
              <w:t>类比法</w:t>
            </w:r>
          </w:p>
        </w:tc>
        <w:tc>
          <w:tcPr>
            <w:tcW w:w="798" w:type="dxa"/>
            <w:vAlign w:val="center"/>
          </w:tcPr>
          <w:p w14:paraId="1BAC9D50">
            <w:pPr>
              <w:pStyle w:val="557"/>
            </w:pPr>
            <w:r>
              <w:t>75</w:t>
            </w:r>
          </w:p>
        </w:tc>
        <w:tc>
          <w:tcPr>
            <w:tcW w:w="642" w:type="dxa"/>
            <w:vAlign w:val="center"/>
          </w:tcPr>
          <w:p w14:paraId="481BC141">
            <w:pPr>
              <w:pStyle w:val="557"/>
            </w:pPr>
            <w:r>
              <w:t>8000</w:t>
            </w:r>
          </w:p>
        </w:tc>
      </w:tr>
      <w:tr w14:paraId="74EE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69DEB6F6">
            <w:pPr>
              <w:pStyle w:val="557"/>
            </w:pPr>
            <w:r>
              <w:rPr>
                <w:rFonts w:hint="eastAsia"/>
              </w:rPr>
              <w:t>空分站</w:t>
            </w:r>
          </w:p>
        </w:tc>
        <w:tc>
          <w:tcPr>
            <w:tcW w:w="834" w:type="dxa"/>
            <w:vAlign w:val="center"/>
          </w:tcPr>
          <w:p w14:paraId="201DF02F">
            <w:pPr>
              <w:pStyle w:val="557"/>
            </w:pPr>
            <w:r>
              <w:t>空气压缩机</w:t>
            </w:r>
          </w:p>
        </w:tc>
        <w:tc>
          <w:tcPr>
            <w:tcW w:w="482" w:type="dxa"/>
            <w:vAlign w:val="center"/>
          </w:tcPr>
          <w:p w14:paraId="3793F55F">
            <w:pPr>
              <w:pStyle w:val="557"/>
            </w:pPr>
            <w:r>
              <w:t>1</w:t>
            </w:r>
          </w:p>
        </w:tc>
        <w:tc>
          <w:tcPr>
            <w:tcW w:w="597" w:type="dxa"/>
            <w:vAlign w:val="center"/>
          </w:tcPr>
          <w:p w14:paraId="4238FD20">
            <w:pPr>
              <w:pStyle w:val="557"/>
            </w:pPr>
            <w:r>
              <w:rPr>
                <w:rFonts w:hint="eastAsia"/>
              </w:rPr>
              <w:t>连续</w:t>
            </w:r>
          </w:p>
        </w:tc>
        <w:tc>
          <w:tcPr>
            <w:tcW w:w="763" w:type="dxa"/>
            <w:vAlign w:val="center"/>
          </w:tcPr>
          <w:p w14:paraId="1F5396A2">
            <w:pPr>
              <w:pStyle w:val="557"/>
            </w:pPr>
            <w:r>
              <w:t>类比法</w:t>
            </w:r>
          </w:p>
        </w:tc>
        <w:tc>
          <w:tcPr>
            <w:tcW w:w="796" w:type="dxa"/>
            <w:vAlign w:val="center"/>
          </w:tcPr>
          <w:p w14:paraId="64C68ECE">
            <w:pPr>
              <w:pStyle w:val="557"/>
            </w:pPr>
            <w:r>
              <w:t>95</w:t>
            </w:r>
          </w:p>
        </w:tc>
        <w:tc>
          <w:tcPr>
            <w:tcW w:w="1278" w:type="dxa"/>
            <w:vAlign w:val="center"/>
          </w:tcPr>
          <w:p w14:paraId="30615964">
            <w:pPr>
              <w:pStyle w:val="557"/>
            </w:pPr>
            <w:r>
              <w:rPr>
                <w:rFonts w:hint="eastAsia"/>
              </w:rPr>
              <w:t>低噪声设备</w:t>
            </w:r>
          </w:p>
        </w:tc>
        <w:tc>
          <w:tcPr>
            <w:tcW w:w="634" w:type="dxa"/>
            <w:vAlign w:val="center"/>
          </w:tcPr>
          <w:p w14:paraId="21AF2207">
            <w:pPr>
              <w:pStyle w:val="557"/>
            </w:pPr>
            <w:r>
              <w:t>20</w:t>
            </w:r>
          </w:p>
        </w:tc>
        <w:tc>
          <w:tcPr>
            <w:tcW w:w="763" w:type="dxa"/>
            <w:vAlign w:val="center"/>
          </w:tcPr>
          <w:p w14:paraId="56B93212">
            <w:pPr>
              <w:pStyle w:val="557"/>
            </w:pPr>
            <w:r>
              <w:t>类比法</w:t>
            </w:r>
          </w:p>
        </w:tc>
        <w:tc>
          <w:tcPr>
            <w:tcW w:w="798" w:type="dxa"/>
            <w:vAlign w:val="center"/>
          </w:tcPr>
          <w:p w14:paraId="19C2B9FA">
            <w:pPr>
              <w:pStyle w:val="557"/>
            </w:pPr>
            <w:r>
              <w:t>75</w:t>
            </w:r>
          </w:p>
        </w:tc>
        <w:tc>
          <w:tcPr>
            <w:tcW w:w="642" w:type="dxa"/>
            <w:vAlign w:val="center"/>
          </w:tcPr>
          <w:p w14:paraId="5E6572B3">
            <w:pPr>
              <w:pStyle w:val="557"/>
            </w:pPr>
            <w:r>
              <w:t>8000</w:t>
            </w:r>
          </w:p>
        </w:tc>
      </w:tr>
      <w:tr w14:paraId="22C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71B89D3A">
            <w:pPr>
              <w:pStyle w:val="557"/>
            </w:pPr>
          </w:p>
        </w:tc>
        <w:tc>
          <w:tcPr>
            <w:tcW w:w="834" w:type="dxa"/>
            <w:vAlign w:val="center"/>
          </w:tcPr>
          <w:p w14:paraId="52749C9A">
            <w:pPr>
              <w:pStyle w:val="557"/>
            </w:pPr>
            <w:r>
              <w:t>空气</w:t>
            </w:r>
            <w:r>
              <w:rPr>
                <w:rFonts w:hint="eastAsia"/>
              </w:rPr>
              <w:t>增压机</w:t>
            </w:r>
          </w:p>
        </w:tc>
        <w:tc>
          <w:tcPr>
            <w:tcW w:w="482" w:type="dxa"/>
            <w:vAlign w:val="center"/>
          </w:tcPr>
          <w:p w14:paraId="5EA89463">
            <w:pPr>
              <w:pStyle w:val="557"/>
            </w:pPr>
            <w:r>
              <w:t>1</w:t>
            </w:r>
          </w:p>
        </w:tc>
        <w:tc>
          <w:tcPr>
            <w:tcW w:w="597" w:type="dxa"/>
            <w:vAlign w:val="center"/>
          </w:tcPr>
          <w:p w14:paraId="04518F02">
            <w:pPr>
              <w:pStyle w:val="557"/>
            </w:pPr>
            <w:r>
              <w:rPr>
                <w:rFonts w:hint="eastAsia"/>
              </w:rPr>
              <w:t>连续</w:t>
            </w:r>
          </w:p>
        </w:tc>
        <w:tc>
          <w:tcPr>
            <w:tcW w:w="763" w:type="dxa"/>
            <w:vAlign w:val="center"/>
          </w:tcPr>
          <w:p w14:paraId="47E7E890">
            <w:pPr>
              <w:pStyle w:val="557"/>
            </w:pPr>
            <w:r>
              <w:t>类比法</w:t>
            </w:r>
          </w:p>
        </w:tc>
        <w:tc>
          <w:tcPr>
            <w:tcW w:w="796" w:type="dxa"/>
            <w:vAlign w:val="center"/>
          </w:tcPr>
          <w:p w14:paraId="26D1B5EE">
            <w:pPr>
              <w:pStyle w:val="557"/>
            </w:pPr>
            <w:r>
              <w:t>95</w:t>
            </w:r>
          </w:p>
        </w:tc>
        <w:tc>
          <w:tcPr>
            <w:tcW w:w="1278" w:type="dxa"/>
            <w:vAlign w:val="center"/>
          </w:tcPr>
          <w:p w14:paraId="563D283A">
            <w:pPr>
              <w:pStyle w:val="557"/>
            </w:pPr>
            <w:r>
              <w:rPr>
                <w:rFonts w:hint="eastAsia"/>
              </w:rPr>
              <w:t>低噪声设备</w:t>
            </w:r>
          </w:p>
        </w:tc>
        <w:tc>
          <w:tcPr>
            <w:tcW w:w="634" w:type="dxa"/>
            <w:vAlign w:val="center"/>
          </w:tcPr>
          <w:p w14:paraId="033D1ED4">
            <w:pPr>
              <w:pStyle w:val="557"/>
            </w:pPr>
            <w:r>
              <w:t>20</w:t>
            </w:r>
          </w:p>
        </w:tc>
        <w:tc>
          <w:tcPr>
            <w:tcW w:w="763" w:type="dxa"/>
            <w:vAlign w:val="center"/>
          </w:tcPr>
          <w:p w14:paraId="5AD451C1">
            <w:pPr>
              <w:pStyle w:val="557"/>
            </w:pPr>
            <w:r>
              <w:t>类比法</w:t>
            </w:r>
          </w:p>
        </w:tc>
        <w:tc>
          <w:tcPr>
            <w:tcW w:w="798" w:type="dxa"/>
            <w:vAlign w:val="center"/>
          </w:tcPr>
          <w:p w14:paraId="1E512F6F">
            <w:pPr>
              <w:pStyle w:val="557"/>
            </w:pPr>
            <w:r>
              <w:t>75</w:t>
            </w:r>
          </w:p>
        </w:tc>
        <w:tc>
          <w:tcPr>
            <w:tcW w:w="642" w:type="dxa"/>
            <w:vAlign w:val="center"/>
          </w:tcPr>
          <w:p w14:paraId="2B958965">
            <w:pPr>
              <w:pStyle w:val="557"/>
            </w:pPr>
            <w:r>
              <w:t>8000</w:t>
            </w:r>
          </w:p>
        </w:tc>
      </w:tr>
      <w:tr w14:paraId="4AA2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701C1D44">
            <w:pPr>
              <w:pStyle w:val="557"/>
            </w:pPr>
          </w:p>
        </w:tc>
        <w:tc>
          <w:tcPr>
            <w:tcW w:w="834" w:type="dxa"/>
            <w:vAlign w:val="center"/>
          </w:tcPr>
          <w:p w14:paraId="019BB7D0">
            <w:pPr>
              <w:pStyle w:val="557"/>
            </w:pPr>
            <w:r>
              <w:rPr>
                <w:rFonts w:hint="eastAsia"/>
              </w:rPr>
              <w:t>冷却塔</w:t>
            </w:r>
          </w:p>
        </w:tc>
        <w:tc>
          <w:tcPr>
            <w:tcW w:w="482" w:type="dxa"/>
            <w:vAlign w:val="center"/>
          </w:tcPr>
          <w:p w14:paraId="4DE74EA6">
            <w:pPr>
              <w:pStyle w:val="557"/>
            </w:pPr>
            <w:r>
              <w:t>2</w:t>
            </w:r>
          </w:p>
        </w:tc>
        <w:tc>
          <w:tcPr>
            <w:tcW w:w="597" w:type="dxa"/>
            <w:vAlign w:val="center"/>
          </w:tcPr>
          <w:p w14:paraId="3DC116F7">
            <w:pPr>
              <w:pStyle w:val="557"/>
            </w:pPr>
            <w:r>
              <w:rPr>
                <w:rFonts w:hint="eastAsia"/>
              </w:rPr>
              <w:t>连续</w:t>
            </w:r>
          </w:p>
        </w:tc>
        <w:tc>
          <w:tcPr>
            <w:tcW w:w="763" w:type="dxa"/>
            <w:vAlign w:val="center"/>
          </w:tcPr>
          <w:p w14:paraId="339ACCCF">
            <w:pPr>
              <w:pStyle w:val="557"/>
            </w:pPr>
            <w:r>
              <w:t>类比法</w:t>
            </w:r>
          </w:p>
        </w:tc>
        <w:tc>
          <w:tcPr>
            <w:tcW w:w="796" w:type="dxa"/>
            <w:vAlign w:val="center"/>
          </w:tcPr>
          <w:p w14:paraId="54AFFB30">
            <w:pPr>
              <w:pStyle w:val="557"/>
            </w:pPr>
            <w:r>
              <w:t>85</w:t>
            </w:r>
          </w:p>
        </w:tc>
        <w:tc>
          <w:tcPr>
            <w:tcW w:w="1278" w:type="dxa"/>
            <w:vAlign w:val="center"/>
          </w:tcPr>
          <w:p w14:paraId="7E44400B">
            <w:pPr>
              <w:pStyle w:val="557"/>
            </w:pPr>
            <w:r>
              <w:rPr>
                <w:rFonts w:hint="eastAsia"/>
              </w:rPr>
              <w:t>基础减振</w:t>
            </w:r>
          </w:p>
        </w:tc>
        <w:tc>
          <w:tcPr>
            <w:tcW w:w="634" w:type="dxa"/>
            <w:vAlign w:val="center"/>
          </w:tcPr>
          <w:p w14:paraId="1B59DD82">
            <w:pPr>
              <w:pStyle w:val="557"/>
            </w:pPr>
            <w:r>
              <w:t>15</w:t>
            </w:r>
          </w:p>
        </w:tc>
        <w:tc>
          <w:tcPr>
            <w:tcW w:w="763" w:type="dxa"/>
            <w:vAlign w:val="center"/>
          </w:tcPr>
          <w:p w14:paraId="61939346">
            <w:pPr>
              <w:pStyle w:val="557"/>
            </w:pPr>
            <w:r>
              <w:t>类比法</w:t>
            </w:r>
          </w:p>
        </w:tc>
        <w:tc>
          <w:tcPr>
            <w:tcW w:w="798" w:type="dxa"/>
            <w:vAlign w:val="center"/>
          </w:tcPr>
          <w:p w14:paraId="7585D678">
            <w:pPr>
              <w:pStyle w:val="557"/>
            </w:pPr>
            <w:r>
              <w:t>70</w:t>
            </w:r>
          </w:p>
        </w:tc>
        <w:tc>
          <w:tcPr>
            <w:tcW w:w="642" w:type="dxa"/>
            <w:vAlign w:val="center"/>
          </w:tcPr>
          <w:p w14:paraId="2A81A4F8">
            <w:pPr>
              <w:pStyle w:val="557"/>
            </w:pPr>
            <w:r>
              <w:t>8000</w:t>
            </w:r>
          </w:p>
        </w:tc>
      </w:tr>
      <w:tr w14:paraId="30B0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569AEC50">
            <w:pPr>
              <w:pStyle w:val="557"/>
            </w:pPr>
          </w:p>
        </w:tc>
        <w:tc>
          <w:tcPr>
            <w:tcW w:w="834" w:type="dxa"/>
            <w:vAlign w:val="center"/>
          </w:tcPr>
          <w:p w14:paraId="10688E1C">
            <w:pPr>
              <w:pStyle w:val="557"/>
            </w:pPr>
            <w:r>
              <w:rPr>
                <w:rFonts w:hint="eastAsia"/>
              </w:rPr>
              <w:t>机泵</w:t>
            </w:r>
          </w:p>
        </w:tc>
        <w:tc>
          <w:tcPr>
            <w:tcW w:w="482" w:type="dxa"/>
            <w:vAlign w:val="center"/>
          </w:tcPr>
          <w:p w14:paraId="162081DF">
            <w:pPr>
              <w:pStyle w:val="557"/>
            </w:pPr>
            <w:r>
              <w:rPr>
                <w:rFonts w:hint="eastAsia"/>
              </w:rPr>
              <w:t>19</w:t>
            </w:r>
          </w:p>
        </w:tc>
        <w:tc>
          <w:tcPr>
            <w:tcW w:w="597" w:type="dxa"/>
            <w:vAlign w:val="center"/>
          </w:tcPr>
          <w:p w14:paraId="7822F63D">
            <w:pPr>
              <w:pStyle w:val="557"/>
            </w:pPr>
            <w:r>
              <w:rPr>
                <w:rFonts w:hint="eastAsia"/>
              </w:rPr>
              <w:t>连续</w:t>
            </w:r>
          </w:p>
        </w:tc>
        <w:tc>
          <w:tcPr>
            <w:tcW w:w="763" w:type="dxa"/>
            <w:vAlign w:val="center"/>
          </w:tcPr>
          <w:p w14:paraId="704D8522">
            <w:pPr>
              <w:pStyle w:val="557"/>
            </w:pPr>
            <w:r>
              <w:t>类比法</w:t>
            </w:r>
          </w:p>
        </w:tc>
        <w:tc>
          <w:tcPr>
            <w:tcW w:w="796" w:type="dxa"/>
            <w:vAlign w:val="center"/>
          </w:tcPr>
          <w:p w14:paraId="68F956AB">
            <w:pPr>
              <w:pStyle w:val="557"/>
            </w:pPr>
            <w:r>
              <w:t>80-90</w:t>
            </w:r>
          </w:p>
        </w:tc>
        <w:tc>
          <w:tcPr>
            <w:tcW w:w="1278" w:type="dxa"/>
            <w:vAlign w:val="center"/>
          </w:tcPr>
          <w:p w14:paraId="407EDEEC">
            <w:pPr>
              <w:pStyle w:val="557"/>
            </w:pPr>
            <w:r>
              <w:rPr>
                <w:rFonts w:hint="eastAsia"/>
              </w:rPr>
              <w:t>低噪声电机、基础减振</w:t>
            </w:r>
          </w:p>
        </w:tc>
        <w:tc>
          <w:tcPr>
            <w:tcW w:w="634" w:type="dxa"/>
            <w:vAlign w:val="center"/>
          </w:tcPr>
          <w:p w14:paraId="5E3AE6CA">
            <w:pPr>
              <w:pStyle w:val="557"/>
            </w:pPr>
            <w:r>
              <w:t>20</w:t>
            </w:r>
          </w:p>
        </w:tc>
        <w:tc>
          <w:tcPr>
            <w:tcW w:w="763" w:type="dxa"/>
            <w:vAlign w:val="center"/>
          </w:tcPr>
          <w:p w14:paraId="14B4B22C">
            <w:pPr>
              <w:pStyle w:val="557"/>
            </w:pPr>
            <w:r>
              <w:t>类比法</w:t>
            </w:r>
          </w:p>
        </w:tc>
        <w:tc>
          <w:tcPr>
            <w:tcW w:w="798" w:type="dxa"/>
            <w:vAlign w:val="center"/>
          </w:tcPr>
          <w:p w14:paraId="7323ECD7">
            <w:pPr>
              <w:pStyle w:val="557"/>
            </w:pPr>
            <w:r>
              <w:t>60-70</w:t>
            </w:r>
          </w:p>
        </w:tc>
        <w:tc>
          <w:tcPr>
            <w:tcW w:w="642" w:type="dxa"/>
            <w:vAlign w:val="center"/>
          </w:tcPr>
          <w:p w14:paraId="4441F069">
            <w:pPr>
              <w:pStyle w:val="557"/>
            </w:pPr>
            <w:r>
              <w:t>8000</w:t>
            </w:r>
          </w:p>
        </w:tc>
      </w:tr>
      <w:tr w14:paraId="61E2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5" w:type="dxa"/>
            <w:vAlign w:val="center"/>
          </w:tcPr>
          <w:p w14:paraId="0AA20F76">
            <w:pPr>
              <w:pStyle w:val="557"/>
            </w:pPr>
            <w:r>
              <w:rPr>
                <w:rFonts w:hint="eastAsia"/>
              </w:rPr>
              <w:t>制冷站</w:t>
            </w:r>
          </w:p>
        </w:tc>
        <w:tc>
          <w:tcPr>
            <w:tcW w:w="834" w:type="dxa"/>
            <w:vAlign w:val="center"/>
          </w:tcPr>
          <w:p w14:paraId="0637D87E">
            <w:pPr>
              <w:pStyle w:val="557"/>
            </w:pPr>
            <w:r>
              <w:rPr>
                <w:rFonts w:hint="eastAsia"/>
              </w:rPr>
              <w:t>压缩机</w:t>
            </w:r>
          </w:p>
        </w:tc>
        <w:tc>
          <w:tcPr>
            <w:tcW w:w="482" w:type="dxa"/>
            <w:vAlign w:val="center"/>
          </w:tcPr>
          <w:p w14:paraId="27791D36">
            <w:pPr>
              <w:pStyle w:val="557"/>
            </w:pPr>
            <w:r>
              <w:rPr>
                <w:rFonts w:hint="eastAsia"/>
              </w:rPr>
              <w:t>1</w:t>
            </w:r>
          </w:p>
        </w:tc>
        <w:tc>
          <w:tcPr>
            <w:tcW w:w="597" w:type="dxa"/>
            <w:vAlign w:val="center"/>
          </w:tcPr>
          <w:p w14:paraId="6C62665F">
            <w:pPr>
              <w:pStyle w:val="557"/>
            </w:pPr>
            <w:r>
              <w:rPr>
                <w:rFonts w:hint="eastAsia"/>
              </w:rPr>
              <w:t>连续</w:t>
            </w:r>
          </w:p>
        </w:tc>
        <w:tc>
          <w:tcPr>
            <w:tcW w:w="763" w:type="dxa"/>
            <w:vAlign w:val="center"/>
          </w:tcPr>
          <w:p w14:paraId="15FE4ED7">
            <w:pPr>
              <w:pStyle w:val="557"/>
            </w:pPr>
            <w:r>
              <w:t>类比法</w:t>
            </w:r>
          </w:p>
        </w:tc>
        <w:tc>
          <w:tcPr>
            <w:tcW w:w="796" w:type="dxa"/>
            <w:vAlign w:val="center"/>
          </w:tcPr>
          <w:p w14:paraId="58233930">
            <w:pPr>
              <w:pStyle w:val="557"/>
            </w:pPr>
            <w:r>
              <w:t>85</w:t>
            </w:r>
          </w:p>
        </w:tc>
        <w:tc>
          <w:tcPr>
            <w:tcW w:w="1278" w:type="dxa"/>
            <w:vAlign w:val="center"/>
          </w:tcPr>
          <w:p w14:paraId="5A55D149">
            <w:pPr>
              <w:pStyle w:val="557"/>
            </w:pPr>
            <w:r>
              <w:rPr>
                <w:rFonts w:hint="eastAsia"/>
              </w:rPr>
              <w:t>基础减振</w:t>
            </w:r>
          </w:p>
        </w:tc>
        <w:tc>
          <w:tcPr>
            <w:tcW w:w="634" w:type="dxa"/>
            <w:vAlign w:val="center"/>
          </w:tcPr>
          <w:p w14:paraId="294AB81C">
            <w:pPr>
              <w:pStyle w:val="557"/>
            </w:pPr>
            <w:r>
              <w:t>15</w:t>
            </w:r>
          </w:p>
        </w:tc>
        <w:tc>
          <w:tcPr>
            <w:tcW w:w="763" w:type="dxa"/>
            <w:vAlign w:val="center"/>
          </w:tcPr>
          <w:p w14:paraId="3285D4CD">
            <w:pPr>
              <w:pStyle w:val="557"/>
            </w:pPr>
            <w:r>
              <w:t>类比法</w:t>
            </w:r>
          </w:p>
        </w:tc>
        <w:tc>
          <w:tcPr>
            <w:tcW w:w="798" w:type="dxa"/>
            <w:vAlign w:val="center"/>
          </w:tcPr>
          <w:p w14:paraId="53419304">
            <w:pPr>
              <w:pStyle w:val="557"/>
            </w:pPr>
            <w:r>
              <w:t>70</w:t>
            </w:r>
          </w:p>
        </w:tc>
        <w:tc>
          <w:tcPr>
            <w:tcW w:w="642" w:type="dxa"/>
            <w:vAlign w:val="center"/>
          </w:tcPr>
          <w:p w14:paraId="15B1D26D">
            <w:pPr>
              <w:pStyle w:val="557"/>
            </w:pPr>
            <w:r>
              <w:t>8000</w:t>
            </w:r>
          </w:p>
        </w:tc>
      </w:tr>
      <w:tr w14:paraId="0A5E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Align w:val="center"/>
          </w:tcPr>
          <w:p w14:paraId="46B5E23E">
            <w:pPr>
              <w:pStyle w:val="557"/>
            </w:pPr>
            <w:r>
              <w:rPr>
                <w:rFonts w:hint="eastAsia"/>
              </w:rPr>
              <w:t>火炬系统</w:t>
            </w:r>
          </w:p>
        </w:tc>
        <w:tc>
          <w:tcPr>
            <w:tcW w:w="834" w:type="dxa"/>
            <w:vAlign w:val="center"/>
          </w:tcPr>
          <w:p w14:paraId="4AB531C6">
            <w:pPr>
              <w:pStyle w:val="557"/>
            </w:pPr>
            <w:r>
              <w:rPr>
                <w:rFonts w:hint="eastAsia"/>
              </w:rPr>
              <w:t>火炬头</w:t>
            </w:r>
          </w:p>
        </w:tc>
        <w:tc>
          <w:tcPr>
            <w:tcW w:w="482" w:type="dxa"/>
            <w:vAlign w:val="center"/>
          </w:tcPr>
          <w:p w14:paraId="24435D30">
            <w:pPr>
              <w:pStyle w:val="557"/>
            </w:pPr>
            <w:r>
              <w:t>3</w:t>
            </w:r>
          </w:p>
        </w:tc>
        <w:tc>
          <w:tcPr>
            <w:tcW w:w="597" w:type="dxa"/>
            <w:vAlign w:val="center"/>
          </w:tcPr>
          <w:p w14:paraId="475AAF43">
            <w:pPr>
              <w:pStyle w:val="557"/>
            </w:pPr>
            <w:r>
              <w:rPr>
                <w:rFonts w:hint="eastAsia"/>
              </w:rPr>
              <w:t>瞬时</w:t>
            </w:r>
          </w:p>
        </w:tc>
        <w:tc>
          <w:tcPr>
            <w:tcW w:w="763" w:type="dxa"/>
            <w:vAlign w:val="center"/>
          </w:tcPr>
          <w:p w14:paraId="7D027959">
            <w:pPr>
              <w:pStyle w:val="557"/>
            </w:pPr>
            <w:r>
              <w:t>类比法</w:t>
            </w:r>
          </w:p>
        </w:tc>
        <w:tc>
          <w:tcPr>
            <w:tcW w:w="796" w:type="dxa"/>
            <w:vAlign w:val="center"/>
          </w:tcPr>
          <w:p w14:paraId="62F64DA1">
            <w:pPr>
              <w:pStyle w:val="557"/>
            </w:pPr>
            <w:r>
              <w:rPr>
                <w:rFonts w:hint="eastAsia"/>
              </w:rPr>
              <w:t>90</w:t>
            </w:r>
          </w:p>
        </w:tc>
        <w:tc>
          <w:tcPr>
            <w:tcW w:w="1278" w:type="dxa"/>
            <w:vAlign w:val="center"/>
          </w:tcPr>
          <w:p w14:paraId="1E0D14E6">
            <w:pPr>
              <w:pStyle w:val="557"/>
            </w:pPr>
            <w:r>
              <w:rPr>
                <w:rFonts w:hint="eastAsia"/>
              </w:rPr>
              <w:t>/</w:t>
            </w:r>
          </w:p>
        </w:tc>
        <w:tc>
          <w:tcPr>
            <w:tcW w:w="634" w:type="dxa"/>
            <w:vAlign w:val="center"/>
          </w:tcPr>
          <w:p w14:paraId="76E7753F">
            <w:pPr>
              <w:pStyle w:val="557"/>
            </w:pPr>
            <w:r>
              <w:rPr>
                <w:rFonts w:hint="eastAsia"/>
              </w:rPr>
              <w:t>/</w:t>
            </w:r>
          </w:p>
        </w:tc>
        <w:tc>
          <w:tcPr>
            <w:tcW w:w="763" w:type="dxa"/>
            <w:vAlign w:val="center"/>
          </w:tcPr>
          <w:p w14:paraId="2889ECD9">
            <w:pPr>
              <w:pStyle w:val="557"/>
            </w:pPr>
            <w:r>
              <w:t>类比法</w:t>
            </w:r>
          </w:p>
        </w:tc>
        <w:tc>
          <w:tcPr>
            <w:tcW w:w="798" w:type="dxa"/>
            <w:vAlign w:val="center"/>
          </w:tcPr>
          <w:p w14:paraId="4E4FF728">
            <w:pPr>
              <w:pStyle w:val="557"/>
            </w:pPr>
            <w:r>
              <w:t>90</w:t>
            </w:r>
          </w:p>
        </w:tc>
        <w:tc>
          <w:tcPr>
            <w:tcW w:w="642" w:type="dxa"/>
            <w:vAlign w:val="center"/>
          </w:tcPr>
          <w:p w14:paraId="6CC98774">
            <w:pPr>
              <w:pStyle w:val="557"/>
            </w:pPr>
            <w:r>
              <w:rPr>
                <w:rFonts w:hint="eastAsia"/>
              </w:rPr>
              <w:t>间歇</w:t>
            </w:r>
          </w:p>
        </w:tc>
      </w:tr>
    </w:tbl>
    <w:p w14:paraId="630BA0EC">
      <w:pPr>
        <w:pStyle w:val="98"/>
        <w:rPr>
          <w:rFonts w:hint="eastAsia"/>
        </w:rPr>
      </w:pPr>
      <w:r>
        <w:t>固废</w:t>
      </w:r>
    </w:p>
    <w:p w14:paraId="50296416">
      <w:pPr>
        <w:pStyle w:val="281"/>
        <w:ind w:firstLine="480"/>
      </w:pPr>
      <w:bookmarkStart w:id="204" w:name="_Hlk162107524"/>
      <w:r>
        <w:rPr>
          <w:rFonts w:hint="eastAsia"/>
        </w:rPr>
        <w:t>（1）脱盐水站</w:t>
      </w:r>
    </w:p>
    <w:p w14:paraId="5EF17E7A">
      <w:pPr>
        <w:pStyle w:val="281"/>
        <w:ind w:firstLine="480"/>
        <w:rPr>
          <w:szCs w:val="24"/>
        </w:rPr>
      </w:pPr>
      <w:r>
        <w:rPr>
          <w:rFonts w:hint="eastAsia" w:ascii="宋体" w:hAnsi="宋体"/>
          <w:szCs w:val="24"/>
        </w:rPr>
        <w:t>脱盐水站</w:t>
      </w:r>
      <w:r>
        <w:rPr>
          <w:szCs w:val="24"/>
        </w:rPr>
        <w:t>主要固废为</w:t>
      </w:r>
      <w:r>
        <w:rPr>
          <w:rFonts w:hint="eastAsia"/>
          <w:szCs w:val="24"/>
        </w:rPr>
        <w:t>废超滤膜</w:t>
      </w:r>
      <w:r>
        <w:rPr>
          <w:szCs w:val="24"/>
        </w:rPr>
        <w:t>（</w:t>
      </w:r>
      <w:r>
        <w:rPr>
          <w:rFonts w:hint="eastAsia"/>
          <w:szCs w:val="24"/>
        </w:rPr>
        <w:t>S</w:t>
      </w:r>
      <w:r>
        <w:rPr>
          <w:rFonts w:hint="eastAsia"/>
          <w:szCs w:val="24"/>
          <w:vertAlign w:val="subscript"/>
        </w:rPr>
        <w:t>8-1</w:t>
      </w:r>
      <w:r>
        <w:rPr>
          <w:szCs w:val="24"/>
        </w:rPr>
        <w:t>）</w:t>
      </w:r>
      <w:r>
        <w:rPr>
          <w:rFonts w:hint="eastAsia"/>
          <w:szCs w:val="24"/>
        </w:rPr>
        <w:t>、废反渗透膜</w:t>
      </w:r>
      <w:r>
        <w:rPr>
          <w:szCs w:val="24"/>
        </w:rPr>
        <w:t>（</w:t>
      </w:r>
      <w:r>
        <w:rPr>
          <w:rFonts w:hint="eastAsia"/>
          <w:szCs w:val="24"/>
        </w:rPr>
        <w:t>S</w:t>
      </w:r>
      <w:r>
        <w:rPr>
          <w:rFonts w:hint="eastAsia"/>
          <w:szCs w:val="24"/>
          <w:vertAlign w:val="subscript"/>
        </w:rPr>
        <w:t>8-2</w:t>
      </w:r>
      <w:r>
        <w:rPr>
          <w:rFonts w:hint="eastAsia"/>
          <w:szCs w:val="24"/>
        </w:rPr>
        <w:t>）、</w:t>
      </w:r>
      <w:r>
        <w:rPr>
          <w:szCs w:val="24"/>
        </w:rPr>
        <w:t>废离子交换树脂（</w:t>
      </w:r>
      <w:r>
        <w:rPr>
          <w:rFonts w:hint="eastAsia"/>
          <w:szCs w:val="24"/>
        </w:rPr>
        <w:t>S</w:t>
      </w:r>
      <w:r>
        <w:rPr>
          <w:rFonts w:hint="eastAsia"/>
          <w:szCs w:val="24"/>
          <w:vertAlign w:val="subscript"/>
        </w:rPr>
        <w:t>8-3</w:t>
      </w:r>
      <w:r>
        <w:rPr>
          <w:szCs w:val="24"/>
        </w:rPr>
        <w:t>）</w:t>
      </w:r>
      <w:r>
        <w:rPr>
          <w:rFonts w:hint="eastAsia"/>
          <w:szCs w:val="24"/>
        </w:rPr>
        <w:t>，</w:t>
      </w:r>
      <w:r>
        <w:rPr>
          <w:rFonts w:hint="eastAsia" w:ascii="宋体" w:hAnsi="宋体"/>
          <w:spacing w:val="30"/>
          <w:szCs w:val="24"/>
          <w:shd w:val="clear" w:color="auto" w:fill="FFFFFF"/>
        </w:rPr>
        <w:t>脱盐水站进水为新鲜水，处理过程产生的固废均属一般固废</w:t>
      </w:r>
      <w:r>
        <w:rPr>
          <w:rFonts w:hint="eastAsia"/>
          <w:szCs w:val="24"/>
        </w:rPr>
        <w:t>，</w:t>
      </w:r>
      <w:r>
        <w:rPr>
          <w:szCs w:val="24"/>
        </w:rPr>
        <w:t>送一般固废填埋场填埋处理</w:t>
      </w:r>
      <w:r>
        <w:rPr>
          <w:rFonts w:hint="eastAsia" w:ascii="宋体" w:hAnsi="宋体"/>
          <w:spacing w:val="30"/>
          <w:szCs w:val="24"/>
          <w:shd w:val="clear" w:color="auto" w:fill="FFFFFF"/>
        </w:rPr>
        <w:t>。</w:t>
      </w:r>
    </w:p>
    <w:p w14:paraId="718DEA08">
      <w:pPr>
        <w:pStyle w:val="281"/>
        <w:ind w:firstLine="480"/>
      </w:pPr>
      <w:r>
        <w:rPr>
          <w:rFonts w:hint="eastAsia"/>
        </w:rPr>
        <w:t>（2）中水回用系统</w:t>
      </w:r>
    </w:p>
    <w:p w14:paraId="6C581B55">
      <w:pPr>
        <w:pStyle w:val="281"/>
        <w:ind w:firstLine="480"/>
        <w:rPr>
          <w:szCs w:val="24"/>
        </w:rPr>
      </w:pPr>
      <w:r>
        <w:rPr>
          <w:rFonts w:hint="eastAsia"/>
        </w:rPr>
        <w:t>中水回用系统</w:t>
      </w:r>
      <w:r>
        <w:t>主</w:t>
      </w:r>
      <w:r>
        <w:rPr>
          <w:szCs w:val="24"/>
        </w:rPr>
        <w:t>要固废为</w:t>
      </w:r>
      <w:r>
        <w:rPr>
          <w:rFonts w:hint="eastAsia"/>
          <w:szCs w:val="24"/>
        </w:rPr>
        <w:t>污泥</w:t>
      </w:r>
      <w:r>
        <w:rPr>
          <w:szCs w:val="24"/>
        </w:rPr>
        <w:t>（</w:t>
      </w:r>
      <w:r>
        <w:rPr>
          <w:rFonts w:hint="eastAsia"/>
          <w:szCs w:val="24"/>
        </w:rPr>
        <w:t>S</w:t>
      </w:r>
      <w:r>
        <w:rPr>
          <w:rFonts w:hint="eastAsia"/>
          <w:szCs w:val="24"/>
          <w:vertAlign w:val="subscript"/>
        </w:rPr>
        <w:t>8-4</w:t>
      </w:r>
      <w:r>
        <w:rPr>
          <w:szCs w:val="24"/>
        </w:rPr>
        <w:t>）</w:t>
      </w:r>
      <w:r>
        <w:rPr>
          <w:rFonts w:hint="eastAsia"/>
          <w:szCs w:val="24"/>
        </w:rPr>
        <w:t>、废滤料（S</w:t>
      </w:r>
      <w:r>
        <w:rPr>
          <w:rFonts w:hint="eastAsia"/>
          <w:szCs w:val="24"/>
          <w:vertAlign w:val="subscript"/>
        </w:rPr>
        <w:t>8-5</w:t>
      </w:r>
      <w:r>
        <w:rPr>
          <w:rFonts w:hint="eastAsia"/>
          <w:szCs w:val="24"/>
        </w:rPr>
        <w:t>）、废超滤膜</w:t>
      </w:r>
      <w:r>
        <w:rPr>
          <w:szCs w:val="24"/>
        </w:rPr>
        <w:t>（</w:t>
      </w:r>
      <w:r>
        <w:rPr>
          <w:rFonts w:hint="eastAsia"/>
          <w:szCs w:val="24"/>
        </w:rPr>
        <w:t>S</w:t>
      </w:r>
      <w:r>
        <w:rPr>
          <w:rFonts w:hint="eastAsia"/>
          <w:szCs w:val="24"/>
          <w:vertAlign w:val="subscript"/>
        </w:rPr>
        <w:t>8-6</w:t>
      </w:r>
      <w:r>
        <w:rPr>
          <w:szCs w:val="24"/>
        </w:rPr>
        <w:t>）</w:t>
      </w:r>
      <w:r>
        <w:rPr>
          <w:rFonts w:hint="eastAsia"/>
          <w:szCs w:val="24"/>
        </w:rPr>
        <w:t>、废反渗透膜</w:t>
      </w:r>
      <w:r>
        <w:rPr>
          <w:szCs w:val="24"/>
        </w:rPr>
        <w:t>（</w:t>
      </w:r>
      <w:r>
        <w:rPr>
          <w:rFonts w:hint="eastAsia"/>
          <w:szCs w:val="24"/>
        </w:rPr>
        <w:t>S</w:t>
      </w:r>
      <w:r>
        <w:rPr>
          <w:rFonts w:hint="eastAsia"/>
          <w:szCs w:val="24"/>
          <w:vertAlign w:val="subscript"/>
        </w:rPr>
        <w:t>8-7</w:t>
      </w:r>
      <w:r>
        <w:rPr>
          <w:rFonts w:hint="eastAsia"/>
          <w:szCs w:val="24"/>
        </w:rPr>
        <w:t>），</w:t>
      </w:r>
      <w:r>
        <w:rPr>
          <w:rFonts w:hint="eastAsia"/>
        </w:rPr>
        <w:t>中水回用系统</w:t>
      </w:r>
      <w:r>
        <w:rPr>
          <w:rFonts w:hint="eastAsia" w:ascii="宋体" w:hAnsi="宋体"/>
          <w:spacing w:val="30"/>
          <w:szCs w:val="24"/>
          <w:shd w:val="clear" w:color="auto" w:fill="FFFFFF"/>
        </w:rPr>
        <w:t>进水为污水处理站出水、脱盐水站排污水、循环水站排污水，均属于清净下水，处理过程产生的固废均属一般固废</w:t>
      </w:r>
      <w:r>
        <w:rPr>
          <w:rFonts w:hint="eastAsia"/>
          <w:szCs w:val="24"/>
        </w:rPr>
        <w:t>，</w:t>
      </w:r>
      <w:r>
        <w:rPr>
          <w:szCs w:val="24"/>
        </w:rPr>
        <w:t>送一般固废填埋场填埋处理</w:t>
      </w:r>
      <w:r>
        <w:rPr>
          <w:rFonts w:hint="eastAsia"/>
          <w:szCs w:val="24"/>
        </w:rPr>
        <w:t>。</w:t>
      </w:r>
    </w:p>
    <w:p w14:paraId="0B1D7169">
      <w:pPr>
        <w:pStyle w:val="281"/>
        <w:ind w:firstLine="480"/>
        <w:rPr>
          <w:rFonts w:cs="Times New Roman"/>
          <w:szCs w:val="24"/>
        </w:rPr>
      </w:pPr>
      <w:r>
        <w:rPr>
          <w:rFonts w:cs="Times New Roman"/>
        </w:rPr>
        <w:t>（3）</w:t>
      </w:r>
      <w:r>
        <w:rPr>
          <w:rFonts w:cs="Times New Roman"/>
          <w:szCs w:val="24"/>
        </w:rPr>
        <w:t>污水处理站</w:t>
      </w:r>
    </w:p>
    <w:p w14:paraId="0394816B">
      <w:pPr>
        <w:pStyle w:val="281"/>
        <w:ind w:firstLine="480"/>
        <w:rPr>
          <w:rFonts w:cs="Times New Roman"/>
          <w:szCs w:val="24"/>
        </w:rPr>
      </w:pPr>
      <w:r>
        <w:rPr>
          <w:rFonts w:cs="Times New Roman"/>
          <w:szCs w:val="24"/>
        </w:rPr>
        <w:t>污水处理站主要固废为生化污泥（S</w:t>
      </w:r>
      <w:r>
        <w:rPr>
          <w:rFonts w:hint="eastAsia" w:cs="Times New Roman"/>
          <w:szCs w:val="24"/>
          <w:vertAlign w:val="subscript"/>
        </w:rPr>
        <w:t>8-8</w:t>
      </w:r>
      <w:r>
        <w:rPr>
          <w:rFonts w:cs="Times New Roman"/>
          <w:szCs w:val="24"/>
        </w:rPr>
        <w:t>）。生化污泥产生量类比同类项目；生化污泥属于一般固废，送一般固废填埋场填埋处理。</w:t>
      </w:r>
    </w:p>
    <w:p w14:paraId="7335A927">
      <w:pPr>
        <w:pStyle w:val="281"/>
        <w:ind w:firstLine="480"/>
        <w:rPr>
          <w:rFonts w:cs="Times New Roman"/>
        </w:rPr>
      </w:pPr>
      <w:r>
        <w:rPr>
          <w:rFonts w:cs="Times New Roman"/>
          <w:szCs w:val="24"/>
        </w:rPr>
        <w:t>（4）</w:t>
      </w:r>
      <w:r>
        <w:rPr>
          <w:rFonts w:cs="Times New Roman"/>
        </w:rPr>
        <w:t>空分站</w:t>
      </w:r>
    </w:p>
    <w:p w14:paraId="6CA741B7">
      <w:pPr>
        <w:overflowPunct w:val="0"/>
        <w:spacing w:line="360" w:lineRule="auto"/>
        <w:ind w:firstLine="480" w:firstLineChars="200"/>
        <w:rPr>
          <w:rFonts w:ascii="Times New Roman" w:hAnsi="Times New Roman" w:cs="Times New Roman"/>
        </w:rPr>
      </w:pPr>
      <w:r>
        <w:rPr>
          <w:rFonts w:ascii="Times New Roman" w:hAnsi="Times New Roman" w:cs="Times New Roman"/>
        </w:rPr>
        <w:t>空分装置主要固体废物为废分子筛（S</w:t>
      </w:r>
      <w:r>
        <w:rPr>
          <w:rFonts w:hint="eastAsia" w:ascii="Times New Roman" w:hAnsi="Times New Roman" w:cs="Times New Roman"/>
          <w:vertAlign w:val="subscript"/>
        </w:rPr>
        <w:t>8-9</w:t>
      </w:r>
      <w:r>
        <w:rPr>
          <w:rFonts w:ascii="Times New Roman" w:hAnsi="Times New Roman" w:cs="Times New Roman"/>
        </w:rPr>
        <w:t>）、废空分氧化铝（S</w:t>
      </w:r>
      <w:r>
        <w:rPr>
          <w:rFonts w:hint="eastAsia" w:ascii="Times New Roman" w:hAnsi="Times New Roman" w:cs="Times New Roman"/>
          <w:vertAlign w:val="subscript"/>
        </w:rPr>
        <w:t>8-10</w:t>
      </w:r>
      <w:r>
        <w:rPr>
          <w:rFonts w:ascii="Times New Roman" w:hAnsi="Times New Roman" w:cs="Times New Roman"/>
        </w:rPr>
        <w:t>），吸附剂主要作用为净化空气，吸附空气中的SO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O、N</w:t>
      </w:r>
      <w:r>
        <w:rPr>
          <w:rFonts w:ascii="Times New Roman" w:hAnsi="Times New Roman" w:cs="Times New Roman"/>
          <w:vertAlign w:val="subscript"/>
        </w:rPr>
        <w:t>2</w:t>
      </w:r>
      <w:r>
        <w:rPr>
          <w:rFonts w:ascii="Times New Roman" w:hAnsi="Times New Roman" w:cs="Times New Roman"/>
        </w:rPr>
        <w:t>和CO</w:t>
      </w:r>
      <w:r>
        <w:rPr>
          <w:rFonts w:ascii="Times New Roman" w:hAnsi="Times New Roman" w:cs="Times New Roman"/>
          <w:vertAlign w:val="subscript"/>
        </w:rPr>
        <w:t>2</w:t>
      </w:r>
      <w:r>
        <w:rPr>
          <w:rFonts w:ascii="Times New Roman" w:hAnsi="Times New Roman" w:cs="Times New Roman"/>
        </w:rPr>
        <w:t>等，不含有毒性和危险性物质，故为一般固废。</w:t>
      </w:r>
    </w:p>
    <w:p w14:paraId="6790EFC1">
      <w:pPr>
        <w:pStyle w:val="281"/>
        <w:ind w:firstLine="480" w:firstLineChars="0"/>
        <w:rPr>
          <w:rFonts w:cs="Times New Roman"/>
          <w:szCs w:val="24"/>
        </w:rPr>
      </w:pPr>
      <w:r>
        <w:rPr>
          <w:rFonts w:cs="Times New Roman"/>
          <w:szCs w:val="24"/>
        </w:rPr>
        <w:t>（5）动力站</w:t>
      </w:r>
    </w:p>
    <w:p w14:paraId="3E4ABD11">
      <w:pPr>
        <w:pStyle w:val="626"/>
        <w:ind w:firstLine="480"/>
        <w:rPr>
          <w:rFonts w:ascii="Times New Roman" w:hAnsi="Times New Roman" w:eastAsia="宋体" w:cs="Times New Roman"/>
          <w:szCs w:val="24"/>
        </w:rPr>
      </w:pPr>
      <w:r>
        <w:rPr>
          <w:rFonts w:ascii="Times New Roman" w:hAnsi="Times New Roman" w:eastAsia="宋体" w:cs="Times New Roman"/>
          <w:szCs w:val="24"/>
        </w:rPr>
        <w:t>锅炉系统的固废主要</w:t>
      </w:r>
      <w:r>
        <w:rPr>
          <w:rFonts w:hint="eastAsia" w:ascii="Times New Roman" w:hAnsi="Times New Roman" w:eastAsia="宋体" w:cs="Times New Roman"/>
          <w:szCs w:val="24"/>
        </w:rPr>
        <w:t>为</w:t>
      </w:r>
      <w:r>
        <w:rPr>
          <w:rFonts w:ascii="Times New Roman" w:hAnsi="Times New Roman" w:eastAsia="宋体" w:cs="Times New Roman"/>
          <w:szCs w:val="24"/>
        </w:rPr>
        <w:t>废脱硝催化剂（S</w:t>
      </w:r>
      <w:r>
        <w:rPr>
          <w:rFonts w:hint="eastAsia" w:ascii="Times New Roman" w:hAnsi="Times New Roman" w:eastAsia="宋体" w:cs="Times New Roman"/>
          <w:szCs w:val="24"/>
          <w:vertAlign w:val="subscript"/>
        </w:rPr>
        <w:t>8-11</w:t>
      </w:r>
      <w:r>
        <w:rPr>
          <w:rFonts w:ascii="Times New Roman" w:hAnsi="Times New Roman" w:eastAsia="宋体" w:cs="Times New Roman"/>
          <w:szCs w:val="24"/>
        </w:rPr>
        <w:t>）。</w:t>
      </w:r>
    </w:p>
    <w:p w14:paraId="54441BFA">
      <w:pPr>
        <w:pStyle w:val="281"/>
        <w:ind w:firstLine="480"/>
        <w:rPr>
          <w:rFonts w:cs="Times New Roman"/>
        </w:rPr>
      </w:pPr>
      <w:r>
        <w:rPr>
          <w:rFonts w:cs="Times New Roman"/>
        </w:rPr>
        <w:t>根据设计，锅炉废脱硝催化剂产生量为210m</w:t>
      </w:r>
      <w:r>
        <w:rPr>
          <w:rFonts w:cs="Times New Roman"/>
          <w:vertAlign w:val="superscript"/>
        </w:rPr>
        <w:t>3</w:t>
      </w:r>
      <w:r>
        <w:rPr>
          <w:rFonts w:cs="Times New Roman"/>
        </w:rPr>
        <w:t>/3a，为危险废物。</w:t>
      </w:r>
    </w:p>
    <w:p w14:paraId="53F227C0">
      <w:pPr>
        <w:pStyle w:val="281"/>
        <w:ind w:firstLine="480"/>
        <w:rPr>
          <w:rFonts w:cs="Times New Roman"/>
        </w:rPr>
      </w:pPr>
      <w:bookmarkStart w:id="205" w:name="_Hlk150650331"/>
      <w:r>
        <w:rPr>
          <w:rFonts w:cs="Times New Roman"/>
        </w:rPr>
        <w:t>（7）220kV变电所</w:t>
      </w:r>
    </w:p>
    <w:p w14:paraId="0BEBDA1A">
      <w:pPr>
        <w:pStyle w:val="281"/>
        <w:ind w:firstLine="480"/>
        <w:rPr>
          <w:rFonts w:cs="Times New Roman"/>
        </w:rPr>
      </w:pPr>
      <w:r>
        <w:rPr>
          <w:rFonts w:cs="Times New Roman"/>
        </w:rPr>
        <w:t>项目建设一座220kV变电所，变电所产生的固废主要包括事故废油（S</w:t>
      </w:r>
      <w:r>
        <w:rPr>
          <w:rFonts w:hint="eastAsia" w:cs="Times New Roman"/>
          <w:vertAlign w:val="subscript"/>
        </w:rPr>
        <w:t>8-</w:t>
      </w:r>
      <w:r>
        <w:rPr>
          <w:rFonts w:cs="Times New Roman"/>
          <w:vertAlign w:val="subscript"/>
        </w:rPr>
        <w:t>1</w:t>
      </w:r>
      <w:r>
        <w:rPr>
          <w:rFonts w:hint="eastAsia" w:cs="Times New Roman"/>
          <w:vertAlign w:val="subscript"/>
        </w:rPr>
        <w:t>2</w:t>
      </w:r>
      <w:r>
        <w:rPr>
          <w:rFonts w:cs="Times New Roman"/>
        </w:rPr>
        <w:t>）、</w:t>
      </w:r>
      <w:r>
        <w:rPr>
          <w:rFonts w:hint="eastAsia" w:cs="Times New Roman"/>
        </w:rPr>
        <w:t>废铅酸蓄电池</w:t>
      </w:r>
      <w:r>
        <w:rPr>
          <w:rFonts w:cs="Times New Roman"/>
        </w:rPr>
        <w:t>（S</w:t>
      </w:r>
      <w:r>
        <w:rPr>
          <w:rFonts w:hint="eastAsia" w:cs="Times New Roman"/>
          <w:vertAlign w:val="subscript"/>
        </w:rPr>
        <w:t>8-</w:t>
      </w:r>
      <w:r>
        <w:rPr>
          <w:rFonts w:cs="Times New Roman"/>
          <w:vertAlign w:val="subscript"/>
        </w:rPr>
        <w:t>1</w:t>
      </w:r>
      <w:r>
        <w:rPr>
          <w:rFonts w:hint="eastAsia" w:cs="Times New Roman"/>
          <w:vertAlign w:val="subscript"/>
        </w:rPr>
        <w:t>3</w:t>
      </w:r>
      <w:r>
        <w:rPr>
          <w:rFonts w:cs="Times New Roman"/>
        </w:rPr>
        <w:t>）；</w:t>
      </w:r>
    </w:p>
    <w:p w14:paraId="721AD9C1">
      <w:pPr>
        <w:overflowPunct w:val="0"/>
        <w:spacing w:line="360" w:lineRule="auto"/>
        <w:ind w:firstLine="480" w:firstLineChars="200"/>
        <w:rPr>
          <w:rFonts w:ascii="Times New Roman" w:hAnsi="Times New Roman" w:cs="Times New Roman"/>
        </w:rPr>
      </w:pPr>
      <w:r>
        <w:rPr>
          <w:rFonts w:ascii="Times New Roman" w:hAnsi="Times New Roman" w:cs="Times New Roman"/>
        </w:rPr>
        <w:t>变电站内的变压器、电抗器等设备，为了绝缘和冷却的需要，在变压器外壳内装有大量的变压器油，一般只有检修及事故情况下才会产生油污染。在变电站内设计有变压器事故贮油池1座，可使变压器在发生事故时，壳体内的油排入事故贮油池，防止变压器油随意乱排造成对环境的污染；事故废油产生量为35m</w:t>
      </w:r>
      <w:r>
        <w:rPr>
          <w:rFonts w:ascii="Times New Roman" w:hAnsi="Times New Roman" w:cs="Times New Roman"/>
          <w:vertAlign w:val="superscript"/>
        </w:rPr>
        <w:t>3</w:t>
      </w:r>
      <w:r>
        <w:rPr>
          <w:rFonts w:ascii="Times New Roman" w:hAnsi="Times New Roman" w:cs="Times New Roman"/>
        </w:rPr>
        <w:t>/a；</w:t>
      </w:r>
    </w:p>
    <w:p w14:paraId="0B20B7CE">
      <w:pPr>
        <w:overflowPunct w:val="0"/>
        <w:spacing w:line="360" w:lineRule="auto"/>
        <w:ind w:firstLine="480" w:firstLineChars="200"/>
        <w:rPr>
          <w:rFonts w:ascii="Times New Roman" w:hAnsi="Times New Roman" w:cs="Times New Roman"/>
        </w:rPr>
      </w:pPr>
      <w:r>
        <w:rPr>
          <w:rFonts w:ascii="Times New Roman" w:hAnsi="Times New Roman" w:cs="Times New Roman"/>
        </w:rPr>
        <w:t>220kV变电站采用免维护蓄电池，变电站运行和检修时，无酸性废水排放，但是会产生废蓄电池。建设项目配2组蓄电池，每组52个。铅酸蓄电池单体重13.8kg，设计使用寿命10年，废旧铅蓄电池每10年产生量约1.44t。</w:t>
      </w:r>
    </w:p>
    <w:bookmarkEnd w:id="205"/>
    <w:p w14:paraId="01380287">
      <w:pPr>
        <w:overflowPunct w:val="0"/>
        <w:spacing w:line="360" w:lineRule="auto"/>
        <w:ind w:firstLine="48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8</w:t>
      </w:r>
      <w:r>
        <w:rPr>
          <w:rFonts w:ascii="Times New Roman" w:hAnsi="Times New Roman" w:cs="Times New Roman"/>
        </w:rPr>
        <w:t>）生活区</w:t>
      </w:r>
    </w:p>
    <w:p w14:paraId="5CC59A5B">
      <w:pPr>
        <w:pStyle w:val="281"/>
        <w:ind w:firstLine="480"/>
        <w:rPr>
          <w:rFonts w:cs="Times New Roman"/>
        </w:rPr>
      </w:pPr>
      <w:r>
        <w:rPr>
          <w:rFonts w:cs="Times New Roman"/>
        </w:rPr>
        <w:t>办公生活区主要固废为生活垃圾</w:t>
      </w:r>
      <w:r>
        <w:rPr>
          <w:rFonts w:cs="Times New Roman"/>
          <w:szCs w:val="24"/>
        </w:rPr>
        <w:t>（</w:t>
      </w:r>
      <w:r>
        <w:rPr>
          <w:rFonts w:cs="Times New Roman"/>
        </w:rPr>
        <w:t>S</w:t>
      </w:r>
      <w:r>
        <w:rPr>
          <w:rFonts w:hint="eastAsia" w:cs="Times New Roman"/>
          <w:szCs w:val="24"/>
          <w:vertAlign w:val="subscript"/>
        </w:rPr>
        <w:t>8-14</w:t>
      </w:r>
      <w:r>
        <w:rPr>
          <w:rFonts w:cs="Times New Roman"/>
        </w:rPr>
        <w:t>）。</w:t>
      </w:r>
    </w:p>
    <w:p w14:paraId="23BF806F">
      <w:pPr>
        <w:pStyle w:val="281"/>
        <w:ind w:firstLine="480"/>
        <w:rPr>
          <w:rFonts w:cs="Times New Roman"/>
        </w:rPr>
      </w:pPr>
      <w:r>
        <w:rPr>
          <w:rFonts w:cs="Times New Roman"/>
        </w:rPr>
        <w:t>本项目劳动定员</w:t>
      </w:r>
      <w:r>
        <w:rPr>
          <w:rFonts w:hint="eastAsia" w:cs="Times New Roman"/>
        </w:rPr>
        <w:t>512</w:t>
      </w:r>
      <w:r>
        <w:rPr>
          <w:rFonts w:cs="Times New Roman"/>
        </w:rPr>
        <w:t>人，按照0.5kg/人·d计算，生活垃圾产生量约</w:t>
      </w:r>
      <w:r>
        <w:rPr>
          <w:rFonts w:hint="eastAsia" w:cs="Times New Roman"/>
        </w:rPr>
        <w:t>93.44</w:t>
      </w:r>
      <w:r>
        <w:rPr>
          <w:rFonts w:cs="Times New Roman"/>
        </w:rPr>
        <w:t>t/a，由园区环卫部门统一清运处置。</w:t>
      </w:r>
    </w:p>
    <w:p w14:paraId="04AEEC6F">
      <w:pPr>
        <w:overflowPunct w:val="0"/>
        <w:spacing w:line="360" w:lineRule="auto"/>
        <w:ind w:firstLine="480" w:firstLineChars="200"/>
        <w:rPr>
          <w:rFonts w:ascii="Times New Roman" w:hAnsi="Times New Roman" w:cs="Times New Roman"/>
        </w:rPr>
      </w:pPr>
      <w:r>
        <w:rPr>
          <w:rFonts w:hint="eastAsia" w:ascii="Times New Roman" w:hAnsi="Times New Roman" w:cs="Times New Roman"/>
        </w:rPr>
        <w:t>（9）高浓盐水处理及蒸发结晶</w:t>
      </w:r>
    </w:p>
    <w:p w14:paraId="45B10417">
      <w:pPr>
        <w:overflowPunct w:val="0"/>
        <w:spacing w:line="360" w:lineRule="auto"/>
        <w:ind w:firstLine="480" w:firstLineChars="200"/>
        <w:rPr>
          <w:rFonts w:ascii="Times New Roman" w:hAnsi="Times New Roman" w:cs="Times New Roman"/>
        </w:rPr>
      </w:pPr>
      <w:r>
        <w:rPr>
          <w:rFonts w:hint="eastAsia" w:ascii="Times New Roman" w:hAnsi="Times New Roman" w:cs="Times New Roman"/>
        </w:rPr>
        <w:t>高浓盐水及蒸发结晶系统主要固废为杂盐（S</w:t>
      </w:r>
      <w:r>
        <w:rPr>
          <w:rFonts w:hint="eastAsia" w:ascii="Times New Roman" w:hAnsi="Times New Roman" w:cs="Times New Roman"/>
          <w:vertAlign w:val="subscript"/>
        </w:rPr>
        <w:t>8-15</w:t>
      </w:r>
      <w:r>
        <w:rPr>
          <w:rFonts w:hint="eastAsia" w:ascii="Times New Roman" w:hAnsi="Times New Roman" w:cs="Times New Roman"/>
        </w:rPr>
        <w:t>）。</w:t>
      </w:r>
    </w:p>
    <w:p w14:paraId="32F6AED0">
      <w:pPr>
        <w:overflowPunct w:val="0"/>
        <w:spacing w:line="360" w:lineRule="auto"/>
        <w:ind w:firstLine="480" w:firstLineChars="200"/>
        <w:rPr>
          <w:rFonts w:ascii="Times New Roman" w:hAnsi="Times New Roman" w:cs="Times New Roman"/>
        </w:rPr>
      </w:pPr>
      <w:r>
        <w:rPr>
          <w:rFonts w:hint="eastAsia" w:ascii="Times New Roman" w:hAnsi="Times New Roman" w:cs="Times New Roman"/>
        </w:rPr>
        <w:t>根据设计，本项目氯化钠蒸发结晶系统进水TDS含量为65000mg/L，水量为3.15t/h，氯化钠产生量为0.2t/h；硫酸钠蒸发结晶系统进水TDS含量约为85000mg/L，水量约为0.63t/h，其中硫酸钠产生量为0.05t/h，杂盐含量为0.03t/h。</w:t>
      </w:r>
    </w:p>
    <w:p w14:paraId="3C9D2DD7">
      <w:pPr>
        <w:overflowPunct w:val="0"/>
        <w:spacing w:line="360" w:lineRule="auto"/>
        <w:ind w:firstLine="480" w:firstLineChars="200"/>
        <w:rPr>
          <w:rFonts w:hint="eastAsia" w:cs="Times New Roman"/>
        </w:rPr>
      </w:pPr>
      <w:r>
        <w:rPr>
          <w:rFonts w:cs="Times New Roman"/>
        </w:rPr>
        <w:t>综上，公用及辅助工程固体废物产排情况</w:t>
      </w:r>
      <w:r>
        <w:rPr>
          <w:rFonts w:ascii="Times New Roman" w:hAnsi="Times New Roman" w:cs="Times New Roman"/>
        </w:rPr>
        <w:t>见表3.3.9-8。</w:t>
      </w:r>
      <w:bookmarkEnd w:id="204"/>
    </w:p>
    <w:p w14:paraId="74F4677F">
      <w:pPr>
        <w:pStyle w:val="541"/>
        <w:rPr>
          <w:rFonts w:hint="eastAsia"/>
        </w:rPr>
      </w:pPr>
      <w:r>
        <w:t>表</w:t>
      </w:r>
      <w:r>
        <w:rPr>
          <w:rFonts w:hint="eastAsia"/>
        </w:rPr>
        <w:t>3.3</w:t>
      </w:r>
      <w:r>
        <w:t>.</w:t>
      </w:r>
      <w:r>
        <w:rPr>
          <w:rFonts w:hint="eastAsia"/>
        </w:rPr>
        <w:t>9-8    公用</w:t>
      </w:r>
      <w:r>
        <w:t>及辅助</w:t>
      </w:r>
      <w:r>
        <w:rPr>
          <w:rFonts w:hint="eastAsia"/>
        </w:rPr>
        <w:t>工程固体废物排放表</w:t>
      </w:r>
    </w:p>
    <w:bookmarkEnd w:id="197"/>
    <w:p w14:paraId="5F335D89">
      <w:pPr>
        <w:pStyle w:val="3"/>
        <w:rPr>
          <w:rFonts w:hint="eastAsia"/>
        </w:rPr>
      </w:pPr>
      <w:bookmarkStart w:id="206" w:name="_Toc182475481"/>
      <w:bookmarkStart w:id="207" w:name="_Toc9803"/>
      <w:r>
        <w:rPr>
          <w:rFonts w:hint="eastAsia"/>
        </w:rPr>
        <w:t>储运工程（编号09）</w:t>
      </w:r>
      <w:bookmarkEnd w:id="206"/>
      <w:bookmarkEnd w:id="207"/>
    </w:p>
    <w:p w14:paraId="509827E9">
      <w:pPr>
        <w:pStyle w:val="281"/>
        <w:ind w:firstLine="480"/>
      </w:pPr>
      <w:r>
        <w:rPr>
          <w:rFonts w:hint="eastAsia"/>
        </w:rPr>
        <w:t>本项目储运工程包括固体原料储运，全厂罐区和装卸站等。</w:t>
      </w:r>
    </w:p>
    <w:p w14:paraId="783FF8FF">
      <w:pPr>
        <w:pStyle w:val="97"/>
        <w:rPr>
          <w:rFonts w:hint="eastAsia"/>
        </w:rPr>
      </w:pPr>
      <w:bookmarkStart w:id="208" w:name="_Hlk177032513"/>
      <w:r>
        <w:rPr>
          <w:rFonts w:hint="eastAsia"/>
        </w:rPr>
        <w:t>固体原料</w:t>
      </w:r>
    </w:p>
    <w:p w14:paraId="4940494B">
      <w:pPr>
        <w:pStyle w:val="98"/>
        <w:rPr>
          <w:rFonts w:hint="eastAsia"/>
        </w:rPr>
      </w:pPr>
      <w:r>
        <w:rPr>
          <w:rFonts w:hint="eastAsia"/>
        </w:rPr>
        <w:t>原煤储运</w:t>
      </w:r>
    </w:p>
    <w:p w14:paraId="4248A96C">
      <w:pPr>
        <w:pStyle w:val="281"/>
        <w:ind w:firstLine="480"/>
        <w:rPr>
          <w:rFonts w:cs="Times New Roman"/>
          <w:szCs w:val="24"/>
        </w:rPr>
      </w:pPr>
      <w:r>
        <w:rPr>
          <w:rFonts w:cs="Times New Roman"/>
          <w:szCs w:val="24"/>
        </w:rPr>
        <w:t>本项目原料煤用量均为</w:t>
      </w:r>
      <w:r>
        <w:rPr>
          <w:rFonts w:hint="eastAsia" w:cs="Times New Roman"/>
          <w:szCs w:val="24"/>
        </w:rPr>
        <w:t>44.92</w:t>
      </w:r>
      <w:r>
        <w:rPr>
          <w:rFonts w:cs="Times New Roman"/>
          <w:szCs w:val="24"/>
        </w:rPr>
        <w:t>万吨/年，</w:t>
      </w:r>
      <w:r>
        <w:rPr>
          <w:rFonts w:hint="eastAsia" w:cs="Times New Roman"/>
          <w:szCs w:val="24"/>
        </w:rPr>
        <w:t>来自新疆维吾尔自治区哈密市</w:t>
      </w:r>
      <w:r>
        <w:rPr>
          <w:rFonts w:cs="Times New Roman"/>
          <w:spacing w:val="8"/>
          <w:szCs w:val="24"/>
        </w:rPr>
        <w:t>，通过汽车直接送到厂内。</w:t>
      </w:r>
    </w:p>
    <w:bookmarkEnd w:id="208"/>
    <w:p w14:paraId="789872A4">
      <w:pPr>
        <w:spacing w:line="360" w:lineRule="auto"/>
        <w:ind w:firstLine="480" w:firstLineChars="200"/>
        <w:rPr>
          <w:rFonts w:ascii="Times New Roman" w:hAnsi="Times New Roman" w:cs="Times New Roman"/>
        </w:rPr>
      </w:pPr>
      <w:r>
        <w:rPr>
          <w:rFonts w:ascii="Times New Roman" w:hAnsi="Times New Roman" w:cs="Times New Roman"/>
        </w:rPr>
        <w:t>本项目所用原料煤通过公路运输到厂</w:t>
      </w:r>
      <w:r>
        <w:rPr>
          <w:rFonts w:hint="eastAsia" w:ascii="Times New Roman" w:hAnsi="Times New Roman" w:cs="Times New Roman"/>
        </w:rPr>
        <w:t>，</w:t>
      </w:r>
      <w:r>
        <w:rPr>
          <w:rFonts w:ascii="Times New Roman" w:hAnsi="Times New Roman" w:cs="Times New Roman"/>
        </w:rPr>
        <w:t>气化装置每天消耗原料煤2000t。本项目设置1个</w:t>
      </w:r>
      <w:r>
        <w:rPr>
          <w:rFonts w:hint="eastAsia" w:ascii="Times New Roman" w:hAnsi="Times New Roman" w:cs="Times New Roman"/>
        </w:rPr>
        <w:t>封闭式</w:t>
      </w:r>
      <w:r>
        <w:rPr>
          <w:rFonts w:ascii="Times New Roman" w:hAnsi="Times New Roman" w:cs="Times New Roman"/>
        </w:rPr>
        <w:t>煤棚，长96m宽48m，原料煤堆高5m，煤棚约可储存原料煤14000t，约可满足气化装置7天用量。</w:t>
      </w:r>
    </w:p>
    <w:p w14:paraId="0B72F8B0">
      <w:pPr>
        <w:spacing w:line="360" w:lineRule="auto"/>
        <w:ind w:firstLine="480" w:firstLineChars="200"/>
        <w:rPr>
          <w:rFonts w:ascii="Times New Roman" w:hAnsi="Times New Roman" w:cs="Times New Roman"/>
        </w:rPr>
      </w:pPr>
      <w:r>
        <w:rPr>
          <w:rFonts w:ascii="Times New Roman" w:hAnsi="Times New Roman" w:cs="Times New Roman"/>
        </w:rPr>
        <w:t>本项目每天卸车时间8h，每小时卸车250t可满足本项目用煤要求。车辆运输到厂后，通过车辆自卸或轮式装载机辅助卸车，桥式抓斗起重机辅助堆高。</w:t>
      </w:r>
    </w:p>
    <w:p w14:paraId="54BB3C32">
      <w:pPr>
        <w:spacing w:line="360" w:lineRule="auto"/>
        <w:ind w:firstLine="480" w:firstLineChars="200"/>
        <w:rPr>
          <w:rFonts w:ascii="Times New Roman" w:hAnsi="Times New Roman" w:cs="Times New Roman"/>
        </w:rPr>
      </w:pPr>
      <w:r>
        <w:rPr>
          <w:rFonts w:ascii="Times New Roman" w:hAnsi="Times New Roman" w:cs="Times New Roman"/>
        </w:rPr>
        <w:t>气化备煤带式输送机系统双路布置，1开1备，系统能力135t/h。</w:t>
      </w:r>
    </w:p>
    <w:p w14:paraId="2E013636">
      <w:pPr>
        <w:pStyle w:val="281"/>
        <w:ind w:firstLine="480"/>
        <w:rPr>
          <w:rFonts w:hint="eastAsia" w:ascii="宋体" w:hAnsi="宋体" w:cs="Times New Roman"/>
        </w:rPr>
      </w:pPr>
      <w:r>
        <w:rPr>
          <w:rFonts w:cs="Times New Roman"/>
          <w:szCs w:val="24"/>
        </w:rPr>
        <w:t>气化备煤系统设置筛分破碎厂房，原料煤破碎至粒径≤10mm后，通过带式输送机送至磨煤制粉顶部缓冲料仓。</w:t>
      </w:r>
    </w:p>
    <w:p w14:paraId="7F898C9B">
      <w:pPr>
        <w:pStyle w:val="98"/>
        <w:rPr>
          <w:rFonts w:hint="eastAsia"/>
        </w:rPr>
      </w:pPr>
      <w:r>
        <w:rPr>
          <w:rFonts w:hint="eastAsia"/>
        </w:rPr>
        <w:t>备煤流程</w:t>
      </w:r>
    </w:p>
    <w:p w14:paraId="5AE41217">
      <w:pPr>
        <w:spacing w:line="360" w:lineRule="auto"/>
        <w:ind w:firstLine="480" w:firstLineChars="200"/>
        <w:rPr>
          <w:rFonts w:ascii="Times New Roman" w:hAnsi="Times New Roman" w:cs="Times New Roman"/>
        </w:rPr>
      </w:pPr>
      <w:r>
        <w:rPr>
          <w:rFonts w:ascii="Times New Roman" w:hAnsi="Times New Roman" w:cs="Times New Roman"/>
        </w:rPr>
        <w:t>原料煤通过汽车运输到厂送至煤棚，通过车辆自卸或轮式装载机辅助卸至煤棚中暂存。煤棚中设置</w:t>
      </w:r>
      <w:r>
        <w:rPr>
          <w:rFonts w:hint="eastAsia" w:ascii="Times New Roman" w:hAnsi="Times New Roman" w:cs="Times New Roman"/>
        </w:rPr>
        <w:t>4个地下受煤坑，原料煤</w:t>
      </w:r>
      <w:r>
        <w:rPr>
          <w:rFonts w:ascii="Times New Roman" w:hAnsi="Times New Roman" w:cs="Times New Roman"/>
        </w:rPr>
        <w:t>通过轮式装载机或桥式抓斗起重机送至</w:t>
      </w:r>
      <w:r>
        <w:rPr>
          <w:rFonts w:hint="eastAsia" w:ascii="Times New Roman" w:hAnsi="Times New Roman" w:cs="Times New Roman"/>
        </w:rPr>
        <w:t>受煤坑</w:t>
      </w:r>
      <w:r>
        <w:rPr>
          <w:rFonts w:ascii="Times New Roman" w:hAnsi="Times New Roman" w:cs="Times New Roman"/>
        </w:rPr>
        <w:t>。安装在受煤坑下的往复式给煤机将原料煤通过</w:t>
      </w:r>
      <w:r>
        <w:rPr>
          <w:rFonts w:hint="eastAsia" w:ascii="Times New Roman" w:hAnsi="Times New Roman" w:cs="Times New Roman"/>
        </w:rPr>
        <w:t>备1AB带式输送机和备</w:t>
      </w:r>
      <w:r>
        <w:rPr>
          <w:rFonts w:ascii="Times New Roman" w:hAnsi="Times New Roman" w:cs="Times New Roman"/>
        </w:rPr>
        <w:t>2</w:t>
      </w:r>
      <w:r>
        <w:rPr>
          <w:rFonts w:hint="eastAsia" w:ascii="Times New Roman" w:hAnsi="Times New Roman" w:cs="Times New Roman"/>
        </w:rPr>
        <w:t>AB带式输送机</w:t>
      </w:r>
      <w:r>
        <w:rPr>
          <w:rFonts w:ascii="Times New Roman" w:hAnsi="Times New Roman" w:cs="Times New Roman"/>
        </w:rPr>
        <w:t>送至筛分破碎厂房</w:t>
      </w:r>
      <w:r>
        <w:rPr>
          <w:rFonts w:hint="eastAsia" w:ascii="Times New Roman" w:hAnsi="Times New Roman" w:cs="Times New Roman"/>
        </w:rPr>
        <w:t>筛分破碎一体机破碎至粒径</w:t>
      </w:r>
      <w:r>
        <w:rPr>
          <w:rFonts w:ascii="Times New Roman" w:hAnsi="Times New Roman" w:cs="Times New Roman"/>
        </w:rPr>
        <w:t>≤10mm后，通过</w:t>
      </w:r>
      <w:r>
        <w:rPr>
          <w:rFonts w:hint="eastAsia" w:ascii="Times New Roman" w:hAnsi="Times New Roman" w:cs="Times New Roman"/>
        </w:rPr>
        <w:t>备</w:t>
      </w:r>
      <w:r>
        <w:rPr>
          <w:rFonts w:ascii="Times New Roman" w:hAnsi="Times New Roman" w:cs="Times New Roman"/>
        </w:rPr>
        <w:t>3</w:t>
      </w:r>
      <w:r>
        <w:rPr>
          <w:rFonts w:hint="eastAsia" w:ascii="Times New Roman" w:hAnsi="Times New Roman" w:cs="Times New Roman"/>
        </w:rPr>
        <w:t>AB带式输送机和备</w:t>
      </w:r>
      <w:r>
        <w:rPr>
          <w:rFonts w:ascii="Times New Roman" w:hAnsi="Times New Roman" w:cs="Times New Roman"/>
        </w:rPr>
        <w:t>4</w:t>
      </w:r>
      <w:r>
        <w:rPr>
          <w:rFonts w:hint="eastAsia" w:ascii="Times New Roman" w:hAnsi="Times New Roman" w:cs="Times New Roman"/>
        </w:rPr>
        <w:t>AB带式输送机送至</w:t>
      </w:r>
      <w:r>
        <w:rPr>
          <w:rFonts w:ascii="Times New Roman" w:hAnsi="Times New Roman" w:cs="Times New Roman"/>
        </w:rPr>
        <w:t>磨煤制粉顶部缓冲料仓。</w:t>
      </w:r>
    </w:p>
    <w:p w14:paraId="7A96D8E3">
      <w:pPr>
        <w:spacing w:line="360" w:lineRule="auto"/>
        <w:ind w:firstLine="480" w:firstLineChars="200"/>
        <w:rPr>
          <w:rFonts w:ascii="Times New Roman" w:hAnsi="Times New Roman" w:cs="Times New Roman"/>
        </w:rPr>
      </w:pPr>
      <w:r>
        <w:rPr>
          <w:rFonts w:hint="eastAsia" w:ascii="Times New Roman" w:hAnsi="Times New Roman" w:cs="Times New Roman"/>
        </w:rPr>
        <w:t>备1AB带式输送机和备</w:t>
      </w:r>
      <w:r>
        <w:rPr>
          <w:rFonts w:ascii="Times New Roman" w:hAnsi="Times New Roman" w:cs="Times New Roman"/>
        </w:rPr>
        <w:t>3</w:t>
      </w:r>
      <w:r>
        <w:rPr>
          <w:rFonts w:hint="eastAsia" w:ascii="Times New Roman" w:hAnsi="Times New Roman" w:cs="Times New Roman"/>
        </w:rPr>
        <w:t>AB带式输送机头部漏斗下设置电液动三通分料器，用于实现输送系统的互为备用。</w:t>
      </w:r>
    </w:p>
    <w:p w14:paraId="080B892F">
      <w:pPr>
        <w:spacing w:line="360" w:lineRule="auto"/>
        <w:ind w:firstLine="480" w:firstLineChars="200"/>
        <w:rPr>
          <w:rFonts w:ascii="Times New Roman" w:hAnsi="Times New Roman" w:cs="Times New Roman"/>
        </w:rPr>
      </w:pPr>
      <w:r>
        <w:rPr>
          <w:rFonts w:hint="eastAsia" w:ascii="Times New Roman" w:hAnsi="Times New Roman" w:cs="Times New Roman"/>
        </w:rPr>
        <w:t>备1AB带式输送机中部设置电器除铁器，用于去除原料煤中的有色金属。</w:t>
      </w:r>
    </w:p>
    <w:p w14:paraId="3D9A8859">
      <w:pPr>
        <w:spacing w:line="360" w:lineRule="auto"/>
        <w:ind w:firstLine="480" w:firstLineChars="200"/>
        <w:rPr>
          <w:rFonts w:ascii="Times New Roman" w:hAnsi="Times New Roman" w:cs="Times New Roman"/>
        </w:rPr>
      </w:pPr>
      <w:r>
        <w:rPr>
          <w:rFonts w:hint="eastAsia" w:ascii="Times New Roman" w:hAnsi="Times New Roman" w:cs="Times New Roman"/>
        </w:rPr>
        <w:t>备</w:t>
      </w:r>
      <w:r>
        <w:rPr>
          <w:rFonts w:ascii="Times New Roman" w:hAnsi="Times New Roman" w:cs="Times New Roman"/>
        </w:rPr>
        <w:t>4</w:t>
      </w:r>
      <w:r>
        <w:rPr>
          <w:rFonts w:hint="eastAsia" w:ascii="Times New Roman" w:hAnsi="Times New Roman" w:cs="Times New Roman"/>
        </w:rPr>
        <w:t>AB带式输送机中部设置电子皮带秤，用于计量原料煤的消耗量。</w:t>
      </w:r>
    </w:p>
    <w:p w14:paraId="6C6D819E">
      <w:pPr>
        <w:spacing w:line="360" w:lineRule="auto"/>
        <w:ind w:firstLine="480" w:firstLineChars="200"/>
        <w:rPr>
          <w:rFonts w:ascii="Times New Roman" w:hAnsi="Times New Roman" w:cs="Times New Roman"/>
        </w:rPr>
      </w:pPr>
      <w:r>
        <w:rPr>
          <w:rFonts w:hint="eastAsia" w:ascii="Times New Roman" w:hAnsi="Times New Roman" w:cs="Times New Roman"/>
        </w:rPr>
        <w:t>备</w:t>
      </w:r>
      <w:r>
        <w:rPr>
          <w:rFonts w:ascii="Times New Roman" w:hAnsi="Times New Roman" w:cs="Times New Roman"/>
        </w:rPr>
        <w:t>4</w:t>
      </w:r>
      <w:r>
        <w:rPr>
          <w:rFonts w:hint="eastAsia" w:ascii="Times New Roman" w:hAnsi="Times New Roman" w:cs="Times New Roman"/>
        </w:rPr>
        <w:t>AB带式输送机中部设置电液动双侧犁式卸料器，用于提高缓冲仓填充系数。</w:t>
      </w:r>
    </w:p>
    <w:p w14:paraId="40126895">
      <w:pPr>
        <w:spacing w:line="360" w:lineRule="auto"/>
        <w:ind w:firstLine="480" w:firstLineChars="200"/>
        <w:rPr>
          <w:rFonts w:ascii="Times New Roman" w:hAnsi="Times New Roman" w:cs="Times New Roman"/>
        </w:rPr>
      </w:pPr>
      <w:r>
        <w:rPr>
          <w:rFonts w:ascii="Times New Roman" w:hAnsi="Times New Roman" w:cs="Times New Roman"/>
        </w:rPr>
        <w:t>煤棚中设置</w:t>
      </w:r>
      <w:r>
        <w:rPr>
          <w:rFonts w:hint="eastAsia" w:ascii="Times New Roman" w:hAnsi="Times New Roman" w:cs="Times New Roman"/>
        </w:rPr>
        <w:t>3台射雾器，用于控制粉尘逸散。</w:t>
      </w:r>
    </w:p>
    <w:p w14:paraId="1D430269">
      <w:pPr>
        <w:pStyle w:val="281"/>
        <w:ind w:firstLine="480"/>
        <w:rPr>
          <w:rFonts w:hint="eastAsia" w:ascii="宋体" w:hAnsi="宋体" w:cs="Arial"/>
        </w:rPr>
      </w:pPr>
      <w:r>
        <w:rPr>
          <w:rFonts w:hint="eastAsia" w:cs="Times New Roman"/>
          <w:szCs w:val="24"/>
        </w:rPr>
        <w:t>1</w:t>
      </w:r>
      <w:r>
        <w:rPr>
          <w:rFonts w:cs="Times New Roman"/>
          <w:szCs w:val="24"/>
        </w:rPr>
        <w:t>#转运站、筛分破碎厂房、2#转运站</w:t>
      </w:r>
      <w:r>
        <w:rPr>
          <w:rFonts w:hint="eastAsia" w:cs="Times New Roman"/>
          <w:szCs w:val="24"/>
        </w:rPr>
        <w:t>屋面设有布袋除尘器，用于收集输送和筛分破碎过程中产生的粉尘。</w:t>
      </w:r>
    </w:p>
    <w:p w14:paraId="2EC0274D">
      <w:pPr>
        <w:pStyle w:val="97"/>
        <w:rPr>
          <w:rFonts w:hint="eastAsia"/>
        </w:rPr>
      </w:pPr>
      <w:r>
        <w:rPr>
          <w:rFonts w:hint="eastAsia"/>
        </w:rPr>
        <w:t>固体产品</w:t>
      </w:r>
    </w:p>
    <w:p w14:paraId="1CB06E72">
      <w:pPr>
        <w:pStyle w:val="98"/>
        <w:rPr>
          <w:rFonts w:hint="eastAsia"/>
        </w:rPr>
      </w:pPr>
      <w:r>
        <w:rPr>
          <w:rFonts w:hint="eastAsia"/>
        </w:rPr>
        <w:t>有机缓释肥、草酰胺</w:t>
      </w:r>
    </w:p>
    <w:p w14:paraId="3789CB1B">
      <w:pPr>
        <w:pStyle w:val="281"/>
        <w:ind w:firstLine="480"/>
      </w:pPr>
      <w:r>
        <w:rPr>
          <w:rFonts w:hint="eastAsia"/>
        </w:rPr>
        <w:t>设一座231</w:t>
      </w:r>
      <w:r>
        <w:t>m</w:t>
      </w:r>
      <w:r>
        <w:rPr>
          <w:rFonts w:hint="eastAsia"/>
        </w:rPr>
        <w:t>×77</w:t>
      </w:r>
      <w:r>
        <w:t>m</w:t>
      </w:r>
      <w:r>
        <w:rPr>
          <w:rFonts w:hint="eastAsia"/>
        </w:rPr>
        <w:t>的袋装产品库，占地约17787m</w:t>
      </w:r>
      <w:r>
        <w:rPr>
          <w:rFonts w:hint="eastAsia"/>
          <w:vertAlign w:val="superscript"/>
        </w:rPr>
        <w:t>2</w:t>
      </w:r>
      <w:r>
        <w:rPr>
          <w:rFonts w:hint="eastAsia"/>
        </w:rPr>
        <w:t>，总贮量可达5万吨，约工艺装置20天的产量。</w:t>
      </w:r>
    </w:p>
    <w:p w14:paraId="3C418D6C">
      <w:pPr>
        <w:pStyle w:val="281"/>
        <w:ind w:firstLine="480"/>
      </w:pPr>
      <w:r>
        <w:rPr>
          <w:rFonts w:hint="eastAsia"/>
        </w:rPr>
        <w:t>有机缓释肥、草酰胺包装贮运采用连续包装、袋装码垛贮存，然后集中装车外运的方案。</w:t>
      </w:r>
    </w:p>
    <w:p w14:paraId="39DB2E11">
      <w:pPr>
        <w:pStyle w:val="281"/>
        <w:ind w:firstLine="480"/>
        <w:rPr>
          <w:rFonts w:cs="Arial"/>
        </w:rPr>
        <w:sectPr>
          <w:pgSz w:w="11906" w:h="16838"/>
          <w:pgMar w:top="1440" w:right="1800" w:bottom="1440" w:left="1800" w:header="851" w:footer="850" w:gutter="0"/>
          <w:cols w:space="425" w:num="1"/>
          <w:docGrid w:type="lines" w:linePitch="326" w:charSpace="0"/>
        </w:sectPr>
      </w:pPr>
    </w:p>
    <w:p w14:paraId="2883271B">
      <w:pPr>
        <w:pStyle w:val="97"/>
        <w:rPr>
          <w:rFonts w:hint="eastAsia"/>
        </w:rPr>
      </w:pPr>
      <w:bookmarkStart w:id="209" w:name="_Hlk177032528"/>
      <w:r>
        <w:rPr>
          <w:rFonts w:hint="eastAsia"/>
        </w:rPr>
        <w:t>液体储存设施</w:t>
      </w:r>
    </w:p>
    <w:p w14:paraId="4A8003FC">
      <w:pPr>
        <w:pStyle w:val="98"/>
        <w:rPr>
          <w:rFonts w:hint="eastAsia"/>
        </w:rPr>
      </w:pPr>
      <w:r>
        <w:rPr>
          <w:rFonts w:hint="eastAsia"/>
        </w:rPr>
        <w:t>储罐设置</w:t>
      </w:r>
    </w:p>
    <w:p w14:paraId="2C25B7D6">
      <w:pPr>
        <w:pStyle w:val="281"/>
        <w:ind w:firstLine="480"/>
        <w:rPr>
          <w:rFonts w:cs="Times New Roman"/>
        </w:rPr>
      </w:pPr>
      <w:r>
        <w:rPr>
          <w:rFonts w:hint="eastAsia" w:cs="Times New Roman"/>
        </w:rPr>
        <w:t>本项目</w:t>
      </w:r>
      <w:r>
        <w:rPr>
          <w:rFonts w:cs="Times New Roman"/>
        </w:rPr>
        <w:t>将原料、中间产品、副产品分别储存在厂区各原料及成品罐区。分别为：</w:t>
      </w:r>
      <w:r>
        <w:rPr>
          <w:rFonts w:hint="eastAsia" w:cs="Times New Roman"/>
        </w:rPr>
        <w:t>液氨罐组</w:t>
      </w:r>
      <w:r>
        <w:rPr>
          <w:rFonts w:cs="Times New Roman"/>
        </w:rPr>
        <w:t>、</w:t>
      </w:r>
      <w:r>
        <w:rPr>
          <w:rFonts w:hint="eastAsia" w:cs="Times New Roman"/>
        </w:rPr>
        <w:t>综合罐组、中间产品罐组、亚硝酸甲酯罐组</w:t>
      </w:r>
      <w:r>
        <w:rPr>
          <w:rFonts w:cs="Times New Roman"/>
        </w:rPr>
        <w:t>。</w:t>
      </w:r>
      <w:r>
        <w:rPr>
          <w:rFonts w:hint="eastAsia"/>
          <w:szCs w:val="24"/>
        </w:rPr>
        <w:t>其中液氨罐组存储产品液氨；综合罐组包括：</w:t>
      </w:r>
      <w:r>
        <w:rPr>
          <w:rFonts w:hint="eastAsia" w:cs="Times New Roman"/>
        </w:rPr>
        <w:t>D</w:t>
      </w:r>
      <w:r>
        <w:rPr>
          <w:rFonts w:cs="Times New Roman"/>
        </w:rPr>
        <w:t>MO</w:t>
      </w:r>
      <w:r>
        <w:rPr>
          <w:rFonts w:hint="eastAsia" w:cs="Times New Roman"/>
        </w:rPr>
        <w:t>、甲醇、D</w:t>
      </w:r>
      <w:r>
        <w:rPr>
          <w:rFonts w:cs="Times New Roman"/>
        </w:rPr>
        <w:t>MC</w:t>
      </w:r>
      <w:r>
        <w:rPr>
          <w:rFonts w:hint="eastAsia" w:cs="Times New Roman"/>
        </w:rPr>
        <w:t>、甲酸甲酯、4</w:t>
      </w:r>
      <w:r>
        <w:rPr>
          <w:rFonts w:cs="Times New Roman"/>
        </w:rPr>
        <w:t>0%</w:t>
      </w:r>
      <w:r>
        <w:rPr>
          <w:rFonts w:hint="eastAsia" w:cs="Times New Roman"/>
        </w:rPr>
        <w:t>氢氧化钠、6</w:t>
      </w:r>
      <w:r>
        <w:rPr>
          <w:rFonts w:cs="Times New Roman"/>
        </w:rPr>
        <w:t>8%</w:t>
      </w:r>
      <w:r>
        <w:rPr>
          <w:rFonts w:hint="eastAsia" w:cs="Times New Roman"/>
        </w:rPr>
        <w:t>硝酸；中间产品罐组为D</w:t>
      </w:r>
      <w:r>
        <w:rPr>
          <w:rFonts w:cs="Times New Roman"/>
        </w:rPr>
        <w:t>MO</w:t>
      </w:r>
      <w:r>
        <w:rPr>
          <w:rFonts w:hint="eastAsia" w:cs="Times New Roman"/>
        </w:rPr>
        <w:t>中间产品</w:t>
      </w:r>
      <w:r>
        <w:rPr>
          <w:rFonts w:cs="Times New Roman"/>
        </w:rPr>
        <w:t>罐</w:t>
      </w:r>
      <w:r>
        <w:rPr>
          <w:rFonts w:hint="eastAsia" w:cs="Times New Roman"/>
        </w:rPr>
        <w:t>；亚硝酸甲酯罐组存储亚硝酸甲酯。其中液氨储罐为球罐；DMO储罐、DMO中间产品罐为固定顶罐；甲醇罐、DMC罐为内浮顶罐；甲酸甲酯储罐、氢氧化钠储罐、硝酸储罐、亚硝酸甲酯储罐均为卧罐。</w:t>
      </w:r>
    </w:p>
    <w:p w14:paraId="3E0A45B0">
      <w:pPr>
        <w:pStyle w:val="98"/>
        <w:rPr>
          <w:rFonts w:hint="eastAsia"/>
        </w:rPr>
      </w:pPr>
      <w:r>
        <w:rPr>
          <w:rFonts w:hint="eastAsia"/>
        </w:rPr>
        <w:t>装卸车设施</w:t>
      </w:r>
    </w:p>
    <w:p w14:paraId="2B204C94">
      <w:pPr>
        <w:pStyle w:val="281"/>
        <w:ind w:firstLine="480"/>
        <w:rPr>
          <w:rFonts w:hint="eastAsia" w:ascii="宋体" w:hAnsi="宋体"/>
        </w:rPr>
      </w:pPr>
      <w:bookmarkStart w:id="210" w:name="_Hlk159238327"/>
      <w:r>
        <w:rPr>
          <w:rFonts w:hint="eastAsia" w:ascii="宋体" w:hAnsi="宋体"/>
        </w:rPr>
        <w:t>项目装卸车设施</w:t>
      </w:r>
      <w:bookmarkEnd w:id="210"/>
      <w:r>
        <w:rPr>
          <w:rFonts w:hint="eastAsia" w:ascii="宋体" w:hAnsi="宋体"/>
        </w:rPr>
        <w:t>配置见下表。</w:t>
      </w:r>
    </w:p>
    <w:p w14:paraId="112682DD">
      <w:pPr>
        <w:pStyle w:val="645"/>
        <w:rPr>
          <w:rFonts w:ascii="Arial" w:hAnsi="Arial" w:cs="Arial"/>
        </w:rPr>
      </w:pPr>
      <w:r>
        <w:t>表3.4.</w:t>
      </w:r>
      <w:r>
        <w:rPr>
          <w:rFonts w:hint="eastAsia"/>
        </w:rPr>
        <w:t>2-2</w:t>
      </w:r>
      <w:r>
        <w:t xml:space="preserve">    </w:t>
      </w:r>
      <w:r>
        <w:rPr>
          <w:rFonts w:ascii="Arial" w:hAnsi="Arial" w:cs="Arial"/>
        </w:rPr>
        <w:t>汽车装卸车设施配置表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3378"/>
        <w:gridCol w:w="1057"/>
        <w:gridCol w:w="1237"/>
        <w:gridCol w:w="1667"/>
      </w:tblGrid>
      <w:tr w14:paraId="26A1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4" w:type="pct"/>
            <w:vAlign w:val="center"/>
          </w:tcPr>
          <w:p w14:paraId="0D771B80">
            <w:pPr>
              <w:jc w:val="center"/>
              <w:rPr>
                <w:rFonts w:ascii="Times New Roman" w:hAnsi="Times New Roman" w:cs="Times New Roman"/>
                <w:sz w:val="18"/>
                <w:szCs w:val="18"/>
              </w:rPr>
            </w:pPr>
            <w:r>
              <w:rPr>
                <w:rFonts w:ascii="Times New Roman" w:hAnsi="Times New Roman" w:cs="Times New Roman"/>
                <w:sz w:val="18"/>
                <w:szCs w:val="18"/>
              </w:rPr>
              <w:t>序号</w:t>
            </w:r>
          </w:p>
        </w:tc>
        <w:tc>
          <w:tcPr>
            <w:tcW w:w="1982" w:type="pct"/>
            <w:vAlign w:val="center"/>
          </w:tcPr>
          <w:p w14:paraId="2D66AE5B">
            <w:pPr>
              <w:jc w:val="center"/>
              <w:rPr>
                <w:rFonts w:ascii="Times New Roman" w:hAnsi="Times New Roman" w:cs="Times New Roman"/>
                <w:sz w:val="18"/>
                <w:szCs w:val="18"/>
              </w:rPr>
            </w:pPr>
            <w:r>
              <w:rPr>
                <w:rFonts w:ascii="Times New Roman" w:hAnsi="Times New Roman" w:cs="Times New Roman"/>
                <w:sz w:val="18"/>
                <w:szCs w:val="18"/>
              </w:rPr>
              <w:t>名称</w:t>
            </w:r>
          </w:p>
        </w:tc>
        <w:tc>
          <w:tcPr>
            <w:tcW w:w="620" w:type="pct"/>
            <w:vAlign w:val="center"/>
          </w:tcPr>
          <w:p w14:paraId="573B9D04">
            <w:pPr>
              <w:jc w:val="center"/>
              <w:rPr>
                <w:rFonts w:ascii="Times New Roman" w:hAnsi="Times New Roman" w:cs="Times New Roman"/>
                <w:sz w:val="18"/>
                <w:szCs w:val="18"/>
              </w:rPr>
            </w:pPr>
            <w:r>
              <w:rPr>
                <w:rFonts w:ascii="Times New Roman" w:hAnsi="Times New Roman" w:cs="Times New Roman"/>
                <w:sz w:val="18"/>
                <w:szCs w:val="18"/>
              </w:rPr>
              <w:t>数量</w:t>
            </w:r>
          </w:p>
        </w:tc>
        <w:tc>
          <w:tcPr>
            <w:tcW w:w="726" w:type="pct"/>
            <w:vAlign w:val="center"/>
          </w:tcPr>
          <w:p w14:paraId="250398FE">
            <w:pPr>
              <w:jc w:val="center"/>
              <w:rPr>
                <w:rFonts w:ascii="Times New Roman" w:hAnsi="Times New Roman" w:cs="Times New Roman"/>
                <w:sz w:val="18"/>
                <w:szCs w:val="18"/>
              </w:rPr>
            </w:pPr>
            <w:r>
              <w:rPr>
                <w:rFonts w:ascii="Times New Roman" w:hAnsi="Times New Roman" w:cs="Times New Roman"/>
                <w:sz w:val="18"/>
                <w:szCs w:val="18"/>
              </w:rPr>
              <w:t>单位</w:t>
            </w:r>
          </w:p>
        </w:tc>
        <w:tc>
          <w:tcPr>
            <w:tcW w:w="978" w:type="pct"/>
            <w:vAlign w:val="center"/>
          </w:tcPr>
          <w:p w14:paraId="16110964">
            <w:pPr>
              <w:jc w:val="center"/>
              <w:rPr>
                <w:rFonts w:ascii="Times New Roman" w:hAnsi="Times New Roman" w:cs="Times New Roman"/>
                <w:sz w:val="18"/>
                <w:szCs w:val="18"/>
              </w:rPr>
            </w:pPr>
            <w:r>
              <w:rPr>
                <w:rFonts w:ascii="Times New Roman" w:hAnsi="Times New Roman" w:cs="Times New Roman"/>
                <w:sz w:val="18"/>
                <w:szCs w:val="18"/>
              </w:rPr>
              <w:t>备注</w:t>
            </w:r>
          </w:p>
        </w:tc>
      </w:tr>
      <w:tr w14:paraId="642A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2D563EBA">
            <w:pPr>
              <w:jc w:val="center"/>
              <w:rPr>
                <w:rFonts w:ascii="Times New Roman" w:hAnsi="Times New Roman" w:cs="Times New Roman"/>
                <w:sz w:val="18"/>
                <w:szCs w:val="18"/>
              </w:rPr>
            </w:pPr>
            <w:r>
              <w:rPr>
                <w:rFonts w:ascii="Times New Roman" w:hAnsi="Times New Roman" w:cs="Times New Roman"/>
                <w:sz w:val="18"/>
                <w:szCs w:val="18"/>
              </w:rPr>
              <w:t>1</w:t>
            </w:r>
          </w:p>
        </w:tc>
        <w:tc>
          <w:tcPr>
            <w:tcW w:w="1982" w:type="pct"/>
            <w:vAlign w:val="center"/>
          </w:tcPr>
          <w:p w14:paraId="60B12B41">
            <w:pPr>
              <w:jc w:val="center"/>
              <w:rPr>
                <w:rFonts w:ascii="Times New Roman" w:hAnsi="Times New Roman" w:cs="Times New Roman"/>
                <w:sz w:val="18"/>
                <w:szCs w:val="18"/>
              </w:rPr>
            </w:pPr>
            <w:r>
              <w:rPr>
                <w:rFonts w:ascii="Times New Roman" w:hAnsi="Times New Roman" w:cs="Times New Roman"/>
                <w:sz w:val="18"/>
                <w:szCs w:val="18"/>
              </w:rPr>
              <w:t>汽车装卸栈台</w:t>
            </w:r>
          </w:p>
        </w:tc>
        <w:tc>
          <w:tcPr>
            <w:tcW w:w="620" w:type="pct"/>
            <w:vAlign w:val="center"/>
          </w:tcPr>
          <w:p w14:paraId="07D5339C">
            <w:pPr>
              <w:jc w:val="center"/>
              <w:rPr>
                <w:rFonts w:ascii="Times New Roman" w:hAnsi="Times New Roman" w:cs="Times New Roman"/>
                <w:sz w:val="18"/>
                <w:szCs w:val="18"/>
              </w:rPr>
            </w:pPr>
            <w:r>
              <w:rPr>
                <w:rFonts w:ascii="Times New Roman" w:hAnsi="Times New Roman" w:cs="Times New Roman"/>
                <w:sz w:val="18"/>
                <w:szCs w:val="18"/>
              </w:rPr>
              <w:t>1</w:t>
            </w:r>
          </w:p>
        </w:tc>
        <w:tc>
          <w:tcPr>
            <w:tcW w:w="726" w:type="pct"/>
            <w:vAlign w:val="center"/>
          </w:tcPr>
          <w:p w14:paraId="192996BB">
            <w:pPr>
              <w:jc w:val="center"/>
              <w:rPr>
                <w:rFonts w:ascii="Times New Roman" w:hAnsi="Times New Roman" w:cs="Times New Roman"/>
                <w:sz w:val="18"/>
                <w:szCs w:val="18"/>
              </w:rPr>
            </w:pPr>
            <w:r>
              <w:rPr>
                <w:rFonts w:ascii="Times New Roman" w:hAnsi="Times New Roman" w:cs="Times New Roman"/>
                <w:sz w:val="18"/>
                <w:szCs w:val="18"/>
              </w:rPr>
              <w:t>个</w:t>
            </w:r>
          </w:p>
        </w:tc>
        <w:tc>
          <w:tcPr>
            <w:tcW w:w="978" w:type="pct"/>
            <w:vAlign w:val="center"/>
          </w:tcPr>
          <w:p w14:paraId="6B883A1B">
            <w:pPr>
              <w:jc w:val="center"/>
              <w:rPr>
                <w:rFonts w:ascii="Times New Roman" w:hAnsi="Times New Roman" w:cs="Times New Roman"/>
                <w:sz w:val="18"/>
                <w:szCs w:val="18"/>
              </w:rPr>
            </w:pPr>
          </w:p>
        </w:tc>
      </w:tr>
      <w:tr w14:paraId="59B6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3AEE7788">
            <w:pPr>
              <w:jc w:val="center"/>
              <w:rPr>
                <w:rFonts w:ascii="Times New Roman" w:hAnsi="Times New Roman" w:cs="Times New Roman"/>
                <w:sz w:val="18"/>
                <w:szCs w:val="18"/>
              </w:rPr>
            </w:pPr>
            <w:r>
              <w:rPr>
                <w:rFonts w:ascii="Times New Roman" w:hAnsi="Times New Roman" w:cs="Times New Roman"/>
                <w:sz w:val="18"/>
                <w:szCs w:val="18"/>
              </w:rPr>
              <w:t>2</w:t>
            </w:r>
          </w:p>
        </w:tc>
        <w:tc>
          <w:tcPr>
            <w:tcW w:w="1982" w:type="pct"/>
            <w:vAlign w:val="center"/>
          </w:tcPr>
          <w:p w14:paraId="696C5FB1">
            <w:pPr>
              <w:jc w:val="center"/>
              <w:rPr>
                <w:rFonts w:ascii="Times New Roman" w:hAnsi="Times New Roman" w:cs="Times New Roman"/>
                <w:sz w:val="18"/>
                <w:szCs w:val="18"/>
              </w:rPr>
            </w:pPr>
            <w:r>
              <w:rPr>
                <w:rFonts w:hint="eastAsia" w:ascii="Times New Roman" w:hAnsi="Times New Roman" w:cs="Times New Roman"/>
                <w:sz w:val="18"/>
                <w:szCs w:val="18"/>
              </w:rPr>
              <w:t>硝酸卸车鹤管</w:t>
            </w:r>
          </w:p>
        </w:tc>
        <w:tc>
          <w:tcPr>
            <w:tcW w:w="620" w:type="pct"/>
            <w:vAlign w:val="center"/>
          </w:tcPr>
          <w:p w14:paraId="7D9FE77B">
            <w:pPr>
              <w:jc w:val="center"/>
              <w:rPr>
                <w:rFonts w:ascii="Times New Roman" w:hAnsi="Times New Roman" w:cs="Times New Roman"/>
                <w:sz w:val="18"/>
                <w:szCs w:val="18"/>
              </w:rPr>
            </w:pPr>
            <w:r>
              <w:rPr>
                <w:rFonts w:ascii="Times New Roman" w:hAnsi="Times New Roman" w:cs="Times New Roman"/>
                <w:sz w:val="18"/>
                <w:szCs w:val="18"/>
              </w:rPr>
              <w:t>1</w:t>
            </w:r>
          </w:p>
        </w:tc>
        <w:tc>
          <w:tcPr>
            <w:tcW w:w="726" w:type="pct"/>
            <w:vAlign w:val="center"/>
          </w:tcPr>
          <w:p w14:paraId="7A80663F">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2ADF75CD">
            <w:pPr>
              <w:jc w:val="center"/>
              <w:rPr>
                <w:rFonts w:ascii="Times New Roman" w:hAnsi="Times New Roman" w:cs="Times New Roman"/>
                <w:sz w:val="18"/>
                <w:szCs w:val="18"/>
              </w:rPr>
            </w:pPr>
          </w:p>
        </w:tc>
      </w:tr>
      <w:tr w14:paraId="307D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5B33E65C">
            <w:pPr>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1982" w:type="pct"/>
            <w:vAlign w:val="center"/>
          </w:tcPr>
          <w:p w14:paraId="71193FCB">
            <w:pPr>
              <w:jc w:val="center"/>
              <w:rPr>
                <w:rFonts w:ascii="Times New Roman" w:hAnsi="Times New Roman" w:cs="Times New Roman"/>
                <w:sz w:val="18"/>
                <w:szCs w:val="18"/>
              </w:rPr>
            </w:pPr>
            <w:r>
              <w:rPr>
                <w:rFonts w:hint="eastAsia" w:ascii="Times New Roman" w:hAnsi="Times New Roman" w:cs="Times New Roman"/>
                <w:sz w:val="18"/>
                <w:szCs w:val="18"/>
              </w:rPr>
              <w:t>氢氧化钠卸车鹤管</w:t>
            </w:r>
          </w:p>
        </w:tc>
        <w:tc>
          <w:tcPr>
            <w:tcW w:w="620" w:type="pct"/>
            <w:vAlign w:val="center"/>
          </w:tcPr>
          <w:p w14:paraId="70B14FEB">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726" w:type="pct"/>
            <w:vAlign w:val="center"/>
          </w:tcPr>
          <w:p w14:paraId="5D53F044">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78355151">
            <w:pPr>
              <w:jc w:val="center"/>
              <w:rPr>
                <w:rFonts w:ascii="Times New Roman" w:hAnsi="Times New Roman" w:cs="Times New Roman"/>
                <w:sz w:val="18"/>
                <w:szCs w:val="18"/>
              </w:rPr>
            </w:pPr>
          </w:p>
        </w:tc>
      </w:tr>
      <w:tr w14:paraId="4D8F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5C2AE1EC">
            <w:pPr>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1982" w:type="pct"/>
            <w:vAlign w:val="center"/>
          </w:tcPr>
          <w:p w14:paraId="7429F5B2">
            <w:pPr>
              <w:jc w:val="center"/>
              <w:rPr>
                <w:rFonts w:ascii="Times New Roman" w:hAnsi="Times New Roman" w:cs="Times New Roman"/>
                <w:sz w:val="18"/>
                <w:szCs w:val="18"/>
              </w:rPr>
            </w:pPr>
            <w:r>
              <w:rPr>
                <w:rFonts w:hint="eastAsia" w:ascii="Times New Roman" w:hAnsi="Times New Roman" w:cs="Times New Roman"/>
                <w:sz w:val="18"/>
                <w:szCs w:val="18"/>
              </w:rPr>
              <w:t>甲醇卸车鹤管</w:t>
            </w:r>
          </w:p>
        </w:tc>
        <w:tc>
          <w:tcPr>
            <w:tcW w:w="620" w:type="pct"/>
            <w:vAlign w:val="center"/>
          </w:tcPr>
          <w:p w14:paraId="08C39B23">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726" w:type="pct"/>
            <w:vAlign w:val="center"/>
          </w:tcPr>
          <w:p w14:paraId="53234FBA">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0CB66D63">
            <w:pPr>
              <w:jc w:val="center"/>
              <w:rPr>
                <w:rFonts w:ascii="Times New Roman" w:hAnsi="Times New Roman" w:cs="Times New Roman"/>
                <w:sz w:val="18"/>
                <w:szCs w:val="18"/>
              </w:rPr>
            </w:pPr>
          </w:p>
        </w:tc>
      </w:tr>
      <w:tr w14:paraId="05A7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080390E6">
            <w:pPr>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1982" w:type="pct"/>
            <w:vAlign w:val="center"/>
          </w:tcPr>
          <w:p w14:paraId="0BDA744A">
            <w:pPr>
              <w:jc w:val="center"/>
              <w:rPr>
                <w:rFonts w:ascii="Times New Roman" w:hAnsi="Times New Roman" w:cs="Times New Roman"/>
                <w:sz w:val="18"/>
                <w:szCs w:val="18"/>
              </w:rPr>
            </w:pPr>
            <w:r>
              <w:rPr>
                <w:rFonts w:hint="eastAsia" w:ascii="Times New Roman" w:hAnsi="Times New Roman" w:cs="Times New Roman"/>
                <w:sz w:val="18"/>
                <w:szCs w:val="18"/>
              </w:rPr>
              <w:t>碳酸二甲酯装车鹤管</w:t>
            </w:r>
          </w:p>
        </w:tc>
        <w:tc>
          <w:tcPr>
            <w:tcW w:w="620" w:type="pct"/>
            <w:vAlign w:val="center"/>
          </w:tcPr>
          <w:p w14:paraId="56ABFF37">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726" w:type="pct"/>
            <w:vAlign w:val="center"/>
          </w:tcPr>
          <w:p w14:paraId="1F6AD3FF">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6053B081">
            <w:pPr>
              <w:jc w:val="center"/>
              <w:rPr>
                <w:rFonts w:ascii="Times New Roman" w:hAnsi="Times New Roman" w:cs="Times New Roman"/>
                <w:sz w:val="18"/>
                <w:szCs w:val="18"/>
              </w:rPr>
            </w:pPr>
          </w:p>
        </w:tc>
      </w:tr>
      <w:tr w14:paraId="1C07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7C7635D4">
            <w:pPr>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1982" w:type="pct"/>
            <w:vAlign w:val="center"/>
          </w:tcPr>
          <w:p w14:paraId="5DFBFE20">
            <w:pPr>
              <w:jc w:val="center"/>
              <w:rPr>
                <w:rFonts w:ascii="Times New Roman" w:hAnsi="Times New Roman" w:cs="Times New Roman"/>
                <w:sz w:val="18"/>
                <w:szCs w:val="18"/>
              </w:rPr>
            </w:pPr>
            <w:r>
              <w:rPr>
                <w:rFonts w:hint="eastAsia" w:ascii="Times New Roman" w:hAnsi="Times New Roman" w:cs="Times New Roman"/>
                <w:sz w:val="18"/>
                <w:szCs w:val="18"/>
              </w:rPr>
              <w:t>甲酸甲酯装车鹤管</w:t>
            </w:r>
          </w:p>
        </w:tc>
        <w:tc>
          <w:tcPr>
            <w:tcW w:w="620" w:type="pct"/>
            <w:vAlign w:val="center"/>
          </w:tcPr>
          <w:p w14:paraId="2750F20F">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726" w:type="pct"/>
            <w:vAlign w:val="center"/>
          </w:tcPr>
          <w:p w14:paraId="6762FA85">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5B31AEAF">
            <w:pPr>
              <w:jc w:val="center"/>
              <w:rPr>
                <w:rFonts w:ascii="Times New Roman" w:hAnsi="Times New Roman" w:cs="Times New Roman"/>
                <w:sz w:val="18"/>
                <w:szCs w:val="18"/>
              </w:rPr>
            </w:pPr>
          </w:p>
        </w:tc>
      </w:tr>
      <w:tr w14:paraId="765B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61CB7452">
            <w:pPr>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1982" w:type="pct"/>
            <w:vAlign w:val="center"/>
          </w:tcPr>
          <w:p w14:paraId="553A55F0">
            <w:pPr>
              <w:jc w:val="center"/>
              <w:rPr>
                <w:rFonts w:ascii="Times New Roman" w:hAnsi="Times New Roman" w:cs="Times New Roman"/>
                <w:sz w:val="18"/>
                <w:szCs w:val="18"/>
              </w:rPr>
            </w:pPr>
            <w:r>
              <w:rPr>
                <w:rFonts w:hint="eastAsia" w:ascii="Times New Roman" w:hAnsi="Times New Roman" w:cs="Times New Roman"/>
                <w:sz w:val="18"/>
                <w:szCs w:val="18"/>
              </w:rPr>
              <w:t>重质</w:t>
            </w:r>
            <w:r>
              <w:rPr>
                <w:rFonts w:ascii="Times New Roman" w:hAnsi="Times New Roman" w:cs="Times New Roman"/>
                <w:sz w:val="18"/>
                <w:szCs w:val="18"/>
              </w:rPr>
              <w:t>DMO装车鹤管</w:t>
            </w:r>
          </w:p>
        </w:tc>
        <w:tc>
          <w:tcPr>
            <w:tcW w:w="620" w:type="pct"/>
            <w:vAlign w:val="center"/>
          </w:tcPr>
          <w:p w14:paraId="39FFC476">
            <w:pPr>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726" w:type="pct"/>
            <w:vAlign w:val="center"/>
          </w:tcPr>
          <w:p w14:paraId="2420A867">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13E9407A">
            <w:pPr>
              <w:jc w:val="center"/>
              <w:rPr>
                <w:rFonts w:ascii="Times New Roman" w:hAnsi="Times New Roman" w:cs="Times New Roman"/>
                <w:sz w:val="18"/>
                <w:szCs w:val="18"/>
              </w:rPr>
            </w:pPr>
          </w:p>
        </w:tc>
      </w:tr>
      <w:tr w14:paraId="0813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4" w:type="pct"/>
            <w:vAlign w:val="center"/>
          </w:tcPr>
          <w:p w14:paraId="25A46C30">
            <w:pPr>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1982" w:type="pct"/>
            <w:vAlign w:val="center"/>
          </w:tcPr>
          <w:p w14:paraId="2FD7348C">
            <w:pPr>
              <w:jc w:val="center"/>
              <w:rPr>
                <w:rFonts w:ascii="Times New Roman" w:hAnsi="Times New Roman" w:cs="Times New Roman"/>
                <w:sz w:val="18"/>
                <w:szCs w:val="18"/>
              </w:rPr>
            </w:pPr>
            <w:r>
              <w:rPr>
                <w:rFonts w:hint="eastAsia" w:ascii="Times New Roman" w:hAnsi="Times New Roman" w:cs="Times New Roman"/>
                <w:sz w:val="18"/>
                <w:szCs w:val="18"/>
              </w:rPr>
              <w:t>液氨装车鹤管</w:t>
            </w:r>
          </w:p>
        </w:tc>
        <w:tc>
          <w:tcPr>
            <w:tcW w:w="620" w:type="pct"/>
            <w:vAlign w:val="center"/>
          </w:tcPr>
          <w:p w14:paraId="6E07A0CB">
            <w:pPr>
              <w:jc w:val="center"/>
              <w:rPr>
                <w:rFonts w:ascii="Times New Roman" w:hAnsi="Times New Roman" w:cs="Times New Roman"/>
                <w:sz w:val="18"/>
                <w:szCs w:val="18"/>
              </w:rPr>
            </w:pPr>
            <w:r>
              <w:rPr>
                <w:rFonts w:ascii="Times New Roman" w:hAnsi="Times New Roman" w:cs="Times New Roman"/>
                <w:sz w:val="18"/>
                <w:szCs w:val="18"/>
              </w:rPr>
              <w:t>2</w:t>
            </w:r>
          </w:p>
        </w:tc>
        <w:tc>
          <w:tcPr>
            <w:tcW w:w="726" w:type="pct"/>
            <w:vAlign w:val="center"/>
          </w:tcPr>
          <w:p w14:paraId="35B085F5">
            <w:pPr>
              <w:jc w:val="center"/>
              <w:rPr>
                <w:rFonts w:ascii="Times New Roman" w:hAnsi="Times New Roman" w:cs="Times New Roman"/>
                <w:sz w:val="18"/>
                <w:szCs w:val="18"/>
              </w:rPr>
            </w:pPr>
            <w:r>
              <w:rPr>
                <w:rFonts w:hint="eastAsia" w:ascii="Times New Roman" w:hAnsi="Times New Roman" w:cs="Times New Roman"/>
                <w:sz w:val="18"/>
                <w:szCs w:val="18"/>
              </w:rPr>
              <w:t>套</w:t>
            </w:r>
          </w:p>
        </w:tc>
        <w:tc>
          <w:tcPr>
            <w:tcW w:w="978" w:type="pct"/>
            <w:vAlign w:val="center"/>
          </w:tcPr>
          <w:p w14:paraId="500FC55F">
            <w:pPr>
              <w:jc w:val="center"/>
              <w:rPr>
                <w:rFonts w:ascii="Times New Roman" w:hAnsi="Times New Roman" w:cs="Times New Roman"/>
                <w:sz w:val="18"/>
                <w:szCs w:val="18"/>
              </w:rPr>
            </w:pPr>
            <w:r>
              <w:rPr>
                <w:rFonts w:ascii="Times New Roman" w:hAnsi="Times New Roman" w:cs="Times New Roman"/>
                <w:sz w:val="18"/>
                <w:szCs w:val="18"/>
              </w:rPr>
              <w:t>单边</w:t>
            </w:r>
          </w:p>
        </w:tc>
      </w:tr>
      <w:bookmarkEnd w:id="209"/>
    </w:tbl>
    <w:p w14:paraId="73AC2903">
      <w:pPr>
        <w:pStyle w:val="97"/>
        <w:rPr>
          <w:rFonts w:hint="eastAsia"/>
        </w:rPr>
      </w:pPr>
      <w:r>
        <w:t>储运工程主要污染源</w:t>
      </w:r>
    </w:p>
    <w:p w14:paraId="2EAE57C5">
      <w:pPr>
        <w:pStyle w:val="98"/>
        <w:rPr>
          <w:rFonts w:hint="eastAsia"/>
        </w:rPr>
      </w:pPr>
      <w:bookmarkStart w:id="211" w:name="_Hlk98237615"/>
      <w:bookmarkStart w:id="212" w:name="_Hlk150648996"/>
      <w:r>
        <w:rPr>
          <w:rFonts w:hint="eastAsia"/>
        </w:rPr>
        <w:t>废气</w:t>
      </w:r>
    </w:p>
    <w:p w14:paraId="7169E7D2">
      <w:pPr>
        <w:pStyle w:val="643"/>
        <w:rPr>
          <w:rFonts w:ascii="Times New Roman" w:hAnsi="Times New Roman" w:cs="Times New Roman"/>
        </w:rPr>
      </w:pPr>
      <w:r>
        <w:rPr>
          <w:rFonts w:ascii="Times New Roman" w:hAnsi="Times New Roman" w:cs="Times New Roman"/>
        </w:rPr>
        <w:t>储运系统的废气主要为煤储运备煤废气、罐区废气。</w:t>
      </w:r>
    </w:p>
    <w:p w14:paraId="06EF5988">
      <w:pPr>
        <w:pStyle w:val="643"/>
        <w:rPr>
          <w:rFonts w:ascii="Times New Roman" w:hAnsi="Times New Roman" w:cs="Times New Roman"/>
        </w:rPr>
      </w:pPr>
      <w:bookmarkStart w:id="213" w:name="_Hlk150612045"/>
      <w:r>
        <w:rPr>
          <w:rFonts w:ascii="Times New Roman" w:hAnsi="Times New Roman" w:cs="Times New Roman"/>
        </w:rPr>
        <w:t>（1）原煤储运废气</w:t>
      </w:r>
    </w:p>
    <w:p w14:paraId="274A5BCC">
      <w:pPr>
        <w:pStyle w:val="281"/>
        <w:ind w:firstLine="480"/>
        <w:rPr>
          <w:rFonts w:cs="Times New Roman"/>
          <w:szCs w:val="24"/>
        </w:rPr>
      </w:pPr>
      <w:r>
        <w:rPr>
          <w:rFonts w:cs="Times New Roman"/>
        </w:rPr>
        <w:t>原料储运系统在</w:t>
      </w:r>
      <w:r>
        <w:rPr>
          <w:rFonts w:hint="eastAsia"/>
        </w:rPr>
        <w:t>汽车卸煤斗</w:t>
      </w:r>
      <w:r>
        <w:rPr>
          <w:rFonts w:cs="Times New Roman"/>
        </w:rPr>
        <w:t>、带式输送机</w:t>
      </w:r>
      <w:r>
        <w:rPr>
          <w:rFonts w:hint="eastAsia" w:cs="Times New Roman"/>
        </w:rPr>
        <w:t>、</w:t>
      </w:r>
      <w:r>
        <w:rPr>
          <w:rFonts w:hint="eastAsia"/>
        </w:rPr>
        <w:t>破碎</w:t>
      </w:r>
      <w:r>
        <w:rPr>
          <w:rFonts w:cs="Times New Roman"/>
        </w:rPr>
        <w:t>等设置除尘器；煤储运粉尘源强类比</w:t>
      </w:r>
      <w:r>
        <w:rPr>
          <w:rFonts w:hint="eastAsia"/>
        </w:rPr>
        <w:t>《新疆新昊化工有限公司资源清洁利用绿色低碳多联产项目环境影响报告书》</w:t>
      </w:r>
      <w:r>
        <w:rPr>
          <w:rFonts w:cs="Times New Roman"/>
        </w:rPr>
        <w:t>，布袋除尘器的效率参照</w:t>
      </w:r>
      <w:r>
        <w:rPr>
          <w:rFonts w:cs="Times New Roman"/>
          <w:szCs w:val="24"/>
        </w:rPr>
        <w:t>《污染源源强核算技术指南火电》（HJ888-2018）附录B中表B.1废气除尘技术及效果。</w:t>
      </w:r>
      <w:r>
        <w:rPr>
          <w:rFonts w:hint="eastAsia" w:cs="Times New Roman"/>
          <w:szCs w:val="24"/>
        </w:rPr>
        <w:t>废气排放源强见表3.4.3-9。</w:t>
      </w:r>
    </w:p>
    <w:p w14:paraId="6AB06D16">
      <w:pPr>
        <w:pStyle w:val="281"/>
        <w:ind w:firstLine="480"/>
        <w:rPr>
          <w:rFonts w:cs="Times New Roman"/>
          <w:szCs w:val="24"/>
        </w:rPr>
      </w:pPr>
      <w:r>
        <w:rPr>
          <w:rFonts w:hint="eastAsia" w:cs="Times New Roman"/>
          <w:szCs w:val="24"/>
        </w:rPr>
        <w:t>煤棚逸散粉尘</w:t>
      </w:r>
      <w:r>
        <w:rPr>
          <w:rFonts w:hint="eastAsia"/>
          <w:color w:val="000000"/>
        </w:rPr>
        <w:t>源强参照《逸散性工业粉尘控制技术》（中国环境出版社），类比煤加工过程中逸散粉尘卡车卸料粉尘产生量0.01kg/t，则煤棚无组织排放颗粒物4.49t/a。</w:t>
      </w:r>
    </w:p>
    <w:bookmarkEnd w:id="213"/>
    <w:p w14:paraId="0D55C5E1">
      <w:pPr>
        <w:pStyle w:val="643"/>
        <w:rPr>
          <w:rFonts w:ascii="Times New Roman" w:hAnsi="Times New Roman" w:cs="Times New Roman"/>
        </w:rPr>
      </w:pPr>
      <w:r>
        <w:rPr>
          <w:rFonts w:ascii="Times New Roman" w:hAnsi="Times New Roman" w:cs="Times New Roman"/>
        </w:rPr>
        <w:t>（2）罐区废气</w:t>
      </w:r>
    </w:p>
    <w:p w14:paraId="2E94F6E5">
      <w:pPr>
        <w:pStyle w:val="643"/>
        <w:rPr>
          <w:rFonts w:ascii="Times New Roman" w:hAnsi="Times New Roman" w:cs="Times New Roman"/>
        </w:rPr>
      </w:pPr>
      <w:r>
        <w:rPr>
          <w:rFonts w:ascii="Times New Roman" w:hAnsi="Times New Roman" w:cs="Times New Roman"/>
        </w:rPr>
        <w:t>罐区废气根据《排污证许可申请与核发技术规范石化工业》（HJ 853-2017）中“挥发性有机液体储罐排放的挥发性有机物年许可排放量”计算方法进行计算。</w:t>
      </w:r>
    </w:p>
    <w:p w14:paraId="23D084D6">
      <w:pPr>
        <w:pStyle w:val="643"/>
        <w:rPr>
          <w:rFonts w:ascii="Times New Roman" w:hAnsi="Times New Roman" w:cs="Times New Roman"/>
        </w:rPr>
      </w:pPr>
      <w:r>
        <w:rPr>
          <w:rFonts w:ascii="Times New Roman" w:hAnsi="Times New Roman" w:cs="Times New Roman"/>
        </w:rPr>
        <w:t>本项目外购煤基馏分油、甲苯、二甲苯、重芳烃、煤基馏分油1#、重质焦油、粗酚、煤焦油、煤基馏分油2#采用内浮顶罐储存；轻石脑油、混烃产品、燃料油采用固定顶罐（拱顶罐）储存。</w:t>
      </w:r>
    </w:p>
    <w:p w14:paraId="1184D0D3">
      <w:pPr>
        <w:pStyle w:val="643"/>
        <w:rPr>
          <w:rFonts w:ascii="Times New Roman" w:hAnsi="Times New Roman" w:cs="Times New Roman"/>
        </w:rPr>
      </w:pPr>
      <w:r>
        <w:rPr>
          <w:rFonts w:ascii="Times New Roman" w:hAnsi="Times New Roman" w:cs="Times New Roman"/>
        </w:rPr>
        <w:t>①固定顶罐</w:t>
      </w:r>
    </w:p>
    <w:p w14:paraId="2F4BE247">
      <w:pPr>
        <w:pStyle w:val="643"/>
        <w:jc w:val="center"/>
        <w:rPr>
          <w:rFonts w:ascii="Times New Roman" w:hAnsi="Times New Roman" w:cs="Times New Roman"/>
        </w:rPr>
      </w:pPr>
      <m:oMathPara>
        <m:oMath>
          <m:r>
            <m:rPr/>
            <w:rPr>
              <w:rFonts w:ascii="Cambria Math" w:hAnsi="Cambria Math" w:cs="Times New Roman"/>
            </w:rPr>
            <m:t>L=</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oMath>
      </m:oMathPara>
    </w:p>
    <w:p w14:paraId="0D349D68">
      <w:pPr>
        <w:pStyle w:val="281"/>
        <w:ind w:firstLine="420"/>
        <w:rPr>
          <w:rFonts w:cs="Times New Roman"/>
          <w:sz w:val="21"/>
        </w:rPr>
      </w:pPr>
      <w:r>
        <w:rPr>
          <w:rFonts w:cs="Times New Roman"/>
          <w:sz w:val="21"/>
        </w:rPr>
        <w:t>式中：L总损失，lb/a；</w:t>
      </w:r>
    </w:p>
    <w:p w14:paraId="36874991">
      <w:pPr>
        <w:pStyle w:val="281"/>
        <w:ind w:firstLine="1050" w:firstLineChars="500"/>
        <w:rPr>
          <w:rFonts w:cs="Times New Roman"/>
          <w:sz w:val="21"/>
        </w:rPr>
      </w:pPr>
      <w:r>
        <w:rPr>
          <w:rFonts w:cs="Times New Roman"/>
          <w:sz w:val="21"/>
        </w:rPr>
        <w:t>Ls   静置损失，lb/a</w:t>
      </w:r>
    </w:p>
    <w:p w14:paraId="7F1E0EA6">
      <w:pPr>
        <w:pStyle w:val="281"/>
        <w:ind w:firstLine="1050" w:firstLineChars="500"/>
        <w:rPr>
          <w:rFonts w:cs="Times New Roman"/>
          <w:sz w:val="21"/>
        </w:rPr>
      </w:pPr>
      <w:r>
        <w:rPr>
          <w:rFonts w:cs="Times New Roman"/>
          <w:sz w:val="21"/>
        </w:rPr>
        <w:t>Lw工作损失，lb/a</w:t>
      </w:r>
    </w:p>
    <w:p w14:paraId="3F24E161">
      <w:pPr>
        <w:pStyle w:val="643"/>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静置损失L</w:t>
      </w:r>
      <w:r>
        <w:rPr>
          <w:rFonts w:ascii="Times New Roman" w:hAnsi="Times New Roman" w:cs="Times New Roman"/>
          <w:vertAlign w:val="subscript"/>
        </w:rPr>
        <w:t>S</w:t>
      </w:r>
    </w:p>
    <w:p w14:paraId="04E70F72">
      <w:pPr>
        <w:pStyle w:val="643"/>
        <w:rPr>
          <w:rFonts w:ascii="Times New Roman" w:hAnsi="Times New Roman" w:cs="Times New Roman"/>
        </w:rPr>
      </w:pPr>
      <w:r>
        <w:rPr>
          <w:rFonts w:ascii="Times New Roman" w:hAnsi="Times New Roman" w:cs="Times New Roman"/>
        </w:rPr>
        <w:t>静置储藏损耗L</w:t>
      </w:r>
      <w:r>
        <w:rPr>
          <w:rFonts w:ascii="Times New Roman" w:hAnsi="Times New Roman" w:cs="Times New Roman"/>
          <w:vertAlign w:val="subscript"/>
        </w:rPr>
        <w:t>S</w:t>
      </w:r>
      <w:r>
        <w:rPr>
          <w:rFonts w:ascii="Times New Roman" w:hAnsi="Times New Roman" w:cs="Times New Roman"/>
        </w:rPr>
        <w:t>，是指由于罐体气相空间呼吸导致的储存气相损耗。</w:t>
      </w:r>
    </w:p>
    <w:p w14:paraId="2F484DA6">
      <w:pPr>
        <w:pStyle w:val="281"/>
        <w:ind w:firstLine="1200" w:firstLineChars="500"/>
        <w:jc w:val="center"/>
        <w:rPr>
          <w:rFonts w:cs="Times New Roman"/>
          <w:sz w:val="21"/>
        </w:rPr>
      </w:pPr>
      <w:r>
        <w:rPr>
          <w:rFonts w:cs="Times New Roman"/>
        </w:rPr>
        <w:drawing>
          <wp:inline distT="0" distB="0" distL="114300" distR="114300">
            <wp:extent cx="1647825" cy="370840"/>
            <wp:effectExtent l="0" t="0" r="9525" b="0"/>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1647825" cy="370840"/>
                    </a:xfrm>
                    <a:prstGeom prst="rect">
                      <a:avLst/>
                    </a:prstGeom>
                    <a:noFill/>
                    <a:ln>
                      <a:noFill/>
                    </a:ln>
                  </pic:spPr>
                </pic:pic>
              </a:graphicData>
            </a:graphic>
          </wp:inline>
        </w:drawing>
      </w:r>
    </w:p>
    <w:p w14:paraId="03D7ACDB">
      <w:pPr>
        <w:pStyle w:val="643"/>
        <w:ind w:firstLine="420"/>
        <w:rPr>
          <w:rFonts w:ascii="Times New Roman" w:hAnsi="Times New Roman" w:cs="Times New Roman"/>
          <w:sz w:val="21"/>
          <w:szCs w:val="21"/>
        </w:rPr>
      </w:pPr>
      <w:r>
        <w:rPr>
          <w:rFonts w:ascii="Times New Roman" w:hAnsi="Times New Roman" w:cs="Times New Roman"/>
          <w:sz w:val="21"/>
          <w:szCs w:val="21"/>
        </w:rPr>
        <w:t>式中：L</w:t>
      </w:r>
      <w:r>
        <w:rPr>
          <w:rFonts w:ascii="Times New Roman" w:hAnsi="Times New Roman" w:cs="Times New Roman"/>
          <w:sz w:val="21"/>
          <w:szCs w:val="21"/>
          <w:vertAlign w:val="subscript"/>
        </w:rPr>
        <w:t xml:space="preserve">S     </w:t>
      </w:r>
      <w:r>
        <w:rPr>
          <w:rFonts w:ascii="Times New Roman" w:hAnsi="Times New Roman" w:cs="Times New Roman"/>
          <w:sz w:val="21"/>
          <w:szCs w:val="21"/>
        </w:rPr>
        <w:t>静置储藏损失，lb/a；</w:t>
      </w:r>
    </w:p>
    <w:p w14:paraId="040EEEFB">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 xml:space="preserve">E     </w:t>
      </w:r>
      <w:r>
        <w:rPr>
          <w:rFonts w:ascii="Times New Roman" w:hAnsi="Times New Roman" w:cs="Times New Roman"/>
          <w:sz w:val="21"/>
          <w:szCs w:val="21"/>
        </w:rPr>
        <w:t>气相空间膨胀因子，无量纲量</w:t>
      </w:r>
    </w:p>
    <w:p w14:paraId="4BF2C71C">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 xml:space="preserve">S     </w:t>
      </w:r>
      <w:r>
        <w:rPr>
          <w:rFonts w:ascii="Times New Roman" w:hAnsi="Times New Roman" w:cs="Times New Roman"/>
          <w:sz w:val="21"/>
          <w:szCs w:val="21"/>
        </w:rPr>
        <w:t>排放蒸汽饱和因子，无量纲量</w:t>
      </w:r>
    </w:p>
    <w:p w14:paraId="3BCD524A">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VO</w:t>
      </w:r>
      <w:r>
        <w:rPr>
          <w:rFonts w:ascii="Times New Roman" w:hAnsi="Times New Roman" w:cs="Times New Roman"/>
          <w:sz w:val="21"/>
          <w:szCs w:val="21"/>
        </w:rPr>
        <w:t>气相空间高度（H</w:t>
      </w:r>
      <w:r>
        <w:rPr>
          <w:rFonts w:ascii="Times New Roman" w:hAnsi="Times New Roman" w:cs="Times New Roman"/>
          <w:sz w:val="21"/>
          <w:szCs w:val="21"/>
          <w:vertAlign w:val="subscript"/>
        </w:rPr>
        <w:t>VO</w:t>
      </w:r>
      <w:r>
        <w:rPr>
          <w:rFonts w:ascii="Times New Roman" w:hAnsi="Times New Roman" w:cs="Times New Roman"/>
          <w:sz w:val="21"/>
          <w:szCs w:val="21"/>
        </w:rPr>
        <w:t>=πD/8），ft；</w:t>
      </w:r>
    </w:p>
    <w:p w14:paraId="4EDAC7E9">
      <w:pPr>
        <w:pStyle w:val="281"/>
        <w:ind w:firstLine="1050" w:firstLineChars="500"/>
        <w:rPr>
          <w:rFonts w:cs="Times New Roman"/>
          <w:sz w:val="21"/>
        </w:rPr>
      </w:pPr>
      <w:r>
        <w:rPr>
          <w:rFonts w:cs="Times New Roman"/>
          <w:sz w:val="21"/>
        </w:rPr>
        <w:t>W</w:t>
      </w:r>
      <w:r>
        <w:rPr>
          <w:rFonts w:cs="Times New Roman"/>
          <w:sz w:val="21"/>
          <w:vertAlign w:val="subscript"/>
        </w:rPr>
        <w:t>V</w:t>
      </w:r>
      <w:r>
        <w:rPr>
          <w:rFonts w:cs="Times New Roman"/>
          <w:sz w:val="21"/>
        </w:rPr>
        <w:t>储藏气相密度，lb/ft</w:t>
      </w:r>
      <w:r>
        <w:rPr>
          <w:rFonts w:cs="Times New Roman"/>
          <w:sz w:val="21"/>
          <w:vertAlign w:val="superscript"/>
        </w:rPr>
        <w:t>3</w:t>
      </w:r>
      <w:r>
        <w:rPr>
          <w:rFonts w:cs="Times New Roman"/>
          <w:sz w:val="21"/>
        </w:rPr>
        <w:t>；</w:t>
      </w:r>
    </w:p>
    <w:p w14:paraId="3A34061E">
      <w:pPr>
        <w:pStyle w:val="643"/>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工作损失Lw</w:t>
      </w:r>
    </w:p>
    <w:p w14:paraId="78DB89E2">
      <w:pPr>
        <w:pStyle w:val="643"/>
        <w:rPr>
          <w:rFonts w:ascii="Times New Roman" w:hAnsi="Times New Roman" w:cs="Times New Roman"/>
        </w:rPr>
      </w:pPr>
      <w:r>
        <w:rPr>
          <w:rFonts w:ascii="Times New Roman" w:hAnsi="Times New Roman" w:cs="Times New Roman"/>
        </w:rPr>
        <w:t>工作损耗L</w:t>
      </w:r>
      <w:r>
        <w:rPr>
          <w:rFonts w:ascii="Times New Roman" w:hAnsi="Times New Roman" w:cs="Times New Roman"/>
          <w:vertAlign w:val="subscript"/>
        </w:rPr>
        <w:t>W</w:t>
      </w:r>
      <w:r>
        <w:rPr>
          <w:rFonts w:ascii="Times New Roman" w:hAnsi="Times New Roman" w:cs="Times New Roman"/>
        </w:rPr>
        <w:t>，与装料或卸料</w:t>
      </w:r>
      <w:r>
        <w:rPr>
          <w:rFonts w:hint="eastAsia" w:ascii="Times New Roman" w:hAnsi="Times New Roman" w:cs="Times New Roman"/>
        </w:rPr>
        <w:t>时</w:t>
      </w:r>
      <w:r>
        <w:rPr>
          <w:rFonts w:ascii="Times New Roman" w:hAnsi="Times New Roman" w:cs="Times New Roman"/>
        </w:rPr>
        <w:t>所储蒸汽的排放有关。</w:t>
      </w:r>
    </w:p>
    <w:p w14:paraId="19458CE7">
      <w:pPr>
        <w:pStyle w:val="643"/>
        <w:rPr>
          <w:rFonts w:ascii="Times New Roman" w:hAnsi="Times New Roman" w:cs="Times New Roman"/>
        </w:rPr>
      </w:pPr>
      <w:r>
        <w:rPr>
          <w:rFonts w:ascii="Times New Roman" w:hAnsi="Times New Roman" w:cs="Times New Roman"/>
        </w:rPr>
        <w:t>固定顶罐的工作排放计算如下：</w:t>
      </w:r>
    </w:p>
    <w:p w14:paraId="1C3B3FAE">
      <w:pPr>
        <w:pStyle w:val="643"/>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5.614</m:t>
              </m:r>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RT</m:t>
                  </m:r>
                  <m:ctrlPr>
                    <w:rPr>
                      <w:rFonts w:ascii="Cambria Math" w:hAnsi="Cambria Math" w:cs="Times New Roman"/>
                      <w:i/>
                    </w:rPr>
                  </m:ctrlPr>
                </m:e>
                <m:sub>
                  <m:r>
                    <m:rPr/>
                    <w:rPr>
                      <w:rFonts w:ascii="Cambria Math" w:hAnsi="Cambria Math" w:cs="Times New Roman"/>
                    </w:rPr>
                    <m:t>LA</m:t>
                  </m:r>
                  <m:ctrlPr>
                    <w:rPr>
                      <w:rFonts w:ascii="Cambria Math" w:hAnsi="Cambria Math" w:cs="Times New Roman"/>
                      <w:i/>
                    </w:rPr>
                  </m:ctrlPr>
                </m:sub>
              </m:sSub>
              <m:ctrlPr>
                <w:rPr>
                  <w:rFonts w:ascii="Cambria Math" w:hAnsi="Cambria Math" w:cs="Times New Roman"/>
                  <w:i/>
                </w:rPr>
              </m:ctrlPr>
            </m:den>
          </m:f>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VA</m:t>
              </m:r>
              <m:ctrlPr>
                <w:rPr>
                  <w:rFonts w:ascii="Cambria Math" w:hAnsi="Cambria Math" w:cs="Times New Roman"/>
                  <w:i/>
                </w:rPr>
              </m:ctrlPr>
            </m:sub>
          </m:sSub>
          <m:r>
            <m:rPr/>
            <w:rPr>
              <w:rFonts w:ascii="Cambria Math" w:hAnsi="Cambria Math" w:cs="Times New Roman"/>
            </w:rPr>
            <m:t>Q</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P</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B</m:t>
              </m:r>
              <m:ctrlPr>
                <w:rPr>
                  <w:rFonts w:ascii="Cambria Math" w:hAnsi="Cambria Math" w:cs="Times New Roman"/>
                  <w:i/>
                </w:rPr>
              </m:ctrlPr>
            </m:sub>
          </m:sSub>
        </m:oMath>
      </m:oMathPara>
    </w:p>
    <w:p w14:paraId="2806ADCF">
      <w:pPr>
        <w:pStyle w:val="643"/>
        <w:ind w:firstLine="420"/>
        <w:rPr>
          <w:rFonts w:ascii="Times New Roman" w:hAnsi="Times New Roman" w:cs="Times New Roman"/>
          <w:sz w:val="21"/>
          <w:szCs w:val="21"/>
        </w:rPr>
      </w:pPr>
      <w:r>
        <w:rPr>
          <w:rFonts w:ascii="Times New Roman" w:hAnsi="Times New Roman" w:cs="Times New Roman"/>
          <w:sz w:val="21"/>
          <w:szCs w:val="21"/>
        </w:rPr>
        <w:t>式中：L</w:t>
      </w:r>
      <w:r>
        <w:rPr>
          <w:rFonts w:ascii="Times New Roman" w:hAnsi="Times New Roman" w:cs="Times New Roman"/>
          <w:sz w:val="21"/>
          <w:szCs w:val="21"/>
          <w:vertAlign w:val="subscript"/>
        </w:rPr>
        <w:t>W</w:t>
      </w:r>
      <w:r>
        <w:rPr>
          <w:rFonts w:ascii="Times New Roman" w:hAnsi="Times New Roman" w:cs="Times New Roman"/>
          <w:sz w:val="21"/>
          <w:szCs w:val="21"/>
        </w:rPr>
        <w:t>工作损耗，lb/a；</w:t>
      </w:r>
    </w:p>
    <w:p w14:paraId="2346AF80">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bscript"/>
        </w:rPr>
        <w:t>V</w:t>
      </w:r>
      <w:r>
        <w:rPr>
          <w:rFonts w:ascii="Times New Roman" w:hAnsi="Times New Roman" w:cs="Times New Roman"/>
          <w:sz w:val="21"/>
          <w:szCs w:val="21"/>
        </w:rPr>
        <w:t>气相分子量，lb/lb-mol；</w:t>
      </w:r>
    </w:p>
    <w:p w14:paraId="69C7780C">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P</w:t>
      </w:r>
      <w:r>
        <w:rPr>
          <w:rFonts w:ascii="Times New Roman" w:hAnsi="Times New Roman" w:cs="Times New Roman"/>
          <w:sz w:val="21"/>
          <w:szCs w:val="21"/>
          <w:vertAlign w:val="subscript"/>
        </w:rPr>
        <w:t>VA</w:t>
      </w:r>
      <w:r>
        <w:rPr>
          <w:rFonts w:ascii="Times New Roman" w:hAnsi="Times New Roman" w:cs="Times New Roman"/>
          <w:sz w:val="21"/>
          <w:szCs w:val="21"/>
        </w:rPr>
        <w:t>真实蒸汽压；</w:t>
      </w:r>
    </w:p>
    <w:p w14:paraId="24554731">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Q    年周转量，bbl/a；</w:t>
      </w:r>
    </w:p>
    <w:p w14:paraId="7698ECAD">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P</w:t>
      </w:r>
      <w:r>
        <w:rPr>
          <w:rFonts w:ascii="Times New Roman" w:hAnsi="Times New Roman" w:cs="Times New Roman"/>
          <w:sz w:val="21"/>
          <w:szCs w:val="21"/>
        </w:rPr>
        <w:t>工作损耗产品因子，无量纲；对于有机液体KP=1；</w:t>
      </w:r>
    </w:p>
    <w:p w14:paraId="63BCACCB">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N</w:t>
      </w:r>
      <w:r>
        <w:rPr>
          <w:rFonts w:ascii="Times New Roman" w:hAnsi="Times New Roman" w:cs="Times New Roman"/>
          <w:sz w:val="21"/>
          <w:szCs w:val="21"/>
        </w:rPr>
        <w:t>工作排放周转（饱和）因子，无量纲量；</w:t>
      </w:r>
    </w:p>
    <w:p w14:paraId="583DE301">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B</w:t>
      </w:r>
      <w:r>
        <w:rPr>
          <w:rFonts w:ascii="Times New Roman" w:hAnsi="Times New Roman" w:cs="Times New Roman"/>
          <w:sz w:val="21"/>
          <w:szCs w:val="21"/>
        </w:rPr>
        <w:t>呼吸阀工作校正因子</w:t>
      </w:r>
    </w:p>
    <w:p w14:paraId="593A6F7C">
      <w:pPr>
        <w:pStyle w:val="643"/>
        <w:rPr>
          <w:rFonts w:ascii="Times New Roman" w:hAnsi="Times New Roman" w:cs="Times New Roman"/>
        </w:rPr>
      </w:pPr>
      <w:r>
        <w:rPr>
          <w:rFonts w:ascii="Times New Roman" w:hAnsi="Times New Roman" w:cs="Times New Roman"/>
        </w:rPr>
        <w:t>②浮顶罐总损耗</w:t>
      </w:r>
    </w:p>
    <w:p w14:paraId="31D3C4E2">
      <w:pPr>
        <w:pStyle w:val="643"/>
        <w:rPr>
          <w:rFonts w:ascii="Times New Roman" w:hAnsi="Times New Roman" w:cs="Times New Roman"/>
        </w:rPr>
      </w:pPr>
      <w:r>
        <w:rPr>
          <w:rFonts w:ascii="Times New Roman" w:hAnsi="Times New Roman" w:cs="Times New Roman"/>
        </w:rPr>
        <w:t>浮顶罐的总损耗是边缘密封、出料、浮盘附件和浮盘缝隙损耗的总和。</w:t>
      </w:r>
    </w:p>
    <w:p w14:paraId="2434EDF7">
      <w:pPr>
        <w:pStyle w:val="643"/>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T</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WD</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D</m:t>
              </m:r>
              <m:ctrlPr>
                <w:rPr>
                  <w:rFonts w:ascii="Cambria Math" w:hAnsi="Cambria Math" w:cs="Times New Roman"/>
                  <w:i/>
                </w:rPr>
              </m:ctrlPr>
            </m:sub>
          </m:sSub>
        </m:oMath>
      </m:oMathPara>
    </w:p>
    <w:p w14:paraId="1D99EABC">
      <w:pPr>
        <w:pStyle w:val="643"/>
        <w:ind w:firstLine="478" w:firstLineChars="228"/>
        <w:rPr>
          <w:rFonts w:ascii="Times New Roman" w:hAnsi="Times New Roman" w:cs="Times New Roman"/>
          <w:sz w:val="21"/>
          <w:szCs w:val="21"/>
        </w:rPr>
      </w:pPr>
      <w:r>
        <w:rPr>
          <w:rFonts w:ascii="Times New Roman" w:hAnsi="Times New Roman" w:cs="Times New Roman"/>
          <w:sz w:val="21"/>
          <w:szCs w:val="21"/>
        </w:rPr>
        <w:t>式中：L</w:t>
      </w:r>
      <w:r>
        <w:rPr>
          <w:rFonts w:ascii="Times New Roman" w:hAnsi="Times New Roman" w:cs="Times New Roman"/>
          <w:sz w:val="21"/>
          <w:szCs w:val="21"/>
          <w:vertAlign w:val="subscript"/>
        </w:rPr>
        <w:t>T</w:t>
      </w:r>
      <w:r>
        <w:rPr>
          <w:rFonts w:ascii="Times New Roman" w:hAnsi="Times New Roman" w:cs="Times New Roman"/>
          <w:sz w:val="21"/>
          <w:szCs w:val="21"/>
        </w:rPr>
        <w:t>总损耗，lb/a；</w:t>
      </w:r>
    </w:p>
    <w:p w14:paraId="34CEE525">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R</w:t>
      </w:r>
      <w:r>
        <w:rPr>
          <w:rFonts w:ascii="Times New Roman" w:hAnsi="Times New Roman" w:cs="Times New Roman"/>
          <w:sz w:val="21"/>
          <w:szCs w:val="21"/>
        </w:rPr>
        <w:t>边缘密封损耗，lb/a；</w:t>
      </w:r>
    </w:p>
    <w:p w14:paraId="003994C9">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WD</w:t>
      </w:r>
      <w:r>
        <w:rPr>
          <w:rFonts w:ascii="Times New Roman" w:hAnsi="Times New Roman" w:cs="Times New Roman"/>
          <w:sz w:val="21"/>
          <w:szCs w:val="21"/>
        </w:rPr>
        <w:t>排放损耗，lb/a；</w:t>
      </w:r>
    </w:p>
    <w:p w14:paraId="3C0D9C6A">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F</w:t>
      </w:r>
      <w:r>
        <w:rPr>
          <w:rFonts w:ascii="Times New Roman" w:hAnsi="Times New Roman" w:cs="Times New Roman"/>
          <w:sz w:val="21"/>
          <w:szCs w:val="21"/>
        </w:rPr>
        <w:t>浮盘附件损耗，lb/a；</w:t>
      </w:r>
    </w:p>
    <w:p w14:paraId="71366D97">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D</w:t>
      </w:r>
      <w:r>
        <w:rPr>
          <w:rFonts w:ascii="Times New Roman" w:hAnsi="Times New Roman" w:cs="Times New Roman"/>
          <w:sz w:val="21"/>
          <w:szCs w:val="21"/>
        </w:rPr>
        <w:t>浮盘缝隙损耗（只限螺栓连接式的浮盘或浮顶），lb/a，</w:t>
      </w:r>
    </w:p>
    <w:p w14:paraId="50173556">
      <w:pPr>
        <w:pStyle w:val="643"/>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边缘密封损耗</w:t>
      </w:r>
      <w:r>
        <w:rPr>
          <w:rFonts w:ascii="Times New Roman" w:hAnsi="Times New Roman" w:cs="Times New Roman"/>
          <w:sz w:val="21"/>
          <w:szCs w:val="21"/>
        </w:rPr>
        <w:t>L</w:t>
      </w:r>
      <w:r>
        <w:rPr>
          <w:rFonts w:ascii="Times New Roman" w:hAnsi="Times New Roman" w:cs="Times New Roman"/>
          <w:sz w:val="21"/>
          <w:szCs w:val="21"/>
          <w:vertAlign w:val="subscript"/>
        </w:rPr>
        <w:t>R</w:t>
      </w:r>
    </w:p>
    <w:p w14:paraId="25660B45">
      <w:pPr>
        <w:pStyle w:val="643"/>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R</m:t>
              </m:r>
              <m:ctrlPr>
                <w:rPr>
                  <w:rFonts w:ascii="Cambria Math" w:hAnsi="Cambria Math" w:cs="Times New Roman"/>
                  <w:i/>
                </w:rPr>
              </m:ctrlPr>
            </m:sub>
          </m:sSub>
          <m:r>
            <m:rP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Ra</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Rb</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V</m:t>
                  </m:r>
                  <m:ctrlPr>
                    <w:rPr>
                      <w:rFonts w:ascii="Cambria Math" w:hAnsi="Cambria Math" w:cs="Times New Roman"/>
                      <w:i/>
                    </w:rPr>
                  </m:ctrlPr>
                </m:e>
                <m:sup>
                  <m:r>
                    <m:rPr/>
                    <w:rPr>
                      <w:rFonts w:ascii="Cambria Math" w:hAnsi="Cambria Math" w:cs="Times New Roman"/>
                    </w:rPr>
                    <m:t>n</m:t>
                  </m:r>
                  <m:ctrlPr>
                    <w:rPr>
                      <w:rFonts w:ascii="Cambria Math" w:hAnsi="Cambria Math" w:cs="Times New Roman"/>
                      <w:i/>
                    </w:rPr>
                  </m:ctrlPr>
                </m:sup>
              </m:sSup>
              <m:ctrlPr>
                <w:rPr>
                  <w:rFonts w:ascii="Cambria Math" w:hAnsi="Cambria Math" w:cs="Times New Roman"/>
                  <w:i/>
                </w:rPr>
              </m:ctrlPr>
            </m:e>
          </m:d>
          <m:r>
            <m:rPr/>
            <w:rPr>
              <w:rFonts w:ascii="Cambria Math" w:hAnsi="Cambria Math" w:cs="Times New Roman"/>
            </w:rPr>
            <m:t>DP</m:t>
          </m:r>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m:oMathPara>
    </w:p>
    <w:p w14:paraId="56CB268A">
      <w:pPr>
        <w:pStyle w:val="643"/>
        <w:ind w:firstLine="478" w:firstLineChars="228"/>
        <w:rPr>
          <w:rFonts w:ascii="Times New Roman" w:hAnsi="Times New Roman" w:cs="Times New Roman"/>
          <w:sz w:val="21"/>
          <w:szCs w:val="21"/>
        </w:rPr>
      </w:pPr>
      <w:r>
        <w:rPr>
          <w:rFonts w:ascii="Times New Roman" w:hAnsi="Times New Roman" w:cs="Times New Roman"/>
          <w:sz w:val="21"/>
          <w:szCs w:val="21"/>
        </w:rPr>
        <w:t>式中：L</w:t>
      </w:r>
      <w:r>
        <w:rPr>
          <w:rFonts w:ascii="Times New Roman" w:hAnsi="Times New Roman" w:cs="Times New Roman"/>
          <w:sz w:val="21"/>
          <w:szCs w:val="21"/>
          <w:vertAlign w:val="subscript"/>
        </w:rPr>
        <w:t>R</w:t>
      </w:r>
      <w:r>
        <w:rPr>
          <w:rFonts w:ascii="Times New Roman" w:hAnsi="Times New Roman" w:cs="Times New Roman"/>
          <w:sz w:val="21"/>
          <w:szCs w:val="21"/>
        </w:rPr>
        <w:t>边缘密封损耗，lb/a；</w:t>
      </w:r>
    </w:p>
    <w:p w14:paraId="4A92591E">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Ra</w:t>
      </w:r>
      <w:r>
        <w:rPr>
          <w:rFonts w:ascii="Times New Roman" w:hAnsi="Times New Roman" w:cs="Times New Roman"/>
          <w:sz w:val="21"/>
          <w:szCs w:val="21"/>
        </w:rPr>
        <w:t>零风速边缘密封损耗因子，lb-mol/ft·a；</w:t>
      </w:r>
    </w:p>
    <w:p w14:paraId="6B71BDB2">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R</w:t>
      </w:r>
      <w:r>
        <w:rPr>
          <w:rFonts w:ascii="Times New Roman" w:hAnsi="Times New Roman" w:cs="Times New Roman"/>
          <w:sz w:val="21"/>
          <w:szCs w:val="21"/>
        </w:rPr>
        <w:t>有风时边缘密封损耗因子，lb-mol/（mph）n·ft·a；</w:t>
      </w:r>
    </w:p>
    <w:p w14:paraId="058741CA">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v    罐点平均环境风速，mph；</w:t>
      </w:r>
    </w:p>
    <w:p w14:paraId="30F39A0E">
      <w:pPr>
        <w:pStyle w:val="643"/>
        <w:ind w:firstLine="1050" w:firstLineChars="500"/>
        <w:rPr>
          <w:rFonts w:ascii="Times New Roman" w:hAnsi="Times New Roman" w:cs="Times New Roman"/>
          <w:sz w:val="21"/>
          <w:szCs w:val="21"/>
        </w:rPr>
      </w:pPr>
      <w:r>
        <w:rPr>
          <w:rFonts w:ascii="Times New Roman" w:hAnsi="Times New Roman" w:cs="Times New Roman"/>
          <w:sz w:val="21"/>
          <w:szCs w:val="21"/>
        </w:rPr>
        <w:t>n    密封相关风速指数，无量纲量；</w:t>
      </w:r>
    </w:p>
    <w:p w14:paraId="0C69E35B">
      <w:pPr>
        <w:pStyle w:val="643"/>
        <w:ind w:firstLine="1050" w:firstLineChars="500"/>
        <w:rPr>
          <w:rFonts w:ascii="Times New Roman" w:hAnsi="Times New Roman" w:cs="Times New Roman"/>
        </w:rPr>
      </w:pPr>
      <w:r>
        <w:rPr>
          <w:rFonts w:ascii="Times New Roman" w:hAnsi="Times New Roman" w:cs="Times New Roman"/>
          <w:sz w:val="21"/>
          <w:szCs w:val="21"/>
        </w:rPr>
        <w:t>P    蒸汽压函数，无量纲量；</w:t>
      </w:r>
    </w:p>
    <w:p w14:paraId="5543CC7C">
      <w:pPr>
        <w:pStyle w:val="643"/>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挂壁损耗L</w:t>
      </w:r>
      <w:r>
        <w:rPr>
          <w:rFonts w:ascii="Times New Roman" w:hAnsi="Times New Roman" w:cs="Times New Roman"/>
          <w:vertAlign w:val="subscript"/>
        </w:rPr>
        <w:t>WD</w:t>
      </w:r>
    </w:p>
    <w:p w14:paraId="25089441">
      <w:pPr>
        <w:pStyle w:val="643"/>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W</m:t>
              </m:r>
              <m:ctrlPr>
                <w:rPr>
                  <w:rFonts w:ascii="Cambria Math" w:hAnsi="Cambria Math" w:cs="Times New Roman"/>
                  <w:i/>
                </w:rPr>
              </m:ctrlPr>
            </m:sub>
          </m:sSub>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0.943Q</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S</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W</m:t>
                  </m:r>
                  <m:ctrlPr>
                    <w:rPr>
                      <w:rFonts w:ascii="Cambria Math" w:hAnsi="Cambria Math" w:cs="Times New Roman"/>
                      <w:i/>
                    </w:rPr>
                  </m:ctrlPr>
                </m:e>
                <m:sub>
                  <m:r>
                    <m:rPr/>
                    <w:rPr>
                      <w:rFonts w:ascii="Cambria Math" w:hAnsi="Cambria Math" w:cs="Times New Roman"/>
                    </w:rPr>
                    <m:t>L</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D</m:t>
              </m:r>
              <m:ctrlPr>
                <w:rPr>
                  <w:rFonts w:ascii="Cambria Math" w:hAnsi="Cambria Math" w:cs="Times New Roman"/>
                  <w:i/>
                </w:rPr>
              </m:ctrlPr>
            </m:den>
          </m:f>
          <m:d>
            <m:dPr>
              <m:ctrlPr>
                <w:rPr>
                  <w:rFonts w:ascii="Cambria Math" w:hAnsi="Cambria Math" w:cs="Times New Roman"/>
                  <w:i/>
                </w:rPr>
              </m:ctrlPr>
            </m:dPr>
            <m:e>
              <m:r>
                <m:rP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N</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ctrlPr>
                    <w:rPr>
                      <w:rFonts w:ascii="Cambria Math" w:hAnsi="Cambria Math" w:cs="Times New Roman"/>
                      <w:i/>
                    </w:rPr>
                  </m:ctrlPr>
                </m:num>
                <m:den>
                  <m:r>
                    <m:rPr/>
                    <w:rPr>
                      <w:rFonts w:ascii="Cambria Math" w:hAnsi="Cambria Math" w:cs="Times New Roman"/>
                    </w:rPr>
                    <m:t>D</m:t>
                  </m:r>
                  <m:ctrlPr>
                    <w:rPr>
                      <w:rFonts w:ascii="Cambria Math" w:hAnsi="Cambria Math" w:cs="Times New Roman"/>
                      <w:i/>
                    </w:rPr>
                  </m:ctrlPr>
                </m:den>
              </m:f>
              <m:ctrlPr>
                <w:rPr>
                  <w:rFonts w:ascii="Cambria Math" w:hAnsi="Cambria Math" w:cs="Times New Roman"/>
                  <w:i/>
                </w:rPr>
              </m:ctrlPr>
            </m:e>
          </m:d>
        </m:oMath>
      </m:oMathPara>
    </w:p>
    <w:p w14:paraId="552C47F8">
      <w:pPr>
        <w:pStyle w:val="643"/>
        <w:ind w:firstLine="478" w:firstLineChars="228"/>
        <w:rPr>
          <w:rFonts w:ascii="Times New Roman" w:hAnsi="Times New Roman" w:cs="Times New Roman"/>
          <w:sz w:val="21"/>
          <w:szCs w:val="21"/>
        </w:rPr>
      </w:pPr>
      <w:r>
        <w:rPr>
          <w:rFonts w:ascii="Times New Roman" w:hAnsi="Times New Roman" w:cs="Times New Roman"/>
          <w:sz w:val="21"/>
          <w:szCs w:val="21"/>
        </w:rPr>
        <w:t>式中： L</w:t>
      </w:r>
      <w:r>
        <w:rPr>
          <w:rFonts w:ascii="Times New Roman" w:hAnsi="Times New Roman" w:cs="Times New Roman"/>
          <w:sz w:val="21"/>
          <w:szCs w:val="21"/>
          <w:vertAlign w:val="subscript"/>
        </w:rPr>
        <w:t>WD</w:t>
      </w:r>
      <w:r>
        <w:rPr>
          <w:rFonts w:ascii="Times New Roman" w:hAnsi="Times New Roman" w:cs="Times New Roman"/>
          <w:sz w:val="21"/>
          <w:szCs w:val="21"/>
        </w:rPr>
        <w:t>挂壁损耗，lb/a；</w:t>
      </w:r>
    </w:p>
    <w:p w14:paraId="1ED1E471">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Q      年周转量，bbl/a；</w:t>
      </w:r>
    </w:p>
    <w:p w14:paraId="75357360">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C</w:t>
      </w:r>
      <w:r>
        <w:rPr>
          <w:rFonts w:ascii="Times New Roman" w:hAnsi="Times New Roman" w:cs="Times New Roman"/>
          <w:sz w:val="21"/>
          <w:szCs w:val="21"/>
          <w:vertAlign w:val="subscript"/>
        </w:rPr>
        <w:t>S</w:t>
      </w:r>
      <w:r>
        <w:rPr>
          <w:rFonts w:ascii="Times New Roman" w:hAnsi="Times New Roman" w:cs="Times New Roman"/>
          <w:sz w:val="21"/>
          <w:szCs w:val="21"/>
        </w:rPr>
        <w:t>罐体油垢因子；</w:t>
      </w:r>
    </w:p>
    <w:p w14:paraId="1E983026">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W</w:t>
      </w:r>
      <w:r>
        <w:rPr>
          <w:rFonts w:ascii="Times New Roman" w:hAnsi="Times New Roman" w:cs="Times New Roman"/>
          <w:sz w:val="21"/>
          <w:szCs w:val="21"/>
          <w:vertAlign w:val="subscript"/>
        </w:rPr>
        <w:t>L</w:t>
      </w:r>
      <w:r>
        <w:rPr>
          <w:rFonts w:ascii="Times New Roman" w:hAnsi="Times New Roman" w:cs="Times New Roman"/>
          <w:sz w:val="21"/>
          <w:szCs w:val="21"/>
        </w:rPr>
        <w:t>有机液体密度，lb/gal；</w:t>
      </w:r>
    </w:p>
    <w:p w14:paraId="4F7BE876">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D      罐体直径，ft</w:t>
      </w:r>
    </w:p>
    <w:p w14:paraId="5F91DBB8">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N</w:t>
      </w:r>
      <w:r>
        <w:rPr>
          <w:rFonts w:ascii="Times New Roman" w:hAnsi="Times New Roman" w:cs="Times New Roman"/>
          <w:sz w:val="21"/>
          <w:szCs w:val="21"/>
          <w:vertAlign w:val="subscript"/>
        </w:rPr>
        <w:t>C</w:t>
      </w:r>
      <w:r>
        <w:rPr>
          <w:rFonts w:ascii="Times New Roman" w:hAnsi="Times New Roman" w:cs="Times New Roman"/>
          <w:sz w:val="21"/>
          <w:szCs w:val="21"/>
        </w:rPr>
        <w:t>固定顶支撑柱数量，无量纲量；</w:t>
      </w:r>
    </w:p>
    <w:p w14:paraId="79A70E69">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F</w:t>
      </w:r>
      <w:r>
        <w:rPr>
          <w:rFonts w:ascii="Times New Roman" w:hAnsi="Times New Roman" w:cs="Times New Roman"/>
          <w:sz w:val="21"/>
          <w:szCs w:val="21"/>
          <w:vertAlign w:val="subscript"/>
        </w:rPr>
        <w:t>C</w:t>
      </w:r>
      <w:r>
        <w:rPr>
          <w:rFonts w:ascii="Times New Roman" w:hAnsi="Times New Roman" w:cs="Times New Roman"/>
          <w:sz w:val="21"/>
          <w:szCs w:val="21"/>
        </w:rPr>
        <w:t>有效柱直径，取值1.0</w:t>
      </w:r>
    </w:p>
    <w:p w14:paraId="18E0D9EB">
      <w:pPr>
        <w:pStyle w:val="643"/>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浮盘附件损耗L</w:t>
      </w:r>
      <w:r>
        <w:rPr>
          <w:rFonts w:ascii="Times New Roman" w:hAnsi="Times New Roman" w:cs="Times New Roman"/>
          <w:vertAlign w:val="subscript"/>
        </w:rPr>
        <w:t>F</w:t>
      </w:r>
    </w:p>
    <w:p w14:paraId="0514C4F2">
      <w:pPr>
        <w:pStyle w:val="281"/>
        <w:ind w:firstLine="1200" w:firstLineChars="500"/>
        <w:jc w:val="center"/>
        <w:rPr>
          <w:rFonts w:cs="Times New Roman"/>
          <w:sz w:val="21"/>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F</m:t>
              </m:r>
              <m:ctrlPr>
                <w:rPr>
                  <w:rFonts w:ascii="Cambria Math" w:hAnsi="Cambria Math" w:cs="Times New Roman"/>
                  <w:i/>
                </w:rPr>
              </m:ctrlPr>
            </m:sub>
          </m:sSub>
          <m:r>
            <m:rPr/>
            <w:rPr>
              <w:rFonts w:ascii="Cambria Math" w:hAnsi="Cambria Math" w:cs="Times New Roman"/>
            </w:rPr>
            <m:t>P</m:t>
          </m:r>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m:oMathPara>
    </w:p>
    <w:p w14:paraId="08D430B7">
      <w:pPr>
        <w:pStyle w:val="643"/>
        <w:ind w:firstLine="478" w:firstLineChars="228"/>
        <w:rPr>
          <w:rFonts w:ascii="Times New Roman" w:hAnsi="Times New Roman" w:cs="Times New Roman"/>
          <w:sz w:val="21"/>
          <w:szCs w:val="21"/>
        </w:rPr>
      </w:pPr>
      <w:r>
        <w:rPr>
          <w:rFonts w:ascii="Times New Roman" w:hAnsi="Times New Roman" w:cs="Times New Roman"/>
          <w:sz w:val="21"/>
          <w:szCs w:val="21"/>
        </w:rPr>
        <w:t>式中：L</w:t>
      </w:r>
      <w:r>
        <w:rPr>
          <w:rFonts w:ascii="Times New Roman" w:hAnsi="Times New Roman" w:cs="Times New Roman"/>
          <w:sz w:val="21"/>
          <w:szCs w:val="21"/>
          <w:vertAlign w:val="subscript"/>
        </w:rPr>
        <w:t>F</w:t>
      </w:r>
      <w:r>
        <w:rPr>
          <w:rFonts w:ascii="Times New Roman" w:hAnsi="Times New Roman" w:cs="Times New Roman"/>
          <w:sz w:val="21"/>
          <w:szCs w:val="21"/>
        </w:rPr>
        <w:t>浮盘附件损耗，lb/a；</w:t>
      </w:r>
    </w:p>
    <w:p w14:paraId="4F5D83D1">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F</w:t>
      </w:r>
      <w:r>
        <w:rPr>
          <w:rFonts w:ascii="Times New Roman" w:hAnsi="Times New Roman" w:cs="Times New Roman"/>
          <w:sz w:val="21"/>
          <w:szCs w:val="21"/>
          <w:vertAlign w:val="subscript"/>
        </w:rPr>
        <w:t>F</w:t>
      </w:r>
      <w:r>
        <w:rPr>
          <w:rFonts w:ascii="Times New Roman" w:hAnsi="Times New Roman" w:cs="Times New Roman"/>
          <w:sz w:val="21"/>
          <w:szCs w:val="21"/>
        </w:rPr>
        <w:t>总浮盘附件损耗因子，lb-mol/a；</w:t>
      </w:r>
    </w:p>
    <w:p w14:paraId="5196D0A0">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bscript"/>
        </w:rPr>
        <w:t>V</w:t>
      </w:r>
      <w:r>
        <w:rPr>
          <w:rFonts w:ascii="Times New Roman" w:hAnsi="Times New Roman" w:cs="Times New Roman"/>
          <w:sz w:val="21"/>
          <w:szCs w:val="21"/>
        </w:rPr>
        <w:t>气相分子量，lb/lb-mol；</w:t>
      </w:r>
    </w:p>
    <w:p w14:paraId="21CE72F4">
      <w:pPr>
        <w:pStyle w:val="643"/>
        <w:ind w:firstLine="1260" w:firstLineChars="600"/>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bscript"/>
        </w:rPr>
        <w:t>C</w:t>
      </w:r>
      <w:r>
        <w:rPr>
          <w:rFonts w:ascii="Times New Roman" w:hAnsi="Times New Roman" w:cs="Times New Roman"/>
          <w:sz w:val="21"/>
          <w:szCs w:val="21"/>
        </w:rPr>
        <w:t>产品因子；原油为0.4，</w:t>
      </w:r>
      <w:r>
        <w:rPr>
          <w:rFonts w:hint="eastAsia" w:ascii="Times New Roman" w:hAnsi="Times New Roman" w:cs="Times New Roman"/>
          <w:sz w:val="21"/>
          <w:szCs w:val="21"/>
        </w:rPr>
        <w:t>其他</w:t>
      </w:r>
      <w:r>
        <w:rPr>
          <w:rFonts w:ascii="Times New Roman" w:hAnsi="Times New Roman" w:cs="Times New Roman"/>
          <w:sz w:val="21"/>
          <w:szCs w:val="21"/>
        </w:rPr>
        <w:t>有机液体为1.0</w:t>
      </w:r>
    </w:p>
    <w:p w14:paraId="081CB28A">
      <w:pPr>
        <w:pStyle w:val="643"/>
        <w:rPr>
          <w:rFonts w:ascii="Times New Roman" w:hAnsi="Times New Roman" w:cs="Times New Roman"/>
        </w:rPr>
      </w:pPr>
      <w:r>
        <w:rPr>
          <w:rFonts w:ascii="Times New Roman" w:hAnsi="Times New Roman" w:cs="Times New Roman"/>
        </w:rPr>
        <w:t>④浮盘缝隙损耗</w:t>
      </w:r>
    </w:p>
    <w:p w14:paraId="4FFA1EF0">
      <w:pPr>
        <w:pStyle w:val="643"/>
        <w:rPr>
          <w:rFonts w:ascii="Times New Roman" w:hAnsi="Times New Roman" w:cs="Times New Roman"/>
        </w:rPr>
      </w:pPr>
      <w:r>
        <w:rPr>
          <w:rFonts w:ascii="Times New Roman" w:hAnsi="Times New Roman" w:cs="Times New Roman"/>
        </w:rPr>
        <w:t>浮盘经焊接的内浮顶罐和外浮顶罐都没有盘缝损耗。由螺栓固定的内浮顶罐可能存在盘缝损耗，可由下公估算：</w:t>
      </w:r>
    </w:p>
    <w:p w14:paraId="4981CFFA">
      <w:pPr>
        <w:pStyle w:val="643"/>
        <w:jc w:val="center"/>
        <w:rPr>
          <w:rFonts w:ascii="Times New Roman" w:hAnsi="Times New Roman" w:cs="Times New Roman"/>
        </w:rPr>
      </w:pPr>
      <m:oMathPara>
        <m:oMath>
          <m:sSub>
            <m:sSubPr>
              <m:ctrlPr>
                <w:rPr>
                  <w:rFonts w:ascii="Cambria Math" w:hAnsi="Cambria Math" w:cs="Times New Roman"/>
                  <w:i/>
                </w:rPr>
              </m:ctrlPr>
            </m:sSubPr>
            <m:e>
              <m:r>
                <m:rPr/>
                <w:rPr>
                  <w:rFonts w:ascii="Cambria Math" w:hAnsi="Cambria Math" w:cs="Times New Roman"/>
                </w:rPr>
                <m:t>L</m:t>
              </m:r>
              <m:ctrlPr>
                <w:rPr>
                  <w:rFonts w:ascii="Cambria Math" w:hAnsi="Cambria Math" w:cs="Times New Roman"/>
                  <w:i/>
                </w:rPr>
              </m:ctrlPr>
            </m:e>
            <m:sub>
              <m:r>
                <m:rPr/>
                <w:rPr>
                  <w:rFonts w:ascii="Cambria Math" w:hAnsi="Cambria Math" w:cs="Times New Roman"/>
                </w:rPr>
                <m:t>D</m:t>
              </m:r>
              <m:ctrlPr>
                <w:rPr>
                  <w:rFonts w:ascii="Cambria Math" w:hAnsi="Cambria Math" w:cs="Times New Roman"/>
                  <w:i/>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D</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S</m:t>
              </m:r>
              <m:ctrlPr>
                <w:rPr>
                  <w:rFonts w:ascii="Cambria Math" w:hAnsi="Cambria Math" w:cs="Times New Roman"/>
                  <w:i/>
                </w:rPr>
              </m:ctrlPr>
            </m:e>
            <m:sub>
              <m:r>
                <m:rPr/>
                <w:rPr>
                  <w:rFonts w:ascii="Cambria Math" w:hAnsi="Cambria Math" w:cs="Times New Roman"/>
                </w:rPr>
                <m:t>D</m:t>
              </m:r>
              <m:ctrlPr>
                <w:rPr>
                  <w:rFonts w:ascii="Cambria Math" w:hAnsi="Cambria Math" w:cs="Times New Roman"/>
                  <w:i/>
                </w:rPr>
              </m:ctrlPr>
            </m:sub>
          </m:sSub>
          <m:sSup>
            <m:sSupPr>
              <m:ctrlPr>
                <w:rPr>
                  <w:rFonts w:ascii="Cambria Math" w:hAnsi="Cambria Math" w:cs="Times New Roman"/>
                  <w:i/>
                </w:rPr>
              </m:ctrlPr>
            </m:sSupPr>
            <m:e>
              <m:r>
                <m:rPr/>
                <w:rPr>
                  <w:rFonts w:ascii="Cambria Math" w:hAnsi="Cambria Math" w:cs="Times New Roman"/>
                </w:rPr>
                <m:t>D</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P</m:t>
          </m:r>
          <m:sSub>
            <m:sSubPr>
              <m:ctrlPr>
                <w:rPr>
                  <w:rFonts w:ascii="Cambria Math" w:hAnsi="Cambria Math" w:cs="Times New Roman"/>
                  <w:i/>
                </w:rPr>
              </m:ctrlPr>
            </m:sSubPr>
            <m:e>
              <m:r>
                <m:rPr/>
                <w:rPr>
                  <w:rFonts w:ascii="Cambria Math" w:hAnsi="Cambria Math" w:cs="Times New Roman"/>
                </w:rPr>
                <m:t>M</m:t>
              </m:r>
              <m:ctrlPr>
                <w:rPr>
                  <w:rFonts w:ascii="Cambria Math" w:hAnsi="Cambria Math" w:cs="Times New Roman"/>
                  <w:i/>
                </w:rPr>
              </m:ctrlPr>
            </m:e>
            <m:sub>
              <m:r>
                <m:rPr/>
                <w:rPr>
                  <w:rFonts w:ascii="Cambria Math" w:hAnsi="Cambria Math" w:cs="Times New Roman"/>
                </w:rPr>
                <m:t>V</m:t>
              </m:r>
              <m:ctrlPr>
                <w:rPr>
                  <w:rFonts w:ascii="Cambria Math" w:hAnsi="Cambria Math" w:cs="Times New Roman"/>
                  <w:i/>
                </w:rPr>
              </m:ctrlPr>
            </m:sub>
          </m:sSub>
          <m:sSub>
            <m:sSubPr>
              <m:ctrlPr>
                <w:rPr>
                  <w:rFonts w:ascii="Cambria Math" w:hAnsi="Cambria Math" w:cs="Times New Roman"/>
                  <w:i/>
                </w:rPr>
              </m:ctrlPr>
            </m:sSubPr>
            <m:e>
              <m:r>
                <m:rPr/>
                <w:rPr>
                  <w:rFonts w:ascii="Cambria Math" w:hAnsi="Cambria Math" w:cs="Times New Roman"/>
                </w:rPr>
                <m:t>K</m:t>
              </m:r>
              <m:ctrlPr>
                <w:rPr>
                  <w:rFonts w:ascii="Cambria Math" w:hAnsi="Cambria Math" w:cs="Times New Roman"/>
                  <w:i/>
                </w:rPr>
              </m:ctrlPr>
            </m:e>
            <m:sub>
              <m:r>
                <m:rPr/>
                <w:rPr>
                  <w:rFonts w:ascii="Cambria Math" w:hAnsi="Cambria Math" w:cs="Times New Roman"/>
                </w:rPr>
                <m:t>C</m:t>
              </m:r>
              <m:ctrlPr>
                <w:rPr>
                  <w:rFonts w:ascii="Cambria Math" w:hAnsi="Cambria Math" w:cs="Times New Roman"/>
                  <w:i/>
                </w:rPr>
              </m:ctrlPr>
            </m:sub>
          </m:sSub>
        </m:oMath>
      </m:oMathPara>
    </w:p>
    <w:p w14:paraId="14148E27">
      <w:pPr>
        <w:pStyle w:val="643"/>
        <w:ind w:firstLine="478" w:firstLineChars="228"/>
        <w:rPr>
          <w:rFonts w:ascii="Times New Roman" w:hAnsi="Times New Roman" w:cs="Times New Roman"/>
          <w:sz w:val="21"/>
          <w:szCs w:val="21"/>
        </w:rPr>
      </w:pPr>
      <w:r>
        <w:rPr>
          <w:rFonts w:ascii="Times New Roman" w:hAnsi="Times New Roman" w:cs="Times New Roman"/>
          <w:sz w:val="21"/>
          <w:szCs w:val="21"/>
        </w:rPr>
        <w:t>式中：K</w:t>
      </w:r>
      <w:r>
        <w:rPr>
          <w:rFonts w:ascii="Times New Roman" w:hAnsi="Times New Roman" w:cs="Times New Roman"/>
          <w:sz w:val="21"/>
          <w:szCs w:val="21"/>
          <w:vertAlign w:val="subscript"/>
        </w:rPr>
        <w:t>D</w:t>
      </w:r>
      <w:r>
        <w:rPr>
          <w:rFonts w:ascii="Times New Roman" w:hAnsi="Times New Roman" w:cs="Times New Roman"/>
          <w:sz w:val="21"/>
          <w:szCs w:val="21"/>
        </w:rPr>
        <w:t>盘缝损耗单位缝长因子，lb-mol/ft·a；</w:t>
      </w:r>
    </w:p>
    <w:p w14:paraId="739E29F5">
      <w:pPr>
        <w:pStyle w:val="643"/>
        <w:ind w:firstLine="1108" w:firstLineChars="528"/>
        <w:rPr>
          <w:rFonts w:ascii="Times New Roman" w:hAnsi="Times New Roman" w:cs="Times New Roman"/>
          <w:sz w:val="21"/>
          <w:szCs w:val="21"/>
        </w:rPr>
      </w:pPr>
      <w:r>
        <w:rPr>
          <w:rFonts w:ascii="Times New Roman" w:hAnsi="Times New Roman" w:cs="Times New Roman"/>
          <w:sz w:val="21"/>
          <w:szCs w:val="21"/>
        </w:rPr>
        <w:t>S</w:t>
      </w:r>
      <w:r>
        <w:rPr>
          <w:rFonts w:ascii="Times New Roman" w:hAnsi="Times New Roman" w:cs="Times New Roman"/>
          <w:sz w:val="21"/>
          <w:szCs w:val="21"/>
          <w:vertAlign w:val="subscript"/>
        </w:rPr>
        <w:t>D</w:t>
      </w:r>
      <w:r>
        <w:rPr>
          <w:rFonts w:ascii="Times New Roman" w:hAnsi="Times New Roman" w:cs="Times New Roman"/>
          <w:sz w:val="21"/>
          <w:szCs w:val="21"/>
        </w:rPr>
        <w:t>盘缝长度因子，ft/ft</w:t>
      </w:r>
      <w:r>
        <w:rPr>
          <w:rFonts w:ascii="Times New Roman" w:hAnsi="Times New Roman" w:cs="Times New Roman"/>
          <w:sz w:val="21"/>
          <w:szCs w:val="21"/>
          <w:vertAlign w:val="superscript"/>
        </w:rPr>
        <w:t>2</w:t>
      </w:r>
      <w:r>
        <w:rPr>
          <w:rFonts w:ascii="Times New Roman" w:hAnsi="Times New Roman" w:cs="Times New Roman"/>
          <w:sz w:val="21"/>
          <w:szCs w:val="21"/>
        </w:rPr>
        <w:t>，</w:t>
      </w:r>
    </w:p>
    <w:p w14:paraId="15BC9A43">
      <w:pPr>
        <w:widowControl w:val="0"/>
        <w:spacing w:line="360" w:lineRule="auto"/>
        <w:ind w:firstLine="420" w:firstLineChars="200"/>
        <w:jc w:val="both"/>
        <w:rPr>
          <w:rFonts w:ascii="Times New Roman" w:hAnsi="Times New Roman" w:cs="Times New Roman"/>
          <w:kern w:val="2"/>
        </w:rPr>
      </w:pPr>
      <w:r>
        <w:rPr>
          <w:rFonts w:ascii="Times New Roman" w:hAnsi="Times New Roman" w:cs="Times New Roman"/>
          <w:sz w:val="21"/>
          <w:szCs w:val="21"/>
        </w:rPr>
        <w:t>M</w:t>
      </w:r>
      <w:r>
        <w:rPr>
          <w:rFonts w:ascii="Times New Roman" w:hAnsi="Times New Roman" w:cs="Times New Roman"/>
          <w:sz w:val="21"/>
          <w:szCs w:val="21"/>
          <w:vertAlign w:val="subscript"/>
        </w:rPr>
        <w:t>V</w:t>
      </w:r>
      <w:r>
        <w:rPr>
          <w:rFonts w:ascii="Times New Roman" w:hAnsi="Times New Roman" w:cs="Times New Roman"/>
          <w:sz w:val="21"/>
          <w:szCs w:val="21"/>
        </w:rPr>
        <w:t>气相分子量，lb/lb-mol；</w:t>
      </w:r>
    </w:p>
    <w:p w14:paraId="7F76B25C">
      <w:pPr>
        <w:pStyle w:val="645"/>
        <w:rPr>
          <w:rFonts w:hint="eastAsia"/>
        </w:rPr>
      </w:pPr>
      <w:r>
        <w:rPr>
          <w:rFonts w:hint="eastAsia"/>
        </w:rPr>
        <w:t>表3.4.3-1</w:t>
      </w:r>
      <w:r>
        <w:t xml:space="preserve">    </w:t>
      </w:r>
      <w:r>
        <w:rPr>
          <w:rFonts w:hint="eastAsia"/>
        </w:rPr>
        <w:t>固定顶罐废气产生情况表（单位：</w:t>
      </w:r>
      <w:r>
        <w:rPr>
          <w:snapToGrid w:val="0"/>
        </w:rPr>
        <w:t>t/a</w:t>
      </w:r>
      <w:r>
        <w:rPr>
          <w:rFonts w:hint="eastAsia"/>
        </w:rPr>
        <w:t>）</w:t>
      </w:r>
    </w:p>
    <w:tbl>
      <w:tblPr>
        <w:tblStyle w:val="65"/>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666"/>
        <w:gridCol w:w="888"/>
        <w:gridCol w:w="1553"/>
        <w:gridCol w:w="1156"/>
        <w:gridCol w:w="1398"/>
      </w:tblGrid>
      <w:tr w14:paraId="3602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vMerge w:val="restart"/>
            <w:tcMar>
              <w:top w:w="0" w:type="dxa"/>
              <w:left w:w="28" w:type="dxa"/>
              <w:bottom w:w="0" w:type="dxa"/>
              <w:right w:w="28" w:type="dxa"/>
            </w:tcMar>
            <w:vAlign w:val="center"/>
          </w:tcPr>
          <w:p w14:paraId="07A57234">
            <w:pPr>
              <w:autoSpaceDE w:val="0"/>
              <w:autoSpaceDN w:val="0"/>
              <w:jc w:val="center"/>
              <w:rPr>
                <w:rFonts w:ascii="Times New Roman" w:hAnsi="Times New Roman" w:cs="Times New Roman"/>
                <w:snapToGrid w:val="0"/>
                <w:sz w:val="18"/>
                <w:szCs w:val="18"/>
              </w:rPr>
            </w:pPr>
            <w:bookmarkStart w:id="214" w:name="_Hlk97979692"/>
            <w:r>
              <w:rPr>
                <w:rFonts w:ascii="Times New Roman" w:hAnsi="Times New Roman" w:cs="Times New Roman"/>
                <w:snapToGrid w:val="0"/>
                <w:sz w:val="18"/>
                <w:szCs w:val="18"/>
              </w:rPr>
              <w:t>位置</w:t>
            </w:r>
          </w:p>
        </w:tc>
        <w:tc>
          <w:tcPr>
            <w:tcW w:w="1564" w:type="pct"/>
            <w:vMerge w:val="restart"/>
            <w:tcMar>
              <w:top w:w="0" w:type="dxa"/>
              <w:left w:w="28" w:type="dxa"/>
              <w:bottom w:w="0" w:type="dxa"/>
              <w:right w:w="28" w:type="dxa"/>
            </w:tcMar>
            <w:vAlign w:val="center"/>
          </w:tcPr>
          <w:p w14:paraId="711AF540">
            <w:pPr>
              <w:jc w:val="center"/>
              <w:rPr>
                <w:rFonts w:ascii="Times New Roman" w:hAnsi="Times New Roman" w:cs="Times New Roman"/>
                <w:snapToGrid w:val="0"/>
                <w:sz w:val="18"/>
                <w:szCs w:val="18"/>
              </w:rPr>
            </w:pPr>
            <w:r>
              <w:rPr>
                <w:rFonts w:ascii="Times New Roman" w:hAnsi="Times New Roman" w:cs="Times New Roman"/>
                <w:snapToGrid w:val="0"/>
                <w:sz w:val="18"/>
                <w:szCs w:val="18"/>
              </w:rPr>
              <w:t>装置名称</w:t>
            </w:r>
          </w:p>
        </w:tc>
        <w:tc>
          <w:tcPr>
            <w:tcW w:w="521" w:type="pct"/>
            <w:vMerge w:val="restart"/>
            <w:tcMar>
              <w:top w:w="0" w:type="dxa"/>
              <w:left w:w="28" w:type="dxa"/>
              <w:bottom w:w="0" w:type="dxa"/>
              <w:right w:w="28" w:type="dxa"/>
            </w:tcMar>
            <w:vAlign w:val="center"/>
          </w:tcPr>
          <w:p w14:paraId="323F9994">
            <w:pPr>
              <w:jc w:val="center"/>
              <w:rPr>
                <w:rFonts w:ascii="Times New Roman" w:hAnsi="Times New Roman" w:cs="Times New Roman"/>
                <w:snapToGrid w:val="0"/>
                <w:sz w:val="18"/>
                <w:szCs w:val="18"/>
              </w:rPr>
            </w:pPr>
            <w:r>
              <w:rPr>
                <w:rFonts w:ascii="Times New Roman" w:hAnsi="Times New Roman" w:cs="Times New Roman"/>
                <w:snapToGrid w:val="0"/>
                <w:sz w:val="18"/>
                <w:szCs w:val="18"/>
              </w:rPr>
              <w:t>储罐个数</w:t>
            </w:r>
          </w:p>
        </w:tc>
        <w:tc>
          <w:tcPr>
            <w:tcW w:w="2409" w:type="pct"/>
            <w:gridSpan w:val="3"/>
            <w:vAlign w:val="center"/>
          </w:tcPr>
          <w:p w14:paraId="4CF38A06">
            <w:pPr>
              <w:jc w:val="center"/>
              <w:rPr>
                <w:rFonts w:ascii="Times New Roman" w:hAnsi="Times New Roman" w:cs="Times New Roman"/>
                <w:snapToGrid w:val="0"/>
                <w:sz w:val="18"/>
                <w:szCs w:val="18"/>
              </w:rPr>
            </w:pPr>
            <w:r>
              <w:rPr>
                <w:rFonts w:ascii="Times New Roman" w:hAnsi="Times New Roman" w:cs="Times New Roman"/>
                <w:snapToGrid w:val="0"/>
                <w:sz w:val="18"/>
                <w:szCs w:val="18"/>
              </w:rPr>
              <w:t>产生量（t/a）</w:t>
            </w:r>
          </w:p>
        </w:tc>
      </w:tr>
      <w:tr w14:paraId="58D4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vMerge w:val="continue"/>
            <w:vAlign w:val="center"/>
          </w:tcPr>
          <w:p w14:paraId="26275CB1">
            <w:pPr>
              <w:autoSpaceDE w:val="0"/>
              <w:autoSpaceDN w:val="0"/>
              <w:jc w:val="center"/>
              <w:rPr>
                <w:rFonts w:ascii="Times New Roman" w:hAnsi="Times New Roman" w:cs="Times New Roman"/>
                <w:snapToGrid w:val="0"/>
                <w:sz w:val="18"/>
                <w:szCs w:val="18"/>
              </w:rPr>
            </w:pPr>
          </w:p>
        </w:tc>
        <w:tc>
          <w:tcPr>
            <w:tcW w:w="1564" w:type="pct"/>
            <w:vMerge w:val="continue"/>
            <w:vAlign w:val="center"/>
          </w:tcPr>
          <w:p w14:paraId="4F1BB057">
            <w:pPr>
              <w:jc w:val="center"/>
              <w:rPr>
                <w:rFonts w:ascii="Times New Roman" w:hAnsi="Times New Roman" w:cs="Times New Roman"/>
                <w:snapToGrid w:val="0"/>
                <w:sz w:val="18"/>
                <w:szCs w:val="18"/>
              </w:rPr>
            </w:pPr>
          </w:p>
        </w:tc>
        <w:tc>
          <w:tcPr>
            <w:tcW w:w="521" w:type="pct"/>
            <w:vMerge w:val="continue"/>
            <w:tcMar>
              <w:top w:w="0" w:type="dxa"/>
              <w:left w:w="28" w:type="dxa"/>
              <w:bottom w:w="0" w:type="dxa"/>
              <w:right w:w="28" w:type="dxa"/>
            </w:tcMar>
            <w:vAlign w:val="center"/>
          </w:tcPr>
          <w:p w14:paraId="7448E2BA">
            <w:pPr>
              <w:jc w:val="center"/>
              <w:rPr>
                <w:rFonts w:ascii="Times New Roman" w:hAnsi="Times New Roman" w:cs="Times New Roman"/>
                <w:snapToGrid w:val="0"/>
                <w:sz w:val="18"/>
                <w:szCs w:val="18"/>
              </w:rPr>
            </w:pPr>
          </w:p>
        </w:tc>
        <w:tc>
          <w:tcPr>
            <w:tcW w:w="911" w:type="pct"/>
            <w:vAlign w:val="center"/>
          </w:tcPr>
          <w:p w14:paraId="2B2EF3B4">
            <w:pPr>
              <w:jc w:val="center"/>
              <w:rPr>
                <w:rFonts w:ascii="Times New Roman" w:hAnsi="Times New Roman" w:cs="Times New Roman"/>
                <w:snapToGrid w:val="0"/>
                <w:sz w:val="18"/>
                <w:szCs w:val="18"/>
              </w:rPr>
            </w:pPr>
            <w:r>
              <w:rPr>
                <w:rFonts w:ascii="Times New Roman" w:hAnsi="Times New Roman" w:cs="Times New Roman"/>
                <w:sz w:val="18"/>
                <w:szCs w:val="18"/>
              </w:rPr>
              <w:t>静置损失（t/y）</w:t>
            </w:r>
          </w:p>
        </w:tc>
        <w:tc>
          <w:tcPr>
            <w:tcW w:w="678" w:type="pct"/>
            <w:vAlign w:val="center"/>
          </w:tcPr>
          <w:p w14:paraId="43481D3A">
            <w:pPr>
              <w:jc w:val="center"/>
              <w:rPr>
                <w:rFonts w:ascii="Times New Roman" w:hAnsi="Times New Roman" w:cs="Times New Roman"/>
                <w:snapToGrid w:val="0"/>
                <w:sz w:val="18"/>
                <w:szCs w:val="18"/>
              </w:rPr>
            </w:pPr>
            <w:r>
              <w:rPr>
                <w:rFonts w:ascii="Times New Roman" w:hAnsi="Times New Roman" w:cs="Times New Roman"/>
                <w:snapToGrid w:val="0"/>
                <w:sz w:val="18"/>
                <w:szCs w:val="18"/>
              </w:rPr>
              <w:t>工作损失(t/y）</w:t>
            </w:r>
          </w:p>
        </w:tc>
        <w:tc>
          <w:tcPr>
            <w:tcW w:w="819" w:type="pct"/>
            <w:vAlign w:val="center"/>
          </w:tcPr>
          <w:p w14:paraId="409615EF">
            <w:pPr>
              <w:jc w:val="center"/>
              <w:rPr>
                <w:rFonts w:ascii="Times New Roman" w:hAnsi="Times New Roman" w:cs="Times New Roman"/>
                <w:sz w:val="18"/>
                <w:szCs w:val="18"/>
              </w:rPr>
            </w:pPr>
            <w:r>
              <w:rPr>
                <w:rFonts w:ascii="Times New Roman" w:hAnsi="Times New Roman" w:cs="Times New Roman"/>
                <w:snapToGrid w:val="0"/>
                <w:sz w:val="18"/>
                <w:szCs w:val="18"/>
              </w:rPr>
              <w:t>损失总量(t/y）</w:t>
            </w:r>
          </w:p>
        </w:tc>
      </w:tr>
      <w:tr w14:paraId="6207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vMerge w:val="restart"/>
            <w:vAlign w:val="center"/>
          </w:tcPr>
          <w:p w14:paraId="61A15EDD">
            <w:pPr>
              <w:autoSpaceDE w:val="0"/>
              <w:autoSpaceDN w:val="0"/>
              <w:jc w:val="center"/>
              <w:rPr>
                <w:rFonts w:ascii="Times New Roman" w:hAnsi="Times New Roman" w:cs="Times New Roman"/>
                <w:sz w:val="18"/>
                <w:szCs w:val="18"/>
              </w:rPr>
            </w:pPr>
            <w:r>
              <w:rPr>
                <w:rFonts w:ascii="Times New Roman" w:hAnsi="Times New Roman" w:cs="Times New Roman"/>
                <w:sz w:val="18"/>
                <w:szCs w:val="18"/>
              </w:rPr>
              <w:t>综合罐组</w:t>
            </w:r>
          </w:p>
        </w:tc>
        <w:tc>
          <w:tcPr>
            <w:tcW w:w="1564" w:type="pct"/>
            <w:vAlign w:val="center"/>
          </w:tcPr>
          <w:p w14:paraId="06C11CA1">
            <w:pPr>
              <w:jc w:val="center"/>
              <w:rPr>
                <w:rFonts w:ascii="Times New Roman" w:hAnsi="Times New Roman" w:cs="Times New Roman"/>
                <w:snapToGrid w:val="0"/>
                <w:sz w:val="18"/>
                <w:szCs w:val="18"/>
              </w:rPr>
            </w:pPr>
            <w:r>
              <w:rPr>
                <w:rFonts w:ascii="Times New Roman" w:hAnsi="Times New Roman" w:cs="Times New Roman"/>
                <w:snapToGrid w:val="0"/>
                <w:sz w:val="18"/>
                <w:szCs w:val="18"/>
              </w:rPr>
              <w:t>DMO不合格罐</w:t>
            </w:r>
          </w:p>
        </w:tc>
        <w:tc>
          <w:tcPr>
            <w:tcW w:w="521" w:type="pct"/>
            <w:tcMar>
              <w:top w:w="0" w:type="dxa"/>
              <w:left w:w="28" w:type="dxa"/>
              <w:bottom w:w="0" w:type="dxa"/>
              <w:right w:w="28" w:type="dxa"/>
            </w:tcMar>
            <w:vAlign w:val="center"/>
          </w:tcPr>
          <w:p w14:paraId="397405E2">
            <w:pPr>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1553" w:type="dxa"/>
            <w:vAlign w:val="center"/>
          </w:tcPr>
          <w:p w14:paraId="33128E30">
            <w:pPr>
              <w:jc w:val="center"/>
              <w:textAlignment w:val="center"/>
              <w:rPr>
                <w:rFonts w:ascii="Times New Roman" w:hAnsi="Times New Roman" w:cs="Times New Roman"/>
                <w:sz w:val="18"/>
                <w:szCs w:val="18"/>
              </w:rPr>
            </w:pPr>
            <w:r>
              <w:rPr>
                <w:rFonts w:ascii="Times New Roman" w:hAnsi="Times New Roman" w:cs="Times New Roman"/>
                <w:color w:val="000000"/>
                <w:sz w:val="18"/>
                <w:szCs w:val="18"/>
              </w:rPr>
              <w:t>0.092</w:t>
            </w:r>
          </w:p>
        </w:tc>
        <w:tc>
          <w:tcPr>
            <w:tcW w:w="1156" w:type="dxa"/>
            <w:vAlign w:val="center"/>
          </w:tcPr>
          <w:p w14:paraId="69E58E2B">
            <w:pPr>
              <w:jc w:val="center"/>
              <w:textAlignment w:val="center"/>
              <w:rPr>
                <w:rFonts w:ascii="Times New Roman" w:hAnsi="Times New Roman" w:cs="Times New Roman"/>
                <w:snapToGrid w:val="0"/>
                <w:sz w:val="18"/>
                <w:szCs w:val="18"/>
              </w:rPr>
            </w:pPr>
            <w:r>
              <w:rPr>
                <w:rFonts w:ascii="Times New Roman" w:hAnsi="Times New Roman" w:cs="Times New Roman"/>
                <w:color w:val="000000"/>
                <w:sz w:val="18"/>
                <w:szCs w:val="18"/>
              </w:rPr>
              <w:t>0.086</w:t>
            </w:r>
          </w:p>
        </w:tc>
        <w:tc>
          <w:tcPr>
            <w:tcW w:w="1398" w:type="dxa"/>
            <w:vAlign w:val="center"/>
          </w:tcPr>
          <w:p w14:paraId="268BF372">
            <w:pPr>
              <w:jc w:val="center"/>
              <w:textAlignment w:val="center"/>
              <w:rPr>
                <w:rFonts w:ascii="Times New Roman" w:hAnsi="Times New Roman" w:cs="Times New Roman"/>
                <w:snapToGrid w:val="0"/>
                <w:sz w:val="18"/>
                <w:szCs w:val="18"/>
              </w:rPr>
            </w:pPr>
            <w:r>
              <w:rPr>
                <w:rFonts w:ascii="Times New Roman" w:hAnsi="Times New Roman" w:cs="Times New Roman"/>
                <w:color w:val="000000"/>
                <w:sz w:val="18"/>
                <w:szCs w:val="18"/>
              </w:rPr>
              <w:t>0.178</w:t>
            </w:r>
          </w:p>
        </w:tc>
      </w:tr>
      <w:tr w14:paraId="355C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4" w:type="pct"/>
            <w:vMerge w:val="continue"/>
            <w:tcMar>
              <w:top w:w="0" w:type="dxa"/>
              <w:left w:w="28" w:type="dxa"/>
              <w:bottom w:w="0" w:type="dxa"/>
              <w:right w:w="28" w:type="dxa"/>
            </w:tcMar>
            <w:vAlign w:val="center"/>
          </w:tcPr>
          <w:p w14:paraId="4629F648">
            <w:pPr>
              <w:autoSpaceDE w:val="0"/>
              <w:autoSpaceDN w:val="0"/>
              <w:jc w:val="center"/>
              <w:rPr>
                <w:rFonts w:ascii="Times New Roman" w:hAnsi="Times New Roman" w:cs="Times New Roman"/>
                <w:sz w:val="18"/>
                <w:szCs w:val="18"/>
              </w:rPr>
            </w:pPr>
          </w:p>
        </w:tc>
        <w:tc>
          <w:tcPr>
            <w:tcW w:w="1564" w:type="pct"/>
            <w:tcMar>
              <w:top w:w="0" w:type="dxa"/>
              <w:left w:w="28" w:type="dxa"/>
              <w:bottom w:w="0" w:type="dxa"/>
              <w:right w:w="28" w:type="dxa"/>
            </w:tcMar>
            <w:vAlign w:val="center"/>
          </w:tcPr>
          <w:p w14:paraId="52DA0391">
            <w:pPr>
              <w:jc w:val="center"/>
              <w:rPr>
                <w:rFonts w:ascii="Times New Roman" w:hAnsi="Times New Roman" w:cs="Times New Roman"/>
                <w:sz w:val="18"/>
                <w:szCs w:val="18"/>
              </w:rPr>
            </w:pPr>
            <w:r>
              <w:rPr>
                <w:rFonts w:ascii="Times New Roman" w:hAnsi="Times New Roman" w:cs="Times New Roman"/>
                <w:sz w:val="18"/>
                <w:szCs w:val="18"/>
              </w:rPr>
              <w:t>重质DMO罐</w:t>
            </w:r>
          </w:p>
        </w:tc>
        <w:tc>
          <w:tcPr>
            <w:tcW w:w="521" w:type="pct"/>
            <w:tcMar>
              <w:top w:w="0" w:type="dxa"/>
              <w:left w:w="28" w:type="dxa"/>
              <w:bottom w:w="0" w:type="dxa"/>
              <w:right w:w="28" w:type="dxa"/>
            </w:tcMar>
            <w:vAlign w:val="center"/>
          </w:tcPr>
          <w:p w14:paraId="10C7C299">
            <w:pPr>
              <w:jc w:val="center"/>
              <w:rPr>
                <w:rFonts w:ascii="Times New Roman" w:hAnsi="Times New Roman" w:cs="Times New Roman"/>
                <w:snapToGrid w:val="0"/>
                <w:sz w:val="18"/>
                <w:szCs w:val="18"/>
              </w:rPr>
            </w:pPr>
            <w:r>
              <w:rPr>
                <w:rFonts w:ascii="Times New Roman" w:hAnsi="Times New Roman" w:cs="Times New Roman"/>
                <w:snapToGrid w:val="0"/>
                <w:sz w:val="18"/>
                <w:szCs w:val="18"/>
              </w:rPr>
              <w:t>1</w:t>
            </w:r>
          </w:p>
        </w:tc>
        <w:tc>
          <w:tcPr>
            <w:tcW w:w="911" w:type="pct"/>
            <w:vAlign w:val="center"/>
          </w:tcPr>
          <w:p w14:paraId="5A8110CB">
            <w:pPr>
              <w:jc w:val="center"/>
              <w:rPr>
                <w:rFonts w:ascii="Times New Roman" w:hAnsi="Times New Roman" w:cs="Times New Roman"/>
                <w:snapToGrid w:val="0"/>
                <w:sz w:val="18"/>
                <w:szCs w:val="18"/>
              </w:rPr>
            </w:pPr>
            <w:r>
              <w:rPr>
                <w:rFonts w:ascii="Times New Roman" w:hAnsi="Times New Roman" w:cs="Times New Roman"/>
                <w:snapToGrid w:val="0"/>
                <w:sz w:val="18"/>
                <w:szCs w:val="18"/>
              </w:rPr>
              <w:t>0.022</w:t>
            </w:r>
          </w:p>
        </w:tc>
        <w:tc>
          <w:tcPr>
            <w:tcW w:w="678" w:type="pct"/>
            <w:vAlign w:val="center"/>
          </w:tcPr>
          <w:p w14:paraId="246E11D7">
            <w:pPr>
              <w:jc w:val="center"/>
              <w:rPr>
                <w:rFonts w:ascii="Times New Roman" w:hAnsi="Times New Roman" w:cs="Times New Roman"/>
                <w:snapToGrid w:val="0"/>
                <w:sz w:val="18"/>
                <w:szCs w:val="18"/>
              </w:rPr>
            </w:pPr>
            <w:r>
              <w:rPr>
                <w:rFonts w:ascii="Times New Roman" w:hAnsi="Times New Roman" w:cs="Times New Roman"/>
                <w:snapToGrid w:val="0"/>
                <w:sz w:val="18"/>
                <w:szCs w:val="18"/>
              </w:rPr>
              <w:t>0.021</w:t>
            </w:r>
          </w:p>
        </w:tc>
        <w:tc>
          <w:tcPr>
            <w:tcW w:w="819" w:type="pct"/>
            <w:vAlign w:val="center"/>
          </w:tcPr>
          <w:p w14:paraId="2DAF33A2">
            <w:pPr>
              <w:jc w:val="center"/>
              <w:rPr>
                <w:rFonts w:ascii="Times New Roman" w:hAnsi="Times New Roman" w:cs="Times New Roman"/>
                <w:snapToGrid w:val="0"/>
                <w:sz w:val="18"/>
                <w:szCs w:val="18"/>
              </w:rPr>
            </w:pPr>
            <w:r>
              <w:rPr>
                <w:rFonts w:ascii="Times New Roman" w:hAnsi="Times New Roman" w:cs="Times New Roman"/>
                <w:snapToGrid w:val="0"/>
                <w:sz w:val="18"/>
                <w:szCs w:val="18"/>
              </w:rPr>
              <w:t>0.043</w:t>
            </w:r>
          </w:p>
        </w:tc>
      </w:tr>
      <w:tr w14:paraId="57B3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tcMar>
              <w:top w:w="0" w:type="dxa"/>
              <w:left w:w="28" w:type="dxa"/>
              <w:bottom w:w="0" w:type="dxa"/>
              <w:right w:w="28" w:type="dxa"/>
            </w:tcMar>
            <w:vAlign w:val="center"/>
          </w:tcPr>
          <w:p w14:paraId="3AEB2D64">
            <w:pPr>
              <w:autoSpaceDE w:val="0"/>
              <w:autoSpaceDN w:val="0"/>
              <w:jc w:val="center"/>
              <w:rPr>
                <w:rFonts w:ascii="Times New Roman" w:hAnsi="Times New Roman" w:cs="Times New Roman"/>
                <w:sz w:val="18"/>
                <w:szCs w:val="18"/>
              </w:rPr>
            </w:pPr>
            <w:r>
              <w:rPr>
                <w:rFonts w:ascii="Times New Roman" w:hAnsi="Times New Roman" w:cs="Times New Roman"/>
                <w:sz w:val="18"/>
                <w:szCs w:val="18"/>
              </w:rPr>
              <w:t>中间产品罐组</w:t>
            </w:r>
          </w:p>
        </w:tc>
        <w:tc>
          <w:tcPr>
            <w:tcW w:w="1564" w:type="pct"/>
            <w:tcMar>
              <w:top w:w="0" w:type="dxa"/>
              <w:left w:w="28" w:type="dxa"/>
              <w:bottom w:w="0" w:type="dxa"/>
              <w:right w:w="28" w:type="dxa"/>
            </w:tcMar>
            <w:vAlign w:val="center"/>
          </w:tcPr>
          <w:p w14:paraId="6B3937B5">
            <w:pPr>
              <w:jc w:val="center"/>
              <w:rPr>
                <w:rFonts w:ascii="Times New Roman" w:hAnsi="Times New Roman" w:cs="Times New Roman"/>
                <w:sz w:val="18"/>
                <w:szCs w:val="18"/>
              </w:rPr>
            </w:pPr>
            <w:r>
              <w:rPr>
                <w:rFonts w:ascii="Times New Roman" w:hAnsi="Times New Roman" w:cs="Times New Roman"/>
                <w:sz w:val="18"/>
                <w:szCs w:val="18"/>
              </w:rPr>
              <w:t>DMO中间产品罐</w:t>
            </w:r>
          </w:p>
        </w:tc>
        <w:tc>
          <w:tcPr>
            <w:tcW w:w="521" w:type="pct"/>
            <w:tcMar>
              <w:top w:w="0" w:type="dxa"/>
              <w:left w:w="28" w:type="dxa"/>
              <w:bottom w:w="0" w:type="dxa"/>
              <w:right w:w="28" w:type="dxa"/>
            </w:tcMar>
            <w:vAlign w:val="center"/>
          </w:tcPr>
          <w:p w14:paraId="0D1B078E">
            <w:pPr>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1553" w:type="dxa"/>
            <w:vAlign w:val="center"/>
          </w:tcPr>
          <w:p w14:paraId="60FD7C2B">
            <w:pPr>
              <w:jc w:val="center"/>
              <w:textAlignment w:val="center"/>
              <w:rPr>
                <w:rFonts w:ascii="Times New Roman" w:hAnsi="Times New Roman" w:cs="Times New Roman"/>
                <w:snapToGrid w:val="0"/>
                <w:sz w:val="18"/>
                <w:szCs w:val="18"/>
              </w:rPr>
            </w:pPr>
            <w:r>
              <w:rPr>
                <w:rFonts w:ascii="Times New Roman" w:hAnsi="Times New Roman" w:cs="Times New Roman"/>
                <w:color w:val="000000"/>
                <w:sz w:val="18"/>
                <w:szCs w:val="18"/>
              </w:rPr>
              <w:t>0.32</w:t>
            </w:r>
          </w:p>
        </w:tc>
        <w:tc>
          <w:tcPr>
            <w:tcW w:w="1156" w:type="dxa"/>
            <w:vAlign w:val="center"/>
          </w:tcPr>
          <w:p w14:paraId="7791768D">
            <w:pPr>
              <w:jc w:val="center"/>
              <w:textAlignment w:val="center"/>
              <w:rPr>
                <w:rFonts w:ascii="Times New Roman" w:hAnsi="Times New Roman" w:cs="Times New Roman"/>
                <w:snapToGrid w:val="0"/>
                <w:sz w:val="18"/>
                <w:szCs w:val="18"/>
              </w:rPr>
            </w:pPr>
            <w:r>
              <w:rPr>
                <w:rFonts w:ascii="Times New Roman" w:hAnsi="Times New Roman" w:cs="Times New Roman"/>
                <w:color w:val="000000"/>
                <w:sz w:val="18"/>
                <w:szCs w:val="18"/>
              </w:rPr>
              <w:t>1.16</w:t>
            </w:r>
          </w:p>
        </w:tc>
        <w:tc>
          <w:tcPr>
            <w:tcW w:w="1398" w:type="dxa"/>
            <w:vAlign w:val="center"/>
          </w:tcPr>
          <w:p w14:paraId="227E05DF">
            <w:pPr>
              <w:jc w:val="center"/>
              <w:textAlignment w:val="center"/>
              <w:rPr>
                <w:rFonts w:ascii="Times New Roman" w:hAnsi="Times New Roman" w:cs="Times New Roman"/>
                <w:snapToGrid w:val="0"/>
                <w:sz w:val="18"/>
                <w:szCs w:val="18"/>
              </w:rPr>
            </w:pPr>
            <w:r>
              <w:rPr>
                <w:rFonts w:ascii="Times New Roman" w:hAnsi="Times New Roman" w:cs="Times New Roman"/>
                <w:color w:val="000000"/>
                <w:sz w:val="18"/>
                <w:szCs w:val="18"/>
              </w:rPr>
              <w:t>1.48</w:t>
            </w:r>
          </w:p>
        </w:tc>
      </w:tr>
      <w:bookmarkEnd w:id="214"/>
    </w:tbl>
    <w:p w14:paraId="2F5304ED">
      <w:pPr>
        <w:pStyle w:val="645"/>
        <w:rPr>
          <w:rFonts w:hint="eastAsia"/>
        </w:rPr>
      </w:pPr>
      <w:r>
        <w:rPr>
          <w:rFonts w:hint="eastAsia"/>
        </w:rPr>
        <w:t>表3.4.3-2    内浮顶罐废气产生情况表（单位：t/a）</w:t>
      </w:r>
    </w:p>
    <w:tbl>
      <w:tblPr>
        <w:tblStyle w:val="65"/>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172"/>
        <w:gridCol w:w="487"/>
        <w:gridCol w:w="1001"/>
        <w:gridCol w:w="1001"/>
        <w:gridCol w:w="1001"/>
        <w:gridCol w:w="1001"/>
        <w:gridCol w:w="1001"/>
      </w:tblGrid>
      <w:tr w14:paraId="6DF1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6" w:type="dxa"/>
            <w:vMerge w:val="restart"/>
            <w:vAlign w:val="center"/>
          </w:tcPr>
          <w:p w14:paraId="1EF0BC0F">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位置</w:t>
            </w:r>
          </w:p>
        </w:tc>
        <w:tc>
          <w:tcPr>
            <w:tcW w:w="2172" w:type="dxa"/>
            <w:vMerge w:val="restart"/>
            <w:vAlign w:val="center"/>
          </w:tcPr>
          <w:p w14:paraId="146B5BA0">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装置名称</w:t>
            </w:r>
          </w:p>
        </w:tc>
        <w:tc>
          <w:tcPr>
            <w:tcW w:w="487" w:type="dxa"/>
            <w:vMerge w:val="restart"/>
            <w:vAlign w:val="center"/>
          </w:tcPr>
          <w:p w14:paraId="75A6CA3C">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数量</w:t>
            </w:r>
          </w:p>
        </w:tc>
        <w:tc>
          <w:tcPr>
            <w:tcW w:w="5005" w:type="dxa"/>
            <w:gridSpan w:val="5"/>
            <w:vAlign w:val="center"/>
          </w:tcPr>
          <w:p w14:paraId="1AA95A15">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产生量（t/a）</w:t>
            </w:r>
          </w:p>
        </w:tc>
      </w:tr>
      <w:tr w14:paraId="66DB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56" w:type="dxa"/>
            <w:vMerge w:val="continue"/>
            <w:vAlign w:val="center"/>
          </w:tcPr>
          <w:p w14:paraId="68F63F82">
            <w:pPr>
              <w:autoSpaceDE w:val="0"/>
              <w:autoSpaceDN w:val="0"/>
              <w:jc w:val="center"/>
              <w:rPr>
                <w:rFonts w:ascii="Times New Roman" w:hAnsi="Times New Roman" w:cs="Times New Roman"/>
                <w:sz w:val="18"/>
                <w:szCs w:val="18"/>
                <w:lang w:bidi="en-US"/>
              </w:rPr>
            </w:pPr>
          </w:p>
        </w:tc>
        <w:tc>
          <w:tcPr>
            <w:tcW w:w="2172" w:type="dxa"/>
            <w:vMerge w:val="continue"/>
            <w:vAlign w:val="center"/>
          </w:tcPr>
          <w:p w14:paraId="49EF5BBB">
            <w:pPr>
              <w:autoSpaceDE w:val="0"/>
              <w:autoSpaceDN w:val="0"/>
              <w:jc w:val="center"/>
              <w:rPr>
                <w:rFonts w:ascii="Times New Roman" w:hAnsi="Times New Roman" w:cs="Times New Roman"/>
                <w:sz w:val="18"/>
                <w:szCs w:val="18"/>
                <w:lang w:bidi="en-US"/>
              </w:rPr>
            </w:pPr>
          </w:p>
        </w:tc>
        <w:tc>
          <w:tcPr>
            <w:tcW w:w="487" w:type="dxa"/>
            <w:vMerge w:val="continue"/>
            <w:vAlign w:val="center"/>
          </w:tcPr>
          <w:p w14:paraId="7E9EF849">
            <w:pPr>
              <w:autoSpaceDE w:val="0"/>
              <w:autoSpaceDN w:val="0"/>
              <w:jc w:val="center"/>
              <w:rPr>
                <w:rFonts w:ascii="Times New Roman" w:hAnsi="Times New Roman" w:cs="Times New Roman"/>
                <w:sz w:val="18"/>
                <w:szCs w:val="18"/>
                <w:lang w:bidi="en-US"/>
              </w:rPr>
            </w:pPr>
          </w:p>
        </w:tc>
        <w:tc>
          <w:tcPr>
            <w:tcW w:w="1001" w:type="dxa"/>
            <w:vAlign w:val="center"/>
          </w:tcPr>
          <w:p w14:paraId="33A8032E">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边缘密封损失（t/y）</w:t>
            </w:r>
          </w:p>
        </w:tc>
        <w:tc>
          <w:tcPr>
            <w:tcW w:w="1001" w:type="dxa"/>
            <w:vAlign w:val="center"/>
          </w:tcPr>
          <w:p w14:paraId="4F8EBC86">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挂壁损失(t/y）</w:t>
            </w:r>
          </w:p>
        </w:tc>
        <w:tc>
          <w:tcPr>
            <w:tcW w:w="1001" w:type="dxa"/>
            <w:vAlign w:val="center"/>
          </w:tcPr>
          <w:p w14:paraId="31E33F17">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浮盘附件损失(t/y）</w:t>
            </w:r>
          </w:p>
        </w:tc>
        <w:tc>
          <w:tcPr>
            <w:tcW w:w="1001" w:type="dxa"/>
            <w:vAlign w:val="center"/>
          </w:tcPr>
          <w:p w14:paraId="75F82A19">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盘缝损失（t/y）</w:t>
            </w:r>
          </w:p>
        </w:tc>
        <w:tc>
          <w:tcPr>
            <w:tcW w:w="1001" w:type="dxa"/>
            <w:vAlign w:val="center"/>
          </w:tcPr>
          <w:p w14:paraId="4C73EBA1">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损失总量</w:t>
            </w:r>
          </w:p>
          <w:p w14:paraId="162364B8">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(t/y）</w:t>
            </w:r>
          </w:p>
        </w:tc>
      </w:tr>
      <w:tr w14:paraId="5B4A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6" w:type="dxa"/>
            <w:vMerge w:val="restart"/>
            <w:vAlign w:val="center"/>
          </w:tcPr>
          <w:p w14:paraId="14039336">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综合罐组</w:t>
            </w:r>
          </w:p>
        </w:tc>
        <w:tc>
          <w:tcPr>
            <w:tcW w:w="2172" w:type="dxa"/>
            <w:vAlign w:val="center"/>
          </w:tcPr>
          <w:p w14:paraId="6833390F">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碳酸二甲酯储罐</w:t>
            </w:r>
          </w:p>
        </w:tc>
        <w:tc>
          <w:tcPr>
            <w:tcW w:w="487" w:type="dxa"/>
            <w:vAlign w:val="center"/>
          </w:tcPr>
          <w:p w14:paraId="1020E85E">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2</w:t>
            </w:r>
          </w:p>
        </w:tc>
        <w:tc>
          <w:tcPr>
            <w:tcW w:w="1001" w:type="dxa"/>
            <w:vAlign w:val="center"/>
          </w:tcPr>
          <w:p w14:paraId="597F118C">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0.168</w:t>
            </w:r>
          </w:p>
        </w:tc>
        <w:tc>
          <w:tcPr>
            <w:tcW w:w="1001" w:type="dxa"/>
            <w:vAlign w:val="center"/>
          </w:tcPr>
          <w:p w14:paraId="7AD118EC">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1.72</w:t>
            </w:r>
          </w:p>
        </w:tc>
        <w:tc>
          <w:tcPr>
            <w:tcW w:w="1001" w:type="dxa"/>
            <w:vAlign w:val="center"/>
          </w:tcPr>
          <w:p w14:paraId="42B6199C">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0.26</w:t>
            </w:r>
          </w:p>
        </w:tc>
        <w:tc>
          <w:tcPr>
            <w:tcW w:w="1001" w:type="dxa"/>
            <w:vAlign w:val="center"/>
          </w:tcPr>
          <w:p w14:paraId="5F014385">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0.34</w:t>
            </w:r>
          </w:p>
        </w:tc>
        <w:tc>
          <w:tcPr>
            <w:tcW w:w="1001" w:type="dxa"/>
            <w:vAlign w:val="center"/>
          </w:tcPr>
          <w:p w14:paraId="4E883AF4">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2.46</w:t>
            </w:r>
          </w:p>
        </w:tc>
      </w:tr>
      <w:tr w14:paraId="2F35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6" w:type="dxa"/>
            <w:vMerge w:val="continue"/>
            <w:vAlign w:val="center"/>
          </w:tcPr>
          <w:p w14:paraId="549900B7">
            <w:pPr>
              <w:autoSpaceDE w:val="0"/>
              <w:autoSpaceDN w:val="0"/>
              <w:jc w:val="center"/>
              <w:rPr>
                <w:rFonts w:ascii="Times New Roman" w:hAnsi="Times New Roman" w:cs="Times New Roman"/>
                <w:sz w:val="18"/>
                <w:szCs w:val="18"/>
                <w:lang w:bidi="en-US"/>
              </w:rPr>
            </w:pPr>
          </w:p>
        </w:tc>
        <w:tc>
          <w:tcPr>
            <w:tcW w:w="2172" w:type="dxa"/>
            <w:vAlign w:val="center"/>
          </w:tcPr>
          <w:p w14:paraId="0CBD529C">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甲醇储罐</w:t>
            </w:r>
          </w:p>
        </w:tc>
        <w:tc>
          <w:tcPr>
            <w:tcW w:w="487" w:type="dxa"/>
            <w:vAlign w:val="center"/>
          </w:tcPr>
          <w:p w14:paraId="5616F440">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2</w:t>
            </w:r>
          </w:p>
        </w:tc>
        <w:tc>
          <w:tcPr>
            <w:tcW w:w="1001" w:type="dxa"/>
            <w:vAlign w:val="center"/>
          </w:tcPr>
          <w:p w14:paraId="49A52353">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0.04</w:t>
            </w:r>
          </w:p>
        </w:tc>
        <w:tc>
          <w:tcPr>
            <w:tcW w:w="1001" w:type="dxa"/>
            <w:vAlign w:val="center"/>
          </w:tcPr>
          <w:p w14:paraId="5F490C74">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1.72</w:t>
            </w:r>
          </w:p>
        </w:tc>
        <w:tc>
          <w:tcPr>
            <w:tcW w:w="1001" w:type="dxa"/>
            <w:vAlign w:val="center"/>
          </w:tcPr>
          <w:p w14:paraId="106FAE29">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0.36</w:t>
            </w:r>
          </w:p>
        </w:tc>
        <w:tc>
          <w:tcPr>
            <w:tcW w:w="1001" w:type="dxa"/>
            <w:vAlign w:val="center"/>
          </w:tcPr>
          <w:p w14:paraId="27792394">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0.08</w:t>
            </w:r>
          </w:p>
        </w:tc>
        <w:tc>
          <w:tcPr>
            <w:tcW w:w="1001" w:type="dxa"/>
            <w:vAlign w:val="center"/>
          </w:tcPr>
          <w:p w14:paraId="6D569F95">
            <w:pPr>
              <w:jc w:val="center"/>
              <w:textAlignment w:val="center"/>
              <w:rPr>
                <w:rFonts w:ascii="Times New Roman" w:hAnsi="Times New Roman" w:cs="Times New Roman"/>
                <w:sz w:val="18"/>
                <w:szCs w:val="18"/>
                <w:lang w:bidi="en-US"/>
              </w:rPr>
            </w:pPr>
            <w:r>
              <w:rPr>
                <w:rFonts w:ascii="Times New Roman" w:hAnsi="Times New Roman" w:cs="Times New Roman"/>
                <w:color w:val="000000"/>
                <w:sz w:val="18"/>
                <w:szCs w:val="18"/>
              </w:rPr>
              <w:t>2.18</w:t>
            </w:r>
          </w:p>
        </w:tc>
      </w:tr>
      <w:tr w14:paraId="2022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6" w:type="dxa"/>
            <w:vMerge w:val="continue"/>
            <w:vAlign w:val="center"/>
          </w:tcPr>
          <w:p w14:paraId="206E64D7">
            <w:pPr>
              <w:autoSpaceDE w:val="0"/>
              <w:autoSpaceDN w:val="0"/>
              <w:jc w:val="center"/>
              <w:rPr>
                <w:rFonts w:ascii="Times New Roman" w:hAnsi="Times New Roman" w:cs="Times New Roman"/>
                <w:sz w:val="18"/>
                <w:szCs w:val="18"/>
                <w:lang w:bidi="en-US"/>
              </w:rPr>
            </w:pPr>
          </w:p>
        </w:tc>
        <w:tc>
          <w:tcPr>
            <w:tcW w:w="2172" w:type="dxa"/>
            <w:vAlign w:val="center"/>
          </w:tcPr>
          <w:p w14:paraId="461F58AF">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甲醇中间罐</w:t>
            </w:r>
          </w:p>
        </w:tc>
        <w:tc>
          <w:tcPr>
            <w:tcW w:w="487" w:type="dxa"/>
            <w:vAlign w:val="center"/>
          </w:tcPr>
          <w:p w14:paraId="3B99FD7A">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1</w:t>
            </w:r>
          </w:p>
        </w:tc>
        <w:tc>
          <w:tcPr>
            <w:tcW w:w="1001" w:type="dxa"/>
            <w:vAlign w:val="center"/>
          </w:tcPr>
          <w:p w14:paraId="1D9E0B3D">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0.032</w:t>
            </w:r>
          </w:p>
        </w:tc>
        <w:tc>
          <w:tcPr>
            <w:tcW w:w="1001" w:type="dxa"/>
            <w:vAlign w:val="center"/>
          </w:tcPr>
          <w:p w14:paraId="5321D570">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1.70</w:t>
            </w:r>
          </w:p>
        </w:tc>
        <w:tc>
          <w:tcPr>
            <w:tcW w:w="1001" w:type="dxa"/>
            <w:vAlign w:val="center"/>
          </w:tcPr>
          <w:p w14:paraId="5405FEF4">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0.13</w:t>
            </w:r>
          </w:p>
        </w:tc>
        <w:tc>
          <w:tcPr>
            <w:tcW w:w="1001" w:type="dxa"/>
            <w:vAlign w:val="center"/>
          </w:tcPr>
          <w:p w14:paraId="0512CB9C">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0.11</w:t>
            </w:r>
          </w:p>
        </w:tc>
        <w:tc>
          <w:tcPr>
            <w:tcW w:w="1001" w:type="dxa"/>
            <w:vAlign w:val="center"/>
          </w:tcPr>
          <w:p w14:paraId="3D19C18A">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1.97</w:t>
            </w:r>
          </w:p>
        </w:tc>
      </w:tr>
      <w:tr w14:paraId="194B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6" w:type="dxa"/>
            <w:vMerge w:val="continue"/>
            <w:vAlign w:val="center"/>
          </w:tcPr>
          <w:p w14:paraId="6CB52F67">
            <w:pPr>
              <w:autoSpaceDE w:val="0"/>
              <w:autoSpaceDN w:val="0"/>
              <w:jc w:val="center"/>
              <w:rPr>
                <w:rFonts w:ascii="Times New Roman" w:hAnsi="Times New Roman" w:cs="Times New Roman"/>
                <w:sz w:val="18"/>
                <w:szCs w:val="18"/>
                <w:lang w:bidi="en-US"/>
              </w:rPr>
            </w:pPr>
          </w:p>
        </w:tc>
        <w:tc>
          <w:tcPr>
            <w:tcW w:w="2172" w:type="dxa"/>
            <w:vAlign w:val="center"/>
          </w:tcPr>
          <w:p w14:paraId="7DE86BB0">
            <w:pPr>
              <w:autoSpaceDE w:val="0"/>
              <w:autoSpaceDN w:val="0"/>
              <w:jc w:val="center"/>
              <w:rPr>
                <w:rFonts w:ascii="Times New Roman" w:hAnsi="Times New Roman" w:cs="Times New Roman"/>
                <w:sz w:val="18"/>
                <w:szCs w:val="18"/>
                <w:lang w:bidi="en-US"/>
              </w:rPr>
            </w:pPr>
            <w:r>
              <w:rPr>
                <w:rFonts w:ascii="Times New Roman" w:hAnsi="Times New Roman" w:cs="Times New Roman"/>
                <w:sz w:val="18"/>
                <w:szCs w:val="18"/>
                <w:lang w:bidi="en-US"/>
              </w:rPr>
              <w:t>合计</w:t>
            </w:r>
          </w:p>
        </w:tc>
        <w:tc>
          <w:tcPr>
            <w:tcW w:w="5492" w:type="dxa"/>
            <w:gridSpan w:val="6"/>
            <w:vAlign w:val="center"/>
          </w:tcPr>
          <w:p w14:paraId="58784715">
            <w:pPr>
              <w:autoSpaceDE w:val="0"/>
              <w:autoSpaceDN w:val="0"/>
              <w:jc w:val="center"/>
              <w:rPr>
                <w:rFonts w:ascii="Times New Roman" w:hAnsi="Times New Roman" w:cs="Times New Roman"/>
                <w:sz w:val="18"/>
                <w:szCs w:val="18"/>
                <w:lang w:bidi="en-US"/>
              </w:rPr>
            </w:pPr>
            <w:r>
              <w:rPr>
                <w:rFonts w:hint="eastAsia" w:ascii="Times New Roman" w:hAnsi="Times New Roman" w:cs="Times New Roman"/>
                <w:sz w:val="18"/>
                <w:szCs w:val="18"/>
                <w:lang w:bidi="en-US"/>
              </w:rPr>
              <w:t>6.61=</w:t>
            </w:r>
          </w:p>
        </w:tc>
      </w:tr>
    </w:tbl>
    <w:p w14:paraId="0BE26C6D">
      <w:pPr>
        <w:pStyle w:val="645"/>
        <w:rPr>
          <w:rFonts w:hint="eastAsia"/>
        </w:rPr>
      </w:pPr>
      <w:r>
        <w:rPr>
          <w:rFonts w:hint="eastAsia"/>
        </w:rPr>
        <w:t>表3.4.3-3    卧式罐废气产生情况表（单位：t/a）</w:t>
      </w:r>
    </w:p>
    <w:tbl>
      <w:tblPr>
        <w:tblStyle w:val="65"/>
        <w:tblW w:w="5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691"/>
        <w:gridCol w:w="896"/>
        <w:gridCol w:w="1567"/>
        <w:gridCol w:w="1167"/>
        <w:gridCol w:w="1413"/>
      </w:tblGrid>
      <w:tr w14:paraId="1CDB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vMerge w:val="restart"/>
            <w:tcMar>
              <w:top w:w="0" w:type="dxa"/>
              <w:left w:w="28" w:type="dxa"/>
              <w:bottom w:w="0" w:type="dxa"/>
              <w:right w:w="28" w:type="dxa"/>
            </w:tcMar>
            <w:vAlign w:val="center"/>
          </w:tcPr>
          <w:p w14:paraId="086636B1">
            <w:pPr>
              <w:autoSpaceDE w:val="0"/>
              <w:autoSpaceDN w:val="0"/>
              <w:jc w:val="center"/>
              <w:rPr>
                <w:rFonts w:ascii="Times New Roman" w:hAnsi="Times New Roman" w:cs="Times New Roman"/>
                <w:snapToGrid w:val="0"/>
                <w:sz w:val="18"/>
                <w:szCs w:val="18"/>
              </w:rPr>
            </w:pPr>
            <w:r>
              <w:rPr>
                <w:rFonts w:ascii="Times New Roman" w:hAnsi="Times New Roman" w:cs="Times New Roman"/>
                <w:snapToGrid w:val="0"/>
                <w:sz w:val="18"/>
                <w:szCs w:val="18"/>
              </w:rPr>
              <w:t>位置</w:t>
            </w:r>
          </w:p>
        </w:tc>
        <w:tc>
          <w:tcPr>
            <w:tcW w:w="1564" w:type="pct"/>
            <w:vMerge w:val="restart"/>
            <w:tcMar>
              <w:top w:w="0" w:type="dxa"/>
              <w:left w:w="28" w:type="dxa"/>
              <w:bottom w:w="0" w:type="dxa"/>
              <w:right w:w="28" w:type="dxa"/>
            </w:tcMar>
            <w:vAlign w:val="center"/>
          </w:tcPr>
          <w:p w14:paraId="544CD467">
            <w:pPr>
              <w:jc w:val="center"/>
              <w:rPr>
                <w:rFonts w:ascii="Times New Roman" w:hAnsi="Times New Roman" w:cs="Times New Roman"/>
                <w:snapToGrid w:val="0"/>
                <w:sz w:val="18"/>
                <w:szCs w:val="18"/>
              </w:rPr>
            </w:pPr>
            <w:r>
              <w:rPr>
                <w:rFonts w:ascii="Times New Roman" w:hAnsi="Times New Roman" w:cs="Times New Roman"/>
                <w:snapToGrid w:val="0"/>
                <w:sz w:val="18"/>
                <w:szCs w:val="18"/>
              </w:rPr>
              <w:t>装置名称</w:t>
            </w:r>
          </w:p>
        </w:tc>
        <w:tc>
          <w:tcPr>
            <w:tcW w:w="521" w:type="pct"/>
            <w:vMerge w:val="restart"/>
            <w:tcMar>
              <w:top w:w="0" w:type="dxa"/>
              <w:left w:w="28" w:type="dxa"/>
              <w:bottom w:w="0" w:type="dxa"/>
              <w:right w:w="28" w:type="dxa"/>
            </w:tcMar>
            <w:vAlign w:val="center"/>
          </w:tcPr>
          <w:p w14:paraId="227D64C9">
            <w:pPr>
              <w:jc w:val="center"/>
              <w:rPr>
                <w:rFonts w:ascii="Times New Roman" w:hAnsi="Times New Roman" w:cs="Times New Roman"/>
                <w:snapToGrid w:val="0"/>
                <w:sz w:val="18"/>
                <w:szCs w:val="18"/>
              </w:rPr>
            </w:pPr>
            <w:r>
              <w:rPr>
                <w:rFonts w:ascii="Times New Roman" w:hAnsi="Times New Roman" w:cs="Times New Roman"/>
                <w:snapToGrid w:val="0"/>
                <w:sz w:val="18"/>
                <w:szCs w:val="18"/>
              </w:rPr>
              <w:t>储罐个数</w:t>
            </w:r>
          </w:p>
        </w:tc>
        <w:tc>
          <w:tcPr>
            <w:tcW w:w="2410" w:type="pct"/>
            <w:gridSpan w:val="3"/>
            <w:vAlign w:val="center"/>
          </w:tcPr>
          <w:p w14:paraId="3F90460A">
            <w:pPr>
              <w:jc w:val="center"/>
              <w:rPr>
                <w:rFonts w:ascii="Times New Roman" w:hAnsi="Times New Roman" w:cs="Times New Roman"/>
                <w:snapToGrid w:val="0"/>
                <w:sz w:val="18"/>
                <w:szCs w:val="18"/>
              </w:rPr>
            </w:pPr>
            <w:r>
              <w:rPr>
                <w:rFonts w:ascii="Times New Roman" w:hAnsi="Times New Roman" w:cs="Times New Roman"/>
                <w:snapToGrid w:val="0"/>
                <w:sz w:val="18"/>
                <w:szCs w:val="18"/>
              </w:rPr>
              <w:t>产生量（t/a）</w:t>
            </w:r>
          </w:p>
        </w:tc>
      </w:tr>
      <w:tr w14:paraId="5C1B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04" w:type="pct"/>
            <w:vMerge w:val="continue"/>
            <w:vAlign w:val="center"/>
          </w:tcPr>
          <w:p w14:paraId="37FBAD8F">
            <w:pPr>
              <w:autoSpaceDE w:val="0"/>
              <w:autoSpaceDN w:val="0"/>
              <w:jc w:val="center"/>
              <w:rPr>
                <w:rFonts w:ascii="Times New Roman" w:hAnsi="Times New Roman" w:cs="Times New Roman"/>
                <w:snapToGrid w:val="0"/>
                <w:sz w:val="18"/>
                <w:szCs w:val="18"/>
              </w:rPr>
            </w:pPr>
          </w:p>
        </w:tc>
        <w:tc>
          <w:tcPr>
            <w:tcW w:w="1564" w:type="pct"/>
            <w:vMerge w:val="continue"/>
            <w:vAlign w:val="center"/>
          </w:tcPr>
          <w:p w14:paraId="4D3E1972">
            <w:pPr>
              <w:jc w:val="center"/>
              <w:rPr>
                <w:rFonts w:ascii="Times New Roman" w:hAnsi="Times New Roman" w:cs="Times New Roman"/>
                <w:snapToGrid w:val="0"/>
                <w:sz w:val="18"/>
                <w:szCs w:val="18"/>
              </w:rPr>
            </w:pPr>
          </w:p>
        </w:tc>
        <w:tc>
          <w:tcPr>
            <w:tcW w:w="521" w:type="pct"/>
            <w:vMerge w:val="continue"/>
            <w:tcMar>
              <w:top w:w="0" w:type="dxa"/>
              <w:left w:w="28" w:type="dxa"/>
              <w:bottom w:w="0" w:type="dxa"/>
              <w:right w:w="28" w:type="dxa"/>
            </w:tcMar>
            <w:vAlign w:val="center"/>
          </w:tcPr>
          <w:p w14:paraId="626303BA">
            <w:pPr>
              <w:jc w:val="center"/>
              <w:rPr>
                <w:rFonts w:ascii="Times New Roman" w:hAnsi="Times New Roman" w:cs="Times New Roman"/>
                <w:snapToGrid w:val="0"/>
                <w:sz w:val="18"/>
                <w:szCs w:val="18"/>
              </w:rPr>
            </w:pPr>
          </w:p>
        </w:tc>
        <w:tc>
          <w:tcPr>
            <w:tcW w:w="911" w:type="pct"/>
            <w:vAlign w:val="center"/>
          </w:tcPr>
          <w:p w14:paraId="0B92E432">
            <w:pPr>
              <w:jc w:val="center"/>
              <w:rPr>
                <w:rFonts w:ascii="Times New Roman" w:hAnsi="Times New Roman" w:cs="Times New Roman"/>
                <w:snapToGrid w:val="0"/>
                <w:sz w:val="18"/>
                <w:szCs w:val="18"/>
              </w:rPr>
            </w:pPr>
            <w:r>
              <w:rPr>
                <w:rFonts w:ascii="Times New Roman" w:hAnsi="Times New Roman" w:cs="Times New Roman"/>
                <w:sz w:val="18"/>
                <w:szCs w:val="18"/>
              </w:rPr>
              <w:t>静置损失（t/y）</w:t>
            </w:r>
          </w:p>
        </w:tc>
        <w:tc>
          <w:tcPr>
            <w:tcW w:w="678" w:type="pct"/>
            <w:vAlign w:val="center"/>
          </w:tcPr>
          <w:p w14:paraId="1D48FBAD">
            <w:pPr>
              <w:jc w:val="center"/>
              <w:rPr>
                <w:rFonts w:ascii="Times New Roman" w:hAnsi="Times New Roman" w:cs="Times New Roman"/>
                <w:snapToGrid w:val="0"/>
                <w:sz w:val="18"/>
                <w:szCs w:val="18"/>
              </w:rPr>
            </w:pPr>
            <w:r>
              <w:rPr>
                <w:rFonts w:ascii="Times New Roman" w:hAnsi="Times New Roman" w:cs="Times New Roman"/>
                <w:snapToGrid w:val="0"/>
                <w:sz w:val="18"/>
                <w:szCs w:val="18"/>
              </w:rPr>
              <w:t>工作损失(t/y）</w:t>
            </w:r>
          </w:p>
        </w:tc>
        <w:tc>
          <w:tcPr>
            <w:tcW w:w="820" w:type="pct"/>
            <w:vAlign w:val="center"/>
          </w:tcPr>
          <w:p w14:paraId="13EBE774">
            <w:pPr>
              <w:jc w:val="center"/>
              <w:rPr>
                <w:rFonts w:ascii="Times New Roman" w:hAnsi="Times New Roman" w:cs="Times New Roman"/>
                <w:sz w:val="18"/>
                <w:szCs w:val="18"/>
              </w:rPr>
            </w:pPr>
            <w:r>
              <w:rPr>
                <w:rFonts w:ascii="Times New Roman" w:hAnsi="Times New Roman" w:cs="Times New Roman"/>
                <w:snapToGrid w:val="0"/>
                <w:sz w:val="18"/>
                <w:szCs w:val="18"/>
              </w:rPr>
              <w:t>损失总量(t/y）</w:t>
            </w:r>
          </w:p>
        </w:tc>
      </w:tr>
      <w:tr w14:paraId="31FA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59" w:type="dxa"/>
            <w:vAlign w:val="center"/>
          </w:tcPr>
          <w:p w14:paraId="1488CCD7">
            <w:pPr>
              <w:autoSpaceDE w:val="0"/>
              <w:autoSpaceDN w:val="0"/>
              <w:jc w:val="center"/>
              <w:rPr>
                <w:rFonts w:ascii="Times New Roman" w:hAnsi="Times New Roman" w:cs="Times New Roman"/>
                <w:sz w:val="18"/>
                <w:szCs w:val="18"/>
              </w:rPr>
            </w:pPr>
            <w:r>
              <w:rPr>
                <w:rFonts w:ascii="Times New Roman" w:hAnsi="Times New Roman" w:cs="Times New Roman"/>
                <w:sz w:val="18"/>
                <w:szCs w:val="18"/>
                <w:lang w:bidi="en-US"/>
              </w:rPr>
              <w:t>综合罐组</w:t>
            </w:r>
          </w:p>
        </w:tc>
        <w:tc>
          <w:tcPr>
            <w:tcW w:w="2666" w:type="dxa"/>
            <w:vAlign w:val="center"/>
          </w:tcPr>
          <w:p w14:paraId="5F270183">
            <w:pPr>
              <w:autoSpaceDE w:val="0"/>
              <w:autoSpaceDN w:val="0"/>
              <w:jc w:val="center"/>
              <w:rPr>
                <w:rFonts w:ascii="Times New Roman" w:hAnsi="Times New Roman" w:cs="Times New Roman"/>
                <w:snapToGrid w:val="0"/>
                <w:sz w:val="18"/>
                <w:szCs w:val="18"/>
              </w:rPr>
            </w:pPr>
            <w:r>
              <w:rPr>
                <w:rFonts w:hint="eastAsia" w:ascii="Times New Roman" w:hAnsi="Times New Roman" w:cs="Times New Roman"/>
                <w:sz w:val="18"/>
                <w:szCs w:val="18"/>
                <w:lang w:bidi="en-US"/>
              </w:rPr>
              <w:t>甲酸甲酯卧式罐</w:t>
            </w:r>
          </w:p>
        </w:tc>
        <w:tc>
          <w:tcPr>
            <w:tcW w:w="521" w:type="pct"/>
            <w:tcMar>
              <w:top w:w="0" w:type="dxa"/>
              <w:left w:w="28" w:type="dxa"/>
              <w:bottom w:w="0" w:type="dxa"/>
              <w:right w:w="28" w:type="dxa"/>
            </w:tcMar>
            <w:vAlign w:val="center"/>
          </w:tcPr>
          <w:p w14:paraId="7671DB46">
            <w:pPr>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911" w:type="pct"/>
            <w:vAlign w:val="center"/>
          </w:tcPr>
          <w:p w14:paraId="08F600B9">
            <w:pPr>
              <w:jc w:val="center"/>
              <w:rPr>
                <w:rFonts w:ascii="Times New Roman" w:hAnsi="Times New Roman" w:cs="Times New Roman"/>
                <w:sz w:val="18"/>
                <w:szCs w:val="18"/>
              </w:rPr>
            </w:pPr>
            <w:r>
              <w:rPr>
                <w:rFonts w:hint="eastAsia" w:ascii="Times New Roman" w:hAnsi="Times New Roman" w:cs="Times New Roman"/>
                <w:sz w:val="18"/>
                <w:szCs w:val="18"/>
              </w:rPr>
              <w:t>0.9</w:t>
            </w:r>
          </w:p>
        </w:tc>
        <w:tc>
          <w:tcPr>
            <w:tcW w:w="678" w:type="pct"/>
            <w:vAlign w:val="center"/>
          </w:tcPr>
          <w:p w14:paraId="60866916">
            <w:pPr>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0.38</w:t>
            </w:r>
          </w:p>
        </w:tc>
        <w:tc>
          <w:tcPr>
            <w:tcW w:w="820" w:type="pct"/>
            <w:vAlign w:val="center"/>
          </w:tcPr>
          <w:p w14:paraId="1F7A4D75">
            <w:pPr>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1.27</w:t>
            </w:r>
          </w:p>
        </w:tc>
      </w:tr>
      <w:tr w14:paraId="0CD7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59" w:type="dxa"/>
            <w:tcMar>
              <w:top w:w="0" w:type="dxa"/>
              <w:left w:w="28" w:type="dxa"/>
              <w:bottom w:w="0" w:type="dxa"/>
              <w:right w:w="28" w:type="dxa"/>
            </w:tcMar>
            <w:vAlign w:val="center"/>
          </w:tcPr>
          <w:p w14:paraId="67A40949">
            <w:pPr>
              <w:autoSpaceDE w:val="0"/>
              <w:autoSpaceDN w:val="0"/>
              <w:jc w:val="center"/>
              <w:rPr>
                <w:rFonts w:ascii="Times New Roman" w:hAnsi="Times New Roman" w:cs="Times New Roman"/>
                <w:sz w:val="18"/>
                <w:szCs w:val="18"/>
              </w:rPr>
            </w:pPr>
            <w:r>
              <w:rPr>
                <w:rFonts w:ascii="Times New Roman" w:hAnsi="Times New Roman" w:cs="Times New Roman"/>
                <w:sz w:val="18"/>
                <w:szCs w:val="18"/>
                <w:lang w:bidi="en-US"/>
              </w:rPr>
              <w:t>亚硝酸甲酯罐组</w:t>
            </w:r>
          </w:p>
        </w:tc>
        <w:tc>
          <w:tcPr>
            <w:tcW w:w="2666" w:type="dxa"/>
            <w:tcMar>
              <w:top w:w="0" w:type="dxa"/>
              <w:left w:w="28" w:type="dxa"/>
              <w:bottom w:w="0" w:type="dxa"/>
              <w:right w:w="28" w:type="dxa"/>
            </w:tcMar>
            <w:vAlign w:val="center"/>
          </w:tcPr>
          <w:p w14:paraId="1B0510DC">
            <w:pPr>
              <w:autoSpaceDE w:val="0"/>
              <w:autoSpaceDN w:val="0"/>
              <w:jc w:val="center"/>
              <w:rPr>
                <w:rFonts w:ascii="Times New Roman" w:hAnsi="Times New Roman" w:cs="Times New Roman"/>
                <w:sz w:val="18"/>
                <w:szCs w:val="18"/>
              </w:rPr>
            </w:pPr>
            <w:r>
              <w:rPr>
                <w:rFonts w:ascii="Times New Roman" w:hAnsi="Times New Roman" w:cs="Times New Roman"/>
                <w:sz w:val="18"/>
                <w:szCs w:val="18"/>
                <w:lang w:bidi="en-US"/>
              </w:rPr>
              <w:t>亚硝酸甲酯</w:t>
            </w:r>
            <w:r>
              <w:rPr>
                <w:rFonts w:hint="eastAsia" w:ascii="Times New Roman" w:hAnsi="Times New Roman" w:cs="Times New Roman"/>
                <w:sz w:val="18"/>
                <w:szCs w:val="18"/>
                <w:lang w:bidi="en-US"/>
              </w:rPr>
              <w:t>卧式罐</w:t>
            </w:r>
          </w:p>
        </w:tc>
        <w:tc>
          <w:tcPr>
            <w:tcW w:w="521" w:type="pct"/>
            <w:tcMar>
              <w:top w:w="0" w:type="dxa"/>
              <w:left w:w="28" w:type="dxa"/>
              <w:bottom w:w="0" w:type="dxa"/>
              <w:right w:w="28" w:type="dxa"/>
            </w:tcMar>
            <w:vAlign w:val="center"/>
          </w:tcPr>
          <w:p w14:paraId="2C648B82">
            <w:pPr>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911" w:type="pct"/>
            <w:vAlign w:val="center"/>
          </w:tcPr>
          <w:p w14:paraId="2848CDEC">
            <w:pPr>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0.12</w:t>
            </w:r>
          </w:p>
        </w:tc>
        <w:tc>
          <w:tcPr>
            <w:tcW w:w="678" w:type="pct"/>
            <w:vAlign w:val="center"/>
          </w:tcPr>
          <w:p w14:paraId="0C10AC75">
            <w:pPr>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0.013</w:t>
            </w:r>
          </w:p>
        </w:tc>
        <w:tc>
          <w:tcPr>
            <w:tcW w:w="820" w:type="pct"/>
            <w:vAlign w:val="center"/>
          </w:tcPr>
          <w:p w14:paraId="76B4B02F">
            <w:pPr>
              <w:jc w:val="center"/>
              <w:rPr>
                <w:rFonts w:ascii="Times New Roman" w:hAnsi="Times New Roman" w:cs="Times New Roman"/>
                <w:snapToGrid w:val="0"/>
                <w:sz w:val="18"/>
                <w:szCs w:val="18"/>
              </w:rPr>
            </w:pPr>
            <w:r>
              <w:rPr>
                <w:rFonts w:hint="eastAsia" w:ascii="Times New Roman" w:hAnsi="Times New Roman" w:cs="Times New Roman"/>
                <w:snapToGrid w:val="0"/>
                <w:sz w:val="18"/>
                <w:szCs w:val="18"/>
              </w:rPr>
              <w:t>0.13</w:t>
            </w:r>
          </w:p>
        </w:tc>
      </w:tr>
    </w:tbl>
    <w:p w14:paraId="54374B78">
      <w:pPr>
        <w:pStyle w:val="645"/>
        <w:rPr>
          <w:rFonts w:hint="eastAsia"/>
        </w:rPr>
      </w:pPr>
      <w:r>
        <w:rPr>
          <w:rFonts w:hint="eastAsia"/>
        </w:rPr>
        <w:t>表3.4.3-4项目各罐区V</w:t>
      </w:r>
      <w:r>
        <w:t>OC</w:t>
      </w:r>
      <w:r>
        <w:rPr>
          <w:vertAlign w:val="subscript"/>
        </w:rPr>
        <w:t>S</w:t>
      </w:r>
      <w:r>
        <w:rPr>
          <w:rFonts w:hint="eastAsia"/>
        </w:rPr>
        <w:t>产生情况表（单位：</w:t>
      </w:r>
      <w:r>
        <w:rPr>
          <w:snapToGrid w:val="0"/>
        </w:rPr>
        <w:t>t/a</w:t>
      </w:r>
      <w:r>
        <w:rPr>
          <w:rFonts w:hint="eastAsia"/>
        </w:rPr>
        <w:t>）</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1123"/>
        <w:gridCol w:w="1158"/>
        <w:gridCol w:w="896"/>
        <w:gridCol w:w="963"/>
        <w:gridCol w:w="1163"/>
        <w:gridCol w:w="1564"/>
      </w:tblGrid>
      <w:tr w14:paraId="7C9D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8" w:type="dxa"/>
            <w:vMerge w:val="restart"/>
            <w:vAlign w:val="center"/>
          </w:tcPr>
          <w:p w14:paraId="68571627">
            <w:pPr>
              <w:pStyle w:val="557"/>
            </w:pPr>
            <w:r>
              <w:t>储罐名称</w:t>
            </w:r>
          </w:p>
        </w:tc>
        <w:tc>
          <w:tcPr>
            <w:tcW w:w="1123" w:type="dxa"/>
            <w:vMerge w:val="restart"/>
            <w:noWrap/>
            <w:vAlign w:val="center"/>
          </w:tcPr>
          <w:p w14:paraId="6FF9D505">
            <w:pPr>
              <w:pStyle w:val="557"/>
            </w:pPr>
            <w:r>
              <w:t>储罐VOCs排放量</w:t>
            </w:r>
          </w:p>
        </w:tc>
        <w:tc>
          <w:tcPr>
            <w:tcW w:w="1158" w:type="dxa"/>
            <w:vMerge w:val="restart"/>
            <w:noWrap/>
            <w:vAlign w:val="center"/>
          </w:tcPr>
          <w:p w14:paraId="5E6E0E83">
            <w:pPr>
              <w:pStyle w:val="557"/>
            </w:pPr>
            <w:r>
              <w:t>产生总量</w:t>
            </w:r>
          </w:p>
        </w:tc>
        <w:tc>
          <w:tcPr>
            <w:tcW w:w="1859" w:type="dxa"/>
            <w:gridSpan w:val="2"/>
            <w:vAlign w:val="center"/>
          </w:tcPr>
          <w:p w14:paraId="3F2F8E6F">
            <w:pPr>
              <w:pStyle w:val="557"/>
            </w:pPr>
            <w:r>
              <w:t>有组织废气</w:t>
            </w:r>
          </w:p>
        </w:tc>
        <w:tc>
          <w:tcPr>
            <w:tcW w:w="2727" w:type="dxa"/>
            <w:gridSpan w:val="2"/>
            <w:vAlign w:val="center"/>
          </w:tcPr>
          <w:p w14:paraId="1E77FFCF">
            <w:pPr>
              <w:pStyle w:val="557"/>
            </w:pPr>
            <w:r>
              <w:t>无组织废气</w:t>
            </w:r>
          </w:p>
        </w:tc>
      </w:tr>
      <w:tr w14:paraId="497B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8" w:type="dxa"/>
            <w:vMerge w:val="continue"/>
            <w:vAlign w:val="center"/>
          </w:tcPr>
          <w:p w14:paraId="3D767AA3">
            <w:pPr>
              <w:pStyle w:val="557"/>
            </w:pPr>
          </w:p>
        </w:tc>
        <w:tc>
          <w:tcPr>
            <w:tcW w:w="1123" w:type="dxa"/>
            <w:vMerge w:val="continue"/>
            <w:noWrap/>
            <w:vAlign w:val="center"/>
          </w:tcPr>
          <w:p w14:paraId="054BA4BF">
            <w:pPr>
              <w:pStyle w:val="557"/>
            </w:pPr>
          </w:p>
        </w:tc>
        <w:tc>
          <w:tcPr>
            <w:tcW w:w="1158" w:type="dxa"/>
            <w:vMerge w:val="continue"/>
            <w:noWrap/>
            <w:vAlign w:val="center"/>
          </w:tcPr>
          <w:p w14:paraId="41FBEB95">
            <w:pPr>
              <w:pStyle w:val="557"/>
            </w:pPr>
          </w:p>
        </w:tc>
        <w:tc>
          <w:tcPr>
            <w:tcW w:w="896" w:type="dxa"/>
            <w:vAlign w:val="center"/>
          </w:tcPr>
          <w:p w14:paraId="788995CE">
            <w:pPr>
              <w:pStyle w:val="557"/>
            </w:pPr>
            <w:r>
              <w:t>产生量</w:t>
            </w:r>
          </w:p>
        </w:tc>
        <w:tc>
          <w:tcPr>
            <w:tcW w:w="963" w:type="dxa"/>
            <w:vAlign w:val="center"/>
          </w:tcPr>
          <w:p w14:paraId="51450881">
            <w:pPr>
              <w:pStyle w:val="557"/>
            </w:pPr>
            <w:r>
              <w:t>处理方式</w:t>
            </w:r>
          </w:p>
        </w:tc>
        <w:tc>
          <w:tcPr>
            <w:tcW w:w="1163" w:type="dxa"/>
            <w:vAlign w:val="center"/>
          </w:tcPr>
          <w:p w14:paraId="606422B0">
            <w:pPr>
              <w:pStyle w:val="557"/>
            </w:pPr>
            <w:r>
              <w:t>排放量</w:t>
            </w:r>
          </w:p>
        </w:tc>
        <w:tc>
          <w:tcPr>
            <w:tcW w:w="1564" w:type="dxa"/>
            <w:vAlign w:val="center"/>
          </w:tcPr>
          <w:p w14:paraId="7C93B45E">
            <w:pPr>
              <w:pStyle w:val="557"/>
            </w:pPr>
            <w:r>
              <w:t>围堰尺寸m（长×宽×高）</w:t>
            </w:r>
          </w:p>
        </w:tc>
      </w:tr>
      <w:tr w14:paraId="5FDD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8" w:type="dxa"/>
            <w:vAlign w:val="center"/>
          </w:tcPr>
          <w:p w14:paraId="1FEC6DA3">
            <w:pPr>
              <w:pStyle w:val="557"/>
            </w:pPr>
            <w:r>
              <w:rPr>
                <w:rFonts w:hint="eastAsia"/>
              </w:rPr>
              <w:t>综合罐组</w:t>
            </w:r>
          </w:p>
        </w:tc>
        <w:tc>
          <w:tcPr>
            <w:tcW w:w="1123" w:type="dxa"/>
            <w:noWrap/>
            <w:vAlign w:val="center"/>
          </w:tcPr>
          <w:p w14:paraId="4C36BE8F">
            <w:pPr>
              <w:pStyle w:val="557"/>
            </w:pPr>
            <w:r>
              <w:rPr>
                <w:rFonts w:hint="eastAsia"/>
              </w:rPr>
              <w:t>8.101</w:t>
            </w:r>
          </w:p>
        </w:tc>
        <w:tc>
          <w:tcPr>
            <w:tcW w:w="1158" w:type="dxa"/>
            <w:noWrap/>
            <w:vAlign w:val="center"/>
          </w:tcPr>
          <w:p w14:paraId="6B396490">
            <w:pPr>
              <w:pStyle w:val="557"/>
            </w:pPr>
            <w:r>
              <w:rPr>
                <w:rFonts w:hint="eastAsia"/>
              </w:rPr>
              <w:t>8.101</w:t>
            </w:r>
          </w:p>
        </w:tc>
        <w:tc>
          <w:tcPr>
            <w:tcW w:w="896" w:type="dxa"/>
            <w:vAlign w:val="center"/>
          </w:tcPr>
          <w:p w14:paraId="13D3E8BE">
            <w:pPr>
              <w:pStyle w:val="557"/>
            </w:pPr>
            <w:r>
              <w:rPr>
                <w:rFonts w:hint="eastAsia"/>
              </w:rPr>
              <w:t>7.86</w:t>
            </w:r>
          </w:p>
        </w:tc>
        <w:tc>
          <w:tcPr>
            <w:tcW w:w="963" w:type="dxa"/>
            <w:vAlign w:val="center"/>
          </w:tcPr>
          <w:p w14:paraId="43948163">
            <w:pPr>
              <w:pStyle w:val="557"/>
            </w:pPr>
            <w:r>
              <w:rPr>
                <w:rFonts w:hint="eastAsia"/>
              </w:rPr>
              <w:t>油气回收装置</w:t>
            </w:r>
          </w:p>
        </w:tc>
        <w:tc>
          <w:tcPr>
            <w:tcW w:w="1163" w:type="dxa"/>
            <w:vAlign w:val="center"/>
          </w:tcPr>
          <w:p w14:paraId="33348DEE">
            <w:pPr>
              <w:pStyle w:val="557"/>
            </w:pPr>
            <w:r>
              <w:rPr>
                <w:rFonts w:hint="eastAsia"/>
              </w:rPr>
              <w:t>0.241</w:t>
            </w:r>
          </w:p>
        </w:tc>
        <w:tc>
          <w:tcPr>
            <w:tcW w:w="1564" w:type="dxa"/>
            <w:vAlign w:val="center"/>
          </w:tcPr>
          <w:p w14:paraId="0235AA92">
            <w:pPr>
              <w:pStyle w:val="557"/>
            </w:pPr>
            <w:r>
              <w:rPr>
                <w:rFonts w:hint="eastAsia"/>
              </w:rPr>
              <w:t>100</w:t>
            </w:r>
            <w:r>
              <w:t>×</w:t>
            </w:r>
            <w:r>
              <w:rPr>
                <w:rFonts w:hint="eastAsia"/>
              </w:rPr>
              <w:t>60</w:t>
            </w:r>
            <w:r>
              <w:t>×</w:t>
            </w:r>
            <w:r>
              <w:rPr>
                <w:rFonts w:hint="eastAsia"/>
              </w:rPr>
              <w:t>15</w:t>
            </w:r>
          </w:p>
        </w:tc>
      </w:tr>
      <w:tr w14:paraId="010D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8" w:type="dxa"/>
            <w:vAlign w:val="center"/>
          </w:tcPr>
          <w:p w14:paraId="4B779EAB">
            <w:pPr>
              <w:pStyle w:val="557"/>
            </w:pPr>
            <w:r>
              <w:rPr>
                <w:rFonts w:hint="eastAsia"/>
              </w:rPr>
              <w:t>中间产品罐组</w:t>
            </w:r>
          </w:p>
        </w:tc>
        <w:tc>
          <w:tcPr>
            <w:tcW w:w="1123" w:type="dxa"/>
            <w:noWrap/>
            <w:vAlign w:val="center"/>
          </w:tcPr>
          <w:p w14:paraId="470EDA6A">
            <w:pPr>
              <w:pStyle w:val="557"/>
            </w:pPr>
            <w:r>
              <w:rPr>
                <w:rFonts w:hint="eastAsia"/>
              </w:rPr>
              <w:t>1.48</w:t>
            </w:r>
          </w:p>
        </w:tc>
        <w:tc>
          <w:tcPr>
            <w:tcW w:w="1158" w:type="dxa"/>
            <w:noWrap/>
            <w:vAlign w:val="center"/>
          </w:tcPr>
          <w:p w14:paraId="1FDDFB9D">
            <w:pPr>
              <w:pStyle w:val="557"/>
            </w:pPr>
            <w:r>
              <w:rPr>
                <w:rFonts w:hint="eastAsia"/>
              </w:rPr>
              <w:t>1.48</w:t>
            </w:r>
          </w:p>
        </w:tc>
        <w:tc>
          <w:tcPr>
            <w:tcW w:w="896" w:type="dxa"/>
            <w:vAlign w:val="center"/>
          </w:tcPr>
          <w:p w14:paraId="220A671E">
            <w:pPr>
              <w:pStyle w:val="557"/>
            </w:pPr>
            <w:r>
              <w:rPr>
                <w:rFonts w:hint="eastAsia"/>
              </w:rPr>
              <w:t>/</w:t>
            </w:r>
          </w:p>
        </w:tc>
        <w:tc>
          <w:tcPr>
            <w:tcW w:w="963" w:type="dxa"/>
            <w:vAlign w:val="center"/>
          </w:tcPr>
          <w:p w14:paraId="04229C67">
            <w:pPr>
              <w:pStyle w:val="557"/>
            </w:pPr>
            <w:r>
              <w:rPr>
                <w:rFonts w:hint="eastAsia"/>
              </w:rPr>
              <w:t>/</w:t>
            </w:r>
          </w:p>
        </w:tc>
        <w:tc>
          <w:tcPr>
            <w:tcW w:w="1163" w:type="dxa"/>
            <w:vAlign w:val="center"/>
          </w:tcPr>
          <w:p w14:paraId="3ED6DF3A">
            <w:pPr>
              <w:pStyle w:val="557"/>
            </w:pPr>
            <w:r>
              <w:rPr>
                <w:rFonts w:hint="eastAsia"/>
              </w:rPr>
              <w:t>1.48</w:t>
            </w:r>
          </w:p>
        </w:tc>
        <w:tc>
          <w:tcPr>
            <w:tcW w:w="1564" w:type="dxa"/>
            <w:vAlign w:val="center"/>
          </w:tcPr>
          <w:p w14:paraId="543E9CAB">
            <w:pPr>
              <w:pStyle w:val="557"/>
            </w:pPr>
            <w:r>
              <w:rPr>
                <w:rFonts w:hint="eastAsia"/>
              </w:rPr>
              <w:t>55</w:t>
            </w:r>
            <w:r>
              <w:t>×</w:t>
            </w:r>
            <w:r>
              <w:rPr>
                <w:rFonts w:hint="eastAsia"/>
              </w:rPr>
              <w:t>45</w:t>
            </w:r>
            <w:r>
              <w:t>×</w:t>
            </w:r>
            <w:r>
              <w:rPr>
                <w:rFonts w:hint="eastAsia"/>
              </w:rPr>
              <w:t>15</w:t>
            </w:r>
          </w:p>
        </w:tc>
      </w:tr>
      <w:tr w14:paraId="4BBD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8" w:type="dxa"/>
            <w:vAlign w:val="center"/>
          </w:tcPr>
          <w:p w14:paraId="73BD7A46">
            <w:pPr>
              <w:pStyle w:val="557"/>
            </w:pPr>
            <w:r>
              <w:rPr>
                <w:rFonts w:hint="eastAsia"/>
              </w:rPr>
              <w:t>亚硝酸甲酯罐组</w:t>
            </w:r>
          </w:p>
        </w:tc>
        <w:tc>
          <w:tcPr>
            <w:tcW w:w="1123" w:type="dxa"/>
            <w:noWrap/>
            <w:vAlign w:val="center"/>
          </w:tcPr>
          <w:p w14:paraId="4708C119">
            <w:pPr>
              <w:pStyle w:val="557"/>
            </w:pPr>
            <w:r>
              <w:rPr>
                <w:rFonts w:hint="eastAsia"/>
              </w:rPr>
              <w:t>0.13</w:t>
            </w:r>
          </w:p>
        </w:tc>
        <w:tc>
          <w:tcPr>
            <w:tcW w:w="1158" w:type="dxa"/>
            <w:noWrap/>
            <w:vAlign w:val="center"/>
          </w:tcPr>
          <w:p w14:paraId="35E4B03A">
            <w:pPr>
              <w:pStyle w:val="557"/>
            </w:pPr>
            <w:r>
              <w:rPr>
                <w:rFonts w:hint="eastAsia"/>
              </w:rPr>
              <w:t>0.13</w:t>
            </w:r>
          </w:p>
        </w:tc>
        <w:tc>
          <w:tcPr>
            <w:tcW w:w="896" w:type="dxa"/>
            <w:vAlign w:val="center"/>
          </w:tcPr>
          <w:p w14:paraId="21497A3D">
            <w:pPr>
              <w:pStyle w:val="557"/>
            </w:pPr>
            <w:r>
              <w:rPr>
                <w:rFonts w:hint="eastAsia"/>
              </w:rPr>
              <w:t>/</w:t>
            </w:r>
          </w:p>
        </w:tc>
        <w:tc>
          <w:tcPr>
            <w:tcW w:w="963" w:type="dxa"/>
            <w:vAlign w:val="center"/>
          </w:tcPr>
          <w:p w14:paraId="1AE32F7C">
            <w:pPr>
              <w:pStyle w:val="557"/>
            </w:pPr>
            <w:r>
              <w:rPr>
                <w:rFonts w:hint="eastAsia"/>
              </w:rPr>
              <w:t>/</w:t>
            </w:r>
          </w:p>
        </w:tc>
        <w:tc>
          <w:tcPr>
            <w:tcW w:w="1163" w:type="dxa"/>
            <w:vAlign w:val="center"/>
          </w:tcPr>
          <w:p w14:paraId="18A159CD">
            <w:pPr>
              <w:pStyle w:val="557"/>
            </w:pPr>
            <w:r>
              <w:rPr>
                <w:rFonts w:hint="eastAsia"/>
              </w:rPr>
              <w:t>0.13</w:t>
            </w:r>
          </w:p>
        </w:tc>
        <w:tc>
          <w:tcPr>
            <w:tcW w:w="1564" w:type="dxa"/>
            <w:vAlign w:val="center"/>
          </w:tcPr>
          <w:p w14:paraId="00FED855">
            <w:pPr>
              <w:pStyle w:val="557"/>
            </w:pPr>
            <w:r>
              <w:rPr>
                <w:rFonts w:hint="eastAsia"/>
              </w:rPr>
              <w:t>60</w:t>
            </w:r>
            <w:r>
              <w:t>×</w:t>
            </w:r>
            <w:r>
              <w:rPr>
                <w:rFonts w:hint="eastAsia"/>
              </w:rPr>
              <w:t>40</w:t>
            </w:r>
            <w:r>
              <w:t>×</w:t>
            </w:r>
            <w:r>
              <w:rPr>
                <w:rFonts w:hint="eastAsia"/>
              </w:rPr>
              <w:t>15</w:t>
            </w:r>
          </w:p>
        </w:tc>
      </w:tr>
    </w:tbl>
    <w:p w14:paraId="4C6B808E">
      <w:pPr>
        <w:pStyle w:val="562"/>
        <w:ind w:firstLine="400"/>
        <w:rPr>
          <w:rFonts w:ascii="Times New Roman" w:hAnsi="Times New Roman" w:cs="Times New Roman"/>
        </w:rPr>
      </w:pPr>
      <w:r>
        <w:rPr>
          <w:rFonts w:ascii="Times New Roman" w:hAnsi="Times New Roman" w:cs="Times New Roman"/>
        </w:rPr>
        <w:t>注：罐区采取油气回收装置，收集效率≥97%，无组织排放量总量3%逸散计算</w:t>
      </w:r>
    </w:p>
    <w:p w14:paraId="532FA313">
      <w:pPr>
        <w:pStyle w:val="643"/>
        <w:rPr>
          <w:rFonts w:hint="eastAsia" w:cs="Times New Roman"/>
        </w:rPr>
      </w:pPr>
      <w:r>
        <w:rPr>
          <w:rFonts w:hint="eastAsia" w:cs="Times New Roman"/>
        </w:rPr>
        <w:t>（</w:t>
      </w:r>
      <w:r>
        <w:rPr>
          <w:rFonts w:cs="Times New Roman"/>
        </w:rPr>
        <w:t>3</w:t>
      </w:r>
      <w:r>
        <w:rPr>
          <w:rFonts w:hint="eastAsia" w:cs="Times New Roman"/>
        </w:rPr>
        <w:t>）装卸废气</w:t>
      </w:r>
    </w:p>
    <w:p w14:paraId="658FE16C">
      <w:pPr>
        <w:pStyle w:val="643"/>
        <w:jc w:val="center"/>
        <w:rPr>
          <w:rFonts w:hint="eastAsia" w:cs="Times New Roman"/>
        </w:rPr>
      </w:pPr>
      <w:r>
        <w:rPr>
          <w:position w:val="-30"/>
        </w:rPr>
        <w:object>
          <v:shape id="_x0000_i1026" o:spt="75" type="#_x0000_t75" style="height:29.45pt;width:114.5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p>
    <w:p w14:paraId="5BC7DE0D">
      <w:pPr>
        <w:pStyle w:val="643"/>
        <w:jc w:val="center"/>
        <w:rPr>
          <w:rFonts w:hint="eastAsia"/>
        </w:rPr>
      </w:pPr>
      <w:bookmarkStart w:id="215" w:name="_Hlk97824510"/>
      <w:r>
        <w:rPr>
          <w:position w:val="-16"/>
        </w:rPr>
        <w:object>
          <v:shape id="_x0000_i1027" o:spt="75" type="#_x0000_t75" style="height:21.9pt;width:122.1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bookmarkEnd w:id="215"/>
    </w:p>
    <w:p w14:paraId="1D9E6F31">
      <w:pPr>
        <w:pStyle w:val="643"/>
        <w:rPr>
          <w:rFonts w:hint="eastAsia" w:cs="Times New Roman"/>
        </w:rPr>
      </w:pPr>
      <w:bookmarkStart w:id="216" w:name="_Hlk97824527"/>
      <w:r>
        <w:rPr>
          <w:rFonts w:hint="eastAsia" w:cs="Times New Roman"/>
        </w:rPr>
        <w:t>式中：</w:t>
      </w:r>
      <w:r>
        <w:rPr>
          <w:rFonts w:cs="Times New Roman"/>
        </w:rPr>
        <w:t>L</w:t>
      </w:r>
      <w:r>
        <w:rPr>
          <w:rFonts w:cs="Times New Roman"/>
          <w:vertAlign w:val="subscript"/>
        </w:rPr>
        <w:t>L</w:t>
      </w:r>
      <w:r>
        <w:rPr>
          <w:rFonts w:hint="eastAsia" w:cs="Times New Roman"/>
        </w:rPr>
        <w:t>装载损失排放因子，kg/</w:t>
      </w:r>
      <w:r>
        <w:rPr>
          <w:rFonts w:cs="Times New Roman"/>
        </w:rPr>
        <w:t>m</w:t>
      </w:r>
      <w:r>
        <w:rPr>
          <w:rFonts w:cs="Times New Roman"/>
          <w:vertAlign w:val="superscript"/>
        </w:rPr>
        <w:t>3</w:t>
      </w:r>
      <w:r>
        <w:rPr>
          <w:rFonts w:hint="eastAsia" w:cs="Times New Roman"/>
        </w:rPr>
        <w:t>；</w:t>
      </w:r>
    </w:p>
    <w:bookmarkEnd w:id="216"/>
    <w:p w14:paraId="621C75CD">
      <w:pPr>
        <w:pStyle w:val="643"/>
        <w:ind w:firstLine="1200" w:firstLineChars="500"/>
        <w:rPr>
          <w:rFonts w:hint="eastAsia" w:cs="Times New Roman"/>
        </w:rPr>
      </w:pPr>
      <w:r>
        <w:rPr>
          <w:rFonts w:cs="Times New Roman"/>
        </w:rPr>
        <w:t>η</w:t>
      </w:r>
      <w:r>
        <w:rPr>
          <w:rFonts w:cs="Times New Roman"/>
          <w:vertAlign w:val="subscript"/>
        </w:rPr>
        <w:t>总</w:t>
      </w:r>
      <w:r>
        <w:rPr>
          <w:rFonts w:hint="eastAsia" w:cs="Times New Roman"/>
        </w:rPr>
        <w:t>总控制效率，%；</w:t>
      </w:r>
    </w:p>
    <w:p w14:paraId="78E032DA">
      <w:pPr>
        <w:pStyle w:val="643"/>
        <w:ind w:firstLine="1200" w:firstLineChars="500"/>
        <w:rPr>
          <w:rFonts w:hint="eastAsia" w:cs="Times New Roman"/>
        </w:rPr>
      </w:pPr>
      <w:r>
        <w:rPr>
          <w:rFonts w:cs="Times New Roman"/>
        </w:rPr>
        <w:t>η</w:t>
      </w:r>
      <w:r>
        <w:rPr>
          <w:rFonts w:hint="eastAsia" w:cs="Times New Roman"/>
          <w:vertAlign w:val="subscript"/>
        </w:rPr>
        <w:t>收集</w:t>
      </w:r>
      <w:r>
        <w:rPr>
          <w:rFonts w:hint="eastAsia" w:cs="Times New Roman"/>
        </w:rPr>
        <w:t>收集效率，%；</w:t>
      </w:r>
    </w:p>
    <w:p w14:paraId="4C0BDF4A">
      <w:pPr>
        <w:pStyle w:val="643"/>
        <w:ind w:firstLine="1200" w:firstLineChars="500"/>
        <w:rPr>
          <w:rFonts w:hint="eastAsia" w:cs="Times New Roman"/>
        </w:rPr>
      </w:pPr>
      <w:r>
        <w:rPr>
          <w:rFonts w:cs="Times New Roman"/>
        </w:rPr>
        <w:t>η</w:t>
      </w:r>
      <w:r>
        <w:rPr>
          <w:rFonts w:hint="eastAsia" w:cs="Times New Roman"/>
          <w:vertAlign w:val="subscript"/>
        </w:rPr>
        <w:t>处理</w:t>
      </w:r>
      <w:r>
        <w:rPr>
          <w:rFonts w:hint="eastAsia" w:cs="Times New Roman"/>
        </w:rPr>
        <w:t>处理效率，%；</w:t>
      </w:r>
    </w:p>
    <w:p w14:paraId="7E81EABA">
      <w:pPr>
        <w:pStyle w:val="643"/>
        <w:ind w:firstLine="1200" w:firstLineChars="500"/>
        <w:rPr>
          <w:rFonts w:hint="eastAsia" w:cs="Times New Roman"/>
        </w:rPr>
      </w:pPr>
      <w:r>
        <w:rPr>
          <w:rFonts w:cs="Times New Roman"/>
        </w:rPr>
        <w:t>η</w:t>
      </w:r>
      <w:r>
        <w:rPr>
          <w:rFonts w:hint="eastAsia" w:cs="Times New Roman"/>
          <w:vertAlign w:val="subscript"/>
        </w:rPr>
        <w:t>投用</w:t>
      </w:r>
      <w:r>
        <w:rPr>
          <w:rFonts w:hint="eastAsia" w:cs="Times New Roman"/>
        </w:rPr>
        <w:t>投用效率，%；</w:t>
      </w:r>
    </w:p>
    <w:p w14:paraId="5916E166">
      <w:pPr>
        <w:pStyle w:val="626"/>
        <w:ind w:firstLine="480"/>
        <w:rPr>
          <w:rFonts w:ascii="Times New Roman" w:hAnsi="Times New Roman" w:eastAsia="宋体"/>
          <w:szCs w:val="24"/>
        </w:rPr>
      </w:pPr>
      <w:r>
        <w:rPr>
          <w:rFonts w:hint="eastAsia" w:ascii="Times New Roman" w:hAnsi="Times New Roman" w:eastAsia="宋体"/>
          <w:szCs w:val="24"/>
        </w:rPr>
        <w:t>公路、铁路装载损失排放因子。</w:t>
      </w:r>
    </w:p>
    <w:p w14:paraId="5DD1DB66">
      <w:pPr>
        <w:pStyle w:val="626"/>
        <w:ind w:firstLine="480"/>
        <w:jc w:val="center"/>
        <w:rPr>
          <w:rFonts w:ascii="Times New Roman" w:hAnsi="Times New Roman" w:eastAsia="宋体"/>
          <w:szCs w:val="24"/>
        </w:rPr>
      </w:pPr>
      <w:r>
        <w:rPr>
          <w:rFonts w:ascii="Times New Roman" w:hAnsi="Times New Roman" w:eastAsia="宋体"/>
          <w:szCs w:val="24"/>
        </w:rPr>
        <w:object>
          <v:shape id="_x0000_i1028" o:spt="75" type="#_x0000_t75" style="height:21.9pt;width:72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p>
    <w:p w14:paraId="56DAAD9F">
      <w:pPr>
        <w:pStyle w:val="626"/>
        <w:ind w:firstLine="420"/>
        <w:rPr>
          <w:rFonts w:ascii="Times New Roman" w:hAnsi="Times New Roman" w:eastAsia="宋体"/>
          <w:sz w:val="21"/>
        </w:rPr>
      </w:pPr>
      <w:r>
        <w:rPr>
          <w:rFonts w:hint="eastAsia" w:ascii="Times New Roman" w:hAnsi="Times New Roman" w:eastAsia="宋体"/>
          <w:sz w:val="21"/>
        </w:rPr>
        <w:t>式中：</w:t>
      </w:r>
      <w:r>
        <w:rPr>
          <w:rFonts w:ascii="Times New Roman" w:hAnsi="Times New Roman" w:eastAsia="宋体"/>
          <w:sz w:val="21"/>
        </w:rPr>
        <w:t>S</w:t>
      </w:r>
      <w:r>
        <w:rPr>
          <w:rFonts w:hint="eastAsia" w:ascii="Times New Roman" w:hAnsi="Times New Roman" w:eastAsia="宋体"/>
          <w:sz w:val="21"/>
        </w:rPr>
        <w:t>饱和因子，代表排出的挥发性有机物接近饱和的程度；</w:t>
      </w:r>
    </w:p>
    <w:p w14:paraId="1E43973D">
      <w:pPr>
        <w:pStyle w:val="626"/>
        <w:ind w:firstLine="420"/>
        <w:rPr>
          <w:rFonts w:ascii="Times New Roman" w:hAnsi="Times New Roman" w:eastAsia="宋体"/>
          <w:szCs w:val="24"/>
        </w:rPr>
      </w:pPr>
      <w:r>
        <w:rPr>
          <w:rFonts w:hint="eastAsia" w:ascii="Times New Roman" w:hAnsi="Times New Roman" w:eastAsia="宋体"/>
          <w:sz w:val="21"/>
        </w:rPr>
        <w:t>C</w:t>
      </w:r>
      <w:r>
        <w:rPr>
          <w:rFonts w:hint="eastAsia" w:ascii="Times New Roman" w:hAnsi="Times New Roman" w:eastAsia="宋体"/>
          <w:sz w:val="21"/>
          <w:vertAlign w:val="subscript"/>
        </w:rPr>
        <w:t>0</w:t>
      </w:r>
      <w:r>
        <w:rPr>
          <w:rFonts w:hint="eastAsia" w:ascii="Times New Roman" w:hAnsi="Times New Roman" w:eastAsia="宋体"/>
          <w:sz w:val="21"/>
        </w:rPr>
        <w:t>装载罐车气、液相处于平衡状态，将挥发性物料视为理想气体下的密度，千克/立方米</w:t>
      </w:r>
    </w:p>
    <w:p w14:paraId="220DB6E9">
      <w:pPr>
        <w:pStyle w:val="626"/>
        <w:ind w:firstLine="480"/>
        <w:rPr>
          <w:rFonts w:ascii="Times New Roman" w:hAnsi="Times New Roman" w:eastAsia="宋体"/>
          <w:szCs w:val="24"/>
        </w:rPr>
      </w:pPr>
      <w:r>
        <w:rPr>
          <w:rFonts w:ascii="Times New Roman" w:hAnsi="Times New Roman" w:eastAsia="宋体"/>
          <w:szCs w:val="24"/>
        </w:rPr>
        <w:t>装卸区废气产生情况详见</w:t>
      </w:r>
      <w:r>
        <w:rPr>
          <w:rFonts w:ascii="Times New Roman" w:hAnsi="Times New Roman" w:eastAsia="宋体"/>
        </w:rPr>
        <w:t>表</w:t>
      </w:r>
      <w:r>
        <w:rPr>
          <w:rFonts w:ascii="Times New Roman" w:hAnsi="Times New Roman"/>
        </w:rPr>
        <w:t>3.4.</w:t>
      </w:r>
      <w:r>
        <w:rPr>
          <w:rFonts w:hint="eastAsia" w:ascii="Times New Roman" w:hAnsi="Times New Roman" w:eastAsia="宋体"/>
        </w:rPr>
        <w:t>3-5</w:t>
      </w:r>
      <w:r>
        <w:rPr>
          <w:rFonts w:ascii="Times New Roman" w:hAnsi="Times New Roman" w:eastAsia="宋体"/>
          <w:szCs w:val="24"/>
        </w:rPr>
        <w:t>。</w:t>
      </w:r>
    </w:p>
    <w:p w14:paraId="032EC185">
      <w:pPr>
        <w:pStyle w:val="645"/>
        <w:rPr>
          <w:rFonts w:hint="eastAsia"/>
        </w:rPr>
      </w:pPr>
      <w:r>
        <w:rPr>
          <w:rFonts w:hint="eastAsia"/>
        </w:rPr>
        <w:t>表3.4.3-5项目装卸区废气产排情况表（单位：t</w:t>
      </w:r>
      <w:r>
        <w:t>/a</w:t>
      </w:r>
      <w:r>
        <w:rPr>
          <w:rFonts w:hint="eastAsia"/>
        </w:rPr>
        <w:t>）</w:t>
      </w:r>
    </w:p>
    <w:tbl>
      <w:tblPr>
        <w:tblStyle w:val="65"/>
        <w:tblW w:w="8505" w:type="dxa"/>
        <w:jc w:val="center"/>
        <w:tblLayout w:type="autofit"/>
        <w:tblCellMar>
          <w:top w:w="0" w:type="dxa"/>
          <w:left w:w="108" w:type="dxa"/>
          <w:bottom w:w="0" w:type="dxa"/>
          <w:right w:w="108" w:type="dxa"/>
        </w:tblCellMar>
      </w:tblPr>
      <w:tblGrid>
        <w:gridCol w:w="1037"/>
        <w:gridCol w:w="1043"/>
        <w:gridCol w:w="1065"/>
        <w:gridCol w:w="1060"/>
        <w:gridCol w:w="1097"/>
        <w:gridCol w:w="1037"/>
        <w:gridCol w:w="1049"/>
        <w:gridCol w:w="1117"/>
      </w:tblGrid>
      <w:tr w14:paraId="1E9E15B2">
        <w:tblPrEx>
          <w:tblCellMar>
            <w:top w:w="0" w:type="dxa"/>
            <w:left w:w="108" w:type="dxa"/>
            <w:bottom w:w="0" w:type="dxa"/>
            <w:right w:w="108" w:type="dxa"/>
          </w:tblCellMar>
        </w:tblPrEx>
        <w:trPr>
          <w:trHeight w:val="284" w:hRule="atLeast"/>
          <w:jc w:val="center"/>
        </w:trPr>
        <w:tc>
          <w:tcPr>
            <w:tcW w:w="1037" w:type="dxa"/>
            <w:vMerge w:val="restart"/>
            <w:tcBorders>
              <w:top w:val="single" w:color="auto" w:sz="8" w:space="0"/>
              <w:left w:val="single" w:color="auto" w:sz="8" w:space="0"/>
              <w:bottom w:val="single" w:color="000000" w:sz="8" w:space="0"/>
              <w:right w:val="single" w:color="auto" w:sz="8" w:space="0"/>
            </w:tcBorders>
            <w:vAlign w:val="center"/>
          </w:tcPr>
          <w:p w14:paraId="33C2B9A0">
            <w:pPr>
              <w:jc w:val="center"/>
              <w:rPr>
                <w:rFonts w:ascii="Times New Roman" w:hAnsi="Times New Roman" w:cs="Times New Roman"/>
                <w:sz w:val="18"/>
                <w:szCs w:val="18"/>
              </w:rPr>
            </w:pPr>
            <w:r>
              <w:rPr>
                <w:rFonts w:ascii="Times New Roman" w:hAnsi="Times New Roman" w:cs="Times New Roman"/>
                <w:sz w:val="18"/>
                <w:szCs w:val="18"/>
              </w:rPr>
              <w:t>序号</w:t>
            </w:r>
          </w:p>
        </w:tc>
        <w:tc>
          <w:tcPr>
            <w:tcW w:w="1043" w:type="dxa"/>
            <w:vMerge w:val="restart"/>
            <w:tcBorders>
              <w:top w:val="single" w:color="auto" w:sz="8" w:space="0"/>
              <w:left w:val="single" w:color="auto" w:sz="8" w:space="0"/>
              <w:bottom w:val="single" w:color="000000" w:sz="8" w:space="0"/>
              <w:right w:val="single" w:color="auto" w:sz="8" w:space="0"/>
            </w:tcBorders>
            <w:vAlign w:val="center"/>
          </w:tcPr>
          <w:p w14:paraId="5057EC58">
            <w:pPr>
              <w:jc w:val="center"/>
              <w:rPr>
                <w:rFonts w:ascii="Times New Roman" w:hAnsi="Times New Roman" w:cs="Times New Roman"/>
                <w:sz w:val="18"/>
                <w:szCs w:val="18"/>
              </w:rPr>
            </w:pPr>
            <w:r>
              <w:rPr>
                <w:rFonts w:ascii="Times New Roman" w:hAnsi="Times New Roman" w:cs="Times New Roman"/>
                <w:sz w:val="18"/>
                <w:szCs w:val="18"/>
              </w:rPr>
              <w:t>装置名称</w:t>
            </w:r>
          </w:p>
        </w:tc>
        <w:tc>
          <w:tcPr>
            <w:tcW w:w="1065" w:type="dxa"/>
            <w:vMerge w:val="restart"/>
            <w:tcBorders>
              <w:top w:val="single" w:color="auto" w:sz="8" w:space="0"/>
              <w:left w:val="single" w:color="auto" w:sz="8" w:space="0"/>
              <w:bottom w:val="single" w:color="000000" w:sz="8" w:space="0"/>
              <w:right w:val="single" w:color="auto" w:sz="8" w:space="0"/>
            </w:tcBorders>
            <w:vAlign w:val="center"/>
          </w:tcPr>
          <w:p w14:paraId="5812C5CE">
            <w:pPr>
              <w:jc w:val="center"/>
              <w:rPr>
                <w:rFonts w:ascii="Times New Roman" w:hAnsi="Times New Roman" w:cs="Times New Roman"/>
                <w:sz w:val="18"/>
                <w:szCs w:val="18"/>
              </w:rPr>
            </w:pPr>
            <w:r>
              <w:rPr>
                <w:rFonts w:ascii="Times New Roman" w:hAnsi="Times New Roman" w:cs="Times New Roman"/>
                <w:sz w:val="18"/>
                <w:szCs w:val="18"/>
              </w:rPr>
              <w:t>产生量</w:t>
            </w:r>
          </w:p>
        </w:tc>
        <w:tc>
          <w:tcPr>
            <w:tcW w:w="1060" w:type="dxa"/>
            <w:vMerge w:val="restart"/>
            <w:tcBorders>
              <w:top w:val="single" w:color="auto" w:sz="8" w:space="0"/>
              <w:left w:val="single" w:color="auto" w:sz="8" w:space="0"/>
              <w:bottom w:val="single" w:color="000000" w:sz="8" w:space="0"/>
              <w:right w:val="single" w:color="auto" w:sz="8" w:space="0"/>
            </w:tcBorders>
            <w:vAlign w:val="center"/>
          </w:tcPr>
          <w:p w14:paraId="633B67DF">
            <w:pPr>
              <w:jc w:val="center"/>
              <w:rPr>
                <w:rFonts w:ascii="Times New Roman" w:hAnsi="Times New Roman" w:cs="Times New Roman"/>
                <w:sz w:val="18"/>
                <w:szCs w:val="18"/>
              </w:rPr>
            </w:pPr>
            <w:r>
              <w:rPr>
                <w:rFonts w:ascii="Times New Roman" w:hAnsi="Times New Roman" w:cs="Times New Roman"/>
                <w:sz w:val="18"/>
                <w:szCs w:val="18"/>
              </w:rPr>
              <w:t>合计产生量</w:t>
            </w:r>
          </w:p>
        </w:tc>
        <w:tc>
          <w:tcPr>
            <w:tcW w:w="2134" w:type="dxa"/>
            <w:gridSpan w:val="2"/>
            <w:tcBorders>
              <w:top w:val="single" w:color="auto" w:sz="8" w:space="0"/>
              <w:left w:val="nil"/>
              <w:bottom w:val="single" w:color="auto" w:sz="8" w:space="0"/>
              <w:right w:val="single" w:color="000000" w:sz="8" w:space="0"/>
            </w:tcBorders>
            <w:vAlign w:val="center"/>
          </w:tcPr>
          <w:p w14:paraId="790CAF66">
            <w:pPr>
              <w:jc w:val="center"/>
              <w:rPr>
                <w:rFonts w:ascii="Times New Roman" w:hAnsi="Times New Roman" w:cs="Times New Roman"/>
                <w:sz w:val="18"/>
                <w:szCs w:val="18"/>
              </w:rPr>
            </w:pPr>
            <w:r>
              <w:rPr>
                <w:rFonts w:ascii="Times New Roman" w:hAnsi="Times New Roman" w:cs="Times New Roman"/>
                <w:sz w:val="18"/>
                <w:szCs w:val="18"/>
              </w:rPr>
              <w:t>有组织废气</w:t>
            </w:r>
          </w:p>
        </w:tc>
        <w:tc>
          <w:tcPr>
            <w:tcW w:w="2166" w:type="dxa"/>
            <w:gridSpan w:val="2"/>
            <w:tcBorders>
              <w:top w:val="single" w:color="auto" w:sz="8" w:space="0"/>
              <w:left w:val="nil"/>
              <w:bottom w:val="single" w:color="auto" w:sz="8" w:space="0"/>
              <w:right w:val="single" w:color="000000" w:sz="8" w:space="0"/>
            </w:tcBorders>
            <w:vAlign w:val="center"/>
          </w:tcPr>
          <w:p w14:paraId="76B1D0A4">
            <w:pPr>
              <w:jc w:val="center"/>
              <w:rPr>
                <w:rFonts w:ascii="Times New Roman" w:hAnsi="Times New Roman" w:cs="Times New Roman"/>
                <w:sz w:val="18"/>
                <w:szCs w:val="18"/>
              </w:rPr>
            </w:pPr>
            <w:r>
              <w:rPr>
                <w:rFonts w:ascii="Times New Roman" w:hAnsi="Times New Roman" w:cs="Times New Roman"/>
                <w:sz w:val="18"/>
                <w:szCs w:val="18"/>
              </w:rPr>
              <w:t>无组织废气</w:t>
            </w:r>
          </w:p>
        </w:tc>
      </w:tr>
      <w:tr w14:paraId="6F905D30">
        <w:tblPrEx>
          <w:tblCellMar>
            <w:top w:w="0" w:type="dxa"/>
            <w:left w:w="108" w:type="dxa"/>
            <w:bottom w:w="0" w:type="dxa"/>
            <w:right w:w="108" w:type="dxa"/>
          </w:tblCellMar>
        </w:tblPrEx>
        <w:trPr>
          <w:trHeight w:val="284" w:hRule="atLeast"/>
          <w:jc w:val="center"/>
        </w:trPr>
        <w:tc>
          <w:tcPr>
            <w:tcW w:w="1037" w:type="dxa"/>
            <w:vMerge w:val="continue"/>
            <w:tcBorders>
              <w:top w:val="single" w:color="auto" w:sz="8" w:space="0"/>
              <w:left w:val="single" w:color="auto" w:sz="8" w:space="0"/>
              <w:bottom w:val="single" w:color="000000" w:sz="8" w:space="0"/>
              <w:right w:val="single" w:color="auto" w:sz="8" w:space="0"/>
            </w:tcBorders>
            <w:vAlign w:val="center"/>
          </w:tcPr>
          <w:p w14:paraId="31B319B8">
            <w:pPr>
              <w:jc w:val="center"/>
              <w:rPr>
                <w:rFonts w:ascii="Times New Roman" w:hAnsi="Times New Roman" w:cs="Times New Roman"/>
                <w:sz w:val="18"/>
                <w:szCs w:val="18"/>
              </w:rPr>
            </w:pPr>
          </w:p>
        </w:tc>
        <w:tc>
          <w:tcPr>
            <w:tcW w:w="1043" w:type="dxa"/>
            <w:vMerge w:val="continue"/>
            <w:tcBorders>
              <w:top w:val="single" w:color="auto" w:sz="8" w:space="0"/>
              <w:left w:val="single" w:color="auto" w:sz="8" w:space="0"/>
              <w:bottom w:val="single" w:color="000000" w:sz="8" w:space="0"/>
              <w:right w:val="single" w:color="auto" w:sz="8" w:space="0"/>
            </w:tcBorders>
            <w:vAlign w:val="center"/>
          </w:tcPr>
          <w:p w14:paraId="3EEE6955">
            <w:pPr>
              <w:jc w:val="center"/>
              <w:rPr>
                <w:rFonts w:ascii="Times New Roman" w:hAnsi="Times New Roman" w:cs="Times New Roman"/>
                <w:sz w:val="18"/>
                <w:szCs w:val="18"/>
              </w:rPr>
            </w:pPr>
          </w:p>
        </w:tc>
        <w:tc>
          <w:tcPr>
            <w:tcW w:w="1065" w:type="dxa"/>
            <w:vMerge w:val="continue"/>
            <w:tcBorders>
              <w:top w:val="single" w:color="auto" w:sz="8" w:space="0"/>
              <w:left w:val="single" w:color="auto" w:sz="8" w:space="0"/>
              <w:bottom w:val="single" w:color="000000" w:sz="8" w:space="0"/>
              <w:right w:val="single" w:color="auto" w:sz="8" w:space="0"/>
            </w:tcBorders>
            <w:vAlign w:val="center"/>
          </w:tcPr>
          <w:p w14:paraId="5B4BB247">
            <w:pPr>
              <w:jc w:val="center"/>
              <w:rPr>
                <w:rFonts w:ascii="Times New Roman" w:hAnsi="Times New Roman" w:cs="Times New Roman"/>
                <w:sz w:val="18"/>
                <w:szCs w:val="18"/>
              </w:rPr>
            </w:pPr>
          </w:p>
        </w:tc>
        <w:tc>
          <w:tcPr>
            <w:tcW w:w="1060" w:type="dxa"/>
            <w:vMerge w:val="continue"/>
            <w:tcBorders>
              <w:top w:val="single" w:color="auto" w:sz="8" w:space="0"/>
              <w:left w:val="single" w:color="auto" w:sz="8" w:space="0"/>
              <w:bottom w:val="single" w:color="000000" w:sz="8" w:space="0"/>
              <w:right w:val="single" w:color="auto" w:sz="8" w:space="0"/>
            </w:tcBorders>
            <w:vAlign w:val="center"/>
          </w:tcPr>
          <w:p w14:paraId="020323D1">
            <w:pPr>
              <w:jc w:val="center"/>
              <w:rPr>
                <w:rFonts w:ascii="Times New Roman" w:hAnsi="Times New Roman" w:cs="Times New Roman"/>
                <w:sz w:val="18"/>
                <w:szCs w:val="18"/>
              </w:rPr>
            </w:pPr>
          </w:p>
        </w:tc>
        <w:tc>
          <w:tcPr>
            <w:tcW w:w="1097" w:type="dxa"/>
            <w:tcBorders>
              <w:top w:val="nil"/>
              <w:left w:val="nil"/>
              <w:bottom w:val="single" w:color="auto" w:sz="8" w:space="0"/>
              <w:right w:val="single" w:color="auto" w:sz="8" w:space="0"/>
            </w:tcBorders>
            <w:vAlign w:val="center"/>
          </w:tcPr>
          <w:p w14:paraId="4D81AA1E">
            <w:pPr>
              <w:jc w:val="center"/>
              <w:rPr>
                <w:rFonts w:ascii="Times New Roman" w:hAnsi="Times New Roman" w:cs="Times New Roman"/>
                <w:sz w:val="18"/>
                <w:szCs w:val="18"/>
              </w:rPr>
            </w:pPr>
            <w:r>
              <w:rPr>
                <w:rFonts w:ascii="Times New Roman" w:hAnsi="Times New Roman" w:cs="Times New Roman"/>
                <w:sz w:val="18"/>
                <w:szCs w:val="18"/>
              </w:rPr>
              <w:t>产生量</w:t>
            </w:r>
          </w:p>
        </w:tc>
        <w:tc>
          <w:tcPr>
            <w:tcW w:w="1037" w:type="dxa"/>
            <w:tcBorders>
              <w:top w:val="nil"/>
              <w:left w:val="nil"/>
              <w:bottom w:val="single" w:color="auto" w:sz="8" w:space="0"/>
              <w:right w:val="single" w:color="auto" w:sz="8" w:space="0"/>
            </w:tcBorders>
            <w:vAlign w:val="center"/>
          </w:tcPr>
          <w:p w14:paraId="02682CA7">
            <w:pPr>
              <w:jc w:val="center"/>
              <w:rPr>
                <w:rFonts w:ascii="Times New Roman" w:hAnsi="Times New Roman" w:cs="Times New Roman"/>
                <w:sz w:val="18"/>
                <w:szCs w:val="18"/>
              </w:rPr>
            </w:pPr>
            <w:r>
              <w:rPr>
                <w:rFonts w:ascii="Times New Roman" w:hAnsi="Times New Roman" w:cs="Times New Roman"/>
                <w:sz w:val="18"/>
                <w:szCs w:val="18"/>
              </w:rPr>
              <w:t>处理措施</w:t>
            </w:r>
          </w:p>
        </w:tc>
        <w:tc>
          <w:tcPr>
            <w:tcW w:w="1049" w:type="dxa"/>
            <w:tcBorders>
              <w:top w:val="nil"/>
              <w:left w:val="nil"/>
              <w:bottom w:val="single" w:color="auto" w:sz="8" w:space="0"/>
              <w:right w:val="single" w:color="auto" w:sz="8" w:space="0"/>
            </w:tcBorders>
            <w:vAlign w:val="center"/>
          </w:tcPr>
          <w:p w14:paraId="7185AE6C">
            <w:pPr>
              <w:jc w:val="center"/>
              <w:rPr>
                <w:rFonts w:ascii="Times New Roman" w:hAnsi="Times New Roman" w:cs="Times New Roman"/>
                <w:sz w:val="18"/>
                <w:szCs w:val="18"/>
              </w:rPr>
            </w:pPr>
            <w:r>
              <w:rPr>
                <w:rFonts w:ascii="Times New Roman" w:hAnsi="Times New Roman" w:cs="Times New Roman"/>
                <w:sz w:val="18"/>
                <w:szCs w:val="18"/>
              </w:rPr>
              <w:t>排放量</w:t>
            </w:r>
          </w:p>
        </w:tc>
        <w:tc>
          <w:tcPr>
            <w:tcW w:w="1117" w:type="dxa"/>
            <w:tcBorders>
              <w:top w:val="nil"/>
              <w:left w:val="nil"/>
              <w:bottom w:val="single" w:color="auto" w:sz="8" w:space="0"/>
              <w:right w:val="single" w:color="auto" w:sz="8" w:space="0"/>
            </w:tcBorders>
            <w:vAlign w:val="center"/>
          </w:tcPr>
          <w:p w14:paraId="30816870">
            <w:pPr>
              <w:jc w:val="center"/>
              <w:rPr>
                <w:rFonts w:ascii="Times New Roman" w:hAnsi="Times New Roman" w:cs="Times New Roman"/>
                <w:sz w:val="18"/>
                <w:szCs w:val="18"/>
              </w:rPr>
            </w:pPr>
            <w:r>
              <w:rPr>
                <w:rFonts w:ascii="Times New Roman" w:hAnsi="Times New Roman" w:cs="Times New Roman"/>
                <w:sz w:val="18"/>
                <w:szCs w:val="18"/>
              </w:rPr>
              <w:t>面源参数</w:t>
            </w:r>
          </w:p>
        </w:tc>
      </w:tr>
      <w:tr w14:paraId="17807A31">
        <w:tblPrEx>
          <w:tblCellMar>
            <w:top w:w="0" w:type="dxa"/>
            <w:left w:w="108" w:type="dxa"/>
            <w:bottom w:w="0" w:type="dxa"/>
            <w:right w:w="108" w:type="dxa"/>
          </w:tblCellMar>
        </w:tblPrEx>
        <w:trPr>
          <w:trHeight w:val="284" w:hRule="atLeast"/>
          <w:jc w:val="center"/>
        </w:trPr>
        <w:tc>
          <w:tcPr>
            <w:tcW w:w="1037" w:type="dxa"/>
            <w:vMerge w:val="restart"/>
            <w:tcBorders>
              <w:top w:val="nil"/>
              <w:left w:val="single" w:color="auto" w:sz="8" w:space="0"/>
              <w:bottom w:val="single" w:color="000000" w:sz="8" w:space="0"/>
              <w:right w:val="single" w:color="auto" w:sz="8" w:space="0"/>
            </w:tcBorders>
            <w:vAlign w:val="center"/>
          </w:tcPr>
          <w:p w14:paraId="1053E5BD">
            <w:pPr>
              <w:jc w:val="center"/>
              <w:rPr>
                <w:rFonts w:ascii="Times New Roman" w:hAnsi="Times New Roman" w:cs="Times New Roman"/>
                <w:sz w:val="18"/>
                <w:szCs w:val="18"/>
              </w:rPr>
            </w:pPr>
            <w:r>
              <w:rPr>
                <w:rFonts w:ascii="Times New Roman" w:hAnsi="Times New Roman" w:cs="Times New Roman"/>
                <w:sz w:val="18"/>
                <w:szCs w:val="18"/>
              </w:rPr>
              <w:t>装卸区</w:t>
            </w:r>
          </w:p>
        </w:tc>
        <w:tc>
          <w:tcPr>
            <w:tcW w:w="1043" w:type="dxa"/>
            <w:tcBorders>
              <w:top w:val="nil"/>
              <w:left w:val="nil"/>
              <w:bottom w:val="single" w:color="auto" w:sz="8" w:space="0"/>
              <w:right w:val="single" w:color="auto" w:sz="8" w:space="0"/>
            </w:tcBorders>
            <w:vAlign w:val="center"/>
          </w:tcPr>
          <w:p w14:paraId="7DA13B54">
            <w:pPr>
              <w:jc w:val="center"/>
              <w:rPr>
                <w:rFonts w:ascii="Times New Roman" w:hAnsi="Times New Roman" w:cs="Times New Roman"/>
                <w:sz w:val="18"/>
                <w:szCs w:val="18"/>
              </w:rPr>
            </w:pPr>
            <w:r>
              <w:rPr>
                <w:rFonts w:ascii="Times New Roman" w:hAnsi="Times New Roman" w:cs="Times New Roman"/>
                <w:sz w:val="18"/>
                <w:szCs w:val="18"/>
              </w:rPr>
              <w:t>甲醇</w:t>
            </w:r>
          </w:p>
        </w:tc>
        <w:tc>
          <w:tcPr>
            <w:tcW w:w="1065" w:type="dxa"/>
            <w:tcBorders>
              <w:top w:val="nil"/>
              <w:left w:val="nil"/>
              <w:bottom w:val="single" w:color="auto" w:sz="8" w:space="0"/>
              <w:right w:val="single" w:color="auto" w:sz="8" w:space="0"/>
            </w:tcBorders>
            <w:vAlign w:val="center"/>
          </w:tcPr>
          <w:p w14:paraId="2D6E0425">
            <w:pPr>
              <w:jc w:val="center"/>
              <w:rPr>
                <w:rFonts w:ascii="Times New Roman" w:hAnsi="Times New Roman" w:cs="Times New Roman"/>
                <w:sz w:val="18"/>
                <w:szCs w:val="18"/>
              </w:rPr>
            </w:pPr>
            <w:r>
              <w:rPr>
                <w:rFonts w:ascii="Times New Roman" w:hAnsi="Times New Roman" w:cs="Times New Roman"/>
                <w:sz w:val="18"/>
                <w:szCs w:val="18"/>
              </w:rPr>
              <w:t>0.47</w:t>
            </w:r>
          </w:p>
        </w:tc>
        <w:tc>
          <w:tcPr>
            <w:tcW w:w="1060" w:type="dxa"/>
            <w:vMerge w:val="restart"/>
            <w:tcBorders>
              <w:top w:val="nil"/>
              <w:left w:val="single" w:color="auto" w:sz="8" w:space="0"/>
              <w:bottom w:val="single" w:color="000000" w:sz="8" w:space="0"/>
              <w:right w:val="single" w:color="auto" w:sz="8" w:space="0"/>
            </w:tcBorders>
            <w:vAlign w:val="center"/>
          </w:tcPr>
          <w:p w14:paraId="70A1D861">
            <w:pPr>
              <w:jc w:val="center"/>
              <w:rPr>
                <w:rFonts w:ascii="Times New Roman" w:hAnsi="Times New Roman" w:cs="Times New Roman"/>
                <w:sz w:val="18"/>
                <w:szCs w:val="18"/>
              </w:rPr>
            </w:pPr>
            <w:r>
              <w:rPr>
                <w:rFonts w:ascii="Times New Roman" w:hAnsi="Times New Roman" w:cs="Times New Roman"/>
                <w:sz w:val="18"/>
                <w:szCs w:val="18"/>
              </w:rPr>
              <w:t>5.81</w:t>
            </w:r>
          </w:p>
        </w:tc>
        <w:tc>
          <w:tcPr>
            <w:tcW w:w="1097" w:type="dxa"/>
            <w:vMerge w:val="restart"/>
            <w:tcBorders>
              <w:top w:val="nil"/>
              <w:left w:val="single" w:color="auto" w:sz="8" w:space="0"/>
              <w:bottom w:val="single" w:color="000000" w:sz="8" w:space="0"/>
              <w:right w:val="single" w:color="auto" w:sz="8" w:space="0"/>
            </w:tcBorders>
            <w:vAlign w:val="center"/>
          </w:tcPr>
          <w:p w14:paraId="0BF6F262">
            <w:pPr>
              <w:jc w:val="center"/>
              <w:rPr>
                <w:rFonts w:ascii="Times New Roman" w:hAnsi="Times New Roman" w:cs="Times New Roman"/>
                <w:sz w:val="18"/>
                <w:szCs w:val="18"/>
              </w:rPr>
            </w:pPr>
            <w:r>
              <w:rPr>
                <w:rFonts w:ascii="Times New Roman" w:hAnsi="Times New Roman" w:cs="Times New Roman"/>
                <w:sz w:val="18"/>
                <w:szCs w:val="18"/>
              </w:rPr>
              <w:t>5.64</w:t>
            </w:r>
          </w:p>
        </w:tc>
        <w:tc>
          <w:tcPr>
            <w:tcW w:w="1037" w:type="dxa"/>
            <w:vMerge w:val="restart"/>
            <w:tcBorders>
              <w:top w:val="nil"/>
              <w:left w:val="single" w:color="auto" w:sz="8" w:space="0"/>
              <w:bottom w:val="single" w:color="000000" w:sz="8" w:space="0"/>
              <w:right w:val="single" w:color="auto" w:sz="8" w:space="0"/>
            </w:tcBorders>
            <w:vAlign w:val="center"/>
          </w:tcPr>
          <w:p w14:paraId="1BBD57DF">
            <w:pPr>
              <w:jc w:val="center"/>
              <w:rPr>
                <w:rFonts w:ascii="Times New Roman" w:hAnsi="Times New Roman" w:cs="Times New Roman"/>
                <w:sz w:val="18"/>
                <w:szCs w:val="18"/>
              </w:rPr>
            </w:pPr>
            <w:r>
              <w:rPr>
                <w:rFonts w:ascii="Times New Roman" w:hAnsi="Times New Roman" w:cs="Times New Roman"/>
                <w:sz w:val="18"/>
                <w:szCs w:val="18"/>
              </w:rPr>
              <w:t>油气回收装置</w:t>
            </w:r>
          </w:p>
        </w:tc>
        <w:tc>
          <w:tcPr>
            <w:tcW w:w="1049" w:type="dxa"/>
            <w:vMerge w:val="restart"/>
            <w:tcBorders>
              <w:top w:val="nil"/>
              <w:left w:val="single" w:color="auto" w:sz="8" w:space="0"/>
              <w:bottom w:val="single" w:color="000000" w:sz="8" w:space="0"/>
              <w:right w:val="single" w:color="auto" w:sz="8" w:space="0"/>
            </w:tcBorders>
            <w:vAlign w:val="center"/>
          </w:tcPr>
          <w:p w14:paraId="49E0B750">
            <w:pPr>
              <w:jc w:val="center"/>
              <w:rPr>
                <w:rFonts w:ascii="Times New Roman" w:hAnsi="Times New Roman" w:cs="Times New Roman"/>
                <w:sz w:val="18"/>
                <w:szCs w:val="18"/>
              </w:rPr>
            </w:pPr>
            <w:r>
              <w:rPr>
                <w:rFonts w:ascii="Times New Roman" w:hAnsi="Times New Roman" w:cs="Times New Roman"/>
                <w:sz w:val="18"/>
                <w:szCs w:val="18"/>
              </w:rPr>
              <w:t>0.17</w:t>
            </w:r>
          </w:p>
        </w:tc>
        <w:tc>
          <w:tcPr>
            <w:tcW w:w="1117" w:type="dxa"/>
            <w:vMerge w:val="restart"/>
            <w:tcBorders>
              <w:top w:val="nil"/>
              <w:left w:val="single" w:color="auto" w:sz="8" w:space="0"/>
              <w:bottom w:val="single" w:color="000000" w:sz="8" w:space="0"/>
              <w:right w:val="single" w:color="auto" w:sz="8" w:space="0"/>
            </w:tcBorders>
            <w:vAlign w:val="center"/>
          </w:tcPr>
          <w:p w14:paraId="4CE565D5">
            <w:pPr>
              <w:jc w:val="center"/>
              <w:rPr>
                <w:rFonts w:ascii="Times New Roman" w:hAnsi="Times New Roman" w:cs="Times New Roman"/>
                <w:sz w:val="18"/>
                <w:szCs w:val="18"/>
              </w:rPr>
            </w:pPr>
            <w:r>
              <w:rPr>
                <w:rFonts w:hint="eastAsia" w:ascii="Times New Roman" w:hAnsi="Times New Roman" w:cs="Times New Roman"/>
                <w:sz w:val="18"/>
                <w:szCs w:val="18"/>
              </w:rPr>
              <w:t>30</w:t>
            </w:r>
            <w:r>
              <w:rPr>
                <w:rFonts w:ascii="Times New Roman" w:hAnsi="Times New Roman" w:cs="Times New Roman"/>
                <w:sz w:val="18"/>
                <w:szCs w:val="18"/>
              </w:rPr>
              <w:t>×</w:t>
            </w:r>
            <w:r>
              <w:rPr>
                <w:rFonts w:hint="eastAsia" w:ascii="Times New Roman" w:hAnsi="Times New Roman" w:cs="Times New Roman"/>
                <w:sz w:val="18"/>
                <w:szCs w:val="18"/>
              </w:rPr>
              <w:t>20×15</w:t>
            </w:r>
          </w:p>
        </w:tc>
      </w:tr>
      <w:tr w14:paraId="4199BE76">
        <w:tblPrEx>
          <w:tblCellMar>
            <w:top w:w="0" w:type="dxa"/>
            <w:left w:w="108" w:type="dxa"/>
            <w:bottom w:w="0" w:type="dxa"/>
            <w:right w:w="108" w:type="dxa"/>
          </w:tblCellMar>
        </w:tblPrEx>
        <w:trPr>
          <w:trHeight w:val="284" w:hRule="atLeast"/>
          <w:jc w:val="center"/>
        </w:trPr>
        <w:tc>
          <w:tcPr>
            <w:tcW w:w="1037" w:type="dxa"/>
            <w:vMerge w:val="continue"/>
            <w:tcBorders>
              <w:top w:val="nil"/>
              <w:left w:val="single" w:color="auto" w:sz="8" w:space="0"/>
              <w:bottom w:val="single" w:color="000000" w:sz="8" w:space="0"/>
              <w:right w:val="single" w:color="auto" w:sz="8" w:space="0"/>
            </w:tcBorders>
            <w:vAlign w:val="center"/>
          </w:tcPr>
          <w:p w14:paraId="36DC6D2A">
            <w:pPr>
              <w:jc w:val="center"/>
              <w:rPr>
                <w:rFonts w:ascii="Times New Roman" w:hAnsi="Times New Roman" w:cs="Times New Roman"/>
                <w:sz w:val="18"/>
                <w:szCs w:val="18"/>
              </w:rPr>
            </w:pPr>
          </w:p>
        </w:tc>
        <w:tc>
          <w:tcPr>
            <w:tcW w:w="1043" w:type="dxa"/>
            <w:tcBorders>
              <w:top w:val="nil"/>
              <w:left w:val="nil"/>
              <w:bottom w:val="single" w:color="auto" w:sz="8" w:space="0"/>
              <w:right w:val="single" w:color="auto" w:sz="8" w:space="0"/>
            </w:tcBorders>
            <w:vAlign w:val="center"/>
          </w:tcPr>
          <w:p w14:paraId="4154A30C">
            <w:pPr>
              <w:jc w:val="center"/>
              <w:rPr>
                <w:rFonts w:ascii="Times New Roman" w:hAnsi="Times New Roman" w:cs="Times New Roman"/>
                <w:sz w:val="18"/>
                <w:szCs w:val="18"/>
              </w:rPr>
            </w:pPr>
            <w:r>
              <w:rPr>
                <w:rFonts w:ascii="Times New Roman" w:hAnsi="Times New Roman" w:cs="Times New Roman"/>
                <w:sz w:val="18"/>
                <w:szCs w:val="18"/>
              </w:rPr>
              <w:t>碳酸二甲酯</w:t>
            </w:r>
          </w:p>
        </w:tc>
        <w:tc>
          <w:tcPr>
            <w:tcW w:w="1065" w:type="dxa"/>
            <w:tcBorders>
              <w:top w:val="nil"/>
              <w:left w:val="nil"/>
              <w:bottom w:val="single" w:color="auto" w:sz="8" w:space="0"/>
              <w:right w:val="single" w:color="auto" w:sz="8" w:space="0"/>
            </w:tcBorders>
            <w:vAlign w:val="center"/>
          </w:tcPr>
          <w:p w14:paraId="66FFE570">
            <w:pPr>
              <w:jc w:val="center"/>
              <w:rPr>
                <w:rFonts w:ascii="Times New Roman" w:hAnsi="Times New Roman" w:cs="Times New Roman"/>
                <w:sz w:val="18"/>
                <w:szCs w:val="18"/>
              </w:rPr>
            </w:pPr>
            <w:r>
              <w:rPr>
                <w:rFonts w:ascii="Times New Roman" w:hAnsi="Times New Roman" w:cs="Times New Roman"/>
                <w:sz w:val="18"/>
                <w:szCs w:val="18"/>
              </w:rPr>
              <w:t>3.12</w:t>
            </w:r>
          </w:p>
        </w:tc>
        <w:tc>
          <w:tcPr>
            <w:tcW w:w="1060" w:type="dxa"/>
            <w:vMerge w:val="continue"/>
            <w:tcBorders>
              <w:top w:val="nil"/>
              <w:left w:val="single" w:color="auto" w:sz="8" w:space="0"/>
              <w:bottom w:val="single" w:color="000000" w:sz="8" w:space="0"/>
              <w:right w:val="single" w:color="auto" w:sz="8" w:space="0"/>
            </w:tcBorders>
            <w:vAlign w:val="center"/>
          </w:tcPr>
          <w:p w14:paraId="0211F0FA">
            <w:pPr>
              <w:jc w:val="center"/>
              <w:rPr>
                <w:rFonts w:ascii="Times New Roman" w:hAnsi="Times New Roman" w:cs="Times New Roman"/>
                <w:sz w:val="18"/>
                <w:szCs w:val="18"/>
              </w:rPr>
            </w:pPr>
          </w:p>
        </w:tc>
        <w:tc>
          <w:tcPr>
            <w:tcW w:w="1097" w:type="dxa"/>
            <w:vMerge w:val="continue"/>
            <w:tcBorders>
              <w:top w:val="nil"/>
              <w:left w:val="single" w:color="auto" w:sz="8" w:space="0"/>
              <w:bottom w:val="single" w:color="000000" w:sz="8" w:space="0"/>
              <w:right w:val="single" w:color="auto" w:sz="8" w:space="0"/>
            </w:tcBorders>
            <w:vAlign w:val="center"/>
          </w:tcPr>
          <w:p w14:paraId="055660E5">
            <w:pPr>
              <w:jc w:val="center"/>
              <w:rPr>
                <w:rFonts w:ascii="Times New Roman" w:hAnsi="Times New Roman" w:cs="Times New Roman"/>
                <w:sz w:val="18"/>
                <w:szCs w:val="18"/>
              </w:rPr>
            </w:pPr>
          </w:p>
        </w:tc>
        <w:tc>
          <w:tcPr>
            <w:tcW w:w="1037" w:type="dxa"/>
            <w:vMerge w:val="continue"/>
            <w:tcBorders>
              <w:top w:val="nil"/>
              <w:left w:val="single" w:color="auto" w:sz="8" w:space="0"/>
              <w:bottom w:val="single" w:color="000000" w:sz="8" w:space="0"/>
              <w:right w:val="single" w:color="auto" w:sz="8" w:space="0"/>
            </w:tcBorders>
            <w:vAlign w:val="center"/>
          </w:tcPr>
          <w:p w14:paraId="5DCFDBE7">
            <w:pPr>
              <w:jc w:val="center"/>
              <w:rPr>
                <w:rFonts w:ascii="Times New Roman" w:hAnsi="Times New Roman" w:cs="Times New Roman"/>
                <w:sz w:val="18"/>
                <w:szCs w:val="18"/>
              </w:rPr>
            </w:pPr>
          </w:p>
        </w:tc>
        <w:tc>
          <w:tcPr>
            <w:tcW w:w="1049" w:type="dxa"/>
            <w:vMerge w:val="continue"/>
            <w:tcBorders>
              <w:top w:val="nil"/>
              <w:left w:val="single" w:color="auto" w:sz="8" w:space="0"/>
              <w:bottom w:val="single" w:color="000000" w:sz="8" w:space="0"/>
              <w:right w:val="single" w:color="auto" w:sz="8" w:space="0"/>
            </w:tcBorders>
            <w:vAlign w:val="center"/>
          </w:tcPr>
          <w:p w14:paraId="0A340BEC">
            <w:pPr>
              <w:jc w:val="center"/>
              <w:rPr>
                <w:rFonts w:ascii="Times New Roman" w:hAnsi="Times New Roman" w:cs="Times New Roman"/>
                <w:sz w:val="18"/>
                <w:szCs w:val="18"/>
              </w:rPr>
            </w:pPr>
          </w:p>
        </w:tc>
        <w:tc>
          <w:tcPr>
            <w:tcW w:w="1117" w:type="dxa"/>
            <w:vMerge w:val="continue"/>
            <w:tcBorders>
              <w:top w:val="nil"/>
              <w:left w:val="single" w:color="auto" w:sz="8" w:space="0"/>
              <w:bottom w:val="single" w:color="000000" w:sz="8" w:space="0"/>
              <w:right w:val="single" w:color="auto" w:sz="8" w:space="0"/>
            </w:tcBorders>
            <w:vAlign w:val="center"/>
          </w:tcPr>
          <w:p w14:paraId="09BA0D37">
            <w:pPr>
              <w:jc w:val="center"/>
              <w:rPr>
                <w:rFonts w:ascii="Times New Roman" w:hAnsi="Times New Roman" w:cs="Times New Roman"/>
                <w:sz w:val="18"/>
                <w:szCs w:val="18"/>
              </w:rPr>
            </w:pPr>
          </w:p>
        </w:tc>
      </w:tr>
      <w:tr w14:paraId="14AD9AF2">
        <w:tblPrEx>
          <w:tblCellMar>
            <w:top w:w="0" w:type="dxa"/>
            <w:left w:w="108" w:type="dxa"/>
            <w:bottom w:w="0" w:type="dxa"/>
            <w:right w:w="108" w:type="dxa"/>
          </w:tblCellMar>
        </w:tblPrEx>
        <w:trPr>
          <w:trHeight w:val="284" w:hRule="atLeast"/>
          <w:jc w:val="center"/>
        </w:trPr>
        <w:tc>
          <w:tcPr>
            <w:tcW w:w="1037" w:type="dxa"/>
            <w:vMerge w:val="continue"/>
            <w:tcBorders>
              <w:top w:val="nil"/>
              <w:left w:val="single" w:color="auto" w:sz="8" w:space="0"/>
              <w:bottom w:val="single" w:color="000000" w:sz="8" w:space="0"/>
              <w:right w:val="single" w:color="auto" w:sz="8" w:space="0"/>
            </w:tcBorders>
            <w:vAlign w:val="center"/>
          </w:tcPr>
          <w:p w14:paraId="422C99A5">
            <w:pPr>
              <w:jc w:val="center"/>
              <w:rPr>
                <w:rFonts w:ascii="Times New Roman" w:hAnsi="Times New Roman" w:cs="Times New Roman"/>
                <w:sz w:val="18"/>
                <w:szCs w:val="18"/>
              </w:rPr>
            </w:pPr>
          </w:p>
        </w:tc>
        <w:tc>
          <w:tcPr>
            <w:tcW w:w="1043" w:type="dxa"/>
            <w:tcBorders>
              <w:top w:val="nil"/>
              <w:left w:val="nil"/>
              <w:bottom w:val="single" w:color="auto" w:sz="8" w:space="0"/>
              <w:right w:val="single" w:color="auto" w:sz="8" w:space="0"/>
            </w:tcBorders>
            <w:vAlign w:val="center"/>
          </w:tcPr>
          <w:p w14:paraId="440F348B">
            <w:pPr>
              <w:jc w:val="center"/>
              <w:rPr>
                <w:rFonts w:ascii="Times New Roman" w:hAnsi="Times New Roman" w:cs="Times New Roman"/>
                <w:sz w:val="18"/>
                <w:szCs w:val="18"/>
              </w:rPr>
            </w:pPr>
            <w:r>
              <w:rPr>
                <w:rFonts w:ascii="Times New Roman" w:hAnsi="Times New Roman" w:cs="Times New Roman"/>
                <w:sz w:val="18"/>
                <w:szCs w:val="18"/>
              </w:rPr>
              <w:t>甲酸甲酯</w:t>
            </w:r>
          </w:p>
        </w:tc>
        <w:tc>
          <w:tcPr>
            <w:tcW w:w="1065" w:type="dxa"/>
            <w:tcBorders>
              <w:top w:val="nil"/>
              <w:left w:val="nil"/>
              <w:bottom w:val="single" w:color="auto" w:sz="8" w:space="0"/>
              <w:right w:val="single" w:color="auto" w:sz="8" w:space="0"/>
            </w:tcBorders>
            <w:vAlign w:val="center"/>
          </w:tcPr>
          <w:p w14:paraId="165F9E07">
            <w:pPr>
              <w:jc w:val="center"/>
              <w:rPr>
                <w:rFonts w:ascii="Times New Roman" w:hAnsi="Times New Roman" w:cs="Times New Roman"/>
                <w:sz w:val="18"/>
                <w:szCs w:val="18"/>
              </w:rPr>
            </w:pPr>
            <w:r>
              <w:rPr>
                <w:rFonts w:ascii="Times New Roman" w:hAnsi="Times New Roman" w:cs="Times New Roman"/>
                <w:sz w:val="18"/>
                <w:szCs w:val="18"/>
              </w:rPr>
              <w:t>1.9</w:t>
            </w:r>
          </w:p>
        </w:tc>
        <w:tc>
          <w:tcPr>
            <w:tcW w:w="1060" w:type="dxa"/>
            <w:vMerge w:val="continue"/>
            <w:tcBorders>
              <w:top w:val="nil"/>
              <w:left w:val="single" w:color="auto" w:sz="8" w:space="0"/>
              <w:bottom w:val="single" w:color="000000" w:sz="8" w:space="0"/>
              <w:right w:val="single" w:color="auto" w:sz="8" w:space="0"/>
            </w:tcBorders>
            <w:vAlign w:val="center"/>
          </w:tcPr>
          <w:p w14:paraId="6D3E2ABD">
            <w:pPr>
              <w:jc w:val="center"/>
              <w:rPr>
                <w:rFonts w:ascii="Times New Roman" w:hAnsi="Times New Roman" w:cs="Times New Roman"/>
                <w:sz w:val="18"/>
                <w:szCs w:val="18"/>
              </w:rPr>
            </w:pPr>
          </w:p>
        </w:tc>
        <w:tc>
          <w:tcPr>
            <w:tcW w:w="1097" w:type="dxa"/>
            <w:vMerge w:val="continue"/>
            <w:tcBorders>
              <w:top w:val="nil"/>
              <w:left w:val="single" w:color="auto" w:sz="8" w:space="0"/>
              <w:bottom w:val="single" w:color="000000" w:sz="8" w:space="0"/>
              <w:right w:val="single" w:color="auto" w:sz="8" w:space="0"/>
            </w:tcBorders>
            <w:vAlign w:val="center"/>
          </w:tcPr>
          <w:p w14:paraId="04FA7758">
            <w:pPr>
              <w:jc w:val="center"/>
              <w:rPr>
                <w:rFonts w:ascii="Times New Roman" w:hAnsi="Times New Roman" w:cs="Times New Roman"/>
                <w:sz w:val="18"/>
                <w:szCs w:val="18"/>
              </w:rPr>
            </w:pPr>
          </w:p>
        </w:tc>
        <w:tc>
          <w:tcPr>
            <w:tcW w:w="1037" w:type="dxa"/>
            <w:vMerge w:val="continue"/>
            <w:tcBorders>
              <w:top w:val="nil"/>
              <w:left w:val="single" w:color="auto" w:sz="8" w:space="0"/>
              <w:bottom w:val="single" w:color="000000" w:sz="8" w:space="0"/>
              <w:right w:val="single" w:color="auto" w:sz="8" w:space="0"/>
            </w:tcBorders>
            <w:vAlign w:val="center"/>
          </w:tcPr>
          <w:p w14:paraId="17C126FD">
            <w:pPr>
              <w:jc w:val="center"/>
              <w:rPr>
                <w:rFonts w:ascii="Times New Roman" w:hAnsi="Times New Roman" w:cs="Times New Roman"/>
                <w:sz w:val="18"/>
                <w:szCs w:val="18"/>
              </w:rPr>
            </w:pPr>
          </w:p>
        </w:tc>
        <w:tc>
          <w:tcPr>
            <w:tcW w:w="1049" w:type="dxa"/>
            <w:vMerge w:val="continue"/>
            <w:tcBorders>
              <w:top w:val="nil"/>
              <w:left w:val="single" w:color="auto" w:sz="8" w:space="0"/>
              <w:bottom w:val="single" w:color="000000" w:sz="8" w:space="0"/>
              <w:right w:val="single" w:color="auto" w:sz="8" w:space="0"/>
            </w:tcBorders>
            <w:vAlign w:val="center"/>
          </w:tcPr>
          <w:p w14:paraId="68017E57">
            <w:pPr>
              <w:jc w:val="center"/>
              <w:rPr>
                <w:rFonts w:ascii="Times New Roman" w:hAnsi="Times New Roman" w:cs="Times New Roman"/>
                <w:sz w:val="18"/>
                <w:szCs w:val="18"/>
              </w:rPr>
            </w:pPr>
          </w:p>
        </w:tc>
        <w:tc>
          <w:tcPr>
            <w:tcW w:w="1117" w:type="dxa"/>
            <w:vMerge w:val="continue"/>
            <w:tcBorders>
              <w:top w:val="nil"/>
              <w:left w:val="single" w:color="auto" w:sz="8" w:space="0"/>
              <w:bottom w:val="single" w:color="000000" w:sz="8" w:space="0"/>
              <w:right w:val="single" w:color="auto" w:sz="8" w:space="0"/>
            </w:tcBorders>
            <w:vAlign w:val="center"/>
          </w:tcPr>
          <w:p w14:paraId="1C58C5EB">
            <w:pPr>
              <w:jc w:val="center"/>
              <w:rPr>
                <w:rFonts w:ascii="Times New Roman" w:hAnsi="Times New Roman" w:cs="Times New Roman"/>
                <w:sz w:val="18"/>
                <w:szCs w:val="18"/>
              </w:rPr>
            </w:pPr>
          </w:p>
        </w:tc>
      </w:tr>
      <w:tr w14:paraId="6FC2FEDF">
        <w:tblPrEx>
          <w:tblCellMar>
            <w:top w:w="0" w:type="dxa"/>
            <w:left w:w="108" w:type="dxa"/>
            <w:bottom w:w="0" w:type="dxa"/>
            <w:right w:w="108" w:type="dxa"/>
          </w:tblCellMar>
        </w:tblPrEx>
        <w:trPr>
          <w:trHeight w:val="284" w:hRule="atLeast"/>
          <w:jc w:val="center"/>
        </w:trPr>
        <w:tc>
          <w:tcPr>
            <w:tcW w:w="1037" w:type="dxa"/>
            <w:vMerge w:val="continue"/>
            <w:tcBorders>
              <w:top w:val="nil"/>
              <w:left w:val="single" w:color="auto" w:sz="8" w:space="0"/>
              <w:bottom w:val="single" w:color="000000" w:sz="8" w:space="0"/>
              <w:right w:val="single" w:color="auto" w:sz="8" w:space="0"/>
            </w:tcBorders>
            <w:vAlign w:val="center"/>
          </w:tcPr>
          <w:p w14:paraId="631DEFD5">
            <w:pPr>
              <w:jc w:val="center"/>
              <w:rPr>
                <w:rFonts w:ascii="Times New Roman" w:hAnsi="Times New Roman" w:cs="Times New Roman"/>
                <w:sz w:val="18"/>
                <w:szCs w:val="18"/>
              </w:rPr>
            </w:pPr>
          </w:p>
        </w:tc>
        <w:tc>
          <w:tcPr>
            <w:tcW w:w="1043" w:type="dxa"/>
            <w:tcBorders>
              <w:top w:val="nil"/>
              <w:left w:val="nil"/>
              <w:bottom w:val="single" w:color="auto" w:sz="8" w:space="0"/>
              <w:right w:val="single" w:color="auto" w:sz="8" w:space="0"/>
            </w:tcBorders>
            <w:vAlign w:val="center"/>
          </w:tcPr>
          <w:p w14:paraId="0E86A7E2">
            <w:pPr>
              <w:jc w:val="center"/>
              <w:rPr>
                <w:rFonts w:ascii="Times New Roman" w:hAnsi="Times New Roman" w:cs="Times New Roman"/>
                <w:sz w:val="18"/>
                <w:szCs w:val="18"/>
              </w:rPr>
            </w:pPr>
            <w:r>
              <w:rPr>
                <w:rFonts w:ascii="Times New Roman" w:hAnsi="Times New Roman" w:cs="Times New Roman"/>
                <w:sz w:val="18"/>
                <w:szCs w:val="18"/>
              </w:rPr>
              <w:t>重质DMO</w:t>
            </w:r>
          </w:p>
        </w:tc>
        <w:tc>
          <w:tcPr>
            <w:tcW w:w="1065" w:type="dxa"/>
            <w:tcBorders>
              <w:top w:val="nil"/>
              <w:left w:val="nil"/>
              <w:bottom w:val="single" w:color="auto" w:sz="8" w:space="0"/>
              <w:right w:val="single" w:color="auto" w:sz="8" w:space="0"/>
            </w:tcBorders>
            <w:vAlign w:val="center"/>
          </w:tcPr>
          <w:p w14:paraId="5EE332FC">
            <w:pPr>
              <w:jc w:val="center"/>
              <w:rPr>
                <w:rFonts w:ascii="Times New Roman" w:hAnsi="Times New Roman" w:cs="Times New Roman"/>
                <w:sz w:val="18"/>
                <w:szCs w:val="18"/>
              </w:rPr>
            </w:pPr>
            <w:r>
              <w:rPr>
                <w:rFonts w:ascii="Times New Roman" w:hAnsi="Times New Roman" w:cs="Times New Roman"/>
                <w:sz w:val="18"/>
                <w:szCs w:val="18"/>
              </w:rPr>
              <w:t>0.32</w:t>
            </w:r>
          </w:p>
        </w:tc>
        <w:tc>
          <w:tcPr>
            <w:tcW w:w="1060" w:type="dxa"/>
            <w:vMerge w:val="continue"/>
            <w:tcBorders>
              <w:top w:val="nil"/>
              <w:left w:val="single" w:color="auto" w:sz="8" w:space="0"/>
              <w:bottom w:val="single" w:color="000000" w:sz="8" w:space="0"/>
              <w:right w:val="single" w:color="auto" w:sz="8" w:space="0"/>
            </w:tcBorders>
            <w:vAlign w:val="center"/>
          </w:tcPr>
          <w:p w14:paraId="4D27DBFE">
            <w:pPr>
              <w:jc w:val="center"/>
              <w:rPr>
                <w:rFonts w:ascii="Times New Roman" w:hAnsi="Times New Roman" w:cs="Times New Roman"/>
                <w:sz w:val="18"/>
                <w:szCs w:val="18"/>
              </w:rPr>
            </w:pPr>
          </w:p>
        </w:tc>
        <w:tc>
          <w:tcPr>
            <w:tcW w:w="1097" w:type="dxa"/>
            <w:vMerge w:val="continue"/>
            <w:tcBorders>
              <w:top w:val="nil"/>
              <w:left w:val="single" w:color="auto" w:sz="8" w:space="0"/>
              <w:bottom w:val="single" w:color="000000" w:sz="8" w:space="0"/>
              <w:right w:val="single" w:color="auto" w:sz="8" w:space="0"/>
            </w:tcBorders>
            <w:vAlign w:val="center"/>
          </w:tcPr>
          <w:p w14:paraId="0D2F6F13">
            <w:pPr>
              <w:jc w:val="center"/>
              <w:rPr>
                <w:rFonts w:ascii="Times New Roman" w:hAnsi="Times New Roman" w:cs="Times New Roman"/>
                <w:sz w:val="18"/>
                <w:szCs w:val="18"/>
              </w:rPr>
            </w:pPr>
          </w:p>
        </w:tc>
        <w:tc>
          <w:tcPr>
            <w:tcW w:w="1037" w:type="dxa"/>
            <w:vMerge w:val="continue"/>
            <w:tcBorders>
              <w:top w:val="nil"/>
              <w:left w:val="single" w:color="auto" w:sz="8" w:space="0"/>
              <w:bottom w:val="single" w:color="000000" w:sz="8" w:space="0"/>
              <w:right w:val="single" w:color="auto" w:sz="8" w:space="0"/>
            </w:tcBorders>
            <w:vAlign w:val="center"/>
          </w:tcPr>
          <w:p w14:paraId="6FC4F089">
            <w:pPr>
              <w:jc w:val="center"/>
              <w:rPr>
                <w:rFonts w:ascii="Times New Roman" w:hAnsi="Times New Roman" w:cs="Times New Roman"/>
                <w:sz w:val="18"/>
                <w:szCs w:val="18"/>
              </w:rPr>
            </w:pPr>
          </w:p>
        </w:tc>
        <w:tc>
          <w:tcPr>
            <w:tcW w:w="1049" w:type="dxa"/>
            <w:vMerge w:val="continue"/>
            <w:tcBorders>
              <w:top w:val="nil"/>
              <w:left w:val="single" w:color="auto" w:sz="8" w:space="0"/>
              <w:bottom w:val="single" w:color="000000" w:sz="8" w:space="0"/>
              <w:right w:val="single" w:color="auto" w:sz="8" w:space="0"/>
            </w:tcBorders>
            <w:vAlign w:val="center"/>
          </w:tcPr>
          <w:p w14:paraId="714CA04B">
            <w:pPr>
              <w:jc w:val="center"/>
              <w:rPr>
                <w:rFonts w:ascii="Times New Roman" w:hAnsi="Times New Roman" w:cs="Times New Roman"/>
                <w:sz w:val="18"/>
                <w:szCs w:val="18"/>
              </w:rPr>
            </w:pPr>
          </w:p>
        </w:tc>
        <w:tc>
          <w:tcPr>
            <w:tcW w:w="1117" w:type="dxa"/>
            <w:vMerge w:val="continue"/>
            <w:tcBorders>
              <w:top w:val="nil"/>
              <w:left w:val="single" w:color="auto" w:sz="8" w:space="0"/>
              <w:bottom w:val="single" w:color="000000" w:sz="8" w:space="0"/>
              <w:right w:val="single" w:color="auto" w:sz="8" w:space="0"/>
            </w:tcBorders>
            <w:vAlign w:val="center"/>
          </w:tcPr>
          <w:p w14:paraId="23AE4613">
            <w:pPr>
              <w:jc w:val="center"/>
              <w:rPr>
                <w:rFonts w:ascii="Times New Roman" w:hAnsi="Times New Roman" w:cs="Times New Roman"/>
                <w:sz w:val="18"/>
                <w:szCs w:val="18"/>
              </w:rPr>
            </w:pPr>
          </w:p>
        </w:tc>
      </w:tr>
    </w:tbl>
    <w:p w14:paraId="26B8A527">
      <w:pPr>
        <w:widowControl w:val="0"/>
        <w:spacing w:line="360" w:lineRule="auto"/>
        <w:ind w:firstLine="480" w:firstLineChars="200"/>
        <w:jc w:val="both"/>
        <w:rPr>
          <w:rFonts w:ascii="Times New Roman" w:hAnsi="Times New Roman" w:cs="Times New Roman"/>
          <w:kern w:val="2"/>
        </w:rPr>
      </w:pPr>
      <w:r>
        <w:rPr>
          <w:rFonts w:ascii="Times New Roman" w:hAnsi="Times New Roman" w:cs="Times New Roman"/>
        </w:rPr>
        <w:t>注：装卸区无组织排放量按照收集效率97%、即总量3%逸散计算</w:t>
      </w:r>
    </w:p>
    <w:bookmarkEnd w:id="211"/>
    <w:p w14:paraId="14A491A0">
      <w:pPr>
        <w:pStyle w:val="98"/>
        <w:rPr>
          <w:rFonts w:hint="eastAsia"/>
        </w:rPr>
      </w:pPr>
      <w:r>
        <w:rPr>
          <w:rFonts w:hint="eastAsia"/>
        </w:rPr>
        <w:t>废水</w:t>
      </w:r>
    </w:p>
    <w:p w14:paraId="08737368">
      <w:pPr>
        <w:pStyle w:val="281"/>
        <w:ind w:firstLine="480"/>
        <w:rPr>
          <w:u w:color="000000"/>
        </w:rPr>
      </w:pPr>
      <w:r>
        <w:rPr>
          <w:rFonts w:hint="eastAsia"/>
        </w:rPr>
        <w:t>储运工程主要废水为罐区的</w:t>
      </w:r>
      <w:r>
        <w:t>地面冲洗水（</w:t>
      </w:r>
      <w:r>
        <w:rPr>
          <w:u w:color="000000"/>
        </w:rPr>
        <w:t>W</w:t>
      </w:r>
      <w:r>
        <w:rPr>
          <w:rFonts w:hint="eastAsia"/>
          <w:u w:color="000000"/>
          <w:vertAlign w:val="subscript"/>
        </w:rPr>
        <w:t>12</w:t>
      </w:r>
      <w:r>
        <w:rPr>
          <w:u w:color="000000"/>
          <w:vertAlign w:val="subscript"/>
        </w:rPr>
        <w:t>-1</w:t>
      </w:r>
      <w:r>
        <w:t>）</w:t>
      </w:r>
      <w:r>
        <w:rPr>
          <w:u w:color="000000"/>
        </w:rPr>
        <w:t>，产生量为</w:t>
      </w:r>
      <w:r>
        <w:rPr>
          <w:rFonts w:hint="eastAsia"/>
          <w:u w:color="000000"/>
        </w:rPr>
        <w:t>10</w:t>
      </w:r>
      <w:r>
        <w:rPr>
          <w:u w:color="000000"/>
        </w:rPr>
        <w:t>00kg/h，含有COD、SS，废水进入厂区污水处理站处理。</w:t>
      </w:r>
    </w:p>
    <w:p w14:paraId="501F0CCF">
      <w:pPr>
        <w:pStyle w:val="281"/>
        <w:ind w:firstLine="480"/>
        <w:rPr>
          <w:u w:color="000000"/>
        </w:rPr>
      </w:pPr>
      <w:r>
        <w:rPr>
          <w:rFonts w:hint="eastAsia"/>
        </w:rPr>
        <w:t>储运工程</w:t>
      </w:r>
      <w:r>
        <w:rPr>
          <w:u w:color="000000"/>
        </w:rPr>
        <w:t>废水产排情况见</w:t>
      </w:r>
      <w:r>
        <w:rPr>
          <w:rStyle w:val="282"/>
          <w:rFonts w:hint="eastAsia" w:ascii="宋体" w:hAnsi="宋体"/>
        </w:rPr>
        <w:t>表</w:t>
      </w:r>
      <w:r>
        <w:rPr>
          <w:rStyle w:val="282"/>
          <w:rFonts w:hint="eastAsia"/>
        </w:rPr>
        <w:t>3.4.3-6</w:t>
      </w:r>
      <w:r>
        <w:rPr>
          <w:rStyle w:val="282"/>
        </w:rPr>
        <w:t>。</w:t>
      </w:r>
    </w:p>
    <w:p w14:paraId="523B4B99">
      <w:pPr>
        <w:pStyle w:val="540"/>
        <w:rPr>
          <w:rFonts w:hint="eastAsia"/>
          <w:color w:val="auto"/>
        </w:rPr>
      </w:pPr>
      <w:r>
        <w:rPr>
          <w:rFonts w:hint="eastAsia"/>
          <w:color w:val="auto"/>
        </w:rPr>
        <w:t>表3.4.3-6</w:t>
      </w:r>
      <w:r>
        <w:rPr>
          <w:color w:val="auto"/>
        </w:rPr>
        <w:t xml:space="preserve">  </w:t>
      </w:r>
      <w:r>
        <w:rPr>
          <w:rFonts w:hint="eastAsia"/>
          <w:color w:val="auto"/>
        </w:rPr>
        <w:t xml:space="preserve"> </w:t>
      </w:r>
      <w:r>
        <w:rPr>
          <w:color w:val="auto"/>
        </w:rPr>
        <w:t xml:space="preserve"> </w:t>
      </w:r>
      <w:r>
        <w:rPr>
          <w:rFonts w:hint="eastAsia"/>
          <w:color w:val="auto"/>
        </w:rPr>
        <w:t>储运工程废水产排情况表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051"/>
        <w:gridCol w:w="975"/>
        <w:gridCol w:w="1014"/>
        <w:gridCol w:w="897"/>
        <w:gridCol w:w="966"/>
        <w:gridCol w:w="970"/>
        <w:gridCol w:w="1135"/>
        <w:gridCol w:w="856"/>
      </w:tblGrid>
      <w:tr w14:paraId="7FC5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7" w:type="pct"/>
            <w:vMerge w:val="restart"/>
            <w:vAlign w:val="center"/>
          </w:tcPr>
          <w:p w14:paraId="47D003B9">
            <w:pPr>
              <w:pStyle w:val="557"/>
            </w:pPr>
            <w:r>
              <w:t>编号</w:t>
            </w:r>
          </w:p>
        </w:tc>
        <w:tc>
          <w:tcPr>
            <w:tcW w:w="618" w:type="pct"/>
            <w:vMerge w:val="restart"/>
            <w:vAlign w:val="center"/>
          </w:tcPr>
          <w:p w14:paraId="122BB391">
            <w:pPr>
              <w:pStyle w:val="557"/>
            </w:pPr>
            <w:r>
              <w:t>排放源</w:t>
            </w:r>
          </w:p>
        </w:tc>
        <w:tc>
          <w:tcPr>
            <w:tcW w:w="573" w:type="pct"/>
            <w:vMerge w:val="restart"/>
            <w:vAlign w:val="center"/>
          </w:tcPr>
          <w:p w14:paraId="31946F9C">
            <w:pPr>
              <w:pStyle w:val="557"/>
            </w:pPr>
            <w:r>
              <w:t>污染物</w:t>
            </w:r>
          </w:p>
        </w:tc>
        <w:tc>
          <w:tcPr>
            <w:tcW w:w="596" w:type="pct"/>
            <w:vMerge w:val="restart"/>
            <w:vAlign w:val="center"/>
          </w:tcPr>
          <w:p w14:paraId="268A7469">
            <w:pPr>
              <w:pStyle w:val="557"/>
            </w:pPr>
            <w:r>
              <w:t>核算方法</w:t>
            </w:r>
          </w:p>
        </w:tc>
        <w:tc>
          <w:tcPr>
            <w:tcW w:w="527" w:type="pct"/>
            <w:vMerge w:val="restart"/>
            <w:vAlign w:val="center"/>
          </w:tcPr>
          <w:p w14:paraId="28A0B796">
            <w:pPr>
              <w:pStyle w:val="557"/>
            </w:pPr>
            <w:r>
              <w:t>废水量（</w:t>
            </w:r>
            <w:r>
              <w:rPr>
                <w:rFonts w:hint="eastAsia"/>
              </w:rPr>
              <w:t>kg</w:t>
            </w:r>
            <w:r>
              <w:t>/h）</w:t>
            </w:r>
          </w:p>
        </w:tc>
        <w:tc>
          <w:tcPr>
            <w:tcW w:w="1138" w:type="pct"/>
            <w:gridSpan w:val="2"/>
            <w:vAlign w:val="center"/>
          </w:tcPr>
          <w:p w14:paraId="38AFCE5C">
            <w:pPr>
              <w:pStyle w:val="557"/>
            </w:pPr>
            <w:r>
              <w:t>污染物产生情况</w:t>
            </w:r>
          </w:p>
        </w:tc>
        <w:tc>
          <w:tcPr>
            <w:tcW w:w="667" w:type="pct"/>
            <w:vMerge w:val="restart"/>
            <w:vAlign w:val="center"/>
          </w:tcPr>
          <w:p w14:paraId="4B8C633B">
            <w:pPr>
              <w:pStyle w:val="557"/>
            </w:pPr>
            <w:r>
              <w:t>处置措施</w:t>
            </w:r>
          </w:p>
        </w:tc>
        <w:tc>
          <w:tcPr>
            <w:tcW w:w="503" w:type="pct"/>
            <w:vMerge w:val="restart"/>
            <w:vAlign w:val="center"/>
          </w:tcPr>
          <w:p w14:paraId="63C7B708">
            <w:pPr>
              <w:pStyle w:val="557"/>
            </w:pPr>
            <w:r>
              <w:t>排放时间（h）</w:t>
            </w:r>
          </w:p>
        </w:tc>
      </w:tr>
      <w:tr w14:paraId="4E38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7" w:type="pct"/>
            <w:vMerge w:val="continue"/>
            <w:vAlign w:val="center"/>
          </w:tcPr>
          <w:p w14:paraId="5B3CD64B">
            <w:pPr>
              <w:pStyle w:val="557"/>
            </w:pPr>
          </w:p>
        </w:tc>
        <w:tc>
          <w:tcPr>
            <w:tcW w:w="618" w:type="pct"/>
            <w:vMerge w:val="continue"/>
            <w:vAlign w:val="center"/>
          </w:tcPr>
          <w:p w14:paraId="47F5ED10">
            <w:pPr>
              <w:pStyle w:val="557"/>
            </w:pPr>
          </w:p>
        </w:tc>
        <w:tc>
          <w:tcPr>
            <w:tcW w:w="573" w:type="pct"/>
            <w:vMerge w:val="continue"/>
            <w:vAlign w:val="center"/>
          </w:tcPr>
          <w:p w14:paraId="40945548">
            <w:pPr>
              <w:pStyle w:val="557"/>
            </w:pPr>
          </w:p>
        </w:tc>
        <w:tc>
          <w:tcPr>
            <w:tcW w:w="596" w:type="pct"/>
            <w:vMerge w:val="continue"/>
            <w:vAlign w:val="center"/>
          </w:tcPr>
          <w:p w14:paraId="1598762A">
            <w:pPr>
              <w:pStyle w:val="557"/>
            </w:pPr>
          </w:p>
        </w:tc>
        <w:tc>
          <w:tcPr>
            <w:tcW w:w="527" w:type="pct"/>
            <w:vMerge w:val="continue"/>
            <w:vAlign w:val="center"/>
          </w:tcPr>
          <w:p w14:paraId="14F9D5EB">
            <w:pPr>
              <w:pStyle w:val="557"/>
            </w:pPr>
          </w:p>
        </w:tc>
        <w:tc>
          <w:tcPr>
            <w:tcW w:w="568" w:type="pct"/>
            <w:vAlign w:val="center"/>
          </w:tcPr>
          <w:p w14:paraId="4F9055BD">
            <w:pPr>
              <w:pStyle w:val="557"/>
            </w:pPr>
            <w:r>
              <w:t>产生浓度（mg/L）</w:t>
            </w:r>
          </w:p>
        </w:tc>
        <w:tc>
          <w:tcPr>
            <w:tcW w:w="570" w:type="pct"/>
            <w:vAlign w:val="center"/>
          </w:tcPr>
          <w:p w14:paraId="6F36046E">
            <w:pPr>
              <w:pStyle w:val="557"/>
            </w:pPr>
            <w:r>
              <w:t>产生量（kg/h）</w:t>
            </w:r>
          </w:p>
        </w:tc>
        <w:tc>
          <w:tcPr>
            <w:tcW w:w="667" w:type="pct"/>
            <w:vMerge w:val="continue"/>
            <w:vAlign w:val="center"/>
          </w:tcPr>
          <w:p w14:paraId="0654E8D3">
            <w:pPr>
              <w:pStyle w:val="557"/>
            </w:pPr>
          </w:p>
        </w:tc>
        <w:tc>
          <w:tcPr>
            <w:tcW w:w="503" w:type="pct"/>
            <w:vMerge w:val="continue"/>
            <w:vAlign w:val="center"/>
          </w:tcPr>
          <w:p w14:paraId="027499AF">
            <w:pPr>
              <w:pStyle w:val="557"/>
            </w:pPr>
          </w:p>
        </w:tc>
      </w:tr>
      <w:tr w14:paraId="208D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7" w:type="pct"/>
            <w:vMerge w:val="restart"/>
            <w:vAlign w:val="center"/>
          </w:tcPr>
          <w:p w14:paraId="67247271">
            <w:pPr>
              <w:pStyle w:val="557"/>
            </w:pPr>
            <w:r>
              <w:t>W</w:t>
            </w:r>
            <w:r>
              <w:rPr>
                <w:rFonts w:hint="eastAsia"/>
                <w:vertAlign w:val="subscript"/>
              </w:rPr>
              <w:t>10</w:t>
            </w:r>
            <w:r>
              <w:rPr>
                <w:vertAlign w:val="subscript"/>
              </w:rPr>
              <w:t>-1</w:t>
            </w:r>
          </w:p>
        </w:tc>
        <w:tc>
          <w:tcPr>
            <w:tcW w:w="618" w:type="pct"/>
            <w:vMerge w:val="restart"/>
            <w:vAlign w:val="center"/>
          </w:tcPr>
          <w:p w14:paraId="7C473C07">
            <w:pPr>
              <w:pStyle w:val="557"/>
            </w:pPr>
            <w:r>
              <w:t>地面冲洗水</w:t>
            </w:r>
          </w:p>
        </w:tc>
        <w:tc>
          <w:tcPr>
            <w:tcW w:w="573" w:type="pct"/>
            <w:vAlign w:val="center"/>
          </w:tcPr>
          <w:p w14:paraId="53D6D6B9">
            <w:pPr>
              <w:pStyle w:val="557"/>
            </w:pPr>
            <w:r>
              <w:t>COD</w:t>
            </w:r>
          </w:p>
        </w:tc>
        <w:tc>
          <w:tcPr>
            <w:tcW w:w="596" w:type="pct"/>
            <w:vMerge w:val="restart"/>
            <w:vAlign w:val="center"/>
          </w:tcPr>
          <w:p w14:paraId="73F84C8C">
            <w:pPr>
              <w:pStyle w:val="557"/>
            </w:pPr>
            <w:r>
              <w:t>类比法</w:t>
            </w:r>
          </w:p>
        </w:tc>
        <w:tc>
          <w:tcPr>
            <w:tcW w:w="527" w:type="pct"/>
            <w:vMerge w:val="restart"/>
            <w:vAlign w:val="center"/>
          </w:tcPr>
          <w:p w14:paraId="179D92CB">
            <w:pPr>
              <w:pStyle w:val="557"/>
            </w:pPr>
            <w:r>
              <w:rPr>
                <w:rFonts w:hint="eastAsia"/>
              </w:rPr>
              <w:t>10</w:t>
            </w:r>
            <w:r>
              <w:t>00</w:t>
            </w:r>
          </w:p>
        </w:tc>
        <w:tc>
          <w:tcPr>
            <w:tcW w:w="568" w:type="pct"/>
            <w:vAlign w:val="center"/>
          </w:tcPr>
          <w:p w14:paraId="13153A02">
            <w:pPr>
              <w:pStyle w:val="557"/>
            </w:pPr>
            <w:r>
              <w:rPr>
                <w:rFonts w:hint="eastAsia"/>
              </w:rPr>
              <w:t>200</w:t>
            </w:r>
          </w:p>
        </w:tc>
        <w:tc>
          <w:tcPr>
            <w:tcW w:w="570" w:type="pct"/>
            <w:vAlign w:val="center"/>
          </w:tcPr>
          <w:p w14:paraId="305F2469">
            <w:pPr>
              <w:pStyle w:val="557"/>
            </w:pPr>
            <w:r>
              <w:rPr>
                <w:rFonts w:hint="eastAsia"/>
              </w:rPr>
              <w:t>0.2</w:t>
            </w:r>
          </w:p>
        </w:tc>
        <w:tc>
          <w:tcPr>
            <w:tcW w:w="667" w:type="pct"/>
            <w:vMerge w:val="restart"/>
            <w:vAlign w:val="center"/>
          </w:tcPr>
          <w:p w14:paraId="4D04A723">
            <w:pPr>
              <w:pStyle w:val="557"/>
            </w:pPr>
            <w:r>
              <w:t>厂内污水处理站</w:t>
            </w:r>
          </w:p>
        </w:tc>
        <w:tc>
          <w:tcPr>
            <w:tcW w:w="503" w:type="pct"/>
            <w:vMerge w:val="restart"/>
            <w:vAlign w:val="center"/>
          </w:tcPr>
          <w:p w14:paraId="468CBF22">
            <w:pPr>
              <w:pStyle w:val="557"/>
            </w:pPr>
            <w:r>
              <w:t>间歇</w:t>
            </w:r>
          </w:p>
        </w:tc>
      </w:tr>
      <w:tr w14:paraId="7DC9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7" w:type="pct"/>
            <w:vMerge w:val="continue"/>
            <w:vAlign w:val="center"/>
          </w:tcPr>
          <w:p w14:paraId="697185D1">
            <w:pPr>
              <w:pStyle w:val="557"/>
            </w:pPr>
          </w:p>
        </w:tc>
        <w:tc>
          <w:tcPr>
            <w:tcW w:w="618" w:type="pct"/>
            <w:vMerge w:val="continue"/>
            <w:vAlign w:val="center"/>
          </w:tcPr>
          <w:p w14:paraId="43278169">
            <w:pPr>
              <w:pStyle w:val="557"/>
            </w:pPr>
          </w:p>
        </w:tc>
        <w:tc>
          <w:tcPr>
            <w:tcW w:w="573" w:type="pct"/>
            <w:vAlign w:val="center"/>
          </w:tcPr>
          <w:p w14:paraId="5D9C74DB">
            <w:pPr>
              <w:pStyle w:val="557"/>
            </w:pPr>
            <w:r>
              <w:t>SS</w:t>
            </w:r>
          </w:p>
        </w:tc>
        <w:tc>
          <w:tcPr>
            <w:tcW w:w="596" w:type="pct"/>
            <w:vMerge w:val="continue"/>
            <w:vAlign w:val="center"/>
          </w:tcPr>
          <w:p w14:paraId="563BDBFC">
            <w:pPr>
              <w:pStyle w:val="557"/>
            </w:pPr>
          </w:p>
        </w:tc>
        <w:tc>
          <w:tcPr>
            <w:tcW w:w="527" w:type="pct"/>
            <w:vMerge w:val="continue"/>
            <w:vAlign w:val="center"/>
          </w:tcPr>
          <w:p w14:paraId="51733800">
            <w:pPr>
              <w:pStyle w:val="557"/>
            </w:pPr>
          </w:p>
        </w:tc>
        <w:tc>
          <w:tcPr>
            <w:tcW w:w="568" w:type="pct"/>
            <w:vAlign w:val="center"/>
          </w:tcPr>
          <w:p w14:paraId="4C382F97">
            <w:pPr>
              <w:pStyle w:val="557"/>
            </w:pPr>
            <w:r>
              <w:t>100</w:t>
            </w:r>
          </w:p>
        </w:tc>
        <w:tc>
          <w:tcPr>
            <w:tcW w:w="570" w:type="pct"/>
            <w:vAlign w:val="center"/>
          </w:tcPr>
          <w:p w14:paraId="22869AA9">
            <w:pPr>
              <w:pStyle w:val="557"/>
            </w:pPr>
            <w:r>
              <w:rPr>
                <w:rFonts w:hint="eastAsia"/>
              </w:rPr>
              <w:t>0.1</w:t>
            </w:r>
          </w:p>
        </w:tc>
        <w:tc>
          <w:tcPr>
            <w:tcW w:w="667" w:type="pct"/>
            <w:vMerge w:val="continue"/>
            <w:vAlign w:val="center"/>
          </w:tcPr>
          <w:p w14:paraId="20E800F7">
            <w:pPr>
              <w:pStyle w:val="557"/>
            </w:pPr>
          </w:p>
        </w:tc>
        <w:tc>
          <w:tcPr>
            <w:tcW w:w="503" w:type="pct"/>
            <w:vMerge w:val="continue"/>
            <w:vAlign w:val="center"/>
          </w:tcPr>
          <w:p w14:paraId="7F79C6B6">
            <w:pPr>
              <w:pStyle w:val="557"/>
            </w:pPr>
          </w:p>
        </w:tc>
      </w:tr>
    </w:tbl>
    <w:p w14:paraId="2D2225EE">
      <w:pPr>
        <w:pStyle w:val="98"/>
        <w:rPr>
          <w:rFonts w:ascii="Times New Roman" w:hAnsi="Times New Roman"/>
        </w:rPr>
      </w:pPr>
      <w:r>
        <w:rPr>
          <w:rFonts w:hint="eastAsia"/>
        </w:rPr>
        <w:t>噪声</w:t>
      </w:r>
    </w:p>
    <w:p w14:paraId="1215F18F">
      <w:pPr>
        <w:pStyle w:val="529"/>
        <w:rPr>
          <w:rStyle w:val="282"/>
        </w:rPr>
      </w:pPr>
      <w:r>
        <w:rPr>
          <w:rFonts w:hint="eastAsia" w:ascii="Times New Roman" w:hAnsi="Times New Roman"/>
        </w:rPr>
        <w:t>储运设施的主要噪声源主要为各类机泵，</w:t>
      </w:r>
      <w:r>
        <w:rPr>
          <w:rStyle w:val="282"/>
        </w:rPr>
        <w:t>具体见表</w:t>
      </w:r>
      <w:r>
        <w:rPr>
          <w:rFonts w:ascii="Times New Roman" w:hAnsi="Times New Roman"/>
        </w:rPr>
        <w:t>3.4.</w:t>
      </w:r>
      <w:r>
        <w:rPr>
          <w:rFonts w:hint="eastAsia" w:ascii="Times New Roman" w:hAnsi="Times New Roman"/>
        </w:rPr>
        <w:t>3-7</w:t>
      </w:r>
      <w:r>
        <w:rPr>
          <w:rStyle w:val="282"/>
        </w:rPr>
        <w:t>。</w:t>
      </w:r>
    </w:p>
    <w:p w14:paraId="6EE0A31C">
      <w:pPr>
        <w:pStyle w:val="645"/>
        <w:rPr>
          <w:rFonts w:hint="eastAsia"/>
        </w:rPr>
      </w:pPr>
      <w:r>
        <w:rPr>
          <w:rFonts w:hint="eastAsia"/>
        </w:rPr>
        <w:t xml:space="preserve">表3.4.3-7   </w:t>
      </w:r>
      <w:r>
        <w:t xml:space="preserve"> </w:t>
      </w:r>
      <w:r>
        <w:rPr>
          <w:rFonts w:hint="eastAsia"/>
        </w:rPr>
        <w:t>储运系统</w:t>
      </w:r>
      <w:r>
        <w:t>噪声源一览表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814"/>
        <w:gridCol w:w="850"/>
        <w:gridCol w:w="851"/>
        <w:gridCol w:w="860"/>
        <w:gridCol w:w="982"/>
        <w:gridCol w:w="851"/>
        <w:gridCol w:w="973"/>
        <w:gridCol w:w="739"/>
        <w:gridCol w:w="739"/>
      </w:tblGrid>
      <w:tr w14:paraId="4040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6" w:type="dxa"/>
            <w:vMerge w:val="restart"/>
            <w:tcBorders>
              <w:top w:val="single" w:color="auto" w:sz="4" w:space="0"/>
              <w:left w:val="single" w:color="auto" w:sz="4" w:space="0"/>
              <w:right w:val="single" w:color="auto" w:sz="4" w:space="0"/>
            </w:tcBorders>
            <w:vAlign w:val="center"/>
          </w:tcPr>
          <w:p w14:paraId="3ADE50CC">
            <w:pPr>
              <w:pStyle w:val="557"/>
            </w:pPr>
            <w:r>
              <w:t>噪声源</w:t>
            </w:r>
          </w:p>
        </w:tc>
        <w:tc>
          <w:tcPr>
            <w:tcW w:w="814" w:type="dxa"/>
            <w:vMerge w:val="restart"/>
            <w:tcBorders>
              <w:top w:val="single" w:color="auto" w:sz="4" w:space="0"/>
              <w:left w:val="single" w:color="auto" w:sz="4" w:space="0"/>
              <w:right w:val="single" w:color="auto" w:sz="4" w:space="0"/>
            </w:tcBorders>
            <w:vAlign w:val="center"/>
          </w:tcPr>
          <w:p w14:paraId="7DCE840A">
            <w:pPr>
              <w:pStyle w:val="557"/>
            </w:pPr>
            <w:r>
              <w:t>设备数量</w:t>
            </w:r>
          </w:p>
        </w:tc>
        <w:tc>
          <w:tcPr>
            <w:tcW w:w="850" w:type="dxa"/>
            <w:vMerge w:val="restart"/>
            <w:tcBorders>
              <w:top w:val="single" w:color="auto" w:sz="4" w:space="0"/>
              <w:left w:val="single" w:color="auto" w:sz="4" w:space="0"/>
              <w:right w:val="single" w:color="auto" w:sz="4" w:space="0"/>
            </w:tcBorders>
            <w:vAlign w:val="center"/>
          </w:tcPr>
          <w:p w14:paraId="76AC5CFB">
            <w:pPr>
              <w:pStyle w:val="557"/>
            </w:pPr>
            <w:r>
              <w:t>声源类型</w:t>
            </w:r>
          </w:p>
        </w:tc>
        <w:tc>
          <w:tcPr>
            <w:tcW w:w="1711" w:type="dxa"/>
            <w:gridSpan w:val="2"/>
            <w:tcBorders>
              <w:top w:val="single" w:color="auto" w:sz="4" w:space="0"/>
              <w:left w:val="single" w:color="auto" w:sz="4" w:space="0"/>
              <w:bottom w:val="single" w:color="auto" w:sz="4" w:space="0"/>
              <w:right w:val="single" w:color="auto" w:sz="4" w:space="0"/>
            </w:tcBorders>
            <w:vAlign w:val="center"/>
          </w:tcPr>
          <w:p w14:paraId="4D77F202">
            <w:pPr>
              <w:pStyle w:val="557"/>
            </w:pPr>
            <w:r>
              <w:t>噪声产生量</w:t>
            </w:r>
          </w:p>
        </w:tc>
        <w:tc>
          <w:tcPr>
            <w:tcW w:w="1833" w:type="dxa"/>
            <w:gridSpan w:val="2"/>
            <w:tcBorders>
              <w:top w:val="single" w:color="auto" w:sz="4" w:space="0"/>
              <w:left w:val="single" w:color="auto" w:sz="4" w:space="0"/>
              <w:right w:val="single" w:color="auto" w:sz="4" w:space="0"/>
            </w:tcBorders>
            <w:vAlign w:val="center"/>
          </w:tcPr>
          <w:p w14:paraId="0D8C1511">
            <w:pPr>
              <w:pStyle w:val="557"/>
            </w:pPr>
            <w:r>
              <w:t>处理措施</w:t>
            </w:r>
          </w:p>
        </w:tc>
        <w:tc>
          <w:tcPr>
            <w:tcW w:w="1712" w:type="dxa"/>
            <w:gridSpan w:val="2"/>
            <w:tcBorders>
              <w:top w:val="single" w:color="auto" w:sz="4" w:space="0"/>
              <w:left w:val="single" w:color="auto" w:sz="4" w:space="0"/>
              <w:right w:val="single" w:color="auto" w:sz="4" w:space="0"/>
            </w:tcBorders>
            <w:vAlign w:val="center"/>
          </w:tcPr>
          <w:p w14:paraId="5210D496">
            <w:pPr>
              <w:pStyle w:val="557"/>
            </w:pPr>
            <w:r>
              <w:t>噪声排放量</w:t>
            </w:r>
          </w:p>
        </w:tc>
        <w:tc>
          <w:tcPr>
            <w:tcW w:w="739" w:type="dxa"/>
            <w:vMerge w:val="restart"/>
            <w:tcBorders>
              <w:top w:val="single" w:color="auto" w:sz="4" w:space="0"/>
              <w:left w:val="single" w:color="auto" w:sz="4" w:space="0"/>
              <w:right w:val="single" w:color="auto" w:sz="4" w:space="0"/>
            </w:tcBorders>
            <w:vAlign w:val="center"/>
          </w:tcPr>
          <w:p w14:paraId="6AB86D29">
            <w:pPr>
              <w:pStyle w:val="557"/>
            </w:pPr>
            <w:r>
              <w:t>持续时间（h）</w:t>
            </w:r>
          </w:p>
        </w:tc>
      </w:tr>
      <w:tr w14:paraId="0CCF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6" w:type="dxa"/>
            <w:vMerge w:val="continue"/>
            <w:tcBorders>
              <w:left w:val="single" w:color="auto" w:sz="4" w:space="0"/>
              <w:bottom w:val="single" w:color="auto" w:sz="4" w:space="0"/>
              <w:right w:val="single" w:color="auto" w:sz="4" w:space="0"/>
            </w:tcBorders>
            <w:vAlign w:val="center"/>
          </w:tcPr>
          <w:p w14:paraId="0AAAA638">
            <w:pPr>
              <w:pStyle w:val="557"/>
            </w:pPr>
          </w:p>
        </w:tc>
        <w:tc>
          <w:tcPr>
            <w:tcW w:w="814" w:type="dxa"/>
            <w:vMerge w:val="continue"/>
            <w:tcBorders>
              <w:left w:val="single" w:color="auto" w:sz="4" w:space="0"/>
              <w:bottom w:val="single" w:color="auto" w:sz="4" w:space="0"/>
              <w:right w:val="single" w:color="auto" w:sz="4" w:space="0"/>
            </w:tcBorders>
            <w:vAlign w:val="center"/>
          </w:tcPr>
          <w:p w14:paraId="4FB775A1">
            <w:pPr>
              <w:pStyle w:val="557"/>
            </w:pPr>
          </w:p>
        </w:tc>
        <w:tc>
          <w:tcPr>
            <w:tcW w:w="850" w:type="dxa"/>
            <w:vMerge w:val="continue"/>
            <w:tcBorders>
              <w:left w:val="single" w:color="auto" w:sz="4" w:space="0"/>
              <w:bottom w:val="single" w:color="auto" w:sz="4" w:space="0"/>
              <w:right w:val="single" w:color="auto" w:sz="4" w:space="0"/>
            </w:tcBorders>
            <w:vAlign w:val="center"/>
          </w:tcPr>
          <w:p w14:paraId="4C287FAC">
            <w:pPr>
              <w:pStyle w:val="557"/>
            </w:pPr>
          </w:p>
        </w:tc>
        <w:tc>
          <w:tcPr>
            <w:tcW w:w="851" w:type="dxa"/>
            <w:tcBorders>
              <w:top w:val="single" w:color="auto" w:sz="4" w:space="0"/>
              <w:left w:val="single" w:color="auto" w:sz="4" w:space="0"/>
              <w:bottom w:val="single" w:color="auto" w:sz="4" w:space="0"/>
              <w:right w:val="single" w:color="auto" w:sz="4" w:space="0"/>
            </w:tcBorders>
            <w:vAlign w:val="center"/>
          </w:tcPr>
          <w:p w14:paraId="48B6CFB0">
            <w:pPr>
              <w:pStyle w:val="557"/>
            </w:pPr>
            <w:r>
              <w:t>核算方法</w:t>
            </w:r>
          </w:p>
        </w:tc>
        <w:tc>
          <w:tcPr>
            <w:tcW w:w="860" w:type="dxa"/>
            <w:tcBorders>
              <w:top w:val="single" w:color="auto" w:sz="4" w:space="0"/>
              <w:left w:val="single" w:color="auto" w:sz="4" w:space="0"/>
              <w:bottom w:val="single" w:color="auto" w:sz="4" w:space="0"/>
              <w:right w:val="single" w:color="auto" w:sz="4" w:space="0"/>
            </w:tcBorders>
            <w:vAlign w:val="center"/>
          </w:tcPr>
          <w:p w14:paraId="284A637D">
            <w:pPr>
              <w:pStyle w:val="557"/>
            </w:pPr>
            <w:r>
              <w:t>声源表达量dB(A</w:t>
            </w:r>
            <w:r>
              <w:rPr>
                <w:rFonts w:hint="eastAsia"/>
              </w:rPr>
              <w:t>）</w:t>
            </w:r>
          </w:p>
        </w:tc>
        <w:tc>
          <w:tcPr>
            <w:tcW w:w="982" w:type="dxa"/>
            <w:tcBorders>
              <w:left w:val="single" w:color="auto" w:sz="4" w:space="0"/>
              <w:bottom w:val="single" w:color="auto" w:sz="4" w:space="0"/>
              <w:right w:val="single" w:color="auto" w:sz="4" w:space="0"/>
            </w:tcBorders>
            <w:vAlign w:val="center"/>
          </w:tcPr>
          <w:p w14:paraId="48D77000">
            <w:pPr>
              <w:pStyle w:val="557"/>
            </w:pPr>
            <w:r>
              <w:t>工艺</w:t>
            </w:r>
          </w:p>
        </w:tc>
        <w:tc>
          <w:tcPr>
            <w:tcW w:w="851" w:type="dxa"/>
            <w:tcBorders>
              <w:left w:val="single" w:color="auto" w:sz="4" w:space="0"/>
              <w:bottom w:val="single" w:color="auto" w:sz="4" w:space="0"/>
              <w:right w:val="single" w:color="auto" w:sz="4" w:space="0"/>
            </w:tcBorders>
            <w:vAlign w:val="center"/>
          </w:tcPr>
          <w:p w14:paraId="0BF095AE">
            <w:pPr>
              <w:pStyle w:val="557"/>
            </w:pPr>
            <w:r>
              <w:t>降噪效果</w:t>
            </w:r>
          </w:p>
        </w:tc>
        <w:tc>
          <w:tcPr>
            <w:tcW w:w="973" w:type="dxa"/>
            <w:tcBorders>
              <w:left w:val="single" w:color="auto" w:sz="4" w:space="0"/>
              <w:bottom w:val="single" w:color="auto" w:sz="4" w:space="0"/>
              <w:right w:val="single" w:color="auto" w:sz="4" w:space="0"/>
            </w:tcBorders>
            <w:vAlign w:val="center"/>
          </w:tcPr>
          <w:p w14:paraId="27AAFA58">
            <w:pPr>
              <w:pStyle w:val="557"/>
            </w:pPr>
            <w:r>
              <w:t>核算方法</w:t>
            </w:r>
          </w:p>
        </w:tc>
        <w:tc>
          <w:tcPr>
            <w:tcW w:w="739" w:type="dxa"/>
            <w:tcBorders>
              <w:left w:val="single" w:color="auto" w:sz="4" w:space="0"/>
              <w:bottom w:val="single" w:color="auto" w:sz="4" w:space="0"/>
              <w:right w:val="single" w:color="auto" w:sz="4" w:space="0"/>
            </w:tcBorders>
            <w:vAlign w:val="center"/>
          </w:tcPr>
          <w:p w14:paraId="6552DC68">
            <w:pPr>
              <w:pStyle w:val="557"/>
            </w:pPr>
            <w:r>
              <w:t>声源表达量dB(A</w:t>
            </w:r>
            <w:r>
              <w:rPr>
                <w:rFonts w:hint="eastAsia"/>
              </w:rPr>
              <w:t>）</w:t>
            </w:r>
          </w:p>
        </w:tc>
        <w:tc>
          <w:tcPr>
            <w:tcW w:w="739" w:type="dxa"/>
            <w:vMerge w:val="continue"/>
            <w:tcBorders>
              <w:left w:val="single" w:color="auto" w:sz="4" w:space="0"/>
              <w:bottom w:val="single" w:color="auto" w:sz="4" w:space="0"/>
              <w:right w:val="single" w:color="auto" w:sz="4" w:space="0"/>
            </w:tcBorders>
            <w:vAlign w:val="center"/>
          </w:tcPr>
          <w:p w14:paraId="36DE64D6">
            <w:pPr>
              <w:pStyle w:val="557"/>
            </w:pPr>
          </w:p>
        </w:tc>
      </w:tr>
      <w:tr w14:paraId="4BE7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0684C045">
            <w:pPr>
              <w:pStyle w:val="557"/>
            </w:pPr>
            <w:r>
              <w:rPr>
                <w:rFonts w:hint="eastAsia"/>
              </w:rPr>
              <w:t>机泵</w:t>
            </w:r>
          </w:p>
        </w:tc>
        <w:tc>
          <w:tcPr>
            <w:tcW w:w="814" w:type="dxa"/>
            <w:tcBorders>
              <w:top w:val="single" w:color="auto" w:sz="4" w:space="0"/>
              <w:left w:val="single" w:color="auto" w:sz="4" w:space="0"/>
              <w:bottom w:val="single" w:color="auto" w:sz="4" w:space="0"/>
              <w:right w:val="single" w:color="auto" w:sz="4" w:space="0"/>
            </w:tcBorders>
            <w:vAlign w:val="center"/>
          </w:tcPr>
          <w:p w14:paraId="2DD0C6A6">
            <w:pPr>
              <w:pStyle w:val="557"/>
            </w:pPr>
            <w:r>
              <w:rPr>
                <w:rFonts w:hint="eastAsia"/>
              </w:rPr>
              <w:t>8</w:t>
            </w:r>
          </w:p>
        </w:tc>
        <w:tc>
          <w:tcPr>
            <w:tcW w:w="850" w:type="dxa"/>
            <w:tcBorders>
              <w:top w:val="single" w:color="auto" w:sz="4" w:space="0"/>
              <w:left w:val="single" w:color="auto" w:sz="4" w:space="0"/>
              <w:bottom w:val="single" w:color="auto" w:sz="4" w:space="0"/>
              <w:right w:val="single" w:color="auto" w:sz="4" w:space="0"/>
            </w:tcBorders>
            <w:vAlign w:val="center"/>
          </w:tcPr>
          <w:p w14:paraId="3D618EE5">
            <w:pPr>
              <w:pStyle w:val="557"/>
            </w:pPr>
            <w:r>
              <w:rPr>
                <w:rFonts w:hint="eastAsia"/>
              </w:rPr>
              <w:t>间歇</w:t>
            </w:r>
          </w:p>
        </w:tc>
        <w:tc>
          <w:tcPr>
            <w:tcW w:w="851" w:type="dxa"/>
            <w:tcBorders>
              <w:top w:val="single" w:color="auto" w:sz="4" w:space="0"/>
              <w:left w:val="single" w:color="auto" w:sz="4" w:space="0"/>
              <w:bottom w:val="single" w:color="auto" w:sz="4" w:space="0"/>
              <w:right w:val="single" w:color="auto" w:sz="4" w:space="0"/>
            </w:tcBorders>
            <w:vAlign w:val="center"/>
          </w:tcPr>
          <w:p w14:paraId="62B3B0B2">
            <w:pPr>
              <w:pStyle w:val="557"/>
            </w:pPr>
            <w:r>
              <w:t>类比法</w:t>
            </w:r>
          </w:p>
        </w:tc>
        <w:tc>
          <w:tcPr>
            <w:tcW w:w="860" w:type="dxa"/>
            <w:tcBorders>
              <w:top w:val="single" w:color="auto" w:sz="4" w:space="0"/>
              <w:left w:val="single" w:color="auto" w:sz="4" w:space="0"/>
              <w:right w:val="single" w:color="auto" w:sz="4" w:space="0"/>
            </w:tcBorders>
            <w:vAlign w:val="center"/>
          </w:tcPr>
          <w:p w14:paraId="228E7DC6">
            <w:pPr>
              <w:pStyle w:val="557"/>
            </w:pPr>
            <w:r>
              <w:rPr>
                <w:rFonts w:hint="eastAsia"/>
              </w:rPr>
              <w:t>7</w:t>
            </w:r>
            <w:r>
              <w:t>5</w:t>
            </w:r>
            <w:r>
              <w:rPr>
                <w:rFonts w:hint="eastAsia"/>
              </w:rPr>
              <w:t>~80</w:t>
            </w:r>
          </w:p>
        </w:tc>
        <w:tc>
          <w:tcPr>
            <w:tcW w:w="982" w:type="dxa"/>
            <w:tcBorders>
              <w:top w:val="single" w:color="auto" w:sz="4" w:space="0"/>
              <w:left w:val="single" w:color="auto" w:sz="4" w:space="0"/>
              <w:bottom w:val="single" w:color="auto" w:sz="4" w:space="0"/>
              <w:right w:val="single" w:color="auto" w:sz="4" w:space="0"/>
            </w:tcBorders>
            <w:vAlign w:val="center"/>
          </w:tcPr>
          <w:p w14:paraId="4F7BD7FD">
            <w:pPr>
              <w:pStyle w:val="557"/>
            </w:pPr>
            <w:r>
              <w:rPr>
                <w:rFonts w:hint="eastAsia"/>
              </w:rPr>
              <w:t>基础减振</w:t>
            </w:r>
          </w:p>
        </w:tc>
        <w:tc>
          <w:tcPr>
            <w:tcW w:w="851" w:type="dxa"/>
            <w:tcBorders>
              <w:top w:val="single" w:color="auto" w:sz="4" w:space="0"/>
              <w:left w:val="single" w:color="auto" w:sz="4" w:space="0"/>
              <w:right w:val="single" w:color="auto" w:sz="4" w:space="0"/>
            </w:tcBorders>
            <w:vAlign w:val="center"/>
          </w:tcPr>
          <w:p w14:paraId="5D19F48D">
            <w:pPr>
              <w:pStyle w:val="557"/>
            </w:pPr>
            <w:r>
              <w:rPr>
                <w:rFonts w:hint="eastAsia"/>
              </w:rPr>
              <w:t>20</w:t>
            </w:r>
          </w:p>
        </w:tc>
        <w:tc>
          <w:tcPr>
            <w:tcW w:w="973" w:type="dxa"/>
            <w:tcBorders>
              <w:top w:val="single" w:color="auto" w:sz="4" w:space="0"/>
              <w:left w:val="single" w:color="auto" w:sz="4" w:space="0"/>
              <w:bottom w:val="single" w:color="auto" w:sz="4" w:space="0"/>
              <w:right w:val="single" w:color="auto" w:sz="4" w:space="0"/>
            </w:tcBorders>
            <w:vAlign w:val="center"/>
          </w:tcPr>
          <w:p w14:paraId="47C7B7CA">
            <w:pPr>
              <w:pStyle w:val="557"/>
            </w:pPr>
            <w:r>
              <w:t>类比法</w:t>
            </w:r>
          </w:p>
        </w:tc>
        <w:tc>
          <w:tcPr>
            <w:tcW w:w="739" w:type="dxa"/>
            <w:tcBorders>
              <w:top w:val="single" w:color="auto" w:sz="4" w:space="0"/>
              <w:left w:val="single" w:color="auto" w:sz="4" w:space="0"/>
              <w:bottom w:val="single" w:color="auto" w:sz="4" w:space="0"/>
              <w:right w:val="single" w:color="auto" w:sz="4" w:space="0"/>
            </w:tcBorders>
            <w:vAlign w:val="center"/>
          </w:tcPr>
          <w:p w14:paraId="53E28FCE">
            <w:pPr>
              <w:pStyle w:val="557"/>
            </w:pPr>
            <w:r>
              <w:t>6</w:t>
            </w:r>
            <w:r>
              <w:rPr>
                <w:rFonts w:hint="eastAsia"/>
              </w:rPr>
              <w:t>0</w:t>
            </w:r>
          </w:p>
        </w:tc>
        <w:tc>
          <w:tcPr>
            <w:tcW w:w="739" w:type="dxa"/>
            <w:tcBorders>
              <w:top w:val="single" w:color="auto" w:sz="4" w:space="0"/>
              <w:left w:val="single" w:color="auto" w:sz="4" w:space="0"/>
              <w:bottom w:val="single" w:color="auto" w:sz="4" w:space="0"/>
              <w:right w:val="single" w:color="auto" w:sz="4" w:space="0"/>
            </w:tcBorders>
            <w:vAlign w:val="center"/>
          </w:tcPr>
          <w:p w14:paraId="35B3C05B">
            <w:pPr>
              <w:pStyle w:val="557"/>
            </w:pPr>
            <w:r>
              <w:t>8000</w:t>
            </w:r>
          </w:p>
        </w:tc>
      </w:tr>
    </w:tbl>
    <w:p w14:paraId="00A23A88">
      <w:pPr>
        <w:pStyle w:val="98"/>
        <w:rPr>
          <w:rFonts w:hint="eastAsia"/>
        </w:rPr>
      </w:pPr>
      <w:r>
        <w:rPr>
          <w:rFonts w:hint="eastAsia"/>
        </w:rPr>
        <w:t>固废</w:t>
      </w:r>
    </w:p>
    <w:p w14:paraId="6AAC35F1">
      <w:pPr>
        <w:pStyle w:val="529"/>
      </w:pPr>
      <w:bookmarkStart w:id="217" w:name="_Hlk150639009"/>
      <w:r>
        <w:rPr>
          <w:rFonts w:hint="eastAsia" w:ascii="Times New Roman" w:hAnsi="Times New Roman"/>
        </w:rPr>
        <w:t>储运工程的固废主要为收尘灰，储运工程固废产排情况</w:t>
      </w:r>
      <w:r>
        <w:rPr>
          <w:rFonts w:ascii="Times New Roman" w:hAnsi="Times New Roman"/>
        </w:rPr>
        <w:t>见表3.4.</w:t>
      </w:r>
      <w:r>
        <w:rPr>
          <w:rFonts w:hint="eastAsia" w:ascii="Times New Roman" w:hAnsi="Times New Roman"/>
        </w:rPr>
        <w:t>3-8；</w:t>
      </w:r>
    </w:p>
    <w:p w14:paraId="6B9E43C7">
      <w:pPr>
        <w:pStyle w:val="541"/>
        <w:rPr>
          <w:rFonts w:hint="eastAsia"/>
        </w:rPr>
      </w:pPr>
      <w:r>
        <w:rPr>
          <w:rFonts w:hint="eastAsia"/>
        </w:rPr>
        <w:t>表3.4.3-8     储运工程固体废物产排情况一览表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99"/>
        <w:gridCol w:w="993"/>
        <w:gridCol w:w="1276"/>
        <w:gridCol w:w="1135"/>
        <w:gridCol w:w="1276"/>
        <w:gridCol w:w="1422"/>
      </w:tblGrid>
      <w:tr w14:paraId="206D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4" w:type="pct"/>
            <w:vMerge w:val="restart"/>
            <w:vAlign w:val="center"/>
          </w:tcPr>
          <w:p w14:paraId="319B1DCF">
            <w:pPr>
              <w:pStyle w:val="557"/>
            </w:pPr>
            <w:r>
              <w:t>排放源</w:t>
            </w:r>
          </w:p>
        </w:tc>
        <w:tc>
          <w:tcPr>
            <w:tcW w:w="999" w:type="pct"/>
            <w:vMerge w:val="restart"/>
            <w:vAlign w:val="center"/>
          </w:tcPr>
          <w:p w14:paraId="26D3530F">
            <w:pPr>
              <w:pStyle w:val="557"/>
            </w:pPr>
            <w:r>
              <w:t>固废名称</w:t>
            </w:r>
          </w:p>
        </w:tc>
        <w:tc>
          <w:tcPr>
            <w:tcW w:w="584" w:type="pct"/>
            <w:vMerge w:val="restart"/>
            <w:vAlign w:val="center"/>
          </w:tcPr>
          <w:p w14:paraId="14263D85">
            <w:pPr>
              <w:pStyle w:val="557"/>
            </w:pPr>
            <w:r>
              <w:rPr>
                <w:rFonts w:hint="eastAsia"/>
              </w:rPr>
              <w:t>产生</w:t>
            </w:r>
            <w:r>
              <w:t>量（t/a）</w:t>
            </w:r>
          </w:p>
        </w:tc>
        <w:tc>
          <w:tcPr>
            <w:tcW w:w="750" w:type="pct"/>
            <w:vMerge w:val="restart"/>
            <w:vAlign w:val="center"/>
          </w:tcPr>
          <w:p w14:paraId="1A12CD58">
            <w:pPr>
              <w:pStyle w:val="557"/>
            </w:pPr>
            <w:r>
              <w:t>主要成分</w:t>
            </w:r>
          </w:p>
        </w:tc>
        <w:tc>
          <w:tcPr>
            <w:tcW w:w="1417" w:type="pct"/>
            <w:gridSpan w:val="2"/>
            <w:vAlign w:val="center"/>
          </w:tcPr>
          <w:p w14:paraId="5E5C5B05">
            <w:pPr>
              <w:pStyle w:val="557"/>
            </w:pPr>
            <w:r>
              <w:rPr>
                <w:rFonts w:hint="eastAsia"/>
              </w:rPr>
              <w:t>固废属性及编码</w:t>
            </w:r>
          </w:p>
        </w:tc>
        <w:tc>
          <w:tcPr>
            <w:tcW w:w="836" w:type="pct"/>
            <w:vMerge w:val="restart"/>
            <w:vAlign w:val="center"/>
          </w:tcPr>
          <w:p w14:paraId="181CB58C">
            <w:pPr>
              <w:pStyle w:val="557"/>
            </w:pPr>
            <w:r>
              <w:t>排放去向</w:t>
            </w:r>
          </w:p>
        </w:tc>
      </w:tr>
      <w:tr w14:paraId="3BBE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4" w:type="pct"/>
            <w:vMerge w:val="continue"/>
            <w:vAlign w:val="center"/>
          </w:tcPr>
          <w:p w14:paraId="218025FA">
            <w:pPr>
              <w:pStyle w:val="557"/>
            </w:pPr>
          </w:p>
        </w:tc>
        <w:tc>
          <w:tcPr>
            <w:tcW w:w="999" w:type="pct"/>
            <w:vMerge w:val="continue"/>
            <w:vAlign w:val="center"/>
          </w:tcPr>
          <w:p w14:paraId="4C3DA9C2">
            <w:pPr>
              <w:pStyle w:val="557"/>
            </w:pPr>
          </w:p>
        </w:tc>
        <w:tc>
          <w:tcPr>
            <w:tcW w:w="584" w:type="pct"/>
            <w:vMerge w:val="continue"/>
            <w:vAlign w:val="center"/>
          </w:tcPr>
          <w:p w14:paraId="74A64B52">
            <w:pPr>
              <w:pStyle w:val="557"/>
            </w:pPr>
          </w:p>
        </w:tc>
        <w:tc>
          <w:tcPr>
            <w:tcW w:w="750" w:type="pct"/>
            <w:vMerge w:val="continue"/>
            <w:vAlign w:val="center"/>
          </w:tcPr>
          <w:p w14:paraId="2AA46C72">
            <w:pPr>
              <w:pStyle w:val="557"/>
            </w:pPr>
          </w:p>
        </w:tc>
        <w:tc>
          <w:tcPr>
            <w:tcW w:w="667" w:type="pct"/>
            <w:vAlign w:val="center"/>
          </w:tcPr>
          <w:p w14:paraId="00E11B5F">
            <w:pPr>
              <w:pStyle w:val="557"/>
            </w:pPr>
            <w:r>
              <w:rPr>
                <w:rFonts w:hint="eastAsia"/>
              </w:rPr>
              <w:t>固废属性</w:t>
            </w:r>
          </w:p>
        </w:tc>
        <w:tc>
          <w:tcPr>
            <w:tcW w:w="750" w:type="pct"/>
            <w:vAlign w:val="center"/>
          </w:tcPr>
          <w:p w14:paraId="56E3C9B3">
            <w:pPr>
              <w:pStyle w:val="557"/>
            </w:pPr>
            <w:r>
              <w:rPr>
                <w:rFonts w:hint="eastAsia"/>
              </w:rPr>
              <w:t>编码</w:t>
            </w:r>
          </w:p>
        </w:tc>
        <w:tc>
          <w:tcPr>
            <w:tcW w:w="836" w:type="pct"/>
            <w:vMerge w:val="continue"/>
            <w:vAlign w:val="center"/>
          </w:tcPr>
          <w:p w14:paraId="7BBDCF16">
            <w:pPr>
              <w:pStyle w:val="557"/>
            </w:pPr>
          </w:p>
        </w:tc>
      </w:tr>
      <w:tr w14:paraId="3670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4" w:type="pct"/>
            <w:vAlign w:val="center"/>
          </w:tcPr>
          <w:p w14:paraId="15B537D4">
            <w:pPr>
              <w:pStyle w:val="557"/>
            </w:pPr>
            <w:r>
              <w:t>S</w:t>
            </w:r>
            <w:r>
              <w:rPr>
                <w:vertAlign w:val="subscript"/>
              </w:rPr>
              <w:t>1</w:t>
            </w:r>
            <w:r>
              <w:rPr>
                <w:rFonts w:hint="eastAsia"/>
                <w:vertAlign w:val="subscript"/>
              </w:rPr>
              <w:t>0-1</w:t>
            </w:r>
          </w:p>
        </w:tc>
        <w:tc>
          <w:tcPr>
            <w:tcW w:w="999" w:type="pct"/>
            <w:vAlign w:val="center"/>
          </w:tcPr>
          <w:p w14:paraId="642B7D28">
            <w:pPr>
              <w:pStyle w:val="557"/>
            </w:pPr>
            <w:r>
              <w:rPr>
                <w:rFonts w:hint="eastAsia"/>
              </w:rPr>
              <w:t>原煤储运收尘灰</w:t>
            </w:r>
          </w:p>
        </w:tc>
        <w:tc>
          <w:tcPr>
            <w:tcW w:w="584" w:type="pct"/>
            <w:vAlign w:val="center"/>
          </w:tcPr>
          <w:p w14:paraId="736D49C2">
            <w:pPr>
              <w:pStyle w:val="557"/>
            </w:pPr>
            <w:r>
              <w:rPr>
                <w:rFonts w:hint="eastAsia"/>
              </w:rPr>
              <w:t>716.4</w:t>
            </w:r>
          </w:p>
        </w:tc>
        <w:tc>
          <w:tcPr>
            <w:tcW w:w="750" w:type="pct"/>
            <w:vAlign w:val="center"/>
          </w:tcPr>
          <w:p w14:paraId="42B39CB3">
            <w:pPr>
              <w:pStyle w:val="557"/>
            </w:pPr>
            <w:r>
              <w:rPr>
                <w:rFonts w:hint="eastAsia"/>
              </w:rPr>
              <w:t>原煤粉</w:t>
            </w:r>
          </w:p>
        </w:tc>
        <w:tc>
          <w:tcPr>
            <w:tcW w:w="667" w:type="pct"/>
            <w:vAlign w:val="center"/>
          </w:tcPr>
          <w:p w14:paraId="7F8F575D">
            <w:pPr>
              <w:pStyle w:val="557"/>
            </w:pPr>
            <w:r>
              <w:t>一般固废</w:t>
            </w:r>
          </w:p>
        </w:tc>
        <w:tc>
          <w:tcPr>
            <w:tcW w:w="750" w:type="pct"/>
            <w:vAlign w:val="center"/>
          </w:tcPr>
          <w:p w14:paraId="391790E8">
            <w:pPr>
              <w:pStyle w:val="557"/>
            </w:pPr>
            <w:r>
              <w:t>900-099-S16</w:t>
            </w:r>
          </w:p>
        </w:tc>
        <w:tc>
          <w:tcPr>
            <w:tcW w:w="836" w:type="pct"/>
            <w:vAlign w:val="center"/>
          </w:tcPr>
          <w:p w14:paraId="581EF384">
            <w:pPr>
              <w:pStyle w:val="557"/>
            </w:pPr>
            <w:r>
              <w:rPr>
                <w:rFonts w:hint="eastAsia"/>
              </w:rPr>
              <w:t>送气化装置</w:t>
            </w:r>
          </w:p>
        </w:tc>
      </w:tr>
      <w:bookmarkEnd w:id="217"/>
    </w:tbl>
    <w:p w14:paraId="23D92E58">
      <w:pPr>
        <w:pStyle w:val="281"/>
        <w:ind w:firstLine="199" w:firstLineChars="83"/>
        <w:sectPr>
          <w:pgSz w:w="11906" w:h="16838"/>
          <w:pgMar w:top="1440" w:right="1800" w:bottom="1440" w:left="1800" w:header="851" w:footer="850" w:gutter="0"/>
          <w:cols w:space="425" w:num="1"/>
          <w:docGrid w:type="lines" w:linePitch="326" w:charSpace="0"/>
        </w:sectPr>
      </w:pPr>
    </w:p>
    <w:p w14:paraId="5DD3A8CE">
      <w:pPr>
        <w:pStyle w:val="541"/>
        <w:rPr>
          <w:rFonts w:hint="eastAsia"/>
        </w:rPr>
      </w:pPr>
      <w:r>
        <w:rPr>
          <w:rFonts w:hint="eastAsia"/>
        </w:rPr>
        <w:t>表3.4.3-9</w:t>
      </w:r>
      <w:r>
        <w:t xml:space="preserve">  </w:t>
      </w:r>
      <w:r>
        <w:rPr>
          <w:rFonts w:hint="eastAsia"/>
        </w:rPr>
        <w:t xml:space="preserve">  储运工程废气污染源源强核算结果及相关参数一览表</w:t>
      </w:r>
    </w:p>
    <w:p w14:paraId="1BFFC194">
      <w:pPr>
        <w:pStyle w:val="541"/>
        <w:rPr>
          <w:rFonts w:hint="eastAsia"/>
        </w:rPr>
      </w:pPr>
    </w:p>
    <w:p w14:paraId="3DB1FCF8">
      <w:pPr>
        <w:pStyle w:val="281"/>
        <w:ind w:firstLine="480"/>
        <w:sectPr>
          <w:pgSz w:w="16838" w:h="11906" w:orient="landscape"/>
          <w:pgMar w:top="1800" w:right="1440" w:bottom="1800" w:left="1440" w:header="851" w:footer="850" w:gutter="0"/>
          <w:cols w:space="425" w:num="1"/>
          <w:docGrid w:type="lines" w:linePitch="326" w:charSpace="0"/>
        </w:sectPr>
      </w:pPr>
    </w:p>
    <w:bookmarkEnd w:id="212"/>
    <w:p w14:paraId="70428464">
      <w:pPr>
        <w:pStyle w:val="722"/>
        <w:rPr>
          <w:rFonts w:hint="eastAsia"/>
        </w:rPr>
      </w:pPr>
      <w:bookmarkStart w:id="218" w:name="_Toc182475482"/>
      <w:bookmarkStart w:id="219" w:name="_Toc16805"/>
      <w:bookmarkStart w:id="220" w:name="_Hlk150244750"/>
      <w:r>
        <w:rPr>
          <w:rFonts w:hint="eastAsia"/>
        </w:rPr>
        <w:t>交通运输移动源污染源分析</w:t>
      </w:r>
      <w:bookmarkEnd w:id="218"/>
      <w:bookmarkEnd w:id="219"/>
    </w:p>
    <w:p w14:paraId="42DDE96A">
      <w:pPr>
        <w:pStyle w:val="529"/>
        <w:rPr>
          <w:rFonts w:ascii="Times New Roman" w:hAnsi="Times New Roman"/>
        </w:rPr>
      </w:pPr>
      <w:r>
        <w:rPr>
          <w:rFonts w:ascii="Times New Roman" w:hAnsi="Times New Roman"/>
        </w:rPr>
        <w:t>根据《环境影响评价技术导则大气环境》（HJ2.2-2018）的要求和本项目物料及产品运输新增的交通运输量。</w:t>
      </w:r>
    </w:p>
    <w:p w14:paraId="56504F5D">
      <w:pPr>
        <w:pStyle w:val="529"/>
        <w:rPr>
          <w:rFonts w:ascii="Times New Roman" w:hAnsi="Times New Roman"/>
        </w:rPr>
      </w:pPr>
      <w:r>
        <w:rPr>
          <w:rFonts w:ascii="Times New Roman" w:hAnsi="Times New Roman"/>
        </w:rPr>
        <w:t>机动车废气污染物主要来自燃油系统挥发和排气管的排放，主要有CO、NO</w:t>
      </w:r>
      <w:r>
        <w:rPr>
          <w:rFonts w:ascii="Times New Roman" w:hAnsi="Times New Roman"/>
          <w:vertAlign w:val="subscript"/>
        </w:rPr>
        <w:t>2</w:t>
      </w:r>
      <w:r>
        <w:rPr>
          <w:rFonts w:ascii="Times New Roman" w:hAnsi="Times New Roman"/>
        </w:rPr>
        <w:t>、THC。</w:t>
      </w:r>
    </w:p>
    <w:p w14:paraId="6201840A">
      <w:pPr>
        <w:pStyle w:val="281"/>
        <w:ind w:firstLine="480"/>
      </w:pPr>
      <w:r>
        <w:t>本项目建成后，</w:t>
      </w:r>
      <w:r>
        <w:rPr>
          <w:rFonts w:hint="eastAsia"/>
        </w:rPr>
        <w:t>每年外购原煤量约44.92万吨/年、NPK原料约26.44万吨/年、甲醇约</w:t>
      </w:r>
      <w:bookmarkStart w:id="221" w:name="OLE_LINK21"/>
      <w:r>
        <w:rPr>
          <w:rFonts w:hint="eastAsia"/>
        </w:rPr>
        <w:t>1.76万吨/年</w:t>
      </w:r>
      <w:bookmarkEnd w:id="221"/>
      <w:r>
        <w:rPr>
          <w:rFonts w:hint="eastAsia"/>
        </w:rPr>
        <w:t>；外售有机缓释肥36.26万吨/年、液氨8.66万吨/年、草酰胺23万吨/年；外运气化细渣3.82万吨/年、气化粗渣</w:t>
      </w:r>
      <w:bookmarkStart w:id="222" w:name="OLE_LINK22"/>
      <w:r>
        <w:rPr>
          <w:rFonts w:hint="eastAsia"/>
        </w:rPr>
        <w:t>4.41万吨/年</w:t>
      </w:r>
      <w:bookmarkEnd w:id="222"/>
      <w:r>
        <w:rPr>
          <w:rFonts w:hint="eastAsia"/>
        </w:rPr>
        <w:t>；均采用社会化车辆运输。根据计算，每天至少需要160辆汽车运输原料，燃油量为4</w:t>
      </w:r>
      <w:r>
        <w:t>0L/百公里</w:t>
      </w:r>
      <w:r>
        <w:rPr>
          <w:rFonts w:hint="eastAsia"/>
        </w:rPr>
        <w:t>。</w:t>
      </w:r>
    </w:p>
    <w:p w14:paraId="6F336AFE">
      <w:pPr>
        <w:pStyle w:val="529"/>
        <w:rPr>
          <w:rFonts w:ascii="Times New Roman" w:hAnsi="Times New Roman"/>
        </w:rPr>
      </w:pPr>
      <w:r>
        <w:rPr>
          <w:rFonts w:ascii="Times New Roman" w:hAnsi="Times New Roman"/>
        </w:rPr>
        <w:t>本项目实施后，新增交通运输路线污染源分为两部分：道路机动车尾气和道路扬尘。道路机动车尾气排放根据《道路机动车大气污染物排放清单编制技术指南（试行）》中相关规定进行计算。道路扬尘排放根据《扬尘源颗粒物排放清单编制技术指南（试行）》中“道路扬尘源排放量的计算方法”进行计算。按照平均运输距离2000km，估算结果见</w:t>
      </w:r>
      <w:r>
        <w:rPr>
          <w:rFonts w:hint="eastAsia" w:ascii="Times New Roman" w:hAnsi="Times New Roman"/>
        </w:rPr>
        <w:t>下表。</w:t>
      </w:r>
    </w:p>
    <w:p w14:paraId="229C79AD">
      <w:pPr>
        <w:pStyle w:val="645"/>
        <w:rPr>
          <w:rFonts w:hint="eastAsia"/>
        </w:rPr>
      </w:pPr>
      <w:r>
        <w:rPr>
          <w:rFonts w:hint="eastAsia"/>
        </w:rPr>
        <w:t>表3</w:t>
      </w:r>
      <w:r>
        <w:t xml:space="preserve">.5-1    </w:t>
      </w:r>
      <w:r>
        <w:rPr>
          <w:rFonts w:hint="eastAsia"/>
        </w:rPr>
        <w:t>交通运输移动源污染物排放估算表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35"/>
        <w:gridCol w:w="2618"/>
        <w:gridCol w:w="2552"/>
      </w:tblGrid>
      <w:tr w14:paraId="4B60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1" w:type="pct"/>
            <w:vAlign w:val="center"/>
          </w:tcPr>
          <w:p w14:paraId="67F4AECC">
            <w:pPr>
              <w:pStyle w:val="557"/>
            </w:pPr>
            <w:r>
              <w:rPr>
                <w:rFonts w:hint="eastAsia"/>
              </w:rPr>
              <w:t>类型</w:t>
            </w:r>
          </w:p>
        </w:tc>
        <w:tc>
          <w:tcPr>
            <w:tcW w:w="1539" w:type="pct"/>
            <w:vAlign w:val="center"/>
          </w:tcPr>
          <w:p w14:paraId="30E2B6DB">
            <w:pPr>
              <w:pStyle w:val="557"/>
            </w:pPr>
            <w:r>
              <w:t>污染物</w:t>
            </w:r>
          </w:p>
        </w:tc>
        <w:tc>
          <w:tcPr>
            <w:tcW w:w="1500" w:type="pct"/>
            <w:vAlign w:val="center"/>
          </w:tcPr>
          <w:p w14:paraId="048DB4DF">
            <w:pPr>
              <w:pStyle w:val="557"/>
            </w:pPr>
            <w:r>
              <w:t>排放量 t/a</w:t>
            </w:r>
          </w:p>
        </w:tc>
      </w:tr>
      <w:tr w14:paraId="0066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1" w:type="pct"/>
            <w:vMerge w:val="restart"/>
            <w:vAlign w:val="center"/>
          </w:tcPr>
          <w:p w14:paraId="5094A5EB">
            <w:pPr>
              <w:pStyle w:val="557"/>
            </w:pPr>
            <w:r>
              <w:t>道路机动车尾气污染物排放</w:t>
            </w:r>
          </w:p>
        </w:tc>
        <w:tc>
          <w:tcPr>
            <w:tcW w:w="1539" w:type="pct"/>
            <w:vAlign w:val="center"/>
          </w:tcPr>
          <w:p w14:paraId="71AE0308">
            <w:pPr>
              <w:pStyle w:val="557"/>
            </w:pPr>
            <w:r>
              <w:rPr>
                <w:rFonts w:hint="eastAsia"/>
              </w:rPr>
              <w:t>C</w:t>
            </w:r>
            <w:r>
              <w:t>O</w:t>
            </w:r>
          </w:p>
        </w:tc>
        <w:tc>
          <w:tcPr>
            <w:tcW w:w="1500" w:type="pct"/>
            <w:vAlign w:val="center"/>
          </w:tcPr>
          <w:p w14:paraId="3BB741DE">
            <w:pPr>
              <w:pStyle w:val="557"/>
            </w:pPr>
            <w:r>
              <w:rPr>
                <w:rFonts w:hint="eastAsia"/>
              </w:rPr>
              <w:t>8</w:t>
            </w:r>
            <w:r>
              <w:t>.40</w:t>
            </w:r>
          </w:p>
        </w:tc>
      </w:tr>
      <w:tr w14:paraId="285A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1" w:type="pct"/>
            <w:vMerge w:val="continue"/>
            <w:vAlign w:val="center"/>
          </w:tcPr>
          <w:p w14:paraId="7F19C8C1">
            <w:pPr>
              <w:pStyle w:val="557"/>
            </w:pPr>
          </w:p>
        </w:tc>
        <w:tc>
          <w:tcPr>
            <w:tcW w:w="1539" w:type="pct"/>
            <w:vAlign w:val="center"/>
          </w:tcPr>
          <w:p w14:paraId="1B3781BD">
            <w:pPr>
              <w:pStyle w:val="557"/>
            </w:pPr>
            <w:r>
              <w:t>H</w:t>
            </w:r>
            <w:r>
              <w:rPr>
                <w:rFonts w:hint="eastAsia"/>
              </w:rPr>
              <w:t>C</w:t>
            </w:r>
          </w:p>
        </w:tc>
        <w:tc>
          <w:tcPr>
            <w:tcW w:w="1500" w:type="pct"/>
            <w:vAlign w:val="center"/>
          </w:tcPr>
          <w:p w14:paraId="3B78E7A2">
            <w:pPr>
              <w:pStyle w:val="557"/>
            </w:pPr>
            <w:r>
              <w:rPr>
                <w:rFonts w:hint="eastAsia"/>
              </w:rPr>
              <w:t>2.51</w:t>
            </w:r>
          </w:p>
        </w:tc>
      </w:tr>
      <w:tr w14:paraId="6FD5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1" w:type="pct"/>
            <w:vMerge w:val="continue"/>
            <w:vAlign w:val="center"/>
          </w:tcPr>
          <w:p w14:paraId="460D8BCB">
            <w:pPr>
              <w:pStyle w:val="557"/>
            </w:pPr>
          </w:p>
        </w:tc>
        <w:tc>
          <w:tcPr>
            <w:tcW w:w="1539" w:type="pct"/>
            <w:vAlign w:val="center"/>
          </w:tcPr>
          <w:p w14:paraId="10B8CF74">
            <w:pPr>
              <w:pStyle w:val="557"/>
            </w:pPr>
            <w:r>
              <w:t>NOx</w:t>
            </w:r>
          </w:p>
        </w:tc>
        <w:tc>
          <w:tcPr>
            <w:tcW w:w="1500" w:type="pct"/>
            <w:vAlign w:val="center"/>
          </w:tcPr>
          <w:p w14:paraId="1CFB4D6A">
            <w:pPr>
              <w:pStyle w:val="557"/>
            </w:pPr>
            <w:r>
              <w:t>0.0</w:t>
            </w:r>
            <w:r>
              <w:rPr>
                <w:rFonts w:hint="eastAsia"/>
              </w:rPr>
              <w:t>9</w:t>
            </w:r>
          </w:p>
        </w:tc>
      </w:tr>
      <w:tr w14:paraId="3C90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1" w:type="pct"/>
            <w:vAlign w:val="center"/>
          </w:tcPr>
          <w:p w14:paraId="7139AFEE">
            <w:pPr>
              <w:pStyle w:val="557"/>
            </w:pPr>
            <w:r>
              <w:t>道路扬尘污染物排放</w:t>
            </w:r>
          </w:p>
        </w:tc>
        <w:tc>
          <w:tcPr>
            <w:tcW w:w="1539" w:type="pct"/>
            <w:vAlign w:val="center"/>
          </w:tcPr>
          <w:p w14:paraId="4D1F23BD">
            <w:pPr>
              <w:pStyle w:val="557"/>
            </w:pPr>
            <w:r>
              <w:t>TSP</w:t>
            </w:r>
          </w:p>
        </w:tc>
        <w:tc>
          <w:tcPr>
            <w:tcW w:w="1500" w:type="pct"/>
            <w:vAlign w:val="center"/>
          </w:tcPr>
          <w:p w14:paraId="3EAAE140">
            <w:pPr>
              <w:pStyle w:val="557"/>
            </w:pPr>
            <w:r>
              <w:rPr>
                <w:rFonts w:hint="eastAsia"/>
              </w:rPr>
              <w:t>34</w:t>
            </w:r>
            <w:r>
              <w:t>.43</w:t>
            </w:r>
          </w:p>
        </w:tc>
      </w:tr>
    </w:tbl>
    <w:p w14:paraId="043643A8">
      <w:pPr>
        <w:pStyle w:val="3"/>
        <w:rPr>
          <w:rFonts w:hint="eastAsia"/>
        </w:rPr>
      </w:pPr>
      <w:bookmarkStart w:id="223" w:name="_Toc18871"/>
      <w:bookmarkStart w:id="224" w:name="_Hlk150649163"/>
      <w:r>
        <w:rPr>
          <w:rFonts w:hint="eastAsia"/>
        </w:rPr>
        <w:t>全厂平衡</w:t>
      </w:r>
      <w:bookmarkEnd w:id="223"/>
    </w:p>
    <w:p w14:paraId="30CE4705">
      <w:pPr>
        <w:pStyle w:val="97"/>
        <w:rPr>
          <w:rFonts w:hint="eastAsia"/>
        </w:rPr>
      </w:pPr>
      <w:r>
        <w:rPr>
          <w:rFonts w:hint="eastAsia"/>
        </w:rPr>
        <w:t>物料平衡</w:t>
      </w:r>
    </w:p>
    <w:p w14:paraId="74874D20">
      <w:pPr>
        <w:pStyle w:val="281"/>
        <w:ind w:firstLine="480"/>
      </w:pPr>
      <w:bookmarkStart w:id="225" w:name="_Hlk177834450"/>
      <w:r>
        <w:rPr>
          <w:rFonts w:hint="eastAsia"/>
        </w:rPr>
        <w:t>全厂</w:t>
      </w:r>
      <w:r>
        <w:t>物料平衡情况详见</w:t>
      </w:r>
      <w:r>
        <w:rPr>
          <w:rFonts w:hint="eastAsia"/>
        </w:rPr>
        <w:t>表3.</w:t>
      </w:r>
      <w:r>
        <w:rPr>
          <w:rStyle w:val="282"/>
          <w:rFonts w:hint="eastAsia"/>
        </w:rPr>
        <w:t>6</w:t>
      </w:r>
      <w:r>
        <w:rPr>
          <w:rStyle w:val="282"/>
        </w:rPr>
        <w:t>.1</w:t>
      </w:r>
      <w:r>
        <w:rPr>
          <w:rStyle w:val="282"/>
          <w:rFonts w:hint="eastAsia"/>
        </w:rPr>
        <w:t>-1。</w:t>
      </w:r>
    </w:p>
    <w:p w14:paraId="05A6BB51">
      <w:pPr>
        <w:pStyle w:val="161"/>
        <w:ind w:firstLine="210"/>
        <w:rPr>
          <w:rFonts w:hint="eastAsia"/>
          <w:color w:val="auto"/>
        </w:rPr>
      </w:pPr>
      <w:r>
        <w:rPr>
          <w:rFonts w:hint="eastAsia"/>
          <w:color w:val="auto"/>
        </w:rPr>
        <w:t>表3.6</w:t>
      </w:r>
      <w:r>
        <w:rPr>
          <w:color w:val="auto"/>
        </w:rPr>
        <w:t>.1</w:t>
      </w:r>
      <w:r>
        <w:rPr>
          <w:rFonts w:hint="eastAsia"/>
          <w:color w:val="auto"/>
        </w:rPr>
        <w:t xml:space="preserve">-1    </w:t>
      </w:r>
      <w:r>
        <w:rPr>
          <w:rFonts w:hint="eastAsia"/>
        </w:rPr>
        <w:t>全厂</w:t>
      </w:r>
      <w:r>
        <w:rPr>
          <w:rFonts w:hint="eastAsia"/>
          <w:color w:val="auto"/>
        </w:rPr>
        <w:t>物料平衡一览表</w:t>
      </w:r>
    </w:p>
    <w:bookmarkEnd w:id="225"/>
    <w:p w14:paraId="686CBB1C">
      <w:pPr>
        <w:pStyle w:val="557"/>
      </w:pPr>
    </w:p>
    <w:p w14:paraId="2E531337">
      <w:pPr>
        <w:pStyle w:val="97"/>
        <w:rPr>
          <w:rFonts w:hint="eastAsia"/>
        </w:rPr>
      </w:pPr>
      <w:r>
        <w:rPr>
          <w:rFonts w:hint="eastAsia"/>
        </w:rPr>
        <w:t>水平衡</w:t>
      </w:r>
    </w:p>
    <w:p w14:paraId="4414E9FD">
      <w:pPr>
        <w:pStyle w:val="281"/>
        <w:ind w:firstLine="480"/>
        <w:rPr>
          <w:rFonts w:cs="Times New Roman"/>
        </w:rPr>
      </w:pPr>
      <w:bookmarkStart w:id="226" w:name="_Hlk138537347"/>
      <w:bookmarkStart w:id="227" w:name="_Hlk98237067"/>
      <w:r>
        <w:rPr>
          <w:rFonts w:cs="Times New Roman"/>
        </w:rPr>
        <w:t>总用水量：生产生活总用水量为</w:t>
      </w:r>
      <w:r>
        <w:rPr>
          <w:rFonts w:hint="eastAsia" w:cs="Times New Roman"/>
          <w:kern w:val="2"/>
        </w:rPr>
        <w:t>749146</w:t>
      </w:r>
      <w:r>
        <w:rPr>
          <w:rFonts w:cs="Times New Roman"/>
        </w:rPr>
        <w:t>kg/h，年用水量</w:t>
      </w:r>
      <w:r>
        <w:rPr>
          <w:rFonts w:hint="eastAsia" w:cs="Times New Roman"/>
        </w:rPr>
        <w:t>59.32</w:t>
      </w:r>
      <w:r>
        <w:rPr>
          <w:rFonts w:cs="Times New Roman"/>
        </w:rPr>
        <w:t>万m</w:t>
      </w:r>
      <w:r>
        <w:rPr>
          <w:rFonts w:cs="Times New Roman"/>
          <w:vertAlign w:val="superscript"/>
        </w:rPr>
        <w:t>3</w:t>
      </w:r>
      <w:r>
        <w:rPr>
          <w:rFonts w:cs="Times New Roman"/>
        </w:rPr>
        <w:t>；</w:t>
      </w:r>
    </w:p>
    <w:p w14:paraId="716173E9">
      <w:pPr>
        <w:spacing w:line="360" w:lineRule="auto"/>
        <w:ind w:firstLine="480" w:firstLineChars="200"/>
        <w:rPr>
          <w:rFonts w:ascii="Times New Roman" w:hAnsi="Times New Roman" w:cs="Times New Roman"/>
        </w:rPr>
      </w:pPr>
      <w:r>
        <w:rPr>
          <w:rFonts w:ascii="Times New Roman" w:hAnsi="Times New Roman" w:cs="Times New Roman"/>
        </w:rPr>
        <w:t>新鲜水用水量：项目新鲜水量</w:t>
      </w:r>
      <w:r>
        <w:rPr>
          <w:rStyle w:val="282"/>
          <w:rFonts w:cs="Times New Roman"/>
        </w:rPr>
        <w:t>约</w:t>
      </w:r>
      <w:r>
        <w:rPr>
          <w:rStyle w:val="282"/>
          <w:rFonts w:hint="eastAsia" w:cs="Times New Roman"/>
        </w:rPr>
        <w:t>531300</w:t>
      </w:r>
      <w:r>
        <w:rPr>
          <w:rFonts w:ascii="Times New Roman" w:hAnsi="Times New Roman" w:cs="Times New Roman"/>
        </w:rPr>
        <w:t>kg/h，年用水量</w:t>
      </w:r>
      <w:r>
        <w:rPr>
          <w:rFonts w:hint="eastAsia" w:ascii="Times New Roman" w:hAnsi="Times New Roman" w:cs="Times New Roman"/>
        </w:rPr>
        <w:t>425.04</w:t>
      </w:r>
      <w:r>
        <w:rPr>
          <w:rFonts w:ascii="Times New Roman" w:hAnsi="Times New Roman" w:cs="Times New Roman"/>
        </w:rPr>
        <w:t>万m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本项目水平衡关系见表3.6.2-1。</w:t>
      </w:r>
    </w:p>
    <w:p w14:paraId="42A8AC27">
      <w:pPr>
        <w:pStyle w:val="535"/>
        <w:rPr>
          <w:rFonts w:hint="eastAsia"/>
          <w:color w:val="auto"/>
        </w:rPr>
      </w:pPr>
      <w:r>
        <w:rPr>
          <w:rFonts w:hint="eastAsia"/>
          <w:color w:val="auto"/>
        </w:rPr>
        <w:t>表4.5-4  本项目水平衡表</w:t>
      </w:r>
    </w:p>
    <w:p w14:paraId="5BE12D68">
      <w:pPr>
        <w:spacing w:line="360" w:lineRule="auto"/>
        <w:ind w:firstLine="480" w:firstLineChars="200"/>
        <w:rPr>
          <w:rFonts w:ascii="Times New Roman" w:hAnsi="Times New Roman" w:cs="Times New Roman"/>
        </w:rPr>
      </w:pPr>
    </w:p>
    <w:p w14:paraId="6897D56E">
      <w:pPr>
        <w:spacing w:line="360" w:lineRule="auto"/>
        <w:ind w:firstLine="480" w:firstLineChars="200"/>
        <w:rPr>
          <w:rFonts w:ascii="Times New Roman" w:hAnsi="Times New Roman" w:cs="Times New Roman"/>
        </w:rPr>
      </w:pPr>
    </w:p>
    <w:p w14:paraId="23E3D752">
      <w:pPr>
        <w:spacing w:line="360" w:lineRule="auto"/>
        <w:ind w:firstLine="480" w:firstLineChars="200"/>
        <w:rPr>
          <w:rFonts w:ascii="Times New Roman" w:hAnsi="Times New Roman" w:cs="Times New Roman"/>
        </w:rPr>
        <w:sectPr>
          <w:pgSz w:w="11906" w:h="16838"/>
          <w:pgMar w:top="1440" w:right="1800" w:bottom="1440" w:left="1800" w:header="851" w:footer="850" w:gutter="0"/>
          <w:cols w:space="425" w:num="1"/>
          <w:docGrid w:type="lines" w:linePitch="326" w:charSpace="0"/>
        </w:sectPr>
      </w:pPr>
    </w:p>
    <w:p w14:paraId="76C83004">
      <w:pPr>
        <w:pStyle w:val="98"/>
        <w:rPr>
          <w:rFonts w:hint="eastAsia"/>
        </w:rPr>
      </w:pPr>
      <w:r>
        <w:rPr>
          <w:rFonts w:hint="eastAsia"/>
        </w:rPr>
        <w:t>用水情况</w:t>
      </w:r>
    </w:p>
    <w:p w14:paraId="78E6F160">
      <w:pPr>
        <w:spacing w:line="360" w:lineRule="auto"/>
        <w:ind w:firstLine="480" w:firstLineChars="200"/>
        <w:rPr>
          <w:rFonts w:hint="eastAsia"/>
        </w:rPr>
      </w:pPr>
      <w:r>
        <w:rPr>
          <w:rFonts w:hint="eastAsia"/>
        </w:rPr>
        <w:t>本项目生产、生活水用量见</w:t>
      </w:r>
      <w:r>
        <w:rPr>
          <w:rStyle w:val="282"/>
          <w:rFonts w:hint="eastAsia"/>
        </w:rPr>
        <w:t>表3</w:t>
      </w:r>
      <w:r>
        <w:rPr>
          <w:rStyle w:val="282"/>
        </w:rPr>
        <w:t>.</w:t>
      </w:r>
      <w:r>
        <w:rPr>
          <w:rStyle w:val="282"/>
          <w:rFonts w:hint="eastAsia"/>
        </w:rPr>
        <w:t>6</w:t>
      </w:r>
      <w:r>
        <w:rPr>
          <w:rStyle w:val="282"/>
        </w:rPr>
        <w:t>.2-1</w:t>
      </w:r>
      <w:r>
        <w:rPr>
          <w:rStyle w:val="282"/>
          <w:rFonts w:hint="eastAsia"/>
        </w:rPr>
        <w:t>；</w:t>
      </w:r>
    </w:p>
    <w:p w14:paraId="4EC6EDAE">
      <w:pPr>
        <w:pStyle w:val="535"/>
        <w:rPr>
          <w:rFonts w:hint="eastAsia"/>
        </w:rPr>
      </w:pPr>
      <w:r>
        <w:rPr>
          <w:rFonts w:hint="eastAsia"/>
          <w:color w:val="auto"/>
        </w:rPr>
        <w:t>表</w:t>
      </w:r>
      <w:r>
        <w:rPr>
          <w:color w:val="auto"/>
        </w:rPr>
        <w:t>3.</w:t>
      </w:r>
      <w:r>
        <w:rPr>
          <w:rFonts w:hint="eastAsia"/>
          <w:color w:val="auto"/>
        </w:rPr>
        <w:t>6</w:t>
      </w:r>
      <w:r>
        <w:rPr>
          <w:color w:val="auto"/>
        </w:rPr>
        <w:t>.2-</w:t>
      </w:r>
      <w:r>
        <w:rPr>
          <w:rFonts w:hint="eastAsia"/>
          <w:color w:val="auto"/>
        </w:rPr>
        <w:t>1</w:t>
      </w:r>
      <w:r>
        <w:rPr>
          <w:color w:val="auto"/>
        </w:rPr>
        <w:t xml:space="preserve">   </w:t>
      </w:r>
      <w:r>
        <w:rPr>
          <w:rFonts w:hint="eastAsia"/>
          <w:color w:val="auto"/>
        </w:rPr>
        <w:t xml:space="preserve"> 全厂生产、生活水量表(单位：kg/h)</w:t>
      </w:r>
    </w:p>
    <w:tbl>
      <w:tblPr>
        <w:tblStyle w:val="65"/>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0"/>
        <w:gridCol w:w="1518"/>
        <w:gridCol w:w="1456"/>
        <w:gridCol w:w="1846"/>
        <w:gridCol w:w="2274"/>
      </w:tblGrid>
      <w:tr w14:paraId="1F47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4" w:type="pct"/>
            <w:vAlign w:val="center"/>
          </w:tcPr>
          <w:p w14:paraId="40990527">
            <w:pPr>
              <w:pStyle w:val="557"/>
            </w:pPr>
            <w:r>
              <w:t>序号</w:t>
            </w:r>
          </w:p>
        </w:tc>
        <w:tc>
          <w:tcPr>
            <w:tcW w:w="1746" w:type="pct"/>
            <w:gridSpan w:val="2"/>
            <w:vAlign w:val="center"/>
          </w:tcPr>
          <w:p w14:paraId="496773F2">
            <w:pPr>
              <w:pStyle w:val="557"/>
            </w:pPr>
            <w:r>
              <w:t>装置名称</w:t>
            </w:r>
          </w:p>
        </w:tc>
        <w:tc>
          <w:tcPr>
            <w:tcW w:w="1084" w:type="pct"/>
            <w:vAlign w:val="center"/>
          </w:tcPr>
          <w:p w14:paraId="20D7EF65">
            <w:pPr>
              <w:pStyle w:val="557"/>
            </w:pPr>
            <w:r>
              <w:t>生活用水</w:t>
            </w:r>
            <w:r>
              <w:rPr>
                <w:rFonts w:hint="eastAsia"/>
              </w:rPr>
              <w:t>（</w:t>
            </w:r>
            <w:r>
              <w:t>正常</w:t>
            </w:r>
            <w:r>
              <w:rPr>
                <w:rFonts w:hint="eastAsia"/>
              </w:rPr>
              <w:t>）</w:t>
            </w:r>
          </w:p>
        </w:tc>
        <w:tc>
          <w:tcPr>
            <w:tcW w:w="1335" w:type="pct"/>
            <w:vAlign w:val="center"/>
          </w:tcPr>
          <w:p w14:paraId="1707BF6C">
            <w:pPr>
              <w:pStyle w:val="557"/>
            </w:pPr>
            <w:r>
              <w:t>生产</w:t>
            </w:r>
            <w:r>
              <w:rPr>
                <w:rFonts w:hint="eastAsia"/>
              </w:rPr>
              <w:t>给</w:t>
            </w:r>
            <w:r>
              <w:t>水</w:t>
            </w:r>
            <w:r>
              <w:rPr>
                <w:rFonts w:hint="eastAsia"/>
              </w:rPr>
              <w:t>（</w:t>
            </w:r>
            <w:r>
              <w:t>正常</w:t>
            </w:r>
            <w:r>
              <w:rPr>
                <w:rFonts w:hint="eastAsia"/>
              </w:rPr>
              <w:t>）</w:t>
            </w:r>
          </w:p>
        </w:tc>
      </w:tr>
      <w:tr w14:paraId="176F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4" w:type="pct"/>
            <w:vAlign w:val="center"/>
          </w:tcPr>
          <w:p w14:paraId="1082F82A">
            <w:pPr>
              <w:pStyle w:val="557"/>
            </w:pPr>
            <w:r>
              <w:rPr>
                <w:rFonts w:hint="eastAsia"/>
              </w:rPr>
              <w:t>1</w:t>
            </w:r>
          </w:p>
        </w:tc>
        <w:tc>
          <w:tcPr>
            <w:tcW w:w="1746" w:type="pct"/>
            <w:gridSpan w:val="2"/>
            <w:vAlign w:val="center"/>
          </w:tcPr>
          <w:p w14:paraId="0B772DAA">
            <w:pPr>
              <w:pStyle w:val="557"/>
            </w:pPr>
            <w:r>
              <w:rPr>
                <w:rFonts w:hint="eastAsia"/>
              </w:rPr>
              <w:t>生产生活用水</w:t>
            </w:r>
          </w:p>
        </w:tc>
        <w:tc>
          <w:tcPr>
            <w:tcW w:w="1084" w:type="pct"/>
            <w:vAlign w:val="center"/>
          </w:tcPr>
          <w:p w14:paraId="761F9464">
            <w:pPr>
              <w:pStyle w:val="557"/>
            </w:pPr>
            <w:r>
              <w:rPr>
                <w:rFonts w:hint="eastAsia"/>
              </w:rPr>
              <w:t>2560</w:t>
            </w:r>
          </w:p>
        </w:tc>
        <w:tc>
          <w:tcPr>
            <w:tcW w:w="1335" w:type="pct"/>
            <w:vAlign w:val="center"/>
          </w:tcPr>
          <w:p w14:paraId="348CC507">
            <w:pPr>
              <w:pStyle w:val="557"/>
            </w:pPr>
            <w:r>
              <w:rPr>
                <w:rFonts w:hint="eastAsia"/>
              </w:rPr>
              <w:t>740986</w:t>
            </w:r>
          </w:p>
        </w:tc>
      </w:tr>
      <w:tr w14:paraId="31EB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4" w:type="pct"/>
            <w:vAlign w:val="center"/>
          </w:tcPr>
          <w:p w14:paraId="2877D0F8">
            <w:pPr>
              <w:pStyle w:val="557"/>
            </w:pPr>
            <w:r>
              <w:rPr>
                <w:rFonts w:hint="eastAsia"/>
              </w:rPr>
              <w:t>2</w:t>
            </w:r>
          </w:p>
        </w:tc>
        <w:tc>
          <w:tcPr>
            <w:tcW w:w="1746" w:type="pct"/>
            <w:gridSpan w:val="2"/>
            <w:vAlign w:val="center"/>
          </w:tcPr>
          <w:p w14:paraId="17987451">
            <w:pPr>
              <w:pStyle w:val="557"/>
            </w:pPr>
            <w:r>
              <w:rPr>
                <w:rFonts w:hint="eastAsia"/>
              </w:rPr>
              <w:t>未预见水</w:t>
            </w:r>
          </w:p>
        </w:tc>
        <w:tc>
          <w:tcPr>
            <w:tcW w:w="1084" w:type="pct"/>
            <w:vAlign w:val="center"/>
          </w:tcPr>
          <w:p w14:paraId="4EB30012">
            <w:pPr>
              <w:pStyle w:val="557"/>
            </w:pPr>
            <w:r>
              <w:rPr>
                <w:rFonts w:hint="eastAsia"/>
              </w:rPr>
              <w:t>/</w:t>
            </w:r>
          </w:p>
        </w:tc>
        <w:tc>
          <w:tcPr>
            <w:tcW w:w="1335" w:type="pct"/>
            <w:vAlign w:val="center"/>
          </w:tcPr>
          <w:p w14:paraId="441698AB">
            <w:pPr>
              <w:pStyle w:val="557"/>
            </w:pPr>
            <w:r>
              <w:rPr>
                <w:rFonts w:hint="eastAsia"/>
              </w:rPr>
              <w:t>5600</w:t>
            </w:r>
          </w:p>
        </w:tc>
      </w:tr>
      <w:tr w14:paraId="37C5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834" w:type="pct"/>
            <w:vMerge w:val="restart"/>
            <w:vAlign w:val="center"/>
          </w:tcPr>
          <w:p w14:paraId="37A7381B">
            <w:pPr>
              <w:pStyle w:val="557"/>
            </w:pPr>
            <w:r>
              <w:rPr>
                <w:rFonts w:hint="eastAsia"/>
              </w:rPr>
              <w:t>4</w:t>
            </w:r>
          </w:p>
        </w:tc>
        <w:tc>
          <w:tcPr>
            <w:tcW w:w="891" w:type="pct"/>
            <w:vMerge w:val="restart"/>
            <w:vAlign w:val="center"/>
          </w:tcPr>
          <w:p w14:paraId="252022C0">
            <w:pPr>
              <w:pStyle w:val="557"/>
            </w:pPr>
            <w:r>
              <w:rPr>
                <w:rFonts w:hint="eastAsia"/>
              </w:rPr>
              <w:t>合计用水量</w:t>
            </w:r>
          </w:p>
        </w:tc>
        <w:tc>
          <w:tcPr>
            <w:tcW w:w="854" w:type="pct"/>
            <w:vAlign w:val="center"/>
          </w:tcPr>
          <w:p w14:paraId="5CE1E967">
            <w:pPr>
              <w:pStyle w:val="557"/>
            </w:pPr>
            <w:r>
              <w:rPr>
                <w:rFonts w:hint="eastAsia"/>
              </w:rPr>
              <w:t>回用水量</w:t>
            </w:r>
          </w:p>
        </w:tc>
        <w:tc>
          <w:tcPr>
            <w:tcW w:w="2419" w:type="pct"/>
            <w:gridSpan w:val="2"/>
            <w:vAlign w:val="center"/>
          </w:tcPr>
          <w:p w14:paraId="61C40376">
            <w:pPr>
              <w:pStyle w:val="557"/>
            </w:pPr>
            <w:r>
              <w:rPr>
                <w:rFonts w:hint="eastAsia"/>
              </w:rPr>
              <w:t>217846</w:t>
            </w:r>
          </w:p>
        </w:tc>
      </w:tr>
      <w:tr w14:paraId="59CB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834" w:type="pct"/>
            <w:vMerge w:val="continue"/>
            <w:vAlign w:val="center"/>
          </w:tcPr>
          <w:p w14:paraId="34A667C1">
            <w:pPr>
              <w:pStyle w:val="557"/>
            </w:pPr>
          </w:p>
        </w:tc>
        <w:tc>
          <w:tcPr>
            <w:tcW w:w="891" w:type="pct"/>
            <w:vMerge w:val="continue"/>
            <w:vAlign w:val="center"/>
          </w:tcPr>
          <w:p w14:paraId="6EE71C45">
            <w:pPr>
              <w:pStyle w:val="557"/>
            </w:pPr>
          </w:p>
        </w:tc>
        <w:tc>
          <w:tcPr>
            <w:tcW w:w="854" w:type="pct"/>
            <w:vAlign w:val="center"/>
          </w:tcPr>
          <w:p w14:paraId="33347602">
            <w:pPr>
              <w:pStyle w:val="557"/>
            </w:pPr>
            <w:r>
              <w:rPr>
                <w:rFonts w:hint="eastAsia"/>
              </w:rPr>
              <w:t>新鲜水用水量</w:t>
            </w:r>
          </w:p>
        </w:tc>
        <w:tc>
          <w:tcPr>
            <w:tcW w:w="2419" w:type="pct"/>
            <w:gridSpan w:val="2"/>
            <w:vAlign w:val="center"/>
          </w:tcPr>
          <w:p w14:paraId="7E9FF6C6">
            <w:pPr>
              <w:pStyle w:val="557"/>
            </w:pPr>
            <w:r>
              <w:rPr>
                <w:rFonts w:hint="eastAsia" w:eastAsia="等线"/>
                <w:color w:val="000000"/>
              </w:rPr>
              <w:t>531300</w:t>
            </w:r>
          </w:p>
        </w:tc>
      </w:tr>
    </w:tbl>
    <w:p w14:paraId="5F6A13FD">
      <w:pPr>
        <w:pStyle w:val="557"/>
      </w:pPr>
    </w:p>
    <w:p w14:paraId="038DB4DE">
      <w:pPr>
        <w:pStyle w:val="98"/>
        <w:rPr>
          <w:rFonts w:hint="eastAsia"/>
        </w:rPr>
      </w:pPr>
      <w:r>
        <w:rPr>
          <w:rFonts w:hint="eastAsia"/>
        </w:rPr>
        <w:t>污水处理系统</w:t>
      </w:r>
    </w:p>
    <w:p w14:paraId="6E6067F6">
      <w:pPr>
        <w:pStyle w:val="814"/>
        <w:rPr>
          <w:rFonts w:hint="eastAsia"/>
        </w:rPr>
      </w:pPr>
      <w:r>
        <w:rPr>
          <w:rFonts w:hint="eastAsia"/>
        </w:rPr>
        <w:t>污水处理站</w:t>
      </w:r>
    </w:p>
    <w:p w14:paraId="038134DE">
      <w:pPr>
        <w:pStyle w:val="281"/>
        <w:ind w:firstLine="480"/>
      </w:pPr>
      <w:r>
        <w:rPr>
          <w:rFonts w:hint="eastAsia"/>
        </w:rPr>
        <w:t>项目进入污水处理站废水包含煤气化装置-气化灰水、酸性气脱除单元-含醇废水、各装置地面冲洗水、生活污水；进污水处理站废水量为93201kg</w:t>
      </w:r>
      <w:r>
        <w:t>/h</w:t>
      </w:r>
      <w:r>
        <w:rPr>
          <w:rFonts w:hint="eastAsia"/>
        </w:rPr>
        <w:t>。</w:t>
      </w:r>
    </w:p>
    <w:p w14:paraId="0ED5DCBA">
      <w:pPr>
        <w:pStyle w:val="645"/>
        <w:rPr>
          <w:rFonts w:hint="eastAsia"/>
        </w:rPr>
      </w:pPr>
      <w:r>
        <w:rPr>
          <w:rFonts w:hint="eastAsia"/>
          <w:snapToGrid w:val="0"/>
        </w:rPr>
        <w:t>表3.6.2-2</w:t>
      </w:r>
      <w:r>
        <w:rPr>
          <w:snapToGrid w:val="0"/>
        </w:rPr>
        <w:t xml:space="preserve">    </w:t>
      </w:r>
      <w:r>
        <w:rPr>
          <w:rFonts w:hint="eastAsia"/>
          <w:snapToGrid w:val="0"/>
        </w:rPr>
        <w:t>全厂进污水处理站废水一览表</w:t>
      </w:r>
      <w:r>
        <w:t>(单位：</w:t>
      </w:r>
      <w:r>
        <w:rPr>
          <w:rFonts w:hint="eastAsia"/>
        </w:rPr>
        <w:t>kg</w:t>
      </w:r>
      <w:r>
        <w:t>/h)</w:t>
      </w:r>
    </w:p>
    <w:p w14:paraId="3D818843">
      <w:pPr>
        <w:pStyle w:val="814"/>
        <w:rPr>
          <w:rFonts w:hint="eastAsia"/>
        </w:rPr>
      </w:pPr>
      <w:r>
        <w:rPr>
          <w:rFonts w:hint="eastAsia"/>
        </w:rPr>
        <w:t>回用水站</w:t>
      </w:r>
    </w:p>
    <w:p w14:paraId="2D555120">
      <w:pPr>
        <w:pStyle w:val="281"/>
        <w:ind w:firstLine="480"/>
      </w:pPr>
      <w:r>
        <w:rPr>
          <w:rFonts w:hint="eastAsia"/>
        </w:rPr>
        <w:t>项目进入回用水站废水为污水处理站尾水、循环水站排污水、脱盐水站排水。全厂进回用水站水量为270201kg/h。</w:t>
      </w:r>
    </w:p>
    <w:p w14:paraId="3D1609D9">
      <w:pPr>
        <w:pStyle w:val="645"/>
        <w:rPr>
          <w:rFonts w:hint="eastAsia"/>
        </w:rPr>
      </w:pPr>
      <w:r>
        <w:rPr>
          <w:rFonts w:hint="eastAsia"/>
          <w:snapToGrid w:val="0"/>
        </w:rPr>
        <w:t>表3.6.2-3</w:t>
      </w:r>
      <w:r>
        <w:rPr>
          <w:snapToGrid w:val="0"/>
        </w:rPr>
        <w:t xml:space="preserve">    </w:t>
      </w:r>
      <w:r>
        <w:rPr>
          <w:rFonts w:hint="eastAsia"/>
        </w:rPr>
        <w:t>全厂进回用水站处理水量一览表</w:t>
      </w:r>
      <w:r>
        <w:t>(单位：</w:t>
      </w:r>
      <w:r>
        <w:rPr>
          <w:rFonts w:hint="eastAsia"/>
        </w:rPr>
        <w:t>kg</w:t>
      </w:r>
      <w:r>
        <w:t>/h)</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43"/>
        <w:gridCol w:w="3632"/>
        <w:gridCol w:w="2841"/>
      </w:tblGrid>
      <w:tr w14:paraId="18E6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8" w:type="pct"/>
            <w:vAlign w:val="center"/>
          </w:tcPr>
          <w:p w14:paraId="11849FC7">
            <w:pPr>
              <w:pStyle w:val="557"/>
            </w:pPr>
            <w:r>
              <w:t>序号</w:t>
            </w:r>
          </w:p>
        </w:tc>
        <w:tc>
          <w:tcPr>
            <w:tcW w:w="2184" w:type="pct"/>
            <w:vAlign w:val="center"/>
          </w:tcPr>
          <w:p w14:paraId="27F255E2">
            <w:pPr>
              <w:pStyle w:val="557"/>
            </w:pPr>
            <w:r>
              <w:rPr>
                <w:rFonts w:hint="eastAsia"/>
              </w:rPr>
              <w:t>废水来源</w:t>
            </w:r>
          </w:p>
        </w:tc>
        <w:tc>
          <w:tcPr>
            <w:tcW w:w="1708" w:type="pct"/>
            <w:vAlign w:val="center"/>
          </w:tcPr>
          <w:p w14:paraId="16D5889C">
            <w:pPr>
              <w:pStyle w:val="557"/>
            </w:pPr>
            <w:r>
              <w:rPr>
                <w:rFonts w:hint="eastAsia"/>
              </w:rPr>
              <w:t>废水量</w:t>
            </w:r>
          </w:p>
        </w:tc>
      </w:tr>
      <w:tr w14:paraId="5B24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8" w:type="pct"/>
            <w:vAlign w:val="center"/>
          </w:tcPr>
          <w:p w14:paraId="5E4C62EE">
            <w:pPr>
              <w:pStyle w:val="557"/>
            </w:pPr>
            <w:r>
              <w:rPr>
                <w:rFonts w:hint="eastAsia"/>
              </w:rPr>
              <w:t>1</w:t>
            </w:r>
          </w:p>
        </w:tc>
        <w:tc>
          <w:tcPr>
            <w:tcW w:w="2184" w:type="pct"/>
            <w:vAlign w:val="center"/>
          </w:tcPr>
          <w:p w14:paraId="337C341B">
            <w:pPr>
              <w:pStyle w:val="557"/>
            </w:pPr>
            <w:r>
              <w:rPr>
                <w:rFonts w:hint="eastAsia"/>
              </w:rPr>
              <w:t>污水处理站尾水</w:t>
            </w:r>
          </w:p>
        </w:tc>
        <w:tc>
          <w:tcPr>
            <w:tcW w:w="1708" w:type="pct"/>
            <w:vAlign w:val="center"/>
          </w:tcPr>
          <w:p w14:paraId="3EE7BC03">
            <w:pPr>
              <w:pStyle w:val="557"/>
            </w:pPr>
            <w:r>
              <w:rPr>
                <w:rFonts w:hint="eastAsia"/>
              </w:rPr>
              <w:t>93201</w:t>
            </w:r>
          </w:p>
        </w:tc>
      </w:tr>
      <w:tr w14:paraId="0E27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8" w:type="pct"/>
            <w:vAlign w:val="center"/>
          </w:tcPr>
          <w:p w14:paraId="247C261C">
            <w:pPr>
              <w:pStyle w:val="557"/>
            </w:pPr>
            <w:r>
              <w:rPr>
                <w:rFonts w:hint="eastAsia"/>
              </w:rPr>
              <w:t>2</w:t>
            </w:r>
          </w:p>
        </w:tc>
        <w:tc>
          <w:tcPr>
            <w:tcW w:w="2184" w:type="pct"/>
            <w:vAlign w:val="center"/>
          </w:tcPr>
          <w:p w14:paraId="49CED6F0">
            <w:pPr>
              <w:pStyle w:val="557"/>
            </w:pPr>
            <w:r>
              <w:rPr>
                <w:rFonts w:hint="eastAsia"/>
              </w:rPr>
              <w:t>脱盐水站排水</w:t>
            </w:r>
          </w:p>
        </w:tc>
        <w:tc>
          <w:tcPr>
            <w:tcW w:w="1708" w:type="pct"/>
            <w:vAlign w:val="center"/>
          </w:tcPr>
          <w:p w14:paraId="1F189C11">
            <w:pPr>
              <w:pStyle w:val="557"/>
            </w:pPr>
            <w:r>
              <w:rPr>
                <w:rFonts w:hint="eastAsia"/>
              </w:rPr>
              <w:t>123000</w:t>
            </w:r>
          </w:p>
        </w:tc>
      </w:tr>
      <w:tr w14:paraId="6364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8" w:type="pct"/>
            <w:vAlign w:val="center"/>
          </w:tcPr>
          <w:p w14:paraId="2EC9FD59">
            <w:pPr>
              <w:pStyle w:val="557"/>
            </w:pPr>
            <w:r>
              <w:rPr>
                <w:rFonts w:hint="eastAsia"/>
              </w:rPr>
              <w:t>3</w:t>
            </w:r>
          </w:p>
        </w:tc>
        <w:tc>
          <w:tcPr>
            <w:tcW w:w="2184" w:type="pct"/>
            <w:vAlign w:val="center"/>
          </w:tcPr>
          <w:p w14:paraId="16090205">
            <w:pPr>
              <w:pStyle w:val="557"/>
            </w:pPr>
            <w:r>
              <w:rPr>
                <w:rFonts w:hint="eastAsia"/>
              </w:rPr>
              <w:t>循环水站排水</w:t>
            </w:r>
          </w:p>
        </w:tc>
        <w:tc>
          <w:tcPr>
            <w:tcW w:w="1708" w:type="pct"/>
            <w:vAlign w:val="center"/>
          </w:tcPr>
          <w:p w14:paraId="729F469D">
            <w:pPr>
              <w:pStyle w:val="557"/>
            </w:pPr>
            <w:r>
              <w:rPr>
                <w:rFonts w:hint="eastAsia"/>
              </w:rPr>
              <w:t>54000</w:t>
            </w:r>
          </w:p>
        </w:tc>
      </w:tr>
      <w:tr w14:paraId="4AFA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8" w:type="pct"/>
            <w:vAlign w:val="center"/>
          </w:tcPr>
          <w:p w14:paraId="342C4ACE">
            <w:pPr>
              <w:pStyle w:val="557"/>
            </w:pPr>
          </w:p>
        </w:tc>
        <w:tc>
          <w:tcPr>
            <w:tcW w:w="2184" w:type="pct"/>
            <w:vAlign w:val="center"/>
          </w:tcPr>
          <w:p w14:paraId="223E9A9A">
            <w:pPr>
              <w:pStyle w:val="557"/>
            </w:pPr>
            <w:r>
              <w:rPr>
                <w:rFonts w:hint="eastAsia"/>
              </w:rPr>
              <w:t>合计</w:t>
            </w:r>
          </w:p>
        </w:tc>
        <w:tc>
          <w:tcPr>
            <w:tcW w:w="1708" w:type="pct"/>
            <w:vAlign w:val="center"/>
          </w:tcPr>
          <w:p w14:paraId="56BDD0A6">
            <w:pPr>
              <w:pStyle w:val="557"/>
            </w:pPr>
            <w:r>
              <w:rPr>
                <w:rFonts w:hint="eastAsia"/>
              </w:rPr>
              <w:t>270201</w:t>
            </w:r>
          </w:p>
        </w:tc>
      </w:tr>
    </w:tbl>
    <w:p w14:paraId="7F8818C6">
      <w:pPr>
        <w:pStyle w:val="281"/>
        <w:ind w:firstLine="480"/>
      </w:pPr>
      <w:r>
        <w:rPr>
          <w:rFonts w:hint="eastAsia"/>
        </w:rPr>
        <w:t>项目回用水站平衡见表3.6.2-4。</w:t>
      </w:r>
    </w:p>
    <w:p w14:paraId="232B5992">
      <w:pPr>
        <w:pStyle w:val="645"/>
        <w:rPr>
          <w:rFonts w:hint="eastAsia"/>
        </w:rPr>
      </w:pPr>
      <w:r>
        <w:rPr>
          <w:rFonts w:hint="eastAsia"/>
        </w:rPr>
        <w:t>表3.6.2-4    回用水站平衡</w:t>
      </w:r>
    </w:p>
    <w:p w14:paraId="5117F068">
      <w:pPr>
        <w:pStyle w:val="814"/>
        <w:rPr>
          <w:rFonts w:hint="eastAsia"/>
          <w:snapToGrid w:val="0"/>
        </w:rPr>
      </w:pPr>
      <w:r>
        <w:rPr>
          <w:rFonts w:hint="eastAsia"/>
          <w:snapToGrid w:val="0"/>
        </w:rPr>
        <w:t>蒸发结晶</w:t>
      </w:r>
    </w:p>
    <w:p w14:paraId="1E6EB2BB">
      <w:pPr>
        <w:pStyle w:val="281"/>
        <w:ind w:firstLine="480"/>
      </w:pPr>
      <w:r>
        <w:rPr>
          <w:rFonts w:hint="eastAsia"/>
          <w:snapToGrid w:val="0"/>
        </w:rPr>
        <w:t>本项目回用水站出水</w:t>
      </w:r>
      <w:bookmarkEnd w:id="226"/>
      <w:bookmarkEnd w:id="227"/>
      <w:r>
        <w:rPr>
          <w:rFonts w:hint="eastAsia"/>
          <w:snapToGrid w:val="0"/>
        </w:rPr>
        <w:t>回用于厂区，产生的浓盐水送厂区</w:t>
      </w:r>
      <w:r>
        <w:rPr>
          <w:rFonts w:hint="eastAsia" w:cs="Times New Roman"/>
        </w:rPr>
        <w:t>浓盐水处理及蒸发结晶，无外排废水。高浓盐水处理规模120m</w:t>
      </w:r>
      <w:r>
        <w:rPr>
          <w:rFonts w:hint="eastAsia" w:cs="Times New Roman"/>
          <w:vertAlign w:val="superscript"/>
        </w:rPr>
        <w:t>3</w:t>
      </w:r>
      <w:r>
        <w:rPr>
          <w:rFonts w:hint="eastAsia" w:cs="Times New Roman"/>
        </w:rPr>
        <w:t>/h。</w:t>
      </w:r>
    </w:p>
    <w:p w14:paraId="17CB6775">
      <w:pPr>
        <w:pStyle w:val="97"/>
        <w:rPr>
          <w:rFonts w:hint="eastAsia"/>
        </w:rPr>
      </w:pPr>
      <w:bookmarkStart w:id="228" w:name="_Hlk177914155"/>
      <w:r>
        <w:rPr>
          <w:rFonts w:hint="eastAsia"/>
        </w:rPr>
        <w:t>硫元素平衡</w:t>
      </w:r>
    </w:p>
    <w:p w14:paraId="714CBDD5">
      <w:pPr>
        <w:pStyle w:val="281"/>
        <w:ind w:firstLine="480"/>
      </w:pPr>
      <w:r>
        <w:rPr>
          <w:rFonts w:hint="eastAsia"/>
        </w:rPr>
        <w:t>全厂硫平衡情况见表3.6.3-1；</w:t>
      </w:r>
    </w:p>
    <w:p w14:paraId="281B756A">
      <w:pPr>
        <w:pStyle w:val="645"/>
        <w:rPr>
          <w:rFonts w:hint="eastAsia"/>
        </w:rPr>
      </w:pPr>
      <w:r>
        <w:rPr>
          <w:rFonts w:hint="eastAsia"/>
        </w:rPr>
        <w:t>表3.6.3-1    全厂硫平衡表</w:t>
      </w:r>
    </w:p>
    <w:p w14:paraId="40741FAD">
      <w:pPr>
        <w:pStyle w:val="557"/>
      </w:pPr>
    </w:p>
    <w:p w14:paraId="41F00438">
      <w:pPr>
        <w:pStyle w:val="97"/>
        <w:rPr>
          <w:rFonts w:hint="eastAsia"/>
        </w:rPr>
      </w:pPr>
      <w:r>
        <w:rPr>
          <w:rFonts w:hint="eastAsia"/>
        </w:rPr>
        <w:t>碳元素平衡</w:t>
      </w:r>
    </w:p>
    <w:p w14:paraId="2FDEA00D">
      <w:pPr>
        <w:pStyle w:val="281"/>
        <w:ind w:firstLine="480"/>
      </w:pPr>
      <w:r>
        <w:rPr>
          <w:rFonts w:hint="eastAsia"/>
        </w:rPr>
        <w:t>全厂碳元素平衡见表3.6.4-1。</w:t>
      </w:r>
    </w:p>
    <w:p w14:paraId="0AAEE60C">
      <w:pPr>
        <w:pStyle w:val="645"/>
        <w:rPr>
          <w:rFonts w:hint="eastAsia"/>
        </w:rPr>
      </w:pPr>
      <w:r>
        <w:rPr>
          <w:rFonts w:hint="eastAsia"/>
        </w:rPr>
        <w:t>表3.6.4-1    全厂碳元素平衡表</w:t>
      </w:r>
    </w:p>
    <w:bookmarkEnd w:id="228"/>
    <w:p w14:paraId="72BC0D3C">
      <w:pPr>
        <w:pStyle w:val="97"/>
        <w:rPr>
          <w:rFonts w:hint="eastAsia"/>
        </w:rPr>
      </w:pPr>
      <w:r>
        <w:rPr>
          <w:rFonts w:hint="eastAsia"/>
        </w:rPr>
        <w:t>蒸汽平衡</w:t>
      </w:r>
    </w:p>
    <w:p w14:paraId="33549D73">
      <w:pPr>
        <w:spacing w:line="360" w:lineRule="auto"/>
        <w:ind w:firstLine="480" w:firstLineChars="200"/>
        <w:rPr>
          <w:rFonts w:ascii="Times New Roman" w:hAnsi="Times New Roman" w:cs="Times New Roman"/>
        </w:rPr>
      </w:pPr>
      <w:bookmarkStart w:id="229" w:name="_Hlk150216092"/>
      <w:bookmarkStart w:id="230" w:name="_Hlk177914450"/>
      <w:r>
        <w:rPr>
          <w:rFonts w:ascii="Times New Roman" w:hAnsi="Times New Roman" w:cs="Times New Roman"/>
        </w:rPr>
        <w:t>全厂冬季蒸汽平衡见图3.6.5-1，夏季蒸汽平衡见图3.6.5-2。</w:t>
      </w:r>
    </w:p>
    <w:p w14:paraId="502918EC">
      <w:pPr>
        <w:pStyle w:val="97"/>
        <w:rPr>
          <w:rFonts w:hint="eastAsia"/>
        </w:rPr>
      </w:pPr>
      <w:r>
        <w:rPr>
          <w:rFonts w:hint="eastAsia"/>
        </w:rPr>
        <w:t>燃料气平衡</w:t>
      </w:r>
    </w:p>
    <w:p w14:paraId="53ADEEE6">
      <w:pPr>
        <w:spacing w:line="360" w:lineRule="auto"/>
        <w:ind w:firstLine="480" w:firstLineChars="200"/>
        <w:rPr>
          <w:rFonts w:hint="eastAsia"/>
        </w:rPr>
      </w:pPr>
      <w:r>
        <w:rPr>
          <w:rFonts w:hint="eastAsia"/>
        </w:rPr>
        <w:t>全厂燃料气平衡见下表。</w:t>
      </w:r>
    </w:p>
    <w:p w14:paraId="52B2CD3D">
      <w:pPr>
        <w:pStyle w:val="645"/>
        <w:rPr>
          <w:rFonts w:hint="eastAsia"/>
        </w:rPr>
      </w:pPr>
      <w:bookmarkStart w:id="231" w:name="_Hlk176363090"/>
      <w:r>
        <w:rPr>
          <w:rFonts w:hint="eastAsia"/>
        </w:rPr>
        <w:t>表</w:t>
      </w:r>
      <w:r>
        <w:t>3.</w:t>
      </w:r>
      <w:r>
        <w:rPr>
          <w:rFonts w:hint="eastAsia"/>
        </w:rPr>
        <w:t>6</w:t>
      </w:r>
      <w:r>
        <w:t>.</w:t>
      </w:r>
      <w:r>
        <w:rPr>
          <w:rFonts w:hint="eastAsia"/>
        </w:rPr>
        <w:t>6</w:t>
      </w:r>
      <w:r>
        <w:t xml:space="preserve">-1    </w:t>
      </w:r>
      <w:r>
        <w:rPr>
          <w:rFonts w:hint="eastAsia"/>
        </w:rPr>
        <w:t>全厂燃料气平衡表</w:t>
      </w:r>
    </w:p>
    <w:bookmarkEnd w:id="231"/>
    <w:p w14:paraId="30787547">
      <w:pPr>
        <w:spacing w:line="360" w:lineRule="auto"/>
        <w:ind w:firstLine="480" w:firstLineChars="200"/>
        <w:rPr>
          <w:rFonts w:ascii="Times New Roman" w:hAnsi="Times New Roman" w:cs="Times New Roman"/>
        </w:rPr>
      </w:pPr>
    </w:p>
    <w:p w14:paraId="1837EFA6">
      <w:pPr>
        <w:spacing w:line="360" w:lineRule="auto"/>
        <w:ind w:firstLine="480" w:firstLineChars="200"/>
        <w:rPr>
          <w:rFonts w:ascii="Times New Roman" w:hAnsi="Times New Roman" w:cs="Times New Roman"/>
        </w:rPr>
      </w:pPr>
    </w:p>
    <w:p w14:paraId="2EA459F0">
      <w:pPr>
        <w:spacing w:line="360" w:lineRule="auto"/>
        <w:rPr>
          <w:rFonts w:ascii="Times New Roman" w:hAnsi="Times New Roman" w:cs="Times New Roman"/>
        </w:rPr>
      </w:pPr>
    </w:p>
    <w:bookmarkEnd w:id="229"/>
    <w:bookmarkEnd w:id="230"/>
    <w:p w14:paraId="721B1C35">
      <w:pPr>
        <w:pStyle w:val="645"/>
        <w:rPr>
          <w:rFonts w:hint="eastAsia"/>
        </w:rPr>
      </w:pPr>
      <w:r>
        <w:rPr>
          <w:rFonts w:hint="eastAsia"/>
        </w:rPr>
        <w:t>表3.6.5-1    全厂蒸汽平衡图（冬季）</w:t>
      </w:r>
    </w:p>
    <w:p w14:paraId="15161D29">
      <w:pPr>
        <w:rPr>
          <w:rFonts w:hint="eastAsia"/>
        </w:rPr>
      </w:pPr>
    </w:p>
    <w:p w14:paraId="0C6963C5">
      <w:pPr>
        <w:pStyle w:val="645"/>
        <w:rPr>
          <w:rFonts w:hint="eastAsia"/>
        </w:rPr>
      </w:pPr>
      <w:r>
        <w:rPr>
          <w:rFonts w:hint="eastAsia"/>
        </w:rPr>
        <w:t>表3.6.5-2    全厂蒸汽平衡图（夏季）</w:t>
      </w:r>
    </w:p>
    <w:p w14:paraId="4225470C">
      <w:pPr>
        <w:rPr>
          <w:rFonts w:hint="eastAsia"/>
        </w:rPr>
      </w:pPr>
    </w:p>
    <w:p w14:paraId="2B235FF7">
      <w:pPr>
        <w:rPr>
          <w:rFonts w:hint="eastAsia"/>
        </w:rPr>
        <w:sectPr>
          <w:pgSz w:w="11906" w:h="16838"/>
          <w:pgMar w:top="1440" w:right="1800" w:bottom="1440" w:left="1800" w:header="851" w:footer="850" w:gutter="0"/>
          <w:cols w:space="425" w:num="1"/>
          <w:docGrid w:type="lines" w:linePitch="326" w:charSpace="0"/>
        </w:sectPr>
      </w:pPr>
    </w:p>
    <w:bookmarkEnd w:id="220"/>
    <w:bookmarkEnd w:id="224"/>
    <w:p w14:paraId="072560F3">
      <w:pPr>
        <w:pStyle w:val="3"/>
        <w:rPr>
          <w:rFonts w:hint="eastAsia"/>
        </w:rPr>
      </w:pPr>
      <w:bookmarkStart w:id="232" w:name="_Toc182475484"/>
      <w:bookmarkStart w:id="233" w:name="_Toc6292"/>
      <w:bookmarkStart w:id="234" w:name="_Hlk150214555"/>
      <w:r>
        <w:rPr>
          <w:rFonts w:hint="eastAsia"/>
        </w:rPr>
        <w:t>全厂污染源及污染治理措施分析</w:t>
      </w:r>
      <w:bookmarkEnd w:id="232"/>
      <w:bookmarkEnd w:id="233"/>
    </w:p>
    <w:p w14:paraId="4004F211">
      <w:pPr>
        <w:pStyle w:val="97"/>
        <w:rPr>
          <w:rFonts w:hint="eastAsia"/>
        </w:rPr>
      </w:pPr>
      <w:bookmarkStart w:id="235" w:name="_Hlk150612292"/>
      <w:r>
        <w:t>废气</w:t>
      </w:r>
    </w:p>
    <w:p w14:paraId="18C73AF6">
      <w:pPr>
        <w:spacing w:line="360" w:lineRule="auto"/>
        <w:ind w:firstLine="480" w:firstLineChars="200"/>
        <w:rPr>
          <w:rFonts w:hint="eastAsia"/>
        </w:rPr>
      </w:pPr>
      <w:r>
        <w:rPr>
          <w:rFonts w:hint="eastAsia"/>
        </w:rPr>
        <w:t>本</w:t>
      </w:r>
      <w:r>
        <w:rPr>
          <w:rStyle w:val="282"/>
          <w:rFonts w:hint="eastAsia"/>
        </w:rPr>
        <w:t>项目</w:t>
      </w:r>
      <w:r>
        <w:rPr>
          <w:rStyle w:val="282"/>
        </w:rPr>
        <w:t>废气产排情况见表3.</w:t>
      </w:r>
      <w:r>
        <w:rPr>
          <w:rStyle w:val="282"/>
          <w:rFonts w:hint="eastAsia"/>
        </w:rPr>
        <w:t>7</w:t>
      </w:r>
      <w:r>
        <w:rPr>
          <w:rStyle w:val="282"/>
        </w:rPr>
        <w:t>.1-1</w:t>
      </w:r>
      <w:r>
        <w:rPr>
          <w:rStyle w:val="282"/>
          <w:rFonts w:hint="eastAsia"/>
        </w:rPr>
        <w:t>。</w:t>
      </w:r>
    </w:p>
    <w:bookmarkEnd w:id="234"/>
    <w:bookmarkEnd w:id="235"/>
    <w:p w14:paraId="2E2DBF78">
      <w:pPr>
        <w:spacing w:line="360" w:lineRule="auto"/>
        <w:ind w:firstLine="482" w:firstLineChars="200"/>
        <w:jc w:val="center"/>
        <w:rPr>
          <w:rFonts w:hint="eastAsia" w:ascii="黑体" w:hAnsi="黑体" w:eastAsia="黑体"/>
          <w:b/>
        </w:rPr>
      </w:pPr>
      <w:bookmarkStart w:id="236" w:name="_Hlk177832144"/>
      <w:bookmarkStart w:id="237" w:name="_Hlk179633906"/>
      <w:bookmarkStart w:id="238" w:name="_Hlk150214631"/>
      <w:r>
        <w:rPr>
          <w:rFonts w:hint="eastAsia" w:ascii="黑体" w:hAnsi="黑体" w:eastAsia="黑体"/>
          <w:b/>
        </w:rPr>
        <w:t>表3.7</w:t>
      </w:r>
      <w:r>
        <w:rPr>
          <w:rFonts w:ascii="黑体" w:hAnsi="黑体" w:eastAsia="黑体"/>
          <w:b/>
        </w:rPr>
        <w:t>.1</w:t>
      </w:r>
      <w:r>
        <w:rPr>
          <w:rFonts w:hint="eastAsia" w:ascii="黑体" w:hAnsi="黑体" w:eastAsia="黑体"/>
          <w:b/>
        </w:rPr>
        <w:t xml:space="preserve">-1 </w:t>
      </w:r>
      <w:r>
        <w:rPr>
          <w:rFonts w:ascii="黑体" w:hAnsi="黑体" w:eastAsia="黑体"/>
          <w:b/>
        </w:rPr>
        <w:t xml:space="preserve">  </w:t>
      </w:r>
      <w:r>
        <w:rPr>
          <w:rFonts w:hint="eastAsia" w:ascii="黑体" w:hAnsi="黑体" w:eastAsia="黑体"/>
          <w:b/>
        </w:rPr>
        <w:t xml:space="preserve"> 全厂废气产排情况表</w:t>
      </w:r>
    </w:p>
    <w:bookmarkEnd w:id="236"/>
    <w:bookmarkEnd w:id="237"/>
    <w:p w14:paraId="2C1718BD">
      <w:pPr>
        <w:pStyle w:val="97"/>
        <w:rPr>
          <w:rFonts w:hint="eastAsia"/>
        </w:rPr>
      </w:pPr>
      <w:bookmarkStart w:id="239" w:name="_Hlk150612459"/>
      <w:r>
        <w:t>废水</w:t>
      </w:r>
    </w:p>
    <w:p w14:paraId="0D1CE2B4">
      <w:pPr>
        <w:spacing w:line="360" w:lineRule="auto"/>
        <w:ind w:firstLine="480" w:firstLineChars="200"/>
        <w:rPr>
          <w:rFonts w:hint="eastAsia"/>
        </w:rPr>
      </w:pPr>
      <w:r>
        <w:rPr>
          <w:rFonts w:hint="eastAsia" w:ascii="Times New Roman" w:hAnsi="Times New Roman" w:cs="Times New Roman"/>
        </w:rPr>
        <w:t>本项目设置污水处理装置、中水回用装置、浓盐水处理及蒸发结晶。</w:t>
      </w:r>
    </w:p>
    <w:p w14:paraId="2831D747">
      <w:pPr>
        <w:spacing w:line="360" w:lineRule="auto"/>
        <w:ind w:firstLine="480" w:firstLineChars="200"/>
        <w:rPr>
          <w:rFonts w:ascii="Times New Roman" w:hAnsi="Times New Roman" w:cs="Times New Roman"/>
        </w:rPr>
      </w:pPr>
      <w:r>
        <w:rPr>
          <w:rFonts w:hint="eastAsia"/>
        </w:rPr>
        <w:t>污水处理站废水</w:t>
      </w:r>
      <w:r>
        <w:rPr>
          <w:rStyle w:val="282"/>
        </w:rPr>
        <w:t>产排情况见表3.</w:t>
      </w:r>
      <w:r>
        <w:rPr>
          <w:rStyle w:val="282"/>
          <w:rFonts w:hint="eastAsia"/>
        </w:rPr>
        <w:t>7</w:t>
      </w:r>
      <w:r>
        <w:rPr>
          <w:rStyle w:val="282"/>
        </w:rPr>
        <w:t>.</w:t>
      </w:r>
      <w:r>
        <w:rPr>
          <w:rStyle w:val="282"/>
          <w:rFonts w:hint="eastAsia"/>
        </w:rPr>
        <w:t>2</w:t>
      </w:r>
      <w:r>
        <w:rPr>
          <w:rStyle w:val="282"/>
        </w:rPr>
        <w:t>-1</w:t>
      </w:r>
      <w:r>
        <w:rPr>
          <w:rStyle w:val="282"/>
          <w:rFonts w:hint="eastAsia"/>
        </w:rPr>
        <w:t>，中水回用系统产排情况见表3.7.2-2，中水回用系统产生的浓盐水送至</w:t>
      </w:r>
      <w:r>
        <w:rPr>
          <w:rFonts w:hint="eastAsia" w:ascii="Times New Roman" w:hAnsi="Times New Roman" w:cs="Times New Roman"/>
        </w:rPr>
        <w:t>浓盐水处理及蒸发结晶。</w:t>
      </w:r>
    </w:p>
    <w:p w14:paraId="1B1C8800">
      <w:pPr>
        <w:pStyle w:val="535"/>
        <w:rPr>
          <w:rFonts w:hint="eastAsia"/>
          <w:color w:val="auto"/>
        </w:rPr>
      </w:pPr>
      <w:r>
        <w:rPr>
          <w:rFonts w:hint="eastAsia"/>
          <w:color w:val="auto"/>
        </w:rPr>
        <w:t>表3.7</w:t>
      </w:r>
      <w:r>
        <w:rPr>
          <w:color w:val="auto"/>
        </w:rPr>
        <w:t>.2</w:t>
      </w:r>
      <w:r>
        <w:rPr>
          <w:rFonts w:hint="eastAsia"/>
          <w:color w:val="auto"/>
        </w:rPr>
        <w:t>-</w:t>
      </w:r>
      <w:r>
        <w:rPr>
          <w:color w:val="auto"/>
        </w:rPr>
        <w:t xml:space="preserve">1  </w:t>
      </w:r>
      <w:r>
        <w:rPr>
          <w:rFonts w:hint="eastAsia"/>
          <w:color w:val="auto"/>
        </w:rPr>
        <w:t xml:space="preserve"> </w:t>
      </w:r>
      <w:r>
        <w:rPr>
          <w:color w:val="auto"/>
        </w:rPr>
        <w:t xml:space="preserve"> </w:t>
      </w:r>
      <w:r>
        <w:rPr>
          <w:rFonts w:hint="eastAsia"/>
          <w:color w:val="auto"/>
        </w:rPr>
        <w:t>污水处理站废水产排情况表</w:t>
      </w:r>
    </w:p>
    <w:p w14:paraId="309A2D3C">
      <w:pPr>
        <w:pStyle w:val="535"/>
        <w:rPr>
          <w:rFonts w:hint="eastAsia"/>
        </w:rPr>
      </w:pPr>
    </w:p>
    <w:p w14:paraId="25C62A58">
      <w:pPr>
        <w:pStyle w:val="535"/>
        <w:rPr>
          <w:rFonts w:hint="eastAsia"/>
        </w:rPr>
      </w:pPr>
      <w:r>
        <w:rPr>
          <w:rFonts w:hint="eastAsia"/>
        </w:rPr>
        <w:t xml:space="preserve">表3.7.2-2    </w:t>
      </w:r>
      <w:r>
        <w:rPr>
          <w:rStyle w:val="282"/>
          <w:rFonts w:hint="eastAsia"/>
        </w:rPr>
        <w:t>中水回用系统</w:t>
      </w:r>
      <w:r>
        <w:rPr>
          <w:rFonts w:hint="eastAsia"/>
        </w:rPr>
        <w:t>废水产排情况表</w:t>
      </w:r>
    </w:p>
    <w:p w14:paraId="3E5339C0">
      <w:pPr>
        <w:pStyle w:val="97"/>
        <w:rPr>
          <w:rFonts w:hint="eastAsia"/>
        </w:rPr>
      </w:pPr>
      <w:r>
        <w:t>噪声</w:t>
      </w:r>
    </w:p>
    <w:p w14:paraId="19DB550B">
      <w:pPr>
        <w:spacing w:line="360" w:lineRule="auto"/>
        <w:ind w:firstLine="480" w:firstLineChars="200"/>
        <w:rPr>
          <w:rStyle w:val="282"/>
        </w:rPr>
      </w:pPr>
      <w:r>
        <w:rPr>
          <w:rFonts w:hint="eastAsia"/>
        </w:rPr>
        <w:t>全</w:t>
      </w:r>
      <w:r>
        <w:rPr>
          <w:rStyle w:val="282"/>
          <w:rFonts w:hint="eastAsia"/>
        </w:rPr>
        <w:t>厂噪声</w:t>
      </w:r>
      <w:r>
        <w:rPr>
          <w:rStyle w:val="282"/>
        </w:rPr>
        <w:t>产排情况见表3.</w:t>
      </w:r>
      <w:r>
        <w:rPr>
          <w:rStyle w:val="282"/>
          <w:rFonts w:hint="eastAsia"/>
        </w:rPr>
        <w:t>7</w:t>
      </w:r>
      <w:r>
        <w:rPr>
          <w:rStyle w:val="282"/>
        </w:rPr>
        <w:t>.</w:t>
      </w:r>
      <w:r>
        <w:rPr>
          <w:rStyle w:val="282"/>
          <w:rFonts w:hint="eastAsia"/>
        </w:rPr>
        <w:t>3</w:t>
      </w:r>
      <w:r>
        <w:rPr>
          <w:rStyle w:val="282"/>
        </w:rPr>
        <w:t>-1</w:t>
      </w:r>
      <w:r>
        <w:rPr>
          <w:rStyle w:val="282"/>
          <w:rFonts w:hint="eastAsia"/>
        </w:rPr>
        <w:t>。</w:t>
      </w:r>
    </w:p>
    <w:p w14:paraId="0E5A35C1">
      <w:pPr>
        <w:pStyle w:val="535"/>
        <w:rPr>
          <w:rFonts w:hint="eastAsia"/>
        </w:rPr>
      </w:pPr>
      <w:r>
        <w:rPr>
          <w:rFonts w:hint="eastAsia"/>
        </w:rPr>
        <w:t>表3.7</w:t>
      </w:r>
      <w:r>
        <w:t>.3</w:t>
      </w:r>
      <w:r>
        <w:rPr>
          <w:rFonts w:hint="eastAsia"/>
        </w:rPr>
        <w:t>-</w:t>
      </w:r>
      <w:r>
        <w:t xml:space="preserve">1    </w:t>
      </w:r>
      <w:r>
        <w:rPr>
          <w:rFonts w:hint="eastAsia"/>
        </w:rPr>
        <w:t>全厂噪声产排情况表</w:t>
      </w:r>
    </w:p>
    <w:p w14:paraId="35CCEDC7">
      <w:pPr>
        <w:pStyle w:val="97"/>
        <w:rPr>
          <w:rFonts w:hint="eastAsia"/>
        </w:rPr>
      </w:pPr>
      <w:bookmarkStart w:id="240" w:name="_Hlk98237882"/>
      <w:r>
        <w:t>固体废物</w:t>
      </w:r>
    </w:p>
    <w:p w14:paraId="11CABBC5">
      <w:pPr>
        <w:pStyle w:val="281"/>
        <w:ind w:firstLine="480"/>
      </w:pPr>
      <w:r>
        <w:rPr>
          <w:rFonts w:hint="eastAsia"/>
        </w:rPr>
        <w:t>全厂固体废物</w:t>
      </w:r>
      <w:r>
        <w:t>产排情况见表3.</w:t>
      </w:r>
      <w:r>
        <w:rPr>
          <w:rFonts w:hint="eastAsia"/>
        </w:rPr>
        <w:t>7</w:t>
      </w:r>
      <w:r>
        <w:t>.</w:t>
      </w:r>
      <w:r>
        <w:rPr>
          <w:rFonts w:hint="eastAsia"/>
        </w:rPr>
        <w:t>4</w:t>
      </w:r>
      <w:r>
        <w:t>-1</w:t>
      </w:r>
      <w:r>
        <w:rPr>
          <w:rFonts w:hint="eastAsia"/>
        </w:rPr>
        <w:t>。</w:t>
      </w:r>
    </w:p>
    <w:p w14:paraId="29922B31">
      <w:pPr>
        <w:spacing w:line="360" w:lineRule="auto"/>
        <w:jc w:val="center"/>
        <w:rPr>
          <w:rFonts w:hint="eastAsia" w:ascii="黑体" w:hAnsi="黑体" w:eastAsia="黑体"/>
          <w:b/>
        </w:rPr>
      </w:pPr>
      <w:r>
        <w:rPr>
          <w:rFonts w:hint="eastAsia" w:ascii="黑体" w:hAnsi="黑体" w:eastAsia="黑体"/>
          <w:b/>
        </w:rPr>
        <w:t>表3.7</w:t>
      </w:r>
      <w:r>
        <w:rPr>
          <w:rFonts w:ascii="黑体" w:hAnsi="黑体" w:eastAsia="黑体"/>
          <w:b/>
        </w:rPr>
        <w:t>.4</w:t>
      </w:r>
      <w:r>
        <w:rPr>
          <w:rFonts w:hint="eastAsia" w:ascii="黑体" w:hAnsi="黑体" w:eastAsia="黑体"/>
          <w:b/>
        </w:rPr>
        <w:t>-</w:t>
      </w:r>
      <w:r>
        <w:rPr>
          <w:rFonts w:ascii="黑体" w:hAnsi="黑体" w:eastAsia="黑体"/>
          <w:b/>
        </w:rPr>
        <w:t xml:space="preserve">1    </w:t>
      </w:r>
      <w:r>
        <w:rPr>
          <w:rFonts w:hint="eastAsia" w:ascii="黑体" w:hAnsi="黑体" w:eastAsia="黑体"/>
          <w:b/>
        </w:rPr>
        <w:t>全厂固废产排情况表</w:t>
      </w:r>
      <w:bookmarkEnd w:id="240"/>
    </w:p>
    <w:bookmarkEnd w:id="238"/>
    <w:bookmarkEnd w:id="239"/>
    <w:p w14:paraId="678FBA3C">
      <w:pPr>
        <w:spacing w:line="360" w:lineRule="auto"/>
        <w:ind w:firstLine="480" w:firstLineChars="200"/>
        <w:rPr>
          <w:rFonts w:hint="eastAsia"/>
        </w:rPr>
        <w:sectPr>
          <w:pgSz w:w="16838" w:h="11906" w:orient="landscape"/>
          <w:pgMar w:top="1800" w:right="1440" w:bottom="1800" w:left="1440" w:header="851" w:footer="850" w:gutter="0"/>
          <w:cols w:space="425" w:num="1"/>
          <w:docGrid w:type="lines" w:linePitch="326" w:charSpace="0"/>
        </w:sectPr>
      </w:pPr>
    </w:p>
    <w:p w14:paraId="0FE87BEC">
      <w:pPr>
        <w:pStyle w:val="3"/>
        <w:rPr>
          <w:rFonts w:hint="eastAsia"/>
        </w:rPr>
      </w:pPr>
      <w:bookmarkStart w:id="241" w:name="_Toc182475485"/>
      <w:bookmarkStart w:id="242" w:name="_Toc22129"/>
      <w:r>
        <w:rPr>
          <w:rFonts w:hint="eastAsia"/>
        </w:rPr>
        <w:t>全厂污染物产排汇总</w:t>
      </w:r>
      <w:bookmarkEnd w:id="241"/>
      <w:bookmarkEnd w:id="242"/>
    </w:p>
    <w:p w14:paraId="64E6C454">
      <w:pPr>
        <w:pStyle w:val="281"/>
        <w:ind w:firstLine="480"/>
        <w:rPr>
          <w:rFonts w:hint="eastAsia" w:ascii="宋体" w:hAnsi="宋体"/>
        </w:rPr>
      </w:pPr>
      <w:bookmarkStart w:id="243" w:name="_Hlk98237897"/>
      <w:r>
        <w:rPr>
          <w:rFonts w:hint="eastAsia" w:ascii="宋体" w:hAnsi="宋体"/>
        </w:rPr>
        <w:t>根据工程分析，项目采取可研和评价提出的污染防治措施后，污染物可做到达标排放，</w:t>
      </w:r>
      <w:r>
        <w:rPr>
          <w:rFonts w:hint="eastAsia"/>
        </w:rPr>
        <w:t>全厂</w:t>
      </w:r>
      <w:r>
        <w:t>正常生产情况下“三废”排放汇总</w:t>
      </w:r>
      <w:r>
        <w:rPr>
          <w:rFonts w:hint="eastAsia" w:ascii="宋体" w:hAnsi="宋体"/>
        </w:rPr>
        <w:t>见表</w:t>
      </w:r>
      <w:r>
        <w:rPr>
          <w:rFonts w:hint="eastAsia"/>
        </w:rPr>
        <w:t>3.8-1</w:t>
      </w:r>
      <w:bookmarkEnd w:id="243"/>
      <w:bookmarkStart w:id="244" w:name="_Hlk98237907"/>
      <w:r>
        <w:rPr>
          <w:rFonts w:hint="eastAsia" w:ascii="宋体" w:hAnsi="宋体"/>
        </w:rPr>
        <w:t>；</w:t>
      </w:r>
    </w:p>
    <w:p w14:paraId="0406C22E">
      <w:pPr>
        <w:pStyle w:val="541"/>
        <w:rPr>
          <w:rFonts w:hint="eastAsia"/>
        </w:rPr>
      </w:pPr>
      <w:r>
        <w:t>表</w:t>
      </w:r>
      <w:r>
        <w:rPr>
          <w:rFonts w:hint="eastAsia"/>
        </w:rPr>
        <w:t>3.8-1</w:t>
      </w:r>
      <w:r>
        <w:t xml:space="preserve">    </w:t>
      </w:r>
      <w:r>
        <w:rPr>
          <w:rFonts w:hint="eastAsia"/>
        </w:rPr>
        <w:t>全厂</w:t>
      </w:r>
      <w:r>
        <w:t>正常生产情况下“三废”排放汇总表</w:t>
      </w:r>
    </w:p>
    <w:bookmarkEnd w:id="244"/>
    <w:p w14:paraId="12541543">
      <w:pPr>
        <w:pStyle w:val="557"/>
      </w:pPr>
      <w:bookmarkStart w:id="245" w:name="_Hlk177901080"/>
    </w:p>
    <w:bookmarkEnd w:id="245"/>
    <w:p w14:paraId="3EC067CF">
      <w:pPr>
        <w:pStyle w:val="3"/>
        <w:rPr>
          <w:rFonts w:hint="eastAsia"/>
        </w:rPr>
      </w:pPr>
      <w:bookmarkStart w:id="246" w:name="_Toc15982"/>
      <w:bookmarkStart w:id="247" w:name="_Toc182475488"/>
      <w:r>
        <w:rPr>
          <w:rFonts w:hint="eastAsia"/>
        </w:rPr>
        <w:t>碳排放分析</w:t>
      </w:r>
      <w:bookmarkEnd w:id="246"/>
    </w:p>
    <w:p w14:paraId="765B3A13">
      <w:pPr>
        <w:pStyle w:val="97"/>
        <w:rPr>
          <w:rFonts w:hint="eastAsia"/>
        </w:rPr>
      </w:pPr>
      <w:bookmarkStart w:id="248" w:name="_Hlk150216626"/>
      <w:r>
        <w:rPr>
          <w:rFonts w:hint="eastAsia"/>
        </w:rPr>
        <w:t>碳排放核算</w:t>
      </w:r>
      <w:bookmarkEnd w:id="248"/>
    </w:p>
    <w:p w14:paraId="24CFEEDA">
      <w:pPr>
        <w:pStyle w:val="281"/>
        <w:ind w:firstLine="480"/>
      </w:pPr>
      <w:r>
        <w:rPr>
          <w:rFonts w:hint="eastAsia" w:ascii="宋体" w:hAnsi="宋体"/>
        </w:rPr>
        <w:t>本项目碳排放核算依据《温室气体排放核算与报告要求第</w:t>
      </w:r>
      <w:r>
        <w:t>10</w:t>
      </w:r>
      <w:r>
        <w:rPr>
          <w:rFonts w:hint="eastAsia" w:ascii="宋体" w:hAnsi="宋体"/>
        </w:rPr>
        <w:t>部分：化工生产企业》（</w:t>
      </w:r>
      <w:r>
        <w:t>GB/T32151.10-2015</w:t>
      </w:r>
      <w:r>
        <w:rPr>
          <w:rFonts w:hint="eastAsia" w:ascii="宋体" w:hAnsi="宋体"/>
        </w:rPr>
        <w:t>）、《中国石油化工企业温室气体排放核算方法与报告指南（试行）》。</w:t>
      </w:r>
    </w:p>
    <w:p w14:paraId="580AF617">
      <w:pPr>
        <w:pStyle w:val="626"/>
        <w:ind w:firstLine="480"/>
        <w:rPr>
          <w:rFonts w:ascii="Times New Roman" w:hAnsi="Times New Roman" w:eastAsia="宋体"/>
        </w:rPr>
      </w:pPr>
      <w:r>
        <w:rPr>
          <w:rFonts w:hint="eastAsia" w:eastAsia="宋体"/>
          <w:lang w:val="en-GB"/>
        </w:rPr>
        <w:t>（1）</w:t>
      </w:r>
      <w:r>
        <w:rPr>
          <w:rFonts w:ascii="Times New Roman" w:hAnsi="Times New Roman" w:eastAsia="宋体"/>
          <w:kern w:val="2"/>
          <w:szCs w:val="20"/>
        </w:rPr>
        <w:t>化石燃料燃烧二氧化碳</w:t>
      </w:r>
      <w:r>
        <w:rPr>
          <w:rFonts w:ascii="Times New Roman" w:hAnsi="Times New Roman"/>
          <w:kern w:val="2"/>
          <w:szCs w:val="20"/>
        </w:rPr>
        <w:t>(CO</w:t>
      </w:r>
      <w:r>
        <w:rPr>
          <w:rFonts w:ascii="Times New Roman" w:hAnsi="Times New Roman"/>
          <w:kern w:val="2"/>
          <w:szCs w:val="20"/>
          <w:vertAlign w:val="subscript"/>
        </w:rPr>
        <w:t>2</w:t>
      </w:r>
      <w:r>
        <w:rPr>
          <w:rFonts w:ascii="Times New Roman" w:hAnsi="Times New Roman"/>
          <w:kern w:val="2"/>
          <w:szCs w:val="20"/>
        </w:rPr>
        <w:t>)</w:t>
      </w:r>
      <w:r>
        <w:rPr>
          <w:rFonts w:ascii="Times New Roman" w:hAnsi="Times New Roman" w:eastAsia="宋体"/>
          <w:kern w:val="2"/>
          <w:szCs w:val="20"/>
        </w:rPr>
        <w:t>排放</w:t>
      </w:r>
      <w:r>
        <w:rPr>
          <w:rFonts w:hint="eastAsia" w:ascii="Times New Roman" w:hAnsi="Times New Roman" w:eastAsia="宋体"/>
          <w:kern w:val="2"/>
          <w:szCs w:val="20"/>
        </w:rPr>
        <w:t>-燃料气</w:t>
      </w:r>
    </w:p>
    <w:p w14:paraId="378FA27A">
      <w:pPr>
        <w:pStyle w:val="626"/>
        <w:ind w:firstLine="480"/>
        <w:rPr>
          <w:rFonts w:ascii="Times New Roman" w:hAnsi="Times New Roman"/>
          <w:lang w:val="en-GB"/>
        </w:rPr>
      </w:pPr>
      <w:r>
        <w:rPr>
          <w:rFonts w:hint="eastAsia" w:ascii="Times New Roman" w:hAnsi="Times New Roman" w:eastAsia="宋体"/>
          <w:lang w:val="en-GB"/>
        </w:rPr>
        <w:t>项目全厂</w:t>
      </w:r>
      <w:r>
        <w:rPr>
          <w:rFonts w:ascii="Times New Roman" w:hAnsi="Times New Roman" w:eastAsia="宋体"/>
          <w:lang w:val="en-GB"/>
        </w:rPr>
        <w:t>燃料气</w:t>
      </w:r>
      <w:r>
        <w:rPr>
          <w:rFonts w:hint="eastAsia" w:ascii="Times New Roman" w:hAnsi="Times New Roman" w:eastAsia="宋体"/>
          <w:lang w:val="en-GB"/>
        </w:rPr>
        <w:t>用量为</w:t>
      </w:r>
      <w:r>
        <w:rPr>
          <w:rFonts w:hint="eastAsia" w:ascii="Times New Roman" w:hAnsi="Times New Roman" w:eastAsia="宋体"/>
        </w:rPr>
        <w:t>27669.74</w:t>
      </w:r>
      <w:r>
        <w:rPr>
          <w:rFonts w:ascii="Times New Roman" w:hAnsi="Times New Roman"/>
          <w:lang w:val="en-GB"/>
        </w:rPr>
        <w:t>Nm</w:t>
      </w:r>
      <w:r>
        <w:rPr>
          <w:rFonts w:ascii="Times New Roman" w:hAnsi="Times New Roman"/>
          <w:vertAlign w:val="superscript"/>
          <w:lang w:val="en-GB"/>
        </w:rPr>
        <w:t>3</w:t>
      </w:r>
      <w:r>
        <w:rPr>
          <w:rFonts w:ascii="Times New Roman" w:hAnsi="Times New Roman"/>
          <w:lang w:val="en-GB"/>
        </w:rPr>
        <w:t>/h</w:t>
      </w:r>
      <w:r>
        <w:rPr>
          <w:rFonts w:ascii="Times New Roman" w:hAnsi="Times New Roman" w:eastAsia="宋体"/>
          <w:lang w:val="en-GB"/>
        </w:rPr>
        <w:t>（</w:t>
      </w:r>
      <w:r>
        <w:rPr>
          <w:rFonts w:hint="eastAsia" w:ascii="Times New Roman" w:hAnsi="Times New Roman" w:eastAsia="宋体"/>
        </w:rPr>
        <w:t>22135.79</w:t>
      </w:r>
      <w:r>
        <w:rPr>
          <w:rFonts w:ascii="Times New Roman" w:hAnsi="Times New Roman" w:eastAsia="宋体"/>
          <w:lang w:val="en-GB"/>
        </w:rPr>
        <w:t>万</w:t>
      </w:r>
      <w:r>
        <w:rPr>
          <w:rFonts w:ascii="Times New Roman" w:hAnsi="Times New Roman"/>
        </w:rPr>
        <w:t>Nm</w:t>
      </w:r>
      <w:r>
        <w:rPr>
          <w:rFonts w:ascii="Times New Roman" w:hAnsi="Times New Roman"/>
          <w:vertAlign w:val="superscript"/>
        </w:rPr>
        <w:t>3</w:t>
      </w:r>
      <w:r>
        <w:rPr>
          <w:rFonts w:ascii="Times New Roman" w:hAnsi="Times New Roman"/>
        </w:rPr>
        <w:t>/a</w:t>
      </w:r>
      <w:r>
        <w:rPr>
          <w:rFonts w:ascii="Times New Roman" w:hAnsi="Times New Roman" w:eastAsia="宋体"/>
          <w:lang w:val="en-GB"/>
        </w:rPr>
        <w:t>），燃料燃烧总计产生的二氧化碳量为：</w:t>
      </w:r>
    </w:p>
    <w:p w14:paraId="1C58FF29">
      <w:pPr>
        <w:ind w:firstLine="480"/>
        <w:jc w:val="center"/>
        <w:rPr>
          <w:rFonts w:hint="eastAsia"/>
        </w:rPr>
      </w:pPr>
      <m:oMathPara>
        <m:oMath>
          <m:sSub>
            <w:bookmarkStart w:id="249" w:name="_Hlk89709630"/>
            <w:bookmarkEnd w:id="249"/>
            <w:bookmarkStart w:id="250" w:name="_Hlk89709647"/>
            <w:bookmarkEnd w:id="250"/>
            <w:bookmarkStart w:id="251" w:name="_Hlk89709657"/>
            <w:bookmarkEnd w:id="251"/>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CO2燃烧</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nary>
                <m:naryPr>
                  <m:chr m:val="∑"/>
                  <m:limLoc m:val="subSup"/>
                  <m:ctrlPr>
                    <w:rPr>
                      <w:rFonts w:ascii="Cambria Math" w:hAnsi="Cambria Math"/>
                      <w:i/>
                    </w:rPr>
                  </m:ctrlPr>
                </m:naryPr>
                <m:sub>
                  <m:ctrlPr>
                    <w:rPr>
                      <w:rFonts w:ascii="Cambria Math" w:hAnsi="Cambria Math"/>
                      <w:i/>
                    </w:rPr>
                  </m:ctrlPr>
                </m:sub>
                <m:sup>
                  <m:ctrlPr>
                    <w:rPr>
                      <w:rFonts w:ascii="Cambria Math" w:hAnsi="Cambria Math"/>
                      <w:i/>
                    </w:rPr>
                  </m:ctrlPr>
                </m:sup>
                <m:e>
                  <m:d>
                    <m:dPr>
                      <m:ctrlPr>
                        <w:rPr>
                          <w:rFonts w:ascii="Cambria Math" w:hAnsi="Cambria Math"/>
                          <w:i/>
                        </w:rPr>
                      </m:ctrlPr>
                    </m:dPr>
                    <m:e>
                      <m:r>
                        <m:rPr/>
                        <w:rPr>
                          <w:rFonts w:ascii="Cambria Math" w:hAnsi="Cambria Math"/>
                        </w:rPr>
                        <m:t>A</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×C</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×O</m:t>
                      </m:r>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44</m:t>
                          </m:r>
                          <m:ctrlPr>
                            <w:rPr>
                              <w:rFonts w:ascii="Cambria Math" w:hAnsi="Cambria Math"/>
                              <w:i/>
                            </w:rPr>
                          </m:ctrlPr>
                        </m:num>
                        <m:den>
                          <m:r>
                            <m:rPr/>
                            <w:rPr>
                              <w:rFonts w:ascii="Cambria Math" w:hAnsi="Cambria Math"/>
                            </w:rPr>
                            <m:t>12</m:t>
                          </m:r>
                          <m:ctrlPr>
                            <w:rPr>
                              <w:rFonts w:ascii="Cambria Math" w:hAnsi="Cambria Math"/>
                              <w:i/>
                            </w:rPr>
                          </m:ctrlPr>
                        </m:den>
                      </m:f>
                      <m:ctrlPr>
                        <w:rPr>
                          <w:rFonts w:ascii="Cambria Math" w:hAnsi="Cambria Math"/>
                          <w:i/>
                        </w:rPr>
                      </m:ctrlPr>
                    </m:e>
                  </m:d>
                  <m:ctrlPr>
                    <w:rPr>
                      <w:rFonts w:ascii="Cambria Math" w:hAnsi="Cambria Math"/>
                      <w:i/>
                    </w:rPr>
                  </m:ctrlPr>
                </m:e>
              </m:nary>
              <m:ctrlPr>
                <w:rPr>
                  <w:rFonts w:ascii="Cambria Math" w:hAnsi="Cambria Math"/>
                  <w:i/>
                </w:rPr>
              </m:ctrlPr>
            </m:e>
          </m:d>
          <m:r>
            <m:rPr/>
            <w:rPr>
              <w:rFonts w:ascii="Cambria Math" w:hAnsi="Cambria Math"/>
            </w:rPr>
            <m:t>×GW</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m:t>
              </m:r>
              <m:sSub>
                <m:sSubPr>
                  <m:ctrlPr>
                    <w:rPr>
                      <w:rFonts w:ascii="Cambria Math" w:hAnsi="Cambria Math"/>
                      <w:i/>
                    </w:rPr>
                  </m:ctrlPr>
                </m:sSubPr>
                <m:e>
                  <m:r>
                    <m:rPr/>
                    <w:rPr>
                      <w:rFonts w:ascii="Cambria Math" w:hAnsi="Cambria Math"/>
                    </w:rPr>
                    <m:t>O</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sub>
          </m:sSub>
        </m:oMath>
      </m:oMathPara>
    </w:p>
    <w:p w14:paraId="1D417D65">
      <w:pPr>
        <w:pStyle w:val="626"/>
        <w:ind w:firstLine="480"/>
        <w:rPr>
          <w:rFonts w:ascii="Times New Roman" w:hAnsi="Times New Roman"/>
        </w:rPr>
      </w:pPr>
      <w:r>
        <w:rPr>
          <w:rFonts w:ascii="Times New Roman" w:hAnsi="Times New Roman" w:eastAsia="宋体"/>
        </w:rPr>
        <w:t>式中：</w:t>
      </w:r>
    </w:p>
    <w:p w14:paraId="747459B0">
      <w:pPr>
        <w:pStyle w:val="626"/>
        <w:ind w:firstLine="480"/>
        <w:rPr>
          <w:rFonts w:ascii="Times New Roman" w:hAnsi="Times New Roman" w:cs="Times New Roman"/>
        </w:rPr>
      </w:pPr>
      <w:r>
        <w:rPr>
          <w:rFonts w:ascii="Times New Roman" w:hAnsi="Times New Roman" w:cs="Times New Roman"/>
        </w:rPr>
        <w:t>E</w:t>
      </w:r>
      <w:r>
        <w:rPr>
          <w:rFonts w:ascii="Times New Roman" w:hAnsi="Times New Roman" w:eastAsia="宋体" w:cs="Times New Roman"/>
          <w:vertAlign w:val="subscript"/>
        </w:rPr>
        <w:t>燃烧</w:t>
      </w:r>
      <w:r>
        <w:rPr>
          <w:rFonts w:ascii="Times New Roman" w:hAnsi="Times New Roman" w:cs="Times New Roman"/>
        </w:rPr>
        <w:t xml:space="preserve">—— </w:t>
      </w:r>
      <w:r>
        <w:rPr>
          <w:rFonts w:ascii="Times New Roman" w:hAnsi="Times New Roman" w:eastAsia="宋体" w:cs="Times New Roman"/>
        </w:rPr>
        <w:t>核算期内核算单元气体燃料燃烧产生的二氧化碳排放量，单位为吨二氧化碳当量</w:t>
      </w:r>
      <w:r>
        <w:rPr>
          <w:rFonts w:ascii="Times New Roman" w:hAnsi="Times New Roman" w:cs="Times New Roman"/>
        </w:rPr>
        <w:t>(tCO</w:t>
      </w:r>
      <w:r>
        <w:rPr>
          <w:rFonts w:ascii="Times New Roman" w:hAnsi="Times New Roman" w:cs="Times New Roman"/>
          <w:vertAlign w:val="subscript"/>
        </w:rPr>
        <w:t>2</w:t>
      </w:r>
      <w:r>
        <w:rPr>
          <w:rFonts w:ascii="Times New Roman" w:hAnsi="Times New Roman" w:cs="Times New Roman"/>
        </w:rPr>
        <w:t xml:space="preserve"> e)</w:t>
      </w:r>
      <w:r>
        <w:rPr>
          <w:rFonts w:ascii="Times New Roman" w:hAnsi="Times New Roman" w:eastAsia="宋体" w:cs="Times New Roman"/>
        </w:rPr>
        <w:t>；</w:t>
      </w:r>
    </w:p>
    <w:p w14:paraId="2EA1B883">
      <w:pPr>
        <w:pStyle w:val="626"/>
        <w:ind w:firstLine="480"/>
        <w:rPr>
          <w:rFonts w:ascii="Times New Roman" w:hAnsi="Times New Roman" w:cs="Times New Roman"/>
        </w:rPr>
      </w:pPr>
      <m:oMath>
        <m:r>
          <m:rPr/>
          <w:rPr>
            <w:rFonts w:ascii="Cambria Math" w:hAnsi="Cambria Math" w:cs="Times New Roman"/>
          </w:rPr>
          <m:t>A</m:t>
        </m:r>
        <m:sSub>
          <m:sSubPr>
            <m:ctrlPr>
              <w:rPr>
                <w:rFonts w:ascii="Cambria Math" w:hAnsi="Cambria Math" w:cs="Times New Roman"/>
                <w:i/>
              </w:rPr>
            </m:ctrlPr>
          </m:sSubPr>
          <m:e>
            <m:r>
              <m:rPr/>
              <w:rPr>
                <w:rFonts w:ascii="Cambria Math" w:hAnsi="Cambria Math" w:cs="Times New Roman"/>
              </w:rPr>
              <m:t>D</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ascii="Times New Roman" w:hAnsi="Times New Roman" w:cs="Times New Roman"/>
        </w:rPr>
        <w:t>——</w:t>
      </w:r>
      <w:r>
        <w:rPr>
          <w:rFonts w:ascii="Times New Roman" w:hAnsi="Times New Roman" w:eastAsia="宋体" w:cs="Times New Roman"/>
        </w:rPr>
        <w:t>核算期内第</w:t>
      </w:r>
      <w:r>
        <w:rPr>
          <w:rFonts w:ascii="Times New Roman" w:hAnsi="Times New Roman" w:cs="Times New Roman"/>
        </w:rPr>
        <w:t>j</w:t>
      </w:r>
      <w:r>
        <w:rPr>
          <w:rFonts w:ascii="Times New Roman" w:hAnsi="Times New Roman" w:eastAsia="宋体" w:cs="Times New Roman"/>
        </w:rPr>
        <w:t>种化石燃料用作燃料燃烧的消费量，对气体燃料，单位为万标立方米</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eastAsia="宋体" w:cs="Times New Roman"/>
        </w:rPr>
        <w:t>；</w:t>
      </w:r>
    </w:p>
    <w:p w14:paraId="0D3051EF">
      <w:pPr>
        <w:pStyle w:val="626"/>
        <w:ind w:firstLine="480"/>
        <w:rPr>
          <w:rFonts w:ascii="Times New Roman" w:hAnsi="Times New Roman" w:cs="Times New Roman"/>
        </w:rPr>
      </w:pPr>
      <m:oMath>
        <m:r>
          <m:rPr/>
          <w:rPr>
            <w:rFonts w:ascii="Cambria Math" w:hAnsi="Cambria Math" w:cs="Times New Roman"/>
          </w:rPr>
          <m:t>C</m:t>
        </m:r>
        <m:sSub>
          <m:sSubPr>
            <m:ctrlPr>
              <w:rPr>
                <w:rFonts w:ascii="Cambria Math" w:hAnsi="Cambria Math" w:cs="Times New Roman"/>
                <w:i/>
              </w:rPr>
            </m:ctrlPr>
          </m:sSubPr>
          <m:e>
            <m:r>
              <m:rPr/>
              <w:rPr>
                <w:rFonts w:ascii="Cambria Math" w:hAnsi="Cambria Math" w:cs="Times New Roman"/>
              </w:rPr>
              <m:t>C</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ascii="Times New Roman" w:hAnsi="Times New Roman" w:cs="Times New Roman"/>
        </w:rPr>
        <w:t>——</w:t>
      </w:r>
      <w:r>
        <w:rPr>
          <w:rFonts w:ascii="Times New Roman" w:hAnsi="Times New Roman" w:eastAsia="宋体" w:cs="Times New Roman"/>
        </w:rPr>
        <w:t>核算期内第</w:t>
      </w:r>
      <w:r>
        <w:rPr>
          <w:rFonts w:ascii="Times New Roman" w:hAnsi="Times New Roman" w:cs="Times New Roman"/>
        </w:rPr>
        <w:t>j</w:t>
      </w:r>
      <w:r>
        <w:rPr>
          <w:rFonts w:ascii="Times New Roman" w:hAnsi="Times New Roman" w:eastAsia="宋体" w:cs="Times New Roman"/>
        </w:rPr>
        <w:t>种化石燃料的含碳量，对气体燃料，单位为吨碳每万标立方米</w:t>
      </w:r>
      <w:r>
        <w:rPr>
          <w:rFonts w:ascii="Times New Roman" w:hAnsi="Times New Roman" w:cs="Times New Roman"/>
        </w:rPr>
        <w:t>(tC/10</w:t>
      </w:r>
      <w:r>
        <w:rPr>
          <w:rFonts w:ascii="Times New Roman" w:hAnsi="Times New Roman" w:cs="Times New Roman"/>
          <w:vertAlign w:val="superscript"/>
        </w:rPr>
        <w:t>4</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eastAsia="宋体" w:cs="Times New Roman"/>
        </w:rPr>
        <w:t>，本项目为</w:t>
      </w:r>
      <w:r>
        <w:rPr>
          <w:rFonts w:ascii="Times New Roman" w:hAnsi="Times New Roman" w:cs="Times New Roman" w:eastAsiaTheme="minorEastAsia"/>
        </w:rPr>
        <w:t>1.</w:t>
      </w:r>
      <w:r>
        <w:rPr>
          <w:rFonts w:hint="eastAsia" w:ascii="Times New Roman" w:hAnsi="Times New Roman" w:cs="Times New Roman" w:eastAsiaTheme="minorEastAsia"/>
        </w:rPr>
        <w:t>37</w:t>
      </w:r>
      <w:r>
        <w:rPr>
          <w:rFonts w:ascii="Times New Roman" w:hAnsi="Times New Roman" w:eastAsia="宋体" w:cs="Times New Roman"/>
        </w:rPr>
        <w:t>；</w:t>
      </w:r>
    </w:p>
    <w:p w14:paraId="11C3F739">
      <w:pPr>
        <w:pStyle w:val="626"/>
        <w:ind w:firstLine="480"/>
        <w:rPr>
          <w:rFonts w:ascii="Times New Roman" w:hAnsi="Times New Roman" w:cs="Times New Roman"/>
        </w:rPr>
      </w:pPr>
      <m:oMath>
        <m:r>
          <m:rPr/>
          <w:rPr>
            <w:rFonts w:ascii="Cambria Math" w:hAnsi="Cambria Math" w:cs="Times New Roman"/>
          </w:rPr>
          <m:t>O</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w:rPr>
                <w:rFonts w:ascii="Cambria Math" w:hAnsi="Cambria Math" w:cs="Times New Roman"/>
              </w:rPr>
              <m:t>j</m:t>
            </m:r>
            <m:ctrlPr>
              <w:rPr>
                <w:rFonts w:ascii="Cambria Math" w:hAnsi="Cambria Math" w:cs="Times New Roman"/>
                <w:i/>
              </w:rPr>
            </m:ctrlPr>
          </m:sub>
        </m:sSub>
      </m:oMath>
      <w:r>
        <w:rPr>
          <w:rFonts w:ascii="Times New Roman" w:hAnsi="Times New Roman" w:cs="Times New Roman"/>
        </w:rPr>
        <w:t>——</w:t>
      </w:r>
      <w:r>
        <w:rPr>
          <w:rFonts w:ascii="Times New Roman" w:hAnsi="Times New Roman" w:eastAsia="宋体" w:cs="Times New Roman"/>
        </w:rPr>
        <w:t>核算期内第</w:t>
      </w:r>
      <w:r>
        <w:rPr>
          <w:rFonts w:ascii="Times New Roman" w:hAnsi="Times New Roman" w:cs="Times New Roman"/>
        </w:rPr>
        <w:t>j</w:t>
      </w:r>
      <w:r>
        <w:rPr>
          <w:rFonts w:ascii="Times New Roman" w:hAnsi="Times New Roman" w:eastAsia="宋体" w:cs="Times New Roman"/>
        </w:rPr>
        <w:t>种化石燃料的碳氧化率，本项目取</w:t>
      </w:r>
      <w:r>
        <w:rPr>
          <w:rFonts w:ascii="Times New Roman" w:hAnsi="Times New Roman" w:cs="Times New Roman"/>
        </w:rPr>
        <w:t>99%</w:t>
      </w:r>
      <w:r>
        <w:rPr>
          <w:rFonts w:ascii="Times New Roman" w:hAnsi="Times New Roman" w:eastAsia="宋体" w:cs="Times New Roman"/>
        </w:rPr>
        <w:t>；</w:t>
      </w:r>
    </w:p>
    <w:p w14:paraId="25EFFE6E">
      <w:pPr>
        <w:pStyle w:val="626"/>
        <w:ind w:firstLine="480"/>
        <w:rPr>
          <w:rFonts w:ascii="Times New Roman" w:hAnsi="Times New Roman" w:cs="Times New Roman"/>
        </w:rPr>
      </w:pPr>
      <m:oMath>
        <m:r>
          <m:rPr/>
          <w:rPr>
            <w:rFonts w:ascii="Cambria Math" w:hAnsi="Cambria Math" w:cs="Times New Roman"/>
          </w:rPr>
          <m:t>GW</m:t>
        </m:r>
        <m:sSub>
          <m:sSubPr>
            <m:ctrlPr>
              <w:rPr>
                <w:rFonts w:ascii="Cambria Math" w:hAnsi="Cambria Math" w:cs="Times New Roman"/>
                <w:i/>
              </w:rPr>
            </m:ctrlPr>
          </m:sSubPr>
          <m:e>
            <m:r>
              <m:rPr/>
              <w:rPr>
                <w:rFonts w:ascii="Cambria Math" w:hAnsi="Cambria Math" w:cs="Times New Roman"/>
              </w:rPr>
              <m:t>P</m:t>
            </m:r>
            <m:ctrlPr>
              <w:rPr>
                <w:rFonts w:ascii="Cambria Math" w:hAnsi="Cambria Math" w:cs="Times New Roman"/>
                <w:i/>
              </w:rPr>
            </m:ctrlPr>
          </m:e>
          <m:sub>
            <m:r>
              <m:rPr/>
              <w:rPr>
                <w:rFonts w:ascii="Cambria Math" w:hAnsi="Cambria Math" w:cs="Times New Roman"/>
              </w:rPr>
              <m:t>C</m:t>
            </m:r>
            <m:sSub>
              <m:sSubPr>
                <m:ctrlPr>
                  <w:rPr>
                    <w:rFonts w:ascii="Cambria Math" w:hAnsi="Cambria Math" w:cs="Times New Roman"/>
                    <w:i/>
                  </w:rPr>
                </m:ctrlPr>
              </m:sSubPr>
              <m:e>
                <m:r>
                  <m:rPr/>
                  <w:rPr>
                    <w:rFonts w:ascii="Cambria Math" w:hAnsi="Cambria Math" w:cs="Times New Roman"/>
                  </w:rPr>
                  <m:t>O</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sub>
        </m:sSub>
      </m:oMath>
      <w:r>
        <w:rPr>
          <w:rFonts w:ascii="Times New Roman" w:hAnsi="Times New Roman" w:cs="Times New Roman"/>
        </w:rPr>
        <w:t>——</w:t>
      </w:r>
      <w:r>
        <w:rPr>
          <w:rFonts w:ascii="Times New Roman" w:hAnsi="Times New Roman" w:eastAsia="宋体" w:cs="Times New Roman"/>
        </w:rPr>
        <w:t>二氧化碳的全球变暖潜势，取值为</w:t>
      </w:r>
      <w:r>
        <w:rPr>
          <w:rFonts w:ascii="Times New Roman" w:hAnsi="Times New Roman" w:cs="Times New Roman"/>
        </w:rPr>
        <w:t>1</w:t>
      </w:r>
      <w:r>
        <w:rPr>
          <w:rFonts w:ascii="Times New Roman" w:hAnsi="Times New Roman" w:eastAsia="宋体" w:cs="Times New Roman"/>
        </w:rPr>
        <w:t>；</w:t>
      </w:r>
    </w:p>
    <w:p w14:paraId="030088B3">
      <w:pPr>
        <w:pStyle w:val="626"/>
        <w:ind w:firstLine="480"/>
        <w:rPr>
          <w:rFonts w:ascii="Times New Roman" w:hAnsi="Times New Roman" w:eastAsia="宋体" w:cs="Times New Roman"/>
          <w:lang w:val="en-GB"/>
        </w:rPr>
      </w:pPr>
      <w:r>
        <w:rPr>
          <w:rFonts w:ascii="Times New Roman" w:hAnsi="Times New Roman" w:eastAsia="宋体" w:cs="Times New Roman"/>
          <w:lang w:val="en-GB"/>
        </w:rPr>
        <w:t>根据上式计算，本项目燃料气燃烧二氧化碳排放量为</w:t>
      </w:r>
      <w:bookmarkStart w:id="252" w:name="_Hlk91071512"/>
      <w:r>
        <w:rPr>
          <w:rFonts w:hint="eastAsia" w:ascii="Times New Roman" w:hAnsi="Times New Roman" w:eastAsia="宋体" w:cs="Times New Roman"/>
        </w:rPr>
        <w:t>110083.5</w:t>
      </w:r>
      <w:r>
        <w:rPr>
          <w:rFonts w:ascii="Times New Roman" w:hAnsi="Times New Roman" w:eastAsia="宋体" w:cs="Times New Roman"/>
          <w:lang w:val="en-GB"/>
        </w:rPr>
        <w:t>t/a。</w:t>
      </w:r>
      <w:bookmarkEnd w:id="252"/>
    </w:p>
    <w:p w14:paraId="4688DA1F">
      <w:pPr>
        <w:spacing w:line="360" w:lineRule="auto"/>
        <w:ind w:firstLine="480" w:firstLineChars="200"/>
        <w:rPr>
          <w:rFonts w:ascii="Times New Roman" w:hAnsi="Times New Roman" w:cs="Times New Roman"/>
        </w:rPr>
      </w:pPr>
      <w:r>
        <w:rPr>
          <w:rFonts w:ascii="Times New Roman" w:hAnsi="Times New Roman" w:cs="Times New Roman"/>
        </w:rPr>
        <w:t>（2）工业生产过程CO</w:t>
      </w:r>
      <w:r>
        <w:rPr>
          <w:rFonts w:ascii="Times New Roman" w:hAnsi="Times New Roman" w:cs="Times New Roman"/>
          <w:vertAlign w:val="subscript"/>
        </w:rPr>
        <w:t>2</w:t>
      </w:r>
      <w:r>
        <w:rPr>
          <w:rFonts w:ascii="Times New Roman" w:hAnsi="Times New Roman" w:cs="Times New Roman"/>
        </w:rPr>
        <w:t>排放</w:t>
      </w:r>
    </w:p>
    <w:p w14:paraId="0B24BFB8">
      <w:pPr>
        <w:spacing w:line="360" w:lineRule="auto"/>
        <w:ind w:firstLine="480" w:firstLineChars="200"/>
        <w:rPr>
          <w:rFonts w:hint="eastAsia"/>
        </w:rPr>
      </w:pPr>
      <w:r>
        <w:rPr>
          <w:rFonts w:ascii="Times New Roman" w:hAnsi="Times New Roman" w:cs="Times New Roman"/>
        </w:rPr>
        <w:t>工业生产过程外排废气含碳量见下表。</w:t>
      </w:r>
    </w:p>
    <w:p w14:paraId="1BDBA1E7">
      <w:pPr>
        <w:pStyle w:val="628"/>
        <w:rPr>
          <w:rFonts w:hint="eastAsia"/>
        </w:rPr>
      </w:pPr>
      <w:r>
        <w:t>表3.</w:t>
      </w:r>
      <w:r>
        <w:rPr>
          <w:rFonts w:hint="eastAsia"/>
        </w:rPr>
        <w:t>9</w:t>
      </w:r>
      <w:r>
        <w:t>.1</w:t>
      </w:r>
      <w:r>
        <w:rPr>
          <w:rFonts w:hint="eastAsia"/>
        </w:rPr>
        <w:t>-</w:t>
      </w:r>
      <w:r>
        <w:t>1    工业生产过程</w:t>
      </w:r>
      <w:r>
        <w:rPr>
          <w:rFonts w:hint="eastAsia"/>
        </w:rPr>
        <w:t>外排废气</w:t>
      </w:r>
      <w:r>
        <w:t>含碳量</w:t>
      </w:r>
    </w:p>
    <w:tbl>
      <w:tblPr>
        <w:tblStyle w:val="6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8"/>
        <w:gridCol w:w="3291"/>
        <w:gridCol w:w="2966"/>
      </w:tblGrid>
      <w:tr w14:paraId="1DD2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6" w:type="pct"/>
            <w:gridSpan w:val="2"/>
            <w:noWrap/>
            <w:vAlign w:val="center"/>
          </w:tcPr>
          <w:p w14:paraId="53DEED43">
            <w:pPr>
              <w:pStyle w:val="190"/>
              <w:rPr>
                <w:rFonts w:ascii="Times New Roman" w:hAnsi="Times New Roman" w:cs="Times New Roman"/>
                <w:kern w:val="2"/>
                <w:szCs w:val="22"/>
              </w:rPr>
            </w:pPr>
            <w:bookmarkStart w:id="253" w:name="_Hlk150614452"/>
            <w:r>
              <w:rPr>
                <w:rFonts w:ascii="Times New Roman" w:hAnsi="Times New Roman" w:cs="Times New Roman"/>
                <w:kern w:val="2"/>
                <w:szCs w:val="22"/>
              </w:rPr>
              <w:t>名称</w:t>
            </w:r>
          </w:p>
        </w:tc>
        <w:tc>
          <w:tcPr>
            <w:tcW w:w="1743" w:type="pct"/>
            <w:noWrap/>
            <w:vAlign w:val="center"/>
          </w:tcPr>
          <w:p w14:paraId="2A411515">
            <w:pPr>
              <w:pStyle w:val="190"/>
              <w:rPr>
                <w:rFonts w:ascii="Times New Roman" w:hAnsi="Times New Roman" w:cs="Times New Roman"/>
                <w:kern w:val="2"/>
                <w:szCs w:val="22"/>
              </w:rPr>
            </w:pPr>
            <w:r>
              <w:rPr>
                <w:rFonts w:ascii="Times New Roman" w:hAnsi="Times New Roman" w:cs="Times New Roman"/>
                <w:kern w:val="2"/>
                <w:szCs w:val="22"/>
              </w:rPr>
              <w:t>含碳量（kg/h）</w:t>
            </w:r>
          </w:p>
        </w:tc>
      </w:tr>
      <w:tr w14:paraId="3025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noWrap/>
            <w:vAlign w:val="center"/>
          </w:tcPr>
          <w:p w14:paraId="32D63F1D">
            <w:pPr>
              <w:pStyle w:val="190"/>
              <w:rPr>
                <w:rFonts w:ascii="Times New Roman" w:hAnsi="Times New Roman" w:cs="Times New Roman"/>
                <w:kern w:val="2"/>
                <w:szCs w:val="22"/>
              </w:rPr>
            </w:pPr>
            <w:r>
              <w:rPr>
                <w:rFonts w:ascii="Times New Roman" w:hAnsi="Times New Roman" w:cs="Times New Roman"/>
                <w:kern w:val="2"/>
                <w:szCs w:val="22"/>
              </w:rPr>
              <w:t>煤气化装置</w:t>
            </w:r>
          </w:p>
        </w:tc>
        <w:tc>
          <w:tcPr>
            <w:tcW w:w="1933" w:type="pct"/>
            <w:vAlign w:val="center"/>
          </w:tcPr>
          <w:p w14:paraId="60400E2E">
            <w:pPr>
              <w:pStyle w:val="190"/>
              <w:rPr>
                <w:rFonts w:ascii="Times New Roman" w:hAnsi="Times New Roman" w:cs="Times New Roman"/>
                <w:kern w:val="2"/>
                <w:szCs w:val="22"/>
              </w:rPr>
            </w:pPr>
            <w:r>
              <w:rPr>
                <w:rFonts w:ascii="Times New Roman" w:hAnsi="Times New Roman" w:cs="Times New Roman"/>
                <w:u w:color="000000"/>
              </w:rPr>
              <w:t>闪蒸不凝气</w:t>
            </w:r>
          </w:p>
        </w:tc>
        <w:tc>
          <w:tcPr>
            <w:tcW w:w="1743" w:type="pct"/>
            <w:noWrap/>
            <w:vAlign w:val="center"/>
          </w:tcPr>
          <w:p w14:paraId="146CE1F7">
            <w:pPr>
              <w:pStyle w:val="557"/>
              <w:rPr>
                <w:color w:val="auto"/>
                <w:szCs w:val="22"/>
              </w:rPr>
            </w:pPr>
            <w:r>
              <w:rPr>
                <w:rFonts w:hint="eastAsia"/>
                <w:color w:val="auto"/>
              </w:rPr>
              <w:t>15.57</w:t>
            </w:r>
          </w:p>
        </w:tc>
      </w:tr>
      <w:tr w14:paraId="168B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vMerge w:val="restart"/>
            <w:noWrap/>
            <w:vAlign w:val="center"/>
          </w:tcPr>
          <w:p w14:paraId="29A29303">
            <w:pPr>
              <w:pStyle w:val="190"/>
              <w:rPr>
                <w:rFonts w:ascii="Times New Roman" w:hAnsi="Times New Roman" w:cs="Times New Roman"/>
              </w:rPr>
            </w:pPr>
            <w:r>
              <w:rPr>
                <w:rFonts w:ascii="Times New Roman" w:hAnsi="Times New Roman" w:cs="Times New Roman"/>
              </w:rPr>
              <w:t>净化及分离装置</w:t>
            </w:r>
          </w:p>
        </w:tc>
        <w:tc>
          <w:tcPr>
            <w:tcW w:w="1933" w:type="pct"/>
            <w:vAlign w:val="center"/>
          </w:tcPr>
          <w:p w14:paraId="5CEE9EA6">
            <w:pPr>
              <w:pStyle w:val="190"/>
              <w:rPr>
                <w:rFonts w:ascii="Times New Roman" w:hAnsi="Times New Roman" w:cs="Times New Roman"/>
              </w:rPr>
            </w:pPr>
            <w:r>
              <w:rPr>
                <w:rFonts w:ascii="Times New Roman" w:hAnsi="Times New Roman" w:cs="Times New Roman"/>
              </w:rPr>
              <w:t>汽提尾气</w:t>
            </w:r>
          </w:p>
        </w:tc>
        <w:tc>
          <w:tcPr>
            <w:tcW w:w="1743" w:type="pct"/>
            <w:noWrap/>
            <w:vAlign w:val="center"/>
          </w:tcPr>
          <w:p w14:paraId="494927DC">
            <w:pPr>
              <w:pStyle w:val="557"/>
              <w:rPr>
                <w:color w:val="auto"/>
              </w:rPr>
            </w:pPr>
            <w:r>
              <w:rPr>
                <w:rFonts w:hint="eastAsia"/>
                <w:color w:val="auto"/>
              </w:rPr>
              <w:t>170.05</w:t>
            </w:r>
          </w:p>
        </w:tc>
      </w:tr>
      <w:tr w14:paraId="48F7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vMerge w:val="continue"/>
            <w:noWrap/>
            <w:vAlign w:val="center"/>
          </w:tcPr>
          <w:p w14:paraId="6FE9B5A9">
            <w:pPr>
              <w:pStyle w:val="190"/>
              <w:rPr>
                <w:rFonts w:ascii="Times New Roman" w:hAnsi="Times New Roman" w:cs="Times New Roman"/>
              </w:rPr>
            </w:pPr>
          </w:p>
        </w:tc>
        <w:tc>
          <w:tcPr>
            <w:tcW w:w="1933" w:type="pct"/>
            <w:vAlign w:val="center"/>
          </w:tcPr>
          <w:p w14:paraId="73EB0934">
            <w:pPr>
              <w:pStyle w:val="190"/>
              <w:rPr>
                <w:rFonts w:ascii="Times New Roman" w:hAnsi="Times New Roman" w:cs="Times New Roman"/>
              </w:rPr>
            </w:pPr>
            <w:r>
              <w:rPr>
                <w:rFonts w:ascii="Times New Roman" w:hAnsi="Times New Roman" w:cs="Times New Roman"/>
              </w:rPr>
              <w:t>低温甲醇洗尾气</w:t>
            </w:r>
          </w:p>
        </w:tc>
        <w:tc>
          <w:tcPr>
            <w:tcW w:w="1743" w:type="pct"/>
            <w:noWrap/>
            <w:vAlign w:val="center"/>
          </w:tcPr>
          <w:p w14:paraId="1ACD16FD">
            <w:pPr>
              <w:jc w:val="center"/>
              <w:rPr>
                <w:rFonts w:ascii="Times New Roman" w:hAnsi="Times New Roman" w:cs="Times New Roman"/>
              </w:rPr>
            </w:pPr>
            <w:r>
              <w:rPr>
                <w:rFonts w:hint="eastAsia" w:ascii="Times New Roman" w:hAnsi="Times New Roman" w:eastAsia="等线" w:cs="Times New Roman"/>
                <w:sz w:val="18"/>
                <w:szCs w:val="18"/>
              </w:rPr>
              <w:t>483.09</w:t>
            </w:r>
          </w:p>
        </w:tc>
      </w:tr>
      <w:tr w14:paraId="58B6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vMerge w:val="continue"/>
            <w:noWrap/>
            <w:vAlign w:val="center"/>
          </w:tcPr>
          <w:p w14:paraId="60F0D587">
            <w:pPr>
              <w:pStyle w:val="190"/>
              <w:rPr>
                <w:rFonts w:ascii="Times New Roman" w:hAnsi="Times New Roman" w:cs="Times New Roman"/>
              </w:rPr>
            </w:pPr>
          </w:p>
        </w:tc>
        <w:tc>
          <w:tcPr>
            <w:tcW w:w="1933" w:type="pct"/>
            <w:vAlign w:val="center"/>
          </w:tcPr>
          <w:p w14:paraId="123C889E">
            <w:pPr>
              <w:pStyle w:val="557"/>
              <w:rPr>
                <w:color w:val="auto"/>
              </w:rPr>
            </w:pPr>
            <w:r>
              <w:rPr>
                <w:color w:val="auto"/>
              </w:rPr>
              <w:t>硫回收尾气</w:t>
            </w:r>
          </w:p>
        </w:tc>
        <w:tc>
          <w:tcPr>
            <w:tcW w:w="1743" w:type="pct"/>
            <w:noWrap/>
            <w:vAlign w:val="center"/>
          </w:tcPr>
          <w:p w14:paraId="3751D071">
            <w:pPr>
              <w:pStyle w:val="557"/>
              <w:rPr>
                <w:color w:val="auto"/>
              </w:rPr>
            </w:pPr>
            <w:r>
              <w:rPr>
                <w:rFonts w:hint="eastAsia"/>
                <w:color w:val="auto"/>
              </w:rPr>
              <w:t>450.48</w:t>
            </w:r>
          </w:p>
        </w:tc>
      </w:tr>
      <w:tr w14:paraId="1C2F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noWrap/>
            <w:vAlign w:val="center"/>
          </w:tcPr>
          <w:p w14:paraId="67406BB4">
            <w:pPr>
              <w:pStyle w:val="190"/>
              <w:rPr>
                <w:rFonts w:ascii="Times New Roman" w:hAnsi="Times New Roman" w:cs="Times New Roman"/>
              </w:rPr>
            </w:pPr>
            <w:r>
              <w:rPr>
                <w:rFonts w:ascii="Times New Roman" w:hAnsi="Times New Roman" w:cs="Times New Roman"/>
              </w:rPr>
              <w:t>DMO装置</w:t>
            </w:r>
          </w:p>
        </w:tc>
        <w:tc>
          <w:tcPr>
            <w:tcW w:w="1933" w:type="pct"/>
            <w:vAlign w:val="center"/>
          </w:tcPr>
          <w:p w14:paraId="2D70CC75">
            <w:pPr>
              <w:pStyle w:val="190"/>
              <w:rPr>
                <w:rFonts w:ascii="Times New Roman" w:hAnsi="Times New Roman" w:cs="Times New Roman"/>
              </w:rPr>
            </w:pPr>
            <w:r>
              <w:rPr>
                <w:rFonts w:ascii="Times New Roman" w:hAnsi="Times New Roman" w:cs="Times New Roman"/>
              </w:rPr>
              <w:t>排放尾气</w:t>
            </w:r>
          </w:p>
        </w:tc>
        <w:tc>
          <w:tcPr>
            <w:tcW w:w="1743" w:type="pct"/>
            <w:noWrap/>
            <w:vAlign w:val="center"/>
          </w:tcPr>
          <w:p w14:paraId="5B6065D7">
            <w:pPr>
              <w:pStyle w:val="190"/>
              <w:rPr>
                <w:rFonts w:ascii="Times New Roman" w:hAnsi="Times New Roman" w:cs="Times New Roman"/>
                <w:szCs w:val="18"/>
              </w:rPr>
            </w:pPr>
            <w:r>
              <w:rPr>
                <w:rFonts w:ascii="Times New Roman" w:hAnsi="Times New Roman" w:eastAsia="等线" w:cs="Times New Roman"/>
                <w:szCs w:val="18"/>
              </w:rPr>
              <w:t>664.6</w:t>
            </w:r>
          </w:p>
        </w:tc>
      </w:tr>
      <w:tr w14:paraId="0FAC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noWrap/>
            <w:vAlign w:val="center"/>
          </w:tcPr>
          <w:p w14:paraId="719575B8">
            <w:pPr>
              <w:pStyle w:val="190"/>
              <w:rPr>
                <w:rFonts w:ascii="Times New Roman" w:hAnsi="Times New Roman" w:cs="Times New Roman"/>
              </w:rPr>
            </w:pPr>
            <w:r>
              <w:rPr>
                <w:rFonts w:ascii="Times New Roman" w:hAnsi="Times New Roman" w:cs="Times New Roman"/>
              </w:rPr>
              <w:t>草酰胺装置</w:t>
            </w:r>
          </w:p>
        </w:tc>
        <w:tc>
          <w:tcPr>
            <w:tcW w:w="1933" w:type="pct"/>
            <w:vAlign w:val="center"/>
          </w:tcPr>
          <w:p w14:paraId="0DD20105">
            <w:pPr>
              <w:pStyle w:val="190"/>
              <w:rPr>
                <w:rFonts w:ascii="Times New Roman" w:hAnsi="Times New Roman" w:cs="Times New Roman"/>
              </w:rPr>
            </w:pPr>
            <w:r>
              <w:rPr>
                <w:rFonts w:ascii="Times New Roman" w:hAnsi="Times New Roman" w:cs="Times New Roman"/>
              </w:rPr>
              <w:t>排放尾气</w:t>
            </w:r>
          </w:p>
        </w:tc>
        <w:tc>
          <w:tcPr>
            <w:tcW w:w="1743" w:type="pct"/>
            <w:noWrap/>
            <w:vAlign w:val="center"/>
          </w:tcPr>
          <w:p w14:paraId="4C7DC2F4">
            <w:pPr>
              <w:jc w:val="center"/>
              <w:rPr>
                <w:rFonts w:ascii="Times New Roman" w:hAnsi="Times New Roman" w:eastAsia="等线" w:cs="Times New Roman"/>
              </w:rPr>
            </w:pPr>
            <w:r>
              <w:rPr>
                <w:rFonts w:ascii="Times New Roman" w:hAnsi="Times New Roman" w:eastAsia="等线" w:cs="Times New Roman"/>
                <w:sz w:val="18"/>
                <w:szCs w:val="18"/>
              </w:rPr>
              <w:t>22.68</w:t>
            </w:r>
          </w:p>
        </w:tc>
      </w:tr>
      <w:tr w14:paraId="59B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2" w:type="pct"/>
            <w:noWrap/>
            <w:vAlign w:val="center"/>
          </w:tcPr>
          <w:p w14:paraId="7963D638">
            <w:pPr>
              <w:pStyle w:val="190"/>
              <w:rPr>
                <w:rFonts w:ascii="Times New Roman" w:hAnsi="Times New Roman" w:cs="Times New Roman"/>
              </w:rPr>
            </w:pPr>
            <w:r>
              <w:rPr>
                <w:rFonts w:ascii="Times New Roman" w:hAnsi="Times New Roman" w:cs="Times New Roman"/>
              </w:rPr>
              <w:t>有机缓释肥装置</w:t>
            </w:r>
          </w:p>
        </w:tc>
        <w:tc>
          <w:tcPr>
            <w:tcW w:w="1933" w:type="pct"/>
            <w:vAlign w:val="center"/>
          </w:tcPr>
          <w:p w14:paraId="061E20FA">
            <w:pPr>
              <w:pStyle w:val="190"/>
              <w:rPr>
                <w:rFonts w:ascii="Times New Roman" w:hAnsi="Times New Roman" w:cs="Times New Roman"/>
              </w:rPr>
            </w:pPr>
            <w:r>
              <w:rPr>
                <w:rFonts w:ascii="Times New Roman" w:hAnsi="Times New Roman" w:cs="Times New Roman"/>
              </w:rPr>
              <w:t>排放尾气</w:t>
            </w:r>
          </w:p>
        </w:tc>
        <w:tc>
          <w:tcPr>
            <w:tcW w:w="1743" w:type="pct"/>
            <w:noWrap/>
            <w:vAlign w:val="center"/>
          </w:tcPr>
          <w:p w14:paraId="4CE3C965">
            <w:pPr>
              <w:jc w:val="center"/>
              <w:rPr>
                <w:rFonts w:ascii="Times New Roman" w:hAnsi="Times New Roman" w:eastAsia="等线" w:cs="Times New Roman"/>
              </w:rPr>
            </w:pPr>
            <w:r>
              <w:rPr>
                <w:rFonts w:ascii="Times New Roman" w:hAnsi="Times New Roman" w:eastAsia="等线" w:cs="Times New Roman"/>
                <w:sz w:val="18"/>
                <w:szCs w:val="18"/>
              </w:rPr>
              <w:t>19.63</w:t>
            </w:r>
          </w:p>
        </w:tc>
      </w:tr>
      <w:tr w14:paraId="4CA6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6" w:type="pct"/>
            <w:gridSpan w:val="2"/>
            <w:noWrap/>
            <w:vAlign w:val="center"/>
          </w:tcPr>
          <w:p w14:paraId="206F87DC">
            <w:pPr>
              <w:pStyle w:val="557"/>
              <w:rPr>
                <w:color w:val="auto"/>
              </w:rPr>
            </w:pPr>
            <w:r>
              <w:rPr>
                <w:color w:val="auto"/>
              </w:rPr>
              <w:t>合计</w:t>
            </w:r>
          </w:p>
        </w:tc>
        <w:tc>
          <w:tcPr>
            <w:tcW w:w="1743" w:type="pct"/>
            <w:noWrap/>
            <w:vAlign w:val="center"/>
          </w:tcPr>
          <w:p w14:paraId="71BBCCA6">
            <w:pPr>
              <w:pStyle w:val="190"/>
              <w:rPr>
                <w:rFonts w:ascii="Times New Roman" w:hAnsi="Times New Roman" w:cs="Times New Roman"/>
              </w:rPr>
            </w:pPr>
            <w:r>
              <w:rPr>
                <w:rFonts w:hint="eastAsia" w:ascii="Times New Roman" w:hAnsi="Times New Roman" w:cs="Times New Roman"/>
              </w:rPr>
              <w:t>1826.1</w:t>
            </w:r>
          </w:p>
        </w:tc>
      </w:tr>
    </w:tbl>
    <w:p w14:paraId="3BAAEA90">
      <w:pPr>
        <w:pStyle w:val="281"/>
        <w:ind w:firstLine="480"/>
      </w:pPr>
      <w:r>
        <w:rPr>
          <w:rFonts w:hint="eastAsia"/>
        </w:rPr>
        <w:t>根据上表的统计结果，全厂工业生产过程外排废气碳总量为1826.1</w:t>
      </w:r>
      <w:r>
        <w:t>kg/h</w:t>
      </w:r>
      <w:r>
        <w:rPr>
          <w:rFonts w:hint="eastAsia"/>
        </w:rPr>
        <w:t>、14608.8t</w:t>
      </w:r>
      <w:r>
        <w:t>/a</w:t>
      </w:r>
      <w:r>
        <w:rPr>
          <w:rFonts w:hint="eastAsia"/>
        </w:rPr>
        <w:t>，按照9</w:t>
      </w:r>
      <w:r>
        <w:t>8</w:t>
      </w:r>
      <w:r>
        <w:rPr>
          <w:rFonts w:hint="eastAsia"/>
        </w:rPr>
        <w:t>%的转化率，折合二氧化碳排放量为14316.62</w:t>
      </w:r>
      <w:r>
        <w:t>t/a</w:t>
      </w:r>
      <w:r>
        <w:rPr>
          <w:rFonts w:hint="eastAsia"/>
        </w:rPr>
        <w:t>。</w:t>
      </w:r>
    </w:p>
    <w:bookmarkEnd w:id="253"/>
    <w:p w14:paraId="26F567B0">
      <w:pPr>
        <w:pStyle w:val="281"/>
        <w:ind w:firstLine="480"/>
      </w:pPr>
      <w:bookmarkStart w:id="254" w:name="_Hlk177916362"/>
      <w:r>
        <w:rPr>
          <w:rFonts w:hint="eastAsia" w:ascii="宋体" w:hAnsi="宋体"/>
        </w:rPr>
        <w:t>（</w:t>
      </w:r>
      <w:r>
        <w:rPr>
          <w:rFonts w:hint="eastAsia"/>
        </w:rPr>
        <w:t>3</w:t>
      </w:r>
      <w:r>
        <w:rPr>
          <w:rFonts w:hint="eastAsia" w:ascii="宋体" w:hAnsi="宋体"/>
        </w:rPr>
        <w:t>）净购入电力隐含的</w:t>
      </w:r>
      <w:r>
        <w:t>CO</w:t>
      </w:r>
      <w:r>
        <w:rPr>
          <w:vertAlign w:val="subscript"/>
        </w:rPr>
        <w:t>2</w:t>
      </w:r>
      <w:r>
        <w:rPr>
          <w:rFonts w:hint="eastAsia" w:ascii="宋体" w:hAnsi="宋体"/>
        </w:rPr>
        <w:t>排放</w:t>
      </w:r>
    </w:p>
    <w:p w14:paraId="2F978874">
      <w:pPr>
        <w:spacing w:line="360" w:lineRule="auto"/>
        <w:ind w:firstLine="480" w:firstLineChars="200"/>
        <w:rPr>
          <w:rFonts w:hint="eastAsia"/>
        </w:rPr>
      </w:pPr>
      <w:r>
        <w:rPr>
          <w:rFonts w:hint="eastAsia"/>
        </w:rPr>
        <w:t>本项目电力由园区电网提供，购入电力的二氧化碳排放量按照以下公式计算</w:t>
      </w:r>
    </w:p>
    <w:p w14:paraId="635AA8D9">
      <w:pPr>
        <w:ind w:firstLine="480"/>
        <w:jc w:val="center"/>
        <w:rPr>
          <w:rFonts w:hint="eastAsia"/>
          <w:iCs/>
        </w:rPr>
      </w:pPr>
      <m:oMathPara>
        <m:oMath>
          <m:sSub>
            <m:sSubPr>
              <m:ctrlPr>
                <w:rPr>
                  <w:rFonts w:ascii="Cambria Math" w:hAnsi="Cambria Math"/>
                  <w:iCs/>
                </w:rPr>
              </m:ctrlPr>
            </m:sSubPr>
            <m:e>
              <m:r>
                <m:rPr>
                  <m:sty m:val="p"/>
                </m:rPr>
                <w:rPr>
                  <w:rFonts w:ascii="Cambria Math" w:hAnsi="Cambria Math"/>
                </w:rPr>
                <m:t>E</m:t>
              </m:r>
              <m:ctrlPr>
                <w:rPr>
                  <w:rFonts w:ascii="Cambria Math" w:hAnsi="Cambria Math"/>
                  <w:iCs/>
                </w:rPr>
              </m:ctrlPr>
            </m:e>
            <m:sub>
              <m:r>
                <m:rPr>
                  <m:sty m:val="p"/>
                </m:rPr>
                <w:rPr>
                  <w:rFonts w:hint="eastAsia" w:ascii="Cambria Math" w:hAnsi="Cambria Math"/>
                </w:rPr>
                <m:t>购入电力，i</m:t>
              </m:r>
              <m:r>
                <m:rPr>
                  <m:sty m:val="p"/>
                </m:rPr>
                <w:rPr>
                  <w:rFonts w:ascii="Cambria Math" w:hAnsi="Cambria Math"/>
                </w:rPr>
                <m:t>=</m:t>
              </m:r>
              <m:ctrlPr>
                <w:rPr>
                  <w:rFonts w:ascii="Cambria Math" w:hAnsi="Cambria Math"/>
                  <w:iCs/>
                </w:rPr>
              </m:ctrlPr>
            </m:sub>
          </m:sSub>
          <m:sSub>
            <m:sSubPr>
              <m:ctrlPr>
                <w:rPr>
                  <w:rFonts w:ascii="Cambria Math" w:hAnsi="Cambria Math"/>
                  <w:iCs/>
                </w:rPr>
              </m:ctrlPr>
            </m:sSubPr>
            <m:e>
              <m:r>
                <m:rPr>
                  <m:sty m:val="p"/>
                </m:rPr>
                <w:rPr>
                  <w:rFonts w:ascii="Cambria Math" w:hAnsi="Cambria Math"/>
                </w:rPr>
                <m:t>AD</m:t>
              </m:r>
              <m:ctrlPr>
                <w:rPr>
                  <w:rFonts w:ascii="Cambria Math" w:hAnsi="Cambria Math"/>
                  <w:iCs/>
                </w:rPr>
              </m:ctrlPr>
            </m:e>
            <m:sub>
              <m:r>
                <m:rPr>
                  <m:sty m:val="p"/>
                </m:rPr>
                <w:rPr>
                  <w:rFonts w:hint="eastAsia" w:ascii="Cambria Math" w:hAnsi="Cambria Math"/>
                </w:rPr>
                <m:t>购入电，i</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ctrlPr>
                <w:rPr>
                  <w:rFonts w:ascii="Cambria Math" w:hAnsi="Cambria Math"/>
                  <w:iCs/>
                </w:rPr>
              </m:ctrlPr>
            </m:e>
            <m:sub>
              <m:r>
                <m:rPr>
                  <m:sty m:val="p"/>
                </m:rPr>
                <w:rPr>
                  <w:rFonts w:hint="eastAsia" w:ascii="Cambria Math" w:hAnsi="Cambria Math"/>
                </w:rPr>
                <m:t>电</m:t>
              </m:r>
              <m:ctrlPr>
                <w:rPr>
                  <w:rFonts w:ascii="Cambria Math" w:hAnsi="Cambria Math"/>
                  <w:iCs/>
                </w:rPr>
              </m:ctrlPr>
            </m:sub>
          </m:sSub>
        </m:oMath>
      </m:oMathPara>
    </w:p>
    <w:p w14:paraId="280C7D73">
      <w:pPr>
        <w:spacing w:line="360" w:lineRule="auto"/>
        <w:ind w:firstLine="480" w:firstLineChars="200"/>
        <w:rPr>
          <w:rFonts w:hint="eastAsia"/>
        </w:rPr>
      </w:pPr>
      <w:r>
        <w:t>式中：</w:t>
      </w:r>
    </w:p>
    <w:p w14:paraId="02357ED8">
      <w:pPr>
        <w:spacing w:line="360" w:lineRule="auto"/>
        <w:ind w:firstLine="480" w:firstLineChars="200"/>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购入电力，i</w:t>
      </w:r>
      <w:r>
        <w:rPr>
          <w:rFonts w:ascii="Times New Roman" w:hAnsi="Times New Roman" w:cs="Times New Roman"/>
        </w:rPr>
        <w:t>——核算单元i购入电力所产生的二氧化碳排放量，单位为吨二氧化碳(tCO</w:t>
      </w:r>
      <w:r>
        <w:rPr>
          <w:rFonts w:ascii="Times New Roman" w:hAnsi="Times New Roman" w:cs="Times New Roman"/>
          <w:vertAlign w:val="subscript"/>
        </w:rPr>
        <w:t>2</w:t>
      </w:r>
      <w:r>
        <w:rPr>
          <w:rFonts w:ascii="Times New Roman" w:hAnsi="Times New Roman" w:cs="Times New Roman"/>
        </w:rPr>
        <w:t>)；</w:t>
      </w:r>
    </w:p>
    <w:p w14:paraId="594FE4AE">
      <w:pPr>
        <w:spacing w:line="360" w:lineRule="auto"/>
        <w:ind w:firstLine="480" w:firstLineChars="200"/>
        <w:rPr>
          <w:rFonts w:ascii="Times New Roman" w:hAnsi="Times New Roman" w:cs="Times New Roman"/>
        </w:rPr>
      </w:pPr>
      <w:r>
        <w:rPr>
          <w:rFonts w:ascii="Times New Roman" w:hAnsi="Times New Roman" w:cs="Times New Roman"/>
        </w:rPr>
        <w:t>AD</w:t>
      </w:r>
      <w:r>
        <w:rPr>
          <w:rFonts w:ascii="Times New Roman" w:hAnsi="Times New Roman" w:cs="Times New Roman"/>
          <w:vertAlign w:val="subscript"/>
        </w:rPr>
        <w:t>购入电，i</w:t>
      </w:r>
      <w:r>
        <w:rPr>
          <w:rFonts w:ascii="Times New Roman" w:hAnsi="Times New Roman" w:cs="Times New Roman"/>
        </w:rPr>
        <w:t>—— 核算期内核算单元i购入电力，单位为兆瓦时(MWh)，项目总用电量约为</w:t>
      </w:r>
      <w:r>
        <w:rPr>
          <w:rFonts w:hint="eastAsia" w:ascii="Times New Roman" w:hAnsi="Times New Roman" w:cs="Times New Roman"/>
        </w:rPr>
        <w:t>37.39</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kWh；</w:t>
      </w:r>
    </w:p>
    <w:p w14:paraId="6904DA9A">
      <w:pPr>
        <w:spacing w:line="360" w:lineRule="auto"/>
        <w:ind w:firstLine="480" w:firstLineChars="200"/>
        <w:rPr>
          <w:rFonts w:ascii="Times New Roman" w:hAnsi="Times New Roman" w:cs="Times New Roman"/>
        </w:rPr>
      </w:pPr>
      <w:r>
        <w:rPr>
          <w:rFonts w:ascii="Times New Roman" w:hAnsi="Times New Roman" w:cs="Times New Roman"/>
        </w:rPr>
        <w:t>EF</w:t>
      </w:r>
      <w:r>
        <w:rPr>
          <w:rFonts w:ascii="Times New Roman" w:hAnsi="Times New Roman" w:cs="Times New Roman"/>
          <w:vertAlign w:val="subscript"/>
        </w:rPr>
        <w:t>电</w:t>
      </w:r>
      <w:r>
        <w:rPr>
          <w:rFonts w:ascii="Times New Roman" w:hAnsi="Times New Roman" w:cs="Times New Roman"/>
        </w:rPr>
        <w:t>——区域电网年平均供电排放因子，单位为吨二氧化碳每兆瓦时(tCO2/MWh)，根据《工业企业污染治理设施污染物去除协同控制温室气体核算技术指南（试行）》（环办科技[2017]73号）西北电网取值0.6671。</w:t>
      </w:r>
    </w:p>
    <w:bookmarkEnd w:id="254"/>
    <w:p w14:paraId="7A432C4B">
      <w:pPr>
        <w:spacing w:line="360" w:lineRule="auto"/>
        <w:ind w:firstLine="480" w:firstLineChars="200"/>
        <w:rPr>
          <w:rFonts w:ascii="Times New Roman" w:hAnsi="Times New Roman" w:cs="Times New Roman"/>
        </w:rPr>
      </w:pPr>
      <w:bookmarkStart w:id="255" w:name="_Hlk177916378"/>
      <w:r>
        <w:rPr>
          <w:rFonts w:ascii="Times New Roman" w:hAnsi="Times New Roman" w:cs="Times New Roman"/>
        </w:rPr>
        <w:t>根据该公式，本项目购入电力排放的二氧化碳</w:t>
      </w:r>
      <w:r>
        <w:rPr>
          <w:rFonts w:hint="eastAsia" w:ascii="Times New Roman" w:hAnsi="Times New Roman" w:cs="Times New Roman"/>
        </w:rPr>
        <w:t>2494286.9</w:t>
      </w:r>
      <w:r>
        <w:rPr>
          <w:rFonts w:ascii="Times New Roman" w:hAnsi="Times New Roman" w:cs="Times New Roman"/>
        </w:rPr>
        <w:t>t/a。</w:t>
      </w:r>
    </w:p>
    <w:bookmarkEnd w:id="255"/>
    <w:p w14:paraId="7E073E17">
      <w:pPr>
        <w:pStyle w:val="97"/>
        <w:rPr>
          <w:rFonts w:hint="eastAsia"/>
        </w:rPr>
      </w:pPr>
      <w:r>
        <w:rPr>
          <w:rFonts w:hint="eastAsia"/>
        </w:rPr>
        <w:t>碳排放核算汇总</w:t>
      </w:r>
    </w:p>
    <w:p w14:paraId="76E5FA81">
      <w:pPr>
        <w:ind w:firstLine="480"/>
        <w:rPr>
          <w:rFonts w:hint="eastAsia"/>
        </w:rPr>
      </w:pPr>
      <w:bookmarkStart w:id="256" w:name="_Hlk177924293"/>
      <w:r>
        <w:rPr>
          <w:rFonts w:hint="eastAsia"/>
        </w:rPr>
        <w:t>本项目建成后，全厂</w:t>
      </w:r>
      <w:r>
        <w:t>碳排放量汇总见</w:t>
      </w:r>
      <w:r>
        <w:rPr>
          <w:rFonts w:hint="eastAsia"/>
        </w:rPr>
        <w:t>下表。</w:t>
      </w:r>
    </w:p>
    <w:p w14:paraId="6FC81455">
      <w:pPr>
        <w:pStyle w:val="628"/>
        <w:rPr>
          <w:rFonts w:hint="eastAsia"/>
        </w:rPr>
      </w:pPr>
      <w:bookmarkStart w:id="257" w:name="_Ref89426228"/>
      <w:r>
        <w:rPr>
          <w:rFonts w:hint="eastAsia"/>
        </w:rPr>
        <w:t>表</w:t>
      </w:r>
      <w:bookmarkEnd w:id="257"/>
      <w:r>
        <w:rPr>
          <w:rFonts w:hint="eastAsia"/>
        </w:rPr>
        <w:t>3.9</w:t>
      </w:r>
      <w:r>
        <w:t>.2</w:t>
      </w:r>
      <w:r>
        <w:rPr>
          <w:rFonts w:hint="eastAsia"/>
        </w:rPr>
        <w:t>-1    本项目二氧化碳排放量汇总表(单位t/a)</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215"/>
        <w:gridCol w:w="4168"/>
      </w:tblGrid>
      <w:tr w14:paraId="1861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37" w:type="dxa"/>
            <w:gridSpan w:val="2"/>
            <w:vAlign w:val="center"/>
          </w:tcPr>
          <w:p w14:paraId="69C0E940">
            <w:pPr>
              <w:pStyle w:val="557"/>
            </w:pPr>
            <w:r>
              <w:t>排放源类别</w:t>
            </w:r>
          </w:p>
        </w:tc>
        <w:tc>
          <w:tcPr>
            <w:tcW w:w="4168" w:type="dxa"/>
            <w:vAlign w:val="center"/>
          </w:tcPr>
          <w:p w14:paraId="28C13D81">
            <w:pPr>
              <w:pStyle w:val="557"/>
            </w:pPr>
            <w:r>
              <w:t>CO</w:t>
            </w:r>
            <w:r>
              <w:rPr>
                <w:vertAlign w:val="subscript"/>
              </w:rPr>
              <w:t>2</w:t>
            </w:r>
            <w:r>
              <w:t>排放量</w:t>
            </w:r>
          </w:p>
        </w:tc>
      </w:tr>
      <w:tr w14:paraId="0115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Align w:val="center"/>
          </w:tcPr>
          <w:p w14:paraId="6594726B">
            <w:pPr>
              <w:pStyle w:val="557"/>
            </w:pPr>
            <w:r>
              <w:t>燃料燃烧排放</w:t>
            </w:r>
          </w:p>
        </w:tc>
        <w:tc>
          <w:tcPr>
            <w:tcW w:w="2215" w:type="dxa"/>
            <w:vAlign w:val="center"/>
          </w:tcPr>
          <w:p w14:paraId="0AF66CB5">
            <w:pPr>
              <w:pStyle w:val="557"/>
            </w:pPr>
            <w:r>
              <w:rPr>
                <w:rFonts w:hint="eastAsia"/>
              </w:rPr>
              <w:t>燃料气</w:t>
            </w:r>
          </w:p>
        </w:tc>
        <w:tc>
          <w:tcPr>
            <w:tcW w:w="4168" w:type="dxa"/>
            <w:vAlign w:val="center"/>
          </w:tcPr>
          <w:p w14:paraId="2AB51C92">
            <w:pPr>
              <w:pStyle w:val="557"/>
            </w:pPr>
            <w:r>
              <w:rPr>
                <w:rFonts w:hint="eastAsia"/>
              </w:rPr>
              <w:t>110083.5</w:t>
            </w:r>
          </w:p>
        </w:tc>
      </w:tr>
      <w:tr w14:paraId="7FFC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37" w:type="dxa"/>
            <w:gridSpan w:val="2"/>
            <w:vAlign w:val="center"/>
          </w:tcPr>
          <w:p w14:paraId="3B36B1BD">
            <w:pPr>
              <w:pStyle w:val="557"/>
            </w:pPr>
            <w:r>
              <w:t>工业生产过程排放</w:t>
            </w:r>
          </w:p>
        </w:tc>
        <w:tc>
          <w:tcPr>
            <w:tcW w:w="4168" w:type="dxa"/>
            <w:vAlign w:val="center"/>
          </w:tcPr>
          <w:p w14:paraId="3C4D63D9">
            <w:pPr>
              <w:pStyle w:val="557"/>
            </w:pPr>
            <w:r>
              <w:rPr>
                <w:rFonts w:hint="eastAsia"/>
                <w:color w:val="auto"/>
              </w:rPr>
              <w:t>7936.05</w:t>
            </w:r>
          </w:p>
        </w:tc>
      </w:tr>
      <w:tr w14:paraId="7482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37" w:type="dxa"/>
            <w:gridSpan w:val="2"/>
            <w:vAlign w:val="center"/>
          </w:tcPr>
          <w:p w14:paraId="0C16B430">
            <w:pPr>
              <w:pStyle w:val="557"/>
            </w:pPr>
            <w:r>
              <w:t>购入电力排放</w:t>
            </w:r>
          </w:p>
        </w:tc>
        <w:tc>
          <w:tcPr>
            <w:tcW w:w="4168" w:type="dxa"/>
            <w:vAlign w:val="center"/>
          </w:tcPr>
          <w:p w14:paraId="5E0B59D8">
            <w:pPr>
              <w:pStyle w:val="557"/>
            </w:pPr>
            <w:r>
              <w:rPr>
                <w:rFonts w:hint="eastAsia"/>
              </w:rPr>
              <w:t>2494286.9</w:t>
            </w:r>
          </w:p>
        </w:tc>
      </w:tr>
      <w:tr w14:paraId="4E21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37" w:type="dxa"/>
            <w:gridSpan w:val="2"/>
            <w:vAlign w:val="center"/>
          </w:tcPr>
          <w:p w14:paraId="544509E4">
            <w:pPr>
              <w:pStyle w:val="557"/>
            </w:pPr>
            <w:r>
              <w:t>合计</w:t>
            </w:r>
          </w:p>
        </w:tc>
        <w:tc>
          <w:tcPr>
            <w:tcW w:w="4168" w:type="dxa"/>
            <w:vAlign w:val="center"/>
          </w:tcPr>
          <w:p w14:paraId="77994611">
            <w:pPr>
              <w:pStyle w:val="557"/>
            </w:pPr>
            <w:r>
              <w:rPr>
                <w:rFonts w:hint="eastAsia"/>
                <w:color w:val="auto"/>
              </w:rPr>
              <w:t>2612306.45</w:t>
            </w:r>
          </w:p>
        </w:tc>
      </w:tr>
      <w:bookmarkEnd w:id="256"/>
    </w:tbl>
    <w:p w14:paraId="08F3C88A">
      <w:pPr>
        <w:pStyle w:val="3"/>
        <w:rPr>
          <w:rFonts w:hint="eastAsia"/>
        </w:rPr>
      </w:pPr>
      <w:bookmarkStart w:id="258" w:name="_Toc32486"/>
      <w:r>
        <w:rPr>
          <w:rFonts w:hint="eastAsia"/>
        </w:rPr>
        <w:t>非正常工况</w:t>
      </w:r>
      <w:bookmarkEnd w:id="258"/>
    </w:p>
    <w:p w14:paraId="0B60F9F4">
      <w:pPr>
        <w:spacing w:line="360" w:lineRule="auto"/>
        <w:ind w:firstLine="480" w:firstLineChars="200"/>
        <w:rPr>
          <w:rFonts w:hint="eastAsia"/>
        </w:rPr>
      </w:pPr>
      <w:bookmarkStart w:id="259" w:name="_Hlk150614380"/>
      <w:bookmarkStart w:id="260" w:name="_Hlk150216273"/>
      <w:r>
        <w:rPr>
          <w:rFonts w:hint="eastAsia"/>
        </w:rPr>
        <w:t>本项目废气非正常工况，本次环评考虑①硫回收装置废气治理措施发生故障，废气直接排放；②一台锅炉脱硝措施失效。非正常工况排放情况见下表。</w:t>
      </w:r>
    </w:p>
    <w:p w14:paraId="2261B260">
      <w:pPr>
        <w:pStyle w:val="541"/>
        <w:rPr>
          <w:rFonts w:hint="eastAsia"/>
        </w:rPr>
      </w:pPr>
      <w:r>
        <w:rPr>
          <w:rFonts w:hint="eastAsia"/>
        </w:rPr>
        <w:t>表3.</w:t>
      </w:r>
      <w:r>
        <w:t>1</w:t>
      </w:r>
      <w:r>
        <w:rPr>
          <w:rFonts w:hint="eastAsia"/>
        </w:rPr>
        <w:t>0-1    非正常工况排放参数一览表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1925"/>
        <w:gridCol w:w="1629"/>
        <w:gridCol w:w="1418"/>
        <w:gridCol w:w="1134"/>
        <w:gridCol w:w="1422"/>
      </w:tblGrid>
      <w:tr w14:paraId="3D10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top w:val="single" w:color="auto" w:sz="4" w:space="0"/>
              <w:left w:val="single" w:color="auto" w:sz="4" w:space="0"/>
              <w:bottom w:val="single" w:color="auto" w:sz="4" w:space="0"/>
              <w:right w:val="single" w:color="auto" w:sz="4" w:space="0"/>
            </w:tcBorders>
            <w:vAlign w:val="center"/>
          </w:tcPr>
          <w:p w14:paraId="1904D136">
            <w:pPr>
              <w:pStyle w:val="557"/>
              <w:rPr>
                <w:color w:val="auto"/>
              </w:rPr>
            </w:pPr>
            <w:r>
              <w:rPr>
                <w:color w:val="auto"/>
              </w:rPr>
              <w:t>排放源</w:t>
            </w:r>
          </w:p>
        </w:tc>
        <w:tc>
          <w:tcPr>
            <w:tcW w:w="1925" w:type="dxa"/>
            <w:vMerge w:val="restart"/>
            <w:tcBorders>
              <w:top w:val="single" w:color="auto" w:sz="4" w:space="0"/>
              <w:left w:val="single" w:color="auto" w:sz="4" w:space="0"/>
              <w:bottom w:val="single" w:color="auto" w:sz="4" w:space="0"/>
              <w:right w:val="single" w:color="auto" w:sz="4" w:space="0"/>
            </w:tcBorders>
            <w:vAlign w:val="center"/>
          </w:tcPr>
          <w:p w14:paraId="68DAD144">
            <w:pPr>
              <w:pStyle w:val="557"/>
              <w:rPr>
                <w:color w:val="auto"/>
              </w:rPr>
            </w:pPr>
            <w:r>
              <w:rPr>
                <w:color w:val="auto"/>
              </w:rPr>
              <w:t>污染物</w:t>
            </w:r>
          </w:p>
        </w:tc>
        <w:tc>
          <w:tcPr>
            <w:tcW w:w="3047" w:type="dxa"/>
            <w:gridSpan w:val="2"/>
            <w:tcBorders>
              <w:top w:val="single" w:color="auto" w:sz="4" w:space="0"/>
              <w:left w:val="single" w:color="auto" w:sz="4" w:space="0"/>
              <w:bottom w:val="single" w:color="auto" w:sz="4" w:space="0"/>
              <w:right w:val="single" w:color="auto" w:sz="4" w:space="0"/>
            </w:tcBorders>
            <w:vAlign w:val="center"/>
          </w:tcPr>
          <w:p w14:paraId="2D9B16F0">
            <w:pPr>
              <w:pStyle w:val="557"/>
              <w:rPr>
                <w:color w:val="auto"/>
              </w:rPr>
            </w:pPr>
            <w:r>
              <w:rPr>
                <w:color w:val="auto"/>
              </w:rPr>
              <w:t>污染物产生情况</w:t>
            </w:r>
          </w:p>
        </w:tc>
        <w:tc>
          <w:tcPr>
            <w:tcW w:w="1134" w:type="dxa"/>
            <w:vMerge w:val="restart"/>
            <w:tcBorders>
              <w:top w:val="single" w:color="auto" w:sz="4" w:space="0"/>
              <w:left w:val="single" w:color="auto" w:sz="4" w:space="0"/>
              <w:right w:val="single" w:color="auto" w:sz="4" w:space="0"/>
            </w:tcBorders>
            <w:vAlign w:val="center"/>
          </w:tcPr>
          <w:p w14:paraId="31CBCAFB">
            <w:pPr>
              <w:pStyle w:val="557"/>
              <w:rPr>
                <w:color w:val="auto"/>
              </w:rPr>
            </w:pPr>
            <w:r>
              <w:rPr>
                <w:color w:val="auto"/>
              </w:rPr>
              <w:t>排放时间（h）</w:t>
            </w:r>
          </w:p>
        </w:tc>
        <w:tc>
          <w:tcPr>
            <w:tcW w:w="1422" w:type="dxa"/>
            <w:vMerge w:val="restart"/>
            <w:tcBorders>
              <w:top w:val="single" w:color="auto" w:sz="4" w:space="0"/>
              <w:left w:val="single" w:color="auto" w:sz="4" w:space="0"/>
              <w:right w:val="single" w:color="auto" w:sz="4" w:space="0"/>
            </w:tcBorders>
            <w:vAlign w:val="center"/>
          </w:tcPr>
          <w:p w14:paraId="7236D832">
            <w:pPr>
              <w:pStyle w:val="557"/>
              <w:rPr>
                <w:color w:val="auto"/>
              </w:rPr>
            </w:pPr>
            <w:r>
              <w:rPr>
                <w:color w:val="auto"/>
              </w:rPr>
              <w:t>去向及排气筒参数</w:t>
            </w:r>
          </w:p>
        </w:tc>
      </w:tr>
      <w:tr w14:paraId="291F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top w:val="single" w:color="auto" w:sz="4" w:space="0"/>
              <w:left w:val="single" w:color="auto" w:sz="4" w:space="0"/>
              <w:bottom w:val="single" w:color="auto" w:sz="4" w:space="0"/>
              <w:right w:val="single" w:color="auto" w:sz="4" w:space="0"/>
            </w:tcBorders>
            <w:vAlign w:val="center"/>
          </w:tcPr>
          <w:p w14:paraId="4D91D3DD">
            <w:pPr>
              <w:pStyle w:val="557"/>
              <w:rPr>
                <w:color w:val="auto"/>
              </w:rPr>
            </w:pPr>
          </w:p>
        </w:tc>
        <w:tc>
          <w:tcPr>
            <w:tcW w:w="1925" w:type="dxa"/>
            <w:vMerge w:val="continue"/>
            <w:tcBorders>
              <w:top w:val="single" w:color="auto" w:sz="4" w:space="0"/>
              <w:left w:val="single" w:color="auto" w:sz="4" w:space="0"/>
              <w:bottom w:val="single" w:color="auto" w:sz="4" w:space="0"/>
              <w:right w:val="single" w:color="auto" w:sz="4" w:space="0"/>
            </w:tcBorders>
            <w:vAlign w:val="center"/>
          </w:tcPr>
          <w:p w14:paraId="6E79965B">
            <w:pPr>
              <w:pStyle w:val="557"/>
              <w:rPr>
                <w:color w:val="auto"/>
              </w:rPr>
            </w:pPr>
          </w:p>
        </w:tc>
        <w:tc>
          <w:tcPr>
            <w:tcW w:w="1629" w:type="dxa"/>
            <w:tcBorders>
              <w:top w:val="single" w:color="auto" w:sz="4" w:space="0"/>
              <w:left w:val="single" w:color="auto" w:sz="4" w:space="0"/>
              <w:bottom w:val="single" w:color="auto" w:sz="4" w:space="0"/>
              <w:right w:val="single" w:color="auto" w:sz="4" w:space="0"/>
            </w:tcBorders>
            <w:vAlign w:val="center"/>
          </w:tcPr>
          <w:p w14:paraId="498A0F6D">
            <w:pPr>
              <w:pStyle w:val="557"/>
              <w:rPr>
                <w:color w:val="auto"/>
              </w:rPr>
            </w:pPr>
            <w:r>
              <w:rPr>
                <w:color w:val="auto"/>
              </w:rPr>
              <w:t>废气产生量（Nm</w:t>
            </w:r>
            <w:r>
              <w:rPr>
                <w:color w:val="auto"/>
                <w:vertAlign w:val="superscript"/>
              </w:rPr>
              <w:t>3</w:t>
            </w:r>
            <w:r>
              <w:rPr>
                <w:color w:val="auto"/>
              </w:rPr>
              <w:t>/h）</w:t>
            </w:r>
          </w:p>
        </w:tc>
        <w:tc>
          <w:tcPr>
            <w:tcW w:w="1418" w:type="dxa"/>
            <w:tcBorders>
              <w:top w:val="single" w:color="auto" w:sz="4" w:space="0"/>
              <w:left w:val="single" w:color="auto" w:sz="4" w:space="0"/>
              <w:bottom w:val="single" w:color="auto" w:sz="4" w:space="0"/>
              <w:right w:val="single" w:color="auto" w:sz="4" w:space="0"/>
            </w:tcBorders>
            <w:vAlign w:val="center"/>
          </w:tcPr>
          <w:p w14:paraId="507EB7DE">
            <w:pPr>
              <w:pStyle w:val="557"/>
              <w:rPr>
                <w:color w:val="auto"/>
              </w:rPr>
            </w:pPr>
            <w:r>
              <w:rPr>
                <w:color w:val="auto"/>
              </w:rPr>
              <w:t>产生速率（kg/h）</w:t>
            </w:r>
          </w:p>
        </w:tc>
        <w:tc>
          <w:tcPr>
            <w:tcW w:w="1134" w:type="dxa"/>
            <w:vMerge w:val="continue"/>
            <w:tcBorders>
              <w:left w:val="single" w:color="auto" w:sz="4" w:space="0"/>
              <w:bottom w:val="single" w:color="auto" w:sz="4" w:space="0"/>
              <w:right w:val="single" w:color="auto" w:sz="4" w:space="0"/>
            </w:tcBorders>
            <w:vAlign w:val="center"/>
          </w:tcPr>
          <w:p w14:paraId="28608F60">
            <w:pPr>
              <w:pStyle w:val="557"/>
              <w:rPr>
                <w:color w:val="auto"/>
              </w:rPr>
            </w:pPr>
          </w:p>
        </w:tc>
        <w:tc>
          <w:tcPr>
            <w:tcW w:w="1422" w:type="dxa"/>
            <w:vMerge w:val="continue"/>
            <w:tcBorders>
              <w:left w:val="single" w:color="auto" w:sz="4" w:space="0"/>
              <w:bottom w:val="single" w:color="auto" w:sz="4" w:space="0"/>
              <w:right w:val="single" w:color="auto" w:sz="4" w:space="0"/>
            </w:tcBorders>
            <w:vAlign w:val="center"/>
          </w:tcPr>
          <w:p w14:paraId="1B69138B">
            <w:pPr>
              <w:pStyle w:val="557"/>
              <w:rPr>
                <w:color w:val="auto"/>
              </w:rPr>
            </w:pPr>
          </w:p>
        </w:tc>
      </w:tr>
      <w:tr w14:paraId="62A1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left w:val="single" w:color="auto" w:sz="4" w:space="0"/>
              <w:right w:val="single" w:color="auto" w:sz="4" w:space="0"/>
            </w:tcBorders>
            <w:vAlign w:val="center"/>
          </w:tcPr>
          <w:p w14:paraId="38C297AB">
            <w:pPr>
              <w:pStyle w:val="557"/>
              <w:rPr>
                <w:color w:val="auto"/>
              </w:rPr>
            </w:pPr>
            <w:bookmarkStart w:id="261" w:name="_Hlk177915180"/>
            <w:r>
              <w:rPr>
                <w:color w:val="auto"/>
              </w:rPr>
              <w:t>硫回收装置故障废气</w:t>
            </w:r>
            <w:bookmarkEnd w:id="261"/>
          </w:p>
        </w:tc>
        <w:tc>
          <w:tcPr>
            <w:tcW w:w="1925" w:type="dxa"/>
            <w:tcBorders>
              <w:top w:val="single" w:color="auto" w:sz="4" w:space="0"/>
              <w:left w:val="single" w:color="auto" w:sz="4" w:space="0"/>
              <w:bottom w:val="single" w:color="auto" w:sz="4" w:space="0"/>
              <w:right w:val="single" w:color="auto" w:sz="4" w:space="0"/>
            </w:tcBorders>
            <w:vAlign w:val="center"/>
          </w:tcPr>
          <w:p w14:paraId="1C4155F0">
            <w:pPr>
              <w:pStyle w:val="557"/>
              <w:rPr>
                <w:color w:val="auto"/>
              </w:rPr>
            </w:pPr>
            <w:r>
              <w:rPr>
                <w:color w:val="auto"/>
              </w:rPr>
              <w:t>SO</w:t>
            </w:r>
            <w:r>
              <w:rPr>
                <w:color w:val="auto"/>
                <w:vertAlign w:val="subscript"/>
              </w:rPr>
              <w:t>2</w:t>
            </w:r>
          </w:p>
        </w:tc>
        <w:tc>
          <w:tcPr>
            <w:tcW w:w="1629" w:type="dxa"/>
            <w:vMerge w:val="restart"/>
            <w:tcBorders>
              <w:top w:val="single" w:color="auto" w:sz="4" w:space="0"/>
              <w:left w:val="single" w:color="auto" w:sz="4" w:space="0"/>
              <w:right w:val="single" w:color="auto" w:sz="4" w:space="0"/>
            </w:tcBorders>
            <w:vAlign w:val="center"/>
          </w:tcPr>
          <w:p w14:paraId="118A915C">
            <w:pPr>
              <w:pStyle w:val="557"/>
              <w:rPr>
                <w:color w:val="auto"/>
              </w:rPr>
            </w:pPr>
            <w:r>
              <w:rPr>
                <w:rFonts w:hint="eastAsia"/>
                <w:color w:val="auto"/>
              </w:rPr>
              <w:t>15000</w:t>
            </w:r>
          </w:p>
        </w:tc>
        <w:tc>
          <w:tcPr>
            <w:tcW w:w="1418" w:type="dxa"/>
            <w:tcBorders>
              <w:top w:val="single" w:color="auto" w:sz="4" w:space="0"/>
              <w:left w:val="single" w:color="auto" w:sz="4" w:space="0"/>
              <w:bottom w:val="single" w:color="auto" w:sz="4" w:space="0"/>
              <w:right w:val="single" w:color="auto" w:sz="4" w:space="0"/>
            </w:tcBorders>
            <w:vAlign w:val="center"/>
          </w:tcPr>
          <w:p w14:paraId="0BF7409B">
            <w:pPr>
              <w:jc w:val="center"/>
              <w:textAlignment w:val="center"/>
              <w:rPr>
                <w:rFonts w:hint="eastAsia"/>
              </w:rPr>
            </w:pPr>
            <w:r>
              <w:rPr>
                <w:rFonts w:ascii="Times New Roman" w:hAnsi="Times New Roman" w:cs="Times New Roman"/>
                <w:sz w:val="18"/>
                <w:szCs w:val="18"/>
              </w:rPr>
              <w:t>10.08</w:t>
            </w:r>
          </w:p>
        </w:tc>
        <w:tc>
          <w:tcPr>
            <w:tcW w:w="1134" w:type="dxa"/>
            <w:vMerge w:val="restart"/>
            <w:tcBorders>
              <w:left w:val="single" w:color="auto" w:sz="4" w:space="0"/>
              <w:right w:val="single" w:color="auto" w:sz="4" w:space="0"/>
            </w:tcBorders>
            <w:vAlign w:val="center"/>
          </w:tcPr>
          <w:p w14:paraId="2776270B">
            <w:pPr>
              <w:pStyle w:val="557"/>
              <w:rPr>
                <w:color w:val="auto"/>
              </w:rPr>
            </w:pPr>
            <w:r>
              <w:rPr>
                <w:color w:val="auto"/>
              </w:rPr>
              <w:t>1</w:t>
            </w:r>
          </w:p>
        </w:tc>
        <w:tc>
          <w:tcPr>
            <w:tcW w:w="1422" w:type="dxa"/>
            <w:vMerge w:val="restart"/>
            <w:tcBorders>
              <w:left w:val="single" w:color="auto" w:sz="4" w:space="0"/>
              <w:right w:val="single" w:color="auto" w:sz="4" w:space="0"/>
            </w:tcBorders>
            <w:vAlign w:val="center"/>
          </w:tcPr>
          <w:p w14:paraId="7AC49554">
            <w:pPr>
              <w:pStyle w:val="557"/>
              <w:rPr>
                <w:color w:val="auto"/>
              </w:rPr>
            </w:pPr>
            <w:r>
              <w:rPr>
                <w:color w:val="auto"/>
              </w:rPr>
              <w:t>H=4</w:t>
            </w:r>
            <w:r>
              <w:rPr>
                <w:rFonts w:hint="eastAsia"/>
                <w:color w:val="auto"/>
              </w:rPr>
              <w:t>6</w:t>
            </w:r>
            <w:r>
              <w:rPr>
                <w:color w:val="auto"/>
              </w:rPr>
              <w:t>m；DN=0.7m；T=</w:t>
            </w:r>
            <w:r>
              <w:rPr>
                <w:rFonts w:hint="eastAsia"/>
                <w:color w:val="auto"/>
              </w:rPr>
              <w:t>40</w:t>
            </w:r>
            <w:r>
              <w:rPr>
                <w:color w:val="auto"/>
              </w:rPr>
              <w:t>℃</w:t>
            </w:r>
          </w:p>
        </w:tc>
      </w:tr>
      <w:tr w14:paraId="1A75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6F17F659">
            <w:pPr>
              <w:pStyle w:val="557"/>
              <w:rPr>
                <w:color w:val="auto"/>
              </w:rPr>
            </w:pPr>
          </w:p>
        </w:tc>
        <w:tc>
          <w:tcPr>
            <w:tcW w:w="1925" w:type="dxa"/>
            <w:tcBorders>
              <w:top w:val="single" w:color="auto" w:sz="4" w:space="0"/>
              <w:left w:val="single" w:color="auto" w:sz="4" w:space="0"/>
              <w:bottom w:val="single" w:color="auto" w:sz="4" w:space="0"/>
              <w:right w:val="single" w:color="auto" w:sz="4" w:space="0"/>
            </w:tcBorders>
            <w:vAlign w:val="center"/>
          </w:tcPr>
          <w:p w14:paraId="0552B776">
            <w:pPr>
              <w:pStyle w:val="557"/>
              <w:rPr>
                <w:color w:val="auto"/>
              </w:rPr>
            </w:pPr>
            <w:r>
              <w:rPr>
                <w:color w:val="auto"/>
              </w:rPr>
              <w:t>硫酸雾</w:t>
            </w:r>
          </w:p>
        </w:tc>
        <w:tc>
          <w:tcPr>
            <w:tcW w:w="1629" w:type="dxa"/>
            <w:vMerge w:val="continue"/>
            <w:tcBorders>
              <w:top w:val="single" w:color="auto" w:sz="4" w:space="0"/>
              <w:left w:val="single" w:color="auto" w:sz="4" w:space="0"/>
              <w:right w:val="single" w:color="auto" w:sz="4" w:space="0"/>
            </w:tcBorders>
            <w:vAlign w:val="center"/>
          </w:tcPr>
          <w:p w14:paraId="5154D88C">
            <w:pPr>
              <w:pStyle w:val="557"/>
              <w:rPr>
                <w:color w:val="auto"/>
              </w:rPr>
            </w:pPr>
          </w:p>
        </w:tc>
        <w:tc>
          <w:tcPr>
            <w:tcW w:w="1418" w:type="dxa"/>
            <w:tcBorders>
              <w:top w:val="single" w:color="auto" w:sz="4" w:space="0"/>
              <w:left w:val="single" w:color="auto" w:sz="4" w:space="0"/>
              <w:bottom w:val="single" w:color="auto" w:sz="4" w:space="0"/>
              <w:right w:val="single" w:color="auto" w:sz="4" w:space="0"/>
            </w:tcBorders>
            <w:vAlign w:val="center"/>
          </w:tcPr>
          <w:p w14:paraId="3F0452EB">
            <w:pPr>
              <w:jc w:val="center"/>
              <w:textAlignment w:val="center"/>
              <w:rPr>
                <w:rFonts w:hint="eastAsia"/>
              </w:rPr>
            </w:pPr>
            <w:r>
              <w:rPr>
                <w:rFonts w:ascii="Times New Roman" w:hAnsi="Times New Roman" w:cs="Times New Roman"/>
                <w:sz w:val="18"/>
                <w:szCs w:val="18"/>
              </w:rPr>
              <w:t>9.57</w:t>
            </w:r>
          </w:p>
        </w:tc>
        <w:tc>
          <w:tcPr>
            <w:tcW w:w="1134" w:type="dxa"/>
            <w:vMerge w:val="continue"/>
            <w:tcBorders>
              <w:left w:val="single" w:color="auto" w:sz="4" w:space="0"/>
              <w:right w:val="single" w:color="auto" w:sz="4" w:space="0"/>
            </w:tcBorders>
            <w:vAlign w:val="center"/>
          </w:tcPr>
          <w:p w14:paraId="23EDD5F8">
            <w:pPr>
              <w:pStyle w:val="557"/>
              <w:rPr>
                <w:color w:val="auto"/>
              </w:rPr>
            </w:pPr>
          </w:p>
        </w:tc>
        <w:tc>
          <w:tcPr>
            <w:tcW w:w="1422" w:type="dxa"/>
            <w:vMerge w:val="continue"/>
            <w:tcBorders>
              <w:left w:val="single" w:color="auto" w:sz="4" w:space="0"/>
              <w:right w:val="single" w:color="auto" w:sz="4" w:space="0"/>
            </w:tcBorders>
            <w:vAlign w:val="center"/>
          </w:tcPr>
          <w:p w14:paraId="76364157">
            <w:pPr>
              <w:pStyle w:val="557"/>
              <w:rPr>
                <w:color w:val="auto"/>
              </w:rPr>
            </w:pPr>
          </w:p>
        </w:tc>
      </w:tr>
      <w:tr w14:paraId="7A37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2BB8C58A">
            <w:pPr>
              <w:pStyle w:val="557"/>
              <w:rPr>
                <w:color w:val="auto"/>
              </w:rPr>
            </w:pPr>
          </w:p>
        </w:tc>
        <w:tc>
          <w:tcPr>
            <w:tcW w:w="1925" w:type="dxa"/>
            <w:tcBorders>
              <w:top w:val="single" w:color="auto" w:sz="4" w:space="0"/>
              <w:left w:val="single" w:color="auto" w:sz="4" w:space="0"/>
              <w:bottom w:val="single" w:color="auto" w:sz="4" w:space="0"/>
              <w:right w:val="single" w:color="auto" w:sz="4" w:space="0"/>
            </w:tcBorders>
            <w:vAlign w:val="center"/>
          </w:tcPr>
          <w:p w14:paraId="6A7EFBD3">
            <w:pPr>
              <w:pStyle w:val="557"/>
              <w:rPr>
                <w:color w:val="auto"/>
              </w:rPr>
            </w:pPr>
            <w:r>
              <w:rPr>
                <w:color w:val="auto"/>
              </w:rPr>
              <w:t>NOx</w:t>
            </w:r>
          </w:p>
        </w:tc>
        <w:tc>
          <w:tcPr>
            <w:tcW w:w="1629" w:type="dxa"/>
            <w:vMerge w:val="continue"/>
            <w:tcBorders>
              <w:left w:val="single" w:color="auto" w:sz="4" w:space="0"/>
              <w:right w:val="single" w:color="auto" w:sz="4" w:space="0"/>
            </w:tcBorders>
            <w:vAlign w:val="center"/>
          </w:tcPr>
          <w:p w14:paraId="248FAC70">
            <w:pPr>
              <w:pStyle w:val="557"/>
              <w:rPr>
                <w:color w:val="auto"/>
              </w:rPr>
            </w:pPr>
          </w:p>
        </w:tc>
        <w:tc>
          <w:tcPr>
            <w:tcW w:w="1418" w:type="dxa"/>
            <w:tcBorders>
              <w:top w:val="single" w:color="auto" w:sz="4" w:space="0"/>
              <w:left w:val="single" w:color="auto" w:sz="4" w:space="0"/>
              <w:bottom w:val="single" w:color="auto" w:sz="4" w:space="0"/>
              <w:right w:val="single" w:color="auto" w:sz="4" w:space="0"/>
            </w:tcBorders>
            <w:vAlign w:val="center"/>
          </w:tcPr>
          <w:p w14:paraId="36D715E9">
            <w:pPr>
              <w:jc w:val="center"/>
              <w:textAlignment w:val="center"/>
              <w:rPr>
                <w:rFonts w:hint="eastAsia"/>
              </w:rPr>
            </w:pPr>
            <w:r>
              <w:rPr>
                <w:rFonts w:ascii="Times New Roman" w:hAnsi="Times New Roman" w:cs="Times New Roman"/>
                <w:sz w:val="18"/>
                <w:szCs w:val="18"/>
              </w:rPr>
              <w:t>6</w:t>
            </w:r>
          </w:p>
        </w:tc>
        <w:tc>
          <w:tcPr>
            <w:tcW w:w="1134" w:type="dxa"/>
            <w:vMerge w:val="continue"/>
            <w:tcBorders>
              <w:left w:val="single" w:color="auto" w:sz="4" w:space="0"/>
              <w:right w:val="single" w:color="auto" w:sz="4" w:space="0"/>
            </w:tcBorders>
            <w:vAlign w:val="center"/>
          </w:tcPr>
          <w:p w14:paraId="74706196">
            <w:pPr>
              <w:pStyle w:val="557"/>
              <w:rPr>
                <w:color w:val="auto"/>
              </w:rPr>
            </w:pPr>
          </w:p>
        </w:tc>
        <w:tc>
          <w:tcPr>
            <w:tcW w:w="1422" w:type="dxa"/>
            <w:vMerge w:val="continue"/>
            <w:tcBorders>
              <w:left w:val="single" w:color="auto" w:sz="4" w:space="0"/>
              <w:right w:val="single" w:color="auto" w:sz="4" w:space="0"/>
            </w:tcBorders>
            <w:vAlign w:val="center"/>
          </w:tcPr>
          <w:p w14:paraId="165C9E72">
            <w:pPr>
              <w:pStyle w:val="557"/>
              <w:rPr>
                <w:color w:val="auto"/>
              </w:rPr>
            </w:pPr>
          </w:p>
        </w:tc>
      </w:tr>
      <w:tr w14:paraId="2DBA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left w:val="single" w:color="auto" w:sz="4" w:space="0"/>
              <w:right w:val="single" w:color="auto" w:sz="4" w:space="0"/>
            </w:tcBorders>
            <w:vAlign w:val="center"/>
          </w:tcPr>
          <w:p w14:paraId="35618C38">
            <w:pPr>
              <w:pStyle w:val="557"/>
              <w:rPr>
                <w:color w:val="auto"/>
              </w:rPr>
            </w:pPr>
            <w:r>
              <w:rPr>
                <w:rFonts w:hint="eastAsia"/>
                <w:color w:val="auto"/>
              </w:rPr>
              <w:t>锅炉脱硝故障</w:t>
            </w:r>
          </w:p>
        </w:tc>
        <w:tc>
          <w:tcPr>
            <w:tcW w:w="1925" w:type="dxa"/>
            <w:tcBorders>
              <w:top w:val="single" w:color="auto" w:sz="4" w:space="0"/>
              <w:left w:val="single" w:color="auto" w:sz="4" w:space="0"/>
              <w:bottom w:val="single" w:color="auto" w:sz="4" w:space="0"/>
              <w:right w:val="single" w:color="auto" w:sz="4" w:space="0"/>
            </w:tcBorders>
            <w:vAlign w:val="center"/>
          </w:tcPr>
          <w:p w14:paraId="7A4D21AC">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颗粒物</w:t>
            </w:r>
          </w:p>
        </w:tc>
        <w:tc>
          <w:tcPr>
            <w:tcW w:w="1629" w:type="dxa"/>
            <w:vMerge w:val="restart"/>
            <w:tcBorders>
              <w:left w:val="single" w:color="auto" w:sz="4" w:space="0"/>
              <w:right w:val="single" w:color="auto" w:sz="4" w:space="0"/>
            </w:tcBorders>
            <w:vAlign w:val="center"/>
          </w:tcPr>
          <w:p w14:paraId="7C11C1CF">
            <w:pPr>
              <w:pStyle w:val="557"/>
              <w:rPr>
                <w:color w:val="auto"/>
              </w:rPr>
            </w:pPr>
            <w:r>
              <w:rPr>
                <w:color w:val="000000"/>
                <w:kern w:val="0"/>
              </w:rPr>
              <w:t>146130.31</w:t>
            </w:r>
          </w:p>
        </w:tc>
        <w:tc>
          <w:tcPr>
            <w:tcW w:w="1418" w:type="dxa"/>
            <w:tcBorders>
              <w:top w:val="single" w:color="auto" w:sz="4" w:space="0"/>
              <w:left w:val="single" w:color="auto" w:sz="4" w:space="0"/>
              <w:bottom w:val="single" w:color="auto" w:sz="4" w:space="0"/>
              <w:right w:val="single" w:color="auto" w:sz="4" w:space="0"/>
            </w:tcBorders>
            <w:vAlign w:val="center"/>
          </w:tcPr>
          <w:p w14:paraId="50452BFE">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0.76284</w:t>
            </w:r>
          </w:p>
        </w:tc>
        <w:tc>
          <w:tcPr>
            <w:tcW w:w="1134" w:type="dxa"/>
            <w:vMerge w:val="restart"/>
            <w:tcBorders>
              <w:left w:val="single" w:color="auto" w:sz="4" w:space="0"/>
              <w:right w:val="single" w:color="auto" w:sz="4" w:space="0"/>
            </w:tcBorders>
            <w:vAlign w:val="center"/>
          </w:tcPr>
          <w:p w14:paraId="08B58A9D">
            <w:pPr>
              <w:pStyle w:val="557"/>
              <w:rPr>
                <w:color w:val="auto"/>
              </w:rPr>
            </w:pPr>
            <w:r>
              <w:rPr>
                <w:rFonts w:hint="eastAsia"/>
                <w:color w:val="auto"/>
              </w:rPr>
              <w:t>1</w:t>
            </w:r>
          </w:p>
        </w:tc>
        <w:tc>
          <w:tcPr>
            <w:tcW w:w="1422" w:type="dxa"/>
            <w:vMerge w:val="restart"/>
            <w:tcBorders>
              <w:left w:val="single" w:color="auto" w:sz="4" w:space="0"/>
              <w:right w:val="single" w:color="auto" w:sz="4" w:space="0"/>
            </w:tcBorders>
            <w:vAlign w:val="center"/>
          </w:tcPr>
          <w:p w14:paraId="37936C9F">
            <w:pPr>
              <w:pStyle w:val="557"/>
              <w:rPr>
                <w:color w:val="auto"/>
              </w:rPr>
            </w:pPr>
            <w:r>
              <w:rPr>
                <w:color w:val="auto"/>
              </w:rPr>
              <w:t>H=</w:t>
            </w:r>
            <w:r>
              <w:rPr>
                <w:rFonts w:hint="eastAsia"/>
                <w:color w:val="auto"/>
              </w:rPr>
              <w:t>35</w:t>
            </w:r>
            <w:r>
              <w:rPr>
                <w:color w:val="auto"/>
              </w:rPr>
              <w:t>m；DN=</w:t>
            </w:r>
            <w:r>
              <w:rPr>
                <w:rFonts w:hint="eastAsia"/>
                <w:color w:val="auto"/>
              </w:rPr>
              <w:t>1.2</w:t>
            </w:r>
            <w:r>
              <w:rPr>
                <w:color w:val="auto"/>
              </w:rPr>
              <w:t>m；T=</w:t>
            </w:r>
            <w:r>
              <w:rPr>
                <w:rFonts w:hint="eastAsia"/>
                <w:color w:val="auto"/>
              </w:rPr>
              <w:t>135</w:t>
            </w:r>
            <w:r>
              <w:rPr>
                <w:color w:val="auto"/>
              </w:rPr>
              <w:t>℃</w:t>
            </w:r>
          </w:p>
        </w:tc>
      </w:tr>
      <w:tr w14:paraId="1787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75B4D538">
            <w:pPr>
              <w:pStyle w:val="557"/>
              <w:rPr>
                <w:color w:val="auto"/>
              </w:rPr>
            </w:pPr>
          </w:p>
        </w:tc>
        <w:tc>
          <w:tcPr>
            <w:tcW w:w="1925" w:type="dxa"/>
            <w:tcBorders>
              <w:top w:val="single" w:color="auto" w:sz="4" w:space="0"/>
              <w:left w:val="single" w:color="auto" w:sz="4" w:space="0"/>
              <w:bottom w:val="single" w:color="auto" w:sz="4" w:space="0"/>
              <w:right w:val="single" w:color="auto" w:sz="4" w:space="0"/>
            </w:tcBorders>
            <w:vAlign w:val="center"/>
          </w:tcPr>
          <w:p w14:paraId="3564BDC1">
            <w:pPr>
              <w:jc w:val="center"/>
              <w:textAlignment w:val="center"/>
              <w:rPr>
                <w:rFonts w:ascii="Times New Roman" w:hAnsi="Times New Roman" w:cs="Times New Roman"/>
                <w:color w:val="000000"/>
                <w:sz w:val="18"/>
                <w:szCs w:val="18"/>
              </w:rPr>
            </w:pPr>
            <w:r>
              <w:rPr>
                <w:rFonts w:ascii="Times New Roman" w:hAnsi="Times New Roman" w:cs="Times New Roman"/>
                <w:sz w:val="18"/>
                <w:szCs w:val="18"/>
              </w:rPr>
              <w:t>NOx</w:t>
            </w:r>
          </w:p>
        </w:tc>
        <w:tc>
          <w:tcPr>
            <w:tcW w:w="1629" w:type="dxa"/>
            <w:vMerge w:val="continue"/>
            <w:tcBorders>
              <w:left w:val="single" w:color="auto" w:sz="4" w:space="0"/>
              <w:right w:val="single" w:color="auto" w:sz="4" w:space="0"/>
            </w:tcBorders>
            <w:vAlign w:val="center"/>
          </w:tcPr>
          <w:p w14:paraId="74D06B0E">
            <w:pPr>
              <w:pStyle w:val="557"/>
              <w:rPr>
                <w:color w:val="auto"/>
              </w:rPr>
            </w:pPr>
          </w:p>
        </w:tc>
        <w:tc>
          <w:tcPr>
            <w:tcW w:w="1418" w:type="dxa"/>
            <w:tcBorders>
              <w:top w:val="single" w:color="auto" w:sz="4" w:space="0"/>
              <w:left w:val="single" w:color="auto" w:sz="4" w:space="0"/>
              <w:bottom w:val="single" w:color="auto" w:sz="4" w:space="0"/>
              <w:right w:val="single" w:color="auto" w:sz="4" w:space="0"/>
            </w:tcBorders>
            <w:vAlign w:val="center"/>
          </w:tcPr>
          <w:p w14:paraId="7AA7DF09">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5.136456</w:t>
            </w:r>
          </w:p>
        </w:tc>
        <w:tc>
          <w:tcPr>
            <w:tcW w:w="1134" w:type="dxa"/>
            <w:vMerge w:val="continue"/>
            <w:tcBorders>
              <w:left w:val="single" w:color="auto" w:sz="4" w:space="0"/>
              <w:right w:val="single" w:color="auto" w:sz="4" w:space="0"/>
            </w:tcBorders>
            <w:vAlign w:val="center"/>
          </w:tcPr>
          <w:p w14:paraId="15244C4A">
            <w:pPr>
              <w:pStyle w:val="557"/>
              <w:rPr>
                <w:color w:val="auto"/>
              </w:rPr>
            </w:pPr>
          </w:p>
        </w:tc>
        <w:tc>
          <w:tcPr>
            <w:tcW w:w="1422" w:type="dxa"/>
            <w:vMerge w:val="continue"/>
            <w:tcBorders>
              <w:left w:val="single" w:color="auto" w:sz="4" w:space="0"/>
              <w:right w:val="single" w:color="auto" w:sz="4" w:space="0"/>
            </w:tcBorders>
            <w:vAlign w:val="center"/>
          </w:tcPr>
          <w:p w14:paraId="2C8F7BA4">
            <w:pPr>
              <w:pStyle w:val="557"/>
              <w:rPr>
                <w:color w:val="auto"/>
              </w:rPr>
            </w:pPr>
          </w:p>
        </w:tc>
      </w:tr>
      <w:bookmarkEnd w:id="259"/>
      <w:bookmarkEnd w:id="260"/>
    </w:tbl>
    <w:p w14:paraId="31BF500F">
      <w:pPr>
        <w:rPr>
          <w:rFonts w:hint="eastAsia"/>
        </w:rPr>
      </w:pPr>
    </w:p>
    <w:p w14:paraId="136F14FC">
      <w:pPr>
        <w:pStyle w:val="3"/>
        <w:rPr>
          <w:rFonts w:hint="eastAsia"/>
        </w:rPr>
      </w:pPr>
      <w:bookmarkStart w:id="262" w:name="_Toc31905"/>
      <w:r>
        <w:rPr>
          <w:rFonts w:hint="eastAsia"/>
        </w:rPr>
        <w:t>总量控制</w:t>
      </w:r>
      <w:bookmarkEnd w:id="247"/>
      <w:bookmarkEnd w:id="262"/>
    </w:p>
    <w:p w14:paraId="2784D09B">
      <w:pPr>
        <w:spacing w:line="360" w:lineRule="auto"/>
        <w:ind w:firstLine="480" w:firstLineChars="200"/>
        <w:rPr>
          <w:rFonts w:hint="eastAsia"/>
        </w:rPr>
      </w:pPr>
      <w:r>
        <w:t>污染物排放总量控制是可持续发展战略的要求，是控制污染，使国民经济持续、稳定发展的有效手段。</w:t>
      </w:r>
    </w:p>
    <w:p w14:paraId="2D43819B">
      <w:pPr>
        <w:spacing w:line="360" w:lineRule="auto"/>
        <w:ind w:firstLine="480" w:firstLineChars="200"/>
        <w:rPr>
          <w:rFonts w:hint="eastAsia"/>
        </w:rPr>
      </w:pPr>
      <w:r>
        <w:t>为了适应我国改革开放和经济建设快速发展的需要，做到经济发展和环境保护协调并进，单靠控制污染物排放浓度的措施，不能有效遏制环境质量的恶化趋势。对污染源的控制，不仅要求污染物排放浓度达标排放，还必须控制污染物的排放总量。</w:t>
      </w:r>
    </w:p>
    <w:p w14:paraId="11CFF319">
      <w:pPr>
        <w:pStyle w:val="97"/>
        <w:rPr>
          <w:rFonts w:hint="eastAsia"/>
        </w:rPr>
      </w:pPr>
      <w:r>
        <w:t>总量控制原则</w:t>
      </w:r>
    </w:p>
    <w:p w14:paraId="71ADCD1D">
      <w:pPr>
        <w:pStyle w:val="128"/>
        <w:rPr>
          <w:rFonts w:hint="eastAsia"/>
        </w:rPr>
      </w:pPr>
      <w: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33A2B2DE">
      <w:pPr>
        <w:pStyle w:val="128"/>
        <w:rPr>
          <w:rFonts w:hint="eastAsia"/>
        </w:rPr>
      </w:pPr>
      <w:r>
        <w:t>根据国家当前的产业政策和环保技术政策，制定本项目污染物总量控制原则和方法，提出污染物总量控制思路：</w:t>
      </w:r>
    </w:p>
    <w:p w14:paraId="03B4C6B1">
      <w:pPr>
        <w:pStyle w:val="128"/>
        <w:rPr>
          <w:rFonts w:hint="eastAsia"/>
        </w:rPr>
      </w:pPr>
      <w:r>
        <w:t>第一：以国家产业政策为指导，分析产品方向的合理性和规模效益水平；</w:t>
      </w:r>
    </w:p>
    <w:p w14:paraId="49373830">
      <w:pPr>
        <w:pStyle w:val="128"/>
        <w:rPr>
          <w:rFonts w:hint="eastAsia"/>
        </w:rPr>
      </w:pPr>
      <w:r>
        <w:t>第二：采用全方位总量控制思想，提高资源的综合利用率，选用清洁能源，降低能耗水平，实现清洁生产，将污染尽可能消除在生产过程中；</w:t>
      </w:r>
    </w:p>
    <w:p w14:paraId="667352A4">
      <w:pPr>
        <w:pStyle w:val="128"/>
        <w:rPr>
          <w:rFonts w:hint="eastAsia"/>
        </w:rPr>
      </w:pPr>
      <w:r>
        <w:t>第三：强化中、末端控制，降低污染物的排放水平，实现达标排放；</w:t>
      </w:r>
    </w:p>
    <w:p w14:paraId="7136492C">
      <w:pPr>
        <w:pStyle w:val="128"/>
        <w:rPr>
          <w:rFonts w:hint="eastAsia"/>
        </w:rPr>
      </w:pPr>
      <w:r>
        <w:t>第四：满足地方环境管理要求，参照区域总量控制规划，使项目造成的环境影响低于项目所在地区的环境保护目标控制水平。</w:t>
      </w:r>
    </w:p>
    <w:p w14:paraId="4AA216E4">
      <w:pPr>
        <w:pStyle w:val="128"/>
        <w:rPr>
          <w:rFonts w:hint="eastAsia"/>
        </w:rPr>
      </w:pPr>
      <w:r>
        <w:t>通过以上分析，最后确定本项目污染物总量控制方案和目标。</w:t>
      </w:r>
    </w:p>
    <w:p w14:paraId="4755170C">
      <w:pPr>
        <w:pStyle w:val="97"/>
        <w:rPr>
          <w:rFonts w:hint="eastAsia"/>
        </w:rPr>
      </w:pPr>
      <w:r>
        <w:t>总量控制因子</w:t>
      </w:r>
    </w:p>
    <w:p w14:paraId="2662089E">
      <w:pPr>
        <w:pStyle w:val="128"/>
        <w:rPr>
          <w:rFonts w:hint="eastAsia"/>
        </w:rPr>
      </w:pPr>
      <w:r>
        <w:t>结合排污特点、区域环境特征以及当地环境管理部门的要求，本次环评推荐拟建项目的污染物总量控制因子共2项：</w:t>
      </w:r>
    </w:p>
    <w:p w14:paraId="19F16666">
      <w:pPr>
        <w:pStyle w:val="128"/>
        <w:rPr>
          <w:rFonts w:hint="eastAsia"/>
        </w:rPr>
      </w:pPr>
      <w:r>
        <w:t>大气污染物：NO</w:t>
      </w:r>
      <w:r>
        <w:rPr>
          <w:vertAlign w:val="subscript"/>
        </w:rPr>
        <w:t>x</w:t>
      </w:r>
      <w:r>
        <w:rPr>
          <w:rFonts w:hint="eastAsia"/>
        </w:rPr>
        <w:t>、</w:t>
      </w:r>
      <w:r>
        <w:t>挥发性有机物</w:t>
      </w:r>
    </w:p>
    <w:p w14:paraId="5CF21817">
      <w:pPr>
        <w:pStyle w:val="97"/>
        <w:rPr>
          <w:rFonts w:hint="eastAsia"/>
        </w:rPr>
      </w:pPr>
      <w:r>
        <w:t>总量控制指标</w:t>
      </w:r>
    </w:p>
    <w:p w14:paraId="4E931DAB">
      <w:pPr>
        <w:pStyle w:val="128"/>
        <w:rPr>
          <w:rFonts w:hint="eastAsia"/>
        </w:rPr>
      </w:pPr>
      <w:r>
        <w:t>污染物排放总量控制的目的是要达到区域的环境（质量）目标，对特定的建设项目而言，实行污染物总量控制是为了确保实现所在区域的环境目标，总量控制目标确定的前提条件是“三废”达标排放，环境影响在环境质量标准的限制范围内，尽可能实现清洁生产。</w:t>
      </w:r>
    </w:p>
    <w:p w14:paraId="7CE617DD">
      <w:pPr>
        <w:pStyle w:val="128"/>
        <w:rPr>
          <w:rFonts w:hint="eastAsia"/>
        </w:rPr>
      </w:pPr>
      <w:r>
        <w:t>根据本项目生产特点、废气、废水、固废等性质及排放去向，在实现污染物达标排放和环境中污染物浓度达标的前提下，确定污染物排放总量控制指标。</w:t>
      </w:r>
    </w:p>
    <w:p w14:paraId="222E64F6">
      <w:pPr>
        <w:pStyle w:val="128"/>
        <w:rPr>
          <w:rFonts w:hint="eastAsia"/>
        </w:rPr>
      </w:pPr>
      <w:r>
        <w:t>环境影响分析表明，只要按计划和要求采取一系列污染防治措施后，本项目将实现三废达标排放、在正常生产情况下对周围环境影响不显著，投产运营后，厂区周边环境能够满足环境质量功能要求。</w:t>
      </w:r>
    </w:p>
    <w:p w14:paraId="68E3E597">
      <w:pPr>
        <w:pStyle w:val="128"/>
        <w:rPr>
          <w:rFonts w:hint="eastAsia"/>
        </w:rPr>
      </w:pPr>
      <w:bookmarkStart w:id="263" w:name="_Hlk98301239"/>
      <w:r>
        <w:t>环评推荐总量控制指标如下：</w:t>
      </w:r>
    </w:p>
    <w:p w14:paraId="09EBC2DA">
      <w:pPr>
        <w:pStyle w:val="128"/>
        <w:rPr>
          <w:rFonts w:hint="eastAsia"/>
        </w:rPr>
      </w:pPr>
      <w:bookmarkStart w:id="264" w:name="_Hlk179671379"/>
      <w:bookmarkStart w:id="265" w:name="_Hlk98185391"/>
      <w:r>
        <w:rPr>
          <w:rFonts w:hint="eastAsia"/>
        </w:rPr>
        <w:t>本项目大气污染物：</w:t>
      </w:r>
      <w:r>
        <w:t>N</w:t>
      </w:r>
      <w:r>
        <w:rPr>
          <w:rFonts w:hint="eastAsia"/>
        </w:rPr>
        <w:t>O</w:t>
      </w:r>
      <w:r>
        <w:t>x</w:t>
      </w:r>
      <w:r>
        <w:rPr>
          <w:rFonts w:hint="eastAsia" w:hAnsi="Times New Roman" w:eastAsia="等线" w:cs="Times New Roman"/>
          <w:color w:val="000000"/>
          <w:szCs w:val="18"/>
        </w:rPr>
        <w:t>88.22</w:t>
      </w:r>
      <w:r>
        <w:t>t/a</w:t>
      </w:r>
      <w:r>
        <w:rPr>
          <w:rFonts w:hint="eastAsia"/>
        </w:rPr>
        <w:t>、挥发性有机物63.46</w:t>
      </w:r>
      <w:r>
        <w:t>t/a</w:t>
      </w:r>
      <w:r>
        <w:rPr>
          <w:rFonts w:hint="eastAsia"/>
        </w:rPr>
        <w:t>（其中挥发性有机物有组织排放4.48</w:t>
      </w:r>
      <w:r>
        <w:t>t/a</w:t>
      </w:r>
      <w:r>
        <w:rPr>
          <w:rFonts w:hint="eastAsia"/>
        </w:rPr>
        <w:t>，无组织排放量58.98</w:t>
      </w:r>
      <w:r>
        <w:t>t/a</w:t>
      </w:r>
      <w:r>
        <w:rPr>
          <w:rFonts w:hint="eastAsia"/>
        </w:rPr>
        <w:t>）</w:t>
      </w:r>
      <w:bookmarkEnd w:id="264"/>
      <w:r>
        <w:rPr>
          <w:rFonts w:hint="eastAsia"/>
        </w:rPr>
        <w:t>。</w:t>
      </w:r>
    </w:p>
    <w:bookmarkEnd w:id="263"/>
    <w:bookmarkEnd w:id="265"/>
    <w:p w14:paraId="349ED560">
      <w:pPr>
        <w:pStyle w:val="722"/>
        <w:rPr>
          <w:rFonts w:hint="eastAsia"/>
        </w:rPr>
      </w:pPr>
      <w:bookmarkStart w:id="266" w:name="_Toc182475489"/>
      <w:bookmarkStart w:id="267" w:name="_Toc3258"/>
      <w:r>
        <w:t>清洁生产分析</w:t>
      </w:r>
      <w:bookmarkEnd w:id="266"/>
      <w:bookmarkEnd w:id="267"/>
    </w:p>
    <w:p w14:paraId="4C6C95D9">
      <w:pPr>
        <w:pStyle w:val="97"/>
        <w:rPr>
          <w:rFonts w:hint="eastAsia"/>
        </w:rPr>
      </w:pPr>
      <w:r>
        <w:t>清洁生产概述</w:t>
      </w:r>
    </w:p>
    <w:p w14:paraId="7CBD74BA">
      <w:pPr>
        <w:autoSpaceDE w:val="0"/>
        <w:autoSpaceDN w:val="0"/>
        <w:spacing w:line="360" w:lineRule="auto"/>
        <w:ind w:firstLine="480" w:firstLineChars="200"/>
        <w:rPr>
          <w:rFonts w:hint="eastAsia"/>
        </w:rPr>
      </w:pPr>
      <w:r>
        <w:t>依据《中华人民共和国清洁生产促进法》第一章总则第二条规定，“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根据上述规定可知，清洁生产就是把控制工业污染的重点从原来的末端治理转移到全过程的污染控制，从而使污染物的发生量、排放量最小化。相对于“末端治理”，清洁生产是一大进步，它通过工艺的改进和对资源的有效利用，通过对生产全过程的污染控制，改变了末端治理投资、效益差的被动的局面，使企业的环境保护工作既有经济效益，又有显著的社会效益的可持续发展道路。</w:t>
      </w:r>
    </w:p>
    <w:p w14:paraId="0B340E0B">
      <w:pPr>
        <w:autoSpaceDE w:val="0"/>
        <w:autoSpaceDN w:val="0"/>
        <w:spacing w:line="360" w:lineRule="auto"/>
        <w:ind w:firstLine="480" w:firstLineChars="200"/>
        <w:rPr>
          <w:rFonts w:hint="eastAsia"/>
        </w:rPr>
      </w:pPr>
      <w:r>
        <w:t>《中华人民共和国清洁生产促进法》第十八条规定：“新建、改建和扩建项目应当进行环境影响评价，对原料使用、资源消耗、资源综合利用以及污染物产生与处置等进行分析论证，优先采用资源利用率高以及污染物产生量少的清洁生产技术、工艺和设备。”</w:t>
      </w:r>
      <w:r>
        <w:rPr>
          <w:rFonts w:hint="eastAsia"/>
        </w:rPr>
        <w:t>第十九条</w:t>
      </w:r>
      <w:r>
        <w:t>规定：“企业在进行技术改造过程中，应当采取以下清洁生产措施：</w:t>
      </w:r>
    </w:p>
    <w:p w14:paraId="670B62E2">
      <w:pPr>
        <w:autoSpaceDE w:val="0"/>
        <w:autoSpaceDN w:val="0"/>
        <w:spacing w:line="360" w:lineRule="auto"/>
        <w:ind w:firstLine="480" w:firstLineChars="200"/>
        <w:rPr>
          <w:rFonts w:hint="eastAsia"/>
        </w:rPr>
      </w:pPr>
      <w:r>
        <w:t>（一）采用无毒、无害或者低毒、低害的原料，替代毒性大、危害严重的原料；</w:t>
      </w:r>
    </w:p>
    <w:p w14:paraId="3ADD5C5B">
      <w:pPr>
        <w:autoSpaceDE w:val="0"/>
        <w:autoSpaceDN w:val="0"/>
        <w:spacing w:line="360" w:lineRule="auto"/>
        <w:ind w:firstLine="480" w:firstLineChars="200"/>
        <w:rPr>
          <w:rFonts w:hint="eastAsia"/>
        </w:rPr>
      </w:pPr>
      <w:r>
        <w:t>（二）采用资源利用率高、污染物产生量少的工艺和设备，替代资源利用率低、污染物产生量多的工艺和设备；</w:t>
      </w:r>
    </w:p>
    <w:p w14:paraId="592CEA3F">
      <w:pPr>
        <w:autoSpaceDE w:val="0"/>
        <w:autoSpaceDN w:val="0"/>
        <w:spacing w:line="360" w:lineRule="auto"/>
        <w:ind w:firstLine="480" w:firstLineChars="200"/>
        <w:rPr>
          <w:rFonts w:hint="eastAsia"/>
        </w:rPr>
      </w:pPr>
      <w:r>
        <w:t>（三）对生产过程中产生的废物、废水和余热等进行综合利用或者循环使用；</w:t>
      </w:r>
    </w:p>
    <w:p w14:paraId="2B234EE6">
      <w:pPr>
        <w:autoSpaceDE w:val="0"/>
        <w:autoSpaceDN w:val="0"/>
        <w:spacing w:line="360" w:lineRule="auto"/>
        <w:ind w:firstLine="480" w:firstLineChars="200"/>
        <w:rPr>
          <w:rFonts w:hint="eastAsia"/>
        </w:rPr>
      </w:pPr>
      <w:r>
        <w:t>（四）采用能够达到国家或者地方规定的污染物排放标准和污染物排放总量控制指标的污染防治技术。”</w:t>
      </w:r>
    </w:p>
    <w:p w14:paraId="0496A97F">
      <w:pPr>
        <w:pStyle w:val="91"/>
        <w:spacing w:line="360" w:lineRule="auto"/>
        <w:ind w:firstLine="480"/>
        <w:rPr>
          <w:rFonts w:hint="eastAsia"/>
          <w:sz w:val="24"/>
        </w:rPr>
      </w:pPr>
      <w:r>
        <w:rPr>
          <w:sz w:val="24"/>
        </w:rPr>
        <w:t>可见，清洁生产已经是国家依法推行的控制污染、改善环境的有效措施之一。</w:t>
      </w:r>
    </w:p>
    <w:p w14:paraId="22F11BBF">
      <w:pPr>
        <w:pStyle w:val="97"/>
        <w:rPr>
          <w:rFonts w:hint="eastAsia"/>
          <w:sz w:val="24"/>
        </w:rPr>
      </w:pPr>
      <w:r>
        <w:rPr>
          <w:rFonts w:hint="eastAsia"/>
        </w:rPr>
        <w:t>清洁生产有关技术指标分析</w:t>
      </w:r>
    </w:p>
    <w:p w14:paraId="16C2211E">
      <w:pPr>
        <w:pStyle w:val="281"/>
        <w:ind w:firstLine="480"/>
      </w:pPr>
      <w:r>
        <w:t>本项目对照《清洁生产标准</w:t>
      </w:r>
      <w:r>
        <w:rPr>
          <w:rFonts w:hint="eastAsia"/>
        </w:rPr>
        <w:t xml:space="preserve">  氮肥制造业</w:t>
      </w:r>
      <w:r>
        <w:t>》（</w:t>
      </w:r>
      <w:r>
        <w:rPr>
          <w:rFonts w:hint="eastAsia"/>
        </w:rPr>
        <w:t>HJ/T188-2006</w:t>
      </w:r>
      <w:r>
        <w:t>）进行清洁生产技术指标分析，详见表</w:t>
      </w:r>
      <w:r>
        <w:rPr>
          <w:rFonts w:hint="eastAsia"/>
        </w:rPr>
        <w:t>3.12.2-1。</w:t>
      </w:r>
    </w:p>
    <w:p w14:paraId="307D2E40">
      <w:pPr>
        <w:pStyle w:val="281"/>
        <w:ind w:firstLine="480"/>
        <w:sectPr>
          <w:headerReference r:id="rId9" w:type="even"/>
          <w:footerReference r:id="rId10" w:type="even"/>
          <w:pgSz w:w="11906" w:h="16838"/>
          <w:pgMar w:top="1440" w:right="1800" w:bottom="1440" w:left="1800" w:header="851" w:footer="850" w:gutter="0"/>
          <w:cols w:space="425" w:num="1"/>
          <w:docGrid w:type="lines" w:linePitch="326" w:charSpace="0"/>
        </w:sectPr>
      </w:pPr>
    </w:p>
    <w:p w14:paraId="4D64297C">
      <w:pPr>
        <w:pStyle w:val="535"/>
        <w:rPr>
          <w:rFonts w:hint="eastAsia"/>
        </w:rPr>
      </w:pPr>
      <w:r>
        <w:t>表</w:t>
      </w:r>
      <w:r>
        <w:rPr>
          <w:rFonts w:hint="eastAsia"/>
        </w:rPr>
        <w:t>3.12.2-1    清洁生产水平比较表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5"/>
        <w:gridCol w:w="2797"/>
        <w:gridCol w:w="3355"/>
        <w:gridCol w:w="1998"/>
        <w:gridCol w:w="2088"/>
        <w:gridCol w:w="42"/>
        <w:gridCol w:w="1982"/>
        <w:gridCol w:w="1077"/>
      </w:tblGrid>
      <w:tr w14:paraId="37AD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16986AE4">
            <w:pPr>
              <w:pStyle w:val="557"/>
            </w:pPr>
            <w:r>
              <w:t>指标</w:t>
            </w:r>
          </w:p>
        </w:tc>
        <w:tc>
          <w:tcPr>
            <w:tcW w:w="1197" w:type="pct"/>
            <w:vAlign w:val="center"/>
          </w:tcPr>
          <w:p w14:paraId="7049756E">
            <w:pPr>
              <w:pStyle w:val="557"/>
            </w:pPr>
            <w:r>
              <w:t>一级</w:t>
            </w:r>
          </w:p>
        </w:tc>
        <w:tc>
          <w:tcPr>
            <w:tcW w:w="713" w:type="pct"/>
            <w:vAlign w:val="center"/>
          </w:tcPr>
          <w:p w14:paraId="4D2AFD8A">
            <w:pPr>
              <w:pStyle w:val="557"/>
            </w:pPr>
            <w:r>
              <w:t>二级</w:t>
            </w:r>
          </w:p>
        </w:tc>
        <w:tc>
          <w:tcPr>
            <w:tcW w:w="744" w:type="pct"/>
            <w:vAlign w:val="center"/>
          </w:tcPr>
          <w:p w14:paraId="054D6549">
            <w:pPr>
              <w:pStyle w:val="557"/>
            </w:pPr>
            <w:r>
              <w:t>三级</w:t>
            </w:r>
          </w:p>
        </w:tc>
        <w:tc>
          <w:tcPr>
            <w:tcW w:w="722" w:type="pct"/>
            <w:gridSpan w:val="2"/>
            <w:vAlign w:val="center"/>
          </w:tcPr>
          <w:p w14:paraId="0533664F">
            <w:pPr>
              <w:pStyle w:val="557"/>
            </w:pPr>
            <w:r>
              <w:t>本项目</w:t>
            </w:r>
          </w:p>
        </w:tc>
        <w:tc>
          <w:tcPr>
            <w:tcW w:w="381" w:type="pct"/>
            <w:vAlign w:val="center"/>
          </w:tcPr>
          <w:p w14:paraId="1FE88E70">
            <w:pPr>
              <w:pStyle w:val="557"/>
            </w:pPr>
            <w:r>
              <w:t>等级判定</w:t>
            </w:r>
          </w:p>
        </w:tc>
      </w:tr>
      <w:tr w14:paraId="08F1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000" w:type="pct"/>
            <w:gridSpan w:val="8"/>
            <w:vAlign w:val="center"/>
          </w:tcPr>
          <w:p w14:paraId="069E7B6C">
            <w:pPr>
              <w:pStyle w:val="557"/>
            </w:pPr>
            <w:r>
              <w:t>生产工艺与装备要求</w:t>
            </w:r>
          </w:p>
        </w:tc>
      </w:tr>
      <w:tr w14:paraId="5924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38E54878">
            <w:pPr>
              <w:pStyle w:val="557"/>
            </w:pPr>
            <w:r>
              <w:t>原料气制备</w:t>
            </w:r>
          </w:p>
        </w:tc>
        <w:tc>
          <w:tcPr>
            <w:tcW w:w="1197" w:type="pct"/>
            <w:vAlign w:val="center"/>
          </w:tcPr>
          <w:p w14:paraId="4F19E8D4">
            <w:pPr>
              <w:pStyle w:val="557"/>
            </w:pPr>
            <w:r>
              <w:t>加压连续气化DCS控制</w:t>
            </w:r>
          </w:p>
        </w:tc>
        <w:tc>
          <w:tcPr>
            <w:tcW w:w="713" w:type="pct"/>
            <w:vAlign w:val="center"/>
          </w:tcPr>
          <w:p w14:paraId="3005E090">
            <w:pPr>
              <w:pStyle w:val="557"/>
            </w:pPr>
            <w:r>
              <w:t>加压或常压气化计算机控制</w:t>
            </w:r>
          </w:p>
        </w:tc>
        <w:tc>
          <w:tcPr>
            <w:tcW w:w="744" w:type="pct"/>
            <w:vAlign w:val="center"/>
          </w:tcPr>
          <w:p w14:paraId="6C84BC17">
            <w:pPr>
              <w:pStyle w:val="557"/>
            </w:pPr>
            <w:r>
              <w:t>常压气化常规仪表控制</w:t>
            </w:r>
          </w:p>
        </w:tc>
        <w:tc>
          <w:tcPr>
            <w:tcW w:w="722" w:type="pct"/>
            <w:gridSpan w:val="2"/>
            <w:vAlign w:val="center"/>
          </w:tcPr>
          <w:p w14:paraId="3B30BF02">
            <w:pPr>
              <w:pStyle w:val="557"/>
            </w:pPr>
            <w:r>
              <w:t>DCS控制</w:t>
            </w:r>
          </w:p>
        </w:tc>
        <w:tc>
          <w:tcPr>
            <w:tcW w:w="381" w:type="pct"/>
            <w:vAlign w:val="center"/>
          </w:tcPr>
          <w:p w14:paraId="581C84EB">
            <w:pPr>
              <w:pStyle w:val="557"/>
            </w:pPr>
            <w:r>
              <w:t>一级</w:t>
            </w:r>
          </w:p>
        </w:tc>
      </w:tr>
      <w:tr w14:paraId="13EC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58EDF780">
            <w:pPr>
              <w:pStyle w:val="557"/>
            </w:pPr>
            <w:r>
              <w:t>原料气净化</w:t>
            </w:r>
          </w:p>
        </w:tc>
        <w:tc>
          <w:tcPr>
            <w:tcW w:w="997" w:type="pct"/>
            <w:vAlign w:val="center"/>
          </w:tcPr>
          <w:p w14:paraId="3C3CC6DC">
            <w:pPr>
              <w:pStyle w:val="557"/>
            </w:pPr>
            <w:r>
              <w:rPr>
                <w:rFonts w:hint="eastAsia"/>
              </w:rPr>
              <w:t>煤气冷却</w:t>
            </w:r>
          </w:p>
        </w:tc>
        <w:tc>
          <w:tcPr>
            <w:tcW w:w="1197" w:type="pct"/>
            <w:vAlign w:val="center"/>
          </w:tcPr>
          <w:p w14:paraId="02A5CC34">
            <w:pPr>
              <w:pStyle w:val="557"/>
            </w:pPr>
            <w:r>
              <w:t>DCS控制</w:t>
            </w:r>
          </w:p>
        </w:tc>
        <w:tc>
          <w:tcPr>
            <w:tcW w:w="713" w:type="pct"/>
            <w:vAlign w:val="center"/>
          </w:tcPr>
          <w:p w14:paraId="2D97980C">
            <w:pPr>
              <w:pStyle w:val="557"/>
            </w:pPr>
            <w:r>
              <w:t>计算机控制</w:t>
            </w:r>
          </w:p>
        </w:tc>
        <w:tc>
          <w:tcPr>
            <w:tcW w:w="744" w:type="pct"/>
            <w:vAlign w:val="center"/>
          </w:tcPr>
          <w:p w14:paraId="2BB0BDD5">
            <w:pPr>
              <w:pStyle w:val="557"/>
            </w:pPr>
            <w:r>
              <w:t>常规仪表控制</w:t>
            </w:r>
          </w:p>
        </w:tc>
        <w:tc>
          <w:tcPr>
            <w:tcW w:w="722" w:type="pct"/>
            <w:gridSpan w:val="2"/>
            <w:vAlign w:val="center"/>
          </w:tcPr>
          <w:p w14:paraId="366F6B12">
            <w:pPr>
              <w:pStyle w:val="557"/>
            </w:pPr>
            <w:r>
              <w:t>DCS控制</w:t>
            </w:r>
          </w:p>
        </w:tc>
        <w:tc>
          <w:tcPr>
            <w:tcW w:w="381" w:type="pct"/>
            <w:vAlign w:val="center"/>
          </w:tcPr>
          <w:p w14:paraId="6B6B7172">
            <w:pPr>
              <w:pStyle w:val="557"/>
            </w:pPr>
            <w:r>
              <w:t>一级</w:t>
            </w:r>
          </w:p>
        </w:tc>
      </w:tr>
      <w:tr w14:paraId="527D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6218FA40">
            <w:pPr>
              <w:pStyle w:val="557"/>
            </w:pPr>
          </w:p>
        </w:tc>
        <w:tc>
          <w:tcPr>
            <w:tcW w:w="997" w:type="pct"/>
            <w:vAlign w:val="center"/>
          </w:tcPr>
          <w:p w14:paraId="73455CC9">
            <w:pPr>
              <w:pStyle w:val="557"/>
            </w:pPr>
            <w:r>
              <w:t>脱硫</w:t>
            </w:r>
          </w:p>
        </w:tc>
        <w:tc>
          <w:tcPr>
            <w:tcW w:w="1197" w:type="pct"/>
            <w:vAlign w:val="center"/>
          </w:tcPr>
          <w:p w14:paraId="47058EAB">
            <w:pPr>
              <w:pStyle w:val="557"/>
            </w:pPr>
            <w:r>
              <w:t>高效硫回收装置，运行良好、自动控制</w:t>
            </w:r>
          </w:p>
        </w:tc>
        <w:tc>
          <w:tcPr>
            <w:tcW w:w="713" w:type="pct"/>
            <w:vAlign w:val="center"/>
          </w:tcPr>
          <w:p w14:paraId="3B3F1581">
            <w:pPr>
              <w:pStyle w:val="557"/>
            </w:pPr>
            <w:r>
              <w:t>有硫回收装置，运行良好</w:t>
            </w:r>
          </w:p>
        </w:tc>
        <w:tc>
          <w:tcPr>
            <w:tcW w:w="744" w:type="pct"/>
            <w:vAlign w:val="center"/>
          </w:tcPr>
          <w:p w14:paraId="7E28D877">
            <w:pPr>
              <w:pStyle w:val="557"/>
            </w:pPr>
            <w:r>
              <w:t>有硫回收装置</w:t>
            </w:r>
          </w:p>
        </w:tc>
        <w:tc>
          <w:tcPr>
            <w:tcW w:w="722" w:type="pct"/>
            <w:gridSpan w:val="2"/>
            <w:vAlign w:val="center"/>
          </w:tcPr>
          <w:p w14:paraId="00054EF0">
            <w:pPr>
              <w:pStyle w:val="557"/>
            </w:pPr>
            <w:r>
              <w:t>高效硫回收装置，运行良好、自动控制</w:t>
            </w:r>
          </w:p>
        </w:tc>
        <w:tc>
          <w:tcPr>
            <w:tcW w:w="381" w:type="pct"/>
            <w:vAlign w:val="center"/>
          </w:tcPr>
          <w:p w14:paraId="66B1EA7C">
            <w:pPr>
              <w:pStyle w:val="557"/>
            </w:pPr>
            <w:r>
              <w:t>一级</w:t>
            </w:r>
          </w:p>
        </w:tc>
      </w:tr>
      <w:tr w14:paraId="1DFD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31803294">
            <w:pPr>
              <w:pStyle w:val="557"/>
            </w:pPr>
          </w:p>
        </w:tc>
        <w:tc>
          <w:tcPr>
            <w:tcW w:w="997" w:type="pct"/>
            <w:vAlign w:val="center"/>
          </w:tcPr>
          <w:p w14:paraId="1E211AFB">
            <w:pPr>
              <w:pStyle w:val="557"/>
            </w:pPr>
            <w:r>
              <w:t>CO</w:t>
            </w:r>
            <w:r>
              <w:rPr>
                <w:vertAlign w:val="subscript"/>
              </w:rPr>
              <w:t>2</w:t>
            </w:r>
            <w:r>
              <w:t>脱除</w:t>
            </w:r>
          </w:p>
        </w:tc>
        <w:tc>
          <w:tcPr>
            <w:tcW w:w="1197" w:type="pct"/>
            <w:vAlign w:val="center"/>
          </w:tcPr>
          <w:p w14:paraId="7714C009">
            <w:pPr>
              <w:pStyle w:val="557"/>
            </w:pPr>
            <w:r>
              <w:t>DCS控制</w:t>
            </w:r>
          </w:p>
        </w:tc>
        <w:tc>
          <w:tcPr>
            <w:tcW w:w="713" w:type="pct"/>
            <w:vAlign w:val="center"/>
          </w:tcPr>
          <w:p w14:paraId="72180397">
            <w:pPr>
              <w:pStyle w:val="557"/>
            </w:pPr>
            <w:r>
              <w:t>计算机控制</w:t>
            </w:r>
          </w:p>
        </w:tc>
        <w:tc>
          <w:tcPr>
            <w:tcW w:w="744" w:type="pct"/>
            <w:vAlign w:val="center"/>
          </w:tcPr>
          <w:p w14:paraId="1E4EAE78">
            <w:pPr>
              <w:pStyle w:val="557"/>
            </w:pPr>
            <w:r>
              <w:t>常规仪表控制</w:t>
            </w:r>
          </w:p>
        </w:tc>
        <w:tc>
          <w:tcPr>
            <w:tcW w:w="722" w:type="pct"/>
            <w:gridSpan w:val="2"/>
            <w:vAlign w:val="center"/>
          </w:tcPr>
          <w:p w14:paraId="4B87F9C0">
            <w:pPr>
              <w:pStyle w:val="557"/>
            </w:pPr>
            <w:r>
              <w:t>DCS控制</w:t>
            </w:r>
          </w:p>
        </w:tc>
        <w:tc>
          <w:tcPr>
            <w:tcW w:w="381" w:type="pct"/>
            <w:vAlign w:val="center"/>
          </w:tcPr>
          <w:p w14:paraId="3A851185">
            <w:pPr>
              <w:pStyle w:val="557"/>
            </w:pPr>
            <w:r>
              <w:t>一级</w:t>
            </w:r>
          </w:p>
        </w:tc>
      </w:tr>
      <w:tr w14:paraId="0A90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2EE73CEB">
            <w:pPr>
              <w:pStyle w:val="557"/>
            </w:pPr>
          </w:p>
        </w:tc>
        <w:tc>
          <w:tcPr>
            <w:tcW w:w="997" w:type="pct"/>
            <w:vAlign w:val="center"/>
          </w:tcPr>
          <w:p w14:paraId="7818C23C">
            <w:pPr>
              <w:pStyle w:val="557"/>
            </w:pPr>
            <w:r>
              <w:rPr>
                <w:rFonts w:hint="eastAsia"/>
              </w:rPr>
              <w:t>深冷分离</w:t>
            </w:r>
          </w:p>
        </w:tc>
        <w:tc>
          <w:tcPr>
            <w:tcW w:w="1197" w:type="pct"/>
            <w:vAlign w:val="center"/>
          </w:tcPr>
          <w:p w14:paraId="68E060D8">
            <w:pPr>
              <w:pStyle w:val="557"/>
            </w:pPr>
            <w:r>
              <w:t>DCS控制</w:t>
            </w:r>
          </w:p>
        </w:tc>
        <w:tc>
          <w:tcPr>
            <w:tcW w:w="713" w:type="pct"/>
            <w:vAlign w:val="center"/>
          </w:tcPr>
          <w:p w14:paraId="02F031CA">
            <w:pPr>
              <w:pStyle w:val="557"/>
            </w:pPr>
            <w:r>
              <w:t>计算机控制</w:t>
            </w:r>
          </w:p>
        </w:tc>
        <w:tc>
          <w:tcPr>
            <w:tcW w:w="744" w:type="pct"/>
            <w:vAlign w:val="center"/>
          </w:tcPr>
          <w:p w14:paraId="53B2B466">
            <w:pPr>
              <w:pStyle w:val="557"/>
            </w:pPr>
            <w:r>
              <w:t>常规仪表控制</w:t>
            </w:r>
          </w:p>
        </w:tc>
        <w:tc>
          <w:tcPr>
            <w:tcW w:w="722" w:type="pct"/>
            <w:gridSpan w:val="2"/>
            <w:vAlign w:val="center"/>
          </w:tcPr>
          <w:p w14:paraId="09BF98BC">
            <w:pPr>
              <w:pStyle w:val="557"/>
            </w:pPr>
            <w:r>
              <w:t>DCS控制</w:t>
            </w:r>
          </w:p>
        </w:tc>
        <w:tc>
          <w:tcPr>
            <w:tcW w:w="381" w:type="pct"/>
            <w:vAlign w:val="center"/>
          </w:tcPr>
          <w:p w14:paraId="16530917">
            <w:pPr>
              <w:pStyle w:val="557"/>
            </w:pPr>
            <w:r>
              <w:t>一级</w:t>
            </w:r>
          </w:p>
        </w:tc>
      </w:tr>
      <w:tr w14:paraId="7416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627052C3">
            <w:pPr>
              <w:pStyle w:val="557"/>
            </w:pPr>
            <w:r>
              <w:t>原料气压缩</w:t>
            </w:r>
          </w:p>
        </w:tc>
        <w:tc>
          <w:tcPr>
            <w:tcW w:w="1197" w:type="pct"/>
            <w:vAlign w:val="center"/>
          </w:tcPr>
          <w:p w14:paraId="0A23FABB">
            <w:pPr>
              <w:pStyle w:val="557"/>
            </w:pPr>
            <w:r>
              <w:t>蒸汽驱动透平式压缩机</w:t>
            </w:r>
          </w:p>
        </w:tc>
        <w:tc>
          <w:tcPr>
            <w:tcW w:w="1458" w:type="pct"/>
            <w:gridSpan w:val="2"/>
            <w:vAlign w:val="center"/>
          </w:tcPr>
          <w:p w14:paraId="21567D06">
            <w:pPr>
              <w:pStyle w:val="557"/>
            </w:pPr>
            <w:r>
              <w:t>往复压缩机</w:t>
            </w:r>
          </w:p>
        </w:tc>
        <w:tc>
          <w:tcPr>
            <w:tcW w:w="722" w:type="pct"/>
            <w:gridSpan w:val="2"/>
            <w:vAlign w:val="center"/>
          </w:tcPr>
          <w:p w14:paraId="0E0725A6">
            <w:pPr>
              <w:pStyle w:val="557"/>
            </w:pPr>
            <w:r>
              <w:t>蒸汽驱动透平式压缩机</w:t>
            </w:r>
          </w:p>
        </w:tc>
        <w:tc>
          <w:tcPr>
            <w:tcW w:w="381" w:type="pct"/>
            <w:vAlign w:val="center"/>
          </w:tcPr>
          <w:p w14:paraId="433C1C4F">
            <w:pPr>
              <w:pStyle w:val="557"/>
            </w:pPr>
            <w:r>
              <w:t>一级</w:t>
            </w:r>
          </w:p>
        </w:tc>
      </w:tr>
      <w:tr w14:paraId="66B2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2B11D793">
            <w:pPr>
              <w:pStyle w:val="557"/>
            </w:pPr>
            <w:r>
              <w:t>氨合成</w:t>
            </w:r>
          </w:p>
        </w:tc>
        <w:tc>
          <w:tcPr>
            <w:tcW w:w="997" w:type="pct"/>
            <w:vAlign w:val="center"/>
          </w:tcPr>
          <w:p w14:paraId="6687F33F">
            <w:pPr>
              <w:pStyle w:val="557"/>
            </w:pPr>
            <w:r>
              <w:t>合成压力</w:t>
            </w:r>
          </w:p>
        </w:tc>
        <w:tc>
          <w:tcPr>
            <w:tcW w:w="1197" w:type="pct"/>
            <w:vAlign w:val="center"/>
          </w:tcPr>
          <w:p w14:paraId="088BB7B8">
            <w:pPr>
              <w:pStyle w:val="557"/>
            </w:pPr>
            <w:r>
              <w:t>≤15.0MPa</w:t>
            </w:r>
          </w:p>
        </w:tc>
        <w:tc>
          <w:tcPr>
            <w:tcW w:w="1458" w:type="pct"/>
            <w:gridSpan w:val="2"/>
            <w:vAlign w:val="center"/>
          </w:tcPr>
          <w:p w14:paraId="7313BCAC">
            <w:pPr>
              <w:pStyle w:val="557"/>
            </w:pPr>
            <w:r>
              <w:t>20～30 MPa</w:t>
            </w:r>
          </w:p>
        </w:tc>
        <w:tc>
          <w:tcPr>
            <w:tcW w:w="722" w:type="pct"/>
            <w:gridSpan w:val="2"/>
            <w:vAlign w:val="center"/>
          </w:tcPr>
          <w:p w14:paraId="573A007A">
            <w:pPr>
              <w:pStyle w:val="557"/>
            </w:pPr>
            <w:r>
              <w:rPr>
                <w:rFonts w:hint="eastAsia"/>
              </w:rPr>
              <w:t>14.5</w:t>
            </w:r>
            <w:r>
              <w:t>MPa</w:t>
            </w:r>
          </w:p>
        </w:tc>
        <w:tc>
          <w:tcPr>
            <w:tcW w:w="381" w:type="pct"/>
            <w:vAlign w:val="center"/>
          </w:tcPr>
          <w:p w14:paraId="67313B09">
            <w:pPr>
              <w:pStyle w:val="557"/>
            </w:pPr>
            <w:r>
              <w:t>一级</w:t>
            </w:r>
          </w:p>
        </w:tc>
      </w:tr>
      <w:tr w14:paraId="150B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6E88F7C3">
            <w:pPr>
              <w:pStyle w:val="557"/>
            </w:pPr>
          </w:p>
        </w:tc>
        <w:tc>
          <w:tcPr>
            <w:tcW w:w="997" w:type="pct"/>
            <w:vAlign w:val="center"/>
          </w:tcPr>
          <w:p w14:paraId="1795F1B9">
            <w:pPr>
              <w:pStyle w:val="557"/>
            </w:pPr>
            <w:r>
              <w:t>稀氨水回收</w:t>
            </w:r>
          </w:p>
        </w:tc>
        <w:tc>
          <w:tcPr>
            <w:tcW w:w="1197" w:type="pct"/>
            <w:vAlign w:val="center"/>
          </w:tcPr>
          <w:p w14:paraId="6E66FFAD">
            <w:pPr>
              <w:pStyle w:val="557"/>
            </w:pPr>
            <w:r>
              <w:t>水闭路循环</w:t>
            </w:r>
          </w:p>
        </w:tc>
        <w:tc>
          <w:tcPr>
            <w:tcW w:w="1458" w:type="pct"/>
            <w:gridSpan w:val="2"/>
            <w:vAlign w:val="center"/>
          </w:tcPr>
          <w:p w14:paraId="006B75E7">
            <w:pPr>
              <w:pStyle w:val="557"/>
            </w:pPr>
            <w:r>
              <w:t>稀氨水回收</w:t>
            </w:r>
          </w:p>
        </w:tc>
        <w:tc>
          <w:tcPr>
            <w:tcW w:w="722" w:type="pct"/>
            <w:gridSpan w:val="2"/>
            <w:vAlign w:val="center"/>
          </w:tcPr>
          <w:p w14:paraId="3596E1AE">
            <w:pPr>
              <w:pStyle w:val="557"/>
            </w:pPr>
            <w:r>
              <w:t>水闭路循环</w:t>
            </w:r>
          </w:p>
        </w:tc>
        <w:tc>
          <w:tcPr>
            <w:tcW w:w="381" w:type="pct"/>
            <w:vAlign w:val="center"/>
          </w:tcPr>
          <w:p w14:paraId="785CA3FB">
            <w:pPr>
              <w:pStyle w:val="557"/>
            </w:pPr>
            <w:r>
              <w:t>一级</w:t>
            </w:r>
          </w:p>
        </w:tc>
      </w:tr>
      <w:tr w14:paraId="3683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000" w:type="pct"/>
            <w:gridSpan w:val="8"/>
            <w:vAlign w:val="center"/>
          </w:tcPr>
          <w:p w14:paraId="7E44F54C">
            <w:pPr>
              <w:pStyle w:val="557"/>
            </w:pPr>
            <w:r>
              <w:t>废物回收处理要求</w:t>
            </w:r>
          </w:p>
        </w:tc>
      </w:tr>
      <w:tr w14:paraId="4F5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68CAFC60">
            <w:pPr>
              <w:pStyle w:val="557"/>
            </w:pPr>
            <w:r>
              <w:t>废水</w:t>
            </w:r>
          </w:p>
        </w:tc>
        <w:tc>
          <w:tcPr>
            <w:tcW w:w="997" w:type="pct"/>
            <w:shd w:val="clear" w:color="auto" w:fill="FFFFFF" w:themeFill="background1"/>
            <w:vAlign w:val="center"/>
          </w:tcPr>
          <w:p w14:paraId="4E40DB39">
            <w:pPr>
              <w:pStyle w:val="557"/>
            </w:pPr>
            <w:r>
              <w:t>含氰废水回收利用率</w:t>
            </w:r>
            <w:r>
              <w:rPr>
                <w:rFonts w:hint="eastAsia"/>
              </w:rPr>
              <w:t>，</w:t>
            </w:r>
            <w:r>
              <w:t>%</w:t>
            </w:r>
          </w:p>
        </w:tc>
        <w:tc>
          <w:tcPr>
            <w:tcW w:w="1197" w:type="pct"/>
            <w:shd w:val="clear" w:color="auto" w:fill="FFFFFF" w:themeFill="background1"/>
            <w:vAlign w:val="center"/>
          </w:tcPr>
          <w:p w14:paraId="2926E636">
            <w:pPr>
              <w:pStyle w:val="557"/>
            </w:pPr>
            <w:r>
              <w:t>95</w:t>
            </w:r>
          </w:p>
        </w:tc>
        <w:tc>
          <w:tcPr>
            <w:tcW w:w="713" w:type="pct"/>
            <w:shd w:val="clear" w:color="auto" w:fill="FFFFFF" w:themeFill="background1"/>
            <w:vAlign w:val="center"/>
          </w:tcPr>
          <w:p w14:paraId="545A6A8D">
            <w:pPr>
              <w:pStyle w:val="557"/>
            </w:pPr>
            <w:r>
              <w:t>90</w:t>
            </w:r>
          </w:p>
        </w:tc>
        <w:tc>
          <w:tcPr>
            <w:tcW w:w="744" w:type="pct"/>
            <w:shd w:val="clear" w:color="auto" w:fill="FFFFFF" w:themeFill="background1"/>
            <w:vAlign w:val="center"/>
          </w:tcPr>
          <w:p w14:paraId="2BB68142">
            <w:pPr>
              <w:pStyle w:val="557"/>
            </w:pPr>
            <w:r>
              <w:t>85</w:t>
            </w:r>
          </w:p>
        </w:tc>
        <w:tc>
          <w:tcPr>
            <w:tcW w:w="722" w:type="pct"/>
            <w:gridSpan w:val="2"/>
            <w:shd w:val="clear" w:color="auto" w:fill="FFFFFF" w:themeFill="background1"/>
            <w:vAlign w:val="center"/>
          </w:tcPr>
          <w:p w14:paraId="1389993F">
            <w:pPr>
              <w:pStyle w:val="557"/>
            </w:pPr>
            <w:r>
              <w:rPr>
                <w:rFonts w:hint="eastAsia"/>
              </w:rPr>
              <w:t>/</w:t>
            </w:r>
          </w:p>
        </w:tc>
        <w:tc>
          <w:tcPr>
            <w:tcW w:w="381" w:type="pct"/>
            <w:vAlign w:val="center"/>
          </w:tcPr>
          <w:p w14:paraId="20C8B851">
            <w:pPr>
              <w:pStyle w:val="557"/>
            </w:pPr>
            <w:r>
              <w:rPr>
                <w:rFonts w:hint="eastAsia"/>
              </w:rPr>
              <w:t>/</w:t>
            </w:r>
          </w:p>
        </w:tc>
      </w:tr>
      <w:tr w14:paraId="19E9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59D0F56C">
            <w:pPr>
              <w:pStyle w:val="557"/>
            </w:pPr>
          </w:p>
        </w:tc>
        <w:tc>
          <w:tcPr>
            <w:tcW w:w="997" w:type="pct"/>
            <w:shd w:val="clear" w:color="auto" w:fill="FFFFFF" w:themeFill="background1"/>
            <w:vAlign w:val="center"/>
          </w:tcPr>
          <w:p w14:paraId="40641F94">
            <w:pPr>
              <w:pStyle w:val="557"/>
            </w:pPr>
            <w:r>
              <w:t>含氨废水回收利用率</w:t>
            </w:r>
            <w:r>
              <w:rPr>
                <w:rFonts w:hint="eastAsia"/>
              </w:rPr>
              <w:t>，</w:t>
            </w:r>
            <w:r>
              <w:t xml:space="preserve"> %</w:t>
            </w:r>
          </w:p>
        </w:tc>
        <w:tc>
          <w:tcPr>
            <w:tcW w:w="1197" w:type="pct"/>
            <w:shd w:val="clear" w:color="auto" w:fill="FFFFFF" w:themeFill="background1"/>
            <w:vAlign w:val="center"/>
          </w:tcPr>
          <w:p w14:paraId="5C1C4775">
            <w:pPr>
              <w:pStyle w:val="557"/>
            </w:pPr>
            <w:r>
              <w:t>98</w:t>
            </w:r>
          </w:p>
        </w:tc>
        <w:tc>
          <w:tcPr>
            <w:tcW w:w="713" w:type="pct"/>
            <w:shd w:val="clear" w:color="auto" w:fill="FFFFFF" w:themeFill="background1"/>
            <w:vAlign w:val="center"/>
          </w:tcPr>
          <w:p w14:paraId="43EE336A">
            <w:pPr>
              <w:pStyle w:val="557"/>
            </w:pPr>
            <w:r>
              <w:t>95</w:t>
            </w:r>
          </w:p>
        </w:tc>
        <w:tc>
          <w:tcPr>
            <w:tcW w:w="744" w:type="pct"/>
            <w:shd w:val="clear" w:color="auto" w:fill="FFFFFF" w:themeFill="background1"/>
            <w:vAlign w:val="center"/>
          </w:tcPr>
          <w:p w14:paraId="2437302B">
            <w:pPr>
              <w:pStyle w:val="557"/>
            </w:pPr>
            <w:r>
              <w:t>90</w:t>
            </w:r>
          </w:p>
        </w:tc>
        <w:tc>
          <w:tcPr>
            <w:tcW w:w="722" w:type="pct"/>
            <w:gridSpan w:val="2"/>
            <w:shd w:val="clear" w:color="auto" w:fill="FFFFFF" w:themeFill="background1"/>
            <w:vAlign w:val="center"/>
          </w:tcPr>
          <w:p w14:paraId="743FA01C">
            <w:pPr>
              <w:pStyle w:val="557"/>
            </w:pPr>
            <w:r>
              <w:t>100</w:t>
            </w:r>
          </w:p>
        </w:tc>
        <w:tc>
          <w:tcPr>
            <w:tcW w:w="381" w:type="pct"/>
            <w:vAlign w:val="center"/>
          </w:tcPr>
          <w:p w14:paraId="47EE3EBE">
            <w:pPr>
              <w:pStyle w:val="557"/>
            </w:pPr>
            <w:r>
              <w:t>一级</w:t>
            </w:r>
          </w:p>
        </w:tc>
      </w:tr>
      <w:tr w14:paraId="04F5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3C569AC4">
            <w:pPr>
              <w:pStyle w:val="557"/>
            </w:pPr>
          </w:p>
        </w:tc>
        <w:tc>
          <w:tcPr>
            <w:tcW w:w="997" w:type="pct"/>
            <w:shd w:val="clear" w:color="auto" w:fill="FFFFFF" w:themeFill="background1"/>
            <w:vAlign w:val="center"/>
          </w:tcPr>
          <w:p w14:paraId="617C2C3D">
            <w:pPr>
              <w:pStyle w:val="557"/>
            </w:pPr>
            <w:r>
              <w:t>含碳黑废水回收利用率</w:t>
            </w:r>
            <w:r>
              <w:rPr>
                <w:rFonts w:hint="eastAsia"/>
              </w:rPr>
              <w:t>，</w:t>
            </w:r>
            <w:r>
              <w:t xml:space="preserve"> %</w:t>
            </w:r>
          </w:p>
        </w:tc>
        <w:tc>
          <w:tcPr>
            <w:tcW w:w="2655" w:type="pct"/>
            <w:gridSpan w:val="3"/>
            <w:shd w:val="clear" w:color="auto" w:fill="FFFFFF" w:themeFill="background1"/>
            <w:vAlign w:val="center"/>
          </w:tcPr>
          <w:p w14:paraId="73BA1499">
            <w:pPr>
              <w:pStyle w:val="557"/>
            </w:pPr>
            <w:r>
              <w:t>98</w:t>
            </w:r>
          </w:p>
        </w:tc>
        <w:tc>
          <w:tcPr>
            <w:tcW w:w="722" w:type="pct"/>
            <w:gridSpan w:val="2"/>
            <w:shd w:val="clear" w:color="auto" w:fill="FFFFFF" w:themeFill="background1"/>
            <w:vAlign w:val="center"/>
          </w:tcPr>
          <w:p w14:paraId="44B515C3">
            <w:pPr>
              <w:pStyle w:val="557"/>
            </w:pPr>
            <w:r>
              <w:rPr>
                <w:rFonts w:hint="eastAsia"/>
              </w:rPr>
              <w:t>/</w:t>
            </w:r>
          </w:p>
        </w:tc>
        <w:tc>
          <w:tcPr>
            <w:tcW w:w="381" w:type="pct"/>
            <w:vAlign w:val="center"/>
          </w:tcPr>
          <w:p w14:paraId="7210AE22">
            <w:pPr>
              <w:pStyle w:val="557"/>
            </w:pPr>
            <w:r>
              <w:rPr>
                <w:rFonts w:hint="eastAsia"/>
              </w:rPr>
              <w:t>/</w:t>
            </w:r>
          </w:p>
        </w:tc>
      </w:tr>
      <w:tr w14:paraId="2666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4E107A95">
            <w:pPr>
              <w:pStyle w:val="557"/>
            </w:pPr>
            <w:r>
              <w:t>废气</w:t>
            </w:r>
          </w:p>
        </w:tc>
        <w:tc>
          <w:tcPr>
            <w:tcW w:w="997" w:type="pct"/>
            <w:shd w:val="clear" w:color="auto" w:fill="FFFFFF" w:themeFill="background1"/>
            <w:vAlign w:val="center"/>
          </w:tcPr>
          <w:p w14:paraId="693B7EFE">
            <w:pPr>
              <w:pStyle w:val="557"/>
            </w:pPr>
            <w:r>
              <w:t>含H</w:t>
            </w:r>
            <w:r>
              <w:rPr>
                <w:vertAlign w:val="subscript"/>
              </w:rPr>
              <w:t>2</w:t>
            </w:r>
            <w:r>
              <w:t>S气体回收利用率</w:t>
            </w:r>
            <w:r>
              <w:rPr>
                <w:rFonts w:hint="eastAsia"/>
              </w:rPr>
              <w:t>，</w:t>
            </w:r>
            <w:r>
              <w:t xml:space="preserve"> %</w:t>
            </w:r>
          </w:p>
        </w:tc>
        <w:tc>
          <w:tcPr>
            <w:tcW w:w="1197" w:type="pct"/>
            <w:shd w:val="clear" w:color="auto" w:fill="FFFFFF" w:themeFill="background1"/>
            <w:vAlign w:val="center"/>
          </w:tcPr>
          <w:p w14:paraId="2A83C073">
            <w:pPr>
              <w:pStyle w:val="557"/>
            </w:pPr>
            <w:r>
              <w:t>98</w:t>
            </w:r>
          </w:p>
        </w:tc>
        <w:tc>
          <w:tcPr>
            <w:tcW w:w="713" w:type="pct"/>
            <w:shd w:val="clear" w:color="auto" w:fill="FFFFFF" w:themeFill="background1"/>
            <w:vAlign w:val="center"/>
          </w:tcPr>
          <w:p w14:paraId="1B7ABE04">
            <w:pPr>
              <w:pStyle w:val="557"/>
            </w:pPr>
            <w:r>
              <w:t>95</w:t>
            </w:r>
          </w:p>
        </w:tc>
        <w:tc>
          <w:tcPr>
            <w:tcW w:w="744" w:type="pct"/>
            <w:shd w:val="clear" w:color="auto" w:fill="FFFFFF" w:themeFill="background1"/>
            <w:vAlign w:val="center"/>
          </w:tcPr>
          <w:p w14:paraId="4ED868CF">
            <w:pPr>
              <w:pStyle w:val="557"/>
            </w:pPr>
            <w:r>
              <w:t>90</w:t>
            </w:r>
          </w:p>
        </w:tc>
        <w:tc>
          <w:tcPr>
            <w:tcW w:w="722" w:type="pct"/>
            <w:gridSpan w:val="2"/>
            <w:shd w:val="clear" w:color="auto" w:fill="FFFFFF" w:themeFill="background1"/>
            <w:vAlign w:val="center"/>
          </w:tcPr>
          <w:p w14:paraId="5F39A05E">
            <w:pPr>
              <w:pStyle w:val="557"/>
            </w:pPr>
            <w:r>
              <w:rPr>
                <w:rFonts w:hint="eastAsia"/>
              </w:rPr>
              <w:t>100</w:t>
            </w:r>
          </w:p>
        </w:tc>
        <w:tc>
          <w:tcPr>
            <w:tcW w:w="381" w:type="pct"/>
            <w:vAlign w:val="center"/>
          </w:tcPr>
          <w:p w14:paraId="40CA27D1">
            <w:pPr>
              <w:pStyle w:val="557"/>
            </w:pPr>
            <w:r>
              <w:t>一级</w:t>
            </w:r>
          </w:p>
        </w:tc>
      </w:tr>
      <w:tr w14:paraId="466B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3C836CC0">
            <w:pPr>
              <w:pStyle w:val="557"/>
            </w:pPr>
          </w:p>
        </w:tc>
        <w:tc>
          <w:tcPr>
            <w:tcW w:w="997" w:type="pct"/>
            <w:shd w:val="clear" w:color="auto" w:fill="FFFFFF" w:themeFill="background1"/>
            <w:vAlign w:val="center"/>
          </w:tcPr>
          <w:p w14:paraId="18EFD406">
            <w:pPr>
              <w:pStyle w:val="557"/>
            </w:pPr>
            <w:r>
              <w:t>CO再生气回收利用率</w:t>
            </w:r>
            <w:r>
              <w:rPr>
                <w:rFonts w:hint="eastAsia"/>
              </w:rPr>
              <w:t>，</w:t>
            </w:r>
            <w:r>
              <w:t xml:space="preserve"> %</w:t>
            </w:r>
          </w:p>
        </w:tc>
        <w:tc>
          <w:tcPr>
            <w:tcW w:w="2655" w:type="pct"/>
            <w:gridSpan w:val="3"/>
            <w:shd w:val="clear" w:color="auto" w:fill="FFFFFF" w:themeFill="background1"/>
            <w:vAlign w:val="center"/>
          </w:tcPr>
          <w:p w14:paraId="43A5AE97">
            <w:pPr>
              <w:pStyle w:val="557"/>
            </w:pPr>
            <w:r>
              <w:t>100</w:t>
            </w:r>
          </w:p>
        </w:tc>
        <w:tc>
          <w:tcPr>
            <w:tcW w:w="722" w:type="pct"/>
            <w:gridSpan w:val="2"/>
            <w:shd w:val="clear" w:color="auto" w:fill="FFFFFF" w:themeFill="background1"/>
            <w:vAlign w:val="center"/>
          </w:tcPr>
          <w:p w14:paraId="4627AA7A">
            <w:pPr>
              <w:pStyle w:val="557"/>
            </w:pPr>
            <w:r>
              <w:rPr>
                <w:rFonts w:hint="eastAsia"/>
              </w:rPr>
              <w:t>/</w:t>
            </w:r>
          </w:p>
        </w:tc>
        <w:tc>
          <w:tcPr>
            <w:tcW w:w="381" w:type="pct"/>
            <w:vAlign w:val="center"/>
          </w:tcPr>
          <w:p w14:paraId="7AC3D911">
            <w:pPr>
              <w:pStyle w:val="557"/>
            </w:pPr>
            <w:r>
              <w:rPr>
                <w:rFonts w:hint="eastAsia"/>
              </w:rPr>
              <w:t>/</w:t>
            </w:r>
          </w:p>
        </w:tc>
      </w:tr>
      <w:tr w14:paraId="30A7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1FF6BE66">
            <w:pPr>
              <w:pStyle w:val="557"/>
            </w:pPr>
            <w:r>
              <w:t>废渣</w:t>
            </w:r>
          </w:p>
        </w:tc>
        <w:tc>
          <w:tcPr>
            <w:tcW w:w="997" w:type="pct"/>
            <w:shd w:val="clear" w:color="auto" w:fill="FFFFFF" w:themeFill="background1"/>
            <w:vAlign w:val="center"/>
          </w:tcPr>
          <w:p w14:paraId="57F31A22">
            <w:pPr>
              <w:pStyle w:val="557"/>
            </w:pPr>
            <w:r>
              <w:t>煤灰渣处理处置率</w:t>
            </w:r>
            <w:r>
              <w:rPr>
                <w:rFonts w:hint="eastAsia"/>
              </w:rPr>
              <w:t>，</w:t>
            </w:r>
            <w:r>
              <w:t xml:space="preserve"> %</w:t>
            </w:r>
          </w:p>
        </w:tc>
        <w:tc>
          <w:tcPr>
            <w:tcW w:w="2655" w:type="pct"/>
            <w:gridSpan w:val="3"/>
            <w:shd w:val="clear" w:color="auto" w:fill="FFFFFF" w:themeFill="background1"/>
            <w:vAlign w:val="center"/>
          </w:tcPr>
          <w:p w14:paraId="243E6458">
            <w:pPr>
              <w:pStyle w:val="557"/>
            </w:pPr>
            <w:r>
              <w:t>100</w:t>
            </w:r>
          </w:p>
        </w:tc>
        <w:tc>
          <w:tcPr>
            <w:tcW w:w="722" w:type="pct"/>
            <w:gridSpan w:val="2"/>
            <w:shd w:val="clear" w:color="auto" w:fill="FFFFFF" w:themeFill="background1"/>
            <w:vAlign w:val="center"/>
          </w:tcPr>
          <w:p w14:paraId="089C3D38">
            <w:pPr>
              <w:pStyle w:val="557"/>
            </w:pPr>
            <w:r>
              <w:t xml:space="preserve">100 </w:t>
            </w:r>
          </w:p>
        </w:tc>
        <w:tc>
          <w:tcPr>
            <w:tcW w:w="381" w:type="pct"/>
            <w:vAlign w:val="center"/>
          </w:tcPr>
          <w:p w14:paraId="6CE53820">
            <w:pPr>
              <w:pStyle w:val="557"/>
            </w:pPr>
            <w:r>
              <w:t>一级</w:t>
            </w:r>
          </w:p>
        </w:tc>
      </w:tr>
      <w:tr w14:paraId="2071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15758098">
            <w:pPr>
              <w:pStyle w:val="557"/>
            </w:pPr>
          </w:p>
        </w:tc>
        <w:tc>
          <w:tcPr>
            <w:tcW w:w="997" w:type="pct"/>
            <w:vAlign w:val="center"/>
          </w:tcPr>
          <w:p w14:paraId="57D2F7EC">
            <w:pPr>
              <w:pStyle w:val="557"/>
            </w:pPr>
            <w:r>
              <w:t>炭黑处理处置率</w:t>
            </w:r>
            <w:r>
              <w:rPr>
                <w:rFonts w:hint="eastAsia"/>
              </w:rPr>
              <w:t>，</w:t>
            </w:r>
            <w:r>
              <w:t xml:space="preserve"> %</w:t>
            </w:r>
          </w:p>
        </w:tc>
        <w:tc>
          <w:tcPr>
            <w:tcW w:w="2655" w:type="pct"/>
            <w:gridSpan w:val="3"/>
            <w:vAlign w:val="center"/>
          </w:tcPr>
          <w:p w14:paraId="537DF51F">
            <w:pPr>
              <w:pStyle w:val="557"/>
            </w:pPr>
            <w:r>
              <w:t>100</w:t>
            </w:r>
          </w:p>
        </w:tc>
        <w:tc>
          <w:tcPr>
            <w:tcW w:w="722" w:type="pct"/>
            <w:gridSpan w:val="2"/>
            <w:vAlign w:val="center"/>
          </w:tcPr>
          <w:p w14:paraId="22317EAE">
            <w:pPr>
              <w:pStyle w:val="557"/>
            </w:pPr>
            <w:r>
              <w:rPr>
                <w:rFonts w:hint="eastAsia"/>
              </w:rPr>
              <w:t>/</w:t>
            </w:r>
          </w:p>
        </w:tc>
        <w:tc>
          <w:tcPr>
            <w:tcW w:w="381" w:type="pct"/>
            <w:vAlign w:val="center"/>
          </w:tcPr>
          <w:p w14:paraId="5FD59993">
            <w:pPr>
              <w:pStyle w:val="557"/>
            </w:pPr>
            <w:r>
              <w:rPr>
                <w:rFonts w:hint="eastAsia"/>
              </w:rPr>
              <w:t>/</w:t>
            </w:r>
          </w:p>
        </w:tc>
      </w:tr>
      <w:tr w14:paraId="01AD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3BFD1842">
            <w:pPr>
              <w:pStyle w:val="557"/>
            </w:pPr>
          </w:p>
        </w:tc>
        <w:tc>
          <w:tcPr>
            <w:tcW w:w="997" w:type="pct"/>
            <w:vAlign w:val="center"/>
          </w:tcPr>
          <w:p w14:paraId="77985DE9">
            <w:pPr>
              <w:pStyle w:val="557"/>
            </w:pPr>
            <w:r>
              <w:t>含贵金属废催化剂处理处置率</w:t>
            </w:r>
            <w:r>
              <w:rPr>
                <w:rFonts w:hint="eastAsia"/>
              </w:rPr>
              <w:t>，</w:t>
            </w:r>
            <w:r>
              <w:t xml:space="preserve"> %</w:t>
            </w:r>
          </w:p>
        </w:tc>
        <w:tc>
          <w:tcPr>
            <w:tcW w:w="2655" w:type="pct"/>
            <w:gridSpan w:val="3"/>
            <w:vAlign w:val="center"/>
          </w:tcPr>
          <w:p w14:paraId="2B57ADDB">
            <w:pPr>
              <w:pStyle w:val="557"/>
            </w:pPr>
            <w:r>
              <w:t>100</w:t>
            </w:r>
          </w:p>
        </w:tc>
        <w:tc>
          <w:tcPr>
            <w:tcW w:w="722" w:type="pct"/>
            <w:gridSpan w:val="2"/>
            <w:vAlign w:val="center"/>
          </w:tcPr>
          <w:p w14:paraId="5DB567EC">
            <w:pPr>
              <w:pStyle w:val="557"/>
            </w:pPr>
            <w:r>
              <w:t xml:space="preserve">100 </w:t>
            </w:r>
          </w:p>
        </w:tc>
        <w:tc>
          <w:tcPr>
            <w:tcW w:w="381" w:type="pct"/>
            <w:vAlign w:val="center"/>
          </w:tcPr>
          <w:p w14:paraId="1360BFE0">
            <w:pPr>
              <w:pStyle w:val="557"/>
            </w:pPr>
            <w:r>
              <w:t>一级</w:t>
            </w:r>
          </w:p>
        </w:tc>
      </w:tr>
      <w:tr w14:paraId="22CA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000" w:type="pct"/>
            <w:gridSpan w:val="8"/>
            <w:vAlign w:val="center"/>
          </w:tcPr>
          <w:p w14:paraId="7CF3748A">
            <w:pPr>
              <w:pStyle w:val="557"/>
            </w:pPr>
            <w:r>
              <w:t>污染物产生指标（末端处理前）</w:t>
            </w:r>
          </w:p>
        </w:tc>
      </w:tr>
      <w:tr w14:paraId="64C5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572B35FD">
            <w:pPr>
              <w:pStyle w:val="557"/>
            </w:pPr>
            <w:r>
              <w:t>废水</w:t>
            </w:r>
          </w:p>
        </w:tc>
        <w:tc>
          <w:tcPr>
            <w:tcW w:w="997" w:type="pct"/>
            <w:vAlign w:val="center"/>
          </w:tcPr>
          <w:p w14:paraId="2FC313D0">
            <w:pPr>
              <w:pStyle w:val="557"/>
            </w:pPr>
            <w:r>
              <w:t>废水量，m</w:t>
            </w:r>
            <w:r>
              <w:rPr>
                <w:vertAlign w:val="superscript"/>
              </w:rPr>
              <w:t>3</w:t>
            </w:r>
            <w:r>
              <w:t>/t氨</w:t>
            </w:r>
          </w:p>
        </w:tc>
        <w:tc>
          <w:tcPr>
            <w:tcW w:w="1197" w:type="pct"/>
            <w:vAlign w:val="center"/>
          </w:tcPr>
          <w:p w14:paraId="69DBD16D">
            <w:pPr>
              <w:pStyle w:val="557"/>
            </w:pPr>
            <w:r>
              <w:t>≤10.0</w:t>
            </w:r>
          </w:p>
        </w:tc>
        <w:tc>
          <w:tcPr>
            <w:tcW w:w="713" w:type="pct"/>
            <w:vAlign w:val="center"/>
          </w:tcPr>
          <w:p w14:paraId="30FE2BA6">
            <w:pPr>
              <w:pStyle w:val="557"/>
            </w:pPr>
            <w:r>
              <w:t>≤30.0</w:t>
            </w:r>
          </w:p>
        </w:tc>
        <w:tc>
          <w:tcPr>
            <w:tcW w:w="744" w:type="pct"/>
            <w:vAlign w:val="center"/>
          </w:tcPr>
          <w:p w14:paraId="21DD4C1C">
            <w:pPr>
              <w:pStyle w:val="557"/>
            </w:pPr>
            <w:r>
              <w:t>≤50.0</w:t>
            </w:r>
          </w:p>
        </w:tc>
        <w:tc>
          <w:tcPr>
            <w:tcW w:w="722" w:type="pct"/>
            <w:gridSpan w:val="2"/>
            <w:vAlign w:val="center"/>
          </w:tcPr>
          <w:p w14:paraId="41BD889E">
            <w:pPr>
              <w:pStyle w:val="557"/>
            </w:pPr>
            <w:r>
              <w:rPr>
                <w:rFonts w:hint="eastAsia"/>
              </w:rPr>
              <w:t>/</w:t>
            </w:r>
          </w:p>
        </w:tc>
        <w:tc>
          <w:tcPr>
            <w:tcW w:w="381" w:type="pct"/>
            <w:vAlign w:val="center"/>
          </w:tcPr>
          <w:p w14:paraId="1F2EE2F4">
            <w:pPr>
              <w:pStyle w:val="557"/>
            </w:pPr>
            <w:r>
              <w:t>一级</w:t>
            </w:r>
          </w:p>
        </w:tc>
      </w:tr>
      <w:tr w14:paraId="3BC3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02B596B4">
            <w:pPr>
              <w:pStyle w:val="557"/>
            </w:pPr>
          </w:p>
        </w:tc>
        <w:tc>
          <w:tcPr>
            <w:tcW w:w="997" w:type="pct"/>
            <w:vAlign w:val="center"/>
          </w:tcPr>
          <w:p w14:paraId="0B632E8B">
            <w:pPr>
              <w:pStyle w:val="557"/>
            </w:pPr>
            <w:r>
              <w:t>废水中氨氮，kg/t氨</w:t>
            </w:r>
          </w:p>
        </w:tc>
        <w:tc>
          <w:tcPr>
            <w:tcW w:w="1197" w:type="pct"/>
            <w:vAlign w:val="center"/>
          </w:tcPr>
          <w:p w14:paraId="76FD31FC">
            <w:pPr>
              <w:pStyle w:val="557"/>
            </w:pPr>
            <w:r>
              <w:t>≤0.6</w:t>
            </w:r>
          </w:p>
        </w:tc>
        <w:tc>
          <w:tcPr>
            <w:tcW w:w="713" w:type="pct"/>
            <w:vAlign w:val="center"/>
          </w:tcPr>
          <w:p w14:paraId="6A7376D0">
            <w:pPr>
              <w:pStyle w:val="557"/>
            </w:pPr>
            <w:r>
              <w:t>≤3.6</w:t>
            </w:r>
          </w:p>
        </w:tc>
        <w:tc>
          <w:tcPr>
            <w:tcW w:w="744" w:type="pct"/>
            <w:vAlign w:val="center"/>
          </w:tcPr>
          <w:p w14:paraId="6AA1F83B">
            <w:pPr>
              <w:pStyle w:val="557"/>
            </w:pPr>
            <w:r>
              <w:t>≤7.5</w:t>
            </w:r>
          </w:p>
        </w:tc>
        <w:tc>
          <w:tcPr>
            <w:tcW w:w="722" w:type="pct"/>
            <w:gridSpan w:val="2"/>
            <w:vAlign w:val="center"/>
          </w:tcPr>
          <w:p w14:paraId="62BCD423">
            <w:pPr>
              <w:pStyle w:val="557"/>
            </w:pPr>
            <w:r>
              <w:rPr>
                <w:rFonts w:hint="eastAsia"/>
              </w:rPr>
              <w:t>/</w:t>
            </w:r>
          </w:p>
        </w:tc>
        <w:tc>
          <w:tcPr>
            <w:tcW w:w="381" w:type="pct"/>
            <w:vAlign w:val="center"/>
          </w:tcPr>
          <w:p w14:paraId="0123215A">
            <w:pPr>
              <w:pStyle w:val="557"/>
            </w:pPr>
            <w:r>
              <w:t>一级</w:t>
            </w:r>
          </w:p>
        </w:tc>
      </w:tr>
      <w:tr w14:paraId="7D64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4C07475F">
            <w:pPr>
              <w:pStyle w:val="557"/>
            </w:pPr>
          </w:p>
        </w:tc>
        <w:tc>
          <w:tcPr>
            <w:tcW w:w="997" w:type="pct"/>
            <w:vAlign w:val="center"/>
          </w:tcPr>
          <w:p w14:paraId="4E49D2D0">
            <w:pPr>
              <w:pStyle w:val="557"/>
            </w:pPr>
            <w:r>
              <w:t>废水中COD， kg/t氨</w:t>
            </w:r>
          </w:p>
        </w:tc>
        <w:tc>
          <w:tcPr>
            <w:tcW w:w="1197" w:type="pct"/>
            <w:vAlign w:val="center"/>
          </w:tcPr>
          <w:p w14:paraId="01296476">
            <w:pPr>
              <w:pStyle w:val="557"/>
            </w:pPr>
            <w:r>
              <w:t>≤1.5</w:t>
            </w:r>
          </w:p>
        </w:tc>
        <w:tc>
          <w:tcPr>
            <w:tcW w:w="713" w:type="pct"/>
            <w:vAlign w:val="center"/>
          </w:tcPr>
          <w:p w14:paraId="2BFFAFC0">
            <w:pPr>
              <w:pStyle w:val="557"/>
            </w:pPr>
            <w:r>
              <w:t>≤6.0</w:t>
            </w:r>
          </w:p>
        </w:tc>
        <w:tc>
          <w:tcPr>
            <w:tcW w:w="744" w:type="pct"/>
            <w:vAlign w:val="center"/>
          </w:tcPr>
          <w:p w14:paraId="0B062B07">
            <w:pPr>
              <w:pStyle w:val="557"/>
            </w:pPr>
            <w:r>
              <w:t>≤14.0</w:t>
            </w:r>
          </w:p>
        </w:tc>
        <w:tc>
          <w:tcPr>
            <w:tcW w:w="722" w:type="pct"/>
            <w:gridSpan w:val="2"/>
            <w:vAlign w:val="center"/>
          </w:tcPr>
          <w:p w14:paraId="06AD5518">
            <w:pPr>
              <w:pStyle w:val="557"/>
            </w:pPr>
            <w:r>
              <w:rPr>
                <w:rFonts w:hint="eastAsia"/>
              </w:rPr>
              <w:t>/</w:t>
            </w:r>
          </w:p>
        </w:tc>
        <w:tc>
          <w:tcPr>
            <w:tcW w:w="381" w:type="pct"/>
            <w:vAlign w:val="center"/>
          </w:tcPr>
          <w:p w14:paraId="42A635A0">
            <w:pPr>
              <w:pStyle w:val="557"/>
            </w:pPr>
            <w:r>
              <w:t>一级</w:t>
            </w:r>
          </w:p>
        </w:tc>
      </w:tr>
      <w:tr w14:paraId="1BAF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01EB7BDF">
            <w:pPr>
              <w:pStyle w:val="557"/>
            </w:pPr>
          </w:p>
        </w:tc>
        <w:tc>
          <w:tcPr>
            <w:tcW w:w="997" w:type="pct"/>
            <w:vAlign w:val="center"/>
          </w:tcPr>
          <w:p w14:paraId="41FBDC79">
            <w:pPr>
              <w:pStyle w:val="557"/>
            </w:pPr>
            <w:r>
              <w:t>废水中氰化物，kg/t 氨</w:t>
            </w:r>
          </w:p>
        </w:tc>
        <w:tc>
          <w:tcPr>
            <w:tcW w:w="1197" w:type="pct"/>
            <w:vAlign w:val="center"/>
          </w:tcPr>
          <w:p w14:paraId="7645EC37">
            <w:pPr>
              <w:pStyle w:val="557"/>
            </w:pPr>
            <w:r>
              <w:t>≤ 0.003</w:t>
            </w:r>
          </w:p>
        </w:tc>
        <w:tc>
          <w:tcPr>
            <w:tcW w:w="713" w:type="pct"/>
            <w:vAlign w:val="center"/>
          </w:tcPr>
          <w:p w14:paraId="7383FE27">
            <w:pPr>
              <w:pStyle w:val="557"/>
            </w:pPr>
            <w:r>
              <w:t>≤ 0.01</w:t>
            </w:r>
          </w:p>
        </w:tc>
        <w:tc>
          <w:tcPr>
            <w:tcW w:w="744" w:type="pct"/>
            <w:vAlign w:val="center"/>
          </w:tcPr>
          <w:p w14:paraId="29BA07E5">
            <w:pPr>
              <w:pStyle w:val="557"/>
            </w:pPr>
            <w:r>
              <w:t>≤ 0.05</w:t>
            </w:r>
          </w:p>
        </w:tc>
        <w:tc>
          <w:tcPr>
            <w:tcW w:w="722" w:type="pct"/>
            <w:gridSpan w:val="2"/>
            <w:vAlign w:val="center"/>
          </w:tcPr>
          <w:p w14:paraId="60CD9B0E">
            <w:pPr>
              <w:pStyle w:val="557"/>
            </w:pPr>
            <w:r>
              <w:rPr>
                <w:rFonts w:hint="eastAsia"/>
              </w:rPr>
              <w:t>/</w:t>
            </w:r>
          </w:p>
        </w:tc>
        <w:tc>
          <w:tcPr>
            <w:tcW w:w="381" w:type="pct"/>
            <w:vAlign w:val="center"/>
          </w:tcPr>
          <w:p w14:paraId="4AC25123">
            <w:pPr>
              <w:pStyle w:val="557"/>
            </w:pPr>
            <w:r>
              <w:t>一级</w:t>
            </w:r>
          </w:p>
        </w:tc>
      </w:tr>
      <w:tr w14:paraId="04A3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35AF40C3">
            <w:pPr>
              <w:pStyle w:val="557"/>
            </w:pPr>
          </w:p>
        </w:tc>
        <w:tc>
          <w:tcPr>
            <w:tcW w:w="997" w:type="pct"/>
            <w:vAlign w:val="center"/>
          </w:tcPr>
          <w:p w14:paraId="1F544665">
            <w:pPr>
              <w:pStyle w:val="557"/>
            </w:pPr>
            <w:r>
              <w:t>废水中悬浮物，kg/t 氨</w:t>
            </w:r>
          </w:p>
        </w:tc>
        <w:tc>
          <w:tcPr>
            <w:tcW w:w="1197" w:type="pct"/>
            <w:vAlign w:val="center"/>
          </w:tcPr>
          <w:p w14:paraId="7F1D4417">
            <w:pPr>
              <w:pStyle w:val="557"/>
            </w:pPr>
            <w:r>
              <w:t>≤ 0.7</w:t>
            </w:r>
          </w:p>
        </w:tc>
        <w:tc>
          <w:tcPr>
            <w:tcW w:w="713" w:type="pct"/>
            <w:vAlign w:val="center"/>
          </w:tcPr>
          <w:p w14:paraId="20CA176D">
            <w:pPr>
              <w:pStyle w:val="557"/>
            </w:pPr>
            <w:r>
              <w:t>≤ 3.0</w:t>
            </w:r>
          </w:p>
        </w:tc>
        <w:tc>
          <w:tcPr>
            <w:tcW w:w="744" w:type="pct"/>
            <w:vAlign w:val="center"/>
          </w:tcPr>
          <w:p w14:paraId="03F167D3">
            <w:pPr>
              <w:pStyle w:val="557"/>
            </w:pPr>
            <w:r>
              <w:t>≤ 10.0</w:t>
            </w:r>
          </w:p>
        </w:tc>
        <w:tc>
          <w:tcPr>
            <w:tcW w:w="722" w:type="pct"/>
            <w:gridSpan w:val="2"/>
            <w:vAlign w:val="center"/>
          </w:tcPr>
          <w:p w14:paraId="5F28B81B">
            <w:pPr>
              <w:pStyle w:val="557"/>
            </w:pPr>
            <w:r>
              <w:rPr>
                <w:rFonts w:hint="eastAsia"/>
              </w:rPr>
              <w:t>/</w:t>
            </w:r>
          </w:p>
        </w:tc>
        <w:tc>
          <w:tcPr>
            <w:tcW w:w="381" w:type="pct"/>
            <w:vAlign w:val="center"/>
          </w:tcPr>
          <w:p w14:paraId="382BD553">
            <w:pPr>
              <w:pStyle w:val="557"/>
            </w:pPr>
            <w:r>
              <w:t>一级</w:t>
            </w:r>
          </w:p>
        </w:tc>
      </w:tr>
      <w:tr w14:paraId="3006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16F4B7AA">
            <w:pPr>
              <w:pStyle w:val="557"/>
            </w:pPr>
          </w:p>
        </w:tc>
        <w:tc>
          <w:tcPr>
            <w:tcW w:w="997" w:type="pct"/>
            <w:vAlign w:val="center"/>
          </w:tcPr>
          <w:p w14:paraId="45369FEB">
            <w:pPr>
              <w:pStyle w:val="557"/>
            </w:pPr>
            <w:r>
              <w:t>废水中石油类，kg/t氨</w:t>
            </w:r>
          </w:p>
        </w:tc>
        <w:tc>
          <w:tcPr>
            <w:tcW w:w="1197" w:type="pct"/>
            <w:vAlign w:val="center"/>
          </w:tcPr>
          <w:p w14:paraId="5BA1C5D3">
            <w:pPr>
              <w:pStyle w:val="557"/>
            </w:pPr>
            <w:r>
              <w:t>≤0.1</w:t>
            </w:r>
          </w:p>
        </w:tc>
        <w:tc>
          <w:tcPr>
            <w:tcW w:w="713" w:type="pct"/>
            <w:vAlign w:val="center"/>
          </w:tcPr>
          <w:p w14:paraId="682F061E">
            <w:pPr>
              <w:pStyle w:val="557"/>
            </w:pPr>
            <w:r>
              <w:t>≤0.2</w:t>
            </w:r>
          </w:p>
        </w:tc>
        <w:tc>
          <w:tcPr>
            <w:tcW w:w="744" w:type="pct"/>
            <w:vAlign w:val="center"/>
          </w:tcPr>
          <w:p w14:paraId="6F0A9E43">
            <w:pPr>
              <w:pStyle w:val="557"/>
            </w:pPr>
            <w:r>
              <w:t>≤0.5</w:t>
            </w:r>
          </w:p>
        </w:tc>
        <w:tc>
          <w:tcPr>
            <w:tcW w:w="722" w:type="pct"/>
            <w:gridSpan w:val="2"/>
            <w:vAlign w:val="center"/>
          </w:tcPr>
          <w:p w14:paraId="056669BA">
            <w:pPr>
              <w:pStyle w:val="557"/>
            </w:pPr>
            <w:r>
              <w:rPr>
                <w:rFonts w:hint="eastAsia"/>
              </w:rPr>
              <w:t>/</w:t>
            </w:r>
          </w:p>
        </w:tc>
        <w:tc>
          <w:tcPr>
            <w:tcW w:w="381" w:type="pct"/>
            <w:vAlign w:val="center"/>
          </w:tcPr>
          <w:p w14:paraId="44F2C1F0">
            <w:pPr>
              <w:pStyle w:val="557"/>
            </w:pPr>
            <w:r>
              <w:t>一级</w:t>
            </w:r>
          </w:p>
        </w:tc>
      </w:tr>
      <w:tr w14:paraId="10C2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138A83DE">
            <w:pPr>
              <w:pStyle w:val="557"/>
            </w:pPr>
          </w:p>
        </w:tc>
        <w:tc>
          <w:tcPr>
            <w:tcW w:w="997" w:type="pct"/>
            <w:vAlign w:val="center"/>
          </w:tcPr>
          <w:p w14:paraId="43F18E9A">
            <w:pPr>
              <w:pStyle w:val="557"/>
            </w:pPr>
            <w:r>
              <w:t>废水中挥发酚，kg/t 氨</w:t>
            </w:r>
          </w:p>
        </w:tc>
        <w:tc>
          <w:tcPr>
            <w:tcW w:w="1197" w:type="pct"/>
            <w:vAlign w:val="center"/>
          </w:tcPr>
          <w:p w14:paraId="24F87134">
            <w:pPr>
              <w:pStyle w:val="557"/>
            </w:pPr>
            <w:r>
              <w:t>≤ 0.002</w:t>
            </w:r>
          </w:p>
        </w:tc>
        <w:tc>
          <w:tcPr>
            <w:tcW w:w="713" w:type="pct"/>
            <w:vAlign w:val="center"/>
          </w:tcPr>
          <w:p w14:paraId="6A1BA7C3">
            <w:pPr>
              <w:pStyle w:val="557"/>
            </w:pPr>
            <w:r>
              <w:t>≤ 0.003</w:t>
            </w:r>
          </w:p>
        </w:tc>
        <w:tc>
          <w:tcPr>
            <w:tcW w:w="744" w:type="pct"/>
            <w:vAlign w:val="center"/>
          </w:tcPr>
          <w:p w14:paraId="41FFD5CE">
            <w:pPr>
              <w:pStyle w:val="557"/>
            </w:pPr>
            <w:r>
              <w:t>≤ 0.01</w:t>
            </w:r>
          </w:p>
        </w:tc>
        <w:tc>
          <w:tcPr>
            <w:tcW w:w="722" w:type="pct"/>
            <w:gridSpan w:val="2"/>
            <w:vAlign w:val="center"/>
          </w:tcPr>
          <w:p w14:paraId="0EBA243E">
            <w:pPr>
              <w:pStyle w:val="557"/>
            </w:pPr>
            <w:r>
              <w:rPr>
                <w:rFonts w:hint="eastAsia"/>
              </w:rPr>
              <w:t>/</w:t>
            </w:r>
          </w:p>
        </w:tc>
        <w:tc>
          <w:tcPr>
            <w:tcW w:w="381" w:type="pct"/>
            <w:vAlign w:val="center"/>
          </w:tcPr>
          <w:p w14:paraId="160D214A">
            <w:pPr>
              <w:pStyle w:val="557"/>
            </w:pPr>
            <w:r>
              <w:t>一级</w:t>
            </w:r>
          </w:p>
        </w:tc>
      </w:tr>
      <w:tr w14:paraId="1844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1A7E1092">
            <w:pPr>
              <w:pStyle w:val="557"/>
            </w:pPr>
          </w:p>
        </w:tc>
        <w:tc>
          <w:tcPr>
            <w:tcW w:w="997" w:type="pct"/>
            <w:vAlign w:val="center"/>
          </w:tcPr>
          <w:p w14:paraId="714E7EF6">
            <w:pPr>
              <w:pStyle w:val="557"/>
            </w:pPr>
            <w:r>
              <w:t>废水中硫化物，kg/t 氨</w:t>
            </w:r>
          </w:p>
        </w:tc>
        <w:tc>
          <w:tcPr>
            <w:tcW w:w="1197" w:type="pct"/>
            <w:vAlign w:val="center"/>
          </w:tcPr>
          <w:p w14:paraId="6B699FF8">
            <w:pPr>
              <w:pStyle w:val="557"/>
            </w:pPr>
            <w:r>
              <w:t>≤ 0.01</w:t>
            </w:r>
          </w:p>
        </w:tc>
        <w:tc>
          <w:tcPr>
            <w:tcW w:w="713" w:type="pct"/>
            <w:vAlign w:val="center"/>
          </w:tcPr>
          <w:p w14:paraId="4E2AEFFE">
            <w:pPr>
              <w:pStyle w:val="557"/>
            </w:pPr>
            <w:r>
              <w:t>≤ 0.02</w:t>
            </w:r>
          </w:p>
        </w:tc>
        <w:tc>
          <w:tcPr>
            <w:tcW w:w="744" w:type="pct"/>
            <w:vAlign w:val="center"/>
          </w:tcPr>
          <w:p w14:paraId="6045C9B3">
            <w:pPr>
              <w:pStyle w:val="557"/>
            </w:pPr>
            <w:r>
              <w:t>≤ 0.05</w:t>
            </w:r>
          </w:p>
        </w:tc>
        <w:tc>
          <w:tcPr>
            <w:tcW w:w="722" w:type="pct"/>
            <w:gridSpan w:val="2"/>
            <w:vAlign w:val="center"/>
          </w:tcPr>
          <w:p w14:paraId="7057BD7A">
            <w:pPr>
              <w:pStyle w:val="557"/>
            </w:pPr>
            <w:r>
              <w:rPr>
                <w:rFonts w:hint="eastAsia"/>
              </w:rPr>
              <w:t>/</w:t>
            </w:r>
          </w:p>
        </w:tc>
        <w:tc>
          <w:tcPr>
            <w:tcW w:w="381" w:type="pct"/>
            <w:vAlign w:val="center"/>
          </w:tcPr>
          <w:p w14:paraId="710CEF46">
            <w:pPr>
              <w:pStyle w:val="557"/>
            </w:pPr>
            <w:r>
              <w:t>一级</w:t>
            </w:r>
          </w:p>
        </w:tc>
      </w:tr>
      <w:tr w14:paraId="1BC4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restart"/>
            <w:vAlign w:val="center"/>
          </w:tcPr>
          <w:p w14:paraId="0C0A9450">
            <w:pPr>
              <w:pStyle w:val="557"/>
            </w:pPr>
            <w:r>
              <w:t>废气</w:t>
            </w:r>
          </w:p>
        </w:tc>
        <w:tc>
          <w:tcPr>
            <w:tcW w:w="997" w:type="pct"/>
            <w:vAlign w:val="center"/>
          </w:tcPr>
          <w:p w14:paraId="0CE886E6">
            <w:pPr>
              <w:pStyle w:val="557"/>
            </w:pPr>
            <w:r>
              <w:t>废气中含氨量，kg/t氨</w:t>
            </w:r>
          </w:p>
        </w:tc>
        <w:tc>
          <w:tcPr>
            <w:tcW w:w="1197" w:type="pct"/>
            <w:vAlign w:val="center"/>
          </w:tcPr>
          <w:p w14:paraId="4F8BE41F">
            <w:pPr>
              <w:pStyle w:val="557"/>
            </w:pPr>
            <w:r>
              <w:t>≤5.0</w:t>
            </w:r>
          </w:p>
        </w:tc>
        <w:tc>
          <w:tcPr>
            <w:tcW w:w="713" w:type="pct"/>
            <w:vAlign w:val="center"/>
          </w:tcPr>
          <w:p w14:paraId="44BB4670">
            <w:pPr>
              <w:pStyle w:val="557"/>
            </w:pPr>
            <w:r>
              <w:t>≤10.0</w:t>
            </w:r>
          </w:p>
        </w:tc>
        <w:tc>
          <w:tcPr>
            <w:tcW w:w="744" w:type="pct"/>
            <w:vAlign w:val="center"/>
          </w:tcPr>
          <w:p w14:paraId="5F8A13F9">
            <w:pPr>
              <w:pStyle w:val="557"/>
            </w:pPr>
            <w:r>
              <w:t>≤15.0</w:t>
            </w:r>
          </w:p>
        </w:tc>
        <w:tc>
          <w:tcPr>
            <w:tcW w:w="722" w:type="pct"/>
            <w:gridSpan w:val="2"/>
            <w:vAlign w:val="center"/>
          </w:tcPr>
          <w:p w14:paraId="4F2D16C4">
            <w:pPr>
              <w:pStyle w:val="557"/>
            </w:pPr>
            <w:r>
              <w:rPr>
                <w:rFonts w:hint="eastAsia"/>
              </w:rPr>
              <w:t>0.12</w:t>
            </w:r>
          </w:p>
        </w:tc>
        <w:tc>
          <w:tcPr>
            <w:tcW w:w="381" w:type="pct"/>
            <w:vAlign w:val="center"/>
          </w:tcPr>
          <w:p w14:paraId="0FCF38D8">
            <w:pPr>
              <w:pStyle w:val="557"/>
            </w:pPr>
            <w:r>
              <w:t>一级</w:t>
            </w:r>
          </w:p>
        </w:tc>
      </w:tr>
      <w:tr w14:paraId="6AED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41" w:type="pct"/>
            <w:vMerge w:val="continue"/>
            <w:vAlign w:val="center"/>
          </w:tcPr>
          <w:p w14:paraId="59F8D0E3">
            <w:pPr>
              <w:pStyle w:val="557"/>
            </w:pPr>
          </w:p>
        </w:tc>
        <w:tc>
          <w:tcPr>
            <w:tcW w:w="997" w:type="pct"/>
            <w:vAlign w:val="center"/>
          </w:tcPr>
          <w:p w14:paraId="39726BAF">
            <w:pPr>
              <w:pStyle w:val="557"/>
            </w:pPr>
            <w:r>
              <w:t>颗粒物，kg/t氨</w:t>
            </w:r>
          </w:p>
        </w:tc>
        <w:tc>
          <w:tcPr>
            <w:tcW w:w="1197" w:type="pct"/>
            <w:vAlign w:val="center"/>
          </w:tcPr>
          <w:p w14:paraId="7599DC88">
            <w:pPr>
              <w:pStyle w:val="557"/>
            </w:pPr>
            <w:r>
              <w:t>≤0.7</w:t>
            </w:r>
          </w:p>
        </w:tc>
        <w:tc>
          <w:tcPr>
            <w:tcW w:w="713" w:type="pct"/>
            <w:vAlign w:val="center"/>
          </w:tcPr>
          <w:p w14:paraId="2AAE43F2">
            <w:pPr>
              <w:pStyle w:val="557"/>
            </w:pPr>
            <w:r>
              <w:t>≤1.0</w:t>
            </w:r>
          </w:p>
        </w:tc>
        <w:tc>
          <w:tcPr>
            <w:tcW w:w="744" w:type="pct"/>
            <w:vAlign w:val="center"/>
          </w:tcPr>
          <w:p w14:paraId="7A715C2C">
            <w:pPr>
              <w:pStyle w:val="557"/>
            </w:pPr>
            <w:r>
              <w:t>≤1.5</w:t>
            </w:r>
          </w:p>
        </w:tc>
        <w:tc>
          <w:tcPr>
            <w:tcW w:w="722" w:type="pct"/>
            <w:gridSpan w:val="2"/>
            <w:vAlign w:val="center"/>
          </w:tcPr>
          <w:p w14:paraId="69EA0C34">
            <w:pPr>
              <w:pStyle w:val="557"/>
            </w:pPr>
            <w:r>
              <w:rPr>
                <w:rFonts w:hint="eastAsia"/>
              </w:rPr>
              <w:t>0.43</w:t>
            </w:r>
          </w:p>
        </w:tc>
        <w:tc>
          <w:tcPr>
            <w:tcW w:w="381" w:type="pct"/>
            <w:vAlign w:val="center"/>
          </w:tcPr>
          <w:p w14:paraId="52E3096C">
            <w:pPr>
              <w:pStyle w:val="557"/>
            </w:pPr>
            <w:r>
              <w:t>一级</w:t>
            </w:r>
          </w:p>
        </w:tc>
      </w:tr>
      <w:tr w14:paraId="29E3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000" w:type="pct"/>
            <w:gridSpan w:val="8"/>
            <w:vAlign w:val="center"/>
          </w:tcPr>
          <w:p w14:paraId="2C072A04">
            <w:pPr>
              <w:pStyle w:val="557"/>
            </w:pPr>
            <w:r>
              <w:t>环境管理要求</w:t>
            </w:r>
          </w:p>
        </w:tc>
      </w:tr>
      <w:tr w14:paraId="4FED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1EB79B0B">
            <w:pPr>
              <w:pStyle w:val="557"/>
            </w:pPr>
            <w:r>
              <w:t>1. 环境法律法规标准</w:t>
            </w:r>
          </w:p>
        </w:tc>
        <w:tc>
          <w:tcPr>
            <w:tcW w:w="2670" w:type="pct"/>
            <w:gridSpan w:val="4"/>
            <w:vAlign w:val="center"/>
          </w:tcPr>
          <w:p w14:paraId="04C3B12B">
            <w:pPr>
              <w:pStyle w:val="557"/>
            </w:pPr>
            <w:r>
              <w:t>符合国家和地方有关环境法律、法规，总量控制和排污许可证管理要求；污染物排放达到国家和地方排放标准：污水综合排放标准(GB8978</w:t>
            </w:r>
            <w:r>
              <w:rPr>
                <w:rFonts w:hint="eastAsia"/>
              </w:rPr>
              <w:t>）</w:t>
            </w:r>
            <w:r>
              <w:t>、大气污染物综合排放标准(GB16297</w:t>
            </w:r>
            <w:r>
              <w:rPr>
                <w:rFonts w:hint="eastAsia"/>
              </w:rPr>
              <w:t>）</w:t>
            </w:r>
            <w:r>
              <w:t>、环境空气质量标准(GB3095</w:t>
            </w:r>
            <w:r>
              <w:rPr>
                <w:rFonts w:hint="eastAsia"/>
              </w:rPr>
              <w:t>）</w:t>
            </w:r>
            <w:r>
              <w:t>、地表水环境质量标准(GB3838</w:t>
            </w:r>
            <w:r>
              <w:rPr>
                <w:rFonts w:hint="eastAsia"/>
              </w:rPr>
              <w:t>）</w:t>
            </w:r>
            <w:r>
              <w:t xml:space="preserve"> 、合成氨工业水污染物排放标准(GB13458</w:t>
            </w:r>
            <w:r>
              <w:rPr>
                <w:rFonts w:hint="eastAsia"/>
              </w:rPr>
              <w:t>）</w:t>
            </w:r>
          </w:p>
        </w:tc>
        <w:tc>
          <w:tcPr>
            <w:tcW w:w="707" w:type="pct"/>
            <w:vAlign w:val="center"/>
          </w:tcPr>
          <w:p w14:paraId="62706CA0">
            <w:pPr>
              <w:pStyle w:val="557"/>
            </w:pPr>
            <w:r>
              <w:t>符合</w:t>
            </w:r>
          </w:p>
        </w:tc>
        <w:tc>
          <w:tcPr>
            <w:tcW w:w="381" w:type="pct"/>
            <w:vAlign w:val="center"/>
          </w:tcPr>
          <w:p w14:paraId="0E042433">
            <w:pPr>
              <w:pStyle w:val="557"/>
            </w:pPr>
            <w:r>
              <w:rPr>
                <w:rFonts w:hint="eastAsia"/>
              </w:rPr>
              <w:t>/</w:t>
            </w:r>
          </w:p>
        </w:tc>
      </w:tr>
      <w:tr w14:paraId="4669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615B1F49">
            <w:pPr>
              <w:pStyle w:val="557"/>
            </w:pPr>
            <w:r>
              <w:t>2. 组织机构</w:t>
            </w:r>
          </w:p>
        </w:tc>
        <w:tc>
          <w:tcPr>
            <w:tcW w:w="2670" w:type="pct"/>
            <w:gridSpan w:val="4"/>
            <w:vAlign w:val="center"/>
          </w:tcPr>
          <w:p w14:paraId="7FCC1A2B">
            <w:pPr>
              <w:pStyle w:val="557"/>
            </w:pPr>
            <w:r>
              <w:t>设专门环境管理机构和专职管理人员</w:t>
            </w:r>
          </w:p>
        </w:tc>
        <w:tc>
          <w:tcPr>
            <w:tcW w:w="707" w:type="pct"/>
            <w:vAlign w:val="center"/>
          </w:tcPr>
          <w:p w14:paraId="5414DDFA">
            <w:pPr>
              <w:pStyle w:val="557"/>
            </w:pPr>
            <w:r>
              <w:t>符合</w:t>
            </w:r>
          </w:p>
        </w:tc>
        <w:tc>
          <w:tcPr>
            <w:tcW w:w="381" w:type="pct"/>
            <w:vAlign w:val="center"/>
          </w:tcPr>
          <w:p w14:paraId="3F94B17D">
            <w:pPr>
              <w:pStyle w:val="557"/>
            </w:pPr>
            <w:r>
              <w:rPr>
                <w:rFonts w:hint="eastAsia"/>
              </w:rPr>
              <w:t>/</w:t>
            </w:r>
          </w:p>
        </w:tc>
      </w:tr>
      <w:tr w14:paraId="0F84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648180CB">
            <w:pPr>
              <w:pStyle w:val="557"/>
            </w:pPr>
            <w:r>
              <w:t>3. 环境审核</w:t>
            </w:r>
          </w:p>
        </w:tc>
        <w:tc>
          <w:tcPr>
            <w:tcW w:w="1197" w:type="pct"/>
            <w:vAlign w:val="center"/>
          </w:tcPr>
          <w:p w14:paraId="5736E461">
            <w:pPr>
              <w:pStyle w:val="557"/>
            </w:pPr>
            <w:r>
              <w:t>按照氮肥制造业清洁生产审核指南的要求进行了审核；按照GB/24001( 或相应的HSE</w:t>
            </w:r>
            <w:r>
              <w:rPr>
                <w:rFonts w:hint="eastAsia"/>
              </w:rPr>
              <w:t>）</w:t>
            </w:r>
            <w:r>
              <w:t>建立并运行了环境管理体系，环境管理手册、程序文件及作业文件齐备</w:t>
            </w:r>
          </w:p>
        </w:tc>
        <w:tc>
          <w:tcPr>
            <w:tcW w:w="1473" w:type="pct"/>
            <w:gridSpan w:val="3"/>
            <w:vAlign w:val="center"/>
          </w:tcPr>
          <w:p w14:paraId="6FE44802">
            <w:pPr>
              <w:pStyle w:val="557"/>
            </w:pPr>
            <w:r>
              <w:t>按照氮肥制造业清洁生产审核指南的要求进行了清洁生产审核；环境管理制度健全，原始记录及统计数据齐全有效</w:t>
            </w:r>
          </w:p>
        </w:tc>
        <w:tc>
          <w:tcPr>
            <w:tcW w:w="707" w:type="pct"/>
            <w:vAlign w:val="center"/>
          </w:tcPr>
          <w:p w14:paraId="23AB6EB6">
            <w:pPr>
              <w:pStyle w:val="557"/>
            </w:pPr>
            <w:r>
              <w:t>符合</w:t>
            </w:r>
          </w:p>
        </w:tc>
        <w:tc>
          <w:tcPr>
            <w:tcW w:w="381" w:type="pct"/>
            <w:vAlign w:val="center"/>
          </w:tcPr>
          <w:p w14:paraId="02C30ADF">
            <w:pPr>
              <w:pStyle w:val="557"/>
            </w:pPr>
            <w:r>
              <w:rPr>
                <w:rFonts w:hint="eastAsia"/>
              </w:rPr>
              <w:t>/</w:t>
            </w:r>
          </w:p>
        </w:tc>
      </w:tr>
      <w:tr w14:paraId="51C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724C736B">
            <w:pPr>
              <w:pStyle w:val="557"/>
            </w:pPr>
            <w:r>
              <w:t>4. 废物处理</w:t>
            </w:r>
          </w:p>
        </w:tc>
        <w:tc>
          <w:tcPr>
            <w:tcW w:w="2670" w:type="pct"/>
            <w:gridSpan w:val="4"/>
            <w:vAlign w:val="center"/>
          </w:tcPr>
          <w:p w14:paraId="79F4CA60">
            <w:pPr>
              <w:pStyle w:val="557"/>
            </w:pPr>
            <w:r>
              <w:t>用符合国家规定的废物处置方法处置废物；严格执行国家或地方规定的废物转移制度。对危险废物要建立危险废物管理制度，并进行无害化处理</w:t>
            </w:r>
          </w:p>
        </w:tc>
        <w:tc>
          <w:tcPr>
            <w:tcW w:w="707" w:type="pct"/>
            <w:vAlign w:val="center"/>
          </w:tcPr>
          <w:p w14:paraId="3F04C47A">
            <w:pPr>
              <w:pStyle w:val="557"/>
            </w:pPr>
            <w:r>
              <w:t>符合</w:t>
            </w:r>
          </w:p>
        </w:tc>
        <w:tc>
          <w:tcPr>
            <w:tcW w:w="381" w:type="pct"/>
            <w:vAlign w:val="center"/>
          </w:tcPr>
          <w:p w14:paraId="34F2630C">
            <w:pPr>
              <w:pStyle w:val="557"/>
            </w:pPr>
            <w:r>
              <w:rPr>
                <w:rFonts w:hint="eastAsia"/>
              </w:rPr>
              <w:t>/</w:t>
            </w:r>
          </w:p>
        </w:tc>
      </w:tr>
      <w:tr w14:paraId="0E70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7E9C9D41">
            <w:pPr>
              <w:pStyle w:val="557"/>
            </w:pPr>
            <w:r>
              <w:t>5. 生产过程环境管理</w:t>
            </w:r>
          </w:p>
        </w:tc>
        <w:tc>
          <w:tcPr>
            <w:tcW w:w="1197" w:type="pct"/>
            <w:vAlign w:val="center"/>
          </w:tcPr>
          <w:p w14:paraId="5949D547">
            <w:pPr>
              <w:pStyle w:val="557"/>
            </w:pPr>
            <w:r>
              <w:t>有严格的检验、自动计量及控制措施；运行无故障，设备完好率达99%；所有生产设备有具体的管理制度，并严格执行；所有环节有自动计量仪表，并严格执行定量考核制度；有严格的应急处理预案</w:t>
            </w:r>
          </w:p>
        </w:tc>
        <w:tc>
          <w:tcPr>
            <w:tcW w:w="1473" w:type="pct"/>
            <w:gridSpan w:val="3"/>
            <w:vAlign w:val="center"/>
          </w:tcPr>
          <w:p w14:paraId="0087D8A4">
            <w:pPr>
              <w:pStyle w:val="557"/>
            </w:pPr>
            <w:r>
              <w:t>有严格的检验、计量及控制措施；运行无故障，设备完好率达98%；主要生产设备有具体的管理制度，并严格执行；主要环节有计量仪表，并严格执行定量考核制度；有应急处理预案</w:t>
            </w:r>
          </w:p>
        </w:tc>
        <w:tc>
          <w:tcPr>
            <w:tcW w:w="707" w:type="pct"/>
            <w:vAlign w:val="center"/>
          </w:tcPr>
          <w:p w14:paraId="768EC8DE">
            <w:pPr>
              <w:pStyle w:val="557"/>
            </w:pPr>
            <w:r>
              <w:t>建设生产过程中加强环境管理</w:t>
            </w:r>
          </w:p>
        </w:tc>
        <w:tc>
          <w:tcPr>
            <w:tcW w:w="381" w:type="pct"/>
            <w:vAlign w:val="center"/>
          </w:tcPr>
          <w:p w14:paraId="5EBCDCD1">
            <w:pPr>
              <w:pStyle w:val="557"/>
            </w:pPr>
            <w:r>
              <w:rPr>
                <w:rFonts w:hint="eastAsia"/>
              </w:rPr>
              <w:t>/</w:t>
            </w:r>
          </w:p>
        </w:tc>
      </w:tr>
      <w:tr w14:paraId="12D1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239" w:type="pct"/>
            <w:gridSpan w:val="2"/>
            <w:vAlign w:val="center"/>
          </w:tcPr>
          <w:p w14:paraId="7E8E7D63">
            <w:pPr>
              <w:pStyle w:val="557"/>
            </w:pPr>
            <w:r>
              <w:t>6. 相关方环境管理</w:t>
            </w:r>
          </w:p>
        </w:tc>
        <w:tc>
          <w:tcPr>
            <w:tcW w:w="2670" w:type="pct"/>
            <w:gridSpan w:val="4"/>
            <w:vAlign w:val="center"/>
          </w:tcPr>
          <w:p w14:paraId="3B6D3D85">
            <w:pPr>
              <w:pStyle w:val="557"/>
            </w:pPr>
            <w:r>
              <w:t>对原材料供应方、生产协作方、相关服务方等提出环境管理要求</w:t>
            </w:r>
          </w:p>
        </w:tc>
        <w:tc>
          <w:tcPr>
            <w:tcW w:w="707" w:type="pct"/>
            <w:vAlign w:val="center"/>
          </w:tcPr>
          <w:p w14:paraId="68DDE936">
            <w:pPr>
              <w:pStyle w:val="557"/>
            </w:pPr>
            <w:r>
              <w:t>符合</w:t>
            </w:r>
          </w:p>
        </w:tc>
        <w:tc>
          <w:tcPr>
            <w:tcW w:w="381" w:type="pct"/>
            <w:vAlign w:val="center"/>
          </w:tcPr>
          <w:p w14:paraId="2448AAEA">
            <w:pPr>
              <w:pStyle w:val="557"/>
            </w:pPr>
            <w:r>
              <w:rPr>
                <w:rFonts w:hint="eastAsia"/>
              </w:rPr>
              <w:t>/</w:t>
            </w:r>
          </w:p>
        </w:tc>
      </w:tr>
    </w:tbl>
    <w:p w14:paraId="0D48FBE4">
      <w:pPr>
        <w:pStyle w:val="281"/>
        <w:ind w:firstLine="480"/>
        <w:sectPr>
          <w:pgSz w:w="16838" w:h="11906" w:orient="landscape"/>
          <w:pgMar w:top="1800" w:right="1440" w:bottom="1800" w:left="1440" w:header="851" w:footer="850" w:gutter="0"/>
          <w:cols w:space="425" w:num="1"/>
          <w:docGrid w:type="lines" w:linePitch="326" w:charSpace="0"/>
        </w:sectPr>
      </w:pPr>
    </w:p>
    <w:p w14:paraId="43F41B3E">
      <w:pPr>
        <w:pStyle w:val="97"/>
        <w:rPr>
          <w:rFonts w:hint="eastAsia"/>
        </w:rPr>
      </w:pPr>
      <w:r>
        <w:rPr>
          <w:rFonts w:hint="eastAsia"/>
        </w:rPr>
        <w:t>能效水平分析</w:t>
      </w:r>
    </w:p>
    <w:p w14:paraId="06C5E2F5">
      <w:pPr>
        <w:pStyle w:val="98"/>
        <w:rPr>
          <w:rFonts w:hint="eastAsia"/>
        </w:rPr>
      </w:pPr>
      <w:r>
        <w:t>合成氨单位产品能耗限额</w:t>
      </w:r>
    </w:p>
    <w:p w14:paraId="70A084C7">
      <w:pPr>
        <w:pStyle w:val="281"/>
        <w:ind w:firstLine="480"/>
      </w:pPr>
      <w:r>
        <w:t>对照《合成氨单位产品能耗限额》</w:t>
      </w:r>
      <w:r>
        <w:rPr>
          <w:rFonts w:hint="eastAsia"/>
        </w:rPr>
        <w:t>(GB21344-2015），本项目可以满足合成氨单位产品综合能耗先进值，见表3.12.3-1。</w:t>
      </w:r>
    </w:p>
    <w:p w14:paraId="5912B3D6">
      <w:pPr>
        <w:pStyle w:val="645"/>
        <w:rPr>
          <w:rFonts w:hint="eastAsia"/>
        </w:rPr>
      </w:pPr>
      <w:r>
        <w:rPr>
          <w:rFonts w:hint="eastAsia"/>
        </w:rPr>
        <w:t>表3.12.3-1    项目能耗对标表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48"/>
        <w:gridCol w:w="1612"/>
        <w:gridCol w:w="884"/>
        <w:gridCol w:w="1005"/>
        <w:gridCol w:w="883"/>
        <w:gridCol w:w="1173"/>
      </w:tblGrid>
      <w:tr w14:paraId="0973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7" w:type="dxa"/>
            <w:vAlign w:val="center"/>
          </w:tcPr>
          <w:p w14:paraId="3D8A0829">
            <w:pPr>
              <w:pStyle w:val="557"/>
            </w:pPr>
            <w:r>
              <w:t>序号</w:t>
            </w:r>
          </w:p>
        </w:tc>
        <w:tc>
          <w:tcPr>
            <w:tcW w:w="2148" w:type="dxa"/>
            <w:vAlign w:val="center"/>
          </w:tcPr>
          <w:p w14:paraId="7367EA8D">
            <w:pPr>
              <w:pStyle w:val="557"/>
            </w:pPr>
            <w:r>
              <w:t>装置名称</w:t>
            </w:r>
          </w:p>
        </w:tc>
        <w:tc>
          <w:tcPr>
            <w:tcW w:w="1612" w:type="dxa"/>
            <w:vAlign w:val="center"/>
          </w:tcPr>
          <w:p w14:paraId="749E255F">
            <w:pPr>
              <w:pStyle w:val="557"/>
            </w:pPr>
            <w:r>
              <w:t>项目指标值</w:t>
            </w:r>
          </w:p>
        </w:tc>
        <w:tc>
          <w:tcPr>
            <w:tcW w:w="884" w:type="dxa"/>
            <w:vAlign w:val="center"/>
          </w:tcPr>
          <w:p w14:paraId="720C9AFB">
            <w:pPr>
              <w:pStyle w:val="557"/>
            </w:pPr>
            <w:r>
              <w:t>新建准入值</w:t>
            </w:r>
          </w:p>
        </w:tc>
        <w:tc>
          <w:tcPr>
            <w:tcW w:w="1005" w:type="dxa"/>
            <w:vAlign w:val="center"/>
          </w:tcPr>
          <w:p w14:paraId="68A2778E">
            <w:pPr>
              <w:pStyle w:val="557"/>
            </w:pPr>
            <w:r>
              <w:t>国内先进水平</w:t>
            </w:r>
          </w:p>
        </w:tc>
        <w:tc>
          <w:tcPr>
            <w:tcW w:w="883" w:type="dxa"/>
            <w:vAlign w:val="center"/>
          </w:tcPr>
          <w:p w14:paraId="3BD183D6">
            <w:pPr>
              <w:pStyle w:val="557"/>
            </w:pPr>
            <w:r>
              <w:t>国际先进水平</w:t>
            </w:r>
          </w:p>
        </w:tc>
        <w:tc>
          <w:tcPr>
            <w:tcW w:w="1173" w:type="dxa"/>
            <w:vAlign w:val="center"/>
          </w:tcPr>
          <w:p w14:paraId="6FBB8F3E">
            <w:pPr>
              <w:pStyle w:val="557"/>
            </w:pPr>
            <w:r>
              <w:t>对比结果</w:t>
            </w:r>
          </w:p>
        </w:tc>
      </w:tr>
      <w:tr w14:paraId="4286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7" w:type="dxa"/>
            <w:vAlign w:val="center"/>
          </w:tcPr>
          <w:p w14:paraId="221CFC76">
            <w:pPr>
              <w:pStyle w:val="557"/>
            </w:pPr>
            <w:r>
              <w:t>1</w:t>
            </w:r>
          </w:p>
        </w:tc>
        <w:tc>
          <w:tcPr>
            <w:tcW w:w="2148" w:type="dxa"/>
            <w:vAlign w:val="center"/>
          </w:tcPr>
          <w:p w14:paraId="4D0E02A6">
            <w:pPr>
              <w:pStyle w:val="557"/>
            </w:pPr>
            <w:r>
              <w:t>合成氨装置</w:t>
            </w:r>
          </w:p>
        </w:tc>
        <w:tc>
          <w:tcPr>
            <w:tcW w:w="1612" w:type="dxa"/>
            <w:vAlign w:val="center"/>
          </w:tcPr>
          <w:p w14:paraId="2D887498">
            <w:pPr>
              <w:pStyle w:val="557"/>
            </w:pPr>
            <w:r>
              <w:rPr>
                <w:rFonts w:hint="eastAsia"/>
                <w:color w:val="auto"/>
              </w:rPr>
              <w:t>698.74</w:t>
            </w:r>
            <w:r>
              <w:rPr>
                <w:color w:val="auto"/>
              </w:rPr>
              <w:t>kgce/t</w:t>
            </w:r>
          </w:p>
        </w:tc>
        <w:tc>
          <w:tcPr>
            <w:tcW w:w="884" w:type="dxa"/>
            <w:vAlign w:val="center"/>
          </w:tcPr>
          <w:p w14:paraId="66EDC056">
            <w:pPr>
              <w:pStyle w:val="557"/>
            </w:pPr>
            <w:r>
              <w:t>1650</w:t>
            </w:r>
          </w:p>
        </w:tc>
        <w:tc>
          <w:tcPr>
            <w:tcW w:w="1005" w:type="dxa"/>
            <w:vAlign w:val="center"/>
          </w:tcPr>
          <w:p w14:paraId="49F88A45">
            <w:pPr>
              <w:pStyle w:val="557"/>
            </w:pPr>
            <w:r>
              <w:t>1500</w:t>
            </w:r>
          </w:p>
        </w:tc>
        <w:tc>
          <w:tcPr>
            <w:tcW w:w="883" w:type="dxa"/>
            <w:vAlign w:val="center"/>
          </w:tcPr>
          <w:p w14:paraId="5EDD498A">
            <w:pPr>
              <w:pStyle w:val="557"/>
            </w:pPr>
            <w:r>
              <w:t>/</w:t>
            </w:r>
          </w:p>
        </w:tc>
        <w:tc>
          <w:tcPr>
            <w:tcW w:w="1173" w:type="dxa"/>
            <w:vAlign w:val="center"/>
          </w:tcPr>
          <w:p w14:paraId="6A5B101E">
            <w:pPr>
              <w:pStyle w:val="557"/>
            </w:pPr>
            <w:r>
              <w:rPr>
                <w:rFonts w:hint="eastAsia"/>
              </w:rPr>
              <w:t>国内</w:t>
            </w:r>
            <w:r>
              <w:t>先进</w:t>
            </w:r>
          </w:p>
        </w:tc>
      </w:tr>
    </w:tbl>
    <w:p w14:paraId="3239F0C9">
      <w:pPr>
        <w:pStyle w:val="557"/>
      </w:pPr>
    </w:p>
    <w:p w14:paraId="73D72CFA">
      <w:pPr>
        <w:pStyle w:val="97"/>
        <w:rPr>
          <w:rFonts w:hint="eastAsia"/>
        </w:rPr>
      </w:pPr>
      <w:r>
        <w:t>产品指标</w:t>
      </w:r>
    </w:p>
    <w:p w14:paraId="20E56A7C">
      <w:pPr>
        <w:pStyle w:val="281"/>
        <w:ind w:firstLine="480"/>
      </w:pPr>
      <w:r>
        <w:t>本项目产品均能满足相应的产品质量标准。</w:t>
      </w:r>
    </w:p>
    <w:p w14:paraId="1C32CDAC">
      <w:pPr>
        <w:pStyle w:val="97"/>
        <w:rPr>
          <w:rFonts w:hint="eastAsia"/>
        </w:rPr>
      </w:pPr>
      <w:r>
        <w:t>废物回收利用</w:t>
      </w:r>
    </w:p>
    <w:p w14:paraId="640902EB">
      <w:pPr>
        <w:pStyle w:val="626"/>
        <w:ind w:firstLine="480"/>
        <w:rPr>
          <w:rFonts w:ascii="Times New Roman" w:hAnsi="Times New Roman" w:eastAsia="宋体"/>
        </w:rPr>
      </w:pPr>
      <w:r>
        <w:rPr>
          <w:rFonts w:ascii="Times New Roman" w:hAnsi="Times New Roman" w:eastAsia="宋体"/>
        </w:rPr>
        <w:t>（1）本项目严格按要求采取各项废气污染防治措施，最大限度降低并保证废气污染物达标排放。</w:t>
      </w:r>
    </w:p>
    <w:p w14:paraId="48C1DD7E">
      <w:pPr>
        <w:pStyle w:val="281"/>
        <w:ind w:firstLine="480"/>
      </w:pPr>
      <w:r>
        <w:t>（2）</w:t>
      </w:r>
      <w:r>
        <w:rPr>
          <w:rFonts w:hint="eastAsia"/>
        </w:rPr>
        <w:t>全厂生产废水（煤气化装置气化灰水、酸性气脱除单元</w:t>
      </w:r>
      <w:r>
        <w:t>-</w:t>
      </w:r>
      <w:r>
        <w:rPr>
          <w:rFonts w:hint="eastAsia"/>
        </w:rPr>
        <w:t>含醇废水、各装置地面冲洗水等）、生活污水经厂内污水处理站处理后，出水与循环水站排水、除盐水站排水送回用水站进一步处理后回用，浓盐水于厂内</w:t>
      </w:r>
      <w:r>
        <w:rPr>
          <w:rFonts w:hint="eastAsia" w:cs="Times New Roman"/>
        </w:rPr>
        <w:t>处理及蒸发结晶。</w:t>
      </w:r>
    </w:p>
    <w:p w14:paraId="505B08BC">
      <w:pPr>
        <w:pStyle w:val="626"/>
        <w:ind w:firstLine="480"/>
        <w:rPr>
          <w:rFonts w:ascii="Times New Roman" w:hAnsi="Times New Roman" w:eastAsia="宋体"/>
        </w:rPr>
      </w:pPr>
      <w:r>
        <w:rPr>
          <w:rFonts w:ascii="Times New Roman" w:hAnsi="Times New Roman" w:eastAsia="宋体"/>
        </w:rPr>
        <w:t>（3）项目产生的一般工业固体废物首先考虑</w:t>
      </w:r>
      <w:r>
        <w:rPr>
          <w:rFonts w:hint="eastAsia" w:ascii="Times New Roman" w:hAnsi="Times New Roman" w:eastAsia="宋体"/>
        </w:rPr>
        <w:t>回用，无法回用，考虑在当地</w:t>
      </w:r>
      <w:r>
        <w:rPr>
          <w:rFonts w:ascii="Times New Roman" w:hAnsi="Times New Roman" w:eastAsia="宋体"/>
        </w:rPr>
        <w:t>综合利用，依托地方建材厂生产建材。</w:t>
      </w:r>
    </w:p>
    <w:p w14:paraId="4F6AE598">
      <w:pPr>
        <w:pStyle w:val="626"/>
        <w:ind w:firstLine="480"/>
        <w:rPr>
          <w:spacing w:val="8"/>
        </w:rPr>
      </w:pPr>
      <w:r>
        <w:rPr>
          <w:rFonts w:ascii="Times New Roman" w:hAnsi="Times New Roman" w:eastAsia="宋体"/>
        </w:rPr>
        <w:t>因此，从</w:t>
      </w:r>
      <w:r>
        <w:rPr>
          <w:rFonts w:hint="eastAsia"/>
        </w:rPr>
        <w:t>废物回收利用</w:t>
      </w:r>
      <w:r>
        <w:rPr>
          <w:rFonts w:ascii="Times New Roman" w:hAnsi="Times New Roman" w:eastAsia="宋体"/>
        </w:rPr>
        <w:t>角度分析，本项目符合清洁生产要求</w:t>
      </w:r>
      <w:r>
        <w:rPr>
          <w:rFonts w:hint="eastAsia" w:ascii="Times New Roman" w:hAnsi="Times New Roman" w:eastAsia="宋体"/>
        </w:rPr>
        <w:t>。</w:t>
      </w:r>
    </w:p>
    <w:p w14:paraId="52F6D521">
      <w:pPr>
        <w:pStyle w:val="97"/>
        <w:rPr>
          <w:rFonts w:hint="eastAsia"/>
        </w:rPr>
      </w:pPr>
      <w:r>
        <w:t>环境管理</w:t>
      </w:r>
    </w:p>
    <w:p w14:paraId="625B35D1">
      <w:pPr>
        <w:pStyle w:val="626"/>
        <w:ind w:firstLine="480"/>
        <w:rPr>
          <w:rFonts w:ascii="Times New Roman" w:hAnsi="Times New Roman" w:eastAsia="宋体"/>
        </w:rPr>
      </w:pPr>
      <w:r>
        <w:rPr>
          <w:rFonts w:hint="eastAsia" w:ascii="Times New Roman" w:hAnsi="Times New Roman" w:eastAsia="宋体"/>
        </w:rPr>
        <w:t>本项目将建立完整的环境管理和环境监测体系，为项目清洁生产的实施提供有力保障。其中，在环境管理方面，本项目设立环保管理机构，负责环境管理的具体事宜；制定完善的环境监测制度，根据国家要求进行外委监测。有关环境管理和环境监测的详细内容参见本报告书</w:t>
      </w:r>
      <w:r>
        <w:rPr>
          <w:rFonts w:ascii="Times New Roman" w:hAnsi="Times New Roman" w:eastAsia="宋体"/>
        </w:rPr>
        <w:t>“</w:t>
      </w:r>
      <w:r>
        <w:rPr>
          <w:rFonts w:hint="eastAsia" w:ascii="Times New Roman" w:hAnsi="Times New Roman" w:eastAsia="宋体"/>
        </w:rPr>
        <w:t>环境管理与监测计划</w:t>
      </w:r>
      <w:r>
        <w:rPr>
          <w:rFonts w:ascii="Times New Roman" w:hAnsi="Times New Roman" w:eastAsia="宋体"/>
        </w:rPr>
        <w:t>”</w:t>
      </w:r>
      <w:r>
        <w:rPr>
          <w:rFonts w:hint="eastAsia" w:ascii="Times New Roman" w:hAnsi="Times New Roman" w:eastAsia="宋体"/>
        </w:rPr>
        <w:t>章节。</w:t>
      </w:r>
    </w:p>
    <w:p w14:paraId="602C832B">
      <w:pPr>
        <w:pStyle w:val="91"/>
        <w:spacing w:line="360" w:lineRule="auto"/>
        <w:ind w:firstLine="512"/>
        <w:rPr>
          <w:rFonts w:hint="eastAsia"/>
          <w:spacing w:val="8"/>
          <w:sz w:val="24"/>
        </w:rPr>
      </w:pPr>
    </w:p>
    <w:p w14:paraId="26B0E635">
      <w:pPr>
        <w:pStyle w:val="91"/>
        <w:spacing w:line="360" w:lineRule="auto"/>
        <w:ind w:firstLine="512"/>
        <w:rPr>
          <w:rFonts w:hint="eastAsia"/>
          <w:spacing w:val="8"/>
          <w:sz w:val="24"/>
        </w:rPr>
        <w:sectPr>
          <w:pgSz w:w="11906" w:h="16838"/>
          <w:pgMar w:top="1440" w:right="1800" w:bottom="1440" w:left="1800" w:header="851" w:footer="850" w:gutter="0"/>
          <w:cols w:space="425" w:num="1"/>
          <w:docGrid w:type="lines" w:linePitch="326" w:charSpace="0"/>
        </w:sectPr>
      </w:pPr>
    </w:p>
    <w:p w14:paraId="6B7C5412">
      <w:pPr>
        <w:pStyle w:val="1012"/>
      </w:pPr>
      <w:r>
        <w:t>区域环境现状调查与评价</w:t>
      </w:r>
      <w:bookmarkEnd w:id="81"/>
    </w:p>
    <w:p w14:paraId="1BB2280F">
      <w:pPr>
        <w:pStyle w:val="3"/>
        <w:rPr>
          <w:rFonts w:hint="eastAsia"/>
        </w:rPr>
      </w:pPr>
      <w:bookmarkStart w:id="268" w:name="_Toc22828"/>
      <w:r>
        <w:t>自然环境概况</w:t>
      </w:r>
      <w:bookmarkEnd w:id="268"/>
    </w:p>
    <w:p w14:paraId="1CB7821F">
      <w:pPr>
        <w:pStyle w:val="97"/>
        <w:rPr>
          <w:rFonts w:hint="eastAsia"/>
        </w:rPr>
      </w:pPr>
      <w:r>
        <w:t>地理位置</w:t>
      </w:r>
    </w:p>
    <w:p w14:paraId="47079B5B">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哈密市位于新疆维吾尔自治区最东端。地处。南北距离约440公里，东西相距约404公里，总面积14.21万平方公里，约占全疆总面积的8.6%。东部、东南部与甘肃省酒泉市为邻；南接巴音郭楞蒙古自治州；西部、西南部与昌吉回族自治州、吐鲁番市毗邻；北部、东北部与蒙古国接壤，有长达577.6公里的国界线。</w:t>
      </w:r>
    </w:p>
    <w:p w14:paraId="09DFBF77">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哈密工业园区位于哈密市西南方向，园区以“一区两园”的模式发展，即北部新兴产业园和南部循环经济产业园。</w:t>
      </w:r>
    </w:p>
    <w:p w14:paraId="67C0DDB1">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北部新兴产业园位于哈密市中心城区规划范围内的东北侧区域。规划范围：北临G30连霍高速，南距G312国道1公里，西南侧靠近现状水源地保护区，西距S249省道1.4公里，东到规划路，规划用地面积20.63平方公里。</w:t>
      </w:r>
    </w:p>
    <w:p w14:paraId="6D05C89B">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南部循环经济产业园区位于哈密市中心城区西南侧10公里处。规划范围：西侧片区：北至规划西域大道，南临规划兵地融合大道，西到规划珠江路，东距现状220kv高压廊道边界330m，规划用地面积7.14平方公里。东侧片区：北至规划巴里坤大道，南距现状220kv高压廊道边界200m，西距现状220kv高压廊道边界620m，东距S235省道600米，规划用地面积16.86平方公里。南部循环经济产业园规划总用地面积24平方公里。</w:t>
      </w:r>
    </w:p>
    <w:p w14:paraId="11EDE570">
      <w:pPr>
        <w:pStyle w:val="281"/>
        <w:ind w:firstLine="480"/>
        <w:rPr>
          <w:color w:val="000000" w:themeColor="text1"/>
          <w:szCs w:val="24"/>
          <w14:textFill>
            <w14:solidFill>
              <w14:schemeClr w14:val="tx1"/>
            </w14:solidFill>
          </w14:textFill>
        </w:rPr>
      </w:pPr>
      <w:r>
        <w:rPr>
          <w:rFonts w:hint="eastAsia" w:ascii="宋体" w:hAnsi="宋体"/>
          <w:color w:val="000000" w:themeColor="text1"/>
          <w14:textFill>
            <w14:solidFill>
              <w14:schemeClr w14:val="tx1"/>
            </w14:solidFill>
          </w14:textFill>
        </w:rPr>
        <w:t>本项目位于</w:t>
      </w:r>
      <w:r>
        <w:rPr>
          <w:color w:val="000000" w:themeColor="text1"/>
          <w:szCs w:val="24"/>
          <w14:textFill>
            <w14:solidFill>
              <w14:schemeClr w14:val="tx1"/>
            </w14:solidFill>
          </w14:textFill>
        </w:rPr>
        <w:t>哈密工业园区</w:t>
      </w:r>
      <w:r>
        <w:rPr>
          <w:rFonts w:hint="eastAsia"/>
          <w:color w:val="000000" w:themeColor="text1"/>
          <w:szCs w:val="24"/>
          <w14:textFill>
            <w14:solidFill>
              <w14:schemeClr w14:val="tx1"/>
            </w14:solidFill>
          </w14:textFill>
        </w:rPr>
        <w:t>南部循环经济产业园区</w:t>
      </w:r>
      <w:r>
        <w:rPr>
          <w:rFonts w:hint="eastAsia" w:ascii="宋体" w:hAnsi="宋体"/>
          <w:color w:val="000000" w:themeColor="text1"/>
          <w14:textFill>
            <w14:solidFill>
              <w14:schemeClr w14:val="tx1"/>
            </w14:solidFill>
          </w14:textFill>
        </w:rPr>
        <w:t>，厂址</w:t>
      </w:r>
      <w:r>
        <w:rPr>
          <w:color w:val="000000" w:themeColor="text1"/>
          <w:szCs w:val="24"/>
          <w14:textFill>
            <w14:solidFill>
              <w14:schemeClr w14:val="tx1"/>
            </w14:solidFill>
          </w14:textFill>
        </w:rPr>
        <w:t>中心地理坐标</w:t>
      </w:r>
      <w:r>
        <w:rPr>
          <w:rFonts w:hint="eastAsia"/>
          <w:color w:val="000000" w:themeColor="text1"/>
          <w:szCs w:val="24"/>
          <w14:textFill>
            <w14:solidFill>
              <w14:schemeClr w14:val="tx1"/>
            </w14:solidFill>
          </w14:textFill>
        </w:rPr>
        <w:t>。</w:t>
      </w:r>
    </w:p>
    <w:p w14:paraId="6E87A85E">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地形地貌</w:t>
      </w:r>
    </w:p>
    <w:p w14:paraId="6552FE34">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哈密市是一个北高南低，东西倾斜的盆地，北部为天山山脉；南部为低山剥蚀丘陵；西部为南湖戈壁；中上部为冲积平原，中下部为库木塔格大沙漠。境内最高山峰喀尔里克山海拔为4888m。区域地势平坦。</w:t>
      </w:r>
    </w:p>
    <w:p w14:paraId="3BEF0C00">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哈密市地处东天山南北麓。东天山是由几条平行山脉和其山间盆地组成的山系，北部以山地为主要特征的东天山余脉；东部、南部则以剥蚀形态为主要特征的高原地带；中部，西部是哈密盆地。哈密市具有“两山夹一盆”的地形地貌特点。位于市境内东北部的喀尔里克山主峰，终年不化，海拔4886m，为全市最高点。市境西部戈壁深处的沙尔湖为哈密盆地的最低处，海拔仅53m。哈密市地形呈北高南低，总的趋势由东北向西南倾斜。</w:t>
      </w:r>
    </w:p>
    <w:p w14:paraId="5CAC202F">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哈密市的地貌类型主要包括山地、高原和盆地三种类型。</w:t>
      </w:r>
    </w:p>
    <w:p w14:paraId="525B9027">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（1）山地</w:t>
      </w:r>
    </w:p>
    <w:p w14:paraId="1DB60348">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北部天山自西向东横贯全境，绵延起伏200余公里，</w:t>
      </w:r>
      <w:r>
        <w:rPr>
          <w:rFonts w:hint="eastAsia" w:ascii="Times New Roman" w:hAnsi="Times New Roman" w:cs="Times New Roman"/>
          <w:color w:val="000000" w:themeColor="text1"/>
          <w14:textFill>
            <w14:solidFill>
              <w14:schemeClr w14:val="tx1"/>
            </w14:solidFill>
          </w14:textFill>
        </w:rPr>
        <w:t>海拔</w:t>
      </w:r>
      <w:r>
        <w:rPr>
          <w:rFonts w:ascii="Times New Roman" w:hAnsi="Times New Roman" w:cs="Times New Roman"/>
          <w:color w:val="000000" w:themeColor="text1"/>
          <w14:textFill>
            <w14:solidFill>
              <w14:schemeClr w14:val="tx1"/>
            </w14:solidFill>
          </w14:textFill>
        </w:rPr>
        <w:t>大体在1500～4886m之间，喀尔里山主峰托木尔提终年积雪。次为巴尔库山主峰月牙山，海拔4348m，从喀尔里克山往东山势逐渐平缓，海拔高度逐次降至1200m左右。喀尔里克山山顶平坦，表明很少冰渍。边缘</w:t>
      </w:r>
      <w:r>
        <w:rPr>
          <w:rFonts w:hint="eastAsia" w:ascii="Times New Roman" w:hAnsi="Times New Roman" w:cs="Times New Roman"/>
          <w:color w:val="000000" w:themeColor="text1"/>
          <w14:textFill>
            <w14:solidFill>
              <w14:schemeClr w14:val="tx1"/>
            </w14:solidFill>
          </w14:textFill>
        </w:rPr>
        <w:t>有</w:t>
      </w:r>
      <w:r>
        <w:rPr>
          <w:rFonts w:ascii="Times New Roman" w:hAnsi="Times New Roman" w:cs="Times New Roman"/>
          <w:color w:val="000000" w:themeColor="text1"/>
          <w14:textFill>
            <w14:solidFill>
              <w14:schemeClr w14:val="tx1"/>
            </w14:solidFill>
          </w14:textFill>
        </w:rPr>
        <w:t>若干小型冰川。南坡有明显的大断层，山麓露出杂色、青红色的云母花岗岩侵入体。山坡呈现梯级地形和棱角状轮廓。山内峻岭纵横，陡峭刃脊。天山南侧，自西向东有南北向大小山沟29条。南北山麓广泛分布着巨大的洪积扇，洪积扇上部半埋着很多低山和丘陵。低山带有稀疏荒漠植被，高山南坡及中山带呈干草原分布，北坡比较阴湿的地方生长着</w:t>
      </w:r>
      <w:r>
        <w:rPr>
          <w:rFonts w:hint="eastAsia" w:ascii="Times New Roman" w:hAnsi="Times New Roman" w:cs="Times New Roman"/>
          <w:color w:val="000000" w:themeColor="text1"/>
          <w14:textFill>
            <w14:solidFill>
              <w14:schemeClr w14:val="tx1"/>
            </w14:solidFill>
          </w14:textFill>
        </w:rPr>
        <w:t>疏密</w:t>
      </w:r>
      <w:r>
        <w:rPr>
          <w:rFonts w:ascii="Times New Roman" w:hAnsi="Times New Roman" w:cs="Times New Roman"/>
          <w:color w:val="000000" w:themeColor="text1"/>
          <w14:textFill>
            <w14:solidFill>
              <w14:schemeClr w14:val="tx1"/>
            </w14:solidFill>
          </w14:textFill>
        </w:rPr>
        <w:t>不等的西伯利亚落叶松。</w:t>
      </w:r>
    </w:p>
    <w:p w14:paraId="6AA8B633">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（2）高原</w:t>
      </w:r>
    </w:p>
    <w:p w14:paraId="6562A295">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葛顺戈壁是一个准平原式的高原，位于新疆东南部。北为吐鲁番－哈密盆地，南为罗布泊洼地和疏勒河下游谷地。葛顺戈壁大部分就分布在哈密东部</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南部。葛顺戈壁地壳比较稳定，经长期剥蚀形成广阔的准平原。海拔大约900～1000m之间。其间没有高大山地，大部分地区相对高度不足50m，地形垂直分布现象不明显。葛顺戈壁的剥蚀形态为本区的地貌特征。本区气候特别干旱，是世界上大陆性气候最强烈的地区之一，年降水量仅30多mm。地下水</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地表水都很缺乏，到处呈现着干旱荒漠景观。封闭的盆地里的一些向心式的干涸河床，偶然在暴雨之后汇集一些暂时性的水流。由于风化的结果，山坡山麓覆盖着薄层碎石块，或被剥蚀成山麓面。少数由坚硬岩石形成的岛山突出在剥蚀平原上。本地区大部分地方终年盛行东北风，山坡风化物质经吹扬后，只留有粗大的砾石。在山谷里往往堆有薄层流沙，有的形成较大沙丘。</w:t>
      </w:r>
    </w:p>
    <w:p w14:paraId="14042917">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（3）盆地</w:t>
      </w:r>
    </w:p>
    <w:p w14:paraId="7EA90D9A">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位于天山和葛顺戈壁之间。整个盆地的地势由东北向西南倾斜。发源于喀尔里克山、巴尔库山的短小河流携带下来的物质组成宽广的山前倾斜平原。盆地上部为许多复合的洪积扇，南北宽约30km，主要有砾石组成。洪积扇的下部为古老的洪积平原，地形平缓，地下水位一般在5～7m。</w:t>
      </w:r>
    </w:p>
    <w:p w14:paraId="367BBA44">
      <w:pPr>
        <w:snapToGrid w:val="0"/>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盆地西部和西南部是十三间房—南湖戈壁。这里广泛分布的第三纪地层，因受临时性降水形成的小河流的切割，形成一系列劣地形，地面十分破碎，由于地形影响，北部七角井、十三间房一带是天山南北通道，常年有大风。因此风蚀作用非常明显，形成许多风蚀残丘和风蚀洼地。哈密五堡以南著名的魔鬼城—雅丹地貌就是由强风长期吹蚀而形成的。沙尔湖周围及供水河道两岸经风吹扬，形成许多密集的灌丛沙丘。</w:t>
      </w:r>
    </w:p>
    <w:p w14:paraId="43A59D24">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工程地质</w:t>
      </w:r>
    </w:p>
    <w:p w14:paraId="438A5122">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哈密市位于吐——哈盆地的东端，其地貌特征主要受区域地质构造、地层岩性和地形控制。其北面为天山山脉的北天山山系，东部为北山，南面是库鲁克塔格低山丘陵及库木塔格沙漠。区域地势南、北两端高，中部略低；东部高、西部略低，形成一个北东南三面向中西部缓倾斜的地形。地震基本烈度为7度。</w:t>
      </w:r>
    </w:p>
    <w:p w14:paraId="2C576423">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南部循环经济产业园由北向南倾斜的软质戈壁滩的东边缘，地势平坦、开阔，厂址属天山山前冲洪积戈壁平原，地形平坦，地势由东北向西南倾斜，自然地面高程在688.72m—700.34m之间，自然坡度约为0.8‰。</w:t>
      </w:r>
    </w:p>
    <w:p w14:paraId="2FA963F0">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水文地质</w:t>
      </w:r>
    </w:p>
    <w:p w14:paraId="106BC422">
      <w:pPr>
        <w:pStyle w:val="281"/>
        <w:ind w:firstLine="480"/>
      </w:pPr>
      <w:r>
        <w:rPr>
          <w:color w:val="000000" w:themeColor="text1"/>
          <w14:textFill>
            <w14:solidFill>
              <w14:schemeClr w14:val="tx1"/>
            </w14:solidFill>
          </w14:textFill>
        </w:rPr>
        <w:t>哈密市25条山溪性河流形成地表水资源量5.276×10</w:t>
      </w:r>
      <w:r>
        <w:rPr>
          <w:color w:val="000000" w:themeColor="text1"/>
          <w:vertAlign w:val="superscript"/>
          <w14:textFill>
            <w14:solidFill>
              <w14:schemeClr w14:val="tx1"/>
            </w14:solidFill>
          </w14:textFill>
        </w:rPr>
        <w:t>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。年径流量1000×10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～2000×10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以内的河流8条，2000×10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～5000×10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以内的河流6条，大于500</w:t>
      </w:r>
      <w:r>
        <w:t>0×10</w:t>
      </w:r>
      <w:r>
        <w:rPr>
          <w:vertAlign w:val="superscript"/>
        </w:rPr>
        <w:t>4</w:t>
      </w:r>
      <w:r>
        <w:t>m</w:t>
      </w:r>
      <w:r>
        <w:rPr>
          <w:vertAlign w:val="superscript"/>
        </w:rPr>
        <w:t>3</w:t>
      </w:r>
      <w:r>
        <w:t>的河流有3条，小于1000×10</w:t>
      </w:r>
      <w:r>
        <w:rPr>
          <w:vertAlign w:val="superscript"/>
        </w:rPr>
        <w:t>4</w:t>
      </w:r>
      <w:r>
        <w:t>m</w:t>
      </w:r>
      <w:r>
        <w:rPr>
          <w:vertAlign w:val="superscript"/>
        </w:rPr>
        <w:t>3</w:t>
      </w:r>
      <w:r>
        <w:t>的河流有8条。已开发的石城子河(头道沟、故乡河)、榆树沟、庙尔沟，三条河沟的地表水年径流量1.74×10</w:t>
      </w:r>
      <w:r>
        <w:rPr>
          <w:vertAlign w:val="superscript"/>
        </w:rPr>
        <w:t>8</w:t>
      </w:r>
      <w:r>
        <w:t>m</w:t>
      </w:r>
      <w:r>
        <w:rPr>
          <w:vertAlign w:val="superscript"/>
        </w:rPr>
        <w:t>3</w:t>
      </w:r>
      <w:r>
        <w:t>。</w:t>
      </w:r>
    </w:p>
    <w:p w14:paraId="11500CF1">
      <w:pPr>
        <w:pStyle w:val="281"/>
        <w:ind w:firstLine="480"/>
      </w:pPr>
      <w:r>
        <w:rPr>
          <w:rFonts w:hint="eastAsia"/>
        </w:rPr>
        <w:t>（1）</w:t>
      </w:r>
      <w:r>
        <w:t>地表水概况</w:t>
      </w:r>
    </w:p>
    <w:p w14:paraId="470D430E">
      <w:pPr>
        <w:pStyle w:val="281"/>
        <w:ind w:firstLine="480"/>
      </w:pPr>
      <w:r>
        <w:t>哈密市水源主要由地表水主要靠天山降雨、降雪组成。哈密市水资源较少，天山山区降水较多。哈密市北部山区共有冰川124条，主要分布在天山山脉的哈尔里克山和巴尔库克山，面积98.48km</w:t>
      </w:r>
      <w:r>
        <w:rPr>
          <w:vertAlign w:val="superscript"/>
        </w:rPr>
        <w:t>2</w:t>
      </w:r>
      <w:r>
        <w:t>，冰储量35.40×10</w:t>
      </w:r>
      <w:r>
        <w:rPr>
          <w:vertAlign w:val="superscript"/>
        </w:rPr>
        <w:t>8</w:t>
      </w:r>
      <w:r>
        <w:t>m</w:t>
      </w:r>
      <w:r>
        <w:rPr>
          <w:vertAlign w:val="superscript"/>
        </w:rPr>
        <w:t>3</w:t>
      </w:r>
      <w:r>
        <w:t>，折合水量30.1×10</w:t>
      </w:r>
      <w:r>
        <w:rPr>
          <w:vertAlign w:val="superscript"/>
        </w:rPr>
        <w:t>8</w:t>
      </w:r>
      <w:r>
        <w:t>m</w:t>
      </w:r>
      <w:r>
        <w:rPr>
          <w:vertAlign w:val="superscript"/>
        </w:rPr>
        <w:t>3</w:t>
      </w:r>
      <w:r>
        <w:t>，年补给地表水0.406×10</w:t>
      </w:r>
      <w:r>
        <w:rPr>
          <w:vertAlign w:val="superscript"/>
        </w:rPr>
        <w:t>8</w:t>
      </w:r>
      <w:r>
        <w:t>m</w:t>
      </w:r>
      <w:r>
        <w:rPr>
          <w:vertAlign w:val="superscript"/>
        </w:rPr>
        <w:t>3</w:t>
      </w:r>
      <w:r>
        <w:t>。冰川</w:t>
      </w:r>
      <w:r>
        <w:rPr>
          <w:rFonts w:hint="eastAsia"/>
        </w:rPr>
        <w:t>既</w:t>
      </w:r>
      <w:r>
        <w:t>调节了高山气候，又对高山降水起了重新分配和多年调节作用，是地表水和地下水的重要补给来源，冰川的调节作用，使哈密的水资源具有一定的稳定性。</w:t>
      </w:r>
    </w:p>
    <w:p w14:paraId="62D25131">
      <w:pPr>
        <w:pStyle w:val="281"/>
        <w:ind w:firstLine="480"/>
      </w:pPr>
      <w:r>
        <w:t>（2）水库概况</w:t>
      </w:r>
    </w:p>
    <w:p w14:paraId="3981AE3A">
      <w:pPr>
        <w:pStyle w:val="281"/>
        <w:ind w:firstLine="480"/>
      </w:pPr>
      <w:r>
        <w:t>哈密市目前已建有山区及平原水库15座，总库容5560×10</w:t>
      </w:r>
      <w:r>
        <w:rPr>
          <w:vertAlign w:val="superscript"/>
        </w:rPr>
        <w:t>4</w:t>
      </w:r>
      <w:r>
        <w:t>m</w:t>
      </w:r>
      <w:r>
        <w:rPr>
          <w:vertAlign w:val="superscript"/>
        </w:rPr>
        <w:t>3</w:t>
      </w:r>
      <w:r>
        <w:t>，哈密市农区有各级渠道2739km，已防渗2403km。石城子水库、榆树沟水库、庙尔沟水库有干、支、斗、农渠道1841.16km，已防渗1330km。</w:t>
      </w:r>
    </w:p>
    <w:p w14:paraId="3F05B05A">
      <w:pPr>
        <w:pStyle w:val="281"/>
        <w:ind w:firstLine="480"/>
      </w:pPr>
      <w:r>
        <w:t>石城子水库位于相距哈密市38km。水库于1975年12月7日动工兴建，1982年竣工投入运行。水库坝址以上集水面积802km</w:t>
      </w:r>
      <w:r>
        <w:rPr>
          <w:vertAlign w:val="superscript"/>
        </w:rPr>
        <w:t>2</w:t>
      </w:r>
      <w:r>
        <w:t>，石城子水库总库容2060×10</w:t>
      </w:r>
      <w:r>
        <w:rPr>
          <w:vertAlign w:val="superscript"/>
        </w:rPr>
        <w:t>4</w:t>
      </w:r>
      <w:r>
        <w:t>m</w:t>
      </w:r>
      <w:r>
        <w:rPr>
          <w:vertAlign w:val="superscript"/>
        </w:rPr>
        <w:t>3</w:t>
      </w:r>
      <w:r>
        <w:t>，水库设计洪水标准百年一遇，相应流量360m</w:t>
      </w:r>
      <w:r>
        <w:rPr>
          <w:vertAlign w:val="superscript"/>
        </w:rPr>
        <w:t>3</w:t>
      </w:r>
      <w:r>
        <w:t>/s，水库校核洪水千年一遇，相应流量795m</w:t>
      </w:r>
      <w:r>
        <w:rPr>
          <w:vertAlign w:val="superscript"/>
        </w:rPr>
        <w:t>3</w:t>
      </w:r>
      <w:r>
        <w:t>/s。石城子水库为年调节水库，通过水库调蓄能将夏、秋季节丰水期水量调配给冬、春季节枯水期用水，可满足下游一年四季供水要求。</w:t>
      </w:r>
    </w:p>
    <w:p w14:paraId="584B38E5">
      <w:pPr>
        <w:pStyle w:val="281"/>
        <w:ind w:firstLine="480"/>
      </w:pPr>
      <w:r>
        <w:t>榆树沟水库位于哈密市榆树沟乡，距哈密市50km。水库于1998年10月动工兴建，2001年11月完工。榆树沟水库集水面积308km</w:t>
      </w:r>
      <w:r>
        <w:rPr>
          <w:vertAlign w:val="superscript"/>
        </w:rPr>
        <w:t>2</w:t>
      </w:r>
      <w:r>
        <w:t>，榆树沟水库总库容1100×10</w:t>
      </w:r>
      <w:r>
        <w:rPr>
          <w:vertAlign w:val="superscript"/>
        </w:rPr>
        <w:t>4</w:t>
      </w:r>
      <w:r>
        <w:t>m</w:t>
      </w:r>
      <w:r>
        <w:rPr>
          <w:vertAlign w:val="superscript"/>
        </w:rPr>
        <w:t>3</w:t>
      </w:r>
      <w:r>
        <w:t>，榆树沟水库设计洪水采用50年一遇标准，流量126m</w:t>
      </w:r>
      <w:r>
        <w:rPr>
          <w:vertAlign w:val="superscript"/>
        </w:rPr>
        <w:t>3</w:t>
      </w:r>
      <w:r>
        <w:t>/s；校核洪水采用千年一遇的标准，流量398m</w:t>
      </w:r>
      <w:r>
        <w:rPr>
          <w:vertAlign w:val="superscript"/>
        </w:rPr>
        <w:t>3</w:t>
      </w:r>
      <w:r>
        <w:t>/s。设计洪水位1996.73m，校核</w:t>
      </w:r>
      <w:r>
        <w:rPr>
          <w:rFonts w:hint="eastAsia"/>
        </w:rPr>
        <w:t>洪水位</w:t>
      </w:r>
      <w:r>
        <w:t>1998.68m，正常蓄水位1994.7m，死水位1953m。设计洪水下泄流量108m</w:t>
      </w:r>
      <w:r>
        <w:rPr>
          <w:vertAlign w:val="superscript"/>
        </w:rPr>
        <w:t>3</w:t>
      </w:r>
      <w:r>
        <w:t>/s。校核洪水下泄流量295m</w:t>
      </w:r>
      <w:r>
        <w:rPr>
          <w:vertAlign w:val="superscript"/>
        </w:rPr>
        <w:t>3</w:t>
      </w:r>
      <w:r>
        <w:t>/s。榆树沟水库已建成向工业供水的输水管道。</w:t>
      </w:r>
    </w:p>
    <w:p w14:paraId="58D29EFA">
      <w:pPr>
        <w:pStyle w:val="281"/>
        <w:ind w:firstLine="480"/>
      </w:pPr>
      <w:r>
        <w:t>庙儿沟水库坐落在哈密市庙儿沟村西边的山脚下，水库左边有一条引水渠道，渠道长约3km，庙儿沟水库库容300×10</w:t>
      </w:r>
      <w:r>
        <w:rPr>
          <w:vertAlign w:val="superscript"/>
        </w:rPr>
        <w:t>4</w:t>
      </w:r>
      <w:r>
        <w:t>m</w:t>
      </w:r>
      <w:r>
        <w:rPr>
          <w:vertAlign w:val="superscript"/>
        </w:rPr>
        <w:t>3</w:t>
      </w:r>
      <w:r>
        <w:t>。</w:t>
      </w:r>
    </w:p>
    <w:p w14:paraId="2329CB57">
      <w:pPr>
        <w:pStyle w:val="281"/>
        <w:ind w:firstLine="480"/>
      </w:pPr>
      <w:r>
        <w:t>（3）地下水</w:t>
      </w:r>
    </w:p>
    <w:p w14:paraId="156A9F60">
      <w:pPr>
        <w:pStyle w:val="281"/>
        <w:ind w:firstLine="480"/>
      </w:pPr>
      <w:r>
        <w:t>石城子河、榆树沟、庙尔沟流域地下水资源主要分布于哈尔里克山山前冲洪积扇，根据地质时代、岩性、沉积物成因类型，水力性质及其岩石的透水性，地下水类型主要为第四系松散岩类孔隙潜水，含水层岩性主要为砂砾石，厚度一般在30～6</w:t>
      </w:r>
      <w:r>
        <w:rPr>
          <w:rFonts w:hint="eastAsia"/>
        </w:rPr>
        <w:t>0</w:t>
      </w:r>
      <w:r>
        <w:t>m，其中心位于边关墩沉降中心，第四系含水层厚度大于100m，具有较大的地下水储存空间，其第四系含水层富水性均大于3000m</w:t>
      </w:r>
      <w:r>
        <w:rPr>
          <w:vertAlign w:val="superscript"/>
        </w:rPr>
        <w:t>3</w:t>
      </w:r>
      <w:r>
        <w:t>/d；第三系碎屑岩类孔隙一裂隙承压水，含水层岩性为砂岩、砾岩</w:t>
      </w:r>
      <w:r>
        <w:rPr>
          <w:rFonts w:hint="eastAsia"/>
        </w:rPr>
        <w:t>，</w:t>
      </w:r>
      <w:r>
        <w:t>含水层厚度30～-6Om富水性大于1000m</w:t>
      </w:r>
      <w:r>
        <w:rPr>
          <w:vertAlign w:val="superscript"/>
        </w:rPr>
        <w:t>3</w:t>
      </w:r>
      <w:r>
        <w:t>/d。</w:t>
      </w:r>
    </w:p>
    <w:p w14:paraId="3670E664">
      <w:pPr>
        <w:pStyle w:val="281"/>
        <w:ind w:firstLine="480"/>
      </w:pPr>
      <w:r>
        <w:t>第四系潜水及第三系浅层承压水主要接受北部山区侧向流入，干渠入渗、河道潜流、河道洪流、面洪入渗、支、斗渠入渗、田渗补给、地下水回归入渗等补给；平原区第四系浅水及第三系浅层承压水</w:t>
      </w:r>
      <w:r>
        <w:rPr>
          <w:rFonts w:hint="eastAsia"/>
        </w:rPr>
        <w:t>，</w:t>
      </w:r>
      <w:r>
        <w:t>在312国道以北的平原区中上部，含水层岩性为砂砾石、卵砾石、透水性极强，地下水循环交替强烈，地下水以平缓的坡度向下运移，水力坡度为5～8.5‰。兰新公路以南随含水层颗粒变细和细颗粒夹层透镜体的出现，粗颗粒的砾石层和砂砾石层趋于消失，透水性和富水性减弱，水循环交替滞缓，径流条件差，水力坡度较大，为6.9～8‰。越往南，颗粒越细，地下水径流条件越差，平均水力坡度为9‰左右，平原区地下水排泄主要为泉水溢出、蒸发、蒸腾、人工开采等。</w:t>
      </w:r>
    </w:p>
    <w:p w14:paraId="24434CDE">
      <w:pPr>
        <w:pStyle w:val="281"/>
        <w:ind w:firstLine="480"/>
      </w:pPr>
      <w:r>
        <w:t>平原区北部戈壁带第四系潜水水化学类型为HCO</w:t>
      </w:r>
      <w:r>
        <w:rPr>
          <w:vertAlign w:val="subscript"/>
        </w:rPr>
        <w:t>3</w:t>
      </w:r>
      <w:r>
        <w:t>—Ca·Na型，矿化度多小于0.3g/L，总硬度300～45</w:t>
      </w:r>
      <w:r>
        <w:rPr>
          <w:rFonts w:hint="eastAsia"/>
        </w:rPr>
        <w:t>0</w:t>
      </w:r>
      <w:r>
        <w:t>mg/L。</w:t>
      </w:r>
    </w:p>
    <w:p w14:paraId="44E89F83">
      <w:pPr>
        <w:pStyle w:val="281"/>
        <w:ind w:firstLine="480"/>
      </w:pPr>
      <w:r>
        <w:t>平原区为第四系松散岩类潜水～承压水、下伏第三系碎屑岩类孔隙裂隙承压水，山区及残丘区为基岩裂隙水、第三系孔隙裂隙水。</w:t>
      </w:r>
    </w:p>
    <w:p w14:paraId="2B3C4DA4">
      <w:pPr>
        <w:pStyle w:val="281"/>
        <w:ind w:firstLine="480"/>
      </w:pPr>
      <w:r>
        <w:t>北部山前的冲洪积平原，自山前向细土平原区第四系岩性由卵砾石过渡为砂砾石与亚砂土、亚粘土层，厚度由300～40</w:t>
      </w:r>
      <w:r>
        <w:rPr>
          <w:rFonts w:hint="eastAsia"/>
        </w:rPr>
        <w:t>0</w:t>
      </w:r>
      <w:r>
        <w:t>m，过渡到小于20m。地下水位由大于6</w:t>
      </w:r>
      <w:r>
        <w:rPr>
          <w:rFonts w:hint="eastAsia"/>
        </w:rPr>
        <w:t>0</w:t>
      </w:r>
      <w:r>
        <w:t>m变至1～5m，个别地段自流。地下水富水性由单井涌水量5000～3000m</w:t>
      </w:r>
      <w:r>
        <w:rPr>
          <w:vertAlign w:val="superscript"/>
        </w:rPr>
        <w:t>3</w:t>
      </w:r>
      <w:r>
        <w:t>/d，过渡到1000～3000m</w:t>
      </w:r>
      <w:r>
        <w:rPr>
          <w:vertAlign w:val="superscript"/>
        </w:rPr>
        <w:t>3</w:t>
      </w:r>
      <w:r>
        <w:t>/d及小于100m</w:t>
      </w:r>
      <w:r>
        <w:rPr>
          <w:vertAlign w:val="superscript"/>
        </w:rPr>
        <w:t>3</w:t>
      </w:r>
      <w:r>
        <w:t>/d。水质由好变差</w:t>
      </w:r>
      <w:r>
        <w:rPr>
          <w:rFonts w:hint="eastAsia"/>
        </w:rPr>
        <w:t>，</w:t>
      </w:r>
      <w:r>
        <w:t>矿化度由0.3g/L过渡为0.5～lg/L或大于3g/L。</w:t>
      </w:r>
    </w:p>
    <w:p w14:paraId="437B5961">
      <w:pPr>
        <w:pStyle w:val="281"/>
        <w:ind w:firstLine="480"/>
      </w:pPr>
      <w:r>
        <w:t>北部新兴产业园地处哈尔里克山山脉南坡的冲洪积平原中部，为地下水的径流区。地下水埋深大于20米。区域内地下水的补给主要源于北部山区石城子河和山前基岩裂隙水的入渗。地下水径流条件好，富水性强，单井涌水量3000立方米/日，地下水渗透系数25-35米/日，地下水化学类型为HCO</w:t>
      </w:r>
      <w:r>
        <w:rPr>
          <w:vertAlign w:val="subscript"/>
        </w:rPr>
        <w:t>3</w:t>
      </w:r>
      <w:r>
        <w:t>-Ca型水，矿化度400-500毫克/升。水质良好。区域地下水位动态为水文——开采型，受下游地区过量开采地下水资源的影响，地下水位呈逐年下降趋势。</w:t>
      </w:r>
    </w:p>
    <w:p w14:paraId="6E20BF0B">
      <w:pPr>
        <w:pStyle w:val="281"/>
        <w:ind w:firstLine="480"/>
      </w:pPr>
      <w:r>
        <w:t>南部循环产业园地处哈尔里克山山脉南坡的冲洪积平原下游西河坝河床的西岸，为地下水的排泄区。地下水埋深大于2-10米。该处地层岩性以细颗粒物质，含水层岩性为：第四系松散层厚度较薄，岩性以亚砂土，含砾亚砂土为主，含水性富水性较差，地下水径流速度缓慢，单井涌水量500-1000立方米/日，渗透系数5-20米/日。第三系含水层为泥钙质砂砾岩夹泥砂岩，含水层富水性差，单井涌水量小于500立方米/日，渗透系数5-10米/日，地下水化学类型为SO</w:t>
      </w:r>
      <w:r>
        <w:rPr>
          <w:vertAlign w:val="subscript"/>
        </w:rPr>
        <w:t>4</w:t>
      </w:r>
      <w:r>
        <w:t>-Ca-Na型水，矿化度500-1000毫克/升。区域地下水位动态为开采——蒸发型，地下水位动态变化与上游及周边地区过量开采地下水有直接关系。地下水位呈逐年连续性下降。</w:t>
      </w:r>
    </w:p>
    <w:p w14:paraId="794DFCE8">
      <w:pPr>
        <w:pStyle w:val="281"/>
        <w:ind w:firstLine="480"/>
        <w:rPr>
          <w:color w:val="000000" w:themeColor="text1"/>
          <w14:textFill>
            <w14:solidFill>
              <w14:schemeClr w14:val="tx1"/>
            </w14:solidFill>
          </w14:textFill>
        </w:rPr>
      </w:pPr>
      <w:r>
        <w:t>为抑制哈密市地下水水位下降趋势，应控制地下水开采量，以确保地下水采补平衡。严禁企业使用自备井，辖区工业和园区企业应由哈密市自来水公司统</w:t>
      </w:r>
      <w:r>
        <w:rPr>
          <w:color w:val="000000" w:themeColor="text1"/>
          <w14:textFill>
            <w14:solidFill>
              <w14:schemeClr w14:val="tx1"/>
            </w14:solidFill>
          </w14:textFill>
        </w:rPr>
        <w:t>一供水。</w:t>
      </w:r>
    </w:p>
    <w:p w14:paraId="3FEC507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由于园区规划采用地表水，因此园区的建设不会造成局部地下水的超采，对发展农业及区域生态环境影响不大。</w:t>
      </w:r>
    </w:p>
    <w:p w14:paraId="67D876CB">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气象条件</w:t>
      </w:r>
    </w:p>
    <w:p w14:paraId="76522A1A">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哈密地处欧亚大陆腹地，气候属温带大陆型。夏季多风且冷暖多变，冬季寒冷干燥，日照时间长，境内地势南北差异较大，气候垂直特性明显。空气干燥，大气透明度好，云量遮蔽少，光能资源丰富，为全国光能资源优越地区之一。</w:t>
      </w:r>
    </w:p>
    <w:p w14:paraId="492617EA">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哈密市年平均风速1.9</w:t>
      </w:r>
      <w:r>
        <w:rPr>
          <w:rFonts w:hint="eastAsia" w:cs="Times New Roman"/>
          <w:color w:val="000000" w:themeColor="text1"/>
          <w14:textFill>
            <w14:solidFill>
              <w14:schemeClr w14:val="tx1"/>
            </w14:solidFill>
          </w14:textFill>
        </w:rPr>
        <w:t>m</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s</w:t>
      </w:r>
      <w:r>
        <w:rPr>
          <w:rFonts w:cs="Times New Roman"/>
          <w:color w:val="000000" w:themeColor="text1"/>
          <w14:textFill>
            <w14:solidFill>
              <w14:schemeClr w14:val="tx1"/>
            </w14:solidFill>
          </w14:textFill>
        </w:rPr>
        <w:t>，全年多为东北风。春季多大风，局部地区历年来多受大风袭扰，巨风成灾；如西北边的十三间房地区为百里风区，古称“黑风川”。东部星星峡为全国日照最多的地区之一，有“日光峡”之称。</w:t>
      </w:r>
    </w:p>
    <w:p w14:paraId="55703835">
      <w:pPr>
        <w:pStyle w:val="3"/>
        <w:rPr>
          <w:rFonts w:hint="eastAsia"/>
        </w:rPr>
      </w:pPr>
      <w:bookmarkStart w:id="269" w:name="_Toc31394"/>
      <w:r>
        <w:rPr>
          <w:rFonts w:hint="eastAsia"/>
        </w:rPr>
        <w:t>哈密工业园区概况</w:t>
      </w:r>
      <w:bookmarkEnd w:id="269"/>
    </w:p>
    <w:p w14:paraId="4D293F0A">
      <w:pPr>
        <w:pStyle w:val="97"/>
        <w:rPr>
          <w:rFonts w:hint="eastAsia"/>
        </w:rPr>
      </w:pPr>
      <w:r>
        <w:rPr>
          <w:rFonts w:hint="eastAsia"/>
        </w:rPr>
        <w:t>园区发展历程</w:t>
      </w:r>
    </w:p>
    <w:p w14:paraId="42645127">
      <w:pPr>
        <w:pStyle w:val="281"/>
        <w:ind w:firstLine="480"/>
        <w:rPr>
          <w:rFonts w:cs="Times New Roman"/>
        </w:rPr>
      </w:pPr>
      <w:r>
        <w:rPr>
          <w:rFonts w:cs="Times New Roman"/>
        </w:rPr>
        <w:t>哈密工业园区始建于2003年，2006年4月21日，自治区人民政府下发了《关于同意哈密工业园区为自治区工业园区的批复》（新政函[2006]53号）的文件，批准用地面积45平方公里。2011年8月15日自治区人民政府下发了《关于对哈密工业园区总体规划的批复》（新政函[2011]197号）的文件，批准园区主要由广东工业加工区（即北部新兴产业园）和重工业加工区（即南部循环经济产业园）组成，批准用地面积45平方公里。</w:t>
      </w:r>
    </w:p>
    <w:p w14:paraId="1D8A1BF0">
      <w:pPr>
        <w:pStyle w:val="281"/>
        <w:ind w:firstLine="480"/>
        <w:rPr>
          <w:rFonts w:cs="Times New Roman"/>
        </w:rPr>
      </w:pPr>
      <w:r>
        <w:rPr>
          <w:rFonts w:cs="Times New Roman"/>
        </w:rPr>
        <w:t>2015年，新疆维吾尔自治区人民政府《关于设立哈密高新技术产业开发区的批复》（新政函[2015</w:t>
      </w:r>
      <w:r>
        <w:rPr>
          <w:rFonts w:hint="eastAsia" w:cs="Times New Roman"/>
        </w:rPr>
        <w:t>]</w:t>
      </w:r>
      <w:r>
        <w:rPr>
          <w:rFonts w:cs="Times New Roman"/>
        </w:rPr>
        <w:t>第201号），同意设立哈密高新技术产业开发区。哈密高新技术产业开发区依托哈密工业园区建设，包括北部新兴产业园、南部循环经济产业园以及新增石城子光伏产业园24.22平方</w:t>
      </w:r>
      <w:r>
        <w:rPr>
          <w:rFonts w:hint="eastAsia" w:cs="Times New Roman"/>
        </w:rPr>
        <w:t>公里</w:t>
      </w:r>
      <w:r>
        <w:rPr>
          <w:rFonts w:cs="Times New Roman"/>
        </w:rPr>
        <w:t>，规划面积69.22平方</w:t>
      </w:r>
      <w:r>
        <w:rPr>
          <w:rFonts w:hint="eastAsia" w:cs="Times New Roman"/>
        </w:rPr>
        <w:t>公里</w:t>
      </w:r>
      <w:r>
        <w:rPr>
          <w:rFonts w:cs="Times New Roman"/>
        </w:rPr>
        <w:t>。</w:t>
      </w:r>
    </w:p>
    <w:p w14:paraId="565E86B3">
      <w:pPr>
        <w:pStyle w:val="281"/>
        <w:ind w:firstLine="480"/>
        <w:rPr>
          <w:rFonts w:cs="Times New Roman"/>
        </w:rPr>
      </w:pPr>
      <w:r>
        <w:rPr>
          <w:rFonts w:cs="Times New Roman"/>
        </w:rPr>
        <w:t>2021年1月，新疆维吾尔自治区人民政府以“新政函[2021]14号”文出具《关于同意哈密工业园区调区的批复》，调整后园区总规划面积44.63平方公里</w:t>
      </w:r>
      <w:r>
        <w:rPr>
          <w:rFonts w:hint="eastAsia" w:cs="Times New Roman"/>
        </w:rPr>
        <w:t>，由北部新兴产业园和南部循环经济产业园组成。其中南部循环经济产业园位于哈密市区西南10千米处，规划面积24平方千米，分为东侧片区和西侧片区，由</w:t>
      </w:r>
      <w:r>
        <w:rPr>
          <w:rFonts w:hint="eastAsia" w:cs="Times New Roman"/>
          <w:b/>
          <w:bCs/>
        </w:rPr>
        <w:t>新材料产业区、仓储物流区、化工产业区、能源资源深加工产业区、节能环保材料加工产业区、综合服务及创业孵化区组成；</w:t>
      </w:r>
      <w:r>
        <w:rPr>
          <w:rFonts w:hint="eastAsia" w:cs="Times New Roman"/>
        </w:rPr>
        <w:t>北部新兴产业园位于哈密市中心城区东北6千米处，规划面积20.63平方千米，分布有先进装备制造区、创业孵化区、农副产品加工产业区、医疗器及卫材产业区、建材及金属结构件管材产业区、综合服务区。园区产业定位为：重点做优做强先进装备制造、新材料、化工业三大主导产业，加快培育现代能源产业、医疗器械及卫材、节能环保产业三大新兴产业，提升发展农副产品加工、建材及金属结构件管材、能源资源精深加工三大传统产业，积极配套现代服务业。</w:t>
      </w:r>
    </w:p>
    <w:p w14:paraId="036269EE">
      <w:pPr>
        <w:pStyle w:val="281"/>
        <w:ind w:firstLine="480"/>
        <w:rPr>
          <w:rFonts w:cs="Times New Roman"/>
        </w:rPr>
      </w:pPr>
      <w:r>
        <w:rPr>
          <w:rFonts w:cs="Times New Roman"/>
        </w:rPr>
        <w:t>2021年4月，新疆清风朗月环保科技有限公司编制了《哈密工业园区总体规划（2019-2035年）环境影响报告书》，并于2021年4月6日取得新疆维吾尔自治区生态环境厅关于《哈密工业园区总体规划（2019-2035年）环境影响报告书》的审查意见（新环审[2021]61号）。</w:t>
      </w:r>
      <w:r>
        <w:rPr>
          <w:rFonts w:hint="eastAsia" w:cs="Times New Roman"/>
        </w:rPr>
        <w:t>2022年2月16日，自治区工业园区工作领导小组出具《关于&lt;哈密</w:t>
      </w:r>
      <w:r>
        <w:rPr>
          <w:rFonts w:cs="Times New Roman"/>
        </w:rPr>
        <w:t>工业园区</w:t>
      </w:r>
      <w:r>
        <w:rPr>
          <w:rFonts w:hint="eastAsia" w:cs="Times New Roman"/>
        </w:rPr>
        <w:t>产业发展规划（2019-2035年）&gt;的批复》（新园区函</w:t>
      </w:r>
      <w:r>
        <w:rPr>
          <w:rFonts w:cs="Times New Roman"/>
        </w:rPr>
        <w:t>[202</w:t>
      </w:r>
      <w:r>
        <w:rPr>
          <w:rFonts w:hint="eastAsia" w:cs="Times New Roman"/>
        </w:rPr>
        <w:t>2</w:t>
      </w:r>
      <w:r>
        <w:rPr>
          <w:rFonts w:cs="Times New Roman"/>
        </w:rPr>
        <w:t>]</w:t>
      </w:r>
      <w:r>
        <w:rPr>
          <w:rFonts w:hint="eastAsia" w:cs="Times New Roman"/>
        </w:rPr>
        <w:t>1</w:t>
      </w:r>
      <w:r>
        <w:rPr>
          <w:rFonts w:cs="Times New Roman"/>
        </w:rPr>
        <w:t>号</w:t>
      </w:r>
      <w:r>
        <w:rPr>
          <w:rFonts w:hint="eastAsia" w:cs="Times New Roman"/>
        </w:rPr>
        <w:t>）。2022年2月24日，新疆维吾尔自治区生态环境厅出具</w:t>
      </w:r>
      <w:r>
        <w:rPr>
          <w:rFonts w:cs="Times New Roman"/>
        </w:rPr>
        <w:t>关于确认使用《关于</w:t>
      </w:r>
      <w:r>
        <w:rPr>
          <w:rFonts w:hint="eastAsia" w:cs="Times New Roman"/>
        </w:rPr>
        <w:t>&lt;</w:t>
      </w:r>
      <w:r>
        <w:rPr>
          <w:rFonts w:cs="Times New Roman"/>
        </w:rPr>
        <w:t>哈密工业园区总体规划</w:t>
      </w:r>
      <w:r>
        <w:rPr>
          <w:rFonts w:hint="eastAsia" w:cs="Times New Roman"/>
        </w:rPr>
        <w:t>（</w:t>
      </w:r>
      <w:r>
        <w:rPr>
          <w:rFonts w:cs="Times New Roman"/>
        </w:rPr>
        <w:t>2019-2035年</w:t>
      </w:r>
      <w:r>
        <w:rPr>
          <w:rFonts w:hint="eastAsia" w:cs="Times New Roman"/>
        </w:rPr>
        <w:t>）</w:t>
      </w:r>
      <w:r>
        <w:rPr>
          <w:rFonts w:cs="Times New Roman"/>
        </w:rPr>
        <w:t>环境影响报告书的</w:t>
      </w:r>
      <w:r>
        <w:rPr>
          <w:rFonts w:hint="eastAsia" w:cs="Times New Roman"/>
        </w:rPr>
        <w:t>&gt;</w:t>
      </w:r>
      <w:r>
        <w:rPr>
          <w:rFonts w:cs="Times New Roman"/>
        </w:rPr>
        <w:t>审查意见》的复函</w:t>
      </w:r>
      <w:r>
        <w:rPr>
          <w:rFonts w:hint="eastAsia" w:cs="Times New Roman"/>
        </w:rPr>
        <w:t>（新环环评函</w:t>
      </w:r>
      <w:r>
        <w:rPr>
          <w:rFonts w:cs="Times New Roman"/>
        </w:rPr>
        <w:t>〔20</w:t>
      </w:r>
      <w:r>
        <w:rPr>
          <w:rFonts w:hint="eastAsia" w:cs="Times New Roman"/>
        </w:rPr>
        <w:t>22</w:t>
      </w:r>
      <w:r>
        <w:rPr>
          <w:rFonts w:cs="Times New Roman"/>
        </w:rPr>
        <w:t>〕</w:t>
      </w:r>
      <w:r>
        <w:rPr>
          <w:rFonts w:hint="eastAsia" w:cs="Times New Roman"/>
        </w:rPr>
        <w:t>140</w:t>
      </w:r>
      <w:r>
        <w:rPr>
          <w:rFonts w:cs="Times New Roman"/>
        </w:rPr>
        <w:t>号</w:t>
      </w:r>
      <w:r>
        <w:rPr>
          <w:rFonts w:hint="eastAsia" w:cs="Times New Roman"/>
        </w:rPr>
        <w:t>），</w:t>
      </w:r>
      <w:r>
        <w:rPr>
          <w:rFonts w:cs="Times New Roman"/>
        </w:rPr>
        <w:t>《哈密工业园区总体规划</w:t>
      </w:r>
      <w:r>
        <w:rPr>
          <w:rFonts w:hint="eastAsia" w:cs="Times New Roman"/>
        </w:rPr>
        <w:t>（</w:t>
      </w:r>
      <w:r>
        <w:rPr>
          <w:rFonts w:cs="Times New Roman"/>
        </w:rPr>
        <w:t>2019-2035年</w:t>
      </w:r>
      <w:r>
        <w:rPr>
          <w:rFonts w:hint="eastAsia" w:cs="Times New Roman"/>
        </w:rPr>
        <w:t>）</w:t>
      </w:r>
      <w:r>
        <w:rPr>
          <w:rFonts w:cs="Times New Roman"/>
        </w:rPr>
        <w:t>》在上报审批过程中因自治区正在开展国土空间规划，停止审批工业园区总体规划，自治区人民政府研究决定将总体规划调整为《哈密工业园区产业发展规划</w:t>
      </w:r>
      <w:r>
        <w:rPr>
          <w:rFonts w:hint="eastAsia" w:cs="Times New Roman"/>
        </w:rPr>
        <w:t>（</w:t>
      </w:r>
      <w:r>
        <w:rPr>
          <w:rFonts w:cs="Times New Roman"/>
        </w:rPr>
        <w:t>2019-2035年</w:t>
      </w:r>
      <w:r>
        <w:rPr>
          <w:rFonts w:hint="eastAsia" w:cs="Times New Roman"/>
        </w:rPr>
        <w:t>）</w:t>
      </w:r>
      <w:r>
        <w:rPr>
          <w:rFonts w:cs="Times New Roman"/>
        </w:rPr>
        <w:t>》，其规划内容与通过规划环评审查的总体规划一致。</w:t>
      </w:r>
    </w:p>
    <w:p w14:paraId="71868E53">
      <w:pPr>
        <w:pStyle w:val="281"/>
        <w:ind w:firstLine="480"/>
        <w:rPr>
          <w:rFonts w:cs="Times New Roman"/>
        </w:rPr>
      </w:pPr>
      <w:r>
        <w:rPr>
          <w:rFonts w:hint="eastAsia" w:cs="Times New Roman"/>
        </w:rPr>
        <w:t>为促进开发区石化产业规模提升与集群式发展，加快产业转型和结构调整，哈密高新技术开发区管理委员会在南部循环经济产业园的化工产业区内划出440.5723公顷作为独立化工产业集中区（以下简称“化工园区”）。</w:t>
      </w:r>
    </w:p>
    <w:p w14:paraId="520EEF33">
      <w:pPr>
        <w:pStyle w:val="281"/>
        <w:ind w:firstLine="480"/>
        <w:rPr>
          <w:rFonts w:cs="Times New Roman"/>
        </w:rPr>
      </w:pPr>
      <w:r>
        <w:rPr>
          <w:rFonts w:hint="eastAsia" w:cs="Times New Roman"/>
        </w:rPr>
        <w:t>2</w:t>
      </w:r>
      <w:r>
        <w:rPr>
          <w:rFonts w:cs="Times New Roman"/>
        </w:rPr>
        <w:t>02</w:t>
      </w:r>
      <w:r>
        <w:rPr>
          <w:rFonts w:hint="eastAsia" w:cs="Times New Roman"/>
        </w:rPr>
        <w:t>3年8月，哈密高新技术开发区管理委员会委托新疆清风朗月环保科技有限公司承担哈密高新区化工产业集中区总体规划（2023-2035年）环境影响评价工作。2023年9月14日，哈密市人民政府以哈政函[2023]175号文件，出具了关于对哈密高新区化工产业集中区总体规划（2023—2035年）的批复，原则同意《哈密高新区化工产业集中区总体规划（2023—2035年）》。化工产业集中区主要划分为</w:t>
      </w:r>
      <w:r>
        <w:rPr>
          <w:rFonts w:hint="eastAsia" w:cs="Times New Roman"/>
          <w:b/>
          <w:bCs/>
        </w:rPr>
        <w:t>石油化工产业区、化工（硅基）新材料产业区、煤化工产业区、精细化工区及天然气化工区，</w:t>
      </w:r>
      <w:r>
        <w:rPr>
          <w:rFonts w:hint="eastAsia" w:cs="Times New Roman"/>
        </w:rPr>
        <w:t>规划面积约4.4平方千米。规划期限为2023-2035年，其中近期2023-2025年，远期2026-2035年。产业定位主要为充分发挥哈密本地煤炭资源优势，围绕哈密现代能源与化工产业示范区建设，重点发展芳烃、聚酯等深加工、化工（硅基）新材料煤制高端精细化工产品、低阶煤提质及副产物综合利用，积极发展医药、农药、染料、涂料、塑料等中间体，以及环境污染处理专业药剂、表面活性剂等专用化学品。2</w:t>
      </w:r>
      <w:r>
        <w:rPr>
          <w:rFonts w:cs="Times New Roman"/>
        </w:rPr>
        <w:t>02</w:t>
      </w:r>
      <w:r>
        <w:rPr>
          <w:rFonts w:hint="eastAsia" w:cs="Times New Roman"/>
        </w:rPr>
        <w:t>3年10月12日，化工园区总体规划环评取得新疆维吾尔自治区生态环境厅审查意见（新环审[</w:t>
      </w:r>
      <w:r>
        <w:rPr>
          <w:rFonts w:cs="Times New Roman"/>
        </w:rPr>
        <w:t>202</w:t>
      </w:r>
      <w:r>
        <w:rPr>
          <w:rFonts w:hint="eastAsia" w:cs="Times New Roman"/>
        </w:rPr>
        <w:t>3</w:t>
      </w:r>
      <w:r>
        <w:rPr>
          <w:rFonts w:cs="Times New Roman"/>
        </w:rPr>
        <w:t>]</w:t>
      </w:r>
      <w:r>
        <w:rPr>
          <w:rFonts w:hint="eastAsia" w:cs="Times New Roman"/>
        </w:rPr>
        <w:t>240号）。</w:t>
      </w:r>
    </w:p>
    <w:p w14:paraId="21FB6AD8">
      <w:pPr>
        <w:pStyle w:val="97"/>
        <w:rPr>
          <w:rFonts w:hint="eastAsia"/>
        </w:rPr>
      </w:pPr>
      <w:r>
        <w:rPr>
          <w:rFonts w:hint="eastAsia"/>
        </w:rPr>
        <w:t>规划期限</w:t>
      </w:r>
    </w:p>
    <w:p w14:paraId="453EA8D9">
      <w:pPr>
        <w:pStyle w:val="281"/>
        <w:ind w:firstLine="480"/>
      </w:pPr>
      <w:r>
        <w:rPr>
          <w:rFonts w:hint="eastAsia"/>
        </w:rPr>
        <w:t>本规划期限为2019-2035年。近期2019-2025年，远期2026-2035年。</w:t>
      </w:r>
    </w:p>
    <w:p w14:paraId="0FE07882">
      <w:pPr>
        <w:pStyle w:val="97"/>
        <w:rPr>
          <w:rFonts w:hint="eastAsia"/>
        </w:rPr>
      </w:pPr>
      <w:r>
        <w:rPr>
          <w:rFonts w:hint="eastAsia"/>
        </w:rPr>
        <w:t>规划范围</w:t>
      </w:r>
    </w:p>
    <w:p w14:paraId="317BC761">
      <w:pPr>
        <w:pStyle w:val="281"/>
        <w:ind w:firstLine="480"/>
      </w:pPr>
      <w:r>
        <w:rPr>
          <w:rFonts w:hint="eastAsia"/>
        </w:rPr>
        <w:t>哈密工业园区规划形成“一区两园”，两园分别指：北部新兴产业园和南部循环经济产业园。</w:t>
      </w:r>
    </w:p>
    <w:p w14:paraId="749C97E5">
      <w:pPr>
        <w:pStyle w:val="281"/>
        <w:ind w:firstLine="480"/>
      </w:pPr>
      <w:r>
        <w:rPr>
          <w:rFonts w:hint="eastAsia"/>
        </w:rPr>
        <w:t>（1）北部新兴产业园</w:t>
      </w:r>
    </w:p>
    <w:p w14:paraId="367C2D38">
      <w:pPr>
        <w:pStyle w:val="281"/>
        <w:ind w:firstLine="480"/>
      </w:pPr>
      <w:r>
        <w:rPr>
          <w:rFonts w:hint="eastAsia"/>
        </w:rPr>
        <w:t>北部新兴产业园位于哈密市区东北侧区域，距哈密市中心城区6公里。本次修编主要是将水源保护区、供水井保护范围等保护区范围约2.166km</w:t>
      </w:r>
      <w:r>
        <w:rPr>
          <w:rFonts w:hint="eastAsia"/>
          <w:vertAlign w:val="superscript"/>
        </w:rPr>
        <w:t>2</w:t>
      </w:r>
      <w:r>
        <w:rPr>
          <w:rFonts w:hint="eastAsia"/>
        </w:rPr>
        <w:t>调出，综合考虑园区现状条件，用地适当向东、南、西三个方向进行调整。规划范围如下：北临G30连霍高速，南距G312国道1km，西南侧靠近现状水源地保护区，西距S249省道</w:t>
      </w:r>
      <w:r>
        <w:t>1.4</w:t>
      </w:r>
      <w:r>
        <w:rPr>
          <w:rFonts w:hint="eastAsia"/>
        </w:rPr>
        <w:t>km，东到规划路。</w:t>
      </w:r>
    </w:p>
    <w:p w14:paraId="54DF8F17">
      <w:pPr>
        <w:pStyle w:val="281"/>
        <w:ind w:firstLine="480"/>
      </w:pPr>
      <w:r>
        <w:rPr>
          <w:rFonts w:hint="eastAsia"/>
        </w:rPr>
        <w:t>（2）南部循环经济产业园</w:t>
      </w:r>
    </w:p>
    <w:p w14:paraId="1F8145B7">
      <w:pPr>
        <w:pStyle w:val="281"/>
        <w:ind w:firstLine="480"/>
      </w:pPr>
      <w:r>
        <w:rPr>
          <w:rFonts w:hint="eastAsia"/>
        </w:rPr>
        <w:t>南部循环经济产业园位于哈密市区西南侧10km处，S235省道32km处以西的区域。本次修编主要为用地向西调整，调整后南部循环经济产业园分为东侧片区和西侧片区。规划范围如下：</w:t>
      </w:r>
    </w:p>
    <w:p w14:paraId="3D5C4796">
      <w:pPr>
        <w:pStyle w:val="281"/>
        <w:ind w:firstLine="480"/>
      </w:pPr>
      <w:r>
        <w:rPr>
          <w:rFonts w:hint="eastAsia"/>
        </w:rPr>
        <w:t>东侧片区：位于上版总规范围内，东至规划红海路，南至规划伊吾大道，西至哈罗铁路，北至规划巴里坤大道，规划用地面积18.19km</w:t>
      </w:r>
      <w:r>
        <w:rPr>
          <w:rFonts w:hint="eastAsia"/>
          <w:vertAlign w:val="superscript"/>
        </w:rPr>
        <w:t>2</w:t>
      </w:r>
      <w:r>
        <w:rPr>
          <w:rFonts w:hint="eastAsia"/>
        </w:rPr>
        <w:t>；西侧片区：位于上版总规范围西侧，距东侧片区规划范围约1675m，东到规划金沙江路，南至规划汉江路，西到规划珠江路，北至规划西域大道，规划用地面积5.81km</w:t>
      </w:r>
      <w:r>
        <w:rPr>
          <w:rFonts w:hint="eastAsia"/>
          <w:vertAlign w:val="superscript"/>
        </w:rPr>
        <w:t>2</w:t>
      </w:r>
      <w:r>
        <w:rPr>
          <w:rFonts w:hint="eastAsia"/>
        </w:rPr>
        <w:t>（包含两个小片区）。调入区域为现状已落地的湘晟5万吨/年钛及钛合金项目、金盛2万吨/年镁合金项目、鑫涛20万吨/年工业硅项目及园区综合服务大楼和消防站等基础设施建设用地。</w:t>
      </w:r>
    </w:p>
    <w:p w14:paraId="1833119F">
      <w:pPr>
        <w:pStyle w:val="281"/>
        <w:ind w:firstLine="480"/>
      </w:pPr>
      <w:r>
        <w:rPr>
          <w:rFonts w:hint="eastAsia"/>
        </w:rPr>
        <w:t>本项目位于哈密工业园区南部循环经济产业园东侧片区。</w:t>
      </w:r>
    </w:p>
    <w:p w14:paraId="7A37C937">
      <w:pPr>
        <w:pStyle w:val="97"/>
        <w:rPr>
          <w:rFonts w:hint="eastAsia"/>
        </w:rPr>
      </w:pPr>
      <w:r>
        <w:rPr>
          <w:rFonts w:hint="eastAsia"/>
        </w:rPr>
        <w:t>功能定位</w:t>
      </w:r>
    </w:p>
    <w:p w14:paraId="492F359F">
      <w:pPr>
        <w:pStyle w:val="281"/>
        <w:ind w:firstLine="480"/>
      </w:pPr>
      <w:r>
        <w:rPr>
          <w:rFonts w:hint="eastAsia"/>
        </w:rPr>
        <w:t>哈密工业园区综合功能定位为以高新技术应用、转化为主的产业主导型工业园区。</w:t>
      </w:r>
    </w:p>
    <w:p w14:paraId="3328EB4E">
      <w:pPr>
        <w:pStyle w:val="97"/>
        <w:rPr>
          <w:rFonts w:hint="eastAsia"/>
        </w:rPr>
      </w:pPr>
      <w:r>
        <w:rPr>
          <w:rFonts w:hint="eastAsia"/>
        </w:rPr>
        <w:t>产业定位</w:t>
      </w:r>
    </w:p>
    <w:p w14:paraId="43D7E14F">
      <w:pPr>
        <w:pStyle w:val="281"/>
        <w:ind w:firstLine="480"/>
      </w:pPr>
      <w:r>
        <w:rPr>
          <w:rFonts w:hint="eastAsia"/>
        </w:rPr>
        <w:t>园区产业定位为：重点做优做强先进装备制造、新材料、化工业三大主导产业；加快培育现代能源产业、医疗器械及卫材、节能环保产业三大新兴产业，提升发展农副产品加工、建材及金属结构件管材、能源资源精深加工三大传统产业，积极配套现代服务业。</w:t>
      </w:r>
    </w:p>
    <w:p w14:paraId="4BEB6299">
      <w:pPr>
        <w:pStyle w:val="281"/>
        <w:ind w:firstLine="480"/>
      </w:pPr>
      <w:r>
        <w:rPr>
          <w:rFonts w:hint="eastAsia"/>
        </w:rPr>
        <w:t>其中北部新兴产业园分布有先进装备制造区、创业孵化区、农副产品加工产业区、医疗器械及卫材产业区、建材及金属结构件管材产业区、综合服务区；南部循环经济产业园分布有新材料产业区、仓储物流区、化工产业区、能源资源深加工产业区、节能环保材料加工产业区、综合服务及创业孵化区。</w:t>
      </w:r>
    </w:p>
    <w:p w14:paraId="20326BB0">
      <w:pPr>
        <w:pStyle w:val="281"/>
        <w:ind w:firstLine="480"/>
        <w:rPr>
          <w:bCs/>
        </w:rPr>
      </w:pPr>
      <w:r>
        <w:rPr>
          <w:rFonts w:hint="eastAsia"/>
        </w:rPr>
        <w:t>南部循环经济产业园构建了矿产品加工循环经济产业链和新型建材等循环经济产业链等，</w:t>
      </w:r>
      <w:r>
        <w:rPr>
          <w:rFonts w:hint="eastAsia"/>
          <w:bCs/>
        </w:rPr>
        <w:t>实现企业、产业间的循环链接，提高产业关联度和循环化程度，促进园区绿色低碳循环发展。</w:t>
      </w:r>
    </w:p>
    <w:p w14:paraId="495A0C30">
      <w:pPr>
        <w:pStyle w:val="281"/>
        <w:ind w:firstLine="480"/>
      </w:pPr>
      <w:r>
        <w:rPr>
          <w:rFonts w:hint="eastAsia"/>
        </w:rPr>
        <w:t>1、先进装备制造产业</w:t>
      </w:r>
    </w:p>
    <w:p w14:paraId="1E9271B2">
      <w:pPr>
        <w:pStyle w:val="281"/>
        <w:ind w:firstLine="480"/>
      </w:pPr>
      <w:bookmarkStart w:id="270" w:name="_Hlk62654333"/>
      <w:bookmarkStart w:id="271" w:name="_Hlk39169819"/>
      <w:r>
        <w:rPr>
          <w:rFonts w:hint="eastAsia"/>
        </w:rPr>
        <w:t>重点发展太阳能光伏发电装备、光热发电装备制造、风电装备制造等新能源装备制造产业；提升发展石油及煤化工装备制造、矿山机械制造、电力装备制造、储能设备制造、节能环保设备制造等装备制造产业。</w:t>
      </w:r>
      <w:bookmarkEnd w:id="270"/>
    </w:p>
    <w:bookmarkEnd w:id="271"/>
    <w:p w14:paraId="73206E7C">
      <w:pPr>
        <w:pStyle w:val="281"/>
        <w:ind w:firstLine="480"/>
      </w:pPr>
      <w:r>
        <w:rPr>
          <w:rFonts w:hint="eastAsia"/>
        </w:rPr>
        <w:t>2、新材料产业</w:t>
      </w:r>
    </w:p>
    <w:p w14:paraId="3E3B8D6C">
      <w:pPr>
        <w:pStyle w:val="281"/>
        <w:ind w:firstLine="480"/>
      </w:pPr>
      <w:bookmarkStart w:id="272" w:name="_Hlk62654351"/>
      <w:r>
        <w:rPr>
          <w:rFonts w:hint="eastAsia"/>
        </w:rPr>
        <w:t>围绕打造国家级新材料产业基地目标，以“延链、增链、强链”为核心，重点支持钛及钛合金、镁及镁合金、铝合金等高端轻质合金新材料，建设具有影响力的轻质合金结构材料产业集群；大力发展壮大化工新材料、新型建材，保留园区现有硅基新材料企业，着力提升产业链集成水平。</w:t>
      </w:r>
      <w:bookmarkEnd w:id="272"/>
    </w:p>
    <w:p w14:paraId="0DAD442D">
      <w:pPr>
        <w:pStyle w:val="281"/>
        <w:ind w:firstLine="480"/>
      </w:pPr>
      <w:bookmarkStart w:id="273" w:name="_Hlk39169873"/>
      <w:r>
        <w:rPr>
          <w:rFonts w:hint="eastAsia"/>
        </w:rPr>
        <w:t>3、化工产业</w:t>
      </w:r>
    </w:p>
    <w:p w14:paraId="4B1D20F4">
      <w:pPr>
        <w:pStyle w:val="281"/>
        <w:ind w:firstLine="480"/>
      </w:pPr>
      <w:bookmarkStart w:id="274" w:name="_Hlk62654366"/>
      <w:r>
        <w:rPr>
          <w:rFonts w:hint="eastAsia"/>
        </w:rPr>
        <w:t>充分发挥哈密本地煤炭资源优势，围绕哈密现代能源与化工产业示范区建设，重点开发煤化工产业下游产品制造的延伸，全面提升产业链附加值。一是依托示范区全力发展以煤化工为基础的精细化工产业；二是围绕内地精细化工产业向西转移的机遇，发展“两头在外”的精细化工产业；三是积极引进氯化法钛白粉生产线项目，重点发展涂料、塑料等系列产品；四是适度布局发展煤炭分级分质利用和煤基化学品产业。</w:t>
      </w:r>
      <w:bookmarkEnd w:id="274"/>
    </w:p>
    <w:p w14:paraId="378609BB">
      <w:pPr>
        <w:pStyle w:val="281"/>
        <w:ind w:firstLine="480"/>
      </w:pPr>
      <w:bookmarkStart w:id="275" w:name="_Hlk62654391"/>
      <w:r>
        <w:rPr>
          <w:rFonts w:hint="eastAsia"/>
        </w:rPr>
        <w:t>4、现代能源产业</w:t>
      </w:r>
      <w:bookmarkEnd w:id="275"/>
    </w:p>
    <w:p w14:paraId="2C3023A6">
      <w:pPr>
        <w:pStyle w:val="281"/>
        <w:ind w:firstLine="480"/>
      </w:pPr>
      <w:r>
        <w:rPr>
          <w:rFonts w:hint="eastAsia"/>
        </w:rPr>
        <w:t>围绕现代能源产业基础及优势，主要发展太阳能光伏产业为主的现代能源产业集群，注重掌握光伏并网、储能设备生产及系统集成关键技术，加快晶硅电池、薄膜电池等新型太阳能电池的效率和稳定性等核心指标技术研发与应用。</w:t>
      </w:r>
    </w:p>
    <w:p w14:paraId="4DD4738A">
      <w:pPr>
        <w:pStyle w:val="281"/>
        <w:ind w:firstLine="480"/>
      </w:pPr>
      <w:r>
        <w:rPr>
          <w:rFonts w:hint="eastAsia"/>
        </w:rPr>
        <w:t>5、节能环保产业</w:t>
      </w:r>
    </w:p>
    <w:p w14:paraId="6A6165F9">
      <w:pPr>
        <w:pStyle w:val="281"/>
        <w:ind w:firstLine="480"/>
      </w:pPr>
      <w:r>
        <w:rPr>
          <w:rFonts w:hint="eastAsia"/>
        </w:rPr>
        <w:t>围绕国家环境保护可持续发展战略，一是重点发展资源循环利用产业，主要包括充分利用煤炭清选和发电产生的粉煤灰、煤矸石、炉渣等工业固废资源，发展绿色节能建筑材料，形成“煤—电—粉煤灰—新型建材”循环产业链。充分利用废机油、废液压油、废变压器油和废齿轮油等废矿物油资源，重点实施废矿物油再生循环化利用；二是重点发展先进环保产业，主要包括环境污染处理药剂材料制造、污水处理吸附材料、除尘设备材料等，以及脱硫脱硝催化剂及煤化工生产催化剂制造与再生等节能环保产品；三是提升煤炭综合利用，重点发展专用烧烤清洁炭、洁净型煤等节能生活产品；四是发展重大节能技术与装备产业化工程，主要包括高效节能通用设备制造、高效节能专用设备制造等。</w:t>
      </w:r>
    </w:p>
    <w:p w14:paraId="3591F06D">
      <w:pPr>
        <w:pStyle w:val="281"/>
        <w:ind w:firstLine="480"/>
      </w:pPr>
      <w:r>
        <w:rPr>
          <w:rFonts w:hint="eastAsia"/>
        </w:rPr>
        <w:t>6、医疗器械及卫材产业</w:t>
      </w:r>
    </w:p>
    <w:p w14:paraId="3AC15FD0">
      <w:pPr>
        <w:pStyle w:val="281"/>
        <w:ind w:firstLine="480"/>
      </w:pPr>
      <w:r>
        <w:rPr>
          <w:rFonts w:hint="eastAsia"/>
        </w:rPr>
        <w:t>大力发展医用防护用品和医疗器械产业，引进防护口罩，医用外科口罩，一次性帽子、鞋套、PE手套、隔离衣、无菌手术衣、医用橡胶手套、医用外科手套、麻醉产品等医用防护用品，满足常态化疫情防控条件下防疫物资需求，填补哈密区域内医疗防护用品产业空白。</w:t>
      </w:r>
    </w:p>
    <w:p w14:paraId="27857CB7">
      <w:pPr>
        <w:pStyle w:val="281"/>
        <w:ind w:firstLine="480"/>
      </w:pPr>
      <w:r>
        <w:rPr>
          <w:rFonts w:hint="eastAsia"/>
        </w:rPr>
        <w:t>7、农副产品加工</w:t>
      </w:r>
    </w:p>
    <w:p w14:paraId="470E3D44">
      <w:pPr>
        <w:pStyle w:val="281"/>
        <w:ind w:firstLine="480"/>
      </w:pPr>
      <w:r>
        <w:rPr>
          <w:rFonts w:hint="eastAsia"/>
        </w:rPr>
        <w:t>充分利用哈密特色农产品资源优势，提升壮大大枣、哈密瓜、葡萄、乳品、肉类、养生野菜系列特色农产品精深加工，做优做精有机食品加工业，适度发展生物科技产业和纺织服装加工业。重点发展农副产品加工（特色林果产品加工、绿色有机农产品加工等）；延伸发展食品制造业（乳制品制造、营养食品制造、保健食品制造等）和酒及饮料制造业；适度发展饲料加工业。</w:t>
      </w:r>
    </w:p>
    <w:p w14:paraId="085129CE">
      <w:pPr>
        <w:pStyle w:val="281"/>
        <w:ind w:firstLine="480"/>
      </w:pPr>
      <w:r>
        <w:rPr>
          <w:rFonts w:hint="eastAsia"/>
        </w:rPr>
        <w:t>8、建材及金属结构件管材产业</w:t>
      </w:r>
    </w:p>
    <w:p w14:paraId="2CBD7DFB">
      <w:pPr>
        <w:pStyle w:val="281"/>
        <w:ind w:firstLine="480"/>
      </w:pPr>
      <w:r>
        <w:rPr>
          <w:rFonts w:hint="eastAsia"/>
        </w:rPr>
        <w:t>重点发展建材及饰面板材（1.装饰面板材；2.墙体材料；3.商品混凝土；4.板材和异型石材加工；5.玻璃制品）、金属结构件及管材产业（1.建筑钢结构；2.新型涂塑防腐钢管；3.玻璃钢管材及制品）等。</w:t>
      </w:r>
    </w:p>
    <w:p w14:paraId="7C96DE39">
      <w:pPr>
        <w:pStyle w:val="281"/>
        <w:ind w:firstLine="480"/>
      </w:pPr>
      <w:r>
        <w:rPr>
          <w:rFonts w:hint="eastAsia"/>
        </w:rPr>
        <w:t>9、能源资源精深加工</w:t>
      </w:r>
    </w:p>
    <w:bookmarkEnd w:id="273"/>
    <w:p w14:paraId="42D81AF5">
      <w:pPr>
        <w:pStyle w:val="281"/>
        <w:ind w:firstLine="480"/>
      </w:pPr>
      <w:r>
        <w:rPr>
          <w:rFonts w:hint="eastAsia"/>
        </w:rPr>
        <w:t>能源资源精深加工重点发展黑色及有色金属加工业、制造业、非金属矿加工业、新型建材、水泥和煤炭深加工产业，主要包括氧化铁球团、矿产资源综合利用、矿山机械制造、新型建筑材料、水泥、煤炭分级分质利用、膨润土深加工等。</w:t>
      </w:r>
    </w:p>
    <w:p w14:paraId="778EF25B">
      <w:pPr>
        <w:pStyle w:val="281"/>
        <w:ind w:firstLine="480"/>
      </w:pPr>
      <w:r>
        <w:rPr>
          <w:rFonts w:hint="eastAsia"/>
        </w:rPr>
        <w:t>10、现代服务业</w:t>
      </w:r>
    </w:p>
    <w:p w14:paraId="41F48698">
      <w:pPr>
        <w:pStyle w:val="281"/>
        <w:ind w:firstLine="480"/>
      </w:pPr>
      <w:r>
        <w:rPr>
          <w:rFonts w:hint="eastAsia"/>
        </w:rPr>
        <w:t>聚焦哈密工业园区特色产业发展需求，全面提升发展电子商务、科学研究和专业技术服务、科技推广和应用服务、信息技术服务、现代生产服务等服务业。积极配套教育、医疗、体育、文化娱乐、商业、居住、绿地等产城融合发展设施，形成对工业园区主导产业的有力支撑。</w:t>
      </w:r>
    </w:p>
    <w:p w14:paraId="5CDC40AC">
      <w:pPr>
        <w:pStyle w:val="281"/>
        <w:ind w:firstLine="480"/>
      </w:pPr>
      <w:r>
        <w:rPr>
          <w:rFonts w:hint="eastAsia"/>
        </w:rPr>
        <w:t>园区产业功能分区图，见图4.2.5-1。本项目位于哈密工业园区南部循环经济产业园化工产业区。</w:t>
      </w:r>
    </w:p>
    <w:p w14:paraId="08A9DCF5">
      <w:pPr>
        <w:pStyle w:val="281"/>
        <w:ind w:firstLine="480"/>
        <w:sectPr>
          <w:footerReference r:id="rId11" w:type="default"/>
          <w:pgSz w:w="11906" w:h="16838"/>
          <w:pgMar w:top="1644" w:right="1797" w:bottom="1418" w:left="1797" w:header="851" w:footer="992" w:gutter="0"/>
          <w:cols w:space="425" w:num="1"/>
          <w:docGrid w:type="lines" w:linePitch="312" w:charSpace="0"/>
        </w:sectPr>
      </w:pPr>
    </w:p>
    <w:p w14:paraId="778E47A4">
      <w:pPr>
        <w:pStyle w:val="281"/>
        <w:ind w:firstLine="0" w:firstLineChars="0"/>
        <w:jc w:val="center"/>
      </w:pPr>
    </w:p>
    <w:p w14:paraId="285F57F7">
      <w:pPr>
        <w:pStyle w:val="535"/>
        <w:rPr>
          <w:rFonts w:hint="eastAsia"/>
          <w:color w:val="auto"/>
        </w:rPr>
      </w:pPr>
      <w:r>
        <w:rPr>
          <w:rFonts w:hint="eastAsia"/>
          <w:color w:val="auto"/>
        </w:rPr>
        <w:t>图4.2.5-1</w:t>
      </w:r>
      <w:r>
        <w:rPr>
          <w:color w:val="auto"/>
        </w:rPr>
        <w:t xml:space="preserve">  </w:t>
      </w:r>
      <w:r>
        <w:rPr>
          <w:rFonts w:hint="eastAsia"/>
          <w:color w:val="auto"/>
        </w:rPr>
        <w:t xml:space="preserve"> 哈密工业园区南部循环经济产业园产业功能分区图</w:t>
      </w:r>
    </w:p>
    <w:p w14:paraId="6CBE5C18">
      <w:pPr>
        <w:pStyle w:val="281"/>
        <w:ind w:firstLine="0" w:firstLineChars="0"/>
        <w:jc w:val="center"/>
      </w:pPr>
    </w:p>
    <w:p w14:paraId="5DDFFBDA">
      <w:pPr>
        <w:pStyle w:val="535"/>
        <w:rPr>
          <w:rFonts w:hint="eastAsia"/>
          <w:color w:val="auto"/>
        </w:rPr>
      </w:pPr>
      <w:r>
        <w:rPr>
          <w:rFonts w:hint="eastAsia"/>
          <w:color w:val="auto"/>
        </w:rPr>
        <w:t>图4.2.6-1</w:t>
      </w:r>
      <w:r>
        <w:rPr>
          <w:color w:val="auto"/>
        </w:rPr>
        <w:t xml:space="preserve">  </w:t>
      </w:r>
      <w:r>
        <w:rPr>
          <w:rFonts w:hint="eastAsia"/>
          <w:color w:val="auto"/>
        </w:rPr>
        <w:t xml:space="preserve"> 哈密工业园区南部循环经济产业园用地规划图</w:t>
      </w:r>
    </w:p>
    <w:p w14:paraId="74CDD334">
      <w:pPr>
        <w:pStyle w:val="281"/>
        <w:ind w:firstLine="480"/>
        <w:sectPr>
          <w:pgSz w:w="16838" w:h="11906" w:orient="landscape"/>
          <w:pgMar w:top="1797" w:right="1644" w:bottom="1797" w:left="1418" w:header="851" w:footer="992" w:gutter="0"/>
          <w:cols w:space="425" w:num="1"/>
          <w:docGrid w:type="lines" w:linePitch="326" w:charSpace="0"/>
        </w:sectPr>
      </w:pPr>
    </w:p>
    <w:p w14:paraId="172C5925">
      <w:pPr>
        <w:pStyle w:val="97"/>
        <w:rPr>
          <w:rFonts w:hint="eastAsia"/>
        </w:rPr>
      </w:pPr>
      <w:r>
        <w:rPr>
          <w:rFonts w:hint="eastAsia"/>
        </w:rPr>
        <w:t>用地布局及空间结构</w:t>
      </w:r>
    </w:p>
    <w:p w14:paraId="1B649F9C">
      <w:pPr>
        <w:pStyle w:val="98"/>
        <w:rPr>
          <w:rFonts w:hint="eastAsia"/>
        </w:rPr>
      </w:pPr>
      <w:r>
        <w:rPr>
          <w:rFonts w:hint="eastAsia"/>
        </w:rPr>
        <w:t>用地布局</w:t>
      </w:r>
    </w:p>
    <w:p w14:paraId="7E4BDBDD">
      <w:pPr>
        <w:pStyle w:val="281"/>
        <w:ind w:firstLine="480"/>
      </w:pPr>
      <w:r>
        <w:rPr>
          <w:rFonts w:hint="eastAsia"/>
        </w:rPr>
        <w:t>哈密市工业园区整体形成“一区两园”的空间布局，一区：即哈密工业园区。两园：即北部新兴产业园和南部循环经济产业园，总面积44.63km</w:t>
      </w:r>
      <w:r>
        <w:rPr>
          <w:rFonts w:hint="eastAsia"/>
          <w:vertAlign w:val="superscript"/>
        </w:rPr>
        <w:t>2</w:t>
      </w:r>
      <w:r>
        <w:rPr>
          <w:rFonts w:hint="eastAsia"/>
        </w:rPr>
        <w:t>。其中北部新兴产业园位于哈密市伊州区城区北部，规划用地面积为20.63km</w:t>
      </w:r>
      <w:r>
        <w:rPr>
          <w:rFonts w:hint="eastAsia"/>
          <w:vertAlign w:val="superscript"/>
        </w:rPr>
        <w:t>2</w:t>
      </w:r>
      <w:r>
        <w:rPr>
          <w:rFonts w:hint="eastAsia"/>
        </w:rPr>
        <w:t>，占园区总规划用地面积的46.22%。南部循环经济产业园区位于哈密市伊州区城区南部，规划用地面积为24km</w:t>
      </w:r>
      <w:r>
        <w:rPr>
          <w:rFonts w:hint="eastAsia"/>
          <w:vertAlign w:val="superscript"/>
        </w:rPr>
        <w:t>2</w:t>
      </w:r>
      <w:r>
        <w:rPr>
          <w:rFonts w:hint="eastAsia"/>
        </w:rPr>
        <w:t>，占园区总规划用地面积的53.78%。</w:t>
      </w:r>
    </w:p>
    <w:p w14:paraId="3F3EB654">
      <w:pPr>
        <w:pStyle w:val="98"/>
        <w:rPr>
          <w:rFonts w:hint="eastAsia"/>
        </w:rPr>
      </w:pPr>
      <w:r>
        <w:rPr>
          <w:rFonts w:hint="eastAsia"/>
        </w:rPr>
        <w:t>空间结构规划</w:t>
      </w:r>
    </w:p>
    <w:p w14:paraId="63E596E5">
      <w:pPr>
        <w:pStyle w:val="281"/>
        <w:ind w:firstLine="480"/>
      </w:pPr>
      <w:r>
        <w:rPr>
          <w:rFonts w:hint="eastAsia"/>
        </w:rPr>
        <w:t>（1）北部新兴产业园</w:t>
      </w:r>
    </w:p>
    <w:p w14:paraId="79DABBFC">
      <w:pPr>
        <w:pStyle w:val="281"/>
        <w:ind w:firstLine="480"/>
      </w:pPr>
      <w:r>
        <w:rPr>
          <w:rFonts w:hint="eastAsia"/>
        </w:rPr>
        <w:t>规划北部新兴产业园形成“一核四心、三轴六区”的空间结构。</w:t>
      </w:r>
    </w:p>
    <w:p w14:paraId="576AA8DC">
      <w:pPr>
        <w:pStyle w:val="281"/>
        <w:ind w:firstLine="480"/>
      </w:pPr>
      <w:r>
        <w:rPr>
          <w:rFonts w:hint="eastAsia"/>
        </w:rPr>
        <w:t>一核：位于省道303西侧，处于园区的中心地带，地理位置优越，交通条件良好，规划构建以行政办公聚集区为园区发展核心。</w:t>
      </w:r>
    </w:p>
    <w:p w14:paraId="31DCD292">
      <w:pPr>
        <w:pStyle w:val="281"/>
        <w:ind w:firstLine="480"/>
      </w:pPr>
      <w:r>
        <w:rPr>
          <w:rFonts w:hint="eastAsia"/>
        </w:rPr>
        <w:t>四心：规划以规划商业商务中心、科技创新中心、培育孵化中心为产业发展核心，与园区发展核心共同带动区域活力。</w:t>
      </w:r>
    </w:p>
    <w:p w14:paraId="7F86EBEC">
      <w:pPr>
        <w:pStyle w:val="281"/>
        <w:ind w:firstLine="480"/>
      </w:pPr>
      <w:r>
        <w:rPr>
          <w:rFonts w:hint="eastAsia"/>
        </w:rPr>
        <w:t>三轴：规划以省道S303及两横向主干道羊城大道-喀尔里克大道及羊城大道-天山大道形成园区发展轴线，并根据物质流和产业关联性，串联园区六大功能分区。</w:t>
      </w:r>
    </w:p>
    <w:p w14:paraId="7615C879">
      <w:pPr>
        <w:pStyle w:val="281"/>
        <w:ind w:firstLine="480"/>
      </w:pPr>
      <w:r>
        <w:rPr>
          <w:rFonts w:hint="eastAsia"/>
        </w:rPr>
        <w:t>六区：规划依据不同功能定位和产业分类，将北部新兴产业园形成综合服务区、医疗器械及卫材产业区、先进装备制造产业区、创业孵化区、建材及金属结构件管材产业区、农副产品加工产业区六大片区。</w:t>
      </w:r>
    </w:p>
    <w:p w14:paraId="3CB8C105">
      <w:pPr>
        <w:pStyle w:val="281"/>
        <w:ind w:firstLine="480"/>
      </w:pPr>
      <w:r>
        <w:rPr>
          <w:rFonts w:hint="eastAsia"/>
        </w:rPr>
        <w:t>（2）南部循环经济产业园</w:t>
      </w:r>
    </w:p>
    <w:p w14:paraId="16D1A86C">
      <w:pPr>
        <w:pStyle w:val="281"/>
        <w:ind w:firstLine="480"/>
      </w:pPr>
      <w:r>
        <w:rPr>
          <w:rFonts w:hint="eastAsia"/>
        </w:rPr>
        <w:t>依照本次总体规划产业发展规划提出的产业发展方向，在充分论证园区主导产业布局要求和发展模式的前提下，规划南部循环经济产业园形成“一核一心、三轴六区”的空间结构。</w:t>
      </w:r>
    </w:p>
    <w:p w14:paraId="0436F547">
      <w:pPr>
        <w:pStyle w:val="281"/>
        <w:ind w:firstLine="480"/>
      </w:pPr>
      <w:r>
        <w:rPr>
          <w:rFonts w:hint="eastAsia"/>
        </w:rPr>
        <w:t>一核：园区入口处规划综合服务区，该区主要布局行政办公及相关配套设施形成园区服务核心，地理位置优越，形成园区形象入口。</w:t>
      </w:r>
    </w:p>
    <w:p w14:paraId="4B6C678E">
      <w:pPr>
        <w:pStyle w:val="281"/>
        <w:ind w:firstLine="480"/>
      </w:pPr>
      <w:r>
        <w:rPr>
          <w:rFonts w:hint="eastAsia"/>
        </w:rPr>
        <w:t>一心：规划以一处商业设施为园区服务节点，与综合服务区共同带动园区活力。</w:t>
      </w:r>
    </w:p>
    <w:p w14:paraId="18CD865C">
      <w:pPr>
        <w:pStyle w:val="281"/>
        <w:ind w:firstLine="480"/>
      </w:pPr>
      <w:r>
        <w:rPr>
          <w:rFonts w:hint="eastAsia"/>
        </w:rPr>
        <w:t>三轴：规划以横向主干道金光大道、星光大道和纵向主干道银河大道形成园区主要发展轴线，并根据物质流和产业关联性，串联园区六大功能分区。</w:t>
      </w:r>
    </w:p>
    <w:p w14:paraId="1FA82DBF">
      <w:pPr>
        <w:pStyle w:val="281"/>
        <w:ind w:firstLine="480"/>
      </w:pPr>
      <w:r>
        <w:rPr>
          <w:rFonts w:hint="eastAsia"/>
        </w:rPr>
        <w:t>六区：规划依据不同功能定位和产业分类，将南部循环经济产业园形成综合服务及创业孵化区、能源资源精深加工产业区、仓储物流区、节能环保材料加工产业区、化工产业区、新材料产业区。</w:t>
      </w:r>
    </w:p>
    <w:p w14:paraId="11EFC651">
      <w:pPr>
        <w:pStyle w:val="98"/>
        <w:rPr>
          <w:rFonts w:hint="eastAsia"/>
        </w:rPr>
      </w:pPr>
      <w:r>
        <w:rPr>
          <w:rFonts w:hint="eastAsia"/>
        </w:rPr>
        <w:t>用地规划</w:t>
      </w:r>
    </w:p>
    <w:p w14:paraId="3697C14E">
      <w:pPr>
        <w:pStyle w:val="281"/>
        <w:ind w:firstLine="480"/>
      </w:pPr>
      <w:bookmarkStart w:id="276" w:name="_Hlk22659568"/>
      <w:r>
        <w:rPr>
          <w:rFonts w:hint="eastAsia"/>
        </w:rPr>
        <w:t>规划哈密工业园区用地总面积为4463.05</w:t>
      </w:r>
      <w:r>
        <w:t>hm</w:t>
      </w:r>
      <w:r>
        <w:rPr>
          <w:vertAlign w:val="superscript"/>
        </w:rPr>
        <w:t>2</w:t>
      </w:r>
      <w:r>
        <w:rPr>
          <w:rFonts w:hint="eastAsia"/>
        </w:rPr>
        <w:t>，建设用地总面积4443.81</w:t>
      </w:r>
      <w:r>
        <w:t>hm</w:t>
      </w:r>
      <w:r>
        <w:rPr>
          <w:vertAlign w:val="superscript"/>
        </w:rPr>
        <w:t>2</w:t>
      </w:r>
      <w:r>
        <w:rPr>
          <w:rFonts w:hint="eastAsia"/>
        </w:rPr>
        <w:t>。其中北部新兴产业园规划用地面积为2063.07</w:t>
      </w:r>
      <w:r>
        <w:t>hm</w:t>
      </w:r>
      <w:r>
        <w:rPr>
          <w:vertAlign w:val="superscript"/>
        </w:rPr>
        <w:t>2</w:t>
      </w:r>
      <w:r>
        <w:rPr>
          <w:rFonts w:hint="eastAsia"/>
        </w:rPr>
        <w:t>，建设用地面积2048.11</w:t>
      </w:r>
      <w:r>
        <w:t>hm</w:t>
      </w:r>
      <w:r>
        <w:rPr>
          <w:vertAlign w:val="superscript"/>
        </w:rPr>
        <w:t>2</w:t>
      </w:r>
      <w:r>
        <w:rPr>
          <w:rFonts w:hint="eastAsia"/>
        </w:rPr>
        <w:t>；南部循环经济产业园规划用地面积为2399.98</w:t>
      </w:r>
      <w:r>
        <w:t>hm</w:t>
      </w:r>
      <w:r>
        <w:rPr>
          <w:vertAlign w:val="superscript"/>
        </w:rPr>
        <w:t>2</w:t>
      </w:r>
      <w:r>
        <w:rPr>
          <w:rFonts w:hint="eastAsia"/>
        </w:rPr>
        <w:t>，建设用地面积为2398.65</w:t>
      </w:r>
      <w:r>
        <w:t>hm</w:t>
      </w:r>
      <w:r>
        <w:rPr>
          <w:vertAlign w:val="superscript"/>
        </w:rPr>
        <w:t>2</w:t>
      </w:r>
      <w:r>
        <w:rPr>
          <w:rFonts w:hint="eastAsia"/>
        </w:rPr>
        <w:t>。主要由9大用地类别组成，分别为工业用地、居住用地、公共管理与公共服务设施用地、商业服务业设施用地、道路与交通设施用地、公用设施用地、物流仓储用地、绿地与广场用地以及水域等</w:t>
      </w:r>
      <w:bookmarkEnd w:id="276"/>
      <w:r>
        <w:rPr>
          <w:rFonts w:hint="eastAsia"/>
        </w:rPr>
        <w:t>。</w:t>
      </w:r>
    </w:p>
    <w:p w14:paraId="76DFA9CB">
      <w:pPr>
        <w:pStyle w:val="281"/>
        <w:ind w:firstLine="480"/>
      </w:pPr>
      <w:r>
        <w:rPr>
          <w:rFonts w:hint="eastAsia"/>
        </w:rPr>
        <w:t>哈密工业园区南部循环经济产业园用地规划图，见图4.2.6-1。本项目位于哈密工业园区南部循环经济产业园，占地为三类工业用地。项目的选址基本符合《哈密工业园区总体规划（2019-2035年）》中产业布局、产业规划及用地的要求。</w:t>
      </w:r>
    </w:p>
    <w:p w14:paraId="7D81D67D">
      <w:pPr>
        <w:pStyle w:val="97"/>
        <w:rPr>
          <w:rFonts w:hint="eastAsia"/>
        </w:rPr>
      </w:pPr>
      <w:r>
        <w:rPr>
          <w:rFonts w:hint="eastAsia"/>
        </w:rPr>
        <w:t>基础设施规划</w:t>
      </w:r>
    </w:p>
    <w:p w14:paraId="790E8273">
      <w:pPr>
        <w:pStyle w:val="98"/>
        <w:rPr>
          <w:rFonts w:hint="eastAsia"/>
        </w:rPr>
      </w:pPr>
      <w:r>
        <w:rPr>
          <w:rFonts w:hint="eastAsia"/>
        </w:rPr>
        <w:t>供水规划</w:t>
      </w:r>
    </w:p>
    <w:p w14:paraId="3CAF7E86">
      <w:pPr>
        <w:pStyle w:val="281"/>
        <w:ind w:firstLine="480"/>
        <w:rPr>
          <w:rFonts w:cs="Times New Roman"/>
        </w:rPr>
      </w:pPr>
      <w:r>
        <w:rPr>
          <w:rFonts w:cs="Times New Roman"/>
        </w:rPr>
        <w:t>（1）北部新兴产业园</w:t>
      </w:r>
    </w:p>
    <w:p w14:paraId="3395A130">
      <w:pPr>
        <w:pStyle w:val="281"/>
        <w:ind w:firstLine="480"/>
        <w:rPr>
          <w:rFonts w:cs="Times New Roman"/>
        </w:rPr>
      </w:pPr>
      <w:r>
        <w:rPr>
          <w:rFonts w:cs="Times New Roman"/>
        </w:rPr>
        <w:t>规划北部新兴产业园由哈密市四水厂供水及园区污水处理厂中水供水。规划在四水厂附近建设蓄水池一座，提高供水园区供水保证率。蓄水池按照北部三天用水需求设计。蓄水池占地面积3hm</w:t>
      </w:r>
      <w:r>
        <w:rPr>
          <w:rFonts w:cs="Times New Roman"/>
          <w:vertAlign w:val="superscript"/>
        </w:rPr>
        <w:t>2</w:t>
      </w:r>
      <w:r>
        <w:rPr>
          <w:rFonts w:cs="Times New Roman"/>
        </w:rPr>
        <w:t>。</w:t>
      </w:r>
    </w:p>
    <w:p w14:paraId="0E55855C">
      <w:pPr>
        <w:pStyle w:val="281"/>
        <w:ind w:firstLine="480"/>
        <w:rPr>
          <w:rFonts w:cs="Times New Roman"/>
        </w:rPr>
      </w:pPr>
      <w:r>
        <w:rPr>
          <w:rFonts w:hint="eastAsia" w:cs="Times New Roman"/>
        </w:rPr>
        <w:t>规划北部新兴产业园设置两套供水系统，供应工业用水、生活用水、绿化用水和消防用水，按照不大于120m的间距布置消火栓，规划采用环状和枝状网相结合的方式供水，给水主、干管管径DN200mm-DN600mm；</w:t>
      </w:r>
      <w:bookmarkStart w:id="277" w:name="_Hlk42610278"/>
      <w:r>
        <w:rPr>
          <w:rFonts w:hint="eastAsia" w:cs="Times New Roman"/>
        </w:rPr>
        <w:t>一套为再生水供水系统，供应低质要求的工业用水和部分绿化用水，规划再生水供水系统采用环状和枝状网相结合的方式供水，给水主、干管管径DN150mm-DN300mm。</w:t>
      </w:r>
      <w:bookmarkEnd w:id="277"/>
    </w:p>
    <w:p w14:paraId="01E9C283">
      <w:pPr>
        <w:pStyle w:val="281"/>
        <w:ind w:firstLine="480"/>
        <w:rPr>
          <w:rFonts w:cs="Times New Roman"/>
        </w:rPr>
      </w:pPr>
      <w:r>
        <w:rPr>
          <w:rFonts w:cs="Times New Roman"/>
        </w:rPr>
        <w:t>（2）南部循环经济产业园</w:t>
      </w:r>
    </w:p>
    <w:p w14:paraId="7FD7D5E1">
      <w:pPr>
        <w:pStyle w:val="281"/>
        <w:ind w:firstLine="480"/>
        <w:rPr>
          <w:rFonts w:cs="Times New Roman"/>
        </w:rPr>
      </w:pPr>
      <w:r>
        <w:rPr>
          <w:rFonts w:cs="Times New Roman"/>
        </w:rPr>
        <w:t>本次规划南部循环经济产业园由哈密市三水厂</w:t>
      </w:r>
      <w:bookmarkStart w:id="278" w:name="_Hlk42609668"/>
      <w:r>
        <w:rPr>
          <w:rFonts w:cs="Times New Roman"/>
        </w:rPr>
        <w:t>及园区污水处理厂中水供水</w:t>
      </w:r>
      <w:bookmarkEnd w:id="278"/>
      <w:r>
        <w:rPr>
          <w:rFonts w:cs="Times New Roman"/>
        </w:rPr>
        <w:t>。</w:t>
      </w:r>
    </w:p>
    <w:p w14:paraId="16352516">
      <w:pPr>
        <w:pStyle w:val="281"/>
        <w:ind w:firstLine="480"/>
        <w:rPr>
          <w:rFonts w:cs="Times New Roman"/>
        </w:rPr>
      </w:pPr>
      <w:r>
        <w:rPr>
          <w:rFonts w:cs="Times New Roman"/>
        </w:rPr>
        <w:t>规划在园区北侧建设蓄水池一座，提高供水园区供水保证率。蓄水池按照北部三天用水需求设计。蓄水池占地面积7hm</w:t>
      </w:r>
      <w:r>
        <w:rPr>
          <w:rFonts w:cs="Times New Roman"/>
          <w:vertAlign w:val="superscript"/>
        </w:rPr>
        <w:t>2</w:t>
      </w:r>
      <w:r>
        <w:rPr>
          <w:rFonts w:cs="Times New Roman"/>
        </w:rPr>
        <w:t>。</w:t>
      </w:r>
    </w:p>
    <w:p w14:paraId="0FDC6947">
      <w:pPr>
        <w:pStyle w:val="281"/>
        <w:ind w:firstLine="480"/>
        <w:rPr>
          <w:rFonts w:cs="Times New Roman"/>
        </w:rPr>
      </w:pPr>
      <w:r>
        <w:rPr>
          <w:rFonts w:hint="eastAsia" w:cs="Times New Roman"/>
        </w:rPr>
        <w:t>规划南部循环经济产业园设置两套供水系统，一套为新鲜水供水系统，供应工业用水、生活用水、绿化用水和消防用水，按照不大于120m的间距布置消火栓，规划新鲜水供水系统采用环状和枝状网相结合的方式供水，给水主、干管管径DN300mm-DN800mm；一套为再生水供水系统，供应低质要求的工业用水和部分绿化用水，规划再生水供水系统采用环状和枝状网相结合的方式供水，给水主、干管管径DN200mm-DN500mm。</w:t>
      </w:r>
    </w:p>
    <w:p w14:paraId="15BF89AF">
      <w:pPr>
        <w:pStyle w:val="98"/>
        <w:rPr>
          <w:rFonts w:hint="eastAsia"/>
        </w:rPr>
      </w:pPr>
      <w:r>
        <w:rPr>
          <w:rFonts w:hint="eastAsia"/>
        </w:rPr>
        <w:t>排水规划</w:t>
      </w:r>
    </w:p>
    <w:p w14:paraId="7011BD96">
      <w:pPr>
        <w:pStyle w:val="281"/>
        <w:ind w:firstLine="480"/>
      </w:pPr>
      <w:r>
        <w:rPr>
          <w:rFonts w:hint="eastAsia"/>
        </w:rPr>
        <w:t>（1）北部新兴产业园</w:t>
      </w:r>
    </w:p>
    <w:p w14:paraId="73A31A7A">
      <w:pPr>
        <w:pStyle w:val="281"/>
        <w:ind w:firstLine="480"/>
      </w:pPr>
      <w:r>
        <w:rPr>
          <w:rFonts w:hint="eastAsia"/>
        </w:rPr>
        <w:t>北部新兴产业园污水排放至城市污水管网，由哈密市生活污水厂处理，不符合规范要求，园区规划近期新建一座污水处理厂，位于园区最南侧，处理规模为1.0万m</w:t>
      </w:r>
      <w:r>
        <w:rPr>
          <w:rFonts w:hint="eastAsia"/>
          <w:vertAlign w:val="superscript"/>
        </w:rPr>
        <w:t>3</w:t>
      </w:r>
      <w:r>
        <w:rPr>
          <w:rFonts w:hint="eastAsia"/>
        </w:rPr>
        <w:t>/d。远期扩建该污水处理厂，扩建后污水处理厂处理规模为1.5万m</w:t>
      </w:r>
      <w:r>
        <w:rPr>
          <w:rFonts w:hint="eastAsia"/>
          <w:vertAlign w:val="superscript"/>
        </w:rPr>
        <w:t>3</w:t>
      </w:r>
      <w:r>
        <w:rPr>
          <w:rFonts w:hint="eastAsia"/>
        </w:rPr>
        <w:t>/d。污水厂出水水质达到《城镇污水处理厂污染物排放标准（GB18918-2002）》中一级A类标准。污水厂出水作为中水主要回用于工业和绿化，夏季污水量较大可用于工业、绿化、道路浇洒、降尘，冬季污水量较小全部回用于工业。</w:t>
      </w:r>
    </w:p>
    <w:p w14:paraId="533BA53E">
      <w:pPr>
        <w:pStyle w:val="281"/>
        <w:ind w:firstLine="480"/>
      </w:pPr>
      <w:r>
        <w:rPr>
          <w:rFonts w:hint="eastAsia"/>
        </w:rPr>
        <w:t>规划北部新兴产业园远期污水集中处理率达到100%，管网覆盖率达到100%。污水管道根据地形条件采用重力流布置，污水管道沿道路设置，污水管道管径为DN300mm-DN400mm。园区西南侧由于地形、高程等污水无法通过重力流排至主管网，需增设污水提升泵站一处，位于园区西南侧。</w:t>
      </w:r>
    </w:p>
    <w:p w14:paraId="323F1D28">
      <w:pPr>
        <w:pStyle w:val="281"/>
        <w:ind w:firstLine="480"/>
      </w:pPr>
      <w:r>
        <w:rPr>
          <w:rFonts w:hint="eastAsia"/>
        </w:rPr>
        <w:t>（2）南部循环经济产业园</w:t>
      </w:r>
    </w:p>
    <w:p w14:paraId="3A4E5502">
      <w:pPr>
        <w:pStyle w:val="281"/>
        <w:ind w:firstLine="480"/>
      </w:pPr>
      <w:r>
        <w:rPr>
          <w:rFonts w:hint="eastAsia"/>
        </w:rPr>
        <w:t>规划保留现状污水处理厂，近期对污水处理厂工艺进行改造升级并将其处理</w:t>
      </w:r>
    </w:p>
    <w:p w14:paraId="6A200085">
      <w:pPr>
        <w:pStyle w:val="281"/>
        <w:ind w:firstLine="480"/>
      </w:pPr>
      <w:r>
        <w:rPr>
          <w:rFonts w:hint="eastAsia"/>
        </w:rPr>
        <w:t>规模扩建至1.0万m</w:t>
      </w:r>
      <w:r>
        <w:rPr>
          <w:rFonts w:hint="eastAsia"/>
          <w:vertAlign w:val="superscript"/>
        </w:rPr>
        <w:t>3</w:t>
      </w:r>
      <w:r>
        <w:rPr>
          <w:rFonts w:hint="eastAsia"/>
        </w:rPr>
        <w:t>/d，满足园区工业废水处理需求。远期扩建至1.5万m</w:t>
      </w:r>
      <w:r>
        <w:rPr>
          <w:rFonts w:hint="eastAsia"/>
          <w:vertAlign w:val="superscript"/>
        </w:rPr>
        <w:t>3</w:t>
      </w:r>
      <w:r>
        <w:rPr>
          <w:rFonts w:hint="eastAsia"/>
        </w:rPr>
        <w:t>/d，污水厂出水水质达到《城镇污水处理厂污染物排放标准（GB18918-2002）》中一级A类标准，达到工业回用和绿化用水水质要求。污水厂出水作为中水主要回用于工业和绿化，夏季污水量较大可用于工业、绿化、道路浇洒、降尘，冬季污水量较小全部回用于工业。</w:t>
      </w:r>
    </w:p>
    <w:p w14:paraId="68C0E381">
      <w:pPr>
        <w:pStyle w:val="281"/>
        <w:ind w:firstLine="480"/>
      </w:pPr>
      <w:r>
        <w:rPr>
          <w:rFonts w:hint="eastAsia"/>
        </w:rPr>
        <w:t>规划南部循环经济产业园远期污水集中处理率达到100%。管网覆盖率达到100%。污水管道根据地形条件采用重力流布置，污水管道沿道路设置，污水管道管径为DN300mm-DN700mm。</w:t>
      </w:r>
    </w:p>
    <w:p w14:paraId="4AE4A900">
      <w:pPr>
        <w:pStyle w:val="281"/>
        <w:ind w:firstLine="480"/>
      </w:pPr>
      <w:r>
        <w:rPr>
          <w:rFonts w:hint="eastAsia"/>
        </w:rPr>
        <w:t>（3）中水工程规划</w:t>
      </w:r>
    </w:p>
    <w:p w14:paraId="4134365F">
      <w:pPr>
        <w:pStyle w:val="281"/>
        <w:ind w:firstLine="480"/>
      </w:pPr>
      <w:r>
        <w:rPr>
          <w:rFonts w:hint="eastAsia"/>
        </w:rPr>
        <w:t>北部新兴产业园污水经南侧污水厂处理后回用于园区，中水回用量近期为0.32万m</w:t>
      </w:r>
      <w:r>
        <w:rPr>
          <w:rFonts w:hint="eastAsia"/>
          <w:vertAlign w:val="superscript"/>
        </w:rPr>
        <w:t>3</w:t>
      </w:r>
      <w:r>
        <w:rPr>
          <w:rFonts w:hint="eastAsia"/>
        </w:rPr>
        <w:t>/d（损耗大约为10%），远期为0.58万m</w:t>
      </w:r>
      <w:r>
        <w:rPr>
          <w:rFonts w:hint="eastAsia"/>
          <w:vertAlign w:val="superscript"/>
        </w:rPr>
        <w:t>3</w:t>
      </w:r>
      <w:r>
        <w:rPr>
          <w:rFonts w:hint="eastAsia"/>
        </w:rPr>
        <w:t>/d（损耗大约为10%），中水主要回用于工业和绿化，夏季污水量较大可用于工业、绿化、道路浇洒、降尘，冬季污水量部分用于洒水降尘，部分储存在中水库。北部新兴产业园结合污水处理厂设计中水蓄水池，建议容积50万m</w:t>
      </w:r>
      <w:r>
        <w:rPr>
          <w:rFonts w:hint="eastAsia"/>
          <w:vertAlign w:val="superscript"/>
        </w:rPr>
        <w:t>3</w:t>
      </w:r>
      <w:r>
        <w:rPr>
          <w:rFonts w:hint="eastAsia"/>
        </w:rPr>
        <w:t>。</w:t>
      </w:r>
    </w:p>
    <w:p w14:paraId="0B16BE65">
      <w:pPr>
        <w:pStyle w:val="281"/>
        <w:ind w:firstLine="480"/>
      </w:pPr>
      <w:r>
        <w:rPr>
          <w:rFonts w:hint="eastAsia"/>
        </w:rPr>
        <w:t>南部循环经济产业园</w:t>
      </w:r>
      <w:bookmarkStart w:id="279" w:name="_Hlk42610749"/>
      <w:r>
        <w:rPr>
          <w:rFonts w:hint="eastAsia"/>
        </w:rPr>
        <w:t>污水经南侧污水厂处理后回用于园区</w:t>
      </w:r>
      <w:bookmarkEnd w:id="279"/>
      <w:r>
        <w:rPr>
          <w:rFonts w:hint="eastAsia"/>
        </w:rPr>
        <w:t>，中水回用量近期为0.87万m</w:t>
      </w:r>
      <w:r>
        <w:rPr>
          <w:rFonts w:hint="eastAsia"/>
          <w:vertAlign w:val="superscript"/>
        </w:rPr>
        <w:t>3</w:t>
      </w:r>
      <w:r>
        <w:rPr>
          <w:rFonts w:hint="eastAsia"/>
        </w:rPr>
        <w:t>/d（损耗大约为10%），远期为1.11万m</w:t>
      </w:r>
      <w:r>
        <w:rPr>
          <w:rFonts w:hint="eastAsia"/>
          <w:vertAlign w:val="superscript"/>
        </w:rPr>
        <w:t>3</w:t>
      </w:r>
      <w:r>
        <w:rPr>
          <w:rFonts w:hint="eastAsia"/>
        </w:rPr>
        <w:t>/d（损耗大约为10%），中水主要回用于工业和绿化，夏季污水量较大可用于工业、绿化、道路浇洒、降尘，冬季污水量较小全部回用于工业。南部循环经济产业园结合污水厂设计中水蓄水池，建议容积150万m</w:t>
      </w:r>
      <w:r>
        <w:rPr>
          <w:rFonts w:hint="eastAsia"/>
          <w:vertAlign w:val="superscript"/>
        </w:rPr>
        <w:t>3</w:t>
      </w:r>
      <w:r>
        <w:rPr>
          <w:rFonts w:hint="eastAsia"/>
        </w:rPr>
        <w:t>。</w:t>
      </w:r>
    </w:p>
    <w:p w14:paraId="0292E10B">
      <w:pPr>
        <w:pStyle w:val="98"/>
        <w:rPr>
          <w:rFonts w:hint="eastAsia"/>
        </w:rPr>
      </w:pPr>
      <w:r>
        <w:rPr>
          <w:rFonts w:hint="eastAsia"/>
        </w:rPr>
        <w:t>供电规划</w:t>
      </w:r>
    </w:p>
    <w:p w14:paraId="57D006E3">
      <w:pPr>
        <w:pStyle w:val="281"/>
        <w:ind w:firstLine="480"/>
      </w:pPr>
      <w:r>
        <w:rPr>
          <w:rFonts w:hint="eastAsia"/>
        </w:rPr>
        <w:t xml:space="preserve">（1）北部新兴产业园 </w:t>
      </w:r>
    </w:p>
    <w:p w14:paraId="62A50C87">
      <w:pPr>
        <w:pStyle w:val="281"/>
        <w:ind w:firstLine="480"/>
      </w:pPr>
      <w:r>
        <w:rPr>
          <w:rFonts w:hint="eastAsia"/>
        </w:rPr>
        <w:t>规划北部新兴产业园保留现状110kV轻工业园变和110kV北郊变，同时近期35kV粤海变退出运行，远期将北郊变扩容至3×50MVA。</w:t>
      </w:r>
    </w:p>
    <w:p w14:paraId="70DE949F">
      <w:pPr>
        <w:pStyle w:val="281"/>
        <w:ind w:firstLine="480"/>
      </w:pPr>
      <w:r>
        <w:rPr>
          <w:rFonts w:hint="eastAsia"/>
        </w:rPr>
        <w:t>（2）南部循环经济产业园</w:t>
      </w:r>
    </w:p>
    <w:p w14:paraId="25F88216">
      <w:pPr>
        <w:pStyle w:val="281"/>
        <w:ind w:firstLine="480"/>
      </w:pPr>
      <w:r>
        <w:rPr>
          <w:rFonts w:hint="eastAsia"/>
        </w:rPr>
        <w:t>规划南部循环经济产业园保留现状110kV南园变、110kV重工业变、220kV银河路变，满足近期用电需求。远期新增220kV变电站一座，位于南部循环经济产业园西北侧，规模为2×150 MVA，新增两座110kV变电站，分别位于南部循环经济产业园南侧和北侧，规模均为2×50MVA。</w:t>
      </w:r>
    </w:p>
    <w:p w14:paraId="49A3563D">
      <w:pPr>
        <w:pStyle w:val="98"/>
        <w:rPr>
          <w:rFonts w:hint="eastAsia"/>
        </w:rPr>
      </w:pPr>
      <w:r>
        <w:rPr>
          <w:rFonts w:hint="eastAsia"/>
        </w:rPr>
        <w:t>电信工程规划</w:t>
      </w:r>
    </w:p>
    <w:p w14:paraId="1A30509B">
      <w:pPr>
        <w:pStyle w:val="281"/>
        <w:ind w:firstLine="480"/>
      </w:pPr>
      <w:r>
        <w:rPr>
          <w:rFonts w:hint="eastAsia"/>
        </w:rPr>
        <w:t>工业园区建设基于光缆的信息传输系统，光缆采用地下敷设方式。通信主、次管道沿工业园区主要干道布置，根据各类通信业务预测，并考虑适当预留，本规划确定各级道路通信管道原则设置如下：</w:t>
      </w:r>
    </w:p>
    <w:p w14:paraId="4A911A1B">
      <w:pPr>
        <w:pStyle w:val="281"/>
        <w:ind w:firstLine="480"/>
      </w:pPr>
      <w:r>
        <w:rPr>
          <w:rFonts w:hint="eastAsia"/>
        </w:rPr>
        <w:t>主干路8～10孔。其中固定电话及移动电话6～8孔，有线电视2孔，安保及预留2孔。</w:t>
      </w:r>
    </w:p>
    <w:p w14:paraId="3BA368CF">
      <w:pPr>
        <w:pStyle w:val="281"/>
        <w:ind w:firstLine="480"/>
      </w:pPr>
      <w:r>
        <w:rPr>
          <w:rFonts w:hint="eastAsia"/>
        </w:rPr>
        <w:t>次干路6～8孔。其中固定电话及移动电话4～6孔，有线电视1～2孔，安保及预留1～2孔。</w:t>
      </w:r>
    </w:p>
    <w:p w14:paraId="06F88F5D">
      <w:pPr>
        <w:pStyle w:val="281"/>
        <w:ind w:firstLine="480"/>
      </w:pPr>
      <w:r>
        <w:rPr>
          <w:rFonts w:hint="eastAsia"/>
        </w:rPr>
        <w:t>道路交叉路口的管孔数应适当增加，通信管道规划采用Φ110PVC塑料管，采用直埋敷设方式。</w:t>
      </w:r>
    </w:p>
    <w:p w14:paraId="08A0A52D">
      <w:pPr>
        <w:pStyle w:val="98"/>
        <w:rPr>
          <w:rFonts w:hint="eastAsia"/>
        </w:rPr>
      </w:pPr>
      <w:r>
        <w:rPr>
          <w:rFonts w:hint="eastAsia"/>
        </w:rPr>
        <w:t>供热及蒸汽工程规划</w:t>
      </w:r>
    </w:p>
    <w:p w14:paraId="15ED6047">
      <w:pPr>
        <w:pStyle w:val="281"/>
        <w:ind w:firstLine="480"/>
      </w:pPr>
      <w:r>
        <w:rPr>
          <w:rFonts w:hint="eastAsia"/>
        </w:rPr>
        <w:t>（1）热源规划</w:t>
      </w:r>
    </w:p>
    <w:p w14:paraId="4E934EB8">
      <w:pPr>
        <w:pStyle w:val="281"/>
        <w:ind w:firstLine="480"/>
      </w:pPr>
      <w:r>
        <w:rPr>
          <w:rFonts w:hint="eastAsia"/>
        </w:rPr>
        <w:t>北部新兴产业园近期可接现状园区锅炉房，对园区现有企业进行供热，</w:t>
      </w:r>
      <w:bookmarkStart w:id="280" w:name="_Hlk42603292"/>
      <w:r>
        <w:rPr>
          <w:rFonts w:hint="eastAsia"/>
        </w:rPr>
        <w:t>轻工及农产品加工区近期新建蒸汽锅炉房一座，锅炉规模40MW，远期扩建该锅炉房，锅炉房规模为60MW。规划远期园区采暖结合哈密城区华电热电联产项目为园区供热，现状锅炉房改造为换热站。</w:t>
      </w:r>
      <w:bookmarkEnd w:id="280"/>
    </w:p>
    <w:p w14:paraId="043FDB43">
      <w:pPr>
        <w:pStyle w:val="281"/>
        <w:ind w:firstLine="480"/>
      </w:pPr>
      <w:r>
        <w:rPr>
          <w:rFonts w:hint="eastAsia"/>
        </w:rPr>
        <w:t>南部循环经济产业园规划两处锅炉房，近期规模为155MW（西侧锅炉房35MW，南侧120MW）。远期规模为250MW（西侧锅炉房50MW，南侧200MW）。供应热蒸汽为工业生产和冬季采暖服务，各企业根据自身需求建设换热站。</w:t>
      </w:r>
    </w:p>
    <w:p w14:paraId="20CB5AD4">
      <w:pPr>
        <w:pStyle w:val="281"/>
        <w:ind w:firstLine="480"/>
      </w:pPr>
      <w:r>
        <w:rPr>
          <w:rFonts w:hint="eastAsia"/>
        </w:rPr>
        <w:t>热力站按供暖面积10万-30万m</w:t>
      </w:r>
      <w:r>
        <w:rPr>
          <w:rFonts w:hint="eastAsia"/>
          <w:vertAlign w:val="superscript"/>
        </w:rPr>
        <w:t>2</w:t>
      </w:r>
      <w:r>
        <w:rPr>
          <w:rFonts w:hint="eastAsia"/>
        </w:rPr>
        <w:t>规划一座，每座建筑面积不大于300m</w:t>
      </w:r>
      <w:r>
        <w:rPr>
          <w:rFonts w:hint="eastAsia"/>
          <w:vertAlign w:val="superscript"/>
        </w:rPr>
        <w:t>2</w:t>
      </w:r>
      <w:r>
        <w:rPr>
          <w:rFonts w:hint="eastAsia"/>
        </w:rPr>
        <w:t>，热交换站尽量靠近负荷中心。</w:t>
      </w:r>
    </w:p>
    <w:p w14:paraId="3468476A">
      <w:pPr>
        <w:pStyle w:val="281"/>
        <w:ind w:firstLine="480"/>
      </w:pPr>
      <w:r>
        <w:rPr>
          <w:rFonts w:hint="eastAsia"/>
        </w:rPr>
        <w:t>（2）供热管网规划</w:t>
      </w:r>
    </w:p>
    <w:p w14:paraId="1F888387">
      <w:pPr>
        <w:pStyle w:val="281"/>
        <w:ind w:firstLine="480"/>
      </w:pPr>
      <w:r>
        <w:rPr>
          <w:rFonts w:hint="eastAsia"/>
        </w:rPr>
        <w:t>为保证集中供热系统的可靠性和经济性，热力管网采用以枝状为主的布置方式，根据各类用户热负荷的大小及分布，管网的平面布置及热网的经济降压等因素，通过水力计算确定热力管网的各段管径，热力管道敷设方式采用地埋敷设。</w:t>
      </w:r>
    </w:p>
    <w:p w14:paraId="532A9999">
      <w:pPr>
        <w:pStyle w:val="281"/>
        <w:ind w:firstLine="480"/>
      </w:pPr>
      <w:r>
        <w:rPr>
          <w:rFonts w:hint="eastAsia"/>
        </w:rPr>
        <w:t>供热管网沿道路布置，为减少对地下空间的占用，尽可能采用地下直埋方式。一次高温热水管道采用直埋敷设方式，二次低温热水管道采用直埋或地沟敷设方式。</w:t>
      </w:r>
    </w:p>
    <w:p w14:paraId="24536E55">
      <w:pPr>
        <w:pStyle w:val="281"/>
        <w:ind w:firstLine="480"/>
      </w:pPr>
      <w:r>
        <w:rPr>
          <w:rFonts w:hint="eastAsia"/>
        </w:rPr>
        <w:t>北部新兴产业园蒸汽管网管径DN200mm-DN400mm之间，采暖热水管网管径为DN200mm-DN600mm。</w:t>
      </w:r>
    </w:p>
    <w:p w14:paraId="2FBC6E00">
      <w:pPr>
        <w:pStyle w:val="281"/>
        <w:ind w:firstLine="480"/>
      </w:pPr>
      <w:r>
        <w:rPr>
          <w:rFonts w:hint="eastAsia"/>
        </w:rPr>
        <w:t>南部循环经济产业园汽管网管径 DN300mm-DN500mm之间。</w:t>
      </w:r>
    </w:p>
    <w:p w14:paraId="6AD4B589">
      <w:pPr>
        <w:pStyle w:val="98"/>
        <w:rPr>
          <w:rFonts w:hint="eastAsia"/>
        </w:rPr>
      </w:pPr>
      <w:r>
        <w:rPr>
          <w:rFonts w:hint="eastAsia"/>
        </w:rPr>
        <w:t>燃气工程规划</w:t>
      </w:r>
    </w:p>
    <w:p w14:paraId="7D454A2B">
      <w:pPr>
        <w:pStyle w:val="281"/>
        <w:ind w:firstLine="480"/>
      </w:pPr>
      <w:r>
        <w:rPr>
          <w:rFonts w:hint="eastAsia"/>
        </w:rPr>
        <w:t>规划北部新兴产业园气源为哈密广汇新民六路门站，近期使用LNG气化管道供气，南部循环经济产业园近期由新捷燃气管道气供应。</w:t>
      </w:r>
    </w:p>
    <w:p w14:paraId="663B4822">
      <w:pPr>
        <w:pStyle w:val="281"/>
        <w:ind w:firstLine="480"/>
      </w:pPr>
      <w:r>
        <w:rPr>
          <w:rFonts w:hint="eastAsia"/>
        </w:rPr>
        <w:t>远期气源来自西气东输二线气源，衔接点为哈密分输站，经6.3Mpa高压管线敷设至哈密西部新城天然气联合处理站，广汇和新捷燃气实现联网供气。</w:t>
      </w:r>
    </w:p>
    <w:p w14:paraId="0B4B2B94">
      <w:pPr>
        <w:pStyle w:val="281"/>
        <w:ind w:firstLine="480"/>
      </w:pPr>
      <w:r>
        <w:rPr>
          <w:rFonts w:hint="eastAsia"/>
        </w:rPr>
        <w:t>北部新兴产业园根据企业用气需求建设调压站一座，压力6.3Mpa。南部循环经济产业园依托现状燃气调压站。</w:t>
      </w:r>
    </w:p>
    <w:p w14:paraId="5DD37D78">
      <w:pPr>
        <w:pStyle w:val="281"/>
        <w:ind w:firstLine="480"/>
      </w:pPr>
      <w:r>
        <w:rPr>
          <w:rFonts w:hint="eastAsia"/>
        </w:rPr>
        <w:t>哈密市中心城区远期建设次高压燃气管网，广汇新捷燃气实现联网供气。结合国内其他地区园区的发展经验，本次规划在园区内实行中压管道进入厂区的供气方式，在园区内本着尽量减少低压管线的原则安排设置中小型调压装置（调压箱或调压站），生产工艺用气按设备要求设置调压设施。</w:t>
      </w:r>
    </w:p>
    <w:p w14:paraId="158140FC">
      <w:pPr>
        <w:pStyle w:val="281"/>
        <w:ind w:firstLine="480"/>
      </w:pPr>
      <w:r>
        <w:rPr>
          <w:rFonts w:hint="eastAsia"/>
        </w:rPr>
        <w:t>在研究确定输配系统压力级制时，不仅要满足近期的供气要求，还要考虑到远期园区燃气不断发展的需要。</w:t>
      </w:r>
    </w:p>
    <w:p w14:paraId="1AA6B59A">
      <w:pPr>
        <w:pStyle w:val="98"/>
        <w:rPr>
          <w:rFonts w:hint="eastAsia"/>
        </w:rPr>
      </w:pPr>
      <w:r>
        <w:rPr>
          <w:rFonts w:hint="eastAsia"/>
        </w:rPr>
        <w:t>环卫工程规划</w:t>
      </w:r>
    </w:p>
    <w:p w14:paraId="08919550">
      <w:pPr>
        <w:pStyle w:val="281"/>
        <w:ind w:firstLine="480"/>
      </w:pPr>
      <w:r>
        <w:rPr>
          <w:rFonts w:hint="eastAsia"/>
        </w:rPr>
        <w:t>规划工业园区生活垃圾运至哈密市垃圾填埋场统一处理，哈密市垃圾填埋场位于南湖乡南侧3km处，距哈密市中心城区南侧约45km，垃圾填埋场正在进行二期建设，设计规模为540t/d，使用期限15a，占地面积20677m</w:t>
      </w:r>
      <w:r>
        <w:rPr>
          <w:rFonts w:hint="eastAsia"/>
          <w:vertAlign w:val="superscript"/>
        </w:rPr>
        <w:t>2</w:t>
      </w:r>
      <w:r>
        <w:rPr>
          <w:rFonts w:hint="eastAsia"/>
        </w:rPr>
        <w:t>，能够消纳工业园区生活垃圾量。未来生产过程中利用新技术减少废物产出、加强循环利用，积极促进集聚区生产排放减量化，保护周边生态环境。</w:t>
      </w:r>
    </w:p>
    <w:p w14:paraId="5419D2A9">
      <w:pPr>
        <w:pStyle w:val="281"/>
        <w:ind w:firstLine="480"/>
      </w:pPr>
      <w:r>
        <w:rPr>
          <w:rFonts w:hint="eastAsia"/>
        </w:rPr>
        <w:t>南部循环经济产业园南侧有固废垃圾填埋场一座和固废贮存、处置场一座，其中：固废填埋场已建设完毕等待验收后投入使用；固废贮存、处置场已投入使用，对各园区可回收利用的工业固体废物均运至该固废处置场处理。</w:t>
      </w:r>
    </w:p>
    <w:p w14:paraId="7DB38ADC">
      <w:pPr>
        <w:pStyle w:val="97"/>
        <w:rPr>
          <w:rFonts w:hint="eastAsia"/>
        </w:rPr>
      </w:pPr>
      <w:r>
        <w:rPr>
          <w:rFonts w:hint="eastAsia"/>
        </w:rPr>
        <w:t>基础设施建设情况</w:t>
      </w:r>
    </w:p>
    <w:p w14:paraId="6BE32895">
      <w:pPr>
        <w:pStyle w:val="98"/>
        <w:rPr>
          <w:rFonts w:hint="eastAsia"/>
        </w:rPr>
      </w:pPr>
      <w:r>
        <w:rPr>
          <w:rFonts w:hint="eastAsia"/>
        </w:rPr>
        <w:t>供水</w:t>
      </w:r>
    </w:p>
    <w:p w14:paraId="0498D657">
      <w:pPr>
        <w:pStyle w:val="281"/>
        <w:ind w:firstLine="480"/>
        <w:rPr>
          <w:rFonts w:cs="Times New Roman"/>
        </w:rPr>
      </w:pPr>
      <w:r>
        <w:rPr>
          <w:rFonts w:cs="Times New Roman"/>
        </w:rPr>
        <w:t>（1）北部新兴产业园</w:t>
      </w:r>
    </w:p>
    <w:p w14:paraId="766384F8">
      <w:pPr>
        <w:pStyle w:val="281"/>
        <w:ind w:firstLine="480"/>
        <w:rPr>
          <w:rFonts w:cs="Times New Roman"/>
        </w:rPr>
      </w:pPr>
      <w:r>
        <w:rPr>
          <w:rFonts w:cs="Times New Roman"/>
        </w:rPr>
        <w:t>哈密水务公司通过四水厂向北部新兴产业园的供水量为262.78万m</w:t>
      </w:r>
      <w:r>
        <w:rPr>
          <w:rFonts w:cs="Times New Roman"/>
          <w:vertAlign w:val="superscript"/>
        </w:rPr>
        <w:t>3</w:t>
      </w:r>
      <w:r>
        <w:rPr>
          <w:rFonts w:cs="Times New Roman"/>
        </w:rPr>
        <w:t>；石城子水库及榆树沟水库通过供水管道向园区绿化供水量为86.98万m</w:t>
      </w:r>
      <w:r>
        <w:rPr>
          <w:rFonts w:cs="Times New Roman"/>
          <w:vertAlign w:val="superscript"/>
        </w:rPr>
        <w:t>3</w:t>
      </w:r>
      <w:r>
        <w:rPr>
          <w:rFonts w:cs="Times New Roman"/>
        </w:rPr>
        <w:t>；园区企业5眼自备井2018年取水量为19.5万m</w:t>
      </w:r>
      <w:r>
        <w:rPr>
          <w:rFonts w:cs="Times New Roman"/>
          <w:vertAlign w:val="superscript"/>
        </w:rPr>
        <w:t>3</w:t>
      </w:r>
      <w:r>
        <w:rPr>
          <w:rFonts w:cs="Times New Roman"/>
        </w:rPr>
        <w:t>。总供水量为369.26万m</w:t>
      </w:r>
      <w:r>
        <w:rPr>
          <w:rFonts w:cs="Times New Roman"/>
          <w:vertAlign w:val="superscript"/>
        </w:rPr>
        <w:t>3</w:t>
      </w:r>
      <w:r>
        <w:rPr>
          <w:rFonts w:cs="Times New Roman"/>
        </w:rPr>
        <w:t>。</w:t>
      </w:r>
    </w:p>
    <w:p w14:paraId="62F1153A">
      <w:pPr>
        <w:pStyle w:val="281"/>
        <w:ind w:firstLine="480"/>
        <w:rPr>
          <w:rFonts w:cs="Times New Roman"/>
        </w:rPr>
      </w:pPr>
      <w:r>
        <w:rPr>
          <w:rFonts w:cs="Times New Roman"/>
        </w:rPr>
        <w:t>（2）南部循环经济产业园</w:t>
      </w:r>
    </w:p>
    <w:p w14:paraId="55C84B14">
      <w:pPr>
        <w:pStyle w:val="281"/>
        <w:ind w:firstLine="480"/>
        <w:rPr>
          <w:rFonts w:cs="Times New Roman"/>
        </w:rPr>
      </w:pPr>
      <w:r>
        <w:rPr>
          <w:rFonts w:cs="Times New Roman"/>
        </w:rPr>
        <w:t>南部循环经济产业园内已有部分供水管网，现状供水接哈密市三水厂，2018年哈密水务公司通过三水厂及自备水源井向南部循环经济产业园供水663.71万m</w:t>
      </w:r>
      <w:r>
        <w:rPr>
          <w:rFonts w:cs="Times New Roman"/>
          <w:vertAlign w:val="superscript"/>
        </w:rPr>
        <w:t>3</w:t>
      </w:r>
      <w:r>
        <w:rPr>
          <w:rFonts w:cs="Times New Roman"/>
        </w:rPr>
        <w:t>。</w:t>
      </w:r>
    </w:p>
    <w:p w14:paraId="7FF52583">
      <w:pPr>
        <w:pStyle w:val="98"/>
        <w:rPr>
          <w:rFonts w:hint="eastAsia"/>
        </w:rPr>
      </w:pPr>
      <w:r>
        <w:rPr>
          <w:rFonts w:hint="eastAsia"/>
        </w:rPr>
        <w:t>排水</w:t>
      </w:r>
    </w:p>
    <w:p w14:paraId="7AAD1E54">
      <w:pPr>
        <w:pStyle w:val="281"/>
        <w:ind w:firstLine="480"/>
      </w:pPr>
      <w:r>
        <w:rPr>
          <w:rFonts w:hint="eastAsia"/>
        </w:rPr>
        <w:t>北部新兴产业园污水管网已覆盖现状企业，企业产生的生活污水和生产废水经哈密市污水管网排至哈密市污水处理厂处理。</w:t>
      </w:r>
    </w:p>
    <w:p w14:paraId="5E717393">
      <w:pPr>
        <w:pStyle w:val="281"/>
        <w:ind w:firstLine="480"/>
      </w:pPr>
      <w:r>
        <w:rPr>
          <w:rFonts w:hint="eastAsia"/>
        </w:rPr>
        <w:t>南部循环经济产业园内已有部分排水管网，有现状污水处理厂一座，规模为5000m</w:t>
      </w:r>
      <w:r>
        <w:rPr>
          <w:rFonts w:hint="eastAsia"/>
          <w:vertAlign w:val="superscript"/>
        </w:rPr>
        <w:t>3</w:t>
      </w:r>
      <w:r>
        <w:rPr>
          <w:rFonts w:hint="eastAsia"/>
        </w:rPr>
        <w:t>/d，位于园区南侧。接入排水管网的企业产生的污水排至污水处理厂处理；未接入排水管网的，采用企业污水处理设施处理后用于绿化用水。</w:t>
      </w:r>
    </w:p>
    <w:p w14:paraId="416BC05E">
      <w:pPr>
        <w:pStyle w:val="98"/>
        <w:rPr>
          <w:rFonts w:hint="eastAsia"/>
        </w:rPr>
      </w:pPr>
      <w:r>
        <w:rPr>
          <w:rFonts w:hint="eastAsia"/>
        </w:rPr>
        <w:t>供电</w:t>
      </w:r>
    </w:p>
    <w:p w14:paraId="5DBFBA8D">
      <w:pPr>
        <w:pStyle w:val="281"/>
        <w:ind w:firstLine="480"/>
        <w:rPr>
          <w:rFonts w:cs="Times New Roman"/>
        </w:rPr>
      </w:pPr>
      <w:r>
        <w:rPr>
          <w:rFonts w:cs="Times New Roman"/>
        </w:rPr>
        <w:t>（1）北部新兴产业园</w:t>
      </w:r>
    </w:p>
    <w:p w14:paraId="1F649C59">
      <w:pPr>
        <w:pStyle w:val="281"/>
        <w:ind w:firstLine="480"/>
        <w:rPr>
          <w:rFonts w:cs="Times New Roman"/>
        </w:rPr>
      </w:pPr>
      <w:r>
        <w:rPr>
          <w:rFonts w:cs="Times New Roman"/>
        </w:rPr>
        <w:t>北部新兴产业园现状共有变电站3座，分别为110kV轻工业园变、110kV北郊变、35kV粤海变。其中35kV粤海变为园区主要承接负荷变电站。110kV轻工业园变为园区主要配出负荷线路为轻工1、2线和轻奇1、2线，110kV北郊变为园区主要配出负荷线路为北厂线、北工线。</w:t>
      </w:r>
    </w:p>
    <w:p w14:paraId="71CED619">
      <w:pPr>
        <w:pStyle w:val="281"/>
        <w:ind w:firstLine="480"/>
        <w:rPr>
          <w:rFonts w:cs="Times New Roman"/>
        </w:rPr>
      </w:pPr>
      <w:r>
        <w:rPr>
          <w:rFonts w:cs="Times New Roman"/>
        </w:rPr>
        <w:t>35kV粤海变电源分别来自110kV轻工业园变和110kV北郊变，形成“110kV轻工业园变—35kV粤海变—110kV北郊变”链式供电结构。</w:t>
      </w:r>
    </w:p>
    <w:p w14:paraId="26F88022">
      <w:pPr>
        <w:pStyle w:val="281"/>
        <w:ind w:firstLine="480"/>
        <w:rPr>
          <w:rFonts w:cs="Times New Roman"/>
        </w:rPr>
      </w:pPr>
      <w:r>
        <w:rPr>
          <w:rFonts w:cs="Times New Roman"/>
        </w:rPr>
        <w:t>110kV轻工业园变电源来自中广核光伏、220kV山北变、哈密天光，局部形成“220kV山北变—110kV马场变—110kV轻工业园—哈密天光”链式供电结构。</w:t>
      </w:r>
    </w:p>
    <w:p w14:paraId="2658665B">
      <w:pPr>
        <w:pStyle w:val="281"/>
        <w:ind w:firstLine="480"/>
        <w:rPr>
          <w:rFonts w:cs="Times New Roman"/>
        </w:rPr>
      </w:pPr>
      <w:r>
        <w:rPr>
          <w:rFonts w:cs="Times New Roman"/>
        </w:rPr>
        <w:t>110kV北郊变电源来自220kV兴民变、220kV东疆变、哈密天光，局部形成“220kV兴民变—110kV小营房变—110kV北郊变—110kV骆驼圈子变—220kV东疆变”链式供电结构。</w:t>
      </w:r>
    </w:p>
    <w:p w14:paraId="285B67E8">
      <w:pPr>
        <w:pStyle w:val="281"/>
        <w:ind w:firstLine="480"/>
        <w:rPr>
          <w:rFonts w:cs="Times New Roman"/>
        </w:rPr>
      </w:pPr>
      <w:r>
        <w:rPr>
          <w:rFonts w:cs="Times New Roman"/>
        </w:rPr>
        <w:t>（2）南部循环经济产业园</w:t>
      </w:r>
    </w:p>
    <w:p w14:paraId="55AE079F">
      <w:pPr>
        <w:pStyle w:val="281"/>
        <w:ind w:firstLine="480"/>
        <w:rPr>
          <w:rFonts w:cs="Times New Roman"/>
        </w:rPr>
      </w:pPr>
      <w:r>
        <w:rPr>
          <w:rFonts w:cs="Times New Roman"/>
        </w:rPr>
        <w:t>南部循环经济产业园现状共有变电站3座，分别为110kV南园变、110kV重工业变、220kV银河路变。其中110kV南园变为园区主要承接负荷变电站，上级电源为220kV银河路变、哈密天光；220kV银河路变降压序列为220/110/35kV，因此未为园区配出10kV线路，除了为110kV南园变提供电源以外，还为园区35kV新疆昕昊达矿业有限责任公司配出1回35kV线路。</w:t>
      </w:r>
    </w:p>
    <w:p w14:paraId="10673E86">
      <w:pPr>
        <w:pStyle w:val="281"/>
        <w:ind w:firstLine="480"/>
        <w:rPr>
          <w:rFonts w:cs="Times New Roman"/>
        </w:rPr>
      </w:pPr>
      <w:r>
        <w:rPr>
          <w:rFonts w:cs="Times New Roman"/>
        </w:rPr>
        <w:t>110kV南园变电源来自220kV银河路变、哈密天光，局部形成“220kV银河路====110kV南园变”双射供电结构或“220kV银河路变—110kV南园变—哈密天光”不完全双链式供电结构。</w:t>
      </w:r>
    </w:p>
    <w:p w14:paraId="63D65366">
      <w:pPr>
        <w:pStyle w:val="281"/>
        <w:ind w:firstLine="480"/>
        <w:rPr>
          <w:rFonts w:cs="Times New Roman"/>
        </w:rPr>
      </w:pPr>
      <w:r>
        <w:rPr>
          <w:rFonts w:cs="Times New Roman"/>
        </w:rPr>
        <w:t>110kV重工业园变电源来自220kV银河路变，局部形成“220kV银河路====110kV重工业变”单射供电结构。</w:t>
      </w:r>
    </w:p>
    <w:p w14:paraId="304A5D27">
      <w:pPr>
        <w:pStyle w:val="98"/>
        <w:rPr>
          <w:rFonts w:hint="eastAsia"/>
        </w:rPr>
      </w:pPr>
      <w:r>
        <w:rPr>
          <w:rFonts w:hint="eastAsia"/>
        </w:rPr>
        <w:t>供热</w:t>
      </w:r>
    </w:p>
    <w:p w14:paraId="2FE466A1">
      <w:pPr>
        <w:pStyle w:val="281"/>
        <w:ind w:firstLine="480"/>
      </w:pPr>
      <w:r>
        <w:rPr>
          <w:rFonts w:hint="eastAsia"/>
        </w:rPr>
        <w:t>北部新兴产业园现状供热由建设于黄山路与珠江大道交叉口西南侧的新疆华电哈密热电有限责任公司供给，现状共有6座换热站，供热面积达到</w:t>
      </w:r>
      <w:r>
        <w:t>59.6</w:t>
      </w:r>
      <w:r>
        <w:rPr>
          <w:rFonts w:hint="eastAsia"/>
        </w:rPr>
        <w:t>万m</w:t>
      </w:r>
      <w:r>
        <w:rPr>
          <w:rFonts w:hint="eastAsia"/>
          <w:vertAlign w:val="superscript"/>
        </w:rPr>
        <w:t>2</w:t>
      </w:r>
      <w:r>
        <w:rPr>
          <w:rFonts w:hint="eastAsia"/>
        </w:rPr>
        <w:t>，原规划中的两处集中供热仅建设了一处。南部循环经济产业园尚无集中供热设施，各企业采用余热锅炉或电采暖自行供热。</w:t>
      </w:r>
    </w:p>
    <w:p w14:paraId="6841F093">
      <w:pPr>
        <w:pStyle w:val="98"/>
        <w:rPr>
          <w:rFonts w:hint="eastAsia"/>
        </w:rPr>
      </w:pPr>
      <w:r>
        <w:rPr>
          <w:rFonts w:hint="eastAsia"/>
        </w:rPr>
        <w:t>燃气</w:t>
      </w:r>
    </w:p>
    <w:p w14:paraId="44B7192F">
      <w:pPr>
        <w:pStyle w:val="281"/>
        <w:ind w:firstLine="480"/>
      </w:pPr>
      <w:r>
        <w:rPr>
          <w:rFonts w:hint="eastAsia"/>
        </w:rPr>
        <w:t>哈密市中心城区当前气化率接近100%，气源主要来自哈密广汇新民六路门站及西气东输二线哈密分输站。</w:t>
      </w:r>
    </w:p>
    <w:p w14:paraId="3F4DFB7D">
      <w:pPr>
        <w:pStyle w:val="281"/>
        <w:ind w:firstLine="480"/>
      </w:pPr>
      <w:r>
        <w:rPr>
          <w:rFonts w:hint="eastAsia"/>
        </w:rPr>
        <w:t>广汇公司现状用气总量为7.51万m</w:t>
      </w:r>
      <w:r>
        <w:rPr>
          <w:rFonts w:hint="eastAsia"/>
          <w:vertAlign w:val="superscript"/>
        </w:rPr>
        <w:t>3</w:t>
      </w:r>
      <w:r>
        <w:rPr>
          <w:rFonts w:hint="eastAsia"/>
        </w:rPr>
        <w:t>/d，主要采用气化LNG方式供应管道天然气；北部新兴产业园以广汇公司供气为主。</w:t>
      </w:r>
    </w:p>
    <w:p w14:paraId="2DB5B4F7">
      <w:pPr>
        <w:pStyle w:val="281"/>
        <w:ind w:firstLine="480"/>
      </w:pPr>
      <w:r>
        <w:rPr>
          <w:rFonts w:hint="eastAsia"/>
        </w:rPr>
        <w:t>南部循环经济产业园有现状燃气调压站（新捷燃气建设）一座，规模为2.5万m</w:t>
      </w:r>
      <w:r>
        <w:rPr>
          <w:rFonts w:hint="eastAsia"/>
          <w:vertAlign w:val="superscript"/>
        </w:rPr>
        <w:t>3</w:t>
      </w:r>
      <w:r>
        <w:rPr>
          <w:rFonts w:hint="eastAsia"/>
        </w:rPr>
        <w:t>/h，压力6.3兆帕，进口管径110mm，出口管径160mm。</w:t>
      </w:r>
    </w:p>
    <w:p w14:paraId="2EEC374E">
      <w:pPr>
        <w:pStyle w:val="98"/>
        <w:rPr>
          <w:rFonts w:hint="eastAsia"/>
        </w:rPr>
      </w:pPr>
      <w:r>
        <w:rPr>
          <w:rFonts w:hint="eastAsia"/>
        </w:rPr>
        <w:t>固废</w:t>
      </w:r>
    </w:p>
    <w:p w14:paraId="3712816E">
      <w:pPr>
        <w:pStyle w:val="281"/>
        <w:ind w:firstLine="480"/>
      </w:pPr>
      <w:r>
        <w:rPr>
          <w:rFonts w:hint="eastAsia"/>
        </w:rPr>
        <w:t>规划工业园区生活垃圾运至哈密市垃圾填埋场统一处理，哈密市垃圾填埋场位于南湖乡南侧3km处，距哈密市中心城区南侧约45km，垃圾填埋场正在进行二期建设，设计规模为540t/d，使用期限15a，占地面积20677m</w:t>
      </w:r>
      <w:r>
        <w:rPr>
          <w:rFonts w:hint="eastAsia"/>
          <w:vertAlign w:val="superscript"/>
        </w:rPr>
        <w:t>2</w:t>
      </w:r>
      <w:r>
        <w:rPr>
          <w:rFonts w:hint="eastAsia"/>
        </w:rPr>
        <w:t>，能够消纳工业园区生活垃圾量。未来生产过程中利用新技术减少废物产出、加强循环利用，积极促进集聚区生产排放减量化，保护周边生态环境。</w:t>
      </w:r>
    </w:p>
    <w:p w14:paraId="5BFC277C">
      <w:pPr>
        <w:pStyle w:val="281"/>
        <w:ind w:firstLine="480"/>
      </w:pPr>
      <w:r>
        <w:rPr>
          <w:rFonts w:hint="eastAsia"/>
        </w:rPr>
        <w:t>南部循环经济产业园南侧有固废垃圾填埋场一座和固废贮存、处置场一座，其中：固废填埋场已建设完毕等待验收后投入使用；固废贮存、处置场已投入使用，对各园区可回收利用的工业固体废物均运至该固废处置场处理。</w:t>
      </w:r>
    </w:p>
    <w:p w14:paraId="7383A7AB">
      <w:pPr>
        <w:pStyle w:val="97"/>
        <w:rPr>
          <w:rFonts w:hint="eastAsia"/>
        </w:rPr>
      </w:pPr>
      <w:r>
        <w:rPr>
          <w:rFonts w:hint="eastAsia"/>
        </w:rPr>
        <w:t>评价范围内污染物源调查</w:t>
      </w:r>
    </w:p>
    <w:p w14:paraId="1CC4535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根据园区规划环评，评价范围内已建企业的污染排放情况详见表4.2.5-1。</w:t>
      </w:r>
    </w:p>
    <w:p w14:paraId="32BE1323">
      <w:pPr>
        <w:pStyle w:val="645"/>
        <w:rPr>
          <w:rFonts w:hint="eastAsia"/>
          <w:color w:val="FF0000"/>
        </w:rPr>
      </w:pPr>
    </w:p>
    <w:p w14:paraId="40F0FA16">
      <w:pPr>
        <w:pStyle w:val="645"/>
        <w:rPr>
          <w:rFonts w:hint="eastAsia"/>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4.2.5-1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评价范围内已建企业污染源一览表 </w:t>
      </w:r>
      <w:r>
        <w:rPr>
          <w:color w:val="000000" w:themeColor="text1"/>
          <w14:textFill>
            <w14:solidFill>
              <w14:schemeClr w14:val="tx1"/>
            </w14:solidFill>
          </w14:textFill>
        </w:rPr>
        <w:t xml:space="preserve">    单位：t/a</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985"/>
        <w:gridCol w:w="652"/>
        <w:gridCol w:w="795"/>
        <w:gridCol w:w="795"/>
        <w:gridCol w:w="711"/>
        <w:gridCol w:w="711"/>
        <w:gridCol w:w="597"/>
        <w:gridCol w:w="531"/>
        <w:gridCol w:w="441"/>
        <w:gridCol w:w="891"/>
      </w:tblGrid>
      <w:tr w14:paraId="2A19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restart"/>
            <w:vAlign w:val="center"/>
          </w:tcPr>
          <w:p w14:paraId="77B6E5B2">
            <w:pPr>
              <w:pStyle w:val="557"/>
            </w:pPr>
            <w:r>
              <w:rPr>
                <w:rFonts w:hint="eastAsia"/>
              </w:rPr>
              <w:t>序号</w:t>
            </w:r>
          </w:p>
        </w:tc>
        <w:tc>
          <w:tcPr>
            <w:tcW w:w="2234" w:type="dxa"/>
            <w:vMerge w:val="restart"/>
            <w:vAlign w:val="center"/>
          </w:tcPr>
          <w:p w14:paraId="3E96D759">
            <w:pPr>
              <w:pStyle w:val="557"/>
            </w:pPr>
            <w:r>
              <w:rPr>
                <w:rFonts w:hint="eastAsia"/>
              </w:rPr>
              <w:t>企业名称（项目）</w:t>
            </w:r>
          </w:p>
        </w:tc>
        <w:tc>
          <w:tcPr>
            <w:tcW w:w="697" w:type="dxa"/>
            <w:vMerge w:val="restart"/>
            <w:vAlign w:val="center"/>
          </w:tcPr>
          <w:p w14:paraId="3BD04A92">
            <w:pPr>
              <w:pStyle w:val="557"/>
            </w:pPr>
            <w:r>
              <w:rPr>
                <w:rFonts w:hint="eastAsia"/>
              </w:rPr>
              <w:t>建设性质</w:t>
            </w:r>
          </w:p>
        </w:tc>
        <w:tc>
          <w:tcPr>
            <w:tcW w:w="0" w:type="auto"/>
            <w:gridSpan w:val="4"/>
            <w:vAlign w:val="center"/>
          </w:tcPr>
          <w:p w14:paraId="40C9A9B1">
            <w:pPr>
              <w:pStyle w:val="557"/>
            </w:pPr>
            <w:r>
              <w:rPr>
                <w:rFonts w:hint="eastAsia"/>
              </w:rPr>
              <w:t>废气污染物（</w:t>
            </w:r>
            <w:r>
              <w:t>t/a</w:t>
            </w:r>
            <w:r>
              <w:rPr>
                <w:rFonts w:hint="eastAsia"/>
              </w:rPr>
              <w:t>）</w:t>
            </w:r>
          </w:p>
        </w:tc>
        <w:tc>
          <w:tcPr>
            <w:tcW w:w="0" w:type="auto"/>
            <w:gridSpan w:val="2"/>
            <w:vAlign w:val="center"/>
          </w:tcPr>
          <w:p w14:paraId="137FBF4C">
            <w:pPr>
              <w:pStyle w:val="557"/>
            </w:pPr>
            <w:r>
              <w:rPr>
                <w:rFonts w:hint="eastAsia"/>
              </w:rPr>
              <w:t>废水污染物（</w:t>
            </w:r>
            <w:r>
              <w:t>t/a</w:t>
            </w:r>
            <w:r>
              <w:rPr>
                <w:rFonts w:hint="eastAsia"/>
              </w:rPr>
              <w:t>）</w:t>
            </w:r>
          </w:p>
        </w:tc>
        <w:tc>
          <w:tcPr>
            <w:tcW w:w="0" w:type="auto"/>
            <w:gridSpan w:val="2"/>
            <w:vAlign w:val="center"/>
          </w:tcPr>
          <w:p w14:paraId="26DA91D7">
            <w:pPr>
              <w:pStyle w:val="557"/>
            </w:pPr>
            <w:r>
              <w:rPr>
                <w:rFonts w:hint="eastAsia"/>
              </w:rPr>
              <w:t>固体废物（</w:t>
            </w:r>
            <w:r>
              <w:t>t/a</w:t>
            </w:r>
            <w:r>
              <w:rPr>
                <w:rFonts w:hint="eastAsia"/>
              </w:rPr>
              <w:t>）</w:t>
            </w:r>
          </w:p>
        </w:tc>
      </w:tr>
      <w:tr w14:paraId="1B10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vAlign w:val="center"/>
          </w:tcPr>
          <w:p w14:paraId="351BC57D">
            <w:pPr>
              <w:pStyle w:val="557"/>
            </w:pPr>
          </w:p>
        </w:tc>
        <w:tc>
          <w:tcPr>
            <w:tcW w:w="2234" w:type="dxa"/>
            <w:vMerge w:val="continue"/>
            <w:vAlign w:val="center"/>
          </w:tcPr>
          <w:p w14:paraId="05741E50">
            <w:pPr>
              <w:pStyle w:val="557"/>
            </w:pPr>
          </w:p>
        </w:tc>
        <w:tc>
          <w:tcPr>
            <w:tcW w:w="697" w:type="dxa"/>
            <w:vMerge w:val="continue"/>
            <w:vAlign w:val="center"/>
          </w:tcPr>
          <w:p w14:paraId="52BB84A1">
            <w:pPr>
              <w:pStyle w:val="557"/>
            </w:pPr>
          </w:p>
        </w:tc>
        <w:tc>
          <w:tcPr>
            <w:tcW w:w="0" w:type="auto"/>
            <w:shd w:val="clear" w:color="000000" w:fill="FFFFFF"/>
            <w:vAlign w:val="center"/>
          </w:tcPr>
          <w:p w14:paraId="7EDBFCB6">
            <w:pPr>
              <w:pStyle w:val="557"/>
            </w:pPr>
            <w:r>
              <w:t>SO</w:t>
            </w:r>
            <w:r>
              <w:rPr>
                <w:vertAlign w:val="subscript"/>
              </w:rPr>
              <w:t>2</w:t>
            </w:r>
          </w:p>
        </w:tc>
        <w:tc>
          <w:tcPr>
            <w:tcW w:w="0" w:type="auto"/>
            <w:vAlign w:val="center"/>
          </w:tcPr>
          <w:p w14:paraId="587AC55B">
            <w:pPr>
              <w:pStyle w:val="557"/>
            </w:pPr>
            <w:r>
              <w:t>NO</w:t>
            </w:r>
            <w:r>
              <w:rPr>
                <w:vertAlign w:val="subscript"/>
              </w:rPr>
              <w:t>x</w:t>
            </w:r>
          </w:p>
        </w:tc>
        <w:tc>
          <w:tcPr>
            <w:tcW w:w="0" w:type="auto"/>
            <w:vAlign w:val="center"/>
          </w:tcPr>
          <w:p w14:paraId="78F21BFB">
            <w:pPr>
              <w:pStyle w:val="557"/>
            </w:pPr>
            <w:r>
              <w:rPr>
                <w:rFonts w:hint="eastAsia"/>
              </w:rPr>
              <w:t>颗粒物</w:t>
            </w:r>
          </w:p>
        </w:tc>
        <w:tc>
          <w:tcPr>
            <w:tcW w:w="0" w:type="auto"/>
            <w:vAlign w:val="center"/>
          </w:tcPr>
          <w:p w14:paraId="7B2869E9">
            <w:pPr>
              <w:pStyle w:val="557"/>
            </w:pPr>
            <w:r>
              <w:t>VOC</w:t>
            </w:r>
            <w:r>
              <w:rPr>
                <w:vertAlign w:val="subscript"/>
              </w:rPr>
              <w:t>S</w:t>
            </w:r>
          </w:p>
        </w:tc>
        <w:tc>
          <w:tcPr>
            <w:tcW w:w="0" w:type="auto"/>
            <w:shd w:val="clear" w:color="000000" w:fill="FFFFFF"/>
            <w:vAlign w:val="center"/>
          </w:tcPr>
          <w:p w14:paraId="5874080E">
            <w:pPr>
              <w:pStyle w:val="557"/>
            </w:pPr>
            <w:r>
              <w:t>COD</w:t>
            </w:r>
          </w:p>
        </w:tc>
        <w:tc>
          <w:tcPr>
            <w:tcW w:w="0" w:type="auto"/>
            <w:vAlign w:val="center"/>
          </w:tcPr>
          <w:p w14:paraId="7665D707">
            <w:pPr>
              <w:pStyle w:val="557"/>
            </w:pPr>
            <w:r>
              <w:rPr>
                <w:rFonts w:hint="eastAsia"/>
              </w:rPr>
              <w:t>氨氮</w:t>
            </w:r>
          </w:p>
        </w:tc>
        <w:tc>
          <w:tcPr>
            <w:tcW w:w="0" w:type="auto"/>
            <w:vAlign w:val="center"/>
          </w:tcPr>
          <w:p w14:paraId="3BF70E7F">
            <w:pPr>
              <w:pStyle w:val="557"/>
            </w:pPr>
            <w:r>
              <w:rPr>
                <w:rFonts w:hint="eastAsia"/>
              </w:rPr>
              <w:t>一般工业废物</w:t>
            </w:r>
          </w:p>
        </w:tc>
        <w:tc>
          <w:tcPr>
            <w:tcW w:w="0" w:type="auto"/>
            <w:vAlign w:val="center"/>
          </w:tcPr>
          <w:p w14:paraId="0FF3E7CB">
            <w:pPr>
              <w:pStyle w:val="557"/>
            </w:pPr>
            <w:r>
              <w:rPr>
                <w:rFonts w:hint="eastAsia"/>
              </w:rPr>
              <w:t>危险废物</w:t>
            </w:r>
          </w:p>
        </w:tc>
      </w:tr>
      <w:tr w14:paraId="700B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shd w:val="clear" w:color="000000" w:fill="FFFFFF"/>
            <w:vAlign w:val="center"/>
          </w:tcPr>
          <w:p w14:paraId="549279C7">
            <w:pPr>
              <w:pStyle w:val="557"/>
            </w:pPr>
            <w:r>
              <w:t>1</w:t>
            </w:r>
          </w:p>
        </w:tc>
        <w:tc>
          <w:tcPr>
            <w:tcW w:w="2234" w:type="dxa"/>
            <w:shd w:val="clear" w:color="000000" w:fill="FFFFFF"/>
            <w:vAlign w:val="center"/>
          </w:tcPr>
          <w:p w14:paraId="1256B7B0">
            <w:pPr>
              <w:pStyle w:val="557"/>
            </w:pPr>
            <w:r>
              <w:rPr>
                <w:rFonts w:hint="eastAsia"/>
              </w:rPr>
              <w:t>新疆路洋瑞航能源科技</w:t>
            </w:r>
          </w:p>
          <w:p w14:paraId="23D1A019">
            <w:pPr>
              <w:pStyle w:val="557"/>
            </w:pPr>
            <w:r>
              <w:rPr>
                <w:rFonts w:hint="eastAsia"/>
              </w:rPr>
              <w:t>有限公司</w:t>
            </w:r>
          </w:p>
        </w:tc>
        <w:tc>
          <w:tcPr>
            <w:tcW w:w="697" w:type="dxa"/>
            <w:shd w:val="clear" w:color="000000" w:fill="FFFFFF"/>
            <w:vAlign w:val="center"/>
          </w:tcPr>
          <w:p w14:paraId="3BF7ABA9">
            <w:pPr>
              <w:pStyle w:val="557"/>
            </w:pPr>
            <w:r>
              <w:rPr>
                <w:rFonts w:hint="eastAsia"/>
              </w:rPr>
              <w:t>在建</w:t>
            </w:r>
          </w:p>
        </w:tc>
        <w:tc>
          <w:tcPr>
            <w:tcW w:w="0" w:type="auto"/>
            <w:shd w:val="clear" w:color="000000" w:fill="FFFFFF"/>
            <w:noWrap/>
            <w:vAlign w:val="center"/>
          </w:tcPr>
          <w:p w14:paraId="27813E4C">
            <w:pPr>
              <w:pStyle w:val="557"/>
            </w:pPr>
            <w:r>
              <w:rPr>
                <w:rFonts w:hint="eastAsia"/>
              </w:rPr>
              <w:t>3.6</w:t>
            </w:r>
          </w:p>
        </w:tc>
        <w:tc>
          <w:tcPr>
            <w:tcW w:w="0" w:type="auto"/>
            <w:shd w:val="clear" w:color="000000" w:fill="FFFFFF"/>
            <w:noWrap/>
            <w:vAlign w:val="center"/>
          </w:tcPr>
          <w:p w14:paraId="243FC386">
            <w:pPr>
              <w:pStyle w:val="557"/>
            </w:pPr>
            <w:r>
              <w:rPr>
                <w:rFonts w:hint="eastAsia"/>
              </w:rPr>
              <w:t>6.44</w:t>
            </w:r>
          </w:p>
        </w:tc>
        <w:tc>
          <w:tcPr>
            <w:tcW w:w="0" w:type="auto"/>
            <w:shd w:val="clear" w:color="000000" w:fill="FFFFFF"/>
            <w:noWrap/>
            <w:vAlign w:val="center"/>
          </w:tcPr>
          <w:p w14:paraId="3D3CC452">
            <w:pPr>
              <w:pStyle w:val="557"/>
            </w:pPr>
            <w:r>
              <w:rPr>
                <w:rFonts w:hint="eastAsia"/>
              </w:rPr>
              <w:t>1.28</w:t>
            </w:r>
          </w:p>
        </w:tc>
        <w:tc>
          <w:tcPr>
            <w:tcW w:w="0" w:type="auto"/>
            <w:shd w:val="clear" w:color="000000" w:fill="FFFFFF"/>
            <w:vAlign w:val="center"/>
          </w:tcPr>
          <w:p w14:paraId="5F44530E">
            <w:pPr>
              <w:pStyle w:val="557"/>
            </w:pPr>
            <w:r>
              <w:rPr>
                <w:rFonts w:hint="eastAsia"/>
              </w:rPr>
              <w:t>41.27</w:t>
            </w:r>
          </w:p>
        </w:tc>
        <w:tc>
          <w:tcPr>
            <w:tcW w:w="0" w:type="auto"/>
            <w:shd w:val="clear" w:color="000000" w:fill="FFFFFF"/>
            <w:noWrap/>
            <w:vAlign w:val="center"/>
          </w:tcPr>
          <w:p w14:paraId="5B33350C">
            <w:pPr>
              <w:pStyle w:val="557"/>
            </w:pPr>
            <w:r>
              <w:rPr>
                <w:rFonts w:hint="eastAsia"/>
              </w:rPr>
              <w:t>5.52</w:t>
            </w:r>
          </w:p>
        </w:tc>
        <w:tc>
          <w:tcPr>
            <w:tcW w:w="0" w:type="auto"/>
            <w:shd w:val="clear" w:color="000000" w:fill="FFFFFF"/>
            <w:noWrap/>
            <w:vAlign w:val="center"/>
          </w:tcPr>
          <w:p w14:paraId="5686FBF4">
            <w:pPr>
              <w:pStyle w:val="557"/>
            </w:pPr>
            <w:r>
              <w:rPr>
                <w:rFonts w:hint="eastAsia"/>
              </w:rPr>
              <w:t>0.05</w:t>
            </w:r>
          </w:p>
        </w:tc>
        <w:tc>
          <w:tcPr>
            <w:tcW w:w="0" w:type="auto"/>
            <w:shd w:val="clear" w:color="000000" w:fill="FFFFFF"/>
            <w:vAlign w:val="center"/>
          </w:tcPr>
          <w:p w14:paraId="137C9D61">
            <w:pPr>
              <w:pStyle w:val="557"/>
            </w:pPr>
            <w:r>
              <w:rPr>
                <w:rFonts w:hint="eastAsia"/>
              </w:rPr>
              <w:t>1.7</w:t>
            </w:r>
          </w:p>
        </w:tc>
        <w:tc>
          <w:tcPr>
            <w:tcW w:w="0" w:type="auto"/>
            <w:shd w:val="clear" w:color="000000" w:fill="FFFFFF"/>
            <w:vAlign w:val="center"/>
          </w:tcPr>
          <w:p w14:paraId="2EAE4EA2">
            <w:pPr>
              <w:pStyle w:val="557"/>
            </w:pPr>
            <w:r>
              <w:rPr>
                <w:rFonts w:hint="eastAsia"/>
              </w:rPr>
              <w:t>23613.66</w:t>
            </w:r>
          </w:p>
        </w:tc>
      </w:tr>
      <w:tr w14:paraId="308C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shd w:val="clear" w:color="000000" w:fill="FFFFFF"/>
            <w:vAlign w:val="center"/>
          </w:tcPr>
          <w:p w14:paraId="7F659D8B">
            <w:pPr>
              <w:pStyle w:val="557"/>
            </w:pPr>
            <w:r>
              <w:t>2</w:t>
            </w:r>
          </w:p>
        </w:tc>
        <w:tc>
          <w:tcPr>
            <w:tcW w:w="2234" w:type="dxa"/>
            <w:shd w:val="clear" w:color="000000" w:fill="FFFFFF"/>
            <w:vAlign w:val="center"/>
          </w:tcPr>
          <w:p w14:paraId="7859D84D">
            <w:pPr>
              <w:pStyle w:val="557"/>
            </w:pPr>
            <w:r>
              <w:rPr>
                <w:rFonts w:hint="eastAsia"/>
              </w:rPr>
              <w:t>新疆中和合众新材料有限公司</w:t>
            </w:r>
          </w:p>
        </w:tc>
        <w:tc>
          <w:tcPr>
            <w:tcW w:w="697" w:type="dxa"/>
            <w:shd w:val="clear" w:color="000000" w:fill="FFFFFF"/>
            <w:vAlign w:val="center"/>
          </w:tcPr>
          <w:p w14:paraId="29CBF716">
            <w:pPr>
              <w:pStyle w:val="557"/>
            </w:pPr>
            <w:r>
              <w:rPr>
                <w:rFonts w:hint="eastAsia"/>
              </w:rPr>
              <w:t>在建</w:t>
            </w:r>
          </w:p>
        </w:tc>
        <w:tc>
          <w:tcPr>
            <w:tcW w:w="0" w:type="auto"/>
            <w:shd w:val="clear" w:color="000000" w:fill="FFFFFF"/>
            <w:noWrap/>
            <w:vAlign w:val="center"/>
          </w:tcPr>
          <w:p w14:paraId="10D2DD3D">
            <w:pPr>
              <w:pStyle w:val="557"/>
            </w:pPr>
            <w:r>
              <w:rPr>
                <w:rFonts w:hint="eastAsia"/>
              </w:rPr>
              <w:t>118.032</w:t>
            </w:r>
          </w:p>
        </w:tc>
        <w:tc>
          <w:tcPr>
            <w:tcW w:w="0" w:type="auto"/>
            <w:shd w:val="clear" w:color="000000" w:fill="FFFFFF"/>
            <w:noWrap/>
            <w:vAlign w:val="center"/>
          </w:tcPr>
          <w:p w14:paraId="047E2343">
            <w:pPr>
              <w:pStyle w:val="557"/>
            </w:pPr>
            <w:r>
              <w:rPr>
                <w:rFonts w:hint="eastAsia"/>
              </w:rPr>
              <w:t>311.342</w:t>
            </w:r>
          </w:p>
        </w:tc>
        <w:tc>
          <w:tcPr>
            <w:tcW w:w="0" w:type="auto"/>
            <w:shd w:val="clear" w:color="000000" w:fill="FFFFFF"/>
            <w:noWrap/>
            <w:vAlign w:val="center"/>
          </w:tcPr>
          <w:p w14:paraId="761B7A5B">
            <w:pPr>
              <w:pStyle w:val="557"/>
            </w:pPr>
            <w:r>
              <w:rPr>
                <w:rFonts w:hint="eastAsia"/>
              </w:rPr>
              <w:t>28.381</w:t>
            </w:r>
          </w:p>
        </w:tc>
        <w:tc>
          <w:tcPr>
            <w:tcW w:w="0" w:type="auto"/>
            <w:shd w:val="clear" w:color="000000" w:fill="FFFFFF"/>
            <w:vAlign w:val="center"/>
          </w:tcPr>
          <w:p w14:paraId="1731FE08">
            <w:pPr>
              <w:pStyle w:val="557"/>
            </w:pPr>
            <w:r>
              <w:rPr>
                <w:rFonts w:hint="eastAsia"/>
              </w:rPr>
              <w:t>36.471</w:t>
            </w:r>
          </w:p>
        </w:tc>
        <w:tc>
          <w:tcPr>
            <w:tcW w:w="0" w:type="auto"/>
            <w:shd w:val="clear" w:color="000000" w:fill="FFFFFF"/>
            <w:noWrap/>
            <w:vAlign w:val="center"/>
          </w:tcPr>
          <w:p w14:paraId="73EB2DE1">
            <w:pPr>
              <w:pStyle w:val="557"/>
            </w:pPr>
            <w:r>
              <w:rPr>
                <w:rFonts w:hint="eastAsia"/>
              </w:rPr>
              <w:t>0</w:t>
            </w:r>
          </w:p>
        </w:tc>
        <w:tc>
          <w:tcPr>
            <w:tcW w:w="0" w:type="auto"/>
            <w:shd w:val="clear" w:color="000000" w:fill="FFFFFF"/>
            <w:noWrap/>
            <w:vAlign w:val="center"/>
          </w:tcPr>
          <w:p w14:paraId="204BFAB0">
            <w:pPr>
              <w:pStyle w:val="557"/>
            </w:pPr>
            <w:r>
              <w:rPr>
                <w:rFonts w:hint="eastAsia"/>
              </w:rPr>
              <w:t>0</w:t>
            </w:r>
          </w:p>
        </w:tc>
        <w:tc>
          <w:tcPr>
            <w:tcW w:w="0" w:type="auto"/>
            <w:shd w:val="clear" w:color="000000" w:fill="FFFFFF"/>
            <w:vAlign w:val="center"/>
          </w:tcPr>
          <w:p w14:paraId="1DDD05C9">
            <w:pPr>
              <w:pStyle w:val="557"/>
            </w:pPr>
            <w:r>
              <w:rPr>
                <w:rFonts w:hint="eastAsia"/>
              </w:rPr>
              <w:t>0</w:t>
            </w:r>
          </w:p>
        </w:tc>
        <w:tc>
          <w:tcPr>
            <w:tcW w:w="0" w:type="auto"/>
            <w:shd w:val="clear" w:color="000000" w:fill="FFFFFF"/>
            <w:vAlign w:val="center"/>
          </w:tcPr>
          <w:p w14:paraId="4333AD50">
            <w:pPr>
              <w:pStyle w:val="557"/>
            </w:pPr>
            <w:r>
              <w:rPr>
                <w:rFonts w:hint="eastAsia"/>
              </w:rPr>
              <w:t>0</w:t>
            </w:r>
          </w:p>
        </w:tc>
      </w:tr>
      <w:tr w14:paraId="5976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shd w:val="clear" w:color="000000" w:fill="FFFFFF"/>
            <w:vAlign w:val="center"/>
          </w:tcPr>
          <w:p w14:paraId="1DDDDE45">
            <w:pPr>
              <w:pStyle w:val="557"/>
            </w:pPr>
            <w:r>
              <w:t>3</w:t>
            </w:r>
          </w:p>
        </w:tc>
        <w:tc>
          <w:tcPr>
            <w:tcW w:w="2234" w:type="dxa"/>
            <w:shd w:val="clear" w:color="000000" w:fill="FFFFFF"/>
            <w:vAlign w:val="center"/>
          </w:tcPr>
          <w:p w14:paraId="63A4AFA4">
            <w:pPr>
              <w:pStyle w:val="557"/>
            </w:pPr>
            <w:r>
              <w:rPr>
                <w:rFonts w:hint="eastAsia"/>
              </w:rPr>
              <w:t>新疆蓝洁环保科技有限公司</w:t>
            </w:r>
          </w:p>
        </w:tc>
        <w:tc>
          <w:tcPr>
            <w:tcW w:w="697" w:type="dxa"/>
            <w:shd w:val="clear" w:color="000000" w:fill="FFFFFF"/>
            <w:vAlign w:val="center"/>
          </w:tcPr>
          <w:p w14:paraId="3FF317B8">
            <w:pPr>
              <w:pStyle w:val="557"/>
            </w:pPr>
            <w:r>
              <w:rPr>
                <w:rFonts w:hint="eastAsia"/>
              </w:rPr>
              <w:t>在建</w:t>
            </w:r>
          </w:p>
        </w:tc>
        <w:tc>
          <w:tcPr>
            <w:tcW w:w="0" w:type="auto"/>
            <w:shd w:val="clear" w:color="000000" w:fill="FFFFFF"/>
            <w:noWrap/>
            <w:vAlign w:val="center"/>
          </w:tcPr>
          <w:p w14:paraId="6BE1D252">
            <w:pPr>
              <w:pStyle w:val="557"/>
            </w:pPr>
            <w:r>
              <w:rPr>
                <w:rFonts w:hint="eastAsia"/>
              </w:rPr>
              <w:t>2.3</w:t>
            </w:r>
          </w:p>
        </w:tc>
        <w:tc>
          <w:tcPr>
            <w:tcW w:w="0" w:type="auto"/>
            <w:shd w:val="clear" w:color="000000" w:fill="FFFFFF"/>
            <w:noWrap/>
            <w:vAlign w:val="center"/>
          </w:tcPr>
          <w:p w14:paraId="514E83E2">
            <w:pPr>
              <w:pStyle w:val="557"/>
            </w:pPr>
            <w:r>
              <w:rPr>
                <w:rFonts w:hint="eastAsia"/>
              </w:rPr>
              <w:t>7.5</w:t>
            </w:r>
          </w:p>
        </w:tc>
        <w:tc>
          <w:tcPr>
            <w:tcW w:w="0" w:type="auto"/>
            <w:shd w:val="clear" w:color="000000" w:fill="FFFFFF"/>
            <w:noWrap/>
            <w:vAlign w:val="center"/>
          </w:tcPr>
          <w:p w14:paraId="4C2644C0">
            <w:pPr>
              <w:pStyle w:val="557"/>
            </w:pPr>
            <w:r>
              <w:rPr>
                <w:rFonts w:hint="eastAsia"/>
              </w:rPr>
              <w:t>0.845</w:t>
            </w:r>
          </w:p>
        </w:tc>
        <w:tc>
          <w:tcPr>
            <w:tcW w:w="0" w:type="auto"/>
            <w:shd w:val="clear" w:color="000000" w:fill="FFFFFF"/>
            <w:vAlign w:val="center"/>
          </w:tcPr>
          <w:p w14:paraId="732856CF">
            <w:pPr>
              <w:pStyle w:val="557"/>
            </w:pPr>
            <w:r>
              <w:rPr>
                <w:rFonts w:hint="eastAsia"/>
              </w:rPr>
              <w:t>10.99</w:t>
            </w:r>
          </w:p>
        </w:tc>
        <w:tc>
          <w:tcPr>
            <w:tcW w:w="0" w:type="auto"/>
            <w:shd w:val="clear" w:color="000000" w:fill="FFFFFF"/>
            <w:noWrap/>
            <w:vAlign w:val="center"/>
          </w:tcPr>
          <w:p w14:paraId="6D9733F7">
            <w:pPr>
              <w:pStyle w:val="557"/>
            </w:pPr>
            <w:r>
              <w:rPr>
                <w:rFonts w:hint="eastAsia"/>
              </w:rPr>
              <w:t>4.3</w:t>
            </w:r>
          </w:p>
        </w:tc>
        <w:tc>
          <w:tcPr>
            <w:tcW w:w="0" w:type="auto"/>
            <w:shd w:val="clear" w:color="000000" w:fill="FFFFFF"/>
            <w:noWrap/>
            <w:vAlign w:val="center"/>
          </w:tcPr>
          <w:p w14:paraId="5CB172CE">
            <w:pPr>
              <w:pStyle w:val="557"/>
            </w:pPr>
            <w:r>
              <w:rPr>
                <w:rFonts w:hint="eastAsia"/>
              </w:rPr>
              <w:t>0.08</w:t>
            </w:r>
          </w:p>
        </w:tc>
        <w:tc>
          <w:tcPr>
            <w:tcW w:w="0" w:type="auto"/>
            <w:shd w:val="clear" w:color="000000" w:fill="FFFFFF"/>
            <w:vAlign w:val="center"/>
          </w:tcPr>
          <w:p w14:paraId="1E8E2E37">
            <w:pPr>
              <w:pStyle w:val="557"/>
            </w:pPr>
            <w:r>
              <w:rPr>
                <w:rFonts w:hint="eastAsia"/>
              </w:rPr>
              <w:t>0</w:t>
            </w:r>
          </w:p>
        </w:tc>
        <w:tc>
          <w:tcPr>
            <w:tcW w:w="0" w:type="auto"/>
            <w:shd w:val="clear" w:color="000000" w:fill="FFFFFF"/>
            <w:vAlign w:val="center"/>
          </w:tcPr>
          <w:p w14:paraId="4F8FC49A">
            <w:pPr>
              <w:pStyle w:val="557"/>
            </w:pPr>
            <w:r>
              <w:rPr>
                <w:rFonts w:hint="eastAsia"/>
              </w:rPr>
              <w:t>0</w:t>
            </w:r>
          </w:p>
        </w:tc>
      </w:tr>
      <w:tr w14:paraId="0AC6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shd w:val="clear" w:color="000000" w:fill="FFFFFF"/>
            <w:vAlign w:val="center"/>
          </w:tcPr>
          <w:p w14:paraId="268A5035">
            <w:pPr>
              <w:pStyle w:val="557"/>
            </w:pPr>
            <w:r>
              <w:t>4</w:t>
            </w:r>
          </w:p>
        </w:tc>
        <w:tc>
          <w:tcPr>
            <w:tcW w:w="2234" w:type="dxa"/>
            <w:shd w:val="clear" w:color="000000" w:fill="FFFFFF"/>
            <w:vAlign w:val="center"/>
          </w:tcPr>
          <w:p w14:paraId="2333C7C3">
            <w:pPr>
              <w:pStyle w:val="557"/>
            </w:pPr>
            <w:r>
              <w:rPr>
                <w:rFonts w:hint="eastAsia"/>
              </w:rPr>
              <w:t>哈密中达生物科技有限公司</w:t>
            </w:r>
          </w:p>
        </w:tc>
        <w:tc>
          <w:tcPr>
            <w:tcW w:w="697" w:type="dxa"/>
            <w:shd w:val="clear" w:color="000000" w:fill="FFFFFF"/>
            <w:vAlign w:val="center"/>
          </w:tcPr>
          <w:p w14:paraId="14835AC2">
            <w:pPr>
              <w:pStyle w:val="557"/>
            </w:pPr>
            <w:r>
              <w:rPr>
                <w:rFonts w:hint="eastAsia"/>
              </w:rPr>
              <w:t>已建</w:t>
            </w:r>
          </w:p>
        </w:tc>
        <w:tc>
          <w:tcPr>
            <w:tcW w:w="0" w:type="auto"/>
            <w:shd w:val="clear" w:color="000000" w:fill="FFFFFF"/>
            <w:noWrap/>
            <w:vAlign w:val="center"/>
          </w:tcPr>
          <w:p w14:paraId="0E3D92EE">
            <w:pPr>
              <w:pStyle w:val="557"/>
            </w:pPr>
            <w:r>
              <w:rPr>
                <w:rFonts w:hint="eastAsia"/>
              </w:rPr>
              <w:t>1.492</w:t>
            </w:r>
          </w:p>
        </w:tc>
        <w:tc>
          <w:tcPr>
            <w:tcW w:w="0" w:type="auto"/>
            <w:shd w:val="clear" w:color="000000" w:fill="FFFFFF"/>
            <w:noWrap/>
            <w:vAlign w:val="center"/>
          </w:tcPr>
          <w:p w14:paraId="6B3A6EC1">
            <w:pPr>
              <w:pStyle w:val="557"/>
            </w:pPr>
            <w:r>
              <w:rPr>
                <w:rFonts w:hint="eastAsia"/>
              </w:rPr>
              <w:t>6.294</w:t>
            </w:r>
          </w:p>
        </w:tc>
        <w:tc>
          <w:tcPr>
            <w:tcW w:w="0" w:type="auto"/>
            <w:noWrap/>
            <w:vAlign w:val="center"/>
          </w:tcPr>
          <w:p w14:paraId="3BB7C817">
            <w:pPr>
              <w:pStyle w:val="557"/>
            </w:pPr>
            <w:r>
              <w:rPr>
                <w:rFonts w:hint="eastAsia"/>
              </w:rPr>
              <w:t>0.642</w:t>
            </w:r>
          </w:p>
        </w:tc>
        <w:tc>
          <w:tcPr>
            <w:tcW w:w="0" w:type="auto"/>
            <w:vAlign w:val="center"/>
          </w:tcPr>
          <w:p w14:paraId="1483FC71">
            <w:pPr>
              <w:pStyle w:val="557"/>
            </w:pPr>
            <w:r>
              <w:rPr>
                <w:rFonts w:hint="eastAsia"/>
              </w:rPr>
              <w:t>1.5762</w:t>
            </w:r>
          </w:p>
        </w:tc>
        <w:tc>
          <w:tcPr>
            <w:tcW w:w="0" w:type="auto"/>
            <w:noWrap/>
            <w:vAlign w:val="center"/>
          </w:tcPr>
          <w:p w14:paraId="2678259D">
            <w:pPr>
              <w:pStyle w:val="557"/>
            </w:pPr>
            <w:r>
              <w:rPr>
                <w:rFonts w:hint="eastAsia"/>
              </w:rPr>
              <w:t>6.7</w:t>
            </w:r>
          </w:p>
        </w:tc>
        <w:tc>
          <w:tcPr>
            <w:tcW w:w="0" w:type="auto"/>
            <w:shd w:val="clear" w:color="000000" w:fill="FFFFFF"/>
            <w:noWrap/>
            <w:vAlign w:val="center"/>
          </w:tcPr>
          <w:p w14:paraId="6A47B21A">
            <w:pPr>
              <w:pStyle w:val="557"/>
            </w:pPr>
            <w:r>
              <w:rPr>
                <w:rFonts w:hint="eastAsia"/>
              </w:rPr>
              <w:t>0.21</w:t>
            </w:r>
          </w:p>
        </w:tc>
        <w:tc>
          <w:tcPr>
            <w:tcW w:w="0" w:type="auto"/>
            <w:shd w:val="clear" w:color="000000" w:fill="FFFFFF"/>
            <w:vAlign w:val="center"/>
          </w:tcPr>
          <w:p w14:paraId="5B8886E1">
            <w:pPr>
              <w:pStyle w:val="557"/>
            </w:pPr>
            <w:r>
              <w:rPr>
                <w:rFonts w:hint="eastAsia"/>
              </w:rPr>
              <w:t>2</w:t>
            </w:r>
          </w:p>
        </w:tc>
        <w:tc>
          <w:tcPr>
            <w:tcW w:w="0" w:type="auto"/>
            <w:shd w:val="clear" w:color="000000" w:fill="FFFFFF"/>
            <w:vAlign w:val="center"/>
          </w:tcPr>
          <w:p w14:paraId="1FAB541C">
            <w:pPr>
              <w:pStyle w:val="557"/>
            </w:pPr>
            <w:r>
              <w:rPr>
                <w:rFonts w:hint="eastAsia"/>
              </w:rPr>
              <w:t>443.01</w:t>
            </w:r>
          </w:p>
        </w:tc>
      </w:tr>
    </w:tbl>
    <w:p w14:paraId="7C03121E">
      <w:pPr>
        <w:pStyle w:val="645"/>
        <w:rPr>
          <w:rFonts w:hint="eastAsia"/>
          <w:color w:val="FF0000"/>
        </w:rPr>
      </w:pPr>
    </w:p>
    <w:p w14:paraId="1CDAF10D">
      <w:pPr>
        <w:pStyle w:val="3"/>
        <w:rPr>
          <w:rFonts w:hint="eastAsia"/>
        </w:rPr>
      </w:pPr>
      <w:bookmarkStart w:id="281" w:name="_Toc32124"/>
      <w:r>
        <w:rPr>
          <w:rFonts w:hint="eastAsia"/>
        </w:rPr>
        <w:t>环境质量现状调查与评价</w:t>
      </w:r>
      <w:bookmarkEnd w:id="281"/>
    </w:p>
    <w:p w14:paraId="165E45C9">
      <w:pPr>
        <w:pStyle w:val="97"/>
        <w:rPr>
          <w:rFonts w:hint="eastAsia"/>
        </w:rPr>
      </w:pPr>
      <w:r>
        <w:t>大气环境质量现状调查与评价</w:t>
      </w:r>
    </w:p>
    <w:p w14:paraId="39A7DD21">
      <w:pPr>
        <w:pStyle w:val="98"/>
        <w:rPr>
          <w:rFonts w:hint="eastAsia"/>
        </w:rPr>
      </w:pPr>
      <w:r>
        <w:rPr>
          <w:rFonts w:hint="eastAsia"/>
        </w:rPr>
        <w:t>数据来源</w:t>
      </w:r>
    </w:p>
    <w:p w14:paraId="77DAFBCC">
      <w:pPr>
        <w:pStyle w:val="281"/>
        <w:ind w:firstLine="480"/>
        <w:rPr>
          <w:rFonts w:hint="eastAsia" w:ascii="宋体" w:hAnsi="宋体"/>
        </w:rPr>
      </w:pPr>
      <w:r>
        <w:rPr>
          <w:rFonts w:hint="eastAsia" w:ascii="宋体" w:hAnsi="宋体"/>
        </w:rPr>
        <w:t>根据《环境影响评价技术导则大气环境》（</w:t>
      </w:r>
      <w:r>
        <w:t>H.J 2.2-2018</w:t>
      </w:r>
      <w:r>
        <w:rPr>
          <w:rFonts w:hint="eastAsia" w:ascii="宋体" w:hAnsi="宋体"/>
        </w:rPr>
        <w:t>），对于基本污染物环境质量现状数据，项目所在区域达标判定优先采用国家或地方生态环境主管部门公开发布的评价基准年环境质量公告或环境质量报告中的数据或结论。</w:t>
      </w:r>
    </w:p>
    <w:p w14:paraId="26FAC5E2">
      <w:pPr>
        <w:pStyle w:val="281"/>
        <w:ind w:firstLine="480"/>
        <w:rPr>
          <w:szCs w:val="24"/>
        </w:rPr>
      </w:pPr>
      <w:r>
        <w:rPr>
          <w:color w:val="000000" w:themeColor="text1"/>
          <w14:textFill>
            <w14:solidFill>
              <w14:schemeClr w14:val="tx1"/>
            </w14:solidFill>
          </w14:textFill>
        </w:rPr>
        <w:t>选取距离项目区</w:t>
      </w:r>
      <w:r>
        <w:rPr>
          <w:rFonts w:hint="eastAsia"/>
          <w:color w:val="000000" w:themeColor="text1"/>
          <w14:textFill>
            <w14:solidFill>
              <w14:schemeClr w14:val="tx1"/>
            </w14:solidFill>
          </w14:textFill>
        </w:rPr>
        <w:t>东北</w:t>
      </w:r>
      <w:r>
        <w:rPr>
          <w:color w:val="000000" w:themeColor="text1"/>
          <w14:textFill>
            <w14:solidFill>
              <w14:schemeClr w14:val="tx1"/>
            </w14:solidFill>
          </w14:textFill>
        </w:rPr>
        <w:t>侧约</w:t>
      </w:r>
      <w:r>
        <w:rPr>
          <w:rFonts w:hint="eastAsia"/>
          <w:color w:val="000000" w:themeColor="text1"/>
          <w14:textFill>
            <w14:solidFill>
              <w14:schemeClr w14:val="tx1"/>
            </w14:solidFill>
          </w14:textFill>
        </w:rPr>
        <w:t>15.4</w:t>
      </w:r>
      <w:r>
        <w:rPr>
          <w:color w:val="000000" w:themeColor="text1"/>
          <w14:textFill>
            <w14:solidFill>
              <w14:schemeClr w14:val="tx1"/>
            </w14:solidFill>
          </w14:textFill>
        </w:rPr>
        <w:t>km处的国控监测站点—</w:t>
      </w:r>
      <w:r>
        <w:rPr>
          <w:rFonts w:hint="eastAsia"/>
          <w:color w:val="000000" w:themeColor="text1"/>
          <w14:textFill>
            <w14:solidFill>
              <w14:schemeClr w14:val="tx1"/>
            </w14:solidFill>
          </w14:textFill>
        </w:rPr>
        <w:t>地区</w:t>
      </w:r>
      <w:r>
        <w:rPr>
          <w:color w:val="000000" w:themeColor="text1"/>
          <w14:textFill>
            <w14:solidFill>
              <w14:schemeClr w14:val="tx1"/>
            </w14:solidFill>
          </w14:textFill>
        </w:rPr>
        <w:t>监测站（站点编号</w:t>
      </w:r>
      <w:r>
        <w:rPr>
          <w:rFonts w:hint="eastAsia"/>
          <w:color w:val="000000" w:themeColor="text1"/>
          <w14:textFill>
            <w14:solidFill>
              <w14:schemeClr w14:val="tx1"/>
            </w14:solidFill>
          </w14:textFill>
        </w:rPr>
        <w:t>2688A</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年连续1年的监测数据，作为本项目环境空气现状评价基本污染物SO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的数据来源，进行项目所在区域环境空气达标判定和区域各污染物的环境质量现状评价</w:t>
      </w:r>
      <w:r>
        <w:rPr>
          <w:rFonts w:hint="eastAsia" w:ascii="宋体" w:hAnsi="宋体"/>
          <w:szCs w:val="24"/>
        </w:rPr>
        <w:t>。</w:t>
      </w:r>
    </w:p>
    <w:p w14:paraId="7D8643D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其他污染物氨、硫化氢、非甲烷总烃、甲醇、氰化氢、酚类化合物及臭气浓度、硫酸雾共</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项污染物采用现场检测的方式，监测单位为新疆齐新环境服务有限公司；监测时间</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日至</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日至</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日，</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日至</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日，期间连续监测</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w:t>
      </w:r>
    </w:p>
    <w:p w14:paraId="22E5A005">
      <w:pPr>
        <w:pStyle w:val="98"/>
        <w:rPr>
          <w:rFonts w:hint="eastAsia"/>
        </w:rPr>
      </w:pPr>
      <w:r>
        <w:t>基本污染物</w:t>
      </w:r>
    </w:p>
    <w:p w14:paraId="5E389EAE">
      <w:pPr>
        <w:pStyle w:val="281"/>
        <w:ind w:firstLine="480"/>
      </w:pPr>
      <w:r>
        <w:rPr>
          <w:rFonts w:hint="eastAsia"/>
        </w:rPr>
        <w:t>（</w:t>
      </w:r>
      <w:r>
        <w:t>1</w:t>
      </w:r>
      <w:r>
        <w:rPr>
          <w:rFonts w:hint="eastAsia"/>
        </w:rPr>
        <w:t>）数据来源</w:t>
      </w:r>
    </w:p>
    <w:p w14:paraId="3D2C6243">
      <w:pPr>
        <w:pStyle w:val="281"/>
        <w:ind w:firstLine="480"/>
      </w:pPr>
      <w:r>
        <w:t>根据《环境影响评价技术导则-大气环境》（H.J2.2-2018）</w:t>
      </w:r>
      <w:r>
        <w:rPr>
          <w:rFonts w:hint="eastAsia"/>
        </w:rPr>
        <w:t>中6.2.1.2：采用评价范围内国家或地方环境空气质量监测网中评价基准年连续</w:t>
      </w:r>
      <w:r>
        <w:t>1年的监测数据，或采用生</w:t>
      </w:r>
      <w:r>
        <w:rPr>
          <w:rFonts w:hint="eastAsia"/>
        </w:rPr>
        <w:t>态环境主管部门公开发布的环境空气质量现状数据。本次评价</w:t>
      </w:r>
      <w:r>
        <w:t>选择距离项目最近的</w:t>
      </w:r>
      <w:r>
        <w:rPr>
          <w:rFonts w:hint="eastAsia"/>
        </w:rPr>
        <w:t>省控监测站（哈密地区监测站）2023</w:t>
      </w:r>
      <w:r>
        <w:t>年的监测数据，作为本项目环境空气现状评价基本污染物SO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的数据来源。</w:t>
      </w:r>
    </w:p>
    <w:p w14:paraId="6AC27124">
      <w:pPr>
        <w:pStyle w:val="281"/>
        <w:ind w:firstLine="480"/>
      </w:pPr>
      <w:r>
        <w:rPr>
          <w:rFonts w:hint="eastAsia"/>
        </w:rPr>
        <w:t>（2）评价标准</w:t>
      </w:r>
    </w:p>
    <w:p w14:paraId="407B52E3">
      <w:pPr>
        <w:pStyle w:val="281"/>
        <w:ind w:firstLine="480"/>
      </w:pPr>
      <w:r>
        <w:t>基本污染物SO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执行《环境空气质量标准》（GB3095-2012）及修改单中二级浓度限值，详见表</w:t>
      </w:r>
      <w:r>
        <w:rPr>
          <w:rFonts w:hint="eastAsia"/>
        </w:rPr>
        <w:t>4</w:t>
      </w:r>
      <w:r>
        <w:t>.3</w:t>
      </w:r>
      <w:r>
        <w:rPr>
          <w:rFonts w:hint="eastAsia"/>
        </w:rPr>
        <w:t>.1-1</w:t>
      </w:r>
      <w:r>
        <w:t>。</w:t>
      </w:r>
    </w:p>
    <w:p w14:paraId="56279C04">
      <w:pPr>
        <w:pStyle w:val="645"/>
        <w:rPr>
          <w:rFonts w:hint="eastAsia"/>
        </w:rPr>
      </w:pPr>
      <w:r>
        <w:t>表</w:t>
      </w:r>
      <w:r>
        <w:rPr>
          <w:rFonts w:hint="eastAsia"/>
        </w:rPr>
        <w:t>4</w:t>
      </w:r>
      <w:r>
        <w:t>.3</w:t>
      </w:r>
      <w:r>
        <w:rPr>
          <w:rFonts w:hint="eastAsia"/>
        </w:rPr>
        <w:t>.1</w:t>
      </w:r>
      <w:r>
        <w:t>-</w:t>
      </w:r>
      <w:r>
        <w:rPr>
          <w:rFonts w:hint="eastAsia"/>
        </w:rPr>
        <w:t xml:space="preserve">1  </w:t>
      </w:r>
      <w:r>
        <w:t xml:space="preserve">  《环境空气质量标准》（GB3095-2012）</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376"/>
        <w:gridCol w:w="4119"/>
      </w:tblGrid>
      <w:tr w14:paraId="43D7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Align w:val="center"/>
          </w:tcPr>
          <w:p w14:paraId="48991F38">
            <w:pPr>
              <w:pStyle w:val="557"/>
            </w:pPr>
            <w:r>
              <w:t>监测项目</w:t>
            </w:r>
          </w:p>
        </w:tc>
        <w:tc>
          <w:tcPr>
            <w:tcW w:w="6495" w:type="dxa"/>
            <w:gridSpan w:val="2"/>
            <w:vAlign w:val="center"/>
          </w:tcPr>
          <w:p w14:paraId="354F720C">
            <w:pPr>
              <w:pStyle w:val="557"/>
            </w:pPr>
            <w:r>
              <w:t>二级标准浓度限值(µg/Nm</w:t>
            </w:r>
            <w:r>
              <w:rPr>
                <w:vertAlign w:val="superscript"/>
              </w:rPr>
              <w:t>3</w:t>
            </w:r>
            <w:r>
              <w:t>)</w:t>
            </w:r>
          </w:p>
        </w:tc>
      </w:tr>
      <w:tr w14:paraId="3716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2D221FDD">
            <w:pPr>
              <w:pStyle w:val="557"/>
            </w:pPr>
            <w:r>
              <w:t>SO</w:t>
            </w:r>
            <w:r>
              <w:rPr>
                <w:vertAlign w:val="subscript"/>
              </w:rPr>
              <w:t>2</w:t>
            </w:r>
          </w:p>
        </w:tc>
        <w:tc>
          <w:tcPr>
            <w:tcW w:w="2376" w:type="dxa"/>
            <w:vAlign w:val="center"/>
          </w:tcPr>
          <w:p w14:paraId="112D3090">
            <w:pPr>
              <w:pStyle w:val="557"/>
            </w:pPr>
            <w:r>
              <w:t>年平均</w:t>
            </w:r>
          </w:p>
        </w:tc>
        <w:tc>
          <w:tcPr>
            <w:tcW w:w="4119" w:type="dxa"/>
            <w:vAlign w:val="center"/>
          </w:tcPr>
          <w:p w14:paraId="0DACBE89">
            <w:pPr>
              <w:pStyle w:val="557"/>
            </w:pPr>
            <w:r>
              <w:rPr>
                <w:rFonts w:hint="eastAsia"/>
              </w:rPr>
              <w:t>60</w:t>
            </w:r>
          </w:p>
        </w:tc>
      </w:tr>
      <w:tr w14:paraId="067F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6C9836A2">
            <w:pPr>
              <w:pStyle w:val="557"/>
            </w:pPr>
          </w:p>
        </w:tc>
        <w:tc>
          <w:tcPr>
            <w:tcW w:w="2376" w:type="dxa"/>
            <w:vAlign w:val="center"/>
          </w:tcPr>
          <w:p w14:paraId="2674D4CC">
            <w:pPr>
              <w:pStyle w:val="557"/>
            </w:pPr>
            <w:r>
              <w:rPr>
                <w:rFonts w:hint="eastAsia"/>
              </w:rPr>
              <w:t>24小时</w:t>
            </w:r>
            <w:r>
              <w:t>平均</w:t>
            </w:r>
          </w:p>
        </w:tc>
        <w:tc>
          <w:tcPr>
            <w:tcW w:w="4119" w:type="dxa"/>
            <w:vAlign w:val="center"/>
          </w:tcPr>
          <w:p w14:paraId="6B1457F8">
            <w:pPr>
              <w:pStyle w:val="557"/>
            </w:pPr>
            <w:r>
              <w:rPr>
                <w:rFonts w:hint="eastAsia"/>
              </w:rPr>
              <w:t>150</w:t>
            </w:r>
          </w:p>
        </w:tc>
      </w:tr>
      <w:tr w14:paraId="5272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6CCF7CCD">
            <w:pPr>
              <w:pStyle w:val="557"/>
            </w:pPr>
          </w:p>
        </w:tc>
        <w:tc>
          <w:tcPr>
            <w:tcW w:w="2376" w:type="dxa"/>
            <w:vAlign w:val="center"/>
          </w:tcPr>
          <w:p w14:paraId="6EF3C233">
            <w:pPr>
              <w:pStyle w:val="557"/>
            </w:pPr>
            <w:r>
              <w:rPr>
                <w:rFonts w:hint="eastAsia"/>
              </w:rPr>
              <w:t>1小时平均</w:t>
            </w:r>
          </w:p>
        </w:tc>
        <w:tc>
          <w:tcPr>
            <w:tcW w:w="4119" w:type="dxa"/>
            <w:vAlign w:val="center"/>
          </w:tcPr>
          <w:p w14:paraId="186E16F1">
            <w:pPr>
              <w:pStyle w:val="557"/>
            </w:pPr>
            <w:r>
              <w:rPr>
                <w:rFonts w:hint="eastAsia"/>
              </w:rPr>
              <w:t>500</w:t>
            </w:r>
          </w:p>
        </w:tc>
      </w:tr>
      <w:tr w14:paraId="550F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18E797F1">
            <w:pPr>
              <w:pStyle w:val="557"/>
            </w:pPr>
            <w:r>
              <w:t>NO</w:t>
            </w:r>
            <w:r>
              <w:rPr>
                <w:vertAlign w:val="subscript"/>
              </w:rPr>
              <w:t>2</w:t>
            </w:r>
          </w:p>
        </w:tc>
        <w:tc>
          <w:tcPr>
            <w:tcW w:w="2376" w:type="dxa"/>
            <w:vAlign w:val="center"/>
          </w:tcPr>
          <w:p w14:paraId="07BCC20F">
            <w:pPr>
              <w:pStyle w:val="557"/>
            </w:pPr>
            <w:r>
              <w:t>年平均</w:t>
            </w:r>
          </w:p>
        </w:tc>
        <w:tc>
          <w:tcPr>
            <w:tcW w:w="4119" w:type="dxa"/>
            <w:vAlign w:val="center"/>
          </w:tcPr>
          <w:p w14:paraId="6F6D7431">
            <w:pPr>
              <w:pStyle w:val="557"/>
            </w:pPr>
            <w:r>
              <w:t>40</w:t>
            </w:r>
          </w:p>
        </w:tc>
      </w:tr>
      <w:tr w14:paraId="09C9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4AAB2B6D">
            <w:pPr>
              <w:pStyle w:val="557"/>
            </w:pPr>
          </w:p>
        </w:tc>
        <w:tc>
          <w:tcPr>
            <w:tcW w:w="2376" w:type="dxa"/>
            <w:vAlign w:val="center"/>
          </w:tcPr>
          <w:p w14:paraId="23ADC7C5">
            <w:pPr>
              <w:pStyle w:val="557"/>
            </w:pPr>
            <w:r>
              <w:rPr>
                <w:rFonts w:hint="eastAsia"/>
              </w:rPr>
              <w:t>24小时</w:t>
            </w:r>
            <w:r>
              <w:t>平均</w:t>
            </w:r>
          </w:p>
        </w:tc>
        <w:tc>
          <w:tcPr>
            <w:tcW w:w="4119" w:type="dxa"/>
            <w:vAlign w:val="center"/>
          </w:tcPr>
          <w:p w14:paraId="5CD59BDE">
            <w:pPr>
              <w:pStyle w:val="557"/>
            </w:pPr>
            <w:r>
              <w:t>80</w:t>
            </w:r>
          </w:p>
        </w:tc>
      </w:tr>
      <w:tr w14:paraId="1580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12A1E1BF">
            <w:pPr>
              <w:pStyle w:val="557"/>
            </w:pPr>
          </w:p>
        </w:tc>
        <w:tc>
          <w:tcPr>
            <w:tcW w:w="2376" w:type="dxa"/>
            <w:vAlign w:val="center"/>
          </w:tcPr>
          <w:p w14:paraId="675E084B">
            <w:pPr>
              <w:pStyle w:val="557"/>
            </w:pPr>
            <w:r>
              <w:rPr>
                <w:rFonts w:hint="eastAsia"/>
              </w:rPr>
              <w:t>1小时平均</w:t>
            </w:r>
          </w:p>
        </w:tc>
        <w:tc>
          <w:tcPr>
            <w:tcW w:w="4119" w:type="dxa"/>
            <w:vAlign w:val="center"/>
          </w:tcPr>
          <w:p w14:paraId="1D711005">
            <w:pPr>
              <w:pStyle w:val="557"/>
            </w:pPr>
            <w:r>
              <w:rPr>
                <w:rFonts w:hint="eastAsia"/>
              </w:rPr>
              <w:t>200</w:t>
            </w:r>
          </w:p>
        </w:tc>
      </w:tr>
      <w:tr w14:paraId="7B8D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79738E6F">
            <w:pPr>
              <w:pStyle w:val="557"/>
            </w:pPr>
            <w:r>
              <w:t>CO</w:t>
            </w:r>
          </w:p>
        </w:tc>
        <w:tc>
          <w:tcPr>
            <w:tcW w:w="2376" w:type="dxa"/>
            <w:vAlign w:val="center"/>
          </w:tcPr>
          <w:p w14:paraId="612C34DA">
            <w:pPr>
              <w:pStyle w:val="557"/>
            </w:pPr>
            <w:r>
              <w:rPr>
                <w:rFonts w:hint="eastAsia"/>
              </w:rPr>
              <w:t>24小时平均</w:t>
            </w:r>
          </w:p>
        </w:tc>
        <w:tc>
          <w:tcPr>
            <w:tcW w:w="4119" w:type="dxa"/>
            <w:vAlign w:val="center"/>
          </w:tcPr>
          <w:p w14:paraId="77F48B33">
            <w:pPr>
              <w:pStyle w:val="557"/>
            </w:pPr>
            <w:r>
              <w:t>4mg/Nm</w:t>
            </w:r>
            <w:r>
              <w:rPr>
                <w:vertAlign w:val="superscript"/>
              </w:rPr>
              <w:t>3</w:t>
            </w:r>
          </w:p>
        </w:tc>
      </w:tr>
      <w:tr w14:paraId="7FEA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6E6A483B">
            <w:pPr>
              <w:pStyle w:val="557"/>
            </w:pPr>
          </w:p>
        </w:tc>
        <w:tc>
          <w:tcPr>
            <w:tcW w:w="2376" w:type="dxa"/>
            <w:vAlign w:val="center"/>
          </w:tcPr>
          <w:p w14:paraId="7E61ED0D">
            <w:pPr>
              <w:pStyle w:val="557"/>
            </w:pPr>
            <w:r>
              <w:rPr>
                <w:rFonts w:hint="eastAsia"/>
              </w:rPr>
              <w:t>1小时平均</w:t>
            </w:r>
          </w:p>
        </w:tc>
        <w:tc>
          <w:tcPr>
            <w:tcW w:w="4119" w:type="dxa"/>
            <w:vAlign w:val="center"/>
          </w:tcPr>
          <w:p w14:paraId="0DD0020A">
            <w:pPr>
              <w:pStyle w:val="557"/>
            </w:pPr>
            <w:r>
              <w:rPr>
                <w:rFonts w:hint="eastAsia"/>
              </w:rPr>
              <w:t>10</w:t>
            </w:r>
            <w:r>
              <w:t>mg/Nm</w:t>
            </w:r>
            <w:r>
              <w:rPr>
                <w:vertAlign w:val="superscript"/>
              </w:rPr>
              <w:t>3</w:t>
            </w:r>
          </w:p>
        </w:tc>
      </w:tr>
      <w:tr w14:paraId="4645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71832942">
            <w:pPr>
              <w:pStyle w:val="557"/>
            </w:pPr>
            <w:r>
              <w:t>O</w:t>
            </w:r>
            <w:r>
              <w:rPr>
                <w:vertAlign w:val="subscript"/>
              </w:rPr>
              <w:t>3</w:t>
            </w:r>
          </w:p>
        </w:tc>
        <w:tc>
          <w:tcPr>
            <w:tcW w:w="2376" w:type="dxa"/>
            <w:vAlign w:val="center"/>
          </w:tcPr>
          <w:p w14:paraId="4FD2AE81">
            <w:pPr>
              <w:pStyle w:val="557"/>
            </w:pPr>
            <w:r>
              <w:t>日</w:t>
            </w:r>
            <w:r>
              <w:rPr>
                <w:rFonts w:hint="eastAsia"/>
              </w:rPr>
              <w:t>最大8小时</w:t>
            </w:r>
            <w:r>
              <w:t>平均</w:t>
            </w:r>
          </w:p>
        </w:tc>
        <w:tc>
          <w:tcPr>
            <w:tcW w:w="4119" w:type="dxa"/>
            <w:vAlign w:val="center"/>
          </w:tcPr>
          <w:p w14:paraId="607D697F">
            <w:pPr>
              <w:pStyle w:val="557"/>
            </w:pPr>
            <w:r>
              <w:t>160</w:t>
            </w:r>
          </w:p>
        </w:tc>
      </w:tr>
      <w:tr w14:paraId="074F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6387FB34">
            <w:pPr>
              <w:pStyle w:val="557"/>
            </w:pPr>
          </w:p>
        </w:tc>
        <w:tc>
          <w:tcPr>
            <w:tcW w:w="2376" w:type="dxa"/>
            <w:vAlign w:val="center"/>
          </w:tcPr>
          <w:p w14:paraId="72BCE017">
            <w:pPr>
              <w:pStyle w:val="557"/>
            </w:pPr>
            <w:r>
              <w:rPr>
                <w:rFonts w:hint="eastAsia"/>
              </w:rPr>
              <w:t>1小时平均</w:t>
            </w:r>
          </w:p>
        </w:tc>
        <w:tc>
          <w:tcPr>
            <w:tcW w:w="4119" w:type="dxa"/>
            <w:vAlign w:val="center"/>
          </w:tcPr>
          <w:p w14:paraId="52EDC944">
            <w:pPr>
              <w:pStyle w:val="557"/>
            </w:pPr>
            <w:r>
              <w:rPr>
                <w:rFonts w:hint="eastAsia"/>
              </w:rPr>
              <w:t>200</w:t>
            </w:r>
          </w:p>
        </w:tc>
      </w:tr>
      <w:tr w14:paraId="2B73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009B0795">
            <w:pPr>
              <w:pStyle w:val="557"/>
            </w:pPr>
            <w:r>
              <w:t>PM</w:t>
            </w:r>
            <w:r>
              <w:rPr>
                <w:vertAlign w:val="subscript"/>
              </w:rPr>
              <w:t>2.5</w:t>
            </w:r>
          </w:p>
        </w:tc>
        <w:tc>
          <w:tcPr>
            <w:tcW w:w="2376" w:type="dxa"/>
            <w:vAlign w:val="center"/>
          </w:tcPr>
          <w:p w14:paraId="567EA124">
            <w:pPr>
              <w:pStyle w:val="557"/>
            </w:pPr>
            <w:r>
              <w:t>年平均</w:t>
            </w:r>
          </w:p>
        </w:tc>
        <w:tc>
          <w:tcPr>
            <w:tcW w:w="4119" w:type="dxa"/>
            <w:vAlign w:val="center"/>
          </w:tcPr>
          <w:p w14:paraId="52F8BCE4">
            <w:pPr>
              <w:pStyle w:val="557"/>
            </w:pPr>
            <w:r>
              <w:t>35</w:t>
            </w:r>
          </w:p>
        </w:tc>
      </w:tr>
      <w:tr w14:paraId="5FAE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047CC42E">
            <w:pPr>
              <w:pStyle w:val="557"/>
            </w:pPr>
          </w:p>
        </w:tc>
        <w:tc>
          <w:tcPr>
            <w:tcW w:w="2376" w:type="dxa"/>
            <w:vAlign w:val="center"/>
          </w:tcPr>
          <w:p w14:paraId="417EDB19">
            <w:pPr>
              <w:pStyle w:val="557"/>
            </w:pPr>
            <w:r>
              <w:rPr>
                <w:rFonts w:hint="eastAsia"/>
              </w:rPr>
              <w:t>24小时平均</w:t>
            </w:r>
          </w:p>
        </w:tc>
        <w:tc>
          <w:tcPr>
            <w:tcW w:w="4119" w:type="dxa"/>
            <w:vAlign w:val="center"/>
          </w:tcPr>
          <w:p w14:paraId="3AA82560">
            <w:pPr>
              <w:pStyle w:val="557"/>
            </w:pPr>
            <w:r>
              <w:t>75</w:t>
            </w:r>
          </w:p>
        </w:tc>
      </w:tr>
      <w:tr w14:paraId="192D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restart"/>
            <w:vAlign w:val="center"/>
          </w:tcPr>
          <w:p w14:paraId="490F10E3">
            <w:pPr>
              <w:pStyle w:val="557"/>
            </w:pPr>
            <w:r>
              <w:t>PM</w:t>
            </w:r>
            <w:r>
              <w:rPr>
                <w:vertAlign w:val="subscript"/>
              </w:rPr>
              <w:t>10</w:t>
            </w:r>
          </w:p>
        </w:tc>
        <w:tc>
          <w:tcPr>
            <w:tcW w:w="2376" w:type="dxa"/>
            <w:vAlign w:val="center"/>
          </w:tcPr>
          <w:p w14:paraId="6207BC50">
            <w:pPr>
              <w:pStyle w:val="557"/>
            </w:pPr>
            <w:r>
              <w:t>年平均</w:t>
            </w:r>
          </w:p>
        </w:tc>
        <w:tc>
          <w:tcPr>
            <w:tcW w:w="4119" w:type="dxa"/>
            <w:vAlign w:val="center"/>
          </w:tcPr>
          <w:p w14:paraId="5DD03FD3">
            <w:pPr>
              <w:pStyle w:val="557"/>
            </w:pPr>
            <w:r>
              <w:t>70</w:t>
            </w:r>
          </w:p>
        </w:tc>
      </w:tr>
      <w:tr w14:paraId="1AE6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0" w:type="dxa"/>
            <w:vMerge w:val="continue"/>
            <w:vAlign w:val="center"/>
          </w:tcPr>
          <w:p w14:paraId="7B89290A">
            <w:pPr>
              <w:pStyle w:val="557"/>
            </w:pPr>
          </w:p>
        </w:tc>
        <w:tc>
          <w:tcPr>
            <w:tcW w:w="2376" w:type="dxa"/>
            <w:vAlign w:val="center"/>
          </w:tcPr>
          <w:p w14:paraId="57F85061">
            <w:pPr>
              <w:pStyle w:val="557"/>
            </w:pPr>
            <w:r>
              <w:rPr>
                <w:rFonts w:hint="eastAsia"/>
              </w:rPr>
              <w:t>24小时平均</w:t>
            </w:r>
          </w:p>
        </w:tc>
        <w:tc>
          <w:tcPr>
            <w:tcW w:w="4119" w:type="dxa"/>
            <w:vAlign w:val="center"/>
          </w:tcPr>
          <w:p w14:paraId="6C307ADE">
            <w:pPr>
              <w:pStyle w:val="557"/>
            </w:pPr>
            <w:r>
              <w:t>150</w:t>
            </w:r>
          </w:p>
        </w:tc>
      </w:tr>
    </w:tbl>
    <w:p w14:paraId="195BB05C">
      <w:pPr>
        <w:pStyle w:val="281"/>
        <w:ind w:firstLine="0" w:firstLineChars="0"/>
        <w:jc w:val="center"/>
        <w:rPr>
          <w:rFonts w:hint="eastAsia" w:ascii="宋体" w:hAnsi="宋体"/>
        </w:rPr>
      </w:pPr>
    </w:p>
    <w:p w14:paraId="6D896FD1">
      <w:pPr>
        <w:pStyle w:val="281"/>
        <w:ind w:firstLine="480"/>
      </w:pPr>
      <w:r>
        <w:t>（3）评价方法</w:t>
      </w:r>
    </w:p>
    <w:p w14:paraId="4C93A02F">
      <w:pPr>
        <w:pStyle w:val="281"/>
        <w:ind w:firstLine="480"/>
      </w:pPr>
      <w:r>
        <w:t>基本污染物按照《环境空气质量评价技术规范（试行）》（HJ 663-2013）中各评价项目的年评价指标进行判定。年评价指标中的年均浓度和相应百分位数24h平均或8h平均质量浓度满足《环境空气质量标准》（GB3095-2012）及修改单中二级浓度限值要求的即为达标。对于超标的污染物，计算其超标倍数和超标率。</w:t>
      </w:r>
    </w:p>
    <w:p w14:paraId="5674FD45">
      <w:pPr>
        <w:pStyle w:val="281"/>
        <w:ind w:firstLine="480"/>
      </w:pPr>
      <w:r>
        <w:t>（4）空气质量达标区的判定</w:t>
      </w:r>
    </w:p>
    <w:p w14:paraId="612523DF">
      <w:pPr>
        <w:pStyle w:val="281"/>
        <w:ind w:firstLine="480"/>
        <w:rPr>
          <w:bCs/>
        </w:rPr>
      </w:pPr>
      <w:r>
        <w:rPr>
          <w:rFonts w:hint="eastAsia"/>
          <w:bCs/>
        </w:rPr>
        <w:t>根据生态环境部环境空气质量模型技术支持服务系统提供的数据，哈密市2023年SO</w:t>
      </w:r>
      <w:r>
        <w:rPr>
          <w:rFonts w:hint="eastAsia"/>
          <w:bCs/>
          <w:vertAlign w:val="subscript"/>
        </w:rPr>
        <w:t>2</w:t>
      </w:r>
      <w:r>
        <w:rPr>
          <w:rFonts w:hint="eastAsia"/>
          <w:bCs/>
        </w:rPr>
        <w:t>、NO</w:t>
      </w:r>
      <w:r>
        <w:rPr>
          <w:rFonts w:hint="eastAsia"/>
          <w:bCs/>
          <w:vertAlign w:val="subscript"/>
        </w:rPr>
        <w:t>2</w:t>
      </w:r>
      <w:r>
        <w:rPr>
          <w:rFonts w:hint="eastAsia"/>
          <w:bCs/>
        </w:rPr>
        <w:t>、PM</w:t>
      </w:r>
      <w:r>
        <w:rPr>
          <w:rFonts w:hint="eastAsia"/>
          <w:bCs/>
          <w:vertAlign w:val="subscript"/>
        </w:rPr>
        <w:t>10</w:t>
      </w:r>
      <w:r>
        <w:rPr>
          <w:rFonts w:hint="eastAsia"/>
          <w:bCs/>
        </w:rPr>
        <w:t>、PM</w:t>
      </w:r>
      <w:r>
        <w:rPr>
          <w:rFonts w:hint="eastAsia"/>
          <w:bCs/>
          <w:vertAlign w:val="subscript"/>
        </w:rPr>
        <w:t>2.5</w:t>
      </w:r>
      <w:r>
        <w:rPr>
          <w:rFonts w:hint="eastAsia"/>
          <w:bCs/>
        </w:rPr>
        <w:t>年均浓度分别为6</w:t>
      </w:r>
      <w:r>
        <w:rPr>
          <w:bCs/>
        </w:rPr>
        <w:t>μg/m</w:t>
      </w:r>
      <w:r>
        <w:rPr>
          <w:bCs/>
          <w:vertAlign w:val="superscript"/>
        </w:rPr>
        <w:t>3</w:t>
      </w:r>
      <w:r>
        <w:rPr>
          <w:rFonts w:hint="eastAsia"/>
          <w:bCs/>
        </w:rPr>
        <w:t>、32</w:t>
      </w:r>
      <w:r>
        <w:rPr>
          <w:bCs/>
        </w:rPr>
        <w:t>μg/m</w:t>
      </w:r>
      <w:r>
        <w:rPr>
          <w:bCs/>
          <w:vertAlign w:val="superscript"/>
        </w:rPr>
        <w:t>3</w:t>
      </w:r>
      <w:r>
        <w:rPr>
          <w:rFonts w:hint="eastAsia"/>
          <w:bCs/>
        </w:rPr>
        <w:t>、66</w:t>
      </w:r>
      <w:r>
        <w:rPr>
          <w:bCs/>
        </w:rPr>
        <w:t>μg/m</w:t>
      </w:r>
      <w:r>
        <w:rPr>
          <w:bCs/>
          <w:vertAlign w:val="superscript"/>
        </w:rPr>
        <w:t>3</w:t>
      </w:r>
      <w:r>
        <w:rPr>
          <w:rFonts w:hint="eastAsia"/>
          <w:bCs/>
        </w:rPr>
        <w:t>、23</w:t>
      </w:r>
      <w:r>
        <w:rPr>
          <w:bCs/>
        </w:rPr>
        <w:t>μg/m</w:t>
      </w:r>
      <w:r>
        <w:rPr>
          <w:bCs/>
          <w:vertAlign w:val="superscript"/>
        </w:rPr>
        <w:t>3</w:t>
      </w:r>
      <w:r>
        <w:rPr>
          <w:rFonts w:hint="eastAsia"/>
          <w:bCs/>
        </w:rPr>
        <w:t>；</w:t>
      </w:r>
      <w:r>
        <w:rPr>
          <w:bCs/>
        </w:rPr>
        <w:t>CO</w:t>
      </w:r>
      <w:r>
        <w:rPr>
          <w:rFonts w:hint="eastAsia"/>
          <w:bCs/>
        </w:rPr>
        <w:t xml:space="preserve"> </w:t>
      </w:r>
      <w:r>
        <w:rPr>
          <w:bCs/>
        </w:rPr>
        <w:t>24</w:t>
      </w:r>
      <w:r>
        <w:rPr>
          <w:rFonts w:hint="eastAsia"/>
          <w:bCs/>
        </w:rPr>
        <w:t>小时平均第</w:t>
      </w:r>
      <w:r>
        <w:rPr>
          <w:bCs/>
        </w:rPr>
        <w:t>95</w:t>
      </w:r>
      <w:r>
        <w:rPr>
          <w:rFonts w:hint="eastAsia"/>
          <w:bCs/>
        </w:rPr>
        <w:t>百分位数为2.2</w:t>
      </w:r>
      <w:r>
        <w:rPr>
          <w:bCs/>
        </w:rPr>
        <w:t>mg/m</w:t>
      </w:r>
      <w:r>
        <w:rPr>
          <w:bCs/>
          <w:vertAlign w:val="superscript"/>
        </w:rPr>
        <w:t>3</w:t>
      </w:r>
      <w:r>
        <w:rPr>
          <w:rFonts w:hint="eastAsia"/>
          <w:bCs/>
        </w:rPr>
        <w:t>，</w:t>
      </w:r>
      <w:r>
        <w:rPr>
          <w:bCs/>
        </w:rPr>
        <w:t>O</w:t>
      </w:r>
      <w:r>
        <w:rPr>
          <w:bCs/>
          <w:vertAlign w:val="subscript"/>
        </w:rPr>
        <w:t>3</w:t>
      </w:r>
      <w:r>
        <w:rPr>
          <w:rFonts w:hint="eastAsia"/>
          <w:bCs/>
        </w:rPr>
        <w:t>日最大</w:t>
      </w:r>
      <w:r>
        <w:rPr>
          <w:bCs/>
        </w:rPr>
        <w:t>8</w:t>
      </w:r>
      <w:r>
        <w:rPr>
          <w:rFonts w:hint="eastAsia"/>
          <w:bCs/>
        </w:rPr>
        <w:t>小时平均第</w:t>
      </w:r>
      <w:r>
        <w:rPr>
          <w:bCs/>
        </w:rPr>
        <w:t>90</w:t>
      </w:r>
      <w:r>
        <w:rPr>
          <w:rFonts w:hint="eastAsia"/>
          <w:bCs/>
        </w:rPr>
        <w:t>百分位数为131</w:t>
      </w:r>
      <w:r>
        <w:rPr>
          <w:bCs/>
        </w:rPr>
        <w:t>μg/m</w:t>
      </w:r>
      <w:r>
        <w:rPr>
          <w:bCs/>
          <w:vertAlign w:val="superscript"/>
        </w:rPr>
        <w:t>3</w:t>
      </w:r>
      <w:r>
        <w:rPr>
          <w:rFonts w:hint="eastAsia"/>
          <w:bCs/>
        </w:rPr>
        <w:t>，</w:t>
      </w:r>
      <w:r>
        <w:rPr>
          <w:bCs/>
        </w:rPr>
        <w:t>各污染物平均浓度均优于《环境空气质量标准》（GB3095-2012）中二级标准限值</w:t>
      </w:r>
      <w:r>
        <w:rPr>
          <w:rFonts w:hint="eastAsia"/>
          <w:bCs/>
        </w:rPr>
        <w:t>，属于达标区。</w:t>
      </w:r>
    </w:p>
    <w:p w14:paraId="68DDF9C0">
      <w:pPr>
        <w:pStyle w:val="281"/>
        <w:ind w:firstLine="0" w:firstLineChars="0"/>
        <w:jc w:val="center"/>
        <w:rPr>
          <w:bCs/>
        </w:rPr>
      </w:pPr>
    </w:p>
    <w:p w14:paraId="26C32F7D">
      <w:pPr>
        <w:pStyle w:val="645"/>
        <w:rPr>
          <w:rFonts w:hint="eastAsia"/>
        </w:rPr>
      </w:pPr>
      <w:r>
        <w:rPr>
          <w:rFonts w:hint="eastAsia"/>
        </w:rPr>
        <w:t>图4.3.1-1     达标区判定详情</w:t>
      </w:r>
    </w:p>
    <w:p w14:paraId="2901A81A">
      <w:pPr>
        <w:pStyle w:val="281"/>
        <w:ind w:firstLine="480"/>
      </w:pPr>
      <w:r>
        <w:rPr>
          <w:rFonts w:hint="eastAsia"/>
        </w:rPr>
        <w:t>（</w:t>
      </w:r>
      <w:r>
        <w:t>5</w:t>
      </w:r>
      <w:r>
        <w:rPr>
          <w:rFonts w:hint="eastAsia"/>
        </w:rPr>
        <w:t>）基本污染物环境质量现状评价</w:t>
      </w:r>
    </w:p>
    <w:p w14:paraId="3F9AB12E">
      <w:pPr>
        <w:pStyle w:val="281"/>
        <w:ind w:firstLine="480"/>
        <w:rPr>
          <w:bCs/>
        </w:rPr>
      </w:pPr>
      <w:r>
        <w:rPr>
          <w:rFonts w:hint="eastAsia"/>
          <w:bCs/>
        </w:rPr>
        <w:t>区域内基本污染物环境质量现状评价结果见表4</w:t>
      </w:r>
      <w:r>
        <w:rPr>
          <w:bCs/>
        </w:rPr>
        <w:t>.3</w:t>
      </w:r>
      <w:r>
        <w:rPr>
          <w:rFonts w:hint="eastAsia"/>
          <w:bCs/>
        </w:rPr>
        <w:t>.1-2。</w:t>
      </w:r>
    </w:p>
    <w:p w14:paraId="2C8C1358">
      <w:pPr>
        <w:pStyle w:val="645"/>
        <w:rPr>
          <w:rFonts w:hint="eastAsia"/>
        </w:rPr>
      </w:pPr>
      <w:r>
        <w:t>表</w:t>
      </w:r>
      <w:r>
        <w:rPr>
          <w:rFonts w:hint="eastAsia"/>
        </w:rPr>
        <w:t>4</w:t>
      </w:r>
      <w:r>
        <w:t>.3</w:t>
      </w:r>
      <w:r>
        <w:rPr>
          <w:rFonts w:hint="eastAsia"/>
        </w:rPr>
        <w:t>.1</w:t>
      </w:r>
      <w:r>
        <w:t>-</w:t>
      </w:r>
      <w:r>
        <w:rPr>
          <w:rFonts w:hint="eastAsia"/>
        </w:rPr>
        <w:t xml:space="preserve">2  </w:t>
      </w:r>
      <w:r>
        <w:t xml:space="preserve">  </w:t>
      </w:r>
      <w:r>
        <w:rPr>
          <w:rFonts w:hint="eastAsia"/>
        </w:rPr>
        <w:t>基本污染物环境质量现状</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38"/>
        <w:gridCol w:w="1134"/>
        <w:gridCol w:w="1134"/>
        <w:gridCol w:w="1134"/>
        <w:gridCol w:w="992"/>
        <w:gridCol w:w="982"/>
        <w:gridCol w:w="1134"/>
      </w:tblGrid>
      <w:tr w14:paraId="662C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Align w:val="center"/>
          </w:tcPr>
          <w:p w14:paraId="14CEE473">
            <w:pPr>
              <w:pStyle w:val="557"/>
            </w:pPr>
            <w:r>
              <w:t>点位</w:t>
            </w:r>
          </w:p>
          <w:p w14:paraId="601EBC35">
            <w:pPr>
              <w:pStyle w:val="557"/>
            </w:pPr>
            <w:r>
              <w:t>名称</w:t>
            </w:r>
          </w:p>
        </w:tc>
        <w:tc>
          <w:tcPr>
            <w:tcW w:w="738" w:type="dxa"/>
            <w:vAlign w:val="center"/>
          </w:tcPr>
          <w:p w14:paraId="16273272">
            <w:pPr>
              <w:pStyle w:val="557"/>
            </w:pPr>
            <w:r>
              <w:t>污染物</w:t>
            </w:r>
          </w:p>
        </w:tc>
        <w:tc>
          <w:tcPr>
            <w:tcW w:w="1134" w:type="dxa"/>
            <w:vAlign w:val="center"/>
          </w:tcPr>
          <w:p w14:paraId="78C6F62F">
            <w:pPr>
              <w:pStyle w:val="557"/>
            </w:pPr>
            <w:r>
              <w:t>年评价</w:t>
            </w:r>
          </w:p>
          <w:p w14:paraId="03DF60D0">
            <w:pPr>
              <w:pStyle w:val="557"/>
            </w:pPr>
            <w:r>
              <w:t>指标</w:t>
            </w:r>
          </w:p>
        </w:tc>
        <w:tc>
          <w:tcPr>
            <w:tcW w:w="1134" w:type="dxa"/>
            <w:vAlign w:val="center"/>
          </w:tcPr>
          <w:p w14:paraId="2B91C93B">
            <w:pPr>
              <w:pStyle w:val="557"/>
            </w:pPr>
            <w:r>
              <w:t>评价标准</w:t>
            </w:r>
          </w:p>
          <w:p w14:paraId="12E1A2B8">
            <w:pPr>
              <w:pStyle w:val="557"/>
            </w:pPr>
            <w:r>
              <w:t>µg/m</w:t>
            </w:r>
            <w:r>
              <w:rPr>
                <w:vertAlign w:val="superscript"/>
              </w:rPr>
              <w:t>3</w:t>
            </w:r>
          </w:p>
        </w:tc>
        <w:tc>
          <w:tcPr>
            <w:tcW w:w="1134" w:type="dxa"/>
            <w:vAlign w:val="center"/>
          </w:tcPr>
          <w:p w14:paraId="752C2EDA">
            <w:pPr>
              <w:pStyle w:val="557"/>
            </w:pPr>
            <w:r>
              <w:t>现状浓度µg/m</w:t>
            </w:r>
            <w:r>
              <w:rPr>
                <w:vertAlign w:val="superscript"/>
              </w:rPr>
              <w:t>3</w:t>
            </w:r>
          </w:p>
        </w:tc>
        <w:tc>
          <w:tcPr>
            <w:tcW w:w="992" w:type="dxa"/>
            <w:vAlign w:val="center"/>
          </w:tcPr>
          <w:p w14:paraId="3B0E625F">
            <w:pPr>
              <w:pStyle w:val="557"/>
            </w:pPr>
            <w:r>
              <w:t>最大浓度占标率%</w:t>
            </w:r>
          </w:p>
        </w:tc>
        <w:tc>
          <w:tcPr>
            <w:tcW w:w="982" w:type="dxa"/>
            <w:vAlign w:val="center"/>
          </w:tcPr>
          <w:p w14:paraId="31E0B60C">
            <w:pPr>
              <w:pStyle w:val="557"/>
            </w:pPr>
            <w:r>
              <w:t>超标</w:t>
            </w:r>
          </w:p>
          <w:p w14:paraId="14B4B48B">
            <w:pPr>
              <w:pStyle w:val="557"/>
            </w:pPr>
            <w:r>
              <w:t>频率%</w:t>
            </w:r>
          </w:p>
        </w:tc>
        <w:tc>
          <w:tcPr>
            <w:tcW w:w="1134" w:type="dxa"/>
            <w:vAlign w:val="center"/>
          </w:tcPr>
          <w:p w14:paraId="737EE53A">
            <w:pPr>
              <w:pStyle w:val="557"/>
              <w:rPr>
                <w:w w:val="90"/>
              </w:rPr>
            </w:pPr>
            <w:r>
              <w:t>达标情况</w:t>
            </w:r>
          </w:p>
        </w:tc>
      </w:tr>
      <w:tr w14:paraId="3F1A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restart"/>
            <w:vAlign w:val="center"/>
          </w:tcPr>
          <w:p w14:paraId="5FB86E37">
            <w:pPr>
              <w:pStyle w:val="557"/>
            </w:pPr>
            <w:r>
              <w:t>哈密地区</w:t>
            </w:r>
          </w:p>
          <w:p w14:paraId="41692D37">
            <w:pPr>
              <w:pStyle w:val="557"/>
            </w:pPr>
            <w:r>
              <w:t>监测站</w:t>
            </w:r>
          </w:p>
        </w:tc>
        <w:tc>
          <w:tcPr>
            <w:tcW w:w="738" w:type="dxa"/>
            <w:vMerge w:val="restart"/>
            <w:vAlign w:val="center"/>
          </w:tcPr>
          <w:p w14:paraId="7AF86CC5">
            <w:pPr>
              <w:pStyle w:val="557"/>
            </w:pPr>
            <w:r>
              <w:t>SO</w:t>
            </w:r>
            <w:r>
              <w:rPr>
                <w:vertAlign w:val="subscript"/>
              </w:rPr>
              <w:t>2</w:t>
            </w:r>
          </w:p>
        </w:tc>
        <w:tc>
          <w:tcPr>
            <w:tcW w:w="1134" w:type="dxa"/>
            <w:vAlign w:val="center"/>
          </w:tcPr>
          <w:p w14:paraId="2771C0F2">
            <w:pPr>
              <w:pStyle w:val="557"/>
            </w:pPr>
            <w:r>
              <w:t>年平均</w:t>
            </w:r>
          </w:p>
        </w:tc>
        <w:tc>
          <w:tcPr>
            <w:tcW w:w="1134" w:type="dxa"/>
            <w:vAlign w:val="center"/>
          </w:tcPr>
          <w:p w14:paraId="5203D5A9">
            <w:pPr>
              <w:pStyle w:val="557"/>
            </w:pPr>
            <w:r>
              <w:t>60</w:t>
            </w:r>
          </w:p>
        </w:tc>
        <w:tc>
          <w:tcPr>
            <w:tcW w:w="1134" w:type="dxa"/>
            <w:vAlign w:val="center"/>
          </w:tcPr>
          <w:p w14:paraId="782894C0">
            <w:pPr>
              <w:pStyle w:val="557"/>
              <w:rPr>
                <w:color w:val="FF0000"/>
              </w:rPr>
            </w:pPr>
            <w:r>
              <w:t>6</w:t>
            </w:r>
          </w:p>
        </w:tc>
        <w:tc>
          <w:tcPr>
            <w:tcW w:w="992" w:type="dxa"/>
            <w:vAlign w:val="center"/>
          </w:tcPr>
          <w:p w14:paraId="47DF7A38">
            <w:pPr>
              <w:pStyle w:val="557"/>
              <w:rPr>
                <w:color w:val="FF0000"/>
              </w:rPr>
            </w:pPr>
            <w:r>
              <w:t>10</w:t>
            </w:r>
          </w:p>
        </w:tc>
        <w:tc>
          <w:tcPr>
            <w:tcW w:w="982" w:type="dxa"/>
            <w:vAlign w:val="center"/>
          </w:tcPr>
          <w:p w14:paraId="6360828B">
            <w:pPr>
              <w:pStyle w:val="557"/>
            </w:pPr>
            <w:r>
              <w:t>/</w:t>
            </w:r>
          </w:p>
        </w:tc>
        <w:tc>
          <w:tcPr>
            <w:tcW w:w="1134" w:type="dxa"/>
            <w:vAlign w:val="center"/>
          </w:tcPr>
          <w:p w14:paraId="087D0449">
            <w:pPr>
              <w:pStyle w:val="557"/>
            </w:pPr>
            <w:r>
              <w:t>达标</w:t>
            </w:r>
          </w:p>
        </w:tc>
      </w:tr>
      <w:tr w14:paraId="7348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6A30BF9D">
            <w:pPr>
              <w:pStyle w:val="557"/>
            </w:pPr>
          </w:p>
        </w:tc>
        <w:tc>
          <w:tcPr>
            <w:tcW w:w="738" w:type="dxa"/>
            <w:vMerge w:val="continue"/>
            <w:vAlign w:val="center"/>
          </w:tcPr>
          <w:p w14:paraId="6B33D0E9">
            <w:pPr>
              <w:pStyle w:val="557"/>
            </w:pPr>
          </w:p>
        </w:tc>
        <w:tc>
          <w:tcPr>
            <w:tcW w:w="1134" w:type="dxa"/>
            <w:vAlign w:val="center"/>
          </w:tcPr>
          <w:p w14:paraId="3DE2638B">
            <w:pPr>
              <w:pStyle w:val="557"/>
            </w:pPr>
            <w:r>
              <w:t>日平均</w:t>
            </w:r>
          </w:p>
        </w:tc>
        <w:tc>
          <w:tcPr>
            <w:tcW w:w="1134" w:type="dxa"/>
            <w:vAlign w:val="center"/>
          </w:tcPr>
          <w:p w14:paraId="3111B0BA">
            <w:pPr>
              <w:pStyle w:val="557"/>
            </w:pPr>
            <w:r>
              <w:t>150</w:t>
            </w:r>
          </w:p>
        </w:tc>
        <w:tc>
          <w:tcPr>
            <w:tcW w:w="1134" w:type="dxa"/>
            <w:vAlign w:val="center"/>
          </w:tcPr>
          <w:p w14:paraId="0EB59243">
            <w:pPr>
              <w:pStyle w:val="557"/>
              <w:rPr>
                <w:color w:val="FF0000"/>
              </w:rPr>
            </w:pPr>
            <w:r>
              <w:t>3-38</w:t>
            </w:r>
          </w:p>
        </w:tc>
        <w:tc>
          <w:tcPr>
            <w:tcW w:w="992" w:type="dxa"/>
            <w:vAlign w:val="center"/>
          </w:tcPr>
          <w:p w14:paraId="66B8BAC7">
            <w:pPr>
              <w:pStyle w:val="557"/>
              <w:rPr>
                <w:color w:val="FF0000"/>
              </w:rPr>
            </w:pPr>
            <w:r>
              <w:t>25.3</w:t>
            </w:r>
          </w:p>
        </w:tc>
        <w:tc>
          <w:tcPr>
            <w:tcW w:w="982" w:type="dxa"/>
            <w:vAlign w:val="center"/>
          </w:tcPr>
          <w:p w14:paraId="57E24519">
            <w:pPr>
              <w:pStyle w:val="557"/>
            </w:pPr>
            <w:r>
              <w:t>0</w:t>
            </w:r>
          </w:p>
        </w:tc>
        <w:tc>
          <w:tcPr>
            <w:tcW w:w="1134" w:type="dxa"/>
            <w:vAlign w:val="center"/>
          </w:tcPr>
          <w:p w14:paraId="1E81C400">
            <w:pPr>
              <w:pStyle w:val="557"/>
            </w:pPr>
            <w:r>
              <w:t>达标</w:t>
            </w:r>
          </w:p>
        </w:tc>
      </w:tr>
      <w:tr w14:paraId="2119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4EE2251F">
            <w:pPr>
              <w:pStyle w:val="557"/>
            </w:pPr>
          </w:p>
        </w:tc>
        <w:tc>
          <w:tcPr>
            <w:tcW w:w="738" w:type="dxa"/>
            <w:vMerge w:val="restart"/>
            <w:vAlign w:val="center"/>
          </w:tcPr>
          <w:p w14:paraId="54B6F3D9">
            <w:pPr>
              <w:pStyle w:val="557"/>
            </w:pPr>
            <w:r>
              <w:t>NO</w:t>
            </w:r>
            <w:r>
              <w:rPr>
                <w:vertAlign w:val="subscript"/>
              </w:rPr>
              <w:t>2</w:t>
            </w:r>
          </w:p>
        </w:tc>
        <w:tc>
          <w:tcPr>
            <w:tcW w:w="1134" w:type="dxa"/>
            <w:vAlign w:val="center"/>
          </w:tcPr>
          <w:p w14:paraId="09B5A0A8">
            <w:pPr>
              <w:pStyle w:val="557"/>
            </w:pPr>
            <w:r>
              <w:t>年平均</w:t>
            </w:r>
          </w:p>
        </w:tc>
        <w:tc>
          <w:tcPr>
            <w:tcW w:w="1134" w:type="dxa"/>
            <w:vAlign w:val="center"/>
          </w:tcPr>
          <w:p w14:paraId="17E0F1D3">
            <w:pPr>
              <w:pStyle w:val="557"/>
            </w:pPr>
            <w:r>
              <w:t>40</w:t>
            </w:r>
          </w:p>
        </w:tc>
        <w:tc>
          <w:tcPr>
            <w:tcW w:w="1134" w:type="dxa"/>
            <w:vAlign w:val="center"/>
          </w:tcPr>
          <w:p w14:paraId="2BA9E63F">
            <w:pPr>
              <w:pStyle w:val="557"/>
              <w:rPr>
                <w:color w:val="FF0000"/>
              </w:rPr>
            </w:pPr>
            <w:r>
              <w:t>27</w:t>
            </w:r>
          </w:p>
        </w:tc>
        <w:tc>
          <w:tcPr>
            <w:tcW w:w="992" w:type="dxa"/>
            <w:vAlign w:val="center"/>
          </w:tcPr>
          <w:p w14:paraId="2FF2DA60">
            <w:pPr>
              <w:pStyle w:val="557"/>
              <w:rPr>
                <w:color w:val="FF0000"/>
              </w:rPr>
            </w:pPr>
            <w:r>
              <w:t>67.5</w:t>
            </w:r>
          </w:p>
        </w:tc>
        <w:tc>
          <w:tcPr>
            <w:tcW w:w="982" w:type="dxa"/>
            <w:vAlign w:val="center"/>
          </w:tcPr>
          <w:p w14:paraId="12B06666">
            <w:pPr>
              <w:pStyle w:val="557"/>
            </w:pPr>
            <w:r>
              <w:t>/</w:t>
            </w:r>
          </w:p>
        </w:tc>
        <w:tc>
          <w:tcPr>
            <w:tcW w:w="1134" w:type="dxa"/>
            <w:vAlign w:val="center"/>
          </w:tcPr>
          <w:p w14:paraId="14552283">
            <w:pPr>
              <w:pStyle w:val="557"/>
            </w:pPr>
            <w:r>
              <w:t>达标</w:t>
            </w:r>
          </w:p>
        </w:tc>
      </w:tr>
      <w:tr w14:paraId="6572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70DC96AA">
            <w:pPr>
              <w:pStyle w:val="557"/>
            </w:pPr>
          </w:p>
        </w:tc>
        <w:tc>
          <w:tcPr>
            <w:tcW w:w="738" w:type="dxa"/>
            <w:vMerge w:val="continue"/>
            <w:vAlign w:val="center"/>
          </w:tcPr>
          <w:p w14:paraId="598CF124">
            <w:pPr>
              <w:pStyle w:val="557"/>
            </w:pPr>
          </w:p>
        </w:tc>
        <w:tc>
          <w:tcPr>
            <w:tcW w:w="1134" w:type="dxa"/>
            <w:vAlign w:val="center"/>
          </w:tcPr>
          <w:p w14:paraId="0F0BD5D0">
            <w:pPr>
              <w:pStyle w:val="557"/>
            </w:pPr>
            <w:r>
              <w:t>日平均</w:t>
            </w:r>
          </w:p>
        </w:tc>
        <w:tc>
          <w:tcPr>
            <w:tcW w:w="1134" w:type="dxa"/>
            <w:vAlign w:val="center"/>
          </w:tcPr>
          <w:p w14:paraId="541636F9">
            <w:pPr>
              <w:pStyle w:val="557"/>
            </w:pPr>
            <w:r>
              <w:t>80</w:t>
            </w:r>
          </w:p>
        </w:tc>
        <w:tc>
          <w:tcPr>
            <w:tcW w:w="1134" w:type="dxa"/>
            <w:vAlign w:val="center"/>
          </w:tcPr>
          <w:p w14:paraId="7347C0F3">
            <w:pPr>
              <w:pStyle w:val="557"/>
              <w:rPr>
                <w:color w:val="FF0000"/>
              </w:rPr>
            </w:pPr>
            <w:r>
              <w:t>3-56</w:t>
            </w:r>
          </w:p>
        </w:tc>
        <w:tc>
          <w:tcPr>
            <w:tcW w:w="992" w:type="dxa"/>
            <w:vAlign w:val="center"/>
          </w:tcPr>
          <w:p w14:paraId="22C229F5">
            <w:pPr>
              <w:pStyle w:val="557"/>
              <w:rPr>
                <w:color w:val="FF0000"/>
              </w:rPr>
            </w:pPr>
            <w:r>
              <w:t>70</w:t>
            </w:r>
          </w:p>
        </w:tc>
        <w:tc>
          <w:tcPr>
            <w:tcW w:w="982" w:type="dxa"/>
            <w:vAlign w:val="center"/>
          </w:tcPr>
          <w:p w14:paraId="0DD06344">
            <w:pPr>
              <w:pStyle w:val="557"/>
            </w:pPr>
            <w:r>
              <w:t>0</w:t>
            </w:r>
          </w:p>
        </w:tc>
        <w:tc>
          <w:tcPr>
            <w:tcW w:w="1134" w:type="dxa"/>
            <w:vAlign w:val="center"/>
          </w:tcPr>
          <w:p w14:paraId="0E7CD137">
            <w:pPr>
              <w:pStyle w:val="557"/>
            </w:pPr>
            <w:r>
              <w:t>达标</w:t>
            </w:r>
          </w:p>
        </w:tc>
      </w:tr>
      <w:tr w14:paraId="37F9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066A9689">
            <w:pPr>
              <w:pStyle w:val="557"/>
              <w:rPr>
                <w:w w:val="90"/>
              </w:rPr>
            </w:pPr>
          </w:p>
        </w:tc>
        <w:tc>
          <w:tcPr>
            <w:tcW w:w="738" w:type="dxa"/>
            <w:vMerge w:val="restart"/>
            <w:vAlign w:val="center"/>
          </w:tcPr>
          <w:p w14:paraId="421DC888">
            <w:pPr>
              <w:pStyle w:val="557"/>
            </w:pPr>
            <w:r>
              <w:t>PM</w:t>
            </w:r>
            <w:r>
              <w:rPr>
                <w:vertAlign w:val="subscript"/>
              </w:rPr>
              <w:t>10</w:t>
            </w:r>
          </w:p>
        </w:tc>
        <w:tc>
          <w:tcPr>
            <w:tcW w:w="1134" w:type="dxa"/>
            <w:vAlign w:val="center"/>
          </w:tcPr>
          <w:p w14:paraId="0BA2DD2E">
            <w:pPr>
              <w:pStyle w:val="557"/>
            </w:pPr>
            <w:r>
              <w:t>年平均</w:t>
            </w:r>
          </w:p>
        </w:tc>
        <w:tc>
          <w:tcPr>
            <w:tcW w:w="1134" w:type="dxa"/>
            <w:vAlign w:val="center"/>
          </w:tcPr>
          <w:p w14:paraId="020BE40A">
            <w:pPr>
              <w:pStyle w:val="557"/>
            </w:pPr>
            <w:r>
              <w:t>70</w:t>
            </w:r>
          </w:p>
        </w:tc>
        <w:tc>
          <w:tcPr>
            <w:tcW w:w="1134" w:type="dxa"/>
            <w:vAlign w:val="center"/>
          </w:tcPr>
          <w:p w14:paraId="1D37FB33">
            <w:pPr>
              <w:pStyle w:val="557"/>
              <w:rPr>
                <w:color w:val="FF0000"/>
              </w:rPr>
            </w:pPr>
            <w:r>
              <w:t>101</w:t>
            </w:r>
          </w:p>
        </w:tc>
        <w:tc>
          <w:tcPr>
            <w:tcW w:w="992" w:type="dxa"/>
            <w:vAlign w:val="center"/>
          </w:tcPr>
          <w:p w14:paraId="07AC836A">
            <w:pPr>
              <w:pStyle w:val="557"/>
              <w:rPr>
                <w:color w:val="FF0000"/>
              </w:rPr>
            </w:pPr>
            <w:r>
              <w:t>144.3</w:t>
            </w:r>
          </w:p>
        </w:tc>
        <w:tc>
          <w:tcPr>
            <w:tcW w:w="982" w:type="dxa"/>
            <w:vAlign w:val="center"/>
          </w:tcPr>
          <w:p w14:paraId="003A2040">
            <w:pPr>
              <w:pStyle w:val="557"/>
            </w:pPr>
            <w:r>
              <w:t>/</w:t>
            </w:r>
          </w:p>
        </w:tc>
        <w:tc>
          <w:tcPr>
            <w:tcW w:w="1134" w:type="dxa"/>
            <w:vAlign w:val="center"/>
          </w:tcPr>
          <w:p w14:paraId="50F3E734">
            <w:pPr>
              <w:pStyle w:val="557"/>
            </w:pPr>
            <w:r>
              <w:t>超标</w:t>
            </w:r>
          </w:p>
        </w:tc>
      </w:tr>
      <w:tr w14:paraId="7B43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7D7BC86F">
            <w:pPr>
              <w:pStyle w:val="557"/>
              <w:rPr>
                <w:w w:val="90"/>
              </w:rPr>
            </w:pPr>
          </w:p>
        </w:tc>
        <w:tc>
          <w:tcPr>
            <w:tcW w:w="738" w:type="dxa"/>
            <w:vMerge w:val="continue"/>
            <w:vAlign w:val="center"/>
          </w:tcPr>
          <w:p w14:paraId="10C54EE0">
            <w:pPr>
              <w:pStyle w:val="557"/>
            </w:pPr>
          </w:p>
        </w:tc>
        <w:tc>
          <w:tcPr>
            <w:tcW w:w="1134" w:type="dxa"/>
            <w:vAlign w:val="center"/>
          </w:tcPr>
          <w:p w14:paraId="7C6FA749">
            <w:pPr>
              <w:pStyle w:val="557"/>
            </w:pPr>
            <w:r>
              <w:t>日平均</w:t>
            </w:r>
          </w:p>
        </w:tc>
        <w:tc>
          <w:tcPr>
            <w:tcW w:w="1134" w:type="dxa"/>
            <w:vAlign w:val="center"/>
          </w:tcPr>
          <w:p w14:paraId="62719966">
            <w:pPr>
              <w:pStyle w:val="557"/>
            </w:pPr>
            <w:r>
              <w:t>150</w:t>
            </w:r>
          </w:p>
        </w:tc>
        <w:tc>
          <w:tcPr>
            <w:tcW w:w="1134" w:type="dxa"/>
            <w:vAlign w:val="center"/>
          </w:tcPr>
          <w:p w14:paraId="3B16BDE3">
            <w:pPr>
              <w:pStyle w:val="557"/>
              <w:rPr>
                <w:color w:val="FF0000"/>
              </w:rPr>
            </w:pPr>
            <w:r>
              <w:t>16-765</w:t>
            </w:r>
          </w:p>
        </w:tc>
        <w:tc>
          <w:tcPr>
            <w:tcW w:w="992" w:type="dxa"/>
            <w:vAlign w:val="center"/>
          </w:tcPr>
          <w:p w14:paraId="727F9384">
            <w:pPr>
              <w:pStyle w:val="557"/>
              <w:rPr>
                <w:color w:val="FF0000"/>
              </w:rPr>
            </w:pPr>
            <w:r>
              <w:t>510</w:t>
            </w:r>
          </w:p>
        </w:tc>
        <w:tc>
          <w:tcPr>
            <w:tcW w:w="982" w:type="dxa"/>
            <w:vAlign w:val="center"/>
          </w:tcPr>
          <w:p w14:paraId="234B17EE">
            <w:pPr>
              <w:pStyle w:val="557"/>
            </w:pPr>
            <w:r>
              <w:t>16.44</w:t>
            </w:r>
          </w:p>
        </w:tc>
        <w:tc>
          <w:tcPr>
            <w:tcW w:w="1134" w:type="dxa"/>
            <w:vAlign w:val="center"/>
          </w:tcPr>
          <w:p w14:paraId="12E1CB5F">
            <w:pPr>
              <w:pStyle w:val="557"/>
            </w:pPr>
            <w:r>
              <w:t>超标</w:t>
            </w:r>
          </w:p>
        </w:tc>
      </w:tr>
      <w:tr w14:paraId="2DBF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7151B269">
            <w:pPr>
              <w:pStyle w:val="557"/>
              <w:rPr>
                <w:w w:val="90"/>
              </w:rPr>
            </w:pPr>
          </w:p>
        </w:tc>
        <w:tc>
          <w:tcPr>
            <w:tcW w:w="738" w:type="dxa"/>
            <w:vMerge w:val="restart"/>
            <w:vAlign w:val="center"/>
          </w:tcPr>
          <w:p w14:paraId="66366A3E">
            <w:pPr>
              <w:pStyle w:val="557"/>
            </w:pPr>
            <w:r>
              <w:t>PM</w:t>
            </w:r>
            <w:r>
              <w:rPr>
                <w:vertAlign w:val="subscript"/>
              </w:rPr>
              <w:t>2.5</w:t>
            </w:r>
          </w:p>
        </w:tc>
        <w:tc>
          <w:tcPr>
            <w:tcW w:w="1134" w:type="dxa"/>
            <w:vAlign w:val="center"/>
          </w:tcPr>
          <w:p w14:paraId="5096AF5A">
            <w:pPr>
              <w:pStyle w:val="557"/>
            </w:pPr>
            <w:r>
              <w:t>年平均</w:t>
            </w:r>
          </w:p>
        </w:tc>
        <w:tc>
          <w:tcPr>
            <w:tcW w:w="1134" w:type="dxa"/>
            <w:vAlign w:val="center"/>
          </w:tcPr>
          <w:p w14:paraId="3FD1FFF0">
            <w:pPr>
              <w:pStyle w:val="557"/>
            </w:pPr>
            <w:r>
              <w:t>35</w:t>
            </w:r>
          </w:p>
        </w:tc>
        <w:tc>
          <w:tcPr>
            <w:tcW w:w="1134" w:type="dxa"/>
            <w:vAlign w:val="center"/>
          </w:tcPr>
          <w:p w14:paraId="765477C5">
            <w:pPr>
              <w:pStyle w:val="557"/>
              <w:rPr>
                <w:color w:val="FF0000"/>
              </w:rPr>
            </w:pPr>
            <w:r>
              <w:t>29</w:t>
            </w:r>
          </w:p>
        </w:tc>
        <w:tc>
          <w:tcPr>
            <w:tcW w:w="992" w:type="dxa"/>
            <w:vAlign w:val="center"/>
          </w:tcPr>
          <w:p w14:paraId="2183BBC0">
            <w:pPr>
              <w:pStyle w:val="557"/>
              <w:rPr>
                <w:color w:val="FF0000"/>
              </w:rPr>
            </w:pPr>
            <w:r>
              <w:t>82.9</w:t>
            </w:r>
          </w:p>
        </w:tc>
        <w:tc>
          <w:tcPr>
            <w:tcW w:w="982" w:type="dxa"/>
            <w:vAlign w:val="center"/>
          </w:tcPr>
          <w:p w14:paraId="55C67FE7">
            <w:pPr>
              <w:pStyle w:val="557"/>
              <w:rPr>
                <w:color w:val="FF0000"/>
              </w:rPr>
            </w:pPr>
            <w:r>
              <w:t>/</w:t>
            </w:r>
          </w:p>
        </w:tc>
        <w:tc>
          <w:tcPr>
            <w:tcW w:w="1134" w:type="dxa"/>
            <w:vAlign w:val="center"/>
          </w:tcPr>
          <w:p w14:paraId="3B25A1E0">
            <w:pPr>
              <w:pStyle w:val="557"/>
              <w:rPr>
                <w:color w:val="FF0000"/>
              </w:rPr>
            </w:pPr>
            <w:r>
              <w:t>达标</w:t>
            </w:r>
          </w:p>
        </w:tc>
      </w:tr>
      <w:tr w14:paraId="6E3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367B94CF">
            <w:pPr>
              <w:pStyle w:val="557"/>
              <w:rPr>
                <w:w w:val="90"/>
              </w:rPr>
            </w:pPr>
          </w:p>
        </w:tc>
        <w:tc>
          <w:tcPr>
            <w:tcW w:w="738" w:type="dxa"/>
            <w:vMerge w:val="continue"/>
            <w:vAlign w:val="center"/>
          </w:tcPr>
          <w:p w14:paraId="3E0894A7">
            <w:pPr>
              <w:pStyle w:val="557"/>
            </w:pPr>
          </w:p>
        </w:tc>
        <w:tc>
          <w:tcPr>
            <w:tcW w:w="1134" w:type="dxa"/>
            <w:vAlign w:val="center"/>
          </w:tcPr>
          <w:p w14:paraId="6A3BA122">
            <w:pPr>
              <w:pStyle w:val="557"/>
            </w:pPr>
            <w:r>
              <w:t>日平均</w:t>
            </w:r>
          </w:p>
        </w:tc>
        <w:tc>
          <w:tcPr>
            <w:tcW w:w="1134" w:type="dxa"/>
            <w:vAlign w:val="center"/>
          </w:tcPr>
          <w:p w14:paraId="0CA186B9">
            <w:pPr>
              <w:pStyle w:val="557"/>
            </w:pPr>
            <w:r>
              <w:t>75</w:t>
            </w:r>
          </w:p>
        </w:tc>
        <w:tc>
          <w:tcPr>
            <w:tcW w:w="1134" w:type="dxa"/>
            <w:vAlign w:val="center"/>
          </w:tcPr>
          <w:p w14:paraId="2BBA13DE">
            <w:pPr>
              <w:pStyle w:val="557"/>
              <w:rPr>
                <w:color w:val="FF0000"/>
              </w:rPr>
            </w:pPr>
            <w:r>
              <w:t>9-119</w:t>
            </w:r>
          </w:p>
        </w:tc>
        <w:tc>
          <w:tcPr>
            <w:tcW w:w="992" w:type="dxa"/>
            <w:vAlign w:val="center"/>
          </w:tcPr>
          <w:p w14:paraId="1C98E904">
            <w:pPr>
              <w:pStyle w:val="557"/>
              <w:rPr>
                <w:color w:val="FF0000"/>
              </w:rPr>
            </w:pPr>
            <w:r>
              <w:t>158.7</w:t>
            </w:r>
          </w:p>
        </w:tc>
        <w:tc>
          <w:tcPr>
            <w:tcW w:w="982" w:type="dxa"/>
            <w:vAlign w:val="center"/>
          </w:tcPr>
          <w:p w14:paraId="31300F3A">
            <w:pPr>
              <w:pStyle w:val="557"/>
              <w:rPr>
                <w:color w:val="FF0000"/>
              </w:rPr>
            </w:pPr>
            <w:r>
              <w:t>3.28</w:t>
            </w:r>
          </w:p>
        </w:tc>
        <w:tc>
          <w:tcPr>
            <w:tcW w:w="1134" w:type="dxa"/>
            <w:vAlign w:val="center"/>
          </w:tcPr>
          <w:p w14:paraId="1BC4F692">
            <w:pPr>
              <w:pStyle w:val="557"/>
              <w:rPr>
                <w:color w:val="FF0000"/>
              </w:rPr>
            </w:pPr>
            <w:r>
              <w:t>达标</w:t>
            </w:r>
          </w:p>
        </w:tc>
      </w:tr>
      <w:tr w14:paraId="467C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59D76487">
            <w:pPr>
              <w:pStyle w:val="557"/>
              <w:rPr>
                <w:w w:val="90"/>
              </w:rPr>
            </w:pPr>
          </w:p>
        </w:tc>
        <w:tc>
          <w:tcPr>
            <w:tcW w:w="738" w:type="dxa"/>
            <w:vAlign w:val="center"/>
          </w:tcPr>
          <w:p w14:paraId="3738855B">
            <w:pPr>
              <w:pStyle w:val="557"/>
            </w:pPr>
            <w:r>
              <w:t>CO</w:t>
            </w:r>
          </w:p>
        </w:tc>
        <w:tc>
          <w:tcPr>
            <w:tcW w:w="1134" w:type="dxa"/>
            <w:vAlign w:val="center"/>
          </w:tcPr>
          <w:p w14:paraId="0E60C6A2">
            <w:pPr>
              <w:pStyle w:val="557"/>
            </w:pPr>
            <w:r>
              <w:t>日平均</w:t>
            </w:r>
          </w:p>
        </w:tc>
        <w:tc>
          <w:tcPr>
            <w:tcW w:w="1134" w:type="dxa"/>
            <w:vAlign w:val="center"/>
          </w:tcPr>
          <w:p w14:paraId="31B0EEC6">
            <w:pPr>
              <w:pStyle w:val="557"/>
            </w:pPr>
            <w:r>
              <w:t>4.0mg/m</w:t>
            </w:r>
            <w:r>
              <w:rPr>
                <w:vertAlign w:val="superscript"/>
              </w:rPr>
              <w:t>3</w:t>
            </w:r>
          </w:p>
        </w:tc>
        <w:tc>
          <w:tcPr>
            <w:tcW w:w="1134" w:type="dxa"/>
            <w:vAlign w:val="center"/>
          </w:tcPr>
          <w:p w14:paraId="6BC4E510">
            <w:pPr>
              <w:pStyle w:val="557"/>
              <w:rPr>
                <w:color w:val="FF0000"/>
              </w:rPr>
            </w:pPr>
            <w:r>
              <w:t>0.1-1.4 mg/m</w:t>
            </w:r>
            <w:r>
              <w:rPr>
                <w:vertAlign w:val="superscript"/>
              </w:rPr>
              <w:t>3</w:t>
            </w:r>
          </w:p>
        </w:tc>
        <w:tc>
          <w:tcPr>
            <w:tcW w:w="992" w:type="dxa"/>
            <w:vAlign w:val="center"/>
          </w:tcPr>
          <w:p w14:paraId="7B948D6C">
            <w:pPr>
              <w:pStyle w:val="557"/>
              <w:rPr>
                <w:color w:val="FF0000"/>
              </w:rPr>
            </w:pPr>
            <w:r>
              <w:t>35</w:t>
            </w:r>
          </w:p>
        </w:tc>
        <w:tc>
          <w:tcPr>
            <w:tcW w:w="982" w:type="dxa"/>
            <w:vAlign w:val="center"/>
          </w:tcPr>
          <w:p w14:paraId="0D0256C2">
            <w:pPr>
              <w:pStyle w:val="557"/>
              <w:rPr>
                <w:color w:val="FF0000"/>
              </w:rPr>
            </w:pPr>
            <w:r>
              <w:t>/</w:t>
            </w:r>
          </w:p>
        </w:tc>
        <w:tc>
          <w:tcPr>
            <w:tcW w:w="1134" w:type="dxa"/>
            <w:vAlign w:val="center"/>
          </w:tcPr>
          <w:p w14:paraId="2DC700F5">
            <w:pPr>
              <w:pStyle w:val="557"/>
              <w:rPr>
                <w:color w:val="FF0000"/>
              </w:rPr>
            </w:pPr>
            <w:r>
              <w:t>达标</w:t>
            </w:r>
          </w:p>
        </w:tc>
      </w:tr>
      <w:tr w14:paraId="30DE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99" w:type="dxa"/>
            <w:vMerge w:val="continue"/>
            <w:vAlign w:val="center"/>
          </w:tcPr>
          <w:p w14:paraId="310D3FD4">
            <w:pPr>
              <w:pStyle w:val="557"/>
              <w:rPr>
                <w:w w:val="90"/>
              </w:rPr>
            </w:pPr>
          </w:p>
        </w:tc>
        <w:tc>
          <w:tcPr>
            <w:tcW w:w="738" w:type="dxa"/>
            <w:vAlign w:val="center"/>
          </w:tcPr>
          <w:p w14:paraId="64566741">
            <w:pPr>
              <w:pStyle w:val="557"/>
            </w:pPr>
            <w:r>
              <w:t>O</w:t>
            </w:r>
            <w:r>
              <w:rPr>
                <w:vertAlign w:val="subscript"/>
              </w:rPr>
              <w:t>3</w:t>
            </w:r>
          </w:p>
        </w:tc>
        <w:tc>
          <w:tcPr>
            <w:tcW w:w="1134" w:type="dxa"/>
            <w:vAlign w:val="center"/>
          </w:tcPr>
          <w:p w14:paraId="61C40E24">
            <w:pPr>
              <w:pStyle w:val="557"/>
            </w:pPr>
            <w:r>
              <w:t>日平均</w:t>
            </w:r>
          </w:p>
        </w:tc>
        <w:tc>
          <w:tcPr>
            <w:tcW w:w="1134" w:type="dxa"/>
            <w:vAlign w:val="center"/>
          </w:tcPr>
          <w:p w14:paraId="395F59A3">
            <w:pPr>
              <w:pStyle w:val="557"/>
            </w:pPr>
            <w:r>
              <w:t>160</w:t>
            </w:r>
          </w:p>
        </w:tc>
        <w:tc>
          <w:tcPr>
            <w:tcW w:w="1134" w:type="dxa"/>
            <w:vAlign w:val="center"/>
          </w:tcPr>
          <w:p w14:paraId="19FEA4E6">
            <w:pPr>
              <w:pStyle w:val="557"/>
              <w:rPr>
                <w:color w:val="FF0000"/>
              </w:rPr>
            </w:pPr>
            <w:r>
              <w:t>40-158</w:t>
            </w:r>
          </w:p>
        </w:tc>
        <w:tc>
          <w:tcPr>
            <w:tcW w:w="992" w:type="dxa"/>
            <w:vAlign w:val="center"/>
          </w:tcPr>
          <w:p w14:paraId="5908C77F">
            <w:pPr>
              <w:pStyle w:val="557"/>
              <w:rPr>
                <w:color w:val="FF0000"/>
              </w:rPr>
            </w:pPr>
            <w:r>
              <w:t>98.8</w:t>
            </w:r>
          </w:p>
        </w:tc>
        <w:tc>
          <w:tcPr>
            <w:tcW w:w="982" w:type="dxa"/>
            <w:vAlign w:val="center"/>
          </w:tcPr>
          <w:p w14:paraId="40DA38F7">
            <w:pPr>
              <w:pStyle w:val="557"/>
              <w:rPr>
                <w:color w:val="FF0000"/>
              </w:rPr>
            </w:pPr>
            <w:r>
              <w:t>0</w:t>
            </w:r>
          </w:p>
        </w:tc>
        <w:tc>
          <w:tcPr>
            <w:tcW w:w="1134" w:type="dxa"/>
            <w:vAlign w:val="center"/>
          </w:tcPr>
          <w:p w14:paraId="0EC82FCE">
            <w:pPr>
              <w:pStyle w:val="557"/>
              <w:rPr>
                <w:color w:val="FF0000"/>
              </w:rPr>
            </w:pPr>
            <w:r>
              <w:t>达标</w:t>
            </w:r>
          </w:p>
        </w:tc>
      </w:tr>
    </w:tbl>
    <w:p w14:paraId="67538CEC">
      <w:pPr>
        <w:pStyle w:val="281"/>
        <w:ind w:firstLine="480"/>
      </w:pPr>
      <w:r>
        <w:t>评价区域环境空气质量指标SO</w:t>
      </w:r>
      <w:r>
        <w:rPr>
          <w:vertAlign w:val="subscript"/>
        </w:rPr>
        <w:t>2</w:t>
      </w:r>
      <w:r>
        <w:t>、NO</w:t>
      </w:r>
      <w:r>
        <w:rPr>
          <w:vertAlign w:val="subscript"/>
        </w:rPr>
        <w:t>2</w:t>
      </w:r>
      <w:r>
        <w:rPr>
          <w:bCs/>
        </w:rPr>
        <w:t>、PM</w:t>
      </w:r>
      <w:r>
        <w:rPr>
          <w:bCs/>
          <w:vertAlign w:val="subscript"/>
        </w:rPr>
        <w:t>2.5</w:t>
      </w:r>
      <w:r>
        <w:t>年平均浓度</w:t>
      </w:r>
      <w:r>
        <w:rPr>
          <w:rFonts w:hint="eastAsia"/>
        </w:rPr>
        <w:t>、日平均</w:t>
      </w:r>
      <w:r>
        <w:t>浓度均符合《环境空气质量标准》（GB3095-2012）的二级标准；CO日最大8h平均浓度及O</w:t>
      </w:r>
      <w:r>
        <w:rPr>
          <w:vertAlign w:val="subscript"/>
        </w:rPr>
        <w:t>3</w:t>
      </w:r>
      <w:r>
        <w:t>日平均浓度均符合《环境空气质量标准》（GB3095-2012）的二级标准；</w:t>
      </w:r>
      <w:r>
        <w:rPr>
          <w:bCs/>
        </w:rPr>
        <w:t>PM</w:t>
      </w:r>
      <w:r>
        <w:rPr>
          <w:bCs/>
          <w:vertAlign w:val="subscript"/>
        </w:rPr>
        <w:t>10</w:t>
      </w:r>
      <w:r>
        <w:rPr>
          <w:rFonts w:hint="eastAsia"/>
        </w:rPr>
        <w:t>年</w:t>
      </w:r>
      <w:r>
        <w:t>平均浓度</w:t>
      </w:r>
      <w:r>
        <w:rPr>
          <w:rFonts w:hint="eastAsia"/>
        </w:rPr>
        <w:t>、</w:t>
      </w:r>
      <w:r>
        <w:rPr>
          <w:bCs/>
        </w:rPr>
        <w:t>PM</w:t>
      </w:r>
      <w:r>
        <w:rPr>
          <w:bCs/>
          <w:vertAlign w:val="subscript"/>
        </w:rPr>
        <w:t>10</w:t>
      </w:r>
      <w:r>
        <w:rPr>
          <w:rFonts w:hint="eastAsia"/>
          <w:bCs/>
        </w:rPr>
        <w:t>日</w:t>
      </w:r>
      <w:r>
        <w:t>平均浓度均超过《环境空气质量标准》（GB3095-2012）的二级标准。</w:t>
      </w:r>
    </w:p>
    <w:p w14:paraId="0B5237D8">
      <w:pPr>
        <w:pStyle w:val="98"/>
        <w:rPr>
          <w:rFonts w:hint="eastAsia"/>
        </w:rPr>
      </w:pPr>
      <w:r>
        <w:t>其他污染物</w:t>
      </w:r>
    </w:p>
    <w:p w14:paraId="6C35017A">
      <w:pPr>
        <w:pStyle w:val="281"/>
        <w:ind w:firstLine="480"/>
      </w:pPr>
      <w:r>
        <w:rPr>
          <w:rFonts w:hint="eastAsia"/>
        </w:rPr>
        <w:t>（</w:t>
      </w:r>
      <w:r>
        <w:t>1</w:t>
      </w:r>
      <w:r>
        <w:rPr>
          <w:rFonts w:hint="eastAsia"/>
        </w:rPr>
        <w:t>）监测点布设</w:t>
      </w:r>
    </w:p>
    <w:p w14:paraId="4886A55F">
      <w:pPr>
        <w:pStyle w:val="281"/>
        <w:ind w:firstLine="480"/>
      </w:pPr>
      <w:r>
        <w:rPr>
          <w:rFonts w:hint="eastAsia"/>
        </w:rPr>
        <w:t>本次环评在项目所在地主导风向（东北风）下风向布设</w:t>
      </w:r>
      <w:r>
        <w:t>1</w:t>
      </w:r>
      <w:r>
        <w:rPr>
          <w:rFonts w:hint="eastAsia"/>
        </w:rPr>
        <w:t>个监测点。监测点位见表</w:t>
      </w:r>
      <w:r>
        <w:t>4.3.1-</w:t>
      </w:r>
      <w:r>
        <w:rPr>
          <w:rFonts w:hint="eastAsia"/>
          <w:lang w:eastAsia="zh"/>
        </w:rPr>
        <w:t>3</w:t>
      </w:r>
      <w:r>
        <w:rPr>
          <w:rFonts w:hint="eastAsia"/>
        </w:rPr>
        <w:t>及图</w:t>
      </w:r>
      <w:r>
        <w:t>4.3.1-</w:t>
      </w:r>
      <w:r>
        <w:rPr>
          <w:rFonts w:hint="eastAsia"/>
        </w:rPr>
        <w:t>2。</w:t>
      </w:r>
    </w:p>
    <w:p w14:paraId="708317AF">
      <w:pPr>
        <w:pStyle w:val="541"/>
        <w:ind w:firstLine="560"/>
        <w:rPr>
          <w:rFonts w:hint="eastAsia" w:ascii="宋体" w:hAnsi="宋体" w:eastAsia="宋体"/>
        </w:rPr>
      </w:pPr>
      <w:r>
        <w:rPr>
          <w:rFonts w:hint="eastAsia"/>
        </w:rPr>
        <w:t>表4.3</w:t>
      </w:r>
      <w:r>
        <w:t>.1</w:t>
      </w:r>
      <w:r>
        <w:rPr>
          <w:rFonts w:hint="eastAsia"/>
        </w:rPr>
        <w:t>-</w:t>
      </w:r>
      <w:r>
        <w:rPr>
          <w:rFonts w:hint="eastAsia"/>
          <w:lang w:eastAsia="zh"/>
        </w:rPr>
        <w:t>3</w:t>
      </w:r>
      <w:r>
        <w:rPr>
          <w:rFonts w:hint="eastAsia"/>
        </w:rPr>
        <w:t xml:space="preserve"> </w:t>
      </w:r>
      <w:r>
        <w:t xml:space="preserve">   </w:t>
      </w:r>
      <w:r>
        <w:rPr>
          <w:rFonts w:hint="eastAsia"/>
        </w:rPr>
        <w:t>环境空气质量监测布点一览表</w:t>
      </w:r>
    </w:p>
    <w:tbl>
      <w:tblPr>
        <w:tblStyle w:val="65"/>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680"/>
        <w:gridCol w:w="3170"/>
        <w:gridCol w:w="2655"/>
      </w:tblGrid>
      <w:tr w14:paraId="2E97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3" w:type="pct"/>
            <w:tcMar>
              <w:left w:w="0" w:type="dxa"/>
              <w:right w:w="0" w:type="dxa"/>
            </w:tcMar>
            <w:vAlign w:val="center"/>
          </w:tcPr>
          <w:p w14:paraId="70307D2C">
            <w:pPr>
              <w:pStyle w:val="557"/>
            </w:pPr>
            <w:r>
              <w:t>编号</w:t>
            </w:r>
          </w:p>
        </w:tc>
        <w:tc>
          <w:tcPr>
            <w:tcW w:w="986" w:type="pct"/>
            <w:tcMar>
              <w:left w:w="0" w:type="dxa"/>
              <w:right w:w="0" w:type="dxa"/>
            </w:tcMar>
            <w:vAlign w:val="center"/>
          </w:tcPr>
          <w:p w14:paraId="0F3EF0B5">
            <w:pPr>
              <w:pStyle w:val="557"/>
            </w:pPr>
            <w:r>
              <w:t>地点名称</w:t>
            </w:r>
          </w:p>
        </w:tc>
        <w:tc>
          <w:tcPr>
            <w:tcW w:w="1861" w:type="pct"/>
            <w:vAlign w:val="center"/>
          </w:tcPr>
          <w:p w14:paraId="7CA4FCA2">
            <w:pPr>
              <w:pStyle w:val="557"/>
            </w:pPr>
            <w:r>
              <w:t>点位坐标</w:t>
            </w:r>
          </w:p>
        </w:tc>
        <w:tc>
          <w:tcPr>
            <w:tcW w:w="1558" w:type="pct"/>
            <w:tcMar>
              <w:left w:w="0" w:type="dxa"/>
              <w:right w:w="0" w:type="dxa"/>
            </w:tcMar>
            <w:vAlign w:val="center"/>
          </w:tcPr>
          <w:p w14:paraId="607CCB7C">
            <w:pPr>
              <w:pStyle w:val="557"/>
            </w:pPr>
            <w:r>
              <w:t>位置关系</w:t>
            </w:r>
          </w:p>
        </w:tc>
      </w:tr>
      <w:tr w14:paraId="41A8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3" w:type="pct"/>
            <w:tcMar>
              <w:left w:w="0" w:type="dxa"/>
              <w:right w:w="0" w:type="dxa"/>
            </w:tcMar>
            <w:vAlign w:val="center"/>
          </w:tcPr>
          <w:p w14:paraId="7B5791A6">
            <w:pPr>
              <w:pStyle w:val="557"/>
            </w:pPr>
            <w:r>
              <w:rPr>
                <w:rFonts w:hint="eastAsia"/>
              </w:rPr>
              <w:t>1#</w:t>
            </w:r>
          </w:p>
        </w:tc>
        <w:tc>
          <w:tcPr>
            <w:tcW w:w="986" w:type="pct"/>
            <w:tcMar>
              <w:left w:w="0" w:type="dxa"/>
              <w:right w:w="0" w:type="dxa"/>
            </w:tcMar>
            <w:vAlign w:val="center"/>
          </w:tcPr>
          <w:p w14:paraId="697B7A2C">
            <w:pPr>
              <w:pStyle w:val="557"/>
            </w:pPr>
            <w:r>
              <w:t>厂址下风向</w:t>
            </w:r>
          </w:p>
        </w:tc>
        <w:tc>
          <w:tcPr>
            <w:tcW w:w="1861" w:type="pct"/>
            <w:vAlign w:val="center"/>
          </w:tcPr>
          <w:p w14:paraId="410AE757">
            <w:pPr>
              <w:pStyle w:val="557"/>
            </w:pPr>
          </w:p>
        </w:tc>
        <w:tc>
          <w:tcPr>
            <w:tcW w:w="1558" w:type="pct"/>
            <w:tcMar>
              <w:left w:w="0" w:type="dxa"/>
              <w:right w:w="0" w:type="dxa"/>
            </w:tcMar>
            <w:vAlign w:val="center"/>
          </w:tcPr>
          <w:p w14:paraId="5A59CA06">
            <w:pPr>
              <w:pStyle w:val="557"/>
            </w:pPr>
            <w:r>
              <w:t>SW</w:t>
            </w:r>
            <w:r>
              <w:rPr>
                <w:rFonts w:hint="eastAsia"/>
              </w:rPr>
              <w:t xml:space="preserve"> </w:t>
            </w:r>
            <w:r>
              <w:t>1.5km</w:t>
            </w:r>
          </w:p>
        </w:tc>
      </w:tr>
    </w:tbl>
    <w:p w14:paraId="6A9566D5">
      <w:pPr>
        <w:pStyle w:val="281"/>
        <w:ind w:firstLine="480"/>
      </w:pPr>
      <w:r>
        <w:t>（2）监测项目</w:t>
      </w:r>
    </w:p>
    <w:p w14:paraId="0096D7DE">
      <w:pPr>
        <w:pStyle w:val="281"/>
        <w:ind w:firstLine="480"/>
      </w:pPr>
      <w:r>
        <w:t>补充监测因子：</w:t>
      </w:r>
      <w:r>
        <w:rPr>
          <w:rFonts w:hint="eastAsia"/>
          <w:szCs w:val="24"/>
        </w:rPr>
        <w:t>氨、硫化氢、非甲烷总烃、甲醇、硫酸雾、氰化氢、酚类化合物及臭气浓度</w:t>
      </w:r>
      <w:r>
        <w:t>共</w:t>
      </w:r>
      <w:r>
        <w:rPr>
          <w:rFonts w:hint="eastAsia"/>
        </w:rPr>
        <w:t>9</w:t>
      </w:r>
      <w:r>
        <w:t>项污染物。</w:t>
      </w:r>
    </w:p>
    <w:p w14:paraId="35E41500">
      <w:pPr>
        <w:pStyle w:val="281"/>
        <w:ind w:firstLine="480"/>
      </w:pPr>
      <w:r>
        <w:t>（3）</w:t>
      </w:r>
      <w:r>
        <w:rPr>
          <w:rFonts w:hint="eastAsia"/>
        </w:rPr>
        <w:t>监测</w:t>
      </w:r>
      <w:r>
        <w:t>频率</w:t>
      </w:r>
    </w:p>
    <w:p w14:paraId="0A066112">
      <w:pPr>
        <w:pStyle w:val="281"/>
        <w:ind w:firstLine="480"/>
      </w:pPr>
      <w:r>
        <w:t>监测频率：日均浓度每天采样时间不少于24h</w:t>
      </w:r>
      <w:r>
        <w:rPr>
          <w:rFonts w:hint="eastAsia"/>
        </w:rPr>
        <w:t>；</w:t>
      </w:r>
      <w:r>
        <w:t>小时浓度每天02:00、08:00、14:00、20:00时采样，每小时采样不少于45min。采样期间同步观测记录风向、风速、气温、气压等气象参数。</w:t>
      </w:r>
    </w:p>
    <w:p w14:paraId="31C693BB">
      <w:pPr>
        <w:pStyle w:val="281"/>
        <w:ind w:firstLine="480"/>
      </w:pPr>
      <w:r>
        <w:rPr>
          <w:rFonts w:hint="eastAsia"/>
        </w:rPr>
        <w:t>监测单位：新疆齐新环境服务有限公司。</w:t>
      </w:r>
    </w:p>
    <w:p w14:paraId="2A1E3C82">
      <w:pPr>
        <w:pStyle w:val="281"/>
        <w:ind w:firstLine="480"/>
      </w:pPr>
      <w:r>
        <w:rPr>
          <w:rFonts w:hint="eastAsia"/>
        </w:rPr>
        <w:t>（</w:t>
      </w:r>
      <w:r>
        <w:t>4</w:t>
      </w:r>
      <w:r>
        <w:rPr>
          <w:rFonts w:hint="eastAsia"/>
        </w:rPr>
        <w:t>）监测方法</w:t>
      </w:r>
    </w:p>
    <w:p w14:paraId="65041D51">
      <w:pPr>
        <w:pStyle w:val="281"/>
        <w:ind w:firstLine="480"/>
      </w:pPr>
      <w:r>
        <w:rPr>
          <w:rFonts w:hint="eastAsia"/>
        </w:rPr>
        <w:t>特征污染物监测方法见表4.3</w:t>
      </w:r>
      <w:r>
        <w:t>.1</w:t>
      </w:r>
      <w:r>
        <w:rPr>
          <w:rFonts w:hint="eastAsia"/>
        </w:rPr>
        <w:t>-4。</w:t>
      </w:r>
    </w:p>
    <w:p w14:paraId="69E5A150">
      <w:pPr>
        <w:pStyle w:val="541"/>
        <w:ind w:firstLine="560"/>
        <w:rPr>
          <w:rFonts w:hint="eastAsia"/>
        </w:rPr>
      </w:pPr>
      <w:r>
        <w:rPr>
          <w:rFonts w:hint="eastAsia"/>
        </w:rPr>
        <w:t>表4.3</w:t>
      </w:r>
      <w:r>
        <w:t>.1</w:t>
      </w:r>
      <w:r>
        <w:rPr>
          <w:rFonts w:hint="eastAsia"/>
        </w:rPr>
        <w:t xml:space="preserve">-4 </w:t>
      </w:r>
      <w:r>
        <w:t xml:space="preserve">   </w:t>
      </w:r>
      <w:r>
        <w:rPr>
          <w:rFonts w:hint="eastAsia"/>
        </w:rPr>
        <w:t>环境空气质量监测方法一览表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80"/>
        <w:gridCol w:w="6925"/>
      </w:tblGrid>
      <w:tr w14:paraId="39371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296A61B1">
            <w:pPr>
              <w:pStyle w:val="557"/>
            </w:pPr>
            <w:r>
              <w:rPr>
                <w:rFonts w:hint="eastAsia"/>
              </w:rPr>
              <w:t>检测项目</w:t>
            </w:r>
          </w:p>
        </w:tc>
        <w:tc>
          <w:tcPr>
            <w:tcW w:w="4071" w:type="pct"/>
            <w:tcBorders>
              <w:tl2br w:val="nil"/>
              <w:tr2bl w:val="nil"/>
            </w:tcBorders>
            <w:vAlign w:val="center"/>
          </w:tcPr>
          <w:p w14:paraId="71327ECB">
            <w:pPr>
              <w:pStyle w:val="557"/>
            </w:pPr>
            <w:r>
              <w:rPr>
                <w:rFonts w:hint="eastAsia"/>
              </w:rPr>
              <w:t>分析方法及依据</w:t>
            </w:r>
          </w:p>
        </w:tc>
      </w:tr>
      <w:tr w14:paraId="7031C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110BFC80">
            <w:pPr>
              <w:pStyle w:val="557"/>
            </w:pPr>
            <w:r>
              <w:rPr>
                <w:rFonts w:hint="eastAsia"/>
                <w:lang w:bidi="ar"/>
              </w:rPr>
              <w:t>氨</w:t>
            </w:r>
          </w:p>
        </w:tc>
        <w:tc>
          <w:tcPr>
            <w:tcW w:w="4071" w:type="pct"/>
            <w:tcBorders>
              <w:tl2br w:val="nil"/>
              <w:tr2bl w:val="nil"/>
            </w:tcBorders>
            <w:vAlign w:val="center"/>
          </w:tcPr>
          <w:p w14:paraId="13E26B0E">
            <w:pPr>
              <w:pStyle w:val="557"/>
            </w:pPr>
            <w:r>
              <w:rPr>
                <w:rFonts w:hint="eastAsia"/>
              </w:rPr>
              <w:t>环境空气和废气 氨的测定 纳氏试剂分光光度法HJ 533-2009</w:t>
            </w:r>
          </w:p>
        </w:tc>
      </w:tr>
      <w:tr w14:paraId="1DA40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409A566D">
            <w:pPr>
              <w:pStyle w:val="557"/>
            </w:pPr>
            <w:r>
              <w:rPr>
                <w:rFonts w:hint="eastAsia"/>
                <w:lang w:val="zh-CN" w:bidi="en-US"/>
              </w:rPr>
              <w:t>硫化氢</w:t>
            </w:r>
          </w:p>
        </w:tc>
        <w:tc>
          <w:tcPr>
            <w:tcW w:w="4071" w:type="pct"/>
            <w:tcBorders>
              <w:tl2br w:val="nil"/>
              <w:tr2bl w:val="nil"/>
            </w:tcBorders>
            <w:vAlign w:val="center"/>
          </w:tcPr>
          <w:p w14:paraId="7BF279B9">
            <w:pPr>
              <w:jc w:val="center"/>
              <w:rPr>
                <w:rFonts w:ascii="Times New Roman" w:hAnsi="Times New Roman" w:cs="Times New Roman"/>
                <w:bCs/>
                <w:snapToGrid w:val="0"/>
                <w:sz w:val="18"/>
                <w:szCs w:val="21"/>
                <w:u w:color="000000"/>
                <w:lang w:val="zh-CN" w:bidi="en-US"/>
              </w:rPr>
            </w:pPr>
            <w:r>
              <w:rPr>
                <w:rFonts w:hint="eastAsia" w:ascii="Times New Roman" w:hAnsi="Times New Roman" w:cs="Times New Roman"/>
                <w:bCs/>
                <w:snapToGrid w:val="0"/>
                <w:sz w:val="18"/>
                <w:szCs w:val="21"/>
                <w:u w:color="000000"/>
                <w:lang w:val="zh-CN" w:bidi="en-US"/>
              </w:rPr>
              <w:t>居住区大气中硫化氢卫生检验标准方法 亚甲蓝分光光度法</w:t>
            </w:r>
          </w:p>
          <w:p w14:paraId="20349E27">
            <w:pPr>
              <w:pStyle w:val="557"/>
            </w:pPr>
            <w:r>
              <w:rPr>
                <w:rFonts w:hint="eastAsia"/>
              </w:rPr>
              <w:t>GB 11742-1989</w:t>
            </w:r>
          </w:p>
        </w:tc>
      </w:tr>
      <w:tr w14:paraId="4127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37A1FFC9">
            <w:pPr>
              <w:pStyle w:val="557"/>
            </w:pPr>
            <w:r>
              <w:rPr>
                <w:rFonts w:hint="eastAsia"/>
                <w:lang w:val="zh-CN" w:bidi="en-US"/>
              </w:rPr>
              <w:t>非甲烷总烃</w:t>
            </w:r>
          </w:p>
        </w:tc>
        <w:tc>
          <w:tcPr>
            <w:tcW w:w="4071" w:type="pct"/>
            <w:tcBorders>
              <w:tl2br w:val="nil"/>
              <w:tr2bl w:val="nil"/>
            </w:tcBorders>
            <w:vAlign w:val="center"/>
          </w:tcPr>
          <w:p w14:paraId="5CDE836E">
            <w:pPr>
              <w:jc w:val="center"/>
              <w:rPr>
                <w:rFonts w:ascii="Times New Roman" w:hAnsi="Times New Roman" w:cs="Times New Roman"/>
                <w:bCs/>
                <w:snapToGrid w:val="0"/>
                <w:sz w:val="18"/>
                <w:szCs w:val="21"/>
                <w:u w:color="000000"/>
                <w:lang w:val="zh-CN" w:bidi="en-US"/>
              </w:rPr>
            </w:pPr>
            <w:r>
              <w:rPr>
                <w:rFonts w:hint="eastAsia" w:ascii="Times New Roman" w:hAnsi="Times New Roman" w:cs="Times New Roman"/>
                <w:bCs/>
                <w:snapToGrid w:val="0"/>
                <w:sz w:val="18"/>
                <w:szCs w:val="21"/>
                <w:u w:color="000000"/>
                <w:lang w:val="zh-CN" w:bidi="en-US"/>
              </w:rPr>
              <w:t>环境空气 总烃、甲烷和非甲烷总烃的测定 直接进样-气相色谱法</w:t>
            </w:r>
          </w:p>
          <w:p w14:paraId="5F6502C1">
            <w:pPr>
              <w:pStyle w:val="557"/>
            </w:pPr>
            <w:r>
              <w:rPr>
                <w:rFonts w:hint="eastAsia"/>
              </w:rPr>
              <w:t>HJ 604-2017</w:t>
            </w:r>
          </w:p>
        </w:tc>
      </w:tr>
      <w:tr w14:paraId="6B369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237004CC">
            <w:pPr>
              <w:pStyle w:val="557"/>
            </w:pPr>
            <w:r>
              <w:rPr>
                <w:rFonts w:hint="eastAsia"/>
                <w:lang w:val="zh-CN" w:bidi="en-US"/>
              </w:rPr>
              <w:t>甲醇</w:t>
            </w:r>
          </w:p>
        </w:tc>
        <w:tc>
          <w:tcPr>
            <w:tcW w:w="4071" w:type="pct"/>
            <w:tcBorders>
              <w:tl2br w:val="nil"/>
              <w:tr2bl w:val="nil"/>
            </w:tcBorders>
            <w:vAlign w:val="center"/>
          </w:tcPr>
          <w:p w14:paraId="1B74CF04">
            <w:pPr>
              <w:pStyle w:val="557"/>
              <w:rPr>
                <w:highlight w:val="yellow"/>
              </w:rPr>
            </w:pPr>
            <w:r>
              <w:rPr>
                <w:rFonts w:hint="eastAsia"/>
              </w:rPr>
              <w:t>居住区大气中甲醇、丙酮卫生检验标准方法 气相色谱法GB 11738-1989</w:t>
            </w:r>
          </w:p>
        </w:tc>
      </w:tr>
      <w:tr w14:paraId="76BEA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29124E61">
            <w:pPr>
              <w:pStyle w:val="557"/>
            </w:pPr>
            <w:r>
              <w:rPr>
                <w:rFonts w:hint="eastAsia"/>
                <w:lang w:val="zh-CN" w:bidi="en-US"/>
              </w:rPr>
              <w:t>硫酸雾</w:t>
            </w:r>
          </w:p>
        </w:tc>
        <w:tc>
          <w:tcPr>
            <w:tcW w:w="4071" w:type="pct"/>
            <w:tcBorders>
              <w:tl2br w:val="nil"/>
              <w:tr2bl w:val="nil"/>
            </w:tcBorders>
            <w:vAlign w:val="center"/>
          </w:tcPr>
          <w:p w14:paraId="3E55A599">
            <w:pPr>
              <w:pStyle w:val="557"/>
            </w:pPr>
            <w:r>
              <w:rPr>
                <w:rFonts w:hint="eastAsia"/>
              </w:rPr>
              <w:t>固定污染源废气 硫酸雾的测定 离子色谱法HJ 544-2016</w:t>
            </w:r>
          </w:p>
        </w:tc>
      </w:tr>
      <w:tr w14:paraId="52EF9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0B2F1602">
            <w:pPr>
              <w:pStyle w:val="557"/>
              <w:rPr>
                <w:lang w:val="zh-CN" w:bidi="en-US"/>
              </w:rPr>
            </w:pPr>
            <w:r>
              <w:rPr>
                <w:rFonts w:hint="eastAsia"/>
                <w:lang w:bidi="ar"/>
              </w:rPr>
              <w:t>氰化氢</w:t>
            </w:r>
          </w:p>
        </w:tc>
        <w:tc>
          <w:tcPr>
            <w:tcW w:w="4071" w:type="pct"/>
            <w:tcBorders>
              <w:tl2br w:val="nil"/>
              <w:tr2bl w:val="nil"/>
            </w:tcBorders>
            <w:vAlign w:val="center"/>
          </w:tcPr>
          <w:p w14:paraId="286C0459">
            <w:pPr>
              <w:pStyle w:val="557"/>
            </w:pPr>
            <w:r>
              <w:rPr>
                <w:rFonts w:hint="eastAsia"/>
              </w:rPr>
              <w:t>固定污染源排气中氰化氢的测定  异烟酸-吡唑啉酮分光光度法HJ/T 28-1999</w:t>
            </w:r>
          </w:p>
        </w:tc>
      </w:tr>
      <w:tr w14:paraId="73CAB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4CA572BC">
            <w:pPr>
              <w:pStyle w:val="557"/>
              <w:rPr>
                <w:lang w:val="zh-CN" w:bidi="en-US"/>
              </w:rPr>
            </w:pPr>
            <w:r>
              <w:rPr>
                <w:rFonts w:hint="eastAsia"/>
                <w:lang w:bidi="ar"/>
              </w:rPr>
              <w:t>酚类化合物</w:t>
            </w:r>
          </w:p>
        </w:tc>
        <w:tc>
          <w:tcPr>
            <w:tcW w:w="4071" w:type="pct"/>
            <w:tcBorders>
              <w:tl2br w:val="nil"/>
              <w:tr2bl w:val="nil"/>
            </w:tcBorders>
            <w:vAlign w:val="center"/>
          </w:tcPr>
          <w:p w14:paraId="022F833F">
            <w:pPr>
              <w:pStyle w:val="557"/>
            </w:pPr>
            <w:r>
              <w:rPr>
                <w:rFonts w:hint="eastAsia"/>
              </w:rPr>
              <w:t>固定污染源排气中酚类化合物的测定 4-氨基安替比林分光光度法HJ/T 32-1999</w:t>
            </w:r>
          </w:p>
        </w:tc>
      </w:tr>
      <w:tr w14:paraId="7AB8C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9" w:type="pct"/>
            <w:tcBorders>
              <w:tl2br w:val="nil"/>
              <w:tr2bl w:val="nil"/>
            </w:tcBorders>
            <w:vAlign w:val="center"/>
          </w:tcPr>
          <w:p w14:paraId="441DE97A">
            <w:pPr>
              <w:pStyle w:val="557"/>
              <w:rPr>
                <w:lang w:val="zh-CN" w:bidi="en-US"/>
              </w:rPr>
            </w:pPr>
            <w:r>
              <w:rPr>
                <w:rFonts w:hint="eastAsia"/>
                <w:lang w:bidi="ar"/>
              </w:rPr>
              <w:t>臭气浓度</w:t>
            </w:r>
          </w:p>
        </w:tc>
        <w:tc>
          <w:tcPr>
            <w:tcW w:w="4071" w:type="pct"/>
            <w:tcBorders>
              <w:tl2br w:val="nil"/>
              <w:tr2bl w:val="nil"/>
            </w:tcBorders>
            <w:vAlign w:val="center"/>
          </w:tcPr>
          <w:p w14:paraId="4A92BF11">
            <w:pPr>
              <w:pStyle w:val="557"/>
            </w:pPr>
            <w:r>
              <w:rPr>
                <w:rFonts w:hint="eastAsia"/>
              </w:rPr>
              <w:t>环境空气和废气 臭气的测定 三点比较式臭袋法HJ 1262-2022</w:t>
            </w:r>
          </w:p>
        </w:tc>
      </w:tr>
    </w:tbl>
    <w:p w14:paraId="1EFE84E0">
      <w:pPr>
        <w:pStyle w:val="281"/>
        <w:ind w:firstLine="480"/>
      </w:pPr>
    </w:p>
    <w:p w14:paraId="253C5194">
      <w:pPr>
        <w:pStyle w:val="557"/>
        <w:rPr>
          <w:lang w:eastAsia="zh"/>
        </w:rPr>
      </w:pPr>
    </w:p>
    <w:p w14:paraId="16126A31">
      <w:pPr>
        <w:pStyle w:val="541"/>
        <w:ind w:firstLine="560"/>
        <w:rPr>
          <w:rFonts w:hint="eastAsia" w:ascii="宋体" w:hAnsi="宋体" w:eastAsia="宋体"/>
        </w:rPr>
      </w:pPr>
      <w:r>
        <w:rPr>
          <w:rFonts w:hint="eastAsia"/>
        </w:rPr>
        <w:t>图4.3</w:t>
      </w:r>
      <w:r>
        <w:t>.1</w:t>
      </w:r>
      <w:r>
        <w:rPr>
          <w:rFonts w:hint="eastAsia"/>
        </w:rPr>
        <w:t xml:space="preserve">-2 </w:t>
      </w:r>
      <w:r>
        <w:t xml:space="preserve">   </w:t>
      </w:r>
      <w:r>
        <w:rPr>
          <w:rFonts w:hint="eastAsia"/>
        </w:rPr>
        <w:t>环境空气监测布点图</w:t>
      </w:r>
    </w:p>
    <w:p w14:paraId="5B80A1F5">
      <w:pPr>
        <w:pStyle w:val="281"/>
        <w:ind w:firstLine="480"/>
      </w:pPr>
      <w:r>
        <w:rPr>
          <w:rFonts w:hint="eastAsia"/>
        </w:rPr>
        <w:t>（</w:t>
      </w:r>
      <w:r>
        <w:t>5</w:t>
      </w:r>
      <w:r>
        <w:rPr>
          <w:rFonts w:hint="eastAsia"/>
        </w:rPr>
        <w:t>）评价标准</w:t>
      </w:r>
    </w:p>
    <w:p w14:paraId="70D20AC5">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硫化氢、氨、甲醇、硫酸雾参照执行《环境影响评价技术导则大气环境》</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HJ2.2-2018</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附录D中的浓度参考限值，非甲烷总烃</w:t>
      </w:r>
      <w:r>
        <w:rPr>
          <w:rFonts w:hint="eastAsia" w:cs="Times New Roman"/>
          <w:color w:val="000000" w:themeColor="text1"/>
          <w14:textFill>
            <w14:solidFill>
              <w14:schemeClr w14:val="tx1"/>
            </w14:solidFill>
          </w14:textFill>
        </w:rPr>
        <w:t>、</w:t>
      </w:r>
      <w:r>
        <w:rPr>
          <w:rFonts w:hint="eastAsia" w:cs="Times New Roman"/>
          <w:lang w:bidi="ar"/>
        </w:rPr>
        <w:t>氰化氢、酚类</w:t>
      </w:r>
      <w:r>
        <w:rPr>
          <w:rFonts w:cs="Times New Roman"/>
          <w:color w:val="000000" w:themeColor="text1"/>
          <w14:textFill>
            <w14:solidFill>
              <w14:schemeClr w14:val="tx1"/>
            </w14:solidFill>
          </w14:textFill>
        </w:rPr>
        <w:t>执行《大气污染物综合排放标准》详解限值。</w:t>
      </w:r>
    </w:p>
    <w:p w14:paraId="44F40E71">
      <w:pPr>
        <w:pStyle w:val="281"/>
        <w:ind w:firstLine="480"/>
        <w:rPr>
          <w:rFonts w:cs="Times New Roman"/>
        </w:rPr>
      </w:pPr>
      <w:r>
        <w:rPr>
          <w:rFonts w:cs="Times New Roman"/>
        </w:rPr>
        <w:t>（6）评价方法</w:t>
      </w:r>
    </w:p>
    <w:p w14:paraId="61DAEE06">
      <w:pPr>
        <w:pStyle w:val="281"/>
        <w:ind w:firstLine="480"/>
        <w:rPr>
          <w:rFonts w:cs="Times New Roman"/>
          <w:szCs w:val="24"/>
        </w:rPr>
      </w:pPr>
      <w:r>
        <w:rPr>
          <w:rFonts w:cs="Times New Roman"/>
          <w:szCs w:val="24"/>
        </w:rPr>
        <w:t>评价方法为占标率法，对于超标的污染物，计算其超标倍数和超标率。占标率法如下：</w:t>
      </w:r>
    </w:p>
    <w:p w14:paraId="26EA4861">
      <w:pPr>
        <w:pStyle w:val="281"/>
        <w:ind w:firstLine="480"/>
        <w:jc w:val="center"/>
        <w:rPr>
          <w:rFonts w:cs="Times New Roman"/>
          <w:szCs w:val="24"/>
        </w:rPr>
      </w:pPr>
      <w:r>
        <w:rPr>
          <w:rFonts w:cs="Times New Roman"/>
          <w:szCs w:val="24"/>
        </w:rPr>
        <w:t>P</w:t>
      </w:r>
      <w:r>
        <w:rPr>
          <w:rFonts w:cs="Times New Roman"/>
          <w:szCs w:val="24"/>
          <w:vertAlign w:val="subscript"/>
        </w:rPr>
        <w:t>i</w:t>
      </w:r>
      <w:r>
        <w:rPr>
          <w:rFonts w:cs="Times New Roman"/>
          <w:szCs w:val="24"/>
        </w:rPr>
        <w:t>= C</w:t>
      </w:r>
      <w:r>
        <w:rPr>
          <w:rFonts w:cs="Times New Roman"/>
          <w:szCs w:val="24"/>
          <w:vertAlign w:val="subscript"/>
        </w:rPr>
        <w:t>i</w:t>
      </w:r>
      <w:r>
        <w:rPr>
          <w:rFonts w:cs="Times New Roman"/>
          <w:szCs w:val="24"/>
        </w:rPr>
        <w:t>/C</w:t>
      </w:r>
      <w:r>
        <w:rPr>
          <w:rFonts w:cs="Times New Roman"/>
          <w:szCs w:val="24"/>
          <w:vertAlign w:val="subscript"/>
        </w:rPr>
        <w:t>oi</w:t>
      </w:r>
      <w:r>
        <w:rPr>
          <w:rFonts w:cs="Times New Roman"/>
          <w:szCs w:val="24"/>
        </w:rPr>
        <w:t>×100%</w:t>
      </w:r>
    </w:p>
    <w:p w14:paraId="04E76FCF">
      <w:pPr>
        <w:pStyle w:val="281"/>
        <w:ind w:firstLine="480"/>
        <w:rPr>
          <w:rFonts w:cs="Times New Roman"/>
          <w:sz w:val="21"/>
        </w:rPr>
      </w:pPr>
      <w:r>
        <w:rPr>
          <w:rFonts w:cs="Times New Roman"/>
          <w:szCs w:val="24"/>
        </w:rPr>
        <w:t>式中：</w:t>
      </w:r>
      <w:r>
        <w:rPr>
          <w:rFonts w:cs="Times New Roman"/>
          <w:sz w:val="21"/>
        </w:rPr>
        <w:t>P</w:t>
      </w:r>
      <w:r>
        <w:rPr>
          <w:rFonts w:cs="Times New Roman"/>
          <w:sz w:val="21"/>
          <w:vertAlign w:val="subscript"/>
        </w:rPr>
        <w:t>i</w:t>
      </w:r>
      <w:r>
        <w:rPr>
          <w:rFonts w:cs="Times New Roman"/>
          <w:sz w:val="21"/>
        </w:rPr>
        <w:t>—第i个污染物的最大地面空气质量浓度占标率，%；</w:t>
      </w:r>
    </w:p>
    <w:p w14:paraId="3DB8FF03">
      <w:pPr>
        <w:pStyle w:val="281"/>
        <w:ind w:firstLine="1260" w:firstLineChars="600"/>
        <w:rPr>
          <w:rFonts w:cs="Times New Roman"/>
          <w:sz w:val="21"/>
        </w:rPr>
      </w:pPr>
      <w:r>
        <w:rPr>
          <w:rFonts w:cs="Times New Roman"/>
          <w:sz w:val="21"/>
        </w:rPr>
        <w:t>C</w:t>
      </w:r>
      <w:r>
        <w:rPr>
          <w:rFonts w:cs="Times New Roman"/>
          <w:sz w:val="21"/>
          <w:vertAlign w:val="subscript"/>
        </w:rPr>
        <w:t>i</w:t>
      </w:r>
      <w:r>
        <w:rPr>
          <w:rFonts w:cs="Times New Roman"/>
          <w:sz w:val="21"/>
        </w:rPr>
        <w:t>——实测值；</w:t>
      </w:r>
    </w:p>
    <w:p w14:paraId="7D1BF35F">
      <w:pPr>
        <w:pStyle w:val="281"/>
        <w:ind w:firstLine="1260" w:firstLineChars="600"/>
        <w:rPr>
          <w:rFonts w:cs="Times New Roman"/>
          <w:sz w:val="21"/>
        </w:rPr>
      </w:pPr>
      <w:r>
        <w:rPr>
          <w:rFonts w:cs="Times New Roman"/>
          <w:sz w:val="21"/>
        </w:rPr>
        <w:t>C</w:t>
      </w:r>
      <w:r>
        <w:rPr>
          <w:rFonts w:cs="Times New Roman"/>
          <w:sz w:val="21"/>
          <w:vertAlign w:val="subscript"/>
        </w:rPr>
        <w:t>oi</w:t>
      </w:r>
      <w:r>
        <w:rPr>
          <w:rFonts w:cs="Times New Roman"/>
          <w:sz w:val="21"/>
        </w:rPr>
        <w:t>——项目评价标准。</w:t>
      </w:r>
    </w:p>
    <w:p w14:paraId="3454892F">
      <w:pPr>
        <w:pStyle w:val="281"/>
        <w:ind w:firstLine="480"/>
        <w:rPr>
          <w:rFonts w:cs="Times New Roman"/>
        </w:rPr>
      </w:pPr>
      <w:r>
        <w:rPr>
          <w:rFonts w:cs="Times New Roman"/>
        </w:rPr>
        <w:t>（6）监测及评价结果</w:t>
      </w:r>
    </w:p>
    <w:p w14:paraId="2A1FABB7">
      <w:pPr>
        <w:pStyle w:val="281"/>
        <w:ind w:firstLine="480"/>
        <w:rPr>
          <w:rFonts w:cs="Times New Roman"/>
        </w:rPr>
      </w:pPr>
      <w:r>
        <w:rPr>
          <w:rFonts w:cs="Times New Roman"/>
        </w:rPr>
        <w:t>项目所在区域特征污染物的监测及评价结果，见表4.3.1-5。</w:t>
      </w:r>
    </w:p>
    <w:p w14:paraId="1C0B4494">
      <w:pPr>
        <w:pStyle w:val="541"/>
        <w:ind w:firstLine="560"/>
        <w:rPr>
          <w:rFonts w:hint="eastAsia"/>
        </w:rPr>
      </w:pPr>
      <w:r>
        <w:rPr>
          <w:rFonts w:hint="eastAsia"/>
        </w:rPr>
        <w:t>表4.3</w:t>
      </w:r>
      <w:r>
        <w:t>.1</w:t>
      </w:r>
      <w:r>
        <w:rPr>
          <w:rFonts w:hint="eastAsia"/>
        </w:rPr>
        <w:t xml:space="preserve">-5 </w:t>
      </w:r>
      <w:r>
        <w:t xml:space="preserve">  </w:t>
      </w:r>
      <w:r>
        <w:rPr>
          <w:rFonts w:hint="eastAsia"/>
        </w:rPr>
        <w:t xml:space="preserve"> 项目特征污染物监测及评价结果汇总表</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90"/>
        <w:gridCol w:w="1257"/>
        <w:gridCol w:w="1113"/>
        <w:gridCol w:w="976"/>
        <w:gridCol w:w="1674"/>
        <w:gridCol w:w="837"/>
        <w:gridCol w:w="837"/>
        <w:gridCol w:w="881"/>
      </w:tblGrid>
      <w:tr w14:paraId="1ABD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7752A4F9">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监测点位</w:t>
            </w:r>
          </w:p>
        </w:tc>
        <w:tc>
          <w:tcPr>
            <w:tcW w:w="751" w:type="pct"/>
            <w:tcBorders>
              <w:top w:val="single" w:color="auto" w:sz="4" w:space="0"/>
              <w:left w:val="single" w:color="auto" w:sz="4" w:space="0"/>
              <w:bottom w:val="single" w:color="auto" w:sz="4" w:space="0"/>
              <w:right w:val="single" w:color="auto" w:sz="4" w:space="0"/>
            </w:tcBorders>
            <w:vAlign w:val="center"/>
          </w:tcPr>
          <w:p w14:paraId="388FE20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监测项目</w:t>
            </w:r>
          </w:p>
        </w:tc>
        <w:tc>
          <w:tcPr>
            <w:tcW w:w="665" w:type="pct"/>
            <w:tcBorders>
              <w:top w:val="single" w:color="auto" w:sz="4" w:space="0"/>
              <w:left w:val="single" w:color="auto" w:sz="4" w:space="0"/>
              <w:bottom w:val="single" w:color="auto" w:sz="4" w:space="0"/>
              <w:right w:val="single" w:color="auto" w:sz="4" w:space="0"/>
            </w:tcBorders>
            <w:vAlign w:val="center"/>
          </w:tcPr>
          <w:p w14:paraId="02DF5D99">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取值类型</w:t>
            </w:r>
          </w:p>
        </w:tc>
        <w:tc>
          <w:tcPr>
            <w:tcW w:w="583" w:type="pct"/>
            <w:tcBorders>
              <w:top w:val="single" w:color="auto" w:sz="4" w:space="0"/>
              <w:left w:val="single" w:color="auto" w:sz="4" w:space="0"/>
              <w:bottom w:val="single" w:color="auto" w:sz="4" w:space="0"/>
              <w:right w:val="single" w:color="auto" w:sz="4" w:space="0"/>
            </w:tcBorders>
            <w:vAlign w:val="center"/>
          </w:tcPr>
          <w:p w14:paraId="4E166064">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评价标准</w:t>
            </w:r>
          </w:p>
          <w:p w14:paraId="4B7CC3CE">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(mg/m</w:t>
            </w:r>
            <w:r>
              <w:rPr>
                <w:rFonts w:hint="eastAsia"/>
                <w:bCs/>
                <w:color w:val="000000"/>
                <w:kern w:val="2"/>
                <w:sz w:val="18"/>
                <w:szCs w:val="18"/>
                <w:lang w:bidi="ar"/>
              </w:rPr>
              <w:t>³</w:t>
            </w:r>
            <w:r>
              <w:rPr>
                <w:rFonts w:ascii="Times New Roman" w:hAnsi="Times New Roman" w:cs="Times New Roman"/>
                <w:bCs/>
                <w:color w:val="000000"/>
                <w:kern w:val="2"/>
                <w:sz w:val="18"/>
                <w:szCs w:val="18"/>
                <w:lang w:bidi="ar"/>
              </w:rPr>
              <w:t>)</w:t>
            </w:r>
          </w:p>
        </w:tc>
        <w:tc>
          <w:tcPr>
            <w:tcW w:w="1000" w:type="pct"/>
            <w:tcBorders>
              <w:top w:val="single" w:color="auto" w:sz="4" w:space="0"/>
              <w:left w:val="single" w:color="auto" w:sz="4" w:space="0"/>
              <w:bottom w:val="single" w:color="auto" w:sz="4" w:space="0"/>
              <w:right w:val="single" w:color="auto" w:sz="4" w:space="0"/>
            </w:tcBorders>
            <w:vAlign w:val="center"/>
          </w:tcPr>
          <w:p w14:paraId="0C70A0C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浓度范围</w:t>
            </w:r>
            <w:r>
              <w:rPr>
                <w:rFonts w:ascii="Times New Roman" w:hAnsi="Times New Roman" w:cs="Times New Roman"/>
                <w:bCs/>
                <w:color w:val="000000"/>
                <w:kern w:val="2"/>
                <w:sz w:val="18"/>
                <w:szCs w:val="18"/>
                <w:lang w:bidi="ar"/>
              </w:rPr>
              <w:t>(mg/m</w:t>
            </w:r>
            <w:r>
              <w:rPr>
                <w:rFonts w:hint="eastAsia"/>
                <w:bCs/>
                <w:color w:val="000000"/>
                <w:kern w:val="2"/>
                <w:sz w:val="18"/>
                <w:szCs w:val="18"/>
                <w:lang w:bidi="ar"/>
              </w:rPr>
              <w:t>³</w:t>
            </w: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57D41408">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最大</w:t>
            </w:r>
            <w:r>
              <w:rPr>
                <w:rFonts w:ascii="Times New Roman" w:hAnsi="Times New Roman" w:cs="Times New Roman"/>
                <w:bCs/>
                <w:color w:val="000000"/>
                <w:kern w:val="2"/>
                <w:sz w:val="18"/>
                <w:szCs w:val="18"/>
                <w:lang w:bidi="ar"/>
              </w:rPr>
              <w:t>P</w:t>
            </w:r>
            <w:r>
              <w:rPr>
                <w:rFonts w:ascii="Times New Roman" w:hAnsi="Times New Roman" w:cs="Times New Roman"/>
                <w:bCs/>
                <w:color w:val="000000"/>
                <w:kern w:val="2"/>
                <w:sz w:val="18"/>
                <w:szCs w:val="18"/>
                <w:vertAlign w:val="subscript"/>
                <w:lang w:bidi="ar"/>
              </w:rPr>
              <w:t>i</w:t>
            </w:r>
          </w:p>
        </w:tc>
        <w:tc>
          <w:tcPr>
            <w:tcW w:w="500" w:type="pct"/>
            <w:tcBorders>
              <w:top w:val="single" w:color="auto" w:sz="4" w:space="0"/>
              <w:left w:val="single" w:color="auto" w:sz="4" w:space="0"/>
              <w:bottom w:val="single" w:color="auto" w:sz="4" w:space="0"/>
              <w:right w:val="single" w:color="auto" w:sz="4" w:space="0"/>
            </w:tcBorders>
            <w:vAlign w:val="center"/>
          </w:tcPr>
          <w:p w14:paraId="7E1163C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超标率</w:t>
            </w:r>
          </w:p>
          <w:p w14:paraId="7C2DA035">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26" w:type="pct"/>
            <w:tcBorders>
              <w:top w:val="single" w:color="auto" w:sz="4" w:space="0"/>
              <w:left w:val="single" w:color="auto" w:sz="4" w:space="0"/>
              <w:bottom w:val="single" w:color="auto" w:sz="4" w:space="0"/>
              <w:right w:val="single" w:color="auto" w:sz="4" w:space="0"/>
            </w:tcBorders>
            <w:vAlign w:val="center"/>
          </w:tcPr>
          <w:p w14:paraId="7D68061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达标情况</w:t>
            </w:r>
          </w:p>
        </w:tc>
      </w:tr>
      <w:tr w14:paraId="0819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restart"/>
            <w:tcBorders>
              <w:top w:val="nil"/>
              <w:left w:val="single" w:color="auto" w:sz="4" w:space="0"/>
              <w:bottom w:val="single" w:color="auto" w:sz="4" w:space="0"/>
              <w:right w:val="single" w:color="auto" w:sz="4" w:space="0"/>
            </w:tcBorders>
            <w:vAlign w:val="center"/>
          </w:tcPr>
          <w:p w14:paraId="76ECA34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p>
        </w:tc>
        <w:tc>
          <w:tcPr>
            <w:tcW w:w="751" w:type="pct"/>
            <w:tcBorders>
              <w:top w:val="single" w:color="auto" w:sz="4" w:space="0"/>
              <w:left w:val="single" w:color="auto" w:sz="4" w:space="0"/>
              <w:bottom w:val="single" w:color="auto" w:sz="4" w:space="0"/>
              <w:right w:val="single" w:color="auto" w:sz="4" w:space="0"/>
            </w:tcBorders>
            <w:vAlign w:val="center"/>
          </w:tcPr>
          <w:p w14:paraId="6F41A5D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氨</w:t>
            </w:r>
          </w:p>
        </w:tc>
        <w:tc>
          <w:tcPr>
            <w:tcW w:w="665" w:type="pct"/>
            <w:tcBorders>
              <w:top w:val="single" w:color="auto" w:sz="4" w:space="0"/>
              <w:left w:val="single" w:color="auto" w:sz="4" w:space="0"/>
              <w:bottom w:val="single" w:color="auto" w:sz="4" w:space="0"/>
              <w:right w:val="single" w:color="auto" w:sz="4" w:space="0"/>
            </w:tcBorders>
            <w:vAlign w:val="center"/>
          </w:tcPr>
          <w:p w14:paraId="44837C6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r>
              <w:rPr>
                <w:rFonts w:hint="eastAsia"/>
                <w:bCs/>
                <w:color w:val="000000"/>
                <w:kern w:val="2"/>
                <w:sz w:val="18"/>
                <w:szCs w:val="18"/>
                <w:lang w:bidi="ar"/>
              </w:rPr>
              <w:t>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034737EF">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0.2</w:t>
            </w:r>
          </w:p>
        </w:tc>
        <w:tc>
          <w:tcPr>
            <w:tcW w:w="1000" w:type="pct"/>
            <w:tcBorders>
              <w:top w:val="single" w:color="auto" w:sz="4" w:space="0"/>
              <w:left w:val="single" w:color="auto" w:sz="4" w:space="0"/>
              <w:bottom w:val="single" w:color="auto" w:sz="4" w:space="0"/>
              <w:right w:val="single" w:color="auto" w:sz="4" w:space="0"/>
            </w:tcBorders>
            <w:vAlign w:val="center"/>
          </w:tcPr>
          <w:p w14:paraId="5E39831F">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0.02-0.04</w:t>
            </w:r>
          </w:p>
        </w:tc>
        <w:tc>
          <w:tcPr>
            <w:tcW w:w="500" w:type="pct"/>
            <w:tcBorders>
              <w:top w:val="single" w:color="auto" w:sz="4" w:space="0"/>
              <w:left w:val="single" w:color="auto" w:sz="4" w:space="0"/>
              <w:bottom w:val="single" w:color="auto" w:sz="4" w:space="0"/>
              <w:right w:val="single" w:color="auto" w:sz="4" w:space="0"/>
            </w:tcBorders>
            <w:vAlign w:val="center"/>
          </w:tcPr>
          <w:p w14:paraId="5F68180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20</w:t>
            </w:r>
          </w:p>
        </w:tc>
        <w:tc>
          <w:tcPr>
            <w:tcW w:w="500" w:type="pct"/>
            <w:tcBorders>
              <w:top w:val="single" w:color="auto" w:sz="4" w:space="0"/>
              <w:left w:val="single" w:color="auto" w:sz="4" w:space="0"/>
              <w:bottom w:val="single" w:color="auto" w:sz="4" w:space="0"/>
              <w:right w:val="single" w:color="auto" w:sz="4" w:space="0"/>
            </w:tcBorders>
            <w:vAlign w:val="center"/>
          </w:tcPr>
          <w:p w14:paraId="376F88C2">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4CDE52BE">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2DBE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464CDDC4">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0DE494E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硫化氢</w:t>
            </w:r>
          </w:p>
        </w:tc>
        <w:tc>
          <w:tcPr>
            <w:tcW w:w="665" w:type="pct"/>
            <w:tcBorders>
              <w:top w:val="single" w:color="auto" w:sz="4" w:space="0"/>
              <w:left w:val="single" w:color="auto" w:sz="4" w:space="0"/>
              <w:bottom w:val="single" w:color="auto" w:sz="4" w:space="0"/>
              <w:right w:val="single" w:color="auto" w:sz="4" w:space="0"/>
            </w:tcBorders>
            <w:vAlign w:val="center"/>
          </w:tcPr>
          <w:p w14:paraId="15321115">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r>
              <w:rPr>
                <w:rFonts w:hint="eastAsia"/>
                <w:bCs/>
                <w:color w:val="000000"/>
                <w:kern w:val="2"/>
                <w:sz w:val="18"/>
                <w:szCs w:val="18"/>
                <w:lang w:bidi="ar"/>
              </w:rPr>
              <w:t>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3CC602F5">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0.01</w:t>
            </w:r>
          </w:p>
        </w:tc>
        <w:tc>
          <w:tcPr>
            <w:tcW w:w="1000" w:type="pct"/>
            <w:tcBorders>
              <w:top w:val="single" w:color="auto" w:sz="4" w:space="0"/>
              <w:left w:val="single" w:color="auto" w:sz="4" w:space="0"/>
              <w:bottom w:val="single" w:color="auto" w:sz="4" w:space="0"/>
              <w:right w:val="single" w:color="auto" w:sz="4" w:space="0"/>
            </w:tcBorders>
            <w:vAlign w:val="center"/>
          </w:tcPr>
          <w:p w14:paraId="136C50E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bookmarkStart w:id="282" w:name="OLE_LINK13"/>
            <w:r>
              <w:rPr>
                <w:rFonts w:hint="eastAsia"/>
                <w:bCs/>
                <w:color w:val="000000"/>
                <w:kern w:val="2"/>
                <w:sz w:val="18"/>
                <w:szCs w:val="18"/>
                <w:lang w:bidi="ar"/>
              </w:rPr>
              <w:t>&lt;</w:t>
            </w:r>
            <w:bookmarkEnd w:id="282"/>
            <w:r>
              <w:rPr>
                <w:rFonts w:ascii="Times New Roman" w:hAnsi="Times New Roman" w:cs="Times New Roman"/>
                <w:bCs/>
                <w:color w:val="000000"/>
                <w:kern w:val="2"/>
                <w:sz w:val="18"/>
                <w:szCs w:val="18"/>
                <w:lang w:bidi="ar"/>
              </w:rPr>
              <w:t>0.005</w:t>
            </w:r>
          </w:p>
        </w:tc>
        <w:tc>
          <w:tcPr>
            <w:tcW w:w="500" w:type="pct"/>
            <w:tcBorders>
              <w:top w:val="single" w:color="auto" w:sz="4" w:space="0"/>
              <w:left w:val="single" w:color="auto" w:sz="4" w:space="0"/>
              <w:bottom w:val="single" w:color="auto" w:sz="4" w:space="0"/>
              <w:right w:val="single" w:color="auto" w:sz="4" w:space="0"/>
            </w:tcBorders>
            <w:vAlign w:val="center"/>
          </w:tcPr>
          <w:p w14:paraId="3D68E7A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7C8C499C">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2CF0D23F">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504D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EC1EA43">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70450DB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非甲烷总烃</w:t>
            </w:r>
          </w:p>
        </w:tc>
        <w:tc>
          <w:tcPr>
            <w:tcW w:w="665" w:type="pct"/>
            <w:tcBorders>
              <w:top w:val="single" w:color="auto" w:sz="4" w:space="0"/>
              <w:left w:val="single" w:color="auto" w:sz="4" w:space="0"/>
              <w:bottom w:val="single" w:color="auto" w:sz="4" w:space="0"/>
              <w:right w:val="single" w:color="auto" w:sz="4" w:space="0"/>
            </w:tcBorders>
            <w:vAlign w:val="center"/>
          </w:tcPr>
          <w:p w14:paraId="242D002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r>
              <w:rPr>
                <w:rFonts w:hint="eastAsia"/>
                <w:bCs/>
                <w:color w:val="000000"/>
                <w:kern w:val="2"/>
                <w:sz w:val="18"/>
                <w:szCs w:val="18"/>
                <w:lang w:bidi="ar"/>
              </w:rPr>
              <w:t>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6D6C8334">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2.0</w:t>
            </w:r>
          </w:p>
        </w:tc>
        <w:tc>
          <w:tcPr>
            <w:tcW w:w="1000" w:type="pct"/>
            <w:tcBorders>
              <w:top w:val="single" w:color="auto" w:sz="4" w:space="0"/>
              <w:left w:val="single" w:color="auto" w:sz="4" w:space="0"/>
              <w:bottom w:val="single" w:color="auto" w:sz="4" w:space="0"/>
              <w:right w:val="single" w:color="auto" w:sz="4" w:space="0"/>
            </w:tcBorders>
            <w:vAlign w:val="center"/>
          </w:tcPr>
          <w:p w14:paraId="76F25F51">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0.42-0.60</w:t>
            </w:r>
          </w:p>
        </w:tc>
        <w:tc>
          <w:tcPr>
            <w:tcW w:w="500" w:type="pct"/>
            <w:tcBorders>
              <w:top w:val="single" w:color="auto" w:sz="4" w:space="0"/>
              <w:left w:val="single" w:color="auto" w:sz="4" w:space="0"/>
              <w:bottom w:val="single" w:color="auto" w:sz="4" w:space="0"/>
              <w:right w:val="single" w:color="auto" w:sz="4" w:space="0"/>
            </w:tcBorders>
            <w:vAlign w:val="center"/>
          </w:tcPr>
          <w:p w14:paraId="4B3FA95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30</w:t>
            </w:r>
          </w:p>
        </w:tc>
        <w:tc>
          <w:tcPr>
            <w:tcW w:w="500" w:type="pct"/>
            <w:tcBorders>
              <w:top w:val="single" w:color="auto" w:sz="4" w:space="0"/>
              <w:left w:val="single" w:color="auto" w:sz="4" w:space="0"/>
              <w:bottom w:val="single" w:color="auto" w:sz="4" w:space="0"/>
              <w:right w:val="single" w:color="auto" w:sz="4" w:space="0"/>
            </w:tcBorders>
            <w:vAlign w:val="center"/>
          </w:tcPr>
          <w:p w14:paraId="644FBB94">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61DC0237">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400F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9E0B8A0">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1D17B40F">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甲醇</w:t>
            </w:r>
          </w:p>
        </w:tc>
        <w:tc>
          <w:tcPr>
            <w:tcW w:w="665" w:type="pct"/>
            <w:tcBorders>
              <w:top w:val="single" w:color="auto" w:sz="4" w:space="0"/>
              <w:left w:val="single" w:color="auto" w:sz="4" w:space="0"/>
              <w:bottom w:val="single" w:color="auto" w:sz="4" w:space="0"/>
              <w:right w:val="single" w:color="auto" w:sz="4" w:space="0"/>
            </w:tcBorders>
            <w:vAlign w:val="center"/>
          </w:tcPr>
          <w:p w14:paraId="3163667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r>
              <w:rPr>
                <w:rFonts w:hint="eastAsia"/>
                <w:bCs/>
                <w:color w:val="000000"/>
                <w:kern w:val="2"/>
                <w:sz w:val="18"/>
                <w:szCs w:val="18"/>
                <w:lang w:bidi="ar"/>
              </w:rPr>
              <w:t>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4D5D990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3</w:t>
            </w:r>
          </w:p>
        </w:tc>
        <w:tc>
          <w:tcPr>
            <w:tcW w:w="1000" w:type="pct"/>
            <w:tcBorders>
              <w:top w:val="single" w:color="auto" w:sz="4" w:space="0"/>
              <w:left w:val="single" w:color="auto" w:sz="4" w:space="0"/>
              <w:bottom w:val="single" w:color="auto" w:sz="4" w:space="0"/>
              <w:right w:val="single" w:color="auto" w:sz="4" w:space="0"/>
            </w:tcBorders>
            <w:vAlign w:val="center"/>
          </w:tcPr>
          <w:p w14:paraId="1AC3655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&lt;0.40</w:t>
            </w:r>
          </w:p>
        </w:tc>
        <w:tc>
          <w:tcPr>
            <w:tcW w:w="500" w:type="pct"/>
            <w:tcBorders>
              <w:top w:val="single" w:color="auto" w:sz="4" w:space="0"/>
              <w:left w:val="single" w:color="auto" w:sz="4" w:space="0"/>
              <w:bottom w:val="single" w:color="auto" w:sz="4" w:space="0"/>
              <w:right w:val="single" w:color="auto" w:sz="4" w:space="0"/>
            </w:tcBorders>
            <w:vAlign w:val="center"/>
          </w:tcPr>
          <w:p w14:paraId="5512F03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5295C691">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56EF940C">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5C19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C1644EE">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6D5F37A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氰化氢</w:t>
            </w:r>
          </w:p>
        </w:tc>
        <w:tc>
          <w:tcPr>
            <w:tcW w:w="665" w:type="pct"/>
            <w:tcBorders>
              <w:top w:val="single" w:color="auto" w:sz="4" w:space="0"/>
              <w:left w:val="single" w:color="auto" w:sz="4" w:space="0"/>
              <w:bottom w:val="single" w:color="auto" w:sz="4" w:space="0"/>
              <w:right w:val="single" w:color="auto" w:sz="4" w:space="0"/>
            </w:tcBorders>
            <w:vAlign w:val="center"/>
          </w:tcPr>
          <w:p w14:paraId="78E5D4CE">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一小时平均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2421E164">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0.03</w:t>
            </w:r>
          </w:p>
        </w:tc>
        <w:tc>
          <w:tcPr>
            <w:tcW w:w="1000" w:type="pct"/>
            <w:tcBorders>
              <w:top w:val="single" w:color="auto" w:sz="4" w:space="0"/>
              <w:left w:val="single" w:color="auto" w:sz="4" w:space="0"/>
              <w:bottom w:val="single" w:color="auto" w:sz="4" w:space="0"/>
              <w:right w:val="single" w:color="auto" w:sz="4" w:space="0"/>
            </w:tcBorders>
            <w:vAlign w:val="center"/>
          </w:tcPr>
          <w:p w14:paraId="42D08B3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&lt;2×10</w:t>
            </w:r>
            <w:r>
              <w:rPr>
                <w:rFonts w:ascii="Times New Roman" w:hAnsi="Times New Roman" w:cs="Times New Roman"/>
                <w:bCs/>
                <w:color w:val="000000"/>
                <w:kern w:val="2"/>
                <w:sz w:val="18"/>
                <w:szCs w:val="18"/>
                <w:vertAlign w:val="superscript"/>
                <w:lang w:bidi="ar"/>
              </w:rPr>
              <w:t>-3</w:t>
            </w:r>
          </w:p>
        </w:tc>
        <w:tc>
          <w:tcPr>
            <w:tcW w:w="500" w:type="pct"/>
            <w:tcBorders>
              <w:top w:val="single" w:color="auto" w:sz="4" w:space="0"/>
              <w:left w:val="single" w:color="auto" w:sz="4" w:space="0"/>
              <w:bottom w:val="single" w:color="auto" w:sz="4" w:space="0"/>
              <w:right w:val="single" w:color="auto" w:sz="4" w:space="0"/>
            </w:tcBorders>
            <w:vAlign w:val="center"/>
          </w:tcPr>
          <w:p w14:paraId="5579F80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432C003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0A117DF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4121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C6A13BB">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6C83C712">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酚类</w:t>
            </w:r>
          </w:p>
        </w:tc>
        <w:tc>
          <w:tcPr>
            <w:tcW w:w="665" w:type="pct"/>
            <w:tcBorders>
              <w:top w:val="single" w:color="auto" w:sz="4" w:space="0"/>
              <w:left w:val="single" w:color="auto" w:sz="4" w:space="0"/>
              <w:bottom w:val="single" w:color="auto" w:sz="4" w:space="0"/>
              <w:right w:val="single" w:color="auto" w:sz="4" w:space="0"/>
            </w:tcBorders>
            <w:vAlign w:val="center"/>
          </w:tcPr>
          <w:p w14:paraId="1678EB1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一次值</w:t>
            </w:r>
          </w:p>
        </w:tc>
        <w:tc>
          <w:tcPr>
            <w:tcW w:w="583" w:type="pct"/>
            <w:tcBorders>
              <w:top w:val="single" w:color="auto" w:sz="4" w:space="0"/>
              <w:left w:val="single" w:color="auto" w:sz="4" w:space="0"/>
              <w:bottom w:val="single" w:color="auto" w:sz="4" w:space="0"/>
              <w:right w:val="single" w:color="auto" w:sz="4" w:space="0"/>
            </w:tcBorders>
            <w:vAlign w:val="center"/>
          </w:tcPr>
          <w:p w14:paraId="37DF740C">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0.02</w:t>
            </w:r>
          </w:p>
        </w:tc>
        <w:tc>
          <w:tcPr>
            <w:tcW w:w="1000" w:type="pct"/>
            <w:tcBorders>
              <w:top w:val="single" w:color="auto" w:sz="4" w:space="0"/>
              <w:left w:val="single" w:color="auto" w:sz="4" w:space="0"/>
              <w:bottom w:val="single" w:color="auto" w:sz="4" w:space="0"/>
              <w:right w:val="single" w:color="auto" w:sz="4" w:space="0"/>
            </w:tcBorders>
            <w:vAlign w:val="center"/>
          </w:tcPr>
          <w:p w14:paraId="1273CE0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&lt;0.003</w:t>
            </w:r>
          </w:p>
        </w:tc>
        <w:tc>
          <w:tcPr>
            <w:tcW w:w="500" w:type="pct"/>
            <w:tcBorders>
              <w:top w:val="single" w:color="auto" w:sz="4" w:space="0"/>
              <w:left w:val="single" w:color="auto" w:sz="4" w:space="0"/>
              <w:bottom w:val="single" w:color="auto" w:sz="4" w:space="0"/>
              <w:right w:val="single" w:color="auto" w:sz="4" w:space="0"/>
            </w:tcBorders>
            <w:vAlign w:val="center"/>
          </w:tcPr>
          <w:p w14:paraId="7FB3719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221A0E58">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5CA500F0">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r w14:paraId="5ED3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4914EE73">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430C7F1A">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臭气浓度</w:t>
            </w:r>
          </w:p>
        </w:tc>
        <w:tc>
          <w:tcPr>
            <w:tcW w:w="665" w:type="pct"/>
            <w:tcBorders>
              <w:top w:val="single" w:color="auto" w:sz="4" w:space="0"/>
              <w:left w:val="single" w:color="auto" w:sz="4" w:space="0"/>
              <w:bottom w:val="single" w:color="auto" w:sz="4" w:space="0"/>
              <w:right w:val="single" w:color="auto" w:sz="4" w:space="0"/>
            </w:tcBorders>
            <w:vAlign w:val="center"/>
          </w:tcPr>
          <w:p w14:paraId="5174F3AB">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83" w:type="pct"/>
            <w:tcBorders>
              <w:top w:val="single" w:color="auto" w:sz="4" w:space="0"/>
              <w:left w:val="single" w:color="auto" w:sz="4" w:space="0"/>
              <w:bottom w:val="single" w:color="auto" w:sz="4" w:space="0"/>
              <w:right w:val="single" w:color="auto" w:sz="4" w:space="0"/>
            </w:tcBorders>
            <w:vAlign w:val="center"/>
          </w:tcPr>
          <w:p w14:paraId="0EB4BE31">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1000" w:type="pct"/>
            <w:tcBorders>
              <w:top w:val="single" w:color="auto" w:sz="4" w:space="0"/>
              <w:left w:val="single" w:color="auto" w:sz="4" w:space="0"/>
              <w:bottom w:val="single" w:color="auto" w:sz="4" w:space="0"/>
              <w:right w:val="single" w:color="auto" w:sz="4" w:space="0"/>
            </w:tcBorders>
            <w:vAlign w:val="center"/>
          </w:tcPr>
          <w:p w14:paraId="46F113D3">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&lt;10-17</w:t>
            </w:r>
          </w:p>
        </w:tc>
        <w:tc>
          <w:tcPr>
            <w:tcW w:w="500" w:type="pct"/>
            <w:tcBorders>
              <w:top w:val="single" w:color="auto" w:sz="4" w:space="0"/>
              <w:left w:val="single" w:color="auto" w:sz="4" w:space="0"/>
              <w:bottom w:val="single" w:color="auto" w:sz="4" w:space="0"/>
              <w:right w:val="single" w:color="auto" w:sz="4" w:space="0"/>
            </w:tcBorders>
            <w:vAlign w:val="center"/>
          </w:tcPr>
          <w:p w14:paraId="29925E12">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6F2F98E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26" w:type="pct"/>
            <w:tcBorders>
              <w:top w:val="single" w:color="auto" w:sz="4" w:space="0"/>
              <w:left w:val="single" w:color="auto" w:sz="4" w:space="0"/>
              <w:bottom w:val="single" w:color="auto" w:sz="4" w:space="0"/>
              <w:right w:val="single" w:color="auto" w:sz="4" w:space="0"/>
            </w:tcBorders>
            <w:vAlign w:val="center"/>
          </w:tcPr>
          <w:p w14:paraId="1009B0E2">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r>
      <w:tr w14:paraId="3A72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615BA4B">
            <w:pPr>
              <w:rPr>
                <w:rFonts w:ascii="Times New Roman" w:hAnsi="Times New Roman" w:cs="Times New Roman"/>
                <w:sz w:val="20"/>
                <w:szCs w:val="20"/>
              </w:rPr>
            </w:pPr>
          </w:p>
        </w:tc>
        <w:tc>
          <w:tcPr>
            <w:tcW w:w="751" w:type="pct"/>
            <w:tcBorders>
              <w:top w:val="single" w:color="auto" w:sz="4" w:space="0"/>
              <w:left w:val="single" w:color="auto" w:sz="4" w:space="0"/>
              <w:bottom w:val="single" w:color="auto" w:sz="4" w:space="0"/>
              <w:right w:val="single" w:color="auto" w:sz="4" w:space="0"/>
            </w:tcBorders>
            <w:vAlign w:val="center"/>
          </w:tcPr>
          <w:p w14:paraId="3A98C13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硫酸雾</w:t>
            </w:r>
          </w:p>
        </w:tc>
        <w:tc>
          <w:tcPr>
            <w:tcW w:w="665" w:type="pct"/>
            <w:tcBorders>
              <w:top w:val="single" w:color="auto" w:sz="4" w:space="0"/>
              <w:left w:val="single" w:color="auto" w:sz="4" w:space="0"/>
              <w:bottom w:val="single" w:color="auto" w:sz="4" w:space="0"/>
              <w:right w:val="single" w:color="auto" w:sz="4" w:space="0"/>
            </w:tcBorders>
            <w:vAlign w:val="center"/>
          </w:tcPr>
          <w:p w14:paraId="11391919">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1</w:t>
            </w:r>
            <w:r>
              <w:rPr>
                <w:rFonts w:hint="eastAsia"/>
                <w:bCs/>
                <w:color w:val="000000"/>
                <w:kern w:val="2"/>
                <w:sz w:val="18"/>
                <w:szCs w:val="18"/>
                <w:lang w:bidi="ar"/>
              </w:rPr>
              <w:t>小时平均</w:t>
            </w:r>
          </w:p>
        </w:tc>
        <w:tc>
          <w:tcPr>
            <w:tcW w:w="583" w:type="pct"/>
            <w:tcBorders>
              <w:top w:val="single" w:color="auto" w:sz="4" w:space="0"/>
              <w:left w:val="single" w:color="auto" w:sz="4" w:space="0"/>
              <w:bottom w:val="single" w:color="auto" w:sz="4" w:space="0"/>
              <w:right w:val="single" w:color="auto" w:sz="4" w:space="0"/>
            </w:tcBorders>
            <w:vAlign w:val="center"/>
          </w:tcPr>
          <w:p w14:paraId="56849DCF">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0.3</w:t>
            </w:r>
          </w:p>
        </w:tc>
        <w:tc>
          <w:tcPr>
            <w:tcW w:w="1000" w:type="pct"/>
            <w:tcBorders>
              <w:top w:val="single" w:color="auto" w:sz="4" w:space="0"/>
              <w:left w:val="single" w:color="auto" w:sz="4" w:space="0"/>
              <w:bottom w:val="single" w:color="auto" w:sz="4" w:space="0"/>
              <w:right w:val="single" w:color="auto" w:sz="4" w:space="0"/>
            </w:tcBorders>
            <w:vAlign w:val="center"/>
          </w:tcPr>
          <w:p w14:paraId="38A70436">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&lt;0.005/</w:t>
            </w:r>
          </w:p>
        </w:tc>
        <w:tc>
          <w:tcPr>
            <w:tcW w:w="500" w:type="pct"/>
            <w:tcBorders>
              <w:top w:val="single" w:color="auto" w:sz="4" w:space="0"/>
              <w:left w:val="single" w:color="auto" w:sz="4" w:space="0"/>
              <w:bottom w:val="single" w:color="auto" w:sz="4" w:space="0"/>
              <w:right w:val="single" w:color="auto" w:sz="4" w:space="0"/>
            </w:tcBorders>
            <w:vAlign w:val="center"/>
          </w:tcPr>
          <w:p w14:paraId="7A5968A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w:t>
            </w:r>
          </w:p>
        </w:tc>
        <w:tc>
          <w:tcPr>
            <w:tcW w:w="500" w:type="pct"/>
            <w:tcBorders>
              <w:top w:val="single" w:color="auto" w:sz="4" w:space="0"/>
              <w:left w:val="single" w:color="auto" w:sz="4" w:space="0"/>
              <w:bottom w:val="single" w:color="auto" w:sz="4" w:space="0"/>
              <w:right w:val="single" w:color="auto" w:sz="4" w:space="0"/>
            </w:tcBorders>
            <w:vAlign w:val="center"/>
          </w:tcPr>
          <w:p w14:paraId="5311A59D">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ascii="Times New Roman" w:hAnsi="Times New Roman" w:cs="Times New Roman"/>
                <w:bCs/>
                <w:color w:val="000000"/>
                <w:kern w:val="2"/>
                <w:sz w:val="18"/>
                <w:szCs w:val="18"/>
                <w:lang w:bidi="ar"/>
              </w:rPr>
              <w:t>0</w:t>
            </w:r>
          </w:p>
        </w:tc>
        <w:tc>
          <w:tcPr>
            <w:tcW w:w="526" w:type="pct"/>
            <w:tcBorders>
              <w:top w:val="single" w:color="auto" w:sz="4" w:space="0"/>
              <w:left w:val="single" w:color="auto" w:sz="4" w:space="0"/>
              <w:bottom w:val="single" w:color="auto" w:sz="4" w:space="0"/>
              <w:right w:val="single" w:color="auto" w:sz="4" w:space="0"/>
            </w:tcBorders>
            <w:vAlign w:val="center"/>
          </w:tcPr>
          <w:p w14:paraId="670B601C">
            <w:pPr>
              <w:pStyle w:val="59"/>
              <w:widowControl w:val="0"/>
              <w:autoSpaceDE w:val="0"/>
              <w:autoSpaceDN w:val="0"/>
              <w:adjustRightInd w:val="0"/>
              <w:spacing w:before="0" w:beforeAutospacing="0" w:after="0" w:afterAutospacing="0"/>
              <w:jc w:val="center"/>
              <w:rPr>
                <w:rFonts w:ascii="Times New Roman" w:hAnsi="Times New Roman" w:cs="Times New Roman"/>
                <w:bCs/>
                <w:color w:val="000000"/>
                <w:kern w:val="2"/>
                <w:sz w:val="18"/>
                <w:szCs w:val="18"/>
              </w:rPr>
            </w:pPr>
            <w:r>
              <w:rPr>
                <w:rFonts w:hint="eastAsia"/>
                <w:bCs/>
                <w:color w:val="000000"/>
                <w:kern w:val="2"/>
                <w:sz w:val="18"/>
                <w:szCs w:val="18"/>
                <w:lang w:bidi="ar"/>
              </w:rPr>
              <w:t>达标</w:t>
            </w:r>
          </w:p>
        </w:tc>
      </w:tr>
    </w:tbl>
    <w:p w14:paraId="678CCCF9">
      <w:pPr>
        <w:pStyle w:val="281"/>
        <w:ind w:firstLine="480"/>
      </w:pPr>
      <w:r>
        <w:rPr>
          <w:rFonts w:hint="eastAsia"/>
        </w:rPr>
        <w:t>评价可知，各监测点其他污染物监测项目均符合相应环境质量标准，区域环境空气质量现状较好。</w:t>
      </w:r>
    </w:p>
    <w:p w14:paraId="1FA05B81">
      <w:pPr>
        <w:pStyle w:val="97"/>
        <w:rPr>
          <w:rFonts w:hint="eastAsia"/>
        </w:rPr>
      </w:pPr>
      <w:r>
        <w:rPr>
          <w:rFonts w:hint="eastAsia"/>
        </w:rPr>
        <w:t>水环境质量现状调查与评价</w:t>
      </w:r>
    </w:p>
    <w:p w14:paraId="65E31EAE">
      <w:pPr>
        <w:pStyle w:val="98"/>
        <w:rPr>
          <w:rFonts w:hint="eastAsia"/>
        </w:rPr>
      </w:pPr>
      <w:r>
        <w:rPr>
          <w:rFonts w:hint="eastAsia"/>
        </w:rPr>
        <w:t>地表水</w:t>
      </w:r>
    </w:p>
    <w:p w14:paraId="551CE99A">
      <w:pPr>
        <w:pStyle w:val="281"/>
        <w:ind w:firstLine="480"/>
      </w:pPr>
      <w:r>
        <w:rPr>
          <w:rFonts w:hint="eastAsia"/>
        </w:rPr>
        <w:t>本次地表水环境质量现状调查采用引用数据的方式，引用数据来源于《哈密高新技术产业开发区化工产业集中区总体规划（2023-2035年）环境影响报告书》中地表水监测数据，监测单位为新疆点点星光检测技术有限公司。</w:t>
      </w:r>
    </w:p>
    <w:p w14:paraId="513AA477">
      <w:pPr>
        <w:pStyle w:val="281"/>
        <w:ind w:firstLine="480"/>
        <w:rPr>
          <w:snapToGrid w:val="0"/>
        </w:rPr>
      </w:pPr>
      <w:r>
        <w:rPr>
          <w:rFonts w:hint="eastAsia"/>
          <w:snapToGrid w:val="0"/>
        </w:rPr>
        <w:t>（1）监测点位布设及监测时间、监测频次</w:t>
      </w:r>
    </w:p>
    <w:p w14:paraId="51C45C2B">
      <w:pPr>
        <w:pStyle w:val="281"/>
        <w:ind w:firstLine="480"/>
      </w:pPr>
      <w:r>
        <w:rPr>
          <w:rFonts w:hint="eastAsia"/>
        </w:rPr>
        <w:t>本次地表水环境质量现状监测在南湖水库布设1个地表水监测点，根据《哈密高新技术产业开发区化工产业集中区总体规划（2023-2035年）环境影响报告书》，南湖水库现状使用功能为水产养殖、灌溉。地表水监测点位详见图</w:t>
      </w:r>
      <w:r>
        <w:t>4.3</w:t>
      </w:r>
      <w:r>
        <w:rPr>
          <w:rFonts w:hint="eastAsia"/>
        </w:rPr>
        <w:t>.2</w:t>
      </w:r>
      <w:r>
        <w:t>-</w:t>
      </w:r>
      <w:r>
        <w:rPr>
          <w:rFonts w:hint="eastAsia"/>
        </w:rPr>
        <w:t>1。监测时间为2023年2月10日，监测1天，采样1次。</w:t>
      </w:r>
    </w:p>
    <w:p w14:paraId="7510CFE2">
      <w:pPr>
        <w:overflowPunct w:val="0"/>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（2）监测项目</w:t>
      </w:r>
    </w:p>
    <w:p w14:paraId="21041162">
      <w:pPr>
        <w:pStyle w:val="281"/>
        <w:ind w:firstLine="480"/>
        <w:rPr>
          <w:rFonts w:cs="Times New Roman"/>
          <w:snapToGrid w:val="0"/>
          <w:szCs w:val="24"/>
        </w:rPr>
      </w:pPr>
      <w:r>
        <w:rPr>
          <w:rFonts w:hint="eastAsia"/>
        </w:rPr>
        <w:t>pH、溶解氧、CODcr、高锰酸盐指数、BOD</w:t>
      </w:r>
      <w:r>
        <w:rPr>
          <w:rFonts w:hint="eastAsia"/>
          <w:vertAlign w:val="subscript"/>
        </w:rPr>
        <w:t>5</w:t>
      </w:r>
      <w:r>
        <w:rPr>
          <w:rFonts w:hint="eastAsia"/>
        </w:rPr>
        <w:t>、挥发酚、氟化物、氯化物、氨氮、氰化物、硫化物、铜、锌、铅、汞、镉、硒、砷、六价铬、总磷、总氮、硫酸盐、硝酸盐、石油类、粪大肠菌群、阴离子表面活性剂、水温等。</w:t>
      </w:r>
    </w:p>
    <w:p w14:paraId="341B8EE1">
      <w:pPr>
        <w:overflowPunct w:val="0"/>
        <w:spacing w:line="360" w:lineRule="auto"/>
        <w:ind w:firstLine="480" w:firstLineChars="200"/>
        <w:jc w:val="both"/>
        <w:rPr>
          <w:rFonts w:ascii="Times New Roman" w:hAnsi="Times New Roman" w:cs="Times New Roman"/>
        </w:rPr>
      </w:pPr>
      <w:r>
        <w:rPr>
          <w:rFonts w:ascii="Times New Roman" w:hAnsi="Times New Roman" w:cs="Times New Roman"/>
        </w:rPr>
        <w:t>（3）采样及分析方法</w:t>
      </w:r>
    </w:p>
    <w:p w14:paraId="20452302">
      <w:pPr>
        <w:overflowPunct w:val="0"/>
        <w:spacing w:line="360" w:lineRule="auto"/>
        <w:ind w:firstLine="480" w:firstLineChars="200"/>
        <w:jc w:val="both"/>
        <w:rPr>
          <w:rFonts w:ascii="Times New Roman" w:hAnsi="Times New Roman" w:cs="Times New Roman"/>
        </w:rPr>
      </w:pPr>
      <w:r>
        <w:rPr>
          <w:rFonts w:ascii="Times New Roman" w:hAnsi="Times New Roman" w:cs="Times New Roman"/>
        </w:rPr>
        <w:t>各地下水监测项目的采样及分析方法均按照《水环境水质监测质量保证手册</w:t>
      </w:r>
      <w:r>
        <w:rPr>
          <w:rFonts w:hint="eastAsia" w:ascii="Times New Roman" w:hAnsi="Times New Roman" w:cs="Times New Roman"/>
        </w:rPr>
        <w:t>》《</w:t>
      </w:r>
      <w:r>
        <w:rPr>
          <w:rFonts w:ascii="Times New Roman" w:hAnsi="Times New Roman" w:cs="Times New Roman"/>
        </w:rPr>
        <w:t>水和废水监测分析方法》中的有关规定进行。</w:t>
      </w:r>
    </w:p>
    <w:p w14:paraId="175CD254">
      <w:pPr>
        <w:pStyle w:val="281"/>
        <w:ind w:firstLine="480"/>
      </w:pPr>
    </w:p>
    <w:p w14:paraId="5EFDA8BF">
      <w:pPr>
        <w:jc w:val="center"/>
        <w:rPr>
          <w:rFonts w:hint="eastAsia"/>
        </w:rPr>
      </w:pPr>
    </w:p>
    <w:p w14:paraId="443F851F">
      <w:pPr>
        <w:pStyle w:val="645"/>
        <w:rPr>
          <w:rFonts w:hint="eastAsia"/>
        </w:rPr>
      </w:pPr>
      <w:r>
        <w:rPr>
          <w:rFonts w:hint="eastAsia"/>
        </w:rPr>
        <w:t>图4.3.2-1    地表水监测布点图</w:t>
      </w:r>
    </w:p>
    <w:p w14:paraId="53E2D904">
      <w:pPr>
        <w:overflowPunct w:val="0"/>
        <w:spacing w:line="360" w:lineRule="auto"/>
        <w:ind w:firstLine="480" w:firstLineChars="200"/>
        <w:rPr>
          <w:rFonts w:ascii="Times New Roman" w:hAnsi="Times New Roman" w:cs="Times New Roman"/>
        </w:rPr>
      </w:pPr>
      <w:r>
        <w:rPr>
          <w:rFonts w:ascii="Times New Roman" w:hAnsi="Times New Roman" w:cs="Times New Roman"/>
        </w:rPr>
        <w:t>（4）评价方法</w:t>
      </w:r>
    </w:p>
    <w:p w14:paraId="40AC57BA">
      <w:pPr>
        <w:overflowPunct w:val="0"/>
        <w:spacing w:line="360" w:lineRule="auto"/>
        <w:ind w:firstLine="480" w:firstLineChars="200"/>
        <w:rPr>
          <w:rFonts w:ascii="Times New Roman" w:hAnsi="Times New Roman" w:cs="Times New Roman"/>
        </w:rPr>
      </w:pPr>
      <w:r>
        <w:rPr>
          <w:rFonts w:ascii="Times New Roman" w:hAnsi="Times New Roman" w:cs="Times New Roman"/>
        </w:rPr>
        <w:t>采用单因子标准指数法对地表水环境质量进行现状评价。</w:t>
      </w:r>
    </w:p>
    <w:p w14:paraId="2EAE5C47">
      <w:pPr>
        <w:overflowPunct w:val="0"/>
        <w:spacing w:line="360" w:lineRule="auto"/>
        <w:ind w:firstLine="480" w:firstLineChars="200"/>
        <w:rPr>
          <w:rFonts w:ascii="Times New Roman" w:hAnsi="Times New Roman" w:cs="Times New Roman"/>
        </w:rPr>
      </w:pPr>
      <w:r>
        <w:rPr>
          <w:rFonts w:ascii="Times New Roman" w:hAnsi="Times New Roman" w:cs="Times New Roman"/>
        </w:rPr>
        <w:t>单因子标准指数法公式如下：</w:t>
      </w:r>
    </w:p>
    <w:p w14:paraId="7216E43C">
      <w:pPr>
        <w:overflowPunct w:val="0"/>
        <w:spacing w:line="360" w:lineRule="auto"/>
        <w:ind w:firstLine="480" w:firstLineChars="200"/>
        <w:jc w:val="center"/>
        <w:rPr>
          <w:rFonts w:ascii="Times New Roman" w:hAnsi="Times New Roman" w:cs="Times New Roman"/>
        </w:rPr>
      </w:pPr>
      <w:r>
        <w:rPr>
          <w:rFonts w:ascii="Times New Roman" w:hAnsi="Times New Roman" w:cs="Times New Roman"/>
        </w:rPr>
        <w:drawing>
          <wp:inline distT="0" distB="0" distL="0" distR="0">
            <wp:extent cx="641350" cy="464185"/>
            <wp:effectExtent l="0" t="0" r="0" b="0"/>
            <wp:docPr id="864367303" name="图片 86436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67303" name="图片 8643673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41350" cy="464185"/>
                    </a:xfrm>
                    <a:prstGeom prst="rect">
                      <a:avLst/>
                    </a:prstGeom>
                    <a:noFill/>
                    <a:ln>
                      <a:noFill/>
                    </a:ln>
                  </pic:spPr>
                </pic:pic>
              </a:graphicData>
            </a:graphic>
          </wp:inline>
        </w:drawing>
      </w:r>
    </w:p>
    <w:p w14:paraId="733EC6D5">
      <w:pPr>
        <w:overflowPunct w:val="0"/>
        <w:spacing w:line="360" w:lineRule="auto"/>
        <w:ind w:firstLine="480" w:firstLineChars="200"/>
        <w:rPr>
          <w:rFonts w:ascii="Times New Roman" w:hAnsi="Times New Roman" w:cs="Times New Roman"/>
          <w:sz w:val="21"/>
        </w:rPr>
      </w:pPr>
      <w:r>
        <w:rPr>
          <w:rFonts w:ascii="Times New Roman" w:hAnsi="Times New Roman" w:cs="Times New Roman"/>
        </w:rPr>
        <w:t>式中：</w:t>
      </w:r>
      <w:r>
        <w:rPr>
          <w:rFonts w:ascii="Times New Roman" w:hAnsi="Times New Roman" w:cs="Times New Roman"/>
          <w:sz w:val="21"/>
        </w:rPr>
        <w:t>S</w:t>
      </w:r>
      <w:r>
        <w:rPr>
          <w:rFonts w:ascii="Times New Roman" w:hAnsi="Times New Roman" w:cs="Times New Roman"/>
          <w:sz w:val="21"/>
          <w:vertAlign w:val="subscript"/>
        </w:rPr>
        <w:t>i，j</w:t>
      </w:r>
      <w:r>
        <w:rPr>
          <w:rFonts w:ascii="Times New Roman" w:hAnsi="Times New Roman" w:cs="Times New Roman"/>
          <w:sz w:val="21"/>
        </w:rPr>
        <w:t>—单项水质参数i在第j点的标准指数；</w:t>
      </w:r>
    </w:p>
    <w:p w14:paraId="4A5ECF17">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C</w:t>
      </w:r>
      <w:r>
        <w:rPr>
          <w:rFonts w:ascii="Times New Roman" w:hAnsi="Times New Roman" w:cs="Times New Roman"/>
          <w:sz w:val="21"/>
          <w:vertAlign w:val="subscript"/>
        </w:rPr>
        <w:t>i，j</w:t>
      </w:r>
      <w:r>
        <w:rPr>
          <w:rFonts w:ascii="Times New Roman" w:hAnsi="Times New Roman" w:cs="Times New Roman"/>
          <w:sz w:val="21"/>
        </w:rPr>
        <w:t>—水质评价因子i在第j取样点的浓度，mg/L；</w:t>
      </w:r>
    </w:p>
    <w:p w14:paraId="323B8CFC">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C</w:t>
      </w:r>
      <w:r>
        <w:rPr>
          <w:rFonts w:ascii="Times New Roman" w:hAnsi="Times New Roman" w:cs="Times New Roman"/>
          <w:sz w:val="21"/>
          <w:vertAlign w:val="subscript"/>
        </w:rPr>
        <w:t>si</w:t>
      </w:r>
      <w:r>
        <w:rPr>
          <w:rFonts w:ascii="Times New Roman" w:hAnsi="Times New Roman" w:cs="Times New Roman"/>
          <w:sz w:val="21"/>
        </w:rPr>
        <w:t>—i因子的评价标准，mg/L。</w:t>
      </w:r>
    </w:p>
    <w:p w14:paraId="319C5B0B">
      <w:pPr>
        <w:overflowPunct w:val="0"/>
        <w:spacing w:line="360" w:lineRule="auto"/>
        <w:ind w:firstLine="480" w:firstLineChars="200"/>
        <w:rPr>
          <w:rFonts w:ascii="Times New Roman" w:hAnsi="Times New Roman" w:cs="Times New Roman"/>
        </w:rPr>
      </w:pPr>
      <w:r>
        <w:rPr>
          <w:rFonts w:ascii="Times New Roman" w:hAnsi="Times New Roman" w:cs="Times New Roman"/>
        </w:rPr>
        <w:t>pH的标准指数为：</w:t>
      </w:r>
    </w:p>
    <w:p w14:paraId="565D7103">
      <w:pPr>
        <w:overflowPunct w:val="0"/>
        <w:spacing w:line="360" w:lineRule="auto"/>
        <w:ind w:firstLine="480" w:firstLineChars="200"/>
        <w:rPr>
          <w:rFonts w:hint="eastAsia"/>
        </w:rPr>
      </w:pPr>
      <w:r>
        <w:rPr>
          <w:rFonts w:hint="eastAsia"/>
        </w:rPr>
        <w:t>对于以评价标准为区间值的水质参数时，其单项指数式为：</w:t>
      </w:r>
    </w:p>
    <w:p w14:paraId="59C56CE2">
      <w:pPr>
        <w:overflowPunct w:val="0"/>
        <w:spacing w:line="360" w:lineRule="auto"/>
        <w:ind w:firstLine="480" w:firstLineChars="200"/>
        <w:jc w:val="center"/>
        <w:rPr>
          <w:rFonts w:hint="eastAsia"/>
        </w:rPr>
      </w:pPr>
      <w:r>
        <w:drawing>
          <wp:inline distT="0" distB="0" distL="0" distR="0">
            <wp:extent cx="1187450" cy="450215"/>
            <wp:effectExtent l="0" t="0" r="0" b="0"/>
            <wp:docPr id="10119961" name="图片 101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61" name="图片 101199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87450" cy="450215"/>
                    </a:xfrm>
                    <a:prstGeom prst="rect">
                      <a:avLst/>
                    </a:prstGeom>
                    <a:noFill/>
                    <a:ln>
                      <a:noFill/>
                    </a:ln>
                  </pic:spPr>
                </pic:pic>
              </a:graphicData>
            </a:graphic>
          </wp:inline>
        </w:drawing>
      </w:r>
      <w:r>
        <w:drawing>
          <wp:inline distT="0" distB="0" distL="0" distR="0">
            <wp:extent cx="655320" cy="198120"/>
            <wp:effectExtent l="0" t="0" r="0" b="0"/>
            <wp:docPr id="233031226" name="图片 23303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31226" name="图片 2330312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5320" cy="198120"/>
                    </a:xfrm>
                    <a:prstGeom prst="rect">
                      <a:avLst/>
                    </a:prstGeom>
                    <a:noFill/>
                    <a:ln>
                      <a:noFill/>
                    </a:ln>
                  </pic:spPr>
                </pic:pic>
              </a:graphicData>
            </a:graphic>
          </wp:inline>
        </w:drawing>
      </w:r>
    </w:p>
    <w:p w14:paraId="05EF106B">
      <w:pPr>
        <w:overflowPunct w:val="0"/>
        <w:spacing w:line="360" w:lineRule="auto"/>
        <w:ind w:firstLine="480" w:firstLineChars="200"/>
        <w:jc w:val="center"/>
        <w:rPr>
          <w:rFonts w:hint="eastAsia"/>
        </w:rPr>
      </w:pPr>
      <w:r>
        <w:drawing>
          <wp:inline distT="0" distB="0" distL="0" distR="0">
            <wp:extent cx="1207770" cy="450215"/>
            <wp:effectExtent l="0" t="0" r="0" b="0"/>
            <wp:docPr id="444839331" name="图片 4448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9331" name="图片 4448393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07770" cy="450215"/>
                    </a:xfrm>
                    <a:prstGeom prst="rect">
                      <a:avLst/>
                    </a:prstGeom>
                    <a:noFill/>
                    <a:ln>
                      <a:noFill/>
                    </a:ln>
                  </pic:spPr>
                </pic:pic>
              </a:graphicData>
            </a:graphic>
          </wp:inline>
        </w:drawing>
      </w:r>
      <w:r>
        <w:drawing>
          <wp:inline distT="0" distB="0" distL="0" distR="0">
            <wp:extent cx="682625" cy="238760"/>
            <wp:effectExtent l="0" t="0" r="0" b="0"/>
            <wp:docPr id="1113969796" name="图片 111396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69796" name="图片 11139697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82625" cy="238760"/>
                    </a:xfrm>
                    <a:prstGeom prst="rect">
                      <a:avLst/>
                    </a:prstGeom>
                    <a:noFill/>
                    <a:ln>
                      <a:noFill/>
                    </a:ln>
                  </pic:spPr>
                </pic:pic>
              </a:graphicData>
            </a:graphic>
          </wp:inline>
        </w:drawing>
      </w:r>
    </w:p>
    <w:p w14:paraId="3F558514">
      <w:pPr>
        <w:overflowPunct w:val="0"/>
        <w:spacing w:line="360" w:lineRule="auto"/>
        <w:ind w:firstLine="480" w:firstLineChars="200"/>
        <w:rPr>
          <w:rFonts w:ascii="Times New Roman" w:hAnsi="Times New Roman" w:cs="Times New Roman"/>
          <w:sz w:val="21"/>
        </w:rPr>
      </w:pPr>
      <w:r>
        <w:rPr>
          <w:rFonts w:ascii="Times New Roman" w:hAnsi="Times New Roman" w:cs="Times New Roman"/>
        </w:rPr>
        <w:t>式中：</w:t>
      </w:r>
      <w:r>
        <w:rPr>
          <w:rFonts w:ascii="Times New Roman" w:hAnsi="Times New Roman" w:cs="Times New Roman"/>
          <w:sz w:val="21"/>
        </w:rPr>
        <w:t>S</w:t>
      </w:r>
      <w:r>
        <w:rPr>
          <w:rFonts w:ascii="Times New Roman" w:hAnsi="Times New Roman" w:cs="Times New Roman"/>
          <w:sz w:val="21"/>
          <w:vertAlign w:val="subscript"/>
        </w:rPr>
        <w:t>ij</w:t>
      </w:r>
      <w:r>
        <w:rPr>
          <w:rFonts w:ascii="Times New Roman" w:hAnsi="Times New Roman" w:cs="Times New Roman"/>
          <w:sz w:val="21"/>
        </w:rPr>
        <w:t>——某污染物的标准指数；</w:t>
      </w:r>
    </w:p>
    <w:p w14:paraId="4EDF308C">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S</w:t>
      </w:r>
      <w:r>
        <w:rPr>
          <w:rFonts w:ascii="Times New Roman" w:hAnsi="Times New Roman" w:cs="Times New Roman"/>
          <w:sz w:val="21"/>
          <w:vertAlign w:val="subscript"/>
        </w:rPr>
        <w:t>pHj</w:t>
      </w:r>
      <w:r>
        <w:rPr>
          <w:rFonts w:ascii="Times New Roman" w:hAnsi="Times New Roman" w:cs="Times New Roman"/>
          <w:sz w:val="21"/>
        </w:rPr>
        <w:t>——pH标准指数；</w:t>
      </w:r>
    </w:p>
    <w:p w14:paraId="6356545B">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pH</w:t>
      </w:r>
      <w:r>
        <w:rPr>
          <w:rFonts w:ascii="Times New Roman" w:hAnsi="Times New Roman" w:cs="Times New Roman"/>
          <w:sz w:val="21"/>
          <w:vertAlign w:val="subscript"/>
        </w:rPr>
        <w:t>j</w:t>
      </w:r>
      <w:r>
        <w:rPr>
          <w:rFonts w:ascii="Times New Roman" w:hAnsi="Times New Roman" w:cs="Times New Roman"/>
          <w:sz w:val="21"/>
        </w:rPr>
        <w:t>——j点实测pH值；</w:t>
      </w:r>
    </w:p>
    <w:p w14:paraId="01EF1DAD">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pH</w:t>
      </w:r>
      <w:r>
        <w:rPr>
          <w:rFonts w:ascii="Times New Roman" w:hAnsi="Times New Roman" w:cs="Times New Roman"/>
          <w:sz w:val="21"/>
          <w:vertAlign w:val="subscript"/>
        </w:rPr>
        <w:t>sd</w:t>
      </w:r>
      <w:r>
        <w:rPr>
          <w:rFonts w:ascii="Times New Roman" w:hAnsi="Times New Roman" w:cs="Times New Roman"/>
          <w:sz w:val="21"/>
        </w:rPr>
        <w:t>——标准中pH的下限值（6）；</w:t>
      </w:r>
    </w:p>
    <w:p w14:paraId="4D521791">
      <w:pPr>
        <w:overflowPunct w:val="0"/>
        <w:spacing w:line="360" w:lineRule="auto"/>
        <w:ind w:firstLine="1260" w:firstLineChars="600"/>
        <w:rPr>
          <w:rFonts w:ascii="Times New Roman" w:hAnsi="Times New Roman" w:cs="Times New Roman"/>
          <w:sz w:val="21"/>
        </w:rPr>
      </w:pPr>
      <w:r>
        <w:rPr>
          <w:rFonts w:ascii="Times New Roman" w:hAnsi="Times New Roman" w:cs="Times New Roman"/>
          <w:sz w:val="21"/>
        </w:rPr>
        <w:t>pH</w:t>
      </w:r>
      <w:r>
        <w:rPr>
          <w:rFonts w:ascii="Times New Roman" w:hAnsi="Times New Roman" w:cs="Times New Roman"/>
          <w:sz w:val="21"/>
          <w:vertAlign w:val="subscript"/>
        </w:rPr>
        <w:t>su</w:t>
      </w:r>
      <w:r>
        <w:rPr>
          <w:rFonts w:ascii="Times New Roman" w:hAnsi="Times New Roman" w:cs="Times New Roman"/>
          <w:sz w:val="21"/>
        </w:rPr>
        <w:t>——标准中pH的上限值（9）。</w:t>
      </w:r>
    </w:p>
    <w:p w14:paraId="615EE57A">
      <w:pPr>
        <w:overflowPunct w:val="0"/>
        <w:spacing w:line="360" w:lineRule="auto"/>
        <w:ind w:firstLine="480" w:firstLineChars="200"/>
        <w:rPr>
          <w:rFonts w:ascii="Times New Roman" w:hAnsi="Times New Roman" w:cs="Times New Roman"/>
        </w:rPr>
      </w:pPr>
      <w:r>
        <w:rPr>
          <w:rFonts w:ascii="Times New Roman" w:hAnsi="Times New Roman" w:cs="Times New Roman"/>
        </w:rPr>
        <w:t>当S</w:t>
      </w:r>
      <w:r>
        <w:rPr>
          <w:rFonts w:ascii="Times New Roman" w:hAnsi="Times New Roman" w:cs="Times New Roman"/>
          <w:vertAlign w:val="subscript"/>
        </w:rPr>
        <w:t>i，j</w:t>
      </w:r>
      <w:r>
        <w:rPr>
          <w:rFonts w:ascii="Times New Roman" w:hAnsi="Times New Roman" w:cs="Times New Roman"/>
        </w:rPr>
        <w:t>＞1时，表明该水质参数超过了规定的水质标准，S</w:t>
      </w:r>
      <w:r>
        <w:rPr>
          <w:rFonts w:ascii="Times New Roman" w:hAnsi="Times New Roman" w:cs="Times New Roman"/>
          <w:vertAlign w:val="subscript"/>
        </w:rPr>
        <w:t>i，j</w:t>
      </w:r>
      <w:r>
        <w:rPr>
          <w:rFonts w:ascii="Times New Roman" w:hAnsi="Times New Roman" w:cs="Times New Roman"/>
        </w:rPr>
        <w:t>＜1时，说明该水质可以达到规定的水质标准。</w:t>
      </w:r>
    </w:p>
    <w:p w14:paraId="109654F6">
      <w:pPr>
        <w:overflowPunct w:val="0"/>
        <w:spacing w:line="360" w:lineRule="auto"/>
        <w:ind w:firstLine="480" w:firstLineChars="200"/>
        <w:rPr>
          <w:rFonts w:ascii="Times New Roman" w:hAnsi="Times New Roman" w:cs="Times New Roman"/>
        </w:rPr>
      </w:pPr>
      <w:r>
        <w:rPr>
          <w:rFonts w:ascii="Times New Roman" w:hAnsi="Times New Roman" w:cs="Times New Roman"/>
        </w:rPr>
        <w:t>（5）监测结果</w:t>
      </w:r>
    </w:p>
    <w:p w14:paraId="72461A76">
      <w:pPr>
        <w:overflowPunct w:val="0"/>
        <w:spacing w:line="360" w:lineRule="auto"/>
        <w:ind w:firstLine="480" w:firstLineChars="200"/>
        <w:rPr>
          <w:rFonts w:ascii="Times New Roman" w:hAnsi="Times New Roman" w:cs="Times New Roman"/>
        </w:rPr>
      </w:pPr>
      <w:r>
        <w:rPr>
          <w:rFonts w:ascii="Times New Roman" w:hAnsi="Times New Roman" w:cs="Times New Roman"/>
        </w:rPr>
        <w:t>地表水环境质量现状监测结果见</w:t>
      </w:r>
      <w:r>
        <w:rPr>
          <w:rFonts w:ascii="Times New Roman" w:hAnsi="Times New Roman" w:cs="Times New Roman"/>
          <w:snapToGrid w:val="0"/>
        </w:rPr>
        <w:t>表4.3.2-</w:t>
      </w:r>
      <w:r>
        <w:rPr>
          <w:rFonts w:hint="eastAsia" w:ascii="Times New Roman" w:hAnsi="Times New Roman" w:cs="Times New Roman"/>
          <w:snapToGrid w:val="0"/>
        </w:rPr>
        <w:t>1</w:t>
      </w:r>
      <w:r>
        <w:rPr>
          <w:rFonts w:ascii="Times New Roman" w:hAnsi="Times New Roman" w:cs="Times New Roman"/>
        </w:rPr>
        <w:t>。</w:t>
      </w:r>
    </w:p>
    <w:p w14:paraId="06720A72">
      <w:pPr>
        <w:overflowPunct w:val="0"/>
        <w:spacing w:line="360" w:lineRule="auto"/>
        <w:ind w:firstLine="480" w:firstLineChars="200"/>
        <w:rPr>
          <w:rFonts w:ascii="Times New Roman" w:hAnsi="Times New Roman" w:cs="Times New Roman"/>
        </w:rPr>
      </w:pPr>
      <w:r>
        <w:rPr>
          <w:rFonts w:ascii="Times New Roman" w:hAnsi="Times New Roman" w:cs="Times New Roman"/>
        </w:rPr>
        <w:t>（6）评价标准</w:t>
      </w:r>
    </w:p>
    <w:p w14:paraId="60076857">
      <w:pPr>
        <w:overflowPunct w:val="0"/>
        <w:spacing w:line="360" w:lineRule="auto"/>
        <w:ind w:firstLine="480" w:firstLineChars="200"/>
        <w:rPr>
          <w:rFonts w:ascii="Times New Roman" w:hAnsi="Times New Roman" w:cs="Times New Roman"/>
        </w:rPr>
      </w:pPr>
      <w:r>
        <w:rPr>
          <w:rFonts w:ascii="Times New Roman" w:hAnsi="Times New Roman" w:cs="Times New Roman"/>
        </w:rPr>
        <w:t>评价标准采用《地表水环境质量标准》（GB 3838-2002）中的</w:t>
      </w:r>
      <w:r>
        <w:rPr>
          <w:rFonts w:hint="eastAsia" w:ascii="Times New Roman" w:hAnsi="Times New Roman" w:cs="Times New Roman"/>
        </w:rPr>
        <w:t>III</w:t>
      </w:r>
      <w:r>
        <w:rPr>
          <w:rFonts w:ascii="Times New Roman" w:hAnsi="Times New Roman" w:cs="Times New Roman"/>
        </w:rPr>
        <w:t>类标准。</w:t>
      </w:r>
    </w:p>
    <w:p w14:paraId="173AC2E6">
      <w:pPr>
        <w:overflowPunct w:val="0"/>
        <w:spacing w:line="360" w:lineRule="auto"/>
        <w:ind w:firstLine="480" w:firstLineChars="200"/>
        <w:rPr>
          <w:rFonts w:ascii="Times New Roman" w:hAnsi="Times New Roman" w:cs="Times New Roman"/>
        </w:rPr>
      </w:pPr>
      <w:r>
        <w:rPr>
          <w:rFonts w:ascii="Times New Roman" w:hAnsi="Times New Roman" w:cs="Times New Roman"/>
        </w:rPr>
        <w:t>（7）评价结果</w:t>
      </w:r>
    </w:p>
    <w:p w14:paraId="4453BD9B">
      <w:pPr>
        <w:overflowPunct w:val="0"/>
        <w:spacing w:line="360" w:lineRule="auto"/>
        <w:ind w:firstLine="480" w:firstLineChars="200"/>
        <w:rPr>
          <w:rFonts w:ascii="Times New Roman" w:hAnsi="Times New Roman" w:cs="Times New Roman"/>
        </w:rPr>
      </w:pPr>
      <w:r>
        <w:rPr>
          <w:rFonts w:ascii="Times New Roman" w:hAnsi="Times New Roman" w:cs="Times New Roman"/>
        </w:rPr>
        <w:t>地表水环境质量现状评价结果见</w:t>
      </w:r>
      <w:r>
        <w:rPr>
          <w:rFonts w:ascii="Times New Roman" w:hAnsi="Times New Roman" w:cs="Times New Roman"/>
          <w:snapToGrid w:val="0"/>
        </w:rPr>
        <w:t>表4.3.2-</w:t>
      </w:r>
      <w:r>
        <w:rPr>
          <w:rFonts w:hint="eastAsia" w:ascii="Times New Roman" w:hAnsi="Times New Roman" w:cs="Times New Roman"/>
          <w:snapToGrid w:val="0"/>
        </w:rPr>
        <w:t>1</w:t>
      </w:r>
      <w:r>
        <w:rPr>
          <w:rFonts w:ascii="Times New Roman" w:hAnsi="Times New Roman" w:cs="Times New Roman"/>
        </w:rPr>
        <w:t>。</w:t>
      </w:r>
    </w:p>
    <w:p w14:paraId="5B9DCB28">
      <w:pPr>
        <w:spacing w:line="360" w:lineRule="auto"/>
        <w:jc w:val="center"/>
        <w:rPr>
          <w:rFonts w:hint="eastAsia" w:ascii="黑体" w:hAnsi="黑体" w:eastAsia="黑体"/>
          <w:b/>
        </w:rPr>
      </w:pPr>
      <w:r>
        <w:rPr>
          <w:rFonts w:hint="eastAsia" w:ascii="黑体" w:hAnsi="黑体" w:eastAsia="黑体"/>
          <w:b/>
          <w:snapToGrid w:val="0"/>
        </w:rPr>
        <w:t>表</w:t>
      </w:r>
      <w:r>
        <w:rPr>
          <w:rFonts w:ascii="黑体" w:hAnsi="黑体" w:eastAsia="黑体"/>
          <w:b/>
          <w:snapToGrid w:val="0"/>
        </w:rPr>
        <w:t>4.3</w:t>
      </w:r>
      <w:r>
        <w:rPr>
          <w:rFonts w:hint="eastAsia" w:ascii="黑体" w:hAnsi="黑体" w:eastAsia="黑体"/>
          <w:b/>
          <w:snapToGrid w:val="0"/>
        </w:rPr>
        <w:t>.2</w:t>
      </w:r>
      <w:r>
        <w:rPr>
          <w:rFonts w:ascii="黑体" w:hAnsi="黑体" w:eastAsia="黑体"/>
          <w:b/>
          <w:snapToGrid w:val="0"/>
        </w:rPr>
        <w:t>-</w:t>
      </w:r>
      <w:r>
        <w:rPr>
          <w:rFonts w:hint="eastAsia" w:ascii="黑体" w:hAnsi="黑体" w:eastAsia="黑体"/>
          <w:b/>
          <w:snapToGrid w:val="0"/>
        </w:rPr>
        <w:t>1</w:t>
      </w:r>
      <w:r>
        <w:rPr>
          <w:rFonts w:ascii="黑体" w:hAnsi="黑体" w:eastAsia="黑体"/>
          <w:b/>
        </w:rPr>
        <w:t xml:space="preserve">    </w:t>
      </w:r>
      <w:r>
        <w:rPr>
          <w:rFonts w:hint="eastAsia" w:ascii="黑体" w:hAnsi="黑体" w:eastAsia="黑体"/>
          <w:b/>
        </w:rPr>
        <w:t>地表水监测结果一览表</w:t>
      </w:r>
    </w:p>
    <w:tbl>
      <w:tblPr>
        <w:tblStyle w:val="65"/>
        <w:tblW w:w="87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656"/>
        <w:gridCol w:w="2108"/>
        <w:gridCol w:w="768"/>
        <w:gridCol w:w="1189"/>
        <w:gridCol w:w="1498"/>
        <w:gridCol w:w="1341"/>
        <w:gridCol w:w="1157"/>
      </w:tblGrid>
      <w:tr w14:paraId="3CD5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vMerge w:val="restart"/>
            <w:tcBorders>
              <w:tl2br w:val="nil"/>
              <w:tr2bl w:val="nil"/>
            </w:tcBorders>
            <w:vAlign w:val="center"/>
          </w:tcPr>
          <w:p w14:paraId="4F87B44B">
            <w:pPr>
              <w:pStyle w:val="557"/>
            </w:pPr>
            <w:r>
              <w:t>序号</w:t>
            </w:r>
          </w:p>
        </w:tc>
        <w:tc>
          <w:tcPr>
            <w:tcW w:w="2108" w:type="dxa"/>
            <w:vMerge w:val="restart"/>
            <w:tcBorders>
              <w:tl2br w:val="nil"/>
              <w:tr2bl w:val="nil"/>
            </w:tcBorders>
            <w:vAlign w:val="center"/>
          </w:tcPr>
          <w:p w14:paraId="241C7744">
            <w:pPr>
              <w:pStyle w:val="557"/>
            </w:pPr>
            <w:r>
              <w:t>检测项目</w:t>
            </w:r>
          </w:p>
        </w:tc>
        <w:tc>
          <w:tcPr>
            <w:tcW w:w="768" w:type="dxa"/>
            <w:vMerge w:val="restart"/>
            <w:tcBorders>
              <w:tl2br w:val="nil"/>
              <w:tr2bl w:val="nil"/>
            </w:tcBorders>
            <w:vAlign w:val="center"/>
          </w:tcPr>
          <w:p w14:paraId="73183342">
            <w:pPr>
              <w:pStyle w:val="557"/>
            </w:pPr>
            <w:r>
              <w:t>单位</w:t>
            </w:r>
          </w:p>
        </w:tc>
        <w:tc>
          <w:tcPr>
            <w:tcW w:w="1189" w:type="dxa"/>
            <w:vMerge w:val="restart"/>
            <w:tcBorders>
              <w:tl2br w:val="nil"/>
              <w:tr2bl w:val="nil"/>
            </w:tcBorders>
            <w:vAlign w:val="center"/>
          </w:tcPr>
          <w:p w14:paraId="027356BA">
            <w:pPr>
              <w:pStyle w:val="557"/>
            </w:pPr>
            <w:r>
              <w:t>标准值</w:t>
            </w:r>
          </w:p>
        </w:tc>
        <w:tc>
          <w:tcPr>
            <w:tcW w:w="3996" w:type="dxa"/>
            <w:gridSpan w:val="3"/>
            <w:tcBorders>
              <w:tl2br w:val="nil"/>
              <w:tr2bl w:val="nil"/>
            </w:tcBorders>
            <w:vAlign w:val="center"/>
          </w:tcPr>
          <w:p w14:paraId="1DD2D8D7">
            <w:pPr>
              <w:pStyle w:val="557"/>
            </w:pPr>
            <w:r>
              <w:t>南湖水库</w:t>
            </w:r>
          </w:p>
        </w:tc>
      </w:tr>
      <w:tr w14:paraId="2E3F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vMerge w:val="continue"/>
            <w:tcBorders>
              <w:tl2br w:val="nil"/>
              <w:tr2bl w:val="nil"/>
            </w:tcBorders>
            <w:vAlign w:val="center"/>
          </w:tcPr>
          <w:p w14:paraId="653FA6ED">
            <w:pPr>
              <w:pStyle w:val="557"/>
            </w:pPr>
          </w:p>
        </w:tc>
        <w:tc>
          <w:tcPr>
            <w:tcW w:w="2108" w:type="dxa"/>
            <w:vMerge w:val="continue"/>
            <w:tcBorders>
              <w:tl2br w:val="nil"/>
              <w:tr2bl w:val="nil"/>
            </w:tcBorders>
            <w:vAlign w:val="center"/>
          </w:tcPr>
          <w:p w14:paraId="55F3BE38">
            <w:pPr>
              <w:pStyle w:val="557"/>
            </w:pPr>
          </w:p>
        </w:tc>
        <w:tc>
          <w:tcPr>
            <w:tcW w:w="768" w:type="dxa"/>
            <w:vMerge w:val="continue"/>
            <w:tcBorders>
              <w:tl2br w:val="nil"/>
              <w:tr2bl w:val="nil"/>
            </w:tcBorders>
            <w:vAlign w:val="center"/>
          </w:tcPr>
          <w:p w14:paraId="02D5484F">
            <w:pPr>
              <w:pStyle w:val="557"/>
            </w:pPr>
          </w:p>
        </w:tc>
        <w:tc>
          <w:tcPr>
            <w:tcW w:w="1189" w:type="dxa"/>
            <w:vMerge w:val="continue"/>
            <w:tcBorders>
              <w:tl2br w:val="nil"/>
              <w:tr2bl w:val="nil"/>
            </w:tcBorders>
            <w:vAlign w:val="center"/>
          </w:tcPr>
          <w:p w14:paraId="4B43A9A2">
            <w:pPr>
              <w:pStyle w:val="557"/>
            </w:pPr>
          </w:p>
        </w:tc>
        <w:tc>
          <w:tcPr>
            <w:tcW w:w="1498" w:type="dxa"/>
            <w:tcBorders>
              <w:tl2br w:val="nil"/>
              <w:tr2bl w:val="nil"/>
            </w:tcBorders>
            <w:vAlign w:val="center"/>
          </w:tcPr>
          <w:p w14:paraId="7DCF88C3">
            <w:pPr>
              <w:pStyle w:val="557"/>
            </w:pPr>
            <w:r>
              <w:t>检测结果</w:t>
            </w:r>
          </w:p>
        </w:tc>
        <w:tc>
          <w:tcPr>
            <w:tcW w:w="1341" w:type="dxa"/>
            <w:tcBorders>
              <w:tl2br w:val="nil"/>
              <w:tr2bl w:val="nil"/>
            </w:tcBorders>
            <w:vAlign w:val="center"/>
          </w:tcPr>
          <w:p w14:paraId="1DBE9AAD">
            <w:pPr>
              <w:pStyle w:val="557"/>
            </w:pPr>
            <w:r>
              <w:t>指数</w:t>
            </w:r>
          </w:p>
        </w:tc>
        <w:tc>
          <w:tcPr>
            <w:tcW w:w="1157" w:type="dxa"/>
            <w:tcBorders>
              <w:tl2br w:val="nil"/>
              <w:tr2bl w:val="nil"/>
            </w:tcBorders>
            <w:vAlign w:val="center"/>
          </w:tcPr>
          <w:p w14:paraId="34409FD0">
            <w:pPr>
              <w:pStyle w:val="557"/>
            </w:pPr>
            <w:r>
              <w:t>达标情况</w:t>
            </w:r>
          </w:p>
        </w:tc>
      </w:tr>
      <w:tr w14:paraId="41E3D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CFE2B5C">
            <w:pPr>
              <w:pStyle w:val="557"/>
            </w:pPr>
            <w:r>
              <w:t>1</w:t>
            </w:r>
          </w:p>
        </w:tc>
        <w:tc>
          <w:tcPr>
            <w:tcW w:w="2108" w:type="dxa"/>
            <w:tcBorders>
              <w:tl2br w:val="nil"/>
              <w:tr2bl w:val="nil"/>
            </w:tcBorders>
            <w:vAlign w:val="center"/>
          </w:tcPr>
          <w:p w14:paraId="1DD253B9">
            <w:pPr>
              <w:pStyle w:val="557"/>
            </w:pPr>
            <w:r>
              <w:t>pH</w:t>
            </w:r>
          </w:p>
        </w:tc>
        <w:tc>
          <w:tcPr>
            <w:tcW w:w="768" w:type="dxa"/>
            <w:tcBorders>
              <w:tl2br w:val="nil"/>
              <w:tr2bl w:val="nil"/>
            </w:tcBorders>
            <w:vAlign w:val="center"/>
          </w:tcPr>
          <w:p w14:paraId="28E297E1">
            <w:pPr>
              <w:pStyle w:val="557"/>
            </w:pPr>
            <w:r>
              <w:t>-</w:t>
            </w:r>
          </w:p>
        </w:tc>
        <w:tc>
          <w:tcPr>
            <w:tcW w:w="1189" w:type="dxa"/>
            <w:tcBorders>
              <w:tl2br w:val="nil"/>
              <w:tr2bl w:val="nil"/>
            </w:tcBorders>
            <w:vAlign w:val="center"/>
          </w:tcPr>
          <w:p w14:paraId="17E96B02">
            <w:pPr>
              <w:pStyle w:val="557"/>
            </w:pPr>
            <w:r>
              <w:t>6-9</w:t>
            </w:r>
          </w:p>
        </w:tc>
        <w:tc>
          <w:tcPr>
            <w:tcW w:w="1498" w:type="dxa"/>
            <w:tcBorders>
              <w:tl2br w:val="nil"/>
              <w:tr2bl w:val="nil"/>
            </w:tcBorders>
            <w:vAlign w:val="center"/>
          </w:tcPr>
          <w:p w14:paraId="70BADE27">
            <w:pPr>
              <w:pStyle w:val="557"/>
            </w:pPr>
            <w:r>
              <w:t>7.6</w:t>
            </w:r>
          </w:p>
        </w:tc>
        <w:tc>
          <w:tcPr>
            <w:tcW w:w="1341" w:type="dxa"/>
            <w:tcBorders>
              <w:tl2br w:val="nil"/>
              <w:tr2bl w:val="nil"/>
            </w:tcBorders>
            <w:vAlign w:val="center"/>
          </w:tcPr>
          <w:p w14:paraId="4BE9615F">
            <w:pPr>
              <w:pStyle w:val="557"/>
            </w:pPr>
            <w:r>
              <w:t>0.3</w:t>
            </w:r>
          </w:p>
        </w:tc>
        <w:tc>
          <w:tcPr>
            <w:tcW w:w="1157" w:type="dxa"/>
            <w:tcBorders>
              <w:tl2br w:val="nil"/>
              <w:tr2bl w:val="nil"/>
            </w:tcBorders>
            <w:vAlign w:val="center"/>
          </w:tcPr>
          <w:p w14:paraId="5349663B">
            <w:pPr>
              <w:pStyle w:val="557"/>
            </w:pPr>
            <w:r>
              <w:t>达标</w:t>
            </w:r>
          </w:p>
        </w:tc>
      </w:tr>
      <w:tr w14:paraId="5124B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C66ACFC">
            <w:pPr>
              <w:pStyle w:val="557"/>
            </w:pPr>
            <w:r>
              <w:t>2</w:t>
            </w:r>
          </w:p>
        </w:tc>
        <w:tc>
          <w:tcPr>
            <w:tcW w:w="2108" w:type="dxa"/>
            <w:tcBorders>
              <w:tl2br w:val="nil"/>
              <w:tr2bl w:val="nil"/>
            </w:tcBorders>
            <w:vAlign w:val="center"/>
          </w:tcPr>
          <w:p w14:paraId="6A071F74">
            <w:pPr>
              <w:pStyle w:val="557"/>
            </w:pPr>
            <w:r>
              <w:t>水温</w:t>
            </w:r>
          </w:p>
        </w:tc>
        <w:tc>
          <w:tcPr>
            <w:tcW w:w="768" w:type="dxa"/>
            <w:tcBorders>
              <w:tl2br w:val="nil"/>
              <w:tr2bl w:val="nil"/>
            </w:tcBorders>
            <w:vAlign w:val="center"/>
          </w:tcPr>
          <w:p w14:paraId="2E4E922A">
            <w:pPr>
              <w:pStyle w:val="557"/>
            </w:pPr>
            <w:r>
              <w:t>℃</w:t>
            </w:r>
          </w:p>
        </w:tc>
        <w:tc>
          <w:tcPr>
            <w:tcW w:w="1189" w:type="dxa"/>
            <w:tcBorders>
              <w:tl2br w:val="nil"/>
              <w:tr2bl w:val="nil"/>
            </w:tcBorders>
            <w:vAlign w:val="center"/>
          </w:tcPr>
          <w:p w14:paraId="174A13C0">
            <w:pPr>
              <w:pStyle w:val="557"/>
            </w:pPr>
            <w:r>
              <w:t>-</w:t>
            </w:r>
          </w:p>
        </w:tc>
        <w:tc>
          <w:tcPr>
            <w:tcW w:w="1498" w:type="dxa"/>
            <w:tcBorders>
              <w:tl2br w:val="nil"/>
              <w:tr2bl w:val="nil"/>
            </w:tcBorders>
            <w:vAlign w:val="center"/>
          </w:tcPr>
          <w:p w14:paraId="0FE472F6">
            <w:pPr>
              <w:pStyle w:val="557"/>
            </w:pPr>
            <w:r>
              <w:t>4</w:t>
            </w:r>
          </w:p>
        </w:tc>
        <w:tc>
          <w:tcPr>
            <w:tcW w:w="1341" w:type="dxa"/>
            <w:tcBorders>
              <w:tl2br w:val="nil"/>
              <w:tr2bl w:val="nil"/>
            </w:tcBorders>
            <w:vAlign w:val="center"/>
          </w:tcPr>
          <w:p w14:paraId="4A1B0269">
            <w:pPr>
              <w:pStyle w:val="557"/>
            </w:pPr>
            <w:r>
              <w:t>/</w:t>
            </w:r>
          </w:p>
        </w:tc>
        <w:tc>
          <w:tcPr>
            <w:tcW w:w="1157" w:type="dxa"/>
            <w:tcBorders>
              <w:tl2br w:val="nil"/>
              <w:tr2bl w:val="nil"/>
            </w:tcBorders>
            <w:vAlign w:val="center"/>
          </w:tcPr>
          <w:p w14:paraId="09385515">
            <w:pPr>
              <w:pStyle w:val="557"/>
            </w:pPr>
            <w:r>
              <w:t>达标</w:t>
            </w:r>
          </w:p>
        </w:tc>
      </w:tr>
      <w:tr w14:paraId="2D515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09D0864D">
            <w:pPr>
              <w:pStyle w:val="557"/>
            </w:pPr>
            <w:r>
              <w:t>3</w:t>
            </w:r>
          </w:p>
        </w:tc>
        <w:tc>
          <w:tcPr>
            <w:tcW w:w="2108" w:type="dxa"/>
            <w:tcBorders>
              <w:tl2br w:val="nil"/>
              <w:tr2bl w:val="nil"/>
            </w:tcBorders>
            <w:vAlign w:val="center"/>
          </w:tcPr>
          <w:p w14:paraId="1FBCF950">
            <w:pPr>
              <w:pStyle w:val="557"/>
            </w:pPr>
            <w:r>
              <w:t>石油类</w:t>
            </w:r>
          </w:p>
        </w:tc>
        <w:tc>
          <w:tcPr>
            <w:tcW w:w="768" w:type="dxa"/>
            <w:tcBorders>
              <w:tl2br w:val="nil"/>
              <w:tr2bl w:val="nil"/>
            </w:tcBorders>
            <w:vAlign w:val="center"/>
          </w:tcPr>
          <w:p w14:paraId="2FB53486">
            <w:pPr>
              <w:pStyle w:val="557"/>
            </w:pPr>
            <w:r>
              <w:t>mg/L</w:t>
            </w:r>
          </w:p>
        </w:tc>
        <w:tc>
          <w:tcPr>
            <w:tcW w:w="1189" w:type="dxa"/>
            <w:tcBorders>
              <w:tl2br w:val="nil"/>
              <w:tr2bl w:val="nil"/>
            </w:tcBorders>
            <w:vAlign w:val="center"/>
          </w:tcPr>
          <w:p w14:paraId="55ACD6F0">
            <w:pPr>
              <w:pStyle w:val="557"/>
            </w:pPr>
            <w:r>
              <w:t>0.05</w:t>
            </w:r>
          </w:p>
        </w:tc>
        <w:tc>
          <w:tcPr>
            <w:tcW w:w="1498" w:type="dxa"/>
            <w:tcBorders>
              <w:tl2br w:val="nil"/>
              <w:tr2bl w:val="nil"/>
            </w:tcBorders>
            <w:vAlign w:val="center"/>
          </w:tcPr>
          <w:p w14:paraId="62BEA25B">
            <w:pPr>
              <w:pStyle w:val="557"/>
            </w:pPr>
            <w:r>
              <w:t>ND</w:t>
            </w:r>
          </w:p>
        </w:tc>
        <w:tc>
          <w:tcPr>
            <w:tcW w:w="1341" w:type="dxa"/>
            <w:tcBorders>
              <w:tl2br w:val="nil"/>
              <w:tr2bl w:val="nil"/>
            </w:tcBorders>
            <w:vAlign w:val="center"/>
          </w:tcPr>
          <w:p w14:paraId="46676FD9">
            <w:pPr>
              <w:pStyle w:val="557"/>
            </w:pPr>
            <w:r>
              <w:t>/</w:t>
            </w:r>
          </w:p>
        </w:tc>
        <w:tc>
          <w:tcPr>
            <w:tcW w:w="1157" w:type="dxa"/>
            <w:tcBorders>
              <w:tl2br w:val="nil"/>
              <w:tr2bl w:val="nil"/>
            </w:tcBorders>
            <w:vAlign w:val="center"/>
          </w:tcPr>
          <w:p w14:paraId="093ABC2A">
            <w:pPr>
              <w:pStyle w:val="557"/>
            </w:pPr>
            <w:r>
              <w:t>达标</w:t>
            </w:r>
          </w:p>
        </w:tc>
      </w:tr>
      <w:tr w14:paraId="54DD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23EBF19E">
            <w:pPr>
              <w:pStyle w:val="557"/>
            </w:pPr>
            <w:r>
              <w:t>4</w:t>
            </w:r>
          </w:p>
        </w:tc>
        <w:tc>
          <w:tcPr>
            <w:tcW w:w="2108" w:type="dxa"/>
            <w:tcBorders>
              <w:tl2br w:val="nil"/>
              <w:tr2bl w:val="nil"/>
            </w:tcBorders>
            <w:vAlign w:val="center"/>
          </w:tcPr>
          <w:p w14:paraId="2DA0F059">
            <w:pPr>
              <w:pStyle w:val="557"/>
              <w:rPr>
                <w:sz w:val="21"/>
                <w:szCs w:val="20"/>
              </w:rPr>
            </w:pPr>
            <w:r>
              <w:t>溶解氧</w:t>
            </w:r>
          </w:p>
        </w:tc>
        <w:tc>
          <w:tcPr>
            <w:tcW w:w="768" w:type="dxa"/>
            <w:tcBorders>
              <w:tl2br w:val="nil"/>
              <w:tr2bl w:val="nil"/>
            </w:tcBorders>
            <w:vAlign w:val="center"/>
          </w:tcPr>
          <w:p w14:paraId="123157C8">
            <w:pPr>
              <w:pStyle w:val="557"/>
              <w:rPr>
                <w:sz w:val="21"/>
                <w:szCs w:val="20"/>
              </w:rPr>
            </w:pPr>
            <w:r>
              <w:t>mg/L</w:t>
            </w:r>
          </w:p>
        </w:tc>
        <w:tc>
          <w:tcPr>
            <w:tcW w:w="1189" w:type="dxa"/>
            <w:tcBorders>
              <w:tl2br w:val="nil"/>
              <w:tr2bl w:val="nil"/>
            </w:tcBorders>
            <w:vAlign w:val="center"/>
          </w:tcPr>
          <w:p w14:paraId="0A015825">
            <w:pPr>
              <w:pStyle w:val="557"/>
              <w:rPr>
                <w:sz w:val="21"/>
                <w:szCs w:val="20"/>
              </w:rPr>
            </w:pPr>
            <w:r>
              <w:t>5</w:t>
            </w:r>
          </w:p>
        </w:tc>
        <w:tc>
          <w:tcPr>
            <w:tcW w:w="1498" w:type="dxa"/>
            <w:tcBorders>
              <w:tl2br w:val="nil"/>
              <w:tr2bl w:val="nil"/>
            </w:tcBorders>
            <w:vAlign w:val="center"/>
          </w:tcPr>
          <w:p w14:paraId="709F37AA">
            <w:pPr>
              <w:pStyle w:val="557"/>
              <w:rPr>
                <w:sz w:val="21"/>
                <w:szCs w:val="20"/>
              </w:rPr>
            </w:pPr>
            <w:r>
              <w:t>8.57</w:t>
            </w:r>
          </w:p>
        </w:tc>
        <w:tc>
          <w:tcPr>
            <w:tcW w:w="1341" w:type="dxa"/>
            <w:tcBorders>
              <w:tl2br w:val="nil"/>
              <w:tr2bl w:val="nil"/>
            </w:tcBorders>
            <w:vAlign w:val="center"/>
          </w:tcPr>
          <w:p w14:paraId="272765C0">
            <w:pPr>
              <w:pStyle w:val="557"/>
              <w:rPr>
                <w:sz w:val="21"/>
                <w:szCs w:val="20"/>
              </w:rPr>
            </w:pPr>
            <w:r>
              <w:t>0.60</w:t>
            </w:r>
          </w:p>
        </w:tc>
        <w:tc>
          <w:tcPr>
            <w:tcW w:w="1157" w:type="dxa"/>
            <w:tcBorders>
              <w:tl2br w:val="nil"/>
              <w:tr2bl w:val="nil"/>
            </w:tcBorders>
            <w:vAlign w:val="center"/>
          </w:tcPr>
          <w:p w14:paraId="2D774D4B">
            <w:pPr>
              <w:pStyle w:val="557"/>
              <w:rPr>
                <w:sz w:val="21"/>
                <w:szCs w:val="20"/>
              </w:rPr>
            </w:pPr>
            <w:r>
              <w:t>达标</w:t>
            </w:r>
          </w:p>
        </w:tc>
      </w:tr>
      <w:tr w14:paraId="1630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3E911B3E">
            <w:pPr>
              <w:pStyle w:val="557"/>
            </w:pPr>
            <w:r>
              <w:t>5</w:t>
            </w:r>
          </w:p>
        </w:tc>
        <w:tc>
          <w:tcPr>
            <w:tcW w:w="2108" w:type="dxa"/>
            <w:tcBorders>
              <w:tl2br w:val="nil"/>
              <w:tr2bl w:val="nil"/>
            </w:tcBorders>
            <w:vAlign w:val="center"/>
          </w:tcPr>
          <w:p w14:paraId="5FCEFDA0">
            <w:pPr>
              <w:pStyle w:val="557"/>
              <w:rPr>
                <w:sz w:val="21"/>
                <w:szCs w:val="20"/>
              </w:rPr>
            </w:pPr>
            <w:r>
              <w:t>化学需氧量</w:t>
            </w:r>
          </w:p>
        </w:tc>
        <w:tc>
          <w:tcPr>
            <w:tcW w:w="768" w:type="dxa"/>
            <w:tcBorders>
              <w:tl2br w:val="nil"/>
              <w:tr2bl w:val="nil"/>
            </w:tcBorders>
            <w:vAlign w:val="center"/>
          </w:tcPr>
          <w:p w14:paraId="22E4D6BE">
            <w:pPr>
              <w:pStyle w:val="557"/>
              <w:rPr>
                <w:sz w:val="21"/>
                <w:szCs w:val="20"/>
              </w:rPr>
            </w:pPr>
            <w:r>
              <w:t>mg/L</w:t>
            </w:r>
          </w:p>
        </w:tc>
        <w:tc>
          <w:tcPr>
            <w:tcW w:w="1189" w:type="dxa"/>
            <w:tcBorders>
              <w:tl2br w:val="nil"/>
              <w:tr2bl w:val="nil"/>
            </w:tcBorders>
            <w:vAlign w:val="center"/>
          </w:tcPr>
          <w:p w14:paraId="400EF4EA">
            <w:pPr>
              <w:pStyle w:val="557"/>
              <w:rPr>
                <w:sz w:val="21"/>
                <w:szCs w:val="20"/>
              </w:rPr>
            </w:pPr>
            <w:r>
              <w:t>20</w:t>
            </w:r>
          </w:p>
        </w:tc>
        <w:tc>
          <w:tcPr>
            <w:tcW w:w="1498" w:type="dxa"/>
            <w:tcBorders>
              <w:tl2br w:val="nil"/>
              <w:tr2bl w:val="nil"/>
            </w:tcBorders>
            <w:vAlign w:val="center"/>
          </w:tcPr>
          <w:p w14:paraId="18D69033">
            <w:pPr>
              <w:pStyle w:val="557"/>
              <w:rPr>
                <w:sz w:val="21"/>
                <w:szCs w:val="20"/>
              </w:rPr>
            </w:pPr>
            <w:r>
              <w:t>6</w:t>
            </w:r>
          </w:p>
        </w:tc>
        <w:tc>
          <w:tcPr>
            <w:tcW w:w="1341" w:type="dxa"/>
            <w:tcBorders>
              <w:tl2br w:val="nil"/>
              <w:tr2bl w:val="nil"/>
            </w:tcBorders>
            <w:vAlign w:val="center"/>
          </w:tcPr>
          <w:p w14:paraId="7A66AA2C">
            <w:pPr>
              <w:pStyle w:val="557"/>
              <w:rPr>
                <w:sz w:val="21"/>
                <w:szCs w:val="20"/>
              </w:rPr>
            </w:pPr>
            <w:r>
              <w:t>0.3</w:t>
            </w:r>
          </w:p>
        </w:tc>
        <w:tc>
          <w:tcPr>
            <w:tcW w:w="1157" w:type="dxa"/>
            <w:tcBorders>
              <w:tl2br w:val="nil"/>
              <w:tr2bl w:val="nil"/>
            </w:tcBorders>
            <w:vAlign w:val="center"/>
          </w:tcPr>
          <w:p w14:paraId="4F9B5C49">
            <w:pPr>
              <w:pStyle w:val="557"/>
              <w:rPr>
                <w:sz w:val="21"/>
                <w:szCs w:val="20"/>
              </w:rPr>
            </w:pPr>
            <w:r>
              <w:t>达标</w:t>
            </w:r>
          </w:p>
        </w:tc>
      </w:tr>
      <w:tr w14:paraId="02FD2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1EA415F">
            <w:pPr>
              <w:pStyle w:val="557"/>
            </w:pPr>
            <w:r>
              <w:t>6</w:t>
            </w:r>
          </w:p>
        </w:tc>
        <w:tc>
          <w:tcPr>
            <w:tcW w:w="2108" w:type="dxa"/>
            <w:tcBorders>
              <w:tl2br w:val="nil"/>
              <w:tr2bl w:val="nil"/>
            </w:tcBorders>
            <w:vAlign w:val="center"/>
          </w:tcPr>
          <w:p w14:paraId="22DAAE1C">
            <w:pPr>
              <w:pStyle w:val="557"/>
              <w:rPr>
                <w:sz w:val="21"/>
                <w:szCs w:val="20"/>
              </w:rPr>
            </w:pPr>
            <w:r>
              <w:t>五日生化需氧量</w:t>
            </w:r>
          </w:p>
        </w:tc>
        <w:tc>
          <w:tcPr>
            <w:tcW w:w="768" w:type="dxa"/>
            <w:tcBorders>
              <w:tl2br w:val="nil"/>
              <w:tr2bl w:val="nil"/>
            </w:tcBorders>
            <w:vAlign w:val="center"/>
          </w:tcPr>
          <w:p w14:paraId="3A561E6C">
            <w:pPr>
              <w:pStyle w:val="557"/>
              <w:rPr>
                <w:sz w:val="21"/>
                <w:szCs w:val="20"/>
              </w:rPr>
            </w:pPr>
            <w:r>
              <w:t>mg/L</w:t>
            </w:r>
          </w:p>
        </w:tc>
        <w:tc>
          <w:tcPr>
            <w:tcW w:w="1189" w:type="dxa"/>
            <w:tcBorders>
              <w:tl2br w:val="nil"/>
              <w:tr2bl w:val="nil"/>
            </w:tcBorders>
            <w:vAlign w:val="center"/>
          </w:tcPr>
          <w:p w14:paraId="14D9DC32">
            <w:pPr>
              <w:pStyle w:val="557"/>
              <w:rPr>
                <w:sz w:val="21"/>
                <w:szCs w:val="20"/>
              </w:rPr>
            </w:pPr>
            <w:r>
              <w:t>4</w:t>
            </w:r>
          </w:p>
        </w:tc>
        <w:tc>
          <w:tcPr>
            <w:tcW w:w="1498" w:type="dxa"/>
            <w:tcBorders>
              <w:tl2br w:val="nil"/>
              <w:tr2bl w:val="nil"/>
            </w:tcBorders>
            <w:vAlign w:val="center"/>
          </w:tcPr>
          <w:p w14:paraId="04E11E2B">
            <w:pPr>
              <w:pStyle w:val="557"/>
              <w:rPr>
                <w:sz w:val="21"/>
                <w:szCs w:val="20"/>
              </w:rPr>
            </w:pPr>
            <w:r>
              <w:t>1.6</w:t>
            </w:r>
          </w:p>
        </w:tc>
        <w:tc>
          <w:tcPr>
            <w:tcW w:w="1341" w:type="dxa"/>
            <w:tcBorders>
              <w:tl2br w:val="nil"/>
              <w:tr2bl w:val="nil"/>
            </w:tcBorders>
            <w:vAlign w:val="center"/>
          </w:tcPr>
          <w:p w14:paraId="4B4F0D58">
            <w:pPr>
              <w:pStyle w:val="557"/>
              <w:rPr>
                <w:sz w:val="21"/>
                <w:szCs w:val="20"/>
              </w:rPr>
            </w:pPr>
            <w:r>
              <w:t>0.4</w:t>
            </w:r>
          </w:p>
        </w:tc>
        <w:tc>
          <w:tcPr>
            <w:tcW w:w="1157" w:type="dxa"/>
            <w:tcBorders>
              <w:tl2br w:val="nil"/>
              <w:tr2bl w:val="nil"/>
            </w:tcBorders>
            <w:vAlign w:val="center"/>
          </w:tcPr>
          <w:p w14:paraId="32BFCBE0">
            <w:pPr>
              <w:pStyle w:val="557"/>
              <w:rPr>
                <w:sz w:val="21"/>
                <w:szCs w:val="20"/>
              </w:rPr>
            </w:pPr>
            <w:r>
              <w:t>达标</w:t>
            </w:r>
          </w:p>
        </w:tc>
      </w:tr>
      <w:tr w14:paraId="16CC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43F0612C">
            <w:pPr>
              <w:pStyle w:val="557"/>
            </w:pPr>
            <w:r>
              <w:t>7</w:t>
            </w:r>
          </w:p>
        </w:tc>
        <w:tc>
          <w:tcPr>
            <w:tcW w:w="2108" w:type="dxa"/>
            <w:tcBorders>
              <w:tl2br w:val="nil"/>
              <w:tr2bl w:val="nil"/>
            </w:tcBorders>
            <w:vAlign w:val="center"/>
          </w:tcPr>
          <w:p w14:paraId="77CCAA2D">
            <w:pPr>
              <w:pStyle w:val="557"/>
              <w:rPr>
                <w:sz w:val="21"/>
                <w:szCs w:val="20"/>
              </w:rPr>
            </w:pPr>
            <w:r>
              <w:t>氯化物</w:t>
            </w:r>
          </w:p>
        </w:tc>
        <w:tc>
          <w:tcPr>
            <w:tcW w:w="768" w:type="dxa"/>
            <w:tcBorders>
              <w:tl2br w:val="nil"/>
              <w:tr2bl w:val="nil"/>
            </w:tcBorders>
            <w:vAlign w:val="center"/>
          </w:tcPr>
          <w:p w14:paraId="01A98559">
            <w:pPr>
              <w:pStyle w:val="557"/>
              <w:rPr>
                <w:sz w:val="21"/>
                <w:szCs w:val="20"/>
              </w:rPr>
            </w:pPr>
            <w:r>
              <w:t>mg/L</w:t>
            </w:r>
          </w:p>
        </w:tc>
        <w:tc>
          <w:tcPr>
            <w:tcW w:w="1189" w:type="dxa"/>
            <w:tcBorders>
              <w:tl2br w:val="nil"/>
              <w:tr2bl w:val="nil"/>
            </w:tcBorders>
            <w:vAlign w:val="center"/>
          </w:tcPr>
          <w:p w14:paraId="5F6D6AB1">
            <w:pPr>
              <w:pStyle w:val="557"/>
              <w:rPr>
                <w:sz w:val="21"/>
                <w:szCs w:val="20"/>
              </w:rPr>
            </w:pPr>
            <w:r>
              <w:t>250</w:t>
            </w:r>
          </w:p>
        </w:tc>
        <w:tc>
          <w:tcPr>
            <w:tcW w:w="1498" w:type="dxa"/>
            <w:tcBorders>
              <w:tl2br w:val="nil"/>
              <w:tr2bl w:val="nil"/>
            </w:tcBorders>
            <w:vAlign w:val="center"/>
          </w:tcPr>
          <w:p w14:paraId="03A2ED76">
            <w:pPr>
              <w:pStyle w:val="557"/>
              <w:rPr>
                <w:sz w:val="21"/>
                <w:szCs w:val="20"/>
              </w:rPr>
            </w:pPr>
            <w:r>
              <w:t>44</w:t>
            </w:r>
          </w:p>
        </w:tc>
        <w:tc>
          <w:tcPr>
            <w:tcW w:w="1341" w:type="dxa"/>
            <w:tcBorders>
              <w:tl2br w:val="nil"/>
              <w:tr2bl w:val="nil"/>
            </w:tcBorders>
            <w:vAlign w:val="center"/>
          </w:tcPr>
          <w:p w14:paraId="1C7C68B0">
            <w:pPr>
              <w:pStyle w:val="557"/>
              <w:rPr>
                <w:sz w:val="21"/>
                <w:szCs w:val="20"/>
              </w:rPr>
            </w:pPr>
            <w:r>
              <w:t>0.176</w:t>
            </w:r>
          </w:p>
        </w:tc>
        <w:tc>
          <w:tcPr>
            <w:tcW w:w="1157" w:type="dxa"/>
            <w:tcBorders>
              <w:tl2br w:val="nil"/>
              <w:tr2bl w:val="nil"/>
            </w:tcBorders>
            <w:vAlign w:val="center"/>
          </w:tcPr>
          <w:p w14:paraId="6BC8F0D7">
            <w:pPr>
              <w:pStyle w:val="557"/>
              <w:rPr>
                <w:sz w:val="21"/>
                <w:szCs w:val="20"/>
              </w:rPr>
            </w:pPr>
            <w:r>
              <w:t>达标</w:t>
            </w:r>
          </w:p>
        </w:tc>
      </w:tr>
      <w:tr w14:paraId="3814D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394661D5">
            <w:pPr>
              <w:pStyle w:val="557"/>
              <w:rPr>
                <w:sz w:val="21"/>
                <w:szCs w:val="20"/>
              </w:rPr>
            </w:pPr>
            <w:r>
              <w:t>8</w:t>
            </w:r>
          </w:p>
        </w:tc>
        <w:tc>
          <w:tcPr>
            <w:tcW w:w="2108" w:type="dxa"/>
            <w:tcBorders>
              <w:tl2br w:val="nil"/>
              <w:tr2bl w:val="nil"/>
            </w:tcBorders>
            <w:vAlign w:val="center"/>
          </w:tcPr>
          <w:p w14:paraId="5C23EEA9">
            <w:pPr>
              <w:pStyle w:val="557"/>
              <w:rPr>
                <w:sz w:val="21"/>
                <w:szCs w:val="20"/>
              </w:rPr>
            </w:pPr>
            <w:r>
              <w:t>硫酸盐</w:t>
            </w:r>
          </w:p>
        </w:tc>
        <w:tc>
          <w:tcPr>
            <w:tcW w:w="768" w:type="dxa"/>
            <w:tcBorders>
              <w:tl2br w:val="nil"/>
              <w:tr2bl w:val="nil"/>
            </w:tcBorders>
            <w:vAlign w:val="center"/>
          </w:tcPr>
          <w:p w14:paraId="6987B1C4">
            <w:pPr>
              <w:pStyle w:val="557"/>
              <w:rPr>
                <w:sz w:val="21"/>
                <w:szCs w:val="20"/>
              </w:rPr>
            </w:pPr>
            <w:r>
              <w:t>mg/L</w:t>
            </w:r>
          </w:p>
        </w:tc>
        <w:tc>
          <w:tcPr>
            <w:tcW w:w="1189" w:type="dxa"/>
            <w:tcBorders>
              <w:tl2br w:val="nil"/>
              <w:tr2bl w:val="nil"/>
            </w:tcBorders>
            <w:vAlign w:val="center"/>
          </w:tcPr>
          <w:p w14:paraId="15BBAD62">
            <w:pPr>
              <w:pStyle w:val="557"/>
              <w:rPr>
                <w:sz w:val="21"/>
                <w:szCs w:val="20"/>
              </w:rPr>
            </w:pPr>
            <w:r>
              <w:t>250</w:t>
            </w:r>
          </w:p>
        </w:tc>
        <w:tc>
          <w:tcPr>
            <w:tcW w:w="1498" w:type="dxa"/>
            <w:tcBorders>
              <w:tl2br w:val="nil"/>
              <w:tr2bl w:val="nil"/>
            </w:tcBorders>
            <w:vAlign w:val="center"/>
          </w:tcPr>
          <w:p w14:paraId="5BF741C5">
            <w:pPr>
              <w:pStyle w:val="557"/>
              <w:rPr>
                <w:sz w:val="21"/>
                <w:szCs w:val="20"/>
              </w:rPr>
            </w:pPr>
            <w:r>
              <w:t>108</w:t>
            </w:r>
          </w:p>
        </w:tc>
        <w:tc>
          <w:tcPr>
            <w:tcW w:w="1341" w:type="dxa"/>
            <w:tcBorders>
              <w:tl2br w:val="nil"/>
              <w:tr2bl w:val="nil"/>
            </w:tcBorders>
            <w:vAlign w:val="center"/>
          </w:tcPr>
          <w:p w14:paraId="37A3131C">
            <w:pPr>
              <w:pStyle w:val="557"/>
              <w:rPr>
                <w:sz w:val="21"/>
                <w:szCs w:val="20"/>
              </w:rPr>
            </w:pPr>
            <w:r>
              <w:t>0.432</w:t>
            </w:r>
          </w:p>
        </w:tc>
        <w:tc>
          <w:tcPr>
            <w:tcW w:w="1157" w:type="dxa"/>
            <w:tcBorders>
              <w:tl2br w:val="nil"/>
              <w:tr2bl w:val="nil"/>
            </w:tcBorders>
            <w:vAlign w:val="center"/>
          </w:tcPr>
          <w:p w14:paraId="0620EC45">
            <w:pPr>
              <w:pStyle w:val="557"/>
              <w:rPr>
                <w:sz w:val="21"/>
                <w:szCs w:val="20"/>
              </w:rPr>
            </w:pPr>
            <w:r>
              <w:t>达标</w:t>
            </w:r>
          </w:p>
        </w:tc>
      </w:tr>
      <w:tr w14:paraId="063AB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12985713">
            <w:pPr>
              <w:pStyle w:val="557"/>
              <w:rPr>
                <w:sz w:val="21"/>
                <w:szCs w:val="20"/>
              </w:rPr>
            </w:pPr>
            <w:r>
              <w:t>9</w:t>
            </w:r>
          </w:p>
        </w:tc>
        <w:tc>
          <w:tcPr>
            <w:tcW w:w="2108" w:type="dxa"/>
            <w:tcBorders>
              <w:tl2br w:val="nil"/>
              <w:tr2bl w:val="nil"/>
            </w:tcBorders>
            <w:vAlign w:val="center"/>
          </w:tcPr>
          <w:p w14:paraId="79512068">
            <w:pPr>
              <w:pStyle w:val="557"/>
              <w:rPr>
                <w:sz w:val="21"/>
                <w:szCs w:val="20"/>
              </w:rPr>
            </w:pPr>
            <w:r>
              <w:t>硝酸盐</w:t>
            </w:r>
          </w:p>
        </w:tc>
        <w:tc>
          <w:tcPr>
            <w:tcW w:w="768" w:type="dxa"/>
            <w:tcBorders>
              <w:tl2br w:val="nil"/>
              <w:tr2bl w:val="nil"/>
            </w:tcBorders>
            <w:vAlign w:val="center"/>
          </w:tcPr>
          <w:p w14:paraId="385531F0">
            <w:pPr>
              <w:pStyle w:val="557"/>
              <w:rPr>
                <w:sz w:val="21"/>
                <w:szCs w:val="20"/>
              </w:rPr>
            </w:pPr>
            <w:r>
              <w:t>mg/L</w:t>
            </w:r>
          </w:p>
        </w:tc>
        <w:tc>
          <w:tcPr>
            <w:tcW w:w="1189" w:type="dxa"/>
            <w:tcBorders>
              <w:tl2br w:val="nil"/>
              <w:tr2bl w:val="nil"/>
            </w:tcBorders>
            <w:vAlign w:val="center"/>
          </w:tcPr>
          <w:p w14:paraId="37699D47">
            <w:pPr>
              <w:pStyle w:val="557"/>
              <w:rPr>
                <w:sz w:val="21"/>
                <w:szCs w:val="20"/>
              </w:rPr>
            </w:pPr>
            <w:r>
              <w:t>10</w:t>
            </w:r>
          </w:p>
        </w:tc>
        <w:tc>
          <w:tcPr>
            <w:tcW w:w="1498" w:type="dxa"/>
            <w:tcBorders>
              <w:tl2br w:val="nil"/>
              <w:tr2bl w:val="nil"/>
            </w:tcBorders>
            <w:vAlign w:val="center"/>
          </w:tcPr>
          <w:p w14:paraId="69C38581">
            <w:pPr>
              <w:pStyle w:val="557"/>
              <w:rPr>
                <w:sz w:val="21"/>
                <w:szCs w:val="20"/>
              </w:rPr>
            </w:pPr>
            <w:r>
              <w:t>0.052</w:t>
            </w:r>
          </w:p>
        </w:tc>
        <w:tc>
          <w:tcPr>
            <w:tcW w:w="1341" w:type="dxa"/>
            <w:tcBorders>
              <w:tl2br w:val="nil"/>
              <w:tr2bl w:val="nil"/>
            </w:tcBorders>
            <w:vAlign w:val="center"/>
          </w:tcPr>
          <w:p w14:paraId="0CE5A877">
            <w:pPr>
              <w:pStyle w:val="557"/>
              <w:rPr>
                <w:sz w:val="21"/>
                <w:szCs w:val="20"/>
              </w:rPr>
            </w:pPr>
            <w:r>
              <w:t>0.0052</w:t>
            </w:r>
          </w:p>
        </w:tc>
        <w:tc>
          <w:tcPr>
            <w:tcW w:w="1157" w:type="dxa"/>
            <w:tcBorders>
              <w:tl2br w:val="nil"/>
              <w:tr2bl w:val="nil"/>
            </w:tcBorders>
            <w:vAlign w:val="center"/>
          </w:tcPr>
          <w:p w14:paraId="617CA7B5">
            <w:pPr>
              <w:pStyle w:val="557"/>
              <w:rPr>
                <w:sz w:val="21"/>
                <w:szCs w:val="20"/>
              </w:rPr>
            </w:pPr>
            <w:r>
              <w:t>达标</w:t>
            </w:r>
          </w:p>
        </w:tc>
      </w:tr>
      <w:tr w14:paraId="4AF9A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15F3C86C">
            <w:pPr>
              <w:pStyle w:val="557"/>
              <w:rPr>
                <w:sz w:val="21"/>
                <w:szCs w:val="20"/>
              </w:rPr>
            </w:pPr>
            <w:r>
              <w:t>10</w:t>
            </w:r>
          </w:p>
        </w:tc>
        <w:tc>
          <w:tcPr>
            <w:tcW w:w="2108" w:type="dxa"/>
            <w:tcBorders>
              <w:tl2br w:val="nil"/>
              <w:tr2bl w:val="nil"/>
            </w:tcBorders>
            <w:vAlign w:val="center"/>
          </w:tcPr>
          <w:p w14:paraId="445CA562">
            <w:pPr>
              <w:pStyle w:val="557"/>
              <w:rPr>
                <w:sz w:val="21"/>
                <w:szCs w:val="20"/>
              </w:rPr>
            </w:pPr>
            <w:r>
              <w:t>挥发酚</w:t>
            </w:r>
          </w:p>
        </w:tc>
        <w:tc>
          <w:tcPr>
            <w:tcW w:w="768" w:type="dxa"/>
            <w:tcBorders>
              <w:tl2br w:val="nil"/>
              <w:tr2bl w:val="nil"/>
            </w:tcBorders>
            <w:vAlign w:val="center"/>
          </w:tcPr>
          <w:p w14:paraId="31418BC0">
            <w:pPr>
              <w:pStyle w:val="557"/>
              <w:rPr>
                <w:sz w:val="21"/>
                <w:szCs w:val="20"/>
              </w:rPr>
            </w:pPr>
            <w:r>
              <w:t>mg/L</w:t>
            </w:r>
          </w:p>
        </w:tc>
        <w:tc>
          <w:tcPr>
            <w:tcW w:w="1189" w:type="dxa"/>
            <w:tcBorders>
              <w:tl2br w:val="nil"/>
              <w:tr2bl w:val="nil"/>
            </w:tcBorders>
            <w:vAlign w:val="center"/>
          </w:tcPr>
          <w:p w14:paraId="3A9B14D9">
            <w:pPr>
              <w:pStyle w:val="557"/>
              <w:rPr>
                <w:sz w:val="21"/>
                <w:szCs w:val="20"/>
              </w:rPr>
            </w:pPr>
            <w:r>
              <w:t>0.005</w:t>
            </w:r>
          </w:p>
        </w:tc>
        <w:tc>
          <w:tcPr>
            <w:tcW w:w="1498" w:type="dxa"/>
            <w:tcBorders>
              <w:tl2br w:val="nil"/>
              <w:tr2bl w:val="nil"/>
            </w:tcBorders>
            <w:vAlign w:val="center"/>
          </w:tcPr>
          <w:p w14:paraId="6A7BA956">
            <w:pPr>
              <w:pStyle w:val="557"/>
              <w:rPr>
                <w:sz w:val="21"/>
                <w:szCs w:val="20"/>
              </w:rPr>
            </w:pPr>
            <w:r>
              <w:t>ND</w:t>
            </w:r>
          </w:p>
        </w:tc>
        <w:tc>
          <w:tcPr>
            <w:tcW w:w="1341" w:type="dxa"/>
            <w:tcBorders>
              <w:tl2br w:val="nil"/>
              <w:tr2bl w:val="nil"/>
            </w:tcBorders>
            <w:vAlign w:val="center"/>
          </w:tcPr>
          <w:p w14:paraId="251C46A6">
            <w:pPr>
              <w:pStyle w:val="557"/>
              <w:rPr>
                <w:sz w:val="21"/>
                <w:szCs w:val="20"/>
              </w:rPr>
            </w:pPr>
            <w:r>
              <w:t>/</w:t>
            </w:r>
          </w:p>
        </w:tc>
        <w:tc>
          <w:tcPr>
            <w:tcW w:w="1157" w:type="dxa"/>
            <w:tcBorders>
              <w:tl2br w:val="nil"/>
              <w:tr2bl w:val="nil"/>
            </w:tcBorders>
            <w:vAlign w:val="center"/>
          </w:tcPr>
          <w:p w14:paraId="48CF1231">
            <w:pPr>
              <w:pStyle w:val="557"/>
              <w:rPr>
                <w:sz w:val="21"/>
                <w:szCs w:val="20"/>
              </w:rPr>
            </w:pPr>
            <w:r>
              <w:t>达标</w:t>
            </w:r>
          </w:p>
        </w:tc>
      </w:tr>
      <w:tr w14:paraId="42E0D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672230F5">
            <w:pPr>
              <w:pStyle w:val="557"/>
              <w:rPr>
                <w:sz w:val="21"/>
                <w:szCs w:val="20"/>
              </w:rPr>
            </w:pPr>
            <w:r>
              <w:t>11</w:t>
            </w:r>
          </w:p>
        </w:tc>
        <w:tc>
          <w:tcPr>
            <w:tcW w:w="2108" w:type="dxa"/>
            <w:tcBorders>
              <w:tl2br w:val="nil"/>
              <w:tr2bl w:val="nil"/>
            </w:tcBorders>
            <w:vAlign w:val="center"/>
          </w:tcPr>
          <w:p w14:paraId="25BD20EA">
            <w:pPr>
              <w:pStyle w:val="557"/>
              <w:rPr>
                <w:sz w:val="21"/>
                <w:szCs w:val="20"/>
              </w:rPr>
            </w:pPr>
            <w:r>
              <w:t>氨氮</w:t>
            </w:r>
          </w:p>
        </w:tc>
        <w:tc>
          <w:tcPr>
            <w:tcW w:w="768" w:type="dxa"/>
            <w:tcBorders>
              <w:tl2br w:val="nil"/>
              <w:tr2bl w:val="nil"/>
            </w:tcBorders>
            <w:vAlign w:val="center"/>
          </w:tcPr>
          <w:p w14:paraId="63A478CA">
            <w:pPr>
              <w:pStyle w:val="557"/>
              <w:rPr>
                <w:sz w:val="21"/>
                <w:szCs w:val="20"/>
              </w:rPr>
            </w:pPr>
            <w:r>
              <w:t>mg/L</w:t>
            </w:r>
          </w:p>
        </w:tc>
        <w:tc>
          <w:tcPr>
            <w:tcW w:w="1189" w:type="dxa"/>
            <w:tcBorders>
              <w:tl2br w:val="nil"/>
              <w:tr2bl w:val="nil"/>
            </w:tcBorders>
            <w:vAlign w:val="center"/>
          </w:tcPr>
          <w:p w14:paraId="37BAB7AC">
            <w:pPr>
              <w:pStyle w:val="557"/>
              <w:rPr>
                <w:sz w:val="21"/>
                <w:szCs w:val="20"/>
              </w:rPr>
            </w:pPr>
            <w:r>
              <w:t>1.0</w:t>
            </w:r>
          </w:p>
        </w:tc>
        <w:tc>
          <w:tcPr>
            <w:tcW w:w="1498" w:type="dxa"/>
            <w:tcBorders>
              <w:tl2br w:val="nil"/>
              <w:tr2bl w:val="nil"/>
            </w:tcBorders>
            <w:vAlign w:val="center"/>
          </w:tcPr>
          <w:p w14:paraId="1125169B">
            <w:pPr>
              <w:pStyle w:val="557"/>
              <w:rPr>
                <w:sz w:val="21"/>
                <w:szCs w:val="20"/>
              </w:rPr>
            </w:pPr>
            <w:r>
              <w:t>0.259</w:t>
            </w:r>
          </w:p>
        </w:tc>
        <w:tc>
          <w:tcPr>
            <w:tcW w:w="1341" w:type="dxa"/>
            <w:tcBorders>
              <w:tl2br w:val="nil"/>
              <w:tr2bl w:val="nil"/>
            </w:tcBorders>
            <w:vAlign w:val="center"/>
          </w:tcPr>
          <w:p w14:paraId="56E0F8F8">
            <w:pPr>
              <w:pStyle w:val="557"/>
              <w:rPr>
                <w:sz w:val="21"/>
                <w:szCs w:val="20"/>
              </w:rPr>
            </w:pPr>
            <w:r>
              <w:t>0.259</w:t>
            </w:r>
          </w:p>
        </w:tc>
        <w:tc>
          <w:tcPr>
            <w:tcW w:w="1157" w:type="dxa"/>
            <w:tcBorders>
              <w:tl2br w:val="nil"/>
              <w:tr2bl w:val="nil"/>
            </w:tcBorders>
            <w:vAlign w:val="center"/>
          </w:tcPr>
          <w:p w14:paraId="0FBC38EF">
            <w:pPr>
              <w:pStyle w:val="557"/>
              <w:rPr>
                <w:sz w:val="21"/>
                <w:szCs w:val="20"/>
              </w:rPr>
            </w:pPr>
            <w:r>
              <w:t>达标</w:t>
            </w:r>
          </w:p>
        </w:tc>
      </w:tr>
      <w:tr w14:paraId="2058F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47E90236">
            <w:pPr>
              <w:pStyle w:val="557"/>
              <w:rPr>
                <w:sz w:val="21"/>
                <w:szCs w:val="20"/>
              </w:rPr>
            </w:pPr>
            <w:r>
              <w:t>12</w:t>
            </w:r>
          </w:p>
        </w:tc>
        <w:tc>
          <w:tcPr>
            <w:tcW w:w="2108" w:type="dxa"/>
            <w:tcBorders>
              <w:tl2br w:val="nil"/>
              <w:tr2bl w:val="nil"/>
            </w:tcBorders>
            <w:vAlign w:val="center"/>
          </w:tcPr>
          <w:p w14:paraId="5106BDBD">
            <w:pPr>
              <w:pStyle w:val="557"/>
            </w:pPr>
            <w:r>
              <w:t>硫化物</w:t>
            </w:r>
          </w:p>
        </w:tc>
        <w:tc>
          <w:tcPr>
            <w:tcW w:w="768" w:type="dxa"/>
            <w:tcBorders>
              <w:tl2br w:val="nil"/>
              <w:tr2bl w:val="nil"/>
            </w:tcBorders>
            <w:vAlign w:val="center"/>
          </w:tcPr>
          <w:p w14:paraId="0AA9D9A0">
            <w:pPr>
              <w:pStyle w:val="557"/>
            </w:pPr>
            <w:r>
              <w:t>mg/L</w:t>
            </w:r>
          </w:p>
        </w:tc>
        <w:tc>
          <w:tcPr>
            <w:tcW w:w="1189" w:type="dxa"/>
            <w:tcBorders>
              <w:tl2br w:val="nil"/>
              <w:tr2bl w:val="nil"/>
            </w:tcBorders>
            <w:vAlign w:val="center"/>
          </w:tcPr>
          <w:p w14:paraId="310E7A0F">
            <w:pPr>
              <w:pStyle w:val="557"/>
            </w:pPr>
            <w:r>
              <w:t>0.2</w:t>
            </w:r>
          </w:p>
        </w:tc>
        <w:tc>
          <w:tcPr>
            <w:tcW w:w="1498" w:type="dxa"/>
            <w:tcBorders>
              <w:tl2br w:val="nil"/>
              <w:tr2bl w:val="nil"/>
            </w:tcBorders>
            <w:vAlign w:val="center"/>
          </w:tcPr>
          <w:p w14:paraId="136D6E5D">
            <w:pPr>
              <w:pStyle w:val="557"/>
            </w:pPr>
            <w:r>
              <w:t>ND</w:t>
            </w:r>
          </w:p>
        </w:tc>
        <w:tc>
          <w:tcPr>
            <w:tcW w:w="1341" w:type="dxa"/>
            <w:tcBorders>
              <w:tl2br w:val="nil"/>
              <w:tr2bl w:val="nil"/>
            </w:tcBorders>
            <w:vAlign w:val="center"/>
          </w:tcPr>
          <w:p w14:paraId="682FA240">
            <w:pPr>
              <w:pStyle w:val="557"/>
            </w:pPr>
            <w:r>
              <w:t>/</w:t>
            </w:r>
          </w:p>
        </w:tc>
        <w:tc>
          <w:tcPr>
            <w:tcW w:w="1157" w:type="dxa"/>
            <w:tcBorders>
              <w:tl2br w:val="nil"/>
              <w:tr2bl w:val="nil"/>
            </w:tcBorders>
            <w:vAlign w:val="center"/>
          </w:tcPr>
          <w:p w14:paraId="0670617F">
            <w:pPr>
              <w:pStyle w:val="557"/>
            </w:pPr>
            <w:r>
              <w:t>达标</w:t>
            </w:r>
          </w:p>
        </w:tc>
      </w:tr>
      <w:tr w14:paraId="0001A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10D62A3E">
            <w:pPr>
              <w:pStyle w:val="557"/>
              <w:rPr>
                <w:sz w:val="21"/>
                <w:szCs w:val="20"/>
              </w:rPr>
            </w:pPr>
            <w:r>
              <w:t>13</w:t>
            </w:r>
          </w:p>
        </w:tc>
        <w:tc>
          <w:tcPr>
            <w:tcW w:w="2108" w:type="dxa"/>
            <w:tcBorders>
              <w:tl2br w:val="nil"/>
              <w:tr2bl w:val="nil"/>
            </w:tcBorders>
            <w:vAlign w:val="center"/>
          </w:tcPr>
          <w:p w14:paraId="031F57AE">
            <w:pPr>
              <w:pStyle w:val="557"/>
            </w:pPr>
            <w:r>
              <w:t>总磷</w:t>
            </w:r>
          </w:p>
        </w:tc>
        <w:tc>
          <w:tcPr>
            <w:tcW w:w="768" w:type="dxa"/>
            <w:tcBorders>
              <w:tl2br w:val="nil"/>
              <w:tr2bl w:val="nil"/>
            </w:tcBorders>
            <w:vAlign w:val="center"/>
          </w:tcPr>
          <w:p w14:paraId="647368CE">
            <w:pPr>
              <w:pStyle w:val="557"/>
            </w:pPr>
            <w:r>
              <w:t>mg/L</w:t>
            </w:r>
          </w:p>
        </w:tc>
        <w:tc>
          <w:tcPr>
            <w:tcW w:w="1189" w:type="dxa"/>
            <w:tcBorders>
              <w:tl2br w:val="nil"/>
              <w:tr2bl w:val="nil"/>
            </w:tcBorders>
            <w:vAlign w:val="center"/>
          </w:tcPr>
          <w:p w14:paraId="3A888254">
            <w:pPr>
              <w:pStyle w:val="557"/>
            </w:pPr>
            <w:r>
              <w:t>0.2</w:t>
            </w:r>
          </w:p>
        </w:tc>
        <w:tc>
          <w:tcPr>
            <w:tcW w:w="1498" w:type="dxa"/>
            <w:tcBorders>
              <w:tl2br w:val="nil"/>
              <w:tr2bl w:val="nil"/>
            </w:tcBorders>
            <w:vAlign w:val="center"/>
          </w:tcPr>
          <w:p w14:paraId="21FC92AE">
            <w:pPr>
              <w:pStyle w:val="557"/>
            </w:pPr>
            <w:r>
              <w:t>0.06</w:t>
            </w:r>
          </w:p>
        </w:tc>
        <w:tc>
          <w:tcPr>
            <w:tcW w:w="1341" w:type="dxa"/>
            <w:tcBorders>
              <w:tl2br w:val="nil"/>
              <w:tr2bl w:val="nil"/>
            </w:tcBorders>
            <w:vAlign w:val="center"/>
          </w:tcPr>
          <w:p w14:paraId="7193DF98">
            <w:pPr>
              <w:pStyle w:val="557"/>
            </w:pPr>
            <w:r>
              <w:t>0.3</w:t>
            </w:r>
          </w:p>
        </w:tc>
        <w:tc>
          <w:tcPr>
            <w:tcW w:w="1157" w:type="dxa"/>
            <w:tcBorders>
              <w:tl2br w:val="nil"/>
              <w:tr2bl w:val="nil"/>
            </w:tcBorders>
            <w:vAlign w:val="center"/>
          </w:tcPr>
          <w:p w14:paraId="50F5C7DF">
            <w:pPr>
              <w:pStyle w:val="557"/>
            </w:pPr>
            <w:r>
              <w:t>达标</w:t>
            </w:r>
          </w:p>
        </w:tc>
      </w:tr>
      <w:tr w14:paraId="5D086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A7F0742">
            <w:pPr>
              <w:pStyle w:val="557"/>
              <w:rPr>
                <w:sz w:val="21"/>
                <w:szCs w:val="20"/>
              </w:rPr>
            </w:pPr>
            <w:r>
              <w:t>14</w:t>
            </w:r>
          </w:p>
        </w:tc>
        <w:tc>
          <w:tcPr>
            <w:tcW w:w="2108" w:type="dxa"/>
            <w:tcBorders>
              <w:tl2br w:val="nil"/>
              <w:tr2bl w:val="nil"/>
            </w:tcBorders>
            <w:vAlign w:val="center"/>
          </w:tcPr>
          <w:p w14:paraId="564652B5">
            <w:pPr>
              <w:pStyle w:val="557"/>
            </w:pPr>
            <w:r>
              <w:t>总氮</w:t>
            </w:r>
          </w:p>
        </w:tc>
        <w:tc>
          <w:tcPr>
            <w:tcW w:w="768" w:type="dxa"/>
            <w:tcBorders>
              <w:tl2br w:val="nil"/>
              <w:tr2bl w:val="nil"/>
            </w:tcBorders>
            <w:vAlign w:val="center"/>
          </w:tcPr>
          <w:p w14:paraId="62DFC863">
            <w:pPr>
              <w:pStyle w:val="557"/>
              <w:rPr>
                <w:sz w:val="21"/>
                <w:szCs w:val="20"/>
              </w:rPr>
            </w:pPr>
            <w:r>
              <w:t>mg/L</w:t>
            </w:r>
          </w:p>
        </w:tc>
        <w:tc>
          <w:tcPr>
            <w:tcW w:w="1189" w:type="dxa"/>
            <w:tcBorders>
              <w:tl2br w:val="nil"/>
              <w:tr2bl w:val="nil"/>
            </w:tcBorders>
            <w:vAlign w:val="center"/>
          </w:tcPr>
          <w:p w14:paraId="3E17679D">
            <w:pPr>
              <w:pStyle w:val="557"/>
              <w:rPr>
                <w:sz w:val="21"/>
                <w:szCs w:val="20"/>
              </w:rPr>
            </w:pPr>
            <w:r>
              <w:t>1.0</w:t>
            </w:r>
          </w:p>
        </w:tc>
        <w:tc>
          <w:tcPr>
            <w:tcW w:w="1498" w:type="dxa"/>
            <w:tcBorders>
              <w:tl2br w:val="nil"/>
              <w:tr2bl w:val="nil"/>
            </w:tcBorders>
            <w:vAlign w:val="center"/>
          </w:tcPr>
          <w:p w14:paraId="22EED039">
            <w:pPr>
              <w:pStyle w:val="557"/>
              <w:rPr>
                <w:sz w:val="21"/>
                <w:szCs w:val="20"/>
              </w:rPr>
            </w:pPr>
            <w:r>
              <w:t>0.89</w:t>
            </w:r>
          </w:p>
        </w:tc>
        <w:tc>
          <w:tcPr>
            <w:tcW w:w="1341" w:type="dxa"/>
            <w:tcBorders>
              <w:tl2br w:val="nil"/>
              <w:tr2bl w:val="nil"/>
            </w:tcBorders>
            <w:vAlign w:val="center"/>
          </w:tcPr>
          <w:p w14:paraId="3EB6DA8C">
            <w:pPr>
              <w:pStyle w:val="557"/>
              <w:rPr>
                <w:sz w:val="21"/>
                <w:szCs w:val="20"/>
              </w:rPr>
            </w:pPr>
            <w:r>
              <w:t>0.89</w:t>
            </w:r>
          </w:p>
        </w:tc>
        <w:tc>
          <w:tcPr>
            <w:tcW w:w="1157" w:type="dxa"/>
            <w:tcBorders>
              <w:tl2br w:val="nil"/>
              <w:tr2bl w:val="nil"/>
            </w:tcBorders>
            <w:vAlign w:val="center"/>
          </w:tcPr>
          <w:p w14:paraId="07EAFD69">
            <w:pPr>
              <w:pStyle w:val="557"/>
              <w:rPr>
                <w:sz w:val="21"/>
                <w:szCs w:val="20"/>
              </w:rPr>
            </w:pPr>
            <w:r>
              <w:t>达标</w:t>
            </w:r>
          </w:p>
        </w:tc>
      </w:tr>
      <w:tr w14:paraId="6AF5A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25C0ABFA">
            <w:pPr>
              <w:pStyle w:val="557"/>
              <w:rPr>
                <w:sz w:val="21"/>
                <w:szCs w:val="20"/>
              </w:rPr>
            </w:pPr>
            <w:r>
              <w:t>15</w:t>
            </w:r>
          </w:p>
        </w:tc>
        <w:tc>
          <w:tcPr>
            <w:tcW w:w="2108" w:type="dxa"/>
            <w:tcBorders>
              <w:tl2br w:val="nil"/>
              <w:tr2bl w:val="nil"/>
            </w:tcBorders>
            <w:vAlign w:val="center"/>
          </w:tcPr>
          <w:p w14:paraId="6B925BF3">
            <w:pPr>
              <w:pStyle w:val="557"/>
              <w:rPr>
                <w:sz w:val="21"/>
                <w:szCs w:val="20"/>
              </w:rPr>
            </w:pPr>
            <w:r>
              <w:t>氰化物</w:t>
            </w:r>
          </w:p>
        </w:tc>
        <w:tc>
          <w:tcPr>
            <w:tcW w:w="768" w:type="dxa"/>
            <w:tcBorders>
              <w:tl2br w:val="nil"/>
              <w:tr2bl w:val="nil"/>
            </w:tcBorders>
            <w:vAlign w:val="center"/>
          </w:tcPr>
          <w:p w14:paraId="68DE7A14">
            <w:pPr>
              <w:pStyle w:val="557"/>
              <w:rPr>
                <w:sz w:val="21"/>
                <w:szCs w:val="20"/>
              </w:rPr>
            </w:pPr>
            <w:r>
              <w:t>mg/L</w:t>
            </w:r>
          </w:p>
        </w:tc>
        <w:tc>
          <w:tcPr>
            <w:tcW w:w="1189" w:type="dxa"/>
            <w:tcBorders>
              <w:tl2br w:val="nil"/>
              <w:tr2bl w:val="nil"/>
            </w:tcBorders>
            <w:vAlign w:val="center"/>
          </w:tcPr>
          <w:p w14:paraId="39FE3465">
            <w:pPr>
              <w:pStyle w:val="557"/>
              <w:rPr>
                <w:sz w:val="21"/>
                <w:szCs w:val="20"/>
              </w:rPr>
            </w:pPr>
            <w:r>
              <w:t>0.2</w:t>
            </w:r>
          </w:p>
        </w:tc>
        <w:tc>
          <w:tcPr>
            <w:tcW w:w="1498" w:type="dxa"/>
            <w:tcBorders>
              <w:tl2br w:val="nil"/>
              <w:tr2bl w:val="nil"/>
            </w:tcBorders>
            <w:vAlign w:val="center"/>
          </w:tcPr>
          <w:p w14:paraId="682CEC71">
            <w:pPr>
              <w:pStyle w:val="557"/>
              <w:rPr>
                <w:sz w:val="21"/>
                <w:szCs w:val="20"/>
              </w:rPr>
            </w:pPr>
            <w:r>
              <w:t>ND</w:t>
            </w:r>
          </w:p>
        </w:tc>
        <w:tc>
          <w:tcPr>
            <w:tcW w:w="1341" w:type="dxa"/>
            <w:tcBorders>
              <w:tl2br w:val="nil"/>
              <w:tr2bl w:val="nil"/>
            </w:tcBorders>
            <w:vAlign w:val="center"/>
          </w:tcPr>
          <w:p w14:paraId="1E779E85">
            <w:pPr>
              <w:pStyle w:val="557"/>
              <w:rPr>
                <w:sz w:val="21"/>
                <w:szCs w:val="20"/>
              </w:rPr>
            </w:pPr>
            <w:r>
              <w:t>/</w:t>
            </w:r>
          </w:p>
        </w:tc>
        <w:tc>
          <w:tcPr>
            <w:tcW w:w="1157" w:type="dxa"/>
            <w:tcBorders>
              <w:tl2br w:val="nil"/>
              <w:tr2bl w:val="nil"/>
            </w:tcBorders>
            <w:vAlign w:val="center"/>
          </w:tcPr>
          <w:p w14:paraId="6E090445">
            <w:pPr>
              <w:pStyle w:val="557"/>
              <w:rPr>
                <w:sz w:val="21"/>
                <w:szCs w:val="20"/>
              </w:rPr>
            </w:pPr>
            <w:r>
              <w:t>达标</w:t>
            </w:r>
          </w:p>
        </w:tc>
      </w:tr>
      <w:tr w14:paraId="1F50D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6E341979">
            <w:pPr>
              <w:pStyle w:val="557"/>
              <w:rPr>
                <w:sz w:val="21"/>
                <w:szCs w:val="20"/>
              </w:rPr>
            </w:pPr>
            <w:r>
              <w:t>16</w:t>
            </w:r>
          </w:p>
        </w:tc>
        <w:tc>
          <w:tcPr>
            <w:tcW w:w="2108" w:type="dxa"/>
            <w:tcBorders>
              <w:tl2br w:val="nil"/>
              <w:tr2bl w:val="nil"/>
            </w:tcBorders>
            <w:vAlign w:val="center"/>
          </w:tcPr>
          <w:p w14:paraId="5FC220FB">
            <w:pPr>
              <w:pStyle w:val="557"/>
            </w:pPr>
            <w:r>
              <w:t>六价铬</w:t>
            </w:r>
          </w:p>
        </w:tc>
        <w:tc>
          <w:tcPr>
            <w:tcW w:w="768" w:type="dxa"/>
            <w:tcBorders>
              <w:tl2br w:val="nil"/>
              <w:tr2bl w:val="nil"/>
            </w:tcBorders>
            <w:vAlign w:val="center"/>
          </w:tcPr>
          <w:p w14:paraId="357817EC">
            <w:pPr>
              <w:pStyle w:val="557"/>
            </w:pPr>
            <w:r>
              <w:t>mg/L</w:t>
            </w:r>
          </w:p>
        </w:tc>
        <w:tc>
          <w:tcPr>
            <w:tcW w:w="1189" w:type="dxa"/>
            <w:tcBorders>
              <w:tl2br w:val="nil"/>
              <w:tr2bl w:val="nil"/>
            </w:tcBorders>
            <w:vAlign w:val="center"/>
          </w:tcPr>
          <w:p w14:paraId="5B3A914C">
            <w:pPr>
              <w:pStyle w:val="557"/>
            </w:pPr>
            <w:r>
              <w:t>0.05</w:t>
            </w:r>
          </w:p>
        </w:tc>
        <w:tc>
          <w:tcPr>
            <w:tcW w:w="1498" w:type="dxa"/>
            <w:tcBorders>
              <w:tl2br w:val="nil"/>
              <w:tr2bl w:val="nil"/>
            </w:tcBorders>
            <w:vAlign w:val="center"/>
          </w:tcPr>
          <w:p w14:paraId="70E50545">
            <w:pPr>
              <w:pStyle w:val="557"/>
            </w:pPr>
            <w:r>
              <w:t>ND</w:t>
            </w:r>
          </w:p>
        </w:tc>
        <w:tc>
          <w:tcPr>
            <w:tcW w:w="1341" w:type="dxa"/>
            <w:tcBorders>
              <w:tl2br w:val="nil"/>
              <w:tr2bl w:val="nil"/>
            </w:tcBorders>
            <w:vAlign w:val="center"/>
          </w:tcPr>
          <w:p w14:paraId="1D082127">
            <w:pPr>
              <w:pStyle w:val="557"/>
            </w:pPr>
            <w:r>
              <w:t>/</w:t>
            </w:r>
          </w:p>
        </w:tc>
        <w:tc>
          <w:tcPr>
            <w:tcW w:w="1157" w:type="dxa"/>
            <w:tcBorders>
              <w:tl2br w:val="nil"/>
              <w:tr2bl w:val="nil"/>
            </w:tcBorders>
            <w:vAlign w:val="center"/>
          </w:tcPr>
          <w:p w14:paraId="5BEC9D06">
            <w:pPr>
              <w:pStyle w:val="557"/>
            </w:pPr>
            <w:r>
              <w:t>达标</w:t>
            </w:r>
          </w:p>
        </w:tc>
      </w:tr>
      <w:tr w14:paraId="331F4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7A5929AF">
            <w:pPr>
              <w:pStyle w:val="557"/>
              <w:rPr>
                <w:sz w:val="21"/>
                <w:szCs w:val="20"/>
              </w:rPr>
            </w:pPr>
            <w:r>
              <w:t>17</w:t>
            </w:r>
          </w:p>
        </w:tc>
        <w:tc>
          <w:tcPr>
            <w:tcW w:w="2108" w:type="dxa"/>
            <w:tcBorders>
              <w:tl2br w:val="nil"/>
              <w:tr2bl w:val="nil"/>
            </w:tcBorders>
            <w:vAlign w:val="center"/>
          </w:tcPr>
          <w:p w14:paraId="49A105FA">
            <w:pPr>
              <w:pStyle w:val="557"/>
            </w:pPr>
            <w:r>
              <w:t>高锰酸盐指数</w:t>
            </w:r>
          </w:p>
        </w:tc>
        <w:tc>
          <w:tcPr>
            <w:tcW w:w="768" w:type="dxa"/>
            <w:tcBorders>
              <w:tl2br w:val="nil"/>
              <w:tr2bl w:val="nil"/>
            </w:tcBorders>
            <w:vAlign w:val="center"/>
          </w:tcPr>
          <w:p w14:paraId="416F14C6">
            <w:pPr>
              <w:pStyle w:val="557"/>
            </w:pPr>
            <w:r>
              <w:t>mg/L</w:t>
            </w:r>
          </w:p>
        </w:tc>
        <w:tc>
          <w:tcPr>
            <w:tcW w:w="1189" w:type="dxa"/>
            <w:tcBorders>
              <w:tl2br w:val="nil"/>
              <w:tr2bl w:val="nil"/>
            </w:tcBorders>
            <w:vAlign w:val="center"/>
          </w:tcPr>
          <w:p w14:paraId="5D7CB84F">
            <w:pPr>
              <w:pStyle w:val="557"/>
            </w:pPr>
            <w:r>
              <w:t>6</w:t>
            </w:r>
          </w:p>
        </w:tc>
        <w:tc>
          <w:tcPr>
            <w:tcW w:w="1498" w:type="dxa"/>
            <w:tcBorders>
              <w:tl2br w:val="nil"/>
              <w:tr2bl w:val="nil"/>
            </w:tcBorders>
            <w:vAlign w:val="center"/>
          </w:tcPr>
          <w:p w14:paraId="14B79A60">
            <w:pPr>
              <w:pStyle w:val="557"/>
            </w:pPr>
            <w:r>
              <w:t>1.1</w:t>
            </w:r>
          </w:p>
        </w:tc>
        <w:tc>
          <w:tcPr>
            <w:tcW w:w="1341" w:type="dxa"/>
            <w:tcBorders>
              <w:tl2br w:val="nil"/>
              <w:tr2bl w:val="nil"/>
            </w:tcBorders>
            <w:vAlign w:val="center"/>
          </w:tcPr>
          <w:p w14:paraId="62AA0906">
            <w:pPr>
              <w:pStyle w:val="557"/>
            </w:pPr>
            <w:r>
              <w:t>0.183</w:t>
            </w:r>
          </w:p>
        </w:tc>
        <w:tc>
          <w:tcPr>
            <w:tcW w:w="1157" w:type="dxa"/>
            <w:tcBorders>
              <w:tl2br w:val="nil"/>
              <w:tr2bl w:val="nil"/>
            </w:tcBorders>
            <w:vAlign w:val="center"/>
          </w:tcPr>
          <w:p w14:paraId="30291534">
            <w:pPr>
              <w:pStyle w:val="557"/>
            </w:pPr>
            <w:r>
              <w:t>达标</w:t>
            </w:r>
          </w:p>
        </w:tc>
      </w:tr>
      <w:tr w14:paraId="6D2D1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1E2872F">
            <w:pPr>
              <w:pStyle w:val="557"/>
              <w:rPr>
                <w:sz w:val="21"/>
                <w:szCs w:val="20"/>
              </w:rPr>
            </w:pPr>
            <w:r>
              <w:t>18</w:t>
            </w:r>
          </w:p>
        </w:tc>
        <w:tc>
          <w:tcPr>
            <w:tcW w:w="2108" w:type="dxa"/>
            <w:tcBorders>
              <w:tl2br w:val="nil"/>
              <w:tr2bl w:val="nil"/>
            </w:tcBorders>
            <w:vAlign w:val="center"/>
          </w:tcPr>
          <w:p w14:paraId="7A68E87E">
            <w:pPr>
              <w:pStyle w:val="557"/>
            </w:pPr>
            <w:r>
              <w:t>LAS</w:t>
            </w:r>
          </w:p>
        </w:tc>
        <w:tc>
          <w:tcPr>
            <w:tcW w:w="768" w:type="dxa"/>
            <w:tcBorders>
              <w:tl2br w:val="nil"/>
              <w:tr2bl w:val="nil"/>
            </w:tcBorders>
            <w:vAlign w:val="center"/>
          </w:tcPr>
          <w:p w14:paraId="25AC227C">
            <w:pPr>
              <w:pStyle w:val="557"/>
            </w:pPr>
            <w:r>
              <w:t>mg/L</w:t>
            </w:r>
          </w:p>
        </w:tc>
        <w:tc>
          <w:tcPr>
            <w:tcW w:w="1189" w:type="dxa"/>
            <w:tcBorders>
              <w:tl2br w:val="nil"/>
              <w:tr2bl w:val="nil"/>
            </w:tcBorders>
            <w:vAlign w:val="center"/>
          </w:tcPr>
          <w:p w14:paraId="57B3BA80">
            <w:pPr>
              <w:pStyle w:val="557"/>
            </w:pPr>
            <w:r>
              <w:t>0.2</w:t>
            </w:r>
          </w:p>
        </w:tc>
        <w:tc>
          <w:tcPr>
            <w:tcW w:w="1498" w:type="dxa"/>
            <w:tcBorders>
              <w:tl2br w:val="nil"/>
              <w:tr2bl w:val="nil"/>
            </w:tcBorders>
            <w:vAlign w:val="center"/>
          </w:tcPr>
          <w:p w14:paraId="250696F8">
            <w:pPr>
              <w:pStyle w:val="557"/>
            </w:pPr>
            <w:r>
              <w:t>ND</w:t>
            </w:r>
          </w:p>
        </w:tc>
        <w:tc>
          <w:tcPr>
            <w:tcW w:w="1341" w:type="dxa"/>
            <w:tcBorders>
              <w:tl2br w:val="nil"/>
              <w:tr2bl w:val="nil"/>
            </w:tcBorders>
            <w:vAlign w:val="center"/>
          </w:tcPr>
          <w:p w14:paraId="08DA731A">
            <w:pPr>
              <w:pStyle w:val="557"/>
            </w:pPr>
            <w:r>
              <w:t>/</w:t>
            </w:r>
          </w:p>
        </w:tc>
        <w:tc>
          <w:tcPr>
            <w:tcW w:w="1157" w:type="dxa"/>
            <w:tcBorders>
              <w:tl2br w:val="nil"/>
              <w:tr2bl w:val="nil"/>
            </w:tcBorders>
            <w:vAlign w:val="center"/>
          </w:tcPr>
          <w:p w14:paraId="3F7E591A">
            <w:pPr>
              <w:pStyle w:val="557"/>
            </w:pPr>
            <w:r>
              <w:t>达标</w:t>
            </w:r>
          </w:p>
        </w:tc>
      </w:tr>
      <w:tr w14:paraId="53595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76EB751E">
            <w:pPr>
              <w:pStyle w:val="557"/>
              <w:rPr>
                <w:sz w:val="21"/>
                <w:szCs w:val="20"/>
              </w:rPr>
            </w:pPr>
            <w:r>
              <w:t>19</w:t>
            </w:r>
          </w:p>
        </w:tc>
        <w:tc>
          <w:tcPr>
            <w:tcW w:w="2108" w:type="dxa"/>
            <w:tcBorders>
              <w:tl2br w:val="nil"/>
              <w:tr2bl w:val="nil"/>
            </w:tcBorders>
            <w:vAlign w:val="center"/>
          </w:tcPr>
          <w:p w14:paraId="41F8F8E8">
            <w:pPr>
              <w:pStyle w:val="557"/>
            </w:pPr>
            <w:r>
              <w:t>粪大肠菌群</w:t>
            </w:r>
          </w:p>
        </w:tc>
        <w:tc>
          <w:tcPr>
            <w:tcW w:w="768" w:type="dxa"/>
            <w:tcBorders>
              <w:tl2br w:val="nil"/>
              <w:tr2bl w:val="nil"/>
            </w:tcBorders>
            <w:vAlign w:val="center"/>
          </w:tcPr>
          <w:p w14:paraId="0771C39C">
            <w:pPr>
              <w:pStyle w:val="557"/>
            </w:pPr>
            <w:r>
              <w:t>MPN/L</w:t>
            </w:r>
          </w:p>
        </w:tc>
        <w:tc>
          <w:tcPr>
            <w:tcW w:w="1189" w:type="dxa"/>
            <w:tcBorders>
              <w:tl2br w:val="nil"/>
              <w:tr2bl w:val="nil"/>
            </w:tcBorders>
            <w:vAlign w:val="center"/>
          </w:tcPr>
          <w:p w14:paraId="3269FDA8">
            <w:pPr>
              <w:pStyle w:val="557"/>
            </w:pPr>
            <w:r>
              <w:t>10000</w:t>
            </w:r>
          </w:p>
        </w:tc>
        <w:tc>
          <w:tcPr>
            <w:tcW w:w="1498" w:type="dxa"/>
            <w:tcBorders>
              <w:tl2br w:val="nil"/>
              <w:tr2bl w:val="nil"/>
            </w:tcBorders>
            <w:vAlign w:val="center"/>
          </w:tcPr>
          <w:p w14:paraId="2734E289">
            <w:pPr>
              <w:pStyle w:val="557"/>
              <w:rPr>
                <w:sz w:val="21"/>
                <w:szCs w:val="20"/>
              </w:rPr>
            </w:pPr>
            <w:r>
              <w:t>ND</w:t>
            </w:r>
          </w:p>
        </w:tc>
        <w:tc>
          <w:tcPr>
            <w:tcW w:w="1341" w:type="dxa"/>
            <w:tcBorders>
              <w:tl2br w:val="nil"/>
              <w:tr2bl w:val="nil"/>
            </w:tcBorders>
            <w:vAlign w:val="center"/>
          </w:tcPr>
          <w:p w14:paraId="32E366B4">
            <w:pPr>
              <w:pStyle w:val="557"/>
              <w:rPr>
                <w:sz w:val="21"/>
                <w:szCs w:val="20"/>
              </w:rPr>
            </w:pPr>
            <w:r>
              <w:t>/</w:t>
            </w:r>
          </w:p>
        </w:tc>
        <w:tc>
          <w:tcPr>
            <w:tcW w:w="1157" w:type="dxa"/>
            <w:tcBorders>
              <w:tl2br w:val="nil"/>
              <w:tr2bl w:val="nil"/>
            </w:tcBorders>
            <w:vAlign w:val="center"/>
          </w:tcPr>
          <w:p w14:paraId="58E7E56D">
            <w:pPr>
              <w:pStyle w:val="557"/>
            </w:pPr>
            <w:r>
              <w:t>达标</w:t>
            </w:r>
          </w:p>
        </w:tc>
      </w:tr>
      <w:tr w14:paraId="59F01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26991D14">
            <w:pPr>
              <w:pStyle w:val="557"/>
              <w:rPr>
                <w:sz w:val="21"/>
                <w:szCs w:val="20"/>
              </w:rPr>
            </w:pPr>
            <w:r>
              <w:t>20</w:t>
            </w:r>
          </w:p>
        </w:tc>
        <w:tc>
          <w:tcPr>
            <w:tcW w:w="2108" w:type="dxa"/>
            <w:tcBorders>
              <w:tl2br w:val="nil"/>
              <w:tr2bl w:val="nil"/>
            </w:tcBorders>
            <w:vAlign w:val="center"/>
          </w:tcPr>
          <w:p w14:paraId="5AFD451B">
            <w:pPr>
              <w:pStyle w:val="557"/>
            </w:pPr>
            <w:r>
              <w:t>汞</w:t>
            </w:r>
          </w:p>
        </w:tc>
        <w:tc>
          <w:tcPr>
            <w:tcW w:w="768" w:type="dxa"/>
            <w:tcBorders>
              <w:tl2br w:val="nil"/>
              <w:tr2bl w:val="nil"/>
            </w:tcBorders>
            <w:vAlign w:val="center"/>
          </w:tcPr>
          <w:p w14:paraId="41510988">
            <w:pPr>
              <w:pStyle w:val="557"/>
            </w:pPr>
            <w:r>
              <w:t>mg/L</w:t>
            </w:r>
          </w:p>
        </w:tc>
        <w:tc>
          <w:tcPr>
            <w:tcW w:w="1189" w:type="dxa"/>
            <w:tcBorders>
              <w:tl2br w:val="nil"/>
              <w:tr2bl w:val="nil"/>
            </w:tcBorders>
            <w:vAlign w:val="center"/>
          </w:tcPr>
          <w:p w14:paraId="5CE76F63">
            <w:pPr>
              <w:pStyle w:val="557"/>
            </w:pPr>
            <w:r>
              <w:t>0.0001</w:t>
            </w:r>
          </w:p>
        </w:tc>
        <w:tc>
          <w:tcPr>
            <w:tcW w:w="1498" w:type="dxa"/>
            <w:tcBorders>
              <w:tl2br w:val="nil"/>
              <w:tr2bl w:val="nil"/>
            </w:tcBorders>
            <w:vAlign w:val="center"/>
          </w:tcPr>
          <w:p w14:paraId="35A8FFA8">
            <w:pPr>
              <w:pStyle w:val="557"/>
              <w:rPr>
                <w:sz w:val="21"/>
                <w:szCs w:val="20"/>
              </w:rPr>
            </w:pPr>
            <w:r>
              <w:t>ND</w:t>
            </w:r>
          </w:p>
        </w:tc>
        <w:tc>
          <w:tcPr>
            <w:tcW w:w="1341" w:type="dxa"/>
            <w:tcBorders>
              <w:tl2br w:val="nil"/>
              <w:tr2bl w:val="nil"/>
            </w:tcBorders>
            <w:vAlign w:val="center"/>
          </w:tcPr>
          <w:p w14:paraId="2F64AFF1">
            <w:pPr>
              <w:pStyle w:val="557"/>
              <w:rPr>
                <w:sz w:val="21"/>
                <w:szCs w:val="20"/>
              </w:rPr>
            </w:pPr>
            <w:r>
              <w:t>/</w:t>
            </w:r>
          </w:p>
        </w:tc>
        <w:tc>
          <w:tcPr>
            <w:tcW w:w="1157" w:type="dxa"/>
            <w:tcBorders>
              <w:tl2br w:val="nil"/>
              <w:tr2bl w:val="nil"/>
            </w:tcBorders>
            <w:vAlign w:val="center"/>
          </w:tcPr>
          <w:p w14:paraId="44BE7735">
            <w:pPr>
              <w:pStyle w:val="557"/>
            </w:pPr>
            <w:r>
              <w:t>达标</w:t>
            </w:r>
          </w:p>
        </w:tc>
      </w:tr>
      <w:tr w14:paraId="6A00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69CD2561">
            <w:pPr>
              <w:pStyle w:val="557"/>
              <w:rPr>
                <w:sz w:val="21"/>
                <w:szCs w:val="20"/>
              </w:rPr>
            </w:pPr>
            <w:r>
              <w:t>21</w:t>
            </w:r>
          </w:p>
        </w:tc>
        <w:tc>
          <w:tcPr>
            <w:tcW w:w="2108" w:type="dxa"/>
            <w:tcBorders>
              <w:tl2br w:val="nil"/>
              <w:tr2bl w:val="nil"/>
            </w:tcBorders>
            <w:vAlign w:val="center"/>
          </w:tcPr>
          <w:p w14:paraId="7E1FDBA4">
            <w:pPr>
              <w:pStyle w:val="557"/>
              <w:rPr>
                <w:sz w:val="21"/>
                <w:szCs w:val="20"/>
              </w:rPr>
            </w:pPr>
            <w:r>
              <w:t>砷</w:t>
            </w:r>
          </w:p>
        </w:tc>
        <w:tc>
          <w:tcPr>
            <w:tcW w:w="768" w:type="dxa"/>
            <w:tcBorders>
              <w:tl2br w:val="nil"/>
              <w:tr2bl w:val="nil"/>
            </w:tcBorders>
            <w:vAlign w:val="center"/>
          </w:tcPr>
          <w:p w14:paraId="273A27E1">
            <w:pPr>
              <w:pStyle w:val="557"/>
              <w:rPr>
                <w:sz w:val="21"/>
                <w:szCs w:val="20"/>
              </w:rPr>
            </w:pPr>
            <w:r>
              <w:t>mg/L</w:t>
            </w:r>
          </w:p>
        </w:tc>
        <w:tc>
          <w:tcPr>
            <w:tcW w:w="1189" w:type="dxa"/>
            <w:tcBorders>
              <w:tl2br w:val="nil"/>
              <w:tr2bl w:val="nil"/>
            </w:tcBorders>
            <w:vAlign w:val="center"/>
          </w:tcPr>
          <w:p w14:paraId="7D189B9B">
            <w:pPr>
              <w:pStyle w:val="557"/>
              <w:rPr>
                <w:sz w:val="21"/>
                <w:szCs w:val="20"/>
              </w:rPr>
            </w:pPr>
            <w:r>
              <w:t>0.05</w:t>
            </w:r>
          </w:p>
        </w:tc>
        <w:tc>
          <w:tcPr>
            <w:tcW w:w="1498" w:type="dxa"/>
            <w:tcBorders>
              <w:tl2br w:val="nil"/>
              <w:tr2bl w:val="nil"/>
            </w:tcBorders>
            <w:vAlign w:val="center"/>
          </w:tcPr>
          <w:p w14:paraId="34168458">
            <w:pPr>
              <w:pStyle w:val="557"/>
              <w:rPr>
                <w:sz w:val="21"/>
                <w:szCs w:val="20"/>
              </w:rPr>
            </w:pPr>
            <w:r>
              <w:t>ND</w:t>
            </w:r>
          </w:p>
        </w:tc>
        <w:tc>
          <w:tcPr>
            <w:tcW w:w="1341" w:type="dxa"/>
            <w:tcBorders>
              <w:tl2br w:val="nil"/>
              <w:tr2bl w:val="nil"/>
            </w:tcBorders>
            <w:vAlign w:val="center"/>
          </w:tcPr>
          <w:p w14:paraId="5EDFE155">
            <w:pPr>
              <w:pStyle w:val="557"/>
              <w:rPr>
                <w:sz w:val="21"/>
                <w:szCs w:val="20"/>
              </w:rPr>
            </w:pPr>
            <w:r>
              <w:t>/</w:t>
            </w:r>
          </w:p>
        </w:tc>
        <w:tc>
          <w:tcPr>
            <w:tcW w:w="1157" w:type="dxa"/>
            <w:tcBorders>
              <w:tl2br w:val="nil"/>
              <w:tr2bl w:val="nil"/>
            </w:tcBorders>
            <w:vAlign w:val="center"/>
          </w:tcPr>
          <w:p w14:paraId="4DD47104">
            <w:pPr>
              <w:pStyle w:val="557"/>
              <w:rPr>
                <w:sz w:val="21"/>
                <w:szCs w:val="20"/>
              </w:rPr>
            </w:pPr>
            <w:r>
              <w:t>达标</w:t>
            </w:r>
          </w:p>
        </w:tc>
      </w:tr>
      <w:tr w14:paraId="601DC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2F2CDB98">
            <w:pPr>
              <w:pStyle w:val="557"/>
              <w:rPr>
                <w:sz w:val="21"/>
                <w:szCs w:val="20"/>
              </w:rPr>
            </w:pPr>
            <w:r>
              <w:t>22</w:t>
            </w:r>
          </w:p>
        </w:tc>
        <w:tc>
          <w:tcPr>
            <w:tcW w:w="2108" w:type="dxa"/>
            <w:tcBorders>
              <w:tl2br w:val="nil"/>
              <w:tr2bl w:val="nil"/>
            </w:tcBorders>
            <w:vAlign w:val="center"/>
          </w:tcPr>
          <w:p w14:paraId="66F11D79">
            <w:pPr>
              <w:pStyle w:val="557"/>
              <w:rPr>
                <w:sz w:val="21"/>
                <w:szCs w:val="20"/>
              </w:rPr>
            </w:pPr>
            <w:r>
              <w:t>硒</w:t>
            </w:r>
          </w:p>
        </w:tc>
        <w:tc>
          <w:tcPr>
            <w:tcW w:w="768" w:type="dxa"/>
            <w:tcBorders>
              <w:tl2br w:val="nil"/>
              <w:tr2bl w:val="nil"/>
            </w:tcBorders>
            <w:vAlign w:val="center"/>
          </w:tcPr>
          <w:p w14:paraId="4B04A132">
            <w:pPr>
              <w:pStyle w:val="557"/>
              <w:rPr>
                <w:sz w:val="21"/>
                <w:szCs w:val="20"/>
              </w:rPr>
            </w:pPr>
            <w:r>
              <w:t>mg/L</w:t>
            </w:r>
          </w:p>
        </w:tc>
        <w:tc>
          <w:tcPr>
            <w:tcW w:w="1189" w:type="dxa"/>
            <w:tcBorders>
              <w:tl2br w:val="nil"/>
              <w:tr2bl w:val="nil"/>
            </w:tcBorders>
            <w:vAlign w:val="center"/>
          </w:tcPr>
          <w:p w14:paraId="0BA8C6C5">
            <w:pPr>
              <w:pStyle w:val="557"/>
              <w:rPr>
                <w:sz w:val="21"/>
                <w:szCs w:val="20"/>
              </w:rPr>
            </w:pPr>
            <w:r>
              <w:t>0.01</w:t>
            </w:r>
          </w:p>
        </w:tc>
        <w:tc>
          <w:tcPr>
            <w:tcW w:w="1498" w:type="dxa"/>
            <w:tcBorders>
              <w:tl2br w:val="nil"/>
              <w:tr2bl w:val="nil"/>
            </w:tcBorders>
            <w:vAlign w:val="center"/>
          </w:tcPr>
          <w:p w14:paraId="64DE319B">
            <w:pPr>
              <w:pStyle w:val="557"/>
              <w:rPr>
                <w:sz w:val="21"/>
                <w:szCs w:val="20"/>
              </w:rPr>
            </w:pPr>
            <w:r>
              <w:t>5.0×10</w:t>
            </w:r>
            <w:r>
              <w:rPr>
                <w:vertAlign w:val="superscript"/>
              </w:rPr>
              <w:t>-4</w:t>
            </w:r>
          </w:p>
        </w:tc>
        <w:tc>
          <w:tcPr>
            <w:tcW w:w="1341" w:type="dxa"/>
            <w:tcBorders>
              <w:tl2br w:val="nil"/>
              <w:tr2bl w:val="nil"/>
            </w:tcBorders>
            <w:vAlign w:val="center"/>
          </w:tcPr>
          <w:p w14:paraId="3B21F06F">
            <w:pPr>
              <w:pStyle w:val="557"/>
              <w:rPr>
                <w:sz w:val="21"/>
                <w:szCs w:val="20"/>
              </w:rPr>
            </w:pPr>
            <w:r>
              <w:t>0.05</w:t>
            </w:r>
          </w:p>
        </w:tc>
        <w:tc>
          <w:tcPr>
            <w:tcW w:w="1157" w:type="dxa"/>
            <w:tcBorders>
              <w:tl2br w:val="nil"/>
              <w:tr2bl w:val="nil"/>
            </w:tcBorders>
            <w:vAlign w:val="center"/>
          </w:tcPr>
          <w:p w14:paraId="2011A619">
            <w:pPr>
              <w:pStyle w:val="557"/>
              <w:rPr>
                <w:sz w:val="21"/>
                <w:szCs w:val="20"/>
              </w:rPr>
            </w:pPr>
            <w:r>
              <w:t>达标</w:t>
            </w:r>
          </w:p>
        </w:tc>
      </w:tr>
      <w:tr w14:paraId="2420E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70DE3AB4">
            <w:pPr>
              <w:pStyle w:val="557"/>
              <w:rPr>
                <w:sz w:val="21"/>
                <w:szCs w:val="20"/>
              </w:rPr>
            </w:pPr>
            <w:r>
              <w:t>23</w:t>
            </w:r>
          </w:p>
        </w:tc>
        <w:tc>
          <w:tcPr>
            <w:tcW w:w="2108" w:type="dxa"/>
            <w:tcBorders>
              <w:tl2br w:val="nil"/>
              <w:tr2bl w:val="nil"/>
            </w:tcBorders>
            <w:vAlign w:val="center"/>
          </w:tcPr>
          <w:p w14:paraId="187F0800">
            <w:pPr>
              <w:pStyle w:val="557"/>
              <w:rPr>
                <w:sz w:val="21"/>
                <w:szCs w:val="20"/>
              </w:rPr>
            </w:pPr>
            <w:r>
              <w:t>铜</w:t>
            </w:r>
          </w:p>
        </w:tc>
        <w:tc>
          <w:tcPr>
            <w:tcW w:w="768" w:type="dxa"/>
            <w:tcBorders>
              <w:tl2br w:val="nil"/>
              <w:tr2bl w:val="nil"/>
            </w:tcBorders>
            <w:vAlign w:val="center"/>
          </w:tcPr>
          <w:p w14:paraId="5C629E2C">
            <w:pPr>
              <w:pStyle w:val="557"/>
              <w:rPr>
                <w:sz w:val="21"/>
                <w:szCs w:val="20"/>
              </w:rPr>
            </w:pPr>
            <w:r>
              <w:t>mg/L</w:t>
            </w:r>
          </w:p>
        </w:tc>
        <w:tc>
          <w:tcPr>
            <w:tcW w:w="1189" w:type="dxa"/>
            <w:tcBorders>
              <w:tl2br w:val="nil"/>
              <w:tr2bl w:val="nil"/>
            </w:tcBorders>
            <w:vAlign w:val="center"/>
          </w:tcPr>
          <w:p w14:paraId="4E5AE456">
            <w:pPr>
              <w:pStyle w:val="557"/>
              <w:rPr>
                <w:sz w:val="21"/>
                <w:szCs w:val="20"/>
              </w:rPr>
            </w:pPr>
            <w:r>
              <w:t>1.0</w:t>
            </w:r>
          </w:p>
        </w:tc>
        <w:tc>
          <w:tcPr>
            <w:tcW w:w="1498" w:type="dxa"/>
            <w:tcBorders>
              <w:tl2br w:val="nil"/>
              <w:tr2bl w:val="nil"/>
            </w:tcBorders>
            <w:vAlign w:val="center"/>
          </w:tcPr>
          <w:p w14:paraId="0FF695BB">
            <w:pPr>
              <w:pStyle w:val="557"/>
              <w:rPr>
                <w:sz w:val="21"/>
                <w:szCs w:val="20"/>
              </w:rPr>
            </w:pPr>
            <w:r>
              <w:t>ND</w:t>
            </w:r>
          </w:p>
        </w:tc>
        <w:tc>
          <w:tcPr>
            <w:tcW w:w="1341" w:type="dxa"/>
            <w:tcBorders>
              <w:tl2br w:val="nil"/>
              <w:tr2bl w:val="nil"/>
            </w:tcBorders>
            <w:vAlign w:val="center"/>
          </w:tcPr>
          <w:p w14:paraId="01DADC49">
            <w:pPr>
              <w:pStyle w:val="557"/>
              <w:rPr>
                <w:sz w:val="21"/>
                <w:szCs w:val="20"/>
              </w:rPr>
            </w:pPr>
            <w:r>
              <w:t>/</w:t>
            </w:r>
          </w:p>
        </w:tc>
        <w:tc>
          <w:tcPr>
            <w:tcW w:w="1157" w:type="dxa"/>
            <w:tcBorders>
              <w:tl2br w:val="nil"/>
              <w:tr2bl w:val="nil"/>
            </w:tcBorders>
            <w:vAlign w:val="center"/>
          </w:tcPr>
          <w:p w14:paraId="44419C95">
            <w:pPr>
              <w:pStyle w:val="557"/>
              <w:rPr>
                <w:sz w:val="21"/>
                <w:szCs w:val="20"/>
              </w:rPr>
            </w:pPr>
            <w:r>
              <w:t>达标</w:t>
            </w:r>
          </w:p>
        </w:tc>
      </w:tr>
      <w:tr w14:paraId="71E09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1D1473BA">
            <w:pPr>
              <w:pStyle w:val="557"/>
            </w:pPr>
            <w:r>
              <w:t>24</w:t>
            </w:r>
          </w:p>
        </w:tc>
        <w:tc>
          <w:tcPr>
            <w:tcW w:w="2108" w:type="dxa"/>
            <w:tcBorders>
              <w:tl2br w:val="nil"/>
              <w:tr2bl w:val="nil"/>
            </w:tcBorders>
            <w:vAlign w:val="center"/>
          </w:tcPr>
          <w:p w14:paraId="34A85DF1">
            <w:pPr>
              <w:pStyle w:val="557"/>
              <w:rPr>
                <w:sz w:val="21"/>
                <w:szCs w:val="20"/>
              </w:rPr>
            </w:pPr>
            <w:r>
              <w:t>锌</w:t>
            </w:r>
          </w:p>
        </w:tc>
        <w:tc>
          <w:tcPr>
            <w:tcW w:w="768" w:type="dxa"/>
            <w:tcBorders>
              <w:tl2br w:val="nil"/>
              <w:tr2bl w:val="nil"/>
            </w:tcBorders>
            <w:vAlign w:val="center"/>
          </w:tcPr>
          <w:p w14:paraId="3A28C94F">
            <w:pPr>
              <w:pStyle w:val="557"/>
              <w:rPr>
                <w:sz w:val="21"/>
                <w:szCs w:val="20"/>
              </w:rPr>
            </w:pPr>
            <w:r>
              <w:t>mg/L</w:t>
            </w:r>
          </w:p>
        </w:tc>
        <w:tc>
          <w:tcPr>
            <w:tcW w:w="1189" w:type="dxa"/>
            <w:tcBorders>
              <w:tl2br w:val="nil"/>
              <w:tr2bl w:val="nil"/>
            </w:tcBorders>
            <w:vAlign w:val="center"/>
          </w:tcPr>
          <w:p w14:paraId="49BF9E9C">
            <w:pPr>
              <w:pStyle w:val="557"/>
              <w:rPr>
                <w:sz w:val="21"/>
                <w:szCs w:val="20"/>
              </w:rPr>
            </w:pPr>
            <w:r>
              <w:t>1.0</w:t>
            </w:r>
          </w:p>
        </w:tc>
        <w:tc>
          <w:tcPr>
            <w:tcW w:w="1498" w:type="dxa"/>
            <w:tcBorders>
              <w:tl2br w:val="nil"/>
              <w:tr2bl w:val="nil"/>
            </w:tcBorders>
            <w:vAlign w:val="center"/>
          </w:tcPr>
          <w:p w14:paraId="5734A861">
            <w:pPr>
              <w:pStyle w:val="557"/>
              <w:rPr>
                <w:sz w:val="21"/>
                <w:szCs w:val="20"/>
              </w:rPr>
            </w:pPr>
            <w:r>
              <w:t>ND</w:t>
            </w:r>
          </w:p>
        </w:tc>
        <w:tc>
          <w:tcPr>
            <w:tcW w:w="1341" w:type="dxa"/>
            <w:tcBorders>
              <w:tl2br w:val="nil"/>
              <w:tr2bl w:val="nil"/>
            </w:tcBorders>
            <w:vAlign w:val="center"/>
          </w:tcPr>
          <w:p w14:paraId="1A2C65AF">
            <w:pPr>
              <w:pStyle w:val="557"/>
              <w:rPr>
                <w:sz w:val="21"/>
                <w:szCs w:val="20"/>
              </w:rPr>
            </w:pPr>
            <w:r>
              <w:t>/</w:t>
            </w:r>
          </w:p>
        </w:tc>
        <w:tc>
          <w:tcPr>
            <w:tcW w:w="1157" w:type="dxa"/>
            <w:tcBorders>
              <w:tl2br w:val="nil"/>
              <w:tr2bl w:val="nil"/>
            </w:tcBorders>
            <w:vAlign w:val="center"/>
          </w:tcPr>
          <w:p w14:paraId="3445B940">
            <w:pPr>
              <w:pStyle w:val="557"/>
              <w:rPr>
                <w:sz w:val="21"/>
                <w:szCs w:val="20"/>
              </w:rPr>
            </w:pPr>
            <w:r>
              <w:t>达标</w:t>
            </w:r>
          </w:p>
        </w:tc>
      </w:tr>
      <w:tr w14:paraId="1BEE2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50B86464">
            <w:pPr>
              <w:pStyle w:val="557"/>
            </w:pPr>
            <w:r>
              <w:t>25</w:t>
            </w:r>
          </w:p>
        </w:tc>
        <w:tc>
          <w:tcPr>
            <w:tcW w:w="2108" w:type="dxa"/>
            <w:tcBorders>
              <w:tl2br w:val="nil"/>
              <w:tr2bl w:val="nil"/>
            </w:tcBorders>
            <w:vAlign w:val="center"/>
          </w:tcPr>
          <w:p w14:paraId="4CF03375">
            <w:pPr>
              <w:pStyle w:val="557"/>
              <w:rPr>
                <w:sz w:val="21"/>
                <w:szCs w:val="20"/>
              </w:rPr>
            </w:pPr>
            <w:r>
              <w:t>铅</w:t>
            </w:r>
          </w:p>
        </w:tc>
        <w:tc>
          <w:tcPr>
            <w:tcW w:w="768" w:type="dxa"/>
            <w:tcBorders>
              <w:tl2br w:val="nil"/>
              <w:tr2bl w:val="nil"/>
            </w:tcBorders>
            <w:vAlign w:val="center"/>
          </w:tcPr>
          <w:p w14:paraId="35F2F542">
            <w:pPr>
              <w:pStyle w:val="557"/>
              <w:rPr>
                <w:sz w:val="21"/>
                <w:szCs w:val="20"/>
              </w:rPr>
            </w:pPr>
            <w:r>
              <w:t>mg/L</w:t>
            </w:r>
          </w:p>
        </w:tc>
        <w:tc>
          <w:tcPr>
            <w:tcW w:w="1189" w:type="dxa"/>
            <w:tcBorders>
              <w:tl2br w:val="nil"/>
              <w:tr2bl w:val="nil"/>
            </w:tcBorders>
            <w:vAlign w:val="center"/>
          </w:tcPr>
          <w:p w14:paraId="44B7B214">
            <w:pPr>
              <w:pStyle w:val="557"/>
              <w:rPr>
                <w:sz w:val="21"/>
                <w:szCs w:val="20"/>
              </w:rPr>
            </w:pPr>
            <w:r>
              <w:t>0.05</w:t>
            </w:r>
          </w:p>
        </w:tc>
        <w:tc>
          <w:tcPr>
            <w:tcW w:w="1498" w:type="dxa"/>
            <w:tcBorders>
              <w:tl2br w:val="nil"/>
              <w:tr2bl w:val="nil"/>
            </w:tcBorders>
            <w:vAlign w:val="center"/>
          </w:tcPr>
          <w:p w14:paraId="56377F95">
            <w:pPr>
              <w:pStyle w:val="557"/>
              <w:rPr>
                <w:sz w:val="21"/>
                <w:szCs w:val="20"/>
              </w:rPr>
            </w:pPr>
            <w:r>
              <w:t>ND</w:t>
            </w:r>
          </w:p>
        </w:tc>
        <w:tc>
          <w:tcPr>
            <w:tcW w:w="1341" w:type="dxa"/>
            <w:tcBorders>
              <w:tl2br w:val="nil"/>
              <w:tr2bl w:val="nil"/>
            </w:tcBorders>
            <w:vAlign w:val="center"/>
          </w:tcPr>
          <w:p w14:paraId="2A265A8F">
            <w:pPr>
              <w:pStyle w:val="557"/>
              <w:rPr>
                <w:sz w:val="21"/>
                <w:szCs w:val="20"/>
              </w:rPr>
            </w:pPr>
            <w:r>
              <w:t>/</w:t>
            </w:r>
          </w:p>
        </w:tc>
        <w:tc>
          <w:tcPr>
            <w:tcW w:w="1157" w:type="dxa"/>
            <w:tcBorders>
              <w:tl2br w:val="nil"/>
              <w:tr2bl w:val="nil"/>
            </w:tcBorders>
            <w:vAlign w:val="center"/>
          </w:tcPr>
          <w:p w14:paraId="1C6CFB37">
            <w:pPr>
              <w:pStyle w:val="557"/>
              <w:rPr>
                <w:sz w:val="21"/>
                <w:szCs w:val="20"/>
              </w:rPr>
            </w:pPr>
            <w:r>
              <w:t>达标</w:t>
            </w:r>
          </w:p>
        </w:tc>
      </w:tr>
      <w:tr w14:paraId="7A226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4" w:hRule="atLeast"/>
          <w:jc w:val="center"/>
        </w:trPr>
        <w:tc>
          <w:tcPr>
            <w:tcW w:w="656" w:type="dxa"/>
            <w:tcBorders>
              <w:tl2br w:val="nil"/>
              <w:tr2bl w:val="nil"/>
            </w:tcBorders>
            <w:vAlign w:val="center"/>
          </w:tcPr>
          <w:p w14:paraId="1ABEAA67">
            <w:pPr>
              <w:pStyle w:val="557"/>
            </w:pPr>
            <w:r>
              <w:t>26</w:t>
            </w:r>
          </w:p>
        </w:tc>
        <w:tc>
          <w:tcPr>
            <w:tcW w:w="2108" w:type="dxa"/>
            <w:tcBorders>
              <w:tl2br w:val="nil"/>
              <w:tr2bl w:val="nil"/>
            </w:tcBorders>
            <w:vAlign w:val="center"/>
          </w:tcPr>
          <w:p w14:paraId="1F9BE066">
            <w:pPr>
              <w:pStyle w:val="557"/>
              <w:rPr>
                <w:sz w:val="21"/>
                <w:szCs w:val="20"/>
              </w:rPr>
            </w:pPr>
            <w:r>
              <w:t>镉</w:t>
            </w:r>
          </w:p>
        </w:tc>
        <w:tc>
          <w:tcPr>
            <w:tcW w:w="768" w:type="dxa"/>
            <w:tcBorders>
              <w:tl2br w:val="nil"/>
              <w:tr2bl w:val="nil"/>
            </w:tcBorders>
            <w:vAlign w:val="center"/>
          </w:tcPr>
          <w:p w14:paraId="39FC7EA0">
            <w:pPr>
              <w:pStyle w:val="557"/>
              <w:rPr>
                <w:sz w:val="21"/>
                <w:szCs w:val="20"/>
              </w:rPr>
            </w:pPr>
            <w:r>
              <w:t>mg/L</w:t>
            </w:r>
          </w:p>
        </w:tc>
        <w:tc>
          <w:tcPr>
            <w:tcW w:w="1189" w:type="dxa"/>
            <w:tcBorders>
              <w:tl2br w:val="nil"/>
              <w:tr2bl w:val="nil"/>
            </w:tcBorders>
            <w:vAlign w:val="center"/>
          </w:tcPr>
          <w:p w14:paraId="2692843D">
            <w:pPr>
              <w:pStyle w:val="557"/>
              <w:rPr>
                <w:sz w:val="21"/>
                <w:szCs w:val="20"/>
              </w:rPr>
            </w:pPr>
            <w:r>
              <w:t>0.005</w:t>
            </w:r>
          </w:p>
        </w:tc>
        <w:tc>
          <w:tcPr>
            <w:tcW w:w="1498" w:type="dxa"/>
            <w:tcBorders>
              <w:tl2br w:val="nil"/>
              <w:tr2bl w:val="nil"/>
            </w:tcBorders>
            <w:vAlign w:val="center"/>
          </w:tcPr>
          <w:p w14:paraId="5DE7CFE8">
            <w:pPr>
              <w:pStyle w:val="557"/>
              <w:rPr>
                <w:sz w:val="21"/>
                <w:szCs w:val="20"/>
              </w:rPr>
            </w:pPr>
            <w:r>
              <w:t>ND</w:t>
            </w:r>
          </w:p>
        </w:tc>
        <w:tc>
          <w:tcPr>
            <w:tcW w:w="1341" w:type="dxa"/>
            <w:tcBorders>
              <w:tl2br w:val="nil"/>
              <w:tr2bl w:val="nil"/>
            </w:tcBorders>
            <w:vAlign w:val="center"/>
          </w:tcPr>
          <w:p w14:paraId="211FD684">
            <w:pPr>
              <w:pStyle w:val="557"/>
              <w:rPr>
                <w:sz w:val="21"/>
                <w:szCs w:val="20"/>
              </w:rPr>
            </w:pPr>
            <w:r>
              <w:t>/</w:t>
            </w:r>
          </w:p>
        </w:tc>
        <w:tc>
          <w:tcPr>
            <w:tcW w:w="1157" w:type="dxa"/>
            <w:tcBorders>
              <w:tl2br w:val="nil"/>
              <w:tr2bl w:val="nil"/>
            </w:tcBorders>
            <w:vAlign w:val="center"/>
          </w:tcPr>
          <w:p w14:paraId="5D755A9F">
            <w:pPr>
              <w:pStyle w:val="557"/>
              <w:rPr>
                <w:sz w:val="21"/>
                <w:szCs w:val="20"/>
              </w:rPr>
            </w:pPr>
            <w:r>
              <w:t>达标</w:t>
            </w:r>
          </w:p>
        </w:tc>
      </w:tr>
    </w:tbl>
    <w:p w14:paraId="153017CF">
      <w:pPr>
        <w:pStyle w:val="557"/>
      </w:pPr>
    </w:p>
    <w:p w14:paraId="710E1492">
      <w:pPr>
        <w:pStyle w:val="281"/>
        <w:ind w:firstLine="480"/>
      </w:pPr>
      <w:r>
        <w:rPr>
          <w:rFonts w:hint="eastAsia"/>
          <w:snapToGrid w:val="0"/>
        </w:rPr>
        <w:t>由监测结果可知，建设项目评价区域范围内地表水现状各项监测指标均符合</w:t>
      </w:r>
      <w:r>
        <w:rPr>
          <w:rFonts w:hint="eastAsia"/>
        </w:rPr>
        <w:t>《地表水环境质量标准》（GB 3838-2002）中的III类标准</w:t>
      </w:r>
      <w:r>
        <w:rPr>
          <w:rFonts w:hint="eastAsia"/>
          <w:snapToGrid w:val="0"/>
        </w:rPr>
        <w:t>，项目所在区域地表水环境较好。</w:t>
      </w:r>
    </w:p>
    <w:p w14:paraId="443823F8">
      <w:pPr>
        <w:pStyle w:val="98"/>
        <w:rPr>
          <w:rFonts w:hint="eastAsia"/>
        </w:rPr>
      </w:pPr>
      <w:r>
        <w:t>地下水</w:t>
      </w:r>
    </w:p>
    <w:p w14:paraId="38C8AF8B">
      <w:pPr>
        <w:pStyle w:val="281"/>
        <w:ind w:firstLine="480"/>
      </w:pPr>
      <w:r>
        <w:rPr>
          <w:rFonts w:hint="eastAsia"/>
        </w:rPr>
        <w:t>本次</w:t>
      </w:r>
      <w:r>
        <w:rPr>
          <w:rFonts w:hint="eastAsia"/>
          <w:color w:val="000000" w:themeColor="text1"/>
          <w14:textFill>
            <w14:solidFill>
              <w14:schemeClr w14:val="tx1"/>
            </w14:solidFill>
          </w14:textFill>
        </w:rPr>
        <w:t>地下水环境质量现状调查采用引用数据的方式。引用数据来源于《新疆金盛镁业有限公司镁合金产业循环经济建设技改提升项目环境影响报告书》中地下水监测数据，监测单位为新疆齐新环境服务有限公司，监测时间2024年12月18日。具体点位布设情况见表4.3.2-2；监测布点图见图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2、图4.3.2-3。</w:t>
      </w:r>
    </w:p>
    <w:p w14:paraId="06034828">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地下水监测布点一览表</w:t>
      </w:r>
    </w:p>
    <w:tbl>
      <w:tblPr>
        <w:tblStyle w:val="6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84"/>
        <w:gridCol w:w="2727"/>
        <w:gridCol w:w="774"/>
        <w:gridCol w:w="914"/>
        <w:gridCol w:w="1004"/>
      </w:tblGrid>
      <w:tr w14:paraId="3F23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Align w:val="center"/>
          </w:tcPr>
          <w:p w14:paraId="46F3E625">
            <w:pPr>
              <w:pStyle w:val="557"/>
            </w:pPr>
            <w:r>
              <w:rPr>
                <w:rFonts w:hint="eastAsia"/>
              </w:rPr>
              <w:t>序号</w:t>
            </w:r>
          </w:p>
        </w:tc>
        <w:tc>
          <w:tcPr>
            <w:tcW w:w="2084" w:type="dxa"/>
            <w:vAlign w:val="center"/>
          </w:tcPr>
          <w:p w14:paraId="15D0FB73">
            <w:pPr>
              <w:pStyle w:val="557"/>
            </w:pPr>
            <w:r>
              <w:rPr>
                <w:rFonts w:hint="eastAsia"/>
              </w:rPr>
              <w:t>名称</w:t>
            </w:r>
          </w:p>
        </w:tc>
        <w:tc>
          <w:tcPr>
            <w:tcW w:w="2727" w:type="dxa"/>
            <w:vAlign w:val="center"/>
          </w:tcPr>
          <w:p w14:paraId="0D4B34BC">
            <w:pPr>
              <w:pStyle w:val="557"/>
            </w:pPr>
            <w:r>
              <w:rPr>
                <w:rFonts w:hint="eastAsia"/>
              </w:rPr>
              <w:t>坐标</w:t>
            </w:r>
          </w:p>
        </w:tc>
        <w:tc>
          <w:tcPr>
            <w:tcW w:w="774" w:type="dxa"/>
            <w:vAlign w:val="center"/>
          </w:tcPr>
          <w:p w14:paraId="1932CE7D">
            <w:pPr>
              <w:pStyle w:val="557"/>
            </w:pPr>
            <w:r>
              <w:rPr>
                <w:rFonts w:hint="eastAsia"/>
              </w:rPr>
              <w:t>方向</w:t>
            </w:r>
          </w:p>
        </w:tc>
        <w:tc>
          <w:tcPr>
            <w:tcW w:w="914" w:type="dxa"/>
            <w:vAlign w:val="center"/>
          </w:tcPr>
          <w:p w14:paraId="4D28621C">
            <w:pPr>
              <w:pStyle w:val="557"/>
            </w:pPr>
            <w:r>
              <w:rPr>
                <w:rFonts w:hint="eastAsia"/>
              </w:rPr>
              <w:t>距离</w:t>
            </w:r>
          </w:p>
          <w:p w14:paraId="214897B4">
            <w:pPr>
              <w:pStyle w:val="557"/>
            </w:pPr>
            <w:r>
              <w:rPr>
                <w:rFonts w:hint="eastAsia"/>
              </w:rPr>
              <w:t>（km）</w:t>
            </w:r>
          </w:p>
        </w:tc>
        <w:tc>
          <w:tcPr>
            <w:tcW w:w="1004" w:type="dxa"/>
            <w:vAlign w:val="center"/>
          </w:tcPr>
          <w:p w14:paraId="78F08B76">
            <w:pPr>
              <w:pStyle w:val="557"/>
            </w:pPr>
            <w:r>
              <w:rPr>
                <w:rFonts w:hint="eastAsia"/>
              </w:rPr>
              <w:t>水位埋深（m）</w:t>
            </w:r>
          </w:p>
        </w:tc>
      </w:tr>
      <w:tr w14:paraId="15B6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restart"/>
            <w:vAlign w:val="center"/>
          </w:tcPr>
          <w:p w14:paraId="40D3FB15">
            <w:pPr>
              <w:pStyle w:val="557"/>
            </w:pPr>
            <w:r>
              <w:rPr>
                <w:rFonts w:hint="eastAsia"/>
              </w:rPr>
              <w:t>水质水位井</w:t>
            </w:r>
          </w:p>
        </w:tc>
        <w:tc>
          <w:tcPr>
            <w:tcW w:w="2084" w:type="dxa"/>
            <w:vAlign w:val="center"/>
          </w:tcPr>
          <w:p w14:paraId="1F541C6A">
            <w:pPr>
              <w:pStyle w:val="557"/>
            </w:pPr>
            <w:r>
              <w:rPr>
                <w:rFonts w:hint="eastAsia"/>
              </w:rPr>
              <w:t>1#水质和水位监测点</w:t>
            </w:r>
          </w:p>
        </w:tc>
        <w:tc>
          <w:tcPr>
            <w:tcW w:w="2727" w:type="dxa"/>
            <w:vAlign w:val="center"/>
          </w:tcPr>
          <w:p w14:paraId="78D2C26E">
            <w:pPr>
              <w:pStyle w:val="557"/>
            </w:pPr>
          </w:p>
        </w:tc>
        <w:tc>
          <w:tcPr>
            <w:tcW w:w="774" w:type="dxa"/>
            <w:vAlign w:val="center"/>
          </w:tcPr>
          <w:p w14:paraId="4879F171">
            <w:pPr>
              <w:pStyle w:val="557"/>
            </w:pPr>
            <w:r>
              <w:rPr>
                <w:rFonts w:hint="eastAsia"/>
              </w:rPr>
              <w:t>NE</w:t>
            </w:r>
          </w:p>
        </w:tc>
        <w:tc>
          <w:tcPr>
            <w:tcW w:w="914" w:type="dxa"/>
            <w:vAlign w:val="center"/>
          </w:tcPr>
          <w:p w14:paraId="09306315">
            <w:pPr>
              <w:pStyle w:val="557"/>
            </w:pPr>
            <w:r>
              <w:rPr>
                <w:rFonts w:hint="eastAsia"/>
              </w:rPr>
              <w:t>4.7</w:t>
            </w:r>
          </w:p>
        </w:tc>
        <w:tc>
          <w:tcPr>
            <w:tcW w:w="1004" w:type="dxa"/>
            <w:vAlign w:val="center"/>
          </w:tcPr>
          <w:p w14:paraId="2055C6BE">
            <w:pPr>
              <w:pStyle w:val="557"/>
            </w:pPr>
            <w:r>
              <w:rPr>
                <w:rFonts w:hint="eastAsia"/>
              </w:rPr>
              <w:t>8.4</w:t>
            </w:r>
          </w:p>
        </w:tc>
      </w:tr>
      <w:tr w14:paraId="64A0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069C2CBE">
            <w:pPr>
              <w:pStyle w:val="557"/>
            </w:pPr>
          </w:p>
        </w:tc>
        <w:tc>
          <w:tcPr>
            <w:tcW w:w="2084" w:type="dxa"/>
            <w:vAlign w:val="center"/>
          </w:tcPr>
          <w:p w14:paraId="306D3AC8">
            <w:pPr>
              <w:pStyle w:val="557"/>
            </w:pPr>
            <w:r>
              <w:rPr>
                <w:rFonts w:hint="eastAsia"/>
              </w:rPr>
              <w:t>2#水质和水位监测点</w:t>
            </w:r>
          </w:p>
        </w:tc>
        <w:tc>
          <w:tcPr>
            <w:tcW w:w="2727" w:type="dxa"/>
            <w:vAlign w:val="center"/>
          </w:tcPr>
          <w:p w14:paraId="6974E89D">
            <w:pPr>
              <w:pStyle w:val="557"/>
            </w:pPr>
          </w:p>
        </w:tc>
        <w:tc>
          <w:tcPr>
            <w:tcW w:w="774" w:type="dxa"/>
            <w:vAlign w:val="center"/>
          </w:tcPr>
          <w:p w14:paraId="450CC6B2">
            <w:pPr>
              <w:pStyle w:val="557"/>
            </w:pPr>
            <w:r>
              <w:rPr>
                <w:rFonts w:hint="eastAsia"/>
              </w:rPr>
              <w:t>SW</w:t>
            </w:r>
          </w:p>
        </w:tc>
        <w:tc>
          <w:tcPr>
            <w:tcW w:w="914" w:type="dxa"/>
            <w:vAlign w:val="center"/>
          </w:tcPr>
          <w:p w14:paraId="162F7794">
            <w:pPr>
              <w:pStyle w:val="557"/>
            </w:pPr>
            <w:r>
              <w:rPr>
                <w:rFonts w:hint="eastAsia"/>
              </w:rPr>
              <w:t>13.4</w:t>
            </w:r>
          </w:p>
        </w:tc>
        <w:tc>
          <w:tcPr>
            <w:tcW w:w="1004" w:type="dxa"/>
            <w:vAlign w:val="center"/>
          </w:tcPr>
          <w:p w14:paraId="360B253C">
            <w:pPr>
              <w:pStyle w:val="557"/>
            </w:pPr>
            <w:r>
              <w:rPr>
                <w:rFonts w:hint="eastAsia"/>
              </w:rPr>
              <w:t>5.2</w:t>
            </w:r>
          </w:p>
        </w:tc>
      </w:tr>
      <w:tr w14:paraId="09F8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71AB226E">
            <w:pPr>
              <w:pStyle w:val="557"/>
            </w:pPr>
          </w:p>
        </w:tc>
        <w:tc>
          <w:tcPr>
            <w:tcW w:w="2084" w:type="dxa"/>
            <w:vAlign w:val="center"/>
          </w:tcPr>
          <w:p w14:paraId="4D54D124">
            <w:pPr>
              <w:pStyle w:val="557"/>
            </w:pPr>
            <w:r>
              <w:rPr>
                <w:rFonts w:hint="eastAsia"/>
              </w:rPr>
              <w:t>3#水质和水位监测点</w:t>
            </w:r>
          </w:p>
        </w:tc>
        <w:tc>
          <w:tcPr>
            <w:tcW w:w="2727" w:type="dxa"/>
            <w:vAlign w:val="center"/>
          </w:tcPr>
          <w:p w14:paraId="49E84398">
            <w:pPr>
              <w:pStyle w:val="557"/>
            </w:pPr>
          </w:p>
        </w:tc>
        <w:tc>
          <w:tcPr>
            <w:tcW w:w="774" w:type="dxa"/>
            <w:vAlign w:val="center"/>
          </w:tcPr>
          <w:p w14:paraId="6E75FF2C">
            <w:pPr>
              <w:pStyle w:val="557"/>
            </w:pPr>
            <w:r>
              <w:rPr>
                <w:rFonts w:hint="eastAsia"/>
              </w:rPr>
              <w:t>SW</w:t>
            </w:r>
          </w:p>
        </w:tc>
        <w:tc>
          <w:tcPr>
            <w:tcW w:w="914" w:type="dxa"/>
            <w:vAlign w:val="center"/>
          </w:tcPr>
          <w:p w14:paraId="3FCB3CD6">
            <w:pPr>
              <w:pStyle w:val="557"/>
            </w:pPr>
            <w:r>
              <w:rPr>
                <w:rFonts w:hint="eastAsia"/>
              </w:rPr>
              <w:t>0.8</w:t>
            </w:r>
          </w:p>
        </w:tc>
        <w:tc>
          <w:tcPr>
            <w:tcW w:w="1004" w:type="dxa"/>
            <w:vAlign w:val="center"/>
          </w:tcPr>
          <w:p w14:paraId="72E9AF56">
            <w:pPr>
              <w:pStyle w:val="557"/>
            </w:pPr>
            <w:r>
              <w:rPr>
                <w:rFonts w:hint="eastAsia"/>
              </w:rPr>
              <w:t>5.7</w:t>
            </w:r>
          </w:p>
        </w:tc>
      </w:tr>
      <w:tr w14:paraId="4BCF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1AC831E4">
            <w:pPr>
              <w:pStyle w:val="557"/>
            </w:pPr>
          </w:p>
        </w:tc>
        <w:tc>
          <w:tcPr>
            <w:tcW w:w="2084" w:type="dxa"/>
            <w:vAlign w:val="center"/>
          </w:tcPr>
          <w:p w14:paraId="0D2EC336">
            <w:pPr>
              <w:pStyle w:val="557"/>
            </w:pPr>
            <w:r>
              <w:rPr>
                <w:rFonts w:hint="eastAsia"/>
              </w:rPr>
              <w:t>4#水质和水位监测点</w:t>
            </w:r>
          </w:p>
        </w:tc>
        <w:tc>
          <w:tcPr>
            <w:tcW w:w="2727" w:type="dxa"/>
            <w:vAlign w:val="center"/>
          </w:tcPr>
          <w:p w14:paraId="560397C0">
            <w:pPr>
              <w:pStyle w:val="557"/>
            </w:pPr>
          </w:p>
        </w:tc>
        <w:tc>
          <w:tcPr>
            <w:tcW w:w="774" w:type="dxa"/>
            <w:vAlign w:val="center"/>
          </w:tcPr>
          <w:p w14:paraId="62E1963C">
            <w:pPr>
              <w:pStyle w:val="557"/>
            </w:pPr>
            <w:r>
              <w:rPr>
                <w:rFonts w:hint="eastAsia"/>
              </w:rPr>
              <w:t>SW</w:t>
            </w:r>
          </w:p>
        </w:tc>
        <w:tc>
          <w:tcPr>
            <w:tcW w:w="914" w:type="dxa"/>
            <w:vAlign w:val="center"/>
          </w:tcPr>
          <w:p w14:paraId="034D74CF">
            <w:pPr>
              <w:pStyle w:val="557"/>
            </w:pPr>
            <w:r>
              <w:rPr>
                <w:rFonts w:hint="eastAsia"/>
              </w:rPr>
              <w:t>3.2</w:t>
            </w:r>
          </w:p>
        </w:tc>
        <w:tc>
          <w:tcPr>
            <w:tcW w:w="1004" w:type="dxa"/>
            <w:vAlign w:val="center"/>
          </w:tcPr>
          <w:p w14:paraId="4D86EA16">
            <w:pPr>
              <w:pStyle w:val="557"/>
            </w:pPr>
            <w:r>
              <w:rPr>
                <w:rFonts w:hint="eastAsia"/>
              </w:rPr>
              <w:t>4.2</w:t>
            </w:r>
          </w:p>
        </w:tc>
      </w:tr>
      <w:tr w14:paraId="4809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66F2AB23">
            <w:pPr>
              <w:pStyle w:val="557"/>
            </w:pPr>
          </w:p>
        </w:tc>
        <w:tc>
          <w:tcPr>
            <w:tcW w:w="2084" w:type="dxa"/>
            <w:vAlign w:val="center"/>
          </w:tcPr>
          <w:p w14:paraId="069C3F93">
            <w:pPr>
              <w:pStyle w:val="557"/>
            </w:pPr>
            <w:r>
              <w:rPr>
                <w:rFonts w:hint="eastAsia"/>
              </w:rPr>
              <w:t>5#水质和水位监测点</w:t>
            </w:r>
          </w:p>
        </w:tc>
        <w:tc>
          <w:tcPr>
            <w:tcW w:w="2727" w:type="dxa"/>
            <w:vAlign w:val="center"/>
          </w:tcPr>
          <w:p w14:paraId="333FA66C">
            <w:pPr>
              <w:pStyle w:val="557"/>
            </w:pPr>
          </w:p>
        </w:tc>
        <w:tc>
          <w:tcPr>
            <w:tcW w:w="774" w:type="dxa"/>
            <w:vAlign w:val="center"/>
          </w:tcPr>
          <w:p w14:paraId="2BE043AB">
            <w:pPr>
              <w:pStyle w:val="557"/>
            </w:pPr>
            <w:r>
              <w:rPr>
                <w:rFonts w:hint="eastAsia"/>
              </w:rPr>
              <w:t>SW</w:t>
            </w:r>
          </w:p>
        </w:tc>
        <w:tc>
          <w:tcPr>
            <w:tcW w:w="914" w:type="dxa"/>
            <w:vAlign w:val="center"/>
          </w:tcPr>
          <w:p w14:paraId="5590C712">
            <w:pPr>
              <w:pStyle w:val="557"/>
            </w:pPr>
            <w:r>
              <w:rPr>
                <w:rFonts w:hint="eastAsia"/>
              </w:rPr>
              <w:t>12.7</w:t>
            </w:r>
          </w:p>
        </w:tc>
        <w:tc>
          <w:tcPr>
            <w:tcW w:w="1004" w:type="dxa"/>
            <w:vAlign w:val="center"/>
          </w:tcPr>
          <w:p w14:paraId="2E31D01D">
            <w:pPr>
              <w:pStyle w:val="557"/>
            </w:pPr>
            <w:r>
              <w:rPr>
                <w:rFonts w:hint="eastAsia"/>
              </w:rPr>
              <w:t>7.6</w:t>
            </w:r>
          </w:p>
        </w:tc>
      </w:tr>
      <w:tr w14:paraId="743B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restart"/>
            <w:vAlign w:val="center"/>
          </w:tcPr>
          <w:p w14:paraId="34AA25A4">
            <w:pPr>
              <w:pStyle w:val="557"/>
            </w:pPr>
            <w:r>
              <w:rPr>
                <w:rFonts w:hint="eastAsia"/>
              </w:rPr>
              <w:t>水位井</w:t>
            </w:r>
          </w:p>
        </w:tc>
        <w:tc>
          <w:tcPr>
            <w:tcW w:w="2084" w:type="dxa"/>
            <w:vAlign w:val="center"/>
          </w:tcPr>
          <w:p w14:paraId="7E72D4D3">
            <w:pPr>
              <w:pStyle w:val="557"/>
            </w:pPr>
            <w:r>
              <w:rPr>
                <w:rFonts w:hint="eastAsia"/>
              </w:rPr>
              <w:t>6#水位监测点</w:t>
            </w:r>
          </w:p>
        </w:tc>
        <w:tc>
          <w:tcPr>
            <w:tcW w:w="2727" w:type="dxa"/>
            <w:vAlign w:val="center"/>
          </w:tcPr>
          <w:p w14:paraId="165B9119">
            <w:pPr>
              <w:pStyle w:val="557"/>
            </w:pPr>
          </w:p>
        </w:tc>
        <w:tc>
          <w:tcPr>
            <w:tcW w:w="774" w:type="dxa"/>
            <w:vAlign w:val="center"/>
          </w:tcPr>
          <w:p w14:paraId="51DA3C08">
            <w:pPr>
              <w:pStyle w:val="557"/>
            </w:pPr>
            <w:r>
              <w:rPr>
                <w:rFonts w:hint="eastAsia"/>
              </w:rPr>
              <w:t>NE</w:t>
            </w:r>
          </w:p>
        </w:tc>
        <w:tc>
          <w:tcPr>
            <w:tcW w:w="914" w:type="dxa"/>
            <w:vAlign w:val="center"/>
          </w:tcPr>
          <w:p w14:paraId="3C3DD17A">
            <w:pPr>
              <w:pStyle w:val="557"/>
            </w:pPr>
            <w:r>
              <w:rPr>
                <w:rFonts w:hint="eastAsia"/>
              </w:rPr>
              <w:t>7.9</w:t>
            </w:r>
          </w:p>
        </w:tc>
        <w:tc>
          <w:tcPr>
            <w:tcW w:w="1004" w:type="dxa"/>
            <w:vAlign w:val="center"/>
          </w:tcPr>
          <w:p w14:paraId="2A9A159B">
            <w:pPr>
              <w:pStyle w:val="557"/>
            </w:pPr>
            <w:r>
              <w:rPr>
                <w:rFonts w:hint="eastAsia"/>
              </w:rPr>
              <w:t>16.4</w:t>
            </w:r>
          </w:p>
        </w:tc>
      </w:tr>
      <w:tr w14:paraId="57DB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2E3A4BAA">
            <w:pPr>
              <w:pStyle w:val="557"/>
            </w:pPr>
          </w:p>
        </w:tc>
        <w:tc>
          <w:tcPr>
            <w:tcW w:w="2084" w:type="dxa"/>
            <w:vAlign w:val="center"/>
          </w:tcPr>
          <w:p w14:paraId="0D7580EB">
            <w:pPr>
              <w:pStyle w:val="557"/>
            </w:pPr>
            <w:r>
              <w:rPr>
                <w:rFonts w:hint="eastAsia"/>
              </w:rPr>
              <w:t>7#水位监测点</w:t>
            </w:r>
          </w:p>
        </w:tc>
        <w:tc>
          <w:tcPr>
            <w:tcW w:w="2727" w:type="dxa"/>
            <w:vAlign w:val="center"/>
          </w:tcPr>
          <w:p w14:paraId="6FDF67C6">
            <w:pPr>
              <w:pStyle w:val="557"/>
            </w:pPr>
          </w:p>
        </w:tc>
        <w:tc>
          <w:tcPr>
            <w:tcW w:w="774" w:type="dxa"/>
            <w:vAlign w:val="center"/>
          </w:tcPr>
          <w:p w14:paraId="689CFDCE">
            <w:pPr>
              <w:pStyle w:val="557"/>
            </w:pPr>
            <w:r>
              <w:rPr>
                <w:rFonts w:hint="eastAsia"/>
              </w:rPr>
              <w:t>NE</w:t>
            </w:r>
          </w:p>
        </w:tc>
        <w:tc>
          <w:tcPr>
            <w:tcW w:w="914" w:type="dxa"/>
            <w:vAlign w:val="center"/>
          </w:tcPr>
          <w:p w14:paraId="69C1B0CF">
            <w:pPr>
              <w:pStyle w:val="557"/>
            </w:pPr>
            <w:r>
              <w:rPr>
                <w:rFonts w:hint="eastAsia"/>
              </w:rPr>
              <w:t>7.8</w:t>
            </w:r>
          </w:p>
        </w:tc>
        <w:tc>
          <w:tcPr>
            <w:tcW w:w="1004" w:type="dxa"/>
            <w:vAlign w:val="center"/>
          </w:tcPr>
          <w:p w14:paraId="46A8E165">
            <w:pPr>
              <w:pStyle w:val="557"/>
            </w:pPr>
            <w:r>
              <w:rPr>
                <w:rFonts w:hint="eastAsia"/>
              </w:rPr>
              <w:t>17.2</w:t>
            </w:r>
          </w:p>
        </w:tc>
      </w:tr>
      <w:tr w14:paraId="4E4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2512D4F1">
            <w:pPr>
              <w:pStyle w:val="557"/>
            </w:pPr>
          </w:p>
        </w:tc>
        <w:tc>
          <w:tcPr>
            <w:tcW w:w="2084" w:type="dxa"/>
            <w:vAlign w:val="center"/>
          </w:tcPr>
          <w:p w14:paraId="5E7FD879">
            <w:pPr>
              <w:pStyle w:val="557"/>
            </w:pPr>
            <w:r>
              <w:rPr>
                <w:rFonts w:hint="eastAsia"/>
              </w:rPr>
              <w:t>8#水位监测点</w:t>
            </w:r>
          </w:p>
        </w:tc>
        <w:tc>
          <w:tcPr>
            <w:tcW w:w="2727" w:type="dxa"/>
            <w:vAlign w:val="center"/>
          </w:tcPr>
          <w:p w14:paraId="69A07943">
            <w:pPr>
              <w:pStyle w:val="557"/>
            </w:pPr>
          </w:p>
        </w:tc>
        <w:tc>
          <w:tcPr>
            <w:tcW w:w="774" w:type="dxa"/>
            <w:vAlign w:val="center"/>
          </w:tcPr>
          <w:p w14:paraId="4C590157">
            <w:pPr>
              <w:pStyle w:val="557"/>
            </w:pPr>
            <w:r>
              <w:rPr>
                <w:rFonts w:hint="eastAsia"/>
              </w:rPr>
              <w:t>NE</w:t>
            </w:r>
          </w:p>
        </w:tc>
        <w:tc>
          <w:tcPr>
            <w:tcW w:w="914" w:type="dxa"/>
            <w:vAlign w:val="center"/>
          </w:tcPr>
          <w:p w14:paraId="0D954611">
            <w:pPr>
              <w:pStyle w:val="557"/>
            </w:pPr>
            <w:r>
              <w:rPr>
                <w:rFonts w:hint="eastAsia"/>
              </w:rPr>
              <w:t>4.9</w:t>
            </w:r>
          </w:p>
        </w:tc>
        <w:tc>
          <w:tcPr>
            <w:tcW w:w="1004" w:type="dxa"/>
            <w:vAlign w:val="center"/>
          </w:tcPr>
          <w:p w14:paraId="32ADBD63">
            <w:pPr>
              <w:pStyle w:val="557"/>
            </w:pPr>
            <w:r>
              <w:rPr>
                <w:rFonts w:hint="eastAsia"/>
              </w:rPr>
              <w:t>16.8</w:t>
            </w:r>
          </w:p>
        </w:tc>
      </w:tr>
      <w:tr w14:paraId="6DC6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21C20D09">
            <w:pPr>
              <w:pStyle w:val="557"/>
            </w:pPr>
          </w:p>
        </w:tc>
        <w:tc>
          <w:tcPr>
            <w:tcW w:w="2084" w:type="dxa"/>
            <w:vAlign w:val="center"/>
          </w:tcPr>
          <w:p w14:paraId="2C7AE272">
            <w:pPr>
              <w:pStyle w:val="557"/>
            </w:pPr>
            <w:r>
              <w:rPr>
                <w:rFonts w:hint="eastAsia"/>
              </w:rPr>
              <w:t>9#水位监测点</w:t>
            </w:r>
          </w:p>
        </w:tc>
        <w:tc>
          <w:tcPr>
            <w:tcW w:w="2727" w:type="dxa"/>
            <w:vAlign w:val="center"/>
          </w:tcPr>
          <w:p w14:paraId="014DF088">
            <w:pPr>
              <w:pStyle w:val="557"/>
            </w:pPr>
          </w:p>
        </w:tc>
        <w:tc>
          <w:tcPr>
            <w:tcW w:w="774" w:type="dxa"/>
            <w:vAlign w:val="center"/>
          </w:tcPr>
          <w:p w14:paraId="26113EF7">
            <w:pPr>
              <w:pStyle w:val="557"/>
            </w:pPr>
            <w:r>
              <w:rPr>
                <w:rFonts w:hint="eastAsia"/>
              </w:rPr>
              <w:t>SEE</w:t>
            </w:r>
          </w:p>
        </w:tc>
        <w:tc>
          <w:tcPr>
            <w:tcW w:w="914" w:type="dxa"/>
            <w:vAlign w:val="center"/>
          </w:tcPr>
          <w:p w14:paraId="7EA94DFD">
            <w:pPr>
              <w:pStyle w:val="557"/>
            </w:pPr>
            <w:r>
              <w:rPr>
                <w:rFonts w:hint="eastAsia"/>
              </w:rPr>
              <w:t>6.1</w:t>
            </w:r>
          </w:p>
        </w:tc>
        <w:tc>
          <w:tcPr>
            <w:tcW w:w="1004" w:type="dxa"/>
            <w:vAlign w:val="center"/>
          </w:tcPr>
          <w:p w14:paraId="4021DA75">
            <w:pPr>
              <w:pStyle w:val="557"/>
            </w:pPr>
            <w:r>
              <w:rPr>
                <w:rFonts w:hint="eastAsia"/>
              </w:rPr>
              <w:t>13.3</w:t>
            </w:r>
          </w:p>
        </w:tc>
      </w:tr>
      <w:tr w14:paraId="414F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72" w:type="dxa"/>
            <w:vMerge w:val="continue"/>
            <w:vAlign w:val="center"/>
          </w:tcPr>
          <w:p w14:paraId="77FBF134">
            <w:pPr>
              <w:pStyle w:val="557"/>
            </w:pPr>
          </w:p>
        </w:tc>
        <w:tc>
          <w:tcPr>
            <w:tcW w:w="2084" w:type="dxa"/>
            <w:vAlign w:val="center"/>
          </w:tcPr>
          <w:p w14:paraId="176158B2">
            <w:pPr>
              <w:pStyle w:val="557"/>
            </w:pPr>
            <w:r>
              <w:rPr>
                <w:rFonts w:hint="eastAsia"/>
              </w:rPr>
              <w:t>10#水位监测点</w:t>
            </w:r>
          </w:p>
        </w:tc>
        <w:tc>
          <w:tcPr>
            <w:tcW w:w="2727" w:type="dxa"/>
            <w:vAlign w:val="center"/>
          </w:tcPr>
          <w:p w14:paraId="0C94616F">
            <w:pPr>
              <w:pStyle w:val="557"/>
            </w:pPr>
          </w:p>
        </w:tc>
        <w:tc>
          <w:tcPr>
            <w:tcW w:w="774" w:type="dxa"/>
            <w:vAlign w:val="center"/>
          </w:tcPr>
          <w:p w14:paraId="336A9EB7">
            <w:pPr>
              <w:pStyle w:val="557"/>
            </w:pPr>
            <w:r>
              <w:rPr>
                <w:rFonts w:hint="eastAsia"/>
              </w:rPr>
              <w:t>SW</w:t>
            </w:r>
          </w:p>
        </w:tc>
        <w:tc>
          <w:tcPr>
            <w:tcW w:w="914" w:type="dxa"/>
            <w:vAlign w:val="center"/>
          </w:tcPr>
          <w:p w14:paraId="1C579F96">
            <w:pPr>
              <w:pStyle w:val="557"/>
            </w:pPr>
            <w:r>
              <w:rPr>
                <w:rFonts w:hint="eastAsia"/>
              </w:rPr>
              <w:t>13.4</w:t>
            </w:r>
          </w:p>
        </w:tc>
        <w:tc>
          <w:tcPr>
            <w:tcW w:w="1004" w:type="dxa"/>
            <w:vAlign w:val="center"/>
          </w:tcPr>
          <w:p w14:paraId="6891ED72">
            <w:pPr>
              <w:pStyle w:val="557"/>
            </w:pPr>
            <w:r>
              <w:rPr>
                <w:rFonts w:hint="eastAsia"/>
              </w:rPr>
              <w:t>6.6</w:t>
            </w:r>
          </w:p>
        </w:tc>
      </w:tr>
    </w:tbl>
    <w:p w14:paraId="116C66BC">
      <w:pPr>
        <w:pStyle w:val="281"/>
        <w:ind w:firstLine="480"/>
        <w:rPr>
          <w:color w:val="FF0000"/>
        </w:rPr>
      </w:pPr>
    </w:p>
    <w:p w14:paraId="06ADF6EB">
      <w:pPr>
        <w:pStyle w:val="281"/>
        <w:ind w:firstLine="0" w:firstLineChars="0"/>
        <w:jc w:val="center"/>
        <w:rPr>
          <w:color w:val="FF0000"/>
        </w:rPr>
      </w:pPr>
    </w:p>
    <w:p w14:paraId="5AE646D3">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    水质水位监测井点位图</w:t>
      </w:r>
    </w:p>
    <w:p w14:paraId="4F37E1FF">
      <w:pPr>
        <w:pStyle w:val="281"/>
        <w:ind w:firstLine="0" w:firstLineChars="0"/>
        <w:jc w:val="center"/>
        <w:rPr>
          <w:color w:val="000000" w:themeColor="text1"/>
          <w14:textFill>
            <w14:solidFill>
              <w14:schemeClr w14:val="tx1"/>
            </w14:solidFill>
          </w14:textFill>
        </w:rPr>
      </w:pPr>
    </w:p>
    <w:p w14:paraId="2DE5C935">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2-3    水位监测井点位图</w:t>
      </w:r>
    </w:p>
    <w:p w14:paraId="6364BA5D">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（1）监测项目</w:t>
      </w:r>
    </w:p>
    <w:p w14:paraId="2A4E5FE6">
      <w:pPr>
        <w:pStyle w:val="281"/>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监测项目为K</w:t>
      </w:r>
      <w:r>
        <w:rPr>
          <w:rFonts w:cs="Times New Roman"/>
          <w:color w:val="000000" w:themeColor="text1"/>
          <w:vertAlign w:val="superscript"/>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Ca</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Na</w:t>
      </w:r>
      <w:r>
        <w:rPr>
          <w:rFonts w:cs="Times New Roman"/>
          <w:color w:val="000000" w:themeColor="text1"/>
          <w:vertAlign w:val="superscript"/>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Mg</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CO</w:t>
      </w:r>
      <w:r>
        <w:rPr>
          <w:rFonts w:cs="Times New Roman"/>
          <w:color w:val="000000" w:themeColor="text1"/>
          <w:vertAlign w:val="subscript"/>
          <w14:textFill>
            <w14:solidFill>
              <w14:schemeClr w14:val="tx1"/>
            </w14:solidFill>
          </w14:textFill>
        </w:rPr>
        <w:t>3</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HCO</w:t>
      </w:r>
      <w:r>
        <w:rPr>
          <w:rFonts w:cs="Times New Roman"/>
          <w:color w:val="000000" w:themeColor="text1"/>
          <w:vertAlign w:val="subscript"/>
          <w14:textFill>
            <w14:solidFill>
              <w14:schemeClr w14:val="tx1"/>
            </w14:solidFill>
          </w14:textFill>
        </w:rPr>
        <w:t>3</w:t>
      </w:r>
      <w:r>
        <w:rPr>
          <w:rFonts w:cs="Times New Roman"/>
          <w:color w:val="000000" w:themeColor="text1"/>
          <w:vertAlign w:val="superscript"/>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Cl</w:t>
      </w:r>
      <w:r>
        <w:rPr>
          <w:rFonts w:cs="Times New Roman"/>
          <w:color w:val="000000" w:themeColor="text1"/>
          <w:vertAlign w:val="superscript"/>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4</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pH</w:t>
      </w:r>
      <w:r>
        <w:rPr>
          <w:rFonts w:hint="eastAsia" w:cs="Times New Roman"/>
          <w:color w:val="000000" w:themeColor="text1"/>
          <w14:textFill>
            <w14:solidFill>
              <w14:schemeClr w14:val="tx1"/>
            </w14:solidFill>
          </w14:textFill>
        </w:rPr>
        <w:t>、氨氮、硝酸盐、亚硝酸盐、挥发性酚类、氰化物、砷、汞、铬（六价）、总硬度、铅、氟化物、镉、铁、锰、溶解性总固体、耗氧量、硫酸盐、氯化物、总大肠杆菌群、细菌总数、石油类、苯、甲苯、苯并芘。</w:t>
      </w:r>
    </w:p>
    <w:p w14:paraId="1BC1B36E">
      <w:pPr>
        <w:pStyle w:val="281"/>
        <w:ind w:firstLine="480"/>
        <w:rPr>
          <w:rFonts w:cs="Times New Roman"/>
        </w:rPr>
      </w:pPr>
      <w:r>
        <w:rPr>
          <w:rFonts w:cs="Times New Roman"/>
        </w:rPr>
        <w:t>（2）评价标准</w:t>
      </w:r>
    </w:p>
    <w:p w14:paraId="710D3144">
      <w:pPr>
        <w:pStyle w:val="281"/>
        <w:ind w:firstLine="480"/>
        <w:rPr>
          <w:rFonts w:cs="Times New Roman"/>
        </w:rPr>
      </w:pPr>
      <w:r>
        <w:rPr>
          <w:rFonts w:cs="Times New Roman"/>
        </w:rPr>
        <w:t>地下水执行《地下水质量标准》（GB/T14848-2017）的Ⅲ类标准。其中石油类执行《地表水环境质量标准》（GB3838-2002）中的Ⅲ类标准。</w:t>
      </w:r>
    </w:p>
    <w:p w14:paraId="2227E149">
      <w:pPr>
        <w:pStyle w:val="281"/>
        <w:ind w:firstLine="480"/>
        <w:rPr>
          <w:rFonts w:cs="Times New Roman"/>
        </w:rPr>
      </w:pPr>
      <w:r>
        <w:rPr>
          <w:rFonts w:cs="Times New Roman"/>
        </w:rPr>
        <w:t>（3）评价方法</w:t>
      </w:r>
    </w:p>
    <w:p w14:paraId="6EFA706E">
      <w:pPr>
        <w:pStyle w:val="281"/>
        <w:ind w:firstLine="480"/>
        <w:rPr>
          <w:rFonts w:cs="Times New Roman" w:eastAsiaTheme="minorEastAsia"/>
          <w:szCs w:val="24"/>
        </w:rPr>
      </w:pPr>
      <w:r>
        <w:rPr>
          <w:rFonts w:cs="Times New Roman"/>
        </w:rPr>
        <w:t>采用标准指数法对地下水进行评价：</w:t>
      </w:r>
      <w:r>
        <w:rPr>
          <w:rFonts w:cs="Times New Roman" w:eastAsiaTheme="minorEastAsia"/>
          <w:szCs w:val="24"/>
        </w:rPr>
        <w:t>Pi=Ci/Csi</w:t>
      </w:r>
    </w:p>
    <w:p w14:paraId="18B80DAC">
      <w:pPr>
        <w:ind w:firstLine="480" w:firstLineChars="200"/>
        <w:jc w:val="center"/>
        <w:rPr>
          <w:rFonts w:ascii="Times New Roman" w:hAnsi="Times New Roman" w:cs="Times New Roman" w:eastAsiaTheme="minorEastAsia"/>
          <w:szCs w:val="21"/>
        </w:rPr>
      </w:pPr>
      <w:r>
        <w:rPr>
          <w:rFonts w:ascii="Times New Roman" w:hAnsi="Times New Roman" w:cs="Times New Roman" w:eastAsiaTheme="minorEastAsia"/>
          <w:szCs w:val="21"/>
        </w:rPr>
        <w:t>pH</w:t>
      </w:r>
      <w:r>
        <w:rPr>
          <w:rFonts w:ascii="Times New Roman" w:hAnsi="Times New Roman" w:cs="Times New Roman" w:eastAsiaTheme="minorEastAsia"/>
          <w:szCs w:val="21"/>
          <w:vertAlign w:val="subscript"/>
        </w:rPr>
        <w:t>j</w:t>
      </w:r>
      <w:r>
        <w:rPr>
          <w:rFonts w:ascii="Times New Roman" w:hAnsi="Times New Roman" w:cs="Times New Roman" w:eastAsiaTheme="minorEastAsia"/>
          <w:szCs w:val="21"/>
        </w:rPr>
        <w:t>≤7.0时；</w:t>
      </w:r>
      <w:r>
        <w:rPr>
          <w:rFonts w:ascii="Times New Roman" w:hAnsi="Times New Roman" w:cs="Times New Roman" w:eastAsiaTheme="minorEastAsia"/>
          <w:szCs w:val="21"/>
        </w:rPr>
        <w:object>
          <v:shape id="_x0000_i1029" o:spt="75" type="#_x0000_t75" style="height:42pt;width:114pt;" o:ole="t" filled="f" o:preferrelative="t" stroked="f" coordsize="21600,21600">
            <v:path/>
            <v:fill on="f" focussize="0,0"/>
            <v:stroke on="f" joinstyle="miter"/>
            <v:imagedata r:id="rId36" o:title=""/>
            <o:lock v:ext="edit" aspectratio="t"/>
            <w10:wrap type="none"/>
            <w10:anchorlock/>
          </v:shape>
          <o:OLEObject Type="Embed" ProgID="Equation.3" ShapeID="_x0000_i1029" DrawAspect="Content" ObjectID="_1468075729" r:id="rId35">
            <o:LockedField>false</o:LockedField>
          </o:OLEObject>
        </w:object>
      </w:r>
    </w:p>
    <w:p w14:paraId="67F12D90">
      <w:pPr>
        <w:ind w:firstLine="480" w:firstLineChars="200"/>
        <w:jc w:val="center"/>
        <w:rPr>
          <w:rFonts w:ascii="Times New Roman" w:hAnsi="Times New Roman" w:cs="Times New Roman" w:eastAsiaTheme="minorEastAsia"/>
        </w:rPr>
      </w:pPr>
      <w:r>
        <w:rPr>
          <w:rFonts w:ascii="Times New Roman" w:hAnsi="Times New Roman" w:cs="Times New Roman" w:eastAsiaTheme="minorEastAsia"/>
          <w:szCs w:val="21"/>
        </w:rPr>
        <w:t>pH</w:t>
      </w:r>
      <w:r>
        <w:rPr>
          <w:rFonts w:ascii="Times New Roman" w:hAnsi="Times New Roman" w:cs="Times New Roman" w:eastAsiaTheme="minorEastAsia"/>
          <w:szCs w:val="21"/>
          <w:vertAlign w:val="subscript"/>
        </w:rPr>
        <w:t>j</w:t>
      </w:r>
      <w:r>
        <w:rPr>
          <w:rFonts w:ascii="Times New Roman" w:hAnsi="Times New Roman" w:cs="Times New Roman" w:eastAsiaTheme="minorEastAsia"/>
          <w:szCs w:val="21"/>
        </w:rPr>
        <w:t>&gt;7.0时；</w:t>
      </w:r>
      <w:r>
        <w:rPr>
          <w:rFonts w:ascii="Times New Roman" w:hAnsi="Times New Roman" w:cs="Times New Roman" w:eastAsiaTheme="minorEastAsia"/>
        </w:rPr>
        <w:object>
          <v:shape id="_x0000_i1030" o:spt="75" type="#_x0000_t75" style="height:43.5pt;width:114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37">
            <o:LockedField>false</o:LockedField>
          </o:OLEObject>
        </w:object>
      </w:r>
    </w:p>
    <w:p w14:paraId="2A6DE25A">
      <w:pPr>
        <w:spacing w:line="360" w:lineRule="auto"/>
        <w:ind w:firstLine="480" w:firstLineChars="200"/>
        <w:rPr>
          <w:rFonts w:ascii="Times New Roman" w:hAnsi="Times New Roman" w:cs="Times New Roman"/>
          <w:szCs w:val="21"/>
        </w:rPr>
      </w:pPr>
      <w:r>
        <w:rPr>
          <w:rFonts w:ascii="Times New Roman" w:hAnsi="Times New Roman" w:cs="Times New Roman"/>
        </w:rPr>
        <w:t>式中：</w:t>
      </w:r>
      <w:r>
        <w:rPr>
          <w:rFonts w:ascii="Times New Roman" w:hAnsi="Times New Roman" w:cs="Times New Roman"/>
          <w:szCs w:val="21"/>
        </w:rPr>
        <w:t>Ci，j—水质评价因子i在第j取样点的浓度，mg/L；</w:t>
      </w:r>
    </w:p>
    <w:p w14:paraId="549165E5">
      <w:pPr>
        <w:spacing w:line="360" w:lineRule="auto"/>
        <w:ind w:firstLine="1440" w:firstLineChars="600"/>
        <w:rPr>
          <w:rFonts w:ascii="Times New Roman" w:hAnsi="Times New Roman" w:cs="Times New Roman"/>
          <w:szCs w:val="21"/>
        </w:rPr>
      </w:pPr>
      <w:r>
        <w:rPr>
          <w:rFonts w:ascii="Times New Roman" w:hAnsi="Times New Roman" w:cs="Times New Roman"/>
          <w:szCs w:val="21"/>
        </w:rPr>
        <w:t>Csi—i因子的评价标准，mg/L；</w:t>
      </w:r>
    </w:p>
    <w:p w14:paraId="68FEDBCE">
      <w:pPr>
        <w:spacing w:line="360" w:lineRule="auto"/>
        <w:ind w:firstLine="1440" w:firstLineChars="600"/>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szCs w:val="21"/>
          <w:vertAlign w:val="subscript"/>
        </w:rPr>
        <w:t>pH</w:t>
      </w:r>
      <w:r>
        <w:rPr>
          <w:rFonts w:ascii="Times New Roman" w:hAnsi="Times New Roman" w:cs="Times New Roman"/>
          <w:szCs w:val="21"/>
        </w:rPr>
        <w:t>，j—pH标准指数；</w:t>
      </w:r>
    </w:p>
    <w:p w14:paraId="144350F8">
      <w:pPr>
        <w:spacing w:line="360" w:lineRule="auto"/>
        <w:ind w:firstLine="1440" w:firstLineChars="600"/>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vertAlign w:val="subscript"/>
        </w:rPr>
        <w:t>j</w:t>
      </w:r>
      <w:r>
        <w:rPr>
          <w:rFonts w:ascii="Times New Roman" w:hAnsi="Times New Roman" w:cs="Times New Roman"/>
          <w:szCs w:val="21"/>
        </w:rPr>
        <w:t>—j点实测pH值；</w:t>
      </w:r>
    </w:p>
    <w:p w14:paraId="7585F97B">
      <w:pPr>
        <w:spacing w:line="360" w:lineRule="auto"/>
        <w:ind w:firstLine="1440" w:firstLineChars="600"/>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vertAlign w:val="subscript"/>
        </w:rPr>
        <w:t>sd</w:t>
      </w:r>
      <w:r>
        <w:rPr>
          <w:rFonts w:ascii="Times New Roman" w:hAnsi="Times New Roman" w:cs="Times New Roman"/>
          <w:szCs w:val="21"/>
        </w:rPr>
        <w:t>—标准中的pH值的下限值；</w:t>
      </w:r>
    </w:p>
    <w:p w14:paraId="2FC0D726">
      <w:pPr>
        <w:spacing w:line="360" w:lineRule="auto"/>
        <w:ind w:firstLine="1440" w:firstLineChars="600"/>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vertAlign w:val="subscript"/>
        </w:rPr>
        <w:t>SU</w:t>
      </w:r>
      <w:r>
        <w:rPr>
          <w:rFonts w:ascii="Times New Roman" w:hAnsi="Times New Roman" w:cs="Times New Roman"/>
          <w:szCs w:val="21"/>
        </w:rPr>
        <w:t>—标准中的pH值的上限值。</w:t>
      </w:r>
    </w:p>
    <w:p w14:paraId="140AA333">
      <w:pPr>
        <w:pStyle w:val="281"/>
        <w:ind w:firstLine="480"/>
        <w:rPr>
          <w:rFonts w:cs="Times New Roman"/>
        </w:rPr>
      </w:pPr>
      <w:r>
        <w:rPr>
          <w:rFonts w:cs="Times New Roman"/>
        </w:rPr>
        <w:t>（4）评价结果</w:t>
      </w:r>
    </w:p>
    <w:p w14:paraId="77239F8F">
      <w:pPr>
        <w:pStyle w:val="281"/>
        <w:ind w:firstLine="480"/>
        <w:rPr>
          <w:rFonts w:hint="eastAsia" w:hAnsi="宋体"/>
          <w:kern w:val="2"/>
          <w:szCs w:val="24"/>
        </w:rPr>
      </w:pPr>
      <w:r>
        <w:rPr>
          <w:rFonts w:cs="Times New Roman"/>
          <w:kern w:val="2"/>
          <w:szCs w:val="24"/>
        </w:rPr>
        <w:t>地下水现状评价结果见表4.3.2-</w:t>
      </w:r>
      <w:r>
        <w:rPr>
          <w:rFonts w:hint="eastAsia" w:cs="Times New Roman"/>
          <w:kern w:val="2"/>
          <w:szCs w:val="24"/>
        </w:rPr>
        <w:t>3</w:t>
      </w:r>
      <w:r>
        <w:rPr>
          <w:rFonts w:hAnsi="宋体"/>
          <w:kern w:val="2"/>
          <w:szCs w:val="24"/>
        </w:rPr>
        <w:t>。</w:t>
      </w:r>
    </w:p>
    <w:p w14:paraId="2CAD2E75">
      <w:pPr>
        <w:pStyle w:val="281"/>
        <w:ind w:firstLine="480"/>
      </w:pPr>
      <w:r>
        <w:rPr>
          <w:rFonts w:hint="eastAsia"/>
        </w:rPr>
        <w:t>由监测评价结果表明，</w:t>
      </w:r>
      <w:r>
        <w:t>各监测点各项监测指标均符合《地下水质量标准》（GB/T 14848-2017）中的Ⅲ类标准要求</w:t>
      </w:r>
      <w:r>
        <w:rPr>
          <w:rFonts w:hint="eastAsia"/>
        </w:rPr>
        <w:t>。</w:t>
      </w:r>
    </w:p>
    <w:p w14:paraId="0ADBFB93">
      <w:pPr>
        <w:pStyle w:val="281"/>
        <w:ind w:firstLine="480"/>
        <w:rPr>
          <w:rFonts w:hint="eastAsia" w:hAnsi="宋体"/>
          <w:kern w:val="2"/>
          <w:szCs w:val="24"/>
        </w:rPr>
      </w:pPr>
    </w:p>
    <w:p w14:paraId="344EEB4E">
      <w:pPr>
        <w:pStyle w:val="281"/>
        <w:ind w:firstLine="480"/>
        <w:rPr>
          <w:rFonts w:hint="eastAsia" w:hAnsi="宋体"/>
          <w:kern w:val="2"/>
          <w:szCs w:val="24"/>
        </w:rPr>
      </w:pPr>
    </w:p>
    <w:p w14:paraId="52A5CBF4">
      <w:pPr>
        <w:pStyle w:val="281"/>
        <w:ind w:firstLine="480"/>
        <w:rPr>
          <w:rFonts w:hint="eastAsia" w:hAnsi="宋体"/>
          <w:kern w:val="2"/>
          <w:szCs w:val="24"/>
        </w:rPr>
      </w:pPr>
    </w:p>
    <w:p w14:paraId="3D8E2775">
      <w:pPr>
        <w:pStyle w:val="281"/>
        <w:ind w:firstLine="480"/>
        <w:sectPr>
          <w:pgSz w:w="11906" w:h="16838"/>
          <w:pgMar w:top="1644" w:right="1797" w:bottom="1418" w:left="1797" w:header="851" w:footer="992" w:gutter="0"/>
          <w:cols w:space="425" w:num="1"/>
          <w:docGrid w:type="lines" w:linePitch="312" w:charSpace="0"/>
        </w:sectPr>
      </w:pPr>
    </w:p>
    <w:p w14:paraId="118C88DA">
      <w:pPr>
        <w:pStyle w:val="541"/>
        <w:ind w:firstLine="560"/>
        <w:rPr>
          <w:rFonts w:hint="eastAsia"/>
        </w:rPr>
      </w:pPr>
      <w:r>
        <w:rPr>
          <w:rFonts w:hint="eastAsia"/>
        </w:rPr>
        <w:t>表4.3</w:t>
      </w:r>
      <w:r>
        <w:t>.2</w:t>
      </w:r>
      <w:r>
        <w:rPr>
          <w:rFonts w:hint="eastAsia"/>
        </w:rPr>
        <w:t>-3</w:t>
      </w:r>
      <w:r>
        <w:t xml:space="preserve">  </w:t>
      </w:r>
      <w:r>
        <w:rPr>
          <w:rFonts w:hint="eastAsia"/>
        </w:rPr>
        <w:t xml:space="preserve">  地下水水质现状监测及评价结果汇总表</w:t>
      </w:r>
    </w:p>
    <w:tbl>
      <w:tblPr>
        <w:tblStyle w:val="66"/>
        <w:tblW w:w="14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1" w:type="dxa"/>
          <w:bottom w:w="11" w:type="dxa"/>
          <w:right w:w="11" w:type="dxa"/>
        </w:tblCellMar>
      </w:tblPr>
      <w:tblGrid>
        <w:gridCol w:w="1980"/>
        <w:gridCol w:w="992"/>
        <w:gridCol w:w="1106"/>
        <w:gridCol w:w="1010"/>
        <w:gridCol w:w="993"/>
        <w:gridCol w:w="992"/>
        <w:gridCol w:w="992"/>
        <w:gridCol w:w="992"/>
        <w:gridCol w:w="993"/>
        <w:gridCol w:w="850"/>
        <w:gridCol w:w="1134"/>
        <w:gridCol w:w="850"/>
        <w:gridCol w:w="1135"/>
      </w:tblGrid>
      <w:tr w14:paraId="4B3F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Merge w:val="restart"/>
            <w:vAlign w:val="center"/>
          </w:tcPr>
          <w:p w14:paraId="576AC266">
            <w:pPr>
              <w:pStyle w:val="557"/>
            </w:pPr>
            <w:r>
              <w:rPr>
                <w:rFonts w:hint="eastAsia"/>
              </w:rPr>
              <w:t>监测</w:t>
            </w:r>
          </w:p>
          <w:p w14:paraId="35B0AD87">
            <w:pPr>
              <w:pStyle w:val="557"/>
            </w:pPr>
            <w:r>
              <w:rPr>
                <w:rFonts w:hint="eastAsia"/>
              </w:rPr>
              <w:t>项目</w:t>
            </w:r>
          </w:p>
        </w:tc>
        <w:tc>
          <w:tcPr>
            <w:tcW w:w="992" w:type="dxa"/>
            <w:vMerge w:val="restart"/>
            <w:vAlign w:val="center"/>
          </w:tcPr>
          <w:p w14:paraId="55FDF227">
            <w:pPr>
              <w:pStyle w:val="557"/>
            </w:pPr>
            <w:r>
              <w:rPr>
                <w:rFonts w:hint="eastAsia"/>
              </w:rPr>
              <w:t>单位</w:t>
            </w:r>
          </w:p>
        </w:tc>
        <w:tc>
          <w:tcPr>
            <w:tcW w:w="1106" w:type="dxa"/>
            <w:vMerge w:val="restart"/>
            <w:vAlign w:val="center"/>
          </w:tcPr>
          <w:p w14:paraId="0A3FA168">
            <w:pPr>
              <w:pStyle w:val="557"/>
            </w:pPr>
            <w:r>
              <w:rPr>
                <w:rFonts w:hint="eastAsia"/>
              </w:rPr>
              <w:t>标准限值（</w:t>
            </w:r>
            <w:r>
              <w:t>mg/L</w:t>
            </w:r>
            <w:r>
              <w:rPr>
                <w:rFonts w:hint="eastAsia"/>
              </w:rPr>
              <w:t>）</w:t>
            </w:r>
          </w:p>
        </w:tc>
        <w:tc>
          <w:tcPr>
            <w:tcW w:w="9941" w:type="dxa"/>
            <w:gridSpan w:val="10"/>
            <w:vAlign w:val="center"/>
          </w:tcPr>
          <w:p w14:paraId="461FC116">
            <w:pPr>
              <w:pStyle w:val="557"/>
            </w:pPr>
            <w:r>
              <w:rPr>
                <w:rFonts w:hint="eastAsia"/>
              </w:rPr>
              <w:t>采样点位</w:t>
            </w:r>
          </w:p>
        </w:tc>
      </w:tr>
      <w:tr w14:paraId="23D6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Merge w:val="continue"/>
            <w:vAlign w:val="center"/>
          </w:tcPr>
          <w:p w14:paraId="5669663D">
            <w:pPr>
              <w:pStyle w:val="557"/>
            </w:pPr>
          </w:p>
        </w:tc>
        <w:tc>
          <w:tcPr>
            <w:tcW w:w="992" w:type="dxa"/>
            <w:vMerge w:val="continue"/>
            <w:vAlign w:val="center"/>
          </w:tcPr>
          <w:p w14:paraId="24840CE6">
            <w:pPr>
              <w:pStyle w:val="557"/>
            </w:pPr>
          </w:p>
        </w:tc>
        <w:tc>
          <w:tcPr>
            <w:tcW w:w="1106" w:type="dxa"/>
            <w:vMerge w:val="continue"/>
            <w:vAlign w:val="center"/>
          </w:tcPr>
          <w:p w14:paraId="78EFAC1E">
            <w:pPr>
              <w:pStyle w:val="557"/>
            </w:pPr>
          </w:p>
        </w:tc>
        <w:tc>
          <w:tcPr>
            <w:tcW w:w="2003" w:type="dxa"/>
            <w:gridSpan w:val="2"/>
            <w:vAlign w:val="center"/>
          </w:tcPr>
          <w:p w14:paraId="1DAAEF90">
            <w:pPr>
              <w:pStyle w:val="557"/>
            </w:pPr>
            <w:r>
              <w:rPr>
                <w:rFonts w:hint="eastAsia"/>
              </w:rPr>
              <w:t>1#水质和水位监测点</w:t>
            </w:r>
          </w:p>
        </w:tc>
        <w:tc>
          <w:tcPr>
            <w:tcW w:w="1984" w:type="dxa"/>
            <w:gridSpan w:val="2"/>
            <w:vAlign w:val="center"/>
          </w:tcPr>
          <w:p w14:paraId="41B53A1C">
            <w:pPr>
              <w:pStyle w:val="557"/>
            </w:pPr>
            <w:r>
              <w:rPr>
                <w:rFonts w:hint="eastAsia"/>
              </w:rPr>
              <w:t>2#水质和水位监测点</w:t>
            </w:r>
          </w:p>
        </w:tc>
        <w:tc>
          <w:tcPr>
            <w:tcW w:w="1985" w:type="dxa"/>
            <w:gridSpan w:val="2"/>
            <w:vAlign w:val="center"/>
          </w:tcPr>
          <w:p w14:paraId="608312FF">
            <w:pPr>
              <w:pStyle w:val="557"/>
            </w:pPr>
            <w:r>
              <w:rPr>
                <w:rFonts w:hint="eastAsia"/>
              </w:rPr>
              <w:t>3#水质和水位监测点</w:t>
            </w:r>
          </w:p>
        </w:tc>
        <w:tc>
          <w:tcPr>
            <w:tcW w:w="1984" w:type="dxa"/>
            <w:gridSpan w:val="2"/>
            <w:vAlign w:val="center"/>
          </w:tcPr>
          <w:p w14:paraId="1F7C9DC6">
            <w:pPr>
              <w:pStyle w:val="557"/>
            </w:pPr>
            <w:r>
              <w:rPr>
                <w:rFonts w:hint="eastAsia"/>
              </w:rPr>
              <w:t>4#水质和水位监测点</w:t>
            </w:r>
          </w:p>
        </w:tc>
        <w:tc>
          <w:tcPr>
            <w:tcW w:w="1985" w:type="dxa"/>
            <w:gridSpan w:val="2"/>
            <w:vAlign w:val="center"/>
          </w:tcPr>
          <w:p w14:paraId="0ABD864E">
            <w:pPr>
              <w:pStyle w:val="557"/>
            </w:pPr>
            <w:r>
              <w:rPr>
                <w:rFonts w:hint="eastAsia"/>
              </w:rPr>
              <w:t>5#水质和水位监测点</w:t>
            </w:r>
          </w:p>
        </w:tc>
      </w:tr>
      <w:tr w14:paraId="57E0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Merge w:val="continue"/>
            <w:vAlign w:val="center"/>
          </w:tcPr>
          <w:p w14:paraId="67F758E7">
            <w:pPr>
              <w:pStyle w:val="557"/>
            </w:pPr>
          </w:p>
        </w:tc>
        <w:tc>
          <w:tcPr>
            <w:tcW w:w="992" w:type="dxa"/>
            <w:vMerge w:val="continue"/>
            <w:vAlign w:val="center"/>
          </w:tcPr>
          <w:p w14:paraId="171A868A">
            <w:pPr>
              <w:pStyle w:val="557"/>
            </w:pPr>
          </w:p>
        </w:tc>
        <w:tc>
          <w:tcPr>
            <w:tcW w:w="1106" w:type="dxa"/>
            <w:vMerge w:val="continue"/>
            <w:vAlign w:val="center"/>
          </w:tcPr>
          <w:p w14:paraId="6FA80FD5">
            <w:pPr>
              <w:pStyle w:val="557"/>
            </w:pPr>
          </w:p>
        </w:tc>
        <w:tc>
          <w:tcPr>
            <w:tcW w:w="1010" w:type="dxa"/>
            <w:vAlign w:val="center"/>
          </w:tcPr>
          <w:p w14:paraId="1D7444F5">
            <w:pPr>
              <w:pStyle w:val="557"/>
            </w:pPr>
            <w:r>
              <w:rPr>
                <w:rFonts w:hint="eastAsia"/>
              </w:rPr>
              <w:t>监测结果</w:t>
            </w:r>
          </w:p>
        </w:tc>
        <w:tc>
          <w:tcPr>
            <w:tcW w:w="993" w:type="dxa"/>
            <w:vAlign w:val="center"/>
          </w:tcPr>
          <w:p w14:paraId="1086381C">
            <w:pPr>
              <w:pStyle w:val="557"/>
            </w:pPr>
            <w:r>
              <w:t>Pi</w:t>
            </w:r>
          </w:p>
        </w:tc>
        <w:tc>
          <w:tcPr>
            <w:tcW w:w="992" w:type="dxa"/>
            <w:vAlign w:val="center"/>
          </w:tcPr>
          <w:p w14:paraId="08233A21">
            <w:pPr>
              <w:pStyle w:val="557"/>
            </w:pPr>
            <w:r>
              <w:rPr>
                <w:rFonts w:hint="eastAsia"/>
              </w:rPr>
              <w:t>监测结果</w:t>
            </w:r>
          </w:p>
        </w:tc>
        <w:tc>
          <w:tcPr>
            <w:tcW w:w="992" w:type="dxa"/>
            <w:vAlign w:val="center"/>
          </w:tcPr>
          <w:p w14:paraId="4A79C10E">
            <w:pPr>
              <w:pStyle w:val="557"/>
            </w:pPr>
            <w:r>
              <w:t>Pi</w:t>
            </w:r>
          </w:p>
        </w:tc>
        <w:tc>
          <w:tcPr>
            <w:tcW w:w="992" w:type="dxa"/>
            <w:vAlign w:val="center"/>
          </w:tcPr>
          <w:p w14:paraId="3BF01159">
            <w:pPr>
              <w:pStyle w:val="557"/>
            </w:pPr>
            <w:r>
              <w:rPr>
                <w:rFonts w:hint="eastAsia"/>
              </w:rPr>
              <w:t>监测结果</w:t>
            </w:r>
          </w:p>
        </w:tc>
        <w:tc>
          <w:tcPr>
            <w:tcW w:w="993" w:type="dxa"/>
            <w:vAlign w:val="center"/>
          </w:tcPr>
          <w:p w14:paraId="03D66651">
            <w:pPr>
              <w:pStyle w:val="557"/>
            </w:pPr>
            <w:r>
              <w:t>Pi</w:t>
            </w:r>
          </w:p>
        </w:tc>
        <w:tc>
          <w:tcPr>
            <w:tcW w:w="850" w:type="dxa"/>
            <w:vAlign w:val="center"/>
          </w:tcPr>
          <w:p w14:paraId="531FE2E1">
            <w:pPr>
              <w:pStyle w:val="557"/>
            </w:pPr>
            <w:r>
              <w:rPr>
                <w:rFonts w:hint="eastAsia"/>
              </w:rPr>
              <w:t>监测结果</w:t>
            </w:r>
          </w:p>
        </w:tc>
        <w:tc>
          <w:tcPr>
            <w:tcW w:w="1134" w:type="dxa"/>
            <w:vAlign w:val="center"/>
          </w:tcPr>
          <w:p w14:paraId="094FA716">
            <w:pPr>
              <w:pStyle w:val="557"/>
            </w:pPr>
            <w:r>
              <w:t>Pi</w:t>
            </w:r>
          </w:p>
        </w:tc>
        <w:tc>
          <w:tcPr>
            <w:tcW w:w="850" w:type="dxa"/>
            <w:vAlign w:val="center"/>
          </w:tcPr>
          <w:p w14:paraId="4FC9A632">
            <w:pPr>
              <w:pStyle w:val="557"/>
            </w:pPr>
            <w:r>
              <w:rPr>
                <w:rFonts w:hint="eastAsia"/>
              </w:rPr>
              <w:t>监测结果</w:t>
            </w:r>
          </w:p>
        </w:tc>
        <w:tc>
          <w:tcPr>
            <w:tcW w:w="1135" w:type="dxa"/>
            <w:vAlign w:val="center"/>
          </w:tcPr>
          <w:p w14:paraId="05F9B6A4">
            <w:pPr>
              <w:pStyle w:val="557"/>
            </w:pPr>
            <w:r>
              <w:t>Pi</w:t>
            </w:r>
          </w:p>
        </w:tc>
      </w:tr>
      <w:tr w14:paraId="6B65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57357463">
            <w:pPr>
              <w:pStyle w:val="557"/>
            </w:pPr>
            <w:r>
              <w:t>K</w:t>
            </w:r>
            <w:r>
              <w:rPr>
                <w:vertAlign w:val="superscript"/>
              </w:rPr>
              <w:t>+</w:t>
            </w:r>
          </w:p>
        </w:tc>
        <w:tc>
          <w:tcPr>
            <w:tcW w:w="992" w:type="dxa"/>
            <w:vAlign w:val="center"/>
          </w:tcPr>
          <w:p w14:paraId="38BECEA2">
            <w:pPr>
              <w:pStyle w:val="557"/>
            </w:pPr>
            <w:r>
              <w:t>mg/L</w:t>
            </w:r>
          </w:p>
        </w:tc>
        <w:tc>
          <w:tcPr>
            <w:tcW w:w="1106" w:type="dxa"/>
            <w:vAlign w:val="center"/>
          </w:tcPr>
          <w:p w14:paraId="0B0A006F">
            <w:pPr>
              <w:pStyle w:val="557"/>
            </w:pPr>
            <w:r>
              <w:t>/</w:t>
            </w:r>
          </w:p>
        </w:tc>
        <w:tc>
          <w:tcPr>
            <w:tcW w:w="1010" w:type="dxa"/>
            <w:vAlign w:val="center"/>
          </w:tcPr>
          <w:p w14:paraId="19BF652A">
            <w:pPr>
              <w:pStyle w:val="557"/>
            </w:pPr>
            <w:r>
              <w:rPr>
                <w:rFonts w:hint="eastAsia"/>
              </w:rPr>
              <w:t>1.34</w:t>
            </w:r>
          </w:p>
        </w:tc>
        <w:tc>
          <w:tcPr>
            <w:tcW w:w="993" w:type="dxa"/>
            <w:vAlign w:val="center"/>
          </w:tcPr>
          <w:p w14:paraId="5E98B0A2">
            <w:pPr>
              <w:pStyle w:val="557"/>
            </w:pPr>
            <w:r>
              <w:t>/</w:t>
            </w:r>
          </w:p>
        </w:tc>
        <w:tc>
          <w:tcPr>
            <w:tcW w:w="992" w:type="dxa"/>
            <w:vAlign w:val="center"/>
          </w:tcPr>
          <w:p w14:paraId="22BD0F6B">
            <w:pPr>
              <w:pStyle w:val="557"/>
            </w:pPr>
            <w:r>
              <w:rPr>
                <w:rFonts w:hint="eastAsia"/>
              </w:rPr>
              <w:t>0.85</w:t>
            </w:r>
          </w:p>
        </w:tc>
        <w:tc>
          <w:tcPr>
            <w:tcW w:w="992" w:type="dxa"/>
            <w:vAlign w:val="center"/>
          </w:tcPr>
          <w:p w14:paraId="4A054A2C">
            <w:pPr>
              <w:pStyle w:val="557"/>
            </w:pPr>
            <w:r>
              <w:t>/</w:t>
            </w:r>
          </w:p>
        </w:tc>
        <w:tc>
          <w:tcPr>
            <w:tcW w:w="992" w:type="dxa"/>
            <w:vAlign w:val="center"/>
          </w:tcPr>
          <w:p w14:paraId="47FB4CB4">
            <w:pPr>
              <w:pStyle w:val="557"/>
            </w:pPr>
            <w:r>
              <w:rPr>
                <w:rFonts w:hint="eastAsia"/>
              </w:rPr>
              <w:t>6.88</w:t>
            </w:r>
          </w:p>
        </w:tc>
        <w:tc>
          <w:tcPr>
            <w:tcW w:w="993" w:type="dxa"/>
            <w:vAlign w:val="center"/>
          </w:tcPr>
          <w:p w14:paraId="0EBA839D">
            <w:pPr>
              <w:pStyle w:val="557"/>
            </w:pPr>
            <w:r>
              <w:t>/</w:t>
            </w:r>
          </w:p>
        </w:tc>
        <w:tc>
          <w:tcPr>
            <w:tcW w:w="850" w:type="dxa"/>
            <w:vAlign w:val="center"/>
          </w:tcPr>
          <w:p w14:paraId="2457D8EE">
            <w:pPr>
              <w:pStyle w:val="557"/>
            </w:pPr>
            <w:r>
              <w:rPr>
                <w:rFonts w:hint="eastAsia"/>
              </w:rPr>
              <w:t>3.10</w:t>
            </w:r>
          </w:p>
        </w:tc>
        <w:tc>
          <w:tcPr>
            <w:tcW w:w="1134" w:type="dxa"/>
            <w:vAlign w:val="center"/>
          </w:tcPr>
          <w:p w14:paraId="5929F375">
            <w:pPr>
              <w:pStyle w:val="557"/>
            </w:pPr>
            <w:r>
              <w:t>/</w:t>
            </w:r>
          </w:p>
        </w:tc>
        <w:tc>
          <w:tcPr>
            <w:tcW w:w="850" w:type="dxa"/>
            <w:vAlign w:val="center"/>
          </w:tcPr>
          <w:p w14:paraId="396DB6E8">
            <w:pPr>
              <w:pStyle w:val="557"/>
            </w:pPr>
            <w:r>
              <w:rPr>
                <w:rFonts w:hint="eastAsia"/>
              </w:rPr>
              <w:t>1.92</w:t>
            </w:r>
          </w:p>
        </w:tc>
        <w:tc>
          <w:tcPr>
            <w:tcW w:w="1135" w:type="dxa"/>
            <w:vAlign w:val="center"/>
          </w:tcPr>
          <w:p w14:paraId="410EAF3C">
            <w:pPr>
              <w:pStyle w:val="557"/>
            </w:pPr>
            <w:r>
              <w:rPr>
                <w:rFonts w:hint="eastAsia"/>
              </w:rPr>
              <w:t>/</w:t>
            </w:r>
          </w:p>
        </w:tc>
      </w:tr>
      <w:tr w14:paraId="451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A1AFF05">
            <w:pPr>
              <w:pStyle w:val="557"/>
            </w:pPr>
            <w:r>
              <w:t>Ca</w:t>
            </w:r>
            <w:r>
              <w:rPr>
                <w:vertAlign w:val="superscript"/>
              </w:rPr>
              <w:t>2+</w:t>
            </w:r>
          </w:p>
        </w:tc>
        <w:tc>
          <w:tcPr>
            <w:tcW w:w="992" w:type="dxa"/>
            <w:vAlign w:val="center"/>
          </w:tcPr>
          <w:p w14:paraId="68B63D67">
            <w:pPr>
              <w:pStyle w:val="557"/>
            </w:pPr>
            <w:r>
              <w:t>mg/L</w:t>
            </w:r>
          </w:p>
        </w:tc>
        <w:tc>
          <w:tcPr>
            <w:tcW w:w="1106" w:type="dxa"/>
            <w:vAlign w:val="center"/>
          </w:tcPr>
          <w:p w14:paraId="325E8969">
            <w:pPr>
              <w:pStyle w:val="557"/>
            </w:pPr>
            <w:r>
              <w:rPr>
                <w:rFonts w:hint="eastAsia"/>
              </w:rPr>
              <w:t>/</w:t>
            </w:r>
          </w:p>
        </w:tc>
        <w:tc>
          <w:tcPr>
            <w:tcW w:w="1010" w:type="dxa"/>
            <w:vAlign w:val="center"/>
          </w:tcPr>
          <w:p w14:paraId="6FCA57AF">
            <w:pPr>
              <w:pStyle w:val="557"/>
            </w:pPr>
            <w:r>
              <w:rPr>
                <w:rFonts w:hint="eastAsia"/>
              </w:rPr>
              <w:t>22.9</w:t>
            </w:r>
          </w:p>
        </w:tc>
        <w:tc>
          <w:tcPr>
            <w:tcW w:w="993" w:type="dxa"/>
            <w:vAlign w:val="center"/>
          </w:tcPr>
          <w:p w14:paraId="4092CCE9">
            <w:pPr>
              <w:pStyle w:val="557"/>
            </w:pPr>
            <w:r>
              <w:rPr>
                <w:rFonts w:hint="eastAsia"/>
              </w:rPr>
              <w:t>/</w:t>
            </w:r>
          </w:p>
        </w:tc>
        <w:tc>
          <w:tcPr>
            <w:tcW w:w="992" w:type="dxa"/>
            <w:vAlign w:val="center"/>
          </w:tcPr>
          <w:p w14:paraId="5ACBD5B1">
            <w:pPr>
              <w:pStyle w:val="557"/>
            </w:pPr>
            <w:r>
              <w:rPr>
                <w:rFonts w:hint="eastAsia"/>
              </w:rPr>
              <w:t>12.6</w:t>
            </w:r>
          </w:p>
        </w:tc>
        <w:tc>
          <w:tcPr>
            <w:tcW w:w="992" w:type="dxa"/>
            <w:vAlign w:val="center"/>
          </w:tcPr>
          <w:p w14:paraId="58D1D957">
            <w:pPr>
              <w:pStyle w:val="557"/>
            </w:pPr>
            <w:r>
              <w:rPr>
                <w:rFonts w:hint="eastAsia"/>
              </w:rPr>
              <w:t>/</w:t>
            </w:r>
          </w:p>
        </w:tc>
        <w:tc>
          <w:tcPr>
            <w:tcW w:w="992" w:type="dxa"/>
            <w:vAlign w:val="center"/>
          </w:tcPr>
          <w:p w14:paraId="058BC9FB">
            <w:pPr>
              <w:pStyle w:val="557"/>
            </w:pPr>
            <w:r>
              <w:rPr>
                <w:rFonts w:hint="eastAsia"/>
              </w:rPr>
              <w:t>12.4</w:t>
            </w:r>
          </w:p>
        </w:tc>
        <w:tc>
          <w:tcPr>
            <w:tcW w:w="993" w:type="dxa"/>
            <w:vAlign w:val="center"/>
          </w:tcPr>
          <w:p w14:paraId="5ED060D2">
            <w:pPr>
              <w:pStyle w:val="557"/>
            </w:pPr>
            <w:r>
              <w:rPr>
                <w:rFonts w:hint="eastAsia"/>
              </w:rPr>
              <w:t>/</w:t>
            </w:r>
          </w:p>
        </w:tc>
        <w:tc>
          <w:tcPr>
            <w:tcW w:w="850" w:type="dxa"/>
            <w:vAlign w:val="center"/>
          </w:tcPr>
          <w:p w14:paraId="7B1F52CB">
            <w:pPr>
              <w:pStyle w:val="557"/>
            </w:pPr>
            <w:r>
              <w:rPr>
                <w:rFonts w:hint="eastAsia"/>
              </w:rPr>
              <w:t>150</w:t>
            </w:r>
          </w:p>
        </w:tc>
        <w:tc>
          <w:tcPr>
            <w:tcW w:w="1134" w:type="dxa"/>
            <w:vAlign w:val="center"/>
          </w:tcPr>
          <w:p w14:paraId="7BB83545">
            <w:pPr>
              <w:pStyle w:val="557"/>
            </w:pPr>
            <w:r>
              <w:rPr>
                <w:rFonts w:hint="eastAsia"/>
              </w:rPr>
              <w:t>/</w:t>
            </w:r>
          </w:p>
        </w:tc>
        <w:tc>
          <w:tcPr>
            <w:tcW w:w="850" w:type="dxa"/>
            <w:vAlign w:val="center"/>
          </w:tcPr>
          <w:p w14:paraId="64E09E43">
            <w:pPr>
              <w:pStyle w:val="557"/>
            </w:pPr>
            <w:r>
              <w:rPr>
                <w:rFonts w:hint="eastAsia"/>
              </w:rPr>
              <w:t>61.5</w:t>
            </w:r>
          </w:p>
        </w:tc>
        <w:tc>
          <w:tcPr>
            <w:tcW w:w="1135" w:type="dxa"/>
            <w:vAlign w:val="center"/>
          </w:tcPr>
          <w:p w14:paraId="18245678">
            <w:pPr>
              <w:pStyle w:val="557"/>
            </w:pPr>
            <w:r>
              <w:rPr>
                <w:rFonts w:hint="eastAsia"/>
              </w:rPr>
              <w:t>/</w:t>
            </w:r>
          </w:p>
        </w:tc>
      </w:tr>
      <w:tr w14:paraId="594D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7884970F">
            <w:pPr>
              <w:pStyle w:val="557"/>
            </w:pPr>
            <w:r>
              <w:t>Na</w:t>
            </w:r>
            <w:r>
              <w:rPr>
                <w:vertAlign w:val="superscript"/>
              </w:rPr>
              <w:t>+</w:t>
            </w:r>
          </w:p>
        </w:tc>
        <w:tc>
          <w:tcPr>
            <w:tcW w:w="992" w:type="dxa"/>
            <w:vAlign w:val="center"/>
          </w:tcPr>
          <w:p w14:paraId="11A3FFC1">
            <w:pPr>
              <w:pStyle w:val="557"/>
            </w:pPr>
            <w:r>
              <w:t>mg/L</w:t>
            </w:r>
          </w:p>
        </w:tc>
        <w:tc>
          <w:tcPr>
            <w:tcW w:w="1106" w:type="dxa"/>
            <w:vAlign w:val="center"/>
          </w:tcPr>
          <w:p w14:paraId="5B9758C4">
            <w:pPr>
              <w:pStyle w:val="557"/>
            </w:pPr>
            <w:r>
              <w:rPr>
                <w:rFonts w:hint="eastAsia"/>
              </w:rPr>
              <w:t>/</w:t>
            </w:r>
          </w:p>
        </w:tc>
        <w:tc>
          <w:tcPr>
            <w:tcW w:w="1010" w:type="dxa"/>
            <w:vAlign w:val="center"/>
          </w:tcPr>
          <w:p w14:paraId="5835463F">
            <w:pPr>
              <w:pStyle w:val="557"/>
            </w:pPr>
            <w:r>
              <w:rPr>
                <w:rFonts w:hint="eastAsia"/>
              </w:rPr>
              <w:t>39.0</w:t>
            </w:r>
          </w:p>
        </w:tc>
        <w:tc>
          <w:tcPr>
            <w:tcW w:w="993" w:type="dxa"/>
            <w:vAlign w:val="center"/>
          </w:tcPr>
          <w:p w14:paraId="0ED4C012">
            <w:pPr>
              <w:pStyle w:val="557"/>
            </w:pPr>
            <w:r>
              <w:rPr>
                <w:rFonts w:hint="eastAsia"/>
              </w:rPr>
              <w:t>/</w:t>
            </w:r>
          </w:p>
        </w:tc>
        <w:tc>
          <w:tcPr>
            <w:tcW w:w="992" w:type="dxa"/>
            <w:vAlign w:val="center"/>
          </w:tcPr>
          <w:p w14:paraId="12D93C92">
            <w:pPr>
              <w:pStyle w:val="557"/>
            </w:pPr>
            <w:r>
              <w:rPr>
                <w:rFonts w:hint="eastAsia"/>
              </w:rPr>
              <w:t>71.1</w:t>
            </w:r>
          </w:p>
        </w:tc>
        <w:tc>
          <w:tcPr>
            <w:tcW w:w="992" w:type="dxa"/>
            <w:vAlign w:val="center"/>
          </w:tcPr>
          <w:p w14:paraId="32F57233">
            <w:pPr>
              <w:pStyle w:val="557"/>
            </w:pPr>
            <w:r>
              <w:rPr>
                <w:rFonts w:hint="eastAsia"/>
              </w:rPr>
              <w:t>/</w:t>
            </w:r>
          </w:p>
        </w:tc>
        <w:tc>
          <w:tcPr>
            <w:tcW w:w="992" w:type="dxa"/>
            <w:vAlign w:val="center"/>
          </w:tcPr>
          <w:p w14:paraId="0D2ADB1C">
            <w:pPr>
              <w:pStyle w:val="557"/>
            </w:pPr>
            <w:r>
              <w:rPr>
                <w:rFonts w:hint="eastAsia"/>
              </w:rPr>
              <w:t>45.5</w:t>
            </w:r>
          </w:p>
        </w:tc>
        <w:tc>
          <w:tcPr>
            <w:tcW w:w="993" w:type="dxa"/>
            <w:vAlign w:val="center"/>
          </w:tcPr>
          <w:p w14:paraId="402466B6">
            <w:pPr>
              <w:pStyle w:val="557"/>
            </w:pPr>
            <w:r>
              <w:rPr>
                <w:rFonts w:hint="eastAsia"/>
              </w:rPr>
              <w:t>/</w:t>
            </w:r>
          </w:p>
        </w:tc>
        <w:tc>
          <w:tcPr>
            <w:tcW w:w="850" w:type="dxa"/>
            <w:vAlign w:val="center"/>
          </w:tcPr>
          <w:p w14:paraId="4F852E08">
            <w:pPr>
              <w:pStyle w:val="557"/>
            </w:pPr>
            <w:r>
              <w:rPr>
                <w:rFonts w:hint="eastAsia"/>
              </w:rPr>
              <w:t>102</w:t>
            </w:r>
          </w:p>
        </w:tc>
        <w:tc>
          <w:tcPr>
            <w:tcW w:w="1134" w:type="dxa"/>
            <w:vAlign w:val="center"/>
          </w:tcPr>
          <w:p w14:paraId="4343C18C">
            <w:pPr>
              <w:pStyle w:val="557"/>
            </w:pPr>
            <w:r>
              <w:rPr>
                <w:rFonts w:hint="eastAsia"/>
              </w:rPr>
              <w:t>/</w:t>
            </w:r>
          </w:p>
        </w:tc>
        <w:tc>
          <w:tcPr>
            <w:tcW w:w="850" w:type="dxa"/>
            <w:vAlign w:val="center"/>
          </w:tcPr>
          <w:p w14:paraId="1964ED21">
            <w:pPr>
              <w:pStyle w:val="557"/>
            </w:pPr>
            <w:r>
              <w:rPr>
                <w:rFonts w:hint="eastAsia"/>
              </w:rPr>
              <w:t>90.4</w:t>
            </w:r>
          </w:p>
        </w:tc>
        <w:tc>
          <w:tcPr>
            <w:tcW w:w="1135" w:type="dxa"/>
            <w:vAlign w:val="center"/>
          </w:tcPr>
          <w:p w14:paraId="4FE9D996">
            <w:pPr>
              <w:pStyle w:val="557"/>
            </w:pPr>
            <w:r>
              <w:rPr>
                <w:rFonts w:hint="eastAsia"/>
              </w:rPr>
              <w:t>/</w:t>
            </w:r>
          </w:p>
        </w:tc>
      </w:tr>
      <w:tr w14:paraId="2E58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0353AFBB">
            <w:pPr>
              <w:pStyle w:val="557"/>
            </w:pPr>
            <w:r>
              <w:t>Mg</w:t>
            </w:r>
            <w:r>
              <w:rPr>
                <w:vertAlign w:val="superscript"/>
              </w:rPr>
              <w:t>2+</w:t>
            </w:r>
          </w:p>
        </w:tc>
        <w:tc>
          <w:tcPr>
            <w:tcW w:w="992" w:type="dxa"/>
            <w:vAlign w:val="center"/>
          </w:tcPr>
          <w:p w14:paraId="3C895554">
            <w:pPr>
              <w:pStyle w:val="557"/>
            </w:pPr>
            <w:r>
              <w:t>mg/L</w:t>
            </w:r>
          </w:p>
        </w:tc>
        <w:tc>
          <w:tcPr>
            <w:tcW w:w="1106" w:type="dxa"/>
            <w:vAlign w:val="center"/>
          </w:tcPr>
          <w:p w14:paraId="7B9B3A6D">
            <w:pPr>
              <w:pStyle w:val="557"/>
            </w:pPr>
            <w:r>
              <w:rPr>
                <w:rFonts w:hint="eastAsia"/>
              </w:rPr>
              <w:t>/</w:t>
            </w:r>
          </w:p>
        </w:tc>
        <w:tc>
          <w:tcPr>
            <w:tcW w:w="1010" w:type="dxa"/>
            <w:vAlign w:val="center"/>
          </w:tcPr>
          <w:p w14:paraId="0D1D6050">
            <w:pPr>
              <w:pStyle w:val="557"/>
            </w:pPr>
            <w:r>
              <w:rPr>
                <w:rFonts w:hint="eastAsia"/>
              </w:rPr>
              <w:t>2.39</w:t>
            </w:r>
          </w:p>
        </w:tc>
        <w:tc>
          <w:tcPr>
            <w:tcW w:w="993" w:type="dxa"/>
            <w:vAlign w:val="center"/>
          </w:tcPr>
          <w:p w14:paraId="3B048227">
            <w:pPr>
              <w:pStyle w:val="557"/>
            </w:pPr>
            <w:r>
              <w:rPr>
                <w:rFonts w:hint="eastAsia"/>
              </w:rPr>
              <w:t>/</w:t>
            </w:r>
          </w:p>
        </w:tc>
        <w:tc>
          <w:tcPr>
            <w:tcW w:w="992" w:type="dxa"/>
            <w:vAlign w:val="center"/>
          </w:tcPr>
          <w:p w14:paraId="3701E8A3">
            <w:pPr>
              <w:pStyle w:val="557"/>
            </w:pPr>
            <w:r>
              <w:rPr>
                <w:rFonts w:hint="eastAsia"/>
              </w:rPr>
              <w:t>1.23</w:t>
            </w:r>
          </w:p>
        </w:tc>
        <w:tc>
          <w:tcPr>
            <w:tcW w:w="992" w:type="dxa"/>
            <w:vAlign w:val="center"/>
          </w:tcPr>
          <w:p w14:paraId="5F468037">
            <w:pPr>
              <w:pStyle w:val="557"/>
            </w:pPr>
            <w:r>
              <w:rPr>
                <w:rFonts w:hint="eastAsia"/>
              </w:rPr>
              <w:t>/</w:t>
            </w:r>
          </w:p>
        </w:tc>
        <w:tc>
          <w:tcPr>
            <w:tcW w:w="992" w:type="dxa"/>
            <w:vAlign w:val="center"/>
          </w:tcPr>
          <w:p w14:paraId="2EB1B75E">
            <w:pPr>
              <w:pStyle w:val="557"/>
            </w:pPr>
            <w:r>
              <w:rPr>
                <w:rFonts w:hint="eastAsia"/>
              </w:rPr>
              <w:t>0.17</w:t>
            </w:r>
          </w:p>
        </w:tc>
        <w:tc>
          <w:tcPr>
            <w:tcW w:w="993" w:type="dxa"/>
            <w:vAlign w:val="center"/>
          </w:tcPr>
          <w:p w14:paraId="72D44E83">
            <w:pPr>
              <w:pStyle w:val="557"/>
            </w:pPr>
            <w:r>
              <w:rPr>
                <w:rFonts w:hint="eastAsia"/>
              </w:rPr>
              <w:t>/</w:t>
            </w:r>
          </w:p>
        </w:tc>
        <w:tc>
          <w:tcPr>
            <w:tcW w:w="850" w:type="dxa"/>
            <w:vAlign w:val="center"/>
          </w:tcPr>
          <w:p w14:paraId="55D4EEBA">
            <w:pPr>
              <w:pStyle w:val="557"/>
            </w:pPr>
            <w:r>
              <w:rPr>
                <w:rFonts w:hint="eastAsia"/>
              </w:rPr>
              <w:t>20.6</w:t>
            </w:r>
          </w:p>
        </w:tc>
        <w:tc>
          <w:tcPr>
            <w:tcW w:w="1134" w:type="dxa"/>
            <w:vAlign w:val="center"/>
          </w:tcPr>
          <w:p w14:paraId="64D72837">
            <w:pPr>
              <w:pStyle w:val="557"/>
            </w:pPr>
            <w:r>
              <w:rPr>
                <w:rFonts w:hint="eastAsia"/>
              </w:rPr>
              <w:t>/</w:t>
            </w:r>
          </w:p>
        </w:tc>
        <w:tc>
          <w:tcPr>
            <w:tcW w:w="850" w:type="dxa"/>
            <w:vAlign w:val="center"/>
          </w:tcPr>
          <w:p w14:paraId="2D2EAD3C">
            <w:pPr>
              <w:pStyle w:val="557"/>
            </w:pPr>
            <w:r>
              <w:rPr>
                <w:rFonts w:hint="eastAsia"/>
              </w:rPr>
              <w:t>6.46</w:t>
            </w:r>
          </w:p>
        </w:tc>
        <w:tc>
          <w:tcPr>
            <w:tcW w:w="1135" w:type="dxa"/>
            <w:vAlign w:val="center"/>
          </w:tcPr>
          <w:p w14:paraId="72B895CF">
            <w:pPr>
              <w:pStyle w:val="557"/>
            </w:pPr>
            <w:r>
              <w:rPr>
                <w:rFonts w:hint="eastAsia"/>
              </w:rPr>
              <w:t>/</w:t>
            </w:r>
          </w:p>
        </w:tc>
      </w:tr>
      <w:tr w14:paraId="1EC3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05647F00">
            <w:pPr>
              <w:pStyle w:val="557"/>
            </w:pPr>
            <w:r>
              <w:rPr>
                <w:rFonts w:hint="eastAsia"/>
              </w:rPr>
              <w:t>硫酸盐（以</w:t>
            </w:r>
            <w:r>
              <w:t>SO</w:t>
            </w:r>
            <w:r>
              <w:rPr>
                <w:vertAlign w:val="subscript"/>
              </w:rPr>
              <w:t>4</w:t>
            </w:r>
            <w:r>
              <w:rPr>
                <w:vertAlign w:val="superscript"/>
              </w:rPr>
              <w:t>2-</w:t>
            </w:r>
            <w:r>
              <w:rPr>
                <w:rFonts w:hint="eastAsia"/>
              </w:rPr>
              <w:t>计）</w:t>
            </w:r>
          </w:p>
        </w:tc>
        <w:tc>
          <w:tcPr>
            <w:tcW w:w="992" w:type="dxa"/>
            <w:vAlign w:val="center"/>
          </w:tcPr>
          <w:p w14:paraId="7B68DE31">
            <w:pPr>
              <w:pStyle w:val="557"/>
            </w:pPr>
            <w:r>
              <w:t>mg/L</w:t>
            </w:r>
          </w:p>
        </w:tc>
        <w:tc>
          <w:tcPr>
            <w:tcW w:w="1106" w:type="dxa"/>
            <w:vAlign w:val="center"/>
          </w:tcPr>
          <w:p w14:paraId="0120EAAD">
            <w:pPr>
              <w:pStyle w:val="557"/>
            </w:pPr>
            <w:r>
              <w:rPr>
                <w:rFonts w:hint="eastAsia"/>
              </w:rPr>
              <w:t>2</w:t>
            </w:r>
            <w:r>
              <w:t>50</w:t>
            </w:r>
          </w:p>
        </w:tc>
        <w:tc>
          <w:tcPr>
            <w:tcW w:w="1010" w:type="dxa"/>
            <w:vAlign w:val="center"/>
          </w:tcPr>
          <w:p w14:paraId="66D79F79">
            <w:pPr>
              <w:pStyle w:val="557"/>
            </w:pPr>
            <w:r>
              <w:rPr>
                <w:rFonts w:hint="eastAsia"/>
              </w:rPr>
              <w:t>49.2</w:t>
            </w:r>
          </w:p>
        </w:tc>
        <w:tc>
          <w:tcPr>
            <w:tcW w:w="993" w:type="dxa"/>
            <w:vAlign w:val="center"/>
          </w:tcPr>
          <w:p w14:paraId="790DE0BD">
            <w:pPr>
              <w:pStyle w:val="557"/>
            </w:pPr>
            <w:r>
              <w:rPr>
                <w:rFonts w:hint="eastAsia"/>
              </w:rPr>
              <w:t>0.196</w:t>
            </w:r>
          </w:p>
        </w:tc>
        <w:tc>
          <w:tcPr>
            <w:tcW w:w="992" w:type="dxa"/>
            <w:vAlign w:val="center"/>
          </w:tcPr>
          <w:p w14:paraId="24739AAA">
            <w:pPr>
              <w:pStyle w:val="557"/>
            </w:pPr>
            <w:r>
              <w:rPr>
                <w:rFonts w:hint="eastAsia"/>
              </w:rPr>
              <w:t>51.6</w:t>
            </w:r>
          </w:p>
        </w:tc>
        <w:tc>
          <w:tcPr>
            <w:tcW w:w="992" w:type="dxa"/>
            <w:vAlign w:val="center"/>
          </w:tcPr>
          <w:p w14:paraId="020123BC">
            <w:pPr>
              <w:pStyle w:val="557"/>
            </w:pPr>
            <w:r>
              <w:rPr>
                <w:rFonts w:hint="eastAsia"/>
              </w:rPr>
              <w:t>0.206</w:t>
            </w:r>
          </w:p>
        </w:tc>
        <w:tc>
          <w:tcPr>
            <w:tcW w:w="992" w:type="dxa"/>
            <w:vAlign w:val="center"/>
          </w:tcPr>
          <w:p w14:paraId="00C48AB7">
            <w:pPr>
              <w:pStyle w:val="557"/>
            </w:pPr>
            <w:r>
              <w:rPr>
                <w:rFonts w:hint="eastAsia"/>
              </w:rPr>
              <w:t>69.4</w:t>
            </w:r>
          </w:p>
        </w:tc>
        <w:tc>
          <w:tcPr>
            <w:tcW w:w="993" w:type="dxa"/>
            <w:vAlign w:val="center"/>
          </w:tcPr>
          <w:p w14:paraId="0F0A306E">
            <w:pPr>
              <w:pStyle w:val="557"/>
            </w:pPr>
            <w:r>
              <w:rPr>
                <w:rFonts w:hint="eastAsia"/>
              </w:rPr>
              <w:t>0.277</w:t>
            </w:r>
          </w:p>
        </w:tc>
        <w:tc>
          <w:tcPr>
            <w:tcW w:w="850" w:type="dxa"/>
            <w:vAlign w:val="center"/>
          </w:tcPr>
          <w:p w14:paraId="14F09AF0">
            <w:pPr>
              <w:pStyle w:val="557"/>
            </w:pPr>
            <w:r>
              <w:rPr>
                <w:rFonts w:hint="eastAsia"/>
              </w:rPr>
              <w:t>107</w:t>
            </w:r>
          </w:p>
        </w:tc>
        <w:tc>
          <w:tcPr>
            <w:tcW w:w="1134" w:type="dxa"/>
            <w:vAlign w:val="center"/>
          </w:tcPr>
          <w:p w14:paraId="6D74ABA1">
            <w:pPr>
              <w:pStyle w:val="557"/>
            </w:pPr>
            <w:r>
              <w:rPr>
                <w:rFonts w:hint="eastAsia"/>
              </w:rPr>
              <w:t>0.428</w:t>
            </w:r>
          </w:p>
        </w:tc>
        <w:tc>
          <w:tcPr>
            <w:tcW w:w="850" w:type="dxa"/>
            <w:vAlign w:val="center"/>
          </w:tcPr>
          <w:p w14:paraId="2FE92599">
            <w:pPr>
              <w:pStyle w:val="557"/>
            </w:pPr>
            <w:r>
              <w:rPr>
                <w:rFonts w:hint="eastAsia"/>
              </w:rPr>
              <w:t>178</w:t>
            </w:r>
          </w:p>
        </w:tc>
        <w:tc>
          <w:tcPr>
            <w:tcW w:w="1135" w:type="dxa"/>
            <w:vAlign w:val="center"/>
          </w:tcPr>
          <w:p w14:paraId="1E543008">
            <w:pPr>
              <w:pStyle w:val="557"/>
            </w:pPr>
            <w:r>
              <w:rPr>
                <w:rFonts w:hint="eastAsia"/>
              </w:rPr>
              <w:t>0.712</w:t>
            </w:r>
          </w:p>
        </w:tc>
      </w:tr>
      <w:tr w14:paraId="2ADC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96241EB">
            <w:pPr>
              <w:pStyle w:val="557"/>
            </w:pPr>
            <w:r>
              <w:rPr>
                <w:rFonts w:hint="eastAsia"/>
              </w:rPr>
              <w:t>氯化物（以</w:t>
            </w:r>
            <w:r>
              <w:t>Cl</w:t>
            </w:r>
            <w:r>
              <w:rPr>
                <w:vertAlign w:val="superscript"/>
              </w:rPr>
              <w:t>-</w:t>
            </w:r>
            <w:r>
              <w:rPr>
                <w:rFonts w:hint="eastAsia"/>
              </w:rPr>
              <w:t>计）</w:t>
            </w:r>
          </w:p>
        </w:tc>
        <w:tc>
          <w:tcPr>
            <w:tcW w:w="992" w:type="dxa"/>
            <w:vAlign w:val="center"/>
          </w:tcPr>
          <w:p w14:paraId="59879F00">
            <w:pPr>
              <w:pStyle w:val="557"/>
            </w:pPr>
            <w:r>
              <w:t>mg/L</w:t>
            </w:r>
          </w:p>
        </w:tc>
        <w:tc>
          <w:tcPr>
            <w:tcW w:w="1106" w:type="dxa"/>
            <w:vAlign w:val="center"/>
          </w:tcPr>
          <w:p w14:paraId="42EB998B">
            <w:pPr>
              <w:pStyle w:val="557"/>
            </w:pPr>
            <w:r>
              <w:rPr>
                <w:rFonts w:hint="eastAsia"/>
              </w:rPr>
              <w:t>2</w:t>
            </w:r>
            <w:r>
              <w:t>50</w:t>
            </w:r>
          </w:p>
        </w:tc>
        <w:tc>
          <w:tcPr>
            <w:tcW w:w="1010" w:type="dxa"/>
            <w:vAlign w:val="center"/>
          </w:tcPr>
          <w:p w14:paraId="636E3B77">
            <w:pPr>
              <w:pStyle w:val="557"/>
            </w:pPr>
            <w:r>
              <w:rPr>
                <w:rFonts w:hint="eastAsia"/>
              </w:rPr>
              <w:t>15.9</w:t>
            </w:r>
          </w:p>
        </w:tc>
        <w:tc>
          <w:tcPr>
            <w:tcW w:w="993" w:type="dxa"/>
            <w:vAlign w:val="center"/>
          </w:tcPr>
          <w:p w14:paraId="16EC397F">
            <w:pPr>
              <w:pStyle w:val="557"/>
            </w:pPr>
            <w:r>
              <w:rPr>
                <w:rFonts w:hint="eastAsia"/>
              </w:rPr>
              <w:t>0.063</w:t>
            </w:r>
          </w:p>
        </w:tc>
        <w:tc>
          <w:tcPr>
            <w:tcW w:w="992" w:type="dxa"/>
            <w:vAlign w:val="center"/>
          </w:tcPr>
          <w:p w14:paraId="7F667AE0">
            <w:pPr>
              <w:pStyle w:val="557"/>
            </w:pPr>
            <w:r>
              <w:rPr>
                <w:rFonts w:hint="eastAsia"/>
              </w:rPr>
              <w:t>24.6</w:t>
            </w:r>
          </w:p>
        </w:tc>
        <w:tc>
          <w:tcPr>
            <w:tcW w:w="992" w:type="dxa"/>
            <w:vAlign w:val="center"/>
          </w:tcPr>
          <w:p w14:paraId="1984D6FE">
            <w:pPr>
              <w:pStyle w:val="557"/>
            </w:pPr>
            <w:r>
              <w:rPr>
                <w:rFonts w:hint="eastAsia"/>
              </w:rPr>
              <w:t>0.098</w:t>
            </w:r>
          </w:p>
        </w:tc>
        <w:tc>
          <w:tcPr>
            <w:tcW w:w="992" w:type="dxa"/>
            <w:vAlign w:val="center"/>
          </w:tcPr>
          <w:p w14:paraId="18388C3E">
            <w:pPr>
              <w:pStyle w:val="557"/>
            </w:pPr>
            <w:r>
              <w:rPr>
                <w:rFonts w:hint="eastAsia"/>
              </w:rPr>
              <w:t>23.7</w:t>
            </w:r>
          </w:p>
        </w:tc>
        <w:tc>
          <w:tcPr>
            <w:tcW w:w="993" w:type="dxa"/>
            <w:vAlign w:val="center"/>
          </w:tcPr>
          <w:p w14:paraId="4C68E251">
            <w:pPr>
              <w:pStyle w:val="557"/>
            </w:pPr>
            <w:r>
              <w:rPr>
                <w:rFonts w:hint="eastAsia"/>
              </w:rPr>
              <w:t>0.094</w:t>
            </w:r>
          </w:p>
        </w:tc>
        <w:tc>
          <w:tcPr>
            <w:tcW w:w="850" w:type="dxa"/>
            <w:vAlign w:val="center"/>
          </w:tcPr>
          <w:p w14:paraId="6EBF1550">
            <w:pPr>
              <w:pStyle w:val="557"/>
            </w:pPr>
            <w:r>
              <w:rPr>
                <w:rFonts w:hint="eastAsia"/>
              </w:rPr>
              <w:t>36</w:t>
            </w:r>
          </w:p>
        </w:tc>
        <w:tc>
          <w:tcPr>
            <w:tcW w:w="1134" w:type="dxa"/>
            <w:vAlign w:val="center"/>
          </w:tcPr>
          <w:p w14:paraId="33A1A0BD">
            <w:pPr>
              <w:pStyle w:val="557"/>
            </w:pPr>
            <w:r>
              <w:rPr>
                <w:rFonts w:hint="eastAsia"/>
              </w:rPr>
              <w:t>0.144</w:t>
            </w:r>
          </w:p>
        </w:tc>
        <w:tc>
          <w:tcPr>
            <w:tcW w:w="850" w:type="dxa"/>
            <w:vAlign w:val="center"/>
          </w:tcPr>
          <w:p w14:paraId="5AA0441B">
            <w:pPr>
              <w:pStyle w:val="557"/>
            </w:pPr>
            <w:r>
              <w:rPr>
                <w:rFonts w:hint="eastAsia"/>
              </w:rPr>
              <w:t>66.2</w:t>
            </w:r>
          </w:p>
        </w:tc>
        <w:tc>
          <w:tcPr>
            <w:tcW w:w="1135" w:type="dxa"/>
            <w:vAlign w:val="center"/>
          </w:tcPr>
          <w:p w14:paraId="5161AAA8">
            <w:pPr>
              <w:pStyle w:val="557"/>
            </w:pPr>
            <w:r>
              <w:rPr>
                <w:rFonts w:hint="eastAsia"/>
              </w:rPr>
              <w:t>0.264</w:t>
            </w:r>
          </w:p>
        </w:tc>
      </w:tr>
      <w:tr w14:paraId="631C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732FA363">
            <w:pPr>
              <w:pStyle w:val="557"/>
            </w:pPr>
            <w:r>
              <w:t>CO</w:t>
            </w:r>
            <w:r>
              <w:rPr>
                <w:vertAlign w:val="subscript"/>
              </w:rPr>
              <w:t>3</w:t>
            </w:r>
            <w:r>
              <w:rPr>
                <w:vertAlign w:val="superscript"/>
              </w:rPr>
              <w:t>2-</w:t>
            </w:r>
          </w:p>
        </w:tc>
        <w:tc>
          <w:tcPr>
            <w:tcW w:w="992" w:type="dxa"/>
            <w:vAlign w:val="center"/>
          </w:tcPr>
          <w:p w14:paraId="059C09E0">
            <w:pPr>
              <w:pStyle w:val="557"/>
            </w:pPr>
            <w:r>
              <w:t>mg/L</w:t>
            </w:r>
          </w:p>
        </w:tc>
        <w:tc>
          <w:tcPr>
            <w:tcW w:w="1106" w:type="dxa"/>
            <w:vAlign w:val="center"/>
          </w:tcPr>
          <w:p w14:paraId="4E33820F">
            <w:pPr>
              <w:pStyle w:val="557"/>
            </w:pPr>
            <w:r>
              <w:rPr>
                <w:rFonts w:hint="eastAsia"/>
              </w:rPr>
              <w:t>/</w:t>
            </w:r>
          </w:p>
        </w:tc>
        <w:tc>
          <w:tcPr>
            <w:tcW w:w="1010" w:type="dxa"/>
            <w:vAlign w:val="center"/>
          </w:tcPr>
          <w:p w14:paraId="29114F52">
            <w:pPr>
              <w:pStyle w:val="557"/>
            </w:pPr>
            <w:r>
              <w:t>＜</w:t>
            </w:r>
            <w:r>
              <w:rPr>
                <w:rFonts w:hint="eastAsia"/>
              </w:rPr>
              <w:t>5</w:t>
            </w:r>
          </w:p>
        </w:tc>
        <w:tc>
          <w:tcPr>
            <w:tcW w:w="993" w:type="dxa"/>
            <w:vAlign w:val="center"/>
          </w:tcPr>
          <w:p w14:paraId="181CB669">
            <w:pPr>
              <w:pStyle w:val="557"/>
            </w:pPr>
            <w:r>
              <w:rPr>
                <w:rFonts w:hint="eastAsia"/>
              </w:rPr>
              <w:t>/</w:t>
            </w:r>
          </w:p>
        </w:tc>
        <w:tc>
          <w:tcPr>
            <w:tcW w:w="992" w:type="dxa"/>
            <w:vAlign w:val="center"/>
          </w:tcPr>
          <w:p w14:paraId="208EA7C6">
            <w:pPr>
              <w:pStyle w:val="557"/>
            </w:pPr>
            <w:r>
              <w:t>＜</w:t>
            </w:r>
            <w:r>
              <w:rPr>
                <w:rFonts w:hint="eastAsia"/>
              </w:rPr>
              <w:t>5</w:t>
            </w:r>
          </w:p>
        </w:tc>
        <w:tc>
          <w:tcPr>
            <w:tcW w:w="992" w:type="dxa"/>
            <w:vAlign w:val="center"/>
          </w:tcPr>
          <w:p w14:paraId="1BC7114D">
            <w:pPr>
              <w:pStyle w:val="557"/>
            </w:pPr>
            <w:r>
              <w:rPr>
                <w:rFonts w:hint="eastAsia"/>
              </w:rPr>
              <w:t>/</w:t>
            </w:r>
          </w:p>
        </w:tc>
        <w:tc>
          <w:tcPr>
            <w:tcW w:w="992" w:type="dxa"/>
            <w:vAlign w:val="center"/>
          </w:tcPr>
          <w:p w14:paraId="3EEF7D8E">
            <w:pPr>
              <w:pStyle w:val="557"/>
            </w:pPr>
            <w:r>
              <w:t>＜</w:t>
            </w:r>
            <w:r>
              <w:rPr>
                <w:rFonts w:hint="eastAsia"/>
              </w:rPr>
              <w:t>5</w:t>
            </w:r>
          </w:p>
        </w:tc>
        <w:tc>
          <w:tcPr>
            <w:tcW w:w="993" w:type="dxa"/>
            <w:vAlign w:val="center"/>
          </w:tcPr>
          <w:p w14:paraId="04B08E7A">
            <w:pPr>
              <w:pStyle w:val="557"/>
            </w:pPr>
            <w:r>
              <w:rPr>
                <w:rFonts w:hint="eastAsia"/>
              </w:rPr>
              <w:t>/</w:t>
            </w:r>
          </w:p>
        </w:tc>
        <w:tc>
          <w:tcPr>
            <w:tcW w:w="850" w:type="dxa"/>
            <w:vAlign w:val="center"/>
          </w:tcPr>
          <w:p w14:paraId="0456824A">
            <w:pPr>
              <w:pStyle w:val="557"/>
            </w:pPr>
            <w:r>
              <w:t>＜</w:t>
            </w:r>
            <w:r>
              <w:rPr>
                <w:rFonts w:hint="eastAsia"/>
              </w:rPr>
              <w:t>5</w:t>
            </w:r>
          </w:p>
        </w:tc>
        <w:tc>
          <w:tcPr>
            <w:tcW w:w="1134" w:type="dxa"/>
            <w:vAlign w:val="center"/>
          </w:tcPr>
          <w:p w14:paraId="05D10B8E">
            <w:pPr>
              <w:pStyle w:val="557"/>
            </w:pPr>
            <w:r>
              <w:rPr>
                <w:rFonts w:hint="eastAsia"/>
              </w:rPr>
              <w:t>/</w:t>
            </w:r>
          </w:p>
        </w:tc>
        <w:tc>
          <w:tcPr>
            <w:tcW w:w="850" w:type="dxa"/>
            <w:vAlign w:val="center"/>
          </w:tcPr>
          <w:p w14:paraId="3FB502AE">
            <w:pPr>
              <w:pStyle w:val="557"/>
            </w:pPr>
            <w:r>
              <w:t>＜</w:t>
            </w:r>
            <w:r>
              <w:rPr>
                <w:rFonts w:hint="eastAsia"/>
              </w:rPr>
              <w:t>5</w:t>
            </w:r>
          </w:p>
        </w:tc>
        <w:tc>
          <w:tcPr>
            <w:tcW w:w="1135" w:type="dxa"/>
            <w:vAlign w:val="center"/>
          </w:tcPr>
          <w:p w14:paraId="1E349A9D">
            <w:pPr>
              <w:pStyle w:val="557"/>
            </w:pPr>
            <w:r>
              <w:rPr>
                <w:rFonts w:hint="eastAsia"/>
              </w:rPr>
              <w:t>/</w:t>
            </w:r>
          </w:p>
        </w:tc>
      </w:tr>
      <w:tr w14:paraId="24BF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E8AA53B">
            <w:pPr>
              <w:pStyle w:val="557"/>
            </w:pPr>
            <w:r>
              <w:t>HCO</w:t>
            </w:r>
            <w:r>
              <w:rPr>
                <w:vertAlign w:val="subscript"/>
              </w:rPr>
              <w:t>3</w:t>
            </w:r>
            <w:r>
              <w:rPr>
                <w:vertAlign w:val="superscript"/>
              </w:rPr>
              <w:t>-</w:t>
            </w:r>
          </w:p>
        </w:tc>
        <w:tc>
          <w:tcPr>
            <w:tcW w:w="992" w:type="dxa"/>
            <w:vAlign w:val="center"/>
          </w:tcPr>
          <w:p w14:paraId="37F1A532">
            <w:pPr>
              <w:pStyle w:val="557"/>
            </w:pPr>
            <w:r>
              <w:t>mg/L</w:t>
            </w:r>
          </w:p>
        </w:tc>
        <w:tc>
          <w:tcPr>
            <w:tcW w:w="1106" w:type="dxa"/>
            <w:vAlign w:val="center"/>
          </w:tcPr>
          <w:p w14:paraId="4C5B440F">
            <w:pPr>
              <w:pStyle w:val="557"/>
            </w:pPr>
            <w:r>
              <w:rPr>
                <w:rFonts w:hint="eastAsia"/>
              </w:rPr>
              <w:t>/</w:t>
            </w:r>
          </w:p>
        </w:tc>
        <w:tc>
          <w:tcPr>
            <w:tcW w:w="1010" w:type="dxa"/>
            <w:vAlign w:val="center"/>
          </w:tcPr>
          <w:p w14:paraId="644EC592">
            <w:pPr>
              <w:pStyle w:val="557"/>
            </w:pPr>
            <w:r>
              <w:rPr>
                <w:rFonts w:hint="eastAsia"/>
              </w:rPr>
              <w:t>108</w:t>
            </w:r>
          </w:p>
        </w:tc>
        <w:tc>
          <w:tcPr>
            <w:tcW w:w="993" w:type="dxa"/>
            <w:vAlign w:val="center"/>
          </w:tcPr>
          <w:p w14:paraId="3CFE4EE0">
            <w:pPr>
              <w:pStyle w:val="557"/>
            </w:pPr>
            <w:r>
              <w:rPr>
                <w:rFonts w:hint="eastAsia"/>
              </w:rPr>
              <w:t>/</w:t>
            </w:r>
          </w:p>
        </w:tc>
        <w:tc>
          <w:tcPr>
            <w:tcW w:w="992" w:type="dxa"/>
            <w:vAlign w:val="center"/>
          </w:tcPr>
          <w:p w14:paraId="0324C33E">
            <w:pPr>
              <w:pStyle w:val="557"/>
            </w:pPr>
            <w:r>
              <w:rPr>
                <w:rFonts w:hint="eastAsia"/>
              </w:rPr>
              <w:t>109</w:t>
            </w:r>
          </w:p>
        </w:tc>
        <w:tc>
          <w:tcPr>
            <w:tcW w:w="992" w:type="dxa"/>
            <w:vAlign w:val="center"/>
          </w:tcPr>
          <w:p w14:paraId="3462C929">
            <w:pPr>
              <w:pStyle w:val="557"/>
            </w:pPr>
            <w:r>
              <w:rPr>
                <w:rFonts w:hint="eastAsia"/>
              </w:rPr>
              <w:t>/</w:t>
            </w:r>
          </w:p>
        </w:tc>
        <w:tc>
          <w:tcPr>
            <w:tcW w:w="992" w:type="dxa"/>
            <w:vAlign w:val="center"/>
          </w:tcPr>
          <w:p w14:paraId="4CCC071B">
            <w:pPr>
              <w:pStyle w:val="557"/>
            </w:pPr>
            <w:r>
              <w:rPr>
                <w:rFonts w:hint="eastAsia"/>
              </w:rPr>
              <w:t>107</w:t>
            </w:r>
          </w:p>
        </w:tc>
        <w:tc>
          <w:tcPr>
            <w:tcW w:w="993" w:type="dxa"/>
            <w:vAlign w:val="center"/>
          </w:tcPr>
          <w:p w14:paraId="4A398627">
            <w:pPr>
              <w:pStyle w:val="557"/>
            </w:pPr>
            <w:r>
              <w:rPr>
                <w:rFonts w:hint="eastAsia"/>
              </w:rPr>
              <w:t>/</w:t>
            </w:r>
          </w:p>
        </w:tc>
        <w:tc>
          <w:tcPr>
            <w:tcW w:w="850" w:type="dxa"/>
            <w:vAlign w:val="center"/>
          </w:tcPr>
          <w:p w14:paraId="1BDC5CDD">
            <w:pPr>
              <w:pStyle w:val="557"/>
            </w:pPr>
            <w:r>
              <w:rPr>
                <w:rFonts w:hint="eastAsia"/>
              </w:rPr>
              <w:t>112</w:t>
            </w:r>
          </w:p>
        </w:tc>
        <w:tc>
          <w:tcPr>
            <w:tcW w:w="1134" w:type="dxa"/>
            <w:vAlign w:val="center"/>
          </w:tcPr>
          <w:p w14:paraId="6FE343D4">
            <w:pPr>
              <w:pStyle w:val="557"/>
            </w:pPr>
            <w:r>
              <w:rPr>
                <w:rFonts w:hint="eastAsia"/>
              </w:rPr>
              <w:t>/</w:t>
            </w:r>
          </w:p>
        </w:tc>
        <w:tc>
          <w:tcPr>
            <w:tcW w:w="850" w:type="dxa"/>
            <w:vAlign w:val="center"/>
          </w:tcPr>
          <w:p w14:paraId="7CAE0908">
            <w:pPr>
              <w:pStyle w:val="557"/>
            </w:pPr>
            <w:r>
              <w:rPr>
                <w:rFonts w:hint="eastAsia"/>
              </w:rPr>
              <w:t>119</w:t>
            </w:r>
          </w:p>
        </w:tc>
        <w:tc>
          <w:tcPr>
            <w:tcW w:w="1135" w:type="dxa"/>
            <w:vAlign w:val="center"/>
          </w:tcPr>
          <w:p w14:paraId="3B9D8333">
            <w:pPr>
              <w:pStyle w:val="557"/>
            </w:pPr>
            <w:r>
              <w:rPr>
                <w:rFonts w:hint="eastAsia"/>
              </w:rPr>
              <w:t>/</w:t>
            </w:r>
          </w:p>
        </w:tc>
      </w:tr>
      <w:tr w14:paraId="42DF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FC09E8C">
            <w:pPr>
              <w:pStyle w:val="557"/>
            </w:pPr>
            <w:r>
              <w:t>pH</w:t>
            </w:r>
            <w:r>
              <w:rPr>
                <w:rFonts w:hint="eastAsia"/>
              </w:rPr>
              <w:t>值</w:t>
            </w:r>
          </w:p>
        </w:tc>
        <w:tc>
          <w:tcPr>
            <w:tcW w:w="992" w:type="dxa"/>
            <w:vAlign w:val="center"/>
          </w:tcPr>
          <w:p w14:paraId="2B8F3C0C">
            <w:pPr>
              <w:pStyle w:val="557"/>
            </w:pPr>
            <w:r>
              <w:rPr>
                <w:rFonts w:hint="eastAsia"/>
              </w:rPr>
              <w:t>无量纲</w:t>
            </w:r>
          </w:p>
        </w:tc>
        <w:tc>
          <w:tcPr>
            <w:tcW w:w="1106" w:type="dxa"/>
            <w:vAlign w:val="center"/>
          </w:tcPr>
          <w:p w14:paraId="30FF745F">
            <w:pPr>
              <w:pStyle w:val="557"/>
            </w:pPr>
            <w:r>
              <w:t>6.5~8.5</w:t>
            </w:r>
          </w:p>
        </w:tc>
        <w:tc>
          <w:tcPr>
            <w:tcW w:w="1010" w:type="dxa"/>
            <w:vAlign w:val="center"/>
          </w:tcPr>
          <w:p w14:paraId="53203C73">
            <w:pPr>
              <w:pStyle w:val="557"/>
            </w:pPr>
            <w:r>
              <w:rPr>
                <w:rFonts w:hint="eastAsia"/>
              </w:rPr>
              <w:t>7.9</w:t>
            </w:r>
          </w:p>
        </w:tc>
        <w:tc>
          <w:tcPr>
            <w:tcW w:w="993" w:type="dxa"/>
            <w:vAlign w:val="center"/>
          </w:tcPr>
          <w:p w14:paraId="16BBDCC0">
            <w:pPr>
              <w:pStyle w:val="557"/>
            </w:pPr>
            <w:r>
              <w:rPr>
                <w:rFonts w:hint="eastAsia"/>
              </w:rPr>
              <w:t>/</w:t>
            </w:r>
          </w:p>
        </w:tc>
        <w:tc>
          <w:tcPr>
            <w:tcW w:w="992" w:type="dxa"/>
            <w:vAlign w:val="center"/>
          </w:tcPr>
          <w:p w14:paraId="4010647A">
            <w:pPr>
              <w:pStyle w:val="557"/>
            </w:pPr>
            <w:r>
              <w:rPr>
                <w:rFonts w:hint="eastAsia"/>
              </w:rPr>
              <w:t>7.7</w:t>
            </w:r>
          </w:p>
        </w:tc>
        <w:tc>
          <w:tcPr>
            <w:tcW w:w="992" w:type="dxa"/>
            <w:vAlign w:val="center"/>
          </w:tcPr>
          <w:p w14:paraId="4FEB7509">
            <w:pPr>
              <w:pStyle w:val="557"/>
            </w:pPr>
            <w:r>
              <w:rPr>
                <w:rFonts w:hint="eastAsia"/>
              </w:rPr>
              <w:t>/</w:t>
            </w:r>
          </w:p>
        </w:tc>
        <w:tc>
          <w:tcPr>
            <w:tcW w:w="992" w:type="dxa"/>
            <w:vAlign w:val="center"/>
          </w:tcPr>
          <w:p w14:paraId="16F5B682">
            <w:pPr>
              <w:pStyle w:val="557"/>
            </w:pPr>
            <w:r>
              <w:rPr>
                <w:rFonts w:hint="eastAsia"/>
              </w:rPr>
              <w:t>8.0</w:t>
            </w:r>
          </w:p>
        </w:tc>
        <w:tc>
          <w:tcPr>
            <w:tcW w:w="993" w:type="dxa"/>
            <w:vAlign w:val="center"/>
          </w:tcPr>
          <w:p w14:paraId="6B6763B4">
            <w:pPr>
              <w:pStyle w:val="557"/>
            </w:pPr>
            <w:r>
              <w:rPr>
                <w:rFonts w:hint="eastAsia"/>
              </w:rPr>
              <w:t>/</w:t>
            </w:r>
          </w:p>
        </w:tc>
        <w:tc>
          <w:tcPr>
            <w:tcW w:w="850" w:type="dxa"/>
            <w:vAlign w:val="center"/>
          </w:tcPr>
          <w:p w14:paraId="7868DF5B">
            <w:pPr>
              <w:pStyle w:val="557"/>
            </w:pPr>
            <w:r>
              <w:rPr>
                <w:rFonts w:hint="eastAsia"/>
              </w:rPr>
              <w:t>7.9</w:t>
            </w:r>
          </w:p>
        </w:tc>
        <w:tc>
          <w:tcPr>
            <w:tcW w:w="1134" w:type="dxa"/>
            <w:vAlign w:val="center"/>
          </w:tcPr>
          <w:p w14:paraId="6A4DA6B5">
            <w:pPr>
              <w:pStyle w:val="557"/>
            </w:pPr>
            <w:r>
              <w:rPr>
                <w:rFonts w:hint="eastAsia"/>
              </w:rPr>
              <w:t>/</w:t>
            </w:r>
          </w:p>
        </w:tc>
        <w:tc>
          <w:tcPr>
            <w:tcW w:w="850" w:type="dxa"/>
            <w:vAlign w:val="center"/>
          </w:tcPr>
          <w:p w14:paraId="40016950">
            <w:pPr>
              <w:pStyle w:val="557"/>
            </w:pPr>
            <w:r>
              <w:rPr>
                <w:rFonts w:hint="eastAsia"/>
              </w:rPr>
              <w:t>7.7</w:t>
            </w:r>
          </w:p>
        </w:tc>
        <w:tc>
          <w:tcPr>
            <w:tcW w:w="1135" w:type="dxa"/>
            <w:vAlign w:val="center"/>
          </w:tcPr>
          <w:p w14:paraId="1131E9B2">
            <w:pPr>
              <w:pStyle w:val="557"/>
            </w:pPr>
            <w:r>
              <w:rPr>
                <w:rFonts w:hint="eastAsia"/>
              </w:rPr>
              <w:t>/</w:t>
            </w:r>
          </w:p>
        </w:tc>
      </w:tr>
      <w:tr w14:paraId="255C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048F5CD1">
            <w:pPr>
              <w:pStyle w:val="557"/>
            </w:pPr>
            <w:r>
              <w:rPr>
                <w:rFonts w:hint="eastAsia"/>
              </w:rPr>
              <w:t>氨氮</w:t>
            </w:r>
          </w:p>
        </w:tc>
        <w:tc>
          <w:tcPr>
            <w:tcW w:w="992" w:type="dxa"/>
            <w:vAlign w:val="center"/>
          </w:tcPr>
          <w:p w14:paraId="0AE87DD8">
            <w:pPr>
              <w:pStyle w:val="557"/>
            </w:pPr>
            <w:r>
              <w:t>mg/L</w:t>
            </w:r>
          </w:p>
        </w:tc>
        <w:tc>
          <w:tcPr>
            <w:tcW w:w="1106" w:type="dxa"/>
            <w:vAlign w:val="center"/>
          </w:tcPr>
          <w:p w14:paraId="143078A0">
            <w:pPr>
              <w:pStyle w:val="557"/>
            </w:pPr>
            <w:r>
              <w:t>0.50</w:t>
            </w:r>
          </w:p>
        </w:tc>
        <w:tc>
          <w:tcPr>
            <w:tcW w:w="1010" w:type="dxa"/>
            <w:vAlign w:val="center"/>
          </w:tcPr>
          <w:p w14:paraId="22904B99">
            <w:pPr>
              <w:pStyle w:val="557"/>
            </w:pPr>
            <w:r>
              <w:t>＜</w:t>
            </w:r>
            <w:r>
              <w:rPr>
                <w:rFonts w:hint="eastAsia"/>
              </w:rPr>
              <w:t>0.025</w:t>
            </w:r>
          </w:p>
        </w:tc>
        <w:tc>
          <w:tcPr>
            <w:tcW w:w="993" w:type="dxa"/>
            <w:vAlign w:val="center"/>
          </w:tcPr>
          <w:p w14:paraId="14B0EC46">
            <w:pPr>
              <w:pStyle w:val="557"/>
            </w:pPr>
            <w:r>
              <w:rPr>
                <w:rFonts w:hint="eastAsia"/>
              </w:rPr>
              <w:t>/</w:t>
            </w:r>
          </w:p>
        </w:tc>
        <w:tc>
          <w:tcPr>
            <w:tcW w:w="992" w:type="dxa"/>
            <w:vAlign w:val="center"/>
          </w:tcPr>
          <w:p w14:paraId="6264FC0A">
            <w:pPr>
              <w:pStyle w:val="557"/>
            </w:pPr>
            <w:r>
              <w:t>＜</w:t>
            </w:r>
            <w:r>
              <w:rPr>
                <w:rFonts w:hint="eastAsia"/>
              </w:rPr>
              <w:t>0.025</w:t>
            </w:r>
          </w:p>
        </w:tc>
        <w:tc>
          <w:tcPr>
            <w:tcW w:w="992" w:type="dxa"/>
            <w:vAlign w:val="center"/>
          </w:tcPr>
          <w:p w14:paraId="5725F7D4">
            <w:pPr>
              <w:pStyle w:val="557"/>
            </w:pPr>
            <w:r>
              <w:rPr>
                <w:rFonts w:hint="eastAsia"/>
              </w:rPr>
              <w:t>/</w:t>
            </w:r>
          </w:p>
        </w:tc>
        <w:tc>
          <w:tcPr>
            <w:tcW w:w="992" w:type="dxa"/>
            <w:vAlign w:val="center"/>
          </w:tcPr>
          <w:p w14:paraId="66A164F1">
            <w:pPr>
              <w:pStyle w:val="557"/>
            </w:pPr>
            <w:r>
              <w:t>＜</w:t>
            </w:r>
            <w:r>
              <w:rPr>
                <w:rFonts w:hint="eastAsia"/>
              </w:rPr>
              <w:t>0.025</w:t>
            </w:r>
          </w:p>
        </w:tc>
        <w:tc>
          <w:tcPr>
            <w:tcW w:w="993" w:type="dxa"/>
            <w:vAlign w:val="center"/>
          </w:tcPr>
          <w:p w14:paraId="58AA6517">
            <w:pPr>
              <w:pStyle w:val="557"/>
            </w:pPr>
            <w:r>
              <w:rPr>
                <w:rFonts w:hint="eastAsia"/>
              </w:rPr>
              <w:t>/</w:t>
            </w:r>
          </w:p>
        </w:tc>
        <w:tc>
          <w:tcPr>
            <w:tcW w:w="850" w:type="dxa"/>
            <w:vAlign w:val="center"/>
          </w:tcPr>
          <w:p w14:paraId="1BF500A5">
            <w:pPr>
              <w:pStyle w:val="557"/>
            </w:pPr>
            <w:r>
              <w:t>＜</w:t>
            </w:r>
            <w:r>
              <w:rPr>
                <w:rFonts w:hint="eastAsia"/>
              </w:rPr>
              <w:t>0.025</w:t>
            </w:r>
          </w:p>
        </w:tc>
        <w:tc>
          <w:tcPr>
            <w:tcW w:w="1134" w:type="dxa"/>
            <w:vAlign w:val="center"/>
          </w:tcPr>
          <w:p w14:paraId="212672E4">
            <w:pPr>
              <w:pStyle w:val="557"/>
            </w:pPr>
            <w:r>
              <w:rPr>
                <w:rFonts w:hint="eastAsia"/>
              </w:rPr>
              <w:t>/</w:t>
            </w:r>
          </w:p>
        </w:tc>
        <w:tc>
          <w:tcPr>
            <w:tcW w:w="850" w:type="dxa"/>
            <w:vAlign w:val="center"/>
          </w:tcPr>
          <w:p w14:paraId="5B124A1A">
            <w:pPr>
              <w:pStyle w:val="557"/>
            </w:pPr>
            <w:r>
              <w:t>＜</w:t>
            </w:r>
            <w:r>
              <w:rPr>
                <w:rFonts w:hint="eastAsia"/>
              </w:rPr>
              <w:t>0.025</w:t>
            </w:r>
          </w:p>
        </w:tc>
        <w:tc>
          <w:tcPr>
            <w:tcW w:w="1135" w:type="dxa"/>
            <w:vAlign w:val="center"/>
          </w:tcPr>
          <w:p w14:paraId="67B1A6E7">
            <w:pPr>
              <w:pStyle w:val="557"/>
            </w:pPr>
            <w:r>
              <w:rPr>
                <w:rFonts w:hint="eastAsia"/>
              </w:rPr>
              <w:t>/</w:t>
            </w:r>
          </w:p>
        </w:tc>
      </w:tr>
      <w:tr w14:paraId="5B2F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757719FD">
            <w:pPr>
              <w:pStyle w:val="557"/>
            </w:pPr>
            <w:r>
              <w:rPr>
                <w:rFonts w:hint="eastAsia"/>
              </w:rPr>
              <w:t>亚硝酸盐</w:t>
            </w:r>
          </w:p>
        </w:tc>
        <w:tc>
          <w:tcPr>
            <w:tcW w:w="992" w:type="dxa"/>
            <w:vAlign w:val="center"/>
          </w:tcPr>
          <w:p w14:paraId="752CE93B">
            <w:pPr>
              <w:pStyle w:val="557"/>
            </w:pPr>
            <w:r>
              <w:t>mg/L</w:t>
            </w:r>
          </w:p>
        </w:tc>
        <w:tc>
          <w:tcPr>
            <w:tcW w:w="1106" w:type="dxa"/>
            <w:vAlign w:val="center"/>
          </w:tcPr>
          <w:p w14:paraId="56FC730B">
            <w:pPr>
              <w:pStyle w:val="557"/>
            </w:pPr>
            <w:r>
              <w:t>1.00</w:t>
            </w:r>
          </w:p>
        </w:tc>
        <w:tc>
          <w:tcPr>
            <w:tcW w:w="1010" w:type="dxa"/>
            <w:vAlign w:val="center"/>
          </w:tcPr>
          <w:p w14:paraId="2DD65B84">
            <w:pPr>
              <w:pStyle w:val="557"/>
            </w:pPr>
            <w:r>
              <w:rPr>
                <w:rFonts w:hint="eastAsia"/>
              </w:rPr>
              <w:t>0.002</w:t>
            </w:r>
          </w:p>
        </w:tc>
        <w:tc>
          <w:tcPr>
            <w:tcW w:w="993" w:type="dxa"/>
            <w:vAlign w:val="center"/>
          </w:tcPr>
          <w:p w14:paraId="1381ADB9">
            <w:pPr>
              <w:pStyle w:val="557"/>
            </w:pPr>
            <w:r>
              <w:rPr>
                <w:rFonts w:hint="eastAsia"/>
              </w:rPr>
              <w:t>0.002</w:t>
            </w:r>
          </w:p>
        </w:tc>
        <w:tc>
          <w:tcPr>
            <w:tcW w:w="992" w:type="dxa"/>
            <w:vAlign w:val="center"/>
          </w:tcPr>
          <w:p w14:paraId="70F252B8">
            <w:pPr>
              <w:pStyle w:val="557"/>
            </w:pPr>
            <w:r>
              <w:rPr>
                <w:rFonts w:hint="eastAsia"/>
              </w:rPr>
              <w:t>&lt;0.001</w:t>
            </w:r>
          </w:p>
        </w:tc>
        <w:tc>
          <w:tcPr>
            <w:tcW w:w="992" w:type="dxa"/>
            <w:vAlign w:val="center"/>
          </w:tcPr>
          <w:p w14:paraId="1B5C45BF">
            <w:pPr>
              <w:pStyle w:val="557"/>
            </w:pPr>
            <w:r>
              <w:rPr>
                <w:rFonts w:hint="eastAsia"/>
              </w:rPr>
              <w:t>0.001</w:t>
            </w:r>
          </w:p>
        </w:tc>
        <w:tc>
          <w:tcPr>
            <w:tcW w:w="992" w:type="dxa"/>
            <w:vAlign w:val="center"/>
          </w:tcPr>
          <w:p w14:paraId="3DEC6F41">
            <w:pPr>
              <w:pStyle w:val="557"/>
            </w:pPr>
            <w:r>
              <w:rPr>
                <w:rFonts w:hint="eastAsia"/>
              </w:rPr>
              <w:t>0.002</w:t>
            </w:r>
          </w:p>
        </w:tc>
        <w:tc>
          <w:tcPr>
            <w:tcW w:w="993" w:type="dxa"/>
            <w:vAlign w:val="center"/>
          </w:tcPr>
          <w:p w14:paraId="3274D34D">
            <w:pPr>
              <w:pStyle w:val="557"/>
            </w:pPr>
            <w:r>
              <w:rPr>
                <w:rFonts w:hint="eastAsia"/>
              </w:rPr>
              <w:t>0.002</w:t>
            </w:r>
          </w:p>
        </w:tc>
        <w:tc>
          <w:tcPr>
            <w:tcW w:w="850" w:type="dxa"/>
            <w:vAlign w:val="center"/>
          </w:tcPr>
          <w:p w14:paraId="46DAFDC6">
            <w:pPr>
              <w:pStyle w:val="557"/>
            </w:pPr>
            <w:r>
              <w:t>＜</w:t>
            </w:r>
            <w:r>
              <w:rPr>
                <w:rFonts w:hint="eastAsia"/>
              </w:rPr>
              <w:t>0.001</w:t>
            </w:r>
          </w:p>
        </w:tc>
        <w:tc>
          <w:tcPr>
            <w:tcW w:w="1134" w:type="dxa"/>
            <w:vAlign w:val="center"/>
          </w:tcPr>
          <w:p w14:paraId="5A4675BC">
            <w:pPr>
              <w:pStyle w:val="557"/>
            </w:pPr>
            <w:r>
              <w:rPr>
                <w:rFonts w:hint="eastAsia"/>
              </w:rPr>
              <w:t>0.001</w:t>
            </w:r>
          </w:p>
        </w:tc>
        <w:tc>
          <w:tcPr>
            <w:tcW w:w="850" w:type="dxa"/>
            <w:vAlign w:val="center"/>
          </w:tcPr>
          <w:p w14:paraId="5C1FA136">
            <w:pPr>
              <w:pStyle w:val="557"/>
            </w:pPr>
            <w:r>
              <w:rPr>
                <w:rFonts w:hint="eastAsia"/>
              </w:rPr>
              <w:t>0.002</w:t>
            </w:r>
          </w:p>
        </w:tc>
        <w:tc>
          <w:tcPr>
            <w:tcW w:w="1135" w:type="dxa"/>
            <w:vAlign w:val="center"/>
          </w:tcPr>
          <w:p w14:paraId="44786E62">
            <w:pPr>
              <w:pStyle w:val="557"/>
            </w:pPr>
            <w:r>
              <w:rPr>
                <w:rFonts w:hint="eastAsia"/>
              </w:rPr>
              <w:t>0.002</w:t>
            </w:r>
          </w:p>
        </w:tc>
      </w:tr>
      <w:tr w14:paraId="1CF5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5F43DD9">
            <w:pPr>
              <w:pStyle w:val="557"/>
            </w:pPr>
            <w:r>
              <w:rPr>
                <w:rFonts w:hint="eastAsia"/>
              </w:rPr>
              <w:t>硝酸盐</w:t>
            </w:r>
          </w:p>
        </w:tc>
        <w:tc>
          <w:tcPr>
            <w:tcW w:w="992" w:type="dxa"/>
            <w:vAlign w:val="center"/>
          </w:tcPr>
          <w:p w14:paraId="45F57BAF">
            <w:pPr>
              <w:pStyle w:val="557"/>
            </w:pPr>
            <w:r>
              <w:t>mg/L</w:t>
            </w:r>
          </w:p>
        </w:tc>
        <w:tc>
          <w:tcPr>
            <w:tcW w:w="1106" w:type="dxa"/>
            <w:vAlign w:val="center"/>
          </w:tcPr>
          <w:p w14:paraId="7596B7D8">
            <w:pPr>
              <w:pStyle w:val="557"/>
            </w:pPr>
            <w:r>
              <w:t>20.00</w:t>
            </w:r>
          </w:p>
        </w:tc>
        <w:tc>
          <w:tcPr>
            <w:tcW w:w="1010" w:type="dxa"/>
            <w:vAlign w:val="center"/>
          </w:tcPr>
          <w:p w14:paraId="3217E06A">
            <w:pPr>
              <w:pStyle w:val="557"/>
            </w:pPr>
            <w:r>
              <w:rPr>
                <w:rFonts w:hint="eastAsia"/>
              </w:rPr>
              <w:t>0.8</w:t>
            </w:r>
          </w:p>
        </w:tc>
        <w:tc>
          <w:tcPr>
            <w:tcW w:w="993" w:type="dxa"/>
            <w:vAlign w:val="center"/>
          </w:tcPr>
          <w:p w14:paraId="59092197">
            <w:pPr>
              <w:pStyle w:val="557"/>
            </w:pPr>
            <w:r>
              <w:rPr>
                <w:rFonts w:hint="eastAsia"/>
              </w:rPr>
              <w:t>0.04</w:t>
            </w:r>
          </w:p>
        </w:tc>
        <w:tc>
          <w:tcPr>
            <w:tcW w:w="992" w:type="dxa"/>
            <w:vAlign w:val="center"/>
          </w:tcPr>
          <w:p w14:paraId="4E5A8AF3">
            <w:pPr>
              <w:pStyle w:val="557"/>
            </w:pPr>
            <w:r>
              <w:rPr>
                <w:rFonts w:hint="eastAsia"/>
              </w:rPr>
              <w:t>0.9</w:t>
            </w:r>
          </w:p>
        </w:tc>
        <w:tc>
          <w:tcPr>
            <w:tcW w:w="992" w:type="dxa"/>
            <w:vAlign w:val="center"/>
          </w:tcPr>
          <w:p w14:paraId="0291781A">
            <w:pPr>
              <w:pStyle w:val="557"/>
            </w:pPr>
            <w:r>
              <w:rPr>
                <w:rFonts w:hint="eastAsia"/>
              </w:rPr>
              <w:t>0.045</w:t>
            </w:r>
          </w:p>
        </w:tc>
        <w:tc>
          <w:tcPr>
            <w:tcW w:w="992" w:type="dxa"/>
            <w:vAlign w:val="center"/>
          </w:tcPr>
          <w:p w14:paraId="21B93F89">
            <w:pPr>
              <w:pStyle w:val="557"/>
            </w:pPr>
            <w:r>
              <w:rPr>
                <w:rFonts w:hint="eastAsia"/>
              </w:rPr>
              <w:t>1.0</w:t>
            </w:r>
          </w:p>
        </w:tc>
        <w:tc>
          <w:tcPr>
            <w:tcW w:w="993" w:type="dxa"/>
            <w:vAlign w:val="center"/>
          </w:tcPr>
          <w:p w14:paraId="5AC72630">
            <w:pPr>
              <w:pStyle w:val="557"/>
            </w:pPr>
            <w:r>
              <w:rPr>
                <w:rFonts w:hint="eastAsia"/>
              </w:rPr>
              <w:t>0.05</w:t>
            </w:r>
          </w:p>
        </w:tc>
        <w:tc>
          <w:tcPr>
            <w:tcW w:w="850" w:type="dxa"/>
            <w:vAlign w:val="center"/>
          </w:tcPr>
          <w:p w14:paraId="2510F1DB">
            <w:pPr>
              <w:pStyle w:val="557"/>
            </w:pPr>
            <w:r>
              <w:rPr>
                <w:rFonts w:hint="eastAsia"/>
              </w:rPr>
              <w:t>1.2</w:t>
            </w:r>
          </w:p>
        </w:tc>
        <w:tc>
          <w:tcPr>
            <w:tcW w:w="1134" w:type="dxa"/>
            <w:vAlign w:val="center"/>
          </w:tcPr>
          <w:p w14:paraId="161B200C">
            <w:pPr>
              <w:pStyle w:val="557"/>
            </w:pPr>
            <w:r>
              <w:rPr>
                <w:rFonts w:hint="eastAsia"/>
              </w:rPr>
              <w:t>0.06</w:t>
            </w:r>
          </w:p>
        </w:tc>
        <w:tc>
          <w:tcPr>
            <w:tcW w:w="850" w:type="dxa"/>
            <w:vAlign w:val="center"/>
          </w:tcPr>
          <w:p w14:paraId="29A93CC2">
            <w:pPr>
              <w:pStyle w:val="557"/>
            </w:pPr>
            <w:r>
              <w:rPr>
                <w:rFonts w:hint="eastAsia"/>
              </w:rPr>
              <w:t>1.8</w:t>
            </w:r>
          </w:p>
        </w:tc>
        <w:tc>
          <w:tcPr>
            <w:tcW w:w="1135" w:type="dxa"/>
            <w:vAlign w:val="center"/>
          </w:tcPr>
          <w:p w14:paraId="5C8CB47E">
            <w:pPr>
              <w:pStyle w:val="557"/>
            </w:pPr>
            <w:r>
              <w:rPr>
                <w:rFonts w:hint="eastAsia"/>
              </w:rPr>
              <w:t>0.09</w:t>
            </w:r>
          </w:p>
        </w:tc>
      </w:tr>
      <w:tr w14:paraId="5983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05CCF90D">
            <w:pPr>
              <w:pStyle w:val="557"/>
            </w:pPr>
            <w:r>
              <w:rPr>
                <w:rFonts w:hint="eastAsia"/>
              </w:rPr>
              <w:t>总硬度</w:t>
            </w:r>
          </w:p>
        </w:tc>
        <w:tc>
          <w:tcPr>
            <w:tcW w:w="992" w:type="dxa"/>
            <w:vAlign w:val="center"/>
          </w:tcPr>
          <w:p w14:paraId="237B22D8">
            <w:pPr>
              <w:pStyle w:val="557"/>
            </w:pPr>
            <w:r>
              <w:t>mg/L</w:t>
            </w:r>
          </w:p>
        </w:tc>
        <w:tc>
          <w:tcPr>
            <w:tcW w:w="1106" w:type="dxa"/>
            <w:vAlign w:val="center"/>
          </w:tcPr>
          <w:p w14:paraId="45F47802">
            <w:pPr>
              <w:pStyle w:val="557"/>
            </w:pPr>
            <w:r>
              <w:t>450</w:t>
            </w:r>
          </w:p>
        </w:tc>
        <w:tc>
          <w:tcPr>
            <w:tcW w:w="1010" w:type="dxa"/>
            <w:vAlign w:val="center"/>
          </w:tcPr>
          <w:p w14:paraId="4EACBFC4">
            <w:pPr>
              <w:pStyle w:val="557"/>
            </w:pPr>
            <w:r>
              <w:rPr>
                <w:rFonts w:hint="eastAsia"/>
              </w:rPr>
              <w:t>69</w:t>
            </w:r>
          </w:p>
        </w:tc>
        <w:tc>
          <w:tcPr>
            <w:tcW w:w="993" w:type="dxa"/>
            <w:vAlign w:val="center"/>
          </w:tcPr>
          <w:p w14:paraId="54459047">
            <w:pPr>
              <w:pStyle w:val="557"/>
            </w:pPr>
            <w:r>
              <w:rPr>
                <w:rFonts w:hint="eastAsia"/>
              </w:rPr>
              <w:t>0.153</w:t>
            </w:r>
          </w:p>
        </w:tc>
        <w:tc>
          <w:tcPr>
            <w:tcW w:w="992" w:type="dxa"/>
            <w:vAlign w:val="center"/>
          </w:tcPr>
          <w:p w14:paraId="0BBCD7FA">
            <w:pPr>
              <w:pStyle w:val="557"/>
            </w:pPr>
            <w:r>
              <w:rPr>
                <w:rFonts w:hint="eastAsia"/>
              </w:rPr>
              <w:t>40</w:t>
            </w:r>
          </w:p>
        </w:tc>
        <w:tc>
          <w:tcPr>
            <w:tcW w:w="992" w:type="dxa"/>
            <w:vAlign w:val="center"/>
          </w:tcPr>
          <w:p w14:paraId="66B63FAD">
            <w:pPr>
              <w:pStyle w:val="557"/>
            </w:pPr>
            <w:r>
              <w:rPr>
                <w:rFonts w:hint="eastAsia"/>
              </w:rPr>
              <w:t>0.089</w:t>
            </w:r>
          </w:p>
        </w:tc>
        <w:tc>
          <w:tcPr>
            <w:tcW w:w="992" w:type="dxa"/>
            <w:vAlign w:val="center"/>
          </w:tcPr>
          <w:p w14:paraId="78B5AFFA">
            <w:pPr>
              <w:pStyle w:val="557"/>
            </w:pPr>
            <w:r>
              <w:rPr>
                <w:rFonts w:hint="eastAsia"/>
              </w:rPr>
              <w:t>31</w:t>
            </w:r>
          </w:p>
        </w:tc>
        <w:tc>
          <w:tcPr>
            <w:tcW w:w="993" w:type="dxa"/>
            <w:vAlign w:val="center"/>
          </w:tcPr>
          <w:p w14:paraId="6D2D0BBE">
            <w:pPr>
              <w:pStyle w:val="557"/>
            </w:pPr>
            <w:r>
              <w:rPr>
                <w:rFonts w:hint="eastAsia"/>
              </w:rPr>
              <w:t>0.069</w:t>
            </w:r>
          </w:p>
        </w:tc>
        <w:tc>
          <w:tcPr>
            <w:tcW w:w="850" w:type="dxa"/>
            <w:vAlign w:val="center"/>
          </w:tcPr>
          <w:p w14:paraId="74287706">
            <w:pPr>
              <w:pStyle w:val="557"/>
            </w:pPr>
            <w:r>
              <w:rPr>
                <w:rFonts w:hint="eastAsia"/>
              </w:rPr>
              <w:t>446</w:t>
            </w:r>
          </w:p>
        </w:tc>
        <w:tc>
          <w:tcPr>
            <w:tcW w:w="1134" w:type="dxa"/>
            <w:vAlign w:val="center"/>
          </w:tcPr>
          <w:p w14:paraId="4F6B1CE3">
            <w:pPr>
              <w:pStyle w:val="557"/>
            </w:pPr>
            <w:r>
              <w:rPr>
                <w:rFonts w:hint="eastAsia"/>
              </w:rPr>
              <w:t>0.99</w:t>
            </w:r>
          </w:p>
        </w:tc>
        <w:tc>
          <w:tcPr>
            <w:tcW w:w="850" w:type="dxa"/>
            <w:vAlign w:val="center"/>
          </w:tcPr>
          <w:p w14:paraId="5B40061B">
            <w:pPr>
              <w:pStyle w:val="557"/>
            </w:pPr>
            <w:r>
              <w:rPr>
                <w:rFonts w:hint="eastAsia"/>
              </w:rPr>
              <w:t>167</w:t>
            </w:r>
          </w:p>
        </w:tc>
        <w:tc>
          <w:tcPr>
            <w:tcW w:w="1135" w:type="dxa"/>
            <w:vAlign w:val="center"/>
          </w:tcPr>
          <w:p w14:paraId="42372B40">
            <w:pPr>
              <w:pStyle w:val="557"/>
            </w:pPr>
            <w:r>
              <w:rPr>
                <w:rFonts w:hint="eastAsia"/>
              </w:rPr>
              <w:t>0.371</w:t>
            </w:r>
          </w:p>
        </w:tc>
      </w:tr>
      <w:tr w14:paraId="08CC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1412D3C6">
            <w:pPr>
              <w:pStyle w:val="557"/>
            </w:pPr>
            <w:r>
              <w:rPr>
                <w:rFonts w:hint="eastAsia"/>
              </w:rPr>
              <w:t>溶解性总固体</w:t>
            </w:r>
          </w:p>
        </w:tc>
        <w:tc>
          <w:tcPr>
            <w:tcW w:w="992" w:type="dxa"/>
            <w:vAlign w:val="center"/>
          </w:tcPr>
          <w:p w14:paraId="3152FDB7">
            <w:pPr>
              <w:pStyle w:val="557"/>
            </w:pPr>
            <w:r>
              <w:t>mg/L</w:t>
            </w:r>
          </w:p>
        </w:tc>
        <w:tc>
          <w:tcPr>
            <w:tcW w:w="1106" w:type="dxa"/>
            <w:vAlign w:val="center"/>
          </w:tcPr>
          <w:p w14:paraId="57DC2474">
            <w:pPr>
              <w:pStyle w:val="557"/>
            </w:pPr>
            <w:r>
              <w:t>1000</w:t>
            </w:r>
          </w:p>
        </w:tc>
        <w:tc>
          <w:tcPr>
            <w:tcW w:w="1010" w:type="dxa"/>
            <w:vAlign w:val="center"/>
          </w:tcPr>
          <w:p w14:paraId="336F6137">
            <w:pPr>
              <w:pStyle w:val="557"/>
            </w:pPr>
            <w:r>
              <w:rPr>
                <w:rFonts w:hint="eastAsia"/>
              </w:rPr>
              <w:t>186</w:t>
            </w:r>
          </w:p>
        </w:tc>
        <w:tc>
          <w:tcPr>
            <w:tcW w:w="993" w:type="dxa"/>
            <w:vAlign w:val="center"/>
          </w:tcPr>
          <w:p w14:paraId="52F1441C">
            <w:pPr>
              <w:pStyle w:val="557"/>
            </w:pPr>
            <w:r>
              <w:rPr>
                <w:rFonts w:hint="eastAsia"/>
              </w:rPr>
              <w:t>0.186</w:t>
            </w:r>
          </w:p>
        </w:tc>
        <w:tc>
          <w:tcPr>
            <w:tcW w:w="992" w:type="dxa"/>
            <w:vAlign w:val="center"/>
          </w:tcPr>
          <w:p w14:paraId="0CCECACE">
            <w:pPr>
              <w:pStyle w:val="557"/>
            </w:pPr>
            <w:r>
              <w:rPr>
                <w:rFonts w:hint="eastAsia"/>
              </w:rPr>
              <w:t>234</w:t>
            </w:r>
          </w:p>
        </w:tc>
        <w:tc>
          <w:tcPr>
            <w:tcW w:w="992" w:type="dxa"/>
            <w:vAlign w:val="center"/>
          </w:tcPr>
          <w:p w14:paraId="7446F223">
            <w:pPr>
              <w:pStyle w:val="557"/>
            </w:pPr>
            <w:r>
              <w:rPr>
                <w:rFonts w:hint="eastAsia"/>
              </w:rPr>
              <w:t>0.234</w:t>
            </w:r>
          </w:p>
        </w:tc>
        <w:tc>
          <w:tcPr>
            <w:tcW w:w="992" w:type="dxa"/>
            <w:vAlign w:val="center"/>
          </w:tcPr>
          <w:p w14:paraId="60C4167C">
            <w:pPr>
              <w:pStyle w:val="557"/>
            </w:pPr>
            <w:r>
              <w:rPr>
                <w:rFonts w:hint="eastAsia"/>
              </w:rPr>
              <w:t>214</w:t>
            </w:r>
          </w:p>
        </w:tc>
        <w:tc>
          <w:tcPr>
            <w:tcW w:w="993" w:type="dxa"/>
            <w:vAlign w:val="center"/>
          </w:tcPr>
          <w:p w14:paraId="5D9F70EE">
            <w:pPr>
              <w:pStyle w:val="557"/>
            </w:pPr>
            <w:r>
              <w:rPr>
                <w:rFonts w:hint="eastAsia"/>
              </w:rPr>
              <w:t>0.214</w:t>
            </w:r>
          </w:p>
        </w:tc>
        <w:tc>
          <w:tcPr>
            <w:tcW w:w="850" w:type="dxa"/>
            <w:vAlign w:val="center"/>
          </w:tcPr>
          <w:p w14:paraId="48BC4B27">
            <w:pPr>
              <w:pStyle w:val="557"/>
            </w:pPr>
            <w:r>
              <w:rPr>
                <w:rFonts w:hint="eastAsia"/>
              </w:rPr>
              <w:t>830</w:t>
            </w:r>
          </w:p>
        </w:tc>
        <w:tc>
          <w:tcPr>
            <w:tcW w:w="1134" w:type="dxa"/>
            <w:vAlign w:val="center"/>
          </w:tcPr>
          <w:p w14:paraId="7A9BF832">
            <w:pPr>
              <w:pStyle w:val="557"/>
            </w:pPr>
            <w:r>
              <w:rPr>
                <w:rFonts w:hint="eastAsia"/>
              </w:rPr>
              <w:t>0.83</w:t>
            </w:r>
          </w:p>
        </w:tc>
        <w:tc>
          <w:tcPr>
            <w:tcW w:w="850" w:type="dxa"/>
            <w:vAlign w:val="center"/>
          </w:tcPr>
          <w:p w14:paraId="4C8D9EFC">
            <w:pPr>
              <w:pStyle w:val="557"/>
            </w:pPr>
            <w:r>
              <w:rPr>
                <w:rFonts w:hint="eastAsia"/>
              </w:rPr>
              <w:t>502</w:t>
            </w:r>
          </w:p>
        </w:tc>
        <w:tc>
          <w:tcPr>
            <w:tcW w:w="1135" w:type="dxa"/>
            <w:vAlign w:val="center"/>
          </w:tcPr>
          <w:p w14:paraId="7018F718">
            <w:pPr>
              <w:pStyle w:val="557"/>
            </w:pPr>
            <w:r>
              <w:rPr>
                <w:rFonts w:hint="eastAsia"/>
              </w:rPr>
              <w:t>0.502</w:t>
            </w:r>
          </w:p>
        </w:tc>
      </w:tr>
      <w:tr w14:paraId="3DE3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1B976B0">
            <w:pPr>
              <w:pStyle w:val="557"/>
            </w:pPr>
            <w:r>
              <w:rPr>
                <w:rFonts w:hint="eastAsia"/>
              </w:rPr>
              <w:t>砷</w:t>
            </w:r>
          </w:p>
        </w:tc>
        <w:tc>
          <w:tcPr>
            <w:tcW w:w="992" w:type="dxa"/>
            <w:vAlign w:val="center"/>
          </w:tcPr>
          <w:p w14:paraId="630B0305">
            <w:pPr>
              <w:pStyle w:val="557"/>
            </w:pPr>
            <w:r>
              <w:t>μg/L</w:t>
            </w:r>
          </w:p>
        </w:tc>
        <w:tc>
          <w:tcPr>
            <w:tcW w:w="1106" w:type="dxa"/>
            <w:vAlign w:val="center"/>
          </w:tcPr>
          <w:p w14:paraId="387FC2CA">
            <w:pPr>
              <w:pStyle w:val="557"/>
            </w:pPr>
            <w:r>
              <w:t>10</w:t>
            </w:r>
          </w:p>
        </w:tc>
        <w:tc>
          <w:tcPr>
            <w:tcW w:w="1010" w:type="dxa"/>
            <w:vAlign w:val="center"/>
          </w:tcPr>
          <w:p w14:paraId="18608F69">
            <w:pPr>
              <w:pStyle w:val="557"/>
            </w:pPr>
            <w:r>
              <w:t>＜</w:t>
            </w:r>
            <w:r>
              <w:rPr>
                <w:rFonts w:hint="eastAsia"/>
              </w:rPr>
              <w:t>0.3</w:t>
            </w:r>
          </w:p>
        </w:tc>
        <w:tc>
          <w:tcPr>
            <w:tcW w:w="993" w:type="dxa"/>
            <w:vAlign w:val="center"/>
          </w:tcPr>
          <w:p w14:paraId="4B6A6252">
            <w:pPr>
              <w:pStyle w:val="557"/>
            </w:pPr>
            <w:r>
              <w:rPr>
                <w:rFonts w:hint="eastAsia"/>
              </w:rPr>
              <w:t>/</w:t>
            </w:r>
          </w:p>
        </w:tc>
        <w:tc>
          <w:tcPr>
            <w:tcW w:w="992" w:type="dxa"/>
            <w:vAlign w:val="center"/>
          </w:tcPr>
          <w:p w14:paraId="4B4ABFF3">
            <w:pPr>
              <w:pStyle w:val="557"/>
            </w:pPr>
            <w:r>
              <w:t>＜</w:t>
            </w:r>
            <w:r>
              <w:rPr>
                <w:rFonts w:hint="eastAsia"/>
              </w:rPr>
              <w:t>0.3</w:t>
            </w:r>
          </w:p>
        </w:tc>
        <w:tc>
          <w:tcPr>
            <w:tcW w:w="992" w:type="dxa"/>
            <w:vAlign w:val="center"/>
          </w:tcPr>
          <w:p w14:paraId="0DB2B728">
            <w:pPr>
              <w:pStyle w:val="557"/>
            </w:pPr>
            <w:r>
              <w:rPr>
                <w:rFonts w:hint="eastAsia"/>
              </w:rPr>
              <w:t>/</w:t>
            </w:r>
          </w:p>
        </w:tc>
        <w:tc>
          <w:tcPr>
            <w:tcW w:w="992" w:type="dxa"/>
            <w:vAlign w:val="center"/>
          </w:tcPr>
          <w:p w14:paraId="1C291FE6">
            <w:pPr>
              <w:pStyle w:val="557"/>
            </w:pPr>
            <w:r>
              <w:t>＜</w:t>
            </w:r>
            <w:r>
              <w:rPr>
                <w:rFonts w:hint="eastAsia"/>
              </w:rPr>
              <w:t>0.3</w:t>
            </w:r>
          </w:p>
        </w:tc>
        <w:tc>
          <w:tcPr>
            <w:tcW w:w="993" w:type="dxa"/>
            <w:vAlign w:val="center"/>
          </w:tcPr>
          <w:p w14:paraId="70B96E07">
            <w:pPr>
              <w:pStyle w:val="557"/>
            </w:pPr>
            <w:r>
              <w:rPr>
                <w:rFonts w:hint="eastAsia"/>
              </w:rPr>
              <w:t>/</w:t>
            </w:r>
          </w:p>
        </w:tc>
        <w:tc>
          <w:tcPr>
            <w:tcW w:w="850" w:type="dxa"/>
            <w:vAlign w:val="center"/>
          </w:tcPr>
          <w:p w14:paraId="14BEFA95">
            <w:pPr>
              <w:pStyle w:val="557"/>
            </w:pPr>
            <w:r>
              <w:t>＜</w:t>
            </w:r>
            <w:r>
              <w:rPr>
                <w:rFonts w:hint="eastAsia"/>
              </w:rPr>
              <w:t>0.3</w:t>
            </w:r>
          </w:p>
        </w:tc>
        <w:tc>
          <w:tcPr>
            <w:tcW w:w="1134" w:type="dxa"/>
            <w:vAlign w:val="center"/>
          </w:tcPr>
          <w:p w14:paraId="7D9FD94D">
            <w:pPr>
              <w:pStyle w:val="557"/>
            </w:pPr>
            <w:r>
              <w:rPr>
                <w:rFonts w:hint="eastAsia"/>
              </w:rPr>
              <w:t>/</w:t>
            </w:r>
          </w:p>
        </w:tc>
        <w:tc>
          <w:tcPr>
            <w:tcW w:w="850" w:type="dxa"/>
            <w:vAlign w:val="center"/>
          </w:tcPr>
          <w:p w14:paraId="7860617F">
            <w:pPr>
              <w:pStyle w:val="557"/>
            </w:pPr>
            <w:r>
              <w:t>＜</w:t>
            </w:r>
            <w:r>
              <w:rPr>
                <w:rFonts w:hint="eastAsia"/>
              </w:rPr>
              <w:t>0.3</w:t>
            </w:r>
          </w:p>
        </w:tc>
        <w:tc>
          <w:tcPr>
            <w:tcW w:w="1135" w:type="dxa"/>
            <w:vAlign w:val="center"/>
          </w:tcPr>
          <w:p w14:paraId="24892F2A">
            <w:pPr>
              <w:pStyle w:val="557"/>
            </w:pPr>
            <w:r>
              <w:rPr>
                <w:rFonts w:hint="eastAsia"/>
              </w:rPr>
              <w:t>/</w:t>
            </w:r>
          </w:p>
        </w:tc>
      </w:tr>
      <w:tr w14:paraId="6E85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B4EA96B">
            <w:pPr>
              <w:pStyle w:val="557"/>
            </w:pPr>
            <w:r>
              <w:rPr>
                <w:rFonts w:hint="eastAsia"/>
              </w:rPr>
              <w:t>镉</w:t>
            </w:r>
          </w:p>
        </w:tc>
        <w:tc>
          <w:tcPr>
            <w:tcW w:w="992" w:type="dxa"/>
            <w:vAlign w:val="center"/>
          </w:tcPr>
          <w:p w14:paraId="23C63C2C">
            <w:pPr>
              <w:pStyle w:val="557"/>
            </w:pPr>
            <w:r>
              <w:t>μg/L</w:t>
            </w:r>
          </w:p>
        </w:tc>
        <w:tc>
          <w:tcPr>
            <w:tcW w:w="1106" w:type="dxa"/>
            <w:vAlign w:val="center"/>
          </w:tcPr>
          <w:p w14:paraId="06FF36B6">
            <w:pPr>
              <w:pStyle w:val="557"/>
            </w:pPr>
            <w:r>
              <w:t>5</w:t>
            </w:r>
          </w:p>
        </w:tc>
        <w:tc>
          <w:tcPr>
            <w:tcW w:w="1010" w:type="dxa"/>
            <w:vAlign w:val="center"/>
          </w:tcPr>
          <w:p w14:paraId="07E2859D">
            <w:pPr>
              <w:pStyle w:val="557"/>
            </w:pPr>
            <w:r>
              <w:rPr>
                <w:rFonts w:hint="eastAsia"/>
              </w:rPr>
              <w:t>4</w:t>
            </w:r>
          </w:p>
        </w:tc>
        <w:tc>
          <w:tcPr>
            <w:tcW w:w="993" w:type="dxa"/>
            <w:vAlign w:val="center"/>
          </w:tcPr>
          <w:p w14:paraId="182C92EE">
            <w:pPr>
              <w:pStyle w:val="557"/>
            </w:pPr>
            <w:r>
              <w:rPr>
                <w:rFonts w:hint="eastAsia"/>
              </w:rPr>
              <w:t>0.8</w:t>
            </w:r>
          </w:p>
        </w:tc>
        <w:tc>
          <w:tcPr>
            <w:tcW w:w="992" w:type="dxa"/>
            <w:vAlign w:val="center"/>
          </w:tcPr>
          <w:p w14:paraId="010D8576">
            <w:pPr>
              <w:pStyle w:val="557"/>
            </w:pPr>
            <w:r>
              <w:rPr>
                <w:rFonts w:hint="eastAsia"/>
              </w:rPr>
              <w:t>4</w:t>
            </w:r>
          </w:p>
        </w:tc>
        <w:tc>
          <w:tcPr>
            <w:tcW w:w="992" w:type="dxa"/>
            <w:vAlign w:val="center"/>
          </w:tcPr>
          <w:p w14:paraId="7EC5C0E7">
            <w:pPr>
              <w:pStyle w:val="557"/>
            </w:pPr>
            <w:r>
              <w:rPr>
                <w:rFonts w:hint="eastAsia"/>
              </w:rPr>
              <w:t>0.8</w:t>
            </w:r>
          </w:p>
        </w:tc>
        <w:tc>
          <w:tcPr>
            <w:tcW w:w="992" w:type="dxa"/>
            <w:vAlign w:val="center"/>
          </w:tcPr>
          <w:p w14:paraId="0386513D">
            <w:pPr>
              <w:pStyle w:val="557"/>
            </w:pPr>
            <w:r>
              <w:rPr>
                <w:rFonts w:hint="eastAsia"/>
              </w:rPr>
              <w:t>4</w:t>
            </w:r>
          </w:p>
        </w:tc>
        <w:tc>
          <w:tcPr>
            <w:tcW w:w="993" w:type="dxa"/>
            <w:vAlign w:val="center"/>
          </w:tcPr>
          <w:p w14:paraId="52E73ECA">
            <w:pPr>
              <w:pStyle w:val="557"/>
            </w:pPr>
            <w:r>
              <w:rPr>
                <w:rFonts w:hint="eastAsia"/>
              </w:rPr>
              <w:t>0.8</w:t>
            </w:r>
          </w:p>
        </w:tc>
        <w:tc>
          <w:tcPr>
            <w:tcW w:w="850" w:type="dxa"/>
            <w:vAlign w:val="center"/>
          </w:tcPr>
          <w:p w14:paraId="0C60BCFA">
            <w:pPr>
              <w:pStyle w:val="557"/>
            </w:pPr>
            <w:r>
              <w:rPr>
                <w:rFonts w:hint="eastAsia"/>
              </w:rPr>
              <w:t>4</w:t>
            </w:r>
          </w:p>
        </w:tc>
        <w:tc>
          <w:tcPr>
            <w:tcW w:w="1134" w:type="dxa"/>
            <w:vAlign w:val="center"/>
          </w:tcPr>
          <w:p w14:paraId="763E8461">
            <w:pPr>
              <w:pStyle w:val="557"/>
            </w:pPr>
            <w:r>
              <w:rPr>
                <w:rFonts w:hint="eastAsia"/>
              </w:rPr>
              <w:t>0.8</w:t>
            </w:r>
          </w:p>
        </w:tc>
        <w:tc>
          <w:tcPr>
            <w:tcW w:w="850" w:type="dxa"/>
            <w:vAlign w:val="center"/>
          </w:tcPr>
          <w:p w14:paraId="57697AF8">
            <w:pPr>
              <w:pStyle w:val="557"/>
            </w:pPr>
            <w:r>
              <w:rPr>
                <w:rFonts w:hint="eastAsia"/>
              </w:rPr>
              <w:t>4</w:t>
            </w:r>
          </w:p>
        </w:tc>
        <w:tc>
          <w:tcPr>
            <w:tcW w:w="1135" w:type="dxa"/>
            <w:vAlign w:val="center"/>
          </w:tcPr>
          <w:p w14:paraId="049F4E25">
            <w:pPr>
              <w:pStyle w:val="557"/>
            </w:pPr>
            <w:r>
              <w:rPr>
                <w:rFonts w:hint="eastAsia"/>
              </w:rPr>
              <w:t>0.8</w:t>
            </w:r>
          </w:p>
        </w:tc>
      </w:tr>
      <w:tr w14:paraId="3D1D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151673E6">
            <w:pPr>
              <w:pStyle w:val="557"/>
            </w:pPr>
            <w:r>
              <w:rPr>
                <w:rFonts w:hint="eastAsia"/>
              </w:rPr>
              <w:t>锰</w:t>
            </w:r>
          </w:p>
        </w:tc>
        <w:tc>
          <w:tcPr>
            <w:tcW w:w="992" w:type="dxa"/>
            <w:vAlign w:val="center"/>
          </w:tcPr>
          <w:p w14:paraId="19690C42">
            <w:pPr>
              <w:pStyle w:val="557"/>
            </w:pPr>
            <w:r>
              <w:t>μg/L</w:t>
            </w:r>
          </w:p>
        </w:tc>
        <w:tc>
          <w:tcPr>
            <w:tcW w:w="1106" w:type="dxa"/>
            <w:vAlign w:val="center"/>
          </w:tcPr>
          <w:p w14:paraId="6E080150">
            <w:pPr>
              <w:pStyle w:val="557"/>
            </w:pPr>
            <w:r>
              <w:t>100</w:t>
            </w:r>
          </w:p>
        </w:tc>
        <w:tc>
          <w:tcPr>
            <w:tcW w:w="1010" w:type="dxa"/>
            <w:vAlign w:val="center"/>
          </w:tcPr>
          <w:p w14:paraId="442742E3">
            <w:pPr>
              <w:pStyle w:val="557"/>
            </w:pPr>
            <w:r>
              <w:rPr>
                <w:rFonts w:hint="eastAsia"/>
              </w:rPr>
              <w:t>4.2</w:t>
            </w:r>
          </w:p>
        </w:tc>
        <w:tc>
          <w:tcPr>
            <w:tcW w:w="993" w:type="dxa"/>
            <w:vAlign w:val="center"/>
          </w:tcPr>
          <w:p w14:paraId="313DDCCD">
            <w:pPr>
              <w:pStyle w:val="557"/>
            </w:pPr>
            <w:r>
              <w:rPr>
                <w:rFonts w:hint="eastAsia"/>
              </w:rPr>
              <w:t>0.042</w:t>
            </w:r>
          </w:p>
        </w:tc>
        <w:tc>
          <w:tcPr>
            <w:tcW w:w="992" w:type="dxa"/>
            <w:vAlign w:val="center"/>
          </w:tcPr>
          <w:p w14:paraId="2D4C7240">
            <w:pPr>
              <w:pStyle w:val="557"/>
            </w:pPr>
            <w:r>
              <w:rPr>
                <w:rFonts w:hint="eastAsia"/>
              </w:rPr>
              <w:t>2.7</w:t>
            </w:r>
          </w:p>
        </w:tc>
        <w:tc>
          <w:tcPr>
            <w:tcW w:w="992" w:type="dxa"/>
            <w:vAlign w:val="center"/>
          </w:tcPr>
          <w:p w14:paraId="68C7C98E">
            <w:pPr>
              <w:pStyle w:val="557"/>
            </w:pPr>
            <w:r>
              <w:rPr>
                <w:rFonts w:hint="eastAsia"/>
              </w:rPr>
              <w:t>0.027</w:t>
            </w:r>
          </w:p>
        </w:tc>
        <w:tc>
          <w:tcPr>
            <w:tcW w:w="992" w:type="dxa"/>
            <w:vAlign w:val="center"/>
          </w:tcPr>
          <w:p w14:paraId="538C314A">
            <w:pPr>
              <w:pStyle w:val="557"/>
            </w:pPr>
            <w:r>
              <w:t>＜</w:t>
            </w:r>
            <w:r>
              <w:rPr>
                <w:rFonts w:hint="eastAsia"/>
              </w:rPr>
              <w:t>0.5</w:t>
            </w:r>
          </w:p>
        </w:tc>
        <w:tc>
          <w:tcPr>
            <w:tcW w:w="993" w:type="dxa"/>
            <w:vAlign w:val="center"/>
          </w:tcPr>
          <w:p w14:paraId="444BC284">
            <w:pPr>
              <w:pStyle w:val="557"/>
            </w:pPr>
            <w:r>
              <w:rPr>
                <w:rFonts w:hint="eastAsia"/>
              </w:rPr>
              <w:t>0.005</w:t>
            </w:r>
          </w:p>
        </w:tc>
        <w:tc>
          <w:tcPr>
            <w:tcW w:w="850" w:type="dxa"/>
            <w:vAlign w:val="center"/>
          </w:tcPr>
          <w:p w14:paraId="29722B9B">
            <w:pPr>
              <w:pStyle w:val="557"/>
            </w:pPr>
            <w:r>
              <w:rPr>
                <w:rFonts w:hint="eastAsia"/>
              </w:rPr>
              <w:t>1.8</w:t>
            </w:r>
          </w:p>
        </w:tc>
        <w:tc>
          <w:tcPr>
            <w:tcW w:w="1134" w:type="dxa"/>
            <w:vAlign w:val="center"/>
          </w:tcPr>
          <w:p w14:paraId="1BFF9122">
            <w:pPr>
              <w:pStyle w:val="557"/>
            </w:pPr>
            <w:r>
              <w:rPr>
                <w:rFonts w:hint="eastAsia"/>
              </w:rPr>
              <w:t>0.018</w:t>
            </w:r>
          </w:p>
        </w:tc>
        <w:tc>
          <w:tcPr>
            <w:tcW w:w="850" w:type="dxa"/>
            <w:vAlign w:val="center"/>
          </w:tcPr>
          <w:p w14:paraId="366F8531">
            <w:pPr>
              <w:pStyle w:val="557"/>
            </w:pPr>
            <w:r>
              <w:rPr>
                <w:rFonts w:hint="eastAsia"/>
              </w:rPr>
              <w:t>5.1</w:t>
            </w:r>
          </w:p>
        </w:tc>
        <w:tc>
          <w:tcPr>
            <w:tcW w:w="1135" w:type="dxa"/>
            <w:vAlign w:val="center"/>
          </w:tcPr>
          <w:p w14:paraId="6F557959">
            <w:pPr>
              <w:pStyle w:val="557"/>
            </w:pPr>
            <w:r>
              <w:rPr>
                <w:rFonts w:hint="eastAsia"/>
              </w:rPr>
              <w:t>0.051</w:t>
            </w:r>
          </w:p>
        </w:tc>
      </w:tr>
      <w:tr w14:paraId="76D5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3ABE959">
            <w:pPr>
              <w:pStyle w:val="557"/>
            </w:pPr>
            <w:r>
              <w:rPr>
                <w:rFonts w:hint="eastAsia"/>
              </w:rPr>
              <w:t>铁</w:t>
            </w:r>
          </w:p>
        </w:tc>
        <w:tc>
          <w:tcPr>
            <w:tcW w:w="992" w:type="dxa"/>
            <w:vAlign w:val="center"/>
          </w:tcPr>
          <w:p w14:paraId="1523CF68">
            <w:pPr>
              <w:pStyle w:val="557"/>
            </w:pPr>
            <w:r>
              <w:t>μg/L</w:t>
            </w:r>
          </w:p>
        </w:tc>
        <w:tc>
          <w:tcPr>
            <w:tcW w:w="1106" w:type="dxa"/>
            <w:vAlign w:val="center"/>
          </w:tcPr>
          <w:p w14:paraId="19D8749E">
            <w:pPr>
              <w:pStyle w:val="557"/>
            </w:pPr>
            <w:r>
              <w:t>300</w:t>
            </w:r>
          </w:p>
        </w:tc>
        <w:tc>
          <w:tcPr>
            <w:tcW w:w="1010" w:type="dxa"/>
            <w:vAlign w:val="center"/>
          </w:tcPr>
          <w:p w14:paraId="1FFE8ED8">
            <w:pPr>
              <w:pStyle w:val="557"/>
            </w:pPr>
            <w:r>
              <w:rPr>
                <w:rFonts w:hint="eastAsia"/>
              </w:rPr>
              <w:t>44</w:t>
            </w:r>
          </w:p>
        </w:tc>
        <w:tc>
          <w:tcPr>
            <w:tcW w:w="993" w:type="dxa"/>
            <w:vAlign w:val="center"/>
          </w:tcPr>
          <w:p w14:paraId="03BAA5DA">
            <w:pPr>
              <w:pStyle w:val="557"/>
            </w:pPr>
            <w:r>
              <w:rPr>
                <w:rFonts w:hint="eastAsia"/>
              </w:rPr>
              <w:t>0.147</w:t>
            </w:r>
          </w:p>
        </w:tc>
        <w:tc>
          <w:tcPr>
            <w:tcW w:w="992" w:type="dxa"/>
            <w:vAlign w:val="center"/>
          </w:tcPr>
          <w:p w14:paraId="2A794435">
            <w:pPr>
              <w:pStyle w:val="557"/>
            </w:pPr>
            <w:r>
              <w:rPr>
                <w:rFonts w:hint="eastAsia"/>
              </w:rPr>
              <w:t>14.0</w:t>
            </w:r>
          </w:p>
        </w:tc>
        <w:tc>
          <w:tcPr>
            <w:tcW w:w="992" w:type="dxa"/>
            <w:vAlign w:val="center"/>
          </w:tcPr>
          <w:p w14:paraId="093A7EF2">
            <w:pPr>
              <w:pStyle w:val="557"/>
            </w:pPr>
            <w:r>
              <w:rPr>
                <w:rFonts w:hint="eastAsia"/>
              </w:rPr>
              <w:t>0.047</w:t>
            </w:r>
          </w:p>
        </w:tc>
        <w:tc>
          <w:tcPr>
            <w:tcW w:w="992" w:type="dxa"/>
            <w:vAlign w:val="center"/>
          </w:tcPr>
          <w:p w14:paraId="2424CDA7">
            <w:pPr>
              <w:pStyle w:val="557"/>
            </w:pPr>
            <w:r>
              <w:rPr>
                <w:rFonts w:hint="eastAsia"/>
              </w:rPr>
              <w:t>7.3</w:t>
            </w:r>
          </w:p>
        </w:tc>
        <w:tc>
          <w:tcPr>
            <w:tcW w:w="993" w:type="dxa"/>
            <w:vAlign w:val="center"/>
          </w:tcPr>
          <w:p w14:paraId="32F23AF0">
            <w:pPr>
              <w:pStyle w:val="557"/>
            </w:pPr>
            <w:r>
              <w:rPr>
                <w:rFonts w:hint="eastAsia"/>
              </w:rPr>
              <w:t>0.024</w:t>
            </w:r>
          </w:p>
        </w:tc>
        <w:tc>
          <w:tcPr>
            <w:tcW w:w="850" w:type="dxa"/>
            <w:vAlign w:val="center"/>
          </w:tcPr>
          <w:p w14:paraId="11CBD6AB">
            <w:pPr>
              <w:pStyle w:val="557"/>
            </w:pPr>
            <w:r>
              <w:rPr>
                <w:rFonts w:hint="eastAsia"/>
              </w:rPr>
              <w:t>27.6</w:t>
            </w:r>
          </w:p>
        </w:tc>
        <w:tc>
          <w:tcPr>
            <w:tcW w:w="1134" w:type="dxa"/>
            <w:vAlign w:val="center"/>
          </w:tcPr>
          <w:p w14:paraId="53F70A8D">
            <w:pPr>
              <w:pStyle w:val="557"/>
            </w:pPr>
            <w:r>
              <w:rPr>
                <w:rFonts w:hint="eastAsia"/>
              </w:rPr>
              <w:t>0.092</w:t>
            </w:r>
          </w:p>
        </w:tc>
        <w:tc>
          <w:tcPr>
            <w:tcW w:w="850" w:type="dxa"/>
            <w:vAlign w:val="center"/>
          </w:tcPr>
          <w:p w14:paraId="475CB869">
            <w:pPr>
              <w:pStyle w:val="557"/>
            </w:pPr>
            <w:r>
              <w:rPr>
                <w:rFonts w:hint="eastAsia"/>
              </w:rPr>
              <w:t>84.7</w:t>
            </w:r>
          </w:p>
        </w:tc>
        <w:tc>
          <w:tcPr>
            <w:tcW w:w="1135" w:type="dxa"/>
            <w:vAlign w:val="center"/>
          </w:tcPr>
          <w:p w14:paraId="4B1B7148">
            <w:pPr>
              <w:pStyle w:val="557"/>
            </w:pPr>
            <w:r>
              <w:rPr>
                <w:rFonts w:hint="eastAsia"/>
              </w:rPr>
              <w:t>0.282</w:t>
            </w:r>
          </w:p>
        </w:tc>
      </w:tr>
      <w:tr w14:paraId="39B2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7DAF26EB">
            <w:pPr>
              <w:pStyle w:val="557"/>
            </w:pPr>
            <w:r>
              <w:rPr>
                <w:rFonts w:hint="eastAsia"/>
              </w:rPr>
              <w:t>铅</w:t>
            </w:r>
          </w:p>
        </w:tc>
        <w:tc>
          <w:tcPr>
            <w:tcW w:w="992" w:type="dxa"/>
            <w:vAlign w:val="center"/>
          </w:tcPr>
          <w:p w14:paraId="43750A85">
            <w:pPr>
              <w:pStyle w:val="557"/>
            </w:pPr>
            <w:r>
              <w:t>μg/L</w:t>
            </w:r>
          </w:p>
        </w:tc>
        <w:tc>
          <w:tcPr>
            <w:tcW w:w="1106" w:type="dxa"/>
            <w:vAlign w:val="center"/>
          </w:tcPr>
          <w:p w14:paraId="7C21619C">
            <w:pPr>
              <w:pStyle w:val="557"/>
            </w:pPr>
            <w:r>
              <w:t>10</w:t>
            </w:r>
          </w:p>
        </w:tc>
        <w:tc>
          <w:tcPr>
            <w:tcW w:w="1010" w:type="dxa"/>
            <w:vAlign w:val="center"/>
          </w:tcPr>
          <w:p w14:paraId="27AAA0F3">
            <w:pPr>
              <w:pStyle w:val="557"/>
            </w:pPr>
            <w:r>
              <w:t>＜</w:t>
            </w:r>
            <w:r>
              <w:rPr>
                <w:rFonts w:hint="eastAsia"/>
              </w:rPr>
              <w:t>2.5</w:t>
            </w:r>
          </w:p>
        </w:tc>
        <w:tc>
          <w:tcPr>
            <w:tcW w:w="993" w:type="dxa"/>
            <w:vAlign w:val="center"/>
          </w:tcPr>
          <w:p w14:paraId="57ED46BE">
            <w:pPr>
              <w:pStyle w:val="557"/>
            </w:pPr>
            <w:r>
              <w:rPr>
                <w:rFonts w:hint="eastAsia"/>
              </w:rPr>
              <w:t>/</w:t>
            </w:r>
          </w:p>
        </w:tc>
        <w:tc>
          <w:tcPr>
            <w:tcW w:w="992" w:type="dxa"/>
            <w:vAlign w:val="center"/>
          </w:tcPr>
          <w:p w14:paraId="44BFD744">
            <w:pPr>
              <w:pStyle w:val="557"/>
            </w:pPr>
            <w:r>
              <w:t>＜</w:t>
            </w:r>
            <w:r>
              <w:rPr>
                <w:rFonts w:hint="eastAsia"/>
              </w:rPr>
              <w:t>2.5</w:t>
            </w:r>
          </w:p>
        </w:tc>
        <w:tc>
          <w:tcPr>
            <w:tcW w:w="992" w:type="dxa"/>
            <w:vAlign w:val="center"/>
          </w:tcPr>
          <w:p w14:paraId="0EB2294B">
            <w:pPr>
              <w:pStyle w:val="557"/>
            </w:pPr>
            <w:r>
              <w:rPr>
                <w:rFonts w:hint="eastAsia"/>
              </w:rPr>
              <w:t>/</w:t>
            </w:r>
          </w:p>
        </w:tc>
        <w:tc>
          <w:tcPr>
            <w:tcW w:w="992" w:type="dxa"/>
            <w:vAlign w:val="center"/>
          </w:tcPr>
          <w:p w14:paraId="63E6D0B3">
            <w:pPr>
              <w:pStyle w:val="557"/>
            </w:pPr>
            <w:r>
              <w:t>＜</w:t>
            </w:r>
            <w:r>
              <w:rPr>
                <w:rFonts w:hint="eastAsia"/>
              </w:rPr>
              <w:t>2.5</w:t>
            </w:r>
          </w:p>
        </w:tc>
        <w:tc>
          <w:tcPr>
            <w:tcW w:w="993" w:type="dxa"/>
            <w:vAlign w:val="center"/>
          </w:tcPr>
          <w:p w14:paraId="28E1548C">
            <w:pPr>
              <w:pStyle w:val="557"/>
            </w:pPr>
            <w:r>
              <w:rPr>
                <w:rFonts w:hint="eastAsia"/>
              </w:rPr>
              <w:t>/</w:t>
            </w:r>
          </w:p>
        </w:tc>
        <w:tc>
          <w:tcPr>
            <w:tcW w:w="850" w:type="dxa"/>
            <w:vAlign w:val="center"/>
          </w:tcPr>
          <w:p w14:paraId="67753974">
            <w:pPr>
              <w:pStyle w:val="557"/>
            </w:pPr>
            <w:r>
              <w:t>＜</w:t>
            </w:r>
            <w:r>
              <w:rPr>
                <w:rFonts w:hint="eastAsia"/>
              </w:rPr>
              <w:t>2.5</w:t>
            </w:r>
          </w:p>
        </w:tc>
        <w:tc>
          <w:tcPr>
            <w:tcW w:w="1134" w:type="dxa"/>
            <w:vAlign w:val="center"/>
          </w:tcPr>
          <w:p w14:paraId="1729F2A2">
            <w:pPr>
              <w:pStyle w:val="557"/>
            </w:pPr>
            <w:r>
              <w:rPr>
                <w:rFonts w:hint="eastAsia"/>
              </w:rPr>
              <w:t>/</w:t>
            </w:r>
          </w:p>
        </w:tc>
        <w:tc>
          <w:tcPr>
            <w:tcW w:w="850" w:type="dxa"/>
            <w:vAlign w:val="center"/>
          </w:tcPr>
          <w:p w14:paraId="3F4DDC03">
            <w:pPr>
              <w:pStyle w:val="557"/>
            </w:pPr>
            <w:r>
              <w:t>＜</w:t>
            </w:r>
            <w:r>
              <w:rPr>
                <w:rFonts w:hint="eastAsia"/>
              </w:rPr>
              <w:t>2.5</w:t>
            </w:r>
          </w:p>
        </w:tc>
        <w:tc>
          <w:tcPr>
            <w:tcW w:w="1135" w:type="dxa"/>
            <w:vAlign w:val="center"/>
          </w:tcPr>
          <w:p w14:paraId="28FE2A8B">
            <w:pPr>
              <w:pStyle w:val="557"/>
            </w:pPr>
            <w:r>
              <w:rPr>
                <w:rFonts w:hint="eastAsia"/>
              </w:rPr>
              <w:t>/</w:t>
            </w:r>
          </w:p>
        </w:tc>
      </w:tr>
      <w:tr w14:paraId="4A6A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0398ABC">
            <w:pPr>
              <w:pStyle w:val="557"/>
            </w:pPr>
            <w:r>
              <w:rPr>
                <w:rFonts w:hint="eastAsia"/>
              </w:rPr>
              <w:t>汞</w:t>
            </w:r>
          </w:p>
        </w:tc>
        <w:tc>
          <w:tcPr>
            <w:tcW w:w="992" w:type="dxa"/>
            <w:vAlign w:val="center"/>
          </w:tcPr>
          <w:p w14:paraId="5A8C2151">
            <w:pPr>
              <w:pStyle w:val="557"/>
            </w:pPr>
            <w:r>
              <w:t>μg/L</w:t>
            </w:r>
          </w:p>
        </w:tc>
        <w:tc>
          <w:tcPr>
            <w:tcW w:w="1106" w:type="dxa"/>
            <w:vAlign w:val="center"/>
          </w:tcPr>
          <w:p w14:paraId="4CE70428">
            <w:pPr>
              <w:pStyle w:val="557"/>
            </w:pPr>
            <w:r>
              <w:t>1</w:t>
            </w:r>
          </w:p>
        </w:tc>
        <w:tc>
          <w:tcPr>
            <w:tcW w:w="1010" w:type="dxa"/>
            <w:vAlign w:val="center"/>
          </w:tcPr>
          <w:p w14:paraId="5597434E">
            <w:pPr>
              <w:pStyle w:val="557"/>
            </w:pPr>
            <w:r>
              <w:t>＜</w:t>
            </w:r>
            <w:r>
              <w:rPr>
                <w:rFonts w:hint="eastAsia"/>
              </w:rPr>
              <w:t>0.04</w:t>
            </w:r>
          </w:p>
        </w:tc>
        <w:tc>
          <w:tcPr>
            <w:tcW w:w="993" w:type="dxa"/>
            <w:vAlign w:val="center"/>
          </w:tcPr>
          <w:p w14:paraId="26FDD9D5">
            <w:pPr>
              <w:pStyle w:val="557"/>
            </w:pPr>
            <w:r>
              <w:rPr>
                <w:rFonts w:hint="eastAsia"/>
              </w:rPr>
              <w:t>/</w:t>
            </w:r>
          </w:p>
        </w:tc>
        <w:tc>
          <w:tcPr>
            <w:tcW w:w="992" w:type="dxa"/>
            <w:vAlign w:val="center"/>
          </w:tcPr>
          <w:p w14:paraId="739A99B1">
            <w:pPr>
              <w:pStyle w:val="557"/>
            </w:pPr>
            <w:r>
              <w:t>＜</w:t>
            </w:r>
            <w:r>
              <w:rPr>
                <w:rFonts w:hint="eastAsia"/>
              </w:rPr>
              <w:t>0.04</w:t>
            </w:r>
          </w:p>
        </w:tc>
        <w:tc>
          <w:tcPr>
            <w:tcW w:w="992" w:type="dxa"/>
            <w:vAlign w:val="center"/>
          </w:tcPr>
          <w:p w14:paraId="0D0708ED">
            <w:pPr>
              <w:pStyle w:val="557"/>
            </w:pPr>
            <w:r>
              <w:rPr>
                <w:rFonts w:hint="eastAsia"/>
              </w:rPr>
              <w:t>/</w:t>
            </w:r>
          </w:p>
        </w:tc>
        <w:tc>
          <w:tcPr>
            <w:tcW w:w="992" w:type="dxa"/>
            <w:vAlign w:val="center"/>
          </w:tcPr>
          <w:p w14:paraId="61EE15AE">
            <w:pPr>
              <w:pStyle w:val="557"/>
            </w:pPr>
            <w:r>
              <w:t>＜</w:t>
            </w:r>
            <w:r>
              <w:rPr>
                <w:rFonts w:hint="eastAsia"/>
              </w:rPr>
              <w:t>0.04</w:t>
            </w:r>
          </w:p>
        </w:tc>
        <w:tc>
          <w:tcPr>
            <w:tcW w:w="993" w:type="dxa"/>
            <w:vAlign w:val="center"/>
          </w:tcPr>
          <w:p w14:paraId="05C2AD26">
            <w:pPr>
              <w:pStyle w:val="557"/>
            </w:pPr>
            <w:r>
              <w:rPr>
                <w:rFonts w:hint="eastAsia"/>
              </w:rPr>
              <w:t>/</w:t>
            </w:r>
          </w:p>
        </w:tc>
        <w:tc>
          <w:tcPr>
            <w:tcW w:w="850" w:type="dxa"/>
            <w:vAlign w:val="center"/>
          </w:tcPr>
          <w:p w14:paraId="187944BA">
            <w:pPr>
              <w:pStyle w:val="557"/>
            </w:pPr>
            <w:r>
              <w:t>＜</w:t>
            </w:r>
            <w:r>
              <w:rPr>
                <w:rFonts w:hint="eastAsia"/>
              </w:rPr>
              <w:t>0.04</w:t>
            </w:r>
          </w:p>
        </w:tc>
        <w:tc>
          <w:tcPr>
            <w:tcW w:w="1134" w:type="dxa"/>
            <w:vAlign w:val="center"/>
          </w:tcPr>
          <w:p w14:paraId="7F4E56B4">
            <w:pPr>
              <w:pStyle w:val="557"/>
            </w:pPr>
            <w:r>
              <w:rPr>
                <w:rFonts w:hint="eastAsia"/>
              </w:rPr>
              <w:t>/</w:t>
            </w:r>
          </w:p>
        </w:tc>
        <w:tc>
          <w:tcPr>
            <w:tcW w:w="850" w:type="dxa"/>
            <w:vAlign w:val="center"/>
          </w:tcPr>
          <w:p w14:paraId="7B612E00">
            <w:pPr>
              <w:pStyle w:val="557"/>
            </w:pPr>
            <w:r>
              <w:t>＜</w:t>
            </w:r>
            <w:r>
              <w:rPr>
                <w:rFonts w:hint="eastAsia"/>
              </w:rPr>
              <w:t>0.04</w:t>
            </w:r>
          </w:p>
        </w:tc>
        <w:tc>
          <w:tcPr>
            <w:tcW w:w="1135" w:type="dxa"/>
            <w:vAlign w:val="center"/>
          </w:tcPr>
          <w:p w14:paraId="5A2EA485">
            <w:pPr>
              <w:pStyle w:val="557"/>
            </w:pPr>
            <w:r>
              <w:rPr>
                <w:rFonts w:hint="eastAsia"/>
              </w:rPr>
              <w:t>/</w:t>
            </w:r>
          </w:p>
        </w:tc>
      </w:tr>
      <w:tr w14:paraId="040A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6CEB4160">
            <w:pPr>
              <w:pStyle w:val="557"/>
            </w:pPr>
            <w:r>
              <w:rPr>
                <w:rFonts w:hint="eastAsia"/>
              </w:rPr>
              <w:t>耗氧量</w:t>
            </w:r>
          </w:p>
        </w:tc>
        <w:tc>
          <w:tcPr>
            <w:tcW w:w="992" w:type="dxa"/>
            <w:vAlign w:val="center"/>
          </w:tcPr>
          <w:p w14:paraId="1837E4A8">
            <w:pPr>
              <w:pStyle w:val="557"/>
            </w:pPr>
            <w:r>
              <w:t>mg/L</w:t>
            </w:r>
          </w:p>
        </w:tc>
        <w:tc>
          <w:tcPr>
            <w:tcW w:w="1106" w:type="dxa"/>
            <w:vAlign w:val="center"/>
          </w:tcPr>
          <w:p w14:paraId="334BC059">
            <w:pPr>
              <w:pStyle w:val="557"/>
            </w:pPr>
            <w:r>
              <w:rPr>
                <w:rFonts w:hint="eastAsia"/>
              </w:rPr>
              <w:t>3</w:t>
            </w:r>
          </w:p>
        </w:tc>
        <w:tc>
          <w:tcPr>
            <w:tcW w:w="1010" w:type="dxa"/>
            <w:vAlign w:val="center"/>
          </w:tcPr>
          <w:p w14:paraId="7C1EDC76">
            <w:pPr>
              <w:pStyle w:val="557"/>
            </w:pPr>
            <w:r>
              <w:rPr>
                <w:rFonts w:hint="eastAsia"/>
              </w:rPr>
              <w:t>0.84</w:t>
            </w:r>
          </w:p>
        </w:tc>
        <w:tc>
          <w:tcPr>
            <w:tcW w:w="993" w:type="dxa"/>
            <w:vAlign w:val="center"/>
          </w:tcPr>
          <w:p w14:paraId="46FC9BAB">
            <w:pPr>
              <w:pStyle w:val="557"/>
            </w:pPr>
            <w:r>
              <w:t>0.28</w:t>
            </w:r>
          </w:p>
        </w:tc>
        <w:tc>
          <w:tcPr>
            <w:tcW w:w="992" w:type="dxa"/>
            <w:vAlign w:val="center"/>
          </w:tcPr>
          <w:p w14:paraId="63ECD240">
            <w:pPr>
              <w:pStyle w:val="557"/>
            </w:pPr>
            <w:r>
              <w:t>0.8</w:t>
            </w:r>
          </w:p>
        </w:tc>
        <w:tc>
          <w:tcPr>
            <w:tcW w:w="992" w:type="dxa"/>
            <w:vAlign w:val="center"/>
          </w:tcPr>
          <w:p w14:paraId="0F4AC702">
            <w:pPr>
              <w:pStyle w:val="557"/>
            </w:pPr>
            <w:r>
              <w:t>0.266</w:t>
            </w:r>
          </w:p>
        </w:tc>
        <w:tc>
          <w:tcPr>
            <w:tcW w:w="992" w:type="dxa"/>
            <w:vAlign w:val="center"/>
          </w:tcPr>
          <w:p w14:paraId="42C13E77">
            <w:pPr>
              <w:pStyle w:val="557"/>
            </w:pPr>
            <w:r>
              <w:t>0.83</w:t>
            </w:r>
          </w:p>
        </w:tc>
        <w:tc>
          <w:tcPr>
            <w:tcW w:w="993" w:type="dxa"/>
            <w:vAlign w:val="center"/>
          </w:tcPr>
          <w:p w14:paraId="0A86318D">
            <w:pPr>
              <w:pStyle w:val="557"/>
            </w:pPr>
            <w:r>
              <w:t>0.276</w:t>
            </w:r>
          </w:p>
        </w:tc>
        <w:tc>
          <w:tcPr>
            <w:tcW w:w="850" w:type="dxa"/>
            <w:vAlign w:val="center"/>
          </w:tcPr>
          <w:p w14:paraId="5927AB4A">
            <w:pPr>
              <w:pStyle w:val="557"/>
            </w:pPr>
            <w:r>
              <w:t>0.85</w:t>
            </w:r>
          </w:p>
        </w:tc>
        <w:tc>
          <w:tcPr>
            <w:tcW w:w="1134" w:type="dxa"/>
            <w:vAlign w:val="center"/>
          </w:tcPr>
          <w:p w14:paraId="61E31125">
            <w:pPr>
              <w:pStyle w:val="557"/>
            </w:pPr>
            <w:r>
              <w:t>0.283</w:t>
            </w:r>
          </w:p>
        </w:tc>
        <w:tc>
          <w:tcPr>
            <w:tcW w:w="850" w:type="dxa"/>
            <w:vAlign w:val="center"/>
          </w:tcPr>
          <w:p w14:paraId="5F159B6C">
            <w:pPr>
              <w:pStyle w:val="557"/>
            </w:pPr>
            <w:r>
              <w:t>0.97</w:t>
            </w:r>
          </w:p>
        </w:tc>
        <w:tc>
          <w:tcPr>
            <w:tcW w:w="1135" w:type="dxa"/>
            <w:vAlign w:val="center"/>
          </w:tcPr>
          <w:p w14:paraId="5AF8560D">
            <w:pPr>
              <w:pStyle w:val="557"/>
            </w:pPr>
            <w:r>
              <w:t>0.323</w:t>
            </w:r>
          </w:p>
        </w:tc>
      </w:tr>
      <w:tr w14:paraId="2770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0F978FBF">
            <w:pPr>
              <w:pStyle w:val="557"/>
            </w:pPr>
            <w:r>
              <w:rPr>
                <w:rFonts w:hint="eastAsia"/>
              </w:rPr>
              <w:t>氰化物</w:t>
            </w:r>
          </w:p>
        </w:tc>
        <w:tc>
          <w:tcPr>
            <w:tcW w:w="992" w:type="dxa"/>
            <w:vAlign w:val="center"/>
          </w:tcPr>
          <w:p w14:paraId="4472567F">
            <w:pPr>
              <w:pStyle w:val="557"/>
            </w:pPr>
            <w:r>
              <w:t>mg/L</w:t>
            </w:r>
          </w:p>
        </w:tc>
        <w:tc>
          <w:tcPr>
            <w:tcW w:w="1106" w:type="dxa"/>
            <w:vAlign w:val="center"/>
          </w:tcPr>
          <w:p w14:paraId="716D243E">
            <w:pPr>
              <w:pStyle w:val="557"/>
            </w:pPr>
            <w:r>
              <w:t>0.05</w:t>
            </w:r>
          </w:p>
        </w:tc>
        <w:tc>
          <w:tcPr>
            <w:tcW w:w="1010" w:type="dxa"/>
            <w:vAlign w:val="center"/>
          </w:tcPr>
          <w:p w14:paraId="03146420">
            <w:pPr>
              <w:pStyle w:val="557"/>
            </w:pPr>
            <w:r>
              <w:t>＜</w:t>
            </w:r>
            <w:r>
              <w:rPr>
                <w:rFonts w:hint="eastAsia"/>
              </w:rPr>
              <w:t>0.001</w:t>
            </w:r>
          </w:p>
        </w:tc>
        <w:tc>
          <w:tcPr>
            <w:tcW w:w="993" w:type="dxa"/>
            <w:vAlign w:val="center"/>
          </w:tcPr>
          <w:p w14:paraId="4051CE02">
            <w:pPr>
              <w:pStyle w:val="557"/>
            </w:pPr>
            <w:r>
              <w:rPr>
                <w:rFonts w:hint="eastAsia"/>
              </w:rPr>
              <w:t>/</w:t>
            </w:r>
          </w:p>
        </w:tc>
        <w:tc>
          <w:tcPr>
            <w:tcW w:w="992" w:type="dxa"/>
            <w:vAlign w:val="center"/>
          </w:tcPr>
          <w:p w14:paraId="1D58E6EB">
            <w:pPr>
              <w:pStyle w:val="557"/>
            </w:pPr>
            <w:r>
              <w:t>＜</w:t>
            </w:r>
            <w:r>
              <w:rPr>
                <w:rFonts w:hint="eastAsia"/>
              </w:rPr>
              <w:t>0.001</w:t>
            </w:r>
          </w:p>
        </w:tc>
        <w:tc>
          <w:tcPr>
            <w:tcW w:w="992" w:type="dxa"/>
            <w:vAlign w:val="center"/>
          </w:tcPr>
          <w:p w14:paraId="769F74B9">
            <w:pPr>
              <w:pStyle w:val="557"/>
            </w:pPr>
            <w:r>
              <w:rPr>
                <w:rFonts w:hint="eastAsia"/>
              </w:rPr>
              <w:t>/</w:t>
            </w:r>
          </w:p>
        </w:tc>
        <w:tc>
          <w:tcPr>
            <w:tcW w:w="992" w:type="dxa"/>
            <w:vAlign w:val="center"/>
          </w:tcPr>
          <w:p w14:paraId="5E4DD59E">
            <w:pPr>
              <w:pStyle w:val="557"/>
            </w:pPr>
            <w:r>
              <w:t>＜</w:t>
            </w:r>
            <w:r>
              <w:rPr>
                <w:rFonts w:hint="eastAsia"/>
              </w:rPr>
              <w:t>0.001</w:t>
            </w:r>
          </w:p>
        </w:tc>
        <w:tc>
          <w:tcPr>
            <w:tcW w:w="993" w:type="dxa"/>
            <w:vAlign w:val="center"/>
          </w:tcPr>
          <w:p w14:paraId="6B08E457">
            <w:pPr>
              <w:pStyle w:val="557"/>
            </w:pPr>
            <w:r>
              <w:rPr>
                <w:rFonts w:hint="eastAsia"/>
              </w:rPr>
              <w:t>/</w:t>
            </w:r>
          </w:p>
        </w:tc>
        <w:tc>
          <w:tcPr>
            <w:tcW w:w="850" w:type="dxa"/>
            <w:vAlign w:val="center"/>
          </w:tcPr>
          <w:p w14:paraId="4F2CC48E">
            <w:pPr>
              <w:pStyle w:val="557"/>
            </w:pPr>
            <w:r>
              <w:t>＜</w:t>
            </w:r>
            <w:r>
              <w:rPr>
                <w:rFonts w:hint="eastAsia"/>
              </w:rPr>
              <w:t>0.001</w:t>
            </w:r>
          </w:p>
        </w:tc>
        <w:tc>
          <w:tcPr>
            <w:tcW w:w="1134" w:type="dxa"/>
            <w:vAlign w:val="center"/>
          </w:tcPr>
          <w:p w14:paraId="037D6B9C">
            <w:pPr>
              <w:pStyle w:val="557"/>
            </w:pPr>
            <w:r>
              <w:rPr>
                <w:rFonts w:hint="eastAsia"/>
              </w:rPr>
              <w:t>/</w:t>
            </w:r>
          </w:p>
        </w:tc>
        <w:tc>
          <w:tcPr>
            <w:tcW w:w="850" w:type="dxa"/>
            <w:vAlign w:val="center"/>
          </w:tcPr>
          <w:p w14:paraId="7D95E1FC">
            <w:pPr>
              <w:pStyle w:val="557"/>
            </w:pPr>
            <w:r>
              <w:t>＜</w:t>
            </w:r>
            <w:r>
              <w:rPr>
                <w:rFonts w:hint="eastAsia"/>
              </w:rPr>
              <w:t>0.001</w:t>
            </w:r>
          </w:p>
        </w:tc>
        <w:tc>
          <w:tcPr>
            <w:tcW w:w="1135" w:type="dxa"/>
            <w:vAlign w:val="center"/>
          </w:tcPr>
          <w:p w14:paraId="7A0B8817">
            <w:pPr>
              <w:pStyle w:val="557"/>
            </w:pPr>
            <w:r>
              <w:rPr>
                <w:rFonts w:hint="eastAsia"/>
              </w:rPr>
              <w:t>/</w:t>
            </w:r>
          </w:p>
        </w:tc>
      </w:tr>
      <w:tr w14:paraId="204E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D21CCDB">
            <w:pPr>
              <w:pStyle w:val="557"/>
            </w:pPr>
            <w:r>
              <w:rPr>
                <w:rFonts w:hint="eastAsia"/>
              </w:rPr>
              <w:t>氟化物</w:t>
            </w:r>
          </w:p>
        </w:tc>
        <w:tc>
          <w:tcPr>
            <w:tcW w:w="992" w:type="dxa"/>
            <w:vAlign w:val="center"/>
          </w:tcPr>
          <w:p w14:paraId="04BCBCFD">
            <w:pPr>
              <w:pStyle w:val="557"/>
            </w:pPr>
            <w:r>
              <w:t>mg/L</w:t>
            </w:r>
          </w:p>
        </w:tc>
        <w:tc>
          <w:tcPr>
            <w:tcW w:w="1106" w:type="dxa"/>
            <w:vAlign w:val="center"/>
          </w:tcPr>
          <w:p w14:paraId="57AAD7B4">
            <w:pPr>
              <w:pStyle w:val="557"/>
            </w:pPr>
            <w:r>
              <w:t>1.0</w:t>
            </w:r>
          </w:p>
        </w:tc>
        <w:tc>
          <w:tcPr>
            <w:tcW w:w="1010" w:type="dxa"/>
            <w:vAlign w:val="center"/>
          </w:tcPr>
          <w:p w14:paraId="5021EB28">
            <w:pPr>
              <w:pStyle w:val="557"/>
            </w:pPr>
            <w:r>
              <w:rPr>
                <w:rFonts w:hint="eastAsia"/>
              </w:rPr>
              <w:t>0.52</w:t>
            </w:r>
          </w:p>
        </w:tc>
        <w:tc>
          <w:tcPr>
            <w:tcW w:w="993" w:type="dxa"/>
            <w:vAlign w:val="center"/>
          </w:tcPr>
          <w:p w14:paraId="40474468">
            <w:pPr>
              <w:pStyle w:val="557"/>
            </w:pPr>
            <w:r>
              <w:rPr>
                <w:rFonts w:hint="eastAsia"/>
              </w:rPr>
              <w:t>0.52</w:t>
            </w:r>
          </w:p>
        </w:tc>
        <w:tc>
          <w:tcPr>
            <w:tcW w:w="992" w:type="dxa"/>
            <w:vAlign w:val="center"/>
          </w:tcPr>
          <w:p w14:paraId="091832AF">
            <w:pPr>
              <w:pStyle w:val="557"/>
            </w:pPr>
            <w:r>
              <w:rPr>
                <w:rFonts w:hint="eastAsia"/>
              </w:rPr>
              <w:t>0.61</w:t>
            </w:r>
          </w:p>
        </w:tc>
        <w:tc>
          <w:tcPr>
            <w:tcW w:w="992" w:type="dxa"/>
            <w:vAlign w:val="center"/>
          </w:tcPr>
          <w:p w14:paraId="005D2271">
            <w:pPr>
              <w:pStyle w:val="557"/>
            </w:pPr>
            <w:r>
              <w:rPr>
                <w:rFonts w:hint="eastAsia"/>
              </w:rPr>
              <w:t>0.61</w:t>
            </w:r>
          </w:p>
        </w:tc>
        <w:tc>
          <w:tcPr>
            <w:tcW w:w="992" w:type="dxa"/>
            <w:vAlign w:val="center"/>
          </w:tcPr>
          <w:p w14:paraId="0FFF0BBD">
            <w:pPr>
              <w:pStyle w:val="557"/>
            </w:pPr>
            <w:r>
              <w:rPr>
                <w:rFonts w:hint="eastAsia"/>
              </w:rPr>
              <w:t>0.44</w:t>
            </w:r>
          </w:p>
        </w:tc>
        <w:tc>
          <w:tcPr>
            <w:tcW w:w="993" w:type="dxa"/>
            <w:vAlign w:val="center"/>
          </w:tcPr>
          <w:p w14:paraId="46721E77">
            <w:pPr>
              <w:pStyle w:val="557"/>
            </w:pPr>
            <w:r>
              <w:rPr>
                <w:rFonts w:hint="eastAsia"/>
              </w:rPr>
              <w:t>0.44</w:t>
            </w:r>
          </w:p>
        </w:tc>
        <w:tc>
          <w:tcPr>
            <w:tcW w:w="850" w:type="dxa"/>
            <w:vAlign w:val="center"/>
          </w:tcPr>
          <w:p w14:paraId="2307840B">
            <w:pPr>
              <w:pStyle w:val="557"/>
            </w:pPr>
            <w:r>
              <w:rPr>
                <w:rFonts w:hint="eastAsia"/>
              </w:rPr>
              <w:t>0.41</w:t>
            </w:r>
          </w:p>
        </w:tc>
        <w:tc>
          <w:tcPr>
            <w:tcW w:w="1134" w:type="dxa"/>
            <w:vAlign w:val="center"/>
          </w:tcPr>
          <w:p w14:paraId="72616A9E">
            <w:pPr>
              <w:pStyle w:val="557"/>
            </w:pPr>
            <w:r>
              <w:rPr>
                <w:rFonts w:hint="eastAsia"/>
              </w:rPr>
              <w:t>0.41</w:t>
            </w:r>
          </w:p>
        </w:tc>
        <w:tc>
          <w:tcPr>
            <w:tcW w:w="850" w:type="dxa"/>
            <w:vAlign w:val="center"/>
          </w:tcPr>
          <w:p w14:paraId="1E441A53">
            <w:pPr>
              <w:pStyle w:val="557"/>
            </w:pPr>
            <w:r>
              <w:rPr>
                <w:rFonts w:hint="eastAsia"/>
              </w:rPr>
              <w:t>0.36</w:t>
            </w:r>
          </w:p>
        </w:tc>
        <w:tc>
          <w:tcPr>
            <w:tcW w:w="1135" w:type="dxa"/>
            <w:vAlign w:val="center"/>
          </w:tcPr>
          <w:p w14:paraId="35B29D6C">
            <w:pPr>
              <w:pStyle w:val="557"/>
            </w:pPr>
            <w:r>
              <w:rPr>
                <w:rFonts w:hint="eastAsia"/>
              </w:rPr>
              <w:t>0.36</w:t>
            </w:r>
          </w:p>
        </w:tc>
      </w:tr>
      <w:tr w14:paraId="6BEE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6C3DE9E9">
            <w:pPr>
              <w:pStyle w:val="557"/>
            </w:pPr>
            <w:r>
              <w:rPr>
                <w:rFonts w:hint="eastAsia"/>
              </w:rPr>
              <w:t>六价铬</w:t>
            </w:r>
          </w:p>
        </w:tc>
        <w:tc>
          <w:tcPr>
            <w:tcW w:w="992" w:type="dxa"/>
            <w:vAlign w:val="center"/>
          </w:tcPr>
          <w:p w14:paraId="1E4384D6">
            <w:pPr>
              <w:pStyle w:val="557"/>
            </w:pPr>
            <w:r>
              <w:t>mg/L</w:t>
            </w:r>
          </w:p>
        </w:tc>
        <w:tc>
          <w:tcPr>
            <w:tcW w:w="1106" w:type="dxa"/>
            <w:vAlign w:val="center"/>
          </w:tcPr>
          <w:p w14:paraId="1F4BBC84">
            <w:pPr>
              <w:pStyle w:val="557"/>
            </w:pPr>
            <w:r>
              <w:t>0.05</w:t>
            </w:r>
          </w:p>
        </w:tc>
        <w:tc>
          <w:tcPr>
            <w:tcW w:w="1010" w:type="dxa"/>
            <w:vAlign w:val="center"/>
          </w:tcPr>
          <w:p w14:paraId="378BE553">
            <w:pPr>
              <w:pStyle w:val="557"/>
            </w:pPr>
            <w:r>
              <w:t>＜</w:t>
            </w:r>
            <w:r>
              <w:rPr>
                <w:rFonts w:hint="eastAsia"/>
              </w:rPr>
              <w:t>0.004</w:t>
            </w:r>
          </w:p>
        </w:tc>
        <w:tc>
          <w:tcPr>
            <w:tcW w:w="993" w:type="dxa"/>
            <w:vAlign w:val="center"/>
          </w:tcPr>
          <w:p w14:paraId="0CE98509">
            <w:pPr>
              <w:pStyle w:val="557"/>
            </w:pPr>
            <w:r>
              <w:rPr>
                <w:rFonts w:hint="eastAsia"/>
              </w:rPr>
              <w:t>/</w:t>
            </w:r>
          </w:p>
        </w:tc>
        <w:tc>
          <w:tcPr>
            <w:tcW w:w="992" w:type="dxa"/>
            <w:vAlign w:val="center"/>
          </w:tcPr>
          <w:p w14:paraId="75A1629D">
            <w:pPr>
              <w:pStyle w:val="557"/>
            </w:pPr>
            <w:r>
              <w:t>＜</w:t>
            </w:r>
            <w:r>
              <w:rPr>
                <w:rFonts w:hint="eastAsia"/>
              </w:rPr>
              <w:t>0.004</w:t>
            </w:r>
          </w:p>
        </w:tc>
        <w:tc>
          <w:tcPr>
            <w:tcW w:w="992" w:type="dxa"/>
            <w:vAlign w:val="center"/>
          </w:tcPr>
          <w:p w14:paraId="4B5111A7">
            <w:pPr>
              <w:pStyle w:val="557"/>
            </w:pPr>
            <w:r>
              <w:rPr>
                <w:rFonts w:hint="eastAsia"/>
              </w:rPr>
              <w:t>/</w:t>
            </w:r>
          </w:p>
        </w:tc>
        <w:tc>
          <w:tcPr>
            <w:tcW w:w="992" w:type="dxa"/>
            <w:vAlign w:val="center"/>
          </w:tcPr>
          <w:p w14:paraId="001F0DD0">
            <w:pPr>
              <w:pStyle w:val="557"/>
            </w:pPr>
            <w:r>
              <w:t>＜</w:t>
            </w:r>
            <w:r>
              <w:rPr>
                <w:rFonts w:hint="eastAsia"/>
              </w:rPr>
              <w:t>0.004</w:t>
            </w:r>
          </w:p>
        </w:tc>
        <w:tc>
          <w:tcPr>
            <w:tcW w:w="993" w:type="dxa"/>
            <w:vAlign w:val="center"/>
          </w:tcPr>
          <w:p w14:paraId="42618562">
            <w:pPr>
              <w:pStyle w:val="557"/>
            </w:pPr>
            <w:r>
              <w:rPr>
                <w:rFonts w:hint="eastAsia"/>
              </w:rPr>
              <w:t>/</w:t>
            </w:r>
          </w:p>
        </w:tc>
        <w:tc>
          <w:tcPr>
            <w:tcW w:w="850" w:type="dxa"/>
            <w:vAlign w:val="center"/>
          </w:tcPr>
          <w:p w14:paraId="3246C982">
            <w:pPr>
              <w:pStyle w:val="557"/>
            </w:pPr>
            <w:r>
              <w:t>＜</w:t>
            </w:r>
            <w:r>
              <w:rPr>
                <w:rFonts w:hint="eastAsia"/>
              </w:rPr>
              <w:t>0.004</w:t>
            </w:r>
          </w:p>
        </w:tc>
        <w:tc>
          <w:tcPr>
            <w:tcW w:w="1134" w:type="dxa"/>
            <w:vAlign w:val="center"/>
          </w:tcPr>
          <w:p w14:paraId="60AD5E56">
            <w:pPr>
              <w:pStyle w:val="557"/>
            </w:pPr>
            <w:r>
              <w:rPr>
                <w:rFonts w:hint="eastAsia"/>
              </w:rPr>
              <w:t>/</w:t>
            </w:r>
          </w:p>
        </w:tc>
        <w:tc>
          <w:tcPr>
            <w:tcW w:w="850" w:type="dxa"/>
            <w:vAlign w:val="center"/>
          </w:tcPr>
          <w:p w14:paraId="7608E879">
            <w:pPr>
              <w:pStyle w:val="557"/>
            </w:pPr>
            <w:r>
              <w:t>＜</w:t>
            </w:r>
            <w:r>
              <w:rPr>
                <w:rFonts w:hint="eastAsia"/>
              </w:rPr>
              <w:t>0.004</w:t>
            </w:r>
          </w:p>
        </w:tc>
        <w:tc>
          <w:tcPr>
            <w:tcW w:w="1135" w:type="dxa"/>
            <w:vAlign w:val="center"/>
          </w:tcPr>
          <w:p w14:paraId="4ECB64FD">
            <w:pPr>
              <w:pStyle w:val="557"/>
            </w:pPr>
            <w:r>
              <w:rPr>
                <w:rFonts w:hint="eastAsia"/>
              </w:rPr>
              <w:t>/</w:t>
            </w:r>
          </w:p>
        </w:tc>
      </w:tr>
      <w:tr w14:paraId="0105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298D615A">
            <w:pPr>
              <w:pStyle w:val="557"/>
              <w:rPr>
                <w:lang w:bidi="ar"/>
              </w:rPr>
            </w:pPr>
            <w:r>
              <w:rPr>
                <w:rFonts w:hint="eastAsia"/>
              </w:rPr>
              <w:t>挥发酚</w:t>
            </w:r>
          </w:p>
        </w:tc>
        <w:tc>
          <w:tcPr>
            <w:tcW w:w="992" w:type="dxa"/>
            <w:vAlign w:val="center"/>
          </w:tcPr>
          <w:p w14:paraId="2FDC8C58">
            <w:pPr>
              <w:pStyle w:val="557"/>
              <w:rPr>
                <w:lang w:bidi="ar"/>
              </w:rPr>
            </w:pPr>
            <w:r>
              <w:t>mg/L</w:t>
            </w:r>
          </w:p>
        </w:tc>
        <w:tc>
          <w:tcPr>
            <w:tcW w:w="1106" w:type="dxa"/>
            <w:vAlign w:val="center"/>
          </w:tcPr>
          <w:p w14:paraId="3B00CCDB">
            <w:pPr>
              <w:pStyle w:val="557"/>
            </w:pPr>
            <w:r>
              <w:t>0.002</w:t>
            </w:r>
          </w:p>
        </w:tc>
        <w:tc>
          <w:tcPr>
            <w:tcW w:w="1010" w:type="dxa"/>
            <w:vAlign w:val="center"/>
          </w:tcPr>
          <w:p w14:paraId="28BFD2F0">
            <w:pPr>
              <w:pStyle w:val="557"/>
            </w:pPr>
            <w:r>
              <w:t>＜</w:t>
            </w:r>
            <w:r>
              <w:rPr>
                <w:rFonts w:hint="eastAsia"/>
              </w:rPr>
              <w:t>0.0003</w:t>
            </w:r>
          </w:p>
        </w:tc>
        <w:tc>
          <w:tcPr>
            <w:tcW w:w="993" w:type="dxa"/>
            <w:vAlign w:val="center"/>
          </w:tcPr>
          <w:p w14:paraId="620C11CF">
            <w:pPr>
              <w:pStyle w:val="557"/>
            </w:pPr>
            <w:r>
              <w:rPr>
                <w:rFonts w:hint="eastAsia"/>
              </w:rPr>
              <w:t>/</w:t>
            </w:r>
          </w:p>
        </w:tc>
        <w:tc>
          <w:tcPr>
            <w:tcW w:w="992" w:type="dxa"/>
            <w:vAlign w:val="center"/>
          </w:tcPr>
          <w:p w14:paraId="04141D20">
            <w:pPr>
              <w:pStyle w:val="557"/>
            </w:pPr>
            <w:r>
              <w:t>＜</w:t>
            </w:r>
            <w:r>
              <w:rPr>
                <w:rFonts w:hint="eastAsia"/>
              </w:rPr>
              <w:t>0.0003</w:t>
            </w:r>
          </w:p>
        </w:tc>
        <w:tc>
          <w:tcPr>
            <w:tcW w:w="992" w:type="dxa"/>
            <w:vAlign w:val="center"/>
          </w:tcPr>
          <w:p w14:paraId="12AE0FD2">
            <w:pPr>
              <w:pStyle w:val="557"/>
            </w:pPr>
            <w:r>
              <w:rPr>
                <w:rFonts w:hint="eastAsia"/>
              </w:rPr>
              <w:t>/</w:t>
            </w:r>
          </w:p>
        </w:tc>
        <w:tc>
          <w:tcPr>
            <w:tcW w:w="992" w:type="dxa"/>
            <w:vAlign w:val="center"/>
          </w:tcPr>
          <w:p w14:paraId="3AA1B1CC">
            <w:pPr>
              <w:pStyle w:val="557"/>
            </w:pPr>
            <w:r>
              <w:t>＜</w:t>
            </w:r>
            <w:r>
              <w:rPr>
                <w:rFonts w:hint="eastAsia"/>
              </w:rPr>
              <w:t>0.0003</w:t>
            </w:r>
          </w:p>
        </w:tc>
        <w:tc>
          <w:tcPr>
            <w:tcW w:w="993" w:type="dxa"/>
            <w:vAlign w:val="center"/>
          </w:tcPr>
          <w:p w14:paraId="682EB606">
            <w:pPr>
              <w:pStyle w:val="557"/>
            </w:pPr>
            <w:r>
              <w:rPr>
                <w:rFonts w:hint="eastAsia"/>
              </w:rPr>
              <w:t>/</w:t>
            </w:r>
          </w:p>
        </w:tc>
        <w:tc>
          <w:tcPr>
            <w:tcW w:w="850" w:type="dxa"/>
            <w:vAlign w:val="center"/>
          </w:tcPr>
          <w:p w14:paraId="6309F8FE">
            <w:pPr>
              <w:pStyle w:val="557"/>
            </w:pPr>
            <w:r>
              <w:t>＜</w:t>
            </w:r>
            <w:r>
              <w:rPr>
                <w:rFonts w:hint="eastAsia"/>
              </w:rPr>
              <w:t>0.0003</w:t>
            </w:r>
          </w:p>
        </w:tc>
        <w:tc>
          <w:tcPr>
            <w:tcW w:w="1134" w:type="dxa"/>
            <w:vAlign w:val="center"/>
          </w:tcPr>
          <w:p w14:paraId="10A208EF">
            <w:pPr>
              <w:pStyle w:val="557"/>
            </w:pPr>
            <w:r>
              <w:rPr>
                <w:rFonts w:hint="eastAsia"/>
              </w:rPr>
              <w:t>/</w:t>
            </w:r>
          </w:p>
        </w:tc>
        <w:tc>
          <w:tcPr>
            <w:tcW w:w="850" w:type="dxa"/>
            <w:vAlign w:val="center"/>
          </w:tcPr>
          <w:p w14:paraId="333D7870">
            <w:pPr>
              <w:pStyle w:val="557"/>
            </w:pPr>
            <w:r>
              <w:t>＜</w:t>
            </w:r>
            <w:r>
              <w:rPr>
                <w:rFonts w:hint="eastAsia"/>
              </w:rPr>
              <w:t>0.0003</w:t>
            </w:r>
          </w:p>
        </w:tc>
        <w:tc>
          <w:tcPr>
            <w:tcW w:w="1135" w:type="dxa"/>
            <w:vAlign w:val="center"/>
          </w:tcPr>
          <w:p w14:paraId="584242B1">
            <w:pPr>
              <w:pStyle w:val="557"/>
            </w:pPr>
            <w:r>
              <w:rPr>
                <w:rFonts w:hint="eastAsia"/>
              </w:rPr>
              <w:t>/</w:t>
            </w:r>
          </w:p>
        </w:tc>
      </w:tr>
      <w:tr w14:paraId="2CB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8BE41F4">
            <w:pPr>
              <w:pStyle w:val="557"/>
            </w:pPr>
            <w:r>
              <w:rPr>
                <w:rFonts w:hint="eastAsia"/>
              </w:rPr>
              <w:t>苯</w:t>
            </w:r>
          </w:p>
        </w:tc>
        <w:tc>
          <w:tcPr>
            <w:tcW w:w="992" w:type="dxa"/>
            <w:vAlign w:val="center"/>
          </w:tcPr>
          <w:p w14:paraId="45F4FE57">
            <w:pPr>
              <w:pStyle w:val="557"/>
            </w:pPr>
            <w:r>
              <w:t>μg/L</w:t>
            </w:r>
          </w:p>
        </w:tc>
        <w:tc>
          <w:tcPr>
            <w:tcW w:w="1106" w:type="dxa"/>
            <w:vAlign w:val="center"/>
          </w:tcPr>
          <w:p w14:paraId="62CE2698">
            <w:pPr>
              <w:pStyle w:val="557"/>
            </w:pPr>
            <w:r>
              <w:t>10</w:t>
            </w:r>
          </w:p>
        </w:tc>
        <w:tc>
          <w:tcPr>
            <w:tcW w:w="1010" w:type="dxa"/>
            <w:vAlign w:val="center"/>
          </w:tcPr>
          <w:p w14:paraId="19AB9101">
            <w:pPr>
              <w:pStyle w:val="557"/>
            </w:pPr>
            <w:r>
              <w:rPr>
                <w:rFonts w:hint="eastAsia"/>
              </w:rPr>
              <w:t>＜</w:t>
            </w:r>
            <w:r>
              <w:t>0.4</w:t>
            </w:r>
          </w:p>
        </w:tc>
        <w:tc>
          <w:tcPr>
            <w:tcW w:w="993" w:type="dxa"/>
            <w:vAlign w:val="center"/>
          </w:tcPr>
          <w:p w14:paraId="65E68989">
            <w:pPr>
              <w:pStyle w:val="557"/>
            </w:pPr>
            <w:r>
              <w:rPr>
                <w:rFonts w:hint="eastAsia"/>
              </w:rPr>
              <w:t>/</w:t>
            </w:r>
          </w:p>
        </w:tc>
        <w:tc>
          <w:tcPr>
            <w:tcW w:w="992" w:type="dxa"/>
            <w:vAlign w:val="center"/>
          </w:tcPr>
          <w:p w14:paraId="5837331F">
            <w:pPr>
              <w:pStyle w:val="557"/>
            </w:pPr>
            <w:r>
              <w:rPr>
                <w:rFonts w:hint="eastAsia"/>
              </w:rPr>
              <w:t>＜</w:t>
            </w:r>
            <w:r>
              <w:t>0.4</w:t>
            </w:r>
          </w:p>
        </w:tc>
        <w:tc>
          <w:tcPr>
            <w:tcW w:w="992" w:type="dxa"/>
            <w:vAlign w:val="center"/>
          </w:tcPr>
          <w:p w14:paraId="58B10ABF">
            <w:pPr>
              <w:pStyle w:val="557"/>
            </w:pPr>
            <w:r>
              <w:rPr>
                <w:rFonts w:hint="eastAsia"/>
              </w:rPr>
              <w:t>/</w:t>
            </w:r>
          </w:p>
        </w:tc>
        <w:tc>
          <w:tcPr>
            <w:tcW w:w="992" w:type="dxa"/>
            <w:vAlign w:val="center"/>
          </w:tcPr>
          <w:p w14:paraId="1AF61D1A">
            <w:pPr>
              <w:pStyle w:val="557"/>
            </w:pPr>
            <w:r>
              <w:rPr>
                <w:rFonts w:hint="eastAsia"/>
              </w:rPr>
              <w:t>＜</w:t>
            </w:r>
            <w:r>
              <w:t>0.4</w:t>
            </w:r>
          </w:p>
        </w:tc>
        <w:tc>
          <w:tcPr>
            <w:tcW w:w="993" w:type="dxa"/>
            <w:vAlign w:val="center"/>
          </w:tcPr>
          <w:p w14:paraId="6EC72E82">
            <w:pPr>
              <w:pStyle w:val="557"/>
            </w:pPr>
            <w:r>
              <w:rPr>
                <w:rFonts w:hint="eastAsia"/>
              </w:rPr>
              <w:t>/</w:t>
            </w:r>
          </w:p>
        </w:tc>
        <w:tc>
          <w:tcPr>
            <w:tcW w:w="850" w:type="dxa"/>
            <w:vAlign w:val="center"/>
          </w:tcPr>
          <w:p w14:paraId="6A5016AD">
            <w:pPr>
              <w:pStyle w:val="557"/>
            </w:pPr>
            <w:r>
              <w:t>＜</w:t>
            </w:r>
            <w:r>
              <w:rPr>
                <w:rFonts w:hint="eastAsia"/>
              </w:rPr>
              <w:t>2</w:t>
            </w:r>
          </w:p>
        </w:tc>
        <w:tc>
          <w:tcPr>
            <w:tcW w:w="1134" w:type="dxa"/>
            <w:vAlign w:val="center"/>
          </w:tcPr>
          <w:p w14:paraId="1D82E8F4">
            <w:pPr>
              <w:pStyle w:val="557"/>
            </w:pPr>
            <w:r>
              <w:rPr>
                <w:rFonts w:hint="eastAsia"/>
              </w:rPr>
              <w:t>/</w:t>
            </w:r>
          </w:p>
        </w:tc>
        <w:tc>
          <w:tcPr>
            <w:tcW w:w="850" w:type="dxa"/>
            <w:vAlign w:val="center"/>
          </w:tcPr>
          <w:p w14:paraId="422FA704">
            <w:pPr>
              <w:pStyle w:val="557"/>
            </w:pPr>
            <w:r>
              <w:t>＜</w:t>
            </w:r>
            <w:r>
              <w:rPr>
                <w:rFonts w:hint="eastAsia"/>
              </w:rPr>
              <w:t>2</w:t>
            </w:r>
          </w:p>
        </w:tc>
        <w:tc>
          <w:tcPr>
            <w:tcW w:w="1135" w:type="dxa"/>
            <w:vAlign w:val="center"/>
          </w:tcPr>
          <w:p w14:paraId="39271E25">
            <w:pPr>
              <w:pStyle w:val="557"/>
            </w:pPr>
            <w:r>
              <w:rPr>
                <w:rFonts w:hint="eastAsia"/>
              </w:rPr>
              <w:t>/</w:t>
            </w:r>
          </w:p>
        </w:tc>
      </w:tr>
      <w:tr w14:paraId="1B48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4B50E0FB">
            <w:pPr>
              <w:pStyle w:val="557"/>
            </w:pPr>
            <w:r>
              <w:rPr>
                <w:rFonts w:hint="eastAsia"/>
              </w:rPr>
              <w:t>石油类</w:t>
            </w:r>
          </w:p>
        </w:tc>
        <w:tc>
          <w:tcPr>
            <w:tcW w:w="992" w:type="dxa"/>
            <w:vAlign w:val="center"/>
          </w:tcPr>
          <w:p w14:paraId="78D3CAA8">
            <w:pPr>
              <w:pStyle w:val="557"/>
            </w:pPr>
            <w:r>
              <w:t>mg/L</w:t>
            </w:r>
          </w:p>
        </w:tc>
        <w:tc>
          <w:tcPr>
            <w:tcW w:w="1106" w:type="dxa"/>
            <w:vAlign w:val="center"/>
          </w:tcPr>
          <w:p w14:paraId="70128830">
            <w:pPr>
              <w:pStyle w:val="557"/>
            </w:pPr>
            <w:r>
              <w:t>/</w:t>
            </w:r>
          </w:p>
        </w:tc>
        <w:tc>
          <w:tcPr>
            <w:tcW w:w="1010" w:type="dxa"/>
            <w:vAlign w:val="center"/>
          </w:tcPr>
          <w:p w14:paraId="11FF8EB4">
            <w:pPr>
              <w:pStyle w:val="557"/>
            </w:pPr>
            <w:r>
              <w:t>＜</w:t>
            </w:r>
            <w:r>
              <w:rPr>
                <w:rFonts w:hint="eastAsia"/>
              </w:rPr>
              <w:t>0.01</w:t>
            </w:r>
          </w:p>
        </w:tc>
        <w:tc>
          <w:tcPr>
            <w:tcW w:w="993" w:type="dxa"/>
            <w:vAlign w:val="center"/>
          </w:tcPr>
          <w:p w14:paraId="14124D36">
            <w:pPr>
              <w:pStyle w:val="557"/>
            </w:pPr>
            <w:r>
              <w:t>/</w:t>
            </w:r>
          </w:p>
        </w:tc>
        <w:tc>
          <w:tcPr>
            <w:tcW w:w="992" w:type="dxa"/>
            <w:vAlign w:val="center"/>
          </w:tcPr>
          <w:p w14:paraId="1D28BE7A">
            <w:pPr>
              <w:pStyle w:val="557"/>
            </w:pPr>
            <w:r>
              <w:rPr>
                <w:rFonts w:hint="eastAsia"/>
              </w:rPr>
              <w:t>＜</w:t>
            </w:r>
            <w:r>
              <w:t>0.01</w:t>
            </w:r>
          </w:p>
        </w:tc>
        <w:tc>
          <w:tcPr>
            <w:tcW w:w="992" w:type="dxa"/>
            <w:vAlign w:val="center"/>
          </w:tcPr>
          <w:p w14:paraId="3F200817">
            <w:pPr>
              <w:pStyle w:val="557"/>
            </w:pPr>
            <w:r>
              <w:t>/</w:t>
            </w:r>
          </w:p>
        </w:tc>
        <w:tc>
          <w:tcPr>
            <w:tcW w:w="992" w:type="dxa"/>
            <w:vAlign w:val="center"/>
          </w:tcPr>
          <w:p w14:paraId="4AE335EB">
            <w:pPr>
              <w:pStyle w:val="557"/>
            </w:pPr>
            <w:r>
              <w:rPr>
                <w:rFonts w:hint="eastAsia"/>
              </w:rPr>
              <w:t>＜</w:t>
            </w:r>
            <w:r>
              <w:t>0.01</w:t>
            </w:r>
          </w:p>
        </w:tc>
        <w:tc>
          <w:tcPr>
            <w:tcW w:w="993" w:type="dxa"/>
            <w:vAlign w:val="center"/>
          </w:tcPr>
          <w:p w14:paraId="099850DD">
            <w:pPr>
              <w:pStyle w:val="557"/>
            </w:pPr>
            <w:r>
              <w:t>/</w:t>
            </w:r>
          </w:p>
        </w:tc>
        <w:tc>
          <w:tcPr>
            <w:tcW w:w="850" w:type="dxa"/>
            <w:vAlign w:val="center"/>
          </w:tcPr>
          <w:p w14:paraId="3362F59E">
            <w:pPr>
              <w:pStyle w:val="557"/>
            </w:pPr>
            <w:r>
              <w:t>＜</w:t>
            </w:r>
            <w:r>
              <w:rPr>
                <w:rFonts w:hint="eastAsia"/>
              </w:rPr>
              <w:t>0.01</w:t>
            </w:r>
          </w:p>
        </w:tc>
        <w:tc>
          <w:tcPr>
            <w:tcW w:w="1134" w:type="dxa"/>
            <w:vAlign w:val="center"/>
          </w:tcPr>
          <w:p w14:paraId="7675853D">
            <w:pPr>
              <w:pStyle w:val="557"/>
            </w:pPr>
            <w:r>
              <w:t>/</w:t>
            </w:r>
          </w:p>
        </w:tc>
        <w:tc>
          <w:tcPr>
            <w:tcW w:w="850" w:type="dxa"/>
            <w:vAlign w:val="center"/>
          </w:tcPr>
          <w:p w14:paraId="15856302">
            <w:pPr>
              <w:pStyle w:val="557"/>
            </w:pPr>
            <w:r>
              <w:t>＜</w:t>
            </w:r>
            <w:r>
              <w:rPr>
                <w:rFonts w:hint="eastAsia"/>
              </w:rPr>
              <w:t>0.01</w:t>
            </w:r>
          </w:p>
        </w:tc>
        <w:tc>
          <w:tcPr>
            <w:tcW w:w="1135" w:type="dxa"/>
            <w:vAlign w:val="center"/>
          </w:tcPr>
          <w:p w14:paraId="3934024B">
            <w:pPr>
              <w:pStyle w:val="557"/>
            </w:pPr>
            <w:r>
              <w:t>/</w:t>
            </w:r>
          </w:p>
        </w:tc>
      </w:tr>
      <w:tr w14:paraId="4B23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51A44085">
            <w:pPr>
              <w:pStyle w:val="557"/>
            </w:pPr>
            <w:r>
              <w:rPr>
                <w:rFonts w:hint="eastAsia"/>
              </w:rPr>
              <w:t>萘</w:t>
            </w:r>
          </w:p>
        </w:tc>
        <w:tc>
          <w:tcPr>
            <w:tcW w:w="992" w:type="dxa"/>
            <w:vAlign w:val="center"/>
          </w:tcPr>
          <w:p w14:paraId="254C0DA1">
            <w:pPr>
              <w:pStyle w:val="557"/>
            </w:pPr>
            <w:r>
              <w:t>μg/L</w:t>
            </w:r>
          </w:p>
        </w:tc>
        <w:tc>
          <w:tcPr>
            <w:tcW w:w="1106" w:type="dxa"/>
            <w:vAlign w:val="center"/>
          </w:tcPr>
          <w:p w14:paraId="71B38EC2">
            <w:pPr>
              <w:pStyle w:val="557"/>
            </w:pPr>
            <w:r>
              <w:t>100</w:t>
            </w:r>
          </w:p>
        </w:tc>
        <w:tc>
          <w:tcPr>
            <w:tcW w:w="1010" w:type="dxa"/>
            <w:vAlign w:val="center"/>
          </w:tcPr>
          <w:p w14:paraId="1078AE4D">
            <w:pPr>
              <w:pStyle w:val="557"/>
            </w:pPr>
            <w:r>
              <w:rPr>
                <w:rFonts w:hint="eastAsia"/>
              </w:rPr>
              <w:t>＜0.09</w:t>
            </w:r>
          </w:p>
        </w:tc>
        <w:tc>
          <w:tcPr>
            <w:tcW w:w="993" w:type="dxa"/>
            <w:vAlign w:val="center"/>
          </w:tcPr>
          <w:p w14:paraId="00C38356">
            <w:pPr>
              <w:pStyle w:val="557"/>
            </w:pPr>
            <w:r>
              <w:rPr>
                <w:rFonts w:hint="eastAsia"/>
              </w:rPr>
              <w:t>/</w:t>
            </w:r>
          </w:p>
        </w:tc>
        <w:tc>
          <w:tcPr>
            <w:tcW w:w="992" w:type="dxa"/>
            <w:vAlign w:val="center"/>
          </w:tcPr>
          <w:p w14:paraId="67923908">
            <w:pPr>
              <w:pStyle w:val="557"/>
            </w:pPr>
            <w:r>
              <w:rPr>
                <w:rFonts w:hint="eastAsia"/>
              </w:rPr>
              <w:t>＜0.09</w:t>
            </w:r>
          </w:p>
        </w:tc>
        <w:tc>
          <w:tcPr>
            <w:tcW w:w="992" w:type="dxa"/>
            <w:vAlign w:val="center"/>
          </w:tcPr>
          <w:p w14:paraId="6FA2C9FC">
            <w:pPr>
              <w:pStyle w:val="557"/>
            </w:pPr>
            <w:r>
              <w:rPr>
                <w:rFonts w:hint="eastAsia"/>
              </w:rPr>
              <w:t>/</w:t>
            </w:r>
          </w:p>
        </w:tc>
        <w:tc>
          <w:tcPr>
            <w:tcW w:w="992" w:type="dxa"/>
            <w:vAlign w:val="center"/>
          </w:tcPr>
          <w:p w14:paraId="532BCB4C">
            <w:pPr>
              <w:pStyle w:val="557"/>
            </w:pPr>
            <w:r>
              <w:rPr>
                <w:rFonts w:hint="eastAsia"/>
              </w:rPr>
              <w:t>＜0.09</w:t>
            </w:r>
          </w:p>
        </w:tc>
        <w:tc>
          <w:tcPr>
            <w:tcW w:w="993" w:type="dxa"/>
            <w:vAlign w:val="center"/>
          </w:tcPr>
          <w:p w14:paraId="5222FB19">
            <w:pPr>
              <w:pStyle w:val="557"/>
            </w:pPr>
            <w:r>
              <w:rPr>
                <w:rFonts w:hint="eastAsia"/>
              </w:rPr>
              <w:t>/</w:t>
            </w:r>
          </w:p>
        </w:tc>
        <w:tc>
          <w:tcPr>
            <w:tcW w:w="850" w:type="dxa"/>
            <w:vAlign w:val="center"/>
          </w:tcPr>
          <w:p w14:paraId="2307DBC7">
            <w:pPr>
              <w:pStyle w:val="557"/>
            </w:pPr>
            <w:r>
              <w:rPr>
                <w:rFonts w:hint="eastAsia"/>
              </w:rPr>
              <w:t>＜0.09</w:t>
            </w:r>
          </w:p>
        </w:tc>
        <w:tc>
          <w:tcPr>
            <w:tcW w:w="1134" w:type="dxa"/>
            <w:vAlign w:val="center"/>
          </w:tcPr>
          <w:p w14:paraId="7F873822">
            <w:pPr>
              <w:pStyle w:val="557"/>
            </w:pPr>
            <w:r>
              <w:rPr>
                <w:rFonts w:hint="eastAsia"/>
              </w:rPr>
              <w:t>/</w:t>
            </w:r>
          </w:p>
        </w:tc>
        <w:tc>
          <w:tcPr>
            <w:tcW w:w="850" w:type="dxa"/>
            <w:vAlign w:val="center"/>
          </w:tcPr>
          <w:p w14:paraId="01815E33">
            <w:pPr>
              <w:pStyle w:val="557"/>
            </w:pPr>
            <w:r>
              <w:rPr>
                <w:rFonts w:hint="eastAsia"/>
              </w:rPr>
              <w:t>＜0.09</w:t>
            </w:r>
          </w:p>
        </w:tc>
        <w:tc>
          <w:tcPr>
            <w:tcW w:w="1135" w:type="dxa"/>
            <w:vAlign w:val="center"/>
          </w:tcPr>
          <w:p w14:paraId="5B078917">
            <w:pPr>
              <w:pStyle w:val="557"/>
            </w:pPr>
            <w:r>
              <w:rPr>
                <w:rFonts w:hint="eastAsia"/>
              </w:rPr>
              <w:t>/</w:t>
            </w:r>
          </w:p>
        </w:tc>
      </w:tr>
      <w:tr w14:paraId="4278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1" w:type="dxa"/>
            <w:bottom w:w="11" w:type="dxa"/>
            <w:right w:w="11" w:type="dxa"/>
          </w:tblCellMar>
        </w:tblPrEx>
        <w:trPr>
          <w:trHeight w:val="284" w:hRule="atLeast"/>
        </w:trPr>
        <w:tc>
          <w:tcPr>
            <w:tcW w:w="1980" w:type="dxa"/>
            <w:vAlign w:val="center"/>
          </w:tcPr>
          <w:p w14:paraId="1F317BF2">
            <w:pPr>
              <w:pStyle w:val="557"/>
            </w:pPr>
            <w:r>
              <w:rPr>
                <w:rFonts w:hint="eastAsia"/>
              </w:rPr>
              <w:t>苯并</w:t>
            </w:r>
            <w:r>
              <w:t>[α]</w:t>
            </w:r>
            <w:r>
              <w:rPr>
                <w:rFonts w:hint="eastAsia"/>
              </w:rPr>
              <w:t>芘</w:t>
            </w:r>
          </w:p>
        </w:tc>
        <w:tc>
          <w:tcPr>
            <w:tcW w:w="992" w:type="dxa"/>
            <w:vAlign w:val="center"/>
          </w:tcPr>
          <w:p w14:paraId="486CA3D8">
            <w:pPr>
              <w:pStyle w:val="557"/>
            </w:pPr>
            <w:r>
              <w:t>μg/L</w:t>
            </w:r>
          </w:p>
        </w:tc>
        <w:tc>
          <w:tcPr>
            <w:tcW w:w="1106" w:type="dxa"/>
            <w:vAlign w:val="center"/>
          </w:tcPr>
          <w:p w14:paraId="0AD66067">
            <w:pPr>
              <w:pStyle w:val="557"/>
            </w:pPr>
            <w:r>
              <w:t>0.01</w:t>
            </w:r>
          </w:p>
        </w:tc>
        <w:tc>
          <w:tcPr>
            <w:tcW w:w="1010" w:type="dxa"/>
            <w:vAlign w:val="center"/>
          </w:tcPr>
          <w:p w14:paraId="5D3CF51B">
            <w:pPr>
              <w:pStyle w:val="557"/>
            </w:pPr>
            <w:r>
              <w:t>＜</w:t>
            </w:r>
            <w:r>
              <w:rPr>
                <w:rFonts w:hint="eastAsia"/>
              </w:rPr>
              <w:t>0.004</w:t>
            </w:r>
          </w:p>
        </w:tc>
        <w:tc>
          <w:tcPr>
            <w:tcW w:w="993" w:type="dxa"/>
            <w:vAlign w:val="center"/>
          </w:tcPr>
          <w:p w14:paraId="0693F4AA">
            <w:pPr>
              <w:pStyle w:val="557"/>
            </w:pPr>
            <w:r>
              <w:rPr>
                <w:rFonts w:hint="eastAsia"/>
              </w:rPr>
              <w:t>/</w:t>
            </w:r>
          </w:p>
        </w:tc>
        <w:tc>
          <w:tcPr>
            <w:tcW w:w="992" w:type="dxa"/>
            <w:vAlign w:val="center"/>
          </w:tcPr>
          <w:p w14:paraId="751DC7CA">
            <w:pPr>
              <w:pStyle w:val="557"/>
            </w:pPr>
            <w:r>
              <w:rPr>
                <w:rFonts w:hint="eastAsia"/>
              </w:rPr>
              <w:t>＜</w:t>
            </w:r>
            <w:r>
              <w:t>0.004</w:t>
            </w:r>
          </w:p>
        </w:tc>
        <w:tc>
          <w:tcPr>
            <w:tcW w:w="992" w:type="dxa"/>
            <w:vAlign w:val="center"/>
          </w:tcPr>
          <w:p w14:paraId="12868CC4">
            <w:pPr>
              <w:pStyle w:val="557"/>
            </w:pPr>
            <w:r>
              <w:rPr>
                <w:rFonts w:hint="eastAsia"/>
              </w:rPr>
              <w:t>/</w:t>
            </w:r>
          </w:p>
        </w:tc>
        <w:tc>
          <w:tcPr>
            <w:tcW w:w="992" w:type="dxa"/>
            <w:vAlign w:val="center"/>
          </w:tcPr>
          <w:p w14:paraId="4ED302C2">
            <w:pPr>
              <w:pStyle w:val="557"/>
            </w:pPr>
            <w:r>
              <w:rPr>
                <w:rFonts w:hint="eastAsia"/>
              </w:rPr>
              <w:t>＜</w:t>
            </w:r>
            <w:r>
              <w:t>0.004</w:t>
            </w:r>
          </w:p>
        </w:tc>
        <w:tc>
          <w:tcPr>
            <w:tcW w:w="993" w:type="dxa"/>
            <w:vAlign w:val="center"/>
          </w:tcPr>
          <w:p w14:paraId="101DB83A">
            <w:pPr>
              <w:pStyle w:val="557"/>
            </w:pPr>
            <w:r>
              <w:rPr>
                <w:rFonts w:hint="eastAsia"/>
              </w:rPr>
              <w:t>/</w:t>
            </w:r>
          </w:p>
        </w:tc>
        <w:tc>
          <w:tcPr>
            <w:tcW w:w="850" w:type="dxa"/>
            <w:vAlign w:val="center"/>
          </w:tcPr>
          <w:p w14:paraId="5F314430">
            <w:pPr>
              <w:pStyle w:val="557"/>
            </w:pPr>
            <w:r>
              <w:rPr>
                <w:rFonts w:hint="eastAsia"/>
              </w:rPr>
              <w:t>＜</w:t>
            </w:r>
            <w:r>
              <w:t>0.004</w:t>
            </w:r>
          </w:p>
        </w:tc>
        <w:tc>
          <w:tcPr>
            <w:tcW w:w="1134" w:type="dxa"/>
            <w:vAlign w:val="center"/>
          </w:tcPr>
          <w:p w14:paraId="0011CB58">
            <w:pPr>
              <w:pStyle w:val="557"/>
            </w:pPr>
            <w:r>
              <w:rPr>
                <w:rFonts w:hint="eastAsia"/>
              </w:rPr>
              <w:t>/</w:t>
            </w:r>
          </w:p>
        </w:tc>
        <w:tc>
          <w:tcPr>
            <w:tcW w:w="850" w:type="dxa"/>
            <w:vAlign w:val="center"/>
          </w:tcPr>
          <w:p w14:paraId="45B2A3A5">
            <w:pPr>
              <w:pStyle w:val="557"/>
            </w:pPr>
            <w:r>
              <w:rPr>
                <w:rFonts w:hint="eastAsia"/>
              </w:rPr>
              <w:t>＜</w:t>
            </w:r>
            <w:r>
              <w:t>0.004</w:t>
            </w:r>
          </w:p>
        </w:tc>
        <w:tc>
          <w:tcPr>
            <w:tcW w:w="1135" w:type="dxa"/>
            <w:vAlign w:val="center"/>
          </w:tcPr>
          <w:p w14:paraId="713CBF04">
            <w:pPr>
              <w:pStyle w:val="557"/>
            </w:pPr>
            <w:r>
              <w:rPr>
                <w:rFonts w:hint="eastAsia"/>
              </w:rPr>
              <w:t>/</w:t>
            </w:r>
          </w:p>
        </w:tc>
      </w:tr>
    </w:tbl>
    <w:p w14:paraId="3459A39C">
      <w:pPr>
        <w:pStyle w:val="541"/>
        <w:ind w:firstLine="560"/>
        <w:rPr>
          <w:rFonts w:hint="eastAsia"/>
          <w:color w:val="FF0000"/>
        </w:rPr>
      </w:pPr>
    </w:p>
    <w:p w14:paraId="6DE669A4">
      <w:pPr>
        <w:pStyle w:val="541"/>
        <w:ind w:firstLine="560"/>
        <w:rPr>
          <w:rFonts w:hint="eastAsia"/>
          <w:color w:val="FF0000"/>
        </w:rPr>
      </w:pPr>
    </w:p>
    <w:p w14:paraId="3B6FADD7">
      <w:pPr>
        <w:pStyle w:val="541"/>
        <w:ind w:firstLine="560"/>
        <w:rPr>
          <w:rFonts w:hint="eastAsia"/>
        </w:rPr>
      </w:pPr>
    </w:p>
    <w:p w14:paraId="466CF549">
      <w:pPr>
        <w:pStyle w:val="541"/>
        <w:ind w:firstLine="560"/>
        <w:rPr>
          <w:rFonts w:hint="eastAsia"/>
        </w:rPr>
      </w:pPr>
    </w:p>
    <w:p w14:paraId="5D0AC5BD">
      <w:pPr>
        <w:pStyle w:val="281"/>
        <w:ind w:firstLine="480"/>
      </w:pPr>
    </w:p>
    <w:p w14:paraId="0150C3CC">
      <w:pPr>
        <w:pStyle w:val="281"/>
        <w:ind w:firstLine="480"/>
      </w:pPr>
    </w:p>
    <w:p w14:paraId="12741E50">
      <w:pPr>
        <w:pStyle w:val="281"/>
        <w:ind w:firstLine="480"/>
      </w:pPr>
    </w:p>
    <w:p w14:paraId="0BBB9532">
      <w:pPr>
        <w:pStyle w:val="281"/>
        <w:ind w:firstLine="480"/>
      </w:pPr>
    </w:p>
    <w:p w14:paraId="36574BA3">
      <w:pPr>
        <w:pStyle w:val="281"/>
        <w:ind w:firstLine="480"/>
        <w:sectPr>
          <w:pgSz w:w="16838" w:h="11906" w:orient="landscape"/>
          <w:pgMar w:top="1797" w:right="1644" w:bottom="1797" w:left="1418" w:header="851" w:footer="992" w:gutter="0"/>
          <w:cols w:space="425" w:num="1"/>
          <w:docGrid w:type="lines" w:linePitch="312" w:charSpace="0"/>
        </w:sectPr>
      </w:pPr>
    </w:p>
    <w:p w14:paraId="4DFD6B57">
      <w:pPr>
        <w:pStyle w:val="97"/>
        <w:rPr>
          <w:rFonts w:hint="eastAsia"/>
        </w:rPr>
      </w:pPr>
      <w:r>
        <w:t>声环境现状调查与评价</w:t>
      </w:r>
    </w:p>
    <w:p w14:paraId="0E0BD6E7">
      <w:pPr>
        <w:pStyle w:val="281"/>
        <w:ind w:firstLine="480"/>
      </w:pPr>
      <w:r>
        <w:t>（1）调查范围</w:t>
      </w:r>
    </w:p>
    <w:p w14:paraId="77401DC7">
      <w:pPr>
        <w:pStyle w:val="281"/>
        <w:ind w:firstLine="480"/>
      </w:pPr>
      <w:r>
        <w:t>本项目声环境现状调查范围为拟建项目厂界。</w:t>
      </w:r>
    </w:p>
    <w:p w14:paraId="71C34E88">
      <w:pPr>
        <w:pStyle w:val="281"/>
        <w:ind w:firstLine="480"/>
      </w:pPr>
      <w:r>
        <w:t>（2）监测点布置</w:t>
      </w:r>
    </w:p>
    <w:p w14:paraId="6CA89F54">
      <w:pPr>
        <w:pStyle w:val="281"/>
        <w:ind w:firstLine="480"/>
      </w:pPr>
      <w:r>
        <w:rPr>
          <w:rFonts w:hint="eastAsia"/>
        </w:rPr>
        <w:t>本次评价</w:t>
      </w:r>
      <w:r>
        <w:rPr>
          <w:color w:val="000000" w:themeColor="text1"/>
          <w14:textFill>
            <w14:solidFill>
              <w14:schemeClr w14:val="tx1"/>
            </w14:solidFill>
          </w14:textFill>
        </w:rPr>
        <w:t>，在厂区</w:t>
      </w:r>
      <w:r>
        <w:rPr>
          <w:rFonts w:hint="eastAsia"/>
          <w:color w:val="000000" w:themeColor="text1"/>
          <w14:textFill>
            <w14:solidFill>
              <w14:schemeClr w14:val="tx1"/>
            </w14:solidFill>
          </w14:textFill>
        </w:rPr>
        <w:t>四周、2</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kV变电站</w:t>
      </w:r>
      <w:r>
        <w:rPr>
          <w:color w:val="000000" w:themeColor="text1"/>
          <w14:textFill>
            <w14:solidFill>
              <w14:schemeClr w14:val="tx1"/>
            </w14:solidFill>
          </w14:textFill>
        </w:rPr>
        <w:t>共布设</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个噪声监测点，噪声监测布点见图4.3.3-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14:paraId="1BF55753">
      <w:pPr>
        <w:pStyle w:val="281"/>
        <w:ind w:firstLine="480"/>
      </w:pPr>
      <w:r>
        <w:t>（3）监测时间及监测单位</w:t>
      </w:r>
    </w:p>
    <w:p w14:paraId="2E23BDBB">
      <w:pPr>
        <w:pStyle w:val="281"/>
        <w:ind w:firstLine="480"/>
      </w:pPr>
      <w:r>
        <w:t>监测</w:t>
      </w:r>
      <w:r>
        <w:rPr>
          <w:color w:val="000000" w:themeColor="text1"/>
          <w14:textFill>
            <w14:solidFill>
              <w14:schemeClr w14:val="tx1"/>
            </w14:solidFill>
          </w14:textFill>
        </w:rPr>
        <w:t>时间：202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-1月5日</w:t>
      </w:r>
      <w:r>
        <w:rPr>
          <w:color w:val="000000" w:themeColor="text1"/>
          <w14:textFill>
            <w14:solidFill>
              <w14:schemeClr w14:val="tx1"/>
            </w14:solidFill>
          </w14:textFill>
        </w:rPr>
        <w:t>，分别在昼间</w:t>
      </w:r>
      <w:r>
        <w:t>和夜间进行监测。</w:t>
      </w:r>
    </w:p>
    <w:p w14:paraId="2C3279B7">
      <w:pPr>
        <w:pStyle w:val="281"/>
        <w:ind w:firstLine="480"/>
      </w:pPr>
      <w:r>
        <w:t>监测单位：新疆齐新环境服务有限公司。</w:t>
      </w:r>
    </w:p>
    <w:p w14:paraId="27741F99">
      <w:pPr>
        <w:pStyle w:val="281"/>
        <w:ind w:firstLine="480"/>
      </w:pPr>
      <w:r>
        <w:t>（4）评价标准与评价方法</w:t>
      </w:r>
    </w:p>
    <w:p w14:paraId="2CECFA50">
      <w:pPr>
        <w:pStyle w:val="281"/>
        <w:ind w:firstLine="480"/>
      </w:pPr>
      <w:r>
        <w:t>评价标准采用《声环境质量标准》（GB3096-2008）中的3类声环境功能区标准，评价方法采用监测值与标准值直接比较的方法。</w:t>
      </w:r>
    </w:p>
    <w:p w14:paraId="1A4B9EB7">
      <w:pPr>
        <w:pStyle w:val="281"/>
        <w:ind w:firstLine="480"/>
      </w:pPr>
      <w:r>
        <w:rPr>
          <w:rFonts w:hint="eastAsia"/>
        </w:rPr>
        <w:t>（</w:t>
      </w:r>
      <w:r>
        <w:t>5</w:t>
      </w:r>
      <w:r>
        <w:rPr>
          <w:rFonts w:hint="eastAsia"/>
        </w:rPr>
        <w:t>）监测及评价结果</w:t>
      </w:r>
    </w:p>
    <w:p w14:paraId="6214892D">
      <w:pPr>
        <w:pStyle w:val="281"/>
        <w:ind w:firstLine="480"/>
      </w:pPr>
      <w:r>
        <w:rPr>
          <w:rFonts w:hint="eastAsia"/>
        </w:rPr>
        <w:t>声环境质量现状监测及评价结果，见表4.3</w:t>
      </w:r>
      <w:r>
        <w:t>.3</w:t>
      </w:r>
      <w:r>
        <w:rPr>
          <w:rFonts w:hint="eastAsia"/>
        </w:rPr>
        <w:t>-</w:t>
      </w:r>
      <w:r>
        <w:t>1</w:t>
      </w:r>
      <w:r>
        <w:rPr>
          <w:rFonts w:hint="eastAsia"/>
        </w:rPr>
        <w:t>。</w:t>
      </w:r>
    </w:p>
    <w:p w14:paraId="48DF741D">
      <w:pPr>
        <w:pStyle w:val="281"/>
        <w:ind w:firstLine="0" w:firstLineChars="0"/>
        <w:jc w:val="center"/>
      </w:pPr>
    </w:p>
    <w:p w14:paraId="3F766489">
      <w:pPr>
        <w:pStyle w:val="645"/>
        <w:rPr>
          <w:rFonts w:hint="eastAsia"/>
        </w:rPr>
      </w:pPr>
      <w:r>
        <w:rPr>
          <w:rFonts w:hint="eastAsia"/>
        </w:rPr>
        <w:t>图4.3.3-1    噪声监测布点图</w:t>
      </w:r>
    </w:p>
    <w:p w14:paraId="3BFBBA1B">
      <w:pPr>
        <w:pStyle w:val="535"/>
        <w:rPr>
          <w:rFonts w:hint="eastAsia"/>
          <w:color w:val="auto"/>
        </w:rPr>
      </w:pPr>
      <w:r>
        <w:rPr>
          <w:rFonts w:hint="eastAsia"/>
          <w:color w:val="auto"/>
        </w:rPr>
        <w:t>表4.3</w:t>
      </w:r>
      <w:r>
        <w:rPr>
          <w:rFonts w:eastAsia="宋体"/>
          <w:color w:val="auto"/>
        </w:rPr>
        <w:t>.3</w:t>
      </w:r>
      <w:r>
        <w:rPr>
          <w:rFonts w:hint="eastAsia"/>
          <w:color w:val="auto"/>
        </w:rPr>
        <w:t>-</w:t>
      </w:r>
      <w:r>
        <w:rPr>
          <w:rFonts w:eastAsia="宋体"/>
          <w:color w:val="auto"/>
        </w:rPr>
        <w:t xml:space="preserve">1    </w:t>
      </w:r>
      <w:r>
        <w:rPr>
          <w:color w:val="auto"/>
        </w:rPr>
        <w:t>噪声现状监测结果</w:t>
      </w:r>
      <w:r>
        <w:rPr>
          <w:rFonts w:hint="eastAsia"/>
          <w:color w:val="auto"/>
        </w:rPr>
        <w:t>一览表</w:t>
      </w:r>
      <w:r>
        <w:rPr>
          <w:color w:val="auto"/>
        </w:rPr>
        <w:t xml:space="preserve">单位：dB(A) </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6"/>
        <w:gridCol w:w="1315"/>
        <w:gridCol w:w="1419"/>
        <w:gridCol w:w="1555"/>
        <w:gridCol w:w="1276"/>
        <w:gridCol w:w="993"/>
        <w:gridCol w:w="891"/>
      </w:tblGrid>
      <w:tr w14:paraId="42C1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Merge w:val="restart"/>
            <w:vAlign w:val="center"/>
          </w:tcPr>
          <w:p w14:paraId="431F6B96">
            <w:pPr>
              <w:pStyle w:val="557"/>
            </w:pPr>
            <w:r>
              <w:t>测点</w:t>
            </w:r>
          </w:p>
        </w:tc>
        <w:tc>
          <w:tcPr>
            <w:tcW w:w="1607" w:type="pct"/>
            <w:gridSpan w:val="2"/>
            <w:vAlign w:val="center"/>
          </w:tcPr>
          <w:p w14:paraId="276F21CD">
            <w:pPr>
              <w:pStyle w:val="557"/>
            </w:pPr>
            <w:r>
              <w:t>昼间dB（A）</w:t>
            </w:r>
          </w:p>
        </w:tc>
        <w:tc>
          <w:tcPr>
            <w:tcW w:w="1664" w:type="pct"/>
            <w:gridSpan w:val="2"/>
            <w:vAlign w:val="center"/>
          </w:tcPr>
          <w:p w14:paraId="6D7073D0">
            <w:pPr>
              <w:pStyle w:val="557"/>
            </w:pPr>
            <w:r>
              <w:t>夜间dB（A）</w:t>
            </w:r>
          </w:p>
        </w:tc>
        <w:tc>
          <w:tcPr>
            <w:tcW w:w="1108" w:type="pct"/>
            <w:gridSpan w:val="2"/>
            <w:vAlign w:val="center"/>
          </w:tcPr>
          <w:p w14:paraId="0E17D133">
            <w:pPr>
              <w:pStyle w:val="557"/>
            </w:pPr>
            <w:r>
              <w:t>标准限值dB（A）</w:t>
            </w:r>
          </w:p>
        </w:tc>
      </w:tr>
      <w:tr w14:paraId="4517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Merge w:val="continue"/>
            <w:vAlign w:val="center"/>
          </w:tcPr>
          <w:p w14:paraId="0DE26D9F">
            <w:pPr>
              <w:pStyle w:val="557"/>
            </w:pPr>
          </w:p>
        </w:tc>
        <w:tc>
          <w:tcPr>
            <w:tcW w:w="773" w:type="pct"/>
            <w:vAlign w:val="center"/>
          </w:tcPr>
          <w:p w14:paraId="4294287B">
            <w:pPr>
              <w:pStyle w:val="557"/>
            </w:pPr>
            <w:r>
              <w:t>Leq</w:t>
            </w:r>
          </w:p>
        </w:tc>
        <w:tc>
          <w:tcPr>
            <w:tcW w:w="834" w:type="pct"/>
            <w:vAlign w:val="center"/>
          </w:tcPr>
          <w:p w14:paraId="48E1C79B">
            <w:pPr>
              <w:pStyle w:val="557"/>
            </w:pPr>
            <w:r>
              <w:t>达标情况</w:t>
            </w:r>
          </w:p>
        </w:tc>
        <w:tc>
          <w:tcPr>
            <w:tcW w:w="914" w:type="pct"/>
            <w:vAlign w:val="center"/>
          </w:tcPr>
          <w:p w14:paraId="18B365BE">
            <w:pPr>
              <w:pStyle w:val="557"/>
            </w:pPr>
            <w:r>
              <w:t>Leq</w:t>
            </w:r>
          </w:p>
        </w:tc>
        <w:tc>
          <w:tcPr>
            <w:tcW w:w="750" w:type="pct"/>
            <w:vAlign w:val="center"/>
          </w:tcPr>
          <w:p w14:paraId="3552FB19">
            <w:pPr>
              <w:pStyle w:val="557"/>
            </w:pPr>
            <w:r>
              <w:t>达标情况</w:t>
            </w:r>
          </w:p>
        </w:tc>
        <w:tc>
          <w:tcPr>
            <w:tcW w:w="584" w:type="pct"/>
            <w:vAlign w:val="center"/>
          </w:tcPr>
          <w:p w14:paraId="4B77B616">
            <w:pPr>
              <w:pStyle w:val="557"/>
            </w:pPr>
            <w:r>
              <w:t>昼间</w:t>
            </w:r>
          </w:p>
        </w:tc>
        <w:tc>
          <w:tcPr>
            <w:tcW w:w="524" w:type="pct"/>
            <w:vAlign w:val="center"/>
          </w:tcPr>
          <w:p w14:paraId="4A91592F">
            <w:pPr>
              <w:pStyle w:val="557"/>
            </w:pPr>
            <w:r>
              <w:t>夜间</w:t>
            </w:r>
          </w:p>
        </w:tc>
      </w:tr>
      <w:tr w14:paraId="79EF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Align w:val="center"/>
          </w:tcPr>
          <w:p w14:paraId="2A45F2F4">
            <w:pPr>
              <w:pStyle w:val="557"/>
            </w:pPr>
            <w:r>
              <w:rPr>
                <w:rFonts w:hint="eastAsia"/>
              </w:rPr>
              <w:t>厂界东侧</w:t>
            </w:r>
          </w:p>
        </w:tc>
        <w:tc>
          <w:tcPr>
            <w:tcW w:w="773" w:type="pct"/>
            <w:vAlign w:val="center"/>
          </w:tcPr>
          <w:p w14:paraId="5886408C">
            <w:pPr>
              <w:pStyle w:val="557"/>
            </w:pPr>
            <w:r>
              <w:rPr>
                <w:rFonts w:hint="eastAsia"/>
              </w:rPr>
              <w:t>51</w:t>
            </w:r>
          </w:p>
        </w:tc>
        <w:tc>
          <w:tcPr>
            <w:tcW w:w="834" w:type="pct"/>
            <w:vAlign w:val="center"/>
          </w:tcPr>
          <w:p w14:paraId="316726C2">
            <w:pPr>
              <w:pStyle w:val="557"/>
            </w:pPr>
            <w:r>
              <w:t>达标</w:t>
            </w:r>
          </w:p>
        </w:tc>
        <w:tc>
          <w:tcPr>
            <w:tcW w:w="914" w:type="pct"/>
            <w:vAlign w:val="center"/>
          </w:tcPr>
          <w:p w14:paraId="5D46A988">
            <w:pPr>
              <w:pStyle w:val="557"/>
            </w:pPr>
            <w:r>
              <w:rPr>
                <w:rFonts w:hint="eastAsia"/>
              </w:rPr>
              <w:t>44</w:t>
            </w:r>
          </w:p>
        </w:tc>
        <w:tc>
          <w:tcPr>
            <w:tcW w:w="750" w:type="pct"/>
            <w:vAlign w:val="center"/>
          </w:tcPr>
          <w:p w14:paraId="7AE2A410">
            <w:pPr>
              <w:pStyle w:val="557"/>
            </w:pPr>
            <w:r>
              <w:t>达标</w:t>
            </w:r>
          </w:p>
        </w:tc>
        <w:tc>
          <w:tcPr>
            <w:tcW w:w="584" w:type="pct"/>
            <w:vMerge w:val="restart"/>
            <w:vAlign w:val="center"/>
          </w:tcPr>
          <w:p w14:paraId="63BCFBF6">
            <w:pPr>
              <w:pStyle w:val="557"/>
            </w:pPr>
            <w:r>
              <w:rPr>
                <w:rFonts w:hint="eastAsia"/>
              </w:rPr>
              <w:t>6</w:t>
            </w:r>
            <w:r>
              <w:t>5</w:t>
            </w:r>
          </w:p>
        </w:tc>
        <w:tc>
          <w:tcPr>
            <w:tcW w:w="524" w:type="pct"/>
            <w:vMerge w:val="restart"/>
            <w:vAlign w:val="center"/>
          </w:tcPr>
          <w:p w14:paraId="641AF9D6">
            <w:pPr>
              <w:pStyle w:val="557"/>
            </w:pPr>
            <w:r>
              <w:rPr>
                <w:rFonts w:hint="eastAsia"/>
              </w:rPr>
              <w:t>5</w:t>
            </w:r>
            <w:r>
              <w:t>5</w:t>
            </w:r>
          </w:p>
        </w:tc>
      </w:tr>
      <w:tr w14:paraId="5765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Align w:val="center"/>
          </w:tcPr>
          <w:p w14:paraId="7183CCD7">
            <w:pPr>
              <w:pStyle w:val="557"/>
            </w:pPr>
            <w:r>
              <w:rPr>
                <w:rFonts w:hint="eastAsia"/>
              </w:rPr>
              <w:t>厂界南侧</w:t>
            </w:r>
          </w:p>
        </w:tc>
        <w:tc>
          <w:tcPr>
            <w:tcW w:w="773" w:type="pct"/>
            <w:vAlign w:val="center"/>
          </w:tcPr>
          <w:p w14:paraId="685637D5">
            <w:pPr>
              <w:pStyle w:val="557"/>
            </w:pPr>
            <w:r>
              <w:rPr>
                <w:rFonts w:hint="eastAsia"/>
              </w:rPr>
              <w:t>51</w:t>
            </w:r>
          </w:p>
        </w:tc>
        <w:tc>
          <w:tcPr>
            <w:tcW w:w="834" w:type="pct"/>
            <w:vAlign w:val="center"/>
          </w:tcPr>
          <w:p w14:paraId="4EA8DD97">
            <w:pPr>
              <w:pStyle w:val="557"/>
            </w:pPr>
            <w:r>
              <w:t>达标</w:t>
            </w:r>
          </w:p>
        </w:tc>
        <w:tc>
          <w:tcPr>
            <w:tcW w:w="914" w:type="pct"/>
            <w:vAlign w:val="center"/>
          </w:tcPr>
          <w:p w14:paraId="3F49C352">
            <w:pPr>
              <w:pStyle w:val="557"/>
            </w:pPr>
            <w:r>
              <w:rPr>
                <w:rFonts w:hint="eastAsia"/>
              </w:rPr>
              <w:t>44</w:t>
            </w:r>
          </w:p>
        </w:tc>
        <w:tc>
          <w:tcPr>
            <w:tcW w:w="750" w:type="pct"/>
            <w:vAlign w:val="center"/>
          </w:tcPr>
          <w:p w14:paraId="0BD6F5FC">
            <w:pPr>
              <w:pStyle w:val="557"/>
            </w:pPr>
            <w:r>
              <w:t>达标</w:t>
            </w:r>
          </w:p>
        </w:tc>
        <w:tc>
          <w:tcPr>
            <w:tcW w:w="584" w:type="pct"/>
            <w:vMerge w:val="continue"/>
            <w:vAlign w:val="center"/>
          </w:tcPr>
          <w:p w14:paraId="50A78C2D">
            <w:pPr>
              <w:pStyle w:val="557"/>
            </w:pPr>
          </w:p>
        </w:tc>
        <w:tc>
          <w:tcPr>
            <w:tcW w:w="524" w:type="pct"/>
            <w:vMerge w:val="continue"/>
            <w:vAlign w:val="center"/>
          </w:tcPr>
          <w:p w14:paraId="46B98D10">
            <w:pPr>
              <w:pStyle w:val="557"/>
            </w:pPr>
          </w:p>
        </w:tc>
      </w:tr>
      <w:tr w14:paraId="26C5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Align w:val="center"/>
          </w:tcPr>
          <w:p w14:paraId="6B598A42">
            <w:pPr>
              <w:pStyle w:val="557"/>
            </w:pPr>
            <w:r>
              <w:rPr>
                <w:rFonts w:hint="eastAsia"/>
              </w:rPr>
              <w:t>厂界西侧</w:t>
            </w:r>
          </w:p>
        </w:tc>
        <w:tc>
          <w:tcPr>
            <w:tcW w:w="773" w:type="pct"/>
            <w:vAlign w:val="center"/>
          </w:tcPr>
          <w:p w14:paraId="651A03DB">
            <w:pPr>
              <w:pStyle w:val="557"/>
            </w:pPr>
            <w:r>
              <w:rPr>
                <w:rFonts w:hint="eastAsia"/>
              </w:rPr>
              <w:t>50</w:t>
            </w:r>
          </w:p>
        </w:tc>
        <w:tc>
          <w:tcPr>
            <w:tcW w:w="834" w:type="pct"/>
            <w:vAlign w:val="center"/>
          </w:tcPr>
          <w:p w14:paraId="3212C865">
            <w:pPr>
              <w:pStyle w:val="557"/>
            </w:pPr>
            <w:r>
              <w:t>达标</w:t>
            </w:r>
          </w:p>
        </w:tc>
        <w:tc>
          <w:tcPr>
            <w:tcW w:w="914" w:type="pct"/>
            <w:vAlign w:val="center"/>
          </w:tcPr>
          <w:p w14:paraId="159E8A62">
            <w:pPr>
              <w:pStyle w:val="557"/>
            </w:pPr>
            <w:r>
              <w:rPr>
                <w:rFonts w:hint="eastAsia"/>
              </w:rPr>
              <w:t>43</w:t>
            </w:r>
          </w:p>
        </w:tc>
        <w:tc>
          <w:tcPr>
            <w:tcW w:w="750" w:type="pct"/>
            <w:vAlign w:val="center"/>
          </w:tcPr>
          <w:p w14:paraId="7E2F9436">
            <w:pPr>
              <w:pStyle w:val="557"/>
            </w:pPr>
            <w:r>
              <w:t>达标</w:t>
            </w:r>
          </w:p>
        </w:tc>
        <w:tc>
          <w:tcPr>
            <w:tcW w:w="584" w:type="pct"/>
            <w:vMerge w:val="continue"/>
            <w:vAlign w:val="center"/>
          </w:tcPr>
          <w:p w14:paraId="0255C7D1">
            <w:pPr>
              <w:pStyle w:val="557"/>
            </w:pPr>
          </w:p>
        </w:tc>
        <w:tc>
          <w:tcPr>
            <w:tcW w:w="524" w:type="pct"/>
            <w:vMerge w:val="continue"/>
            <w:vAlign w:val="center"/>
          </w:tcPr>
          <w:p w14:paraId="2FDF5B7E">
            <w:pPr>
              <w:pStyle w:val="557"/>
            </w:pPr>
          </w:p>
        </w:tc>
      </w:tr>
      <w:tr w14:paraId="1571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Align w:val="center"/>
          </w:tcPr>
          <w:p w14:paraId="0B150792">
            <w:pPr>
              <w:pStyle w:val="557"/>
            </w:pPr>
            <w:r>
              <w:rPr>
                <w:rFonts w:hint="eastAsia"/>
              </w:rPr>
              <w:t>厂界北侧</w:t>
            </w:r>
          </w:p>
        </w:tc>
        <w:tc>
          <w:tcPr>
            <w:tcW w:w="773" w:type="pct"/>
            <w:vAlign w:val="center"/>
          </w:tcPr>
          <w:p w14:paraId="40D01BEB">
            <w:pPr>
              <w:pStyle w:val="557"/>
            </w:pPr>
            <w:r>
              <w:rPr>
                <w:rFonts w:hint="eastAsia"/>
              </w:rPr>
              <w:t>51</w:t>
            </w:r>
          </w:p>
        </w:tc>
        <w:tc>
          <w:tcPr>
            <w:tcW w:w="834" w:type="pct"/>
            <w:vAlign w:val="center"/>
          </w:tcPr>
          <w:p w14:paraId="0ACBE2D6">
            <w:pPr>
              <w:pStyle w:val="557"/>
            </w:pPr>
            <w:r>
              <w:t>达标</w:t>
            </w:r>
          </w:p>
        </w:tc>
        <w:tc>
          <w:tcPr>
            <w:tcW w:w="914" w:type="pct"/>
            <w:vAlign w:val="center"/>
          </w:tcPr>
          <w:p w14:paraId="4AC9E4C3">
            <w:pPr>
              <w:pStyle w:val="557"/>
            </w:pPr>
            <w:r>
              <w:rPr>
                <w:rFonts w:hint="eastAsia"/>
              </w:rPr>
              <w:t>44</w:t>
            </w:r>
          </w:p>
        </w:tc>
        <w:tc>
          <w:tcPr>
            <w:tcW w:w="750" w:type="pct"/>
            <w:vAlign w:val="center"/>
          </w:tcPr>
          <w:p w14:paraId="3E59EF72">
            <w:pPr>
              <w:pStyle w:val="557"/>
            </w:pPr>
            <w:r>
              <w:t>达标</w:t>
            </w:r>
          </w:p>
        </w:tc>
        <w:tc>
          <w:tcPr>
            <w:tcW w:w="584" w:type="pct"/>
            <w:vMerge w:val="continue"/>
            <w:vAlign w:val="center"/>
          </w:tcPr>
          <w:p w14:paraId="1B43C3C1">
            <w:pPr>
              <w:pStyle w:val="557"/>
            </w:pPr>
          </w:p>
        </w:tc>
        <w:tc>
          <w:tcPr>
            <w:tcW w:w="524" w:type="pct"/>
            <w:vMerge w:val="continue"/>
            <w:vAlign w:val="center"/>
          </w:tcPr>
          <w:p w14:paraId="11B986B4">
            <w:pPr>
              <w:pStyle w:val="557"/>
            </w:pPr>
          </w:p>
        </w:tc>
      </w:tr>
      <w:tr w14:paraId="3A6C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621" w:type="pct"/>
            <w:vAlign w:val="center"/>
          </w:tcPr>
          <w:p w14:paraId="37CC12ED">
            <w:pPr>
              <w:pStyle w:val="557"/>
            </w:pPr>
            <w:r>
              <w:rPr>
                <w:rFonts w:hint="eastAsia"/>
              </w:rPr>
              <w:t>220kV变电站</w:t>
            </w:r>
          </w:p>
        </w:tc>
        <w:tc>
          <w:tcPr>
            <w:tcW w:w="773" w:type="pct"/>
            <w:vAlign w:val="center"/>
          </w:tcPr>
          <w:p w14:paraId="2AFEE025">
            <w:pPr>
              <w:pStyle w:val="557"/>
            </w:pPr>
            <w:r>
              <w:rPr>
                <w:rFonts w:hint="eastAsia"/>
              </w:rPr>
              <w:t>50</w:t>
            </w:r>
          </w:p>
        </w:tc>
        <w:tc>
          <w:tcPr>
            <w:tcW w:w="834" w:type="pct"/>
            <w:vAlign w:val="center"/>
          </w:tcPr>
          <w:p w14:paraId="0EE9C150">
            <w:pPr>
              <w:pStyle w:val="557"/>
            </w:pPr>
            <w:r>
              <w:t>达标</w:t>
            </w:r>
          </w:p>
        </w:tc>
        <w:tc>
          <w:tcPr>
            <w:tcW w:w="914" w:type="pct"/>
            <w:vAlign w:val="center"/>
          </w:tcPr>
          <w:p w14:paraId="38A9D3AF">
            <w:pPr>
              <w:pStyle w:val="557"/>
            </w:pPr>
            <w:r>
              <w:rPr>
                <w:rFonts w:hint="eastAsia"/>
              </w:rPr>
              <w:t>43</w:t>
            </w:r>
          </w:p>
        </w:tc>
        <w:tc>
          <w:tcPr>
            <w:tcW w:w="750" w:type="pct"/>
            <w:vAlign w:val="center"/>
          </w:tcPr>
          <w:p w14:paraId="662AAE33">
            <w:pPr>
              <w:pStyle w:val="557"/>
            </w:pPr>
            <w:r>
              <w:t>达标</w:t>
            </w:r>
          </w:p>
        </w:tc>
        <w:tc>
          <w:tcPr>
            <w:tcW w:w="584" w:type="pct"/>
            <w:vMerge w:val="continue"/>
            <w:vAlign w:val="center"/>
          </w:tcPr>
          <w:p w14:paraId="0E69BB43">
            <w:pPr>
              <w:pStyle w:val="557"/>
            </w:pPr>
          </w:p>
        </w:tc>
        <w:tc>
          <w:tcPr>
            <w:tcW w:w="524" w:type="pct"/>
            <w:vMerge w:val="continue"/>
            <w:vAlign w:val="center"/>
          </w:tcPr>
          <w:p w14:paraId="0941BFED">
            <w:pPr>
              <w:pStyle w:val="557"/>
            </w:pPr>
          </w:p>
        </w:tc>
      </w:tr>
    </w:tbl>
    <w:p w14:paraId="740E0416">
      <w:pPr>
        <w:pStyle w:val="641"/>
        <w:jc w:val="center"/>
      </w:pPr>
    </w:p>
    <w:p w14:paraId="58BFC763">
      <w:pPr>
        <w:pStyle w:val="281"/>
        <w:ind w:firstLine="480"/>
      </w:pPr>
      <w:r>
        <w:rPr>
          <w:rFonts w:hint="eastAsia" w:ascii="宋体" w:hAnsi="宋体"/>
        </w:rPr>
        <w:t>从上表的监测结果及分析可看出，项目区四</w:t>
      </w:r>
      <w:r>
        <w:rPr>
          <w:rFonts w:cs="Times New Roman"/>
        </w:rPr>
        <w:t>周及220kV变电站昼</w:t>
      </w:r>
      <w:r>
        <w:rPr>
          <w:rFonts w:hint="eastAsia" w:ascii="宋体" w:hAnsi="宋体"/>
        </w:rPr>
        <w:t>间、夜间</w:t>
      </w:r>
      <w:r>
        <w:t>Leq</w:t>
      </w:r>
      <w:r>
        <w:rPr>
          <w:rFonts w:hint="eastAsia" w:ascii="宋体" w:hAnsi="宋体"/>
        </w:rPr>
        <w:t>（</w:t>
      </w:r>
      <w:r>
        <w:t>dB</w:t>
      </w:r>
      <w:r>
        <w:rPr>
          <w:rFonts w:hint="eastAsia" w:ascii="宋体" w:hAnsi="宋体"/>
        </w:rPr>
        <w:t>（</w:t>
      </w:r>
      <w:r>
        <w:t>A</w:t>
      </w:r>
      <w:r>
        <w:rPr>
          <w:rFonts w:hint="eastAsia" w:ascii="宋体" w:hAnsi="宋体"/>
        </w:rPr>
        <w:t>））均达标，小于《声环境质量标准》（</w:t>
      </w:r>
      <w:r>
        <w:t>GB3096-2008</w:t>
      </w:r>
      <w:r>
        <w:rPr>
          <w:rFonts w:hint="eastAsia" w:ascii="宋体" w:hAnsi="宋体"/>
        </w:rPr>
        <w:t>）中</w:t>
      </w:r>
      <w:r>
        <w:t>3</w:t>
      </w:r>
      <w:r>
        <w:rPr>
          <w:rFonts w:hint="eastAsia" w:ascii="宋体" w:hAnsi="宋体"/>
        </w:rPr>
        <w:t>类噪声标准限值，说明项目区声环境质量现状良好。</w:t>
      </w:r>
    </w:p>
    <w:p w14:paraId="5051037F">
      <w:pPr>
        <w:pStyle w:val="97"/>
        <w:rPr>
          <w:rFonts w:hint="eastAsia"/>
        </w:rPr>
      </w:pPr>
      <w:r>
        <w:rPr>
          <w:rFonts w:hint="eastAsia"/>
        </w:rPr>
        <w:t>土壤现状</w:t>
      </w:r>
      <w:r>
        <w:t>调查与评价</w:t>
      </w:r>
    </w:p>
    <w:p w14:paraId="4EFFF381">
      <w:pPr>
        <w:pStyle w:val="281"/>
        <w:ind w:firstLine="480"/>
      </w:pPr>
      <w:r>
        <w:t>本项目位于</w:t>
      </w:r>
      <w:r>
        <w:rPr>
          <w:rFonts w:hint="eastAsia"/>
        </w:rPr>
        <w:t>哈密工业园区</w:t>
      </w:r>
      <w:r>
        <w:t>，项目占地范围内土地利用现状为</w:t>
      </w:r>
      <w:r>
        <w:rPr>
          <w:rFonts w:hint="eastAsia"/>
        </w:rPr>
        <w:t>灰漠土，规划为工业用地</w:t>
      </w:r>
      <w:r>
        <w:t>。根据土壤普查结果，本项目评价范围内仅有一种土壤类型，为</w:t>
      </w:r>
      <w:r>
        <w:rPr>
          <w:rFonts w:hint="eastAsia"/>
        </w:rPr>
        <w:t>灰漠土</w:t>
      </w:r>
      <w:r>
        <w:t>。</w:t>
      </w:r>
    </w:p>
    <w:p w14:paraId="4C2D89EF">
      <w:pPr>
        <w:pStyle w:val="281"/>
        <w:ind w:firstLine="480"/>
      </w:pPr>
      <w:r>
        <w:rPr>
          <w:rFonts w:hint="eastAsia"/>
        </w:rPr>
        <w:t>土壤环境现状调查包括土壤理化性质调查及土壤环境质量现状调查。</w:t>
      </w:r>
    </w:p>
    <w:p w14:paraId="0A116926">
      <w:pPr>
        <w:pStyle w:val="98"/>
        <w:rPr>
          <w:rFonts w:hint="eastAsia"/>
        </w:rPr>
      </w:pPr>
      <w:r>
        <w:rPr>
          <w:rFonts w:hint="eastAsia"/>
        </w:rPr>
        <w:t>监测点位与监测项目</w:t>
      </w:r>
    </w:p>
    <w:p w14:paraId="58FB89AE">
      <w:pPr>
        <w:pStyle w:val="281"/>
        <w:ind w:firstLine="480"/>
      </w:pPr>
      <w:r>
        <w:rPr>
          <w:rFonts w:hint="eastAsia"/>
        </w:rPr>
        <w:t>按照《环境影响评价技术导则土壤环境（试行）》（</w:t>
      </w:r>
      <w:r>
        <w:t>HJ964-2018</w:t>
      </w:r>
      <w:r>
        <w:rPr>
          <w:rFonts w:hint="eastAsia"/>
        </w:rPr>
        <w:t>）要求，在建设项目厂区内和厂外共布设</w:t>
      </w:r>
      <w:r>
        <w:t>11</w:t>
      </w:r>
      <w:r>
        <w:rPr>
          <w:rFonts w:hint="eastAsia"/>
        </w:rPr>
        <w:t>个监测点位，其中包括占地范围内</w:t>
      </w:r>
      <w:r>
        <w:t>5</w:t>
      </w:r>
      <w:r>
        <w:rPr>
          <w:rFonts w:hint="eastAsia"/>
        </w:rPr>
        <w:t>个柱状样和</w:t>
      </w:r>
      <w:r>
        <w:t>2</w:t>
      </w:r>
      <w:r>
        <w:rPr>
          <w:rFonts w:hint="eastAsia"/>
        </w:rPr>
        <w:t>个表层样、占地范围外</w:t>
      </w:r>
      <w:r>
        <w:t>4</w:t>
      </w:r>
      <w:r>
        <w:rPr>
          <w:rFonts w:hint="eastAsia"/>
        </w:rPr>
        <w:t>个表层样。</w:t>
      </w:r>
    </w:p>
    <w:p w14:paraId="44DDBEDD">
      <w:pPr>
        <w:pStyle w:val="281"/>
        <w:ind w:firstLine="480"/>
      </w:pPr>
      <w:r>
        <w:rPr>
          <w:rFonts w:hint="eastAsia"/>
        </w:rPr>
        <w:t>本项目占地范围内外的工业用地土壤监测项目包括《土壤环境质量建设用地土壤污染风险管控标准》（GB36600-2018）中表1建设用地土壤污染风险筛选值和管控值（基本项目）45个项目和特征因子pH、钴、石油烃（C</w:t>
      </w:r>
      <w:r>
        <w:rPr>
          <w:rFonts w:hint="eastAsia"/>
          <w:vertAlign w:val="subscript"/>
        </w:rPr>
        <w:t>10</w:t>
      </w:r>
      <w:r>
        <w:rPr>
          <w:rFonts w:hint="eastAsia"/>
        </w:rPr>
        <w:t>-C</w:t>
      </w:r>
      <w:r>
        <w:rPr>
          <w:rFonts w:hint="eastAsia"/>
          <w:vertAlign w:val="subscript"/>
        </w:rPr>
        <w:t>40</w:t>
      </w:r>
      <w:r>
        <w:rPr>
          <w:rFonts w:hint="eastAsia"/>
        </w:rPr>
        <w:t>）、氰化物。</w:t>
      </w:r>
    </w:p>
    <w:p w14:paraId="09EFF849">
      <w:pPr>
        <w:pStyle w:val="281"/>
        <w:ind w:firstLine="480"/>
      </w:pPr>
      <w:r>
        <w:rPr>
          <w:rFonts w:hint="eastAsia"/>
        </w:rPr>
        <w:t>本项目监测点位与监测项目，见表4</w:t>
      </w:r>
      <w:r>
        <w:t>.3.4-1</w:t>
      </w:r>
      <w:r>
        <w:rPr>
          <w:rFonts w:hint="eastAsia"/>
        </w:rPr>
        <w:t>及图4</w:t>
      </w:r>
      <w:r>
        <w:t>.3.4-1</w:t>
      </w:r>
      <w:r>
        <w:rPr>
          <w:rFonts w:hint="eastAsia"/>
        </w:rPr>
        <w:t>。</w:t>
      </w:r>
    </w:p>
    <w:p w14:paraId="5614AD62">
      <w:pPr>
        <w:pStyle w:val="541"/>
        <w:ind w:firstLine="560"/>
        <w:rPr>
          <w:rFonts w:hint="eastAsia"/>
        </w:rPr>
      </w:pPr>
      <w:r>
        <w:rPr>
          <w:rFonts w:hint="eastAsia"/>
        </w:rPr>
        <w:t>表4.3.4-1</w:t>
      </w:r>
      <w:r>
        <w:t xml:space="preserve">    </w:t>
      </w:r>
      <w:r>
        <w:rPr>
          <w:rFonts w:hint="eastAsia"/>
        </w:rPr>
        <w:t>项目土壤监测点布设一览表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457"/>
        <w:gridCol w:w="917"/>
        <w:gridCol w:w="708"/>
        <w:gridCol w:w="5851"/>
        <w:gridCol w:w="572"/>
      </w:tblGrid>
      <w:tr w14:paraId="059A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724C7086">
            <w:pPr>
              <w:pStyle w:val="557"/>
            </w:pPr>
            <w:r>
              <w:t>编号</w:t>
            </w:r>
          </w:p>
        </w:tc>
        <w:tc>
          <w:tcPr>
            <w:tcW w:w="539" w:type="pct"/>
            <w:vAlign w:val="center"/>
          </w:tcPr>
          <w:p w14:paraId="7985C268">
            <w:pPr>
              <w:pStyle w:val="557"/>
            </w:pPr>
            <w:r>
              <w:t>地点名称</w:t>
            </w:r>
          </w:p>
        </w:tc>
        <w:tc>
          <w:tcPr>
            <w:tcW w:w="3856" w:type="pct"/>
            <w:gridSpan w:val="2"/>
            <w:vAlign w:val="center"/>
          </w:tcPr>
          <w:p w14:paraId="1B800832">
            <w:pPr>
              <w:pStyle w:val="557"/>
            </w:pPr>
            <w:r>
              <w:t>监测项目</w:t>
            </w:r>
          </w:p>
        </w:tc>
        <w:tc>
          <w:tcPr>
            <w:tcW w:w="336" w:type="pct"/>
            <w:vAlign w:val="center"/>
          </w:tcPr>
          <w:p w14:paraId="19C715BF">
            <w:pPr>
              <w:pStyle w:val="557"/>
            </w:pPr>
            <w:r>
              <w:t>备注</w:t>
            </w:r>
          </w:p>
        </w:tc>
      </w:tr>
      <w:tr w14:paraId="6605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00244054">
            <w:pPr>
              <w:pStyle w:val="557"/>
            </w:pPr>
            <w:r>
              <w:t>1</w:t>
            </w:r>
          </w:p>
        </w:tc>
        <w:tc>
          <w:tcPr>
            <w:tcW w:w="539" w:type="pct"/>
            <w:vAlign w:val="center"/>
          </w:tcPr>
          <w:p w14:paraId="09C49143">
            <w:pPr>
              <w:pStyle w:val="557"/>
            </w:pPr>
            <w:r>
              <w:t xml:space="preserve">厂界内1# </w:t>
            </w:r>
          </w:p>
        </w:tc>
        <w:tc>
          <w:tcPr>
            <w:tcW w:w="416" w:type="pct"/>
            <w:vAlign w:val="center"/>
          </w:tcPr>
          <w:p w14:paraId="55057A67">
            <w:pPr>
              <w:pStyle w:val="557"/>
            </w:pPr>
            <w:r>
              <w:t>柱状样</w:t>
            </w:r>
          </w:p>
        </w:tc>
        <w:tc>
          <w:tcPr>
            <w:tcW w:w="3440" w:type="pct"/>
            <w:vAlign w:val="center"/>
          </w:tcPr>
          <w:p w14:paraId="4E359913">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restart"/>
            <w:vAlign w:val="center"/>
          </w:tcPr>
          <w:p w14:paraId="793E4C62">
            <w:pPr>
              <w:pStyle w:val="557"/>
            </w:pPr>
            <w:r>
              <w:t>现场监测</w:t>
            </w:r>
          </w:p>
        </w:tc>
      </w:tr>
      <w:tr w14:paraId="0599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7481CC46">
            <w:pPr>
              <w:pStyle w:val="557"/>
            </w:pPr>
            <w:r>
              <w:t>2</w:t>
            </w:r>
          </w:p>
        </w:tc>
        <w:tc>
          <w:tcPr>
            <w:tcW w:w="539" w:type="pct"/>
            <w:vAlign w:val="center"/>
          </w:tcPr>
          <w:p w14:paraId="32867EE2">
            <w:pPr>
              <w:pStyle w:val="557"/>
            </w:pPr>
            <w:r>
              <w:t xml:space="preserve">厂界内2# </w:t>
            </w:r>
          </w:p>
        </w:tc>
        <w:tc>
          <w:tcPr>
            <w:tcW w:w="416" w:type="pct"/>
            <w:vAlign w:val="center"/>
          </w:tcPr>
          <w:p w14:paraId="6CBE7BD7">
            <w:pPr>
              <w:pStyle w:val="557"/>
            </w:pPr>
            <w:r>
              <w:t>柱状样</w:t>
            </w:r>
          </w:p>
        </w:tc>
        <w:tc>
          <w:tcPr>
            <w:tcW w:w="3440" w:type="pct"/>
            <w:vAlign w:val="center"/>
          </w:tcPr>
          <w:p w14:paraId="62A1DBD8">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767BC74E">
            <w:pPr>
              <w:pStyle w:val="557"/>
            </w:pPr>
          </w:p>
        </w:tc>
      </w:tr>
      <w:tr w14:paraId="2A83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7E1A5D0C">
            <w:pPr>
              <w:pStyle w:val="557"/>
            </w:pPr>
            <w:r>
              <w:t>3</w:t>
            </w:r>
          </w:p>
        </w:tc>
        <w:tc>
          <w:tcPr>
            <w:tcW w:w="539" w:type="pct"/>
            <w:vAlign w:val="center"/>
          </w:tcPr>
          <w:p w14:paraId="547097E2">
            <w:pPr>
              <w:pStyle w:val="557"/>
            </w:pPr>
            <w:r>
              <w:t xml:space="preserve">厂界内3# </w:t>
            </w:r>
          </w:p>
        </w:tc>
        <w:tc>
          <w:tcPr>
            <w:tcW w:w="416" w:type="pct"/>
            <w:vAlign w:val="center"/>
          </w:tcPr>
          <w:p w14:paraId="7E7FA31F">
            <w:pPr>
              <w:pStyle w:val="557"/>
            </w:pPr>
            <w:r>
              <w:t>柱状样</w:t>
            </w:r>
          </w:p>
        </w:tc>
        <w:tc>
          <w:tcPr>
            <w:tcW w:w="3440" w:type="pct"/>
            <w:vAlign w:val="center"/>
          </w:tcPr>
          <w:p w14:paraId="01A1DD4B">
            <w:pPr>
              <w:pStyle w:val="557"/>
            </w:pPr>
            <w: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2-氯酚、苯并[a]蒽、苯并[a]芘、苯并[b]荧蒽、苯并[k]荧蒽、䓛、二苯并[a,h]蒽、茚并[1,2,3-cd]芘、萘共45项+pH、钴、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r>
              <w:t>、氰化物</w:t>
            </w:r>
          </w:p>
        </w:tc>
        <w:tc>
          <w:tcPr>
            <w:tcW w:w="336" w:type="pct"/>
            <w:vMerge w:val="continue"/>
            <w:vAlign w:val="center"/>
          </w:tcPr>
          <w:p w14:paraId="39B331A1">
            <w:pPr>
              <w:pStyle w:val="557"/>
            </w:pPr>
          </w:p>
        </w:tc>
      </w:tr>
      <w:tr w14:paraId="7C75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1D7CD367">
            <w:pPr>
              <w:pStyle w:val="557"/>
            </w:pPr>
            <w:r>
              <w:t>4</w:t>
            </w:r>
          </w:p>
        </w:tc>
        <w:tc>
          <w:tcPr>
            <w:tcW w:w="539" w:type="pct"/>
            <w:vAlign w:val="center"/>
          </w:tcPr>
          <w:p w14:paraId="58C6DA87">
            <w:pPr>
              <w:pStyle w:val="557"/>
            </w:pPr>
            <w:r>
              <w:t xml:space="preserve">厂界内4# </w:t>
            </w:r>
          </w:p>
        </w:tc>
        <w:tc>
          <w:tcPr>
            <w:tcW w:w="416" w:type="pct"/>
            <w:vAlign w:val="center"/>
          </w:tcPr>
          <w:p w14:paraId="5FBA4B27">
            <w:pPr>
              <w:pStyle w:val="557"/>
            </w:pPr>
            <w:r>
              <w:t>柱状样</w:t>
            </w:r>
          </w:p>
        </w:tc>
        <w:tc>
          <w:tcPr>
            <w:tcW w:w="3440" w:type="pct"/>
            <w:vAlign w:val="center"/>
          </w:tcPr>
          <w:p w14:paraId="08E1F668">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5FB6A216">
            <w:pPr>
              <w:pStyle w:val="557"/>
            </w:pPr>
          </w:p>
        </w:tc>
      </w:tr>
      <w:tr w14:paraId="65DC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30FD0F3D">
            <w:pPr>
              <w:pStyle w:val="557"/>
            </w:pPr>
            <w:r>
              <w:t>5</w:t>
            </w:r>
          </w:p>
        </w:tc>
        <w:tc>
          <w:tcPr>
            <w:tcW w:w="539" w:type="pct"/>
            <w:vAlign w:val="center"/>
          </w:tcPr>
          <w:p w14:paraId="773E71E5">
            <w:pPr>
              <w:pStyle w:val="557"/>
            </w:pPr>
            <w:r>
              <w:t xml:space="preserve">厂界内5# </w:t>
            </w:r>
          </w:p>
        </w:tc>
        <w:tc>
          <w:tcPr>
            <w:tcW w:w="416" w:type="pct"/>
            <w:vAlign w:val="center"/>
          </w:tcPr>
          <w:p w14:paraId="31A45D1F">
            <w:pPr>
              <w:pStyle w:val="557"/>
            </w:pPr>
            <w:r>
              <w:t>柱状样</w:t>
            </w:r>
          </w:p>
        </w:tc>
        <w:tc>
          <w:tcPr>
            <w:tcW w:w="3440" w:type="pct"/>
            <w:vAlign w:val="center"/>
          </w:tcPr>
          <w:p w14:paraId="09953CB7">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3D46F2C6">
            <w:pPr>
              <w:pStyle w:val="557"/>
            </w:pPr>
          </w:p>
        </w:tc>
      </w:tr>
      <w:tr w14:paraId="29A7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568A5549">
            <w:pPr>
              <w:pStyle w:val="557"/>
            </w:pPr>
            <w:r>
              <w:t>6</w:t>
            </w:r>
          </w:p>
        </w:tc>
        <w:tc>
          <w:tcPr>
            <w:tcW w:w="539" w:type="pct"/>
            <w:vAlign w:val="center"/>
          </w:tcPr>
          <w:p w14:paraId="13F6C1D7">
            <w:pPr>
              <w:pStyle w:val="557"/>
            </w:pPr>
            <w:r>
              <w:t xml:space="preserve">厂界内1# </w:t>
            </w:r>
          </w:p>
        </w:tc>
        <w:tc>
          <w:tcPr>
            <w:tcW w:w="416" w:type="pct"/>
            <w:vAlign w:val="center"/>
          </w:tcPr>
          <w:p w14:paraId="7C77134B">
            <w:pPr>
              <w:pStyle w:val="557"/>
            </w:pPr>
            <w:r>
              <w:t>表层样</w:t>
            </w:r>
          </w:p>
        </w:tc>
        <w:tc>
          <w:tcPr>
            <w:tcW w:w="3440" w:type="pct"/>
            <w:vAlign w:val="center"/>
          </w:tcPr>
          <w:p w14:paraId="7F2C1B4E">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5A20714D">
            <w:pPr>
              <w:pStyle w:val="557"/>
            </w:pPr>
          </w:p>
        </w:tc>
      </w:tr>
      <w:tr w14:paraId="6A6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1937DADF">
            <w:pPr>
              <w:pStyle w:val="557"/>
            </w:pPr>
            <w:r>
              <w:t>7</w:t>
            </w:r>
          </w:p>
        </w:tc>
        <w:tc>
          <w:tcPr>
            <w:tcW w:w="539" w:type="pct"/>
            <w:vAlign w:val="center"/>
          </w:tcPr>
          <w:p w14:paraId="0ED46CAA">
            <w:pPr>
              <w:pStyle w:val="557"/>
            </w:pPr>
            <w:r>
              <w:t xml:space="preserve">厂界内2# </w:t>
            </w:r>
          </w:p>
        </w:tc>
        <w:tc>
          <w:tcPr>
            <w:tcW w:w="416" w:type="pct"/>
            <w:vAlign w:val="center"/>
          </w:tcPr>
          <w:p w14:paraId="06596C76">
            <w:pPr>
              <w:pStyle w:val="557"/>
            </w:pPr>
            <w:r>
              <w:t>表层样</w:t>
            </w:r>
          </w:p>
        </w:tc>
        <w:tc>
          <w:tcPr>
            <w:tcW w:w="3440" w:type="pct"/>
            <w:vAlign w:val="center"/>
          </w:tcPr>
          <w:p w14:paraId="2FA28EE9">
            <w:pPr>
              <w:pStyle w:val="557"/>
            </w:pPr>
            <w: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2-氯酚、苯并[a]蒽、苯并[a]芘、苯并[b]荧蒽、苯并[k]荧蒽、䓛、二苯并[a,h]蒽、茚并[1,2,3-cd]芘、萘共45项+pH、钴、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r>
              <w:t>、氰化物</w:t>
            </w:r>
          </w:p>
        </w:tc>
        <w:tc>
          <w:tcPr>
            <w:tcW w:w="336" w:type="pct"/>
            <w:vMerge w:val="continue"/>
            <w:vAlign w:val="center"/>
          </w:tcPr>
          <w:p w14:paraId="0A514249">
            <w:pPr>
              <w:pStyle w:val="557"/>
            </w:pPr>
          </w:p>
        </w:tc>
      </w:tr>
      <w:tr w14:paraId="32C1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4B2E898C">
            <w:pPr>
              <w:pStyle w:val="557"/>
            </w:pPr>
            <w:r>
              <w:t>12</w:t>
            </w:r>
          </w:p>
        </w:tc>
        <w:tc>
          <w:tcPr>
            <w:tcW w:w="539" w:type="pct"/>
            <w:vAlign w:val="center"/>
          </w:tcPr>
          <w:p w14:paraId="535FAE87">
            <w:pPr>
              <w:pStyle w:val="557"/>
            </w:pPr>
            <w:r>
              <w:t xml:space="preserve">厂界外1# </w:t>
            </w:r>
          </w:p>
        </w:tc>
        <w:tc>
          <w:tcPr>
            <w:tcW w:w="416" w:type="pct"/>
            <w:vAlign w:val="center"/>
          </w:tcPr>
          <w:p w14:paraId="18B755C0">
            <w:pPr>
              <w:pStyle w:val="557"/>
            </w:pPr>
            <w:r>
              <w:t>表层样</w:t>
            </w:r>
          </w:p>
        </w:tc>
        <w:tc>
          <w:tcPr>
            <w:tcW w:w="3440" w:type="pct"/>
            <w:vAlign w:val="center"/>
          </w:tcPr>
          <w:p w14:paraId="4C615F05">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4E872C77">
            <w:pPr>
              <w:pStyle w:val="557"/>
            </w:pPr>
          </w:p>
        </w:tc>
      </w:tr>
      <w:tr w14:paraId="16C8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4B735BB6">
            <w:pPr>
              <w:pStyle w:val="557"/>
            </w:pPr>
            <w:r>
              <w:t>12</w:t>
            </w:r>
          </w:p>
        </w:tc>
        <w:tc>
          <w:tcPr>
            <w:tcW w:w="539" w:type="pct"/>
            <w:vAlign w:val="center"/>
          </w:tcPr>
          <w:p w14:paraId="239225AB">
            <w:pPr>
              <w:pStyle w:val="557"/>
            </w:pPr>
            <w:r>
              <w:t xml:space="preserve">厂界外2 </w:t>
            </w:r>
          </w:p>
        </w:tc>
        <w:tc>
          <w:tcPr>
            <w:tcW w:w="416" w:type="pct"/>
            <w:vAlign w:val="center"/>
          </w:tcPr>
          <w:p w14:paraId="38BBCEB7">
            <w:pPr>
              <w:pStyle w:val="557"/>
            </w:pPr>
            <w:r>
              <w:t>表层样</w:t>
            </w:r>
          </w:p>
        </w:tc>
        <w:tc>
          <w:tcPr>
            <w:tcW w:w="3440" w:type="pct"/>
            <w:vAlign w:val="center"/>
          </w:tcPr>
          <w:p w14:paraId="17F601CC">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53AFB53E">
            <w:pPr>
              <w:pStyle w:val="557"/>
            </w:pPr>
          </w:p>
        </w:tc>
      </w:tr>
      <w:tr w14:paraId="3DC3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342AF16C">
            <w:pPr>
              <w:pStyle w:val="557"/>
            </w:pPr>
            <w:r>
              <w:t>13</w:t>
            </w:r>
          </w:p>
        </w:tc>
        <w:tc>
          <w:tcPr>
            <w:tcW w:w="539" w:type="pct"/>
            <w:vAlign w:val="center"/>
          </w:tcPr>
          <w:p w14:paraId="6E7C9B04">
            <w:pPr>
              <w:pStyle w:val="557"/>
            </w:pPr>
            <w:r>
              <w:t xml:space="preserve">厂界外3 </w:t>
            </w:r>
          </w:p>
        </w:tc>
        <w:tc>
          <w:tcPr>
            <w:tcW w:w="416" w:type="pct"/>
            <w:vAlign w:val="center"/>
          </w:tcPr>
          <w:p w14:paraId="3D53E00A">
            <w:pPr>
              <w:pStyle w:val="557"/>
            </w:pPr>
            <w:r>
              <w:t>表层样</w:t>
            </w:r>
          </w:p>
        </w:tc>
        <w:tc>
          <w:tcPr>
            <w:tcW w:w="3440" w:type="pct"/>
            <w:vAlign w:val="center"/>
          </w:tcPr>
          <w:p w14:paraId="55C6B593">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4330AF5B">
            <w:pPr>
              <w:pStyle w:val="557"/>
            </w:pPr>
          </w:p>
        </w:tc>
      </w:tr>
      <w:tr w14:paraId="3BB5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4" w:hRule="atLeast"/>
          <w:jc w:val="center"/>
        </w:trPr>
        <w:tc>
          <w:tcPr>
            <w:tcW w:w="269" w:type="pct"/>
            <w:vAlign w:val="center"/>
          </w:tcPr>
          <w:p w14:paraId="2330186C">
            <w:pPr>
              <w:pStyle w:val="557"/>
            </w:pPr>
            <w:r>
              <w:t>14</w:t>
            </w:r>
          </w:p>
        </w:tc>
        <w:tc>
          <w:tcPr>
            <w:tcW w:w="539" w:type="pct"/>
            <w:vAlign w:val="center"/>
          </w:tcPr>
          <w:p w14:paraId="0725AA4D">
            <w:pPr>
              <w:pStyle w:val="557"/>
            </w:pPr>
            <w:r>
              <w:t xml:space="preserve">厂界外4 </w:t>
            </w:r>
          </w:p>
        </w:tc>
        <w:tc>
          <w:tcPr>
            <w:tcW w:w="416" w:type="pct"/>
            <w:vAlign w:val="center"/>
          </w:tcPr>
          <w:p w14:paraId="4B02EEE4">
            <w:pPr>
              <w:pStyle w:val="557"/>
            </w:pPr>
            <w:r>
              <w:t>表层样</w:t>
            </w:r>
          </w:p>
        </w:tc>
        <w:tc>
          <w:tcPr>
            <w:tcW w:w="3440" w:type="pct"/>
            <w:vAlign w:val="center"/>
          </w:tcPr>
          <w:p w14:paraId="4A936D08">
            <w:pPr>
              <w:pStyle w:val="557"/>
            </w:pPr>
            <w:r>
              <w:t>pH、铜、镍、铬（六价）、铅、镉、汞、砷、钴、苯并[a]芘、氰化物</w:t>
            </w:r>
            <w:r>
              <w:rPr>
                <w:rFonts w:hint="eastAsia"/>
              </w:rPr>
              <w:t>、</w:t>
            </w:r>
            <w:r>
              <w:t>石油烃</w:t>
            </w:r>
            <w:r>
              <w:rPr>
                <w:rFonts w:hint="eastAsia"/>
              </w:rPr>
              <w:t>（C</w:t>
            </w:r>
            <w:r>
              <w:rPr>
                <w:rFonts w:hint="eastAsia"/>
                <w:vertAlign w:val="subscript"/>
              </w:rPr>
              <w:t>10</w:t>
            </w:r>
            <w:r>
              <w:rPr>
                <w:rFonts w:hint="eastAsia"/>
              </w:rPr>
              <w:t>-C</w:t>
            </w:r>
            <w:r>
              <w:rPr>
                <w:rFonts w:hint="eastAsia"/>
                <w:vertAlign w:val="subscript"/>
              </w:rPr>
              <w:t>40</w:t>
            </w:r>
            <w:r>
              <w:rPr>
                <w:rFonts w:hint="eastAsia"/>
              </w:rPr>
              <w:t>）</w:t>
            </w:r>
          </w:p>
        </w:tc>
        <w:tc>
          <w:tcPr>
            <w:tcW w:w="336" w:type="pct"/>
            <w:vMerge w:val="continue"/>
            <w:vAlign w:val="center"/>
          </w:tcPr>
          <w:p w14:paraId="14CA9B55">
            <w:pPr>
              <w:pStyle w:val="557"/>
            </w:pPr>
          </w:p>
        </w:tc>
      </w:tr>
    </w:tbl>
    <w:p w14:paraId="49943409">
      <w:pPr>
        <w:pStyle w:val="541"/>
        <w:ind w:firstLine="560"/>
        <w:rPr>
          <w:rFonts w:hint="eastAsia"/>
        </w:rPr>
      </w:pPr>
    </w:p>
    <w:p w14:paraId="559D2425">
      <w:pPr>
        <w:pStyle w:val="557"/>
      </w:pPr>
    </w:p>
    <w:p w14:paraId="08808858">
      <w:pPr>
        <w:pStyle w:val="541"/>
        <w:rPr>
          <w:rFonts w:hint="eastAsia"/>
        </w:rPr>
      </w:pPr>
      <w:r>
        <w:rPr>
          <w:rFonts w:hint="eastAsia"/>
        </w:rPr>
        <w:t>图4.3.4-1    土壤监测布点图</w:t>
      </w:r>
    </w:p>
    <w:p w14:paraId="45FB56D5">
      <w:pPr>
        <w:pStyle w:val="98"/>
        <w:rPr>
          <w:rFonts w:hint="eastAsia"/>
        </w:rPr>
      </w:pPr>
      <w:r>
        <w:rPr>
          <w:rFonts w:hint="eastAsia"/>
        </w:rPr>
        <w:t>监测时间与监测单位</w:t>
      </w:r>
    </w:p>
    <w:p w14:paraId="563F126D">
      <w:pPr>
        <w:pStyle w:val="281"/>
        <w:ind w:firstLine="480"/>
      </w:pPr>
      <w:r>
        <w:t>监测时间</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1日</w:t>
      </w:r>
      <w:r>
        <w:rPr>
          <w:color w:val="000000" w:themeColor="text1"/>
          <w14:textFill>
            <w14:solidFill>
              <w14:schemeClr w14:val="tx1"/>
            </w14:solidFill>
          </w14:textFill>
        </w:rPr>
        <w:t>，采样监测</w:t>
      </w:r>
      <w:r>
        <w:t>一次。</w:t>
      </w:r>
    </w:p>
    <w:p w14:paraId="4CB2D2C3">
      <w:pPr>
        <w:pStyle w:val="281"/>
        <w:ind w:firstLine="480"/>
      </w:pPr>
      <w:r>
        <w:t>监测单位：</w:t>
      </w:r>
      <w:r>
        <w:rPr>
          <w:szCs w:val="24"/>
        </w:rPr>
        <w:t>新疆齐新环境服务有限公司</w:t>
      </w:r>
      <w:r>
        <w:t>。</w:t>
      </w:r>
    </w:p>
    <w:p w14:paraId="034C63A7">
      <w:pPr>
        <w:pStyle w:val="98"/>
        <w:rPr>
          <w:rFonts w:hint="eastAsia"/>
        </w:rPr>
      </w:pPr>
      <w:r>
        <w:t>采样和分析方法</w:t>
      </w:r>
    </w:p>
    <w:p w14:paraId="2497A4DC">
      <w:pPr>
        <w:pStyle w:val="281"/>
        <w:ind w:firstLine="480"/>
      </w:pPr>
      <w:r>
        <w:t>按要求采集表层土样及柱状土样。其中表层样在0-0.2m取样，柱状样在0-0.5m、0.5-1.5m、1.5-3m分别取样。</w:t>
      </w:r>
    </w:p>
    <w:p w14:paraId="689C3F53">
      <w:pPr>
        <w:pStyle w:val="281"/>
        <w:ind w:firstLine="480"/>
      </w:pPr>
      <w:r>
        <w:t>采样和分析方法</w:t>
      </w:r>
      <w:r>
        <w:rPr>
          <w:rFonts w:hint="eastAsia"/>
        </w:rPr>
        <w:t>按照</w:t>
      </w:r>
      <w:r>
        <w:t>《土壤环境监测技术规范》（HJ/T166-2004）的有关规范执行。</w:t>
      </w:r>
    </w:p>
    <w:p w14:paraId="4D3634DC">
      <w:pPr>
        <w:pStyle w:val="98"/>
        <w:rPr>
          <w:rFonts w:hint="eastAsia"/>
        </w:rPr>
      </w:pPr>
      <w:r>
        <w:rPr>
          <w:rFonts w:hint="eastAsia"/>
        </w:rPr>
        <w:t>评价标准与评价</w:t>
      </w:r>
      <w:r>
        <w:t>方法</w:t>
      </w:r>
    </w:p>
    <w:p w14:paraId="3396B05E">
      <w:pPr>
        <w:pStyle w:val="281"/>
        <w:ind w:firstLine="480"/>
        <w:rPr>
          <w:szCs w:val="24"/>
        </w:rPr>
      </w:pPr>
      <w:r>
        <w:rPr>
          <w:szCs w:val="24"/>
        </w:rPr>
        <w:t>（1）评价标准</w:t>
      </w:r>
    </w:p>
    <w:p w14:paraId="36F8D4D3">
      <w:pPr>
        <w:pStyle w:val="281"/>
        <w:ind w:firstLine="480"/>
        <w:rPr>
          <w:szCs w:val="24"/>
        </w:rPr>
      </w:pPr>
      <w:r>
        <w:rPr>
          <w:szCs w:val="24"/>
        </w:rPr>
        <w:t>建设用地土壤环境评价标准采用《土壤环境质量建设用地土壤污染风险管控标准》（GB36600-2018）中表1建设用地土壤污染风险第二类</w:t>
      </w:r>
      <w:r>
        <w:rPr>
          <w:rFonts w:hint="eastAsia"/>
          <w:szCs w:val="24"/>
        </w:rPr>
        <w:t>筛选</w:t>
      </w:r>
      <w:r>
        <w:rPr>
          <w:szCs w:val="24"/>
        </w:rPr>
        <w:t>值作为评价标准。</w:t>
      </w:r>
    </w:p>
    <w:p w14:paraId="030971DB">
      <w:pPr>
        <w:pStyle w:val="281"/>
        <w:ind w:firstLine="480"/>
        <w:rPr>
          <w:szCs w:val="24"/>
        </w:rPr>
      </w:pPr>
      <w:r>
        <w:rPr>
          <w:szCs w:val="24"/>
        </w:rPr>
        <w:t>（2）评价方法</w:t>
      </w:r>
    </w:p>
    <w:p w14:paraId="1C6191D0">
      <w:pPr>
        <w:pStyle w:val="281"/>
        <w:ind w:firstLine="480"/>
        <w:rPr>
          <w:szCs w:val="24"/>
        </w:rPr>
      </w:pPr>
      <w:r>
        <w:rPr>
          <w:szCs w:val="24"/>
        </w:rPr>
        <w:t>土壤环境质量现状采用</w:t>
      </w:r>
      <w:r>
        <w:rPr>
          <w:rFonts w:hint="eastAsia" w:ascii="宋体" w:hAnsi="宋体"/>
        </w:rPr>
        <w:t>标准指数法</w:t>
      </w:r>
      <w:r>
        <w:rPr>
          <w:szCs w:val="24"/>
        </w:rPr>
        <w:t>评价，计算公式如下：</w:t>
      </w:r>
    </w:p>
    <w:p w14:paraId="66239554">
      <w:pPr>
        <w:pStyle w:val="281"/>
        <w:ind w:firstLine="480"/>
        <w:jc w:val="center"/>
        <w:rPr>
          <w:szCs w:val="24"/>
        </w:rPr>
      </w:pPr>
      <w:r>
        <w:rPr>
          <w:szCs w:val="24"/>
        </w:rPr>
        <w:t>P</w:t>
      </w:r>
      <w:r>
        <w:rPr>
          <w:szCs w:val="24"/>
          <w:vertAlign w:val="subscript"/>
        </w:rPr>
        <w:t>i</w:t>
      </w:r>
      <w:r>
        <w:rPr>
          <w:szCs w:val="24"/>
        </w:rPr>
        <w:t>=C</w:t>
      </w:r>
      <w:r>
        <w:rPr>
          <w:szCs w:val="24"/>
          <w:vertAlign w:val="subscript"/>
        </w:rPr>
        <w:t>i</w:t>
      </w:r>
      <w:r>
        <w:rPr>
          <w:szCs w:val="24"/>
        </w:rPr>
        <w:t>/S</w:t>
      </w:r>
      <w:r>
        <w:rPr>
          <w:szCs w:val="24"/>
          <w:vertAlign w:val="subscript"/>
        </w:rPr>
        <w:t>i</w:t>
      </w:r>
    </w:p>
    <w:p w14:paraId="7E24B445">
      <w:pPr>
        <w:pStyle w:val="281"/>
        <w:ind w:firstLine="480"/>
        <w:rPr>
          <w:rFonts w:hint="eastAsia" w:ascii="宋体" w:hAnsi="宋体"/>
          <w:szCs w:val="24"/>
        </w:rPr>
      </w:pPr>
      <w:r>
        <w:rPr>
          <w:rFonts w:hint="eastAsia" w:ascii="宋体" w:hAnsi="宋体"/>
          <w:szCs w:val="24"/>
        </w:rPr>
        <w:t>式中，</w:t>
      </w:r>
      <w:r>
        <w:rPr>
          <w:szCs w:val="24"/>
        </w:rPr>
        <w:t>P</w:t>
      </w:r>
      <w:r>
        <w:rPr>
          <w:szCs w:val="24"/>
          <w:vertAlign w:val="subscript"/>
        </w:rPr>
        <w:t>i</w:t>
      </w:r>
      <w:r>
        <w:rPr>
          <w:szCs w:val="24"/>
        </w:rPr>
        <w:t>——</w:t>
      </w:r>
      <w:r>
        <w:rPr>
          <w:rFonts w:hint="eastAsia" w:ascii="宋体" w:hAnsi="宋体"/>
          <w:szCs w:val="24"/>
        </w:rPr>
        <w:t>土壤中污染物</w:t>
      </w:r>
      <w:r>
        <w:rPr>
          <w:szCs w:val="24"/>
        </w:rPr>
        <w:t>i</w:t>
      </w:r>
      <w:r>
        <w:rPr>
          <w:rFonts w:hint="eastAsia" w:ascii="宋体" w:hAnsi="宋体"/>
          <w:szCs w:val="24"/>
        </w:rPr>
        <w:t>的污染指数；</w:t>
      </w:r>
    </w:p>
    <w:p w14:paraId="6124A576">
      <w:pPr>
        <w:pStyle w:val="281"/>
        <w:ind w:firstLine="1200" w:firstLineChars="500"/>
        <w:rPr>
          <w:rFonts w:hint="eastAsia" w:ascii="宋体" w:hAnsi="宋体"/>
          <w:szCs w:val="24"/>
        </w:rPr>
      </w:pPr>
      <w:r>
        <w:rPr>
          <w:szCs w:val="24"/>
        </w:rPr>
        <w:t>C</w:t>
      </w:r>
      <w:r>
        <w:rPr>
          <w:szCs w:val="24"/>
          <w:vertAlign w:val="subscript"/>
        </w:rPr>
        <w:t>i</w:t>
      </w:r>
      <w:r>
        <w:rPr>
          <w:szCs w:val="24"/>
        </w:rPr>
        <w:t>——</w:t>
      </w:r>
      <w:r>
        <w:rPr>
          <w:rFonts w:hint="eastAsia" w:ascii="宋体" w:hAnsi="宋体"/>
          <w:szCs w:val="24"/>
        </w:rPr>
        <w:t>土壤中污染物</w:t>
      </w:r>
      <w:r>
        <w:rPr>
          <w:szCs w:val="24"/>
        </w:rPr>
        <w:t>i</w:t>
      </w:r>
      <w:r>
        <w:rPr>
          <w:rFonts w:hint="eastAsia" w:ascii="宋体" w:hAnsi="宋体"/>
          <w:szCs w:val="24"/>
        </w:rPr>
        <w:t>的实测含量（</w:t>
      </w:r>
      <w:r>
        <w:rPr>
          <w:szCs w:val="24"/>
        </w:rPr>
        <w:t>mg/kg</w:t>
      </w:r>
      <w:r>
        <w:rPr>
          <w:rFonts w:hint="eastAsia" w:ascii="宋体" w:hAnsi="宋体"/>
          <w:szCs w:val="24"/>
        </w:rPr>
        <w:t>）；</w:t>
      </w:r>
    </w:p>
    <w:p w14:paraId="55EC9D5F">
      <w:pPr>
        <w:pStyle w:val="281"/>
        <w:ind w:firstLine="1200" w:firstLineChars="500"/>
        <w:rPr>
          <w:szCs w:val="24"/>
        </w:rPr>
      </w:pPr>
      <w:r>
        <w:rPr>
          <w:szCs w:val="24"/>
        </w:rPr>
        <w:t>S</w:t>
      </w:r>
      <w:r>
        <w:rPr>
          <w:szCs w:val="24"/>
          <w:vertAlign w:val="subscript"/>
        </w:rPr>
        <w:t>i</w:t>
      </w:r>
      <w:r>
        <w:rPr>
          <w:szCs w:val="24"/>
        </w:rPr>
        <w:t>——</w:t>
      </w:r>
      <w:r>
        <w:rPr>
          <w:rFonts w:hint="eastAsia" w:ascii="宋体" w:hAnsi="宋体"/>
          <w:szCs w:val="24"/>
        </w:rPr>
        <w:t>土壤污染物的评价标准（</w:t>
      </w:r>
      <w:r>
        <w:rPr>
          <w:szCs w:val="24"/>
        </w:rPr>
        <w:t>mg/kg</w:t>
      </w:r>
      <w:r>
        <w:rPr>
          <w:rFonts w:hint="eastAsia" w:ascii="宋体" w:hAnsi="宋体"/>
          <w:szCs w:val="24"/>
        </w:rPr>
        <w:t>）。</w:t>
      </w:r>
    </w:p>
    <w:p w14:paraId="715E28DD">
      <w:pPr>
        <w:pStyle w:val="281"/>
        <w:ind w:firstLine="480"/>
      </w:pPr>
      <w:r>
        <w:t>评价时，土壤质量的标准指数＞1，表明该土壤质量参数超过了规定土壤质量标准限值，土壤质量参数的标准指数越大，表明该土壤质量参数超标越严重。</w:t>
      </w:r>
    </w:p>
    <w:p w14:paraId="4452A0F1">
      <w:pPr>
        <w:pStyle w:val="281"/>
        <w:ind w:firstLine="480"/>
      </w:pPr>
      <w:r>
        <w:t>根据《土壤环境监测技术规范》（HJ/T166-2004）11.3规定，低于分析方法检出限的测定结果参加统计时按二分之一最低检出限计算。</w:t>
      </w:r>
    </w:p>
    <w:p w14:paraId="30F524BA">
      <w:pPr>
        <w:pStyle w:val="98"/>
        <w:rPr>
          <w:rFonts w:hint="eastAsia"/>
        </w:rPr>
      </w:pPr>
      <w:r>
        <w:rPr>
          <w:rFonts w:hint="eastAsia"/>
        </w:rPr>
        <w:t>监测与评价结果</w:t>
      </w:r>
    </w:p>
    <w:p w14:paraId="478ED1FB">
      <w:pPr>
        <w:pStyle w:val="281"/>
        <w:ind w:firstLine="480"/>
        <w:rPr>
          <w:color w:val="000000" w:themeColor="text1"/>
          <w:szCs w:val="24"/>
          <w14:textFill>
            <w14:solidFill>
              <w14:schemeClr w14:val="tx1"/>
            </w14:solidFill>
          </w14:textFill>
        </w:rPr>
      </w:pPr>
      <w:r>
        <w:rPr>
          <w:rFonts w:hint="eastAsia"/>
          <w:szCs w:val="24"/>
        </w:rPr>
        <w:t>项目所在厂区及周边土壤质量现状监测</w:t>
      </w:r>
      <w:r>
        <w:rPr>
          <w:rFonts w:hint="eastAsia"/>
          <w:color w:val="000000" w:themeColor="text1"/>
          <w:szCs w:val="24"/>
          <w14:textFill>
            <w14:solidFill>
              <w14:schemeClr w14:val="tx1"/>
            </w14:solidFill>
          </w14:textFill>
        </w:rPr>
        <w:t>结果，见表4.3.4-</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至</w:t>
      </w:r>
      <w:r>
        <w:rPr>
          <w:color w:val="000000" w:themeColor="text1"/>
          <w14:textFill>
            <w14:solidFill>
              <w14:schemeClr w14:val="tx1"/>
            </w14:solidFill>
          </w14:textFill>
        </w:rPr>
        <w:t>表4.3.4-</w:t>
      </w:r>
      <w:r>
        <w:rPr>
          <w:rFonts w:hint="eastAsia"/>
          <w:color w:val="000000" w:themeColor="text1"/>
          <w14:textFill>
            <w14:solidFill>
              <w14:schemeClr w14:val="tx1"/>
            </w14:solidFill>
          </w14:textFill>
        </w:rPr>
        <w:t>6</w:t>
      </w:r>
      <w:r>
        <w:rPr>
          <w:rFonts w:hint="eastAsia"/>
          <w:color w:val="000000" w:themeColor="text1"/>
          <w:szCs w:val="24"/>
          <w14:textFill>
            <w14:solidFill>
              <w14:schemeClr w14:val="tx1"/>
            </w14:solidFill>
          </w14:textFill>
        </w:rPr>
        <w:t>。</w:t>
      </w:r>
    </w:p>
    <w:p w14:paraId="4D1A5EED">
      <w:pPr>
        <w:pStyle w:val="281"/>
        <w:ind w:firstLine="480"/>
        <w:rPr>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7B894A6">
      <w:pPr>
        <w:pStyle w:val="541"/>
        <w:rPr>
          <w:rFonts w:hint="eastAsia"/>
        </w:rPr>
      </w:pPr>
      <w:bookmarkStart w:id="283" w:name="_Hlk182416668"/>
      <w:r>
        <w:rPr>
          <w:rFonts w:hint="eastAsia"/>
          <w:color w:val="000000" w:themeColor="text1"/>
          <w14:textFill>
            <w14:solidFill>
              <w14:schemeClr w14:val="tx1"/>
            </w14:solidFill>
          </w14:textFill>
        </w:rPr>
        <w:t>表4.3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厂界内柱状土壤特征因子监测结果</w:t>
      </w:r>
      <w:r>
        <w:rPr>
          <w:rFonts w:hint="eastAsia"/>
        </w:rPr>
        <w:t>一览表</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704"/>
        <w:gridCol w:w="774"/>
        <w:gridCol w:w="1409"/>
        <w:gridCol w:w="816"/>
        <w:gridCol w:w="1410"/>
        <w:gridCol w:w="835"/>
        <w:gridCol w:w="1360"/>
        <w:gridCol w:w="1360"/>
        <w:gridCol w:w="1360"/>
        <w:gridCol w:w="1360"/>
      </w:tblGrid>
      <w:tr w14:paraId="5ACE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noWrap/>
            <w:vAlign w:val="center"/>
          </w:tcPr>
          <w:p w14:paraId="4F2B630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监测点</w:t>
            </w:r>
          </w:p>
        </w:tc>
        <w:tc>
          <w:tcPr>
            <w:tcW w:w="1704" w:type="dxa"/>
            <w:vMerge w:val="restart"/>
            <w:vAlign w:val="center"/>
          </w:tcPr>
          <w:p w14:paraId="4E8291E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单位</w:t>
            </w:r>
          </w:p>
        </w:tc>
        <w:tc>
          <w:tcPr>
            <w:tcW w:w="6604" w:type="dxa"/>
            <w:gridSpan w:val="6"/>
            <w:vAlign w:val="center"/>
          </w:tcPr>
          <w:p w14:paraId="02252C8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厂界内</w:t>
            </w:r>
            <w:r>
              <w:rPr>
                <w:rFonts w:hint="eastAsia" w:ascii="Times New Roman" w:hAnsi="Times New Roman" w:cs="Times New Roman"/>
                <w:color w:val="000000" w:themeColor="text1"/>
                <w:sz w:val="18"/>
                <w:szCs w:val="18"/>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#柱状样</w:t>
            </w:r>
          </w:p>
        </w:tc>
        <w:tc>
          <w:tcPr>
            <w:tcW w:w="2720" w:type="dxa"/>
            <w:gridSpan w:val="2"/>
            <w:noWrap/>
            <w:vAlign w:val="center"/>
          </w:tcPr>
          <w:p w14:paraId="672930E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厂界内2#表层样</w:t>
            </w:r>
          </w:p>
        </w:tc>
        <w:tc>
          <w:tcPr>
            <w:tcW w:w="1360" w:type="dxa"/>
            <w:vMerge w:val="restart"/>
            <w:vAlign w:val="center"/>
          </w:tcPr>
          <w:p w14:paraId="3246A25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标准值（mg/kg）</w:t>
            </w:r>
          </w:p>
        </w:tc>
      </w:tr>
      <w:tr w14:paraId="33FC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Merge w:val="restart"/>
            <w:noWrap/>
            <w:vAlign w:val="center"/>
          </w:tcPr>
          <w:p w14:paraId="3AE42A3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采样深度（cm）</w:t>
            </w:r>
          </w:p>
        </w:tc>
        <w:tc>
          <w:tcPr>
            <w:tcW w:w="1704" w:type="dxa"/>
            <w:vMerge w:val="continue"/>
            <w:vAlign w:val="center"/>
          </w:tcPr>
          <w:p w14:paraId="5E3567B6">
            <w:pPr>
              <w:jc w:val="center"/>
              <w:rPr>
                <w:rFonts w:ascii="Times New Roman" w:hAnsi="Times New Roman" w:cs="Times New Roman"/>
                <w:color w:val="000000" w:themeColor="text1"/>
                <w:sz w:val="18"/>
                <w:szCs w:val="18"/>
                <w14:textFill>
                  <w14:solidFill>
                    <w14:schemeClr w14:val="tx1"/>
                  </w14:solidFill>
                </w14:textFill>
              </w:rPr>
            </w:pPr>
          </w:p>
        </w:tc>
        <w:tc>
          <w:tcPr>
            <w:tcW w:w="2183" w:type="dxa"/>
            <w:gridSpan w:val="2"/>
            <w:vAlign w:val="center"/>
          </w:tcPr>
          <w:p w14:paraId="41D88D2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c>
          <w:tcPr>
            <w:tcW w:w="2226" w:type="dxa"/>
            <w:gridSpan w:val="2"/>
            <w:vAlign w:val="center"/>
          </w:tcPr>
          <w:p w14:paraId="2BAB06E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50-150</w:t>
            </w:r>
          </w:p>
        </w:tc>
        <w:tc>
          <w:tcPr>
            <w:tcW w:w="2195" w:type="dxa"/>
            <w:gridSpan w:val="2"/>
            <w:vAlign w:val="center"/>
          </w:tcPr>
          <w:p w14:paraId="5B35871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150-300</w:t>
            </w:r>
          </w:p>
        </w:tc>
        <w:tc>
          <w:tcPr>
            <w:tcW w:w="2720" w:type="dxa"/>
            <w:gridSpan w:val="2"/>
            <w:vAlign w:val="center"/>
          </w:tcPr>
          <w:p w14:paraId="2F8B704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0-20</w:t>
            </w:r>
          </w:p>
        </w:tc>
        <w:tc>
          <w:tcPr>
            <w:tcW w:w="1360" w:type="dxa"/>
            <w:vMerge w:val="continue"/>
            <w:vAlign w:val="center"/>
          </w:tcPr>
          <w:p w14:paraId="135EB96C">
            <w:pPr>
              <w:jc w:val="center"/>
              <w:rPr>
                <w:rFonts w:ascii="Times New Roman" w:hAnsi="Times New Roman" w:cs="Times New Roman"/>
                <w:color w:val="000000" w:themeColor="text1"/>
                <w:sz w:val="18"/>
                <w:szCs w:val="18"/>
                <w14:textFill>
                  <w14:solidFill>
                    <w14:schemeClr w14:val="tx1"/>
                  </w14:solidFill>
                </w14:textFill>
              </w:rPr>
            </w:pPr>
          </w:p>
        </w:tc>
      </w:tr>
      <w:tr w14:paraId="01E5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Merge w:val="continue"/>
            <w:vAlign w:val="center"/>
          </w:tcPr>
          <w:p w14:paraId="69826EA6">
            <w:pPr>
              <w:jc w:val="center"/>
              <w:rPr>
                <w:rFonts w:ascii="Times New Roman" w:hAnsi="Times New Roman" w:cs="Times New Roman"/>
                <w:color w:val="000000" w:themeColor="text1"/>
                <w:sz w:val="18"/>
                <w:szCs w:val="18"/>
                <w14:textFill>
                  <w14:solidFill>
                    <w14:schemeClr w14:val="tx1"/>
                  </w14:solidFill>
                </w14:textFill>
              </w:rPr>
            </w:pPr>
          </w:p>
        </w:tc>
        <w:tc>
          <w:tcPr>
            <w:tcW w:w="1704" w:type="dxa"/>
            <w:vMerge w:val="continue"/>
            <w:vAlign w:val="center"/>
          </w:tcPr>
          <w:p w14:paraId="4BDBC546">
            <w:pPr>
              <w:jc w:val="center"/>
              <w:rPr>
                <w:rFonts w:ascii="Times New Roman" w:hAnsi="Times New Roman" w:cs="Times New Roman"/>
                <w:color w:val="000000" w:themeColor="text1"/>
                <w:sz w:val="18"/>
                <w:szCs w:val="18"/>
                <w14:textFill>
                  <w14:solidFill>
                    <w14:schemeClr w14:val="tx1"/>
                  </w14:solidFill>
                </w14:textFill>
              </w:rPr>
            </w:pPr>
          </w:p>
        </w:tc>
        <w:tc>
          <w:tcPr>
            <w:tcW w:w="774" w:type="dxa"/>
            <w:vAlign w:val="center"/>
          </w:tcPr>
          <w:p w14:paraId="492BE8A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监测值</w:t>
            </w:r>
          </w:p>
        </w:tc>
        <w:tc>
          <w:tcPr>
            <w:tcW w:w="1409" w:type="dxa"/>
            <w:vAlign w:val="center"/>
          </w:tcPr>
          <w:p w14:paraId="3488D01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Pi</w:t>
            </w:r>
          </w:p>
        </w:tc>
        <w:tc>
          <w:tcPr>
            <w:tcW w:w="816" w:type="dxa"/>
            <w:vAlign w:val="center"/>
          </w:tcPr>
          <w:p w14:paraId="7FA3ED8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监测值</w:t>
            </w:r>
          </w:p>
        </w:tc>
        <w:tc>
          <w:tcPr>
            <w:tcW w:w="1410" w:type="dxa"/>
            <w:vAlign w:val="center"/>
          </w:tcPr>
          <w:p w14:paraId="4EDB3DF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Pi</w:t>
            </w:r>
          </w:p>
        </w:tc>
        <w:tc>
          <w:tcPr>
            <w:tcW w:w="835" w:type="dxa"/>
            <w:vAlign w:val="center"/>
          </w:tcPr>
          <w:p w14:paraId="4BE4E6F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监测值</w:t>
            </w:r>
          </w:p>
        </w:tc>
        <w:tc>
          <w:tcPr>
            <w:tcW w:w="1360" w:type="dxa"/>
            <w:vAlign w:val="center"/>
          </w:tcPr>
          <w:p w14:paraId="277CD74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Pi</w:t>
            </w:r>
          </w:p>
        </w:tc>
        <w:tc>
          <w:tcPr>
            <w:tcW w:w="1360" w:type="dxa"/>
            <w:vAlign w:val="center"/>
          </w:tcPr>
          <w:p w14:paraId="7B5BF1A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监测值</w:t>
            </w:r>
          </w:p>
        </w:tc>
        <w:tc>
          <w:tcPr>
            <w:tcW w:w="1360" w:type="dxa"/>
            <w:vAlign w:val="center"/>
          </w:tcPr>
          <w:p w14:paraId="115236E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Pi</w:t>
            </w:r>
          </w:p>
        </w:tc>
        <w:tc>
          <w:tcPr>
            <w:tcW w:w="1360" w:type="dxa"/>
            <w:vMerge w:val="continue"/>
            <w:vAlign w:val="center"/>
          </w:tcPr>
          <w:p w14:paraId="1A106454">
            <w:pPr>
              <w:jc w:val="center"/>
              <w:rPr>
                <w:rFonts w:ascii="Times New Roman" w:hAnsi="Times New Roman" w:cs="Times New Roman"/>
                <w:color w:val="000000" w:themeColor="text1"/>
                <w:sz w:val="18"/>
                <w:szCs w:val="18"/>
                <w14:textFill>
                  <w14:solidFill>
                    <w14:schemeClr w14:val="tx1"/>
                  </w14:solidFill>
                </w14:textFill>
              </w:rPr>
            </w:pPr>
          </w:p>
        </w:tc>
      </w:tr>
      <w:tr w14:paraId="45AE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4B95F1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pH</w:t>
            </w:r>
          </w:p>
        </w:tc>
        <w:tc>
          <w:tcPr>
            <w:tcW w:w="1704" w:type="dxa"/>
            <w:vAlign w:val="center"/>
          </w:tcPr>
          <w:p w14:paraId="3682583E">
            <w:pPr>
              <w:jc w:val="center"/>
              <w:rPr>
                <w:rFonts w:ascii="Times New Roman" w:hAnsi="Times New Roman" w:cs="Times New Roman"/>
                <w:bCs/>
                <w:color w:val="000000" w:themeColor="text1"/>
                <w:sz w:val="18"/>
                <w:szCs w:val="18"/>
                <w:lang w:bidi="ar"/>
                <w14:textFill>
                  <w14:solidFill>
                    <w14:schemeClr w14:val="tx1"/>
                  </w14:solidFill>
                </w14:textFill>
              </w:rPr>
            </w:pPr>
            <w:r>
              <w:rPr>
                <w:rFonts w:hint="eastAsia" w:ascii="Times New Roman" w:hAnsi="Times New Roman" w:cs="Times New Roman"/>
                <w:bCs/>
                <w:color w:val="000000" w:themeColor="text1"/>
                <w:sz w:val="18"/>
                <w:szCs w:val="18"/>
                <w:lang w:bidi="ar"/>
                <w14:textFill>
                  <w14:solidFill>
                    <w14:schemeClr w14:val="tx1"/>
                  </w14:solidFill>
                </w14:textFill>
              </w:rPr>
              <w:t>无量纲</w:t>
            </w:r>
          </w:p>
        </w:tc>
        <w:tc>
          <w:tcPr>
            <w:tcW w:w="774" w:type="dxa"/>
            <w:vAlign w:val="center"/>
          </w:tcPr>
          <w:p w14:paraId="41800D4D">
            <w:pPr>
              <w:pStyle w:val="557"/>
            </w:pPr>
            <w:r>
              <w:rPr>
                <w:rFonts w:hint="eastAsia"/>
                <w:lang w:bidi="ar"/>
              </w:rPr>
              <w:t>7.87</w:t>
            </w:r>
          </w:p>
        </w:tc>
        <w:tc>
          <w:tcPr>
            <w:tcW w:w="1409" w:type="dxa"/>
            <w:noWrap/>
            <w:vAlign w:val="center"/>
          </w:tcPr>
          <w:p w14:paraId="688B277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3D7556DF">
            <w:pPr>
              <w:pStyle w:val="557"/>
            </w:pPr>
            <w:r>
              <w:rPr>
                <w:rFonts w:hint="eastAsia"/>
                <w:lang w:bidi="ar"/>
              </w:rPr>
              <w:t>7.92</w:t>
            </w:r>
          </w:p>
        </w:tc>
        <w:tc>
          <w:tcPr>
            <w:tcW w:w="1410" w:type="dxa"/>
            <w:noWrap/>
            <w:vAlign w:val="center"/>
          </w:tcPr>
          <w:p w14:paraId="599278A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32BC874">
            <w:pPr>
              <w:pStyle w:val="557"/>
            </w:pPr>
            <w:r>
              <w:rPr>
                <w:rFonts w:hint="eastAsia"/>
                <w:lang w:bidi="ar"/>
              </w:rPr>
              <w:t>8.13</w:t>
            </w:r>
          </w:p>
        </w:tc>
        <w:tc>
          <w:tcPr>
            <w:tcW w:w="1360" w:type="dxa"/>
            <w:noWrap/>
            <w:vAlign w:val="center"/>
          </w:tcPr>
          <w:p w14:paraId="21B5FAE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D677E48">
            <w:pPr>
              <w:pStyle w:val="557"/>
            </w:pPr>
            <w:r>
              <w:rPr>
                <w:rFonts w:hint="eastAsia"/>
                <w:lang w:bidi="ar"/>
              </w:rPr>
              <w:t>8.17</w:t>
            </w:r>
          </w:p>
        </w:tc>
        <w:tc>
          <w:tcPr>
            <w:tcW w:w="1360" w:type="dxa"/>
            <w:noWrap/>
            <w:vAlign w:val="center"/>
          </w:tcPr>
          <w:p w14:paraId="66646E7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5EFA58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14:paraId="6288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00251B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石油烃（C</w:t>
            </w:r>
            <w:r>
              <w:rPr>
                <w:rFonts w:ascii="Times New Roman" w:hAnsi="Times New Roman" w:cs="Times New Roman"/>
                <w:color w:val="000000" w:themeColor="text1"/>
                <w:sz w:val="18"/>
                <w:szCs w:val="18"/>
                <w:vertAlign w:val="subscript"/>
                <w14:textFill>
                  <w14:solidFill>
                    <w14:schemeClr w14:val="tx1"/>
                  </w14:solidFill>
                </w14:textFill>
              </w:rPr>
              <w:t>10</w:t>
            </w:r>
            <w:r>
              <w:rPr>
                <w:rFonts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vertAlign w:val="subscript"/>
                <w14:textFill>
                  <w14:solidFill>
                    <w14:schemeClr w14:val="tx1"/>
                  </w14:solidFill>
                </w14:textFill>
              </w:rPr>
              <w:t>40</w:t>
            </w:r>
            <w:r>
              <w:rPr>
                <w:rFonts w:ascii="Times New Roman" w:hAnsi="Times New Roman" w:cs="Times New Roman"/>
                <w:color w:val="000000" w:themeColor="text1"/>
                <w:sz w:val="18"/>
                <w:szCs w:val="18"/>
                <w14:textFill>
                  <w14:solidFill>
                    <w14:schemeClr w14:val="tx1"/>
                  </w14:solidFill>
                </w14:textFill>
              </w:rPr>
              <w:t>）</w:t>
            </w:r>
          </w:p>
        </w:tc>
        <w:tc>
          <w:tcPr>
            <w:tcW w:w="1704" w:type="dxa"/>
            <w:vAlign w:val="center"/>
          </w:tcPr>
          <w:p w14:paraId="5406EB05">
            <w:pPr>
              <w:jc w:val="center"/>
              <w:rPr>
                <w:rFonts w:ascii="Times New Roman" w:hAnsi="Times New Roman" w:cs="Times New Roman"/>
                <w:bCs/>
                <w:color w:val="000000" w:themeColor="text1"/>
                <w:sz w:val="18"/>
                <w:szCs w:val="18"/>
                <w:lang w:bidi="ar"/>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28730878">
            <w:pPr>
              <w:pStyle w:val="557"/>
            </w:pPr>
            <w:r>
              <w:rPr>
                <w:rFonts w:hint="eastAsia"/>
                <w:lang w:bidi="ar"/>
              </w:rPr>
              <w:t>35</w:t>
            </w:r>
          </w:p>
        </w:tc>
        <w:tc>
          <w:tcPr>
            <w:tcW w:w="1409" w:type="dxa"/>
            <w:noWrap/>
            <w:vAlign w:val="center"/>
          </w:tcPr>
          <w:p w14:paraId="60189B6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0.007</w:t>
            </w:r>
          </w:p>
        </w:tc>
        <w:tc>
          <w:tcPr>
            <w:tcW w:w="816" w:type="dxa"/>
            <w:vAlign w:val="center"/>
          </w:tcPr>
          <w:p w14:paraId="2B0F17B6">
            <w:pPr>
              <w:pStyle w:val="557"/>
            </w:pPr>
            <w:r>
              <w:rPr>
                <w:rFonts w:hint="eastAsia"/>
                <w:lang w:bidi="ar"/>
              </w:rPr>
              <w:t>31</w:t>
            </w:r>
          </w:p>
        </w:tc>
        <w:tc>
          <w:tcPr>
            <w:tcW w:w="1410" w:type="dxa"/>
            <w:noWrap/>
            <w:vAlign w:val="center"/>
          </w:tcPr>
          <w:p w14:paraId="7D0D71A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0.006</w:t>
            </w:r>
          </w:p>
        </w:tc>
        <w:tc>
          <w:tcPr>
            <w:tcW w:w="835" w:type="dxa"/>
            <w:vAlign w:val="center"/>
          </w:tcPr>
          <w:p w14:paraId="07CE6AB7">
            <w:pPr>
              <w:pStyle w:val="557"/>
            </w:pPr>
            <w:r>
              <w:rPr>
                <w:rFonts w:hint="eastAsia"/>
                <w:lang w:bidi="ar"/>
              </w:rPr>
              <w:t>16</w:t>
            </w:r>
          </w:p>
        </w:tc>
        <w:tc>
          <w:tcPr>
            <w:tcW w:w="1360" w:type="dxa"/>
            <w:noWrap/>
            <w:vAlign w:val="center"/>
          </w:tcPr>
          <w:p w14:paraId="14E0ADF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0.003</w:t>
            </w:r>
          </w:p>
        </w:tc>
        <w:tc>
          <w:tcPr>
            <w:tcW w:w="1360" w:type="dxa"/>
            <w:vAlign w:val="center"/>
          </w:tcPr>
          <w:p w14:paraId="0A7DF0FD">
            <w:pPr>
              <w:pStyle w:val="557"/>
            </w:pPr>
            <w:r>
              <w:rPr>
                <w:rFonts w:hint="eastAsia"/>
                <w:lang w:bidi="ar"/>
              </w:rPr>
              <w:t>27</w:t>
            </w:r>
          </w:p>
        </w:tc>
        <w:tc>
          <w:tcPr>
            <w:tcW w:w="1360" w:type="dxa"/>
            <w:noWrap/>
            <w:vAlign w:val="center"/>
          </w:tcPr>
          <w:p w14:paraId="1C92C5B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0.006</w:t>
            </w:r>
          </w:p>
        </w:tc>
        <w:tc>
          <w:tcPr>
            <w:tcW w:w="1360" w:type="dxa"/>
            <w:noWrap/>
            <w:vAlign w:val="center"/>
          </w:tcPr>
          <w:p w14:paraId="45B8EDD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4500</w:t>
            </w:r>
          </w:p>
        </w:tc>
      </w:tr>
      <w:tr w14:paraId="0B16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31B1A1D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氰化物</w:t>
            </w:r>
          </w:p>
        </w:tc>
        <w:tc>
          <w:tcPr>
            <w:tcW w:w="1704" w:type="dxa"/>
            <w:vAlign w:val="center"/>
          </w:tcPr>
          <w:p w14:paraId="069B01E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03A42534">
            <w:pPr>
              <w:pStyle w:val="557"/>
            </w:pPr>
            <w:r>
              <w:rPr>
                <w:rFonts w:hint="eastAsia"/>
              </w:rPr>
              <w:t>&lt;0.01</w:t>
            </w:r>
          </w:p>
        </w:tc>
        <w:tc>
          <w:tcPr>
            <w:tcW w:w="1409" w:type="dxa"/>
            <w:noWrap/>
            <w:vAlign w:val="center"/>
          </w:tcPr>
          <w:p w14:paraId="4B33F72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816" w:type="dxa"/>
            <w:vAlign w:val="center"/>
          </w:tcPr>
          <w:p w14:paraId="239DAD5F">
            <w:pPr>
              <w:pStyle w:val="557"/>
            </w:pPr>
            <w:r>
              <w:rPr>
                <w:rFonts w:hint="eastAsia"/>
              </w:rPr>
              <w:t>&lt;0.01</w:t>
            </w:r>
          </w:p>
        </w:tc>
        <w:tc>
          <w:tcPr>
            <w:tcW w:w="1410" w:type="dxa"/>
            <w:noWrap/>
            <w:vAlign w:val="center"/>
          </w:tcPr>
          <w:p w14:paraId="7310E84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835" w:type="dxa"/>
            <w:vAlign w:val="center"/>
          </w:tcPr>
          <w:p w14:paraId="6AACED86">
            <w:pPr>
              <w:pStyle w:val="557"/>
            </w:pPr>
            <w:r>
              <w:rPr>
                <w:rFonts w:hint="eastAsia"/>
              </w:rPr>
              <w:t>&lt;0.01</w:t>
            </w:r>
          </w:p>
        </w:tc>
        <w:tc>
          <w:tcPr>
            <w:tcW w:w="1360" w:type="dxa"/>
            <w:noWrap/>
            <w:vAlign w:val="center"/>
          </w:tcPr>
          <w:p w14:paraId="07210AD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360" w:type="dxa"/>
            <w:vAlign w:val="center"/>
          </w:tcPr>
          <w:p w14:paraId="19A8C54D">
            <w:pPr>
              <w:pStyle w:val="557"/>
            </w:pPr>
            <w:r>
              <w:rPr>
                <w:rFonts w:hint="eastAsia"/>
              </w:rPr>
              <w:t>&lt;0.01</w:t>
            </w:r>
          </w:p>
        </w:tc>
        <w:tc>
          <w:tcPr>
            <w:tcW w:w="1360" w:type="dxa"/>
            <w:noWrap/>
            <w:vAlign w:val="center"/>
          </w:tcPr>
          <w:p w14:paraId="7AA5D87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360" w:type="dxa"/>
            <w:noWrap/>
            <w:vAlign w:val="center"/>
          </w:tcPr>
          <w:p w14:paraId="476F121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135</w:t>
            </w:r>
          </w:p>
        </w:tc>
      </w:tr>
      <w:tr w14:paraId="386E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B6F170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钴</w:t>
            </w:r>
          </w:p>
        </w:tc>
        <w:tc>
          <w:tcPr>
            <w:tcW w:w="1704" w:type="dxa"/>
            <w:vAlign w:val="center"/>
          </w:tcPr>
          <w:p w14:paraId="3FD2DB08">
            <w:pPr>
              <w:jc w:val="center"/>
              <w:rPr>
                <w:rFonts w:ascii="Times New Roman" w:hAnsi="Times New Roman" w:cs="Times New Roman"/>
                <w:bCs/>
                <w:color w:val="000000" w:themeColor="text1"/>
                <w:sz w:val="18"/>
                <w:szCs w:val="18"/>
                <w:lang w:bidi="ar"/>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17298EEF">
            <w:pPr>
              <w:pStyle w:val="557"/>
            </w:pPr>
            <w:r>
              <w:rPr>
                <w:rFonts w:hint="eastAsia"/>
                <w:lang w:bidi="ar"/>
              </w:rPr>
              <w:t>15</w:t>
            </w:r>
          </w:p>
        </w:tc>
        <w:tc>
          <w:tcPr>
            <w:tcW w:w="1409" w:type="dxa"/>
            <w:noWrap/>
            <w:vAlign w:val="center"/>
          </w:tcPr>
          <w:p w14:paraId="305D362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0.214</w:t>
            </w:r>
          </w:p>
        </w:tc>
        <w:tc>
          <w:tcPr>
            <w:tcW w:w="816" w:type="dxa"/>
            <w:vAlign w:val="center"/>
          </w:tcPr>
          <w:p w14:paraId="02F41D8A">
            <w:pPr>
              <w:pStyle w:val="557"/>
            </w:pPr>
            <w:r>
              <w:rPr>
                <w:rFonts w:hint="eastAsia"/>
                <w:lang w:bidi="ar"/>
              </w:rPr>
              <w:t>10</w:t>
            </w:r>
          </w:p>
        </w:tc>
        <w:tc>
          <w:tcPr>
            <w:tcW w:w="1410" w:type="dxa"/>
            <w:noWrap/>
            <w:vAlign w:val="center"/>
          </w:tcPr>
          <w:p w14:paraId="6A1DEBA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0.142</w:t>
            </w:r>
          </w:p>
        </w:tc>
        <w:tc>
          <w:tcPr>
            <w:tcW w:w="835" w:type="dxa"/>
            <w:vAlign w:val="center"/>
          </w:tcPr>
          <w:p w14:paraId="18E6728A">
            <w:pPr>
              <w:pStyle w:val="557"/>
            </w:pPr>
            <w:r>
              <w:rPr>
                <w:rFonts w:hint="eastAsia"/>
                <w:lang w:bidi="ar"/>
              </w:rPr>
              <w:t>13</w:t>
            </w:r>
          </w:p>
        </w:tc>
        <w:tc>
          <w:tcPr>
            <w:tcW w:w="1360" w:type="dxa"/>
            <w:noWrap/>
            <w:vAlign w:val="center"/>
          </w:tcPr>
          <w:p w14:paraId="5BC4CED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0.185</w:t>
            </w:r>
          </w:p>
        </w:tc>
        <w:tc>
          <w:tcPr>
            <w:tcW w:w="1360" w:type="dxa"/>
            <w:vAlign w:val="center"/>
          </w:tcPr>
          <w:p w14:paraId="283F8BC9">
            <w:pPr>
              <w:pStyle w:val="557"/>
            </w:pPr>
            <w:r>
              <w:rPr>
                <w:rFonts w:hint="eastAsia"/>
                <w:lang w:bidi="ar"/>
              </w:rPr>
              <w:t>14</w:t>
            </w:r>
          </w:p>
        </w:tc>
        <w:tc>
          <w:tcPr>
            <w:tcW w:w="1360" w:type="dxa"/>
            <w:noWrap/>
            <w:vAlign w:val="center"/>
          </w:tcPr>
          <w:p w14:paraId="28E25FA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w:t>
            </w:r>
          </w:p>
        </w:tc>
        <w:tc>
          <w:tcPr>
            <w:tcW w:w="1360" w:type="dxa"/>
            <w:noWrap/>
            <w:vAlign w:val="center"/>
          </w:tcPr>
          <w:p w14:paraId="0F7C8E5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r>
      <w:tr w14:paraId="0A41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148416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砷</w:t>
            </w:r>
          </w:p>
        </w:tc>
        <w:tc>
          <w:tcPr>
            <w:tcW w:w="1704" w:type="dxa"/>
            <w:vAlign w:val="center"/>
          </w:tcPr>
          <w:p w14:paraId="4C01F11F">
            <w:pPr>
              <w:jc w:val="center"/>
              <w:rPr>
                <w:rFonts w:ascii="Times New Roman" w:hAnsi="Times New Roman" w:cs="Times New Roman"/>
                <w:bCs/>
                <w:color w:val="000000" w:themeColor="text1"/>
                <w:sz w:val="18"/>
                <w:szCs w:val="18"/>
                <w:lang w:bidi="ar"/>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018C10E7">
            <w:pPr>
              <w:pStyle w:val="557"/>
            </w:pPr>
            <w:r>
              <w:rPr>
                <w:rFonts w:hint="eastAsia"/>
                <w:lang w:bidi="ar"/>
              </w:rPr>
              <w:t>4.41</w:t>
            </w:r>
          </w:p>
        </w:tc>
        <w:tc>
          <w:tcPr>
            <w:tcW w:w="1409" w:type="dxa"/>
            <w:noWrap/>
            <w:vAlign w:val="center"/>
          </w:tcPr>
          <w:p w14:paraId="7571164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0.073</w:t>
            </w:r>
          </w:p>
        </w:tc>
        <w:tc>
          <w:tcPr>
            <w:tcW w:w="816" w:type="dxa"/>
            <w:vAlign w:val="center"/>
          </w:tcPr>
          <w:p w14:paraId="0E718482">
            <w:pPr>
              <w:pStyle w:val="557"/>
            </w:pPr>
            <w:r>
              <w:rPr>
                <w:rFonts w:hint="eastAsia"/>
                <w:lang w:bidi="ar"/>
              </w:rPr>
              <w:t>3.83</w:t>
            </w:r>
          </w:p>
        </w:tc>
        <w:tc>
          <w:tcPr>
            <w:tcW w:w="1410" w:type="dxa"/>
            <w:noWrap/>
            <w:vAlign w:val="center"/>
          </w:tcPr>
          <w:p w14:paraId="33F529E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0.063</w:t>
            </w:r>
          </w:p>
        </w:tc>
        <w:tc>
          <w:tcPr>
            <w:tcW w:w="835" w:type="dxa"/>
            <w:vAlign w:val="center"/>
          </w:tcPr>
          <w:p w14:paraId="5F5518A5">
            <w:pPr>
              <w:pStyle w:val="557"/>
            </w:pPr>
            <w:r>
              <w:rPr>
                <w:rFonts w:hint="eastAsia"/>
                <w:lang w:bidi="ar"/>
              </w:rPr>
              <w:t>5.16</w:t>
            </w:r>
          </w:p>
        </w:tc>
        <w:tc>
          <w:tcPr>
            <w:tcW w:w="1360" w:type="dxa"/>
            <w:noWrap/>
            <w:vAlign w:val="center"/>
          </w:tcPr>
          <w:p w14:paraId="5E9F65B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0.086</w:t>
            </w:r>
          </w:p>
        </w:tc>
        <w:tc>
          <w:tcPr>
            <w:tcW w:w="1360" w:type="dxa"/>
            <w:vAlign w:val="center"/>
          </w:tcPr>
          <w:p w14:paraId="240D9C95">
            <w:pPr>
              <w:pStyle w:val="557"/>
            </w:pPr>
            <w:r>
              <w:rPr>
                <w:rFonts w:hint="eastAsia"/>
                <w:lang w:bidi="ar"/>
              </w:rPr>
              <w:t>6.84</w:t>
            </w:r>
          </w:p>
        </w:tc>
        <w:tc>
          <w:tcPr>
            <w:tcW w:w="1360" w:type="dxa"/>
            <w:noWrap/>
            <w:vAlign w:val="center"/>
          </w:tcPr>
          <w:p w14:paraId="393CD31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0.114</w:t>
            </w:r>
          </w:p>
        </w:tc>
        <w:tc>
          <w:tcPr>
            <w:tcW w:w="1360" w:type="dxa"/>
            <w:noWrap/>
            <w:vAlign w:val="center"/>
          </w:tcPr>
          <w:p w14:paraId="6D7A5CA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60</w:t>
            </w:r>
          </w:p>
        </w:tc>
      </w:tr>
      <w:tr w14:paraId="3212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16A26AD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镉</w:t>
            </w:r>
          </w:p>
        </w:tc>
        <w:tc>
          <w:tcPr>
            <w:tcW w:w="1704" w:type="dxa"/>
            <w:vAlign w:val="center"/>
          </w:tcPr>
          <w:p w14:paraId="6FEA8416">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12DA3E19">
            <w:pPr>
              <w:pStyle w:val="557"/>
            </w:pPr>
            <w:r>
              <w:rPr>
                <w:rFonts w:hint="eastAsia"/>
              </w:rPr>
              <w:t>0.13</w:t>
            </w:r>
          </w:p>
        </w:tc>
        <w:tc>
          <w:tcPr>
            <w:tcW w:w="1409" w:type="dxa"/>
            <w:noWrap/>
            <w:vAlign w:val="center"/>
          </w:tcPr>
          <w:p w14:paraId="598D138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816" w:type="dxa"/>
            <w:vAlign w:val="center"/>
          </w:tcPr>
          <w:p w14:paraId="14332911">
            <w:pPr>
              <w:pStyle w:val="557"/>
            </w:pPr>
            <w:r>
              <w:rPr>
                <w:rFonts w:hint="eastAsia"/>
              </w:rPr>
              <w:t>0.10</w:t>
            </w:r>
          </w:p>
        </w:tc>
        <w:tc>
          <w:tcPr>
            <w:tcW w:w="1410" w:type="dxa"/>
            <w:noWrap/>
            <w:vAlign w:val="center"/>
          </w:tcPr>
          <w:p w14:paraId="09BB30C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835" w:type="dxa"/>
            <w:vAlign w:val="center"/>
          </w:tcPr>
          <w:p w14:paraId="6D4B9763">
            <w:pPr>
              <w:pStyle w:val="557"/>
            </w:pPr>
            <w:r>
              <w:rPr>
                <w:rFonts w:hint="eastAsia"/>
              </w:rPr>
              <w:t>0.09</w:t>
            </w:r>
          </w:p>
        </w:tc>
        <w:tc>
          <w:tcPr>
            <w:tcW w:w="1360" w:type="dxa"/>
            <w:noWrap/>
            <w:vAlign w:val="center"/>
          </w:tcPr>
          <w:p w14:paraId="07FBA14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360" w:type="dxa"/>
            <w:vAlign w:val="center"/>
          </w:tcPr>
          <w:p w14:paraId="5B672BC9">
            <w:pPr>
              <w:pStyle w:val="557"/>
            </w:pPr>
            <w:r>
              <w:rPr>
                <w:rFonts w:hint="eastAsia"/>
              </w:rPr>
              <w:t>0.18</w:t>
            </w:r>
          </w:p>
        </w:tc>
        <w:tc>
          <w:tcPr>
            <w:tcW w:w="1360" w:type="dxa"/>
            <w:noWrap/>
            <w:vAlign w:val="center"/>
          </w:tcPr>
          <w:p w14:paraId="200795B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1360" w:type="dxa"/>
            <w:noWrap/>
            <w:vAlign w:val="center"/>
          </w:tcPr>
          <w:p w14:paraId="5E06485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65</w:t>
            </w:r>
          </w:p>
        </w:tc>
      </w:tr>
      <w:tr w14:paraId="173A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FA5FD0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六价铬</w:t>
            </w:r>
          </w:p>
        </w:tc>
        <w:tc>
          <w:tcPr>
            <w:tcW w:w="1704" w:type="dxa"/>
            <w:vAlign w:val="center"/>
          </w:tcPr>
          <w:p w14:paraId="1DE8679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77DB8789">
            <w:pPr>
              <w:pStyle w:val="557"/>
            </w:pPr>
            <w:r>
              <w:rPr>
                <w:rFonts w:hint="eastAsia"/>
              </w:rPr>
              <w:t>&lt;0.5</w:t>
            </w:r>
          </w:p>
        </w:tc>
        <w:tc>
          <w:tcPr>
            <w:tcW w:w="1409" w:type="dxa"/>
            <w:noWrap/>
            <w:vAlign w:val="center"/>
          </w:tcPr>
          <w:p w14:paraId="3BEB97F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816" w:type="dxa"/>
            <w:vAlign w:val="center"/>
          </w:tcPr>
          <w:p w14:paraId="5832C39D">
            <w:pPr>
              <w:pStyle w:val="557"/>
            </w:pPr>
            <w:r>
              <w:rPr>
                <w:rFonts w:hint="eastAsia"/>
              </w:rPr>
              <w:t>&lt;0.5</w:t>
            </w:r>
          </w:p>
        </w:tc>
        <w:tc>
          <w:tcPr>
            <w:tcW w:w="1410" w:type="dxa"/>
            <w:noWrap/>
            <w:vAlign w:val="center"/>
          </w:tcPr>
          <w:p w14:paraId="2E873DC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835" w:type="dxa"/>
            <w:vAlign w:val="center"/>
          </w:tcPr>
          <w:p w14:paraId="155A73D5">
            <w:pPr>
              <w:pStyle w:val="557"/>
            </w:pPr>
            <w:r>
              <w:rPr>
                <w:rFonts w:hint="eastAsia"/>
              </w:rPr>
              <w:t>&lt;0.5</w:t>
            </w:r>
          </w:p>
        </w:tc>
        <w:tc>
          <w:tcPr>
            <w:tcW w:w="1360" w:type="dxa"/>
            <w:noWrap/>
            <w:vAlign w:val="center"/>
          </w:tcPr>
          <w:p w14:paraId="4A1A791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360" w:type="dxa"/>
            <w:vAlign w:val="center"/>
          </w:tcPr>
          <w:p w14:paraId="74A512FE">
            <w:pPr>
              <w:pStyle w:val="557"/>
            </w:pPr>
            <w:r>
              <w:rPr>
                <w:rFonts w:hint="eastAsia"/>
              </w:rPr>
              <w:t>&lt;0.5</w:t>
            </w:r>
          </w:p>
        </w:tc>
        <w:tc>
          <w:tcPr>
            <w:tcW w:w="1360" w:type="dxa"/>
            <w:noWrap/>
            <w:vAlign w:val="center"/>
          </w:tcPr>
          <w:p w14:paraId="7BD682B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360" w:type="dxa"/>
            <w:noWrap/>
            <w:vAlign w:val="center"/>
          </w:tcPr>
          <w:p w14:paraId="6F61D52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5.7</w:t>
            </w:r>
          </w:p>
        </w:tc>
      </w:tr>
      <w:tr w14:paraId="1EA9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3BABF36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铜</w:t>
            </w:r>
          </w:p>
        </w:tc>
        <w:tc>
          <w:tcPr>
            <w:tcW w:w="1704" w:type="dxa"/>
            <w:vAlign w:val="center"/>
          </w:tcPr>
          <w:p w14:paraId="4EA6BC7E">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D9A1F70">
            <w:pPr>
              <w:pStyle w:val="557"/>
            </w:pPr>
            <w:r>
              <w:rPr>
                <w:rFonts w:hint="eastAsia"/>
              </w:rPr>
              <w:t>16</w:t>
            </w:r>
          </w:p>
        </w:tc>
        <w:tc>
          <w:tcPr>
            <w:tcW w:w="1409" w:type="dxa"/>
            <w:noWrap/>
            <w:vAlign w:val="center"/>
          </w:tcPr>
          <w:p w14:paraId="4CB4FA9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0.0008</w:t>
            </w:r>
          </w:p>
        </w:tc>
        <w:tc>
          <w:tcPr>
            <w:tcW w:w="816" w:type="dxa"/>
            <w:vAlign w:val="center"/>
          </w:tcPr>
          <w:p w14:paraId="55FDF960">
            <w:pPr>
              <w:pStyle w:val="557"/>
            </w:pPr>
            <w:r>
              <w:rPr>
                <w:rFonts w:hint="eastAsia"/>
              </w:rPr>
              <w:t>10</w:t>
            </w:r>
          </w:p>
        </w:tc>
        <w:tc>
          <w:tcPr>
            <w:tcW w:w="1410" w:type="dxa"/>
            <w:noWrap/>
            <w:vAlign w:val="center"/>
          </w:tcPr>
          <w:p w14:paraId="0B54AA2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0.0005</w:t>
            </w:r>
          </w:p>
        </w:tc>
        <w:tc>
          <w:tcPr>
            <w:tcW w:w="835" w:type="dxa"/>
            <w:vAlign w:val="center"/>
          </w:tcPr>
          <w:p w14:paraId="4A103837">
            <w:pPr>
              <w:pStyle w:val="557"/>
            </w:pPr>
            <w:r>
              <w:rPr>
                <w:rFonts w:hint="eastAsia"/>
              </w:rPr>
              <w:t>14</w:t>
            </w:r>
          </w:p>
        </w:tc>
        <w:tc>
          <w:tcPr>
            <w:tcW w:w="1360" w:type="dxa"/>
            <w:noWrap/>
            <w:vAlign w:val="center"/>
          </w:tcPr>
          <w:p w14:paraId="6B4969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360" w:type="dxa"/>
            <w:vAlign w:val="center"/>
          </w:tcPr>
          <w:p w14:paraId="7A6507B1">
            <w:pPr>
              <w:pStyle w:val="557"/>
            </w:pPr>
            <w:r>
              <w:rPr>
                <w:rFonts w:hint="eastAsia"/>
              </w:rPr>
              <w:t>19</w:t>
            </w:r>
          </w:p>
        </w:tc>
        <w:tc>
          <w:tcPr>
            <w:tcW w:w="1360" w:type="dxa"/>
            <w:noWrap/>
            <w:vAlign w:val="center"/>
          </w:tcPr>
          <w:p w14:paraId="10E50DE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360" w:type="dxa"/>
            <w:noWrap/>
            <w:vAlign w:val="center"/>
          </w:tcPr>
          <w:p w14:paraId="3E5359D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18000</w:t>
            </w:r>
          </w:p>
        </w:tc>
      </w:tr>
      <w:tr w14:paraId="22B7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99DBB4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铅</w:t>
            </w:r>
          </w:p>
        </w:tc>
        <w:tc>
          <w:tcPr>
            <w:tcW w:w="1704" w:type="dxa"/>
            <w:vAlign w:val="center"/>
          </w:tcPr>
          <w:p w14:paraId="63266E81">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546A314A">
            <w:pPr>
              <w:pStyle w:val="557"/>
            </w:pPr>
            <w:r>
              <w:rPr>
                <w:rFonts w:hint="eastAsia"/>
              </w:rPr>
              <w:t>9.6</w:t>
            </w:r>
          </w:p>
        </w:tc>
        <w:tc>
          <w:tcPr>
            <w:tcW w:w="1409" w:type="dxa"/>
            <w:noWrap/>
            <w:vAlign w:val="center"/>
          </w:tcPr>
          <w:p w14:paraId="08F1C9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0.012</w:t>
            </w:r>
          </w:p>
        </w:tc>
        <w:tc>
          <w:tcPr>
            <w:tcW w:w="816" w:type="dxa"/>
            <w:vAlign w:val="center"/>
          </w:tcPr>
          <w:p w14:paraId="3EC5BFD5">
            <w:pPr>
              <w:pStyle w:val="557"/>
            </w:pPr>
            <w:r>
              <w:rPr>
                <w:rFonts w:hint="eastAsia"/>
              </w:rPr>
              <w:t>7.2</w:t>
            </w:r>
          </w:p>
        </w:tc>
        <w:tc>
          <w:tcPr>
            <w:tcW w:w="1410" w:type="dxa"/>
            <w:noWrap/>
            <w:vAlign w:val="center"/>
          </w:tcPr>
          <w:p w14:paraId="435D352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0.009</w:t>
            </w:r>
          </w:p>
        </w:tc>
        <w:tc>
          <w:tcPr>
            <w:tcW w:w="835" w:type="dxa"/>
            <w:vAlign w:val="center"/>
          </w:tcPr>
          <w:p w14:paraId="69CE07A4">
            <w:pPr>
              <w:pStyle w:val="557"/>
            </w:pPr>
            <w:r>
              <w:rPr>
                <w:rFonts w:hint="eastAsia"/>
              </w:rPr>
              <w:t>14.3</w:t>
            </w:r>
          </w:p>
        </w:tc>
        <w:tc>
          <w:tcPr>
            <w:tcW w:w="1360" w:type="dxa"/>
            <w:noWrap/>
            <w:vAlign w:val="center"/>
          </w:tcPr>
          <w:p w14:paraId="200807E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0.017</w:t>
            </w:r>
          </w:p>
        </w:tc>
        <w:tc>
          <w:tcPr>
            <w:tcW w:w="1360" w:type="dxa"/>
            <w:vAlign w:val="center"/>
          </w:tcPr>
          <w:p w14:paraId="6F24F7C5">
            <w:pPr>
              <w:pStyle w:val="557"/>
            </w:pPr>
            <w:r>
              <w:rPr>
                <w:rFonts w:hint="eastAsia"/>
              </w:rPr>
              <w:t>11.2</w:t>
            </w:r>
          </w:p>
        </w:tc>
        <w:tc>
          <w:tcPr>
            <w:tcW w:w="1360" w:type="dxa"/>
            <w:noWrap/>
            <w:vAlign w:val="center"/>
          </w:tcPr>
          <w:p w14:paraId="7842374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0.014</w:t>
            </w:r>
          </w:p>
        </w:tc>
        <w:tc>
          <w:tcPr>
            <w:tcW w:w="1360" w:type="dxa"/>
            <w:noWrap/>
            <w:vAlign w:val="center"/>
          </w:tcPr>
          <w:p w14:paraId="1F4E87A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800</w:t>
            </w:r>
          </w:p>
        </w:tc>
      </w:tr>
      <w:tr w14:paraId="6E63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D987D9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汞</w:t>
            </w:r>
          </w:p>
        </w:tc>
        <w:tc>
          <w:tcPr>
            <w:tcW w:w="1704" w:type="dxa"/>
            <w:vAlign w:val="center"/>
          </w:tcPr>
          <w:p w14:paraId="0E16049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7DB9B68A">
            <w:pPr>
              <w:pStyle w:val="557"/>
            </w:pPr>
            <w:r>
              <w:rPr>
                <w:rFonts w:hint="eastAsia"/>
              </w:rPr>
              <w:t>0.074</w:t>
            </w:r>
          </w:p>
        </w:tc>
        <w:tc>
          <w:tcPr>
            <w:tcW w:w="1409" w:type="dxa"/>
            <w:noWrap/>
            <w:vAlign w:val="center"/>
          </w:tcPr>
          <w:p w14:paraId="589CCF1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816" w:type="dxa"/>
            <w:vAlign w:val="center"/>
          </w:tcPr>
          <w:p w14:paraId="12C22C22">
            <w:pPr>
              <w:pStyle w:val="557"/>
            </w:pPr>
            <w:r>
              <w:rPr>
                <w:rFonts w:hint="eastAsia"/>
              </w:rPr>
              <w:t>0.159</w:t>
            </w:r>
          </w:p>
        </w:tc>
        <w:tc>
          <w:tcPr>
            <w:tcW w:w="1410" w:type="dxa"/>
            <w:noWrap/>
            <w:vAlign w:val="center"/>
          </w:tcPr>
          <w:p w14:paraId="3E23C85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835" w:type="dxa"/>
            <w:vAlign w:val="center"/>
          </w:tcPr>
          <w:p w14:paraId="7DCA00C7">
            <w:pPr>
              <w:pStyle w:val="557"/>
            </w:pPr>
            <w:r>
              <w:rPr>
                <w:rFonts w:hint="eastAsia"/>
              </w:rPr>
              <w:t>0.037</w:t>
            </w:r>
          </w:p>
        </w:tc>
        <w:tc>
          <w:tcPr>
            <w:tcW w:w="1360" w:type="dxa"/>
            <w:noWrap/>
            <w:vAlign w:val="center"/>
          </w:tcPr>
          <w:p w14:paraId="498CDB9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0.0009</w:t>
            </w:r>
          </w:p>
        </w:tc>
        <w:tc>
          <w:tcPr>
            <w:tcW w:w="1360" w:type="dxa"/>
            <w:vAlign w:val="center"/>
          </w:tcPr>
          <w:p w14:paraId="3BCFF429">
            <w:pPr>
              <w:pStyle w:val="557"/>
            </w:pPr>
            <w:r>
              <w:rPr>
                <w:rFonts w:hint="eastAsia"/>
              </w:rPr>
              <w:t>0.073</w:t>
            </w:r>
          </w:p>
        </w:tc>
        <w:tc>
          <w:tcPr>
            <w:tcW w:w="1360" w:type="dxa"/>
            <w:noWrap/>
            <w:vAlign w:val="center"/>
          </w:tcPr>
          <w:p w14:paraId="33D6A25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360" w:type="dxa"/>
            <w:noWrap/>
            <w:vAlign w:val="center"/>
          </w:tcPr>
          <w:p w14:paraId="4C1F789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38</w:t>
            </w:r>
          </w:p>
        </w:tc>
      </w:tr>
      <w:tr w14:paraId="5D41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8F7B84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镍</w:t>
            </w:r>
          </w:p>
        </w:tc>
        <w:tc>
          <w:tcPr>
            <w:tcW w:w="1704" w:type="dxa"/>
            <w:vAlign w:val="center"/>
          </w:tcPr>
          <w:p w14:paraId="0264996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85E3E63">
            <w:pPr>
              <w:pStyle w:val="557"/>
            </w:pPr>
            <w:r>
              <w:rPr>
                <w:rFonts w:hint="eastAsia"/>
              </w:rPr>
              <w:t>23</w:t>
            </w:r>
          </w:p>
        </w:tc>
        <w:tc>
          <w:tcPr>
            <w:tcW w:w="1409" w:type="dxa"/>
            <w:noWrap/>
            <w:vAlign w:val="center"/>
          </w:tcPr>
          <w:p w14:paraId="028C55B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0.025</w:t>
            </w:r>
          </w:p>
        </w:tc>
        <w:tc>
          <w:tcPr>
            <w:tcW w:w="816" w:type="dxa"/>
            <w:vAlign w:val="center"/>
          </w:tcPr>
          <w:p w14:paraId="5CC1916B">
            <w:pPr>
              <w:pStyle w:val="557"/>
            </w:pPr>
            <w:r>
              <w:rPr>
                <w:rFonts w:hint="eastAsia"/>
              </w:rPr>
              <w:t>18</w:t>
            </w:r>
          </w:p>
        </w:tc>
        <w:tc>
          <w:tcPr>
            <w:tcW w:w="1410" w:type="dxa"/>
            <w:noWrap/>
            <w:vAlign w:val="center"/>
          </w:tcPr>
          <w:p w14:paraId="08F48F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w:t>
            </w:r>
          </w:p>
        </w:tc>
        <w:tc>
          <w:tcPr>
            <w:tcW w:w="835" w:type="dxa"/>
            <w:vAlign w:val="center"/>
          </w:tcPr>
          <w:p w14:paraId="292BC271">
            <w:pPr>
              <w:pStyle w:val="557"/>
            </w:pPr>
            <w:r>
              <w:rPr>
                <w:rFonts w:hint="eastAsia"/>
              </w:rPr>
              <w:t>17</w:t>
            </w:r>
          </w:p>
        </w:tc>
        <w:tc>
          <w:tcPr>
            <w:tcW w:w="1360" w:type="dxa"/>
            <w:noWrap/>
            <w:vAlign w:val="center"/>
          </w:tcPr>
          <w:p w14:paraId="0ECF279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1360" w:type="dxa"/>
            <w:vAlign w:val="center"/>
          </w:tcPr>
          <w:p w14:paraId="3C2FA593">
            <w:pPr>
              <w:pStyle w:val="557"/>
            </w:pPr>
            <w:r>
              <w:rPr>
                <w:rFonts w:hint="eastAsia"/>
              </w:rPr>
              <w:t>25</w:t>
            </w:r>
          </w:p>
        </w:tc>
        <w:tc>
          <w:tcPr>
            <w:tcW w:w="1360" w:type="dxa"/>
            <w:noWrap/>
            <w:vAlign w:val="center"/>
          </w:tcPr>
          <w:p w14:paraId="0AEFD5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0.027</w:t>
            </w:r>
          </w:p>
        </w:tc>
        <w:tc>
          <w:tcPr>
            <w:tcW w:w="1360" w:type="dxa"/>
            <w:noWrap/>
            <w:vAlign w:val="center"/>
          </w:tcPr>
          <w:p w14:paraId="2DE5A03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900</w:t>
            </w:r>
          </w:p>
        </w:tc>
      </w:tr>
      <w:tr w14:paraId="41A7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31ED302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四氯化碳</w:t>
            </w:r>
          </w:p>
        </w:tc>
        <w:tc>
          <w:tcPr>
            <w:tcW w:w="1704" w:type="dxa"/>
            <w:vAlign w:val="center"/>
          </w:tcPr>
          <w:p w14:paraId="735C984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24B2619">
            <w:pPr>
              <w:pStyle w:val="557"/>
            </w:pPr>
            <w:r>
              <w:rPr>
                <w:rFonts w:hint="eastAsia"/>
              </w:rPr>
              <w:t>&lt;2.1</w:t>
            </w:r>
          </w:p>
        </w:tc>
        <w:tc>
          <w:tcPr>
            <w:tcW w:w="1409" w:type="dxa"/>
            <w:noWrap/>
            <w:vAlign w:val="center"/>
          </w:tcPr>
          <w:p w14:paraId="5801776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B4EA0F4">
            <w:pPr>
              <w:pStyle w:val="557"/>
            </w:pPr>
            <w:r>
              <w:rPr>
                <w:rFonts w:hint="eastAsia"/>
              </w:rPr>
              <w:t>&lt;2.1</w:t>
            </w:r>
          </w:p>
        </w:tc>
        <w:tc>
          <w:tcPr>
            <w:tcW w:w="1410" w:type="dxa"/>
            <w:noWrap/>
            <w:vAlign w:val="center"/>
          </w:tcPr>
          <w:p w14:paraId="2281981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0B58AD1">
            <w:pPr>
              <w:pStyle w:val="557"/>
            </w:pPr>
            <w:r>
              <w:rPr>
                <w:rFonts w:hint="eastAsia"/>
              </w:rPr>
              <w:t>&lt;2.1</w:t>
            </w:r>
          </w:p>
        </w:tc>
        <w:tc>
          <w:tcPr>
            <w:tcW w:w="1360" w:type="dxa"/>
            <w:noWrap/>
            <w:vAlign w:val="center"/>
          </w:tcPr>
          <w:p w14:paraId="2F9B5E8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6870CE7">
            <w:pPr>
              <w:pStyle w:val="557"/>
            </w:pPr>
            <w:r>
              <w:rPr>
                <w:rFonts w:hint="eastAsia"/>
              </w:rPr>
              <w:t>&lt;2.1</w:t>
            </w:r>
          </w:p>
        </w:tc>
        <w:tc>
          <w:tcPr>
            <w:tcW w:w="1360" w:type="dxa"/>
            <w:noWrap/>
            <w:vAlign w:val="center"/>
          </w:tcPr>
          <w:p w14:paraId="3606F74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44490DE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r>
      <w:tr w14:paraId="63EB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437D8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氯仿</w:t>
            </w:r>
          </w:p>
        </w:tc>
        <w:tc>
          <w:tcPr>
            <w:tcW w:w="1704" w:type="dxa"/>
            <w:vAlign w:val="center"/>
          </w:tcPr>
          <w:p w14:paraId="4D75533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90530A1">
            <w:pPr>
              <w:pStyle w:val="557"/>
            </w:pPr>
            <w:r>
              <w:rPr>
                <w:rFonts w:hint="eastAsia"/>
              </w:rPr>
              <w:t>&lt;1.5</w:t>
            </w:r>
          </w:p>
        </w:tc>
        <w:tc>
          <w:tcPr>
            <w:tcW w:w="1409" w:type="dxa"/>
            <w:noWrap/>
            <w:vAlign w:val="center"/>
          </w:tcPr>
          <w:p w14:paraId="4727624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CF35806">
            <w:pPr>
              <w:pStyle w:val="557"/>
            </w:pPr>
            <w:r>
              <w:rPr>
                <w:rFonts w:hint="eastAsia"/>
              </w:rPr>
              <w:t>&lt;1.5</w:t>
            </w:r>
          </w:p>
        </w:tc>
        <w:tc>
          <w:tcPr>
            <w:tcW w:w="1410" w:type="dxa"/>
            <w:noWrap/>
            <w:vAlign w:val="center"/>
          </w:tcPr>
          <w:p w14:paraId="2E84CA8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75A698C">
            <w:pPr>
              <w:pStyle w:val="557"/>
            </w:pPr>
            <w:r>
              <w:rPr>
                <w:rFonts w:hint="eastAsia"/>
              </w:rPr>
              <w:t>&lt;1.5</w:t>
            </w:r>
          </w:p>
        </w:tc>
        <w:tc>
          <w:tcPr>
            <w:tcW w:w="1360" w:type="dxa"/>
            <w:noWrap/>
            <w:vAlign w:val="center"/>
          </w:tcPr>
          <w:p w14:paraId="228FE4C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05491DC9">
            <w:pPr>
              <w:pStyle w:val="557"/>
            </w:pPr>
            <w:r>
              <w:rPr>
                <w:rFonts w:hint="eastAsia"/>
              </w:rPr>
              <w:t>&lt;1.5</w:t>
            </w:r>
          </w:p>
        </w:tc>
        <w:tc>
          <w:tcPr>
            <w:tcW w:w="1360" w:type="dxa"/>
            <w:noWrap/>
            <w:vAlign w:val="center"/>
          </w:tcPr>
          <w:p w14:paraId="610859E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86E8B8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0.9</w:t>
            </w:r>
          </w:p>
        </w:tc>
      </w:tr>
      <w:tr w14:paraId="04F1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B3CA8D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氯甲烷</w:t>
            </w:r>
          </w:p>
        </w:tc>
        <w:tc>
          <w:tcPr>
            <w:tcW w:w="1704" w:type="dxa"/>
            <w:vAlign w:val="center"/>
          </w:tcPr>
          <w:p w14:paraId="41256FA2">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5438708B">
            <w:pPr>
              <w:pStyle w:val="557"/>
            </w:pPr>
            <w:r>
              <w:rPr>
                <w:rFonts w:hint="eastAsia"/>
              </w:rPr>
              <w:t>&lt;3</w:t>
            </w:r>
          </w:p>
        </w:tc>
        <w:tc>
          <w:tcPr>
            <w:tcW w:w="1409" w:type="dxa"/>
            <w:noWrap/>
            <w:vAlign w:val="center"/>
          </w:tcPr>
          <w:p w14:paraId="1442646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5212B070">
            <w:pPr>
              <w:pStyle w:val="557"/>
            </w:pPr>
            <w:r>
              <w:rPr>
                <w:rFonts w:hint="eastAsia"/>
              </w:rPr>
              <w:t>&lt;3</w:t>
            </w:r>
          </w:p>
        </w:tc>
        <w:tc>
          <w:tcPr>
            <w:tcW w:w="1410" w:type="dxa"/>
            <w:noWrap/>
            <w:vAlign w:val="center"/>
          </w:tcPr>
          <w:p w14:paraId="32079D8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933A3B4">
            <w:pPr>
              <w:pStyle w:val="557"/>
            </w:pPr>
            <w:r>
              <w:rPr>
                <w:rFonts w:hint="eastAsia"/>
              </w:rPr>
              <w:t>&lt;3</w:t>
            </w:r>
          </w:p>
        </w:tc>
        <w:tc>
          <w:tcPr>
            <w:tcW w:w="1360" w:type="dxa"/>
            <w:noWrap/>
            <w:vAlign w:val="center"/>
          </w:tcPr>
          <w:p w14:paraId="7D1C11C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38E39E0B">
            <w:pPr>
              <w:pStyle w:val="557"/>
            </w:pPr>
            <w:r>
              <w:rPr>
                <w:rFonts w:hint="eastAsia"/>
              </w:rPr>
              <w:t>&lt;3</w:t>
            </w:r>
          </w:p>
        </w:tc>
        <w:tc>
          <w:tcPr>
            <w:tcW w:w="1360" w:type="dxa"/>
            <w:noWrap/>
            <w:vAlign w:val="center"/>
          </w:tcPr>
          <w:p w14:paraId="0F32EB3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2F770B1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37</w:t>
            </w:r>
          </w:p>
        </w:tc>
      </w:tr>
      <w:tr w14:paraId="2FEB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4A93776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氯乙烯</w:t>
            </w:r>
          </w:p>
        </w:tc>
        <w:tc>
          <w:tcPr>
            <w:tcW w:w="1704" w:type="dxa"/>
            <w:vAlign w:val="center"/>
          </w:tcPr>
          <w:p w14:paraId="16579EF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3A7AB563">
            <w:pPr>
              <w:pStyle w:val="557"/>
            </w:pPr>
            <w:r>
              <w:rPr>
                <w:rFonts w:hint="eastAsia"/>
              </w:rPr>
              <w:t>&lt;1.5</w:t>
            </w:r>
          </w:p>
        </w:tc>
        <w:tc>
          <w:tcPr>
            <w:tcW w:w="1409" w:type="dxa"/>
            <w:noWrap/>
            <w:vAlign w:val="center"/>
          </w:tcPr>
          <w:p w14:paraId="108D654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1B72B46D">
            <w:pPr>
              <w:pStyle w:val="557"/>
            </w:pPr>
            <w:r>
              <w:rPr>
                <w:rFonts w:hint="eastAsia"/>
              </w:rPr>
              <w:t>&lt;1.5</w:t>
            </w:r>
          </w:p>
        </w:tc>
        <w:tc>
          <w:tcPr>
            <w:tcW w:w="1410" w:type="dxa"/>
            <w:noWrap/>
            <w:vAlign w:val="center"/>
          </w:tcPr>
          <w:p w14:paraId="1A80817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4EF32066">
            <w:pPr>
              <w:pStyle w:val="557"/>
            </w:pPr>
            <w:r>
              <w:rPr>
                <w:rFonts w:hint="eastAsia"/>
              </w:rPr>
              <w:t>&lt;1.5</w:t>
            </w:r>
          </w:p>
        </w:tc>
        <w:tc>
          <w:tcPr>
            <w:tcW w:w="1360" w:type="dxa"/>
            <w:noWrap/>
            <w:vAlign w:val="center"/>
          </w:tcPr>
          <w:p w14:paraId="602EBA0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BA46C1F">
            <w:pPr>
              <w:pStyle w:val="557"/>
            </w:pPr>
            <w:r>
              <w:rPr>
                <w:rFonts w:hint="eastAsia"/>
              </w:rPr>
              <w:t>&lt;1.5</w:t>
            </w:r>
          </w:p>
        </w:tc>
        <w:tc>
          <w:tcPr>
            <w:tcW w:w="1360" w:type="dxa"/>
            <w:noWrap/>
            <w:vAlign w:val="center"/>
          </w:tcPr>
          <w:p w14:paraId="6DD4D49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8EBFA3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0.43</w:t>
            </w:r>
          </w:p>
        </w:tc>
      </w:tr>
      <w:tr w14:paraId="3AA7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B9301C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1，1-二氯乙烯</w:t>
            </w:r>
          </w:p>
        </w:tc>
        <w:tc>
          <w:tcPr>
            <w:tcW w:w="1704" w:type="dxa"/>
            <w:vAlign w:val="center"/>
          </w:tcPr>
          <w:p w14:paraId="01B9487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3C1E47E9">
            <w:pPr>
              <w:pStyle w:val="557"/>
            </w:pPr>
            <w:r>
              <w:rPr>
                <w:rFonts w:hint="eastAsia"/>
              </w:rPr>
              <w:t>&lt;0.8</w:t>
            </w:r>
          </w:p>
        </w:tc>
        <w:tc>
          <w:tcPr>
            <w:tcW w:w="1409" w:type="dxa"/>
            <w:noWrap/>
            <w:vAlign w:val="center"/>
          </w:tcPr>
          <w:p w14:paraId="70B99C7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1BB3BA5A">
            <w:pPr>
              <w:pStyle w:val="557"/>
            </w:pPr>
            <w:r>
              <w:rPr>
                <w:rFonts w:hint="eastAsia"/>
              </w:rPr>
              <w:t>&lt;0.8</w:t>
            </w:r>
          </w:p>
        </w:tc>
        <w:tc>
          <w:tcPr>
            <w:tcW w:w="1410" w:type="dxa"/>
            <w:noWrap/>
            <w:vAlign w:val="center"/>
          </w:tcPr>
          <w:p w14:paraId="5900C8C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0E22D847">
            <w:pPr>
              <w:pStyle w:val="557"/>
            </w:pPr>
            <w:r>
              <w:rPr>
                <w:rFonts w:hint="eastAsia"/>
              </w:rPr>
              <w:t>&lt;0.8</w:t>
            </w:r>
          </w:p>
        </w:tc>
        <w:tc>
          <w:tcPr>
            <w:tcW w:w="1360" w:type="dxa"/>
            <w:noWrap/>
            <w:vAlign w:val="center"/>
          </w:tcPr>
          <w:p w14:paraId="69CFE3C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762F84D">
            <w:pPr>
              <w:pStyle w:val="557"/>
            </w:pPr>
            <w:r>
              <w:rPr>
                <w:rFonts w:hint="eastAsia"/>
              </w:rPr>
              <w:t>&lt;0.8</w:t>
            </w:r>
          </w:p>
        </w:tc>
        <w:tc>
          <w:tcPr>
            <w:tcW w:w="1360" w:type="dxa"/>
            <w:noWrap/>
            <w:vAlign w:val="center"/>
          </w:tcPr>
          <w:p w14:paraId="5ADC911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AB7078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66</w:t>
            </w:r>
          </w:p>
        </w:tc>
      </w:tr>
      <w:tr w14:paraId="22BA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24F203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二氯甲烷</w:t>
            </w:r>
          </w:p>
        </w:tc>
        <w:tc>
          <w:tcPr>
            <w:tcW w:w="1704" w:type="dxa"/>
            <w:vAlign w:val="center"/>
          </w:tcPr>
          <w:p w14:paraId="4095004E">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F398DFF">
            <w:pPr>
              <w:pStyle w:val="557"/>
            </w:pPr>
            <w:r>
              <w:rPr>
                <w:rFonts w:hint="eastAsia"/>
              </w:rPr>
              <w:t>&lt;2.6</w:t>
            </w:r>
          </w:p>
        </w:tc>
        <w:tc>
          <w:tcPr>
            <w:tcW w:w="1409" w:type="dxa"/>
            <w:noWrap/>
            <w:vAlign w:val="center"/>
          </w:tcPr>
          <w:p w14:paraId="4E094B6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559F5BA1">
            <w:pPr>
              <w:pStyle w:val="557"/>
            </w:pPr>
            <w:r>
              <w:rPr>
                <w:rFonts w:hint="eastAsia"/>
              </w:rPr>
              <w:t>&lt;2.6</w:t>
            </w:r>
          </w:p>
        </w:tc>
        <w:tc>
          <w:tcPr>
            <w:tcW w:w="1410" w:type="dxa"/>
            <w:noWrap/>
            <w:vAlign w:val="center"/>
          </w:tcPr>
          <w:p w14:paraId="5D8B10D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B112041">
            <w:pPr>
              <w:pStyle w:val="557"/>
            </w:pPr>
            <w:r>
              <w:rPr>
                <w:rFonts w:hint="eastAsia"/>
              </w:rPr>
              <w:t>&lt;2.6</w:t>
            </w:r>
          </w:p>
        </w:tc>
        <w:tc>
          <w:tcPr>
            <w:tcW w:w="1360" w:type="dxa"/>
            <w:noWrap/>
            <w:vAlign w:val="center"/>
          </w:tcPr>
          <w:p w14:paraId="1B0F40E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33395E85">
            <w:pPr>
              <w:pStyle w:val="557"/>
            </w:pPr>
            <w:r>
              <w:rPr>
                <w:rFonts w:hint="eastAsia"/>
              </w:rPr>
              <w:t>&lt;2.6</w:t>
            </w:r>
          </w:p>
        </w:tc>
        <w:tc>
          <w:tcPr>
            <w:tcW w:w="1360" w:type="dxa"/>
            <w:noWrap/>
            <w:vAlign w:val="center"/>
          </w:tcPr>
          <w:p w14:paraId="3AEBD92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04F76A6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616</w:t>
            </w:r>
          </w:p>
        </w:tc>
      </w:tr>
      <w:tr w14:paraId="4FE8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E58699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反-1,2-二氯乙烯</w:t>
            </w:r>
          </w:p>
        </w:tc>
        <w:tc>
          <w:tcPr>
            <w:tcW w:w="1704" w:type="dxa"/>
            <w:vAlign w:val="center"/>
          </w:tcPr>
          <w:p w14:paraId="00D8460A">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0403A23D">
            <w:pPr>
              <w:pStyle w:val="557"/>
            </w:pPr>
            <w:r>
              <w:rPr>
                <w:rFonts w:hint="eastAsia"/>
              </w:rPr>
              <w:t>&lt;0.9</w:t>
            </w:r>
          </w:p>
        </w:tc>
        <w:tc>
          <w:tcPr>
            <w:tcW w:w="1409" w:type="dxa"/>
            <w:noWrap/>
            <w:vAlign w:val="center"/>
          </w:tcPr>
          <w:p w14:paraId="1A739EE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0A3F7B7">
            <w:pPr>
              <w:pStyle w:val="557"/>
            </w:pPr>
            <w:r>
              <w:rPr>
                <w:rFonts w:hint="eastAsia"/>
              </w:rPr>
              <w:t>&lt;0.9</w:t>
            </w:r>
          </w:p>
        </w:tc>
        <w:tc>
          <w:tcPr>
            <w:tcW w:w="1410" w:type="dxa"/>
            <w:noWrap/>
            <w:vAlign w:val="center"/>
          </w:tcPr>
          <w:p w14:paraId="0D63025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A5DFEB4">
            <w:pPr>
              <w:pStyle w:val="557"/>
            </w:pPr>
            <w:r>
              <w:rPr>
                <w:rFonts w:hint="eastAsia"/>
              </w:rPr>
              <w:t>&lt;0.9</w:t>
            </w:r>
          </w:p>
        </w:tc>
        <w:tc>
          <w:tcPr>
            <w:tcW w:w="1360" w:type="dxa"/>
            <w:noWrap/>
            <w:vAlign w:val="center"/>
          </w:tcPr>
          <w:p w14:paraId="7301083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09A53B77">
            <w:pPr>
              <w:pStyle w:val="557"/>
            </w:pPr>
            <w:r>
              <w:rPr>
                <w:rFonts w:hint="eastAsia"/>
              </w:rPr>
              <w:t>&lt;0.9</w:t>
            </w:r>
          </w:p>
        </w:tc>
        <w:tc>
          <w:tcPr>
            <w:tcW w:w="1360" w:type="dxa"/>
            <w:noWrap/>
            <w:vAlign w:val="center"/>
          </w:tcPr>
          <w:p w14:paraId="22E7061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3E193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54</w:t>
            </w:r>
          </w:p>
        </w:tc>
      </w:tr>
      <w:tr w14:paraId="165D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15A0A11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1,1-二氯乙烷</w:t>
            </w:r>
          </w:p>
        </w:tc>
        <w:tc>
          <w:tcPr>
            <w:tcW w:w="1704" w:type="dxa"/>
            <w:vAlign w:val="center"/>
          </w:tcPr>
          <w:p w14:paraId="4E4FE35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69D0619B">
            <w:pPr>
              <w:pStyle w:val="557"/>
            </w:pPr>
            <w:r>
              <w:rPr>
                <w:rFonts w:hint="eastAsia"/>
              </w:rPr>
              <w:t>&lt;1.6</w:t>
            </w:r>
          </w:p>
        </w:tc>
        <w:tc>
          <w:tcPr>
            <w:tcW w:w="1409" w:type="dxa"/>
            <w:noWrap/>
            <w:vAlign w:val="center"/>
          </w:tcPr>
          <w:p w14:paraId="7A3D669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0950B7E">
            <w:pPr>
              <w:pStyle w:val="557"/>
            </w:pPr>
            <w:r>
              <w:rPr>
                <w:rFonts w:hint="eastAsia"/>
              </w:rPr>
              <w:t>&lt;1.6</w:t>
            </w:r>
          </w:p>
        </w:tc>
        <w:tc>
          <w:tcPr>
            <w:tcW w:w="1410" w:type="dxa"/>
            <w:noWrap/>
            <w:vAlign w:val="center"/>
          </w:tcPr>
          <w:p w14:paraId="10E69E7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7A591B55">
            <w:pPr>
              <w:pStyle w:val="557"/>
            </w:pPr>
            <w:r>
              <w:rPr>
                <w:rFonts w:hint="eastAsia"/>
              </w:rPr>
              <w:t>&lt;1.6</w:t>
            </w:r>
          </w:p>
        </w:tc>
        <w:tc>
          <w:tcPr>
            <w:tcW w:w="1360" w:type="dxa"/>
            <w:noWrap/>
            <w:vAlign w:val="center"/>
          </w:tcPr>
          <w:p w14:paraId="477A744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3FCABC80">
            <w:pPr>
              <w:pStyle w:val="557"/>
            </w:pPr>
            <w:r>
              <w:rPr>
                <w:rFonts w:hint="eastAsia"/>
              </w:rPr>
              <w:t>&lt;1.6</w:t>
            </w:r>
          </w:p>
        </w:tc>
        <w:tc>
          <w:tcPr>
            <w:tcW w:w="1360" w:type="dxa"/>
            <w:noWrap/>
            <w:vAlign w:val="center"/>
          </w:tcPr>
          <w:p w14:paraId="5FAE610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FCC296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p>
        </w:tc>
      </w:tr>
      <w:tr w14:paraId="506C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B8ECB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顺-1,2-二氯乙烯</w:t>
            </w:r>
          </w:p>
        </w:tc>
        <w:tc>
          <w:tcPr>
            <w:tcW w:w="1704" w:type="dxa"/>
            <w:vAlign w:val="center"/>
          </w:tcPr>
          <w:p w14:paraId="20245816">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D5418BD">
            <w:pPr>
              <w:pStyle w:val="557"/>
            </w:pPr>
            <w:r>
              <w:rPr>
                <w:rFonts w:hint="eastAsia"/>
              </w:rPr>
              <w:t>&lt;0.9</w:t>
            </w:r>
          </w:p>
        </w:tc>
        <w:tc>
          <w:tcPr>
            <w:tcW w:w="1409" w:type="dxa"/>
            <w:noWrap/>
            <w:vAlign w:val="center"/>
          </w:tcPr>
          <w:p w14:paraId="0E45CED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71D198D">
            <w:pPr>
              <w:pStyle w:val="557"/>
            </w:pPr>
            <w:r>
              <w:rPr>
                <w:rFonts w:hint="eastAsia"/>
              </w:rPr>
              <w:t>&lt;0.9</w:t>
            </w:r>
          </w:p>
        </w:tc>
        <w:tc>
          <w:tcPr>
            <w:tcW w:w="1410" w:type="dxa"/>
            <w:noWrap/>
            <w:vAlign w:val="center"/>
          </w:tcPr>
          <w:p w14:paraId="2269EAF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54682780">
            <w:pPr>
              <w:pStyle w:val="557"/>
            </w:pPr>
            <w:r>
              <w:rPr>
                <w:rFonts w:hint="eastAsia"/>
              </w:rPr>
              <w:t>&lt;0.9</w:t>
            </w:r>
          </w:p>
        </w:tc>
        <w:tc>
          <w:tcPr>
            <w:tcW w:w="1360" w:type="dxa"/>
            <w:noWrap/>
            <w:vAlign w:val="center"/>
          </w:tcPr>
          <w:p w14:paraId="3AC0398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B6CF78A">
            <w:pPr>
              <w:pStyle w:val="557"/>
            </w:pPr>
            <w:r>
              <w:rPr>
                <w:rFonts w:hint="eastAsia"/>
              </w:rPr>
              <w:t>&lt;0.9</w:t>
            </w:r>
          </w:p>
        </w:tc>
        <w:tc>
          <w:tcPr>
            <w:tcW w:w="1360" w:type="dxa"/>
            <w:noWrap/>
            <w:vAlign w:val="center"/>
          </w:tcPr>
          <w:p w14:paraId="1E616C1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A7D352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596</w:t>
            </w:r>
          </w:p>
        </w:tc>
      </w:tr>
      <w:tr w14:paraId="5D50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C4911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1,1,1-三氯乙烷</w:t>
            </w:r>
          </w:p>
        </w:tc>
        <w:tc>
          <w:tcPr>
            <w:tcW w:w="1704" w:type="dxa"/>
            <w:vAlign w:val="center"/>
          </w:tcPr>
          <w:p w14:paraId="7A3C088F">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6C214D28">
            <w:pPr>
              <w:pStyle w:val="557"/>
            </w:pPr>
            <w:r>
              <w:rPr>
                <w:rFonts w:hint="eastAsia"/>
              </w:rPr>
              <w:t>&lt;1.1</w:t>
            </w:r>
          </w:p>
        </w:tc>
        <w:tc>
          <w:tcPr>
            <w:tcW w:w="1409" w:type="dxa"/>
            <w:noWrap/>
            <w:vAlign w:val="center"/>
          </w:tcPr>
          <w:p w14:paraId="5499F76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31B63990">
            <w:pPr>
              <w:pStyle w:val="557"/>
            </w:pPr>
            <w:r>
              <w:rPr>
                <w:rFonts w:hint="eastAsia"/>
              </w:rPr>
              <w:t>&lt;1.1</w:t>
            </w:r>
          </w:p>
        </w:tc>
        <w:tc>
          <w:tcPr>
            <w:tcW w:w="1410" w:type="dxa"/>
            <w:noWrap/>
            <w:vAlign w:val="center"/>
          </w:tcPr>
          <w:p w14:paraId="36CB13C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7C31B5A">
            <w:pPr>
              <w:pStyle w:val="557"/>
            </w:pPr>
            <w:r>
              <w:rPr>
                <w:rFonts w:hint="eastAsia"/>
              </w:rPr>
              <w:t>&lt;1.1</w:t>
            </w:r>
          </w:p>
        </w:tc>
        <w:tc>
          <w:tcPr>
            <w:tcW w:w="1360" w:type="dxa"/>
            <w:noWrap/>
            <w:vAlign w:val="center"/>
          </w:tcPr>
          <w:p w14:paraId="02FD25E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44A429CB">
            <w:pPr>
              <w:pStyle w:val="557"/>
            </w:pPr>
            <w:r>
              <w:rPr>
                <w:rFonts w:hint="eastAsia"/>
              </w:rPr>
              <w:t>&lt;1.1</w:t>
            </w:r>
          </w:p>
        </w:tc>
        <w:tc>
          <w:tcPr>
            <w:tcW w:w="1360" w:type="dxa"/>
            <w:noWrap/>
            <w:vAlign w:val="center"/>
          </w:tcPr>
          <w:p w14:paraId="68E43BE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6DAA74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840</w:t>
            </w:r>
          </w:p>
        </w:tc>
      </w:tr>
      <w:tr w14:paraId="7D1B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DD69BC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w:t>
            </w:r>
          </w:p>
        </w:tc>
        <w:tc>
          <w:tcPr>
            <w:tcW w:w="1704" w:type="dxa"/>
            <w:vAlign w:val="center"/>
          </w:tcPr>
          <w:p w14:paraId="2D23F1A6">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56FA2F9D">
            <w:pPr>
              <w:pStyle w:val="557"/>
            </w:pPr>
            <w:r>
              <w:rPr>
                <w:rFonts w:hint="eastAsia"/>
              </w:rPr>
              <w:t>&lt;1.6</w:t>
            </w:r>
          </w:p>
        </w:tc>
        <w:tc>
          <w:tcPr>
            <w:tcW w:w="1409" w:type="dxa"/>
            <w:noWrap/>
            <w:vAlign w:val="center"/>
          </w:tcPr>
          <w:p w14:paraId="570190B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7219D841">
            <w:pPr>
              <w:pStyle w:val="557"/>
            </w:pPr>
            <w:r>
              <w:rPr>
                <w:rFonts w:hint="eastAsia"/>
              </w:rPr>
              <w:t>&lt;1.6</w:t>
            </w:r>
          </w:p>
        </w:tc>
        <w:tc>
          <w:tcPr>
            <w:tcW w:w="1410" w:type="dxa"/>
            <w:noWrap/>
            <w:vAlign w:val="center"/>
          </w:tcPr>
          <w:p w14:paraId="648A27A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3201D31">
            <w:pPr>
              <w:pStyle w:val="557"/>
            </w:pPr>
            <w:r>
              <w:rPr>
                <w:rFonts w:hint="eastAsia"/>
              </w:rPr>
              <w:t>&lt;1.6</w:t>
            </w:r>
          </w:p>
        </w:tc>
        <w:tc>
          <w:tcPr>
            <w:tcW w:w="1360" w:type="dxa"/>
            <w:noWrap/>
            <w:vAlign w:val="center"/>
          </w:tcPr>
          <w:p w14:paraId="220CAD6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B642E24">
            <w:pPr>
              <w:pStyle w:val="557"/>
            </w:pPr>
            <w:r>
              <w:rPr>
                <w:rFonts w:hint="eastAsia"/>
              </w:rPr>
              <w:t>&lt;1.6</w:t>
            </w:r>
          </w:p>
        </w:tc>
        <w:tc>
          <w:tcPr>
            <w:tcW w:w="1360" w:type="dxa"/>
            <w:noWrap/>
            <w:vAlign w:val="center"/>
          </w:tcPr>
          <w:p w14:paraId="2D4AF4F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2FA58CE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r>
      <w:tr w14:paraId="6261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CF8EC6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1,2-二氯乙烷</w:t>
            </w:r>
          </w:p>
        </w:tc>
        <w:tc>
          <w:tcPr>
            <w:tcW w:w="1704" w:type="dxa"/>
            <w:vAlign w:val="center"/>
          </w:tcPr>
          <w:p w14:paraId="6491A6FF">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2C06957">
            <w:pPr>
              <w:pStyle w:val="557"/>
            </w:pPr>
            <w:r>
              <w:rPr>
                <w:rFonts w:hint="eastAsia"/>
              </w:rPr>
              <w:t>&lt;1.3</w:t>
            </w:r>
          </w:p>
        </w:tc>
        <w:tc>
          <w:tcPr>
            <w:tcW w:w="1409" w:type="dxa"/>
            <w:noWrap/>
            <w:vAlign w:val="center"/>
          </w:tcPr>
          <w:p w14:paraId="6A960D3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1986C6D0">
            <w:pPr>
              <w:pStyle w:val="557"/>
            </w:pPr>
            <w:r>
              <w:rPr>
                <w:rFonts w:hint="eastAsia"/>
              </w:rPr>
              <w:t>&lt;1.3</w:t>
            </w:r>
          </w:p>
        </w:tc>
        <w:tc>
          <w:tcPr>
            <w:tcW w:w="1410" w:type="dxa"/>
            <w:noWrap/>
            <w:vAlign w:val="center"/>
          </w:tcPr>
          <w:p w14:paraId="6285D16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42BE82CE">
            <w:pPr>
              <w:pStyle w:val="557"/>
            </w:pPr>
            <w:r>
              <w:rPr>
                <w:rFonts w:hint="eastAsia"/>
              </w:rPr>
              <w:t>&lt;1.3</w:t>
            </w:r>
          </w:p>
        </w:tc>
        <w:tc>
          <w:tcPr>
            <w:tcW w:w="1360" w:type="dxa"/>
            <w:noWrap/>
            <w:vAlign w:val="center"/>
          </w:tcPr>
          <w:p w14:paraId="21ACE96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0182388F">
            <w:pPr>
              <w:pStyle w:val="557"/>
            </w:pPr>
            <w:r>
              <w:rPr>
                <w:rFonts w:hint="eastAsia"/>
              </w:rPr>
              <w:t>&lt;1.3</w:t>
            </w:r>
          </w:p>
        </w:tc>
        <w:tc>
          <w:tcPr>
            <w:tcW w:w="1360" w:type="dxa"/>
            <w:noWrap/>
            <w:vAlign w:val="center"/>
          </w:tcPr>
          <w:p w14:paraId="7BC0854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23C547D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r>
      <w:tr w14:paraId="11EE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B77EED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三氯乙烯</w:t>
            </w:r>
          </w:p>
        </w:tc>
        <w:tc>
          <w:tcPr>
            <w:tcW w:w="1704" w:type="dxa"/>
            <w:vAlign w:val="center"/>
          </w:tcPr>
          <w:p w14:paraId="2312EB27">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7D3F55C">
            <w:pPr>
              <w:pStyle w:val="557"/>
            </w:pPr>
            <w:r>
              <w:rPr>
                <w:rFonts w:hint="eastAsia"/>
              </w:rPr>
              <w:t>&lt;0.9</w:t>
            </w:r>
          </w:p>
        </w:tc>
        <w:tc>
          <w:tcPr>
            <w:tcW w:w="1409" w:type="dxa"/>
            <w:noWrap/>
            <w:vAlign w:val="center"/>
          </w:tcPr>
          <w:p w14:paraId="09789B2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72E3BFC9">
            <w:pPr>
              <w:pStyle w:val="557"/>
            </w:pPr>
            <w:r>
              <w:rPr>
                <w:rFonts w:hint="eastAsia"/>
              </w:rPr>
              <w:t>&lt;0.9</w:t>
            </w:r>
          </w:p>
        </w:tc>
        <w:tc>
          <w:tcPr>
            <w:tcW w:w="1410" w:type="dxa"/>
            <w:noWrap/>
            <w:vAlign w:val="center"/>
          </w:tcPr>
          <w:p w14:paraId="264185D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AB7903F">
            <w:pPr>
              <w:pStyle w:val="557"/>
            </w:pPr>
            <w:r>
              <w:rPr>
                <w:rFonts w:hint="eastAsia"/>
              </w:rPr>
              <w:t>&lt;0.9</w:t>
            </w:r>
          </w:p>
        </w:tc>
        <w:tc>
          <w:tcPr>
            <w:tcW w:w="1360" w:type="dxa"/>
            <w:noWrap/>
            <w:vAlign w:val="center"/>
          </w:tcPr>
          <w:p w14:paraId="2F259B4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0C1C256">
            <w:pPr>
              <w:pStyle w:val="557"/>
            </w:pPr>
            <w:r>
              <w:rPr>
                <w:rFonts w:hint="eastAsia"/>
              </w:rPr>
              <w:t>&lt;0.9</w:t>
            </w:r>
          </w:p>
        </w:tc>
        <w:tc>
          <w:tcPr>
            <w:tcW w:w="1360" w:type="dxa"/>
            <w:noWrap/>
            <w:vAlign w:val="center"/>
          </w:tcPr>
          <w:p w14:paraId="3449402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792EC2A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r>
      <w:tr w14:paraId="155C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0049F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甲苯</w:t>
            </w:r>
          </w:p>
        </w:tc>
        <w:tc>
          <w:tcPr>
            <w:tcW w:w="1704" w:type="dxa"/>
            <w:vAlign w:val="center"/>
          </w:tcPr>
          <w:p w14:paraId="4C6F453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63BFD2E8">
            <w:pPr>
              <w:pStyle w:val="557"/>
            </w:pPr>
            <w:r>
              <w:rPr>
                <w:rFonts w:hint="eastAsia"/>
              </w:rPr>
              <w:t>&lt;2.0</w:t>
            </w:r>
          </w:p>
        </w:tc>
        <w:tc>
          <w:tcPr>
            <w:tcW w:w="1409" w:type="dxa"/>
            <w:noWrap/>
            <w:vAlign w:val="center"/>
          </w:tcPr>
          <w:p w14:paraId="510AFA4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D2F5FA3">
            <w:pPr>
              <w:pStyle w:val="557"/>
            </w:pPr>
            <w:r>
              <w:rPr>
                <w:rFonts w:hint="eastAsia"/>
              </w:rPr>
              <w:t>&lt;2.0</w:t>
            </w:r>
          </w:p>
        </w:tc>
        <w:tc>
          <w:tcPr>
            <w:tcW w:w="1410" w:type="dxa"/>
            <w:noWrap/>
            <w:vAlign w:val="center"/>
          </w:tcPr>
          <w:p w14:paraId="0D74C9C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546CCD46">
            <w:pPr>
              <w:pStyle w:val="557"/>
            </w:pPr>
            <w:r>
              <w:rPr>
                <w:rFonts w:hint="eastAsia"/>
              </w:rPr>
              <w:t>&lt;2.0</w:t>
            </w:r>
          </w:p>
        </w:tc>
        <w:tc>
          <w:tcPr>
            <w:tcW w:w="1360" w:type="dxa"/>
            <w:noWrap/>
            <w:vAlign w:val="center"/>
          </w:tcPr>
          <w:p w14:paraId="6D0BE04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BA8DD0F">
            <w:pPr>
              <w:pStyle w:val="557"/>
            </w:pPr>
            <w:r>
              <w:rPr>
                <w:rFonts w:hint="eastAsia"/>
              </w:rPr>
              <w:t>&lt;2.0</w:t>
            </w:r>
          </w:p>
        </w:tc>
        <w:tc>
          <w:tcPr>
            <w:tcW w:w="1360" w:type="dxa"/>
            <w:noWrap/>
            <w:vAlign w:val="center"/>
          </w:tcPr>
          <w:p w14:paraId="183588A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8C8406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1200</w:t>
            </w:r>
          </w:p>
        </w:tc>
      </w:tr>
      <w:tr w14:paraId="3956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5E6C8C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1,2-二氯丙烷</w:t>
            </w:r>
          </w:p>
        </w:tc>
        <w:tc>
          <w:tcPr>
            <w:tcW w:w="1704" w:type="dxa"/>
            <w:vAlign w:val="center"/>
          </w:tcPr>
          <w:p w14:paraId="01B0603F">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6668F2FA">
            <w:pPr>
              <w:pStyle w:val="557"/>
            </w:pPr>
            <w:r>
              <w:rPr>
                <w:rFonts w:hint="eastAsia"/>
              </w:rPr>
              <w:t>&lt;1.9</w:t>
            </w:r>
          </w:p>
        </w:tc>
        <w:tc>
          <w:tcPr>
            <w:tcW w:w="1409" w:type="dxa"/>
            <w:noWrap/>
            <w:vAlign w:val="center"/>
          </w:tcPr>
          <w:p w14:paraId="633E537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914C343">
            <w:pPr>
              <w:pStyle w:val="557"/>
            </w:pPr>
            <w:r>
              <w:rPr>
                <w:rFonts w:hint="eastAsia"/>
              </w:rPr>
              <w:t>&lt;1.9</w:t>
            </w:r>
          </w:p>
        </w:tc>
        <w:tc>
          <w:tcPr>
            <w:tcW w:w="1410" w:type="dxa"/>
            <w:noWrap/>
            <w:vAlign w:val="center"/>
          </w:tcPr>
          <w:p w14:paraId="5C93C2A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BA01874">
            <w:pPr>
              <w:pStyle w:val="557"/>
            </w:pPr>
            <w:r>
              <w:rPr>
                <w:rFonts w:hint="eastAsia"/>
              </w:rPr>
              <w:t>&lt;1.9</w:t>
            </w:r>
          </w:p>
        </w:tc>
        <w:tc>
          <w:tcPr>
            <w:tcW w:w="1360" w:type="dxa"/>
            <w:noWrap/>
            <w:vAlign w:val="center"/>
          </w:tcPr>
          <w:p w14:paraId="37D6D70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480527C6">
            <w:pPr>
              <w:pStyle w:val="557"/>
            </w:pPr>
            <w:r>
              <w:rPr>
                <w:rFonts w:hint="eastAsia"/>
              </w:rPr>
              <w:t>&lt;1.9</w:t>
            </w:r>
          </w:p>
        </w:tc>
        <w:tc>
          <w:tcPr>
            <w:tcW w:w="1360" w:type="dxa"/>
            <w:noWrap/>
            <w:vAlign w:val="center"/>
          </w:tcPr>
          <w:p w14:paraId="08D3C22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ECC293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p>
        </w:tc>
      </w:tr>
      <w:tr w14:paraId="6A2D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4FF1467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四氯乙烯</w:t>
            </w:r>
          </w:p>
        </w:tc>
        <w:tc>
          <w:tcPr>
            <w:tcW w:w="1704" w:type="dxa"/>
            <w:vAlign w:val="center"/>
          </w:tcPr>
          <w:p w14:paraId="762A1022">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6B9E9AD">
            <w:pPr>
              <w:pStyle w:val="557"/>
            </w:pPr>
            <w:r>
              <w:rPr>
                <w:rFonts w:hint="eastAsia"/>
              </w:rPr>
              <w:t>&lt;0.8</w:t>
            </w:r>
          </w:p>
        </w:tc>
        <w:tc>
          <w:tcPr>
            <w:tcW w:w="1409" w:type="dxa"/>
            <w:noWrap/>
            <w:vAlign w:val="center"/>
          </w:tcPr>
          <w:p w14:paraId="65467F7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5C94EE77">
            <w:pPr>
              <w:pStyle w:val="557"/>
            </w:pPr>
            <w:r>
              <w:rPr>
                <w:rFonts w:hint="eastAsia"/>
              </w:rPr>
              <w:t>&lt;0.8</w:t>
            </w:r>
          </w:p>
        </w:tc>
        <w:tc>
          <w:tcPr>
            <w:tcW w:w="1410" w:type="dxa"/>
            <w:noWrap/>
            <w:vAlign w:val="center"/>
          </w:tcPr>
          <w:p w14:paraId="588D3D3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D718B92">
            <w:pPr>
              <w:pStyle w:val="557"/>
            </w:pPr>
            <w:r>
              <w:rPr>
                <w:rFonts w:hint="eastAsia"/>
              </w:rPr>
              <w:t>&lt;0.8</w:t>
            </w:r>
          </w:p>
        </w:tc>
        <w:tc>
          <w:tcPr>
            <w:tcW w:w="1360" w:type="dxa"/>
            <w:noWrap/>
            <w:vAlign w:val="center"/>
          </w:tcPr>
          <w:p w14:paraId="480422C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1B7E63E">
            <w:pPr>
              <w:pStyle w:val="557"/>
            </w:pPr>
            <w:r>
              <w:rPr>
                <w:rFonts w:hint="eastAsia"/>
              </w:rPr>
              <w:t>&lt;0.8</w:t>
            </w:r>
          </w:p>
        </w:tc>
        <w:tc>
          <w:tcPr>
            <w:tcW w:w="1360" w:type="dxa"/>
            <w:noWrap/>
            <w:vAlign w:val="center"/>
          </w:tcPr>
          <w:p w14:paraId="6708B53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41CA68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53</w:t>
            </w:r>
          </w:p>
        </w:tc>
      </w:tr>
      <w:tr w14:paraId="185B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0AC472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1,1,2-三氯乙烷</w:t>
            </w:r>
          </w:p>
        </w:tc>
        <w:tc>
          <w:tcPr>
            <w:tcW w:w="1704" w:type="dxa"/>
            <w:vAlign w:val="center"/>
          </w:tcPr>
          <w:p w14:paraId="6C314FA5">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3AC94F8D">
            <w:pPr>
              <w:pStyle w:val="557"/>
            </w:pPr>
            <w:r>
              <w:rPr>
                <w:rFonts w:hint="eastAsia"/>
              </w:rPr>
              <w:t>&lt;1.4</w:t>
            </w:r>
          </w:p>
        </w:tc>
        <w:tc>
          <w:tcPr>
            <w:tcW w:w="1409" w:type="dxa"/>
            <w:noWrap/>
            <w:vAlign w:val="center"/>
          </w:tcPr>
          <w:p w14:paraId="57FD94B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363FD933">
            <w:pPr>
              <w:pStyle w:val="557"/>
            </w:pPr>
            <w:r>
              <w:rPr>
                <w:rFonts w:hint="eastAsia"/>
              </w:rPr>
              <w:t>&lt;1.4</w:t>
            </w:r>
          </w:p>
        </w:tc>
        <w:tc>
          <w:tcPr>
            <w:tcW w:w="1410" w:type="dxa"/>
            <w:noWrap/>
            <w:vAlign w:val="center"/>
          </w:tcPr>
          <w:p w14:paraId="4A7C386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1A8C3D61">
            <w:pPr>
              <w:pStyle w:val="557"/>
            </w:pPr>
            <w:r>
              <w:rPr>
                <w:rFonts w:hint="eastAsia"/>
              </w:rPr>
              <w:t>&lt;1.4</w:t>
            </w:r>
          </w:p>
        </w:tc>
        <w:tc>
          <w:tcPr>
            <w:tcW w:w="1360" w:type="dxa"/>
            <w:noWrap/>
            <w:vAlign w:val="center"/>
          </w:tcPr>
          <w:p w14:paraId="111B7F0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6E58370">
            <w:pPr>
              <w:pStyle w:val="557"/>
            </w:pPr>
            <w:r>
              <w:rPr>
                <w:rFonts w:hint="eastAsia"/>
              </w:rPr>
              <w:t>&lt;1.4</w:t>
            </w:r>
          </w:p>
        </w:tc>
        <w:tc>
          <w:tcPr>
            <w:tcW w:w="1360" w:type="dxa"/>
            <w:noWrap/>
            <w:vAlign w:val="center"/>
          </w:tcPr>
          <w:p w14:paraId="0DF0539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7C414B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r>
      <w:tr w14:paraId="50BB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2D1D9C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氯苯</w:t>
            </w:r>
          </w:p>
        </w:tc>
        <w:tc>
          <w:tcPr>
            <w:tcW w:w="1704" w:type="dxa"/>
            <w:vAlign w:val="center"/>
          </w:tcPr>
          <w:p w14:paraId="479D5B53">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7AC54E6D">
            <w:pPr>
              <w:pStyle w:val="557"/>
            </w:pPr>
            <w:r>
              <w:rPr>
                <w:rFonts w:hint="eastAsia"/>
              </w:rPr>
              <w:t>&lt;1.1</w:t>
            </w:r>
          </w:p>
        </w:tc>
        <w:tc>
          <w:tcPr>
            <w:tcW w:w="1409" w:type="dxa"/>
            <w:noWrap/>
            <w:vAlign w:val="center"/>
          </w:tcPr>
          <w:p w14:paraId="7E5EA32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0FA71805">
            <w:pPr>
              <w:pStyle w:val="557"/>
            </w:pPr>
            <w:r>
              <w:rPr>
                <w:rFonts w:hint="eastAsia"/>
              </w:rPr>
              <w:t>&lt;1.1</w:t>
            </w:r>
          </w:p>
        </w:tc>
        <w:tc>
          <w:tcPr>
            <w:tcW w:w="1410" w:type="dxa"/>
            <w:noWrap/>
            <w:vAlign w:val="center"/>
          </w:tcPr>
          <w:p w14:paraId="1851387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7EF09727">
            <w:pPr>
              <w:pStyle w:val="557"/>
            </w:pPr>
            <w:r>
              <w:rPr>
                <w:rFonts w:hint="eastAsia"/>
              </w:rPr>
              <w:t>&lt;1.1</w:t>
            </w:r>
          </w:p>
        </w:tc>
        <w:tc>
          <w:tcPr>
            <w:tcW w:w="1360" w:type="dxa"/>
            <w:noWrap/>
            <w:vAlign w:val="center"/>
          </w:tcPr>
          <w:p w14:paraId="6EE3B68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30DDCFD4">
            <w:pPr>
              <w:pStyle w:val="557"/>
            </w:pPr>
            <w:r>
              <w:rPr>
                <w:rFonts w:hint="eastAsia"/>
              </w:rPr>
              <w:t>&lt;1.1</w:t>
            </w:r>
          </w:p>
        </w:tc>
        <w:tc>
          <w:tcPr>
            <w:tcW w:w="1360" w:type="dxa"/>
            <w:noWrap/>
            <w:vAlign w:val="center"/>
          </w:tcPr>
          <w:p w14:paraId="487AC4D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28DD66B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270</w:t>
            </w:r>
          </w:p>
        </w:tc>
      </w:tr>
      <w:tr w14:paraId="5508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3228E9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1,1,1,2-四氯乙烷</w:t>
            </w:r>
          </w:p>
        </w:tc>
        <w:tc>
          <w:tcPr>
            <w:tcW w:w="1704" w:type="dxa"/>
            <w:vAlign w:val="center"/>
          </w:tcPr>
          <w:p w14:paraId="66965D4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31859708">
            <w:pPr>
              <w:pStyle w:val="557"/>
            </w:pPr>
            <w:r>
              <w:rPr>
                <w:rFonts w:hint="eastAsia"/>
              </w:rPr>
              <w:t>&lt;1.0</w:t>
            </w:r>
          </w:p>
        </w:tc>
        <w:tc>
          <w:tcPr>
            <w:tcW w:w="1409" w:type="dxa"/>
            <w:noWrap/>
            <w:vAlign w:val="center"/>
          </w:tcPr>
          <w:p w14:paraId="6CFFDBC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E9E70C1">
            <w:pPr>
              <w:pStyle w:val="557"/>
            </w:pPr>
            <w:r>
              <w:rPr>
                <w:rFonts w:hint="eastAsia"/>
              </w:rPr>
              <w:t>&lt;1.0</w:t>
            </w:r>
          </w:p>
        </w:tc>
        <w:tc>
          <w:tcPr>
            <w:tcW w:w="1410" w:type="dxa"/>
            <w:noWrap/>
            <w:vAlign w:val="center"/>
          </w:tcPr>
          <w:p w14:paraId="0F58567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4AFA99A1">
            <w:pPr>
              <w:pStyle w:val="557"/>
            </w:pPr>
            <w:r>
              <w:rPr>
                <w:rFonts w:hint="eastAsia"/>
              </w:rPr>
              <w:t>&lt;1.0</w:t>
            </w:r>
          </w:p>
        </w:tc>
        <w:tc>
          <w:tcPr>
            <w:tcW w:w="1360" w:type="dxa"/>
            <w:noWrap/>
            <w:vAlign w:val="center"/>
          </w:tcPr>
          <w:p w14:paraId="0AE4936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DF69433">
            <w:pPr>
              <w:pStyle w:val="557"/>
            </w:pPr>
            <w:r>
              <w:rPr>
                <w:rFonts w:hint="eastAsia"/>
              </w:rPr>
              <w:t>&lt;1.0</w:t>
            </w:r>
          </w:p>
        </w:tc>
        <w:tc>
          <w:tcPr>
            <w:tcW w:w="1360" w:type="dxa"/>
            <w:noWrap/>
            <w:vAlign w:val="center"/>
          </w:tcPr>
          <w:p w14:paraId="77A06FE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60F2934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14:paraId="7C2C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3F29BC7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乙苯</w:t>
            </w:r>
          </w:p>
        </w:tc>
        <w:tc>
          <w:tcPr>
            <w:tcW w:w="1704" w:type="dxa"/>
            <w:vAlign w:val="center"/>
          </w:tcPr>
          <w:p w14:paraId="3F3089E2">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4267CB7">
            <w:pPr>
              <w:pStyle w:val="557"/>
            </w:pPr>
            <w:r>
              <w:rPr>
                <w:rFonts w:hint="eastAsia"/>
              </w:rPr>
              <w:t>&lt;1.2</w:t>
            </w:r>
          </w:p>
        </w:tc>
        <w:tc>
          <w:tcPr>
            <w:tcW w:w="1409" w:type="dxa"/>
            <w:noWrap/>
            <w:vAlign w:val="center"/>
          </w:tcPr>
          <w:p w14:paraId="138B5B9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446556C">
            <w:pPr>
              <w:pStyle w:val="557"/>
            </w:pPr>
            <w:r>
              <w:rPr>
                <w:rFonts w:hint="eastAsia"/>
              </w:rPr>
              <w:t>&lt;1.2</w:t>
            </w:r>
          </w:p>
        </w:tc>
        <w:tc>
          <w:tcPr>
            <w:tcW w:w="1410" w:type="dxa"/>
            <w:noWrap/>
            <w:vAlign w:val="center"/>
          </w:tcPr>
          <w:p w14:paraId="794803B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5AC2C058">
            <w:pPr>
              <w:pStyle w:val="557"/>
            </w:pPr>
            <w:r>
              <w:rPr>
                <w:rFonts w:hint="eastAsia"/>
              </w:rPr>
              <w:t>&lt;1.2</w:t>
            </w:r>
          </w:p>
        </w:tc>
        <w:tc>
          <w:tcPr>
            <w:tcW w:w="1360" w:type="dxa"/>
            <w:noWrap/>
            <w:vAlign w:val="center"/>
          </w:tcPr>
          <w:p w14:paraId="7C59D36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1D0FCB52">
            <w:pPr>
              <w:pStyle w:val="557"/>
            </w:pPr>
            <w:r>
              <w:rPr>
                <w:rFonts w:hint="eastAsia"/>
              </w:rPr>
              <w:t>&lt;1.2</w:t>
            </w:r>
          </w:p>
        </w:tc>
        <w:tc>
          <w:tcPr>
            <w:tcW w:w="1360" w:type="dxa"/>
            <w:noWrap/>
            <w:vAlign w:val="center"/>
          </w:tcPr>
          <w:p w14:paraId="01F7C58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962BE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r>
      <w:tr w14:paraId="631E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01BF91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间二甲苯+对二甲苯</w:t>
            </w:r>
          </w:p>
        </w:tc>
        <w:tc>
          <w:tcPr>
            <w:tcW w:w="1704" w:type="dxa"/>
            <w:vAlign w:val="center"/>
          </w:tcPr>
          <w:p w14:paraId="2C2F2858">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82B74AA">
            <w:pPr>
              <w:pStyle w:val="557"/>
            </w:pPr>
            <w:r>
              <w:rPr>
                <w:rFonts w:hint="eastAsia"/>
              </w:rPr>
              <w:t>&lt;3.6</w:t>
            </w:r>
          </w:p>
        </w:tc>
        <w:tc>
          <w:tcPr>
            <w:tcW w:w="1409" w:type="dxa"/>
            <w:noWrap/>
            <w:vAlign w:val="center"/>
          </w:tcPr>
          <w:p w14:paraId="2627562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E21F3EF">
            <w:pPr>
              <w:pStyle w:val="557"/>
            </w:pPr>
            <w:r>
              <w:rPr>
                <w:rFonts w:hint="eastAsia"/>
              </w:rPr>
              <w:t>&lt;3.6</w:t>
            </w:r>
          </w:p>
        </w:tc>
        <w:tc>
          <w:tcPr>
            <w:tcW w:w="1410" w:type="dxa"/>
            <w:noWrap/>
            <w:vAlign w:val="center"/>
          </w:tcPr>
          <w:p w14:paraId="0797EDC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A895F27">
            <w:pPr>
              <w:pStyle w:val="557"/>
            </w:pPr>
            <w:r>
              <w:rPr>
                <w:rFonts w:hint="eastAsia"/>
              </w:rPr>
              <w:t>&lt;3.6</w:t>
            </w:r>
          </w:p>
        </w:tc>
        <w:tc>
          <w:tcPr>
            <w:tcW w:w="1360" w:type="dxa"/>
            <w:noWrap/>
            <w:vAlign w:val="center"/>
          </w:tcPr>
          <w:p w14:paraId="33144B0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2C8F7961">
            <w:pPr>
              <w:pStyle w:val="557"/>
            </w:pPr>
            <w:r>
              <w:rPr>
                <w:rFonts w:hint="eastAsia"/>
              </w:rPr>
              <w:t>&lt;3.6</w:t>
            </w:r>
          </w:p>
        </w:tc>
        <w:tc>
          <w:tcPr>
            <w:tcW w:w="1360" w:type="dxa"/>
            <w:noWrap/>
            <w:vAlign w:val="center"/>
          </w:tcPr>
          <w:p w14:paraId="1730414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145F04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500</w:t>
            </w:r>
          </w:p>
        </w:tc>
      </w:tr>
      <w:tr w14:paraId="5248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CCB565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邻二甲苯</w:t>
            </w:r>
          </w:p>
        </w:tc>
        <w:tc>
          <w:tcPr>
            <w:tcW w:w="1704" w:type="dxa"/>
            <w:vAlign w:val="center"/>
          </w:tcPr>
          <w:p w14:paraId="0FBC82D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DF4BBF6">
            <w:pPr>
              <w:pStyle w:val="557"/>
            </w:pPr>
            <w:r>
              <w:rPr>
                <w:rFonts w:hint="eastAsia"/>
              </w:rPr>
              <w:t>&lt;1.3</w:t>
            </w:r>
          </w:p>
        </w:tc>
        <w:tc>
          <w:tcPr>
            <w:tcW w:w="1409" w:type="dxa"/>
            <w:noWrap/>
            <w:vAlign w:val="center"/>
          </w:tcPr>
          <w:p w14:paraId="40DBB33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7783A6C">
            <w:pPr>
              <w:pStyle w:val="557"/>
            </w:pPr>
            <w:r>
              <w:rPr>
                <w:rFonts w:hint="eastAsia"/>
              </w:rPr>
              <w:t>&lt;1.3</w:t>
            </w:r>
          </w:p>
        </w:tc>
        <w:tc>
          <w:tcPr>
            <w:tcW w:w="1410" w:type="dxa"/>
            <w:noWrap/>
            <w:vAlign w:val="center"/>
          </w:tcPr>
          <w:p w14:paraId="6A66267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BDE65EA">
            <w:pPr>
              <w:pStyle w:val="557"/>
            </w:pPr>
            <w:r>
              <w:rPr>
                <w:rFonts w:hint="eastAsia"/>
              </w:rPr>
              <w:t>&lt;1.3</w:t>
            </w:r>
          </w:p>
        </w:tc>
        <w:tc>
          <w:tcPr>
            <w:tcW w:w="1360" w:type="dxa"/>
            <w:noWrap/>
            <w:vAlign w:val="center"/>
          </w:tcPr>
          <w:p w14:paraId="4DF8B52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94B39DE">
            <w:pPr>
              <w:pStyle w:val="557"/>
            </w:pPr>
            <w:r>
              <w:rPr>
                <w:rFonts w:hint="eastAsia"/>
              </w:rPr>
              <w:t>&lt;1.3</w:t>
            </w:r>
          </w:p>
        </w:tc>
        <w:tc>
          <w:tcPr>
            <w:tcW w:w="1360" w:type="dxa"/>
            <w:noWrap/>
            <w:vAlign w:val="center"/>
          </w:tcPr>
          <w:p w14:paraId="35F7CE2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7EAD1D4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640</w:t>
            </w:r>
          </w:p>
        </w:tc>
      </w:tr>
      <w:tr w14:paraId="2CCE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431AC6C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苯乙烯</w:t>
            </w:r>
          </w:p>
        </w:tc>
        <w:tc>
          <w:tcPr>
            <w:tcW w:w="1704" w:type="dxa"/>
            <w:vAlign w:val="center"/>
          </w:tcPr>
          <w:p w14:paraId="7549474A">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1740D127">
            <w:pPr>
              <w:pStyle w:val="557"/>
            </w:pPr>
            <w:r>
              <w:rPr>
                <w:rFonts w:hint="eastAsia"/>
              </w:rPr>
              <w:t>&lt;1.6</w:t>
            </w:r>
          </w:p>
        </w:tc>
        <w:tc>
          <w:tcPr>
            <w:tcW w:w="1409" w:type="dxa"/>
            <w:noWrap/>
            <w:vAlign w:val="center"/>
          </w:tcPr>
          <w:p w14:paraId="2CA494F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0F3B2BA">
            <w:pPr>
              <w:pStyle w:val="557"/>
            </w:pPr>
            <w:r>
              <w:rPr>
                <w:rFonts w:hint="eastAsia"/>
              </w:rPr>
              <w:t>&lt;1.6</w:t>
            </w:r>
          </w:p>
        </w:tc>
        <w:tc>
          <w:tcPr>
            <w:tcW w:w="1410" w:type="dxa"/>
            <w:noWrap/>
            <w:vAlign w:val="center"/>
          </w:tcPr>
          <w:p w14:paraId="601C721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E51EB78">
            <w:pPr>
              <w:pStyle w:val="557"/>
            </w:pPr>
            <w:r>
              <w:rPr>
                <w:rFonts w:hint="eastAsia"/>
              </w:rPr>
              <w:t>&lt;1.6</w:t>
            </w:r>
          </w:p>
        </w:tc>
        <w:tc>
          <w:tcPr>
            <w:tcW w:w="1360" w:type="dxa"/>
            <w:noWrap/>
            <w:vAlign w:val="center"/>
          </w:tcPr>
          <w:p w14:paraId="67C331E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465D9C65">
            <w:pPr>
              <w:pStyle w:val="557"/>
            </w:pPr>
            <w:r>
              <w:rPr>
                <w:rFonts w:hint="eastAsia"/>
              </w:rPr>
              <w:t>&lt;1.6</w:t>
            </w:r>
          </w:p>
        </w:tc>
        <w:tc>
          <w:tcPr>
            <w:tcW w:w="1360" w:type="dxa"/>
            <w:noWrap/>
            <w:vAlign w:val="center"/>
          </w:tcPr>
          <w:p w14:paraId="10459AB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94E52D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1290</w:t>
            </w:r>
          </w:p>
        </w:tc>
      </w:tr>
      <w:tr w14:paraId="0BBB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C7220F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1,1,2,2-四氯乙烷</w:t>
            </w:r>
          </w:p>
        </w:tc>
        <w:tc>
          <w:tcPr>
            <w:tcW w:w="1704" w:type="dxa"/>
            <w:vAlign w:val="center"/>
          </w:tcPr>
          <w:p w14:paraId="4166D1D6">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208CC434">
            <w:pPr>
              <w:pStyle w:val="557"/>
            </w:pPr>
            <w:r>
              <w:rPr>
                <w:rFonts w:hint="eastAsia"/>
              </w:rPr>
              <w:t>&lt;1.0</w:t>
            </w:r>
          </w:p>
        </w:tc>
        <w:tc>
          <w:tcPr>
            <w:tcW w:w="1409" w:type="dxa"/>
            <w:noWrap/>
            <w:vAlign w:val="center"/>
          </w:tcPr>
          <w:p w14:paraId="534FC0F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35AB189A">
            <w:pPr>
              <w:pStyle w:val="557"/>
            </w:pPr>
            <w:r>
              <w:rPr>
                <w:rFonts w:hint="eastAsia"/>
              </w:rPr>
              <w:t>&lt;1.0</w:t>
            </w:r>
          </w:p>
        </w:tc>
        <w:tc>
          <w:tcPr>
            <w:tcW w:w="1410" w:type="dxa"/>
            <w:noWrap/>
            <w:vAlign w:val="center"/>
          </w:tcPr>
          <w:p w14:paraId="7FDBA75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8B03EFA">
            <w:pPr>
              <w:pStyle w:val="557"/>
            </w:pPr>
            <w:r>
              <w:rPr>
                <w:rFonts w:hint="eastAsia"/>
              </w:rPr>
              <w:t>&lt;1.0</w:t>
            </w:r>
          </w:p>
        </w:tc>
        <w:tc>
          <w:tcPr>
            <w:tcW w:w="1360" w:type="dxa"/>
            <w:noWrap/>
            <w:vAlign w:val="center"/>
          </w:tcPr>
          <w:p w14:paraId="0C6CCC7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44ECF4A8">
            <w:pPr>
              <w:pStyle w:val="557"/>
            </w:pPr>
            <w:r>
              <w:rPr>
                <w:rFonts w:hint="eastAsia"/>
              </w:rPr>
              <w:t>&lt;1.0</w:t>
            </w:r>
          </w:p>
        </w:tc>
        <w:tc>
          <w:tcPr>
            <w:tcW w:w="1360" w:type="dxa"/>
            <w:noWrap/>
            <w:vAlign w:val="center"/>
          </w:tcPr>
          <w:p w14:paraId="51729B6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4C1D95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6.8</w:t>
            </w:r>
          </w:p>
        </w:tc>
      </w:tr>
      <w:tr w14:paraId="2209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54D403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1,2,3-三氯丙烷</w:t>
            </w:r>
          </w:p>
        </w:tc>
        <w:tc>
          <w:tcPr>
            <w:tcW w:w="1704" w:type="dxa"/>
            <w:vAlign w:val="center"/>
          </w:tcPr>
          <w:p w14:paraId="1FA439BF">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7A4812B9">
            <w:pPr>
              <w:pStyle w:val="557"/>
            </w:pPr>
            <w:r>
              <w:rPr>
                <w:rFonts w:hint="eastAsia"/>
              </w:rPr>
              <w:t>&lt;1.0</w:t>
            </w:r>
          </w:p>
        </w:tc>
        <w:tc>
          <w:tcPr>
            <w:tcW w:w="1409" w:type="dxa"/>
            <w:noWrap/>
            <w:vAlign w:val="center"/>
          </w:tcPr>
          <w:p w14:paraId="3A03483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AF5DC9E">
            <w:pPr>
              <w:pStyle w:val="557"/>
            </w:pPr>
            <w:r>
              <w:rPr>
                <w:rFonts w:hint="eastAsia"/>
              </w:rPr>
              <w:t>&lt;1.0</w:t>
            </w:r>
          </w:p>
        </w:tc>
        <w:tc>
          <w:tcPr>
            <w:tcW w:w="1410" w:type="dxa"/>
            <w:noWrap/>
            <w:vAlign w:val="center"/>
          </w:tcPr>
          <w:p w14:paraId="351D583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41CD0B85">
            <w:pPr>
              <w:pStyle w:val="557"/>
            </w:pPr>
            <w:r>
              <w:rPr>
                <w:rFonts w:hint="eastAsia"/>
              </w:rPr>
              <w:t>&lt;1.0</w:t>
            </w:r>
          </w:p>
        </w:tc>
        <w:tc>
          <w:tcPr>
            <w:tcW w:w="1360" w:type="dxa"/>
            <w:noWrap/>
            <w:vAlign w:val="center"/>
          </w:tcPr>
          <w:p w14:paraId="723FBE3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12720A99">
            <w:pPr>
              <w:pStyle w:val="557"/>
            </w:pPr>
            <w:r>
              <w:rPr>
                <w:rFonts w:hint="eastAsia"/>
              </w:rPr>
              <w:t>&lt;1.0</w:t>
            </w:r>
          </w:p>
        </w:tc>
        <w:tc>
          <w:tcPr>
            <w:tcW w:w="1360" w:type="dxa"/>
            <w:noWrap/>
            <w:vAlign w:val="center"/>
          </w:tcPr>
          <w:p w14:paraId="3C0D3A5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6284F71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w:t>
            </w:r>
          </w:p>
        </w:tc>
      </w:tr>
      <w:tr w14:paraId="13D4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99BEB5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1,4-二氯苯</w:t>
            </w:r>
          </w:p>
        </w:tc>
        <w:tc>
          <w:tcPr>
            <w:tcW w:w="1704" w:type="dxa"/>
            <w:vAlign w:val="center"/>
          </w:tcPr>
          <w:p w14:paraId="4DA18024">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47BDBCBE">
            <w:pPr>
              <w:pStyle w:val="557"/>
            </w:pPr>
            <w:r>
              <w:rPr>
                <w:rFonts w:hint="eastAsia"/>
              </w:rPr>
              <w:t>&lt;1.2</w:t>
            </w:r>
          </w:p>
        </w:tc>
        <w:tc>
          <w:tcPr>
            <w:tcW w:w="1409" w:type="dxa"/>
            <w:noWrap/>
            <w:vAlign w:val="center"/>
          </w:tcPr>
          <w:p w14:paraId="54FEB2C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A1DF38E">
            <w:pPr>
              <w:pStyle w:val="557"/>
            </w:pPr>
            <w:r>
              <w:rPr>
                <w:rFonts w:hint="eastAsia"/>
              </w:rPr>
              <w:t>&lt;1.2</w:t>
            </w:r>
          </w:p>
        </w:tc>
        <w:tc>
          <w:tcPr>
            <w:tcW w:w="1410" w:type="dxa"/>
            <w:noWrap/>
            <w:vAlign w:val="center"/>
          </w:tcPr>
          <w:p w14:paraId="7A15784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4B553DB">
            <w:pPr>
              <w:pStyle w:val="557"/>
            </w:pPr>
            <w:r>
              <w:rPr>
                <w:rFonts w:hint="eastAsia"/>
              </w:rPr>
              <w:t>&lt;1.2</w:t>
            </w:r>
          </w:p>
        </w:tc>
        <w:tc>
          <w:tcPr>
            <w:tcW w:w="1360" w:type="dxa"/>
            <w:noWrap/>
            <w:vAlign w:val="center"/>
          </w:tcPr>
          <w:p w14:paraId="5B5EB46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B3C9875">
            <w:pPr>
              <w:pStyle w:val="557"/>
            </w:pPr>
            <w:r>
              <w:rPr>
                <w:rFonts w:hint="eastAsia"/>
              </w:rPr>
              <w:t>&lt;1.2</w:t>
            </w:r>
          </w:p>
        </w:tc>
        <w:tc>
          <w:tcPr>
            <w:tcW w:w="1360" w:type="dxa"/>
            <w:noWrap/>
            <w:vAlign w:val="center"/>
          </w:tcPr>
          <w:p w14:paraId="3EB198B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E3BB67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r>
      <w:tr w14:paraId="7A4F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E331AD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1,2-二氯苯</w:t>
            </w:r>
          </w:p>
        </w:tc>
        <w:tc>
          <w:tcPr>
            <w:tcW w:w="1704" w:type="dxa"/>
            <w:vAlign w:val="center"/>
          </w:tcPr>
          <w:p w14:paraId="699A366C">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μg/kg</w:t>
            </w:r>
          </w:p>
        </w:tc>
        <w:tc>
          <w:tcPr>
            <w:tcW w:w="774" w:type="dxa"/>
            <w:vAlign w:val="center"/>
          </w:tcPr>
          <w:p w14:paraId="5C26B888">
            <w:pPr>
              <w:pStyle w:val="557"/>
            </w:pPr>
            <w:r>
              <w:rPr>
                <w:rFonts w:hint="eastAsia"/>
              </w:rPr>
              <w:t>&lt;1.0</w:t>
            </w:r>
          </w:p>
        </w:tc>
        <w:tc>
          <w:tcPr>
            <w:tcW w:w="1409" w:type="dxa"/>
            <w:noWrap/>
            <w:vAlign w:val="center"/>
          </w:tcPr>
          <w:p w14:paraId="5482177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1DCA2252">
            <w:pPr>
              <w:pStyle w:val="557"/>
            </w:pPr>
            <w:r>
              <w:rPr>
                <w:rFonts w:hint="eastAsia"/>
              </w:rPr>
              <w:t>&lt;1.0</w:t>
            </w:r>
          </w:p>
        </w:tc>
        <w:tc>
          <w:tcPr>
            <w:tcW w:w="1410" w:type="dxa"/>
            <w:noWrap/>
            <w:vAlign w:val="center"/>
          </w:tcPr>
          <w:p w14:paraId="6E93563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55F5F30">
            <w:pPr>
              <w:pStyle w:val="557"/>
            </w:pPr>
            <w:r>
              <w:rPr>
                <w:rFonts w:hint="eastAsia"/>
              </w:rPr>
              <w:t>&lt;1.0</w:t>
            </w:r>
          </w:p>
        </w:tc>
        <w:tc>
          <w:tcPr>
            <w:tcW w:w="1360" w:type="dxa"/>
            <w:noWrap/>
            <w:vAlign w:val="center"/>
          </w:tcPr>
          <w:p w14:paraId="56D37AC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0A1AAD18">
            <w:pPr>
              <w:pStyle w:val="557"/>
            </w:pPr>
            <w:r>
              <w:rPr>
                <w:rFonts w:hint="eastAsia"/>
              </w:rPr>
              <w:t>&lt;1.0</w:t>
            </w:r>
          </w:p>
        </w:tc>
        <w:tc>
          <w:tcPr>
            <w:tcW w:w="1360" w:type="dxa"/>
            <w:noWrap/>
            <w:vAlign w:val="center"/>
          </w:tcPr>
          <w:p w14:paraId="3C6F220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0E7A064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560</w:t>
            </w:r>
          </w:p>
        </w:tc>
      </w:tr>
      <w:tr w14:paraId="00F1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4F18DD0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苯胺</w:t>
            </w:r>
          </w:p>
        </w:tc>
        <w:tc>
          <w:tcPr>
            <w:tcW w:w="1704" w:type="dxa"/>
            <w:vAlign w:val="center"/>
          </w:tcPr>
          <w:p w14:paraId="07E5752D">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08CCE1F8">
            <w:pPr>
              <w:pStyle w:val="557"/>
            </w:pPr>
            <w:r>
              <w:rPr>
                <w:rFonts w:hint="eastAsia"/>
              </w:rPr>
              <w:t>&lt;0.08</w:t>
            </w:r>
          </w:p>
        </w:tc>
        <w:tc>
          <w:tcPr>
            <w:tcW w:w="1409" w:type="dxa"/>
            <w:noWrap/>
            <w:vAlign w:val="center"/>
          </w:tcPr>
          <w:p w14:paraId="3705976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C8EEA24">
            <w:pPr>
              <w:pStyle w:val="557"/>
            </w:pPr>
            <w:r>
              <w:rPr>
                <w:rFonts w:hint="eastAsia"/>
              </w:rPr>
              <w:t>&lt;0.08</w:t>
            </w:r>
          </w:p>
        </w:tc>
        <w:tc>
          <w:tcPr>
            <w:tcW w:w="1410" w:type="dxa"/>
            <w:noWrap/>
            <w:vAlign w:val="center"/>
          </w:tcPr>
          <w:p w14:paraId="41B9541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7DDC2802">
            <w:pPr>
              <w:pStyle w:val="557"/>
            </w:pPr>
            <w:r>
              <w:rPr>
                <w:rFonts w:hint="eastAsia"/>
              </w:rPr>
              <w:t>&lt;0.08</w:t>
            </w:r>
          </w:p>
        </w:tc>
        <w:tc>
          <w:tcPr>
            <w:tcW w:w="1360" w:type="dxa"/>
            <w:noWrap/>
            <w:vAlign w:val="center"/>
          </w:tcPr>
          <w:p w14:paraId="01F7C84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19CAB624">
            <w:pPr>
              <w:pStyle w:val="557"/>
            </w:pPr>
            <w:r>
              <w:rPr>
                <w:rFonts w:hint="eastAsia"/>
              </w:rPr>
              <w:t>&lt;0.08</w:t>
            </w:r>
          </w:p>
        </w:tc>
        <w:tc>
          <w:tcPr>
            <w:tcW w:w="1360" w:type="dxa"/>
            <w:noWrap/>
            <w:vAlign w:val="center"/>
          </w:tcPr>
          <w:p w14:paraId="10BA49F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55B44CC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260</w:t>
            </w:r>
          </w:p>
        </w:tc>
      </w:tr>
      <w:tr w14:paraId="5548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81F5D5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2-氯苯酚</w:t>
            </w:r>
          </w:p>
        </w:tc>
        <w:tc>
          <w:tcPr>
            <w:tcW w:w="1704" w:type="dxa"/>
            <w:vAlign w:val="center"/>
          </w:tcPr>
          <w:p w14:paraId="464C0D73">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EACC0FA">
            <w:pPr>
              <w:pStyle w:val="557"/>
            </w:pPr>
            <w:r>
              <w:rPr>
                <w:rFonts w:hint="eastAsia"/>
              </w:rPr>
              <w:t>&lt;0.06</w:t>
            </w:r>
          </w:p>
        </w:tc>
        <w:tc>
          <w:tcPr>
            <w:tcW w:w="1409" w:type="dxa"/>
            <w:noWrap/>
            <w:vAlign w:val="center"/>
          </w:tcPr>
          <w:p w14:paraId="74742C9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7E024D4">
            <w:pPr>
              <w:pStyle w:val="557"/>
            </w:pPr>
            <w:r>
              <w:rPr>
                <w:rFonts w:hint="eastAsia"/>
              </w:rPr>
              <w:t>&lt;0.06</w:t>
            </w:r>
          </w:p>
        </w:tc>
        <w:tc>
          <w:tcPr>
            <w:tcW w:w="1410" w:type="dxa"/>
            <w:noWrap/>
            <w:vAlign w:val="center"/>
          </w:tcPr>
          <w:p w14:paraId="5CF1AFD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EF45267">
            <w:pPr>
              <w:pStyle w:val="557"/>
            </w:pPr>
            <w:r>
              <w:rPr>
                <w:rFonts w:hint="eastAsia"/>
              </w:rPr>
              <w:t>&lt;0.06</w:t>
            </w:r>
          </w:p>
        </w:tc>
        <w:tc>
          <w:tcPr>
            <w:tcW w:w="1360" w:type="dxa"/>
            <w:noWrap/>
            <w:vAlign w:val="center"/>
          </w:tcPr>
          <w:p w14:paraId="3E0A1E3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253549C5">
            <w:pPr>
              <w:pStyle w:val="557"/>
            </w:pPr>
            <w:r>
              <w:rPr>
                <w:rFonts w:hint="eastAsia"/>
              </w:rPr>
              <w:t>&lt;0.06</w:t>
            </w:r>
          </w:p>
        </w:tc>
        <w:tc>
          <w:tcPr>
            <w:tcW w:w="1360" w:type="dxa"/>
            <w:noWrap/>
            <w:vAlign w:val="center"/>
          </w:tcPr>
          <w:p w14:paraId="085BC9B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4456E97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2256</w:t>
            </w:r>
          </w:p>
        </w:tc>
      </w:tr>
      <w:tr w14:paraId="6348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5602697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硝基苯</w:t>
            </w:r>
          </w:p>
        </w:tc>
        <w:tc>
          <w:tcPr>
            <w:tcW w:w="1704" w:type="dxa"/>
            <w:vAlign w:val="center"/>
          </w:tcPr>
          <w:p w14:paraId="3594203E">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0EA5BE99">
            <w:pPr>
              <w:pStyle w:val="557"/>
            </w:pPr>
            <w:r>
              <w:rPr>
                <w:rFonts w:hint="eastAsia"/>
              </w:rPr>
              <w:t>&lt;0.09</w:t>
            </w:r>
          </w:p>
        </w:tc>
        <w:tc>
          <w:tcPr>
            <w:tcW w:w="1409" w:type="dxa"/>
            <w:noWrap/>
            <w:vAlign w:val="center"/>
          </w:tcPr>
          <w:p w14:paraId="078D9F6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5F298950">
            <w:pPr>
              <w:pStyle w:val="557"/>
            </w:pPr>
            <w:r>
              <w:rPr>
                <w:rFonts w:hint="eastAsia"/>
              </w:rPr>
              <w:t>&lt;0.09</w:t>
            </w:r>
          </w:p>
        </w:tc>
        <w:tc>
          <w:tcPr>
            <w:tcW w:w="1410" w:type="dxa"/>
            <w:noWrap/>
            <w:vAlign w:val="center"/>
          </w:tcPr>
          <w:p w14:paraId="578599C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B6A4236">
            <w:pPr>
              <w:pStyle w:val="557"/>
            </w:pPr>
            <w:r>
              <w:rPr>
                <w:rFonts w:hint="eastAsia"/>
              </w:rPr>
              <w:t>&lt;0.09</w:t>
            </w:r>
          </w:p>
        </w:tc>
        <w:tc>
          <w:tcPr>
            <w:tcW w:w="1360" w:type="dxa"/>
            <w:noWrap/>
            <w:vAlign w:val="center"/>
          </w:tcPr>
          <w:p w14:paraId="767AEB4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4A1F96F">
            <w:pPr>
              <w:pStyle w:val="557"/>
            </w:pPr>
            <w:r>
              <w:rPr>
                <w:rFonts w:hint="eastAsia"/>
              </w:rPr>
              <w:t>&lt;0.09</w:t>
            </w:r>
          </w:p>
        </w:tc>
        <w:tc>
          <w:tcPr>
            <w:tcW w:w="1360" w:type="dxa"/>
            <w:noWrap/>
            <w:vAlign w:val="center"/>
          </w:tcPr>
          <w:p w14:paraId="34EAF8F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355D9C7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76</w:t>
            </w:r>
          </w:p>
        </w:tc>
      </w:tr>
      <w:tr w14:paraId="0F96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FCB568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萘</w:t>
            </w:r>
          </w:p>
        </w:tc>
        <w:tc>
          <w:tcPr>
            <w:tcW w:w="1704" w:type="dxa"/>
            <w:vAlign w:val="center"/>
          </w:tcPr>
          <w:p w14:paraId="36C2965D">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20F3F3B">
            <w:pPr>
              <w:pStyle w:val="557"/>
            </w:pPr>
            <w:r>
              <w:rPr>
                <w:rFonts w:hint="eastAsia"/>
              </w:rPr>
              <w:t>&lt;0.09</w:t>
            </w:r>
          </w:p>
        </w:tc>
        <w:tc>
          <w:tcPr>
            <w:tcW w:w="1409" w:type="dxa"/>
            <w:noWrap/>
            <w:vAlign w:val="center"/>
          </w:tcPr>
          <w:p w14:paraId="7DF9A54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D4695BE">
            <w:pPr>
              <w:pStyle w:val="557"/>
            </w:pPr>
            <w:r>
              <w:rPr>
                <w:rFonts w:hint="eastAsia"/>
              </w:rPr>
              <w:t>&lt;0.09</w:t>
            </w:r>
          </w:p>
        </w:tc>
        <w:tc>
          <w:tcPr>
            <w:tcW w:w="1410" w:type="dxa"/>
            <w:noWrap/>
            <w:vAlign w:val="center"/>
          </w:tcPr>
          <w:p w14:paraId="47EB8B1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243CEF1">
            <w:pPr>
              <w:pStyle w:val="557"/>
            </w:pPr>
            <w:r>
              <w:rPr>
                <w:rFonts w:hint="eastAsia"/>
              </w:rPr>
              <w:t>&lt;0.09</w:t>
            </w:r>
          </w:p>
        </w:tc>
        <w:tc>
          <w:tcPr>
            <w:tcW w:w="1360" w:type="dxa"/>
            <w:noWrap/>
            <w:vAlign w:val="center"/>
          </w:tcPr>
          <w:p w14:paraId="6E66C85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7821AFA9">
            <w:pPr>
              <w:pStyle w:val="557"/>
            </w:pPr>
            <w:r>
              <w:rPr>
                <w:rFonts w:hint="eastAsia"/>
              </w:rPr>
              <w:t>&lt;0.09</w:t>
            </w:r>
          </w:p>
        </w:tc>
        <w:tc>
          <w:tcPr>
            <w:tcW w:w="1360" w:type="dxa"/>
            <w:noWrap/>
            <w:vAlign w:val="center"/>
          </w:tcPr>
          <w:p w14:paraId="3F5CEDC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6B1B40E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r>
      <w:tr w14:paraId="5779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0E24C21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苯并[a]蒽</w:t>
            </w:r>
          </w:p>
        </w:tc>
        <w:tc>
          <w:tcPr>
            <w:tcW w:w="1704" w:type="dxa"/>
            <w:vAlign w:val="center"/>
          </w:tcPr>
          <w:p w14:paraId="3336F3FA">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5E3A8ED1">
            <w:pPr>
              <w:pStyle w:val="557"/>
            </w:pPr>
            <w:r>
              <w:rPr>
                <w:rFonts w:hint="eastAsia"/>
              </w:rPr>
              <w:t>&lt;0.1</w:t>
            </w:r>
          </w:p>
        </w:tc>
        <w:tc>
          <w:tcPr>
            <w:tcW w:w="1409" w:type="dxa"/>
            <w:noWrap/>
            <w:vAlign w:val="center"/>
          </w:tcPr>
          <w:p w14:paraId="0785CF5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336F9678">
            <w:pPr>
              <w:pStyle w:val="557"/>
            </w:pPr>
            <w:r>
              <w:rPr>
                <w:rFonts w:hint="eastAsia"/>
              </w:rPr>
              <w:t>&lt;0.1</w:t>
            </w:r>
          </w:p>
        </w:tc>
        <w:tc>
          <w:tcPr>
            <w:tcW w:w="1410" w:type="dxa"/>
            <w:noWrap/>
            <w:vAlign w:val="center"/>
          </w:tcPr>
          <w:p w14:paraId="5AEC41F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4ABD921">
            <w:pPr>
              <w:pStyle w:val="557"/>
            </w:pPr>
            <w:r>
              <w:rPr>
                <w:rFonts w:hint="eastAsia"/>
              </w:rPr>
              <w:t>&lt;0.1</w:t>
            </w:r>
          </w:p>
        </w:tc>
        <w:tc>
          <w:tcPr>
            <w:tcW w:w="1360" w:type="dxa"/>
            <w:noWrap/>
            <w:vAlign w:val="center"/>
          </w:tcPr>
          <w:p w14:paraId="3FB5A18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36019586">
            <w:pPr>
              <w:pStyle w:val="557"/>
            </w:pPr>
            <w:r>
              <w:rPr>
                <w:rFonts w:hint="eastAsia"/>
              </w:rPr>
              <w:t>&lt;0.1</w:t>
            </w:r>
          </w:p>
        </w:tc>
        <w:tc>
          <w:tcPr>
            <w:tcW w:w="1360" w:type="dxa"/>
            <w:noWrap/>
            <w:vAlign w:val="center"/>
          </w:tcPr>
          <w:p w14:paraId="75D2105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16C9D1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r>
      <w:tr w14:paraId="0019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6A50C34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䓛</w:t>
            </w:r>
          </w:p>
        </w:tc>
        <w:tc>
          <w:tcPr>
            <w:tcW w:w="1704" w:type="dxa"/>
            <w:vAlign w:val="center"/>
          </w:tcPr>
          <w:p w14:paraId="3761283B">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25512F4F">
            <w:pPr>
              <w:pStyle w:val="557"/>
            </w:pPr>
            <w:r>
              <w:rPr>
                <w:rFonts w:hint="eastAsia"/>
              </w:rPr>
              <w:t>&lt;0.1</w:t>
            </w:r>
          </w:p>
        </w:tc>
        <w:tc>
          <w:tcPr>
            <w:tcW w:w="1409" w:type="dxa"/>
            <w:noWrap/>
            <w:vAlign w:val="center"/>
          </w:tcPr>
          <w:p w14:paraId="3690B54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8882F60">
            <w:pPr>
              <w:pStyle w:val="557"/>
            </w:pPr>
            <w:r>
              <w:rPr>
                <w:rFonts w:hint="eastAsia"/>
              </w:rPr>
              <w:t>&lt;0.1</w:t>
            </w:r>
          </w:p>
        </w:tc>
        <w:tc>
          <w:tcPr>
            <w:tcW w:w="1410" w:type="dxa"/>
            <w:noWrap/>
            <w:vAlign w:val="center"/>
          </w:tcPr>
          <w:p w14:paraId="4B8E5F0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FDF56C5">
            <w:pPr>
              <w:pStyle w:val="557"/>
            </w:pPr>
            <w:r>
              <w:rPr>
                <w:rFonts w:hint="eastAsia"/>
              </w:rPr>
              <w:t>&lt;0.1</w:t>
            </w:r>
          </w:p>
        </w:tc>
        <w:tc>
          <w:tcPr>
            <w:tcW w:w="1360" w:type="dxa"/>
            <w:noWrap/>
            <w:vAlign w:val="center"/>
          </w:tcPr>
          <w:p w14:paraId="2610A04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6E0AB89">
            <w:pPr>
              <w:pStyle w:val="557"/>
            </w:pPr>
            <w:r>
              <w:rPr>
                <w:rFonts w:hint="eastAsia"/>
              </w:rPr>
              <w:t>&lt;0.1</w:t>
            </w:r>
          </w:p>
        </w:tc>
        <w:tc>
          <w:tcPr>
            <w:tcW w:w="1360" w:type="dxa"/>
            <w:noWrap/>
            <w:vAlign w:val="center"/>
          </w:tcPr>
          <w:p w14:paraId="5421A36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298576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1293</w:t>
            </w:r>
          </w:p>
        </w:tc>
      </w:tr>
      <w:tr w14:paraId="3BFF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233FCB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苯并[b]荧蒽</w:t>
            </w:r>
          </w:p>
        </w:tc>
        <w:tc>
          <w:tcPr>
            <w:tcW w:w="1704" w:type="dxa"/>
            <w:vAlign w:val="center"/>
          </w:tcPr>
          <w:p w14:paraId="4F736D46">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1A33E7BB">
            <w:pPr>
              <w:pStyle w:val="557"/>
            </w:pPr>
            <w:r>
              <w:rPr>
                <w:rFonts w:hint="eastAsia"/>
              </w:rPr>
              <w:t>&lt;0.2</w:t>
            </w:r>
          </w:p>
        </w:tc>
        <w:tc>
          <w:tcPr>
            <w:tcW w:w="1409" w:type="dxa"/>
            <w:noWrap/>
            <w:vAlign w:val="center"/>
          </w:tcPr>
          <w:p w14:paraId="544DA77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21EFC84">
            <w:pPr>
              <w:pStyle w:val="557"/>
            </w:pPr>
            <w:r>
              <w:rPr>
                <w:rFonts w:hint="eastAsia"/>
              </w:rPr>
              <w:t>&lt;0.2</w:t>
            </w:r>
          </w:p>
        </w:tc>
        <w:tc>
          <w:tcPr>
            <w:tcW w:w="1410" w:type="dxa"/>
            <w:noWrap/>
            <w:vAlign w:val="center"/>
          </w:tcPr>
          <w:p w14:paraId="39CA1DD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19E751F8">
            <w:pPr>
              <w:pStyle w:val="557"/>
            </w:pPr>
            <w:r>
              <w:rPr>
                <w:rFonts w:hint="eastAsia"/>
              </w:rPr>
              <w:t>&lt;0.2</w:t>
            </w:r>
          </w:p>
        </w:tc>
        <w:tc>
          <w:tcPr>
            <w:tcW w:w="1360" w:type="dxa"/>
            <w:noWrap/>
            <w:vAlign w:val="center"/>
          </w:tcPr>
          <w:p w14:paraId="5A40458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EB8FD60">
            <w:pPr>
              <w:pStyle w:val="557"/>
            </w:pPr>
            <w:r>
              <w:rPr>
                <w:rFonts w:hint="eastAsia"/>
              </w:rPr>
              <w:t>&lt;0.2</w:t>
            </w:r>
          </w:p>
        </w:tc>
        <w:tc>
          <w:tcPr>
            <w:tcW w:w="1360" w:type="dxa"/>
            <w:noWrap/>
            <w:vAlign w:val="center"/>
          </w:tcPr>
          <w:p w14:paraId="49DD2CD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450DC30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r>
      <w:tr w14:paraId="3A58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4CA9873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苯并[k]荧蒽</w:t>
            </w:r>
          </w:p>
        </w:tc>
        <w:tc>
          <w:tcPr>
            <w:tcW w:w="1704" w:type="dxa"/>
            <w:vAlign w:val="center"/>
          </w:tcPr>
          <w:p w14:paraId="1EB5469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2B60C646">
            <w:pPr>
              <w:pStyle w:val="557"/>
            </w:pPr>
            <w:r>
              <w:rPr>
                <w:rFonts w:hint="eastAsia"/>
              </w:rPr>
              <w:t>&lt;0.1</w:t>
            </w:r>
          </w:p>
        </w:tc>
        <w:tc>
          <w:tcPr>
            <w:tcW w:w="1409" w:type="dxa"/>
            <w:noWrap/>
            <w:vAlign w:val="center"/>
          </w:tcPr>
          <w:p w14:paraId="3AA33B9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23326A6C">
            <w:pPr>
              <w:pStyle w:val="557"/>
            </w:pPr>
            <w:r>
              <w:rPr>
                <w:rFonts w:hint="eastAsia"/>
              </w:rPr>
              <w:t>&lt;0.1</w:t>
            </w:r>
          </w:p>
        </w:tc>
        <w:tc>
          <w:tcPr>
            <w:tcW w:w="1410" w:type="dxa"/>
            <w:noWrap/>
            <w:vAlign w:val="center"/>
          </w:tcPr>
          <w:p w14:paraId="6029852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33E613CB">
            <w:pPr>
              <w:pStyle w:val="557"/>
            </w:pPr>
            <w:r>
              <w:rPr>
                <w:rFonts w:hint="eastAsia"/>
              </w:rPr>
              <w:t>&lt;0.1</w:t>
            </w:r>
          </w:p>
        </w:tc>
        <w:tc>
          <w:tcPr>
            <w:tcW w:w="1360" w:type="dxa"/>
            <w:noWrap/>
            <w:vAlign w:val="center"/>
          </w:tcPr>
          <w:p w14:paraId="1C92186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2BC00AF4">
            <w:pPr>
              <w:pStyle w:val="557"/>
            </w:pPr>
            <w:r>
              <w:rPr>
                <w:rFonts w:hint="eastAsia"/>
              </w:rPr>
              <w:t>&lt;0.1</w:t>
            </w:r>
          </w:p>
        </w:tc>
        <w:tc>
          <w:tcPr>
            <w:tcW w:w="1360" w:type="dxa"/>
            <w:noWrap/>
            <w:vAlign w:val="center"/>
          </w:tcPr>
          <w:p w14:paraId="0171081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684F03F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151</w:t>
            </w:r>
          </w:p>
        </w:tc>
      </w:tr>
      <w:tr w14:paraId="5E1D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79ED218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苯并[a]芘</w:t>
            </w:r>
          </w:p>
        </w:tc>
        <w:tc>
          <w:tcPr>
            <w:tcW w:w="1704" w:type="dxa"/>
            <w:vAlign w:val="center"/>
          </w:tcPr>
          <w:p w14:paraId="192B2590">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274CB4BE">
            <w:pPr>
              <w:pStyle w:val="557"/>
            </w:pPr>
            <w:r>
              <w:rPr>
                <w:rFonts w:hint="eastAsia"/>
              </w:rPr>
              <w:t>&lt;0.1</w:t>
            </w:r>
          </w:p>
        </w:tc>
        <w:tc>
          <w:tcPr>
            <w:tcW w:w="1409" w:type="dxa"/>
            <w:noWrap/>
            <w:vAlign w:val="center"/>
          </w:tcPr>
          <w:p w14:paraId="44BEB60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635A6F61">
            <w:pPr>
              <w:pStyle w:val="557"/>
            </w:pPr>
            <w:r>
              <w:rPr>
                <w:rFonts w:hint="eastAsia"/>
              </w:rPr>
              <w:t>&lt;0.1</w:t>
            </w:r>
          </w:p>
        </w:tc>
        <w:tc>
          <w:tcPr>
            <w:tcW w:w="1410" w:type="dxa"/>
            <w:noWrap/>
            <w:vAlign w:val="center"/>
          </w:tcPr>
          <w:p w14:paraId="1F6FBC9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1CA303B0">
            <w:pPr>
              <w:pStyle w:val="557"/>
            </w:pPr>
            <w:r>
              <w:rPr>
                <w:rFonts w:hint="eastAsia"/>
              </w:rPr>
              <w:t>&lt;0.1</w:t>
            </w:r>
          </w:p>
        </w:tc>
        <w:tc>
          <w:tcPr>
            <w:tcW w:w="1360" w:type="dxa"/>
            <w:noWrap/>
            <w:vAlign w:val="center"/>
          </w:tcPr>
          <w:p w14:paraId="34D1431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5B06ABA1">
            <w:pPr>
              <w:pStyle w:val="557"/>
            </w:pPr>
            <w:r>
              <w:rPr>
                <w:rFonts w:hint="eastAsia"/>
              </w:rPr>
              <w:t>&lt;0.1</w:t>
            </w:r>
          </w:p>
        </w:tc>
        <w:tc>
          <w:tcPr>
            <w:tcW w:w="1360" w:type="dxa"/>
            <w:noWrap/>
            <w:vAlign w:val="center"/>
          </w:tcPr>
          <w:p w14:paraId="29F3322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71D6F26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r>
      <w:tr w14:paraId="22DA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79E0D5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茚并[1、2、3-cd]芘</w:t>
            </w:r>
          </w:p>
        </w:tc>
        <w:tc>
          <w:tcPr>
            <w:tcW w:w="1704" w:type="dxa"/>
            <w:vAlign w:val="center"/>
          </w:tcPr>
          <w:p w14:paraId="75733F69">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15499CD">
            <w:pPr>
              <w:pStyle w:val="557"/>
            </w:pPr>
            <w:r>
              <w:rPr>
                <w:rFonts w:hint="eastAsia"/>
              </w:rPr>
              <w:t>&lt;0.1</w:t>
            </w:r>
          </w:p>
        </w:tc>
        <w:tc>
          <w:tcPr>
            <w:tcW w:w="1409" w:type="dxa"/>
            <w:noWrap/>
            <w:vAlign w:val="center"/>
          </w:tcPr>
          <w:p w14:paraId="059D34A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7AF9A2B6">
            <w:pPr>
              <w:pStyle w:val="557"/>
            </w:pPr>
            <w:r>
              <w:rPr>
                <w:rFonts w:hint="eastAsia"/>
              </w:rPr>
              <w:t>&lt;0.1</w:t>
            </w:r>
          </w:p>
        </w:tc>
        <w:tc>
          <w:tcPr>
            <w:tcW w:w="1410" w:type="dxa"/>
            <w:noWrap/>
            <w:vAlign w:val="center"/>
          </w:tcPr>
          <w:p w14:paraId="55E41B3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2AF54455">
            <w:pPr>
              <w:pStyle w:val="557"/>
            </w:pPr>
            <w:r>
              <w:rPr>
                <w:rFonts w:hint="eastAsia"/>
              </w:rPr>
              <w:t>&lt;0.1</w:t>
            </w:r>
          </w:p>
        </w:tc>
        <w:tc>
          <w:tcPr>
            <w:tcW w:w="1360" w:type="dxa"/>
            <w:noWrap/>
            <w:vAlign w:val="center"/>
          </w:tcPr>
          <w:p w14:paraId="1E4B369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4679094E">
            <w:pPr>
              <w:pStyle w:val="557"/>
            </w:pPr>
            <w:r>
              <w:rPr>
                <w:rFonts w:hint="eastAsia"/>
              </w:rPr>
              <w:t>&lt;0.1</w:t>
            </w:r>
          </w:p>
        </w:tc>
        <w:tc>
          <w:tcPr>
            <w:tcW w:w="1360" w:type="dxa"/>
            <w:noWrap/>
            <w:vAlign w:val="center"/>
          </w:tcPr>
          <w:p w14:paraId="2C66CAC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7E7D2AA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r>
      <w:tr w14:paraId="21CE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7" w:type="dxa"/>
            <w:vAlign w:val="center"/>
          </w:tcPr>
          <w:p w14:paraId="218AF3A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二苯并[a，h]蒽</w:t>
            </w:r>
          </w:p>
        </w:tc>
        <w:tc>
          <w:tcPr>
            <w:tcW w:w="1704" w:type="dxa"/>
            <w:vAlign w:val="center"/>
          </w:tcPr>
          <w:p w14:paraId="6AB2AA68">
            <w:pPr>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mg/kg</w:t>
            </w:r>
          </w:p>
        </w:tc>
        <w:tc>
          <w:tcPr>
            <w:tcW w:w="774" w:type="dxa"/>
            <w:vAlign w:val="center"/>
          </w:tcPr>
          <w:p w14:paraId="634035F7">
            <w:pPr>
              <w:pStyle w:val="557"/>
            </w:pPr>
            <w:r>
              <w:rPr>
                <w:rFonts w:hint="eastAsia"/>
              </w:rPr>
              <w:t>&lt;0.1</w:t>
            </w:r>
          </w:p>
        </w:tc>
        <w:tc>
          <w:tcPr>
            <w:tcW w:w="1409" w:type="dxa"/>
            <w:noWrap/>
            <w:vAlign w:val="center"/>
          </w:tcPr>
          <w:p w14:paraId="31632AE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16" w:type="dxa"/>
            <w:vAlign w:val="center"/>
          </w:tcPr>
          <w:p w14:paraId="4472E35F">
            <w:pPr>
              <w:pStyle w:val="557"/>
            </w:pPr>
            <w:r>
              <w:rPr>
                <w:rFonts w:hint="eastAsia"/>
              </w:rPr>
              <w:t>&lt;0.1</w:t>
            </w:r>
          </w:p>
        </w:tc>
        <w:tc>
          <w:tcPr>
            <w:tcW w:w="1410" w:type="dxa"/>
            <w:noWrap/>
            <w:vAlign w:val="center"/>
          </w:tcPr>
          <w:p w14:paraId="0689977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835" w:type="dxa"/>
            <w:vAlign w:val="center"/>
          </w:tcPr>
          <w:p w14:paraId="678495E8">
            <w:pPr>
              <w:pStyle w:val="557"/>
            </w:pPr>
            <w:r>
              <w:rPr>
                <w:rFonts w:hint="eastAsia"/>
              </w:rPr>
              <w:t>&lt;0.1</w:t>
            </w:r>
          </w:p>
        </w:tc>
        <w:tc>
          <w:tcPr>
            <w:tcW w:w="1360" w:type="dxa"/>
            <w:noWrap/>
            <w:vAlign w:val="center"/>
          </w:tcPr>
          <w:p w14:paraId="6477D1C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vAlign w:val="center"/>
          </w:tcPr>
          <w:p w14:paraId="63B799BB">
            <w:pPr>
              <w:pStyle w:val="557"/>
            </w:pPr>
            <w:r>
              <w:rPr>
                <w:rFonts w:hint="eastAsia"/>
              </w:rPr>
              <w:t>&lt;0.1</w:t>
            </w:r>
          </w:p>
        </w:tc>
        <w:tc>
          <w:tcPr>
            <w:tcW w:w="1360" w:type="dxa"/>
            <w:noWrap/>
            <w:vAlign w:val="center"/>
          </w:tcPr>
          <w:p w14:paraId="15917DF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60" w:type="dxa"/>
            <w:noWrap/>
            <w:vAlign w:val="center"/>
          </w:tcPr>
          <w:p w14:paraId="099B31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r>
    </w:tbl>
    <w:p w14:paraId="021BBC69">
      <w:pPr>
        <w:pStyle w:val="541"/>
        <w:rPr>
          <w:rFonts w:hint="eastAsia"/>
          <w:color w:val="000000" w:themeColor="text1"/>
          <w14:textFill>
            <w14:solidFill>
              <w14:schemeClr w14:val="tx1"/>
            </w14:solidFill>
          </w14:textFill>
        </w:rPr>
      </w:pPr>
    </w:p>
    <w:p w14:paraId="7D17C8BB">
      <w:pPr>
        <w:pStyle w:val="541"/>
        <w:rPr>
          <w:rFonts w:hint="eastAsia"/>
        </w:rPr>
      </w:pPr>
      <w:r>
        <w:rPr>
          <w:rFonts w:hint="eastAsia"/>
          <w:color w:val="000000" w:themeColor="text1"/>
          <w14:textFill>
            <w14:solidFill>
              <w14:schemeClr w14:val="tx1"/>
            </w14:solidFill>
          </w14:textFill>
        </w:rPr>
        <w:t>表4.3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厂界内柱状土壤特征因子监测结果</w:t>
      </w:r>
      <w:r>
        <w:rPr>
          <w:rFonts w:hint="eastAsia"/>
        </w:rPr>
        <w:t>一览表</w:t>
      </w:r>
    </w:p>
    <w:tbl>
      <w:tblPr>
        <w:tblStyle w:val="65"/>
        <w:tblW w:w="141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74"/>
        <w:gridCol w:w="1076"/>
        <w:gridCol w:w="901"/>
        <w:gridCol w:w="1037"/>
        <w:gridCol w:w="1045"/>
        <w:gridCol w:w="1037"/>
        <w:gridCol w:w="1045"/>
        <w:gridCol w:w="1179"/>
        <w:gridCol w:w="711"/>
        <w:gridCol w:w="1179"/>
        <w:gridCol w:w="711"/>
        <w:gridCol w:w="1179"/>
        <w:gridCol w:w="711"/>
        <w:gridCol w:w="690"/>
      </w:tblGrid>
      <w:tr w14:paraId="719B5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147C9DCF">
            <w:pPr>
              <w:jc w:val="center"/>
              <w:rPr>
                <w:rFonts w:hint="eastAsia"/>
                <w:color w:val="000000"/>
                <w:sz w:val="18"/>
                <w:szCs w:val="18"/>
              </w:rPr>
            </w:pPr>
            <w:r>
              <w:rPr>
                <w:rFonts w:hint="eastAsia"/>
                <w:color w:val="000000"/>
                <w:sz w:val="18"/>
                <w:szCs w:val="18"/>
              </w:rPr>
              <w:t>监测点</w:t>
            </w:r>
          </w:p>
        </w:tc>
        <w:tc>
          <w:tcPr>
            <w:tcW w:w="6141" w:type="dxa"/>
            <w:gridSpan w:val="6"/>
            <w:vAlign w:val="center"/>
          </w:tcPr>
          <w:p w14:paraId="0BBEB996">
            <w:pPr>
              <w:jc w:val="center"/>
              <w:rPr>
                <w:rFonts w:hint="eastAsia"/>
                <w:color w:val="000000"/>
                <w:sz w:val="18"/>
                <w:szCs w:val="18"/>
              </w:rPr>
            </w:pPr>
            <w:r>
              <w:rPr>
                <w:rFonts w:hint="eastAsia"/>
                <w:color w:val="000000"/>
                <w:sz w:val="18"/>
                <w:szCs w:val="18"/>
              </w:rPr>
              <w:t>厂界内</w:t>
            </w:r>
            <w:r>
              <w:rPr>
                <w:rFonts w:ascii="Times New Roman" w:hAnsi="Times New Roman" w:cs="Times New Roman"/>
                <w:color w:val="000000"/>
                <w:sz w:val="18"/>
                <w:szCs w:val="18"/>
              </w:rPr>
              <w:t>1#</w:t>
            </w:r>
            <w:r>
              <w:rPr>
                <w:rFonts w:hint="eastAsia"/>
                <w:color w:val="000000"/>
                <w:sz w:val="18"/>
                <w:szCs w:val="18"/>
              </w:rPr>
              <w:t>柱状样</w:t>
            </w:r>
          </w:p>
        </w:tc>
        <w:tc>
          <w:tcPr>
            <w:tcW w:w="0" w:type="auto"/>
            <w:gridSpan w:val="6"/>
            <w:vAlign w:val="center"/>
          </w:tcPr>
          <w:p w14:paraId="2EE2697D">
            <w:pPr>
              <w:jc w:val="center"/>
              <w:rPr>
                <w:rFonts w:hint="eastAsia"/>
                <w:color w:val="000000"/>
                <w:sz w:val="18"/>
                <w:szCs w:val="18"/>
              </w:rPr>
            </w:pPr>
            <w:r>
              <w:rPr>
                <w:rFonts w:hint="eastAsia"/>
                <w:color w:val="000000"/>
                <w:sz w:val="18"/>
                <w:szCs w:val="18"/>
              </w:rPr>
              <w:t>厂界内</w:t>
            </w:r>
            <w:r>
              <w:rPr>
                <w:rFonts w:ascii="Times New Roman" w:hAnsi="Times New Roman" w:cs="Times New Roman"/>
                <w:color w:val="000000"/>
                <w:sz w:val="18"/>
                <w:szCs w:val="18"/>
              </w:rPr>
              <w:t>2#</w:t>
            </w:r>
            <w:r>
              <w:rPr>
                <w:rFonts w:hint="eastAsia"/>
                <w:color w:val="000000"/>
                <w:sz w:val="18"/>
                <w:szCs w:val="18"/>
              </w:rPr>
              <w:t>柱状样</w:t>
            </w:r>
          </w:p>
        </w:tc>
        <w:tc>
          <w:tcPr>
            <w:tcW w:w="0" w:type="auto"/>
            <w:vMerge w:val="restart"/>
            <w:vAlign w:val="center"/>
          </w:tcPr>
          <w:p w14:paraId="3EF5AA84">
            <w:pPr>
              <w:jc w:val="center"/>
              <w:rPr>
                <w:rFonts w:hint="eastAsia"/>
                <w:color w:val="000000"/>
                <w:sz w:val="18"/>
                <w:szCs w:val="18"/>
              </w:rPr>
            </w:pPr>
            <w:r>
              <w:rPr>
                <w:rFonts w:hint="eastAsia"/>
                <w:color w:val="000000"/>
                <w:sz w:val="18"/>
                <w:szCs w:val="18"/>
              </w:rPr>
              <w:t>标准值</w:t>
            </w:r>
          </w:p>
        </w:tc>
      </w:tr>
      <w:tr w14:paraId="66892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Merge w:val="restart"/>
            <w:noWrap/>
            <w:vAlign w:val="center"/>
          </w:tcPr>
          <w:p w14:paraId="6F422C15">
            <w:pPr>
              <w:jc w:val="center"/>
              <w:rPr>
                <w:rFonts w:hint="eastAsia"/>
                <w:color w:val="000000"/>
                <w:sz w:val="18"/>
                <w:szCs w:val="18"/>
              </w:rPr>
            </w:pPr>
            <w:r>
              <w:rPr>
                <w:rFonts w:hint="eastAsia"/>
                <w:color w:val="000000"/>
                <w:sz w:val="18"/>
                <w:szCs w:val="18"/>
              </w:rPr>
              <w:t>采样深度（</w:t>
            </w:r>
            <w:r>
              <w:rPr>
                <w:rFonts w:ascii="Times New Roman" w:hAnsi="Times New Roman" w:cs="Times New Roman"/>
                <w:color w:val="000000"/>
                <w:sz w:val="18"/>
                <w:szCs w:val="18"/>
              </w:rPr>
              <w:t>cm</w:t>
            </w:r>
            <w:r>
              <w:rPr>
                <w:rFonts w:hint="eastAsia"/>
                <w:color w:val="000000"/>
                <w:sz w:val="18"/>
                <w:szCs w:val="18"/>
              </w:rPr>
              <w:t>）</w:t>
            </w:r>
          </w:p>
        </w:tc>
        <w:tc>
          <w:tcPr>
            <w:tcW w:w="1977" w:type="dxa"/>
            <w:gridSpan w:val="2"/>
            <w:vAlign w:val="center"/>
          </w:tcPr>
          <w:p w14:paraId="58A2145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0-50</w:t>
            </w:r>
          </w:p>
        </w:tc>
        <w:tc>
          <w:tcPr>
            <w:tcW w:w="2082" w:type="dxa"/>
            <w:gridSpan w:val="2"/>
            <w:vAlign w:val="center"/>
          </w:tcPr>
          <w:p w14:paraId="5CF3516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50-150</w:t>
            </w:r>
          </w:p>
        </w:tc>
        <w:tc>
          <w:tcPr>
            <w:tcW w:w="0" w:type="auto"/>
            <w:gridSpan w:val="2"/>
            <w:vAlign w:val="center"/>
          </w:tcPr>
          <w:p w14:paraId="7D86C9A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150-300</w:t>
            </w:r>
          </w:p>
        </w:tc>
        <w:tc>
          <w:tcPr>
            <w:tcW w:w="0" w:type="auto"/>
            <w:gridSpan w:val="2"/>
            <w:vAlign w:val="center"/>
          </w:tcPr>
          <w:p w14:paraId="36F3522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0-50</w:t>
            </w:r>
          </w:p>
        </w:tc>
        <w:tc>
          <w:tcPr>
            <w:tcW w:w="0" w:type="auto"/>
            <w:gridSpan w:val="2"/>
            <w:vAlign w:val="center"/>
          </w:tcPr>
          <w:p w14:paraId="2FA3827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50-150</w:t>
            </w:r>
          </w:p>
        </w:tc>
        <w:tc>
          <w:tcPr>
            <w:tcW w:w="0" w:type="auto"/>
            <w:gridSpan w:val="2"/>
            <w:vAlign w:val="center"/>
          </w:tcPr>
          <w:p w14:paraId="2ED05F4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150-300</w:t>
            </w:r>
          </w:p>
        </w:tc>
        <w:tc>
          <w:tcPr>
            <w:tcW w:w="0" w:type="auto"/>
            <w:vMerge w:val="continue"/>
            <w:vAlign w:val="center"/>
          </w:tcPr>
          <w:p w14:paraId="0AE3F70B">
            <w:pPr>
              <w:rPr>
                <w:rFonts w:hint="eastAsia"/>
                <w:color w:val="000000"/>
                <w:sz w:val="18"/>
                <w:szCs w:val="18"/>
              </w:rPr>
            </w:pPr>
          </w:p>
        </w:tc>
      </w:tr>
      <w:tr w14:paraId="61B8E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Merge w:val="continue"/>
            <w:vAlign w:val="center"/>
          </w:tcPr>
          <w:p w14:paraId="36F9B411">
            <w:pPr>
              <w:rPr>
                <w:rFonts w:hint="eastAsia"/>
                <w:color w:val="000000"/>
                <w:sz w:val="18"/>
                <w:szCs w:val="18"/>
              </w:rPr>
            </w:pPr>
          </w:p>
        </w:tc>
        <w:tc>
          <w:tcPr>
            <w:tcW w:w="1076" w:type="dxa"/>
            <w:vAlign w:val="center"/>
          </w:tcPr>
          <w:p w14:paraId="247DB4D0">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901" w:type="dxa"/>
            <w:vAlign w:val="center"/>
          </w:tcPr>
          <w:p w14:paraId="058E51B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7" w:type="dxa"/>
            <w:vAlign w:val="center"/>
          </w:tcPr>
          <w:p w14:paraId="3FE20EF5">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0" w:type="auto"/>
            <w:vAlign w:val="center"/>
          </w:tcPr>
          <w:p w14:paraId="5E64A44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7" w:type="dxa"/>
            <w:vAlign w:val="center"/>
          </w:tcPr>
          <w:p w14:paraId="55FFC289">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1045" w:type="dxa"/>
            <w:vAlign w:val="center"/>
          </w:tcPr>
          <w:p w14:paraId="4FD6F42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0" w:type="auto"/>
            <w:vAlign w:val="center"/>
          </w:tcPr>
          <w:p w14:paraId="046296EE">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0" w:type="auto"/>
            <w:vAlign w:val="center"/>
          </w:tcPr>
          <w:p w14:paraId="5544D27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0" w:type="auto"/>
            <w:vAlign w:val="center"/>
          </w:tcPr>
          <w:p w14:paraId="4C4C2827">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0" w:type="auto"/>
            <w:vAlign w:val="center"/>
          </w:tcPr>
          <w:p w14:paraId="20AD4E1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0" w:type="auto"/>
            <w:vAlign w:val="center"/>
          </w:tcPr>
          <w:p w14:paraId="33998DBD">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0" w:type="auto"/>
            <w:vAlign w:val="center"/>
          </w:tcPr>
          <w:p w14:paraId="24DF6D2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0" w:type="auto"/>
            <w:vMerge w:val="continue"/>
            <w:vAlign w:val="center"/>
          </w:tcPr>
          <w:p w14:paraId="2A6AE3FB">
            <w:pPr>
              <w:rPr>
                <w:rFonts w:hint="eastAsia"/>
                <w:color w:val="000000"/>
                <w:sz w:val="18"/>
                <w:szCs w:val="18"/>
              </w:rPr>
            </w:pPr>
          </w:p>
        </w:tc>
      </w:tr>
      <w:tr w14:paraId="4EC20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0EBE2BC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pH</w:t>
            </w:r>
          </w:p>
        </w:tc>
        <w:tc>
          <w:tcPr>
            <w:tcW w:w="1076" w:type="dxa"/>
            <w:vAlign w:val="center"/>
          </w:tcPr>
          <w:p w14:paraId="30A27BD6">
            <w:pPr>
              <w:pStyle w:val="557"/>
              <w:rPr>
                <w:rFonts w:eastAsia="等线"/>
                <w:color w:val="FF0000"/>
              </w:rPr>
            </w:pPr>
            <w:r>
              <w:rPr>
                <w:rFonts w:hint="eastAsia"/>
              </w:rPr>
              <w:t>7.48</w:t>
            </w:r>
          </w:p>
        </w:tc>
        <w:tc>
          <w:tcPr>
            <w:tcW w:w="901" w:type="dxa"/>
            <w:vAlign w:val="center"/>
          </w:tcPr>
          <w:p w14:paraId="647594F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sz w:val="18"/>
                <w:szCs w:val="18"/>
              </w:rPr>
              <w:t>/</w:t>
            </w:r>
          </w:p>
        </w:tc>
        <w:tc>
          <w:tcPr>
            <w:tcW w:w="1037" w:type="dxa"/>
            <w:vAlign w:val="center"/>
          </w:tcPr>
          <w:p w14:paraId="0DE08181">
            <w:pPr>
              <w:pStyle w:val="557"/>
              <w:rPr>
                <w:rFonts w:eastAsia="等线"/>
              </w:rPr>
            </w:pPr>
            <w:r>
              <w:rPr>
                <w:rFonts w:hint="eastAsia"/>
              </w:rPr>
              <w:t>7.63</w:t>
            </w:r>
          </w:p>
        </w:tc>
        <w:tc>
          <w:tcPr>
            <w:tcW w:w="0" w:type="auto"/>
            <w:vAlign w:val="center"/>
          </w:tcPr>
          <w:p w14:paraId="78D4E70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1AB1294E">
            <w:pPr>
              <w:pStyle w:val="557"/>
              <w:rPr>
                <w:rFonts w:eastAsia="等线"/>
              </w:rPr>
            </w:pPr>
            <w:r>
              <w:rPr>
                <w:rFonts w:hint="eastAsia"/>
              </w:rPr>
              <w:t>7.59</w:t>
            </w:r>
          </w:p>
        </w:tc>
        <w:tc>
          <w:tcPr>
            <w:tcW w:w="1045" w:type="dxa"/>
            <w:vAlign w:val="center"/>
          </w:tcPr>
          <w:p w14:paraId="198A5CB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6C14C2D5">
            <w:pPr>
              <w:pStyle w:val="557"/>
              <w:rPr>
                <w:rFonts w:eastAsia="等线"/>
              </w:rPr>
            </w:pPr>
            <w:r>
              <w:rPr>
                <w:rFonts w:hint="eastAsia"/>
              </w:rPr>
              <w:t>7.83</w:t>
            </w:r>
          </w:p>
        </w:tc>
        <w:tc>
          <w:tcPr>
            <w:tcW w:w="0" w:type="auto"/>
            <w:vAlign w:val="center"/>
          </w:tcPr>
          <w:p w14:paraId="73834F1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0F7E7DAD">
            <w:pPr>
              <w:pStyle w:val="557"/>
              <w:rPr>
                <w:rFonts w:eastAsia="等线"/>
              </w:rPr>
            </w:pPr>
            <w:r>
              <w:rPr>
                <w:rFonts w:hint="eastAsia"/>
              </w:rPr>
              <w:t>7.82</w:t>
            </w:r>
          </w:p>
        </w:tc>
        <w:tc>
          <w:tcPr>
            <w:tcW w:w="0" w:type="auto"/>
            <w:vAlign w:val="center"/>
          </w:tcPr>
          <w:p w14:paraId="02A8189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05C4EC72">
            <w:pPr>
              <w:pStyle w:val="557"/>
              <w:rPr>
                <w:rFonts w:eastAsia="等线"/>
              </w:rPr>
            </w:pPr>
            <w:r>
              <w:rPr>
                <w:rFonts w:hint="eastAsia"/>
              </w:rPr>
              <w:t>7.89</w:t>
            </w:r>
          </w:p>
        </w:tc>
        <w:tc>
          <w:tcPr>
            <w:tcW w:w="0" w:type="auto"/>
            <w:vAlign w:val="center"/>
          </w:tcPr>
          <w:p w14:paraId="6EAF87B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5EF7429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r>
      <w:tr w14:paraId="2CDB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0556D6E1">
            <w:pPr>
              <w:jc w:val="center"/>
              <w:rPr>
                <w:rFonts w:hint="eastAsia"/>
                <w:color w:val="000000"/>
                <w:sz w:val="18"/>
                <w:szCs w:val="18"/>
              </w:rPr>
            </w:pPr>
            <w:r>
              <w:rPr>
                <w:rFonts w:hint="eastAsia"/>
                <w:color w:val="000000"/>
                <w:sz w:val="18"/>
                <w:szCs w:val="18"/>
              </w:rPr>
              <w:t>铜</w:t>
            </w:r>
          </w:p>
        </w:tc>
        <w:tc>
          <w:tcPr>
            <w:tcW w:w="1076" w:type="dxa"/>
            <w:vAlign w:val="center"/>
          </w:tcPr>
          <w:p w14:paraId="6F7E2743">
            <w:pPr>
              <w:pStyle w:val="557"/>
              <w:rPr>
                <w:rFonts w:eastAsia="等线"/>
                <w:color w:val="FF0000"/>
              </w:rPr>
            </w:pPr>
            <w:r>
              <w:rPr>
                <w:rFonts w:hint="eastAsia"/>
              </w:rPr>
              <w:t>14</w:t>
            </w:r>
          </w:p>
        </w:tc>
        <w:tc>
          <w:tcPr>
            <w:tcW w:w="901" w:type="dxa"/>
            <w:vAlign w:val="center"/>
          </w:tcPr>
          <w:p w14:paraId="55B5380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037" w:type="dxa"/>
            <w:vAlign w:val="center"/>
          </w:tcPr>
          <w:p w14:paraId="2432C2E7">
            <w:pPr>
              <w:pStyle w:val="557"/>
              <w:rPr>
                <w:rFonts w:eastAsia="等线"/>
                <w:color w:val="FF0000"/>
              </w:rPr>
            </w:pPr>
            <w:r>
              <w:rPr>
                <w:rFonts w:hint="eastAsia"/>
              </w:rPr>
              <w:t>11</w:t>
            </w:r>
          </w:p>
        </w:tc>
        <w:tc>
          <w:tcPr>
            <w:tcW w:w="0" w:type="auto"/>
            <w:vAlign w:val="center"/>
          </w:tcPr>
          <w:p w14:paraId="4A6BDC6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1037" w:type="dxa"/>
            <w:vAlign w:val="center"/>
          </w:tcPr>
          <w:p w14:paraId="26F33602">
            <w:pPr>
              <w:pStyle w:val="557"/>
              <w:rPr>
                <w:rFonts w:eastAsia="等线"/>
                <w:color w:val="FF0000"/>
              </w:rPr>
            </w:pPr>
            <w:r>
              <w:rPr>
                <w:rFonts w:hint="eastAsia"/>
              </w:rPr>
              <w:t>11</w:t>
            </w:r>
          </w:p>
        </w:tc>
        <w:tc>
          <w:tcPr>
            <w:tcW w:w="1045" w:type="dxa"/>
            <w:vAlign w:val="center"/>
          </w:tcPr>
          <w:p w14:paraId="5B6BB55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0" w:type="auto"/>
            <w:vAlign w:val="center"/>
          </w:tcPr>
          <w:p w14:paraId="4E193A9A">
            <w:pPr>
              <w:pStyle w:val="557"/>
              <w:rPr>
                <w:rFonts w:eastAsia="等线"/>
                <w:color w:val="FF0000"/>
              </w:rPr>
            </w:pPr>
            <w:r>
              <w:rPr>
                <w:rFonts w:hint="eastAsia"/>
              </w:rPr>
              <w:t>14</w:t>
            </w:r>
          </w:p>
        </w:tc>
        <w:tc>
          <w:tcPr>
            <w:tcW w:w="0" w:type="auto"/>
            <w:vAlign w:val="center"/>
          </w:tcPr>
          <w:p w14:paraId="38E9F7E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0" w:type="auto"/>
            <w:vAlign w:val="center"/>
          </w:tcPr>
          <w:p w14:paraId="02D8C146">
            <w:pPr>
              <w:pStyle w:val="557"/>
              <w:rPr>
                <w:rFonts w:eastAsia="等线"/>
                <w:color w:val="FF0000"/>
              </w:rPr>
            </w:pPr>
            <w:r>
              <w:rPr>
                <w:rFonts w:hint="eastAsia"/>
              </w:rPr>
              <w:t>11</w:t>
            </w:r>
          </w:p>
        </w:tc>
        <w:tc>
          <w:tcPr>
            <w:tcW w:w="0" w:type="auto"/>
            <w:vAlign w:val="center"/>
          </w:tcPr>
          <w:p w14:paraId="507B582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0" w:type="auto"/>
            <w:vAlign w:val="center"/>
          </w:tcPr>
          <w:p w14:paraId="26F25D3D">
            <w:pPr>
              <w:pStyle w:val="557"/>
              <w:rPr>
                <w:rFonts w:eastAsia="等线"/>
                <w:color w:val="FF0000"/>
              </w:rPr>
            </w:pPr>
            <w:r>
              <w:rPr>
                <w:rFonts w:hint="eastAsia"/>
              </w:rPr>
              <w:t>12</w:t>
            </w:r>
          </w:p>
        </w:tc>
        <w:tc>
          <w:tcPr>
            <w:tcW w:w="0" w:type="auto"/>
            <w:vAlign w:val="center"/>
          </w:tcPr>
          <w:p w14:paraId="3AEFC20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0" w:type="auto"/>
            <w:vAlign w:val="center"/>
          </w:tcPr>
          <w:p w14:paraId="1AF4653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18000</w:t>
            </w:r>
          </w:p>
        </w:tc>
      </w:tr>
      <w:tr w14:paraId="43936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7BA77137">
            <w:pPr>
              <w:jc w:val="center"/>
              <w:rPr>
                <w:rFonts w:hint="eastAsia"/>
                <w:color w:val="000000"/>
                <w:sz w:val="18"/>
                <w:szCs w:val="18"/>
              </w:rPr>
            </w:pPr>
            <w:r>
              <w:rPr>
                <w:rFonts w:hint="eastAsia"/>
                <w:color w:val="000000"/>
                <w:sz w:val="18"/>
                <w:szCs w:val="18"/>
              </w:rPr>
              <w:t>镍</w:t>
            </w:r>
          </w:p>
        </w:tc>
        <w:tc>
          <w:tcPr>
            <w:tcW w:w="1076" w:type="dxa"/>
            <w:vAlign w:val="center"/>
          </w:tcPr>
          <w:p w14:paraId="61AF3F58">
            <w:pPr>
              <w:pStyle w:val="557"/>
              <w:rPr>
                <w:rFonts w:eastAsia="等线"/>
                <w:color w:val="FF0000"/>
              </w:rPr>
            </w:pPr>
            <w:r>
              <w:rPr>
                <w:rFonts w:hint="eastAsia"/>
              </w:rPr>
              <w:t>18</w:t>
            </w:r>
          </w:p>
        </w:tc>
        <w:tc>
          <w:tcPr>
            <w:tcW w:w="901" w:type="dxa"/>
            <w:vAlign w:val="center"/>
          </w:tcPr>
          <w:p w14:paraId="1B1DF04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w:t>
            </w:r>
          </w:p>
        </w:tc>
        <w:tc>
          <w:tcPr>
            <w:tcW w:w="1037" w:type="dxa"/>
            <w:vAlign w:val="center"/>
          </w:tcPr>
          <w:p w14:paraId="6696CCEC">
            <w:pPr>
              <w:pStyle w:val="557"/>
              <w:rPr>
                <w:rFonts w:eastAsia="等线"/>
                <w:color w:val="FF0000"/>
              </w:rPr>
            </w:pPr>
            <w:r>
              <w:rPr>
                <w:rFonts w:hint="eastAsia"/>
              </w:rPr>
              <w:t>17</w:t>
            </w:r>
          </w:p>
        </w:tc>
        <w:tc>
          <w:tcPr>
            <w:tcW w:w="0" w:type="auto"/>
            <w:vAlign w:val="center"/>
          </w:tcPr>
          <w:p w14:paraId="4240555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1037" w:type="dxa"/>
            <w:vAlign w:val="center"/>
          </w:tcPr>
          <w:p w14:paraId="3917FCF9">
            <w:pPr>
              <w:pStyle w:val="557"/>
              <w:rPr>
                <w:rFonts w:eastAsia="等线"/>
                <w:color w:val="FF0000"/>
              </w:rPr>
            </w:pPr>
            <w:r>
              <w:rPr>
                <w:rFonts w:hint="eastAsia"/>
              </w:rPr>
              <w:t>17</w:t>
            </w:r>
          </w:p>
        </w:tc>
        <w:tc>
          <w:tcPr>
            <w:tcW w:w="1045" w:type="dxa"/>
            <w:vAlign w:val="center"/>
          </w:tcPr>
          <w:p w14:paraId="68509FA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0" w:type="auto"/>
            <w:vAlign w:val="center"/>
          </w:tcPr>
          <w:p w14:paraId="780A3A56">
            <w:pPr>
              <w:pStyle w:val="557"/>
              <w:rPr>
                <w:rFonts w:eastAsia="等线"/>
                <w:color w:val="FF0000"/>
              </w:rPr>
            </w:pPr>
            <w:r>
              <w:rPr>
                <w:rFonts w:hint="eastAsia"/>
              </w:rPr>
              <w:t>19</w:t>
            </w:r>
          </w:p>
        </w:tc>
        <w:tc>
          <w:tcPr>
            <w:tcW w:w="0" w:type="auto"/>
            <w:vAlign w:val="center"/>
          </w:tcPr>
          <w:p w14:paraId="3B6CDF9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0.021</w:t>
            </w:r>
          </w:p>
        </w:tc>
        <w:tc>
          <w:tcPr>
            <w:tcW w:w="0" w:type="auto"/>
            <w:vAlign w:val="center"/>
          </w:tcPr>
          <w:p w14:paraId="5AC98DEC">
            <w:pPr>
              <w:pStyle w:val="557"/>
              <w:rPr>
                <w:rFonts w:eastAsia="等线"/>
                <w:color w:val="FF0000"/>
              </w:rPr>
            </w:pPr>
            <w:r>
              <w:rPr>
                <w:rFonts w:hint="eastAsia"/>
              </w:rPr>
              <w:t>19</w:t>
            </w:r>
          </w:p>
        </w:tc>
        <w:tc>
          <w:tcPr>
            <w:tcW w:w="0" w:type="auto"/>
            <w:vAlign w:val="center"/>
          </w:tcPr>
          <w:p w14:paraId="0156852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0.021</w:t>
            </w:r>
          </w:p>
        </w:tc>
        <w:tc>
          <w:tcPr>
            <w:tcW w:w="0" w:type="auto"/>
            <w:vAlign w:val="center"/>
          </w:tcPr>
          <w:p w14:paraId="6F400582">
            <w:pPr>
              <w:pStyle w:val="557"/>
              <w:rPr>
                <w:rFonts w:eastAsia="等线"/>
                <w:color w:val="FF0000"/>
              </w:rPr>
            </w:pPr>
            <w:r>
              <w:rPr>
                <w:rFonts w:hint="eastAsia"/>
              </w:rPr>
              <w:t>18</w:t>
            </w:r>
          </w:p>
        </w:tc>
        <w:tc>
          <w:tcPr>
            <w:tcW w:w="0" w:type="auto"/>
            <w:vAlign w:val="center"/>
          </w:tcPr>
          <w:p w14:paraId="0620373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w:t>
            </w:r>
          </w:p>
        </w:tc>
        <w:tc>
          <w:tcPr>
            <w:tcW w:w="0" w:type="auto"/>
            <w:vAlign w:val="center"/>
          </w:tcPr>
          <w:p w14:paraId="1CF379C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900</w:t>
            </w:r>
          </w:p>
        </w:tc>
      </w:tr>
      <w:tr w14:paraId="6A9BD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082DB388">
            <w:pPr>
              <w:jc w:val="center"/>
              <w:rPr>
                <w:rFonts w:hint="eastAsia"/>
                <w:color w:val="000000"/>
                <w:sz w:val="18"/>
                <w:szCs w:val="18"/>
              </w:rPr>
            </w:pPr>
            <w:r>
              <w:rPr>
                <w:rFonts w:hint="eastAsia"/>
                <w:color w:val="000000"/>
                <w:sz w:val="18"/>
                <w:szCs w:val="18"/>
              </w:rPr>
              <w:t>六价铬</w:t>
            </w:r>
          </w:p>
        </w:tc>
        <w:tc>
          <w:tcPr>
            <w:tcW w:w="1076" w:type="dxa"/>
            <w:vAlign w:val="center"/>
          </w:tcPr>
          <w:p w14:paraId="5C4D204D">
            <w:pPr>
              <w:pStyle w:val="557"/>
              <w:rPr>
                <w:rFonts w:eastAsia="等线"/>
                <w:color w:val="FF0000"/>
              </w:rPr>
            </w:pPr>
            <w:r>
              <w:rPr>
                <w:rFonts w:hint="eastAsia"/>
              </w:rPr>
              <w:t>&lt;0.5</w:t>
            </w:r>
          </w:p>
        </w:tc>
        <w:tc>
          <w:tcPr>
            <w:tcW w:w="901" w:type="dxa"/>
            <w:vAlign w:val="center"/>
          </w:tcPr>
          <w:p w14:paraId="15DD1725">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5DCDB2DE">
            <w:pPr>
              <w:pStyle w:val="557"/>
              <w:rPr>
                <w:rFonts w:eastAsia="等线"/>
                <w:color w:val="FF0000"/>
              </w:rPr>
            </w:pPr>
            <w:r>
              <w:rPr>
                <w:rFonts w:hint="eastAsia"/>
              </w:rPr>
              <w:t>&lt;0.5</w:t>
            </w:r>
          </w:p>
        </w:tc>
        <w:tc>
          <w:tcPr>
            <w:tcW w:w="0" w:type="auto"/>
            <w:vAlign w:val="center"/>
          </w:tcPr>
          <w:p w14:paraId="3753D2F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25D1A2FA">
            <w:pPr>
              <w:pStyle w:val="557"/>
              <w:rPr>
                <w:rFonts w:eastAsia="等线"/>
                <w:color w:val="FF0000"/>
              </w:rPr>
            </w:pPr>
            <w:r>
              <w:rPr>
                <w:rFonts w:hint="eastAsia"/>
              </w:rPr>
              <w:t>&lt;0.5</w:t>
            </w:r>
          </w:p>
        </w:tc>
        <w:tc>
          <w:tcPr>
            <w:tcW w:w="1045" w:type="dxa"/>
            <w:vAlign w:val="center"/>
          </w:tcPr>
          <w:p w14:paraId="766628B5">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4834AA6E">
            <w:pPr>
              <w:pStyle w:val="557"/>
              <w:rPr>
                <w:rFonts w:eastAsia="等线"/>
                <w:color w:val="FF0000"/>
              </w:rPr>
            </w:pPr>
            <w:r>
              <w:rPr>
                <w:rFonts w:hint="eastAsia"/>
              </w:rPr>
              <w:t>&lt;0.5</w:t>
            </w:r>
          </w:p>
        </w:tc>
        <w:tc>
          <w:tcPr>
            <w:tcW w:w="0" w:type="auto"/>
            <w:vAlign w:val="center"/>
          </w:tcPr>
          <w:p w14:paraId="277B0F6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370AF3A1">
            <w:pPr>
              <w:pStyle w:val="557"/>
              <w:rPr>
                <w:rFonts w:eastAsia="等线"/>
                <w:color w:val="FF0000"/>
              </w:rPr>
            </w:pPr>
            <w:r>
              <w:rPr>
                <w:rFonts w:hint="eastAsia"/>
              </w:rPr>
              <w:t>&lt;0.5</w:t>
            </w:r>
          </w:p>
        </w:tc>
        <w:tc>
          <w:tcPr>
            <w:tcW w:w="0" w:type="auto"/>
            <w:vAlign w:val="center"/>
          </w:tcPr>
          <w:p w14:paraId="3A31421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0EC0C3E6">
            <w:pPr>
              <w:pStyle w:val="557"/>
              <w:rPr>
                <w:rFonts w:eastAsia="等线"/>
                <w:color w:val="FF0000"/>
              </w:rPr>
            </w:pPr>
            <w:r>
              <w:rPr>
                <w:rFonts w:hint="eastAsia"/>
              </w:rPr>
              <w:t>&lt;0.5</w:t>
            </w:r>
          </w:p>
        </w:tc>
        <w:tc>
          <w:tcPr>
            <w:tcW w:w="0" w:type="auto"/>
            <w:vAlign w:val="center"/>
          </w:tcPr>
          <w:p w14:paraId="1427FEBD">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5D64444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5.7</w:t>
            </w:r>
          </w:p>
        </w:tc>
      </w:tr>
      <w:tr w14:paraId="03BC4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7805BCD5">
            <w:pPr>
              <w:jc w:val="center"/>
              <w:rPr>
                <w:rFonts w:hint="eastAsia"/>
                <w:color w:val="000000"/>
                <w:sz w:val="18"/>
                <w:szCs w:val="18"/>
              </w:rPr>
            </w:pPr>
            <w:r>
              <w:rPr>
                <w:rFonts w:hint="eastAsia"/>
                <w:color w:val="000000"/>
                <w:sz w:val="18"/>
                <w:szCs w:val="18"/>
              </w:rPr>
              <w:t>铅</w:t>
            </w:r>
          </w:p>
        </w:tc>
        <w:tc>
          <w:tcPr>
            <w:tcW w:w="1076" w:type="dxa"/>
            <w:vAlign w:val="center"/>
          </w:tcPr>
          <w:p w14:paraId="0F2A2AFF">
            <w:pPr>
              <w:pStyle w:val="557"/>
              <w:rPr>
                <w:rFonts w:eastAsia="等线"/>
                <w:color w:val="FF0000"/>
              </w:rPr>
            </w:pPr>
            <w:r>
              <w:rPr>
                <w:rFonts w:hint="eastAsia"/>
              </w:rPr>
              <w:t>8.8</w:t>
            </w:r>
          </w:p>
        </w:tc>
        <w:tc>
          <w:tcPr>
            <w:tcW w:w="901" w:type="dxa"/>
            <w:vAlign w:val="center"/>
          </w:tcPr>
          <w:p w14:paraId="5FC0369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1037" w:type="dxa"/>
            <w:vAlign w:val="center"/>
          </w:tcPr>
          <w:p w14:paraId="6BFB9419">
            <w:pPr>
              <w:pStyle w:val="557"/>
              <w:rPr>
                <w:rFonts w:eastAsia="等线"/>
                <w:color w:val="FF0000"/>
              </w:rPr>
            </w:pPr>
            <w:r>
              <w:rPr>
                <w:rFonts w:hint="eastAsia"/>
              </w:rPr>
              <w:t>7.9</w:t>
            </w:r>
          </w:p>
        </w:tc>
        <w:tc>
          <w:tcPr>
            <w:tcW w:w="0" w:type="auto"/>
            <w:vAlign w:val="center"/>
          </w:tcPr>
          <w:p w14:paraId="2D6D815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0.009</w:t>
            </w:r>
          </w:p>
        </w:tc>
        <w:tc>
          <w:tcPr>
            <w:tcW w:w="1037" w:type="dxa"/>
            <w:vAlign w:val="center"/>
          </w:tcPr>
          <w:p w14:paraId="5D079CA1">
            <w:pPr>
              <w:pStyle w:val="557"/>
              <w:rPr>
                <w:rFonts w:eastAsia="等线"/>
                <w:color w:val="FF0000"/>
              </w:rPr>
            </w:pPr>
            <w:r>
              <w:rPr>
                <w:rFonts w:hint="eastAsia"/>
              </w:rPr>
              <w:t>10.8</w:t>
            </w:r>
          </w:p>
        </w:tc>
        <w:tc>
          <w:tcPr>
            <w:tcW w:w="1045" w:type="dxa"/>
            <w:vAlign w:val="center"/>
          </w:tcPr>
          <w:p w14:paraId="0810A4E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0.013</w:t>
            </w:r>
          </w:p>
        </w:tc>
        <w:tc>
          <w:tcPr>
            <w:tcW w:w="0" w:type="auto"/>
            <w:vAlign w:val="center"/>
          </w:tcPr>
          <w:p w14:paraId="019318A6">
            <w:pPr>
              <w:pStyle w:val="557"/>
              <w:rPr>
                <w:rFonts w:eastAsia="等线"/>
                <w:color w:val="FF0000"/>
              </w:rPr>
            </w:pPr>
            <w:r>
              <w:rPr>
                <w:rFonts w:hint="eastAsia"/>
              </w:rPr>
              <w:t>9.0</w:t>
            </w:r>
          </w:p>
        </w:tc>
        <w:tc>
          <w:tcPr>
            <w:tcW w:w="0" w:type="auto"/>
            <w:vAlign w:val="center"/>
          </w:tcPr>
          <w:p w14:paraId="03254CE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0" w:type="auto"/>
            <w:vAlign w:val="center"/>
          </w:tcPr>
          <w:p w14:paraId="49042764">
            <w:pPr>
              <w:pStyle w:val="557"/>
              <w:rPr>
                <w:rFonts w:eastAsia="等线"/>
                <w:color w:val="FF0000"/>
              </w:rPr>
            </w:pPr>
            <w:r>
              <w:rPr>
                <w:rFonts w:hint="eastAsia"/>
              </w:rPr>
              <w:t>7.8</w:t>
            </w:r>
          </w:p>
        </w:tc>
        <w:tc>
          <w:tcPr>
            <w:tcW w:w="0" w:type="auto"/>
            <w:vAlign w:val="center"/>
          </w:tcPr>
          <w:p w14:paraId="3F67F4C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0.009</w:t>
            </w:r>
          </w:p>
        </w:tc>
        <w:tc>
          <w:tcPr>
            <w:tcW w:w="0" w:type="auto"/>
            <w:vAlign w:val="center"/>
          </w:tcPr>
          <w:p w14:paraId="1225CEBC">
            <w:pPr>
              <w:pStyle w:val="557"/>
              <w:rPr>
                <w:rFonts w:eastAsia="等线"/>
                <w:color w:val="FF0000"/>
              </w:rPr>
            </w:pPr>
            <w:r>
              <w:rPr>
                <w:rFonts w:hint="eastAsia"/>
              </w:rPr>
              <w:t>8.3</w:t>
            </w:r>
          </w:p>
        </w:tc>
        <w:tc>
          <w:tcPr>
            <w:tcW w:w="0" w:type="auto"/>
            <w:vAlign w:val="center"/>
          </w:tcPr>
          <w:p w14:paraId="4F78B95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0.010</w:t>
            </w:r>
          </w:p>
        </w:tc>
        <w:tc>
          <w:tcPr>
            <w:tcW w:w="0" w:type="auto"/>
            <w:vAlign w:val="center"/>
          </w:tcPr>
          <w:p w14:paraId="656C386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800</w:t>
            </w:r>
          </w:p>
        </w:tc>
      </w:tr>
      <w:tr w14:paraId="77DBA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6A0C8233">
            <w:pPr>
              <w:jc w:val="center"/>
              <w:rPr>
                <w:rFonts w:hint="eastAsia"/>
                <w:color w:val="000000"/>
                <w:sz w:val="18"/>
                <w:szCs w:val="18"/>
              </w:rPr>
            </w:pPr>
            <w:r>
              <w:rPr>
                <w:rFonts w:hint="eastAsia"/>
                <w:color w:val="000000"/>
                <w:sz w:val="18"/>
                <w:szCs w:val="18"/>
              </w:rPr>
              <w:t>镉</w:t>
            </w:r>
          </w:p>
        </w:tc>
        <w:tc>
          <w:tcPr>
            <w:tcW w:w="1076" w:type="dxa"/>
            <w:vAlign w:val="center"/>
          </w:tcPr>
          <w:p w14:paraId="7CEBC10E">
            <w:pPr>
              <w:pStyle w:val="557"/>
              <w:rPr>
                <w:rFonts w:eastAsia="等线"/>
                <w:color w:val="FF0000"/>
              </w:rPr>
            </w:pPr>
            <w:r>
              <w:rPr>
                <w:rFonts w:hint="eastAsia"/>
              </w:rPr>
              <w:t>0.11</w:t>
            </w:r>
          </w:p>
        </w:tc>
        <w:tc>
          <w:tcPr>
            <w:tcW w:w="901" w:type="dxa"/>
            <w:vAlign w:val="center"/>
          </w:tcPr>
          <w:p w14:paraId="7B5A30D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7" w:type="dxa"/>
            <w:vAlign w:val="center"/>
          </w:tcPr>
          <w:p w14:paraId="4E0FB025">
            <w:pPr>
              <w:pStyle w:val="557"/>
              <w:rPr>
                <w:rFonts w:eastAsia="等线"/>
                <w:color w:val="FF0000"/>
              </w:rPr>
            </w:pPr>
            <w:r>
              <w:rPr>
                <w:rFonts w:hint="eastAsia"/>
              </w:rPr>
              <w:t>0.13</w:t>
            </w:r>
          </w:p>
        </w:tc>
        <w:tc>
          <w:tcPr>
            <w:tcW w:w="0" w:type="auto"/>
            <w:vAlign w:val="center"/>
          </w:tcPr>
          <w:p w14:paraId="4AE55CC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1037" w:type="dxa"/>
            <w:vAlign w:val="center"/>
          </w:tcPr>
          <w:p w14:paraId="5C24EFE5">
            <w:pPr>
              <w:pStyle w:val="557"/>
              <w:rPr>
                <w:rFonts w:eastAsia="等线"/>
                <w:color w:val="FF0000"/>
              </w:rPr>
            </w:pPr>
            <w:r>
              <w:rPr>
                <w:rFonts w:hint="eastAsia"/>
              </w:rPr>
              <w:t>0.08</w:t>
            </w:r>
          </w:p>
        </w:tc>
        <w:tc>
          <w:tcPr>
            <w:tcW w:w="1045" w:type="dxa"/>
            <w:vAlign w:val="center"/>
          </w:tcPr>
          <w:p w14:paraId="1014077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6B6F7A48">
            <w:pPr>
              <w:pStyle w:val="557"/>
              <w:rPr>
                <w:rFonts w:eastAsia="等线"/>
                <w:color w:val="FF0000"/>
              </w:rPr>
            </w:pPr>
            <w:r>
              <w:rPr>
                <w:rFonts w:hint="eastAsia"/>
              </w:rPr>
              <w:t>0.13</w:t>
            </w:r>
          </w:p>
        </w:tc>
        <w:tc>
          <w:tcPr>
            <w:tcW w:w="0" w:type="auto"/>
            <w:vAlign w:val="center"/>
          </w:tcPr>
          <w:p w14:paraId="2EB3076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0" w:type="auto"/>
            <w:vAlign w:val="center"/>
          </w:tcPr>
          <w:p w14:paraId="252EEB62">
            <w:pPr>
              <w:pStyle w:val="557"/>
              <w:rPr>
                <w:rFonts w:eastAsia="等线"/>
                <w:color w:val="FF0000"/>
              </w:rPr>
            </w:pPr>
            <w:r>
              <w:rPr>
                <w:rFonts w:hint="eastAsia"/>
              </w:rPr>
              <w:t>0.11</w:t>
            </w:r>
          </w:p>
        </w:tc>
        <w:tc>
          <w:tcPr>
            <w:tcW w:w="0" w:type="auto"/>
            <w:vAlign w:val="center"/>
          </w:tcPr>
          <w:p w14:paraId="1408CB9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30775A84">
            <w:pPr>
              <w:pStyle w:val="557"/>
              <w:rPr>
                <w:rFonts w:eastAsia="等线"/>
                <w:color w:val="FF0000"/>
              </w:rPr>
            </w:pPr>
            <w:r>
              <w:rPr>
                <w:rFonts w:hint="eastAsia"/>
              </w:rPr>
              <w:t>0.10</w:t>
            </w:r>
          </w:p>
        </w:tc>
        <w:tc>
          <w:tcPr>
            <w:tcW w:w="0" w:type="auto"/>
            <w:vAlign w:val="center"/>
          </w:tcPr>
          <w:p w14:paraId="6DD83AB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1B506FB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65</w:t>
            </w:r>
          </w:p>
        </w:tc>
      </w:tr>
      <w:tr w14:paraId="31B1F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noWrap/>
            <w:vAlign w:val="center"/>
          </w:tcPr>
          <w:p w14:paraId="40546282">
            <w:pPr>
              <w:jc w:val="center"/>
              <w:rPr>
                <w:rFonts w:hint="eastAsia"/>
                <w:color w:val="000000"/>
                <w:sz w:val="18"/>
                <w:szCs w:val="18"/>
              </w:rPr>
            </w:pPr>
            <w:r>
              <w:rPr>
                <w:rFonts w:hint="eastAsia"/>
                <w:color w:val="000000"/>
                <w:sz w:val="18"/>
                <w:szCs w:val="18"/>
              </w:rPr>
              <w:t>汞</w:t>
            </w:r>
          </w:p>
        </w:tc>
        <w:tc>
          <w:tcPr>
            <w:tcW w:w="1076" w:type="dxa"/>
            <w:vAlign w:val="center"/>
          </w:tcPr>
          <w:p w14:paraId="0053F9DC">
            <w:pPr>
              <w:pStyle w:val="557"/>
              <w:rPr>
                <w:rFonts w:eastAsia="等线"/>
                <w:color w:val="FF0000"/>
              </w:rPr>
            </w:pPr>
            <w:r>
              <w:rPr>
                <w:rFonts w:hint="eastAsia"/>
              </w:rPr>
              <w:t>0.087</w:t>
            </w:r>
          </w:p>
        </w:tc>
        <w:tc>
          <w:tcPr>
            <w:tcW w:w="901" w:type="dxa"/>
            <w:vAlign w:val="center"/>
          </w:tcPr>
          <w:p w14:paraId="30A51E3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1037" w:type="dxa"/>
            <w:vAlign w:val="center"/>
          </w:tcPr>
          <w:p w14:paraId="49855E7A">
            <w:pPr>
              <w:pStyle w:val="557"/>
              <w:rPr>
                <w:rFonts w:eastAsia="等线"/>
                <w:color w:val="FF0000"/>
              </w:rPr>
            </w:pPr>
            <w:r>
              <w:rPr>
                <w:rFonts w:hint="eastAsia"/>
              </w:rPr>
              <w:t>0.069</w:t>
            </w:r>
          </w:p>
        </w:tc>
        <w:tc>
          <w:tcPr>
            <w:tcW w:w="0" w:type="auto"/>
            <w:vAlign w:val="center"/>
          </w:tcPr>
          <w:p w14:paraId="1C865A8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7" w:type="dxa"/>
            <w:vAlign w:val="center"/>
          </w:tcPr>
          <w:p w14:paraId="694B5EE1">
            <w:pPr>
              <w:pStyle w:val="557"/>
              <w:rPr>
                <w:rFonts w:eastAsia="等线"/>
                <w:color w:val="FF0000"/>
              </w:rPr>
            </w:pPr>
            <w:r>
              <w:rPr>
                <w:rFonts w:hint="eastAsia"/>
              </w:rPr>
              <w:t>0.074</w:t>
            </w:r>
          </w:p>
        </w:tc>
        <w:tc>
          <w:tcPr>
            <w:tcW w:w="1045" w:type="dxa"/>
            <w:vAlign w:val="center"/>
          </w:tcPr>
          <w:p w14:paraId="0B83D14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5B006E14">
            <w:pPr>
              <w:pStyle w:val="557"/>
              <w:rPr>
                <w:rFonts w:eastAsia="等线"/>
                <w:color w:val="FF0000"/>
              </w:rPr>
            </w:pPr>
            <w:r>
              <w:rPr>
                <w:rFonts w:hint="eastAsia"/>
              </w:rPr>
              <w:t>0.059</w:t>
            </w:r>
          </w:p>
        </w:tc>
        <w:tc>
          <w:tcPr>
            <w:tcW w:w="0" w:type="auto"/>
            <w:vAlign w:val="center"/>
          </w:tcPr>
          <w:p w14:paraId="3A8BD49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2166E70B">
            <w:pPr>
              <w:pStyle w:val="557"/>
              <w:rPr>
                <w:rFonts w:eastAsia="等线"/>
                <w:color w:val="FF0000"/>
              </w:rPr>
            </w:pPr>
            <w:r>
              <w:rPr>
                <w:rFonts w:hint="eastAsia"/>
              </w:rPr>
              <w:t>0.062</w:t>
            </w:r>
          </w:p>
        </w:tc>
        <w:tc>
          <w:tcPr>
            <w:tcW w:w="0" w:type="auto"/>
            <w:vAlign w:val="center"/>
          </w:tcPr>
          <w:p w14:paraId="03BA4A1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1CB93DEF">
            <w:pPr>
              <w:pStyle w:val="557"/>
              <w:rPr>
                <w:rFonts w:eastAsia="等线"/>
                <w:color w:val="FF0000"/>
              </w:rPr>
            </w:pPr>
            <w:r>
              <w:rPr>
                <w:rFonts w:hint="eastAsia"/>
              </w:rPr>
              <w:t>0.062</w:t>
            </w:r>
          </w:p>
        </w:tc>
        <w:tc>
          <w:tcPr>
            <w:tcW w:w="0" w:type="auto"/>
            <w:vAlign w:val="center"/>
          </w:tcPr>
          <w:p w14:paraId="0989AAA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0" w:type="auto"/>
            <w:vAlign w:val="center"/>
          </w:tcPr>
          <w:p w14:paraId="0165992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38</w:t>
            </w:r>
          </w:p>
        </w:tc>
      </w:tr>
      <w:tr w14:paraId="55906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Align w:val="center"/>
          </w:tcPr>
          <w:p w14:paraId="1449CF03">
            <w:pPr>
              <w:jc w:val="center"/>
              <w:rPr>
                <w:rFonts w:hint="eastAsia"/>
                <w:color w:val="000000"/>
                <w:sz w:val="18"/>
                <w:szCs w:val="18"/>
              </w:rPr>
            </w:pPr>
            <w:r>
              <w:rPr>
                <w:rFonts w:hint="eastAsia"/>
                <w:color w:val="000000"/>
                <w:sz w:val="18"/>
                <w:szCs w:val="18"/>
              </w:rPr>
              <w:t>砷</w:t>
            </w:r>
          </w:p>
        </w:tc>
        <w:tc>
          <w:tcPr>
            <w:tcW w:w="1076" w:type="dxa"/>
            <w:vAlign w:val="center"/>
          </w:tcPr>
          <w:p w14:paraId="6E975F25">
            <w:pPr>
              <w:pStyle w:val="557"/>
              <w:rPr>
                <w:rFonts w:eastAsia="等线"/>
                <w:color w:val="FF0000"/>
              </w:rPr>
            </w:pPr>
            <w:r>
              <w:rPr>
                <w:rFonts w:hint="eastAsia"/>
              </w:rPr>
              <w:t>6.51</w:t>
            </w:r>
          </w:p>
        </w:tc>
        <w:tc>
          <w:tcPr>
            <w:tcW w:w="901" w:type="dxa"/>
            <w:vAlign w:val="center"/>
          </w:tcPr>
          <w:p w14:paraId="402A07B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0.108</w:t>
            </w:r>
          </w:p>
        </w:tc>
        <w:tc>
          <w:tcPr>
            <w:tcW w:w="1037" w:type="dxa"/>
            <w:vAlign w:val="center"/>
          </w:tcPr>
          <w:p w14:paraId="2776BDB1">
            <w:pPr>
              <w:pStyle w:val="557"/>
              <w:rPr>
                <w:rFonts w:eastAsia="等线"/>
                <w:color w:val="FF0000"/>
              </w:rPr>
            </w:pPr>
            <w:r>
              <w:rPr>
                <w:rFonts w:hint="eastAsia"/>
              </w:rPr>
              <w:t>5.36</w:t>
            </w:r>
          </w:p>
        </w:tc>
        <w:tc>
          <w:tcPr>
            <w:tcW w:w="0" w:type="auto"/>
            <w:vAlign w:val="center"/>
          </w:tcPr>
          <w:p w14:paraId="1157EA5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0.089</w:t>
            </w:r>
          </w:p>
        </w:tc>
        <w:tc>
          <w:tcPr>
            <w:tcW w:w="1037" w:type="dxa"/>
            <w:vAlign w:val="center"/>
          </w:tcPr>
          <w:p w14:paraId="74C610E6">
            <w:pPr>
              <w:pStyle w:val="557"/>
              <w:rPr>
                <w:rFonts w:eastAsia="等线"/>
                <w:color w:val="FF0000"/>
              </w:rPr>
            </w:pPr>
            <w:r>
              <w:rPr>
                <w:rFonts w:hint="eastAsia"/>
              </w:rPr>
              <w:t>7.44</w:t>
            </w:r>
          </w:p>
        </w:tc>
        <w:tc>
          <w:tcPr>
            <w:tcW w:w="1045" w:type="dxa"/>
            <w:vAlign w:val="center"/>
          </w:tcPr>
          <w:p w14:paraId="6D834D1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0.124</w:t>
            </w:r>
          </w:p>
        </w:tc>
        <w:tc>
          <w:tcPr>
            <w:tcW w:w="0" w:type="auto"/>
            <w:vAlign w:val="center"/>
          </w:tcPr>
          <w:p w14:paraId="6130C61D">
            <w:pPr>
              <w:pStyle w:val="557"/>
              <w:rPr>
                <w:rFonts w:eastAsia="等线"/>
                <w:color w:val="FF0000"/>
              </w:rPr>
            </w:pPr>
            <w:r>
              <w:rPr>
                <w:rFonts w:hint="eastAsia"/>
              </w:rPr>
              <w:t>5.31</w:t>
            </w:r>
          </w:p>
        </w:tc>
        <w:tc>
          <w:tcPr>
            <w:tcW w:w="0" w:type="auto"/>
            <w:vAlign w:val="center"/>
          </w:tcPr>
          <w:p w14:paraId="272D3C4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0.088</w:t>
            </w:r>
          </w:p>
        </w:tc>
        <w:tc>
          <w:tcPr>
            <w:tcW w:w="0" w:type="auto"/>
            <w:vAlign w:val="center"/>
          </w:tcPr>
          <w:p w14:paraId="0D6D2471">
            <w:pPr>
              <w:pStyle w:val="557"/>
              <w:rPr>
                <w:rFonts w:eastAsia="等线"/>
                <w:color w:val="FF0000"/>
              </w:rPr>
            </w:pPr>
            <w:r>
              <w:rPr>
                <w:rFonts w:hint="eastAsia"/>
              </w:rPr>
              <w:t>3.91</w:t>
            </w:r>
          </w:p>
        </w:tc>
        <w:tc>
          <w:tcPr>
            <w:tcW w:w="0" w:type="auto"/>
            <w:vAlign w:val="center"/>
          </w:tcPr>
          <w:p w14:paraId="2F1BB79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0.065</w:t>
            </w:r>
          </w:p>
        </w:tc>
        <w:tc>
          <w:tcPr>
            <w:tcW w:w="0" w:type="auto"/>
            <w:vAlign w:val="center"/>
          </w:tcPr>
          <w:p w14:paraId="555E68E7">
            <w:pPr>
              <w:pStyle w:val="557"/>
              <w:rPr>
                <w:rFonts w:eastAsia="等线"/>
                <w:color w:val="FF0000"/>
              </w:rPr>
            </w:pPr>
            <w:r>
              <w:rPr>
                <w:rFonts w:hint="eastAsia"/>
              </w:rPr>
              <w:t>4.96</w:t>
            </w:r>
          </w:p>
        </w:tc>
        <w:tc>
          <w:tcPr>
            <w:tcW w:w="0" w:type="auto"/>
            <w:vAlign w:val="center"/>
          </w:tcPr>
          <w:p w14:paraId="21EB525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0.082</w:t>
            </w:r>
          </w:p>
        </w:tc>
        <w:tc>
          <w:tcPr>
            <w:tcW w:w="0" w:type="auto"/>
            <w:vAlign w:val="center"/>
          </w:tcPr>
          <w:p w14:paraId="5BC2A71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60</w:t>
            </w:r>
          </w:p>
        </w:tc>
      </w:tr>
      <w:tr w14:paraId="4D2F5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Align w:val="center"/>
          </w:tcPr>
          <w:p w14:paraId="2068BCAD">
            <w:pPr>
              <w:jc w:val="center"/>
              <w:rPr>
                <w:rFonts w:hint="eastAsia"/>
                <w:color w:val="000000"/>
                <w:sz w:val="18"/>
                <w:szCs w:val="18"/>
              </w:rPr>
            </w:pPr>
            <w:r>
              <w:rPr>
                <w:rFonts w:hint="eastAsia"/>
                <w:color w:val="000000"/>
                <w:sz w:val="18"/>
                <w:szCs w:val="18"/>
              </w:rPr>
              <w:t>钴</w:t>
            </w:r>
          </w:p>
        </w:tc>
        <w:tc>
          <w:tcPr>
            <w:tcW w:w="1076" w:type="dxa"/>
            <w:vAlign w:val="center"/>
          </w:tcPr>
          <w:p w14:paraId="6D1B0D97">
            <w:pPr>
              <w:pStyle w:val="557"/>
              <w:rPr>
                <w:rFonts w:eastAsia="等线"/>
                <w:color w:val="FF0000"/>
              </w:rPr>
            </w:pPr>
            <w:r>
              <w:rPr>
                <w:rFonts w:hint="eastAsia"/>
              </w:rPr>
              <w:t>12</w:t>
            </w:r>
          </w:p>
        </w:tc>
        <w:tc>
          <w:tcPr>
            <w:tcW w:w="901" w:type="dxa"/>
            <w:vAlign w:val="center"/>
          </w:tcPr>
          <w:p w14:paraId="41E5446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0.171</w:t>
            </w:r>
          </w:p>
        </w:tc>
        <w:tc>
          <w:tcPr>
            <w:tcW w:w="1037" w:type="dxa"/>
            <w:vAlign w:val="center"/>
          </w:tcPr>
          <w:p w14:paraId="137E08A6">
            <w:pPr>
              <w:pStyle w:val="557"/>
              <w:rPr>
                <w:rFonts w:eastAsia="等线"/>
                <w:color w:val="FF0000"/>
              </w:rPr>
            </w:pPr>
            <w:r>
              <w:rPr>
                <w:rFonts w:hint="eastAsia"/>
              </w:rPr>
              <w:t>10</w:t>
            </w:r>
          </w:p>
        </w:tc>
        <w:tc>
          <w:tcPr>
            <w:tcW w:w="0" w:type="auto"/>
            <w:vAlign w:val="center"/>
          </w:tcPr>
          <w:p w14:paraId="651E8AF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0.142</w:t>
            </w:r>
          </w:p>
        </w:tc>
        <w:tc>
          <w:tcPr>
            <w:tcW w:w="1037" w:type="dxa"/>
            <w:vAlign w:val="center"/>
          </w:tcPr>
          <w:p w14:paraId="5FC6FF13">
            <w:pPr>
              <w:pStyle w:val="557"/>
              <w:rPr>
                <w:rFonts w:eastAsia="等线"/>
                <w:color w:val="FF0000"/>
              </w:rPr>
            </w:pPr>
            <w:r>
              <w:rPr>
                <w:rFonts w:hint="eastAsia"/>
              </w:rPr>
              <w:t>9</w:t>
            </w:r>
          </w:p>
        </w:tc>
        <w:tc>
          <w:tcPr>
            <w:tcW w:w="1045" w:type="dxa"/>
            <w:vAlign w:val="center"/>
          </w:tcPr>
          <w:p w14:paraId="70345CB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0.128</w:t>
            </w:r>
          </w:p>
        </w:tc>
        <w:tc>
          <w:tcPr>
            <w:tcW w:w="0" w:type="auto"/>
            <w:vAlign w:val="center"/>
          </w:tcPr>
          <w:p w14:paraId="23D57FAC">
            <w:pPr>
              <w:pStyle w:val="557"/>
              <w:rPr>
                <w:rFonts w:eastAsia="等线"/>
                <w:color w:val="FF0000"/>
              </w:rPr>
            </w:pPr>
            <w:r>
              <w:rPr>
                <w:rFonts w:hint="eastAsia"/>
              </w:rPr>
              <w:t>11</w:t>
            </w:r>
          </w:p>
        </w:tc>
        <w:tc>
          <w:tcPr>
            <w:tcW w:w="0" w:type="auto"/>
            <w:vAlign w:val="center"/>
          </w:tcPr>
          <w:p w14:paraId="508F9CF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0.157</w:t>
            </w:r>
          </w:p>
        </w:tc>
        <w:tc>
          <w:tcPr>
            <w:tcW w:w="0" w:type="auto"/>
            <w:vAlign w:val="center"/>
          </w:tcPr>
          <w:p w14:paraId="30855B0A">
            <w:pPr>
              <w:pStyle w:val="557"/>
              <w:rPr>
                <w:rFonts w:eastAsia="等线"/>
                <w:color w:val="FF0000"/>
              </w:rPr>
            </w:pPr>
            <w:r>
              <w:rPr>
                <w:rFonts w:hint="eastAsia"/>
              </w:rPr>
              <w:t>10</w:t>
            </w:r>
          </w:p>
        </w:tc>
        <w:tc>
          <w:tcPr>
            <w:tcW w:w="0" w:type="auto"/>
            <w:vAlign w:val="center"/>
          </w:tcPr>
          <w:p w14:paraId="0702680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0.142</w:t>
            </w:r>
          </w:p>
        </w:tc>
        <w:tc>
          <w:tcPr>
            <w:tcW w:w="0" w:type="auto"/>
            <w:vAlign w:val="center"/>
          </w:tcPr>
          <w:p w14:paraId="025D7C69">
            <w:pPr>
              <w:pStyle w:val="557"/>
              <w:rPr>
                <w:rFonts w:eastAsia="等线"/>
                <w:color w:val="FF0000"/>
              </w:rPr>
            </w:pPr>
            <w:r>
              <w:rPr>
                <w:rFonts w:hint="eastAsia"/>
              </w:rPr>
              <w:t>13</w:t>
            </w:r>
          </w:p>
        </w:tc>
        <w:tc>
          <w:tcPr>
            <w:tcW w:w="0" w:type="auto"/>
            <w:vAlign w:val="center"/>
          </w:tcPr>
          <w:p w14:paraId="577A6D8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0.185</w:t>
            </w:r>
          </w:p>
        </w:tc>
        <w:tc>
          <w:tcPr>
            <w:tcW w:w="0" w:type="auto"/>
            <w:vAlign w:val="center"/>
          </w:tcPr>
          <w:p w14:paraId="0EC8ECC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70</w:t>
            </w:r>
          </w:p>
        </w:tc>
      </w:tr>
      <w:tr w14:paraId="0B0EB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Align w:val="center"/>
          </w:tcPr>
          <w:p w14:paraId="2B9A6FE2">
            <w:pPr>
              <w:jc w:val="center"/>
              <w:rPr>
                <w:rFonts w:hint="eastAsia"/>
                <w:color w:val="000000"/>
                <w:sz w:val="18"/>
                <w:szCs w:val="18"/>
              </w:rPr>
            </w:pPr>
            <w:r>
              <w:rPr>
                <w:rFonts w:hint="eastAsia"/>
                <w:color w:val="000000"/>
                <w:sz w:val="18"/>
                <w:szCs w:val="18"/>
              </w:rPr>
              <w:t>苯并</w:t>
            </w:r>
            <w:r>
              <w:rPr>
                <w:rFonts w:ascii="Times New Roman" w:hAnsi="Times New Roman" w:cs="Times New Roman"/>
                <w:color w:val="000000"/>
                <w:sz w:val="18"/>
                <w:szCs w:val="18"/>
              </w:rPr>
              <w:t>[a]</w:t>
            </w:r>
            <w:r>
              <w:rPr>
                <w:rFonts w:hint="eastAsia"/>
                <w:color w:val="000000"/>
                <w:sz w:val="18"/>
                <w:szCs w:val="18"/>
              </w:rPr>
              <w:t>芘</w:t>
            </w:r>
          </w:p>
        </w:tc>
        <w:tc>
          <w:tcPr>
            <w:tcW w:w="1076" w:type="dxa"/>
            <w:vAlign w:val="center"/>
          </w:tcPr>
          <w:p w14:paraId="5EC30791">
            <w:pPr>
              <w:pStyle w:val="557"/>
              <w:rPr>
                <w:rFonts w:eastAsia="等线"/>
                <w:color w:val="FF0000"/>
              </w:rPr>
            </w:pPr>
            <w:r>
              <w:rPr>
                <w:rFonts w:hint="eastAsia"/>
              </w:rPr>
              <w:t>&lt;0.1</w:t>
            </w:r>
          </w:p>
        </w:tc>
        <w:tc>
          <w:tcPr>
            <w:tcW w:w="901" w:type="dxa"/>
            <w:vAlign w:val="center"/>
          </w:tcPr>
          <w:p w14:paraId="7B06370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387A7404">
            <w:pPr>
              <w:pStyle w:val="557"/>
              <w:rPr>
                <w:rFonts w:eastAsia="等线"/>
                <w:color w:val="FF0000"/>
              </w:rPr>
            </w:pPr>
            <w:r>
              <w:rPr>
                <w:rFonts w:hint="eastAsia"/>
              </w:rPr>
              <w:t>&lt;0.1</w:t>
            </w:r>
          </w:p>
        </w:tc>
        <w:tc>
          <w:tcPr>
            <w:tcW w:w="0" w:type="auto"/>
            <w:vAlign w:val="center"/>
          </w:tcPr>
          <w:p w14:paraId="4CC1A12F">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3B5158D9">
            <w:pPr>
              <w:pStyle w:val="557"/>
              <w:rPr>
                <w:rFonts w:eastAsia="等线"/>
                <w:color w:val="FF0000"/>
              </w:rPr>
            </w:pPr>
            <w:r>
              <w:rPr>
                <w:rFonts w:hint="eastAsia"/>
              </w:rPr>
              <w:t>&lt;0.1</w:t>
            </w:r>
          </w:p>
        </w:tc>
        <w:tc>
          <w:tcPr>
            <w:tcW w:w="1045" w:type="dxa"/>
            <w:vAlign w:val="center"/>
          </w:tcPr>
          <w:p w14:paraId="3ACA4F5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7E5222D4">
            <w:pPr>
              <w:pStyle w:val="557"/>
              <w:rPr>
                <w:rFonts w:eastAsia="等线"/>
                <w:color w:val="FF0000"/>
              </w:rPr>
            </w:pPr>
            <w:r>
              <w:rPr>
                <w:rFonts w:hint="eastAsia"/>
              </w:rPr>
              <w:t>&lt;0.1</w:t>
            </w:r>
          </w:p>
        </w:tc>
        <w:tc>
          <w:tcPr>
            <w:tcW w:w="0" w:type="auto"/>
            <w:vAlign w:val="center"/>
          </w:tcPr>
          <w:p w14:paraId="300F0CA3">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4C64992A">
            <w:pPr>
              <w:pStyle w:val="557"/>
              <w:rPr>
                <w:rFonts w:eastAsia="等线"/>
                <w:color w:val="FF0000"/>
              </w:rPr>
            </w:pPr>
            <w:r>
              <w:rPr>
                <w:rFonts w:hint="eastAsia"/>
              </w:rPr>
              <w:t>&lt;0.1</w:t>
            </w:r>
          </w:p>
        </w:tc>
        <w:tc>
          <w:tcPr>
            <w:tcW w:w="0" w:type="auto"/>
            <w:vAlign w:val="center"/>
          </w:tcPr>
          <w:p w14:paraId="4A54B2D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2E5D4F4D">
            <w:pPr>
              <w:pStyle w:val="557"/>
              <w:rPr>
                <w:rFonts w:eastAsia="等线"/>
                <w:color w:val="FF0000"/>
              </w:rPr>
            </w:pPr>
            <w:r>
              <w:rPr>
                <w:rFonts w:hint="eastAsia"/>
              </w:rPr>
              <w:t>&lt;0.1</w:t>
            </w:r>
          </w:p>
        </w:tc>
        <w:tc>
          <w:tcPr>
            <w:tcW w:w="0" w:type="auto"/>
            <w:vAlign w:val="center"/>
          </w:tcPr>
          <w:p w14:paraId="4CB8001C">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49E9026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1.5</w:t>
            </w:r>
          </w:p>
        </w:tc>
      </w:tr>
      <w:tr w14:paraId="71AF5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Align w:val="center"/>
          </w:tcPr>
          <w:p w14:paraId="4DB54039">
            <w:pPr>
              <w:jc w:val="center"/>
              <w:rPr>
                <w:rFonts w:hint="eastAsia"/>
                <w:color w:val="000000"/>
                <w:sz w:val="18"/>
                <w:szCs w:val="18"/>
              </w:rPr>
            </w:pPr>
            <w:r>
              <w:rPr>
                <w:rFonts w:hint="eastAsia"/>
                <w:color w:val="000000"/>
                <w:sz w:val="18"/>
                <w:szCs w:val="18"/>
              </w:rPr>
              <w:t>氰化物</w:t>
            </w:r>
          </w:p>
        </w:tc>
        <w:tc>
          <w:tcPr>
            <w:tcW w:w="1076" w:type="dxa"/>
            <w:vAlign w:val="center"/>
          </w:tcPr>
          <w:p w14:paraId="3D6DB5B5">
            <w:pPr>
              <w:pStyle w:val="557"/>
              <w:rPr>
                <w:rFonts w:eastAsia="等线"/>
                <w:color w:val="FF0000"/>
              </w:rPr>
            </w:pPr>
            <w:r>
              <w:rPr>
                <w:rFonts w:hint="eastAsia"/>
              </w:rPr>
              <w:t>&lt;0.01</w:t>
            </w:r>
          </w:p>
        </w:tc>
        <w:tc>
          <w:tcPr>
            <w:tcW w:w="901" w:type="dxa"/>
            <w:vAlign w:val="center"/>
          </w:tcPr>
          <w:p w14:paraId="34E0A2EB">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28D6D3C2">
            <w:pPr>
              <w:pStyle w:val="557"/>
              <w:rPr>
                <w:rFonts w:eastAsia="等线"/>
                <w:color w:val="FF0000"/>
              </w:rPr>
            </w:pPr>
            <w:r>
              <w:rPr>
                <w:rFonts w:hint="eastAsia"/>
              </w:rPr>
              <w:t>&lt;0.01</w:t>
            </w:r>
          </w:p>
        </w:tc>
        <w:tc>
          <w:tcPr>
            <w:tcW w:w="0" w:type="auto"/>
            <w:vAlign w:val="center"/>
          </w:tcPr>
          <w:p w14:paraId="548690C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496CA07F">
            <w:pPr>
              <w:pStyle w:val="557"/>
              <w:rPr>
                <w:rFonts w:eastAsia="等线"/>
                <w:color w:val="FF0000"/>
              </w:rPr>
            </w:pPr>
            <w:r>
              <w:rPr>
                <w:rFonts w:hint="eastAsia"/>
              </w:rPr>
              <w:t>&lt;0.01</w:t>
            </w:r>
          </w:p>
        </w:tc>
        <w:tc>
          <w:tcPr>
            <w:tcW w:w="1045" w:type="dxa"/>
            <w:vAlign w:val="center"/>
          </w:tcPr>
          <w:p w14:paraId="6755F430">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6785BD49">
            <w:pPr>
              <w:pStyle w:val="557"/>
              <w:rPr>
                <w:rFonts w:eastAsia="等线"/>
                <w:color w:val="FF0000"/>
              </w:rPr>
            </w:pPr>
            <w:r>
              <w:rPr>
                <w:rFonts w:hint="eastAsia"/>
              </w:rPr>
              <w:t>&lt;0.01</w:t>
            </w:r>
          </w:p>
        </w:tc>
        <w:tc>
          <w:tcPr>
            <w:tcW w:w="0" w:type="auto"/>
            <w:vAlign w:val="center"/>
          </w:tcPr>
          <w:p w14:paraId="10BB904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069AF02E">
            <w:pPr>
              <w:pStyle w:val="557"/>
              <w:rPr>
                <w:rFonts w:eastAsia="等线"/>
                <w:color w:val="FF0000"/>
              </w:rPr>
            </w:pPr>
            <w:r>
              <w:rPr>
                <w:rFonts w:hint="eastAsia"/>
              </w:rPr>
              <w:t>&lt;0.01</w:t>
            </w:r>
          </w:p>
        </w:tc>
        <w:tc>
          <w:tcPr>
            <w:tcW w:w="0" w:type="auto"/>
            <w:vAlign w:val="center"/>
          </w:tcPr>
          <w:p w14:paraId="00FCB5E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79DB4AA9">
            <w:pPr>
              <w:pStyle w:val="557"/>
              <w:rPr>
                <w:rFonts w:eastAsia="等线"/>
                <w:color w:val="FF0000"/>
              </w:rPr>
            </w:pPr>
            <w:r>
              <w:rPr>
                <w:rFonts w:hint="eastAsia"/>
              </w:rPr>
              <w:t>&lt;0.01</w:t>
            </w:r>
          </w:p>
        </w:tc>
        <w:tc>
          <w:tcPr>
            <w:tcW w:w="0" w:type="auto"/>
            <w:vAlign w:val="center"/>
          </w:tcPr>
          <w:p w14:paraId="6CCC3D3D">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0" w:type="auto"/>
            <w:vAlign w:val="center"/>
          </w:tcPr>
          <w:p w14:paraId="72563EA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135</w:t>
            </w:r>
          </w:p>
        </w:tc>
      </w:tr>
      <w:tr w14:paraId="3D6EE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674" w:type="dxa"/>
            <w:vAlign w:val="center"/>
          </w:tcPr>
          <w:p w14:paraId="6E31C144">
            <w:pPr>
              <w:jc w:val="center"/>
              <w:rPr>
                <w:rFonts w:hint="eastAsia"/>
                <w:color w:val="000000"/>
                <w:sz w:val="18"/>
                <w:szCs w:val="18"/>
              </w:rPr>
            </w:pPr>
            <w:r>
              <w:rPr>
                <w:rFonts w:hint="eastAsia"/>
                <w:color w:val="000000"/>
                <w:sz w:val="18"/>
                <w:szCs w:val="18"/>
              </w:rPr>
              <w:t>石油烃（</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10</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40</w:t>
            </w:r>
            <w:r>
              <w:rPr>
                <w:rFonts w:hint="eastAsia"/>
                <w:color w:val="000000"/>
                <w:sz w:val="18"/>
                <w:szCs w:val="18"/>
              </w:rPr>
              <w:t>）</w:t>
            </w:r>
          </w:p>
        </w:tc>
        <w:tc>
          <w:tcPr>
            <w:tcW w:w="1076" w:type="dxa"/>
            <w:vAlign w:val="center"/>
          </w:tcPr>
          <w:p w14:paraId="05D04884">
            <w:pPr>
              <w:pStyle w:val="557"/>
              <w:rPr>
                <w:rFonts w:eastAsia="等线"/>
                <w:color w:val="FF0000"/>
              </w:rPr>
            </w:pPr>
            <w:r>
              <w:rPr>
                <w:rFonts w:hint="eastAsia"/>
              </w:rPr>
              <w:t>40</w:t>
            </w:r>
          </w:p>
        </w:tc>
        <w:tc>
          <w:tcPr>
            <w:tcW w:w="901" w:type="dxa"/>
            <w:vAlign w:val="center"/>
          </w:tcPr>
          <w:p w14:paraId="227A985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0.008</w:t>
            </w:r>
          </w:p>
        </w:tc>
        <w:tc>
          <w:tcPr>
            <w:tcW w:w="1037" w:type="dxa"/>
            <w:vAlign w:val="center"/>
          </w:tcPr>
          <w:p w14:paraId="543317C6">
            <w:pPr>
              <w:pStyle w:val="557"/>
              <w:rPr>
                <w:rFonts w:eastAsia="等线"/>
                <w:color w:val="FF0000"/>
              </w:rPr>
            </w:pPr>
            <w:r>
              <w:rPr>
                <w:rFonts w:hint="eastAsia"/>
              </w:rPr>
              <w:t>33</w:t>
            </w:r>
          </w:p>
        </w:tc>
        <w:tc>
          <w:tcPr>
            <w:tcW w:w="0" w:type="auto"/>
            <w:vAlign w:val="center"/>
          </w:tcPr>
          <w:p w14:paraId="4723DC6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0.007</w:t>
            </w:r>
          </w:p>
        </w:tc>
        <w:tc>
          <w:tcPr>
            <w:tcW w:w="1037" w:type="dxa"/>
            <w:vAlign w:val="center"/>
          </w:tcPr>
          <w:p w14:paraId="45CBFEBD">
            <w:pPr>
              <w:pStyle w:val="557"/>
              <w:rPr>
                <w:rFonts w:eastAsia="等线"/>
                <w:color w:val="FF0000"/>
              </w:rPr>
            </w:pPr>
            <w:r>
              <w:rPr>
                <w:rFonts w:hint="eastAsia"/>
              </w:rPr>
              <w:t>21</w:t>
            </w:r>
          </w:p>
        </w:tc>
        <w:tc>
          <w:tcPr>
            <w:tcW w:w="1045" w:type="dxa"/>
            <w:vAlign w:val="center"/>
          </w:tcPr>
          <w:p w14:paraId="3DF87AE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0" w:type="auto"/>
            <w:vAlign w:val="center"/>
          </w:tcPr>
          <w:p w14:paraId="008F5BB1">
            <w:pPr>
              <w:pStyle w:val="557"/>
              <w:rPr>
                <w:rFonts w:eastAsia="等线"/>
                <w:color w:val="FF0000"/>
              </w:rPr>
            </w:pPr>
            <w:r>
              <w:rPr>
                <w:rFonts w:hint="eastAsia"/>
              </w:rPr>
              <w:t>39</w:t>
            </w:r>
          </w:p>
        </w:tc>
        <w:tc>
          <w:tcPr>
            <w:tcW w:w="0" w:type="auto"/>
            <w:vAlign w:val="center"/>
          </w:tcPr>
          <w:p w14:paraId="16BD472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0.008</w:t>
            </w:r>
          </w:p>
        </w:tc>
        <w:tc>
          <w:tcPr>
            <w:tcW w:w="0" w:type="auto"/>
            <w:vAlign w:val="center"/>
          </w:tcPr>
          <w:p w14:paraId="765E8ECF">
            <w:pPr>
              <w:pStyle w:val="557"/>
              <w:rPr>
                <w:rFonts w:eastAsia="等线"/>
                <w:color w:val="FF0000"/>
              </w:rPr>
            </w:pPr>
            <w:r>
              <w:rPr>
                <w:rFonts w:hint="eastAsia"/>
              </w:rPr>
              <w:t>29</w:t>
            </w:r>
          </w:p>
        </w:tc>
        <w:tc>
          <w:tcPr>
            <w:tcW w:w="0" w:type="auto"/>
            <w:vAlign w:val="center"/>
          </w:tcPr>
          <w:p w14:paraId="24998E0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0.006</w:t>
            </w:r>
          </w:p>
        </w:tc>
        <w:tc>
          <w:tcPr>
            <w:tcW w:w="0" w:type="auto"/>
            <w:vAlign w:val="center"/>
          </w:tcPr>
          <w:p w14:paraId="31EA774A">
            <w:pPr>
              <w:pStyle w:val="557"/>
              <w:rPr>
                <w:rFonts w:eastAsia="等线"/>
                <w:color w:val="FF0000"/>
              </w:rPr>
            </w:pPr>
            <w:r>
              <w:rPr>
                <w:rFonts w:hint="eastAsia"/>
              </w:rPr>
              <w:t>17</w:t>
            </w:r>
          </w:p>
        </w:tc>
        <w:tc>
          <w:tcPr>
            <w:tcW w:w="0" w:type="auto"/>
            <w:vAlign w:val="center"/>
          </w:tcPr>
          <w:p w14:paraId="0AEF161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0.003</w:t>
            </w:r>
          </w:p>
        </w:tc>
        <w:tc>
          <w:tcPr>
            <w:tcW w:w="0" w:type="auto"/>
            <w:vAlign w:val="center"/>
          </w:tcPr>
          <w:p w14:paraId="112E6F4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4500</w:t>
            </w:r>
          </w:p>
        </w:tc>
      </w:tr>
    </w:tbl>
    <w:p w14:paraId="6356139D">
      <w:pPr>
        <w:pStyle w:val="541"/>
        <w:rPr>
          <w:rFonts w:hint="eastAsia"/>
        </w:rPr>
      </w:pPr>
      <w:r>
        <w:rPr>
          <w:rFonts w:hint="eastAsia"/>
          <w:color w:val="000000" w:themeColor="text1"/>
          <w14:textFill>
            <w14:solidFill>
              <w14:schemeClr w14:val="tx1"/>
            </w14:solidFill>
          </w14:textFill>
        </w:rPr>
        <w:t>表4.3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厂界内柱状土壤特征因子监测结果</w:t>
      </w:r>
      <w:r>
        <w:rPr>
          <w:rFonts w:hint="eastAsia"/>
        </w:rPr>
        <w:t>一览表</w:t>
      </w:r>
    </w:p>
    <w:tbl>
      <w:tblPr>
        <w:tblStyle w:val="65"/>
        <w:tblW w:w="141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1"/>
        <w:gridCol w:w="1037"/>
        <w:gridCol w:w="809"/>
        <w:gridCol w:w="1038"/>
        <w:gridCol w:w="826"/>
        <w:gridCol w:w="1037"/>
        <w:gridCol w:w="848"/>
        <w:gridCol w:w="1070"/>
        <w:gridCol w:w="890"/>
        <w:gridCol w:w="1069"/>
        <w:gridCol w:w="972"/>
        <w:gridCol w:w="1038"/>
        <w:gridCol w:w="1161"/>
        <w:gridCol w:w="679"/>
      </w:tblGrid>
      <w:tr w14:paraId="23115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783B4E17">
            <w:pPr>
              <w:jc w:val="center"/>
              <w:rPr>
                <w:rFonts w:hint="eastAsia"/>
                <w:color w:val="000000"/>
                <w:sz w:val="18"/>
                <w:szCs w:val="18"/>
              </w:rPr>
            </w:pPr>
            <w:r>
              <w:rPr>
                <w:rFonts w:hint="eastAsia"/>
                <w:color w:val="000000"/>
                <w:sz w:val="18"/>
                <w:szCs w:val="18"/>
              </w:rPr>
              <w:t>监测点</w:t>
            </w:r>
          </w:p>
        </w:tc>
        <w:tc>
          <w:tcPr>
            <w:tcW w:w="5595" w:type="dxa"/>
            <w:gridSpan w:val="6"/>
            <w:vAlign w:val="center"/>
          </w:tcPr>
          <w:p w14:paraId="162FC351">
            <w:pPr>
              <w:jc w:val="center"/>
              <w:rPr>
                <w:rFonts w:hint="eastAsia"/>
                <w:color w:val="000000"/>
                <w:sz w:val="18"/>
                <w:szCs w:val="18"/>
              </w:rPr>
            </w:pPr>
            <w:r>
              <w:rPr>
                <w:rFonts w:hint="eastAsia"/>
                <w:color w:val="000000"/>
                <w:sz w:val="18"/>
                <w:szCs w:val="18"/>
              </w:rPr>
              <w:t>厂界内</w:t>
            </w:r>
            <w:r>
              <w:rPr>
                <w:rFonts w:ascii="Times New Roman" w:hAnsi="Times New Roman" w:cs="Times New Roman"/>
                <w:color w:val="000000"/>
                <w:sz w:val="18"/>
                <w:szCs w:val="18"/>
              </w:rPr>
              <w:t>4#</w:t>
            </w:r>
            <w:r>
              <w:rPr>
                <w:rFonts w:hint="eastAsia"/>
                <w:color w:val="000000"/>
                <w:sz w:val="18"/>
                <w:szCs w:val="18"/>
              </w:rPr>
              <w:t>柱状样</w:t>
            </w:r>
          </w:p>
        </w:tc>
        <w:tc>
          <w:tcPr>
            <w:tcW w:w="6200" w:type="dxa"/>
            <w:gridSpan w:val="6"/>
            <w:vAlign w:val="center"/>
          </w:tcPr>
          <w:p w14:paraId="4164B0C0">
            <w:pPr>
              <w:jc w:val="center"/>
              <w:rPr>
                <w:rFonts w:hint="eastAsia"/>
                <w:color w:val="000000"/>
                <w:sz w:val="18"/>
                <w:szCs w:val="18"/>
              </w:rPr>
            </w:pPr>
            <w:r>
              <w:rPr>
                <w:rFonts w:hint="eastAsia"/>
                <w:color w:val="000000"/>
                <w:sz w:val="18"/>
                <w:szCs w:val="18"/>
              </w:rPr>
              <w:t>厂界内</w:t>
            </w:r>
            <w:r>
              <w:rPr>
                <w:rFonts w:ascii="Times New Roman" w:hAnsi="Times New Roman" w:cs="Times New Roman"/>
                <w:color w:val="000000"/>
                <w:sz w:val="18"/>
                <w:szCs w:val="18"/>
              </w:rPr>
              <w:t>5#</w:t>
            </w:r>
            <w:r>
              <w:rPr>
                <w:rFonts w:hint="eastAsia"/>
                <w:color w:val="000000"/>
                <w:sz w:val="18"/>
                <w:szCs w:val="18"/>
              </w:rPr>
              <w:t>柱状样</w:t>
            </w:r>
          </w:p>
        </w:tc>
        <w:tc>
          <w:tcPr>
            <w:tcW w:w="679" w:type="dxa"/>
            <w:vMerge w:val="restart"/>
            <w:vAlign w:val="center"/>
          </w:tcPr>
          <w:p w14:paraId="4EDD83AD">
            <w:pPr>
              <w:jc w:val="center"/>
              <w:rPr>
                <w:rFonts w:hint="eastAsia"/>
                <w:color w:val="000000"/>
                <w:sz w:val="18"/>
                <w:szCs w:val="18"/>
              </w:rPr>
            </w:pPr>
            <w:r>
              <w:rPr>
                <w:rFonts w:hint="eastAsia"/>
                <w:color w:val="000000"/>
                <w:sz w:val="18"/>
                <w:szCs w:val="18"/>
              </w:rPr>
              <w:t>标准值</w:t>
            </w:r>
          </w:p>
        </w:tc>
      </w:tr>
      <w:tr w14:paraId="59A7F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Merge w:val="restart"/>
            <w:noWrap/>
            <w:vAlign w:val="center"/>
          </w:tcPr>
          <w:p w14:paraId="6BBA00D1">
            <w:pPr>
              <w:jc w:val="center"/>
              <w:rPr>
                <w:rFonts w:hint="eastAsia"/>
                <w:color w:val="000000"/>
                <w:sz w:val="18"/>
                <w:szCs w:val="18"/>
              </w:rPr>
            </w:pPr>
            <w:r>
              <w:rPr>
                <w:rFonts w:hint="eastAsia"/>
                <w:color w:val="000000"/>
                <w:sz w:val="18"/>
                <w:szCs w:val="18"/>
              </w:rPr>
              <w:t>采样深度（</w:t>
            </w:r>
            <w:r>
              <w:rPr>
                <w:rFonts w:ascii="Times New Roman" w:hAnsi="Times New Roman" w:cs="Times New Roman"/>
                <w:color w:val="000000"/>
                <w:sz w:val="18"/>
                <w:szCs w:val="18"/>
              </w:rPr>
              <w:t>cm</w:t>
            </w:r>
            <w:r>
              <w:rPr>
                <w:rFonts w:hint="eastAsia"/>
                <w:color w:val="000000"/>
                <w:sz w:val="18"/>
                <w:szCs w:val="18"/>
              </w:rPr>
              <w:t>）</w:t>
            </w:r>
          </w:p>
        </w:tc>
        <w:tc>
          <w:tcPr>
            <w:tcW w:w="1846" w:type="dxa"/>
            <w:gridSpan w:val="2"/>
            <w:vAlign w:val="center"/>
          </w:tcPr>
          <w:p w14:paraId="59BE314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0-50</w:t>
            </w:r>
          </w:p>
        </w:tc>
        <w:tc>
          <w:tcPr>
            <w:tcW w:w="1864" w:type="dxa"/>
            <w:gridSpan w:val="2"/>
            <w:vAlign w:val="center"/>
          </w:tcPr>
          <w:p w14:paraId="7076866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50-150</w:t>
            </w:r>
          </w:p>
        </w:tc>
        <w:tc>
          <w:tcPr>
            <w:tcW w:w="1885" w:type="dxa"/>
            <w:gridSpan w:val="2"/>
            <w:vAlign w:val="center"/>
          </w:tcPr>
          <w:p w14:paraId="0E0E198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150-300</w:t>
            </w:r>
          </w:p>
        </w:tc>
        <w:tc>
          <w:tcPr>
            <w:tcW w:w="1960" w:type="dxa"/>
            <w:gridSpan w:val="2"/>
            <w:vAlign w:val="center"/>
          </w:tcPr>
          <w:p w14:paraId="4DF6CF5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0-50</w:t>
            </w:r>
          </w:p>
        </w:tc>
        <w:tc>
          <w:tcPr>
            <w:tcW w:w="2041" w:type="dxa"/>
            <w:gridSpan w:val="2"/>
            <w:vAlign w:val="center"/>
          </w:tcPr>
          <w:p w14:paraId="107C773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50-150</w:t>
            </w:r>
          </w:p>
        </w:tc>
        <w:tc>
          <w:tcPr>
            <w:tcW w:w="2199" w:type="dxa"/>
            <w:gridSpan w:val="2"/>
            <w:vAlign w:val="center"/>
          </w:tcPr>
          <w:p w14:paraId="11F697E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150-300</w:t>
            </w:r>
          </w:p>
        </w:tc>
        <w:tc>
          <w:tcPr>
            <w:tcW w:w="679" w:type="dxa"/>
            <w:vMerge w:val="continue"/>
            <w:vAlign w:val="center"/>
          </w:tcPr>
          <w:p w14:paraId="3C2E5CB9">
            <w:pPr>
              <w:jc w:val="center"/>
              <w:rPr>
                <w:rFonts w:hint="eastAsia"/>
                <w:color w:val="000000"/>
                <w:sz w:val="18"/>
                <w:szCs w:val="18"/>
              </w:rPr>
            </w:pPr>
          </w:p>
        </w:tc>
      </w:tr>
      <w:tr w14:paraId="6D1D8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Merge w:val="continue"/>
            <w:vAlign w:val="center"/>
          </w:tcPr>
          <w:p w14:paraId="1C9FC4A8">
            <w:pPr>
              <w:jc w:val="center"/>
              <w:rPr>
                <w:rFonts w:hint="eastAsia"/>
                <w:color w:val="000000"/>
                <w:sz w:val="18"/>
                <w:szCs w:val="18"/>
              </w:rPr>
            </w:pPr>
          </w:p>
        </w:tc>
        <w:tc>
          <w:tcPr>
            <w:tcW w:w="1037" w:type="dxa"/>
            <w:vAlign w:val="center"/>
          </w:tcPr>
          <w:p w14:paraId="3848145C">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809" w:type="dxa"/>
            <w:vAlign w:val="center"/>
          </w:tcPr>
          <w:p w14:paraId="4041D12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8" w:type="dxa"/>
            <w:vAlign w:val="center"/>
          </w:tcPr>
          <w:p w14:paraId="3801CD2A">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826" w:type="dxa"/>
            <w:vAlign w:val="center"/>
          </w:tcPr>
          <w:p w14:paraId="382891B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7" w:type="dxa"/>
            <w:vAlign w:val="center"/>
          </w:tcPr>
          <w:p w14:paraId="076BAC19">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848" w:type="dxa"/>
            <w:vAlign w:val="center"/>
          </w:tcPr>
          <w:p w14:paraId="48B5E38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70" w:type="dxa"/>
            <w:vAlign w:val="center"/>
          </w:tcPr>
          <w:p w14:paraId="04E728A3">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890" w:type="dxa"/>
            <w:vAlign w:val="center"/>
          </w:tcPr>
          <w:p w14:paraId="330EA03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69" w:type="dxa"/>
            <w:vAlign w:val="center"/>
          </w:tcPr>
          <w:p w14:paraId="53258E96">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972" w:type="dxa"/>
            <w:vAlign w:val="center"/>
          </w:tcPr>
          <w:p w14:paraId="62DBEF3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8" w:type="dxa"/>
            <w:vAlign w:val="center"/>
          </w:tcPr>
          <w:p w14:paraId="2A746825">
            <w:pPr>
              <w:jc w:val="center"/>
              <w:rPr>
                <w:rFonts w:hint="eastAsia"/>
                <w:color w:val="000000"/>
                <w:sz w:val="18"/>
                <w:szCs w:val="18"/>
              </w:rPr>
            </w:pPr>
            <w:r>
              <w:rPr>
                <w:rFonts w:hint="eastAsia"/>
                <w:color w:val="000000"/>
                <w:sz w:val="18"/>
                <w:szCs w:val="18"/>
              </w:rPr>
              <w:t>监测值（</w:t>
            </w:r>
            <w:r>
              <w:rPr>
                <w:rFonts w:ascii="Times New Roman" w:hAnsi="Times New Roman" w:cs="Times New Roman"/>
                <w:color w:val="000000"/>
                <w:sz w:val="18"/>
                <w:szCs w:val="18"/>
              </w:rPr>
              <w:t>mg/kg</w:t>
            </w:r>
            <w:r>
              <w:rPr>
                <w:rFonts w:hint="eastAsia"/>
                <w:color w:val="000000"/>
                <w:sz w:val="18"/>
                <w:szCs w:val="18"/>
              </w:rPr>
              <w:t>）</w:t>
            </w:r>
          </w:p>
        </w:tc>
        <w:tc>
          <w:tcPr>
            <w:tcW w:w="1161" w:type="dxa"/>
            <w:vAlign w:val="center"/>
          </w:tcPr>
          <w:p w14:paraId="4ECC2D8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679" w:type="dxa"/>
            <w:vMerge w:val="continue"/>
            <w:vAlign w:val="center"/>
          </w:tcPr>
          <w:p w14:paraId="09FA9472">
            <w:pPr>
              <w:jc w:val="center"/>
              <w:rPr>
                <w:rFonts w:hint="eastAsia"/>
                <w:color w:val="000000"/>
                <w:sz w:val="18"/>
                <w:szCs w:val="18"/>
              </w:rPr>
            </w:pPr>
          </w:p>
        </w:tc>
      </w:tr>
      <w:tr w14:paraId="099D9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1FC74E9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pH</w:t>
            </w:r>
          </w:p>
        </w:tc>
        <w:tc>
          <w:tcPr>
            <w:tcW w:w="1037" w:type="dxa"/>
            <w:vAlign w:val="center"/>
          </w:tcPr>
          <w:p w14:paraId="3C1FC4A9">
            <w:pPr>
              <w:pStyle w:val="557"/>
              <w:rPr>
                <w:rFonts w:eastAsia="等线"/>
                <w:color w:val="FF0000"/>
              </w:rPr>
            </w:pPr>
            <w:r>
              <w:rPr>
                <w:rFonts w:hint="eastAsia"/>
              </w:rPr>
              <w:t>7.64</w:t>
            </w:r>
          </w:p>
        </w:tc>
        <w:tc>
          <w:tcPr>
            <w:tcW w:w="809" w:type="dxa"/>
            <w:vAlign w:val="center"/>
          </w:tcPr>
          <w:p w14:paraId="29C86941">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087A9EA2">
            <w:pPr>
              <w:pStyle w:val="557"/>
              <w:rPr>
                <w:rFonts w:eastAsia="等线"/>
                <w:color w:val="FF0000"/>
              </w:rPr>
            </w:pPr>
            <w:r>
              <w:rPr>
                <w:rFonts w:hint="eastAsia"/>
              </w:rPr>
              <w:t>7.62</w:t>
            </w:r>
          </w:p>
        </w:tc>
        <w:tc>
          <w:tcPr>
            <w:tcW w:w="826" w:type="dxa"/>
            <w:vAlign w:val="center"/>
          </w:tcPr>
          <w:p w14:paraId="63247348">
            <w:pPr>
              <w:jc w:val="center"/>
              <w:rPr>
                <w:rFonts w:ascii="Times New Roman" w:hAnsi="Times New Roman" w:eastAsia="等线" w:cs="Times New Roman"/>
                <w:color w:val="FF0000"/>
                <w:sz w:val="18"/>
                <w:szCs w:val="18"/>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vAlign w:val="center"/>
          </w:tcPr>
          <w:p w14:paraId="08678779">
            <w:pPr>
              <w:pStyle w:val="557"/>
              <w:rPr>
                <w:rFonts w:eastAsia="等线"/>
                <w:color w:val="FF0000"/>
              </w:rPr>
            </w:pPr>
            <w:r>
              <w:rPr>
                <w:rFonts w:hint="eastAsia"/>
              </w:rPr>
              <w:t>7.59</w:t>
            </w:r>
          </w:p>
        </w:tc>
        <w:tc>
          <w:tcPr>
            <w:tcW w:w="848" w:type="dxa"/>
            <w:vAlign w:val="center"/>
          </w:tcPr>
          <w:p w14:paraId="06C4D92B">
            <w:pPr>
              <w:jc w:val="center"/>
              <w:rPr>
                <w:rFonts w:ascii="Times New Roman" w:hAnsi="Times New Roman" w:eastAsia="等线" w:cs="Times New Roman"/>
                <w:color w:val="FF0000"/>
                <w:sz w:val="18"/>
                <w:szCs w:val="18"/>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70" w:type="dxa"/>
            <w:vAlign w:val="center"/>
          </w:tcPr>
          <w:p w14:paraId="48CC008A">
            <w:pPr>
              <w:pStyle w:val="557"/>
              <w:rPr>
                <w:rFonts w:eastAsia="等线"/>
              </w:rPr>
            </w:pPr>
            <w:r>
              <w:rPr>
                <w:rFonts w:hint="eastAsia"/>
              </w:rPr>
              <w:t>7.89</w:t>
            </w:r>
          </w:p>
        </w:tc>
        <w:tc>
          <w:tcPr>
            <w:tcW w:w="890" w:type="dxa"/>
            <w:vAlign w:val="center"/>
          </w:tcPr>
          <w:p w14:paraId="553D97A2">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69" w:type="dxa"/>
            <w:vAlign w:val="center"/>
          </w:tcPr>
          <w:p w14:paraId="36EEF21A">
            <w:pPr>
              <w:pStyle w:val="557"/>
              <w:rPr>
                <w:rFonts w:eastAsia="等线"/>
              </w:rPr>
            </w:pPr>
            <w:r>
              <w:rPr>
                <w:rFonts w:hint="eastAsia"/>
              </w:rPr>
              <w:t>8.19</w:t>
            </w:r>
          </w:p>
        </w:tc>
        <w:tc>
          <w:tcPr>
            <w:tcW w:w="972" w:type="dxa"/>
            <w:vAlign w:val="center"/>
          </w:tcPr>
          <w:p w14:paraId="07CA9788">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0223E5D8">
            <w:pPr>
              <w:pStyle w:val="557"/>
              <w:rPr>
                <w:rFonts w:eastAsia="等线"/>
              </w:rPr>
            </w:pPr>
            <w:r>
              <w:rPr>
                <w:rFonts w:hint="eastAsia"/>
              </w:rPr>
              <w:t>8.23</w:t>
            </w:r>
          </w:p>
        </w:tc>
        <w:tc>
          <w:tcPr>
            <w:tcW w:w="1161" w:type="dxa"/>
            <w:vAlign w:val="center"/>
          </w:tcPr>
          <w:p w14:paraId="3635541B">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79" w:type="dxa"/>
            <w:vAlign w:val="center"/>
          </w:tcPr>
          <w:p w14:paraId="36E851F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w:t>
            </w:r>
          </w:p>
        </w:tc>
      </w:tr>
      <w:tr w14:paraId="6E00A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7DB0D10E">
            <w:pPr>
              <w:jc w:val="center"/>
              <w:rPr>
                <w:rFonts w:hint="eastAsia"/>
                <w:color w:val="000000"/>
                <w:sz w:val="18"/>
                <w:szCs w:val="18"/>
              </w:rPr>
            </w:pPr>
            <w:r>
              <w:rPr>
                <w:rFonts w:hint="eastAsia"/>
                <w:color w:val="000000"/>
                <w:sz w:val="18"/>
                <w:szCs w:val="18"/>
              </w:rPr>
              <w:t>铜</w:t>
            </w:r>
          </w:p>
        </w:tc>
        <w:tc>
          <w:tcPr>
            <w:tcW w:w="1037" w:type="dxa"/>
            <w:vAlign w:val="center"/>
          </w:tcPr>
          <w:p w14:paraId="0350F835">
            <w:pPr>
              <w:pStyle w:val="557"/>
              <w:rPr>
                <w:rFonts w:eastAsia="等线"/>
                <w:color w:val="FF0000"/>
              </w:rPr>
            </w:pPr>
            <w:r>
              <w:rPr>
                <w:rFonts w:hint="eastAsia"/>
              </w:rPr>
              <w:t>12</w:t>
            </w:r>
          </w:p>
        </w:tc>
        <w:tc>
          <w:tcPr>
            <w:tcW w:w="809" w:type="dxa"/>
            <w:vAlign w:val="center"/>
          </w:tcPr>
          <w:p w14:paraId="544EAEF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1038" w:type="dxa"/>
            <w:vAlign w:val="center"/>
          </w:tcPr>
          <w:p w14:paraId="699A3B67">
            <w:pPr>
              <w:pStyle w:val="557"/>
              <w:rPr>
                <w:rFonts w:eastAsia="等线"/>
                <w:color w:val="FF0000"/>
              </w:rPr>
            </w:pPr>
            <w:r>
              <w:rPr>
                <w:rFonts w:hint="eastAsia"/>
              </w:rPr>
              <w:t>10</w:t>
            </w:r>
          </w:p>
        </w:tc>
        <w:tc>
          <w:tcPr>
            <w:tcW w:w="826" w:type="dxa"/>
            <w:vAlign w:val="center"/>
          </w:tcPr>
          <w:p w14:paraId="5CE5C5D1">
            <w:pPr>
              <w:pStyle w:val="557"/>
            </w:pPr>
            <w:r>
              <w:t>0.0005</w:t>
            </w:r>
          </w:p>
        </w:tc>
        <w:tc>
          <w:tcPr>
            <w:tcW w:w="1037" w:type="dxa"/>
            <w:vAlign w:val="center"/>
          </w:tcPr>
          <w:p w14:paraId="75E2D63D">
            <w:pPr>
              <w:pStyle w:val="557"/>
              <w:rPr>
                <w:rFonts w:eastAsia="等线"/>
                <w:color w:val="FF0000"/>
              </w:rPr>
            </w:pPr>
            <w:r>
              <w:rPr>
                <w:rFonts w:hint="eastAsia"/>
              </w:rPr>
              <w:t>15</w:t>
            </w:r>
          </w:p>
        </w:tc>
        <w:tc>
          <w:tcPr>
            <w:tcW w:w="848" w:type="dxa"/>
            <w:vAlign w:val="center"/>
          </w:tcPr>
          <w:p w14:paraId="1A41D0E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0.0008</w:t>
            </w:r>
          </w:p>
        </w:tc>
        <w:tc>
          <w:tcPr>
            <w:tcW w:w="1070" w:type="dxa"/>
            <w:vAlign w:val="center"/>
          </w:tcPr>
          <w:p w14:paraId="69F819BD">
            <w:pPr>
              <w:pStyle w:val="557"/>
              <w:rPr>
                <w:rFonts w:eastAsia="等线"/>
                <w:color w:val="FF0000"/>
              </w:rPr>
            </w:pPr>
            <w:r>
              <w:rPr>
                <w:rFonts w:hint="eastAsia"/>
              </w:rPr>
              <w:t>11</w:t>
            </w:r>
          </w:p>
        </w:tc>
        <w:tc>
          <w:tcPr>
            <w:tcW w:w="890" w:type="dxa"/>
            <w:vAlign w:val="center"/>
          </w:tcPr>
          <w:p w14:paraId="6E00501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1069" w:type="dxa"/>
            <w:vAlign w:val="center"/>
          </w:tcPr>
          <w:p w14:paraId="1D0E23F5">
            <w:pPr>
              <w:pStyle w:val="557"/>
              <w:rPr>
                <w:rFonts w:eastAsia="等线"/>
              </w:rPr>
            </w:pPr>
            <w:r>
              <w:rPr>
                <w:rFonts w:hint="eastAsia"/>
              </w:rPr>
              <w:t>13</w:t>
            </w:r>
          </w:p>
        </w:tc>
        <w:tc>
          <w:tcPr>
            <w:tcW w:w="972" w:type="dxa"/>
            <w:vAlign w:val="center"/>
          </w:tcPr>
          <w:p w14:paraId="4286232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038" w:type="dxa"/>
            <w:vAlign w:val="center"/>
          </w:tcPr>
          <w:p w14:paraId="2EFE7A83">
            <w:pPr>
              <w:pStyle w:val="557"/>
              <w:rPr>
                <w:rFonts w:eastAsia="等线"/>
              </w:rPr>
            </w:pPr>
            <w:r>
              <w:rPr>
                <w:rFonts w:hint="eastAsia"/>
              </w:rPr>
              <w:t>14</w:t>
            </w:r>
          </w:p>
        </w:tc>
        <w:tc>
          <w:tcPr>
            <w:tcW w:w="1161" w:type="dxa"/>
            <w:vAlign w:val="center"/>
          </w:tcPr>
          <w:p w14:paraId="73AEBF0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679" w:type="dxa"/>
            <w:vAlign w:val="center"/>
          </w:tcPr>
          <w:p w14:paraId="11E3DF7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18000</w:t>
            </w:r>
          </w:p>
        </w:tc>
      </w:tr>
      <w:tr w14:paraId="1E785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2988C78F">
            <w:pPr>
              <w:jc w:val="center"/>
              <w:rPr>
                <w:rFonts w:hint="eastAsia"/>
                <w:color w:val="000000"/>
                <w:sz w:val="18"/>
                <w:szCs w:val="18"/>
              </w:rPr>
            </w:pPr>
            <w:r>
              <w:rPr>
                <w:rFonts w:hint="eastAsia"/>
                <w:color w:val="000000"/>
                <w:sz w:val="18"/>
                <w:szCs w:val="18"/>
              </w:rPr>
              <w:t>镍</w:t>
            </w:r>
          </w:p>
        </w:tc>
        <w:tc>
          <w:tcPr>
            <w:tcW w:w="1037" w:type="dxa"/>
            <w:vAlign w:val="center"/>
          </w:tcPr>
          <w:p w14:paraId="7F5C9495">
            <w:pPr>
              <w:pStyle w:val="557"/>
              <w:rPr>
                <w:rFonts w:eastAsia="等线"/>
                <w:color w:val="FF0000"/>
              </w:rPr>
            </w:pPr>
            <w:r>
              <w:rPr>
                <w:rFonts w:hint="eastAsia"/>
              </w:rPr>
              <w:t>12</w:t>
            </w:r>
          </w:p>
        </w:tc>
        <w:tc>
          <w:tcPr>
            <w:tcW w:w="809" w:type="dxa"/>
            <w:vAlign w:val="center"/>
          </w:tcPr>
          <w:p w14:paraId="1DBD1DF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0.013</w:t>
            </w:r>
          </w:p>
        </w:tc>
        <w:tc>
          <w:tcPr>
            <w:tcW w:w="1038" w:type="dxa"/>
            <w:vAlign w:val="center"/>
          </w:tcPr>
          <w:p w14:paraId="7B32DCFF">
            <w:pPr>
              <w:pStyle w:val="557"/>
              <w:rPr>
                <w:rFonts w:eastAsia="等线"/>
                <w:color w:val="FF0000"/>
              </w:rPr>
            </w:pPr>
            <w:r>
              <w:rPr>
                <w:rFonts w:hint="eastAsia"/>
              </w:rPr>
              <w:t>12</w:t>
            </w:r>
          </w:p>
        </w:tc>
        <w:tc>
          <w:tcPr>
            <w:tcW w:w="826" w:type="dxa"/>
            <w:vAlign w:val="center"/>
          </w:tcPr>
          <w:p w14:paraId="69552E27">
            <w:pPr>
              <w:pStyle w:val="557"/>
            </w:pPr>
            <w:r>
              <w:t>0.0133</w:t>
            </w:r>
          </w:p>
        </w:tc>
        <w:tc>
          <w:tcPr>
            <w:tcW w:w="1037" w:type="dxa"/>
            <w:vAlign w:val="center"/>
          </w:tcPr>
          <w:p w14:paraId="03D87067">
            <w:pPr>
              <w:pStyle w:val="557"/>
              <w:rPr>
                <w:rFonts w:eastAsia="等线"/>
                <w:color w:val="FF0000"/>
              </w:rPr>
            </w:pPr>
            <w:r>
              <w:rPr>
                <w:rFonts w:hint="eastAsia"/>
              </w:rPr>
              <w:t>21</w:t>
            </w:r>
          </w:p>
        </w:tc>
        <w:tc>
          <w:tcPr>
            <w:tcW w:w="848" w:type="dxa"/>
            <w:vAlign w:val="center"/>
          </w:tcPr>
          <w:p w14:paraId="215CD7E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0.023</w:t>
            </w:r>
          </w:p>
        </w:tc>
        <w:tc>
          <w:tcPr>
            <w:tcW w:w="1070" w:type="dxa"/>
            <w:vAlign w:val="center"/>
          </w:tcPr>
          <w:p w14:paraId="01D40434">
            <w:pPr>
              <w:pStyle w:val="557"/>
              <w:rPr>
                <w:rFonts w:eastAsia="等线"/>
                <w:color w:val="FF0000"/>
              </w:rPr>
            </w:pPr>
            <w:r>
              <w:rPr>
                <w:rFonts w:hint="eastAsia"/>
              </w:rPr>
              <w:t>20</w:t>
            </w:r>
          </w:p>
        </w:tc>
        <w:tc>
          <w:tcPr>
            <w:tcW w:w="890" w:type="dxa"/>
            <w:vAlign w:val="center"/>
          </w:tcPr>
          <w:p w14:paraId="3DB1EA5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0.022</w:t>
            </w:r>
          </w:p>
        </w:tc>
        <w:tc>
          <w:tcPr>
            <w:tcW w:w="1069" w:type="dxa"/>
            <w:vAlign w:val="center"/>
          </w:tcPr>
          <w:p w14:paraId="6D783FA8">
            <w:pPr>
              <w:pStyle w:val="557"/>
              <w:rPr>
                <w:rFonts w:eastAsia="等线"/>
              </w:rPr>
            </w:pPr>
            <w:r>
              <w:rPr>
                <w:rFonts w:hint="eastAsia"/>
              </w:rPr>
              <w:t>17</w:t>
            </w:r>
          </w:p>
        </w:tc>
        <w:tc>
          <w:tcPr>
            <w:tcW w:w="972" w:type="dxa"/>
            <w:vAlign w:val="center"/>
          </w:tcPr>
          <w:p w14:paraId="392F136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1038" w:type="dxa"/>
            <w:vAlign w:val="center"/>
          </w:tcPr>
          <w:p w14:paraId="5E075A1C">
            <w:pPr>
              <w:pStyle w:val="557"/>
              <w:rPr>
                <w:rFonts w:eastAsia="等线"/>
              </w:rPr>
            </w:pPr>
            <w:r>
              <w:rPr>
                <w:rFonts w:hint="eastAsia"/>
              </w:rPr>
              <w:t>19</w:t>
            </w:r>
          </w:p>
        </w:tc>
        <w:tc>
          <w:tcPr>
            <w:tcW w:w="1161" w:type="dxa"/>
            <w:vAlign w:val="center"/>
          </w:tcPr>
          <w:p w14:paraId="5B18D74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0.021</w:t>
            </w:r>
          </w:p>
        </w:tc>
        <w:tc>
          <w:tcPr>
            <w:tcW w:w="679" w:type="dxa"/>
            <w:vAlign w:val="center"/>
          </w:tcPr>
          <w:p w14:paraId="6306FF2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w:t>
            </w:r>
          </w:p>
        </w:tc>
      </w:tr>
      <w:tr w14:paraId="2F9F6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0A09DDFF">
            <w:pPr>
              <w:jc w:val="center"/>
              <w:rPr>
                <w:rFonts w:hint="eastAsia"/>
                <w:color w:val="000000"/>
                <w:sz w:val="18"/>
                <w:szCs w:val="18"/>
              </w:rPr>
            </w:pPr>
            <w:r>
              <w:rPr>
                <w:rFonts w:hint="eastAsia"/>
                <w:color w:val="000000"/>
                <w:sz w:val="18"/>
                <w:szCs w:val="18"/>
              </w:rPr>
              <w:t>六价铬</w:t>
            </w:r>
          </w:p>
        </w:tc>
        <w:tc>
          <w:tcPr>
            <w:tcW w:w="1037" w:type="dxa"/>
            <w:vAlign w:val="center"/>
          </w:tcPr>
          <w:p w14:paraId="37962780">
            <w:pPr>
              <w:pStyle w:val="557"/>
              <w:rPr>
                <w:rFonts w:eastAsia="等线"/>
                <w:color w:val="FF0000"/>
              </w:rPr>
            </w:pPr>
            <w:r>
              <w:rPr>
                <w:rFonts w:hint="eastAsia"/>
              </w:rPr>
              <w:t>&lt;0.5</w:t>
            </w:r>
          </w:p>
        </w:tc>
        <w:tc>
          <w:tcPr>
            <w:tcW w:w="809" w:type="dxa"/>
            <w:vAlign w:val="center"/>
          </w:tcPr>
          <w:p w14:paraId="16762541">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4D7FFA97">
            <w:pPr>
              <w:pStyle w:val="557"/>
              <w:rPr>
                <w:rFonts w:eastAsia="等线"/>
                <w:color w:val="FF0000"/>
              </w:rPr>
            </w:pPr>
            <w:r>
              <w:rPr>
                <w:rFonts w:hint="eastAsia"/>
              </w:rPr>
              <w:t>&lt;0.5</w:t>
            </w:r>
          </w:p>
        </w:tc>
        <w:tc>
          <w:tcPr>
            <w:tcW w:w="826" w:type="dxa"/>
            <w:vAlign w:val="center"/>
          </w:tcPr>
          <w:p w14:paraId="41BD53BD">
            <w:pPr>
              <w:pStyle w:val="557"/>
            </w:pPr>
            <w:r>
              <w:rPr>
                <w:rFonts w:hint="eastAsia"/>
              </w:rPr>
              <w:t>/</w:t>
            </w:r>
          </w:p>
        </w:tc>
        <w:tc>
          <w:tcPr>
            <w:tcW w:w="1037" w:type="dxa"/>
            <w:vAlign w:val="center"/>
          </w:tcPr>
          <w:p w14:paraId="17424E2F">
            <w:pPr>
              <w:pStyle w:val="557"/>
              <w:rPr>
                <w:rFonts w:eastAsia="等线"/>
                <w:color w:val="FF0000"/>
              </w:rPr>
            </w:pPr>
            <w:r>
              <w:rPr>
                <w:rFonts w:hint="eastAsia"/>
              </w:rPr>
              <w:t>&lt;0.5</w:t>
            </w:r>
          </w:p>
        </w:tc>
        <w:tc>
          <w:tcPr>
            <w:tcW w:w="848" w:type="dxa"/>
            <w:vAlign w:val="center"/>
          </w:tcPr>
          <w:p w14:paraId="65BE105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70" w:type="dxa"/>
            <w:vAlign w:val="center"/>
          </w:tcPr>
          <w:p w14:paraId="47863E23">
            <w:pPr>
              <w:pStyle w:val="557"/>
              <w:rPr>
                <w:rFonts w:eastAsia="等线"/>
                <w:color w:val="FF0000"/>
              </w:rPr>
            </w:pPr>
            <w:r>
              <w:rPr>
                <w:rFonts w:hint="eastAsia"/>
              </w:rPr>
              <w:t>&lt;0.5</w:t>
            </w:r>
          </w:p>
        </w:tc>
        <w:tc>
          <w:tcPr>
            <w:tcW w:w="890" w:type="dxa"/>
            <w:vAlign w:val="center"/>
          </w:tcPr>
          <w:p w14:paraId="040A9EB5">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69" w:type="dxa"/>
            <w:vAlign w:val="center"/>
          </w:tcPr>
          <w:p w14:paraId="26773F00">
            <w:pPr>
              <w:pStyle w:val="557"/>
              <w:rPr>
                <w:rFonts w:eastAsia="等线"/>
              </w:rPr>
            </w:pPr>
            <w:r>
              <w:rPr>
                <w:rFonts w:hint="eastAsia"/>
              </w:rPr>
              <w:t>&lt;0.5</w:t>
            </w:r>
          </w:p>
        </w:tc>
        <w:tc>
          <w:tcPr>
            <w:tcW w:w="972" w:type="dxa"/>
            <w:vAlign w:val="center"/>
          </w:tcPr>
          <w:p w14:paraId="47B8B426">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13E3E4C8">
            <w:pPr>
              <w:pStyle w:val="557"/>
              <w:rPr>
                <w:rFonts w:eastAsia="等线"/>
              </w:rPr>
            </w:pPr>
            <w:r>
              <w:rPr>
                <w:rFonts w:hint="eastAsia"/>
              </w:rPr>
              <w:t>&lt;0.5</w:t>
            </w:r>
          </w:p>
        </w:tc>
        <w:tc>
          <w:tcPr>
            <w:tcW w:w="1161" w:type="dxa"/>
            <w:vAlign w:val="center"/>
          </w:tcPr>
          <w:p w14:paraId="28CC915E">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79" w:type="dxa"/>
            <w:vAlign w:val="center"/>
          </w:tcPr>
          <w:p w14:paraId="4AF18C4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5.7</w:t>
            </w:r>
          </w:p>
        </w:tc>
      </w:tr>
      <w:tr w14:paraId="26D3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10DC5AE7">
            <w:pPr>
              <w:jc w:val="center"/>
              <w:rPr>
                <w:rFonts w:hint="eastAsia"/>
                <w:color w:val="000000"/>
                <w:sz w:val="18"/>
                <w:szCs w:val="18"/>
              </w:rPr>
            </w:pPr>
            <w:r>
              <w:rPr>
                <w:rFonts w:hint="eastAsia"/>
                <w:color w:val="000000"/>
                <w:sz w:val="18"/>
                <w:szCs w:val="18"/>
              </w:rPr>
              <w:t>铅</w:t>
            </w:r>
          </w:p>
        </w:tc>
        <w:tc>
          <w:tcPr>
            <w:tcW w:w="1037" w:type="dxa"/>
            <w:vAlign w:val="center"/>
          </w:tcPr>
          <w:p w14:paraId="70981752">
            <w:pPr>
              <w:pStyle w:val="557"/>
              <w:rPr>
                <w:rFonts w:eastAsia="等线"/>
                <w:color w:val="FF0000"/>
              </w:rPr>
            </w:pPr>
            <w:r>
              <w:rPr>
                <w:rFonts w:hint="eastAsia"/>
              </w:rPr>
              <w:t>8.3</w:t>
            </w:r>
          </w:p>
        </w:tc>
        <w:tc>
          <w:tcPr>
            <w:tcW w:w="809" w:type="dxa"/>
            <w:vAlign w:val="center"/>
          </w:tcPr>
          <w:p w14:paraId="15C3A8F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0.010</w:t>
            </w:r>
          </w:p>
        </w:tc>
        <w:tc>
          <w:tcPr>
            <w:tcW w:w="1038" w:type="dxa"/>
            <w:vAlign w:val="center"/>
          </w:tcPr>
          <w:p w14:paraId="0E35CF18">
            <w:pPr>
              <w:pStyle w:val="557"/>
              <w:rPr>
                <w:rFonts w:eastAsia="等线"/>
                <w:color w:val="FF0000"/>
              </w:rPr>
            </w:pPr>
            <w:r>
              <w:rPr>
                <w:rFonts w:hint="eastAsia"/>
              </w:rPr>
              <w:t>6.8</w:t>
            </w:r>
          </w:p>
        </w:tc>
        <w:tc>
          <w:tcPr>
            <w:tcW w:w="826" w:type="dxa"/>
            <w:vAlign w:val="center"/>
          </w:tcPr>
          <w:p w14:paraId="41568A82">
            <w:pPr>
              <w:pStyle w:val="557"/>
            </w:pPr>
            <w:r>
              <w:t>0.008</w:t>
            </w:r>
          </w:p>
        </w:tc>
        <w:tc>
          <w:tcPr>
            <w:tcW w:w="1037" w:type="dxa"/>
            <w:vAlign w:val="center"/>
          </w:tcPr>
          <w:p w14:paraId="300C7F4F">
            <w:pPr>
              <w:pStyle w:val="557"/>
              <w:rPr>
                <w:rFonts w:eastAsia="等线"/>
                <w:color w:val="FF0000"/>
              </w:rPr>
            </w:pPr>
            <w:r>
              <w:rPr>
                <w:rFonts w:hint="eastAsia"/>
              </w:rPr>
              <w:t>9.2</w:t>
            </w:r>
          </w:p>
        </w:tc>
        <w:tc>
          <w:tcPr>
            <w:tcW w:w="848" w:type="dxa"/>
            <w:vAlign w:val="center"/>
          </w:tcPr>
          <w:p w14:paraId="6A7CCA9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1070" w:type="dxa"/>
            <w:vAlign w:val="center"/>
          </w:tcPr>
          <w:p w14:paraId="50761632">
            <w:pPr>
              <w:pStyle w:val="557"/>
              <w:rPr>
                <w:rFonts w:eastAsia="等线"/>
                <w:color w:val="FF0000"/>
              </w:rPr>
            </w:pPr>
            <w:r>
              <w:rPr>
                <w:rFonts w:hint="eastAsia"/>
              </w:rPr>
              <w:t>8.5</w:t>
            </w:r>
          </w:p>
        </w:tc>
        <w:tc>
          <w:tcPr>
            <w:tcW w:w="890" w:type="dxa"/>
            <w:vAlign w:val="center"/>
          </w:tcPr>
          <w:p w14:paraId="5D3E4D3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0.010</w:t>
            </w:r>
          </w:p>
        </w:tc>
        <w:tc>
          <w:tcPr>
            <w:tcW w:w="1069" w:type="dxa"/>
            <w:vAlign w:val="center"/>
          </w:tcPr>
          <w:p w14:paraId="3A25E52B">
            <w:pPr>
              <w:pStyle w:val="557"/>
              <w:rPr>
                <w:rFonts w:eastAsia="等线"/>
              </w:rPr>
            </w:pPr>
            <w:r>
              <w:rPr>
                <w:rFonts w:hint="eastAsia"/>
              </w:rPr>
              <w:t>8.1</w:t>
            </w:r>
          </w:p>
        </w:tc>
        <w:tc>
          <w:tcPr>
            <w:tcW w:w="972" w:type="dxa"/>
            <w:vAlign w:val="center"/>
          </w:tcPr>
          <w:p w14:paraId="5AD56B7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0.010</w:t>
            </w:r>
          </w:p>
        </w:tc>
        <w:tc>
          <w:tcPr>
            <w:tcW w:w="1038" w:type="dxa"/>
            <w:vAlign w:val="center"/>
          </w:tcPr>
          <w:p w14:paraId="488809E5">
            <w:pPr>
              <w:pStyle w:val="557"/>
              <w:rPr>
                <w:rFonts w:eastAsia="等线"/>
              </w:rPr>
            </w:pPr>
            <w:r>
              <w:rPr>
                <w:rFonts w:hint="eastAsia"/>
              </w:rPr>
              <w:t>8.8</w:t>
            </w:r>
          </w:p>
        </w:tc>
        <w:tc>
          <w:tcPr>
            <w:tcW w:w="1161" w:type="dxa"/>
            <w:vAlign w:val="center"/>
          </w:tcPr>
          <w:p w14:paraId="25F07E5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679" w:type="dxa"/>
            <w:vAlign w:val="center"/>
          </w:tcPr>
          <w:p w14:paraId="162BBBE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800</w:t>
            </w:r>
          </w:p>
        </w:tc>
      </w:tr>
      <w:tr w14:paraId="3F56B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17ED827D">
            <w:pPr>
              <w:jc w:val="center"/>
              <w:rPr>
                <w:rFonts w:hint="eastAsia"/>
                <w:color w:val="000000"/>
                <w:sz w:val="18"/>
                <w:szCs w:val="18"/>
              </w:rPr>
            </w:pPr>
            <w:r>
              <w:rPr>
                <w:rFonts w:hint="eastAsia"/>
                <w:color w:val="000000"/>
                <w:sz w:val="18"/>
                <w:szCs w:val="18"/>
              </w:rPr>
              <w:t>镉</w:t>
            </w:r>
          </w:p>
        </w:tc>
        <w:tc>
          <w:tcPr>
            <w:tcW w:w="1037" w:type="dxa"/>
            <w:vAlign w:val="center"/>
          </w:tcPr>
          <w:p w14:paraId="0DB3ACB6">
            <w:pPr>
              <w:pStyle w:val="557"/>
              <w:rPr>
                <w:rFonts w:eastAsia="等线"/>
                <w:color w:val="FF0000"/>
              </w:rPr>
            </w:pPr>
            <w:r>
              <w:rPr>
                <w:rFonts w:hint="eastAsia"/>
              </w:rPr>
              <w:t>0.11</w:t>
            </w:r>
          </w:p>
        </w:tc>
        <w:tc>
          <w:tcPr>
            <w:tcW w:w="809" w:type="dxa"/>
            <w:vAlign w:val="center"/>
          </w:tcPr>
          <w:p w14:paraId="40F5778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8" w:type="dxa"/>
            <w:vAlign w:val="center"/>
          </w:tcPr>
          <w:p w14:paraId="23F7D688">
            <w:pPr>
              <w:pStyle w:val="557"/>
              <w:rPr>
                <w:rFonts w:eastAsia="等线"/>
                <w:color w:val="FF0000"/>
              </w:rPr>
            </w:pPr>
            <w:r>
              <w:rPr>
                <w:rFonts w:hint="eastAsia"/>
              </w:rPr>
              <w:t>0.10</w:t>
            </w:r>
          </w:p>
        </w:tc>
        <w:tc>
          <w:tcPr>
            <w:tcW w:w="826" w:type="dxa"/>
            <w:vAlign w:val="center"/>
          </w:tcPr>
          <w:p w14:paraId="75EDDA5F">
            <w:pPr>
              <w:pStyle w:val="557"/>
            </w:pPr>
            <w:r>
              <w:t>0.001</w:t>
            </w:r>
          </w:p>
        </w:tc>
        <w:tc>
          <w:tcPr>
            <w:tcW w:w="1037" w:type="dxa"/>
            <w:vAlign w:val="center"/>
          </w:tcPr>
          <w:p w14:paraId="40DF6CD7">
            <w:pPr>
              <w:pStyle w:val="557"/>
              <w:rPr>
                <w:rFonts w:eastAsia="等线"/>
                <w:color w:val="FF0000"/>
              </w:rPr>
            </w:pPr>
            <w:r>
              <w:rPr>
                <w:rFonts w:hint="eastAsia"/>
              </w:rPr>
              <w:t>0.11</w:t>
            </w:r>
          </w:p>
        </w:tc>
        <w:tc>
          <w:tcPr>
            <w:tcW w:w="848" w:type="dxa"/>
            <w:vAlign w:val="center"/>
          </w:tcPr>
          <w:p w14:paraId="565F578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70" w:type="dxa"/>
            <w:vAlign w:val="center"/>
          </w:tcPr>
          <w:p w14:paraId="22ADFE09">
            <w:pPr>
              <w:pStyle w:val="557"/>
              <w:rPr>
                <w:rFonts w:eastAsia="等线"/>
                <w:color w:val="FF0000"/>
              </w:rPr>
            </w:pPr>
            <w:r>
              <w:rPr>
                <w:rFonts w:hint="eastAsia"/>
              </w:rPr>
              <w:t>0.10</w:t>
            </w:r>
          </w:p>
        </w:tc>
        <w:tc>
          <w:tcPr>
            <w:tcW w:w="890" w:type="dxa"/>
            <w:vAlign w:val="center"/>
          </w:tcPr>
          <w:p w14:paraId="07F75BE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69" w:type="dxa"/>
            <w:vAlign w:val="center"/>
          </w:tcPr>
          <w:p w14:paraId="378CEB48">
            <w:pPr>
              <w:pStyle w:val="557"/>
              <w:rPr>
                <w:rFonts w:eastAsia="等线"/>
                <w:color w:val="FF0000"/>
              </w:rPr>
            </w:pPr>
            <w:r>
              <w:rPr>
                <w:rFonts w:hint="eastAsia"/>
              </w:rPr>
              <w:t>0.12</w:t>
            </w:r>
          </w:p>
        </w:tc>
        <w:tc>
          <w:tcPr>
            <w:tcW w:w="972" w:type="dxa"/>
            <w:vAlign w:val="center"/>
          </w:tcPr>
          <w:p w14:paraId="342AFE8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8" w:type="dxa"/>
            <w:vAlign w:val="center"/>
          </w:tcPr>
          <w:p w14:paraId="70724A11">
            <w:pPr>
              <w:pStyle w:val="557"/>
              <w:rPr>
                <w:rFonts w:eastAsia="等线"/>
              </w:rPr>
            </w:pPr>
            <w:r>
              <w:rPr>
                <w:rFonts w:hint="eastAsia"/>
              </w:rPr>
              <w:t>0.11</w:t>
            </w:r>
          </w:p>
        </w:tc>
        <w:tc>
          <w:tcPr>
            <w:tcW w:w="1161" w:type="dxa"/>
            <w:vAlign w:val="center"/>
          </w:tcPr>
          <w:p w14:paraId="6B9058A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679" w:type="dxa"/>
            <w:vAlign w:val="center"/>
          </w:tcPr>
          <w:p w14:paraId="1BA5B67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65</w:t>
            </w:r>
          </w:p>
        </w:tc>
      </w:tr>
      <w:tr w14:paraId="38B1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noWrap/>
            <w:vAlign w:val="center"/>
          </w:tcPr>
          <w:p w14:paraId="7E049A73">
            <w:pPr>
              <w:jc w:val="center"/>
              <w:rPr>
                <w:rFonts w:hint="eastAsia"/>
                <w:color w:val="000000"/>
                <w:sz w:val="18"/>
                <w:szCs w:val="18"/>
              </w:rPr>
            </w:pPr>
            <w:r>
              <w:rPr>
                <w:rFonts w:hint="eastAsia"/>
                <w:color w:val="000000"/>
                <w:sz w:val="18"/>
                <w:szCs w:val="18"/>
              </w:rPr>
              <w:t>汞</w:t>
            </w:r>
          </w:p>
        </w:tc>
        <w:tc>
          <w:tcPr>
            <w:tcW w:w="1037" w:type="dxa"/>
            <w:vAlign w:val="center"/>
          </w:tcPr>
          <w:p w14:paraId="11A633FA">
            <w:pPr>
              <w:pStyle w:val="557"/>
              <w:rPr>
                <w:rFonts w:eastAsia="等线"/>
                <w:color w:val="FF0000"/>
              </w:rPr>
            </w:pPr>
            <w:r>
              <w:rPr>
                <w:rFonts w:hint="eastAsia"/>
              </w:rPr>
              <w:t>0.060</w:t>
            </w:r>
          </w:p>
        </w:tc>
        <w:tc>
          <w:tcPr>
            <w:tcW w:w="809" w:type="dxa"/>
            <w:vAlign w:val="center"/>
          </w:tcPr>
          <w:p w14:paraId="3024BD9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8" w:type="dxa"/>
            <w:vAlign w:val="center"/>
          </w:tcPr>
          <w:p w14:paraId="0C89ED13">
            <w:pPr>
              <w:pStyle w:val="557"/>
              <w:rPr>
                <w:rFonts w:eastAsia="等线"/>
                <w:color w:val="FF0000"/>
              </w:rPr>
            </w:pPr>
            <w:r>
              <w:rPr>
                <w:rFonts w:hint="eastAsia"/>
              </w:rPr>
              <w:t>0.032</w:t>
            </w:r>
          </w:p>
        </w:tc>
        <w:tc>
          <w:tcPr>
            <w:tcW w:w="826" w:type="dxa"/>
            <w:vAlign w:val="center"/>
          </w:tcPr>
          <w:p w14:paraId="2258B39E">
            <w:pPr>
              <w:pStyle w:val="557"/>
            </w:pPr>
            <w:r>
              <w:t>0.0008</w:t>
            </w:r>
          </w:p>
        </w:tc>
        <w:tc>
          <w:tcPr>
            <w:tcW w:w="1037" w:type="dxa"/>
            <w:vAlign w:val="center"/>
          </w:tcPr>
          <w:p w14:paraId="3FEF7357">
            <w:pPr>
              <w:pStyle w:val="557"/>
              <w:rPr>
                <w:rFonts w:eastAsia="等线"/>
                <w:color w:val="FF0000"/>
              </w:rPr>
            </w:pPr>
            <w:r>
              <w:rPr>
                <w:rFonts w:hint="eastAsia"/>
              </w:rPr>
              <w:t>0.033</w:t>
            </w:r>
          </w:p>
        </w:tc>
        <w:tc>
          <w:tcPr>
            <w:tcW w:w="848" w:type="dxa"/>
            <w:vAlign w:val="center"/>
          </w:tcPr>
          <w:p w14:paraId="60289A4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0.0008</w:t>
            </w:r>
          </w:p>
        </w:tc>
        <w:tc>
          <w:tcPr>
            <w:tcW w:w="1070" w:type="dxa"/>
            <w:vAlign w:val="center"/>
          </w:tcPr>
          <w:p w14:paraId="10B2C506">
            <w:pPr>
              <w:pStyle w:val="557"/>
              <w:rPr>
                <w:rFonts w:eastAsia="等线"/>
                <w:color w:val="FF0000"/>
              </w:rPr>
            </w:pPr>
            <w:r>
              <w:rPr>
                <w:rFonts w:hint="eastAsia"/>
              </w:rPr>
              <w:t>0.019</w:t>
            </w:r>
          </w:p>
        </w:tc>
        <w:tc>
          <w:tcPr>
            <w:tcW w:w="890" w:type="dxa"/>
            <w:vAlign w:val="center"/>
          </w:tcPr>
          <w:p w14:paraId="353D320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0.0005</w:t>
            </w:r>
          </w:p>
        </w:tc>
        <w:tc>
          <w:tcPr>
            <w:tcW w:w="1069" w:type="dxa"/>
            <w:vAlign w:val="center"/>
          </w:tcPr>
          <w:p w14:paraId="07B3F408">
            <w:pPr>
              <w:pStyle w:val="557"/>
              <w:rPr>
                <w:rFonts w:eastAsia="等线"/>
                <w:color w:val="FF0000"/>
              </w:rPr>
            </w:pPr>
            <w:r>
              <w:rPr>
                <w:rFonts w:hint="eastAsia"/>
              </w:rPr>
              <w:t>0.067</w:t>
            </w:r>
          </w:p>
        </w:tc>
        <w:tc>
          <w:tcPr>
            <w:tcW w:w="972" w:type="dxa"/>
            <w:vAlign w:val="center"/>
          </w:tcPr>
          <w:p w14:paraId="1DA59C1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8" w:type="dxa"/>
            <w:vAlign w:val="center"/>
          </w:tcPr>
          <w:p w14:paraId="756104C0">
            <w:pPr>
              <w:pStyle w:val="557"/>
              <w:rPr>
                <w:rFonts w:eastAsia="等线"/>
              </w:rPr>
            </w:pPr>
            <w:r>
              <w:rPr>
                <w:rFonts w:hint="eastAsia"/>
              </w:rPr>
              <w:t>0.060</w:t>
            </w:r>
          </w:p>
        </w:tc>
        <w:tc>
          <w:tcPr>
            <w:tcW w:w="1161" w:type="dxa"/>
            <w:vAlign w:val="center"/>
          </w:tcPr>
          <w:p w14:paraId="26002C0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679" w:type="dxa"/>
            <w:vAlign w:val="center"/>
          </w:tcPr>
          <w:p w14:paraId="6FA56F7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38</w:t>
            </w:r>
          </w:p>
        </w:tc>
      </w:tr>
      <w:tr w14:paraId="03B09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Align w:val="center"/>
          </w:tcPr>
          <w:p w14:paraId="7E65218A">
            <w:pPr>
              <w:jc w:val="center"/>
              <w:rPr>
                <w:rFonts w:hint="eastAsia"/>
                <w:color w:val="000000"/>
                <w:sz w:val="18"/>
                <w:szCs w:val="18"/>
              </w:rPr>
            </w:pPr>
            <w:r>
              <w:rPr>
                <w:rFonts w:hint="eastAsia"/>
                <w:color w:val="000000"/>
                <w:sz w:val="18"/>
                <w:szCs w:val="18"/>
              </w:rPr>
              <w:t>砷</w:t>
            </w:r>
          </w:p>
        </w:tc>
        <w:tc>
          <w:tcPr>
            <w:tcW w:w="1037" w:type="dxa"/>
            <w:vAlign w:val="center"/>
          </w:tcPr>
          <w:p w14:paraId="08C4A079">
            <w:pPr>
              <w:pStyle w:val="557"/>
              <w:rPr>
                <w:rFonts w:eastAsia="等线"/>
                <w:color w:val="FF0000"/>
              </w:rPr>
            </w:pPr>
            <w:r>
              <w:rPr>
                <w:rFonts w:hint="eastAsia"/>
              </w:rPr>
              <w:t>3.84</w:t>
            </w:r>
          </w:p>
        </w:tc>
        <w:tc>
          <w:tcPr>
            <w:tcW w:w="809" w:type="dxa"/>
            <w:vAlign w:val="center"/>
          </w:tcPr>
          <w:p w14:paraId="7A4D06D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0.064</w:t>
            </w:r>
          </w:p>
        </w:tc>
        <w:tc>
          <w:tcPr>
            <w:tcW w:w="1038" w:type="dxa"/>
            <w:vAlign w:val="center"/>
          </w:tcPr>
          <w:p w14:paraId="780B56FD">
            <w:pPr>
              <w:pStyle w:val="557"/>
              <w:rPr>
                <w:rFonts w:eastAsia="等线"/>
                <w:color w:val="FF0000"/>
              </w:rPr>
            </w:pPr>
            <w:r>
              <w:rPr>
                <w:rFonts w:hint="eastAsia"/>
              </w:rPr>
              <w:t>4.40</w:t>
            </w:r>
          </w:p>
        </w:tc>
        <w:tc>
          <w:tcPr>
            <w:tcW w:w="826" w:type="dxa"/>
            <w:vAlign w:val="center"/>
          </w:tcPr>
          <w:p w14:paraId="66152ACF">
            <w:pPr>
              <w:pStyle w:val="557"/>
            </w:pPr>
            <w:r>
              <w:t>0.073</w:t>
            </w:r>
          </w:p>
        </w:tc>
        <w:tc>
          <w:tcPr>
            <w:tcW w:w="1037" w:type="dxa"/>
            <w:vAlign w:val="center"/>
          </w:tcPr>
          <w:p w14:paraId="55182DA0">
            <w:pPr>
              <w:pStyle w:val="557"/>
              <w:rPr>
                <w:rFonts w:eastAsia="等线"/>
                <w:color w:val="FF0000"/>
              </w:rPr>
            </w:pPr>
            <w:r>
              <w:rPr>
                <w:rFonts w:hint="eastAsia"/>
              </w:rPr>
              <w:t>4.79</w:t>
            </w:r>
          </w:p>
        </w:tc>
        <w:tc>
          <w:tcPr>
            <w:tcW w:w="848" w:type="dxa"/>
            <w:vAlign w:val="center"/>
          </w:tcPr>
          <w:p w14:paraId="1B9B389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0.079</w:t>
            </w:r>
          </w:p>
        </w:tc>
        <w:tc>
          <w:tcPr>
            <w:tcW w:w="1070" w:type="dxa"/>
            <w:vAlign w:val="center"/>
          </w:tcPr>
          <w:p w14:paraId="2CD65D5C">
            <w:pPr>
              <w:pStyle w:val="557"/>
              <w:rPr>
                <w:rFonts w:eastAsia="等线"/>
                <w:color w:val="FF0000"/>
              </w:rPr>
            </w:pPr>
            <w:r>
              <w:rPr>
                <w:rFonts w:hint="eastAsia"/>
              </w:rPr>
              <w:t>4.66</w:t>
            </w:r>
          </w:p>
        </w:tc>
        <w:tc>
          <w:tcPr>
            <w:tcW w:w="890" w:type="dxa"/>
            <w:vAlign w:val="center"/>
          </w:tcPr>
          <w:p w14:paraId="36C852D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0.077</w:t>
            </w:r>
          </w:p>
        </w:tc>
        <w:tc>
          <w:tcPr>
            <w:tcW w:w="1069" w:type="dxa"/>
            <w:vAlign w:val="center"/>
          </w:tcPr>
          <w:p w14:paraId="3E1FA3DB">
            <w:pPr>
              <w:pStyle w:val="557"/>
              <w:rPr>
                <w:rFonts w:eastAsia="等线"/>
                <w:color w:val="FF0000"/>
              </w:rPr>
            </w:pPr>
            <w:r>
              <w:rPr>
                <w:rFonts w:hint="eastAsia"/>
              </w:rPr>
              <w:t>4.13</w:t>
            </w:r>
          </w:p>
        </w:tc>
        <w:tc>
          <w:tcPr>
            <w:tcW w:w="972" w:type="dxa"/>
            <w:vAlign w:val="center"/>
          </w:tcPr>
          <w:p w14:paraId="5EDDCB8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0.068</w:t>
            </w:r>
          </w:p>
        </w:tc>
        <w:tc>
          <w:tcPr>
            <w:tcW w:w="1038" w:type="dxa"/>
            <w:vAlign w:val="center"/>
          </w:tcPr>
          <w:p w14:paraId="7DD67C2B">
            <w:pPr>
              <w:pStyle w:val="557"/>
              <w:rPr>
                <w:rFonts w:eastAsia="等线"/>
              </w:rPr>
            </w:pPr>
            <w:r>
              <w:rPr>
                <w:rFonts w:hint="eastAsia"/>
              </w:rPr>
              <w:t>6.66</w:t>
            </w:r>
          </w:p>
        </w:tc>
        <w:tc>
          <w:tcPr>
            <w:tcW w:w="1161" w:type="dxa"/>
            <w:vAlign w:val="center"/>
          </w:tcPr>
          <w:p w14:paraId="2866744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0.111</w:t>
            </w:r>
          </w:p>
        </w:tc>
        <w:tc>
          <w:tcPr>
            <w:tcW w:w="679" w:type="dxa"/>
            <w:vAlign w:val="center"/>
          </w:tcPr>
          <w:p w14:paraId="7D88C9B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60</w:t>
            </w:r>
          </w:p>
        </w:tc>
      </w:tr>
      <w:tr w14:paraId="33679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Align w:val="center"/>
          </w:tcPr>
          <w:p w14:paraId="2887BF1F">
            <w:pPr>
              <w:jc w:val="center"/>
              <w:rPr>
                <w:rFonts w:hint="eastAsia"/>
                <w:color w:val="000000"/>
                <w:sz w:val="18"/>
                <w:szCs w:val="18"/>
              </w:rPr>
            </w:pPr>
            <w:r>
              <w:rPr>
                <w:rFonts w:hint="eastAsia"/>
                <w:color w:val="000000"/>
                <w:sz w:val="18"/>
                <w:szCs w:val="18"/>
              </w:rPr>
              <w:t>钴</w:t>
            </w:r>
          </w:p>
        </w:tc>
        <w:tc>
          <w:tcPr>
            <w:tcW w:w="1037" w:type="dxa"/>
            <w:vAlign w:val="center"/>
          </w:tcPr>
          <w:p w14:paraId="7ABBD4D6">
            <w:pPr>
              <w:pStyle w:val="557"/>
              <w:rPr>
                <w:rFonts w:eastAsia="等线"/>
                <w:color w:val="FF0000"/>
              </w:rPr>
            </w:pPr>
            <w:r>
              <w:rPr>
                <w:rFonts w:hint="eastAsia"/>
              </w:rPr>
              <w:t>12</w:t>
            </w:r>
          </w:p>
        </w:tc>
        <w:tc>
          <w:tcPr>
            <w:tcW w:w="809" w:type="dxa"/>
            <w:vAlign w:val="center"/>
          </w:tcPr>
          <w:p w14:paraId="12E1080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0.171</w:t>
            </w:r>
          </w:p>
        </w:tc>
        <w:tc>
          <w:tcPr>
            <w:tcW w:w="1038" w:type="dxa"/>
            <w:vAlign w:val="center"/>
          </w:tcPr>
          <w:p w14:paraId="5DFD0EB7">
            <w:pPr>
              <w:pStyle w:val="557"/>
              <w:rPr>
                <w:rFonts w:eastAsia="等线"/>
                <w:color w:val="FF0000"/>
              </w:rPr>
            </w:pPr>
            <w:r>
              <w:rPr>
                <w:rFonts w:hint="eastAsia"/>
              </w:rPr>
              <w:t>18</w:t>
            </w:r>
          </w:p>
        </w:tc>
        <w:tc>
          <w:tcPr>
            <w:tcW w:w="826" w:type="dxa"/>
            <w:vAlign w:val="center"/>
          </w:tcPr>
          <w:p w14:paraId="502A6217">
            <w:pPr>
              <w:pStyle w:val="557"/>
            </w:pPr>
            <w:r>
              <w:t>0.257</w:t>
            </w:r>
          </w:p>
        </w:tc>
        <w:tc>
          <w:tcPr>
            <w:tcW w:w="1037" w:type="dxa"/>
            <w:vAlign w:val="center"/>
          </w:tcPr>
          <w:p w14:paraId="0501DD82">
            <w:pPr>
              <w:pStyle w:val="557"/>
              <w:rPr>
                <w:rFonts w:eastAsia="等线"/>
                <w:color w:val="FF0000"/>
              </w:rPr>
            </w:pPr>
            <w:r>
              <w:rPr>
                <w:rFonts w:hint="eastAsia"/>
              </w:rPr>
              <w:t>15</w:t>
            </w:r>
          </w:p>
        </w:tc>
        <w:tc>
          <w:tcPr>
            <w:tcW w:w="848" w:type="dxa"/>
            <w:vAlign w:val="center"/>
          </w:tcPr>
          <w:p w14:paraId="339B6CD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0.214</w:t>
            </w:r>
          </w:p>
        </w:tc>
        <w:tc>
          <w:tcPr>
            <w:tcW w:w="1070" w:type="dxa"/>
            <w:vAlign w:val="center"/>
          </w:tcPr>
          <w:p w14:paraId="6CAB38D0">
            <w:pPr>
              <w:pStyle w:val="557"/>
              <w:rPr>
                <w:rFonts w:eastAsia="等线"/>
                <w:color w:val="FF0000"/>
              </w:rPr>
            </w:pPr>
            <w:r>
              <w:rPr>
                <w:rFonts w:hint="eastAsia"/>
              </w:rPr>
              <w:t>12</w:t>
            </w:r>
          </w:p>
        </w:tc>
        <w:tc>
          <w:tcPr>
            <w:tcW w:w="890" w:type="dxa"/>
            <w:vAlign w:val="center"/>
          </w:tcPr>
          <w:p w14:paraId="7FAF730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0.171</w:t>
            </w:r>
          </w:p>
        </w:tc>
        <w:tc>
          <w:tcPr>
            <w:tcW w:w="1069" w:type="dxa"/>
            <w:vAlign w:val="center"/>
          </w:tcPr>
          <w:p w14:paraId="08DDC4B8">
            <w:pPr>
              <w:pStyle w:val="557"/>
              <w:rPr>
                <w:rFonts w:eastAsia="等线"/>
                <w:color w:val="FF0000"/>
              </w:rPr>
            </w:pPr>
            <w:r>
              <w:rPr>
                <w:rFonts w:hint="eastAsia"/>
              </w:rPr>
              <w:t>12</w:t>
            </w:r>
          </w:p>
        </w:tc>
        <w:tc>
          <w:tcPr>
            <w:tcW w:w="972" w:type="dxa"/>
            <w:vAlign w:val="center"/>
          </w:tcPr>
          <w:p w14:paraId="3ED0783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0.171</w:t>
            </w:r>
          </w:p>
        </w:tc>
        <w:tc>
          <w:tcPr>
            <w:tcW w:w="1038" w:type="dxa"/>
            <w:vAlign w:val="center"/>
          </w:tcPr>
          <w:p w14:paraId="5EA0F115">
            <w:pPr>
              <w:pStyle w:val="557"/>
              <w:rPr>
                <w:rFonts w:eastAsia="等线"/>
              </w:rPr>
            </w:pPr>
            <w:r>
              <w:rPr>
                <w:rFonts w:hint="eastAsia"/>
              </w:rPr>
              <w:t>17</w:t>
            </w:r>
          </w:p>
        </w:tc>
        <w:tc>
          <w:tcPr>
            <w:tcW w:w="1161" w:type="dxa"/>
            <w:vAlign w:val="center"/>
          </w:tcPr>
          <w:p w14:paraId="5F4D8C5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0.242</w:t>
            </w:r>
          </w:p>
        </w:tc>
        <w:tc>
          <w:tcPr>
            <w:tcW w:w="679" w:type="dxa"/>
            <w:vAlign w:val="center"/>
          </w:tcPr>
          <w:p w14:paraId="3D0CE98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70</w:t>
            </w:r>
          </w:p>
        </w:tc>
      </w:tr>
      <w:tr w14:paraId="1310D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Align w:val="center"/>
          </w:tcPr>
          <w:p w14:paraId="28BE198A">
            <w:pPr>
              <w:jc w:val="center"/>
              <w:rPr>
                <w:rFonts w:hint="eastAsia"/>
                <w:color w:val="000000"/>
                <w:sz w:val="18"/>
                <w:szCs w:val="18"/>
              </w:rPr>
            </w:pPr>
            <w:r>
              <w:rPr>
                <w:rFonts w:hint="eastAsia"/>
                <w:color w:val="000000"/>
                <w:sz w:val="18"/>
                <w:szCs w:val="18"/>
              </w:rPr>
              <w:t>苯并</w:t>
            </w:r>
            <w:r>
              <w:rPr>
                <w:rFonts w:ascii="Times New Roman" w:hAnsi="Times New Roman" w:cs="Times New Roman"/>
                <w:color w:val="000000"/>
                <w:sz w:val="18"/>
                <w:szCs w:val="18"/>
              </w:rPr>
              <w:t>[a]</w:t>
            </w:r>
            <w:r>
              <w:rPr>
                <w:rFonts w:hint="eastAsia"/>
                <w:color w:val="000000"/>
                <w:sz w:val="18"/>
                <w:szCs w:val="18"/>
              </w:rPr>
              <w:t>芘</w:t>
            </w:r>
          </w:p>
        </w:tc>
        <w:tc>
          <w:tcPr>
            <w:tcW w:w="1037" w:type="dxa"/>
            <w:vAlign w:val="center"/>
          </w:tcPr>
          <w:p w14:paraId="1FE695EE">
            <w:pPr>
              <w:pStyle w:val="557"/>
              <w:rPr>
                <w:rFonts w:eastAsia="等线"/>
                <w:color w:val="FF0000"/>
              </w:rPr>
            </w:pPr>
            <w:r>
              <w:rPr>
                <w:rFonts w:hint="eastAsia"/>
              </w:rPr>
              <w:t>&lt;0.1</w:t>
            </w:r>
          </w:p>
        </w:tc>
        <w:tc>
          <w:tcPr>
            <w:tcW w:w="809" w:type="dxa"/>
            <w:vAlign w:val="center"/>
          </w:tcPr>
          <w:p w14:paraId="6C129A48">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20B5BFA8">
            <w:pPr>
              <w:pStyle w:val="557"/>
              <w:rPr>
                <w:rFonts w:eastAsia="等线"/>
                <w:color w:val="FF0000"/>
              </w:rPr>
            </w:pPr>
            <w:r>
              <w:rPr>
                <w:rFonts w:hint="eastAsia"/>
              </w:rPr>
              <w:t>&lt;0.1</w:t>
            </w:r>
          </w:p>
        </w:tc>
        <w:tc>
          <w:tcPr>
            <w:tcW w:w="826" w:type="dxa"/>
            <w:vAlign w:val="center"/>
          </w:tcPr>
          <w:p w14:paraId="7786617A">
            <w:pPr>
              <w:pStyle w:val="557"/>
            </w:pPr>
            <w:r>
              <w:rPr>
                <w:rFonts w:hint="eastAsia"/>
              </w:rPr>
              <w:t>/</w:t>
            </w:r>
          </w:p>
        </w:tc>
        <w:tc>
          <w:tcPr>
            <w:tcW w:w="1037" w:type="dxa"/>
            <w:vAlign w:val="center"/>
          </w:tcPr>
          <w:p w14:paraId="7956702A">
            <w:pPr>
              <w:pStyle w:val="557"/>
              <w:rPr>
                <w:rFonts w:eastAsia="等线"/>
                <w:color w:val="FF0000"/>
              </w:rPr>
            </w:pPr>
            <w:r>
              <w:rPr>
                <w:rFonts w:hint="eastAsia"/>
              </w:rPr>
              <w:t>&lt;0.1</w:t>
            </w:r>
          </w:p>
        </w:tc>
        <w:tc>
          <w:tcPr>
            <w:tcW w:w="848" w:type="dxa"/>
            <w:vAlign w:val="center"/>
          </w:tcPr>
          <w:p w14:paraId="0419FC5D">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70" w:type="dxa"/>
            <w:vAlign w:val="center"/>
          </w:tcPr>
          <w:p w14:paraId="73F32E0F">
            <w:pPr>
              <w:pStyle w:val="557"/>
              <w:rPr>
                <w:rFonts w:eastAsia="等线"/>
                <w:color w:val="FF0000"/>
              </w:rPr>
            </w:pPr>
            <w:r>
              <w:rPr>
                <w:rFonts w:hint="eastAsia"/>
              </w:rPr>
              <w:t>&lt;0.1</w:t>
            </w:r>
          </w:p>
        </w:tc>
        <w:tc>
          <w:tcPr>
            <w:tcW w:w="890" w:type="dxa"/>
            <w:vAlign w:val="center"/>
          </w:tcPr>
          <w:p w14:paraId="533AF11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69" w:type="dxa"/>
            <w:vAlign w:val="center"/>
          </w:tcPr>
          <w:p w14:paraId="173F8162">
            <w:pPr>
              <w:pStyle w:val="557"/>
              <w:rPr>
                <w:rFonts w:eastAsia="等线"/>
                <w:color w:val="FF0000"/>
              </w:rPr>
            </w:pPr>
            <w:r>
              <w:rPr>
                <w:rFonts w:hint="eastAsia"/>
              </w:rPr>
              <w:t>&lt;0.1</w:t>
            </w:r>
          </w:p>
        </w:tc>
        <w:tc>
          <w:tcPr>
            <w:tcW w:w="972" w:type="dxa"/>
            <w:vAlign w:val="center"/>
          </w:tcPr>
          <w:p w14:paraId="7A533C67">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66413746">
            <w:pPr>
              <w:pStyle w:val="557"/>
              <w:rPr>
                <w:rFonts w:eastAsia="等线"/>
              </w:rPr>
            </w:pPr>
            <w:r>
              <w:rPr>
                <w:rFonts w:hint="eastAsia"/>
              </w:rPr>
              <w:t>&lt;0.1</w:t>
            </w:r>
          </w:p>
        </w:tc>
        <w:tc>
          <w:tcPr>
            <w:tcW w:w="1161" w:type="dxa"/>
            <w:vAlign w:val="center"/>
          </w:tcPr>
          <w:p w14:paraId="6EF25C02">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79" w:type="dxa"/>
            <w:vAlign w:val="center"/>
          </w:tcPr>
          <w:p w14:paraId="62C0A1E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w:t>
            </w:r>
          </w:p>
        </w:tc>
      </w:tr>
      <w:tr w14:paraId="46CC0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Align w:val="center"/>
          </w:tcPr>
          <w:p w14:paraId="08CE7950">
            <w:pPr>
              <w:jc w:val="center"/>
              <w:rPr>
                <w:rFonts w:hint="eastAsia"/>
                <w:color w:val="000000"/>
                <w:sz w:val="18"/>
                <w:szCs w:val="18"/>
              </w:rPr>
            </w:pPr>
            <w:r>
              <w:rPr>
                <w:rFonts w:hint="eastAsia"/>
                <w:color w:val="000000"/>
                <w:sz w:val="18"/>
                <w:szCs w:val="18"/>
              </w:rPr>
              <w:t>氰化物</w:t>
            </w:r>
          </w:p>
        </w:tc>
        <w:tc>
          <w:tcPr>
            <w:tcW w:w="1037" w:type="dxa"/>
            <w:vAlign w:val="center"/>
          </w:tcPr>
          <w:p w14:paraId="741099FF">
            <w:pPr>
              <w:pStyle w:val="557"/>
              <w:rPr>
                <w:rFonts w:eastAsia="等线"/>
                <w:color w:val="FF0000"/>
              </w:rPr>
            </w:pPr>
            <w:r>
              <w:rPr>
                <w:rFonts w:hint="eastAsia"/>
              </w:rPr>
              <w:t>&lt;0.01</w:t>
            </w:r>
          </w:p>
        </w:tc>
        <w:tc>
          <w:tcPr>
            <w:tcW w:w="809" w:type="dxa"/>
            <w:vAlign w:val="center"/>
          </w:tcPr>
          <w:p w14:paraId="3BF0C4B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1EB7B511">
            <w:pPr>
              <w:pStyle w:val="557"/>
              <w:rPr>
                <w:rFonts w:eastAsia="等线"/>
                <w:color w:val="FF0000"/>
              </w:rPr>
            </w:pPr>
            <w:r>
              <w:rPr>
                <w:rFonts w:hint="eastAsia"/>
              </w:rPr>
              <w:t>&lt;0.01</w:t>
            </w:r>
          </w:p>
        </w:tc>
        <w:tc>
          <w:tcPr>
            <w:tcW w:w="826" w:type="dxa"/>
            <w:vAlign w:val="center"/>
          </w:tcPr>
          <w:p w14:paraId="08AA0813">
            <w:pPr>
              <w:pStyle w:val="557"/>
            </w:pPr>
            <w:r>
              <w:rPr>
                <w:rFonts w:hint="eastAsia"/>
              </w:rPr>
              <w:t>/</w:t>
            </w:r>
          </w:p>
        </w:tc>
        <w:tc>
          <w:tcPr>
            <w:tcW w:w="1037" w:type="dxa"/>
            <w:vAlign w:val="center"/>
          </w:tcPr>
          <w:p w14:paraId="7E046B88">
            <w:pPr>
              <w:pStyle w:val="557"/>
              <w:rPr>
                <w:rFonts w:eastAsia="等线"/>
                <w:color w:val="FF0000"/>
              </w:rPr>
            </w:pPr>
            <w:r>
              <w:rPr>
                <w:rFonts w:hint="eastAsia"/>
              </w:rPr>
              <w:t>&lt;0.01</w:t>
            </w:r>
          </w:p>
        </w:tc>
        <w:tc>
          <w:tcPr>
            <w:tcW w:w="848" w:type="dxa"/>
            <w:vAlign w:val="center"/>
          </w:tcPr>
          <w:p w14:paraId="0A9E4E2D">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70" w:type="dxa"/>
            <w:vAlign w:val="center"/>
          </w:tcPr>
          <w:p w14:paraId="7629BAEF">
            <w:pPr>
              <w:pStyle w:val="557"/>
              <w:rPr>
                <w:rFonts w:eastAsia="等线"/>
                <w:color w:val="FF0000"/>
              </w:rPr>
            </w:pPr>
            <w:r>
              <w:rPr>
                <w:rFonts w:hint="eastAsia"/>
              </w:rPr>
              <w:t>&lt;0.01</w:t>
            </w:r>
          </w:p>
        </w:tc>
        <w:tc>
          <w:tcPr>
            <w:tcW w:w="890" w:type="dxa"/>
            <w:vAlign w:val="center"/>
          </w:tcPr>
          <w:p w14:paraId="39F55192">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69" w:type="dxa"/>
            <w:vAlign w:val="center"/>
          </w:tcPr>
          <w:p w14:paraId="13471380">
            <w:pPr>
              <w:pStyle w:val="557"/>
              <w:rPr>
                <w:rFonts w:eastAsia="等线"/>
                <w:color w:val="FF0000"/>
              </w:rPr>
            </w:pPr>
            <w:r>
              <w:rPr>
                <w:rFonts w:hint="eastAsia"/>
              </w:rPr>
              <w:t>&lt;0.01</w:t>
            </w:r>
          </w:p>
        </w:tc>
        <w:tc>
          <w:tcPr>
            <w:tcW w:w="972" w:type="dxa"/>
            <w:vAlign w:val="center"/>
          </w:tcPr>
          <w:p w14:paraId="28C3D797">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8" w:type="dxa"/>
            <w:vAlign w:val="center"/>
          </w:tcPr>
          <w:p w14:paraId="7C327745">
            <w:pPr>
              <w:pStyle w:val="557"/>
              <w:rPr>
                <w:rFonts w:eastAsia="等线"/>
              </w:rPr>
            </w:pPr>
            <w:r>
              <w:rPr>
                <w:rFonts w:hint="eastAsia"/>
              </w:rPr>
              <w:t>&lt;0.01</w:t>
            </w:r>
          </w:p>
        </w:tc>
        <w:tc>
          <w:tcPr>
            <w:tcW w:w="1161" w:type="dxa"/>
            <w:vAlign w:val="center"/>
          </w:tcPr>
          <w:p w14:paraId="371693D8">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79" w:type="dxa"/>
            <w:vAlign w:val="center"/>
          </w:tcPr>
          <w:p w14:paraId="7832900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135</w:t>
            </w:r>
          </w:p>
        </w:tc>
      </w:tr>
      <w:tr w14:paraId="48D8C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701" w:type="dxa"/>
            <w:vAlign w:val="center"/>
          </w:tcPr>
          <w:p w14:paraId="1C05935C">
            <w:pPr>
              <w:jc w:val="center"/>
              <w:rPr>
                <w:rFonts w:hint="eastAsia"/>
                <w:color w:val="000000"/>
                <w:sz w:val="18"/>
                <w:szCs w:val="18"/>
              </w:rPr>
            </w:pPr>
            <w:r>
              <w:rPr>
                <w:rFonts w:hint="eastAsia"/>
                <w:color w:val="000000"/>
                <w:sz w:val="18"/>
                <w:szCs w:val="18"/>
              </w:rPr>
              <w:t>石油烃（</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10</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40</w:t>
            </w:r>
            <w:r>
              <w:rPr>
                <w:rFonts w:hint="eastAsia"/>
                <w:color w:val="000000"/>
                <w:sz w:val="18"/>
                <w:szCs w:val="18"/>
              </w:rPr>
              <w:t>）</w:t>
            </w:r>
          </w:p>
        </w:tc>
        <w:tc>
          <w:tcPr>
            <w:tcW w:w="1037" w:type="dxa"/>
            <w:vAlign w:val="center"/>
          </w:tcPr>
          <w:p w14:paraId="1CF2E686">
            <w:pPr>
              <w:pStyle w:val="557"/>
              <w:rPr>
                <w:rFonts w:eastAsia="等线"/>
                <w:color w:val="FF0000"/>
              </w:rPr>
            </w:pPr>
            <w:r>
              <w:rPr>
                <w:rFonts w:hint="eastAsia"/>
              </w:rPr>
              <w:t>38</w:t>
            </w:r>
          </w:p>
        </w:tc>
        <w:tc>
          <w:tcPr>
            <w:tcW w:w="809" w:type="dxa"/>
            <w:vAlign w:val="center"/>
          </w:tcPr>
          <w:p w14:paraId="2D825BB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0.008</w:t>
            </w:r>
          </w:p>
        </w:tc>
        <w:tc>
          <w:tcPr>
            <w:tcW w:w="1038" w:type="dxa"/>
            <w:vAlign w:val="center"/>
          </w:tcPr>
          <w:p w14:paraId="7D04C4A1">
            <w:pPr>
              <w:pStyle w:val="557"/>
              <w:rPr>
                <w:rFonts w:eastAsia="等线"/>
                <w:color w:val="FF0000"/>
              </w:rPr>
            </w:pPr>
            <w:r>
              <w:rPr>
                <w:rFonts w:hint="eastAsia"/>
              </w:rPr>
              <w:t>30</w:t>
            </w:r>
          </w:p>
        </w:tc>
        <w:tc>
          <w:tcPr>
            <w:tcW w:w="826" w:type="dxa"/>
            <w:vAlign w:val="center"/>
          </w:tcPr>
          <w:p w14:paraId="3AF85631">
            <w:pPr>
              <w:pStyle w:val="557"/>
            </w:pPr>
            <w:r>
              <w:t>0.006</w:t>
            </w:r>
          </w:p>
        </w:tc>
        <w:tc>
          <w:tcPr>
            <w:tcW w:w="1037" w:type="dxa"/>
            <w:vAlign w:val="center"/>
          </w:tcPr>
          <w:p w14:paraId="640F5976">
            <w:pPr>
              <w:pStyle w:val="557"/>
              <w:rPr>
                <w:rFonts w:eastAsia="等线"/>
                <w:color w:val="FF0000"/>
              </w:rPr>
            </w:pPr>
            <w:r>
              <w:rPr>
                <w:rFonts w:hint="eastAsia"/>
              </w:rPr>
              <w:t>19</w:t>
            </w:r>
          </w:p>
        </w:tc>
        <w:tc>
          <w:tcPr>
            <w:tcW w:w="848" w:type="dxa"/>
            <w:vAlign w:val="center"/>
          </w:tcPr>
          <w:p w14:paraId="3BE7DE8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1070" w:type="dxa"/>
            <w:vAlign w:val="center"/>
          </w:tcPr>
          <w:p w14:paraId="4950D901">
            <w:pPr>
              <w:pStyle w:val="557"/>
              <w:rPr>
                <w:rFonts w:eastAsia="等线"/>
                <w:color w:val="FF0000"/>
              </w:rPr>
            </w:pPr>
            <w:r>
              <w:rPr>
                <w:rFonts w:hint="eastAsia"/>
              </w:rPr>
              <w:t>37</w:t>
            </w:r>
          </w:p>
        </w:tc>
        <w:tc>
          <w:tcPr>
            <w:tcW w:w="890" w:type="dxa"/>
            <w:vAlign w:val="center"/>
          </w:tcPr>
          <w:p w14:paraId="3DA1CDC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0.008</w:t>
            </w:r>
          </w:p>
        </w:tc>
        <w:tc>
          <w:tcPr>
            <w:tcW w:w="1069" w:type="dxa"/>
            <w:vAlign w:val="center"/>
          </w:tcPr>
          <w:p w14:paraId="03606A5F">
            <w:pPr>
              <w:pStyle w:val="557"/>
              <w:rPr>
                <w:rFonts w:eastAsia="等线"/>
                <w:color w:val="FF0000"/>
              </w:rPr>
            </w:pPr>
            <w:r>
              <w:rPr>
                <w:rFonts w:hint="eastAsia"/>
              </w:rPr>
              <w:t>28</w:t>
            </w:r>
          </w:p>
        </w:tc>
        <w:tc>
          <w:tcPr>
            <w:tcW w:w="972" w:type="dxa"/>
            <w:vAlign w:val="center"/>
          </w:tcPr>
          <w:p w14:paraId="24DD638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0.006</w:t>
            </w:r>
          </w:p>
        </w:tc>
        <w:tc>
          <w:tcPr>
            <w:tcW w:w="1038" w:type="dxa"/>
            <w:vAlign w:val="center"/>
          </w:tcPr>
          <w:p w14:paraId="5C40018A">
            <w:pPr>
              <w:pStyle w:val="557"/>
              <w:rPr>
                <w:rFonts w:eastAsia="等线"/>
              </w:rPr>
            </w:pPr>
            <w:r>
              <w:rPr>
                <w:rFonts w:hint="eastAsia"/>
              </w:rPr>
              <w:t>20</w:t>
            </w:r>
          </w:p>
        </w:tc>
        <w:tc>
          <w:tcPr>
            <w:tcW w:w="1161" w:type="dxa"/>
            <w:vAlign w:val="center"/>
          </w:tcPr>
          <w:p w14:paraId="1E88009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679" w:type="dxa"/>
            <w:vAlign w:val="center"/>
          </w:tcPr>
          <w:p w14:paraId="628CA66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4500</w:t>
            </w:r>
          </w:p>
        </w:tc>
      </w:tr>
    </w:tbl>
    <w:p w14:paraId="3FF1D749">
      <w:pPr>
        <w:pStyle w:val="541"/>
        <w:rPr>
          <w:rFonts w:hint="eastAsia"/>
        </w:rPr>
      </w:pPr>
      <w:r>
        <w:rPr>
          <w:rFonts w:hint="eastAsia"/>
          <w:color w:val="000000" w:themeColor="text1"/>
          <w14:textFill>
            <w14:solidFill>
              <w14:schemeClr w14:val="tx1"/>
            </w14:solidFill>
          </w14:textFill>
        </w:rPr>
        <w:t>表4.3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厂界内外表层土壤特征因子监测结果</w:t>
      </w:r>
      <w:r>
        <w:rPr>
          <w:rFonts w:hint="eastAsia"/>
        </w:rPr>
        <w:t>一览表</w:t>
      </w:r>
    </w:p>
    <w:tbl>
      <w:tblPr>
        <w:tblStyle w:val="65"/>
        <w:tblW w:w="14317" w:type="dxa"/>
        <w:jc w:val="center"/>
        <w:tblLayout w:type="autofit"/>
        <w:tblCellMar>
          <w:top w:w="0" w:type="dxa"/>
          <w:left w:w="108" w:type="dxa"/>
          <w:bottom w:w="0" w:type="dxa"/>
          <w:right w:w="108" w:type="dxa"/>
        </w:tblCellMar>
      </w:tblPr>
      <w:tblGrid>
        <w:gridCol w:w="1980"/>
        <w:gridCol w:w="1569"/>
        <w:gridCol w:w="1161"/>
        <w:gridCol w:w="1116"/>
        <w:gridCol w:w="1161"/>
        <w:gridCol w:w="1037"/>
        <w:gridCol w:w="1161"/>
        <w:gridCol w:w="1107"/>
        <w:gridCol w:w="1161"/>
        <w:gridCol w:w="1037"/>
        <w:gridCol w:w="1161"/>
        <w:gridCol w:w="666"/>
      </w:tblGrid>
      <w:tr w14:paraId="474E4C90">
        <w:tblPrEx>
          <w:tblCellMar>
            <w:top w:w="0" w:type="dxa"/>
            <w:left w:w="108" w:type="dxa"/>
            <w:bottom w:w="0" w:type="dxa"/>
            <w:right w:w="108" w:type="dxa"/>
          </w:tblCellMar>
        </w:tblPrEx>
        <w:trPr>
          <w:trHeight w:val="284" w:hRule="atLeast"/>
          <w:jc w:val="center"/>
        </w:trPr>
        <w:tc>
          <w:tcPr>
            <w:tcW w:w="1980" w:type="dxa"/>
            <w:tcBorders>
              <w:top w:val="single" w:color="auto" w:sz="4" w:space="0"/>
              <w:left w:val="single" w:color="auto" w:sz="4" w:space="0"/>
              <w:bottom w:val="single" w:color="auto" w:sz="4" w:space="0"/>
              <w:right w:val="single" w:color="auto" w:sz="4" w:space="0"/>
            </w:tcBorders>
            <w:noWrap/>
            <w:vAlign w:val="center"/>
          </w:tcPr>
          <w:p w14:paraId="3BDCDC25">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监测点</w:t>
            </w:r>
          </w:p>
        </w:tc>
        <w:tc>
          <w:tcPr>
            <w:tcW w:w="2730" w:type="dxa"/>
            <w:gridSpan w:val="2"/>
            <w:tcBorders>
              <w:top w:val="single" w:color="auto" w:sz="4" w:space="0"/>
              <w:left w:val="nil"/>
              <w:bottom w:val="single" w:color="auto" w:sz="4" w:space="0"/>
              <w:right w:val="single" w:color="auto" w:sz="4" w:space="0"/>
            </w:tcBorders>
            <w:noWrap/>
            <w:vAlign w:val="center"/>
          </w:tcPr>
          <w:p w14:paraId="22F63C01">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厂界内1#表层样</w:t>
            </w:r>
          </w:p>
        </w:tc>
        <w:tc>
          <w:tcPr>
            <w:tcW w:w="2277" w:type="dxa"/>
            <w:gridSpan w:val="2"/>
            <w:tcBorders>
              <w:top w:val="single" w:color="auto" w:sz="4" w:space="0"/>
              <w:left w:val="nil"/>
              <w:bottom w:val="single" w:color="auto" w:sz="4" w:space="0"/>
              <w:right w:val="single" w:color="auto" w:sz="4" w:space="0"/>
            </w:tcBorders>
            <w:noWrap/>
            <w:vAlign w:val="center"/>
          </w:tcPr>
          <w:p w14:paraId="5B68AD8E">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厂界外1#表层样</w:t>
            </w:r>
          </w:p>
        </w:tc>
        <w:tc>
          <w:tcPr>
            <w:tcW w:w="2198" w:type="dxa"/>
            <w:gridSpan w:val="2"/>
            <w:tcBorders>
              <w:top w:val="single" w:color="auto" w:sz="4" w:space="0"/>
              <w:left w:val="nil"/>
              <w:bottom w:val="single" w:color="auto" w:sz="4" w:space="0"/>
              <w:right w:val="single" w:color="auto" w:sz="4" w:space="0"/>
            </w:tcBorders>
            <w:noWrap/>
            <w:vAlign w:val="center"/>
          </w:tcPr>
          <w:p w14:paraId="59D70D75">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厂界外2#表层样</w:t>
            </w:r>
          </w:p>
        </w:tc>
        <w:tc>
          <w:tcPr>
            <w:tcW w:w="2268" w:type="dxa"/>
            <w:gridSpan w:val="2"/>
            <w:tcBorders>
              <w:top w:val="single" w:color="auto" w:sz="4" w:space="0"/>
              <w:left w:val="nil"/>
              <w:bottom w:val="single" w:color="auto" w:sz="4" w:space="0"/>
              <w:right w:val="single" w:color="auto" w:sz="4" w:space="0"/>
            </w:tcBorders>
            <w:noWrap/>
            <w:vAlign w:val="center"/>
          </w:tcPr>
          <w:p w14:paraId="2A2C186C">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厂界外3#表层样</w:t>
            </w:r>
          </w:p>
        </w:tc>
        <w:tc>
          <w:tcPr>
            <w:tcW w:w="2198" w:type="dxa"/>
            <w:gridSpan w:val="2"/>
            <w:tcBorders>
              <w:top w:val="single" w:color="auto" w:sz="4" w:space="0"/>
              <w:left w:val="nil"/>
              <w:bottom w:val="single" w:color="auto" w:sz="4" w:space="0"/>
              <w:right w:val="single" w:color="auto" w:sz="4" w:space="0"/>
            </w:tcBorders>
            <w:noWrap/>
            <w:vAlign w:val="center"/>
          </w:tcPr>
          <w:p w14:paraId="78B1B5AE">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厂界外4#表层样</w:t>
            </w: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5493DB3B">
            <w:pPr>
              <w:jc w:val="center"/>
              <w:rPr>
                <w:rFonts w:ascii="Times New Roman" w:hAnsi="Times New Roman" w:cs="Times New Roman"/>
                <w:color w:val="000000"/>
                <w:sz w:val="18"/>
                <w:szCs w:val="18"/>
              </w:rPr>
            </w:pPr>
            <w:r>
              <w:rPr>
                <w:rFonts w:ascii="Times New Roman" w:hAnsi="Times New Roman" w:cs="Times New Roman"/>
                <w:color w:val="000000"/>
                <w:sz w:val="18"/>
                <w:szCs w:val="18"/>
              </w:rPr>
              <w:t>标准值</w:t>
            </w:r>
          </w:p>
        </w:tc>
      </w:tr>
      <w:tr w14:paraId="3A55774B">
        <w:tblPrEx>
          <w:tblCellMar>
            <w:top w:w="0" w:type="dxa"/>
            <w:left w:w="108" w:type="dxa"/>
            <w:bottom w:w="0" w:type="dxa"/>
            <w:right w:w="108" w:type="dxa"/>
          </w:tblCellMar>
        </w:tblPrEx>
        <w:trPr>
          <w:trHeight w:val="284" w:hRule="atLeast"/>
          <w:jc w:val="center"/>
        </w:trPr>
        <w:tc>
          <w:tcPr>
            <w:tcW w:w="1980" w:type="dxa"/>
            <w:vMerge w:val="restart"/>
            <w:tcBorders>
              <w:top w:val="nil"/>
              <w:left w:val="single" w:color="auto" w:sz="4" w:space="0"/>
              <w:bottom w:val="single" w:color="auto" w:sz="4" w:space="0"/>
              <w:right w:val="single" w:color="auto" w:sz="4" w:space="0"/>
            </w:tcBorders>
            <w:noWrap/>
            <w:vAlign w:val="center"/>
          </w:tcPr>
          <w:p w14:paraId="21DBF9E5">
            <w:pPr>
              <w:jc w:val="center"/>
              <w:rPr>
                <w:rFonts w:ascii="Times New Roman" w:hAnsi="Times New Roman" w:cs="Times New Roman"/>
                <w:color w:val="000000"/>
                <w:sz w:val="18"/>
                <w:szCs w:val="18"/>
              </w:rPr>
            </w:pPr>
            <w:r>
              <w:rPr>
                <w:rFonts w:ascii="Times New Roman" w:hAnsi="Times New Roman" w:cs="Times New Roman"/>
                <w:color w:val="000000"/>
                <w:sz w:val="18"/>
                <w:szCs w:val="18"/>
              </w:rPr>
              <w:t>采样深度（cm）</w:t>
            </w:r>
          </w:p>
        </w:tc>
        <w:tc>
          <w:tcPr>
            <w:tcW w:w="2730" w:type="dxa"/>
            <w:gridSpan w:val="2"/>
            <w:tcBorders>
              <w:top w:val="single" w:color="auto" w:sz="4" w:space="0"/>
              <w:left w:val="nil"/>
              <w:bottom w:val="single" w:color="auto" w:sz="4" w:space="0"/>
              <w:right w:val="single" w:color="auto" w:sz="4" w:space="0"/>
            </w:tcBorders>
            <w:vAlign w:val="center"/>
          </w:tcPr>
          <w:p w14:paraId="0F0E87E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0-20</w:t>
            </w:r>
          </w:p>
        </w:tc>
        <w:tc>
          <w:tcPr>
            <w:tcW w:w="2277" w:type="dxa"/>
            <w:gridSpan w:val="2"/>
            <w:tcBorders>
              <w:top w:val="single" w:color="auto" w:sz="4" w:space="0"/>
              <w:left w:val="nil"/>
              <w:bottom w:val="single" w:color="auto" w:sz="4" w:space="0"/>
              <w:right w:val="single" w:color="auto" w:sz="4" w:space="0"/>
            </w:tcBorders>
            <w:vAlign w:val="center"/>
          </w:tcPr>
          <w:p w14:paraId="3B808E3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0-20</w:t>
            </w:r>
          </w:p>
        </w:tc>
        <w:tc>
          <w:tcPr>
            <w:tcW w:w="2198" w:type="dxa"/>
            <w:gridSpan w:val="2"/>
            <w:tcBorders>
              <w:top w:val="single" w:color="auto" w:sz="4" w:space="0"/>
              <w:left w:val="nil"/>
              <w:bottom w:val="single" w:color="auto" w:sz="4" w:space="0"/>
              <w:right w:val="single" w:color="auto" w:sz="4" w:space="0"/>
            </w:tcBorders>
            <w:vAlign w:val="center"/>
          </w:tcPr>
          <w:p w14:paraId="4DDCEA5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0-20</w:t>
            </w:r>
          </w:p>
        </w:tc>
        <w:tc>
          <w:tcPr>
            <w:tcW w:w="2268" w:type="dxa"/>
            <w:gridSpan w:val="2"/>
            <w:tcBorders>
              <w:top w:val="single" w:color="auto" w:sz="4" w:space="0"/>
              <w:left w:val="nil"/>
              <w:bottom w:val="single" w:color="auto" w:sz="4" w:space="0"/>
              <w:right w:val="single" w:color="auto" w:sz="4" w:space="0"/>
            </w:tcBorders>
            <w:vAlign w:val="center"/>
          </w:tcPr>
          <w:p w14:paraId="2F17BA7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0-20</w:t>
            </w:r>
          </w:p>
        </w:tc>
        <w:tc>
          <w:tcPr>
            <w:tcW w:w="2198" w:type="dxa"/>
            <w:gridSpan w:val="2"/>
            <w:tcBorders>
              <w:top w:val="single" w:color="auto" w:sz="4" w:space="0"/>
              <w:left w:val="nil"/>
              <w:bottom w:val="single" w:color="auto" w:sz="4" w:space="0"/>
              <w:right w:val="single" w:color="auto" w:sz="4" w:space="0"/>
            </w:tcBorders>
            <w:vAlign w:val="center"/>
          </w:tcPr>
          <w:p w14:paraId="3C59486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0-20</w:t>
            </w: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83BD489">
            <w:pPr>
              <w:jc w:val="center"/>
              <w:rPr>
                <w:rFonts w:ascii="Times New Roman" w:hAnsi="Times New Roman" w:cs="Times New Roman"/>
                <w:color w:val="000000"/>
                <w:sz w:val="18"/>
                <w:szCs w:val="18"/>
              </w:rPr>
            </w:pPr>
          </w:p>
        </w:tc>
      </w:tr>
      <w:tr w14:paraId="409F26CC">
        <w:tblPrEx>
          <w:tblCellMar>
            <w:top w:w="0" w:type="dxa"/>
            <w:left w:w="108" w:type="dxa"/>
            <w:bottom w:w="0" w:type="dxa"/>
            <w:right w:w="108" w:type="dxa"/>
          </w:tblCellMar>
        </w:tblPrEx>
        <w:trPr>
          <w:trHeight w:val="284"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7BCE44D2">
            <w:pPr>
              <w:jc w:val="center"/>
              <w:rPr>
                <w:rFonts w:ascii="Times New Roman" w:hAnsi="Times New Roman" w:cs="Times New Roman"/>
                <w:color w:val="000000"/>
                <w:sz w:val="18"/>
                <w:szCs w:val="18"/>
              </w:rPr>
            </w:pPr>
          </w:p>
        </w:tc>
        <w:tc>
          <w:tcPr>
            <w:tcW w:w="1569" w:type="dxa"/>
            <w:tcBorders>
              <w:top w:val="nil"/>
              <w:left w:val="nil"/>
              <w:bottom w:val="single" w:color="auto" w:sz="4" w:space="0"/>
              <w:right w:val="single" w:color="auto" w:sz="4" w:space="0"/>
            </w:tcBorders>
            <w:vAlign w:val="center"/>
          </w:tcPr>
          <w:p w14:paraId="33331E8E">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监测值（mg/kg）</w:t>
            </w:r>
          </w:p>
        </w:tc>
        <w:tc>
          <w:tcPr>
            <w:tcW w:w="1161" w:type="dxa"/>
            <w:tcBorders>
              <w:top w:val="nil"/>
              <w:left w:val="nil"/>
              <w:bottom w:val="single" w:color="auto" w:sz="4" w:space="0"/>
              <w:right w:val="single" w:color="auto" w:sz="4" w:space="0"/>
            </w:tcBorders>
            <w:vAlign w:val="center"/>
          </w:tcPr>
          <w:p w14:paraId="4B28079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116" w:type="dxa"/>
            <w:tcBorders>
              <w:top w:val="nil"/>
              <w:left w:val="nil"/>
              <w:bottom w:val="single" w:color="auto" w:sz="4" w:space="0"/>
              <w:right w:val="single" w:color="auto" w:sz="4" w:space="0"/>
            </w:tcBorders>
            <w:vAlign w:val="center"/>
          </w:tcPr>
          <w:p w14:paraId="59B77202">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监测值（mg/kg）</w:t>
            </w:r>
          </w:p>
        </w:tc>
        <w:tc>
          <w:tcPr>
            <w:tcW w:w="1161" w:type="dxa"/>
            <w:tcBorders>
              <w:top w:val="nil"/>
              <w:left w:val="nil"/>
              <w:bottom w:val="single" w:color="auto" w:sz="4" w:space="0"/>
              <w:right w:val="single" w:color="auto" w:sz="4" w:space="0"/>
            </w:tcBorders>
            <w:vAlign w:val="center"/>
          </w:tcPr>
          <w:p w14:paraId="6D9DAE3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7" w:type="dxa"/>
            <w:tcBorders>
              <w:top w:val="nil"/>
              <w:left w:val="nil"/>
              <w:bottom w:val="single" w:color="auto" w:sz="4" w:space="0"/>
              <w:right w:val="single" w:color="auto" w:sz="4" w:space="0"/>
            </w:tcBorders>
            <w:vAlign w:val="center"/>
          </w:tcPr>
          <w:p w14:paraId="55322922">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监测值（mg/kg）</w:t>
            </w:r>
          </w:p>
        </w:tc>
        <w:tc>
          <w:tcPr>
            <w:tcW w:w="1161" w:type="dxa"/>
            <w:tcBorders>
              <w:top w:val="nil"/>
              <w:left w:val="nil"/>
              <w:bottom w:val="single" w:color="auto" w:sz="4" w:space="0"/>
              <w:right w:val="single" w:color="auto" w:sz="4" w:space="0"/>
            </w:tcBorders>
            <w:vAlign w:val="center"/>
          </w:tcPr>
          <w:p w14:paraId="0060E89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107" w:type="dxa"/>
            <w:tcBorders>
              <w:top w:val="nil"/>
              <w:left w:val="nil"/>
              <w:bottom w:val="single" w:color="auto" w:sz="4" w:space="0"/>
              <w:right w:val="single" w:color="auto" w:sz="4" w:space="0"/>
            </w:tcBorders>
            <w:vAlign w:val="center"/>
          </w:tcPr>
          <w:p w14:paraId="20C72679">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监测值（mg/kg）</w:t>
            </w:r>
          </w:p>
        </w:tc>
        <w:tc>
          <w:tcPr>
            <w:tcW w:w="1161" w:type="dxa"/>
            <w:tcBorders>
              <w:top w:val="nil"/>
              <w:left w:val="nil"/>
              <w:bottom w:val="single" w:color="auto" w:sz="4" w:space="0"/>
              <w:right w:val="single" w:color="auto" w:sz="4" w:space="0"/>
            </w:tcBorders>
            <w:vAlign w:val="center"/>
          </w:tcPr>
          <w:p w14:paraId="131BA5F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1037" w:type="dxa"/>
            <w:tcBorders>
              <w:top w:val="nil"/>
              <w:left w:val="nil"/>
              <w:bottom w:val="single" w:color="auto" w:sz="4" w:space="0"/>
              <w:right w:val="single" w:color="auto" w:sz="4" w:space="0"/>
            </w:tcBorders>
            <w:vAlign w:val="center"/>
          </w:tcPr>
          <w:p w14:paraId="26BB74FD">
            <w:pPr>
              <w:jc w:val="center"/>
              <w:rPr>
                <w:rFonts w:ascii="Times New Roman" w:hAnsi="Times New Roman" w:cs="Times New Roman"/>
                <w:color w:val="000000"/>
                <w:sz w:val="18"/>
                <w:szCs w:val="18"/>
              </w:rPr>
            </w:pPr>
            <w:r>
              <w:rPr>
                <w:rFonts w:ascii="Times New Roman" w:hAnsi="Times New Roman" w:cs="Times New Roman"/>
                <w:color w:val="000000"/>
                <w:sz w:val="18"/>
                <w:szCs w:val="18"/>
              </w:rPr>
              <w:t>监测值（mg/kg）</w:t>
            </w:r>
          </w:p>
        </w:tc>
        <w:tc>
          <w:tcPr>
            <w:tcW w:w="1161" w:type="dxa"/>
            <w:tcBorders>
              <w:top w:val="nil"/>
              <w:left w:val="nil"/>
              <w:bottom w:val="single" w:color="auto" w:sz="4" w:space="0"/>
              <w:right w:val="single" w:color="auto" w:sz="4" w:space="0"/>
            </w:tcBorders>
            <w:vAlign w:val="center"/>
          </w:tcPr>
          <w:p w14:paraId="0083C97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Pi</w:t>
            </w: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5AD536AB">
            <w:pPr>
              <w:jc w:val="center"/>
              <w:rPr>
                <w:rFonts w:ascii="Times New Roman" w:hAnsi="Times New Roman" w:cs="Times New Roman"/>
                <w:color w:val="000000"/>
                <w:sz w:val="18"/>
                <w:szCs w:val="18"/>
              </w:rPr>
            </w:pPr>
          </w:p>
        </w:tc>
      </w:tr>
      <w:tr w14:paraId="785AC19D">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34A03BE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pH</w:t>
            </w:r>
          </w:p>
        </w:tc>
        <w:tc>
          <w:tcPr>
            <w:tcW w:w="1569" w:type="dxa"/>
            <w:tcBorders>
              <w:top w:val="nil"/>
              <w:left w:val="nil"/>
              <w:bottom w:val="single" w:color="auto" w:sz="4" w:space="0"/>
              <w:right w:val="single" w:color="auto" w:sz="4" w:space="0"/>
            </w:tcBorders>
            <w:vAlign w:val="center"/>
          </w:tcPr>
          <w:p w14:paraId="0226AD97">
            <w:pPr>
              <w:pStyle w:val="557"/>
              <w:rPr>
                <w:rFonts w:eastAsia="等线"/>
              </w:rPr>
            </w:pPr>
            <w:r>
              <w:rPr>
                <w:rFonts w:hint="eastAsia"/>
              </w:rPr>
              <w:t>7.92</w:t>
            </w:r>
          </w:p>
        </w:tc>
        <w:tc>
          <w:tcPr>
            <w:tcW w:w="1161" w:type="dxa"/>
            <w:tcBorders>
              <w:top w:val="nil"/>
              <w:left w:val="nil"/>
              <w:bottom w:val="single" w:color="auto" w:sz="4" w:space="0"/>
              <w:right w:val="single" w:color="auto" w:sz="4" w:space="0"/>
            </w:tcBorders>
            <w:vAlign w:val="center"/>
          </w:tcPr>
          <w:p w14:paraId="20DE34D4">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16" w:type="dxa"/>
            <w:tcBorders>
              <w:top w:val="nil"/>
              <w:left w:val="nil"/>
              <w:bottom w:val="single" w:color="auto" w:sz="4" w:space="0"/>
              <w:right w:val="single" w:color="auto" w:sz="4" w:space="0"/>
            </w:tcBorders>
            <w:vAlign w:val="center"/>
          </w:tcPr>
          <w:p w14:paraId="079D5AA0">
            <w:pPr>
              <w:pStyle w:val="557"/>
              <w:rPr>
                <w:rFonts w:eastAsia="等线"/>
              </w:rPr>
            </w:pPr>
            <w:r>
              <w:rPr>
                <w:rFonts w:hint="eastAsia"/>
              </w:rPr>
              <w:t>7.64</w:t>
            </w:r>
          </w:p>
        </w:tc>
        <w:tc>
          <w:tcPr>
            <w:tcW w:w="1161" w:type="dxa"/>
            <w:tcBorders>
              <w:top w:val="nil"/>
              <w:left w:val="nil"/>
              <w:bottom w:val="single" w:color="auto" w:sz="4" w:space="0"/>
              <w:right w:val="single" w:color="auto" w:sz="4" w:space="0"/>
            </w:tcBorders>
            <w:vAlign w:val="center"/>
          </w:tcPr>
          <w:p w14:paraId="3AAA59AF">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343F52D6">
            <w:pPr>
              <w:pStyle w:val="557"/>
              <w:rPr>
                <w:rFonts w:eastAsia="等线"/>
              </w:rPr>
            </w:pPr>
            <w:r>
              <w:rPr>
                <w:rFonts w:hint="eastAsia"/>
              </w:rPr>
              <w:t>7.82</w:t>
            </w:r>
          </w:p>
        </w:tc>
        <w:tc>
          <w:tcPr>
            <w:tcW w:w="1161" w:type="dxa"/>
            <w:tcBorders>
              <w:top w:val="nil"/>
              <w:left w:val="nil"/>
              <w:bottom w:val="single" w:color="auto" w:sz="4" w:space="0"/>
              <w:right w:val="single" w:color="auto" w:sz="4" w:space="0"/>
            </w:tcBorders>
            <w:vAlign w:val="center"/>
          </w:tcPr>
          <w:p w14:paraId="7C59A16C">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07" w:type="dxa"/>
            <w:tcBorders>
              <w:top w:val="nil"/>
              <w:left w:val="nil"/>
              <w:bottom w:val="single" w:color="auto" w:sz="4" w:space="0"/>
              <w:right w:val="single" w:color="auto" w:sz="4" w:space="0"/>
            </w:tcBorders>
            <w:vAlign w:val="center"/>
          </w:tcPr>
          <w:p w14:paraId="1592A998">
            <w:pPr>
              <w:pStyle w:val="557"/>
              <w:rPr>
                <w:rFonts w:eastAsia="等线"/>
              </w:rPr>
            </w:pPr>
            <w:r>
              <w:rPr>
                <w:rFonts w:hint="eastAsia"/>
              </w:rPr>
              <w:t>8.15</w:t>
            </w:r>
          </w:p>
        </w:tc>
        <w:tc>
          <w:tcPr>
            <w:tcW w:w="1161" w:type="dxa"/>
            <w:tcBorders>
              <w:top w:val="nil"/>
              <w:left w:val="nil"/>
              <w:bottom w:val="single" w:color="auto" w:sz="4" w:space="0"/>
              <w:right w:val="single" w:color="auto" w:sz="4" w:space="0"/>
            </w:tcBorders>
            <w:vAlign w:val="center"/>
          </w:tcPr>
          <w:p w14:paraId="3680DB5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086BC8D7">
            <w:pPr>
              <w:pStyle w:val="557"/>
              <w:rPr>
                <w:rFonts w:eastAsia="等线"/>
              </w:rPr>
            </w:pPr>
            <w:r>
              <w:rPr>
                <w:rFonts w:hint="eastAsia"/>
              </w:rPr>
              <w:t>7.87</w:t>
            </w:r>
          </w:p>
        </w:tc>
        <w:tc>
          <w:tcPr>
            <w:tcW w:w="1161" w:type="dxa"/>
            <w:tcBorders>
              <w:top w:val="nil"/>
              <w:left w:val="nil"/>
              <w:bottom w:val="single" w:color="auto" w:sz="4" w:space="0"/>
              <w:right w:val="single" w:color="auto" w:sz="4" w:space="0"/>
            </w:tcBorders>
            <w:vAlign w:val="center"/>
          </w:tcPr>
          <w:p w14:paraId="2A049BF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66" w:type="dxa"/>
            <w:tcBorders>
              <w:top w:val="nil"/>
              <w:left w:val="nil"/>
              <w:bottom w:val="single" w:color="auto" w:sz="4" w:space="0"/>
              <w:right w:val="single" w:color="auto" w:sz="4" w:space="0"/>
            </w:tcBorders>
            <w:vAlign w:val="center"/>
          </w:tcPr>
          <w:p w14:paraId="0DE07E5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r>
      <w:tr w14:paraId="44BB4C0D">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4CC29C38">
            <w:pPr>
              <w:jc w:val="center"/>
              <w:rPr>
                <w:rFonts w:ascii="Times New Roman" w:hAnsi="Times New Roman" w:cs="Times New Roman"/>
                <w:color w:val="000000"/>
                <w:sz w:val="18"/>
                <w:szCs w:val="18"/>
              </w:rPr>
            </w:pPr>
            <w:r>
              <w:rPr>
                <w:rFonts w:ascii="Times New Roman" w:hAnsi="Times New Roman" w:cs="Times New Roman"/>
                <w:color w:val="000000"/>
                <w:sz w:val="18"/>
                <w:szCs w:val="18"/>
              </w:rPr>
              <w:t>铜</w:t>
            </w:r>
          </w:p>
        </w:tc>
        <w:tc>
          <w:tcPr>
            <w:tcW w:w="1569" w:type="dxa"/>
            <w:tcBorders>
              <w:top w:val="nil"/>
              <w:left w:val="nil"/>
              <w:bottom w:val="single" w:color="auto" w:sz="4" w:space="0"/>
              <w:right w:val="single" w:color="auto" w:sz="4" w:space="0"/>
            </w:tcBorders>
            <w:vAlign w:val="center"/>
          </w:tcPr>
          <w:p w14:paraId="60EFF7AB">
            <w:pPr>
              <w:pStyle w:val="557"/>
              <w:rPr>
                <w:rFonts w:eastAsia="等线"/>
              </w:rPr>
            </w:pPr>
            <w:r>
              <w:rPr>
                <w:rFonts w:hint="eastAsia"/>
              </w:rPr>
              <w:t>12</w:t>
            </w:r>
          </w:p>
        </w:tc>
        <w:tc>
          <w:tcPr>
            <w:tcW w:w="1161" w:type="dxa"/>
            <w:tcBorders>
              <w:top w:val="nil"/>
              <w:left w:val="nil"/>
              <w:bottom w:val="single" w:color="auto" w:sz="4" w:space="0"/>
              <w:right w:val="single" w:color="auto" w:sz="4" w:space="0"/>
            </w:tcBorders>
            <w:vAlign w:val="center"/>
          </w:tcPr>
          <w:p w14:paraId="70FD477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0.0006</w:t>
            </w:r>
          </w:p>
        </w:tc>
        <w:tc>
          <w:tcPr>
            <w:tcW w:w="1116" w:type="dxa"/>
            <w:tcBorders>
              <w:top w:val="nil"/>
              <w:left w:val="nil"/>
              <w:bottom w:val="single" w:color="auto" w:sz="4" w:space="0"/>
              <w:right w:val="single" w:color="auto" w:sz="4" w:space="0"/>
            </w:tcBorders>
            <w:vAlign w:val="center"/>
          </w:tcPr>
          <w:p w14:paraId="3FAB9319">
            <w:pPr>
              <w:pStyle w:val="557"/>
              <w:rPr>
                <w:rFonts w:eastAsia="等线"/>
              </w:rPr>
            </w:pPr>
            <w:r>
              <w:rPr>
                <w:rFonts w:hint="eastAsia"/>
              </w:rPr>
              <w:t>13</w:t>
            </w:r>
          </w:p>
        </w:tc>
        <w:tc>
          <w:tcPr>
            <w:tcW w:w="1161" w:type="dxa"/>
            <w:tcBorders>
              <w:top w:val="nil"/>
              <w:left w:val="nil"/>
              <w:bottom w:val="single" w:color="auto" w:sz="4" w:space="0"/>
              <w:right w:val="single" w:color="auto" w:sz="4" w:space="0"/>
            </w:tcBorders>
            <w:vAlign w:val="center"/>
          </w:tcPr>
          <w:p w14:paraId="3436EB1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037" w:type="dxa"/>
            <w:tcBorders>
              <w:top w:val="nil"/>
              <w:left w:val="nil"/>
              <w:bottom w:val="single" w:color="auto" w:sz="4" w:space="0"/>
              <w:right w:val="single" w:color="auto" w:sz="4" w:space="0"/>
            </w:tcBorders>
            <w:vAlign w:val="center"/>
          </w:tcPr>
          <w:p w14:paraId="39E5B65C">
            <w:pPr>
              <w:pStyle w:val="557"/>
              <w:rPr>
                <w:rFonts w:eastAsia="等线"/>
              </w:rPr>
            </w:pPr>
            <w:r>
              <w:rPr>
                <w:rFonts w:hint="eastAsia"/>
              </w:rPr>
              <w:t>13</w:t>
            </w:r>
          </w:p>
        </w:tc>
        <w:tc>
          <w:tcPr>
            <w:tcW w:w="1161" w:type="dxa"/>
            <w:tcBorders>
              <w:top w:val="nil"/>
              <w:left w:val="nil"/>
              <w:bottom w:val="single" w:color="auto" w:sz="4" w:space="0"/>
              <w:right w:val="single" w:color="auto" w:sz="4" w:space="0"/>
            </w:tcBorders>
            <w:vAlign w:val="center"/>
          </w:tcPr>
          <w:p w14:paraId="3C91BB9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107" w:type="dxa"/>
            <w:tcBorders>
              <w:top w:val="nil"/>
              <w:left w:val="nil"/>
              <w:bottom w:val="single" w:color="auto" w:sz="4" w:space="0"/>
              <w:right w:val="single" w:color="auto" w:sz="4" w:space="0"/>
            </w:tcBorders>
            <w:vAlign w:val="center"/>
          </w:tcPr>
          <w:p w14:paraId="3DD582D7">
            <w:pPr>
              <w:pStyle w:val="557"/>
              <w:rPr>
                <w:rFonts w:eastAsia="等线"/>
              </w:rPr>
            </w:pPr>
            <w:r>
              <w:rPr>
                <w:rFonts w:hint="eastAsia"/>
              </w:rPr>
              <w:t>13</w:t>
            </w:r>
          </w:p>
        </w:tc>
        <w:tc>
          <w:tcPr>
            <w:tcW w:w="1161" w:type="dxa"/>
            <w:tcBorders>
              <w:top w:val="nil"/>
              <w:left w:val="nil"/>
              <w:bottom w:val="single" w:color="auto" w:sz="4" w:space="0"/>
              <w:right w:val="single" w:color="auto" w:sz="4" w:space="0"/>
            </w:tcBorders>
            <w:vAlign w:val="center"/>
          </w:tcPr>
          <w:p w14:paraId="430951C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1037" w:type="dxa"/>
            <w:tcBorders>
              <w:top w:val="nil"/>
              <w:left w:val="nil"/>
              <w:bottom w:val="single" w:color="auto" w:sz="4" w:space="0"/>
              <w:right w:val="single" w:color="auto" w:sz="4" w:space="0"/>
            </w:tcBorders>
            <w:vAlign w:val="center"/>
          </w:tcPr>
          <w:p w14:paraId="57938A7F">
            <w:pPr>
              <w:pStyle w:val="557"/>
              <w:rPr>
                <w:rFonts w:eastAsia="等线"/>
              </w:rPr>
            </w:pPr>
            <w:r>
              <w:rPr>
                <w:rFonts w:hint="eastAsia"/>
              </w:rPr>
              <w:t>14</w:t>
            </w:r>
          </w:p>
        </w:tc>
        <w:tc>
          <w:tcPr>
            <w:tcW w:w="1161" w:type="dxa"/>
            <w:tcBorders>
              <w:top w:val="nil"/>
              <w:left w:val="nil"/>
              <w:bottom w:val="single" w:color="auto" w:sz="4" w:space="0"/>
              <w:right w:val="single" w:color="auto" w:sz="4" w:space="0"/>
            </w:tcBorders>
            <w:vAlign w:val="center"/>
          </w:tcPr>
          <w:p w14:paraId="52351B5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0.0007</w:t>
            </w:r>
          </w:p>
        </w:tc>
        <w:tc>
          <w:tcPr>
            <w:tcW w:w="666" w:type="dxa"/>
            <w:tcBorders>
              <w:top w:val="nil"/>
              <w:left w:val="nil"/>
              <w:bottom w:val="single" w:color="auto" w:sz="4" w:space="0"/>
              <w:right w:val="single" w:color="auto" w:sz="4" w:space="0"/>
            </w:tcBorders>
            <w:vAlign w:val="center"/>
          </w:tcPr>
          <w:p w14:paraId="5A67372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18000</w:t>
            </w:r>
          </w:p>
        </w:tc>
      </w:tr>
      <w:tr w14:paraId="7B4DFF9E">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60615EBF">
            <w:pPr>
              <w:jc w:val="center"/>
              <w:rPr>
                <w:rFonts w:ascii="Times New Roman" w:hAnsi="Times New Roman" w:cs="Times New Roman"/>
                <w:color w:val="000000"/>
                <w:sz w:val="18"/>
                <w:szCs w:val="18"/>
              </w:rPr>
            </w:pPr>
            <w:r>
              <w:rPr>
                <w:rFonts w:ascii="Times New Roman" w:hAnsi="Times New Roman" w:cs="Times New Roman"/>
                <w:color w:val="000000"/>
                <w:sz w:val="18"/>
                <w:szCs w:val="18"/>
              </w:rPr>
              <w:t>镍</w:t>
            </w:r>
          </w:p>
        </w:tc>
        <w:tc>
          <w:tcPr>
            <w:tcW w:w="1569" w:type="dxa"/>
            <w:tcBorders>
              <w:top w:val="nil"/>
              <w:left w:val="nil"/>
              <w:bottom w:val="single" w:color="auto" w:sz="4" w:space="0"/>
              <w:right w:val="single" w:color="auto" w:sz="4" w:space="0"/>
            </w:tcBorders>
            <w:vAlign w:val="center"/>
          </w:tcPr>
          <w:p w14:paraId="127C9EEE">
            <w:pPr>
              <w:pStyle w:val="557"/>
              <w:rPr>
                <w:rFonts w:eastAsia="等线"/>
              </w:rPr>
            </w:pPr>
            <w:r>
              <w:rPr>
                <w:rFonts w:hint="eastAsia"/>
              </w:rPr>
              <w:t>17</w:t>
            </w:r>
          </w:p>
        </w:tc>
        <w:tc>
          <w:tcPr>
            <w:tcW w:w="1161" w:type="dxa"/>
            <w:tcBorders>
              <w:top w:val="nil"/>
              <w:left w:val="nil"/>
              <w:bottom w:val="single" w:color="auto" w:sz="4" w:space="0"/>
              <w:right w:val="single" w:color="auto" w:sz="4" w:space="0"/>
            </w:tcBorders>
            <w:vAlign w:val="center"/>
          </w:tcPr>
          <w:p w14:paraId="51E9C64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1116" w:type="dxa"/>
            <w:tcBorders>
              <w:top w:val="nil"/>
              <w:left w:val="nil"/>
              <w:bottom w:val="single" w:color="auto" w:sz="4" w:space="0"/>
              <w:right w:val="single" w:color="auto" w:sz="4" w:space="0"/>
            </w:tcBorders>
            <w:vAlign w:val="center"/>
          </w:tcPr>
          <w:p w14:paraId="1067BBDA">
            <w:pPr>
              <w:pStyle w:val="557"/>
              <w:rPr>
                <w:rFonts w:eastAsia="等线"/>
              </w:rPr>
            </w:pPr>
            <w:r>
              <w:rPr>
                <w:rFonts w:hint="eastAsia"/>
              </w:rPr>
              <w:t>17</w:t>
            </w:r>
          </w:p>
        </w:tc>
        <w:tc>
          <w:tcPr>
            <w:tcW w:w="1161" w:type="dxa"/>
            <w:tcBorders>
              <w:top w:val="nil"/>
              <w:left w:val="nil"/>
              <w:bottom w:val="single" w:color="auto" w:sz="4" w:space="0"/>
              <w:right w:val="single" w:color="auto" w:sz="4" w:space="0"/>
            </w:tcBorders>
            <w:vAlign w:val="center"/>
          </w:tcPr>
          <w:p w14:paraId="769E66EB">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0.018</w:t>
            </w:r>
          </w:p>
        </w:tc>
        <w:tc>
          <w:tcPr>
            <w:tcW w:w="1037" w:type="dxa"/>
            <w:tcBorders>
              <w:top w:val="nil"/>
              <w:left w:val="nil"/>
              <w:bottom w:val="single" w:color="auto" w:sz="4" w:space="0"/>
              <w:right w:val="single" w:color="auto" w:sz="4" w:space="0"/>
            </w:tcBorders>
            <w:vAlign w:val="center"/>
          </w:tcPr>
          <w:p w14:paraId="35DF4593">
            <w:pPr>
              <w:pStyle w:val="557"/>
              <w:rPr>
                <w:rFonts w:eastAsia="等线"/>
              </w:rPr>
            </w:pPr>
            <w:r>
              <w:rPr>
                <w:rFonts w:hint="eastAsia"/>
              </w:rPr>
              <w:t>23</w:t>
            </w:r>
          </w:p>
        </w:tc>
        <w:tc>
          <w:tcPr>
            <w:tcW w:w="1161" w:type="dxa"/>
            <w:tcBorders>
              <w:top w:val="nil"/>
              <w:left w:val="nil"/>
              <w:bottom w:val="single" w:color="auto" w:sz="4" w:space="0"/>
              <w:right w:val="single" w:color="auto" w:sz="4" w:space="0"/>
            </w:tcBorders>
            <w:vAlign w:val="center"/>
          </w:tcPr>
          <w:p w14:paraId="517CEA2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0.025</w:t>
            </w:r>
          </w:p>
        </w:tc>
        <w:tc>
          <w:tcPr>
            <w:tcW w:w="1107" w:type="dxa"/>
            <w:tcBorders>
              <w:top w:val="nil"/>
              <w:left w:val="nil"/>
              <w:bottom w:val="single" w:color="auto" w:sz="4" w:space="0"/>
              <w:right w:val="single" w:color="auto" w:sz="4" w:space="0"/>
            </w:tcBorders>
            <w:vAlign w:val="center"/>
          </w:tcPr>
          <w:p w14:paraId="402F942A">
            <w:pPr>
              <w:pStyle w:val="557"/>
              <w:rPr>
                <w:rFonts w:eastAsia="等线"/>
              </w:rPr>
            </w:pPr>
            <w:r>
              <w:rPr>
                <w:rFonts w:hint="eastAsia"/>
              </w:rPr>
              <w:t>22</w:t>
            </w:r>
          </w:p>
        </w:tc>
        <w:tc>
          <w:tcPr>
            <w:tcW w:w="1161" w:type="dxa"/>
            <w:tcBorders>
              <w:top w:val="nil"/>
              <w:left w:val="nil"/>
              <w:bottom w:val="single" w:color="auto" w:sz="4" w:space="0"/>
              <w:right w:val="single" w:color="auto" w:sz="4" w:space="0"/>
            </w:tcBorders>
            <w:vAlign w:val="center"/>
          </w:tcPr>
          <w:p w14:paraId="7C53D95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0.024</w:t>
            </w:r>
          </w:p>
        </w:tc>
        <w:tc>
          <w:tcPr>
            <w:tcW w:w="1037" w:type="dxa"/>
            <w:tcBorders>
              <w:top w:val="nil"/>
              <w:left w:val="nil"/>
              <w:bottom w:val="single" w:color="auto" w:sz="4" w:space="0"/>
              <w:right w:val="single" w:color="auto" w:sz="4" w:space="0"/>
            </w:tcBorders>
            <w:vAlign w:val="center"/>
          </w:tcPr>
          <w:p w14:paraId="37C690EA">
            <w:pPr>
              <w:pStyle w:val="557"/>
              <w:rPr>
                <w:rFonts w:eastAsia="等线"/>
              </w:rPr>
            </w:pPr>
            <w:r>
              <w:rPr>
                <w:rFonts w:hint="eastAsia"/>
              </w:rPr>
              <w:t>24</w:t>
            </w:r>
          </w:p>
        </w:tc>
        <w:tc>
          <w:tcPr>
            <w:tcW w:w="1161" w:type="dxa"/>
            <w:tcBorders>
              <w:top w:val="nil"/>
              <w:left w:val="nil"/>
              <w:bottom w:val="single" w:color="auto" w:sz="4" w:space="0"/>
              <w:right w:val="single" w:color="auto" w:sz="4" w:space="0"/>
            </w:tcBorders>
            <w:vAlign w:val="center"/>
          </w:tcPr>
          <w:p w14:paraId="57B22976">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0.026</w:t>
            </w:r>
          </w:p>
        </w:tc>
        <w:tc>
          <w:tcPr>
            <w:tcW w:w="666" w:type="dxa"/>
            <w:tcBorders>
              <w:top w:val="nil"/>
              <w:left w:val="nil"/>
              <w:bottom w:val="single" w:color="auto" w:sz="4" w:space="0"/>
              <w:right w:val="single" w:color="auto" w:sz="4" w:space="0"/>
            </w:tcBorders>
            <w:vAlign w:val="center"/>
          </w:tcPr>
          <w:p w14:paraId="68ED868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w:t>
            </w:r>
          </w:p>
        </w:tc>
      </w:tr>
      <w:tr w14:paraId="63B14293">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7A543ACB">
            <w:pPr>
              <w:jc w:val="center"/>
              <w:rPr>
                <w:rFonts w:ascii="Times New Roman" w:hAnsi="Times New Roman" w:cs="Times New Roman"/>
                <w:color w:val="000000"/>
                <w:sz w:val="18"/>
                <w:szCs w:val="18"/>
              </w:rPr>
            </w:pPr>
            <w:r>
              <w:rPr>
                <w:rFonts w:ascii="Times New Roman" w:hAnsi="Times New Roman" w:cs="Times New Roman"/>
                <w:color w:val="000000"/>
                <w:sz w:val="18"/>
                <w:szCs w:val="18"/>
              </w:rPr>
              <w:t>六价铬</w:t>
            </w:r>
          </w:p>
        </w:tc>
        <w:tc>
          <w:tcPr>
            <w:tcW w:w="1569" w:type="dxa"/>
            <w:tcBorders>
              <w:top w:val="nil"/>
              <w:left w:val="nil"/>
              <w:bottom w:val="single" w:color="auto" w:sz="4" w:space="0"/>
              <w:right w:val="single" w:color="auto" w:sz="4" w:space="0"/>
            </w:tcBorders>
            <w:vAlign w:val="center"/>
          </w:tcPr>
          <w:p w14:paraId="0C607B41">
            <w:pPr>
              <w:pStyle w:val="557"/>
              <w:rPr>
                <w:rFonts w:eastAsia="等线"/>
              </w:rPr>
            </w:pPr>
            <w:r>
              <w:rPr>
                <w:rFonts w:hint="eastAsia"/>
              </w:rPr>
              <w:t>&lt;0.5</w:t>
            </w:r>
          </w:p>
        </w:tc>
        <w:tc>
          <w:tcPr>
            <w:tcW w:w="1161" w:type="dxa"/>
            <w:tcBorders>
              <w:top w:val="nil"/>
              <w:left w:val="nil"/>
              <w:bottom w:val="single" w:color="auto" w:sz="4" w:space="0"/>
              <w:right w:val="single" w:color="auto" w:sz="4" w:space="0"/>
            </w:tcBorders>
            <w:vAlign w:val="center"/>
          </w:tcPr>
          <w:p w14:paraId="6C6529AD">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16" w:type="dxa"/>
            <w:tcBorders>
              <w:top w:val="nil"/>
              <w:left w:val="nil"/>
              <w:bottom w:val="single" w:color="auto" w:sz="4" w:space="0"/>
              <w:right w:val="single" w:color="auto" w:sz="4" w:space="0"/>
            </w:tcBorders>
            <w:vAlign w:val="center"/>
          </w:tcPr>
          <w:p w14:paraId="7FFCD378">
            <w:pPr>
              <w:pStyle w:val="557"/>
              <w:rPr>
                <w:rFonts w:eastAsia="等线"/>
              </w:rPr>
            </w:pPr>
            <w:r>
              <w:rPr>
                <w:rFonts w:hint="eastAsia"/>
              </w:rPr>
              <w:t>&lt;0.5</w:t>
            </w:r>
          </w:p>
        </w:tc>
        <w:tc>
          <w:tcPr>
            <w:tcW w:w="1161" w:type="dxa"/>
            <w:tcBorders>
              <w:top w:val="nil"/>
              <w:left w:val="nil"/>
              <w:bottom w:val="single" w:color="auto" w:sz="4" w:space="0"/>
              <w:right w:val="single" w:color="auto" w:sz="4" w:space="0"/>
            </w:tcBorders>
            <w:vAlign w:val="center"/>
          </w:tcPr>
          <w:p w14:paraId="2149AC17">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225BADD2">
            <w:pPr>
              <w:pStyle w:val="557"/>
              <w:rPr>
                <w:rFonts w:eastAsia="等线"/>
              </w:rPr>
            </w:pPr>
            <w:r>
              <w:rPr>
                <w:rFonts w:hint="eastAsia"/>
              </w:rPr>
              <w:t>&lt;0.5</w:t>
            </w:r>
          </w:p>
        </w:tc>
        <w:tc>
          <w:tcPr>
            <w:tcW w:w="1161" w:type="dxa"/>
            <w:tcBorders>
              <w:top w:val="nil"/>
              <w:left w:val="nil"/>
              <w:bottom w:val="single" w:color="auto" w:sz="4" w:space="0"/>
              <w:right w:val="single" w:color="auto" w:sz="4" w:space="0"/>
            </w:tcBorders>
            <w:vAlign w:val="center"/>
          </w:tcPr>
          <w:p w14:paraId="3228255C">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07" w:type="dxa"/>
            <w:tcBorders>
              <w:top w:val="nil"/>
              <w:left w:val="nil"/>
              <w:bottom w:val="single" w:color="auto" w:sz="4" w:space="0"/>
              <w:right w:val="single" w:color="auto" w:sz="4" w:space="0"/>
            </w:tcBorders>
            <w:vAlign w:val="center"/>
          </w:tcPr>
          <w:p w14:paraId="492E0C9E">
            <w:pPr>
              <w:pStyle w:val="557"/>
              <w:rPr>
                <w:rFonts w:eastAsia="等线"/>
              </w:rPr>
            </w:pPr>
            <w:r>
              <w:rPr>
                <w:rFonts w:hint="eastAsia"/>
              </w:rPr>
              <w:t>&lt;0.5</w:t>
            </w:r>
          </w:p>
        </w:tc>
        <w:tc>
          <w:tcPr>
            <w:tcW w:w="1161" w:type="dxa"/>
            <w:tcBorders>
              <w:top w:val="nil"/>
              <w:left w:val="nil"/>
              <w:bottom w:val="single" w:color="auto" w:sz="4" w:space="0"/>
              <w:right w:val="single" w:color="auto" w:sz="4" w:space="0"/>
            </w:tcBorders>
            <w:vAlign w:val="center"/>
          </w:tcPr>
          <w:p w14:paraId="06A6ED35">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4CE6BBA2">
            <w:pPr>
              <w:pStyle w:val="557"/>
              <w:rPr>
                <w:rFonts w:eastAsia="等线"/>
              </w:rPr>
            </w:pPr>
            <w:r>
              <w:rPr>
                <w:rFonts w:hint="eastAsia"/>
              </w:rPr>
              <w:t>&lt;0.5</w:t>
            </w:r>
          </w:p>
        </w:tc>
        <w:tc>
          <w:tcPr>
            <w:tcW w:w="1161" w:type="dxa"/>
            <w:tcBorders>
              <w:top w:val="nil"/>
              <w:left w:val="nil"/>
              <w:bottom w:val="single" w:color="auto" w:sz="4" w:space="0"/>
              <w:right w:val="single" w:color="auto" w:sz="4" w:space="0"/>
            </w:tcBorders>
            <w:vAlign w:val="center"/>
          </w:tcPr>
          <w:p w14:paraId="4AB9043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66" w:type="dxa"/>
            <w:tcBorders>
              <w:top w:val="nil"/>
              <w:left w:val="nil"/>
              <w:bottom w:val="single" w:color="auto" w:sz="4" w:space="0"/>
              <w:right w:val="single" w:color="auto" w:sz="4" w:space="0"/>
            </w:tcBorders>
            <w:vAlign w:val="center"/>
          </w:tcPr>
          <w:p w14:paraId="36E3FEC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5.7</w:t>
            </w:r>
          </w:p>
        </w:tc>
      </w:tr>
      <w:tr w14:paraId="1FE10FBD">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2253E309">
            <w:pPr>
              <w:jc w:val="center"/>
              <w:rPr>
                <w:rFonts w:ascii="Times New Roman" w:hAnsi="Times New Roman" w:cs="Times New Roman"/>
                <w:color w:val="000000"/>
                <w:sz w:val="18"/>
                <w:szCs w:val="18"/>
              </w:rPr>
            </w:pPr>
            <w:r>
              <w:rPr>
                <w:rFonts w:ascii="Times New Roman" w:hAnsi="Times New Roman" w:cs="Times New Roman"/>
                <w:color w:val="000000"/>
                <w:sz w:val="18"/>
                <w:szCs w:val="18"/>
              </w:rPr>
              <w:t>铅</w:t>
            </w:r>
          </w:p>
        </w:tc>
        <w:tc>
          <w:tcPr>
            <w:tcW w:w="1569" w:type="dxa"/>
            <w:tcBorders>
              <w:top w:val="nil"/>
              <w:left w:val="nil"/>
              <w:bottom w:val="single" w:color="auto" w:sz="4" w:space="0"/>
              <w:right w:val="single" w:color="auto" w:sz="4" w:space="0"/>
            </w:tcBorders>
            <w:vAlign w:val="center"/>
          </w:tcPr>
          <w:p w14:paraId="07399DC0">
            <w:pPr>
              <w:pStyle w:val="557"/>
              <w:rPr>
                <w:rFonts w:eastAsia="等线"/>
              </w:rPr>
            </w:pPr>
            <w:r>
              <w:rPr>
                <w:rFonts w:hint="eastAsia"/>
              </w:rPr>
              <w:t>7.8</w:t>
            </w:r>
          </w:p>
        </w:tc>
        <w:tc>
          <w:tcPr>
            <w:tcW w:w="1161" w:type="dxa"/>
            <w:tcBorders>
              <w:top w:val="nil"/>
              <w:left w:val="nil"/>
              <w:bottom w:val="single" w:color="auto" w:sz="4" w:space="0"/>
              <w:right w:val="single" w:color="auto" w:sz="4" w:space="0"/>
            </w:tcBorders>
            <w:vAlign w:val="center"/>
          </w:tcPr>
          <w:p w14:paraId="48657B2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0.009</w:t>
            </w:r>
          </w:p>
        </w:tc>
        <w:tc>
          <w:tcPr>
            <w:tcW w:w="1116" w:type="dxa"/>
            <w:tcBorders>
              <w:top w:val="nil"/>
              <w:left w:val="nil"/>
              <w:bottom w:val="single" w:color="auto" w:sz="4" w:space="0"/>
              <w:right w:val="single" w:color="auto" w:sz="4" w:space="0"/>
            </w:tcBorders>
            <w:vAlign w:val="center"/>
          </w:tcPr>
          <w:p w14:paraId="783388E5">
            <w:pPr>
              <w:pStyle w:val="557"/>
              <w:rPr>
                <w:rFonts w:eastAsia="等线"/>
              </w:rPr>
            </w:pPr>
            <w:r>
              <w:rPr>
                <w:rFonts w:hint="eastAsia"/>
              </w:rPr>
              <w:t>7.3</w:t>
            </w:r>
          </w:p>
        </w:tc>
        <w:tc>
          <w:tcPr>
            <w:tcW w:w="1161" w:type="dxa"/>
            <w:tcBorders>
              <w:top w:val="nil"/>
              <w:left w:val="nil"/>
              <w:bottom w:val="single" w:color="auto" w:sz="4" w:space="0"/>
              <w:right w:val="single" w:color="auto" w:sz="4" w:space="0"/>
            </w:tcBorders>
            <w:vAlign w:val="center"/>
          </w:tcPr>
          <w:p w14:paraId="6C17BCB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0.009</w:t>
            </w:r>
          </w:p>
        </w:tc>
        <w:tc>
          <w:tcPr>
            <w:tcW w:w="1037" w:type="dxa"/>
            <w:tcBorders>
              <w:top w:val="nil"/>
              <w:left w:val="nil"/>
              <w:bottom w:val="single" w:color="auto" w:sz="4" w:space="0"/>
              <w:right w:val="single" w:color="auto" w:sz="4" w:space="0"/>
            </w:tcBorders>
            <w:vAlign w:val="center"/>
          </w:tcPr>
          <w:p w14:paraId="65AEA3BF">
            <w:pPr>
              <w:pStyle w:val="557"/>
              <w:rPr>
                <w:rFonts w:eastAsia="等线"/>
              </w:rPr>
            </w:pPr>
            <w:r>
              <w:rPr>
                <w:rFonts w:hint="eastAsia"/>
              </w:rPr>
              <w:t>9.5</w:t>
            </w:r>
          </w:p>
        </w:tc>
        <w:tc>
          <w:tcPr>
            <w:tcW w:w="1161" w:type="dxa"/>
            <w:tcBorders>
              <w:top w:val="nil"/>
              <w:left w:val="nil"/>
              <w:bottom w:val="single" w:color="auto" w:sz="4" w:space="0"/>
              <w:right w:val="single" w:color="auto" w:sz="4" w:space="0"/>
            </w:tcBorders>
            <w:vAlign w:val="center"/>
          </w:tcPr>
          <w:p w14:paraId="77CCC14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1107" w:type="dxa"/>
            <w:tcBorders>
              <w:top w:val="nil"/>
              <w:left w:val="nil"/>
              <w:bottom w:val="single" w:color="auto" w:sz="4" w:space="0"/>
              <w:right w:val="single" w:color="auto" w:sz="4" w:space="0"/>
            </w:tcBorders>
            <w:vAlign w:val="center"/>
          </w:tcPr>
          <w:p w14:paraId="0520D543">
            <w:pPr>
              <w:pStyle w:val="557"/>
              <w:rPr>
                <w:rFonts w:eastAsia="等线"/>
              </w:rPr>
            </w:pPr>
            <w:r>
              <w:rPr>
                <w:rFonts w:hint="eastAsia"/>
              </w:rPr>
              <w:t>8.5</w:t>
            </w:r>
          </w:p>
        </w:tc>
        <w:tc>
          <w:tcPr>
            <w:tcW w:w="1161" w:type="dxa"/>
            <w:tcBorders>
              <w:top w:val="nil"/>
              <w:left w:val="nil"/>
              <w:bottom w:val="single" w:color="auto" w:sz="4" w:space="0"/>
              <w:right w:val="single" w:color="auto" w:sz="4" w:space="0"/>
            </w:tcBorders>
            <w:vAlign w:val="center"/>
          </w:tcPr>
          <w:p w14:paraId="57A20BA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0.010</w:t>
            </w:r>
          </w:p>
        </w:tc>
        <w:tc>
          <w:tcPr>
            <w:tcW w:w="1037" w:type="dxa"/>
            <w:tcBorders>
              <w:top w:val="nil"/>
              <w:left w:val="nil"/>
              <w:bottom w:val="single" w:color="auto" w:sz="4" w:space="0"/>
              <w:right w:val="single" w:color="auto" w:sz="4" w:space="0"/>
            </w:tcBorders>
            <w:vAlign w:val="center"/>
          </w:tcPr>
          <w:p w14:paraId="7EA52AB4">
            <w:pPr>
              <w:pStyle w:val="557"/>
              <w:rPr>
                <w:rFonts w:eastAsia="等线"/>
              </w:rPr>
            </w:pPr>
            <w:r>
              <w:rPr>
                <w:rFonts w:hint="eastAsia"/>
              </w:rPr>
              <w:t>9.2</w:t>
            </w:r>
          </w:p>
        </w:tc>
        <w:tc>
          <w:tcPr>
            <w:tcW w:w="1161" w:type="dxa"/>
            <w:tcBorders>
              <w:top w:val="nil"/>
              <w:left w:val="nil"/>
              <w:bottom w:val="single" w:color="auto" w:sz="4" w:space="0"/>
              <w:right w:val="single" w:color="auto" w:sz="4" w:space="0"/>
            </w:tcBorders>
            <w:vAlign w:val="center"/>
          </w:tcPr>
          <w:p w14:paraId="216427F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0.011</w:t>
            </w:r>
          </w:p>
        </w:tc>
        <w:tc>
          <w:tcPr>
            <w:tcW w:w="666" w:type="dxa"/>
            <w:tcBorders>
              <w:top w:val="nil"/>
              <w:left w:val="nil"/>
              <w:bottom w:val="single" w:color="auto" w:sz="4" w:space="0"/>
              <w:right w:val="single" w:color="auto" w:sz="4" w:space="0"/>
            </w:tcBorders>
            <w:vAlign w:val="center"/>
          </w:tcPr>
          <w:p w14:paraId="1A5DE9D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800</w:t>
            </w:r>
          </w:p>
        </w:tc>
      </w:tr>
      <w:tr w14:paraId="46411C4D">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18257A56">
            <w:pPr>
              <w:jc w:val="center"/>
              <w:rPr>
                <w:rFonts w:ascii="Times New Roman" w:hAnsi="Times New Roman" w:cs="Times New Roman"/>
                <w:color w:val="000000"/>
                <w:sz w:val="18"/>
                <w:szCs w:val="18"/>
              </w:rPr>
            </w:pPr>
            <w:r>
              <w:rPr>
                <w:rFonts w:ascii="Times New Roman" w:hAnsi="Times New Roman" w:cs="Times New Roman"/>
                <w:color w:val="000000"/>
                <w:sz w:val="18"/>
                <w:szCs w:val="18"/>
              </w:rPr>
              <w:t>镉</w:t>
            </w:r>
          </w:p>
        </w:tc>
        <w:tc>
          <w:tcPr>
            <w:tcW w:w="1569" w:type="dxa"/>
            <w:tcBorders>
              <w:top w:val="nil"/>
              <w:left w:val="nil"/>
              <w:bottom w:val="single" w:color="auto" w:sz="4" w:space="0"/>
              <w:right w:val="single" w:color="auto" w:sz="4" w:space="0"/>
            </w:tcBorders>
            <w:vAlign w:val="center"/>
          </w:tcPr>
          <w:p w14:paraId="70D30351">
            <w:pPr>
              <w:pStyle w:val="557"/>
              <w:rPr>
                <w:rFonts w:eastAsia="等线"/>
              </w:rPr>
            </w:pPr>
            <w:r>
              <w:rPr>
                <w:rFonts w:hint="eastAsia"/>
              </w:rPr>
              <w:t>0.10</w:t>
            </w:r>
          </w:p>
        </w:tc>
        <w:tc>
          <w:tcPr>
            <w:tcW w:w="1161" w:type="dxa"/>
            <w:tcBorders>
              <w:top w:val="nil"/>
              <w:left w:val="nil"/>
              <w:bottom w:val="single" w:color="auto" w:sz="4" w:space="0"/>
              <w:right w:val="single" w:color="auto" w:sz="4" w:space="0"/>
            </w:tcBorders>
            <w:vAlign w:val="center"/>
          </w:tcPr>
          <w:p w14:paraId="6A331E9A">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116" w:type="dxa"/>
            <w:tcBorders>
              <w:top w:val="nil"/>
              <w:left w:val="nil"/>
              <w:bottom w:val="single" w:color="auto" w:sz="4" w:space="0"/>
              <w:right w:val="single" w:color="auto" w:sz="4" w:space="0"/>
            </w:tcBorders>
            <w:vAlign w:val="center"/>
          </w:tcPr>
          <w:p w14:paraId="4629F49A">
            <w:pPr>
              <w:pStyle w:val="557"/>
              <w:rPr>
                <w:rFonts w:eastAsia="等线"/>
              </w:rPr>
            </w:pPr>
            <w:r>
              <w:rPr>
                <w:rFonts w:hint="eastAsia"/>
              </w:rPr>
              <w:t>0.09</w:t>
            </w:r>
          </w:p>
        </w:tc>
        <w:tc>
          <w:tcPr>
            <w:tcW w:w="1161" w:type="dxa"/>
            <w:tcBorders>
              <w:top w:val="nil"/>
              <w:left w:val="nil"/>
              <w:bottom w:val="single" w:color="auto" w:sz="4" w:space="0"/>
              <w:right w:val="single" w:color="auto" w:sz="4" w:space="0"/>
            </w:tcBorders>
            <w:vAlign w:val="center"/>
          </w:tcPr>
          <w:p w14:paraId="52999F0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7" w:type="dxa"/>
            <w:tcBorders>
              <w:top w:val="nil"/>
              <w:left w:val="nil"/>
              <w:bottom w:val="single" w:color="auto" w:sz="4" w:space="0"/>
              <w:right w:val="single" w:color="auto" w:sz="4" w:space="0"/>
            </w:tcBorders>
            <w:vAlign w:val="center"/>
          </w:tcPr>
          <w:p w14:paraId="6A7766CC">
            <w:pPr>
              <w:pStyle w:val="557"/>
              <w:rPr>
                <w:rFonts w:eastAsia="等线"/>
              </w:rPr>
            </w:pPr>
            <w:r>
              <w:rPr>
                <w:rFonts w:hint="eastAsia"/>
              </w:rPr>
              <w:t>0.12</w:t>
            </w:r>
          </w:p>
        </w:tc>
        <w:tc>
          <w:tcPr>
            <w:tcW w:w="1161" w:type="dxa"/>
            <w:tcBorders>
              <w:top w:val="nil"/>
              <w:left w:val="nil"/>
              <w:bottom w:val="single" w:color="auto" w:sz="4" w:space="0"/>
              <w:right w:val="single" w:color="auto" w:sz="4" w:space="0"/>
            </w:tcBorders>
            <w:vAlign w:val="center"/>
          </w:tcPr>
          <w:p w14:paraId="01AF9F5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107" w:type="dxa"/>
            <w:tcBorders>
              <w:top w:val="nil"/>
              <w:left w:val="nil"/>
              <w:bottom w:val="single" w:color="auto" w:sz="4" w:space="0"/>
              <w:right w:val="single" w:color="auto" w:sz="4" w:space="0"/>
            </w:tcBorders>
            <w:vAlign w:val="center"/>
          </w:tcPr>
          <w:p w14:paraId="4980906A">
            <w:pPr>
              <w:pStyle w:val="557"/>
              <w:rPr>
                <w:rFonts w:eastAsia="等线"/>
              </w:rPr>
            </w:pPr>
            <w:r>
              <w:rPr>
                <w:rFonts w:hint="eastAsia"/>
              </w:rPr>
              <w:t>0.10</w:t>
            </w:r>
          </w:p>
        </w:tc>
        <w:tc>
          <w:tcPr>
            <w:tcW w:w="1161" w:type="dxa"/>
            <w:tcBorders>
              <w:top w:val="nil"/>
              <w:left w:val="nil"/>
              <w:bottom w:val="single" w:color="auto" w:sz="4" w:space="0"/>
              <w:right w:val="single" w:color="auto" w:sz="4" w:space="0"/>
            </w:tcBorders>
            <w:vAlign w:val="center"/>
          </w:tcPr>
          <w:p w14:paraId="64311B1C">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7" w:type="dxa"/>
            <w:tcBorders>
              <w:top w:val="nil"/>
              <w:left w:val="nil"/>
              <w:bottom w:val="single" w:color="auto" w:sz="4" w:space="0"/>
              <w:right w:val="single" w:color="auto" w:sz="4" w:space="0"/>
            </w:tcBorders>
            <w:vAlign w:val="center"/>
          </w:tcPr>
          <w:p w14:paraId="4AE9E188">
            <w:pPr>
              <w:pStyle w:val="557"/>
              <w:rPr>
                <w:rFonts w:eastAsia="等线"/>
              </w:rPr>
            </w:pPr>
            <w:r>
              <w:rPr>
                <w:rFonts w:hint="eastAsia"/>
              </w:rPr>
              <w:t>0.11</w:t>
            </w:r>
          </w:p>
        </w:tc>
        <w:tc>
          <w:tcPr>
            <w:tcW w:w="1161" w:type="dxa"/>
            <w:tcBorders>
              <w:top w:val="nil"/>
              <w:left w:val="nil"/>
              <w:bottom w:val="single" w:color="auto" w:sz="4" w:space="0"/>
              <w:right w:val="single" w:color="auto" w:sz="4" w:space="0"/>
            </w:tcBorders>
            <w:vAlign w:val="center"/>
          </w:tcPr>
          <w:p w14:paraId="097DE88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666" w:type="dxa"/>
            <w:tcBorders>
              <w:top w:val="nil"/>
              <w:left w:val="nil"/>
              <w:bottom w:val="single" w:color="auto" w:sz="4" w:space="0"/>
              <w:right w:val="single" w:color="auto" w:sz="4" w:space="0"/>
            </w:tcBorders>
            <w:vAlign w:val="center"/>
          </w:tcPr>
          <w:p w14:paraId="3E4DB5B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65</w:t>
            </w:r>
          </w:p>
        </w:tc>
      </w:tr>
      <w:tr w14:paraId="392A7E0F">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noWrap/>
            <w:vAlign w:val="center"/>
          </w:tcPr>
          <w:p w14:paraId="4AE78240">
            <w:pPr>
              <w:jc w:val="center"/>
              <w:rPr>
                <w:rFonts w:ascii="Times New Roman" w:hAnsi="Times New Roman" w:cs="Times New Roman"/>
                <w:color w:val="000000"/>
                <w:sz w:val="18"/>
                <w:szCs w:val="18"/>
              </w:rPr>
            </w:pPr>
            <w:r>
              <w:rPr>
                <w:rFonts w:ascii="Times New Roman" w:hAnsi="Times New Roman" w:cs="Times New Roman"/>
                <w:color w:val="000000"/>
                <w:sz w:val="18"/>
                <w:szCs w:val="18"/>
              </w:rPr>
              <w:t>汞</w:t>
            </w:r>
          </w:p>
        </w:tc>
        <w:tc>
          <w:tcPr>
            <w:tcW w:w="1569" w:type="dxa"/>
            <w:tcBorders>
              <w:top w:val="nil"/>
              <w:left w:val="nil"/>
              <w:bottom w:val="single" w:color="auto" w:sz="4" w:space="0"/>
              <w:right w:val="single" w:color="auto" w:sz="4" w:space="0"/>
            </w:tcBorders>
            <w:vAlign w:val="center"/>
          </w:tcPr>
          <w:p w14:paraId="2E7CA7A5">
            <w:pPr>
              <w:pStyle w:val="557"/>
              <w:rPr>
                <w:rFonts w:eastAsia="等线"/>
              </w:rPr>
            </w:pPr>
            <w:r>
              <w:rPr>
                <w:rFonts w:hint="eastAsia"/>
              </w:rPr>
              <w:t>0.034</w:t>
            </w:r>
          </w:p>
        </w:tc>
        <w:tc>
          <w:tcPr>
            <w:tcW w:w="1161" w:type="dxa"/>
            <w:tcBorders>
              <w:top w:val="nil"/>
              <w:left w:val="nil"/>
              <w:bottom w:val="single" w:color="auto" w:sz="4" w:space="0"/>
              <w:right w:val="single" w:color="auto" w:sz="4" w:space="0"/>
            </w:tcBorders>
            <w:vAlign w:val="center"/>
          </w:tcPr>
          <w:p w14:paraId="7F3828F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0.0008</w:t>
            </w:r>
          </w:p>
        </w:tc>
        <w:tc>
          <w:tcPr>
            <w:tcW w:w="1116" w:type="dxa"/>
            <w:tcBorders>
              <w:top w:val="nil"/>
              <w:left w:val="nil"/>
              <w:bottom w:val="single" w:color="auto" w:sz="4" w:space="0"/>
              <w:right w:val="single" w:color="auto" w:sz="4" w:space="0"/>
            </w:tcBorders>
            <w:vAlign w:val="center"/>
          </w:tcPr>
          <w:p w14:paraId="2888D5F7">
            <w:pPr>
              <w:pStyle w:val="557"/>
              <w:rPr>
                <w:rFonts w:eastAsia="等线"/>
              </w:rPr>
            </w:pPr>
            <w:r>
              <w:rPr>
                <w:rFonts w:hint="eastAsia"/>
              </w:rPr>
              <w:t>0.103</w:t>
            </w:r>
          </w:p>
        </w:tc>
        <w:tc>
          <w:tcPr>
            <w:tcW w:w="1161" w:type="dxa"/>
            <w:tcBorders>
              <w:top w:val="nil"/>
              <w:left w:val="nil"/>
              <w:bottom w:val="single" w:color="auto" w:sz="4" w:space="0"/>
              <w:right w:val="single" w:color="auto" w:sz="4" w:space="0"/>
            </w:tcBorders>
            <w:vAlign w:val="center"/>
          </w:tcPr>
          <w:p w14:paraId="248521C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1037" w:type="dxa"/>
            <w:tcBorders>
              <w:top w:val="nil"/>
              <w:left w:val="nil"/>
              <w:bottom w:val="single" w:color="auto" w:sz="4" w:space="0"/>
              <w:right w:val="single" w:color="auto" w:sz="4" w:space="0"/>
            </w:tcBorders>
            <w:vAlign w:val="center"/>
          </w:tcPr>
          <w:p w14:paraId="226E6A60">
            <w:pPr>
              <w:pStyle w:val="557"/>
              <w:rPr>
                <w:rFonts w:eastAsia="等线"/>
              </w:rPr>
            </w:pPr>
            <w:r>
              <w:rPr>
                <w:rFonts w:hint="eastAsia"/>
              </w:rPr>
              <w:t>0.086</w:t>
            </w:r>
          </w:p>
        </w:tc>
        <w:tc>
          <w:tcPr>
            <w:tcW w:w="1161" w:type="dxa"/>
            <w:tcBorders>
              <w:top w:val="nil"/>
              <w:left w:val="nil"/>
              <w:bottom w:val="single" w:color="auto" w:sz="4" w:space="0"/>
              <w:right w:val="single" w:color="auto" w:sz="4" w:space="0"/>
            </w:tcBorders>
            <w:vAlign w:val="center"/>
          </w:tcPr>
          <w:p w14:paraId="00F3A17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0.002</w:t>
            </w:r>
          </w:p>
        </w:tc>
        <w:tc>
          <w:tcPr>
            <w:tcW w:w="1107" w:type="dxa"/>
            <w:tcBorders>
              <w:top w:val="nil"/>
              <w:left w:val="nil"/>
              <w:bottom w:val="single" w:color="auto" w:sz="4" w:space="0"/>
              <w:right w:val="single" w:color="auto" w:sz="4" w:space="0"/>
            </w:tcBorders>
            <w:vAlign w:val="center"/>
          </w:tcPr>
          <w:p w14:paraId="1D873698">
            <w:pPr>
              <w:pStyle w:val="557"/>
              <w:rPr>
                <w:rFonts w:eastAsia="等线"/>
              </w:rPr>
            </w:pPr>
            <w:r>
              <w:rPr>
                <w:rFonts w:hint="eastAsia"/>
              </w:rPr>
              <w:t>0.058</w:t>
            </w:r>
          </w:p>
        </w:tc>
        <w:tc>
          <w:tcPr>
            <w:tcW w:w="1161" w:type="dxa"/>
            <w:tcBorders>
              <w:top w:val="nil"/>
              <w:left w:val="nil"/>
              <w:bottom w:val="single" w:color="auto" w:sz="4" w:space="0"/>
              <w:right w:val="single" w:color="auto" w:sz="4" w:space="0"/>
            </w:tcBorders>
            <w:vAlign w:val="center"/>
          </w:tcPr>
          <w:p w14:paraId="6746143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1037" w:type="dxa"/>
            <w:tcBorders>
              <w:top w:val="nil"/>
              <w:left w:val="nil"/>
              <w:bottom w:val="single" w:color="auto" w:sz="4" w:space="0"/>
              <w:right w:val="single" w:color="auto" w:sz="4" w:space="0"/>
            </w:tcBorders>
            <w:vAlign w:val="center"/>
          </w:tcPr>
          <w:p w14:paraId="0681C99A">
            <w:pPr>
              <w:pStyle w:val="557"/>
              <w:rPr>
                <w:rFonts w:eastAsia="等线"/>
              </w:rPr>
            </w:pPr>
            <w:r>
              <w:rPr>
                <w:rFonts w:hint="eastAsia"/>
              </w:rPr>
              <w:t>0.071</w:t>
            </w:r>
          </w:p>
        </w:tc>
        <w:tc>
          <w:tcPr>
            <w:tcW w:w="1161" w:type="dxa"/>
            <w:tcBorders>
              <w:top w:val="nil"/>
              <w:left w:val="nil"/>
              <w:bottom w:val="single" w:color="auto" w:sz="4" w:space="0"/>
              <w:right w:val="single" w:color="auto" w:sz="4" w:space="0"/>
            </w:tcBorders>
            <w:vAlign w:val="center"/>
          </w:tcPr>
          <w:p w14:paraId="3C1FC54E">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0.001</w:t>
            </w:r>
          </w:p>
        </w:tc>
        <w:tc>
          <w:tcPr>
            <w:tcW w:w="666" w:type="dxa"/>
            <w:tcBorders>
              <w:top w:val="nil"/>
              <w:left w:val="nil"/>
              <w:bottom w:val="single" w:color="auto" w:sz="4" w:space="0"/>
              <w:right w:val="single" w:color="auto" w:sz="4" w:space="0"/>
            </w:tcBorders>
            <w:vAlign w:val="center"/>
          </w:tcPr>
          <w:p w14:paraId="29E1093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38</w:t>
            </w:r>
          </w:p>
        </w:tc>
      </w:tr>
      <w:tr w14:paraId="6453453B">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vAlign w:val="center"/>
          </w:tcPr>
          <w:p w14:paraId="2E32D673">
            <w:pPr>
              <w:jc w:val="center"/>
              <w:rPr>
                <w:rFonts w:ascii="Times New Roman" w:hAnsi="Times New Roman" w:cs="Times New Roman"/>
                <w:color w:val="000000"/>
                <w:sz w:val="18"/>
                <w:szCs w:val="18"/>
              </w:rPr>
            </w:pPr>
            <w:r>
              <w:rPr>
                <w:rFonts w:ascii="Times New Roman" w:hAnsi="Times New Roman" w:cs="Times New Roman"/>
                <w:color w:val="000000"/>
                <w:sz w:val="18"/>
                <w:szCs w:val="18"/>
              </w:rPr>
              <w:t>砷</w:t>
            </w:r>
          </w:p>
        </w:tc>
        <w:tc>
          <w:tcPr>
            <w:tcW w:w="1569" w:type="dxa"/>
            <w:tcBorders>
              <w:top w:val="nil"/>
              <w:left w:val="nil"/>
              <w:bottom w:val="single" w:color="auto" w:sz="4" w:space="0"/>
              <w:right w:val="single" w:color="auto" w:sz="4" w:space="0"/>
            </w:tcBorders>
            <w:vAlign w:val="center"/>
          </w:tcPr>
          <w:p w14:paraId="6F59BAD0">
            <w:pPr>
              <w:pStyle w:val="557"/>
              <w:rPr>
                <w:rFonts w:eastAsia="等线"/>
              </w:rPr>
            </w:pPr>
            <w:r>
              <w:rPr>
                <w:rFonts w:hint="eastAsia"/>
              </w:rPr>
              <w:t>5.72</w:t>
            </w:r>
          </w:p>
        </w:tc>
        <w:tc>
          <w:tcPr>
            <w:tcW w:w="1161" w:type="dxa"/>
            <w:tcBorders>
              <w:top w:val="nil"/>
              <w:left w:val="nil"/>
              <w:bottom w:val="single" w:color="auto" w:sz="4" w:space="0"/>
              <w:right w:val="single" w:color="auto" w:sz="4" w:space="0"/>
            </w:tcBorders>
            <w:vAlign w:val="center"/>
          </w:tcPr>
          <w:p w14:paraId="6060B0E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0.095</w:t>
            </w:r>
          </w:p>
        </w:tc>
        <w:tc>
          <w:tcPr>
            <w:tcW w:w="1116" w:type="dxa"/>
            <w:tcBorders>
              <w:top w:val="nil"/>
              <w:left w:val="nil"/>
              <w:bottom w:val="single" w:color="auto" w:sz="4" w:space="0"/>
              <w:right w:val="single" w:color="auto" w:sz="4" w:space="0"/>
            </w:tcBorders>
            <w:vAlign w:val="center"/>
          </w:tcPr>
          <w:p w14:paraId="786E7031">
            <w:pPr>
              <w:pStyle w:val="557"/>
              <w:rPr>
                <w:rFonts w:eastAsia="等线"/>
              </w:rPr>
            </w:pPr>
            <w:r>
              <w:rPr>
                <w:rFonts w:hint="eastAsia"/>
              </w:rPr>
              <w:t>5.61</w:t>
            </w:r>
          </w:p>
        </w:tc>
        <w:tc>
          <w:tcPr>
            <w:tcW w:w="1161" w:type="dxa"/>
            <w:tcBorders>
              <w:top w:val="nil"/>
              <w:left w:val="nil"/>
              <w:bottom w:val="single" w:color="auto" w:sz="4" w:space="0"/>
              <w:right w:val="single" w:color="auto" w:sz="4" w:space="0"/>
            </w:tcBorders>
            <w:vAlign w:val="center"/>
          </w:tcPr>
          <w:p w14:paraId="3FD2FA7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0.093</w:t>
            </w:r>
          </w:p>
        </w:tc>
        <w:tc>
          <w:tcPr>
            <w:tcW w:w="1037" w:type="dxa"/>
            <w:tcBorders>
              <w:top w:val="nil"/>
              <w:left w:val="nil"/>
              <w:bottom w:val="single" w:color="auto" w:sz="4" w:space="0"/>
              <w:right w:val="single" w:color="auto" w:sz="4" w:space="0"/>
            </w:tcBorders>
            <w:vAlign w:val="center"/>
          </w:tcPr>
          <w:p w14:paraId="1BDE9798">
            <w:pPr>
              <w:pStyle w:val="557"/>
              <w:rPr>
                <w:rFonts w:eastAsia="等线"/>
              </w:rPr>
            </w:pPr>
            <w:r>
              <w:rPr>
                <w:rFonts w:hint="eastAsia"/>
              </w:rPr>
              <w:t>4.93</w:t>
            </w:r>
          </w:p>
        </w:tc>
        <w:tc>
          <w:tcPr>
            <w:tcW w:w="1161" w:type="dxa"/>
            <w:tcBorders>
              <w:top w:val="nil"/>
              <w:left w:val="nil"/>
              <w:bottom w:val="single" w:color="auto" w:sz="4" w:space="0"/>
              <w:right w:val="single" w:color="auto" w:sz="4" w:space="0"/>
            </w:tcBorders>
            <w:vAlign w:val="center"/>
          </w:tcPr>
          <w:p w14:paraId="456A743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0.082</w:t>
            </w:r>
          </w:p>
        </w:tc>
        <w:tc>
          <w:tcPr>
            <w:tcW w:w="1107" w:type="dxa"/>
            <w:tcBorders>
              <w:top w:val="nil"/>
              <w:left w:val="nil"/>
              <w:bottom w:val="single" w:color="auto" w:sz="4" w:space="0"/>
              <w:right w:val="single" w:color="auto" w:sz="4" w:space="0"/>
            </w:tcBorders>
            <w:vAlign w:val="center"/>
          </w:tcPr>
          <w:p w14:paraId="1FF84AB4">
            <w:pPr>
              <w:pStyle w:val="557"/>
              <w:rPr>
                <w:rFonts w:eastAsia="等线"/>
              </w:rPr>
            </w:pPr>
            <w:r>
              <w:rPr>
                <w:rFonts w:hint="eastAsia"/>
              </w:rPr>
              <w:t>4.60</w:t>
            </w:r>
          </w:p>
        </w:tc>
        <w:tc>
          <w:tcPr>
            <w:tcW w:w="1161" w:type="dxa"/>
            <w:tcBorders>
              <w:top w:val="nil"/>
              <w:left w:val="nil"/>
              <w:bottom w:val="single" w:color="auto" w:sz="4" w:space="0"/>
              <w:right w:val="single" w:color="auto" w:sz="4" w:space="0"/>
            </w:tcBorders>
            <w:vAlign w:val="center"/>
          </w:tcPr>
          <w:p w14:paraId="1356992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0.076</w:t>
            </w:r>
          </w:p>
        </w:tc>
        <w:tc>
          <w:tcPr>
            <w:tcW w:w="1037" w:type="dxa"/>
            <w:tcBorders>
              <w:top w:val="nil"/>
              <w:left w:val="nil"/>
              <w:bottom w:val="single" w:color="auto" w:sz="4" w:space="0"/>
              <w:right w:val="single" w:color="auto" w:sz="4" w:space="0"/>
            </w:tcBorders>
            <w:vAlign w:val="center"/>
          </w:tcPr>
          <w:p w14:paraId="7C3D7A99">
            <w:pPr>
              <w:pStyle w:val="557"/>
              <w:rPr>
                <w:rFonts w:eastAsia="等线"/>
              </w:rPr>
            </w:pPr>
            <w:r>
              <w:rPr>
                <w:rFonts w:hint="eastAsia"/>
              </w:rPr>
              <w:t>4.56</w:t>
            </w:r>
          </w:p>
        </w:tc>
        <w:tc>
          <w:tcPr>
            <w:tcW w:w="1161" w:type="dxa"/>
            <w:tcBorders>
              <w:top w:val="nil"/>
              <w:left w:val="nil"/>
              <w:bottom w:val="single" w:color="auto" w:sz="4" w:space="0"/>
              <w:right w:val="single" w:color="auto" w:sz="4" w:space="0"/>
            </w:tcBorders>
            <w:vAlign w:val="center"/>
          </w:tcPr>
          <w:p w14:paraId="5D954A3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0.076</w:t>
            </w:r>
          </w:p>
        </w:tc>
        <w:tc>
          <w:tcPr>
            <w:tcW w:w="666" w:type="dxa"/>
            <w:tcBorders>
              <w:top w:val="nil"/>
              <w:left w:val="nil"/>
              <w:bottom w:val="single" w:color="auto" w:sz="4" w:space="0"/>
              <w:right w:val="single" w:color="auto" w:sz="4" w:space="0"/>
            </w:tcBorders>
            <w:vAlign w:val="center"/>
          </w:tcPr>
          <w:p w14:paraId="434C61D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60</w:t>
            </w:r>
          </w:p>
        </w:tc>
      </w:tr>
      <w:tr w14:paraId="74ECD41C">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vAlign w:val="center"/>
          </w:tcPr>
          <w:p w14:paraId="6993E27D">
            <w:pPr>
              <w:jc w:val="center"/>
              <w:rPr>
                <w:rFonts w:ascii="Times New Roman" w:hAnsi="Times New Roman" w:cs="Times New Roman"/>
                <w:color w:val="000000"/>
                <w:sz w:val="18"/>
                <w:szCs w:val="18"/>
              </w:rPr>
            </w:pPr>
            <w:r>
              <w:rPr>
                <w:rFonts w:ascii="Times New Roman" w:hAnsi="Times New Roman" w:cs="Times New Roman"/>
                <w:color w:val="000000"/>
                <w:sz w:val="18"/>
                <w:szCs w:val="18"/>
              </w:rPr>
              <w:t>钴</w:t>
            </w:r>
          </w:p>
        </w:tc>
        <w:tc>
          <w:tcPr>
            <w:tcW w:w="1569" w:type="dxa"/>
            <w:tcBorders>
              <w:top w:val="nil"/>
              <w:left w:val="nil"/>
              <w:bottom w:val="single" w:color="auto" w:sz="4" w:space="0"/>
              <w:right w:val="single" w:color="auto" w:sz="4" w:space="0"/>
            </w:tcBorders>
            <w:vAlign w:val="center"/>
          </w:tcPr>
          <w:p w14:paraId="6964D17D">
            <w:pPr>
              <w:pStyle w:val="557"/>
              <w:rPr>
                <w:rFonts w:eastAsia="等线"/>
              </w:rPr>
            </w:pPr>
            <w:r>
              <w:rPr>
                <w:rFonts w:hint="eastAsia"/>
              </w:rPr>
              <w:t>11</w:t>
            </w:r>
          </w:p>
        </w:tc>
        <w:tc>
          <w:tcPr>
            <w:tcW w:w="1161" w:type="dxa"/>
            <w:tcBorders>
              <w:top w:val="nil"/>
              <w:left w:val="nil"/>
              <w:bottom w:val="single" w:color="auto" w:sz="4" w:space="0"/>
              <w:right w:val="single" w:color="auto" w:sz="4" w:space="0"/>
            </w:tcBorders>
            <w:vAlign w:val="center"/>
          </w:tcPr>
          <w:p w14:paraId="5BC5A0D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0.157</w:t>
            </w:r>
          </w:p>
        </w:tc>
        <w:tc>
          <w:tcPr>
            <w:tcW w:w="1116" w:type="dxa"/>
            <w:tcBorders>
              <w:top w:val="nil"/>
              <w:left w:val="nil"/>
              <w:bottom w:val="single" w:color="auto" w:sz="4" w:space="0"/>
              <w:right w:val="single" w:color="auto" w:sz="4" w:space="0"/>
            </w:tcBorders>
            <w:vAlign w:val="center"/>
          </w:tcPr>
          <w:p w14:paraId="47B76E28">
            <w:pPr>
              <w:pStyle w:val="557"/>
              <w:rPr>
                <w:rFonts w:eastAsia="等线"/>
              </w:rPr>
            </w:pPr>
            <w:r>
              <w:rPr>
                <w:rFonts w:hint="eastAsia"/>
              </w:rPr>
              <w:t>10</w:t>
            </w:r>
          </w:p>
        </w:tc>
        <w:tc>
          <w:tcPr>
            <w:tcW w:w="1161" w:type="dxa"/>
            <w:tcBorders>
              <w:top w:val="nil"/>
              <w:left w:val="nil"/>
              <w:bottom w:val="single" w:color="auto" w:sz="4" w:space="0"/>
              <w:right w:val="single" w:color="auto" w:sz="4" w:space="0"/>
            </w:tcBorders>
            <w:vAlign w:val="center"/>
          </w:tcPr>
          <w:p w14:paraId="6309D48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0.142</w:t>
            </w:r>
          </w:p>
        </w:tc>
        <w:tc>
          <w:tcPr>
            <w:tcW w:w="1037" w:type="dxa"/>
            <w:tcBorders>
              <w:top w:val="nil"/>
              <w:left w:val="nil"/>
              <w:bottom w:val="single" w:color="auto" w:sz="4" w:space="0"/>
              <w:right w:val="single" w:color="auto" w:sz="4" w:space="0"/>
            </w:tcBorders>
            <w:vAlign w:val="center"/>
          </w:tcPr>
          <w:p w14:paraId="0B2A9995">
            <w:pPr>
              <w:pStyle w:val="557"/>
              <w:rPr>
                <w:rFonts w:eastAsia="等线"/>
              </w:rPr>
            </w:pPr>
            <w:r>
              <w:rPr>
                <w:rFonts w:hint="eastAsia"/>
              </w:rPr>
              <w:t>16</w:t>
            </w:r>
          </w:p>
        </w:tc>
        <w:tc>
          <w:tcPr>
            <w:tcW w:w="1161" w:type="dxa"/>
            <w:tcBorders>
              <w:top w:val="nil"/>
              <w:left w:val="nil"/>
              <w:bottom w:val="single" w:color="auto" w:sz="4" w:space="0"/>
              <w:right w:val="single" w:color="auto" w:sz="4" w:space="0"/>
            </w:tcBorders>
            <w:vAlign w:val="center"/>
          </w:tcPr>
          <w:p w14:paraId="7C52A37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0.228</w:t>
            </w:r>
          </w:p>
        </w:tc>
        <w:tc>
          <w:tcPr>
            <w:tcW w:w="1107" w:type="dxa"/>
            <w:tcBorders>
              <w:top w:val="nil"/>
              <w:left w:val="nil"/>
              <w:bottom w:val="single" w:color="auto" w:sz="4" w:space="0"/>
              <w:right w:val="single" w:color="auto" w:sz="4" w:space="0"/>
            </w:tcBorders>
            <w:vAlign w:val="center"/>
          </w:tcPr>
          <w:p w14:paraId="09572C16">
            <w:pPr>
              <w:pStyle w:val="557"/>
              <w:rPr>
                <w:rFonts w:eastAsia="等线"/>
              </w:rPr>
            </w:pPr>
            <w:r>
              <w:rPr>
                <w:rFonts w:hint="eastAsia"/>
              </w:rPr>
              <w:t>15</w:t>
            </w:r>
          </w:p>
        </w:tc>
        <w:tc>
          <w:tcPr>
            <w:tcW w:w="1161" w:type="dxa"/>
            <w:tcBorders>
              <w:top w:val="nil"/>
              <w:left w:val="nil"/>
              <w:bottom w:val="single" w:color="auto" w:sz="4" w:space="0"/>
              <w:right w:val="single" w:color="auto" w:sz="4" w:space="0"/>
            </w:tcBorders>
            <w:vAlign w:val="center"/>
          </w:tcPr>
          <w:p w14:paraId="7042FFA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0.214</w:t>
            </w:r>
          </w:p>
        </w:tc>
        <w:tc>
          <w:tcPr>
            <w:tcW w:w="1037" w:type="dxa"/>
            <w:tcBorders>
              <w:top w:val="nil"/>
              <w:left w:val="nil"/>
              <w:bottom w:val="single" w:color="auto" w:sz="4" w:space="0"/>
              <w:right w:val="single" w:color="auto" w:sz="4" w:space="0"/>
            </w:tcBorders>
            <w:vAlign w:val="center"/>
          </w:tcPr>
          <w:p w14:paraId="5556F506">
            <w:pPr>
              <w:pStyle w:val="557"/>
              <w:rPr>
                <w:rFonts w:eastAsia="等线"/>
              </w:rPr>
            </w:pPr>
            <w:r>
              <w:rPr>
                <w:rFonts w:hint="eastAsia"/>
              </w:rPr>
              <w:t>16</w:t>
            </w:r>
          </w:p>
        </w:tc>
        <w:tc>
          <w:tcPr>
            <w:tcW w:w="1161" w:type="dxa"/>
            <w:tcBorders>
              <w:top w:val="nil"/>
              <w:left w:val="nil"/>
              <w:bottom w:val="single" w:color="auto" w:sz="4" w:space="0"/>
              <w:right w:val="single" w:color="auto" w:sz="4" w:space="0"/>
            </w:tcBorders>
            <w:vAlign w:val="center"/>
          </w:tcPr>
          <w:p w14:paraId="0402C02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0.228</w:t>
            </w:r>
          </w:p>
        </w:tc>
        <w:tc>
          <w:tcPr>
            <w:tcW w:w="666" w:type="dxa"/>
            <w:tcBorders>
              <w:top w:val="nil"/>
              <w:left w:val="nil"/>
              <w:bottom w:val="single" w:color="auto" w:sz="4" w:space="0"/>
              <w:right w:val="single" w:color="auto" w:sz="4" w:space="0"/>
            </w:tcBorders>
            <w:vAlign w:val="center"/>
          </w:tcPr>
          <w:p w14:paraId="7891300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70</w:t>
            </w:r>
          </w:p>
        </w:tc>
      </w:tr>
      <w:tr w14:paraId="515BF780">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vAlign w:val="center"/>
          </w:tcPr>
          <w:p w14:paraId="3C922657">
            <w:pPr>
              <w:jc w:val="center"/>
              <w:rPr>
                <w:rFonts w:ascii="Times New Roman" w:hAnsi="Times New Roman" w:cs="Times New Roman"/>
                <w:color w:val="000000"/>
                <w:sz w:val="18"/>
                <w:szCs w:val="18"/>
              </w:rPr>
            </w:pPr>
            <w:r>
              <w:rPr>
                <w:rFonts w:ascii="Times New Roman" w:hAnsi="Times New Roman" w:cs="Times New Roman"/>
                <w:color w:val="000000"/>
                <w:sz w:val="18"/>
                <w:szCs w:val="18"/>
              </w:rPr>
              <w:t>苯并[a]芘</w:t>
            </w:r>
          </w:p>
        </w:tc>
        <w:tc>
          <w:tcPr>
            <w:tcW w:w="1569" w:type="dxa"/>
            <w:tcBorders>
              <w:top w:val="nil"/>
              <w:left w:val="nil"/>
              <w:bottom w:val="single" w:color="auto" w:sz="4" w:space="0"/>
              <w:right w:val="single" w:color="auto" w:sz="4" w:space="0"/>
            </w:tcBorders>
            <w:vAlign w:val="center"/>
          </w:tcPr>
          <w:p w14:paraId="4DD5AE4C">
            <w:pPr>
              <w:pStyle w:val="557"/>
              <w:rPr>
                <w:rFonts w:eastAsia="等线"/>
              </w:rPr>
            </w:pPr>
            <w:r>
              <w:rPr>
                <w:rFonts w:hint="eastAsia"/>
              </w:rPr>
              <w:t>&lt;0.1</w:t>
            </w:r>
          </w:p>
        </w:tc>
        <w:tc>
          <w:tcPr>
            <w:tcW w:w="1161" w:type="dxa"/>
            <w:tcBorders>
              <w:top w:val="nil"/>
              <w:left w:val="nil"/>
              <w:bottom w:val="single" w:color="auto" w:sz="4" w:space="0"/>
              <w:right w:val="single" w:color="auto" w:sz="4" w:space="0"/>
            </w:tcBorders>
            <w:vAlign w:val="center"/>
          </w:tcPr>
          <w:p w14:paraId="198C7985">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16" w:type="dxa"/>
            <w:tcBorders>
              <w:top w:val="nil"/>
              <w:left w:val="nil"/>
              <w:bottom w:val="single" w:color="auto" w:sz="4" w:space="0"/>
              <w:right w:val="single" w:color="auto" w:sz="4" w:space="0"/>
            </w:tcBorders>
            <w:vAlign w:val="center"/>
          </w:tcPr>
          <w:p w14:paraId="3D1EA9F9">
            <w:pPr>
              <w:pStyle w:val="557"/>
              <w:rPr>
                <w:rFonts w:eastAsia="等线"/>
              </w:rPr>
            </w:pPr>
            <w:r>
              <w:rPr>
                <w:rFonts w:hint="eastAsia"/>
              </w:rPr>
              <w:t>&lt;0.1</w:t>
            </w:r>
          </w:p>
        </w:tc>
        <w:tc>
          <w:tcPr>
            <w:tcW w:w="1161" w:type="dxa"/>
            <w:tcBorders>
              <w:top w:val="nil"/>
              <w:left w:val="nil"/>
              <w:bottom w:val="single" w:color="auto" w:sz="4" w:space="0"/>
              <w:right w:val="single" w:color="auto" w:sz="4" w:space="0"/>
            </w:tcBorders>
            <w:vAlign w:val="center"/>
          </w:tcPr>
          <w:p w14:paraId="5C6B9A4F">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270BB546">
            <w:pPr>
              <w:pStyle w:val="557"/>
              <w:rPr>
                <w:rFonts w:eastAsia="等线"/>
              </w:rPr>
            </w:pPr>
            <w:r>
              <w:rPr>
                <w:rFonts w:hint="eastAsia"/>
              </w:rPr>
              <w:t>&lt;0.1</w:t>
            </w:r>
          </w:p>
        </w:tc>
        <w:tc>
          <w:tcPr>
            <w:tcW w:w="1161" w:type="dxa"/>
            <w:tcBorders>
              <w:top w:val="nil"/>
              <w:left w:val="nil"/>
              <w:bottom w:val="single" w:color="auto" w:sz="4" w:space="0"/>
              <w:right w:val="single" w:color="auto" w:sz="4" w:space="0"/>
            </w:tcBorders>
            <w:vAlign w:val="center"/>
          </w:tcPr>
          <w:p w14:paraId="0735F97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07" w:type="dxa"/>
            <w:tcBorders>
              <w:top w:val="nil"/>
              <w:left w:val="nil"/>
              <w:bottom w:val="single" w:color="auto" w:sz="4" w:space="0"/>
              <w:right w:val="single" w:color="auto" w:sz="4" w:space="0"/>
            </w:tcBorders>
            <w:vAlign w:val="center"/>
          </w:tcPr>
          <w:p w14:paraId="3CB075E4">
            <w:pPr>
              <w:pStyle w:val="557"/>
              <w:rPr>
                <w:rFonts w:eastAsia="等线"/>
              </w:rPr>
            </w:pPr>
            <w:r>
              <w:rPr>
                <w:rFonts w:hint="eastAsia"/>
              </w:rPr>
              <w:t>&lt;0.1</w:t>
            </w:r>
          </w:p>
        </w:tc>
        <w:tc>
          <w:tcPr>
            <w:tcW w:w="1161" w:type="dxa"/>
            <w:tcBorders>
              <w:top w:val="nil"/>
              <w:left w:val="nil"/>
              <w:bottom w:val="single" w:color="auto" w:sz="4" w:space="0"/>
              <w:right w:val="single" w:color="auto" w:sz="4" w:space="0"/>
            </w:tcBorders>
            <w:vAlign w:val="center"/>
          </w:tcPr>
          <w:p w14:paraId="58A78AFC">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2E8BD99D">
            <w:pPr>
              <w:pStyle w:val="557"/>
              <w:rPr>
                <w:rFonts w:eastAsia="等线"/>
              </w:rPr>
            </w:pPr>
            <w:r>
              <w:rPr>
                <w:rFonts w:hint="eastAsia"/>
              </w:rPr>
              <w:t>&lt;0.1</w:t>
            </w:r>
          </w:p>
        </w:tc>
        <w:tc>
          <w:tcPr>
            <w:tcW w:w="1161" w:type="dxa"/>
            <w:tcBorders>
              <w:top w:val="nil"/>
              <w:left w:val="nil"/>
              <w:bottom w:val="single" w:color="auto" w:sz="4" w:space="0"/>
              <w:right w:val="single" w:color="auto" w:sz="4" w:space="0"/>
            </w:tcBorders>
            <w:vAlign w:val="center"/>
          </w:tcPr>
          <w:p w14:paraId="46281D5F">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66" w:type="dxa"/>
            <w:tcBorders>
              <w:top w:val="nil"/>
              <w:left w:val="nil"/>
              <w:bottom w:val="single" w:color="auto" w:sz="4" w:space="0"/>
              <w:right w:val="single" w:color="auto" w:sz="4" w:space="0"/>
            </w:tcBorders>
            <w:vAlign w:val="center"/>
          </w:tcPr>
          <w:p w14:paraId="0BFBAE5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w:t>
            </w:r>
          </w:p>
        </w:tc>
      </w:tr>
      <w:tr w14:paraId="40BE1F94">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vAlign w:val="center"/>
          </w:tcPr>
          <w:p w14:paraId="5032D6AB">
            <w:pPr>
              <w:jc w:val="center"/>
              <w:rPr>
                <w:rFonts w:ascii="Times New Roman" w:hAnsi="Times New Roman" w:cs="Times New Roman"/>
                <w:color w:val="000000"/>
                <w:sz w:val="18"/>
                <w:szCs w:val="18"/>
              </w:rPr>
            </w:pPr>
            <w:r>
              <w:rPr>
                <w:rFonts w:ascii="Times New Roman" w:hAnsi="Times New Roman" w:cs="Times New Roman"/>
                <w:color w:val="000000"/>
                <w:sz w:val="18"/>
                <w:szCs w:val="18"/>
              </w:rPr>
              <w:t>氰化物</w:t>
            </w:r>
          </w:p>
        </w:tc>
        <w:tc>
          <w:tcPr>
            <w:tcW w:w="1569" w:type="dxa"/>
            <w:tcBorders>
              <w:top w:val="nil"/>
              <w:left w:val="nil"/>
              <w:bottom w:val="single" w:color="auto" w:sz="4" w:space="0"/>
              <w:right w:val="single" w:color="auto" w:sz="4" w:space="0"/>
            </w:tcBorders>
            <w:vAlign w:val="center"/>
          </w:tcPr>
          <w:p w14:paraId="496250E9">
            <w:pPr>
              <w:pStyle w:val="557"/>
              <w:rPr>
                <w:rFonts w:eastAsia="等线"/>
              </w:rPr>
            </w:pPr>
            <w:r>
              <w:rPr>
                <w:rFonts w:hint="eastAsia"/>
              </w:rPr>
              <w:t>&lt;0.01</w:t>
            </w:r>
          </w:p>
        </w:tc>
        <w:tc>
          <w:tcPr>
            <w:tcW w:w="1161" w:type="dxa"/>
            <w:tcBorders>
              <w:top w:val="nil"/>
              <w:left w:val="nil"/>
              <w:bottom w:val="single" w:color="auto" w:sz="4" w:space="0"/>
              <w:right w:val="single" w:color="auto" w:sz="4" w:space="0"/>
            </w:tcBorders>
            <w:vAlign w:val="center"/>
          </w:tcPr>
          <w:p w14:paraId="5BC6DEF9">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16" w:type="dxa"/>
            <w:tcBorders>
              <w:top w:val="nil"/>
              <w:left w:val="nil"/>
              <w:bottom w:val="single" w:color="auto" w:sz="4" w:space="0"/>
              <w:right w:val="single" w:color="auto" w:sz="4" w:space="0"/>
            </w:tcBorders>
            <w:vAlign w:val="center"/>
          </w:tcPr>
          <w:p w14:paraId="7764D89C">
            <w:pPr>
              <w:pStyle w:val="557"/>
              <w:rPr>
                <w:rFonts w:eastAsia="等线"/>
              </w:rPr>
            </w:pPr>
            <w:r>
              <w:rPr>
                <w:rFonts w:hint="eastAsia"/>
              </w:rPr>
              <w:t>&lt;0.01</w:t>
            </w:r>
          </w:p>
        </w:tc>
        <w:tc>
          <w:tcPr>
            <w:tcW w:w="1161" w:type="dxa"/>
            <w:tcBorders>
              <w:top w:val="nil"/>
              <w:left w:val="nil"/>
              <w:bottom w:val="single" w:color="auto" w:sz="4" w:space="0"/>
              <w:right w:val="single" w:color="auto" w:sz="4" w:space="0"/>
            </w:tcBorders>
            <w:vAlign w:val="center"/>
          </w:tcPr>
          <w:p w14:paraId="72D6D6EC">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37001E7C">
            <w:pPr>
              <w:pStyle w:val="557"/>
              <w:rPr>
                <w:rFonts w:eastAsia="等线"/>
              </w:rPr>
            </w:pPr>
            <w:r>
              <w:rPr>
                <w:rFonts w:hint="eastAsia"/>
              </w:rPr>
              <w:t>&lt;0.01</w:t>
            </w:r>
          </w:p>
        </w:tc>
        <w:tc>
          <w:tcPr>
            <w:tcW w:w="1161" w:type="dxa"/>
            <w:tcBorders>
              <w:top w:val="nil"/>
              <w:left w:val="nil"/>
              <w:bottom w:val="single" w:color="auto" w:sz="4" w:space="0"/>
              <w:right w:val="single" w:color="auto" w:sz="4" w:space="0"/>
            </w:tcBorders>
            <w:vAlign w:val="center"/>
          </w:tcPr>
          <w:p w14:paraId="1A9E538A">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107" w:type="dxa"/>
            <w:tcBorders>
              <w:top w:val="nil"/>
              <w:left w:val="nil"/>
              <w:bottom w:val="single" w:color="auto" w:sz="4" w:space="0"/>
              <w:right w:val="single" w:color="auto" w:sz="4" w:space="0"/>
            </w:tcBorders>
            <w:vAlign w:val="center"/>
          </w:tcPr>
          <w:p w14:paraId="46F79C77">
            <w:pPr>
              <w:pStyle w:val="557"/>
              <w:rPr>
                <w:rFonts w:eastAsia="等线"/>
              </w:rPr>
            </w:pPr>
            <w:r>
              <w:rPr>
                <w:rFonts w:hint="eastAsia"/>
              </w:rPr>
              <w:t>&lt;0.01</w:t>
            </w:r>
          </w:p>
        </w:tc>
        <w:tc>
          <w:tcPr>
            <w:tcW w:w="1161" w:type="dxa"/>
            <w:tcBorders>
              <w:top w:val="nil"/>
              <w:left w:val="nil"/>
              <w:bottom w:val="single" w:color="auto" w:sz="4" w:space="0"/>
              <w:right w:val="single" w:color="auto" w:sz="4" w:space="0"/>
            </w:tcBorders>
            <w:vAlign w:val="center"/>
          </w:tcPr>
          <w:p w14:paraId="243A5813">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1037" w:type="dxa"/>
            <w:tcBorders>
              <w:top w:val="nil"/>
              <w:left w:val="nil"/>
              <w:bottom w:val="single" w:color="auto" w:sz="4" w:space="0"/>
              <w:right w:val="single" w:color="auto" w:sz="4" w:space="0"/>
            </w:tcBorders>
            <w:vAlign w:val="center"/>
          </w:tcPr>
          <w:p w14:paraId="6D519862">
            <w:pPr>
              <w:pStyle w:val="557"/>
              <w:rPr>
                <w:rFonts w:eastAsia="等线"/>
              </w:rPr>
            </w:pPr>
            <w:r>
              <w:rPr>
                <w:rFonts w:hint="eastAsia"/>
              </w:rPr>
              <w:t>&lt;0.01</w:t>
            </w:r>
          </w:p>
        </w:tc>
        <w:tc>
          <w:tcPr>
            <w:tcW w:w="1161" w:type="dxa"/>
            <w:tcBorders>
              <w:top w:val="nil"/>
              <w:left w:val="nil"/>
              <w:bottom w:val="single" w:color="auto" w:sz="4" w:space="0"/>
              <w:right w:val="single" w:color="auto" w:sz="4" w:space="0"/>
            </w:tcBorders>
            <w:vAlign w:val="center"/>
          </w:tcPr>
          <w:p w14:paraId="6E4FCC61">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eastAsia="等线" w:cs="Times New Roman"/>
                <w:color w:val="000000" w:themeColor="text1"/>
                <w:sz w:val="18"/>
                <w:szCs w:val="18"/>
                <w14:textFill>
                  <w14:solidFill>
                    <w14:schemeClr w14:val="tx1"/>
                  </w14:solidFill>
                </w14:textFill>
              </w:rPr>
              <w:t>/</w:t>
            </w:r>
          </w:p>
        </w:tc>
        <w:tc>
          <w:tcPr>
            <w:tcW w:w="666" w:type="dxa"/>
            <w:tcBorders>
              <w:top w:val="nil"/>
              <w:left w:val="nil"/>
              <w:bottom w:val="single" w:color="auto" w:sz="4" w:space="0"/>
              <w:right w:val="single" w:color="auto" w:sz="4" w:space="0"/>
            </w:tcBorders>
            <w:vAlign w:val="center"/>
          </w:tcPr>
          <w:p w14:paraId="06608AE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135</w:t>
            </w:r>
          </w:p>
        </w:tc>
      </w:tr>
      <w:tr w14:paraId="73DE245E">
        <w:tblPrEx>
          <w:tblCellMar>
            <w:top w:w="0" w:type="dxa"/>
            <w:left w:w="108" w:type="dxa"/>
            <w:bottom w:w="0" w:type="dxa"/>
            <w:right w:w="108" w:type="dxa"/>
          </w:tblCellMar>
        </w:tblPrEx>
        <w:trPr>
          <w:trHeight w:val="284" w:hRule="atLeast"/>
          <w:jc w:val="center"/>
        </w:trPr>
        <w:tc>
          <w:tcPr>
            <w:tcW w:w="1980" w:type="dxa"/>
            <w:tcBorders>
              <w:top w:val="nil"/>
              <w:left w:val="single" w:color="auto" w:sz="4" w:space="0"/>
              <w:bottom w:val="single" w:color="auto" w:sz="4" w:space="0"/>
              <w:right w:val="single" w:color="auto" w:sz="4" w:space="0"/>
            </w:tcBorders>
            <w:vAlign w:val="center"/>
          </w:tcPr>
          <w:p w14:paraId="58CE522C">
            <w:pPr>
              <w:jc w:val="center"/>
              <w:rPr>
                <w:rFonts w:ascii="Times New Roman" w:hAnsi="Times New Roman" w:cs="Times New Roman"/>
                <w:color w:val="000000"/>
                <w:sz w:val="18"/>
                <w:szCs w:val="18"/>
              </w:rPr>
            </w:pPr>
            <w:r>
              <w:rPr>
                <w:rFonts w:ascii="Times New Roman" w:hAnsi="Times New Roman" w:cs="Times New Roman"/>
                <w:color w:val="000000"/>
                <w:sz w:val="18"/>
                <w:szCs w:val="18"/>
              </w:rPr>
              <w:t>石油烃（C</w:t>
            </w:r>
            <w:r>
              <w:rPr>
                <w:rFonts w:ascii="Times New Roman" w:hAnsi="Times New Roman" w:cs="Times New Roman"/>
                <w:color w:val="000000"/>
                <w:sz w:val="18"/>
                <w:szCs w:val="18"/>
                <w:vertAlign w:val="subscript"/>
              </w:rPr>
              <w:t>10</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40</w:t>
            </w:r>
            <w:r>
              <w:rPr>
                <w:rFonts w:ascii="Times New Roman" w:hAnsi="Times New Roman" w:cs="Times New Roman"/>
                <w:color w:val="000000"/>
                <w:sz w:val="18"/>
                <w:szCs w:val="18"/>
              </w:rPr>
              <w:t>）</w:t>
            </w:r>
          </w:p>
        </w:tc>
        <w:tc>
          <w:tcPr>
            <w:tcW w:w="1569" w:type="dxa"/>
            <w:tcBorders>
              <w:top w:val="nil"/>
              <w:left w:val="nil"/>
              <w:bottom w:val="single" w:color="auto" w:sz="4" w:space="0"/>
              <w:right w:val="single" w:color="auto" w:sz="4" w:space="0"/>
            </w:tcBorders>
            <w:vAlign w:val="center"/>
          </w:tcPr>
          <w:p w14:paraId="7E3340EA">
            <w:pPr>
              <w:pStyle w:val="557"/>
              <w:rPr>
                <w:rFonts w:eastAsia="等线"/>
              </w:rPr>
            </w:pPr>
            <w:r>
              <w:rPr>
                <w:rFonts w:hint="eastAsia"/>
              </w:rPr>
              <w:t>34</w:t>
            </w:r>
          </w:p>
        </w:tc>
        <w:tc>
          <w:tcPr>
            <w:tcW w:w="1161" w:type="dxa"/>
            <w:tcBorders>
              <w:top w:val="nil"/>
              <w:left w:val="nil"/>
              <w:bottom w:val="single" w:color="auto" w:sz="4" w:space="0"/>
              <w:right w:val="single" w:color="auto" w:sz="4" w:space="0"/>
            </w:tcBorders>
            <w:vAlign w:val="center"/>
          </w:tcPr>
          <w:p w14:paraId="0F4E568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0.007</w:t>
            </w:r>
          </w:p>
        </w:tc>
        <w:tc>
          <w:tcPr>
            <w:tcW w:w="1116" w:type="dxa"/>
            <w:tcBorders>
              <w:top w:val="nil"/>
              <w:left w:val="nil"/>
              <w:bottom w:val="single" w:color="auto" w:sz="4" w:space="0"/>
              <w:right w:val="single" w:color="auto" w:sz="4" w:space="0"/>
            </w:tcBorders>
            <w:vAlign w:val="center"/>
          </w:tcPr>
          <w:p w14:paraId="4B5A6D42">
            <w:pPr>
              <w:pStyle w:val="557"/>
              <w:rPr>
                <w:rFonts w:eastAsia="等线"/>
              </w:rPr>
            </w:pPr>
            <w:r>
              <w:rPr>
                <w:rFonts w:hint="eastAsia"/>
              </w:rPr>
              <w:t>22</w:t>
            </w:r>
          </w:p>
        </w:tc>
        <w:tc>
          <w:tcPr>
            <w:tcW w:w="1161" w:type="dxa"/>
            <w:tcBorders>
              <w:top w:val="nil"/>
              <w:left w:val="nil"/>
              <w:bottom w:val="single" w:color="auto" w:sz="4" w:space="0"/>
              <w:right w:val="single" w:color="auto" w:sz="4" w:space="0"/>
            </w:tcBorders>
            <w:vAlign w:val="center"/>
          </w:tcPr>
          <w:p w14:paraId="671E4C4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1037" w:type="dxa"/>
            <w:tcBorders>
              <w:top w:val="nil"/>
              <w:left w:val="nil"/>
              <w:bottom w:val="single" w:color="auto" w:sz="4" w:space="0"/>
              <w:right w:val="single" w:color="auto" w:sz="4" w:space="0"/>
            </w:tcBorders>
            <w:vAlign w:val="center"/>
          </w:tcPr>
          <w:p w14:paraId="106013D6">
            <w:pPr>
              <w:pStyle w:val="557"/>
              <w:rPr>
                <w:rFonts w:eastAsia="等线"/>
              </w:rPr>
            </w:pPr>
            <w:r>
              <w:rPr>
                <w:rFonts w:hint="eastAsia"/>
              </w:rPr>
              <w:t>25</w:t>
            </w:r>
          </w:p>
        </w:tc>
        <w:tc>
          <w:tcPr>
            <w:tcW w:w="1161" w:type="dxa"/>
            <w:tcBorders>
              <w:top w:val="nil"/>
              <w:left w:val="nil"/>
              <w:bottom w:val="single" w:color="auto" w:sz="4" w:space="0"/>
              <w:right w:val="single" w:color="auto" w:sz="4" w:space="0"/>
            </w:tcBorders>
            <w:vAlign w:val="center"/>
          </w:tcPr>
          <w:p w14:paraId="50E5B163">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0.005</w:t>
            </w:r>
          </w:p>
        </w:tc>
        <w:tc>
          <w:tcPr>
            <w:tcW w:w="1107" w:type="dxa"/>
            <w:tcBorders>
              <w:top w:val="nil"/>
              <w:left w:val="nil"/>
              <w:bottom w:val="single" w:color="auto" w:sz="4" w:space="0"/>
              <w:right w:val="single" w:color="auto" w:sz="4" w:space="0"/>
            </w:tcBorders>
            <w:vAlign w:val="center"/>
          </w:tcPr>
          <w:p w14:paraId="16D30918">
            <w:pPr>
              <w:pStyle w:val="557"/>
              <w:rPr>
                <w:rFonts w:eastAsia="等线"/>
              </w:rPr>
            </w:pPr>
            <w:r>
              <w:rPr>
                <w:rFonts w:hint="eastAsia"/>
              </w:rPr>
              <w:t>21</w:t>
            </w:r>
          </w:p>
        </w:tc>
        <w:tc>
          <w:tcPr>
            <w:tcW w:w="1161" w:type="dxa"/>
            <w:tcBorders>
              <w:top w:val="nil"/>
              <w:left w:val="nil"/>
              <w:bottom w:val="single" w:color="auto" w:sz="4" w:space="0"/>
              <w:right w:val="single" w:color="auto" w:sz="4" w:space="0"/>
            </w:tcBorders>
            <w:vAlign w:val="center"/>
          </w:tcPr>
          <w:p w14:paraId="3910A74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0.004</w:t>
            </w:r>
          </w:p>
        </w:tc>
        <w:tc>
          <w:tcPr>
            <w:tcW w:w="1037" w:type="dxa"/>
            <w:tcBorders>
              <w:top w:val="nil"/>
              <w:left w:val="nil"/>
              <w:bottom w:val="single" w:color="auto" w:sz="4" w:space="0"/>
              <w:right w:val="single" w:color="auto" w:sz="4" w:space="0"/>
            </w:tcBorders>
            <w:vAlign w:val="center"/>
          </w:tcPr>
          <w:p w14:paraId="4EEEF6AF">
            <w:pPr>
              <w:pStyle w:val="557"/>
              <w:rPr>
                <w:rFonts w:eastAsia="等线"/>
              </w:rPr>
            </w:pPr>
            <w:r>
              <w:rPr>
                <w:rFonts w:hint="eastAsia"/>
              </w:rPr>
              <w:t>26</w:t>
            </w:r>
          </w:p>
        </w:tc>
        <w:tc>
          <w:tcPr>
            <w:tcW w:w="1161" w:type="dxa"/>
            <w:tcBorders>
              <w:top w:val="nil"/>
              <w:left w:val="nil"/>
              <w:bottom w:val="single" w:color="auto" w:sz="4" w:space="0"/>
              <w:right w:val="single" w:color="auto" w:sz="4" w:space="0"/>
            </w:tcBorders>
            <w:vAlign w:val="center"/>
          </w:tcPr>
          <w:p w14:paraId="407A7CE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0.005</w:t>
            </w:r>
          </w:p>
        </w:tc>
        <w:tc>
          <w:tcPr>
            <w:tcW w:w="666" w:type="dxa"/>
            <w:tcBorders>
              <w:top w:val="nil"/>
              <w:left w:val="nil"/>
              <w:bottom w:val="single" w:color="auto" w:sz="4" w:space="0"/>
              <w:right w:val="single" w:color="auto" w:sz="4" w:space="0"/>
            </w:tcBorders>
            <w:vAlign w:val="center"/>
          </w:tcPr>
          <w:p w14:paraId="36158D65">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4500</w:t>
            </w:r>
          </w:p>
        </w:tc>
      </w:tr>
    </w:tbl>
    <w:p w14:paraId="2C2631B2">
      <w:pPr>
        <w:pStyle w:val="541"/>
        <w:rPr>
          <w:rFonts w:hint="eastAsia"/>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bookmarkEnd w:id="283"/>
    <w:p w14:paraId="504D43C4">
      <w:pPr>
        <w:pStyle w:val="281"/>
        <w:ind w:firstLine="480"/>
        <w:rPr>
          <w:szCs w:val="24"/>
        </w:rPr>
      </w:pPr>
      <w:r>
        <w:rPr>
          <w:rFonts w:hint="eastAsia"/>
          <w:szCs w:val="24"/>
        </w:rPr>
        <w:t>根据表中评价结果可以看出，项目区及附近建设用地各监测点的基本项目和特征因子</w:t>
      </w:r>
      <w:r>
        <w:rPr>
          <w:szCs w:val="24"/>
        </w:rPr>
        <w:t>均未超出《土壤环境质</w:t>
      </w:r>
      <w:r>
        <w:rPr>
          <w:color w:val="000000" w:themeColor="text1"/>
          <w:szCs w:val="24"/>
          <w14:textFill>
            <w14:solidFill>
              <w14:schemeClr w14:val="tx1"/>
            </w14:solidFill>
          </w14:textFill>
        </w:rPr>
        <w:t>量建设用地土壤污染风险管控标准》（GB36600-2018）中表1建设用地土壤污染风险第二类用地筛选值</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说明拟建项目周边土壤的环境质量较好，未受到人类经济活动的影响。</w:t>
      </w:r>
    </w:p>
    <w:p w14:paraId="3F2DA8B2">
      <w:pPr>
        <w:pStyle w:val="98"/>
        <w:rPr>
          <w:rFonts w:hint="eastAsia"/>
        </w:rPr>
      </w:pPr>
      <w:r>
        <w:rPr>
          <w:rFonts w:hint="eastAsia"/>
        </w:rPr>
        <w:t>土壤理化性质现状调查</w:t>
      </w:r>
    </w:p>
    <w:p w14:paraId="55AD7D1E">
      <w:pPr>
        <w:pStyle w:val="281"/>
        <w:ind w:firstLine="480"/>
      </w:pPr>
      <w:r>
        <w:rPr>
          <w:rFonts w:hint="eastAsia"/>
        </w:rPr>
        <w:t>为了解评价区域的土壤理化性质，在项目厂区占地范围内的污水处理站和厂前区进行采样调查，土壤理化特性调查见</w:t>
      </w:r>
      <w:r>
        <w:t>表4.3.4-</w:t>
      </w:r>
      <w:r>
        <w:rPr>
          <w:rFonts w:hint="eastAsia"/>
        </w:rPr>
        <w:t>6，土体结构见</w:t>
      </w:r>
      <w:r>
        <w:t>表4.3.4-</w:t>
      </w:r>
      <w:r>
        <w:rPr>
          <w:rFonts w:hint="eastAsia"/>
        </w:rPr>
        <w:t>7。</w:t>
      </w:r>
    </w:p>
    <w:p w14:paraId="7BA5DA89">
      <w:pPr>
        <w:pStyle w:val="535"/>
        <w:rPr>
          <w:rFonts w:hint="eastAsia"/>
          <w:color w:val="auto"/>
        </w:rPr>
      </w:pPr>
      <w:r>
        <w:rPr>
          <w:rFonts w:eastAsia="宋体"/>
          <w:color w:val="auto"/>
        </w:rPr>
        <w:t>表4.3.4-</w:t>
      </w:r>
      <w:r>
        <w:rPr>
          <w:rFonts w:hint="eastAsia" w:eastAsia="宋体"/>
          <w:color w:val="auto"/>
        </w:rPr>
        <w:t>6</w:t>
      </w:r>
      <w:r>
        <w:rPr>
          <w:rFonts w:eastAsia="宋体"/>
          <w:color w:val="auto"/>
        </w:rPr>
        <w:t xml:space="preserve">    </w:t>
      </w:r>
      <w:r>
        <w:rPr>
          <w:rFonts w:hint="eastAsia"/>
          <w:color w:val="auto"/>
        </w:rPr>
        <w:t>项目所在区域土壤理化性质监测结果一览表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2318"/>
        <w:gridCol w:w="1418"/>
        <w:gridCol w:w="1417"/>
        <w:gridCol w:w="1276"/>
        <w:gridCol w:w="1564"/>
      </w:tblGrid>
      <w:tr w14:paraId="11F7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30" w:type="dxa"/>
            <w:gridSpan w:val="2"/>
            <w:vAlign w:val="center"/>
          </w:tcPr>
          <w:p w14:paraId="24BDB687">
            <w:pPr>
              <w:pStyle w:val="557"/>
            </w:pPr>
            <w:bookmarkStart w:id="284" w:name="OLE_LINK25"/>
            <w:r>
              <w:t>点位</w:t>
            </w:r>
          </w:p>
        </w:tc>
        <w:tc>
          <w:tcPr>
            <w:tcW w:w="4111" w:type="dxa"/>
            <w:gridSpan w:val="3"/>
            <w:vAlign w:val="center"/>
          </w:tcPr>
          <w:p w14:paraId="1D101D28">
            <w:pPr>
              <w:pStyle w:val="557"/>
            </w:pPr>
            <w:r>
              <w:t>厂界内</w:t>
            </w:r>
            <w:r>
              <w:rPr>
                <w:rFonts w:hint="eastAsia"/>
              </w:rPr>
              <w:t>3</w:t>
            </w:r>
            <w:r>
              <w:t>#柱状样</w:t>
            </w:r>
          </w:p>
        </w:tc>
        <w:tc>
          <w:tcPr>
            <w:tcW w:w="1564" w:type="dxa"/>
            <w:vAlign w:val="center"/>
          </w:tcPr>
          <w:p w14:paraId="0E3B3F48">
            <w:pPr>
              <w:pStyle w:val="557"/>
            </w:pPr>
            <w:r>
              <w:t>厂界内</w:t>
            </w:r>
            <w:r>
              <w:rPr>
                <w:rFonts w:hint="eastAsia"/>
              </w:rPr>
              <w:t>2</w:t>
            </w:r>
            <w:r>
              <w:t>#表层样</w:t>
            </w:r>
          </w:p>
        </w:tc>
      </w:tr>
      <w:tr w14:paraId="557F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30" w:type="dxa"/>
            <w:gridSpan w:val="2"/>
            <w:vAlign w:val="center"/>
          </w:tcPr>
          <w:p w14:paraId="5B11EF36">
            <w:pPr>
              <w:pStyle w:val="557"/>
            </w:pPr>
            <w:r>
              <w:t>层次</w:t>
            </w:r>
          </w:p>
        </w:tc>
        <w:tc>
          <w:tcPr>
            <w:tcW w:w="1418" w:type="dxa"/>
            <w:vAlign w:val="center"/>
          </w:tcPr>
          <w:p w14:paraId="5A12CE32">
            <w:pPr>
              <w:pStyle w:val="557"/>
            </w:pPr>
            <w:r>
              <w:t>0-50cm</w:t>
            </w:r>
          </w:p>
        </w:tc>
        <w:tc>
          <w:tcPr>
            <w:tcW w:w="1417" w:type="dxa"/>
            <w:vAlign w:val="center"/>
          </w:tcPr>
          <w:p w14:paraId="1E7D3D5E">
            <w:pPr>
              <w:pStyle w:val="557"/>
            </w:pPr>
            <w:r>
              <w:t>50-150cm</w:t>
            </w:r>
          </w:p>
        </w:tc>
        <w:tc>
          <w:tcPr>
            <w:tcW w:w="1276" w:type="dxa"/>
            <w:vAlign w:val="center"/>
          </w:tcPr>
          <w:p w14:paraId="45A7F386">
            <w:pPr>
              <w:pStyle w:val="557"/>
            </w:pPr>
            <w:r>
              <w:t>150-300cm</w:t>
            </w:r>
          </w:p>
        </w:tc>
        <w:tc>
          <w:tcPr>
            <w:tcW w:w="1564" w:type="dxa"/>
            <w:vAlign w:val="center"/>
          </w:tcPr>
          <w:p w14:paraId="5736343E">
            <w:pPr>
              <w:pStyle w:val="557"/>
            </w:pPr>
            <w:r>
              <w:t>0-20cm</w:t>
            </w:r>
          </w:p>
        </w:tc>
      </w:tr>
      <w:tr w14:paraId="1C5C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restart"/>
            <w:vAlign w:val="center"/>
          </w:tcPr>
          <w:p w14:paraId="0975BB29">
            <w:pPr>
              <w:pStyle w:val="557"/>
            </w:pPr>
            <w:r>
              <w:t>现场记录</w:t>
            </w:r>
          </w:p>
        </w:tc>
        <w:tc>
          <w:tcPr>
            <w:tcW w:w="2318" w:type="dxa"/>
            <w:vAlign w:val="center"/>
          </w:tcPr>
          <w:p w14:paraId="0499DBC1">
            <w:pPr>
              <w:pStyle w:val="557"/>
            </w:pPr>
            <w:r>
              <w:t>颜色</w:t>
            </w:r>
          </w:p>
        </w:tc>
        <w:tc>
          <w:tcPr>
            <w:tcW w:w="1418" w:type="dxa"/>
            <w:vAlign w:val="center"/>
          </w:tcPr>
          <w:p w14:paraId="1D903602">
            <w:pPr>
              <w:pStyle w:val="557"/>
            </w:pPr>
            <w:r>
              <w:rPr>
                <w:rFonts w:hint="eastAsia"/>
              </w:rPr>
              <w:t>黄棕</w:t>
            </w:r>
          </w:p>
        </w:tc>
        <w:tc>
          <w:tcPr>
            <w:tcW w:w="1417" w:type="dxa"/>
            <w:vAlign w:val="center"/>
          </w:tcPr>
          <w:p w14:paraId="4074BBB9">
            <w:pPr>
              <w:pStyle w:val="557"/>
            </w:pPr>
            <w:r>
              <w:rPr>
                <w:rFonts w:hint="eastAsia"/>
              </w:rPr>
              <w:t>黄棕</w:t>
            </w:r>
          </w:p>
        </w:tc>
        <w:tc>
          <w:tcPr>
            <w:tcW w:w="1276" w:type="dxa"/>
            <w:vAlign w:val="center"/>
          </w:tcPr>
          <w:p w14:paraId="59528F9B">
            <w:pPr>
              <w:pStyle w:val="557"/>
            </w:pPr>
            <w:r>
              <w:rPr>
                <w:rFonts w:hint="eastAsia"/>
              </w:rPr>
              <w:t>黄棕</w:t>
            </w:r>
          </w:p>
        </w:tc>
        <w:tc>
          <w:tcPr>
            <w:tcW w:w="1564" w:type="dxa"/>
            <w:vAlign w:val="center"/>
          </w:tcPr>
          <w:p w14:paraId="4F5C209F">
            <w:pPr>
              <w:pStyle w:val="557"/>
            </w:pPr>
            <w:r>
              <w:rPr>
                <w:rFonts w:hint="eastAsia"/>
              </w:rPr>
              <w:t>黄棕</w:t>
            </w:r>
          </w:p>
        </w:tc>
      </w:tr>
      <w:tr w14:paraId="6E8A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1F3BDA8A">
            <w:pPr>
              <w:pStyle w:val="557"/>
            </w:pPr>
          </w:p>
        </w:tc>
        <w:tc>
          <w:tcPr>
            <w:tcW w:w="2318" w:type="dxa"/>
            <w:vAlign w:val="center"/>
          </w:tcPr>
          <w:p w14:paraId="563B9448">
            <w:pPr>
              <w:pStyle w:val="557"/>
            </w:pPr>
            <w:r>
              <w:t>结构</w:t>
            </w:r>
          </w:p>
        </w:tc>
        <w:tc>
          <w:tcPr>
            <w:tcW w:w="1418" w:type="dxa"/>
            <w:vAlign w:val="center"/>
          </w:tcPr>
          <w:p w14:paraId="46B4782E">
            <w:pPr>
              <w:pStyle w:val="557"/>
            </w:pPr>
            <w:r>
              <w:rPr>
                <w:rFonts w:hint="eastAsia"/>
              </w:rPr>
              <w:t>团粒</w:t>
            </w:r>
          </w:p>
        </w:tc>
        <w:tc>
          <w:tcPr>
            <w:tcW w:w="1417" w:type="dxa"/>
            <w:vAlign w:val="center"/>
          </w:tcPr>
          <w:p w14:paraId="14735761">
            <w:pPr>
              <w:pStyle w:val="557"/>
            </w:pPr>
            <w:r>
              <w:rPr>
                <w:rFonts w:hint="eastAsia"/>
              </w:rPr>
              <w:t>团粒</w:t>
            </w:r>
          </w:p>
        </w:tc>
        <w:tc>
          <w:tcPr>
            <w:tcW w:w="1276" w:type="dxa"/>
            <w:vAlign w:val="center"/>
          </w:tcPr>
          <w:p w14:paraId="27EBCF79">
            <w:pPr>
              <w:pStyle w:val="557"/>
            </w:pPr>
            <w:r>
              <w:rPr>
                <w:rFonts w:hint="eastAsia"/>
              </w:rPr>
              <w:t>团粒</w:t>
            </w:r>
          </w:p>
        </w:tc>
        <w:tc>
          <w:tcPr>
            <w:tcW w:w="1564" w:type="dxa"/>
            <w:vAlign w:val="center"/>
          </w:tcPr>
          <w:p w14:paraId="1C832761">
            <w:pPr>
              <w:pStyle w:val="557"/>
            </w:pPr>
            <w:r>
              <w:rPr>
                <w:rFonts w:hint="eastAsia"/>
              </w:rPr>
              <w:t>团粒</w:t>
            </w:r>
          </w:p>
        </w:tc>
      </w:tr>
      <w:tr w14:paraId="1819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5359F3DF">
            <w:pPr>
              <w:pStyle w:val="557"/>
            </w:pPr>
          </w:p>
        </w:tc>
        <w:tc>
          <w:tcPr>
            <w:tcW w:w="2318" w:type="dxa"/>
            <w:vAlign w:val="center"/>
          </w:tcPr>
          <w:p w14:paraId="3CED81A9">
            <w:pPr>
              <w:pStyle w:val="557"/>
            </w:pPr>
            <w:r>
              <w:t>质地</w:t>
            </w:r>
          </w:p>
        </w:tc>
        <w:tc>
          <w:tcPr>
            <w:tcW w:w="1418" w:type="dxa"/>
            <w:vAlign w:val="center"/>
          </w:tcPr>
          <w:p w14:paraId="7E940D74">
            <w:pPr>
              <w:pStyle w:val="557"/>
            </w:pPr>
            <w:r>
              <w:rPr>
                <w:rFonts w:hint="eastAsia"/>
              </w:rPr>
              <w:t>沙土</w:t>
            </w:r>
          </w:p>
        </w:tc>
        <w:tc>
          <w:tcPr>
            <w:tcW w:w="1417" w:type="dxa"/>
            <w:vAlign w:val="center"/>
          </w:tcPr>
          <w:p w14:paraId="10D50BE9">
            <w:pPr>
              <w:pStyle w:val="557"/>
            </w:pPr>
            <w:r>
              <w:rPr>
                <w:rFonts w:hint="eastAsia"/>
              </w:rPr>
              <w:t>沙土</w:t>
            </w:r>
          </w:p>
        </w:tc>
        <w:tc>
          <w:tcPr>
            <w:tcW w:w="1276" w:type="dxa"/>
            <w:vAlign w:val="center"/>
          </w:tcPr>
          <w:p w14:paraId="5836AB5B">
            <w:pPr>
              <w:pStyle w:val="557"/>
            </w:pPr>
            <w:r>
              <w:rPr>
                <w:rFonts w:hint="eastAsia"/>
              </w:rPr>
              <w:t>沙土</w:t>
            </w:r>
          </w:p>
        </w:tc>
        <w:tc>
          <w:tcPr>
            <w:tcW w:w="1564" w:type="dxa"/>
            <w:vAlign w:val="center"/>
          </w:tcPr>
          <w:p w14:paraId="4458A75D">
            <w:pPr>
              <w:pStyle w:val="557"/>
            </w:pPr>
            <w:r>
              <w:rPr>
                <w:rFonts w:hint="eastAsia"/>
              </w:rPr>
              <w:t>沙土</w:t>
            </w:r>
          </w:p>
        </w:tc>
      </w:tr>
      <w:tr w14:paraId="49CA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212F0BBC">
            <w:pPr>
              <w:pStyle w:val="557"/>
            </w:pPr>
          </w:p>
        </w:tc>
        <w:tc>
          <w:tcPr>
            <w:tcW w:w="2318" w:type="dxa"/>
            <w:vAlign w:val="center"/>
          </w:tcPr>
          <w:p w14:paraId="24E1E61E">
            <w:pPr>
              <w:pStyle w:val="557"/>
            </w:pPr>
            <w:r>
              <w:t>砂砾含量</w:t>
            </w:r>
          </w:p>
        </w:tc>
        <w:tc>
          <w:tcPr>
            <w:tcW w:w="1418" w:type="dxa"/>
            <w:vAlign w:val="center"/>
          </w:tcPr>
          <w:p w14:paraId="0945D6EE">
            <w:pPr>
              <w:pStyle w:val="557"/>
            </w:pPr>
            <w:r>
              <w:rPr>
                <w:rFonts w:hint="eastAsia"/>
              </w:rPr>
              <w:t>74%</w:t>
            </w:r>
          </w:p>
        </w:tc>
        <w:tc>
          <w:tcPr>
            <w:tcW w:w="1417" w:type="dxa"/>
            <w:vAlign w:val="center"/>
          </w:tcPr>
          <w:p w14:paraId="57532D9E">
            <w:pPr>
              <w:pStyle w:val="557"/>
            </w:pPr>
            <w:r>
              <w:rPr>
                <w:rFonts w:hint="eastAsia"/>
              </w:rPr>
              <w:t>73%</w:t>
            </w:r>
          </w:p>
        </w:tc>
        <w:tc>
          <w:tcPr>
            <w:tcW w:w="1276" w:type="dxa"/>
            <w:vAlign w:val="center"/>
          </w:tcPr>
          <w:p w14:paraId="2D09F957">
            <w:pPr>
              <w:pStyle w:val="557"/>
            </w:pPr>
            <w:r>
              <w:rPr>
                <w:rFonts w:hint="eastAsia"/>
              </w:rPr>
              <w:t>73%</w:t>
            </w:r>
          </w:p>
        </w:tc>
        <w:tc>
          <w:tcPr>
            <w:tcW w:w="1564" w:type="dxa"/>
            <w:vAlign w:val="center"/>
          </w:tcPr>
          <w:p w14:paraId="72AF4A81">
            <w:pPr>
              <w:pStyle w:val="557"/>
            </w:pPr>
            <w:r>
              <w:rPr>
                <w:rFonts w:hint="eastAsia"/>
              </w:rPr>
              <w:t>76%</w:t>
            </w:r>
          </w:p>
        </w:tc>
      </w:tr>
      <w:tr w14:paraId="44E3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6DB238B7">
            <w:pPr>
              <w:pStyle w:val="557"/>
            </w:pPr>
          </w:p>
        </w:tc>
        <w:tc>
          <w:tcPr>
            <w:tcW w:w="2318" w:type="dxa"/>
            <w:vAlign w:val="center"/>
          </w:tcPr>
          <w:p w14:paraId="6936C01C">
            <w:pPr>
              <w:pStyle w:val="557"/>
            </w:pPr>
            <w:r>
              <w:t>其他异物</w:t>
            </w:r>
          </w:p>
        </w:tc>
        <w:tc>
          <w:tcPr>
            <w:tcW w:w="1418" w:type="dxa"/>
            <w:vAlign w:val="center"/>
          </w:tcPr>
          <w:p w14:paraId="7474E748">
            <w:pPr>
              <w:pStyle w:val="557"/>
            </w:pPr>
            <w:r>
              <w:rPr>
                <w:rFonts w:hint="eastAsia"/>
              </w:rPr>
              <w:t>无</w:t>
            </w:r>
          </w:p>
        </w:tc>
        <w:tc>
          <w:tcPr>
            <w:tcW w:w="1417" w:type="dxa"/>
            <w:vAlign w:val="center"/>
          </w:tcPr>
          <w:p w14:paraId="43D9B1B0">
            <w:pPr>
              <w:pStyle w:val="557"/>
            </w:pPr>
            <w:r>
              <w:rPr>
                <w:rFonts w:hint="eastAsia"/>
              </w:rPr>
              <w:t>无</w:t>
            </w:r>
          </w:p>
        </w:tc>
        <w:tc>
          <w:tcPr>
            <w:tcW w:w="1276" w:type="dxa"/>
            <w:vAlign w:val="center"/>
          </w:tcPr>
          <w:p w14:paraId="11828295">
            <w:pPr>
              <w:pStyle w:val="557"/>
            </w:pPr>
            <w:r>
              <w:rPr>
                <w:rFonts w:hint="eastAsia"/>
              </w:rPr>
              <w:t>无</w:t>
            </w:r>
          </w:p>
        </w:tc>
        <w:tc>
          <w:tcPr>
            <w:tcW w:w="1564" w:type="dxa"/>
            <w:vAlign w:val="center"/>
          </w:tcPr>
          <w:p w14:paraId="56D85935">
            <w:pPr>
              <w:pStyle w:val="557"/>
            </w:pPr>
            <w:r>
              <w:rPr>
                <w:rFonts w:hint="eastAsia"/>
              </w:rPr>
              <w:t>无</w:t>
            </w:r>
          </w:p>
        </w:tc>
      </w:tr>
      <w:tr w14:paraId="3ED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restart"/>
            <w:vAlign w:val="center"/>
          </w:tcPr>
          <w:p w14:paraId="5858CA21">
            <w:pPr>
              <w:pStyle w:val="557"/>
            </w:pPr>
            <w:r>
              <w:t>实验</w:t>
            </w:r>
          </w:p>
          <w:p w14:paraId="614F4B7F">
            <w:pPr>
              <w:pStyle w:val="557"/>
            </w:pPr>
            <w:r>
              <w:t>室测</w:t>
            </w:r>
          </w:p>
          <w:p w14:paraId="3A103C7A">
            <w:pPr>
              <w:pStyle w:val="557"/>
            </w:pPr>
            <w:r>
              <w:t>定</w:t>
            </w:r>
          </w:p>
        </w:tc>
        <w:tc>
          <w:tcPr>
            <w:tcW w:w="2318" w:type="dxa"/>
            <w:vAlign w:val="center"/>
          </w:tcPr>
          <w:p w14:paraId="1BECD908">
            <w:pPr>
              <w:pStyle w:val="557"/>
            </w:pPr>
            <w:r>
              <w:t>pH值（无量纲）</w:t>
            </w:r>
          </w:p>
        </w:tc>
        <w:tc>
          <w:tcPr>
            <w:tcW w:w="1418" w:type="dxa"/>
            <w:vAlign w:val="center"/>
          </w:tcPr>
          <w:p w14:paraId="684ED109">
            <w:pPr>
              <w:pStyle w:val="557"/>
            </w:pPr>
            <w:r>
              <w:rPr>
                <w:rFonts w:hint="eastAsia"/>
                <w:lang w:bidi="ar"/>
              </w:rPr>
              <w:t>7.87</w:t>
            </w:r>
          </w:p>
        </w:tc>
        <w:tc>
          <w:tcPr>
            <w:tcW w:w="1417" w:type="dxa"/>
            <w:vAlign w:val="center"/>
          </w:tcPr>
          <w:p w14:paraId="32B62AE6">
            <w:pPr>
              <w:pStyle w:val="557"/>
            </w:pPr>
            <w:r>
              <w:rPr>
                <w:rFonts w:hint="eastAsia"/>
                <w:lang w:bidi="ar"/>
              </w:rPr>
              <w:t>7.92</w:t>
            </w:r>
          </w:p>
        </w:tc>
        <w:tc>
          <w:tcPr>
            <w:tcW w:w="1276" w:type="dxa"/>
            <w:vAlign w:val="center"/>
          </w:tcPr>
          <w:p w14:paraId="11989139">
            <w:pPr>
              <w:pStyle w:val="557"/>
            </w:pPr>
            <w:r>
              <w:rPr>
                <w:rFonts w:hint="eastAsia"/>
                <w:lang w:bidi="ar"/>
              </w:rPr>
              <w:t>8.13</w:t>
            </w:r>
          </w:p>
        </w:tc>
        <w:tc>
          <w:tcPr>
            <w:tcW w:w="1564" w:type="dxa"/>
            <w:vAlign w:val="center"/>
          </w:tcPr>
          <w:p w14:paraId="2507FF1E">
            <w:pPr>
              <w:pStyle w:val="557"/>
            </w:pPr>
            <w:r>
              <w:rPr>
                <w:rFonts w:hint="eastAsia"/>
                <w:lang w:bidi="ar"/>
              </w:rPr>
              <w:t>8.17</w:t>
            </w:r>
          </w:p>
        </w:tc>
      </w:tr>
      <w:tr w14:paraId="2B55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39E8EEB1">
            <w:pPr>
              <w:pStyle w:val="557"/>
            </w:pPr>
          </w:p>
        </w:tc>
        <w:tc>
          <w:tcPr>
            <w:tcW w:w="2318" w:type="dxa"/>
            <w:vAlign w:val="center"/>
          </w:tcPr>
          <w:p w14:paraId="3819E174">
            <w:pPr>
              <w:pStyle w:val="557"/>
            </w:pPr>
            <w:r>
              <w:t>阳离子交换量（cmol+/kg）</w:t>
            </w:r>
          </w:p>
        </w:tc>
        <w:tc>
          <w:tcPr>
            <w:tcW w:w="1418" w:type="dxa"/>
            <w:vAlign w:val="center"/>
          </w:tcPr>
          <w:p w14:paraId="53EB0139">
            <w:pPr>
              <w:pStyle w:val="557"/>
            </w:pPr>
            <w:r>
              <w:rPr>
                <w:rFonts w:hint="eastAsia"/>
              </w:rPr>
              <w:t>1.6</w:t>
            </w:r>
          </w:p>
        </w:tc>
        <w:tc>
          <w:tcPr>
            <w:tcW w:w="1417" w:type="dxa"/>
            <w:vAlign w:val="center"/>
          </w:tcPr>
          <w:p w14:paraId="799AB8A0">
            <w:pPr>
              <w:pStyle w:val="557"/>
            </w:pPr>
            <w:r>
              <w:rPr>
                <w:rFonts w:hint="eastAsia"/>
              </w:rPr>
              <w:t>2.3</w:t>
            </w:r>
          </w:p>
        </w:tc>
        <w:tc>
          <w:tcPr>
            <w:tcW w:w="1276" w:type="dxa"/>
            <w:vAlign w:val="center"/>
          </w:tcPr>
          <w:p w14:paraId="3FA9D8EC">
            <w:pPr>
              <w:pStyle w:val="557"/>
            </w:pPr>
            <w:r>
              <w:rPr>
                <w:rFonts w:hint="eastAsia"/>
              </w:rPr>
              <w:t>1.8</w:t>
            </w:r>
          </w:p>
        </w:tc>
        <w:tc>
          <w:tcPr>
            <w:tcW w:w="1564" w:type="dxa"/>
            <w:vAlign w:val="center"/>
          </w:tcPr>
          <w:p w14:paraId="71F3A6E1">
            <w:pPr>
              <w:pStyle w:val="557"/>
            </w:pPr>
            <w:r>
              <w:rPr>
                <w:rFonts w:hint="eastAsia"/>
              </w:rPr>
              <w:t>1.6</w:t>
            </w:r>
          </w:p>
        </w:tc>
      </w:tr>
      <w:tr w14:paraId="779C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1C8DF321">
            <w:pPr>
              <w:pStyle w:val="557"/>
            </w:pPr>
          </w:p>
        </w:tc>
        <w:tc>
          <w:tcPr>
            <w:tcW w:w="2318" w:type="dxa"/>
            <w:vAlign w:val="center"/>
          </w:tcPr>
          <w:p w14:paraId="0CB4E9B2">
            <w:pPr>
              <w:pStyle w:val="557"/>
            </w:pPr>
            <w:r>
              <w:t>氧化还原电位（mV）</w:t>
            </w:r>
          </w:p>
        </w:tc>
        <w:tc>
          <w:tcPr>
            <w:tcW w:w="1418" w:type="dxa"/>
            <w:vAlign w:val="center"/>
          </w:tcPr>
          <w:p w14:paraId="137607B1">
            <w:pPr>
              <w:pStyle w:val="557"/>
            </w:pPr>
            <w:r>
              <w:rPr>
                <w:rFonts w:hint="eastAsia"/>
              </w:rPr>
              <w:t>319</w:t>
            </w:r>
          </w:p>
        </w:tc>
        <w:tc>
          <w:tcPr>
            <w:tcW w:w="1417" w:type="dxa"/>
            <w:vAlign w:val="center"/>
          </w:tcPr>
          <w:p w14:paraId="3211C35B">
            <w:pPr>
              <w:pStyle w:val="557"/>
            </w:pPr>
            <w:r>
              <w:rPr>
                <w:rFonts w:hint="eastAsia"/>
              </w:rPr>
              <w:t>321</w:t>
            </w:r>
          </w:p>
        </w:tc>
        <w:tc>
          <w:tcPr>
            <w:tcW w:w="1276" w:type="dxa"/>
            <w:vAlign w:val="center"/>
          </w:tcPr>
          <w:p w14:paraId="6E803A6B">
            <w:pPr>
              <w:pStyle w:val="557"/>
            </w:pPr>
            <w:r>
              <w:rPr>
                <w:rFonts w:hint="eastAsia"/>
              </w:rPr>
              <w:t>317</w:t>
            </w:r>
          </w:p>
        </w:tc>
        <w:tc>
          <w:tcPr>
            <w:tcW w:w="1564" w:type="dxa"/>
            <w:vAlign w:val="center"/>
          </w:tcPr>
          <w:p w14:paraId="484E1C32">
            <w:pPr>
              <w:pStyle w:val="557"/>
            </w:pPr>
            <w:r>
              <w:rPr>
                <w:rFonts w:hint="eastAsia"/>
              </w:rPr>
              <w:t>320</w:t>
            </w:r>
          </w:p>
        </w:tc>
      </w:tr>
      <w:tr w14:paraId="18FA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4D77C9E5">
            <w:pPr>
              <w:pStyle w:val="557"/>
            </w:pPr>
          </w:p>
        </w:tc>
        <w:tc>
          <w:tcPr>
            <w:tcW w:w="2318" w:type="dxa"/>
            <w:vAlign w:val="center"/>
          </w:tcPr>
          <w:p w14:paraId="078921F3">
            <w:pPr>
              <w:pStyle w:val="557"/>
            </w:pPr>
            <w:r>
              <w:t>饱和导水率（cm/s）</w:t>
            </w:r>
          </w:p>
        </w:tc>
        <w:tc>
          <w:tcPr>
            <w:tcW w:w="1418" w:type="dxa"/>
            <w:vAlign w:val="center"/>
          </w:tcPr>
          <w:p w14:paraId="32E80CE4">
            <w:pPr>
              <w:pStyle w:val="557"/>
              <w:rPr>
                <w:highlight w:val="yellow"/>
              </w:rPr>
            </w:pPr>
            <w:r>
              <w:rPr>
                <w:rFonts w:hint="eastAsia"/>
              </w:rPr>
              <w:t>1.19</w:t>
            </w:r>
            <w:r>
              <w:t>×</w:t>
            </w:r>
            <w:r>
              <w:rPr>
                <w:rFonts w:hint="eastAsia"/>
              </w:rPr>
              <w:t>10</w:t>
            </w:r>
            <w:r>
              <w:rPr>
                <w:rFonts w:hint="eastAsia"/>
                <w:vertAlign w:val="superscript"/>
              </w:rPr>
              <w:t>-3</w:t>
            </w:r>
          </w:p>
        </w:tc>
        <w:tc>
          <w:tcPr>
            <w:tcW w:w="1417" w:type="dxa"/>
            <w:vAlign w:val="center"/>
          </w:tcPr>
          <w:p w14:paraId="0B4367B7">
            <w:pPr>
              <w:pStyle w:val="557"/>
              <w:rPr>
                <w:highlight w:val="yellow"/>
              </w:rPr>
            </w:pPr>
            <w:r>
              <w:rPr>
                <w:rFonts w:hint="eastAsia"/>
              </w:rPr>
              <w:t>1.20</w:t>
            </w:r>
            <w:r>
              <w:t>×</w:t>
            </w:r>
            <w:r>
              <w:rPr>
                <w:rFonts w:hint="eastAsia"/>
              </w:rPr>
              <w:t>10</w:t>
            </w:r>
            <w:r>
              <w:rPr>
                <w:rFonts w:hint="eastAsia"/>
                <w:vertAlign w:val="superscript"/>
              </w:rPr>
              <w:t>-3</w:t>
            </w:r>
          </w:p>
        </w:tc>
        <w:tc>
          <w:tcPr>
            <w:tcW w:w="1276" w:type="dxa"/>
            <w:vAlign w:val="center"/>
          </w:tcPr>
          <w:p w14:paraId="33EE85A3">
            <w:pPr>
              <w:pStyle w:val="557"/>
              <w:rPr>
                <w:highlight w:val="yellow"/>
              </w:rPr>
            </w:pPr>
            <w:r>
              <w:rPr>
                <w:rFonts w:hint="eastAsia"/>
              </w:rPr>
              <w:t>1.18</w:t>
            </w:r>
            <w:r>
              <w:t>×</w:t>
            </w:r>
            <w:r>
              <w:rPr>
                <w:rFonts w:hint="eastAsia"/>
              </w:rPr>
              <w:t>10</w:t>
            </w:r>
            <w:r>
              <w:rPr>
                <w:rFonts w:hint="eastAsia"/>
                <w:vertAlign w:val="superscript"/>
              </w:rPr>
              <w:t>-3</w:t>
            </w:r>
          </w:p>
        </w:tc>
        <w:tc>
          <w:tcPr>
            <w:tcW w:w="1564" w:type="dxa"/>
            <w:vAlign w:val="center"/>
          </w:tcPr>
          <w:p w14:paraId="608993DB">
            <w:pPr>
              <w:pStyle w:val="557"/>
              <w:rPr>
                <w:highlight w:val="yellow"/>
              </w:rPr>
            </w:pPr>
            <w:r>
              <w:rPr>
                <w:rFonts w:hint="eastAsia"/>
              </w:rPr>
              <w:t>1.17</w:t>
            </w:r>
            <w:r>
              <w:t>×</w:t>
            </w:r>
            <w:r>
              <w:rPr>
                <w:rFonts w:hint="eastAsia"/>
              </w:rPr>
              <w:t>10</w:t>
            </w:r>
            <w:r>
              <w:rPr>
                <w:rFonts w:hint="eastAsia"/>
                <w:vertAlign w:val="superscript"/>
              </w:rPr>
              <w:t>-3</w:t>
            </w:r>
          </w:p>
        </w:tc>
      </w:tr>
      <w:tr w14:paraId="7AB7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502A1BFD">
            <w:pPr>
              <w:pStyle w:val="557"/>
            </w:pPr>
          </w:p>
        </w:tc>
        <w:tc>
          <w:tcPr>
            <w:tcW w:w="2318" w:type="dxa"/>
            <w:vAlign w:val="center"/>
          </w:tcPr>
          <w:p w14:paraId="7A809884">
            <w:pPr>
              <w:pStyle w:val="557"/>
            </w:pPr>
            <w:r>
              <w:t>土壤容重（g/cm³）</w:t>
            </w:r>
          </w:p>
        </w:tc>
        <w:tc>
          <w:tcPr>
            <w:tcW w:w="1418" w:type="dxa"/>
            <w:vAlign w:val="center"/>
          </w:tcPr>
          <w:p w14:paraId="3267F777">
            <w:pPr>
              <w:pStyle w:val="557"/>
            </w:pPr>
            <w:r>
              <w:rPr>
                <w:rFonts w:hint="eastAsia"/>
              </w:rPr>
              <w:t>1.41</w:t>
            </w:r>
          </w:p>
        </w:tc>
        <w:tc>
          <w:tcPr>
            <w:tcW w:w="1417" w:type="dxa"/>
            <w:vAlign w:val="center"/>
          </w:tcPr>
          <w:p w14:paraId="598D5F47">
            <w:pPr>
              <w:pStyle w:val="557"/>
            </w:pPr>
            <w:r>
              <w:rPr>
                <w:rFonts w:hint="eastAsia"/>
              </w:rPr>
              <w:t>1.40</w:t>
            </w:r>
          </w:p>
        </w:tc>
        <w:tc>
          <w:tcPr>
            <w:tcW w:w="1276" w:type="dxa"/>
            <w:vAlign w:val="center"/>
          </w:tcPr>
          <w:p w14:paraId="1F8D18D6">
            <w:pPr>
              <w:pStyle w:val="557"/>
            </w:pPr>
            <w:r>
              <w:rPr>
                <w:rFonts w:hint="eastAsia"/>
              </w:rPr>
              <w:t>1.41</w:t>
            </w:r>
          </w:p>
        </w:tc>
        <w:tc>
          <w:tcPr>
            <w:tcW w:w="1564" w:type="dxa"/>
            <w:vAlign w:val="center"/>
          </w:tcPr>
          <w:p w14:paraId="02FE8EC1">
            <w:pPr>
              <w:pStyle w:val="557"/>
            </w:pPr>
            <w:r>
              <w:rPr>
                <w:rFonts w:hint="eastAsia"/>
              </w:rPr>
              <w:t>1.40</w:t>
            </w:r>
          </w:p>
        </w:tc>
      </w:tr>
      <w:tr w14:paraId="71C3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633C0042">
            <w:pPr>
              <w:pStyle w:val="557"/>
            </w:pPr>
          </w:p>
        </w:tc>
        <w:tc>
          <w:tcPr>
            <w:tcW w:w="2318" w:type="dxa"/>
            <w:vAlign w:val="center"/>
          </w:tcPr>
          <w:p w14:paraId="0FE2D426">
            <w:pPr>
              <w:pStyle w:val="557"/>
            </w:pPr>
            <w:r>
              <w:t>孔隙度（%）</w:t>
            </w:r>
          </w:p>
        </w:tc>
        <w:tc>
          <w:tcPr>
            <w:tcW w:w="1418" w:type="dxa"/>
            <w:vAlign w:val="center"/>
          </w:tcPr>
          <w:p w14:paraId="0BF16610">
            <w:pPr>
              <w:pStyle w:val="557"/>
            </w:pPr>
            <w:r>
              <w:rPr>
                <w:rFonts w:hint="eastAsia"/>
              </w:rPr>
              <w:t>42.3</w:t>
            </w:r>
          </w:p>
        </w:tc>
        <w:tc>
          <w:tcPr>
            <w:tcW w:w="1417" w:type="dxa"/>
            <w:vAlign w:val="center"/>
          </w:tcPr>
          <w:p w14:paraId="46E52664">
            <w:pPr>
              <w:pStyle w:val="557"/>
            </w:pPr>
            <w:r>
              <w:rPr>
                <w:rFonts w:hint="eastAsia"/>
              </w:rPr>
              <w:t>42.7</w:t>
            </w:r>
          </w:p>
        </w:tc>
        <w:tc>
          <w:tcPr>
            <w:tcW w:w="1276" w:type="dxa"/>
            <w:vAlign w:val="center"/>
          </w:tcPr>
          <w:p w14:paraId="5FFE951B">
            <w:pPr>
              <w:pStyle w:val="557"/>
            </w:pPr>
            <w:r>
              <w:rPr>
                <w:rFonts w:hint="eastAsia"/>
              </w:rPr>
              <w:t>45.6</w:t>
            </w:r>
          </w:p>
        </w:tc>
        <w:tc>
          <w:tcPr>
            <w:tcW w:w="1564" w:type="dxa"/>
            <w:vAlign w:val="center"/>
          </w:tcPr>
          <w:p w14:paraId="44AB114A">
            <w:pPr>
              <w:pStyle w:val="557"/>
            </w:pPr>
            <w:r>
              <w:rPr>
                <w:rFonts w:hint="eastAsia"/>
              </w:rPr>
              <w:t>42.7</w:t>
            </w:r>
          </w:p>
        </w:tc>
      </w:tr>
      <w:bookmarkEnd w:id="284"/>
    </w:tbl>
    <w:p w14:paraId="62EE0FAF">
      <w:pPr>
        <w:pStyle w:val="645"/>
        <w:rPr>
          <w:rFonts w:hint="eastAsia"/>
          <w:color w:val="000000" w:themeColor="text1"/>
          <w:highlight w:val="yellow"/>
          <w14:textFill>
            <w14:solidFill>
              <w14:schemeClr w14:val="tx1"/>
            </w14:solidFill>
          </w14:textFill>
        </w:rPr>
      </w:pPr>
    </w:p>
    <w:p w14:paraId="61DC89B5">
      <w:pPr>
        <w:pStyle w:val="645"/>
        <w:rPr>
          <w:rFonts w:hint="eastAsia"/>
          <w:color w:val="000000" w:themeColor="text1"/>
          <w:highlight w:val="yellow"/>
          <w14:textFill>
            <w14:solidFill>
              <w14:schemeClr w14:val="tx1"/>
            </w14:solidFill>
          </w14:textFill>
        </w:rPr>
      </w:pPr>
    </w:p>
    <w:p w14:paraId="649BDC7D">
      <w:pPr>
        <w:pStyle w:val="645"/>
        <w:rPr>
          <w:rFonts w:hint="eastAsia"/>
          <w:color w:val="000000" w:themeColor="text1"/>
          <w14:textFill>
            <w14:solidFill>
              <w14:schemeClr w14:val="tx1"/>
            </w14:solidFill>
          </w14:textFill>
        </w:rPr>
      </w:pPr>
      <w:r>
        <w:rPr>
          <w:color w:val="000000" w:themeColor="text1"/>
          <w14:textFill>
            <w14:solidFill>
              <w14:schemeClr w14:val="tx1"/>
            </w14:solidFill>
          </w14:textFill>
        </w:rPr>
        <w:t>表4.3.4-</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土体结构表</w:t>
      </w:r>
    </w:p>
    <w:p w14:paraId="4A668B4A">
      <w:pPr>
        <w:pStyle w:val="645"/>
        <w:rPr>
          <w:rFonts w:hint="eastAsia"/>
          <w:color w:val="000000" w:themeColor="text1"/>
          <w:highlight w:val="yellow"/>
          <w14:textFill>
            <w14:solidFill>
              <w14:schemeClr w14:val="tx1"/>
            </w14:solidFill>
          </w14:textFill>
        </w:rPr>
      </w:pPr>
    </w:p>
    <w:p w14:paraId="5AFA7497">
      <w:pPr>
        <w:pStyle w:val="562"/>
        <w:ind w:firstLine="400"/>
        <w:rPr>
          <w:rFonts w:hint="eastAsia"/>
        </w:rPr>
      </w:pPr>
    </w:p>
    <w:p w14:paraId="5557B579">
      <w:pPr>
        <w:pStyle w:val="562"/>
        <w:ind w:firstLine="400"/>
        <w:rPr>
          <w:rFonts w:hint="eastAsia"/>
        </w:rPr>
        <w:sectPr>
          <w:pgSz w:w="11906" w:h="16838"/>
          <w:pgMar w:top="1440" w:right="1800" w:bottom="1440" w:left="1800" w:header="851" w:footer="992" w:gutter="0"/>
          <w:cols w:space="425" w:num="1"/>
          <w:docGrid w:type="lines" w:linePitch="312" w:charSpace="0"/>
        </w:sectPr>
      </w:pPr>
    </w:p>
    <w:p w14:paraId="20D9BD06">
      <w:pPr>
        <w:pStyle w:val="97"/>
        <w:rPr>
          <w:rFonts w:hint="eastAsia"/>
        </w:rPr>
      </w:pPr>
      <w:r>
        <w:t>生态环境现状调查与评价</w:t>
      </w:r>
    </w:p>
    <w:p w14:paraId="5C354F64">
      <w:pPr>
        <w:pStyle w:val="98"/>
        <w:rPr>
          <w:rFonts w:hint="eastAsia"/>
        </w:rPr>
      </w:pPr>
      <w:r>
        <w:rPr>
          <w:rFonts w:hint="eastAsia"/>
        </w:rPr>
        <w:t>生态功能区划</w:t>
      </w:r>
    </w:p>
    <w:p w14:paraId="0433A2B9">
      <w:pPr>
        <w:snapToGrid w:val="0"/>
        <w:spacing w:line="360" w:lineRule="auto"/>
        <w:ind w:firstLine="480" w:firstLineChars="200"/>
        <w:rPr>
          <w:rFonts w:hint="eastAsia"/>
        </w:rPr>
      </w:pPr>
      <w:r>
        <w:t>根据《新疆生态功能区划》，</w:t>
      </w:r>
      <w:r>
        <w:rPr>
          <w:rFonts w:hint="eastAsia"/>
        </w:rPr>
        <w:t>本项目位于天山山地温性草原、森林生态区，天山南坡吐鲁番—哈密盆地戈壁荒漠、绿洲农业生态亚区中的嘎顺—南湖戈壁荒漠风蚀敏感生态功能区。主要生态服务功能为：“荒漠化控制、生物多样性维护、矿产资源开发”，主要生态问题：“风沙危害铁路公路、地表形态破坏”，主要保护对象“保护砾幕、保护野生动植物、保护铁路公路、保护戈壁泉眼”，主要保护措施“减少公路管道工程破坏地表植被、保护矿区生态、铁路公路沿线防风固沙”，适宜发展方向“保护荒漠自然景观，维护生态平衡”。</w:t>
      </w:r>
    </w:p>
    <w:p w14:paraId="4BF63C31">
      <w:pPr>
        <w:pStyle w:val="541"/>
        <w:ind w:firstLine="560"/>
        <w:rPr>
          <w:rFonts w:hint="eastAsia"/>
        </w:rPr>
      </w:pPr>
      <w:r>
        <w:t>表</w:t>
      </w:r>
      <w:r>
        <w:rPr>
          <w:rFonts w:hint="eastAsia"/>
        </w:rPr>
        <w:t>4.3</w:t>
      </w:r>
      <w:r>
        <w:t xml:space="preserve">.5-1    </w:t>
      </w:r>
      <w:r>
        <w:rPr>
          <w:rFonts w:hint="eastAsia"/>
        </w:rPr>
        <w:t>项目区生态功能区划一览表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5"/>
        <w:gridCol w:w="1073"/>
        <w:gridCol w:w="6617"/>
      </w:tblGrid>
      <w:tr w14:paraId="303E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815" w:type="dxa"/>
            <w:vMerge w:val="restart"/>
            <w:vAlign w:val="center"/>
          </w:tcPr>
          <w:p w14:paraId="40700B5A">
            <w:pPr>
              <w:pStyle w:val="557"/>
            </w:pPr>
            <w:r>
              <w:t>生态功能分区单元</w:t>
            </w:r>
          </w:p>
        </w:tc>
        <w:tc>
          <w:tcPr>
            <w:tcW w:w="1073" w:type="dxa"/>
            <w:vAlign w:val="center"/>
          </w:tcPr>
          <w:p w14:paraId="25705696">
            <w:pPr>
              <w:pStyle w:val="557"/>
            </w:pPr>
            <w:r>
              <w:t>生态区</w:t>
            </w:r>
          </w:p>
        </w:tc>
        <w:tc>
          <w:tcPr>
            <w:tcW w:w="6617" w:type="dxa"/>
            <w:vAlign w:val="center"/>
          </w:tcPr>
          <w:p w14:paraId="61B678A1">
            <w:pPr>
              <w:pStyle w:val="557"/>
            </w:pPr>
            <w:r>
              <w:rPr>
                <w:rFonts w:hint="eastAsia"/>
              </w:rPr>
              <w:t>天山山地温性草原、森林生态区</w:t>
            </w:r>
          </w:p>
        </w:tc>
      </w:tr>
      <w:tr w14:paraId="709D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15" w:type="dxa"/>
            <w:vMerge w:val="continue"/>
            <w:vAlign w:val="center"/>
          </w:tcPr>
          <w:p w14:paraId="6E49521D">
            <w:pPr>
              <w:pStyle w:val="557"/>
            </w:pPr>
          </w:p>
        </w:tc>
        <w:tc>
          <w:tcPr>
            <w:tcW w:w="1073" w:type="dxa"/>
            <w:vAlign w:val="center"/>
          </w:tcPr>
          <w:p w14:paraId="0DE009B7">
            <w:pPr>
              <w:pStyle w:val="557"/>
            </w:pPr>
            <w:r>
              <w:t>生态亚区</w:t>
            </w:r>
          </w:p>
        </w:tc>
        <w:tc>
          <w:tcPr>
            <w:tcW w:w="6617" w:type="dxa"/>
            <w:vAlign w:val="center"/>
          </w:tcPr>
          <w:p w14:paraId="66E1699A">
            <w:pPr>
              <w:pStyle w:val="557"/>
            </w:pPr>
            <w:r>
              <w:rPr>
                <w:rFonts w:hint="eastAsia"/>
              </w:rPr>
              <w:t>天山南坡吐鲁番—哈密盆地戈壁荒漠、绿洲农业生态亚区</w:t>
            </w:r>
          </w:p>
        </w:tc>
      </w:tr>
      <w:tr w14:paraId="6CBA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15" w:type="dxa"/>
            <w:vMerge w:val="continue"/>
            <w:vAlign w:val="center"/>
          </w:tcPr>
          <w:p w14:paraId="552E5775">
            <w:pPr>
              <w:pStyle w:val="557"/>
            </w:pPr>
          </w:p>
        </w:tc>
        <w:tc>
          <w:tcPr>
            <w:tcW w:w="1073" w:type="dxa"/>
            <w:vAlign w:val="center"/>
          </w:tcPr>
          <w:p w14:paraId="6DDE0907">
            <w:pPr>
              <w:pStyle w:val="557"/>
            </w:pPr>
            <w:r>
              <w:t>生态功能区</w:t>
            </w:r>
          </w:p>
        </w:tc>
        <w:tc>
          <w:tcPr>
            <w:tcW w:w="6617" w:type="dxa"/>
            <w:vAlign w:val="center"/>
          </w:tcPr>
          <w:p w14:paraId="7A0D5676">
            <w:pPr>
              <w:pStyle w:val="557"/>
            </w:pPr>
            <w:r>
              <w:rPr>
                <w:rFonts w:hint="eastAsia"/>
              </w:rPr>
              <w:t>嘎顺—南湖戈壁荒漠风蚀敏感生态功能区</w:t>
            </w:r>
          </w:p>
        </w:tc>
      </w:tr>
      <w:tr w14:paraId="36EE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88" w:type="dxa"/>
            <w:gridSpan w:val="2"/>
            <w:vAlign w:val="center"/>
          </w:tcPr>
          <w:p w14:paraId="5B7E8DC4">
            <w:pPr>
              <w:pStyle w:val="557"/>
            </w:pPr>
            <w:r>
              <w:t>主要生态服务功能</w:t>
            </w:r>
          </w:p>
        </w:tc>
        <w:tc>
          <w:tcPr>
            <w:tcW w:w="6617" w:type="dxa"/>
            <w:vAlign w:val="center"/>
          </w:tcPr>
          <w:p w14:paraId="21117CD6">
            <w:pPr>
              <w:pStyle w:val="557"/>
            </w:pPr>
            <w:r>
              <w:rPr>
                <w:rFonts w:hint="eastAsia"/>
              </w:rPr>
              <w:t>荒漠化控制、生物多样性维护、矿产资源开发</w:t>
            </w:r>
          </w:p>
        </w:tc>
      </w:tr>
      <w:tr w14:paraId="2DC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88" w:type="dxa"/>
            <w:gridSpan w:val="2"/>
            <w:vAlign w:val="center"/>
          </w:tcPr>
          <w:p w14:paraId="0289C6C5">
            <w:pPr>
              <w:pStyle w:val="557"/>
            </w:pPr>
            <w:r>
              <w:t>主要生态环境问题</w:t>
            </w:r>
          </w:p>
        </w:tc>
        <w:tc>
          <w:tcPr>
            <w:tcW w:w="6617" w:type="dxa"/>
            <w:vAlign w:val="center"/>
          </w:tcPr>
          <w:p w14:paraId="7A9B2B03">
            <w:pPr>
              <w:pStyle w:val="557"/>
            </w:pPr>
            <w:r>
              <w:rPr>
                <w:rFonts w:hint="eastAsia"/>
              </w:rPr>
              <w:t>风沙危害铁路公路、地表形态破坏</w:t>
            </w:r>
          </w:p>
        </w:tc>
      </w:tr>
      <w:tr w14:paraId="3252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88" w:type="dxa"/>
            <w:gridSpan w:val="2"/>
            <w:vAlign w:val="center"/>
          </w:tcPr>
          <w:p w14:paraId="524256B8">
            <w:pPr>
              <w:pStyle w:val="557"/>
            </w:pPr>
            <w:r>
              <w:t>保护目标</w:t>
            </w:r>
          </w:p>
        </w:tc>
        <w:tc>
          <w:tcPr>
            <w:tcW w:w="6617" w:type="dxa"/>
            <w:vAlign w:val="center"/>
          </w:tcPr>
          <w:p w14:paraId="5605A9DC">
            <w:pPr>
              <w:pStyle w:val="557"/>
            </w:pPr>
            <w:r>
              <w:rPr>
                <w:rFonts w:hint="eastAsia"/>
              </w:rPr>
              <w:t>保护砾幕、保护野生动植物、保护铁路公路、保护戈壁泉眼</w:t>
            </w:r>
          </w:p>
        </w:tc>
      </w:tr>
      <w:tr w14:paraId="6F17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88" w:type="dxa"/>
            <w:gridSpan w:val="2"/>
            <w:vAlign w:val="center"/>
          </w:tcPr>
          <w:p w14:paraId="15D5367B">
            <w:pPr>
              <w:pStyle w:val="557"/>
            </w:pPr>
            <w:r>
              <w:t>保护措施</w:t>
            </w:r>
          </w:p>
        </w:tc>
        <w:tc>
          <w:tcPr>
            <w:tcW w:w="6617" w:type="dxa"/>
            <w:vAlign w:val="center"/>
          </w:tcPr>
          <w:p w14:paraId="2F97D6CA">
            <w:pPr>
              <w:pStyle w:val="557"/>
            </w:pPr>
            <w:r>
              <w:rPr>
                <w:rFonts w:hint="eastAsia"/>
              </w:rPr>
              <w:t>减少公路管道工程破坏地表植被、保护矿区生态、铁路公路沿线防风固沙</w:t>
            </w:r>
          </w:p>
        </w:tc>
      </w:tr>
      <w:tr w14:paraId="4CE9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88" w:type="dxa"/>
            <w:gridSpan w:val="2"/>
            <w:vAlign w:val="center"/>
          </w:tcPr>
          <w:p w14:paraId="7F809D0B">
            <w:pPr>
              <w:pStyle w:val="557"/>
            </w:pPr>
            <w:r>
              <w:t>发展方向</w:t>
            </w:r>
          </w:p>
        </w:tc>
        <w:tc>
          <w:tcPr>
            <w:tcW w:w="6617" w:type="dxa"/>
            <w:vAlign w:val="center"/>
          </w:tcPr>
          <w:p w14:paraId="0415A1B7">
            <w:pPr>
              <w:pStyle w:val="557"/>
            </w:pPr>
            <w:r>
              <w:rPr>
                <w:rFonts w:hint="eastAsia"/>
              </w:rPr>
              <w:t>保护荒漠自然景观，维护生态平衡</w:t>
            </w:r>
          </w:p>
        </w:tc>
      </w:tr>
    </w:tbl>
    <w:p w14:paraId="39C12E78">
      <w:pPr>
        <w:pStyle w:val="562"/>
        <w:ind w:firstLine="400"/>
        <w:rPr>
          <w:rFonts w:hint="eastAsia"/>
        </w:rPr>
      </w:pPr>
    </w:p>
    <w:p w14:paraId="432084FD">
      <w:pPr>
        <w:pStyle w:val="98"/>
        <w:rPr>
          <w:rFonts w:hint="eastAsia"/>
        </w:rPr>
      </w:pPr>
      <w:r>
        <w:rPr>
          <w:rFonts w:hint="eastAsia"/>
        </w:rPr>
        <w:t>土壤类型</w:t>
      </w:r>
    </w:p>
    <w:p w14:paraId="519ABE1E">
      <w:pPr>
        <w:pStyle w:val="281"/>
        <w:ind w:firstLine="480"/>
      </w:pPr>
      <w:r>
        <w:rPr>
          <w:rFonts w:hint="eastAsia"/>
        </w:rPr>
        <w:t>根据园区规划环评，哈密工业园区</w:t>
      </w:r>
      <w:r>
        <w:t>南部循环经济产业园区</w:t>
      </w:r>
      <w:r>
        <w:rPr>
          <w:rFonts w:hint="eastAsia"/>
        </w:rPr>
        <w:t>大部分为草甸土。</w:t>
      </w:r>
    </w:p>
    <w:p w14:paraId="387C676E">
      <w:pPr>
        <w:pStyle w:val="281"/>
        <w:ind w:firstLine="480"/>
      </w:pPr>
      <w:r>
        <w:rPr>
          <w:rFonts w:hint="eastAsia"/>
        </w:rPr>
        <w:t>草甸土主要分布在园区西部，主要是盐化草甸土亚类。盐化草甸土是由地下水直接参与，在其上发育草甸植被并产生一定生物积累过程的半水成土壤。地下水埋深一般在1～3m，矿化度1～3g/l，土壤受地下水浸润。草甸植被发育良好，但类型简单，多见芦苇。盐化草甸土盐分表聚性强，常有0.5～1.0cm的盐结皮。土壤剖面描述如下：</w:t>
      </w:r>
    </w:p>
    <w:p w14:paraId="1798BB55">
      <w:pPr>
        <w:pStyle w:val="281"/>
        <w:ind w:firstLine="480"/>
      </w:pPr>
      <w:r>
        <w:rPr>
          <w:rFonts w:hint="eastAsia"/>
        </w:rPr>
        <w:t>0-29cm灰棕色，轻壤土，片状结构，紧实，润，多根系，石灰反应强烈。</w:t>
      </w:r>
    </w:p>
    <w:p w14:paraId="59577396">
      <w:pPr>
        <w:pStyle w:val="281"/>
        <w:ind w:firstLine="480"/>
      </w:pPr>
      <w:r>
        <w:rPr>
          <w:rFonts w:hint="eastAsia"/>
        </w:rPr>
        <w:t>29-45cm灰棕色，轻壤土，片状结构，极紧，根系中量，石灰反应强烈。</w:t>
      </w:r>
    </w:p>
    <w:p w14:paraId="0AFA14D1">
      <w:pPr>
        <w:pStyle w:val="281"/>
        <w:ind w:firstLine="480"/>
      </w:pPr>
      <w:r>
        <w:rPr>
          <w:rFonts w:hint="eastAsia"/>
        </w:rPr>
        <w:t>45-56cm黄棕色，轻壤土，小碎块状结构，较紧，潮湿，根系中量，石灰反应较强。</w:t>
      </w:r>
    </w:p>
    <w:p w14:paraId="36FD48CE">
      <w:pPr>
        <w:pStyle w:val="281"/>
        <w:ind w:firstLine="480"/>
      </w:pPr>
      <w:r>
        <w:rPr>
          <w:rFonts w:hint="eastAsia"/>
        </w:rPr>
        <w:t>56-96cm黄棕色，轻壤土，碎块状结构，较紧，潮湿，根系少量，锈斑多量，石灰反应强。</w:t>
      </w:r>
    </w:p>
    <w:p w14:paraId="2DDEC720">
      <w:pPr>
        <w:pStyle w:val="281"/>
        <w:ind w:firstLine="480"/>
      </w:pPr>
      <w:r>
        <w:rPr>
          <w:rFonts w:hint="eastAsia"/>
        </w:rPr>
        <w:t>96-130cm灰棕色，轻壤土，块状结构，较松，湿，根系极少，石灰反应强烈，多砂姜和锈斑。</w:t>
      </w:r>
    </w:p>
    <w:p w14:paraId="5689EA9E">
      <w:pPr>
        <w:pStyle w:val="98"/>
        <w:rPr>
          <w:rFonts w:hint="eastAsia"/>
        </w:rPr>
      </w:pPr>
      <w:r>
        <w:rPr>
          <w:rFonts w:hint="eastAsia"/>
        </w:rPr>
        <w:t>陆生植物</w:t>
      </w:r>
    </w:p>
    <w:p w14:paraId="03FAA0FE">
      <w:pPr>
        <w:pStyle w:val="281"/>
        <w:ind w:firstLine="480"/>
      </w:pPr>
      <w:r>
        <w:rPr>
          <w:rFonts w:hint="eastAsia"/>
        </w:rPr>
        <w:t>根据园区规划环评，</w:t>
      </w:r>
      <w:r>
        <w:t>依据《</w:t>
      </w:r>
      <w:r>
        <w:rPr>
          <w:rFonts w:cs="Times New Roman"/>
          <w:szCs w:val="24"/>
        </w:rPr>
        <w:t>新疆植被及其利用</w:t>
      </w:r>
      <w:r>
        <w:t>》，哈密工业园区南部循环经济产业园区</w:t>
      </w:r>
      <w:r>
        <w:rPr>
          <w:rFonts w:hint="eastAsia"/>
        </w:rPr>
        <w:t>属于内陆干旱荒漠区，植被类型为荒漠植被，项目区植被类型划分属于新疆荒漠区，东疆和南疆荒漠亚区，东疆荒漠省和塔里木荒漠省，嘎顺戈壁州。</w:t>
      </w:r>
    </w:p>
    <w:p w14:paraId="40FEF1D6">
      <w:pPr>
        <w:pStyle w:val="281"/>
        <w:ind w:firstLine="480"/>
      </w:pPr>
      <w:r>
        <w:t>规划化工产业集中区植被类型以荒漠植被为主，种相对较少，植被盖度很低。受气候、土壤和基质条件的制约，植被以超旱生的小乔木、灌木、小半灌木为主。项目区内无国家和自治区重点保护的野生植物及地方珍稀特有野生植物。</w:t>
      </w:r>
    </w:p>
    <w:p w14:paraId="0F90761D">
      <w:pPr>
        <w:pStyle w:val="281"/>
        <w:ind w:firstLine="480"/>
      </w:pPr>
      <w:r>
        <w:t>根据</w:t>
      </w:r>
      <w:r>
        <w:rPr>
          <w:rFonts w:hint="eastAsia"/>
        </w:rPr>
        <w:t>园区规划环评</w:t>
      </w:r>
      <w:r>
        <w:t>，园区内广泛分布有芦苇和骆驼刺，区内生物量约750kg/hm</w:t>
      </w:r>
      <w:r>
        <w:rPr>
          <w:vertAlign w:val="superscript"/>
        </w:rPr>
        <w:t>2</w:t>
      </w:r>
      <w:r>
        <w:t>，表明评价区周围生态系统本底的生产力处于较低水平，评价区域自然生态系统生物恢复能力比较弱。</w:t>
      </w:r>
    </w:p>
    <w:p w14:paraId="340FE212">
      <w:pPr>
        <w:pStyle w:val="281"/>
        <w:ind w:firstLine="480"/>
      </w:pPr>
      <w:r>
        <w:t>此外目前园区进行了大面积的人工绿化，园区的人工植被主要为种植的行道树和部分入园企业种植的草坪和树木。</w:t>
      </w:r>
    </w:p>
    <w:p w14:paraId="60609478">
      <w:pPr>
        <w:pStyle w:val="98"/>
        <w:rPr>
          <w:rFonts w:hint="eastAsia"/>
        </w:rPr>
      </w:pPr>
      <w:r>
        <w:rPr>
          <w:rFonts w:hint="eastAsia"/>
        </w:rPr>
        <w:t>陆生动物</w:t>
      </w:r>
    </w:p>
    <w:p w14:paraId="742CA7D1">
      <w:pPr>
        <w:pStyle w:val="281"/>
        <w:ind w:firstLine="480"/>
      </w:pPr>
      <w:r>
        <w:rPr>
          <w:rFonts w:hint="eastAsia"/>
        </w:rPr>
        <w:t>根据园区规划环评，</w:t>
      </w:r>
      <w:r>
        <w:t>哈密工业园区南部循环经济产业园区</w:t>
      </w:r>
      <w:r>
        <w:rPr>
          <w:rFonts w:hint="eastAsia"/>
        </w:rPr>
        <w:t>动物组成简单，野生动物分布种类和数量较少。由于受人类活动的影响，区域建成区基本没有野生动物分布，麻雀等鸟类和田鼠、灰仓鼠等啮齿类动物活动区域主要集中在未开发区域。</w:t>
      </w:r>
    </w:p>
    <w:p w14:paraId="702EF02A">
      <w:pPr>
        <w:pStyle w:val="97"/>
        <w:rPr>
          <w:rFonts w:hint="eastAsia"/>
        </w:rPr>
      </w:pPr>
      <w:r>
        <w:rPr>
          <w:rFonts w:hint="eastAsia"/>
        </w:rPr>
        <w:t>电磁</w:t>
      </w:r>
      <w:r>
        <w:t>环境现状调查与评价</w:t>
      </w:r>
    </w:p>
    <w:p w14:paraId="53C0632F">
      <w:pPr>
        <w:pStyle w:val="281"/>
        <w:ind w:firstLine="480"/>
      </w:pPr>
      <w:r>
        <w:t>（1）监测布点</w:t>
      </w:r>
    </w:p>
    <w:p w14:paraId="16A9D985">
      <w:pPr>
        <w:pStyle w:val="281"/>
        <w:ind w:firstLine="480"/>
      </w:pPr>
      <w:r>
        <w:t>本次环评在项目区内220</w:t>
      </w:r>
      <w:r>
        <w:rPr>
          <w:rFonts w:hint="eastAsia"/>
        </w:rPr>
        <w:t>kV</w:t>
      </w:r>
      <w:r>
        <w:t>变电站设置1个监测点位</w:t>
      </w:r>
      <w:r>
        <w:rPr>
          <w:rFonts w:hint="eastAsia"/>
        </w:rPr>
        <w:t>，监测布点图见图4</w:t>
      </w:r>
      <w:r>
        <w:t>.3.6-1</w:t>
      </w:r>
      <w:r>
        <w:rPr>
          <w:rFonts w:hint="eastAsia"/>
        </w:rPr>
        <w:t>。</w:t>
      </w:r>
    </w:p>
    <w:p w14:paraId="0D0A75D2">
      <w:pPr>
        <w:pStyle w:val="281"/>
        <w:ind w:firstLine="480"/>
      </w:pPr>
    </w:p>
    <w:p w14:paraId="6556BD19">
      <w:pPr>
        <w:pStyle w:val="281"/>
        <w:ind w:firstLine="0" w:firstLineChars="0"/>
        <w:jc w:val="center"/>
      </w:pPr>
    </w:p>
    <w:p w14:paraId="4BA150AE">
      <w:pPr>
        <w:pStyle w:val="541"/>
        <w:rPr>
          <w:rFonts w:hint="eastAsia"/>
        </w:rPr>
      </w:pPr>
      <w:r>
        <w:rPr>
          <w:rFonts w:hint="eastAsia"/>
        </w:rPr>
        <w:t>图4.3.6-1    电磁监测布点图</w:t>
      </w:r>
    </w:p>
    <w:p w14:paraId="06A112EF">
      <w:pPr>
        <w:pStyle w:val="281"/>
        <w:ind w:firstLine="480"/>
      </w:pPr>
      <w:r>
        <w:t>（2）监测因子及监测方法</w:t>
      </w:r>
    </w:p>
    <w:p w14:paraId="6C6007A1">
      <w:pPr>
        <w:pStyle w:val="281"/>
        <w:ind w:firstLine="480"/>
      </w:pPr>
      <w:r>
        <w:t>监测因子为工频电场、工频磁场，监测方法按《交流输变电工程电磁环境监测办法（试行）》（HJ681-2013）的规定进行。</w:t>
      </w:r>
    </w:p>
    <w:p w14:paraId="3B119D28">
      <w:pPr>
        <w:pStyle w:val="281"/>
        <w:ind w:firstLine="480"/>
      </w:pPr>
      <w:r>
        <w:rPr>
          <w:rFonts w:hint="eastAsia"/>
        </w:rPr>
        <w:t>（3</w:t>
      </w:r>
      <w:r>
        <w:t>）监测时间及监测单位</w:t>
      </w:r>
    </w:p>
    <w:p w14:paraId="2DC6D023">
      <w:pPr>
        <w:pStyle w:val="281"/>
        <w:ind w:firstLine="480"/>
        <w:rPr>
          <w:color w:val="000000" w:themeColor="text1"/>
          <w14:textFill>
            <w14:solidFill>
              <w14:schemeClr w14:val="tx1"/>
            </w14:solidFill>
          </w14:textFill>
        </w:rPr>
      </w:pPr>
      <w:r>
        <w:t>监</w:t>
      </w:r>
      <w:r>
        <w:rPr>
          <w:color w:val="000000" w:themeColor="text1"/>
          <w14:textFill>
            <w14:solidFill>
              <w14:schemeClr w14:val="tx1"/>
            </w14:solidFill>
          </w14:textFill>
        </w:rPr>
        <w:t>测时间</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eastAsia="等线"/>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日，监测单位为</w:t>
      </w:r>
      <w:r>
        <w:rPr>
          <w:rFonts w:hint="eastAsia" w:ascii="宋体" w:hAnsi="宋体"/>
          <w:color w:val="000000" w:themeColor="text1"/>
          <w14:textFill>
            <w14:solidFill>
              <w14:schemeClr w14:val="tx1"/>
            </w14:solidFill>
          </w14:textFill>
        </w:rPr>
        <w:t>新疆西域质信检验检测有限公司。</w:t>
      </w:r>
    </w:p>
    <w:p w14:paraId="3F2BA8EE">
      <w:pPr>
        <w:pStyle w:val="281"/>
        <w:ind w:firstLine="480"/>
      </w:pPr>
      <w:r>
        <w:t>（4）评价标准和评价方法</w:t>
      </w:r>
    </w:p>
    <w:p w14:paraId="08FC809D">
      <w:pPr>
        <w:pStyle w:val="281"/>
        <w:ind w:firstLine="480"/>
      </w:pPr>
      <w:r>
        <w:t>评价标准执行《电磁环境控制限值》（GB 8702-2014）中的限值要求（电场强度≤4000V/m</w:t>
      </w:r>
      <w:r>
        <w:rPr>
          <w:rFonts w:hint="eastAsia"/>
        </w:rPr>
        <w:t>；磁感应强度</w:t>
      </w:r>
      <w:r>
        <w:t>≤100μT</w:t>
      </w:r>
      <w:r>
        <w:rPr>
          <w:rFonts w:hint="eastAsia"/>
        </w:rPr>
        <w:t>），采用标准值直接比较的评价方法。</w:t>
      </w:r>
    </w:p>
    <w:p w14:paraId="59DECBD1">
      <w:pPr>
        <w:pStyle w:val="281"/>
        <w:ind w:firstLine="480"/>
      </w:pPr>
      <w:r>
        <w:rPr>
          <w:rFonts w:hint="eastAsia"/>
        </w:rPr>
        <w:t>（</w:t>
      </w:r>
      <w:r>
        <w:t>5</w:t>
      </w:r>
      <w:r>
        <w:rPr>
          <w:rFonts w:hint="eastAsia"/>
        </w:rPr>
        <w:t>）监测及评价结果</w:t>
      </w:r>
    </w:p>
    <w:p w14:paraId="533E0763">
      <w:pPr>
        <w:pStyle w:val="281"/>
        <w:ind w:firstLine="480"/>
      </w:pPr>
      <w:r>
        <w:rPr>
          <w:rFonts w:hint="eastAsia"/>
        </w:rPr>
        <w:t>监测结果见表4</w:t>
      </w:r>
      <w:r>
        <w:t>.3.6</w:t>
      </w:r>
      <w:r>
        <w:rPr>
          <w:rFonts w:hint="eastAsia"/>
        </w:rPr>
        <w:t>-</w:t>
      </w:r>
      <w:r>
        <w:t>1</w:t>
      </w:r>
      <w:r>
        <w:rPr>
          <w:rFonts w:hint="eastAsia"/>
        </w:rPr>
        <w:t>。</w:t>
      </w:r>
    </w:p>
    <w:p w14:paraId="0DAE417A">
      <w:pPr>
        <w:pStyle w:val="645"/>
        <w:rPr>
          <w:rFonts w:hint="eastAsia" w:cs="Times New Roman"/>
        </w:rPr>
      </w:pPr>
      <w:r>
        <w:rPr>
          <w:rFonts w:hint="eastAsia"/>
        </w:rPr>
        <w:t>表4</w:t>
      </w:r>
      <w:r>
        <w:t>.3.6</w:t>
      </w:r>
      <w:r>
        <w:rPr>
          <w:rFonts w:hint="eastAsia"/>
        </w:rPr>
        <w:t>-</w:t>
      </w:r>
      <w:r>
        <w:t>1</w:t>
      </w:r>
      <w:r>
        <w:rPr>
          <w:rFonts w:cs="Times New Roman"/>
        </w:rPr>
        <w:t xml:space="preserve">    电磁环境现状监测结果</w:t>
      </w:r>
    </w:p>
    <w:tbl>
      <w:tblPr>
        <w:tblStyle w:val="65"/>
        <w:tblW w:w="85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1034"/>
        <w:gridCol w:w="1034"/>
        <w:gridCol w:w="1293"/>
        <w:gridCol w:w="1032"/>
        <w:gridCol w:w="1032"/>
        <w:gridCol w:w="1288"/>
      </w:tblGrid>
      <w:tr w14:paraId="43EBD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59" w:type="pct"/>
            <w:vMerge w:val="restart"/>
            <w:tcBorders>
              <w:top w:val="single" w:color="auto" w:sz="4" w:space="0"/>
              <w:left w:val="single" w:color="auto" w:sz="4" w:space="0"/>
              <w:right w:val="single" w:color="auto" w:sz="4" w:space="0"/>
            </w:tcBorders>
            <w:vAlign w:val="center"/>
          </w:tcPr>
          <w:p w14:paraId="711296FF">
            <w:pPr>
              <w:pStyle w:val="557"/>
            </w:pPr>
            <w:r>
              <w:t>测点位置</w:t>
            </w:r>
          </w:p>
        </w:tc>
        <w:tc>
          <w:tcPr>
            <w:tcW w:w="1972" w:type="pct"/>
            <w:gridSpan w:val="3"/>
            <w:tcBorders>
              <w:top w:val="single" w:color="auto" w:sz="4" w:space="0"/>
              <w:left w:val="single" w:color="auto" w:sz="4" w:space="0"/>
              <w:bottom w:val="single" w:color="auto" w:sz="4" w:space="0"/>
              <w:right w:val="single" w:color="auto" w:sz="4" w:space="0"/>
            </w:tcBorders>
            <w:vAlign w:val="center"/>
          </w:tcPr>
          <w:p w14:paraId="71379EE2">
            <w:pPr>
              <w:pStyle w:val="557"/>
            </w:pPr>
            <w:r>
              <w:t>磁感应强度（μT）</w:t>
            </w:r>
          </w:p>
        </w:tc>
        <w:tc>
          <w:tcPr>
            <w:tcW w:w="1970" w:type="pct"/>
            <w:gridSpan w:val="3"/>
            <w:tcBorders>
              <w:top w:val="single" w:color="auto" w:sz="4" w:space="0"/>
              <w:left w:val="single" w:color="auto" w:sz="4" w:space="0"/>
              <w:bottom w:val="single" w:color="auto" w:sz="4" w:space="0"/>
              <w:right w:val="single" w:color="auto" w:sz="4" w:space="0"/>
            </w:tcBorders>
            <w:vAlign w:val="center"/>
          </w:tcPr>
          <w:p w14:paraId="7DD733D1">
            <w:pPr>
              <w:pStyle w:val="557"/>
            </w:pPr>
            <w:r>
              <w:t>工频电场（V/m）</w:t>
            </w:r>
          </w:p>
        </w:tc>
      </w:tr>
      <w:tr w14:paraId="0CE515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59" w:type="pct"/>
            <w:vMerge w:val="continue"/>
            <w:tcBorders>
              <w:left w:val="single" w:color="auto" w:sz="4" w:space="0"/>
              <w:right w:val="single" w:color="auto" w:sz="4" w:space="0"/>
            </w:tcBorders>
            <w:vAlign w:val="center"/>
          </w:tcPr>
          <w:p w14:paraId="48F8A41E">
            <w:pPr>
              <w:pStyle w:val="557"/>
            </w:pPr>
          </w:p>
        </w:tc>
        <w:tc>
          <w:tcPr>
            <w:tcW w:w="607" w:type="pct"/>
            <w:tcBorders>
              <w:top w:val="single" w:color="auto" w:sz="4" w:space="0"/>
              <w:left w:val="single" w:color="auto" w:sz="4" w:space="0"/>
              <w:bottom w:val="single" w:color="auto" w:sz="4" w:space="0"/>
              <w:right w:val="single" w:color="auto" w:sz="4" w:space="0"/>
            </w:tcBorders>
            <w:vAlign w:val="center"/>
          </w:tcPr>
          <w:p w14:paraId="05BCDE48">
            <w:pPr>
              <w:pStyle w:val="557"/>
            </w:pPr>
            <w:r>
              <w:t>监测值</w:t>
            </w:r>
          </w:p>
        </w:tc>
        <w:tc>
          <w:tcPr>
            <w:tcW w:w="607" w:type="pct"/>
            <w:tcBorders>
              <w:top w:val="single" w:color="auto" w:sz="4" w:space="0"/>
              <w:left w:val="single" w:color="auto" w:sz="4" w:space="0"/>
              <w:bottom w:val="single" w:color="auto" w:sz="4" w:space="0"/>
              <w:right w:val="single" w:color="auto" w:sz="4" w:space="0"/>
            </w:tcBorders>
            <w:vAlign w:val="center"/>
          </w:tcPr>
          <w:p w14:paraId="39A8194B">
            <w:pPr>
              <w:pStyle w:val="557"/>
            </w:pPr>
            <w:r>
              <w:t>标准值</w:t>
            </w:r>
          </w:p>
        </w:tc>
        <w:tc>
          <w:tcPr>
            <w:tcW w:w="759" w:type="pct"/>
            <w:tcBorders>
              <w:top w:val="single" w:color="auto" w:sz="4" w:space="0"/>
              <w:left w:val="single" w:color="auto" w:sz="4" w:space="0"/>
              <w:bottom w:val="single" w:color="auto" w:sz="4" w:space="0"/>
              <w:right w:val="single" w:color="auto" w:sz="4" w:space="0"/>
            </w:tcBorders>
            <w:vAlign w:val="center"/>
          </w:tcPr>
          <w:p w14:paraId="00DF2160">
            <w:pPr>
              <w:pStyle w:val="557"/>
            </w:pPr>
            <w:r>
              <w:t>达标判定</w:t>
            </w:r>
          </w:p>
        </w:tc>
        <w:tc>
          <w:tcPr>
            <w:tcW w:w="606" w:type="pct"/>
            <w:tcBorders>
              <w:top w:val="single" w:color="auto" w:sz="4" w:space="0"/>
              <w:left w:val="single" w:color="auto" w:sz="4" w:space="0"/>
              <w:bottom w:val="single" w:color="auto" w:sz="4" w:space="0"/>
              <w:right w:val="single" w:color="auto" w:sz="4" w:space="0"/>
            </w:tcBorders>
            <w:vAlign w:val="center"/>
          </w:tcPr>
          <w:p w14:paraId="0B100C29">
            <w:pPr>
              <w:pStyle w:val="557"/>
            </w:pPr>
            <w:r>
              <w:t>监测值</w:t>
            </w:r>
          </w:p>
        </w:tc>
        <w:tc>
          <w:tcPr>
            <w:tcW w:w="606" w:type="pct"/>
            <w:tcBorders>
              <w:top w:val="single" w:color="auto" w:sz="4" w:space="0"/>
              <w:left w:val="single" w:color="auto" w:sz="4" w:space="0"/>
              <w:bottom w:val="single" w:color="auto" w:sz="4" w:space="0"/>
              <w:right w:val="single" w:color="auto" w:sz="4" w:space="0"/>
            </w:tcBorders>
            <w:vAlign w:val="center"/>
          </w:tcPr>
          <w:p w14:paraId="01AF41CA">
            <w:pPr>
              <w:pStyle w:val="557"/>
            </w:pPr>
            <w:r>
              <w:t>标准值</w:t>
            </w:r>
          </w:p>
        </w:tc>
        <w:tc>
          <w:tcPr>
            <w:tcW w:w="758" w:type="pct"/>
            <w:tcBorders>
              <w:top w:val="single" w:color="auto" w:sz="4" w:space="0"/>
              <w:left w:val="single" w:color="auto" w:sz="4" w:space="0"/>
              <w:bottom w:val="single" w:color="auto" w:sz="4" w:space="0"/>
              <w:right w:val="single" w:color="auto" w:sz="4" w:space="0"/>
            </w:tcBorders>
            <w:vAlign w:val="center"/>
          </w:tcPr>
          <w:p w14:paraId="3B7B8689">
            <w:pPr>
              <w:pStyle w:val="557"/>
            </w:pPr>
            <w:r>
              <w:t>达标判定</w:t>
            </w:r>
          </w:p>
        </w:tc>
      </w:tr>
      <w:tr w14:paraId="1CE55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59" w:type="pct"/>
            <w:tcBorders>
              <w:top w:val="single" w:color="auto" w:sz="4" w:space="0"/>
              <w:left w:val="single" w:color="auto" w:sz="4" w:space="0"/>
              <w:bottom w:val="single" w:color="auto" w:sz="4" w:space="0"/>
              <w:right w:val="single" w:color="auto" w:sz="4" w:space="0"/>
            </w:tcBorders>
            <w:vAlign w:val="center"/>
          </w:tcPr>
          <w:p w14:paraId="4B6522EF">
            <w:pPr>
              <w:pStyle w:val="557"/>
            </w:pPr>
            <w:r>
              <w:rPr>
                <w:rFonts w:hint="eastAsia"/>
              </w:rPr>
              <w:t>2</w:t>
            </w:r>
            <w:r>
              <w:t>20</w:t>
            </w:r>
            <w:r>
              <w:rPr>
                <w:rFonts w:hint="eastAsia"/>
              </w:rPr>
              <w:t>k</w:t>
            </w:r>
            <w:r>
              <w:t>V</w:t>
            </w:r>
            <w:r>
              <w:rPr>
                <w:rFonts w:hint="eastAsia"/>
              </w:rPr>
              <w:t>变电站</w:t>
            </w:r>
          </w:p>
        </w:tc>
        <w:tc>
          <w:tcPr>
            <w:tcW w:w="607" w:type="pct"/>
            <w:tcBorders>
              <w:top w:val="single" w:color="auto" w:sz="4" w:space="0"/>
              <w:left w:val="single" w:color="auto" w:sz="4" w:space="0"/>
              <w:bottom w:val="single" w:color="auto" w:sz="4" w:space="0"/>
              <w:right w:val="single" w:color="auto" w:sz="4" w:space="0"/>
            </w:tcBorders>
            <w:vAlign w:val="center"/>
          </w:tcPr>
          <w:p w14:paraId="01F9FFCC">
            <w:pPr>
              <w:pStyle w:val="557"/>
            </w:pPr>
            <w:r>
              <w:rPr>
                <w:rFonts w:hint="eastAsia"/>
              </w:rPr>
              <w:t>0.0299</w:t>
            </w:r>
          </w:p>
        </w:tc>
        <w:tc>
          <w:tcPr>
            <w:tcW w:w="607" w:type="pct"/>
            <w:tcBorders>
              <w:top w:val="single" w:color="auto" w:sz="4" w:space="0"/>
              <w:left w:val="single" w:color="auto" w:sz="4" w:space="0"/>
              <w:right w:val="single" w:color="auto" w:sz="4" w:space="0"/>
            </w:tcBorders>
            <w:vAlign w:val="center"/>
          </w:tcPr>
          <w:p w14:paraId="6ED6E7D5">
            <w:pPr>
              <w:pStyle w:val="557"/>
            </w:pPr>
            <w:r>
              <w:t>100</w:t>
            </w:r>
          </w:p>
        </w:tc>
        <w:tc>
          <w:tcPr>
            <w:tcW w:w="759" w:type="pct"/>
            <w:tcBorders>
              <w:top w:val="single" w:color="auto" w:sz="4" w:space="0"/>
              <w:left w:val="single" w:color="auto" w:sz="4" w:space="0"/>
              <w:right w:val="single" w:color="auto" w:sz="4" w:space="0"/>
            </w:tcBorders>
            <w:vAlign w:val="center"/>
          </w:tcPr>
          <w:p w14:paraId="4588D576">
            <w:pPr>
              <w:pStyle w:val="557"/>
            </w:pPr>
            <w:r>
              <w:t>达标</w:t>
            </w:r>
          </w:p>
        </w:tc>
        <w:tc>
          <w:tcPr>
            <w:tcW w:w="606" w:type="pct"/>
            <w:tcBorders>
              <w:top w:val="single" w:color="auto" w:sz="4" w:space="0"/>
              <w:left w:val="single" w:color="auto" w:sz="4" w:space="0"/>
              <w:right w:val="single" w:color="auto" w:sz="4" w:space="0"/>
            </w:tcBorders>
            <w:vAlign w:val="center"/>
          </w:tcPr>
          <w:p w14:paraId="2D71DCD2">
            <w:pPr>
              <w:pStyle w:val="557"/>
            </w:pPr>
            <w:r>
              <w:rPr>
                <w:rFonts w:hint="eastAsia"/>
              </w:rPr>
              <w:t>0.36</w:t>
            </w:r>
          </w:p>
        </w:tc>
        <w:tc>
          <w:tcPr>
            <w:tcW w:w="606" w:type="pct"/>
            <w:tcBorders>
              <w:top w:val="single" w:color="auto" w:sz="4" w:space="0"/>
              <w:left w:val="single" w:color="auto" w:sz="4" w:space="0"/>
              <w:right w:val="single" w:color="auto" w:sz="4" w:space="0"/>
            </w:tcBorders>
            <w:vAlign w:val="center"/>
          </w:tcPr>
          <w:p w14:paraId="04312CAC">
            <w:pPr>
              <w:pStyle w:val="557"/>
            </w:pPr>
            <w:r>
              <w:t>4000</w:t>
            </w:r>
          </w:p>
        </w:tc>
        <w:tc>
          <w:tcPr>
            <w:tcW w:w="758" w:type="pct"/>
            <w:tcBorders>
              <w:top w:val="single" w:color="auto" w:sz="4" w:space="0"/>
              <w:left w:val="single" w:color="auto" w:sz="4" w:space="0"/>
              <w:right w:val="single" w:color="auto" w:sz="4" w:space="0"/>
            </w:tcBorders>
            <w:vAlign w:val="center"/>
          </w:tcPr>
          <w:p w14:paraId="6D8B87CA">
            <w:pPr>
              <w:pStyle w:val="557"/>
            </w:pPr>
            <w:r>
              <w:t>达标</w:t>
            </w:r>
          </w:p>
        </w:tc>
        <w:bookmarkStart w:id="285" w:name="_Toc96092961"/>
      </w:tr>
    </w:tbl>
    <w:p w14:paraId="246B3B01">
      <w:pPr>
        <w:pStyle w:val="626"/>
        <w:ind w:firstLine="480"/>
      </w:pPr>
      <w:r>
        <w:rPr>
          <w:rStyle w:val="282"/>
          <w:rFonts w:eastAsia="宋体"/>
        </w:rPr>
        <w:t>由上表监测及评价结果可知，变电站工频电场、工频磁场监测结果均满足《电磁环境控制限值》（</w:t>
      </w:r>
      <w:r>
        <w:rPr>
          <w:rStyle w:val="282"/>
        </w:rPr>
        <w:t>GB8702-2014</w:t>
      </w:r>
      <w:r>
        <w:rPr>
          <w:rStyle w:val="282"/>
          <w:rFonts w:eastAsia="宋体"/>
        </w:rPr>
        <w:t>）中的（电场强度</w:t>
      </w:r>
      <w:r>
        <w:rPr>
          <w:rStyle w:val="282"/>
        </w:rPr>
        <w:t>≤4000V/m</w:t>
      </w:r>
      <w:r>
        <w:rPr>
          <w:rStyle w:val="282"/>
          <w:rFonts w:eastAsia="宋体"/>
        </w:rPr>
        <w:t>；磁感应强度</w:t>
      </w:r>
      <w:r>
        <w:rPr>
          <w:rStyle w:val="282"/>
        </w:rPr>
        <w:t>≤100μT</w:t>
      </w:r>
      <w:r>
        <w:rPr>
          <w:rStyle w:val="282"/>
          <w:rFonts w:eastAsia="宋体"/>
        </w:rPr>
        <w:t>）公众曝露控制限值</w:t>
      </w:r>
      <w:r>
        <w:rPr>
          <w:rFonts w:ascii="Times New Roman" w:hAnsi="Times New Roman" w:eastAsia="宋体"/>
        </w:rPr>
        <w:t>。</w:t>
      </w:r>
    </w:p>
    <w:p w14:paraId="40C349AA">
      <w:pPr>
        <w:rPr>
          <w:rFonts w:hint="eastAsia"/>
        </w:rPr>
        <w:sectPr>
          <w:pgSz w:w="11906" w:h="16838"/>
          <w:pgMar w:top="1440" w:right="1800" w:bottom="1440" w:left="1800" w:header="851" w:footer="850" w:gutter="0"/>
          <w:cols w:space="720" w:num="1"/>
          <w:docGrid w:type="lines" w:linePitch="326" w:charSpace="0"/>
        </w:sectPr>
      </w:pPr>
    </w:p>
    <w:bookmarkEnd w:id="285"/>
    <w:p w14:paraId="1EEDD05B">
      <w:pPr>
        <w:pStyle w:val="1012"/>
      </w:pPr>
      <w:bookmarkStart w:id="286" w:name="_Toc322801625"/>
      <w:bookmarkStart w:id="287" w:name="_Toc1851839"/>
      <w:bookmarkStart w:id="288" w:name="_Toc322802307"/>
      <w:bookmarkStart w:id="289" w:name="_Toc369284696"/>
      <w:bookmarkStart w:id="290" w:name="_Toc26151"/>
      <w:bookmarkStart w:id="291" w:name="_Toc369187686"/>
      <w:r>
        <w:t>环境影响预测与评价</w:t>
      </w:r>
      <w:bookmarkEnd w:id="286"/>
      <w:bookmarkEnd w:id="287"/>
      <w:bookmarkEnd w:id="288"/>
      <w:bookmarkEnd w:id="289"/>
      <w:bookmarkEnd w:id="290"/>
      <w:bookmarkEnd w:id="291"/>
    </w:p>
    <w:p w14:paraId="245F057B">
      <w:pPr>
        <w:pStyle w:val="3"/>
        <w:rPr>
          <w:rFonts w:hint="eastAsia"/>
        </w:rPr>
      </w:pPr>
      <w:bookmarkStart w:id="292" w:name="_Toc9131"/>
      <w:r>
        <w:t>施工期环境影响分析</w:t>
      </w:r>
      <w:bookmarkEnd w:id="292"/>
    </w:p>
    <w:p w14:paraId="6C621207">
      <w:pPr>
        <w:pStyle w:val="97"/>
        <w:rPr>
          <w:rFonts w:hint="eastAsia"/>
        </w:rPr>
      </w:pPr>
      <w:r>
        <w:t>施工期废气对环境影响分析</w:t>
      </w:r>
    </w:p>
    <w:p w14:paraId="095A884A">
      <w:pPr>
        <w:pStyle w:val="281"/>
        <w:ind w:firstLine="480"/>
      </w:pPr>
      <w:bookmarkStart w:id="293" w:name="_Hlk129615870"/>
      <w:r>
        <w:t>施工过程中的大气污染源主要有：运输车辆及堆场引起的扬尘、施工机械燃油排放的废气等。</w:t>
      </w:r>
    </w:p>
    <w:p w14:paraId="712B282A">
      <w:pPr>
        <w:pStyle w:val="281"/>
        <w:ind w:firstLine="480"/>
      </w:pPr>
      <w:r>
        <w:t>扬尘是项目施工期间影响环境空气的主要污染物，来源于多项粉尘无组织源：建筑场地的平整清理，土方挖掘填埋，物料堆存，建筑材料的装卸、搬运、使用，以及运料车辆的出入等，都易产生扬尘污染。施工扬尘的大小随施工季节、施工管理等不同差别甚大，影响范围可达150～300m。</w:t>
      </w:r>
    </w:p>
    <w:p w14:paraId="1FB0D6AF">
      <w:pPr>
        <w:pStyle w:val="281"/>
        <w:ind w:firstLine="480"/>
      </w:pPr>
      <w:r>
        <w:t>通过类比调查，在一般气象条件下，平均风速为2.6m/s时，施工扬尘污染有如下结果：建筑工地内TSP浓度为上风向对照点的1.5～2.3倍。建筑工地扬尘影响的下风向150m处，被影响地区TSP平均浓度为0.49mg/Nm</w:t>
      </w:r>
      <w:r>
        <w:rPr>
          <w:vertAlign w:val="superscript"/>
        </w:rPr>
        <w:t>3</w:t>
      </w:r>
      <w:r>
        <w:t>左右，相当于大气环境质量标准的1.6倍。围栏对减少施工扬尘污染有一定作用，风速为0.5m/s时，可使影响距离缩短40%左右。本项目施工期对大气的影响主要是施工和运输产生的粉尘和二次扬尘。施工过程中大量的挖土堆置施工场地。工程所在区域风速较大，且堆置的土较为疏松，容易引起扬尘，给周围大气环境带来较大影响。施工运输车辆在道路上行驶会引起扬尘，运送粘性土料的车辆如不遮盖也会产生扬尘。</w:t>
      </w:r>
    </w:p>
    <w:p w14:paraId="5E28C220">
      <w:pPr>
        <w:pStyle w:val="281"/>
        <w:ind w:firstLine="480"/>
      </w:pPr>
      <w:r>
        <w:rPr>
          <w:rFonts w:hint="eastAsia"/>
        </w:rPr>
        <w:t>打桩机、铺路机等动力装置、临时发电机一般采用柴油作为燃料，燃油烟气直接在场地内无组织排放，主要污染物包括</w:t>
      </w:r>
      <w:r>
        <w:t>HC</w:t>
      </w:r>
      <w:r>
        <w:rPr>
          <w:rFonts w:hint="eastAsia"/>
        </w:rPr>
        <w:t>、</w:t>
      </w:r>
      <w:r>
        <w:t>SO</w:t>
      </w:r>
      <w:r>
        <w:rPr>
          <w:vertAlign w:val="subscript"/>
        </w:rPr>
        <w:t>2</w:t>
      </w:r>
      <w:r>
        <w:rPr>
          <w:rFonts w:hint="eastAsia"/>
        </w:rPr>
        <w:t>、</w:t>
      </w:r>
      <w:r>
        <w:t>NO</w:t>
      </w:r>
      <w:r>
        <w:rPr>
          <w:vertAlign w:val="subscript"/>
        </w:rPr>
        <w:t>2</w:t>
      </w:r>
      <w:r>
        <w:rPr>
          <w:rFonts w:hint="eastAsia"/>
        </w:rPr>
        <w:t>、碳烟。根据《环境保护实用数据手册》，柴油机尾气排口各污染物排放浓度为</w:t>
      </w:r>
      <w:r>
        <w:t>HC</w:t>
      </w:r>
      <w:r>
        <w:rPr>
          <w:rFonts w:hint="eastAsia"/>
        </w:rPr>
        <w:t>＜</w:t>
      </w:r>
      <w:r>
        <w:t>1800mg/m</w:t>
      </w:r>
      <w:r>
        <w:rPr>
          <w:vertAlign w:val="superscript"/>
        </w:rPr>
        <w:t>3</w:t>
      </w:r>
      <w:r>
        <w:rPr>
          <w:rFonts w:hint="eastAsia"/>
        </w:rPr>
        <w:t>、</w:t>
      </w:r>
      <w:r>
        <w:t>SO</w:t>
      </w:r>
      <w:r>
        <w:rPr>
          <w:vertAlign w:val="subscript"/>
        </w:rPr>
        <w:t>2</w:t>
      </w:r>
      <w:r>
        <w:rPr>
          <w:rFonts w:hint="eastAsia"/>
        </w:rPr>
        <w:t>＜</w:t>
      </w:r>
      <w:r>
        <w:t>270mg/m</w:t>
      </w:r>
      <w:r>
        <w:rPr>
          <w:vertAlign w:val="superscript"/>
        </w:rPr>
        <w:t>3</w:t>
      </w:r>
      <w:r>
        <w:rPr>
          <w:rFonts w:hint="eastAsia"/>
        </w:rPr>
        <w:t>、</w:t>
      </w:r>
      <w:r>
        <w:t>NO</w:t>
      </w:r>
      <w:r>
        <w:rPr>
          <w:vertAlign w:val="subscript"/>
        </w:rPr>
        <w:t>2</w:t>
      </w:r>
      <w:r>
        <w:rPr>
          <w:rFonts w:hint="eastAsia"/>
        </w:rPr>
        <w:t>＜</w:t>
      </w:r>
      <w:r>
        <w:t>2500mg/m</w:t>
      </w:r>
      <w:r>
        <w:rPr>
          <w:vertAlign w:val="superscript"/>
        </w:rPr>
        <w:t>3</w:t>
      </w:r>
      <w:r>
        <w:rPr>
          <w:rFonts w:hint="eastAsia"/>
        </w:rPr>
        <w:t>、碳烟＜</w:t>
      </w:r>
      <w:r>
        <w:t>250mg/m</w:t>
      </w:r>
      <w:r>
        <w:rPr>
          <w:vertAlign w:val="superscript"/>
        </w:rPr>
        <w:t>3</w:t>
      </w:r>
      <w:r>
        <w:rPr>
          <w:rFonts w:hint="eastAsia"/>
        </w:rPr>
        <w:t>。</w:t>
      </w:r>
      <w:bookmarkEnd w:id="293"/>
    </w:p>
    <w:p w14:paraId="5CAC3B90">
      <w:pPr>
        <w:pStyle w:val="97"/>
        <w:rPr>
          <w:rFonts w:hint="eastAsia"/>
        </w:rPr>
      </w:pPr>
      <w:r>
        <w:t>施工期废水对环境影响</w:t>
      </w:r>
    </w:p>
    <w:p w14:paraId="5675D967">
      <w:pPr>
        <w:pStyle w:val="281"/>
        <w:ind w:firstLine="480"/>
      </w:pPr>
      <w:bookmarkStart w:id="294" w:name="_Hlk129615900"/>
      <w:r>
        <w:t>施工期的废污水主要来自施工生活区的生活污水、少量机械清洗废水等。主要污染因子为BOD</w:t>
      </w:r>
      <w:r>
        <w:rPr>
          <w:vertAlign w:val="subscript"/>
        </w:rPr>
        <w:t>5</w:t>
      </w:r>
      <w:r>
        <w:t>、SS、COD。施工期间的废污水应集中收集，避免各类废污水随意乱排，污染附近环境。由于施工期间废污水排放量较小，经过蒸发及风吹作用后不会产生大量下渗。因此，施工期少量废水不会影响该区域地下水环境质量。</w:t>
      </w:r>
      <w:bookmarkEnd w:id="294"/>
    </w:p>
    <w:p w14:paraId="0222394F">
      <w:pPr>
        <w:pStyle w:val="97"/>
        <w:rPr>
          <w:rFonts w:hint="eastAsia"/>
        </w:rPr>
      </w:pPr>
      <w:r>
        <w:t>施工期噪声对环境影响</w:t>
      </w:r>
    </w:p>
    <w:p w14:paraId="75FD4CF5">
      <w:pPr>
        <w:pStyle w:val="281"/>
        <w:ind w:firstLine="480"/>
      </w:pPr>
      <w:bookmarkStart w:id="295" w:name="_Hlk129615949"/>
      <w:r>
        <w:t>本项目施工期会对周围产生噪声影响。由于拟建工程地址位于规划的工业园区内，距离人群较远。因此，施工期产生的机械噪声对居民的日常生活不产生影响。</w:t>
      </w:r>
    </w:p>
    <w:p w14:paraId="117E5B3B">
      <w:pPr>
        <w:pStyle w:val="281"/>
        <w:ind w:firstLine="480"/>
      </w:pPr>
      <w:bookmarkStart w:id="296" w:name="_Toc169579462"/>
      <w:r>
        <w:t>（1）噪声源源强</w:t>
      </w:r>
      <w:bookmarkEnd w:id="296"/>
    </w:p>
    <w:p w14:paraId="377E932B">
      <w:pPr>
        <w:pStyle w:val="281"/>
        <w:ind w:firstLine="480"/>
      </w:pPr>
      <w:r>
        <w:t>施工中的噪声主要来源于施工机械设备，大多为不连续性噪声。施工中的主要设备噪声见表</w:t>
      </w:r>
      <w:r>
        <w:rPr>
          <w:rFonts w:hint="eastAsia"/>
        </w:rPr>
        <w:t>5</w:t>
      </w:r>
      <w:r>
        <w:t>.1.3-1。</w:t>
      </w:r>
    </w:p>
    <w:p w14:paraId="0DE09CF6">
      <w:pPr>
        <w:spacing w:line="360" w:lineRule="auto"/>
        <w:jc w:val="center"/>
        <w:rPr>
          <w:rFonts w:hint="eastAsia" w:ascii="黑体" w:hAnsi="黑体" w:eastAsia="黑体"/>
          <w:b/>
        </w:rPr>
      </w:pPr>
      <w:r>
        <w:rPr>
          <w:rFonts w:ascii="黑体" w:hAnsi="黑体" w:eastAsia="黑体"/>
          <w:b/>
        </w:rPr>
        <w:t>表</w:t>
      </w:r>
      <w:r>
        <w:rPr>
          <w:rFonts w:hint="eastAsia" w:ascii="黑体" w:hAnsi="黑体" w:eastAsia="黑体"/>
          <w:b/>
        </w:rPr>
        <w:t>5</w:t>
      </w:r>
      <w:r>
        <w:rPr>
          <w:rFonts w:ascii="黑体" w:hAnsi="黑体" w:eastAsia="黑体"/>
          <w:b/>
        </w:rPr>
        <w:t>.1.3-1    施工期主要设备噪声源强</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3"/>
        <w:gridCol w:w="2843"/>
        <w:gridCol w:w="2842"/>
      </w:tblGrid>
      <w:tr w14:paraId="0807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7CF22FA7">
            <w:pPr>
              <w:jc w:val="center"/>
              <w:rPr>
                <w:rFonts w:ascii="Times New Roman" w:hAnsi="Times New Roman" w:cs="Times New Roman"/>
                <w:sz w:val="18"/>
                <w:szCs w:val="18"/>
              </w:rPr>
            </w:pPr>
            <w:r>
              <w:rPr>
                <w:rFonts w:ascii="Times New Roman" w:hAnsi="Times New Roman" w:cs="Times New Roman"/>
                <w:sz w:val="18"/>
                <w:szCs w:val="18"/>
              </w:rPr>
              <w:t>设备名称</w:t>
            </w:r>
          </w:p>
        </w:tc>
        <w:tc>
          <w:tcPr>
            <w:tcW w:w="2843" w:type="dxa"/>
            <w:vAlign w:val="center"/>
          </w:tcPr>
          <w:p w14:paraId="721B12E6">
            <w:pPr>
              <w:jc w:val="center"/>
              <w:rPr>
                <w:rFonts w:ascii="Times New Roman" w:hAnsi="Times New Roman" w:cs="Times New Roman"/>
                <w:sz w:val="18"/>
                <w:szCs w:val="18"/>
              </w:rPr>
            </w:pPr>
            <w:r>
              <w:rPr>
                <w:rFonts w:ascii="Times New Roman" w:hAnsi="Times New Roman" w:cs="Times New Roman"/>
                <w:sz w:val="18"/>
                <w:szCs w:val="18"/>
              </w:rPr>
              <w:t>源强dB（A）</w:t>
            </w:r>
          </w:p>
        </w:tc>
        <w:tc>
          <w:tcPr>
            <w:tcW w:w="2842" w:type="dxa"/>
            <w:vAlign w:val="center"/>
          </w:tcPr>
          <w:p w14:paraId="13B0FDDD">
            <w:pPr>
              <w:jc w:val="center"/>
              <w:rPr>
                <w:rFonts w:ascii="Times New Roman" w:hAnsi="Times New Roman" w:cs="Times New Roman"/>
                <w:sz w:val="18"/>
                <w:szCs w:val="18"/>
              </w:rPr>
            </w:pPr>
            <w:r>
              <w:rPr>
                <w:rFonts w:ascii="Times New Roman" w:hAnsi="Times New Roman" w:cs="Times New Roman"/>
                <w:sz w:val="18"/>
                <w:szCs w:val="18"/>
              </w:rPr>
              <w:t>备注</w:t>
            </w:r>
          </w:p>
        </w:tc>
      </w:tr>
      <w:tr w14:paraId="5B3C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2D8E85C0">
            <w:pPr>
              <w:jc w:val="center"/>
              <w:rPr>
                <w:rFonts w:ascii="Times New Roman" w:hAnsi="Times New Roman" w:cs="Times New Roman"/>
                <w:sz w:val="18"/>
                <w:szCs w:val="18"/>
              </w:rPr>
            </w:pPr>
            <w:r>
              <w:rPr>
                <w:rFonts w:ascii="Times New Roman" w:hAnsi="Times New Roman" w:cs="Times New Roman"/>
                <w:sz w:val="18"/>
                <w:szCs w:val="18"/>
              </w:rPr>
              <w:t>汽车吊</w:t>
            </w:r>
          </w:p>
        </w:tc>
        <w:tc>
          <w:tcPr>
            <w:tcW w:w="2843" w:type="dxa"/>
            <w:vAlign w:val="center"/>
          </w:tcPr>
          <w:p w14:paraId="4FADF3BC">
            <w:pPr>
              <w:jc w:val="center"/>
              <w:rPr>
                <w:rFonts w:ascii="Times New Roman" w:hAnsi="Times New Roman" w:cs="Times New Roman"/>
                <w:sz w:val="18"/>
                <w:szCs w:val="18"/>
              </w:rPr>
            </w:pPr>
            <w:r>
              <w:rPr>
                <w:rFonts w:ascii="Times New Roman" w:hAnsi="Times New Roman" w:cs="Times New Roman"/>
                <w:sz w:val="18"/>
                <w:szCs w:val="18"/>
              </w:rPr>
              <w:t>90</w:t>
            </w:r>
          </w:p>
        </w:tc>
        <w:tc>
          <w:tcPr>
            <w:tcW w:w="2842" w:type="dxa"/>
            <w:vAlign w:val="center"/>
          </w:tcPr>
          <w:p w14:paraId="5F6C5D18">
            <w:pPr>
              <w:jc w:val="center"/>
              <w:rPr>
                <w:rFonts w:ascii="Times New Roman" w:hAnsi="Times New Roman" w:cs="Times New Roman"/>
                <w:sz w:val="18"/>
                <w:szCs w:val="18"/>
              </w:rPr>
            </w:pPr>
            <w:r>
              <w:rPr>
                <w:rFonts w:ascii="Times New Roman" w:hAnsi="Times New Roman" w:cs="Times New Roman"/>
                <w:sz w:val="18"/>
                <w:szCs w:val="18"/>
              </w:rPr>
              <w:t>4m处</w:t>
            </w:r>
          </w:p>
        </w:tc>
      </w:tr>
      <w:tr w14:paraId="4B24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33830F11">
            <w:pPr>
              <w:jc w:val="center"/>
              <w:rPr>
                <w:rFonts w:ascii="Times New Roman" w:hAnsi="Times New Roman" w:cs="Times New Roman"/>
                <w:sz w:val="18"/>
                <w:szCs w:val="18"/>
              </w:rPr>
            </w:pPr>
            <w:r>
              <w:rPr>
                <w:rFonts w:ascii="Times New Roman" w:hAnsi="Times New Roman" w:cs="Times New Roman"/>
                <w:sz w:val="18"/>
                <w:szCs w:val="18"/>
              </w:rPr>
              <w:t>翻斗车</w:t>
            </w:r>
          </w:p>
        </w:tc>
        <w:tc>
          <w:tcPr>
            <w:tcW w:w="2843" w:type="dxa"/>
            <w:vAlign w:val="center"/>
          </w:tcPr>
          <w:p w14:paraId="45E5D079">
            <w:pPr>
              <w:jc w:val="center"/>
              <w:rPr>
                <w:rFonts w:ascii="Times New Roman" w:hAnsi="Times New Roman" w:cs="Times New Roman"/>
                <w:sz w:val="18"/>
                <w:szCs w:val="18"/>
              </w:rPr>
            </w:pPr>
            <w:r>
              <w:rPr>
                <w:rFonts w:ascii="Times New Roman" w:hAnsi="Times New Roman" w:cs="Times New Roman"/>
                <w:sz w:val="18"/>
                <w:szCs w:val="18"/>
              </w:rPr>
              <w:t>86-90</w:t>
            </w:r>
          </w:p>
        </w:tc>
        <w:tc>
          <w:tcPr>
            <w:tcW w:w="2842" w:type="dxa"/>
            <w:vAlign w:val="center"/>
          </w:tcPr>
          <w:p w14:paraId="1C7B8EDF">
            <w:pPr>
              <w:jc w:val="center"/>
              <w:rPr>
                <w:rFonts w:ascii="Times New Roman" w:hAnsi="Times New Roman" w:cs="Times New Roman"/>
                <w:sz w:val="18"/>
                <w:szCs w:val="18"/>
              </w:rPr>
            </w:pPr>
            <w:r>
              <w:rPr>
                <w:rFonts w:ascii="Times New Roman" w:hAnsi="Times New Roman" w:cs="Times New Roman"/>
                <w:sz w:val="18"/>
                <w:szCs w:val="18"/>
              </w:rPr>
              <w:t>1m处</w:t>
            </w:r>
          </w:p>
        </w:tc>
      </w:tr>
      <w:tr w14:paraId="5F6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5B85E190">
            <w:pPr>
              <w:jc w:val="center"/>
              <w:rPr>
                <w:rFonts w:ascii="Times New Roman" w:hAnsi="Times New Roman" w:cs="Times New Roman"/>
                <w:sz w:val="18"/>
                <w:szCs w:val="18"/>
              </w:rPr>
            </w:pPr>
            <w:r>
              <w:rPr>
                <w:rFonts w:ascii="Times New Roman" w:hAnsi="Times New Roman" w:cs="Times New Roman"/>
                <w:sz w:val="18"/>
                <w:szCs w:val="18"/>
              </w:rPr>
              <w:t>电焊机</w:t>
            </w:r>
          </w:p>
        </w:tc>
        <w:tc>
          <w:tcPr>
            <w:tcW w:w="2843" w:type="dxa"/>
            <w:vAlign w:val="center"/>
          </w:tcPr>
          <w:p w14:paraId="3A2B2EE6">
            <w:pPr>
              <w:jc w:val="center"/>
              <w:rPr>
                <w:rFonts w:ascii="Times New Roman" w:hAnsi="Times New Roman" w:cs="Times New Roman"/>
                <w:sz w:val="18"/>
                <w:szCs w:val="18"/>
              </w:rPr>
            </w:pPr>
            <w:r>
              <w:rPr>
                <w:rFonts w:ascii="Times New Roman" w:hAnsi="Times New Roman" w:cs="Times New Roman"/>
                <w:sz w:val="18"/>
                <w:szCs w:val="18"/>
              </w:rPr>
              <w:t>90</w:t>
            </w:r>
          </w:p>
        </w:tc>
        <w:tc>
          <w:tcPr>
            <w:tcW w:w="2842" w:type="dxa"/>
            <w:vAlign w:val="center"/>
          </w:tcPr>
          <w:p w14:paraId="25B30260">
            <w:pPr>
              <w:jc w:val="center"/>
              <w:rPr>
                <w:rFonts w:ascii="Times New Roman" w:hAnsi="Times New Roman" w:cs="Times New Roman"/>
                <w:sz w:val="18"/>
                <w:szCs w:val="18"/>
              </w:rPr>
            </w:pPr>
            <w:r>
              <w:rPr>
                <w:rFonts w:ascii="Times New Roman" w:hAnsi="Times New Roman" w:cs="Times New Roman"/>
                <w:sz w:val="18"/>
                <w:szCs w:val="18"/>
              </w:rPr>
              <w:t>1m处</w:t>
            </w:r>
          </w:p>
        </w:tc>
      </w:tr>
      <w:tr w14:paraId="766A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3CC83580">
            <w:pPr>
              <w:jc w:val="center"/>
              <w:rPr>
                <w:rFonts w:ascii="Times New Roman" w:hAnsi="Times New Roman" w:cs="Times New Roman"/>
                <w:sz w:val="18"/>
                <w:szCs w:val="18"/>
              </w:rPr>
            </w:pPr>
            <w:r>
              <w:rPr>
                <w:rFonts w:ascii="Times New Roman" w:hAnsi="Times New Roman" w:cs="Times New Roman"/>
                <w:sz w:val="18"/>
                <w:szCs w:val="18"/>
              </w:rPr>
              <w:t>推土机</w:t>
            </w:r>
          </w:p>
        </w:tc>
        <w:tc>
          <w:tcPr>
            <w:tcW w:w="2843" w:type="dxa"/>
            <w:vAlign w:val="center"/>
          </w:tcPr>
          <w:p w14:paraId="67B94AFC">
            <w:pPr>
              <w:jc w:val="center"/>
              <w:rPr>
                <w:rFonts w:ascii="Times New Roman" w:hAnsi="Times New Roman" w:cs="Times New Roman"/>
                <w:sz w:val="18"/>
                <w:szCs w:val="18"/>
              </w:rPr>
            </w:pPr>
            <w:r>
              <w:rPr>
                <w:rFonts w:ascii="Times New Roman" w:hAnsi="Times New Roman" w:cs="Times New Roman"/>
                <w:sz w:val="18"/>
                <w:szCs w:val="18"/>
              </w:rPr>
              <w:t>82-90</w:t>
            </w:r>
          </w:p>
        </w:tc>
        <w:tc>
          <w:tcPr>
            <w:tcW w:w="2842" w:type="dxa"/>
            <w:vAlign w:val="center"/>
          </w:tcPr>
          <w:p w14:paraId="4A7E9D6F">
            <w:pPr>
              <w:jc w:val="center"/>
              <w:rPr>
                <w:rFonts w:ascii="Times New Roman" w:hAnsi="Times New Roman" w:cs="Times New Roman"/>
                <w:sz w:val="18"/>
                <w:szCs w:val="18"/>
              </w:rPr>
            </w:pPr>
            <w:r>
              <w:rPr>
                <w:rFonts w:ascii="Times New Roman" w:hAnsi="Times New Roman" w:cs="Times New Roman"/>
                <w:sz w:val="18"/>
                <w:szCs w:val="18"/>
              </w:rPr>
              <w:t>1m处</w:t>
            </w:r>
          </w:p>
        </w:tc>
      </w:tr>
      <w:tr w14:paraId="370D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6D5B86C2">
            <w:pPr>
              <w:jc w:val="center"/>
              <w:rPr>
                <w:rFonts w:ascii="Times New Roman" w:hAnsi="Times New Roman" w:cs="Times New Roman"/>
                <w:sz w:val="18"/>
                <w:szCs w:val="18"/>
              </w:rPr>
            </w:pPr>
            <w:r>
              <w:rPr>
                <w:rFonts w:ascii="Times New Roman" w:hAnsi="Times New Roman" w:cs="Times New Roman"/>
                <w:sz w:val="18"/>
                <w:szCs w:val="18"/>
              </w:rPr>
              <w:t>混凝土振捣棒</w:t>
            </w:r>
          </w:p>
        </w:tc>
        <w:tc>
          <w:tcPr>
            <w:tcW w:w="2843" w:type="dxa"/>
            <w:vAlign w:val="center"/>
          </w:tcPr>
          <w:p w14:paraId="6B4DB1FE">
            <w:pPr>
              <w:jc w:val="center"/>
              <w:rPr>
                <w:rFonts w:ascii="Times New Roman" w:hAnsi="Times New Roman" w:cs="Times New Roman"/>
                <w:sz w:val="18"/>
                <w:szCs w:val="18"/>
              </w:rPr>
            </w:pPr>
            <w:r>
              <w:rPr>
                <w:rFonts w:ascii="Times New Roman" w:hAnsi="Times New Roman" w:cs="Times New Roman"/>
                <w:sz w:val="18"/>
                <w:szCs w:val="18"/>
              </w:rPr>
              <w:t>100</w:t>
            </w:r>
          </w:p>
        </w:tc>
        <w:tc>
          <w:tcPr>
            <w:tcW w:w="2842" w:type="dxa"/>
            <w:vAlign w:val="center"/>
          </w:tcPr>
          <w:p w14:paraId="1EB23E4F">
            <w:pPr>
              <w:jc w:val="center"/>
              <w:rPr>
                <w:rFonts w:ascii="Times New Roman" w:hAnsi="Times New Roman" w:cs="Times New Roman"/>
                <w:sz w:val="18"/>
                <w:szCs w:val="18"/>
              </w:rPr>
            </w:pPr>
            <w:r>
              <w:rPr>
                <w:rFonts w:ascii="Times New Roman" w:hAnsi="Times New Roman" w:cs="Times New Roman"/>
                <w:sz w:val="18"/>
                <w:szCs w:val="18"/>
              </w:rPr>
              <w:t>1m处</w:t>
            </w:r>
          </w:p>
        </w:tc>
      </w:tr>
      <w:tr w14:paraId="2882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0C7FD105">
            <w:pPr>
              <w:jc w:val="center"/>
              <w:rPr>
                <w:rFonts w:ascii="Times New Roman" w:hAnsi="Times New Roman" w:cs="Times New Roman"/>
                <w:sz w:val="18"/>
                <w:szCs w:val="18"/>
              </w:rPr>
            </w:pPr>
            <w:r>
              <w:rPr>
                <w:rFonts w:ascii="Times New Roman" w:hAnsi="Times New Roman" w:cs="Times New Roman"/>
                <w:sz w:val="18"/>
                <w:szCs w:val="18"/>
              </w:rPr>
              <w:t>木工机械</w:t>
            </w:r>
          </w:p>
        </w:tc>
        <w:tc>
          <w:tcPr>
            <w:tcW w:w="2843" w:type="dxa"/>
            <w:vAlign w:val="center"/>
          </w:tcPr>
          <w:p w14:paraId="1E827486">
            <w:pPr>
              <w:jc w:val="center"/>
              <w:rPr>
                <w:rFonts w:ascii="Times New Roman" w:hAnsi="Times New Roman" w:cs="Times New Roman"/>
                <w:sz w:val="18"/>
                <w:szCs w:val="18"/>
              </w:rPr>
            </w:pPr>
            <w:r>
              <w:rPr>
                <w:rFonts w:ascii="Times New Roman" w:hAnsi="Times New Roman" w:cs="Times New Roman"/>
                <w:sz w:val="18"/>
                <w:szCs w:val="18"/>
              </w:rPr>
              <w:t>100-110</w:t>
            </w:r>
          </w:p>
        </w:tc>
        <w:tc>
          <w:tcPr>
            <w:tcW w:w="2842" w:type="dxa"/>
            <w:vAlign w:val="center"/>
          </w:tcPr>
          <w:p w14:paraId="0DBD0C01">
            <w:pPr>
              <w:jc w:val="center"/>
              <w:rPr>
                <w:rFonts w:ascii="Times New Roman" w:hAnsi="Times New Roman" w:cs="Times New Roman"/>
                <w:sz w:val="18"/>
                <w:szCs w:val="18"/>
              </w:rPr>
            </w:pPr>
            <w:r>
              <w:rPr>
                <w:rFonts w:ascii="Times New Roman" w:hAnsi="Times New Roman" w:cs="Times New Roman"/>
                <w:sz w:val="18"/>
                <w:szCs w:val="18"/>
              </w:rPr>
              <w:t>1m处</w:t>
            </w:r>
          </w:p>
        </w:tc>
      </w:tr>
      <w:tr w14:paraId="2FA5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843" w:type="dxa"/>
            <w:vAlign w:val="center"/>
          </w:tcPr>
          <w:p w14:paraId="26414BD0">
            <w:pPr>
              <w:jc w:val="center"/>
              <w:rPr>
                <w:rFonts w:ascii="Times New Roman" w:hAnsi="Times New Roman" w:cs="Times New Roman"/>
                <w:sz w:val="18"/>
                <w:szCs w:val="18"/>
              </w:rPr>
            </w:pPr>
            <w:r>
              <w:rPr>
                <w:rFonts w:ascii="Times New Roman" w:hAnsi="Times New Roman" w:cs="Times New Roman"/>
                <w:sz w:val="18"/>
                <w:szCs w:val="18"/>
              </w:rPr>
              <w:t>载重车</w:t>
            </w:r>
          </w:p>
        </w:tc>
        <w:tc>
          <w:tcPr>
            <w:tcW w:w="2843" w:type="dxa"/>
            <w:vAlign w:val="center"/>
          </w:tcPr>
          <w:p w14:paraId="32063E8F">
            <w:pPr>
              <w:jc w:val="center"/>
              <w:rPr>
                <w:rFonts w:ascii="Times New Roman" w:hAnsi="Times New Roman" w:cs="Times New Roman"/>
                <w:sz w:val="18"/>
                <w:szCs w:val="18"/>
              </w:rPr>
            </w:pPr>
            <w:r>
              <w:rPr>
                <w:rFonts w:ascii="Times New Roman" w:hAnsi="Times New Roman" w:cs="Times New Roman"/>
                <w:sz w:val="18"/>
                <w:szCs w:val="18"/>
              </w:rPr>
              <w:t>89</w:t>
            </w:r>
          </w:p>
        </w:tc>
        <w:tc>
          <w:tcPr>
            <w:tcW w:w="2842" w:type="dxa"/>
            <w:vAlign w:val="center"/>
          </w:tcPr>
          <w:p w14:paraId="349ABF2E">
            <w:pPr>
              <w:jc w:val="center"/>
              <w:rPr>
                <w:rFonts w:ascii="Times New Roman" w:hAnsi="Times New Roman" w:cs="Times New Roman"/>
                <w:sz w:val="18"/>
                <w:szCs w:val="18"/>
              </w:rPr>
            </w:pPr>
            <w:r>
              <w:rPr>
                <w:rFonts w:ascii="Times New Roman" w:hAnsi="Times New Roman" w:cs="Times New Roman"/>
                <w:sz w:val="18"/>
                <w:szCs w:val="18"/>
              </w:rPr>
              <w:t>1m处</w:t>
            </w:r>
          </w:p>
        </w:tc>
      </w:tr>
    </w:tbl>
    <w:p w14:paraId="696199CB">
      <w:pPr>
        <w:rPr>
          <w:rFonts w:hint="eastAsia"/>
        </w:rPr>
      </w:pPr>
    </w:p>
    <w:p w14:paraId="6055F901">
      <w:pPr>
        <w:spacing w:line="360" w:lineRule="auto"/>
        <w:ind w:firstLine="480" w:firstLineChars="200"/>
        <w:rPr>
          <w:rFonts w:ascii="Times New Roman" w:hAnsi="Times New Roman" w:cs="Times New Roman"/>
        </w:rPr>
      </w:pPr>
      <w:r>
        <w:rPr>
          <w:rFonts w:ascii="Times New Roman" w:hAnsi="Times New Roman" w:cs="Times New Roman"/>
        </w:rPr>
        <w:t>由上表可以看出，施工设备属强噪声源，且位于室外，无有效的控制措施。</w:t>
      </w:r>
    </w:p>
    <w:p w14:paraId="5D3E89A8">
      <w:pPr>
        <w:spacing w:line="360" w:lineRule="auto"/>
        <w:ind w:firstLine="480" w:firstLineChars="200"/>
        <w:rPr>
          <w:rFonts w:ascii="Times New Roman" w:hAnsi="Times New Roman" w:cs="Times New Roman"/>
        </w:rPr>
      </w:pPr>
      <w:r>
        <w:rPr>
          <w:rFonts w:ascii="Times New Roman" w:hAnsi="Times New Roman" w:cs="Times New Roman"/>
        </w:rPr>
        <w:t>（2）施工噪声影响分析</w:t>
      </w:r>
    </w:p>
    <w:p w14:paraId="4333DA42">
      <w:pPr>
        <w:spacing w:line="360" w:lineRule="auto"/>
        <w:ind w:firstLine="480" w:firstLineChars="200"/>
        <w:rPr>
          <w:rFonts w:ascii="Times New Roman" w:hAnsi="Times New Roman" w:cs="Times New Roman"/>
        </w:rPr>
      </w:pPr>
      <w:r>
        <w:rPr>
          <w:rFonts w:ascii="Times New Roman" w:hAnsi="Times New Roman" w:cs="Times New Roman"/>
        </w:rPr>
        <w:t>施工期各种噪声源多为点源，按点声源衰减模式计算施工机械噪声的距离，计算公式为：</w:t>
      </w:r>
    </w:p>
    <w:p w14:paraId="3748E2DB">
      <w:pPr>
        <w:spacing w:line="360" w:lineRule="auto"/>
        <w:ind w:firstLine="480" w:firstLineChars="200"/>
        <w:jc w:val="center"/>
        <w:rPr>
          <w:rFonts w:ascii="Times New Roman" w:hAnsi="Times New Roman" w:cs="Times New Roman"/>
        </w:rPr>
      </w:pPr>
      <w:r>
        <w:rPr>
          <w:rFonts w:ascii="Times New Roman" w:hAnsi="Times New Roman" w:cs="Times New Roman"/>
        </w:rPr>
        <w:drawing>
          <wp:inline distT="0" distB="0" distL="0" distR="0">
            <wp:extent cx="2245360" cy="286385"/>
            <wp:effectExtent l="0" t="0" r="0"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45360" cy="286385"/>
                    </a:xfrm>
                    <a:prstGeom prst="rect">
                      <a:avLst/>
                    </a:prstGeom>
                    <a:noFill/>
                    <a:ln>
                      <a:noFill/>
                    </a:ln>
                  </pic:spPr>
                </pic:pic>
              </a:graphicData>
            </a:graphic>
          </wp:inline>
        </w:drawing>
      </w:r>
    </w:p>
    <w:p w14:paraId="0233ACFA">
      <w:pPr>
        <w:spacing w:line="360" w:lineRule="auto"/>
        <w:ind w:firstLine="480" w:firstLineChars="200"/>
        <w:rPr>
          <w:rFonts w:ascii="Times New Roman" w:hAnsi="Times New Roman" w:cs="Times New Roman"/>
        </w:rPr>
      </w:pPr>
      <w:r>
        <w:rPr>
          <w:rFonts w:ascii="Times New Roman" w:hAnsi="Times New Roman" w:cs="Times New Roman"/>
        </w:rPr>
        <w:t>式中：</w:t>
      </w:r>
      <w:bookmarkStart w:id="297" w:name="_Hlk129615984"/>
      <w:r>
        <w:rPr>
          <w:rFonts w:ascii="Times New Roman" w:hAnsi="Times New Roman" w:cs="Times New Roman"/>
        </w:rPr>
        <w:t>L1、L2——为距声源r1，r2处声级值，dB（A）；</w:t>
      </w:r>
    </w:p>
    <w:p w14:paraId="137F95E4">
      <w:pPr>
        <w:spacing w:line="360" w:lineRule="auto"/>
        <w:ind w:firstLine="480" w:firstLineChars="200"/>
        <w:rPr>
          <w:rFonts w:ascii="Times New Roman" w:hAnsi="Times New Roman" w:cs="Times New Roman"/>
        </w:rPr>
      </w:pPr>
      <w:r>
        <w:rPr>
          <w:rFonts w:ascii="Times New Roman" w:hAnsi="Times New Roman" w:cs="Times New Roman"/>
        </w:rPr>
        <w:t xml:space="preserve">      r1、r2 ——为距点源的距离，m；</w:t>
      </w:r>
    </w:p>
    <w:p w14:paraId="20A5FF9C">
      <w:pPr>
        <w:spacing w:line="360" w:lineRule="auto"/>
        <w:ind w:firstLine="480" w:firstLineChars="200"/>
        <w:rPr>
          <w:rFonts w:ascii="Times New Roman" w:hAnsi="Times New Roman" w:cs="Times New Roman"/>
        </w:rPr>
      </w:pPr>
      <w:r>
        <w:rPr>
          <w:rFonts w:ascii="Times New Roman" w:hAnsi="Times New Roman" w:cs="Times New Roman"/>
        </w:rPr>
        <w:t xml:space="preserve">      ΔL——为</w:t>
      </w:r>
      <w:r>
        <w:rPr>
          <w:rFonts w:hint="eastAsia" w:ascii="Times New Roman" w:hAnsi="Times New Roman" w:cs="Times New Roman"/>
        </w:rPr>
        <w:t>其他</w:t>
      </w:r>
      <w:r>
        <w:rPr>
          <w:rFonts w:ascii="Times New Roman" w:hAnsi="Times New Roman" w:cs="Times New Roman"/>
        </w:rPr>
        <w:t>衰减作用的噪声级，dB（A）。</w:t>
      </w:r>
    </w:p>
    <w:bookmarkEnd w:id="297"/>
    <w:p w14:paraId="1B4BBB7F">
      <w:pPr>
        <w:spacing w:line="360" w:lineRule="auto"/>
        <w:ind w:firstLine="480" w:firstLineChars="200"/>
        <w:rPr>
          <w:rFonts w:ascii="Times New Roman" w:hAnsi="Times New Roman" w:cs="Times New Roman"/>
        </w:rPr>
      </w:pPr>
      <w:r>
        <w:rPr>
          <w:rFonts w:ascii="Times New Roman" w:hAnsi="Times New Roman" w:cs="Times New Roman"/>
        </w:rPr>
        <w:t>预测结果见表5.1.3-2。</w:t>
      </w:r>
    </w:p>
    <w:p w14:paraId="4364B6FA">
      <w:pPr>
        <w:spacing w:line="360" w:lineRule="auto"/>
        <w:jc w:val="center"/>
        <w:rPr>
          <w:rFonts w:hint="eastAsia" w:ascii="黑体" w:hAnsi="黑体" w:eastAsia="黑体"/>
          <w:b/>
        </w:rPr>
      </w:pPr>
      <w:r>
        <w:rPr>
          <w:rFonts w:ascii="黑体" w:hAnsi="黑体" w:eastAsia="黑体"/>
          <w:b/>
        </w:rPr>
        <w:t>表</w:t>
      </w:r>
      <w:r>
        <w:rPr>
          <w:rFonts w:hint="eastAsia" w:ascii="黑体" w:hAnsi="黑体" w:eastAsia="黑体"/>
          <w:b/>
        </w:rPr>
        <w:t>5</w:t>
      </w:r>
      <w:r>
        <w:rPr>
          <w:rFonts w:ascii="黑体" w:hAnsi="黑体" w:eastAsia="黑体"/>
          <w:b/>
        </w:rPr>
        <w:t>.1.3-2    施工期噪声预测结果</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843"/>
        <w:gridCol w:w="957"/>
        <w:gridCol w:w="957"/>
        <w:gridCol w:w="957"/>
        <w:gridCol w:w="960"/>
        <w:gridCol w:w="957"/>
        <w:gridCol w:w="960"/>
      </w:tblGrid>
      <w:tr w14:paraId="20EF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restart"/>
            <w:vAlign w:val="center"/>
          </w:tcPr>
          <w:p w14:paraId="09CC655F">
            <w:pPr>
              <w:pStyle w:val="557"/>
            </w:pPr>
            <w:r>
              <w:t>施工</w:t>
            </w:r>
          </w:p>
          <w:p w14:paraId="0159AB1B">
            <w:pPr>
              <w:pStyle w:val="557"/>
            </w:pPr>
            <w:r>
              <w:t>阶段</w:t>
            </w:r>
          </w:p>
        </w:tc>
        <w:tc>
          <w:tcPr>
            <w:tcW w:w="1843" w:type="dxa"/>
            <w:vMerge w:val="restart"/>
            <w:vAlign w:val="center"/>
          </w:tcPr>
          <w:p w14:paraId="6805EA1F">
            <w:pPr>
              <w:pStyle w:val="557"/>
            </w:pPr>
            <w:r>
              <w:t>施工机械</w:t>
            </w:r>
          </w:p>
        </w:tc>
        <w:tc>
          <w:tcPr>
            <w:tcW w:w="3831" w:type="dxa"/>
            <w:gridSpan w:val="4"/>
            <w:vAlign w:val="center"/>
          </w:tcPr>
          <w:p w14:paraId="45F393C2">
            <w:pPr>
              <w:pStyle w:val="557"/>
            </w:pPr>
            <w:r>
              <w:t>X（m）处声压级dB（A）</w:t>
            </w:r>
          </w:p>
        </w:tc>
        <w:tc>
          <w:tcPr>
            <w:tcW w:w="1917" w:type="dxa"/>
            <w:gridSpan w:val="2"/>
            <w:vAlign w:val="center"/>
          </w:tcPr>
          <w:p w14:paraId="2C785F61">
            <w:pPr>
              <w:pStyle w:val="557"/>
            </w:pPr>
            <w:r>
              <w:t>标准dB（A）</w:t>
            </w:r>
          </w:p>
        </w:tc>
      </w:tr>
      <w:tr w14:paraId="5776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continue"/>
            <w:vAlign w:val="center"/>
          </w:tcPr>
          <w:p w14:paraId="2E885CDF">
            <w:pPr>
              <w:pStyle w:val="557"/>
            </w:pPr>
          </w:p>
        </w:tc>
        <w:tc>
          <w:tcPr>
            <w:tcW w:w="1843" w:type="dxa"/>
            <w:vMerge w:val="continue"/>
            <w:vAlign w:val="center"/>
          </w:tcPr>
          <w:p w14:paraId="405F94D4">
            <w:pPr>
              <w:pStyle w:val="557"/>
            </w:pPr>
          </w:p>
        </w:tc>
        <w:tc>
          <w:tcPr>
            <w:tcW w:w="957" w:type="dxa"/>
            <w:vAlign w:val="center"/>
          </w:tcPr>
          <w:p w14:paraId="2DDD5D3D">
            <w:pPr>
              <w:pStyle w:val="557"/>
            </w:pPr>
            <w:r>
              <w:t>1</w:t>
            </w:r>
          </w:p>
        </w:tc>
        <w:tc>
          <w:tcPr>
            <w:tcW w:w="957" w:type="dxa"/>
            <w:vAlign w:val="center"/>
          </w:tcPr>
          <w:p w14:paraId="204EA6EF">
            <w:pPr>
              <w:pStyle w:val="557"/>
            </w:pPr>
            <w:r>
              <w:t>10</w:t>
            </w:r>
          </w:p>
        </w:tc>
        <w:tc>
          <w:tcPr>
            <w:tcW w:w="957" w:type="dxa"/>
            <w:vAlign w:val="center"/>
          </w:tcPr>
          <w:p w14:paraId="0466D407">
            <w:pPr>
              <w:pStyle w:val="557"/>
            </w:pPr>
            <w:r>
              <w:t>20</w:t>
            </w:r>
          </w:p>
        </w:tc>
        <w:tc>
          <w:tcPr>
            <w:tcW w:w="960" w:type="dxa"/>
            <w:vAlign w:val="center"/>
          </w:tcPr>
          <w:p w14:paraId="77E0C2AB">
            <w:pPr>
              <w:pStyle w:val="557"/>
            </w:pPr>
            <w:r>
              <w:t>30</w:t>
            </w:r>
          </w:p>
        </w:tc>
        <w:tc>
          <w:tcPr>
            <w:tcW w:w="957" w:type="dxa"/>
            <w:vAlign w:val="center"/>
          </w:tcPr>
          <w:p w14:paraId="049907D2">
            <w:pPr>
              <w:pStyle w:val="557"/>
            </w:pPr>
            <w:r>
              <w:t>昼间</w:t>
            </w:r>
          </w:p>
        </w:tc>
        <w:tc>
          <w:tcPr>
            <w:tcW w:w="960" w:type="dxa"/>
            <w:vAlign w:val="center"/>
          </w:tcPr>
          <w:p w14:paraId="7DCDB3C4">
            <w:pPr>
              <w:pStyle w:val="557"/>
            </w:pPr>
            <w:r>
              <w:t>夜间</w:t>
            </w:r>
          </w:p>
        </w:tc>
      </w:tr>
      <w:tr w14:paraId="61BC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restart"/>
            <w:vAlign w:val="center"/>
          </w:tcPr>
          <w:p w14:paraId="71833549">
            <w:pPr>
              <w:pStyle w:val="557"/>
            </w:pPr>
            <w:r>
              <w:t>土石方</w:t>
            </w:r>
          </w:p>
        </w:tc>
        <w:tc>
          <w:tcPr>
            <w:tcW w:w="1843" w:type="dxa"/>
            <w:vAlign w:val="center"/>
          </w:tcPr>
          <w:p w14:paraId="51A0250F">
            <w:pPr>
              <w:pStyle w:val="557"/>
            </w:pPr>
            <w:r>
              <w:t>载重车</w:t>
            </w:r>
          </w:p>
        </w:tc>
        <w:tc>
          <w:tcPr>
            <w:tcW w:w="957" w:type="dxa"/>
            <w:vAlign w:val="center"/>
          </w:tcPr>
          <w:p w14:paraId="07BA8DE3">
            <w:pPr>
              <w:pStyle w:val="557"/>
            </w:pPr>
            <w:r>
              <w:t>90</w:t>
            </w:r>
          </w:p>
        </w:tc>
        <w:tc>
          <w:tcPr>
            <w:tcW w:w="957" w:type="dxa"/>
            <w:vAlign w:val="center"/>
          </w:tcPr>
          <w:p w14:paraId="1AE20459">
            <w:pPr>
              <w:pStyle w:val="557"/>
            </w:pPr>
            <w:r>
              <w:t>70</w:t>
            </w:r>
          </w:p>
        </w:tc>
        <w:tc>
          <w:tcPr>
            <w:tcW w:w="957" w:type="dxa"/>
            <w:vAlign w:val="center"/>
          </w:tcPr>
          <w:p w14:paraId="6BCD9DBA">
            <w:pPr>
              <w:pStyle w:val="557"/>
            </w:pPr>
            <w:r>
              <w:t>64</w:t>
            </w:r>
          </w:p>
        </w:tc>
        <w:tc>
          <w:tcPr>
            <w:tcW w:w="960" w:type="dxa"/>
            <w:vAlign w:val="center"/>
          </w:tcPr>
          <w:p w14:paraId="4A28C8C7">
            <w:pPr>
              <w:pStyle w:val="557"/>
            </w:pPr>
            <w:r>
              <w:t>61</w:t>
            </w:r>
          </w:p>
        </w:tc>
        <w:tc>
          <w:tcPr>
            <w:tcW w:w="957" w:type="dxa"/>
            <w:vAlign w:val="center"/>
          </w:tcPr>
          <w:p w14:paraId="19AB5CD4">
            <w:pPr>
              <w:pStyle w:val="557"/>
            </w:pPr>
            <w:r>
              <w:t>75</w:t>
            </w:r>
          </w:p>
        </w:tc>
        <w:tc>
          <w:tcPr>
            <w:tcW w:w="960" w:type="dxa"/>
            <w:vAlign w:val="center"/>
          </w:tcPr>
          <w:p w14:paraId="5E14DF05">
            <w:pPr>
              <w:pStyle w:val="557"/>
            </w:pPr>
            <w:r>
              <w:t>55</w:t>
            </w:r>
          </w:p>
        </w:tc>
      </w:tr>
      <w:tr w14:paraId="5744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continue"/>
            <w:vAlign w:val="center"/>
          </w:tcPr>
          <w:p w14:paraId="1EDAC7CA">
            <w:pPr>
              <w:pStyle w:val="557"/>
            </w:pPr>
          </w:p>
        </w:tc>
        <w:tc>
          <w:tcPr>
            <w:tcW w:w="1843" w:type="dxa"/>
            <w:vAlign w:val="center"/>
          </w:tcPr>
          <w:p w14:paraId="4A2F4342">
            <w:pPr>
              <w:pStyle w:val="557"/>
            </w:pPr>
            <w:r>
              <w:t>推土机</w:t>
            </w:r>
          </w:p>
        </w:tc>
        <w:tc>
          <w:tcPr>
            <w:tcW w:w="957" w:type="dxa"/>
            <w:vAlign w:val="center"/>
          </w:tcPr>
          <w:p w14:paraId="123421A2">
            <w:pPr>
              <w:pStyle w:val="557"/>
            </w:pPr>
            <w:r>
              <w:t>90</w:t>
            </w:r>
          </w:p>
        </w:tc>
        <w:tc>
          <w:tcPr>
            <w:tcW w:w="957" w:type="dxa"/>
            <w:vAlign w:val="center"/>
          </w:tcPr>
          <w:p w14:paraId="74FAF17B">
            <w:pPr>
              <w:pStyle w:val="557"/>
            </w:pPr>
            <w:r>
              <w:t>80</w:t>
            </w:r>
          </w:p>
        </w:tc>
        <w:tc>
          <w:tcPr>
            <w:tcW w:w="957" w:type="dxa"/>
            <w:vAlign w:val="center"/>
          </w:tcPr>
          <w:p w14:paraId="5A0EED46">
            <w:pPr>
              <w:pStyle w:val="557"/>
            </w:pPr>
            <w:r>
              <w:t>74</w:t>
            </w:r>
          </w:p>
        </w:tc>
        <w:tc>
          <w:tcPr>
            <w:tcW w:w="960" w:type="dxa"/>
            <w:vAlign w:val="center"/>
          </w:tcPr>
          <w:p w14:paraId="09B17E5C">
            <w:pPr>
              <w:pStyle w:val="557"/>
            </w:pPr>
            <w:r>
              <w:t>71</w:t>
            </w:r>
          </w:p>
        </w:tc>
        <w:tc>
          <w:tcPr>
            <w:tcW w:w="957" w:type="dxa"/>
            <w:vAlign w:val="center"/>
          </w:tcPr>
          <w:p w14:paraId="7949406C">
            <w:pPr>
              <w:pStyle w:val="557"/>
            </w:pPr>
            <w:r>
              <w:t>75</w:t>
            </w:r>
          </w:p>
        </w:tc>
        <w:tc>
          <w:tcPr>
            <w:tcW w:w="960" w:type="dxa"/>
            <w:vAlign w:val="center"/>
          </w:tcPr>
          <w:p w14:paraId="0A39677F">
            <w:pPr>
              <w:pStyle w:val="557"/>
            </w:pPr>
            <w:r>
              <w:t>55</w:t>
            </w:r>
          </w:p>
        </w:tc>
      </w:tr>
      <w:tr w14:paraId="3E6B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continue"/>
            <w:vAlign w:val="center"/>
          </w:tcPr>
          <w:p w14:paraId="6F9DC345">
            <w:pPr>
              <w:pStyle w:val="557"/>
            </w:pPr>
          </w:p>
        </w:tc>
        <w:tc>
          <w:tcPr>
            <w:tcW w:w="1843" w:type="dxa"/>
            <w:vAlign w:val="center"/>
          </w:tcPr>
          <w:p w14:paraId="12591D30">
            <w:pPr>
              <w:pStyle w:val="557"/>
            </w:pPr>
            <w:r>
              <w:t>翻斗车</w:t>
            </w:r>
          </w:p>
        </w:tc>
        <w:tc>
          <w:tcPr>
            <w:tcW w:w="957" w:type="dxa"/>
            <w:vAlign w:val="center"/>
          </w:tcPr>
          <w:p w14:paraId="7FC17C4C">
            <w:pPr>
              <w:pStyle w:val="557"/>
            </w:pPr>
            <w:r>
              <w:t>90</w:t>
            </w:r>
          </w:p>
        </w:tc>
        <w:tc>
          <w:tcPr>
            <w:tcW w:w="957" w:type="dxa"/>
            <w:vAlign w:val="center"/>
          </w:tcPr>
          <w:p w14:paraId="3CCA62DA">
            <w:pPr>
              <w:pStyle w:val="557"/>
            </w:pPr>
            <w:r>
              <w:t>70</w:t>
            </w:r>
          </w:p>
        </w:tc>
        <w:tc>
          <w:tcPr>
            <w:tcW w:w="957" w:type="dxa"/>
            <w:vAlign w:val="center"/>
          </w:tcPr>
          <w:p w14:paraId="3B3F06C2">
            <w:pPr>
              <w:pStyle w:val="557"/>
            </w:pPr>
            <w:r>
              <w:t>64</w:t>
            </w:r>
          </w:p>
        </w:tc>
        <w:tc>
          <w:tcPr>
            <w:tcW w:w="960" w:type="dxa"/>
            <w:vAlign w:val="center"/>
          </w:tcPr>
          <w:p w14:paraId="7BF317D7">
            <w:pPr>
              <w:pStyle w:val="557"/>
            </w:pPr>
            <w:r>
              <w:t>61</w:t>
            </w:r>
          </w:p>
        </w:tc>
        <w:tc>
          <w:tcPr>
            <w:tcW w:w="957" w:type="dxa"/>
            <w:vAlign w:val="center"/>
          </w:tcPr>
          <w:p w14:paraId="37E68B5E">
            <w:pPr>
              <w:pStyle w:val="557"/>
            </w:pPr>
            <w:r>
              <w:t>75</w:t>
            </w:r>
          </w:p>
        </w:tc>
        <w:tc>
          <w:tcPr>
            <w:tcW w:w="960" w:type="dxa"/>
            <w:vAlign w:val="center"/>
          </w:tcPr>
          <w:p w14:paraId="227D5D28">
            <w:pPr>
              <w:pStyle w:val="557"/>
            </w:pPr>
            <w:r>
              <w:t>55</w:t>
            </w:r>
          </w:p>
        </w:tc>
      </w:tr>
      <w:tr w14:paraId="61EB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continue"/>
            <w:vAlign w:val="center"/>
          </w:tcPr>
          <w:p w14:paraId="3F8E088A">
            <w:pPr>
              <w:pStyle w:val="557"/>
            </w:pPr>
          </w:p>
        </w:tc>
        <w:tc>
          <w:tcPr>
            <w:tcW w:w="1843" w:type="dxa"/>
            <w:vAlign w:val="center"/>
          </w:tcPr>
          <w:p w14:paraId="46EA7E48">
            <w:pPr>
              <w:pStyle w:val="557"/>
            </w:pPr>
            <w:r>
              <w:t>挖掘机</w:t>
            </w:r>
          </w:p>
        </w:tc>
        <w:tc>
          <w:tcPr>
            <w:tcW w:w="957" w:type="dxa"/>
            <w:vAlign w:val="center"/>
          </w:tcPr>
          <w:p w14:paraId="2CFB7C6E">
            <w:pPr>
              <w:pStyle w:val="557"/>
            </w:pPr>
            <w:r>
              <w:t>90</w:t>
            </w:r>
          </w:p>
        </w:tc>
        <w:tc>
          <w:tcPr>
            <w:tcW w:w="957" w:type="dxa"/>
            <w:vAlign w:val="center"/>
          </w:tcPr>
          <w:p w14:paraId="46E14D7F">
            <w:pPr>
              <w:pStyle w:val="557"/>
            </w:pPr>
            <w:r>
              <w:t>78</w:t>
            </w:r>
          </w:p>
        </w:tc>
        <w:tc>
          <w:tcPr>
            <w:tcW w:w="957" w:type="dxa"/>
            <w:vAlign w:val="center"/>
          </w:tcPr>
          <w:p w14:paraId="4C66CA31">
            <w:pPr>
              <w:pStyle w:val="557"/>
            </w:pPr>
            <w:r>
              <w:t>72</w:t>
            </w:r>
          </w:p>
        </w:tc>
        <w:tc>
          <w:tcPr>
            <w:tcW w:w="960" w:type="dxa"/>
            <w:vAlign w:val="center"/>
          </w:tcPr>
          <w:p w14:paraId="1E679777">
            <w:pPr>
              <w:pStyle w:val="557"/>
            </w:pPr>
            <w:r>
              <w:t>68</w:t>
            </w:r>
          </w:p>
        </w:tc>
        <w:tc>
          <w:tcPr>
            <w:tcW w:w="957" w:type="dxa"/>
            <w:vAlign w:val="center"/>
          </w:tcPr>
          <w:p w14:paraId="072A65A8">
            <w:pPr>
              <w:pStyle w:val="557"/>
            </w:pPr>
            <w:r>
              <w:t>75</w:t>
            </w:r>
          </w:p>
        </w:tc>
        <w:tc>
          <w:tcPr>
            <w:tcW w:w="960" w:type="dxa"/>
            <w:vAlign w:val="center"/>
          </w:tcPr>
          <w:p w14:paraId="008AA511">
            <w:pPr>
              <w:pStyle w:val="557"/>
            </w:pPr>
            <w:r>
              <w:t>55</w:t>
            </w:r>
          </w:p>
        </w:tc>
      </w:tr>
      <w:tr w14:paraId="7B2C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trPr>
        <w:tc>
          <w:tcPr>
            <w:tcW w:w="937" w:type="dxa"/>
            <w:vMerge w:val="restart"/>
            <w:vAlign w:val="center"/>
          </w:tcPr>
          <w:p w14:paraId="17D5BB69">
            <w:pPr>
              <w:pStyle w:val="557"/>
            </w:pPr>
            <w:r>
              <w:t>结构</w:t>
            </w:r>
          </w:p>
        </w:tc>
        <w:tc>
          <w:tcPr>
            <w:tcW w:w="1843" w:type="dxa"/>
            <w:vAlign w:val="center"/>
          </w:tcPr>
          <w:p w14:paraId="7D837386">
            <w:pPr>
              <w:pStyle w:val="557"/>
            </w:pPr>
            <w:r>
              <w:t>混凝振捣机</w:t>
            </w:r>
          </w:p>
        </w:tc>
        <w:tc>
          <w:tcPr>
            <w:tcW w:w="957" w:type="dxa"/>
            <w:vAlign w:val="center"/>
          </w:tcPr>
          <w:p w14:paraId="36F3C75A">
            <w:pPr>
              <w:pStyle w:val="557"/>
            </w:pPr>
            <w:r>
              <w:t>100</w:t>
            </w:r>
          </w:p>
        </w:tc>
        <w:tc>
          <w:tcPr>
            <w:tcW w:w="957" w:type="dxa"/>
            <w:vAlign w:val="center"/>
          </w:tcPr>
          <w:p w14:paraId="4133A249">
            <w:pPr>
              <w:pStyle w:val="557"/>
            </w:pPr>
            <w:r>
              <w:t>80</w:t>
            </w:r>
          </w:p>
        </w:tc>
        <w:tc>
          <w:tcPr>
            <w:tcW w:w="957" w:type="dxa"/>
            <w:vAlign w:val="center"/>
          </w:tcPr>
          <w:p w14:paraId="74E59525">
            <w:pPr>
              <w:pStyle w:val="557"/>
            </w:pPr>
            <w:r>
              <w:t>74</w:t>
            </w:r>
          </w:p>
        </w:tc>
        <w:tc>
          <w:tcPr>
            <w:tcW w:w="960" w:type="dxa"/>
            <w:vAlign w:val="center"/>
          </w:tcPr>
          <w:p w14:paraId="2697A959">
            <w:pPr>
              <w:pStyle w:val="557"/>
            </w:pPr>
            <w:r>
              <w:t>71</w:t>
            </w:r>
          </w:p>
        </w:tc>
        <w:tc>
          <w:tcPr>
            <w:tcW w:w="957" w:type="dxa"/>
            <w:vAlign w:val="center"/>
          </w:tcPr>
          <w:p w14:paraId="23488D61">
            <w:pPr>
              <w:pStyle w:val="557"/>
            </w:pPr>
            <w:r>
              <w:t>70</w:t>
            </w:r>
          </w:p>
        </w:tc>
        <w:tc>
          <w:tcPr>
            <w:tcW w:w="960" w:type="dxa"/>
            <w:vAlign w:val="center"/>
          </w:tcPr>
          <w:p w14:paraId="3164981B">
            <w:pPr>
              <w:pStyle w:val="557"/>
            </w:pPr>
            <w:r>
              <w:t>55</w:t>
            </w:r>
          </w:p>
        </w:tc>
      </w:tr>
      <w:tr w14:paraId="7FED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trPr>
        <w:tc>
          <w:tcPr>
            <w:tcW w:w="937" w:type="dxa"/>
            <w:vMerge w:val="continue"/>
            <w:vAlign w:val="center"/>
          </w:tcPr>
          <w:p w14:paraId="6765F05F">
            <w:pPr>
              <w:pStyle w:val="557"/>
            </w:pPr>
          </w:p>
        </w:tc>
        <w:tc>
          <w:tcPr>
            <w:tcW w:w="1843" w:type="dxa"/>
            <w:vAlign w:val="center"/>
          </w:tcPr>
          <w:p w14:paraId="4CC34D3E">
            <w:pPr>
              <w:pStyle w:val="557"/>
            </w:pPr>
            <w:r>
              <w:t>（电锯）木工机械</w:t>
            </w:r>
          </w:p>
        </w:tc>
        <w:tc>
          <w:tcPr>
            <w:tcW w:w="957" w:type="dxa"/>
            <w:vAlign w:val="center"/>
          </w:tcPr>
          <w:p w14:paraId="7B773077">
            <w:pPr>
              <w:pStyle w:val="557"/>
            </w:pPr>
            <w:r>
              <w:t>110</w:t>
            </w:r>
          </w:p>
        </w:tc>
        <w:tc>
          <w:tcPr>
            <w:tcW w:w="957" w:type="dxa"/>
            <w:vAlign w:val="center"/>
          </w:tcPr>
          <w:p w14:paraId="268B497B">
            <w:pPr>
              <w:pStyle w:val="557"/>
            </w:pPr>
            <w:r>
              <w:t>90</w:t>
            </w:r>
          </w:p>
        </w:tc>
        <w:tc>
          <w:tcPr>
            <w:tcW w:w="957" w:type="dxa"/>
            <w:vAlign w:val="center"/>
          </w:tcPr>
          <w:p w14:paraId="488EBE16">
            <w:pPr>
              <w:pStyle w:val="557"/>
            </w:pPr>
            <w:r>
              <w:t>84</w:t>
            </w:r>
          </w:p>
        </w:tc>
        <w:tc>
          <w:tcPr>
            <w:tcW w:w="960" w:type="dxa"/>
            <w:vAlign w:val="center"/>
          </w:tcPr>
          <w:p w14:paraId="271F39FF">
            <w:pPr>
              <w:pStyle w:val="557"/>
            </w:pPr>
            <w:r>
              <w:t>81</w:t>
            </w:r>
          </w:p>
        </w:tc>
        <w:tc>
          <w:tcPr>
            <w:tcW w:w="957" w:type="dxa"/>
            <w:vAlign w:val="center"/>
          </w:tcPr>
          <w:p w14:paraId="7400A39B">
            <w:pPr>
              <w:pStyle w:val="557"/>
            </w:pPr>
            <w:r>
              <w:t>70</w:t>
            </w:r>
          </w:p>
        </w:tc>
        <w:tc>
          <w:tcPr>
            <w:tcW w:w="960" w:type="dxa"/>
            <w:vAlign w:val="center"/>
          </w:tcPr>
          <w:p w14:paraId="57916572">
            <w:pPr>
              <w:pStyle w:val="557"/>
            </w:pPr>
            <w:r>
              <w:t>55</w:t>
            </w:r>
          </w:p>
        </w:tc>
      </w:tr>
      <w:tr w14:paraId="05A7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937" w:type="dxa"/>
            <w:vAlign w:val="center"/>
          </w:tcPr>
          <w:p w14:paraId="5D4E8B13">
            <w:pPr>
              <w:pStyle w:val="557"/>
            </w:pPr>
            <w:r>
              <w:t>装修</w:t>
            </w:r>
          </w:p>
        </w:tc>
        <w:tc>
          <w:tcPr>
            <w:tcW w:w="1843" w:type="dxa"/>
            <w:vAlign w:val="center"/>
          </w:tcPr>
          <w:p w14:paraId="293A2E72">
            <w:pPr>
              <w:pStyle w:val="557"/>
            </w:pPr>
            <w:r>
              <w:t>轮胎吊</w:t>
            </w:r>
          </w:p>
        </w:tc>
        <w:tc>
          <w:tcPr>
            <w:tcW w:w="957" w:type="dxa"/>
            <w:vAlign w:val="center"/>
          </w:tcPr>
          <w:p w14:paraId="38149D63">
            <w:pPr>
              <w:pStyle w:val="557"/>
            </w:pPr>
            <w:r>
              <w:t>90</w:t>
            </w:r>
          </w:p>
        </w:tc>
        <w:tc>
          <w:tcPr>
            <w:tcW w:w="957" w:type="dxa"/>
            <w:vAlign w:val="center"/>
          </w:tcPr>
          <w:p w14:paraId="09E6ADDE">
            <w:pPr>
              <w:pStyle w:val="557"/>
            </w:pPr>
            <w:r>
              <w:t>70</w:t>
            </w:r>
          </w:p>
        </w:tc>
        <w:tc>
          <w:tcPr>
            <w:tcW w:w="957" w:type="dxa"/>
            <w:vAlign w:val="center"/>
          </w:tcPr>
          <w:p w14:paraId="71A8DB63">
            <w:pPr>
              <w:pStyle w:val="557"/>
            </w:pPr>
            <w:r>
              <w:t>64</w:t>
            </w:r>
          </w:p>
        </w:tc>
        <w:tc>
          <w:tcPr>
            <w:tcW w:w="960" w:type="dxa"/>
            <w:vAlign w:val="center"/>
          </w:tcPr>
          <w:p w14:paraId="75F55894">
            <w:pPr>
              <w:pStyle w:val="557"/>
            </w:pPr>
            <w:r>
              <w:t>61</w:t>
            </w:r>
          </w:p>
        </w:tc>
        <w:tc>
          <w:tcPr>
            <w:tcW w:w="957" w:type="dxa"/>
            <w:vAlign w:val="center"/>
          </w:tcPr>
          <w:p w14:paraId="60540A18">
            <w:pPr>
              <w:pStyle w:val="557"/>
            </w:pPr>
            <w:r>
              <w:t>65</w:t>
            </w:r>
          </w:p>
        </w:tc>
        <w:tc>
          <w:tcPr>
            <w:tcW w:w="960" w:type="dxa"/>
            <w:vAlign w:val="center"/>
          </w:tcPr>
          <w:p w14:paraId="13141CF4">
            <w:pPr>
              <w:pStyle w:val="557"/>
            </w:pPr>
            <w:r>
              <w:t>55</w:t>
            </w:r>
          </w:p>
        </w:tc>
      </w:tr>
    </w:tbl>
    <w:p w14:paraId="044597E9">
      <w:pPr>
        <w:rPr>
          <w:rFonts w:hint="eastAsia"/>
        </w:rPr>
      </w:pPr>
    </w:p>
    <w:p w14:paraId="7CE17119">
      <w:pPr>
        <w:pStyle w:val="281"/>
        <w:ind w:firstLine="480"/>
      </w:pPr>
      <w:r>
        <w:t>由上表可以看出，土石方和装修阶段，白天场界可以达标，但夜间超标。声级值在100dB（A）以上的设备在30m处仍不能满足场界施工期间噪声限值。</w:t>
      </w:r>
    </w:p>
    <w:p w14:paraId="6FBCD9C5">
      <w:pPr>
        <w:pStyle w:val="281"/>
        <w:ind w:firstLine="480"/>
      </w:pPr>
      <w:bookmarkStart w:id="298" w:name="_Hlk129616082"/>
      <w:r>
        <w:t>根据现场调查，项目区周围无居民区，在建设过程中只有施工人员。因此，施工阶段对周围环境无大的不利影响。故施工阶段使用中高噪声机械设备，只要严格遵守当地环保管理部门制定的施工工地噪声作业规定及要求，并在午休时间和夜间休息时间停止施工，积极采取相应措施降低施工噪声，不会对自身人员造成噪声危害。</w:t>
      </w:r>
      <w:bookmarkEnd w:id="295"/>
    </w:p>
    <w:bookmarkEnd w:id="298"/>
    <w:p w14:paraId="3AFB46FD">
      <w:pPr>
        <w:pStyle w:val="97"/>
        <w:rPr>
          <w:rFonts w:hint="eastAsia"/>
        </w:rPr>
      </w:pPr>
      <w:r>
        <w:t>施工期固体废物对环境影响分析</w:t>
      </w:r>
    </w:p>
    <w:p w14:paraId="54DF2B74">
      <w:pPr>
        <w:pStyle w:val="281"/>
        <w:ind w:firstLine="480"/>
      </w:pPr>
      <w:r>
        <w:t>（1）施工固体废物来源</w:t>
      </w:r>
    </w:p>
    <w:p w14:paraId="1092EF4A">
      <w:pPr>
        <w:pStyle w:val="281"/>
        <w:ind w:firstLine="480"/>
      </w:pPr>
      <w:r>
        <w:t>施工期固体废物主要来源于：</w:t>
      </w:r>
    </w:p>
    <w:p w14:paraId="6FF29DCE">
      <w:pPr>
        <w:pStyle w:val="281"/>
        <w:ind w:firstLine="480"/>
      </w:pPr>
      <w:r>
        <w:rPr>
          <w:rFonts w:hint="eastAsia"/>
        </w:rPr>
        <w:t>①</w:t>
      </w:r>
      <w:r>
        <w:t>施工活动产生的废弃建筑材料如砂石、石灰、混凝土、废砖、土石方等；</w:t>
      </w:r>
    </w:p>
    <w:p w14:paraId="499CE351">
      <w:pPr>
        <w:pStyle w:val="281"/>
        <w:ind w:firstLine="480"/>
      </w:pPr>
      <w:r>
        <w:rPr>
          <w:rFonts w:hint="eastAsia"/>
        </w:rPr>
        <w:t>②</w:t>
      </w:r>
      <w:r>
        <w:t>施工人员工作和生活在施工现场，其日常生活将产生一定数量的生活垃圾。</w:t>
      </w:r>
    </w:p>
    <w:p w14:paraId="22C98174">
      <w:pPr>
        <w:pStyle w:val="281"/>
        <w:ind w:firstLine="480"/>
      </w:pPr>
      <w:r>
        <w:t>（2）施工固体废物影响分析</w:t>
      </w:r>
    </w:p>
    <w:p w14:paraId="27780F9E">
      <w:pPr>
        <w:pStyle w:val="281"/>
        <w:ind w:firstLine="480"/>
      </w:pPr>
      <w:r>
        <w:t>根据施工期固体废物的来源及性质，</w:t>
      </w:r>
      <w:r>
        <w:rPr>
          <w:rFonts w:hint="eastAsia"/>
        </w:rPr>
        <w:t>其</w:t>
      </w:r>
      <w:r>
        <w:t>影响主要表现为：</w:t>
      </w:r>
    </w:p>
    <w:p w14:paraId="43FBD705">
      <w:pPr>
        <w:pStyle w:val="281"/>
        <w:ind w:firstLine="480"/>
      </w:pPr>
      <w:r>
        <w:rPr>
          <w:rFonts w:hint="eastAsia"/>
        </w:rPr>
        <w:t>①</w:t>
      </w:r>
      <w:r>
        <w:t>建筑垃圾：建筑垃圾产生于厂房等建(构)筑物建设，分选后对土石方就地填方，金属木块等废物回收利用。如长时间堆存，在风力作用下易产生扬尘，造成二次污染。</w:t>
      </w:r>
    </w:p>
    <w:p w14:paraId="2F74C49E">
      <w:pPr>
        <w:pStyle w:val="281"/>
        <w:ind w:firstLine="480"/>
      </w:pPr>
      <w:r>
        <w:rPr>
          <w:rFonts w:hint="eastAsia"/>
        </w:rPr>
        <w:t>②</w:t>
      </w:r>
      <w:r>
        <w:t>施工人员的生活垃圾：生活垃圾主要为就餐后的废饭盒和办公区的少量日常办公垃圾，堆放期间长则腐烂变质，产生恶臭，夏季易滋生蚊蝇。及时收集、清理和转运，则不会对当地环境产生明显影响。</w:t>
      </w:r>
    </w:p>
    <w:p w14:paraId="2DA7A728">
      <w:pPr>
        <w:pStyle w:val="3"/>
        <w:rPr>
          <w:rFonts w:hint="eastAsia"/>
        </w:rPr>
      </w:pPr>
      <w:bookmarkStart w:id="299" w:name="_Toc25345"/>
      <w:r>
        <w:rPr>
          <w:rFonts w:hint="eastAsia"/>
        </w:rPr>
        <w:t>运营期环境空气影响预测与评价</w:t>
      </w:r>
      <w:bookmarkEnd w:id="299"/>
    </w:p>
    <w:p w14:paraId="13C4877F">
      <w:pPr>
        <w:pStyle w:val="97"/>
        <w:numPr>
          <w:ilvl w:val="2"/>
          <w:numId w:val="8"/>
        </w:numPr>
        <w:ind w:left="0"/>
        <w:rPr>
          <w:rFonts w:hint="eastAsia"/>
        </w:rPr>
      </w:pPr>
      <w:r>
        <w:rPr>
          <w:rFonts w:hint="eastAsia"/>
        </w:rPr>
        <w:t>区域气象统计资料</w:t>
      </w:r>
    </w:p>
    <w:p w14:paraId="758EBE11">
      <w:pPr>
        <w:pStyle w:val="281"/>
        <w:ind w:firstLine="480"/>
      </w:pPr>
      <w:r>
        <w:t>项目所在区域长期气象资料采用距离最近的哈密气象观测站（编号：52203）2004-2023年共20年的气象统计数据，哈密气象观测站为基本站，拥有长期的气象观测资料，项目厂址距离哈密气象观测站约9.9km。长期气象数据统计见表</w:t>
      </w:r>
      <w:r>
        <w:rPr>
          <w:rFonts w:hint="eastAsia"/>
        </w:rPr>
        <w:t>5.2.</w:t>
      </w:r>
      <w:r>
        <w:t>1-1。</w:t>
      </w:r>
    </w:p>
    <w:p w14:paraId="001E9574">
      <w:pPr>
        <w:pStyle w:val="645"/>
        <w:rPr>
          <w:rFonts w:hint="eastAsia"/>
        </w:rPr>
      </w:pPr>
      <w:r>
        <w:t>表</w:t>
      </w:r>
      <w:r>
        <w:rPr>
          <w:rFonts w:hint="eastAsia"/>
        </w:rPr>
        <w:t>5.2.1-1</w:t>
      </w:r>
      <w:r>
        <w:t xml:space="preserve">    哈密气象观测站近20年气象统计数据</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165"/>
        <w:gridCol w:w="1704"/>
        <w:gridCol w:w="1704"/>
        <w:gridCol w:w="1706"/>
      </w:tblGrid>
      <w:tr w14:paraId="5946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30583F9C">
            <w:pPr>
              <w:pStyle w:val="557"/>
            </w:pPr>
            <w:r>
              <w:t>统计项目</w:t>
            </w:r>
          </w:p>
        </w:tc>
        <w:tc>
          <w:tcPr>
            <w:tcW w:w="1000" w:type="pct"/>
            <w:tcBorders>
              <w:tl2br w:val="nil"/>
              <w:tr2bl w:val="nil"/>
            </w:tcBorders>
            <w:vAlign w:val="center"/>
          </w:tcPr>
          <w:p w14:paraId="448D0D8D">
            <w:pPr>
              <w:pStyle w:val="557"/>
            </w:pPr>
            <w:r>
              <w:t>统计值</w:t>
            </w:r>
          </w:p>
        </w:tc>
        <w:tc>
          <w:tcPr>
            <w:tcW w:w="1000" w:type="pct"/>
            <w:tcBorders>
              <w:tl2br w:val="nil"/>
              <w:tr2bl w:val="nil"/>
            </w:tcBorders>
            <w:vAlign w:val="center"/>
          </w:tcPr>
          <w:p w14:paraId="724DC631">
            <w:pPr>
              <w:pStyle w:val="557"/>
            </w:pPr>
            <w:r>
              <w:t>极值出现时间</w:t>
            </w:r>
          </w:p>
        </w:tc>
        <w:tc>
          <w:tcPr>
            <w:tcW w:w="1001" w:type="pct"/>
            <w:tcBorders>
              <w:tl2br w:val="nil"/>
              <w:tr2bl w:val="nil"/>
            </w:tcBorders>
            <w:vAlign w:val="center"/>
          </w:tcPr>
          <w:p w14:paraId="2CB93C30">
            <w:pPr>
              <w:pStyle w:val="557"/>
            </w:pPr>
            <w:r>
              <w:t>极值</w:t>
            </w:r>
          </w:p>
        </w:tc>
      </w:tr>
      <w:tr w14:paraId="41B2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0DB210FC">
            <w:pPr>
              <w:pStyle w:val="557"/>
            </w:pPr>
            <w:r>
              <w:t>多年平均最高温（℃）</w:t>
            </w:r>
          </w:p>
        </w:tc>
        <w:tc>
          <w:tcPr>
            <w:tcW w:w="1000" w:type="pct"/>
            <w:tcBorders>
              <w:tl2br w:val="nil"/>
              <w:tr2bl w:val="nil"/>
            </w:tcBorders>
            <w:vAlign w:val="center"/>
          </w:tcPr>
          <w:p w14:paraId="03425710">
            <w:pPr>
              <w:pStyle w:val="557"/>
            </w:pPr>
            <w:r>
              <w:t>41.49</w:t>
            </w:r>
          </w:p>
        </w:tc>
        <w:tc>
          <w:tcPr>
            <w:tcW w:w="1000" w:type="pct"/>
            <w:tcBorders>
              <w:tl2br w:val="nil"/>
              <w:tr2bl w:val="nil"/>
            </w:tcBorders>
            <w:vAlign w:val="center"/>
          </w:tcPr>
          <w:p w14:paraId="2312A72E">
            <w:pPr>
              <w:pStyle w:val="557"/>
            </w:pPr>
          </w:p>
        </w:tc>
        <w:tc>
          <w:tcPr>
            <w:tcW w:w="1001" w:type="pct"/>
            <w:tcBorders>
              <w:tl2br w:val="nil"/>
              <w:tr2bl w:val="nil"/>
            </w:tcBorders>
            <w:vAlign w:val="center"/>
          </w:tcPr>
          <w:p w14:paraId="1DA44331">
            <w:pPr>
              <w:pStyle w:val="557"/>
            </w:pPr>
          </w:p>
        </w:tc>
      </w:tr>
      <w:tr w14:paraId="704D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75AA35DB">
            <w:pPr>
              <w:pStyle w:val="557"/>
            </w:pPr>
            <w:r>
              <w:t>多年平均最低温（℃）</w:t>
            </w:r>
          </w:p>
        </w:tc>
        <w:tc>
          <w:tcPr>
            <w:tcW w:w="1000" w:type="pct"/>
            <w:tcBorders>
              <w:tl2br w:val="nil"/>
              <w:tr2bl w:val="nil"/>
            </w:tcBorders>
            <w:vAlign w:val="center"/>
          </w:tcPr>
          <w:p w14:paraId="1DE107F9">
            <w:pPr>
              <w:pStyle w:val="557"/>
            </w:pPr>
            <w:r>
              <w:t>-21.98</w:t>
            </w:r>
          </w:p>
        </w:tc>
        <w:tc>
          <w:tcPr>
            <w:tcW w:w="1000" w:type="pct"/>
            <w:tcBorders>
              <w:tl2br w:val="nil"/>
              <w:tr2bl w:val="nil"/>
            </w:tcBorders>
            <w:vAlign w:val="center"/>
          </w:tcPr>
          <w:p w14:paraId="5CFBA735">
            <w:pPr>
              <w:pStyle w:val="557"/>
            </w:pPr>
          </w:p>
        </w:tc>
        <w:tc>
          <w:tcPr>
            <w:tcW w:w="1001" w:type="pct"/>
            <w:tcBorders>
              <w:tl2br w:val="nil"/>
              <w:tr2bl w:val="nil"/>
            </w:tcBorders>
            <w:vAlign w:val="center"/>
          </w:tcPr>
          <w:p w14:paraId="3D4A8E98">
            <w:pPr>
              <w:pStyle w:val="557"/>
            </w:pPr>
          </w:p>
        </w:tc>
      </w:tr>
      <w:tr w14:paraId="5A05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5E543FF7">
            <w:pPr>
              <w:pStyle w:val="557"/>
            </w:pPr>
            <w:r>
              <w:t>累年极端最高气温（℃）</w:t>
            </w:r>
          </w:p>
        </w:tc>
        <w:tc>
          <w:tcPr>
            <w:tcW w:w="1000" w:type="pct"/>
            <w:tcBorders>
              <w:tl2br w:val="nil"/>
              <w:tr2bl w:val="nil"/>
            </w:tcBorders>
            <w:vAlign w:val="center"/>
          </w:tcPr>
          <w:p w14:paraId="6126BC5F">
            <w:pPr>
              <w:pStyle w:val="557"/>
            </w:pPr>
            <w:r>
              <w:t>43.8</w:t>
            </w:r>
          </w:p>
        </w:tc>
        <w:tc>
          <w:tcPr>
            <w:tcW w:w="1000" w:type="pct"/>
            <w:tcBorders>
              <w:tl2br w:val="nil"/>
              <w:tr2bl w:val="nil"/>
            </w:tcBorders>
            <w:vAlign w:val="center"/>
          </w:tcPr>
          <w:p w14:paraId="261579F4">
            <w:pPr>
              <w:pStyle w:val="557"/>
            </w:pPr>
            <w:r>
              <w:t>2023.7.17</w:t>
            </w:r>
          </w:p>
        </w:tc>
        <w:tc>
          <w:tcPr>
            <w:tcW w:w="1001" w:type="pct"/>
            <w:tcBorders>
              <w:tl2br w:val="nil"/>
              <w:tr2bl w:val="nil"/>
            </w:tcBorders>
            <w:vAlign w:val="center"/>
          </w:tcPr>
          <w:p w14:paraId="20F45FA2">
            <w:pPr>
              <w:pStyle w:val="557"/>
            </w:pPr>
            <w:r>
              <w:t>43.8</w:t>
            </w:r>
          </w:p>
        </w:tc>
      </w:tr>
      <w:tr w14:paraId="0654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2083273B">
            <w:pPr>
              <w:pStyle w:val="557"/>
            </w:pPr>
            <w:r>
              <w:t>累年极端最低气温（℃）</w:t>
            </w:r>
          </w:p>
        </w:tc>
        <w:tc>
          <w:tcPr>
            <w:tcW w:w="1000" w:type="pct"/>
            <w:tcBorders>
              <w:tl2br w:val="nil"/>
              <w:tr2bl w:val="nil"/>
            </w:tcBorders>
            <w:vAlign w:val="center"/>
          </w:tcPr>
          <w:p w14:paraId="6284D168">
            <w:pPr>
              <w:pStyle w:val="557"/>
            </w:pPr>
            <w:r>
              <w:t>-27.2</w:t>
            </w:r>
          </w:p>
        </w:tc>
        <w:tc>
          <w:tcPr>
            <w:tcW w:w="1000" w:type="pct"/>
            <w:tcBorders>
              <w:tl2br w:val="nil"/>
              <w:tr2bl w:val="nil"/>
            </w:tcBorders>
            <w:vAlign w:val="center"/>
          </w:tcPr>
          <w:p w14:paraId="1C626DDB">
            <w:pPr>
              <w:pStyle w:val="557"/>
            </w:pPr>
            <w:r>
              <w:t>2011.1.4</w:t>
            </w:r>
          </w:p>
        </w:tc>
        <w:tc>
          <w:tcPr>
            <w:tcW w:w="1001" w:type="pct"/>
            <w:tcBorders>
              <w:tl2br w:val="nil"/>
              <w:tr2bl w:val="nil"/>
            </w:tcBorders>
            <w:vAlign w:val="center"/>
          </w:tcPr>
          <w:p w14:paraId="071D33B1">
            <w:pPr>
              <w:pStyle w:val="557"/>
            </w:pPr>
            <w:r>
              <w:t>-27.2</w:t>
            </w:r>
          </w:p>
        </w:tc>
      </w:tr>
      <w:tr w14:paraId="2D72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7E125157">
            <w:pPr>
              <w:pStyle w:val="557"/>
            </w:pPr>
            <w:r>
              <w:t>多年平均气压（hPa）</w:t>
            </w:r>
          </w:p>
        </w:tc>
        <w:tc>
          <w:tcPr>
            <w:tcW w:w="1000" w:type="pct"/>
            <w:tcBorders>
              <w:tl2br w:val="nil"/>
              <w:tr2bl w:val="nil"/>
            </w:tcBorders>
            <w:vAlign w:val="center"/>
          </w:tcPr>
          <w:p w14:paraId="1FC76461">
            <w:pPr>
              <w:pStyle w:val="557"/>
            </w:pPr>
            <w:r>
              <w:t>930.52</w:t>
            </w:r>
          </w:p>
        </w:tc>
        <w:tc>
          <w:tcPr>
            <w:tcW w:w="1000" w:type="pct"/>
            <w:tcBorders>
              <w:tl2br w:val="nil"/>
              <w:tr2bl w:val="nil"/>
            </w:tcBorders>
            <w:vAlign w:val="center"/>
          </w:tcPr>
          <w:p w14:paraId="3F6294C3">
            <w:pPr>
              <w:pStyle w:val="557"/>
            </w:pPr>
          </w:p>
        </w:tc>
        <w:tc>
          <w:tcPr>
            <w:tcW w:w="1001" w:type="pct"/>
            <w:tcBorders>
              <w:tl2br w:val="nil"/>
              <w:tr2bl w:val="nil"/>
            </w:tcBorders>
            <w:vAlign w:val="center"/>
          </w:tcPr>
          <w:p w14:paraId="43F1C72B">
            <w:pPr>
              <w:pStyle w:val="557"/>
            </w:pPr>
          </w:p>
        </w:tc>
      </w:tr>
      <w:tr w14:paraId="777C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2116F220">
            <w:pPr>
              <w:pStyle w:val="557"/>
            </w:pPr>
            <w:r>
              <w:t>多年平均相对湿度（%）</w:t>
            </w:r>
          </w:p>
        </w:tc>
        <w:tc>
          <w:tcPr>
            <w:tcW w:w="1000" w:type="pct"/>
            <w:tcBorders>
              <w:tl2br w:val="nil"/>
              <w:tr2bl w:val="nil"/>
            </w:tcBorders>
            <w:vAlign w:val="center"/>
          </w:tcPr>
          <w:p w14:paraId="08538308">
            <w:pPr>
              <w:pStyle w:val="557"/>
            </w:pPr>
            <w:r>
              <w:t>41.16</w:t>
            </w:r>
          </w:p>
        </w:tc>
        <w:tc>
          <w:tcPr>
            <w:tcW w:w="1000" w:type="pct"/>
            <w:tcBorders>
              <w:tl2br w:val="nil"/>
              <w:tr2bl w:val="nil"/>
            </w:tcBorders>
            <w:vAlign w:val="center"/>
          </w:tcPr>
          <w:p w14:paraId="06D66F60">
            <w:pPr>
              <w:pStyle w:val="557"/>
            </w:pPr>
          </w:p>
        </w:tc>
        <w:tc>
          <w:tcPr>
            <w:tcW w:w="1001" w:type="pct"/>
            <w:tcBorders>
              <w:tl2br w:val="nil"/>
              <w:tr2bl w:val="nil"/>
            </w:tcBorders>
            <w:vAlign w:val="center"/>
          </w:tcPr>
          <w:p w14:paraId="6B7B6274">
            <w:pPr>
              <w:pStyle w:val="557"/>
            </w:pPr>
          </w:p>
        </w:tc>
      </w:tr>
      <w:tr w14:paraId="3954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1159A8C0">
            <w:pPr>
              <w:pStyle w:val="557"/>
            </w:pPr>
            <w:r>
              <w:t>多年平均降水量（mm）</w:t>
            </w:r>
          </w:p>
        </w:tc>
        <w:tc>
          <w:tcPr>
            <w:tcW w:w="1000" w:type="pct"/>
            <w:tcBorders>
              <w:tl2br w:val="nil"/>
              <w:tr2bl w:val="nil"/>
            </w:tcBorders>
            <w:vAlign w:val="center"/>
          </w:tcPr>
          <w:p w14:paraId="37AB8785">
            <w:pPr>
              <w:pStyle w:val="557"/>
            </w:pPr>
            <w:r>
              <w:t>40</w:t>
            </w:r>
          </w:p>
        </w:tc>
        <w:tc>
          <w:tcPr>
            <w:tcW w:w="1000" w:type="pct"/>
            <w:tcBorders>
              <w:tl2br w:val="nil"/>
              <w:tr2bl w:val="nil"/>
            </w:tcBorders>
            <w:vAlign w:val="center"/>
          </w:tcPr>
          <w:p w14:paraId="4A7AD4E1">
            <w:pPr>
              <w:pStyle w:val="557"/>
            </w:pPr>
          </w:p>
        </w:tc>
        <w:tc>
          <w:tcPr>
            <w:tcW w:w="1001" w:type="pct"/>
            <w:tcBorders>
              <w:tl2br w:val="nil"/>
              <w:tr2bl w:val="nil"/>
            </w:tcBorders>
            <w:vAlign w:val="center"/>
          </w:tcPr>
          <w:p w14:paraId="6545943A">
            <w:pPr>
              <w:pStyle w:val="557"/>
            </w:pPr>
          </w:p>
        </w:tc>
      </w:tr>
      <w:tr w14:paraId="7422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755DD00B">
            <w:pPr>
              <w:pStyle w:val="557"/>
            </w:pPr>
            <w:r>
              <w:t>多年最大日降水量（mm）</w:t>
            </w:r>
          </w:p>
        </w:tc>
        <w:tc>
          <w:tcPr>
            <w:tcW w:w="1000" w:type="pct"/>
            <w:tcBorders>
              <w:tl2br w:val="nil"/>
              <w:tr2bl w:val="nil"/>
            </w:tcBorders>
            <w:vAlign w:val="center"/>
          </w:tcPr>
          <w:p w14:paraId="2B0323D8">
            <w:pPr>
              <w:pStyle w:val="557"/>
            </w:pPr>
            <w:r>
              <w:t>11.63</w:t>
            </w:r>
          </w:p>
        </w:tc>
        <w:tc>
          <w:tcPr>
            <w:tcW w:w="1000" w:type="pct"/>
            <w:tcBorders>
              <w:tl2br w:val="nil"/>
              <w:tr2bl w:val="nil"/>
            </w:tcBorders>
            <w:vAlign w:val="center"/>
          </w:tcPr>
          <w:p w14:paraId="3282D409">
            <w:pPr>
              <w:pStyle w:val="557"/>
            </w:pPr>
            <w:r>
              <w:t>2015.6.18</w:t>
            </w:r>
          </w:p>
        </w:tc>
        <w:tc>
          <w:tcPr>
            <w:tcW w:w="1001" w:type="pct"/>
            <w:tcBorders>
              <w:tl2br w:val="nil"/>
              <w:tr2bl w:val="nil"/>
            </w:tcBorders>
            <w:vAlign w:val="center"/>
          </w:tcPr>
          <w:p w14:paraId="600D2A72">
            <w:pPr>
              <w:pStyle w:val="557"/>
            </w:pPr>
            <w:r>
              <w:t>21.9</w:t>
            </w:r>
          </w:p>
        </w:tc>
      </w:tr>
      <w:tr w14:paraId="4BAE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9" w:type="pct"/>
            <w:vMerge w:val="restart"/>
            <w:tcBorders>
              <w:tl2br w:val="nil"/>
              <w:tr2bl w:val="nil"/>
            </w:tcBorders>
            <w:vAlign w:val="center"/>
          </w:tcPr>
          <w:p w14:paraId="5F4C9656">
            <w:pPr>
              <w:pStyle w:val="557"/>
            </w:pPr>
            <w:r>
              <w:t>灾害天气统计</w:t>
            </w:r>
          </w:p>
        </w:tc>
        <w:tc>
          <w:tcPr>
            <w:tcW w:w="1270" w:type="pct"/>
            <w:tcBorders>
              <w:tl2br w:val="nil"/>
              <w:tr2bl w:val="nil"/>
            </w:tcBorders>
            <w:vAlign w:val="center"/>
          </w:tcPr>
          <w:p w14:paraId="18303CE2">
            <w:pPr>
              <w:pStyle w:val="557"/>
            </w:pPr>
            <w:r>
              <w:t>多年平均雷暴日数</w:t>
            </w:r>
          </w:p>
        </w:tc>
        <w:tc>
          <w:tcPr>
            <w:tcW w:w="1000" w:type="pct"/>
            <w:tcBorders>
              <w:tl2br w:val="nil"/>
              <w:tr2bl w:val="nil"/>
            </w:tcBorders>
            <w:vAlign w:val="center"/>
          </w:tcPr>
          <w:p w14:paraId="0D9C6333">
            <w:pPr>
              <w:pStyle w:val="557"/>
            </w:pPr>
            <w:r>
              <w:t>4.5</w:t>
            </w:r>
          </w:p>
        </w:tc>
        <w:tc>
          <w:tcPr>
            <w:tcW w:w="1000" w:type="pct"/>
            <w:tcBorders>
              <w:tl2br w:val="nil"/>
              <w:tr2bl w:val="nil"/>
            </w:tcBorders>
            <w:vAlign w:val="center"/>
          </w:tcPr>
          <w:p w14:paraId="43965EBD">
            <w:pPr>
              <w:pStyle w:val="557"/>
            </w:pPr>
          </w:p>
        </w:tc>
        <w:tc>
          <w:tcPr>
            <w:tcW w:w="1001" w:type="pct"/>
            <w:tcBorders>
              <w:tl2br w:val="nil"/>
              <w:tr2bl w:val="nil"/>
            </w:tcBorders>
            <w:vAlign w:val="center"/>
          </w:tcPr>
          <w:p w14:paraId="7ABD4FE0">
            <w:pPr>
              <w:pStyle w:val="557"/>
            </w:pPr>
          </w:p>
        </w:tc>
      </w:tr>
      <w:tr w14:paraId="23C7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9" w:type="pct"/>
            <w:vMerge w:val="continue"/>
            <w:tcBorders>
              <w:tl2br w:val="nil"/>
              <w:tr2bl w:val="nil"/>
            </w:tcBorders>
            <w:vAlign w:val="center"/>
          </w:tcPr>
          <w:p w14:paraId="74425946">
            <w:pPr>
              <w:pStyle w:val="557"/>
            </w:pPr>
          </w:p>
        </w:tc>
        <w:tc>
          <w:tcPr>
            <w:tcW w:w="1270" w:type="pct"/>
            <w:tcBorders>
              <w:tl2br w:val="nil"/>
              <w:tr2bl w:val="nil"/>
            </w:tcBorders>
            <w:vAlign w:val="center"/>
          </w:tcPr>
          <w:p w14:paraId="3067C0E0">
            <w:pPr>
              <w:pStyle w:val="557"/>
            </w:pPr>
            <w:r>
              <w:t>多年平均冰雹日数</w:t>
            </w:r>
          </w:p>
        </w:tc>
        <w:tc>
          <w:tcPr>
            <w:tcW w:w="1000" w:type="pct"/>
            <w:tcBorders>
              <w:tl2br w:val="nil"/>
              <w:tr2bl w:val="nil"/>
            </w:tcBorders>
            <w:vAlign w:val="center"/>
          </w:tcPr>
          <w:p w14:paraId="175F2154">
            <w:pPr>
              <w:pStyle w:val="557"/>
            </w:pPr>
            <w:r>
              <w:t>0.05</w:t>
            </w:r>
          </w:p>
        </w:tc>
        <w:tc>
          <w:tcPr>
            <w:tcW w:w="1000" w:type="pct"/>
            <w:tcBorders>
              <w:tl2br w:val="nil"/>
              <w:tr2bl w:val="nil"/>
            </w:tcBorders>
            <w:vAlign w:val="center"/>
          </w:tcPr>
          <w:p w14:paraId="378E3FB9">
            <w:pPr>
              <w:pStyle w:val="557"/>
            </w:pPr>
          </w:p>
        </w:tc>
        <w:tc>
          <w:tcPr>
            <w:tcW w:w="1001" w:type="pct"/>
            <w:tcBorders>
              <w:tl2br w:val="nil"/>
              <w:tr2bl w:val="nil"/>
            </w:tcBorders>
            <w:vAlign w:val="center"/>
          </w:tcPr>
          <w:p w14:paraId="672F7C7D">
            <w:pPr>
              <w:pStyle w:val="557"/>
            </w:pPr>
          </w:p>
        </w:tc>
      </w:tr>
      <w:tr w14:paraId="1F86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9" w:type="pct"/>
            <w:vMerge w:val="continue"/>
            <w:tcBorders>
              <w:tl2br w:val="nil"/>
              <w:tr2bl w:val="nil"/>
            </w:tcBorders>
            <w:vAlign w:val="center"/>
          </w:tcPr>
          <w:p w14:paraId="3EDAAAE5">
            <w:pPr>
              <w:pStyle w:val="557"/>
            </w:pPr>
          </w:p>
        </w:tc>
        <w:tc>
          <w:tcPr>
            <w:tcW w:w="1270" w:type="pct"/>
            <w:tcBorders>
              <w:tl2br w:val="nil"/>
              <w:tr2bl w:val="nil"/>
            </w:tcBorders>
            <w:vAlign w:val="center"/>
          </w:tcPr>
          <w:p w14:paraId="65DADB45">
            <w:pPr>
              <w:pStyle w:val="557"/>
            </w:pPr>
            <w:r>
              <w:t>多年平均大风日数</w:t>
            </w:r>
          </w:p>
        </w:tc>
        <w:tc>
          <w:tcPr>
            <w:tcW w:w="1000" w:type="pct"/>
            <w:tcBorders>
              <w:tl2br w:val="nil"/>
              <w:tr2bl w:val="nil"/>
            </w:tcBorders>
            <w:vAlign w:val="center"/>
          </w:tcPr>
          <w:p w14:paraId="181ADC3B">
            <w:pPr>
              <w:pStyle w:val="557"/>
            </w:pPr>
            <w:r>
              <w:t>3</w:t>
            </w:r>
          </w:p>
        </w:tc>
        <w:tc>
          <w:tcPr>
            <w:tcW w:w="1000" w:type="pct"/>
            <w:tcBorders>
              <w:tl2br w:val="nil"/>
              <w:tr2bl w:val="nil"/>
            </w:tcBorders>
            <w:vAlign w:val="center"/>
          </w:tcPr>
          <w:p w14:paraId="597F8811">
            <w:pPr>
              <w:pStyle w:val="557"/>
            </w:pPr>
          </w:p>
        </w:tc>
        <w:tc>
          <w:tcPr>
            <w:tcW w:w="1001" w:type="pct"/>
            <w:tcBorders>
              <w:tl2br w:val="nil"/>
              <w:tr2bl w:val="nil"/>
            </w:tcBorders>
            <w:vAlign w:val="center"/>
          </w:tcPr>
          <w:p w14:paraId="0C93DCB4">
            <w:pPr>
              <w:pStyle w:val="557"/>
            </w:pPr>
          </w:p>
        </w:tc>
      </w:tr>
      <w:tr w14:paraId="719C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0BDF5497">
            <w:pPr>
              <w:pStyle w:val="557"/>
            </w:pPr>
            <w:r>
              <w:t>多年实测极大风速（m/s）</w:t>
            </w:r>
          </w:p>
        </w:tc>
        <w:tc>
          <w:tcPr>
            <w:tcW w:w="1000" w:type="pct"/>
            <w:tcBorders>
              <w:tl2br w:val="nil"/>
              <w:tr2bl w:val="nil"/>
            </w:tcBorders>
            <w:vAlign w:val="center"/>
          </w:tcPr>
          <w:p w14:paraId="11BCC96C">
            <w:pPr>
              <w:pStyle w:val="557"/>
            </w:pPr>
            <w:r>
              <w:t>19.81</w:t>
            </w:r>
          </w:p>
        </w:tc>
        <w:tc>
          <w:tcPr>
            <w:tcW w:w="1000" w:type="pct"/>
            <w:tcBorders>
              <w:tl2br w:val="nil"/>
              <w:tr2bl w:val="nil"/>
            </w:tcBorders>
            <w:vAlign w:val="center"/>
          </w:tcPr>
          <w:p w14:paraId="1288004A">
            <w:pPr>
              <w:pStyle w:val="557"/>
            </w:pPr>
            <w:r>
              <w:t>2022.5.25</w:t>
            </w:r>
          </w:p>
        </w:tc>
        <w:tc>
          <w:tcPr>
            <w:tcW w:w="1001" w:type="pct"/>
            <w:tcBorders>
              <w:tl2br w:val="nil"/>
              <w:tr2bl w:val="nil"/>
            </w:tcBorders>
            <w:vAlign w:val="center"/>
          </w:tcPr>
          <w:p w14:paraId="067FD860">
            <w:pPr>
              <w:pStyle w:val="557"/>
            </w:pPr>
            <w:r>
              <w:t>22.4</w:t>
            </w:r>
          </w:p>
        </w:tc>
      </w:tr>
      <w:tr w14:paraId="7CAC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99" w:type="pct"/>
            <w:gridSpan w:val="2"/>
            <w:tcBorders>
              <w:tl2br w:val="nil"/>
              <w:tr2bl w:val="nil"/>
            </w:tcBorders>
            <w:vAlign w:val="center"/>
          </w:tcPr>
          <w:p w14:paraId="1CA3B4AA">
            <w:pPr>
              <w:pStyle w:val="557"/>
            </w:pPr>
            <w:r>
              <w:t>多年平均风速（m/s）</w:t>
            </w:r>
          </w:p>
        </w:tc>
        <w:tc>
          <w:tcPr>
            <w:tcW w:w="1000" w:type="pct"/>
            <w:tcBorders>
              <w:tl2br w:val="nil"/>
              <w:tr2bl w:val="nil"/>
            </w:tcBorders>
            <w:vAlign w:val="center"/>
          </w:tcPr>
          <w:p w14:paraId="4F56A550">
            <w:pPr>
              <w:pStyle w:val="557"/>
            </w:pPr>
            <w:r>
              <w:t>1.5</w:t>
            </w:r>
          </w:p>
        </w:tc>
        <w:tc>
          <w:tcPr>
            <w:tcW w:w="1000" w:type="pct"/>
            <w:tcBorders>
              <w:tl2br w:val="nil"/>
              <w:tr2bl w:val="nil"/>
            </w:tcBorders>
            <w:vAlign w:val="center"/>
          </w:tcPr>
          <w:p w14:paraId="4A10D9CF">
            <w:pPr>
              <w:pStyle w:val="557"/>
            </w:pPr>
          </w:p>
        </w:tc>
        <w:tc>
          <w:tcPr>
            <w:tcW w:w="1001" w:type="pct"/>
            <w:tcBorders>
              <w:tl2br w:val="nil"/>
              <w:tr2bl w:val="nil"/>
            </w:tcBorders>
            <w:vAlign w:val="center"/>
          </w:tcPr>
          <w:p w14:paraId="0380BBAF">
            <w:pPr>
              <w:pStyle w:val="557"/>
            </w:pPr>
          </w:p>
        </w:tc>
      </w:tr>
    </w:tbl>
    <w:p w14:paraId="10517B94">
      <w:pPr>
        <w:pStyle w:val="97"/>
        <w:numPr>
          <w:ilvl w:val="2"/>
          <w:numId w:val="8"/>
        </w:numPr>
        <w:ind w:left="0"/>
        <w:rPr>
          <w:rFonts w:hint="eastAsia"/>
        </w:rPr>
      </w:pPr>
      <w:r>
        <w:rPr>
          <w:rFonts w:hint="eastAsia"/>
        </w:rPr>
        <w:t>评价基准年污染气象</w:t>
      </w:r>
    </w:p>
    <w:p w14:paraId="20FE848E">
      <w:pPr>
        <w:pStyle w:val="281"/>
        <w:ind w:firstLine="480"/>
      </w:pPr>
      <w:r>
        <w:t>本次评价收集了哈密气象观测站（52203）2023年逐日、逐次的常规气象观测资料，气象站地理坐标为</w:t>
      </w:r>
      <w:r>
        <w:rPr>
          <w:rFonts w:hint="eastAsia"/>
        </w:rPr>
        <w:t>：</w:t>
      </w:r>
      <w:r>
        <w:t>距离项目厂址约9.9km，观测数据可满足本项目大气环境影响预测分析的需要。</w:t>
      </w:r>
    </w:p>
    <w:p w14:paraId="5F30005E">
      <w:pPr>
        <w:pStyle w:val="281"/>
        <w:ind w:firstLine="480"/>
      </w:pPr>
      <w:r>
        <w:t>（1）风向、风频</w:t>
      </w:r>
    </w:p>
    <w:p w14:paraId="4F8B0C9C">
      <w:pPr>
        <w:pStyle w:val="281"/>
        <w:ind w:firstLine="480"/>
      </w:pPr>
      <w:r>
        <w:t>评价区2023年年均风频的月变化统计见表5</w:t>
      </w:r>
      <w:r>
        <w:rPr>
          <w:rFonts w:hint="eastAsia"/>
        </w:rPr>
        <w:t>.2.2</w:t>
      </w:r>
      <w:r>
        <w:t>-</w:t>
      </w:r>
      <w:r>
        <w:rPr>
          <w:rFonts w:hint="eastAsia"/>
        </w:rPr>
        <w:t>1</w:t>
      </w:r>
      <w:r>
        <w:t>和图5</w:t>
      </w:r>
      <w:r>
        <w:rPr>
          <w:rFonts w:hint="eastAsia"/>
        </w:rPr>
        <w:t>.2.2</w:t>
      </w:r>
      <w:r>
        <w:t>-1，年均风频的季变化及年均风频见表5</w:t>
      </w:r>
      <w:r>
        <w:rPr>
          <w:rFonts w:hint="eastAsia"/>
        </w:rPr>
        <w:t>.2.2</w:t>
      </w:r>
      <w:r>
        <w:t>-</w:t>
      </w:r>
      <w:r>
        <w:rPr>
          <w:rFonts w:hint="eastAsia"/>
        </w:rPr>
        <w:t>2</w:t>
      </w:r>
      <w:r>
        <w:t>和图5</w:t>
      </w:r>
      <w:r>
        <w:rPr>
          <w:rFonts w:hint="eastAsia"/>
        </w:rPr>
        <w:t>.2.2</w:t>
      </w:r>
      <w:r>
        <w:t>-1。</w:t>
      </w:r>
    </w:p>
    <w:p w14:paraId="246F9D2E">
      <w:pPr>
        <w:pStyle w:val="645"/>
        <w:rPr>
          <w:rFonts w:hint="eastAsia"/>
        </w:rPr>
      </w:pPr>
      <w:r>
        <w:t>表5</w:t>
      </w:r>
      <w:r>
        <w:rPr>
          <w:rFonts w:hint="eastAsia"/>
        </w:rPr>
        <w:t>.2.2</w:t>
      </w:r>
      <w:r>
        <w:t>-</w:t>
      </w:r>
      <w:r>
        <w:rPr>
          <w:rFonts w:hint="eastAsia"/>
        </w:rPr>
        <w:t>1</w:t>
      </w:r>
      <w:r>
        <w:t xml:space="preserve">   2023年年均风频的月变化一览表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6" w:type="dxa"/>
          <w:bottom w:w="0" w:type="dxa"/>
          <w:right w:w="6" w:type="dxa"/>
        </w:tblCellMar>
      </w:tblPr>
      <w:tblGrid>
        <w:gridCol w:w="508"/>
        <w:gridCol w:w="526"/>
        <w:gridCol w:w="437"/>
        <w:gridCol w:w="437"/>
        <w:gridCol w:w="437"/>
        <w:gridCol w:w="473"/>
        <w:gridCol w:w="473"/>
        <w:gridCol w:w="418"/>
        <w:gridCol w:w="418"/>
        <w:gridCol w:w="418"/>
        <w:gridCol w:w="432"/>
        <w:gridCol w:w="418"/>
        <w:gridCol w:w="512"/>
        <w:gridCol w:w="473"/>
        <w:gridCol w:w="546"/>
        <w:gridCol w:w="473"/>
        <w:gridCol w:w="501"/>
        <w:gridCol w:w="418"/>
      </w:tblGrid>
      <w:tr w14:paraId="648B3B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tcBorders>
              <w:top w:val="single" w:color="auto" w:sz="4" w:space="0"/>
              <w:bottom w:val="single" w:color="auto" w:sz="4" w:space="0"/>
              <w:tl2br w:val="single" w:color="auto" w:sz="4" w:space="0"/>
            </w:tcBorders>
            <w:noWrap/>
            <w:vAlign w:val="center"/>
          </w:tcPr>
          <w:p w14:paraId="68EDC5C0">
            <w:pPr>
              <w:pStyle w:val="913"/>
              <w:rPr>
                <w:rFonts w:cs="Times New Roman"/>
                <w:sz w:val="18"/>
                <w:szCs w:val="18"/>
              </w:rPr>
            </w:pPr>
            <w:r>
              <w:rPr>
                <w:rFonts w:cs="Times New Roman"/>
                <w:sz w:val="18"/>
                <w:szCs w:val="18"/>
              </w:rPr>
              <w:t>风向</w:t>
            </w:r>
          </w:p>
          <w:p w14:paraId="04C84101">
            <w:pPr>
              <w:pStyle w:val="913"/>
              <w:rPr>
                <w:rFonts w:cs="Times New Roman"/>
                <w:sz w:val="18"/>
                <w:szCs w:val="18"/>
              </w:rPr>
            </w:pPr>
            <w:r>
              <w:rPr>
                <w:rFonts w:cs="Times New Roman"/>
                <w:sz w:val="18"/>
                <w:szCs w:val="18"/>
              </w:rPr>
              <w:t>风频(%)</w:t>
            </w:r>
          </w:p>
        </w:tc>
        <w:tc>
          <w:tcPr>
            <w:tcW w:w="508" w:type="dxa"/>
            <w:noWrap/>
            <w:vAlign w:val="center"/>
          </w:tcPr>
          <w:p w14:paraId="11726635">
            <w:pPr>
              <w:pStyle w:val="913"/>
              <w:rPr>
                <w:rFonts w:cs="Times New Roman"/>
                <w:sz w:val="18"/>
                <w:szCs w:val="18"/>
              </w:rPr>
            </w:pPr>
            <w:r>
              <w:rPr>
                <w:rFonts w:cs="Times New Roman"/>
                <w:sz w:val="18"/>
                <w:szCs w:val="18"/>
              </w:rPr>
              <w:t>N</w:t>
            </w:r>
          </w:p>
        </w:tc>
        <w:tc>
          <w:tcPr>
            <w:tcW w:w="419" w:type="dxa"/>
            <w:noWrap/>
            <w:vAlign w:val="center"/>
          </w:tcPr>
          <w:p w14:paraId="6CC7C47C">
            <w:pPr>
              <w:pStyle w:val="913"/>
              <w:rPr>
                <w:rFonts w:cs="Times New Roman"/>
                <w:sz w:val="18"/>
                <w:szCs w:val="18"/>
              </w:rPr>
            </w:pPr>
            <w:r>
              <w:rPr>
                <w:rFonts w:cs="Times New Roman"/>
                <w:sz w:val="18"/>
                <w:szCs w:val="18"/>
              </w:rPr>
              <w:t>NNE</w:t>
            </w:r>
          </w:p>
        </w:tc>
        <w:tc>
          <w:tcPr>
            <w:tcW w:w="419" w:type="dxa"/>
            <w:noWrap/>
            <w:vAlign w:val="center"/>
          </w:tcPr>
          <w:p w14:paraId="46C9C2F5">
            <w:pPr>
              <w:pStyle w:val="913"/>
              <w:rPr>
                <w:rFonts w:cs="Times New Roman"/>
                <w:sz w:val="18"/>
                <w:szCs w:val="18"/>
              </w:rPr>
            </w:pPr>
            <w:r>
              <w:rPr>
                <w:rFonts w:cs="Times New Roman"/>
                <w:sz w:val="18"/>
                <w:szCs w:val="18"/>
              </w:rPr>
              <w:t>NE</w:t>
            </w:r>
          </w:p>
        </w:tc>
        <w:tc>
          <w:tcPr>
            <w:tcW w:w="420" w:type="dxa"/>
            <w:noWrap/>
            <w:vAlign w:val="center"/>
          </w:tcPr>
          <w:p w14:paraId="4548F8DC">
            <w:pPr>
              <w:pStyle w:val="913"/>
              <w:rPr>
                <w:rFonts w:cs="Times New Roman"/>
                <w:sz w:val="18"/>
                <w:szCs w:val="18"/>
              </w:rPr>
            </w:pPr>
            <w:r>
              <w:rPr>
                <w:rFonts w:cs="Times New Roman"/>
                <w:sz w:val="18"/>
                <w:szCs w:val="18"/>
              </w:rPr>
              <w:t>ENE</w:t>
            </w:r>
          </w:p>
        </w:tc>
        <w:tc>
          <w:tcPr>
            <w:tcW w:w="456" w:type="dxa"/>
            <w:noWrap/>
            <w:vAlign w:val="center"/>
          </w:tcPr>
          <w:p w14:paraId="1B7FF12E">
            <w:pPr>
              <w:pStyle w:val="913"/>
              <w:rPr>
                <w:rFonts w:cs="Times New Roman"/>
                <w:sz w:val="18"/>
                <w:szCs w:val="18"/>
              </w:rPr>
            </w:pPr>
            <w:r>
              <w:rPr>
                <w:rFonts w:cs="Times New Roman"/>
                <w:sz w:val="18"/>
                <w:szCs w:val="18"/>
              </w:rPr>
              <w:t>E</w:t>
            </w:r>
          </w:p>
        </w:tc>
        <w:tc>
          <w:tcPr>
            <w:tcW w:w="456" w:type="dxa"/>
            <w:noWrap/>
            <w:vAlign w:val="center"/>
          </w:tcPr>
          <w:p w14:paraId="165442B6">
            <w:pPr>
              <w:pStyle w:val="913"/>
              <w:rPr>
                <w:rFonts w:cs="Times New Roman"/>
                <w:sz w:val="18"/>
                <w:szCs w:val="18"/>
              </w:rPr>
            </w:pPr>
            <w:r>
              <w:rPr>
                <w:rFonts w:cs="Times New Roman"/>
                <w:sz w:val="18"/>
                <w:szCs w:val="18"/>
              </w:rPr>
              <w:t>ESE</w:t>
            </w:r>
          </w:p>
        </w:tc>
        <w:tc>
          <w:tcPr>
            <w:tcW w:w="403" w:type="dxa"/>
            <w:noWrap/>
            <w:vAlign w:val="center"/>
          </w:tcPr>
          <w:p w14:paraId="39900128">
            <w:pPr>
              <w:pStyle w:val="913"/>
              <w:rPr>
                <w:rFonts w:cs="Times New Roman"/>
                <w:sz w:val="18"/>
                <w:szCs w:val="18"/>
              </w:rPr>
            </w:pPr>
            <w:r>
              <w:rPr>
                <w:rFonts w:cs="Times New Roman"/>
                <w:sz w:val="18"/>
                <w:szCs w:val="18"/>
              </w:rPr>
              <w:t>SE</w:t>
            </w:r>
          </w:p>
        </w:tc>
        <w:tc>
          <w:tcPr>
            <w:tcW w:w="403" w:type="dxa"/>
            <w:noWrap/>
            <w:vAlign w:val="center"/>
          </w:tcPr>
          <w:p w14:paraId="6489287B">
            <w:pPr>
              <w:pStyle w:val="913"/>
              <w:rPr>
                <w:rFonts w:cs="Times New Roman"/>
                <w:sz w:val="18"/>
                <w:szCs w:val="18"/>
              </w:rPr>
            </w:pPr>
            <w:r>
              <w:rPr>
                <w:rFonts w:cs="Times New Roman"/>
                <w:sz w:val="18"/>
                <w:szCs w:val="18"/>
              </w:rPr>
              <w:t>SSE</w:t>
            </w:r>
          </w:p>
        </w:tc>
        <w:tc>
          <w:tcPr>
            <w:tcW w:w="403" w:type="dxa"/>
            <w:noWrap/>
            <w:vAlign w:val="center"/>
          </w:tcPr>
          <w:p w14:paraId="7CE2E56D">
            <w:pPr>
              <w:pStyle w:val="913"/>
              <w:rPr>
                <w:rFonts w:cs="Times New Roman"/>
                <w:sz w:val="18"/>
                <w:szCs w:val="18"/>
              </w:rPr>
            </w:pPr>
            <w:r>
              <w:rPr>
                <w:rFonts w:cs="Times New Roman"/>
                <w:sz w:val="18"/>
                <w:szCs w:val="18"/>
              </w:rPr>
              <w:t>S</w:t>
            </w:r>
          </w:p>
        </w:tc>
        <w:tc>
          <w:tcPr>
            <w:tcW w:w="417" w:type="dxa"/>
            <w:noWrap/>
            <w:vAlign w:val="center"/>
          </w:tcPr>
          <w:p w14:paraId="27887245">
            <w:pPr>
              <w:pStyle w:val="913"/>
              <w:rPr>
                <w:rFonts w:cs="Times New Roman"/>
                <w:sz w:val="18"/>
                <w:szCs w:val="18"/>
              </w:rPr>
            </w:pPr>
            <w:r>
              <w:rPr>
                <w:rFonts w:cs="Times New Roman"/>
                <w:sz w:val="18"/>
                <w:szCs w:val="18"/>
              </w:rPr>
              <w:t>SSW</w:t>
            </w:r>
          </w:p>
        </w:tc>
        <w:tc>
          <w:tcPr>
            <w:tcW w:w="403" w:type="dxa"/>
            <w:noWrap/>
            <w:vAlign w:val="center"/>
          </w:tcPr>
          <w:p w14:paraId="38949BA8">
            <w:pPr>
              <w:pStyle w:val="913"/>
              <w:rPr>
                <w:rFonts w:cs="Times New Roman"/>
                <w:sz w:val="18"/>
                <w:szCs w:val="18"/>
              </w:rPr>
            </w:pPr>
            <w:r>
              <w:rPr>
                <w:rFonts w:cs="Times New Roman"/>
                <w:sz w:val="18"/>
                <w:szCs w:val="18"/>
              </w:rPr>
              <w:t>SW</w:t>
            </w:r>
          </w:p>
        </w:tc>
        <w:tc>
          <w:tcPr>
            <w:tcW w:w="494" w:type="dxa"/>
            <w:noWrap/>
            <w:vAlign w:val="center"/>
          </w:tcPr>
          <w:p w14:paraId="382446A9">
            <w:pPr>
              <w:pStyle w:val="913"/>
              <w:rPr>
                <w:rFonts w:cs="Times New Roman"/>
                <w:sz w:val="18"/>
                <w:szCs w:val="18"/>
              </w:rPr>
            </w:pPr>
            <w:r>
              <w:rPr>
                <w:rFonts w:cs="Times New Roman"/>
                <w:sz w:val="18"/>
                <w:szCs w:val="18"/>
              </w:rPr>
              <w:t>WSW</w:t>
            </w:r>
          </w:p>
        </w:tc>
        <w:tc>
          <w:tcPr>
            <w:tcW w:w="456" w:type="dxa"/>
            <w:noWrap/>
            <w:vAlign w:val="center"/>
          </w:tcPr>
          <w:p w14:paraId="62B797EF">
            <w:pPr>
              <w:pStyle w:val="913"/>
              <w:rPr>
                <w:rFonts w:cs="Times New Roman"/>
                <w:sz w:val="18"/>
                <w:szCs w:val="18"/>
              </w:rPr>
            </w:pPr>
            <w:r>
              <w:rPr>
                <w:rFonts w:cs="Times New Roman"/>
                <w:sz w:val="18"/>
                <w:szCs w:val="18"/>
              </w:rPr>
              <w:t>W</w:t>
            </w:r>
          </w:p>
        </w:tc>
        <w:tc>
          <w:tcPr>
            <w:tcW w:w="527" w:type="dxa"/>
            <w:noWrap/>
            <w:vAlign w:val="center"/>
          </w:tcPr>
          <w:p w14:paraId="384CA429">
            <w:pPr>
              <w:pStyle w:val="913"/>
              <w:rPr>
                <w:rFonts w:cs="Times New Roman"/>
                <w:sz w:val="18"/>
                <w:szCs w:val="18"/>
              </w:rPr>
            </w:pPr>
            <w:r>
              <w:rPr>
                <w:rFonts w:cs="Times New Roman"/>
                <w:sz w:val="18"/>
                <w:szCs w:val="18"/>
              </w:rPr>
              <w:t>WNW</w:t>
            </w:r>
          </w:p>
        </w:tc>
        <w:tc>
          <w:tcPr>
            <w:tcW w:w="456" w:type="dxa"/>
            <w:noWrap/>
            <w:vAlign w:val="center"/>
          </w:tcPr>
          <w:p w14:paraId="6F4287CB">
            <w:pPr>
              <w:pStyle w:val="913"/>
              <w:rPr>
                <w:rFonts w:cs="Times New Roman"/>
                <w:sz w:val="18"/>
                <w:szCs w:val="18"/>
              </w:rPr>
            </w:pPr>
            <w:r>
              <w:rPr>
                <w:rFonts w:cs="Times New Roman"/>
                <w:sz w:val="18"/>
                <w:szCs w:val="18"/>
              </w:rPr>
              <w:t>NW</w:t>
            </w:r>
          </w:p>
        </w:tc>
        <w:tc>
          <w:tcPr>
            <w:tcW w:w="483" w:type="dxa"/>
            <w:noWrap/>
            <w:vAlign w:val="center"/>
          </w:tcPr>
          <w:p w14:paraId="66605AD9">
            <w:pPr>
              <w:pStyle w:val="913"/>
              <w:rPr>
                <w:rFonts w:cs="Times New Roman"/>
                <w:sz w:val="18"/>
                <w:szCs w:val="18"/>
              </w:rPr>
            </w:pPr>
            <w:r>
              <w:rPr>
                <w:rFonts w:cs="Times New Roman"/>
                <w:sz w:val="18"/>
                <w:szCs w:val="18"/>
              </w:rPr>
              <w:t>NNW</w:t>
            </w:r>
          </w:p>
        </w:tc>
        <w:tc>
          <w:tcPr>
            <w:tcW w:w="403" w:type="dxa"/>
            <w:noWrap/>
            <w:vAlign w:val="center"/>
          </w:tcPr>
          <w:p w14:paraId="198A2A73">
            <w:pPr>
              <w:pStyle w:val="913"/>
              <w:rPr>
                <w:rFonts w:cs="Times New Roman"/>
                <w:sz w:val="18"/>
                <w:szCs w:val="18"/>
              </w:rPr>
            </w:pPr>
            <w:r>
              <w:rPr>
                <w:rFonts w:cs="Times New Roman"/>
                <w:sz w:val="18"/>
                <w:szCs w:val="18"/>
              </w:rPr>
              <w:t>C</w:t>
            </w:r>
          </w:p>
        </w:tc>
      </w:tr>
      <w:tr w14:paraId="45A6B9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tcBorders>
              <w:top w:val="single" w:color="auto" w:sz="4" w:space="0"/>
            </w:tcBorders>
            <w:noWrap/>
            <w:vAlign w:val="center"/>
          </w:tcPr>
          <w:p w14:paraId="4C7CEA4F">
            <w:pPr>
              <w:pStyle w:val="913"/>
              <w:rPr>
                <w:rFonts w:cs="Times New Roman"/>
                <w:sz w:val="18"/>
                <w:szCs w:val="18"/>
              </w:rPr>
            </w:pPr>
            <w:r>
              <w:rPr>
                <w:rFonts w:cs="Times New Roman"/>
                <w:sz w:val="18"/>
                <w:szCs w:val="18"/>
              </w:rPr>
              <w:t>一月</w:t>
            </w:r>
          </w:p>
        </w:tc>
        <w:tc>
          <w:tcPr>
            <w:tcW w:w="508" w:type="dxa"/>
            <w:noWrap/>
            <w:vAlign w:val="center"/>
          </w:tcPr>
          <w:p w14:paraId="6F35B4B5">
            <w:pPr>
              <w:pStyle w:val="913"/>
              <w:rPr>
                <w:rFonts w:cs="Times New Roman"/>
                <w:sz w:val="18"/>
                <w:szCs w:val="18"/>
              </w:rPr>
            </w:pPr>
            <w:r>
              <w:rPr>
                <w:rFonts w:cs="Times New Roman"/>
                <w:sz w:val="18"/>
                <w:szCs w:val="18"/>
              </w:rPr>
              <w:t>4.30</w:t>
            </w:r>
          </w:p>
        </w:tc>
        <w:tc>
          <w:tcPr>
            <w:tcW w:w="419" w:type="dxa"/>
            <w:noWrap/>
            <w:vAlign w:val="center"/>
          </w:tcPr>
          <w:p w14:paraId="7A62860D">
            <w:pPr>
              <w:pStyle w:val="913"/>
              <w:rPr>
                <w:rFonts w:cs="Times New Roman"/>
                <w:sz w:val="18"/>
                <w:szCs w:val="18"/>
              </w:rPr>
            </w:pPr>
            <w:r>
              <w:rPr>
                <w:rFonts w:cs="Times New Roman"/>
                <w:sz w:val="18"/>
                <w:szCs w:val="18"/>
              </w:rPr>
              <w:t>4.70</w:t>
            </w:r>
          </w:p>
        </w:tc>
        <w:tc>
          <w:tcPr>
            <w:tcW w:w="419" w:type="dxa"/>
            <w:noWrap/>
            <w:vAlign w:val="center"/>
          </w:tcPr>
          <w:p w14:paraId="30BD9C21">
            <w:pPr>
              <w:pStyle w:val="913"/>
              <w:rPr>
                <w:rFonts w:cs="Times New Roman"/>
                <w:sz w:val="18"/>
                <w:szCs w:val="18"/>
              </w:rPr>
            </w:pPr>
            <w:r>
              <w:rPr>
                <w:rFonts w:cs="Times New Roman"/>
                <w:sz w:val="18"/>
                <w:szCs w:val="18"/>
              </w:rPr>
              <w:t>6.45</w:t>
            </w:r>
          </w:p>
        </w:tc>
        <w:tc>
          <w:tcPr>
            <w:tcW w:w="420" w:type="dxa"/>
            <w:noWrap/>
            <w:vAlign w:val="center"/>
          </w:tcPr>
          <w:p w14:paraId="751B7E1E">
            <w:pPr>
              <w:pStyle w:val="913"/>
              <w:rPr>
                <w:rFonts w:cs="Times New Roman"/>
                <w:sz w:val="18"/>
                <w:szCs w:val="18"/>
              </w:rPr>
            </w:pPr>
            <w:r>
              <w:rPr>
                <w:rFonts w:cs="Times New Roman"/>
                <w:sz w:val="18"/>
                <w:szCs w:val="18"/>
              </w:rPr>
              <w:t>19.49</w:t>
            </w:r>
          </w:p>
        </w:tc>
        <w:tc>
          <w:tcPr>
            <w:tcW w:w="456" w:type="dxa"/>
            <w:noWrap/>
            <w:vAlign w:val="center"/>
          </w:tcPr>
          <w:p w14:paraId="3AC246D3">
            <w:pPr>
              <w:pStyle w:val="913"/>
              <w:rPr>
                <w:rFonts w:cs="Times New Roman"/>
                <w:sz w:val="18"/>
                <w:szCs w:val="18"/>
              </w:rPr>
            </w:pPr>
            <w:r>
              <w:rPr>
                <w:rFonts w:cs="Times New Roman"/>
                <w:sz w:val="18"/>
                <w:szCs w:val="18"/>
              </w:rPr>
              <w:t>21.37</w:t>
            </w:r>
          </w:p>
        </w:tc>
        <w:tc>
          <w:tcPr>
            <w:tcW w:w="456" w:type="dxa"/>
            <w:noWrap/>
            <w:vAlign w:val="center"/>
          </w:tcPr>
          <w:p w14:paraId="4A23E54B">
            <w:pPr>
              <w:pStyle w:val="913"/>
              <w:rPr>
                <w:rFonts w:cs="Times New Roman"/>
                <w:sz w:val="18"/>
                <w:szCs w:val="18"/>
              </w:rPr>
            </w:pPr>
            <w:r>
              <w:rPr>
                <w:rFonts w:cs="Times New Roman"/>
                <w:sz w:val="18"/>
                <w:szCs w:val="18"/>
              </w:rPr>
              <w:t>7.12</w:t>
            </w:r>
          </w:p>
        </w:tc>
        <w:tc>
          <w:tcPr>
            <w:tcW w:w="403" w:type="dxa"/>
            <w:noWrap/>
            <w:vAlign w:val="center"/>
          </w:tcPr>
          <w:p w14:paraId="5E204383">
            <w:pPr>
              <w:pStyle w:val="913"/>
              <w:rPr>
                <w:rFonts w:cs="Times New Roman"/>
                <w:sz w:val="18"/>
                <w:szCs w:val="18"/>
              </w:rPr>
            </w:pPr>
            <w:r>
              <w:rPr>
                <w:rFonts w:cs="Times New Roman"/>
                <w:sz w:val="18"/>
                <w:szCs w:val="18"/>
              </w:rPr>
              <w:t>6.45</w:t>
            </w:r>
          </w:p>
        </w:tc>
        <w:tc>
          <w:tcPr>
            <w:tcW w:w="403" w:type="dxa"/>
            <w:noWrap/>
            <w:vAlign w:val="center"/>
          </w:tcPr>
          <w:p w14:paraId="16CAED8E">
            <w:pPr>
              <w:pStyle w:val="913"/>
              <w:rPr>
                <w:rFonts w:cs="Times New Roman"/>
                <w:sz w:val="18"/>
                <w:szCs w:val="18"/>
              </w:rPr>
            </w:pPr>
            <w:r>
              <w:rPr>
                <w:rFonts w:cs="Times New Roman"/>
                <w:sz w:val="18"/>
                <w:szCs w:val="18"/>
              </w:rPr>
              <w:t>3.49</w:t>
            </w:r>
          </w:p>
        </w:tc>
        <w:tc>
          <w:tcPr>
            <w:tcW w:w="403" w:type="dxa"/>
            <w:noWrap/>
            <w:vAlign w:val="center"/>
          </w:tcPr>
          <w:p w14:paraId="020828D2">
            <w:pPr>
              <w:pStyle w:val="913"/>
              <w:rPr>
                <w:rFonts w:cs="Times New Roman"/>
                <w:sz w:val="18"/>
                <w:szCs w:val="18"/>
              </w:rPr>
            </w:pPr>
            <w:r>
              <w:rPr>
                <w:rFonts w:cs="Times New Roman"/>
                <w:sz w:val="18"/>
                <w:szCs w:val="18"/>
              </w:rPr>
              <w:t>4.97</w:t>
            </w:r>
          </w:p>
        </w:tc>
        <w:tc>
          <w:tcPr>
            <w:tcW w:w="417" w:type="dxa"/>
            <w:noWrap/>
            <w:vAlign w:val="center"/>
          </w:tcPr>
          <w:p w14:paraId="0E12B7AA">
            <w:pPr>
              <w:pStyle w:val="913"/>
              <w:rPr>
                <w:rFonts w:cs="Times New Roman"/>
                <w:sz w:val="18"/>
                <w:szCs w:val="18"/>
              </w:rPr>
            </w:pPr>
            <w:r>
              <w:rPr>
                <w:rFonts w:cs="Times New Roman"/>
                <w:sz w:val="18"/>
                <w:szCs w:val="18"/>
              </w:rPr>
              <w:t>3.63</w:t>
            </w:r>
          </w:p>
        </w:tc>
        <w:tc>
          <w:tcPr>
            <w:tcW w:w="403" w:type="dxa"/>
            <w:noWrap/>
            <w:vAlign w:val="center"/>
          </w:tcPr>
          <w:p w14:paraId="7F1CB126">
            <w:pPr>
              <w:pStyle w:val="913"/>
              <w:rPr>
                <w:rFonts w:cs="Times New Roman"/>
                <w:sz w:val="18"/>
                <w:szCs w:val="18"/>
              </w:rPr>
            </w:pPr>
            <w:r>
              <w:rPr>
                <w:rFonts w:cs="Times New Roman"/>
                <w:sz w:val="18"/>
                <w:szCs w:val="18"/>
              </w:rPr>
              <w:t>2.96</w:t>
            </w:r>
          </w:p>
        </w:tc>
        <w:tc>
          <w:tcPr>
            <w:tcW w:w="494" w:type="dxa"/>
            <w:noWrap/>
            <w:vAlign w:val="center"/>
          </w:tcPr>
          <w:p w14:paraId="0AC4FF16">
            <w:pPr>
              <w:pStyle w:val="913"/>
              <w:rPr>
                <w:rFonts w:cs="Times New Roman"/>
                <w:sz w:val="18"/>
                <w:szCs w:val="18"/>
              </w:rPr>
            </w:pPr>
            <w:r>
              <w:rPr>
                <w:rFonts w:cs="Times New Roman"/>
                <w:sz w:val="18"/>
                <w:szCs w:val="18"/>
              </w:rPr>
              <w:t>3.49</w:t>
            </w:r>
          </w:p>
        </w:tc>
        <w:tc>
          <w:tcPr>
            <w:tcW w:w="456" w:type="dxa"/>
            <w:noWrap/>
            <w:vAlign w:val="center"/>
          </w:tcPr>
          <w:p w14:paraId="427AA145">
            <w:pPr>
              <w:pStyle w:val="913"/>
              <w:rPr>
                <w:rFonts w:cs="Times New Roman"/>
                <w:sz w:val="18"/>
                <w:szCs w:val="18"/>
              </w:rPr>
            </w:pPr>
            <w:r>
              <w:rPr>
                <w:rFonts w:cs="Times New Roman"/>
                <w:sz w:val="18"/>
                <w:szCs w:val="18"/>
              </w:rPr>
              <w:t>4.84</w:t>
            </w:r>
          </w:p>
        </w:tc>
        <w:tc>
          <w:tcPr>
            <w:tcW w:w="527" w:type="dxa"/>
            <w:noWrap/>
            <w:vAlign w:val="center"/>
          </w:tcPr>
          <w:p w14:paraId="7589A955">
            <w:pPr>
              <w:pStyle w:val="913"/>
              <w:rPr>
                <w:rFonts w:cs="Times New Roman"/>
                <w:sz w:val="18"/>
                <w:szCs w:val="18"/>
              </w:rPr>
            </w:pPr>
            <w:r>
              <w:rPr>
                <w:rFonts w:cs="Times New Roman"/>
                <w:sz w:val="18"/>
                <w:szCs w:val="18"/>
              </w:rPr>
              <w:t>1.34</w:t>
            </w:r>
          </w:p>
        </w:tc>
        <w:tc>
          <w:tcPr>
            <w:tcW w:w="456" w:type="dxa"/>
            <w:noWrap/>
            <w:vAlign w:val="center"/>
          </w:tcPr>
          <w:p w14:paraId="3D3216D8">
            <w:pPr>
              <w:pStyle w:val="913"/>
              <w:rPr>
                <w:rFonts w:cs="Times New Roman"/>
                <w:sz w:val="18"/>
                <w:szCs w:val="18"/>
              </w:rPr>
            </w:pPr>
            <w:r>
              <w:rPr>
                <w:rFonts w:cs="Times New Roman"/>
                <w:sz w:val="18"/>
                <w:szCs w:val="18"/>
              </w:rPr>
              <w:t>2.69</w:t>
            </w:r>
          </w:p>
        </w:tc>
        <w:tc>
          <w:tcPr>
            <w:tcW w:w="483" w:type="dxa"/>
            <w:noWrap/>
            <w:vAlign w:val="center"/>
          </w:tcPr>
          <w:p w14:paraId="45A324C6">
            <w:pPr>
              <w:pStyle w:val="913"/>
              <w:rPr>
                <w:rFonts w:cs="Times New Roman"/>
                <w:sz w:val="18"/>
                <w:szCs w:val="18"/>
              </w:rPr>
            </w:pPr>
            <w:r>
              <w:rPr>
                <w:rFonts w:cs="Times New Roman"/>
                <w:sz w:val="18"/>
                <w:szCs w:val="18"/>
              </w:rPr>
              <w:t>1.88</w:t>
            </w:r>
          </w:p>
        </w:tc>
        <w:tc>
          <w:tcPr>
            <w:tcW w:w="403" w:type="dxa"/>
            <w:noWrap/>
            <w:vAlign w:val="center"/>
          </w:tcPr>
          <w:p w14:paraId="1EC6A4A3">
            <w:pPr>
              <w:pStyle w:val="913"/>
              <w:rPr>
                <w:rFonts w:cs="Times New Roman"/>
                <w:sz w:val="18"/>
                <w:szCs w:val="18"/>
              </w:rPr>
            </w:pPr>
            <w:r>
              <w:rPr>
                <w:rFonts w:cs="Times New Roman"/>
                <w:sz w:val="18"/>
                <w:szCs w:val="18"/>
              </w:rPr>
              <w:t>0.81</w:t>
            </w:r>
          </w:p>
        </w:tc>
      </w:tr>
      <w:tr w14:paraId="7CA931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2826B3B3">
            <w:pPr>
              <w:pStyle w:val="913"/>
              <w:rPr>
                <w:rFonts w:cs="Times New Roman"/>
                <w:sz w:val="18"/>
                <w:szCs w:val="18"/>
              </w:rPr>
            </w:pPr>
            <w:r>
              <w:rPr>
                <w:rFonts w:cs="Times New Roman"/>
                <w:sz w:val="18"/>
                <w:szCs w:val="18"/>
              </w:rPr>
              <w:t>二月</w:t>
            </w:r>
          </w:p>
        </w:tc>
        <w:tc>
          <w:tcPr>
            <w:tcW w:w="508" w:type="dxa"/>
            <w:noWrap/>
            <w:vAlign w:val="center"/>
          </w:tcPr>
          <w:p w14:paraId="6FC891D9">
            <w:pPr>
              <w:pStyle w:val="913"/>
              <w:rPr>
                <w:rFonts w:cs="Times New Roman"/>
                <w:sz w:val="18"/>
                <w:szCs w:val="18"/>
              </w:rPr>
            </w:pPr>
            <w:r>
              <w:rPr>
                <w:rFonts w:cs="Times New Roman"/>
                <w:sz w:val="18"/>
                <w:szCs w:val="18"/>
              </w:rPr>
              <w:t>8.48</w:t>
            </w:r>
          </w:p>
        </w:tc>
        <w:tc>
          <w:tcPr>
            <w:tcW w:w="419" w:type="dxa"/>
            <w:noWrap/>
            <w:vAlign w:val="center"/>
          </w:tcPr>
          <w:p w14:paraId="7C901808">
            <w:pPr>
              <w:pStyle w:val="913"/>
              <w:rPr>
                <w:rFonts w:cs="Times New Roman"/>
                <w:sz w:val="18"/>
                <w:szCs w:val="18"/>
              </w:rPr>
            </w:pPr>
            <w:r>
              <w:rPr>
                <w:rFonts w:cs="Times New Roman"/>
                <w:sz w:val="18"/>
                <w:szCs w:val="18"/>
              </w:rPr>
              <w:t>9.52</w:t>
            </w:r>
          </w:p>
        </w:tc>
        <w:tc>
          <w:tcPr>
            <w:tcW w:w="419" w:type="dxa"/>
            <w:noWrap/>
            <w:vAlign w:val="center"/>
          </w:tcPr>
          <w:p w14:paraId="3EF6E1D1">
            <w:pPr>
              <w:pStyle w:val="913"/>
              <w:rPr>
                <w:rFonts w:cs="Times New Roman"/>
                <w:sz w:val="18"/>
                <w:szCs w:val="18"/>
              </w:rPr>
            </w:pPr>
            <w:r>
              <w:rPr>
                <w:rFonts w:cs="Times New Roman"/>
                <w:sz w:val="18"/>
                <w:szCs w:val="18"/>
              </w:rPr>
              <w:t>8.33</w:t>
            </w:r>
          </w:p>
        </w:tc>
        <w:tc>
          <w:tcPr>
            <w:tcW w:w="420" w:type="dxa"/>
            <w:noWrap/>
            <w:vAlign w:val="center"/>
          </w:tcPr>
          <w:p w14:paraId="2041F2F5">
            <w:pPr>
              <w:pStyle w:val="913"/>
              <w:rPr>
                <w:rFonts w:cs="Times New Roman"/>
                <w:sz w:val="18"/>
                <w:szCs w:val="18"/>
              </w:rPr>
            </w:pPr>
            <w:r>
              <w:rPr>
                <w:rFonts w:cs="Times New Roman"/>
                <w:sz w:val="18"/>
                <w:szCs w:val="18"/>
              </w:rPr>
              <w:t>11.90</w:t>
            </w:r>
          </w:p>
        </w:tc>
        <w:tc>
          <w:tcPr>
            <w:tcW w:w="456" w:type="dxa"/>
            <w:noWrap/>
            <w:vAlign w:val="center"/>
          </w:tcPr>
          <w:p w14:paraId="1D12674A">
            <w:pPr>
              <w:pStyle w:val="913"/>
              <w:rPr>
                <w:rFonts w:cs="Times New Roman"/>
                <w:sz w:val="18"/>
                <w:szCs w:val="18"/>
              </w:rPr>
            </w:pPr>
            <w:r>
              <w:rPr>
                <w:rFonts w:cs="Times New Roman"/>
                <w:sz w:val="18"/>
                <w:szCs w:val="18"/>
              </w:rPr>
              <w:t>16.07</w:t>
            </w:r>
          </w:p>
        </w:tc>
        <w:tc>
          <w:tcPr>
            <w:tcW w:w="456" w:type="dxa"/>
            <w:noWrap/>
            <w:vAlign w:val="center"/>
          </w:tcPr>
          <w:p w14:paraId="661143E5">
            <w:pPr>
              <w:pStyle w:val="913"/>
              <w:rPr>
                <w:rFonts w:cs="Times New Roman"/>
                <w:sz w:val="18"/>
                <w:szCs w:val="18"/>
              </w:rPr>
            </w:pPr>
            <w:r>
              <w:rPr>
                <w:rFonts w:cs="Times New Roman"/>
                <w:sz w:val="18"/>
                <w:szCs w:val="18"/>
              </w:rPr>
              <w:t>6.10</w:t>
            </w:r>
          </w:p>
        </w:tc>
        <w:tc>
          <w:tcPr>
            <w:tcW w:w="403" w:type="dxa"/>
            <w:noWrap/>
            <w:vAlign w:val="center"/>
          </w:tcPr>
          <w:p w14:paraId="3F668301">
            <w:pPr>
              <w:pStyle w:val="913"/>
              <w:rPr>
                <w:rFonts w:cs="Times New Roman"/>
                <w:sz w:val="18"/>
                <w:szCs w:val="18"/>
              </w:rPr>
            </w:pPr>
            <w:r>
              <w:rPr>
                <w:rFonts w:cs="Times New Roman"/>
                <w:sz w:val="18"/>
                <w:szCs w:val="18"/>
              </w:rPr>
              <w:t>5.06</w:t>
            </w:r>
          </w:p>
        </w:tc>
        <w:tc>
          <w:tcPr>
            <w:tcW w:w="403" w:type="dxa"/>
            <w:noWrap/>
            <w:vAlign w:val="center"/>
          </w:tcPr>
          <w:p w14:paraId="5ABC9CE5">
            <w:pPr>
              <w:pStyle w:val="913"/>
              <w:rPr>
                <w:rFonts w:cs="Times New Roman"/>
                <w:sz w:val="18"/>
                <w:szCs w:val="18"/>
              </w:rPr>
            </w:pPr>
            <w:r>
              <w:rPr>
                <w:rFonts w:cs="Times New Roman"/>
                <w:sz w:val="18"/>
                <w:szCs w:val="18"/>
              </w:rPr>
              <w:t>3.13</w:t>
            </w:r>
          </w:p>
        </w:tc>
        <w:tc>
          <w:tcPr>
            <w:tcW w:w="403" w:type="dxa"/>
            <w:noWrap/>
            <w:vAlign w:val="center"/>
          </w:tcPr>
          <w:p w14:paraId="10DBEDBD">
            <w:pPr>
              <w:pStyle w:val="913"/>
              <w:rPr>
                <w:rFonts w:cs="Times New Roman"/>
                <w:sz w:val="18"/>
                <w:szCs w:val="18"/>
              </w:rPr>
            </w:pPr>
            <w:r>
              <w:rPr>
                <w:rFonts w:cs="Times New Roman"/>
                <w:sz w:val="18"/>
                <w:szCs w:val="18"/>
              </w:rPr>
              <w:t>4.17</w:t>
            </w:r>
          </w:p>
        </w:tc>
        <w:tc>
          <w:tcPr>
            <w:tcW w:w="417" w:type="dxa"/>
            <w:noWrap/>
            <w:vAlign w:val="center"/>
          </w:tcPr>
          <w:p w14:paraId="603C1864">
            <w:pPr>
              <w:pStyle w:val="913"/>
              <w:rPr>
                <w:rFonts w:cs="Times New Roman"/>
                <w:sz w:val="18"/>
                <w:szCs w:val="18"/>
              </w:rPr>
            </w:pPr>
            <w:r>
              <w:rPr>
                <w:rFonts w:cs="Times New Roman"/>
                <w:sz w:val="18"/>
                <w:szCs w:val="18"/>
              </w:rPr>
              <w:t>2.53</w:t>
            </w:r>
          </w:p>
        </w:tc>
        <w:tc>
          <w:tcPr>
            <w:tcW w:w="403" w:type="dxa"/>
            <w:noWrap/>
            <w:vAlign w:val="center"/>
          </w:tcPr>
          <w:p w14:paraId="7C809F06">
            <w:pPr>
              <w:pStyle w:val="913"/>
              <w:rPr>
                <w:rFonts w:cs="Times New Roman"/>
                <w:sz w:val="18"/>
                <w:szCs w:val="18"/>
              </w:rPr>
            </w:pPr>
            <w:r>
              <w:rPr>
                <w:rFonts w:cs="Times New Roman"/>
                <w:sz w:val="18"/>
                <w:szCs w:val="18"/>
              </w:rPr>
              <w:t>4.61</w:t>
            </w:r>
          </w:p>
        </w:tc>
        <w:tc>
          <w:tcPr>
            <w:tcW w:w="494" w:type="dxa"/>
            <w:noWrap/>
            <w:vAlign w:val="center"/>
          </w:tcPr>
          <w:p w14:paraId="6D619C31">
            <w:pPr>
              <w:pStyle w:val="913"/>
              <w:rPr>
                <w:rFonts w:cs="Times New Roman"/>
                <w:sz w:val="18"/>
                <w:szCs w:val="18"/>
              </w:rPr>
            </w:pPr>
            <w:r>
              <w:rPr>
                <w:rFonts w:cs="Times New Roman"/>
                <w:sz w:val="18"/>
                <w:szCs w:val="18"/>
              </w:rPr>
              <w:t>4.02</w:t>
            </w:r>
          </w:p>
        </w:tc>
        <w:tc>
          <w:tcPr>
            <w:tcW w:w="456" w:type="dxa"/>
            <w:noWrap/>
            <w:vAlign w:val="center"/>
          </w:tcPr>
          <w:p w14:paraId="54B1FD1C">
            <w:pPr>
              <w:pStyle w:val="913"/>
              <w:rPr>
                <w:rFonts w:cs="Times New Roman"/>
                <w:sz w:val="18"/>
                <w:szCs w:val="18"/>
              </w:rPr>
            </w:pPr>
            <w:r>
              <w:rPr>
                <w:rFonts w:cs="Times New Roman"/>
                <w:sz w:val="18"/>
                <w:szCs w:val="18"/>
              </w:rPr>
              <w:t>6.70</w:t>
            </w:r>
          </w:p>
        </w:tc>
        <w:tc>
          <w:tcPr>
            <w:tcW w:w="527" w:type="dxa"/>
            <w:noWrap/>
            <w:vAlign w:val="center"/>
          </w:tcPr>
          <w:p w14:paraId="4B47F802">
            <w:pPr>
              <w:pStyle w:val="913"/>
              <w:rPr>
                <w:rFonts w:cs="Times New Roman"/>
                <w:sz w:val="18"/>
                <w:szCs w:val="18"/>
              </w:rPr>
            </w:pPr>
            <w:r>
              <w:rPr>
                <w:rFonts w:cs="Times New Roman"/>
                <w:sz w:val="18"/>
                <w:szCs w:val="18"/>
              </w:rPr>
              <w:t>3.27</w:t>
            </w:r>
          </w:p>
        </w:tc>
        <w:tc>
          <w:tcPr>
            <w:tcW w:w="456" w:type="dxa"/>
            <w:noWrap/>
            <w:vAlign w:val="center"/>
          </w:tcPr>
          <w:p w14:paraId="23024097">
            <w:pPr>
              <w:pStyle w:val="913"/>
              <w:rPr>
                <w:rFonts w:cs="Times New Roman"/>
                <w:sz w:val="18"/>
                <w:szCs w:val="18"/>
              </w:rPr>
            </w:pPr>
            <w:r>
              <w:rPr>
                <w:rFonts w:cs="Times New Roman"/>
                <w:sz w:val="18"/>
                <w:szCs w:val="18"/>
              </w:rPr>
              <w:t>3.42</w:t>
            </w:r>
          </w:p>
        </w:tc>
        <w:tc>
          <w:tcPr>
            <w:tcW w:w="483" w:type="dxa"/>
            <w:noWrap/>
            <w:vAlign w:val="center"/>
          </w:tcPr>
          <w:p w14:paraId="2874AEDC">
            <w:pPr>
              <w:pStyle w:val="913"/>
              <w:rPr>
                <w:rFonts w:cs="Times New Roman"/>
                <w:sz w:val="18"/>
                <w:szCs w:val="18"/>
              </w:rPr>
            </w:pPr>
            <w:r>
              <w:rPr>
                <w:rFonts w:cs="Times New Roman"/>
                <w:sz w:val="18"/>
                <w:szCs w:val="18"/>
              </w:rPr>
              <w:t>2.23</w:t>
            </w:r>
          </w:p>
        </w:tc>
        <w:tc>
          <w:tcPr>
            <w:tcW w:w="403" w:type="dxa"/>
            <w:noWrap/>
            <w:vAlign w:val="center"/>
          </w:tcPr>
          <w:p w14:paraId="1F64E4C6">
            <w:pPr>
              <w:pStyle w:val="913"/>
              <w:rPr>
                <w:rFonts w:cs="Times New Roman"/>
                <w:sz w:val="18"/>
                <w:szCs w:val="18"/>
              </w:rPr>
            </w:pPr>
            <w:r>
              <w:rPr>
                <w:rFonts w:cs="Times New Roman"/>
                <w:sz w:val="18"/>
                <w:szCs w:val="18"/>
              </w:rPr>
              <w:t>0.45</w:t>
            </w:r>
          </w:p>
        </w:tc>
      </w:tr>
      <w:tr w14:paraId="70A3FD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01EC710B">
            <w:pPr>
              <w:pStyle w:val="913"/>
              <w:rPr>
                <w:rFonts w:cs="Times New Roman"/>
                <w:sz w:val="18"/>
                <w:szCs w:val="18"/>
              </w:rPr>
            </w:pPr>
            <w:r>
              <w:rPr>
                <w:rFonts w:cs="Times New Roman"/>
                <w:sz w:val="18"/>
                <w:szCs w:val="18"/>
              </w:rPr>
              <w:t>三月</w:t>
            </w:r>
          </w:p>
        </w:tc>
        <w:tc>
          <w:tcPr>
            <w:tcW w:w="508" w:type="dxa"/>
            <w:noWrap/>
            <w:vAlign w:val="center"/>
          </w:tcPr>
          <w:p w14:paraId="66B96BDD">
            <w:pPr>
              <w:pStyle w:val="913"/>
              <w:rPr>
                <w:rFonts w:cs="Times New Roman"/>
                <w:sz w:val="18"/>
                <w:szCs w:val="18"/>
              </w:rPr>
            </w:pPr>
            <w:r>
              <w:rPr>
                <w:rFonts w:cs="Times New Roman"/>
                <w:sz w:val="18"/>
                <w:szCs w:val="18"/>
              </w:rPr>
              <w:t>7.12</w:t>
            </w:r>
          </w:p>
        </w:tc>
        <w:tc>
          <w:tcPr>
            <w:tcW w:w="419" w:type="dxa"/>
            <w:noWrap/>
            <w:vAlign w:val="center"/>
          </w:tcPr>
          <w:p w14:paraId="726BF851">
            <w:pPr>
              <w:pStyle w:val="913"/>
              <w:rPr>
                <w:rFonts w:cs="Times New Roman"/>
                <w:sz w:val="18"/>
                <w:szCs w:val="18"/>
              </w:rPr>
            </w:pPr>
            <w:r>
              <w:rPr>
                <w:rFonts w:cs="Times New Roman"/>
                <w:sz w:val="18"/>
                <w:szCs w:val="18"/>
              </w:rPr>
              <w:t>9.01</w:t>
            </w:r>
          </w:p>
        </w:tc>
        <w:tc>
          <w:tcPr>
            <w:tcW w:w="419" w:type="dxa"/>
            <w:noWrap/>
            <w:vAlign w:val="center"/>
          </w:tcPr>
          <w:p w14:paraId="33223602">
            <w:pPr>
              <w:pStyle w:val="913"/>
              <w:rPr>
                <w:rFonts w:cs="Times New Roman"/>
                <w:sz w:val="18"/>
                <w:szCs w:val="18"/>
              </w:rPr>
            </w:pPr>
            <w:r>
              <w:rPr>
                <w:rFonts w:cs="Times New Roman"/>
                <w:sz w:val="18"/>
                <w:szCs w:val="18"/>
              </w:rPr>
              <w:t>9.27</w:t>
            </w:r>
          </w:p>
        </w:tc>
        <w:tc>
          <w:tcPr>
            <w:tcW w:w="420" w:type="dxa"/>
            <w:noWrap/>
            <w:vAlign w:val="center"/>
          </w:tcPr>
          <w:p w14:paraId="427ECADC">
            <w:pPr>
              <w:pStyle w:val="913"/>
              <w:rPr>
                <w:rFonts w:cs="Times New Roman"/>
                <w:sz w:val="18"/>
                <w:szCs w:val="18"/>
              </w:rPr>
            </w:pPr>
            <w:r>
              <w:rPr>
                <w:rFonts w:cs="Times New Roman"/>
                <w:sz w:val="18"/>
                <w:szCs w:val="18"/>
              </w:rPr>
              <w:t>13.44</w:t>
            </w:r>
          </w:p>
        </w:tc>
        <w:tc>
          <w:tcPr>
            <w:tcW w:w="456" w:type="dxa"/>
            <w:noWrap/>
            <w:vAlign w:val="center"/>
          </w:tcPr>
          <w:p w14:paraId="1539357D">
            <w:pPr>
              <w:pStyle w:val="913"/>
              <w:rPr>
                <w:rFonts w:cs="Times New Roman"/>
                <w:sz w:val="18"/>
                <w:szCs w:val="18"/>
              </w:rPr>
            </w:pPr>
            <w:r>
              <w:rPr>
                <w:rFonts w:cs="Times New Roman"/>
                <w:sz w:val="18"/>
                <w:szCs w:val="18"/>
              </w:rPr>
              <w:t>14.25</w:t>
            </w:r>
          </w:p>
        </w:tc>
        <w:tc>
          <w:tcPr>
            <w:tcW w:w="456" w:type="dxa"/>
            <w:noWrap/>
            <w:vAlign w:val="center"/>
          </w:tcPr>
          <w:p w14:paraId="4EC5AE89">
            <w:pPr>
              <w:pStyle w:val="913"/>
              <w:rPr>
                <w:rFonts w:cs="Times New Roman"/>
                <w:sz w:val="18"/>
                <w:szCs w:val="18"/>
              </w:rPr>
            </w:pPr>
            <w:r>
              <w:rPr>
                <w:rFonts w:cs="Times New Roman"/>
                <w:sz w:val="18"/>
                <w:szCs w:val="18"/>
              </w:rPr>
              <w:t>6.59</w:t>
            </w:r>
          </w:p>
        </w:tc>
        <w:tc>
          <w:tcPr>
            <w:tcW w:w="403" w:type="dxa"/>
            <w:noWrap/>
            <w:vAlign w:val="center"/>
          </w:tcPr>
          <w:p w14:paraId="10C5AB78">
            <w:pPr>
              <w:pStyle w:val="913"/>
              <w:rPr>
                <w:rFonts w:cs="Times New Roman"/>
                <w:sz w:val="18"/>
                <w:szCs w:val="18"/>
              </w:rPr>
            </w:pPr>
            <w:r>
              <w:rPr>
                <w:rFonts w:cs="Times New Roman"/>
                <w:sz w:val="18"/>
                <w:szCs w:val="18"/>
              </w:rPr>
              <w:t>6.32</w:t>
            </w:r>
          </w:p>
        </w:tc>
        <w:tc>
          <w:tcPr>
            <w:tcW w:w="403" w:type="dxa"/>
            <w:noWrap/>
            <w:vAlign w:val="center"/>
          </w:tcPr>
          <w:p w14:paraId="0A4FCB13">
            <w:pPr>
              <w:pStyle w:val="913"/>
              <w:rPr>
                <w:rFonts w:cs="Times New Roman"/>
                <w:sz w:val="18"/>
                <w:szCs w:val="18"/>
              </w:rPr>
            </w:pPr>
            <w:r>
              <w:rPr>
                <w:rFonts w:cs="Times New Roman"/>
                <w:sz w:val="18"/>
                <w:szCs w:val="18"/>
              </w:rPr>
              <w:t>2.96</w:t>
            </w:r>
          </w:p>
        </w:tc>
        <w:tc>
          <w:tcPr>
            <w:tcW w:w="403" w:type="dxa"/>
            <w:noWrap/>
            <w:vAlign w:val="center"/>
          </w:tcPr>
          <w:p w14:paraId="322E5F63">
            <w:pPr>
              <w:pStyle w:val="913"/>
              <w:rPr>
                <w:rFonts w:cs="Times New Roman"/>
                <w:sz w:val="18"/>
                <w:szCs w:val="18"/>
              </w:rPr>
            </w:pPr>
            <w:r>
              <w:rPr>
                <w:rFonts w:cs="Times New Roman"/>
                <w:sz w:val="18"/>
                <w:szCs w:val="18"/>
              </w:rPr>
              <w:t>4.17</w:t>
            </w:r>
          </w:p>
        </w:tc>
        <w:tc>
          <w:tcPr>
            <w:tcW w:w="417" w:type="dxa"/>
            <w:noWrap/>
            <w:vAlign w:val="center"/>
          </w:tcPr>
          <w:p w14:paraId="380E1762">
            <w:pPr>
              <w:pStyle w:val="913"/>
              <w:rPr>
                <w:rFonts w:cs="Times New Roman"/>
                <w:sz w:val="18"/>
                <w:szCs w:val="18"/>
              </w:rPr>
            </w:pPr>
            <w:r>
              <w:rPr>
                <w:rFonts w:cs="Times New Roman"/>
                <w:sz w:val="18"/>
                <w:szCs w:val="18"/>
              </w:rPr>
              <w:t>2.69</w:t>
            </w:r>
          </w:p>
        </w:tc>
        <w:tc>
          <w:tcPr>
            <w:tcW w:w="403" w:type="dxa"/>
            <w:noWrap/>
            <w:vAlign w:val="center"/>
          </w:tcPr>
          <w:p w14:paraId="0FA3C9D8">
            <w:pPr>
              <w:pStyle w:val="913"/>
              <w:rPr>
                <w:rFonts w:cs="Times New Roman"/>
                <w:sz w:val="18"/>
                <w:szCs w:val="18"/>
              </w:rPr>
            </w:pPr>
            <w:r>
              <w:rPr>
                <w:rFonts w:cs="Times New Roman"/>
                <w:sz w:val="18"/>
                <w:szCs w:val="18"/>
              </w:rPr>
              <w:t>2.15</w:t>
            </w:r>
          </w:p>
        </w:tc>
        <w:tc>
          <w:tcPr>
            <w:tcW w:w="494" w:type="dxa"/>
            <w:noWrap/>
            <w:vAlign w:val="center"/>
          </w:tcPr>
          <w:p w14:paraId="198322A3">
            <w:pPr>
              <w:pStyle w:val="913"/>
              <w:rPr>
                <w:rFonts w:cs="Times New Roman"/>
                <w:sz w:val="18"/>
                <w:szCs w:val="18"/>
              </w:rPr>
            </w:pPr>
            <w:r>
              <w:rPr>
                <w:rFonts w:cs="Times New Roman"/>
                <w:sz w:val="18"/>
                <w:szCs w:val="18"/>
              </w:rPr>
              <w:t>3.09</w:t>
            </w:r>
          </w:p>
        </w:tc>
        <w:tc>
          <w:tcPr>
            <w:tcW w:w="456" w:type="dxa"/>
            <w:noWrap/>
            <w:vAlign w:val="center"/>
          </w:tcPr>
          <w:p w14:paraId="56D47F69">
            <w:pPr>
              <w:pStyle w:val="913"/>
              <w:rPr>
                <w:rFonts w:cs="Times New Roman"/>
                <w:sz w:val="18"/>
                <w:szCs w:val="18"/>
              </w:rPr>
            </w:pPr>
            <w:r>
              <w:rPr>
                <w:rFonts w:cs="Times New Roman"/>
                <w:sz w:val="18"/>
                <w:szCs w:val="18"/>
              </w:rPr>
              <w:t>9.81</w:t>
            </w:r>
          </w:p>
        </w:tc>
        <w:tc>
          <w:tcPr>
            <w:tcW w:w="527" w:type="dxa"/>
            <w:noWrap/>
            <w:vAlign w:val="center"/>
          </w:tcPr>
          <w:p w14:paraId="3128C1D4">
            <w:pPr>
              <w:pStyle w:val="913"/>
              <w:rPr>
                <w:rFonts w:cs="Times New Roman"/>
                <w:sz w:val="18"/>
                <w:szCs w:val="18"/>
              </w:rPr>
            </w:pPr>
            <w:r>
              <w:rPr>
                <w:rFonts w:cs="Times New Roman"/>
                <w:sz w:val="18"/>
                <w:szCs w:val="18"/>
              </w:rPr>
              <w:t>3.76</w:t>
            </w:r>
          </w:p>
        </w:tc>
        <w:tc>
          <w:tcPr>
            <w:tcW w:w="456" w:type="dxa"/>
            <w:noWrap/>
            <w:vAlign w:val="center"/>
          </w:tcPr>
          <w:p w14:paraId="03A09DF6">
            <w:pPr>
              <w:pStyle w:val="913"/>
              <w:rPr>
                <w:rFonts w:cs="Times New Roman"/>
                <w:sz w:val="18"/>
                <w:szCs w:val="18"/>
              </w:rPr>
            </w:pPr>
            <w:r>
              <w:rPr>
                <w:rFonts w:cs="Times New Roman"/>
                <w:sz w:val="18"/>
                <w:szCs w:val="18"/>
              </w:rPr>
              <w:t>3.36</w:t>
            </w:r>
          </w:p>
        </w:tc>
        <w:tc>
          <w:tcPr>
            <w:tcW w:w="483" w:type="dxa"/>
            <w:noWrap/>
            <w:vAlign w:val="center"/>
          </w:tcPr>
          <w:p w14:paraId="43D8A5D5">
            <w:pPr>
              <w:pStyle w:val="913"/>
              <w:rPr>
                <w:rFonts w:cs="Times New Roman"/>
                <w:sz w:val="18"/>
                <w:szCs w:val="18"/>
              </w:rPr>
            </w:pPr>
            <w:r>
              <w:rPr>
                <w:rFonts w:cs="Times New Roman"/>
                <w:sz w:val="18"/>
                <w:szCs w:val="18"/>
              </w:rPr>
              <w:t>1.88</w:t>
            </w:r>
          </w:p>
        </w:tc>
        <w:tc>
          <w:tcPr>
            <w:tcW w:w="403" w:type="dxa"/>
            <w:noWrap/>
            <w:vAlign w:val="center"/>
          </w:tcPr>
          <w:p w14:paraId="695EB072">
            <w:pPr>
              <w:pStyle w:val="913"/>
              <w:rPr>
                <w:rFonts w:cs="Times New Roman"/>
                <w:sz w:val="18"/>
                <w:szCs w:val="18"/>
              </w:rPr>
            </w:pPr>
            <w:r>
              <w:rPr>
                <w:rFonts w:cs="Times New Roman"/>
                <w:sz w:val="18"/>
                <w:szCs w:val="18"/>
              </w:rPr>
              <w:t>0.13</w:t>
            </w:r>
          </w:p>
        </w:tc>
      </w:tr>
      <w:tr w14:paraId="4B823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5E531D43">
            <w:pPr>
              <w:pStyle w:val="913"/>
              <w:rPr>
                <w:rFonts w:cs="Times New Roman"/>
                <w:sz w:val="18"/>
                <w:szCs w:val="18"/>
              </w:rPr>
            </w:pPr>
            <w:r>
              <w:rPr>
                <w:rFonts w:cs="Times New Roman"/>
                <w:sz w:val="18"/>
                <w:szCs w:val="18"/>
              </w:rPr>
              <w:t>四月</w:t>
            </w:r>
          </w:p>
        </w:tc>
        <w:tc>
          <w:tcPr>
            <w:tcW w:w="508" w:type="dxa"/>
            <w:noWrap/>
            <w:vAlign w:val="center"/>
          </w:tcPr>
          <w:p w14:paraId="35966B15">
            <w:pPr>
              <w:pStyle w:val="913"/>
              <w:rPr>
                <w:rFonts w:cs="Times New Roman"/>
                <w:sz w:val="18"/>
                <w:szCs w:val="18"/>
              </w:rPr>
            </w:pPr>
            <w:r>
              <w:rPr>
                <w:rFonts w:cs="Times New Roman"/>
                <w:sz w:val="18"/>
                <w:szCs w:val="18"/>
              </w:rPr>
              <w:t>8.33</w:t>
            </w:r>
          </w:p>
        </w:tc>
        <w:tc>
          <w:tcPr>
            <w:tcW w:w="419" w:type="dxa"/>
            <w:noWrap/>
            <w:vAlign w:val="center"/>
          </w:tcPr>
          <w:p w14:paraId="6696D300">
            <w:pPr>
              <w:pStyle w:val="913"/>
              <w:rPr>
                <w:rFonts w:cs="Times New Roman"/>
                <w:sz w:val="18"/>
                <w:szCs w:val="18"/>
              </w:rPr>
            </w:pPr>
            <w:r>
              <w:rPr>
                <w:rFonts w:cs="Times New Roman"/>
                <w:sz w:val="18"/>
                <w:szCs w:val="18"/>
              </w:rPr>
              <w:t>6.94</w:t>
            </w:r>
          </w:p>
        </w:tc>
        <w:tc>
          <w:tcPr>
            <w:tcW w:w="419" w:type="dxa"/>
            <w:noWrap/>
            <w:vAlign w:val="center"/>
          </w:tcPr>
          <w:p w14:paraId="4329A70D">
            <w:pPr>
              <w:pStyle w:val="913"/>
              <w:rPr>
                <w:rFonts w:cs="Times New Roman"/>
                <w:sz w:val="18"/>
                <w:szCs w:val="18"/>
              </w:rPr>
            </w:pPr>
            <w:r>
              <w:rPr>
                <w:rFonts w:cs="Times New Roman"/>
                <w:sz w:val="18"/>
                <w:szCs w:val="18"/>
              </w:rPr>
              <w:t>12.22</w:t>
            </w:r>
          </w:p>
        </w:tc>
        <w:tc>
          <w:tcPr>
            <w:tcW w:w="420" w:type="dxa"/>
            <w:noWrap/>
            <w:vAlign w:val="center"/>
          </w:tcPr>
          <w:p w14:paraId="2FFA87D3">
            <w:pPr>
              <w:pStyle w:val="913"/>
              <w:rPr>
                <w:rFonts w:cs="Times New Roman"/>
                <w:sz w:val="18"/>
                <w:szCs w:val="18"/>
              </w:rPr>
            </w:pPr>
            <w:r>
              <w:rPr>
                <w:rFonts w:cs="Times New Roman"/>
                <w:sz w:val="18"/>
                <w:szCs w:val="18"/>
              </w:rPr>
              <w:t>9.86</w:t>
            </w:r>
          </w:p>
        </w:tc>
        <w:tc>
          <w:tcPr>
            <w:tcW w:w="456" w:type="dxa"/>
            <w:noWrap/>
            <w:vAlign w:val="center"/>
          </w:tcPr>
          <w:p w14:paraId="393964EC">
            <w:pPr>
              <w:pStyle w:val="913"/>
              <w:rPr>
                <w:rFonts w:cs="Times New Roman"/>
                <w:sz w:val="18"/>
                <w:szCs w:val="18"/>
              </w:rPr>
            </w:pPr>
            <w:r>
              <w:rPr>
                <w:rFonts w:cs="Times New Roman"/>
                <w:sz w:val="18"/>
                <w:szCs w:val="18"/>
              </w:rPr>
              <w:t>13.47</w:t>
            </w:r>
          </w:p>
        </w:tc>
        <w:tc>
          <w:tcPr>
            <w:tcW w:w="456" w:type="dxa"/>
            <w:noWrap/>
            <w:vAlign w:val="center"/>
          </w:tcPr>
          <w:p w14:paraId="69E17F35">
            <w:pPr>
              <w:pStyle w:val="913"/>
              <w:rPr>
                <w:rFonts w:cs="Times New Roman"/>
                <w:sz w:val="18"/>
                <w:szCs w:val="18"/>
              </w:rPr>
            </w:pPr>
            <w:r>
              <w:rPr>
                <w:rFonts w:cs="Times New Roman"/>
                <w:sz w:val="18"/>
                <w:szCs w:val="18"/>
              </w:rPr>
              <w:t>6.67</w:t>
            </w:r>
          </w:p>
        </w:tc>
        <w:tc>
          <w:tcPr>
            <w:tcW w:w="403" w:type="dxa"/>
            <w:noWrap/>
            <w:vAlign w:val="center"/>
          </w:tcPr>
          <w:p w14:paraId="0ADA0D6B">
            <w:pPr>
              <w:pStyle w:val="913"/>
              <w:rPr>
                <w:rFonts w:cs="Times New Roman"/>
                <w:sz w:val="18"/>
                <w:szCs w:val="18"/>
              </w:rPr>
            </w:pPr>
            <w:r>
              <w:rPr>
                <w:rFonts w:cs="Times New Roman"/>
                <w:sz w:val="18"/>
                <w:szCs w:val="18"/>
              </w:rPr>
              <w:t>6.67</w:t>
            </w:r>
          </w:p>
        </w:tc>
        <w:tc>
          <w:tcPr>
            <w:tcW w:w="403" w:type="dxa"/>
            <w:noWrap/>
            <w:vAlign w:val="center"/>
          </w:tcPr>
          <w:p w14:paraId="6A416A55">
            <w:pPr>
              <w:pStyle w:val="913"/>
              <w:rPr>
                <w:rFonts w:cs="Times New Roman"/>
                <w:sz w:val="18"/>
                <w:szCs w:val="18"/>
              </w:rPr>
            </w:pPr>
            <w:r>
              <w:rPr>
                <w:rFonts w:cs="Times New Roman"/>
                <w:sz w:val="18"/>
                <w:szCs w:val="18"/>
              </w:rPr>
              <w:t>2.36</w:t>
            </w:r>
          </w:p>
        </w:tc>
        <w:tc>
          <w:tcPr>
            <w:tcW w:w="403" w:type="dxa"/>
            <w:noWrap/>
            <w:vAlign w:val="center"/>
          </w:tcPr>
          <w:p w14:paraId="6A991C03">
            <w:pPr>
              <w:pStyle w:val="913"/>
              <w:rPr>
                <w:rFonts w:cs="Times New Roman"/>
                <w:sz w:val="18"/>
                <w:szCs w:val="18"/>
              </w:rPr>
            </w:pPr>
            <w:r>
              <w:rPr>
                <w:rFonts w:cs="Times New Roman"/>
                <w:sz w:val="18"/>
                <w:szCs w:val="18"/>
              </w:rPr>
              <w:t>4.58</w:t>
            </w:r>
          </w:p>
        </w:tc>
        <w:tc>
          <w:tcPr>
            <w:tcW w:w="417" w:type="dxa"/>
            <w:noWrap/>
            <w:vAlign w:val="center"/>
          </w:tcPr>
          <w:p w14:paraId="0ED496D4">
            <w:pPr>
              <w:pStyle w:val="913"/>
              <w:rPr>
                <w:rFonts w:cs="Times New Roman"/>
                <w:sz w:val="18"/>
                <w:szCs w:val="18"/>
              </w:rPr>
            </w:pPr>
            <w:r>
              <w:rPr>
                <w:rFonts w:cs="Times New Roman"/>
                <w:sz w:val="18"/>
                <w:szCs w:val="18"/>
              </w:rPr>
              <w:t>2.08</w:t>
            </w:r>
          </w:p>
        </w:tc>
        <w:tc>
          <w:tcPr>
            <w:tcW w:w="403" w:type="dxa"/>
            <w:noWrap/>
            <w:vAlign w:val="center"/>
          </w:tcPr>
          <w:p w14:paraId="0CAB0089">
            <w:pPr>
              <w:pStyle w:val="913"/>
              <w:rPr>
                <w:rFonts w:cs="Times New Roman"/>
                <w:sz w:val="18"/>
                <w:szCs w:val="18"/>
              </w:rPr>
            </w:pPr>
            <w:r>
              <w:rPr>
                <w:rFonts w:cs="Times New Roman"/>
                <w:sz w:val="18"/>
                <w:szCs w:val="18"/>
              </w:rPr>
              <w:t>3.19</w:t>
            </w:r>
          </w:p>
        </w:tc>
        <w:tc>
          <w:tcPr>
            <w:tcW w:w="494" w:type="dxa"/>
            <w:noWrap/>
            <w:vAlign w:val="center"/>
          </w:tcPr>
          <w:p w14:paraId="1740401E">
            <w:pPr>
              <w:pStyle w:val="913"/>
              <w:rPr>
                <w:rFonts w:cs="Times New Roman"/>
                <w:sz w:val="18"/>
                <w:szCs w:val="18"/>
              </w:rPr>
            </w:pPr>
            <w:r>
              <w:rPr>
                <w:rFonts w:cs="Times New Roman"/>
                <w:sz w:val="18"/>
                <w:szCs w:val="18"/>
              </w:rPr>
              <w:t>4.17</w:t>
            </w:r>
          </w:p>
        </w:tc>
        <w:tc>
          <w:tcPr>
            <w:tcW w:w="456" w:type="dxa"/>
            <w:noWrap/>
            <w:vAlign w:val="center"/>
          </w:tcPr>
          <w:p w14:paraId="16E88928">
            <w:pPr>
              <w:pStyle w:val="913"/>
              <w:rPr>
                <w:rFonts w:cs="Times New Roman"/>
                <w:sz w:val="18"/>
                <w:szCs w:val="18"/>
              </w:rPr>
            </w:pPr>
            <w:r>
              <w:rPr>
                <w:rFonts w:cs="Times New Roman"/>
                <w:sz w:val="18"/>
                <w:szCs w:val="18"/>
              </w:rPr>
              <w:t>7.36</w:t>
            </w:r>
          </w:p>
        </w:tc>
        <w:tc>
          <w:tcPr>
            <w:tcW w:w="527" w:type="dxa"/>
            <w:noWrap/>
            <w:vAlign w:val="center"/>
          </w:tcPr>
          <w:p w14:paraId="71E2773B">
            <w:pPr>
              <w:pStyle w:val="913"/>
              <w:rPr>
                <w:rFonts w:cs="Times New Roman"/>
                <w:sz w:val="18"/>
                <w:szCs w:val="18"/>
              </w:rPr>
            </w:pPr>
            <w:r>
              <w:rPr>
                <w:rFonts w:cs="Times New Roman"/>
                <w:sz w:val="18"/>
                <w:szCs w:val="18"/>
              </w:rPr>
              <w:t>6.39</w:t>
            </w:r>
          </w:p>
        </w:tc>
        <w:tc>
          <w:tcPr>
            <w:tcW w:w="456" w:type="dxa"/>
            <w:noWrap/>
            <w:vAlign w:val="center"/>
          </w:tcPr>
          <w:p w14:paraId="1804F903">
            <w:pPr>
              <w:pStyle w:val="913"/>
              <w:rPr>
                <w:rFonts w:cs="Times New Roman"/>
                <w:sz w:val="18"/>
                <w:szCs w:val="18"/>
              </w:rPr>
            </w:pPr>
            <w:r>
              <w:rPr>
                <w:rFonts w:cs="Times New Roman"/>
                <w:sz w:val="18"/>
                <w:szCs w:val="18"/>
              </w:rPr>
              <w:t>3.61</w:t>
            </w:r>
          </w:p>
        </w:tc>
        <w:tc>
          <w:tcPr>
            <w:tcW w:w="483" w:type="dxa"/>
            <w:noWrap/>
            <w:vAlign w:val="center"/>
          </w:tcPr>
          <w:p w14:paraId="11D1B532">
            <w:pPr>
              <w:pStyle w:val="913"/>
              <w:rPr>
                <w:rFonts w:cs="Times New Roman"/>
                <w:sz w:val="18"/>
                <w:szCs w:val="18"/>
              </w:rPr>
            </w:pPr>
            <w:r>
              <w:rPr>
                <w:rFonts w:cs="Times New Roman"/>
                <w:sz w:val="18"/>
                <w:szCs w:val="18"/>
              </w:rPr>
              <w:t>1.94</w:t>
            </w:r>
          </w:p>
        </w:tc>
        <w:tc>
          <w:tcPr>
            <w:tcW w:w="403" w:type="dxa"/>
            <w:noWrap/>
            <w:vAlign w:val="center"/>
          </w:tcPr>
          <w:p w14:paraId="3520EF1F">
            <w:pPr>
              <w:pStyle w:val="913"/>
              <w:rPr>
                <w:rFonts w:cs="Times New Roman"/>
                <w:sz w:val="18"/>
                <w:szCs w:val="18"/>
              </w:rPr>
            </w:pPr>
            <w:r>
              <w:rPr>
                <w:rFonts w:cs="Times New Roman"/>
                <w:sz w:val="18"/>
                <w:szCs w:val="18"/>
              </w:rPr>
              <w:t>0.14</w:t>
            </w:r>
          </w:p>
        </w:tc>
      </w:tr>
      <w:tr w14:paraId="0A3AB9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5D44B2C7">
            <w:pPr>
              <w:pStyle w:val="913"/>
              <w:rPr>
                <w:rFonts w:cs="Times New Roman"/>
                <w:sz w:val="18"/>
                <w:szCs w:val="18"/>
              </w:rPr>
            </w:pPr>
            <w:r>
              <w:rPr>
                <w:rFonts w:cs="Times New Roman"/>
                <w:sz w:val="18"/>
                <w:szCs w:val="18"/>
              </w:rPr>
              <w:t>五月</w:t>
            </w:r>
          </w:p>
        </w:tc>
        <w:tc>
          <w:tcPr>
            <w:tcW w:w="508" w:type="dxa"/>
            <w:noWrap/>
            <w:vAlign w:val="center"/>
          </w:tcPr>
          <w:p w14:paraId="2F8B5F46">
            <w:pPr>
              <w:pStyle w:val="913"/>
              <w:rPr>
                <w:rFonts w:cs="Times New Roman"/>
                <w:sz w:val="18"/>
                <w:szCs w:val="18"/>
              </w:rPr>
            </w:pPr>
            <w:r>
              <w:rPr>
                <w:rFonts w:cs="Times New Roman"/>
                <w:sz w:val="18"/>
                <w:szCs w:val="18"/>
              </w:rPr>
              <w:t>8.74</w:t>
            </w:r>
          </w:p>
        </w:tc>
        <w:tc>
          <w:tcPr>
            <w:tcW w:w="419" w:type="dxa"/>
            <w:noWrap/>
            <w:vAlign w:val="center"/>
          </w:tcPr>
          <w:p w14:paraId="10D2D840">
            <w:pPr>
              <w:pStyle w:val="913"/>
              <w:rPr>
                <w:rFonts w:cs="Times New Roman"/>
                <w:sz w:val="18"/>
                <w:szCs w:val="18"/>
              </w:rPr>
            </w:pPr>
            <w:r>
              <w:rPr>
                <w:rFonts w:cs="Times New Roman"/>
                <w:sz w:val="18"/>
                <w:szCs w:val="18"/>
              </w:rPr>
              <w:t>7.53</w:t>
            </w:r>
          </w:p>
        </w:tc>
        <w:tc>
          <w:tcPr>
            <w:tcW w:w="419" w:type="dxa"/>
            <w:noWrap/>
            <w:vAlign w:val="center"/>
          </w:tcPr>
          <w:p w14:paraId="03BEBE3C">
            <w:pPr>
              <w:pStyle w:val="913"/>
              <w:rPr>
                <w:rFonts w:cs="Times New Roman"/>
                <w:sz w:val="18"/>
                <w:szCs w:val="18"/>
              </w:rPr>
            </w:pPr>
            <w:r>
              <w:rPr>
                <w:rFonts w:cs="Times New Roman"/>
                <w:sz w:val="18"/>
                <w:szCs w:val="18"/>
              </w:rPr>
              <w:t>9.01</w:t>
            </w:r>
          </w:p>
        </w:tc>
        <w:tc>
          <w:tcPr>
            <w:tcW w:w="420" w:type="dxa"/>
            <w:noWrap/>
            <w:vAlign w:val="center"/>
          </w:tcPr>
          <w:p w14:paraId="4794B300">
            <w:pPr>
              <w:pStyle w:val="913"/>
              <w:rPr>
                <w:rFonts w:cs="Times New Roman"/>
                <w:sz w:val="18"/>
                <w:szCs w:val="18"/>
              </w:rPr>
            </w:pPr>
            <w:r>
              <w:rPr>
                <w:rFonts w:cs="Times New Roman"/>
                <w:sz w:val="18"/>
                <w:szCs w:val="18"/>
              </w:rPr>
              <w:t>7.26</w:t>
            </w:r>
          </w:p>
        </w:tc>
        <w:tc>
          <w:tcPr>
            <w:tcW w:w="456" w:type="dxa"/>
            <w:noWrap/>
            <w:vAlign w:val="center"/>
          </w:tcPr>
          <w:p w14:paraId="2EA3F179">
            <w:pPr>
              <w:pStyle w:val="913"/>
              <w:rPr>
                <w:rFonts w:cs="Times New Roman"/>
                <w:sz w:val="18"/>
                <w:szCs w:val="18"/>
              </w:rPr>
            </w:pPr>
            <w:r>
              <w:rPr>
                <w:rFonts w:cs="Times New Roman"/>
                <w:sz w:val="18"/>
                <w:szCs w:val="18"/>
              </w:rPr>
              <w:t>11.96</w:t>
            </w:r>
          </w:p>
        </w:tc>
        <w:tc>
          <w:tcPr>
            <w:tcW w:w="456" w:type="dxa"/>
            <w:noWrap/>
            <w:vAlign w:val="center"/>
          </w:tcPr>
          <w:p w14:paraId="62738D11">
            <w:pPr>
              <w:pStyle w:val="913"/>
              <w:rPr>
                <w:rFonts w:cs="Times New Roman"/>
                <w:sz w:val="18"/>
                <w:szCs w:val="18"/>
              </w:rPr>
            </w:pPr>
            <w:r>
              <w:rPr>
                <w:rFonts w:cs="Times New Roman"/>
                <w:sz w:val="18"/>
                <w:szCs w:val="18"/>
              </w:rPr>
              <w:t>7.39</w:t>
            </w:r>
          </w:p>
        </w:tc>
        <w:tc>
          <w:tcPr>
            <w:tcW w:w="403" w:type="dxa"/>
            <w:noWrap/>
            <w:vAlign w:val="center"/>
          </w:tcPr>
          <w:p w14:paraId="05F7A46A">
            <w:pPr>
              <w:pStyle w:val="913"/>
              <w:rPr>
                <w:rFonts w:cs="Times New Roman"/>
                <w:sz w:val="18"/>
                <w:szCs w:val="18"/>
              </w:rPr>
            </w:pPr>
            <w:r>
              <w:rPr>
                <w:rFonts w:cs="Times New Roman"/>
                <w:sz w:val="18"/>
                <w:szCs w:val="18"/>
              </w:rPr>
              <w:t>6.85</w:t>
            </w:r>
          </w:p>
        </w:tc>
        <w:tc>
          <w:tcPr>
            <w:tcW w:w="403" w:type="dxa"/>
            <w:noWrap/>
            <w:vAlign w:val="center"/>
          </w:tcPr>
          <w:p w14:paraId="086B24D1">
            <w:pPr>
              <w:pStyle w:val="913"/>
              <w:rPr>
                <w:rFonts w:cs="Times New Roman"/>
                <w:sz w:val="18"/>
                <w:szCs w:val="18"/>
              </w:rPr>
            </w:pPr>
            <w:r>
              <w:rPr>
                <w:rFonts w:cs="Times New Roman"/>
                <w:sz w:val="18"/>
                <w:szCs w:val="18"/>
              </w:rPr>
              <w:t>3.09</w:t>
            </w:r>
          </w:p>
        </w:tc>
        <w:tc>
          <w:tcPr>
            <w:tcW w:w="403" w:type="dxa"/>
            <w:noWrap/>
            <w:vAlign w:val="center"/>
          </w:tcPr>
          <w:p w14:paraId="11702325">
            <w:pPr>
              <w:pStyle w:val="913"/>
              <w:rPr>
                <w:rFonts w:cs="Times New Roman"/>
                <w:sz w:val="18"/>
                <w:szCs w:val="18"/>
              </w:rPr>
            </w:pPr>
            <w:r>
              <w:rPr>
                <w:rFonts w:cs="Times New Roman"/>
                <w:sz w:val="18"/>
                <w:szCs w:val="18"/>
              </w:rPr>
              <w:t>2.96</w:t>
            </w:r>
          </w:p>
        </w:tc>
        <w:tc>
          <w:tcPr>
            <w:tcW w:w="417" w:type="dxa"/>
            <w:noWrap/>
            <w:vAlign w:val="center"/>
          </w:tcPr>
          <w:p w14:paraId="16010548">
            <w:pPr>
              <w:pStyle w:val="913"/>
              <w:rPr>
                <w:rFonts w:cs="Times New Roman"/>
                <w:sz w:val="18"/>
                <w:szCs w:val="18"/>
              </w:rPr>
            </w:pPr>
            <w:r>
              <w:rPr>
                <w:rFonts w:cs="Times New Roman"/>
                <w:sz w:val="18"/>
                <w:szCs w:val="18"/>
              </w:rPr>
              <w:t>2.96</w:t>
            </w:r>
          </w:p>
        </w:tc>
        <w:tc>
          <w:tcPr>
            <w:tcW w:w="403" w:type="dxa"/>
            <w:noWrap/>
            <w:vAlign w:val="center"/>
          </w:tcPr>
          <w:p w14:paraId="40344F88">
            <w:pPr>
              <w:pStyle w:val="913"/>
              <w:rPr>
                <w:rFonts w:cs="Times New Roman"/>
                <w:sz w:val="18"/>
                <w:szCs w:val="18"/>
              </w:rPr>
            </w:pPr>
            <w:r>
              <w:rPr>
                <w:rFonts w:cs="Times New Roman"/>
                <w:sz w:val="18"/>
                <w:szCs w:val="18"/>
              </w:rPr>
              <w:t>1.21</w:t>
            </w:r>
          </w:p>
        </w:tc>
        <w:tc>
          <w:tcPr>
            <w:tcW w:w="494" w:type="dxa"/>
            <w:noWrap/>
            <w:vAlign w:val="center"/>
          </w:tcPr>
          <w:p w14:paraId="31DBECF9">
            <w:pPr>
              <w:pStyle w:val="913"/>
              <w:rPr>
                <w:rFonts w:cs="Times New Roman"/>
                <w:sz w:val="18"/>
                <w:szCs w:val="18"/>
              </w:rPr>
            </w:pPr>
            <w:r>
              <w:rPr>
                <w:rFonts w:cs="Times New Roman"/>
                <w:sz w:val="18"/>
                <w:szCs w:val="18"/>
              </w:rPr>
              <w:t>3.90</w:t>
            </w:r>
          </w:p>
        </w:tc>
        <w:tc>
          <w:tcPr>
            <w:tcW w:w="456" w:type="dxa"/>
            <w:noWrap/>
            <w:vAlign w:val="center"/>
          </w:tcPr>
          <w:p w14:paraId="5D1EDAC1">
            <w:pPr>
              <w:pStyle w:val="913"/>
              <w:rPr>
                <w:rFonts w:cs="Times New Roman"/>
                <w:sz w:val="18"/>
                <w:szCs w:val="18"/>
              </w:rPr>
            </w:pPr>
            <w:r>
              <w:rPr>
                <w:rFonts w:cs="Times New Roman"/>
                <w:sz w:val="18"/>
                <w:szCs w:val="18"/>
              </w:rPr>
              <w:t>8.74</w:t>
            </w:r>
          </w:p>
        </w:tc>
        <w:tc>
          <w:tcPr>
            <w:tcW w:w="527" w:type="dxa"/>
            <w:noWrap/>
            <w:vAlign w:val="center"/>
          </w:tcPr>
          <w:p w14:paraId="03BB1734">
            <w:pPr>
              <w:pStyle w:val="913"/>
              <w:rPr>
                <w:rFonts w:cs="Times New Roman"/>
                <w:sz w:val="18"/>
                <w:szCs w:val="18"/>
              </w:rPr>
            </w:pPr>
            <w:r>
              <w:rPr>
                <w:rFonts w:cs="Times New Roman"/>
                <w:sz w:val="18"/>
                <w:szCs w:val="18"/>
              </w:rPr>
              <w:t>7.93</w:t>
            </w:r>
          </w:p>
        </w:tc>
        <w:tc>
          <w:tcPr>
            <w:tcW w:w="456" w:type="dxa"/>
            <w:noWrap/>
            <w:vAlign w:val="center"/>
          </w:tcPr>
          <w:p w14:paraId="3B75C762">
            <w:pPr>
              <w:pStyle w:val="913"/>
              <w:rPr>
                <w:rFonts w:cs="Times New Roman"/>
                <w:sz w:val="18"/>
                <w:szCs w:val="18"/>
              </w:rPr>
            </w:pPr>
            <w:r>
              <w:rPr>
                <w:rFonts w:cs="Times New Roman"/>
                <w:sz w:val="18"/>
                <w:szCs w:val="18"/>
              </w:rPr>
              <w:t>5.24</w:t>
            </w:r>
          </w:p>
        </w:tc>
        <w:tc>
          <w:tcPr>
            <w:tcW w:w="483" w:type="dxa"/>
            <w:noWrap/>
            <w:vAlign w:val="center"/>
          </w:tcPr>
          <w:p w14:paraId="306EDBDC">
            <w:pPr>
              <w:pStyle w:val="913"/>
              <w:rPr>
                <w:rFonts w:cs="Times New Roman"/>
                <w:sz w:val="18"/>
                <w:szCs w:val="18"/>
              </w:rPr>
            </w:pPr>
            <w:r>
              <w:rPr>
                <w:rFonts w:cs="Times New Roman"/>
                <w:sz w:val="18"/>
                <w:szCs w:val="18"/>
              </w:rPr>
              <w:t>5.24</w:t>
            </w:r>
          </w:p>
        </w:tc>
        <w:tc>
          <w:tcPr>
            <w:tcW w:w="403" w:type="dxa"/>
            <w:noWrap/>
            <w:vAlign w:val="center"/>
          </w:tcPr>
          <w:p w14:paraId="27F557EC">
            <w:pPr>
              <w:pStyle w:val="913"/>
              <w:rPr>
                <w:rFonts w:cs="Times New Roman"/>
                <w:sz w:val="18"/>
                <w:szCs w:val="18"/>
              </w:rPr>
            </w:pPr>
            <w:r>
              <w:rPr>
                <w:rFonts w:cs="Times New Roman"/>
                <w:sz w:val="18"/>
                <w:szCs w:val="18"/>
              </w:rPr>
              <w:t>0.00</w:t>
            </w:r>
          </w:p>
        </w:tc>
      </w:tr>
      <w:tr w14:paraId="60F5F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09F5ADE2">
            <w:pPr>
              <w:pStyle w:val="913"/>
              <w:rPr>
                <w:rFonts w:cs="Times New Roman"/>
                <w:sz w:val="18"/>
                <w:szCs w:val="18"/>
              </w:rPr>
            </w:pPr>
            <w:r>
              <w:rPr>
                <w:rFonts w:cs="Times New Roman"/>
                <w:sz w:val="18"/>
                <w:szCs w:val="18"/>
              </w:rPr>
              <w:t>六月</w:t>
            </w:r>
          </w:p>
        </w:tc>
        <w:tc>
          <w:tcPr>
            <w:tcW w:w="508" w:type="dxa"/>
            <w:noWrap/>
            <w:vAlign w:val="center"/>
          </w:tcPr>
          <w:p w14:paraId="311C7F7C">
            <w:pPr>
              <w:pStyle w:val="913"/>
              <w:rPr>
                <w:rFonts w:cs="Times New Roman"/>
                <w:sz w:val="18"/>
                <w:szCs w:val="18"/>
              </w:rPr>
            </w:pPr>
            <w:r>
              <w:rPr>
                <w:rFonts w:cs="Times New Roman"/>
                <w:sz w:val="18"/>
                <w:szCs w:val="18"/>
              </w:rPr>
              <w:t>10.69</w:t>
            </w:r>
          </w:p>
        </w:tc>
        <w:tc>
          <w:tcPr>
            <w:tcW w:w="419" w:type="dxa"/>
            <w:noWrap/>
            <w:vAlign w:val="center"/>
          </w:tcPr>
          <w:p w14:paraId="2D537D5B">
            <w:pPr>
              <w:pStyle w:val="913"/>
              <w:rPr>
                <w:rFonts w:cs="Times New Roman"/>
                <w:sz w:val="18"/>
                <w:szCs w:val="18"/>
              </w:rPr>
            </w:pPr>
            <w:r>
              <w:rPr>
                <w:rFonts w:cs="Times New Roman"/>
                <w:sz w:val="18"/>
                <w:szCs w:val="18"/>
              </w:rPr>
              <w:t>8.06</w:t>
            </w:r>
          </w:p>
        </w:tc>
        <w:tc>
          <w:tcPr>
            <w:tcW w:w="419" w:type="dxa"/>
            <w:noWrap/>
            <w:vAlign w:val="center"/>
          </w:tcPr>
          <w:p w14:paraId="76FCE692">
            <w:pPr>
              <w:pStyle w:val="913"/>
              <w:rPr>
                <w:rFonts w:cs="Times New Roman"/>
                <w:sz w:val="18"/>
                <w:szCs w:val="18"/>
              </w:rPr>
            </w:pPr>
            <w:r>
              <w:rPr>
                <w:rFonts w:cs="Times New Roman"/>
                <w:sz w:val="18"/>
                <w:szCs w:val="18"/>
              </w:rPr>
              <w:t>11.94</w:t>
            </w:r>
          </w:p>
        </w:tc>
        <w:tc>
          <w:tcPr>
            <w:tcW w:w="420" w:type="dxa"/>
            <w:noWrap/>
            <w:vAlign w:val="center"/>
          </w:tcPr>
          <w:p w14:paraId="5F265910">
            <w:pPr>
              <w:pStyle w:val="913"/>
              <w:rPr>
                <w:rFonts w:cs="Times New Roman"/>
                <w:sz w:val="18"/>
                <w:szCs w:val="18"/>
              </w:rPr>
            </w:pPr>
            <w:r>
              <w:rPr>
                <w:rFonts w:cs="Times New Roman"/>
                <w:sz w:val="18"/>
                <w:szCs w:val="18"/>
              </w:rPr>
              <w:t>9.17</w:t>
            </w:r>
          </w:p>
        </w:tc>
        <w:tc>
          <w:tcPr>
            <w:tcW w:w="456" w:type="dxa"/>
            <w:noWrap/>
            <w:vAlign w:val="center"/>
          </w:tcPr>
          <w:p w14:paraId="5D33958D">
            <w:pPr>
              <w:pStyle w:val="913"/>
              <w:rPr>
                <w:rFonts w:cs="Times New Roman"/>
                <w:sz w:val="18"/>
                <w:szCs w:val="18"/>
              </w:rPr>
            </w:pPr>
            <w:r>
              <w:rPr>
                <w:rFonts w:cs="Times New Roman"/>
                <w:sz w:val="18"/>
                <w:szCs w:val="18"/>
              </w:rPr>
              <w:t>8.19</w:t>
            </w:r>
          </w:p>
        </w:tc>
        <w:tc>
          <w:tcPr>
            <w:tcW w:w="456" w:type="dxa"/>
            <w:noWrap/>
            <w:vAlign w:val="center"/>
          </w:tcPr>
          <w:p w14:paraId="1EFD1ACA">
            <w:pPr>
              <w:pStyle w:val="913"/>
              <w:rPr>
                <w:rFonts w:cs="Times New Roman"/>
                <w:sz w:val="18"/>
                <w:szCs w:val="18"/>
              </w:rPr>
            </w:pPr>
            <w:r>
              <w:rPr>
                <w:rFonts w:cs="Times New Roman"/>
                <w:sz w:val="18"/>
                <w:szCs w:val="18"/>
              </w:rPr>
              <w:t>4.58</w:t>
            </w:r>
          </w:p>
        </w:tc>
        <w:tc>
          <w:tcPr>
            <w:tcW w:w="403" w:type="dxa"/>
            <w:noWrap/>
            <w:vAlign w:val="center"/>
          </w:tcPr>
          <w:p w14:paraId="6EF985AE">
            <w:pPr>
              <w:pStyle w:val="913"/>
              <w:rPr>
                <w:rFonts w:cs="Times New Roman"/>
                <w:sz w:val="18"/>
                <w:szCs w:val="18"/>
              </w:rPr>
            </w:pPr>
            <w:r>
              <w:rPr>
                <w:rFonts w:cs="Times New Roman"/>
                <w:sz w:val="18"/>
                <w:szCs w:val="18"/>
              </w:rPr>
              <w:t>5.42</w:t>
            </w:r>
          </w:p>
        </w:tc>
        <w:tc>
          <w:tcPr>
            <w:tcW w:w="403" w:type="dxa"/>
            <w:noWrap/>
            <w:vAlign w:val="center"/>
          </w:tcPr>
          <w:p w14:paraId="758A5D4B">
            <w:pPr>
              <w:pStyle w:val="913"/>
              <w:rPr>
                <w:rFonts w:cs="Times New Roman"/>
                <w:sz w:val="18"/>
                <w:szCs w:val="18"/>
              </w:rPr>
            </w:pPr>
            <w:r>
              <w:rPr>
                <w:rFonts w:cs="Times New Roman"/>
                <w:sz w:val="18"/>
                <w:szCs w:val="18"/>
              </w:rPr>
              <w:t>2.92</w:t>
            </w:r>
          </w:p>
        </w:tc>
        <w:tc>
          <w:tcPr>
            <w:tcW w:w="403" w:type="dxa"/>
            <w:noWrap/>
            <w:vAlign w:val="center"/>
          </w:tcPr>
          <w:p w14:paraId="5829F477">
            <w:pPr>
              <w:pStyle w:val="913"/>
              <w:rPr>
                <w:rFonts w:cs="Times New Roman"/>
                <w:sz w:val="18"/>
                <w:szCs w:val="18"/>
              </w:rPr>
            </w:pPr>
            <w:r>
              <w:rPr>
                <w:rFonts w:cs="Times New Roman"/>
                <w:sz w:val="18"/>
                <w:szCs w:val="18"/>
              </w:rPr>
              <w:t>3.06</w:t>
            </w:r>
          </w:p>
        </w:tc>
        <w:tc>
          <w:tcPr>
            <w:tcW w:w="417" w:type="dxa"/>
            <w:noWrap/>
            <w:vAlign w:val="center"/>
          </w:tcPr>
          <w:p w14:paraId="5C945A90">
            <w:pPr>
              <w:pStyle w:val="913"/>
              <w:rPr>
                <w:rFonts w:cs="Times New Roman"/>
                <w:sz w:val="18"/>
                <w:szCs w:val="18"/>
              </w:rPr>
            </w:pPr>
            <w:r>
              <w:rPr>
                <w:rFonts w:cs="Times New Roman"/>
                <w:sz w:val="18"/>
                <w:szCs w:val="18"/>
              </w:rPr>
              <w:t>3.75</w:t>
            </w:r>
          </w:p>
        </w:tc>
        <w:tc>
          <w:tcPr>
            <w:tcW w:w="403" w:type="dxa"/>
            <w:noWrap/>
            <w:vAlign w:val="center"/>
          </w:tcPr>
          <w:p w14:paraId="42631E47">
            <w:pPr>
              <w:pStyle w:val="913"/>
              <w:rPr>
                <w:rFonts w:cs="Times New Roman"/>
                <w:sz w:val="18"/>
                <w:szCs w:val="18"/>
              </w:rPr>
            </w:pPr>
            <w:r>
              <w:rPr>
                <w:rFonts w:cs="Times New Roman"/>
                <w:sz w:val="18"/>
                <w:szCs w:val="18"/>
              </w:rPr>
              <w:t>4.86</w:t>
            </w:r>
          </w:p>
        </w:tc>
        <w:tc>
          <w:tcPr>
            <w:tcW w:w="494" w:type="dxa"/>
            <w:noWrap/>
            <w:vAlign w:val="center"/>
          </w:tcPr>
          <w:p w14:paraId="6F8D6D12">
            <w:pPr>
              <w:pStyle w:val="913"/>
              <w:rPr>
                <w:rFonts w:cs="Times New Roman"/>
                <w:sz w:val="18"/>
                <w:szCs w:val="18"/>
              </w:rPr>
            </w:pPr>
            <w:r>
              <w:rPr>
                <w:rFonts w:cs="Times New Roman"/>
                <w:sz w:val="18"/>
                <w:szCs w:val="18"/>
              </w:rPr>
              <w:t>4.86</w:t>
            </w:r>
          </w:p>
        </w:tc>
        <w:tc>
          <w:tcPr>
            <w:tcW w:w="456" w:type="dxa"/>
            <w:noWrap/>
            <w:vAlign w:val="center"/>
          </w:tcPr>
          <w:p w14:paraId="1F9E3F3B">
            <w:pPr>
              <w:pStyle w:val="913"/>
              <w:rPr>
                <w:rFonts w:cs="Times New Roman"/>
                <w:sz w:val="18"/>
                <w:szCs w:val="18"/>
              </w:rPr>
            </w:pPr>
            <w:r>
              <w:rPr>
                <w:rFonts w:cs="Times New Roman"/>
                <w:sz w:val="18"/>
                <w:szCs w:val="18"/>
              </w:rPr>
              <w:t>8.33</w:t>
            </w:r>
          </w:p>
        </w:tc>
        <w:tc>
          <w:tcPr>
            <w:tcW w:w="527" w:type="dxa"/>
            <w:noWrap/>
            <w:vAlign w:val="center"/>
          </w:tcPr>
          <w:p w14:paraId="14EC7F4C">
            <w:pPr>
              <w:pStyle w:val="913"/>
              <w:rPr>
                <w:rFonts w:cs="Times New Roman"/>
                <w:sz w:val="18"/>
                <w:szCs w:val="18"/>
              </w:rPr>
            </w:pPr>
            <w:r>
              <w:rPr>
                <w:rFonts w:cs="Times New Roman"/>
                <w:sz w:val="18"/>
                <w:szCs w:val="18"/>
              </w:rPr>
              <w:t>3.89</w:t>
            </w:r>
          </w:p>
        </w:tc>
        <w:tc>
          <w:tcPr>
            <w:tcW w:w="456" w:type="dxa"/>
            <w:noWrap/>
            <w:vAlign w:val="center"/>
          </w:tcPr>
          <w:p w14:paraId="4FDC3750">
            <w:pPr>
              <w:pStyle w:val="913"/>
              <w:rPr>
                <w:rFonts w:cs="Times New Roman"/>
                <w:sz w:val="18"/>
                <w:szCs w:val="18"/>
              </w:rPr>
            </w:pPr>
            <w:r>
              <w:rPr>
                <w:rFonts w:cs="Times New Roman"/>
                <w:sz w:val="18"/>
                <w:szCs w:val="18"/>
              </w:rPr>
              <w:t>4.58</w:t>
            </w:r>
          </w:p>
        </w:tc>
        <w:tc>
          <w:tcPr>
            <w:tcW w:w="483" w:type="dxa"/>
            <w:noWrap/>
            <w:vAlign w:val="center"/>
          </w:tcPr>
          <w:p w14:paraId="4E42D473">
            <w:pPr>
              <w:pStyle w:val="913"/>
              <w:rPr>
                <w:rFonts w:cs="Times New Roman"/>
                <w:sz w:val="18"/>
                <w:szCs w:val="18"/>
              </w:rPr>
            </w:pPr>
            <w:r>
              <w:rPr>
                <w:rFonts w:cs="Times New Roman"/>
                <w:sz w:val="18"/>
                <w:szCs w:val="18"/>
              </w:rPr>
              <w:t>5.56</w:t>
            </w:r>
          </w:p>
        </w:tc>
        <w:tc>
          <w:tcPr>
            <w:tcW w:w="403" w:type="dxa"/>
            <w:noWrap/>
            <w:vAlign w:val="center"/>
          </w:tcPr>
          <w:p w14:paraId="74DD1831">
            <w:pPr>
              <w:pStyle w:val="913"/>
              <w:rPr>
                <w:rFonts w:cs="Times New Roman"/>
                <w:sz w:val="18"/>
                <w:szCs w:val="18"/>
              </w:rPr>
            </w:pPr>
            <w:r>
              <w:rPr>
                <w:rFonts w:cs="Times New Roman"/>
                <w:sz w:val="18"/>
                <w:szCs w:val="18"/>
              </w:rPr>
              <w:t>0.14</w:t>
            </w:r>
          </w:p>
        </w:tc>
      </w:tr>
      <w:tr w14:paraId="76608C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56FF7414">
            <w:pPr>
              <w:pStyle w:val="913"/>
              <w:rPr>
                <w:rFonts w:cs="Times New Roman"/>
                <w:sz w:val="18"/>
                <w:szCs w:val="18"/>
              </w:rPr>
            </w:pPr>
            <w:r>
              <w:rPr>
                <w:rFonts w:cs="Times New Roman"/>
                <w:sz w:val="18"/>
                <w:szCs w:val="18"/>
              </w:rPr>
              <w:t>七月</w:t>
            </w:r>
          </w:p>
        </w:tc>
        <w:tc>
          <w:tcPr>
            <w:tcW w:w="508" w:type="dxa"/>
            <w:noWrap/>
            <w:vAlign w:val="center"/>
          </w:tcPr>
          <w:p w14:paraId="211517B5">
            <w:pPr>
              <w:pStyle w:val="913"/>
              <w:rPr>
                <w:rFonts w:cs="Times New Roman"/>
                <w:sz w:val="18"/>
                <w:szCs w:val="18"/>
              </w:rPr>
            </w:pPr>
            <w:r>
              <w:rPr>
                <w:rFonts w:cs="Times New Roman"/>
                <w:sz w:val="18"/>
                <w:szCs w:val="18"/>
              </w:rPr>
              <w:t>6.05</w:t>
            </w:r>
          </w:p>
        </w:tc>
        <w:tc>
          <w:tcPr>
            <w:tcW w:w="419" w:type="dxa"/>
            <w:noWrap/>
            <w:vAlign w:val="center"/>
          </w:tcPr>
          <w:p w14:paraId="413B3892">
            <w:pPr>
              <w:pStyle w:val="913"/>
              <w:rPr>
                <w:rFonts w:cs="Times New Roman"/>
                <w:sz w:val="18"/>
                <w:szCs w:val="18"/>
              </w:rPr>
            </w:pPr>
            <w:r>
              <w:rPr>
                <w:rFonts w:cs="Times New Roman"/>
                <w:sz w:val="18"/>
                <w:szCs w:val="18"/>
              </w:rPr>
              <w:t>7.53</w:t>
            </w:r>
          </w:p>
        </w:tc>
        <w:tc>
          <w:tcPr>
            <w:tcW w:w="419" w:type="dxa"/>
            <w:noWrap/>
            <w:vAlign w:val="center"/>
          </w:tcPr>
          <w:p w14:paraId="17F60D43">
            <w:pPr>
              <w:pStyle w:val="913"/>
              <w:rPr>
                <w:rFonts w:cs="Times New Roman"/>
                <w:sz w:val="18"/>
                <w:szCs w:val="18"/>
              </w:rPr>
            </w:pPr>
            <w:r>
              <w:rPr>
                <w:rFonts w:cs="Times New Roman"/>
                <w:sz w:val="18"/>
                <w:szCs w:val="18"/>
              </w:rPr>
              <w:t>10.75</w:t>
            </w:r>
          </w:p>
        </w:tc>
        <w:tc>
          <w:tcPr>
            <w:tcW w:w="420" w:type="dxa"/>
            <w:noWrap/>
            <w:vAlign w:val="center"/>
          </w:tcPr>
          <w:p w14:paraId="55677D1C">
            <w:pPr>
              <w:pStyle w:val="913"/>
              <w:rPr>
                <w:rFonts w:cs="Times New Roman"/>
                <w:sz w:val="18"/>
                <w:szCs w:val="18"/>
              </w:rPr>
            </w:pPr>
            <w:r>
              <w:rPr>
                <w:rFonts w:cs="Times New Roman"/>
                <w:sz w:val="18"/>
                <w:szCs w:val="18"/>
              </w:rPr>
              <w:t>9.54</w:t>
            </w:r>
          </w:p>
        </w:tc>
        <w:tc>
          <w:tcPr>
            <w:tcW w:w="456" w:type="dxa"/>
            <w:noWrap/>
            <w:vAlign w:val="center"/>
          </w:tcPr>
          <w:p w14:paraId="7E3776BB">
            <w:pPr>
              <w:pStyle w:val="913"/>
              <w:rPr>
                <w:rFonts w:cs="Times New Roman"/>
                <w:sz w:val="18"/>
                <w:szCs w:val="18"/>
              </w:rPr>
            </w:pPr>
            <w:r>
              <w:rPr>
                <w:rFonts w:cs="Times New Roman"/>
                <w:sz w:val="18"/>
                <w:szCs w:val="18"/>
              </w:rPr>
              <w:t>12.37</w:t>
            </w:r>
          </w:p>
        </w:tc>
        <w:tc>
          <w:tcPr>
            <w:tcW w:w="456" w:type="dxa"/>
            <w:noWrap/>
            <w:vAlign w:val="center"/>
          </w:tcPr>
          <w:p w14:paraId="30D2E2CA">
            <w:pPr>
              <w:pStyle w:val="913"/>
              <w:rPr>
                <w:rFonts w:cs="Times New Roman"/>
                <w:sz w:val="18"/>
                <w:szCs w:val="18"/>
              </w:rPr>
            </w:pPr>
            <w:r>
              <w:rPr>
                <w:rFonts w:cs="Times New Roman"/>
                <w:sz w:val="18"/>
                <w:szCs w:val="18"/>
              </w:rPr>
              <w:t>5.24</w:t>
            </w:r>
          </w:p>
        </w:tc>
        <w:tc>
          <w:tcPr>
            <w:tcW w:w="403" w:type="dxa"/>
            <w:noWrap/>
            <w:vAlign w:val="center"/>
          </w:tcPr>
          <w:p w14:paraId="255326CB">
            <w:pPr>
              <w:pStyle w:val="913"/>
              <w:rPr>
                <w:rFonts w:cs="Times New Roman"/>
                <w:sz w:val="18"/>
                <w:szCs w:val="18"/>
              </w:rPr>
            </w:pPr>
            <w:r>
              <w:rPr>
                <w:rFonts w:cs="Times New Roman"/>
                <w:sz w:val="18"/>
                <w:szCs w:val="18"/>
              </w:rPr>
              <w:t>3.36</w:t>
            </w:r>
          </w:p>
        </w:tc>
        <w:tc>
          <w:tcPr>
            <w:tcW w:w="403" w:type="dxa"/>
            <w:noWrap/>
            <w:vAlign w:val="center"/>
          </w:tcPr>
          <w:p w14:paraId="0203F132">
            <w:pPr>
              <w:pStyle w:val="913"/>
              <w:rPr>
                <w:rFonts w:cs="Times New Roman"/>
                <w:sz w:val="18"/>
                <w:szCs w:val="18"/>
              </w:rPr>
            </w:pPr>
            <w:r>
              <w:rPr>
                <w:rFonts w:cs="Times New Roman"/>
                <w:sz w:val="18"/>
                <w:szCs w:val="18"/>
              </w:rPr>
              <w:t>3.49</w:t>
            </w:r>
          </w:p>
        </w:tc>
        <w:tc>
          <w:tcPr>
            <w:tcW w:w="403" w:type="dxa"/>
            <w:noWrap/>
            <w:vAlign w:val="center"/>
          </w:tcPr>
          <w:p w14:paraId="6C48CE86">
            <w:pPr>
              <w:pStyle w:val="913"/>
              <w:rPr>
                <w:rFonts w:cs="Times New Roman"/>
                <w:sz w:val="18"/>
                <w:szCs w:val="18"/>
              </w:rPr>
            </w:pPr>
            <w:r>
              <w:rPr>
                <w:rFonts w:cs="Times New Roman"/>
                <w:sz w:val="18"/>
                <w:szCs w:val="18"/>
              </w:rPr>
              <w:t>3.36</w:t>
            </w:r>
          </w:p>
        </w:tc>
        <w:tc>
          <w:tcPr>
            <w:tcW w:w="417" w:type="dxa"/>
            <w:noWrap/>
            <w:vAlign w:val="center"/>
          </w:tcPr>
          <w:p w14:paraId="4027CFD6">
            <w:pPr>
              <w:pStyle w:val="913"/>
              <w:rPr>
                <w:rFonts w:cs="Times New Roman"/>
                <w:sz w:val="18"/>
                <w:szCs w:val="18"/>
              </w:rPr>
            </w:pPr>
            <w:r>
              <w:rPr>
                <w:rFonts w:cs="Times New Roman"/>
                <w:sz w:val="18"/>
                <w:szCs w:val="18"/>
              </w:rPr>
              <w:t>4.03</w:t>
            </w:r>
          </w:p>
        </w:tc>
        <w:tc>
          <w:tcPr>
            <w:tcW w:w="403" w:type="dxa"/>
            <w:noWrap/>
            <w:vAlign w:val="center"/>
          </w:tcPr>
          <w:p w14:paraId="525D178A">
            <w:pPr>
              <w:pStyle w:val="913"/>
              <w:rPr>
                <w:rFonts w:cs="Times New Roman"/>
                <w:sz w:val="18"/>
                <w:szCs w:val="18"/>
              </w:rPr>
            </w:pPr>
            <w:r>
              <w:rPr>
                <w:rFonts w:cs="Times New Roman"/>
                <w:sz w:val="18"/>
                <w:szCs w:val="18"/>
              </w:rPr>
              <w:t>4.70</w:t>
            </w:r>
          </w:p>
        </w:tc>
        <w:tc>
          <w:tcPr>
            <w:tcW w:w="494" w:type="dxa"/>
            <w:noWrap/>
            <w:vAlign w:val="center"/>
          </w:tcPr>
          <w:p w14:paraId="585CD7F5">
            <w:pPr>
              <w:pStyle w:val="913"/>
              <w:rPr>
                <w:rFonts w:cs="Times New Roman"/>
                <w:sz w:val="18"/>
                <w:szCs w:val="18"/>
              </w:rPr>
            </w:pPr>
            <w:r>
              <w:rPr>
                <w:rFonts w:cs="Times New Roman"/>
                <w:sz w:val="18"/>
                <w:szCs w:val="18"/>
              </w:rPr>
              <w:t>7.26</w:t>
            </w:r>
          </w:p>
        </w:tc>
        <w:tc>
          <w:tcPr>
            <w:tcW w:w="456" w:type="dxa"/>
            <w:noWrap/>
            <w:vAlign w:val="center"/>
          </w:tcPr>
          <w:p w14:paraId="7CD5AF23">
            <w:pPr>
              <w:pStyle w:val="913"/>
              <w:rPr>
                <w:rFonts w:cs="Times New Roman"/>
                <w:sz w:val="18"/>
                <w:szCs w:val="18"/>
              </w:rPr>
            </w:pPr>
            <w:r>
              <w:rPr>
                <w:rFonts w:cs="Times New Roman"/>
                <w:sz w:val="18"/>
                <w:szCs w:val="18"/>
              </w:rPr>
              <w:t>9.54</w:t>
            </w:r>
          </w:p>
        </w:tc>
        <w:tc>
          <w:tcPr>
            <w:tcW w:w="527" w:type="dxa"/>
            <w:noWrap/>
            <w:vAlign w:val="center"/>
          </w:tcPr>
          <w:p w14:paraId="2CACC974">
            <w:pPr>
              <w:pStyle w:val="913"/>
              <w:rPr>
                <w:rFonts w:cs="Times New Roman"/>
                <w:sz w:val="18"/>
                <w:szCs w:val="18"/>
              </w:rPr>
            </w:pPr>
            <w:r>
              <w:rPr>
                <w:rFonts w:cs="Times New Roman"/>
                <w:sz w:val="18"/>
                <w:szCs w:val="18"/>
              </w:rPr>
              <w:t>4.44</w:t>
            </w:r>
          </w:p>
        </w:tc>
        <w:tc>
          <w:tcPr>
            <w:tcW w:w="456" w:type="dxa"/>
            <w:noWrap/>
            <w:vAlign w:val="center"/>
          </w:tcPr>
          <w:p w14:paraId="7BB924CE">
            <w:pPr>
              <w:pStyle w:val="913"/>
              <w:rPr>
                <w:rFonts w:cs="Times New Roman"/>
                <w:sz w:val="18"/>
                <w:szCs w:val="18"/>
              </w:rPr>
            </w:pPr>
            <w:r>
              <w:rPr>
                <w:rFonts w:cs="Times New Roman"/>
                <w:sz w:val="18"/>
                <w:szCs w:val="18"/>
              </w:rPr>
              <w:t>3.49</w:t>
            </w:r>
          </w:p>
        </w:tc>
        <w:tc>
          <w:tcPr>
            <w:tcW w:w="483" w:type="dxa"/>
            <w:noWrap/>
            <w:vAlign w:val="center"/>
          </w:tcPr>
          <w:p w14:paraId="08C5DF7C">
            <w:pPr>
              <w:pStyle w:val="913"/>
              <w:rPr>
                <w:rFonts w:cs="Times New Roman"/>
                <w:sz w:val="18"/>
                <w:szCs w:val="18"/>
              </w:rPr>
            </w:pPr>
            <w:r>
              <w:rPr>
                <w:rFonts w:cs="Times New Roman"/>
                <w:sz w:val="18"/>
                <w:szCs w:val="18"/>
              </w:rPr>
              <w:t>4.44</w:t>
            </w:r>
          </w:p>
        </w:tc>
        <w:tc>
          <w:tcPr>
            <w:tcW w:w="403" w:type="dxa"/>
            <w:noWrap/>
            <w:vAlign w:val="center"/>
          </w:tcPr>
          <w:p w14:paraId="2A1B5A36">
            <w:pPr>
              <w:pStyle w:val="913"/>
              <w:rPr>
                <w:rFonts w:cs="Times New Roman"/>
                <w:sz w:val="18"/>
                <w:szCs w:val="18"/>
              </w:rPr>
            </w:pPr>
            <w:r>
              <w:rPr>
                <w:rFonts w:cs="Times New Roman"/>
                <w:sz w:val="18"/>
                <w:szCs w:val="18"/>
              </w:rPr>
              <w:t>0.40</w:t>
            </w:r>
          </w:p>
        </w:tc>
      </w:tr>
      <w:tr w14:paraId="3244E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70E7D9A7">
            <w:pPr>
              <w:pStyle w:val="913"/>
              <w:rPr>
                <w:rFonts w:cs="Times New Roman"/>
                <w:sz w:val="18"/>
                <w:szCs w:val="18"/>
              </w:rPr>
            </w:pPr>
            <w:r>
              <w:rPr>
                <w:rFonts w:cs="Times New Roman"/>
                <w:sz w:val="18"/>
                <w:szCs w:val="18"/>
              </w:rPr>
              <w:t>八月</w:t>
            </w:r>
          </w:p>
        </w:tc>
        <w:tc>
          <w:tcPr>
            <w:tcW w:w="508" w:type="dxa"/>
            <w:noWrap/>
            <w:vAlign w:val="center"/>
          </w:tcPr>
          <w:p w14:paraId="0995CD0A">
            <w:pPr>
              <w:pStyle w:val="913"/>
              <w:rPr>
                <w:rFonts w:cs="Times New Roman"/>
                <w:sz w:val="18"/>
                <w:szCs w:val="18"/>
              </w:rPr>
            </w:pPr>
            <w:r>
              <w:rPr>
                <w:rFonts w:cs="Times New Roman"/>
                <w:sz w:val="18"/>
                <w:szCs w:val="18"/>
              </w:rPr>
              <w:t>7.93</w:t>
            </w:r>
          </w:p>
        </w:tc>
        <w:tc>
          <w:tcPr>
            <w:tcW w:w="419" w:type="dxa"/>
            <w:noWrap/>
            <w:vAlign w:val="center"/>
          </w:tcPr>
          <w:p w14:paraId="52E7A55D">
            <w:pPr>
              <w:pStyle w:val="913"/>
              <w:rPr>
                <w:rFonts w:cs="Times New Roman"/>
                <w:sz w:val="18"/>
                <w:szCs w:val="18"/>
              </w:rPr>
            </w:pPr>
            <w:r>
              <w:rPr>
                <w:rFonts w:cs="Times New Roman"/>
                <w:sz w:val="18"/>
                <w:szCs w:val="18"/>
              </w:rPr>
              <w:t>7.12</w:t>
            </w:r>
          </w:p>
        </w:tc>
        <w:tc>
          <w:tcPr>
            <w:tcW w:w="419" w:type="dxa"/>
            <w:noWrap/>
            <w:vAlign w:val="center"/>
          </w:tcPr>
          <w:p w14:paraId="1BBFCB7C">
            <w:pPr>
              <w:pStyle w:val="913"/>
              <w:rPr>
                <w:rFonts w:cs="Times New Roman"/>
                <w:sz w:val="18"/>
                <w:szCs w:val="18"/>
              </w:rPr>
            </w:pPr>
            <w:r>
              <w:rPr>
                <w:rFonts w:cs="Times New Roman"/>
                <w:sz w:val="18"/>
                <w:szCs w:val="18"/>
              </w:rPr>
              <w:t>5.51</w:t>
            </w:r>
          </w:p>
        </w:tc>
        <w:tc>
          <w:tcPr>
            <w:tcW w:w="420" w:type="dxa"/>
            <w:noWrap/>
            <w:vAlign w:val="center"/>
          </w:tcPr>
          <w:p w14:paraId="27EE20B3">
            <w:pPr>
              <w:pStyle w:val="913"/>
              <w:rPr>
                <w:rFonts w:cs="Times New Roman"/>
                <w:sz w:val="18"/>
                <w:szCs w:val="18"/>
              </w:rPr>
            </w:pPr>
            <w:r>
              <w:rPr>
                <w:rFonts w:cs="Times New Roman"/>
                <w:sz w:val="18"/>
                <w:szCs w:val="18"/>
              </w:rPr>
              <w:t>11.96</w:t>
            </w:r>
          </w:p>
        </w:tc>
        <w:tc>
          <w:tcPr>
            <w:tcW w:w="456" w:type="dxa"/>
            <w:noWrap/>
            <w:vAlign w:val="center"/>
          </w:tcPr>
          <w:p w14:paraId="756945E5">
            <w:pPr>
              <w:pStyle w:val="913"/>
              <w:rPr>
                <w:rFonts w:cs="Times New Roman"/>
                <w:sz w:val="18"/>
                <w:szCs w:val="18"/>
              </w:rPr>
            </w:pPr>
            <w:r>
              <w:rPr>
                <w:rFonts w:cs="Times New Roman"/>
                <w:sz w:val="18"/>
                <w:szCs w:val="18"/>
              </w:rPr>
              <w:t>15.05</w:t>
            </w:r>
          </w:p>
        </w:tc>
        <w:tc>
          <w:tcPr>
            <w:tcW w:w="456" w:type="dxa"/>
            <w:noWrap/>
            <w:vAlign w:val="center"/>
          </w:tcPr>
          <w:p w14:paraId="62AB5E59">
            <w:pPr>
              <w:pStyle w:val="913"/>
              <w:rPr>
                <w:rFonts w:cs="Times New Roman"/>
                <w:sz w:val="18"/>
                <w:szCs w:val="18"/>
              </w:rPr>
            </w:pPr>
            <w:r>
              <w:rPr>
                <w:rFonts w:cs="Times New Roman"/>
                <w:sz w:val="18"/>
                <w:szCs w:val="18"/>
              </w:rPr>
              <w:t>10.08</w:t>
            </w:r>
          </w:p>
        </w:tc>
        <w:tc>
          <w:tcPr>
            <w:tcW w:w="403" w:type="dxa"/>
            <w:noWrap/>
            <w:vAlign w:val="center"/>
          </w:tcPr>
          <w:p w14:paraId="634F556C">
            <w:pPr>
              <w:pStyle w:val="913"/>
              <w:rPr>
                <w:rFonts w:cs="Times New Roman"/>
                <w:sz w:val="18"/>
                <w:szCs w:val="18"/>
              </w:rPr>
            </w:pPr>
            <w:r>
              <w:rPr>
                <w:rFonts w:cs="Times New Roman"/>
                <w:sz w:val="18"/>
                <w:szCs w:val="18"/>
              </w:rPr>
              <w:t>4.84</w:t>
            </w:r>
          </w:p>
        </w:tc>
        <w:tc>
          <w:tcPr>
            <w:tcW w:w="403" w:type="dxa"/>
            <w:noWrap/>
            <w:vAlign w:val="center"/>
          </w:tcPr>
          <w:p w14:paraId="758CE8F2">
            <w:pPr>
              <w:pStyle w:val="913"/>
              <w:rPr>
                <w:rFonts w:cs="Times New Roman"/>
                <w:sz w:val="18"/>
                <w:szCs w:val="18"/>
              </w:rPr>
            </w:pPr>
            <w:r>
              <w:rPr>
                <w:rFonts w:cs="Times New Roman"/>
                <w:sz w:val="18"/>
                <w:szCs w:val="18"/>
              </w:rPr>
              <w:t>2.42</w:t>
            </w:r>
          </w:p>
        </w:tc>
        <w:tc>
          <w:tcPr>
            <w:tcW w:w="403" w:type="dxa"/>
            <w:noWrap/>
            <w:vAlign w:val="center"/>
          </w:tcPr>
          <w:p w14:paraId="39D18E84">
            <w:pPr>
              <w:pStyle w:val="913"/>
              <w:rPr>
                <w:rFonts w:cs="Times New Roman"/>
                <w:sz w:val="18"/>
                <w:szCs w:val="18"/>
              </w:rPr>
            </w:pPr>
            <w:r>
              <w:rPr>
                <w:rFonts w:cs="Times New Roman"/>
                <w:sz w:val="18"/>
                <w:szCs w:val="18"/>
              </w:rPr>
              <w:t>3.63</w:t>
            </w:r>
          </w:p>
        </w:tc>
        <w:tc>
          <w:tcPr>
            <w:tcW w:w="417" w:type="dxa"/>
            <w:noWrap/>
            <w:vAlign w:val="center"/>
          </w:tcPr>
          <w:p w14:paraId="37552882">
            <w:pPr>
              <w:pStyle w:val="913"/>
              <w:rPr>
                <w:rFonts w:cs="Times New Roman"/>
                <w:sz w:val="18"/>
                <w:szCs w:val="18"/>
              </w:rPr>
            </w:pPr>
            <w:r>
              <w:rPr>
                <w:rFonts w:cs="Times New Roman"/>
                <w:sz w:val="18"/>
                <w:szCs w:val="18"/>
              </w:rPr>
              <w:t>2.28</w:t>
            </w:r>
          </w:p>
        </w:tc>
        <w:tc>
          <w:tcPr>
            <w:tcW w:w="403" w:type="dxa"/>
            <w:noWrap/>
            <w:vAlign w:val="center"/>
          </w:tcPr>
          <w:p w14:paraId="58FFD2CD">
            <w:pPr>
              <w:pStyle w:val="913"/>
              <w:rPr>
                <w:rFonts w:cs="Times New Roman"/>
                <w:sz w:val="18"/>
                <w:szCs w:val="18"/>
              </w:rPr>
            </w:pPr>
            <w:r>
              <w:rPr>
                <w:rFonts w:cs="Times New Roman"/>
                <w:sz w:val="18"/>
                <w:szCs w:val="18"/>
              </w:rPr>
              <w:t>3.90</w:t>
            </w:r>
          </w:p>
        </w:tc>
        <w:tc>
          <w:tcPr>
            <w:tcW w:w="494" w:type="dxa"/>
            <w:noWrap/>
            <w:vAlign w:val="center"/>
          </w:tcPr>
          <w:p w14:paraId="6946D890">
            <w:pPr>
              <w:pStyle w:val="913"/>
              <w:rPr>
                <w:rFonts w:cs="Times New Roman"/>
                <w:sz w:val="18"/>
                <w:szCs w:val="18"/>
              </w:rPr>
            </w:pPr>
            <w:r>
              <w:rPr>
                <w:rFonts w:cs="Times New Roman"/>
                <w:sz w:val="18"/>
                <w:szCs w:val="18"/>
              </w:rPr>
              <w:t>4.44</w:t>
            </w:r>
          </w:p>
        </w:tc>
        <w:tc>
          <w:tcPr>
            <w:tcW w:w="456" w:type="dxa"/>
            <w:noWrap/>
            <w:vAlign w:val="center"/>
          </w:tcPr>
          <w:p w14:paraId="5DEF0133">
            <w:pPr>
              <w:pStyle w:val="913"/>
              <w:rPr>
                <w:rFonts w:cs="Times New Roman"/>
                <w:sz w:val="18"/>
                <w:szCs w:val="18"/>
              </w:rPr>
            </w:pPr>
            <w:r>
              <w:rPr>
                <w:rFonts w:cs="Times New Roman"/>
                <w:sz w:val="18"/>
                <w:szCs w:val="18"/>
              </w:rPr>
              <w:t>8.33</w:t>
            </w:r>
          </w:p>
        </w:tc>
        <w:tc>
          <w:tcPr>
            <w:tcW w:w="527" w:type="dxa"/>
            <w:noWrap/>
            <w:vAlign w:val="center"/>
          </w:tcPr>
          <w:p w14:paraId="350DE927">
            <w:pPr>
              <w:pStyle w:val="913"/>
              <w:rPr>
                <w:rFonts w:cs="Times New Roman"/>
                <w:sz w:val="18"/>
                <w:szCs w:val="18"/>
              </w:rPr>
            </w:pPr>
            <w:r>
              <w:rPr>
                <w:rFonts w:cs="Times New Roman"/>
                <w:sz w:val="18"/>
                <w:szCs w:val="18"/>
              </w:rPr>
              <w:t>4.57</w:t>
            </w:r>
          </w:p>
        </w:tc>
        <w:tc>
          <w:tcPr>
            <w:tcW w:w="456" w:type="dxa"/>
            <w:noWrap/>
            <w:vAlign w:val="center"/>
          </w:tcPr>
          <w:p w14:paraId="71B65F06">
            <w:pPr>
              <w:pStyle w:val="913"/>
              <w:rPr>
                <w:rFonts w:cs="Times New Roman"/>
                <w:sz w:val="18"/>
                <w:szCs w:val="18"/>
              </w:rPr>
            </w:pPr>
            <w:r>
              <w:rPr>
                <w:rFonts w:cs="Times New Roman"/>
                <w:sz w:val="18"/>
                <w:szCs w:val="18"/>
              </w:rPr>
              <w:t>3.90</w:t>
            </w:r>
          </w:p>
        </w:tc>
        <w:tc>
          <w:tcPr>
            <w:tcW w:w="483" w:type="dxa"/>
            <w:noWrap/>
            <w:vAlign w:val="center"/>
          </w:tcPr>
          <w:p w14:paraId="7C684B8F">
            <w:pPr>
              <w:pStyle w:val="913"/>
              <w:rPr>
                <w:rFonts w:cs="Times New Roman"/>
                <w:sz w:val="18"/>
                <w:szCs w:val="18"/>
              </w:rPr>
            </w:pPr>
            <w:r>
              <w:rPr>
                <w:rFonts w:cs="Times New Roman"/>
                <w:sz w:val="18"/>
                <w:szCs w:val="18"/>
              </w:rPr>
              <w:t>3.76</w:t>
            </w:r>
          </w:p>
        </w:tc>
        <w:tc>
          <w:tcPr>
            <w:tcW w:w="403" w:type="dxa"/>
            <w:noWrap/>
            <w:vAlign w:val="center"/>
          </w:tcPr>
          <w:p w14:paraId="482799D2">
            <w:pPr>
              <w:pStyle w:val="913"/>
              <w:rPr>
                <w:rFonts w:cs="Times New Roman"/>
                <w:sz w:val="18"/>
                <w:szCs w:val="18"/>
              </w:rPr>
            </w:pPr>
            <w:r>
              <w:rPr>
                <w:rFonts w:cs="Times New Roman"/>
                <w:sz w:val="18"/>
                <w:szCs w:val="18"/>
              </w:rPr>
              <w:t>0.27</w:t>
            </w:r>
          </w:p>
        </w:tc>
      </w:tr>
      <w:tr w14:paraId="31E9D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17F67394">
            <w:pPr>
              <w:pStyle w:val="913"/>
              <w:rPr>
                <w:rFonts w:cs="Times New Roman"/>
                <w:sz w:val="18"/>
                <w:szCs w:val="18"/>
              </w:rPr>
            </w:pPr>
            <w:r>
              <w:rPr>
                <w:rFonts w:cs="Times New Roman"/>
                <w:sz w:val="18"/>
                <w:szCs w:val="18"/>
              </w:rPr>
              <w:t>九月</w:t>
            </w:r>
          </w:p>
        </w:tc>
        <w:tc>
          <w:tcPr>
            <w:tcW w:w="508" w:type="dxa"/>
            <w:noWrap/>
            <w:vAlign w:val="center"/>
          </w:tcPr>
          <w:p w14:paraId="64BCAAF0">
            <w:pPr>
              <w:pStyle w:val="913"/>
              <w:rPr>
                <w:rFonts w:cs="Times New Roman"/>
                <w:sz w:val="18"/>
                <w:szCs w:val="18"/>
              </w:rPr>
            </w:pPr>
            <w:r>
              <w:rPr>
                <w:rFonts w:cs="Times New Roman"/>
                <w:sz w:val="18"/>
                <w:szCs w:val="18"/>
              </w:rPr>
              <w:t>12.08</w:t>
            </w:r>
          </w:p>
        </w:tc>
        <w:tc>
          <w:tcPr>
            <w:tcW w:w="419" w:type="dxa"/>
            <w:noWrap/>
            <w:vAlign w:val="center"/>
          </w:tcPr>
          <w:p w14:paraId="34F69F8A">
            <w:pPr>
              <w:pStyle w:val="913"/>
              <w:rPr>
                <w:rFonts w:cs="Times New Roman"/>
                <w:sz w:val="18"/>
                <w:szCs w:val="18"/>
              </w:rPr>
            </w:pPr>
            <w:r>
              <w:rPr>
                <w:rFonts w:cs="Times New Roman"/>
                <w:sz w:val="18"/>
                <w:szCs w:val="18"/>
              </w:rPr>
              <w:t>7.92</w:t>
            </w:r>
          </w:p>
        </w:tc>
        <w:tc>
          <w:tcPr>
            <w:tcW w:w="419" w:type="dxa"/>
            <w:noWrap/>
            <w:vAlign w:val="center"/>
          </w:tcPr>
          <w:p w14:paraId="74534F9D">
            <w:pPr>
              <w:pStyle w:val="913"/>
              <w:rPr>
                <w:rFonts w:cs="Times New Roman"/>
                <w:sz w:val="18"/>
                <w:szCs w:val="18"/>
              </w:rPr>
            </w:pPr>
            <w:r>
              <w:rPr>
                <w:rFonts w:cs="Times New Roman"/>
                <w:sz w:val="18"/>
                <w:szCs w:val="18"/>
              </w:rPr>
              <w:t>9.31</w:t>
            </w:r>
          </w:p>
        </w:tc>
        <w:tc>
          <w:tcPr>
            <w:tcW w:w="420" w:type="dxa"/>
            <w:noWrap/>
            <w:vAlign w:val="center"/>
          </w:tcPr>
          <w:p w14:paraId="3B223C1C">
            <w:pPr>
              <w:pStyle w:val="913"/>
              <w:rPr>
                <w:rFonts w:cs="Times New Roman"/>
                <w:sz w:val="18"/>
                <w:szCs w:val="18"/>
              </w:rPr>
            </w:pPr>
            <w:r>
              <w:rPr>
                <w:rFonts w:cs="Times New Roman"/>
                <w:sz w:val="18"/>
                <w:szCs w:val="18"/>
              </w:rPr>
              <w:t>9.58</w:t>
            </w:r>
          </w:p>
        </w:tc>
        <w:tc>
          <w:tcPr>
            <w:tcW w:w="456" w:type="dxa"/>
            <w:noWrap/>
            <w:vAlign w:val="center"/>
          </w:tcPr>
          <w:p w14:paraId="2B68E49A">
            <w:pPr>
              <w:pStyle w:val="913"/>
              <w:rPr>
                <w:rFonts w:cs="Times New Roman"/>
                <w:sz w:val="18"/>
                <w:szCs w:val="18"/>
              </w:rPr>
            </w:pPr>
            <w:r>
              <w:rPr>
                <w:rFonts w:cs="Times New Roman"/>
                <w:sz w:val="18"/>
                <w:szCs w:val="18"/>
              </w:rPr>
              <w:t>12.22</w:t>
            </w:r>
          </w:p>
        </w:tc>
        <w:tc>
          <w:tcPr>
            <w:tcW w:w="456" w:type="dxa"/>
            <w:noWrap/>
            <w:vAlign w:val="center"/>
          </w:tcPr>
          <w:p w14:paraId="7216A708">
            <w:pPr>
              <w:pStyle w:val="913"/>
              <w:rPr>
                <w:rFonts w:cs="Times New Roman"/>
                <w:sz w:val="18"/>
                <w:szCs w:val="18"/>
              </w:rPr>
            </w:pPr>
            <w:r>
              <w:rPr>
                <w:rFonts w:cs="Times New Roman"/>
                <w:sz w:val="18"/>
                <w:szCs w:val="18"/>
              </w:rPr>
              <w:t>7.50</w:t>
            </w:r>
          </w:p>
        </w:tc>
        <w:tc>
          <w:tcPr>
            <w:tcW w:w="403" w:type="dxa"/>
            <w:noWrap/>
            <w:vAlign w:val="center"/>
          </w:tcPr>
          <w:p w14:paraId="6A12DBDC">
            <w:pPr>
              <w:pStyle w:val="913"/>
              <w:rPr>
                <w:rFonts w:cs="Times New Roman"/>
                <w:sz w:val="18"/>
                <w:szCs w:val="18"/>
              </w:rPr>
            </w:pPr>
            <w:r>
              <w:rPr>
                <w:rFonts w:cs="Times New Roman"/>
                <w:sz w:val="18"/>
                <w:szCs w:val="18"/>
              </w:rPr>
              <w:t>5.00</w:t>
            </w:r>
          </w:p>
        </w:tc>
        <w:tc>
          <w:tcPr>
            <w:tcW w:w="403" w:type="dxa"/>
            <w:noWrap/>
            <w:vAlign w:val="center"/>
          </w:tcPr>
          <w:p w14:paraId="70896DCC">
            <w:pPr>
              <w:pStyle w:val="913"/>
              <w:rPr>
                <w:rFonts w:cs="Times New Roman"/>
                <w:sz w:val="18"/>
                <w:szCs w:val="18"/>
              </w:rPr>
            </w:pPr>
            <w:r>
              <w:rPr>
                <w:rFonts w:cs="Times New Roman"/>
                <w:sz w:val="18"/>
                <w:szCs w:val="18"/>
              </w:rPr>
              <w:t>2.64</w:t>
            </w:r>
          </w:p>
        </w:tc>
        <w:tc>
          <w:tcPr>
            <w:tcW w:w="403" w:type="dxa"/>
            <w:noWrap/>
            <w:vAlign w:val="center"/>
          </w:tcPr>
          <w:p w14:paraId="63461402">
            <w:pPr>
              <w:pStyle w:val="913"/>
              <w:rPr>
                <w:rFonts w:cs="Times New Roman"/>
                <w:sz w:val="18"/>
                <w:szCs w:val="18"/>
              </w:rPr>
            </w:pPr>
            <w:r>
              <w:rPr>
                <w:rFonts w:cs="Times New Roman"/>
                <w:sz w:val="18"/>
                <w:szCs w:val="18"/>
              </w:rPr>
              <w:t>3.06</w:t>
            </w:r>
          </w:p>
        </w:tc>
        <w:tc>
          <w:tcPr>
            <w:tcW w:w="417" w:type="dxa"/>
            <w:noWrap/>
            <w:vAlign w:val="center"/>
          </w:tcPr>
          <w:p w14:paraId="127A75F5">
            <w:pPr>
              <w:pStyle w:val="913"/>
              <w:rPr>
                <w:rFonts w:cs="Times New Roman"/>
                <w:sz w:val="18"/>
                <w:szCs w:val="18"/>
              </w:rPr>
            </w:pPr>
            <w:r>
              <w:rPr>
                <w:rFonts w:cs="Times New Roman"/>
                <w:sz w:val="18"/>
                <w:szCs w:val="18"/>
              </w:rPr>
              <w:t>2.22</w:t>
            </w:r>
          </w:p>
        </w:tc>
        <w:tc>
          <w:tcPr>
            <w:tcW w:w="403" w:type="dxa"/>
            <w:noWrap/>
            <w:vAlign w:val="center"/>
          </w:tcPr>
          <w:p w14:paraId="7F0BFAB0">
            <w:pPr>
              <w:pStyle w:val="913"/>
              <w:rPr>
                <w:rFonts w:cs="Times New Roman"/>
                <w:sz w:val="18"/>
                <w:szCs w:val="18"/>
              </w:rPr>
            </w:pPr>
            <w:r>
              <w:rPr>
                <w:rFonts w:cs="Times New Roman"/>
                <w:sz w:val="18"/>
                <w:szCs w:val="18"/>
              </w:rPr>
              <w:t>3.75</w:t>
            </w:r>
          </w:p>
        </w:tc>
        <w:tc>
          <w:tcPr>
            <w:tcW w:w="494" w:type="dxa"/>
            <w:noWrap/>
            <w:vAlign w:val="center"/>
          </w:tcPr>
          <w:p w14:paraId="099D251B">
            <w:pPr>
              <w:pStyle w:val="913"/>
              <w:rPr>
                <w:rFonts w:cs="Times New Roman"/>
                <w:sz w:val="18"/>
                <w:szCs w:val="18"/>
              </w:rPr>
            </w:pPr>
            <w:r>
              <w:rPr>
                <w:rFonts w:cs="Times New Roman"/>
                <w:sz w:val="18"/>
                <w:szCs w:val="18"/>
              </w:rPr>
              <w:t>4.86</w:t>
            </w:r>
          </w:p>
        </w:tc>
        <w:tc>
          <w:tcPr>
            <w:tcW w:w="456" w:type="dxa"/>
            <w:noWrap/>
            <w:vAlign w:val="center"/>
          </w:tcPr>
          <w:p w14:paraId="6CA53753">
            <w:pPr>
              <w:pStyle w:val="913"/>
              <w:rPr>
                <w:rFonts w:cs="Times New Roman"/>
                <w:sz w:val="18"/>
                <w:szCs w:val="18"/>
              </w:rPr>
            </w:pPr>
            <w:r>
              <w:rPr>
                <w:rFonts w:cs="Times New Roman"/>
                <w:sz w:val="18"/>
                <w:szCs w:val="18"/>
              </w:rPr>
              <w:t>7.08</w:t>
            </w:r>
          </w:p>
        </w:tc>
        <w:tc>
          <w:tcPr>
            <w:tcW w:w="527" w:type="dxa"/>
            <w:noWrap/>
            <w:vAlign w:val="center"/>
          </w:tcPr>
          <w:p w14:paraId="1948660A">
            <w:pPr>
              <w:pStyle w:val="913"/>
              <w:rPr>
                <w:rFonts w:cs="Times New Roman"/>
                <w:sz w:val="18"/>
                <w:szCs w:val="18"/>
              </w:rPr>
            </w:pPr>
            <w:r>
              <w:rPr>
                <w:rFonts w:cs="Times New Roman"/>
                <w:sz w:val="18"/>
                <w:szCs w:val="18"/>
              </w:rPr>
              <w:t>3.47</w:t>
            </w:r>
          </w:p>
        </w:tc>
        <w:tc>
          <w:tcPr>
            <w:tcW w:w="456" w:type="dxa"/>
            <w:noWrap/>
            <w:vAlign w:val="center"/>
          </w:tcPr>
          <w:p w14:paraId="097F3CEB">
            <w:pPr>
              <w:pStyle w:val="913"/>
              <w:rPr>
                <w:rFonts w:cs="Times New Roman"/>
                <w:sz w:val="18"/>
                <w:szCs w:val="18"/>
              </w:rPr>
            </w:pPr>
            <w:r>
              <w:rPr>
                <w:rFonts w:cs="Times New Roman"/>
                <w:sz w:val="18"/>
                <w:szCs w:val="18"/>
              </w:rPr>
              <w:t>4.86</w:t>
            </w:r>
          </w:p>
        </w:tc>
        <w:tc>
          <w:tcPr>
            <w:tcW w:w="483" w:type="dxa"/>
            <w:noWrap/>
            <w:vAlign w:val="center"/>
          </w:tcPr>
          <w:p w14:paraId="7150A815">
            <w:pPr>
              <w:pStyle w:val="913"/>
              <w:rPr>
                <w:rFonts w:cs="Times New Roman"/>
                <w:sz w:val="18"/>
                <w:szCs w:val="18"/>
              </w:rPr>
            </w:pPr>
            <w:r>
              <w:rPr>
                <w:rFonts w:cs="Times New Roman"/>
                <w:sz w:val="18"/>
                <w:szCs w:val="18"/>
              </w:rPr>
              <w:t>4.17</w:t>
            </w:r>
          </w:p>
        </w:tc>
        <w:tc>
          <w:tcPr>
            <w:tcW w:w="403" w:type="dxa"/>
            <w:noWrap/>
            <w:vAlign w:val="center"/>
          </w:tcPr>
          <w:p w14:paraId="3E4D2DFB">
            <w:pPr>
              <w:pStyle w:val="913"/>
              <w:rPr>
                <w:rFonts w:cs="Times New Roman"/>
                <w:sz w:val="18"/>
                <w:szCs w:val="18"/>
              </w:rPr>
            </w:pPr>
            <w:r>
              <w:rPr>
                <w:rFonts w:cs="Times New Roman"/>
                <w:sz w:val="18"/>
                <w:szCs w:val="18"/>
              </w:rPr>
              <w:t>0.28</w:t>
            </w:r>
          </w:p>
        </w:tc>
      </w:tr>
      <w:tr w14:paraId="7700B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72BE7DC3">
            <w:pPr>
              <w:pStyle w:val="913"/>
              <w:rPr>
                <w:rFonts w:cs="Times New Roman"/>
                <w:sz w:val="18"/>
                <w:szCs w:val="18"/>
              </w:rPr>
            </w:pPr>
            <w:r>
              <w:rPr>
                <w:rFonts w:cs="Times New Roman"/>
                <w:sz w:val="18"/>
                <w:szCs w:val="18"/>
              </w:rPr>
              <w:t>十月</w:t>
            </w:r>
          </w:p>
        </w:tc>
        <w:tc>
          <w:tcPr>
            <w:tcW w:w="508" w:type="dxa"/>
            <w:noWrap/>
            <w:vAlign w:val="center"/>
          </w:tcPr>
          <w:p w14:paraId="10EB930F">
            <w:pPr>
              <w:pStyle w:val="913"/>
              <w:rPr>
                <w:rFonts w:cs="Times New Roman"/>
                <w:sz w:val="18"/>
                <w:szCs w:val="18"/>
              </w:rPr>
            </w:pPr>
            <w:r>
              <w:rPr>
                <w:rFonts w:cs="Times New Roman"/>
                <w:sz w:val="18"/>
                <w:szCs w:val="18"/>
              </w:rPr>
              <w:t>17.74</w:t>
            </w:r>
          </w:p>
        </w:tc>
        <w:tc>
          <w:tcPr>
            <w:tcW w:w="419" w:type="dxa"/>
            <w:noWrap/>
            <w:vAlign w:val="center"/>
          </w:tcPr>
          <w:p w14:paraId="38756B9C">
            <w:pPr>
              <w:pStyle w:val="913"/>
              <w:rPr>
                <w:rFonts w:cs="Times New Roman"/>
                <w:sz w:val="18"/>
                <w:szCs w:val="18"/>
              </w:rPr>
            </w:pPr>
            <w:r>
              <w:rPr>
                <w:rFonts w:cs="Times New Roman"/>
                <w:sz w:val="18"/>
                <w:szCs w:val="18"/>
              </w:rPr>
              <w:t>10.89</w:t>
            </w:r>
          </w:p>
        </w:tc>
        <w:tc>
          <w:tcPr>
            <w:tcW w:w="419" w:type="dxa"/>
            <w:noWrap/>
            <w:vAlign w:val="center"/>
          </w:tcPr>
          <w:p w14:paraId="0BAE0C41">
            <w:pPr>
              <w:pStyle w:val="913"/>
              <w:rPr>
                <w:rFonts w:cs="Times New Roman"/>
                <w:sz w:val="18"/>
                <w:szCs w:val="18"/>
              </w:rPr>
            </w:pPr>
            <w:r>
              <w:rPr>
                <w:rFonts w:cs="Times New Roman"/>
                <w:sz w:val="18"/>
                <w:szCs w:val="18"/>
              </w:rPr>
              <w:t>7.66</w:t>
            </w:r>
          </w:p>
        </w:tc>
        <w:tc>
          <w:tcPr>
            <w:tcW w:w="420" w:type="dxa"/>
            <w:noWrap/>
            <w:vAlign w:val="center"/>
          </w:tcPr>
          <w:p w14:paraId="2F18BF27">
            <w:pPr>
              <w:pStyle w:val="913"/>
              <w:rPr>
                <w:rFonts w:cs="Times New Roman"/>
                <w:sz w:val="18"/>
                <w:szCs w:val="18"/>
              </w:rPr>
            </w:pPr>
            <w:r>
              <w:rPr>
                <w:rFonts w:cs="Times New Roman"/>
                <w:sz w:val="18"/>
                <w:szCs w:val="18"/>
              </w:rPr>
              <w:t>8.06</w:t>
            </w:r>
          </w:p>
        </w:tc>
        <w:tc>
          <w:tcPr>
            <w:tcW w:w="456" w:type="dxa"/>
            <w:noWrap/>
            <w:vAlign w:val="center"/>
          </w:tcPr>
          <w:p w14:paraId="636A1515">
            <w:pPr>
              <w:pStyle w:val="913"/>
              <w:rPr>
                <w:rFonts w:cs="Times New Roman"/>
                <w:sz w:val="18"/>
                <w:szCs w:val="18"/>
              </w:rPr>
            </w:pPr>
            <w:r>
              <w:rPr>
                <w:rFonts w:cs="Times New Roman"/>
                <w:sz w:val="18"/>
                <w:szCs w:val="18"/>
              </w:rPr>
              <w:t>11.69</w:t>
            </w:r>
          </w:p>
        </w:tc>
        <w:tc>
          <w:tcPr>
            <w:tcW w:w="456" w:type="dxa"/>
            <w:noWrap/>
            <w:vAlign w:val="center"/>
          </w:tcPr>
          <w:p w14:paraId="77B79F44">
            <w:pPr>
              <w:pStyle w:val="913"/>
              <w:rPr>
                <w:rFonts w:cs="Times New Roman"/>
                <w:sz w:val="18"/>
                <w:szCs w:val="18"/>
              </w:rPr>
            </w:pPr>
            <w:r>
              <w:rPr>
                <w:rFonts w:cs="Times New Roman"/>
                <w:sz w:val="18"/>
                <w:szCs w:val="18"/>
              </w:rPr>
              <w:t>4.30</w:t>
            </w:r>
          </w:p>
        </w:tc>
        <w:tc>
          <w:tcPr>
            <w:tcW w:w="403" w:type="dxa"/>
            <w:noWrap/>
            <w:vAlign w:val="center"/>
          </w:tcPr>
          <w:p w14:paraId="5A65EF55">
            <w:pPr>
              <w:pStyle w:val="913"/>
              <w:rPr>
                <w:rFonts w:cs="Times New Roman"/>
                <w:sz w:val="18"/>
                <w:szCs w:val="18"/>
              </w:rPr>
            </w:pPr>
            <w:r>
              <w:rPr>
                <w:rFonts w:cs="Times New Roman"/>
                <w:sz w:val="18"/>
                <w:szCs w:val="18"/>
              </w:rPr>
              <w:t>4.70</w:t>
            </w:r>
          </w:p>
        </w:tc>
        <w:tc>
          <w:tcPr>
            <w:tcW w:w="403" w:type="dxa"/>
            <w:noWrap/>
            <w:vAlign w:val="center"/>
          </w:tcPr>
          <w:p w14:paraId="139B84FF">
            <w:pPr>
              <w:pStyle w:val="913"/>
              <w:rPr>
                <w:rFonts w:cs="Times New Roman"/>
                <w:sz w:val="18"/>
                <w:szCs w:val="18"/>
              </w:rPr>
            </w:pPr>
            <w:r>
              <w:rPr>
                <w:rFonts w:cs="Times New Roman"/>
                <w:sz w:val="18"/>
                <w:szCs w:val="18"/>
              </w:rPr>
              <w:t>4.17</w:t>
            </w:r>
          </w:p>
        </w:tc>
        <w:tc>
          <w:tcPr>
            <w:tcW w:w="403" w:type="dxa"/>
            <w:noWrap/>
            <w:vAlign w:val="center"/>
          </w:tcPr>
          <w:p w14:paraId="5049DA71">
            <w:pPr>
              <w:pStyle w:val="913"/>
              <w:rPr>
                <w:rFonts w:cs="Times New Roman"/>
                <w:sz w:val="18"/>
                <w:szCs w:val="18"/>
              </w:rPr>
            </w:pPr>
            <w:r>
              <w:rPr>
                <w:rFonts w:cs="Times New Roman"/>
                <w:sz w:val="18"/>
                <w:szCs w:val="18"/>
              </w:rPr>
              <w:t>4.30</w:t>
            </w:r>
          </w:p>
        </w:tc>
        <w:tc>
          <w:tcPr>
            <w:tcW w:w="417" w:type="dxa"/>
            <w:noWrap/>
            <w:vAlign w:val="center"/>
          </w:tcPr>
          <w:p w14:paraId="3C4DF68B">
            <w:pPr>
              <w:pStyle w:val="913"/>
              <w:rPr>
                <w:rFonts w:cs="Times New Roman"/>
                <w:sz w:val="18"/>
                <w:szCs w:val="18"/>
              </w:rPr>
            </w:pPr>
            <w:r>
              <w:rPr>
                <w:rFonts w:cs="Times New Roman"/>
                <w:sz w:val="18"/>
                <w:szCs w:val="18"/>
              </w:rPr>
              <w:t>2.28</w:t>
            </w:r>
          </w:p>
        </w:tc>
        <w:tc>
          <w:tcPr>
            <w:tcW w:w="403" w:type="dxa"/>
            <w:noWrap/>
            <w:vAlign w:val="center"/>
          </w:tcPr>
          <w:p w14:paraId="15F81601">
            <w:pPr>
              <w:pStyle w:val="913"/>
              <w:rPr>
                <w:rFonts w:cs="Times New Roman"/>
                <w:sz w:val="18"/>
                <w:szCs w:val="18"/>
              </w:rPr>
            </w:pPr>
            <w:r>
              <w:rPr>
                <w:rFonts w:cs="Times New Roman"/>
                <w:sz w:val="18"/>
                <w:szCs w:val="18"/>
              </w:rPr>
              <w:t>2.15</w:t>
            </w:r>
          </w:p>
        </w:tc>
        <w:tc>
          <w:tcPr>
            <w:tcW w:w="494" w:type="dxa"/>
            <w:noWrap/>
            <w:vAlign w:val="center"/>
          </w:tcPr>
          <w:p w14:paraId="6970E03B">
            <w:pPr>
              <w:pStyle w:val="913"/>
              <w:rPr>
                <w:rFonts w:cs="Times New Roman"/>
                <w:sz w:val="18"/>
                <w:szCs w:val="18"/>
              </w:rPr>
            </w:pPr>
            <w:r>
              <w:rPr>
                <w:rFonts w:cs="Times New Roman"/>
                <w:sz w:val="18"/>
                <w:szCs w:val="18"/>
              </w:rPr>
              <w:t>4.03</w:t>
            </w:r>
          </w:p>
        </w:tc>
        <w:tc>
          <w:tcPr>
            <w:tcW w:w="456" w:type="dxa"/>
            <w:noWrap/>
            <w:vAlign w:val="center"/>
          </w:tcPr>
          <w:p w14:paraId="2A57164B">
            <w:pPr>
              <w:pStyle w:val="913"/>
              <w:rPr>
                <w:rFonts w:cs="Times New Roman"/>
                <w:sz w:val="18"/>
                <w:szCs w:val="18"/>
              </w:rPr>
            </w:pPr>
            <w:r>
              <w:rPr>
                <w:rFonts w:cs="Times New Roman"/>
                <w:sz w:val="18"/>
                <w:szCs w:val="18"/>
              </w:rPr>
              <w:t>6.45</w:t>
            </w:r>
          </w:p>
        </w:tc>
        <w:tc>
          <w:tcPr>
            <w:tcW w:w="527" w:type="dxa"/>
            <w:noWrap/>
            <w:vAlign w:val="center"/>
          </w:tcPr>
          <w:p w14:paraId="69FF136F">
            <w:pPr>
              <w:pStyle w:val="913"/>
              <w:rPr>
                <w:rFonts w:cs="Times New Roman"/>
                <w:sz w:val="18"/>
                <w:szCs w:val="18"/>
              </w:rPr>
            </w:pPr>
            <w:r>
              <w:rPr>
                <w:rFonts w:cs="Times New Roman"/>
                <w:sz w:val="18"/>
                <w:szCs w:val="18"/>
              </w:rPr>
              <w:t>3.76</w:t>
            </w:r>
          </w:p>
        </w:tc>
        <w:tc>
          <w:tcPr>
            <w:tcW w:w="456" w:type="dxa"/>
            <w:noWrap/>
            <w:vAlign w:val="center"/>
          </w:tcPr>
          <w:p w14:paraId="79998182">
            <w:pPr>
              <w:pStyle w:val="913"/>
              <w:rPr>
                <w:rFonts w:cs="Times New Roman"/>
                <w:sz w:val="18"/>
                <w:szCs w:val="18"/>
              </w:rPr>
            </w:pPr>
            <w:r>
              <w:rPr>
                <w:rFonts w:cs="Times New Roman"/>
                <w:sz w:val="18"/>
                <w:szCs w:val="18"/>
              </w:rPr>
              <w:t>4.17</w:t>
            </w:r>
          </w:p>
        </w:tc>
        <w:tc>
          <w:tcPr>
            <w:tcW w:w="483" w:type="dxa"/>
            <w:noWrap/>
            <w:vAlign w:val="center"/>
          </w:tcPr>
          <w:p w14:paraId="110A3F8E">
            <w:pPr>
              <w:pStyle w:val="913"/>
              <w:rPr>
                <w:rFonts w:cs="Times New Roman"/>
                <w:sz w:val="18"/>
                <w:szCs w:val="18"/>
              </w:rPr>
            </w:pPr>
            <w:r>
              <w:rPr>
                <w:rFonts w:cs="Times New Roman"/>
                <w:sz w:val="18"/>
                <w:szCs w:val="18"/>
              </w:rPr>
              <w:t>3.36</w:t>
            </w:r>
          </w:p>
        </w:tc>
        <w:tc>
          <w:tcPr>
            <w:tcW w:w="403" w:type="dxa"/>
            <w:noWrap/>
            <w:vAlign w:val="center"/>
          </w:tcPr>
          <w:p w14:paraId="5134F0A5">
            <w:pPr>
              <w:pStyle w:val="913"/>
              <w:rPr>
                <w:rFonts w:cs="Times New Roman"/>
                <w:sz w:val="18"/>
                <w:szCs w:val="18"/>
              </w:rPr>
            </w:pPr>
            <w:r>
              <w:rPr>
                <w:rFonts w:cs="Times New Roman"/>
                <w:sz w:val="18"/>
                <w:szCs w:val="18"/>
              </w:rPr>
              <w:t>0.27</w:t>
            </w:r>
          </w:p>
        </w:tc>
      </w:tr>
      <w:tr w14:paraId="385119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726F4C51">
            <w:pPr>
              <w:pStyle w:val="913"/>
              <w:rPr>
                <w:rFonts w:cs="Times New Roman"/>
                <w:sz w:val="18"/>
                <w:szCs w:val="18"/>
              </w:rPr>
            </w:pPr>
            <w:r>
              <w:rPr>
                <w:rFonts w:cs="Times New Roman"/>
                <w:sz w:val="18"/>
                <w:szCs w:val="18"/>
              </w:rPr>
              <w:t>十一月</w:t>
            </w:r>
          </w:p>
        </w:tc>
        <w:tc>
          <w:tcPr>
            <w:tcW w:w="508" w:type="dxa"/>
            <w:noWrap/>
            <w:vAlign w:val="center"/>
          </w:tcPr>
          <w:p w14:paraId="32CFC446">
            <w:pPr>
              <w:pStyle w:val="913"/>
              <w:rPr>
                <w:rFonts w:cs="Times New Roman"/>
                <w:sz w:val="18"/>
                <w:szCs w:val="18"/>
              </w:rPr>
            </w:pPr>
            <w:r>
              <w:rPr>
                <w:rFonts w:cs="Times New Roman"/>
                <w:sz w:val="18"/>
                <w:szCs w:val="18"/>
              </w:rPr>
              <w:t>9.31</w:t>
            </w:r>
          </w:p>
        </w:tc>
        <w:tc>
          <w:tcPr>
            <w:tcW w:w="419" w:type="dxa"/>
            <w:noWrap/>
            <w:vAlign w:val="center"/>
          </w:tcPr>
          <w:p w14:paraId="67A98D37">
            <w:pPr>
              <w:pStyle w:val="913"/>
              <w:rPr>
                <w:rFonts w:cs="Times New Roman"/>
                <w:sz w:val="18"/>
                <w:szCs w:val="18"/>
              </w:rPr>
            </w:pPr>
            <w:r>
              <w:rPr>
                <w:rFonts w:cs="Times New Roman"/>
                <w:sz w:val="18"/>
                <w:szCs w:val="18"/>
              </w:rPr>
              <w:t>6.67</w:t>
            </w:r>
          </w:p>
        </w:tc>
        <w:tc>
          <w:tcPr>
            <w:tcW w:w="419" w:type="dxa"/>
            <w:noWrap/>
            <w:vAlign w:val="center"/>
          </w:tcPr>
          <w:p w14:paraId="6E9B6460">
            <w:pPr>
              <w:pStyle w:val="913"/>
              <w:rPr>
                <w:rFonts w:cs="Times New Roman"/>
                <w:sz w:val="18"/>
                <w:szCs w:val="18"/>
              </w:rPr>
            </w:pPr>
            <w:r>
              <w:rPr>
                <w:rFonts w:cs="Times New Roman"/>
                <w:sz w:val="18"/>
                <w:szCs w:val="18"/>
              </w:rPr>
              <w:t>6.39</w:t>
            </w:r>
          </w:p>
        </w:tc>
        <w:tc>
          <w:tcPr>
            <w:tcW w:w="420" w:type="dxa"/>
            <w:noWrap/>
            <w:vAlign w:val="center"/>
          </w:tcPr>
          <w:p w14:paraId="5A669835">
            <w:pPr>
              <w:pStyle w:val="913"/>
              <w:rPr>
                <w:rFonts w:cs="Times New Roman"/>
                <w:sz w:val="18"/>
                <w:szCs w:val="18"/>
              </w:rPr>
            </w:pPr>
            <w:r>
              <w:rPr>
                <w:rFonts w:cs="Times New Roman"/>
                <w:sz w:val="18"/>
                <w:szCs w:val="18"/>
              </w:rPr>
              <w:t>13.19</w:t>
            </w:r>
          </w:p>
        </w:tc>
        <w:tc>
          <w:tcPr>
            <w:tcW w:w="456" w:type="dxa"/>
            <w:noWrap/>
            <w:vAlign w:val="center"/>
          </w:tcPr>
          <w:p w14:paraId="2CEA014C">
            <w:pPr>
              <w:pStyle w:val="913"/>
              <w:rPr>
                <w:rFonts w:cs="Times New Roman"/>
                <w:sz w:val="18"/>
                <w:szCs w:val="18"/>
              </w:rPr>
            </w:pPr>
            <w:r>
              <w:rPr>
                <w:rFonts w:cs="Times New Roman"/>
                <w:sz w:val="18"/>
                <w:szCs w:val="18"/>
              </w:rPr>
              <w:t>20.14</w:t>
            </w:r>
          </w:p>
        </w:tc>
        <w:tc>
          <w:tcPr>
            <w:tcW w:w="456" w:type="dxa"/>
            <w:noWrap/>
            <w:vAlign w:val="center"/>
          </w:tcPr>
          <w:p w14:paraId="2840847F">
            <w:pPr>
              <w:pStyle w:val="913"/>
              <w:rPr>
                <w:rFonts w:cs="Times New Roman"/>
                <w:sz w:val="18"/>
                <w:szCs w:val="18"/>
              </w:rPr>
            </w:pPr>
            <w:r>
              <w:rPr>
                <w:rFonts w:cs="Times New Roman"/>
                <w:sz w:val="18"/>
                <w:szCs w:val="18"/>
              </w:rPr>
              <w:t>4.72</w:t>
            </w:r>
          </w:p>
        </w:tc>
        <w:tc>
          <w:tcPr>
            <w:tcW w:w="403" w:type="dxa"/>
            <w:noWrap/>
            <w:vAlign w:val="center"/>
          </w:tcPr>
          <w:p w14:paraId="4E27C557">
            <w:pPr>
              <w:pStyle w:val="913"/>
              <w:rPr>
                <w:rFonts w:cs="Times New Roman"/>
                <w:sz w:val="18"/>
                <w:szCs w:val="18"/>
              </w:rPr>
            </w:pPr>
            <w:r>
              <w:rPr>
                <w:rFonts w:cs="Times New Roman"/>
                <w:sz w:val="18"/>
                <w:szCs w:val="18"/>
              </w:rPr>
              <w:t>6.11</w:t>
            </w:r>
          </w:p>
        </w:tc>
        <w:tc>
          <w:tcPr>
            <w:tcW w:w="403" w:type="dxa"/>
            <w:noWrap/>
            <w:vAlign w:val="center"/>
          </w:tcPr>
          <w:p w14:paraId="66CA8633">
            <w:pPr>
              <w:pStyle w:val="913"/>
              <w:rPr>
                <w:rFonts w:cs="Times New Roman"/>
                <w:sz w:val="18"/>
                <w:szCs w:val="18"/>
              </w:rPr>
            </w:pPr>
            <w:r>
              <w:rPr>
                <w:rFonts w:cs="Times New Roman"/>
                <w:sz w:val="18"/>
                <w:szCs w:val="18"/>
              </w:rPr>
              <w:t>3.33</w:t>
            </w:r>
          </w:p>
        </w:tc>
        <w:tc>
          <w:tcPr>
            <w:tcW w:w="403" w:type="dxa"/>
            <w:noWrap/>
            <w:vAlign w:val="center"/>
          </w:tcPr>
          <w:p w14:paraId="028B4C71">
            <w:pPr>
              <w:pStyle w:val="913"/>
              <w:rPr>
                <w:rFonts w:cs="Times New Roman"/>
                <w:sz w:val="18"/>
                <w:szCs w:val="18"/>
              </w:rPr>
            </w:pPr>
            <w:r>
              <w:rPr>
                <w:rFonts w:cs="Times New Roman"/>
                <w:sz w:val="18"/>
                <w:szCs w:val="18"/>
              </w:rPr>
              <w:t>3.33</w:t>
            </w:r>
          </w:p>
        </w:tc>
        <w:tc>
          <w:tcPr>
            <w:tcW w:w="417" w:type="dxa"/>
            <w:noWrap/>
            <w:vAlign w:val="center"/>
          </w:tcPr>
          <w:p w14:paraId="35002C78">
            <w:pPr>
              <w:pStyle w:val="913"/>
              <w:rPr>
                <w:rFonts w:cs="Times New Roman"/>
                <w:sz w:val="18"/>
                <w:szCs w:val="18"/>
              </w:rPr>
            </w:pPr>
            <w:r>
              <w:rPr>
                <w:rFonts w:cs="Times New Roman"/>
                <w:sz w:val="18"/>
                <w:szCs w:val="18"/>
              </w:rPr>
              <w:t>1.81</w:t>
            </w:r>
          </w:p>
        </w:tc>
        <w:tc>
          <w:tcPr>
            <w:tcW w:w="403" w:type="dxa"/>
            <w:noWrap/>
            <w:vAlign w:val="center"/>
          </w:tcPr>
          <w:p w14:paraId="62B6D1E2">
            <w:pPr>
              <w:pStyle w:val="913"/>
              <w:rPr>
                <w:rFonts w:cs="Times New Roman"/>
                <w:sz w:val="18"/>
                <w:szCs w:val="18"/>
              </w:rPr>
            </w:pPr>
            <w:r>
              <w:rPr>
                <w:rFonts w:cs="Times New Roman"/>
                <w:sz w:val="18"/>
                <w:szCs w:val="18"/>
              </w:rPr>
              <w:t>2.64</w:t>
            </w:r>
          </w:p>
        </w:tc>
        <w:tc>
          <w:tcPr>
            <w:tcW w:w="494" w:type="dxa"/>
            <w:noWrap/>
            <w:vAlign w:val="center"/>
          </w:tcPr>
          <w:p w14:paraId="1A9EB73A">
            <w:pPr>
              <w:pStyle w:val="913"/>
              <w:rPr>
                <w:rFonts w:cs="Times New Roman"/>
                <w:sz w:val="18"/>
                <w:szCs w:val="18"/>
              </w:rPr>
            </w:pPr>
            <w:r>
              <w:rPr>
                <w:rFonts w:cs="Times New Roman"/>
                <w:sz w:val="18"/>
                <w:szCs w:val="18"/>
              </w:rPr>
              <w:t>3.61</w:t>
            </w:r>
          </w:p>
        </w:tc>
        <w:tc>
          <w:tcPr>
            <w:tcW w:w="456" w:type="dxa"/>
            <w:noWrap/>
            <w:vAlign w:val="center"/>
          </w:tcPr>
          <w:p w14:paraId="55E7E3AB">
            <w:pPr>
              <w:pStyle w:val="913"/>
              <w:rPr>
                <w:rFonts w:cs="Times New Roman"/>
                <w:sz w:val="18"/>
                <w:szCs w:val="18"/>
              </w:rPr>
            </w:pPr>
            <w:r>
              <w:rPr>
                <w:rFonts w:cs="Times New Roman"/>
                <w:sz w:val="18"/>
                <w:szCs w:val="18"/>
              </w:rPr>
              <w:t>8.06</w:t>
            </w:r>
          </w:p>
        </w:tc>
        <w:tc>
          <w:tcPr>
            <w:tcW w:w="527" w:type="dxa"/>
            <w:noWrap/>
            <w:vAlign w:val="center"/>
          </w:tcPr>
          <w:p w14:paraId="3C15E86B">
            <w:pPr>
              <w:pStyle w:val="913"/>
              <w:rPr>
                <w:rFonts w:cs="Times New Roman"/>
                <w:sz w:val="18"/>
                <w:szCs w:val="18"/>
              </w:rPr>
            </w:pPr>
            <w:r>
              <w:rPr>
                <w:rFonts w:cs="Times New Roman"/>
                <w:sz w:val="18"/>
                <w:szCs w:val="18"/>
              </w:rPr>
              <w:t>3.47</w:t>
            </w:r>
          </w:p>
        </w:tc>
        <w:tc>
          <w:tcPr>
            <w:tcW w:w="456" w:type="dxa"/>
            <w:noWrap/>
            <w:vAlign w:val="center"/>
          </w:tcPr>
          <w:p w14:paraId="2F822DC9">
            <w:pPr>
              <w:pStyle w:val="913"/>
              <w:rPr>
                <w:rFonts w:cs="Times New Roman"/>
                <w:sz w:val="18"/>
                <w:szCs w:val="18"/>
              </w:rPr>
            </w:pPr>
            <w:r>
              <w:rPr>
                <w:rFonts w:cs="Times New Roman"/>
                <w:sz w:val="18"/>
                <w:szCs w:val="18"/>
              </w:rPr>
              <w:t>3.89</w:t>
            </w:r>
          </w:p>
        </w:tc>
        <w:tc>
          <w:tcPr>
            <w:tcW w:w="483" w:type="dxa"/>
            <w:noWrap/>
            <w:vAlign w:val="center"/>
          </w:tcPr>
          <w:p w14:paraId="3023347D">
            <w:pPr>
              <w:pStyle w:val="913"/>
              <w:rPr>
                <w:rFonts w:cs="Times New Roman"/>
                <w:sz w:val="18"/>
                <w:szCs w:val="18"/>
              </w:rPr>
            </w:pPr>
            <w:r>
              <w:rPr>
                <w:rFonts w:cs="Times New Roman"/>
                <w:sz w:val="18"/>
                <w:szCs w:val="18"/>
              </w:rPr>
              <w:t>3.06</w:t>
            </w:r>
          </w:p>
        </w:tc>
        <w:tc>
          <w:tcPr>
            <w:tcW w:w="403" w:type="dxa"/>
            <w:noWrap/>
            <w:vAlign w:val="center"/>
          </w:tcPr>
          <w:p w14:paraId="51A1694A">
            <w:pPr>
              <w:pStyle w:val="913"/>
              <w:rPr>
                <w:rFonts w:cs="Times New Roman"/>
                <w:sz w:val="18"/>
                <w:szCs w:val="18"/>
              </w:rPr>
            </w:pPr>
            <w:r>
              <w:rPr>
                <w:rFonts w:cs="Times New Roman"/>
                <w:sz w:val="18"/>
                <w:szCs w:val="18"/>
              </w:rPr>
              <w:t>0.28</w:t>
            </w:r>
          </w:p>
        </w:tc>
      </w:tr>
      <w:tr w14:paraId="766B88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jc w:val="center"/>
        </w:trPr>
        <w:tc>
          <w:tcPr>
            <w:tcW w:w="491" w:type="dxa"/>
            <w:noWrap/>
            <w:vAlign w:val="center"/>
          </w:tcPr>
          <w:p w14:paraId="1A4AE56A">
            <w:pPr>
              <w:pStyle w:val="913"/>
              <w:rPr>
                <w:rFonts w:cs="Times New Roman"/>
                <w:sz w:val="18"/>
                <w:szCs w:val="18"/>
              </w:rPr>
            </w:pPr>
            <w:r>
              <w:rPr>
                <w:rFonts w:cs="Times New Roman"/>
                <w:sz w:val="18"/>
                <w:szCs w:val="18"/>
              </w:rPr>
              <w:t>十二月</w:t>
            </w:r>
          </w:p>
        </w:tc>
        <w:tc>
          <w:tcPr>
            <w:tcW w:w="508" w:type="dxa"/>
            <w:noWrap/>
            <w:vAlign w:val="center"/>
          </w:tcPr>
          <w:p w14:paraId="464FDEA9">
            <w:pPr>
              <w:pStyle w:val="913"/>
              <w:rPr>
                <w:rFonts w:cs="Times New Roman"/>
                <w:sz w:val="18"/>
                <w:szCs w:val="18"/>
              </w:rPr>
            </w:pPr>
            <w:r>
              <w:rPr>
                <w:rFonts w:cs="Times New Roman"/>
                <w:sz w:val="18"/>
                <w:szCs w:val="18"/>
              </w:rPr>
              <w:t>5.91</w:t>
            </w:r>
          </w:p>
        </w:tc>
        <w:tc>
          <w:tcPr>
            <w:tcW w:w="419" w:type="dxa"/>
            <w:noWrap/>
            <w:vAlign w:val="center"/>
          </w:tcPr>
          <w:p w14:paraId="011DDA5B">
            <w:pPr>
              <w:pStyle w:val="913"/>
              <w:rPr>
                <w:rFonts w:cs="Times New Roman"/>
                <w:sz w:val="18"/>
                <w:szCs w:val="18"/>
              </w:rPr>
            </w:pPr>
            <w:r>
              <w:rPr>
                <w:rFonts w:cs="Times New Roman"/>
                <w:sz w:val="18"/>
                <w:szCs w:val="18"/>
              </w:rPr>
              <w:t>5.24</w:t>
            </w:r>
          </w:p>
        </w:tc>
        <w:tc>
          <w:tcPr>
            <w:tcW w:w="419" w:type="dxa"/>
            <w:noWrap/>
            <w:vAlign w:val="center"/>
          </w:tcPr>
          <w:p w14:paraId="714E8A2E">
            <w:pPr>
              <w:pStyle w:val="913"/>
              <w:rPr>
                <w:rFonts w:cs="Times New Roman"/>
                <w:sz w:val="18"/>
                <w:szCs w:val="18"/>
              </w:rPr>
            </w:pPr>
            <w:r>
              <w:rPr>
                <w:rFonts w:cs="Times New Roman"/>
                <w:sz w:val="18"/>
                <w:szCs w:val="18"/>
              </w:rPr>
              <w:t>7.80</w:t>
            </w:r>
          </w:p>
        </w:tc>
        <w:tc>
          <w:tcPr>
            <w:tcW w:w="420" w:type="dxa"/>
            <w:noWrap/>
            <w:vAlign w:val="center"/>
          </w:tcPr>
          <w:p w14:paraId="6D17FE98">
            <w:pPr>
              <w:pStyle w:val="913"/>
              <w:rPr>
                <w:rFonts w:cs="Times New Roman"/>
                <w:sz w:val="18"/>
                <w:szCs w:val="18"/>
              </w:rPr>
            </w:pPr>
            <w:r>
              <w:rPr>
                <w:rFonts w:cs="Times New Roman"/>
                <w:sz w:val="18"/>
                <w:szCs w:val="18"/>
              </w:rPr>
              <w:t>16.94</w:t>
            </w:r>
          </w:p>
        </w:tc>
        <w:tc>
          <w:tcPr>
            <w:tcW w:w="456" w:type="dxa"/>
            <w:noWrap/>
            <w:vAlign w:val="center"/>
          </w:tcPr>
          <w:p w14:paraId="4C8F0A93">
            <w:pPr>
              <w:pStyle w:val="913"/>
              <w:rPr>
                <w:rFonts w:cs="Times New Roman"/>
                <w:sz w:val="18"/>
                <w:szCs w:val="18"/>
              </w:rPr>
            </w:pPr>
            <w:r>
              <w:rPr>
                <w:rFonts w:cs="Times New Roman"/>
                <w:sz w:val="18"/>
                <w:szCs w:val="18"/>
              </w:rPr>
              <w:t>20.43</w:t>
            </w:r>
          </w:p>
        </w:tc>
        <w:tc>
          <w:tcPr>
            <w:tcW w:w="456" w:type="dxa"/>
            <w:noWrap/>
            <w:vAlign w:val="center"/>
          </w:tcPr>
          <w:p w14:paraId="26957EE6">
            <w:pPr>
              <w:pStyle w:val="913"/>
              <w:rPr>
                <w:rFonts w:cs="Times New Roman"/>
                <w:sz w:val="18"/>
                <w:szCs w:val="18"/>
              </w:rPr>
            </w:pPr>
            <w:r>
              <w:rPr>
                <w:rFonts w:cs="Times New Roman"/>
                <w:sz w:val="18"/>
                <w:szCs w:val="18"/>
              </w:rPr>
              <w:t>4.97</w:t>
            </w:r>
          </w:p>
        </w:tc>
        <w:tc>
          <w:tcPr>
            <w:tcW w:w="403" w:type="dxa"/>
            <w:noWrap/>
            <w:vAlign w:val="center"/>
          </w:tcPr>
          <w:p w14:paraId="5031FAB2">
            <w:pPr>
              <w:pStyle w:val="913"/>
              <w:rPr>
                <w:rFonts w:cs="Times New Roman"/>
                <w:sz w:val="18"/>
                <w:szCs w:val="18"/>
              </w:rPr>
            </w:pPr>
            <w:r>
              <w:rPr>
                <w:rFonts w:cs="Times New Roman"/>
                <w:sz w:val="18"/>
                <w:szCs w:val="18"/>
              </w:rPr>
              <w:t>4.57</w:t>
            </w:r>
          </w:p>
        </w:tc>
        <w:tc>
          <w:tcPr>
            <w:tcW w:w="403" w:type="dxa"/>
            <w:noWrap/>
            <w:vAlign w:val="center"/>
          </w:tcPr>
          <w:p w14:paraId="286B60E6">
            <w:pPr>
              <w:pStyle w:val="913"/>
              <w:rPr>
                <w:rFonts w:cs="Times New Roman"/>
                <w:sz w:val="18"/>
                <w:szCs w:val="18"/>
              </w:rPr>
            </w:pPr>
            <w:r>
              <w:rPr>
                <w:rFonts w:cs="Times New Roman"/>
                <w:sz w:val="18"/>
                <w:szCs w:val="18"/>
              </w:rPr>
              <w:t>3.49</w:t>
            </w:r>
          </w:p>
        </w:tc>
        <w:tc>
          <w:tcPr>
            <w:tcW w:w="403" w:type="dxa"/>
            <w:noWrap/>
            <w:vAlign w:val="center"/>
          </w:tcPr>
          <w:p w14:paraId="3A71100D">
            <w:pPr>
              <w:pStyle w:val="913"/>
              <w:rPr>
                <w:rFonts w:cs="Times New Roman"/>
                <w:sz w:val="18"/>
                <w:szCs w:val="18"/>
              </w:rPr>
            </w:pPr>
            <w:r>
              <w:rPr>
                <w:rFonts w:cs="Times New Roman"/>
                <w:sz w:val="18"/>
                <w:szCs w:val="18"/>
              </w:rPr>
              <w:t>6.18</w:t>
            </w:r>
          </w:p>
        </w:tc>
        <w:tc>
          <w:tcPr>
            <w:tcW w:w="417" w:type="dxa"/>
            <w:noWrap/>
            <w:vAlign w:val="center"/>
          </w:tcPr>
          <w:p w14:paraId="1E819AEA">
            <w:pPr>
              <w:pStyle w:val="913"/>
              <w:rPr>
                <w:rFonts w:cs="Times New Roman"/>
                <w:sz w:val="18"/>
                <w:szCs w:val="18"/>
              </w:rPr>
            </w:pPr>
            <w:r>
              <w:rPr>
                <w:rFonts w:cs="Times New Roman"/>
                <w:sz w:val="18"/>
                <w:szCs w:val="18"/>
              </w:rPr>
              <w:t>3.23</w:t>
            </w:r>
          </w:p>
        </w:tc>
        <w:tc>
          <w:tcPr>
            <w:tcW w:w="403" w:type="dxa"/>
            <w:noWrap/>
            <w:vAlign w:val="center"/>
          </w:tcPr>
          <w:p w14:paraId="6D20D4D4">
            <w:pPr>
              <w:pStyle w:val="913"/>
              <w:rPr>
                <w:rFonts w:cs="Times New Roman"/>
                <w:sz w:val="18"/>
                <w:szCs w:val="18"/>
              </w:rPr>
            </w:pPr>
            <w:r>
              <w:rPr>
                <w:rFonts w:cs="Times New Roman"/>
                <w:sz w:val="18"/>
                <w:szCs w:val="18"/>
              </w:rPr>
              <w:t>2.69</w:t>
            </w:r>
          </w:p>
        </w:tc>
        <w:tc>
          <w:tcPr>
            <w:tcW w:w="494" w:type="dxa"/>
            <w:noWrap/>
            <w:vAlign w:val="center"/>
          </w:tcPr>
          <w:p w14:paraId="1F91B058">
            <w:pPr>
              <w:pStyle w:val="913"/>
              <w:rPr>
                <w:rFonts w:cs="Times New Roman"/>
                <w:sz w:val="18"/>
                <w:szCs w:val="18"/>
              </w:rPr>
            </w:pPr>
            <w:r>
              <w:rPr>
                <w:rFonts w:cs="Times New Roman"/>
                <w:sz w:val="18"/>
                <w:szCs w:val="18"/>
              </w:rPr>
              <w:t>3.36</w:t>
            </w:r>
          </w:p>
        </w:tc>
        <w:tc>
          <w:tcPr>
            <w:tcW w:w="456" w:type="dxa"/>
            <w:noWrap/>
            <w:vAlign w:val="center"/>
          </w:tcPr>
          <w:p w14:paraId="3326E607">
            <w:pPr>
              <w:pStyle w:val="913"/>
              <w:rPr>
                <w:rFonts w:cs="Times New Roman"/>
                <w:sz w:val="18"/>
                <w:szCs w:val="18"/>
              </w:rPr>
            </w:pPr>
            <w:r>
              <w:rPr>
                <w:rFonts w:cs="Times New Roman"/>
                <w:sz w:val="18"/>
                <w:szCs w:val="18"/>
              </w:rPr>
              <w:t>4.44</w:t>
            </w:r>
          </w:p>
        </w:tc>
        <w:tc>
          <w:tcPr>
            <w:tcW w:w="527" w:type="dxa"/>
            <w:noWrap/>
            <w:vAlign w:val="center"/>
          </w:tcPr>
          <w:p w14:paraId="76536E03">
            <w:pPr>
              <w:pStyle w:val="913"/>
              <w:rPr>
                <w:rFonts w:cs="Times New Roman"/>
                <w:sz w:val="18"/>
                <w:szCs w:val="18"/>
              </w:rPr>
            </w:pPr>
            <w:r>
              <w:rPr>
                <w:rFonts w:cs="Times New Roman"/>
                <w:sz w:val="18"/>
                <w:szCs w:val="18"/>
              </w:rPr>
              <w:t>4.30</w:t>
            </w:r>
          </w:p>
        </w:tc>
        <w:tc>
          <w:tcPr>
            <w:tcW w:w="456" w:type="dxa"/>
            <w:noWrap/>
            <w:vAlign w:val="center"/>
          </w:tcPr>
          <w:p w14:paraId="79B05043">
            <w:pPr>
              <w:pStyle w:val="913"/>
              <w:rPr>
                <w:rFonts w:cs="Times New Roman"/>
                <w:sz w:val="18"/>
                <w:szCs w:val="18"/>
              </w:rPr>
            </w:pPr>
            <w:r>
              <w:rPr>
                <w:rFonts w:cs="Times New Roman"/>
                <w:sz w:val="18"/>
                <w:szCs w:val="18"/>
              </w:rPr>
              <w:t>4.57</w:t>
            </w:r>
          </w:p>
        </w:tc>
        <w:tc>
          <w:tcPr>
            <w:tcW w:w="483" w:type="dxa"/>
            <w:noWrap/>
            <w:vAlign w:val="center"/>
          </w:tcPr>
          <w:p w14:paraId="7C041F2F">
            <w:pPr>
              <w:pStyle w:val="913"/>
              <w:rPr>
                <w:rFonts w:cs="Times New Roman"/>
                <w:sz w:val="18"/>
                <w:szCs w:val="18"/>
              </w:rPr>
            </w:pPr>
            <w:r>
              <w:rPr>
                <w:rFonts w:cs="Times New Roman"/>
                <w:sz w:val="18"/>
                <w:szCs w:val="18"/>
              </w:rPr>
              <w:t>1.34</w:t>
            </w:r>
          </w:p>
        </w:tc>
        <w:tc>
          <w:tcPr>
            <w:tcW w:w="403" w:type="dxa"/>
            <w:noWrap/>
            <w:vAlign w:val="center"/>
          </w:tcPr>
          <w:p w14:paraId="452D503A">
            <w:pPr>
              <w:pStyle w:val="913"/>
              <w:rPr>
                <w:rFonts w:cs="Times New Roman"/>
                <w:sz w:val="18"/>
                <w:szCs w:val="18"/>
              </w:rPr>
            </w:pPr>
            <w:r>
              <w:rPr>
                <w:rFonts w:cs="Times New Roman"/>
                <w:sz w:val="18"/>
                <w:szCs w:val="18"/>
              </w:rPr>
              <w:t>0.54</w:t>
            </w:r>
          </w:p>
        </w:tc>
      </w:tr>
    </w:tbl>
    <w:p w14:paraId="16540EA7">
      <w:pPr>
        <w:pStyle w:val="645"/>
        <w:rPr>
          <w:rFonts w:hint="eastAsia"/>
        </w:rPr>
      </w:pPr>
      <w:r>
        <w:t>表5</w:t>
      </w:r>
      <w:r>
        <w:rPr>
          <w:rFonts w:hint="eastAsia"/>
        </w:rPr>
        <w:t>.2.2</w:t>
      </w:r>
      <w:r>
        <w:t>-</w:t>
      </w:r>
      <w:r>
        <w:rPr>
          <w:rFonts w:hint="eastAsia"/>
        </w:rPr>
        <w:t xml:space="preserve">2 </w:t>
      </w:r>
      <w:r>
        <w:t xml:space="preserve">   2023年年均风频的季变化及年均风频一览表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6" w:type="dxa"/>
          <w:bottom w:w="0" w:type="dxa"/>
          <w:right w:w="6" w:type="dxa"/>
        </w:tblCellMar>
      </w:tblPr>
      <w:tblGrid>
        <w:gridCol w:w="750"/>
        <w:gridCol w:w="496"/>
        <w:gridCol w:w="426"/>
        <w:gridCol w:w="465"/>
        <w:gridCol w:w="465"/>
        <w:gridCol w:w="465"/>
        <w:gridCol w:w="393"/>
        <w:gridCol w:w="393"/>
        <w:gridCol w:w="393"/>
        <w:gridCol w:w="393"/>
        <w:gridCol w:w="426"/>
        <w:gridCol w:w="393"/>
        <w:gridCol w:w="504"/>
        <w:gridCol w:w="465"/>
        <w:gridCol w:w="537"/>
        <w:gridCol w:w="466"/>
        <w:gridCol w:w="494"/>
        <w:gridCol w:w="394"/>
      </w:tblGrid>
      <w:tr w14:paraId="200968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bottom w:val="single" w:color="auto" w:sz="6" w:space="0"/>
              <w:tl2br w:val="single" w:color="auto" w:sz="4" w:space="0"/>
            </w:tcBorders>
            <w:noWrap/>
            <w:vAlign w:val="center"/>
          </w:tcPr>
          <w:p w14:paraId="31C2CA27">
            <w:pPr>
              <w:pStyle w:val="913"/>
              <w:rPr>
                <w:rFonts w:cs="Times New Roman"/>
                <w:sz w:val="18"/>
                <w:szCs w:val="18"/>
              </w:rPr>
            </w:pPr>
            <w:r>
              <w:rPr>
                <w:rFonts w:cs="Times New Roman"/>
                <w:sz w:val="18"/>
                <w:szCs w:val="18"/>
              </w:rPr>
              <w:t>风向</w:t>
            </w:r>
          </w:p>
          <w:p w14:paraId="18D1F776">
            <w:pPr>
              <w:pStyle w:val="913"/>
              <w:rPr>
                <w:rFonts w:cs="Times New Roman"/>
                <w:sz w:val="18"/>
                <w:szCs w:val="18"/>
              </w:rPr>
            </w:pPr>
            <w:r>
              <w:rPr>
                <w:rFonts w:cs="Times New Roman"/>
                <w:sz w:val="18"/>
                <w:szCs w:val="18"/>
              </w:rPr>
              <w:t>风频(%)</w:t>
            </w:r>
          </w:p>
        </w:tc>
        <w:tc>
          <w:tcPr>
            <w:tcW w:w="495" w:type="dxa"/>
            <w:noWrap/>
            <w:vAlign w:val="center"/>
          </w:tcPr>
          <w:p w14:paraId="4A0F33AC">
            <w:pPr>
              <w:pStyle w:val="913"/>
              <w:rPr>
                <w:rFonts w:cs="Times New Roman"/>
                <w:sz w:val="18"/>
                <w:szCs w:val="18"/>
              </w:rPr>
            </w:pPr>
            <w:r>
              <w:rPr>
                <w:rFonts w:cs="Times New Roman"/>
                <w:sz w:val="18"/>
                <w:szCs w:val="18"/>
              </w:rPr>
              <w:t>N</w:t>
            </w:r>
          </w:p>
        </w:tc>
        <w:tc>
          <w:tcPr>
            <w:tcW w:w="425" w:type="dxa"/>
            <w:noWrap/>
            <w:vAlign w:val="center"/>
          </w:tcPr>
          <w:p w14:paraId="443E241A">
            <w:pPr>
              <w:pStyle w:val="913"/>
              <w:rPr>
                <w:rFonts w:cs="Times New Roman"/>
                <w:sz w:val="18"/>
                <w:szCs w:val="18"/>
              </w:rPr>
            </w:pPr>
            <w:r>
              <w:rPr>
                <w:rFonts w:cs="Times New Roman"/>
                <w:sz w:val="18"/>
                <w:szCs w:val="18"/>
              </w:rPr>
              <w:t>NNE</w:t>
            </w:r>
          </w:p>
        </w:tc>
        <w:tc>
          <w:tcPr>
            <w:tcW w:w="464" w:type="dxa"/>
            <w:noWrap/>
            <w:vAlign w:val="center"/>
          </w:tcPr>
          <w:p w14:paraId="1EFBD263">
            <w:pPr>
              <w:pStyle w:val="913"/>
              <w:rPr>
                <w:rFonts w:cs="Times New Roman"/>
                <w:sz w:val="18"/>
                <w:szCs w:val="18"/>
              </w:rPr>
            </w:pPr>
            <w:r>
              <w:rPr>
                <w:rFonts w:cs="Times New Roman"/>
                <w:sz w:val="18"/>
                <w:szCs w:val="18"/>
              </w:rPr>
              <w:t>NE</w:t>
            </w:r>
          </w:p>
        </w:tc>
        <w:tc>
          <w:tcPr>
            <w:tcW w:w="464" w:type="dxa"/>
            <w:noWrap/>
            <w:vAlign w:val="center"/>
          </w:tcPr>
          <w:p w14:paraId="3DC2EABE">
            <w:pPr>
              <w:pStyle w:val="913"/>
              <w:rPr>
                <w:rFonts w:cs="Times New Roman"/>
                <w:sz w:val="18"/>
                <w:szCs w:val="18"/>
              </w:rPr>
            </w:pPr>
            <w:r>
              <w:rPr>
                <w:rFonts w:cs="Times New Roman"/>
                <w:sz w:val="18"/>
                <w:szCs w:val="18"/>
              </w:rPr>
              <w:t>ENE</w:t>
            </w:r>
          </w:p>
        </w:tc>
        <w:tc>
          <w:tcPr>
            <w:tcW w:w="464" w:type="dxa"/>
            <w:noWrap/>
            <w:vAlign w:val="center"/>
          </w:tcPr>
          <w:p w14:paraId="79B45F80">
            <w:pPr>
              <w:pStyle w:val="913"/>
              <w:rPr>
                <w:rFonts w:cs="Times New Roman"/>
                <w:sz w:val="18"/>
                <w:szCs w:val="18"/>
              </w:rPr>
            </w:pPr>
            <w:r>
              <w:rPr>
                <w:rFonts w:cs="Times New Roman"/>
                <w:sz w:val="18"/>
                <w:szCs w:val="18"/>
              </w:rPr>
              <w:t>E</w:t>
            </w:r>
          </w:p>
        </w:tc>
        <w:tc>
          <w:tcPr>
            <w:tcW w:w="392" w:type="dxa"/>
            <w:noWrap/>
            <w:vAlign w:val="center"/>
          </w:tcPr>
          <w:p w14:paraId="17C0A198">
            <w:pPr>
              <w:pStyle w:val="913"/>
              <w:rPr>
                <w:rFonts w:cs="Times New Roman"/>
                <w:sz w:val="18"/>
                <w:szCs w:val="18"/>
              </w:rPr>
            </w:pPr>
            <w:r>
              <w:rPr>
                <w:rFonts w:cs="Times New Roman"/>
                <w:sz w:val="18"/>
                <w:szCs w:val="18"/>
              </w:rPr>
              <w:t>ESE</w:t>
            </w:r>
          </w:p>
        </w:tc>
        <w:tc>
          <w:tcPr>
            <w:tcW w:w="392" w:type="dxa"/>
            <w:noWrap/>
            <w:vAlign w:val="center"/>
          </w:tcPr>
          <w:p w14:paraId="540413DE">
            <w:pPr>
              <w:pStyle w:val="913"/>
              <w:rPr>
                <w:rFonts w:cs="Times New Roman"/>
                <w:sz w:val="18"/>
                <w:szCs w:val="18"/>
              </w:rPr>
            </w:pPr>
            <w:r>
              <w:rPr>
                <w:rFonts w:cs="Times New Roman"/>
                <w:sz w:val="18"/>
                <w:szCs w:val="18"/>
              </w:rPr>
              <w:t>SE</w:t>
            </w:r>
          </w:p>
        </w:tc>
        <w:tc>
          <w:tcPr>
            <w:tcW w:w="392" w:type="dxa"/>
            <w:noWrap/>
            <w:vAlign w:val="center"/>
          </w:tcPr>
          <w:p w14:paraId="3B7B08B6">
            <w:pPr>
              <w:pStyle w:val="913"/>
              <w:rPr>
                <w:rFonts w:cs="Times New Roman"/>
                <w:sz w:val="18"/>
                <w:szCs w:val="18"/>
              </w:rPr>
            </w:pPr>
            <w:r>
              <w:rPr>
                <w:rFonts w:cs="Times New Roman"/>
                <w:sz w:val="18"/>
                <w:szCs w:val="18"/>
              </w:rPr>
              <w:t>SSE</w:t>
            </w:r>
          </w:p>
        </w:tc>
        <w:tc>
          <w:tcPr>
            <w:tcW w:w="392" w:type="dxa"/>
            <w:noWrap/>
            <w:vAlign w:val="center"/>
          </w:tcPr>
          <w:p w14:paraId="7A09F885">
            <w:pPr>
              <w:pStyle w:val="913"/>
              <w:rPr>
                <w:rFonts w:cs="Times New Roman"/>
                <w:sz w:val="18"/>
                <w:szCs w:val="18"/>
              </w:rPr>
            </w:pPr>
            <w:r>
              <w:rPr>
                <w:rFonts w:cs="Times New Roman"/>
                <w:sz w:val="18"/>
                <w:szCs w:val="18"/>
              </w:rPr>
              <w:t>S</w:t>
            </w:r>
          </w:p>
        </w:tc>
        <w:tc>
          <w:tcPr>
            <w:tcW w:w="425" w:type="dxa"/>
            <w:noWrap/>
            <w:vAlign w:val="center"/>
          </w:tcPr>
          <w:p w14:paraId="6B8FEE51">
            <w:pPr>
              <w:pStyle w:val="913"/>
              <w:rPr>
                <w:rFonts w:cs="Times New Roman"/>
                <w:sz w:val="18"/>
                <w:szCs w:val="18"/>
              </w:rPr>
            </w:pPr>
            <w:r>
              <w:rPr>
                <w:rFonts w:cs="Times New Roman"/>
                <w:sz w:val="18"/>
                <w:szCs w:val="18"/>
              </w:rPr>
              <w:t>SSW</w:t>
            </w:r>
          </w:p>
        </w:tc>
        <w:tc>
          <w:tcPr>
            <w:tcW w:w="392" w:type="dxa"/>
            <w:noWrap/>
            <w:vAlign w:val="center"/>
          </w:tcPr>
          <w:p w14:paraId="0BB677C4">
            <w:pPr>
              <w:pStyle w:val="913"/>
              <w:rPr>
                <w:rFonts w:cs="Times New Roman"/>
                <w:sz w:val="18"/>
                <w:szCs w:val="18"/>
              </w:rPr>
            </w:pPr>
            <w:r>
              <w:rPr>
                <w:rFonts w:cs="Times New Roman"/>
                <w:sz w:val="18"/>
                <w:szCs w:val="18"/>
              </w:rPr>
              <w:t>SW</w:t>
            </w:r>
          </w:p>
        </w:tc>
        <w:tc>
          <w:tcPr>
            <w:tcW w:w="503" w:type="dxa"/>
            <w:noWrap/>
            <w:vAlign w:val="center"/>
          </w:tcPr>
          <w:p w14:paraId="721D41B0">
            <w:pPr>
              <w:pStyle w:val="913"/>
              <w:rPr>
                <w:rFonts w:cs="Times New Roman"/>
                <w:sz w:val="18"/>
                <w:szCs w:val="18"/>
              </w:rPr>
            </w:pPr>
            <w:r>
              <w:rPr>
                <w:rFonts w:cs="Times New Roman"/>
                <w:sz w:val="18"/>
                <w:szCs w:val="18"/>
              </w:rPr>
              <w:t>WSW</w:t>
            </w:r>
          </w:p>
        </w:tc>
        <w:tc>
          <w:tcPr>
            <w:tcW w:w="464" w:type="dxa"/>
            <w:noWrap/>
            <w:vAlign w:val="center"/>
          </w:tcPr>
          <w:p w14:paraId="676DF293">
            <w:pPr>
              <w:pStyle w:val="913"/>
              <w:rPr>
                <w:rFonts w:cs="Times New Roman"/>
                <w:sz w:val="18"/>
                <w:szCs w:val="18"/>
              </w:rPr>
            </w:pPr>
            <w:r>
              <w:rPr>
                <w:rFonts w:cs="Times New Roman"/>
                <w:sz w:val="18"/>
                <w:szCs w:val="18"/>
              </w:rPr>
              <w:t>W</w:t>
            </w:r>
          </w:p>
        </w:tc>
        <w:tc>
          <w:tcPr>
            <w:tcW w:w="536" w:type="dxa"/>
            <w:noWrap/>
            <w:vAlign w:val="center"/>
          </w:tcPr>
          <w:p w14:paraId="7FFFD222">
            <w:pPr>
              <w:pStyle w:val="913"/>
              <w:rPr>
                <w:rFonts w:cs="Times New Roman"/>
                <w:sz w:val="18"/>
                <w:szCs w:val="18"/>
              </w:rPr>
            </w:pPr>
            <w:r>
              <w:rPr>
                <w:rFonts w:cs="Times New Roman"/>
                <w:sz w:val="18"/>
                <w:szCs w:val="18"/>
              </w:rPr>
              <w:t>WNW</w:t>
            </w:r>
          </w:p>
        </w:tc>
        <w:tc>
          <w:tcPr>
            <w:tcW w:w="464" w:type="dxa"/>
            <w:noWrap/>
            <w:vAlign w:val="center"/>
          </w:tcPr>
          <w:p w14:paraId="142D4F4D">
            <w:pPr>
              <w:pStyle w:val="913"/>
              <w:rPr>
                <w:rFonts w:cs="Times New Roman"/>
                <w:sz w:val="18"/>
                <w:szCs w:val="18"/>
              </w:rPr>
            </w:pPr>
            <w:r>
              <w:rPr>
                <w:rFonts w:cs="Times New Roman"/>
                <w:sz w:val="18"/>
                <w:szCs w:val="18"/>
              </w:rPr>
              <w:t>NW</w:t>
            </w:r>
          </w:p>
        </w:tc>
        <w:tc>
          <w:tcPr>
            <w:tcW w:w="492" w:type="dxa"/>
            <w:noWrap/>
            <w:vAlign w:val="center"/>
          </w:tcPr>
          <w:p w14:paraId="2947F4A5">
            <w:pPr>
              <w:pStyle w:val="913"/>
              <w:rPr>
                <w:rFonts w:cs="Times New Roman"/>
                <w:sz w:val="18"/>
                <w:szCs w:val="18"/>
              </w:rPr>
            </w:pPr>
            <w:r>
              <w:rPr>
                <w:rFonts w:cs="Times New Roman"/>
                <w:sz w:val="18"/>
                <w:szCs w:val="18"/>
              </w:rPr>
              <w:t>NNW</w:t>
            </w:r>
          </w:p>
        </w:tc>
        <w:tc>
          <w:tcPr>
            <w:tcW w:w="392" w:type="dxa"/>
            <w:noWrap/>
            <w:vAlign w:val="center"/>
          </w:tcPr>
          <w:p w14:paraId="48813635">
            <w:pPr>
              <w:pStyle w:val="913"/>
              <w:rPr>
                <w:rFonts w:cs="Times New Roman"/>
                <w:sz w:val="18"/>
                <w:szCs w:val="18"/>
              </w:rPr>
            </w:pPr>
            <w:r>
              <w:rPr>
                <w:rFonts w:cs="Times New Roman"/>
                <w:sz w:val="18"/>
                <w:szCs w:val="18"/>
              </w:rPr>
              <w:t>C</w:t>
            </w:r>
          </w:p>
        </w:tc>
      </w:tr>
      <w:tr w14:paraId="70386F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6" w:space="0"/>
            </w:tcBorders>
            <w:noWrap/>
            <w:vAlign w:val="center"/>
          </w:tcPr>
          <w:p w14:paraId="23E95134">
            <w:pPr>
              <w:pStyle w:val="913"/>
              <w:rPr>
                <w:rFonts w:cs="Times New Roman"/>
                <w:sz w:val="18"/>
                <w:szCs w:val="18"/>
              </w:rPr>
            </w:pPr>
            <w:r>
              <w:rPr>
                <w:rFonts w:cs="Times New Roman"/>
                <w:sz w:val="18"/>
                <w:szCs w:val="18"/>
              </w:rPr>
              <w:t>春季</w:t>
            </w:r>
          </w:p>
        </w:tc>
        <w:tc>
          <w:tcPr>
            <w:tcW w:w="495" w:type="dxa"/>
            <w:noWrap/>
          </w:tcPr>
          <w:p w14:paraId="48DCFE40">
            <w:pPr>
              <w:pStyle w:val="913"/>
              <w:rPr>
                <w:rFonts w:cs="Times New Roman"/>
                <w:sz w:val="18"/>
                <w:szCs w:val="18"/>
              </w:rPr>
            </w:pPr>
            <w:r>
              <w:rPr>
                <w:rFonts w:cs="Times New Roman"/>
                <w:sz w:val="18"/>
                <w:szCs w:val="18"/>
              </w:rPr>
              <w:t>8.06</w:t>
            </w:r>
          </w:p>
        </w:tc>
        <w:tc>
          <w:tcPr>
            <w:tcW w:w="425" w:type="dxa"/>
            <w:noWrap/>
          </w:tcPr>
          <w:p w14:paraId="6112A63A">
            <w:pPr>
              <w:pStyle w:val="913"/>
              <w:rPr>
                <w:rFonts w:cs="Times New Roman"/>
                <w:sz w:val="18"/>
                <w:szCs w:val="18"/>
              </w:rPr>
            </w:pPr>
            <w:r>
              <w:rPr>
                <w:rFonts w:cs="Times New Roman"/>
                <w:sz w:val="18"/>
                <w:szCs w:val="18"/>
              </w:rPr>
              <w:t>7.84</w:t>
            </w:r>
          </w:p>
        </w:tc>
        <w:tc>
          <w:tcPr>
            <w:tcW w:w="464" w:type="dxa"/>
            <w:noWrap/>
          </w:tcPr>
          <w:p w14:paraId="237FFC21">
            <w:pPr>
              <w:pStyle w:val="913"/>
              <w:rPr>
                <w:rFonts w:cs="Times New Roman"/>
                <w:sz w:val="18"/>
                <w:szCs w:val="18"/>
              </w:rPr>
            </w:pPr>
            <w:r>
              <w:rPr>
                <w:rFonts w:cs="Times New Roman"/>
                <w:sz w:val="18"/>
                <w:szCs w:val="18"/>
              </w:rPr>
              <w:t>10.14</w:t>
            </w:r>
          </w:p>
        </w:tc>
        <w:tc>
          <w:tcPr>
            <w:tcW w:w="464" w:type="dxa"/>
            <w:noWrap/>
          </w:tcPr>
          <w:p w14:paraId="7FF83788">
            <w:pPr>
              <w:pStyle w:val="913"/>
              <w:rPr>
                <w:rFonts w:cs="Times New Roman"/>
                <w:sz w:val="18"/>
                <w:szCs w:val="18"/>
              </w:rPr>
            </w:pPr>
            <w:r>
              <w:rPr>
                <w:rFonts w:cs="Times New Roman"/>
                <w:sz w:val="18"/>
                <w:szCs w:val="18"/>
              </w:rPr>
              <w:t>10.19</w:t>
            </w:r>
          </w:p>
        </w:tc>
        <w:tc>
          <w:tcPr>
            <w:tcW w:w="464" w:type="dxa"/>
            <w:noWrap/>
          </w:tcPr>
          <w:p w14:paraId="7077496D">
            <w:pPr>
              <w:pStyle w:val="913"/>
              <w:rPr>
                <w:rFonts w:cs="Times New Roman"/>
                <w:sz w:val="18"/>
                <w:szCs w:val="18"/>
              </w:rPr>
            </w:pPr>
            <w:r>
              <w:rPr>
                <w:rFonts w:cs="Times New Roman"/>
                <w:sz w:val="18"/>
                <w:szCs w:val="18"/>
              </w:rPr>
              <w:t>13.22</w:t>
            </w:r>
          </w:p>
        </w:tc>
        <w:tc>
          <w:tcPr>
            <w:tcW w:w="392" w:type="dxa"/>
            <w:noWrap/>
          </w:tcPr>
          <w:p w14:paraId="2B48BF87">
            <w:pPr>
              <w:pStyle w:val="913"/>
              <w:rPr>
                <w:rFonts w:cs="Times New Roman"/>
                <w:sz w:val="18"/>
                <w:szCs w:val="18"/>
              </w:rPr>
            </w:pPr>
            <w:r>
              <w:rPr>
                <w:rFonts w:cs="Times New Roman"/>
                <w:sz w:val="18"/>
                <w:szCs w:val="18"/>
              </w:rPr>
              <w:t>6.88</w:t>
            </w:r>
          </w:p>
        </w:tc>
        <w:tc>
          <w:tcPr>
            <w:tcW w:w="392" w:type="dxa"/>
            <w:noWrap/>
          </w:tcPr>
          <w:p w14:paraId="20E86B4C">
            <w:pPr>
              <w:pStyle w:val="913"/>
              <w:rPr>
                <w:rFonts w:cs="Times New Roman"/>
                <w:sz w:val="18"/>
                <w:szCs w:val="18"/>
              </w:rPr>
            </w:pPr>
            <w:r>
              <w:rPr>
                <w:rFonts w:cs="Times New Roman"/>
                <w:sz w:val="18"/>
                <w:szCs w:val="18"/>
              </w:rPr>
              <w:t>6.61</w:t>
            </w:r>
          </w:p>
        </w:tc>
        <w:tc>
          <w:tcPr>
            <w:tcW w:w="392" w:type="dxa"/>
            <w:noWrap/>
          </w:tcPr>
          <w:p w14:paraId="0F690081">
            <w:pPr>
              <w:pStyle w:val="913"/>
              <w:rPr>
                <w:rFonts w:cs="Times New Roman"/>
                <w:sz w:val="18"/>
                <w:szCs w:val="18"/>
              </w:rPr>
            </w:pPr>
            <w:r>
              <w:rPr>
                <w:rFonts w:cs="Times New Roman"/>
                <w:sz w:val="18"/>
                <w:szCs w:val="18"/>
              </w:rPr>
              <w:t>2.81</w:t>
            </w:r>
          </w:p>
        </w:tc>
        <w:tc>
          <w:tcPr>
            <w:tcW w:w="392" w:type="dxa"/>
            <w:noWrap/>
          </w:tcPr>
          <w:p w14:paraId="4A4509B0">
            <w:pPr>
              <w:pStyle w:val="913"/>
              <w:rPr>
                <w:rFonts w:cs="Times New Roman"/>
                <w:sz w:val="18"/>
                <w:szCs w:val="18"/>
              </w:rPr>
            </w:pPr>
            <w:r>
              <w:rPr>
                <w:rFonts w:cs="Times New Roman"/>
                <w:sz w:val="18"/>
                <w:szCs w:val="18"/>
              </w:rPr>
              <w:t>3.89</w:t>
            </w:r>
          </w:p>
        </w:tc>
        <w:tc>
          <w:tcPr>
            <w:tcW w:w="425" w:type="dxa"/>
            <w:noWrap/>
          </w:tcPr>
          <w:p w14:paraId="559180F3">
            <w:pPr>
              <w:pStyle w:val="913"/>
              <w:rPr>
                <w:rFonts w:cs="Times New Roman"/>
                <w:sz w:val="18"/>
                <w:szCs w:val="18"/>
              </w:rPr>
            </w:pPr>
            <w:r>
              <w:rPr>
                <w:rFonts w:cs="Times New Roman"/>
                <w:sz w:val="18"/>
                <w:szCs w:val="18"/>
              </w:rPr>
              <w:t>2.58</w:t>
            </w:r>
          </w:p>
        </w:tc>
        <w:tc>
          <w:tcPr>
            <w:tcW w:w="392" w:type="dxa"/>
            <w:noWrap/>
          </w:tcPr>
          <w:p w14:paraId="4A0CC637">
            <w:pPr>
              <w:pStyle w:val="913"/>
              <w:rPr>
                <w:rFonts w:cs="Times New Roman"/>
                <w:sz w:val="18"/>
                <w:szCs w:val="18"/>
              </w:rPr>
            </w:pPr>
            <w:r>
              <w:rPr>
                <w:rFonts w:cs="Times New Roman"/>
                <w:sz w:val="18"/>
                <w:szCs w:val="18"/>
              </w:rPr>
              <w:t>2.17</w:t>
            </w:r>
          </w:p>
        </w:tc>
        <w:tc>
          <w:tcPr>
            <w:tcW w:w="503" w:type="dxa"/>
            <w:noWrap/>
          </w:tcPr>
          <w:p w14:paraId="671D00F2">
            <w:pPr>
              <w:pStyle w:val="913"/>
              <w:rPr>
                <w:rFonts w:cs="Times New Roman"/>
                <w:sz w:val="18"/>
                <w:szCs w:val="18"/>
              </w:rPr>
            </w:pPr>
            <w:r>
              <w:rPr>
                <w:rFonts w:cs="Times New Roman"/>
                <w:sz w:val="18"/>
                <w:szCs w:val="18"/>
              </w:rPr>
              <w:t>3.71</w:t>
            </w:r>
          </w:p>
        </w:tc>
        <w:tc>
          <w:tcPr>
            <w:tcW w:w="464" w:type="dxa"/>
            <w:noWrap/>
          </w:tcPr>
          <w:p w14:paraId="5EBA435E">
            <w:pPr>
              <w:pStyle w:val="913"/>
              <w:rPr>
                <w:rFonts w:cs="Times New Roman"/>
                <w:sz w:val="18"/>
                <w:szCs w:val="18"/>
              </w:rPr>
            </w:pPr>
            <w:r>
              <w:rPr>
                <w:rFonts w:cs="Times New Roman"/>
                <w:sz w:val="18"/>
                <w:szCs w:val="18"/>
              </w:rPr>
              <w:t>8.65</w:t>
            </w:r>
          </w:p>
        </w:tc>
        <w:tc>
          <w:tcPr>
            <w:tcW w:w="536" w:type="dxa"/>
            <w:noWrap/>
          </w:tcPr>
          <w:p w14:paraId="2AB745DD">
            <w:pPr>
              <w:pStyle w:val="913"/>
              <w:rPr>
                <w:rFonts w:cs="Times New Roman"/>
                <w:sz w:val="18"/>
                <w:szCs w:val="18"/>
              </w:rPr>
            </w:pPr>
            <w:r>
              <w:rPr>
                <w:rFonts w:cs="Times New Roman"/>
                <w:sz w:val="18"/>
                <w:szCs w:val="18"/>
              </w:rPr>
              <w:t>6.02</w:t>
            </w:r>
          </w:p>
        </w:tc>
        <w:tc>
          <w:tcPr>
            <w:tcW w:w="464" w:type="dxa"/>
            <w:noWrap/>
          </w:tcPr>
          <w:p w14:paraId="54000B85">
            <w:pPr>
              <w:pStyle w:val="913"/>
              <w:rPr>
                <w:rFonts w:cs="Times New Roman"/>
                <w:sz w:val="18"/>
                <w:szCs w:val="18"/>
              </w:rPr>
            </w:pPr>
            <w:r>
              <w:rPr>
                <w:rFonts w:cs="Times New Roman"/>
                <w:sz w:val="18"/>
                <w:szCs w:val="18"/>
              </w:rPr>
              <w:t>4.08</w:t>
            </w:r>
          </w:p>
        </w:tc>
        <w:tc>
          <w:tcPr>
            <w:tcW w:w="492" w:type="dxa"/>
            <w:noWrap/>
          </w:tcPr>
          <w:p w14:paraId="20C6DE29">
            <w:pPr>
              <w:pStyle w:val="913"/>
              <w:rPr>
                <w:rFonts w:cs="Times New Roman"/>
                <w:sz w:val="18"/>
                <w:szCs w:val="18"/>
              </w:rPr>
            </w:pPr>
            <w:r>
              <w:rPr>
                <w:rFonts w:cs="Times New Roman"/>
                <w:sz w:val="18"/>
                <w:szCs w:val="18"/>
              </w:rPr>
              <w:t>3.03</w:t>
            </w:r>
          </w:p>
        </w:tc>
        <w:tc>
          <w:tcPr>
            <w:tcW w:w="392" w:type="dxa"/>
            <w:noWrap/>
          </w:tcPr>
          <w:p w14:paraId="08459381">
            <w:pPr>
              <w:pStyle w:val="913"/>
              <w:rPr>
                <w:rFonts w:cs="Times New Roman"/>
                <w:sz w:val="18"/>
                <w:szCs w:val="18"/>
              </w:rPr>
            </w:pPr>
            <w:r>
              <w:rPr>
                <w:rFonts w:cs="Times New Roman"/>
                <w:sz w:val="18"/>
                <w:szCs w:val="18"/>
              </w:rPr>
              <w:t>0.09</w:t>
            </w:r>
          </w:p>
        </w:tc>
      </w:tr>
      <w:tr w14:paraId="20F297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noWrap/>
            <w:vAlign w:val="center"/>
          </w:tcPr>
          <w:p w14:paraId="40228DA2">
            <w:pPr>
              <w:pStyle w:val="913"/>
              <w:rPr>
                <w:rFonts w:cs="Times New Roman"/>
                <w:sz w:val="18"/>
                <w:szCs w:val="18"/>
              </w:rPr>
            </w:pPr>
            <w:r>
              <w:rPr>
                <w:rFonts w:cs="Times New Roman"/>
                <w:sz w:val="18"/>
                <w:szCs w:val="18"/>
              </w:rPr>
              <w:t>夏季</w:t>
            </w:r>
          </w:p>
        </w:tc>
        <w:tc>
          <w:tcPr>
            <w:tcW w:w="495" w:type="dxa"/>
            <w:noWrap/>
          </w:tcPr>
          <w:p w14:paraId="08A044B7">
            <w:pPr>
              <w:pStyle w:val="913"/>
              <w:rPr>
                <w:rFonts w:cs="Times New Roman"/>
                <w:sz w:val="18"/>
                <w:szCs w:val="18"/>
              </w:rPr>
            </w:pPr>
            <w:r>
              <w:rPr>
                <w:rFonts w:cs="Times New Roman"/>
                <w:sz w:val="18"/>
                <w:szCs w:val="18"/>
              </w:rPr>
              <w:t>8.20</w:t>
            </w:r>
          </w:p>
        </w:tc>
        <w:tc>
          <w:tcPr>
            <w:tcW w:w="425" w:type="dxa"/>
            <w:noWrap/>
          </w:tcPr>
          <w:p w14:paraId="0778D130">
            <w:pPr>
              <w:pStyle w:val="913"/>
              <w:rPr>
                <w:rFonts w:cs="Times New Roman"/>
                <w:sz w:val="18"/>
                <w:szCs w:val="18"/>
              </w:rPr>
            </w:pPr>
            <w:r>
              <w:rPr>
                <w:rFonts w:cs="Times New Roman"/>
                <w:sz w:val="18"/>
                <w:szCs w:val="18"/>
              </w:rPr>
              <w:t>7.56</w:t>
            </w:r>
          </w:p>
        </w:tc>
        <w:tc>
          <w:tcPr>
            <w:tcW w:w="464" w:type="dxa"/>
            <w:noWrap/>
          </w:tcPr>
          <w:p w14:paraId="40FDD476">
            <w:pPr>
              <w:pStyle w:val="913"/>
              <w:rPr>
                <w:rFonts w:cs="Times New Roman"/>
                <w:sz w:val="18"/>
                <w:szCs w:val="18"/>
              </w:rPr>
            </w:pPr>
            <w:r>
              <w:rPr>
                <w:rFonts w:cs="Times New Roman"/>
                <w:sz w:val="18"/>
                <w:szCs w:val="18"/>
              </w:rPr>
              <w:t>9.38</w:t>
            </w:r>
          </w:p>
        </w:tc>
        <w:tc>
          <w:tcPr>
            <w:tcW w:w="464" w:type="dxa"/>
            <w:noWrap/>
          </w:tcPr>
          <w:p w14:paraId="64CC8B48">
            <w:pPr>
              <w:pStyle w:val="913"/>
              <w:rPr>
                <w:rFonts w:cs="Times New Roman"/>
                <w:sz w:val="18"/>
                <w:szCs w:val="18"/>
              </w:rPr>
            </w:pPr>
            <w:r>
              <w:rPr>
                <w:rFonts w:cs="Times New Roman"/>
                <w:sz w:val="18"/>
                <w:szCs w:val="18"/>
              </w:rPr>
              <w:t>10.24</w:t>
            </w:r>
          </w:p>
        </w:tc>
        <w:tc>
          <w:tcPr>
            <w:tcW w:w="464" w:type="dxa"/>
            <w:noWrap/>
          </w:tcPr>
          <w:p w14:paraId="16082FE3">
            <w:pPr>
              <w:pStyle w:val="913"/>
              <w:rPr>
                <w:rFonts w:cs="Times New Roman"/>
                <w:sz w:val="18"/>
                <w:szCs w:val="18"/>
              </w:rPr>
            </w:pPr>
            <w:r>
              <w:rPr>
                <w:rFonts w:cs="Times New Roman"/>
                <w:sz w:val="18"/>
                <w:szCs w:val="18"/>
              </w:rPr>
              <w:t>11.91</w:t>
            </w:r>
          </w:p>
        </w:tc>
        <w:tc>
          <w:tcPr>
            <w:tcW w:w="392" w:type="dxa"/>
            <w:noWrap/>
          </w:tcPr>
          <w:p w14:paraId="5321CC10">
            <w:pPr>
              <w:pStyle w:val="913"/>
              <w:rPr>
                <w:rFonts w:cs="Times New Roman"/>
                <w:sz w:val="18"/>
                <w:szCs w:val="18"/>
              </w:rPr>
            </w:pPr>
            <w:r>
              <w:rPr>
                <w:rFonts w:cs="Times New Roman"/>
                <w:sz w:val="18"/>
                <w:szCs w:val="18"/>
              </w:rPr>
              <w:t>6.66</w:t>
            </w:r>
          </w:p>
        </w:tc>
        <w:tc>
          <w:tcPr>
            <w:tcW w:w="392" w:type="dxa"/>
            <w:noWrap/>
          </w:tcPr>
          <w:p w14:paraId="529E6F48">
            <w:pPr>
              <w:pStyle w:val="913"/>
              <w:rPr>
                <w:rFonts w:cs="Times New Roman"/>
                <w:sz w:val="18"/>
                <w:szCs w:val="18"/>
              </w:rPr>
            </w:pPr>
            <w:r>
              <w:rPr>
                <w:rFonts w:cs="Times New Roman"/>
                <w:sz w:val="18"/>
                <w:szCs w:val="18"/>
              </w:rPr>
              <w:t>4.53</w:t>
            </w:r>
          </w:p>
        </w:tc>
        <w:tc>
          <w:tcPr>
            <w:tcW w:w="392" w:type="dxa"/>
            <w:noWrap/>
          </w:tcPr>
          <w:p w14:paraId="23200575">
            <w:pPr>
              <w:pStyle w:val="913"/>
              <w:rPr>
                <w:rFonts w:cs="Times New Roman"/>
                <w:sz w:val="18"/>
                <w:szCs w:val="18"/>
              </w:rPr>
            </w:pPr>
            <w:r>
              <w:rPr>
                <w:rFonts w:cs="Times New Roman"/>
                <w:sz w:val="18"/>
                <w:szCs w:val="18"/>
              </w:rPr>
              <w:t>2.94</w:t>
            </w:r>
          </w:p>
        </w:tc>
        <w:tc>
          <w:tcPr>
            <w:tcW w:w="392" w:type="dxa"/>
            <w:noWrap/>
          </w:tcPr>
          <w:p w14:paraId="1E7E2D5A">
            <w:pPr>
              <w:pStyle w:val="913"/>
              <w:rPr>
                <w:rFonts w:cs="Times New Roman"/>
                <w:sz w:val="18"/>
                <w:szCs w:val="18"/>
              </w:rPr>
            </w:pPr>
            <w:r>
              <w:rPr>
                <w:rFonts w:cs="Times New Roman"/>
                <w:sz w:val="18"/>
                <w:szCs w:val="18"/>
              </w:rPr>
              <w:t>3.35</w:t>
            </w:r>
          </w:p>
        </w:tc>
        <w:tc>
          <w:tcPr>
            <w:tcW w:w="425" w:type="dxa"/>
            <w:noWrap/>
          </w:tcPr>
          <w:p w14:paraId="699E92FC">
            <w:pPr>
              <w:pStyle w:val="913"/>
              <w:rPr>
                <w:rFonts w:cs="Times New Roman"/>
                <w:sz w:val="18"/>
                <w:szCs w:val="18"/>
              </w:rPr>
            </w:pPr>
            <w:r>
              <w:rPr>
                <w:rFonts w:cs="Times New Roman"/>
                <w:sz w:val="18"/>
                <w:szCs w:val="18"/>
              </w:rPr>
              <w:t>3.35</w:t>
            </w:r>
          </w:p>
        </w:tc>
        <w:tc>
          <w:tcPr>
            <w:tcW w:w="392" w:type="dxa"/>
            <w:noWrap/>
          </w:tcPr>
          <w:p w14:paraId="0379BDB8">
            <w:pPr>
              <w:pStyle w:val="913"/>
              <w:rPr>
                <w:rFonts w:cs="Times New Roman"/>
                <w:sz w:val="18"/>
                <w:szCs w:val="18"/>
              </w:rPr>
            </w:pPr>
            <w:r>
              <w:rPr>
                <w:rFonts w:cs="Times New Roman"/>
                <w:sz w:val="18"/>
                <w:szCs w:val="18"/>
              </w:rPr>
              <w:t>4.48</w:t>
            </w:r>
          </w:p>
        </w:tc>
        <w:tc>
          <w:tcPr>
            <w:tcW w:w="503" w:type="dxa"/>
            <w:noWrap/>
          </w:tcPr>
          <w:p w14:paraId="706FEC18">
            <w:pPr>
              <w:pStyle w:val="913"/>
              <w:rPr>
                <w:rFonts w:cs="Times New Roman"/>
                <w:sz w:val="18"/>
                <w:szCs w:val="18"/>
              </w:rPr>
            </w:pPr>
            <w:r>
              <w:rPr>
                <w:rFonts w:cs="Times New Roman"/>
                <w:sz w:val="18"/>
                <w:szCs w:val="18"/>
              </w:rPr>
              <w:t>5.53</w:t>
            </w:r>
          </w:p>
        </w:tc>
        <w:tc>
          <w:tcPr>
            <w:tcW w:w="464" w:type="dxa"/>
            <w:noWrap/>
          </w:tcPr>
          <w:p w14:paraId="10C15406">
            <w:pPr>
              <w:pStyle w:val="913"/>
              <w:rPr>
                <w:rFonts w:cs="Times New Roman"/>
                <w:sz w:val="18"/>
                <w:szCs w:val="18"/>
              </w:rPr>
            </w:pPr>
            <w:r>
              <w:rPr>
                <w:rFonts w:cs="Times New Roman"/>
                <w:sz w:val="18"/>
                <w:szCs w:val="18"/>
              </w:rPr>
              <w:t>8.74</w:t>
            </w:r>
          </w:p>
        </w:tc>
        <w:tc>
          <w:tcPr>
            <w:tcW w:w="536" w:type="dxa"/>
            <w:noWrap/>
          </w:tcPr>
          <w:p w14:paraId="63C13508">
            <w:pPr>
              <w:pStyle w:val="913"/>
              <w:rPr>
                <w:rFonts w:cs="Times New Roman"/>
                <w:sz w:val="18"/>
                <w:szCs w:val="18"/>
              </w:rPr>
            </w:pPr>
            <w:r>
              <w:rPr>
                <w:rFonts w:cs="Times New Roman"/>
                <w:sz w:val="18"/>
                <w:szCs w:val="18"/>
              </w:rPr>
              <w:t>4.30</w:t>
            </w:r>
          </w:p>
        </w:tc>
        <w:tc>
          <w:tcPr>
            <w:tcW w:w="464" w:type="dxa"/>
            <w:noWrap/>
          </w:tcPr>
          <w:p w14:paraId="061C5F5B">
            <w:pPr>
              <w:pStyle w:val="913"/>
              <w:rPr>
                <w:rFonts w:cs="Times New Roman"/>
                <w:sz w:val="18"/>
                <w:szCs w:val="18"/>
              </w:rPr>
            </w:pPr>
            <w:r>
              <w:rPr>
                <w:rFonts w:cs="Times New Roman"/>
                <w:sz w:val="18"/>
                <w:szCs w:val="18"/>
              </w:rPr>
              <w:t>3.99</w:t>
            </w:r>
          </w:p>
        </w:tc>
        <w:tc>
          <w:tcPr>
            <w:tcW w:w="492" w:type="dxa"/>
            <w:noWrap/>
          </w:tcPr>
          <w:p w14:paraId="0982EBAC">
            <w:pPr>
              <w:pStyle w:val="913"/>
              <w:rPr>
                <w:rFonts w:cs="Times New Roman"/>
                <w:sz w:val="18"/>
                <w:szCs w:val="18"/>
              </w:rPr>
            </w:pPr>
            <w:r>
              <w:rPr>
                <w:rFonts w:cs="Times New Roman"/>
                <w:sz w:val="18"/>
                <w:szCs w:val="18"/>
              </w:rPr>
              <w:t>4.57</w:t>
            </w:r>
          </w:p>
        </w:tc>
        <w:tc>
          <w:tcPr>
            <w:tcW w:w="392" w:type="dxa"/>
            <w:noWrap/>
          </w:tcPr>
          <w:p w14:paraId="7E97CF24">
            <w:pPr>
              <w:pStyle w:val="913"/>
              <w:rPr>
                <w:rFonts w:cs="Times New Roman"/>
                <w:sz w:val="18"/>
                <w:szCs w:val="18"/>
              </w:rPr>
            </w:pPr>
            <w:r>
              <w:rPr>
                <w:rFonts w:cs="Times New Roman"/>
                <w:sz w:val="18"/>
                <w:szCs w:val="18"/>
              </w:rPr>
              <w:t>0.27</w:t>
            </w:r>
          </w:p>
        </w:tc>
      </w:tr>
      <w:tr w14:paraId="7FD833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noWrap/>
            <w:vAlign w:val="center"/>
          </w:tcPr>
          <w:p w14:paraId="15BD546C">
            <w:pPr>
              <w:pStyle w:val="913"/>
              <w:rPr>
                <w:rFonts w:cs="Times New Roman"/>
                <w:sz w:val="18"/>
                <w:szCs w:val="18"/>
              </w:rPr>
            </w:pPr>
            <w:r>
              <w:rPr>
                <w:rFonts w:cs="Times New Roman"/>
                <w:sz w:val="18"/>
                <w:szCs w:val="18"/>
              </w:rPr>
              <w:t>秋季</w:t>
            </w:r>
          </w:p>
        </w:tc>
        <w:tc>
          <w:tcPr>
            <w:tcW w:w="495" w:type="dxa"/>
            <w:noWrap/>
          </w:tcPr>
          <w:p w14:paraId="1B5C7DB7">
            <w:pPr>
              <w:pStyle w:val="913"/>
              <w:rPr>
                <w:rFonts w:cs="Times New Roman"/>
                <w:sz w:val="18"/>
                <w:szCs w:val="18"/>
              </w:rPr>
            </w:pPr>
            <w:r>
              <w:rPr>
                <w:rFonts w:cs="Times New Roman"/>
                <w:sz w:val="18"/>
                <w:szCs w:val="18"/>
              </w:rPr>
              <w:t>13.10</w:t>
            </w:r>
          </w:p>
        </w:tc>
        <w:tc>
          <w:tcPr>
            <w:tcW w:w="425" w:type="dxa"/>
            <w:noWrap/>
          </w:tcPr>
          <w:p w14:paraId="464F9E16">
            <w:pPr>
              <w:pStyle w:val="913"/>
              <w:rPr>
                <w:rFonts w:cs="Times New Roman"/>
                <w:sz w:val="18"/>
                <w:szCs w:val="18"/>
              </w:rPr>
            </w:pPr>
            <w:r>
              <w:rPr>
                <w:rFonts w:cs="Times New Roman"/>
                <w:sz w:val="18"/>
                <w:szCs w:val="18"/>
              </w:rPr>
              <w:t>8.52</w:t>
            </w:r>
          </w:p>
        </w:tc>
        <w:tc>
          <w:tcPr>
            <w:tcW w:w="464" w:type="dxa"/>
            <w:noWrap/>
          </w:tcPr>
          <w:p w14:paraId="77708C34">
            <w:pPr>
              <w:pStyle w:val="913"/>
              <w:rPr>
                <w:rFonts w:cs="Times New Roman"/>
                <w:sz w:val="18"/>
                <w:szCs w:val="18"/>
              </w:rPr>
            </w:pPr>
            <w:r>
              <w:rPr>
                <w:rFonts w:cs="Times New Roman"/>
                <w:sz w:val="18"/>
                <w:szCs w:val="18"/>
              </w:rPr>
              <w:t>7.78</w:t>
            </w:r>
          </w:p>
        </w:tc>
        <w:tc>
          <w:tcPr>
            <w:tcW w:w="464" w:type="dxa"/>
            <w:noWrap/>
          </w:tcPr>
          <w:p w14:paraId="33BF9B68">
            <w:pPr>
              <w:pStyle w:val="913"/>
              <w:rPr>
                <w:rFonts w:cs="Times New Roman"/>
                <w:sz w:val="18"/>
                <w:szCs w:val="18"/>
              </w:rPr>
            </w:pPr>
            <w:r>
              <w:rPr>
                <w:rFonts w:cs="Times New Roman"/>
                <w:sz w:val="18"/>
                <w:szCs w:val="18"/>
              </w:rPr>
              <w:t>10.26</w:t>
            </w:r>
          </w:p>
        </w:tc>
        <w:tc>
          <w:tcPr>
            <w:tcW w:w="464" w:type="dxa"/>
            <w:noWrap/>
          </w:tcPr>
          <w:p w14:paraId="58B9A9A4">
            <w:pPr>
              <w:pStyle w:val="913"/>
              <w:rPr>
                <w:rFonts w:cs="Times New Roman"/>
                <w:sz w:val="18"/>
                <w:szCs w:val="18"/>
              </w:rPr>
            </w:pPr>
            <w:r>
              <w:rPr>
                <w:rFonts w:cs="Times New Roman"/>
                <w:sz w:val="18"/>
                <w:szCs w:val="18"/>
              </w:rPr>
              <w:t>14.65</w:t>
            </w:r>
          </w:p>
        </w:tc>
        <w:tc>
          <w:tcPr>
            <w:tcW w:w="392" w:type="dxa"/>
            <w:noWrap/>
          </w:tcPr>
          <w:p w14:paraId="65ADCFA5">
            <w:pPr>
              <w:pStyle w:val="913"/>
              <w:rPr>
                <w:rFonts w:cs="Times New Roman"/>
                <w:sz w:val="18"/>
                <w:szCs w:val="18"/>
              </w:rPr>
            </w:pPr>
            <w:r>
              <w:rPr>
                <w:rFonts w:cs="Times New Roman"/>
                <w:sz w:val="18"/>
                <w:szCs w:val="18"/>
              </w:rPr>
              <w:t>5.49</w:t>
            </w:r>
          </w:p>
        </w:tc>
        <w:tc>
          <w:tcPr>
            <w:tcW w:w="392" w:type="dxa"/>
            <w:noWrap/>
          </w:tcPr>
          <w:p w14:paraId="5803C954">
            <w:pPr>
              <w:pStyle w:val="913"/>
              <w:rPr>
                <w:rFonts w:cs="Times New Roman"/>
                <w:sz w:val="18"/>
                <w:szCs w:val="18"/>
              </w:rPr>
            </w:pPr>
            <w:r>
              <w:rPr>
                <w:rFonts w:cs="Times New Roman"/>
                <w:sz w:val="18"/>
                <w:szCs w:val="18"/>
              </w:rPr>
              <w:t>5.27</w:t>
            </w:r>
          </w:p>
        </w:tc>
        <w:tc>
          <w:tcPr>
            <w:tcW w:w="392" w:type="dxa"/>
            <w:noWrap/>
          </w:tcPr>
          <w:p w14:paraId="244F73EF">
            <w:pPr>
              <w:pStyle w:val="913"/>
              <w:rPr>
                <w:rFonts w:cs="Times New Roman"/>
                <w:sz w:val="18"/>
                <w:szCs w:val="18"/>
              </w:rPr>
            </w:pPr>
            <w:r>
              <w:rPr>
                <w:rFonts w:cs="Times New Roman"/>
                <w:sz w:val="18"/>
                <w:szCs w:val="18"/>
              </w:rPr>
              <w:t>3.39</w:t>
            </w:r>
          </w:p>
        </w:tc>
        <w:tc>
          <w:tcPr>
            <w:tcW w:w="392" w:type="dxa"/>
            <w:noWrap/>
          </w:tcPr>
          <w:p w14:paraId="171F5831">
            <w:pPr>
              <w:pStyle w:val="913"/>
              <w:rPr>
                <w:rFonts w:cs="Times New Roman"/>
                <w:sz w:val="18"/>
                <w:szCs w:val="18"/>
              </w:rPr>
            </w:pPr>
            <w:r>
              <w:rPr>
                <w:rFonts w:cs="Times New Roman"/>
                <w:sz w:val="18"/>
                <w:szCs w:val="18"/>
              </w:rPr>
              <w:t>3.57</w:t>
            </w:r>
          </w:p>
        </w:tc>
        <w:tc>
          <w:tcPr>
            <w:tcW w:w="425" w:type="dxa"/>
            <w:noWrap/>
          </w:tcPr>
          <w:p w14:paraId="28870467">
            <w:pPr>
              <w:pStyle w:val="913"/>
              <w:rPr>
                <w:rFonts w:cs="Times New Roman"/>
                <w:sz w:val="18"/>
                <w:szCs w:val="18"/>
              </w:rPr>
            </w:pPr>
            <w:r>
              <w:rPr>
                <w:rFonts w:cs="Times New Roman"/>
                <w:sz w:val="18"/>
                <w:szCs w:val="18"/>
              </w:rPr>
              <w:t>2.11</w:t>
            </w:r>
          </w:p>
        </w:tc>
        <w:tc>
          <w:tcPr>
            <w:tcW w:w="392" w:type="dxa"/>
            <w:noWrap/>
          </w:tcPr>
          <w:p w14:paraId="5EC0AA86">
            <w:pPr>
              <w:pStyle w:val="913"/>
              <w:rPr>
                <w:rFonts w:cs="Times New Roman"/>
                <w:sz w:val="18"/>
                <w:szCs w:val="18"/>
              </w:rPr>
            </w:pPr>
            <w:r>
              <w:rPr>
                <w:rFonts w:cs="Times New Roman"/>
                <w:sz w:val="18"/>
                <w:szCs w:val="18"/>
              </w:rPr>
              <w:t>2.84</w:t>
            </w:r>
          </w:p>
        </w:tc>
        <w:tc>
          <w:tcPr>
            <w:tcW w:w="503" w:type="dxa"/>
            <w:noWrap/>
          </w:tcPr>
          <w:p w14:paraId="205ABEFB">
            <w:pPr>
              <w:pStyle w:val="913"/>
              <w:rPr>
                <w:rFonts w:cs="Times New Roman"/>
                <w:sz w:val="18"/>
                <w:szCs w:val="18"/>
              </w:rPr>
            </w:pPr>
            <w:r>
              <w:rPr>
                <w:rFonts w:cs="Times New Roman"/>
                <w:sz w:val="18"/>
                <w:szCs w:val="18"/>
              </w:rPr>
              <w:t>4.17</w:t>
            </w:r>
          </w:p>
        </w:tc>
        <w:tc>
          <w:tcPr>
            <w:tcW w:w="464" w:type="dxa"/>
            <w:noWrap/>
          </w:tcPr>
          <w:p w14:paraId="545D7707">
            <w:pPr>
              <w:pStyle w:val="913"/>
              <w:rPr>
                <w:rFonts w:cs="Times New Roman"/>
                <w:sz w:val="18"/>
                <w:szCs w:val="18"/>
              </w:rPr>
            </w:pPr>
            <w:r>
              <w:rPr>
                <w:rFonts w:cs="Times New Roman"/>
                <w:sz w:val="18"/>
                <w:szCs w:val="18"/>
              </w:rPr>
              <w:t>7.19</w:t>
            </w:r>
          </w:p>
        </w:tc>
        <w:tc>
          <w:tcPr>
            <w:tcW w:w="536" w:type="dxa"/>
            <w:noWrap/>
          </w:tcPr>
          <w:p w14:paraId="20AC2B33">
            <w:pPr>
              <w:pStyle w:val="913"/>
              <w:rPr>
                <w:rFonts w:cs="Times New Roman"/>
                <w:sz w:val="18"/>
                <w:szCs w:val="18"/>
              </w:rPr>
            </w:pPr>
            <w:r>
              <w:rPr>
                <w:rFonts w:cs="Times New Roman"/>
                <w:sz w:val="18"/>
                <w:szCs w:val="18"/>
              </w:rPr>
              <w:t>3.57</w:t>
            </w:r>
          </w:p>
        </w:tc>
        <w:tc>
          <w:tcPr>
            <w:tcW w:w="464" w:type="dxa"/>
            <w:noWrap/>
          </w:tcPr>
          <w:p w14:paraId="08020D56">
            <w:pPr>
              <w:pStyle w:val="913"/>
              <w:rPr>
                <w:rFonts w:cs="Times New Roman"/>
                <w:sz w:val="18"/>
                <w:szCs w:val="18"/>
              </w:rPr>
            </w:pPr>
            <w:r>
              <w:rPr>
                <w:rFonts w:cs="Times New Roman"/>
                <w:sz w:val="18"/>
                <w:szCs w:val="18"/>
              </w:rPr>
              <w:t>4.30</w:t>
            </w:r>
          </w:p>
        </w:tc>
        <w:tc>
          <w:tcPr>
            <w:tcW w:w="492" w:type="dxa"/>
            <w:noWrap/>
          </w:tcPr>
          <w:p w14:paraId="51C64C7F">
            <w:pPr>
              <w:pStyle w:val="913"/>
              <w:rPr>
                <w:rFonts w:cs="Times New Roman"/>
                <w:sz w:val="18"/>
                <w:szCs w:val="18"/>
              </w:rPr>
            </w:pPr>
            <w:r>
              <w:rPr>
                <w:rFonts w:cs="Times New Roman"/>
                <w:sz w:val="18"/>
                <w:szCs w:val="18"/>
              </w:rPr>
              <w:t>3.53</w:t>
            </w:r>
          </w:p>
        </w:tc>
        <w:tc>
          <w:tcPr>
            <w:tcW w:w="392" w:type="dxa"/>
            <w:noWrap/>
          </w:tcPr>
          <w:p w14:paraId="3F717D14">
            <w:pPr>
              <w:pStyle w:val="913"/>
              <w:rPr>
                <w:rFonts w:cs="Times New Roman"/>
                <w:sz w:val="18"/>
                <w:szCs w:val="18"/>
              </w:rPr>
            </w:pPr>
            <w:r>
              <w:rPr>
                <w:rFonts w:cs="Times New Roman"/>
                <w:sz w:val="18"/>
                <w:szCs w:val="18"/>
              </w:rPr>
              <w:t>0.27</w:t>
            </w:r>
          </w:p>
        </w:tc>
      </w:tr>
      <w:tr w14:paraId="7720D1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noWrap/>
            <w:vAlign w:val="center"/>
          </w:tcPr>
          <w:p w14:paraId="242B117A">
            <w:pPr>
              <w:pStyle w:val="913"/>
              <w:rPr>
                <w:rFonts w:cs="Times New Roman"/>
                <w:sz w:val="18"/>
                <w:szCs w:val="18"/>
              </w:rPr>
            </w:pPr>
            <w:r>
              <w:rPr>
                <w:rFonts w:cs="Times New Roman"/>
                <w:sz w:val="18"/>
                <w:szCs w:val="18"/>
              </w:rPr>
              <w:t>冬季</w:t>
            </w:r>
          </w:p>
        </w:tc>
        <w:tc>
          <w:tcPr>
            <w:tcW w:w="495" w:type="dxa"/>
            <w:noWrap/>
          </w:tcPr>
          <w:p w14:paraId="234A3F20">
            <w:pPr>
              <w:pStyle w:val="913"/>
              <w:rPr>
                <w:rFonts w:cs="Times New Roman"/>
                <w:sz w:val="18"/>
                <w:szCs w:val="18"/>
              </w:rPr>
            </w:pPr>
            <w:r>
              <w:rPr>
                <w:rFonts w:cs="Times New Roman"/>
                <w:sz w:val="18"/>
                <w:szCs w:val="18"/>
              </w:rPr>
              <w:t>6.16</w:t>
            </w:r>
          </w:p>
        </w:tc>
        <w:tc>
          <w:tcPr>
            <w:tcW w:w="425" w:type="dxa"/>
            <w:noWrap/>
          </w:tcPr>
          <w:p w14:paraId="7264853D">
            <w:pPr>
              <w:pStyle w:val="913"/>
              <w:rPr>
                <w:rFonts w:cs="Times New Roman"/>
                <w:sz w:val="18"/>
                <w:szCs w:val="18"/>
              </w:rPr>
            </w:pPr>
            <w:r>
              <w:rPr>
                <w:rFonts w:cs="Times New Roman"/>
                <w:sz w:val="18"/>
                <w:szCs w:val="18"/>
              </w:rPr>
              <w:t>6.39</w:t>
            </w:r>
          </w:p>
        </w:tc>
        <w:tc>
          <w:tcPr>
            <w:tcW w:w="464" w:type="dxa"/>
            <w:noWrap/>
          </w:tcPr>
          <w:p w14:paraId="15587477">
            <w:pPr>
              <w:pStyle w:val="913"/>
              <w:rPr>
                <w:rFonts w:cs="Times New Roman"/>
                <w:sz w:val="18"/>
                <w:szCs w:val="18"/>
              </w:rPr>
            </w:pPr>
            <w:r>
              <w:rPr>
                <w:rFonts w:cs="Times New Roman"/>
                <w:sz w:val="18"/>
                <w:szCs w:val="18"/>
              </w:rPr>
              <w:t>7.50</w:t>
            </w:r>
          </w:p>
        </w:tc>
        <w:tc>
          <w:tcPr>
            <w:tcW w:w="464" w:type="dxa"/>
            <w:noWrap/>
          </w:tcPr>
          <w:p w14:paraId="7D78C415">
            <w:pPr>
              <w:pStyle w:val="913"/>
              <w:rPr>
                <w:rFonts w:cs="Times New Roman"/>
                <w:sz w:val="18"/>
                <w:szCs w:val="18"/>
              </w:rPr>
            </w:pPr>
            <w:r>
              <w:rPr>
                <w:rFonts w:cs="Times New Roman"/>
                <w:sz w:val="18"/>
                <w:szCs w:val="18"/>
              </w:rPr>
              <w:t>16.25</w:t>
            </w:r>
          </w:p>
        </w:tc>
        <w:tc>
          <w:tcPr>
            <w:tcW w:w="464" w:type="dxa"/>
            <w:noWrap/>
          </w:tcPr>
          <w:p w14:paraId="1D074514">
            <w:pPr>
              <w:pStyle w:val="913"/>
              <w:rPr>
                <w:rFonts w:cs="Times New Roman"/>
                <w:sz w:val="18"/>
                <w:szCs w:val="18"/>
              </w:rPr>
            </w:pPr>
            <w:r>
              <w:rPr>
                <w:rFonts w:cs="Times New Roman"/>
                <w:sz w:val="18"/>
                <w:szCs w:val="18"/>
              </w:rPr>
              <w:t>19.40</w:t>
            </w:r>
          </w:p>
        </w:tc>
        <w:tc>
          <w:tcPr>
            <w:tcW w:w="392" w:type="dxa"/>
            <w:noWrap/>
          </w:tcPr>
          <w:p w14:paraId="3AF1D606">
            <w:pPr>
              <w:pStyle w:val="913"/>
              <w:rPr>
                <w:rFonts w:cs="Times New Roman"/>
                <w:sz w:val="18"/>
                <w:szCs w:val="18"/>
              </w:rPr>
            </w:pPr>
            <w:r>
              <w:rPr>
                <w:rFonts w:cs="Times New Roman"/>
                <w:sz w:val="18"/>
                <w:szCs w:val="18"/>
              </w:rPr>
              <w:t>6.06</w:t>
            </w:r>
          </w:p>
        </w:tc>
        <w:tc>
          <w:tcPr>
            <w:tcW w:w="392" w:type="dxa"/>
            <w:noWrap/>
          </w:tcPr>
          <w:p w14:paraId="6AAC8223">
            <w:pPr>
              <w:pStyle w:val="913"/>
              <w:rPr>
                <w:rFonts w:cs="Times New Roman"/>
                <w:sz w:val="18"/>
                <w:szCs w:val="18"/>
              </w:rPr>
            </w:pPr>
            <w:r>
              <w:rPr>
                <w:rFonts w:cs="Times New Roman"/>
                <w:sz w:val="18"/>
                <w:szCs w:val="18"/>
              </w:rPr>
              <w:t>5.37</w:t>
            </w:r>
          </w:p>
        </w:tc>
        <w:tc>
          <w:tcPr>
            <w:tcW w:w="392" w:type="dxa"/>
            <w:noWrap/>
          </w:tcPr>
          <w:p w14:paraId="7709705F">
            <w:pPr>
              <w:pStyle w:val="913"/>
              <w:rPr>
                <w:rFonts w:cs="Times New Roman"/>
                <w:sz w:val="18"/>
                <w:szCs w:val="18"/>
              </w:rPr>
            </w:pPr>
            <w:r>
              <w:rPr>
                <w:rFonts w:cs="Times New Roman"/>
                <w:sz w:val="18"/>
                <w:szCs w:val="18"/>
              </w:rPr>
              <w:t>3.38</w:t>
            </w:r>
          </w:p>
        </w:tc>
        <w:tc>
          <w:tcPr>
            <w:tcW w:w="392" w:type="dxa"/>
            <w:noWrap/>
          </w:tcPr>
          <w:p w14:paraId="4028EFC9">
            <w:pPr>
              <w:pStyle w:val="913"/>
              <w:rPr>
                <w:rFonts w:cs="Times New Roman"/>
                <w:sz w:val="18"/>
                <w:szCs w:val="18"/>
              </w:rPr>
            </w:pPr>
            <w:r>
              <w:rPr>
                <w:rFonts w:cs="Times New Roman"/>
                <w:sz w:val="18"/>
                <w:szCs w:val="18"/>
              </w:rPr>
              <w:t>5.14</w:t>
            </w:r>
          </w:p>
        </w:tc>
        <w:tc>
          <w:tcPr>
            <w:tcW w:w="425" w:type="dxa"/>
            <w:noWrap/>
          </w:tcPr>
          <w:p w14:paraId="7D83D4D9">
            <w:pPr>
              <w:pStyle w:val="913"/>
              <w:rPr>
                <w:rFonts w:cs="Times New Roman"/>
                <w:sz w:val="18"/>
                <w:szCs w:val="18"/>
              </w:rPr>
            </w:pPr>
            <w:r>
              <w:rPr>
                <w:rFonts w:cs="Times New Roman"/>
                <w:sz w:val="18"/>
                <w:szCs w:val="18"/>
              </w:rPr>
              <w:t>3.15</w:t>
            </w:r>
          </w:p>
        </w:tc>
        <w:tc>
          <w:tcPr>
            <w:tcW w:w="392" w:type="dxa"/>
            <w:noWrap/>
          </w:tcPr>
          <w:p w14:paraId="45897913">
            <w:pPr>
              <w:pStyle w:val="913"/>
              <w:rPr>
                <w:rFonts w:cs="Times New Roman"/>
                <w:sz w:val="18"/>
                <w:szCs w:val="18"/>
              </w:rPr>
            </w:pPr>
            <w:r>
              <w:rPr>
                <w:rFonts w:cs="Times New Roman"/>
                <w:sz w:val="18"/>
                <w:szCs w:val="18"/>
              </w:rPr>
              <w:t>3.38</w:t>
            </w:r>
          </w:p>
        </w:tc>
        <w:tc>
          <w:tcPr>
            <w:tcW w:w="503" w:type="dxa"/>
            <w:noWrap/>
          </w:tcPr>
          <w:p w14:paraId="45F6ABA3">
            <w:pPr>
              <w:pStyle w:val="913"/>
              <w:rPr>
                <w:rFonts w:cs="Times New Roman"/>
                <w:sz w:val="18"/>
                <w:szCs w:val="18"/>
              </w:rPr>
            </w:pPr>
            <w:r>
              <w:rPr>
                <w:rFonts w:cs="Times New Roman"/>
                <w:sz w:val="18"/>
                <w:szCs w:val="18"/>
              </w:rPr>
              <w:t>3.61</w:t>
            </w:r>
          </w:p>
        </w:tc>
        <w:tc>
          <w:tcPr>
            <w:tcW w:w="464" w:type="dxa"/>
            <w:noWrap/>
          </w:tcPr>
          <w:p w14:paraId="23236EF9">
            <w:pPr>
              <w:pStyle w:val="913"/>
              <w:rPr>
                <w:rFonts w:cs="Times New Roman"/>
                <w:sz w:val="18"/>
                <w:szCs w:val="18"/>
              </w:rPr>
            </w:pPr>
            <w:r>
              <w:rPr>
                <w:rFonts w:cs="Times New Roman"/>
                <w:sz w:val="18"/>
                <w:szCs w:val="18"/>
              </w:rPr>
              <w:t>5.28</w:t>
            </w:r>
          </w:p>
        </w:tc>
        <w:tc>
          <w:tcPr>
            <w:tcW w:w="536" w:type="dxa"/>
            <w:noWrap/>
          </w:tcPr>
          <w:p w14:paraId="2165095F">
            <w:pPr>
              <w:pStyle w:val="913"/>
              <w:rPr>
                <w:rFonts w:cs="Times New Roman"/>
                <w:sz w:val="18"/>
                <w:szCs w:val="18"/>
              </w:rPr>
            </w:pPr>
            <w:r>
              <w:rPr>
                <w:rFonts w:cs="Times New Roman"/>
                <w:sz w:val="18"/>
                <w:szCs w:val="18"/>
              </w:rPr>
              <w:t>2.96</w:t>
            </w:r>
          </w:p>
        </w:tc>
        <w:tc>
          <w:tcPr>
            <w:tcW w:w="464" w:type="dxa"/>
            <w:noWrap/>
          </w:tcPr>
          <w:p w14:paraId="3C253CDB">
            <w:pPr>
              <w:pStyle w:val="913"/>
              <w:rPr>
                <w:rFonts w:cs="Times New Roman"/>
                <w:sz w:val="18"/>
                <w:szCs w:val="18"/>
              </w:rPr>
            </w:pPr>
            <w:r>
              <w:rPr>
                <w:rFonts w:cs="Times New Roman"/>
                <w:sz w:val="18"/>
                <w:szCs w:val="18"/>
              </w:rPr>
              <w:t>3.56</w:t>
            </w:r>
          </w:p>
        </w:tc>
        <w:tc>
          <w:tcPr>
            <w:tcW w:w="492" w:type="dxa"/>
            <w:noWrap/>
          </w:tcPr>
          <w:p w14:paraId="7B9C7200">
            <w:pPr>
              <w:pStyle w:val="913"/>
              <w:rPr>
                <w:rFonts w:cs="Times New Roman"/>
                <w:sz w:val="18"/>
                <w:szCs w:val="18"/>
              </w:rPr>
            </w:pPr>
            <w:r>
              <w:rPr>
                <w:rFonts w:cs="Times New Roman"/>
                <w:sz w:val="18"/>
                <w:szCs w:val="18"/>
              </w:rPr>
              <w:t>1.81</w:t>
            </w:r>
          </w:p>
        </w:tc>
        <w:tc>
          <w:tcPr>
            <w:tcW w:w="392" w:type="dxa"/>
            <w:noWrap/>
          </w:tcPr>
          <w:p w14:paraId="3BCE5F0A">
            <w:pPr>
              <w:pStyle w:val="913"/>
              <w:rPr>
                <w:rFonts w:cs="Times New Roman"/>
                <w:sz w:val="18"/>
                <w:szCs w:val="18"/>
              </w:rPr>
            </w:pPr>
            <w:r>
              <w:rPr>
                <w:rFonts w:cs="Times New Roman"/>
                <w:sz w:val="18"/>
                <w:szCs w:val="18"/>
              </w:rPr>
              <w:t>0.60</w:t>
            </w:r>
          </w:p>
        </w:tc>
      </w:tr>
      <w:tr w14:paraId="4D614F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noWrap/>
            <w:vAlign w:val="center"/>
          </w:tcPr>
          <w:p w14:paraId="412471BC">
            <w:pPr>
              <w:pStyle w:val="913"/>
              <w:rPr>
                <w:rFonts w:cs="Times New Roman"/>
                <w:sz w:val="18"/>
                <w:szCs w:val="18"/>
              </w:rPr>
            </w:pPr>
            <w:r>
              <w:rPr>
                <w:rFonts w:cs="Times New Roman"/>
                <w:sz w:val="18"/>
                <w:szCs w:val="18"/>
              </w:rPr>
              <w:t>年平均</w:t>
            </w:r>
          </w:p>
        </w:tc>
        <w:tc>
          <w:tcPr>
            <w:tcW w:w="495" w:type="dxa"/>
            <w:noWrap/>
          </w:tcPr>
          <w:p w14:paraId="2E2C1456">
            <w:pPr>
              <w:pStyle w:val="913"/>
              <w:rPr>
                <w:rFonts w:cs="Times New Roman"/>
                <w:sz w:val="18"/>
                <w:szCs w:val="18"/>
              </w:rPr>
            </w:pPr>
            <w:r>
              <w:rPr>
                <w:rFonts w:cs="Times New Roman"/>
                <w:sz w:val="18"/>
                <w:szCs w:val="18"/>
              </w:rPr>
              <w:t>8.88</w:t>
            </w:r>
          </w:p>
        </w:tc>
        <w:tc>
          <w:tcPr>
            <w:tcW w:w="425" w:type="dxa"/>
            <w:noWrap/>
          </w:tcPr>
          <w:p w14:paraId="6C14F551">
            <w:pPr>
              <w:pStyle w:val="913"/>
              <w:rPr>
                <w:rFonts w:cs="Times New Roman"/>
                <w:sz w:val="18"/>
                <w:szCs w:val="18"/>
              </w:rPr>
            </w:pPr>
            <w:r>
              <w:rPr>
                <w:rFonts w:cs="Times New Roman"/>
                <w:sz w:val="18"/>
                <w:szCs w:val="18"/>
              </w:rPr>
              <w:t>7.58</w:t>
            </w:r>
          </w:p>
        </w:tc>
        <w:tc>
          <w:tcPr>
            <w:tcW w:w="464" w:type="dxa"/>
            <w:noWrap/>
          </w:tcPr>
          <w:p w14:paraId="7B14089A">
            <w:pPr>
              <w:pStyle w:val="913"/>
              <w:rPr>
                <w:rFonts w:cs="Times New Roman"/>
                <w:sz w:val="18"/>
                <w:szCs w:val="18"/>
              </w:rPr>
            </w:pPr>
            <w:r>
              <w:rPr>
                <w:rFonts w:cs="Times New Roman"/>
                <w:sz w:val="18"/>
                <w:szCs w:val="18"/>
              </w:rPr>
              <w:t>8.71</w:t>
            </w:r>
          </w:p>
        </w:tc>
        <w:tc>
          <w:tcPr>
            <w:tcW w:w="464" w:type="dxa"/>
            <w:noWrap/>
          </w:tcPr>
          <w:p w14:paraId="4A9AF69A">
            <w:pPr>
              <w:pStyle w:val="913"/>
              <w:rPr>
                <w:rFonts w:cs="Times New Roman"/>
                <w:sz w:val="18"/>
                <w:szCs w:val="18"/>
              </w:rPr>
            </w:pPr>
            <w:r>
              <w:rPr>
                <w:rFonts w:cs="Times New Roman"/>
                <w:sz w:val="18"/>
                <w:szCs w:val="18"/>
              </w:rPr>
              <w:t>11.71</w:t>
            </w:r>
          </w:p>
        </w:tc>
        <w:tc>
          <w:tcPr>
            <w:tcW w:w="464" w:type="dxa"/>
            <w:noWrap/>
          </w:tcPr>
          <w:p w14:paraId="35F3591F">
            <w:pPr>
              <w:pStyle w:val="913"/>
              <w:rPr>
                <w:rFonts w:cs="Times New Roman"/>
                <w:sz w:val="18"/>
                <w:szCs w:val="18"/>
              </w:rPr>
            </w:pPr>
            <w:r>
              <w:rPr>
                <w:rFonts w:cs="Times New Roman"/>
                <w:sz w:val="18"/>
                <w:szCs w:val="18"/>
              </w:rPr>
              <w:t>14.77</w:t>
            </w:r>
          </w:p>
        </w:tc>
        <w:tc>
          <w:tcPr>
            <w:tcW w:w="392" w:type="dxa"/>
            <w:noWrap/>
          </w:tcPr>
          <w:p w14:paraId="53AED8AC">
            <w:pPr>
              <w:pStyle w:val="913"/>
              <w:rPr>
                <w:rFonts w:cs="Times New Roman"/>
                <w:sz w:val="18"/>
                <w:szCs w:val="18"/>
              </w:rPr>
            </w:pPr>
            <w:r>
              <w:rPr>
                <w:rFonts w:cs="Times New Roman"/>
                <w:sz w:val="18"/>
                <w:szCs w:val="18"/>
              </w:rPr>
              <w:t>6.28</w:t>
            </w:r>
          </w:p>
        </w:tc>
        <w:tc>
          <w:tcPr>
            <w:tcW w:w="392" w:type="dxa"/>
            <w:noWrap/>
          </w:tcPr>
          <w:p w14:paraId="75BB133A">
            <w:pPr>
              <w:pStyle w:val="913"/>
              <w:rPr>
                <w:rFonts w:cs="Times New Roman"/>
                <w:sz w:val="18"/>
                <w:szCs w:val="18"/>
              </w:rPr>
            </w:pPr>
            <w:r>
              <w:rPr>
                <w:rFonts w:cs="Times New Roman"/>
                <w:sz w:val="18"/>
                <w:szCs w:val="18"/>
              </w:rPr>
              <w:t>5.45</w:t>
            </w:r>
          </w:p>
        </w:tc>
        <w:tc>
          <w:tcPr>
            <w:tcW w:w="392" w:type="dxa"/>
            <w:noWrap/>
          </w:tcPr>
          <w:p w14:paraId="24DD829F">
            <w:pPr>
              <w:pStyle w:val="913"/>
              <w:rPr>
                <w:rFonts w:cs="Times New Roman"/>
                <w:sz w:val="18"/>
                <w:szCs w:val="18"/>
              </w:rPr>
            </w:pPr>
            <w:r>
              <w:rPr>
                <w:rFonts w:cs="Times New Roman"/>
                <w:sz w:val="18"/>
                <w:szCs w:val="18"/>
              </w:rPr>
              <w:t>3.13</w:t>
            </w:r>
          </w:p>
        </w:tc>
        <w:tc>
          <w:tcPr>
            <w:tcW w:w="392" w:type="dxa"/>
            <w:noWrap/>
          </w:tcPr>
          <w:p w14:paraId="60E8CCA0">
            <w:pPr>
              <w:pStyle w:val="913"/>
              <w:rPr>
                <w:rFonts w:cs="Times New Roman"/>
                <w:sz w:val="18"/>
                <w:szCs w:val="18"/>
              </w:rPr>
            </w:pPr>
            <w:r>
              <w:rPr>
                <w:rFonts w:cs="Times New Roman"/>
                <w:sz w:val="18"/>
                <w:szCs w:val="18"/>
              </w:rPr>
              <w:t>3.98</w:t>
            </w:r>
          </w:p>
        </w:tc>
        <w:tc>
          <w:tcPr>
            <w:tcW w:w="425" w:type="dxa"/>
            <w:noWrap/>
          </w:tcPr>
          <w:p w14:paraId="5DFEFF2C">
            <w:pPr>
              <w:pStyle w:val="913"/>
              <w:rPr>
                <w:rFonts w:cs="Times New Roman"/>
                <w:sz w:val="18"/>
                <w:szCs w:val="18"/>
              </w:rPr>
            </w:pPr>
            <w:r>
              <w:rPr>
                <w:rFonts w:cs="Times New Roman"/>
                <w:sz w:val="18"/>
                <w:szCs w:val="18"/>
              </w:rPr>
              <w:t>2.80</w:t>
            </w:r>
          </w:p>
        </w:tc>
        <w:tc>
          <w:tcPr>
            <w:tcW w:w="392" w:type="dxa"/>
            <w:noWrap/>
          </w:tcPr>
          <w:p w14:paraId="1A902E27">
            <w:pPr>
              <w:pStyle w:val="913"/>
              <w:rPr>
                <w:rFonts w:cs="Times New Roman"/>
                <w:sz w:val="18"/>
                <w:szCs w:val="18"/>
              </w:rPr>
            </w:pPr>
            <w:r>
              <w:rPr>
                <w:rFonts w:cs="Times New Roman"/>
                <w:sz w:val="18"/>
                <w:szCs w:val="18"/>
              </w:rPr>
              <w:t>3.22</w:t>
            </w:r>
          </w:p>
        </w:tc>
        <w:tc>
          <w:tcPr>
            <w:tcW w:w="503" w:type="dxa"/>
            <w:noWrap/>
          </w:tcPr>
          <w:p w14:paraId="2847489D">
            <w:pPr>
              <w:pStyle w:val="913"/>
              <w:rPr>
                <w:rFonts w:cs="Times New Roman"/>
                <w:sz w:val="18"/>
                <w:szCs w:val="18"/>
              </w:rPr>
            </w:pPr>
            <w:r>
              <w:rPr>
                <w:rFonts w:cs="Times New Roman"/>
                <w:sz w:val="18"/>
                <w:szCs w:val="18"/>
              </w:rPr>
              <w:t>4.26</w:t>
            </w:r>
          </w:p>
        </w:tc>
        <w:tc>
          <w:tcPr>
            <w:tcW w:w="464" w:type="dxa"/>
            <w:noWrap/>
          </w:tcPr>
          <w:p w14:paraId="51B97C96">
            <w:pPr>
              <w:pStyle w:val="913"/>
              <w:rPr>
                <w:rFonts w:cs="Times New Roman"/>
                <w:sz w:val="18"/>
                <w:szCs w:val="18"/>
              </w:rPr>
            </w:pPr>
            <w:r>
              <w:rPr>
                <w:rFonts w:cs="Times New Roman"/>
                <w:sz w:val="18"/>
                <w:szCs w:val="18"/>
              </w:rPr>
              <w:t>7.48</w:t>
            </w:r>
          </w:p>
        </w:tc>
        <w:tc>
          <w:tcPr>
            <w:tcW w:w="536" w:type="dxa"/>
            <w:noWrap/>
          </w:tcPr>
          <w:p w14:paraId="53ED6041">
            <w:pPr>
              <w:pStyle w:val="913"/>
              <w:rPr>
                <w:rFonts w:cs="Times New Roman"/>
                <w:sz w:val="18"/>
                <w:szCs w:val="18"/>
              </w:rPr>
            </w:pPr>
            <w:r>
              <w:rPr>
                <w:rFonts w:cs="Times New Roman"/>
                <w:sz w:val="18"/>
                <w:szCs w:val="18"/>
              </w:rPr>
              <w:t>4.22</w:t>
            </w:r>
          </w:p>
        </w:tc>
        <w:tc>
          <w:tcPr>
            <w:tcW w:w="464" w:type="dxa"/>
            <w:noWrap/>
          </w:tcPr>
          <w:p w14:paraId="54928EAE">
            <w:pPr>
              <w:pStyle w:val="913"/>
              <w:rPr>
                <w:rFonts w:cs="Times New Roman"/>
                <w:sz w:val="18"/>
                <w:szCs w:val="18"/>
              </w:rPr>
            </w:pPr>
            <w:r>
              <w:rPr>
                <w:rFonts w:cs="Times New Roman"/>
                <w:sz w:val="18"/>
                <w:szCs w:val="18"/>
              </w:rPr>
              <w:t>3.98</w:t>
            </w:r>
          </w:p>
        </w:tc>
        <w:tc>
          <w:tcPr>
            <w:tcW w:w="492" w:type="dxa"/>
            <w:noWrap/>
          </w:tcPr>
          <w:p w14:paraId="157886B9">
            <w:pPr>
              <w:pStyle w:val="913"/>
              <w:rPr>
                <w:rFonts w:cs="Times New Roman"/>
                <w:sz w:val="18"/>
                <w:szCs w:val="18"/>
              </w:rPr>
            </w:pPr>
            <w:r>
              <w:rPr>
                <w:rFonts w:cs="Times New Roman"/>
                <w:sz w:val="18"/>
                <w:szCs w:val="18"/>
              </w:rPr>
              <w:t>3.24</w:t>
            </w:r>
          </w:p>
        </w:tc>
        <w:tc>
          <w:tcPr>
            <w:tcW w:w="392" w:type="dxa"/>
            <w:noWrap/>
          </w:tcPr>
          <w:p w14:paraId="4BD5350F">
            <w:pPr>
              <w:pStyle w:val="913"/>
              <w:rPr>
                <w:rFonts w:cs="Times New Roman"/>
                <w:sz w:val="18"/>
                <w:szCs w:val="18"/>
              </w:rPr>
            </w:pPr>
            <w:r>
              <w:rPr>
                <w:rFonts w:cs="Times New Roman"/>
                <w:sz w:val="18"/>
                <w:szCs w:val="18"/>
              </w:rPr>
              <w:t>0.31</w:t>
            </w:r>
          </w:p>
        </w:tc>
      </w:tr>
    </w:tbl>
    <w:p w14:paraId="293C4CCB">
      <w:pPr>
        <w:pStyle w:val="557"/>
      </w:pPr>
    </w:p>
    <w:p w14:paraId="095AC065">
      <w:pPr>
        <w:pStyle w:val="645"/>
        <w:rPr>
          <w:rFonts w:hint="eastAsia"/>
        </w:rPr>
      </w:pPr>
      <w:r>
        <w:t>图5</w:t>
      </w:r>
      <w:r>
        <w:rPr>
          <w:rFonts w:hint="eastAsia"/>
        </w:rPr>
        <w:t>.2.2</w:t>
      </w:r>
      <w:r>
        <w:t>-1   2023年月、季、年平均风向玫瑰图</w:t>
      </w:r>
    </w:p>
    <w:p w14:paraId="7993A274">
      <w:pPr>
        <w:pStyle w:val="281"/>
        <w:ind w:firstLine="480"/>
      </w:pPr>
      <w:r>
        <w:t>（2）风速</w:t>
      </w:r>
    </w:p>
    <w:p w14:paraId="2FCC2C16">
      <w:pPr>
        <w:pStyle w:val="281"/>
        <w:ind w:firstLine="480"/>
      </w:pPr>
      <w:r>
        <w:t>评价区域2023年均风速2.03m/s。5月平均风速最大，为2.59m/s；10月平均风速最小，为1.37m/s。年均风速的月变化见表5</w:t>
      </w:r>
      <w:r>
        <w:rPr>
          <w:rFonts w:hint="eastAsia"/>
        </w:rPr>
        <w:t>.2.2</w:t>
      </w:r>
      <w:r>
        <w:t>-</w:t>
      </w:r>
      <w:r>
        <w:rPr>
          <w:rFonts w:hint="eastAsia"/>
        </w:rPr>
        <w:t>3</w:t>
      </w:r>
      <w:r>
        <w:t>，风速频率玫瑰见图5</w:t>
      </w:r>
      <w:r>
        <w:rPr>
          <w:rFonts w:hint="eastAsia"/>
        </w:rPr>
        <w:t>.2.2</w:t>
      </w:r>
      <w:r>
        <w:t>-</w:t>
      </w:r>
      <w:r>
        <w:rPr>
          <w:rFonts w:hint="eastAsia"/>
        </w:rPr>
        <w:t>2</w:t>
      </w:r>
      <w:r>
        <w:t>。</w:t>
      </w:r>
    </w:p>
    <w:p w14:paraId="46C409DB">
      <w:pPr>
        <w:pStyle w:val="645"/>
        <w:rPr>
          <w:rFonts w:hint="eastAsia"/>
        </w:rPr>
      </w:pPr>
      <w:r>
        <w:t>表5</w:t>
      </w:r>
      <w:r>
        <w:rPr>
          <w:rFonts w:hint="eastAsia"/>
        </w:rPr>
        <w:t>.2.2</w:t>
      </w:r>
      <w:r>
        <w:t>-</w:t>
      </w:r>
      <w:r>
        <w:rPr>
          <w:rFonts w:hint="eastAsia"/>
        </w:rPr>
        <w:t>3</w:t>
      </w:r>
      <w:r>
        <w:t xml:space="preserve">  </w:t>
      </w:r>
      <w:r>
        <w:rPr>
          <w:rFonts w:hint="eastAsia"/>
        </w:rPr>
        <w:t xml:space="preserve"> </w:t>
      </w:r>
      <w:r>
        <w:t xml:space="preserve"> 2023年年均风速的月变化一览表</w:t>
      </w:r>
    </w:p>
    <w:tbl>
      <w:tblPr>
        <w:tblStyle w:val="65"/>
        <w:tblW w:w="5000" w:type="pct"/>
        <w:jc w:val="right"/>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7"/>
        <w:gridCol w:w="598"/>
        <w:gridCol w:w="599"/>
        <w:gridCol w:w="598"/>
        <w:gridCol w:w="597"/>
        <w:gridCol w:w="598"/>
        <w:gridCol w:w="597"/>
        <w:gridCol w:w="597"/>
        <w:gridCol w:w="598"/>
        <w:gridCol w:w="597"/>
        <w:gridCol w:w="597"/>
        <w:gridCol w:w="598"/>
        <w:gridCol w:w="597"/>
        <w:gridCol w:w="598"/>
      </w:tblGrid>
      <w:tr w14:paraId="76354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right"/>
        </w:trPr>
        <w:tc>
          <w:tcPr>
            <w:tcW w:w="592" w:type="dxa"/>
            <w:tcMar>
              <w:left w:w="28" w:type="dxa"/>
              <w:right w:w="28" w:type="dxa"/>
            </w:tcMar>
            <w:vAlign w:val="center"/>
          </w:tcPr>
          <w:p w14:paraId="69BAE36F">
            <w:pPr>
              <w:pStyle w:val="557"/>
            </w:pPr>
            <w:r>
              <w:t>月份</w:t>
            </w:r>
          </w:p>
        </w:tc>
        <w:tc>
          <w:tcPr>
            <w:tcW w:w="593" w:type="dxa"/>
            <w:tcMar>
              <w:left w:w="28" w:type="dxa"/>
              <w:right w:w="28" w:type="dxa"/>
            </w:tcMar>
            <w:vAlign w:val="center"/>
          </w:tcPr>
          <w:p w14:paraId="41B4011A">
            <w:pPr>
              <w:pStyle w:val="557"/>
            </w:pPr>
            <w:r>
              <w:t>1月</w:t>
            </w:r>
          </w:p>
        </w:tc>
        <w:tc>
          <w:tcPr>
            <w:tcW w:w="594" w:type="dxa"/>
            <w:tcMar>
              <w:left w:w="28" w:type="dxa"/>
              <w:right w:w="28" w:type="dxa"/>
            </w:tcMar>
            <w:vAlign w:val="center"/>
          </w:tcPr>
          <w:p w14:paraId="319B0BE0">
            <w:pPr>
              <w:pStyle w:val="557"/>
            </w:pPr>
            <w:r>
              <w:t>2月</w:t>
            </w:r>
          </w:p>
        </w:tc>
        <w:tc>
          <w:tcPr>
            <w:tcW w:w="593" w:type="dxa"/>
            <w:tcMar>
              <w:left w:w="28" w:type="dxa"/>
              <w:right w:w="28" w:type="dxa"/>
            </w:tcMar>
            <w:vAlign w:val="center"/>
          </w:tcPr>
          <w:p w14:paraId="24236A84">
            <w:pPr>
              <w:pStyle w:val="557"/>
            </w:pPr>
            <w:r>
              <w:t>3月</w:t>
            </w:r>
          </w:p>
        </w:tc>
        <w:tc>
          <w:tcPr>
            <w:tcW w:w="592" w:type="dxa"/>
            <w:tcMar>
              <w:left w:w="28" w:type="dxa"/>
              <w:right w:w="28" w:type="dxa"/>
            </w:tcMar>
            <w:vAlign w:val="center"/>
          </w:tcPr>
          <w:p w14:paraId="7DBA1122">
            <w:pPr>
              <w:pStyle w:val="557"/>
            </w:pPr>
            <w:r>
              <w:t>4月</w:t>
            </w:r>
          </w:p>
        </w:tc>
        <w:tc>
          <w:tcPr>
            <w:tcW w:w="593" w:type="dxa"/>
            <w:tcMar>
              <w:left w:w="28" w:type="dxa"/>
              <w:right w:w="28" w:type="dxa"/>
            </w:tcMar>
            <w:vAlign w:val="center"/>
          </w:tcPr>
          <w:p w14:paraId="6630349E">
            <w:pPr>
              <w:pStyle w:val="557"/>
            </w:pPr>
            <w:r>
              <w:t>5月</w:t>
            </w:r>
          </w:p>
        </w:tc>
        <w:tc>
          <w:tcPr>
            <w:tcW w:w="592" w:type="dxa"/>
            <w:tcMar>
              <w:left w:w="28" w:type="dxa"/>
              <w:right w:w="28" w:type="dxa"/>
            </w:tcMar>
            <w:vAlign w:val="center"/>
          </w:tcPr>
          <w:p w14:paraId="625F878F">
            <w:pPr>
              <w:pStyle w:val="557"/>
            </w:pPr>
            <w:r>
              <w:t>6月</w:t>
            </w:r>
          </w:p>
        </w:tc>
        <w:tc>
          <w:tcPr>
            <w:tcW w:w="592" w:type="dxa"/>
            <w:tcMar>
              <w:left w:w="28" w:type="dxa"/>
              <w:right w:w="28" w:type="dxa"/>
            </w:tcMar>
            <w:vAlign w:val="center"/>
          </w:tcPr>
          <w:p w14:paraId="05E063F3">
            <w:pPr>
              <w:pStyle w:val="557"/>
            </w:pPr>
            <w:r>
              <w:t>7月</w:t>
            </w:r>
          </w:p>
        </w:tc>
        <w:tc>
          <w:tcPr>
            <w:tcW w:w="593" w:type="dxa"/>
            <w:tcMar>
              <w:left w:w="28" w:type="dxa"/>
              <w:right w:w="28" w:type="dxa"/>
            </w:tcMar>
            <w:vAlign w:val="center"/>
          </w:tcPr>
          <w:p w14:paraId="0C672371">
            <w:pPr>
              <w:pStyle w:val="557"/>
            </w:pPr>
            <w:r>
              <w:t>8月</w:t>
            </w:r>
          </w:p>
        </w:tc>
        <w:tc>
          <w:tcPr>
            <w:tcW w:w="592" w:type="dxa"/>
            <w:tcMar>
              <w:left w:w="28" w:type="dxa"/>
              <w:right w:w="28" w:type="dxa"/>
            </w:tcMar>
            <w:vAlign w:val="center"/>
          </w:tcPr>
          <w:p w14:paraId="6BC7686F">
            <w:pPr>
              <w:pStyle w:val="557"/>
            </w:pPr>
            <w:r>
              <w:t>9月</w:t>
            </w:r>
          </w:p>
        </w:tc>
        <w:tc>
          <w:tcPr>
            <w:tcW w:w="592" w:type="dxa"/>
            <w:tcMar>
              <w:left w:w="28" w:type="dxa"/>
              <w:right w:w="28" w:type="dxa"/>
            </w:tcMar>
            <w:vAlign w:val="center"/>
          </w:tcPr>
          <w:p w14:paraId="5BFE67FA">
            <w:pPr>
              <w:pStyle w:val="557"/>
            </w:pPr>
            <w:r>
              <w:t>10月</w:t>
            </w:r>
          </w:p>
        </w:tc>
        <w:tc>
          <w:tcPr>
            <w:tcW w:w="593" w:type="dxa"/>
            <w:tcMar>
              <w:left w:w="28" w:type="dxa"/>
              <w:right w:w="28" w:type="dxa"/>
            </w:tcMar>
            <w:vAlign w:val="center"/>
          </w:tcPr>
          <w:p w14:paraId="49E7D330">
            <w:pPr>
              <w:pStyle w:val="557"/>
            </w:pPr>
            <w:r>
              <w:t>11月</w:t>
            </w:r>
          </w:p>
        </w:tc>
        <w:tc>
          <w:tcPr>
            <w:tcW w:w="592" w:type="dxa"/>
            <w:tcMar>
              <w:left w:w="28" w:type="dxa"/>
              <w:right w:w="28" w:type="dxa"/>
            </w:tcMar>
            <w:vAlign w:val="center"/>
          </w:tcPr>
          <w:p w14:paraId="5D9DAB75">
            <w:pPr>
              <w:pStyle w:val="557"/>
            </w:pPr>
            <w:r>
              <w:t>12月</w:t>
            </w:r>
          </w:p>
        </w:tc>
        <w:tc>
          <w:tcPr>
            <w:tcW w:w="593" w:type="dxa"/>
            <w:tcMar>
              <w:left w:w="28" w:type="dxa"/>
              <w:right w:w="28" w:type="dxa"/>
            </w:tcMar>
            <w:vAlign w:val="center"/>
          </w:tcPr>
          <w:p w14:paraId="04C78B3D">
            <w:pPr>
              <w:pStyle w:val="557"/>
            </w:pPr>
            <w:r>
              <w:t>年均</w:t>
            </w:r>
          </w:p>
        </w:tc>
      </w:tr>
      <w:tr w14:paraId="1B59E8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right"/>
        </w:trPr>
        <w:tc>
          <w:tcPr>
            <w:tcW w:w="592" w:type="dxa"/>
            <w:tcMar>
              <w:left w:w="28" w:type="dxa"/>
              <w:right w:w="28" w:type="dxa"/>
            </w:tcMar>
            <w:vAlign w:val="center"/>
          </w:tcPr>
          <w:p w14:paraId="75EDAC88">
            <w:pPr>
              <w:pStyle w:val="557"/>
            </w:pPr>
            <w:r>
              <w:t>风速</w:t>
            </w:r>
          </w:p>
        </w:tc>
        <w:tc>
          <w:tcPr>
            <w:tcW w:w="593" w:type="dxa"/>
            <w:tcMar>
              <w:left w:w="28" w:type="dxa"/>
              <w:right w:w="28" w:type="dxa"/>
            </w:tcMar>
            <w:vAlign w:val="bottom"/>
          </w:tcPr>
          <w:p w14:paraId="3A00DD29">
            <w:pPr>
              <w:pStyle w:val="557"/>
            </w:pPr>
            <w:r>
              <w:t>1.77</w:t>
            </w:r>
          </w:p>
        </w:tc>
        <w:tc>
          <w:tcPr>
            <w:tcW w:w="594" w:type="dxa"/>
            <w:tcMar>
              <w:left w:w="28" w:type="dxa"/>
              <w:right w:w="28" w:type="dxa"/>
            </w:tcMar>
            <w:vAlign w:val="bottom"/>
          </w:tcPr>
          <w:p w14:paraId="4E313C32">
            <w:pPr>
              <w:pStyle w:val="557"/>
            </w:pPr>
            <w:r>
              <w:t>1.81</w:t>
            </w:r>
          </w:p>
        </w:tc>
        <w:tc>
          <w:tcPr>
            <w:tcW w:w="593" w:type="dxa"/>
            <w:tcMar>
              <w:left w:w="28" w:type="dxa"/>
              <w:right w:w="28" w:type="dxa"/>
            </w:tcMar>
            <w:vAlign w:val="bottom"/>
          </w:tcPr>
          <w:p w14:paraId="51DF1CE2">
            <w:pPr>
              <w:pStyle w:val="557"/>
            </w:pPr>
            <w:r>
              <w:t>2.19</w:t>
            </w:r>
          </w:p>
        </w:tc>
        <w:tc>
          <w:tcPr>
            <w:tcW w:w="592" w:type="dxa"/>
            <w:tcMar>
              <w:left w:w="28" w:type="dxa"/>
              <w:right w:w="28" w:type="dxa"/>
            </w:tcMar>
            <w:vAlign w:val="bottom"/>
          </w:tcPr>
          <w:p w14:paraId="7763F851">
            <w:pPr>
              <w:pStyle w:val="557"/>
            </w:pPr>
            <w:r>
              <w:t>2.81</w:t>
            </w:r>
          </w:p>
        </w:tc>
        <w:tc>
          <w:tcPr>
            <w:tcW w:w="593" w:type="dxa"/>
            <w:tcMar>
              <w:left w:w="28" w:type="dxa"/>
              <w:right w:w="28" w:type="dxa"/>
            </w:tcMar>
            <w:vAlign w:val="bottom"/>
          </w:tcPr>
          <w:p w14:paraId="513A430C">
            <w:pPr>
              <w:pStyle w:val="557"/>
            </w:pPr>
            <w:r>
              <w:t>2.59</w:t>
            </w:r>
          </w:p>
        </w:tc>
        <w:tc>
          <w:tcPr>
            <w:tcW w:w="592" w:type="dxa"/>
            <w:tcMar>
              <w:left w:w="28" w:type="dxa"/>
              <w:right w:w="28" w:type="dxa"/>
            </w:tcMar>
            <w:vAlign w:val="bottom"/>
          </w:tcPr>
          <w:p w14:paraId="432AF482">
            <w:pPr>
              <w:pStyle w:val="557"/>
            </w:pPr>
            <w:r>
              <w:t>2.46</w:t>
            </w:r>
          </w:p>
        </w:tc>
        <w:tc>
          <w:tcPr>
            <w:tcW w:w="592" w:type="dxa"/>
            <w:tcMar>
              <w:left w:w="28" w:type="dxa"/>
              <w:right w:w="28" w:type="dxa"/>
            </w:tcMar>
            <w:vAlign w:val="bottom"/>
          </w:tcPr>
          <w:p w14:paraId="61F2EE33">
            <w:pPr>
              <w:pStyle w:val="557"/>
            </w:pPr>
            <w:r>
              <w:t>2.19</w:t>
            </w:r>
          </w:p>
        </w:tc>
        <w:tc>
          <w:tcPr>
            <w:tcW w:w="593" w:type="dxa"/>
            <w:tcMar>
              <w:left w:w="28" w:type="dxa"/>
              <w:right w:w="28" w:type="dxa"/>
            </w:tcMar>
            <w:vAlign w:val="bottom"/>
          </w:tcPr>
          <w:p w14:paraId="3FA9059A">
            <w:pPr>
              <w:pStyle w:val="557"/>
            </w:pPr>
            <w:r>
              <w:t>2.44</w:t>
            </w:r>
          </w:p>
        </w:tc>
        <w:tc>
          <w:tcPr>
            <w:tcW w:w="592" w:type="dxa"/>
            <w:tcMar>
              <w:left w:w="28" w:type="dxa"/>
              <w:right w:w="28" w:type="dxa"/>
            </w:tcMar>
            <w:vAlign w:val="bottom"/>
          </w:tcPr>
          <w:p w14:paraId="5248AE13">
            <w:pPr>
              <w:pStyle w:val="557"/>
            </w:pPr>
            <w:r>
              <w:t>1.72</w:t>
            </w:r>
          </w:p>
        </w:tc>
        <w:tc>
          <w:tcPr>
            <w:tcW w:w="592" w:type="dxa"/>
            <w:tcMar>
              <w:left w:w="28" w:type="dxa"/>
              <w:right w:w="28" w:type="dxa"/>
            </w:tcMar>
            <w:vAlign w:val="bottom"/>
          </w:tcPr>
          <w:p w14:paraId="494AF388">
            <w:pPr>
              <w:pStyle w:val="557"/>
            </w:pPr>
            <w:r>
              <w:t>1.37</w:t>
            </w:r>
          </w:p>
        </w:tc>
        <w:tc>
          <w:tcPr>
            <w:tcW w:w="593" w:type="dxa"/>
            <w:tcMar>
              <w:left w:w="28" w:type="dxa"/>
              <w:right w:w="28" w:type="dxa"/>
            </w:tcMar>
            <w:vAlign w:val="bottom"/>
          </w:tcPr>
          <w:p w14:paraId="5B6D8012">
            <w:pPr>
              <w:pStyle w:val="557"/>
            </w:pPr>
            <w:r>
              <w:t>1.61</w:t>
            </w:r>
          </w:p>
        </w:tc>
        <w:tc>
          <w:tcPr>
            <w:tcW w:w="592" w:type="dxa"/>
            <w:tcMar>
              <w:left w:w="28" w:type="dxa"/>
              <w:right w:w="28" w:type="dxa"/>
            </w:tcMar>
            <w:vAlign w:val="bottom"/>
          </w:tcPr>
          <w:p w14:paraId="12D72050">
            <w:pPr>
              <w:pStyle w:val="557"/>
            </w:pPr>
            <w:r>
              <w:t>1.46</w:t>
            </w:r>
          </w:p>
        </w:tc>
        <w:tc>
          <w:tcPr>
            <w:tcW w:w="593" w:type="dxa"/>
            <w:tcMar>
              <w:left w:w="28" w:type="dxa"/>
              <w:right w:w="28" w:type="dxa"/>
            </w:tcMar>
            <w:vAlign w:val="center"/>
          </w:tcPr>
          <w:p w14:paraId="61FF5482">
            <w:pPr>
              <w:pStyle w:val="557"/>
            </w:pPr>
            <w:r>
              <w:t>2.03</w:t>
            </w:r>
          </w:p>
        </w:tc>
      </w:tr>
    </w:tbl>
    <w:p w14:paraId="634A976E">
      <w:pPr>
        <w:ind w:firstLine="480"/>
        <w:rPr>
          <w:rFonts w:hint="eastAsia"/>
        </w:rPr>
      </w:pPr>
    </w:p>
    <w:p w14:paraId="3FA0390B">
      <w:pPr>
        <w:pStyle w:val="557"/>
      </w:pPr>
    </w:p>
    <w:p w14:paraId="00B92BEC">
      <w:pPr>
        <w:pStyle w:val="645"/>
        <w:rPr>
          <w:rFonts w:hint="eastAsia"/>
        </w:rPr>
      </w:pPr>
      <w:r>
        <w:rPr>
          <w:rFonts w:hint="eastAsia"/>
        </w:rPr>
        <w:t>图</w:t>
      </w:r>
      <w:r>
        <w:t>5</w:t>
      </w:r>
      <w:r>
        <w:rPr>
          <w:rFonts w:hint="eastAsia"/>
        </w:rPr>
        <w:t>.2.2</w:t>
      </w:r>
      <w:r>
        <w:t>-</w:t>
      </w:r>
      <w:r>
        <w:rPr>
          <w:rFonts w:hint="eastAsia"/>
        </w:rPr>
        <w:t xml:space="preserve">2  </w:t>
      </w:r>
      <w:r>
        <w:t xml:space="preserve">   2023年月、季、年平均风速频率玫瑰图</w:t>
      </w:r>
    </w:p>
    <w:p w14:paraId="5AD6B6CD">
      <w:pPr>
        <w:pStyle w:val="161"/>
        <w:ind w:firstLine="480" w:firstLineChars="200"/>
        <w:jc w:val="both"/>
        <w:rPr>
          <w:rFonts w:ascii="Times New Roman" w:hAnsi="Times New Roman" w:eastAsia="宋体"/>
          <w:b w:val="0"/>
          <w:color w:val="auto"/>
          <w:szCs w:val="20"/>
        </w:rPr>
        <w:sectPr>
          <w:pgSz w:w="11906" w:h="16838"/>
          <w:pgMar w:top="1440" w:right="1800" w:bottom="1440" w:left="1800" w:header="851" w:footer="850" w:gutter="0"/>
          <w:cols w:space="425" w:num="1"/>
          <w:docGrid w:type="lines" w:linePitch="326" w:charSpace="0"/>
        </w:sectPr>
      </w:pPr>
    </w:p>
    <w:p w14:paraId="7A2FCDE8">
      <w:pPr>
        <w:pStyle w:val="281"/>
        <w:ind w:firstLine="480"/>
        <w:rPr>
          <w:b/>
        </w:rPr>
      </w:pPr>
      <w:r>
        <w:t>（3）温度</w:t>
      </w:r>
    </w:p>
    <w:p w14:paraId="16FB371E">
      <w:pPr>
        <w:pStyle w:val="281"/>
        <w:ind w:firstLine="480"/>
        <w:rPr>
          <w:b/>
        </w:rPr>
      </w:pPr>
      <w:r>
        <w:t>评价区域2023年平均温度12.13℃。7月温度最高，月平均温度29.46℃，12月温度最低，月平均温度-10.64℃。2023年年均温度的月变化见表5</w:t>
      </w:r>
      <w:r>
        <w:rPr>
          <w:rFonts w:hint="eastAsia"/>
        </w:rPr>
        <w:t>.2.2</w:t>
      </w:r>
      <w:r>
        <w:t>-</w:t>
      </w:r>
      <w:r>
        <w:rPr>
          <w:rFonts w:hint="eastAsia"/>
        </w:rPr>
        <w:t>4</w:t>
      </w:r>
      <w:r>
        <w:t>，平均温度变化曲线见</w:t>
      </w:r>
      <w:r>
        <w:rPr>
          <w:rFonts w:hint="eastAsia"/>
        </w:rPr>
        <w:t>图</w:t>
      </w:r>
      <w:r>
        <w:t>5</w:t>
      </w:r>
      <w:r>
        <w:rPr>
          <w:rFonts w:hint="eastAsia"/>
        </w:rPr>
        <w:t>.2.2</w:t>
      </w:r>
      <w:r>
        <w:t>-</w:t>
      </w:r>
      <w:r>
        <w:rPr>
          <w:rFonts w:hint="eastAsia"/>
        </w:rPr>
        <w:t>3</w:t>
      </w:r>
      <w:r>
        <w:t>。</w:t>
      </w:r>
    </w:p>
    <w:p w14:paraId="3E7E3ADD">
      <w:pPr>
        <w:pStyle w:val="645"/>
        <w:rPr>
          <w:rFonts w:hint="eastAsia"/>
        </w:rPr>
      </w:pPr>
      <w:r>
        <w:t>表5</w:t>
      </w:r>
      <w:r>
        <w:rPr>
          <w:rFonts w:hint="eastAsia"/>
        </w:rPr>
        <w:t>.2.2</w:t>
      </w:r>
      <w:r>
        <w:t>-</w:t>
      </w:r>
      <w:r>
        <w:rPr>
          <w:rFonts w:hint="eastAsia"/>
        </w:rPr>
        <w:t>4</w:t>
      </w:r>
      <w:r>
        <w:t xml:space="preserve">    2023年年均温度的月变化一览表</w:t>
      </w:r>
    </w:p>
    <w:tbl>
      <w:tblPr>
        <w:tblStyle w:val="65"/>
        <w:tblW w:w="501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627"/>
        <w:gridCol w:w="662"/>
        <w:gridCol w:w="646"/>
        <w:gridCol w:w="644"/>
        <w:gridCol w:w="644"/>
        <w:gridCol w:w="645"/>
        <w:gridCol w:w="644"/>
        <w:gridCol w:w="644"/>
        <w:gridCol w:w="645"/>
        <w:gridCol w:w="644"/>
        <w:gridCol w:w="644"/>
        <w:gridCol w:w="645"/>
        <w:gridCol w:w="644"/>
      </w:tblGrid>
      <w:tr w14:paraId="66ACAD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83" w:hRule="atLeast"/>
          <w:jc w:val="center"/>
        </w:trPr>
        <w:tc>
          <w:tcPr>
            <w:tcW w:w="622" w:type="dxa"/>
            <w:tcMar>
              <w:top w:w="0" w:type="dxa"/>
              <w:left w:w="28" w:type="dxa"/>
              <w:bottom w:w="0" w:type="dxa"/>
              <w:right w:w="28" w:type="dxa"/>
            </w:tcMar>
            <w:vAlign w:val="center"/>
          </w:tcPr>
          <w:p w14:paraId="0BA4F646">
            <w:pPr>
              <w:pStyle w:val="557"/>
            </w:pPr>
            <w:r>
              <w:t>月份</w:t>
            </w:r>
          </w:p>
        </w:tc>
        <w:tc>
          <w:tcPr>
            <w:tcW w:w="657" w:type="dxa"/>
            <w:tcMar>
              <w:top w:w="0" w:type="dxa"/>
              <w:left w:w="28" w:type="dxa"/>
              <w:bottom w:w="0" w:type="dxa"/>
              <w:right w:w="28" w:type="dxa"/>
            </w:tcMar>
            <w:vAlign w:val="center"/>
          </w:tcPr>
          <w:p w14:paraId="52888191">
            <w:pPr>
              <w:pStyle w:val="557"/>
            </w:pPr>
            <w:r>
              <w:t>1月</w:t>
            </w:r>
          </w:p>
        </w:tc>
        <w:tc>
          <w:tcPr>
            <w:tcW w:w="641" w:type="dxa"/>
            <w:tcMar>
              <w:top w:w="0" w:type="dxa"/>
              <w:left w:w="28" w:type="dxa"/>
              <w:bottom w:w="0" w:type="dxa"/>
              <w:right w:w="28" w:type="dxa"/>
            </w:tcMar>
            <w:vAlign w:val="center"/>
          </w:tcPr>
          <w:p w14:paraId="59DF82F9">
            <w:pPr>
              <w:pStyle w:val="557"/>
            </w:pPr>
            <w:r>
              <w:t>2月</w:t>
            </w:r>
          </w:p>
        </w:tc>
        <w:tc>
          <w:tcPr>
            <w:tcW w:w="639" w:type="dxa"/>
            <w:tcMar>
              <w:top w:w="0" w:type="dxa"/>
              <w:left w:w="28" w:type="dxa"/>
              <w:bottom w:w="0" w:type="dxa"/>
              <w:right w:w="28" w:type="dxa"/>
            </w:tcMar>
            <w:vAlign w:val="center"/>
          </w:tcPr>
          <w:p w14:paraId="6EB0687D">
            <w:pPr>
              <w:pStyle w:val="557"/>
            </w:pPr>
            <w:r>
              <w:t>3月</w:t>
            </w:r>
          </w:p>
        </w:tc>
        <w:tc>
          <w:tcPr>
            <w:tcW w:w="639" w:type="dxa"/>
            <w:tcMar>
              <w:top w:w="0" w:type="dxa"/>
              <w:left w:w="28" w:type="dxa"/>
              <w:bottom w:w="0" w:type="dxa"/>
              <w:right w:w="28" w:type="dxa"/>
            </w:tcMar>
            <w:vAlign w:val="center"/>
          </w:tcPr>
          <w:p w14:paraId="00A5820B">
            <w:pPr>
              <w:pStyle w:val="557"/>
            </w:pPr>
            <w:r>
              <w:t>4月</w:t>
            </w:r>
          </w:p>
        </w:tc>
        <w:tc>
          <w:tcPr>
            <w:tcW w:w="640" w:type="dxa"/>
            <w:tcMar>
              <w:top w:w="0" w:type="dxa"/>
              <w:left w:w="28" w:type="dxa"/>
              <w:bottom w:w="0" w:type="dxa"/>
              <w:right w:w="28" w:type="dxa"/>
            </w:tcMar>
            <w:vAlign w:val="center"/>
          </w:tcPr>
          <w:p w14:paraId="687A9292">
            <w:pPr>
              <w:pStyle w:val="557"/>
            </w:pPr>
            <w:r>
              <w:t>5月</w:t>
            </w:r>
          </w:p>
        </w:tc>
        <w:tc>
          <w:tcPr>
            <w:tcW w:w="639" w:type="dxa"/>
            <w:tcMar>
              <w:top w:w="0" w:type="dxa"/>
              <w:left w:w="28" w:type="dxa"/>
              <w:bottom w:w="0" w:type="dxa"/>
              <w:right w:w="28" w:type="dxa"/>
            </w:tcMar>
            <w:vAlign w:val="center"/>
          </w:tcPr>
          <w:p w14:paraId="4155DC2F">
            <w:pPr>
              <w:pStyle w:val="557"/>
            </w:pPr>
            <w:r>
              <w:t>6月</w:t>
            </w:r>
          </w:p>
        </w:tc>
        <w:tc>
          <w:tcPr>
            <w:tcW w:w="639" w:type="dxa"/>
            <w:tcMar>
              <w:top w:w="0" w:type="dxa"/>
              <w:left w:w="28" w:type="dxa"/>
              <w:bottom w:w="0" w:type="dxa"/>
              <w:right w:w="28" w:type="dxa"/>
            </w:tcMar>
            <w:vAlign w:val="center"/>
          </w:tcPr>
          <w:p w14:paraId="15ECC0A8">
            <w:pPr>
              <w:pStyle w:val="557"/>
            </w:pPr>
            <w:r>
              <w:t>7月</w:t>
            </w:r>
          </w:p>
        </w:tc>
        <w:tc>
          <w:tcPr>
            <w:tcW w:w="640" w:type="dxa"/>
            <w:tcMar>
              <w:top w:w="0" w:type="dxa"/>
              <w:left w:w="28" w:type="dxa"/>
              <w:bottom w:w="0" w:type="dxa"/>
              <w:right w:w="28" w:type="dxa"/>
            </w:tcMar>
            <w:vAlign w:val="center"/>
          </w:tcPr>
          <w:p w14:paraId="36A7AEBF">
            <w:pPr>
              <w:pStyle w:val="557"/>
            </w:pPr>
            <w:r>
              <w:t>8月</w:t>
            </w:r>
          </w:p>
        </w:tc>
        <w:tc>
          <w:tcPr>
            <w:tcW w:w="639" w:type="dxa"/>
            <w:tcMar>
              <w:top w:w="0" w:type="dxa"/>
              <w:left w:w="28" w:type="dxa"/>
              <w:bottom w:w="0" w:type="dxa"/>
              <w:right w:w="28" w:type="dxa"/>
            </w:tcMar>
            <w:vAlign w:val="center"/>
          </w:tcPr>
          <w:p w14:paraId="59E79453">
            <w:pPr>
              <w:pStyle w:val="557"/>
            </w:pPr>
            <w:r>
              <w:t>9月</w:t>
            </w:r>
          </w:p>
        </w:tc>
        <w:tc>
          <w:tcPr>
            <w:tcW w:w="639" w:type="dxa"/>
            <w:tcMar>
              <w:top w:w="0" w:type="dxa"/>
              <w:left w:w="28" w:type="dxa"/>
              <w:bottom w:w="0" w:type="dxa"/>
              <w:right w:w="28" w:type="dxa"/>
            </w:tcMar>
            <w:vAlign w:val="center"/>
          </w:tcPr>
          <w:p w14:paraId="2432242C">
            <w:pPr>
              <w:pStyle w:val="557"/>
            </w:pPr>
            <w:r>
              <w:t>10月</w:t>
            </w:r>
          </w:p>
        </w:tc>
        <w:tc>
          <w:tcPr>
            <w:tcW w:w="640" w:type="dxa"/>
            <w:tcMar>
              <w:top w:w="0" w:type="dxa"/>
              <w:left w:w="28" w:type="dxa"/>
              <w:bottom w:w="0" w:type="dxa"/>
              <w:right w:w="28" w:type="dxa"/>
            </w:tcMar>
            <w:vAlign w:val="center"/>
          </w:tcPr>
          <w:p w14:paraId="32A274AA">
            <w:pPr>
              <w:pStyle w:val="557"/>
            </w:pPr>
            <w:r>
              <w:t>11月</w:t>
            </w:r>
          </w:p>
        </w:tc>
        <w:tc>
          <w:tcPr>
            <w:tcW w:w="639" w:type="dxa"/>
            <w:tcMar>
              <w:top w:w="0" w:type="dxa"/>
              <w:left w:w="28" w:type="dxa"/>
              <w:bottom w:w="0" w:type="dxa"/>
              <w:right w:w="28" w:type="dxa"/>
            </w:tcMar>
            <w:vAlign w:val="center"/>
          </w:tcPr>
          <w:p w14:paraId="1D627EF1">
            <w:pPr>
              <w:pStyle w:val="557"/>
            </w:pPr>
            <w:r>
              <w:t>12月</w:t>
            </w:r>
          </w:p>
        </w:tc>
      </w:tr>
      <w:tr w14:paraId="61AB9C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83" w:hRule="atLeast"/>
          <w:jc w:val="center"/>
        </w:trPr>
        <w:tc>
          <w:tcPr>
            <w:tcW w:w="622" w:type="dxa"/>
            <w:tcMar>
              <w:top w:w="0" w:type="dxa"/>
              <w:left w:w="28" w:type="dxa"/>
              <w:bottom w:w="0" w:type="dxa"/>
              <w:right w:w="28" w:type="dxa"/>
            </w:tcMar>
            <w:vAlign w:val="center"/>
          </w:tcPr>
          <w:p w14:paraId="098BF24B">
            <w:pPr>
              <w:pStyle w:val="557"/>
            </w:pPr>
            <w:r>
              <w:t>风速</w:t>
            </w:r>
          </w:p>
        </w:tc>
        <w:tc>
          <w:tcPr>
            <w:tcW w:w="657" w:type="dxa"/>
            <w:tcMar>
              <w:top w:w="0" w:type="dxa"/>
              <w:left w:w="28" w:type="dxa"/>
              <w:bottom w:w="0" w:type="dxa"/>
              <w:right w:w="28" w:type="dxa"/>
            </w:tcMar>
            <w:vAlign w:val="bottom"/>
          </w:tcPr>
          <w:p w14:paraId="58DACD75">
            <w:pPr>
              <w:pStyle w:val="557"/>
            </w:pPr>
            <w:r>
              <w:t>-10.07</w:t>
            </w:r>
          </w:p>
        </w:tc>
        <w:tc>
          <w:tcPr>
            <w:tcW w:w="641" w:type="dxa"/>
            <w:tcMar>
              <w:top w:w="0" w:type="dxa"/>
              <w:left w:w="28" w:type="dxa"/>
              <w:bottom w:w="0" w:type="dxa"/>
              <w:right w:w="28" w:type="dxa"/>
            </w:tcMar>
            <w:vAlign w:val="bottom"/>
          </w:tcPr>
          <w:p w14:paraId="5D08F3C5">
            <w:pPr>
              <w:pStyle w:val="557"/>
            </w:pPr>
            <w:r>
              <w:t>0.49</w:t>
            </w:r>
          </w:p>
        </w:tc>
        <w:tc>
          <w:tcPr>
            <w:tcW w:w="639" w:type="dxa"/>
            <w:tcMar>
              <w:top w:w="0" w:type="dxa"/>
              <w:left w:w="28" w:type="dxa"/>
              <w:bottom w:w="0" w:type="dxa"/>
              <w:right w:w="28" w:type="dxa"/>
            </w:tcMar>
            <w:vAlign w:val="bottom"/>
          </w:tcPr>
          <w:p w14:paraId="3B7CA67B">
            <w:pPr>
              <w:pStyle w:val="557"/>
            </w:pPr>
            <w:r>
              <w:t>9.26</w:t>
            </w:r>
          </w:p>
        </w:tc>
        <w:tc>
          <w:tcPr>
            <w:tcW w:w="639" w:type="dxa"/>
            <w:tcMar>
              <w:top w:w="0" w:type="dxa"/>
              <w:left w:w="28" w:type="dxa"/>
              <w:bottom w:w="0" w:type="dxa"/>
              <w:right w:w="28" w:type="dxa"/>
            </w:tcMar>
            <w:vAlign w:val="bottom"/>
          </w:tcPr>
          <w:p w14:paraId="380B9553">
            <w:pPr>
              <w:pStyle w:val="557"/>
            </w:pPr>
            <w:r>
              <w:t>12.58</w:t>
            </w:r>
          </w:p>
        </w:tc>
        <w:tc>
          <w:tcPr>
            <w:tcW w:w="640" w:type="dxa"/>
            <w:tcMar>
              <w:top w:w="0" w:type="dxa"/>
              <w:left w:w="28" w:type="dxa"/>
              <w:bottom w:w="0" w:type="dxa"/>
              <w:right w:w="28" w:type="dxa"/>
            </w:tcMar>
            <w:vAlign w:val="bottom"/>
          </w:tcPr>
          <w:p w14:paraId="2F6C666C">
            <w:pPr>
              <w:pStyle w:val="557"/>
            </w:pPr>
            <w:r>
              <w:t>19.38</w:t>
            </w:r>
          </w:p>
        </w:tc>
        <w:tc>
          <w:tcPr>
            <w:tcW w:w="639" w:type="dxa"/>
            <w:tcMar>
              <w:top w:w="0" w:type="dxa"/>
              <w:left w:w="28" w:type="dxa"/>
              <w:bottom w:w="0" w:type="dxa"/>
              <w:right w:w="28" w:type="dxa"/>
            </w:tcMar>
            <w:vAlign w:val="bottom"/>
          </w:tcPr>
          <w:p w14:paraId="6CA20BD5">
            <w:pPr>
              <w:pStyle w:val="557"/>
            </w:pPr>
            <w:r>
              <w:t>28.10</w:t>
            </w:r>
          </w:p>
        </w:tc>
        <w:tc>
          <w:tcPr>
            <w:tcW w:w="639" w:type="dxa"/>
            <w:tcMar>
              <w:top w:w="0" w:type="dxa"/>
              <w:left w:w="28" w:type="dxa"/>
              <w:bottom w:w="0" w:type="dxa"/>
              <w:right w:w="28" w:type="dxa"/>
            </w:tcMar>
            <w:vAlign w:val="bottom"/>
          </w:tcPr>
          <w:p w14:paraId="1FACD8FA">
            <w:pPr>
              <w:pStyle w:val="557"/>
            </w:pPr>
            <w:r>
              <w:t>29.46</w:t>
            </w:r>
          </w:p>
        </w:tc>
        <w:tc>
          <w:tcPr>
            <w:tcW w:w="640" w:type="dxa"/>
            <w:tcMar>
              <w:top w:w="0" w:type="dxa"/>
              <w:left w:w="28" w:type="dxa"/>
              <w:bottom w:w="0" w:type="dxa"/>
              <w:right w:w="28" w:type="dxa"/>
            </w:tcMar>
            <w:vAlign w:val="bottom"/>
          </w:tcPr>
          <w:p w14:paraId="450CA631">
            <w:pPr>
              <w:pStyle w:val="557"/>
            </w:pPr>
            <w:r>
              <w:t>27.90</w:t>
            </w:r>
          </w:p>
        </w:tc>
        <w:tc>
          <w:tcPr>
            <w:tcW w:w="639" w:type="dxa"/>
            <w:tcMar>
              <w:top w:w="0" w:type="dxa"/>
              <w:left w:w="28" w:type="dxa"/>
              <w:bottom w:w="0" w:type="dxa"/>
              <w:right w:w="28" w:type="dxa"/>
            </w:tcMar>
            <w:vAlign w:val="bottom"/>
          </w:tcPr>
          <w:p w14:paraId="1150888F">
            <w:pPr>
              <w:pStyle w:val="557"/>
            </w:pPr>
            <w:r>
              <w:t>20.38</w:t>
            </w:r>
          </w:p>
        </w:tc>
        <w:tc>
          <w:tcPr>
            <w:tcW w:w="639" w:type="dxa"/>
            <w:tcMar>
              <w:top w:w="0" w:type="dxa"/>
              <w:left w:w="28" w:type="dxa"/>
              <w:bottom w:w="0" w:type="dxa"/>
              <w:right w:w="28" w:type="dxa"/>
            </w:tcMar>
            <w:vAlign w:val="bottom"/>
          </w:tcPr>
          <w:p w14:paraId="599398DC">
            <w:pPr>
              <w:pStyle w:val="557"/>
            </w:pPr>
            <w:r>
              <w:t>13.29</w:t>
            </w:r>
          </w:p>
        </w:tc>
        <w:tc>
          <w:tcPr>
            <w:tcW w:w="640" w:type="dxa"/>
            <w:tcMar>
              <w:top w:w="0" w:type="dxa"/>
              <w:left w:w="28" w:type="dxa"/>
              <w:bottom w:w="0" w:type="dxa"/>
              <w:right w:w="28" w:type="dxa"/>
            </w:tcMar>
            <w:vAlign w:val="bottom"/>
          </w:tcPr>
          <w:p w14:paraId="0E5C11A2">
            <w:pPr>
              <w:pStyle w:val="557"/>
            </w:pPr>
            <w:r>
              <w:t>2.01</w:t>
            </w:r>
          </w:p>
        </w:tc>
        <w:tc>
          <w:tcPr>
            <w:tcW w:w="639" w:type="dxa"/>
            <w:tcMar>
              <w:top w:w="0" w:type="dxa"/>
              <w:left w:w="28" w:type="dxa"/>
              <w:bottom w:w="0" w:type="dxa"/>
              <w:right w:w="28" w:type="dxa"/>
            </w:tcMar>
            <w:vAlign w:val="center"/>
          </w:tcPr>
          <w:p w14:paraId="7D1D21EE">
            <w:pPr>
              <w:pStyle w:val="557"/>
            </w:pPr>
            <w:r>
              <w:t>-10.64</w:t>
            </w:r>
          </w:p>
        </w:tc>
      </w:tr>
    </w:tbl>
    <w:p w14:paraId="0F9FA9DA">
      <w:pPr>
        <w:pStyle w:val="562"/>
        <w:ind w:firstLine="400"/>
        <w:rPr>
          <w:rFonts w:hint="eastAsia"/>
        </w:rPr>
      </w:pPr>
    </w:p>
    <w:p w14:paraId="7B43D161">
      <w:pPr>
        <w:pStyle w:val="557"/>
      </w:pPr>
    </w:p>
    <w:p w14:paraId="73C4777D">
      <w:pPr>
        <w:pStyle w:val="645"/>
        <w:rPr>
          <w:rFonts w:hint="eastAsia"/>
        </w:rPr>
      </w:pPr>
      <w:r>
        <w:rPr>
          <w:rFonts w:hint="eastAsia"/>
        </w:rPr>
        <w:t>图</w:t>
      </w:r>
      <w:r>
        <w:t>5</w:t>
      </w:r>
      <w:r>
        <w:rPr>
          <w:rFonts w:hint="eastAsia"/>
        </w:rPr>
        <w:t>.2.2</w:t>
      </w:r>
      <w:r>
        <w:t>-</w:t>
      </w:r>
      <w:r>
        <w:rPr>
          <w:rFonts w:hint="eastAsia"/>
        </w:rPr>
        <w:t>3</w:t>
      </w:r>
      <w:r>
        <w:t xml:space="preserve">    2023年年均温度月变化曲线图</w:t>
      </w:r>
    </w:p>
    <w:p w14:paraId="5328DCFC">
      <w:pPr>
        <w:pStyle w:val="645"/>
        <w:rPr>
          <w:rFonts w:hint="eastAsia"/>
          <w:lang w:val="de-DE"/>
        </w:rPr>
      </w:pPr>
    </w:p>
    <w:p w14:paraId="61B2A302">
      <w:pPr>
        <w:pStyle w:val="97"/>
        <w:numPr>
          <w:ilvl w:val="2"/>
          <w:numId w:val="8"/>
        </w:numPr>
        <w:ind w:left="0"/>
        <w:rPr>
          <w:rFonts w:hint="eastAsia"/>
        </w:rPr>
      </w:pPr>
      <w:r>
        <w:rPr>
          <w:rFonts w:hint="eastAsia"/>
        </w:rPr>
        <w:t>污染源参数</w:t>
      </w:r>
    </w:p>
    <w:p w14:paraId="1D248069">
      <w:pPr>
        <w:pStyle w:val="98"/>
        <w:rPr>
          <w:rFonts w:hint="eastAsia"/>
        </w:rPr>
      </w:pPr>
      <w:r>
        <w:rPr>
          <w:rFonts w:hint="eastAsia"/>
        </w:rPr>
        <w:t>项目污染源计算清单</w:t>
      </w:r>
    </w:p>
    <w:p w14:paraId="1C5EF937">
      <w:pPr>
        <w:pStyle w:val="281"/>
        <w:ind w:firstLine="480"/>
      </w:pPr>
      <w:r>
        <w:rPr>
          <w:rFonts w:hint="eastAsia"/>
        </w:rPr>
        <w:t>（</w:t>
      </w:r>
      <w:r>
        <w:t>1</w:t>
      </w:r>
      <w:r>
        <w:rPr>
          <w:rFonts w:hint="eastAsia"/>
        </w:rPr>
        <w:t>）正常工况</w:t>
      </w:r>
    </w:p>
    <w:p w14:paraId="028B67E2">
      <w:pPr>
        <w:pStyle w:val="281"/>
        <w:ind w:firstLine="512"/>
        <w:rPr>
          <w:spacing w:val="8"/>
        </w:rPr>
      </w:pPr>
      <w:r>
        <w:rPr>
          <w:rFonts w:hint="eastAsia"/>
          <w:spacing w:val="8"/>
        </w:rPr>
        <w:t>项目点源参数见表</w:t>
      </w:r>
      <w:r>
        <w:rPr>
          <w:spacing w:val="8"/>
        </w:rPr>
        <w:t>5.2.3-1</w:t>
      </w:r>
      <w:r>
        <w:rPr>
          <w:rFonts w:hint="eastAsia"/>
          <w:spacing w:val="8"/>
        </w:rPr>
        <w:t>，面源参数见表</w:t>
      </w:r>
      <w:r>
        <w:rPr>
          <w:spacing w:val="8"/>
        </w:rPr>
        <w:t>5.2.3-2</w:t>
      </w:r>
      <w:r>
        <w:rPr>
          <w:rFonts w:hint="eastAsia"/>
          <w:spacing w:val="8"/>
        </w:rPr>
        <w:t>。</w:t>
      </w:r>
    </w:p>
    <w:p w14:paraId="391D05B8">
      <w:pPr>
        <w:pStyle w:val="281"/>
        <w:ind w:firstLine="480"/>
      </w:pPr>
      <w:r>
        <w:rPr>
          <w:rFonts w:hint="eastAsia"/>
        </w:rPr>
        <w:t>（</w:t>
      </w:r>
      <w:r>
        <w:t>2</w:t>
      </w:r>
      <w:r>
        <w:rPr>
          <w:rFonts w:hint="eastAsia"/>
        </w:rPr>
        <w:t>）非正常工况</w:t>
      </w:r>
    </w:p>
    <w:p w14:paraId="29713BAA">
      <w:pPr>
        <w:pStyle w:val="281"/>
        <w:ind w:firstLine="480"/>
        <w:rPr>
          <w:color w:val="FF0000"/>
          <w:spacing w:val="8"/>
        </w:rPr>
      </w:pPr>
      <w:r>
        <w:rPr>
          <w:rFonts w:hint="eastAsia"/>
          <w:color w:val="000000" w:themeColor="text1"/>
          <w:lang w:val="de-DE"/>
          <w14:textFill>
            <w14:solidFill>
              <w14:schemeClr w14:val="tx1"/>
            </w14:solidFill>
          </w14:textFill>
        </w:rPr>
        <w:t>非正常工况是指生产过程中开停车、设备检修、工艺设备运转异常等非正常工况下的污染物排放，以及污染物排放控制措施达不到应有效率等情况下的排放。本项目非正常工况考虑硫回收装置失效、</w:t>
      </w:r>
      <w:r>
        <w:rPr>
          <w:rFonts w:hint="eastAsia"/>
          <w:color w:val="000000" w:themeColor="text1"/>
          <w14:textFill>
            <w14:solidFill>
              <w14:schemeClr w14:val="tx1"/>
            </w14:solidFill>
          </w14:textFill>
        </w:rPr>
        <w:t>锅炉脱硫脱硝除尘措施失效，废气直接排放</w:t>
      </w:r>
      <w:r>
        <w:rPr>
          <w:rFonts w:hint="eastAsia"/>
          <w:color w:val="000000" w:themeColor="text1"/>
          <w:lang w:val="de-DE"/>
          <w14:textFill>
            <w14:solidFill>
              <w14:schemeClr w14:val="tx1"/>
            </w14:solidFill>
          </w14:textFill>
        </w:rPr>
        <w:t>，其污染源参数</w:t>
      </w:r>
      <w:r>
        <w:rPr>
          <w:rFonts w:hint="eastAsia"/>
          <w:color w:val="000000" w:themeColor="text1"/>
          <w14:textFill>
            <w14:solidFill>
              <w14:schemeClr w14:val="tx1"/>
            </w14:solidFill>
          </w14:textFill>
        </w:rPr>
        <w:t>见表</w:t>
      </w:r>
      <w:r>
        <w:rPr>
          <w:color w:val="000000" w:themeColor="text1"/>
          <w14:textFill>
            <w14:solidFill>
              <w14:schemeClr w14:val="tx1"/>
            </w14:solidFill>
          </w14:textFill>
        </w:rPr>
        <w:t>5.2.3-3</w:t>
      </w:r>
      <w:r>
        <w:rPr>
          <w:rFonts w:hint="eastAsia"/>
          <w:color w:val="000000" w:themeColor="text1"/>
          <w14:textFill>
            <w14:solidFill>
              <w14:schemeClr w14:val="tx1"/>
            </w14:solidFill>
          </w14:textFill>
        </w:rPr>
        <w:t>。</w:t>
      </w:r>
    </w:p>
    <w:p w14:paraId="780AAEBD">
      <w:pPr>
        <w:spacing w:line="360" w:lineRule="auto"/>
        <w:rPr>
          <w:rFonts w:hint="eastAsia"/>
          <w:spacing w:val="8"/>
        </w:rPr>
        <w:sectPr>
          <w:pgSz w:w="11906" w:h="16838"/>
          <w:pgMar w:top="1440" w:right="1800" w:bottom="1440" w:left="1800" w:header="851" w:footer="850" w:gutter="0"/>
          <w:cols w:space="720" w:num="1"/>
          <w:docGrid w:type="lines" w:linePitch="326" w:charSpace="0"/>
        </w:sectPr>
      </w:pPr>
    </w:p>
    <w:p w14:paraId="4CDE7B86">
      <w:pPr>
        <w:pStyle w:val="541"/>
        <w:ind w:left="496" w:hanging="496"/>
        <w:rPr>
          <w:rFonts w:hint="eastAsia"/>
          <w:color w:val="000000" w:themeColor="text1"/>
          <w14:textFill>
            <w14:solidFill>
              <w14:schemeClr w14:val="tx1"/>
            </w14:solidFill>
          </w14:textFill>
        </w:rPr>
      </w:pPr>
      <w:r>
        <w:rPr>
          <w:rFonts w:hint="eastAsia"/>
          <w:color w:val="000000" w:themeColor="text1"/>
          <w:spacing w:val="8"/>
          <w14:textFill>
            <w14:solidFill>
              <w14:schemeClr w14:val="tx1"/>
            </w14:solidFill>
          </w14:textFill>
        </w:rPr>
        <w:t xml:space="preserve">表5.2.3-1    </w:t>
      </w:r>
      <w:r>
        <w:rPr>
          <w:rFonts w:hint="eastAsia"/>
          <w:color w:val="000000" w:themeColor="text1"/>
          <w14:textFill>
            <w14:solidFill>
              <w14:schemeClr w14:val="tx1"/>
            </w14:solidFill>
          </w14:textFill>
        </w:rPr>
        <w:t>项目点源参数表</w:t>
      </w:r>
    </w:p>
    <w:tbl>
      <w:tblPr>
        <w:tblStyle w:val="65"/>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332"/>
        <w:gridCol w:w="584"/>
        <w:gridCol w:w="730"/>
        <w:gridCol w:w="880"/>
        <w:gridCol w:w="730"/>
        <w:gridCol w:w="897"/>
        <w:gridCol w:w="972"/>
        <w:gridCol w:w="693"/>
        <w:gridCol w:w="692"/>
        <w:gridCol w:w="692"/>
        <w:gridCol w:w="692"/>
        <w:gridCol w:w="692"/>
        <w:gridCol w:w="692"/>
        <w:gridCol w:w="692"/>
        <w:gridCol w:w="692"/>
        <w:gridCol w:w="703"/>
      </w:tblGrid>
      <w:tr w14:paraId="0497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vMerge w:val="restart"/>
            <w:tcBorders>
              <w:top w:val="single" w:color="auto" w:sz="4" w:space="0"/>
              <w:left w:val="single" w:color="auto" w:sz="4" w:space="0"/>
              <w:bottom w:val="single" w:color="auto" w:sz="4" w:space="0"/>
              <w:right w:val="single" w:color="auto" w:sz="4" w:space="0"/>
            </w:tcBorders>
            <w:noWrap/>
            <w:vAlign w:val="center"/>
          </w:tcPr>
          <w:p w14:paraId="0E35AF0E">
            <w:pPr>
              <w:pStyle w:val="557"/>
            </w:pPr>
            <w:r>
              <w:rPr>
                <w:rFonts w:hint="eastAsia"/>
              </w:rPr>
              <w:t>序号</w:t>
            </w:r>
          </w:p>
        </w:tc>
        <w:tc>
          <w:tcPr>
            <w:tcW w:w="835" w:type="pct"/>
            <w:vMerge w:val="restart"/>
            <w:tcBorders>
              <w:top w:val="single" w:color="auto" w:sz="4" w:space="0"/>
              <w:left w:val="single" w:color="auto" w:sz="4" w:space="0"/>
              <w:bottom w:val="single" w:color="auto" w:sz="4" w:space="0"/>
              <w:right w:val="single" w:color="auto" w:sz="4" w:space="0"/>
            </w:tcBorders>
            <w:noWrap/>
            <w:vAlign w:val="center"/>
          </w:tcPr>
          <w:p w14:paraId="3C896ABA">
            <w:pPr>
              <w:pStyle w:val="557"/>
            </w:pPr>
            <w:r>
              <w:rPr>
                <w:rFonts w:hint="eastAsia"/>
              </w:rPr>
              <w:t>污染源名称</w:t>
            </w:r>
          </w:p>
        </w:tc>
        <w:tc>
          <w:tcPr>
            <w:tcW w:w="209" w:type="pct"/>
            <w:vMerge w:val="restart"/>
            <w:tcBorders>
              <w:top w:val="single" w:color="auto" w:sz="4" w:space="0"/>
              <w:left w:val="single" w:color="auto" w:sz="4" w:space="0"/>
              <w:bottom w:val="single" w:color="auto" w:sz="4" w:space="0"/>
              <w:right w:val="single" w:color="auto" w:sz="4" w:space="0"/>
            </w:tcBorders>
            <w:noWrap/>
            <w:vAlign w:val="center"/>
          </w:tcPr>
          <w:p w14:paraId="7ED035B6">
            <w:pPr>
              <w:pStyle w:val="557"/>
            </w:pPr>
            <w:r>
              <w:t>X</w:t>
            </w:r>
          </w:p>
        </w:tc>
        <w:tc>
          <w:tcPr>
            <w:tcW w:w="261" w:type="pct"/>
            <w:vMerge w:val="restart"/>
            <w:tcBorders>
              <w:top w:val="single" w:color="auto" w:sz="4" w:space="0"/>
              <w:left w:val="single" w:color="auto" w:sz="4" w:space="0"/>
              <w:bottom w:val="single" w:color="auto" w:sz="4" w:space="0"/>
              <w:right w:val="single" w:color="auto" w:sz="4" w:space="0"/>
            </w:tcBorders>
            <w:noWrap/>
            <w:vAlign w:val="center"/>
          </w:tcPr>
          <w:p w14:paraId="14A986A6">
            <w:pPr>
              <w:pStyle w:val="557"/>
            </w:pPr>
            <w:r>
              <w:t>Y</w:t>
            </w:r>
          </w:p>
        </w:tc>
        <w:tc>
          <w:tcPr>
            <w:tcW w:w="315" w:type="pct"/>
            <w:vMerge w:val="restart"/>
            <w:tcBorders>
              <w:top w:val="single" w:color="auto" w:sz="4" w:space="0"/>
              <w:left w:val="single" w:color="auto" w:sz="4" w:space="0"/>
              <w:bottom w:val="single" w:color="auto" w:sz="4" w:space="0"/>
              <w:right w:val="single" w:color="auto" w:sz="4" w:space="0"/>
            </w:tcBorders>
            <w:noWrap/>
            <w:vAlign w:val="center"/>
          </w:tcPr>
          <w:p w14:paraId="469F47C6">
            <w:pPr>
              <w:pStyle w:val="557"/>
            </w:pPr>
            <w:r>
              <w:rPr>
                <w:rFonts w:hint="eastAsia"/>
              </w:rPr>
              <w:t>点源</w:t>
            </w:r>
          </w:p>
          <w:p w14:paraId="67915CFB">
            <w:pPr>
              <w:pStyle w:val="557"/>
            </w:pPr>
            <w:r>
              <w:t>H</w:t>
            </w:r>
          </w:p>
          <w:p w14:paraId="4EA8F228">
            <w:pPr>
              <w:pStyle w:val="557"/>
            </w:pPr>
            <w:r>
              <w:rPr>
                <w:rFonts w:hint="eastAsia"/>
              </w:rPr>
              <w:t>（m）</w:t>
            </w:r>
          </w:p>
        </w:tc>
        <w:tc>
          <w:tcPr>
            <w:tcW w:w="261" w:type="pct"/>
            <w:vMerge w:val="restart"/>
            <w:tcBorders>
              <w:top w:val="single" w:color="auto" w:sz="4" w:space="0"/>
              <w:left w:val="single" w:color="auto" w:sz="4" w:space="0"/>
              <w:bottom w:val="single" w:color="auto" w:sz="4" w:space="0"/>
              <w:right w:val="single" w:color="auto" w:sz="4" w:space="0"/>
            </w:tcBorders>
            <w:noWrap/>
            <w:vAlign w:val="center"/>
          </w:tcPr>
          <w:p w14:paraId="425ED4BA">
            <w:pPr>
              <w:pStyle w:val="557"/>
            </w:pPr>
            <w:r>
              <w:rPr>
                <w:rFonts w:hint="eastAsia"/>
              </w:rPr>
              <w:t>点源</w:t>
            </w:r>
          </w:p>
          <w:p w14:paraId="4B13C880">
            <w:pPr>
              <w:pStyle w:val="557"/>
            </w:pPr>
            <w:r>
              <w:t>D</w:t>
            </w:r>
            <w:r>
              <w:rPr>
                <w:rFonts w:hint="eastAsia"/>
              </w:rPr>
              <w:t>（m）</w:t>
            </w:r>
          </w:p>
        </w:tc>
        <w:tc>
          <w:tcPr>
            <w:tcW w:w="321" w:type="pct"/>
            <w:vMerge w:val="restart"/>
            <w:tcBorders>
              <w:top w:val="single" w:color="auto" w:sz="4" w:space="0"/>
              <w:left w:val="single" w:color="auto" w:sz="4" w:space="0"/>
              <w:bottom w:val="single" w:color="auto" w:sz="4" w:space="0"/>
              <w:right w:val="single" w:color="auto" w:sz="4" w:space="0"/>
            </w:tcBorders>
            <w:noWrap/>
            <w:vAlign w:val="center"/>
          </w:tcPr>
          <w:p w14:paraId="50FFA3AD">
            <w:pPr>
              <w:pStyle w:val="557"/>
            </w:pPr>
            <w:r>
              <w:rPr>
                <w:rFonts w:hint="eastAsia"/>
              </w:rPr>
              <w:t>点源</w:t>
            </w:r>
          </w:p>
          <w:p w14:paraId="7A370121">
            <w:pPr>
              <w:pStyle w:val="557"/>
            </w:pPr>
            <w:r>
              <w:t>T</w:t>
            </w:r>
            <w:r>
              <w:rPr>
                <w:rFonts w:hint="eastAsia"/>
              </w:rPr>
              <w:t>（℃）</w:t>
            </w:r>
          </w:p>
        </w:tc>
        <w:tc>
          <w:tcPr>
            <w:tcW w:w="348" w:type="pct"/>
            <w:vMerge w:val="restart"/>
            <w:tcBorders>
              <w:top w:val="single" w:color="auto" w:sz="4" w:space="0"/>
              <w:left w:val="single" w:color="auto" w:sz="4" w:space="0"/>
              <w:bottom w:val="single" w:color="auto" w:sz="4" w:space="0"/>
              <w:right w:val="single" w:color="auto" w:sz="4" w:space="0"/>
            </w:tcBorders>
            <w:noWrap/>
            <w:vAlign w:val="center"/>
          </w:tcPr>
          <w:p w14:paraId="2B3354A9">
            <w:pPr>
              <w:pStyle w:val="557"/>
            </w:pPr>
            <w:r>
              <w:rPr>
                <w:rFonts w:hint="eastAsia"/>
              </w:rPr>
              <w:t>烟气量</w:t>
            </w:r>
          </w:p>
          <w:p w14:paraId="6B43B308">
            <w:pPr>
              <w:pStyle w:val="557"/>
            </w:pPr>
            <w:r>
              <w:t>Qvol</w:t>
            </w:r>
          </w:p>
          <w:p w14:paraId="1F38195E">
            <w:pPr>
              <w:pStyle w:val="557"/>
            </w:pPr>
            <w:r>
              <w:rPr>
                <w:rFonts w:hint="eastAsia"/>
              </w:rPr>
              <w:t>（m</w:t>
            </w:r>
            <w:r>
              <w:rPr>
                <w:rFonts w:hint="eastAsia"/>
                <w:vertAlign w:val="superscript"/>
              </w:rPr>
              <w:t>3</w:t>
            </w:r>
            <w:r>
              <w:rPr>
                <w:rFonts w:hint="eastAsia"/>
              </w:rPr>
              <w:t>/h）</w:t>
            </w:r>
          </w:p>
        </w:tc>
        <w:tc>
          <w:tcPr>
            <w:tcW w:w="2235" w:type="pct"/>
            <w:gridSpan w:val="9"/>
            <w:tcBorders>
              <w:top w:val="single" w:color="auto" w:sz="4" w:space="0"/>
              <w:left w:val="single" w:color="auto" w:sz="4" w:space="0"/>
              <w:bottom w:val="single" w:color="auto" w:sz="4" w:space="0"/>
              <w:right w:val="single" w:color="auto" w:sz="4" w:space="0"/>
            </w:tcBorders>
            <w:vAlign w:val="center"/>
          </w:tcPr>
          <w:p w14:paraId="4631EE82">
            <w:pPr>
              <w:pStyle w:val="557"/>
            </w:pPr>
            <w:r>
              <w:rPr>
                <w:rFonts w:hint="eastAsia"/>
              </w:rPr>
              <w:t>排放速率（kg/h）</w:t>
            </w:r>
          </w:p>
        </w:tc>
      </w:tr>
      <w:tr w14:paraId="7714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vMerge w:val="continue"/>
            <w:tcBorders>
              <w:top w:val="single" w:color="auto" w:sz="4" w:space="0"/>
              <w:left w:val="single" w:color="auto" w:sz="4" w:space="0"/>
              <w:bottom w:val="single" w:color="auto" w:sz="4" w:space="0"/>
              <w:right w:val="single" w:color="auto" w:sz="4" w:space="0"/>
            </w:tcBorders>
            <w:vAlign w:val="center"/>
          </w:tcPr>
          <w:p w14:paraId="50082952">
            <w:pPr>
              <w:jc w:val="center"/>
              <w:rPr>
                <w:rFonts w:hint="eastAsia"/>
                <w:bCs/>
                <w:color w:val="FF0000"/>
                <w:sz w:val="18"/>
                <w:szCs w:val="18"/>
                <w:u w:color="000000"/>
                <w:lang w:val="zh-CN" w:bidi="en-US"/>
              </w:rPr>
            </w:pPr>
          </w:p>
        </w:tc>
        <w:tc>
          <w:tcPr>
            <w:tcW w:w="835" w:type="pct"/>
            <w:vMerge w:val="continue"/>
            <w:tcBorders>
              <w:top w:val="single" w:color="auto" w:sz="4" w:space="0"/>
              <w:left w:val="single" w:color="auto" w:sz="4" w:space="0"/>
              <w:bottom w:val="single" w:color="auto" w:sz="4" w:space="0"/>
              <w:right w:val="single" w:color="auto" w:sz="4" w:space="0"/>
            </w:tcBorders>
            <w:vAlign w:val="center"/>
          </w:tcPr>
          <w:p w14:paraId="6425FFB6">
            <w:pPr>
              <w:jc w:val="center"/>
              <w:rPr>
                <w:rFonts w:hint="eastAsia"/>
                <w:bCs/>
                <w:color w:val="FF0000"/>
                <w:sz w:val="18"/>
                <w:szCs w:val="18"/>
                <w:u w:color="000000"/>
                <w:lang w:val="zh-CN" w:bidi="en-US"/>
              </w:rPr>
            </w:pPr>
          </w:p>
        </w:tc>
        <w:tc>
          <w:tcPr>
            <w:tcW w:w="209" w:type="pct"/>
            <w:vMerge w:val="continue"/>
            <w:tcBorders>
              <w:top w:val="single" w:color="auto" w:sz="4" w:space="0"/>
              <w:left w:val="single" w:color="auto" w:sz="4" w:space="0"/>
              <w:bottom w:val="single" w:color="auto" w:sz="4" w:space="0"/>
              <w:right w:val="single" w:color="auto" w:sz="4" w:space="0"/>
            </w:tcBorders>
            <w:vAlign w:val="center"/>
          </w:tcPr>
          <w:p w14:paraId="20CFC98D">
            <w:pPr>
              <w:jc w:val="center"/>
              <w:rPr>
                <w:rFonts w:hint="eastAsia"/>
                <w:bCs/>
                <w:color w:val="FF0000"/>
                <w:sz w:val="18"/>
                <w:szCs w:val="18"/>
                <w:u w:color="000000"/>
                <w:lang w:val="zh-CN" w:bidi="en-US"/>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5E73F74B">
            <w:pPr>
              <w:jc w:val="center"/>
              <w:rPr>
                <w:rFonts w:hint="eastAsia"/>
                <w:bCs/>
                <w:color w:val="FF0000"/>
                <w:sz w:val="18"/>
                <w:szCs w:val="18"/>
                <w:u w:color="000000"/>
                <w:lang w:val="zh-CN" w:bidi="en-US"/>
              </w:rPr>
            </w:pPr>
          </w:p>
        </w:tc>
        <w:tc>
          <w:tcPr>
            <w:tcW w:w="315" w:type="pct"/>
            <w:vMerge w:val="continue"/>
            <w:tcBorders>
              <w:top w:val="single" w:color="auto" w:sz="4" w:space="0"/>
              <w:left w:val="single" w:color="auto" w:sz="4" w:space="0"/>
              <w:bottom w:val="single" w:color="auto" w:sz="4" w:space="0"/>
              <w:right w:val="single" w:color="auto" w:sz="4" w:space="0"/>
            </w:tcBorders>
            <w:vAlign w:val="center"/>
          </w:tcPr>
          <w:p w14:paraId="21E2E69E">
            <w:pPr>
              <w:jc w:val="center"/>
              <w:rPr>
                <w:rFonts w:hint="eastAsia"/>
                <w:bCs/>
                <w:color w:val="FF0000"/>
                <w:sz w:val="18"/>
                <w:szCs w:val="18"/>
                <w:u w:color="000000"/>
                <w:lang w:val="zh-CN" w:bidi="en-US"/>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18B6043B">
            <w:pPr>
              <w:jc w:val="center"/>
              <w:rPr>
                <w:rFonts w:hint="eastAsia"/>
                <w:bCs/>
                <w:color w:val="FF0000"/>
                <w:sz w:val="18"/>
                <w:szCs w:val="18"/>
                <w:u w:color="000000"/>
                <w:lang w:val="zh-CN" w:bidi="en-US"/>
              </w:rPr>
            </w:pPr>
          </w:p>
        </w:tc>
        <w:tc>
          <w:tcPr>
            <w:tcW w:w="321" w:type="pct"/>
            <w:vMerge w:val="continue"/>
            <w:tcBorders>
              <w:top w:val="single" w:color="auto" w:sz="4" w:space="0"/>
              <w:left w:val="single" w:color="auto" w:sz="4" w:space="0"/>
              <w:bottom w:val="single" w:color="auto" w:sz="4" w:space="0"/>
              <w:right w:val="single" w:color="auto" w:sz="4" w:space="0"/>
            </w:tcBorders>
            <w:vAlign w:val="center"/>
          </w:tcPr>
          <w:p w14:paraId="19CD1431">
            <w:pPr>
              <w:jc w:val="center"/>
              <w:rPr>
                <w:rFonts w:hint="eastAsia"/>
                <w:bCs/>
                <w:color w:val="FF0000"/>
                <w:sz w:val="18"/>
                <w:szCs w:val="18"/>
                <w:u w:color="000000"/>
                <w:lang w:val="zh-CN" w:bidi="en-US"/>
              </w:rPr>
            </w:pPr>
          </w:p>
        </w:tc>
        <w:tc>
          <w:tcPr>
            <w:tcW w:w="348" w:type="pct"/>
            <w:vMerge w:val="continue"/>
            <w:tcBorders>
              <w:top w:val="single" w:color="auto" w:sz="4" w:space="0"/>
              <w:left w:val="single" w:color="auto" w:sz="4" w:space="0"/>
              <w:bottom w:val="single" w:color="auto" w:sz="4" w:space="0"/>
              <w:right w:val="single" w:color="auto" w:sz="4" w:space="0"/>
            </w:tcBorders>
            <w:vAlign w:val="center"/>
          </w:tcPr>
          <w:p w14:paraId="6B8C5D96">
            <w:pPr>
              <w:jc w:val="center"/>
              <w:rPr>
                <w:rFonts w:hint="eastAsia"/>
                <w:bCs/>
                <w:color w:val="FF0000"/>
                <w:sz w:val="18"/>
                <w:szCs w:val="18"/>
                <w:u w:color="000000"/>
                <w:lang w:val="zh-CN" w:bidi="en-US"/>
              </w:rPr>
            </w:pPr>
          </w:p>
        </w:tc>
        <w:tc>
          <w:tcPr>
            <w:tcW w:w="248" w:type="pct"/>
            <w:tcBorders>
              <w:top w:val="single" w:color="auto" w:sz="4" w:space="0"/>
              <w:left w:val="single" w:color="auto" w:sz="4" w:space="0"/>
              <w:bottom w:val="single" w:color="auto" w:sz="4" w:space="0"/>
              <w:right w:val="single" w:color="auto" w:sz="4" w:space="0"/>
            </w:tcBorders>
            <w:noWrap/>
            <w:vAlign w:val="center"/>
          </w:tcPr>
          <w:p w14:paraId="02EF2FC5">
            <w:pPr>
              <w:pStyle w:val="557"/>
            </w:pPr>
            <w:r>
              <w:rPr>
                <w:rFonts w:hint="eastAsia"/>
              </w:rPr>
              <w:t>SO</w:t>
            </w:r>
            <w:r>
              <w:rPr>
                <w:rFonts w:hint="eastAsia"/>
                <w:vertAlign w:val="subscript"/>
              </w:rPr>
              <w:t>2</w:t>
            </w:r>
          </w:p>
        </w:tc>
        <w:tc>
          <w:tcPr>
            <w:tcW w:w="248" w:type="pct"/>
            <w:tcBorders>
              <w:top w:val="single" w:color="auto" w:sz="4" w:space="0"/>
              <w:left w:val="single" w:color="auto" w:sz="4" w:space="0"/>
              <w:bottom w:val="single" w:color="auto" w:sz="4" w:space="0"/>
              <w:right w:val="single" w:color="auto" w:sz="4" w:space="0"/>
            </w:tcBorders>
            <w:noWrap/>
            <w:vAlign w:val="center"/>
          </w:tcPr>
          <w:p w14:paraId="2D0837D0">
            <w:pPr>
              <w:pStyle w:val="557"/>
            </w:pPr>
            <w:r>
              <w:rPr>
                <w:rFonts w:hint="eastAsia"/>
              </w:rPr>
              <w:t>NO</w:t>
            </w:r>
            <w:r>
              <w:rPr>
                <w:rFonts w:hint="eastAsia"/>
                <w:vertAlign w:val="subscript"/>
              </w:rPr>
              <w:t>2</w:t>
            </w:r>
          </w:p>
        </w:tc>
        <w:tc>
          <w:tcPr>
            <w:tcW w:w="248" w:type="pct"/>
            <w:tcBorders>
              <w:top w:val="single" w:color="auto" w:sz="4" w:space="0"/>
              <w:left w:val="single" w:color="auto" w:sz="4" w:space="0"/>
              <w:bottom w:val="single" w:color="auto" w:sz="4" w:space="0"/>
              <w:right w:val="single" w:color="auto" w:sz="4" w:space="0"/>
            </w:tcBorders>
            <w:noWrap/>
            <w:vAlign w:val="center"/>
          </w:tcPr>
          <w:p w14:paraId="2F51F697">
            <w:pPr>
              <w:pStyle w:val="557"/>
            </w:pPr>
            <w:r>
              <w:rPr>
                <w:rFonts w:hint="eastAsia"/>
              </w:rPr>
              <w:t>PM</w:t>
            </w:r>
            <w:r>
              <w:rPr>
                <w:rFonts w:hint="eastAsia"/>
                <w:vertAlign w:val="subscript"/>
              </w:rPr>
              <w:t>10</w:t>
            </w:r>
          </w:p>
        </w:tc>
        <w:tc>
          <w:tcPr>
            <w:tcW w:w="248" w:type="pct"/>
            <w:tcBorders>
              <w:top w:val="single" w:color="auto" w:sz="4" w:space="0"/>
              <w:left w:val="single" w:color="auto" w:sz="4" w:space="0"/>
              <w:bottom w:val="single" w:color="auto" w:sz="4" w:space="0"/>
              <w:right w:val="single" w:color="auto" w:sz="4" w:space="0"/>
            </w:tcBorders>
            <w:noWrap/>
            <w:vAlign w:val="center"/>
          </w:tcPr>
          <w:p w14:paraId="766DC908">
            <w:pPr>
              <w:pStyle w:val="557"/>
            </w:pPr>
            <w:r>
              <w:rPr>
                <w:rFonts w:hint="eastAsia"/>
              </w:rPr>
              <w:t>PM</w:t>
            </w:r>
            <w:r>
              <w:rPr>
                <w:rFonts w:hint="eastAsia"/>
                <w:vertAlign w:val="subscript"/>
              </w:rPr>
              <w:t>2.5</w:t>
            </w:r>
          </w:p>
        </w:tc>
        <w:tc>
          <w:tcPr>
            <w:tcW w:w="248" w:type="pct"/>
            <w:tcBorders>
              <w:top w:val="single" w:color="auto" w:sz="4" w:space="0"/>
              <w:left w:val="single" w:color="auto" w:sz="4" w:space="0"/>
              <w:bottom w:val="single" w:color="auto" w:sz="4" w:space="0"/>
              <w:right w:val="single" w:color="auto" w:sz="4" w:space="0"/>
            </w:tcBorders>
            <w:noWrap/>
            <w:vAlign w:val="center"/>
          </w:tcPr>
          <w:p w14:paraId="6CC6315D">
            <w:pPr>
              <w:pStyle w:val="557"/>
            </w:pPr>
            <w:r>
              <w:rPr>
                <w:rFonts w:hint="eastAsia"/>
              </w:rPr>
              <w:t>氨</w:t>
            </w:r>
          </w:p>
        </w:tc>
        <w:tc>
          <w:tcPr>
            <w:tcW w:w="248" w:type="pct"/>
            <w:tcBorders>
              <w:top w:val="single" w:color="auto" w:sz="4" w:space="0"/>
              <w:left w:val="single" w:color="auto" w:sz="4" w:space="0"/>
              <w:bottom w:val="single" w:color="auto" w:sz="4" w:space="0"/>
              <w:right w:val="single" w:color="auto" w:sz="4" w:space="0"/>
            </w:tcBorders>
            <w:noWrap/>
            <w:vAlign w:val="center"/>
          </w:tcPr>
          <w:p w14:paraId="0A60A790">
            <w:pPr>
              <w:pStyle w:val="557"/>
            </w:pPr>
            <w:r>
              <w:rPr>
                <w:rFonts w:hint="eastAsia"/>
              </w:rPr>
              <w:t>H</w:t>
            </w:r>
            <w:r>
              <w:rPr>
                <w:rFonts w:hint="eastAsia"/>
                <w:vertAlign w:val="subscript"/>
              </w:rPr>
              <w:t>2</w:t>
            </w:r>
            <w:r>
              <w:rPr>
                <w:rFonts w:hint="eastAsia"/>
              </w:rPr>
              <w:t>S</w:t>
            </w:r>
          </w:p>
        </w:tc>
        <w:tc>
          <w:tcPr>
            <w:tcW w:w="248" w:type="pct"/>
            <w:tcBorders>
              <w:top w:val="single" w:color="auto" w:sz="4" w:space="0"/>
              <w:left w:val="single" w:color="auto" w:sz="4" w:space="0"/>
              <w:bottom w:val="single" w:color="auto" w:sz="4" w:space="0"/>
              <w:right w:val="single" w:color="auto" w:sz="4" w:space="0"/>
            </w:tcBorders>
            <w:noWrap/>
            <w:vAlign w:val="center"/>
          </w:tcPr>
          <w:p w14:paraId="3908ECA5">
            <w:pPr>
              <w:pStyle w:val="557"/>
            </w:pPr>
            <w:r>
              <w:rPr>
                <w:rFonts w:hint="eastAsia"/>
              </w:rPr>
              <w:t>NMHC</w:t>
            </w:r>
          </w:p>
        </w:tc>
        <w:tc>
          <w:tcPr>
            <w:tcW w:w="248" w:type="pct"/>
            <w:tcBorders>
              <w:top w:val="single" w:color="auto" w:sz="4" w:space="0"/>
              <w:left w:val="single" w:color="auto" w:sz="4" w:space="0"/>
              <w:bottom w:val="single" w:color="auto" w:sz="4" w:space="0"/>
              <w:right w:val="single" w:color="auto" w:sz="4" w:space="0"/>
            </w:tcBorders>
            <w:noWrap/>
            <w:vAlign w:val="center"/>
          </w:tcPr>
          <w:p w14:paraId="266B4BA9">
            <w:pPr>
              <w:pStyle w:val="557"/>
            </w:pPr>
            <w:r>
              <w:rPr>
                <w:rFonts w:hint="eastAsia"/>
              </w:rPr>
              <w:t>甲醇</w:t>
            </w:r>
          </w:p>
        </w:tc>
        <w:tc>
          <w:tcPr>
            <w:tcW w:w="252" w:type="pct"/>
            <w:tcBorders>
              <w:top w:val="single" w:color="auto" w:sz="4" w:space="0"/>
              <w:left w:val="single" w:color="auto" w:sz="4" w:space="0"/>
              <w:bottom w:val="single" w:color="auto" w:sz="4" w:space="0"/>
              <w:right w:val="single" w:color="auto" w:sz="4" w:space="0"/>
            </w:tcBorders>
            <w:vAlign w:val="center"/>
          </w:tcPr>
          <w:p w14:paraId="7D426470">
            <w:pPr>
              <w:pStyle w:val="557"/>
            </w:pPr>
            <w:r>
              <w:rPr>
                <w:rFonts w:hint="eastAsia"/>
              </w:rPr>
              <w:t>硫酸</w:t>
            </w:r>
          </w:p>
        </w:tc>
      </w:tr>
      <w:tr w14:paraId="7455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90CCF81">
            <w:pPr>
              <w:pStyle w:val="557"/>
            </w:pPr>
            <w:r>
              <w:t>1</w:t>
            </w:r>
          </w:p>
        </w:tc>
        <w:tc>
          <w:tcPr>
            <w:tcW w:w="835" w:type="pct"/>
            <w:tcBorders>
              <w:top w:val="single" w:color="auto" w:sz="4" w:space="0"/>
              <w:left w:val="single" w:color="auto" w:sz="4" w:space="0"/>
              <w:bottom w:val="single" w:color="auto" w:sz="4" w:space="0"/>
              <w:right w:val="single" w:color="auto" w:sz="4" w:space="0"/>
            </w:tcBorders>
            <w:noWrap/>
            <w:vAlign w:val="center"/>
          </w:tcPr>
          <w:p w14:paraId="5B816380">
            <w:pPr>
              <w:pStyle w:val="557"/>
              <w:rPr>
                <w:lang w:eastAsia="zh"/>
              </w:rPr>
            </w:pPr>
            <w:r>
              <w:rPr>
                <w:rFonts w:hint="eastAsia"/>
              </w:rPr>
              <w:t>原料煤仓</w:t>
            </w:r>
            <w:r>
              <w:rPr>
                <w:rFonts w:hint="eastAsia"/>
                <w:lang w:eastAsia="zh"/>
              </w:rPr>
              <w:t>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0DD304F6">
            <w:pPr>
              <w:pStyle w:val="557"/>
            </w:pPr>
            <w:r>
              <w:rPr>
                <w:rFonts w:hint="eastAsia"/>
              </w:rPr>
              <w:t>-236</w:t>
            </w:r>
          </w:p>
        </w:tc>
        <w:tc>
          <w:tcPr>
            <w:tcW w:w="261" w:type="pct"/>
            <w:tcBorders>
              <w:top w:val="single" w:color="auto" w:sz="4" w:space="0"/>
              <w:left w:val="single" w:color="auto" w:sz="4" w:space="0"/>
              <w:bottom w:val="single" w:color="auto" w:sz="4" w:space="0"/>
              <w:right w:val="single" w:color="auto" w:sz="4" w:space="0"/>
            </w:tcBorders>
            <w:noWrap/>
            <w:vAlign w:val="center"/>
          </w:tcPr>
          <w:p w14:paraId="73721493">
            <w:pPr>
              <w:pStyle w:val="557"/>
            </w:pPr>
            <w:r>
              <w:rPr>
                <w:rFonts w:hint="eastAsia"/>
              </w:rPr>
              <w:t>-186</w:t>
            </w:r>
          </w:p>
        </w:tc>
        <w:tc>
          <w:tcPr>
            <w:tcW w:w="315" w:type="pct"/>
            <w:tcBorders>
              <w:top w:val="single" w:color="auto" w:sz="4" w:space="0"/>
              <w:left w:val="single" w:color="auto" w:sz="4" w:space="0"/>
              <w:bottom w:val="single" w:color="auto" w:sz="4" w:space="0"/>
              <w:right w:val="single" w:color="auto" w:sz="4" w:space="0"/>
            </w:tcBorders>
            <w:noWrap/>
            <w:vAlign w:val="center"/>
          </w:tcPr>
          <w:p w14:paraId="7A8C48FB">
            <w:pPr>
              <w:pStyle w:val="557"/>
            </w:pPr>
            <w:r>
              <w:rPr>
                <w:rFonts w:hint="eastAsia"/>
              </w:rPr>
              <w:t>55</w:t>
            </w:r>
          </w:p>
        </w:tc>
        <w:tc>
          <w:tcPr>
            <w:tcW w:w="261" w:type="pct"/>
            <w:tcBorders>
              <w:top w:val="single" w:color="auto" w:sz="4" w:space="0"/>
              <w:left w:val="single" w:color="auto" w:sz="4" w:space="0"/>
              <w:bottom w:val="single" w:color="auto" w:sz="4" w:space="0"/>
              <w:right w:val="single" w:color="auto" w:sz="4" w:space="0"/>
            </w:tcBorders>
            <w:noWrap/>
            <w:vAlign w:val="center"/>
          </w:tcPr>
          <w:p w14:paraId="72D8AF81">
            <w:pPr>
              <w:pStyle w:val="557"/>
            </w:pPr>
            <w:r>
              <w:rPr>
                <w:rFonts w:hint="eastAsia"/>
              </w:rPr>
              <w:t>0.2</w:t>
            </w:r>
          </w:p>
        </w:tc>
        <w:tc>
          <w:tcPr>
            <w:tcW w:w="321" w:type="pct"/>
            <w:tcBorders>
              <w:top w:val="single" w:color="auto" w:sz="4" w:space="0"/>
              <w:left w:val="single" w:color="auto" w:sz="4" w:space="0"/>
              <w:bottom w:val="single" w:color="auto" w:sz="4" w:space="0"/>
              <w:right w:val="single" w:color="auto" w:sz="4" w:space="0"/>
            </w:tcBorders>
            <w:noWrap/>
            <w:vAlign w:val="center"/>
          </w:tcPr>
          <w:p w14:paraId="7DD1DE79">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7750B679">
            <w:pPr>
              <w:pStyle w:val="557"/>
            </w:pPr>
            <w:r>
              <w:rPr>
                <w:rFonts w:hint="eastAsia"/>
              </w:rPr>
              <w:t>3000</w:t>
            </w:r>
          </w:p>
        </w:tc>
        <w:tc>
          <w:tcPr>
            <w:tcW w:w="248" w:type="pct"/>
            <w:tcBorders>
              <w:top w:val="single" w:color="auto" w:sz="4" w:space="0"/>
              <w:left w:val="single" w:color="auto" w:sz="4" w:space="0"/>
              <w:bottom w:val="single" w:color="auto" w:sz="4" w:space="0"/>
              <w:right w:val="single" w:color="auto" w:sz="4" w:space="0"/>
            </w:tcBorders>
            <w:noWrap/>
            <w:vAlign w:val="center"/>
          </w:tcPr>
          <w:p w14:paraId="6E753D2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2B83BD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0DB8663">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50BF460D">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54EF428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9D72A4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E7DB05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6E315FB">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10CF1B3F">
            <w:pPr>
              <w:pStyle w:val="557"/>
            </w:pPr>
            <w:r>
              <w:rPr>
                <w:rFonts w:hint="eastAsia"/>
              </w:rPr>
              <w:t>/</w:t>
            </w:r>
          </w:p>
        </w:tc>
      </w:tr>
      <w:tr w14:paraId="0D10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7D78A0E1">
            <w:pPr>
              <w:pStyle w:val="557"/>
            </w:pPr>
            <w:r>
              <w:t>2</w:t>
            </w:r>
          </w:p>
        </w:tc>
        <w:tc>
          <w:tcPr>
            <w:tcW w:w="835" w:type="pct"/>
            <w:tcBorders>
              <w:top w:val="single" w:color="auto" w:sz="4" w:space="0"/>
              <w:left w:val="single" w:color="auto" w:sz="4" w:space="0"/>
              <w:bottom w:val="single" w:color="auto" w:sz="4" w:space="0"/>
              <w:right w:val="single" w:color="auto" w:sz="4" w:space="0"/>
            </w:tcBorders>
            <w:noWrap/>
            <w:vAlign w:val="center"/>
          </w:tcPr>
          <w:p w14:paraId="17C0DC70">
            <w:pPr>
              <w:pStyle w:val="557"/>
            </w:pPr>
            <w:r>
              <w:rPr>
                <w:rFonts w:hint="eastAsia"/>
              </w:rPr>
              <w:t>磨煤干燥废气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5CD58289">
            <w:pPr>
              <w:pStyle w:val="557"/>
            </w:pPr>
            <w:r>
              <w:rPr>
                <w:rFonts w:hint="eastAsia"/>
              </w:rPr>
              <w:t>-153</w:t>
            </w:r>
          </w:p>
        </w:tc>
        <w:tc>
          <w:tcPr>
            <w:tcW w:w="261" w:type="pct"/>
            <w:tcBorders>
              <w:top w:val="single" w:color="auto" w:sz="4" w:space="0"/>
              <w:left w:val="single" w:color="auto" w:sz="4" w:space="0"/>
              <w:bottom w:val="single" w:color="auto" w:sz="4" w:space="0"/>
              <w:right w:val="single" w:color="auto" w:sz="4" w:space="0"/>
            </w:tcBorders>
            <w:noWrap/>
            <w:vAlign w:val="center"/>
          </w:tcPr>
          <w:p w14:paraId="05FDB769">
            <w:pPr>
              <w:pStyle w:val="557"/>
            </w:pPr>
            <w:r>
              <w:rPr>
                <w:rFonts w:hint="eastAsia"/>
              </w:rPr>
              <w:t>92</w:t>
            </w:r>
          </w:p>
        </w:tc>
        <w:tc>
          <w:tcPr>
            <w:tcW w:w="315" w:type="pct"/>
            <w:tcBorders>
              <w:top w:val="single" w:color="auto" w:sz="4" w:space="0"/>
              <w:left w:val="single" w:color="auto" w:sz="4" w:space="0"/>
              <w:bottom w:val="single" w:color="auto" w:sz="4" w:space="0"/>
              <w:right w:val="single" w:color="auto" w:sz="4" w:space="0"/>
            </w:tcBorders>
            <w:noWrap/>
            <w:vAlign w:val="center"/>
          </w:tcPr>
          <w:p w14:paraId="7171F15C">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3B455BCB">
            <w:pPr>
              <w:pStyle w:val="557"/>
            </w:pPr>
            <w:r>
              <w:rPr>
                <w:rFonts w:hint="eastAsia"/>
              </w:rPr>
              <w:t>0.9</w:t>
            </w:r>
          </w:p>
        </w:tc>
        <w:tc>
          <w:tcPr>
            <w:tcW w:w="321" w:type="pct"/>
            <w:tcBorders>
              <w:top w:val="single" w:color="auto" w:sz="4" w:space="0"/>
              <w:left w:val="single" w:color="auto" w:sz="4" w:space="0"/>
              <w:bottom w:val="single" w:color="auto" w:sz="4" w:space="0"/>
              <w:right w:val="single" w:color="auto" w:sz="4" w:space="0"/>
            </w:tcBorders>
            <w:noWrap/>
            <w:vAlign w:val="center"/>
          </w:tcPr>
          <w:p w14:paraId="6EDF60DF">
            <w:pPr>
              <w:pStyle w:val="557"/>
            </w:pPr>
            <w:r>
              <w:rPr>
                <w:rFonts w:hint="eastAsia"/>
              </w:rPr>
              <w:t>90</w:t>
            </w:r>
          </w:p>
        </w:tc>
        <w:tc>
          <w:tcPr>
            <w:tcW w:w="348" w:type="pct"/>
            <w:tcBorders>
              <w:top w:val="single" w:color="auto" w:sz="4" w:space="0"/>
              <w:left w:val="single" w:color="auto" w:sz="4" w:space="0"/>
              <w:bottom w:val="single" w:color="auto" w:sz="4" w:space="0"/>
              <w:right w:val="single" w:color="auto" w:sz="4" w:space="0"/>
            </w:tcBorders>
            <w:noWrap/>
            <w:vAlign w:val="center"/>
          </w:tcPr>
          <w:p w14:paraId="0A943AF5">
            <w:pPr>
              <w:pStyle w:val="557"/>
            </w:pPr>
            <w:r>
              <w:rPr>
                <w:rFonts w:hint="eastAsia"/>
              </w:rPr>
              <w:t>53000</w:t>
            </w:r>
          </w:p>
        </w:tc>
        <w:tc>
          <w:tcPr>
            <w:tcW w:w="248" w:type="pct"/>
            <w:tcBorders>
              <w:top w:val="single" w:color="auto" w:sz="4" w:space="0"/>
              <w:left w:val="single" w:color="auto" w:sz="4" w:space="0"/>
              <w:bottom w:val="single" w:color="auto" w:sz="4" w:space="0"/>
              <w:right w:val="single" w:color="auto" w:sz="4" w:space="0"/>
            </w:tcBorders>
            <w:noWrap/>
            <w:vAlign w:val="center"/>
          </w:tcPr>
          <w:p w14:paraId="73A68AD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72A3386">
            <w:pPr>
              <w:pStyle w:val="557"/>
            </w:pPr>
            <w:r>
              <w:rPr>
                <w:rFonts w:hint="eastAsia"/>
              </w:rPr>
              <w:t>4.77</w:t>
            </w:r>
          </w:p>
        </w:tc>
        <w:tc>
          <w:tcPr>
            <w:tcW w:w="248" w:type="pct"/>
            <w:tcBorders>
              <w:top w:val="single" w:color="auto" w:sz="4" w:space="0"/>
              <w:left w:val="single" w:color="auto" w:sz="4" w:space="0"/>
              <w:bottom w:val="single" w:color="auto" w:sz="4" w:space="0"/>
              <w:right w:val="single" w:color="auto" w:sz="4" w:space="0"/>
            </w:tcBorders>
            <w:noWrap/>
            <w:vAlign w:val="center"/>
          </w:tcPr>
          <w:p w14:paraId="0907839C">
            <w:pPr>
              <w:pStyle w:val="557"/>
            </w:pPr>
            <w:r>
              <w:rPr>
                <w:rFonts w:hint="eastAsia"/>
              </w:rPr>
              <w:t>0.7075</w:t>
            </w:r>
          </w:p>
        </w:tc>
        <w:tc>
          <w:tcPr>
            <w:tcW w:w="248" w:type="pct"/>
            <w:tcBorders>
              <w:top w:val="single" w:color="auto" w:sz="4" w:space="0"/>
              <w:left w:val="single" w:color="auto" w:sz="4" w:space="0"/>
              <w:bottom w:val="single" w:color="auto" w:sz="4" w:space="0"/>
              <w:right w:val="single" w:color="auto" w:sz="4" w:space="0"/>
            </w:tcBorders>
            <w:noWrap/>
            <w:vAlign w:val="center"/>
          </w:tcPr>
          <w:p w14:paraId="0050A8AE">
            <w:pPr>
              <w:pStyle w:val="557"/>
            </w:pPr>
            <w:r>
              <w:rPr>
                <w:rFonts w:hint="eastAsia"/>
              </w:rPr>
              <w:t>0.35375</w:t>
            </w:r>
          </w:p>
        </w:tc>
        <w:tc>
          <w:tcPr>
            <w:tcW w:w="248" w:type="pct"/>
            <w:tcBorders>
              <w:top w:val="single" w:color="auto" w:sz="4" w:space="0"/>
              <w:left w:val="single" w:color="auto" w:sz="4" w:space="0"/>
              <w:bottom w:val="single" w:color="auto" w:sz="4" w:space="0"/>
              <w:right w:val="single" w:color="auto" w:sz="4" w:space="0"/>
            </w:tcBorders>
            <w:noWrap/>
            <w:vAlign w:val="center"/>
          </w:tcPr>
          <w:p w14:paraId="3163C6B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BCC555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8F1FB0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63876B8">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3F2F1A48">
            <w:pPr>
              <w:pStyle w:val="557"/>
            </w:pPr>
            <w:r>
              <w:rPr>
                <w:rFonts w:hint="eastAsia"/>
              </w:rPr>
              <w:t>/</w:t>
            </w:r>
          </w:p>
        </w:tc>
      </w:tr>
      <w:tr w14:paraId="149D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39FB2DE9">
            <w:pPr>
              <w:pStyle w:val="557"/>
            </w:pPr>
            <w:r>
              <w:t>3</w:t>
            </w:r>
          </w:p>
        </w:tc>
        <w:tc>
          <w:tcPr>
            <w:tcW w:w="835" w:type="pct"/>
            <w:tcBorders>
              <w:top w:val="single" w:color="auto" w:sz="4" w:space="0"/>
              <w:left w:val="single" w:color="auto" w:sz="4" w:space="0"/>
              <w:bottom w:val="single" w:color="auto" w:sz="4" w:space="0"/>
              <w:right w:val="single" w:color="auto" w:sz="4" w:space="0"/>
            </w:tcBorders>
            <w:noWrap/>
            <w:vAlign w:val="center"/>
          </w:tcPr>
          <w:p w14:paraId="741D0607">
            <w:pPr>
              <w:pStyle w:val="557"/>
            </w:pPr>
            <w:r>
              <w:rPr>
                <w:rFonts w:hint="eastAsia"/>
              </w:rPr>
              <w:t>粉煤锁斗排气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187D3833">
            <w:pPr>
              <w:pStyle w:val="557"/>
            </w:pPr>
            <w:r>
              <w:rPr>
                <w:rFonts w:hint="eastAsia"/>
              </w:rPr>
              <w:t>-199</w:t>
            </w:r>
          </w:p>
        </w:tc>
        <w:tc>
          <w:tcPr>
            <w:tcW w:w="261" w:type="pct"/>
            <w:tcBorders>
              <w:top w:val="single" w:color="auto" w:sz="4" w:space="0"/>
              <w:left w:val="single" w:color="auto" w:sz="4" w:space="0"/>
              <w:bottom w:val="single" w:color="auto" w:sz="4" w:space="0"/>
              <w:right w:val="single" w:color="auto" w:sz="4" w:space="0"/>
            </w:tcBorders>
            <w:noWrap/>
            <w:vAlign w:val="center"/>
          </w:tcPr>
          <w:p w14:paraId="16E1C789">
            <w:pPr>
              <w:pStyle w:val="557"/>
            </w:pPr>
            <w:r>
              <w:rPr>
                <w:rFonts w:hint="eastAsia"/>
              </w:rPr>
              <w:t>66</w:t>
            </w:r>
          </w:p>
        </w:tc>
        <w:tc>
          <w:tcPr>
            <w:tcW w:w="315" w:type="pct"/>
            <w:tcBorders>
              <w:top w:val="single" w:color="auto" w:sz="4" w:space="0"/>
              <w:left w:val="single" w:color="auto" w:sz="4" w:space="0"/>
              <w:bottom w:val="single" w:color="auto" w:sz="4" w:space="0"/>
              <w:right w:val="single" w:color="auto" w:sz="4" w:space="0"/>
            </w:tcBorders>
            <w:noWrap/>
            <w:vAlign w:val="center"/>
          </w:tcPr>
          <w:p w14:paraId="6EB07F6D">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04155C55">
            <w:pPr>
              <w:pStyle w:val="557"/>
            </w:pPr>
            <w:r>
              <w:rPr>
                <w:rFonts w:hint="eastAsia"/>
              </w:rPr>
              <w:t>1</w:t>
            </w:r>
          </w:p>
        </w:tc>
        <w:tc>
          <w:tcPr>
            <w:tcW w:w="321" w:type="pct"/>
            <w:tcBorders>
              <w:top w:val="single" w:color="auto" w:sz="4" w:space="0"/>
              <w:left w:val="single" w:color="auto" w:sz="4" w:space="0"/>
              <w:bottom w:val="single" w:color="auto" w:sz="4" w:space="0"/>
              <w:right w:val="single" w:color="auto" w:sz="4" w:space="0"/>
            </w:tcBorders>
            <w:noWrap/>
            <w:vAlign w:val="center"/>
          </w:tcPr>
          <w:p w14:paraId="4283D35D">
            <w:pPr>
              <w:pStyle w:val="557"/>
            </w:pPr>
            <w:r>
              <w:rPr>
                <w:rFonts w:hint="eastAsia"/>
              </w:rPr>
              <w:t>80</w:t>
            </w:r>
          </w:p>
        </w:tc>
        <w:tc>
          <w:tcPr>
            <w:tcW w:w="348" w:type="pct"/>
            <w:tcBorders>
              <w:top w:val="single" w:color="auto" w:sz="4" w:space="0"/>
              <w:left w:val="single" w:color="auto" w:sz="4" w:space="0"/>
              <w:bottom w:val="single" w:color="auto" w:sz="4" w:space="0"/>
              <w:right w:val="single" w:color="auto" w:sz="4" w:space="0"/>
            </w:tcBorders>
            <w:noWrap/>
            <w:vAlign w:val="center"/>
          </w:tcPr>
          <w:p w14:paraId="56507040">
            <w:pPr>
              <w:pStyle w:val="557"/>
            </w:pPr>
            <w:r>
              <w:rPr>
                <w:rFonts w:hint="eastAsia"/>
              </w:rPr>
              <w:t>8500</w:t>
            </w:r>
          </w:p>
        </w:tc>
        <w:tc>
          <w:tcPr>
            <w:tcW w:w="248" w:type="pct"/>
            <w:tcBorders>
              <w:top w:val="single" w:color="auto" w:sz="4" w:space="0"/>
              <w:left w:val="single" w:color="auto" w:sz="4" w:space="0"/>
              <w:bottom w:val="single" w:color="auto" w:sz="4" w:space="0"/>
              <w:right w:val="single" w:color="auto" w:sz="4" w:space="0"/>
            </w:tcBorders>
            <w:noWrap/>
            <w:vAlign w:val="center"/>
          </w:tcPr>
          <w:p w14:paraId="66EF1C7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E23090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11EDDB7">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382C6C8E">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1B4D4A7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F2EB0F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D48BA1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A18F36E">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1A3F9755">
            <w:pPr>
              <w:pStyle w:val="557"/>
            </w:pPr>
            <w:r>
              <w:rPr>
                <w:rFonts w:hint="eastAsia"/>
              </w:rPr>
              <w:t>/</w:t>
            </w:r>
          </w:p>
        </w:tc>
      </w:tr>
      <w:tr w14:paraId="1A12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7468D0CF">
            <w:pPr>
              <w:pStyle w:val="557"/>
            </w:pPr>
            <w:r>
              <w:t>4</w:t>
            </w:r>
          </w:p>
        </w:tc>
        <w:tc>
          <w:tcPr>
            <w:tcW w:w="835" w:type="pct"/>
            <w:tcBorders>
              <w:top w:val="single" w:color="auto" w:sz="4" w:space="0"/>
              <w:left w:val="single" w:color="auto" w:sz="4" w:space="0"/>
              <w:bottom w:val="single" w:color="auto" w:sz="4" w:space="0"/>
              <w:right w:val="single" w:color="auto" w:sz="4" w:space="0"/>
            </w:tcBorders>
            <w:noWrap/>
            <w:vAlign w:val="center"/>
          </w:tcPr>
          <w:p w14:paraId="741F94CD">
            <w:pPr>
              <w:pStyle w:val="557"/>
            </w:pPr>
            <w:r>
              <w:rPr>
                <w:rFonts w:hint="eastAsia"/>
              </w:rPr>
              <w:t>真空泵排气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7A9C6332">
            <w:pPr>
              <w:pStyle w:val="557"/>
            </w:pPr>
            <w:r>
              <w:rPr>
                <w:rFonts w:hint="eastAsia"/>
              </w:rPr>
              <w:t>-109</w:t>
            </w:r>
          </w:p>
        </w:tc>
        <w:tc>
          <w:tcPr>
            <w:tcW w:w="261" w:type="pct"/>
            <w:tcBorders>
              <w:top w:val="single" w:color="auto" w:sz="4" w:space="0"/>
              <w:left w:val="single" w:color="auto" w:sz="4" w:space="0"/>
              <w:bottom w:val="single" w:color="auto" w:sz="4" w:space="0"/>
              <w:right w:val="single" w:color="auto" w:sz="4" w:space="0"/>
            </w:tcBorders>
            <w:noWrap/>
            <w:vAlign w:val="center"/>
          </w:tcPr>
          <w:p w14:paraId="5C967690">
            <w:pPr>
              <w:pStyle w:val="557"/>
            </w:pPr>
            <w:r>
              <w:rPr>
                <w:rFonts w:hint="eastAsia"/>
              </w:rPr>
              <w:t>190</w:t>
            </w:r>
          </w:p>
        </w:tc>
        <w:tc>
          <w:tcPr>
            <w:tcW w:w="315" w:type="pct"/>
            <w:tcBorders>
              <w:top w:val="single" w:color="auto" w:sz="4" w:space="0"/>
              <w:left w:val="single" w:color="auto" w:sz="4" w:space="0"/>
              <w:bottom w:val="single" w:color="auto" w:sz="4" w:space="0"/>
              <w:right w:val="single" w:color="auto" w:sz="4" w:space="0"/>
            </w:tcBorders>
            <w:noWrap/>
            <w:vAlign w:val="center"/>
          </w:tcPr>
          <w:p w14:paraId="134F66D4">
            <w:pPr>
              <w:pStyle w:val="557"/>
            </w:pPr>
            <w:r>
              <w:rPr>
                <w:rFonts w:hint="eastAsia"/>
              </w:rPr>
              <w:t>28</w:t>
            </w:r>
          </w:p>
        </w:tc>
        <w:tc>
          <w:tcPr>
            <w:tcW w:w="261" w:type="pct"/>
            <w:tcBorders>
              <w:top w:val="single" w:color="auto" w:sz="4" w:space="0"/>
              <w:left w:val="single" w:color="auto" w:sz="4" w:space="0"/>
              <w:bottom w:val="single" w:color="auto" w:sz="4" w:space="0"/>
              <w:right w:val="single" w:color="auto" w:sz="4" w:space="0"/>
            </w:tcBorders>
            <w:noWrap/>
            <w:vAlign w:val="center"/>
          </w:tcPr>
          <w:p w14:paraId="682897CC">
            <w:pPr>
              <w:pStyle w:val="557"/>
            </w:pPr>
            <w:r>
              <w:rPr>
                <w:rFonts w:hint="eastAsia"/>
              </w:rPr>
              <w:t>0.15</w:t>
            </w:r>
          </w:p>
        </w:tc>
        <w:tc>
          <w:tcPr>
            <w:tcW w:w="321" w:type="pct"/>
            <w:tcBorders>
              <w:top w:val="single" w:color="auto" w:sz="4" w:space="0"/>
              <w:left w:val="single" w:color="auto" w:sz="4" w:space="0"/>
              <w:bottom w:val="single" w:color="auto" w:sz="4" w:space="0"/>
              <w:right w:val="single" w:color="auto" w:sz="4" w:space="0"/>
            </w:tcBorders>
            <w:noWrap/>
            <w:vAlign w:val="center"/>
          </w:tcPr>
          <w:p w14:paraId="78546391">
            <w:pPr>
              <w:pStyle w:val="557"/>
            </w:pPr>
            <w:r>
              <w:rPr>
                <w:rFonts w:hint="eastAsia"/>
              </w:rPr>
              <w:t>55</w:t>
            </w:r>
          </w:p>
        </w:tc>
        <w:tc>
          <w:tcPr>
            <w:tcW w:w="348" w:type="pct"/>
            <w:tcBorders>
              <w:top w:val="single" w:color="auto" w:sz="4" w:space="0"/>
              <w:left w:val="single" w:color="auto" w:sz="4" w:space="0"/>
              <w:bottom w:val="single" w:color="auto" w:sz="4" w:space="0"/>
              <w:right w:val="single" w:color="auto" w:sz="4" w:space="0"/>
            </w:tcBorders>
            <w:noWrap/>
            <w:vAlign w:val="center"/>
          </w:tcPr>
          <w:p w14:paraId="587CB88C">
            <w:pPr>
              <w:pStyle w:val="557"/>
            </w:pPr>
            <w:r>
              <w:rPr>
                <w:rFonts w:hint="eastAsia"/>
              </w:rPr>
              <w:t>136.5</w:t>
            </w:r>
          </w:p>
        </w:tc>
        <w:tc>
          <w:tcPr>
            <w:tcW w:w="248" w:type="pct"/>
            <w:tcBorders>
              <w:top w:val="single" w:color="auto" w:sz="4" w:space="0"/>
              <w:left w:val="single" w:color="auto" w:sz="4" w:space="0"/>
              <w:bottom w:val="single" w:color="auto" w:sz="4" w:space="0"/>
              <w:right w:val="single" w:color="auto" w:sz="4" w:space="0"/>
            </w:tcBorders>
            <w:noWrap/>
            <w:vAlign w:val="center"/>
          </w:tcPr>
          <w:p w14:paraId="43C0AAE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16923C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98F5F0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C3DEE3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EE920FB">
            <w:pPr>
              <w:pStyle w:val="557"/>
            </w:pPr>
            <w:r>
              <w:rPr>
                <w:rFonts w:hint="eastAsia"/>
              </w:rPr>
              <w:t>0.11</w:t>
            </w:r>
          </w:p>
        </w:tc>
        <w:tc>
          <w:tcPr>
            <w:tcW w:w="248" w:type="pct"/>
            <w:tcBorders>
              <w:top w:val="single" w:color="auto" w:sz="4" w:space="0"/>
              <w:left w:val="single" w:color="auto" w:sz="4" w:space="0"/>
              <w:bottom w:val="single" w:color="auto" w:sz="4" w:space="0"/>
              <w:right w:val="single" w:color="auto" w:sz="4" w:space="0"/>
            </w:tcBorders>
            <w:noWrap/>
            <w:vAlign w:val="center"/>
          </w:tcPr>
          <w:p w14:paraId="20A304F8">
            <w:pPr>
              <w:pStyle w:val="557"/>
            </w:pPr>
            <w:r>
              <w:rPr>
                <w:rFonts w:hint="eastAsia"/>
              </w:rPr>
              <w:t>0.001</w:t>
            </w:r>
          </w:p>
        </w:tc>
        <w:tc>
          <w:tcPr>
            <w:tcW w:w="248" w:type="pct"/>
            <w:tcBorders>
              <w:top w:val="single" w:color="auto" w:sz="4" w:space="0"/>
              <w:left w:val="single" w:color="auto" w:sz="4" w:space="0"/>
              <w:bottom w:val="single" w:color="auto" w:sz="4" w:space="0"/>
              <w:right w:val="single" w:color="auto" w:sz="4" w:space="0"/>
            </w:tcBorders>
            <w:noWrap/>
            <w:vAlign w:val="center"/>
          </w:tcPr>
          <w:p w14:paraId="2902520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9115EEF">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0A73DDDB">
            <w:pPr>
              <w:pStyle w:val="557"/>
            </w:pPr>
            <w:r>
              <w:rPr>
                <w:rFonts w:hint="eastAsia"/>
              </w:rPr>
              <w:t>/</w:t>
            </w:r>
          </w:p>
        </w:tc>
      </w:tr>
      <w:tr w14:paraId="542A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D0FB11B">
            <w:pPr>
              <w:pStyle w:val="557"/>
            </w:pPr>
            <w:r>
              <w:t>5</w:t>
            </w:r>
          </w:p>
        </w:tc>
        <w:tc>
          <w:tcPr>
            <w:tcW w:w="835" w:type="pct"/>
            <w:tcBorders>
              <w:top w:val="single" w:color="auto" w:sz="4" w:space="0"/>
              <w:left w:val="single" w:color="auto" w:sz="4" w:space="0"/>
              <w:bottom w:val="single" w:color="auto" w:sz="4" w:space="0"/>
              <w:right w:val="single" w:color="auto" w:sz="4" w:space="0"/>
            </w:tcBorders>
            <w:noWrap/>
            <w:vAlign w:val="center"/>
          </w:tcPr>
          <w:p w14:paraId="3E0A429C">
            <w:pPr>
              <w:pStyle w:val="557"/>
            </w:pPr>
            <w:r>
              <w:rPr>
                <w:rFonts w:hint="eastAsia"/>
              </w:rPr>
              <w:t>低温甲醇洗尾气</w:t>
            </w:r>
          </w:p>
        </w:tc>
        <w:tc>
          <w:tcPr>
            <w:tcW w:w="209" w:type="pct"/>
            <w:tcBorders>
              <w:top w:val="single" w:color="auto" w:sz="4" w:space="0"/>
              <w:left w:val="single" w:color="auto" w:sz="4" w:space="0"/>
              <w:bottom w:val="single" w:color="auto" w:sz="4" w:space="0"/>
              <w:right w:val="single" w:color="auto" w:sz="4" w:space="0"/>
            </w:tcBorders>
            <w:noWrap/>
            <w:vAlign w:val="center"/>
          </w:tcPr>
          <w:p w14:paraId="2AAA206F">
            <w:pPr>
              <w:pStyle w:val="557"/>
            </w:pPr>
            <w:r>
              <w:rPr>
                <w:rFonts w:hint="eastAsia"/>
              </w:rPr>
              <w:t>60</w:t>
            </w:r>
          </w:p>
        </w:tc>
        <w:tc>
          <w:tcPr>
            <w:tcW w:w="261" w:type="pct"/>
            <w:tcBorders>
              <w:top w:val="single" w:color="auto" w:sz="4" w:space="0"/>
              <w:left w:val="single" w:color="auto" w:sz="4" w:space="0"/>
              <w:bottom w:val="single" w:color="auto" w:sz="4" w:space="0"/>
              <w:right w:val="single" w:color="auto" w:sz="4" w:space="0"/>
            </w:tcBorders>
            <w:noWrap/>
            <w:vAlign w:val="center"/>
          </w:tcPr>
          <w:p w14:paraId="5BAAF9EB">
            <w:pPr>
              <w:pStyle w:val="557"/>
            </w:pPr>
            <w:r>
              <w:rPr>
                <w:rFonts w:hint="eastAsia"/>
              </w:rPr>
              <w:t>40</w:t>
            </w:r>
          </w:p>
        </w:tc>
        <w:tc>
          <w:tcPr>
            <w:tcW w:w="315" w:type="pct"/>
            <w:tcBorders>
              <w:top w:val="single" w:color="auto" w:sz="4" w:space="0"/>
              <w:left w:val="single" w:color="auto" w:sz="4" w:space="0"/>
              <w:bottom w:val="single" w:color="auto" w:sz="4" w:space="0"/>
              <w:right w:val="single" w:color="auto" w:sz="4" w:space="0"/>
            </w:tcBorders>
            <w:noWrap/>
            <w:vAlign w:val="center"/>
          </w:tcPr>
          <w:p w14:paraId="4942A408">
            <w:pPr>
              <w:pStyle w:val="557"/>
            </w:pPr>
            <w:r>
              <w:rPr>
                <w:rFonts w:hint="eastAsia"/>
              </w:rPr>
              <w:t>95</w:t>
            </w:r>
          </w:p>
        </w:tc>
        <w:tc>
          <w:tcPr>
            <w:tcW w:w="261" w:type="pct"/>
            <w:tcBorders>
              <w:top w:val="single" w:color="auto" w:sz="4" w:space="0"/>
              <w:left w:val="single" w:color="auto" w:sz="4" w:space="0"/>
              <w:bottom w:val="single" w:color="auto" w:sz="4" w:space="0"/>
              <w:right w:val="single" w:color="auto" w:sz="4" w:space="0"/>
            </w:tcBorders>
            <w:noWrap/>
            <w:vAlign w:val="center"/>
          </w:tcPr>
          <w:p w14:paraId="1C9BA3D2">
            <w:pPr>
              <w:pStyle w:val="557"/>
            </w:pPr>
            <w:r>
              <w:rPr>
                <w:rFonts w:hint="eastAsia"/>
              </w:rPr>
              <w:t>0.7</w:t>
            </w:r>
          </w:p>
        </w:tc>
        <w:tc>
          <w:tcPr>
            <w:tcW w:w="321" w:type="pct"/>
            <w:tcBorders>
              <w:top w:val="single" w:color="auto" w:sz="4" w:space="0"/>
              <w:left w:val="single" w:color="auto" w:sz="4" w:space="0"/>
              <w:bottom w:val="single" w:color="auto" w:sz="4" w:space="0"/>
              <w:right w:val="single" w:color="auto" w:sz="4" w:space="0"/>
            </w:tcBorders>
            <w:noWrap/>
            <w:vAlign w:val="center"/>
          </w:tcPr>
          <w:p w14:paraId="19E86BC2">
            <w:pPr>
              <w:pStyle w:val="557"/>
            </w:pPr>
            <w:r>
              <w:rPr>
                <w:rFonts w:hint="eastAsia"/>
              </w:rPr>
              <w:t>13</w:t>
            </w:r>
          </w:p>
        </w:tc>
        <w:tc>
          <w:tcPr>
            <w:tcW w:w="348" w:type="pct"/>
            <w:tcBorders>
              <w:top w:val="single" w:color="auto" w:sz="4" w:space="0"/>
              <w:left w:val="single" w:color="auto" w:sz="4" w:space="0"/>
              <w:bottom w:val="single" w:color="auto" w:sz="4" w:space="0"/>
              <w:right w:val="single" w:color="auto" w:sz="4" w:space="0"/>
            </w:tcBorders>
            <w:noWrap/>
            <w:vAlign w:val="center"/>
          </w:tcPr>
          <w:p w14:paraId="047ABB5C">
            <w:pPr>
              <w:pStyle w:val="557"/>
            </w:pPr>
            <w:r>
              <w:rPr>
                <w:rFonts w:hint="eastAsia"/>
              </w:rPr>
              <w:t>24200</w:t>
            </w:r>
          </w:p>
        </w:tc>
        <w:tc>
          <w:tcPr>
            <w:tcW w:w="248" w:type="pct"/>
            <w:tcBorders>
              <w:top w:val="single" w:color="auto" w:sz="4" w:space="0"/>
              <w:left w:val="single" w:color="auto" w:sz="4" w:space="0"/>
              <w:bottom w:val="single" w:color="auto" w:sz="4" w:space="0"/>
              <w:right w:val="single" w:color="auto" w:sz="4" w:space="0"/>
            </w:tcBorders>
            <w:noWrap/>
            <w:vAlign w:val="center"/>
          </w:tcPr>
          <w:p w14:paraId="73726FA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831E1C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CAEC0F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72EB13B">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552001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5D99200">
            <w:pPr>
              <w:pStyle w:val="557"/>
            </w:pPr>
            <w:r>
              <w:rPr>
                <w:rFonts w:hint="eastAsia"/>
              </w:rPr>
              <w:t>0.13</w:t>
            </w:r>
          </w:p>
        </w:tc>
        <w:tc>
          <w:tcPr>
            <w:tcW w:w="248" w:type="pct"/>
            <w:tcBorders>
              <w:top w:val="single" w:color="auto" w:sz="4" w:space="0"/>
              <w:left w:val="single" w:color="auto" w:sz="4" w:space="0"/>
              <w:bottom w:val="single" w:color="auto" w:sz="4" w:space="0"/>
              <w:right w:val="single" w:color="auto" w:sz="4" w:space="0"/>
            </w:tcBorders>
            <w:noWrap/>
            <w:vAlign w:val="center"/>
          </w:tcPr>
          <w:p w14:paraId="26C2CD3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A4767D6">
            <w:pPr>
              <w:pStyle w:val="557"/>
            </w:pPr>
            <w:r>
              <w:rPr>
                <w:rFonts w:hint="eastAsia"/>
              </w:rPr>
              <w:t>0.5775</w:t>
            </w:r>
          </w:p>
        </w:tc>
        <w:tc>
          <w:tcPr>
            <w:tcW w:w="252" w:type="pct"/>
            <w:tcBorders>
              <w:top w:val="single" w:color="auto" w:sz="4" w:space="0"/>
              <w:left w:val="single" w:color="auto" w:sz="4" w:space="0"/>
              <w:bottom w:val="single" w:color="auto" w:sz="4" w:space="0"/>
              <w:right w:val="single" w:color="auto" w:sz="4" w:space="0"/>
            </w:tcBorders>
            <w:vAlign w:val="center"/>
          </w:tcPr>
          <w:p w14:paraId="406740B4">
            <w:pPr>
              <w:pStyle w:val="557"/>
            </w:pPr>
            <w:r>
              <w:rPr>
                <w:rFonts w:hint="eastAsia"/>
              </w:rPr>
              <w:t>/</w:t>
            </w:r>
          </w:p>
        </w:tc>
      </w:tr>
      <w:tr w14:paraId="20AA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BBDC0C9">
            <w:pPr>
              <w:pStyle w:val="557"/>
            </w:pPr>
            <w:r>
              <w:t>6</w:t>
            </w:r>
          </w:p>
        </w:tc>
        <w:tc>
          <w:tcPr>
            <w:tcW w:w="835" w:type="pct"/>
            <w:tcBorders>
              <w:top w:val="single" w:color="auto" w:sz="4" w:space="0"/>
              <w:left w:val="single" w:color="auto" w:sz="4" w:space="0"/>
              <w:bottom w:val="single" w:color="auto" w:sz="4" w:space="0"/>
              <w:right w:val="single" w:color="auto" w:sz="4" w:space="0"/>
            </w:tcBorders>
            <w:noWrap/>
            <w:vAlign w:val="center"/>
          </w:tcPr>
          <w:p w14:paraId="6999D94D">
            <w:pPr>
              <w:pStyle w:val="557"/>
            </w:pPr>
            <w:r>
              <w:rPr>
                <w:rFonts w:hint="eastAsia"/>
              </w:rPr>
              <w:t>硫回收制酸尾气</w:t>
            </w:r>
          </w:p>
        </w:tc>
        <w:tc>
          <w:tcPr>
            <w:tcW w:w="209" w:type="pct"/>
            <w:tcBorders>
              <w:top w:val="single" w:color="auto" w:sz="4" w:space="0"/>
              <w:left w:val="single" w:color="auto" w:sz="4" w:space="0"/>
              <w:bottom w:val="single" w:color="auto" w:sz="4" w:space="0"/>
              <w:right w:val="single" w:color="auto" w:sz="4" w:space="0"/>
            </w:tcBorders>
            <w:noWrap/>
            <w:vAlign w:val="center"/>
          </w:tcPr>
          <w:p w14:paraId="4E324998">
            <w:pPr>
              <w:pStyle w:val="557"/>
            </w:pPr>
            <w:r>
              <w:rPr>
                <w:rFonts w:hint="eastAsia"/>
              </w:rPr>
              <w:t>-19</w:t>
            </w:r>
          </w:p>
        </w:tc>
        <w:tc>
          <w:tcPr>
            <w:tcW w:w="261" w:type="pct"/>
            <w:tcBorders>
              <w:top w:val="single" w:color="auto" w:sz="4" w:space="0"/>
              <w:left w:val="single" w:color="auto" w:sz="4" w:space="0"/>
              <w:bottom w:val="single" w:color="auto" w:sz="4" w:space="0"/>
              <w:right w:val="single" w:color="auto" w:sz="4" w:space="0"/>
            </w:tcBorders>
            <w:noWrap/>
            <w:vAlign w:val="center"/>
          </w:tcPr>
          <w:p w14:paraId="7A3E3843">
            <w:pPr>
              <w:pStyle w:val="557"/>
            </w:pPr>
            <w:r>
              <w:rPr>
                <w:rFonts w:hint="eastAsia"/>
              </w:rPr>
              <w:t>-72</w:t>
            </w:r>
          </w:p>
        </w:tc>
        <w:tc>
          <w:tcPr>
            <w:tcW w:w="315" w:type="pct"/>
            <w:tcBorders>
              <w:top w:val="single" w:color="auto" w:sz="4" w:space="0"/>
              <w:left w:val="single" w:color="auto" w:sz="4" w:space="0"/>
              <w:bottom w:val="single" w:color="auto" w:sz="4" w:space="0"/>
              <w:right w:val="single" w:color="auto" w:sz="4" w:space="0"/>
            </w:tcBorders>
            <w:noWrap/>
            <w:vAlign w:val="center"/>
          </w:tcPr>
          <w:p w14:paraId="40015FB2">
            <w:pPr>
              <w:pStyle w:val="557"/>
            </w:pPr>
            <w:r>
              <w:rPr>
                <w:rFonts w:hint="eastAsia"/>
              </w:rPr>
              <w:t>46</w:t>
            </w:r>
          </w:p>
        </w:tc>
        <w:tc>
          <w:tcPr>
            <w:tcW w:w="261" w:type="pct"/>
            <w:tcBorders>
              <w:top w:val="single" w:color="auto" w:sz="4" w:space="0"/>
              <w:left w:val="single" w:color="auto" w:sz="4" w:space="0"/>
              <w:bottom w:val="single" w:color="auto" w:sz="4" w:space="0"/>
              <w:right w:val="single" w:color="auto" w:sz="4" w:space="0"/>
            </w:tcBorders>
            <w:noWrap/>
            <w:vAlign w:val="center"/>
          </w:tcPr>
          <w:p w14:paraId="0FC10529">
            <w:pPr>
              <w:pStyle w:val="557"/>
            </w:pPr>
            <w:r>
              <w:rPr>
                <w:rFonts w:hint="eastAsia"/>
              </w:rPr>
              <w:t>0.7</w:t>
            </w:r>
          </w:p>
        </w:tc>
        <w:tc>
          <w:tcPr>
            <w:tcW w:w="321" w:type="pct"/>
            <w:tcBorders>
              <w:top w:val="single" w:color="auto" w:sz="4" w:space="0"/>
              <w:left w:val="single" w:color="auto" w:sz="4" w:space="0"/>
              <w:bottom w:val="single" w:color="auto" w:sz="4" w:space="0"/>
              <w:right w:val="single" w:color="auto" w:sz="4" w:space="0"/>
            </w:tcBorders>
            <w:noWrap/>
            <w:vAlign w:val="center"/>
          </w:tcPr>
          <w:p w14:paraId="7AEFB308">
            <w:pPr>
              <w:pStyle w:val="557"/>
            </w:pPr>
            <w:r>
              <w:rPr>
                <w:rFonts w:hint="eastAsia"/>
              </w:rPr>
              <w:t>50</w:t>
            </w:r>
          </w:p>
        </w:tc>
        <w:tc>
          <w:tcPr>
            <w:tcW w:w="348" w:type="pct"/>
            <w:tcBorders>
              <w:top w:val="single" w:color="auto" w:sz="4" w:space="0"/>
              <w:left w:val="single" w:color="auto" w:sz="4" w:space="0"/>
              <w:bottom w:val="single" w:color="auto" w:sz="4" w:space="0"/>
              <w:right w:val="single" w:color="auto" w:sz="4" w:space="0"/>
            </w:tcBorders>
            <w:noWrap/>
            <w:vAlign w:val="center"/>
          </w:tcPr>
          <w:p w14:paraId="58B44280">
            <w:pPr>
              <w:pStyle w:val="557"/>
            </w:pPr>
            <w:r>
              <w:rPr>
                <w:rFonts w:hint="eastAsia"/>
              </w:rPr>
              <w:t>11000</w:t>
            </w:r>
          </w:p>
        </w:tc>
        <w:tc>
          <w:tcPr>
            <w:tcW w:w="248" w:type="pct"/>
            <w:tcBorders>
              <w:top w:val="single" w:color="auto" w:sz="4" w:space="0"/>
              <w:left w:val="single" w:color="auto" w:sz="4" w:space="0"/>
              <w:bottom w:val="single" w:color="auto" w:sz="4" w:space="0"/>
              <w:right w:val="single" w:color="auto" w:sz="4" w:space="0"/>
            </w:tcBorders>
            <w:noWrap/>
            <w:vAlign w:val="center"/>
          </w:tcPr>
          <w:p w14:paraId="16680770">
            <w:pPr>
              <w:pStyle w:val="557"/>
            </w:pPr>
            <w:r>
              <w:rPr>
                <w:rFonts w:hint="eastAsia"/>
              </w:rPr>
              <w:t>2.02</w:t>
            </w:r>
          </w:p>
        </w:tc>
        <w:tc>
          <w:tcPr>
            <w:tcW w:w="248" w:type="pct"/>
            <w:tcBorders>
              <w:top w:val="single" w:color="auto" w:sz="4" w:space="0"/>
              <w:left w:val="single" w:color="auto" w:sz="4" w:space="0"/>
              <w:bottom w:val="single" w:color="auto" w:sz="4" w:space="0"/>
              <w:right w:val="single" w:color="auto" w:sz="4" w:space="0"/>
            </w:tcBorders>
            <w:noWrap/>
            <w:vAlign w:val="center"/>
          </w:tcPr>
          <w:p w14:paraId="2FF20C7C">
            <w:pPr>
              <w:pStyle w:val="557"/>
            </w:pPr>
            <w:r>
              <w:rPr>
                <w:rFonts w:hint="eastAsia"/>
              </w:rPr>
              <w:t>1.35</w:t>
            </w:r>
          </w:p>
        </w:tc>
        <w:tc>
          <w:tcPr>
            <w:tcW w:w="248" w:type="pct"/>
            <w:tcBorders>
              <w:top w:val="single" w:color="auto" w:sz="4" w:space="0"/>
              <w:left w:val="single" w:color="auto" w:sz="4" w:space="0"/>
              <w:bottom w:val="single" w:color="auto" w:sz="4" w:space="0"/>
              <w:right w:val="single" w:color="auto" w:sz="4" w:space="0"/>
            </w:tcBorders>
            <w:noWrap/>
            <w:vAlign w:val="center"/>
          </w:tcPr>
          <w:p w14:paraId="73D5BEB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A038D1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5486DD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6A9C92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A97FD3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3DB2650">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1959AF65">
            <w:pPr>
              <w:pStyle w:val="557"/>
            </w:pPr>
            <w:r>
              <w:rPr>
                <w:rFonts w:hint="eastAsia"/>
              </w:rPr>
              <w:t>0.29</w:t>
            </w:r>
          </w:p>
        </w:tc>
      </w:tr>
      <w:tr w14:paraId="3525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45D079F0">
            <w:pPr>
              <w:pStyle w:val="557"/>
            </w:pPr>
            <w:r>
              <w:t>7</w:t>
            </w:r>
          </w:p>
        </w:tc>
        <w:tc>
          <w:tcPr>
            <w:tcW w:w="835" w:type="pct"/>
            <w:tcBorders>
              <w:top w:val="single" w:color="auto" w:sz="4" w:space="0"/>
              <w:left w:val="single" w:color="auto" w:sz="4" w:space="0"/>
              <w:bottom w:val="single" w:color="auto" w:sz="4" w:space="0"/>
              <w:right w:val="single" w:color="auto" w:sz="4" w:space="0"/>
            </w:tcBorders>
            <w:noWrap/>
            <w:vAlign w:val="center"/>
          </w:tcPr>
          <w:p w14:paraId="69E2C87F">
            <w:pPr>
              <w:pStyle w:val="557"/>
            </w:pPr>
            <w:r>
              <w:rPr>
                <w:rFonts w:hint="eastAsia"/>
              </w:rPr>
              <w:t>草酰胺装置尾气吸收塔顶排气</w:t>
            </w:r>
          </w:p>
        </w:tc>
        <w:tc>
          <w:tcPr>
            <w:tcW w:w="209" w:type="pct"/>
            <w:tcBorders>
              <w:top w:val="single" w:color="auto" w:sz="4" w:space="0"/>
              <w:left w:val="single" w:color="auto" w:sz="4" w:space="0"/>
              <w:bottom w:val="single" w:color="auto" w:sz="4" w:space="0"/>
              <w:right w:val="single" w:color="auto" w:sz="4" w:space="0"/>
            </w:tcBorders>
            <w:noWrap/>
            <w:vAlign w:val="center"/>
          </w:tcPr>
          <w:p w14:paraId="3C32A7F3">
            <w:pPr>
              <w:pStyle w:val="557"/>
            </w:pPr>
            <w:r>
              <w:rPr>
                <w:rFonts w:hint="eastAsia"/>
              </w:rPr>
              <w:t>-318</w:t>
            </w:r>
          </w:p>
        </w:tc>
        <w:tc>
          <w:tcPr>
            <w:tcW w:w="261" w:type="pct"/>
            <w:tcBorders>
              <w:top w:val="single" w:color="auto" w:sz="4" w:space="0"/>
              <w:left w:val="single" w:color="auto" w:sz="4" w:space="0"/>
              <w:bottom w:val="single" w:color="auto" w:sz="4" w:space="0"/>
              <w:right w:val="single" w:color="auto" w:sz="4" w:space="0"/>
            </w:tcBorders>
            <w:noWrap/>
            <w:vAlign w:val="center"/>
          </w:tcPr>
          <w:p w14:paraId="7E61D9C2">
            <w:pPr>
              <w:pStyle w:val="557"/>
            </w:pPr>
            <w:r>
              <w:rPr>
                <w:rFonts w:hint="eastAsia"/>
              </w:rPr>
              <w:t>210</w:t>
            </w:r>
          </w:p>
        </w:tc>
        <w:tc>
          <w:tcPr>
            <w:tcW w:w="315" w:type="pct"/>
            <w:tcBorders>
              <w:top w:val="single" w:color="auto" w:sz="4" w:space="0"/>
              <w:left w:val="single" w:color="auto" w:sz="4" w:space="0"/>
              <w:bottom w:val="single" w:color="auto" w:sz="4" w:space="0"/>
              <w:right w:val="single" w:color="auto" w:sz="4" w:space="0"/>
            </w:tcBorders>
            <w:noWrap/>
            <w:vAlign w:val="center"/>
          </w:tcPr>
          <w:p w14:paraId="0AEBE86F">
            <w:pPr>
              <w:pStyle w:val="557"/>
            </w:pPr>
            <w:r>
              <w:rPr>
                <w:rFonts w:hint="eastAsia"/>
              </w:rPr>
              <w:t>25</w:t>
            </w:r>
          </w:p>
        </w:tc>
        <w:tc>
          <w:tcPr>
            <w:tcW w:w="261" w:type="pct"/>
            <w:tcBorders>
              <w:top w:val="single" w:color="auto" w:sz="4" w:space="0"/>
              <w:left w:val="single" w:color="auto" w:sz="4" w:space="0"/>
              <w:bottom w:val="single" w:color="auto" w:sz="4" w:space="0"/>
              <w:right w:val="single" w:color="auto" w:sz="4" w:space="0"/>
            </w:tcBorders>
            <w:noWrap/>
            <w:vAlign w:val="center"/>
          </w:tcPr>
          <w:p w14:paraId="17408EAB">
            <w:pPr>
              <w:pStyle w:val="557"/>
            </w:pPr>
            <w:r>
              <w:rPr>
                <w:rFonts w:hint="eastAsia"/>
              </w:rPr>
              <w:t>1.5</w:t>
            </w:r>
          </w:p>
        </w:tc>
        <w:tc>
          <w:tcPr>
            <w:tcW w:w="321" w:type="pct"/>
            <w:tcBorders>
              <w:top w:val="single" w:color="auto" w:sz="4" w:space="0"/>
              <w:left w:val="single" w:color="auto" w:sz="4" w:space="0"/>
              <w:bottom w:val="single" w:color="auto" w:sz="4" w:space="0"/>
              <w:right w:val="single" w:color="auto" w:sz="4" w:space="0"/>
            </w:tcBorders>
            <w:noWrap/>
            <w:vAlign w:val="center"/>
          </w:tcPr>
          <w:p w14:paraId="22ADED45">
            <w:pPr>
              <w:pStyle w:val="557"/>
            </w:pPr>
            <w:r>
              <w:rPr>
                <w:rFonts w:hint="eastAsia"/>
              </w:rPr>
              <w:t>18</w:t>
            </w:r>
          </w:p>
        </w:tc>
        <w:tc>
          <w:tcPr>
            <w:tcW w:w="348" w:type="pct"/>
            <w:tcBorders>
              <w:top w:val="single" w:color="auto" w:sz="4" w:space="0"/>
              <w:left w:val="single" w:color="auto" w:sz="4" w:space="0"/>
              <w:bottom w:val="single" w:color="auto" w:sz="4" w:space="0"/>
              <w:right w:val="single" w:color="auto" w:sz="4" w:space="0"/>
            </w:tcBorders>
            <w:noWrap/>
            <w:vAlign w:val="center"/>
          </w:tcPr>
          <w:p w14:paraId="05743DEC">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57782FA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8C8AD8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5B5CCB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A7A621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410EFC2">
            <w:pPr>
              <w:pStyle w:val="557"/>
            </w:pPr>
            <w:r>
              <w:rPr>
                <w:rFonts w:hint="eastAsia"/>
              </w:rPr>
              <w:t>0.014</w:t>
            </w:r>
          </w:p>
        </w:tc>
        <w:tc>
          <w:tcPr>
            <w:tcW w:w="248" w:type="pct"/>
            <w:tcBorders>
              <w:top w:val="single" w:color="auto" w:sz="4" w:space="0"/>
              <w:left w:val="single" w:color="auto" w:sz="4" w:space="0"/>
              <w:bottom w:val="single" w:color="auto" w:sz="4" w:space="0"/>
              <w:right w:val="single" w:color="auto" w:sz="4" w:space="0"/>
            </w:tcBorders>
            <w:noWrap/>
            <w:vAlign w:val="center"/>
          </w:tcPr>
          <w:p w14:paraId="08CAA73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17CC1B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A215FAE">
            <w:pPr>
              <w:pStyle w:val="557"/>
            </w:pPr>
            <w:r>
              <w:rPr>
                <w:rFonts w:hint="eastAsia"/>
              </w:rPr>
              <w:t>0.038</w:t>
            </w:r>
          </w:p>
        </w:tc>
        <w:tc>
          <w:tcPr>
            <w:tcW w:w="252" w:type="pct"/>
            <w:tcBorders>
              <w:top w:val="single" w:color="auto" w:sz="4" w:space="0"/>
              <w:left w:val="single" w:color="auto" w:sz="4" w:space="0"/>
              <w:bottom w:val="single" w:color="auto" w:sz="4" w:space="0"/>
              <w:right w:val="single" w:color="auto" w:sz="4" w:space="0"/>
            </w:tcBorders>
            <w:vAlign w:val="center"/>
          </w:tcPr>
          <w:p w14:paraId="3D605EE4">
            <w:pPr>
              <w:pStyle w:val="557"/>
            </w:pPr>
            <w:r>
              <w:rPr>
                <w:rFonts w:hint="eastAsia"/>
              </w:rPr>
              <w:t>/</w:t>
            </w:r>
          </w:p>
        </w:tc>
      </w:tr>
      <w:tr w14:paraId="5307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EFC671E">
            <w:pPr>
              <w:pStyle w:val="557"/>
            </w:pPr>
            <w:r>
              <w:t>8</w:t>
            </w:r>
          </w:p>
        </w:tc>
        <w:tc>
          <w:tcPr>
            <w:tcW w:w="835" w:type="pct"/>
            <w:tcBorders>
              <w:top w:val="single" w:color="auto" w:sz="4" w:space="0"/>
              <w:left w:val="single" w:color="auto" w:sz="4" w:space="0"/>
              <w:bottom w:val="single" w:color="auto" w:sz="4" w:space="0"/>
              <w:right w:val="single" w:color="auto" w:sz="4" w:space="0"/>
            </w:tcBorders>
            <w:noWrap/>
            <w:vAlign w:val="center"/>
          </w:tcPr>
          <w:p w14:paraId="640CD56B">
            <w:pPr>
              <w:pStyle w:val="557"/>
            </w:pPr>
            <w:r>
              <w:rPr>
                <w:rFonts w:hint="eastAsia"/>
              </w:rPr>
              <w:t>有机缓释肥装置-1#投料废气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5B645CE2">
            <w:pPr>
              <w:pStyle w:val="557"/>
            </w:pPr>
            <w:r>
              <w:rPr>
                <w:rFonts w:hint="eastAsia"/>
              </w:rPr>
              <w:t>-373</w:t>
            </w:r>
          </w:p>
        </w:tc>
        <w:tc>
          <w:tcPr>
            <w:tcW w:w="261" w:type="pct"/>
            <w:tcBorders>
              <w:top w:val="single" w:color="auto" w:sz="4" w:space="0"/>
              <w:left w:val="single" w:color="auto" w:sz="4" w:space="0"/>
              <w:bottom w:val="single" w:color="auto" w:sz="4" w:space="0"/>
              <w:right w:val="single" w:color="auto" w:sz="4" w:space="0"/>
            </w:tcBorders>
            <w:noWrap/>
            <w:vAlign w:val="center"/>
          </w:tcPr>
          <w:p w14:paraId="344C4356">
            <w:pPr>
              <w:pStyle w:val="557"/>
            </w:pPr>
            <w:r>
              <w:rPr>
                <w:rFonts w:hint="eastAsia"/>
              </w:rPr>
              <w:t>88</w:t>
            </w:r>
          </w:p>
        </w:tc>
        <w:tc>
          <w:tcPr>
            <w:tcW w:w="315" w:type="pct"/>
            <w:tcBorders>
              <w:top w:val="single" w:color="auto" w:sz="4" w:space="0"/>
              <w:left w:val="single" w:color="auto" w:sz="4" w:space="0"/>
              <w:bottom w:val="single" w:color="auto" w:sz="4" w:space="0"/>
              <w:right w:val="single" w:color="auto" w:sz="4" w:space="0"/>
            </w:tcBorders>
            <w:noWrap/>
            <w:vAlign w:val="center"/>
          </w:tcPr>
          <w:p w14:paraId="6CC01008">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1F340249">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29487C45">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5CD41D0F">
            <w:pPr>
              <w:pStyle w:val="557"/>
            </w:pPr>
            <w:r>
              <w:rPr>
                <w:rFonts w:hint="eastAsia"/>
              </w:rPr>
              <w:t>21500</w:t>
            </w:r>
          </w:p>
        </w:tc>
        <w:tc>
          <w:tcPr>
            <w:tcW w:w="248" w:type="pct"/>
            <w:tcBorders>
              <w:top w:val="single" w:color="auto" w:sz="4" w:space="0"/>
              <w:left w:val="single" w:color="auto" w:sz="4" w:space="0"/>
              <w:bottom w:val="single" w:color="auto" w:sz="4" w:space="0"/>
              <w:right w:val="single" w:color="auto" w:sz="4" w:space="0"/>
            </w:tcBorders>
            <w:noWrap/>
            <w:vAlign w:val="center"/>
          </w:tcPr>
          <w:p w14:paraId="506BB8E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FA1DB7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F6E85F5">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1E15D449">
            <w:pPr>
              <w:pStyle w:val="557"/>
            </w:pPr>
            <w:r>
              <w:rPr>
                <w:rFonts w:hint="eastAsia"/>
              </w:rPr>
              <w:t>0.1</w:t>
            </w:r>
          </w:p>
        </w:tc>
        <w:tc>
          <w:tcPr>
            <w:tcW w:w="248" w:type="pct"/>
            <w:tcBorders>
              <w:top w:val="single" w:color="auto" w:sz="4" w:space="0"/>
              <w:left w:val="single" w:color="auto" w:sz="4" w:space="0"/>
              <w:bottom w:val="single" w:color="auto" w:sz="4" w:space="0"/>
              <w:right w:val="single" w:color="auto" w:sz="4" w:space="0"/>
            </w:tcBorders>
            <w:noWrap/>
            <w:vAlign w:val="center"/>
          </w:tcPr>
          <w:p w14:paraId="467DA48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D1E794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51EB01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5575241">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71FB5C0E">
            <w:pPr>
              <w:pStyle w:val="557"/>
            </w:pPr>
            <w:r>
              <w:rPr>
                <w:rFonts w:hint="eastAsia"/>
              </w:rPr>
              <w:t>/</w:t>
            </w:r>
          </w:p>
        </w:tc>
      </w:tr>
      <w:tr w14:paraId="6F13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0E4ECF9">
            <w:pPr>
              <w:pStyle w:val="557"/>
            </w:pPr>
            <w:r>
              <w:t>9</w:t>
            </w:r>
          </w:p>
        </w:tc>
        <w:tc>
          <w:tcPr>
            <w:tcW w:w="835" w:type="pct"/>
            <w:tcBorders>
              <w:top w:val="single" w:color="auto" w:sz="4" w:space="0"/>
              <w:left w:val="single" w:color="auto" w:sz="4" w:space="0"/>
              <w:bottom w:val="single" w:color="auto" w:sz="4" w:space="0"/>
              <w:right w:val="single" w:color="auto" w:sz="4" w:space="0"/>
            </w:tcBorders>
            <w:noWrap/>
            <w:vAlign w:val="center"/>
          </w:tcPr>
          <w:p w14:paraId="4963F402">
            <w:pPr>
              <w:pStyle w:val="557"/>
            </w:pPr>
            <w:r>
              <w:rPr>
                <w:rFonts w:hint="eastAsia"/>
              </w:rPr>
              <w:t>2#投料废气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1A94CB9E">
            <w:pPr>
              <w:pStyle w:val="557"/>
            </w:pPr>
            <w:r>
              <w:rPr>
                <w:rFonts w:hint="eastAsia"/>
              </w:rPr>
              <w:t>-371</w:t>
            </w:r>
          </w:p>
        </w:tc>
        <w:tc>
          <w:tcPr>
            <w:tcW w:w="261" w:type="pct"/>
            <w:tcBorders>
              <w:top w:val="single" w:color="auto" w:sz="4" w:space="0"/>
              <w:left w:val="single" w:color="auto" w:sz="4" w:space="0"/>
              <w:bottom w:val="single" w:color="auto" w:sz="4" w:space="0"/>
              <w:right w:val="single" w:color="auto" w:sz="4" w:space="0"/>
            </w:tcBorders>
            <w:noWrap/>
            <w:vAlign w:val="center"/>
          </w:tcPr>
          <w:p w14:paraId="59542C89">
            <w:pPr>
              <w:pStyle w:val="557"/>
            </w:pPr>
            <w:r>
              <w:rPr>
                <w:rFonts w:hint="eastAsia"/>
              </w:rPr>
              <w:t>6</w:t>
            </w:r>
          </w:p>
        </w:tc>
        <w:tc>
          <w:tcPr>
            <w:tcW w:w="315" w:type="pct"/>
            <w:tcBorders>
              <w:top w:val="single" w:color="auto" w:sz="4" w:space="0"/>
              <w:left w:val="single" w:color="auto" w:sz="4" w:space="0"/>
              <w:bottom w:val="single" w:color="auto" w:sz="4" w:space="0"/>
              <w:right w:val="single" w:color="auto" w:sz="4" w:space="0"/>
            </w:tcBorders>
            <w:noWrap/>
            <w:vAlign w:val="center"/>
          </w:tcPr>
          <w:p w14:paraId="0D3D7032">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0905DB46">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40B9CD3E">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3303A1EF">
            <w:pPr>
              <w:pStyle w:val="557"/>
            </w:pPr>
            <w:r>
              <w:rPr>
                <w:rFonts w:hint="eastAsia"/>
              </w:rPr>
              <w:t>21500</w:t>
            </w:r>
          </w:p>
        </w:tc>
        <w:tc>
          <w:tcPr>
            <w:tcW w:w="248" w:type="pct"/>
            <w:tcBorders>
              <w:top w:val="single" w:color="auto" w:sz="4" w:space="0"/>
              <w:left w:val="single" w:color="auto" w:sz="4" w:space="0"/>
              <w:bottom w:val="single" w:color="auto" w:sz="4" w:space="0"/>
              <w:right w:val="single" w:color="auto" w:sz="4" w:space="0"/>
            </w:tcBorders>
            <w:noWrap/>
            <w:vAlign w:val="center"/>
          </w:tcPr>
          <w:p w14:paraId="2D68229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F02FF3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10612CA">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610B8421">
            <w:pPr>
              <w:pStyle w:val="557"/>
            </w:pPr>
            <w:r>
              <w:rPr>
                <w:rFonts w:hint="eastAsia"/>
              </w:rPr>
              <w:t>0.1</w:t>
            </w:r>
          </w:p>
        </w:tc>
        <w:tc>
          <w:tcPr>
            <w:tcW w:w="248" w:type="pct"/>
            <w:tcBorders>
              <w:top w:val="single" w:color="auto" w:sz="4" w:space="0"/>
              <w:left w:val="single" w:color="auto" w:sz="4" w:space="0"/>
              <w:bottom w:val="single" w:color="auto" w:sz="4" w:space="0"/>
              <w:right w:val="single" w:color="auto" w:sz="4" w:space="0"/>
            </w:tcBorders>
            <w:noWrap/>
            <w:vAlign w:val="center"/>
          </w:tcPr>
          <w:p w14:paraId="11D8E16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84BCB3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EBFC98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EA43EDA">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3E0C0B1C">
            <w:pPr>
              <w:pStyle w:val="557"/>
            </w:pPr>
            <w:r>
              <w:rPr>
                <w:rFonts w:hint="eastAsia"/>
              </w:rPr>
              <w:t>/</w:t>
            </w:r>
          </w:p>
        </w:tc>
      </w:tr>
      <w:tr w14:paraId="7C4C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486C45D5">
            <w:pPr>
              <w:pStyle w:val="557"/>
            </w:pPr>
            <w:r>
              <w:t>10</w:t>
            </w:r>
          </w:p>
        </w:tc>
        <w:tc>
          <w:tcPr>
            <w:tcW w:w="835" w:type="pct"/>
            <w:tcBorders>
              <w:top w:val="single" w:color="auto" w:sz="4" w:space="0"/>
              <w:left w:val="single" w:color="auto" w:sz="4" w:space="0"/>
              <w:bottom w:val="single" w:color="auto" w:sz="4" w:space="0"/>
              <w:right w:val="single" w:color="auto" w:sz="4" w:space="0"/>
            </w:tcBorders>
            <w:noWrap/>
            <w:vAlign w:val="center"/>
          </w:tcPr>
          <w:p w14:paraId="7CBFCB20">
            <w:pPr>
              <w:pStyle w:val="557"/>
            </w:pPr>
            <w:r>
              <w:rPr>
                <w:rFonts w:hint="eastAsia"/>
              </w:rPr>
              <w:t>1#-造粒废气、1#包装废气、1#烘干废气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64E08727">
            <w:pPr>
              <w:pStyle w:val="557"/>
            </w:pPr>
            <w:r>
              <w:rPr>
                <w:rFonts w:hint="eastAsia"/>
              </w:rPr>
              <w:t>-241</w:t>
            </w:r>
          </w:p>
        </w:tc>
        <w:tc>
          <w:tcPr>
            <w:tcW w:w="261" w:type="pct"/>
            <w:tcBorders>
              <w:top w:val="single" w:color="auto" w:sz="4" w:space="0"/>
              <w:left w:val="single" w:color="auto" w:sz="4" w:space="0"/>
              <w:bottom w:val="single" w:color="auto" w:sz="4" w:space="0"/>
              <w:right w:val="single" w:color="auto" w:sz="4" w:space="0"/>
            </w:tcBorders>
            <w:noWrap/>
            <w:vAlign w:val="center"/>
          </w:tcPr>
          <w:p w14:paraId="14ADDF2D">
            <w:pPr>
              <w:pStyle w:val="557"/>
            </w:pPr>
            <w:r>
              <w:rPr>
                <w:rFonts w:hint="eastAsia"/>
              </w:rPr>
              <w:t>-44</w:t>
            </w:r>
          </w:p>
        </w:tc>
        <w:tc>
          <w:tcPr>
            <w:tcW w:w="315" w:type="pct"/>
            <w:tcBorders>
              <w:top w:val="single" w:color="auto" w:sz="4" w:space="0"/>
              <w:left w:val="single" w:color="auto" w:sz="4" w:space="0"/>
              <w:bottom w:val="single" w:color="auto" w:sz="4" w:space="0"/>
              <w:right w:val="single" w:color="auto" w:sz="4" w:space="0"/>
            </w:tcBorders>
            <w:noWrap/>
            <w:vAlign w:val="center"/>
          </w:tcPr>
          <w:p w14:paraId="6D578C6C">
            <w:pPr>
              <w:pStyle w:val="557"/>
            </w:pPr>
            <w:r>
              <w:rPr>
                <w:rFonts w:hint="eastAsia"/>
              </w:rPr>
              <w:t>40</w:t>
            </w:r>
          </w:p>
        </w:tc>
        <w:tc>
          <w:tcPr>
            <w:tcW w:w="261" w:type="pct"/>
            <w:tcBorders>
              <w:top w:val="single" w:color="auto" w:sz="4" w:space="0"/>
              <w:left w:val="single" w:color="auto" w:sz="4" w:space="0"/>
              <w:bottom w:val="single" w:color="auto" w:sz="4" w:space="0"/>
              <w:right w:val="single" w:color="auto" w:sz="4" w:space="0"/>
            </w:tcBorders>
            <w:noWrap/>
            <w:vAlign w:val="center"/>
          </w:tcPr>
          <w:p w14:paraId="52B30B96">
            <w:pPr>
              <w:pStyle w:val="557"/>
            </w:pPr>
            <w:r>
              <w:rPr>
                <w:rFonts w:hint="eastAsia"/>
              </w:rPr>
              <w:t>1.8</w:t>
            </w:r>
          </w:p>
        </w:tc>
        <w:tc>
          <w:tcPr>
            <w:tcW w:w="321" w:type="pct"/>
            <w:tcBorders>
              <w:top w:val="single" w:color="auto" w:sz="4" w:space="0"/>
              <w:left w:val="single" w:color="auto" w:sz="4" w:space="0"/>
              <w:bottom w:val="single" w:color="auto" w:sz="4" w:space="0"/>
              <w:right w:val="single" w:color="auto" w:sz="4" w:space="0"/>
            </w:tcBorders>
            <w:noWrap/>
            <w:vAlign w:val="center"/>
          </w:tcPr>
          <w:p w14:paraId="39D0592D">
            <w:pPr>
              <w:pStyle w:val="557"/>
            </w:pPr>
            <w:r>
              <w:rPr>
                <w:rFonts w:hint="eastAsia"/>
              </w:rPr>
              <w:t>30</w:t>
            </w:r>
          </w:p>
        </w:tc>
        <w:tc>
          <w:tcPr>
            <w:tcW w:w="348" w:type="pct"/>
            <w:tcBorders>
              <w:top w:val="single" w:color="auto" w:sz="4" w:space="0"/>
              <w:left w:val="single" w:color="auto" w:sz="4" w:space="0"/>
              <w:bottom w:val="single" w:color="auto" w:sz="4" w:space="0"/>
              <w:right w:val="single" w:color="auto" w:sz="4" w:space="0"/>
            </w:tcBorders>
            <w:noWrap/>
            <w:vAlign w:val="center"/>
          </w:tcPr>
          <w:p w14:paraId="08F9EB78">
            <w:pPr>
              <w:pStyle w:val="557"/>
            </w:pPr>
            <w:r>
              <w:rPr>
                <w:rFonts w:hint="eastAsia"/>
              </w:rPr>
              <w:t>324000</w:t>
            </w:r>
          </w:p>
        </w:tc>
        <w:tc>
          <w:tcPr>
            <w:tcW w:w="248" w:type="pct"/>
            <w:tcBorders>
              <w:top w:val="single" w:color="auto" w:sz="4" w:space="0"/>
              <w:left w:val="single" w:color="auto" w:sz="4" w:space="0"/>
              <w:bottom w:val="single" w:color="auto" w:sz="4" w:space="0"/>
              <w:right w:val="single" w:color="auto" w:sz="4" w:space="0"/>
            </w:tcBorders>
            <w:noWrap/>
            <w:vAlign w:val="center"/>
          </w:tcPr>
          <w:p w14:paraId="76CAFF1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4A8B41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7112906">
            <w:pPr>
              <w:pStyle w:val="557"/>
            </w:pPr>
            <w:r>
              <w:rPr>
                <w:rFonts w:hint="eastAsia"/>
              </w:rPr>
              <w:t>5.95</w:t>
            </w:r>
          </w:p>
        </w:tc>
        <w:tc>
          <w:tcPr>
            <w:tcW w:w="248" w:type="pct"/>
            <w:tcBorders>
              <w:top w:val="single" w:color="auto" w:sz="4" w:space="0"/>
              <w:left w:val="single" w:color="auto" w:sz="4" w:space="0"/>
              <w:bottom w:val="single" w:color="auto" w:sz="4" w:space="0"/>
              <w:right w:val="single" w:color="auto" w:sz="4" w:space="0"/>
            </w:tcBorders>
            <w:noWrap/>
            <w:vAlign w:val="center"/>
          </w:tcPr>
          <w:p w14:paraId="285FA924">
            <w:pPr>
              <w:pStyle w:val="557"/>
            </w:pPr>
            <w:r>
              <w:rPr>
                <w:rFonts w:hint="eastAsia"/>
              </w:rPr>
              <w:t>2.98</w:t>
            </w:r>
          </w:p>
        </w:tc>
        <w:tc>
          <w:tcPr>
            <w:tcW w:w="248" w:type="pct"/>
            <w:tcBorders>
              <w:top w:val="single" w:color="auto" w:sz="4" w:space="0"/>
              <w:left w:val="single" w:color="auto" w:sz="4" w:space="0"/>
              <w:bottom w:val="single" w:color="auto" w:sz="4" w:space="0"/>
              <w:right w:val="single" w:color="auto" w:sz="4" w:space="0"/>
            </w:tcBorders>
            <w:noWrap/>
            <w:vAlign w:val="center"/>
          </w:tcPr>
          <w:p w14:paraId="78E89B5F">
            <w:pPr>
              <w:pStyle w:val="557"/>
            </w:pPr>
            <w:r>
              <w:rPr>
                <w:rFonts w:hint="eastAsia"/>
              </w:rPr>
              <w:t>0.49</w:t>
            </w:r>
          </w:p>
        </w:tc>
        <w:tc>
          <w:tcPr>
            <w:tcW w:w="248" w:type="pct"/>
            <w:tcBorders>
              <w:top w:val="single" w:color="auto" w:sz="4" w:space="0"/>
              <w:left w:val="single" w:color="auto" w:sz="4" w:space="0"/>
              <w:bottom w:val="single" w:color="auto" w:sz="4" w:space="0"/>
              <w:right w:val="single" w:color="auto" w:sz="4" w:space="0"/>
            </w:tcBorders>
            <w:noWrap/>
            <w:vAlign w:val="center"/>
          </w:tcPr>
          <w:p w14:paraId="0E9D8EC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D7B97D9">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197D5014">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7775C67C">
            <w:pPr>
              <w:pStyle w:val="557"/>
            </w:pPr>
            <w:r>
              <w:rPr>
                <w:rFonts w:hint="eastAsia"/>
              </w:rPr>
              <w:t>/</w:t>
            </w:r>
          </w:p>
        </w:tc>
      </w:tr>
      <w:tr w14:paraId="4767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1D936897">
            <w:pPr>
              <w:pStyle w:val="557"/>
            </w:pPr>
            <w:r>
              <w:t>11</w:t>
            </w:r>
          </w:p>
        </w:tc>
        <w:tc>
          <w:tcPr>
            <w:tcW w:w="835" w:type="pct"/>
            <w:tcBorders>
              <w:top w:val="single" w:color="auto" w:sz="4" w:space="0"/>
              <w:left w:val="single" w:color="auto" w:sz="4" w:space="0"/>
              <w:bottom w:val="single" w:color="auto" w:sz="4" w:space="0"/>
              <w:right w:val="single" w:color="auto" w:sz="4" w:space="0"/>
            </w:tcBorders>
            <w:noWrap/>
            <w:vAlign w:val="center"/>
          </w:tcPr>
          <w:p w14:paraId="3B202386">
            <w:pPr>
              <w:pStyle w:val="557"/>
            </w:pPr>
            <w:r>
              <w:rPr>
                <w:rFonts w:hint="eastAsia"/>
              </w:rPr>
              <w:t>2#-造粒废气、2#包装废气、3#烘干废气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5AFFAE22">
            <w:pPr>
              <w:pStyle w:val="557"/>
            </w:pPr>
            <w:r>
              <w:rPr>
                <w:rFonts w:hint="eastAsia"/>
              </w:rPr>
              <w:t>-273</w:t>
            </w:r>
          </w:p>
        </w:tc>
        <w:tc>
          <w:tcPr>
            <w:tcW w:w="261" w:type="pct"/>
            <w:tcBorders>
              <w:top w:val="single" w:color="auto" w:sz="4" w:space="0"/>
              <w:left w:val="single" w:color="auto" w:sz="4" w:space="0"/>
              <w:bottom w:val="single" w:color="auto" w:sz="4" w:space="0"/>
              <w:right w:val="single" w:color="auto" w:sz="4" w:space="0"/>
            </w:tcBorders>
            <w:noWrap/>
            <w:vAlign w:val="center"/>
          </w:tcPr>
          <w:p w14:paraId="1DC8421E">
            <w:pPr>
              <w:pStyle w:val="557"/>
            </w:pPr>
            <w:r>
              <w:rPr>
                <w:rFonts w:hint="eastAsia"/>
              </w:rPr>
              <w:t>-95</w:t>
            </w:r>
          </w:p>
        </w:tc>
        <w:tc>
          <w:tcPr>
            <w:tcW w:w="315" w:type="pct"/>
            <w:tcBorders>
              <w:top w:val="single" w:color="auto" w:sz="4" w:space="0"/>
              <w:left w:val="single" w:color="auto" w:sz="4" w:space="0"/>
              <w:bottom w:val="single" w:color="auto" w:sz="4" w:space="0"/>
              <w:right w:val="single" w:color="auto" w:sz="4" w:space="0"/>
            </w:tcBorders>
            <w:noWrap/>
            <w:vAlign w:val="center"/>
          </w:tcPr>
          <w:p w14:paraId="269D44BA">
            <w:pPr>
              <w:pStyle w:val="557"/>
            </w:pPr>
            <w:r>
              <w:rPr>
                <w:rFonts w:hint="eastAsia"/>
              </w:rPr>
              <w:t>40</w:t>
            </w:r>
          </w:p>
        </w:tc>
        <w:tc>
          <w:tcPr>
            <w:tcW w:w="261" w:type="pct"/>
            <w:tcBorders>
              <w:top w:val="single" w:color="auto" w:sz="4" w:space="0"/>
              <w:left w:val="single" w:color="auto" w:sz="4" w:space="0"/>
              <w:bottom w:val="single" w:color="auto" w:sz="4" w:space="0"/>
              <w:right w:val="single" w:color="auto" w:sz="4" w:space="0"/>
            </w:tcBorders>
            <w:noWrap/>
            <w:vAlign w:val="center"/>
          </w:tcPr>
          <w:p w14:paraId="7A626683">
            <w:pPr>
              <w:pStyle w:val="557"/>
            </w:pPr>
            <w:r>
              <w:rPr>
                <w:rFonts w:hint="eastAsia"/>
              </w:rPr>
              <w:t>1.8</w:t>
            </w:r>
          </w:p>
        </w:tc>
        <w:tc>
          <w:tcPr>
            <w:tcW w:w="321" w:type="pct"/>
            <w:tcBorders>
              <w:top w:val="single" w:color="auto" w:sz="4" w:space="0"/>
              <w:left w:val="single" w:color="auto" w:sz="4" w:space="0"/>
              <w:bottom w:val="single" w:color="auto" w:sz="4" w:space="0"/>
              <w:right w:val="single" w:color="auto" w:sz="4" w:space="0"/>
            </w:tcBorders>
            <w:noWrap/>
            <w:vAlign w:val="center"/>
          </w:tcPr>
          <w:p w14:paraId="2C03B2B7">
            <w:pPr>
              <w:pStyle w:val="557"/>
            </w:pPr>
            <w:r>
              <w:rPr>
                <w:rFonts w:hint="eastAsia"/>
              </w:rPr>
              <w:t>30</w:t>
            </w:r>
          </w:p>
        </w:tc>
        <w:tc>
          <w:tcPr>
            <w:tcW w:w="348" w:type="pct"/>
            <w:tcBorders>
              <w:top w:val="single" w:color="auto" w:sz="4" w:space="0"/>
              <w:left w:val="single" w:color="auto" w:sz="4" w:space="0"/>
              <w:bottom w:val="single" w:color="auto" w:sz="4" w:space="0"/>
              <w:right w:val="single" w:color="auto" w:sz="4" w:space="0"/>
            </w:tcBorders>
            <w:noWrap/>
            <w:vAlign w:val="center"/>
          </w:tcPr>
          <w:p w14:paraId="24EBEB87">
            <w:pPr>
              <w:pStyle w:val="557"/>
            </w:pPr>
            <w:r>
              <w:rPr>
                <w:rFonts w:hint="eastAsia"/>
              </w:rPr>
              <w:t>324000</w:t>
            </w:r>
          </w:p>
        </w:tc>
        <w:tc>
          <w:tcPr>
            <w:tcW w:w="248" w:type="pct"/>
            <w:tcBorders>
              <w:top w:val="single" w:color="auto" w:sz="4" w:space="0"/>
              <w:left w:val="single" w:color="auto" w:sz="4" w:space="0"/>
              <w:bottom w:val="single" w:color="auto" w:sz="4" w:space="0"/>
              <w:right w:val="single" w:color="auto" w:sz="4" w:space="0"/>
            </w:tcBorders>
            <w:noWrap/>
            <w:vAlign w:val="center"/>
          </w:tcPr>
          <w:p w14:paraId="09B753B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9144E4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B0AF039">
            <w:pPr>
              <w:pStyle w:val="557"/>
            </w:pPr>
            <w:r>
              <w:rPr>
                <w:rFonts w:hint="eastAsia"/>
              </w:rPr>
              <w:t>5.95</w:t>
            </w:r>
          </w:p>
        </w:tc>
        <w:tc>
          <w:tcPr>
            <w:tcW w:w="248" w:type="pct"/>
            <w:tcBorders>
              <w:top w:val="single" w:color="auto" w:sz="4" w:space="0"/>
              <w:left w:val="single" w:color="auto" w:sz="4" w:space="0"/>
              <w:bottom w:val="single" w:color="auto" w:sz="4" w:space="0"/>
              <w:right w:val="single" w:color="auto" w:sz="4" w:space="0"/>
            </w:tcBorders>
            <w:noWrap/>
            <w:vAlign w:val="center"/>
          </w:tcPr>
          <w:p w14:paraId="6DAEA806">
            <w:pPr>
              <w:pStyle w:val="557"/>
            </w:pPr>
            <w:r>
              <w:rPr>
                <w:rFonts w:hint="eastAsia"/>
              </w:rPr>
              <w:t>2.98</w:t>
            </w:r>
          </w:p>
        </w:tc>
        <w:tc>
          <w:tcPr>
            <w:tcW w:w="248" w:type="pct"/>
            <w:tcBorders>
              <w:top w:val="single" w:color="auto" w:sz="4" w:space="0"/>
              <w:left w:val="single" w:color="auto" w:sz="4" w:space="0"/>
              <w:bottom w:val="single" w:color="auto" w:sz="4" w:space="0"/>
              <w:right w:val="single" w:color="auto" w:sz="4" w:space="0"/>
            </w:tcBorders>
            <w:noWrap/>
            <w:vAlign w:val="center"/>
          </w:tcPr>
          <w:p w14:paraId="6070EEFB">
            <w:pPr>
              <w:pStyle w:val="557"/>
            </w:pPr>
            <w:r>
              <w:rPr>
                <w:rFonts w:hint="eastAsia"/>
              </w:rPr>
              <w:t>0.51</w:t>
            </w:r>
          </w:p>
        </w:tc>
        <w:tc>
          <w:tcPr>
            <w:tcW w:w="248" w:type="pct"/>
            <w:tcBorders>
              <w:top w:val="single" w:color="auto" w:sz="4" w:space="0"/>
              <w:left w:val="single" w:color="auto" w:sz="4" w:space="0"/>
              <w:bottom w:val="single" w:color="auto" w:sz="4" w:space="0"/>
              <w:right w:val="single" w:color="auto" w:sz="4" w:space="0"/>
            </w:tcBorders>
            <w:noWrap/>
            <w:vAlign w:val="center"/>
          </w:tcPr>
          <w:p w14:paraId="678CF650">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25D240D1">
            <w:pPr>
              <w:pStyle w:val="557"/>
            </w:pPr>
          </w:p>
        </w:tc>
        <w:tc>
          <w:tcPr>
            <w:tcW w:w="248" w:type="pct"/>
            <w:tcBorders>
              <w:top w:val="single" w:color="auto" w:sz="4" w:space="0"/>
              <w:left w:val="single" w:color="auto" w:sz="4" w:space="0"/>
              <w:bottom w:val="single" w:color="auto" w:sz="4" w:space="0"/>
              <w:right w:val="single" w:color="auto" w:sz="4" w:space="0"/>
            </w:tcBorders>
            <w:noWrap/>
            <w:vAlign w:val="center"/>
          </w:tcPr>
          <w:p w14:paraId="0E0D5F08">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320365DD">
            <w:pPr>
              <w:pStyle w:val="557"/>
            </w:pPr>
            <w:r>
              <w:rPr>
                <w:rFonts w:hint="eastAsia"/>
              </w:rPr>
              <w:t>/</w:t>
            </w:r>
          </w:p>
        </w:tc>
      </w:tr>
      <w:tr w14:paraId="7346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A8033F5">
            <w:pPr>
              <w:pStyle w:val="557"/>
            </w:pPr>
            <w:r>
              <w:t>12</w:t>
            </w:r>
          </w:p>
        </w:tc>
        <w:tc>
          <w:tcPr>
            <w:tcW w:w="835" w:type="pct"/>
            <w:tcBorders>
              <w:top w:val="single" w:color="auto" w:sz="4" w:space="0"/>
              <w:left w:val="single" w:color="auto" w:sz="4" w:space="0"/>
              <w:bottom w:val="single" w:color="auto" w:sz="4" w:space="0"/>
              <w:right w:val="single" w:color="auto" w:sz="4" w:space="0"/>
            </w:tcBorders>
            <w:noWrap/>
            <w:vAlign w:val="center"/>
          </w:tcPr>
          <w:p w14:paraId="535620FC">
            <w:pPr>
              <w:pStyle w:val="557"/>
            </w:pPr>
            <w:r>
              <w:rPr>
                <w:rFonts w:hint="eastAsia"/>
              </w:rPr>
              <w:t>1#冷却废气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2A3C3B5D">
            <w:pPr>
              <w:pStyle w:val="557"/>
            </w:pPr>
            <w:r>
              <w:rPr>
                <w:rFonts w:hint="eastAsia"/>
              </w:rPr>
              <w:t>-352</w:t>
            </w:r>
          </w:p>
        </w:tc>
        <w:tc>
          <w:tcPr>
            <w:tcW w:w="261" w:type="pct"/>
            <w:tcBorders>
              <w:top w:val="single" w:color="auto" w:sz="4" w:space="0"/>
              <w:left w:val="single" w:color="auto" w:sz="4" w:space="0"/>
              <w:bottom w:val="single" w:color="auto" w:sz="4" w:space="0"/>
              <w:right w:val="single" w:color="auto" w:sz="4" w:space="0"/>
            </w:tcBorders>
            <w:noWrap/>
            <w:vAlign w:val="center"/>
          </w:tcPr>
          <w:p w14:paraId="63BE3420">
            <w:pPr>
              <w:pStyle w:val="557"/>
            </w:pPr>
            <w:r>
              <w:rPr>
                <w:rFonts w:hint="eastAsia"/>
              </w:rPr>
              <w:t>-70</w:t>
            </w:r>
          </w:p>
        </w:tc>
        <w:tc>
          <w:tcPr>
            <w:tcW w:w="315" w:type="pct"/>
            <w:tcBorders>
              <w:top w:val="single" w:color="auto" w:sz="4" w:space="0"/>
              <w:left w:val="single" w:color="auto" w:sz="4" w:space="0"/>
              <w:bottom w:val="single" w:color="auto" w:sz="4" w:space="0"/>
              <w:right w:val="single" w:color="auto" w:sz="4" w:space="0"/>
            </w:tcBorders>
            <w:noWrap/>
            <w:vAlign w:val="center"/>
          </w:tcPr>
          <w:p w14:paraId="12E2AB8F">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1CDC5110">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4B1E8A8F">
            <w:pPr>
              <w:pStyle w:val="557"/>
            </w:pPr>
            <w:r>
              <w:rPr>
                <w:rFonts w:hint="eastAsia"/>
              </w:rPr>
              <w:t>20</w:t>
            </w:r>
          </w:p>
        </w:tc>
        <w:tc>
          <w:tcPr>
            <w:tcW w:w="348" w:type="pct"/>
            <w:tcBorders>
              <w:top w:val="single" w:color="auto" w:sz="4" w:space="0"/>
              <w:left w:val="single" w:color="auto" w:sz="4" w:space="0"/>
              <w:bottom w:val="single" w:color="auto" w:sz="4" w:space="0"/>
              <w:right w:val="single" w:color="auto" w:sz="4" w:space="0"/>
            </w:tcBorders>
            <w:noWrap/>
            <w:vAlign w:val="center"/>
          </w:tcPr>
          <w:p w14:paraId="6DB66F2E">
            <w:pPr>
              <w:pStyle w:val="557"/>
            </w:pPr>
            <w:r>
              <w:rPr>
                <w:rFonts w:hint="eastAsia"/>
              </w:rPr>
              <w:t>50000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0AD432B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9AB86C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45D6AE4">
            <w:pPr>
              <w:pStyle w:val="557"/>
            </w:pPr>
            <w:r>
              <w:rPr>
                <w:rFonts w:hint="eastAsia"/>
              </w:rPr>
              <w:t>0.0375</w:t>
            </w:r>
          </w:p>
        </w:tc>
        <w:tc>
          <w:tcPr>
            <w:tcW w:w="248" w:type="pct"/>
            <w:tcBorders>
              <w:top w:val="single" w:color="auto" w:sz="4" w:space="0"/>
              <w:left w:val="single" w:color="auto" w:sz="4" w:space="0"/>
              <w:bottom w:val="single" w:color="auto" w:sz="4" w:space="0"/>
              <w:right w:val="single" w:color="auto" w:sz="4" w:space="0"/>
            </w:tcBorders>
            <w:noWrap/>
            <w:vAlign w:val="center"/>
          </w:tcPr>
          <w:p w14:paraId="5EDA58F6">
            <w:pPr>
              <w:pStyle w:val="557"/>
            </w:pPr>
            <w:r>
              <w:rPr>
                <w:rFonts w:hint="eastAsia"/>
              </w:rPr>
              <w:t>0.01875</w:t>
            </w:r>
          </w:p>
        </w:tc>
        <w:tc>
          <w:tcPr>
            <w:tcW w:w="248" w:type="pct"/>
            <w:tcBorders>
              <w:top w:val="single" w:color="auto" w:sz="4" w:space="0"/>
              <w:left w:val="single" w:color="auto" w:sz="4" w:space="0"/>
              <w:bottom w:val="single" w:color="auto" w:sz="4" w:space="0"/>
              <w:right w:val="single" w:color="auto" w:sz="4" w:space="0"/>
            </w:tcBorders>
            <w:noWrap/>
            <w:vAlign w:val="center"/>
          </w:tcPr>
          <w:p w14:paraId="7993AEA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1A136D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0C1595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48CBE16">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06653247">
            <w:pPr>
              <w:pStyle w:val="557"/>
            </w:pPr>
            <w:r>
              <w:rPr>
                <w:rFonts w:hint="eastAsia"/>
              </w:rPr>
              <w:t>/</w:t>
            </w:r>
          </w:p>
        </w:tc>
      </w:tr>
      <w:tr w14:paraId="79C0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7532CAB5">
            <w:pPr>
              <w:pStyle w:val="557"/>
            </w:pPr>
            <w:r>
              <w:t>13</w:t>
            </w:r>
          </w:p>
        </w:tc>
        <w:tc>
          <w:tcPr>
            <w:tcW w:w="835" w:type="pct"/>
            <w:tcBorders>
              <w:top w:val="single" w:color="auto" w:sz="4" w:space="0"/>
              <w:left w:val="single" w:color="auto" w:sz="4" w:space="0"/>
              <w:bottom w:val="single" w:color="auto" w:sz="4" w:space="0"/>
              <w:right w:val="single" w:color="auto" w:sz="4" w:space="0"/>
            </w:tcBorders>
            <w:noWrap/>
            <w:vAlign w:val="center"/>
          </w:tcPr>
          <w:p w14:paraId="38977046">
            <w:pPr>
              <w:pStyle w:val="557"/>
            </w:pPr>
            <w:r>
              <w:rPr>
                <w:rFonts w:hint="eastAsia"/>
              </w:rPr>
              <w:t>2#冷却废气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24BB0446">
            <w:pPr>
              <w:pStyle w:val="557"/>
            </w:pPr>
            <w:r>
              <w:rPr>
                <w:rFonts w:hint="eastAsia"/>
              </w:rPr>
              <w:t>-354</w:t>
            </w:r>
          </w:p>
        </w:tc>
        <w:tc>
          <w:tcPr>
            <w:tcW w:w="261" w:type="pct"/>
            <w:tcBorders>
              <w:top w:val="single" w:color="auto" w:sz="4" w:space="0"/>
              <w:left w:val="single" w:color="auto" w:sz="4" w:space="0"/>
              <w:bottom w:val="single" w:color="auto" w:sz="4" w:space="0"/>
              <w:right w:val="single" w:color="auto" w:sz="4" w:space="0"/>
            </w:tcBorders>
            <w:noWrap/>
            <w:vAlign w:val="center"/>
          </w:tcPr>
          <w:p w14:paraId="359FB8EA">
            <w:pPr>
              <w:pStyle w:val="557"/>
            </w:pPr>
            <w:r>
              <w:rPr>
                <w:rFonts w:hint="eastAsia"/>
              </w:rPr>
              <w:t>-154</w:t>
            </w:r>
          </w:p>
        </w:tc>
        <w:tc>
          <w:tcPr>
            <w:tcW w:w="315" w:type="pct"/>
            <w:tcBorders>
              <w:top w:val="single" w:color="auto" w:sz="4" w:space="0"/>
              <w:left w:val="single" w:color="auto" w:sz="4" w:space="0"/>
              <w:bottom w:val="single" w:color="auto" w:sz="4" w:space="0"/>
              <w:right w:val="single" w:color="auto" w:sz="4" w:space="0"/>
            </w:tcBorders>
            <w:noWrap/>
            <w:vAlign w:val="center"/>
          </w:tcPr>
          <w:p w14:paraId="4B85A76C">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6174BFD6">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56F05A45">
            <w:pPr>
              <w:pStyle w:val="557"/>
            </w:pPr>
            <w:r>
              <w:rPr>
                <w:rFonts w:hint="eastAsia"/>
              </w:rPr>
              <w:t>20</w:t>
            </w:r>
          </w:p>
        </w:tc>
        <w:tc>
          <w:tcPr>
            <w:tcW w:w="348" w:type="pct"/>
            <w:tcBorders>
              <w:top w:val="single" w:color="auto" w:sz="4" w:space="0"/>
              <w:left w:val="single" w:color="auto" w:sz="4" w:space="0"/>
              <w:bottom w:val="single" w:color="auto" w:sz="4" w:space="0"/>
              <w:right w:val="single" w:color="auto" w:sz="4" w:space="0"/>
            </w:tcBorders>
            <w:noWrap/>
            <w:vAlign w:val="center"/>
          </w:tcPr>
          <w:p w14:paraId="5DC3E7A0">
            <w:pPr>
              <w:pStyle w:val="557"/>
            </w:pPr>
            <w:r>
              <w:rPr>
                <w:rFonts w:hint="eastAsia"/>
              </w:rPr>
              <w:t>50000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3F99C7C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9930C2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945A6E7">
            <w:pPr>
              <w:pStyle w:val="557"/>
            </w:pPr>
            <w:r>
              <w:rPr>
                <w:rFonts w:hint="eastAsia"/>
              </w:rPr>
              <w:t>0.0375</w:t>
            </w:r>
          </w:p>
        </w:tc>
        <w:tc>
          <w:tcPr>
            <w:tcW w:w="248" w:type="pct"/>
            <w:tcBorders>
              <w:top w:val="single" w:color="auto" w:sz="4" w:space="0"/>
              <w:left w:val="single" w:color="auto" w:sz="4" w:space="0"/>
              <w:bottom w:val="single" w:color="auto" w:sz="4" w:space="0"/>
              <w:right w:val="single" w:color="auto" w:sz="4" w:space="0"/>
            </w:tcBorders>
            <w:noWrap/>
            <w:vAlign w:val="center"/>
          </w:tcPr>
          <w:p w14:paraId="3020E65A">
            <w:pPr>
              <w:pStyle w:val="557"/>
            </w:pPr>
            <w:r>
              <w:rPr>
                <w:rFonts w:hint="eastAsia"/>
              </w:rPr>
              <w:t>0.01875</w:t>
            </w:r>
          </w:p>
        </w:tc>
        <w:tc>
          <w:tcPr>
            <w:tcW w:w="248" w:type="pct"/>
            <w:tcBorders>
              <w:top w:val="single" w:color="auto" w:sz="4" w:space="0"/>
              <w:left w:val="single" w:color="auto" w:sz="4" w:space="0"/>
              <w:bottom w:val="single" w:color="auto" w:sz="4" w:space="0"/>
              <w:right w:val="single" w:color="auto" w:sz="4" w:space="0"/>
            </w:tcBorders>
            <w:noWrap/>
            <w:vAlign w:val="center"/>
          </w:tcPr>
          <w:p w14:paraId="7931DCE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8F3FAA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2E2F09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734C598">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2E8D31E9">
            <w:pPr>
              <w:pStyle w:val="557"/>
            </w:pPr>
            <w:r>
              <w:rPr>
                <w:rFonts w:hint="eastAsia"/>
              </w:rPr>
              <w:t>/</w:t>
            </w:r>
          </w:p>
        </w:tc>
      </w:tr>
      <w:tr w14:paraId="0B5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684A19DE">
            <w:pPr>
              <w:pStyle w:val="557"/>
            </w:pPr>
            <w:r>
              <w:t>14</w:t>
            </w:r>
          </w:p>
        </w:tc>
        <w:tc>
          <w:tcPr>
            <w:tcW w:w="835" w:type="pct"/>
            <w:tcBorders>
              <w:top w:val="single" w:color="auto" w:sz="4" w:space="0"/>
              <w:left w:val="single" w:color="auto" w:sz="4" w:space="0"/>
              <w:bottom w:val="single" w:color="auto" w:sz="4" w:space="0"/>
              <w:right w:val="single" w:color="auto" w:sz="4" w:space="0"/>
            </w:tcBorders>
            <w:noWrap/>
            <w:vAlign w:val="center"/>
          </w:tcPr>
          <w:p w14:paraId="7DCF4D8F">
            <w:pPr>
              <w:pStyle w:val="557"/>
            </w:pPr>
            <w:r>
              <w:rPr>
                <w:rFonts w:hint="eastAsia"/>
              </w:rPr>
              <w:t>有机缓释肥装置加热炉废气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14DF6714">
            <w:pPr>
              <w:pStyle w:val="557"/>
            </w:pPr>
            <w:r>
              <w:rPr>
                <w:rFonts w:hint="eastAsia"/>
              </w:rPr>
              <w:t>-287</w:t>
            </w:r>
          </w:p>
        </w:tc>
        <w:tc>
          <w:tcPr>
            <w:tcW w:w="261" w:type="pct"/>
            <w:tcBorders>
              <w:top w:val="single" w:color="auto" w:sz="4" w:space="0"/>
              <w:left w:val="single" w:color="auto" w:sz="4" w:space="0"/>
              <w:bottom w:val="single" w:color="auto" w:sz="4" w:space="0"/>
              <w:right w:val="single" w:color="auto" w:sz="4" w:space="0"/>
            </w:tcBorders>
            <w:noWrap/>
            <w:vAlign w:val="center"/>
          </w:tcPr>
          <w:p w14:paraId="5982351E">
            <w:pPr>
              <w:pStyle w:val="557"/>
            </w:pPr>
            <w:r>
              <w:rPr>
                <w:rFonts w:hint="eastAsia"/>
              </w:rPr>
              <w:t>149</w:t>
            </w:r>
          </w:p>
        </w:tc>
        <w:tc>
          <w:tcPr>
            <w:tcW w:w="315" w:type="pct"/>
            <w:tcBorders>
              <w:top w:val="single" w:color="auto" w:sz="4" w:space="0"/>
              <w:left w:val="single" w:color="auto" w:sz="4" w:space="0"/>
              <w:bottom w:val="single" w:color="auto" w:sz="4" w:space="0"/>
              <w:right w:val="single" w:color="auto" w:sz="4" w:space="0"/>
            </w:tcBorders>
            <w:noWrap/>
            <w:vAlign w:val="center"/>
          </w:tcPr>
          <w:p w14:paraId="733CAB58">
            <w:pPr>
              <w:pStyle w:val="557"/>
            </w:pPr>
            <w:r>
              <w:rPr>
                <w:rFonts w:hint="eastAsia"/>
              </w:rPr>
              <w:t>30</w:t>
            </w:r>
          </w:p>
        </w:tc>
        <w:tc>
          <w:tcPr>
            <w:tcW w:w="261" w:type="pct"/>
            <w:tcBorders>
              <w:top w:val="single" w:color="auto" w:sz="4" w:space="0"/>
              <w:left w:val="single" w:color="auto" w:sz="4" w:space="0"/>
              <w:bottom w:val="single" w:color="auto" w:sz="4" w:space="0"/>
              <w:right w:val="single" w:color="auto" w:sz="4" w:space="0"/>
            </w:tcBorders>
            <w:noWrap/>
            <w:vAlign w:val="center"/>
          </w:tcPr>
          <w:p w14:paraId="79863AF0">
            <w:pPr>
              <w:pStyle w:val="557"/>
            </w:pPr>
            <w:r>
              <w:rPr>
                <w:rFonts w:hint="eastAsia"/>
              </w:rPr>
              <w:t>0.8</w:t>
            </w:r>
          </w:p>
        </w:tc>
        <w:tc>
          <w:tcPr>
            <w:tcW w:w="321" w:type="pct"/>
            <w:tcBorders>
              <w:top w:val="single" w:color="auto" w:sz="4" w:space="0"/>
              <w:left w:val="single" w:color="auto" w:sz="4" w:space="0"/>
              <w:bottom w:val="single" w:color="auto" w:sz="4" w:space="0"/>
              <w:right w:val="single" w:color="auto" w:sz="4" w:space="0"/>
            </w:tcBorders>
            <w:noWrap/>
            <w:vAlign w:val="center"/>
          </w:tcPr>
          <w:p w14:paraId="2D8FFFA7">
            <w:pPr>
              <w:pStyle w:val="557"/>
            </w:pPr>
            <w:r>
              <w:rPr>
                <w:rFonts w:hint="eastAsia"/>
              </w:rPr>
              <w:t>80</w:t>
            </w:r>
          </w:p>
        </w:tc>
        <w:tc>
          <w:tcPr>
            <w:tcW w:w="348" w:type="pct"/>
            <w:tcBorders>
              <w:top w:val="single" w:color="auto" w:sz="4" w:space="0"/>
              <w:left w:val="single" w:color="auto" w:sz="4" w:space="0"/>
              <w:bottom w:val="single" w:color="auto" w:sz="4" w:space="0"/>
              <w:right w:val="single" w:color="auto" w:sz="4" w:space="0"/>
            </w:tcBorders>
            <w:noWrap/>
            <w:vAlign w:val="center"/>
          </w:tcPr>
          <w:p w14:paraId="084F63E4">
            <w:pPr>
              <w:pStyle w:val="557"/>
            </w:pPr>
            <w:r>
              <w:rPr>
                <w:rFonts w:hint="eastAsia"/>
              </w:rPr>
              <w:t>8062.13</w:t>
            </w:r>
          </w:p>
        </w:tc>
        <w:tc>
          <w:tcPr>
            <w:tcW w:w="248" w:type="pct"/>
            <w:tcBorders>
              <w:top w:val="single" w:color="auto" w:sz="4" w:space="0"/>
              <w:left w:val="single" w:color="auto" w:sz="4" w:space="0"/>
              <w:bottom w:val="single" w:color="auto" w:sz="4" w:space="0"/>
              <w:right w:val="single" w:color="auto" w:sz="4" w:space="0"/>
            </w:tcBorders>
            <w:noWrap/>
            <w:vAlign w:val="center"/>
          </w:tcPr>
          <w:p w14:paraId="68B7DA79">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0453A15">
            <w:pPr>
              <w:pStyle w:val="557"/>
            </w:pPr>
            <w:r>
              <w:rPr>
                <w:rFonts w:hint="eastAsia"/>
              </w:rPr>
              <w:t>0.729</w:t>
            </w:r>
          </w:p>
        </w:tc>
        <w:tc>
          <w:tcPr>
            <w:tcW w:w="248" w:type="pct"/>
            <w:tcBorders>
              <w:top w:val="single" w:color="auto" w:sz="4" w:space="0"/>
              <w:left w:val="single" w:color="auto" w:sz="4" w:space="0"/>
              <w:bottom w:val="single" w:color="auto" w:sz="4" w:space="0"/>
              <w:right w:val="single" w:color="auto" w:sz="4" w:space="0"/>
            </w:tcBorders>
            <w:noWrap/>
            <w:vAlign w:val="center"/>
          </w:tcPr>
          <w:p w14:paraId="2AD22793">
            <w:pPr>
              <w:pStyle w:val="557"/>
            </w:pPr>
            <w:r>
              <w:rPr>
                <w:rFonts w:hint="eastAsia"/>
              </w:rPr>
              <w:t>0.4</w:t>
            </w:r>
          </w:p>
        </w:tc>
        <w:tc>
          <w:tcPr>
            <w:tcW w:w="248" w:type="pct"/>
            <w:tcBorders>
              <w:top w:val="single" w:color="auto" w:sz="4" w:space="0"/>
              <w:left w:val="single" w:color="auto" w:sz="4" w:space="0"/>
              <w:bottom w:val="single" w:color="auto" w:sz="4" w:space="0"/>
              <w:right w:val="single" w:color="auto" w:sz="4" w:space="0"/>
            </w:tcBorders>
            <w:noWrap/>
            <w:vAlign w:val="center"/>
          </w:tcPr>
          <w:p w14:paraId="5B44F443">
            <w:pPr>
              <w:pStyle w:val="557"/>
            </w:pPr>
            <w:r>
              <w:rPr>
                <w:rFonts w:hint="eastAsia"/>
              </w:rPr>
              <w:t>0.2</w:t>
            </w:r>
          </w:p>
        </w:tc>
        <w:tc>
          <w:tcPr>
            <w:tcW w:w="248" w:type="pct"/>
            <w:tcBorders>
              <w:top w:val="single" w:color="auto" w:sz="4" w:space="0"/>
              <w:left w:val="single" w:color="auto" w:sz="4" w:space="0"/>
              <w:bottom w:val="single" w:color="auto" w:sz="4" w:space="0"/>
              <w:right w:val="single" w:color="auto" w:sz="4" w:space="0"/>
            </w:tcBorders>
            <w:noWrap/>
            <w:vAlign w:val="center"/>
          </w:tcPr>
          <w:p w14:paraId="7F5BA19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952928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FCCA800">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955E92F">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0FDF7A2E">
            <w:pPr>
              <w:pStyle w:val="557"/>
            </w:pPr>
            <w:r>
              <w:rPr>
                <w:rFonts w:hint="eastAsia"/>
              </w:rPr>
              <w:t>/</w:t>
            </w:r>
          </w:p>
        </w:tc>
      </w:tr>
      <w:tr w14:paraId="327D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56FCBA8F">
            <w:pPr>
              <w:pStyle w:val="557"/>
            </w:pPr>
            <w:r>
              <w:t>15</w:t>
            </w:r>
          </w:p>
        </w:tc>
        <w:tc>
          <w:tcPr>
            <w:tcW w:w="835" w:type="pct"/>
            <w:tcBorders>
              <w:top w:val="single" w:color="auto" w:sz="4" w:space="0"/>
              <w:left w:val="single" w:color="auto" w:sz="4" w:space="0"/>
              <w:bottom w:val="single" w:color="auto" w:sz="4" w:space="0"/>
              <w:right w:val="single" w:color="auto" w:sz="4" w:space="0"/>
            </w:tcBorders>
            <w:noWrap/>
            <w:vAlign w:val="center"/>
          </w:tcPr>
          <w:p w14:paraId="388DF297">
            <w:pPr>
              <w:pStyle w:val="557"/>
            </w:pPr>
            <w:r>
              <w:rPr>
                <w:rFonts w:hint="eastAsia"/>
              </w:rPr>
              <w:t>污水处理站（有组织排放）</w:t>
            </w:r>
          </w:p>
        </w:tc>
        <w:tc>
          <w:tcPr>
            <w:tcW w:w="209" w:type="pct"/>
            <w:tcBorders>
              <w:top w:val="single" w:color="auto" w:sz="4" w:space="0"/>
              <w:left w:val="single" w:color="auto" w:sz="4" w:space="0"/>
              <w:bottom w:val="single" w:color="auto" w:sz="4" w:space="0"/>
              <w:right w:val="single" w:color="auto" w:sz="4" w:space="0"/>
            </w:tcBorders>
            <w:noWrap/>
            <w:vAlign w:val="center"/>
          </w:tcPr>
          <w:p w14:paraId="38A06140">
            <w:pPr>
              <w:pStyle w:val="557"/>
            </w:pPr>
            <w:r>
              <w:rPr>
                <w:rFonts w:hint="eastAsia"/>
              </w:rPr>
              <w:t>76</w:t>
            </w:r>
          </w:p>
        </w:tc>
        <w:tc>
          <w:tcPr>
            <w:tcW w:w="261" w:type="pct"/>
            <w:tcBorders>
              <w:top w:val="single" w:color="auto" w:sz="4" w:space="0"/>
              <w:left w:val="single" w:color="auto" w:sz="4" w:space="0"/>
              <w:bottom w:val="single" w:color="auto" w:sz="4" w:space="0"/>
              <w:right w:val="single" w:color="auto" w:sz="4" w:space="0"/>
            </w:tcBorders>
            <w:noWrap/>
            <w:vAlign w:val="center"/>
          </w:tcPr>
          <w:p w14:paraId="7BBF9848">
            <w:pPr>
              <w:pStyle w:val="557"/>
            </w:pPr>
            <w:r>
              <w:rPr>
                <w:rFonts w:hint="eastAsia"/>
              </w:rPr>
              <w:t>232</w:t>
            </w:r>
          </w:p>
        </w:tc>
        <w:tc>
          <w:tcPr>
            <w:tcW w:w="315" w:type="pct"/>
            <w:tcBorders>
              <w:top w:val="single" w:color="auto" w:sz="4" w:space="0"/>
              <w:left w:val="single" w:color="auto" w:sz="4" w:space="0"/>
              <w:bottom w:val="single" w:color="auto" w:sz="4" w:space="0"/>
              <w:right w:val="single" w:color="auto" w:sz="4" w:space="0"/>
            </w:tcBorders>
            <w:noWrap/>
            <w:vAlign w:val="center"/>
          </w:tcPr>
          <w:p w14:paraId="0041FFAA">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7EF9D9D2">
            <w:pPr>
              <w:pStyle w:val="557"/>
            </w:pPr>
            <w:r>
              <w:rPr>
                <w:rFonts w:hint="eastAsia"/>
              </w:rPr>
              <w:t>0.5</w:t>
            </w:r>
          </w:p>
        </w:tc>
        <w:tc>
          <w:tcPr>
            <w:tcW w:w="321" w:type="pct"/>
            <w:tcBorders>
              <w:top w:val="single" w:color="auto" w:sz="4" w:space="0"/>
              <w:left w:val="single" w:color="auto" w:sz="4" w:space="0"/>
              <w:bottom w:val="single" w:color="auto" w:sz="4" w:space="0"/>
              <w:right w:val="single" w:color="auto" w:sz="4" w:space="0"/>
            </w:tcBorders>
            <w:noWrap/>
            <w:vAlign w:val="center"/>
          </w:tcPr>
          <w:p w14:paraId="52264EEA">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22AE5860">
            <w:pPr>
              <w:pStyle w:val="557"/>
            </w:pPr>
            <w:r>
              <w:rPr>
                <w:rFonts w:hint="eastAsia"/>
              </w:rPr>
              <w:t>20000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15812DE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7CA8DE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0B3678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D96B8B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A396A85">
            <w:pPr>
              <w:pStyle w:val="557"/>
            </w:pPr>
            <w:r>
              <w:rPr>
                <w:rFonts w:hint="eastAsia"/>
              </w:rPr>
              <w:t>0.018</w:t>
            </w:r>
          </w:p>
        </w:tc>
        <w:tc>
          <w:tcPr>
            <w:tcW w:w="248" w:type="pct"/>
            <w:tcBorders>
              <w:top w:val="single" w:color="auto" w:sz="4" w:space="0"/>
              <w:left w:val="single" w:color="auto" w:sz="4" w:space="0"/>
              <w:bottom w:val="single" w:color="auto" w:sz="4" w:space="0"/>
              <w:right w:val="single" w:color="auto" w:sz="4" w:space="0"/>
            </w:tcBorders>
            <w:noWrap/>
            <w:vAlign w:val="center"/>
          </w:tcPr>
          <w:p w14:paraId="37B85DF0">
            <w:pPr>
              <w:pStyle w:val="557"/>
            </w:pPr>
            <w:r>
              <w:rPr>
                <w:rFonts w:hint="eastAsia"/>
              </w:rPr>
              <w:t>0.009</w:t>
            </w:r>
          </w:p>
        </w:tc>
        <w:tc>
          <w:tcPr>
            <w:tcW w:w="248" w:type="pct"/>
            <w:tcBorders>
              <w:top w:val="single" w:color="auto" w:sz="4" w:space="0"/>
              <w:left w:val="single" w:color="auto" w:sz="4" w:space="0"/>
              <w:bottom w:val="single" w:color="auto" w:sz="4" w:space="0"/>
              <w:right w:val="single" w:color="auto" w:sz="4" w:space="0"/>
            </w:tcBorders>
            <w:noWrap/>
            <w:vAlign w:val="center"/>
          </w:tcPr>
          <w:p w14:paraId="36F89010">
            <w:pPr>
              <w:pStyle w:val="557"/>
            </w:pPr>
            <w:r>
              <w:rPr>
                <w:rFonts w:hint="eastAsia"/>
              </w:rPr>
              <w:t>0.56</w:t>
            </w:r>
          </w:p>
        </w:tc>
        <w:tc>
          <w:tcPr>
            <w:tcW w:w="248" w:type="pct"/>
            <w:tcBorders>
              <w:top w:val="single" w:color="auto" w:sz="4" w:space="0"/>
              <w:left w:val="single" w:color="auto" w:sz="4" w:space="0"/>
              <w:bottom w:val="single" w:color="auto" w:sz="4" w:space="0"/>
              <w:right w:val="single" w:color="auto" w:sz="4" w:space="0"/>
            </w:tcBorders>
            <w:noWrap/>
            <w:vAlign w:val="center"/>
          </w:tcPr>
          <w:p w14:paraId="78BB8169">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4C60A3E9">
            <w:pPr>
              <w:pStyle w:val="557"/>
            </w:pPr>
            <w:r>
              <w:rPr>
                <w:rFonts w:hint="eastAsia"/>
              </w:rPr>
              <w:t>/</w:t>
            </w:r>
          </w:p>
        </w:tc>
      </w:tr>
      <w:tr w14:paraId="7586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212FB57">
            <w:pPr>
              <w:pStyle w:val="557"/>
            </w:pPr>
            <w:r>
              <w:t>16</w:t>
            </w:r>
          </w:p>
        </w:tc>
        <w:tc>
          <w:tcPr>
            <w:tcW w:w="835" w:type="pct"/>
            <w:tcBorders>
              <w:top w:val="single" w:color="auto" w:sz="4" w:space="0"/>
              <w:left w:val="single" w:color="auto" w:sz="4" w:space="0"/>
              <w:bottom w:val="single" w:color="auto" w:sz="4" w:space="0"/>
              <w:right w:val="single" w:color="auto" w:sz="4" w:space="0"/>
            </w:tcBorders>
            <w:noWrap/>
            <w:vAlign w:val="center"/>
          </w:tcPr>
          <w:p w14:paraId="2D40EEEE">
            <w:pPr>
              <w:pStyle w:val="557"/>
            </w:pPr>
            <w:r>
              <w:rPr>
                <w:rFonts w:hint="eastAsia"/>
              </w:rPr>
              <w:t>1#燃气锅炉</w:t>
            </w:r>
          </w:p>
        </w:tc>
        <w:tc>
          <w:tcPr>
            <w:tcW w:w="209" w:type="pct"/>
            <w:tcBorders>
              <w:top w:val="single" w:color="auto" w:sz="4" w:space="0"/>
              <w:left w:val="single" w:color="auto" w:sz="4" w:space="0"/>
              <w:bottom w:val="single" w:color="auto" w:sz="4" w:space="0"/>
              <w:right w:val="single" w:color="auto" w:sz="4" w:space="0"/>
            </w:tcBorders>
            <w:noWrap/>
            <w:vAlign w:val="center"/>
          </w:tcPr>
          <w:p w14:paraId="2F1AEE64">
            <w:pPr>
              <w:pStyle w:val="557"/>
            </w:pPr>
            <w:r>
              <w:rPr>
                <w:rFonts w:hint="eastAsia"/>
              </w:rPr>
              <w:t>-114</w:t>
            </w:r>
          </w:p>
        </w:tc>
        <w:tc>
          <w:tcPr>
            <w:tcW w:w="261" w:type="pct"/>
            <w:tcBorders>
              <w:top w:val="single" w:color="auto" w:sz="4" w:space="0"/>
              <w:left w:val="single" w:color="auto" w:sz="4" w:space="0"/>
              <w:bottom w:val="single" w:color="auto" w:sz="4" w:space="0"/>
              <w:right w:val="single" w:color="auto" w:sz="4" w:space="0"/>
            </w:tcBorders>
            <w:noWrap/>
            <w:vAlign w:val="center"/>
          </w:tcPr>
          <w:p w14:paraId="37383936">
            <w:pPr>
              <w:pStyle w:val="557"/>
            </w:pPr>
            <w:r>
              <w:rPr>
                <w:rFonts w:hint="eastAsia"/>
              </w:rPr>
              <w:t>-84</w:t>
            </w:r>
          </w:p>
        </w:tc>
        <w:tc>
          <w:tcPr>
            <w:tcW w:w="315" w:type="pct"/>
            <w:tcBorders>
              <w:top w:val="single" w:color="auto" w:sz="4" w:space="0"/>
              <w:left w:val="single" w:color="auto" w:sz="4" w:space="0"/>
              <w:bottom w:val="single" w:color="auto" w:sz="4" w:space="0"/>
              <w:right w:val="single" w:color="auto" w:sz="4" w:space="0"/>
            </w:tcBorders>
            <w:noWrap/>
            <w:vAlign w:val="center"/>
          </w:tcPr>
          <w:p w14:paraId="02F7A004">
            <w:pPr>
              <w:pStyle w:val="557"/>
            </w:pPr>
            <w:r>
              <w:rPr>
                <w:rFonts w:hint="eastAsia"/>
              </w:rPr>
              <w:t>35</w:t>
            </w:r>
          </w:p>
        </w:tc>
        <w:tc>
          <w:tcPr>
            <w:tcW w:w="261" w:type="pct"/>
            <w:tcBorders>
              <w:top w:val="single" w:color="auto" w:sz="4" w:space="0"/>
              <w:left w:val="single" w:color="auto" w:sz="4" w:space="0"/>
              <w:bottom w:val="single" w:color="auto" w:sz="4" w:space="0"/>
              <w:right w:val="single" w:color="auto" w:sz="4" w:space="0"/>
            </w:tcBorders>
            <w:noWrap/>
            <w:vAlign w:val="center"/>
          </w:tcPr>
          <w:p w14:paraId="70C2734C">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6ECE0D24">
            <w:pPr>
              <w:pStyle w:val="557"/>
            </w:pPr>
            <w:r>
              <w:rPr>
                <w:rFonts w:hint="eastAsia"/>
              </w:rPr>
              <w:t>135</w:t>
            </w:r>
          </w:p>
        </w:tc>
        <w:tc>
          <w:tcPr>
            <w:tcW w:w="348" w:type="pct"/>
            <w:tcBorders>
              <w:top w:val="single" w:color="auto" w:sz="4" w:space="0"/>
              <w:left w:val="single" w:color="auto" w:sz="4" w:space="0"/>
              <w:bottom w:val="single" w:color="auto" w:sz="4" w:space="0"/>
              <w:right w:val="single" w:color="auto" w:sz="4" w:space="0"/>
            </w:tcBorders>
            <w:noWrap/>
            <w:vAlign w:val="center"/>
          </w:tcPr>
          <w:p w14:paraId="71DB0973">
            <w:pPr>
              <w:pStyle w:val="557"/>
            </w:pPr>
            <w:r>
              <w:rPr>
                <w:rFonts w:hint="eastAsia"/>
              </w:rPr>
              <w:t>146130.3</w:t>
            </w:r>
          </w:p>
        </w:tc>
        <w:tc>
          <w:tcPr>
            <w:tcW w:w="248" w:type="pct"/>
            <w:tcBorders>
              <w:top w:val="single" w:color="auto" w:sz="4" w:space="0"/>
              <w:left w:val="single" w:color="auto" w:sz="4" w:space="0"/>
              <w:bottom w:val="single" w:color="auto" w:sz="4" w:space="0"/>
              <w:right w:val="single" w:color="auto" w:sz="4" w:space="0"/>
            </w:tcBorders>
            <w:noWrap/>
            <w:vAlign w:val="center"/>
          </w:tcPr>
          <w:p w14:paraId="7B0665D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F7E5DBF">
            <w:pPr>
              <w:pStyle w:val="557"/>
            </w:pPr>
            <w:r>
              <w:rPr>
                <w:rFonts w:hint="eastAsia"/>
              </w:rPr>
              <w:t>1.539</w:t>
            </w:r>
          </w:p>
        </w:tc>
        <w:tc>
          <w:tcPr>
            <w:tcW w:w="248" w:type="pct"/>
            <w:tcBorders>
              <w:top w:val="single" w:color="auto" w:sz="4" w:space="0"/>
              <w:left w:val="single" w:color="auto" w:sz="4" w:space="0"/>
              <w:bottom w:val="single" w:color="auto" w:sz="4" w:space="0"/>
              <w:right w:val="single" w:color="auto" w:sz="4" w:space="0"/>
            </w:tcBorders>
            <w:noWrap/>
            <w:vAlign w:val="center"/>
          </w:tcPr>
          <w:p w14:paraId="6DDF4479">
            <w:pPr>
              <w:pStyle w:val="557"/>
            </w:pPr>
            <w:r>
              <w:rPr>
                <w:rFonts w:hint="eastAsia"/>
              </w:rPr>
              <w:t>0.76</w:t>
            </w:r>
          </w:p>
        </w:tc>
        <w:tc>
          <w:tcPr>
            <w:tcW w:w="248" w:type="pct"/>
            <w:tcBorders>
              <w:top w:val="single" w:color="auto" w:sz="4" w:space="0"/>
              <w:left w:val="single" w:color="auto" w:sz="4" w:space="0"/>
              <w:bottom w:val="single" w:color="auto" w:sz="4" w:space="0"/>
              <w:right w:val="single" w:color="auto" w:sz="4" w:space="0"/>
            </w:tcBorders>
            <w:noWrap/>
            <w:vAlign w:val="center"/>
          </w:tcPr>
          <w:p w14:paraId="2952B8DD">
            <w:pPr>
              <w:pStyle w:val="557"/>
            </w:pPr>
            <w:r>
              <w:rPr>
                <w:rFonts w:hint="eastAsia"/>
              </w:rPr>
              <w:t>0.38</w:t>
            </w:r>
          </w:p>
        </w:tc>
        <w:tc>
          <w:tcPr>
            <w:tcW w:w="248" w:type="pct"/>
            <w:tcBorders>
              <w:top w:val="single" w:color="auto" w:sz="4" w:space="0"/>
              <w:left w:val="single" w:color="auto" w:sz="4" w:space="0"/>
              <w:bottom w:val="single" w:color="auto" w:sz="4" w:space="0"/>
              <w:right w:val="single" w:color="auto" w:sz="4" w:space="0"/>
            </w:tcBorders>
            <w:noWrap/>
            <w:vAlign w:val="center"/>
          </w:tcPr>
          <w:p w14:paraId="658AC72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8063CD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257F31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316B3E5">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5900248B">
            <w:pPr>
              <w:pStyle w:val="557"/>
            </w:pPr>
            <w:r>
              <w:rPr>
                <w:rFonts w:hint="eastAsia"/>
              </w:rPr>
              <w:t>/</w:t>
            </w:r>
          </w:p>
        </w:tc>
      </w:tr>
      <w:tr w14:paraId="4EB1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4E6148D6">
            <w:pPr>
              <w:pStyle w:val="557"/>
            </w:pPr>
            <w:r>
              <w:t>17</w:t>
            </w:r>
          </w:p>
        </w:tc>
        <w:tc>
          <w:tcPr>
            <w:tcW w:w="835" w:type="pct"/>
            <w:tcBorders>
              <w:top w:val="single" w:color="auto" w:sz="4" w:space="0"/>
              <w:left w:val="single" w:color="auto" w:sz="4" w:space="0"/>
              <w:bottom w:val="single" w:color="auto" w:sz="4" w:space="0"/>
              <w:right w:val="single" w:color="auto" w:sz="4" w:space="0"/>
            </w:tcBorders>
            <w:noWrap/>
            <w:vAlign w:val="center"/>
          </w:tcPr>
          <w:p w14:paraId="05341156">
            <w:pPr>
              <w:pStyle w:val="557"/>
            </w:pPr>
            <w:r>
              <w:rPr>
                <w:rFonts w:hint="eastAsia"/>
              </w:rPr>
              <w:t>2#燃气锅炉</w:t>
            </w:r>
          </w:p>
        </w:tc>
        <w:tc>
          <w:tcPr>
            <w:tcW w:w="209" w:type="pct"/>
            <w:tcBorders>
              <w:top w:val="single" w:color="auto" w:sz="4" w:space="0"/>
              <w:left w:val="single" w:color="auto" w:sz="4" w:space="0"/>
              <w:bottom w:val="single" w:color="auto" w:sz="4" w:space="0"/>
              <w:right w:val="single" w:color="auto" w:sz="4" w:space="0"/>
            </w:tcBorders>
            <w:noWrap/>
            <w:vAlign w:val="center"/>
          </w:tcPr>
          <w:p w14:paraId="3989D0AE">
            <w:pPr>
              <w:pStyle w:val="557"/>
            </w:pPr>
            <w:r>
              <w:rPr>
                <w:rFonts w:hint="eastAsia"/>
              </w:rPr>
              <w:t>-116</w:t>
            </w:r>
          </w:p>
        </w:tc>
        <w:tc>
          <w:tcPr>
            <w:tcW w:w="261" w:type="pct"/>
            <w:tcBorders>
              <w:top w:val="single" w:color="auto" w:sz="4" w:space="0"/>
              <w:left w:val="single" w:color="auto" w:sz="4" w:space="0"/>
              <w:bottom w:val="single" w:color="auto" w:sz="4" w:space="0"/>
              <w:right w:val="single" w:color="auto" w:sz="4" w:space="0"/>
            </w:tcBorders>
            <w:noWrap/>
            <w:vAlign w:val="center"/>
          </w:tcPr>
          <w:p w14:paraId="77178524">
            <w:pPr>
              <w:pStyle w:val="557"/>
            </w:pPr>
            <w:r>
              <w:rPr>
                <w:rFonts w:hint="eastAsia"/>
              </w:rPr>
              <w:t>-146</w:t>
            </w:r>
          </w:p>
        </w:tc>
        <w:tc>
          <w:tcPr>
            <w:tcW w:w="315" w:type="pct"/>
            <w:tcBorders>
              <w:top w:val="single" w:color="auto" w:sz="4" w:space="0"/>
              <w:left w:val="single" w:color="auto" w:sz="4" w:space="0"/>
              <w:bottom w:val="single" w:color="auto" w:sz="4" w:space="0"/>
              <w:right w:val="single" w:color="auto" w:sz="4" w:space="0"/>
            </w:tcBorders>
            <w:noWrap/>
            <w:vAlign w:val="center"/>
          </w:tcPr>
          <w:p w14:paraId="5C5B9F6D">
            <w:pPr>
              <w:pStyle w:val="557"/>
            </w:pPr>
            <w:r>
              <w:rPr>
                <w:rFonts w:hint="eastAsia"/>
              </w:rPr>
              <w:t>35</w:t>
            </w:r>
          </w:p>
        </w:tc>
        <w:tc>
          <w:tcPr>
            <w:tcW w:w="261" w:type="pct"/>
            <w:tcBorders>
              <w:top w:val="single" w:color="auto" w:sz="4" w:space="0"/>
              <w:left w:val="single" w:color="auto" w:sz="4" w:space="0"/>
              <w:bottom w:val="single" w:color="auto" w:sz="4" w:space="0"/>
              <w:right w:val="single" w:color="auto" w:sz="4" w:space="0"/>
            </w:tcBorders>
            <w:noWrap/>
            <w:vAlign w:val="center"/>
          </w:tcPr>
          <w:p w14:paraId="4200016C">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15436A7F">
            <w:pPr>
              <w:pStyle w:val="557"/>
            </w:pPr>
            <w:r>
              <w:rPr>
                <w:rFonts w:hint="eastAsia"/>
              </w:rPr>
              <w:t>135</w:t>
            </w:r>
          </w:p>
        </w:tc>
        <w:tc>
          <w:tcPr>
            <w:tcW w:w="348" w:type="pct"/>
            <w:tcBorders>
              <w:top w:val="single" w:color="auto" w:sz="4" w:space="0"/>
              <w:left w:val="single" w:color="auto" w:sz="4" w:space="0"/>
              <w:bottom w:val="single" w:color="auto" w:sz="4" w:space="0"/>
              <w:right w:val="single" w:color="auto" w:sz="4" w:space="0"/>
            </w:tcBorders>
            <w:noWrap/>
            <w:vAlign w:val="center"/>
          </w:tcPr>
          <w:p w14:paraId="565950F1">
            <w:pPr>
              <w:pStyle w:val="557"/>
            </w:pPr>
            <w:r>
              <w:rPr>
                <w:rFonts w:hint="eastAsia"/>
              </w:rPr>
              <w:t>146130.3</w:t>
            </w:r>
          </w:p>
        </w:tc>
        <w:tc>
          <w:tcPr>
            <w:tcW w:w="248" w:type="pct"/>
            <w:tcBorders>
              <w:top w:val="single" w:color="auto" w:sz="4" w:space="0"/>
              <w:left w:val="single" w:color="auto" w:sz="4" w:space="0"/>
              <w:bottom w:val="single" w:color="auto" w:sz="4" w:space="0"/>
              <w:right w:val="single" w:color="auto" w:sz="4" w:space="0"/>
            </w:tcBorders>
            <w:noWrap/>
            <w:vAlign w:val="center"/>
          </w:tcPr>
          <w:p w14:paraId="3B83205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07C8DF0">
            <w:pPr>
              <w:pStyle w:val="557"/>
            </w:pPr>
            <w:r>
              <w:rPr>
                <w:rFonts w:hint="eastAsia"/>
              </w:rPr>
              <w:t>1.539</w:t>
            </w:r>
          </w:p>
        </w:tc>
        <w:tc>
          <w:tcPr>
            <w:tcW w:w="248" w:type="pct"/>
            <w:tcBorders>
              <w:top w:val="single" w:color="auto" w:sz="4" w:space="0"/>
              <w:left w:val="single" w:color="auto" w:sz="4" w:space="0"/>
              <w:bottom w:val="single" w:color="auto" w:sz="4" w:space="0"/>
              <w:right w:val="single" w:color="auto" w:sz="4" w:space="0"/>
            </w:tcBorders>
            <w:noWrap/>
            <w:vAlign w:val="center"/>
          </w:tcPr>
          <w:p w14:paraId="355DEBFB">
            <w:pPr>
              <w:pStyle w:val="557"/>
            </w:pPr>
            <w:r>
              <w:rPr>
                <w:rFonts w:hint="eastAsia"/>
              </w:rPr>
              <w:t>0.76</w:t>
            </w:r>
          </w:p>
        </w:tc>
        <w:tc>
          <w:tcPr>
            <w:tcW w:w="248" w:type="pct"/>
            <w:tcBorders>
              <w:top w:val="single" w:color="auto" w:sz="4" w:space="0"/>
              <w:left w:val="single" w:color="auto" w:sz="4" w:space="0"/>
              <w:bottom w:val="single" w:color="auto" w:sz="4" w:space="0"/>
              <w:right w:val="single" w:color="auto" w:sz="4" w:space="0"/>
            </w:tcBorders>
            <w:noWrap/>
            <w:vAlign w:val="center"/>
          </w:tcPr>
          <w:p w14:paraId="6F32D412">
            <w:pPr>
              <w:pStyle w:val="557"/>
            </w:pPr>
            <w:r>
              <w:rPr>
                <w:rFonts w:hint="eastAsia"/>
              </w:rPr>
              <w:t>0.38</w:t>
            </w:r>
          </w:p>
        </w:tc>
        <w:tc>
          <w:tcPr>
            <w:tcW w:w="248" w:type="pct"/>
            <w:tcBorders>
              <w:top w:val="single" w:color="auto" w:sz="4" w:space="0"/>
              <w:left w:val="single" w:color="auto" w:sz="4" w:space="0"/>
              <w:bottom w:val="single" w:color="auto" w:sz="4" w:space="0"/>
              <w:right w:val="single" w:color="auto" w:sz="4" w:space="0"/>
            </w:tcBorders>
            <w:noWrap/>
            <w:vAlign w:val="center"/>
          </w:tcPr>
          <w:p w14:paraId="0BFEB938">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614446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291F473">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45B9402">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4849B4FE">
            <w:pPr>
              <w:pStyle w:val="557"/>
            </w:pPr>
            <w:r>
              <w:rPr>
                <w:rFonts w:hint="eastAsia"/>
              </w:rPr>
              <w:t>/</w:t>
            </w:r>
          </w:p>
        </w:tc>
      </w:tr>
      <w:tr w14:paraId="22C8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29005E7">
            <w:pPr>
              <w:pStyle w:val="557"/>
            </w:pPr>
            <w:r>
              <w:t>18</w:t>
            </w:r>
          </w:p>
        </w:tc>
        <w:tc>
          <w:tcPr>
            <w:tcW w:w="835" w:type="pct"/>
            <w:tcBorders>
              <w:top w:val="single" w:color="auto" w:sz="4" w:space="0"/>
              <w:left w:val="single" w:color="auto" w:sz="4" w:space="0"/>
              <w:bottom w:val="single" w:color="auto" w:sz="4" w:space="0"/>
              <w:right w:val="single" w:color="auto" w:sz="4" w:space="0"/>
            </w:tcBorders>
            <w:noWrap/>
            <w:vAlign w:val="center"/>
          </w:tcPr>
          <w:p w14:paraId="6A3F1774">
            <w:pPr>
              <w:pStyle w:val="557"/>
            </w:pPr>
            <w:r>
              <w:rPr>
                <w:rFonts w:hint="eastAsia"/>
              </w:rPr>
              <w:t>筛分破碎废气</w:t>
            </w:r>
          </w:p>
        </w:tc>
        <w:tc>
          <w:tcPr>
            <w:tcW w:w="209" w:type="pct"/>
            <w:tcBorders>
              <w:top w:val="single" w:color="auto" w:sz="4" w:space="0"/>
              <w:left w:val="single" w:color="auto" w:sz="4" w:space="0"/>
              <w:bottom w:val="single" w:color="auto" w:sz="4" w:space="0"/>
              <w:right w:val="single" w:color="auto" w:sz="4" w:space="0"/>
            </w:tcBorders>
            <w:noWrap/>
            <w:vAlign w:val="center"/>
          </w:tcPr>
          <w:p w14:paraId="1173A140">
            <w:pPr>
              <w:pStyle w:val="557"/>
            </w:pPr>
            <w:r>
              <w:rPr>
                <w:rFonts w:hint="eastAsia"/>
              </w:rPr>
              <w:t>-150</w:t>
            </w:r>
          </w:p>
        </w:tc>
        <w:tc>
          <w:tcPr>
            <w:tcW w:w="261" w:type="pct"/>
            <w:tcBorders>
              <w:top w:val="single" w:color="auto" w:sz="4" w:space="0"/>
              <w:left w:val="single" w:color="auto" w:sz="4" w:space="0"/>
              <w:bottom w:val="single" w:color="auto" w:sz="4" w:space="0"/>
              <w:right w:val="single" w:color="auto" w:sz="4" w:space="0"/>
            </w:tcBorders>
            <w:noWrap/>
            <w:vAlign w:val="center"/>
          </w:tcPr>
          <w:p w14:paraId="1BFDD225">
            <w:pPr>
              <w:pStyle w:val="557"/>
            </w:pPr>
            <w:r>
              <w:rPr>
                <w:rFonts w:hint="eastAsia"/>
              </w:rPr>
              <w:t>-202</w:t>
            </w:r>
          </w:p>
        </w:tc>
        <w:tc>
          <w:tcPr>
            <w:tcW w:w="315" w:type="pct"/>
            <w:tcBorders>
              <w:top w:val="single" w:color="auto" w:sz="4" w:space="0"/>
              <w:left w:val="single" w:color="auto" w:sz="4" w:space="0"/>
              <w:bottom w:val="single" w:color="auto" w:sz="4" w:space="0"/>
              <w:right w:val="single" w:color="auto" w:sz="4" w:space="0"/>
            </w:tcBorders>
            <w:noWrap/>
            <w:vAlign w:val="center"/>
          </w:tcPr>
          <w:p w14:paraId="73738A43">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328C2EB7">
            <w:pPr>
              <w:pStyle w:val="557"/>
            </w:pPr>
            <w:r>
              <w:rPr>
                <w:rFonts w:hint="eastAsia"/>
              </w:rPr>
              <w:t>0.45</w:t>
            </w:r>
          </w:p>
        </w:tc>
        <w:tc>
          <w:tcPr>
            <w:tcW w:w="321" w:type="pct"/>
            <w:tcBorders>
              <w:top w:val="single" w:color="auto" w:sz="4" w:space="0"/>
              <w:left w:val="single" w:color="auto" w:sz="4" w:space="0"/>
              <w:bottom w:val="single" w:color="auto" w:sz="4" w:space="0"/>
              <w:right w:val="single" w:color="auto" w:sz="4" w:space="0"/>
            </w:tcBorders>
            <w:noWrap/>
            <w:vAlign w:val="center"/>
          </w:tcPr>
          <w:p w14:paraId="46E8FE6B">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737523D6">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6FECC831">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9C8FEF4">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EE9B9EB">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478E600F">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3C080AA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B8E3F8E">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B28E09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A3D9917">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1826C7B9">
            <w:pPr>
              <w:pStyle w:val="557"/>
            </w:pPr>
            <w:r>
              <w:rPr>
                <w:rFonts w:hint="eastAsia"/>
              </w:rPr>
              <w:t>/</w:t>
            </w:r>
          </w:p>
        </w:tc>
      </w:tr>
      <w:tr w14:paraId="219D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966A44F">
            <w:pPr>
              <w:pStyle w:val="557"/>
            </w:pPr>
            <w:r>
              <w:t>19</w:t>
            </w:r>
          </w:p>
        </w:tc>
        <w:tc>
          <w:tcPr>
            <w:tcW w:w="835" w:type="pct"/>
            <w:tcBorders>
              <w:top w:val="single" w:color="auto" w:sz="4" w:space="0"/>
              <w:left w:val="single" w:color="auto" w:sz="4" w:space="0"/>
              <w:bottom w:val="single" w:color="auto" w:sz="4" w:space="0"/>
              <w:right w:val="single" w:color="auto" w:sz="4" w:space="0"/>
            </w:tcBorders>
            <w:noWrap/>
            <w:vAlign w:val="center"/>
          </w:tcPr>
          <w:p w14:paraId="41BA2CA3">
            <w:pPr>
              <w:pStyle w:val="557"/>
            </w:pPr>
            <w:r>
              <w:rPr>
                <w:rFonts w:hint="eastAsia"/>
              </w:rPr>
              <w:t>1#转运站</w:t>
            </w:r>
          </w:p>
        </w:tc>
        <w:tc>
          <w:tcPr>
            <w:tcW w:w="209" w:type="pct"/>
            <w:tcBorders>
              <w:top w:val="single" w:color="auto" w:sz="4" w:space="0"/>
              <w:left w:val="single" w:color="auto" w:sz="4" w:space="0"/>
              <w:bottom w:val="single" w:color="auto" w:sz="4" w:space="0"/>
              <w:right w:val="single" w:color="auto" w:sz="4" w:space="0"/>
            </w:tcBorders>
            <w:noWrap/>
            <w:vAlign w:val="center"/>
          </w:tcPr>
          <w:p w14:paraId="1E4F3D10">
            <w:pPr>
              <w:pStyle w:val="557"/>
            </w:pPr>
            <w:r>
              <w:rPr>
                <w:rFonts w:hint="eastAsia"/>
              </w:rPr>
              <w:t>-48</w:t>
            </w:r>
          </w:p>
        </w:tc>
        <w:tc>
          <w:tcPr>
            <w:tcW w:w="261" w:type="pct"/>
            <w:tcBorders>
              <w:top w:val="single" w:color="auto" w:sz="4" w:space="0"/>
              <w:left w:val="single" w:color="auto" w:sz="4" w:space="0"/>
              <w:bottom w:val="single" w:color="auto" w:sz="4" w:space="0"/>
              <w:right w:val="single" w:color="auto" w:sz="4" w:space="0"/>
            </w:tcBorders>
            <w:noWrap/>
            <w:vAlign w:val="center"/>
          </w:tcPr>
          <w:p w14:paraId="60E64C1A">
            <w:pPr>
              <w:pStyle w:val="557"/>
            </w:pPr>
            <w:r>
              <w:rPr>
                <w:rFonts w:hint="eastAsia"/>
              </w:rPr>
              <w:t>-229</w:t>
            </w:r>
          </w:p>
        </w:tc>
        <w:tc>
          <w:tcPr>
            <w:tcW w:w="315" w:type="pct"/>
            <w:tcBorders>
              <w:top w:val="single" w:color="auto" w:sz="4" w:space="0"/>
              <w:left w:val="single" w:color="auto" w:sz="4" w:space="0"/>
              <w:bottom w:val="single" w:color="auto" w:sz="4" w:space="0"/>
              <w:right w:val="single" w:color="auto" w:sz="4" w:space="0"/>
            </w:tcBorders>
            <w:noWrap/>
            <w:vAlign w:val="center"/>
          </w:tcPr>
          <w:p w14:paraId="7E02719C">
            <w:pPr>
              <w:pStyle w:val="557"/>
            </w:pPr>
            <w:r>
              <w:rPr>
                <w:rFonts w:hint="eastAsia"/>
              </w:rPr>
              <w:t>15</w:t>
            </w:r>
          </w:p>
        </w:tc>
        <w:tc>
          <w:tcPr>
            <w:tcW w:w="261" w:type="pct"/>
            <w:tcBorders>
              <w:top w:val="single" w:color="auto" w:sz="4" w:space="0"/>
              <w:left w:val="single" w:color="auto" w:sz="4" w:space="0"/>
              <w:bottom w:val="single" w:color="auto" w:sz="4" w:space="0"/>
              <w:right w:val="single" w:color="auto" w:sz="4" w:space="0"/>
            </w:tcBorders>
            <w:noWrap/>
            <w:vAlign w:val="center"/>
          </w:tcPr>
          <w:p w14:paraId="3ECD6AA7">
            <w:pPr>
              <w:pStyle w:val="557"/>
            </w:pPr>
            <w:r>
              <w:rPr>
                <w:rFonts w:hint="eastAsia"/>
              </w:rPr>
              <w:t>0.45</w:t>
            </w:r>
          </w:p>
        </w:tc>
        <w:tc>
          <w:tcPr>
            <w:tcW w:w="321" w:type="pct"/>
            <w:tcBorders>
              <w:top w:val="single" w:color="auto" w:sz="4" w:space="0"/>
              <w:left w:val="single" w:color="auto" w:sz="4" w:space="0"/>
              <w:bottom w:val="single" w:color="auto" w:sz="4" w:space="0"/>
              <w:right w:val="single" w:color="auto" w:sz="4" w:space="0"/>
            </w:tcBorders>
            <w:noWrap/>
            <w:vAlign w:val="center"/>
          </w:tcPr>
          <w:p w14:paraId="6981619B">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238A6874">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0FD5E842">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1C3BF5B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34DF067">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200C7C7B">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1A10451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7D3744FD">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C5EA29C">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65910885">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0800CBF5">
            <w:pPr>
              <w:pStyle w:val="557"/>
            </w:pPr>
            <w:r>
              <w:rPr>
                <w:rFonts w:hint="eastAsia"/>
              </w:rPr>
              <w:t>/</w:t>
            </w:r>
          </w:p>
        </w:tc>
      </w:tr>
      <w:tr w14:paraId="1436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264FD9B8">
            <w:pPr>
              <w:pStyle w:val="557"/>
            </w:pPr>
            <w:r>
              <w:t>20</w:t>
            </w:r>
          </w:p>
        </w:tc>
        <w:tc>
          <w:tcPr>
            <w:tcW w:w="835" w:type="pct"/>
            <w:tcBorders>
              <w:top w:val="single" w:color="auto" w:sz="4" w:space="0"/>
              <w:left w:val="single" w:color="auto" w:sz="4" w:space="0"/>
              <w:bottom w:val="single" w:color="auto" w:sz="4" w:space="0"/>
              <w:right w:val="single" w:color="auto" w:sz="4" w:space="0"/>
            </w:tcBorders>
            <w:noWrap/>
            <w:vAlign w:val="center"/>
          </w:tcPr>
          <w:p w14:paraId="6060279B">
            <w:pPr>
              <w:pStyle w:val="557"/>
            </w:pPr>
            <w:r>
              <w:rPr>
                <w:rFonts w:hint="eastAsia"/>
              </w:rPr>
              <w:t>2#转运站</w:t>
            </w:r>
          </w:p>
        </w:tc>
        <w:tc>
          <w:tcPr>
            <w:tcW w:w="209" w:type="pct"/>
            <w:tcBorders>
              <w:top w:val="single" w:color="auto" w:sz="4" w:space="0"/>
              <w:left w:val="single" w:color="auto" w:sz="4" w:space="0"/>
              <w:bottom w:val="single" w:color="auto" w:sz="4" w:space="0"/>
              <w:right w:val="single" w:color="auto" w:sz="4" w:space="0"/>
            </w:tcBorders>
            <w:noWrap/>
            <w:vAlign w:val="center"/>
          </w:tcPr>
          <w:p w14:paraId="63DC5540">
            <w:pPr>
              <w:pStyle w:val="557"/>
            </w:pPr>
            <w:r>
              <w:rPr>
                <w:rFonts w:hint="eastAsia"/>
              </w:rPr>
              <w:t>18</w:t>
            </w:r>
          </w:p>
        </w:tc>
        <w:tc>
          <w:tcPr>
            <w:tcW w:w="261" w:type="pct"/>
            <w:tcBorders>
              <w:top w:val="single" w:color="auto" w:sz="4" w:space="0"/>
              <w:left w:val="single" w:color="auto" w:sz="4" w:space="0"/>
              <w:bottom w:val="single" w:color="auto" w:sz="4" w:space="0"/>
              <w:right w:val="single" w:color="auto" w:sz="4" w:space="0"/>
            </w:tcBorders>
            <w:noWrap/>
            <w:vAlign w:val="center"/>
          </w:tcPr>
          <w:p w14:paraId="16BF6054">
            <w:pPr>
              <w:pStyle w:val="557"/>
            </w:pPr>
            <w:r>
              <w:rPr>
                <w:rFonts w:hint="eastAsia"/>
              </w:rPr>
              <w:t>-224</w:t>
            </w:r>
          </w:p>
        </w:tc>
        <w:tc>
          <w:tcPr>
            <w:tcW w:w="315" w:type="pct"/>
            <w:tcBorders>
              <w:top w:val="single" w:color="auto" w:sz="4" w:space="0"/>
              <w:left w:val="single" w:color="auto" w:sz="4" w:space="0"/>
              <w:bottom w:val="single" w:color="auto" w:sz="4" w:space="0"/>
              <w:right w:val="single" w:color="auto" w:sz="4" w:space="0"/>
            </w:tcBorders>
            <w:noWrap/>
            <w:vAlign w:val="center"/>
          </w:tcPr>
          <w:p w14:paraId="46DF3575">
            <w:pPr>
              <w:pStyle w:val="557"/>
            </w:pPr>
            <w:r>
              <w:rPr>
                <w:rFonts w:hint="eastAsia"/>
              </w:rPr>
              <w:t>62</w:t>
            </w:r>
          </w:p>
        </w:tc>
        <w:tc>
          <w:tcPr>
            <w:tcW w:w="261" w:type="pct"/>
            <w:tcBorders>
              <w:top w:val="single" w:color="auto" w:sz="4" w:space="0"/>
              <w:left w:val="single" w:color="auto" w:sz="4" w:space="0"/>
              <w:bottom w:val="single" w:color="auto" w:sz="4" w:space="0"/>
              <w:right w:val="single" w:color="auto" w:sz="4" w:space="0"/>
            </w:tcBorders>
            <w:noWrap/>
            <w:vAlign w:val="center"/>
          </w:tcPr>
          <w:p w14:paraId="7C129328">
            <w:pPr>
              <w:pStyle w:val="557"/>
            </w:pPr>
            <w:r>
              <w:rPr>
                <w:rFonts w:hint="eastAsia"/>
              </w:rPr>
              <w:t>1.2</w:t>
            </w:r>
          </w:p>
        </w:tc>
        <w:tc>
          <w:tcPr>
            <w:tcW w:w="321" w:type="pct"/>
            <w:tcBorders>
              <w:top w:val="single" w:color="auto" w:sz="4" w:space="0"/>
              <w:left w:val="single" w:color="auto" w:sz="4" w:space="0"/>
              <w:bottom w:val="single" w:color="auto" w:sz="4" w:space="0"/>
              <w:right w:val="single" w:color="auto" w:sz="4" w:space="0"/>
            </w:tcBorders>
            <w:noWrap/>
            <w:vAlign w:val="center"/>
          </w:tcPr>
          <w:p w14:paraId="6FA45493">
            <w:pPr>
              <w:pStyle w:val="557"/>
            </w:pPr>
            <w:r>
              <w:rPr>
                <w:rFonts w:hint="eastAsia"/>
              </w:rPr>
              <w:t>25</w:t>
            </w:r>
          </w:p>
        </w:tc>
        <w:tc>
          <w:tcPr>
            <w:tcW w:w="348" w:type="pct"/>
            <w:tcBorders>
              <w:top w:val="single" w:color="auto" w:sz="4" w:space="0"/>
              <w:left w:val="single" w:color="auto" w:sz="4" w:space="0"/>
              <w:bottom w:val="single" w:color="auto" w:sz="4" w:space="0"/>
              <w:right w:val="single" w:color="auto" w:sz="4" w:space="0"/>
            </w:tcBorders>
            <w:noWrap/>
            <w:vAlign w:val="center"/>
          </w:tcPr>
          <w:p w14:paraId="0E4D6CBD">
            <w:pPr>
              <w:pStyle w:val="557"/>
            </w:pPr>
            <w:r>
              <w:rPr>
                <w:rFonts w:hint="eastAsia"/>
              </w:rPr>
              <w:t>10000</w:t>
            </w:r>
          </w:p>
        </w:tc>
        <w:tc>
          <w:tcPr>
            <w:tcW w:w="248" w:type="pct"/>
            <w:tcBorders>
              <w:top w:val="single" w:color="auto" w:sz="4" w:space="0"/>
              <w:left w:val="single" w:color="auto" w:sz="4" w:space="0"/>
              <w:bottom w:val="single" w:color="auto" w:sz="4" w:space="0"/>
              <w:right w:val="single" w:color="auto" w:sz="4" w:space="0"/>
            </w:tcBorders>
            <w:noWrap/>
            <w:vAlign w:val="center"/>
          </w:tcPr>
          <w:p w14:paraId="4B514056">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071E0D7F">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26F863FB">
            <w:pPr>
              <w:pStyle w:val="557"/>
            </w:pPr>
            <w:r>
              <w:rPr>
                <w:rFonts w:hint="eastAsia"/>
              </w:rPr>
              <w:t>0.15</w:t>
            </w:r>
          </w:p>
        </w:tc>
        <w:tc>
          <w:tcPr>
            <w:tcW w:w="248" w:type="pct"/>
            <w:tcBorders>
              <w:top w:val="single" w:color="auto" w:sz="4" w:space="0"/>
              <w:left w:val="single" w:color="auto" w:sz="4" w:space="0"/>
              <w:bottom w:val="single" w:color="auto" w:sz="4" w:space="0"/>
              <w:right w:val="single" w:color="auto" w:sz="4" w:space="0"/>
            </w:tcBorders>
            <w:noWrap/>
            <w:vAlign w:val="center"/>
          </w:tcPr>
          <w:p w14:paraId="2220596B">
            <w:pPr>
              <w:pStyle w:val="557"/>
            </w:pPr>
            <w:r>
              <w:rPr>
                <w:rFonts w:hint="eastAsia"/>
              </w:rPr>
              <w:t>0.075</w:t>
            </w:r>
          </w:p>
        </w:tc>
        <w:tc>
          <w:tcPr>
            <w:tcW w:w="248" w:type="pct"/>
            <w:tcBorders>
              <w:top w:val="single" w:color="auto" w:sz="4" w:space="0"/>
              <w:left w:val="single" w:color="auto" w:sz="4" w:space="0"/>
              <w:bottom w:val="single" w:color="auto" w:sz="4" w:space="0"/>
              <w:right w:val="single" w:color="auto" w:sz="4" w:space="0"/>
            </w:tcBorders>
            <w:noWrap/>
            <w:vAlign w:val="center"/>
          </w:tcPr>
          <w:p w14:paraId="4E13316A">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515B9DA7">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42BBE9F5">
            <w:pPr>
              <w:pStyle w:val="557"/>
            </w:pPr>
            <w:r>
              <w:rPr>
                <w:rFonts w:hint="eastAsia"/>
              </w:rPr>
              <w:t>/</w:t>
            </w:r>
          </w:p>
        </w:tc>
        <w:tc>
          <w:tcPr>
            <w:tcW w:w="248" w:type="pct"/>
            <w:tcBorders>
              <w:top w:val="single" w:color="auto" w:sz="4" w:space="0"/>
              <w:left w:val="single" w:color="auto" w:sz="4" w:space="0"/>
              <w:bottom w:val="single" w:color="auto" w:sz="4" w:space="0"/>
              <w:right w:val="single" w:color="auto" w:sz="4" w:space="0"/>
            </w:tcBorders>
            <w:noWrap/>
            <w:vAlign w:val="center"/>
          </w:tcPr>
          <w:p w14:paraId="3E0B311F">
            <w:pPr>
              <w:pStyle w:val="557"/>
            </w:pPr>
            <w:r>
              <w:rPr>
                <w:rFonts w:hint="eastAsia"/>
              </w:rPr>
              <w:t>/</w:t>
            </w:r>
          </w:p>
        </w:tc>
        <w:tc>
          <w:tcPr>
            <w:tcW w:w="252" w:type="pct"/>
            <w:tcBorders>
              <w:top w:val="single" w:color="auto" w:sz="4" w:space="0"/>
              <w:left w:val="single" w:color="auto" w:sz="4" w:space="0"/>
              <w:bottom w:val="single" w:color="auto" w:sz="4" w:space="0"/>
              <w:right w:val="single" w:color="auto" w:sz="4" w:space="0"/>
            </w:tcBorders>
            <w:vAlign w:val="center"/>
          </w:tcPr>
          <w:p w14:paraId="4E68594A">
            <w:pPr>
              <w:pStyle w:val="557"/>
            </w:pPr>
            <w:r>
              <w:rPr>
                <w:rFonts w:hint="eastAsia"/>
              </w:rPr>
              <w:t>/</w:t>
            </w:r>
          </w:p>
        </w:tc>
      </w:tr>
    </w:tbl>
    <w:p w14:paraId="7FB64C0B">
      <w:pPr>
        <w:pStyle w:val="161"/>
        <w:rPr>
          <w:rFonts w:hint="eastAsia"/>
          <w:color w:val="000000" w:themeColor="text1"/>
          <w14:textFill>
            <w14:solidFill>
              <w14:schemeClr w14:val="tx1"/>
            </w14:solidFill>
          </w14:textFill>
        </w:rPr>
      </w:pPr>
      <w:r>
        <w:rPr>
          <w:rFonts w:hint="eastAsia"/>
          <w:color w:val="000000" w:themeColor="text1"/>
          <w:spacing w:val="8"/>
          <w14:textFill>
            <w14:solidFill>
              <w14:schemeClr w14:val="tx1"/>
            </w14:solidFill>
          </w14:textFill>
        </w:rPr>
        <w:t xml:space="preserve">表5.2.3-2    </w:t>
      </w:r>
      <w:r>
        <w:rPr>
          <w:rFonts w:hint="eastAsia"/>
          <w:color w:val="000000" w:themeColor="text1"/>
          <w14:textFill>
            <w14:solidFill>
              <w14:schemeClr w14:val="tx1"/>
            </w14:solidFill>
          </w14:textFill>
        </w:rPr>
        <w:t>项目面源参数表</w:t>
      </w:r>
    </w:p>
    <w:tbl>
      <w:tblPr>
        <w:tblStyle w:val="65"/>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2781"/>
        <w:gridCol w:w="905"/>
        <w:gridCol w:w="908"/>
        <w:gridCol w:w="1232"/>
        <w:gridCol w:w="1232"/>
        <w:gridCol w:w="1231"/>
        <w:gridCol w:w="1231"/>
        <w:gridCol w:w="971"/>
        <w:gridCol w:w="971"/>
        <w:gridCol w:w="971"/>
        <w:gridCol w:w="974"/>
      </w:tblGrid>
      <w:tr w14:paraId="1C49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vMerge w:val="restart"/>
            <w:tcBorders>
              <w:top w:val="single" w:color="auto" w:sz="4" w:space="0"/>
              <w:left w:val="single" w:color="auto" w:sz="4" w:space="0"/>
              <w:bottom w:val="single" w:color="auto" w:sz="4" w:space="0"/>
              <w:right w:val="single" w:color="auto" w:sz="4" w:space="0"/>
            </w:tcBorders>
            <w:noWrap/>
            <w:vAlign w:val="center"/>
          </w:tcPr>
          <w:p w14:paraId="0F902BCC">
            <w:pPr>
              <w:pStyle w:val="557"/>
            </w:pPr>
            <w:r>
              <w:rPr>
                <w:rFonts w:hint="eastAsia"/>
              </w:rPr>
              <w:t>序号</w:t>
            </w:r>
          </w:p>
        </w:tc>
        <w:tc>
          <w:tcPr>
            <w:tcW w:w="996" w:type="pct"/>
            <w:vMerge w:val="restart"/>
            <w:tcBorders>
              <w:top w:val="single" w:color="auto" w:sz="4" w:space="0"/>
              <w:left w:val="single" w:color="auto" w:sz="4" w:space="0"/>
              <w:bottom w:val="single" w:color="auto" w:sz="4" w:space="0"/>
              <w:right w:val="single" w:color="auto" w:sz="4" w:space="0"/>
            </w:tcBorders>
            <w:noWrap/>
            <w:vAlign w:val="center"/>
          </w:tcPr>
          <w:p w14:paraId="28ECF6DF">
            <w:pPr>
              <w:pStyle w:val="557"/>
            </w:pPr>
            <w:r>
              <w:rPr>
                <w:rFonts w:hint="eastAsia"/>
              </w:rPr>
              <w:t>污染源名称</w:t>
            </w:r>
          </w:p>
        </w:tc>
        <w:tc>
          <w:tcPr>
            <w:tcW w:w="324" w:type="pct"/>
            <w:vMerge w:val="restart"/>
            <w:tcBorders>
              <w:top w:val="single" w:color="auto" w:sz="4" w:space="0"/>
              <w:left w:val="single" w:color="auto" w:sz="4" w:space="0"/>
              <w:bottom w:val="single" w:color="auto" w:sz="4" w:space="0"/>
              <w:right w:val="single" w:color="auto" w:sz="4" w:space="0"/>
            </w:tcBorders>
            <w:noWrap/>
            <w:vAlign w:val="center"/>
          </w:tcPr>
          <w:p w14:paraId="25C7809C">
            <w:pPr>
              <w:pStyle w:val="557"/>
            </w:pPr>
            <w:r>
              <w:t>X</w:t>
            </w:r>
          </w:p>
        </w:tc>
        <w:tc>
          <w:tcPr>
            <w:tcW w:w="325" w:type="pct"/>
            <w:vMerge w:val="restart"/>
            <w:tcBorders>
              <w:top w:val="single" w:color="auto" w:sz="4" w:space="0"/>
              <w:left w:val="single" w:color="auto" w:sz="4" w:space="0"/>
              <w:bottom w:val="single" w:color="auto" w:sz="4" w:space="0"/>
              <w:right w:val="single" w:color="auto" w:sz="4" w:space="0"/>
            </w:tcBorders>
            <w:noWrap/>
            <w:vAlign w:val="center"/>
          </w:tcPr>
          <w:p w14:paraId="719DB1F7">
            <w:pPr>
              <w:pStyle w:val="557"/>
            </w:pPr>
            <w:r>
              <w:t>Y</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49C15401">
            <w:pPr>
              <w:pStyle w:val="557"/>
            </w:pPr>
            <w:r>
              <w:rPr>
                <w:rFonts w:hint="eastAsia"/>
              </w:rPr>
              <w:t>面源宽度</w:t>
            </w:r>
          </w:p>
          <w:p w14:paraId="18C08D32">
            <w:pPr>
              <w:pStyle w:val="557"/>
            </w:pPr>
            <w:r>
              <w:rPr>
                <w:rFonts w:hint="eastAsia"/>
              </w:rPr>
              <w:t>（</w:t>
            </w:r>
            <w:r>
              <w:t>m</w:t>
            </w: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2DF5810B">
            <w:pPr>
              <w:pStyle w:val="557"/>
            </w:pPr>
            <w:r>
              <w:rPr>
                <w:rFonts w:hint="eastAsia"/>
              </w:rPr>
              <w:t>面源长度</w:t>
            </w:r>
          </w:p>
          <w:p w14:paraId="3E646095">
            <w:pPr>
              <w:pStyle w:val="557"/>
            </w:pPr>
            <w:r>
              <w:rPr>
                <w:rFonts w:hint="eastAsia"/>
              </w:rPr>
              <w:t>（</w:t>
            </w:r>
            <w:r>
              <w:t>m</w:t>
            </w: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2BDA08F3">
            <w:pPr>
              <w:pStyle w:val="557"/>
            </w:pPr>
            <w:r>
              <w:rPr>
                <w:rFonts w:hint="eastAsia"/>
              </w:rPr>
              <w:t>面源角度</w:t>
            </w:r>
          </w:p>
          <w:p w14:paraId="66961D6E">
            <w:pPr>
              <w:pStyle w:val="557"/>
            </w:pPr>
            <w:r>
              <w:rPr>
                <w:rFonts w:hint="eastAsia"/>
              </w:rPr>
              <w:t>（°）</w:t>
            </w:r>
          </w:p>
        </w:tc>
        <w:tc>
          <w:tcPr>
            <w:tcW w:w="441" w:type="pct"/>
            <w:vMerge w:val="restart"/>
            <w:tcBorders>
              <w:top w:val="single" w:color="auto" w:sz="4" w:space="0"/>
              <w:left w:val="single" w:color="auto" w:sz="4" w:space="0"/>
              <w:bottom w:val="single" w:color="auto" w:sz="4" w:space="0"/>
              <w:right w:val="single" w:color="auto" w:sz="4" w:space="0"/>
            </w:tcBorders>
            <w:noWrap/>
            <w:vAlign w:val="center"/>
          </w:tcPr>
          <w:p w14:paraId="27F3E5EC">
            <w:pPr>
              <w:pStyle w:val="557"/>
            </w:pPr>
            <w:r>
              <w:rPr>
                <w:rFonts w:hint="eastAsia"/>
              </w:rPr>
              <w:t>有效高</w:t>
            </w:r>
            <w:r>
              <w:t>He</w:t>
            </w:r>
          </w:p>
          <w:p w14:paraId="52C843DC">
            <w:pPr>
              <w:pStyle w:val="557"/>
            </w:pPr>
            <w:r>
              <w:rPr>
                <w:rFonts w:hint="eastAsia"/>
              </w:rPr>
              <w:t>（</w:t>
            </w:r>
            <w:r>
              <w:t>m</w:t>
            </w:r>
            <w:r>
              <w:rPr>
                <w:rFonts w:hint="eastAsia"/>
              </w:rPr>
              <w:t>）</w:t>
            </w:r>
          </w:p>
        </w:tc>
        <w:tc>
          <w:tcPr>
            <w:tcW w:w="1392" w:type="pct"/>
            <w:gridSpan w:val="4"/>
            <w:tcBorders>
              <w:top w:val="single" w:color="auto" w:sz="4" w:space="0"/>
              <w:left w:val="single" w:color="auto" w:sz="4" w:space="0"/>
              <w:bottom w:val="single" w:color="auto" w:sz="4" w:space="0"/>
              <w:right w:val="single" w:color="auto" w:sz="4" w:space="0"/>
            </w:tcBorders>
            <w:noWrap/>
            <w:vAlign w:val="center"/>
          </w:tcPr>
          <w:p w14:paraId="67E02071">
            <w:pPr>
              <w:pStyle w:val="557"/>
            </w:pPr>
            <w:r>
              <w:rPr>
                <w:rFonts w:hint="eastAsia"/>
              </w:rPr>
              <w:t>排放速率（kg/h）</w:t>
            </w:r>
          </w:p>
        </w:tc>
      </w:tr>
      <w:tr w14:paraId="5A2B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vMerge w:val="continue"/>
            <w:tcBorders>
              <w:top w:val="single" w:color="auto" w:sz="4" w:space="0"/>
              <w:left w:val="single" w:color="auto" w:sz="4" w:space="0"/>
              <w:bottom w:val="single" w:color="auto" w:sz="4" w:space="0"/>
              <w:right w:val="single" w:color="auto" w:sz="4" w:space="0"/>
            </w:tcBorders>
            <w:vAlign w:val="center"/>
          </w:tcPr>
          <w:p w14:paraId="4AE19B1E">
            <w:pPr>
              <w:jc w:val="center"/>
              <w:rPr>
                <w:rFonts w:hint="eastAsia"/>
                <w:bCs/>
                <w:color w:val="FF0000"/>
                <w:sz w:val="18"/>
                <w:szCs w:val="18"/>
                <w:u w:color="000000"/>
                <w:lang w:val="zh-CN" w:bidi="en-US"/>
              </w:rPr>
            </w:pPr>
          </w:p>
        </w:tc>
        <w:tc>
          <w:tcPr>
            <w:tcW w:w="996" w:type="pct"/>
            <w:vMerge w:val="continue"/>
            <w:tcBorders>
              <w:top w:val="single" w:color="auto" w:sz="4" w:space="0"/>
              <w:left w:val="single" w:color="auto" w:sz="4" w:space="0"/>
              <w:bottom w:val="single" w:color="auto" w:sz="4" w:space="0"/>
              <w:right w:val="single" w:color="auto" w:sz="4" w:space="0"/>
            </w:tcBorders>
            <w:vAlign w:val="center"/>
          </w:tcPr>
          <w:p w14:paraId="4C0898E7">
            <w:pPr>
              <w:jc w:val="center"/>
              <w:rPr>
                <w:rFonts w:hint="eastAsia"/>
                <w:bCs/>
                <w:color w:val="FF0000"/>
                <w:sz w:val="18"/>
                <w:szCs w:val="18"/>
                <w:u w:color="000000"/>
                <w:lang w:val="zh-CN" w:bidi="en-US"/>
              </w:rPr>
            </w:pPr>
          </w:p>
        </w:tc>
        <w:tc>
          <w:tcPr>
            <w:tcW w:w="324" w:type="pct"/>
            <w:vMerge w:val="continue"/>
            <w:tcBorders>
              <w:top w:val="single" w:color="auto" w:sz="4" w:space="0"/>
              <w:left w:val="single" w:color="auto" w:sz="4" w:space="0"/>
              <w:bottom w:val="single" w:color="auto" w:sz="4" w:space="0"/>
              <w:right w:val="single" w:color="auto" w:sz="4" w:space="0"/>
            </w:tcBorders>
            <w:vAlign w:val="center"/>
          </w:tcPr>
          <w:p w14:paraId="00DEA8F1">
            <w:pPr>
              <w:jc w:val="center"/>
              <w:rPr>
                <w:rFonts w:hint="eastAsia"/>
                <w:bCs/>
                <w:color w:val="FF0000"/>
                <w:sz w:val="18"/>
                <w:szCs w:val="18"/>
                <w:u w:color="000000"/>
                <w:lang w:val="zh-CN" w:bidi="en-US"/>
              </w:rPr>
            </w:pPr>
          </w:p>
        </w:tc>
        <w:tc>
          <w:tcPr>
            <w:tcW w:w="325" w:type="pct"/>
            <w:vMerge w:val="continue"/>
            <w:tcBorders>
              <w:top w:val="single" w:color="auto" w:sz="4" w:space="0"/>
              <w:left w:val="single" w:color="auto" w:sz="4" w:space="0"/>
              <w:bottom w:val="single" w:color="auto" w:sz="4" w:space="0"/>
              <w:right w:val="single" w:color="auto" w:sz="4" w:space="0"/>
            </w:tcBorders>
            <w:vAlign w:val="center"/>
          </w:tcPr>
          <w:p w14:paraId="7903E2EA">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25252226">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1C9BC37B">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1EA6F797">
            <w:pPr>
              <w:jc w:val="center"/>
              <w:rPr>
                <w:rFonts w:hint="eastAsia"/>
                <w:bCs/>
                <w:color w:val="FF0000"/>
                <w:sz w:val="18"/>
                <w:szCs w:val="18"/>
                <w:u w:color="000000"/>
                <w:lang w:val="zh-CN" w:bidi="en-US"/>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06750E49">
            <w:pPr>
              <w:jc w:val="center"/>
              <w:rPr>
                <w:rFonts w:hint="eastAsia"/>
                <w:bCs/>
                <w:color w:val="FF0000"/>
                <w:sz w:val="18"/>
                <w:szCs w:val="18"/>
                <w:u w:color="000000"/>
                <w:lang w:val="zh-CN" w:bidi="en-US"/>
              </w:rPr>
            </w:pPr>
          </w:p>
        </w:tc>
        <w:tc>
          <w:tcPr>
            <w:tcW w:w="348" w:type="pct"/>
            <w:tcBorders>
              <w:top w:val="single" w:color="auto" w:sz="4" w:space="0"/>
              <w:left w:val="single" w:color="auto" w:sz="4" w:space="0"/>
              <w:bottom w:val="single" w:color="auto" w:sz="4" w:space="0"/>
              <w:right w:val="single" w:color="auto" w:sz="4" w:space="0"/>
            </w:tcBorders>
            <w:noWrap/>
            <w:vAlign w:val="center"/>
          </w:tcPr>
          <w:p w14:paraId="53B1C35C">
            <w:pPr>
              <w:pStyle w:val="557"/>
            </w:pPr>
            <w:r>
              <w:t>NH</w:t>
            </w:r>
            <w:r>
              <w:rPr>
                <w:vertAlign w:val="subscript"/>
              </w:rPr>
              <w:t>3</w:t>
            </w:r>
          </w:p>
        </w:tc>
        <w:tc>
          <w:tcPr>
            <w:tcW w:w="348" w:type="pct"/>
            <w:tcBorders>
              <w:top w:val="single" w:color="auto" w:sz="4" w:space="0"/>
              <w:left w:val="single" w:color="auto" w:sz="4" w:space="0"/>
              <w:bottom w:val="single" w:color="auto" w:sz="4" w:space="0"/>
              <w:right w:val="single" w:color="auto" w:sz="4" w:space="0"/>
            </w:tcBorders>
            <w:noWrap/>
            <w:vAlign w:val="center"/>
          </w:tcPr>
          <w:p w14:paraId="65A08D24">
            <w:pPr>
              <w:pStyle w:val="557"/>
            </w:pPr>
            <w:r>
              <w:t>H</w:t>
            </w:r>
            <w:r>
              <w:rPr>
                <w:vertAlign w:val="subscript"/>
              </w:rPr>
              <w:t>2</w:t>
            </w:r>
            <w:r>
              <w:t>S</w:t>
            </w:r>
          </w:p>
        </w:tc>
        <w:tc>
          <w:tcPr>
            <w:tcW w:w="348" w:type="pct"/>
            <w:tcBorders>
              <w:top w:val="single" w:color="auto" w:sz="4" w:space="0"/>
              <w:left w:val="single" w:color="auto" w:sz="4" w:space="0"/>
              <w:bottom w:val="single" w:color="auto" w:sz="4" w:space="0"/>
              <w:right w:val="single" w:color="auto" w:sz="4" w:space="0"/>
            </w:tcBorders>
            <w:noWrap/>
            <w:vAlign w:val="center"/>
          </w:tcPr>
          <w:p w14:paraId="5B538D6C">
            <w:pPr>
              <w:pStyle w:val="557"/>
            </w:pPr>
            <w:r>
              <w:rPr>
                <w:rFonts w:hint="eastAsia"/>
              </w:rPr>
              <w:t>NMHC</w:t>
            </w:r>
          </w:p>
        </w:tc>
        <w:tc>
          <w:tcPr>
            <w:tcW w:w="349" w:type="pct"/>
            <w:tcBorders>
              <w:top w:val="single" w:color="auto" w:sz="4" w:space="0"/>
              <w:left w:val="single" w:color="auto" w:sz="4" w:space="0"/>
              <w:bottom w:val="single" w:color="auto" w:sz="4" w:space="0"/>
              <w:right w:val="single" w:color="auto" w:sz="4" w:space="0"/>
            </w:tcBorders>
            <w:vAlign w:val="center"/>
          </w:tcPr>
          <w:p w14:paraId="2F653EEE">
            <w:pPr>
              <w:pStyle w:val="557"/>
            </w:pPr>
            <w:r>
              <w:rPr>
                <w:rFonts w:hint="eastAsia"/>
              </w:rPr>
              <w:t>硫酸</w:t>
            </w:r>
          </w:p>
        </w:tc>
      </w:tr>
      <w:tr w14:paraId="0E4F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1BD1562">
            <w:pPr>
              <w:pStyle w:val="557"/>
            </w:pPr>
            <w:r>
              <w:t>1</w:t>
            </w:r>
          </w:p>
        </w:tc>
        <w:tc>
          <w:tcPr>
            <w:tcW w:w="996" w:type="pct"/>
            <w:tcBorders>
              <w:top w:val="single" w:color="auto" w:sz="4" w:space="0"/>
              <w:left w:val="single" w:color="auto" w:sz="4" w:space="0"/>
              <w:bottom w:val="single" w:color="auto" w:sz="4" w:space="0"/>
              <w:right w:val="single" w:color="auto" w:sz="4" w:space="0"/>
            </w:tcBorders>
            <w:noWrap/>
            <w:vAlign w:val="center"/>
          </w:tcPr>
          <w:p w14:paraId="2DEA3575">
            <w:pPr>
              <w:pStyle w:val="557"/>
            </w:pPr>
            <w:r>
              <w:rPr>
                <w:rFonts w:hint="eastAsia"/>
              </w:rPr>
              <w:t>气化装置无组织排放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0D118FB7">
            <w:pPr>
              <w:pStyle w:val="557"/>
            </w:pPr>
            <w:r>
              <w:rPr>
                <w:rFonts w:hint="eastAsia"/>
              </w:rPr>
              <w:t>-72</w:t>
            </w:r>
          </w:p>
        </w:tc>
        <w:tc>
          <w:tcPr>
            <w:tcW w:w="325" w:type="pct"/>
            <w:tcBorders>
              <w:top w:val="single" w:color="auto" w:sz="4" w:space="0"/>
              <w:left w:val="single" w:color="auto" w:sz="4" w:space="0"/>
              <w:bottom w:val="single" w:color="auto" w:sz="4" w:space="0"/>
              <w:right w:val="single" w:color="auto" w:sz="4" w:space="0"/>
            </w:tcBorders>
            <w:noWrap/>
            <w:vAlign w:val="center"/>
          </w:tcPr>
          <w:p w14:paraId="75C31A85">
            <w:pPr>
              <w:pStyle w:val="557"/>
            </w:pPr>
            <w:r>
              <w:rPr>
                <w:rFonts w:hint="eastAsia"/>
              </w:rPr>
              <w:t>187</w:t>
            </w:r>
          </w:p>
        </w:tc>
        <w:tc>
          <w:tcPr>
            <w:tcW w:w="441" w:type="pct"/>
            <w:tcBorders>
              <w:top w:val="single" w:color="auto" w:sz="4" w:space="0"/>
              <w:left w:val="single" w:color="auto" w:sz="4" w:space="0"/>
              <w:bottom w:val="single" w:color="auto" w:sz="4" w:space="0"/>
              <w:right w:val="single" w:color="auto" w:sz="4" w:space="0"/>
            </w:tcBorders>
            <w:noWrap/>
            <w:vAlign w:val="center"/>
          </w:tcPr>
          <w:p w14:paraId="58DD659D">
            <w:pPr>
              <w:pStyle w:val="557"/>
            </w:pPr>
            <w:r>
              <w:rPr>
                <w:rFonts w:hint="eastAsia"/>
              </w:rPr>
              <w:t>90</w:t>
            </w:r>
          </w:p>
        </w:tc>
        <w:tc>
          <w:tcPr>
            <w:tcW w:w="441" w:type="pct"/>
            <w:tcBorders>
              <w:top w:val="single" w:color="auto" w:sz="4" w:space="0"/>
              <w:left w:val="single" w:color="auto" w:sz="4" w:space="0"/>
              <w:bottom w:val="single" w:color="auto" w:sz="4" w:space="0"/>
              <w:right w:val="single" w:color="auto" w:sz="4" w:space="0"/>
            </w:tcBorders>
            <w:noWrap/>
            <w:vAlign w:val="center"/>
          </w:tcPr>
          <w:p w14:paraId="40901745">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72D986BC">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E12BDE1">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500B23A6">
            <w:pPr>
              <w:pStyle w:val="557"/>
            </w:pPr>
            <w:r>
              <w:rPr>
                <w:rFonts w:hint="eastAsia"/>
              </w:rPr>
              <w:t>0.08</w:t>
            </w:r>
          </w:p>
        </w:tc>
        <w:tc>
          <w:tcPr>
            <w:tcW w:w="348" w:type="pct"/>
            <w:tcBorders>
              <w:top w:val="single" w:color="auto" w:sz="4" w:space="0"/>
              <w:left w:val="single" w:color="auto" w:sz="4" w:space="0"/>
              <w:bottom w:val="single" w:color="auto" w:sz="4" w:space="0"/>
              <w:right w:val="single" w:color="auto" w:sz="4" w:space="0"/>
            </w:tcBorders>
            <w:noWrap/>
            <w:vAlign w:val="center"/>
          </w:tcPr>
          <w:p w14:paraId="56637903">
            <w:pPr>
              <w:pStyle w:val="557"/>
            </w:pPr>
            <w:r>
              <w:rPr>
                <w:rFonts w:hint="eastAsia"/>
              </w:rPr>
              <w:t>0.02</w:t>
            </w:r>
          </w:p>
        </w:tc>
        <w:tc>
          <w:tcPr>
            <w:tcW w:w="348" w:type="pct"/>
            <w:tcBorders>
              <w:top w:val="single" w:color="auto" w:sz="4" w:space="0"/>
              <w:left w:val="single" w:color="auto" w:sz="4" w:space="0"/>
              <w:bottom w:val="single" w:color="auto" w:sz="4" w:space="0"/>
              <w:right w:val="single" w:color="auto" w:sz="4" w:space="0"/>
            </w:tcBorders>
            <w:noWrap/>
            <w:vAlign w:val="center"/>
          </w:tcPr>
          <w:p w14:paraId="41263C89">
            <w:pPr>
              <w:pStyle w:val="557"/>
            </w:pPr>
            <w:r>
              <w:rPr>
                <w:rFonts w:hint="eastAsia"/>
              </w:rPr>
              <w:t>0.39</w:t>
            </w:r>
          </w:p>
        </w:tc>
        <w:tc>
          <w:tcPr>
            <w:tcW w:w="349" w:type="pct"/>
            <w:tcBorders>
              <w:top w:val="single" w:color="auto" w:sz="4" w:space="0"/>
              <w:left w:val="single" w:color="auto" w:sz="4" w:space="0"/>
              <w:bottom w:val="single" w:color="auto" w:sz="4" w:space="0"/>
              <w:right w:val="single" w:color="auto" w:sz="4" w:space="0"/>
            </w:tcBorders>
            <w:vAlign w:val="center"/>
          </w:tcPr>
          <w:p w14:paraId="72ED2271">
            <w:pPr>
              <w:pStyle w:val="557"/>
            </w:pPr>
            <w:r>
              <w:rPr>
                <w:rFonts w:hint="eastAsia"/>
              </w:rPr>
              <w:t>/</w:t>
            </w:r>
          </w:p>
        </w:tc>
      </w:tr>
      <w:tr w14:paraId="566D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1121E6BA">
            <w:pPr>
              <w:pStyle w:val="557"/>
            </w:pPr>
            <w:r>
              <w:t>2</w:t>
            </w:r>
          </w:p>
        </w:tc>
        <w:tc>
          <w:tcPr>
            <w:tcW w:w="996" w:type="pct"/>
            <w:tcBorders>
              <w:top w:val="single" w:color="auto" w:sz="4" w:space="0"/>
              <w:left w:val="single" w:color="auto" w:sz="4" w:space="0"/>
              <w:bottom w:val="single" w:color="auto" w:sz="4" w:space="0"/>
              <w:right w:val="single" w:color="auto" w:sz="4" w:space="0"/>
            </w:tcBorders>
            <w:noWrap/>
            <w:vAlign w:val="center"/>
          </w:tcPr>
          <w:p w14:paraId="5C9D314E">
            <w:pPr>
              <w:pStyle w:val="557"/>
            </w:pPr>
            <w:r>
              <w:rPr>
                <w:rFonts w:hint="eastAsia"/>
              </w:rPr>
              <w:t>低温甲醇洗单元无组织排放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15795EF8">
            <w:pPr>
              <w:pStyle w:val="557"/>
            </w:pPr>
            <w:r>
              <w:rPr>
                <w:rFonts w:hint="eastAsia"/>
              </w:rPr>
              <w:t>55</w:t>
            </w:r>
          </w:p>
        </w:tc>
        <w:tc>
          <w:tcPr>
            <w:tcW w:w="325" w:type="pct"/>
            <w:tcBorders>
              <w:top w:val="single" w:color="auto" w:sz="4" w:space="0"/>
              <w:left w:val="single" w:color="auto" w:sz="4" w:space="0"/>
              <w:bottom w:val="single" w:color="auto" w:sz="4" w:space="0"/>
              <w:right w:val="single" w:color="auto" w:sz="4" w:space="0"/>
            </w:tcBorders>
            <w:noWrap/>
            <w:vAlign w:val="center"/>
          </w:tcPr>
          <w:p w14:paraId="6C3D1D91">
            <w:pPr>
              <w:pStyle w:val="557"/>
            </w:pPr>
            <w:r>
              <w:rPr>
                <w:rFonts w:hint="eastAsia"/>
              </w:rPr>
              <w:t>119</w:t>
            </w:r>
          </w:p>
        </w:tc>
        <w:tc>
          <w:tcPr>
            <w:tcW w:w="441" w:type="pct"/>
            <w:tcBorders>
              <w:top w:val="single" w:color="auto" w:sz="4" w:space="0"/>
              <w:left w:val="single" w:color="auto" w:sz="4" w:space="0"/>
              <w:bottom w:val="single" w:color="auto" w:sz="4" w:space="0"/>
              <w:right w:val="single" w:color="auto" w:sz="4" w:space="0"/>
            </w:tcBorders>
            <w:noWrap/>
            <w:vAlign w:val="center"/>
          </w:tcPr>
          <w:p w14:paraId="7FA43CD5">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5ABEACA4">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5FF1F3C1">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60212DB2">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3E2E5CB">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2969EAC">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7520520">
            <w:pPr>
              <w:pStyle w:val="557"/>
            </w:pPr>
            <w:r>
              <w:rPr>
                <w:rFonts w:hint="eastAsia"/>
              </w:rPr>
              <w:t>0.63</w:t>
            </w:r>
          </w:p>
        </w:tc>
        <w:tc>
          <w:tcPr>
            <w:tcW w:w="349" w:type="pct"/>
            <w:tcBorders>
              <w:top w:val="single" w:color="auto" w:sz="4" w:space="0"/>
              <w:left w:val="single" w:color="auto" w:sz="4" w:space="0"/>
              <w:bottom w:val="single" w:color="auto" w:sz="4" w:space="0"/>
              <w:right w:val="single" w:color="auto" w:sz="4" w:space="0"/>
            </w:tcBorders>
            <w:vAlign w:val="center"/>
          </w:tcPr>
          <w:p w14:paraId="309B71E5">
            <w:pPr>
              <w:pStyle w:val="557"/>
            </w:pPr>
            <w:r>
              <w:rPr>
                <w:rFonts w:hint="eastAsia"/>
              </w:rPr>
              <w:t>/</w:t>
            </w:r>
          </w:p>
        </w:tc>
      </w:tr>
      <w:tr w14:paraId="0701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55C2FFA">
            <w:pPr>
              <w:pStyle w:val="557"/>
            </w:pPr>
            <w:r>
              <w:t>3</w:t>
            </w:r>
          </w:p>
        </w:tc>
        <w:tc>
          <w:tcPr>
            <w:tcW w:w="996" w:type="pct"/>
            <w:tcBorders>
              <w:top w:val="single" w:color="auto" w:sz="4" w:space="0"/>
              <w:left w:val="single" w:color="auto" w:sz="4" w:space="0"/>
              <w:bottom w:val="single" w:color="auto" w:sz="4" w:space="0"/>
              <w:right w:val="single" w:color="auto" w:sz="4" w:space="0"/>
            </w:tcBorders>
            <w:noWrap/>
            <w:vAlign w:val="center"/>
          </w:tcPr>
          <w:p w14:paraId="2CA9678F">
            <w:pPr>
              <w:pStyle w:val="557"/>
            </w:pPr>
            <w:r>
              <w:rPr>
                <w:rFonts w:hint="eastAsia"/>
              </w:rPr>
              <w:t>深冷分离单元无组织排放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79F69557">
            <w:pPr>
              <w:pStyle w:val="557"/>
            </w:pPr>
            <w:r>
              <w:rPr>
                <w:rFonts w:hint="eastAsia"/>
              </w:rPr>
              <w:t>117</w:t>
            </w:r>
          </w:p>
        </w:tc>
        <w:tc>
          <w:tcPr>
            <w:tcW w:w="325" w:type="pct"/>
            <w:tcBorders>
              <w:top w:val="single" w:color="auto" w:sz="4" w:space="0"/>
              <w:left w:val="single" w:color="auto" w:sz="4" w:space="0"/>
              <w:bottom w:val="single" w:color="auto" w:sz="4" w:space="0"/>
              <w:right w:val="single" w:color="auto" w:sz="4" w:space="0"/>
            </w:tcBorders>
            <w:noWrap/>
            <w:vAlign w:val="center"/>
          </w:tcPr>
          <w:p w14:paraId="03CC13E2">
            <w:pPr>
              <w:pStyle w:val="557"/>
            </w:pPr>
            <w:r>
              <w:rPr>
                <w:rFonts w:hint="eastAsia"/>
              </w:rPr>
              <w:t>-43</w:t>
            </w:r>
          </w:p>
        </w:tc>
        <w:tc>
          <w:tcPr>
            <w:tcW w:w="441" w:type="pct"/>
            <w:tcBorders>
              <w:top w:val="single" w:color="auto" w:sz="4" w:space="0"/>
              <w:left w:val="single" w:color="auto" w:sz="4" w:space="0"/>
              <w:bottom w:val="single" w:color="auto" w:sz="4" w:space="0"/>
              <w:right w:val="single" w:color="auto" w:sz="4" w:space="0"/>
            </w:tcBorders>
            <w:noWrap/>
            <w:vAlign w:val="center"/>
          </w:tcPr>
          <w:p w14:paraId="47238085">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380649BB">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6447557C">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1FA76BFC">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4E678A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8AEFA1A">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BBD9F11">
            <w:pPr>
              <w:pStyle w:val="557"/>
            </w:pPr>
            <w:r>
              <w:rPr>
                <w:rFonts w:hint="eastAsia"/>
              </w:rPr>
              <w:t>0.56</w:t>
            </w:r>
          </w:p>
        </w:tc>
        <w:tc>
          <w:tcPr>
            <w:tcW w:w="349" w:type="pct"/>
            <w:tcBorders>
              <w:top w:val="single" w:color="auto" w:sz="4" w:space="0"/>
              <w:left w:val="single" w:color="auto" w:sz="4" w:space="0"/>
              <w:bottom w:val="single" w:color="auto" w:sz="4" w:space="0"/>
              <w:right w:val="single" w:color="auto" w:sz="4" w:space="0"/>
            </w:tcBorders>
            <w:vAlign w:val="center"/>
          </w:tcPr>
          <w:p w14:paraId="348C5765">
            <w:pPr>
              <w:pStyle w:val="557"/>
            </w:pPr>
            <w:r>
              <w:rPr>
                <w:rFonts w:hint="eastAsia"/>
              </w:rPr>
              <w:t>/</w:t>
            </w:r>
          </w:p>
        </w:tc>
      </w:tr>
      <w:tr w14:paraId="4351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46C7F13">
            <w:pPr>
              <w:pStyle w:val="557"/>
            </w:pPr>
            <w:r>
              <w:t>4</w:t>
            </w:r>
          </w:p>
        </w:tc>
        <w:tc>
          <w:tcPr>
            <w:tcW w:w="996" w:type="pct"/>
            <w:tcBorders>
              <w:top w:val="single" w:color="auto" w:sz="4" w:space="0"/>
              <w:left w:val="single" w:color="auto" w:sz="4" w:space="0"/>
              <w:bottom w:val="single" w:color="auto" w:sz="4" w:space="0"/>
              <w:right w:val="single" w:color="auto" w:sz="4" w:space="0"/>
            </w:tcBorders>
            <w:noWrap/>
            <w:vAlign w:val="center"/>
          </w:tcPr>
          <w:p w14:paraId="3153E9F9">
            <w:pPr>
              <w:pStyle w:val="557"/>
            </w:pPr>
            <w:r>
              <w:rPr>
                <w:rFonts w:hint="eastAsia"/>
              </w:rPr>
              <w:t>硫回收单元无组织排放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7B43C8C6">
            <w:pPr>
              <w:pStyle w:val="557"/>
            </w:pPr>
            <w:r>
              <w:rPr>
                <w:rFonts w:hint="eastAsia"/>
              </w:rPr>
              <w:t>9</w:t>
            </w:r>
          </w:p>
        </w:tc>
        <w:tc>
          <w:tcPr>
            <w:tcW w:w="325" w:type="pct"/>
            <w:tcBorders>
              <w:top w:val="single" w:color="auto" w:sz="4" w:space="0"/>
              <w:left w:val="single" w:color="auto" w:sz="4" w:space="0"/>
              <w:bottom w:val="single" w:color="auto" w:sz="4" w:space="0"/>
              <w:right w:val="single" w:color="auto" w:sz="4" w:space="0"/>
            </w:tcBorders>
            <w:noWrap/>
            <w:vAlign w:val="center"/>
          </w:tcPr>
          <w:p w14:paraId="727A5388">
            <w:pPr>
              <w:pStyle w:val="557"/>
            </w:pPr>
            <w:r>
              <w:rPr>
                <w:rFonts w:hint="eastAsia"/>
              </w:rPr>
              <w:t>-66</w:t>
            </w:r>
          </w:p>
        </w:tc>
        <w:tc>
          <w:tcPr>
            <w:tcW w:w="441" w:type="pct"/>
            <w:tcBorders>
              <w:top w:val="single" w:color="auto" w:sz="4" w:space="0"/>
              <w:left w:val="single" w:color="auto" w:sz="4" w:space="0"/>
              <w:bottom w:val="single" w:color="auto" w:sz="4" w:space="0"/>
              <w:right w:val="single" w:color="auto" w:sz="4" w:space="0"/>
            </w:tcBorders>
            <w:noWrap/>
            <w:vAlign w:val="center"/>
          </w:tcPr>
          <w:p w14:paraId="59E36F22">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052B4665">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68383867">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4FD8AB99">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463BE0CD">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22BF89C">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BED2DDE">
            <w:pPr>
              <w:pStyle w:val="557"/>
            </w:pPr>
            <w:r>
              <w:rPr>
                <w:rFonts w:hint="eastAsia"/>
              </w:rPr>
              <w:t>0.49</w:t>
            </w:r>
          </w:p>
        </w:tc>
        <w:tc>
          <w:tcPr>
            <w:tcW w:w="349" w:type="pct"/>
            <w:tcBorders>
              <w:top w:val="single" w:color="auto" w:sz="4" w:space="0"/>
              <w:left w:val="single" w:color="auto" w:sz="4" w:space="0"/>
              <w:bottom w:val="single" w:color="auto" w:sz="4" w:space="0"/>
              <w:right w:val="single" w:color="auto" w:sz="4" w:space="0"/>
            </w:tcBorders>
            <w:vAlign w:val="center"/>
          </w:tcPr>
          <w:p w14:paraId="05059C82">
            <w:pPr>
              <w:pStyle w:val="557"/>
            </w:pPr>
            <w:r>
              <w:rPr>
                <w:rFonts w:hint="eastAsia"/>
              </w:rPr>
              <w:t>/</w:t>
            </w:r>
          </w:p>
        </w:tc>
      </w:tr>
      <w:tr w14:paraId="3CD2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6EC754E">
            <w:pPr>
              <w:pStyle w:val="557"/>
            </w:pPr>
            <w:r>
              <w:t>5</w:t>
            </w:r>
          </w:p>
        </w:tc>
        <w:tc>
          <w:tcPr>
            <w:tcW w:w="996" w:type="pct"/>
            <w:tcBorders>
              <w:top w:val="single" w:color="auto" w:sz="4" w:space="0"/>
              <w:left w:val="single" w:color="auto" w:sz="4" w:space="0"/>
              <w:bottom w:val="single" w:color="auto" w:sz="4" w:space="0"/>
              <w:right w:val="single" w:color="auto" w:sz="4" w:space="0"/>
            </w:tcBorders>
            <w:noWrap/>
            <w:vAlign w:val="center"/>
          </w:tcPr>
          <w:p w14:paraId="285CF9A5">
            <w:pPr>
              <w:pStyle w:val="557"/>
            </w:pPr>
            <w:r>
              <w:rPr>
                <w:rFonts w:hint="eastAsia"/>
              </w:rPr>
              <w:t>合成氨装置无组织排放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11E1ED49">
            <w:pPr>
              <w:pStyle w:val="557"/>
            </w:pPr>
            <w:r>
              <w:rPr>
                <w:rFonts w:hint="eastAsia"/>
              </w:rPr>
              <w:t>66</w:t>
            </w:r>
          </w:p>
        </w:tc>
        <w:tc>
          <w:tcPr>
            <w:tcW w:w="325" w:type="pct"/>
            <w:tcBorders>
              <w:top w:val="single" w:color="auto" w:sz="4" w:space="0"/>
              <w:left w:val="single" w:color="auto" w:sz="4" w:space="0"/>
              <w:bottom w:val="single" w:color="auto" w:sz="4" w:space="0"/>
              <w:right w:val="single" w:color="auto" w:sz="4" w:space="0"/>
            </w:tcBorders>
            <w:noWrap/>
            <w:vAlign w:val="center"/>
          </w:tcPr>
          <w:p w14:paraId="2358C1CB">
            <w:pPr>
              <w:pStyle w:val="557"/>
            </w:pPr>
            <w:r>
              <w:rPr>
                <w:rFonts w:hint="eastAsia"/>
              </w:rPr>
              <w:t>-139</w:t>
            </w:r>
          </w:p>
        </w:tc>
        <w:tc>
          <w:tcPr>
            <w:tcW w:w="441" w:type="pct"/>
            <w:tcBorders>
              <w:top w:val="single" w:color="auto" w:sz="4" w:space="0"/>
              <w:left w:val="single" w:color="auto" w:sz="4" w:space="0"/>
              <w:bottom w:val="single" w:color="auto" w:sz="4" w:space="0"/>
              <w:right w:val="single" w:color="auto" w:sz="4" w:space="0"/>
            </w:tcBorders>
            <w:noWrap/>
            <w:vAlign w:val="center"/>
          </w:tcPr>
          <w:p w14:paraId="1F0F4C09">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28E4AD18">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67D1318E">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5F670B7F">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0F30EB18">
            <w:pPr>
              <w:pStyle w:val="557"/>
            </w:pPr>
            <w:r>
              <w:rPr>
                <w:rFonts w:hint="eastAsia"/>
              </w:rPr>
              <w:t>0.049</w:t>
            </w:r>
          </w:p>
        </w:tc>
        <w:tc>
          <w:tcPr>
            <w:tcW w:w="348" w:type="pct"/>
            <w:tcBorders>
              <w:top w:val="single" w:color="auto" w:sz="4" w:space="0"/>
              <w:left w:val="single" w:color="auto" w:sz="4" w:space="0"/>
              <w:bottom w:val="single" w:color="auto" w:sz="4" w:space="0"/>
              <w:right w:val="single" w:color="auto" w:sz="4" w:space="0"/>
            </w:tcBorders>
            <w:noWrap/>
            <w:vAlign w:val="center"/>
          </w:tcPr>
          <w:p w14:paraId="62B7B708">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3CF59A67">
            <w:pPr>
              <w:pStyle w:val="557"/>
            </w:pPr>
            <w:r>
              <w:rPr>
                <w:rFonts w:hint="eastAsia"/>
              </w:rPr>
              <w:t>/</w:t>
            </w:r>
          </w:p>
        </w:tc>
        <w:tc>
          <w:tcPr>
            <w:tcW w:w="349" w:type="pct"/>
            <w:tcBorders>
              <w:top w:val="single" w:color="auto" w:sz="4" w:space="0"/>
              <w:left w:val="single" w:color="auto" w:sz="4" w:space="0"/>
              <w:bottom w:val="single" w:color="auto" w:sz="4" w:space="0"/>
              <w:right w:val="single" w:color="auto" w:sz="4" w:space="0"/>
            </w:tcBorders>
            <w:vAlign w:val="center"/>
          </w:tcPr>
          <w:p w14:paraId="35313BDB">
            <w:pPr>
              <w:pStyle w:val="557"/>
            </w:pPr>
            <w:r>
              <w:rPr>
                <w:rFonts w:hint="eastAsia"/>
              </w:rPr>
              <w:t>/</w:t>
            </w:r>
          </w:p>
        </w:tc>
      </w:tr>
      <w:tr w14:paraId="6610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4AD1CD1">
            <w:pPr>
              <w:pStyle w:val="557"/>
            </w:pPr>
            <w:r>
              <w:t>6</w:t>
            </w:r>
          </w:p>
        </w:tc>
        <w:tc>
          <w:tcPr>
            <w:tcW w:w="996" w:type="pct"/>
            <w:tcBorders>
              <w:top w:val="single" w:color="auto" w:sz="4" w:space="0"/>
              <w:left w:val="single" w:color="auto" w:sz="4" w:space="0"/>
              <w:bottom w:val="single" w:color="auto" w:sz="4" w:space="0"/>
              <w:right w:val="single" w:color="auto" w:sz="4" w:space="0"/>
            </w:tcBorders>
            <w:noWrap/>
            <w:vAlign w:val="center"/>
          </w:tcPr>
          <w:p w14:paraId="60377582">
            <w:pPr>
              <w:pStyle w:val="557"/>
            </w:pPr>
            <w:r>
              <w:rPr>
                <w:rFonts w:hint="eastAsia"/>
              </w:rPr>
              <w:t>DMO装置无组织废气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4AA3F888">
            <w:pPr>
              <w:pStyle w:val="557"/>
            </w:pPr>
            <w:r>
              <w:rPr>
                <w:rFonts w:hint="eastAsia"/>
              </w:rPr>
              <w:t>102</w:t>
            </w:r>
          </w:p>
        </w:tc>
        <w:tc>
          <w:tcPr>
            <w:tcW w:w="325" w:type="pct"/>
            <w:tcBorders>
              <w:top w:val="single" w:color="auto" w:sz="4" w:space="0"/>
              <w:left w:val="single" w:color="auto" w:sz="4" w:space="0"/>
              <w:bottom w:val="single" w:color="auto" w:sz="4" w:space="0"/>
              <w:right w:val="single" w:color="auto" w:sz="4" w:space="0"/>
            </w:tcBorders>
            <w:noWrap/>
            <w:vAlign w:val="center"/>
          </w:tcPr>
          <w:p w14:paraId="0F82605C">
            <w:pPr>
              <w:pStyle w:val="557"/>
            </w:pPr>
            <w:r>
              <w:rPr>
                <w:rFonts w:hint="eastAsia"/>
              </w:rPr>
              <w:t>169</w:t>
            </w:r>
          </w:p>
        </w:tc>
        <w:tc>
          <w:tcPr>
            <w:tcW w:w="441" w:type="pct"/>
            <w:tcBorders>
              <w:top w:val="single" w:color="auto" w:sz="4" w:space="0"/>
              <w:left w:val="single" w:color="auto" w:sz="4" w:space="0"/>
              <w:bottom w:val="single" w:color="auto" w:sz="4" w:space="0"/>
              <w:right w:val="single" w:color="auto" w:sz="4" w:space="0"/>
            </w:tcBorders>
            <w:noWrap/>
            <w:vAlign w:val="center"/>
          </w:tcPr>
          <w:p w14:paraId="17B772EE">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73C0CF34">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46D9E751">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308BD7C8">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FE1E6D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18611E52">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0D4F865">
            <w:pPr>
              <w:pStyle w:val="557"/>
            </w:pPr>
            <w:r>
              <w:rPr>
                <w:rFonts w:hint="eastAsia"/>
              </w:rPr>
              <w:t>0.52</w:t>
            </w:r>
          </w:p>
        </w:tc>
        <w:tc>
          <w:tcPr>
            <w:tcW w:w="349" w:type="pct"/>
            <w:tcBorders>
              <w:top w:val="single" w:color="auto" w:sz="4" w:space="0"/>
              <w:left w:val="single" w:color="auto" w:sz="4" w:space="0"/>
              <w:bottom w:val="single" w:color="auto" w:sz="4" w:space="0"/>
              <w:right w:val="single" w:color="auto" w:sz="4" w:space="0"/>
            </w:tcBorders>
            <w:vAlign w:val="center"/>
          </w:tcPr>
          <w:p w14:paraId="654A14E7">
            <w:pPr>
              <w:pStyle w:val="557"/>
            </w:pPr>
            <w:r>
              <w:rPr>
                <w:rFonts w:hint="eastAsia"/>
              </w:rPr>
              <w:t>/</w:t>
            </w:r>
          </w:p>
        </w:tc>
      </w:tr>
      <w:tr w14:paraId="2216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2EFF251C">
            <w:pPr>
              <w:pStyle w:val="557"/>
            </w:pPr>
            <w:r>
              <w:t>7</w:t>
            </w:r>
          </w:p>
        </w:tc>
        <w:tc>
          <w:tcPr>
            <w:tcW w:w="996" w:type="pct"/>
            <w:tcBorders>
              <w:top w:val="single" w:color="auto" w:sz="4" w:space="0"/>
              <w:left w:val="single" w:color="auto" w:sz="4" w:space="0"/>
              <w:bottom w:val="single" w:color="auto" w:sz="4" w:space="0"/>
              <w:right w:val="single" w:color="auto" w:sz="4" w:space="0"/>
            </w:tcBorders>
            <w:noWrap/>
            <w:vAlign w:val="center"/>
          </w:tcPr>
          <w:p w14:paraId="0D3F7346">
            <w:pPr>
              <w:pStyle w:val="557"/>
            </w:pPr>
            <w:r>
              <w:rPr>
                <w:rFonts w:hint="eastAsia"/>
              </w:rPr>
              <w:t>草酰胺装置无组织排放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5635FE93">
            <w:pPr>
              <w:pStyle w:val="557"/>
            </w:pPr>
            <w:r>
              <w:rPr>
                <w:rFonts w:hint="eastAsia"/>
              </w:rPr>
              <w:t>-327</w:t>
            </w:r>
          </w:p>
        </w:tc>
        <w:tc>
          <w:tcPr>
            <w:tcW w:w="325" w:type="pct"/>
            <w:tcBorders>
              <w:top w:val="single" w:color="auto" w:sz="4" w:space="0"/>
              <w:left w:val="single" w:color="auto" w:sz="4" w:space="0"/>
              <w:bottom w:val="single" w:color="auto" w:sz="4" w:space="0"/>
              <w:right w:val="single" w:color="auto" w:sz="4" w:space="0"/>
            </w:tcBorders>
            <w:noWrap/>
            <w:vAlign w:val="center"/>
          </w:tcPr>
          <w:p w14:paraId="70742571">
            <w:pPr>
              <w:pStyle w:val="557"/>
            </w:pPr>
            <w:r>
              <w:rPr>
                <w:rFonts w:hint="eastAsia"/>
              </w:rPr>
              <w:t>177</w:t>
            </w:r>
          </w:p>
        </w:tc>
        <w:tc>
          <w:tcPr>
            <w:tcW w:w="441" w:type="pct"/>
            <w:tcBorders>
              <w:top w:val="single" w:color="auto" w:sz="4" w:space="0"/>
              <w:left w:val="single" w:color="auto" w:sz="4" w:space="0"/>
              <w:bottom w:val="single" w:color="auto" w:sz="4" w:space="0"/>
              <w:right w:val="single" w:color="auto" w:sz="4" w:space="0"/>
            </w:tcBorders>
            <w:noWrap/>
            <w:vAlign w:val="center"/>
          </w:tcPr>
          <w:p w14:paraId="32CD4A4D">
            <w:pPr>
              <w:pStyle w:val="557"/>
            </w:pPr>
            <w:r>
              <w:rPr>
                <w:rFonts w:hint="eastAsia"/>
              </w:rPr>
              <w:t>80</w:t>
            </w:r>
          </w:p>
        </w:tc>
        <w:tc>
          <w:tcPr>
            <w:tcW w:w="441" w:type="pct"/>
            <w:tcBorders>
              <w:top w:val="single" w:color="auto" w:sz="4" w:space="0"/>
              <w:left w:val="single" w:color="auto" w:sz="4" w:space="0"/>
              <w:bottom w:val="single" w:color="auto" w:sz="4" w:space="0"/>
              <w:right w:val="single" w:color="auto" w:sz="4" w:space="0"/>
            </w:tcBorders>
            <w:noWrap/>
            <w:vAlign w:val="center"/>
          </w:tcPr>
          <w:p w14:paraId="08A83555">
            <w:pPr>
              <w:pStyle w:val="557"/>
            </w:pPr>
            <w:r>
              <w:rPr>
                <w:rFonts w:hint="eastAsia"/>
              </w:rPr>
              <w:t>70</w:t>
            </w:r>
          </w:p>
        </w:tc>
        <w:tc>
          <w:tcPr>
            <w:tcW w:w="441" w:type="pct"/>
            <w:tcBorders>
              <w:top w:val="single" w:color="auto" w:sz="4" w:space="0"/>
              <w:left w:val="single" w:color="auto" w:sz="4" w:space="0"/>
              <w:bottom w:val="single" w:color="auto" w:sz="4" w:space="0"/>
              <w:right w:val="single" w:color="auto" w:sz="4" w:space="0"/>
            </w:tcBorders>
            <w:noWrap/>
            <w:vAlign w:val="center"/>
          </w:tcPr>
          <w:p w14:paraId="3812AAB0">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3F2AED3E">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6CDC2C0D">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5592E855">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FE7D739">
            <w:pPr>
              <w:pStyle w:val="557"/>
            </w:pPr>
            <w:r>
              <w:rPr>
                <w:rFonts w:hint="eastAsia"/>
              </w:rPr>
              <w:t>0.54</w:t>
            </w:r>
          </w:p>
        </w:tc>
        <w:tc>
          <w:tcPr>
            <w:tcW w:w="349" w:type="pct"/>
            <w:tcBorders>
              <w:top w:val="single" w:color="auto" w:sz="4" w:space="0"/>
              <w:left w:val="single" w:color="auto" w:sz="4" w:space="0"/>
              <w:bottom w:val="single" w:color="auto" w:sz="4" w:space="0"/>
              <w:right w:val="single" w:color="auto" w:sz="4" w:space="0"/>
            </w:tcBorders>
            <w:vAlign w:val="center"/>
          </w:tcPr>
          <w:p w14:paraId="7C389772">
            <w:pPr>
              <w:pStyle w:val="557"/>
            </w:pPr>
            <w:r>
              <w:rPr>
                <w:rFonts w:hint="eastAsia"/>
              </w:rPr>
              <w:t>/</w:t>
            </w:r>
          </w:p>
        </w:tc>
      </w:tr>
      <w:tr w14:paraId="367B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392C0BB">
            <w:pPr>
              <w:pStyle w:val="557"/>
            </w:pPr>
            <w:r>
              <w:t>8</w:t>
            </w:r>
          </w:p>
        </w:tc>
        <w:tc>
          <w:tcPr>
            <w:tcW w:w="996" w:type="pct"/>
            <w:tcBorders>
              <w:top w:val="single" w:color="auto" w:sz="4" w:space="0"/>
              <w:left w:val="single" w:color="auto" w:sz="4" w:space="0"/>
              <w:bottom w:val="single" w:color="auto" w:sz="4" w:space="0"/>
              <w:right w:val="single" w:color="auto" w:sz="4" w:space="0"/>
            </w:tcBorders>
            <w:noWrap/>
            <w:vAlign w:val="center"/>
          </w:tcPr>
          <w:p w14:paraId="0FF8BDAC">
            <w:pPr>
              <w:pStyle w:val="557"/>
            </w:pPr>
            <w:r>
              <w:rPr>
                <w:rFonts w:hint="eastAsia"/>
              </w:rPr>
              <w:t>污水处理站（无组织排放）</w:t>
            </w:r>
          </w:p>
        </w:tc>
        <w:tc>
          <w:tcPr>
            <w:tcW w:w="324" w:type="pct"/>
            <w:tcBorders>
              <w:top w:val="single" w:color="auto" w:sz="4" w:space="0"/>
              <w:left w:val="single" w:color="auto" w:sz="4" w:space="0"/>
              <w:bottom w:val="single" w:color="auto" w:sz="4" w:space="0"/>
              <w:right w:val="single" w:color="auto" w:sz="4" w:space="0"/>
            </w:tcBorders>
            <w:noWrap/>
            <w:vAlign w:val="center"/>
          </w:tcPr>
          <w:p w14:paraId="54912D00">
            <w:pPr>
              <w:pStyle w:val="557"/>
            </w:pPr>
            <w:r>
              <w:rPr>
                <w:rFonts w:hint="eastAsia"/>
              </w:rPr>
              <w:t>107</w:t>
            </w:r>
          </w:p>
        </w:tc>
        <w:tc>
          <w:tcPr>
            <w:tcW w:w="325" w:type="pct"/>
            <w:tcBorders>
              <w:top w:val="single" w:color="auto" w:sz="4" w:space="0"/>
              <w:left w:val="single" w:color="auto" w:sz="4" w:space="0"/>
              <w:bottom w:val="single" w:color="auto" w:sz="4" w:space="0"/>
              <w:right w:val="single" w:color="auto" w:sz="4" w:space="0"/>
            </w:tcBorders>
            <w:noWrap/>
            <w:vAlign w:val="center"/>
          </w:tcPr>
          <w:p w14:paraId="607837B5">
            <w:pPr>
              <w:pStyle w:val="557"/>
            </w:pPr>
            <w:r>
              <w:rPr>
                <w:rFonts w:hint="eastAsia"/>
              </w:rPr>
              <w:t>238</w:t>
            </w:r>
          </w:p>
        </w:tc>
        <w:tc>
          <w:tcPr>
            <w:tcW w:w="441" w:type="pct"/>
            <w:tcBorders>
              <w:top w:val="single" w:color="auto" w:sz="4" w:space="0"/>
              <w:left w:val="single" w:color="auto" w:sz="4" w:space="0"/>
              <w:bottom w:val="single" w:color="auto" w:sz="4" w:space="0"/>
              <w:right w:val="single" w:color="auto" w:sz="4" w:space="0"/>
            </w:tcBorders>
            <w:noWrap/>
            <w:vAlign w:val="center"/>
          </w:tcPr>
          <w:p w14:paraId="7EFE0B5E">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73071593">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71D38F20">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5C26C006">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55A19AB1">
            <w:pPr>
              <w:pStyle w:val="557"/>
            </w:pPr>
            <w:r>
              <w:rPr>
                <w:rFonts w:hint="eastAsia"/>
              </w:rPr>
              <w:t>0.002</w:t>
            </w:r>
          </w:p>
        </w:tc>
        <w:tc>
          <w:tcPr>
            <w:tcW w:w="348" w:type="pct"/>
            <w:tcBorders>
              <w:top w:val="single" w:color="auto" w:sz="4" w:space="0"/>
              <w:left w:val="single" w:color="auto" w:sz="4" w:space="0"/>
              <w:bottom w:val="single" w:color="auto" w:sz="4" w:space="0"/>
              <w:right w:val="single" w:color="auto" w:sz="4" w:space="0"/>
            </w:tcBorders>
            <w:noWrap/>
            <w:vAlign w:val="center"/>
          </w:tcPr>
          <w:p w14:paraId="33B86373">
            <w:pPr>
              <w:pStyle w:val="557"/>
            </w:pPr>
            <w:r>
              <w:rPr>
                <w:rFonts w:hint="eastAsia"/>
              </w:rPr>
              <w:t>0.001</w:t>
            </w:r>
          </w:p>
        </w:tc>
        <w:tc>
          <w:tcPr>
            <w:tcW w:w="348" w:type="pct"/>
            <w:tcBorders>
              <w:top w:val="single" w:color="auto" w:sz="4" w:space="0"/>
              <w:left w:val="single" w:color="auto" w:sz="4" w:space="0"/>
              <w:bottom w:val="single" w:color="auto" w:sz="4" w:space="0"/>
              <w:right w:val="single" w:color="auto" w:sz="4" w:space="0"/>
            </w:tcBorders>
            <w:noWrap/>
            <w:vAlign w:val="center"/>
          </w:tcPr>
          <w:p w14:paraId="43CC02E0">
            <w:pPr>
              <w:pStyle w:val="557"/>
            </w:pPr>
            <w:r>
              <w:rPr>
                <w:rFonts w:hint="eastAsia"/>
              </w:rPr>
              <w:t>0.31</w:t>
            </w:r>
          </w:p>
        </w:tc>
        <w:tc>
          <w:tcPr>
            <w:tcW w:w="349" w:type="pct"/>
            <w:tcBorders>
              <w:top w:val="single" w:color="auto" w:sz="4" w:space="0"/>
              <w:left w:val="single" w:color="auto" w:sz="4" w:space="0"/>
              <w:bottom w:val="single" w:color="auto" w:sz="4" w:space="0"/>
              <w:right w:val="single" w:color="auto" w:sz="4" w:space="0"/>
            </w:tcBorders>
            <w:vAlign w:val="center"/>
          </w:tcPr>
          <w:p w14:paraId="04972BE3">
            <w:pPr>
              <w:pStyle w:val="557"/>
            </w:pPr>
            <w:r>
              <w:rPr>
                <w:rFonts w:hint="eastAsia"/>
              </w:rPr>
              <w:t>/</w:t>
            </w:r>
          </w:p>
        </w:tc>
      </w:tr>
      <w:tr w14:paraId="75AE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47E3054">
            <w:pPr>
              <w:pStyle w:val="557"/>
            </w:pPr>
            <w:r>
              <w:t>9</w:t>
            </w:r>
          </w:p>
        </w:tc>
        <w:tc>
          <w:tcPr>
            <w:tcW w:w="996" w:type="pct"/>
            <w:tcBorders>
              <w:top w:val="single" w:color="auto" w:sz="4" w:space="0"/>
              <w:left w:val="single" w:color="auto" w:sz="4" w:space="0"/>
              <w:bottom w:val="single" w:color="auto" w:sz="4" w:space="0"/>
              <w:right w:val="single" w:color="auto" w:sz="4" w:space="0"/>
            </w:tcBorders>
            <w:noWrap/>
            <w:vAlign w:val="center"/>
          </w:tcPr>
          <w:p w14:paraId="6810CFB8">
            <w:pPr>
              <w:pStyle w:val="557"/>
            </w:pPr>
            <w:r>
              <w:rPr>
                <w:rFonts w:hint="eastAsia"/>
              </w:rPr>
              <w:t>循环水场</w:t>
            </w:r>
          </w:p>
        </w:tc>
        <w:tc>
          <w:tcPr>
            <w:tcW w:w="324" w:type="pct"/>
            <w:tcBorders>
              <w:top w:val="single" w:color="auto" w:sz="4" w:space="0"/>
              <w:left w:val="single" w:color="auto" w:sz="4" w:space="0"/>
              <w:bottom w:val="single" w:color="auto" w:sz="4" w:space="0"/>
              <w:right w:val="single" w:color="auto" w:sz="4" w:space="0"/>
            </w:tcBorders>
            <w:noWrap/>
            <w:vAlign w:val="center"/>
          </w:tcPr>
          <w:p w14:paraId="67FDB170">
            <w:pPr>
              <w:pStyle w:val="557"/>
            </w:pPr>
            <w:r>
              <w:rPr>
                <w:rFonts w:hint="eastAsia"/>
              </w:rPr>
              <w:t>10</w:t>
            </w:r>
          </w:p>
        </w:tc>
        <w:tc>
          <w:tcPr>
            <w:tcW w:w="325" w:type="pct"/>
            <w:tcBorders>
              <w:top w:val="single" w:color="auto" w:sz="4" w:space="0"/>
              <w:left w:val="single" w:color="auto" w:sz="4" w:space="0"/>
              <w:bottom w:val="single" w:color="auto" w:sz="4" w:space="0"/>
              <w:right w:val="single" w:color="auto" w:sz="4" w:space="0"/>
            </w:tcBorders>
            <w:noWrap/>
            <w:vAlign w:val="center"/>
          </w:tcPr>
          <w:p w14:paraId="0A8D0F99">
            <w:pPr>
              <w:pStyle w:val="557"/>
            </w:pPr>
            <w:r>
              <w:rPr>
                <w:rFonts w:hint="eastAsia"/>
              </w:rPr>
              <w:t>267</w:t>
            </w:r>
          </w:p>
        </w:tc>
        <w:tc>
          <w:tcPr>
            <w:tcW w:w="441" w:type="pct"/>
            <w:tcBorders>
              <w:top w:val="single" w:color="auto" w:sz="4" w:space="0"/>
              <w:left w:val="single" w:color="auto" w:sz="4" w:space="0"/>
              <w:bottom w:val="single" w:color="auto" w:sz="4" w:space="0"/>
              <w:right w:val="single" w:color="auto" w:sz="4" w:space="0"/>
            </w:tcBorders>
            <w:noWrap/>
            <w:vAlign w:val="center"/>
          </w:tcPr>
          <w:p w14:paraId="609C285D">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61C55212">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69EA7805">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630B3ED7">
            <w:pPr>
              <w:pStyle w:val="557"/>
            </w:pPr>
            <w:r>
              <w:rPr>
                <w:rFonts w:hint="eastAsia"/>
              </w:rPr>
              <w:t>18</w:t>
            </w:r>
          </w:p>
        </w:tc>
        <w:tc>
          <w:tcPr>
            <w:tcW w:w="348" w:type="pct"/>
            <w:tcBorders>
              <w:top w:val="single" w:color="auto" w:sz="4" w:space="0"/>
              <w:left w:val="single" w:color="auto" w:sz="4" w:space="0"/>
              <w:bottom w:val="single" w:color="auto" w:sz="4" w:space="0"/>
              <w:right w:val="single" w:color="auto" w:sz="4" w:space="0"/>
            </w:tcBorders>
            <w:noWrap/>
            <w:vAlign w:val="center"/>
          </w:tcPr>
          <w:p w14:paraId="4176B4F1">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2085E8A">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161F9792">
            <w:pPr>
              <w:pStyle w:val="557"/>
            </w:pPr>
            <w:r>
              <w:rPr>
                <w:rFonts w:hint="eastAsia"/>
              </w:rPr>
              <w:t>3.36</w:t>
            </w:r>
          </w:p>
        </w:tc>
        <w:tc>
          <w:tcPr>
            <w:tcW w:w="349" w:type="pct"/>
            <w:tcBorders>
              <w:top w:val="single" w:color="auto" w:sz="4" w:space="0"/>
              <w:left w:val="single" w:color="auto" w:sz="4" w:space="0"/>
              <w:bottom w:val="single" w:color="auto" w:sz="4" w:space="0"/>
              <w:right w:val="single" w:color="auto" w:sz="4" w:space="0"/>
            </w:tcBorders>
            <w:vAlign w:val="center"/>
          </w:tcPr>
          <w:p w14:paraId="550681CC">
            <w:pPr>
              <w:pStyle w:val="557"/>
            </w:pPr>
            <w:r>
              <w:rPr>
                <w:rFonts w:hint="eastAsia"/>
              </w:rPr>
              <w:t>/</w:t>
            </w:r>
          </w:p>
        </w:tc>
      </w:tr>
      <w:tr w14:paraId="4280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3E41F522">
            <w:pPr>
              <w:pStyle w:val="557"/>
            </w:pPr>
            <w:r>
              <w:t>10</w:t>
            </w:r>
          </w:p>
        </w:tc>
        <w:tc>
          <w:tcPr>
            <w:tcW w:w="996" w:type="pct"/>
            <w:tcBorders>
              <w:top w:val="single" w:color="auto" w:sz="4" w:space="0"/>
              <w:left w:val="single" w:color="auto" w:sz="4" w:space="0"/>
              <w:bottom w:val="single" w:color="auto" w:sz="4" w:space="0"/>
              <w:right w:val="single" w:color="auto" w:sz="4" w:space="0"/>
            </w:tcBorders>
            <w:noWrap/>
            <w:vAlign w:val="center"/>
          </w:tcPr>
          <w:p w14:paraId="0365F717">
            <w:pPr>
              <w:pStyle w:val="557"/>
            </w:pPr>
            <w:r>
              <w:rPr>
                <w:rFonts w:hint="eastAsia"/>
              </w:rPr>
              <w:t>空分装置循环水站</w:t>
            </w:r>
          </w:p>
        </w:tc>
        <w:tc>
          <w:tcPr>
            <w:tcW w:w="324" w:type="pct"/>
            <w:tcBorders>
              <w:top w:val="single" w:color="auto" w:sz="4" w:space="0"/>
              <w:left w:val="single" w:color="auto" w:sz="4" w:space="0"/>
              <w:bottom w:val="single" w:color="auto" w:sz="4" w:space="0"/>
              <w:right w:val="single" w:color="auto" w:sz="4" w:space="0"/>
            </w:tcBorders>
            <w:noWrap/>
            <w:vAlign w:val="center"/>
          </w:tcPr>
          <w:p w14:paraId="79C4E9BF">
            <w:pPr>
              <w:pStyle w:val="557"/>
            </w:pPr>
            <w:r>
              <w:rPr>
                <w:rFonts w:hint="eastAsia"/>
              </w:rPr>
              <w:t>-239</w:t>
            </w:r>
          </w:p>
        </w:tc>
        <w:tc>
          <w:tcPr>
            <w:tcW w:w="325" w:type="pct"/>
            <w:tcBorders>
              <w:top w:val="single" w:color="auto" w:sz="4" w:space="0"/>
              <w:left w:val="single" w:color="auto" w:sz="4" w:space="0"/>
              <w:bottom w:val="single" w:color="auto" w:sz="4" w:space="0"/>
              <w:right w:val="single" w:color="auto" w:sz="4" w:space="0"/>
            </w:tcBorders>
            <w:noWrap/>
            <w:vAlign w:val="center"/>
          </w:tcPr>
          <w:p w14:paraId="12482DAA">
            <w:pPr>
              <w:pStyle w:val="557"/>
            </w:pPr>
            <w:r>
              <w:rPr>
                <w:rFonts w:hint="eastAsia"/>
              </w:rPr>
              <w:t>169</w:t>
            </w:r>
          </w:p>
        </w:tc>
        <w:tc>
          <w:tcPr>
            <w:tcW w:w="441" w:type="pct"/>
            <w:tcBorders>
              <w:top w:val="single" w:color="auto" w:sz="4" w:space="0"/>
              <w:left w:val="single" w:color="auto" w:sz="4" w:space="0"/>
              <w:bottom w:val="single" w:color="auto" w:sz="4" w:space="0"/>
              <w:right w:val="single" w:color="auto" w:sz="4" w:space="0"/>
            </w:tcBorders>
            <w:noWrap/>
            <w:vAlign w:val="center"/>
          </w:tcPr>
          <w:p w14:paraId="760C8E2C">
            <w:pPr>
              <w:pStyle w:val="557"/>
            </w:pPr>
            <w:r>
              <w:rPr>
                <w:rFonts w:hint="eastAsia"/>
              </w:rPr>
              <w:t>50</w:t>
            </w:r>
          </w:p>
        </w:tc>
        <w:tc>
          <w:tcPr>
            <w:tcW w:w="441" w:type="pct"/>
            <w:tcBorders>
              <w:top w:val="single" w:color="auto" w:sz="4" w:space="0"/>
              <w:left w:val="single" w:color="auto" w:sz="4" w:space="0"/>
              <w:bottom w:val="single" w:color="auto" w:sz="4" w:space="0"/>
              <w:right w:val="single" w:color="auto" w:sz="4" w:space="0"/>
            </w:tcBorders>
            <w:noWrap/>
            <w:vAlign w:val="center"/>
          </w:tcPr>
          <w:p w14:paraId="5AB72FC2">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40B01665">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3E57F044">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4EA936CC">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CA7FEA2">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63E0747A">
            <w:pPr>
              <w:pStyle w:val="557"/>
            </w:pPr>
            <w:r>
              <w:rPr>
                <w:rFonts w:hint="eastAsia"/>
              </w:rPr>
              <w:t>0.32</w:t>
            </w:r>
          </w:p>
        </w:tc>
        <w:tc>
          <w:tcPr>
            <w:tcW w:w="349" w:type="pct"/>
            <w:tcBorders>
              <w:top w:val="single" w:color="auto" w:sz="4" w:space="0"/>
              <w:left w:val="single" w:color="auto" w:sz="4" w:space="0"/>
              <w:bottom w:val="single" w:color="auto" w:sz="4" w:space="0"/>
              <w:right w:val="single" w:color="auto" w:sz="4" w:space="0"/>
            </w:tcBorders>
            <w:vAlign w:val="center"/>
          </w:tcPr>
          <w:p w14:paraId="34E14E2D">
            <w:pPr>
              <w:pStyle w:val="557"/>
            </w:pPr>
            <w:r>
              <w:rPr>
                <w:rFonts w:hint="eastAsia"/>
              </w:rPr>
              <w:t>/</w:t>
            </w:r>
          </w:p>
        </w:tc>
      </w:tr>
      <w:tr w14:paraId="657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68862A5D">
            <w:pPr>
              <w:pStyle w:val="557"/>
            </w:pPr>
            <w:r>
              <w:rPr>
                <w:rFonts w:hint="eastAsia"/>
              </w:rPr>
              <w:t>11</w:t>
            </w:r>
          </w:p>
        </w:tc>
        <w:tc>
          <w:tcPr>
            <w:tcW w:w="996" w:type="pct"/>
            <w:tcBorders>
              <w:top w:val="single" w:color="auto" w:sz="4" w:space="0"/>
              <w:left w:val="single" w:color="auto" w:sz="4" w:space="0"/>
              <w:bottom w:val="single" w:color="auto" w:sz="4" w:space="0"/>
              <w:right w:val="single" w:color="auto" w:sz="4" w:space="0"/>
            </w:tcBorders>
            <w:noWrap/>
            <w:vAlign w:val="center"/>
          </w:tcPr>
          <w:p w14:paraId="7E142818">
            <w:pPr>
              <w:pStyle w:val="557"/>
            </w:pPr>
            <w:r>
              <w:rPr>
                <w:rFonts w:hint="eastAsia"/>
              </w:rPr>
              <w:t>综合罐组无组织废气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665319A7">
            <w:pPr>
              <w:pStyle w:val="557"/>
            </w:pPr>
            <w:r>
              <w:rPr>
                <w:rFonts w:hint="eastAsia"/>
              </w:rPr>
              <w:t>115</w:t>
            </w:r>
          </w:p>
        </w:tc>
        <w:tc>
          <w:tcPr>
            <w:tcW w:w="325" w:type="pct"/>
            <w:tcBorders>
              <w:top w:val="single" w:color="auto" w:sz="4" w:space="0"/>
              <w:left w:val="single" w:color="auto" w:sz="4" w:space="0"/>
              <w:bottom w:val="single" w:color="auto" w:sz="4" w:space="0"/>
              <w:right w:val="single" w:color="auto" w:sz="4" w:space="0"/>
            </w:tcBorders>
            <w:noWrap/>
            <w:vAlign w:val="center"/>
          </w:tcPr>
          <w:p w14:paraId="1D0BFC1A">
            <w:pPr>
              <w:pStyle w:val="557"/>
            </w:pPr>
            <w:r>
              <w:rPr>
                <w:rFonts w:hint="eastAsia"/>
              </w:rPr>
              <w:t>-201</w:t>
            </w:r>
          </w:p>
        </w:tc>
        <w:tc>
          <w:tcPr>
            <w:tcW w:w="441" w:type="pct"/>
            <w:tcBorders>
              <w:top w:val="single" w:color="auto" w:sz="4" w:space="0"/>
              <w:left w:val="single" w:color="auto" w:sz="4" w:space="0"/>
              <w:bottom w:val="single" w:color="auto" w:sz="4" w:space="0"/>
              <w:right w:val="single" w:color="auto" w:sz="4" w:space="0"/>
            </w:tcBorders>
            <w:noWrap/>
            <w:vAlign w:val="center"/>
          </w:tcPr>
          <w:p w14:paraId="6FD34284">
            <w:pPr>
              <w:pStyle w:val="557"/>
            </w:pPr>
            <w:r>
              <w:rPr>
                <w:rFonts w:hint="eastAsia"/>
              </w:rPr>
              <w:t>100</w:t>
            </w:r>
          </w:p>
        </w:tc>
        <w:tc>
          <w:tcPr>
            <w:tcW w:w="441" w:type="pct"/>
            <w:tcBorders>
              <w:top w:val="single" w:color="auto" w:sz="4" w:space="0"/>
              <w:left w:val="single" w:color="auto" w:sz="4" w:space="0"/>
              <w:bottom w:val="single" w:color="auto" w:sz="4" w:space="0"/>
              <w:right w:val="single" w:color="auto" w:sz="4" w:space="0"/>
            </w:tcBorders>
            <w:noWrap/>
            <w:vAlign w:val="center"/>
          </w:tcPr>
          <w:p w14:paraId="16ABB053">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5398290F">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0F6BF42D">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3B832004">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306FFFBD">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53B2B7AC">
            <w:pPr>
              <w:pStyle w:val="557"/>
            </w:pPr>
            <w:r>
              <w:rPr>
                <w:rFonts w:hint="eastAsia"/>
              </w:rPr>
              <w:t>0.030125</w:t>
            </w:r>
          </w:p>
        </w:tc>
        <w:tc>
          <w:tcPr>
            <w:tcW w:w="349" w:type="pct"/>
            <w:tcBorders>
              <w:top w:val="single" w:color="auto" w:sz="4" w:space="0"/>
              <w:left w:val="single" w:color="auto" w:sz="4" w:space="0"/>
              <w:bottom w:val="single" w:color="auto" w:sz="4" w:space="0"/>
              <w:right w:val="single" w:color="auto" w:sz="4" w:space="0"/>
            </w:tcBorders>
            <w:vAlign w:val="center"/>
          </w:tcPr>
          <w:p w14:paraId="0A3D1C4D">
            <w:pPr>
              <w:pStyle w:val="557"/>
            </w:pPr>
            <w:r>
              <w:rPr>
                <w:rFonts w:hint="eastAsia"/>
              </w:rPr>
              <w:t>/</w:t>
            </w:r>
          </w:p>
        </w:tc>
      </w:tr>
      <w:tr w14:paraId="2A83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187BA8A0">
            <w:pPr>
              <w:pStyle w:val="557"/>
            </w:pPr>
            <w:r>
              <w:rPr>
                <w:rFonts w:hint="eastAsia"/>
              </w:rPr>
              <w:t>12</w:t>
            </w:r>
          </w:p>
        </w:tc>
        <w:tc>
          <w:tcPr>
            <w:tcW w:w="996" w:type="pct"/>
            <w:tcBorders>
              <w:top w:val="single" w:color="auto" w:sz="4" w:space="0"/>
              <w:left w:val="single" w:color="auto" w:sz="4" w:space="0"/>
              <w:bottom w:val="single" w:color="auto" w:sz="4" w:space="0"/>
              <w:right w:val="single" w:color="auto" w:sz="4" w:space="0"/>
            </w:tcBorders>
            <w:noWrap/>
            <w:vAlign w:val="center"/>
          </w:tcPr>
          <w:p w14:paraId="5B00AEDB">
            <w:pPr>
              <w:pStyle w:val="557"/>
            </w:pPr>
            <w:r>
              <w:rPr>
                <w:rFonts w:hint="eastAsia"/>
              </w:rPr>
              <w:t>亚硝酸甲酯罐组</w:t>
            </w:r>
          </w:p>
        </w:tc>
        <w:tc>
          <w:tcPr>
            <w:tcW w:w="324" w:type="pct"/>
            <w:tcBorders>
              <w:top w:val="single" w:color="auto" w:sz="4" w:space="0"/>
              <w:left w:val="single" w:color="auto" w:sz="4" w:space="0"/>
              <w:bottom w:val="single" w:color="auto" w:sz="4" w:space="0"/>
              <w:right w:val="single" w:color="auto" w:sz="4" w:space="0"/>
            </w:tcBorders>
            <w:noWrap/>
            <w:vAlign w:val="center"/>
          </w:tcPr>
          <w:p w14:paraId="4440F242">
            <w:pPr>
              <w:pStyle w:val="557"/>
            </w:pPr>
            <w:r>
              <w:rPr>
                <w:rFonts w:hint="eastAsia"/>
              </w:rPr>
              <w:t>231</w:t>
            </w:r>
          </w:p>
        </w:tc>
        <w:tc>
          <w:tcPr>
            <w:tcW w:w="325" w:type="pct"/>
            <w:tcBorders>
              <w:top w:val="single" w:color="auto" w:sz="4" w:space="0"/>
              <w:left w:val="single" w:color="auto" w:sz="4" w:space="0"/>
              <w:bottom w:val="single" w:color="auto" w:sz="4" w:space="0"/>
              <w:right w:val="single" w:color="auto" w:sz="4" w:space="0"/>
            </w:tcBorders>
            <w:noWrap/>
            <w:vAlign w:val="center"/>
          </w:tcPr>
          <w:p w14:paraId="0A9A9AA2">
            <w:pPr>
              <w:pStyle w:val="557"/>
            </w:pPr>
            <w:r>
              <w:rPr>
                <w:rFonts w:hint="eastAsia"/>
              </w:rPr>
              <w:t>-204</w:t>
            </w:r>
          </w:p>
        </w:tc>
        <w:tc>
          <w:tcPr>
            <w:tcW w:w="441" w:type="pct"/>
            <w:tcBorders>
              <w:top w:val="single" w:color="auto" w:sz="4" w:space="0"/>
              <w:left w:val="single" w:color="auto" w:sz="4" w:space="0"/>
              <w:bottom w:val="single" w:color="auto" w:sz="4" w:space="0"/>
              <w:right w:val="single" w:color="auto" w:sz="4" w:space="0"/>
            </w:tcBorders>
            <w:noWrap/>
            <w:vAlign w:val="center"/>
          </w:tcPr>
          <w:p w14:paraId="682AE55B">
            <w:pPr>
              <w:pStyle w:val="557"/>
            </w:pPr>
            <w:r>
              <w:rPr>
                <w:rFonts w:hint="eastAsia"/>
              </w:rPr>
              <w:t>60</w:t>
            </w:r>
          </w:p>
        </w:tc>
        <w:tc>
          <w:tcPr>
            <w:tcW w:w="441" w:type="pct"/>
            <w:tcBorders>
              <w:top w:val="single" w:color="auto" w:sz="4" w:space="0"/>
              <w:left w:val="single" w:color="auto" w:sz="4" w:space="0"/>
              <w:bottom w:val="single" w:color="auto" w:sz="4" w:space="0"/>
              <w:right w:val="single" w:color="auto" w:sz="4" w:space="0"/>
            </w:tcBorders>
            <w:noWrap/>
            <w:vAlign w:val="center"/>
          </w:tcPr>
          <w:p w14:paraId="50ADD037">
            <w:pPr>
              <w:pStyle w:val="557"/>
            </w:pPr>
            <w:r>
              <w:rPr>
                <w:rFonts w:hint="eastAsia"/>
              </w:rPr>
              <w:t>40</w:t>
            </w:r>
          </w:p>
        </w:tc>
        <w:tc>
          <w:tcPr>
            <w:tcW w:w="441" w:type="pct"/>
            <w:tcBorders>
              <w:top w:val="single" w:color="auto" w:sz="4" w:space="0"/>
              <w:left w:val="single" w:color="auto" w:sz="4" w:space="0"/>
              <w:bottom w:val="single" w:color="auto" w:sz="4" w:space="0"/>
              <w:right w:val="single" w:color="auto" w:sz="4" w:space="0"/>
            </w:tcBorders>
            <w:noWrap/>
            <w:vAlign w:val="center"/>
          </w:tcPr>
          <w:p w14:paraId="3719A6FF">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6E285662">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1C86CDF6">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7A98209E">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39284DD4">
            <w:pPr>
              <w:pStyle w:val="557"/>
            </w:pPr>
            <w:r>
              <w:rPr>
                <w:rFonts w:hint="eastAsia"/>
              </w:rPr>
              <w:t>0.01625</w:t>
            </w:r>
          </w:p>
        </w:tc>
        <w:tc>
          <w:tcPr>
            <w:tcW w:w="349" w:type="pct"/>
            <w:tcBorders>
              <w:top w:val="single" w:color="auto" w:sz="4" w:space="0"/>
              <w:left w:val="single" w:color="auto" w:sz="4" w:space="0"/>
              <w:bottom w:val="single" w:color="auto" w:sz="4" w:space="0"/>
              <w:right w:val="single" w:color="auto" w:sz="4" w:space="0"/>
            </w:tcBorders>
            <w:vAlign w:val="center"/>
          </w:tcPr>
          <w:p w14:paraId="5A3E7E61">
            <w:pPr>
              <w:pStyle w:val="557"/>
            </w:pPr>
            <w:r>
              <w:rPr>
                <w:rFonts w:hint="eastAsia"/>
              </w:rPr>
              <w:t>/</w:t>
            </w:r>
          </w:p>
        </w:tc>
      </w:tr>
      <w:tr w14:paraId="0239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04F6D400">
            <w:pPr>
              <w:pStyle w:val="557"/>
            </w:pPr>
            <w:r>
              <w:rPr>
                <w:rFonts w:hint="eastAsia"/>
              </w:rPr>
              <w:t>13</w:t>
            </w:r>
          </w:p>
        </w:tc>
        <w:tc>
          <w:tcPr>
            <w:tcW w:w="996" w:type="pct"/>
            <w:tcBorders>
              <w:top w:val="single" w:color="auto" w:sz="4" w:space="0"/>
              <w:left w:val="single" w:color="auto" w:sz="4" w:space="0"/>
              <w:bottom w:val="single" w:color="auto" w:sz="4" w:space="0"/>
              <w:right w:val="single" w:color="auto" w:sz="4" w:space="0"/>
            </w:tcBorders>
            <w:noWrap/>
            <w:vAlign w:val="center"/>
          </w:tcPr>
          <w:p w14:paraId="0C2FC5F1">
            <w:pPr>
              <w:pStyle w:val="557"/>
            </w:pPr>
            <w:r>
              <w:rPr>
                <w:rFonts w:hint="eastAsia"/>
              </w:rPr>
              <w:t>中间产品罐组</w:t>
            </w:r>
          </w:p>
        </w:tc>
        <w:tc>
          <w:tcPr>
            <w:tcW w:w="324" w:type="pct"/>
            <w:tcBorders>
              <w:top w:val="single" w:color="auto" w:sz="4" w:space="0"/>
              <w:left w:val="single" w:color="auto" w:sz="4" w:space="0"/>
              <w:bottom w:val="single" w:color="auto" w:sz="4" w:space="0"/>
              <w:right w:val="single" w:color="auto" w:sz="4" w:space="0"/>
            </w:tcBorders>
            <w:noWrap/>
            <w:vAlign w:val="center"/>
          </w:tcPr>
          <w:p w14:paraId="1FC95C09">
            <w:pPr>
              <w:pStyle w:val="557"/>
            </w:pPr>
            <w:r>
              <w:rPr>
                <w:rFonts w:hint="eastAsia"/>
              </w:rPr>
              <w:t>110</w:t>
            </w:r>
          </w:p>
        </w:tc>
        <w:tc>
          <w:tcPr>
            <w:tcW w:w="325" w:type="pct"/>
            <w:tcBorders>
              <w:top w:val="single" w:color="auto" w:sz="4" w:space="0"/>
              <w:left w:val="single" w:color="auto" w:sz="4" w:space="0"/>
              <w:bottom w:val="single" w:color="auto" w:sz="4" w:space="0"/>
              <w:right w:val="single" w:color="auto" w:sz="4" w:space="0"/>
            </w:tcBorders>
            <w:noWrap/>
            <w:vAlign w:val="center"/>
          </w:tcPr>
          <w:p w14:paraId="0ADC8290">
            <w:pPr>
              <w:pStyle w:val="557"/>
            </w:pPr>
            <w:r>
              <w:rPr>
                <w:rFonts w:hint="eastAsia"/>
              </w:rPr>
              <w:t>-245</w:t>
            </w:r>
          </w:p>
        </w:tc>
        <w:tc>
          <w:tcPr>
            <w:tcW w:w="441" w:type="pct"/>
            <w:tcBorders>
              <w:top w:val="single" w:color="auto" w:sz="4" w:space="0"/>
              <w:left w:val="single" w:color="auto" w:sz="4" w:space="0"/>
              <w:bottom w:val="single" w:color="auto" w:sz="4" w:space="0"/>
              <w:right w:val="single" w:color="auto" w:sz="4" w:space="0"/>
            </w:tcBorders>
            <w:noWrap/>
            <w:vAlign w:val="center"/>
          </w:tcPr>
          <w:p w14:paraId="4889981E">
            <w:pPr>
              <w:pStyle w:val="557"/>
            </w:pPr>
            <w:r>
              <w:rPr>
                <w:rFonts w:hint="eastAsia"/>
              </w:rPr>
              <w:t>55</w:t>
            </w:r>
          </w:p>
        </w:tc>
        <w:tc>
          <w:tcPr>
            <w:tcW w:w="441" w:type="pct"/>
            <w:tcBorders>
              <w:top w:val="single" w:color="auto" w:sz="4" w:space="0"/>
              <w:left w:val="single" w:color="auto" w:sz="4" w:space="0"/>
              <w:bottom w:val="single" w:color="auto" w:sz="4" w:space="0"/>
              <w:right w:val="single" w:color="auto" w:sz="4" w:space="0"/>
            </w:tcBorders>
            <w:noWrap/>
            <w:vAlign w:val="center"/>
          </w:tcPr>
          <w:p w14:paraId="619D8D84">
            <w:pPr>
              <w:pStyle w:val="557"/>
            </w:pPr>
            <w:r>
              <w:rPr>
                <w:rFonts w:hint="eastAsia"/>
              </w:rPr>
              <w:t>45</w:t>
            </w:r>
          </w:p>
        </w:tc>
        <w:tc>
          <w:tcPr>
            <w:tcW w:w="441" w:type="pct"/>
            <w:tcBorders>
              <w:top w:val="single" w:color="auto" w:sz="4" w:space="0"/>
              <w:left w:val="single" w:color="auto" w:sz="4" w:space="0"/>
              <w:bottom w:val="single" w:color="auto" w:sz="4" w:space="0"/>
              <w:right w:val="single" w:color="auto" w:sz="4" w:space="0"/>
            </w:tcBorders>
            <w:noWrap/>
            <w:vAlign w:val="center"/>
          </w:tcPr>
          <w:p w14:paraId="744AD9E4">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7695F0F8">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14A3EB8">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85516F3">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035E36BB">
            <w:pPr>
              <w:pStyle w:val="557"/>
            </w:pPr>
            <w:r>
              <w:rPr>
                <w:rFonts w:hint="eastAsia"/>
              </w:rPr>
              <w:t>0.185</w:t>
            </w:r>
          </w:p>
        </w:tc>
        <w:tc>
          <w:tcPr>
            <w:tcW w:w="349" w:type="pct"/>
            <w:tcBorders>
              <w:top w:val="single" w:color="auto" w:sz="4" w:space="0"/>
              <w:left w:val="single" w:color="auto" w:sz="4" w:space="0"/>
              <w:bottom w:val="single" w:color="auto" w:sz="4" w:space="0"/>
              <w:right w:val="single" w:color="auto" w:sz="4" w:space="0"/>
            </w:tcBorders>
            <w:vAlign w:val="center"/>
          </w:tcPr>
          <w:p w14:paraId="50665E3A">
            <w:pPr>
              <w:pStyle w:val="557"/>
            </w:pPr>
            <w:r>
              <w:rPr>
                <w:rFonts w:hint="eastAsia"/>
              </w:rPr>
              <w:t>/</w:t>
            </w:r>
          </w:p>
        </w:tc>
      </w:tr>
      <w:tr w14:paraId="305A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 w:type="pct"/>
            <w:tcBorders>
              <w:top w:val="single" w:color="auto" w:sz="4" w:space="0"/>
              <w:left w:val="single" w:color="auto" w:sz="4" w:space="0"/>
              <w:bottom w:val="single" w:color="auto" w:sz="4" w:space="0"/>
              <w:right w:val="single" w:color="auto" w:sz="4" w:space="0"/>
            </w:tcBorders>
            <w:noWrap/>
            <w:vAlign w:val="center"/>
          </w:tcPr>
          <w:p w14:paraId="7C16575D">
            <w:pPr>
              <w:pStyle w:val="557"/>
            </w:pPr>
            <w:r>
              <w:rPr>
                <w:rFonts w:hint="eastAsia"/>
              </w:rPr>
              <w:t>14</w:t>
            </w:r>
          </w:p>
        </w:tc>
        <w:tc>
          <w:tcPr>
            <w:tcW w:w="996" w:type="pct"/>
            <w:tcBorders>
              <w:top w:val="single" w:color="auto" w:sz="4" w:space="0"/>
              <w:left w:val="single" w:color="auto" w:sz="4" w:space="0"/>
              <w:bottom w:val="single" w:color="auto" w:sz="4" w:space="0"/>
              <w:right w:val="single" w:color="auto" w:sz="4" w:space="0"/>
            </w:tcBorders>
            <w:noWrap/>
            <w:vAlign w:val="center"/>
          </w:tcPr>
          <w:p w14:paraId="00227B1C">
            <w:pPr>
              <w:pStyle w:val="557"/>
            </w:pPr>
            <w:r>
              <w:rPr>
                <w:rFonts w:hint="eastAsia"/>
              </w:rPr>
              <w:t>汽车装卸站无组织废气</w:t>
            </w:r>
          </w:p>
        </w:tc>
        <w:tc>
          <w:tcPr>
            <w:tcW w:w="324" w:type="pct"/>
            <w:tcBorders>
              <w:top w:val="single" w:color="auto" w:sz="4" w:space="0"/>
              <w:left w:val="single" w:color="auto" w:sz="4" w:space="0"/>
              <w:bottom w:val="single" w:color="auto" w:sz="4" w:space="0"/>
              <w:right w:val="single" w:color="auto" w:sz="4" w:space="0"/>
            </w:tcBorders>
            <w:noWrap/>
            <w:vAlign w:val="center"/>
          </w:tcPr>
          <w:p w14:paraId="45D99001">
            <w:pPr>
              <w:pStyle w:val="557"/>
            </w:pPr>
            <w:r>
              <w:rPr>
                <w:rFonts w:hint="eastAsia"/>
              </w:rPr>
              <w:t>237</w:t>
            </w:r>
          </w:p>
        </w:tc>
        <w:tc>
          <w:tcPr>
            <w:tcW w:w="325" w:type="pct"/>
            <w:tcBorders>
              <w:top w:val="single" w:color="auto" w:sz="4" w:space="0"/>
              <w:left w:val="single" w:color="auto" w:sz="4" w:space="0"/>
              <w:bottom w:val="single" w:color="auto" w:sz="4" w:space="0"/>
              <w:right w:val="single" w:color="auto" w:sz="4" w:space="0"/>
            </w:tcBorders>
            <w:noWrap/>
            <w:vAlign w:val="center"/>
          </w:tcPr>
          <w:p w14:paraId="46763DFF">
            <w:pPr>
              <w:pStyle w:val="557"/>
            </w:pPr>
            <w:r>
              <w:rPr>
                <w:rFonts w:hint="eastAsia"/>
              </w:rPr>
              <w:t>-249</w:t>
            </w:r>
          </w:p>
        </w:tc>
        <w:tc>
          <w:tcPr>
            <w:tcW w:w="441" w:type="pct"/>
            <w:tcBorders>
              <w:top w:val="single" w:color="auto" w:sz="4" w:space="0"/>
              <w:left w:val="single" w:color="auto" w:sz="4" w:space="0"/>
              <w:bottom w:val="single" w:color="auto" w:sz="4" w:space="0"/>
              <w:right w:val="single" w:color="auto" w:sz="4" w:space="0"/>
            </w:tcBorders>
            <w:noWrap/>
            <w:vAlign w:val="center"/>
          </w:tcPr>
          <w:p w14:paraId="41353A60">
            <w:pPr>
              <w:pStyle w:val="557"/>
            </w:pPr>
            <w:r>
              <w:rPr>
                <w:rFonts w:hint="eastAsia"/>
              </w:rPr>
              <w:t>30</w:t>
            </w:r>
          </w:p>
        </w:tc>
        <w:tc>
          <w:tcPr>
            <w:tcW w:w="441" w:type="pct"/>
            <w:tcBorders>
              <w:top w:val="single" w:color="auto" w:sz="4" w:space="0"/>
              <w:left w:val="single" w:color="auto" w:sz="4" w:space="0"/>
              <w:bottom w:val="single" w:color="auto" w:sz="4" w:space="0"/>
              <w:right w:val="single" w:color="auto" w:sz="4" w:space="0"/>
            </w:tcBorders>
            <w:noWrap/>
            <w:vAlign w:val="center"/>
          </w:tcPr>
          <w:p w14:paraId="320D4D71">
            <w:pPr>
              <w:pStyle w:val="557"/>
            </w:pPr>
            <w:r>
              <w:rPr>
                <w:rFonts w:hint="eastAsia"/>
              </w:rPr>
              <w:t>20</w:t>
            </w:r>
          </w:p>
        </w:tc>
        <w:tc>
          <w:tcPr>
            <w:tcW w:w="441" w:type="pct"/>
            <w:tcBorders>
              <w:top w:val="single" w:color="auto" w:sz="4" w:space="0"/>
              <w:left w:val="single" w:color="auto" w:sz="4" w:space="0"/>
              <w:bottom w:val="single" w:color="auto" w:sz="4" w:space="0"/>
              <w:right w:val="single" w:color="auto" w:sz="4" w:space="0"/>
            </w:tcBorders>
            <w:noWrap/>
            <w:vAlign w:val="center"/>
          </w:tcPr>
          <w:p w14:paraId="4360B65A">
            <w:pPr>
              <w:pStyle w:val="557"/>
            </w:pPr>
            <w:r>
              <w:rPr>
                <w:rFonts w:hint="eastAsia"/>
              </w:rPr>
              <w:t>0</w:t>
            </w:r>
          </w:p>
        </w:tc>
        <w:tc>
          <w:tcPr>
            <w:tcW w:w="441" w:type="pct"/>
            <w:tcBorders>
              <w:top w:val="single" w:color="auto" w:sz="4" w:space="0"/>
              <w:left w:val="single" w:color="auto" w:sz="4" w:space="0"/>
              <w:bottom w:val="single" w:color="auto" w:sz="4" w:space="0"/>
              <w:right w:val="single" w:color="auto" w:sz="4" w:space="0"/>
            </w:tcBorders>
            <w:noWrap/>
            <w:vAlign w:val="center"/>
          </w:tcPr>
          <w:p w14:paraId="70406D6A">
            <w:pPr>
              <w:pStyle w:val="557"/>
            </w:pPr>
            <w:r>
              <w:rPr>
                <w:rFonts w:hint="eastAsia"/>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72B269B9">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418EE5E7">
            <w:pPr>
              <w:pStyle w:val="557"/>
            </w:pPr>
            <w:r>
              <w:rPr>
                <w:rFonts w:hint="eastAsia"/>
              </w:rPr>
              <w:t>/</w:t>
            </w:r>
          </w:p>
        </w:tc>
        <w:tc>
          <w:tcPr>
            <w:tcW w:w="348" w:type="pct"/>
            <w:tcBorders>
              <w:top w:val="single" w:color="auto" w:sz="4" w:space="0"/>
              <w:left w:val="single" w:color="auto" w:sz="4" w:space="0"/>
              <w:bottom w:val="single" w:color="auto" w:sz="4" w:space="0"/>
              <w:right w:val="single" w:color="auto" w:sz="4" w:space="0"/>
            </w:tcBorders>
            <w:noWrap/>
            <w:vAlign w:val="center"/>
          </w:tcPr>
          <w:p w14:paraId="2216A6F6">
            <w:pPr>
              <w:pStyle w:val="557"/>
            </w:pPr>
            <w:r>
              <w:rPr>
                <w:rFonts w:hint="eastAsia"/>
              </w:rPr>
              <w:t>0.02125</w:t>
            </w:r>
          </w:p>
        </w:tc>
        <w:tc>
          <w:tcPr>
            <w:tcW w:w="349" w:type="pct"/>
            <w:tcBorders>
              <w:top w:val="single" w:color="auto" w:sz="4" w:space="0"/>
              <w:left w:val="single" w:color="auto" w:sz="4" w:space="0"/>
              <w:bottom w:val="single" w:color="auto" w:sz="4" w:space="0"/>
              <w:right w:val="single" w:color="auto" w:sz="4" w:space="0"/>
            </w:tcBorders>
            <w:vAlign w:val="center"/>
          </w:tcPr>
          <w:p w14:paraId="5A0FEF40">
            <w:pPr>
              <w:pStyle w:val="557"/>
            </w:pPr>
            <w:r>
              <w:rPr>
                <w:rFonts w:hint="eastAsia"/>
              </w:rPr>
              <w:t>/</w:t>
            </w:r>
          </w:p>
        </w:tc>
      </w:tr>
    </w:tbl>
    <w:p w14:paraId="15349287">
      <w:pPr>
        <w:pStyle w:val="541"/>
        <w:ind w:left="496" w:hanging="496"/>
        <w:rPr>
          <w:rFonts w:hint="eastAsia"/>
          <w:color w:val="000000" w:themeColor="text1"/>
          <w14:textFill>
            <w14:solidFill>
              <w14:schemeClr w14:val="tx1"/>
            </w14:solidFill>
          </w14:textFill>
        </w:rPr>
      </w:pPr>
    </w:p>
    <w:p w14:paraId="1CE5F23A">
      <w:pPr>
        <w:pStyle w:val="535"/>
        <w:ind w:left="416" w:hanging="416"/>
        <w:rPr>
          <w:rFonts w:hint="eastAsia"/>
          <w:color w:val="000000" w:themeColor="text1"/>
          <w14:textFill>
            <w14:solidFill>
              <w14:schemeClr w14:val="tx1"/>
            </w14:solidFill>
          </w14:textFill>
        </w:rPr>
      </w:pPr>
      <w:r>
        <w:rPr>
          <w:rFonts w:hint="eastAsia"/>
          <w:color w:val="000000" w:themeColor="text1"/>
          <w:spacing w:val="8"/>
          <w14:textFill>
            <w14:solidFill>
              <w14:schemeClr w14:val="tx1"/>
            </w14:solidFill>
          </w14:textFill>
        </w:rPr>
        <w:t xml:space="preserve">表5.2.3-3    </w:t>
      </w:r>
      <w:r>
        <w:rPr>
          <w:rFonts w:hint="eastAsia"/>
          <w:color w:val="000000" w:themeColor="text1"/>
          <w14:textFill>
            <w14:solidFill>
              <w14:schemeClr w14:val="tx1"/>
            </w14:solidFill>
          </w14:textFill>
        </w:rPr>
        <w:t>非正常工况排放参数表</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0"/>
        <w:gridCol w:w="1957"/>
        <w:gridCol w:w="770"/>
        <w:gridCol w:w="770"/>
        <w:gridCol w:w="1402"/>
        <w:gridCol w:w="1402"/>
        <w:gridCol w:w="1679"/>
        <w:gridCol w:w="1125"/>
        <w:gridCol w:w="639"/>
        <w:gridCol w:w="1194"/>
        <w:gridCol w:w="917"/>
        <w:gridCol w:w="895"/>
        <w:gridCol w:w="855"/>
      </w:tblGrid>
      <w:tr w14:paraId="4A47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C8A62DA">
            <w:pPr>
              <w:pStyle w:val="557"/>
            </w:pPr>
            <w:r>
              <w:rPr>
                <w:rFonts w:hint="eastAsia"/>
              </w:rPr>
              <w:t>编号</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3FF1F7C">
            <w:pPr>
              <w:pStyle w:val="557"/>
            </w:pPr>
            <w:r>
              <w:rPr>
                <w:rFonts w:hint="eastAsia"/>
              </w:rPr>
              <w:t>点源名称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D67AD2B">
            <w:pPr>
              <w:pStyle w:val="557"/>
            </w:pPr>
            <w:r>
              <w:t>X</w:t>
            </w:r>
            <w:r>
              <w:rPr>
                <w:rFonts w:hint="eastAsia"/>
              </w:rPr>
              <w:t>坐标</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D6B0B48">
            <w:pPr>
              <w:pStyle w:val="557"/>
            </w:pPr>
            <w:r>
              <w:t>Y</w:t>
            </w:r>
            <w:r>
              <w:rPr>
                <w:rFonts w:hint="eastAsia"/>
              </w:rPr>
              <w:t>坐标</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E9CBFFD">
            <w:pPr>
              <w:pStyle w:val="557"/>
            </w:pPr>
            <w:r>
              <w:rPr>
                <w:rFonts w:hint="eastAsia"/>
              </w:rPr>
              <w:t>排气筒高度</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E7E5043">
            <w:pPr>
              <w:pStyle w:val="557"/>
            </w:pPr>
            <w:r>
              <w:rPr>
                <w:rFonts w:hint="eastAsia"/>
              </w:rPr>
              <w:t>排气筒内径</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ED9DDDA">
            <w:pPr>
              <w:pStyle w:val="557"/>
            </w:pPr>
            <w:r>
              <w:rPr>
                <w:rFonts w:hint="eastAsia"/>
              </w:rPr>
              <w:t>烟气出口温度</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720C0EC">
            <w:pPr>
              <w:pStyle w:val="557"/>
            </w:pPr>
            <w:r>
              <w:rPr>
                <w:rFonts w:hint="eastAsia"/>
              </w:rPr>
              <w:t>烟气流量</w:t>
            </w:r>
          </w:p>
        </w:tc>
        <w:tc>
          <w:tcPr>
            <w:tcW w:w="0" w:type="auto"/>
            <w:gridSpan w:val="5"/>
            <w:tcBorders>
              <w:top w:val="single" w:color="auto" w:sz="4" w:space="0"/>
              <w:left w:val="single" w:color="auto" w:sz="4" w:space="0"/>
              <w:bottom w:val="single" w:color="auto" w:sz="4" w:space="0"/>
              <w:right w:val="single" w:color="auto" w:sz="4" w:space="0"/>
            </w:tcBorders>
            <w:vAlign w:val="center"/>
          </w:tcPr>
          <w:p w14:paraId="2E95F793">
            <w:pPr>
              <w:pStyle w:val="557"/>
            </w:pPr>
            <w:r>
              <w:rPr>
                <w:rFonts w:hint="eastAsia"/>
              </w:rPr>
              <w:t>排放速率（</w:t>
            </w:r>
            <w:r>
              <w:t>kg/h</w:t>
            </w:r>
            <w:r>
              <w:rPr>
                <w:rFonts w:hint="eastAsia"/>
              </w:rPr>
              <w:t>）</w:t>
            </w:r>
          </w:p>
        </w:tc>
      </w:tr>
      <w:tr w14:paraId="511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708764B">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AAEE978">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3F92B7">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EC1C18">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FEA59A">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23F078">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5CCF82C">
            <w:pPr>
              <w:jc w:val="center"/>
              <w:rPr>
                <w:rFonts w:hint="eastAsia"/>
                <w:bCs/>
                <w:color w:val="FF0000"/>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597BE3">
            <w:pPr>
              <w:jc w:val="center"/>
              <w:rPr>
                <w:rFonts w:hint="eastAsia"/>
                <w:bCs/>
                <w:color w:val="FF0000"/>
                <w:sz w:val="18"/>
                <w:szCs w:val="18"/>
                <w:u w:color="000000"/>
                <w:lang w:val="zh-CN" w:bidi="en-US"/>
              </w:rPr>
            </w:pPr>
          </w:p>
        </w:tc>
        <w:tc>
          <w:tcPr>
            <w:tcW w:w="0" w:type="auto"/>
            <w:tcBorders>
              <w:top w:val="single" w:color="auto" w:sz="4" w:space="0"/>
              <w:left w:val="single" w:color="auto" w:sz="4" w:space="0"/>
              <w:bottom w:val="single" w:color="auto" w:sz="4" w:space="0"/>
              <w:right w:val="single" w:color="auto" w:sz="4" w:space="0"/>
            </w:tcBorders>
            <w:vAlign w:val="center"/>
          </w:tcPr>
          <w:p w14:paraId="5AF28D61">
            <w:pPr>
              <w:pStyle w:val="557"/>
            </w:pPr>
            <w:r>
              <w:t>SO</w:t>
            </w:r>
            <w:r>
              <w:rPr>
                <w:vertAlign w:val="subscript"/>
              </w:rPr>
              <w:t>2</w:t>
            </w:r>
          </w:p>
        </w:tc>
        <w:tc>
          <w:tcPr>
            <w:tcW w:w="0" w:type="auto"/>
            <w:tcBorders>
              <w:top w:val="single" w:color="auto" w:sz="4" w:space="0"/>
              <w:left w:val="single" w:color="auto" w:sz="4" w:space="0"/>
              <w:bottom w:val="single" w:color="auto" w:sz="4" w:space="0"/>
              <w:right w:val="single" w:color="auto" w:sz="4" w:space="0"/>
            </w:tcBorders>
            <w:vAlign w:val="center"/>
          </w:tcPr>
          <w:p w14:paraId="26269AE1">
            <w:pPr>
              <w:pStyle w:val="557"/>
            </w:pPr>
            <w:r>
              <w:t>NO</w:t>
            </w:r>
            <w:r>
              <w:rPr>
                <w:vertAlign w:val="subscript"/>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32107F02">
            <w:pPr>
              <w:pStyle w:val="557"/>
            </w:pPr>
            <w:r>
              <w:t>PM</w:t>
            </w:r>
            <w:r>
              <w:rPr>
                <w:vertAlign w:val="subscript"/>
              </w:rPr>
              <w:t>10</w:t>
            </w:r>
          </w:p>
        </w:tc>
        <w:tc>
          <w:tcPr>
            <w:tcW w:w="895" w:type="dxa"/>
            <w:tcBorders>
              <w:top w:val="single" w:color="auto" w:sz="4" w:space="0"/>
              <w:left w:val="single" w:color="auto" w:sz="4" w:space="0"/>
              <w:bottom w:val="single" w:color="auto" w:sz="4" w:space="0"/>
              <w:right w:val="single" w:color="auto" w:sz="4" w:space="0"/>
            </w:tcBorders>
            <w:noWrap/>
            <w:vAlign w:val="center"/>
          </w:tcPr>
          <w:p w14:paraId="3DE53E54">
            <w:pPr>
              <w:pStyle w:val="557"/>
            </w:pPr>
            <w:r>
              <w:t>PM</w:t>
            </w:r>
            <w:r>
              <w:rPr>
                <w:vertAlign w:val="subscript"/>
              </w:rPr>
              <w:t>2.5</w:t>
            </w:r>
          </w:p>
        </w:tc>
        <w:tc>
          <w:tcPr>
            <w:tcW w:w="855" w:type="dxa"/>
            <w:tcBorders>
              <w:top w:val="single" w:color="auto" w:sz="4" w:space="0"/>
              <w:left w:val="single" w:color="auto" w:sz="4" w:space="0"/>
              <w:bottom w:val="single" w:color="auto" w:sz="4" w:space="0"/>
              <w:right w:val="single" w:color="auto" w:sz="4" w:space="0"/>
            </w:tcBorders>
            <w:vAlign w:val="center"/>
          </w:tcPr>
          <w:p w14:paraId="1E94E4C0">
            <w:pPr>
              <w:pStyle w:val="557"/>
            </w:pPr>
            <w:r>
              <w:rPr>
                <w:rFonts w:hint="eastAsia"/>
              </w:rPr>
              <w:t>硫酸雾</w:t>
            </w:r>
          </w:p>
        </w:tc>
      </w:tr>
      <w:tr w14:paraId="5CE8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ECF505">
            <w:pPr>
              <w:jc w:val="center"/>
              <w:rPr>
                <w:rFonts w:hint="eastAsia"/>
                <w:bCs/>
                <w:color w:val="FF0000"/>
                <w:sz w:val="18"/>
                <w:szCs w:val="18"/>
                <w:u w:color="000000"/>
                <w:lang w:val="zh-CN" w:bidi="en-US"/>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98083BB">
            <w:pPr>
              <w:pStyle w:val="557"/>
            </w:pPr>
            <w:r>
              <w:rPr>
                <w:rFonts w:hint="eastAsia"/>
              </w:rPr>
              <w:t>单位</w:t>
            </w:r>
          </w:p>
        </w:tc>
        <w:tc>
          <w:tcPr>
            <w:tcW w:w="0" w:type="auto"/>
            <w:tcBorders>
              <w:top w:val="single" w:color="auto" w:sz="4" w:space="0"/>
              <w:left w:val="single" w:color="auto" w:sz="4" w:space="0"/>
              <w:bottom w:val="single" w:color="auto" w:sz="4" w:space="0"/>
              <w:right w:val="single" w:color="auto" w:sz="4" w:space="0"/>
            </w:tcBorders>
            <w:vAlign w:val="center"/>
          </w:tcPr>
          <w:p w14:paraId="724A5846">
            <w:pPr>
              <w:pStyle w:val="557"/>
            </w:pPr>
            <w:r>
              <w:t>Px</w:t>
            </w:r>
          </w:p>
        </w:tc>
        <w:tc>
          <w:tcPr>
            <w:tcW w:w="0" w:type="auto"/>
            <w:tcBorders>
              <w:top w:val="single" w:color="auto" w:sz="4" w:space="0"/>
              <w:left w:val="single" w:color="auto" w:sz="4" w:space="0"/>
              <w:bottom w:val="single" w:color="auto" w:sz="4" w:space="0"/>
              <w:right w:val="single" w:color="auto" w:sz="4" w:space="0"/>
            </w:tcBorders>
            <w:vAlign w:val="center"/>
          </w:tcPr>
          <w:p w14:paraId="2929703D">
            <w:pPr>
              <w:pStyle w:val="557"/>
            </w:pPr>
            <w:r>
              <w:t>Py</w:t>
            </w:r>
          </w:p>
        </w:tc>
        <w:tc>
          <w:tcPr>
            <w:tcW w:w="0" w:type="auto"/>
            <w:tcBorders>
              <w:top w:val="single" w:color="auto" w:sz="4" w:space="0"/>
              <w:left w:val="single" w:color="auto" w:sz="4" w:space="0"/>
              <w:bottom w:val="single" w:color="auto" w:sz="4" w:space="0"/>
              <w:right w:val="single" w:color="auto" w:sz="4" w:space="0"/>
            </w:tcBorders>
            <w:noWrap/>
            <w:vAlign w:val="center"/>
          </w:tcPr>
          <w:p w14:paraId="35C3A2E9">
            <w:pPr>
              <w:pStyle w:val="557"/>
            </w:pPr>
            <w:r>
              <w:t>H(m)</w:t>
            </w:r>
          </w:p>
        </w:tc>
        <w:tc>
          <w:tcPr>
            <w:tcW w:w="0" w:type="auto"/>
            <w:tcBorders>
              <w:top w:val="single" w:color="auto" w:sz="4" w:space="0"/>
              <w:left w:val="single" w:color="auto" w:sz="4" w:space="0"/>
              <w:bottom w:val="single" w:color="auto" w:sz="4" w:space="0"/>
              <w:right w:val="single" w:color="auto" w:sz="4" w:space="0"/>
            </w:tcBorders>
            <w:noWrap/>
            <w:vAlign w:val="center"/>
          </w:tcPr>
          <w:p w14:paraId="2D4D9AD0">
            <w:pPr>
              <w:pStyle w:val="557"/>
            </w:pPr>
            <w:r>
              <w:t>D(m)</w:t>
            </w:r>
          </w:p>
        </w:tc>
        <w:tc>
          <w:tcPr>
            <w:tcW w:w="0" w:type="auto"/>
            <w:tcBorders>
              <w:top w:val="single" w:color="auto" w:sz="4" w:space="0"/>
              <w:left w:val="single" w:color="auto" w:sz="4" w:space="0"/>
              <w:bottom w:val="single" w:color="auto" w:sz="4" w:space="0"/>
              <w:right w:val="single" w:color="auto" w:sz="4" w:space="0"/>
            </w:tcBorders>
            <w:noWrap/>
            <w:vAlign w:val="center"/>
          </w:tcPr>
          <w:p w14:paraId="1538F30F">
            <w:pPr>
              <w:pStyle w:val="557"/>
            </w:pPr>
            <w:r>
              <w:t>T(℃)</w:t>
            </w:r>
          </w:p>
        </w:tc>
        <w:tc>
          <w:tcPr>
            <w:tcW w:w="0" w:type="auto"/>
            <w:tcBorders>
              <w:top w:val="single" w:color="auto" w:sz="4" w:space="0"/>
              <w:left w:val="single" w:color="auto" w:sz="4" w:space="0"/>
              <w:bottom w:val="single" w:color="auto" w:sz="4" w:space="0"/>
              <w:right w:val="single" w:color="auto" w:sz="4" w:space="0"/>
            </w:tcBorders>
            <w:vAlign w:val="center"/>
          </w:tcPr>
          <w:p w14:paraId="44D14397">
            <w:pPr>
              <w:pStyle w:val="557"/>
            </w:pPr>
            <w:r>
              <w:t>V/m</w:t>
            </w:r>
            <w:r>
              <w:rPr>
                <w:vertAlign w:val="superscript"/>
              </w:rPr>
              <w:t>3</w:t>
            </w:r>
            <w:r>
              <w:t>/h</w:t>
            </w:r>
          </w:p>
        </w:tc>
        <w:tc>
          <w:tcPr>
            <w:tcW w:w="0" w:type="auto"/>
            <w:tcBorders>
              <w:top w:val="single" w:color="auto" w:sz="4" w:space="0"/>
              <w:left w:val="single" w:color="auto" w:sz="4" w:space="0"/>
              <w:bottom w:val="single" w:color="auto" w:sz="4" w:space="0"/>
              <w:right w:val="single" w:color="auto" w:sz="4" w:space="0"/>
            </w:tcBorders>
            <w:vAlign w:val="center"/>
          </w:tcPr>
          <w:p w14:paraId="2B1ADA17">
            <w:pPr>
              <w:pStyle w:val="557"/>
            </w:pPr>
            <w:r>
              <w:t>Q</w:t>
            </w:r>
            <w:r>
              <w:rPr>
                <w:rFonts w:hint="eastAsia"/>
                <w:vertAlign w:val="subscript"/>
              </w:rPr>
              <w:t>S</w:t>
            </w:r>
            <w:r>
              <w:rPr>
                <w:vertAlign w:val="subscript"/>
              </w:rPr>
              <w:t>O2</w:t>
            </w:r>
          </w:p>
        </w:tc>
        <w:tc>
          <w:tcPr>
            <w:tcW w:w="0" w:type="auto"/>
            <w:tcBorders>
              <w:top w:val="single" w:color="auto" w:sz="4" w:space="0"/>
              <w:left w:val="single" w:color="auto" w:sz="4" w:space="0"/>
              <w:bottom w:val="single" w:color="auto" w:sz="4" w:space="0"/>
              <w:right w:val="single" w:color="auto" w:sz="4" w:space="0"/>
            </w:tcBorders>
            <w:vAlign w:val="center"/>
          </w:tcPr>
          <w:p w14:paraId="402D5CDA">
            <w:pPr>
              <w:pStyle w:val="557"/>
            </w:pPr>
            <w:r>
              <w:t>Q</w:t>
            </w:r>
            <w:r>
              <w:rPr>
                <w:vertAlign w:val="subscript"/>
              </w:rPr>
              <w:t>NO2</w:t>
            </w:r>
          </w:p>
        </w:tc>
        <w:tc>
          <w:tcPr>
            <w:tcW w:w="0" w:type="auto"/>
            <w:tcBorders>
              <w:top w:val="single" w:color="auto" w:sz="4" w:space="0"/>
              <w:left w:val="single" w:color="auto" w:sz="4" w:space="0"/>
              <w:bottom w:val="single" w:color="auto" w:sz="4" w:space="0"/>
              <w:right w:val="single" w:color="auto" w:sz="4" w:space="0"/>
            </w:tcBorders>
            <w:noWrap/>
            <w:vAlign w:val="center"/>
          </w:tcPr>
          <w:p w14:paraId="274FEF63">
            <w:pPr>
              <w:pStyle w:val="557"/>
            </w:pPr>
            <w:r>
              <w:t>Q</w:t>
            </w:r>
            <w:r>
              <w:rPr>
                <w:vertAlign w:val="subscript"/>
              </w:rPr>
              <w:t>PM10</w:t>
            </w:r>
          </w:p>
        </w:tc>
        <w:tc>
          <w:tcPr>
            <w:tcW w:w="895" w:type="dxa"/>
            <w:tcBorders>
              <w:top w:val="single" w:color="auto" w:sz="4" w:space="0"/>
              <w:left w:val="single" w:color="auto" w:sz="4" w:space="0"/>
              <w:bottom w:val="single" w:color="auto" w:sz="4" w:space="0"/>
              <w:right w:val="single" w:color="auto" w:sz="4" w:space="0"/>
            </w:tcBorders>
            <w:noWrap/>
            <w:vAlign w:val="center"/>
          </w:tcPr>
          <w:p w14:paraId="409F7AC9">
            <w:pPr>
              <w:pStyle w:val="557"/>
            </w:pPr>
            <w:r>
              <w:t>Q</w:t>
            </w:r>
            <w:r>
              <w:rPr>
                <w:vertAlign w:val="subscript"/>
              </w:rPr>
              <w:t>PM2.5</w:t>
            </w:r>
          </w:p>
        </w:tc>
        <w:tc>
          <w:tcPr>
            <w:tcW w:w="855" w:type="dxa"/>
            <w:tcBorders>
              <w:top w:val="single" w:color="auto" w:sz="4" w:space="0"/>
              <w:left w:val="single" w:color="auto" w:sz="4" w:space="0"/>
              <w:bottom w:val="single" w:color="auto" w:sz="4" w:space="0"/>
              <w:right w:val="single" w:color="auto" w:sz="4" w:space="0"/>
            </w:tcBorders>
            <w:vAlign w:val="center"/>
          </w:tcPr>
          <w:p w14:paraId="41365859">
            <w:pPr>
              <w:pStyle w:val="557"/>
            </w:pPr>
            <w:r>
              <w:rPr>
                <w:rFonts w:hint="eastAsia"/>
              </w:rPr>
              <w:t>Q</w:t>
            </w:r>
            <w:r>
              <w:rPr>
                <w:rFonts w:hint="eastAsia"/>
                <w:vertAlign w:val="subscript"/>
              </w:rPr>
              <w:t>硫酸雾</w:t>
            </w:r>
          </w:p>
        </w:tc>
      </w:tr>
      <w:tr w14:paraId="0016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E6033ED">
            <w:pPr>
              <w:jc w:val="center"/>
              <w:rPr>
                <w:rFonts w:hint="eastAsia"/>
                <w:bCs/>
                <w:color w:val="000000" w:themeColor="text1"/>
                <w:sz w:val="18"/>
                <w:szCs w:val="18"/>
                <w:u w:color="000000"/>
                <w:lang w:val="zh-CN" w:bidi="en-US"/>
                <w14:textFill>
                  <w14:solidFill>
                    <w14:schemeClr w14:val="tx1"/>
                  </w14:solidFill>
                </w14:textFill>
              </w:rPr>
            </w:pPr>
            <w:r>
              <w:rPr>
                <w:rFonts w:hint="eastAsia"/>
                <w:bCs/>
                <w:color w:val="000000" w:themeColor="text1"/>
                <w:sz w:val="18"/>
                <w:szCs w:val="18"/>
                <w:u w:color="000000"/>
                <w:lang w:val="zh-CN" w:bidi="en-US"/>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5BB4F665">
            <w:pPr>
              <w:pStyle w:val="557"/>
            </w:pPr>
            <w:r>
              <w:rPr>
                <w:rFonts w:hint="eastAsia"/>
              </w:rPr>
              <w:t>硫回收装置故障</w:t>
            </w:r>
          </w:p>
        </w:tc>
        <w:tc>
          <w:tcPr>
            <w:tcW w:w="0" w:type="auto"/>
            <w:tcBorders>
              <w:top w:val="single" w:color="auto" w:sz="4" w:space="0"/>
              <w:left w:val="single" w:color="auto" w:sz="4" w:space="0"/>
              <w:bottom w:val="single" w:color="auto" w:sz="4" w:space="0"/>
              <w:right w:val="single" w:color="auto" w:sz="4" w:space="0"/>
            </w:tcBorders>
            <w:vAlign w:val="center"/>
          </w:tcPr>
          <w:p w14:paraId="485D5EBA">
            <w:pPr>
              <w:pStyle w:val="557"/>
            </w:pPr>
            <w:r>
              <w:rPr>
                <w:rFonts w:hint="eastAsia"/>
              </w:rPr>
              <w:t>-19</w:t>
            </w:r>
          </w:p>
        </w:tc>
        <w:tc>
          <w:tcPr>
            <w:tcW w:w="0" w:type="auto"/>
            <w:tcBorders>
              <w:top w:val="single" w:color="auto" w:sz="4" w:space="0"/>
              <w:left w:val="single" w:color="auto" w:sz="4" w:space="0"/>
              <w:bottom w:val="single" w:color="auto" w:sz="4" w:space="0"/>
              <w:right w:val="single" w:color="auto" w:sz="4" w:space="0"/>
            </w:tcBorders>
            <w:vAlign w:val="center"/>
          </w:tcPr>
          <w:p w14:paraId="4107DDD6">
            <w:pPr>
              <w:pStyle w:val="557"/>
            </w:pPr>
            <w:r>
              <w:rPr>
                <w:rFonts w:hint="eastAsia"/>
              </w:rPr>
              <w:t>-72</w:t>
            </w:r>
          </w:p>
        </w:tc>
        <w:tc>
          <w:tcPr>
            <w:tcW w:w="0" w:type="auto"/>
            <w:tcBorders>
              <w:top w:val="single" w:color="auto" w:sz="4" w:space="0"/>
              <w:left w:val="single" w:color="auto" w:sz="4" w:space="0"/>
              <w:bottom w:val="single" w:color="auto" w:sz="4" w:space="0"/>
              <w:right w:val="single" w:color="auto" w:sz="4" w:space="0"/>
            </w:tcBorders>
            <w:noWrap/>
            <w:vAlign w:val="center"/>
          </w:tcPr>
          <w:p w14:paraId="65D63388">
            <w:pPr>
              <w:pStyle w:val="557"/>
            </w:pPr>
            <w:r>
              <w:rPr>
                <w:rFonts w:hint="eastAsia"/>
              </w:rPr>
              <w:t>45</w:t>
            </w:r>
          </w:p>
        </w:tc>
        <w:tc>
          <w:tcPr>
            <w:tcW w:w="0" w:type="auto"/>
            <w:tcBorders>
              <w:top w:val="single" w:color="auto" w:sz="4" w:space="0"/>
              <w:left w:val="single" w:color="auto" w:sz="4" w:space="0"/>
              <w:bottom w:val="single" w:color="auto" w:sz="4" w:space="0"/>
              <w:right w:val="single" w:color="auto" w:sz="4" w:space="0"/>
            </w:tcBorders>
            <w:noWrap/>
            <w:vAlign w:val="center"/>
          </w:tcPr>
          <w:p w14:paraId="6583CB9C">
            <w:pPr>
              <w:pStyle w:val="557"/>
            </w:pPr>
            <w:r>
              <w:rPr>
                <w:rFonts w:hint="eastAsia"/>
              </w:rPr>
              <w:t>0.7</w:t>
            </w:r>
          </w:p>
        </w:tc>
        <w:tc>
          <w:tcPr>
            <w:tcW w:w="0" w:type="auto"/>
            <w:tcBorders>
              <w:top w:val="single" w:color="auto" w:sz="4" w:space="0"/>
              <w:left w:val="single" w:color="auto" w:sz="4" w:space="0"/>
              <w:bottom w:val="single" w:color="auto" w:sz="4" w:space="0"/>
              <w:right w:val="single" w:color="auto" w:sz="4" w:space="0"/>
            </w:tcBorders>
            <w:noWrap/>
            <w:vAlign w:val="center"/>
          </w:tcPr>
          <w:p w14:paraId="0C270C65">
            <w:pPr>
              <w:pStyle w:val="557"/>
            </w:pPr>
            <w:r>
              <w:rPr>
                <w:rFonts w:hint="eastAsia"/>
              </w:rPr>
              <w:t>50</w:t>
            </w:r>
          </w:p>
        </w:tc>
        <w:tc>
          <w:tcPr>
            <w:tcW w:w="0" w:type="auto"/>
            <w:tcBorders>
              <w:top w:val="single" w:color="auto" w:sz="4" w:space="0"/>
              <w:left w:val="single" w:color="auto" w:sz="4" w:space="0"/>
              <w:bottom w:val="single" w:color="auto" w:sz="4" w:space="0"/>
              <w:right w:val="single" w:color="auto" w:sz="4" w:space="0"/>
            </w:tcBorders>
            <w:vAlign w:val="center"/>
          </w:tcPr>
          <w:p w14:paraId="511347AC">
            <w:pPr>
              <w:pStyle w:val="557"/>
            </w:pPr>
            <w:r>
              <w:rPr>
                <w:rFonts w:hint="eastAsia"/>
              </w:rPr>
              <w:t>15000</w:t>
            </w:r>
          </w:p>
        </w:tc>
        <w:tc>
          <w:tcPr>
            <w:tcW w:w="0" w:type="auto"/>
            <w:tcBorders>
              <w:top w:val="single" w:color="auto" w:sz="4" w:space="0"/>
              <w:left w:val="single" w:color="auto" w:sz="4" w:space="0"/>
              <w:bottom w:val="single" w:color="auto" w:sz="4" w:space="0"/>
              <w:right w:val="single" w:color="auto" w:sz="4" w:space="0"/>
            </w:tcBorders>
            <w:vAlign w:val="center"/>
          </w:tcPr>
          <w:p w14:paraId="6BB1682D">
            <w:pPr>
              <w:pStyle w:val="557"/>
            </w:pPr>
            <w:r>
              <w:rPr>
                <w:rFonts w:hint="eastAsia"/>
              </w:rPr>
              <w:t>10.08</w:t>
            </w:r>
          </w:p>
        </w:tc>
        <w:tc>
          <w:tcPr>
            <w:tcW w:w="0" w:type="auto"/>
            <w:tcBorders>
              <w:top w:val="single" w:color="auto" w:sz="4" w:space="0"/>
              <w:left w:val="single" w:color="auto" w:sz="4" w:space="0"/>
              <w:bottom w:val="single" w:color="auto" w:sz="4" w:space="0"/>
              <w:right w:val="single" w:color="auto" w:sz="4" w:space="0"/>
            </w:tcBorders>
            <w:vAlign w:val="center"/>
          </w:tcPr>
          <w:p w14:paraId="0FF66642">
            <w:pPr>
              <w:pStyle w:val="557"/>
            </w:pPr>
            <w:r>
              <w:t>5.4</w:t>
            </w:r>
          </w:p>
        </w:tc>
        <w:tc>
          <w:tcPr>
            <w:tcW w:w="0" w:type="auto"/>
            <w:tcBorders>
              <w:top w:val="single" w:color="auto" w:sz="4" w:space="0"/>
              <w:left w:val="single" w:color="auto" w:sz="4" w:space="0"/>
              <w:bottom w:val="single" w:color="auto" w:sz="4" w:space="0"/>
              <w:right w:val="single" w:color="auto" w:sz="4" w:space="0"/>
            </w:tcBorders>
            <w:noWrap/>
            <w:vAlign w:val="center"/>
          </w:tcPr>
          <w:p w14:paraId="7ABDB8A1">
            <w:pPr>
              <w:pStyle w:val="557"/>
            </w:pPr>
            <w:r>
              <w:t>-</w:t>
            </w:r>
          </w:p>
        </w:tc>
        <w:tc>
          <w:tcPr>
            <w:tcW w:w="895" w:type="dxa"/>
            <w:tcBorders>
              <w:top w:val="single" w:color="auto" w:sz="4" w:space="0"/>
              <w:left w:val="single" w:color="auto" w:sz="4" w:space="0"/>
              <w:bottom w:val="single" w:color="auto" w:sz="4" w:space="0"/>
              <w:right w:val="single" w:color="auto" w:sz="4" w:space="0"/>
            </w:tcBorders>
            <w:noWrap/>
            <w:vAlign w:val="center"/>
          </w:tcPr>
          <w:p w14:paraId="5B6103B4">
            <w:pPr>
              <w:pStyle w:val="557"/>
            </w:pPr>
            <w:r>
              <w:t>-</w:t>
            </w:r>
          </w:p>
        </w:tc>
        <w:tc>
          <w:tcPr>
            <w:tcW w:w="855" w:type="dxa"/>
            <w:tcBorders>
              <w:top w:val="single" w:color="auto" w:sz="4" w:space="0"/>
              <w:left w:val="single" w:color="auto" w:sz="4" w:space="0"/>
              <w:bottom w:val="single" w:color="auto" w:sz="4" w:space="0"/>
              <w:right w:val="single" w:color="auto" w:sz="4" w:space="0"/>
            </w:tcBorders>
            <w:vAlign w:val="center"/>
          </w:tcPr>
          <w:p w14:paraId="33D7FD1D">
            <w:pPr>
              <w:pStyle w:val="557"/>
            </w:pPr>
            <w:r>
              <w:rPr>
                <w:rFonts w:hint="eastAsia"/>
              </w:rPr>
              <w:t>9.57</w:t>
            </w:r>
          </w:p>
        </w:tc>
      </w:tr>
      <w:tr w14:paraId="4373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9E40A5">
            <w:pPr>
              <w:pStyle w:val="557"/>
            </w:pPr>
            <w:r>
              <w:rPr>
                <w:rFonts w:hint="eastAsia"/>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1A22D9DB">
            <w:pPr>
              <w:pStyle w:val="557"/>
            </w:pPr>
            <w:r>
              <w:rPr>
                <w:rFonts w:hint="eastAsia"/>
              </w:rPr>
              <w:t>燃气锅炉</w:t>
            </w:r>
          </w:p>
        </w:tc>
        <w:tc>
          <w:tcPr>
            <w:tcW w:w="0" w:type="auto"/>
            <w:tcBorders>
              <w:top w:val="single" w:color="auto" w:sz="4" w:space="0"/>
              <w:left w:val="single" w:color="auto" w:sz="4" w:space="0"/>
              <w:bottom w:val="single" w:color="auto" w:sz="4" w:space="0"/>
              <w:right w:val="single" w:color="auto" w:sz="4" w:space="0"/>
            </w:tcBorders>
            <w:vAlign w:val="center"/>
          </w:tcPr>
          <w:p w14:paraId="460C547D">
            <w:pPr>
              <w:pStyle w:val="557"/>
            </w:pPr>
            <w:r>
              <w:rPr>
                <w:rFonts w:hint="eastAsia"/>
              </w:rPr>
              <w:t>-114</w:t>
            </w:r>
          </w:p>
        </w:tc>
        <w:tc>
          <w:tcPr>
            <w:tcW w:w="0" w:type="auto"/>
            <w:tcBorders>
              <w:top w:val="single" w:color="auto" w:sz="4" w:space="0"/>
              <w:left w:val="single" w:color="auto" w:sz="4" w:space="0"/>
              <w:bottom w:val="single" w:color="auto" w:sz="4" w:space="0"/>
              <w:right w:val="single" w:color="auto" w:sz="4" w:space="0"/>
            </w:tcBorders>
            <w:vAlign w:val="center"/>
          </w:tcPr>
          <w:p w14:paraId="62122682">
            <w:pPr>
              <w:pStyle w:val="557"/>
            </w:pPr>
            <w:r>
              <w:rPr>
                <w:rFonts w:hint="eastAsia"/>
              </w:rPr>
              <w:t>-84</w:t>
            </w:r>
          </w:p>
        </w:tc>
        <w:tc>
          <w:tcPr>
            <w:tcW w:w="0" w:type="auto"/>
            <w:tcBorders>
              <w:top w:val="single" w:color="auto" w:sz="4" w:space="0"/>
              <w:left w:val="single" w:color="auto" w:sz="4" w:space="0"/>
              <w:bottom w:val="single" w:color="auto" w:sz="4" w:space="0"/>
              <w:right w:val="single" w:color="auto" w:sz="4" w:space="0"/>
            </w:tcBorders>
            <w:noWrap/>
            <w:vAlign w:val="center"/>
          </w:tcPr>
          <w:p w14:paraId="6D5C4707">
            <w:pPr>
              <w:pStyle w:val="557"/>
            </w:pPr>
            <w:r>
              <w:rPr>
                <w:rFonts w:hint="eastAsia"/>
              </w:rPr>
              <w:t>35</w:t>
            </w:r>
          </w:p>
        </w:tc>
        <w:tc>
          <w:tcPr>
            <w:tcW w:w="0" w:type="auto"/>
            <w:tcBorders>
              <w:top w:val="single" w:color="auto" w:sz="4" w:space="0"/>
              <w:left w:val="single" w:color="auto" w:sz="4" w:space="0"/>
              <w:bottom w:val="single" w:color="auto" w:sz="4" w:space="0"/>
              <w:right w:val="single" w:color="auto" w:sz="4" w:space="0"/>
            </w:tcBorders>
            <w:noWrap/>
            <w:vAlign w:val="center"/>
          </w:tcPr>
          <w:p w14:paraId="081DD6C6">
            <w:pPr>
              <w:pStyle w:val="557"/>
            </w:pPr>
            <w:r>
              <w:rPr>
                <w:rFonts w:hint="eastAsia"/>
              </w:rPr>
              <w:t>1.2</w:t>
            </w:r>
          </w:p>
        </w:tc>
        <w:tc>
          <w:tcPr>
            <w:tcW w:w="0" w:type="auto"/>
            <w:tcBorders>
              <w:top w:val="single" w:color="auto" w:sz="4" w:space="0"/>
              <w:left w:val="single" w:color="auto" w:sz="4" w:space="0"/>
              <w:bottom w:val="single" w:color="auto" w:sz="4" w:space="0"/>
              <w:right w:val="single" w:color="auto" w:sz="4" w:space="0"/>
            </w:tcBorders>
            <w:noWrap/>
            <w:vAlign w:val="center"/>
          </w:tcPr>
          <w:p w14:paraId="7BC52DE3">
            <w:pPr>
              <w:pStyle w:val="557"/>
            </w:pPr>
            <w:r>
              <w:rPr>
                <w:rFonts w:hint="eastAsia"/>
              </w:rPr>
              <w:t>135</w:t>
            </w:r>
          </w:p>
        </w:tc>
        <w:tc>
          <w:tcPr>
            <w:tcW w:w="0" w:type="auto"/>
            <w:tcBorders>
              <w:top w:val="single" w:color="auto" w:sz="4" w:space="0"/>
              <w:left w:val="single" w:color="auto" w:sz="4" w:space="0"/>
              <w:bottom w:val="single" w:color="auto" w:sz="4" w:space="0"/>
              <w:right w:val="single" w:color="auto" w:sz="4" w:space="0"/>
            </w:tcBorders>
            <w:vAlign w:val="center"/>
          </w:tcPr>
          <w:p w14:paraId="567E5400">
            <w:pPr>
              <w:pStyle w:val="557"/>
            </w:pPr>
            <w:r>
              <w:rPr>
                <w:rFonts w:hint="eastAsia"/>
              </w:rPr>
              <w:t>146130.3</w:t>
            </w:r>
          </w:p>
        </w:tc>
        <w:tc>
          <w:tcPr>
            <w:tcW w:w="0" w:type="auto"/>
            <w:tcBorders>
              <w:top w:val="single" w:color="auto" w:sz="4" w:space="0"/>
              <w:left w:val="single" w:color="auto" w:sz="4" w:space="0"/>
              <w:bottom w:val="single" w:color="auto" w:sz="4" w:space="0"/>
              <w:right w:val="single" w:color="auto" w:sz="4" w:space="0"/>
            </w:tcBorders>
            <w:vAlign w:val="center"/>
          </w:tcPr>
          <w:p w14:paraId="47696BA0">
            <w:pPr>
              <w:pStyle w:val="557"/>
            </w:pPr>
            <w:r>
              <w:t>-</w:t>
            </w:r>
          </w:p>
        </w:tc>
        <w:tc>
          <w:tcPr>
            <w:tcW w:w="0" w:type="auto"/>
            <w:tcBorders>
              <w:top w:val="single" w:color="auto" w:sz="4" w:space="0"/>
              <w:left w:val="single" w:color="auto" w:sz="4" w:space="0"/>
              <w:bottom w:val="single" w:color="auto" w:sz="4" w:space="0"/>
              <w:right w:val="single" w:color="auto" w:sz="4" w:space="0"/>
            </w:tcBorders>
            <w:vAlign w:val="center"/>
          </w:tcPr>
          <w:p w14:paraId="3252BAFC">
            <w:pPr>
              <w:pStyle w:val="557"/>
            </w:pPr>
            <w:r>
              <w:rPr>
                <w:rFonts w:hint="eastAsia"/>
              </w:rPr>
              <w:t>4.6228104</w:t>
            </w:r>
          </w:p>
        </w:tc>
        <w:tc>
          <w:tcPr>
            <w:tcW w:w="0" w:type="auto"/>
            <w:tcBorders>
              <w:top w:val="single" w:color="auto" w:sz="4" w:space="0"/>
              <w:left w:val="single" w:color="auto" w:sz="4" w:space="0"/>
              <w:bottom w:val="single" w:color="auto" w:sz="4" w:space="0"/>
              <w:right w:val="single" w:color="auto" w:sz="4" w:space="0"/>
            </w:tcBorders>
            <w:noWrap/>
            <w:vAlign w:val="center"/>
          </w:tcPr>
          <w:p w14:paraId="2ADC1191">
            <w:pPr>
              <w:pStyle w:val="557"/>
            </w:pPr>
            <w:r>
              <w:rPr>
                <w:rFonts w:hint="eastAsia"/>
              </w:rPr>
              <w:t>0.76284</w:t>
            </w:r>
          </w:p>
        </w:tc>
        <w:tc>
          <w:tcPr>
            <w:tcW w:w="895" w:type="dxa"/>
            <w:tcBorders>
              <w:top w:val="single" w:color="auto" w:sz="4" w:space="0"/>
              <w:left w:val="single" w:color="auto" w:sz="4" w:space="0"/>
              <w:bottom w:val="single" w:color="auto" w:sz="4" w:space="0"/>
              <w:right w:val="single" w:color="auto" w:sz="4" w:space="0"/>
            </w:tcBorders>
            <w:noWrap/>
            <w:vAlign w:val="center"/>
          </w:tcPr>
          <w:p w14:paraId="579AAE1B">
            <w:pPr>
              <w:pStyle w:val="557"/>
            </w:pPr>
            <w:r>
              <w:rPr>
                <w:rFonts w:hint="eastAsia"/>
              </w:rPr>
              <w:t>0.38142</w:t>
            </w:r>
          </w:p>
        </w:tc>
        <w:tc>
          <w:tcPr>
            <w:tcW w:w="855" w:type="dxa"/>
            <w:tcBorders>
              <w:top w:val="single" w:color="auto" w:sz="4" w:space="0"/>
              <w:left w:val="single" w:color="auto" w:sz="4" w:space="0"/>
              <w:bottom w:val="single" w:color="auto" w:sz="4" w:space="0"/>
              <w:right w:val="single" w:color="auto" w:sz="4" w:space="0"/>
            </w:tcBorders>
            <w:vAlign w:val="center"/>
          </w:tcPr>
          <w:p w14:paraId="6416381E">
            <w:pPr>
              <w:pStyle w:val="557"/>
            </w:pPr>
            <w:r>
              <w:t>-</w:t>
            </w:r>
          </w:p>
        </w:tc>
      </w:tr>
    </w:tbl>
    <w:p w14:paraId="4CF8FEA9">
      <w:pPr>
        <w:spacing w:line="360" w:lineRule="auto"/>
        <w:rPr>
          <w:rFonts w:hint="eastAsia" w:ascii="黑体" w:hAnsi="黑体" w:eastAsia="黑体"/>
          <w:b/>
          <w:spacing w:val="8"/>
        </w:rPr>
        <w:sectPr>
          <w:pgSz w:w="16838" w:h="11906" w:orient="landscape"/>
          <w:pgMar w:top="1800" w:right="1440" w:bottom="1800" w:left="1440" w:header="851" w:footer="850" w:gutter="0"/>
          <w:cols w:space="720" w:num="1"/>
          <w:docGrid w:type="lines" w:linePitch="326" w:charSpace="0"/>
        </w:sectPr>
      </w:pPr>
    </w:p>
    <w:p w14:paraId="074E82E6">
      <w:pPr>
        <w:pStyle w:val="98"/>
        <w:rPr>
          <w:rFonts w:hint="eastAsia"/>
        </w:rPr>
      </w:pPr>
      <w:r>
        <w:rPr>
          <w:rFonts w:hint="eastAsia"/>
        </w:rPr>
        <w:t>区域拟建、在建污染源参数</w:t>
      </w:r>
    </w:p>
    <w:p w14:paraId="6A005B70">
      <w:pPr>
        <w:pStyle w:val="281"/>
        <w:ind w:firstLine="480"/>
        <w:rPr>
          <w:color w:val="000000" w:themeColor="text1"/>
          <w:highlight w:val="red"/>
          <w14:textFill>
            <w14:solidFill>
              <w14:schemeClr w14:val="tx1"/>
            </w14:solidFill>
          </w14:textFill>
        </w:rPr>
      </w:pPr>
      <w:bookmarkStart w:id="300" w:name="_Hlk194935708"/>
      <w:r>
        <w:rPr>
          <w:rFonts w:hint="eastAsia"/>
          <w:color w:val="000000" w:themeColor="text1"/>
          <w14:textFill>
            <w14:solidFill>
              <w14:schemeClr w14:val="tx1"/>
            </w14:solidFill>
          </w14:textFill>
        </w:rPr>
        <w:t>根据现场调查，评价范围内与本项目排放污染物有关的拟建及在建项目主要包括：新疆路洋瑞航能源科技有限公司新建400吨/年解草啶农药安全剂与15000吨/年精胺生产装置建设项目（一期15000吨/年精胺生产装置）、新疆中和合众新材料有限公司年产100万吨羧酸及其下游产品一体化项目（一期工程）、新疆蓝洁环保科技有限公司废油再生循环及废旧包装桶回收、无害化处理综合利用项目。</w:t>
      </w:r>
    </w:p>
    <w:bookmarkEnd w:id="300"/>
    <w:p w14:paraId="2AC0C62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在建、拟建污染源参数见</w:t>
      </w:r>
      <w:r>
        <w:rPr>
          <w:rFonts w:hint="eastAsia"/>
          <w:color w:val="000000" w:themeColor="text1"/>
          <w:spacing w:val="8"/>
          <w14:textFill>
            <w14:solidFill>
              <w14:schemeClr w14:val="tx1"/>
            </w14:solidFill>
          </w14:textFill>
        </w:rPr>
        <w:t>表</w:t>
      </w:r>
      <w:r>
        <w:rPr>
          <w:color w:val="000000" w:themeColor="text1"/>
          <w:spacing w:val="8"/>
          <w14:textFill>
            <w14:solidFill>
              <w14:schemeClr w14:val="tx1"/>
            </w14:solidFill>
          </w14:textFill>
        </w:rPr>
        <w:t>5.2.3-4</w:t>
      </w:r>
      <w:r>
        <w:rPr>
          <w:rFonts w:hint="eastAsia"/>
          <w:color w:val="000000" w:themeColor="text1"/>
          <w14:textFill>
            <w14:solidFill>
              <w14:schemeClr w14:val="tx1"/>
            </w14:solidFill>
          </w14:textFill>
        </w:rPr>
        <w:t>和</w:t>
      </w:r>
      <w:r>
        <w:rPr>
          <w:rFonts w:hint="eastAsia"/>
          <w:color w:val="000000" w:themeColor="text1"/>
          <w:spacing w:val="8"/>
          <w14:textFill>
            <w14:solidFill>
              <w14:schemeClr w14:val="tx1"/>
            </w14:solidFill>
          </w14:textFill>
        </w:rPr>
        <w:t>表</w:t>
      </w:r>
      <w:r>
        <w:rPr>
          <w:color w:val="000000" w:themeColor="text1"/>
          <w:spacing w:val="8"/>
          <w14:textFill>
            <w14:solidFill>
              <w14:schemeClr w14:val="tx1"/>
            </w14:solidFill>
          </w14:textFill>
        </w:rPr>
        <w:t>5.2.3-5</w:t>
      </w:r>
      <w:r>
        <w:rPr>
          <w:rFonts w:hint="eastAsia"/>
          <w:color w:val="000000" w:themeColor="text1"/>
          <w14:textFill>
            <w14:solidFill>
              <w14:schemeClr w14:val="tx1"/>
            </w14:solidFill>
          </w14:textFill>
        </w:rPr>
        <w:t>。</w:t>
      </w:r>
    </w:p>
    <w:p w14:paraId="407DD627">
      <w:pPr>
        <w:pStyle w:val="98"/>
        <w:numPr>
          <w:ilvl w:val="3"/>
          <w:numId w:val="8"/>
        </w:numPr>
        <w:ind w:left="0"/>
        <w:rPr>
          <w:rFonts w:hint="eastAsia"/>
        </w:rPr>
      </w:pPr>
      <w:r>
        <w:rPr>
          <w:rFonts w:hint="eastAsia"/>
        </w:rPr>
        <w:t>区域削减源参数</w:t>
      </w:r>
    </w:p>
    <w:p w14:paraId="368D5ACE">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根据中华人民共和国生态环境部办公厅2020年6月29日发布的“关于将巴音郭楞蒙古自治州 吐鲁番市 哈密市纳入执行《环境影响评价技术导则 大气环境（HJ 2.2-2018）》差别化政策范围的复函”（环办环评函[2020]341号），同意对巴音郭楞蒙古自治州、吐鲁番市和哈密市实施环境影响评价差别化政策，新建项目可不提供颗粒物区域削减方案。</w:t>
      </w:r>
    </w:p>
    <w:p w14:paraId="67E152FF">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本项目位于哈密工业园区，可不提供颗粒物区域削减方案。</w:t>
      </w:r>
    </w:p>
    <w:p w14:paraId="4A39E963">
      <w:pPr>
        <w:pStyle w:val="535"/>
        <w:ind w:left="400" w:hanging="400"/>
        <w:rPr>
          <w:rFonts w:hint="eastAsia"/>
          <w:color w:val="auto"/>
        </w:rPr>
      </w:pPr>
    </w:p>
    <w:p w14:paraId="2ABB5242">
      <w:pPr>
        <w:pStyle w:val="535"/>
        <w:ind w:left="400" w:hanging="400"/>
        <w:rPr>
          <w:rFonts w:hint="eastAsia"/>
          <w:color w:val="auto"/>
        </w:rPr>
      </w:pPr>
    </w:p>
    <w:p w14:paraId="6F4F78E7">
      <w:pPr>
        <w:pStyle w:val="535"/>
        <w:ind w:left="400" w:hanging="400"/>
        <w:rPr>
          <w:rFonts w:hint="eastAsia"/>
          <w:color w:val="auto"/>
        </w:rPr>
      </w:pPr>
    </w:p>
    <w:p w14:paraId="56DE2855">
      <w:pPr>
        <w:pStyle w:val="535"/>
        <w:ind w:left="400" w:hanging="400"/>
        <w:rPr>
          <w:rFonts w:hint="eastAsia"/>
          <w:color w:val="auto"/>
        </w:rPr>
      </w:pPr>
    </w:p>
    <w:p w14:paraId="23BE2CCE">
      <w:pPr>
        <w:spacing w:line="360" w:lineRule="auto"/>
        <w:rPr>
          <w:rFonts w:hint="eastAsia" w:ascii="黑体" w:hAnsi="黑体" w:eastAsia="黑体"/>
          <w:b/>
          <w:snapToGrid w:val="0"/>
        </w:rPr>
        <w:sectPr>
          <w:pgSz w:w="11906" w:h="16838"/>
          <w:pgMar w:top="1440" w:right="1800" w:bottom="1440" w:left="1800" w:header="851" w:footer="850" w:gutter="0"/>
          <w:cols w:space="720" w:num="1"/>
          <w:docGrid w:type="lines" w:linePitch="326" w:charSpace="0"/>
        </w:sectPr>
      </w:pPr>
    </w:p>
    <w:p w14:paraId="51C9B234">
      <w:pPr>
        <w:pStyle w:val="535"/>
        <w:ind w:left="416" w:hanging="416"/>
        <w:rPr>
          <w:rFonts w:ascii="Times New Roman" w:hAnsi="Times New Roman" w:eastAsia="宋体"/>
          <w:color w:val="000000" w:themeColor="text1"/>
          <w14:textFill>
            <w14:solidFill>
              <w14:schemeClr w14:val="tx1"/>
            </w14:solidFill>
          </w14:textFill>
        </w:rPr>
      </w:pPr>
      <w:r>
        <w:rPr>
          <w:rFonts w:hint="eastAsia"/>
          <w:color w:val="000000" w:themeColor="text1"/>
          <w:spacing w:val="8"/>
          <w14:textFill>
            <w14:solidFill>
              <w14:schemeClr w14:val="tx1"/>
            </w14:solidFill>
          </w14:textFill>
        </w:rPr>
        <w:t xml:space="preserve">表5.2.3-4    </w:t>
      </w:r>
      <w:r>
        <w:rPr>
          <w:rFonts w:hint="eastAsia"/>
          <w:color w:val="000000" w:themeColor="text1"/>
          <w14:textFill>
            <w14:solidFill>
              <w14:schemeClr w14:val="tx1"/>
            </w14:solidFill>
          </w14:textFill>
        </w:rPr>
        <w:t>评价范围内拟建、在建项目点源参数表</w:t>
      </w:r>
    </w:p>
    <w:tbl>
      <w:tblPr>
        <w:tblStyle w:val="65"/>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854"/>
        <w:gridCol w:w="585"/>
        <w:gridCol w:w="657"/>
        <w:gridCol w:w="532"/>
        <w:gridCol w:w="625"/>
        <w:gridCol w:w="719"/>
        <w:gridCol w:w="912"/>
        <w:gridCol w:w="808"/>
        <w:gridCol w:w="914"/>
        <w:gridCol w:w="700"/>
        <w:gridCol w:w="723"/>
        <w:gridCol w:w="723"/>
        <w:gridCol w:w="723"/>
        <w:gridCol w:w="960"/>
        <w:gridCol w:w="1058"/>
        <w:gridCol w:w="721"/>
      </w:tblGrid>
      <w:tr w14:paraId="53A5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vMerge w:val="restart"/>
            <w:tcBorders>
              <w:top w:val="single" w:color="auto" w:sz="4" w:space="0"/>
              <w:left w:val="single" w:color="auto" w:sz="4" w:space="0"/>
              <w:bottom w:val="single" w:color="auto" w:sz="4" w:space="0"/>
              <w:right w:val="single" w:color="auto" w:sz="4" w:space="0"/>
            </w:tcBorders>
            <w:noWrap/>
            <w:vAlign w:val="center"/>
          </w:tcPr>
          <w:p w14:paraId="41C646CA">
            <w:pPr>
              <w:pStyle w:val="557"/>
            </w:pPr>
            <w:r>
              <w:rPr>
                <w:rFonts w:hint="eastAsia"/>
              </w:rPr>
              <w:t>序号</w:t>
            </w:r>
          </w:p>
        </w:tc>
        <w:tc>
          <w:tcPr>
            <w:tcW w:w="1824" w:type="dxa"/>
            <w:vMerge w:val="restart"/>
            <w:tcBorders>
              <w:top w:val="single" w:color="auto" w:sz="4" w:space="0"/>
              <w:left w:val="single" w:color="auto" w:sz="4" w:space="0"/>
              <w:bottom w:val="single" w:color="auto" w:sz="4" w:space="0"/>
              <w:right w:val="single" w:color="auto" w:sz="4" w:space="0"/>
            </w:tcBorders>
            <w:noWrap/>
            <w:vAlign w:val="center"/>
          </w:tcPr>
          <w:p w14:paraId="6E967B50">
            <w:pPr>
              <w:pStyle w:val="557"/>
            </w:pPr>
            <w:r>
              <w:rPr>
                <w:rFonts w:hint="eastAsia"/>
              </w:rPr>
              <w:t>污染源名称</w:t>
            </w:r>
          </w:p>
        </w:tc>
        <w:tc>
          <w:tcPr>
            <w:tcW w:w="576" w:type="dxa"/>
            <w:vMerge w:val="restart"/>
            <w:tcBorders>
              <w:top w:val="single" w:color="auto" w:sz="4" w:space="0"/>
              <w:left w:val="single" w:color="auto" w:sz="4" w:space="0"/>
              <w:bottom w:val="single" w:color="auto" w:sz="4" w:space="0"/>
              <w:right w:val="single" w:color="auto" w:sz="4" w:space="0"/>
            </w:tcBorders>
            <w:noWrap/>
            <w:vAlign w:val="center"/>
          </w:tcPr>
          <w:p w14:paraId="1E05944A">
            <w:pPr>
              <w:pStyle w:val="557"/>
            </w:pPr>
            <w:r>
              <w:t>X</w:t>
            </w:r>
          </w:p>
        </w:tc>
        <w:tc>
          <w:tcPr>
            <w:tcW w:w="647" w:type="dxa"/>
            <w:vMerge w:val="restart"/>
            <w:tcBorders>
              <w:top w:val="single" w:color="auto" w:sz="4" w:space="0"/>
              <w:left w:val="single" w:color="auto" w:sz="4" w:space="0"/>
              <w:bottom w:val="single" w:color="auto" w:sz="4" w:space="0"/>
              <w:right w:val="single" w:color="auto" w:sz="4" w:space="0"/>
            </w:tcBorders>
            <w:noWrap/>
            <w:vAlign w:val="center"/>
          </w:tcPr>
          <w:p w14:paraId="5716A7D5">
            <w:pPr>
              <w:pStyle w:val="557"/>
            </w:pPr>
            <w:r>
              <w:t>Y</w:t>
            </w:r>
          </w:p>
        </w:tc>
        <w:tc>
          <w:tcPr>
            <w:tcW w:w="524" w:type="dxa"/>
            <w:vMerge w:val="restart"/>
            <w:tcBorders>
              <w:top w:val="single" w:color="auto" w:sz="4" w:space="0"/>
              <w:left w:val="single" w:color="auto" w:sz="4" w:space="0"/>
              <w:bottom w:val="single" w:color="auto" w:sz="4" w:space="0"/>
              <w:right w:val="single" w:color="auto" w:sz="4" w:space="0"/>
            </w:tcBorders>
            <w:noWrap/>
            <w:vAlign w:val="center"/>
          </w:tcPr>
          <w:p w14:paraId="1B318520">
            <w:pPr>
              <w:pStyle w:val="557"/>
            </w:pPr>
            <w:r>
              <w:rPr>
                <w:rFonts w:hint="eastAsia"/>
              </w:rPr>
              <w:t>点源</w:t>
            </w:r>
            <w:r>
              <w:t>H</w:t>
            </w:r>
          </w:p>
          <w:p w14:paraId="55CCE1EF">
            <w:pPr>
              <w:pStyle w:val="557"/>
            </w:pPr>
            <w:r>
              <w:rPr>
                <w:rFonts w:hint="eastAsia"/>
              </w:rPr>
              <w:t>m</w:t>
            </w:r>
          </w:p>
        </w:tc>
        <w:tc>
          <w:tcPr>
            <w:tcW w:w="615" w:type="dxa"/>
            <w:vMerge w:val="restart"/>
            <w:tcBorders>
              <w:top w:val="single" w:color="auto" w:sz="4" w:space="0"/>
              <w:left w:val="single" w:color="auto" w:sz="4" w:space="0"/>
              <w:bottom w:val="single" w:color="auto" w:sz="4" w:space="0"/>
              <w:right w:val="single" w:color="auto" w:sz="4" w:space="0"/>
            </w:tcBorders>
            <w:noWrap/>
            <w:vAlign w:val="center"/>
          </w:tcPr>
          <w:p w14:paraId="30046857">
            <w:pPr>
              <w:pStyle w:val="557"/>
            </w:pPr>
            <w:r>
              <w:rPr>
                <w:rFonts w:hint="eastAsia"/>
              </w:rPr>
              <w:t>点源</w:t>
            </w:r>
            <w:r>
              <w:t>D</w:t>
            </w:r>
          </w:p>
          <w:p w14:paraId="34239544">
            <w:pPr>
              <w:pStyle w:val="557"/>
            </w:pPr>
            <w:r>
              <w:rPr>
                <w:rFonts w:hint="eastAsia"/>
              </w:rPr>
              <w:t>m</w:t>
            </w:r>
          </w:p>
        </w:tc>
        <w:tc>
          <w:tcPr>
            <w:tcW w:w="708" w:type="dxa"/>
            <w:vMerge w:val="restart"/>
            <w:tcBorders>
              <w:top w:val="single" w:color="auto" w:sz="4" w:space="0"/>
              <w:left w:val="single" w:color="auto" w:sz="4" w:space="0"/>
              <w:bottom w:val="single" w:color="auto" w:sz="4" w:space="0"/>
              <w:right w:val="single" w:color="auto" w:sz="4" w:space="0"/>
            </w:tcBorders>
            <w:noWrap/>
            <w:vAlign w:val="center"/>
          </w:tcPr>
          <w:p w14:paraId="54222C5E">
            <w:pPr>
              <w:pStyle w:val="557"/>
            </w:pPr>
            <w:r>
              <w:rPr>
                <w:rFonts w:hint="eastAsia"/>
              </w:rPr>
              <w:t>点源</w:t>
            </w:r>
            <w:r>
              <w:t>T</w:t>
            </w:r>
          </w:p>
          <w:p w14:paraId="3E0CE3BF">
            <w:pPr>
              <w:pStyle w:val="557"/>
            </w:pPr>
            <w:r>
              <w:rPr>
                <w:rFonts w:hint="eastAsia"/>
              </w:rPr>
              <w:t>℃</w:t>
            </w:r>
          </w:p>
        </w:tc>
        <w:tc>
          <w:tcPr>
            <w:tcW w:w="897" w:type="dxa"/>
            <w:vMerge w:val="restart"/>
            <w:tcBorders>
              <w:top w:val="single" w:color="auto" w:sz="4" w:space="0"/>
              <w:left w:val="single" w:color="auto" w:sz="4" w:space="0"/>
              <w:bottom w:val="single" w:color="auto" w:sz="4" w:space="0"/>
              <w:right w:val="single" w:color="auto" w:sz="4" w:space="0"/>
            </w:tcBorders>
            <w:noWrap/>
            <w:vAlign w:val="center"/>
          </w:tcPr>
          <w:p w14:paraId="0F89E8D0">
            <w:pPr>
              <w:pStyle w:val="557"/>
            </w:pPr>
            <w:r>
              <w:rPr>
                <w:rFonts w:hint="eastAsia"/>
              </w:rPr>
              <w:t>烟气量</w:t>
            </w:r>
          </w:p>
          <w:p w14:paraId="38B51F8C">
            <w:pPr>
              <w:pStyle w:val="557"/>
            </w:pPr>
            <w:r>
              <w:t>Qvol</w:t>
            </w:r>
          </w:p>
          <w:p w14:paraId="1788093D">
            <w:pPr>
              <w:pStyle w:val="557"/>
            </w:pPr>
            <w:r>
              <w:rPr>
                <w:rFonts w:hint="eastAsia"/>
              </w:rPr>
              <w:t>m</w:t>
            </w:r>
            <w:r>
              <w:rPr>
                <w:rFonts w:hint="eastAsia"/>
                <w:vertAlign w:val="superscript"/>
              </w:rPr>
              <w:t>3</w:t>
            </w:r>
            <w:r>
              <w:rPr>
                <w:rFonts w:hint="eastAsia"/>
              </w:rPr>
              <w:t>/h</w:t>
            </w:r>
          </w:p>
        </w:tc>
        <w:tc>
          <w:tcPr>
            <w:tcW w:w="7212" w:type="dxa"/>
            <w:gridSpan w:val="9"/>
            <w:tcBorders>
              <w:top w:val="single" w:color="auto" w:sz="4" w:space="0"/>
              <w:left w:val="single" w:color="auto" w:sz="4" w:space="0"/>
              <w:bottom w:val="single" w:color="auto" w:sz="4" w:space="0"/>
              <w:right w:val="single" w:color="auto" w:sz="4" w:space="0"/>
            </w:tcBorders>
            <w:vAlign w:val="center"/>
          </w:tcPr>
          <w:p w14:paraId="58D738A8">
            <w:pPr>
              <w:pStyle w:val="557"/>
            </w:pPr>
            <w:r>
              <w:rPr>
                <w:rFonts w:hint="eastAsia"/>
              </w:rPr>
              <w:t>排放速率（</w:t>
            </w:r>
            <w:r>
              <w:t>kg/h</w:t>
            </w:r>
            <w:r>
              <w:rPr>
                <w:rFonts w:hint="eastAsia"/>
              </w:rPr>
              <w:t>）</w:t>
            </w:r>
          </w:p>
        </w:tc>
      </w:tr>
      <w:tr w14:paraId="32E2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vMerge w:val="continue"/>
            <w:tcBorders>
              <w:top w:val="single" w:color="auto" w:sz="4" w:space="0"/>
              <w:left w:val="single" w:color="auto" w:sz="4" w:space="0"/>
              <w:bottom w:val="single" w:color="auto" w:sz="4" w:space="0"/>
              <w:right w:val="single" w:color="auto" w:sz="4" w:space="0"/>
            </w:tcBorders>
            <w:vAlign w:val="center"/>
          </w:tcPr>
          <w:p w14:paraId="0E5A12F7">
            <w:pPr>
              <w:pStyle w:val="557"/>
            </w:pPr>
          </w:p>
        </w:tc>
        <w:tc>
          <w:tcPr>
            <w:tcW w:w="1824" w:type="dxa"/>
            <w:vMerge w:val="continue"/>
            <w:tcBorders>
              <w:top w:val="single" w:color="auto" w:sz="4" w:space="0"/>
              <w:left w:val="single" w:color="auto" w:sz="4" w:space="0"/>
              <w:bottom w:val="single" w:color="auto" w:sz="4" w:space="0"/>
              <w:right w:val="single" w:color="auto" w:sz="4" w:space="0"/>
            </w:tcBorders>
            <w:vAlign w:val="center"/>
          </w:tcPr>
          <w:p w14:paraId="30964E9F">
            <w:pPr>
              <w:pStyle w:val="557"/>
            </w:pPr>
          </w:p>
        </w:tc>
        <w:tc>
          <w:tcPr>
            <w:tcW w:w="576" w:type="dxa"/>
            <w:vMerge w:val="continue"/>
            <w:tcBorders>
              <w:top w:val="single" w:color="auto" w:sz="4" w:space="0"/>
              <w:left w:val="single" w:color="auto" w:sz="4" w:space="0"/>
              <w:bottom w:val="single" w:color="auto" w:sz="4" w:space="0"/>
              <w:right w:val="single" w:color="auto" w:sz="4" w:space="0"/>
            </w:tcBorders>
            <w:vAlign w:val="center"/>
          </w:tcPr>
          <w:p w14:paraId="1152E8C8">
            <w:pPr>
              <w:pStyle w:val="557"/>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14:paraId="34B8EAEB">
            <w:pPr>
              <w:pStyle w:val="557"/>
            </w:pPr>
          </w:p>
        </w:tc>
        <w:tc>
          <w:tcPr>
            <w:tcW w:w="524" w:type="dxa"/>
            <w:vMerge w:val="continue"/>
            <w:tcBorders>
              <w:top w:val="single" w:color="auto" w:sz="4" w:space="0"/>
              <w:left w:val="single" w:color="auto" w:sz="4" w:space="0"/>
              <w:bottom w:val="single" w:color="auto" w:sz="4" w:space="0"/>
              <w:right w:val="single" w:color="auto" w:sz="4" w:space="0"/>
            </w:tcBorders>
            <w:vAlign w:val="center"/>
          </w:tcPr>
          <w:p w14:paraId="3518FDEE">
            <w:pPr>
              <w:pStyle w:val="557"/>
            </w:pPr>
          </w:p>
        </w:tc>
        <w:tc>
          <w:tcPr>
            <w:tcW w:w="615" w:type="dxa"/>
            <w:vMerge w:val="continue"/>
            <w:tcBorders>
              <w:top w:val="single" w:color="auto" w:sz="4" w:space="0"/>
              <w:left w:val="single" w:color="auto" w:sz="4" w:space="0"/>
              <w:bottom w:val="single" w:color="auto" w:sz="4" w:space="0"/>
              <w:right w:val="single" w:color="auto" w:sz="4" w:space="0"/>
            </w:tcBorders>
            <w:vAlign w:val="center"/>
          </w:tcPr>
          <w:p w14:paraId="1AD27505">
            <w:pPr>
              <w:pStyle w:val="557"/>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6E00754">
            <w:pPr>
              <w:pStyle w:val="557"/>
            </w:pPr>
          </w:p>
        </w:tc>
        <w:tc>
          <w:tcPr>
            <w:tcW w:w="897" w:type="dxa"/>
            <w:vMerge w:val="continue"/>
            <w:tcBorders>
              <w:top w:val="single" w:color="auto" w:sz="4" w:space="0"/>
              <w:left w:val="single" w:color="auto" w:sz="4" w:space="0"/>
              <w:bottom w:val="single" w:color="auto" w:sz="4" w:space="0"/>
              <w:right w:val="single" w:color="auto" w:sz="4" w:space="0"/>
            </w:tcBorders>
            <w:vAlign w:val="center"/>
          </w:tcPr>
          <w:p w14:paraId="2B85D212">
            <w:pPr>
              <w:pStyle w:val="557"/>
            </w:pPr>
          </w:p>
        </w:tc>
        <w:tc>
          <w:tcPr>
            <w:tcW w:w="795" w:type="dxa"/>
            <w:tcBorders>
              <w:top w:val="single" w:color="auto" w:sz="4" w:space="0"/>
              <w:left w:val="single" w:color="auto" w:sz="4" w:space="0"/>
              <w:bottom w:val="single" w:color="auto" w:sz="4" w:space="0"/>
              <w:right w:val="single" w:color="auto" w:sz="4" w:space="0"/>
            </w:tcBorders>
            <w:noWrap/>
            <w:vAlign w:val="center"/>
          </w:tcPr>
          <w:p w14:paraId="47D8CAFD">
            <w:pPr>
              <w:pStyle w:val="557"/>
            </w:pPr>
            <w:r>
              <w:t>SO</w:t>
            </w:r>
            <w:r>
              <w:rPr>
                <w:vertAlign w:val="subscript"/>
              </w:rPr>
              <w:t>2</w:t>
            </w:r>
          </w:p>
        </w:tc>
        <w:tc>
          <w:tcPr>
            <w:tcW w:w="899" w:type="dxa"/>
            <w:tcBorders>
              <w:top w:val="single" w:color="auto" w:sz="4" w:space="0"/>
              <w:left w:val="single" w:color="auto" w:sz="4" w:space="0"/>
              <w:bottom w:val="single" w:color="auto" w:sz="4" w:space="0"/>
              <w:right w:val="single" w:color="auto" w:sz="4" w:space="0"/>
            </w:tcBorders>
            <w:noWrap/>
            <w:vAlign w:val="center"/>
          </w:tcPr>
          <w:p w14:paraId="62F02C91">
            <w:pPr>
              <w:pStyle w:val="557"/>
            </w:pPr>
            <w:r>
              <w:t>NO</w:t>
            </w:r>
            <w:r>
              <w:rPr>
                <w:vertAlign w:val="subscript"/>
              </w:rPr>
              <w:t>2</w:t>
            </w:r>
          </w:p>
        </w:tc>
        <w:tc>
          <w:tcPr>
            <w:tcW w:w="689" w:type="dxa"/>
            <w:tcBorders>
              <w:top w:val="single" w:color="auto" w:sz="4" w:space="0"/>
              <w:left w:val="single" w:color="auto" w:sz="4" w:space="0"/>
              <w:bottom w:val="single" w:color="auto" w:sz="4" w:space="0"/>
              <w:right w:val="single" w:color="auto" w:sz="4" w:space="0"/>
            </w:tcBorders>
            <w:noWrap/>
            <w:vAlign w:val="center"/>
          </w:tcPr>
          <w:p w14:paraId="32EA9CA8">
            <w:pPr>
              <w:pStyle w:val="557"/>
            </w:pPr>
            <w:r>
              <w:t>PM</w:t>
            </w:r>
            <w:r>
              <w:rPr>
                <w:vertAlign w:val="subscript"/>
              </w:rPr>
              <w:t>10</w:t>
            </w:r>
          </w:p>
        </w:tc>
        <w:tc>
          <w:tcPr>
            <w:tcW w:w="711" w:type="dxa"/>
            <w:tcBorders>
              <w:top w:val="single" w:color="auto" w:sz="4" w:space="0"/>
              <w:left w:val="single" w:color="auto" w:sz="4" w:space="0"/>
              <w:bottom w:val="single" w:color="auto" w:sz="4" w:space="0"/>
              <w:right w:val="single" w:color="auto" w:sz="4" w:space="0"/>
            </w:tcBorders>
            <w:vAlign w:val="center"/>
          </w:tcPr>
          <w:p w14:paraId="6D8894AC">
            <w:pPr>
              <w:pStyle w:val="557"/>
            </w:pPr>
            <w:r>
              <w:t>PM</w:t>
            </w:r>
            <w:r>
              <w:rPr>
                <w:vertAlign w:val="subscript"/>
              </w:rPr>
              <w:t>2.5</w:t>
            </w:r>
          </w:p>
        </w:tc>
        <w:tc>
          <w:tcPr>
            <w:tcW w:w="711" w:type="dxa"/>
            <w:tcBorders>
              <w:top w:val="single" w:color="auto" w:sz="4" w:space="0"/>
              <w:left w:val="single" w:color="auto" w:sz="4" w:space="0"/>
              <w:bottom w:val="single" w:color="auto" w:sz="4" w:space="0"/>
              <w:right w:val="single" w:color="auto" w:sz="4" w:space="0"/>
            </w:tcBorders>
            <w:noWrap/>
            <w:vAlign w:val="center"/>
          </w:tcPr>
          <w:p w14:paraId="2BBC7ACE">
            <w:pPr>
              <w:pStyle w:val="557"/>
            </w:pPr>
            <w:r>
              <w:rPr>
                <w:rFonts w:hint="eastAsia"/>
              </w:rPr>
              <w:t>氨</w:t>
            </w:r>
          </w:p>
        </w:tc>
        <w:tc>
          <w:tcPr>
            <w:tcW w:w="711" w:type="dxa"/>
            <w:tcBorders>
              <w:top w:val="single" w:color="auto" w:sz="4" w:space="0"/>
              <w:left w:val="single" w:color="auto" w:sz="4" w:space="0"/>
              <w:bottom w:val="single" w:color="auto" w:sz="4" w:space="0"/>
              <w:right w:val="single" w:color="auto" w:sz="4" w:space="0"/>
            </w:tcBorders>
            <w:noWrap/>
            <w:vAlign w:val="center"/>
          </w:tcPr>
          <w:p w14:paraId="78BFEF19">
            <w:pPr>
              <w:pStyle w:val="557"/>
            </w:pPr>
            <w:r>
              <w:t>H</w:t>
            </w:r>
            <w:r>
              <w:rPr>
                <w:vertAlign w:val="subscript"/>
              </w:rPr>
              <w:t>2</w:t>
            </w:r>
            <w:r>
              <w:t>S</w:t>
            </w:r>
          </w:p>
        </w:tc>
        <w:tc>
          <w:tcPr>
            <w:tcW w:w="945" w:type="dxa"/>
            <w:tcBorders>
              <w:top w:val="single" w:color="auto" w:sz="4" w:space="0"/>
              <w:left w:val="single" w:color="auto" w:sz="4" w:space="0"/>
              <w:bottom w:val="single" w:color="auto" w:sz="4" w:space="0"/>
              <w:right w:val="single" w:color="auto" w:sz="4" w:space="0"/>
            </w:tcBorders>
            <w:noWrap/>
            <w:vAlign w:val="center"/>
          </w:tcPr>
          <w:p w14:paraId="7644901C">
            <w:pPr>
              <w:pStyle w:val="557"/>
            </w:pPr>
            <w:r>
              <w:rPr>
                <w:rFonts w:hint="eastAsia"/>
              </w:rPr>
              <w:t>甲醇</w:t>
            </w:r>
          </w:p>
        </w:tc>
        <w:tc>
          <w:tcPr>
            <w:tcW w:w="1041" w:type="dxa"/>
            <w:tcBorders>
              <w:top w:val="single" w:color="auto" w:sz="4" w:space="0"/>
              <w:left w:val="single" w:color="auto" w:sz="4" w:space="0"/>
              <w:bottom w:val="single" w:color="auto" w:sz="4" w:space="0"/>
              <w:right w:val="single" w:color="auto" w:sz="4" w:space="0"/>
            </w:tcBorders>
            <w:noWrap/>
            <w:vAlign w:val="center"/>
          </w:tcPr>
          <w:p w14:paraId="3F597018">
            <w:pPr>
              <w:pStyle w:val="557"/>
            </w:pPr>
            <w:r>
              <w:t>NMHC</w:t>
            </w:r>
          </w:p>
        </w:tc>
        <w:tc>
          <w:tcPr>
            <w:tcW w:w="710" w:type="dxa"/>
            <w:tcBorders>
              <w:top w:val="single" w:color="auto" w:sz="4" w:space="0"/>
              <w:left w:val="single" w:color="auto" w:sz="4" w:space="0"/>
              <w:bottom w:val="single" w:color="auto" w:sz="4" w:space="0"/>
              <w:right w:val="single" w:color="auto" w:sz="4" w:space="0"/>
            </w:tcBorders>
            <w:noWrap/>
            <w:vAlign w:val="center"/>
          </w:tcPr>
          <w:p w14:paraId="652E0E2D">
            <w:pPr>
              <w:pStyle w:val="557"/>
            </w:pPr>
            <w:r>
              <w:rPr>
                <w:rFonts w:hint="eastAsia"/>
              </w:rPr>
              <w:t>硫酸</w:t>
            </w:r>
          </w:p>
        </w:tc>
      </w:tr>
      <w:tr w14:paraId="18DC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3F71BFE4">
            <w:pPr>
              <w:pStyle w:val="557"/>
            </w:pPr>
            <w:r>
              <w:t>1</w:t>
            </w:r>
          </w:p>
        </w:tc>
        <w:tc>
          <w:tcPr>
            <w:tcW w:w="1824" w:type="dxa"/>
            <w:tcBorders>
              <w:top w:val="single" w:color="auto" w:sz="4" w:space="0"/>
              <w:left w:val="single" w:color="auto" w:sz="4" w:space="0"/>
              <w:bottom w:val="single" w:color="auto" w:sz="4" w:space="0"/>
              <w:right w:val="single" w:color="auto" w:sz="4" w:space="0"/>
            </w:tcBorders>
            <w:noWrap/>
            <w:vAlign w:val="center"/>
          </w:tcPr>
          <w:p w14:paraId="09DB693F">
            <w:pPr>
              <w:pStyle w:val="557"/>
            </w:pPr>
            <w:r>
              <w:rPr>
                <w:rFonts w:hint="eastAsia"/>
              </w:rPr>
              <w:t>路洋瑞航RTO焚烧炉</w:t>
            </w:r>
          </w:p>
        </w:tc>
        <w:tc>
          <w:tcPr>
            <w:tcW w:w="576" w:type="dxa"/>
            <w:tcBorders>
              <w:top w:val="single" w:color="auto" w:sz="4" w:space="0"/>
              <w:left w:val="single" w:color="auto" w:sz="4" w:space="0"/>
              <w:bottom w:val="single" w:color="auto" w:sz="4" w:space="0"/>
              <w:right w:val="single" w:color="auto" w:sz="4" w:space="0"/>
            </w:tcBorders>
            <w:noWrap/>
            <w:vAlign w:val="center"/>
          </w:tcPr>
          <w:p w14:paraId="41613A14">
            <w:pPr>
              <w:pStyle w:val="557"/>
            </w:pPr>
            <w:r>
              <w:rPr>
                <w:rFonts w:hint="eastAsia"/>
              </w:rPr>
              <w:t>1786</w:t>
            </w:r>
          </w:p>
        </w:tc>
        <w:tc>
          <w:tcPr>
            <w:tcW w:w="647" w:type="dxa"/>
            <w:tcBorders>
              <w:top w:val="single" w:color="auto" w:sz="4" w:space="0"/>
              <w:left w:val="single" w:color="auto" w:sz="4" w:space="0"/>
              <w:bottom w:val="single" w:color="auto" w:sz="4" w:space="0"/>
              <w:right w:val="single" w:color="auto" w:sz="4" w:space="0"/>
            </w:tcBorders>
            <w:noWrap/>
            <w:vAlign w:val="center"/>
          </w:tcPr>
          <w:p w14:paraId="49FDE0D7">
            <w:pPr>
              <w:pStyle w:val="557"/>
            </w:pPr>
            <w:r>
              <w:rPr>
                <w:rFonts w:hint="eastAsia"/>
              </w:rPr>
              <w:t>-1226</w:t>
            </w:r>
          </w:p>
        </w:tc>
        <w:tc>
          <w:tcPr>
            <w:tcW w:w="524" w:type="dxa"/>
            <w:tcBorders>
              <w:top w:val="single" w:color="auto" w:sz="4" w:space="0"/>
              <w:left w:val="single" w:color="auto" w:sz="4" w:space="0"/>
              <w:bottom w:val="single" w:color="auto" w:sz="4" w:space="0"/>
              <w:right w:val="single" w:color="auto" w:sz="4" w:space="0"/>
            </w:tcBorders>
            <w:noWrap/>
            <w:vAlign w:val="center"/>
          </w:tcPr>
          <w:p w14:paraId="2BA76E33">
            <w:pPr>
              <w:pStyle w:val="557"/>
            </w:pPr>
            <w:r>
              <w:rPr>
                <w:rFonts w:hint="eastAsia"/>
              </w:rPr>
              <w:t>25</w:t>
            </w:r>
          </w:p>
        </w:tc>
        <w:tc>
          <w:tcPr>
            <w:tcW w:w="615" w:type="dxa"/>
            <w:tcBorders>
              <w:top w:val="single" w:color="auto" w:sz="4" w:space="0"/>
              <w:left w:val="single" w:color="auto" w:sz="4" w:space="0"/>
              <w:bottom w:val="single" w:color="auto" w:sz="4" w:space="0"/>
              <w:right w:val="single" w:color="auto" w:sz="4" w:space="0"/>
            </w:tcBorders>
            <w:noWrap/>
            <w:vAlign w:val="center"/>
          </w:tcPr>
          <w:p w14:paraId="513B690D">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6F39FF59">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1F05DB31">
            <w:pPr>
              <w:pStyle w:val="557"/>
            </w:pPr>
            <w:r>
              <w:rPr>
                <w:rFonts w:hint="eastAsia"/>
              </w:rPr>
              <w:t>14000</w:t>
            </w:r>
          </w:p>
        </w:tc>
        <w:tc>
          <w:tcPr>
            <w:tcW w:w="795" w:type="dxa"/>
            <w:tcBorders>
              <w:top w:val="single" w:color="auto" w:sz="4" w:space="0"/>
              <w:left w:val="single" w:color="auto" w:sz="4" w:space="0"/>
              <w:bottom w:val="single" w:color="auto" w:sz="4" w:space="0"/>
              <w:right w:val="single" w:color="auto" w:sz="4" w:space="0"/>
            </w:tcBorders>
            <w:noWrap/>
            <w:vAlign w:val="center"/>
          </w:tcPr>
          <w:p w14:paraId="3EB6A2F8">
            <w:pPr>
              <w:pStyle w:val="557"/>
            </w:pPr>
            <w:r>
              <w:rPr>
                <w:rFonts w:hint="eastAsia"/>
              </w:rPr>
              <w:t>0.18</w:t>
            </w:r>
          </w:p>
        </w:tc>
        <w:tc>
          <w:tcPr>
            <w:tcW w:w="899" w:type="dxa"/>
            <w:tcBorders>
              <w:top w:val="single" w:color="auto" w:sz="4" w:space="0"/>
              <w:left w:val="single" w:color="auto" w:sz="4" w:space="0"/>
              <w:bottom w:val="single" w:color="auto" w:sz="4" w:space="0"/>
              <w:right w:val="single" w:color="auto" w:sz="4" w:space="0"/>
            </w:tcBorders>
            <w:noWrap/>
            <w:vAlign w:val="center"/>
          </w:tcPr>
          <w:p w14:paraId="7F96D876">
            <w:pPr>
              <w:pStyle w:val="557"/>
            </w:pPr>
            <w:r>
              <w:rPr>
                <w:rFonts w:hint="eastAsia"/>
              </w:rPr>
              <w:t>0.14</w:t>
            </w:r>
          </w:p>
        </w:tc>
        <w:tc>
          <w:tcPr>
            <w:tcW w:w="689" w:type="dxa"/>
            <w:tcBorders>
              <w:top w:val="single" w:color="auto" w:sz="4" w:space="0"/>
              <w:left w:val="single" w:color="auto" w:sz="4" w:space="0"/>
              <w:bottom w:val="single" w:color="auto" w:sz="4" w:space="0"/>
              <w:right w:val="single" w:color="auto" w:sz="4" w:space="0"/>
            </w:tcBorders>
            <w:noWrap/>
            <w:vAlign w:val="center"/>
          </w:tcPr>
          <w:p w14:paraId="58FB14F0">
            <w:pPr>
              <w:pStyle w:val="557"/>
            </w:pPr>
            <w:r>
              <w:rPr>
                <w:rFonts w:hint="eastAsia"/>
              </w:rPr>
              <w:t>0.006</w:t>
            </w:r>
          </w:p>
        </w:tc>
        <w:tc>
          <w:tcPr>
            <w:tcW w:w="711" w:type="dxa"/>
            <w:tcBorders>
              <w:top w:val="single" w:color="auto" w:sz="4" w:space="0"/>
              <w:left w:val="single" w:color="auto" w:sz="4" w:space="0"/>
              <w:bottom w:val="single" w:color="auto" w:sz="4" w:space="0"/>
              <w:right w:val="single" w:color="auto" w:sz="4" w:space="0"/>
            </w:tcBorders>
            <w:vAlign w:val="center"/>
          </w:tcPr>
          <w:p w14:paraId="335F0E95">
            <w:pPr>
              <w:pStyle w:val="557"/>
            </w:pPr>
            <w:r>
              <w:rPr>
                <w:rFonts w:hint="eastAsia"/>
              </w:rPr>
              <w:t>0.003</w:t>
            </w:r>
          </w:p>
        </w:tc>
        <w:tc>
          <w:tcPr>
            <w:tcW w:w="711" w:type="dxa"/>
            <w:tcBorders>
              <w:top w:val="single" w:color="auto" w:sz="4" w:space="0"/>
              <w:left w:val="single" w:color="auto" w:sz="4" w:space="0"/>
              <w:bottom w:val="single" w:color="auto" w:sz="4" w:space="0"/>
              <w:right w:val="single" w:color="auto" w:sz="4" w:space="0"/>
            </w:tcBorders>
            <w:noWrap/>
            <w:vAlign w:val="center"/>
          </w:tcPr>
          <w:p w14:paraId="60BF4A56">
            <w:pPr>
              <w:pStyle w:val="557"/>
            </w:pPr>
            <w:r>
              <w:rPr>
                <w:rFonts w:hint="eastAsia"/>
              </w:rPr>
              <w:t>0.01</w:t>
            </w:r>
          </w:p>
        </w:tc>
        <w:tc>
          <w:tcPr>
            <w:tcW w:w="711" w:type="dxa"/>
            <w:tcBorders>
              <w:top w:val="single" w:color="auto" w:sz="4" w:space="0"/>
              <w:left w:val="single" w:color="auto" w:sz="4" w:space="0"/>
              <w:bottom w:val="single" w:color="auto" w:sz="4" w:space="0"/>
              <w:right w:val="single" w:color="auto" w:sz="4" w:space="0"/>
            </w:tcBorders>
            <w:noWrap/>
            <w:vAlign w:val="center"/>
          </w:tcPr>
          <w:p w14:paraId="2593A7C6">
            <w:pPr>
              <w:pStyle w:val="557"/>
            </w:pPr>
            <w:r>
              <w:rPr>
                <w:rFonts w:hint="eastAsia"/>
              </w:rPr>
              <w:t>0.01</w:t>
            </w:r>
          </w:p>
        </w:tc>
        <w:tc>
          <w:tcPr>
            <w:tcW w:w="945" w:type="dxa"/>
            <w:tcBorders>
              <w:top w:val="single" w:color="auto" w:sz="4" w:space="0"/>
              <w:left w:val="single" w:color="auto" w:sz="4" w:space="0"/>
              <w:bottom w:val="single" w:color="auto" w:sz="4" w:space="0"/>
              <w:right w:val="single" w:color="auto" w:sz="4" w:space="0"/>
            </w:tcBorders>
            <w:noWrap/>
            <w:vAlign w:val="center"/>
          </w:tcPr>
          <w:p w14:paraId="2C982B4D">
            <w:pPr>
              <w:pStyle w:val="557"/>
            </w:pPr>
            <w:r>
              <w:rPr>
                <w:rFonts w:hint="eastAsia"/>
              </w:rPr>
              <w:t>0.25</w:t>
            </w:r>
          </w:p>
        </w:tc>
        <w:tc>
          <w:tcPr>
            <w:tcW w:w="1041" w:type="dxa"/>
            <w:tcBorders>
              <w:top w:val="single" w:color="auto" w:sz="4" w:space="0"/>
              <w:left w:val="single" w:color="auto" w:sz="4" w:space="0"/>
              <w:bottom w:val="single" w:color="auto" w:sz="4" w:space="0"/>
              <w:right w:val="single" w:color="auto" w:sz="4" w:space="0"/>
            </w:tcBorders>
            <w:noWrap/>
            <w:vAlign w:val="center"/>
          </w:tcPr>
          <w:p w14:paraId="64C1F0AD">
            <w:pPr>
              <w:pStyle w:val="557"/>
            </w:pPr>
            <w:r>
              <w:rPr>
                <w:rFonts w:hint="eastAsia"/>
              </w:rPr>
              <w:t>0.32</w:t>
            </w:r>
          </w:p>
        </w:tc>
        <w:tc>
          <w:tcPr>
            <w:tcW w:w="710" w:type="dxa"/>
            <w:tcBorders>
              <w:top w:val="single" w:color="auto" w:sz="4" w:space="0"/>
              <w:left w:val="single" w:color="auto" w:sz="4" w:space="0"/>
              <w:bottom w:val="single" w:color="auto" w:sz="4" w:space="0"/>
              <w:right w:val="single" w:color="auto" w:sz="4" w:space="0"/>
            </w:tcBorders>
            <w:noWrap/>
            <w:vAlign w:val="center"/>
          </w:tcPr>
          <w:p w14:paraId="7F3B1687">
            <w:pPr>
              <w:pStyle w:val="557"/>
            </w:pPr>
            <w:r>
              <w:rPr>
                <w:rFonts w:hint="eastAsia"/>
              </w:rPr>
              <w:t>/</w:t>
            </w:r>
          </w:p>
        </w:tc>
      </w:tr>
      <w:tr w14:paraId="30B9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375F8AB">
            <w:pPr>
              <w:pStyle w:val="557"/>
            </w:pPr>
            <w:r>
              <w:t>2</w:t>
            </w:r>
          </w:p>
        </w:tc>
        <w:tc>
          <w:tcPr>
            <w:tcW w:w="1824" w:type="dxa"/>
            <w:tcBorders>
              <w:top w:val="single" w:color="auto" w:sz="4" w:space="0"/>
              <w:left w:val="single" w:color="auto" w:sz="4" w:space="0"/>
              <w:bottom w:val="single" w:color="auto" w:sz="4" w:space="0"/>
              <w:right w:val="single" w:color="auto" w:sz="4" w:space="0"/>
            </w:tcBorders>
            <w:noWrap/>
            <w:vAlign w:val="center"/>
          </w:tcPr>
          <w:p w14:paraId="6FD19315">
            <w:pPr>
              <w:pStyle w:val="557"/>
            </w:pPr>
            <w:r>
              <w:rPr>
                <w:rFonts w:hint="eastAsia"/>
              </w:rPr>
              <w:t>路洋瑞航燃气锅炉</w:t>
            </w:r>
          </w:p>
        </w:tc>
        <w:tc>
          <w:tcPr>
            <w:tcW w:w="576" w:type="dxa"/>
            <w:tcBorders>
              <w:top w:val="single" w:color="auto" w:sz="4" w:space="0"/>
              <w:left w:val="single" w:color="auto" w:sz="4" w:space="0"/>
              <w:bottom w:val="single" w:color="auto" w:sz="4" w:space="0"/>
              <w:right w:val="single" w:color="auto" w:sz="4" w:space="0"/>
            </w:tcBorders>
            <w:noWrap/>
            <w:vAlign w:val="center"/>
          </w:tcPr>
          <w:p w14:paraId="56047A19">
            <w:pPr>
              <w:pStyle w:val="557"/>
            </w:pPr>
            <w:r>
              <w:rPr>
                <w:rFonts w:hint="eastAsia"/>
              </w:rPr>
              <w:t>1836</w:t>
            </w:r>
          </w:p>
        </w:tc>
        <w:tc>
          <w:tcPr>
            <w:tcW w:w="647" w:type="dxa"/>
            <w:tcBorders>
              <w:top w:val="single" w:color="auto" w:sz="4" w:space="0"/>
              <w:left w:val="single" w:color="auto" w:sz="4" w:space="0"/>
              <w:bottom w:val="single" w:color="auto" w:sz="4" w:space="0"/>
              <w:right w:val="single" w:color="auto" w:sz="4" w:space="0"/>
            </w:tcBorders>
            <w:noWrap/>
            <w:vAlign w:val="center"/>
          </w:tcPr>
          <w:p w14:paraId="04CCF976">
            <w:pPr>
              <w:pStyle w:val="557"/>
            </w:pPr>
            <w:r>
              <w:rPr>
                <w:rFonts w:hint="eastAsia"/>
              </w:rPr>
              <w:t>-1266</w:t>
            </w:r>
          </w:p>
        </w:tc>
        <w:tc>
          <w:tcPr>
            <w:tcW w:w="524" w:type="dxa"/>
            <w:tcBorders>
              <w:top w:val="single" w:color="auto" w:sz="4" w:space="0"/>
              <w:left w:val="single" w:color="auto" w:sz="4" w:space="0"/>
              <w:bottom w:val="single" w:color="auto" w:sz="4" w:space="0"/>
              <w:right w:val="single" w:color="auto" w:sz="4" w:space="0"/>
            </w:tcBorders>
            <w:noWrap/>
            <w:vAlign w:val="center"/>
          </w:tcPr>
          <w:p w14:paraId="468AD851">
            <w:pPr>
              <w:pStyle w:val="557"/>
            </w:pPr>
            <w:r>
              <w:rPr>
                <w:rFonts w:hint="eastAsia"/>
              </w:rPr>
              <w:t>25</w:t>
            </w:r>
          </w:p>
        </w:tc>
        <w:tc>
          <w:tcPr>
            <w:tcW w:w="615" w:type="dxa"/>
            <w:tcBorders>
              <w:top w:val="single" w:color="auto" w:sz="4" w:space="0"/>
              <w:left w:val="single" w:color="auto" w:sz="4" w:space="0"/>
              <w:bottom w:val="single" w:color="auto" w:sz="4" w:space="0"/>
              <w:right w:val="single" w:color="auto" w:sz="4" w:space="0"/>
            </w:tcBorders>
            <w:noWrap/>
            <w:vAlign w:val="center"/>
          </w:tcPr>
          <w:p w14:paraId="57997AF5">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360EF98C">
            <w:pPr>
              <w:pStyle w:val="557"/>
            </w:pPr>
            <w:r>
              <w:rPr>
                <w:rFonts w:hint="eastAsia"/>
              </w:rPr>
              <w:t>120</w:t>
            </w:r>
          </w:p>
        </w:tc>
        <w:tc>
          <w:tcPr>
            <w:tcW w:w="897" w:type="dxa"/>
            <w:tcBorders>
              <w:top w:val="single" w:color="auto" w:sz="4" w:space="0"/>
              <w:left w:val="single" w:color="auto" w:sz="4" w:space="0"/>
              <w:bottom w:val="single" w:color="auto" w:sz="4" w:space="0"/>
              <w:right w:val="single" w:color="auto" w:sz="4" w:space="0"/>
            </w:tcBorders>
            <w:noWrap/>
            <w:vAlign w:val="center"/>
          </w:tcPr>
          <w:p w14:paraId="778842F4">
            <w:pPr>
              <w:pStyle w:val="557"/>
            </w:pPr>
            <w:r>
              <w:rPr>
                <w:rFonts w:hint="eastAsia"/>
              </w:rPr>
              <w:t>11628</w:t>
            </w:r>
          </w:p>
        </w:tc>
        <w:tc>
          <w:tcPr>
            <w:tcW w:w="795" w:type="dxa"/>
            <w:tcBorders>
              <w:top w:val="single" w:color="auto" w:sz="4" w:space="0"/>
              <w:left w:val="single" w:color="auto" w:sz="4" w:space="0"/>
              <w:bottom w:val="single" w:color="auto" w:sz="4" w:space="0"/>
              <w:right w:val="single" w:color="auto" w:sz="4" w:space="0"/>
            </w:tcBorders>
            <w:noWrap/>
            <w:vAlign w:val="center"/>
          </w:tcPr>
          <w:p w14:paraId="417D7557">
            <w:pPr>
              <w:pStyle w:val="557"/>
            </w:pPr>
            <w:r>
              <w:rPr>
                <w:rFonts w:hint="eastAsia"/>
              </w:rPr>
              <w:t>0.32</w:t>
            </w:r>
          </w:p>
        </w:tc>
        <w:tc>
          <w:tcPr>
            <w:tcW w:w="899" w:type="dxa"/>
            <w:tcBorders>
              <w:top w:val="single" w:color="auto" w:sz="4" w:space="0"/>
              <w:left w:val="single" w:color="auto" w:sz="4" w:space="0"/>
              <w:bottom w:val="single" w:color="auto" w:sz="4" w:space="0"/>
              <w:right w:val="single" w:color="auto" w:sz="4" w:space="0"/>
            </w:tcBorders>
            <w:noWrap/>
            <w:vAlign w:val="center"/>
          </w:tcPr>
          <w:p w14:paraId="050B5743">
            <w:pPr>
              <w:pStyle w:val="557"/>
            </w:pPr>
            <w:r>
              <w:rPr>
                <w:rFonts w:hint="eastAsia"/>
              </w:rPr>
              <w:t>0.75</w:t>
            </w:r>
          </w:p>
        </w:tc>
        <w:tc>
          <w:tcPr>
            <w:tcW w:w="689" w:type="dxa"/>
            <w:tcBorders>
              <w:top w:val="single" w:color="auto" w:sz="4" w:space="0"/>
              <w:left w:val="single" w:color="auto" w:sz="4" w:space="0"/>
              <w:bottom w:val="single" w:color="auto" w:sz="4" w:space="0"/>
              <w:right w:val="single" w:color="auto" w:sz="4" w:space="0"/>
            </w:tcBorders>
            <w:noWrap/>
            <w:vAlign w:val="center"/>
          </w:tcPr>
          <w:p w14:paraId="1F1F51D9">
            <w:pPr>
              <w:pStyle w:val="557"/>
            </w:pPr>
            <w:r>
              <w:rPr>
                <w:rFonts w:hint="eastAsia"/>
              </w:rPr>
              <w:t>0.17</w:t>
            </w:r>
          </w:p>
        </w:tc>
        <w:tc>
          <w:tcPr>
            <w:tcW w:w="711" w:type="dxa"/>
            <w:tcBorders>
              <w:top w:val="single" w:color="auto" w:sz="4" w:space="0"/>
              <w:left w:val="single" w:color="auto" w:sz="4" w:space="0"/>
              <w:bottom w:val="single" w:color="auto" w:sz="4" w:space="0"/>
              <w:right w:val="single" w:color="auto" w:sz="4" w:space="0"/>
            </w:tcBorders>
            <w:vAlign w:val="center"/>
          </w:tcPr>
          <w:p w14:paraId="0F93C7A1">
            <w:pPr>
              <w:pStyle w:val="557"/>
            </w:pPr>
            <w:r>
              <w:rPr>
                <w:rFonts w:hint="eastAsia"/>
              </w:rPr>
              <w:t>0.085</w:t>
            </w:r>
          </w:p>
        </w:tc>
        <w:tc>
          <w:tcPr>
            <w:tcW w:w="711" w:type="dxa"/>
            <w:tcBorders>
              <w:top w:val="single" w:color="auto" w:sz="4" w:space="0"/>
              <w:left w:val="single" w:color="auto" w:sz="4" w:space="0"/>
              <w:bottom w:val="single" w:color="auto" w:sz="4" w:space="0"/>
              <w:right w:val="single" w:color="auto" w:sz="4" w:space="0"/>
            </w:tcBorders>
            <w:noWrap/>
            <w:vAlign w:val="center"/>
          </w:tcPr>
          <w:p w14:paraId="335E1E24">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CB71CD3">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57D9AB02">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54825C31">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2817B64B">
            <w:pPr>
              <w:pStyle w:val="557"/>
            </w:pPr>
            <w:r>
              <w:rPr>
                <w:rFonts w:hint="eastAsia"/>
              </w:rPr>
              <w:t>/</w:t>
            </w:r>
          </w:p>
        </w:tc>
      </w:tr>
      <w:tr w14:paraId="58D7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499B7CAB">
            <w:pPr>
              <w:pStyle w:val="557"/>
            </w:pPr>
            <w:r>
              <w:t>3</w:t>
            </w:r>
          </w:p>
        </w:tc>
        <w:tc>
          <w:tcPr>
            <w:tcW w:w="1824" w:type="dxa"/>
            <w:tcBorders>
              <w:top w:val="single" w:color="auto" w:sz="4" w:space="0"/>
              <w:left w:val="single" w:color="auto" w:sz="4" w:space="0"/>
              <w:bottom w:val="single" w:color="auto" w:sz="4" w:space="0"/>
              <w:right w:val="single" w:color="auto" w:sz="4" w:space="0"/>
            </w:tcBorders>
            <w:noWrap/>
            <w:vAlign w:val="center"/>
          </w:tcPr>
          <w:p w14:paraId="6D0A8283">
            <w:pPr>
              <w:pStyle w:val="557"/>
            </w:pPr>
            <w:r>
              <w:rPr>
                <w:rFonts w:hint="eastAsia"/>
              </w:rPr>
              <w:t>中和众合气化装置破碎筛分废气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473DC5FD">
            <w:pPr>
              <w:pStyle w:val="557"/>
            </w:pPr>
            <w:r>
              <w:rPr>
                <w:rFonts w:hint="eastAsia"/>
              </w:rPr>
              <w:t>26</w:t>
            </w:r>
          </w:p>
        </w:tc>
        <w:tc>
          <w:tcPr>
            <w:tcW w:w="647" w:type="dxa"/>
            <w:tcBorders>
              <w:top w:val="single" w:color="auto" w:sz="4" w:space="0"/>
              <w:left w:val="single" w:color="auto" w:sz="4" w:space="0"/>
              <w:bottom w:val="single" w:color="auto" w:sz="4" w:space="0"/>
              <w:right w:val="single" w:color="auto" w:sz="4" w:space="0"/>
            </w:tcBorders>
            <w:noWrap/>
            <w:vAlign w:val="center"/>
          </w:tcPr>
          <w:p w14:paraId="27E1520E">
            <w:pPr>
              <w:pStyle w:val="557"/>
            </w:pPr>
            <w:r>
              <w:rPr>
                <w:rFonts w:hint="eastAsia"/>
              </w:rPr>
              <w:t>-1315</w:t>
            </w:r>
          </w:p>
        </w:tc>
        <w:tc>
          <w:tcPr>
            <w:tcW w:w="524" w:type="dxa"/>
            <w:tcBorders>
              <w:top w:val="single" w:color="auto" w:sz="4" w:space="0"/>
              <w:left w:val="single" w:color="auto" w:sz="4" w:space="0"/>
              <w:bottom w:val="single" w:color="auto" w:sz="4" w:space="0"/>
              <w:right w:val="single" w:color="auto" w:sz="4" w:space="0"/>
            </w:tcBorders>
            <w:noWrap/>
            <w:vAlign w:val="center"/>
          </w:tcPr>
          <w:p w14:paraId="0A15A015">
            <w:pPr>
              <w:pStyle w:val="557"/>
            </w:pPr>
            <w:r>
              <w:rPr>
                <w:rFonts w:hint="eastAsia"/>
              </w:rPr>
              <w:t>18</w:t>
            </w:r>
          </w:p>
        </w:tc>
        <w:tc>
          <w:tcPr>
            <w:tcW w:w="615" w:type="dxa"/>
            <w:tcBorders>
              <w:top w:val="single" w:color="auto" w:sz="4" w:space="0"/>
              <w:left w:val="single" w:color="auto" w:sz="4" w:space="0"/>
              <w:bottom w:val="single" w:color="auto" w:sz="4" w:space="0"/>
              <w:right w:val="single" w:color="auto" w:sz="4" w:space="0"/>
            </w:tcBorders>
            <w:noWrap/>
            <w:vAlign w:val="center"/>
          </w:tcPr>
          <w:p w14:paraId="7AAAF38F">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0B4E9C0E">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61C5762A">
            <w:pPr>
              <w:pStyle w:val="557"/>
            </w:pPr>
            <w:r>
              <w:rPr>
                <w:rFonts w:hint="eastAsia"/>
              </w:rPr>
              <w:t>10.82（m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6F53021F">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5E85496F">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3A5F1000">
            <w:pPr>
              <w:pStyle w:val="557"/>
            </w:pPr>
            <w:r>
              <w:rPr>
                <w:rFonts w:hint="eastAsia"/>
              </w:rPr>
              <w:t>0.14</w:t>
            </w:r>
          </w:p>
        </w:tc>
        <w:tc>
          <w:tcPr>
            <w:tcW w:w="711" w:type="dxa"/>
            <w:tcBorders>
              <w:top w:val="single" w:color="auto" w:sz="4" w:space="0"/>
              <w:left w:val="single" w:color="auto" w:sz="4" w:space="0"/>
              <w:bottom w:val="single" w:color="auto" w:sz="4" w:space="0"/>
              <w:right w:val="single" w:color="auto" w:sz="4" w:space="0"/>
            </w:tcBorders>
            <w:vAlign w:val="center"/>
          </w:tcPr>
          <w:p w14:paraId="6BF5A052">
            <w:pPr>
              <w:pStyle w:val="557"/>
            </w:pPr>
            <w:r>
              <w:rPr>
                <w:rFonts w:hint="eastAsia"/>
              </w:rPr>
              <w:t>0.07</w:t>
            </w:r>
          </w:p>
        </w:tc>
        <w:tc>
          <w:tcPr>
            <w:tcW w:w="711" w:type="dxa"/>
            <w:tcBorders>
              <w:top w:val="single" w:color="auto" w:sz="4" w:space="0"/>
              <w:left w:val="single" w:color="auto" w:sz="4" w:space="0"/>
              <w:bottom w:val="single" w:color="auto" w:sz="4" w:space="0"/>
              <w:right w:val="single" w:color="auto" w:sz="4" w:space="0"/>
            </w:tcBorders>
            <w:noWrap/>
            <w:vAlign w:val="center"/>
          </w:tcPr>
          <w:p w14:paraId="49145F34">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D9519A5">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4C059AEB">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0E150A42">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58373422">
            <w:pPr>
              <w:pStyle w:val="557"/>
            </w:pPr>
            <w:r>
              <w:rPr>
                <w:rFonts w:hint="eastAsia"/>
              </w:rPr>
              <w:t>/</w:t>
            </w:r>
          </w:p>
        </w:tc>
      </w:tr>
      <w:tr w14:paraId="5C8A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6A9FEEB6">
            <w:pPr>
              <w:pStyle w:val="557"/>
            </w:pPr>
            <w:r>
              <w:t>4</w:t>
            </w:r>
          </w:p>
        </w:tc>
        <w:tc>
          <w:tcPr>
            <w:tcW w:w="1824" w:type="dxa"/>
            <w:tcBorders>
              <w:top w:val="single" w:color="auto" w:sz="4" w:space="0"/>
              <w:left w:val="single" w:color="auto" w:sz="4" w:space="0"/>
              <w:bottom w:val="single" w:color="auto" w:sz="4" w:space="0"/>
              <w:right w:val="single" w:color="auto" w:sz="4" w:space="0"/>
            </w:tcBorders>
            <w:noWrap/>
            <w:vAlign w:val="center"/>
          </w:tcPr>
          <w:p w14:paraId="1495BC79">
            <w:pPr>
              <w:pStyle w:val="557"/>
            </w:pPr>
            <w:r>
              <w:rPr>
                <w:rFonts w:hint="eastAsia"/>
              </w:rPr>
              <w:t>中和众合煤粉输送废气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4F6C2734">
            <w:pPr>
              <w:pStyle w:val="557"/>
            </w:pPr>
            <w:r>
              <w:rPr>
                <w:rFonts w:hint="eastAsia"/>
              </w:rPr>
              <w:t>30</w:t>
            </w:r>
          </w:p>
        </w:tc>
        <w:tc>
          <w:tcPr>
            <w:tcW w:w="647" w:type="dxa"/>
            <w:tcBorders>
              <w:top w:val="single" w:color="auto" w:sz="4" w:space="0"/>
              <w:left w:val="single" w:color="auto" w:sz="4" w:space="0"/>
              <w:bottom w:val="single" w:color="auto" w:sz="4" w:space="0"/>
              <w:right w:val="single" w:color="auto" w:sz="4" w:space="0"/>
            </w:tcBorders>
            <w:noWrap/>
            <w:vAlign w:val="center"/>
          </w:tcPr>
          <w:p w14:paraId="0328C70B">
            <w:pPr>
              <w:pStyle w:val="557"/>
            </w:pPr>
            <w:r>
              <w:rPr>
                <w:rFonts w:hint="eastAsia"/>
              </w:rPr>
              <w:t>-1340</w:t>
            </w:r>
          </w:p>
        </w:tc>
        <w:tc>
          <w:tcPr>
            <w:tcW w:w="524" w:type="dxa"/>
            <w:tcBorders>
              <w:top w:val="single" w:color="auto" w:sz="4" w:space="0"/>
              <w:left w:val="single" w:color="auto" w:sz="4" w:space="0"/>
              <w:bottom w:val="single" w:color="auto" w:sz="4" w:space="0"/>
              <w:right w:val="single" w:color="auto" w:sz="4" w:space="0"/>
            </w:tcBorders>
            <w:noWrap/>
            <w:vAlign w:val="center"/>
          </w:tcPr>
          <w:p w14:paraId="4E68999B">
            <w:pPr>
              <w:pStyle w:val="557"/>
            </w:pPr>
            <w:r>
              <w:rPr>
                <w:rFonts w:hint="eastAsia"/>
              </w:rPr>
              <w:t>65</w:t>
            </w:r>
          </w:p>
        </w:tc>
        <w:tc>
          <w:tcPr>
            <w:tcW w:w="615" w:type="dxa"/>
            <w:tcBorders>
              <w:top w:val="single" w:color="auto" w:sz="4" w:space="0"/>
              <w:left w:val="single" w:color="auto" w:sz="4" w:space="0"/>
              <w:bottom w:val="single" w:color="auto" w:sz="4" w:space="0"/>
              <w:right w:val="single" w:color="auto" w:sz="4" w:space="0"/>
            </w:tcBorders>
            <w:noWrap/>
            <w:vAlign w:val="center"/>
          </w:tcPr>
          <w:p w14:paraId="1DD9BA63">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44D021BC">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7FAB04DB">
            <w:pPr>
              <w:pStyle w:val="557"/>
            </w:pPr>
            <w:r>
              <w:rPr>
                <w:rFonts w:hint="eastAsia"/>
              </w:rPr>
              <w:t>6.95（m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5EE64469">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42DB5DEA">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4AEB7D1">
            <w:pPr>
              <w:pStyle w:val="557"/>
            </w:pPr>
            <w:r>
              <w:rPr>
                <w:rFonts w:hint="eastAsia"/>
              </w:rPr>
              <w:t>0.09</w:t>
            </w:r>
          </w:p>
        </w:tc>
        <w:tc>
          <w:tcPr>
            <w:tcW w:w="711" w:type="dxa"/>
            <w:tcBorders>
              <w:top w:val="single" w:color="auto" w:sz="4" w:space="0"/>
              <w:left w:val="single" w:color="auto" w:sz="4" w:space="0"/>
              <w:bottom w:val="single" w:color="auto" w:sz="4" w:space="0"/>
              <w:right w:val="single" w:color="auto" w:sz="4" w:space="0"/>
            </w:tcBorders>
            <w:vAlign w:val="center"/>
          </w:tcPr>
          <w:p w14:paraId="6DCEB6A6">
            <w:pPr>
              <w:pStyle w:val="557"/>
            </w:pPr>
            <w:r>
              <w:rPr>
                <w:rFonts w:hint="eastAsia"/>
              </w:rPr>
              <w:t>0.045</w:t>
            </w:r>
          </w:p>
        </w:tc>
        <w:tc>
          <w:tcPr>
            <w:tcW w:w="711" w:type="dxa"/>
            <w:tcBorders>
              <w:top w:val="single" w:color="auto" w:sz="4" w:space="0"/>
              <w:left w:val="single" w:color="auto" w:sz="4" w:space="0"/>
              <w:bottom w:val="single" w:color="auto" w:sz="4" w:space="0"/>
              <w:right w:val="single" w:color="auto" w:sz="4" w:space="0"/>
            </w:tcBorders>
            <w:noWrap/>
            <w:vAlign w:val="center"/>
          </w:tcPr>
          <w:p w14:paraId="2E41E389">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0C2C188">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3A87522D">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74686508">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63F8D831">
            <w:pPr>
              <w:pStyle w:val="557"/>
            </w:pPr>
            <w:r>
              <w:rPr>
                <w:rFonts w:hint="eastAsia"/>
              </w:rPr>
              <w:t>/</w:t>
            </w:r>
          </w:p>
        </w:tc>
      </w:tr>
      <w:tr w14:paraId="3AE5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3D08E3E">
            <w:pPr>
              <w:pStyle w:val="557"/>
            </w:pPr>
            <w:r>
              <w:t>5</w:t>
            </w:r>
          </w:p>
        </w:tc>
        <w:tc>
          <w:tcPr>
            <w:tcW w:w="1824" w:type="dxa"/>
            <w:tcBorders>
              <w:top w:val="single" w:color="auto" w:sz="4" w:space="0"/>
              <w:left w:val="single" w:color="auto" w:sz="4" w:space="0"/>
              <w:bottom w:val="single" w:color="auto" w:sz="4" w:space="0"/>
              <w:right w:val="single" w:color="auto" w:sz="4" w:space="0"/>
            </w:tcBorders>
            <w:noWrap/>
            <w:vAlign w:val="center"/>
          </w:tcPr>
          <w:p w14:paraId="02EDBFE9">
            <w:pPr>
              <w:pStyle w:val="557"/>
            </w:pPr>
            <w:r>
              <w:rPr>
                <w:rFonts w:hint="eastAsia"/>
              </w:rPr>
              <w:t>中和众合煤粉输送废气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75E809E2">
            <w:pPr>
              <w:pStyle w:val="557"/>
            </w:pPr>
            <w:r>
              <w:rPr>
                <w:rFonts w:hint="eastAsia"/>
              </w:rPr>
              <w:t>35</w:t>
            </w:r>
          </w:p>
        </w:tc>
        <w:tc>
          <w:tcPr>
            <w:tcW w:w="647" w:type="dxa"/>
            <w:tcBorders>
              <w:top w:val="single" w:color="auto" w:sz="4" w:space="0"/>
              <w:left w:val="single" w:color="auto" w:sz="4" w:space="0"/>
              <w:bottom w:val="single" w:color="auto" w:sz="4" w:space="0"/>
              <w:right w:val="single" w:color="auto" w:sz="4" w:space="0"/>
            </w:tcBorders>
            <w:noWrap/>
            <w:vAlign w:val="center"/>
          </w:tcPr>
          <w:p w14:paraId="61D024CE">
            <w:pPr>
              <w:pStyle w:val="557"/>
            </w:pPr>
            <w:r>
              <w:rPr>
                <w:rFonts w:hint="eastAsia"/>
              </w:rPr>
              <w:t>-1345</w:t>
            </w:r>
          </w:p>
        </w:tc>
        <w:tc>
          <w:tcPr>
            <w:tcW w:w="524" w:type="dxa"/>
            <w:tcBorders>
              <w:top w:val="single" w:color="auto" w:sz="4" w:space="0"/>
              <w:left w:val="single" w:color="auto" w:sz="4" w:space="0"/>
              <w:bottom w:val="single" w:color="auto" w:sz="4" w:space="0"/>
              <w:right w:val="single" w:color="auto" w:sz="4" w:space="0"/>
            </w:tcBorders>
            <w:noWrap/>
            <w:vAlign w:val="center"/>
          </w:tcPr>
          <w:p w14:paraId="0920CD6E">
            <w:pPr>
              <w:pStyle w:val="557"/>
            </w:pPr>
            <w:r>
              <w:rPr>
                <w:rFonts w:hint="eastAsia"/>
              </w:rPr>
              <w:t>65</w:t>
            </w:r>
          </w:p>
        </w:tc>
        <w:tc>
          <w:tcPr>
            <w:tcW w:w="615" w:type="dxa"/>
            <w:tcBorders>
              <w:top w:val="single" w:color="auto" w:sz="4" w:space="0"/>
              <w:left w:val="single" w:color="auto" w:sz="4" w:space="0"/>
              <w:bottom w:val="single" w:color="auto" w:sz="4" w:space="0"/>
              <w:right w:val="single" w:color="auto" w:sz="4" w:space="0"/>
            </w:tcBorders>
            <w:noWrap/>
            <w:vAlign w:val="center"/>
          </w:tcPr>
          <w:p w14:paraId="4A75993A">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1C841C9D">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134A8502">
            <w:pPr>
              <w:pStyle w:val="557"/>
            </w:pPr>
            <w:r>
              <w:rPr>
                <w:rFonts w:hint="eastAsia"/>
              </w:rPr>
              <w:t>6.95（m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2CDD6CA1">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459D1A3B">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370416AF">
            <w:pPr>
              <w:pStyle w:val="557"/>
            </w:pPr>
            <w:r>
              <w:rPr>
                <w:rFonts w:hint="eastAsia"/>
              </w:rPr>
              <w:t>0.09</w:t>
            </w:r>
          </w:p>
        </w:tc>
        <w:tc>
          <w:tcPr>
            <w:tcW w:w="711" w:type="dxa"/>
            <w:tcBorders>
              <w:top w:val="single" w:color="auto" w:sz="4" w:space="0"/>
              <w:left w:val="single" w:color="auto" w:sz="4" w:space="0"/>
              <w:bottom w:val="single" w:color="auto" w:sz="4" w:space="0"/>
              <w:right w:val="single" w:color="auto" w:sz="4" w:space="0"/>
            </w:tcBorders>
            <w:vAlign w:val="center"/>
          </w:tcPr>
          <w:p w14:paraId="32E71BD4">
            <w:pPr>
              <w:pStyle w:val="557"/>
            </w:pPr>
            <w:r>
              <w:rPr>
                <w:rFonts w:hint="eastAsia"/>
              </w:rPr>
              <w:t>0.045</w:t>
            </w:r>
          </w:p>
        </w:tc>
        <w:tc>
          <w:tcPr>
            <w:tcW w:w="711" w:type="dxa"/>
            <w:tcBorders>
              <w:top w:val="single" w:color="auto" w:sz="4" w:space="0"/>
              <w:left w:val="single" w:color="auto" w:sz="4" w:space="0"/>
              <w:bottom w:val="single" w:color="auto" w:sz="4" w:space="0"/>
              <w:right w:val="single" w:color="auto" w:sz="4" w:space="0"/>
            </w:tcBorders>
            <w:noWrap/>
            <w:vAlign w:val="center"/>
          </w:tcPr>
          <w:p w14:paraId="67236F34">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56DF9E7">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7718EEDA">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12901C88">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DA34048">
            <w:pPr>
              <w:pStyle w:val="557"/>
            </w:pPr>
            <w:r>
              <w:rPr>
                <w:rFonts w:hint="eastAsia"/>
              </w:rPr>
              <w:t>/</w:t>
            </w:r>
          </w:p>
        </w:tc>
      </w:tr>
      <w:tr w14:paraId="3D1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22540932">
            <w:pPr>
              <w:pStyle w:val="557"/>
            </w:pPr>
            <w:r>
              <w:t>6</w:t>
            </w:r>
          </w:p>
        </w:tc>
        <w:tc>
          <w:tcPr>
            <w:tcW w:w="1824" w:type="dxa"/>
            <w:tcBorders>
              <w:top w:val="single" w:color="auto" w:sz="4" w:space="0"/>
              <w:left w:val="single" w:color="auto" w:sz="4" w:space="0"/>
              <w:bottom w:val="single" w:color="auto" w:sz="4" w:space="0"/>
              <w:right w:val="single" w:color="auto" w:sz="4" w:space="0"/>
            </w:tcBorders>
            <w:noWrap/>
            <w:vAlign w:val="center"/>
          </w:tcPr>
          <w:p w14:paraId="0CF18E65">
            <w:pPr>
              <w:pStyle w:val="557"/>
            </w:pPr>
            <w:r>
              <w:rPr>
                <w:rFonts w:hint="eastAsia"/>
              </w:rPr>
              <w:t>中和众合储煤仓废气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29F07A41">
            <w:pPr>
              <w:pStyle w:val="557"/>
            </w:pPr>
            <w:r>
              <w:rPr>
                <w:rFonts w:hint="eastAsia"/>
              </w:rPr>
              <w:t>50</w:t>
            </w:r>
          </w:p>
        </w:tc>
        <w:tc>
          <w:tcPr>
            <w:tcW w:w="647" w:type="dxa"/>
            <w:tcBorders>
              <w:top w:val="single" w:color="auto" w:sz="4" w:space="0"/>
              <w:left w:val="single" w:color="auto" w:sz="4" w:space="0"/>
              <w:bottom w:val="single" w:color="auto" w:sz="4" w:space="0"/>
              <w:right w:val="single" w:color="auto" w:sz="4" w:space="0"/>
            </w:tcBorders>
            <w:noWrap/>
            <w:vAlign w:val="center"/>
          </w:tcPr>
          <w:p w14:paraId="098EE6FC">
            <w:pPr>
              <w:pStyle w:val="557"/>
            </w:pPr>
            <w:r>
              <w:rPr>
                <w:rFonts w:hint="eastAsia"/>
              </w:rPr>
              <w:t>-1360</w:t>
            </w:r>
          </w:p>
        </w:tc>
        <w:tc>
          <w:tcPr>
            <w:tcW w:w="524" w:type="dxa"/>
            <w:tcBorders>
              <w:top w:val="single" w:color="auto" w:sz="4" w:space="0"/>
              <w:left w:val="single" w:color="auto" w:sz="4" w:space="0"/>
              <w:bottom w:val="single" w:color="auto" w:sz="4" w:space="0"/>
              <w:right w:val="single" w:color="auto" w:sz="4" w:space="0"/>
            </w:tcBorders>
            <w:noWrap/>
            <w:vAlign w:val="center"/>
          </w:tcPr>
          <w:p w14:paraId="4A3FFD14">
            <w:pPr>
              <w:pStyle w:val="557"/>
            </w:pPr>
            <w:r>
              <w:rPr>
                <w:rFonts w:hint="eastAsia"/>
              </w:rPr>
              <w:t>55</w:t>
            </w:r>
          </w:p>
        </w:tc>
        <w:tc>
          <w:tcPr>
            <w:tcW w:w="615" w:type="dxa"/>
            <w:tcBorders>
              <w:top w:val="single" w:color="auto" w:sz="4" w:space="0"/>
              <w:left w:val="single" w:color="auto" w:sz="4" w:space="0"/>
              <w:bottom w:val="single" w:color="auto" w:sz="4" w:space="0"/>
              <w:right w:val="single" w:color="auto" w:sz="4" w:space="0"/>
            </w:tcBorders>
            <w:noWrap/>
            <w:vAlign w:val="center"/>
          </w:tcPr>
          <w:p w14:paraId="13DCD690">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1A20142D">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5BB2CF39">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75C4A57B">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140D4F7B">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5DAED575">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173FD70D">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0729D6A2">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6B1BAE36">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1FF731A6">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693873A9">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5BA09BD">
            <w:pPr>
              <w:pStyle w:val="557"/>
            </w:pPr>
            <w:r>
              <w:rPr>
                <w:rFonts w:hint="eastAsia"/>
              </w:rPr>
              <w:t>/</w:t>
            </w:r>
          </w:p>
        </w:tc>
      </w:tr>
      <w:tr w14:paraId="2AFC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3DA529A">
            <w:pPr>
              <w:pStyle w:val="557"/>
            </w:pPr>
            <w:r>
              <w:t>7</w:t>
            </w:r>
          </w:p>
        </w:tc>
        <w:tc>
          <w:tcPr>
            <w:tcW w:w="1824" w:type="dxa"/>
            <w:tcBorders>
              <w:top w:val="single" w:color="auto" w:sz="4" w:space="0"/>
              <w:left w:val="single" w:color="auto" w:sz="4" w:space="0"/>
              <w:bottom w:val="single" w:color="auto" w:sz="4" w:space="0"/>
              <w:right w:val="single" w:color="auto" w:sz="4" w:space="0"/>
            </w:tcBorders>
            <w:noWrap/>
            <w:vAlign w:val="center"/>
          </w:tcPr>
          <w:p w14:paraId="799FCAF6">
            <w:pPr>
              <w:pStyle w:val="557"/>
            </w:pPr>
            <w:r>
              <w:rPr>
                <w:rFonts w:hint="eastAsia"/>
              </w:rPr>
              <w:t>中和众合储煤仓废气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023A4A97">
            <w:pPr>
              <w:pStyle w:val="557"/>
            </w:pPr>
            <w:r>
              <w:rPr>
                <w:rFonts w:hint="eastAsia"/>
              </w:rPr>
              <w:t>55</w:t>
            </w:r>
          </w:p>
        </w:tc>
        <w:tc>
          <w:tcPr>
            <w:tcW w:w="647" w:type="dxa"/>
            <w:tcBorders>
              <w:top w:val="single" w:color="auto" w:sz="4" w:space="0"/>
              <w:left w:val="single" w:color="auto" w:sz="4" w:space="0"/>
              <w:bottom w:val="single" w:color="auto" w:sz="4" w:space="0"/>
              <w:right w:val="single" w:color="auto" w:sz="4" w:space="0"/>
            </w:tcBorders>
            <w:noWrap/>
            <w:vAlign w:val="center"/>
          </w:tcPr>
          <w:p w14:paraId="114C22DA">
            <w:pPr>
              <w:pStyle w:val="557"/>
            </w:pPr>
            <w:r>
              <w:rPr>
                <w:rFonts w:hint="eastAsia"/>
              </w:rPr>
              <w:t>-1365</w:t>
            </w:r>
          </w:p>
        </w:tc>
        <w:tc>
          <w:tcPr>
            <w:tcW w:w="524" w:type="dxa"/>
            <w:tcBorders>
              <w:top w:val="single" w:color="auto" w:sz="4" w:space="0"/>
              <w:left w:val="single" w:color="auto" w:sz="4" w:space="0"/>
              <w:bottom w:val="single" w:color="auto" w:sz="4" w:space="0"/>
              <w:right w:val="single" w:color="auto" w:sz="4" w:space="0"/>
            </w:tcBorders>
            <w:noWrap/>
            <w:vAlign w:val="center"/>
          </w:tcPr>
          <w:p w14:paraId="30E1CE2E">
            <w:pPr>
              <w:pStyle w:val="557"/>
            </w:pPr>
            <w:r>
              <w:rPr>
                <w:rFonts w:hint="eastAsia"/>
              </w:rPr>
              <w:t>55</w:t>
            </w:r>
          </w:p>
        </w:tc>
        <w:tc>
          <w:tcPr>
            <w:tcW w:w="615" w:type="dxa"/>
            <w:tcBorders>
              <w:top w:val="single" w:color="auto" w:sz="4" w:space="0"/>
              <w:left w:val="single" w:color="auto" w:sz="4" w:space="0"/>
              <w:bottom w:val="single" w:color="auto" w:sz="4" w:space="0"/>
              <w:right w:val="single" w:color="auto" w:sz="4" w:space="0"/>
            </w:tcBorders>
            <w:noWrap/>
            <w:vAlign w:val="center"/>
          </w:tcPr>
          <w:p w14:paraId="61AF820A">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251CB6D7">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599F1D96">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483EE845">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306184AC">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282B79A7">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26E6B3DE">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7B8F07F6">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931710A">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38CA4C19">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43D62F27">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0ADBBD5E">
            <w:pPr>
              <w:pStyle w:val="557"/>
            </w:pPr>
            <w:r>
              <w:rPr>
                <w:rFonts w:hint="eastAsia"/>
              </w:rPr>
              <w:t>/</w:t>
            </w:r>
          </w:p>
        </w:tc>
      </w:tr>
      <w:tr w14:paraId="3BB7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33448499">
            <w:pPr>
              <w:pStyle w:val="557"/>
            </w:pPr>
            <w:r>
              <w:t>8</w:t>
            </w:r>
          </w:p>
        </w:tc>
        <w:tc>
          <w:tcPr>
            <w:tcW w:w="1824" w:type="dxa"/>
            <w:tcBorders>
              <w:top w:val="single" w:color="auto" w:sz="4" w:space="0"/>
              <w:left w:val="single" w:color="auto" w:sz="4" w:space="0"/>
              <w:bottom w:val="single" w:color="auto" w:sz="4" w:space="0"/>
              <w:right w:val="single" w:color="auto" w:sz="4" w:space="0"/>
            </w:tcBorders>
            <w:noWrap/>
            <w:vAlign w:val="center"/>
          </w:tcPr>
          <w:p w14:paraId="669FAFF4">
            <w:pPr>
              <w:pStyle w:val="557"/>
            </w:pPr>
            <w:r>
              <w:rPr>
                <w:rFonts w:hint="eastAsia"/>
              </w:rPr>
              <w:t>中和众合渣仓废气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172E23B2">
            <w:pPr>
              <w:pStyle w:val="557"/>
            </w:pPr>
            <w:r>
              <w:rPr>
                <w:rFonts w:hint="eastAsia"/>
              </w:rPr>
              <w:t>45</w:t>
            </w:r>
          </w:p>
        </w:tc>
        <w:tc>
          <w:tcPr>
            <w:tcW w:w="647" w:type="dxa"/>
            <w:tcBorders>
              <w:top w:val="single" w:color="auto" w:sz="4" w:space="0"/>
              <w:left w:val="single" w:color="auto" w:sz="4" w:space="0"/>
              <w:bottom w:val="single" w:color="auto" w:sz="4" w:space="0"/>
              <w:right w:val="single" w:color="auto" w:sz="4" w:space="0"/>
            </w:tcBorders>
            <w:noWrap/>
            <w:vAlign w:val="center"/>
          </w:tcPr>
          <w:p w14:paraId="601C2766">
            <w:pPr>
              <w:pStyle w:val="557"/>
            </w:pPr>
            <w:r>
              <w:rPr>
                <w:rFonts w:hint="eastAsia"/>
              </w:rPr>
              <w:t>-1370</w:t>
            </w:r>
          </w:p>
        </w:tc>
        <w:tc>
          <w:tcPr>
            <w:tcW w:w="524" w:type="dxa"/>
            <w:tcBorders>
              <w:top w:val="single" w:color="auto" w:sz="4" w:space="0"/>
              <w:left w:val="single" w:color="auto" w:sz="4" w:space="0"/>
              <w:bottom w:val="single" w:color="auto" w:sz="4" w:space="0"/>
              <w:right w:val="single" w:color="auto" w:sz="4" w:space="0"/>
            </w:tcBorders>
            <w:noWrap/>
            <w:vAlign w:val="center"/>
          </w:tcPr>
          <w:p w14:paraId="332055B0">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7A840E69">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3729CB4E">
            <w:pPr>
              <w:pStyle w:val="557"/>
            </w:pPr>
            <w:r>
              <w:rPr>
                <w:rFonts w:hint="eastAsia"/>
              </w:rPr>
              <w:t>60</w:t>
            </w:r>
          </w:p>
        </w:tc>
        <w:tc>
          <w:tcPr>
            <w:tcW w:w="897" w:type="dxa"/>
            <w:tcBorders>
              <w:top w:val="single" w:color="auto" w:sz="4" w:space="0"/>
              <w:left w:val="single" w:color="auto" w:sz="4" w:space="0"/>
              <w:bottom w:val="single" w:color="auto" w:sz="4" w:space="0"/>
              <w:right w:val="single" w:color="auto" w:sz="4" w:space="0"/>
            </w:tcBorders>
            <w:noWrap/>
            <w:vAlign w:val="center"/>
          </w:tcPr>
          <w:p w14:paraId="59693E3C">
            <w:pPr>
              <w:pStyle w:val="557"/>
            </w:pPr>
            <w:r>
              <w:rPr>
                <w:rFonts w:hint="eastAsia"/>
              </w:rPr>
              <w:t>6.91（m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358567E7">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59EFD62B">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60F813E0">
            <w:pPr>
              <w:pStyle w:val="557"/>
            </w:pPr>
            <w:r>
              <w:rPr>
                <w:rFonts w:hint="eastAsia"/>
              </w:rPr>
              <w:t>0.08</w:t>
            </w:r>
          </w:p>
        </w:tc>
        <w:tc>
          <w:tcPr>
            <w:tcW w:w="711" w:type="dxa"/>
            <w:tcBorders>
              <w:top w:val="single" w:color="auto" w:sz="4" w:space="0"/>
              <w:left w:val="single" w:color="auto" w:sz="4" w:space="0"/>
              <w:bottom w:val="single" w:color="auto" w:sz="4" w:space="0"/>
              <w:right w:val="single" w:color="auto" w:sz="4" w:space="0"/>
            </w:tcBorders>
            <w:vAlign w:val="center"/>
          </w:tcPr>
          <w:p w14:paraId="281F5391">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noWrap/>
            <w:vAlign w:val="center"/>
          </w:tcPr>
          <w:p w14:paraId="54D59753">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11B2717">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29B77253">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7DA9B33D">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24E2A3C">
            <w:pPr>
              <w:pStyle w:val="557"/>
            </w:pPr>
            <w:r>
              <w:rPr>
                <w:rFonts w:hint="eastAsia"/>
              </w:rPr>
              <w:t>/</w:t>
            </w:r>
          </w:p>
        </w:tc>
      </w:tr>
      <w:tr w14:paraId="62CC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007B0D9D">
            <w:pPr>
              <w:pStyle w:val="557"/>
            </w:pPr>
            <w:r>
              <w:t>9</w:t>
            </w:r>
          </w:p>
        </w:tc>
        <w:tc>
          <w:tcPr>
            <w:tcW w:w="1824" w:type="dxa"/>
            <w:tcBorders>
              <w:top w:val="single" w:color="auto" w:sz="4" w:space="0"/>
              <w:left w:val="single" w:color="auto" w:sz="4" w:space="0"/>
              <w:bottom w:val="single" w:color="auto" w:sz="4" w:space="0"/>
              <w:right w:val="single" w:color="auto" w:sz="4" w:space="0"/>
            </w:tcBorders>
            <w:noWrap/>
            <w:vAlign w:val="center"/>
          </w:tcPr>
          <w:p w14:paraId="0BC5E940">
            <w:pPr>
              <w:pStyle w:val="557"/>
            </w:pPr>
            <w:r>
              <w:rPr>
                <w:rFonts w:hint="eastAsia"/>
              </w:rPr>
              <w:t>中和众合渣仓废气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4291EBFB">
            <w:pPr>
              <w:pStyle w:val="557"/>
            </w:pPr>
            <w:r>
              <w:rPr>
                <w:rFonts w:hint="eastAsia"/>
              </w:rPr>
              <w:t>49</w:t>
            </w:r>
          </w:p>
        </w:tc>
        <w:tc>
          <w:tcPr>
            <w:tcW w:w="647" w:type="dxa"/>
            <w:tcBorders>
              <w:top w:val="single" w:color="auto" w:sz="4" w:space="0"/>
              <w:left w:val="single" w:color="auto" w:sz="4" w:space="0"/>
              <w:bottom w:val="single" w:color="auto" w:sz="4" w:space="0"/>
              <w:right w:val="single" w:color="auto" w:sz="4" w:space="0"/>
            </w:tcBorders>
            <w:noWrap/>
            <w:vAlign w:val="center"/>
          </w:tcPr>
          <w:p w14:paraId="7316D635">
            <w:pPr>
              <w:pStyle w:val="557"/>
            </w:pPr>
            <w:r>
              <w:rPr>
                <w:rFonts w:hint="eastAsia"/>
              </w:rPr>
              <w:t>-1367</w:t>
            </w:r>
          </w:p>
        </w:tc>
        <w:tc>
          <w:tcPr>
            <w:tcW w:w="524" w:type="dxa"/>
            <w:tcBorders>
              <w:top w:val="single" w:color="auto" w:sz="4" w:space="0"/>
              <w:left w:val="single" w:color="auto" w:sz="4" w:space="0"/>
              <w:bottom w:val="single" w:color="auto" w:sz="4" w:space="0"/>
              <w:right w:val="single" w:color="auto" w:sz="4" w:space="0"/>
            </w:tcBorders>
            <w:noWrap/>
            <w:vAlign w:val="center"/>
          </w:tcPr>
          <w:p w14:paraId="4E24A57D">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6EED9E86">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2CE76D06">
            <w:pPr>
              <w:pStyle w:val="557"/>
            </w:pPr>
            <w:r>
              <w:rPr>
                <w:rFonts w:hint="eastAsia"/>
              </w:rPr>
              <w:t>60</w:t>
            </w:r>
          </w:p>
        </w:tc>
        <w:tc>
          <w:tcPr>
            <w:tcW w:w="897" w:type="dxa"/>
            <w:tcBorders>
              <w:top w:val="single" w:color="auto" w:sz="4" w:space="0"/>
              <w:left w:val="single" w:color="auto" w:sz="4" w:space="0"/>
              <w:bottom w:val="single" w:color="auto" w:sz="4" w:space="0"/>
              <w:right w:val="single" w:color="auto" w:sz="4" w:space="0"/>
            </w:tcBorders>
            <w:noWrap/>
            <w:vAlign w:val="center"/>
          </w:tcPr>
          <w:p w14:paraId="454E39D9">
            <w:pPr>
              <w:pStyle w:val="557"/>
            </w:pPr>
            <w:r>
              <w:rPr>
                <w:rFonts w:hint="eastAsia"/>
              </w:rPr>
              <w:t>6.91（m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650E1C49">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69601048">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255D8C59">
            <w:pPr>
              <w:pStyle w:val="557"/>
            </w:pPr>
            <w:r>
              <w:rPr>
                <w:rFonts w:hint="eastAsia"/>
              </w:rPr>
              <w:t>0.08</w:t>
            </w:r>
          </w:p>
        </w:tc>
        <w:tc>
          <w:tcPr>
            <w:tcW w:w="711" w:type="dxa"/>
            <w:tcBorders>
              <w:top w:val="single" w:color="auto" w:sz="4" w:space="0"/>
              <w:left w:val="single" w:color="auto" w:sz="4" w:space="0"/>
              <w:bottom w:val="single" w:color="auto" w:sz="4" w:space="0"/>
              <w:right w:val="single" w:color="auto" w:sz="4" w:space="0"/>
            </w:tcBorders>
            <w:vAlign w:val="center"/>
          </w:tcPr>
          <w:p w14:paraId="10DE0548">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noWrap/>
            <w:vAlign w:val="center"/>
          </w:tcPr>
          <w:p w14:paraId="307D518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2AE897B">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0CDD05CF">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16348CAD">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9057E58">
            <w:pPr>
              <w:pStyle w:val="557"/>
            </w:pPr>
            <w:r>
              <w:rPr>
                <w:rFonts w:hint="eastAsia"/>
              </w:rPr>
              <w:t>/</w:t>
            </w:r>
          </w:p>
        </w:tc>
      </w:tr>
      <w:tr w14:paraId="4560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6A469C2A">
            <w:pPr>
              <w:pStyle w:val="557"/>
            </w:pPr>
            <w:r>
              <w:t>10</w:t>
            </w:r>
          </w:p>
        </w:tc>
        <w:tc>
          <w:tcPr>
            <w:tcW w:w="1824" w:type="dxa"/>
            <w:tcBorders>
              <w:top w:val="single" w:color="auto" w:sz="4" w:space="0"/>
              <w:left w:val="single" w:color="auto" w:sz="4" w:space="0"/>
              <w:bottom w:val="single" w:color="auto" w:sz="4" w:space="0"/>
              <w:right w:val="single" w:color="auto" w:sz="4" w:space="0"/>
            </w:tcBorders>
            <w:noWrap/>
            <w:vAlign w:val="center"/>
          </w:tcPr>
          <w:p w14:paraId="31E1D691">
            <w:pPr>
              <w:pStyle w:val="557"/>
            </w:pPr>
            <w:r>
              <w:rPr>
                <w:rFonts w:hint="eastAsia"/>
              </w:rPr>
              <w:t>中和众合硫回收装置尾气</w:t>
            </w:r>
          </w:p>
        </w:tc>
        <w:tc>
          <w:tcPr>
            <w:tcW w:w="576" w:type="dxa"/>
            <w:tcBorders>
              <w:top w:val="single" w:color="auto" w:sz="4" w:space="0"/>
              <w:left w:val="single" w:color="auto" w:sz="4" w:space="0"/>
              <w:bottom w:val="single" w:color="auto" w:sz="4" w:space="0"/>
              <w:right w:val="single" w:color="auto" w:sz="4" w:space="0"/>
            </w:tcBorders>
            <w:noWrap/>
            <w:vAlign w:val="center"/>
          </w:tcPr>
          <w:p w14:paraId="3FF15450">
            <w:pPr>
              <w:pStyle w:val="557"/>
            </w:pPr>
            <w:r>
              <w:rPr>
                <w:rFonts w:hint="eastAsia"/>
              </w:rPr>
              <w:t>80</w:t>
            </w:r>
          </w:p>
        </w:tc>
        <w:tc>
          <w:tcPr>
            <w:tcW w:w="647" w:type="dxa"/>
            <w:tcBorders>
              <w:top w:val="single" w:color="auto" w:sz="4" w:space="0"/>
              <w:left w:val="single" w:color="auto" w:sz="4" w:space="0"/>
              <w:bottom w:val="single" w:color="auto" w:sz="4" w:space="0"/>
              <w:right w:val="single" w:color="auto" w:sz="4" w:space="0"/>
            </w:tcBorders>
            <w:noWrap/>
            <w:vAlign w:val="center"/>
          </w:tcPr>
          <w:p w14:paraId="283C6086">
            <w:pPr>
              <w:pStyle w:val="557"/>
            </w:pPr>
            <w:r>
              <w:rPr>
                <w:rFonts w:hint="eastAsia"/>
              </w:rPr>
              <w:t>-1350</w:t>
            </w:r>
          </w:p>
        </w:tc>
        <w:tc>
          <w:tcPr>
            <w:tcW w:w="524" w:type="dxa"/>
            <w:tcBorders>
              <w:top w:val="single" w:color="auto" w:sz="4" w:space="0"/>
              <w:left w:val="single" w:color="auto" w:sz="4" w:space="0"/>
              <w:bottom w:val="single" w:color="auto" w:sz="4" w:space="0"/>
              <w:right w:val="single" w:color="auto" w:sz="4" w:space="0"/>
            </w:tcBorders>
            <w:noWrap/>
            <w:vAlign w:val="center"/>
          </w:tcPr>
          <w:p w14:paraId="2F4FB7E4">
            <w:pPr>
              <w:pStyle w:val="557"/>
            </w:pPr>
            <w:r>
              <w:rPr>
                <w:rFonts w:hint="eastAsia"/>
              </w:rPr>
              <w:t>30</w:t>
            </w:r>
          </w:p>
        </w:tc>
        <w:tc>
          <w:tcPr>
            <w:tcW w:w="615" w:type="dxa"/>
            <w:tcBorders>
              <w:top w:val="single" w:color="auto" w:sz="4" w:space="0"/>
              <w:left w:val="single" w:color="auto" w:sz="4" w:space="0"/>
              <w:bottom w:val="single" w:color="auto" w:sz="4" w:space="0"/>
              <w:right w:val="single" w:color="auto" w:sz="4" w:space="0"/>
            </w:tcBorders>
            <w:noWrap/>
            <w:vAlign w:val="center"/>
          </w:tcPr>
          <w:p w14:paraId="204E7D0C">
            <w:pPr>
              <w:pStyle w:val="557"/>
            </w:pPr>
            <w:r>
              <w:rPr>
                <w:rFonts w:hint="eastAsia"/>
              </w:rPr>
              <w:t>0.8</w:t>
            </w:r>
          </w:p>
        </w:tc>
        <w:tc>
          <w:tcPr>
            <w:tcW w:w="708" w:type="dxa"/>
            <w:tcBorders>
              <w:top w:val="single" w:color="auto" w:sz="4" w:space="0"/>
              <w:left w:val="single" w:color="auto" w:sz="4" w:space="0"/>
              <w:bottom w:val="single" w:color="auto" w:sz="4" w:space="0"/>
              <w:right w:val="single" w:color="auto" w:sz="4" w:space="0"/>
            </w:tcBorders>
            <w:noWrap/>
            <w:vAlign w:val="center"/>
          </w:tcPr>
          <w:p w14:paraId="7E1FF951">
            <w:pPr>
              <w:pStyle w:val="557"/>
            </w:pPr>
            <w:r>
              <w:rPr>
                <w:rFonts w:hint="eastAsia"/>
              </w:rPr>
              <w:t>60</w:t>
            </w:r>
          </w:p>
        </w:tc>
        <w:tc>
          <w:tcPr>
            <w:tcW w:w="897" w:type="dxa"/>
            <w:tcBorders>
              <w:top w:val="single" w:color="auto" w:sz="4" w:space="0"/>
              <w:left w:val="single" w:color="auto" w:sz="4" w:space="0"/>
              <w:bottom w:val="single" w:color="auto" w:sz="4" w:space="0"/>
              <w:right w:val="single" w:color="auto" w:sz="4" w:space="0"/>
            </w:tcBorders>
            <w:noWrap/>
            <w:vAlign w:val="center"/>
          </w:tcPr>
          <w:p w14:paraId="2BAC8EF7">
            <w:pPr>
              <w:pStyle w:val="557"/>
            </w:pPr>
            <w:r>
              <w:rPr>
                <w:rFonts w:hint="eastAsia"/>
              </w:rPr>
              <w:t>7.63（m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15F55AFF">
            <w:pPr>
              <w:pStyle w:val="557"/>
            </w:pPr>
            <w:r>
              <w:rPr>
                <w:rFonts w:hint="eastAsia"/>
              </w:rPr>
              <w:t>4.016</w:t>
            </w:r>
          </w:p>
        </w:tc>
        <w:tc>
          <w:tcPr>
            <w:tcW w:w="899" w:type="dxa"/>
            <w:tcBorders>
              <w:top w:val="single" w:color="auto" w:sz="4" w:space="0"/>
              <w:left w:val="single" w:color="auto" w:sz="4" w:space="0"/>
              <w:bottom w:val="single" w:color="auto" w:sz="4" w:space="0"/>
              <w:right w:val="single" w:color="auto" w:sz="4" w:space="0"/>
            </w:tcBorders>
            <w:noWrap/>
            <w:vAlign w:val="center"/>
          </w:tcPr>
          <w:p w14:paraId="00B0A422">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1395685F">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vAlign w:val="center"/>
          </w:tcPr>
          <w:p w14:paraId="65D1CAF2">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C63815D">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066AE0B">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0E2FACFF">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560C73AC">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6BE80CD">
            <w:pPr>
              <w:pStyle w:val="557"/>
            </w:pPr>
            <w:r>
              <w:rPr>
                <w:rFonts w:hint="eastAsia"/>
              </w:rPr>
              <w:t>/</w:t>
            </w:r>
          </w:p>
        </w:tc>
      </w:tr>
      <w:tr w14:paraId="0E8D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0F0D96DF">
            <w:pPr>
              <w:pStyle w:val="557"/>
            </w:pPr>
            <w:r>
              <w:t>11</w:t>
            </w:r>
          </w:p>
        </w:tc>
        <w:tc>
          <w:tcPr>
            <w:tcW w:w="1824" w:type="dxa"/>
            <w:tcBorders>
              <w:top w:val="single" w:color="auto" w:sz="4" w:space="0"/>
              <w:left w:val="single" w:color="auto" w:sz="4" w:space="0"/>
              <w:bottom w:val="single" w:color="auto" w:sz="4" w:space="0"/>
              <w:right w:val="single" w:color="auto" w:sz="4" w:space="0"/>
            </w:tcBorders>
            <w:noWrap/>
            <w:vAlign w:val="center"/>
          </w:tcPr>
          <w:p w14:paraId="17619D2A">
            <w:pPr>
              <w:pStyle w:val="557"/>
            </w:pPr>
            <w:r>
              <w:rPr>
                <w:rFonts w:hint="eastAsia"/>
              </w:rPr>
              <w:t>中和众合醋酐装置裂解炉燃烧烟气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16D717EC">
            <w:pPr>
              <w:pStyle w:val="557"/>
            </w:pPr>
            <w:r>
              <w:rPr>
                <w:rFonts w:hint="eastAsia"/>
              </w:rPr>
              <w:t>57</w:t>
            </w:r>
          </w:p>
        </w:tc>
        <w:tc>
          <w:tcPr>
            <w:tcW w:w="647" w:type="dxa"/>
            <w:tcBorders>
              <w:top w:val="single" w:color="auto" w:sz="4" w:space="0"/>
              <w:left w:val="single" w:color="auto" w:sz="4" w:space="0"/>
              <w:bottom w:val="single" w:color="auto" w:sz="4" w:space="0"/>
              <w:right w:val="single" w:color="auto" w:sz="4" w:space="0"/>
            </w:tcBorders>
            <w:noWrap/>
            <w:vAlign w:val="center"/>
          </w:tcPr>
          <w:p w14:paraId="54BD6D09">
            <w:pPr>
              <w:pStyle w:val="557"/>
            </w:pPr>
            <w:r>
              <w:rPr>
                <w:rFonts w:hint="eastAsia"/>
              </w:rPr>
              <w:t>-1390</w:t>
            </w:r>
          </w:p>
        </w:tc>
        <w:tc>
          <w:tcPr>
            <w:tcW w:w="524" w:type="dxa"/>
            <w:tcBorders>
              <w:top w:val="single" w:color="auto" w:sz="4" w:space="0"/>
              <w:left w:val="single" w:color="auto" w:sz="4" w:space="0"/>
              <w:bottom w:val="single" w:color="auto" w:sz="4" w:space="0"/>
              <w:right w:val="single" w:color="auto" w:sz="4" w:space="0"/>
            </w:tcBorders>
            <w:noWrap/>
            <w:vAlign w:val="center"/>
          </w:tcPr>
          <w:p w14:paraId="020CC3DF">
            <w:pPr>
              <w:pStyle w:val="557"/>
            </w:pPr>
            <w:r>
              <w:rPr>
                <w:rFonts w:hint="eastAsia"/>
              </w:rPr>
              <w:t>28</w:t>
            </w:r>
          </w:p>
        </w:tc>
        <w:tc>
          <w:tcPr>
            <w:tcW w:w="615" w:type="dxa"/>
            <w:tcBorders>
              <w:top w:val="single" w:color="auto" w:sz="4" w:space="0"/>
              <w:left w:val="single" w:color="auto" w:sz="4" w:space="0"/>
              <w:bottom w:val="single" w:color="auto" w:sz="4" w:space="0"/>
              <w:right w:val="single" w:color="auto" w:sz="4" w:space="0"/>
            </w:tcBorders>
            <w:noWrap/>
            <w:vAlign w:val="center"/>
          </w:tcPr>
          <w:p w14:paraId="3EC2EE12">
            <w:pPr>
              <w:pStyle w:val="557"/>
            </w:pPr>
            <w:r>
              <w:rPr>
                <w:rFonts w:hint="eastAsia"/>
              </w:rPr>
              <w:t>0.8</w:t>
            </w:r>
          </w:p>
        </w:tc>
        <w:tc>
          <w:tcPr>
            <w:tcW w:w="708" w:type="dxa"/>
            <w:tcBorders>
              <w:top w:val="single" w:color="auto" w:sz="4" w:space="0"/>
              <w:left w:val="single" w:color="auto" w:sz="4" w:space="0"/>
              <w:bottom w:val="single" w:color="auto" w:sz="4" w:space="0"/>
              <w:right w:val="single" w:color="auto" w:sz="4" w:space="0"/>
            </w:tcBorders>
            <w:noWrap/>
            <w:vAlign w:val="center"/>
          </w:tcPr>
          <w:p w14:paraId="5733FAE3">
            <w:pPr>
              <w:pStyle w:val="557"/>
            </w:pPr>
            <w:r>
              <w:rPr>
                <w:rFonts w:hint="eastAsia"/>
              </w:rPr>
              <w:t>200</w:t>
            </w:r>
          </w:p>
        </w:tc>
        <w:tc>
          <w:tcPr>
            <w:tcW w:w="897" w:type="dxa"/>
            <w:tcBorders>
              <w:top w:val="single" w:color="auto" w:sz="4" w:space="0"/>
              <w:left w:val="single" w:color="auto" w:sz="4" w:space="0"/>
              <w:bottom w:val="single" w:color="auto" w:sz="4" w:space="0"/>
              <w:right w:val="single" w:color="auto" w:sz="4" w:space="0"/>
            </w:tcBorders>
            <w:noWrap/>
            <w:vAlign w:val="center"/>
          </w:tcPr>
          <w:p w14:paraId="002CB8DA">
            <w:pPr>
              <w:pStyle w:val="557"/>
            </w:pPr>
            <w:r>
              <w:rPr>
                <w:rFonts w:hint="eastAsia"/>
              </w:rPr>
              <w:t>5.38（m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4EBC2344">
            <w:pPr>
              <w:pStyle w:val="557"/>
            </w:pPr>
            <w:r>
              <w:rPr>
                <w:rFonts w:hint="eastAsia"/>
              </w:rPr>
              <w:t>0.0001</w:t>
            </w:r>
          </w:p>
        </w:tc>
        <w:tc>
          <w:tcPr>
            <w:tcW w:w="899" w:type="dxa"/>
            <w:tcBorders>
              <w:top w:val="single" w:color="auto" w:sz="4" w:space="0"/>
              <w:left w:val="single" w:color="auto" w:sz="4" w:space="0"/>
              <w:bottom w:val="single" w:color="auto" w:sz="4" w:space="0"/>
              <w:right w:val="single" w:color="auto" w:sz="4" w:space="0"/>
            </w:tcBorders>
            <w:noWrap/>
            <w:vAlign w:val="center"/>
          </w:tcPr>
          <w:p w14:paraId="22A1B7A8">
            <w:pPr>
              <w:pStyle w:val="557"/>
            </w:pPr>
            <w:r>
              <w:rPr>
                <w:rFonts w:hint="eastAsia"/>
              </w:rPr>
              <w:t>0.7578</w:t>
            </w:r>
          </w:p>
        </w:tc>
        <w:tc>
          <w:tcPr>
            <w:tcW w:w="689" w:type="dxa"/>
            <w:tcBorders>
              <w:top w:val="single" w:color="auto" w:sz="4" w:space="0"/>
              <w:left w:val="single" w:color="auto" w:sz="4" w:space="0"/>
              <w:bottom w:val="single" w:color="auto" w:sz="4" w:space="0"/>
              <w:right w:val="single" w:color="auto" w:sz="4" w:space="0"/>
            </w:tcBorders>
            <w:noWrap/>
            <w:vAlign w:val="center"/>
          </w:tcPr>
          <w:p w14:paraId="310F62A0">
            <w:pPr>
              <w:pStyle w:val="557"/>
            </w:pPr>
            <w:r>
              <w:rPr>
                <w:rFonts w:hint="eastAsia"/>
              </w:rPr>
              <w:t>0.112</w:t>
            </w:r>
          </w:p>
        </w:tc>
        <w:tc>
          <w:tcPr>
            <w:tcW w:w="711" w:type="dxa"/>
            <w:tcBorders>
              <w:top w:val="single" w:color="auto" w:sz="4" w:space="0"/>
              <w:left w:val="single" w:color="auto" w:sz="4" w:space="0"/>
              <w:bottom w:val="single" w:color="auto" w:sz="4" w:space="0"/>
              <w:right w:val="single" w:color="auto" w:sz="4" w:space="0"/>
            </w:tcBorders>
            <w:vAlign w:val="center"/>
          </w:tcPr>
          <w:p w14:paraId="36476F9D">
            <w:pPr>
              <w:pStyle w:val="557"/>
            </w:pPr>
            <w:r>
              <w:rPr>
                <w:rFonts w:hint="eastAsia"/>
              </w:rPr>
              <w:t>0.056</w:t>
            </w:r>
          </w:p>
        </w:tc>
        <w:tc>
          <w:tcPr>
            <w:tcW w:w="711" w:type="dxa"/>
            <w:tcBorders>
              <w:top w:val="single" w:color="auto" w:sz="4" w:space="0"/>
              <w:left w:val="single" w:color="auto" w:sz="4" w:space="0"/>
              <w:bottom w:val="single" w:color="auto" w:sz="4" w:space="0"/>
              <w:right w:val="single" w:color="auto" w:sz="4" w:space="0"/>
            </w:tcBorders>
            <w:noWrap/>
            <w:vAlign w:val="center"/>
          </w:tcPr>
          <w:p w14:paraId="6D91AB8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086F5868">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329F3DF6">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2218D857">
            <w:pPr>
              <w:pStyle w:val="557"/>
            </w:pPr>
            <w:r>
              <w:rPr>
                <w:rFonts w:hint="eastAsia"/>
              </w:rPr>
              <w:t>0.265</w:t>
            </w:r>
          </w:p>
        </w:tc>
        <w:tc>
          <w:tcPr>
            <w:tcW w:w="710" w:type="dxa"/>
            <w:tcBorders>
              <w:top w:val="single" w:color="auto" w:sz="4" w:space="0"/>
              <w:left w:val="single" w:color="auto" w:sz="4" w:space="0"/>
              <w:bottom w:val="single" w:color="auto" w:sz="4" w:space="0"/>
              <w:right w:val="single" w:color="auto" w:sz="4" w:space="0"/>
            </w:tcBorders>
            <w:noWrap/>
            <w:vAlign w:val="center"/>
          </w:tcPr>
          <w:p w14:paraId="2E305082">
            <w:pPr>
              <w:pStyle w:val="557"/>
            </w:pPr>
            <w:r>
              <w:rPr>
                <w:rFonts w:hint="eastAsia"/>
              </w:rPr>
              <w:t>/</w:t>
            </w:r>
          </w:p>
        </w:tc>
      </w:tr>
      <w:tr w14:paraId="0DFF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D351F58">
            <w:pPr>
              <w:pStyle w:val="557"/>
            </w:pPr>
            <w:r>
              <w:rPr>
                <w:rFonts w:hint="eastAsia"/>
              </w:rPr>
              <w:t>12</w:t>
            </w:r>
          </w:p>
        </w:tc>
        <w:tc>
          <w:tcPr>
            <w:tcW w:w="1824" w:type="dxa"/>
            <w:tcBorders>
              <w:top w:val="single" w:color="auto" w:sz="4" w:space="0"/>
              <w:left w:val="single" w:color="auto" w:sz="4" w:space="0"/>
              <w:bottom w:val="single" w:color="auto" w:sz="4" w:space="0"/>
              <w:right w:val="single" w:color="auto" w:sz="4" w:space="0"/>
            </w:tcBorders>
            <w:noWrap/>
            <w:vAlign w:val="center"/>
          </w:tcPr>
          <w:p w14:paraId="5A005739">
            <w:pPr>
              <w:pStyle w:val="557"/>
            </w:pPr>
            <w:r>
              <w:rPr>
                <w:rFonts w:hint="eastAsia"/>
              </w:rPr>
              <w:t>中和众合公辅工程卸煤间粉尘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5A1F00E5">
            <w:pPr>
              <w:pStyle w:val="557"/>
            </w:pPr>
            <w:r>
              <w:rPr>
                <w:rFonts w:hint="eastAsia"/>
              </w:rPr>
              <w:t>65</w:t>
            </w:r>
          </w:p>
        </w:tc>
        <w:tc>
          <w:tcPr>
            <w:tcW w:w="647" w:type="dxa"/>
            <w:tcBorders>
              <w:top w:val="single" w:color="auto" w:sz="4" w:space="0"/>
              <w:left w:val="single" w:color="auto" w:sz="4" w:space="0"/>
              <w:bottom w:val="single" w:color="auto" w:sz="4" w:space="0"/>
              <w:right w:val="single" w:color="auto" w:sz="4" w:space="0"/>
            </w:tcBorders>
            <w:noWrap/>
            <w:vAlign w:val="center"/>
          </w:tcPr>
          <w:p w14:paraId="72722D33">
            <w:pPr>
              <w:pStyle w:val="557"/>
            </w:pPr>
            <w:r>
              <w:rPr>
                <w:rFonts w:hint="eastAsia"/>
              </w:rPr>
              <w:t>-1328</w:t>
            </w:r>
          </w:p>
        </w:tc>
        <w:tc>
          <w:tcPr>
            <w:tcW w:w="524" w:type="dxa"/>
            <w:tcBorders>
              <w:top w:val="single" w:color="auto" w:sz="4" w:space="0"/>
              <w:left w:val="single" w:color="auto" w:sz="4" w:space="0"/>
              <w:bottom w:val="single" w:color="auto" w:sz="4" w:space="0"/>
              <w:right w:val="single" w:color="auto" w:sz="4" w:space="0"/>
            </w:tcBorders>
            <w:noWrap/>
            <w:vAlign w:val="center"/>
          </w:tcPr>
          <w:p w14:paraId="213CFFD4">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3C2F3D0F">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7B464881">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525877D2">
            <w:pPr>
              <w:pStyle w:val="557"/>
            </w:pPr>
            <w:r>
              <w:rPr>
                <w:rFonts w:hint="eastAsia"/>
              </w:rPr>
              <w:t>10.82（m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26F98FFA">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4F1537BF">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C0870A0">
            <w:pPr>
              <w:pStyle w:val="557"/>
            </w:pPr>
            <w:r>
              <w:rPr>
                <w:rFonts w:hint="eastAsia"/>
              </w:rPr>
              <w:t>0.14</w:t>
            </w:r>
          </w:p>
        </w:tc>
        <w:tc>
          <w:tcPr>
            <w:tcW w:w="711" w:type="dxa"/>
            <w:tcBorders>
              <w:top w:val="single" w:color="auto" w:sz="4" w:space="0"/>
              <w:left w:val="single" w:color="auto" w:sz="4" w:space="0"/>
              <w:bottom w:val="single" w:color="auto" w:sz="4" w:space="0"/>
              <w:right w:val="single" w:color="auto" w:sz="4" w:space="0"/>
            </w:tcBorders>
            <w:vAlign w:val="center"/>
          </w:tcPr>
          <w:p w14:paraId="6AD5ACF3">
            <w:pPr>
              <w:pStyle w:val="557"/>
            </w:pPr>
            <w:r>
              <w:rPr>
                <w:rFonts w:hint="eastAsia"/>
              </w:rPr>
              <w:t>0.07</w:t>
            </w:r>
          </w:p>
        </w:tc>
        <w:tc>
          <w:tcPr>
            <w:tcW w:w="711" w:type="dxa"/>
            <w:tcBorders>
              <w:top w:val="single" w:color="auto" w:sz="4" w:space="0"/>
              <w:left w:val="single" w:color="auto" w:sz="4" w:space="0"/>
              <w:bottom w:val="single" w:color="auto" w:sz="4" w:space="0"/>
              <w:right w:val="single" w:color="auto" w:sz="4" w:space="0"/>
            </w:tcBorders>
            <w:noWrap/>
            <w:vAlign w:val="center"/>
          </w:tcPr>
          <w:p w14:paraId="2258C5D0">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2A986D1">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7CA5D9FC">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01A8A57E">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DE17983">
            <w:pPr>
              <w:pStyle w:val="557"/>
            </w:pPr>
            <w:r>
              <w:rPr>
                <w:rFonts w:hint="eastAsia"/>
              </w:rPr>
              <w:t>/</w:t>
            </w:r>
          </w:p>
        </w:tc>
      </w:tr>
      <w:tr w14:paraId="4303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1B01EF2D">
            <w:pPr>
              <w:pStyle w:val="557"/>
            </w:pPr>
            <w:r>
              <w:rPr>
                <w:rFonts w:hint="eastAsia"/>
              </w:rPr>
              <w:t>13</w:t>
            </w:r>
          </w:p>
        </w:tc>
        <w:tc>
          <w:tcPr>
            <w:tcW w:w="1824" w:type="dxa"/>
            <w:tcBorders>
              <w:top w:val="single" w:color="auto" w:sz="4" w:space="0"/>
              <w:left w:val="single" w:color="auto" w:sz="4" w:space="0"/>
              <w:bottom w:val="single" w:color="auto" w:sz="4" w:space="0"/>
              <w:right w:val="single" w:color="auto" w:sz="4" w:space="0"/>
            </w:tcBorders>
            <w:noWrap/>
            <w:vAlign w:val="center"/>
          </w:tcPr>
          <w:p w14:paraId="34416498">
            <w:pPr>
              <w:pStyle w:val="557"/>
            </w:pPr>
            <w:r>
              <w:rPr>
                <w:rFonts w:hint="eastAsia"/>
              </w:rPr>
              <w:t>中和众合煤库粉尘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4BBCED7D">
            <w:pPr>
              <w:pStyle w:val="557"/>
            </w:pPr>
            <w:r>
              <w:rPr>
                <w:rFonts w:hint="eastAsia"/>
              </w:rPr>
              <w:t>85</w:t>
            </w:r>
          </w:p>
        </w:tc>
        <w:tc>
          <w:tcPr>
            <w:tcW w:w="647" w:type="dxa"/>
            <w:tcBorders>
              <w:top w:val="single" w:color="auto" w:sz="4" w:space="0"/>
              <w:left w:val="single" w:color="auto" w:sz="4" w:space="0"/>
              <w:bottom w:val="single" w:color="auto" w:sz="4" w:space="0"/>
              <w:right w:val="single" w:color="auto" w:sz="4" w:space="0"/>
            </w:tcBorders>
            <w:noWrap/>
            <w:vAlign w:val="center"/>
          </w:tcPr>
          <w:p w14:paraId="29EFBF2F">
            <w:pPr>
              <w:pStyle w:val="557"/>
            </w:pPr>
            <w:r>
              <w:rPr>
                <w:rFonts w:hint="eastAsia"/>
              </w:rPr>
              <w:t>-1385</w:t>
            </w:r>
          </w:p>
        </w:tc>
        <w:tc>
          <w:tcPr>
            <w:tcW w:w="524" w:type="dxa"/>
            <w:tcBorders>
              <w:top w:val="single" w:color="auto" w:sz="4" w:space="0"/>
              <w:left w:val="single" w:color="auto" w:sz="4" w:space="0"/>
              <w:bottom w:val="single" w:color="auto" w:sz="4" w:space="0"/>
              <w:right w:val="single" w:color="auto" w:sz="4" w:space="0"/>
            </w:tcBorders>
            <w:noWrap/>
            <w:vAlign w:val="center"/>
          </w:tcPr>
          <w:p w14:paraId="6D8641B1">
            <w:pPr>
              <w:pStyle w:val="557"/>
            </w:pPr>
            <w:r>
              <w:rPr>
                <w:rFonts w:hint="eastAsia"/>
              </w:rPr>
              <w:t>36</w:t>
            </w:r>
          </w:p>
        </w:tc>
        <w:tc>
          <w:tcPr>
            <w:tcW w:w="615" w:type="dxa"/>
            <w:tcBorders>
              <w:top w:val="single" w:color="auto" w:sz="4" w:space="0"/>
              <w:left w:val="single" w:color="auto" w:sz="4" w:space="0"/>
              <w:bottom w:val="single" w:color="auto" w:sz="4" w:space="0"/>
              <w:right w:val="single" w:color="auto" w:sz="4" w:space="0"/>
            </w:tcBorders>
            <w:noWrap/>
            <w:vAlign w:val="center"/>
          </w:tcPr>
          <w:p w14:paraId="5293186A">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701C70BF">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0E1E5237">
            <w:pPr>
              <w:pStyle w:val="557"/>
            </w:pPr>
            <w:r>
              <w:rPr>
                <w:rFonts w:hint="eastAsia"/>
              </w:rPr>
              <w:t>6.18（m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3C44C127">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34B2BF59">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48638C6D">
            <w:pPr>
              <w:pStyle w:val="557"/>
            </w:pPr>
            <w:r>
              <w:rPr>
                <w:rFonts w:hint="eastAsia"/>
              </w:rPr>
              <w:t>0.08</w:t>
            </w:r>
          </w:p>
        </w:tc>
        <w:tc>
          <w:tcPr>
            <w:tcW w:w="711" w:type="dxa"/>
            <w:tcBorders>
              <w:top w:val="single" w:color="auto" w:sz="4" w:space="0"/>
              <w:left w:val="single" w:color="auto" w:sz="4" w:space="0"/>
              <w:bottom w:val="single" w:color="auto" w:sz="4" w:space="0"/>
              <w:right w:val="single" w:color="auto" w:sz="4" w:space="0"/>
            </w:tcBorders>
            <w:vAlign w:val="center"/>
          </w:tcPr>
          <w:p w14:paraId="2E0F1C4C">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noWrap/>
            <w:vAlign w:val="center"/>
          </w:tcPr>
          <w:p w14:paraId="14BD5C44">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F894936">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10CA726A">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4193FF29">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65B099A4">
            <w:pPr>
              <w:pStyle w:val="557"/>
            </w:pPr>
            <w:r>
              <w:rPr>
                <w:rFonts w:hint="eastAsia"/>
              </w:rPr>
              <w:t>/</w:t>
            </w:r>
          </w:p>
        </w:tc>
      </w:tr>
      <w:tr w14:paraId="5BFD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667AA94A">
            <w:pPr>
              <w:pStyle w:val="557"/>
            </w:pPr>
            <w:r>
              <w:rPr>
                <w:rFonts w:hint="eastAsia"/>
              </w:rPr>
              <w:t>14</w:t>
            </w:r>
          </w:p>
        </w:tc>
        <w:tc>
          <w:tcPr>
            <w:tcW w:w="1824" w:type="dxa"/>
            <w:tcBorders>
              <w:top w:val="single" w:color="auto" w:sz="4" w:space="0"/>
              <w:left w:val="single" w:color="auto" w:sz="4" w:space="0"/>
              <w:bottom w:val="single" w:color="auto" w:sz="4" w:space="0"/>
              <w:right w:val="single" w:color="auto" w:sz="4" w:space="0"/>
            </w:tcBorders>
            <w:noWrap/>
            <w:vAlign w:val="center"/>
          </w:tcPr>
          <w:p w14:paraId="0ABD6E60">
            <w:pPr>
              <w:pStyle w:val="557"/>
            </w:pPr>
            <w:r>
              <w:rPr>
                <w:rFonts w:hint="eastAsia"/>
              </w:rPr>
              <w:t>中和众合转运站一粉尘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20402155">
            <w:pPr>
              <w:pStyle w:val="557"/>
            </w:pPr>
            <w:r>
              <w:rPr>
                <w:rFonts w:hint="eastAsia"/>
              </w:rPr>
              <w:t>75</w:t>
            </w:r>
          </w:p>
        </w:tc>
        <w:tc>
          <w:tcPr>
            <w:tcW w:w="647" w:type="dxa"/>
            <w:tcBorders>
              <w:top w:val="single" w:color="auto" w:sz="4" w:space="0"/>
              <w:left w:val="single" w:color="auto" w:sz="4" w:space="0"/>
              <w:bottom w:val="single" w:color="auto" w:sz="4" w:space="0"/>
              <w:right w:val="single" w:color="auto" w:sz="4" w:space="0"/>
            </w:tcBorders>
            <w:noWrap/>
            <w:vAlign w:val="center"/>
          </w:tcPr>
          <w:p w14:paraId="574B8628">
            <w:pPr>
              <w:pStyle w:val="557"/>
            </w:pPr>
            <w:r>
              <w:rPr>
                <w:rFonts w:hint="eastAsia"/>
              </w:rPr>
              <w:t>-1360</w:t>
            </w:r>
          </w:p>
        </w:tc>
        <w:tc>
          <w:tcPr>
            <w:tcW w:w="524" w:type="dxa"/>
            <w:tcBorders>
              <w:top w:val="single" w:color="auto" w:sz="4" w:space="0"/>
              <w:left w:val="single" w:color="auto" w:sz="4" w:space="0"/>
              <w:bottom w:val="single" w:color="auto" w:sz="4" w:space="0"/>
              <w:right w:val="single" w:color="auto" w:sz="4" w:space="0"/>
            </w:tcBorders>
            <w:noWrap/>
            <w:vAlign w:val="center"/>
          </w:tcPr>
          <w:p w14:paraId="076682ED">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02B98223">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21C2297F">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30BEAA22">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1D919F4A">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7698918D">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5614CCDA">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7703A022">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6123297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1CFBAB68">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7DEB6615">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4AB82166">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14E623F1">
            <w:pPr>
              <w:pStyle w:val="557"/>
            </w:pPr>
            <w:r>
              <w:rPr>
                <w:rFonts w:hint="eastAsia"/>
              </w:rPr>
              <w:t>/</w:t>
            </w:r>
          </w:p>
        </w:tc>
      </w:tr>
      <w:tr w14:paraId="61B5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2BC4FEC6">
            <w:pPr>
              <w:pStyle w:val="557"/>
            </w:pPr>
            <w:r>
              <w:rPr>
                <w:rFonts w:hint="eastAsia"/>
              </w:rPr>
              <w:t>15</w:t>
            </w:r>
          </w:p>
        </w:tc>
        <w:tc>
          <w:tcPr>
            <w:tcW w:w="1824" w:type="dxa"/>
            <w:tcBorders>
              <w:top w:val="single" w:color="auto" w:sz="4" w:space="0"/>
              <w:left w:val="single" w:color="auto" w:sz="4" w:space="0"/>
              <w:bottom w:val="single" w:color="auto" w:sz="4" w:space="0"/>
              <w:right w:val="single" w:color="auto" w:sz="4" w:space="0"/>
            </w:tcBorders>
            <w:noWrap/>
            <w:vAlign w:val="center"/>
          </w:tcPr>
          <w:p w14:paraId="3F6EAE06">
            <w:pPr>
              <w:pStyle w:val="557"/>
            </w:pPr>
            <w:r>
              <w:rPr>
                <w:rFonts w:hint="eastAsia"/>
              </w:rPr>
              <w:t>中和众合转运站二粉尘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1416E995">
            <w:pPr>
              <w:pStyle w:val="557"/>
            </w:pPr>
            <w:r>
              <w:rPr>
                <w:rFonts w:hint="eastAsia"/>
              </w:rPr>
              <w:t>85</w:t>
            </w:r>
          </w:p>
        </w:tc>
        <w:tc>
          <w:tcPr>
            <w:tcW w:w="647" w:type="dxa"/>
            <w:tcBorders>
              <w:top w:val="single" w:color="auto" w:sz="4" w:space="0"/>
              <w:left w:val="single" w:color="auto" w:sz="4" w:space="0"/>
              <w:bottom w:val="single" w:color="auto" w:sz="4" w:space="0"/>
              <w:right w:val="single" w:color="auto" w:sz="4" w:space="0"/>
            </w:tcBorders>
            <w:noWrap/>
            <w:vAlign w:val="center"/>
          </w:tcPr>
          <w:p w14:paraId="4E0BC4F5">
            <w:pPr>
              <w:pStyle w:val="557"/>
            </w:pPr>
            <w:r>
              <w:rPr>
                <w:rFonts w:hint="eastAsia"/>
              </w:rPr>
              <w:t>-1365</w:t>
            </w:r>
          </w:p>
        </w:tc>
        <w:tc>
          <w:tcPr>
            <w:tcW w:w="524" w:type="dxa"/>
            <w:tcBorders>
              <w:top w:val="single" w:color="auto" w:sz="4" w:space="0"/>
              <w:left w:val="single" w:color="auto" w:sz="4" w:space="0"/>
              <w:bottom w:val="single" w:color="auto" w:sz="4" w:space="0"/>
              <w:right w:val="single" w:color="auto" w:sz="4" w:space="0"/>
            </w:tcBorders>
            <w:noWrap/>
            <w:vAlign w:val="center"/>
          </w:tcPr>
          <w:p w14:paraId="348FBDF3">
            <w:pPr>
              <w:pStyle w:val="557"/>
            </w:pPr>
            <w:r>
              <w:rPr>
                <w:rFonts w:hint="eastAsia"/>
              </w:rPr>
              <w:t>20</w:t>
            </w:r>
          </w:p>
        </w:tc>
        <w:tc>
          <w:tcPr>
            <w:tcW w:w="615" w:type="dxa"/>
            <w:tcBorders>
              <w:top w:val="single" w:color="auto" w:sz="4" w:space="0"/>
              <w:left w:val="single" w:color="auto" w:sz="4" w:space="0"/>
              <w:bottom w:val="single" w:color="auto" w:sz="4" w:space="0"/>
              <w:right w:val="single" w:color="auto" w:sz="4" w:space="0"/>
            </w:tcBorders>
            <w:noWrap/>
            <w:vAlign w:val="center"/>
          </w:tcPr>
          <w:p w14:paraId="0976F00B">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32E38487">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5D60012A">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47198518">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3913C595">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468FB321">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11D7D634">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20413ADF">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017C3669">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154012DE">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56209562">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B0FA190">
            <w:pPr>
              <w:pStyle w:val="557"/>
            </w:pPr>
            <w:r>
              <w:rPr>
                <w:rFonts w:hint="eastAsia"/>
              </w:rPr>
              <w:t>/</w:t>
            </w:r>
          </w:p>
        </w:tc>
      </w:tr>
      <w:tr w14:paraId="709C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19AF387E">
            <w:pPr>
              <w:pStyle w:val="557"/>
            </w:pPr>
            <w:r>
              <w:rPr>
                <w:rFonts w:hint="eastAsia"/>
              </w:rPr>
              <w:t>16</w:t>
            </w:r>
          </w:p>
        </w:tc>
        <w:tc>
          <w:tcPr>
            <w:tcW w:w="1824" w:type="dxa"/>
            <w:tcBorders>
              <w:top w:val="single" w:color="auto" w:sz="4" w:space="0"/>
              <w:left w:val="single" w:color="auto" w:sz="4" w:space="0"/>
              <w:bottom w:val="single" w:color="auto" w:sz="4" w:space="0"/>
              <w:right w:val="single" w:color="auto" w:sz="4" w:space="0"/>
            </w:tcBorders>
            <w:noWrap/>
            <w:vAlign w:val="center"/>
          </w:tcPr>
          <w:p w14:paraId="7216ECB9">
            <w:pPr>
              <w:pStyle w:val="557"/>
            </w:pPr>
            <w:r>
              <w:rPr>
                <w:rFonts w:hint="eastAsia"/>
              </w:rPr>
              <w:t>中和众合转运站三粉尘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748462D3">
            <w:pPr>
              <w:pStyle w:val="557"/>
            </w:pPr>
            <w:r>
              <w:rPr>
                <w:rFonts w:hint="eastAsia"/>
              </w:rPr>
              <w:t>95</w:t>
            </w:r>
          </w:p>
        </w:tc>
        <w:tc>
          <w:tcPr>
            <w:tcW w:w="647" w:type="dxa"/>
            <w:tcBorders>
              <w:top w:val="single" w:color="auto" w:sz="4" w:space="0"/>
              <w:left w:val="single" w:color="auto" w:sz="4" w:space="0"/>
              <w:bottom w:val="single" w:color="auto" w:sz="4" w:space="0"/>
              <w:right w:val="single" w:color="auto" w:sz="4" w:space="0"/>
            </w:tcBorders>
            <w:noWrap/>
            <w:vAlign w:val="center"/>
          </w:tcPr>
          <w:p w14:paraId="15D02EF8">
            <w:pPr>
              <w:pStyle w:val="557"/>
            </w:pPr>
            <w:r>
              <w:rPr>
                <w:rFonts w:hint="eastAsia"/>
              </w:rPr>
              <w:t>-1370</w:t>
            </w:r>
          </w:p>
        </w:tc>
        <w:tc>
          <w:tcPr>
            <w:tcW w:w="524" w:type="dxa"/>
            <w:tcBorders>
              <w:top w:val="single" w:color="auto" w:sz="4" w:space="0"/>
              <w:left w:val="single" w:color="auto" w:sz="4" w:space="0"/>
              <w:bottom w:val="single" w:color="auto" w:sz="4" w:space="0"/>
              <w:right w:val="single" w:color="auto" w:sz="4" w:space="0"/>
            </w:tcBorders>
            <w:noWrap/>
            <w:vAlign w:val="center"/>
          </w:tcPr>
          <w:p w14:paraId="6EA68C60">
            <w:pPr>
              <w:pStyle w:val="557"/>
            </w:pPr>
            <w:r>
              <w:rPr>
                <w:rFonts w:hint="eastAsia"/>
              </w:rPr>
              <w:t>20</w:t>
            </w:r>
          </w:p>
        </w:tc>
        <w:tc>
          <w:tcPr>
            <w:tcW w:w="615" w:type="dxa"/>
            <w:tcBorders>
              <w:top w:val="single" w:color="auto" w:sz="4" w:space="0"/>
              <w:left w:val="single" w:color="auto" w:sz="4" w:space="0"/>
              <w:bottom w:val="single" w:color="auto" w:sz="4" w:space="0"/>
              <w:right w:val="single" w:color="auto" w:sz="4" w:space="0"/>
            </w:tcBorders>
            <w:noWrap/>
            <w:vAlign w:val="center"/>
          </w:tcPr>
          <w:p w14:paraId="06642621">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4B177F27">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5F75D9BA">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472E9740">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616D548E">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3A51B16A">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6B100393">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606616F6">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78BBF3F">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5734B298">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1BB461D7">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21A28CE">
            <w:pPr>
              <w:pStyle w:val="557"/>
            </w:pPr>
            <w:r>
              <w:rPr>
                <w:rFonts w:hint="eastAsia"/>
              </w:rPr>
              <w:t>/</w:t>
            </w:r>
          </w:p>
        </w:tc>
      </w:tr>
      <w:tr w14:paraId="7221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3752A89C">
            <w:pPr>
              <w:pStyle w:val="557"/>
            </w:pPr>
            <w:r>
              <w:rPr>
                <w:rFonts w:hint="eastAsia"/>
              </w:rPr>
              <w:t>17</w:t>
            </w:r>
          </w:p>
        </w:tc>
        <w:tc>
          <w:tcPr>
            <w:tcW w:w="1824" w:type="dxa"/>
            <w:tcBorders>
              <w:top w:val="single" w:color="auto" w:sz="4" w:space="0"/>
              <w:left w:val="single" w:color="auto" w:sz="4" w:space="0"/>
              <w:bottom w:val="single" w:color="auto" w:sz="4" w:space="0"/>
              <w:right w:val="single" w:color="auto" w:sz="4" w:space="0"/>
            </w:tcBorders>
            <w:noWrap/>
            <w:vAlign w:val="center"/>
          </w:tcPr>
          <w:p w14:paraId="791B3F10">
            <w:pPr>
              <w:pStyle w:val="557"/>
            </w:pPr>
            <w:r>
              <w:rPr>
                <w:rFonts w:hint="eastAsia"/>
              </w:rPr>
              <w:t>中和众合破碎一粉尘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254F3336">
            <w:pPr>
              <w:pStyle w:val="557"/>
            </w:pPr>
            <w:r>
              <w:rPr>
                <w:rFonts w:hint="eastAsia"/>
              </w:rPr>
              <w:t>52</w:t>
            </w:r>
          </w:p>
        </w:tc>
        <w:tc>
          <w:tcPr>
            <w:tcW w:w="647" w:type="dxa"/>
            <w:tcBorders>
              <w:top w:val="single" w:color="auto" w:sz="4" w:space="0"/>
              <w:left w:val="single" w:color="auto" w:sz="4" w:space="0"/>
              <w:bottom w:val="single" w:color="auto" w:sz="4" w:space="0"/>
              <w:right w:val="single" w:color="auto" w:sz="4" w:space="0"/>
            </w:tcBorders>
            <w:noWrap/>
            <w:vAlign w:val="center"/>
          </w:tcPr>
          <w:p w14:paraId="6A6C75C2">
            <w:pPr>
              <w:pStyle w:val="557"/>
            </w:pPr>
            <w:r>
              <w:rPr>
                <w:rFonts w:hint="eastAsia"/>
              </w:rPr>
              <w:t>-1380</w:t>
            </w:r>
          </w:p>
        </w:tc>
        <w:tc>
          <w:tcPr>
            <w:tcW w:w="524" w:type="dxa"/>
            <w:tcBorders>
              <w:top w:val="single" w:color="auto" w:sz="4" w:space="0"/>
              <w:left w:val="single" w:color="auto" w:sz="4" w:space="0"/>
              <w:bottom w:val="single" w:color="auto" w:sz="4" w:space="0"/>
              <w:right w:val="single" w:color="auto" w:sz="4" w:space="0"/>
            </w:tcBorders>
            <w:noWrap/>
            <w:vAlign w:val="center"/>
          </w:tcPr>
          <w:p w14:paraId="5DEE76D4">
            <w:pPr>
              <w:pStyle w:val="557"/>
            </w:pPr>
            <w:r>
              <w:rPr>
                <w:rFonts w:hint="eastAsia"/>
              </w:rPr>
              <w:t>21</w:t>
            </w:r>
          </w:p>
        </w:tc>
        <w:tc>
          <w:tcPr>
            <w:tcW w:w="615" w:type="dxa"/>
            <w:tcBorders>
              <w:top w:val="single" w:color="auto" w:sz="4" w:space="0"/>
              <w:left w:val="single" w:color="auto" w:sz="4" w:space="0"/>
              <w:bottom w:val="single" w:color="auto" w:sz="4" w:space="0"/>
              <w:right w:val="single" w:color="auto" w:sz="4" w:space="0"/>
            </w:tcBorders>
            <w:noWrap/>
            <w:vAlign w:val="center"/>
          </w:tcPr>
          <w:p w14:paraId="20519DAD">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761AB695">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79DB6FEE">
            <w:pPr>
              <w:pStyle w:val="557"/>
            </w:pPr>
            <w:r>
              <w:rPr>
                <w:rFonts w:hint="eastAsia"/>
              </w:rPr>
              <w:t>4.64（m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7261FCC3">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342AB60F">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6597229B">
            <w:pPr>
              <w:pStyle w:val="557"/>
            </w:pPr>
            <w:r>
              <w:rPr>
                <w:rFonts w:hint="eastAsia"/>
              </w:rPr>
              <w:t>0.06</w:t>
            </w:r>
          </w:p>
        </w:tc>
        <w:tc>
          <w:tcPr>
            <w:tcW w:w="711" w:type="dxa"/>
            <w:tcBorders>
              <w:top w:val="single" w:color="auto" w:sz="4" w:space="0"/>
              <w:left w:val="single" w:color="auto" w:sz="4" w:space="0"/>
              <w:bottom w:val="single" w:color="auto" w:sz="4" w:space="0"/>
              <w:right w:val="single" w:color="auto" w:sz="4" w:space="0"/>
            </w:tcBorders>
            <w:vAlign w:val="center"/>
          </w:tcPr>
          <w:p w14:paraId="7217873F">
            <w:pPr>
              <w:pStyle w:val="557"/>
            </w:pPr>
            <w:r>
              <w:rPr>
                <w:rFonts w:hint="eastAsia"/>
              </w:rPr>
              <w:t>0.03</w:t>
            </w:r>
          </w:p>
        </w:tc>
        <w:tc>
          <w:tcPr>
            <w:tcW w:w="711" w:type="dxa"/>
            <w:tcBorders>
              <w:top w:val="single" w:color="auto" w:sz="4" w:space="0"/>
              <w:left w:val="single" w:color="auto" w:sz="4" w:space="0"/>
              <w:bottom w:val="single" w:color="auto" w:sz="4" w:space="0"/>
              <w:right w:val="single" w:color="auto" w:sz="4" w:space="0"/>
            </w:tcBorders>
            <w:noWrap/>
            <w:vAlign w:val="center"/>
          </w:tcPr>
          <w:p w14:paraId="0BAC6E28">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710AA827">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40E1E624">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3546C43A">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6E2B40B">
            <w:pPr>
              <w:pStyle w:val="557"/>
            </w:pPr>
            <w:r>
              <w:rPr>
                <w:rFonts w:hint="eastAsia"/>
              </w:rPr>
              <w:t>/</w:t>
            </w:r>
          </w:p>
        </w:tc>
      </w:tr>
      <w:tr w14:paraId="34D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1BC37CBF">
            <w:pPr>
              <w:pStyle w:val="557"/>
            </w:pPr>
            <w:r>
              <w:rPr>
                <w:rFonts w:hint="eastAsia"/>
              </w:rPr>
              <w:t>18</w:t>
            </w:r>
          </w:p>
        </w:tc>
        <w:tc>
          <w:tcPr>
            <w:tcW w:w="1824" w:type="dxa"/>
            <w:tcBorders>
              <w:top w:val="single" w:color="auto" w:sz="4" w:space="0"/>
              <w:left w:val="single" w:color="auto" w:sz="4" w:space="0"/>
              <w:bottom w:val="single" w:color="auto" w:sz="4" w:space="0"/>
              <w:right w:val="single" w:color="auto" w:sz="4" w:space="0"/>
            </w:tcBorders>
            <w:noWrap/>
            <w:vAlign w:val="center"/>
          </w:tcPr>
          <w:p w14:paraId="359570B2">
            <w:pPr>
              <w:pStyle w:val="557"/>
            </w:pPr>
            <w:r>
              <w:rPr>
                <w:rFonts w:hint="eastAsia"/>
              </w:rPr>
              <w:t>中和众合破碎二粉尘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4111372D">
            <w:pPr>
              <w:pStyle w:val="557"/>
            </w:pPr>
            <w:r>
              <w:rPr>
                <w:rFonts w:hint="eastAsia"/>
              </w:rPr>
              <w:t>62</w:t>
            </w:r>
          </w:p>
        </w:tc>
        <w:tc>
          <w:tcPr>
            <w:tcW w:w="647" w:type="dxa"/>
            <w:tcBorders>
              <w:top w:val="single" w:color="auto" w:sz="4" w:space="0"/>
              <w:left w:val="single" w:color="auto" w:sz="4" w:space="0"/>
              <w:bottom w:val="single" w:color="auto" w:sz="4" w:space="0"/>
              <w:right w:val="single" w:color="auto" w:sz="4" w:space="0"/>
            </w:tcBorders>
            <w:noWrap/>
            <w:vAlign w:val="center"/>
          </w:tcPr>
          <w:p w14:paraId="4C7EA35F">
            <w:pPr>
              <w:pStyle w:val="557"/>
            </w:pPr>
            <w:r>
              <w:rPr>
                <w:rFonts w:hint="eastAsia"/>
              </w:rPr>
              <w:t>-1395</w:t>
            </w:r>
          </w:p>
        </w:tc>
        <w:tc>
          <w:tcPr>
            <w:tcW w:w="524" w:type="dxa"/>
            <w:tcBorders>
              <w:top w:val="single" w:color="auto" w:sz="4" w:space="0"/>
              <w:left w:val="single" w:color="auto" w:sz="4" w:space="0"/>
              <w:bottom w:val="single" w:color="auto" w:sz="4" w:space="0"/>
              <w:right w:val="single" w:color="auto" w:sz="4" w:space="0"/>
            </w:tcBorders>
            <w:noWrap/>
            <w:vAlign w:val="center"/>
          </w:tcPr>
          <w:p w14:paraId="314E4E2D">
            <w:pPr>
              <w:pStyle w:val="557"/>
            </w:pPr>
            <w:r>
              <w:rPr>
                <w:rFonts w:hint="eastAsia"/>
              </w:rPr>
              <w:t>21</w:t>
            </w:r>
          </w:p>
        </w:tc>
        <w:tc>
          <w:tcPr>
            <w:tcW w:w="615" w:type="dxa"/>
            <w:tcBorders>
              <w:top w:val="single" w:color="auto" w:sz="4" w:space="0"/>
              <w:left w:val="single" w:color="auto" w:sz="4" w:space="0"/>
              <w:bottom w:val="single" w:color="auto" w:sz="4" w:space="0"/>
              <w:right w:val="single" w:color="auto" w:sz="4" w:space="0"/>
            </w:tcBorders>
            <w:noWrap/>
            <w:vAlign w:val="center"/>
          </w:tcPr>
          <w:p w14:paraId="2419E5F2">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10974757">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16988097">
            <w:pPr>
              <w:pStyle w:val="557"/>
            </w:pPr>
            <w:r>
              <w:rPr>
                <w:rFonts w:hint="eastAsia"/>
              </w:rPr>
              <w:t>4.64（m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7389EC3B">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0D38894D">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4CF7F7CF">
            <w:pPr>
              <w:pStyle w:val="557"/>
            </w:pPr>
            <w:r>
              <w:rPr>
                <w:rFonts w:hint="eastAsia"/>
              </w:rPr>
              <w:t>0.06</w:t>
            </w:r>
          </w:p>
        </w:tc>
        <w:tc>
          <w:tcPr>
            <w:tcW w:w="711" w:type="dxa"/>
            <w:tcBorders>
              <w:top w:val="single" w:color="auto" w:sz="4" w:space="0"/>
              <w:left w:val="single" w:color="auto" w:sz="4" w:space="0"/>
              <w:bottom w:val="single" w:color="auto" w:sz="4" w:space="0"/>
              <w:right w:val="single" w:color="auto" w:sz="4" w:space="0"/>
            </w:tcBorders>
            <w:vAlign w:val="center"/>
          </w:tcPr>
          <w:p w14:paraId="5FEA99D0">
            <w:pPr>
              <w:pStyle w:val="557"/>
            </w:pPr>
            <w:r>
              <w:rPr>
                <w:rFonts w:hint="eastAsia"/>
              </w:rPr>
              <w:t>0.03</w:t>
            </w:r>
          </w:p>
        </w:tc>
        <w:tc>
          <w:tcPr>
            <w:tcW w:w="711" w:type="dxa"/>
            <w:tcBorders>
              <w:top w:val="single" w:color="auto" w:sz="4" w:space="0"/>
              <w:left w:val="single" w:color="auto" w:sz="4" w:space="0"/>
              <w:bottom w:val="single" w:color="auto" w:sz="4" w:space="0"/>
              <w:right w:val="single" w:color="auto" w:sz="4" w:space="0"/>
            </w:tcBorders>
            <w:noWrap/>
            <w:vAlign w:val="center"/>
          </w:tcPr>
          <w:p w14:paraId="461BA3B1">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D63A30E">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62731D2F">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753390C1">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56451F8B">
            <w:pPr>
              <w:pStyle w:val="557"/>
            </w:pPr>
            <w:r>
              <w:rPr>
                <w:rFonts w:hint="eastAsia"/>
              </w:rPr>
              <w:t>/</w:t>
            </w:r>
          </w:p>
        </w:tc>
      </w:tr>
      <w:tr w14:paraId="06C3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B8BBF53">
            <w:pPr>
              <w:pStyle w:val="557"/>
            </w:pPr>
            <w:r>
              <w:rPr>
                <w:rFonts w:hint="eastAsia"/>
              </w:rPr>
              <w:t>19</w:t>
            </w:r>
          </w:p>
        </w:tc>
        <w:tc>
          <w:tcPr>
            <w:tcW w:w="1824" w:type="dxa"/>
            <w:tcBorders>
              <w:top w:val="single" w:color="auto" w:sz="4" w:space="0"/>
              <w:left w:val="single" w:color="auto" w:sz="4" w:space="0"/>
              <w:bottom w:val="single" w:color="auto" w:sz="4" w:space="0"/>
              <w:right w:val="single" w:color="auto" w:sz="4" w:space="0"/>
            </w:tcBorders>
            <w:noWrap/>
            <w:vAlign w:val="center"/>
          </w:tcPr>
          <w:p w14:paraId="1B37CD37">
            <w:pPr>
              <w:pStyle w:val="557"/>
            </w:pPr>
            <w:r>
              <w:rPr>
                <w:rFonts w:hint="eastAsia"/>
              </w:rPr>
              <w:t>中和众合锅炉灰仓粉尘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46C86656">
            <w:pPr>
              <w:pStyle w:val="557"/>
            </w:pPr>
            <w:r>
              <w:rPr>
                <w:rFonts w:hint="eastAsia"/>
              </w:rPr>
              <w:t>72</w:t>
            </w:r>
          </w:p>
        </w:tc>
        <w:tc>
          <w:tcPr>
            <w:tcW w:w="647" w:type="dxa"/>
            <w:tcBorders>
              <w:top w:val="single" w:color="auto" w:sz="4" w:space="0"/>
              <w:left w:val="single" w:color="auto" w:sz="4" w:space="0"/>
              <w:bottom w:val="single" w:color="auto" w:sz="4" w:space="0"/>
              <w:right w:val="single" w:color="auto" w:sz="4" w:space="0"/>
            </w:tcBorders>
            <w:noWrap/>
            <w:vAlign w:val="center"/>
          </w:tcPr>
          <w:p w14:paraId="110AC34B">
            <w:pPr>
              <w:pStyle w:val="557"/>
            </w:pPr>
            <w:r>
              <w:rPr>
                <w:rFonts w:hint="eastAsia"/>
              </w:rPr>
              <w:t>-1377</w:t>
            </w:r>
          </w:p>
        </w:tc>
        <w:tc>
          <w:tcPr>
            <w:tcW w:w="524" w:type="dxa"/>
            <w:tcBorders>
              <w:top w:val="single" w:color="auto" w:sz="4" w:space="0"/>
              <w:left w:val="single" w:color="auto" w:sz="4" w:space="0"/>
              <w:bottom w:val="single" w:color="auto" w:sz="4" w:space="0"/>
              <w:right w:val="single" w:color="auto" w:sz="4" w:space="0"/>
            </w:tcBorders>
            <w:noWrap/>
            <w:vAlign w:val="center"/>
          </w:tcPr>
          <w:p w14:paraId="64F2C3C0">
            <w:pPr>
              <w:pStyle w:val="557"/>
            </w:pPr>
            <w:r>
              <w:rPr>
                <w:rFonts w:hint="eastAsia"/>
              </w:rPr>
              <w:t>30</w:t>
            </w:r>
          </w:p>
        </w:tc>
        <w:tc>
          <w:tcPr>
            <w:tcW w:w="615" w:type="dxa"/>
            <w:tcBorders>
              <w:top w:val="single" w:color="auto" w:sz="4" w:space="0"/>
              <w:left w:val="single" w:color="auto" w:sz="4" w:space="0"/>
              <w:bottom w:val="single" w:color="auto" w:sz="4" w:space="0"/>
              <w:right w:val="single" w:color="auto" w:sz="4" w:space="0"/>
            </w:tcBorders>
            <w:noWrap/>
            <w:vAlign w:val="center"/>
          </w:tcPr>
          <w:p w14:paraId="504C7CBC">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215A05ED">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15A20F78">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0538352E">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585CDD3B">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DA0111F">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00BDD9A9">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0E53E491">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3743CAF">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5D48D8C8">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4EB152A9">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03BD0DB7">
            <w:pPr>
              <w:pStyle w:val="557"/>
            </w:pPr>
            <w:r>
              <w:rPr>
                <w:rFonts w:hint="eastAsia"/>
              </w:rPr>
              <w:t>/</w:t>
            </w:r>
          </w:p>
        </w:tc>
      </w:tr>
      <w:tr w14:paraId="09EE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24020E2F">
            <w:pPr>
              <w:pStyle w:val="557"/>
            </w:pPr>
            <w:r>
              <w:rPr>
                <w:rFonts w:hint="eastAsia"/>
              </w:rPr>
              <w:t>20</w:t>
            </w:r>
          </w:p>
        </w:tc>
        <w:tc>
          <w:tcPr>
            <w:tcW w:w="1824" w:type="dxa"/>
            <w:tcBorders>
              <w:top w:val="single" w:color="auto" w:sz="4" w:space="0"/>
              <w:left w:val="single" w:color="auto" w:sz="4" w:space="0"/>
              <w:bottom w:val="single" w:color="auto" w:sz="4" w:space="0"/>
              <w:right w:val="single" w:color="auto" w:sz="4" w:space="0"/>
            </w:tcBorders>
            <w:noWrap/>
            <w:vAlign w:val="center"/>
          </w:tcPr>
          <w:p w14:paraId="7DE6EC99">
            <w:pPr>
              <w:pStyle w:val="557"/>
            </w:pPr>
            <w:r>
              <w:rPr>
                <w:rFonts w:hint="eastAsia"/>
              </w:rPr>
              <w:t>中和众合锅炉灰仓粉尘</w:t>
            </w:r>
          </w:p>
        </w:tc>
        <w:tc>
          <w:tcPr>
            <w:tcW w:w="576" w:type="dxa"/>
            <w:tcBorders>
              <w:top w:val="single" w:color="auto" w:sz="4" w:space="0"/>
              <w:left w:val="single" w:color="auto" w:sz="4" w:space="0"/>
              <w:bottom w:val="single" w:color="auto" w:sz="4" w:space="0"/>
              <w:right w:val="single" w:color="auto" w:sz="4" w:space="0"/>
            </w:tcBorders>
            <w:noWrap/>
            <w:vAlign w:val="center"/>
          </w:tcPr>
          <w:p w14:paraId="1F0FAD62">
            <w:pPr>
              <w:pStyle w:val="557"/>
            </w:pPr>
            <w:r>
              <w:rPr>
                <w:rFonts w:hint="eastAsia"/>
              </w:rPr>
              <w:t>75</w:t>
            </w:r>
          </w:p>
        </w:tc>
        <w:tc>
          <w:tcPr>
            <w:tcW w:w="647" w:type="dxa"/>
            <w:tcBorders>
              <w:top w:val="single" w:color="auto" w:sz="4" w:space="0"/>
              <w:left w:val="single" w:color="auto" w:sz="4" w:space="0"/>
              <w:bottom w:val="single" w:color="auto" w:sz="4" w:space="0"/>
              <w:right w:val="single" w:color="auto" w:sz="4" w:space="0"/>
            </w:tcBorders>
            <w:noWrap/>
            <w:vAlign w:val="center"/>
          </w:tcPr>
          <w:p w14:paraId="377B4F8F">
            <w:pPr>
              <w:pStyle w:val="557"/>
            </w:pPr>
            <w:r>
              <w:rPr>
                <w:rFonts w:hint="eastAsia"/>
              </w:rPr>
              <w:t>-1380</w:t>
            </w:r>
          </w:p>
        </w:tc>
        <w:tc>
          <w:tcPr>
            <w:tcW w:w="524" w:type="dxa"/>
            <w:tcBorders>
              <w:top w:val="single" w:color="auto" w:sz="4" w:space="0"/>
              <w:left w:val="single" w:color="auto" w:sz="4" w:space="0"/>
              <w:bottom w:val="single" w:color="auto" w:sz="4" w:space="0"/>
              <w:right w:val="single" w:color="auto" w:sz="4" w:space="0"/>
            </w:tcBorders>
            <w:noWrap/>
            <w:vAlign w:val="center"/>
          </w:tcPr>
          <w:p w14:paraId="10A7FB51">
            <w:pPr>
              <w:pStyle w:val="557"/>
            </w:pPr>
            <w:r>
              <w:rPr>
                <w:rFonts w:hint="eastAsia"/>
              </w:rPr>
              <w:t>30</w:t>
            </w:r>
          </w:p>
        </w:tc>
        <w:tc>
          <w:tcPr>
            <w:tcW w:w="615" w:type="dxa"/>
            <w:tcBorders>
              <w:top w:val="single" w:color="auto" w:sz="4" w:space="0"/>
              <w:left w:val="single" w:color="auto" w:sz="4" w:space="0"/>
              <w:bottom w:val="single" w:color="auto" w:sz="4" w:space="0"/>
              <w:right w:val="single" w:color="auto" w:sz="4" w:space="0"/>
            </w:tcBorders>
            <w:noWrap/>
            <w:vAlign w:val="center"/>
          </w:tcPr>
          <w:p w14:paraId="17610827">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00827CB7">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28F722F7">
            <w:pPr>
              <w:pStyle w:val="557"/>
            </w:pPr>
            <w:r>
              <w:rPr>
                <w:rFonts w:hint="eastAsia"/>
              </w:rPr>
              <w:t>3.09（m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2C053733">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5F2359DC">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6A3B2333">
            <w:pPr>
              <w:pStyle w:val="557"/>
            </w:pPr>
            <w:r>
              <w:rPr>
                <w:rFonts w:hint="eastAsia"/>
              </w:rPr>
              <w:t>0.04</w:t>
            </w:r>
          </w:p>
        </w:tc>
        <w:tc>
          <w:tcPr>
            <w:tcW w:w="711" w:type="dxa"/>
            <w:tcBorders>
              <w:top w:val="single" w:color="auto" w:sz="4" w:space="0"/>
              <w:left w:val="single" w:color="auto" w:sz="4" w:space="0"/>
              <w:bottom w:val="single" w:color="auto" w:sz="4" w:space="0"/>
              <w:right w:val="single" w:color="auto" w:sz="4" w:space="0"/>
            </w:tcBorders>
            <w:vAlign w:val="center"/>
          </w:tcPr>
          <w:p w14:paraId="79C24E9D">
            <w:pPr>
              <w:pStyle w:val="557"/>
            </w:pPr>
            <w:r>
              <w:rPr>
                <w:rFonts w:hint="eastAsia"/>
              </w:rPr>
              <w:t>0.02</w:t>
            </w:r>
          </w:p>
        </w:tc>
        <w:tc>
          <w:tcPr>
            <w:tcW w:w="711" w:type="dxa"/>
            <w:tcBorders>
              <w:top w:val="single" w:color="auto" w:sz="4" w:space="0"/>
              <w:left w:val="single" w:color="auto" w:sz="4" w:space="0"/>
              <w:bottom w:val="single" w:color="auto" w:sz="4" w:space="0"/>
              <w:right w:val="single" w:color="auto" w:sz="4" w:space="0"/>
            </w:tcBorders>
            <w:noWrap/>
            <w:vAlign w:val="center"/>
          </w:tcPr>
          <w:p w14:paraId="2E4EDD3D">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28A3EE9">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2C9C2AA4">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7E1C9FAE">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2B26C8B4">
            <w:pPr>
              <w:pStyle w:val="557"/>
            </w:pPr>
            <w:r>
              <w:rPr>
                <w:rFonts w:hint="eastAsia"/>
              </w:rPr>
              <w:t>/</w:t>
            </w:r>
          </w:p>
        </w:tc>
      </w:tr>
      <w:tr w14:paraId="0B17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1A5F761D">
            <w:pPr>
              <w:pStyle w:val="557"/>
            </w:pPr>
            <w:r>
              <w:rPr>
                <w:rFonts w:hint="eastAsia"/>
              </w:rPr>
              <w:t>21</w:t>
            </w:r>
          </w:p>
        </w:tc>
        <w:tc>
          <w:tcPr>
            <w:tcW w:w="1824" w:type="dxa"/>
            <w:tcBorders>
              <w:top w:val="single" w:color="auto" w:sz="4" w:space="0"/>
              <w:left w:val="single" w:color="auto" w:sz="4" w:space="0"/>
              <w:bottom w:val="single" w:color="auto" w:sz="4" w:space="0"/>
              <w:right w:val="single" w:color="auto" w:sz="4" w:space="0"/>
            </w:tcBorders>
            <w:noWrap/>
            <w:vAlign w:val="center"/>
          </w:tcPr>
          <w:p w14:paraId="5B42E690">
            <w:pPr>
              <w:pStyle w:val="557"/>
            </w:pPr>
            <w:r>
              <w:rPr>
                <w:rFonts w:hint="eastAsia"/>
              </w:rPr>
              <w:t>中和众合燃煤锅炉净化烟气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30940CB6">
            <w:pPr>
              <w:pStyle w:val="557"/>
            </w:pPr>
            <w:r>
              <w:rPr>
                <w:rFonts w:hint="eastAsia"/>
              </w:rPr>
              <w:t>90</w:t>
            </w:r>
          </w:p>
        </w:tc>
        <w:tc>
          <w:tcPr>
            <w:tcW w:w="647" w:type="dxa"/>
            <w:tcBorders>
              <w:top w:val="single" w:color="auto" w:sz="4" w:space="0"/>
              <w:left w:val="single" w:color="auto" w:sz="4" w:space="0"/>
              <w:bottom w:val="single" w:color="auto" w:sz="4" w:space="0"/>
              <w:right w:val="single" w:color="auto" w:sz="4" w:space="0"/>
            </w:tcBorders>
            <w:noWrap/>
            <w:vAlign w:val="center"/>
          </w:tcPr>
          <w:p w14:paraId="3AB87942">
            <w:pPr>
              <w:pStyle w:val="557"/>
            </w:pPr>
            <w:r>
              <w:rPr>
                <w:rFonts w:hint="eastAsia"/>
              </w:rPr>
              <w:t>-1395</w:t>
            </w:r>
          </w:p>
        </w:tc>
        <w:tc>
          <w:tcPr>
            <w:tcW w:w="524" w:type="dxa"/>
            <w:tcBorders>
              <w:top w:val="single" w:color="auto" w:sz="4" w:space="0"/>
              <w:left w:val="single" w:color="auto" w:sz="4" w:space="0"/>
              <w:bottom w:val="single" w:color="auto" w:sz="4" w:space="0"/>
              <w:right w:val="single" w:color="auto" w:sz="4" w:space="0"/>
            </w:tcBorders>
            <w:noWrap/>
            <w:vAlign w:val="center"/>
          </w:tcPr>
          <w:p w14:paraId="5210BC55">
            <w:pPr>
              <w:pStyle w:val="557"/>
            </w:pPr>
            <w:r>
              <w:rPr>
                <w:rFonts w:hint="eastAsia"/>
              </w:rPr>
              <w:t>80</w:t>
            </w:r>
          </w:p>
        </w:tc>
        <w:tc>
          <w:tcPr>
            <w:tcW w:w="615" w:type="dxa"/>
            <w:tcBorders>
              <w:top w:val="single" w:color="auto" w:sz="4" w:space="0"/>
              <w:left w:val="single" w:color="auto" w:sz="4" w:space="0"/>
              <w:bottom w:val="single" w:color="auto" w:sz="4" w:space="0"/>
              <w:right w:val="single" w:color="auto" w:sz="4" w:space="0"/>
            </w:tcBorders>
            <w:noWrap/>
            <w:vAlign w:val="center"/>
          </w:tcPr>
          <w:p w14:paraId="6715DD2C">
            <w:pPr>
              <w:pStyle w:val="557"/>
            </w:pPr>
            <w:r>
              <w:rPr>
                <w:rFonts w:hint="eastAsia"/>
              </w:rPr>
              <w:t>2.2</w:t>
            </w:r>
          </w:p>
        </w:tc>
        <w:tc>
          <w:tcPr>
            <w:tcW w:w="708" w:type="dxa"/>
            <w:tcBorders>
              <w:top w:val="single" w:color="auto" w:sz="4" w:space="0"/>
              <w:left w:val="single" w:color="auto" w:sz="4" w:space="0"/>
              <w:bottom w:val="single" w:color="auto" w:sz="4" w:space="0"/>
              <w:right w:val="single" w:color="auto" w:sz="4" w:space="0"/>
            </w:tcBorders>
            <w:noWrap/>
            <w:vAlign w:val="center"/>
          </w:tcPr>
          <w:p w14:paraId="4CD2C816">
            <w:pPr>
              <w:pStyle w:val="557"/>
            </w:pPr>
            <w:r>
              <w:rPr>
                <w:rFonts w:hint="eastAsia"/>
              </w:rPr>
              <w:t>50</w:t>
            </w:r>
          </w:p>
        </w:tc>
        <w:tc>
          <w:tcPr>
            <w:tcW w:w="897" w:type="dxa"/>
            <w:tcBorders>
              <w:top w:val="single" w:color="auto" w:sz="4" w:space="0"/>
              <w:left w:val="single" w:color="auto" w:sz="4" w:space="0"/>
              <w:bottom w:val="single" w:color="auto" w:sz="4" w:space="0"/>
              <w:right w:val="single" w:color="auto" w:sz="4" w:space="0"/>
            </w:tcBorders>
            <w:noWrap/>
            <w:vAlign w:val="center"/>
          </w:tcPr>
          <w:p w14:paraId="4D52CB6F">
            <w:pPr>
              <w:pStyle w:val="557"/>
            </w:pPr>
            <w:r>
              <w:rPr>
                <w:rFonts w:hint="eastAsia"/>
              </w:rPr>
              <w:t>9.56（m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7C533A30">
            <w:pPr>
              <w:pStyle w:val="557"/>
            </w:pPr>
            <w:r>
              <w:rPr>
                <w:rFonts w:hint="eastAsia"/>
              </w:rPr>
              <w:t>3.431</w:t>
            </w:r>
          </w:p>
        </w:tc>
        <w:tc>
          <w:tcPr>
            <w:tcW w:w="899" w:type="dxa"/>
            <w:tcBorders>
              <w:top w:val="single" w:color="auto" w:sz="4" w:space="0"/>
              <w:left w:val="single" w:color="auto" w:sz="4" w:space="0"/>
              <w:bottom w:val="single" w:color="auto" w:sz="4" w:space="0"/>
              <w:right w:val="single" w:color="auto" w:sz="4" w:space="0"/>
            </w:tcBorders>
            <w:noWrap/>
            <w:vAlign w:val="center"/>
          </w:tcPr>
          <w:p w14:paraId="1FEC2D9D">
            <w:pPr>
              <w:pStyle w:val="557"/>
            </w:pPr>
            <w:r>
              <w:rPr>
                <w:rFonts w:hint="eastAsia"/>
              </w:rPr>
              <w:t>4.9725</w:t>
            </w:r>
          </w:p>
        </w:tc>
        <w:tc>
          <w:tcPr>
            <w:tcW w:w="689" w:type="dxa"/>
            <w:tcBorders>
              <w:top w:val="single" w:color="auto" w:sz="4" w:space="0"/>
              <w:left w:val="single" w:color="auto" w:sz="4" w:space="0"/>
              <w:bottom w:val="single" w:color="auto" w:sz="4" w:space="0"/>
              <w:right w:val="single" w:color="auto" w:sz="4" w:space="0"/>
            </w:tcBorders>
            <w:noWrap/>
            <w:vAlign w:val="center"/>
          </w:tcPr>
          <w:p w14:paraId="429EA259">
            <w:pPr>
              <w:pStyle w:val="557"/>
            </w:pPr>
            <w:r>
              <w:rPr>
                <w:rFonts w:hint="eastAsia"/>
              </w:rPr>
              <w:t>0.979</w:t>
            </w:r>
          </w:p>
        </w:tc>
        <w:tc>
          <w:tcPr>
            <w:tcW w:w="711" w:type="dxa"/>
            <w:tcBorders>
              <w:top w:val="single" w:color="auto" w:sz="4" w:space="0"/>
              <w:left w:val="single" w:color="auto" w:sz="4" w:space="0"/>
              <w:bottom w:val="single" w:color="auto" w:sz="4" w:space="0"/>
              <w:right w:val="single" w:color="auto" w:sz="4" w:space="0"/>
            </w:tcBorders>
            <w:vAlign w:val="center"/>
          </w:tcPr>
          <w:p w14:paraId="5AC700A7">
            <w:pPr>
              <w:pStyle w:val="557"/>
            </w:pPr>
            <w:r>
              <w:rPr>
                <w:rFonts w:hint="eastAsia"/>
              </w:rPr>
              <w:t>0.4895</w:t>
            </w:r>
          </w:p>
        </w:tc>
        <w:tc>
          <w:tcPr>
            <w:tcW w:w="711" w:type="dxa"/>
            <w:tcBorders>
              <w:top w:val="single" w:color="auto" w:sz="4" w:space="0"/>
              <w:left w:val="single" w:color="auto" w:sz="4" w:space="0"/>
              <w:bottom w:val="single" w:color="auto" w:sz="4" w:space="0"/>
              <w:right w:val="single" w:color="auto" w:sz="4" w:space="0"/>
            </w:tcBorders>
            <w:noWrap/>
            <w:vAlign w:val="center"/>
          </w:tcPr>
          <w:p w14:paraId="1F70FC15">
            <w:pPr>
              <w:pStyle w:val="557"/>
            </w:pPr>
            <w:r>
              <w:rPr>
                <w:rFonts w:hint="eastAsia"/>
              </w:rPr>
              <w:t>0.331</w:t>
            </w:r>
          </w:p>
        </w:tc>
        <w:tc>
          <w:tcPr>
            <w:tcW w:w="711" w:type="dxa"/>
            <w:tcBorders>
              <w:top w:val="single" w:color="auto" w:sz="4" w:space="0"/>
              <w:left w:val="single" w:color="auto" w:sz="4" w:space="0"/>
              <w:bottom w:val="single" w:color="auto" w:sz="4" w:space="0"/>
              <w:right w:val="single" w:color="auto" w:sz="4" w:space="0"/>
            </w:tcBorders>
            <w:noWrap/>
            <w:vAlign w:val="center"/>
          </w:tcPr>
          <w:p w14:paraId="4C837D4E">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6B6B04B5">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03A078C3">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3E457E9F">
            <w:pPr>
              <w:pStyle w:val="557"/>
            </w:pPr>
            <w:r>
              <w:rPr>
                <w:rFonts w:hint="eastAsia"/>
              </w:rPr>
              <w:t>/</w:t>
            </w:r>
          </w:p>
        </w:tc>
      </w:tr>
      <w:tr w14:paraId="7A55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1DA0CDC9">
            <w:pPr>
              <w:pStyle w:val="557"/>
            </w:pPr>
            <w:r>
              <w:rPr>
                <w:rFonts w:hint="eastAsia"/>
              </w:rPr>
              <w:t>22</w:t>
            </w:r>
          </w:p>
        </w:tc>
        <w:tc>
          <w:tcPr>
            <w:tcW w:w="1824" w:type="dxa"/>
            <w:tcBorders>
              <w:top w:val="single" w:color="auto" w:sz="4" w:space="0"/>
              <w:left w:val="single" w:color="auto" w:sz="4" w:space="0"/>
              <w:bottom w:val="single" w:color="auto" w:sz="4" w:space="0"/>
              <w:right w:val="single" w:color="auto" w:sz="4" w:space="0"/>
            </w:tcBorders>
            <w:noWrap/>
            <w:vAlign w:val="center"/>
          </w:tcPr>
          <w:p w14:paraId="3D0349C6">
            <w:pPr>
              <w:pStyle w:val="557"/>
            </w:pPr>
            <w:r>
              <w:rPr>
                <w:rFonts w:hint="eastAsia"/>
              </w:rPr>
              <w:t>中和众合燃料气烧炉烟气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4231FBC9">
            <w:pPr>
              <w:pStyle w:val="557"/>
            </w:pPr>
            <w:r>
              <w:rPr>
                <w:rFonts w:hint="eastAsia"/>
              </w:rPr>
              <w:t>95</w:t>
            </w:r>
          </w:p>
        </w:tc>
        <w:tc>
          <w:tcPr>
            <w:tcW w:w="647" w:type="dxa"/>
            <w:tcBorders>
              <w:top w:val="single" w:color="auto" w:sz="4" w:space="0"/>
              <w:left w:val="single" w:color="auto" w:sz="4" w:space="0"/>
              <w:bottom w:val="single" w:color="auto" w:sz="4" w:space="0"/>
              <w:right w:val="single" w:color="auto" w:sz="4" w:space="0"/>
            </w:tcBorders>
            <w:noWrap/>
            <w:vAlign w:val="center"/>
          </w:tcPr>
          <w:p w14:paraId="1295131B">
            <w:pPr>
              <w:pStyle w:val="557"/>
            </w:pPr>
            <w:r>
              <w:rPr>
                <w:rFonts w:hint="eastAsia"/>
              </w:rPr>
              <w:t>-1375</w:t>
            </w:r>
          </w:p>
        </w:tc>
        <w:tc>
          <w:tcPr>
            <w:tcW w:w="524" w:type="dxa"/>
            <w:tcBorders>
              <w:top w:val="single" w:color="auto" w:sz="4" w:space="0"/>
              <w:left w:val="single" w:color="auto" w:sz="4" w:space="0"/>
              <w:bottom w:val="single" w:color="auto" w:sz="4" w:space="0"/>
              <w:right w:val="single" w:color="auto" w:sz="4" w:space="0"/>
            </w:tcBorders>
            <w:noWrap/>
            <w:vAlign w:val="center"/>
          </w:tcPr>
          <w:p w14:paraId="7C0AB86A">
            <w:pPr>
              <w:pStyle w:val="557"/>
            </w:pPr>
            <w:r>
              <w:rPr>
                <w:rFonts w:hint="eastAsia"/>
              </w:rPr>
              <w:t>50</w:t>
            </w:r>
          </w:p>
        </w:tc>
        <w:tc>
          <w:tcPr>
            <w:tcW w:w="615" w:type="dxa"/>
            <w:tcBorders>
              <w:top w:val="single" w:color="auto" w:sz="4" w:space="0"/>
              <w:left w:val="single" w:color="auto" w:sz="4" w:space="0"/>
              <w:bottom w:val="single" w:color="auto" w:sz="4" w:space="0"/>
              <w:right w:val="single" w:color="auto" w:sz="4" w:space="0"/>
            </w:tcBorders>
            <w:noWrap/>
            <w:vAlign w:val="center"/>
          </w:tcPr>
          <w:p w14:paraId="4251B0E5">
            <w:pPr>
              <w:pStyle w:val="557"/>
            </w:pPr>
            <w:r>
              <w:rPr>
                <w:rFonts w:hint="eastAsia"/>
              </w:rPr>
              <w:t>3</w:t>
            </w:r>
          </w:p>
        </w:tc>
        <w:tc>
          <w:tcPr>
            <w:tcW w:w="708" w:type="dxa"/>
            <w:tcBorders>
              <w:top w:val="single" w:color="auto" w:sz="4" w:space="0"/>
              <w:left w:val="single" w:color="auto" w:sz="4" w:space="0"/>
              <w:bottom w:val="single" w:color="auto" w:sz="4" w:space="0"/>
              <w:right w:val="single" w:color="auto" w:sz="4" w:space="0"/>
            </w:tcBorders>
            <w:noWrap/>
            <w:vAlign w:val="center"/>
          </w:tcPr>
          <w:p w14:paraId="52FC1ABB">
            <w:pPr>
              <w:pStyle w:val="557"/>
            </w:pPr>
            <w:r>
              <w:rPr>
                <w:rFonts w:hint="eastAsia"/>
              </w:rPr>
              <w:t>130</w:t>
            </w:r>
          </w:p>
        </w:tc>
        <w:tc>
          <w:tcPr>
            <w:tcW w:w="897" w:type="dxa"/>
            <w:tcBorders>
              <w:top w:val="single" w:color="auto" w:sz="4" w:space="0"/>
              <w:left w:val="single" w:color="auto" w:sz="4" w:space="0"/>
              <w:bottom w:val="single" w:color="auto" w:sz="4" w:space="0"/>
              <w:right w:val="single" w:color="auto" w:sz="4" w:space="0"/>
            </w:tcBorders>
            <w:noWrap/>
            <w:vAlign w:val="center"/>
          </w:tcPr>
          <w:p w14:paraId="2C9A5419">
            <w:pPr>
              <w:pStyle w:val="557"/>
            </w:pPr>
            <w:r>
              <w:rPr>
                <w:rFonts w:hint="eastAsia"/>
              </w:rPr>
              <w:t>17.18（m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37990698">
            <w:pPr>
              <w:pStyle w:val="557"/>
            </w:pPr>
            <w:r>
              <w:rPr>
                <w:rFonts w:hint="eastAsia"/>
              </w:rPr>
              <w:t>7.307</w:t>
            </w:r>
          </w:p>
        </w:tc>
        <w:tc>
          <w:tcPr>
            <w:tcW w:w="899" w:type="dxa"/>
            <w:tcBorders>
              <w:top w:val="single" w:color="auto" w:sz="4" w:space="0"/>
              <w:left w:val="single" w:color="auto" w:sz="4" w:space="0"/>
              <w:bottom w:val="single" w:color="auto" w:sz="4" w:space="0"/>
              <w:right w:val="single" w:color="auto" w:sz="4" w:space="0"/>
            </w:tcBorders>
            <w:noWrap/>
            <w:vAlign w:val="center"/>
          </w:tcPr>
          <w:p w14:paraId="049EC1F3">
            <w:pPr>
              <w:pStyle w:val="557"/>
            </w:pPr>
            <w:r>
              <w:rPr>
                <w:rFonts w:hint="eastAsia"/>
              </w:rPr>
              <w:t>26.6445</w:t>
            </w:r>
          </w:p>
        </w:tc>
        <w:tc>
          <w:tcPr>
            <w:tcW w:w="689" w:type="dxa"/>
            <w:tcBorders>
              <w:top w:val="single" w:color="auto" w:sz="4" w:space="0"/>
              <w:left w:val="single" w:color="auto" w:sz="4" w:space="0"/>
              <w:bottom w:val="single" w:color="auto" w:sz="4" w:space="0"/>
              <w:right w:val="single" w:color="auto" w:sz="4" w:space="0"/>
            </w:tcBorders>
            <w:noWrap/>
            <w:vAlign w:val="center"/>
          </w:tcPr>
          <w:p w14:paraId="59833AC0">
            <w:pPr>
              <w:pStyle w:val="557"/>
            </w:pPr>
            <w:r>
              <w:rPr>
                <w:rFonts w:hint="eastAsia"/>
              </w:rPr>
              <w:t>1.48</w:t>
            </w:r>
          </w:p>
        </w:tc>
        <w:tc>
          <w:tcPr>
            <w:tcW w:w="711" w:type="dxa"/>
            <w:tcBorders>
              <w:top w:val="single" w:color="auto" w:sz="4" w:space="0"/>
              <w:left w:val="single" w:color="auto" w:sz="4" w:space="0"/>
              <w:bottom w:val="single" w:color="auto" w:sz="4" w:space="0"/>
              <w:right w:val="single" w:color="auto" w:sz="4" w:space="0"/>
            </w:tcBorders>
            <w:vAlign w:val="center"/>
          </w:tcPr>
          <w:p w14:paraId="1A71CFCA">
            <w:pPr>
              <w:pStyle w:val="557"/>
            </w:pPr>
            <w:r>
              <w:rPr>
                <w:rFonts w:hint="eastAsia"/>
              </w:rPr>
              <w:t>0.74</w:t>
            </w:r>
          </w:p>
        </w:tc>
        <w:tc>
          <w:tcPr>
            <w:tcW w:w="711" w:type="dxa"/>
            <w:tcBorders>
              <w:top w:val="single" w:color="auto" w:sz="4" w:space="0"/>
              <w:left w:val="single" w:color="auto" w:sz="4" w:space="0"/>
              <w:bottom w:val="single" w:color="auto" w:sz="4" w:space="0"/>
              <w:right w:val="single" w:color="auto" w:sz="4" w:space="0"/>
            </w:tcBorders>
            <w:noWrap/>
            <w:vAlign w:val="center"/>
          </w:tcPr>
          <w:p w14:paraId="1B3D2B69">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14B7295F">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51BAED43">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0B2D15AF">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5BA59518">
            <w:pPr>
              <w:pStyle w:val="557"/>
            </w:pPr>
            <w:r>
              <w:rPr>
                <w:rFonts w:hint="eastAsia"/>
              </w:rPr>
              <w:t>/</w:t>
            </w:r>
          </w:p>
        </w:tc>
      </w:tr>
      <w:tr w14:paraId="0111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3F3E8FCE">
            <w:pPr>
              <w:pStyle w:val="557"/>
            </w:pPr>
            <w:r>
              <w:rPr>
                <w:rFonts w:hint="eastAsia"/>
              </w:rPr>
              <w:t>23</w:t>
            </w:r>
          </w:p>
        </w:tc>
        <w:tc>
          <w:tcPr>
            <w:tcW w:w="1824" w:type="dxa"/>
            <w:tcBorders>
              <w:top w:val="single" w:color="auto" w:sz="4" w:space="0"/>
              <w:left w:val="single" w:color="auto" w:sz="4" w:space="0"/>
              <w:bottom w:val="single" w:color="auto" w:sz="4" w:space="0"/>
              <w:right w:val="single" w:color="auto" w:sz="4" w:space="0"/>
            </w:tcBorders>
            <w:noWrap/>
            <w:vAlign w:val="center"/>
          </w:tcPr>
          <w:p w14:paraId="5E1F9CFD">
            <w:pPr>
              <w:pStyle w:val="557"/>
            </w:pPr>
            <w:r>
              <w:rPr>
                <w:rFonts w:hint="eastAsia"/>
              </w:rPr>
              <w:t>中和众合污水处理场催化氧废气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7DD676DD">
            <w:pPr>
              <w:pStyle w:val="557"/>
            </w:pPr>
            <w:r>
              <w:rPr>
                <w:rFonts w:hint="eastAsia"/>
              </w:rPr>
              <w:t>40</w:t>
            </w:r>
          </w:p>
        </w:tc>
        <w:tc>
          <w:tcPr>
            <w:tcW w:w="647" w:type="dxa"/>
            <w:tcBorders>
              <w:top w:val="single" w:color="auto" w:sz="4" w:space="0"/>
              <w:left w:val="single" w:color="auto" w:sz="4" w:space="0"/>
              <w:bottom w:val="single" w:color="auto" w:sz="4" w:space="0"/>
              <w:right w:val="single" w:color="auto" w:sz="4" w:space="0"/>
            </w:tcBorders>
            <w:noWrap/>
            <w:vAlign w:val="center"/>
          </w:tcPr>
          <w:p w14:paraId="279AFE23">
            <w:pPr>
              <w:pStyle w:val="557"/>
            </w:pPr>
            <w:r>
              <w:rPr>
                <w:rFonts w:hint="eastAsia"/>
              </w:rPr>
              <w:t>-1342</w:t>
            </w:r>
          </w:p>
        </w:tc>
        <w:tc>
          <w:tcPr>
            <w:tcW w:w="524" w:type="dxa"/>
            <w:tcBorders>
              <w:top w:val="single" w:color="auto" w:sz="4" w:space="0"/>
              <w:left w:val="single" w:color="auto" w:sz="4" w:space="0"/>
              <w:bottom w:val="single" w:color="auto" w:sz="4" w:space="0"/>
              <w:right w:val="single" w:color="auto" w:sz="4" w:space="0"/>
            </w:tcBorders>
            <w:noWrap/>
            <w:vAlign w:val="center"/>
          </w:tcPr>
          <w:p w14:paraId="00145651">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27400D7C">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5F522065">
            <w:pPr>
              <w:pStyle w:val="557"/>
            </w:pPr>
            <w:r>
              <w:rPr>
                <w:rFonts w:hint="eastAsia"/>
              </w:rPr>
              <w:t>25</w:t>
            </w:r>
          </w:p>
        </w:tc>
        <w:tc>
          <w:tcPr>
            <w:tcW w:w="897" w:type="dxa"/>
            <w:tcBorders>
              <w:top w:val="single" w:color="auto" w:sz="4" w:space="0"/>
              <w:left w:val="single" w:color="auto" w:sz="4" w:space="0"/>
              <w:bottom w:val="single" w:color="auto" w:sz="4" w:space="0"/>
              <w:right w:val="single" w:color="auto" w:sz="4" w:space="0"/>
            </w:tcBorders>
            <w:noWrap/>
            <w:vAlign w:val="center"/>
          </w:tcPr>
          <w:p w14:paraId="6CB19BB4">
            <w:pPr>
              <w:pStyle w:val="557"/>
            </w:pPr>
            <w:r>
              <w:rPr>
                <w:rFonts w:hint="eastAsia"/>
              </w:rPr>
              <w:t>1.58（m</w:t>
            </w:r>
            <w:r>
              <w:rPr>
                <w:rFonts w:hint="eastAsia"/>
                <w:vertAlign w:val="superscript"/>
              </w:rPr>
              <w:t>3</w:t>
            </w:r>
            <w:r>
              <w:rPr>
                <w:rFonts w:hint="eastAsia"/>
              </w:rPr>
              <w:t>/s）</w:t>
            </w:r>
          </w:p>
        </w:tc>
        <w:tc>
          <w:tcPr>
            <w:tcW w:w="795" w:type="dxa"/>
            <w:tcBorders>
              <w:top w:val="single" w:color="auto" w:sz="4" w:space="0"/>
              <w:left w:val="single" w:color="auto" w:sz="4" w:space="0"/>
              <w:bottom w:val="single" w:color="auto" w:sz="4" w:space="0"/>
              <w:right w:val="single" w:color="auto" w:sz="4" w:space="0"/>
            </w:tcBorders>
            <w:noWrap/>
            <w:vAlign w:val="center"/>
          </w:tcPr>
          <w:p w14:paraId="74AF407F">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024A4EF0">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7C2F7F8">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vAlign w:val="center"/>
          </w:tcPr>
          <w:p w14:paraId="0DAFDA70">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E5BB01D">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0E800F92">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61E20F02">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386697B1">
            <w:pPr>
              <w:pStyle w:val="557"/>
            </w:pPr>
            <w:r>
              <w:rPr>
                <w:rFonts w:hint="eastAsia"/>
              </w:rPr>
              <w:t>0.071</w:t>
            </w:r>
          </w:p>
        </w:tc>
        <w:tc>
          <w:tcPr>
            <w:tcW w:w="710" w:type="dxa"/>
            <w:tcBorders>
              <w:top w:val="single" w:color="auto" w:sz="4" w:space="0"/>
              <w:left w:val="single" w:color="auto" w:sz="4" w:space="0"/>
              <w:bottom w:val="single" w:color="auto" w:sz="4" w:space="0"/>
              <w:right w:val="single" w:color="auto" w:sz="4" w:space="0"/>
            </w:tcBorders>
            <w:noWrap/>
            <w:vAlign w:val="center"/>
          </w:tcPr>
          <w:p w14:paraId="52D64494">
            <w:pPr>
              <w:pStyle w:val="557"/>
            </w:pPr>
            <w:r>
              <w:rPr>
                <w:rFonts w:hint="eastAsia"/>
              </w:rPr>
              <w:t>/</w:t>
            </w:r>
          </w:p>
        </w:tc>
      </w:tr>
      <w:tr w14:paraId="1B0E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2436AE5D">
            <w:pPr>
              <w:pStyle w:val="557"/>
            </w:pPr>
            <w:r>
              <w:rPr>
                <w:rFonts w:hint="eastAsia"/>
              </w:rPr>
              <w:t>24</w:t>
            </w:r>
          </w:p>
        </w:tc>
        <w:tc>
          <w:tcPr>
            <w:tcW w:w="1824" w:type="dxa"/>
            <w:tcBorders>
              <w:top w:val="single" w:color="auto" w:sz="4" w:space="0"/>
              <w:left w:val="single" w:color="auto" w:sz="4" w:space="0"/>
              <w:bottom w:val="single" w:color="auto" w:sz="4" w:space="0"/>
              <w:right w:val="single" w:color="auto" w:sz="4" w:space="0"/>
            </w:tcBorders>
            <w:noWrap/>
            <w:vAlign w:val="center"/>
          </w:tcPr>
          <w:p w14:paraId="60CBFCDA">
            <w:pPr>
              <w:pStyle w:val="557"/>
            </w:pPr>
            <w:r>
              <w:rPr>
                <w:rFonts w:hint="eastAsia"/>
              </w:rPr>
              <w:t>蓝洁环保导热油炉、熔盐炉烟气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0CB01F16">
            <w:pPr>
              <w:pStyle w:val="557"/>
            </w:pPr>
            <w:r>
              <w:rPr>
                <w:rFonts w:hint="eastAsia"/>
              </w:rPr>
              <w:t>-102</w:t>
            </w:r>
          </w:p>
        </w:tc>
        <w:tc>
          <w:tcPr>
            <w:tcW w:w="647" w:type="dxa"/>
            <w:tcBorders>
              <w:top w:val="single" w:color="auto" w:sz="4" w:space="0"/>
              <w:left w:val="single" w:color="auto" w:sz="4" w:space="0"/>
              <w:bottom w:val="single" w:color="auto" w:sz="4" w:space="0"/>
              <w:right w:val="single" w:color="auto" w:sz="4" w:space="0"/>
            </w:tcBorders>
            <w:noWrap/>
            <w:vAlign w:val="center"/>
          </w:tcPr>
          <w:p w14:paraId="5BA54FBB">
            <w:pPr>
              <w:pStyle w:val="557"/>
            </w:pPr>
            <w:r>
              <w:rPr>
                <w:rFonts w:hint="eastAsia"/>
              </w:rPr>
              <w:t>1090</w:t>
            </w:r>
          </w:p>
        </w:tc>
        <w:tc>
          <w:tcPr>
            <w:tcW w:w="524" w:type="dxa"/>
            <w:tcBorders>
              <w:top w:val="single" w:color="auto" w:sz="4" w:space="0"/>
              <w:left w:val="single" w:color="auto" w:sz="4" w:space="0"/>
              <w:bottom w:val="single" w:color="auto" w:sz="4" w:space="0"/>
              <w:right w:val="single" w:color="auto" w:sz="4" w:space="0"/>
            </w:tcBorders>
            <w:noWrap/>
            <w:vAlign w:val="center"/>
          </w:tcPr>
          <w:p w14:paraId="6FF0905F">
            <w:pPr>
              <w:pStyle w:val="557"/>
            </w:pPr>
            <w:r>
              <w:rPr>
                <w:rFonts w:hint="eastAsia"/>
              </w:rPr>
              <w:t>20</w:t>
            </w:r>
          </w:p>
        </w:tc>
        <w:tc>
          <w:tcPr>
            <w:tcW w:w="615" w:type="dxa"/>
            <w:tcBorders>
              <w:top w:val="single" w:color="auto" w:sz="4" w:space="0"/>
              <w:left w:val="single" w:color="auto" w:sz="4" w:space="0"/>
              <w:bottom w:val="single" w:color="auto" w:sz="4" w:space="0"/>
              <w:right w:val="single" w:color="auto" w:sz="4" w:space="0"/>
            </w:tcBorders>
            <w:noWrap/>
            <w:vAlign w:val="center"/>
          </w:tcPr>
          <w:p w14:paraId="7ADF8BBD">
            <w:pPr>
              <w:pStyle w:val="557"/>
            </w:pPr>
            <w:r>
              <w:rPr>
                <w:rFonts w:hint="eastAsia"/>
              </w:rPr>
              <w:t>0.5</w:t>
            </w:r>
          </w:p>
        </w:tc>
        <w:tc>
          <w:tcPr>
            <w:tcW w:w="708" w:type="dxa"/>
            <w:tcBorders>
              <w:top w:val="single" w:color="auto" w:sz="4" w:space="0"/>
              <w:left w:val="single" w:color="auto" w:sz="4" w:space="0"/>
              <w:bottom w:val="single" w:color="auto" w:sz="4" w:space="0"/>
              <w:right w:val="single" w:color="auto" w:sz="4" w:space="0"/>
            </w:tcBorders>
            <w:noWrap/>
            <w:vAlign w:val="center"/>
          </w:tcPr>
          <w:p w14:paraId="6D00BBFB">
            <w:pPr>
              <w:pStyle w:val="557"/>
            </w:pPr>
            <w:r>
              <w:rPr>
                <w:rFonts w:hint="eastAsia"/>
              </w:rPr>
              <w:t>200</w:t>
            </w:r>
          </w:p>
        </w:tc>
        <w:tc>
          <w:tcPr>
            <w:tcW w:w="897" w:type="dxa"/>
            <w:tcBorders>
              <w:top w:val="single" w:color="auto" w:sz="4" w:space="0"/>
              <w:left w:val="single" w:color="auto" w:sz="4" w:space="0"/>
              <w:bottom w:val="single" w:color="auto" w:sz="4" w:space="0"/>
              <w:right w:val="single" w:color="auto" w:sz="4" w:space="0"/>
            </w:tcBorders>
            <w:noWrap/>
            <w:vAlign w:val="center"/>
          </w:tcPr>
          <w:p w14:paraId="503882CB">
            <w:pPr>
              <w:pStyle w:val="557"/>
            </w:pPr>
            <w:r>
              <w:rPr>
                <w:rFonts w:hint="eastAsia"/>
              </w:rPr>
              <w:t>7200</w:t>
            </w:r>
          </w:p>
        </w:tc>
        <w:tc>
          <w:tcPr>
            <w:tcW w:w="795" w:type="dxa"/>
            <w:tcBorders>
              <w:top w:val="single" w:color="auto" w:sz="4" w:space="0"/>
              <w:left w:val="single" w:color="auto" w:sz="4" w:space="0"/>
              <w:bottom w:val="single" w:color="auto" w:sz="4" w:space="0"/>
              <w:right w:val="single" w:color="auto" w:sz="4" w:space="0"/>
            </w:tcBorders>
            <w:noWrap/>
            <w:vAlign w:val="center"/>
          </w:tcPr>
          <w:p w14:paraId="22FE9444">
            <w:pPr>
              <w:pStyle w:val="557"/>
            </w:pPr>
            <w:r>
              <w:rPr>
                <w:rFonts w:hint="eastAsia"/>
              </w:rPr>
              <w:t>0.314</w:t>
            </w:r>
          </w:p>
        </w:tc>
        <w:tc>
          <w:tcPr>
            <w:tcW w:w="899" w:type="dxa"/>
            <w:tcBorders>
              <w:top w:val="single" w:color="auto" w:sz="4" w:space="0"/>
              <w:left w:val="single" w:color="auto" w:sz="4" w:space="0"/>
              <w:bottom w:val="single" w:color="auto" w:sz="4" w:space="0"/>
              <w:right w:val="single" w:color="auto" w:sz="4" w:space="0"/>
            </w:tcBorders>
            <w:noWrap/>
            <w:vAlign w:val="center"/>
          </w:tcPr>
          <w:p w14:paraId="1B8ACB79">
            <w:pPr>
              <w:pStyle w:val="557"/>
            </w:pPr>
            <w:r>
              <w:rPr>
                <w:rFonts w:hint="eastAsia"/>
              </w:rPr>
              <w:t>0.7002</w:t>
            </w:r>
          </w:p>
        </w:tc>
        <w:tc>
          <w:tcPr>
            <w:tcW w:w="689" w:type="dxa"/>
            <w:tcBorders>
              <w:top w:val="single" w:color="auto" w:sz="4" w:space="0"/>
              <w:left w:val="single" w:color="auto" w:sz="4" w:space="0"/>
              <w:bottom w:val="single" w:color="auto" w:sz="4" w:space="0"/>
              <w:right w:val="single" w:color="auto" w:sz="4" w:space="0"/>
            </w:tcBorders>
            <w:noWrap/>
            <w:vAlign w:val="center"/>
          </w:tcPr>
          <w:p w14:paraId="36ACA179">
            <w:pPr>
              <w:pStyle w:val="557"/>
            </w:pPr>
            <w:r>
              <w:rPr>
                <w:rFonts w:hint="eastAsia"/>
              </w:rPr>
              <w:t>0.083</w:t>
            </w:r>
          </w:p>
        </w:tc>
        <w:tc>
          <w:tcPr>
            <w:tcW w:w="711" w:type="dxa"/>
            <w:tcBorders>
              <w:top w:val="single" w:color="auto" w:sz="4" w:space="0"/>
              <w:left w:val="single" w:color="auto" w:sz="4" w:space="0"/>
              <w:bottom w:val="single" w:color="auto" w:sz="4" w:space="0"/>
              <w:right w:val="single" w:color="auto" w:sz="4" w:space="0"/>
            </w:tcBorders>
            <w:vAlign w:val="center"/>
          </w:tcPr>
          <w:p w14:paraId="17BB617F">
            <w:pPr>
              <w:pStyle w:val="557"/>
            </w:pPr>
            <w:r>
              <w:rPr>
                <w:rFonts w:hint="eastAsia"/>
              </w:rPr>
              <w:t>0.0415</w:t>
            </w:r>
          </w:p>
        </w:tc>
        <w:tc>
          <w:tcPr>
            <w:tcW w:w="711" w:type="dxa"/>
            <w:tcBorders>
              <w:top w:val="single" w:color="auto" w:sz="4" w:space="0"/>
              <w:left w:val="single" w:color="auto" w:sz="4" w:space="0"/>
              <w:bottom w:val="single" w:color="auto" w:sz="4" w:space="0"/>
              <w:right w:val="single" w:color="auto" w:sz="4" w:space="0"/>
            </w:tcBorders>
            <w:noWrap/>
            <w:vAlign w:val="center"/>
          </w:tcPr>
          <w:p w14:paraId="0A980401">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04DE5D0E">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61A48886">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00165D7E">
            <w:pPr>
              <w:pStyle w:val="557"/>
            </w:pPr>
            <w:r>
              <w:rPr>
                <w:rFonts w:hint="eastAsia"/>
              </w:rPr>
              <w:t>0.759</w:t>
            </w:r>
          </w:p>
        </w:tc>
        <w:tc>
          <w:tcPr>
            <w:tcW w:w="710" w:type="dxa"/>
            <w:tcBorders>
              <w:top w:val="single" w:color="auto" w:sz="4" w:space="0"/>
              <w:left w:val="single" w:color="auto" w:sz="4" w:space="0"/>
              <w:bottom w:val="single" w:color="auto" w:sz="4" w:space="0"/>
              <w:right w:val="single" w:color="auto" w:sz="4" w:space="0"/>
            </w:tcBorders>
            <w:noWrap/>
            <w:vAlign w:val="center"/>
          </w:tcPr>
          <w:p w14:paraId="750D51F5">
            <w:pPr>
              <w:pStyle w:val="557"/>
            </w:pPr>
            <w:r>
              <w:rPr>
                <w:rFonts w:hint="eastAsia"/>
              </w:rPr>
              <w:t>/</w:t>
            </w:r>
          </w:p>
        </w:tc>
      </w:tr>
      <w:tr w14:paraId="0E65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088D04D8">
            <w:pPr>
              <w:pStyle w:val="557"/>
            </w:pPr>
            <w:r>
              <w:rPr>
                <w:rFonts w:hint="eastAsia"/>
              </w:rPr>
              <w:t>25</w:t>
            </w:r>
          </w:p>
        </w:tc>
        <w:tc>
          <w:tcPr>
            <w:tcW w:w="1824" w:type="dxa"/>
            <w:tcBorders>
              <w:top w:val="single" w:color="auto" w:sz="4" w:space="0"/>
              <w:left w:val="single" w:color="auto" w:sz="4" w:space="0"/>
              <w:bottom w:val="single" w:color="auto" w:sz="4" w:space="0"/>
              <w:right w:val="single" w:color="auto" w:sz="4" w:space="0"/>
            </w:tcBorders>
            <w:noWrap/>
            <w:vAlign w:val="center"/>
          </w:tcPr>
          <w:p w14:paraId="24FF99CD">
            <w:pPr>
              <w:pStyle w:val="557"/>
            </w:pPr>
            <w:r>
              <w:rPr>
                <w:rFonts w:hint="eastAsia"/>
              </w:rPr>
              <w:t>蓝洁环保燃气锅炉烟气</w:t>
            </w:r>
          </w:p>
        </w:tc>
        <w:tc>
          <w:tcPr>
            <w:tcW w:w="576" w:type="dxa"/>
            <w:tcBorders>
              <w:top w:val="single" w:color="auto" w:sz="4" w:space="0"/>
              <w:left w:val="single" w:color="auto" w:sz="4" w:space="0"/>
              <w:bottom w:val="single" w:color="auto" w:sz="4" w:space="0"/>
              <w:right w:val="single" w:color="auto" w:sz="4" w:space="0"/>
            </w:tcBorders>
            <w:noWrap/>
            <w:vAlign w:val="center"/>
          </w:tcPr>
          <w:p w14:paraId="7CBC2450">
            <w:pPr>
              <w:pStyle w:val="557"/>
            </w:pPr>
            <w:r>
              <w:rPr>
                <w:rFonts w:hint="eastAsia"/>
              </w:rPr>
              <w:t>93</w:t>
            </w:r>
          </w:p>
        </w:tc>
        <w:tc>
          <w:tcPr>
            <w:tcW w:w="647" w:type="dxa"/>
            <w:tcBorders>
              <w:top w:val="single" w:color="auto" w:sz="4" w:space="0"/>
              <w:left w:val="single" w:color="auto" w:sz="4" w:space="0"/>
              <w:bottom w:val="single" w:color="auto" w:sz="4" w:space="0"/>
              <w:right w:val="single" w:color="auto" w:sz="4" w:space="0"/>
            </w:tcBorders>
            <w:noWrap/>
            <w:vAlign w:val="center"/>
          </w:tcPr>
          <w:p w14:paraId="58C9FEE8">
            <w:pPr>
              <w:pStyle w:val="557"/>
            </w:pPr>
            <w:r>
              <w:rPr>
                <w:rFonts w:hint="eastAsia"/>
              </w:rPr>
              <w:t>1003</w:t>
            </w:r>
          </w:p>
        </w:tc>
        <w:tc>
          <w:tcPr>
            <w:tcW w:w="524" w:type="dxa"/>
            <w:tcBorders>
              <w:top w:val="single" w:color="auto" w:sz="4" w:space="0"/>
              <w:left w:val="single" w:color="auto" w:sz="4" w:space="0"/>
              <w:bottom w:val="single" w:color="auto" w:sz="4" w:space="0"/>
              <w:right w:val="single" w:color="auto" w:sz="4" w:space="0"/>
            </w:tcBorders>
            <w:noWrap/>
            <w:vAlign w:val="center"/>
          </w:tcPr>
          <w:p w14:paraId="5844EF35">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6799B7CB">
            <w:pPr>
              <w:pStyle w:val="557"/>
            </w:pPr>
            <w:r>
              <w:rPr>
                <w:rFonts w:hint="eastAsia"/>
              </w:rPr>
              <w:t>0.3</w:t>
            </w:r>
          </w:p>
        </w:tc>
        <w:tc>
          <w:tcPr>
            <w:tcW w:w="708" w:type="dxa"/>
            <w:tcBorders>
              <w:top w:val="single" w:color="auto" w:sz="4" w:space="0"/>
              <w:left w:val="single" w:color="auto" w:sz="4" w:space="0"/>
              <w:bottom w:val="single" w:color="auto" w:sz="4" w:space="0"/>
              <w:right w:val="single" w:color="auto" w:sz="4" w:space="0"/>
            </w:tcBorders>
            <w:noWrap/>
            <w:vAlign w:val="center"/>
          </w:tcPr>
          <w:p w14:paraId="0F2CC409">
            <w:pPr>
              <w:pStyle w:val="557"/>
            </w:pPr>
            <w:r>
              <w:rPr>
                <w:rFonts w:hint="eastAsia"/>
              </w:rPr>
              <w:t>120</w:t>
            </w:r>
          </w:p>
        </w:tc>
        <w:tc>
          <w:tcPr>
            <w:tcW w:w="897" w:type="dxa"/>
            <w:tcBorders>
              <w:top w:val="single" w:color="auto" w:sz="4" w:space="0"/>
              <w:left w:val="single" w:color="auto" w:sz="4" w:space="0"/>
              <w:bottom w:val="single" w:color="auto" w:sz="4" w:space="0"/>
              <w:right w:val="single" w:color="auto" w:sz="4" w:space="0"/>
            </w:tcBorders>
            <w:noWrap/>
            <w:vAlign w:val="center"/>
          </w:tcPr>
          <w:p w14:paraId="43694637">
            <w:pPr>
              <w:pStyle w:val="557"/>
            </w:pPr>
            <w:r>
              <w:rPr>
                <w:rFonts w:hint="eastAsia"/>
              </w:rPr>
              <w:t>1908.2</w:t>
            </w:r>
          </w:p>
        </w:tc>
        <w:tc>
          <w:tcPr>
            <w:tcW w:w="795" w:type="dxa"/>
            <w:tcBorders>
              <w:top w:val="single" w:color="auto" w:sz="4" w:space="0"/>
              <w:left w:val="single" w:color="auto" w:sz="4" w:space="0"/>
              <w:bottom w:val="single" w:color="auto" w:sz="4" w:space="0"/>
              <w:right w:val="single" w:color="auto" w:sz="4" w:space="0"/>
            </w:tcBorders>
            <w:noWrap/>
            <w:vAlign w:val="center"/>
          </w:tcPr>
          <w:p w14:paraId="38B7879E">
            <w:pPr>
              <w:pStyle w:val="557"/>
            </w:pPr>
            <w:r>
              <w:rPr>
                <w:rFonts w:hint="eastAsia"/>
              </w:rPr>
              <w:t>0.002</w:t>
            </w:r>
          </w:p>
        </w:tc>
        <w:tc>
          <w:tcPr>
            <w:tcW w:w="899" w:type="dxa"/>
            <w:tcBorders>
              <w:top w:val="single" w:color="auto" w:sz="4" w:space="0"/>
              <w:left w:val="single" w:color="auto" w:sz="4" w:space="0"/>
              <w:bottom w:val="single" w:color="auto" w:sz="4" w:space="0"/>
              <w:right w:val="single" w:color="auto" w:sz="4" w:space="0"/>
            </w:tcBorders>
            <w:noWrap/>
            <w:vAlign w:val="center"/>
          </w:tcPr>
          <w:p w14:paraId="73DA97DB">
            <w:pPr>
              <w:pStyle w:val="557"/>
            </w:pPr>
            <w:r>
              <w:rPr>
                <w:rFonts w:hint="eastAsia"/>
              </w:rPr>
              <w:t>0.2358</w:t>
            </w:r>
          </w:p>
        </w:tc>
        <w:tc>
          <w:tcPr>
            <w:tcW w:w="689" w:type="dxa"/>
            <w:tcBorders>
              <w:top w:val="single" w:color="auto" w:sz="4" w:space="0"/>
              <w:left w:val="single" w:color="auto" w:sz="4" w:space="0"/>
              <w:bottom w:val="single" w:color="auto" w:sz="4" w:space="0"/>
              <w:right w:val="single" w:color="auto" w:sz="4" w:space="0"/>
            </w:tcBorders>
            <w:noWrap/>
            <w:vAlign w:val="center"/>
          </w:tcPr>
          <w:p w14:paraId="24009622">
            <w:pPr>
              <w:pStyle w:val="557"/>
            </w:pPr>
            <w:r>
              <w:rPr>
                <w:rFonts w:hint="eastAsia"/>
              </w:rPr>
              <w:t>0.034</w:t>
            </w:r>
          </w:p>
        </w:tc>
        <w:tc>
          <w:tcPr>
            <w:tcW w:w="711" w:type="dxa"/>
            <w:tcBorders>
              <w:top w:val="single" w:color="auto" w:sz="4" w:space="0"/>
              <w:left w:val="single" w:color="auto" w:sz="4" w:space="0"/>
              <w:bottom w:val="single" w:color="auto" w:sz="4" w:space="0"/>
              <w:right w:val="single" w:color="auto" w:sz="4" w:space="0"/>
            </w:tcBorders>
            <w:vAlign w:val="center"/>
          </w:tcPr>
          <w:p w14:paraId="458C6DA5">
            <w:pPr>
              <w:pStyle w:val="557"/>
            </w:pPr>
            <w:r>
              <w:rPr>
                <w:rFonts w:hint="eastAsia"/>
              </w:rPr>
              <w:t>0.017</w:t>
            </w:r>
          </w:p>
        </w:tc>
        <w:tc>
          <w:tcPr>
            <w:tcW w:w="711" w:type="dxa"/>
            <w:tcBorders>
              <w:top w:val="single" w:color="auto" w:sz="4" w:space="0"/>
              <w:left w:val="single" w:color="auto" w:sz="4" w:space="0"/>
              <w:bottom w:val="single" w:color="auto" w:sz="4" w:space="0"/>
              <w:right w:val="single" w:color="auto" w:sz="4" w:space="0"/>
            </w:tcBorders>
            <w:noWrap/>
            <w:vAlign w:val="center"/>
          </w:tcPr>
          <w:p w14:paraId="37571DDF">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421C011">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3DD20DAA">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3E630328">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77CEB8C">
            <w:pPr>
              <w:pStyle w:val="557"/>
            </w:pPr>
            <w:r>
              <w:rPr>
                <w:rFonts w:hint="eastAsia"/>
              </w:rPr>
              <w:t>/</w:t>
            </w:r>
          </w:p>
        </w:tc>
      </w:tr>
      <w:tr w14:paraId="68C4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5E7F891D">
            <w:pPr>
              <w:pStyle w:val="557"/>
            </w:pPr>
            <w:r>
              <w:rPr>
                <w:rFonts w:hint="eastAsia"/>
              </w:rPr>
              <w:t>26</w:t>
            </w:r>
          </w:p>
        </w:tc>
        <w:tc>
          <w:tcPr>
            <w:tcW w:w="1824" w:type="dxa"/>
            <w:tcBorders>
              <w:top w:val="single" w:color="auto" w:sz="4" w:space="0"/>
              <w:left w:val="single" w:color="auto" w:sz="4" w:space="0"/>
              <w:bottom w:val="single" w:color="auto" w:sz="4" w:space="0"/>
              <w:right w:val="single" w:color="auto" w:sz="4" w:space="0"/>
            </w:tcBorders>
            <w:noWrap/>
            <w:vAlign w:val="center"/>
          </w:tcPr>
          <w:p w14:paraId="5DBC05FC">
            <w:pPr>
              <w:pStyle w:val="557"/>
            </w:pPr>
            <w:r>
              <w:rPr>
                <w:rFonts w:hint="eastAsia"/>
              </w:rPr>
              <w:t>蓝洁环保废旧包装桶项目</w:t>
            </w:r>
          </w:p>
        </w:tc>
        <w:tc>
          <w:tcPr>
            <w:tcW w:w="576" w:type="dxa"/>
            <w:tcBorders>
              <w:top w:val="single" w:color="auto" w:sz="4" w:space="0"/>
              <w:left w:val="single" w:color="auto" w:sz="4" w:space="0"/>
              <w:bottom w:val="single" w:color="auto" w:sz="4" w:space="0"/>
              <w:right w:val="single" w:color="auto" w:sz="4" w:space="0"/>
            </w:tcBorders>
            <w:noWrap/>
            <w:vAlign w:val="center"/>
          </w:tcPr>
          <w:p w14:paraId="113E7655">
            <w:pPr>
              <w:pStyle w:val="557"/>
            </w:pPr>
            <w:r>
              <w:rPr>
                <w:rFonts w:hint="eastAsia"/>
              </w:rPr>
              <w:t>-132</w:t>
            </w:r>
          </w:p>
        </w:tc>
        <w:tc>
          <w:tcPr>
            <w:tcW w:w="647" w:type="dxa"/>
            <w:tcBorders>
              <w:top w:val="single" w:color="auto" w:sz="4" w:space="0"/>
              <w:left w:val="single" w:color="auto" w:sz="4" w:space="0"/>
              <w:bottom w:val="single" w:color="auto" w:sz="4" w:space="0"/>
              <w:right w:val="single" w:color="auto" w:sz="4" w:space="0"/>
            </w:tcBorders>
            <w:noWrap/>
            <w:vAlign w:val="center"/>
          </w:tcPr>
          <w:p w14:paraId="244E4FEE">
            <w:pPr>
              <w:pStyle w:val="557"/>
            </w:pPr>
            <w:r>
              <w:rPr>
                <w:rFonts w:hint="eastAsia"/>
              </w:rPr>
              <w:t>984</w:t>
            </w:r>
          </w:p>
        </w:tc>
        <w:tc>
          <w:tcPr>
            <w:tcW w:w="524" w:type="dxa"/>
            <w:tcBorders>
              <w:top w:val="single" w:color="auto" w:sz="4" w:space="0"/>
              <w:left w:val="single" w:color="auto" w:sz="4" w:space="0"/>
              <w:bottom w:val="single" w:color="auto" w:sz="4" w:space="0"/>
              <w:right w:val="single" w:color="auto" w:sz="4" w:space="0"/>
            </w:tcBorders>
            <w:noWrap/>
            <w:vAlign w:val="center"/>
          </w:tcPr>
          <w:p w14:paraId="6B5D2803">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6FD4F106">
            <w:pPr>
              <w:pStyle w:val="557"/>
            </w:pPr>
            <w:r>
              <w:rPr>
                <w:rFonts w:hint="eastAsia"/>
              </w:rPr>
              <w:t>0.8</w:t>
            </w:r>
          </w:p>
        </w:tc>
        <w:tc>
          <w:tcPr>
            <w:tcW w:w="708" w:type="dxa"/>
            <w:tcBorders>
              <w:top w:val="single" w:color="auto" w:sz="4" w:space="0"/>
              <w:left w:val="single" w:color="auto" w:sz="4" w:space="0"/>
              <w:bottom w:val="single" w:color="auto" w:sz="4" w:space="0"/>
              <w:right w:val="single" w:color="auto" w:sz="4" w:space="0"/>
            </w:tcBorders>
            <w:noWrap/>
            <w:vAlign w:val="center"/>
          </w:tcPr>
          <w:p w14:paraId="572F6FC9">
            <w:pPr>
              <w:pStyle w:val="557"/>
            </w:pPr>
            <w:r>
              <w:rPr>
                <w:rFonts w:hint="eastAsia"/>
              </w:rPr>
              <w:t>20</w:t>
            </w:r>
          </w:p>
        </w:tc>
        <w:tc>
          <w:tcPr>
            <w:tcW w:w="897" w:type="dxa"/>
            <w:tcBorders>
              <w:top w:val="single" w:color="auto" w:sz="4" w:space="0"/>
              <w:left w:val="single" w:color="auto" w:sz="4" w:space="0"/>
              <w:bottom w:val="single" w:color="auto" w:sz="4" w:space="0"/>
              <w:right w:val="single" w:color="auto" w:sz="4" w:space="0"/>
            </w:tcBorders>
            <w:noWrap/>
            <w:vAlign w:val="center"/>
          </w:tcPr>
          <w:p w14:paraId="51E04E8E">
            <w:pPr>
              <w:pStyle w:val="557"/>
            </w:pPr>
            <w:r>
              <w:rPr>
                <w:rFonts w:hint="eastAsia"/>
              </w:rPr>
              <w:t>30000</w:t>
            </w:r>
          </w:p>
        </w:tc>
        <w:tc>
          <w:tcPr>
            <w:tcW w:w="795" w:type="dxa"/>
            <w:tcBorders>
              <w:top w:val="single" w:color="auto" w:sz="4" w:space="0"/>
              <w:left w:val="single" w:color="auto" w:sz="4" w:space="0"/>
              <w:bottom w:val="single" w:color="auto" w:sz="4" w:space="0"/>
              <w:right w:val="single" w:color="auto" w:sz="4" w:space="0"/>
            </w:tcBorders>
            <w:noWrap/>
            <w:vAlign w:val="center"/>
          </w:tcPr>
          <w:p w14:paraId="253283F1">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1DFC6CAD">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7E1DE32">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vAlign w:val="center"/>
          </w:tcPr>
          <w:p w14:paraId="2F160A98">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7BA12861">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70971629">
            <w:pPr>
              <w:pStyle w:val="557"/>
            </w:pPr>
            <w:r>
              <w:rPr>
                <w:rFonts w:hint="eastAsia"/>
              </w:rPr>
              <w:t>/</w:t>
            </w:r>
          </w:p>
        </w:tc>
        <w:tc>
          <w:tcPr>
            <w:tcW w:w="945" w:type="dxa"/>
            <w:tcBorders>
              <w:top w:val="single" w:color="auto" w:sz="4" w:space="0"/>
              <w:left w:val="single" w:color="auto" w:sz="4" w:space="0"/>
              <w:bottom w:val="single" w:color="auto" w:sz="4" w:space="0"/>
              <w:right w:val="single" w:color="auto" w:sz="4" w:space="0"/>
            </w:tcBorders>
            <w:noWrap/>
            <w:vAlign w:val="center"/>
          </w:tcPr>
          <w:p w14:paraId="6F3A05B9">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1FFA7A87">
            <w:pPr>
              <w:pStyle w:val="557"/>
            </w:pPr>
            <w:r>
              <w:rPr>
                <w:rFonts w:hint="eastAsia"/>
              </w:rPr>
              <w:t>0.155</w:t>
            </w:r>
          </w:p>
        </w:tc>
        <w:tc>
          <w:tcPr>
            <w:tcW w:w="710" w:type="dxa"/>
            <w:tcBorders>
              <w:top w:val="single" w:color="auto" w:sz="4" w:space="0"/>
              <w:left w:val="single" w:color="auto" w:sz="4" w:space="0"/>
              <w:bottom w:val="single" w:color="auto" w:sz="4" w:space="0"/>
              <w:right w:val="single" w:color="auto" w:sz="4" w:space="0"/>
            </w:tcBorders>
            <w:noWrap/>
            <w:vAlign w:val="center"/>
          </w:tcPr>
          <w:p w14:paraId="673B4B4E">
            <w:pPr>
              <w:pStyle w:val="557"/>
            </w:pPr>
            <w:r>
              <w:rPr>
                <w:rFonts w:hint="eastAsia"/>
              </w:rPr>
              <w:t>/</w:t>
            </w:r>
          </w:p>
        </w:tc>
      </w:tr>
      <w:tr w14:paraId="08E5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0" w:type="dxa"/>
            <w:tcBorders>
              <w:top w:val="single" w:color="auto" w:sz="4" w:space="0"/>
              <w:left w:val="single" w:color="auto" w:sz="4" w:space="0"/>
              <w:bottom w:val="single" w:color="auto" w:sz="4" w:space="0"/>
              <w:right w:val="single" w:color="auto" w:sz="4" w:space="0"/>
            </w:tcBorders>
            <w:noWrap/>
            <w:vAlign w:val="center"/>
          </w:tcPr>
          <w:p w14:paraId="65D2F68E">
            <w:pPr>
              <w:pStyle w:val="557"/>
            </w:pPr>
            <w:r>
              <w:rPr>
                <w:rFonts w:hint="eastAsia"/>
              </w:rPr>
              <w:t>27</w:t>
            </w:r>
          </w:p>
        </w:tc>
        <w:tc>
          <w:tcPr>
            <w:tcW w:w="1824" w:type="dxa"/>
            <w:tcBorders>
              <w:top w:val="single" w:color="auto" w:sz="4" w:space="0"/>
              <w:left w:val="single" w:color="auto" w:sz="4" w:space="0"/>
              <w:bottom w:val="single" w:color="auto" w:sz="4" w:space="0"/>
              <w:right w:val="single" w:color="auto" w:sz="4" w:space="0"/>
            </w:tcBorders>
            <w:noWrap/>
            <w:vAlign w:val="center"/>
          </w:tcPr>
          <w:p w14:paraId="69498365">
            <w:pPr>
              <w:pStyle w:val="557"/>
            </w:pPr>
            <w:r>
              <w:rPr>
                <w:rFonts w:hint="eastAsia"/>
              </w:rPr>
              <w:t>蓝洁环保污水处理站臭气</w:t>
            </w:r>
          </w:p>
        </w:tc>
        <w:tc>
          <w:tcPr>
            <w:tcW w:w="576" w:type="dxa"/>
            <w:tcBorders>
              <w:top w:val="single" w:color="auto" w:sz="4" w:space="0"/>
              <w:left w:val="single" w:color="auto" w:sz="4" w:space="0"/>
              <w:bottom w:val="single" w:color="auto" w:sz="4" w:space="0"/>
              <w:right w:val="single" w:color="auto" w:sz="4" w:space="0"/>
            </w:tcBorders>
            <w:noWrap/>
            <w:vAlign w:val="center"/>
          </w:tcPr>
          <w:p w14:paraId="4442A36A">
            <w:pPr>
              <w:pStyle w:val="557"/>
            </w:pPr>
            <w:r>
              <w:rPr>
                <w:rFonts w:hint="eastAsia"/>
              </w:rPr>
              <w:t>42</w:t>
            </w:r>
          </w:p>
        </w:tc>
        <w:tc>
          <w:tcPr>
            <w:tcW w:w="647" w:type="dxa"/>
            <w:tcBorders>
              <w:top w:val="single" w:color="auto" w:sz="4" w:space="0"/>
              <w:left w:val="single" w:color="auto" w:sz="4" w:space="0"/>
              <w:bottom w:val="single" w:color="auto" w:sz="4" w:space="0"/>
              <w:right w:val="single" w:color="auto" w:sz="4" w:space="0"/>
            </w:tcBorders>
            <w:noWrap/>
            <w:vAlign w:val="center"/>
          </w:tcPr>
          <w:p w14:paraId="4B83FEA9">
            <w:pPr>
              <w:pStyle w:val="557"/>
            </w:pPr>
            <w:r>
              <w:rPr>
                <w:rFonts w:hint="eastAsia"/>
              </w:rPr>
              <w:t>1141</w:t>
            </w:r>
          </w:p>
        </w:tc>
        <w:tc>
          <w:tcPr>
            <w:tcW w:w="524" w:type="dxa"/>
            <w:tcBorders>
              <w:top w:val="single" w:color="auto" w:sz="4" w:space="0"/>
              <w:left w:val="single" w:color="auto" w:sz="4" w:space="0"/>
              <w:bottom w:val="single" w:color="auto" w:sz="4" w:space="0"/>
              <w:right w:val="single" w:color="auto" w:sz="4" w:space="0"/>
            </w:tcBorders>
            <w:noWrap/>
            <w:vAlign w:val="center"/>
          </w:tcPr>
          <w:p w14:paraId="21CD7B7A">
            <w:pPr>
              <w:pStyle w:val="557"/>
            </w:pPr>
            <w:r>
              <w:rPr>
                <w:rFonts w:hint="eastAsia"/>
              </w:rPr>
              <w:t>15</w:t>
            </w:r>
          </w:p>
        </w:tc>
        <w:tc>
          <w:tcPr>
            <w:tcW w:w="615" w:type="dxa"/>
            <w:tcBorders>
              <w:top w:val="single" w:color="auto" w:sz="4" w:space="0"/>
              <w:left w:val="single" w:color="auto" w:sz="4" w:space="0"/>
              <w:bottom w:val="single" w:color="auto" w:sz="4" w:space="0"/>
              <w:right w:val="single" w:color="auto" w:sz="4" w:space="0"/>
            </w:tcBorders>
            <w:noWrap/>
            <w:vAlign w:val="center"/>
          </w:tcPr>
          <w:p w14:paraId="6306C83E">
            <w:pPr>
              <w:pStyle w:val="557"/>
            </w:pPr>
            <w:r>
              <w:rPr>
                <w:rFonts w:hint="eastAsia"/>
              </w:rPr>
              <w:t>0.3</w:t>
            </w:r>
          </w:p>
        </w:tc>
        <w:tc>
          <w:tcPr>
            <w:tcW w:w="708" w:type="dxa"/>
            <w:tcBorders>
              <w:top w:val="single" w:color="auto" w:sz="4" w:space="0"/>
              <w:left w:val="single" w:color="auto" w:sz="4" w:space="0"/>
              <w:bottom w:val="single" w:color="auto" w:sz="4" w:space="0"/>
              <w:right w:val="single" w:color="auto" w:sz="4" w:space="0"/>
            </w:tcBorders>
            <w:noWrap/>
            <w:vAlign w:val="center"/>
          </w:tcPr>
          <w:p w14:paraId="163CD2F6">
            <w:pPr>
              <w:pStyle w:val="557"/>
            </w:pPr>
            <w:r>
              <w:rPr>
                <w:rFonts w:hint="eastAsia"/>
              </w:rPr>
              <w:t>20</w:t>
            </w:r>
          </w:p>
        </w:tc>
        <w:tc>
          <w:tcPr>
            <w:tcW w:w="897" w:type="dxa"/>
            <w:tcBorders>
              <w:top w:val="single" w:color="auto" w:sz="4" w:space="0"/>
              <w:left w:val="single" w:color="auto" w:sz="4" w:space="0"/>
              <w:bottom w:val="single" w:color="auto" w:sz="4" w:space="0"/>
              <w:right w:val="single" w:color="auto" w:sz="4" w:space="0"/>
            </w:tcBorders>
            <w:noWrap/>
            <w:vAlign w:val="center"/>
          </w:tcPr>
          <w:p w14:paraId="3675D214">
            <w:pPr>
              <w:pStyle w:val="557"/>
            </w:pPr>
            <w:r>
              <w:rPr>
                <w:rFonts w:hint="eastAsia"/>
              </w:rPr>
              <w:t>1200</w:t>
            </w:r>
          </w:p>
        </w:tc>
        <w:tc>
          <w:tcPr>
            <w:tcW w:w="795" w:type="dxa"/>
            <w:tcBorders>
              <w:top w:val="single" w:color="auto" w:sz="4" w:space="0"/>
              <w:left w:val="single" w:color="auto" w:sz="4" w:space="0"/>
              <w:bottom w:val="single" w:color="auto" w:sz="4" w:space="0"/>
              <w:right w:val="single" w:color="auto" w:sz="4" w:space="0"/>
            </w:tcBorders>
            <w:noWrap/>
            <w:vAlign w:val="center"/>
          </w:tcPr>
          <w:p w14:paraId="61091145">
            <w:pPr>
              <w:pStyle w:val="557"/>
            </w:pPr>
            <w:r>
              <w:rPr>
                <w:rFonts w:hint="eastAsia"/>
              </w:rPr>
              <w:t>/</w:t>
            </w:r>
          </w:p>
        </w:tc>
        <w:tc>
          <w:tcPr>
            <w:tcW w:w="899" w:type="dxa"/>
            <w:tcBorders>
              <w:top w:val="single" w:color="auto" w:sz="4" w:space="0"/>
              <w:left w:val="single" w:color="auto" w:sz="4" w:space="0"/>
              <w:bottom w:val="single" w:color="auto" w:sz="4" w:space="0"/>
              <w:right w:val="single" w:color="auto" w:sz="4" w:space="0"/>
            </w:tcBorders>
            <w:noWrap/>
            <w:vAlign w:val="center"/>
          </w:tcPr>
          <w:p w14:paraId="33E87343">
            <w:pPr>
              <w:pStyle w:val="557"/>
            </w:pPr>
            <w:r>
              <w:rPr>
                <w:rFonts w:hint="eastAsia"/>
              </w:rPr>
              <w:t>/</w:t>
            </w:r>
          </w:p>
        </w:tc>
        <w:tc>
          <w:tcPr>
            <w:tcW w:w="689" w:type="dxa"/>
            <w:tcBorders>
              <w:top w:val="single" w:color="auto" w:sz="4" w:space="0"/>
              <w:left w:val="single" w:color="auto" w:sz="4" w:space="0"/>
              <w:bottom w:val="single" w:color="auto" w:sz="4" w:space="0"/>
              <w:right w:val="single" w:color="auto" w:sz="4" w:space="0"/>
            </w:tcBorders>
            <w:noWrap/>
            <w:vAlign w:val="center"/>
          </w:tcPr>
          <w:p w14:paraId="779A9A18">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vAlign w:val="center"/>
          </w:tcPr>
          <w:p w14:paraId="011672E0">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5419B12">
            <w:pPr>
              <w:pStyle w:val="557"/>
            </w:pPr>
            <w:r>
              <w:rPr>
                <w:rFonts w:hint="eastAsia"/>
              </w:rPr>
              <w:t>0.0065</w:t>
            </w:r>
          </w:p>
        </w:tc>
        <w:tc>
          <w:tcPr>
            <w:tcW w:w="711" w:type="dxa"/>
            <w:tcBorders>
              <w:top w:val="single" w:color="auto" w:sz="4" w:space="0"/>
              <w:left w:val="single" w:color="auto" w:sz="4" w:space="0"/>
              <w:bottom w:val="single" w:color="auto" w:sz="4" w:space="0"/>
              <w:right w:val="single" w:color="auto" w:sz="4" w:space="0"/>
            </w:tcBorders>
            <w:noWrap/>
            <w:vAlign w:val="center"/>
          </w:tcPr>
          <w:p w14:paraId="50E6D502">
            <w:pPr>
              <w:pStyle w:val="557"/>
            </w:pPr>
            <w:r>
              <w:rPr>
                <w:rFonts w:hint="eastAsia"/>
              </w:rPr>
              <w:t>0.0004</w:t>
            </w:r>
          </w:p>
        </w:tc>
        <w:tc>
          <w:tcPr>
            <w:tcW w:w="945" w:type="dxa"/>
            <w:tcBorders>
              <w:top w:val="single" w:color="auto" w:sz="4" w:space="0"/>
              <w:left w:val="single" w:color="auto" w:sz="4" w:space="0"/>
              <w:bottom w:val="single" w:color="auto" w:sz="4" w:space="0"/>
              <w:right w:val="single" w:color="auto" w:sz="4" w:space="0"/>
            </w:tcBorders>
            <w:noWrap/>
            <w:vAlign w:val="center"/>
          </w:tcPr>
          <w:p w14:paraId="4286A05E">
            <w:pPr>
              <w:pStyle w:val="557"/>
            </w:pPr>
            <w:r>
              <w:rPr>
                <w:rFonts w:hint="eastAsia"/>
              </w:rPr>
              <w:t>/</w:t>
            </w:r>
          </w:p>
        </w:tc>
        <w:tc>
          <w:tcPr>
            <w:tcW w:w="1041" w:type="dxa"/>
            <w:tcBorders>
              <w:top w:val="single" w:color="auto" w:sz="4" w:space="0"/>
              <w:left w:val="single" w:color="auto" w:sz="4" w:space="0"/>
              <w:bottom w:val="single" w:color="auto" w:sz="4" w:space="0"/>
              <w:right w:val="single" w:color="auto" w:sz="4" w:space="0"/>
            </w:tcBorders>
            <w:noWrap/>
            <w:vAlign w:val="center"/>
          </w:tcPr>
          <w:p w14:paraId="41C30C8A">
            <w:pPr>
              <w:pStyle w:val="557"/>
            </w:pPr>
            <w:r>
              <w:rPr>
                <w:rFonts w:hint="eastAsia"/>
              </w:rPr>
              <w:t>/</w:t>
            </w:r>
          </w:p>
        </w:tc>
        <w:tc>
          <w:tcPr>
            <w:tcW w:w="710" w:type="dxa"/>
            <w:tcBorders>
              <w:top w:val="single" w:color="auto" w:sz="4" w:space="0"/>
              <w:left w:val="single" w:color="auto" w:sz="4" w:space="0"/>
              <w:bottom w:val="single" w:color="auto" w:sz="4" w:space="0"/>
              <w:right w:val="single" w:color="auto" w:sz="4" w:space="0"/>
            </w:tcBorders>
            <w:noWrap/>
            <w:vAlign w:val="center"/>
          </w:tcPr>
          <w:p w14:paraId="72C4F487">
            <w:pPr>
              <w:pStyle w:val="557"/>
            </w:pPr>
            <w:r>
              <w:rPr>
                <w:rFonts w:hint="eastAsia"/>
              </w:rPr>
              <w:t>/</w:t>
            </w:r>
          </w:p>
        </w:tc>
      </w:tr>
    </w:tbl>
    <w:p w14:paraId="754ACA49">
      <w:pPr>
        <w:pStyle w:val="535"/>
        <w:ind w:left="400" w:hanging="400"/>
        <w:rPr>
          <w:rFonts w:hint="eastAsia"/>
          <w:color w:val="FF0000"/>
        </w:rPr>
      </w:pPr>
    </w:p>
    <w:p w14:paraId="513F5425">
      <w:pPr>
        <w:pStyle w:val="535"/>
        <w:ind w:left="400" w:hanging="400"/>
        <w:rPr>
          <w:rFonts w:ascii="Times New Roman" w:hAnsi="Times New Roman" w:eastAsia="宋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spacing w:val="8"/>
          <w14:textFill>
            <w14:solidFill>
              <w14:schemeClr w14:val="tx1"/>
            </w14:solidFill>
          </w14:textFill>
        </w:rPr>
        <w:t xml:space="preserve">5.2.3-5    </w:t>
      </w:r>
      <w:r>
        <w:rPr>
          <w:rFonts w:hint="eastAsia"/>
          <w:color w:val="000000" w:themeColor="text1"/>
          <w14:textFill>
            <w14:solidFill>
              <w14:schemeClr w14:val="tx1"/>
            </w14:solidFill>
          </w14:textFill>
        </w:rPr>
        <w:t>评价范围内拟建、在建项目面源参数表</w:t>
      </w:r>
    </w:p>
    <w:tbl>
      <w:tblPr>
        <w:tblStyle w:val="65"/>
        <w:tblW w:w="47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736"/>
        <w:gridCol w:w="724"/>
        <w:gridCol w:w="867"/>
        <w:gridCol w:w="868"/>
        <w:gridCol w:w="867"/>
        <w:gridCol w:w="1012"/>
        <w:gridCol w:w="868"/>
        <w:gridCol w:w="724"/>
        <w:gridCol w:w="722"/>
        <w:gridCol w:w="868"/>
        <w:gridCol w:w="724"/>
        <w:gridCol w:w="716"/>
        <w:gridCol w:w="686"/>
        <w:gridCol w:w="855"/>
        <w:gridCol w:w="553"/>
        <w:gridCol w:w="6"/>
      </w:tblGrid>
      <w:tr w14:paraId="5F21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ign w:val="center"/>
          </w:tcPr>
          <w:p w14:paraId="058BF293">
            <w:pPr>
              <w:pStyle w:val="557"/>
            </w:pPr>
            <w:r>
              <w:rPr>
                <w:rFonts w:hint="eastAsia"/>
              </w:rPr>
              <w:t>序号</w:t>
            </w:r>
          </w:p>
        </w:tc>
        <w:tc>
          <w:tcPr>
            <w:tcW w:w="1708" w:type="dxa"/>
            <w:vMerge w:val="restart"/>
            <w:tcBorders>
              <w:top w:val="single" w:color="auto" w:sz="4" w:space="0"/>
              <w:left w:val="single" w:color="auto" w:sz="4" w:space="0"/>
              <w:bottom w:val="single" w:color="auto" w:sz="4" w:space="0"/>
              <w:right w:val="single" w:color="auto" w:sz="4" w:space="0"/>
            </w:tcBorders>
            <w:noWrap/>
            <w:vAlign w:val="center"/>
          </w:tcPr>
          <w:p w14:paraId="64E5B0CA">
            <w:pPr>
              <w:pStyle w:val="557"/>
            </w:pPr>
            <w:r>
              <w:rPr>
                <w:rFonts w:hint="eastAsia"/>
              </w:rPr>
              <w:t>污染源名称</w:t>
            </w:r>
          </w:p>
        </w:tc>
        <w:tc>
          <w:tcPr>
            <w:tcW w:w="712" w:type="dxa"/>
            <w:vMerge w:val="restart"/>
            <w:tcBorders>
              <w:top w:val="single" w:color="auto" w:sz="4" w:space="0"/>
              <w:left w:val="single" w:color="auto" w:sz="4" w:space="0"/>
              <w:bottom w:val="single" w:color="auto" w:sz="4" w:space="0"/>
              <w:right w:val="single" w:color="auto" w:sz="4" w:space="0"/>
            </w:tcBorders>
            <w:noWrap/>
            <w:vAlign w:val="center"/>
          </w:tcPr>
          <w:p w14:paraId="5ABC28D9">
            <w:pPr>
              <w:pStyle w:val="557"/>
            </w:pPr>
            <w:r>
              <w:t>X</w:t>
            </w:r>
          </w:p>
        </w:tc>
        <w:tc>
          <w:tcPr>
            <w:tcW w:w="853" w:type="dxa"/>
            <w:vMerge w:val="restart"/>
            <w:tcBorders>
              <w:top w:val="single" w:color="auto" w:sz="4" w:space="0"/>
              <w:left w:val="single" w:color="auto" w:sz="4" w:space="0"/>
              <w:bottom w:val="single" w:color="auto" w:sz="4" w:space="0"/>
              <w:right w:val="single" w:color="auto" w:sz="4" w:space="0"/>
            </w:tcBorders>
            <w:noWrap/>
            <w:vAlign w:val="center"/>
          </w:tcPr>
          <w:p w14:paraId="7F77E325">
            <w:pPr>
              <w:pStyle w:val="557"/>
            </w:pPr>
            <w:r>
              <w:t>Y</w:t>
            </w:r>
          </w:p>
        </w:tc>
        <w:tc>
          <w:tcPr>
            <w:tcW w:w="854" w:type="dxa"/>
            <w:vMerge w:val="restart"/>
            <w:tcBorders>
              <w:top w:val="single" w:color="auto" w:sz="4" w:space="0"/>
              <w:left w:val="single" w:color="auto" w:sz="4" w:space="0"/>
              <w:bottom w:val="single" w:color="auto" w:sz="4" w:space="0"/>
              <w:right w:val="single" w:color="auto" w:sz="4" w:space="0"/>
            </w:tcBorders>
            <w:noWrap/>
            <w:vAlign w:val="center"/>
          </w:tcPr>
          <w:p w14:paraId="35520C3C">
            <w:pPr>
              <w:pStyle w:val="557"/>
            </w:pPr>
            <w:r>
              <w:rPr>
                <w:rFonts w:hint="eastAsia"/>
              </w:rPr>
              <w:t>面源宽度（</w:t>
            </w:r>
            <w:r>
              <w:t>m</w:t>
            </w:r>
            <w:r>
              <w:rPr>
                <w:rFonts w:hint="eastAsia"/>
              </w:rPr>
              <w:t>）</w:t>
            </w:r>
          </w:p>
        </w:tc>
        <w:tc>
          <w:tcPr>
            <w:tcW w:w="853" w:type="dxa"/>
            <w:vMerge w:val="restart"/>
            <w:tcBorders>
              <w:top w:val="single" w:color="auto" w:sz="4" w:space="0"/>
              <w:left w:val="single" w:color="auto" w:sz="4" w:space="0"/>
              <w:bottom w:val="single" w:color="auto" w:sz="4" w:space="0"/>
              <w:right w:val="single" w:color="auto" w:sz="4" w:space="0"/>
            </w:tcBorders>
            <w:noWrap/>
            <w:vAlign w:val="center"/>
          </w:tcPr>
          <w:p w14:paraId="27AC3523">
            <w:pPr>
              <w:pStyle w:val="557"/>
            </w:pPr>
            <w:r>
              <w:rPr>
                <w:rFonts w:hint="eastAsia"/>
              </w:rPr>
              <w:t>面源长度（</w:t>
            </w:r>
            <w:r>
              <w:t>m</w:t>
            </w:r>
            <w:r>
              <w:rPr>
                <w:rFonts w:hint="eastAsia"/>
              </w:rPr>
              <w:t>）</w:t>
            </w:r>
          </w:p>
        </w:tc>
        <w:tc>
          <w:tcPr>
            <w:tcW w:w="996" w:type="dxa"/>
            <w:vMerge w:val="restart"/>
            <w:tcBorders>
              <w:top w:val="single" w:color="auto" w:sz="4" w:space="0"/>
              <w:left w:val="single" w:color="auto" w:sz="4" w:space="0"/>
              <w:bottom w:val="single" w:color="auto" w:sz="4" w:space="0"/>
              <w:right w:val="single" w:color="auto" w:sz="4" w:space="0"/>
            </w:tcBorders>
            <w:noWrap/>
            <w:vAlign w:val="center"/>
          </w:tcPr>
          <w:p w14:paraId="147F434E">
            <w:pPr>
              <w:pStyle w:val="557"/>
            </w:pPr>
            <w:r>
              <w:rPr>
                <w:rFonts w:hint="eastAsia"/>
              </w:rPr>
              <w:t>面</w:t>
            </w:r>
            <w:r>
              <w:t>(</w:t>
            </w:r>
            <w:r>
              <w:rPr>
                <w:rFonts w:hint="eastAsia"/>
              </w:rPr>
              <w:t>体</w:t>
            </w:r>
            <w:r>
              <w:t>)</w:t>
            </w:r>
            <w:r>
              <w:rPr>
                <w:rFonts w:hint="eastAsia"/>
              </w:rPr>
              <w:t>源角度（°）</w:t>
            </w:r>
          </w:p>
        </w:tc>
        <w:tc>
          <w:tcPr>
            <w:tcW w:w="854" w:type="dxa"/>
            <w:vMerge w:val="restart"/>
            <w:tcBorders>
              <w:top w:val="single" w:color="auto" w:sz="4" w:space="0"/>
              <w:left w:val="single" w:color="auto" w:sz="4" w:space="0"/>
              <w:bottom w:val="single" w:color="auto" w:sz="4" w:space="0"/>
              <w:right w:val="single" w:color="auto" w:sz="4" w:space="0"/>
            </w:tcBorders>
            <w:noWrap/>
            <w:vAlign w:val="center"/>
          </w:tcPr>
          <w:p w14:paraId="7145B4AA">
            <w:pPr>
              <w:pStyle w:val="557"/>
            </w:pPr>
            <w:r>
              <w:rPr>
                <w:rFonts w:hint="eastAsia"/>
              </w:rPr>
              <w:t>有效高</w:t>
            </w:r>
            <w:r>
              <w:t>He</w:t>
            </w:r>
            <w:r>
              <w:rPr>
                <w:rFonts w:hint="eastAsia"/>
              </w:rPr>
              <w:t>（</w:t>
            </w:r>
            <w:r>
              <w:t>m</w:t>
            </w:r>
            <w:r>
              <w:rPr>
                <w:rFonts w:hint="eastAsia"/>
              </w:rPr>
              <w:t>）</w:t>
            </w:r>
          </w:p>
        </w:tc>
        <w:tc>
          <w:tcPr>
            <w:tcW w:w="5760" w:type="dxa"/>
            <w:gridSpan w:val="9"/>
            <w:tcBorders>
              <w:top w:val="single" w:color="auto" w:sz="4" w:space="0"/>
              <w:left w:val="single" w:color="auto" w:sz="4" w:space="0"/>
              <w:bottom w:val="single" w:color="auto" w:sz="4" w:space="0"/>
              <w:right w:val="single" w:color="auto" w:sz="4" w:space="0"/>
            </w:tcBorders>
            <w:vAlign w:val="center"/>
          </w:tcPr>
          <w:p w14:paraId="1A30D9D7">
            <w:pPr>
              <w:pStyle w:val="557"/>
            </w:pPr>
            <w:r>
              <w:rPr>
                <w:rFonts w:hint="eastAsia"/>
              </w:rPr>
              <w:t>排放速率（</w:t>
            </w:r>
            <w:r>
              <w:t>kg/h</w:t>
            </w:r>
            <w:r>
              <w:rPr>
                <w:rFonts w:hint="eastAsia"/>
              </w:rPr>
              <w:t>）</w:t>
            </w:r>
          </w:p>
        </w:tc>
      </w:tr>
      <w:tr w14:paraId="1CB3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14:paraId="317AB109">
            <w:pPr>
              <w:pStyle w:val="557"/>
            </w:pPr>
          </w:p>
        </w:tc>
        <w:tc>
          <w:tcPr>
            <w:tcW w:w="1708" w:type="dxa"/>
            <w:vMerge w:val="continue"/>
            <w:tcBorders>
              <w:top w:val="single" w:color="auto" w:sz="4" w:space="0"/>
              <w:left w:val="single" w:color="auto" w:sz="4" w:space="0"/>
              <w:bottom w:val="single" w:color="auto" w:sz="4" w:space="0"/>
              <w:right w:val="single" w:color="auto" w:sz="4" w:space="0"/>
            </w:tcBorders>
            <w:vAlign w:val="center"/>
          </w:tcPr>
          <w:p w14:paraId="4AE68641">
            <w:pPr>
              <w:pStyle w:val="557"/>
            </w:pPr>
          </w:p>
        </w:tc>
        <w:tc>
          <w:tcPr>
            <w:tcW w:w="712" w:type="dxa"/>
            <w:vMerge w:val="continue"/>
            <w:tcBorders>
              <w:top w:val="single" w:color="auto" w:sz="4" w:space="0"/>
              <w:left w:val="single" w:color="auto" w:sz="4" w:space="0"/>
              <w:bottom w:val="single" w:color="auto" w:sz="4" w:space="0"/>
              <w:right w:val="single" w:color="auto" w:sz="4" w:space="0"/>
            </w:tcBorders>
            <w:vAlign w:val="center"/>
          </w:tcPr>
          <w:p w14:paraId="08B9393E">
            <w:pPr>
              <w:pStyle w:val="557"/>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44D5B9E5">
            <w:pPr>
              <w:pStyle w:val="557"/>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6494CC6">
            <w:pPr>
              <w:pStyle w:val="557"/>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551325D0">
            <w:pPr>
              <w:pStyle w:val="557"/>
            </w:pPr>
          </w:p>
        </w:tc>
        <w:tc>
          <w:tcPr>
            <w:tcW w:w="996" w:type="dxa"/>
            <w:vMerge w:val="continue"/>
            <w:tcBorders>
              <w:top w:val="single" w:color="auto" w:sz="4" w:space="0"/>
              <w:left w:val="single" w:color="auto" w:sz="4" w:space="0"/>
              <w:bottom w:val="single" w:color="auto" w:sz="4" w:space="0"/>
              <w:right w:val="single" w:color="auto" w:sz="4" w:space="0"/>
            </w:tcBorders>
            <w:vAlign w:val="center"/>
          </w:tcPr>
          <w:p w14:paraId="5A9E8D41">
            <w:pPr>
              <w:pStyle w:val="557"/>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F9DD7A6">
            <w:pPr>
              <w:pStyle w:val="557"/>
            </w:pPr>
          </w:p>
        </w:tc>
        <w:tc>
          <w:tcPr>
            <w:tcW w:w="712" w:type="dxa"/>
            <w:tcBorders>
              <w:top w:val="single" w:color="auto" w:sz="4" w:space="0"/>
              <w:left w:val="single" w:color="auto" w:sz="4" w:space="0"/>
              <w:bottom w:val="single" w:color="auto" w:sz="4" w:space="0"/>
              <w:right w:val="single" w:color="auto" w:sz="4" w:space="0"/>
            </w:tcBorders>
            <w:noWrap/>
            <w:vAlign w:val="center"/>
          </w:tcPr>
          <w:p w14:paraId="3566B766">
            <w:pPr>
              <w:pStyle w:val="557"/>
            </w:pPr>
            <w:r>
              <w:t>SO</w:t>
            </w:r>
            <w:r>
              <w:rPr>
                <w:vertAlign w:val="subscript"/>
              </w:rPr>
              <w:t>2</w:t>
            </w:r>
          </w:p>
        </w:tc>
        <w:tc>
          <w:tcPr>
            <w:tcW w:w="711" w:type="dxa"/>
            <w:tcBorders>
              <w:top w:val="single" w:color="auto" w:sz="4" w:space="0"/>
              <w:left w:val="single" w:color="auto" w:sz="4" w:space="0"/>
              <w:bottom w:val="single" w:color="auto" w:sz="4" w:space="0"/>
              <w:right w:val="single" w:color="auto" w:sz="4" w:space="0"/>
            </w:tcBorders>
            <w:noWrap/>
            <w:vAlign w:val="center"/>
          </w:tcPr>
          <w:p w14:paraId="40969175">
            <w:pPr>
              <w:pStyle w:val="557"/>
            </w:pPr>
            <w:r>
              <w:t>NO</w:t>
            </w:r>
            <w:r>
              <w:rPr>
                <w:vertAlign w:val="subscript"/>
              </w:rPr>
              <w:t>2</w:t>
            </w:r>
          </w:p>
        </w:tc>
        <w:tc>
          <w:tcPr>
            <w:tcW w:w="854" w:type="dxa"/>
            <w:tcBorders>
              <w:top w:val="single" w:color="auto" w:sz="4" w:space="0"/>
              <w:left w:val="single" w:color="auto" w:sz="4" w:space="0"/>
              <w:bottom w:val="single" w:color="auto" w:sz="4" w:space="0"/>
              <w:right w:val="single" w:color="auto" w:sz="4" w:space="0"/>
            </w:tcBorders>
            <w:noWrap/>
            <w:vAlign w:val="center"/>
          </w:tcPr>
          <w:p w14:paraId="6B570154">
            <w:pPr>
              <w:pStyle w:val="557"/>
            </w:pPr>
            <w:r>
              <w:t>TSP</w:t>
            </w:r>
          </w:p>
        </w:tc>
        <w:tc>
          <w:tcPr>
            <w:tcW w:w="712" w:type="dxa"/>
            <w:tcBorders>
              <w:top w:val="single" w:color="auto" w:sz="4" w:space="0"/>
              <w:left w:val="single" w:color="auto" w:sz="4" w:space="0"/>
              <w:bottom w:val="single" w:color="auto" w:sz="4" w:space="0"/>
              <w:right w:val="single" w:color="auto" w:sz="4" w:space="0"/>
            </w:tcBorders>
            <w:vAlign w:val="center"/>
          </w:tcPr>
          <w:p w14:paraId="03DAECD4">
            <w:pPr>
              <w:pStyle w:val="557"/>
            </w:pPr>
            <w:r>
              <w:rPr>
                <w:rFonts w:hint="eastAsia"/>
              </w:rPr>
              <w:t>氨</w:t>
            </w:r>
          </w:p>
        </w:tc>
        <w:tc>
          <w:tcPr>
            <w:tcW w:w="705" w:type="dxa"/>
            <w:tcBorders>
              <w:top w:val="single" w:color="auto" w:sz="4" w:space="0"/>
              <w:left w:val="single" w:color="auto" w:sz="4" w:space="0"/>
              <w:bottom w:val="single" w:color="auto" w:sz="4" w:space="0"/>
              <w:right w:val="single" w:color="auto" w:sz="4" w:space="0"/>
            </w:tcBorders>
            <w:noWrap/>
            <w:vAlign w:val="center"/>
          </w:tcPr>
          <w:p w14:paraId="00BC377E">
            <w:pPr>
              <w:pStyle w:val="557"/>
            </w:pPr>
            <w:r>
              <w:t>H</w:t>
            </w:r>
            <w:r>
              <w:rPr>
                <w:vertAlign w:val="subscript"/>
              </w:rPr>
              <w:t>2</w:t>
            </w:r>
            <w:r>
              <w:t>S</w:t>
            </w:r>
          </w:p>
        </w:tc>
        <w:tc>
          <w:tcPr>
            <w:tcW w:w="675" w:type="dxa"/>
            <w:tcBorders>
              <w:top w:val="single" w:color="auto" w:sz="4" w:space="0"/>
              <w:left w:val="single" w:color="auto" w:sz="4" w:space="0"/>
              <w:bottom w:val="single" w:color="auto" w:sz="4" w:space="0"/>
              <w:right w:val="single" w:color="auto" w:sz="4" w:space="0"/>
            </w:tcBorders>
            <w:noWrap/>
            <w:vAlign w:val="center"/>
          </w:tcPr>
          <w:p w14:paraId="4FA99246">
            <w:pPr>
              <w:pStyle w:val="557"/>
            </w:pPr>
            <w:r>
              <w:rPr>
                <w:rFonts w:hint="eastAsia"/>
              </w:rPr>
              <w:t>甲醇</w:t>
            </w:r>
          </w:p>
        </w:tc>
        <w:tc>
          <w:tcPr>
            <w:tcW w:w="841" w:type="dxa"/>
            <w:tcBorders>
              <w:top w:val="single" w:color="auto" w:sz="4" w:space="0"/>
              <w:left w:val="single" w:color="auto" w:sz="4" w:space="0"/>
              <w:bottom w:val="single" w:color="auto" w:sz="4" w:space="0"/>
              <w:right w:val="single" w:color="auto" w:sz="4" w:space="0"/>
            </w:tcBorders>
            <w:noWrap/>
            <w:vAlign w:val="center"/>
          </w:tcPr>
          <w:p w14:paraId="375D556F">
            <w:pPr>
              <w:pStyle w:val="557"/>
            </w:pPr>
            <w:r>
              <w:t>NMHC</w:t>
            </w:r>
          </w:p>
        </w:tc>
        <w:tc>
          <w:tcPr>
            <w:tcW w:w="544" w:type="dxa"/>
            <w:tcBorders>
              <w:top w:val="single" w:color="auto" w:sz="4" w:space="0"/>
              <w:left w:val="single" w:color="auto" w:sz="4" w:space="0"/>
              <w:bottom w:val="single" w:color="auto" w:sz="4" w:space="0"/>
              <w:right w:val="single" w:color="auto" w:sz="4" w:space="0"/>
            </w:tcBorders>
            <w:noWrap/>
            <w:vAlign w:val="center"/>
          </w:tcPr>
          <w:p w14:paraId="12A345A4">
            <w:pPr>
              <w:pStyle w:val="557"/>
            </w:pPr>
            <w:r>
              <w:rPr>
                <w:rFonts w:hint="eastAsia"/>
              </w:rPr>
              <w:t>硫酸</w:t>
            </w:r>
          </w:p>
        </w:tc>
      </w:tr>
      <w:tr w14:paraId="71C6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25D8D32F">
            <w:pPr>
              <w:pStyle w:val="557"/>
            </w:pPr>
            <w:r>
              <w:t>1</w:t>
            </w:r>
          </w:p>
        </w:tc>
        <w:tc>
          <w:tcPr>
            <w:tcW w:w="1708" w:type="dxa"/>
            <w:tcBorders>
              <w:top w:val="single" w:color="auto" w:sz="4" w:space="0"/>
              <w:left w:val="single" w:color="auto" w:sz="4" w:space="0"/>
              <w:bottom w:val="single" w:color="auto" w:sz="4" w:space="0"/>
              <w:right w:val="single" w:color="auto" w:sz="4" w:space="0"/>
            </w:tcBorders>
            <w:noWrap/>
            <w:vAlign w:val="center"/>
          </w:tcPr>
          <w:p w14:paraId="0A2A7DC1">
            <w:pPr>
              <w:pStyle w:val="557"/>
            </w:pPr>
            <w:r>
              <w:rPr>
                <w:rFonts w:hint="eastAsia"/>
              </w:rPr>
              <w:t>路洋瑞航污水处理站</w:t>
            </w:r>
          </w:p>
        </w:tc>
        <w:tc>
          <w:tcPr>
            <w:tcW w:w="712" w:type="dxa"/>
            <w:tcBorders>
              <w:top w:val="single" w:color="auto" w:sz="4" w:space="0"/>
              <w:left w:val="single" w:color="auto" w:sz="4" w:space="0"/>
              <w:bottom w:val="single" w:color="auto" w:sz="4" w:space="0"/>
              <w:right w:val="single" w:color="auto" w:sz="4" w:space="0"/>
            </w:tcBorders>
            <w:noWrap/>
            <w:vAlign w:val="center"/>
          </w:tcPr>
          <w:p w14:paraId="1B271A20">
            <w:pPr>
              <w:pStyle w:val="557"/>
            </w:pPr>
            <w:r>
              <w:rPr>
                <w:rFonts w:hint="eastAsia"/>
              </w:rPr>
              <w:t>1763</w:t>
            </w:r>
          </w:p>
        </w:tc>
        <w:tc>
          <w:tcPr>
            <w:tcW w:w="853" w:type="dxa"/>
            <w:tcBorders>
              <w:top w:val="single" w:color="auto" w:sz="4" w:space="0"/>
              <w:left w:val="single" w:color="auto" w:sz="4" w:space="0"/>
              <w:bottom w:val="single" w:color="auto" w:sz="4" w:space="0"/>
              <w:right w:val="single" w:color="auto" w:sz="4" w:space="0"/>
            </w:tcBorders>
            <w:noWrap/>
            <w:vAlign w:val="center"/>
          </w:tcPr>
          <w:p w14:paraId="4621FC44">
            <w:pPr>
              <w:pStyle w:val="557"/>
            </w:pPr>
            <w:r>
              <w:rPr>
                <w:rFonts w:hint="eastAsia"/>
              </w:rPr>
              <w:t>-1153</w:t>
            </w:r>
          </w:p>
        </w:tc>
        <w:tc>
          <w:tcPr>
            <w:tcW w:w="854" w:type="dxa"/>
            <w:tcBorders>
              <w:top w:val="single" w:color="auto" w:sz="4" w:space="0"/>
              <w:left w:val="single" w:color="auto" w:sz="4" w:space="0"/>
              <w:bottom w:val="single" w:color="auto" w:sz="4" w:space="0"/>
              <w:right w:val="single" w:color="auto" w:sz="4" w:space="0"/>
            </w:tcBorders>
            <w:noWrap/>
            <w:vAlign w:val="center"/>
          </w:tcPr>
          <w:p w14:paraId="20D790DA">
            <w:pPr>
              <w:pStyle w:val="557"/>
            </w:pPr>
            <w:r>
              <w:rPr>
                <w:rFonts w:hint="eastAsia"/>
              </w:rPr>
              <w:t>10</w:t>
            </w:r>
          </w:p>
        </w:tc>
        <w:tc>
          <w:tcPr>
            <w:tcW w:w="853" w:type="dxa"/>
            <w:tcBorders>
              <w:top w:val="single" w:color="auto" w:sz="4" w:space="0"/>
              <w:left w:val="single" w:color="auto" w:sz="4" w:space="0"/>
              <w:bottom w:val="single" w:color="auto" w:sz="4" w:space="0"/>
              <w:right w:val="single" w:color="auto" w:sz="4" w:space="0"/>
            </w:tcBorders>
            <w:noWrap/>
            <w:vAlign w:val="center"/>
          </w:tcPr>
          <w:p w14:paraId="08DCAE00">
            <w:pPr>
              <w:pStyle w:val="557"/>
            </w:pPr>
            <w:r>
              <w:rPr>
                <w:rFonts w:hint="eastAsia"/>
              </w:rPr>
              <w:t>20</w:t>
            </w:r>
          </w:p>
        </w:tc>
        <w:tc>
          <w:tcPr>
            <w:tcW w:w="996" w:type="dxa"/>
            <w:tcBorders>
              <w:top w:val="single" w:color="auto" w:sz="4" w:space="0"/>
              <w:left w:val="single" w:color="auto" w:sz="4" w:space="0"/>
              <w:bottom w:val="single" w:color="auto" w:sz="4" w:space="0"/>
              <w:right w:val="single" w:color="auto" w:sz="4" w:space="0"/>
            </w:tcBorders>
            <w:noWrap/>
            <w:vAlign w:val="center"/>
          </w:tcPr>
          <w:p w14:paraId="150BEF53">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05E8F4E9">
            <w:pPr>
              <w:pStyle w:val="557"/>
            </w:pPr>
            <w:r>
              <w:rPr>
                <w:rFonts w:hint="eastAsia"/>
              </w:rPr>
              <w:t>9</w:t>
            </w:r>
          </w:p>
        </w:tc>
        <w:tc>
          <w:tcPr>
            <w:tcW w:w="712" w:type="dxa"/>
            <w:tcBorders>
              <w:top w:val="single" w:color="auto" w:sz="4" w:space="0"/>
              <w:left w:val="single" w:color="auto" w:sz="4" w:space="0"/>
              <w:bottom w:val="single" w:color="auto" w:sz="4" w:space="0"/>
              <w:right w:val="single" w:color="auto" w:sz="4" w:space="0"/>
            </w:tcBorders>
            <w:noWrap/>
            <w:vAlign w:val="center"/>
          </w:tcPr>
          <w:p w14:paraId="55083322">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69E8ACD">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B3FA014">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52ED15A7">
            <w:pPr>
              <w:pStyle w:val="557"/>
            </w:pPr>
            <w:r>
              <w:rPr>
                <w:rFonts w:hint="eastAsia"/>
              </w:rPr>
              <w:t>0.0002</w:t>
            </w:r>
          </w:p>
        </w:tc>
        <w:tc>
          <w:tcPr>
            <w:tcW w:w="705" w:type="dxa"/>
            <w:tcBorders>
              <w:top w:val="single" w:color="auto" w:sz="4" w:space="0"/>
              <w:left w:val="single" w:color="auto" w:sz="4" w:space="0"/>
              <w:bottom w:val="single" w:color="auto" w:sz="4" w:space="0"/>
              <w:right w:val="single" w:color="auto" w:sz="4" w:space="0"/>
            </w:tcBorders>
            <w:noWrap/>
            <w:vAlign w:val="center"/>
          </w:tcPr>
          <w:p w14:paraId="6C648134">
            <w:pPr>
              <w:pStyle w:val="557"/>
            </w:pPr>
            <w:r>
              <w:rPr>
                <w:rFonts w:hint="eastAsia"/>
              </w:rPr>
              <w:t>0.0001</w:t>
            </w:r>
          </w:p>
        </w:tc>
        <w:tc>
          <w:tcPr>
            <w:tcW w:w="675" w:type="dxa"/>
            <w:tcBorders>
              <w:top w:val="single" w:color="auto" w:sz="4" w:space="0"/>
              <w:left w:val="single" w:color="auto" w:sz="4" w:space="0"/>
              <w:bottom w:val="single" w:color="auto" w:sz="4" w:space="0"/>
              <w:right w:val="single" w:color="auto" w:sz="4" w:space="0"/>
            </w:tcBorders>
            <w:noWrap/>
            <w:vAlign w:val="center"/>
          </w:tcPr>
          <w:p w14:paraId="66BDAA6A">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153F8E89">
            <w:pPr>
              <w:pStyle w:val="557"/>
            </w:pPr>
            <w:r>
              <w:rPr>
                <w:rFonts w:hint="eastAsia"/>
              </w:rPr>
              <w:t>0.0003</w:t>
            </w:r>
          </w:p>
        </w:tc>
        <w:tc>
          <w:tcPr>
            <w:tcW w:w="544" w:type="dxa"/>
            <w:tcBorders>
              <w:top w:val="single" w:color="auto" w:sz="4" w:space="0"/>
              <w:left w:val="single" w:color="auto" w:sz="4" w:space="0"/>
              <w:bottom w:val="single" w:color="auto" w:sz="4" w:space="0"/>
              <w:right w:val="single" w:color="auto" w:sz="4" w:space="0"/>
            </w:tcBorders>
            <w:noWrap/>
            <w:vAlign w:val="center"/>
          </w:tcPr>
          <w:p w14:paraId="424BD212">
            <w:pPr>
              <w:pStyle w:val="557"/>
            </w:pPr>
            <w:r>
              <w:rPr>
                <w:rFonts w:hint="eastAsia"/>
              </w:rPr>
              <w:t>/</w:t>
            </w:r>
          </w:p>
        </w:tc>
      </w:tr>
      <w:tr w14:paraId="4735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72DEE722">
            <w:pPr>
              <w:pStyle w:val="557"/>
            </w:pPr>
            <w:r>
              <w:t>2</w:t>
            </w:r>
          </w:p>
        </w:tc>
        <w:tc>
          <w:tcPr>
            <w:tcW w:w="1708" w:type="dxa"/>
            <w:tcBorders>
              <w:top w:val="single" w:color="auto" w:sz="4" w:space="0"/>
              <w:left w:val="single" w:color="auto" w:sz="4" w:space="0"/>
              <w:bottom w:val="single" w:color="auto" w:sz="4" w:space="0"/>
              <w:right w:val="single" w:color="auto" w:sz="4" w:space="0"/>
            </w:tcBorders>
            <w:noWrap/>
            <w:vAlign w:val="center"/>
          </w:tcPr>
          <w:p w14:paraId="6C55FC0F">
            <w:pPr>
              <w:pStyle w:val="557"/>
            </w:pPr>
            <w:r>
              <w:rPr>
                <w:rFonts w:hint="eastAsia"/>
              </w:rPr>
              <w:t>路洋瑞航精胺装置区</w:t>
            </w:r>
          </w:p>
        </w:tc>
        <w:tc>
          <w:tcPr>
            <w:tcW w:w="712" w:type="dxa"/>
            <w:tcBorders>
              <w:top w:val="single" w:color="auto" w:sz="4" w:space="0"/>
              <w:left w:val="single" w:color="auto" w:sz="4" w:space="0"/>
              <w:bottom w:val="single" w:color="auto" w:sz="4" w:space="0"/>
              <w:right w:val="single" w:color="auto" w:sz="4" w:space="0"/>
            </w:tcBorders>
            <w:noWrap/>
            <w:vAlign w:val="center"/>
          </w:tcPr>
          <w:p w14:paraId="39B3BD44">
            <w:pPr>
              <w:pStyle w:val="557"/>
            </w:pPr>
            <w:r>
              <w:rPr>
                <w:rFonts w:hint="eastAsia"/>
              </w:rPr>
              <w:t>1740</w:t>
            </w:r>
          </w:p>
        </w:tc>
        <w:tc>
          <w:tcPr>
            <w:tcW w:w="853" w:type="dxa"/>
            <w:tcBorders>
              <w:top w:val="single" w:color="auto" w:sz="4" w:space="0"/>
              <w:left w:val="single" w:color="auto" w:sz="4" w:space="0"/>
              <w:bottom w:val="single" w:color="auto" w:sz="4" w:space="0"/>
              <w:right w:val="single" w:color="auto" w:sz="4" w:space="0"/>
            </w:tcBorders>
            <w:noWrap/>
            <w:vAlign w:val="center"/>
          </w:tcPr>
          <w:p w14:paraId="3F70B03F">
            <w:pPr>
              <w:pStyle w:val="557"/>
            </w:pPr>
            <w:r>
              <w:rPr>
                <w:rFonts w:hint="eastAsia"/>
              </w:rPr>
              <w:t>-1188</w:t>
            </w:r>
          </w:p>
        </w:tc>
        <w:tc>
          <w:tcPr>
            <w:tcW w:w="854" w:type="dxa"/>
            <w:tcBorders>
              <w:top w:val="single" w:color="auto" w:sz="4" w:space="0"/>
              <w:left w:val="single" w:color="auto" w:sz="4" w:space="0"/>
              <w:bottom w:val="single" w:color="auto" w:sz="4" w:space="0"/>
              <w:right w:val="single" w:color="auto" w:sz="4" w:space="0"/>
            </w:tcBorders>
            <w:noWrap/>
            <w:vAlign w:val="center"/>
          </w:tcPr>
          <w:p w14:paraId="612632DB">
            <w:pPr>
              <w:pStyle w:val="557"/>
            </w:pPr>
            <w:r>
              <w:rPr>
                <w:rFonts w:hint="eastAsia"/>
              </w:rPr>
              <w:t>12</w:t>
            </w:r>
          </w:p>
        </w:tc>
        <w:tc>
          <w:tcPr>
            <w:tcW w:w="853" w:type="dxa"/>
            <w:tcBorders>
              <w:top w:val="single" w:color="auto" w:sz="4" w:space="0"/>
              <w:left w:val="single" w:color="auto" w:sz="4" w:space="0"/>
              <w:bottom w:val="single" w:color="auto" w:sz="4" w:space="0"/>
              <w:right w:val="single" w:color="auto" w:sz="4" w:space="0"/>
            </w:tcBorders>
            <w:noWrap/>
            <w:vAlign w:val="center"/>
          </w:tcPr>
          <w:p w14:paraId="1179F0D3">
            <w:pPr>
              <w:pStyle w:val="557"/>
            </w:pPr>
            <w:r>
              <w:rPr>
                <w:rFonts w:hint="eastAsia"/>
              </w:rPr>
              <w:t>50</w:t>
            </w:r>
          </w:p>
        </w:tc>
        <w:tc>
          <w:tcPr>
            <w:tcW w:w="996" w:type="dxa"/>
            <w:tcBorders>
              <w:top w:val="single" w:color="auto" w:sz="4" w:space="0"/>
              <w:left w:val="single" w:color="auto" w:sz="4" w:space="0"/>
              <w:bottom w:val="single" w:color="auto" w:sz="4" w:space="0"/>
              <w:right w:val="single" w:color="auto" w:sz="4" w:space="0"/>
            </w:tcBorders>
            <w:noWrap/>
            <w:vAlign w:val="center"/>
          </w:tcPr>
          <w:p w14:paraId="0E188C66">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5ECECBF1">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3E72C0C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35B7A06">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7651430">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7BC477BC">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3B3262B4">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17017387">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2DB9B73E">
            <w:pPr>
              <w:pStyle w:val="557"/>
            </w:pPr>
            <w:r>
              <w:rPr>
                <w:rFonts w:hint="eastAsia"/>
              </w:rPr>
              <w:t>4.35</w:t>
            </w:r>
          </w:p>
        </w:tc>
        <w:tc>
          <w:tcPr>
            <w:tcW w:w="544" w:type="dxa"/>
            <w:tcBorders>
              <w:top w:val="single" w:color="auto" w:sz="4" w:space="0"/>
              <w:left w:val="single" w:color="auto" w:sz="4" w:space="0"/>
              <w:bottom w:val="single" w:color="auto" w:sz="4" w:space="0"/>
              <w:right w:val="single" w:color="auto" w:sz="4" w:space="0"/>
            </w:tcBorders>
            <w:noWrap/>
            <w:vAlign w:val="center"/>
          </w:tcPr>
          <w:p w14:paraId="48B79E03">
            <w:pPr>
              <w:pStyle w:val="557"/>
            </w:pPr>
            <w:r>
              <w:rPr>
                <w:rFonts w:hint="eastAsia"/>
              </w:rPr>
              <w:t>/</w:t>
            </w:r>
          </w:p>
        </w:tc>
      </w:tr>
      <w:tr w14:paraId="14CB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7517E3DC">
            <w:pPr>
              <w:pStyle w:val="557"/>
            </w:pPr>
            <w:r>
              <w:rPr>
                <w:rFonts w:hint="eastAsia"/>
              </w:rPr>
              <w:t>3</w:t>
            </w:r>
          </w:p>
        </w:tc>
        <w:tc>
          <w:tcPr>
            <w:tcW w:w="1708" w:type="dxa"/>
            <w:tcBorders>
              <w:top w:val="single" w:color="auto" w:sz="4" w:space="0"/>
              <w:left w:val="single" w:color="auto" w:sz="4" w:space="0"/>
              <w:bottom w:val="single" w:color="auto" w:sz="4" w:space="0"/>
              <w:right w:val="single" w:color="auto" w:sz="4" w:space="0"/>
            </w:tcBorders>
            <w:noWrap/>
            <w:vAlign w:val="center"/>
          </w:tcPr>
          <w:p w14:paraId="308D5CC5">
            <w:pPr>
              <w:pStyle w:val="557"/>
            </w:pPr>
            <w:r>
              <w:rPr>
                <w:rFonts w:hint="eastAsia"/>
              </w:rPr>
              <w:t>路洋瑞航一罐区</w:t>
            </w:r>
          </w:p>
        </w:tc>
        <w:tc>
          <w:tcPr>
            <w:tcW w:w="712" w:type="dxa"/>
            <w:tcBorders>
              <w:top w:val="single" w:color="auto" w:sz="4" w:space="0"/>
              <w:left w:val="single" w:color="auto" w:sz="4" w:space="0"/>
              <w:bottom w:val="single" w:color="auto" w:sz="4" w:space="0"/>
              <w:right w:val="single" w:color="auto" w:sz="4" w:space="0"/>
            </w:tcBorders>
            <w:noWrap/>
            <w:vAlign w:val="center"/>
          </w:tcPr>
          <w:p w14:paraId="3A2CB022">
            <w:pPr>
              <w:pStyle w:val="557"/>
            </w:pPr>
            <w:r>
              <w:rPr>
                <w:rFonts w:hint="eastAsia"/>
              </w:rPr>
              <w:t>1812</w:t>
            </w:r>
          </w:p>
        </w:tc>
        <w:tc>
          <w:tcPr>
            <w:tcW w:w="853" w:type="dxa"/>
            <w:tcBorders>
              <w:top w:val="single" w:color="auto" w:sz="4" w:space="0"/>
              <w:left w:val="single" w:color="auto" w:sz="4" w:space="0"/>
              <w:bottom w:val="single" w:color="auto" w:sz="4" w:space="0"/>
              <w:right w:val="single" w:color="auto" w:sz="4" w:space="0"/>
            </w:tcBorders>
            <w:noWrap/>
            <w:vAlign w:val="center"/>
          </w:tcPr>
          <w:p w14:paraId="5F6DD587">
            <w:pPr>
              <w:pStyle w:val="557"/>
            </w:pPr>
            <w:r>
              <w:rPr>
                <w:rFonts w:hint="eastAsia"/>
              </w:rPr>
              <w:t>-1155</w:t>
            </w:r>
          </w:p>
        </w:tc>
        <w:tc>
          <w:tcPr>
            <w:tcW w:w="854" w:type="dxa"/>
            <w:tcBorders>
              <w:top w:val="single" w:color="auto" w:sz="4" w:space="0"/>
              <w:left w:val="single" w:color="auto" w:sz="4" w:space="0"/>
              <w:bottom w:val="single" w:color="auto" w:sz="4" w:space="0"/>
              <w:right w:val="single" w:color="auto" w:sz="4" w:space="0"/>
            </w:tcBorders>
            <w:noWrap/>
            <w:vAlign w:val="center"/>
          </w:tcPr>
          <w:p w14:paraId="13A57955">
            <w:pPr>
              <w:pStyle w:val="557"/>
            </w:pPr>
            <w:r>
              <w:rPr>
                <w:rFonts w:hint="eastAsia"/>
              </w:rPr>
              <w:t>30</w:t>
            </w:r>
          </w:p>
        </w:tc>
        <w:tc>
          <w:tcPr>
            <w:tcW w:w="853" w:type="dxa"/>
            <w:tcBorders>
              <w:top w:val="single" w:color="auto" w:sz="4" w:space="0"/>
              <w:left w:val="single" w:color="auto" w:sz="4" w:space="0"/>
              <w:bottom w:val="single" w:color="auto" w:sz="4" w:space="0"/>
              <w:right w:val="single" w:color="auto" w:sz="4" w:space="0"/>
            </w:tcBorders>
            <w:noWrap/>
            <w:vAlign w:val="center"/>
          </w:tcPr>
          <w:p w14:paraId="4E2C6AD3">
            <w:pPr>
              <w:pStyle w:val="557"/>
            </w:pPr>
            <w:r>
              <w:rPr>
                <w:rFonts w:hint="eastAsia"/>
              </w:rPr>
              <w:t>20</w:t>
            </w:r>
          </w:p>
        </w:tc>
        <w:tc>
          <w:tcPr>
            <w:tcW w:w="996" w:type="dxa"/>
            <w:tcBorders>
              <w:top w:val="single" w:color="auto" w:sz="4" w:space="0"/>
              <w:left w:val="single" w:color="auto" w:sz="4" w:space="0"/>
              <w:bottom w:val="single" w:color="auto" w:sz="4" w:space="0"/>
              <w:right w:val="single" w:color="auto" w:sz="4" w:space="0"/>
            </w:tcBorders>
            <w:noWrap/>
            <w:vAlign w:val="center"/>
          </w:tcPr>
          <w:p w14:paraId="190AFC4B">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557D8257">
            <w:pPr>
              <w:pStyle w:val="557"/>
            </w:pPr>
            <w:r>
              <w:rPr>
                <w:rFonts w:hint="eastAsia"/>
              </w:rPr>
              <w:t>6</w:t>
            </w:r>
          </w:p>
        </w:tc>
        <w:tc>
          <w:tcPr>
            <w:tcW w:w="712" w:type="dxa"/>
            <w:tcBorders>
              <w:top w:val="single" w:color="auto" w:sz="4" w:space="0"/>
              <w:left w:val="single" w:color="auto" w:sz="4" w:space="0"/>
              <w:bottom w:val="single" w:color="auto" w:sz="4" w:space="0"/>
              <w:right w:val="single" w:color="auto" w:sz="4" w:space="0"/>
            </w:tcBorders>
            <w:noWrap/>
            <w:vAlign w:val="center"/>
          </w:tcPr>
          <w:p w14:paraId="4AFE2D2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141814EE">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AE7B26B">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25B4A969">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1ED3E269">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41A191A3">
            <w:pPr>
              <w:pStyle w:val="557"/>
            </w:pPr>
            <w:r>
              <w:rPr>
                <w:rFonts w:hint="eastAsia"/>
              </w:rPr>
              <w:t>0.02</w:t>
            </w:r>
          </w:p>
        </w:tc>
        <w:tc>
          <w:tcPr>
            <w:tcW w:w="841" w:type="dxa"/>
            <w:tcBorders>
              <w:top w:val="single" w:color="auto" w:sz="4" w:space="0"/>
              <w:left w:val="single" w:color="auto" w:sz="4" w:space="0"/>
              <w:bottom w:val="single" w:color="auto" w:sz="4" w:space="0"/>
              <w:right w:val="single" w:color="auto" w:sz="4" w:space="0"/>
            </w:tcBorders>
            <w:noWrap/>
            <w:vAlign w:val="center"/>
          </w:tcPr>
          <w:p w14:paraId="6E5CFC98">
            <w:pPr>
              <w:pStyle w:val="557"/>
            </w:pPr>
            <w:r>
              <w:rPr>
                <w:rFonts w:hint="eastAsia"/>
              </w:rPr>
              <w:t>0.05</w:t>
            </w:r>
          </w:p>
        </w:tc>
        <w:tc>
          <w:tcPr>
            <w:tcW w:w="544" w:type="dxa"/>
            <w:tcBorders>
              <w:top w:val="single" w:color="auto" w:sz="4" w:space="0"/>
              <w:left w:val="single" w:color="auto" w:sz="4" w:space="0"/>
              <w:bottom w:val="single" w:color="auto" w:sz="4" w:space="0"/>
              <w:right w:val="single" w:color="auto" w:sz="4" w:space="0"/>
            </w:tcBorders>
            <w:noWrap/>
            <w:vAlign w:val="center"/>
          </w:tcPr>
          <w:p w14:paraId="00534005">
            <w:pPr>
              <w:pStyle w:val="557"/>
            </w:pPr>
            <w:r>
              <w:rPr>
                <w:rFonts w:hint="eastAsia"/>
              </w:rPr>
              <w:t>/</w:t>
            </w:r>
          </w:p>
        </w:tc>
      </w:tr>
      <w:tr w14:paraId="2E7A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642EA6FD">
            <w:pPr>
              <w:pStyle w:val="557"/>
            </w:pPr>
            <w:r>
              <w:rPr>
                <w:rFonts w:hint="eastAsia"/>
              </w:rPr>
              <w:t>4</w:t>
            </w:r>
          </w:p>
        </w:tc>
        <w:tc>
          <w:tcPr>
            <w:tcW w:w="1708" w:type="dxa"/>
            <w:tcBorders>
              <w:top w:val="single" w:color="auto" w:sz="4" w:space="0"/>
              <w:left w:val="single" w:color="auto" w:sz="4" w:space="0"/>
              <w:bottom w:val="single" w:color="auto" w:sz="4" w:space="0"/>
              <w:right w:val="single" w:color="auto" w:sz="4" w:space="0"/>
            </w:tcBorders>
            <w:noWrap/>
            <w:vAlign w:val="center"/>
          </w:tcPr>
          <w:p w14:paraId="6CC9268F">
            <w:pPr>
              <w:pStyle w:val="557"/>
            </w:pPr>
            <w:r>
              <w:rPr>
                <w:rFonts w:hint="eastAsia"/>
              </w:rPr>
              <w:t>路洋瑞航中间罐</w:t>
            </w:r>
          </w:p>
        </w:tc>
        <w:tc>
          <w:tcPr>
            <w:tcW w:w="712" w:type="dxa"/>
            <w:tcBorders>
              <w:top w:val="single" w:color="auto" w:sz="4" w:space="0"/>
              <w:left w:val="single" w:color="auto" w:sz="4" w:space="0"/>
              <w:bottom w:val="single" w:color="auto" w:sz="4" w:space="0"/>
              <w:right w:val="single" w:color="auto" w:sz="4" w:space="0"/>
            </w:tcBorders>
            <w:noWrap/>
            <w:vAlign w:val="center"/>
          </w:tcPr>
          <w:p w14:paraId="7BD92884">
            <w:pPr>
              <w:pStyle w:val="557"/>
            </w:pPr>
            <w:r>
              <w:rPr>
                <w:rFonts w:hint="eastAsia"/>
              </w:rPr>
              <w:t>1751</w:t>
            </w:r>
          </w:p>
        </w:tc>
        <w:tc>
          <w:tcPr>
            <w:tcW w:w="853" w:type="dxa"/>
            <w:tcBorders>
              <w:top w:val="single" w:color="auto" w:sz="4" w:space="0"/>
              <w:left w:val="single" w:color="auto" w:sz="4" w:space="0"/>
              <w:bottom w:val="single" w:color="auto" w:sz="4" w:space="0"/>
              <w:right w:val="single" w:color="auto" w:sz="4" w:space="0"/>
            </w:tcBorders>
            <w:noWrap/>
            <w:vAlign w:val="center"/>
          </w:tcPr>
          <w:p w14:paraId="54F457CC">
            <w:pPr>
              <w:pStyle w:val="557"/>
            </w:pPr>
            <w:r>
              <w:rPr>
                <w:rFonts w:hint="eastAsia"/>
              </w:rPr>
              <w:t>-1258</w:t>
            </w:r>
          </w:p>
        </w:tc>
        <w:tc>
          <w:tcPr>
            <w:tcW w:w="854" w:type="dxa"/>
            <w:tcBorders>
              <w:top w:val="single" w:color="auto" w:sz="4" w:space="0"/>
              <w:left w:val="single" w:color="auto" w:sz="4" w:space="0"/>
              <w:bottom w:val="single" w:color="auto" w:sz="4" w:space="0"/>
              <w:right w:val="single" w:color="auto" w:sz="4" w:space="0"/>
            </w:tcBorders>
            <w:noWrap/>
            <w:vAlign w:val="center"/>
          </w:tcPr>
          <w:p w14:paraId="3CD91316">
            <w:pPr>
              <w:pStyle w:val="557"/>
            </w:pPr>
            <w:r>
              <w:rPr>
                <w:rFonts w:hint="eastAsia"/>
              </w:rPr>
              <w:t>24</w:t>
            </w:r>
          </w:p>
        </w:tc>
        <w:tc>
          <w:tcPr>
            <w:tcW w:w="853" w:type="dxa"/>
            <w:tcBorders>
              <w:top w:val="single" w:color="auto" w:sz="4" w:space="0"/>
              <w:left w:val="single" w:color="auto" w:sz="4" w:space="0"/>
              <w:bottom w:val="single" w:color="auto" w:sz="4" w:space="0"/>
              <w:right w:val="single" w:color="auto" w:sz="4" w:space="0"/>
            </w:tcBorders>
            <w:noWrap/>
            <w:vAlign w:val="center"/>
          </w:tcPr>
          <w:p w14:paraId="6EBE14FF">
            <w:pPr>
              <w:pStyle w:val="557"/>
            </w:pPr>
            <w:r>
              <w:rPr>
                <w:rFonts w:hint="eastAsia"/>
              </w:rPr>
              <w:t>48</w:t>
            </w:r>
          </w:p>
        </w:tc>
        <w:tc>
          <w:tcPr>
            <w:tcW w:w="996" w:type="dxa"/>
            <w:tcBorders>
              <w:top w:val="single" w:color="auto" w:sz="4" w:space="0"/>
              <w:left w:val="single" w:color="auto" w:sz="4" w:space="0"/>
              <w:bottom w:val="single" w:color="auto" w:sz="4" w:space="0"/>
              <w:right w:val="single" w:color="auto" w:sz="4" w:space="0"/>
            </w:tcBorders>
            <w:noWrap/>
            <w:vAlign w:val="center"/>
          </w:tcPr>
          <w:p w14:paraId="0D386AF5">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486BF745">
            <w:pPr>
              <w:pStyle w:val="557"/>
            </w:pPr>
            <w:r>
              <w:rPr>
                <w:rFonts w:hint="eastAsia"/>
              </w:rPr>
              <w:t>6</w:t>
            </w:r>
          </w:p>
        </w:tc>
        <w:tc>
          <w:tcPr>
            <w:tcW w:w="712" w:type="dxa"/>
            <w:tcBorders>
              <w:top w:val="single" w:color="auto" w:sz="4" w:space="0"/>
              <w:left w:val="single" w:color="auto" w:sz="4" w:space="0"/>
              <w:bottom w:val="single" w:color="auto" w:sz="4" w:space="0"/>
              <w:right w:val="single" w:color="auto" w:sz="4" w:space="0"/>
            </w:tcBorders>
            <w:noWrap/>
            <w:vAlign w:val="center"/>
          </w:tcPr>
          <w:p w14:paraId="70F9E9BB">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3E8898B4">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19570F47">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3BF1E11F">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4956434B">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0D6076B5">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48B6A4CB">
            <w:pPr>
              <w:pStyle w:val="557"/>
            </w:pPr>
            <w:r>
              <w:rPr>
                <w:rFonts w:hint="eastAsia"/>
              </w:rPr>
              <w:t>0.08</w:t>
            </w:r>
          </w:p>
        </w:tc>
        <w:tc>
          <w:tcPr>
            <w:tcW w:w="544" w:type="dxa"/>
            <w:tcBorders>
              <w:top w:val="single" w:color="auto" w:sz="4" w:space="0"/>
              <w:left w:val="single" w:color="auto" w:sz="4" w:space="0"/>
              <w:bottom w:val="single" w:color="auto" w:sz="4" w:space="0"/>
              <w:right w:val="single" w:color="auto" w:sz="4" w:space="0"/>
            </w:tcBorders>
            <w:noWrap/>
            <w:vAlign w:val="center"/>
          </w:tcPr>
          <w:p w14:paraId="21DCCB93">
            <w:pPr>
              <w:pStyle w:val="557"/>
            </w:pPr>
            <w:r>
              <w:rPr>
                <w:rFonts w:hint="eastAsia"/>
              </w:rPr>
              <w:t>/</w:t>
            </w:r>
          </w:p>
        </w:tc>
      </w:tr>
      <w:tr w14:paraId="3E78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3059C818">
            <w:pPr>
              <w:pStyle w:val="557"/>
            </w:pPr>
            <w:r>
              <w:rPr>
                <w:rFonts w:hint="eastAsia"/>
              </w:rPr>
              <w:t>5</w:t>
            </w:r>
          </w:p>
        </w:tc>
        <w:tc>
          <w:tcPr>
            <w:tcW w:w="1708" w:type="dxa"/>
            <w:tcBorders>
              <w:top w:val="single" w:color="auto" w:sz="4" w:space="0"/>
              <w:left w:val="single" w:color="auto" w:sz="4" w:space="0"/>
              <w:bottom w:val="single" w:color="auto" w:sz="4" w:space="0"/>
              <w:right w:val="single" w:color="auto" w:sz="4" w:space="0"/>
            </w:tcBorders>
            <w:noWrap/>
            <w:vAlign w:val="center"/>
          </w:tcPr>
          <w:p w14:paraId="7F5E159C">
            <w:pPr>
              <w:pStyle w:val="557"/>
            </w:pPr>
            <w:r>
              <w:rPr>
                <w:rFonts w:hint="eastAsia"/>
              </w:rPr>
              <w:t>路洋瑞航循环水站</w:t>
            </w:r>
          </w:p>
        </w:tc>
        <w:tc>
          <w:tcPr>
            <w:tcW w:w="712" w:type="dxa"/>
            <w:tcBorders>
              <w:top w:val="single" w:color="auto" w:sz="4" w:space="0"/>
              <w:left w:val="single" w:color="auto" w:sz="4" w:space="0"/>
              <w:bottom w:val="single" w:color="auto" w:sz="4" w:space="0"/>
              <w:right w:val="single" w:color="auto" w:sz="4" w:space="0"/>
            </w:tcBorders>
            <w:noWrap/>
            <w:vAlign w:val="center"/>
          </w:tcPr>
          <w:p w14:paraId="576FFA28">
            <w:pPr>
              <w:pStyle w:val="557"/>
            </w:pPr>
            <w:r>
              <w:rPr>
                <w:rFonts w:hint="eastAsia"/>
              </w:rPr>
              <w:t>1811</w:t>
            </w:r>
          </w:p>
        </w:tc>
        <w:tc>
          <w:tcPr>
            <w:tcW w:w="853" w:type="dxa"/>
            <w:tcBorders>
              <w:top w:val="single" w:color="auto" w:sz="4" w:space="0"/>
              <w:left w:val="single" w:color="auto" w:sz="4" w:space="0"/>
              <w:bottom w:val="single" w:color="auto" w:sz="4" w:space="0"/>
              <w:right w:val="single" w:color="auto" w:sz="4" w:space="0"/>
            </w:tcBorders>
            <w:noWrap/>
            <w:vAlign w:val="center"/>
          </w:tcPr>
          <w:p w14:paraId="7DDCAD5D">
            <w:pPr>
              <w:pStyle w:val="557"/>
            </w:pPr>
            <w:r>
              <w:rPr>
                <w:rFonts w:hint="eastAsia"/>
              </w:rPr>
              <w:t>-1289</w:t>
            </w:r>
          </w:p>
        </w:tc>
        <w:tc>
          <w:tcPr>
            <w:tcW w:w="854" w:type="dxa"/>
            <w:tcBorders>
              <w:top w:val="single" w:color="auto" w:sz="4" w:space="0"/>
              <w:left w:val="single" w:color="auto" w:sz="4" w:space="0"/>
              <w:bottom w:val="single" w:color="auto" w:sz="4" w:space="0"/>
              <w:right w:val="single" w:color="auto" w:sz="4" w:space="0"/>
            </w:tcBorders>
            <w:noWrap/>
            <w:vAlign w:val="center"/>
          </w:tcPr>
          <w:p w14:paraId="15F3CB03">
            <w:pPr>
              <w:pStyle w:val="557"/>
            </w:pPr>
            <w:r>
              <w:rPr>
                <w:rFonts w:hint="eastAsia"/>
              </w:rPr>
              <w:t>10</w:t>
            </w:r>
          </w:p>
        </w:tc>
        <w:tc>
          <w:tcPr>
            <w:tcW w:w="853" w:type="dxa"/>
            <w:tcBorders>
              <w:top w:val="single" w:color="auto" w:sz="4" w:space="0"/>
              <w:left w:val="single" w:color="auto" w:sz="4" w:space="0"/>
              <w:bottom w:val="single" w:color="auto" w:sz="4" w:space="0"/>
              <w:right w:val="single" w:color="auto" w:sz="4" w:space="0"/>
            </w:tcBorders>
            <w:noWrap/>
            <w:vAlign w:val="center"/>
          </w:tcPr>
          <w:p w14:paraId="44C0003D">
            <w:pPr>
              <w:pStyle w:val="557"/>
            </w:pPr>
            <w:r>
              <w:rPr>
                <w:rFonts w:hint="eastAsia"/>
              </w:rPr>
              <w:t>20</w:t>
            </w:r>
          </w:p>
        </w:tc>
        <w:tc>
          <w:tcPr>
            <w:tcW w:w="996" w:type="dxa"/>
            <w:tcBorders>
              <w:top w:val="single" w:color="auto" w:sz="4" w:space="0"/>
              <w:left w:val="single" w:color="auto" w:sz="4" w:space="0"/>
              <w:bottom w:val="single" w:color="auto" w:sz="4" w:space="0"/>
              <w:right w:val="single" w:color="auto" w:sz="4" w:space="0"/>
            </w:tcBorders>
            <w:noWrap/>
            <w:vAlign w:val="center"/>
          </w:tcPr>
          <w:p w14:paraId="14D60F50">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731619CB">
            <w:pPr>
              <w:pStyle w:val="557"/>
            </w:pPr>
            <w:r>
              <w:rPr>
                <w:rFonts w:hint="eastAsia"/>
              </w:rPr>
              <w:t>12</w:t>
            </w:r>
          </w:p>
        </w:tc>
        <w:tc>
          <w:tcPr>
            <w:tcW w:w="712" w:type="dxa"/>
            <w:tcBorders>
              <w:top w:val="single" w:color="auto" w:sz="4" w:space="0"/>
              <w:left w:val="single" w:color="auto" w:sz="4" w:space="0"/>
              <w:bottom w:val="single" w:color="auto" w:sz="4" w:space="0"/>
              <w:right w:val="single" w:color="auto" w:sz="4" w:space="0"/>
            </w:tcBorders>
            <w:noWrap/>
            <w:vAlign w:val="center"/>
          </w:tcPr>
          <w:p w14:paraId="31E8879E">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0A79071">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75D02EF">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46467A64">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18D23A01">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5407EC83">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4F09479D">
            <w:pPr>
              <w:pStyle w:val="557"/>
            </w:pPr>
            <w:r>
              <w:rPr>
                <w:rFonts w:hint="eastAsia"/>
              </w:rPr>
              <w:t>0.86</w:t>
            </w:r>
          </w:p>
        </w:tc>
        <w:tc>
          <w:tcPr>
            <w:tcW w:w="544" w:type="dxa"/>
            <w:tcBorders>
              <w:top w:val="single" w:color="auto" w:sz="4" w:space="0"/>
              <w:left w:val="single" w:color="auto" w:sz="4" w:space="0"/>
              <w:bottom w:val="single" w:color="auto" w:sz="4" w:space="0"/>
              <w:right w:val="single" w:color="auto" w:sz="4" w:space="0"/>
            </w:tcBorders>
            <w:noWrap/>
            <w:vAlign w:val="center"/>
          </w:tcPr>
          <w:p w14:paraId="320D2CB3">
            <w:pPr>
              <w:pStyle w:val="557"/>
            </w:pPr>
            <w:r>
              <w:rPr>
                <w:rFonts w:hint="eastAsia"/>
              </w:rPr>
              <w:t>/</w:t>
            </w:r>
          </w:p>
        </w:tc>
      </w:tr>
      <w:tr w14:paraId="670E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34B6EC8C">
            <w:pPr>
              <w:pStyle w:val="557"/>
            </w:pPr>
            <w:r>
              <w:rPr>
                <w:rFonts w:hint="eastAsia"/>
              </w:rPr>
              <w:t>6</w:t>
            </w:r>
          </w:p>
        </w:tc>
        <w:tc>
          <w:tcPr>
            <w:tcW w:w="1708" w:type="dxa"/>
            <w:tcBorders>
              <w:top w:val="single" w:color="auto" w:sz="4" w:space="0"/>
              <w:left w:val="single" w:color="auto" w:sz="4" w:space="0"/>
              <w:bottom w:val="single" w:color="auto" w:sz="4" w:space="0"/>
              <w:right w:val="single" w:color="auto" w:sz="4" w:space="0"/>
            </w:tcBorders>
            <w:noWrap/>
            <w:vAlign w:val="center"/>
          </w:tcPr>
          <w:p w14:paraId="689D8934">
            <w:pPr>
              <w:pStyle w:val="557"/>
            </w:pPr>
            <w:r>
              <w:rPr>
                <w:rFonts w:hint="eastAsia"/>
              </w:rPr>
              <w:t>中和众合气化装置</w:t>
            </w:r>
          </w:p>
        </w:tc>
        <w:tc>
          <w:tcPr>
            <w:tcW w:w="712" w:type="dxa"/>
            <w:tcBorders>
              <w:top w:val="single" w:color="auto" w:sz="4" w:space="0"/>
              <w:left w:val="single" w:color="auto" w:sz="4" w:space="0"/>
              <w:bottom w:val="single" w:color="auto" w:sz="4" w:space="0"/>
              <w:right w:val="single" w:color="auto" w:sz="4" w:space="0"/>
            </w:tcBorders>
            <w:noWrap/>
            <w:vAlign w:val="center"/>
          </w:tcPr>
          <w:p w14:paraId="7EA581A1">
            <w:pPr>
              <w:pStyle w:val="557"/>
            </w:pPr>
            <w:r>
              <w:rPr>
                <w:rFonts w:hint="eastAsia"/>
              </w:rPr>
              <w:t>85</w:t>
            </w:r>
          </w:p>
        </w:tc>
        <w:tc>
          <w:tcPr>
            <w:tcW w:w="853" w:type="dxa"/>
            <w:tcBorders>
              <w:top w:val="single" w:color="auto" w:sz="4" w:space="0"/>
              <w:left w:val="single" w:color="auto" w:sz="4" w:space="0"/>
              <w:bottom w:val="single" w:color="auto" w:sz="4" w:space="0"/>
              <w:right w:val="single" w:color="auto" w:sz="4" w:space="0"/>
            </w:tcBorders>
            <w:noWrap/>
            <w:vAlign w:val="center"/>
          </w:tcPr>
          <w:p w14:paraId="2E6AF35A">
            <w:pPr>
              <w:pStyle w:val="557"/>
            </w:pPr>
            <w:r>
              <w:rPr>
                <w:rFonts w:hint="eastAsia"/>
              </w:rPr>
              <w:t>-1370</w:t>
            </w:r>
          </w:p>
        </w:tc>
        <w:tc>
          <w:tcPr>
            <w:tcW w:w="854" w:type="dxa"/>
            <w:tcBorders>
              <w:top w:val="single" w:color="auto" w:sz="4" w:space="0"/>
              <w:left w:val="single" w:color="auto" w:sz="4" w:space="0"/>
              <w:bottom w:val="single" w:color="auto" w:sz="4" w:space="0"/>
              <w:right w:val="single" w:color="auto" w:sz="4" w:space="0"/>
            </w:tcBorders>
            <w:noWrap/>
            <w:vAlign w:val="center"/>
          </w:tcPr>
          <w:p w14:paraId="580692E5">
            <w:pPr>
              <w:pStyle w:val="557"/>
            </w:pPr>
            <w:r>
              <w:rPr>
                <w:rFonts w:hint="eastAsia"/>
              </w:rPr>
              <w:t>65</w:t>
            </w:r>
          </w:p>
        </w:tc>
        <w:tc>
          <w:tcPr>
            <w:tcW w:w="853" w:type="dxa"/>
            <w:tcBorders>
              <w:top w:val="single" w:color="auto" w:sz="4" w:space="0"/>
              <w:left w:val="single" w:color="auto" w:sz="4" w:space="0"/>
              <w:bottom w:val="single" w:color="auto" w:sz="4" w:space="0"/>
              <w:right w:val="single" w:color="auto" w:sz="4" w:space="0"/>
            </w:tcBorders>
            <w:noWrap/>
            <w:vAlign w:val="center"/>
          </w:tcPr>
          <w:p w14:paraId="0F3E34CF">
            <w:pPr>
              <w:pStyle w:val="557"/>
            </w:pPr>
            <w:r>
              <w:rPr>
                <w:rFonts w:hint="eastAsia"/>
              </w:rPr>
              <w:t>60</w:t>
            </w:r>
          </w:p>
        </w:tc>
        <w:tc>
          <w:tcPr>
            <w:tcW w:w="996" w:type="dxa"/>
            <w:tcBorders>
              <w:top w:val="single" w:color="auto" w:sz="4" w:space="0"/>
              <w:left w:val="single" w:color="auto" w:sz="4" w:space="0"/>
              <w:bottom w:val="single" w:color="auto" w:sz="4" w:space="0"/>
              <w:right w:val="single" w:color="auto" w:sz="4" w:space="0"/>
            </w:tcBorders>
            <w:noWrap/>
            <w:vAlign w:val="center"/>
          </w:tcPr>
          <w:p w14:paraId="607CA5F7">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28F7DA7C">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47859426">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6A914C1F">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632224B1">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2FE67591">
            <w:pPr>
              <w:pStyle w:val="557"/>
            </w:pPr>
            <w:r>
              <w:rPr>
                <w:rFonts w:hint="eastAsia"/>
              </w:rPr>
              <w:t>0.00038</w:t>
            </w:r>
          </w:p>
        </w:tc>
        <w:tc>
          <w:tcPr>
            <w:tcW w:w="705" w:type="dxa"/>
            <w:tcBorders>
              <w:top w:val="single" w:color="auto" w:sz="4" w:space="0"/>
              <w:left w:val="single" w:color="auto" w:sz="4" w:space="0"/>
              <w:bottom w:val="single" w:color="auto" w:sz="4" w:space="0"/>
              <w:right w:val="single" w:color="auto" w:sz="4" w:space="0"/>
            </w:tcBorders>
            <w:noWrap/>
            <w:vAlign w:val="center"/>
          </w:tcPr>
          <w:p w14:paraId="3738F84B">
            <w:pPr>
              <w:pStyle w:val="557"/>
            </w:pPr>
            <w:r>
              <w:rPr>
                <w:rFonts w:hint="eastAsia"/>
              </w:rPr>
              <w:t>0.00075</w:t>
            </w:r>
          </w:p>
        </w:tc>
        <w:tc>
          <w:tcPr>
            <w:tcW w:w="675" w:type="dxa"/>
            <w:tcBorders>
              <w:top w:val="single" w:color="auto" w:sz="4" w:space="0"/>
              <w:left w:val="single" w:color="auto" w:sz="4" w:space="0"/>
              <w:bottom w:val="single" w:color="auto" w:sz="4" w:space="0"/>
              <w:right w:val="single" w:color="auto" w:sz="4" w:space="0"/>
            </w:tcBorders>
            <w:noWrap/>
            <w:vAlign w:val="center"/>
          </w:tcPr>
          <w:p w14:paraId="1F9A2D10">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78BF9427">
            <w:pPr>
              <w:pStyle w:val="557"/>
            </w:pPr>
            <w:r>
              <w:rPr>
                <w:rFonts w:hint="eastAsia"/>
              </w:rPr>
              <w:t>/</w:t>
            </w:r>
          </w:p>
        </w:tc>
        <w:tc>
          <w:tcPr>
            <w:tcW w:w="544" w:type="dxa"/>
            <w:tcBorders>
              <w:top w:val="single" w:color="auto" w:sz="4" w:space="0"/>
              <w:left w:val="single" w:color="auto" w:sz="4" w:space="0"/>
              <w:bottom w:val="single" w:color="auto" w:sz="4" w:space="0"/>
              <w:right w:val="single" w:color="auto" w:sz="4" w:space="0"/>
            </w:tcBorders>
            <w:noWrap/>
            <w:vAlign w:val="center"/>
          </w:tcPr>
          <w:p w14:paraId="68A39819">
            <w:pPr>
              <w:pStyle w:val="557"/>
            </w:pPr>
            <w:r>
              <w:rPr>
                <w:rFonts w:hint="eastAsia"/>
              </w:rPr>
              <w:t>/</w:t>
            </w:r>
          </w:p>
        </w:tc>
      </w:tr>
      <w:tr w14:paraId="0A71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40F5A270">
            <w:pPr>
              <w:pStyle w:val="557"/>
            </w:pPr>
            <w:r>
              <w:rPr>
                <w:rFonts w:hint="eastAsia"/>
              </w:rPr>
              <w:t>7</w:t>
            </w:r>
          </w:p>
        </w:tc>
        <w:tc>
          <w:tcPr>
            <w:tcW w:w="1708" w:type="dxa"/>
            <w:tcBorders>
              <w:top w:val="single" w:color="auto" w:sz="4" w:space="0"/>
              <w:left w:val="single" w:color="auto" w:sz="4" w:space="0"/>
              <w:bottom w:val="single" w:color="auto" w:sz="4" w:space="0"/>
              <w:right w:val="single" w:color="auto" w:sz="4" w:space="0"/>
            </w:tcBorders>
            <w:noWrap/>
            <w:vAlign w:val="center"/>
          </w:tcPr>
          <w:p w14:paraId="2A6579AE">
            <w:pPr>
              <w:pStyle w:val="557"/>
            </w:pPr>
            <w:r>
              <w:rPr>
                <w:rFonts w:hint="eastAsia"/>
              </w:rPr>
              <w:t>中和众合净化装置</w:t>
            </w:r>
          </w:p>
        </w:tc>
        <w:tc>
          <w:tcPr>
            <w:tcW w:w="712" w:type="dxa"/>
            <w:tcBorders>
              <w:top w:val="single" w:color="auto" w:sz="4" w:space="0"/>
              <w:left w:val="single" w:color="auto" w:sz="4" w:space="0"/>
              <w:bottom w:val="single" w:color="auto" w:sz="4" w:space="0"/>
              <w:right w:val="single" w:color="auto" w:sz="4" w:space="0"/>
            </w:tcBorders>
            <w:noWrap/>
            <w:vAlign w:val="center"/>
          </w:tcPr>
          <w:p w14:paraId="11F9DDA2">
            <w:pPr>
              <w:pStyle w:val="557"/>
            </w:pPr>
            <w:r>
              <w:rPr>
                <w:rFonts w:hint="eastAsia"/>
              </w:rPr>
              <w:t>60</w:t>
            </w:r>
          </w:p>
        </w:tc>
        <w:tc>
          <w:tcPr>
            <w:tcW w:w="853" w:type="dxa"/>
            <w:tcBorders>
              <w:top w:val="single" w:color="auto" w:sz="4" w:space="0"/>
              <w:left w:val="single" w:color="auto" w:sz="4" w:space="0"/>
              <w:bottom w:val="single" w:color="auto" w:sz="4" w:space="0"/>
              <w:right w:val="single" w:color="auto" w:sz="4" w:space="0"/>
            </w:tcBorders>
            <w:noWrap/>
            <w:vAlign w:val="center"/>
          </w:tcPr>
          <w:p w14:paraId="39B84607">
            <w:pPr>
              <w:pStyle w:val="557"/>
            </w:pPr>
            <w:r>
              <w:rPr>
                <w:rFonts w:hint="eastAsia"/>
              </w:rPr>
              <w:t>-1352</w:t>
            </w:r>
          </w:p>
        </w:tc>
        <w:tc>
          <w:tcPr>
            <w:tcW w:w="854" w:type="dxa"/>
            <w:tcBorders>
              <w:top w:val="single" w:color="auto" w:sz="4" w:space="0"/>
              <w:left w:val="single" w:color="auto" w:sz="4" w:space="0"/>
              <w:bottom w:val="single" w:color="auto" w:sz="4" w:space="0"/>
              <w:right w:val="single" w:color="auto" w:sz="4" w:space="0"/>
            </w:tcBorders>
            <w:noWrap/>
            <w:vAlign w:val="center"/>
          </w:tcPr>
          <w:p w14:paraId="6D633A87">
            <w:pPr>
              <w:pStyle w:val="557"/>
            </w:pPr>
            <w:r>
              <w:rPr>
                <w:rFonts w:hint="eastAsia"/>
              </w:rPr>
              <w:t>80</w:t>
            </w:r>
          </w:p>
        </w:tc>
        <w:tc>
          <w:tcPr>
            <w:tcW w:w="853" w:type="dxa"/>
            <w:tcBorders>
              <w:top w:val="single" w:color="auto" w:sz="4" w:space="0"/>
              <w:left w:val="single" w:color="auto" w:sz="4" w:space="0"/>
              <w:bottom w:val="single" w:color="auto" w:sz="4" w:space="0"/>
              <w:right w:val="single" w:color="auto" w:sz="4" w:space="0"/>
            </w:tcBorders>
            <w:noWrap/>
            <w:vAlign w:val="center"/>
          </w:tcPr>
          <w:p w14:paraId="12C951E5">
            <w:pPr>
              <w:pStyle w:val="557"/>
            </w:pPr>
            <w:r>
              <w:rPr>
                <w:rFonts w:hint="eastAsia"/>
              </w:rPr>
              <w:t>38</w:t>
            </w:r>
          </w:p>
        </w:tc>
        <w:tc>
          <w:tcPr>
            <w:tcW w:w="996" w:type="dxa"/>
            <w:tcBorders>
              <w:top w:val="single" w:color="auto" w:sz="4" w:space="0"/>
              <w:left w:val="single" w:color="auto" w:sz="4" w:space="0"/>
              <w:bottom w:val="single" w:color="auto" w:sz="4" w:space="0"/>
              <w:right w:val="single" w:color="auto" w:sz="4" w:space="0"/>
            </w:tcBorders>
            <w:noWrap/>
            <w:vAlign w:val="center"/>
          </w:tcPr>
          <w:p w14:paraId="5057739D">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45FB3B6E">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5223CC4B">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2613136">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25A9C7E6">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7D668FE1">
            <w:pPr>
              <w:pStyle w:val="557"/>
            </w:pPr>
            <w:r>
              <w:rPr>
                <w:rFonts w:hint="eastAsia"/>
              </w:rPr>
              <w:t>0.00038</w:t>
            </w:r>
          </w:p>
        </w:tc>
        <w:tc>
          <w:tcPr>
            <w:tcW w:w="705" w:type="dxa"/>
            <w:tcBorders>
              <w:top w:val="single" w:color="auto" w:sz="4" w:space="0"/>
              <w:left w:val="single" w:color="auto" w:sz="4" w:space="0"/>
              <w:bottom w:val="single" w:color="auto" w:sz="4" w:space="0"/>
              <w:right w:val="single" w:color="auto" w:sz="4" w:space="0"/>
            </w:tcBorders>
            <w:noWrap/>
            <w:vAlign w:val="center"/>
          </w:tcPr>
          <w:p w14:paraId="62AA95F5">
            <w:pPr>
              <w:pStyle w:val="557"/>
            </w:pPr>
            <w:r>
              <w:rPr>
                <w:rFonts w:hint="eastAsia"/>
              </w:rPr>
              <w:t>0.00138</w:t>
            </w:r>
          </w:p>
        </w:tc>
        <w:tc>
          <w:tcPr>
            <w:tcW w:w="675" w:type="dxa"/>
            <w:tcBorders>
              <w:top w:val="single" w:color="auto" w:sz="4" w:space="0"/>
              <w:left w:val="single" w:color="auto" w:sz="4" w:space="0"/>
              <w:bottom w:val="single" w:color="auto" w:sz="4" w:space="0"/>
              <w:right w:val="single" w:color="auto" w:sz="4" w:space="0"/>
            </w:tcBorders>
            <w:noWrap/>
            <w:vAlign w:val="center"/>
          </w:tcPr>
          <w:p w14:paraId="4547D582">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6FD6BF94">
            <w:pPr>
              <w:pStyle w:val="557"/>
            </w:pPr>
            <w:r>
              <w:rPr>
                <w:rFonts w:hint="eastAsia"/>
              </w:rPr>
              <w:t>/</w:t>
            </w:r>
          </w:p>
        </w:tc>
        <w:tc>
          <w:tcPr>
            <w:tcW w:w="544" w:type="dxa"/>
            <w:tcBorders>
              <w:top w:val="single" w:color="auto" w:sz="4" w:space="0"/>
              <w:left w:val="single" w:color="auto" w:sz="4" w:space="0"/>
              <w:bottom w:val="single" w:color="auto" w:sz="4" w:space="0"/>
              <w:right w:val="single" w:color="auto" w:sz="4" w:space="0"/>
            </w:tcBorders>
            <w:noWrap/>
            <w:vAlign w:val="center"/>
          </w:tcPr>
          <w:p w14:paraId="1C808B6D">
            <w:pPr>
              <w:pStyle w:val="557"/>
            </w:pPr>
            <w:r>
              <w:rPr>
                <w:rFonts w:hint="eastAsia"/>
              </w:rPr>
              <w:t>/</w:t>
            </w:r>
          </w:p>
        </w:tc>
      </w:tr>
      <w:tr w14:paraId="03CE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427DBB8E">
            <w:pPr>
              <w:pStyle w:val="557"/>
            </w:pPr>
            <w:r>
              <w:rPr>
                <w:rFonts w:hint="eastAsia"/>
              </w:rPr>
              <w:t>8</w:t>
            </w:r>
          </w:p>
        </w:tc>
        <w:tc>
          <w:tcPr>
            <w:tcW w:w="1708" w:type="dxa"/>
            <w:tcBorders>
              <w:top w:val="single" w:color="auto" w:sz="4" w:space="0"/>
              <w:left w:val="single" w:color="auto" w:sz="4" w:space="0"/>
              <w:bottom w:val="single" w:color="auto" w:sz="4" w:space="0"/>
              <w:right w:val="single" w:color="auto" w:sz="4" w:space="0"/>
            </w:tcBorders>
            <w:noWrap/>
            <w:vAlign w:val="center"/>
          </w:tcPr>
          <w:p w14:paraId="6C910B54">
            <w:pPr>
              <w:pStyle w:val="557"/>
            </w:pPr>
            <w:r>
              <w:rPr>
                <w:rFonts w:hint="eastAsia"/>
              </w:rPr>
              <w:t>中和众合硫回收装置</w:t>
            </w:r>
          </w:p>
        </w:tc>
        <w:tc>
          <w:tcPr>
            <w:tcW w:w="712" w:type="dxa"/>
            <w:tcBorders>
              <w:top w:val="single" w:color="auto" w:sz="4" w:space="0"/>
              <w:left w:val="single" w:color="auto" w:sz="4" w:space="0"/>
              <w:bottom w:val="single" w:color="auto" w:sz="4" w:space="0"/>
              <w:right w:val="single" w:color="auto" w:sz="4" w:space="0"/>
            </w:tcBorders>
            <w:noWrap/>
            <w:vAlign w:val="center"/>
          </w:tcPr>
          <w:p w14:paraId="136C8011">
            <w:pPr>
              <w:pStyle w:val="557"/>
            </w:pPr>
            <w:r>
              <w:rPr>
                <w:rFonts w:hint="eastAsia"/>
              </w:rPr>
              <w:t>45</w:t>
            </w:r>
          </w:p>
        </w:tc>
        <w:tc>
          <w:tcPr>
            <w:tcW w:w="853" w:type="dxa"/>
            <w:tcBorders>
              <w:top w:val="single" w:color="auto" w:sz="4" w:space="0"/>
              <w:left w:val="single" w:color="auto" w:sz="4" w:space="0"/>
              <w:bottom w:val="single" w:color="auto" w:sz="4" w:space="0"/>
              <w:right w:val="single" w:color="auto" w:sz="4" w:space="0"/>
            </w:tcBorders>
            <w:noWrap/>
            <w:vAlign w:val="center"/>
          </w:tcPr>
          <w:p w14:paraId="4479CB0A">
            <w:pPr>
              <w:pStyle w:val="557"/>
            </w:pPr>
            <w:r>
              <w:rPr>
                <w:rFonts w:hint="eastAsia"/>
              </w:rPr>
              <w:t>-1360</w:t>
            </w:r>
          </w:p>
        </w:tc>
        <w:tc>
          <w:tcPr>
            <w:tcW w:w="854" w:type="dxa"/>
            <w:tcBorders>
              <w:top w:val="single" w:color="auto" w:sz="4" w:space="0"/>
              <w:left w:val="single" w:color="auto" w:sz="4" w:space="0"/>
              <w:bottom w:val="single" w:color="auto" w:sz="4" w:space="0"/>
              <w:right w:val="single" w:color="auto" w:sz="4" w:space="0"/>
            </w:tcBorders>
            <w:noWrap/>
            <w:vAlign w:val="center"/>
          </w:tcPr>
          <w:p w14:paraId="0F6F27B0">
            <w:pPr>
              <w:pStyle w:val="557"/>
            </w:pPr>
            <w:r>
              <w:rPr>
                <w:rFonts w:hint="eastAsia"/>
              </w:rPr>
              <w:t>39</w:t>
            </w:r>
          </w:p>
        </w:tc>
        <w:tc>
          <w:tcPr>
            <w:tcW w:w="853" w:type="dxa"/>
            <w:tcBorders>
              <w:top w:val="single" w:color="auto" w:sz="4" w:space="0"/>
              <w:left w:val="single" w:color="auto" w:sz="4" w:space="0"/>
              <w:bottom w:val="single" w:color="auto" w:sz="4" w:space="0"/>
              <w:right w:val="single" w:color="auto" w:sz="4" w:space="0"/>
            </w:tcBorders>
            <w:noWrap/>
            <w:vAlign w:val="center"/>
          </w:tcPr>
          <w:p w14:paraId="36523160">
            <w:pPr>
              <w:pStyle w:val="557"/>
            </w:pPr>
            <w:r>
              <w:rPr>
                <w:rFonts w:hint="eastAsia"/>
              </w:rPr>
              <w:t>48</w:t>
            </w:r>
          </w:p>
        </w:tc>
        <w:tc>
          <w:tcPr>
            <w:tcW w:w="996" w:type="dxa"/>
            <w:tcBorders>
              <w:top w:val="single" w:color="auto" w:sz="4" w:space="0"/>
              <w:left w:val="single" w:color="auto" w:sz="4" w:space="0"/>
              <w:bottom w:val="single" w:color="auto" w:sz="4" w:space="0"/>
              <w:right w:val="single" w:color="auto" w:sz="4" w:space="0"/>
            </w:tcBorders>
            <w:noWrap/>
            <w:vAlign w:val="center"/>
          </w:tcPr>
          <w:p w14:paraId="0A3D10B0">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63B5D720">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520AC063">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01838709">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2DE01B6B">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0988A5BA">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5A4A84FB">
            <w:pPr>
              <w:pStyle w:val="557"/>
            </w:pPr>
            <w:r>
              <w:rPr>
                <w:rFonts w:hint="eastAsia"/>
              </w:rPr>
              <w:t>0.0025</w:t>
            </w:r>
          </w:p>
        </w:tc>
        <w:tc>
          <w:tcPr>
            <w:tcW w:w="675" w:type="dxa"/>
            <w:tcBorders>
              <w:top w:val="single" w:color="auto" w:sz="4" w:space="0"/>
              <w:left w:val="single" w:color="auto" w:sz="4" w:space="0"/>
              <w:bottom w:val="single" w:color="auto" w:sz="4" w:space="0"/>
              <w:right w:val="single" w:color="auto" w:sz="4" w:space="0"/>
            </w:tcBorders>
            <w:noWrap/>
            <w:vAlign w:val="center"/>
          </w:tcPr>
          <w:p w14:paraId="77DC8069">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613741F7">
            <w:pPr>
              <w:pStyle w:val="557"/>
            </w:pPr>
            <w:r>
              <w:rPr>
                <w:rFonts w:hint="eastAsia"/>
              </w:rPr>
              <w:t>/</w:t>
            </w:r>
          </w:p>
        </w:tc>
        <w:tc>
          <w:tcPr>
            <w:tcW w:w="544" w:type="dxa"/>
            <w:tcBorders>
              <w:top w:val="single" w:color="auto" w:sz="4" w:space="0"/>
              <w:left w:val="single" w:color="auto" w:sz="4" w:space="0"/>
              <w:bottom w:val="single" w:color="auto" w:sz="4" w:space="0"/>
              <w:right w:val="single" w:color="auto" w:sz="4" w:space="0"/>
            </w:tcBorders>
            <w:noWrap/>
            <w:vAlign w:val="center"/>
          </w:tcPr>
          <w:p w14:paraId="1FEA8A75">
            <w:pPr>
              <w:pStyle w:val="557"/>
            </w:pPr>
            <w:r>
              <w:rPr>
                <w:rFonts w:hint="eastAsia"/>
              </w:rPr>
              <w:t>/</w:t>
            </w:r>
          </w:p>
        </w:tc>
      </w:tr>
      <w:tr w14:paraId="30BF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20AA4454">
            <w:pPr>
              <w:pStyle w:val="557"/>
            </w:pPr>
            <w:r>
              <w:rPr>
                <w:rFonts w:hint="eastAsia"/>
              </w:rPr>
              <w:t>9</w:t>
            </w:r>
          </w:p>
        </w:tc>
        <w:tc>
          <w:tcPr>
            <w:tcW w:w="1708" w:type="dxa"/>
            <w:tcBorders>
              <w:top w:val="single" w:color="auto" w:sz="4" w:space="0"/>
              <w:left w:val="single" w:color="auto" w:sz="4" w:space="0"/>
              <w:bottom w:val="single" w:color="auto" w:sz="4" w:space="0"/>
              <w:right w:val="single" w:color="auto" w:sz="4" w:space="0"/>
            </w:tcBorders>
            <w:noWrap/>
            <w:vAlign w:val="center"/>
          </w:tcPr>
          <w:p w14:paraId="3F0C1B70">
            <w:pPr>
              <w:pStyle w:val="557"/>
            </w:pPr>
            <w:r>
              <w:rPr>
                <w:rFonts w:hint="eastAsia"/>
              </w:rPr>
              <w:t>中和众合醋酸装置</w:t>
            </w:r>
          </w:p>
        </w:tc>
        <w:tc>
          <w:tcPr>
            <w:tcW w:w="712" w:type="dxa"/>
            <w:tcBorders>
              <w:top w:val="single" w:color="auto" w:sz="4" w:space="0"/>
              <w:left w:val="single" w:color="auto" w:sz="4" w:space="0"/>
              <w:bottom w:val="single" w:color="auto" w:sz="4" w:space="0"/>
              <w:right w:val="single" w:color="auto" w:sz="4" w:space="0"/>
            </w:tcBorders>
            <w:noWrap/>
            <w:vAlign w:val="center"/>
          </w:tcPr>
          <w:p w14:paraId="4E85781F">
            <w:pPr>
              <w:pStyle w:val="557"/>
            </w:pPr>
            <w:r>
              <w:rPr>
                <w:rFonts w:hint="eastAsia"/>
              </w:rPr>
              <w:t>55</w:t>
            </w:r>
          </w:p>
        </w:tc>
        <w:tc>
          <w:tcPr>
            <w:tcW w:w="853" w:type="dxa"/>
            <w:tcBorders>
              <w:top w:val="single" w:color="auto" w:sz="4" w:space="0"/>
              <w:left w:val="single" w:color="auto" w:sz="4" w:space="0"/>
              <w:bottom w:val="single" w:color="auto" w:sz="4" w:space="0"/>
              <w:right w:val="single" w:color="auto" w:sz="4" w:space="0"/>
            </w:tcBorders>
            <w:noWrap/>
            <w:vAlign w:val="center"/>
          </w:tcPr>
          <w:p w14:paraId="715E0E55">
            <w:pPr>
              <w:pStyle w:val="557"/>
            </w:pPr>
            <w:r>
              <w:rPr>
                <w:rFonts w:hint="eastAsia"/>
              </w:rPr>
              <w:t>-1367</w:t>
            </w:r>
          </w:p>
        </w:tc>
        <w:tc>
          <w:tcPr>
            <w:tcW w:w="854" w:type="dxa"/>
            <w:tcBorders>
              <w:top w:val="single" w:color="auto" w:sz="4" w:space="0"/>
              <w:left w:val="single" w:color="auto" w:sz="4" w:space="0"/>
              <w:bottom w:val="single" w:color="auto" w:sz="4" w:space="0"/>
              <w:right w:val="single" w:color="auto" w:sz="4" w:space="0"/>
            </w:tcBorders>
            <w:noWrap/>
            <w:vAlign w:val="center"/>
          </w:tcPr>
          <w:p w14:paraId="4058C140">
            <w:pPr>
              <w:pStyle w:val="557"/>
            </w:pPr>
            <w:r>
              <w:rPr>
                <w:rFonts w:hint="eastAsia"/>
              </w:rPr>
              <w:t>68</w:t>
            </w:r>
          </w:p>
        </w:tc>
        <w:tc>
          <w:tcPr>
            <w:tcW w:w="853" w:type="dxa"/>
            <w:tcBorders>
              <w:top w:val="single" w:color="auto" w:sz="4" w:space="0"/>
              <w:left w:val="single" w:color="auto" w:sz="4" w:space="0"/>
              <w:bottom w:val="single" w:color="auto" w:sz="4" w:space="0"/>
              <w:right w:val="single" w:color="auto" w:sz="4" w:space="0"/>
            </w:tcBorders>
            <w:noWrap/>
            <w:vAlign w:val="center"/>
          </w:tcPr>
          <w:p w14:paraId="27FA7D28">
            <w:pPr>
              <w:pStyle w:val="557"/>
            </w:pPr>
            <w:r>
              <w:rPr>
                <w:rFonts w:hint="eastAsia"/>
              </w:rPr>
              <w:t>100</w:t>
            </w:r>
          </w:p>
        </w:tc>
        <w:tc>
          <w:tcPr>
            <w:tcW w:w="996" w:type="dxa"/>
            <w:tcBorders>
              <w:top w:val="single" w:color="auto" w:sz="4" w:space="0"/>
              <w:left w:val="single" w:color="auto" w:sz="4" w:space="0"/>
              <w:bottom w:val="single" w:color="auto" w:sz="4" w:space="0"/>
              <w:right w:val="single" w:color="auto" w:sz="4" w:space="0"/>
            </w:tcBorders>
            <w:noWrap/>
            <w:vAlign w:val="center"/>
          </w:tcPr>
          <w:p w14:paraId="4FA03741">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50749CA4">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24AA2C3A">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2F6F6F15">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61055371">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245EF596">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6A0045AB">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277DAA95">
            <w:pPr>
              <w:pStyle w:val="557"/>
            </w:pPr>
            <w:r>
              <w:rPr>
                <w:rFonts w:hint="eastAsia"/>
              </w:rPr>
              <w:t>0.145</w:t>
            </w:r>
          </w:p>
        </w:tc>
        <w:tc>
          <w:tcPr>
            <w:tcW w:w="841" w:type="dxa"/>
            <w:tcBorders>
              <w:top w:val="single" w:color="auto" w:sz="4" w:space="0"/>
              <w:left w:val="single" w:color="auto" w:sz="4" w:space="0"/>
              <w:bottom w:val="single" w:color="auto" w:sz="4" w:space="0"/>
              <w:right w:val="single" w:color="auto" w:sz="4" w:space="0"/>
            </w:tcBorders>
            <w:noWrap/>
            <w:vAlign w:val="center"/>
          </w:tcPr>
          <w:p w14:paraId="1B05DA77">
            <w:pPr>
              <w:pStyle w:val="557"/>
            </w:pPr>
            <w:r>
              <w:rPr>
                <w:rFonts w:hint="eastAsia"/>
              </w:rPr>
              <w:t>1.246</w:t>
            </w:r>
          </w:p>
        </w:tc>
        <w:tc>
          <w:tcPr>
            <w:tcW w:w="544" w:type="dxa"/>
            <w:tcBorders>
              <w:top w:val="single" w:color="auto" w:sz="4" w:space="0"/>
              <w:left w:val="single" w:color="auto" w:sz="4" w:space="0"/>
              <w:bottom w:val="single" w:color="auto" w:sz="4" w:space="0"/>
              <w:right w:val="single" w:color="auto" w:sz="4" w:space="0"/>
            </w:tcBorders>
            <w:noWrap/>
            <w:vAlign w:val="center"/>
          </w:tcPr>
          <w:p w14:paraId="4A9AD3E2">
            <w:pPr>
              <w:pStyle w:val="557"/>
            </w:pPr>
            <w:r>
              <w:rPr>
                <w:rFonts w:hint="eastAsia"/>
              </w:rPr>
              <w:t>/</w:t>
            </w:r>
          </w:p>
        </w:tc>
      </w:tr>
      <w:tr w14:paraId="2DA9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379EC140">
            <w:pPr>
              <w:pStyle w:val="557"/>
            </w:pPr>
            <w:r>
              <w:rPr>
                <w:rFonts w:hint="eastAsia"/>
              </w:rPr>
              <w:t>10</w:t>
            </w:r>
          </w:p>
        </w:tc>
        <w:tc>
          <w:tcPr>
            <w:tcW w:w="1708" w:type="dxa"/>
            <w:tcBorders>
              <w:top w:val="single" w:color="auto" w:sz="4" w:space="0"/>
              <w:left w:val="single" w:color="auto" w:sz="4" w:space="0"/>
              <w:bottom w:val="single" w:color="auto" w:sz="4" w:space="0"/>
              <w:right w:val="single" w:color="auto" w:sz="4" w:space="0"/>
            </w:tcBorders>
            <w:noWrap/>
            <w:vAlign w:val="center"/>
          </w:tcPr>
          <w:p w14:paraId="60688D43">
            <w:pPr>
              <w:pStyle w:val="557"/>
            </w:pPr>
            <w:r>
              <w:rPr>
                <w:rFonts w:hint="eastAsia"/>
              </w:rPr>
              <w:t>中和众合醋酐装置</w:t>
            </w:r>
          </w:p>
        </w:tc>
        <w:tc>
          <w:tcPr>
            <w:tcW w:w="712" w:type="dxa"/>
            <w:tcBorders>
              <w:top w:val="single" w:color="auto" w:sz="4" w:space="0"/>
              <w:left w:val="single" w:color="auto" w:sz="4" w:space="0"/>
              <w:bottom w:val="single" w:color="auto" w:sz="4" w:space="0"/>
              <w:right w:val="single" w:color="auto" w:sz="4" w:space="0"/>
            </w:tcBorders>
            <w:noWrap/>
            <w:vAlign w:val="center"/>
          </w:tcPr>
          <w:p w14:paraId="26003B74">
            <w:pPr>
              <w:pStyle w:val="557"/>
            </w:pPr>
            <w:r>
              <w:rPr>
                <w:rFonts w:hint="eastAsia"/>
              </w:rPr>
              <w:t>62</w:t>
            </w:r>
          </w:p>
        </w:tc>
        <w:tc>
          <w:tcPr>
            <w:tcW w:w="853" w:type="dxa"/>
            <w:tcBorders>
              <w:top w:val="single" w:color="auto" w:sz="4" w:space="0"/>
              <w:left w:val="single" w:color="auto" w:sz="4" w:space="0"/>
              <w:bottom w:val="single" w:color="auto" w:sz="4" w:space="0"/>
              <w:right w:val="single" w:color="auto" w:sz="4" w:space="0"/>
            </w:tcBorders>
            <w:noWrap/>
            <w:vAlign w:val="center"/>
          </w:tcPr>
          <w:p w14:paraId="71F58B22">
            <w:pPr>
              <w:pStyle w:val="557"/>
            </w:pPr>
            <w:r>
              <w:rPr>
                <w:rFonts w:hint="eastAsia"/>
              </w:rPr>
              <w:t>-1340</w:t>
            </w:r>
          </w:p>
        </w:tc>
        <w:tc>
          <w:tcPr>
            <w:tcW w:w="854" w:type="dxa"/>
            <w:tcBorders>
              <w:top w:val="single" w:color="auto" w:sz="4" w:space="0"/>
              <w:left w:val="single" w:color="auto" w:sz="4" w:space="0"/>
              <w:bottom w:val="single" w:color="auto" w:sz="4" w:space="0"/>
              <w:right w:val="single" w:color="auto" w:sz="4" w:space="0"/>
            </w:tcBorders>
            <w:noWrap/>
            <w:vAlign w:val="center"/>
          </w:tcPr>
          <w:p w14:paraId="73E787D1">
            <w:pPr>
              <w:pStyle w:val="557"/>
            </w:pPr>
            <w:r>
              <w:rPr>
                <w:rFonts w:hint="eastAsia"/>
              </w:rPr>
              <w:t>94</w:t>
            </w:r>
          </w:p>
        </w:tc>
        <w:tc>
          <w:tcPr>
            <w:tcW w:w="853" w:type="dxa"/>
            <w:tcBorders>
              <w:top w:val="single" w:color="auto" w:sz="4" w:space="0"/>
              <w:left w:val="single" w:color="auto" w:sz="4" w:space="0"/>
              <w:bottom w:val="single" w:color="auto" w:sz="4" w:space="0"/>
              <w:right w:val="single" w:color="auto" w:sz="4" w:space="0"/>
            </w:tcBorders>
            <w:noWrap/>
            <w:vAlign w:val="center"/>
          </w:tcPr>
          <w:p w14:paraId="14524F7E">
            <w:pPr>
              <w:pStyle w:val="557"/>
            </w:pPr>
            <w:r>
              <w:rPr>
                <w:rFonts w:hint="eastAsia"/>
              </w:rPr>
              <w:t>100</w:t>
            </w:r>
          </w:p>
        </w:tc>
        <w:tc>
          <w:tcPr>
            <w:tcW w:w="996" w:type="dxa"/>
            <w:tcBorders>
              <w:top w:val="single" w:color="auto" w:sz="4" w:space="0"/>
              <w:left w:val="single" w:color="auto" w:sz="4" w:space="0"/>
              <w:bottom w:val="single" w:color="auto" w:sz="4" w:space="0"/>
              <w:right w:val="single" w:color="auto" w:sz="4" w:space="0"/>
            </w:tcBorders>
            <w:noWrap/>
            <w:vAlign w:val="center"/>
          </w:tcPr>
          <w:p w14:paraId="34C06446">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53D3A08E">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78C33A3B">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749DD0AF">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655BAF1A">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09595715">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436E83EA">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01C78632">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5E73EC00">
            <w:pPr>
              <w:pStyle w:val="557"/>
            </w:pPr>
            <w:r>
              <w:rPr>
                <w:rFonts w:hint="eastAsia"/>
              </w:rPr>
              <w:t>0.361</w:t>
            </w:r>
          </w:p>
        </w:tc>
        <w:tc>
          <w:tcPr>
            <w:tcW w:w="544" w:type="dxa"/>
            <w:tcBorders>
              <w:top w:val="single" w:color="auto" w:sz="4" w:space="0"/>
              <w:left w:val="single" w:color="auto" w:sz="4" w:space="0"/>
              <w:bottom w:val="single" w:color="auto" w:sz="4" w:space="0"/>
              <w:right w:val="single" w:color="auto" w:sz="4" w:space="0"/>
            </w:tcBorders>
            <w:noWrap/>
            <w:vAlign w:val="center"/>
          </w:tcPr>
          <w:p w14:paraId="2031B2EA">
            <w:pPr>
              <w:pStyle w:val="557"/>
            </w:pPr>
            <w:r>
              <w:rPr>
                <w:rFonts w:hint="eastAsia"/>
              </w:rPr>
              <w:t>/</w:t>
            </w:r>
          </w:p>
        </w:tc>
      </w:tr>
      <w:tr w14:paraId="0EF6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5CF6E38E">
            <w:pPr>
              <w:pStyle w:val="557"/>
            </w:pPr>
            <w:r>
              <w:rPr>
                <w:rFonts w:hint="eastAsia"/>
              </w:rPr>
              <w:t>11</w:t>
            </w:r>
          </w:p>
        </w:tc>
        <w:tc>
          <w:tcPr>
            <w:tcW w:w="1708" w:type="dxa"/>
            <w:tcBorders>
              <w:top w:val="single" w:color="auto" w:sz="4" w:space="0"/>
              <w:left w:val="single" w:color="auto" w:sz="4" w:space="0"/>
              <w:bottom w:val="single" w:color="auto" w:sz="4" w:space="0"/>
              <w:right w:val="single" w:color="auto" w:sz="4" w:space="0"/>
            </w:tcBorders>
            <w:noWrap/>
            <w:vAlign w:val="center"/>
          </w:tcPr>
          <w:p w14:paraId="0684ABE9">
            <w:pPr>
              <w:pStyle w:val="557"/>
            </w:pPr>
            <w:r>
              <w:rPr>
                <w:rFonts w:hint="eastAsia"/>
              </w:rPr>
              <w:t>中和众合醋酸及醋酐罐区</w:t>
            </w:r>
          </w:p>
        </w:tc>
        <w:tc>
          <w:tcPr>
            <w:tcW w:w="712" w:type="dxa"/>
            <w:tcBorders>
              <w:top w:val="single" w:color="auto" w:sz="4" w:space="0"/>
              <w:left w:val="single" w:color="auto" w:sz="4" w:space="0"/>
              <w:bottom w:val="single" w:color="auto" w:sz="4" w:space="0"/>
              <w:right w:val="single" w:color="auto" w:sz="4" w:space="0"/>
            </w:tcBorders>
            <w:noWrap/>
            <w:vAlign w:val="center"/>
          </w:tcPr>
          <w:p w14:paraId="2AC3BDA5">
            <w:pPr>
              <w:pStyle w:val="557"/>
            </w:pPr>
            <w:r>
              <w:rPr>
                <w:rFonts w:hint="eastAsia"/>
              </w:rPr>
              <w:t>75</w:t>
            </w:r>
          </w:p>
        </w:tc>
        <w:tc>
          <w:tcPr>
            <w:tcW w:w="853" w:type="dxa"/>
            <w:tcBorders>
              <w:top w:val="single" w:color="auto" w:sz="4" w:space="0"/>
              <w:left w:val="single" w:color="auto" w:sz="4" w:space="0"/>
              <w:bottom w:val="single" w:color="auto" w:sz="4" w:space="0"/>
              <w:right w:val="single" w:color="auto" w:sz="4" w:space="0"/>
            </w:tcBorders>
            <w:noWrap/>
            <w:vAlign w:val="center"/>
          </w:tcPr>
          <w:p w14:paraId="324F3F08">
            <w:pPr>
              <w:pStyle w:val="557"/>
            </w:pPr>
            <w:r>
              <w:rPr>
                <w:rFonts w:hint="eastAsia"/>
              </w:rPr>
              <w:t>-1359</w:t>
            </w:r>
          </w:p>
        </w:tc>
        <w:tc>
          <w:tcPr>
            <w:tcW w:w="854" w:type="dxa"/>
            <w:tcBorders>
              <w:top w:val="single" w:color="auto" w:sz="4" w:space="0"/>
              <w:left w:val="single" w:color="auto" w:sz="4" w:space="0"/>
              <w:bottom w:val="single" w:color="auto" w:sz="4" w:space="0"/>
              <w:right w:val="single" w:color="auto" w:sz="4" w:space="0"/>
            </w:tcBorders>
            <w:noWrap/>
            <w:vAlign w:val="center"/>
          </w:tcPr>
          <w:p w14:paraId="2531D273">
            <w:pPr>
              <w:pStyle w:val="557"/>
            </w:pPr>
            <w:r>
              <w:rPr>
                <w:rFonts w:hint="eastAsia"/>
              </w:rPr>
              <w:t>75</w:t>
            </w:r>
          </w:p>
        </w:tc>
        <w:tc>
          <w:tcPr>
            <w:tcW w:w="853" w:type="dxa"/>
            <w:tcBorders>
              <w:top w:val="single" w:color="auto" w:sz="4" w:space="0"/>
              <w:left w:val="single" w:color="auto" w:sz="4" w:space="0"/>
              <w:bottom w:val="single" w:color="auto" w:sz="4" w:space="0"/>
              <w:right w:val="single" w:color="auto" w:sz="4" w:space="0"/>
            </w:tcBorders>
            <w:noWrap/>
            <w:vAlign w:val="center"/>
          </w:tcPr>
          <w:p w14:paraId="036356A1">
            <w:pPr>
              <w:pStyle w:val="557"/>
            </w:pPr>
            <w:r>
              <w:rPr>
                <w:rFonts w:hint="eastAsia"/>
              </w:rPr>
              <w:t>150</w:t>
            </w:r>
          </w:p>
        </w:tc>
        <w:tc>
          <w:tcPr>
            <w:tcW w:w="996" w:type="dxa"/>
            <w:tcBorders>
              <w:top w:val="single" w:color="auto" w:sz="4" w:space="0"/>
              <w:left w:val="single" w:color="auto" w:sz="4" w:space="0"/>
              <w:bottom w:val="single" w:color="auto" w:sz="4" w:space="0"/>
              <w:right w:val="single" w:color="auto" w:sz="4" w:space="0"/>
            </w:tcBorders>
            <w:noWrap/>
            <w:vAlign w:val="center"/>
          </w:tcPr>
          <w:p w14:paraId="14FF1198">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1852A30D">
            <w:pPr>
              <w:pStyle w:val="557"/>
            </w:pPr>
            <w:r>
              <w:rPr>
                <w:rFonts w:hint="eastAsia"/>
              </w:rPr>
              <w:t>12.5</w:t>
            </w:r>
          </w:p>
        </w:tc>
        <w:tc>
          <w:tcPr>
            <w:tcW w:w="712" w:type="dxa"/>
            <w:tcBorders>
              <w:top w:val="single" w:color="auto" w:sz="4" w:space="0"/>
              <w:left w:val="single" w:color="auto" w:sz="4" w:space="0"/>
              <w:bottom w:val="single" w:color="auto" w:sz="4" w:space="0"/>
              <w:right w:val="single" w:color="auto" w:sz="4" w:space="0"/>
            </w:tcBorders>
            <w:noWrap/>
            <w:vAlign w:val="center"/>
          </w:tcPr>
          <w:p w14:paraId="3545F15B">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5748FC69">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26082582">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2193AC25">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393FB898">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5C997F0D">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07ABFBC7">
            <w:pPr>
              <w:pStyle w:val="557"/>
            </w:pPr>
            <w:r>
              <w:rPr>
                <w:rFonts w:hint="eastAsia"/>
              </w:rPr>
              <w:t>1.226</w:t>
            </w:r>
          </w:p>
        </w:tc>
        <w:tc>
          <w:tcPr>
            <w:tcW w:w="544" w:type="dxa"/>
            <w:tcBorders>
              <w:top w:val="single" w:color="auto" w:sz="4" w:space="0"/>
              <w:left w:val="single" w:color="auto" w:sz="4" w:space="0"/>
              <w:bottom w:val="single" w:color="auto" w:sz="4" w:space="0"/>
              <w:right w:val="single" w:color="auto" w:sz="4" w:space="0"/>
            </w:tcBorders>
            <w:noWrap/>
            <w:vAlign w:val="center"/>
          </w:tcPr>
          <w:p w14:paraId="6BE6C3E7">
            <w:pPr>
              <w:pStyle w:val="557"/>
            </w:pPr>
            <w:r>
              <w:rPr>
                <w:rFonts w:hint="eastAsia"/>
              </w:rPr>
              <w:t>/</w:t>
            </w:r>
          </w:p>
        </w:tc>
      </w:tr>
      <w:tr w14:paraId="2A2D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1CF87A77">
            <w:pPr>
              <w:pStyle w:val="557"/>
            </w:pPr>
            <w:r>
              <w:rPr>
                <w:rFonts w:hint="eastAsia"/>
              </w:rPr>
              <w:t>12</w:t>
            </w:r>
          </w:p>
        </w:tc>
        <w:tc>
          <w:tcPr>
            <w:tcW w:w="1708" w:type="dxa"/>
            <w:tcBorders>
              <w:top w:val="single" w:color="auto" w:sz="4" w:space="0"/>
              <w:left w:val="single" w:color="auto" w:sz="4" w:space="0"/>
              <w:bottom w:val="single" w:color="auto" w:sz="4" w:space="0"/>
              <w:right w:val="single" w:color="auto" w:sz="4" w:space="0"/>
            </w:tcBorders>
            <w:noWrap/>
            <w:vAlign w:val="center"/>
          </w:tcPr>
          <w:p w14:paraId="037EF469">
            <w:pPr>
              <w:pStyle w:val="557"/>
            </w:pPr>
            <w:r>
              <w:rPr>
                <w:rFonts w:hint="eastAsia"/>
              </w:rPr>
              <w:t>中和众合甲醇罐区</w:t>
            </w:r>
          </w:p>
        </w:tc>
        <w:tc>
          <w:tcPr>
            <w:tcW w:w="712" w:type="dxa"/>
            <w:tcBorders>
              <w:top w:val="single" w:color="auto" w:sz="4" w:space="0"/>
              <w:left w:val="single" w:color="auto" w:sz="4" w:space="0"/>
              <w:bottom w:val="single" w:color="auto" w:sz="4" w:space="0"/>
              <w:right w:val="single" w:color="auto" w:sz="4" w:space="0"/>
            </w:tcBorders>
            <w:noWrap/>
            <w:vAlign w:val="center"/>
          </w:tcPr>
          <w:p w14:paraId="38731711">
            <w:pPr>
              <w:pStyle w:val="557"/>
            </w:pPr>
            <w:r>
              <w:rPr>
                <w:rFonts w:hint="eastAsia"/>
              </w:rPr>
              <w:t>86</w:t>
            </w:r>
          </w:p>
        </w:tc>
        <w:tc>
          <w:tcPr>
            <w:tcW w:w="853" w:type="dxa"/>
            <w:tcBorders>
              <w:top w:val="single" w:color="auto" w:sz="4" w:space="0"/>
              <w:left w:val="single" w:color="auto" w:sz="4" w:space="0"/>
              <w:bottom w:val="single" w:color="auto" w:sz="4" w:space="0"/>
              <w:right w:val="single" w:color="auto" w:sz="4" w:space="0"/>
            </w:tcBorders>
            <w:noWrap/>
            <w:vAlign w:val="center"/>
          </w:tcPr>
          <w:p w14:paraId="3248C67C">
            <w:pPr>
              <w:pStyle w:val="557"/>
            </w:pPr>
            <w:r>
              <w:rPr>
                <w:rFonts w:hint="eastAsia"/>
              </w:rPr>
              <w:t>-1380</w:t>
            </w:r>
          </w:p>
        </w:tc>
        <w:tc>
          <w:tcPr>
            <w:tcW w:w="854" w:type="dxa"/>
            <w:tcBorders>
              <w:top w:val="single" w:color="auto" w:sz="4" w:space="0"/>
              <w:left w:val="single" w:color="auto" w:sz="4" w:space="0"/>
              <w:bottom w:val="single" w:color="auto" w:sz="4" w:space="0"/>
              <w:right w:val="single" w:color="auto" w:sz="4" w:space="0"/>
            </w:tcBorders>
            <w:noWrap/>
            <w:vAlign w:val="center"/>
          </w:tcPr>
          <w:p w14:paraId="2CF35EB0">
            <w:pPr>
              <w:pStyle w:val="557"/>
            </w:pPr>
            <w:r>
              <w:rPr>
                <w:rFonts w:hint="eastAsia"/>
              </w:rPr>
              <w:t>68</w:t>
            </w:r>
          </w:p>
        </w:tc>
        <w:tc>
          <w:tcPr>
            <w:tcW w:w="853" w:type="dxa"/>
            <w:tcBorders>
              <w:top w:val="single" w:color="auto" w:sz="4" w:space="0"/>
              <w:left w:val="single" w:color="auto" w:sz="4" w:space="0"/>
              <w:bottom w:val="single" w:color="auto" w:sz="4" w:space="0"/>
              <w:right w:val="single" w:color="auto" w:sz="4" w:space="0"/>
            </w:tcBorders>
            <w:noWrap/>
            <w:vAlign w:val="center"/>
          </w:tcPr>
          <w:p w14:paraId="0F843F09">
            <w:pPr>
              <w:pStyle w:val="557"/>
            </w:pPr>
            <w:r>
              <w:rPr>
                <w:rFonts w:hint="eastAsia"/>
              </w:rPr>
              <w:t>68</w:t>
            </w:r>
          </w:p>
        </w:tc>
        <w:tc>
          <w:tcPr>
            <w:tcW w:w="996" w:type="dxa"/>
            <w:tcBorders>
              <w:top w:val="single" w:color="auto" w:sz="4" w:space="0"/>
              <w:left w:val="single" w:color="auto" w:sz="4" w:space="0"/>
              <w:bottom w:val="single" w:color="auto" w:sz="4" w:space="0"/>
              <w:right w:val="single" w:color="auto" w:sz="4" w:space="0"/>
            </w:tcBorders>
            <w:noWrap/>
            <w:vAlign w:val="center"/>
          </w:tcPr>
          <w:p w14:paraId="5F72FF7B">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59BFE8E6">
            <w:pPr>
              <w:pStyle w:val="557"/>
            </w:pPr>
            <w:r>
              <w:rPr>
                <w:rFonts w:hint="eastAsia"/>
              </w:rPr>
              <w:t>16.5</w:t>
            </w:r>
          </w:p>
        </w:tc>
        <w:tc>
          <w:tcPr>
            <w:tcW w:w="712" w:type="dxa"/>
            <w:tcBorders>
              <w:top w:val="single" w:color="auto" w:sz="4" w:space="0"/>
              <w:left w:val="single" w:color="auto" w:sz="4" w:space="0"/>
              <w:bottom w:val="single" w:color="auto" w:sz="4" w:space="0"/>
              <w:right w:val="single" w:color="auto" w:sz="4" w:space="0"/>
            </w:tcBorders>
            <w:noWrap/>
            <w:vAlign w:val="center"/>
          </w:tcPr>
          <w:p w14:paraId="3256A9E1">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41BFECE9">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AF08E1E">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79890F2E">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1A184256">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2FB5A300">
            <w:pPr>
              <w:pStyle w:val="557"/>
            </w:pPr>
            <w:r>
              <w:rPr>
                <w:rFonts w:hint="eastAsia"/>
              </w:rPr>
              <w:t>0.538</w:t>
            </w:r>
          </w:p>
        </w:tc>
        <w:tc>
          <w:tcPr>
            <w:tcW w:w="841" w:type="dxa"/>
            <w:tcBorders>
              <w:top w:val="single" w:color="auto" w:sz="4" w:space="0"/>
              <w:left w:val="single" w:color="auto" w:sz="4" w:space="0"/>
              <w:bottom w:val="single" w:color="auto" w:sz="4" w:space="0"/>
              <w:right w:val="single" w:color="auto" w:sz="4" w:space="0"/>
            </w:tcBorders>
            <w:noWrap/>
            <w:vAlign w:val="center"/>
          </w:tcPr>
          <w:p w14:paraId="663B14F5">
            <w:pPr>
              <w:pStyle w:val="557"/>
            </w:pPr>
            <w:r>
              <w:rPr>
                <w:rFonts w:hint="eastAsia"/>
              </w:rPr>
              <w:t>0.538</w:t>
            </w:r>
          </w:p>
        </w:tc>
        <w:tc>
          <w:tcPr>
            <w:tcW w:w="544" w:type="dxa"/>
            <w:tcBorders>
              <w:top w:val="single" w:color="auto" w:sz="4" w:space="0"/>
              <w:left w:val="single" w:color="auto" w:sz="4" w:space="0"/>
              <w:bottom w:val="single" w:color="auto" w:sz="4" w:space="0"/>
              <w:right w:val="single" w:color="auto" w:sz="4" w:space="0"/>
            </w:tcBorders>
            <w:noWrap/>
            <w:vAlign w:val="center"/>
          </w:tcPr>
          <w:p w14:paraId="039FF2AB">
            <w:pPr>
              <w:pStyle w:val="557"/>
            </w:pPr>
            <w:r>
              <w:rPr>
                <w:rFonts w:hint="eastAsia"/>
              </w:rPr>
              <w:t>/</w:t>
            </w:r>
          </w:p>
        </w:tc>
      </w:tr>
      <w:tr w14:paraId="644F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2516C2F4">
            <w:pPr>
              <w:pStyle w:val="557"/>
            </w:pPr>
            <w:r>
              <w:rPr>
                <w:rFonts w:hint="eastAsia"/>
              </w:rPr>
              <w:t>13</w:t>
            </w:r>
          </w:p>
        </w:tc>
        <w:tc>
          <w:tcPr>
            <w:tcW w:w="1708" w:type="dxa"/>
            <w:tcBorders>
              <w:top w:val="single" w:color="auto" w:sz="4" w:space="0"/>
              <w:left w:val="single" w:color="auto" w:sz="4" w:space="0"/>
              <w:bottom w:val="single" w:color="auto" w:sz="4" w:space="0"/>
              <w:right w:val="single" w:color="auto" w:sz="4" w:space="0"/>
            </w:tcBorders>
            <w:noWrap/>
            <w:vAlign w:val="center"/>
          </w:tcPr>
          <w:p w14:paraId="7541D484">
            <w:pPr>
              <w:pStyle w:val="557"/>
            </w:pPr>
            <w:r>
              <w:rPr>
                <w:rFonts w:hint="eastAsia"/>
              </w:rPr>
              <w:t>中和众合丙酸罐区</w:t>
            </w:r>
          </w:p>
        </w:tc>
        <w:tc>
          <w:tcPr>
            <w:tcW w:w="712" w:type="dxa"/>
            <w:tcBorders>
              <w:top w:val="single" w:color="auto" w:sz="4" w:space="0"/>
              <w:left w:val="single" w:color="auto" w:sz="4" w:space="0"/>
              <w:bottom w:val="single" w:color="auto" w:sz="4" w:space="0"/>
              <w:right w:val="single" w:color="auto" w:sz="4" w:space="0"/>
            </w:tcBorders>
            <w:noWrap/>
            <w:vAlign w:val="center"/>
          </w:tcPr>
          <w:p w14:paraId="7982CFE6">
            <w:pPr>
              <w:pStyle w:val="557"/>
            </w:pPr>
            <w:r>
              <w:rPr>
                <w:rFonts w:hint="eastAsia"/>
              </w:rPr>
              <w:t>95</w:t>
            </w:r>
          </w:p>
        </w:tc>
        <w:tc>
          <w:tcPr>
            <w:tcW w:w="853" w:type="dxa"/>
            <w:tcBorders>
              <w:top w:val="single" w:color="auto" w:sz="4" w:space="0"/>
              <w:left w:val="single" w:color="auto" w:sz="4" w:space="0"/>
              <w:bottom w:val="single" w:color="auto" w:sz="4" w:space="0"/>
              <w:right w:val="single" w:color="auto" w:sz="4" w:space="0"/>
            </w:tcBorders>
            <w:noWrap/>
            <w:vAlign w:val="center"/>
          </w:tcPr>
          <w:p w14:paraId="2A6EA5D0">
            <w:pPr>
              <w:pStyle w:val="557"/>
            </w:pPr>
            <w:r>
              <w:rPr>
                <w:rFonts w:hint="eastAsia"/>
              </w:rPr>
              <w:t>-1324</w:t>
            </w:r>
          </w:p>
        </w:tc>
        <w:tc>
          <w:tcPr>
            <w:tcW w:w="854" w:type="dxa"/>
            <w:tcBorders>
              <w:top w:val="single" w:color="auto" w:sz="4" w:space="0"/>
              <w:left w:val="single" w:color="auto" w:sz="4" w:space="0"/>
              <w:bottom w:val="single" w:color="auto" w:sz="4" w:space="0"/>
              <w:right w:val="single" w:color="auto" w:sz="4" w:space="0"/>
            </w:tcBorders>
            <w:noWrap/>
            <w:vAlign w:val="center"/>
          </w:tcPr>
          <w:p w14:paraId="71DBEEC2">
            <w:pPr>
              <w:pStyle w:val="557"/>
            </w:pPr>
            <w:r>
              <w:rPr>
                <w:rFonts w:hint="eastAsia"/>
              </w:rPr>
              <w:t>38</w:t>
            </w:r>
          </w:p>
        </w:tc>
        <w:tc>
          <w:tcPr>
            <w:tcW w:w="853" w:type="dxa"/>
            <w:tcBorders>
              <w:top w:val="single" w:color="auto" w:sz="4" w:space="0"/>
              <w:left w:val="single" w:color="auto" w:sz="4" w:space="0"/>
              <w:bottom w:val="single" w:color="auto" w:sz="4" w:space="0"/>
              <w:right w:val="single" w:color="auto" w:sz="4" w:space="0"/>
            </w:tcBorders>
            <w:noWrap/>
            <w:vAlign w:val="center"/>
          </w:tcPr>
          <w:p w14:paraId="1D636C49">
            <w:pPr>
              <w:pStyle w:val="557"/>
            </w:pPr>
            <w:r>
              <w:rPr>
                <w:rFonts w:hint="eastAsia"/>
              </w:rPr>
              <w:t>18</w:t>
            </w:r>
          </w:p>
        </w:tc>
        <w:tc>
          <w:tcPr>
            <w:tcW w:w="996" w:type="dxa"/>
            <w:tcBorders>
              <w:top w:val="single" w:color="auto" w:sz="4" w:space="0"/>
              <w:left w:val="single" w:color="auto" w:sz="4" w:space="0"/>
              <w:bottom w:val="single" w:color="auto" w:sz="4" w:space="0"/>
              <w:right w:val="single" w:color="auto" w:sz="4" w:space="0"/>
            </w:tcBorders>
            <w:noWrap/>
            <w:vAlign w:val="center"/>
          </w:tcPr>
          <w:p w14:paraId="0A3DDDE7">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02768EEF">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19561A27">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17360DE9">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0FC04F8E">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5FB8BEFE">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4D841042">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5E7082BA">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1D53EFBE">
            <w:pPr>
              <w:pStyle w:val="557"/>
            </w:pPr>
            <w:r>
              <w:rPr>
                <w:rFonts w:hint="eastAsia"/>
              </w:rPr>
              <w:t>0.009</w:t>
            </w:r>
          </w:p>
        </w:tc>
        <w:tc>
          <w:tcPr>
            <w:tcW w:w="544" w:type="dxa"/>
            <w:tcBorders>
              <w:top w:val="single" w:color="auto" w:sz="4" w:space="0"/>
              <w:left w:val="single" w:color="auto" w:sz="4" w:space="0"/>
              <w:bottom w:val="single" w:color="auto" w:sz="4" w:space="0"/>
              <w:right w:val="single" w:color="auto" w:sz="4" w:space="0"/>
            </w:tcBorders>
            <w:noWrap/>
            <w:vAlign w:val="center"/>
          </w:tcPr>
          <w:p w14:paraId="3820FB27">
            <w:pPr>
              <w:pStyle w:val="557"/>
            </w:pPr>
            <w:r>
              <w:rPr>
                <w:rFonts w:hint="eastAsia"/>
              </w:rPr>
              <w:t>/</w:t>
            </w:r>
          </w:p>
        </w:tc>
      </w:tr>
      <w:tr w14:paraId="7A6D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68EAAAB7">
            <w:pPr>
              <w:pStyle w:val="557"/>
            </w:pPr>
            <w:r>
              <w:rPr>
                <w:rFonts w:hint="eastAsia"/>
              </w:rPr>
              <w:t>14</w:t>
            </w:r>
          </w:p>
        </w:tc>
        <w:tc>
          <w:tcPr>
            <w:tcW w:w="1708" w:type="dxa"/>
            <w:tcBorders>
              <w:top w:val="single" w:color="auto" w:sz="4" w:space="0"/>
              <w:left w:val="single" w:color="auto" w:sz="4" w:space="0"/>
              <w:bottom w:val="single" w:color="auto" w:sz="4" w:space="0"/>
              <w:right w:val="single" w:color="auto" w:sz="4" w:space="0"/>
            </w:tcBorders>
            <w:noWrap/>
            <w:vAlign w:val="center"/>
          </w:tcPr>
          <w:p w14:paraId="0DA40D58">
            <w:pPr>
              <w:pStyle w:val="557"/>
            </w:pPr>
            <w:r>
              <w:rPr>
                <w:rFonts w:hint="eastAsia"/>
              </w:rPr>
              <w:t>中和众合氨水罐区</w:t>
            </w:r>
          </w:p>
        </w:tc>
        <w:tc>
          <w:tcPr>
            <w:tcW w:w="712" w:type="dxa"/>
            <w:tcBorders>
              <w:top w:val="single" w:color="auto" w:sz="4" w:space="0"/>
              <w:left w:val="single" w:color="auto" w:sz="4" w:space="0"/>
              <w:bottom w:val="single" w:color="auto" w:sz="4" w:space="0"/>
              <w:right w:val="single" w:color="auto" w:sz="4" w:space="0"/>
            </w:tcBorders>
            <w:noWrap/>
            <w:vAlign w:val="center"/>
          </w:tcPr>
          <w:p w14:paraId="69A09ACB">
            <w:pPr>
              <w:pStyle w:val="557"/>
            </w:pPr>
            <w:r>
              <w:rPr>
                <w:rFonts w:hint="eastAsia"/>
              </w:rPr>
              <w:t>59</w:t>
            </w:r>
          </w:p>
        </w:tc>
        <w:tc>
          <w:tcPr>
            <w:tcW w:w="853" w:type="dxa"/>
            <w:tcBorders>
              <w:top w:val="single" w:color="auto" w:sz="4" w:space="0"/>
              <w:left w:val="single" w:color="auto" w:sz="4" w:space="0"/>
              <w:bottom w:val="single" w:color="auto" w:sz="4" w:space="0"/>
              <w:right w:val="single" w:color="auto" w:sz="4" w:space="0"/>
            </w:tcBorders>
            <w:noWrap/>
            <w:vAlign w:val="center"/>
          </w:tcPr>
          <w:p w14:paraId="515F55EE">
            <w:pPr>
              <w:pStyle w:val="557"/>
            </w:pPr>
            <w:r>
              <w:rPr>
                <w:rFonts w:hint="eastAsia"/>
              </w:rPr>
              <w:t>-1362</w:t>
            </w:r>
          </w:p>
        </w:tc>
        <w:tc>
          <w:tcPr>
            <w:tcW w:w="854" w:type="dxa"/>
            <w:tcBorders>
              <w:top w:val="single" w:color="auto" w:sz="4" w:space="0"/>
              <w:left w:val="single" w:color="auto" w:sz="4" w:space="0"/>
              <w:bottom w:val="single" w:color="auto" w:sz="4" w:space="0"/>
              <w:right w:val="single" w:color="auto" w:sz="4" w:space="0"/>
            </w:tcBorders>
            <w:noWrap/>
            <w:vAlign w:val="center"/>
          </w:tcPr>
          <w:p w14:paraId="517072C9">
            <w:pPr>
              <w:pStyle w:val="557"/>
            </w:pPr>
            <w:r>
              <w:rPr>
                <w:rFonts w:hint="eastAsia"/>
              </w:rPr>
              <w:t>45</w:t>
            </w:r>
          </w:p>
        </w:tc>
        <w:tc>
          <w:tcPr>
            <w:tcW w:w="853" w:type="dxa"/>
            <w:tcBorders>
              <w:top w:val="single" w:color="auto" w:sz="4" w:space="0"/>
              <w:left w:val="single" w:color="auto" w:sz="4" w:space="0"/>
              <w:bottom w:val="single" w:color="auto" w:sz="4" w:space="0"/>
              <w:right w:val="single" w:color="auto" w:sz="4" w:space="0"/>
            </w:tcBorders>
            <w:noWrap/>
            <w:vAlign w:val="center"/>
          </w:tcPr>
          <w:p w14:paraId="61F0755D">
            <w:pPr>
              <w:pStyle w:val="557"/>
            </w:pPr>
            <w:r>
              <w:rPr>
                <w:rFonts w:hint="eastAsia"/>
              </w:rPr>
              <w:t>15</w:t>
            </w:r>
          </w:p>
        </w:tc>
        <w:tc>
          <w:tcPr>
            <w:tcW w:w="996" w:type="dxa"/>
            <w:tcBorders>
              <w:top w:val="single" w:color="auto" w:sz="4" w:space="0"/>
              <w:left w:val="single" w:color="auto" w:sz="4" w:space="0"/>
              <w:bottom w:val="single" w:color="auto" w:sz="4" w:space="0"/>
              <w:right w:val="single" w:color="auto" w:sz="4" w:space="0"/>
            </w:tcBorders>
            <w:noWrap/>
            <w:vAlign w:val="center"/>
          </w:tcPr>
          <w:p w14:paraId="60D363A6">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28A2C29B">
            <w:pPr>
              <w:pStyle w:val="557"/>
            </w:pPr>
            <w:r>
              <w:rPr>
                <w:rFonts w:hint="eastAsia"/>
              </w:rPr>
              <w:t>11</w:t>
            </w:r>
          </w:p>
        </w:tc>
        <w:tc>
          <w:tcPr>
            <w:tcW w:w="712" w:type="dxa"/>
            <w:tcBorders>
              <w:top w:val="single" w:color="auto" w:sz="4" w:space="0"/>
              <w:left w:val="single" w:color="auto" w:sz="4" w:space="0"/>
              <w:bottom w:val="single" w:color="auto" w:sz="4" w:space="0"/>
              <w:right w:val="single" w:color="auto" w:sz="4" w:space="0"/>
            </w:tcBorders>
            <w:noWrap/>
            <w:vAlign w:val="center"/>
          </w:tcPr>
          <w:p w14:paraId="07106BFC">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1C0B5474">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79B39890">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79F0D5E1">
            <w:pPr>
              <w:pStyle w:val="557"/>
            </w:pPr>
            <w:r>
              <w:rPr>
                <w:rFonts w:hint="eastAsia"/>
              </w:rPr>
              <w:t>0.19</w:t>
            </w:r>
          </w:p>
        </w:tc>
        <w:tc>
          <w:tcPr>
            <w:tcW w:w="705" w:type="dxa"/>
            <w:tcBorders>
              <w:top w:val="single" w:color="auto" w:sz="4" w:space="0"/>
              <w:left w:val="single" w:color="auto" w:sz="4" w:space="0"/>
              <w:bottom w:val="single" w:color="auto" w:sz="4" w:space="0"/>
              <w:right w:val="single" w:color="auto" w:sz="4" w:space="0"/>
            </w:tcBorders>
            <w:noWrap/>
            <w:vAlign w:val="center"/>
          </w:tcPr>
          <w:p w14:paraId="274A0576">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5DC048EC">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34BA6365">
            <w:pPr>
              <w:pStyle w:val="557"/>
            </w:pPr>
          </w:p>
        </w:tc>
        <w:tc>
          <w:tcPr>
            <w:tcW w:w="544" w:type="dxa"/>
            <w:tcBorders>
              <w:top w:val="single" w:color="auto" w:sz="4" w:space="0"/>
              <w:left w:val="single" w:color="auto" w:sz="4" w:space="0"/>
              <w:bottom w:val="single" w:color="auto" w:sz="4" w:space="0"/>
              <w:right w:val="single" w:color="auto" w:sz="4" w:space="0"/>
            </w:tcBorders>
            <w:noWrap/>
            <w:vAlign w:val="center"/>
          </w:tcPr>
          <w:p w14:paraId="6D83F57A">
            <w:pPr>
              <w:pStyle w:val="557"/>
            </w:pPr>
            <w:r>
              <w:rPr>
                <w:rFonts w:hint="eastAsia"/>
              </w:rPr>
              <w:t>/</w:t>
            </w:r>
          </w:p>
        </w:tc>
      </w:tr>
      <w:tr w14:paraId="2DA6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5" w:hRule="atLeast"/>
          <w:jc w:val="center"/>
        </w:trPr>
        <w:tc>
          <w:tcPr>
            <w:tcW w:w="713" w:type="dxa"/>
            <w:tcBorders>
              <w:top w:val="single" w:color="auto" w:sz="4" w:space="0"/>
              <w:left w:val="single" w:color="auto" w:sz="4" w:space="0"/>
              <w:bottom w:val="single" w:color="auto" w:sz="4" w:space="0"/>
              <w:right w:val="single" w:color="auto" w:sz="4" w:space="0"/>
            </w:tcBorders>
            <w:noWrap/>
            <w:vAlign w:val="center"/>
          </w:tcPr>
          <w:p w14:paraId="4AD8EBD0">
            <w:pPr>
              <w:pStyle w:val="557"/>
            </w:pPr>
            <w:r>
              <w:rPr>
                <w:rFonts w:hint="eastAsia"/>
              </w:rPr>
              <w:t>15</w:t>
            </w:r>
          </w:p>
        </w:tc>
        <w:tc>
          <w:tcPr>
            <w:tcW w:w="1708" w:type="dxa"/>
            <w:tcBorders>
              <w:top w:val="single" w:color="auto" w:sz="4" w:space="0"/>
              <w:left w:val="single" w:color="auto" w:sz="4" w:space="0"/>
              <w:bottom w:val="single" w:color="auto" w:sz="4" w:space="0"/>
              <w:right w:val="single" w:color="auto" w:sz="4" w:space="0"/>
            </w:tcBorders>
            <w:noWrap/>
            <w:vAlign w:val="center"/>
          </w:tcPr>
          <w:p w14:paraId="7EDB629A">
            <w:pPr>
              <w:pStyle w:val="557"/>
            </w:pPr>
            <w:r>
              <w:rPr>
                <w:rFonts w:hint="eastAsia"/>
              </w:rPr>
              <w:t>中和众合污水处理场</w:t>
            </w:r>
          </w:p>
        </w:tc>
        <w:tc>
          <w:tcPr>
            <w:tcW w:w="712" w:type="dxa"/>
            <w:tcBorders>
              <w:top w:val="single" w:color="auto" w:sz="4" w:space="0"/>
              <w:left w:val="single" w:color="auto" w:sz="4" w:space="0"/>
              <w:bottom w:val="single" w:color="auto" w:sz="4" w:space="0"/>
              <w:right w:val="single" w:color="auto" w:sz="4" w:space="0"/>
            </w:tcBorders>
            <w:noWrap/>
            <w:vAlign w:val="center"/>
          </w:tcPr>
          <w:p w14:paraId="41629832">
            <w:pPr>
              <w:pStyle w:val="557"/>
            </w:pPr>
            <w:r>
              <w:rPr>
                <w:rFonts w:hint="eastAsia"/>
              </w:rPr>
              <w:t>62</w:t>
            </w:r>
          </w:p>
        </w:tc>
        <w:tc>
          <w:tcPr>
            <w:tcW w:w="853" w:type="dxa"/>
            <w:tcBorders>
              <w:top w:val="single" w:color="auto" w:sz="4" w:space="0"/>
              <w:left w:val="single" w:color="auto" w:sz="4" w:space="0"/>
              <w:bottom w:val="single" w:color="auto" w:sz="4" w:space="0"/>
              <w:right w:val="single" w:color="auto" w:sz="4" w:space="0"/>
            </w:tcBorders>
            <w:noWrap/>
            <w:vAlign w:val="center"/>
          </w:tcPr>
          <w:p w14:paraId="7E757F84">
            <w:pPr>
              <w:pStyle w:val="557"/>
            </w:pPr>
            <w:r>
              <w:rPr>
                <w:rFonts w:hint="eastAsia"/>
              </w:rPr>
              <w:t>-1370</w:t>
            </w:r>
          </w:p>
        </w:tc>
        <w:tc>
          <w:tcPr>
            <w:tcW w:w="854" w:type="dxa"/>
            <w:tcBorders>
              <w:top w:val="single" w:color="auto" w:sz="4" w:space="0"/>
              <w:left w:val="single" w:color="auto" w:sz="4" w:space="0"/>
              <w:bottom w:val="single" w:color="auto" w:sz="4" w:space="0"/>
              <w:right w:val="single" w:color="auto" w:sz="4" w:space="0"/>
            </w:tcBorders>
            <w:noWrap/>
            <w:vAlign w:val="center"/>
          </w:tcPr>
          <w:p w14:paraId="7CA9E47C">
            <w:pPr>
              <w:pStyle w:val="557"/>
            </w:pPr>
            <w:r>
              <w:rPr>
                <w:rFonts w:hint="eastAsia"/>
              </w:rPr>
              <w:t>97</w:t>
            </w:r>
          </w:p>
        </w:tc>
        <w:tc>
          <w:tcPr>
            <w:tcW w:w="853" w:type="dxa"/>
            <w:tcBorders>
              <w:top w:val="single" w:color="auto" w:sz="4" w:space="0"/>
              <w:left w:val="single" w:color="auto" w:sz="4" w:space="0"/>
              <w:bottom w:val="single" w:color="auto" w:sz="4" w:space="0"/>
              <w:right w:val="single" w:color="auto" w:sz="4" w:space="0"/>
            </w:tcBorders>
            <w:noWrap/>
            <w:vAlign w:val="center"/>
          </w:tcPr>
          <w:p w14:paraId="1CAF5ADE">
            <w:pPr>
              <w:pStyle w:val="557"/>
            </w:pPr>
            <w:r>
              <w:rPr>
                <w:rFonts w:hint="eastAsia"/>
              </w:rPr>
              <w:t>51</w:t>
            </w:r>
          </w:p>
        </w:tc>
        <w:tc>
          <w:tcPr>
            <w:tcW w:w="996" w:type="dxa"/>
            <w:tcBorders>
              <w:top w:val="single" w:color="auto" w:sz="4" w:space="0"/>
              <w:left w:val="single" w:color="auto" w:sz="4" w:space="0"/>
              <w:bottom w:val="single" w:color="auto" w:sz="4" w:space="0"/>
              <w:right w:val="single" w:color="auto" w:sz="4" w:space="0"/>
            </w:tcBorders>
            <w:noWrap/>
            <w:vAlign w:val="center"/>
          </w:tcPr>
          <w:p w14:paraId="0E3DA6D5">
            <w:pPr>
              <w:pStyle w:val="557"/>
            </w:pPr>
            <w:r>
              <w:rPr>
                <w:rFonts w:hint="eastAsia"/>
              </w:rPr>
              <w:t>0</w:t>
            </w:r>
          </w:p>
        </w:tc>
        <w:tc>
          <w:tcPr>
            <w:tcW w:w="854" w:type="dxa"/>
            <w:tcBorders>
              <w:top w:val="single" w:color="auto" w:sz="4" w:space="0"/>
              <w:left w:val="single" w:color="auto" w:sz="4" w:space="0"/>
              <w:bottom w:val="single" w:color="auto" w:sz="4" w:space="0"/>
              <w:right w:val="single" w:color="auto" w:sz="4" w:space="0"/>
            </w:tcBorders>
            <w:noWrap/>
            <w:vAlign w:val="center"/>
          </w:tcPr>
          <w:p w14:paraId="6E35E4FC">
            <w:pPr>
              <w:pStyle w:val="557"/>
            </w:pPr>
            <w:r>
              <w:rPr>
                <w:rFonts w:hint="eastAsia"/>
              </w:rPr>
              <w:t>10</w:t>
            </w:r>
          </w:p>
        </w:tc>
        <w:tc>
          <w:tcPr>
            <w:tcW w:w="712" w:type="dxa"/>
            <w:tcBorders>
              <w:top w:val="single" w:color="auto" w:sz="4" w:space="0"/>
              <w:left w:val="single" w:color="auto" w:sz="4" w:space="0"/>
              <w:bottom w:val="single" w:color="auto" w:sz="4" w:space="0"/>
              <w:right w:val="single" w:color="auto" w:sz="4" w:space="0"/>
            </w:tcBorders>
            <w:noWrap/>
            <w:vAlign w:val="center"/>
          </w:tcPr>
          <w:p w14:paraId="249E8CD0">
            <w:pPr>
              <w:pStyle w:val="557"/>
            </w:pPr>
            <w:r>
              <w:rPr>
                <w:rFonts w:hint="eastAsia"/>
              </w:rPr>
              <w:t>/</w:t>
            </w:r>
          </w:p>
        </w:tc>
        <w:tc>
          <w:tcPr>
            <w:tcW w:w="711" w:type="dxa"/>
            <w:tcBorders>
              <w:top w:val="single" w:color="auto" w:sz="4" w:space="0"/>
              <w:left w:val="single" w:color="auto" w:sz="4" w:space="0"/>
              <w:bottom w:val="single" w:color="auto" w:sz="4" w:space="0"/>
              <w:right w:val="single" w:color="auto" w:sz="4" w:space="0"/>
            </w:tcBorders>
            <w:noWrap/>
            <w:vAlign w:val="center"/>
          </w:tcPr>
          <w:p w14:paraId="718CC560">
            <w:pPr>
              <w:pStyle w:val="557"/>
            </w:pPr>
            <w:r>
              <w:rPr>
                <w:rFonts w:hint="eastAsia"/>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407CEE75">
            <w:pPr>
              <w:pStyle w:val="557"/>
            </w:pPr>
            <w:r>
              <w:rPr>
                <w:rFonts w:hint="eastAsia"/>
              </w:rPr>
              <w:t>/</w:t>
            </w:r>
          </w:p>
        </w:tc>
        <w:tc>
          <w:tcPr>
            <w:tcW w:w="712" w:type="dxa"/>
            <w:tcBorders>
              <w:top w:val="single" w:color="auto" w:sz="4" w:space="0"/>
              <w:left w:val="single" w:color="auto" w:sz="4" w:space="0"/>
              <w:bottom w:val="single" w:color="auto" w:sz="4" w:space="0"/>
              <w:right w:val="single" w:color="auto" w:sz="4" w:space="0"/>
            </w:tcBorders>
            <w:vAlign w:val="center"/>
          </w:tcPr>
          <w:p w14:paraId="13D4DEA4">
            <w:pPr>
              <w:pStyle w:val="557"/>
            </w:pPr>
            <w:r>
              <w:rPr>
                <w:rFonts w:hint="eastAsia"/>
              </w:rPr>
              <w:t>/</w:t>
            </w:r>
          </w:p>
        </w:tc>
        <w:tc>
          <w:tcPr>
            <w:tcW w:w="705" w:type="dxa"/>
            <w:tcBorders>
              <w:top w:val="single" w:color="auto" w:sz="4" w:space="0"/>
              <w:left w:val="single" w:color="auto" w:sz="4" w:space="0"/>
              <w:bottom w:val="single" w:color="auto" w:sz="4" w:space="0"/>
              <w:right w:val="single" w:color="auto" w:sz="4" w:space="0"/>
            </w:tcBorders>
            <w:noWrap/>
            <w:vAlign w:val="center"/>
          </w:tcPr>
          <w:p w14:paraId="686DEEC6">
            <w:pPr>
              <w:pStyle w:val="557"/>
            </w:pPr>
            <w:r>
              <w:rPr>
                <w:rFonts w:hint="eastAsia"/>
              </w:rPr>
              <w:t>/</w:t>
            </w:r>
          </w:p>
        </w:tc>
        <w:tc>
          <w:tcPr>
            <w:tcW w:w="675" w:type="dxa"/>
            <w:tcBorders>
              <w:top w:val="single" w:color="auto" w:sz="4" w:space="0"/>
              <w:left w:val="single" w:color="auto" w:sz="4" w:space="0"/>
              <w:bottom w:val="single" w:color="auto" w:sz="4" w:space="0"/>
              <w:right w:val="single" w:color="auto" w:sz="4" w:space="0"/>
            </w:tcBorders>
            <w:noWrap/>
            <w:vAlign w:val="center"/>
          </w:tcPr>
          <w:p w14:paraId="5C6E20C8">
            <w:pPr>
              <w:pStyle w:val="557"/>
            </w:pPr>
            <w:r>
              <w:rPr>
                <w:rFonts w:hint="eastAsia"/>
              </w:rPr>
              <w:t>/</w:t>
            </w:r>
          </w:p>
        </w:tc>
        <w:tc>
          <w:tcPr>
            <w:tcW w:w="841" w:type="dxa"/>
            <w:tcBorders>
              <w:top w:val="single" w:color="auto" w:sz="4" w:space="0"/>
              <w:left w:val="single" w:color="auto" w:sz="4" w:space="0"/>
              <w:bottom w:val="single" w:color="auto" w:sz="4" w:space="0"/>
              <w:right w:val="single" w:color="auto" w:sz="4" w:space="0"/>
            </w:tcBorders>
            <w:noWrap/>
            <w:vAlign w:val="center"/>
          </w:tcPr>
          <w:p w14:paraId="07EC865B">
            <w:pPr>
              <w:pStyle w:val="557"/>
            </w:pPr>
            <w:r>
              <w:rPr>
                <w:rFonts w:hint="eastAsia"/>
              </w:rPr>
              <w:t>0.075</w:t>
            </w:r>
          </w:p>
        </w:tc>
        <w:tc>
          <w:tcPr>
            <w:tcW w:w="544" w:type="dxa"/>
            <w:tcBorders>
              <w:top w:val="single" w:color="auto" w:sz="4" w:space="0"/>
              <w:left w:val="single" w:color="auto" w:sz="4" w:space="0"/>
              <w:bottom w:val="single" w:color="auto" w:sz="4" w:space="0"/>
              <w:right w:val="single" w:color="auto" w:sz="4" w:space="0"/>
            </w:tcBorders>
            <w:noWrap/>
            <w:vAlign w:val="center"/>
          </w:tcPr>
          <w:p w14:paraId="17EB018A">
            <w:pPr>
              <w:pStyle w:val="557"/>
            </w:pPr>
            <w:r>
              <w:rPr>
                <w:rFonts w:hint="eastAsia"/>
              </w:rPr>
              <w:t>/</w:t>
            </w:r>
          </w:p>
        </w:tc>
      </w:tr>
    </w:tbl>
    <w:p w14:paraId="73EAB5D0">
      <w:pPr>
        <w:pStyle w:val="557"/>
      </w:pPr>
    </w:p>
    <w:p w14:paraId="0E4DD22B">
      <w:pPr>
        <w:pStyle w:val="535"/>
        <w:ind w:left="416" w:hanging="416"/>
        <w:rPr>
          <w:rFonts w:hint="eastAsia"/>
          <w:color w:val="FF0000"/>
          <w:spacing w:val="8"/>
        </w:rPr>
      </w:pPr>
    </w:p>
    <w:p w14:paraId="5A847AC9">
      <w:pPr>
        <w:pStyle w:val="535"/>
        <w:ind w:left="416" w:hanging="416"/>
        <w:rPr>
          <w:rFonts w:hint="eastAsia"/>
          <w:color w:val="FF0000"/>
          <w:spacing w:val="8"/>
        </w:rPr>
        <w:sectPr>
          <w:pgSz w:w="16838" w:h="11906" w:orient="landscape"/>
          <w:pgMar w:top="1800" w:right="1440" w:bottom="1800" w:left="1440" w:header="851" w:footer="850" w:gutter="0"/>
          <w:cols w:space="720" w:num="1"/>
          <w:docGrid w:type="lines" w:linePitch="326" w:charSpace="0"/>
        </w:sectPr>
      </w:pPr>
    </w:p>
    <w:p w14:paraId="27674F95">
      <w:pPr>
        <w:pStyle w:val="97"/>
        <w:numPr>
          <w:ilvl w:val="2"/>
          <w:numId w:val="8"/>
        </w:numPr>
        <w:ind w:lef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评价等级及评价范围确定</w:t>
      </w:r>
    </w:p>
    <w:p w14:paraId="4164C37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根据估算结果，本项目循环水场无组织排放的NMHC占标率最大，最大占标率</w:t>
      </w:r>
      <w:r>
        <w:rPr>
          <w:color w:val="000000" w:themeColor="text1"/>
          <w14:textFill>
            <w14:solidFill>
              <w14:schemeClr w14:val="tx1"/>
            </w14:solidFill>
          </w14:textFill>
        </w:rPr>
        <w:t>Pmax</w:t>
      </w:r>
      <w:r>
        <w:rPr>
          <w:rFonts w:hint="eastAsia"/>
          <w:color w:val="000000" w:themeColor="text1"/>
          <w14:textFill>
            <w14:solidFill>
              <w14:schemeClr w14:val="tx1"/>
            </w14:solidFill>
          </w14:textFill>
        </w:rPr>
        <w:t>为</w:t>
      </w:r>
      <w:r>
        <w:rPr>
          <w:rStyle w:val="282"/>
          <w:rFonts w:hint="eastAsia"/>
          <w:color w:val="000000" w:themeColor="text1"/>
          <w14:textFill>
            <w14:solidFill>
              <w14:schemeClr w14:val="tx1"/>
            </w14:solidFill>
          </w14:textFill>
        </w:rPr>
        <w:t>72.83</w:t>
      </w:r>
      <w:r>
        <w:rPr>
          <w:rStyle w:val="282"/>
          <w:color w:val="000000" w:themeColor="text1"/>
          <w14:textFill>
            <w14:solidFill>
              <w14:schemeClr w14:val="tx1"/>
            </w14:solidFill>
          </w14:textFill>
        </w:rPr>
        <w:t>%</w:t>
      </w:r>
      <w:r>
        <w:rPr>
          <w:rFonts w:hint="eastAsia"/>
          <w:color w:val="000000" w:themeColor="text1"/>
          <w14:textFill>
            <w14:solidFill>
              <w14:schemeClr w14:val="tx1"/>
            </w14:solidFill>
          </w14:textFill>
        </w:rPr>
        <w:t>，因此本项目大气环境影响评价等级为一级。本项目所排放的各污染物中，气化装置无组织排放的硫化氢对应的</w:t>
      </w: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最大，为658</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，因此根据《环境影响评价技术导则大气环境》（HJ2.2-2018），即本次大气环境影响评价范围为以厂址为中心，边长为东西5.0km×南北5.0km的矩形区域。</w:t>
      </w:r>
    </w:p>
    <w:p w14:paraId="51AACEB8">
      <w:pPr>
        <w:pStyle w:val="97"/>
        <w:numPr>
          <w:ilvl w:val="2"/>
          <w:numId w:val="8"/>
        </w:numPr>
        <w:ind w:left="0"/>
        <w:rPr>
          <w:rFonts w:hint="eastAsia"/>
        </w:rPr>
      </w:pPr>
      <w:r>
        <w:rPr>
          <w:rFonts w:hint="eastAsia"/>
        </w:rPr>
        <w:t>预测因子、模式和相关参数</w:t>
      </w:r>
    </w:p>
    <w:p w14:paraId="20C94EAC">
      <w:pPr>
        <w:pStyle w:val="98"/>
        <w:numPr>
          <w:ilvl w:val="3"/>
          <w:numId w:val="8"/>
        </w:numPr>
        <w:ind w:left="0"/>
        <w:rPr>
          <w:rFonts w:hint="eastAsia"/>
        </w:rPr>
      </w:pPr>
      <w:r>
        <w:rPr>
          <w:rFonts w:hint="eastAsia"/>
        </w:rPr>
        <w:t>预测因子</w:t>
      </w:r>
    </w:p>
    <w:p w14:paraId="65DBF08D">
      <w:pPr>
        <w:pStyle w:val="281"/>
        <w:ind w:firstLine="480"/>
        <w:rPr>
          <w:color w:val="FF0000"/>
        </w:rPr>
      </w:pPr>
      <w:r>
        <w:rPr>
          <w:rFonts w:hint="eastAsia"/>
          <w:color w:val="000000" w:themeColor="text1"/>
          <w14:textFill>
            <w14:solidFill>
              <w14:schemeClr w14:val="tx1"/>
            </w14:solidFill>
          </w14:textFill>
        </w:rPr>
        <w:t>正常工况下的预测因子：</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、甲醇、硫酸；非正常工况下的预测因子：</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、非甲烷总烃、硫酸雾。</w:t>
      </w:r>
    </w:p>
    <w:p w14:paraId="41A849C8">
      <w:pPr>
        <w:pStyle w:val="171"/>
        <w:spacing w:line="360" w:lineRule="auto"/>
        <w:ind w:firstLine="480"/>
        <w:rPr>
          <w:rFonts w:ascii="Times New Roman" w:hAnsi="Times New Roman" w:eastAsia="宋体"/>
        </w:rPr>
      </w:pPr>
      <w:r>
        <w:rPr>
          <w:rFonts w:hint="eastAsia" w:ascii="Times New Roman" w:hAnsi="Times New Roman" w:eastAsia="宋体"/>
        </w:rPr>
        <w:t>按照《环境影响评价技术导则大气环境》（</w:t>
      </w:r>
      <w:r>
        <w:rPr>
          <w:rFonts w:ascii="Times New Roman" w:hAnsi="Times New Roman" w:eastAsia="宋体"/>
        </w:rPr>
        <w:t>HJ2.2-2018</w:t>
      </w:r>
      <w:r>
        <w:rPr>
          <w:rFonts w:hint="eastAsia" w:ascii="Times New Roman" w:hAnsi="Times New Roman" w:eastAsia="宋体"/>
        </w:rPr>
        <w:t>）的要求，开展进一步预测。</w:t>
      </w:r>
    </w:p>
    <w:p w14:paraId="70236175">
      <w:pPr>
        <w:pStyle w:val="98"/>
        <w:numPr>
          <w:ilvl w:val="3"/>
          <w:numId w:val="8"/>
        </w:numPr>
        <w:ind w:left="0"/>
        <w:rPr>
          <w:rFonts w:hint="eastAsia"/>
        </w:rPr>
      </w:pPr>
      <w:r>
        <w:rPr>
          <w:rFonts w:hint="eastAsia"/>
        </w:rPr>
        <w:t>预测模式</w:t>
      </w:r>
    </w:p>
    <w:p w14:paraId="185EC39C">
      <w:pPr>
        <w:pStyle w:val="281"/>
        <w:ind w:firstLine="480"/>
      </w:pPr>
      <w:r>
        <w:rPr>
          <w:rFonts w:hint="eastAsia"/>
        </w:rPr>
        <w:t>按照《环境影响评价技术导则</w:t>
      </w:r>
      <w:r>
        <w:t>·</w:t>
      </w:r>
      <w:r>
        <w:rPr>
          <w:rFonts w:hint="eastAsia"/>
        </w:rPr>
        <w:t>大气环境》（</w:t>
      </w:r>
      <w:r>
        <w:t>HJ2.2-2018</w:t>
      </w:r>
      <w:r>
        <w:rPr>
          <w:rFonts w:hint="eastAsia"/>
        </w:rPr>
        <w:t>）的要求，本项目进行一级评价。</w:t>
      </w:r>
    </w:p>
    <w:p w14:paraId="0683062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根据估算结果，本项目最大影响范围为东西5.0</w:t>
      </w:r>
      <w:r>
        <w:rPr>
          <w:color w:val="000000" w:themeColor="text1"/>
          <w14:textFill>
            <w14:solidFill>
              <w14:schemeClr w14:val="tx1"/>
            </w14:solidFill>
          </w14:textFill>
        </w:rPr>
        <w:t>km</w:t>
      </w:r>
      <w:r>
        <w:rPr>
          <w:rFonts w:hint="eastAsia"/>
          <w:color w:val="000000" w:themeColor="text1"/>
          <w14:textFill>
            <w14:solidFill>
              <w14:schemeClr w14:val="tx1"/>
            </w14:solidFill>
          </w14:textFill>
        </w:rPr>
        <w:t>×南北5.0</w:t>
      </w:r>
      <w:r>
        <w:rPr>
          <w:color w:val="000000" w:themeColor="text1"/>
          <w14:textFill>
            <w14:solidFill>
              <w14:schemeClr w14:val="tx1"/>
            </w14:solidFill>
          </w14:textFill>
        </w:rPr>
        <w:t>km</w:t>
      </w:r>
      <w:r>
        <w:rPr>
          <w:rFonts w:hint="eastAsia"/>
          <w:color w:val="000000" w:themeColor="text1"/>
          <w14:textFill>
            <w14:solidFill>
              <w14:schemeClr w14:val="tx1"/>
            </w14:solidFill>
          </w14:textFill>
        </w:rPr>
        <w:t>。根据基准年气象资料统计，区域最大持续静风时长为4</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，小于</w:t>
      </w:r>
      <w:r>
        <w:rPr>
          <w:color w:val="000000" w:themeColor="text1"/>
          <w14:textFill>
            <w14:solidFill>
              <w14:schemeClr w14:val="tx1"/>
            </w14:solidFill>
          </w14:textFill>
        </w:rPr>
        <w:t>72h</w:t>
      </w:r>
      <w:r>
        <w:rPr>
          <w:rFonts w:hint="eastAsia"/>
          <w:color w:val="000000" w:themeColor="text1"/>
          <w14:textFill>
            <w14:solidFill>
              <w14:schemeClr w14:val="tx1"/>
            </w14:solidFill>
          </w14:textFill>
        </w:rPr>
        <w:t>。</w:t>
      </w:r>
    </w:p>
    <w:p w14:paraId="6B8EB3EB">
      <w:pPr>
        <w:pStyle w:val="281"/>
        <w:ind w:firstLine="480"/>
      </w:pPr>
      <w:r>
        <w:rPr>
          <w:rFonts w:hint="eastAsia"/>
        </w:rPr>
        <w:t>因此，本次评价采用导则中推荐的</w:t>
      </w:r>
      <w:r>
        <w:t>AERMOD</w:t>
      </w:r>
      <w:r>
        <w:rPr>
          <w:rFonts w:hint="eastAsia"/>
        </w:rPr>
        <w:t>模型进行预测。</w:t>
      </w:r>
    </w:p>
    <w:p w14:paraId="5C992459">
      <w:pPr>
        <w:pStyle w:val="281"/>
        <w:ind w:firstLine="480"/>
      </w:pPr>
      <w:r>
        <w:rPr>
          <w:rFonts w:hint="eastAsia"/>
        </w:rPr>
        <w:t>根据可研设计资料及建筑物下洗判定公式，本次预测各排气筒排放均不考虑建筑物下洗影响。进一步预测模式考虑污染物化学转化，不考虑干、湿沉降。</w:t>
      </w:r>
    </w:p>
    <w:p w14:paraId="7A144C69">
      <w:pPr>
        <w:pStyle w:val="98"/>
        <w:numPr>
          <w:ilvl w:val="3"/>
          <w:numId w:val="8"/>
        </w:numPr>
        <w:ind w:left="0"/>
        <w:rPr>
          <w:rFonts w:hint="eastAsia"/>
        </w:rPr>
      </w:pPr>
      <w:r>
        <w:rPr>
          <w:rFonts w:hint="eastAsia"/>
        </w:rPr>
        <w:t>气象数据</w:t>
      </w:r>
    </w:p>
    <w:p w14:paraId="77C44F6D">
      <w:pPr>
        <w:pStyle w:val="171"/>
        <w:spacing w:line="360" w:lineRule="auto"/>
        <w:ind w:firstLine="480"/>
        <w:rPr>
          <w:rFonts w:ascii="Times New Roman" w:hAnsi="Times New Roman" w:eastAsia="宋体"/>
        </w:rPr>
      </w:pPr>
      <w:r>
        <w:rPr>
          <w:rFonts w:hint="eastAsia" w:ascii="Times New Roman" w:hAnsi="Times New Roman" w:eastAsia="宋体"/>
        </w:rPr>
        <w:t>本项目位于哈密工业园区，本次评价采用的观测气象数据信息见表</w:t>
      </w:r>
      <w:r>
        <w:rPr>
          <w:rFonts w:ascii="Times New Roman" w:hAnsi="Times New Roman" w:eastAsia="宋体"/>
        </w:rPr>
        <w:t>5.2.5-1</w:t>
      </w:r>
      <w:r>
        <w:rPr>
          <w:rFonts w:hint="eastAsia" w:ascii="Times New Roman" w:hAnsi="Times New Roman" w:eastAsia="宋体"/>
        </w:rPr>
        <w:t>。</w:t>
      </w:r>
    </w:p>
    <w:p w14:paraId="41280F65">
      <w:pPr>
        <w:rPr>
          <w:rFonts w:hint="eastAsia" w:ascii="黑体" w:hAnsi="黑体" w:eastAsia="黑体"/>
          <w:b/>
        </w:rPr>
      </w:pPr>
      <w:r>
        <w:br w:type="page"/>
      </w:r>
    </w:p>
    <w:p w14:paraId="38E366D7">
      <w:pPr>
        <w:pStyle w:val="645"/>
        <w:rPr>
          <w:rFonts w:hint="eastAsia"/>
        </w:rPr>
      </w:pPr>
      <w:r>
        <w:rPr>
          <w:rFonts w:hint="eastAsia"/>
        </w:rPr>
        <w:t>表5.2.5-1    项目观测气象数据信息</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976"/>
        <w:gridCol w:w="574"/>
        <w:gridCol w:w="701"/>
        <w:gridCol w:w="744"/>
        <w:gridCol w:w="694"/>
        <w:gridCol w:w="996"/>
        <w:gridCol w:w="881"/>
        <w:gridCol w:w="844"/>
        <w:gridCol w:w="1906"/>
      </w:tblGrid>
      <w:tr w14:paraId="05E771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74" w:type="dxa"/>
            <w:vMerge w:val="restart"/>
            <w:tcBorders>
              <w:top w:val="single" w:color="auto" w:sz="4" w:space="0"/>
              <w:left w:val="single" w:color="auto" w:sz="4" w:space="0"/>
              <w:bottom w:val="single" w:color="auto" w:sz="6" w:space="0"/>
              <w:right w:val="single" w:color="auto" w:sz="6" w:space="0"/>
            </w:tcBorders>
            <w:vAlign w:val="center"/>
          </w:tcPr>
          <w:p w14:paraId="06ED1515">
            <w:pPr>
              <w:pStyle w:val="557"/>
            </w:pPr>
            <w:r>
              <w:t>气象站名称</w:t>
            </w:r>
          </w:p>
        </w:tc>
        <w:tc>
          <w:tcPr>
            <w:tcW w:w="573" w:type="dxa"/>
            <w:vMerge w:val="restart"/>
            <w:tcBorders>
              <w:top w:val="single" w:color="auto" w:sz="4" w:space="0"/>
              <w:left w:val="single" w:color="auto" w:sz="6" w:space="0"/>
              <w:bottom w:val="single" w:color="auto" w:sz="6" w:space="0"/>
              <w:right w:val="single" w:color="auto" w:sz="6" w:space="0"/>
            </w:tcBorders>
            <w:vAlign w:val="center"/>
          </w:tcPr>
          <w:p w14:paraId="504E8B56">
            <w:pPr>
              <w:pStyle w:val="557"/>
            </w:pPr>
            <w:r>
              <w:t>气象站编号</w:t>
            </w:r>
          </w:p>
        </w:tc>
        <w:tc>
          <w:tcPr>
            <w:tcW w:w="699" w:type="dxa"/>
            <w:vMerge w:val="restart"/>
            <w:tcBorders>
              <w:top w:val="single" w:color="auto" w:sz="4" w:space="0"/>
              <w:left w:val="single" w:color="auto" w:sz="6" w:space="0"/>
              <w:bottom w:val="single" w:color="auto" w:sz="6" w:space="0"/>
              <w:right w:val="single" w:color="auto" w:sz="6" w:space="0"/>
            </w:tcBorders>
            <w:vAlign w:val="center"/>
          </w:tcPr>
          <w:p w14:paraId="704451BC">
            <w:pPr>
              <w:pStyle w:val="557"/>
            </w:pPr>
            <w:r>
              <w:t>气象站等级</w:t>
            </w:r>
          </w:p>
        </w:tc>
        <w:tc>
          <w:tcPr>
            <w:tcW w:w="1434" w:type="dxa"/>
            <w:gridSpan w:val="2"/>
            <w:tcBorders>
              <w:top w:val="single" w:color="auto" w:sz="4" w:space="0"/>
              <w:left w:val="single" w:color="auto" w:sz="6" w:space="0"/>
              <w:bottom w:val="single" w:color="auto" w:sz="6" w:space="0"/>
              <w:right w:val="single" w:color="auto" w:sz="6" w:space="0"/>
            </w:tcBorders>
            <w:vAlign w:val="center"/>
          </w:tcPr>
          <w:p w14:paraId="08007DEE">
            <w:pPr>
              <w:pStyle w:val="557"/>
            </w:pPr>
            <w:r>
              <w:t>气象站坐标/m</w:t>
            </w:r>
          </w:p>
        </w:tc>
        <w:tc>
          <w:tcPr>
            <w:tcW w:w="994" w:type="dxa"/>
            <w:vMerge w:val="restart"/>
            <w:tcBorders>
              <w:top w:val="single" w:color="auto" w:sz="4" w:space="0"/>
              <w:left w:val="single" w:color="auto" w:sz="6" w:space="0"/>
              <w:bottom w:val="single" w:color="auto" w:sz="6" w:space="0"/>
              <w:right w:val="single" w:color="auto" w:sz="6" w:space="0"/>
            </w:tcBorders>
            <w:vAlign w:val="center"/>
          </w:tcPr>
          <w:p w14:paraId="15EBC4D7">
            <w:pPr>
              <w:pStyle w:val="557"/>
            </w:pPr>
            <w:r>
              <w:t>相对距离/km</w:t>
            </w:r>
          </w:p>
        </w:tc>
        <w:tc>
          <w:tcPr>
            <w:tcW w:w="879" w:type="dxa"/>
            <w:vMerge w:val="restart"/>
            <w:tcBorders>
              <w:top w:val="single" w:color="auto" w:sz="4" w:space="0"/>
              <w:left w:val="single" w:color="auto" w:sz="6" w:space="0"/>
              <w:bottom w:val="single" w:color="auto" w:sz="6" w:space="0"/>
              <w:right w:val="single" w:color="auto" w:sz="6" w:space="0"/>
            </w:tcBorders>
            <w:vAlign w:val="center"/>
          </w:tcPr>
          <w:p w14:paraId="10EB3A7C">
            <w:pPr>
              <w:pStyle w:val="557"/>
            </w:pPr>
            <w:r>
              <w:t>海拔高度</w:t>
            </w:r>
          </w:p>
          <w:p w14:paraId="2B2F5A60">
            <w:pPr>
              <w:pStyle w:val="557"/>
            </w:pPr>
            <w:r>
              <w:t>/m</w:t>
            </w:r>
          </w:p>
        </w:tc>
        <w:tc>
          <w:tcPr>
            <w:tcW w:w="842" w:type="dxa"/>
            <w:vMerge w:val="restart"/>
            <w:tcBorders>
              <w:top w:val="single" w:color="auto" w:sz="4" w:space="0"/>
              <w:left w:val="single" w:color="auto" w:sz="6" w:space="0"/>
              <w:bottom w:val="single" w:color="auto" w:sz="6" w:space="0"/>
              <w:right w:val="single" w:color="auto" w:sz="6" w:space="0"/>
            </w:tcBorders>
            <w:vAlign w:val="center"/>
          </w:tcPr>
          <w:p w14:paraId="52AAD89C">
            <w:pPr>
              <w:pStyle w:val="557"/>
            </w:pPr>
            <w:r>
              <w:t>数据</w:t>
            </w:r>
          </w:p>
          <w:p w14:paraId="7F44BA4D">
            <w:pPr>
              <w:pStyle w:val="557"/>
            </w:pPr>
            <w:r>
              <w:t>年份</w:t>
            </w:r>
          </w:p>
        </w:tc>
        <w:tc>
          <w:tcPr>
            <w:tcW w:w="1901" w:type="dxa"/>
            <w:vMerge w:val="restart"/>
            <w:tcBorders>
              <w:top w:val="single" w:color="auto" w:sz="4" w:space="0"/>
              <w:left w:val="single" w:color="auto" w:sz="6" w:space="0"/>
              <w:bottom w:val="single" w:color="auto" w:sz="6" w:space="0"/>
              <w:right w:val="single" w:color="auto" w:sz="4" w:space="0"/>
            </w:tcBorders>
            <w:vAlign w:val="center"/>
          </w:tcPr>
          <w:p w14:paraId="0AAC0FD1">
            <w:pPr>
              <w:pStyle w:val="557"/>
            </w:pPr>
            <w:r>
              <w:t>气象要素</w:t>
            </w:r>
          </w:p>
        </w:tc>
      </w:tr>
      <w:tr w14:paraId="079455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0" w:type="auto"/>
            <w:vMerge w:val="continue"/>
            <w:tcBorders>
              <w:top w:val="single" w:color="auto" w:sz="4" w:space="0"/>
              <w:left w:val="single" w:color="auto" w:sz="4" w:space="0"/>
              <w:bottom w:val="single" w:color="auto" w:sz="6" w:space="0"/>
              <w:right w:val="single" w:color="auto" w:sz="6" w:space="0"/>
            </w:tcBorders>
            <w:vAlign w:val="center"/>
          </w:tcPr>
          <w:p w14:paraId="1AFA64FE">
            <w:pPr>
              <w:pStyle w:val="557"/>
            </w:pPr>
          </w:p>
        </w:tc>
        <w:tc>
          <w:tcPr>
            <w:tcW w:w="0" w:type="auto"/>
            <w:vMerge w:val="continue"/>
            <w:tcBorders>
              <w:top w:val="single" w:color="auto" w:sz="4" w:space="0"/>
              <w:left w:val="single" w:color="auto" w:sz="6" w:space="0"/>
              <w:bottom w:val="single" w:color="auto" w:sz="6" w:space="0"/>
              <w:right w:val="single" w:color="auto" w:sz="6" w:space="0"/>
            </w:tcBorders>
            <w:vAlign w:val="center"/>
          </w:tcPr>
          <w:p w14:paraId="130112CF">
            <w:pPr>
              <w:pStyle w:val="557"/>
            </w:pPr>
          </w:p>
        </w:tc>
        <w:tc>
          <w:tcPr>
            <w:tcW w:w="0" w:type="auto"/>
            <w:vMerge w:val="continue"/>
            <w:tcBorders>
              <w:top w:val="single" w:color="auto" w:sz="4" w:space="0"/>
              <w:left w:val="single" w:color="auto" w:sz="6" w:space="0"/>
              <w:bottom w:val="single" w:color="auto" w:sz="6" w:space="0"/>
              <w:right w:val="single" w:color="auto" w:sz="6" w:space="0"/>
            </w:tcBorders>
            <w:vAlign w:val="center"/>
          </w:tcPr>
          <w:p w14:paraId="2B3B3AF5">
            <w:pPr>
              <w:pStyle w:val="557"/>
            </w:pPr>
          </w:p>
        </w:tc>
        <w:tc>
          <w:tcPr>
            <w:tcW w:w="742" w:type="dxa"/>
            <w:tcBorders>
              <w:top w:val="single" w:color="auto" w:sz="6" w:space="0"/>
              <w:left w:val="single" w:color="auto" w:sz="6" w:space="0"/>
              <w:bottom w:val="single" w:color="auto" w:sz="6" w:space="0"/>
              <w:right w:val="single" w:color="auto" w:sz="6" w:space="0"/>
            </w:tcBorders>
            <w:vAlign w:val="center"/>
          </w:tcPr>
          <w:p w14:paraId="1A51A5D8">
            <w:pPr>
              <w:pStyle w:val="557"/>
            </w:pPr>
            <w:r>
              <w:t>X</w:t>
            </w:r>
          </w:p>
        </w:tc>
        <w:tc>
          <w:tcPr>
            <w:tcW w:w="692" w:type="dxa"/>
            <w:tcBorders>
              <w:top w:val="single" w:color="auto" w:sz="6" w:space="0"/>
              <w:left w:val="single" w:color="auto" w:sz="6" w:space="0"/>
              <w:bottom w:val="single" w:color="auto" w:sz="6" w:space="0"/>
              <w:right w:val="single" w:color="auto" w:sz="6" w:space="0"/>
            </w:tcBorders>
            <w:vAlign w:val="center"/>
          </w:tcPr>
          <w:p w14:paraId="495404F8">
            <w:pPr>
              <w:pStyle w:val="557"/>
            </w:pPr>
            <w:r>
              <w:t>Y</w:t>
            </w:r>
          </w:p>
        </w:tc>
        <w:tc>
          <w:tcPr>
            <w:tcW w:w="0" w:type="auto"/>
            <w:vMerge w:val="continue"/>
            <w:tcBorders>
              <w:top w:val="single" w:color="auto" w:sz="4" w:space="0"/>
              <w:left w:val="single" w:color="auto" w:sz="6" w:space="0"/>
              <w:bottom w:val="single" w:color="auto" w:sz="6" w:space="0"/>
              <w:right w:val="single" w:color="auto" w:sz="6" w:space="0"/>
            </w:tcBorders>
            <w:vAlign w:val="center"/>
          </w:tcPr>
          <w:p w14:paraId="374F6C18">
            <w:pPr>
              <w:pStyle w:val="557"/>
            </w:pPr>
          </w:p>
        </w:tc>
        <w:tc>
          <w:tcPr>
            <w:tcW w:w="0" w:type="auto"/>
            <w:vMerge w:val="continue"/>
            <w:tcBorders>
              <w:top w:val="single" w:color="auto" w:sz="4" w:space="0"/>
              <w:left w:val="single" w:color="auto" w:sz="6" w:space="0"/>
              <w:bottom w:val="single" w:color="auto" w:sz="6" w:space="0"/>
              <w:right w:val="single" w:color="auto" w:sz="6" w:space="0"/>
            </w:tcBorders>
            <w:vAlign w:val="center"/>
          </w:tcPr>
          <w:p w14:paraId="7CF2B1ED">
            <w:pPr>
              <w:pStyle w:val="557"/>
            </w:pPr>
          </w:p>
        </w:tc>
        <w:tc>
          <w:tcPr>
            <w:tcW w:w="0" w:type="auto"/>
            <w:vMerge w:val="continue"/>
            <w:tcBorders>
              <w:top w:val="single" w:color="auto" w:sz="4" w:space="0"/>
              <w:left w:val="single" w:color="auto" w:sz="6" w:space="0"/>
              <w:bottom w:val="single" w:color="auto" w:sz="6" w:space="0"/>
              <w:right w:val="single" w:color="auto" w:sz="6" w:space="0"/>
            </w:tcBorders>
            <w:vAlign w:val="center"/>
          </w:tcPr>
          <w:p w14:paraId="05A0CFCE">
            <w:pPr>
              <w:pStyle w:val="557"/>
            </w:pPr>
          </w:p>
        </w:tc>
        <w:tc>
          <w:tcPr>
            <w:tcW w:w="0" w:type="auto"/>
            <w:vMerge w:val="continue"/>
            <w:tcBorders>
              <w:top w:val="single" w:color="auto" w:sz="4" w:space="0"/>
              <w:left w:val="single" w:color="auto" w:sz="6" w:space="0"/>
              <w:bottom w:val="single" w:color="auto" w:sz="6" w:space="0"/>
              <w:right w:val="single" w:color="auto" w:sz="4" w:space="0"/>
            </w:tcBorders>
            <w:vAlign w:val="center"/>
          </w:tcPr>
          <w:p w14:paraId="0550CB4F">
            <w:pPr>
              <w:pStyle w:val="557"/>
            </w:pPr>
          </w:p>
        </w:tc>
      </w:tr>
      <w:tr w14:paraId="486971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74" w:type="dxa"/>
            <w:tcBorders>
              <w:top w:val="single" w:color="auto" w:sz="6" w:space="0"/>
              <w:left w:val="single" w:color="auto" w:sz="4" w:space="0"/>
              <w:bottom w:val="single" w:color="auto" w:sz="4" w:space="0"/>
              <w:right w:val="single" w:color="auto" w:sz="6" w:space="0"/>
            </w:tcBorders>
            <w:vAlign w:val="center"/>
          </w:tcPr>
          <w:p w14:paraId="609C9FF0">
            <w:pPr>
              <w:pStyle w:val="557"/>
              <w:rPr>
                <w:rStyle w:val="155"/>
                <w:rFonts w:ascii="Times New Roman" w:hAnsi="Times New Roman" w:eastAsia="宋体" w:cs="Times New Roman"/>
                <w:b w:val="0"/>
                <w:bCs/>
                <w:sz w:val="18"/>
                <w:szCs w:val="18"/>
              </w:rPr>
            </w:pPr>
            <w:r>
              <w:rPr>
                <w:rStyle w:val="155"/>
                <w:rFonts w:ascii="Times New Roman" w:hAnsi="Times New Roman" w:eastAsia="宋体" w:cs="Times New Roman"/>
                <w:b w:val="0"/>
                <w:bCs/>
                <w:sz w:val="18"/>
                <w:szCs w:val="18"/>
              </w:rPr>
              <w:t>哈密气象站</w:t>
            </w:r>
          </w:p>
        </w:tc>
        <w:tc>
          <w:tcPr>
            <w:tcW w:w="573" w:type="dxa"/>
            <w:tcBorders>
              <w:top w:val="single" w:color="auto" w:sz="6" w:space="0"/>
              <w:left w:val="single" w:color="auto" w:sz="6" w:space="0"/>
              <w:bottom w:val="single" w:color="auto" w:sz="4" w:space="0"/>
              <w:right w:val="single" w:color="auto" w:sz="6" w:space="0"/>
            </w:tcBorders>
            <w:vAlign w:val="center"/>
          </w:tcPr>
          <w:p w14:paraId="73B0A662">
            <w:pPr>
              <w:pStyle w:val="557"/>
              <w:rPr>
                <w:rStyle w:val="155"/>
                <w:rFonts w:ascii="Times New Roman" w:hAnsi="Times New Roman" w:eastAsia="宋体" w:cs="Times New Roman"/>
                <w:b w:val="0"/>
                <w:bCs/>
                <w:sz w:val="18"/>
                <w:szCs w:val="18"/>
              </w:rPr>
            </w:pPr>
            <w:r>
              <w:t>52203</w:t>
            </w:r>
          </w:p>
        </w:tc>
        <w:tc>
          <w:tcPr>
            <w:tcW w:w="699" w:type="dxa"/>
            <w:tcBorders>
              <w:top w:val="single" w:color="auto" w:sz="6" w:space="0"/>
              <w:left w:val="single" w:color="auto" w:sz="6" w:space="0"/>
              <w:bottom w:val="single" w:color="auto" w:sz="4" w:space="0"/>
              <w:right w:val="single" w:color="auto" w:sz="6" w:space="0"/>
            </w:tcBorders>
            <w:vAlign w:val="center"/>
          </w:tcPr>
          <w:p w14:paraId="5AEBE287">
            <w:pPr>
              <w:pStyle w:val="557"/>
              <w:rPr>
                <w:rStyle w:val="155"/>
                <w:rFonts w:ascii="Times New Roman" w:hAnsi="Times New Roman" w:eastAsia="宋体" w:cs="Times New Roman"/>
                <w:b w:val="0"/>
                <w:bCs/>
                <w:sz w:val="18"/>
                <w:szCs w:val="18"/>
              </w:rPr>
            </w:pPr>
            <w:r>
              <w:rPr>
                <w:rStyle w:val="155"/>
                <w:rFonts w:ascii="Times New Roman" w:hAnsi="Times New Roman" w:eastAsia="宋体" w:cs="Times New Roman"/>
                <w:b w:val="0"/>
                <w:bCs/>
                <w:sz w:val="18"/>
                <w:szCs w:val="18"/>
              </w:rPr>
              <w:t>基本站</w:t>
            </w:r>
          </w:p>
        </w:tc>
        <w:tc>
          <w:tcPr>
            <w:tcW w:w="742" w:type="dxa"/>
            <w:tcBorders>
              <w:top w:val="single" w:color="auto" w:sz="6" w:space="0"/>
              <w:left w:val="single" w:color="auto" w:sz="6" w:space="0"/>
              <w:bottom w:val="single" w:color="auto" w:sz="4" w:space="0"/>
              <w:right w:val="single" w:color="auto" w:sz="6" w:space="0"/>
            </w:tcBorders>
            <w:vAlign w:val="center"/>
          </w:tcPr>
          <w:p w14:paraId="265E48A9">
            <w:pPr>
              <w:pStyle w:val="557"/>
              <w:rPr>
                <w:rStyle w:val="155"/>
                <w:rFonts w:ascii="Times New Roman" w:hAnsi="Times New Roman" w:eastAsia="宋体" w:cs="Times New Roman"/>
                <w:b w:val="0"/>
                <w:bCs/>
                <w:sz w:val="18"/>
                <w:szCs w:val="18"/>
              </w:rPr>
            </w:pPr>
            <w:r>
              <w:rPr>
                <w:rFonts w:hint="eastAsia"/>
              </w:rPr>
              <w:t>9531</w:t>
            </w:r>
          </w:p>
        </w:tc>
        <w:tc>
          <w:tcPr>
            <w:tcW w:w="692" w:type="dxa"/>
            <w:tcBorders>
              <w:top w:val="single" w:color="auto" w:sz="6" w:space="0"/>
              <w:left w:val="single" w:color="auto" w:sz="6" w:space="0"/>
              <w:bottom w:val="single" w:color="auto" w:sz="4" w:space="0"/>
              <w:right w:val="single" w:color="auto" w:sz="6" w:space="0"/>
            </w:tcBorders>
            <w:vAlign w:val="center"/>
          </w:tcPr>
          <w:p w14:paraId="0A16394A">
            <w:pPr>
              <w:pStyle w:val="557"/>
              <w:rPr>
                <w:rStyle w:val="155"/>
                <w:rFonts w:ascii="Times New Roman" w:hAnsi="Times New Roman" w:eastAsia="宋体" w:cs="Times New Roman"/>
                <w:b w:val="0"/>
                <w:bCs/>
                <w:sz w:val="18"/>
                <w:szCs w:val="18"/>
              </w:rPr>
            </w:pPr>
            <w:r>
              <w:rPr>
                <w:rFonts w:hint="eastAsia"/>
              </w:rPr>
              <w:t>11670</w:t>
            </w:r>
          </w:p>
        </w:tc>
        <w:tc>
          <w:tcPr>
            <w:tcW w:w="994" w:type="dxa"/>
            <w:tcBorders>
              <w:top w:val="single" w:color="auto" w:sz="6" w:space="0"/>
              <w:left w:val="single" w:color="auto" w:sz="6" w:space="0"/>
              <w:bottom w:val="single" w:color="auto" w:sz="4" w:space="0"/>
              <w:right w:val="single" w:color="auto" w:sz="6" w:space="0"/>
            </w:tcBorders>
            <w:vAlign w:val="center"/>
          </w:tcPr>
          <w:p w14:paraId="11A080B6">
            <w:pPr>
              <w:pStyle w:val="557"/>
              <w:rPr>
                <w:rStyle w:val="155"/>
                <w:rFonts w:ascii="Times New Roman" w:hAnsi="Times New Roman" w:eastAsia="宋体" w:cs="Times New Roman"/>
                <w:b w:val="0"/>
                <w:bCs/>
                <w:sz w:val="18"/>
                <w:szCs w:val="18"/>
              </w:rPr>
            </w:pPr>
            <w:r>
              <w:rPr>
                <w:rStyle w:val="155"/>
                <w:rFonts w:hint="eastAsia" w:ascii="Times New Roman" w:hAnsi="Times New Roman" w:eastAsia="宋体" w:cs="Times New Roman"/>
                <w:b w:val="0"/>
                <w:bCs/>
                <w:sz w:val="18"/>
                <w:szCs w:val="18"/>
              </w:rPr>
              <w:t>1</w:t>
            </w:r>
            <w:r>
              <w:rPr>
                <w:rStyle w:val="155"/>
                <w:rFonts w:hint="eastAsia" w:ascii="Times New Roman" w:hAnsi="Times New Roman"/>
                <w:b w:val="0"/>
                <w:bCs/>
                <w:sz w:val="18"/>
                <w:szCs w:val="18"/>
              </w:rPr>
              <w:t>4.568</w:t>
            </w:r>
          </w:p>
        </w:tc>
        <w:tc>
          <w:tcPr>
            <w:tcW w:w="879" w:type="dxa"/>
            <w:tcBorders>
              <w:top w:val="single" w:color="auto" w:sz="6" w:space="0"/>
              <w:left w:val="single" w:color="auto" w:sz="6" w:space="0"/>
              <w:bottom w:val="single" w:color="auto" w:sz="4" w:space="0"/>
              <w:right w:val="single" w:color="auto" w:sz="6" w:space="0"/>
            </w:tcBorders>
            <w:vAlign w:val="center"/>
          </w:tcPr>
          <w:p w14:paraId="55767BC4">
            <w:pPr>
              <w:pStyle w:val="557"/>
              <w:rPr>
                <w:rStyle w:val="155"/>
                <w:rFonts w:ascii="Times New Roman" w:hAnsi="Times New Roman" w:eastAsia="宋体" w:cs="Times New Roman"/>
                <w:b w:val="0"/>
                <w:bCs/>
                <w:sz w:val="18"/>
                <w:szCs w:val="18"/>
              </w:rPr>
            </w:pPr>
            <w:r>
              <w:rPr>
                <w:rStyle w:val="155"/>
                <w:rFonts w:hint="eastAsia" w:ascii="Times New Roman" w:hAnsi="Times New Roman" w:eastAsia="宋体" w:cs="Times New Roman"/>
                <w:b w:val="0"/>
                <w:bCs/>
                <w:sz w:val="18"/>
                <w:szCs w:val="18"/>
              </w:rPr>
              <w:t>7</w:t>
            </w:r>
            <w:r>
              <w:rPr>
                <w:rStyle w:val="155"/>
                <w:rFonts w:hint="eastAsia" w:ascii="Times New Roman" w:hAnsi="Times New Roman"/>
                <w:b w:val="0"/>
                <w:bCs/>
                <w:sz w:val="18"/>
                <w:szCs w:val="18"/>
              </w:rPr>
              <w:t>50</w:t>
            </w:r>
          </w:p>
        </w:tc>
        <w:tc>
          <w:tcPr>
            <w:tcW w:w="842" w:type="dxa"/>
            <w:tcBorders>
              <w:top w:val="single" w:color="auto" w:sz="6" w:space="0"/>
              <w:left w:val="single" w:color="auto" w:sz="6" w:space="0"/>
              <w:bottom w:val="single" w:color="auto" w:sz="4" w:space="0"/>
              <w:right w:val="single" w:color="auto" w:sz="6" w:space="0"/>
            </w:tcBorders>
            <w:vAlign w:val="center"/>
          </w:tcPr>
          <w:p w14:paraId="3D76EA24">
            <w:pPr>
              <w:pStyle w:val="557"/>
              <w:rPr>
                <w:rStyle w:val="155"/>
                <w:rFonts w:ascii="Times New Roman" w:hAnsi="Times New Roman" w:eastAsia="宋体" w:cs="Times New Roman"/>
                <w:b w:val="0"/>
                <w:bCs/>
                <w:sz w:val="18"/>
                <w:szCs w:val="18"/>
              </w:rPr>
            </w:pPr>
            <w:r>
              <w:rPr>
                <w:rStyle w:val="155"/>
                <w:rFonts w:ascii="Times New Roman" w:hAnsi="Times New Roman" w:eastAsia="宋体" w:cs="Times New Roman"/>
                <w:b w:val="0"/>
                <w:bCs/>
                <w:sz w:val="18"/>
                <w:szCs w:val="18"/>
              </w:rPr>
              <w:t>2023</w:t>
            </w:r>
          </w:p>
        </w:tc>
        <w:tc>
          <w:tcPr>
            <w:tcW w:w="1901" w:type="dxa"/>
            <w:tcBorders>
              <w:top w:val="single" w:color="auto" w:sz="6" w:space="0"/>
              <w:left w:val="single" w:color="auto" w:sz="6" w:space="0"/>
              <w:bottom w:val="single" w:color="auto" w:sz="4" w:space="0"/>
              <w:right w:val="single" w:color="auto" w:sz="4" w:space="0"/>
            </w:tcBorders>
            <w:vAlign w:val="center"/>
          </w:tcPr>
          <w:p w14:paraId="16013C0D">
            <w:pPr>
              <w:pStyle w:val="557"/>
              <w:rPr>
                <w:rStyle w:val="155"/>
                <w:rFonts w:ascii="Times New Roman" w:hAnsi="Times New Roman" w:eastAsia="宋体" w:cs="Times New Roman"/>
                <w:b w:val="0"/>
                <w:bCs/>
                <w:sz w:val="18"/>
                <w:szCs w:val="18"/>
              </w:rPr>
            </w:pPr>
            <w:r>
              <w:rPr>
                <w:rStyle w:val="155"/>
                <w:rFonts w:ascii="Times New Roman" w:hAnsi="Times New Roman" w:eastAsia="宋体" w:cs="Times New Roman"/>
                <w:b w:val="0"/>
                <w:bCs/>
                <w:sz w:val="18"/>
                <w:szCs w:val="18"/>
              </w:rPr>
              <w:t>风向、风速、总云、低云、干球温度</w:t>
            </w:r>
          </w:p>
        </w:tc>
      </w:tr>
    </w:tbl>
    <w:p w14:paraId="1032217F">
      <w:pPr>
        <w:pStyle w:val="557"/>
      </w:pPr>
    </w:p>
    <w:p w14:paraId="6E3BBB02">
      <w:pPr>
        <w:pStyle w:val="98"/>
        <w:numPr>
          <w:ilvl w:val="3"/>
          <w:numId w:val="8"/>
        </w:numPr>
        <w:ind w:left="0"/>
        <w:rPr>
          <w:rFonts w:hint="eastAsia"/>
        </w:rPr>
      </w:pPr>
      <w:r>
        <w:rPr>
          <w:rFonts w:hint="eastAsia"/>
        </w:rPr>
        <w:t>地形数据</w:t>
      </w:r>
    </w:p>
    <w:p w14:paraId="04822C93">
      <w:pPr>
        <w:pStyle w:val="281"/>
        <w:ind w:firstLine="480"/>
      </w:pPr>
      <w:r>
        <w:rPr>
          <w:rFonts w:hint="eastAsia" w:ascii="宋体" w:hAnsi="宋体"/>
        </w:rPr>
        <w:t>本项目在预测过程中考虑实际地形影响，其中地形数据来自美国地理调查局（</w:t>
      </w:r>
      <w:r>
        <w:t>USGS</w:t>
      </w:r>
      <w:r>
        <w:rPr>
          <w:rFonts w:hint="eastAsia" w:ascii="宋体" w:hAnsi="宋体"/>
        </w:rPr>
        <w:t>），精度为</w:t>
      </w:r>
      <w:r>
        <w:t>90m</w:t>
      </w:r>
      <w:r>
        <w:rPr>
          <w:rFonts w:hint="eastAsia" w:ascii="宋体" w:hAnsi="宋体"/>
        </w:rPr>
        <w:t>，如</w:t>
      </w:r>
      <w:r>
        <w:rPr>
          <w:rFonts w:hint="eastAsia"/>
        </w:rPr>
        <w:t>图</w:t>
      </w:r>
      <w:r>
        <w:t>5.2.5-1</w:t>
      </w:r>
      <w:r>
        <w:rPr>
          <w:rFonts w:hint="eastAsia" w:ascii="宋体" w:hAnsi="宋体"/>
        </w:rPr>
        <w:t>所示。</w:t>
      </w:r>
    </w:p>
    <w:p w14:paraId="10F4A5CC">
      <w:pPr>
        <w:pStyle w:val="557"/>
      </w:pPr>
    </w:p>
    <w:p w14:paraId="148944E6">
      <w:pPr>
        <w:pStyle w:val="535"/>
        <w:ind w:left="400" w:hanging="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图5.2.5-1  评价范围地形高程示意图</w:t>
      </w:r>
    </w:p>
    <w:p w14:paraId="7124F176">
      <w:pPr>
        <w:pStyle w:val="98"/>
        <w:numPr>
          <w:ilvl w:val="3"/>
          <w:numId w:val="8"/>
        </w:numPr>
        <w:ind w:left="0"/>
        <w:rPr>
          <w:rFonts w:hint="eastAsia"/>
        </w:rPr>
      </w:pPr>
      <w:r>
        <w:rPr>
          <w:rFonts w:hint="eastAsia"/>
        </w:rPr>
        <w:t>预测范围及预测点方案</w:t>
      </w:r>
    </w:p>
    <w:p w14:paraId="315027C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本次评价预测网格点间距设置为100m。</w:t>
      </w:r>
    </w:p>
    <w:p w14:paraId="6B12534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评价范围内无环境空气保护目标。</w:t>
      </w:r>
    </w:p>
    <w:p w14:paraId="3910E8A3">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大气防护距离预测范围为厂界外2km范围内的矩形区域，预测网格点间距为50m。</w:t>
      </w:r>
    </w:p>
    <w:p w14:paraId="58B99127">
      <w:pPr>
        <w:pStyle w:val="97"/>
        <w:numPr>
          <w:ilvl w:val="2"/>
          <w:numId w:val="8"/>
        </w:numPr>
        <w:ind w:left="0"/>
        <w:rPr>
          <w:rFonts w:hint="eastAsia"/>
        </w:rPr>
      </w:pPr>
      <w:r>
        <w:rPr>
          <w:rFonts w:hint="eastAsia"/>
        </w:rPr>
        <w:t>预测内容</w:t>
      </w:r>
    </w:p>
    <w:p w14:paraId="62025A23">
      <w:pPr>
        <w:pStyle w:val="281"/>
        <w:ind w:firstLine="480"/>
      </w:pPr>
      <w:r>
        <w:rPr>
          <w:rFonts w:hint="eastAsia"/>
        </w:rPr>
        <w:t>本项目所在区域2023年为达标区，项目大气环境影响评价等级为一级，根据《环境影响评价技术导则大气环境》（</w:t>
      </w:r>
      <w:r>
        <w:t>HJ2.2-2018</w:t>
      </w:r>
      <w:r>
        <w:rPr>
          <w:rFonts w:hint="eastAsia"/>
        </w:rPr>
        <w:t>）要求需采用进一步预测模式分析项目排放的污染物对周边环境的影响。大气环境影响预测内容见</w:t>
      </w:r>
      <w:r>
        <w:rPr>
          <w:rFonts w:hint="eastAsia" w:ascii="宋体" w:hAnsi="宋体"/>
        </w:rPr>
        <w:t>表</w:t>
      </w:r>
      <w:r>
        <w:t>5.2.6-1</w:t>
      </w:r>
      <w:r>
        <w:rPr>
          <w:rFonts w:hint="eastAsia" w:ascii="宋体" w:hAnsi="宋体"/>
        </w:rPr>
        <w:t>。</w:t>
      </w:r>
    </w:p>
    <w:p w14:paraId="0F48C9CF">
      <w:pPr>
        <w:pStyle w:val="535"/>
        <w:ind w:left="400" w:hanging="400"/>
        <w:rPr>
          <w:rFonts w:hint="eastAsia"/>
          <w:color w:val="auto"/>
        </w:rPr>
      </w:pPr>
      <w:r>
        <w:rPr>
          <w:rFonts w:hint="eastAsia"/>
          <w:color w:val="auto"/>
        </w:rPr>
        <w:t>表5.2.6-1    大气环境影响预测与评价内容一览表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6"/>
        <w:gridCol w:w="2400"/>
        <w:gridCol w:w="995"/>
        <w:gridCol w:w="998"/>
        <w:gridCol w:w="2917"/>
      </w:tblGrid>
      <w:tr w14:paraId="66CA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05" w:type="pct"/>
            <w:tcBorders>
              <w:top w:val="single" w:color="auto" w:sz="4" w:space="0"/>
              <w:left w:val="single" w:color="auto" w:sz="4" w:space="0"/>
              <w:bottom w:val="single" w:color="auto" w:sz="4" w:space="0"/>
              <w:right w:val="single" w:color="auto" w:sz="4" w:space="0"/>
            </w:tcBorders>
            <w:vAlign w:val="center"/>
          </w:tcPr>
          <w:p w14:paraId="7672BC8C">
            <w:pPr>
              <w:pStyle w:val="557"/>
              <w:rPr>
                <w:color w:val="auto"/>
              </w:rPr>
            </w:pPr>
            <w:r>
              <w:rPr>
                <w:rFonts w:hint="eastAsia"/>
              </w:rPr>
              <w:t>评价对象</w:t>
            </w:r>
          </w:p>
        </w:tc>
        <w:tc>
          <w:tcPr>
            <w:tcW w:w="1443" w:type="pct"/>
            <w:tcBorders>
              <w:top w:val="single" w:color="auto" w:sz="4" w:space="0"/>
              <w:left w:val="single" w:color="auto" w:sz="4" w:space="0"/>
              <w:bottom w:val="single" w:color="auto" w:sz="4" w:space="0"/>
              <w:right w:val="single" w:color="auto" w:sz="4" w:space="0"/>
            </w:tcBorders>
            <w:vAlign w:val="center"/>
          </w:tcPr>
          <w:p w14:paraId="2AB84976">
            <w:pPr>
              <w:pStyle w:val="557"/>
            </w:pPr>
            <w:r>
              <w:rPr>
                <w:rFonts w:hint="eastAsia"/>
              </w:rPr>
              <w:t>污染源</w:t>
            </w:r>
          </w:p>
        </w:tc>
        <w:tc>
          <w:tcPr>
            <w:tcW w:w="598" w:type="pct"/>
            <w:tcBorders>
              <w:top w:val="single" w:color="auto" w:sz="4" w:space="0"/>
              <w:left w:val="single" w:color="auto" w:sz="4" w:space="0"/>
              <w:bottom w:val="single" w:color="auto" w:sz="4" w:space="0"/>
              <w:right w:val="single" w:color="auto" w:sz="4" w:space="0"/>
            </w:tcBorders>
            <w:vAlign w:val="center"/>
          </w:tcPr>
          <w:p w14:paraId="7AE6FE6B">
            <w:pPr>
              <w:pStyle w:val="557"/>
            </w:pPr>
            <w:r>
              <w:rPr>
                <w:rFonts w:hint="eastAsia"/>
              </w:rPr>
              <w:t>排放形式</w:t>
            </w:r>
          </w:p>
        </w:tc>
        <w:tc>
          <w:tcPr>
            <w:tcW w:w="600" w:type="pct"/>
            <w:tcBorders>
              <w:top w:val="single" w:color="auto" w:sz="4" w:space="0"/>
              <w:left w:val="single" w:color="auto" w:sz="4" w:space="0"/>
              <w:bottom w:val="single" w:color="auto" w:sz="4" w:space="0"/>
              <w:right w:val="single" w:color="auto" w:sz="4" w:space="0"/>
            </w:tcBorders>
            <w:vAlign w:val="center"/>
          </w:tcPr>
          <w:p w14:paraId="0ABB44D0">
            <w:pPr>
              <w:pStyle w:val="557"/>
            </w:pPr>
            <w:r>
              <w:rPr>
                <w:rFonts w:hint="eastAsia"/>
              </w:rPr>
              <w:t>预测内容</w:t>
            </w:r>
          </w:p>
        </w:tc>
        <w:tc>
          <w:tcPr>
            <w:tcW w:w="1754" w:type="pct"/>
            <w:tcBorders>
              <w:top w:val="single" w:color="auto" w:sz="4" w:space="0"/>
              <w:left w:val="single" w:color="auto" w:sz="4" w:space="0"/>
              <w:bottom w:val="single" w:color="auto" w:sz="4" w:space="0"/>
              <w:right w:val="single" w:color="auto" w:sz="4" w:space="0"/>
            </w:tcBorders>
            <w:vAlign w:val="center"/>
          </w:tcPr>
          <w:p w14:paraId="4D4B8F71">
            <w:pPr>
              <w:pStyle w:val="557"/>
            </w:pPr>
            <w:r>
              <w:rPr>
                <w:rFonts w:hint="eastAsia"/>
              </w:rPr>
              <w:t>评价内容</w:t>
            </w:r>
          </w:p>
        </w:tc>
      </w:tr>
      <w:tr w14:paraId="6BAB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05" w:type="pct"/>
            <w:vMerge w:val="restart"/>
            <w:tcBorders>
              <w:top w:val="single" w:color="auto" w:sz="4" w:space="0"/>
              <w:left w:val="single" w:color="auto" w:sz="4" w:space="0"/>
              <w:bottom w:val="single" w:color="auto" w:sz="4" w:space="0"/>
              <w:right w:val="single" w:color="auto" w:sz="4" w:space="0"/>
            </w:tcBorders>
            <w:vAlign w:val="center"/>
          </w:tcPr>
          <w:p w14:paraId="0AFB86FA">
            <w:pPr>
              <w:pStyle w:val="557"/>
            </w:pPr>
            <w:r>
              <w:rPr>
                <w:rFonts w:hint="eastAsia"/>
              </w:rPr>
              <w:t>达标区</w:t>
            </w:r>
          </w:p>
          <w:p w14:paraId="6E75E10F">
            <w:pPr>
              <w:pStyle w:val="557"/>
            </w:pPr>
            <w:r>
              <w:rPr>
                <w:rFonts w:hint="eastAsia"/>
              </w:rPr>
              <w:t>评价项目</w:t>
            </w:r>
          </w:p>
        </w:tc>
        <w:tc>
          <w:tcPr>
            <w:tcW w:w="1443" w:type="pct"/>
            <w:tcBorders>
              <w:top w:val="single" w:color="auto" w:sz="4" w:space="0"/>
              <w:left w:val="single" w:color="auto" w:sz="4" w:space="0"/>
              <w:bottom w:val="single" w:color="auto" w:sz="4" w:space="0"/>
              <w:right w:val="single" w:color="auto" w:sz="4" w:space="0"/>
            </w:tcBorders>
            <w:vAlign w:val="center"/>
          </w:tcPr>
          <w:p w14:paraId="3B47FE27">
            <w:pPr>
              <w:pStyle w:val="557"/>
            </w:pPr>
            <w:r>
              <w:rPr>
                <w:rFonts w:hint="eastAsia"/>
              </w:rPr>
              <w:t>新增污染源</w:t>
            </w:r>
          </w:p>
        </w:tc>
        <w:tc>
          <w:tcPr>
            <w:tcW w:w="598" w:type="pct"/>
            <w:tcBorders>
              <w:top w:val="single" w:color="auto" w:sz="4" w:space="0"/>
              <w:left w:val="single" w:color="auto" w:sz="4" w:space="0"/>
              <w:bottom w:val="single" w:color="auto" w:sz="4" w:space="0"/>
              <w:right w:val="single" w:color="auto" w:sz="4" w:space="0"/>
            </w:tcBorders>
            <w:vAlign w:val="center"/>
          </w:tcPr>
          <w:p w14:paraId="53EDE1D4">
            <w:pPr>
              <w:pStyle w:val="557"/>
            </w:pPr>
            <w:r>
              <w:rPr>
                <w:rFonts w:hint="eastAsia"/>
              </w:rPr>
              <w:t>正常排放</w:t>
            </w:r>
          </w:p>
        </w:tc>
        <w:tc>
          <w:tcPr>
            <w:tcW w:w="600" w:type="pct"/>
            <w:tcBorders>
              <w:top w:val="single" w:color="auto" w:sz="4" w:space="0"/>
              <w:left w:val="single" w:color="auto" w:sz="4" w:space="0"/>
              <w:bottom w:val="single" w:color="auto" w:sz="4" w:space="0"/>
              <w:right w:val="single" w:color="auto" w:sz="4" w:space="0"/>
            </w:tcBorders>
            <w:vAlign w:val="center"/>
          </w:tcPr>
          <w:p w14:paraId="67FD5CAD">
            <w:pPr>
              <w:pStyle w:val="557"/>
            </w:pPr>
            <w:r>
              <w:rPr>
                <w:rFonts w:hint="eastAsia"/>
              </w:rPr>
              <w:t>短期浓度</w:t>
            </w:r>
          </w:p>
          <w:p w14:paraId="7DD950CE">
            <w:pPr>
              <w:pStyle w:val="557"/>
            </w:pPr>
            <w:r>
              <w:rPr>
                <w:rFonts w:hint="eastAsia"/>
              </w:rPr>
              <w:t>长期浓度</w:t>
            </w:r>
          </w:p>
        </w:tc>
        <w:tc>
          <w:tcPr>
            <w:tcW w:w="1754" w:type="pct"/>
            <w:tcBorders>
              <w:top w:val="single" w:color="auto" w:sz="4" w:space="0"/>
              <w:left w:val="single" w:color="auto" w:sz="4" w:space="0"/>
              <w:bottom w:val="single" w:color="auto" w:sz="4" w:space="0"/>
              <w:right w:val="single" w:color="auto" w:sz="4" w:space="0"/>
            </w:tcBorders>
            <w:vAlign w:val="center"/>
          </w:tcPr>
          <w:p w14:paraId="14FDE7A0">
            <w:pPr>
              <w:pStyle w:val="557"/>
            </w:pPr>
            <w:r>
              <w:rPr>
                <w:rFonts w:hint="eastAsia"/>
              </w:rPr>
              <w:t>最大浓度占标率</w:t>
            </w:r>
          </w:p>
        </w:tc>
      </w:tr>
      <w:tr w14:paraId="0A50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EAAA8D">
            <w:pPr>
              <w:rPr>
                <w:rFonts w:hint="eastAsia"/>
                <w:bCs/>
                <w:sz w:val="18"/>
                <w:szCs w:val="18"/>
                <w:u w:color="000000"/>
                <w:lang w:val="zh-CN" w:bidi="en-US"/>
              </w:rPr>
            </w:pPr>
          </w:p>
        </w:tc>
        <w:tc>
          <w:tcPr>
            <w:tcW w:w="1443" w:type="pct"/>
            <w:tcBorders>
              <w:top w:val="single" w:color="auto" w:sz="4" w:space="0"/>
              <w:left w:val="single" w:color="auto" w:sz="4" w:space="0"/>
              <w:bottom w:val="single" w:color="auto" w:sz="4" w:space="0"/>
              <w:right w:val="single" w:color="auto" w:sz="4" w:space="0"/>
            </w:tcBorders>
            <w:vAlign w:val="center"/>
          </w:tcPr>
          <w:p w14:paraId="589DB2DF">
            <w:pPr>
              <w:pStyle w:val="557"/>
            </w:pPr>
            <w:r>
              <w:rPr>
                <w:rFonts w:hint="eastAsia"/>
              </w:rPr>
              <w:t>新增污染源</w:t>
            </w:r>
          </w:p>
          <w:p w14:paraId="34E3F213">
            <w:pPr>
              <w:pStyle w:val="557"/>
            </w:pPr>
            <w:r>
              <w:t>-</w:t>
            </w:r>
          </w:p>
          <w:p w14:paraId="27CA8D4F">
            <w:pPr>
              <w:pStyle w:val="557"/>
            </w:pPr>
            <w:r>
              <w:rPr>
                <w:rFonts w:hint="eastAsia"/>
              </w:rPr>
              <w:t>区域消减污染源</w:t>
            </w:r>
          </w:p>
          <w:p w14:paraId="209BD157">
            <w:pPr>
              <w:pStyle w:val="557"/>
            </w:pPr>
            <w:r>
              <w:rPr>
                <w:rFonts w:hint="eastAsia"/>
              </w:rPr>
              <w:t>＋</w:t>
            </w:r>
          </w:p>
          <w:p w14:paraId="14BAAE94">
            <w:pPr>
              <w:pStyle w:val="557"/>
            </w:pPr>
            <w:r>
              <w:rPr>
                <w:rFonts w:hint="eastAsia"/>
              </w:rPr>
              <w:t>其他在建、拟建的污染源</w:t>
            </w:r>
          </w:p>
        </w:tc>
        <w:tc>
          <w:tcPr>
            <w:tcW w:w="598" w:type="pct"/>
            <w:tcBorders>
              <w:top w:val="single" w:color="auto" w:sz="4" w:space="0"/>
              <w:left w:val="single" w:color="auto" w:sz="4" w:space="0"/>
              <w:bottom w:val="single" w:color="auto" w:sz="4" w:space="0"/>
              <w:right w:val="single" w:color="auto" w:sz="4" w:space="0"/>
            </w:tcBorders>
            <w:vAlign w:val="center"/>
          </w:tcPr>
          <w:p w14:paraId="58C8318A">
            <w:pPr>
              <w:pStyle w:val="557"/>
            </w:pPr>
            <w:r>
              <w:rPr>
                <w:rFonts w:hint="eastAsia"/>
              </w:rPr>
              <w:t>正常排放</w:t>
            </w:r>
          </w:p>
        </w:tc>
        <w:tc>
          <w:tcPr>
            <w:tcW w:w="600" w:type="pct"/>
            <w:tcBorders>
              <w:top w:val="single" w:color="auto" w:sz="4" w:space="0"/>
              <w:left w:val="single" w:color="auto" w:sz="4" w:space="0"/>
              <w:bottom w:val="single" w:color="auto" w:sz="4" w:space="0"/>
              <w:right w:val="single" w:color="auto" w:sz="4" w:space="0"/>
            </w:tcBorders>
            <w:vAlign w:val="center"/>
          </w:tcPr>
          <w:p w14:paraId="132169CE">
            <w:pPr>
              <w:pStyle w:val="557"/>
            </w:pPr>
            <w:r>
              <w:rPr>
                <w:rFonts w:hint="eastAsia"/>
              </w:rPr>
              <w:t>短期浓度</w:t>
            </w:r>
          </w:p>
          <w:p w14:paraId="03E4C22E">
            <w:pPr>
              <w:pStyle w:val="557"/>
            </w:pPr>
            <w:r>
              <w:rPr>
                <w:rFonts w:hint="eastAsia"/>
              </w:rPr>
              <w:t>长期浓度</w:t>
            </w:r>
          </w:p>
        </w:tc>
        <w:tc>
          <w:tcPr>
            <w:tcW w:w="1754" w:type="pct"/>
            <w:tcBorders>
              <w:top w:val="single" w:color="auto" w:sz="4" w:space="0"/>
              <w:left w:val="single" w:color="auto" w:sz="4" w:space="0"/>
              <w:bottom w:val="single" w:color="auto" w:sz="4" w:space="0"/>
              <w:right w:val="single" w:color="auto" w:sz="4" w:space="0"/>
            </w:tcBorders>
            <w:vAlign w:val="center"/>
          </w:tcPr>
          <w:p w14:paraId="79FA16FB">
            <w:pPr>
              <w:pStyle w:val="557"/>
            </w:pPr>
            <w:r>
              <w:rPr>
                <w:rFonts w:hint="eastAsia"/>
              </w:rPr>
              <w:t>叠加现状背景浓度后的保证率日平均质量浓度和年平均质量浓度的占标率，或短期浓度的达标情况；年平均质量浓度变化率</w:t>
            </w:r>
          </w:p>
        </w:tc>
      </w:tr>
      <w:tr w14:paraId="23C8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E04BDB7">
            <w:pPr>
              <w:rPr>
                <w:rFonts w:hint="eastAsia"/>
                <w:bCs/>
                <w:sz w:val="18"/>
                <w:szCs w:val="18"/>
                <w:u w:color="000000"/>
                <w:lang w:val="zh-CN" w:bidi="en-US"/>
              </w:rPr>
            </w:pPr>
          </w:p>
        </w:tc>
        <w:tc>
          <w:tcPr>
            <w:tcW w:w="1443" w:type="pct"/>
            <w:tcBorders>
              <w:top w:val="single" w:color="auto" w:sz="4" w:space="0"/>
              <w:left w:val="single" w:color="auto" w:sz="4" w:space="0"/>
              <w:bottom w:val="single" w:color="auto" w:sz="4" w:space="0"/>
              <w:right w:val="single" w:color="auto" w:sz="4" w:space="0"/>
            </w:tcBorders>
            <w:vAlign w:val="center"/>
          </w:tcPr>
          <w:p w14:paraId="26EEE342">
            <w:pPr>
              <w:pStyle w:val="557"/>
            </w:pPr>
            <w:r>
              <w:rPr>
                <w:rFonts w:hint="eastAsia"/>
              </w:rPr>
              <w:t>新增污染源</w:t>
            </w:r>
          </w:p>
        </w:tc>
        <w:tc>
          <w:tcPr>
            <w:tcW w:w="598" w:type="pct"/>
            <w:tcBorders>
              <w:top w:val="single" w:color="auto" w:sz="4" w:space="0"/>
              <w:left w:val="single" w:color="auto" w:sz="4" w:space="0"/>
              <w:bottom w:val="single" w:color="auto" w:sz="4" w:space="0"/>
              <w:right w:val="single" w:color="auto" w:sz="4" w:space="0"/>
            </w:tcBorders>
            <w:vAlign w:val="center"/>
          </w:tcPr>
          <w:p w14:paraId="35912349">
            <w:pPr>
              <w:pStyle w:val="557"/>
            </w:pPr>
            <w:r>
              <w:rPr>
                <w:rFonts w:hint="eastAsia"/>
              </w:rPr>
              <w:t>非正常排放</w:t>
            </w:r>
          </w:p>
        </w:tc>
        <w:tc>
          <w:tcPr>
            <w:tcW w:w="600" w:type="pct"/>
            <w:tcBorders>
              <w:top w:val="single" w:color="auto" w:sz="4" w:space="0"/>
              <w:left w:val="single" w:color="auto" w:sz="4" w:space="0"/>
              <w:bottom w:val="single" w:color="auto" w:sz="4" w:space="0"/>
              <w:right w:val="single" w:color="auto" w:sz="4" w:space="0"/>
            </w:tcBorders>
            <w:vAlign w:val="center"/>
          </w:tcPr>
          <w:p w14:paraId="1C0365DD">
            <w:pPr>
              <w:pStyle w:val="557"/>
            </w:pPr>
            <w:r>
              <w:t>1h</w:t>
            </w:r>
            <w:r>
              <w:rPr>
                <w:rFonts w:hint="eastAsia"/>
              </w:rPr>
              <w:t>平均质量浓度</w:t>
            </w:r>
          </w:p>
        </w:tc>
        <w:tc>
          <w:tcPr>
            <w:tcW w:w="1754" w:type="pct"/>
            <w:tcBorders>
              <w:top w:val="single" w:color="auto" w:sz="4" w:space="0"/>
              <w:left w:val="single" w:color="auto" w:sz="4" w:space="0"/>
              <w:bottom w:val="single" w:color="auto" w:sz="4" w:space="0"/>
              <w:right w:val="single" w:color="auto" w:sz="4" w:space="0"/>
            </w:tcBorders>
            <w:vAlign w:val="center"/>
          </w:tcPr>
          <w:p w14:paraId="4967878E">
            <w:pPr>
              <w:pStyle w:val="557"/>
            </w:pPr>
            <w:r>
              <w:rPr>
                <w:rFonts w:hint="eastAsia"/>
              </w:rPr>
              <w:t>最大浓度占标率</w:t>
            </w:r>
          </w:p>
        </w:tc>
      </w:tr>
      <w:tr w14:paraId="187C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05" w:type="pct"/>
            <w:tcBorders>
              <w:top w:val="single" w:color="auto" w:sz="4" w:space="0"/>
              <w:left w:val="single" w:color="auto" w:sz="4" w:space="0"/>
              <w:bottom w:val="single" w:color="auto" w:sz="4" w:space="0"/>
              <w:right w:val="single" w:color="auto" w:sz="4" w:space="0"/>
            </w:tcBorders>
            <w:vAlign w:val="center"/>
          </w:tcPr>
          <w:p w14:paraId="53BBA7FB">
            <w:pPr>
              <w:pStyle w:val="557"/>
            </w:pPr>
            <w:r>
              <w:rPr>
                <w:rFonts w:hint="eastAsia"/>
              </w:rPr>
              <w:t>大气环境防护距离</w:t>
            </w:r>
          </w:p>
        </w:tc>
        <w:tc>
          <w:tcPr>
            <w:tcW w:w="1443" w:type="pct"/>
            <w:tcBorders>
              <w:top w:val="single" w:color="auto" w:sz="4" w:space="0"/>
              <w:left w:val="single" w:color="auto" w:sz="4" w:space="0"/>
              <w:bottom w:val="single" w:color="auto" w:sz="4" w:space="0"/>
              <w:right w:val="single" w:color="auto" w:sz="4" w:space="0"/>
            </w:tcBorders>
            <w:vAlign w:val="center"/>
          </w:tcPr>
          <w:p w14:paraId="61282E62">
            <w:pPr>
              <w:pStyle w:val="557"/>
            </w:pPr>
            <w:r>
              <w:rPr>
                <w:rFonts w:hint="eastAsia"/>
              </w:rPr>
              <w:t>新增污染源</w:t>
            </w:r>
          </w:p>
          <w:p w14:paraId="5D885C83">
            <w:pPr>
              <w:pStyle w:val="557"/>
            </w:pPr>
            <w:r>
              <w:rPr>
                <w:rFonts w:hint="eastAsia"/>
              </w:rPr>
              <w:t>（无全厂现有污染源）</w:t>
            </w:r>
          </w:p>
        </w:tc>
        <w:tc>
          <w:tcPr>
            <w:tcW w:w="598" w:type="pct"/>
            <w:tcBorders>
              <w:top w:val="single" w:color="auto" w:sz="4" w:space="0"/>
              <w:left w:val="single" w:color="auto" w:sz="4" w:space="0"/>
              <w:bottom w:val="single" w:color="auto" w:sz="4" w:space="0"/>
              <w:right w:val="single" w:color="auto" w:sz="4" w:space="0"/>
            </w:tcBorders>
            <w:vAlign w:val="center"/>
          </w:tcPr>
          <w:p w14:paraId="5351F18B">
            <w:pPr>
              <w:pStyle w:val="557"/>
            </w:pPr>
            <w:r>
              <w:rPr>
                <w:rFonts w:hint="eastAsia"/>
              </w:rPr>
              <w:t>正常排放</w:t>
            </w:r>
          </w:p>
        </w:tc>
        <w:tc>
          <w:tcPr>
            <w:tcW w:w="600" w:type="pct"/>
            <w:tcBorders>
              <w:top w:val="single" w:color="auto" w:sz="4" w:space="0"/>
              <w:left w:val="single" w:color="auto" w:sz="4" w:space="0"/>
              <w:bottom w:val="single" w:color="auto" w:sz="4" w:space="0"/>
              <w:right w:val="single" w:color="auto" w:sz="4" w:space="0"/>
            </w:tcBorders>
            <w:vAlign w:val="center"/>
          </w:tcPr>
          <w:p w14:paraId="09AC472D">
            <w:pPr>
              <w:pStyle w:val="557"/>
            </w:pPr>
            <w:r>
              <w:rPr>
                <w:rFonts w:hint="eastAsia"/>
              </w:rPr>
              <w:t>短期浓度</w:t>
            </w:r>
          </w:p>
        </w:tc>
        <w:tc>
          <w:tcPr>
            <w:tcW w:w="1754" w:type="pct"/>
            <w:tcBorders>
              <w:top w:val="single" w:color="auto" w:sz="4" w:space="0"/>
              <w:left w:val="single" w:color="auto" w:sz="4" w:space="0"/>
              <w:bottom w:val="single" w:color="auto" w:sz="4" w:space="0"/>
              <w:right w:val="single" w:color="auto" w:sz="4" w:space="0"/>
            </w:tcBorders>
            <w:vAlign w:val="center"/>
          </w:tcPr>
          <w:p w14:paraId="31334F7B">
            <w:pPr>
              <w:pStyle w:val="557"/>
            </w:pPr>
            <w:r>
              <w:rPr>
                <w:rFonts w:hint="eastAsia"/>
              </w:rPr>
              <w:t>大气环境防护距离</w:t>
            </w:r>
          </w:p>
        </w:tc>
      </w:tr>
    </w:tbl>
    <w:p w14:paraId="0DE11452">
      <w:pPr>
        <w:pStyle w:val="281"/>
        <w:ind w:firstLine="480"/>
      </w:pPr>
      <w:r>
        <w:rPr>
          <w:rFonts w:hint="eastAsia"/>
        </w:rPr>
        <w:t>具体预测内容主要包括：</w:t>
      </w:r>
    </w:p>
    <w:p w14:paraId="0ED54637">
      <w:pPr>
        <w:pStyle w:val="281"/>
        <w:ind w:firstLine="480"/>
      </w:pPr>
      <w:r>
        <w:rPr>
          <w:rFonts w:hint="eastAsia"/>
        </w:rPr>
        <w:t>（</w:t>
      </w:r>
      <w:r>
        <w:t>1</w:t>
      </w:r>
      <w:r>
        <w:rPr>
          <w:rFonts w:hint="eastAsia"/>
        </w:rPr>
        <w:t>）项目正常排放条件下，预测环境空气保护目标和网格点主要污染物的短期浓度和长期年均浓度贡献值，评价其最大浓度占标率。</w:t>
      </w:r>
    </w:p>
    <w:p w14:paraId="26F356D7">
      <w:pPr>
        <w:pStyle w:val="281"/>
        <w:ind w:firstLine="480"/>
        <w:rPr>
          <w:color w:val="FF0000"/>
        </w:rPr>
      </w:pPr>
      <w:r>
        <w:rPr>
          <w:rFonts w:hint="eastAsia"/>
        </w:rPr>
        <w:t>（</w:t>
      </w:r>
      <w:r>
        <w:t>2</w:t>
      </w:r>
      <w:r>
        <w:rPr>
          <w:rFonts w:hint="eastAsia"/>
        </w:rPr>
        <w:t>）项目正常排放条件下，预测评价叠加环境空气质量现状浓度、同时叠加在建、拟建项目的环境影响后</w:t>
      </w:r>
      <w:r>
        <w:rPr>
          <w:rFonts w:hint="eastAsia"/>
          <w:color w:val="000000" w:themeColor="text1"/>
          <w14:textFill>
            <w14:solidFill>
              <w14:schemeClr w14:val="tx1"/>
            </w14:solidFill>
          </w14:textFill>
        </w:rPr>
        <w:t>环境空气保护目标和网格点主要污染物保证率日平均浓度和年平均质量浓度的达标情况；对于</w:t>
      </w:r>
      <w:r>
        <w:rPr>
          <w:rStyle w:val="188"/>
          <w:color w:val="000000" w:themeColor="text1"/>
          <w14:textFill>
            <w14:solidFill>
              <w14:schemeClr w14:val="tx1"/>
            </w14:solidFill>
          </w14:textFill>
        </w:rPr>
        <w:t>NMHC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、甲醇、硫酸等仅有短期浓度限值的，评价其短期浓度叠加后的达标情况。</w:t>
      </w:r>
    </w:p>
    <w:p w14:paraId="60574C0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）项目非正常排放条件下，预测环境空气保护目标和网格点主要污染物</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、NMHC、硫酸雾等的</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最大浓度贡献值，评价其最大浓度占标率。</w:t>
      </w:r>
    </w:p>
    <w:p w14:paraId="100D4F50">
      <w:pPr>
        <w:pStyle w:val="281"/>
        <w:ind w:firstLine="480"/>
      </w:pPr>
      <w:r>
        <w:rPr>
          <w:rFonts w:hint="eastAsia"/>
        </w:rPr>
        <w:t>（</w:t>
      </w:r>
      <w:r>
        <w:t>4</w:t>
      </w:r>
      <w:r>
        <w:rPr>
          <w:rFonts w:hint="eastAsia"/>
        </w:rPr>
        <w:t>）项目正常排放条件下，预测全厂主要污染物在厂界附近的短期浓度，计算大气环境防护距离。</w:t>
      </w:r>
    </w:p>
    <w:p w14:paraId="69A87991">
      <w:pPr>
        <w:pStyle w:val="281"/>
        <w:ind w:firstLine="480"/>
        <w:rPr>
          <w:szCs w:val="20"/>
          <w:lang w:val="de-DE"/>
        </w:rPr>
      </w:pPr>
      <w:r>
        <w:rPr>
          <w:rFonts w:hint="eastAsia"/>
          <w:szCs w:val="20"/>
          <w:lang w:val="de-DE"/>
        </w:rPr>
        <w:t>（</w:t>
      </w:r>
      <w:r>
        <w:rPr>
          <w:szCs w:val="20"/>
          <w:lang w:val="de-DE"/>
        </w:rPr>
        <w:t>5</w:t>
      </w:r>
      <w:r>
        <w:rPr>
          <w:rFonts w:hint="eastAsia"/>
          <w:szCs w:val="20"/>
          <w:lang w:val="de-DE"/>
        </w:rPr>
        <w:t>）评价区域环境质量的整体变化情况。</w:t>
      </w:r>
    </w:p>
    <w:p w14:paraId="7F4C90C8">
      <w:pPr>
        <w:pStyle w:val="97"/>
        <w:numPr>
          <w:ilvl w:val="2"/>
          <w:numId w:val="8"/>
        </w:numPr>
        <w:ind w:left="0"/>
        <w:rPr>
          <w:rFonts w:hint="eastAsia"/>
        </w:rPr>
      </w:pPr>
      <w:r>
        <w:rPr>
          <w:rFonts w:hint="eastAsia"/>
        </w:rPr>
        <w:t>预测评价标准</w:t>
      </w:r>
    </w:p>
    <w:p w14:paraId="375B3215">
      <w:pPr>
        <w:pStyle w:val="171"/>
        <w:spacing w:line="360" w:lineRule="auto"/>
        <w:ind w:firstLine="480"/>
        <w:jc w:val="both"/>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项目排放的</w:t>
      </w:r>
      <w:r>
        <w:rPr>
          <w:rFonts w:ascii="Times New Roman" w:hAnsi="Times New Roman" w:eastAsia="宋体"/>
          <w:color w:val="000000" w:themeColor="text1"/>
          <w14:textFill>
            <w14:solidFill>
              <w14:schemeClr w14:val="tx1"/>
            </w14:solidFill>
          </w14:textFill>
        </w:rPr>
        <w:t>SO</w:t>
      </w:r>
      <w:r>
        <w:rPr>
          <w:rFonts w:ascii="Times New Roman" w:hAnsi="Times New Roman" w:eastAsia="宋体"/>
          <w:color w:val="000000" w:themeColor="text1"/>
          <w:vertAlign w:val="sub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NO</w:t>
      </w:r>
      <w:r>
        <w:rPr>
          <w:rFonts w:ascii="Times New Roman" w:hAnsi="Times New Roman" w:eastAsia="宋体"/>
          <w:color w:val="000000" w:themeColor="text1"/>
          <w:vertAlign w:val="sub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PM</w:t>
      </w:r>
      <w:r>
        <w:rPr>
          <w:rFonts w:ascii="Times New Roman" w:hAnsi="Times New Roman" w:eastAsia="宋体"/>
          <w:color w:val="000000" w:themeColor="text1"/>
          <w:vertAlign w:val="subscript"/>
          <w14:textFill>
            <w14:solidFill>
              <w14:schemeClr w14:val="tx1"/>
            </w14:solidFill>
          </w14:textFill>
        </w:rPr>
        <w:t>10</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PM</w:t>
      </w:r>
      <w:r>
        <w:rPr>
          <w:rFonts w:ascii="Times New Roman" w:hAnsi="Times New Roman" w:eastAsia="宋体"/>
          <w:color w:val="000000" w:themeColor="text1"/>
          <w:vertAlign w:val="subscript"/>
          <w14:textFill>
            <w14:solidFill>
              <w14:schemeClr w14:val="tx1"/>
            </w14:solidFill>
          </w14:textFill>
        </w:rPr>
        <w:t>2.5</w:t>
      </w:r>
      <w:r>
        <w:rPr>
          <w:rFonts w:hint="eastAsia" w:ascii="Times New Roman" w:hAnsi="Times New Roman" w:eastAsia="宋体"/>
          <w:color w:val="000000" w:themeColor="text1"/>
          <w14:textFill>
            <w14:solidFill>
              <w14:schemeClr w14:val="tx1"/>
            </w14:solidFill>
          </w14:textFill>
        </w:rPr>
        <w:t>等污染物执行《环境空气质量标准》（</w:t>
      </w:r>
      <w:r>
        <w:rPr>
          <w:rFonts w:ascii="Times New Roman" w:hAnsi="Times New Roman" w:eastAsia="宋体"/>
          <w:color w:val="000000" w:themeColor="text1"/>
          <w14:textFill>
            <w14:solidFill>
              <w14:schemeClr w14:val="tx1"/>
            </w14:solidFill>
          </w14:textFill>
        </w:rPr>
        <w:t>GB3095-2012</w:t>
      </w:r>
      <w:r>
        <w:rPr>
          <w:rFonts w:hint="eastAsia" w:ascii="Times New Roman" w:hAnsi="Times New Roman" w:eastAsia="宋体"/>
          <w:color w:val="000000" w:themeColor="text1"/>
          <w14:textFill>
            <w14:solidFill>
              <w14:schemeClr w14:val="tx1"/>
            </w14:solidFill>
          </w14:textFill>
        </w:rPr>
        <w:t>）二级标准。非甲烷总烃参照《大气污染物综合排放标准详解》（国家环境保护局科技标准司制定，</w:t>
      </w:r>
      <w:r>
        <w:rPr>
          <w:rFonts w:ascii="Times New Roman" w:hAnsi="Times New Roman" w:eastAsia="宋体"/>
          <w:color w:val="000000" w:themeColor="text1"/>
          <w14:textFill>
            <w14:solidFill>
              <w14:schemeClr w14:val="tx1"/>
            </w14:solidFill>
          </w14:textFill>
        </w:rPr>
        <w:t>1997</w:t>
      </w:r>
      <w:r>
        <w:rPr>
          <w:rFonts w:hint="eastAsia" w:ascii="Times New Roman" w:hAnsi="Times New Roman" w:eastAsia="宋体"/>
          <w:color w:val="000000" w:themeColor="text1"/>
          <w14:textFill>
            <w14:solidFill>
              <w14:schemeClr w14:val="tx1"/>
            </w14:solidFill>
          </w14:textFill>
        </w:rPr>
        <w:t>年第一版）中的小时值</w:t>
      </w:r>
      <w:r>
        <w:rPr>
          <w:rFonts w:ascii="Times New Roman" w:hAnsi="Times New Roman" w:eastAsia="宋体"/>
          <w:color w:val="000000" w:themeColor="text1"/>
          <w14:textFill>
            <w14:solidFill>
              <w14:schemeClr w14:val="tx1"/>
            </w14:solidFill>
          </w14:textFill>
        </w:rPr>
        <w:t>2.0mg/m</w:t>
      </w:r>
      <w:r>
        <w:rPr>
          <w:rFonts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H</w:t>
      </w:r>
      <w:r>
        <w:rPr>
          <w:rFonts w:ascii="Times New Roman" w:hAnsi="Times New Roman" w:eastAsia="宋体"/>
          <w:color w:val="000000" w:themeColor="text1"/>
          <w:vertAlign w:val="sub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S</w:t>
      </w:r>
      <w:r>
        <w:rPr>
          <w:rFonts w:hint="eastAsia" w:ascii="Times New Roman" w:hAnsi="Times New Roman" w:eastAsia="宋体"/>
          <w:color w:val="000000" w:themeColor="text1"/>
          <w14:textFill>
            <w14:solidFill>
              <w14:schemeClr w14:val="tx1"/>
            </w14:solidFill>
          </w14:textFill>
        </w:rPr>
        <w:t>、甲醇、硫酸执行《环境影响评价技术导则·大气环境》（</w:t>
      </w:r>
      <w:r>
        <w:rPr>
          <w:rFonts w:ascii="Times New Roman" w:hAnsi="Times New Roman" w:eastAsia="宋体"/>
          <w:color w:val="000000" w:themeColor="text1"/>
          <w14:textFill>
            <w14:solidFill>
              <w14:schemeClr w14:val="tx1"/>
            </w14:solidFill>
          </w14:textFill>
        </w:rPr>
        <w:t>HJ2.2-2018</w:t>
      </w:r>
      <w:r>
        <w:rPr>
          <w:rFonts w:hint="eastAsia" w:ascii="Times New Roman" w:hAnsi="Times New Roman" w:eastAsia="宋体"/>
          <w:color w:val="000000" w:themeColor="text1"/>
          <w14:textFill>
            <w14:solidFill>
              <w14:schemeClr w14:val="tx1"/>
            </w14:solidFill>
          </w14:textFill>
        </w:rPr>
        <w:t>）附录</w:t>
      </w:r>
      <w:r>
        <w:rPr>
          <w:rFonts w:ascii="Times New Roman" w:hAnsi="Times New Roman" w:eastAsia="宋体"/>
          <w:color w:val="000000" w:themeColor="text1"/>
          <w14:textFill>
            <w14:solidFill>
              <w14:schemeClr w14:val="tx1"/>
            </w14:solidFill>
          </w14:textFill>
        </w:rPr>
        <w:t>D</w:t>
      </w:r>
      <w:r>
        <w:rPr>
          <w:rFonts w:hint="eastAsia" w:ascii="Times New Roman" w:hAnsi="Times New Roman" w:eastAsia="宋体"/>
          <w:color w:val="000000" w:themeColor="text1"/>
          <w14:textFill>
            <w14:solidFill>
              <w14:schemeClr w14:val="tx1"/>
            </w14:solidFill>
          </w14:textFill>
        </w:rPr>
        <w:t>。具体见表</w:t>
      </w:r>
      <w:r>
        <w:rPr>
          <w:rFonts w:ascii="Times New Roman" w:hAnsi="Times New Roman" w:eastAsia="宋体"/>
          <w:color w:val="000000" w:themeColor="text1"/>
          <w14:textFill>
            <w14:solidFill>
              <w14:schemeClr w14:val="tx1"/>
            </w14:solidFill>
          </w14:textFill>
        </w:rPr>
        <w:t>5.2.7-1</w:t>
      </w:r>
      <w:r>
        <w:rPr>
          <w:rFonts w:hint="eastAsia" w:ascii="Times New Roman" w:hAnsi="Times New Roman" w:eastAsia="宋体"/>
          <w:color w:val="000000" w:themeColor="text1"/>
          <w14:textFill>
            <w14:solidFill>
              <w14:schemeClr w14:val="tx1"/>
            </w14:solidFill>
          </w14:textFill>
        </w:rPr>
        <w:t>。</w:t>
      </w:r>
    </w:p>
    <w:p w14:paraId="409D18FC">
      <w:pPr>
        <w:pStyle w:val="535"/>
        <w:ind w:left="400" w:hanging="400"/>
        <w:rPr>
          <w:rFonts w:hint="eastAsia"/>
          <w:color w:val="auto"/>
        </w:rPr>
      </w:pPr>
      <w:r>
        <w:rPr>
          <w:rFonts w:hint="eastAsia"/>
          <w:color w:val="auto"/>
        </w:rPr>
        <w:t>表5.2.7-1    大气预测评价标准一览表单位μg/m</w:t>
      </w:r>
      <w:r>
        <w:rPr>
          <w:rFonts w:hint="eastAsia"/>
          <w:color w:val="auto"/>
          <w:vertAlign w:val="superscript"/>
        </w:rPr>
        <w:t>3</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4"/>
        <w:gridCol w:w="2437"/>
        <w:gridCol w:w="1706"/>
        <w:gridCol w:w="2439"/>
      </w:tblGrid>
      <w:tr w14:paraId="59F7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vMerge w:val="restart"/>
            <w:tcBorders>
              <w:top w:val="single" w:color="auto" w:sz="4" w:space="0"/>
              <w:left w:val="single" w:color="auto" w:sz="4" w:space="0"/>
              <w:bottom w:val="single" w:color="auto" w:sz="4" w:space="0"/>
              <w:right w:val="single" w:color="auto" w:sz="4" w:space="0"/>
            </w:tcBorders>
            <w:vAlign w:val="center"/>
          </w:tcPr>
          <w:p w14:paraId="65D44EB7">
            <w:pPr>
              <w:pStyle w:val="557"/>
            </w:pPr>
            <w:r>
              <w:rPr>
                <w:rFonts w:hint="eastAsia"/>
              </w:rPr>
              <w:t>污染物名称</w:t>
            </w:r>
          </w:p>
        </w:tc>
        <w:tc>
          <w:tcPr>
            <w:tcW w:w="6566" w:type="dxa"/>
            <w:gridSpan w:val="3"/>
            <w:tcBorders>
              <w:top w:val="single" w:color="auto" w:sz="4" w:space="0"/>
              <w:left w:val="single" w:color="auto" w:sz="4" w:space="0"/>
              <w:bottom w:val="single" w:color="auto" w:sz="4" w:space="0"/>
              <w:right w:val="single" w:color="auto" w:sz="4" w:space="0"/>
            </w:tcBorders>
            <w:vAlign w:val="center"/>
          </w:tcPr>
          <w:p w14:paraId="1CDCB426">
            <w:pPr>
              <w:pStyle w:val="557"/>
            </w:pPr>
            <w:r>
              <w:rPr>
                <w:rFonts w:hint="eastAsia"/>
              </w:rPr>
              <w:t>浓度限值（</w:t>
            </w:r>
            <w:r>
              <w:t>μ</w:t>
            </w:r>
            <w:r>
              <w:rPr>
                <w:rFonts w:hint="eastAsia"/>
              </w:rPr>
              <w:t>g/m</w:t>
            </w:r>
            <w:r>
              <w:rPr>
                <w:rFonts w:hint="eastAsia"/>
                <w:vertAlign w:val="superscript"/>
              </w:rPr>
              <w:t>3</w:t>
            </w:r>
            <w:r>
              <w:rPr>
                <w:rFonts w:hint="eastAsia"/>
              </w:rPr>
              <w:t>）</w:t>
            </w:r>
          </w:p>
        </w:tc>
      </w:tr>
      <w:tr w14:paraId="2EC1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vMerge w:val="continue"/>
            <w:tcBorders>
              <w:top w:val="single" w:color="auto" w:sz="4" w:space="0"/>
              <w:left w:val="single" w:color="auto" w:sz="4" w:space="0"/>
              <w:bottom w:val="single" w:color="auto" w:sz="4" w:space="0"/>
              <w:right w:val="single" w:color="auto" w:sz="4" w:space="0"/>
            </w:tcBorders>
            <w:vAlign w:val="center"/>
          </w:tcPr>
          <w:p w14:paraId="15195C7E">
            <w:pPr>
              <w:pStyle w:val="557"/>
            </w:pPr>
          </w:p>
        </w:tc>
        <w:tc>
          <w:tcPr>
            <w:tcW w:w="2431" w:type="dxa"/>
            <w:tcBorders>
              <w:top w:val="single" w:color="auto" w:sz="4" w:space="0"/>
              <w:left w:val="single" w:color="auto" w:sz="4" w:space="0"/>
              <w:bottom w:val="single" w:color="auto" w:sz="4" w:space="0"/>
              <w:right w:val="single" w:color="auto" w:sz="4" w:space="0"/>
            </w:tcBorders>
            <w:vAlign w:val="center"/>
          </w:tcPr>
          <w:p w14:paraId="08FDF9AF">
            <w:pPr>
              <w:pStyle w:val="557"/>
            </w:pPr>
            <w:r>
              <w:rPr>
                <w:rFonts w:hint="eastAsia"/>
              </w:rPr>
              <w:t>小时平均</w:t>
            </w:r>
          </w:p>
        </w:tc>
        <w:tc>
          <w:tcPr>
            <w:tcW w:w="1702" w:type="dxa"/>
            <w:tcBorders>
              <w:top w:val="single" w:color="auto" w:sz="4" w:space="0"/>
              <w:left w:val="single" w:color="auto" w:sz="4" w:space="0"/>
              <w:bottom w:val="single" w:color="auto" w:sz="4" w:space="0"/>
              <w:right w:val="single" w:color="auto" w:sz="4" w:space="0"/>
            </w:tcBorders>
            <w:vAlign w:val="center"/>
          </w:tcPr>
          <w:p w14:paraId="126072FD">
            <w:pPr>
              <w:pStyle w:val="557"/>
            </w:pPr>
            <w:r>
              <w:rPr>
                <w:rFonts w:hint="eastAsia"/>
              </w:rPr>
              <w:t>日平均</w:t>
            </w:r>
          </w:p>
        </w:tc>
        <w:tc>
          <w:tcPr>
            <w:tcW w:w="2433" w:type="dxa"/>
            <w:tcBorders>
              <w:top w:val="single" w:color="auto" w:sz="4" w:space="0"/>
              <w:left w:val="single" w:color="auto" w:sz="4" w:space="0"/>
              <w:bottom w:val="single" w:color="auto" w:sz="4" w:space="0"/>
              <w:right w:val="single" w:color="auto" w:sz="4" w:space="0"/>
            </w:tcBorders>
            <w:vAlign w:val="center"/>
          </w:tcPr>
          <w:p w14:paraId="1928012B">
            <w:pPr>
              <w:pStyle w:val="557"/>
            </w:pPr>
            <w:r>
              <w:rPr>
                <w:rFonts w:hint="eastAsia"/>
              </w:rPr>
              <w:t>年平均</w:t>
            </w:r>
          </w:p>
        </w:tc>
      </w:tr>
      <w:tr w14:paraId="7970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54BF1BAE">
            <w:pPr>
              <w:pStyle w:val="557"/>
            </w:pPr>
            <w:r>
              <w:t>SO</w:t>
            </w:r>
            <w:r>
              <w:rPr>
                <w:vertAlign w:val="subscript"/>
              </w:rPr>
              <w:t>2</w:t>
            </w:r>
          </w:p>
        </w:tc>
        <w:tc>
          <w:tcPr>
            <w:tcW w:w="2431" w:type="dxa"/>
            <w:tcBorders>
              <w:top w:val="single" w:color="auto" w:sz="4" w:space="0"/>
              <w:left w:val="single" w:color="auto" w:sz="4" w:space="0"/>
              <w:bottom w:val="single" w:color="auto" w:sz="4" w:space="0"/>
              <w:right w:val="single" w:color="auto" w:sz="4" w:space="0"/>
            </w:tcBorders>
            <w:vAlign w:val="center"/>
          </w:tcPr>
          <w:p w14:paraId="4295B7B4">
            <w:pPr>
              <w:pStyle w:val="557"/>
            </w:pPr>
            <w:r>
              <w:t>500</w:t>
            </w:r>
          </w:p>
        </w:tc>
        <w:tc>
          <w:tcPr>
            <w:tcW w:w="1702" w:type="dxa"/>
            <w:tcBorders>
              <w:top w:val="single" w:color="auto" w:sz="4" w:space="0"/>
              <w:left w:val="single" w:color="auto" w:sz="4" w:space="0"/>
              <w:bottom w:val="single" w:color="auto" w:sz="4" w:space="0"/>
              <w:right w:val="single" w:color="auto" w:sz="4" w:space="0"/>
            </w:tcBorders>
            <w:vAlign w:val="center"/>
          </w:tcPr>
          <w:p w14:paraId="04B557E6">
            <w:pPr>
              <w:pStyle w:val="557"/>
            </w:pPr>
            <w:r>
              <w:t>150</w:t>
            </w:r>
          </w:p>
        </w:tc>
        <w:tc>
          <w:tcPr>
            <w:tcW w:w="2433" w:type="dxa"/>
            <w:tcBorders>
              <w:top w:val="single" w:color="auto" w:sz="4" w:space="0"/>
              <w:left w:val="single" w:color="auto" w:sz="4" w:space="0"/>
              <w:bottom w:val="single" w:color="auto" w:sz="4" w:space="0"/>
              <w:right w:val="single" w:color="auto" w:sz="4" w:space="0"/>
            </w:tcBorders>
            <w:vAlign w:val="center"/>
          </w:tcPr>
          <w:p w14:paraId="3BF9CE6C">
            <w:pPr>
              <w:pStyle w:val="557"/>
            </w:pPr>
            <w:r>
              <w:t>60</w:t>
            </w:r>
          </w:p>
        </w:tc>
      </w:tr>
      <w:tr w14:paraId="04EC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7AEB44E8">
            <w:pPr>
              <w:pStyle w:val="557"/>
            </w:pPr>
            <w:r>
              <w:t>NO</w:t>
            </w:r>
            <w:r>
              <w:rPr>
                <w:vertAlign w:val="subscript"/>
              </w:rPr>
              <w:t>2</w:t>
            </w:r>
          </w:p>
        </w:tc>
        <w:tc>
          <w:tcPr>
            <w:tcW w:w="2431" w:type="dxa"/>
            <w:tcBorders>
              <w:top w:val="single" w:color="auto" w:sz="4" w:space="0"/>
              <w:left w:val="single" w:color="auto" w:sz="4" w:space="0"/>
              <w:bottom w:val="single" w:color="auto" w:sz="4" w:space="0"/>
              <w:right w:val="single" w:color="auto" w:sz="4" w:space="0"/>
            </w:tcBorders>
            <w:vAlign w:val="center"/>
          </w:tcPr>
          <w:p w14:paraId="2EBF708B">
            <w:pPr>
              <w:pStyle w:val="557"/>
            </w:pPr>
            <w:r>
              <w:t>200</w:t>
            </w:r>
          </w:p>
        </w:tc>
        <w:tc>
          <w:tcPr>
            <w:tcW w:w="1702" w:type="dxa"/>
            <w:tcBorders>
              <w:top w:val="single" w:color="auto" w:sz="4" w:space="0"/>
              <w:left w:val="single" w:color="auto" w:sz="4" w:space="0"/>
              <w:bottom w:val="single" w:color="auto" w:sz="4" w:space="0"/>
              <w:right w:val="single" w:color="auto" w:sz="4" w:space="0"/>
            </w:tcBorders>
            <w:vAlign w:val="center"/>
          </w:tcPr>
          <w:p w14:paraId="014D4C82">
            <w:pPr>
              <w:pStyle w:val="557"/>
            </w:pPr>
            <w:r>
              <w:t>80</w:t>
            </w:r>
          </w:p>
        </w:tc>
        <w:tc>
          <w:tcPr>
            <w:tcW w:w="2433" w:type="dxa"/>
            <w:tcBorders>
              <w:top w:val="single" w:color="auto" w:sz="4" w:space="0"/>
              <w:left w:val="single" w:color="auto" w:sz="4" w:space="0"/>
              <w:bottom w:val="single" w:color="auto" w:sz="4" w:space="0"/>
              <w:right w:val="single" w:color="auto" w:sz="4" w:space="0"/>
            </w:tcBorders>
            <w:vAlign w:val="center"/>
          </w:tcPr>
          <w:p w14:paraId="0D7CB9B2">
            <w:pPr>
              <w:pStyle w:val="557"/>
            </w:pPr>
            <w:r>
              <w:t>40</w:t>
            </w:r>
          </w:p>
        </w:tc>
      </w:tr>
      <w:tr w14:paraId="7743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0652BE87">
            <w:pPr>
              <w:pStyle w:val="557"/>
            </w:pPr>
            <w:r>
              <w:t>PM</w:t>
            </w:r>
            <w:r>
              <w:rPr>
                <w:vertAlign w:val="subscript"/>
              </w:rPr>
              <w:t>10</w:t>
            </w:r>
          </w:p>
        </w:tc>
        <w:tc>
          <w:tcPr>
            <w:tcW w:w="2431" w:type="dxa"/>
            <w:tcBorders>
              <w:top w:val="single" w:color="auto" w:sz="4" w:space="0"/>
              <w:left w:val="single" w:color="auto" w:sz="4" w:space="0"/>
              <w:bottom w:val="single" w:color="auto" w:sz="4" w:space="0"/>
              <w:right w:val="single" w:color="auto" w:sz="4" w:space="0"/>
            </w:tcBorders>
            <w:vAlign w:val="center"/>
          </w:tcPr>
          <w:p w14:paraId="2F63EF3D">
            <w:pPr>
              <w:pStyle w:val="557"/>
            </w:pPr>
            <w:r>
              <w:t>/</w:t>
            </w:r>
          </w:p>
        </w:tc>
        <w:tc>
          <w:tcPr>
            <w:tcW w:w="1702" w:type="dxa"/>
            <w:tcBorders>
              <w:top w:val="single" w:color="auto" w:sz="4" w:space="0"/>
              <w:left w:val="single" w:color="auto" w:sz="4" w:space="0"/>
              <w:bottom w:val="single" w:color="auto" w:sz="4" w:space="0"/>
              <w:right w:val="single" w:color="auto" w:sz="4" w:space="0"/>
            </w:tcBorders>
            <w:vAlign w:val="center"/>
          </w:tcPr>
          <w:p w14:paraId="27DDBD1C">
            <w:pPr>
              <w:pStyle w:val="557"/>
            </w:pPr>
            <w:r>
              <w:t>150</w:t>
            </w:r>
          </w:p>
        </w:tc>
        <w:tc>
          <w:tcPr>
            <w:tcW w:w="2433" w:type="dxa"/>
            <w:tcBorders>
              <w:top w:val="single" w:color="auto" w:sz="4" w:space="0"/>
              <w:left w:val="single" w:color="auto" w:sz="4" w:space="0"/>
              <w:bottom w:val="single" w:color="auto" w:sz="4" w:space="0"/>
              <w:right w:val="single" w:color="auto" w:sz="4" w:space="0"/>
            </w:tcBorders>
            <w:vAlign w:val="center"/>
          </w:tcPr>
          <w:p w14:paraId="00AC9103">
            <w:pPr>
              <w:pStyle w:val="557"/>
            </w:pPr>
            <w:r>
              <w:t>70</w:t>
            </w:r>
          </w:p>
        </w:tc>
      </w:tr>
      <w:tr w14:paraId="3649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002522C5">
            <w:pPr>
              <w:pStyle w:val="557"/>
            </w:pPr>
            <w:r>
              <w:t>PM</w:t>
            </w:r>
            <w:r>
              <w:rPr>
                <w:vertAlign w:val="subscript"/>
              </w:rPr>
              <w:t>2.5</w:t>
            </w:r>
          </w:p>
        </w:tc>
        <w:tc>
          <w:tcPr>
            <w:tcW w:w="2431" w:type="dxa"/>
            <w:tcBorders>
              <w:top w:val="single" w:color="auto" w:sz="4" w:space="0"/>
              <w:left w:val="single" w:color="auto" w:sz="4" w:space="0"/>
              <w:bottom w:val="single" w:color="auto" w:sz="4" w:space="0"/>
              <w:right w:val="single" w:color="auto" w:sz="4" w:space="0"/>
            </w:tcBorders>
            <w:vAlign w:val="center"/>
          </w:tcPr>
          <w:p w14:paraId="2BB39EBC">
            <w:pPr>
              <w:pStyle w:val="557"/>
            </w:pPr>
            <w:r>
              <w:t>/</w:t>
            </w:r>
          </w:p>
        </w:tc>
        <w:tc>
          <w:tcPr>
            <w:tcW w:w="1702" w:type="dxa"/>
            <w:tcBorders>
              <w:top w:val="single" w:color="auto" w:sz="4" w:space="0"/>
              <w:left w:val="single" w:color="auto" w:sz="4" w:space="0"/>
              <w:bottom w:val="single" w:color="auto" w:sz="4" w:space="0"/>
              <w:right w:val="single" w:color="auto" w:sz="4" w:space="0"/>
            </w:tcBorders>
            <w:vAlign w:val="center"/>
          </w:tcPr>
          <w:p w14:paraId="24DD4A7F">
            <w:pPr>
              <w:pStyle w:val="557"/>
            </w:pPr>
            <w:r>
              <w:t>75</w:t>
            </w:r>
          </w:p>
        </w:tc>
        <w:tc>
          <w:tcPr>
            <w:tcW w:w="2433" w:type="dxa"/>
            <w:tcBorders>
              <w:top w:val="single" w:color="auto" w:sz="4" w:space="0"/>
              <w:left w:val="single" w:color="auto" w:sz="4" w:space="0"/>
              <w:bottom w:val="single" w:color="auto" w:sz="4" w:space="0"/>
              <w:right w:val="single" w:color="auto" w:sz="4" w:space="0"/>
            </w:tcBorders>
            <w:vAlign w:val="center"/>
          </w:tcPr>
          <w:p w14:paraId="587FB4D7">
            <w:pPr>
              <w:pStyle w:val="557"/>
            </w:pPr>
            <w:r>
              <w:t>35</w:t>
            </w:r>
          </w:p>
        </w:tc>
      </w:tr>
      <w:tr w14:paraId="0A0A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3BCB7040">
            <w:pPr>
              <w:pStyle w:val="557"/>
            </w:pPr>
            <w:r>
              <w:rPr>
                <w:rFonts w:hint="eastAsia"/>
              </w:rPr>
              <w:t>非甲烷总烃</w:t>
            </w:r>
          </w:p>
        </w:tc>
        <w:tc>
          <w:tcPr>
            <w:tcW w:w="2431" w:type="dxa"/>
            <w:tcBorders>
              <w:top w:val="single" w:color="auto" w:sz="4" w:space="0"/>
              <w:left w:val="single" w:color="auto" w:sz="4" w:space="0"/>
              <w:bottom w:val="single" w:color="auto" w:sz="4" w:space="0"/>
              <w:right w:val="single" w:color="auto" w:sz="4" w:space="0"/>
            </w:tcBorders>
            <w:vAlign w:val="center"/>
          </w:tcPr>
          <w:p w14:paraId="069E1687">
            <w:pPr>
              <w:pStyle w:val="557"/>
            </w:pPr>
            <w:r>
              <w:t>2000</w:t>
            </w:r>
          </w:p>
        </w:tc>
        <w:tc>
          <w:tcPr>
            <w:tcW w:w="1702" w:type="dxa"/>
            <w:tcBorders>
              <w:top w:val="single" w:color="auto" w:sz="4" w:space="0"/>
              <w:left w:val="single" w:color="auto" w:sz="4" w:space="0"/>
              <w:bottom w:val="single" w:color="auto" w:sz="4" w:space="0"/>
              <w:right w:val="single" w:color="auto" w:sz="4" w:space="0"/>
            </w:tcBorders>
            <w:vAlign w:val="center"/>
          </w:tcPr>
          <w:p w14:paraId="79D2F342">
            <w:pPr>
              <w:pStyle w:val="557"/>
            </w:pPr>
            <w:r>
              <w:t>/</w:t>
            </w:r>
          </w:p>
        </w:tc>
        <w:tc>
          <w:tcPr>
            <w:tcW w:w="2433" w:type="dxa"/>
            <w:tcBorders>
              <w:top w:val="single" w:color="auto" w:sz="4" w:space="0"/>
              <w:left w:val="single" w:color="auto" w:sz="4" w:space="0"/>
              <w:bottom w:val="single" w:color="auto" w:sz="4" w:space="0"/>
              <w:right w:val="single" w:color="auto" w:sz="4" w:space="0"/>
            </w:tcBorders>
            <w:vAlign w:val="center"/>
          </w:tcPr>
          <w:p w14:paraId="2CCB305A">
            <w:pPr>
              <w:pStyle w:val="557"/>
            </w:pPr>
            <w:r>
              <w:t>/</w:t>
            </w:r>
          </w:p>
        </w:tc>
      </w:tr>
      <w:tr w14:paraId="623D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5686F472">
            <w:pPr>
              <w:pStyle w:val="557"/>
            </w:pPr>
            <w:r>
              <w:t>NH</w:t>
            </w:r>
            <w:r>
              <w:rPr>
                <w:vertAlign w:val="subscript"/>
              </w:rPr>
              <w:t>3</w:t>
            </w:r>
          </w:p>
        </w:tc>
        <w:tc>
          <w:tcPr>
            <w:tcW w:w="2431" w:type="dxa"/>
            <w:tcBorders>
              <w:top w:val="single" w:color="auto" w:sz="4" w:space="0"/>
              <w:left w:val="single" w:color="auto" w:sz="4" w:space="0"/>
              <w:bottom w:val="single" w:color="auto" w:sz="4" w:space="0"/>
              <w:right w:val="single" w:color="auto" w:sz="4" w:space="0"/>
            </w:tcBorders>
            <w:vAlign w:val="center"/>
          </w:tcPr>
          <w:p w14:paraId="125CA17E">
            <w:pPr>
              <w:pStyle w:val="557"/>
            </w:pPr>
            <w:r>
              <w:t>200</w:t>
            </w:r>
          </w:p>
        </w:tc>
        <w:tc>
          <w:tcPr>
            <w:tcW w:w="1702" w:type="dxa"/>
            <w:tcBorders>
              <w:top w:val="single" w:color="auto" w:sz="4" w:space="0"/>
              <w:left w:val="single" w:color="auto" w:sz="4" w:space="0"/>
              <w:bottom w:val="single" w:color="auto" w:sz="4" w:space="0"/>
              <w:right w:val="single" w:color="auto" w:sz="4" w:space="0"/>
            </w:tcBorders>
            <w:vAlign w:val="center"/>
          </w:tcPr>
          <w:p w14:paraId="06AC1DB8">
            <w:pPr>
              <w:pStyle w:val="557"/>
            </w:pPr>
            <w:r>
              <w:t>/</w:t>
            </w:r>
          </w:p>
        </w:tc>
        <w:tc>
          <w:tcPr>
            <w:tcW w:w="2433" w:type="dxa"/>
            <w:tcBorders>
              <w:top w:val="single" w:color="auto" w:sz="4" w:space="0"/>
              <w:left w:val="single" w:color="auto" w:sz="4" w:space="0"/>
              <w:bottom w:val="single" w:color="auto" w:sz="4" w:space="0"/>
              <w:right w:val="single" w:color="auto" w:sz="4" w:space="0"/>
            </w:tcBorders>
            <w:vAlign w:val="center"/>
          </w:tcPr>
          <w:p w14:paraId="13FCBF23">
            <w:pPr>
              <w:pStyle w:val="557"/>
            </w:pPr>
            <w:r>
              <w:t>/</w:t>
            </w:r>
          </w:p>
        </w:tc>
      </w:tr>
      <w:tr w14:paraId="3C0D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692785DF">
            <w:pPr>
              <w:pStyle w:val="557"/>
            </w:pPr>
            <w:r>
              <w:t>H</w:t>
            </w:r>
            <w:r>
              <w:rPr>
                <w:vertAlign w:val="subscript"/>
              </w:rPr>
              <w:t>2</w:t>
            </w:r>
            <w:r>
              <w:t>S</w:t>
            </w:r>
          </w:p>
        </w:tc>
        <w:tc>
          <w:tcPr>
            <w:tcW w:w="2431" w:type="dxa"/>
            <w:tcBorders>
              <w:top w:val="single" w:color="auto" w:sz="4" w:space="0"/>
              <w:left w:val="single" w:color="auto" w:sz="4" w:space="0"/>
              <w:bottom w:val="single" w:color="auto" w:sz="4" w:space="0"/>
              <w:right w:val="single" w:color="auto" w:sz="4" w:space="0"/>
            </w:tcBorders>
            <w:vAlign w:val="center"/>
          </w:tcPr>
          <w:p w14:paraId="2C47AC68">
            <w:pPr>
              <w:pStyle w:val="557"/>
            </w:pPr>
            <w:r>
              <w:t>10</w:t>
            </w:r>
          </w:p>
        </w:tc>
        <w:tc>
          <w:tcPr>
            <w:tcW w:w="1702" w:type="dxa"/>
            <w:tcBorders>
              <w:top w:val="single" w:color="auto" w:sz="4" w:space="0"/>
              <w:left w:val="single" w:color="auto" w:sz="4" w:space="0"/>
              <w:bottom w:val="single" w:color="auto" w:sz="4" w:space="0"/>
              <w:right w:val="single" w:color="auto" w:sz="4" w:space="0"/>
            </w:tcBorders>
            <w:vAlign w:val="center"/>
          </w:tcPr>
          <w:p w14:paraId="54ADD6F0">
            <w:pPr>
              <w:pStyle w:val="557"/>
            </w:pPr>
            <w:r>
              <w:t>/</w:t>
            </w:r>
          </w:p>
        </w:tc>
        <w:tc>
          <w:tcPr>
            <w:tcW w:w="2433" w:type="dxa"/>
            <w:tcBorders>
              <w:top w:val="single" w:color="auto" w:sz="4" w:space="0"/>
              <w:left w:val="single" w:color="auto" w:sz="4" w:space="0"/>
              <w:bottom w:val="single" w:color="auto" w:sz="4" w:space="0"/>
              <w:right w:val="single" w:color="auto" w:sz="4" w:space="0"/>
            </w:tcBorders>
            <w:vAlign w:val="center"/>
          </w:tcPr>
          <w:p w14:paraId="2C1BA821">
            <w:pPr>
              <w:pStyle w:val="557"/>
            </w:pPr>
            <w:r>
              <w:t>/</w:t>
            </w:r>
          </w:p>
        </w:tc>
      </w:tr>
      <w:tr w14:paraId="3FC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776D95BD">
            <w:pPr>
              <w:pStyle w:val="557"/>
            </w:pPr>
            <w:r>
              <w:rPr>
                <w:rFonts w:hint="eastAsia"/>
              </w:rPr>
              <w:t>甲醇</w:t>
            </w:r>
          </w:p>
        </w:tc>
        <w:tc>
          <w:tcPr>
            <w:tcW w:w="2431" w:type="dxa"/>
            <w:tcBorders>
              <w:top w:val="single" w:color="auto" w:sz="4" w:space="0"/>
              <w:left w:val="single" w:color="auto" w:sz="4" w:space="0"/>
              <w:bottom w:val="single" w:color="auto" w:sz="4" w:space="0"/>
              <w:right w:val="single" w:color="auto" w:sz="4" w:space="0"/>
            </w:tcBorders>
            <w:vAlign w:val="center"/>
          </w:tcPr>
          <w:p w14:paraId="421672AA">
            <w:pPr>
              <w:pStyle w:val="557"/>
            </w:pPr>
            <w:r>
              <w:t>3000</w:t>
            </w:r>
          </w:p>
        </w:tc>
        <w:tc>
          <w:tcPr>
            <w:tcW w:w="1702" w:type="dxa"/>
            <w:tcBorders>
              <w:top w:val="single" w:color="auto" w:sz="4" w:space="0"/>
              <w:left w:val="single" w:color="auto" w:sz="4" w:space="0"/>
              <w:bottom w:val="single" w:color="auto" w:sz="4" w:space="0"/>
              <w:right w:val="single" w:color="auto" w:sz="4" w:space="0"/>
            </w:tcBorders>
            <w:vAlign w:val="center"/>
          </w:tcPr>
          <w:p w14:paraId="7239B919">
            <w:pPr>
              <w:pStyle w:val="557"/>
            </w:pPr>
            <w:r>
              <w:t>1000</w:t>
            </w:r>
          </w:p>
        </w:tc>
        <w:tc>
          <w:tcPr>
            <w:tcW w:w="2433" w:type="dxa"/>
            <w:tcBorders>
              <w:top w:val="single" w:color="auto" w:sz="4" w:space="0"/>
              <w:left w:val="single" w:color="auto" w:sz="4" w:space="0"/>
              <w:bottom w:val="single" w:color="auto" w:sz="4" w:space="0"/>
              <w:right w:val="single" w:color="auto" w:sz="4" w:space="0"/>
            </w:tcBorders>
            <w:vAlign w:val="center"/>
          </w:tcPr>
          <w:p w14:paraId="2B7EF004">
            <w:pPr>
              <w:pStyle w:val="557"/>
            </w:pPr>
            <w:r>
              <w:t>/</w:t>
            </w:r>
          </w:p>
        </w:tc>
      </w:tr>
      <w:tr w14:paraId="50CE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730" w:type="dxa"/>
            <w:tcBorders>
              <w:top w:val="single" w:color="auto" w:sz="4" w:space="0"/>
              <w:left w:val="single" w:color="auto" w:sz="4" w:space="0"/>
              <w:bottom w:val="single" w:color="auto" w:sz="4" w:space="0"/>
              <w:right w:val="single" w:color="auto" w:sz="4" w:space="0"/>
            </w:tcBorders>
            <w:vAlign w:val="center"/>
          </w:tcPr>
          <w:p w14:paraId="58AB6B2A">
            <w:pPr>
              <w:pStyle w:val="557"/>
            </w:pPr>
            <w:r>
              <w:rPr>
                <w:rFonts w:hint="eastAsia"/>
              </w:rPr>
              <w:t>硫酸</w:t>
            </w:r>
          </w:p>
        </w:tc>
        <w:tc>
          <w:tcPr>
            <w:tcW w:w="2431" w:type="dxa"/>
            <w:tcBorders>
              <w:top w:val="single" w:color="auto" w:sz="4" w:space="0"/>
              <w:left w:val="single" w:color="auto" w:sz="4" w:space="0"/>
              <w:bottom w:val="single" w:color="auto" w:sz="4" w:space="0"/>
              <w:right w:val="single" w:color="auto" w:sz="4" w:space="0"/>
            </w:tcBorders>
            <w:vAlign w:val="center"/>
          </w:tcPr>
          <w:p w14:paraId="433B0140">
            <w:pPr>
              <w:pStyle w:val="557"/>
            </w:pPr>
            <w:r>
              <w:rPr>
                <w:rFonts w:hint="eastAsia"/>
              </w:rPr>
              <w:t>300</w:t>
            </w:r>
          </w:p>
        </w:tc>
        <w:tc>
          <w:tcPr>
            <w:tcW w:w="1702" w:type="dxa"/>
            <w:tcBorders>
              <w:top w:val="single" w:color="auto" w:sz="4" w:space="0"/>
              <w:left w:val="single" w:color="auto" w:sz="4" w:space="0"/>
              <w:bottom w:val="single" w:color="auto" w:sz="4" w:space="0"/>
              <w:right w:val="single" w:color="auto" w:sz="4" w:space="0"/>
            </w:tcBorders>
            <w:vAlign w:val="center"/>
          </w:tcPr>
          <w:p w14:paraId="49ABC9AB">
            <w:pPr>
              <w:pStyle w:val="557"/>
            </w:pPr>
            <w:r>
              <w:rPr>
                <w:rFonts w:hint="eastAsia"/>
              </w:rPr>
              <w:t>100</w:t>
            </w:r>
          </w:p>
        </w:tc>
        <w:tc>
          <w:tcPr>
            <w:tcW w:w="2433" w:type="dxa"/>
            <w:tcBorders>
              <w:top w:val="single" w:color="auto" w:sz="4" w:space="0"/>
              <w:left w:val="single" w:color="auto" w:sz="4" w:space="0"/>
              <w:bottom w:val="single" w:color="auto" w:sz="4" w:space="0"/>
              <w:right w:val="single" w:color="auto" w:sz="4" w:space="0"/>
            </w:tcBorders>
            <w:vAlign w:val="center"/>
          </w:tcPr>
          <w:p w14:paraId="5E6481A8">
            <w:pPr>
              <w:pStyle w:val="557"/>
            </w:pPr>
            <w:r>
              <w:rPr>
                <w:rFonts w:hint="eastAsia"/>
              </w:rPr>
              <w:t>/</w:t>
            </w:r>
          </w:p>
        </w:tc>
      </w:tr>
    </w:tbl>
    <w:p w14:paraId="2DE8BE16">
      <w:pPr>
        <w:pStyle w:val="97"/>
        <w:numPr>
          <w:ilvl w:val="2"/>
          <w:numId w:val="8"/>
        </w:numPr>
        <w:ind w:left="0"/>
        <w:rPr>
          <w:rFonts w:hint="eastAsia"/>
        </w:rPr>
      </w:pPr>
      <w:r>
        <w:rPr>
          <w:rFonts w:hint="eastAsia"/>
        </w:rPr>
        <w:t>预测结果</w:t>
      </w:r>
    </w:p>
    <w:p w14:paraId="54D12DB4">
      <w:pPr>
        <w:pStyle w:val="98"/>
        <w:numPr>
          <w:ilvl w:val="3"/>
          <w:numId w:val="8"/>
        </w:numPr>
        <w:ind w:left="0"/>
        <w:rPr>
          <w:rFonts w:hint="eastAsia"/>
        </w:rPr>
      </w:pPr>
      <w:r>
        <w:rPr>
          <w:rFonts w:hint="eastAsia"/>
        </w:rPr>
        <w:t>主要污染物浓度贡献值</w:t>
      </w:r>
    </w:p>
    <w:p w14:paraId="77D338D1">
      <w:pPr>
        <w:pStyle w:val="179"/>
        <w:ind w:firstLine="512"/>
        <w:rPr>
          <w:rFonts w:hint="eastAsia"/>
          <w:spacing w:val="8"/>
        </w:rPr>
      </w:pPr>
      <w:r>
        <w:rPr>
          <w:rFonts w:hint="eastAsia"/>
          <w:spacing w:val="8"/>
        </w:rPr>
        <w:t>项目正常排放条件下，主要污染物在环境空气保护目标和网格点的最大浓度贡献值、发生的时间及占标</w:t>
      </w:r>
      <w:r>
        <w:rPr>
          <w:rFonts w:ascii="Times New Roman" w:hAnsi="Times New Roman" w:cs="Times New Roman"/>
          <w:spacing w:val="8"/>
        </w:rPr>
        <w:t>率见表5.2.8-1至表5.2.8-</w:t>
      </w:r>
      <w:r>
        <w:rPr>
          <w:rFonts w:hint="eastAsia" w:ascii="Times New Roman" w:hAnsi="Times New Roman" w:cs="Times New Roman"/>
          <w:spacing w:val="8"/>
        </w:rPr>
        <w:t>9</w:t>
      </w:r>
      <w:r>
        <w:rPr>
          <w:rFonts w:ascii="Times New Roman" w:hAnsi="Times New Roman" w:cs="Times New Roman"/>
          <w:spacing w:val="8"/>
        </w:rPr>
        <w:t>。</w:t>
      </w:r>
    </w:p>
    <w:p w14:paraId="7D378F60">
      <w:pPr>
        <w:spacing w:line="360" w:lineRule="auto"/>
        <w:rPr>
          <w:rFonts w:hint="eastAsia"/>
          <w:spacing w:val="8"/>
        </w:rPr>
        <w:sectPr>
          <w:pgSz w:w="11906" w:h="16838"/>
          <w:pgMar w:top="1440" w:right="1800" w:bottom="1440" w:left="1800" w:header="851" w:footer="850" w:gutter="0"/>
          <w:cols w:space="720" w:num="1"/>
          <w:docGrid w:type="lines" w:linePitch="326" w:charSpace="0"/>
        </w:sectPr>
      </w:pPr>
    </w:p>
    <w:p w14:paraId="578453FA">
      <w:pPr>
        <w:pStyle w:val="541"/>
        <w:ind w:left="496" w:hanging="496"/>
        <w:rPr>
          <w:rFonts w:hint="eastAsia"/>
        </w:rPr>
      </w:pPr>
      <w:r>
        <w:rPr>
          <w:rFonts w:hint="eastAsia"/>
          <w:spacing w:val="8"/>
        </w:rPr>
        <w:t>表5.2.8-1</w:t>
      </w:r>
      <w:r>
        <w:rPr>
          <w:rFonts w:hint="eastAsia"/>
        </w:rPr>
        <w:t xml:space="preserve">  SO</w:t>
      </w:r>
      <w:r>
        <w:rPr>
          <w:rFonts w:hint="eastAsia"/>
          <w:vertAlign w:val="subscript"/>
        </w:rPr>
        <w:t>2</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77E9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0A9692A3">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4D843182">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636C2E34">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483562E6">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431FDB82">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834EEC8">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61B93F5A">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1AC05197">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5F06C4ED">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21BDA558">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037CF45E">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6BB773FE">
            <w:pPr>
              <w:pStyle w:val="557"/>
            </w:pPr>
            <w:r>
              <w:rPr>
                <w:rFonts w:hint="eastAsia"/>
              </w:rPr>
              <w:t>是否超标</w:t>
            </w:r>
          </w:p>
        </w:tc>
      </w:tr>
      <w:tr w14:paraId="271C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5C89E847">
            <w:pPr>
              <w:pStyle w:val="557"/>
            </w:pPr>
            <w:bookmarkStart w:id="301" w:name="_Hlk185524116"/>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31A0E0E8">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03E0FA74">
            <w:pPr>
              <w:pStyle w:val="557"/>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68F4E345">
            <w:pPr>
              <w:pStyle w:val="557"/>
            </w:pPr>
            <w:r>
              <w:rPr>
                <w:rFonts w:hint="eastAsia"/>
              </w:rPr>
              <w:t>685.1</w:t>
            </w:r>
          </w:p>
        </w:tc>
        <w:tc>
          <w:tcPr>
            <w:tcW w:w="1093" w:type="dxa"/>
            <w:tcBorders>
              <w:top w:val="single" w:color="auto" w:sz="4" w:space="0"/>
              <w:left w:val="single" w:color="auto" w:sz="4" w:space="0"/>
              <w:bottom w:val="single" w:color="auto" w:sz="4" w:space="0"/>
              <w:right w:val="single" w:color="auto" w:sz="4" w:space="0"/>
            </w:tcBorders>
            <w:noWrap/>
            <w:vAlign w:val="center"/>
          </w:tcPr>
          <w:p w14:paraId="15BFB193">
            <w:pPr>
              <w:pStyle w:val="557"/>
            </w:pPr>
            <w:r>
              <w:rPr>
                <w:rFonts w:hint="eastAsia"/>
              </w:rPr>
              <w:t>685.1</w:t>
            </w:r>
          </w:p>
        </w:tc>
        <w:tc>
          <w:tcPr>
            <w:tcW w:w="1093" w:type="dxa"/>
            <w:tcBorders>
              <w:top w:val="single" w:color="auto" w:sz="4" w:space="0"/>
              <w:left w:val="single" w:color="auto" w:sz="4" w:space="0"/>
              <w:bottom w:val="single" w:color="auto" w:sz="4" w:space="0"/>
              <w:right w:val="single" w:color="auto" w:sz="4" w:space="0"/>
            </w:tcBorders>
            <w:noWrap/>
            <w:vAlign w:val="center"/>
          </w:tcPr>
          <w:p w14:paraId="760C1044">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47D905ED">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6BC52D70">
            <w:pPr>
              <w:pStyle w:val="557"/>
            </w:pPr>
            <w:r>
              <w:rPr>
                <w:rFonts w:hint="eastAsia"/>
              </w:rPr>
              <w:t>0.034145</w:t>
            </w:r>
          </w:p>
        </w:tc>
        <w:tc>
          <w:tcPr>
            <w:tcW w:w="1478" w:type="dxa"/>
            <w:tcBorders>
              <w:top w:val="single" w:color="auto" w:sz="4" w:space="0"/>
              <w:left w:val="single" w:color="auto" w:sz="4" w:space="0"/>
              <w:bottom w:val="single" w:color="auto" w:sz="4" w:space="0"/>
              <w:right w:val="single" w:color="auto" w:sz="4" w:space="0"/>
            </w:tcBorders>
            <w:noWrap/>
            <w:vAlign w:val="center"/>
          </w:tcPr>
          <w:p w14:paraId="066D0173">
            <w:pPr>
              <w:pStyle w:val="557"/>
            </w:pPr>
            <w:r>
              <w:rPr>
                <w:rFonts w:hint="eastAsia"/>
              </w:rPr>
              <w:t>23061909</w:t>
            </w:r>
          </w:p>
        </w:tc>
        <w:tc>
          <w:tcPr>
            <w:tcW w:w="1093" w:type="dxa"/>
            <w:tcBorders>
              <w:top w:val="single" w:color="auto" w:sz="4" w:space="0"/>
              <w:left w:val="single" w:color="auto" w:sz="4" w:space="0"/>
              <w:bottom w:val="single" w:color="auto" w:sz="4" w:space="0"/>
              <w:right w:val="single" w:color="auto" w:sz="4" w:space="0"/>
            </w:tcBorders>
            <w:noWrap/>
            <w:vAlign w:val="center"/>
          </w:tcPr>
          <w:p w14:paraId="1EDD51A6">
            <w:pPr>
              <w:pStyle w:val="557"/>
            </w:pPr>
            <w:r>
              <w:rPr>
                <w:rFonts w:hint="eastAsia"/>
              </w:rPr>
              <w:t>0.5</w:t>
            </w:r>
          </w:p>
        </w:tc>
        <w:tc>
          <w:tcPr>
            <w:tcW w:w="1093" w:type="dxa"/>
            <w:tcBorders>
              <w:top w:val="single" w:color="auto" w:sz="4" w:space="0"/>
              <w:left w:val="single" w:color="auto" w:sz="4" w:space="0"/>
              <w:bottom w:val="single" w:color="auto" w:sz="4" w:space="0"/>
              <w:right w:val="single" w:color="auto" w:sz="4" w:space="0"/>
            </w:tcBorders>
            <w:noWrap/>
            <w:vAlign w:val="center"/>
          </w:tcPr>
          <w:p w14:paraId="2B9221FA">
            <w:pPr>
              <w:pStyle w:val="557"/>
            </w:pPr>
            <w:r>
              <w:rPr>
                <w:rFonts w:hint="eastAsia"/>
              </w:rPr>
              <w:t>6.83</w:t>
            </w:r>
          </w:p>
        </w:tc>
        <w:tc>
          <w:tcPr>
            <w:tcW w:w="1093" w:type="dxa"/>
            <w:tcBorders>
              <w:top w:val="single" w:color="auto" w:sz="4" w:space="0"/>
              <w:left w:val="single" w:color="auto" w:sz="4" w:space="0"/>
              <w:bottom w:val="single" w:color="auto" w:sz="4" w:space="0"/>
              <w:right w:val="single" w:color="auto" w:sz="4" w:space="0"/>
            </w:tcBorders>
            <w:noWrap/>
            <w:vAlign w:val="center"/>
          </w:tcPr>
          <w:p w14:paraId="202E310A">
            <w:pPr>
              <w:pStyle w:val="557"/>
            </w:pPr>
            <w:r>
              <w:rPr>
                <w:rFonts w:hint="eastAsia"/>
              </w:rPr>
              <w:t>达标</w:t>
            </w:r>
          </w:p>
        </w:tc>
      </w:tr>
      <w:bookmarkEnd w:id="301"/>
      <w:tr w14:paraId="41CE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7A8A4954">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262C1A72">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04FF55DE">
            <w:pPr>
              <w:pStyle w:val="557"/>
            </w:pPr>
            <w:r>
              <w:rPr>
                <w:rFonts w:hint="eastAsia"/>
              </w:rPr>
              <w:t>-500,50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528DDFF1">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27D50688">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32684B0D">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6613FBAD">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27AB0067">
            <w:pPr>
              <w:pStyle w:val="557"/>
            </w:pPr>
            <w:r>
              <w:rPr>
                <w:rFonts w:hint="eastAsia"/>
              </w:rPr>
              <w:t>0.002567</w:t>
            </w:r>
          </w:p>
        </w:tc>
        <w:tc>
          <w:tcPr>
            <w:tcW w:w="1478" w:type="dxa"/>
            <w:tcBorders>
              <w:top w:val="single" w:color="auto" w:sz="4" w:space="0"/>
              <w:left w:val="single" w:color="auto" w:sz="4" w:space="0"/>
              <w:bottom w:val="single" w:color="auto" w:sz="4" w:space="0"/>
              <w:right w:val="single" w:color="auto" w:sz="4" w:space="0"/>
            </w:tcBorders>
            <w:noWrap/>
            <w:vAlign w:val="center"/>
          </w:tcPr>
          <w:p w14:paraId="663B401D">
            <w:pPr>
              <w:pStyle w:val="557"/>
            </w:pPr>
            <w:r>
              <w:rPr>
                <w:rFonts w:hint="eastAsia"/>
              </w:rPr>
              <w:t>230828</w:t>
            </w:r>
          </w:p>
        </w:tc>
        <w:tc>
          <w:tcPr>
            <w:tcW w:w="1093" w:type="dxa"/>
            <w:tcBorders>
              <w:top w:val="single" w:color="auto" w:sz="4" w:space="0"/>
              <w:left w:val="single" w:color="auto" w:sz="4" w:space="0"/>
              <w:bottom w:val="single" w:color="auto" w:sz="4" w:space="0"/>
              <w:right w:val="single" w:color="auto" w:sz="4" w:space="0"/>
            </w:tcBorders>
            <w:noWrap/>
            <w:vAlign w:val="center"/>
          </w:tcPr>
          <w:p w14:paraId="0A178A6E">
            <w:pPr>
              <w:pStyle w:val="557"/>
            </w:pPr>
            <w:r>
              <w:rPr>
                <w:rFonts w:hint="eastAsia"/>
              </w:rPr>
              <w:t>0.15</w:t>
            </w:r>
          </w:p>
        </w:tc>
        <w:tc>
          <w:tcPr>
            <w:tcW w:w="1093" w:type="dxa"/>
            <w:tcBorders>
              <w:top w:val="single" w:color="auto" w:sz="4" w:space="0"/>
              <w:left w:val="single" w:color="auto" w:sz="4" w:space="0"/>
              <w:bottom w:val="single" w:color="auto" w:sz="4" w:space="0"/>
              <w:right w:val="single" w:color="auto" w:sz="4" w:space="0"/>
            </w:tcBorders>
            <w:noWrap/>
            <w:vAlign w:val="center"/>
          </w:tcPr>
          <w:p w14:paraId="44265509">
            <w:pPr>
              <w:pStyle w:val="557"/>
            </w:pPr>
            <w:r>
              <w:rPr>
                <w:rFonts w:hint="eastAsia"/>
              </w:rPr>
              <w:t>1.71</w:t>
            </w:r>
          </w:p>
        </w:tc>
        <w:tc>
          <w:tcPr>
            <w:tcW w:w="1093" w:type="dxa"/>
            <w:tcBorders>
              <w:top w:val="single" w:color="auto" w:sz="4" w:space="0"/>
              <w:left w:val="single" w:color="auto" w:sz="4" w:space="0"/>
              <w:bottom w:val="single" w:color="auto" w:sz="4" w:space="0"/>
              <w:right w:val="single" w:color="auto" w:sz="4" w:space="0"/>
            </w:tcBorders>
            <w:noWrap/>
            <w:vAlign w:val="center"/>
          </w:tcPr>
          <w:p w14:paraId="0D990128">
            <w:pPr>
              <w:pStyle w:val="557"/>
            </w:pPr>
            <w:r>
              <w:rPr>
                <w:rFonts w:hint="eastAsia"/>
              </w:rPr>
              <w:t>达标</w:t>
            </w:r>
          </w:p>
        </w:tc>
      </w:tr>
      <w:tr w14:paraId="5B11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182B5C86">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52893CD9">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75F02533">
            <w:pPr>
              <w:pStyle w:val="557"/>
            </w:pPr>
            <w:r>
              <w:rPr>
                <w:rFonts w:hint="eastAsia"/>
              </w:rPr>
              <w:t>-250,-50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18D0039A">
            <w:pPr>
              <w:pStyle w:val="557"/>
            </w:pPr>
            <w:r>
              <w:rPr>
                <w:rFonts w:hint="eastAsia"/>
              </w:rPr>
              <w:t>687.2</w:t>
            </w:r>
          </w:p>
        </w:tc>
        <w:tc>
          <w:tcPr>
            <w:tcW w:w="1093" w:type="dxa"/>
            <w:tcBorders>
              <w:top w:val="single" w:color="auto" w:sz="4" w:space="0"/>
              <w:left w:val="single" w:color="auto" w:sz="4" w:space="0"/>
              <w:bottom w:val="single" w:color="auto" w:sz="4" w:space="0"/>
              <w:right w:val="single" w:color="auto" w:sz="4" w:space="0"/>
            </w:tcBorders>
            <w:noWrap/>
            <w:vAlign w:val="center"/>
          </w:tcPr>
          <w:p w14:paraId="7F26D7F9">
            <w:pPr>
              <w:pStyle w:val="557"/>
            </w:pPr>
            <w:r>
              <w:rPr>
                <w:rFonts w:hint="eastAsia"/>
              </w:rPr>
              <w:t>687.2</w:t>
            </w:r>
          </w:p>
        </w:tc>
        <w:tc>
          <w:tcPr>
            <w:tcW w:w="1093" w:type="dxa"/>
            <w:tcBorders>
              <w:top w:val="single" w:color="auto" w:sz="4" w:space="0"/>
              <w:left w:val="single" w:color="auto" w:sz="4" w:space="0"/>
              <w:bottom w:val="single" w:color="auto" w:sz="4" w:space="0"/>
              <w:right w:val="single" w:color="auto" w:sz="4" w:space="0"/>
            </w:tcBorders>
            <w:noWrap/>
            <w:vAlign w:val="center"/>
          </w:tcPr>
          <w:p w14:paraId="10387208">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607B5912">
            <w:pPr>
              <w:pStyle w:val="557"/>
            </w:pPr>
            <w:r>
              <w:rPr>
                <w:rFonts w:hint="eastAsia"/>
              </w:rPr>
              <w:t>年平均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77150245">
            <w:pPr>
              <w:pStyle w:val="557"/>
            </w:pPr>
            <w:r>
              <w:rPr>
                <w:rFonts w:hint="eastAsia"/>
              </w:rPr>
              <w:t>0.000497</w:t>
            </w:r>
          </w:p>
        </w:tc>
        <w:tc>
          <w:tcPr>
            <w:tcW w:w="1478" w:type="dxa"/>
            <w:tcBorders>
              <w:top w:val="single" w:color="auto" w:sz="4" w:space="0"/>
              <w:left w:val="single" w:color="auto" w:sz="4" w:space="0"/>
              <w:bottom w:val="single" w:color="auto" w:sz="4" w:space="0"/>
              <w:right w:val="single" w:color="auto" w:sz="4" w:space="0"/>
            </w:tcBorders>
            <w:noWrap/>
            <w:vAlign w:val="center"/>
          </w:tcPr>
          <w:p w14:paraId="7C04FF22">
            <w:pPr>
              <w:pStyle w:val="557"/>
            </w:pPr>
            <w:r>
              <w:rPr>
                <w:rFonts w:hint="eastAsia"/>
              </w:rPr>
              <w:t>平均值</w:t>
            </w:r>
          </w:p>
        </w:tc>
        <w:tc>
          <w:tcPr>
            <w:tcW w:w="1093" w:type="dxa"/>
            <w:tcBorders>
              <w:top w:val="single" w:color="auto" w:sz="4" w:space="0"/>
              <w:left w:val="single" w:color="auto" w:sz="4" w:space="0"/>
              <w:bottom w:val="single" w:color="auto" w:sz="4" w:space="0"/>
              <w:right w:val="single" w:color="auto" w:sz="4" w:space="0"/>
            </w:tcBorders>
            <w:noWrap/>
            <w:vAlign w:val="center"/>
          </w:tcPr>
          <w:p w14:paraId="66BCB51C">
            <w:pPr>
              <w:pStyle w:val="557"/>
            </w:pPr>
            <w:r>
              <w:rPr>
                <w:rFonts w:hint="eastAsia"/>
              </w:rPr>
              <w:t>0.06</w:t>
            </w:r>
          </w:p>
        </w:tc>
        <w:tc>
          <w:tcPr>
            <w:tcW w:w="1093" w:type="dxa"/>
            <w:tcBorders>
              <w:top w:val="single" w:color="auto" w:sz="4" w:space="0"/>
              <w:left w:val="single" w:color="auto" w:sz="4" w:space="0"/>
              <w:bottom w:val="single" w:color="auto" w:sz="4" w:space="0"/>
              <w:right w:val="single" w:color="auto" w:sz="4" w:space="0"/>
            </w:tcBorders>
            <w:noWrap/>
            <w:vAlign w:val="center"/>
          </w:tcPr>
          <w:p w14:paraId="707CD374">
            <w:pPr>
              <w:pStyle w:val="557"/>
            </w:pPr>
            <w:r>
              <w:rPr>
                <w:rFonts w:hint="eastAsia"/>
              </w:rPr>
              <w:t>0.83</w:t>
            </w:r>
          </w:p>
        </w:tc>
        <w:tc>
          <w:tcPr>
            <w:tcW w:w="1093" w:type="dxa"/>
            <w:tcBorders>
              <w:top w:val="single" w:color="auto" w:sz="4" w:space="0"/>
              <w:left w:val="single" w:color="auto" w:sz="4" w:space="0"/>
              <w:bottom w:val="single" w:color="auto" w:sz="4" w:space="0"/>
              <w:right w:val="single" w:color="auto" w:sz="4" w:space="0"/>
            </w:tcBorders>
            <w:noWrap/>
            <w:vAlign w:val="center"/>
          </w:tcPr>
          <w:p w14:paraId="7FC8F2A3">
            <w:pPr>
              <w:pStyle w:val="557"/>
            </w:pPr>
            <w:r>
              <w:rPr>
                <w:rFonts w:hint="eastAsia"/>
              </w:rPr>
              <w:t>达标</w:t>
            </w:r>
          </w:p>
        </w:tc>
      </w:tr>
    </w:tbl>
    <w:p w14:paraId="41E3862C">
      <w:pPr>
        <w:pStyle w:val="557"/>
      </w:pPr>
    </w:p>
    <w:p w14:paraId="509F1CC0">
      <w:pPr>
        <w:pStyle w:val="541"/>
        <w:ind w:left="496" w:hanging="496"/>
        <w:rPr>
          <w:rFonts w:hint="eastAsia"/>
        </w:rPr>
      </w:pPr>
      <w:r>
        <w:rPr>
          <w:rFonts w:hint="eastAsia"/>
          <w:spacing w:val="8"/>
        </w:rPr>
        <w:t>表5.2.8-2</w:t>
      </w:r>
      <w:r>
        <w:rPr>
          <w:rFonts w:hint="eastAsia"/>
        </w:rPr>
        <w:t xml:space="preserve">    NO</w:t>
      </w:r>
      <w:r>
        <w:rPr>
          <w:rFonts w:hint="eastAsia"/>
          <w:vertAlign w:val="subscript"/>
        </w:rPr>
        <w:t>2</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20F6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031ED8A1">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51695B06">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51D5DA69">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1428C7D6">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7B872079">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09F5C9F5">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5516331">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0E572891">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40BC0D61">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095A1FC1">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6180D699">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26B5A139">
            <w:pPr>
              <w:pStyle w:val="557"/>
            </w:pPr>
            <w:r>
              <w:rPr>
                <w:rFonts w:hint="eastAsia"/>
              </w:rPr>
              <w:t>是否超标</w:t>
            </w:r>
          </w:p>
        </w:tc>
      </w:tr>
      <w:tr w14:paraId="0B0C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357A801C">
            <w:pPr>
              <w:pStyle w:val="557"/>
            </w:pPr>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379171F0">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61CCCDC4">
            <w:pPr>
              <w:pStyle w:val="557"/>
            </w:pPr>
            <w:r>
              <w:rPr>
                <w:rFonts w:hint="eastAsia"/>
              </w:rPr>
              <w:t>-200,150</w:t>
            </w:r>
          </w:p>
        </w:tc>
        <w:tc>
          <w:tcPr>
            <w:tcW w:w="1094" w:type="dxa"/>
            <w:tcBorders>
              <w:top w:val="single" w:color="auto" w:sz="4" w:space="0"/>
              <w:left w:val="single" w:color="auto" w:sz="4" w:space="0"/>
              <w:bottom w:val="single" w:color="auto" w:sz="4" w:space="0"/>
              <w:right w:val="single" w:color="auto" w:sz="4" w:space="0"/>
            </w:tcBorders>
            <w:noWrap/>
            <w:vAlign w:val="center"/>
          </w:tcPr>
          <w:p w14:paraId="08FEC048">
            <w:pPr>
              <w:pStyle w:val="557"/>
            </w:pPr>
            <w:r>
              <w:rPr>
                <w:rFonts w:hint="eastAsia"/>
              </w:rPr>
              <w:t>688.3</w:t>
            </w:r>
          </w:p>
        </w:tc>
        <w:tc>
          <w:tcPr>
            <w:tcW w:w="1093" w:type="dxa"/>
            <w:tcBorders>
              <w:top w:val="single" w:color="auto" w:sz="4" w:space="0"/>
              <w:left w:val="single" w:color="auto" w:sz="4" w:space="0"/>
              <w:bottom w:val="single" w:color="auto" w:sz="4" w:space="0"/>
              <w:right w:val="single" w:color="auto" w:sz="4" w:space="0"/>
            </w:tcBorders>
            <w:noWrap/>
            <w:vAlign w:val="center"/>
          </w:tcPr>
          <w:p w14:paraId="30234919">
            <w:pPr>
              <w:pStyle w:val="557"/>
            </w:pPr>
            <w:r>
              <w:rPr>
                <w:rFonts w:hint="eastAsia"/>
              </w:rPr>
              <w:t>688.3</w:t>
            </w:r>
          </w:p>
        </w:tc>
        <w:tc>
          <w:tcPr>
            <w:tcW w:w="1093" w:type="dxa"/>
            <w:tcBorders>
              <w:top w:val="single" w:color="auto" w:sz="4" w:space="0"/>
              <w:left w:val="single" w:color="auto" w:sz="4" w:space="0"/>
              <w:bottom w:val="single" w:color="auto" w:sz="4" w:space="0"/>
              <w:right w:val="single" w:color="auto" w:sz="4" w:space="0"/>
            </w:tcBorders>
            <w:noWrap/>
            <w:vAlign w:val="center"/>
          </w:tcPr>
          <w:p w14:paraId="54B80DBC">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33F3D457">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2C25EECA">
            <w:pPr>
              <w:pStyle w:val="557"/>
            </w:pPr>
            <w:r>
              <w:rPr>
                <w:rFonts w:hint="eastAsia"/>
              </w:rPr>
              <w:t>0.035639</w:t>
            </w:r>
          </w:p>
        </w:tc>
        <w:tc>
          <w:tcPr>
            <w:tcW w:w="1478" w:type="dxa"/>
            <w:tcBorders>
              <w:top w:val="single" w:color="auto" w:sz="4" w:space="0"/>
              <w:left w:val="single" w:color="auto" w:sz="4" w:space="0"/>
              <w:bottom w:val="single" w:color="auto" w:sz="4" w:space="0"/>
              <w:right w:val="single" w:color="auto" w:sz="4" w:space="0"/>
            </w:tcBorders>
            <w:noWrap/>
            <w:vAlign w:val="center"/>
          </w:tcPr>
          <w:p w14:paraId="46468569">
            <w:pPr>
              <w:pStyle w:val="557"/>
            </w:pPr>
            <w:r>
              <w:rPr>
                <w:rFonts w:hint="eastAsia"/>
              </w:rPr>
              <w:t>23060808</w:t>
            </w:r>
          </w:p>
        </w:tc>
        <w:tc>
          <w:tcPr>
            <w:tcW w:w="1093" w:type="dxa"/>
            <w:tcBorders>
              <w:top w:val="single" w:color="auto" w:sz="4" w:space="0"/>
              <w:left w:val="single" w:color="auto" w:sz="4" w:space="0"/>
              <w:bottom w:val="single" w:color="auto" w:sz="4" w:space="0"/>
              <w:right w:val="single" w:color="auto" w:sz="4" w:space="0"/>
            </w:tcBorders>
            <w:noWrap/>
            <w:vAlign w:val="center"/>
          </w:tcPr>
          <w:p w14:paraId="1A78F8AB">
            <w:pPr>
              <w:pStyle w:val="557"/>
            </w:pPr>
            <w:r>
              <w:rPr>
                <w:rFonts w:hint="eastAsia"/>
              </w:rPr>
              <w:t>0.2</w:t>
            </w:r>
          </w:p>
        </w:tc>
        <w:tc>
          <w:tcPr>
            <w:tcW w:w="1093" w:type="dxa"/>
            <w:tcBorders>
              <w:top w:val="single" w:color="auto" w:sz="4" w:space="0"/>
              <w:left w:val="single" w:color="auto" w:sz="4" w:space="0"/>
              <w:bottom w:val="single" w:color="auto" w:sz="4" w:space="0"/>
              <w:right w:val="single" w:color="auto" w:sz="4" w:space="0"/>
            </w:tcBorders>
            <w:noWrap/>
            <w:vAlign w:val="center"/>
          </w:tcPr>
          <w:p w14:paraId="2DE884B3">
            <w:pPr>
              <w:pStyle w:val="557"/>
            </w:pPr>
            <w:r>
              <w:rPr>
                <w:rFonts w:hint="eastAsia"/>
              </w:rPr>
              <w:t>17.82</w:t>
            </w:r>
          </w:p>
        </w:tc>
        <w:tc>
          <w:tcPr>
            <w:tcW w:w="1093" w:type="dxa"/>
            <w:tcBorders>
              <w:top w:val="single" w:color="auto" w:sz="4" w:space="0"/>
              <w:left w:val="single" w:color="auto" w:sz="4" w:space="0"/>
              <w:bottom w:val="single" w:color="auto" w:sz="4" w:space="0"/>
              <w:right w:val="single" w:color="auto" w:sz="4" w:space="0"/>
            </w:tcBorders>
            <w:noWrap/>
            <w:vAlign w:val="center"/>
          </w:tcPr>
          <w:p w14:paraId="4C3792EE">
            <w:pPr>
              <w:pStyle w:val="557"/>
            </w:pPr>
            <w:r>
              <w:rPr>
                <w:rFonts w:hint="eastAsia"/>
              </w:rPr>
              <w:t>达标</w:t>
            </w:r>
          </w:p>
        </w:tc>
      </w:tr>
      <w:tr w14:paraId="0DE2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7BBED183">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62788A38">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455B7B75">
            <w:pPr>
              <w:pStyle w:val="557"/>
            </w:pPr>
            <w:r>
              <w:rPr>
                <w:rFonts w:hint="eastAsia"/>
              </w:rPr>
              <w:t>-600,200</w:t>
            </w:r>
          </w:p>
        </w:tc>
        <w:tc>
          <w:tcPr>
            <w:tcW w:w="1094" w:type="dxa"/>
            <w:tcBorders>
              <w:top w:val="single" w:color="auto" w:sz="4" w:space="0"/>
              <w:left w:val="single" w:color="auto" w:sz="4" w:space="0"/>
              <w:bottom w:val="single" w:color="auto" w:sz="4" w:space="0"/>
              <w:right w:val="single" w:color="auto" w:sz="4" w:space="0"/>
            </w:tcBorders>
            <w:noWrap/>
            <w:vAlign w:val="center"/>
          </w:tcPr>
          <w:p w14:paraId="619C0DAB">
            <w:pPr>
              <w:pStyle w:val="557"/>
            </w:pPr>
            <w:r>
              <w:rPr>
                <w:rFonts w:hint="eastAsia"/>
              </w:rPr>
              <w:t>688.2</w:t>
            </w:r>
          </w:p>
        </w:tc>
        <w:tc>
          <w:tcPr>
            <w:tcW w:w="1093" w:type="dxa"/>
            <w:tcBorders>
              <w:top w:val="single" w:color="auto" w:sz="4" w:space="0"/>
              <w:left w:val="single" w:color="auto" w:sz="4" w:space="0"/>
              <w:bottom w:val="single" w:color="auto" w:sz="4" w:space="0"/>
              <w:right w:val="single" w:color="auto" w:sz="4" w:space="0"/>
            </w:tcBorders>
            <w:noWrap/>
            <w:vAlign w:val="center"/>
          </w:tcPr>
          <w:p w14:paraId="3AC554FA">
            <w:pPr>
              <w:pStyle w:val="557"/>
            </w:pPr>
            <w:r>
              <w:rPr>
                <w:rFonts w:hint="eastAsia"/>
              </w:rPr>
              <w:t>688.2</w:t>
            </w:r>
          </w:p>
        </w:tc>
        <w:tc>
          <w:tcPr>
            <w:tcW w:w="1093" w:type="dxa"/>
            <w:tcBorders>
              <w:top w:val="single" w:color="auto" w:sz="4" w:space="0"/>
              <w:left w:val="single" w:color="auto" w:sz="4" w:space="0"/>
              <w:bottom w:val="single" w:color="auto" w:sz="4" w:space="0"/>
              <w:right w:val="single" w:color="auto" w:sz="4" w:space="0"/>
            </w:tcBorders>
            <w:noWrap/>
            <w:vAlign w:val="center"/>
          </w:tcPr>
          <w:p w14:paraId="3F59DE53">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75B2F861">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6DEFA675">
            <w:pPr>
              <w:pStyle w:val="557"/>
            </w:pPr>
            <w:r>
              <w:rPr>
                <w:rFonts w:hint="eastAsia"/>
              </w:rPr>
              <w:t>0.003842</w:t>
            </w:r>
          </w:p>
        </w:tc>
        <w:tc>
          <w:tcPr>
            <w:tcW w:w="1478" w:type="dxa"/>
            <w:tcBorders>
              <w:top w:val="single" w:color="auto" w:sz="4" w:space="0"/>
              <w:left w:val="single" w:color="auto" w:sz="4" w:space="0"/>
              <w:bottom w:val="single" w:color="auto" w:sz="4" w:space="0"/>
              <w:right w:val="single" w:color="auto" w:sz="4" w:space="0"/>
            </w:tcBorders>
            <w:noWrap/>
            <w:vAlign w:val="center"/>
          </w:tcPr>
          <w:p w14:paraId="1DD1D536">
            <w:pPr>
              <w:pStyle w:val="557"/>
            </w:pPr>
            <w:r>
              <w:rPr>
                <w:rFonts w:hint="eastAsia"/>
              </w:rPr>
              <w:t>230828</w:t>
            </w:r>
          </w:p>
        </w:tc>
        <w:tc>
          <w:tcPr>
            <w:tcW w:w="1093" w:type="dxa"/>
            <w:tcBorders>
              <w:top w:val="single" w:color="auto" w:sz="4" w:space="0"/>
              <w:left w:val="single" w:color="auto" w:sz="4" w:space="0"/>
              <w:bottom w:val="single" w:color="auto" w:sz="4" w:space="0"/>
              <w:right w:val="single" w:color="auto" w:sz="4" w:space="0"/>
            </w:tcBorders>
            <w:noWrap/>
            <w:vAlign w:val="center"/>
          </w:tcPr>
          <w:p w14:paraId="15ED3217">
            <w:pPr>
              <w:pStyle w:val="557"/>
            </w:pPr>
            <w:r>
              <w:rPr>
                <w:rFonts w:hint="eastAsia"/>
              </w:rPr>
              <w:t>0.08</w:t>
            </w:r>
          </w:p>
        </w:tc>
        <w:tc>
          <w:tcPr>
            <w:tcW w:w="1093" w:type="dxa"/>
            <w:tcBorders>
              <w:top w:val="single" w:color="auto" w:sz="4" w:space="0"/>
              <w:left w:val="single" w:color="auto" w:sz="4" w:space="0"/>
              <w:bottom w:val="single" w:color="auto" w:sz="4" w:space="0"/>
              <w:right w:val="single" w:color="auto" w:sz="4" w:space="0"/>
            </w:tcBorders>
            <w:noWrap/>
            <w:vAlign w:val="center"/>
          </w:tcPr>
          <w:p w14:paraId="47A75C0B">
            <w:pPr>
              <w:pStyle w:val="557"/>
            </w:pPr>
            <w:r>
              <w:rPr>
                <w:rFonts w:hint="eastAsia"/>
              </w:rPr>
              <w:t>4.8</w:t>
            </w:r>
          </w:p>
        </w:tc>
        <w:tc>
          <w:tcPr>
            <w:tcW w:w="1093" w:type="dxa"/>
            <w:tcBorders>
              <w:top w:val="single" w:color="auto" w:sz="4" w:space="0"/>
              <w:left w:val="single" w:color="auto" w:sz="4" w:space="0"/>
              <w:bottom w:val="single" w:color="auto" w:sz="4" w:space="0"/>
              <w:right w:val="single" w:color="auto" w:sz="4" w:space="0"/>
            </w:tcBorders>
            <w:noWrap/>
            <w:vAlign w:val="center"/>
          </w:tcPr>
          <w:p w14:paraId="7A82FAF8">
            <w:pPr>
              <w:pStyle w:val="557"/>
            </w:pPr>
            <w:r>
              <w:rPr>
                <w:rFonts w:hint="eastAsia"/>
              </w:rPr>
              <w:t>达标</w:t>
            </w:r>
          </w:p>
        </w:tc>
      </w:tr>
      <w:tr w14:paraId="35BF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54F643CF">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06944FBE">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02C3E2F3">
            <w:pPr>
              <w:pStyle w:val="557"/>
            </w:pPr>
            <w:r>
              <w:rPr>
                <w:rFonts w:hint="eastAsia"/>
              </w:rPr>
              <w:t>-500,100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2FE63D39">
            <w:pPr>
              <w:pStyle w:val="557"/>
            </w:pPr>
            <w:r>
              <w:rPr>
                <w:rFonts w:hint="eastAsia"/>
              </w:rPr>
              <w:t>687.9</w:t>
            </w:r>
          </w:p>
        </w:tc>
        <w:tc>
          <w:tcPr>
            <w:tcW w:w="1093" w:type="dxa"/>
            <w:tcBorders>
              <w:top w:val="single" w:color="auto" w:sz="4" w:space="0"/>
              <w:left w:val="single" w:color="auto" w:sz="4" w:space="0"/>
              <w:bottom w:val="single" w:color="auto" w:sz="4" w:space="0"/>
              <w:right w:val="single" w:color="auto" w:sz="4" w:space="0"/>
            </w:tcBorders>
            <w:noWrap/>
            <w:vAlign w:val="center"/>
          </w:tcPr>
          <w:p w14:paraId="2EC78F59">
            <w:pPr>
              <w:pStyle w:val="557"/>
            </w:pPr>
            <w:r>
              <w:rPr>
                <w:rFonts w:hint="eastAsia"/>
              </w:rPr>
              <w:t>687.9</w:t>
            </w:r>
          </w:p>
        </w:tc>
        <w:tc>
          <w:tcPr>
            <w:tcW w:w="1093" w:type="dxa"/>
            <w:tcBorders>
              <w:top w:val="single" w:color="auto" w:sz="4" w:space="0"/>
              <w:left w:val="single" w:color="auto" w:sz="4" w:space="0"/>
              <w:bottom w:val="single" w:color="auto" w:sz="4" w:space="0"/>
              <w:right w:val="single" w:color="auto" w:sz="4" w:space="0"/>
            </w:tcBorders>
            <w:noWrap/>
            <w:vAlign w:val="center"/>
          </w:tcPr>
          <w:p w14:paraId="38D3196E">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5837179">
            <w:pPr>
              <w:pStyle w:val="557"/>
            </w:pPr>
            <w:r>
              <w:rPr>
                <w:rFonts w:hint="eastAsia"/>
              </w:rPr>
              <w:t>年平均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6EA4E0A2">
            <w:pPr>
              <w:pStyle w:val="557"/>
            </w:pPr>
            <w:r>
              <w:rPr>
                <w:rFonts w:hint="eastAsia"/>
              </w:rPr>
              <w:t>0.000912</w:t>
            </w:r>
          </w:p>
        </w:tc>
        <w:tc>
          <w:tcPr>
            <w:tcW w:w="1478" w:type="dxa"/>
            <w:tcBorders>
              <w:top w:val="single" w:color="auto" w:sz="4" w:space="0"/>
              <w:left w:val="single" w:color="auto" w:sz="4" w:space="0"/>
              <w:bottom w:val="single" w:color="auto" w:sz="4" w:space="0"/>
              <w:right w:val="single" w:color="auto" w:sz="4" w:space="0"/>
            </w:tcBorders>
            <w:noWrap/>
            <w:vAlign w:val="center"/>
          </w:tcPr>
          <w:p w14:paraId="464A911A">
            <w:pPr>
              <w:pStyle w:val="557"/>
            </w:pPr>
            <w:r>
              <w:rPr>
                <w:rFonts w:hint="eastAsia"/>
              </w:rPr>
              <w:t>平均值</w:t>
            </w:r>
          </w:p>
        </w:tc>
        <w:tc>
          <w:tcPr>
            <w:tcW w:w="1093" w:type="dxa"/>
            <w:tcBorders>
              <w:top w:val="single" w:color="auto" w:sz="4" w:space="0"/>
              <w:left w:val="single" w:color="auto" w:sz="4" w:space="0"/>
              <w:bottom w:val="single" w:color="auto" w:sz="4" w:space="0"/>
              <w:right w:val="single" w:color="auto" w:sz="4" w:space="0"/>
            </w:tcBorders>
            <w:noWrap/>
            <w:vAlign w:val="center"/>
          </w:tcPr>
          <w:p w14:paraId="35AD5BCD">
            <w:pPr>
              <w:pStyle w:val="557"/>
            </w:pPr>
            <w:r>
              <w:rPr>
                <w:rFonts w:hint="eastAsia"/>
              </w:rPr>
              <w:t>0.04</w:t>
            </w:r>
          </w:p>
        </w:tc>
        <w:tc>
          <w:tcPr>
            <w:tcW w:w="1093" w:type="dxa"/>
            <w:tcBorders>
              <w:top w:val="single" w:color="auto" w:sz="4" w:space="0"/>
              <w:left w:val="single" w:color="auto" w:sz="4" w:space="0"/>
              <w:bottom w:val="single" w:color="auto" w:sz="4" w:space="0"/>
              <w:right w:val="single" w:color="auto" w:sz="4" w:space="0"/>
            </w:tcBorders>
            <w:noWrap/>
            <w:vAlign w:val="center"/>
          </w:tcPr>
          <w:p w14:paraId="56A79AA4">
            <w:pPr>
              <w:pStyle w:val="557"/>
            </w:pPr>
            <w:r>
              <w:rPr>
                <w:rFonts w:hint="eastAsia"/>
              </w:rPr>
              <w:t>2.28</w:t>
            </w:r>
          </w:p>
        </w:tc>
        <w:tc>
          <w:tcPr>
            <w:tcW w:w="1093" w:type="dxa"/>
            <w:tcBorders>
              <w:top w:val="single" w:color="auto" w:sz="4" w:space="0"/>
              <w:left w:val="single" w:color="auto" w:sz="4" w:space="0"/>
              <w:bottom w:val="single" w:color="auto" w:sz="4" w:space="0"/>
              <w:right w:val="single" w:color="auto" w:sz="4" w:space="0"/>
            </w:tcBorders>
            <w:noWrap/>
            <w:vAlign w:val="center"/>
          </w:tcPr>
          <w:p w14:paraId="76E4773E">
            <w:pPr>
              <w:pStyle w:val="557"/>
            </w:pPr>
            <w:r>
              <w:rPr>
                <w:rFonts w:hint="eastAsia"/>
              </w:rPr>
              <w:t>达标</w:t>
            </w:r>
          </w:p>
        </w:tc>
      </w:tr>
    </w:tbl>
    <w:p w14:paraId="0CE2001F">
      <w:pPr>
        <w:pStyle w:val="541"/>
        <w:ind w:left="496" w:hanging="496"/>
        <w:rPr>
          <w:rFonts w:hint="eastAsia"/>
        </w:rPr>
      </w:pPr>
    </w:p>
    <w:p w14:paraId="552B512B">
      <w:pPr>
        <w:pStyle w:val="541"/>
        <w:ind w:left="496" w:hanging="496"/>
        <w:rPr>
          <w:rFonts w:hint="eastAsia"/>
        </w:rPr>
      </w:pPr>
      <w:r>
        <w:rPr>
          <w:rFonts w:hint="eastAsia"/>
          <w:spacing w:val="8"/>
        </w:rPr>
        <w:t>表5.2.8-3</w:t>
      </w:r>
      <w:r>
        <w:rPr>
          <w:rFonts w:hint="eastAsia"/>
        </w:rPr>
        <w:t xml:space="preserve">    PM</w:t>
      </w:r>
      <w:r>
        <w:rPr>
          <w:rFonts w:hint="eastAsia"/>
          <w:vertAlign w:val="subscript"/>
        </w:rPr>
        <w:t>10</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2BC5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79D5C964">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199BFB50">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1004FAD1">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2A16D3BB">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48C5826D">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C29731A">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D318EAD">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313B61B5">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4E2034F2">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449BF9BC">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2EC888A0">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5E2E281B">
            <w:pPr>
              <w:pStyle w:val="557"/>
            </w:pPr>
            <w:r>
              <w:rPr>
                <w:rFonts w:hint="eastAsia"/>
              </w:rPr>
              <w:t>是否超标</w:t>
            </w:r>
          </w:p>
        </w:tc>
      </w:tr>
      <w:tr w14:paraId="526B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53CC5FC8">
            <w:pPr>
              <w:pStyle w:val="557"/>
            </w:pPr>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628359B1">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6414B390">
            <w:pPr>
              <w:pStyle w:val="557"/>
            </w:pPr>
            <w:r>
              <w:rPr>
                <w:rFonts w:hint="eastAsia"/>
              </w:rPr>
              <w:t>-650,100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09399A78">
            <w:pPr>
              <w:pStyle w:val="557"/>
            </w:pPr>
            <w:r>
              <w:rPr>
                <w:rFonts w:hint="eastAsia"/>
              </w:rPr>
              <w:t>689.8</w:t>
            </w:r>
          </w:p>
        </w:tc>
        <w:tc>
          <w:tcPr>
            <w:tcW w:w="1093" w:type="dxa"/>
            <w:tcBorders>
              <w:top w:val="single" w:color="auto" w:sz="4" w:space="0"/>
              <w:left w:val="single" w:color="auto" w:sz="4" w:space="0"/>
              <w:bottom w:val="single" w:color="auto" w:sz="4" w:space="0"/>
              <w:right w:val="single" w:color="auto" w:sz="4" w:space="0"/>
            </w:tcBorders>
            <w:noWrap/>
            <w:vAlign w:val="center"/>
          </w:tcPr>
          <w:p w14:paraId="01E7AA71">
            <w:pPr>
              <w:pStyle w:val="557"/>
            </w:pPr>
            <w:r>
              <w:rPr>
                <w:rFonts w:hint="eastAsia"/>
              </w:rPr>
              <w:t>689.8</w:t>
            </w:r>
          </w:p>
        </w:tc>
        <w:tc>
          <w:tcPr>
            <w:tcW w:w="1093" w:type="dxa"/>
            <w:tcBorders>
              <w:top w:val="single" w:color="auto" w:sz="4" w:space="0"/>
              <w:left w:val="single" w:color="auto" w:sz="4" w:space="0"/>
              <w:bottom w:val="single" w:color="auto" w:sz="4" w:space="0"/>
              <w:right w:val="single" w:color="auto" w:sz="4" w:space="0"/>
            </w:tcBorders>
            <w:noWrap/>
            <w:vAlign w:val="center"/>
          </w:tcPr>
          <w:p w14:paraId="2F82510C">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356C0258">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0BA2B14E">
            <w:pPr>
              <w:pStyle w:val="557"/>
            </w:pPr>
            <w:r>
              <w:rPr>
                <w:rFonts w:hint="eastAsia"/>
              </w:rPr>
              <w:t>0.005948</w:t>
            </w:r>
          </w:p>
        </w:tc>
        <w:tc>
          <w:tcPr>
            <w:tcW w:w="1478" w:type="dxa"/>
            <w:tcBorders>
              <w:top w:val="single" w:color="auto" w:sz="4" w:space="0"/>
              <w:left w:val="single" w:color="auto" w:sz="4" w:space="0"/>
              <w:bottom w:val="single" w:color="auto" w:sz="4" w:space="0"/>
              <w:right w:val="single" w:color="auto" w:sz="4" w:space="0"/>
            </w:tcBorders>
            <w:noWrap/>
            <w:vAlign w:val="center"/>
          </w:tcPr>
          <w:p w14:paraId="7B78ADD0">
            <w:pPr>
              <w:pStyle w:val="557"/>
            </w:pPr>
            <w:r>
              <w:rPr>
                <w:rFonts w:hint="eastAsia"/>
              </w:rPr>
              <w:t>230828</w:t>
            </w:r>
          </w:p>
        </w:tc>
        <w:tc>
          <w:tcPr>
            <w:tcW w:w="1093" w:type="dxa"/>
            <w:tcBorders>
              <w:top w:val="single" w:color="auto" w:sz="4" w:space="0"/>
              <w:left w:val="single" w:color="auto" w:sz="4" w:space="0"/>
              <w:bottom w:val="single" w:color="auto" w:sz="4" w:space="0"/>
              <w:right w:val="single" w:color="auto" w:sz="4" w:space="0"/>
            </w:tcBorders>
            <w:noWrap/>
            <w:vAlign w:val="center"/>
          </w:tcPr>
          <w:p w14:paraId="5FB0F268">
            <w:pPr>
              <w:pStyle w:val="557"/>
            </w:pPr>
            <w:r>
              <w:rPr>
                <w:rFonts w:hint="eastAsia"/>
              </w:rPr>
              <w:t>0.15</w:t>
            </w:r>
          </w:p>
        </w:tc>
        <w:tc>
          <w:tcPr>
            <w:tcW w:w="1093" w:type="dxa"/>
            <w:tcBorders>
              <w:top w:val="single" w:color="auto" w:sz="4" w:space="0"/>
              <w:left w:val="single" w:color="auto" w:sz="4" w:space="0"/>
              <w:bottom w:val="single" w:color="auto" w:sz="4" w:space="0"/>
              <w:right w:val="single" w:color="auto" w:sz="4" w:space="0"/>
            </w:tcBorders>
            <w:noWrap/>
            <w:vAlign w:val="center"/>
          </w:tcPr>
          <w:p w14:paraId="225064B6">
            <w:pPr>
              <w:pStyle w:val="557"/>
            </w:pPr>
            <w:r>
              <w:rPr>
                <w:rFonts w:hint="eastAsia"/>
              </w:rPr>
              <w:t>3.97</w:t>
            </w:r>
          </w:p>
        </w:tc>
        <w:tc>
          <w:tcPr>
            <w:tcW w:w="1093" w:type="dxa"/>
            <w:tcBorders>
              <w:top w:val="single" w:color="auto" w:sz="4" w:space="0"/>
              <w:left w:val="single" w:color="auto" w:sz="4" w:space="0"/>
              <w:bottom w:val="single" w:color="auto" w:sz="4" w:space="0"/>
              <w:right w:val="single" w:color="auto" w:sz="4" w:space="0"/>
            </w:tcBorders>
            <w:noWrap/>
            <w:vAlign w:val="center"/>
          </w:tcPr>
          <w:p w14:paraId="0134674C">
            <w:pPr>
              <w:pStyle w:val="557"/>
            </w:pPr>
            <w:r>
              <w:rPr>
                <w:rFonts w:hint="eastAsia"/>
              </w:rPr>
              <w:t>达标</w:t>
            </w:r>
          </w:p>
        </w:tc>
      </w:tr>
      <w:tr w14:paraId="0F6A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01EE91B8">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38590095">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49782B93">
            <w:pPr>
              <w:pStyle w:val="557"/>
            </w:pPr>
            <w:r>
              <w:rPr>
                <w:rFonts w:hint="eastAsia"/>
              </w:rPr>
              <w:t>-500,50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222C6FE9">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1DCDF864">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01BED765">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159E09C">
            <w:pPr>
              <w:pStyle w:val="557"/>
            </w:pPr>
            <w:r>
              <w:rPr>
                <w:rFonts w:hint="eastAsia"/>
              </w:rPr>
              <w:t>年平均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400A8CE0">
            <w:pPr>
              <w:pStyle w:val="557"/>
            </w:pPr>
            <w:r>
              <w:rPr>
                <w:rFonts w:hint="eastAsia"/>
              </w:rPr>
              <w:t>0.000999</w:t>
            </w:r>
          </w:p>
        </w:tc>
        <w:tc>
          <w:tcPr>
            <w:tcW w:w="1478" w:type="dxa"/>
            <w:tcBorders>
              <w:top w:val="single" w:color="auto" w:sz="4" w:space="0"/>
              <w:left w:val="single" w:color="auto" w:sz="4" w:space="0"/>
              <w:bottom w:val="single" w:color="auto" w:sz="4" w:space="0"/>
              <w:right w:val="single" w:color="auto" w:sz="4" w:space="0"/>
            </w:tcBorders>
            <w:noWrap/>
            <w:vAlign w:val="center"/>
          </w:tcPr>
          <w:p w14:paraId="6FCB53CD">
            <w:pPr>
              <w:pStyle w:val="557"/>
            </w:pPr>
            <w:r>
              <w:rPr>
                <w:rFonts w:hint="eastAsia"/>
              </w:rPr>
              <w:t>平均值</w:t>
            </w:r>
          </w:p>
        </w:tc>
        <w:tc>
          <w:tcPr>
            <w:tcW w:w="1093" w:type="dxa"/>
            <w:tcBorders>
              <w:top w:val="single" w:color="auto" w:sz="4" w:space="0"/>
              <w:left w:val="single" w:color="auto" w:sz="4" w:space="0"/>
              <w:bottom w:val="single" w:color="auto" w:sz="4" w:space="0"/>
              <w:right w:val="single" w:color="auto" w:sz="4" w:space="0"/>
            </w:tcBorders>
            <w:noWrap/>
            <w:vAlign w:val="center"/>
          </w:tcPr>
          <w:p w14:paraId="665AC4EC">
            <w:pPr>
              <w:pStyle w:val="557"/>
            </w:pPr>
            <w:r>
              <w:rPr>
                <w:rFonts w:hint="eastAsia"/>
              </w:rPr>
              <w:t>0.07</w:t>
            </w:r>
          </w:p>
        </w:tc>
        <w:tc>
          <w:tcPr>
            <w:tcW w:w="1093" w:type="dxa"/>
            <w:tcBorders>
              <w:top w:val="single" w:color="auto" w:sz="4" w:space="0"/>
              <w:left w:val="single" w:color="auto" w:sz="4" w:space="0"/>
              <w:bottom w:val="single" w:color="auto" w:sz="4" w:space="0"/>
              <w:right w:val="single" w:color="auto" w:sz="4" w:space="0"/>
            </w:tcBorders>
            <w:noWrap/>
            <w:vAlign w:val="center"/>
          </w:tcPr>
          <w:p w14:paraId="43418FD7">
            <w:pPr>
              <w:pStyle w:val="557"/>
            </w:pPr>
            <w:r>
              <w:rPr>
                <w:rFonts w:hint="eastAsia"/>
              </w:rPr>
              <w:t>1.43</w:t>
            </w:r>
          </w:p>
        </w:tc>
        <w:tc>
          <w:tcPr>
            <w:tcW w:w="1093" w:type="dxa"/>
            <w:tcBorders>
              <w:top w:val="single" w:color="auto" w:sz="4" w:space="0"/>
              <w:left w:val="single" w:color="auto" w:sz="4" w:space="0"/>
              <w:bottom w:val="single" w:color="auto" w:sz="4" w:space="0"/>
              <w:right w:val="single" w:color="auto" w:sz="4" w:space="0"/>
            </w:tcBorders>
            <w:noWrap/>
            <w:vAlign w:val="center"/>
          </w:tcPr>
          <w:p w14:paraId="4537F97B">
            <w:pPr>
              <w:pStyle w:val="557"/>
            </w:pPr>
            <w:r>
              <w:rPr>
                <w:rFonts w:hint="eastAsia"/>
              </w:rPr>
              <w:t>达标</w:t>
            </w:r>
          </w:p>
        </w:tc>
      </w:tr>
    </w:tbl>
    <w:p w14:paraId="0CEFCF9D">
      <w:pPr>
        <w:pStyle w:val="541"/>
        <w:ind w:left="496" w:hanging="496"/>
        <w:rPr>
          <w:rFonts w:hint="eastAsia"/>
          <w:spacing w:val="8"/>
        </w:rPr>
      </w:pPr>
    </w:p>
    <w:p w14:paraId="66FC754D">
      <w:pPr>
        <w:pStyle w:val="541"/>
        <w:ind w:left="496" w:hanging="496"/>
        <w:rPr>
          <w:rFonts w:hint="eastAsia"/>
        </w:rPr>
      </w:pPr>
      <w:r>
        <w:rPr>
          <w:rFonts w:hint="eastAsia"/>
          <w:spacing w:val="8"/>
        </w:rPr>
        <w:t>表5.2.8-4</w:t>
      </w:r>
      <w:r>
        <w:rPr>
          <w:rFonts w:hint="eastAsia"/>
        </w:rPr>
        <w:t xml:space="preserve">    PM</w:t>
      </w:r>
      <w:r>
        <w:rPr>
          <w:rFonts w:hint="eastAsia"/>
          <w:vertAlign w:val="subscript"/>
        </w:rPr>
        <w:t>2.5</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30F5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7E2CFECF">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1F38445C">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4CA34C52">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2FB3C9E5">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1F552372">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203D8A4F">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73EFAD85">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4CE0C9B1">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66A6673C">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18D36422">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00B51F15">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3F761AFB">
            <w:pPr>
              <w:pStyle w:val="557"/>
            </w:pPr>
            <w:r>
              <w:rPr>
                <w:rFonts w:hint="eastAsia"/>
              </w:rPr>
              <w:t>是否超标</w:t>
            </w:r>
          </w:p>
        </w:tc>
      </w:tr>
      <w:tr w14:paraId="1CE7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6555642D">
            <w:pPr>
              <w:pStyle w:val="557"/>
            </w:pPr>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17F0F94D">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1298C87B">
            <w:pPr>
              <w:pStyle w:val="557"/>
            </w:pPr>
            <w:r>
              <w:rPr>
                <w:rFonts w:hint="eastAsia"/>
              </w:rPr>
              <w:t>-650,100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0A4FD16E">
            <w:pPr>
              <w:pStyle w:val="557"/>
            </w:pPr>
            <w:r>
              <w:rPr>
                <w:rFonts w:hint="eastAsia"/>
              </w:rPr>
              <w:t>689.8</w:t>
            </w:r>
          </w:p>
        </w:tc>
        <w:tc>
          <w:tcPr>
            <w:tcW w:w="1093" w:type="dxa"/>
            <w:tcBorders>
              <w:top w:val="single" w:color="auto" w:sz="4" w:space="0"/>
              <w:left w:val="single" w:color="auto" w:sz="4" w:space="0"/>
              <w:bottom w:val="single" w:color="auto" w:sz="4" w:space="0"/>
              <w:right w:val="single" w:color="auto" w:sz="4" w:space="0"/>
            </w:tcBorders>
            <w:noWrap/>
            <w:vAlign w:val="center"/>
          </w:tcPr>
          <w:p w14:paraId="33222C06">
            <w:pPr>
              <w:pStyle w:val="557"/>
            </w:pPr>
            <w:r>
              <w:rPr>
                <w:rFonts w:hint="eastAsia"/>
              </w:rPr>
              <w:t>689.8</w:t>
            </w:r>
          </w:p>
        </w:tc>
        <w:tc>
          <w:tcPr>
            <w:tcW w:w="1093" w:type="dxa"/>
            <w:tcBorders>
              <w:top w:val="single" w:color="auto" w:sz="4" w:space="0"/>
              <w:left w:val="single" w:color="auto" w:sz="4" w:space="0"/>
              <w:bottom w:val="single" w:color="auto" w:sz="4" w:space="0"/>
              <w:right w:val="single" w:color="auto" w:sz="4" w:space="0"/>
            </w:tcBorders>
            <w:noWrap/>
            <w:vAlign w:val="center"/>
          </w:tcPr>
          <w:p w14:paraId="40FFAB76">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2B619A12">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5A6073F6">
            <w:pPr>
              <w:pStyle w:val="557"/>
            </w:pPr>
            <w:r>
              <w:rPr>
                <w:rFonts w:hint="eastAsia"/>
              </w:rPr>
              <w:t>0.002974</w:t>
            </w:r>
          </w:p>
        </w:tc>
        <w:tc>
          <w:tcPr>
            <w:tcW w:w="1478" w:type="dxa"/>
            <w:tcBorders>
              <w:top w:val="single" w:color="auto" w:sz="4" w:space="0"/>
              <w:left w:val="single" w:color="auto" w:sz="4" w:space="0"/>
              <w:bottom w:val="single" w:color="auto" w:sz="4" w:space="0"/>
              <w:right w:val="single" w:color="auto" w:sz="4" w:space="0"/>
            </w:tcBorders>
            <w:noWrap/>
            <w:vAlign w:val="center"/>
          </w:tcPr>
          <w:p w14:paraId="414D92E3">
            <w:pPr>
              <w:pStyle w:val="557"/>
            </w:pPr>
            <w:r>
              <w:rPr>
                <w:rFonts w:hint="eastAsia"/>
              </w:rPr>
              <w:t>230828</w:t>
            </w:r>
          </w:p>
        </w:tc>
        <w:tc>
          <w:tcPr>
            <w:tcW w:w="1093" w:type="dxa"/>
            <w:tcBorders>
              <w:top w:val="single" w:color="auto" w:sz="4" w:space="0"/>
              <w:left w:val="single" w:color="auto" w:sz="4" w:space="0"/>
              <w:bottom w:val="single" w:color="auto" w:sz="4" w:space="0"/>
              <w:right w:val="single" w:color="auto" w:sz="4" w:space="0"/>
            </w:tcBorders>
            <w:noWrap/>
            <w:vAlign w:val="center"/>
          </w:tcPr>
          <w:p w14:paraId="5808E53B">
            <w:pPr>
              <w:pStyle w:val="557"/>
            </w:pPr>
            <w:r>
              <w:rPr>
                <w:rFonts w:hint="eastAsia"/>
              </w:rPr>
              <w:t>0.075</w:t>
            </w:r>
          </w:p>
        </w:tc>
        <w:tc>
          <w:tcPr>
            <w:tcW w:w="1093" w:type="dxa"/>
            <w:tcBorders>
              <w:top w:val="single" w:color="auto" w:sz="4" w:space="0"/>
              <w:left w:val="single" w:color="auto" w:sz="4" w:space="0"/>
              <w:bottom w:val="single" w:color="auto" w:sz="4" w:space="0"/>
              <w:right w:val="single" w:color="auto" w:sz="4" w:space="0"/>
            </w:tcBorders>
            <w:noWrap/>
            <w:vAlign w:val="center"/>
          </w:tcPr>
          <w:p w14:paraId="684EEF4F">
            <w:pPr>
              <w:pStyle w:val="557"/>
            </w:pPr>
            <w:r>
              <w:rPr>
                <w:rFonts w:hint="eastAsia"/>
              </w:rPr>
              <w:t>3.97</w:t>
            </w:r>
          </w:p>
        </w:tc>
        <w:tc>
          <w:tcPr>
            <w:tcW w:w="1093" w:type="dxa"/>
            <w:tcBorders>
              <w:top w:val="single" w:color="auto" w:sz="4" w:space="0"/>
              <w:left w:val="single" w:color="auto" w:sz="4" w:space="0"/>
              <w:bottom w:val="single" w:color="auto" w:sz="4" w:space="0"/>
              <w:right w:val="single" w:color="auto" w:sz="4" w:space="0"/>
            </w:tcBorders>
            <w:noWrap/>
            <w:vAlign w:val="center"/>
          </w:tcPr>
          <w:p w14:paraId="373F929A">
            <w:pPr>
              <w:pStyle w:val="557"/>
            </w:pPr>
            <w:r>
              <w:rPr>
                <w:rFonts w:hint="eastAsia"/>
              </w:rPr>
              <w:t>达标</w:t>
            </w:r>
          </w:p>
        </w:tc>
      </w:tr>
      <w:tr w14:paraId="6A09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060EDA41">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02D7960E">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23A45188">
            <w:pPr>
              <w:pStyle w:val="557"/>
            </w:pPr>
            <w:r>
              <w:rPr>
                <w:rFonts w:hint="eastAsia"/>
              </w:rPr>
              <w:t>-500,50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71D89BF5">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1DE3F6C6">
            <w:pPr>
              <w:pStyle w:val="557"/>
            </w:pPr>
            <w:r>
              <w:rPr>
                <w:rFonts w:hint="eastAsia"/>
              </w:rPr>
              <w:t>688.4</w:t>
            </w:r>
          </w:p>
        </w:tc>
        <w:tc>
          <w:tcPr>
            <w:tcW w:w="1093" w:type="dxa"/>
            <w:tcBorders>
              <w:top w:val="single" w:color="auto" w:sz="4" w:space="0"/>
              <w:left w:val="single" w:color="auto" w:sz="4" w:space="0"/>
              <w:bottom w:val="single" w:color="auto" w:sz="4" w:space="0"/>
              <w:right w:val="single" w:color="auto" w:sz="4" w:space="0"/>
            </w:tcBorders>
            <w:noWrap/>
            <w:vAlign w:val="center"/>
          </w:tcPr>
          <w:p w14:paraId="4D7ECBA4">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45737E2">
            <w:pPr>
              <w:pStyle w:val="557"/>
            </w:pPr>
            <w:r>
              <w:rPr>
                <w:rFonts w:hint="eastAsia"/>
              </w:rPr>
              <w:t>年平均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7107A2C1">
            <w:pPr>
              <w:pStyle w:val="557"/>
            </w:pPr>
            <w:r>
              <w:rPr>
                <w:rFonts w:hint="eastAsia"/>
              </w:rPr>
              <w:t>0.0005</w:t>
            </w:r>
          </w:p>
        </w:tc>
        <w:tc>
          <w:tcPr>
            <w:tcW w:w="1478" w:type="dxa"/>
            <w:tcBorders>
              <w:top w:val="single" w:color="auto" w:sz="4" w:space="0"/>
              <w:left w:val="single" w:color="auto" w:sz="4" w:space="0"/>
              <w:bottom w:val="single" w:color="auto" w:sz="4" w:space="0"/>
              <w:right w:val="single" w:color="auto" w:sz="4" w:space="0"/>
            </w:tcBorders>
            <w:noWrap/>
            <w:vAlign w:val="center"/>
          </w:tcPr>
          <w:p w14:paraId="4CFBB528">
            <w:pPr>
              <w:pStyle w:val="557"/>
            </w:pPr>
            <w:r>
              <w:rPr>
                <w:rFonts w:hint="eastAsia"/>
              </w:rPr>
              <w:t>平均值</w:t>
            </w:r>
          </w:p>
        </w:tc>
        <w:tc>
          <w:tcPr>
            <w:tcW w:w="1093" w:type="dxa"/>
            <w:tcBorders>
              <w:top w:val="single" w:color="auto" w:sz="4" w:space="0"/>
              <w:left w:val="single" w:color="auto" w:sz="4" w:space="0"/>
              <w:bottom w:val="single" w:color="auto" w:sz="4" w:space="0"/>
              <w:right w:val="single" w:color="auto" w:sz="4" w:space="0"/>
            </w:tcBorders>
            <w:noWrap/>
            <w:vAlign w:val="center"/>
          </w:tcPr>
          <w:p w14:paraId="6F61A0DC">
            <w:pPr>
              <w:pStyle w:val="557"/>
            </w:pPr>
            <w:r>
              <w:rPr>
                <w:rFonts w:hint="eastAsia"/>
              </w:rPr>
              <w:t>0.035</w:t>
            </w:r>
          </w:p>
        </w:tc>
        <w:tc>
          <w:tcPr>
            <w:tcW w:w="1093" w:type="dxa"/>
            <w:tcBorders>
              <w:top w:val="single" w:color="auto" w:sz="4" w:space="0"/>
              <w:left w:val="single" w:color="auto" w:sz="4" w:space="0"/>
              <w:bottom w:val="single" w:color="auto" w:sz="4" w:space="0"/>
              <w:right w:val="single" w:color="auto" w:sz="4" w:space="0"/>
            </w:tcBorders>
            <w:noWrap/>
            <w:vAlign w:val="center"/>
          </w:tcPr>
          <w:p w14:paraId="0F651641">
            <w:pPr>
              <w:pStyle w:val="557"/>
            </w:pPr>
            <w:r>
              <w:rPr>
                <w:rFonts w:hint="eastAsia"/>
              </w:rPr>
              <w:t>1.43</w:t>
            </w:r>
          </w:p>
        </w:tc>
        <w:tc>
          <w:tcPr>
            <w:tcW w:w="1093" w:type="dxa"/>
            <w:tcBorders>
              <w:top w:val="single" w:color="auto" w:sz="4" w:space="0"/>
              <w:left w:val="single" w:color="auto" w:sz="4" w:space="0"/>
              <w:bottom w:val="single" w:color="auto" w:sz="4" w:space="0"/>
              <w:right w:val="single" w:color="auto" w:sz="4" w:space="0"/>
            </w:tcBorders>
            <w:noWrap/>
            <w:vAlign w:val="center"/>
          </w:tcPr>
          <w:p w14:paraId="341378AE">
            <w:pPr>
              <w:pStyle w:val="557"/>
            </w:pPr>
            <w:r>
              <w:rPr>
                <w:rFonts w:hint="eastAsia"/>
              </w:rPr>
              <w:t>达标</w:t>
            </w:r>
          </w:p>
        </w:tc>
      </w:tr>
    </w:tbl>
    <w:p w14:paraId="0A78B2F1">
      <w:pPr>
        <w:pStyle w:val="541"/>
        <w:ind w:left="496" w:hanging="496"/>
        <w:rPr>
          <w:rFonts w:hint="eastAsia"/>
        </w:rPr>
      </w:pPr>
      <w:r>
        <w:rPr>
          <w:rFonts w:hint="eastAsia"/>
          <w:spacing w:val="8"/>
        </w:rPr>
        <w:t>表5.2.8-5    NH</w:t>
      </w:r>
      <w:r>
        <w:rPr>
          <w:rFonts w:hint="eastAsia"/>
          <w:spacing w:val="8"/>
          <w:vertAlign w:val="subscript"/>
        </w:rPr>
        <w:t>3</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6702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53757901">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5CAFF0B5">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64B22552">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214EA544">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6126D973">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2A70F003">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49B477C2">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2B63310F">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175DCF4A">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04E5FE43">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0658028C">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79665CCB">
            <w:pPr>
              <w:pStyle w:val="557"/>
            </w:pPr>
            <w:r>
              <w:rPr>
                <w:rFonts w:hint="eastAsia"/>
              </w:rPr>
              <w:t>是否超标</w:t>
            </w:r>
          </w:p>
        </w:tc>
      </w:tr>
      <w:tr w14:paraId="130B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7212433B">
            <w:pPr>
              <w:pStyle w:val="557"/>
            </w:pPr>
            <w:r>
              <w:rPr>
                <w:rFonts w:hint="eastAsia"/>
              </w:rPr>
              <w:t>1</w:t>
            </w:r>
          </w:p>
        </w:tc>
        <w:tc>
          <w:tcPr>
            <w:tcW w:w="1177" w:type="dxa"/>
            <w:tcBorders>
              <w:top w:val="single" w:color="auto" w:sz="4" w:space="0"/>
              <w:left w:val="single" w:color="auto" w:sz="4" w:space="0"/>
              <w:bottom w:val="single" w:color="auto" w:sz="4" w:space="0"/>
              <w:right w:val="single" w:color="auto" w:sz="4" w:space="0"/>
            </w:tcBorders>
            <w:noWrap/>
            <w:vAlign w:val="center"/>
          </w:tcPr>
          <w:p w14:paraId="41AA360E">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39E8883C">
            <w:pPr>
              <w:pStyle w:val="557"/>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28BF34C6">
            <w:pPr>
              <w:pStyle w:val="557"/>
            </w:pPr>
            <w:r>
              <w:rPr>
                <w:rFonts w:hint="eastAsia"/>
              </w:rPr>
              <w:t>684.4</w:t>
            </w:r>
          </w:p>
        </w:tc>
        <w:tc>
          <w:tcPr>
            <w:tcW w:w="1093" w:type="dxa"/>
            <w:tcBorders>
              <w:top w:val="single" w:color="auto" w:sz="4" w:space="0"/>
              <w:left w:val="single" w:color="auto" w:sz="4" w:space="0"/>
              <w:bottom w:val="single" w:color="auto" w:sz="4" w:space="0"/>
              <w:right w:val="single" w:color="auto" w:sz="4" w:space="0"/>
            </w:tcBorders>
            <w:noWrap/>
            <w:vAlign w:val="center"/>
          </w:tcPr>
          <w:p w14:paraId="4A5854A3">
            <w:pPr>
              <w:pStyle w:val="557"/>
            </w:pPr>
            <w:r>
              <w:rPr>
                <w:rFonts w:hint="eastAsia"/>
              </w:rPr>
              <w:t>684.4</w:t>
            </w:r>
          </w:p>
        </w:tc>
        <w:tc>
          <w:tcPr>
            <w:tcW w:w="1093" w:type="dxa"/>
            <w:tcBorders>
              <w:top w:val="single" w:color="auto" w:sz="4" w:space="0"/>
              <w:left w:val="single" w:color="auto" w:sz="4" w:space="0"/>
              <w:bottom w:val="single" w:color="auto" w:sz="4" w:space="0"/>
              <w:right w:val="single" w:color="auto" w:sz="4" w:space="0"/>
            </w:tcBorders>
            <w:noWrap/>
            <w:vAlign w:val="center"/>
          </w:tcPr>
          <w:p w14:paraId="39B3E0B5">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44C06462">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23D7DB45">
            <w:pPr>
              <w:pStyle w:val="557"/>
            </w:pPr>
            <w:r>
              <w:rPr>
                <w:rFonts w:hint="eastAsia"/>
              </w:rPr>
              <w:t>0.027742</w:t>
            </w:r>
          </w:p>
        </w:tc>
        <w:tc>
          <w:tcPr>
            <w:tcW w:w="1478" w:type="dxa"/>
            <w:tcBorders>
              <w:top w:val="single" w:color="auto" w:sz="4" w:space="0"/>
              <w:left w:val="single" w:color="auto" w:sz="4" w:space="0"/>
              <w:bottom w:val="single" w:color="auto" w:sz="4" w:space="0"/>
              <w:right w:val="single" w:color="auto" w:sz="4" w:space="0"/>
            </w:tcBorders>
            <w:noWrap/>
            <w:vAlign w:val="center"/>
          </w:tcPr>
          <w:p w14:paraId="2B03AD7A">
            <w:pPr>
              <w:pStyle w:val="557"/>
            </w:pPr>
            <w:r>
              <w:rPr>
                <w:rFonts w:hint="eastAsia"/>
              </w:rPr>
              <w:t>23052506</w:t>
            </w:r>
          </w:p>
        </w:tc>
        <w:tc>
          <w:tcPr>
            <w:tcW w:w="1093" w:type="dxa"/>
            <w:tcBorders>
              <w:top w:val="single" w:color="auto" w:sz="4" w:space="0"/>
              <w:left w:val="single" w:color="auto" w:sz="4" w:space="0"/>
              <w:bottom w:val="single" w:color="auto" w:sz="4" w:space="0"/>
              <w:right w:val="single" w:color="auto" w:sz="4" w:space="0"/>
            </w:tcBorders>
            <w:noWrap/>
            <w:vAlign w:val="center"/>
          </w:tcPr>
          <w:p w14:paraId="4722D8C4">
            <w:pPr>
              <w:pStyle w:val="557"/>
            </w:pPr>
            <w:r>
              <w:rPr>
                <w:rFonts w:hint="eastAsia"/>
              </w:rPr>
              <w:t>0.2</w:t>
            </w:r>
          </w:p>
        </w:tc>
        <w:tc>
          <w:tcPr>
            <w:tcW w:w="1093" w:type="dxa"/>
            <w:tcBorders>
              <w:top w:val="single" w:color="auto" w:sz="4" w:space="0"/>
              <w:left w:val="single" w:color="auto" w:sz="4" w:space="0"/>
              <w:bottom w:val="single" w:color="auto" w:sz="4" w:space="0"/>
              <w:right w:val="single" w:color="auto" w:sz="4" w:space="0"/>
            </w:tcBorders>
            <w:noWrap/>
            <w:vAlign w:val="center"/>
          </w:tcPr>
          <w:p w14:paraId="1EE2C0EE">
            <w:pPr>
              <w:pStyle w:val="557"/>
            </w:pPr>
            <w:r>
              <w:rPr>
                <w:rFonts w:hint="eastAsia"/>
              </w:rPr>
              <w:t>13.87</w:t>
            </w:r>
          </w:p>
        </w:tc>
        <w:tc>
          <w:tcPr>
            <w:tcW w:w="1093" w:type="dxa"/>
            <w:tcBorders>
              <w:top w:val="single" w:color="auto" w:sz="4" w:space="0"/>
              <w:left w:val="single" w:color="auto" w:sz="4" w:space="0"/>
              <w:bottom w:val="single" w:color="auto" w:sz="4" w:space="0"/>
              <w:right w:val="single" w:color="auto" w:sz="4" w:space="0"/>
            </w:tcBorders>
            <w:noWrap/>
            <w:vAlign w:val="center"/>
          </w:tcPr>
          <w:p w14:paraId="7C10293F">
            <w:pPr>
              <w:pStyle w:val="557"/>
            </w:pPr>
            <w:r>
              <w:rPr>
                <w:rFonts w:hint="eastAsia"/>
              </w:rPr>
              <w:t>达标</w:t>
            </w:r>
          </w:p>
        </w:tc>
      </w:tr>
    </w:tbl>
    <w:p w14:paraId="362EB3E1">
      <w:pPr>
        <w:pStyle w:val="541"/>
        <w:ind w:left="496" w:hanging="496"/>
        <w:rPr>
          <w:rFonts w:hint="eastAsia"/>
        </w:rPr>
      </w:pPr>
    </w:p>
    <w:p w14:paraId="38B77FC7">
      <w:pPr>
        <w:pStyle w:val="541"/>
        <w:ind w:left="496" w:hanging="496"/>
        <w:rPr>
          <w:rFonts w:hint="eastAsia"/>
        </w:rPr>
      </w:pPr>
      <w:r>
        <w:rPr>
          <w:rFonts w:hint="eastAsia"/>
          <w:spacing w:val="8"/>
        </w:rPr>
        <w:t>表5.2.8-6    H</w:t>
      </w:r>
      <w:r>
        <w:rPr>
          <w:rFonts w:hint="eastAsia"/>
          <w:spacing w:val="8"/>
          <w:vertAlign w:val="subscript"/>
        </w:rPr>
        <w:t>2</w:t>
      </w:r>
      <w:r>
        <w:rPr>
          <w:rFonts w:hint="eastAsia"/>
          <w:spacing w:val="8"/>
        </w:rPr>
        <w:t>S</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1E0A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72ADC23E">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0F01B345">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4F472386">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772AB420">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C4D37C5">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79615C0D">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2715569C">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78A86A1F">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6FFC2417">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370177DF">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4E60870B">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68299373">
            <w:pPr>
              <w:pStyle w:val="557"/>
            </w:pPr>
            <w:r>
              <w:rPr>
                <w:rFonts w:hint="eastAsia"/>
              </w:rPr>
              <w:t>是否超标</w:t>
            </w:r>
          </w:p>
        </w:tc>
      </w:tr>
      <w:tr w14:paraId="0A63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173E1E54">
            <w:pPr>
              <w:pStyle w:val="557"/>
            </w:pPr>
            <w:r>
              <w:rPr>
                <w:rFonts w:hint="eastAsia"/>
              </w:rPr>
              <w:t>1</w:t>
            </w:r>
          </w:p>
        </w:tc>
        <w:tc>
          <w:tcPr>
            <w:tcW w:w="1177" w:type="dxa"/>
            <w:tcBorders>
              <w:top w:val="single" w:color="auto" w:sz="4" w:space="0"/>
              <w:left w:val="single" w:color="auto" w:sz="4" w:space="0"/>
              <w:bottom w:val="single" w:color="auto" w:sz="4" w:space="0"/>
              <w:right w:val="single" w:color="auto" w:sz="4" w:space="0"/>
            </w:tcBorders>
            <w:noWrap/>
            <w:vAlign w:val="center"/>
          </w:tcPr>
          <w:p w14:paraId="451E2919">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311B80D8">
            <w:pPr>
              <w:pStyle w:val="557"/>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072AB35E">
            <w:pPr>
              <w:pStyle w:val="557"/>
            </w:pPr>
            <w:r>
              <w:rPr>
                <w:rFonts w:hint="eastAsia"/>
              </w:rPr>
              <w:t>684.4</w:t>
            </w:r>
          </w:p>
        </w:tc>
        <w:tc>
          <w:tcPr>
            <w:tcW w:w="1093" w:type="dxa"/>
            <w:tcBorders>
              <w:top w:val="single" w:color="auto" w:sz="4" w:space="0"/>
              <w:left w:val="single" w:color="auto" w:sz="4" w:space="0"/>
              <w:bottom w:val="single" w:color="auto" w:sz="4" w:space="0"/>
              <w:right w:val="single" w:color="auto" w:sz="4" w:space="0"/>
            </w:tcBorders>
            <w:noWrap/>
            <w:vAlign w:val="center"/>
          </w:tcPr>
          <w:p w14:paraId="0C2FC8E9">
            <w:pPr>
              <w:pStyle w:val="557"/>
            </w:pPr>
            <w:r>
              <w:rPr>
                <w:rFonts w:hint="eastAsia"/>
              </w:rPr>
              <w:t>684.4</w:t>
            </w:r>
          </w:p>
        </w:tc>
        <w:tc>
          <w:tcPr>
            <w:tcW w:w="1093" w:type="dxa"/>
            <w:tcBorders>
              <w:top w:val="single" w:color="auto" w:sz="4" w:space="0"/>
              <w:left w:val="single" w:color="auto" w:sz="4" w:space="0"/>
              <w:bottom w:val="single" w:color="auto" w:sz="4" w:space="0"/>
              <w:right w:val="single" w:color="auto" w:sz="4" w:space="0"/>
            </w:tcBorders>
            <w:noWrap/>
            <w:vAlign w:val="center"/>
          </w:tcPr>
          <w:p w14:paraId="203B491F">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D70DFC3">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0E4509D8">
            <w:pPr>
              <w:pStyle w:val="557"/>
            </w:pPr>
            <w:r>
              <w:rPr>
                <w:rFonts w:hint="eastAsia"/>
              </w:rPr>
              <w:t>0.006936</w:t>
            </w:r>
          </w:p>
        </w:tc>
        <w:tc>
          <w:tcPr>
            <w:tcW w:w="1478" w:type="dxa"/>
            <w:tcBorders>
              <w:top w:val="single" w:color="auto" w:sz="4" w:space="0"/>
              <w:left w:val="single" w:color="auto" w:sz="4" w:space="0"/>
              <w:bottom w:val="single" w:color="auto" w:sz="4" w:space="0"/>
              <w:right w:val="single" w:color="auto" w:sz="4" w:space="0"/>
            </w:tcBorders>
            <w:noWrap/>
            <w:vAlign w:val="center"/>
          </w:tcPr>
          <w:p w14:paraId="09975A52">
            <w:pPr>
              <w:pStyle w:val="557"/>
            </w:pPr>
            <w:r>
              <w:rPr>
                <w:rFonts w:hint="eastAsia"/>
              </w:rPr>
              <w:t>23052506</w:t>
            </w:r>
          </w:p>
        </w:tc>
        <w:tc>
          <w:tcPr>
            <w:tcW w:w="1093" w:type="dxa"/>
            <w:tcBorders>
              <w:top w:val="single" w:color="auto" w:sz="4" w:space="0"/>
              <w:left w:val="single" w:color="auto" w:sz="4" w:space="0"/>
              <w:bottom w:val="single" w:color="auto" w:sz="4" w:space="0"/>
              <w:right w:val="single" w:color="auto" w:sz="4" w:space="0"/>
            </w:tcBorders>
            <w:noWrap/>
            <w:vAlign w:val="center"/>
          </w:tcPr>
          <w:p w14:paraId="0E70ADC5">
            <w:pPr>
              <w:pStyle w:val="557"/>
            </w:pPr>
            <w:r>
              <w:rPr>
                <w:rFonts w:hint="eastAsia"/>
              </w:rPr>
              <w:t>0.01</w:t>
            </w:r>
          </w:p>
        </w:tc>
        <w:tc>
          <w:tcPr>
            <w:tcW w:w="1093" w:type="dxa"/>
            <w:tcBorders>
              <w:top w:val="single" w:color="auto" w:sz="4" w:space="0"/>
              <w:left w:val="single" w:color="auto" w:sz="4" w:space="0"/>
              <w:bottom w:val="single" w:color="auto" w:sz="4" w:space="0"/>
              <w:right w:val="single" w:color="auto" w:sz="4" w:space="0"/>
            </w:tcBorders>
            <w:noWrap/>
            <w:vAlign w:val="center"/>
          </w:tcPr>
          <w:p w14:paraId="13C717F7">
            <w:pPr>
              <w:pStyle w:val="557"/>
            </w:pPr>
            <w:r>
              <w:rPr>
                <w:rFonts w:hint="eastAsia"/>
              </w:rPr>
              <w:t>69.36</w:t>
            </w:r>
          </w:p>
        </w:tc>
        <w:tc>
          <w:tcPr>
            <w:tcW w:w="1093" w:type="dxa"/>
            <w:tcBorders>
              <w:top w:val="single" w:color="auto" w:sz="4" w:space="0"/>
              <w:left w:val="single" w:color="auto" w:sz="4" w:space="0"/>
              <w:bottom w:val="single" w:color="auto" w:sz="4" w:space="0"/>
              <w:right w:val="single" w:color="auto" w:sz="4" w:space="0"/>
            </w:tcBorders>
            <w:noWrap/>
            <w:vAlign w:val="center"/>
          </w:tcPr>
          <w:p w14:paraId="57EF1773">
            <w:pPr>
              <w:pStyle w:val="557"/>
            </w:pPr>
            <w:r>
              <w:rPr>
                <w:rFonts w:hint="eastAsia"/>
              </w:rPr>
              <w:t>达标</w:t>
            </w:r>
          </w:p>
        </w:tc>
      </w:tr>
    </w:tbl>
    <w:p w14:paraId="26C6EDD6">
      <w:pPr>
        <w:pStyle w:val="541"/>
        <w:ind w:left="496" w:hanging="496"/>
        <w:rPr>
          <w:rFonts w:hint="eastAsia"/>
        </w:rPr>
      </w:pPr>
    </w:p>
    <w:p w14:paraId="389EECD4">
      <w:pPr>
        <w:pStyle w:val="541"/>
        <w:ind w:left="496" w:hanging="496"/>
        <w:rPr>
          <w:rFonts w:hint="eastAsia"/>
        </w:rPr>
      </w:pPr>
      <w:r>
        <w:rPr>
          <w:rFonts w:hint="eastAsia"/>
          <w:spacing w:val="8"/>
        </w:rPr>
        <w:t>表5.2.8-7    NMHC</w:t>
      </w:r>
      <w:r>
        <w:rPr>
          <w:rFonts w:hint="eastAsia"/>
        </w:rPr>
        <w:t>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3589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43F062CC">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780B0785">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5A2C6A3B">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74F44F71">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B98A579">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0A1103E1">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49CE77F3">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10DC7B60">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7575BA09">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406ED2E5">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769D7D1F">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12D5F79D">
            <w:pPr>
              <w:pStyle w:val="557"/>
            </w:pPr>
            <w:r>
              <w:rPr>
                <w:rFonts w:hint="eastAsia"/>
              </w:rPr>
              <w:t>是否超标</w:t>
            </w:r>
          </w:p>
        </w:tc>
      </w:tr>
      <w:tr w14:paraId="7CBB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647E5A65">
            <w:pPr>
              <w:pStyle w:val="557"/>
            </w:pPr>
            <w:r>
              <w:rPr>
                <w:rFonts w:hint="eastAsia"/>
              </w:rPr>
              <w:t>1</w:t>
            </w:r>
          </w:p>
        </w:tc>
        <w:tc>
          <w:tcPr>
            <w:tcW w:w="1177" w:type="dxa"/>
            <w:tcBorders>
              <w:top w:val="single" w:color="auto" w:sz="4" w:space="0"/>
              <w:left w:val="single" w:color="auto" w:sz="4" w:space="0"/>
              <w:bottom w:val="single" w:color="auto" w:sz="4" w:space="0"/>
              <w:right w:val="single" w:color="auto" w:sz="4" w:space="0"/>
            </w:tcBorders>
            <w:noWrap/>
            <w:vAlign w:val="center"/>
          </w:tcPr>
          <w:p w14:paraId="5E5EC1DC">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744007B6">
            <w:pPr>
              <w:pStyle w:val="557"/>
            </w:pPr>
            <w:r>
              <w:rPr>
                <w:rFonts w:hint="eastAsia"/>
              </w:rPr>
              <w:t>50,50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5774B572">
            <w:pPr>
              <w:pStyle w:val="557"/>
            </w:pPr>
            <w:r>
              <w:rPr>
                <w:rFonts w:hint="eastAsia"/>
              </w:rPr>
              <w:t>686</w:t>
            </w:r>
          </w:p>
        </w:tc>
        <w:tc>
          <w:tcPr>
            <w:tcW w:w="1093" w:type="dxa"/>
            <w:tcBorders>
              <w:top w:val="single" w:color="auto" w:sz="4" w:space="0"/>
              <w:left w:val="single" w:color="auto" w:sz="4" w:space="0"/>
              <w:bottom w:val="single" w:color="auto" w:sz="4" w:space="0"/>
              <w:right w:val="single" w:color="auto" w:sz="4" w:space="0"/>
            </w:tcBorders>
            <w:noWrap/>
            <w:vAlign w:val="center"/>
          </w:tcPr>
          <w:p w14:paraId="3361B8A5">
            <w:pPr>
              <w:pStyle w:val="557"/>
            </w:pPr>
            <w:r>
              <w:rPr>
                <w:rFonts w:hint="eastAsia"/>
              </w:rPr>
              <w:t>686</w:t>
            </w:r>
          </w:p>
        </w:tc>
        <w:tc>
          <w:tcPr>
            <w:tcW w:w="1093" w:type="dxa"/>
            <w:tcBorders>
              <w:top w:val="single" w:color="auto" w:sz="4" w:space="0"/>
              <w:left w:val="single" w:color="auto" w:sz="4" w:space="0"/>
              <w:bottom w:val="single" w:color="auto" w:sz="4" w:space="0"/>
              <w:right w:val="single" w:color="auto" w:sz="4" w:space="0"/>
            </w:tcBorders>
            <w:noWrap/>
            <w:vAlign w:val="center"/>
          </w:tcPr>
          <w:p w14:paraId="46F570CD">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50F540AA">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6BBE8B94">
            <w:pPr>
              <w:pStyle w:val="557"/>
            </w:pPr>
            <w:r>
              <w:rPr>
                <w:rFonts w:hint="eastAsia"/>
              </w:rPr>
              <w:t>1.071212</w:t>
            </w:r>
          </w:p>
        </w:tc>
        <w:tc>
          <w:tcPr>
            <w:tcW w:w="1478" w:type="dxa"/>
            <w:tcBorders>
              <w:top w:val="single" w:color="auto" w:sz="4" w:space="0"/>
              <w:left w:val="single" w:color="auto" w:sz="4" w:space="0"/>
              <w:bottom w:val="single" w:color="auto" w:sz="4" w:space="0"/>
              <w:right w:val="single" w:color="auto" w:sz="4" w:space="0"/>
            </w:tcBorders>
            <w:noWrap/>
            <w:vAlign w:val="center"/>
          </w:tcPr>
          <w:p w14:paraId="07FD9418">
            <w:pPr>
              <w:pStyle w:val="557"/>
            </w:pPr>
            <w:r>
              <w:rPr>
                <w:rFonts w:hint="eastAsia"/>
              </w:rPr>
              <w:t>23052506</w:t>
            </w:r>
          </w:p>
        </w:tc>
        <w:tc>
          <w:tcPr>
            <w:tcW w:w="1093" w:type="dxa"/>
            <w:tcBorders>
              <w:top w:val="single" w:color="auto" w:sz="4" w:space="0"/>
              <w:left w:val="single" w:color="auto" w:sz="4" w:space="0"/>
              <w:bottom w:val="single" w:color="auto" w:sz="4" w:space="0"/>
              <w:right w:val="single" w:color="auto" w:sz="4" w:space="0"/>
            </w:tcBorders>
            <w:noWrap/>
            <w:vAlign w:val="center"/>
          </w:tcPr>
          <w:p w14:paraId="262722C7">
            <w:pPr>
              <w:pStyle w:val="557"/>
            </w:pPr>
            <w:r>
              <w:rPr>
                <w:rFonts w:hint="eastAsia"/>
              </w:rPr>
              <w:t>2</w:t>
            </w:r>
          </w:p>
        </w:tc>
        <w:tc>
          <w:tcPr>
            <w:tcW w:w="1093" w:type="dxa"/>
            <w:tcBorders>
              <w:top w:val="single" w:color="auto" w:sz="4" w:space="0"/>
              <w:left w:val="single" w:color="auto" w:sz="4" w:space="0"/>
              <w:bottom w:val="single" w:color="auto" w:sz="4" w:space="0"/>
              <w:right w:val="single" w:color="auto" w:sz="4" w:space="0"/>
            </w:tcBorders>
            <w:noWrap/>
            <w:vAlign w:val="center"/>
          </w:tcPr>
          <w:p w14:paraId="466DFFC3">
            <w:pPr>
              <w:pStyle w:val="557"/>
            </w:pPr>
            <w:r>
              <w:rPr>
                <w:rFonts w:hint="eastAsia"/>
              </w:rPr>
              <w:t>53.56</w:t>
            </w:r>
          </w:p>
        </w:tc>
        <w:tc>
          <w:tcPr>
            <w:tcW w:w="1093" w:type="dxa"/>
            <w:tcBorders>
              <w:top w:val="single" w:color="auto" w:sz="4" w:space="0"/>
              <w:left w:val="single" w:color="auto" w:sz="4" w:space="0"/>
              <w:bottom w:val="single" w:color="auto" w:sz="4" w:space="0"/>
              <w:right w:val="single" w:color="auto" w:sz="4" w:space="0"/>
            </w:tcBorders>
            <w:noWrap/>
            <w:vAlign w:val="center"/>
          </w:tcPr>
          <w:p w14:paraId="04F9C305">
            <w:pPr>
              <w:pStyle w:val="557"/>
            </w:pPr>
            <w:r>
              <w:rPr>
                <w:rFonts w:hint="eastAsia"/>
              </w:rPr>
              <w:t>达标</w:t>
            </w:r>
          </w:p>
        </w:tc>
      </w:tr>
    </w:tbl>
    <w:p w14:paraId="38CD4908">
      <w:pPr>
        <w:pStyle w:val="541"/>
        <w:ind w:left="496" w:hanging="496"/>
        <w:rPr>
          <w:rFonts w:hint="eastAsia"/>
        </w:rPr>
      </w:pPr>
    </w:p>
    <w:p w14:paraId="36777C2B">
      <w:pPr>
        <w:pStyle w:val="541"/>
        <w:ind w:left="496" w:hanging="496"/>
        <w:rPr>
          <w:rFonts w:hint="eastAsia"/>
        </w:rPr>
      </w:pPr>
      <w:r>
        <w:rPr>
          <w:rFonts w:hint="eastAsia"/>
          <w:spacing w:val="8"/>
        </w:rPr>
        <w:t>表5.2.8-8</w:t>
      </w:r>
      <w:r>
        <w:rPr>
          <w:rFonts w:hint="eastAsia"/>
        </w:rPr>
        <w:t xml:space="preserve">    甲醇最大落地浓度贡献值及其发生的时间统计一览表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2D5A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20E3434E">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4999DE54">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2EF311EF">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3E03DA5C">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4DCE1C6">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18CE476B">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3C968938">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761B0FC5">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0738DE06">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2BAA3D8F">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3D086553">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0623FAD8">
            <w:pPr>
              <w:pStyle w:val="557"/>
            </w:pPr>
            <w:r>
              <w:rPr>
                <w:rFonts w:hint="eastAsia"/>
              </w:rPr>
              <w:t>是否超标</w:t>
            </w:r>
          </w:p>
        </w:tc>
      </w:tr>
      <w:tr w14:paraId="678F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15575086">
            <w:pPr>
              <w:pStyle w:val="557"/>
            </w:pPr>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51B8F228">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3F2EBB54">
            <w:pPr>
              <w:pStyle w:val="557"/>
            </w:pPr>
            <w:r>
              <w:rPr>
                <w:rFonts w:hint="eastAsia"/>
              </w:rPr>
              <w:t>200,150</w:t>
            </w:r>
          </w:p>
        </w:tc>
        <w:tc>
          <w:tcPr>
            <w:tcW w:w="1094" w:type="dxa"/>
            <w:tcBorders>
              <w:top w:val="single" w:color="auto" w:sz="4" w:space="0"/>
              <w:left w:val="single" w:color="auto" w:sz="4" w:space="0"/>
              <w:bottom w:val="single" w:color="auto" w:sz="4" w:space="0"/>
              <w:right w:val="single" w:color="auto" w:sz="4" w:space="0"/>
            </w:tcBorders>
            <w:noWrap/>
            <w:vAlign w:val="center"/>
          </w:tcPr>
          <w:p w14:paraId="7ED55456">
            <w:pPr>
              <w:pStyle w:val="557"/>
            </w:pPr>
            <w:r>
              <w:rPr>
                <w:rFonts w:hint="eastAsia"/>
              </w:rPr>
              <w:t>685.9</w:t>
            </w:r>
          </w:p>
        </w:tc>
        <w:tc>
          <w:tcPr>
            <w:tcW w:w="1093" w:type="dxa"/>
            <w:tcBorders>
              <w:top w:val="single" w:color="auto" w:sz="4" w:space="0"/>
              <w:left w:val="single" w:color="auto" w:sz="4" w:space="0"/>
              <w:bottom w:val="single" w:color="auto" w:sz="4" w:space="0"/>
              <w:right w:val="single" w:color="auto" w:sz="4" w:space="0"/>
            </w:tcBorders>
            <w:noWrap/>
            <w:vAlign w:val="center"/>
          </w:tcPr>
          <w:p w14:paraId="59116ABD">
            <w:pPr>
              <w:pStyle w:val="557"/>
            </w:pPr>
            <w:r>
              <w:rPr>
                <w:rFonts w:hint="eastAsia"/>
              </w:rPr>
              <w:t>685.9</w:t>
            </w:r>
          </w:p>
        </w:tc>
        <w:tc>
          <w:tcPr>
            <w:tcW w:w="1093" w:type="dxa"/>
            <w:tcBorders>
              <w:top w:val="single" w:color="auto" w:sz="4" w:space="0"/>
              <w:left w:val="single" w:color="auto" w:sz="4" w:space="0"/>
              <w:bottom w:val="single" w:color="auto" w:sz="4" w:space="0"/>
              <w:right w:val="single" w:color="auto" w:sz="4" w:space="0"/>
            </w:tcBorders>
            <w:noWrap/>
            <w:vAlign w:val="center"/>
          </w:tcPr>
          <w:p w14:paraId="0C38CC79">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7A090270">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46AF83A4">
            <w:pPr>
              <w:pStyle w:val="557"/>
            </w:pPr>
            <w:r>
              <w:rPr>
                <w:rFonts w:hint="eastAsia"/>
              </w:rPr>
              <w:t>0.012449</w:t>
            </w:r>
          </w:p>
        </w:tc>
        <w:tc>
          <w:tcPr>
            <w:tcW w:w="1478" w:type="dxa"/>
            <w:tcBorders>
              <w:top w:val="single" w:color="auto" w:sz="4" w:space="0"/>
              <w:left w:val="single" w:color="auto" w:sz="4" w:space="0"/>
              <w:bottom w:val="single" w:color="auto" w:sz="4" w:space="0"/>
              <w:right w:val="single" w:color="auto" w:sz="4" w:space="0"/>
            </w:tcBorders>
            <w:noWrap/>
            <w:vAlign w:val="center"/>
          </w:tcPr>
          <w:p w14:paraId="5659F548">
            <w:pPr>
              <w:pStyle w:val="557"/>
            </w:pPr>
            <w:r>
              <w:rPr>
                <w:rFonts w:hint="eastAsia"/>
              </w:rPr>
              <w:t>23073106</w:t>
            </w:r>
          </w:p>
        </w:tc>
        <w:tc>
          <w:tcPr>
            <w:tcW w:w="1093" w:type="dxa"/>
            <w:tcBorders>
              <w:top w:val="single" w:color="auto" w:sz="4" w:space="0"/>
              <w:left w:val="single" w:color="auto" w:sz="4" w:space="0"/>
              <w:bottom w:val="single" w:color="auto" w:sz="4" w:space="0"/>
              <w:right w:val="single" w:color="auto" w:sz="4" w:space="0"/>
            </w:tcBorders>
            <w:noWrap/>
            <w:vAlign w:val="center"/>
          </w:tcPr>
          <w:p w14:paraId="5423A8AA">
            <w:pPr>
              <w:pStyle w:val="557"/>
            </w:pPr>
            <w:r>
              <w:rPr>
                <w:rFonts w:hint="eastAsia"/>
              </w:rPr>
              <w:t>3</w:t>
            </w:r>
          </w:p>
        </w:tc>
        <w:tc>
          <w:tcPr>
            <w:tcW w:w="1093" w:type="dxa"/>
            <w:tcBorders>
              <w:top w:val="single" w:color="auto" w:sz="4" w:space="0"/>
              <w:left w:val="single" w:color="auto" w:sz="4" w:space="0"/>
              <w:bottom w:val="single" w:color="auto" w:sz="4" w:space="0"/>
              <w:right w:val="single" w:color="auto" w:sz="4" w:space="0"/>
            </w:tcBorders>
            <w:noWrap/>
            <w:vAlign w:val="center"/>
          </w:tcPr>
          <w:p w14:paraId="770A75F8">
            <w:pPr>
              <w:pStyle w:val="557"/>
            </w:pPr>
            <w:r>
              <w:rPr>
                <w:rFonts w:hint="eastAsia"/>
              </w:rPr>
              <w:t>0.41</w:t>
            </w:r>
          </w:p>
        </w:tc>
        <w:tc>
          <w:tcPr>
            <w:tcW w:w="1093" w:type="dxa"/>
            <w:tcBorders>
              <w:top w:val="single" w:color="auto" w:sz="4" w:space="0"/>
              <w:left w:val="single" w:color="auto" w:sz="4" w:space="0"/>
              <w:bottom w:val="single" w:color="auto" w:sz="4" w:space="0"/>
              <w:right w:val="single" w:color="auto" w:sz="4" w:space="0"/>
            </w:tcBorders>
            <w:noWrap/>
            <w:vAlign w:val="center"/>
          </w:tcPr>
          <w:p w14:paraId="675CA0BB">
            <w:pPr>
              <w:pStyle w:val="557"/>
            </w:pPr>
            <w:r>
              <w:rPr>
                <w:rFonts w:hint="eastAsia"/>
              </w:rPr>
              <w:t>达标</w:t>
            </w:r>
          </w:p>
        </w:tc>
      </w:tr>
      <w:tr w14:paraId="2506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74FF94B3">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0BF89B47">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5B69BD32">
            <w:pPr>
              <w:pStyle w:val="557"/>
            </w:pPr>
            <w:r>
              <w:rPr>
                <w:rFonts w:hint="eastAsia"/>
              </w:rPr>
              <w:t>200,150</w:t>
            </w:r>
          </w:p>
        </w:tc>
        <w:tc>
          <w:tcPr>
            <w:tcW w:w="1094" w:type="dxa"/>
            <w:tcBorders>
              <w:top w:val="single" w:color="auto" w:sz="4" w:space="0"/>
              <w:left w:val="single" w:color="auto" w:sz="4" w:space="0"/>
              <w:bottom w:val="single" w:color="auto" w:sz="4" w:space="0"/>
              <w:right w:val="single" w:color="auto" w:sz="4" w:space="0"/>
            </w:tcBorders>
            <w:noWrap/>
            <w:vAlign w:val="center"/>
          </w:tcPr>
          <w:p w14:paraId="028C0F2B">
            <w:pPr>
              <w:pStyle w:val="557"/>
            </w:pPr>
            <w:r>
              <w:rPr>
                <w:rFonts w:hint="eastAsia"/>
              </w:rPr>
              <w:t>685.9</w:t>
            </w:r>
          </w:p>
        </w:tc>
        <w:tc>
          <w:tcPr>
            <w:tcW w:w="1093" w:type="dxa"/>
            <w:tcBorders>
              <w:top w:val="single" w:color="auto" w:sz="4" w:space="0"/>
              <w:left w:val="single" w:color="auto" w:sz="4" w:space="0"/>
              <w:bottom w:val="single" w:color="auto" w:sz="4" w:space="0"/>
              <w:right w:val="single" w:color="auto" w:sz="4" w:space="0"/>
            </w:tcBorders>
            <w:noWrap/>
            <w:vAlign w:val="center"/>
          </w:tcPr>
          <w:p w14:paraId="522E9C97">
            <w:pPr>
              <w:pStyle w:val="557"/>
            </w:pPr>
            <w:r>
              <w:rPr>
                <w:rFonts w:hint="eastAsia"/>
              </w:rPr>
              <w:t>685.9</w:t>
            </w:r>
          </w:p>
        </w:tc>
        <w:tc>
          <w:tcPr>
            <w:tcW w:w="1093" w:type="dxa"/>
            <w:tcBorders>
              <w:top w:val="single" w:color="auto" w:sz="4" w:space="0"/>
              <w:left w:val="single" w:color="auto" w:sz="4" w:space="0"/>
              <w:bottom w:val="single" w:color="auto" w:sz="4" w:space="0"/>
              <w:right w:val="single" w:color="auto" w:sz="4" w:space="0"/>
            </w:tcBorders>
            <w:noWrap/>
            <w:vAlign w:val="center"/>
          </w:tcPr>
          <w:p w14:paraId="613A40FF">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2DC55F3">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29DA008E">
            <w:pPr>
              <w:pStyle w:val="557"/>
            </w:pPr>
            <w:r>
              <w:rPr>
                <w:rFonts w:hint="eastAsia"/>
              </w:rPr>
              <w:t>0.000529</w:t>
            </w:r>
          </w:p>
        </w:tc>
        <w:tc>
          <w:tcPr>
            <w:tcW w:w="1478" w:type="dxa"/>
            <w:tcBorders>
              <w:top w:val="single" w:color="auto" w:sz="4" w:space="0"/>
              <w:left w:val="single" w:color="auto" w:sz="4" w:space="0"/>
              <w:bottom w:val="single" w:color="auto" w:sz="4" w:space="0"/>
              <w:right w:val="single" w:color="auto" w:sz="4" w:space="0"/>
            </w:tcBorders>
            <w:noWrap/>
            <w:vAlign w:val="center"/>
          </w:tcPr>
          <w:p w14:paraId="2B5400AF">
            <w:pPr>
              <w:pStyle w:val="557"/>
            </w:pPr>
            <w:r>
              <w:rPr>
                <w:rFonts w:hint="eastAsia"/>
              </w:rPr>
              <w:t>230731</w:t>
            </w:r>
          </w:p>
        </w:tc>
        <w:tc>
          <w:tcPr>
            <w:tcW w:w="1093" w:type="dxa"/>
            <w:tcBorders>
              <w:top w:val="single" w:color="auto" w:sz="4" w:space="0"/>
              <w:left w:val="single" w:color="auto" w:sz="4" w:space="0"/>
              <w:bottom w:val="single" w:color="auto" w:sz="4" w:space="0"/>
              <w:right w:val="single" w:color="auto" w:sz="4" w:space="0"/>
            </w:tcBorders>
            <w:noWrap/>
            <w:vAlign w:val="center"/>
          </w:tcPr>
          <w:p w14:paraId="50AAFCC9">
            <w:pPr>
              <w:pStyle w:val="557"/>
            </w:pPr>
            <w:r>
              <w:rPr>
                <w:rFonts w:hint="eastAsia"/>
              </w:rPr>
              <w:t>1</w:t>
            </w:r>
          </w:p>
        </w:tc>
        <w:tc>
          <w:tcPr>
            <w:tcW w:w="1093" w:type="dxa"/>
            <w:tcBorders>
              <w:top w:val="single" w:color="auto" w:sz="4" w:space="0"/>
              <w:left w:val="single" w:color="auto" w:sz="4" w:space="0"/>
              <w:bottom w:val="single" w:color="auto" w:sz="4" w:space="0"/>
              <w:right w:val="single" w:color="auto" w:sz="4" w:space="0"/>
            </w:tcBorders>
            <w:noWrap/>
            <w:vAlign w:val="center"/>
          </w:tcPr>
          <w:p w14:paraId="4AB0823C">
            <w:pPr>
              <w:pStyle w:val="557"/>
            </w:pPr>
            <w:r>
              <w:rPr>
                <w:rFonts w:hint="eastAsia"/>
              </w:rPr>
              <w:t>0.05</w:t>
            </w:r>
          </w:p>
        </w:tc>
        <w:tc>
          <w:tcPr>
            <w:tcW w:w="1093" w:type="dxa"/>
            <w:tcBorders>
              <w:top w:val="single" w:color="auto" w:sz="4" w:space="0"/>
              <w:left w:val="single" w:color="auto" w:sz="4" w:space="0"/>
              <w:bottom w:val="single" w:color="auto" w:sz="4" w:space="0"/>
              <w:right w:val="single" w:color="auto" w:sz="4" w:space="0"/>
            </w:tcBorders>
            <w:noWrap/>
            <w:vAlign w:val="center"/>
          </w:tcPr>
          <w:p w14:paraId="7081221E">
            <w:pPr>
              <w:pStyle w:val="557"/>
            </w:pPr>
            <w:r>
              <w:rPr>
                <w:rFonts w:hint="eastAsia"/>
              </w:rPr>
              <w:t>达标</w:t>
            </w:r>
          </w:p>
        </w:tc>
      </w:tr>
    </w:tbl>
    <w:p w14:paraId="1150BCF4">
      <w:pPr>
        <w:pStyle w:val="541"/>
        <w:ind w:left="496" w:hanging="496"/>
        <w:rPr>
          <w:rFonts w:hint="eastAsia"/>
        </w:rPr>
      </w:pPr>
    </w:p>
    <w:p w14:paraId="616D9822">
      <w:pPr>
        <w:pStyle w:val="645"/>
        <w:rPr>
          <w:rFonts w:hint="eastAsia"/>
        </w:rPr>
      </w:pPr>
      <w:r>
        <w:rPr>
          <w:rFonts w:hint="eastAsia"/>
          <w:spacing w:val="8"/>
        </w:rPr>
        <w:t>表5.2.8-9</w:t>
      </w:r>
      <w:r>
        <w:rPr>
          <w:rFonts w:hint="eastAsia"/>
        </w:rPr>
        <w:t xml:space="preserve">    硫酸最大落地浓度贡献值及其发生的时间统计一览表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95"/>
        <w:gridCol w:w="1917"/>
        <w:gridCol w:w="1112"/>
        <w:gridCol w:w="1111"/>
        <w:gridCol w:w="1111"/>
        <w:gridCol w:w="1111"/>
        <w:gridCol w:w="1111"/>
        <w:gridCol w:w="1502"/>
        <w:gridCol w:w="1111"/>
        <w:gridCol w:w="1111"/>
        <w:gridCol w:w="1111"/>
      </w:tblGrid>
      <w:tr w14:paraId="6B8E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447232BC">
            <w:pPr>
              <w:pStyle w:val="557"/>
            </w:pPr>
            <w:r>
              <w:rPr>
                <w:rFonts w:hint="eastAsia"/>
              </w:rPr>
              <w:t>序号</w:t>
            </w:r>
          </w:p>
        </w:tc>
        <w:tc>
          <w:tcPr>
            <w:tcW w:w="1177" w:type="dxa"/>
            <w:tcBorders>
              <w:top w:val="single" w:color="auto" w:sz="4" w:space="0"/>
              <w:left w:val="single" w:color="auto" w:sz="4" w:space="0"/>
              <w:bottom w:val="single" w:color="auto" w:sz="4" w:space="0"/>
              <w:right w:val="single" w:color="auto" w:sz="4" w:space="0"/>
            </w:tcBorders>
            <w:noWrap/>
            <w:vAlign w:val="center"/>
          </w:tcPr>
          <w:p w14:paraId="6C111CBA">
            <w:pPr>
              <w:pStyle w:val="557"/>
            </w:pPr>
            <w:r>
              <w:rPr>
                <w:rFonts w:hint="eastAsia"/>
              </w:rPr>
              <w:t>点名称</w:t>
            </w:r>
          </w:p>
        </w:tc>
        <w:tc>
          <w:tcPr>
            <w:tcW w:w="1887" w:type="dxa"/>
            <w:tcBorders>
              <w:top w:val="single" w:color="auto" w:sz="4" w:space="0"/>
              <w:left w:val="single" w:color="auto" w:sz="4" w:space="0"/>
              <w:bottom w:val="single" w:color="auto" w:sz="4" w:space="0"/>
              <w:right w:val="single" w:color="auto" w:sz="4" w:space="0"/>
            </w:tcBorders>
            <w:noWrap/>
            <w:vAlign w:val="center"/>
          </w:tcPr>
          <w:p w14:paraId="678801E1">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67BD0DBF">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AC53FA3">
            <w:pPr>
              <w:pStyle w:val="557"/>
            </w:pPr>
            <w:r>
              <w:rPr>
                <w:rFonts w:hint="eastAsia"/>
              </w:rPr>
              <w:t>山体高度尺度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C273597">
            <w:pPr>
              <w:pStyle w:val="557"/>
            </w:pPr>
            <w:r>
              <w:rPr>
                <w:rFonts w:hint="eastAsia"/>
              </w:rPr>
              <w:t>离地高度</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673FD8D7">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176E9B08">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093E3D1A">
            <w:pPr>
              <w:pStyle w:val="557"/>
            </w:pPr>
            <w:r>
              <w:rPr>
                <w:rFonts w:hint="eastAsia"/>
              </w:rPr>
              <w:t>出现时间</w:t>
            </w:r>
            <w:r>
              <w:t>(YYMMDDHH)</w:t>
            </w:r>
          </w:p>
        </w:tc>
        <w:tc>
          <w:tcPr>
            <w:tcW w:w="1093" w:type="dxa"/>
            <w:tcBorders>
              <w:top w:val="single" w:color="auto" w:sz="4" w:space="0"/>
              <w:left w:val="single" w:color="auto" w:sz="4" w:space="0"/>
              <w:bottom w:val="single" w:color="auto" w:sz="4" w:space="0"/>
              <w:right w:val="single" w:color="auto" w:sz="4" w:space="0"/>
            </w:tcBorders>
            <w:noWrap/>
            <w:vAlign w:val="center"/>
          </w:tcPr>
          <w:p w14:paraId="33BAD4F4">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21886B8F">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09931B67">
            <w:pPr>
              <w:pStyle w:val="557"/>
            </w:pPr>
            <w:r>
              <w:rPr>
                <w:rFonts w:hint="eastAsia"/>
              </w:rPr>
              <w:t>是否超标</w:t>
            </w:r>
          </w:p>
        </w:tc>
      </w:tr>
      <w:tr w14:paraId="1263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66E84418">
            <w:pPr>
              <w:pStyle w:val="557"/>
            </w:pPr>
            <w:r>
              <w:rPr>
                <w:rFonts w:hint="eastAsia"/>
              </w:rPr>
              <w:t>1</w:t>
            </w:r>
          </w:p>
        </w:tc>
        <w:tc>
          <w:tcPr>
            <w:tcW w:w="1177" w:type="dxa"/>
            <w:vMerge w:val="restart"/>
            <w:tcBorders>
              <w:top w:val="single" w:color="auto" w:sz="4" w:space="0"/>
              <w:left w:val="single" w:color="auto" w:sz="4" w:space="0"/>
              <w:bottom w:val="single" w:color="auto" w:sz="4" w:space="0"/>
              <w:right w:val="single" w:color="auto" w:sz="4" w:space="0"/>
            </w:tcBorders>
            <w:noWrap/>
            <w:vAlign w:val="center"/>
          </w:tcPr>
          <w:p w14:paraId="77892ECC">
            <w:pPr>
              <w:pStyle w:val="557"/>
            </w:pPr>
            <w:r>
              <w:rPr>
                <w:rFonts w:hint="eastAsia"/>
              </w:rPr>
              <w:t>网格</w:t>
            </w:r>
          </w:p>
        </w:tc>
        <w:tc>
          <w:tcPr>
            <w:tcW w:w="1887" w:type="dxa"/>
            <w:tcBorders>
              <w:top w:val="single" w:color="auto" w:sz="4" w:space="0"/>
              <w:left w:val="single" w:color="auto" w:sz="4" w:space="0"/>
              <w:bottom w:val="single" w:color="auto" w:sz="4" w:space="0"/>
              <w:right w:val="single" w:color="auto" w:sz="4" w:space="0"/>
            </w:tcBorders>
            <w:noWrap/>
            <w:vAlign w:val="center"/>
          </w:tcPr>
          <w:p w14:paraId="64D53F65">
            <w:pPr>
              <w:pStyle w:val="557"/>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63EDE61F">
            <w:pPr>
              <w:pStyle w:val="557"/>
            </w:pPr>
            <w:r>
              <w:rPr>
                <w:rFonts w:hint="eastAsia"/>
              </w:rPr>
              <w:t>685.1</w:t>
            </w:r>
          </w:p>
        </w:tc>
        <w:tc>
          <w:tcPr>
            <w:tcW w:w="1093" w:type="dxa"/>
            <w:tcBorders>
              <w:top w:val="single" w:color="auto" w:sz="4" w:space="0"/>
              <w:left w:val="single" w:color="auto" w:sz="4" w:space="0"/>
              <w:bottom w:val="single" w:color="auto" w:sz="4" w:space="0"/>
              <w:right w:val="single" w:color="auto" w:sz="4" w:space="0"/>
            </w:tcBorders>
            <w:noWrap/>
            <w:vAlign w:val="center"/>
          </w:tcPr>
          <w:p w14:paraId="38A22AB3">
            <w:pPr>
              <w:pStyle w:val="557"/>
            </w:pPr>
            <w:r>
              <w:rPr>
                <w:rFonts w:hint="eastAsia"/>
              </w:rPr>
              <w:t>685.1</w:t>
            </w:r>
          </w:p>
        </w:tc>
        <w:tc>
          <w:tcPr>
            <w:tcW w:w="1093" w:type="dxa"/>
            <w:tcBorders>
              <w:top w:val="single" w:color="auto" w:sz="4" w:space="0"/>
              <w:left w:val="single" w:color="auto" w:sz="4" w:space="0"/>
              <w:bottom w:val="single" w:color="auto" w:sz="4" w:space="0"/>
              <w:right w:val="single" w:color="auto" w:sz="4" w:space="0"/>
            </w:tcBorders>
            <w:noWrap/>
            <w:vAlign w:val="center"/>
          </w:tcPr>
          <w:p w14:paraId="404CDD09">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5FC86B19">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26C18D34">
            <w:pPr>
              <w:pStyle w:val="557"/>
            </w:pPr>
            <w:r>
              <w:rPr>
                <w:rFonts w:hint="eastAsia"/>
              </w:rPr>
              <w:t>0.004894</w:t>
            </w:r>
          </w:p>
        </w:tc>
        <w:tc>
          <w:tcPr>
            <w:tcW w:w="1478" w:type="dxa"/>
            <w:tcBorders>
              <w:top w:val="single" w:color="auto" w:sz="4" w:space="0"/>
              <w:left w:val="single" w:color="auto" w:sz="4" w:space="0"/>
              <w:bottom w:val="single" w:color="auto" w:sz="4" w:space="0"/>
              <w:right w:val="single" w:color="auto" w:sz="4" w:space="0"/>
            </w:tcBorders>
            <w:noWrap/>
            <w:vAlign w:val="center"/>
          </w:tcPr>
          <w:p w14:paraId="6A52C5AD">
            <w:pPr>
              <w:pStyle w:val="557"/>
            </w:pPr>
            <w:r>
              <w:rPr>
                <w:rFonts w:hint="eastAsia"/>
              </w:rPr>
              <w:t>23061909</w:t>
            </w:r>
          </w:p>
        </w:tc>
        <w:tc>
          <w:tcPr>
            <w:tcW w:w="1093" w:type="dxa"/>
            <w:tcBorders>
              <w:top w:val="single" w:color="auto" w:sz="4" w:space="0"/>
              <w:left w:val="single" w:color="auto" w:sz="4" w:space="0"/>
              <w:bottom w:val="single" w:color="auto" w:sz="4" w:space="0"/>
              <w:right w:val="single" w:color="auto" w:sz="4" w:space="0"/>
            </w:tcBorders>
            <w:noWrap/>
            <w:vAlign w:val="center"/>
          </w:tcPr>
          <w:p w14:paraId="04766A1F">
            <w:pPr>
              <w:pStyle w:val="557"/>
            </w:pPr>
            <w:r>
              <w:rPr>
                <w:rFonts w:hint="eastAsia"/>
              </w:rPr>
              <w:t>0.3</w:t>
            </w:r>
          </w:p>
        </w:tc>
        <w:tc>
          <w:tcPr>
            <w:tcW w:w="1093" w:type="dxa"/>
            <w:tcBorders>
              <w:top w:val="single" w:color="auto" w:sz="4" w:space="0"/>
              <w:left w:val="single" w:color="auto" w:sz="4" w:space="0"/>
              <w:bottom w:val="single" w:color="auto" w:sz="4" w:space="0"/>
              <w:right w:val="single" w:color="auto" w:sz="4" w:space="0"/>
            </w:tcBorders>
            <w:noWrap/>
            <w:vAlign w:val="center"/>
          </w:tcPr>
          <w:p w14:paraId="4DD1ECCB">
            <w:pPr>
              <w:pStyle w:val="557"/>
            </w:pPr>
            <w:r>
              <w:rPr>
                <w:rFonts w:hint="eastAsia"/>
              </w:rPr>
              <w:t>1.63</w:t>
            </w:r>
          </w:p>
        </w:tc>
        <w:tc>
          <w:tcPr>
            <w:tcW w:w="1093" w:type="dxa"/>
            <w:tcBorders>
              <w:top w:val="single" w:color="auto" w:sz="4" w:space="0"/>
              <w:left w:val="single" w:color="auto" w:sz="4" w:space="0"/>
              <w:bottom w:val="single" w:color="auto" w:sz="4" w:space="0"/>
              <w:right w:val="single" w:color="auto" w:sz="4" w:space="0"/>
            </w:tcBorders>
            <w:noWrap/>
            <w:vAlign w:val="center"/>
          </w:tcPr>
          <w:p w14:paraId="0976172B">
            <w:pPr>
              <w:pStyle w:val="557"/>
            </w:pPr>
            <w:r>
              <w:rPr>
                <w:rFonts w:hint="eastAsia"/>
              </w:rPr>
              <w:t>达标</w:t>
            </w:r>
          </w:p>
        </w:tc>
      </w:tr>
      <w:tr w14:paraId="31D7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14:paraId="0EC8AA29">
            <w:pPr>
              <w:jc w:val="center"/>
              <w:rPr>
                <w:rFonts w:hint="eastAsia"/>
                <w:bCs/>
                <w:sz w:val="18"/>
                <w:szCs w:val="18"/>
                <w:u w:color="000000"/>
                <w:lang w:val="zh-CN" w:bidi="en-US"/>
              </w:rPr>
            </w:pPr>
          </w:p>
        </w:tc>
        <w:tc>
          <w:tcPr>
            <w:tcW w:w="1177" w:type="dxa"/>
            <w:vMerge w:val="continue"/>
            <w:tcBorders>
              <w:top w:val="single" w:color="auto" w:sz="4" w:space="0"/>
              <w:left w:val="single" w:color="auto" w:sz="4" w:space="0"/>
              <w:bottom w:val="single" w:color="auto" w:sz="4" w:space="0"/>
              <w:right w:val="single" w:color="auto" w:sz="4" w:space="0"/>
            </w:tcBorders>
            <w:vAlign w:val="center"/>
          </w:tcPr>
          <w:p w14:paraId="4334ADED">
            <w:pPr>
              <w:jc w:val="center"/>
              <w:rPr>
                <w:rFonts w:hint="eastAsia"/>
                <w:bCs/>
                <w:sz w:val="18"/>
                <w:szCs w:val="18"/>
                <w:u w:color="000000"/>
                <w:lang w:val="zh-CN" w:bidi="en-US"/>
              </w:rPr>
            </w:pPr>
          </w:p>
        </w:tc>
        <w:tc>
          <w:tcPr>
            <w:tcW w:w="1887" w:type="dxa"/>
            <w:tcBorders>
              <w:top w:val="single" w:color="auto" w:sz="4" w:space="0"/>
              <w:left w:val="single" w:color="auto" w:sz="4" w:space="0"/>
              <w:bottom w:val="single" w:color="auto" w:sz="4" w:space="0"/>
              <w:right w:val="single" w:color="auto" w:sz="4" w:space="0"/>
            </w:tcBorders>
            <w:noWrap/>
            <w:vAlign w:val="center"/>
          </w:tcPr>
          <w:p w14:paraId="57013E6E">
            <w:pPr>
              <w:pStyle w:val="557"/>
            </w:pPr>
            <w:r>
              <w:rPr>
                <w:rFonts w:hint="eastAsia"/>
              </w:rPr>
              <w:t>-450,50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65C4D9ED">
            <w:pPr>
              <w:pStyle w:val="557"/>
            </w:pPr>
            <w:r>
              <w:rPr>
                <w:rFonts w:hint="eastAsia"/>
              </w:rPr>
              <w:t>687.8</w:t>
            </w:r>
          </w:p>
        </w:tc>
        <w:tc>
          <w:tcPr>
            <w:tcW w:w="1093" w:type="dxa"/>
            <w:tcBorders>
              <w:top w:val="single" w:color="auto" w:sz="4" w:space="0"/>
              <w:left w:val="single" w:color="auto" w:sz="4" w:space="0"/>
              <w:bottom w:val="single" w:color="auto" w:sz="4" w:space="0"/>
              <w:right w:val="single" w:color="auto" w:sz="4" w:space="0"/>
            </w:tcBorders>
            <w:noWrap/>
            <w:vAlign w:val="center"/>
          </w:tcPr>
          <w:p w14:paraId="4BE93C61">
            <w:pPr>
              <w:pStyle w:val="557"/>
            </w:pPr>
            <w:r>
              <w:rPr>
                <w:rFonts w:hint="eastAsia"/>
              </w:rPr>
              <w:t>687.8</w:t>
            </w:r>
          </w:p>
        </w:tc>
        <w:tc>
          <w:tcPr>
            <w:tcW w:w="1093" w:type="dxa"/>
            <w:tcBorders>
              <w:top w:val="single" w:color="auto" w:sz="4" w:space="0"/>
              <w:left w:val="single" w:color="auto" w:sz="4" w:space="0"/>
              <w:bottom w:val="single" w:color="auto" w:sz="4" w:space="0"/>
              <w:right w:val="single" w:color="auto" w:sz="4" w:space="0"/>
            </w:tcBorders>
            <w:noWrap/>
            <w:vAlign w:val="center"/>
          </w:tcPr>
          <w:p w14:paraId="4DBE2290">
            <w:pPr>
              <w:pStyle w:val="557"/>
            </w:pPr>
            <w:r>
              <w:rPr>
                <w:rFonts w:hint="eastAsia"/>
              </w:rPr>
              <w:t>0</w:t>
            </w:r>
          </w:p>
        </w:tc>
        <w:tc>
          <w:tcPr>
            <w:tcW w:w="1093" w:type="dxa"/>
            <w:tcBorders>
              <w:top w:val="single" w:color="auto" w:sz="4" w:space="0"/>
              <w:left w:val="single" w:color="auto" w:sz="4" w:space="0"/>
              <w:bottom w:val="single" w:color="auto" w:sz="4" w:space="0"/>
              <w:right w:val="single" w:color="auto" w:sz="4" w:space="0"/>
            </w:tcBorders>
            <w:noWrap/>
            <w:vAlign w:val="center"/>
          </w:tcPr>
          <w:p w14:paraId="1240D98A">
            <w:pPr>
              <w:pStyle w:val="557"/>
            </w:pPr>
            <w:r>
              <w:rPr>
                <w:rFonts w:hint="eastAsia"/>
              </w:rPr>
              <w:t>日平均</w:t>
            </w:r>
          </w:p>
        </w:tc>
        <w:tc>
          <w:tcPr>
            <w:tcW w:w="1093" w:type="dxa"/>
            <w:tcBorders>
              <w:top w:val="single" w:color="auto" w:sz="4" w:space="0"/>
              <w:left w:val="single" w:color="auto" w:sz="4" w:space="0"/>
              <w:bottom w:val="single" w:color="auto" w:sz="4" w:space="0"/>
              <w:right w:val="single" w:color="auto" w:sz="4" w:space="0"/>
            </w:tcBorders>
            <w:noWrap/>
            <w:vAlign w:val="center"/>
          </w:tcPr>
          <w:p w14:paraId="5CE633D6">
            <w:pPr>
              <w:pStyle w:val="557"/>
            </w:pPr>
            <w:r>
              <w:rPr>
                <w:rFonts w:hint="eastAsia"/>
              </w:rPr>
              <w:t>0.000268</w:t>
            </w:r>
          </w:p>
        </w:tc>
        <w:tc>
          <w:tcPr>
            <w:tcW w:w="1478" w:type="dxa"/>
            <w:tcBorders>
              <w:top w:val="single" w:color="auto" w:sz="4" w:space="0"/>
              <w:left w:val="single" w:color="auto" w:sz="4" w:space="0"/>
              <w:bottom w:val="single" w:color="auto" w:sz="4" w:space="0"/>
              <w:right w:val="single" w:color="auto" w:sz="4" w:space="0"/>
            </w:tcBorders>
            <w:noWrap/>
            <w:vAlign w:val="center"/>
          </w:tcPr>
          <w:p w14:paraId="065F7522">
            <w:pPr>
              <w:pStyle w:val="557"/>
            </w:pPr>
            <w:r>
              <w:rPr>
                <w:rFonts w:hint="eastAsia"/>
              </w:rPr>
              <w:t>230828</w:t>
            </w:r>
          </w:p>
        </w:tc>
        <w:tc>
          <w:tcPr>
            <w:tcW w:w="1093" w:type="dxa"/>
            <w:tcBorders>
              <w:top w:val="single" w:color="auto" w:sz="4" w:space="0"/>
              <w:left w:val="single" w:color="auto" w:sz="4" w:space="0"/>
              <w:bottom w:val="single" w:color="auto" w:sz="4" w:space="0"/>
              <w:right w:val="single" w:color="auto" w:sz="4" w:space="0"/>
            </w:tcBorders>
            <w:noWrap/>
            <w:vAlign w:val="center"/>
          </w:tcPr>
          <w:p w14:paraId="171D4B68">
            <w:pPr>
              <w:pStyle w:val="557"/>
            </w:pPr>
            <w:r>
              <w:rPr>
                <w:rFonts w:hint="eastAsia"/>
              </w:rPr>
              <w:t>0.1</w:t>
            </w:r>
          </w:p>
        </w:tc>
        <w:tc>
          <w:tcPr>
            <w:tcW w:w="1093" w:type="dxa"/>
            <w:tcBorders>
              <w:top w:val="single" w:color="auto" w:sz="4" w:space="0"/>
              <w:left w:val="single" w:color="auto" w:sz="4" w:space="0"/>
              <w:bottom w:val="single" w:color="auto" w:sz="4" w:space="0"/>
              <w:right w:val="single" w:color="auto" w:sz="4" w:space="0"/>
            </w:tcBorders>
            <w:noWrap/>
            <w:vAlign w:val="center"/>
          </w:tcPr>
          <w:p w14:paraId="59E29525">
            <w:pPr>
              <w:pStyle w:val="557"/>
            </w:pPr>
            <w:r>
              <w:rPr>
                <w:rFonts w:hint="eastAsia"/>
              </w:rPr>
              <w:t>0.27</w:t>
            </w:r>
          </w:p>
        </w:tc>
        <w:tc>
          <w:tcPr>
            <w:tcW w:w="1093" w:type="dxa"/>
            <w:tcBorders>
              <w:top w:val="single" w:color="auto" w:sz="4" w:space="0"/>
              <w:left w:val="single" w:color="auto" w:sz="4" w:space="0"/>
              <w:bottom w:val="single" w:color="auto" w:sz="4" w:space="0"/>
              <w:right w:val="single" w:color="auto" w:sz="4" w:space="0"/>
            </w:tcBorders>
            <w:noWrap/>
            <w:vAlign w:val="center"/>
          </w:tcPr>
          <w:p w14:paraId="64808767">
            <w:pPr>
              <w:pStyle w:val="557"/>
            </w:pPr>
            <w:r>
              <w:rPr>
                <w:rFonts w:hint="eastAsia"/>
              </w:rPr>
              <w:t>达标</w:t>
            </w:r>
          </w:p>
        </w:tc>
      </w:tr>
    </w:tbl>
    <w:p w14:paraId="2FB957C4">
      <w:pPr>
        <w:pStyle w:val="645"/>
        <w:rPr>
          <w:rFonts w:hint="eastAsia"/>
        </w:rPr>
      </w:pPr>
    </w:p>
    <w:p w14:paraId="7468CE0C">
      <w:pPr>
        <w:pStyle w:val="645"/>
        <w:rPr>
          <w:rFonts w:hint="eastAsia"/>
        </w:rPr>
      </w:pPr>
    </w:p>
    <w:p w14:paraId="73B58603">
      <w:pPr>
        <w:pStyle w:val="645"/>
        <w:rPr>
          <w:rFonts w:hint="eastAsia"/>
        </w:rPr>
      </w:pPr>
    </w:p>
    <w:p w14:paraId="15E31169">
      <w:pPr>
        <w:pStyle w:val="645"/>
        <w:rPr>
          <w:rFonts w:hint="eastAsia"/>
        </w:rPr>
      </w:pPr>
    </w:p>
    <w:p w14:paraId="431FA769">
      <w:pPr>
        <w:pStyle w:val="645"/>
        <w:rPr>
          <w:rFonts w:hint="eastAsia"/>
        </w:rPr>
      </w:pPr>
    </w:p>
    <w:p w14:paraId="30663ED0">
      <w:pPr>
        <w:pStyle w:val="645"/>
        <w:rPr>
          <w:rFonts w:hint="eastAsia"/>
        </w:rPr>
      </w:pPr>
    </w:p>
    <w:p w14:paraId="5D8478F8">
      <w:pPr>
        <w:pStyle w:val="557"/>
      </w:pPr>
    </w:p>
    <w:p w14:paraId="3E219FE8">
      <w:pPr>
        <w:spacing w:line="360" w:lineRule="auto"/>
        <w:rPr>
          <w:rFonts w:hint="eastAsia" w:ascii="黑体" w:hAnsi="黑体" w:eastAsia="黑体"/>
          <w:b/>
        </w:rPr>
        <w:sectPr>
          <w:pgSz w:w="16838" w:h="11906" w:orient="landscape"/>
          <w:pgMar w:top="1800" w:right="1440" w:bottom="1800" w:left="1440" w:header="851" w:footer="850" w:gutter="0"/>
          <w:cols w:space="720" w:num="1"/>
          <w:docGrid w:type="lines" w:linePitch="326" w:charSpace="0"/>
        </w:sectPr>
      </w:pPr>
    </w:p>
    <w:p w14:paraId="2B004AA5">
      <w:pPr>
        <w:pStyle w:val="281"/>
        <w:ind w:firstLine="480"/>
        <w:rPr>
          <w:color w:val="FF0000"/>
        </w:rPr>
      </w:pPr>
      <w:r>
        <w:rPr>
          <w:rFonts w:hint="eastAsia"/>
        </w:rPr>
        <w:t>预测网格内</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小时、日均、年均最大落地浓度贡献值分别为</w:t>
      </w:r>
      <w:r>
        <w:rPr>
          <w:rFonts w:hint="eastAsia"/>
        </w:rPr>
        <w:t>0.034145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0.002567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0.000497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，其占标率分别为6.83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、0.83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453C5ABB">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预测网格内的</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小时、日均、年均最大落地浓度贡献值分别为</w:t>
      </w:r>
      <w:r>
        <w:rPr>
          <w:rFonts w:hint="eastAsia"/>
        </w:rPr>
        <w:t>0.035639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0.003842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0.000912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，其占标率分别为17.82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7719A0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日均、年均最大落地浓度贡献值分别为</w:t>
      </w:r>
      <w:r>
        <w:rPr>
          <w:rFonts w:hint="eastAsia"/>
        </w:rPr>
        <w:t>0.005948</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0.000999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，其占标率分别为3.97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1C2E5C6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日均、年均最大落地浓度贡献值分别为</w:t>
      </w:r>
      <w:r>
        <w:rPr>
          <w:rFonts w:hint="eastAsia"/>
        </w:rPr>
        <w:t>0.002974</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0.0005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，其占标率分别为3.97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99AAF4F">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预测网格内的</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NMHC</w:t>
      </w:r>
      <w:r>
        <w:rPr>
          <w:rFonts w:hint="eastAsia"/>
          <w:color w:val="000000" w:themeColor="text1"/>
          <w14:textFill>
            <w14:solidFill>
              <w14:schemeClr w14:val="tx1"/>
            </w14:solidFill>
          </w14:textFill>
        </w:rPr>
        <w:t>的小时均最大落地浓度贡献值分别为</w:t>
      </w:r>
      <w:r>
        <w:rPr>
          <w:rFonts w:hint="eastAsia"/>
        </w:rPr>
        <w:t>0.027742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0.006936</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、1.071212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，占标率分别为13.87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eastAsiaTheme="minorEastAsia"/>
          <w:color w:val="000000" w:themeColor="text1"/>
          <w14:textFill>
            <w14:solidFill>
              <w14:schemeClr w14:val="tx1"/>
            </w14:solidFill>
          </w14:textFill>
        </w:rPr>
        <w:t>69.36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、53.56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7E443AC5">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预测网格内甲醇小时、日均最大落地浓度贡献值分别为0.012449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、0.000529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、0.05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1A8F85F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预测网格内硫酸小时、日均最大落地浓度贡献值分别为0.004894</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、0.000268</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，其占标率分别为1.63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、0.27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0F121119">
      <w:pPr>
        <w:pStyle w:val="281"/>
        <w:ind w:firstLine="480"/>
      </w:pPr>
      <w:r>
        <w:rPr>
          <w:rFonts w:hint="eastAsia" w:ascii="宋体" w:hAnsi="宋体"/>
        </w:rPr>
        <w:t>综上分析，项目新增污染源正常排放下各污染物短期浓度贡献值的最大浓度占标率</w:t>
      </w:r>
      <w:r>
        <w:t>≤100%</w:t>
      </w:r>
      <w:r>
        <w:rPr>
          <w:rFonts w:hint="eastAsia" w:ascii="宋体" w:hAnsi="宋体"/>
        </w:rPr>
        <w:t>，新增污染源正常排放下各污染物年均浓度贡献值的最大浓度占标率</w:t>
      </w:r>
      <w:r>
        <w:rPr>
          <w:rFonts w:hint="eastAsia"/>
        </w:rPr>
        <w:t>≤</w:t>
      </w:r>
      <w:r>
        <w:t>30%</w:t>
      </w:r>
      <w:r>
        <w:rPr>
          <w:rFonts w:hint="eastAsia" w:ascii="宋体" w:hAnsi="宋体"/>
        </w:rPr>
        <w:t>。</w:t>
      </w:r>
    </w:p>
    <w:p w14:paraId="43269571">
      <w:pPr>
        <w:pStyle w:val="98"/>
        <w:numPr>
          <w:ilvl w:val="3"/>
          <w:numId w:val="8"/>
        </w:numPr>
        <w:ind w:left="0"/>
        <w:rPr>
          <w:rFonts w:hint="eastAsia"/>
        </w:rPr>
      </w:pPr>
      <w:r>
        <w:rPr>
          <w:rFonts w:hint="eastAsia"/>
        </w:rPr>
        <w:t>主要污染物环境影响叠加值</w:t>
      </w:r>
    </w:p>
    <w:p w14:paraId="3A3FF415">
      <w:pPr>
        <w:pStyle w:val="281"/>
        <w:ind w:firstLine="480"/>
        <w:rPr>
          <w:rFonts w:hint="eastAsia" w:ascii="宋体" w:hAnsi="宋体"/>
        </w:rPr>
      </w:pPr>
      <w:r>
        <w:rPr>
          <w:rFonts w:hint="eastAsia" w:ascii="宋体" w:hAnsi="宋体"/>
          <w:lang w:val="de-DE"/>
        </w:rPr>
        <w:t>项目正常排放条件下，主要污染物叠加现状浓度、同时叠加在建及拟建污染源的环境影响后环境空气保护目标和网格点主要污染物小时平均浓度、日平均浓度、保证率日平均浓度和年平均质量浓度预测结果见</w:t>
      </w:r>
      <w:r>
        <w:rPr>
          <w:rFonts w:hint="eastAsia" w:ascii="宋体" w:hAnsi="宋体"/>
          <w:spacing w:val="8"/>
        </w:rPr>
        <w:t>表</w:t>
      </w:r>
      <w:r>
        <w:rPr>
          <w:spacing w:val="8"/>
        </w:rPr>
        <w:t>5.2.8-1</w:t>
      </w:r>
      <w:r>
        <w:rPr>
          <w:rFonts w:hint="eastAsia"/>
          <w:spacing w:val="8"/>
        </w:rPr>
        <w:t>0</w:t>
      </w:r>
      <w:r>
        <w:rPr>
          <w:rFonts w:hint="eastAsia" w:ascii="宋体" w:hAnsi="宋体"/>
          <w:lang w:val="de-DE"/>
        </w:rPr>
        <w:t>至</w:t>
      </w:r>
      <w:r>
        <w:rPr>
          <w:rFonts w:hint="eastAsia" w:ascii="宋体" w:hAnsi="宋体"/>
          <w:spacing w:val="8"/>
        </w:rPr>
        <w:t>表</w:t>
      </w:r>
      <w:r>
        <w:rPr>
          <w:spacing w:val="8"/>
        </w:rPr>
        <w:t>5.2.8-</w:t>
      </w:r>
      <w:r>
        <w:rPr>
          <w:rFonts w:hint="eastAsia"/>
          <w:spacing w:val="8"/>
        </w:rPr>
        <w:t>18</w:t>
      </w:r>
      <w:r>
        <w:rPr>
          <w:rFonts w:hint="eastAsia" w:ascii="宋体" w:hAnsi="宋体"/>
          <w:lang w:val="de-DE"/>
        </w:rPr>
        <w:t>，网格浓度分布见图</w:t>
      </w:r>
      <w:r>
        <w:rPr>
          <w:lang w:val="de-DE"/>
        </w:rPr>
        <w:t>5.2.8-1</w:t>
      </w:r>
      <w:r>
        <w:rPr>
          <w:rFonts w:hint="eastAsia" w:ascii="宋体" w:hAnsi="宋体"/>
          <w:lang w:val="de-DE"/>
        </w:rPr>
        <w:t>至图</w:t>
      </w:r>
      <w:r>
        <w:rPr>
          <w:lang w:val="de-DE"/>
        </w:rPr>
        <w:t>5.2.8-1</w:t>
      </w:r>
      <w:r>
        <w:rPr>
          <w:rFonts w:hint="eastAsia"/>
          <w:lang w:val="de-DE"/>
        </w:rPr>
        <w:t>3</w:t>
      </w:r>
      <w:r>
        <w:rPr>
          <w:rFonts w:hint="eastAsia" w:ascii="宋体" w:hAnsi="宋体"/>
          <w:lang w:val="de-DE"/>
        </w:rPr>
        <w:t>。</w:t>
      </w:r>
    </w:p>
    <w:p w14:paraId="42838FE9">
      <w:pPr>
        <w:spacing w:line="360" w:lineRule="auto"/>
        <w:rPr>
          <w:rFonts w:hint="eastAsia"/>
        </w:rPr>
        <w:sectPr>
          <w:pgSz w:w="11906" w:h="16838"/>
          <w:pgMar w:top="1440" w:right="1800" w:bottom="1440" w:left="1800" w:header="851" w:footer="850" w:gutter="0"/>
          <w:cols w:space="720" w:num="1"/>
          <w:docGrid w:type="lines" w:linePitch="326" w:charSpace="0"/>
        </w:sectPr>
      </w:pPr>
    </w:p>
    <w:p w14:paraId="4C34C605">
      <w:pPr>
        <w:pStyle w:val="535"/>
        <w:ind w:left="400" w:hanging="400"/>
        <w:rPr>
          <w:rFonts w:hint="eastAsia"/>
          <w:color w:val="auto"/>
        </w:rPr>
      </w:pPr>
      <w:r>
        <w:rPr>
          <w:rFonts w:hint="eastAsia"/>
          <w:color w:val="auto"/>
        </w:rPr>
        <w:t>表</w:t>
      </w:r>
      <w:r>
        <w:rPr>
          <w:rFonts w:hint="eastAsia"/>
          <w:color w:val="auto"/>
          <w:spacing w:val="8"/>
        </w:rPr>
        <w:t>5.2.8-10</w:t>
      </w:r>
      <w:r>
        <w:rPr>
          <w:rFonts w:hint="eastAsia"/>
          <w:color w:val="auto"/>
        </w:rPr>
        <w:t xml:space="preserve">   环境保护目标和预测网格SO</w:t>
      </w:r>
      <w:r>
        <w:rPr>
          <w:rFonts w:hint="eastAsia"/>
          <w:color w:val="auto"/>
          <w:vertAlign w:val="subscript"/>
        </w:rPr>
        <w:t>2</w:t>
      </w:r>
      <w:r>
        <w:rPr>
          <w:rFonts w:hint="eastAsia"/>
          <w:color w:val="auto"/>
        </w:rPr>
        <w:t>浓度贡献值叠加背景值98%的保证率日均值和年均浓度预测结果一览表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858"/>
        <w:gridCol w:w="1494"/>
        <w:gridCol w:w="1109"/>
        <w:gridCol w:w="1108"/>
        <w:gridCol w:w="1108"/>
        <w:gridCol w:w="1498"/>
        <w:gridCol w:w="946"/>
        <w:gridCol w:w="1058"/>
        <w:gridCol w:w="1108"/>
        <w:gridCol w:w="1108"/>
        <w:gridCol w:w="1108"/>
      </w:tblGrid>
      <w:tr w14:paraId="2C05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1F9D88A2">
            <w:pPr>
              <w:pStyle w:val="557"/>
              <w:rPr>
                <w:color w:val="auto"/>
              </w:rPr>
            </w:pPr>
            <w:r>
              <w:rPr>
                <w:rFonts w:hint="eastAsia"/>
              </w:rPr>
              <w:t>序号</w:t>
            </w:r>
          </w:p>
        </w:tc>
        <w:tc>
          <w:tcPr>
            <w:tcW w:w="1829" w:type="dxa"/>
            <w:tcBorders>
              <w:top w:val="single" w:color="auto" w:sz="4" w:space="0"/>
              <w:left w:val="single" w:color="auto" w:sz="4" w:space="0"/>
              <w:bottom w:val="single" w:color="auto" w:sz="4" w:space="0"/>
              <w:right w:val="single" w:color="auto" w:sz="4" w:space="0"/>
            </w:tcBorders>
            <w:noWrap/>
            <w:vAlign w:val="center"/>
          </w:tcPr>
          <w:p w14:paraId="798F6805">
            <w:pPr>
              <w:pStyle w:val="557"/>
            </w:pPr>
            <w:r>
              <w:rPr>
                <w:rFonts w:hint="eastAsia"/>
              </w:rPr>
              <w:t>点名称</w:t>
            </w:r>
          </w:p>
        </w:tc>
        <w:tc>
          <w:tcPr>
            <w:tcW w:w="1471" w:type="dxa"/>
            <w:tcBorders>
              <w:top w:val="single" w:color="auto" w:sz="4" w:space="0"/>
              <w:left w:val="single" w:color="auto" w:sz="4" w:space="0"/>
              <w:bottom w:val="single" w:color="auto" w:sz="4" w:space="0"/>
              <w:right w:val="single" w:color="auto" w:sz="4" w:space="0"/>
            </w:tcBorders>
            <w:noWrap/>
            <w:vAlign w:val="center"/>
          </w:tcPr>
          <w:p w14:paraId="0D96785D">
            <w:pPr>
              <w:pStyle w:val="557"/>
            </w:pPr>
            <w:r>
              <w:rPr>
                <w:rFonts w:hint="eastAsia"/>
              </w:rPr>
              <w:t>点坐标</w:t>
            </w:r>
            <w:r>
              <w:t>(x</w:t>
            </w:r>
            <w:r>
              <w:rPr>
                <w:rFonts w:hint="eastAsia"/>
              </w:rPr>
              <w:t>或</w:t>
            </w:r>
            <w:r>
              <w:t>r,y</w:t>
            </w:r>
            <w:r>
              <w:rPr>
                <w:rFonts w:hint="eastAsia"/>
              </w:rPr>
              <w:t>或</w:t>
            </w:r>
            <w:r>
              <w:t>a)</w:t>
            </w:r>
          </w:p>
        </w:tc>
        <w:tc>
          <w:tcPr>
            <w:tcW w:w="1091" w:type="dxa"/>
            <w:tcBorders>
              <w:top w:val="single" w:color="auto" w:sz="4" w:space="0"/>
              <w:left w:val="single" w:color="auto" w:sz="4" w:space="0"/>
              <w:bottom w:val="single" w:color="auto" w:sz="4" w:space="0"/>
              <w:right w:val="single" w:color="auto" w:sz="4" w:space="0"/>
            </w:tcBorders>
            <w:noWrap/>
            <w:vAlign w:val="center"/>
          </w:tcPr>
          <w:p w14:paraId="609434AA">
            <w:pPr>
              <w:pStyle w:val="557"/>
            </w:pPr>
            <w:r>
              <w:rPr>
                <w:rFonts w:hint="eastAsia"/>
              </w:rPr>
              <w:t>地面高程</w:t>
            </w:r>
            <w:r>
              <w:t>(m)</w:t>
            </w:r>
          </w:p>
        </w:tc>
        <w:tc>
          <w:tcPr>
            <w:tcW w:w="1090" w:type="dxa"/>
            <w:tcBorders>
              <w:top w:val="single" w:color="auto" w:sz="4" w:space="0"/>
              <w:left w:val="single" w:color="auto" w:sz="4" w:space="0"/>
              <w:bottom w:val="single" w:color="auto" w:sz="4" w:space="0"/>
              <w:right w:val="single" w:color="auto" w:sz="4" w:space="0"/>
            </w:tcBorders>
            <w:noWrap/>
            <w:vAlign w:val="center"/>
          </w:tcPr>
          <w:p w14:paraId="30B55665">
            <w:pPr>
              <w:pStyle w:val="557"/>
            </w:pPr>
            <w:r>
              <w:rPr>
                <w:rFonts w:hint="eastAsia"/>
              </w:rPr>
              <w:t>浓度类型</w:t>
            </w:r>
          </w:p>
        </w:tc>
        <w:tc>
          <w:tcPr>
            <w:tcW w:w="1090" w:type="dxa"/>
            <w:tcBorders>
              <w:top w:val="single" w:color="auto" w:sz="4" w:space="0"/>
              <w:left w:val="single" w:color="auto" w:sz="4" w:space="0"/>
              <w:bottom w:val="single" w:color="auto" w:sz="4" w:space="0"/>
              <w:right w:val="single" w:color="auto" w:sz="4" w:space="0"/>
            </w:tcBorders>
            <w:noWrap/>
            <w:vAlign w:val="center"/>
          </w:tcPr>
          <w:p w14:paraId="37C0251A">
            <w:pPr>
              <w:pStyle w:val="557"/>
            </w:pPr>
            <w:r>
              <w:rPr>
                <w:rFonts w:hint="eastAsia"/>
              </w:rPr>
              <w:t>浓度增量</w:t>
            </w:r>
            <w:r>
              <w:t>(mg/m^3)</w:t>
            </w:r>
          </w:p>
        </w:tc>
        <w:tc>
          <w:tcPr>
            <w:tcW w:w="1474" w:type="dxa"/>
            <w:tcBorders>
              <w:top w:val="single" w:color="auto" w:sz="4" w:space="0"/>
              <w:left w:val="single" w:color="auto" w:sz="4" w:space="0"/>
              <w:bottom w:val="single" w:color="auto" w:sz="4" w:space="0"/>
              <w:right w:val="single" w:color="auto" w:sz="4" w:space="0"/>
            </w:tcBorders>
            <w:noWrap/>
            <w:vAlign w:val="center"/>
          </w:tcPr>
          <w:p w14:paraId="615C2A10">
            <w:pPr>
              <w:pStyle w:val="557"/>
            </w:pPr>
            <w:r>
              <w:rPr>
                <w:rFonts w:hint="eastAsia"/>
              </w:rPr>
              <w:t>出现时间</w:t>
            </w:r>
            <w:r>
              <w:t>(YYMMDDHH)</w:t>
            </w:r>
          </w:p>
        </w:tc>
        <w:tc>
          <w:tcPr>
            <w:tcW w:w="931" w:type="dxa"/>
            <w:tcBorders>
              <w:top w:val="single" w:color="auto" w:sz="4" w:space="0"/>
              <w:left w:val="single" w:color="auto" w:sz="4" w:space="0"/>
              <w:bottom w:val="single" w:color="auto" w:sz="4" w:space="0"/>
              <w:right w:val="single" w:color="auto" w:sz="4" w:space="0"/>
            </w:tcBorders>
            <w:vAlign w:val="center"/>
          </w:tcPr>
          <w:p w14:paraId="27C69CED">
            <w:pPr>
              <w:pStyle w:val="557"/>
            </w:pPr>
            <w:r>
              <w:rPr>
                <w:rFonts w:hint="eastAsia"/>
              </w:rPr>
              <w:t>背景浓度</w:t>
            </w:r>
          </w:p>
          <w:p w14:paraId="097F0645">
            <w:pPr>
              <w:pStyle w:val="557"/>
            </w:pPr>
            <w:r>
              <w:t>(mg/m^3)</w:t>
            </w:r>
          </w:p>
        </w:tc>
        <w:tc>
          <w:tcPr>
            <w:tcW w:w="1041" w:type="dxa"/>
            <w:tcBorders>
              <w:top w:val="single" w:color="auto" w:sz="4" w:space="0"/>
              <w:left w:val="single" w:color="auto" w:sz="4" w:space="0"/>
              <w:bottom w:val="single" w:color="auto" w:sz="4" w:space="0"/>
              <w:right w:val="single" w:color="auto" w:sz="4" w:space="0"/>
            </w:tcBorders>
            <w:vAlign w:val="center"/>
          </w:tcPr>
          <w:p w14:paraId="69203432">
            <w:pPr>
              <w:pStyle w:val="557"/>
            </w:pPr>
            <w:r>
              <w:rPr>
                <w:rFonts w:hint="eastAsia"/>
              </w:rPr>
              <w:t>叠加浓度</w:t>
            </w:r>
          </w:p>
          <w:p w14:paraId="137F45AC">
            <w:pPr>
              <w:pStyle w:val="557"/>
            </w:pPr>
            <w:r>
              <w:t>(mg/m^3)</w:t>
            </w:r>
          </w:p>
        </w:tc>
        <w:tc>
          <w:tcPr>
            <w:tcW w:w="1090" w:type="dxa"/>
            <w:tcBorders>
              <w:top w:val="single" w:color="auto" w:sz="4" w:space="0"/>
              <w:left w:val="single" w:color="auto" w:sz="4" w:space="0"/>
              <w:bottom w:val="single" w:color="auto" w:sz="4" w:space="0"/>
              <w:right w:val="single" w:color="auto" w:sz="4" w:space="0"/>
            </w:tcBorders>
            <w:noWrap/>
            <w:vAlign w:val="center"/>
          </w:tcPr>
          <w:p w14:paraId="14A0935B">
            <w:pPr>
              <w:pStyle w:val="557"/>
            </w:pPr>
            <w:r>
              <w:rPr>
                <w:rFonts w:hint="eastAsia"/>
              </w:rPr>
              <w:t>评价标准</w:t>
            </w:r>
            <w:r>
              <w:t>(mg/m^3)</w:t>
            </w:r>
          </w:p>
        </w:tc>
        <w:tc>
          <w:tcPr>
            <w:tcW w:w="1090" w:type="dxa"/>
            <w:tcBorders>
              <w:top w:val="single" w:color="auto" w:sz="4" w:space="0"/>
              <w:left w:val="single" w:color="auto" w:sz="4" w:space="0"/>
              <w:bottom w:val="single" w:color="auto" w:sz="4" w:space="0"/>
              <w:right w:val="single" w:color="auto" w:sz="4" w:space="0"/>
            </w:tcBorders>
            <w:noWrap/>
            <w:vAlign w:val="center"/>
          </w:tcPr>
          <w:p w14:paraId="6F41C28D">
            <w:pPr>
              <w:pStyle w:val="557"/>
            </w:pPr>
            <w:r>
              <w:rPr>
                <w:rFonts w:hint="eastAsia"/>
              </w:rPr>
              <w:t>占标率</w:t>
            </w:r>
            <w:r>
              <w:t>%</w:t>
            </w:r>
          </w:p>
        </w:tc>
        <w:tc>
          <w:tcPr>
            <w:tcW w:w="1090" w:type="dxa"/>
            <w:tcBorders>
              <w:top w:val="single" w:color="auto" w:sz="4" w:space="0"/>
              <w:left w:val="single" w:color="auto" w:sz="4" w:space="0"/>
              <w:bottom w:val="single" w:color="auto" w:sz="4" w:space="0"/>
              <w:right w:val="single" w:color="auto" w:sz="4" w:space="0"/>
            </w:tcBorders>
            <w:noWrap/>
            <w:vAlign w:val="center"/>
          </w:tcPr>
          <w:p w14:paraId="48D199C7">
            <w:pPr>
              <w:pStyle w:val="557"/>
            </w:pPr>
            <w:r>
              <w:rPr>
                <w:rFonts w:hint="eastAsia"/>
              </w:rPr>
              <w:t>是否超标</w:t>
            </w:r>
          </w:p>
        </w:tc>
      </w:tr>
      <w:tr w14:paraId="1560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5F6FD4BB">
            <w:pPr>
              <w:pStyle w:val="557"/>
            </w:pPr>
            <w:r>
              <w:rPr>
                <w:rFonts w:hint="eastAsia"/>
              </w:rPr>
              <w:t>1</w:t>
            </w:r>
          </w:p>
        </w:tc>
        <w:tc>
          <w:tcPr>
            <w:tcW w:w="1829" w:type="dxa"/>
            <w:vMerge w:val="restart"/>
            <w:tcBorders>
              <w:top w:val="single" w:color="auto" w:sz="4" w:space="0"/>
              <w:left w:val="single" w:color="auto" w:sz="4" w:space="0"/>
              <w:bottom w:val="single" w:color="auto" w:sz="4" w:space="0"/>
              <w:right w:val="single" w:color="auto" w:sz="4" w:space="0"/>
            </w:tcBorders>
            <w:noWrap/>
            <w:vAlign w:val="center"/>
          </w:tcPr>
          <w:p w14:paraId="6040F228">
            <w:pPr>
              <w:pStyle w:val="557"/>
            </w:pPr>
            <w:r>
              <w:rPr>
                <w:rFonts w:hint="eastAsia"/>
              </w:rPr>
              <w:t>网格</w:t>
            </w:r>
          </w:p>
        </w:tc>
        <w:tc>
          <w:tcPr>
            <w:tcW w:w="1471" w:type="dxa"/>
            <w:tcBorders>
              <w:top w:val="single" w:color="auto" w:sz="4" w:space="0"/>
              <w:left w:val="single" w:color="auto" w:sz="4" w:space="0"/>
              <w:bottom w:val="single" w:color="auto" w:sz="4" w:space="0"/>
              <w:right w:val="single" w:color="auto" w:sz="4" w:space="0"/>
            </w:tcBorders>
            <w:noWrap/>
            <w:vAlign w:val="center"/>
          </w:tcPr>
          <w:p w14:paraId="3696DBC6">
            <w:pPr>
              <w:pStyle w:val="557"/>
            </w:pPr>
            <w:r>
              <w:rPr>
                <w:rFonts w:hint="eastAsia"/>
              </w:rPr>
              <w:t>-2500,-2250</w:t>
            </w:r>
          </w:p>
        </w:tc>
        <w:tc>
          <w:tcPr>
            <w:tcW w:w="1091" w:type="dxa"/>
            <w:tcBorders>
              <w:top w:val="single" w:color="auto" w:sz="4" w:space="0"/>
              <w:left w:val="single" w:color="auto" w:sz="4" w:space="0"/>
              <w:bottom w:val="single" w:color="auto" w:sz="4" w:space="0"/>
              <w:right w:val="single" w:color="auto" w:sz="4" w:space="0"/>
            </w:tcBorders>
            <w:noWrap/>
            <w:vAlign w:val="center"/>
          </w:tcPr>
          <w:p w14:paraId="5479FC57">
            <w:pPr>
              <w:pStyle w:val="557"/>
            </w:pPr>
            <w:r>
              <w:rPr>
                <w:rFonts w:hint="eastAsia"/>
              </w:rPr>
              <w:t>683.5</w:t>
            </w:r>
          </w:p>
        </w:tc>
        <w:tc>
          <w:tcPr>
            <w:tcW w:w="1090" w:type="dxa"/>
            <w:tcBorders>
              <w:top w:val="single" w:color="auto" w:sz="4" w:space="0"/>
              <w:left w:val="single" w:color="auto" w:sz="4" w:space="0"/>
              <w:bottom w:val="single" w:color="auto" w:sz="4" w:space="0"/>
              <w:right w:val="single" w:color="auto" w:sz="4" w:space="0"/>
            </w:tcBorders>
            <w:noWrap/>
            <w:vAlign w:val="center"/>
          </w:tcPr>
          <w:p w14:paraId="66D28565">
            <w:pPr>
              <w:pStyle w:val="557"/>
            </w:pPr>
            <w:r>
              <w:rPr>
                <w:rFonts w:hint="eastAsia"/>
              </w:rPr>
              <w:t>日平均</w:t>
            </w:r>
          </w:p>
        </w:tc>
        <w:tc>
          <w:tcPr>
            <w:tcW w:w="1090" w:type="dxa"/>
            <w:tcBorders>
              <w:top w:val="single" w:color="auto" w:sz="4" w:space="0"/>
              <w:left w:val="single" w:color="auto" w:sz="4" w:space="0"/>
              <w:bottom w:val="single" w:color="auto" w:sz="4" w:space="0"/>
              <w:right w:val="single" w:color="auto" w:sz="4" w:space="0"/>
            </w:tcBorders>
            <w:noWrap/>
            <w:vAlign w:val="center"/>
          </w:tcPr>
          <w:p w14:paraId="35547432">
            <w:pPr>
              <w:pStyle w:val="557"/>
            </w:pPr>
            <w:r>
              <w:rPr>
                <w:rFonts w:hint="eastAsia"/>
              </w:rPr>
              <w:t>0.000256</w:t>
            </w:r>
          </w:p>
        </w:tc>
        <w:tc>
          <w:tcPr>
            <w:tcW w:w="1474" w:type="dxa"/>
            <w:tcBorders>
              <w:top w:val="single" w:color="auto" w:sz="4" w:space="0"/>
              <w:left w:val="single" w:color="auto" w:sz="4" w:space="0"/>
              <w:bottom w:val="single" w:color="auto" w:sz="4" w:space="0"/>
              <w:right w:val="single" w:color="auto" w:sz="4" w:space="0"/>
            </w:tcBorders>
            <w:noWrap/>
            <w:vAlign w:val="center"/>
          </w:tcPr>
          <w:p w14:paraId="03FA695A">
            <w:pPr>
              <w:pStyle w:val="557"/>
            </w:pPr>
            <w:r>
              <w:rPr>
                <w:rFonts w:hint="eastAsia"/>
              </w:rPr>
              <w:t>230131</w:t>
            </w:r>
          </w:p>
        </w:tc>
        <w:tc>
          <w:tcPr>
            <w:tcW w:w="931" w:type="dxa"/>
            <w:tcBorders>
              <w:top w:val="single" w:color="auto" w:sz="4" w:space="0"/>
              <w:left w:val="single" w:color="auto" w:sz="4" w:space="0"/>
              <w:bottom w:val="single" w:color="auto" w:sz="4" w:space="0"/>
              <w:right w:val="single" w:color="auto" w:sz="4" w:space="0"/>
            </w:tcBorders>
            <w:vAlign w:val="center"/>
          </w:tcPr>
          <w:p w14:paraId="38A8443D">
            <w:pPr>
              <w:pStyle w:val="557"/>
            </w:pPr>
            <w:r>
              <w:rPr>
                <w:rFonts w:hint="eastAsia"/>
              </w:rPr>
              <w:t>0.015</w:t>
            </w:r>
          </w:p>
        </w:tc>
        <w:tc>
          <w:tcPr>
            <w:tcW w:w="1041" w:type="dxa"/>
            <w:tcBorders>
              <w:top w:val="single" w:color="auto" w:sz="4" w:space="0"/>
              <w:left w:val="single" w:color="auto" w:sz="4" w:space="0"/>
              <w:bottom w:val="single" w:color="auto" w:sz="4" w:space="0"/>
              <w:right w:val="single" w:color="auto" w:sz="4" w:space="0"/>
            </w:tcBorders>
            <w:vAlign w:val="center"/>
          </w:tcPr>
          <w:p w14:paraId="2A4EA7E3">
            <w:pPr>
              <w:pStyle w:val="557"/>
            </w:pPr>
            <w:r>
              <w:rPr>
                <w:rFonts w:hint="eastAsia"/>
              </w:rPr>
              <w:t>0.015256</w:t>
            </w:r>
          </w:p>
        </w:tc>
        <w:tc>
          <w:tcPr>
            <w:tcW w:w="1090" w:type="dxa"/>
            <w:tcBorders>
              <w:top w:val="single" w:color="auto" w:sz="4" w:space="0"/>
              <w:left w:val="single" w:color="auto" w:sz="4" w:space="0"/>
              <w:bottom w:val="single" w:color="auto" w:sz="4" w:space="0"/>
              <w:right w:val="single" w:color="auto" w:sz="4" w:space="0"/>
            </w:tcBorders>
            <w:noWrap/>
            <w:vAlign w:val="center"/>
          </w:tcPr>
          <w:p w14:paraId="268B6D22">
            <w:pPr>
              <w:pStyle w:val="557"/>
            </w:pPr>
            <w:r>
              <w:rPr>
                <w:rFonts w:hint="eastAsia"/>
              </w:rPr>
              <w:t>0.15</w:t>
            </w:r>
          </w:p>
        </w:tc>
        <w:tc>
          <w:tcPr>
            <w:tcW w:w="1090" w:type="dxa"/>
            <w:tcBorders>
              <w:top w:val="single" w:color="auto" w:sz="4" w:space="0"/>
              <w:left w:val="single" w:color="auto" w:sz="4" w:space="0"/>
              <w:bottom w:val="single" w:color="auto" w:sz="4" w:space="0"/>
              <w:right w:val="single" w:color="auto" w:sz="4" w:space="0"/>
            </w:tcBorders>
            <w:noWrap/>
            <w:vAlign w:val="center"/>
          </w:tcPr>
          <w:p w14:paraId="4DE677A2">
            <w:pPr>
              <w:pStyle w:val="557"/>
            </w:pPr>
            <w:r>
              <w:rPr>
                <w:rFonts w:hint="eastAsia"/>
              </w:rPr>
              <w:t>10.17</w:t>
            </w:r>
          </w:p>
        </w:tc>
        <w:tc>
          <w:tcPr>
            <w:tcW w:w="1090" w:type="dxa"/>
            <w:tcBorders>
              <w:top w:val="single" w:color="auto" w:sz="4" w:space="0"/>
              <w:left w:val="single" w:color="auto" w:sz="4" w:space="0"/>
              <w:bottom w:val="single" w:color="auto" w:sz="4" w:space="0"/>
              <w:right w:val="single" w:color="auto" w:sz="4" w:space="0"/>
            </w:tcBorders>
            <w:noWrap/>
            <w:vAlign w:val="center"/>
          </w:tcPr>
          <w:p w14:paraId="1D886A3B">
            <w:pPr>
              <w:pStyle w:val="557"/>
            </w:pPr>
            <w:r>
              <w:rPr>
                <w:rFonts w:hint="eastAsia"/>
              </w:rPr>
              <w:t>达标</w:t>
            </w:r>
          </w:p>
        </w:tc>
      </w:tr>
      <w:tr w14:paraId="0CB8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0176A3">
            <w:pPr>
              <w:jc w:val="center"/>
              <w:rPr>
                <w:rFonts w:hint="eastAsia"/>
                <w:bCs/>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311565">
            <w:pPr>
              <w:jc w:val="center"/>
              <w:rPr>
                <w:rFonts w:hint="eastAsia"/>
                <w:bCs/>
                <w:sz w:val="18"/>
                <w:szCs w:val="18"/>
                <w:u w:color="000000"/>
                <w:lang w:val="zh-CN" w:bidi="en-US"/>
              </w:rPr>
            </w:pPr>
          </w:p>
        </w:tc>
        <w:tc>
          <w:tcPr>
            <w:tcW w:w="1471" w:type="dxa"/>
            <w:tcBorders>
              <w:top w:val="single" w:color="auto" w:sz="4" w:space="0"/>
              <w:left w:val="single" w:color="auto" w:sz="4" w:space="0"/>
              <w:bottom w:val="single" w:color="auto" w:sz="4" w:space="0"/>
              <w:right w:val="single" w:color="auto" w:sz="4" w:space="0"/>
            </w:tcBorders>
            <w:noWrap/>
            <w:vAlign w:val="center"/>
          </w:tcPr>
          <w:p w14:paraId="060E96CA">
            <w:pPr>
              <w:pStyle w:val="557"/>
            </w:pPr>
            <w:r>
              <w:rPr>
                <w:rFonts w:hint="eastAsia"/>
              </w:rPr>
              <w:t>-150,-1300</w:t>
            </w:r>
          </w:p>
        </w:tc>
        <w:tc>
          <w:tcPr>
            <w:tcW w:w="1091" w:type="dxa"/>
            <w:tcBorders>
              <w:top w:val="single" w:color="auto" w:sz="4" w:space="0"/>
              <w:left w:val="single" w:color="auto" w:sz="4" w:space="0"/>
              <w:bottom w:val="single" w:color="auto" w:sz="4" w:space="0"/>
              <w:right w:val="single" w:color="auto" w:sz="4" w:space="0"/>
            </w:tcBorders>
            <w:noWrap/>
            <w:vAlign w:val="center"/>
          </w:tcPr>
          <w:p w14:paraId="78BB87B7">
            <w:pPr>
              <w:pStyle w:val="557"/>
            </w:pPr>
            <w:r>
              <w:rPr>
                <w:rFonts w:hint="eastAsia"/>
              </w:rPr>
              <w:t>683.2</w:t>
            </w:r>
          </w:p>
        </w:tc>
        <w:tc>
          <w:tcPr>
            <w:tcW w:w="1090" w:type="dxa"/>
            <w:tcBorders>
              <w:top w:val="single" w:color="auto" w:sz="4" w:space="0"/>
              <w:left w:val="single" w:color="auto" w:sz="4" w:space="0"/>
              <w:bottom w:val="single" w:color="auto" w:sz="4" w:space="0"/>
              <w:right w:val="single" w:color="auto" w:sz="4" w:space="0"/>
            </w:tcBorders>
            <w:noWrap/>
            <w:vAlign w:val="center"/>
          </w:tcPr>
          <w:p w14:paraId="4D526A7F">
            <w:pPr>
              <w:pStyle w:val="557"/>
            </w:pPr>
            <w:r>
              <w:rPr>
                <w:rFonts w:hint="eastAsia"/>
              </w:rPr>
              <w:t>年平均</w:t>
            </w:r>
          </w:p>
        </w:tc>
        <w:tc>
          <w:tcPr>
            <w:tcW w:w="1090" w:type="dxa"/>
            <w:tcBorders>
              <w:top w:val="single" w:color="auto" w:sz="4" w:space="0"/>
              <w:left w:val="single" w:color="auto" w:sz="4" w:space="0"/>
              <w:bottom w:val="single" w:color="auto" w:sz="4" w:space="0"/>
              <w:right w:val="single" w:color="auto" w:sz="4" w:space="0"/>
            </w:tcBorders>
            <w:noWrap/>
            <w:vAlign w:val="center"/>
          </w:tcPr>
          <w:p w14:paraId="6DCC5D14">
            <w:pPr>
              <w:pStyle w:val="557"/>
            </w:pPr>
            <w:r>
              <w:rPr>
                <w:rFonts w:hint="eastAsia"/>
              </w:rPr>
              <w:t>0.001999</w:t>
            </w:r>
          </w:p>
        </w:tc>
        <w:tc>
          <w:tcPr>
            <w:tcW w:w="1474" w:type="dxa"/>
            <w:tcBorders>
              <w:top w:val="single" w:color="auto" w:sz="4" w:space="0"/>
              <w:left w:val="single" w:color="auto" w:sz="4" w:space="0"/>
              <w:bottom w:val="single" w:color="auto" w:sz="4" w:space="0"/>
              <w:right w:val="single" w:color="auto" w:sz="4" w:space="0"/>
            </w:tcBorders>
            <w:noWrap/>
            <w:vAlign w:val="center"/>
          </w:tcPr>
          <w:p w14:paraId="541BCB64">
            <w:pPr>
              <w:pStyle w:val="557"/>
            </w:pPr>
            <w:r>
              <w:rPr>
                <w:rFonts w:hint="eastAsia"/>
              </w:rPr>
              <w:t>平均值</w:t>
            </w:r>
          </w:p>
        </w:tc>
        <w:tc>
          <w:tcPr>
            <w:tcW w:w="931" w:type="dxa"/>
            <w:tcBorders>
              <w:top w:val="single" w:color="auto" w:sz="4" w:space="0"/>
              <w:left w:val="single" w:color="auto" w:sz="4" w:space="0"/>
              <w:bottom w:val="single" w:color="auto" w:sz="4" w:space="0"/>
              <w:right w:val="single" w:color="auto" w:sz="4" w:space="0"/>
            </w:tcBorders>
            <w:vAlign w:val="center"/>
          </w:tcPr>
          <w:p w14:paraId="4956905F">
            <w:pPr>
              <w:pStyle w:val="557"/>
            </w:pPr>
            <w:r>
              <w:rPr>
                <w:rFonts w:hint="eastAsia"/>
              </w:rPr>
              <w:t>0.00571</w:t>
            </w:r>
          </w:p>
        </w:tc>
        <w:tc>
          <w:tcPr>
            <w:tcW w:w="1041" w:type="dxa"/>
            <w:tcBorders>
              <w:top w:val="single" w:color="auto" w:sz="4" w:space="0"/>
              <w:left w:val="single" w:color="auto" w:sz="4" w:space="0"/>
              <w:bottom w:val="single" w:color="auto" w:sz="4" w:space="0"/>
              <w:right w:val="single" w:color="auto" w:sz="4" w:space="0"/>
            </w:tcBorders>
            <w:vAlign w:val="center"/>
          </w:tcPr>
          <w:p w14:paraId="18ED6C93">
            <w:pPr>
              <w:pStyle w:val="557"/>
            </w:pPr>
            <w:r>
              <w:rPr>
                <w:rFonts w:hint="eastAsia"/>
              </w:rPr>
              <w:t>0.007708</w:t>
            </w:r>
          </w:p>
        </w:tc>
        <w:tc>
          <w:tcPr>
            <w:tcW w:w="1090" w:type="dxa"/>
            <w:tcBorders>
              <w:top w:val="single" w:color="auto" w:sz="4" w:space="0"/>
              <w:left w:val="single" w:color="auto" w:sz="4" w:space="0"/>
              <w:bottom w:val="single" w:color="auto" w:sz="4" w:space="0"/>
              <w:right w:val="single" w:color="auto" w:sz="4" w:space="0"/>
            </w:tcBorders>
            <w:noWrap/>
            <w:vAlign w:val="center"/>
          </w:tcPr>
          <w:p w14:paraId="676AF1A2">
            <w:pPr>
              <w:pStyle w:val="557"/>
            </w:pPr>
            <w:r>
              <w:rPr>
                <w:rFonts w:hint="eastAsia"/>
              </w:rPr>
              <w:t>0.06</w:t>
            </w:r>
          </w:p>
        </w:tc>
        <w:tc>
          <w:tcPr>
            <w:tcW w:w="1090" w:type="dxa"/>
            <w:tcBorders>
              <w:top w:val="single" w:color="auto" w:sz="4" w:space="0"/>
              <w:left w:val="single" w:color="auto" w:sz="4" w:space="0"/>
              <w:bottom w:val="single" w:color="auto" w:sz="4" w:space="0"/>
              <w:right w:val="single" w:color="auto" w:sz="4" w:space="0"/>
            </w:tcBorders>
            <w:noWrap/>
            <w:vAlign w:val="center"/>
          </w:tcPr>
          <w:p w14:paraId="0CC4B077">
            <w:pPr>
              <w:pStyle w:val="557"/>
            </w:pPr>
            <w:r>
              <w:rPr>
                <w:rFonts w:hint="eastAsia"/>
              </w:rPr>
              <w:t>12.85</w:t>
            </w:r>
          </w:p>
        </w:tc>
        <w:tc>
          <w:tcPr>
            <w:tcW w:w="1090" w:type="dxa"/>
            <w:tcBorders>
              <w:top w:val="single" w:color="auto" w:sz="4" w:space="0"/>
              <w:left w:val="single" w:color="auto" w:sz="4" w:space="0"/>
              <w:bottom w:val="single" w:color="auto" w:sz="4" w:space="0"/>
              <w:right w:val="single" w:color="auto" w:sz="4" w:space="0"/>
            </w:tcBorders>
            <w:noWrap/>
            <w:vAlign w:val="center"/>
          </w:tcPr>
          <w:p w14:paraId="70B28C2F">
            <w:pPr>
              <w:pStyle w:val="557"/>
            </w:pPr>
            <w:r>
              <w:rPr>
                <w:rFonts w:hint="eastAsia"/>
              </w:rPr>
              <w:t>达标</w:t>
            </w:r>
          </w:p>
        </w:tc>
      </w:tr>
    </w:tbl>
    <w:p w14:paraId="2CA17FB6">
      <w:pPr>
        <w:pStyle w:val="557"/>
      </w:pPr>
    </w:p>
    <w:p w14:paraId="4AAD3398">
      <w:pPr>
        <w:pStyle w:val="645"/>
        <w:rPr>
          <w:rFonts w:hint="eastAsia"/>
        </w:rPr>
      </w:pPr>
      <w:r>
        <w:rPr>
          <w:rFonts w:hint="eastAsia"/>
          <w:spacing w:val="8"/>
        </w:rPr>
        <w:t>表5.2.8-11</w:t>
      </w:r>
      <w:r>
        <w:rPr>
          <w:rFonts w:hint="eastAsia"/>
        </w:rPr>
        <w:t xml:space="preserve">   环境保护目标和预测网格NO</w:t>
      </w:r>
      <w:r>
        <w:rPr>
          <w:rFonts w:hint="eastAsia"/>
          <w:vertAlign w:val="subscript"/>
        </w:rPr>
        <w:t>2</w:t>
      </w:r>
      <w:r>
        <w:rPr>
          <w:rFonts w:hint="eastAsia"/>
        </w:rPr>
        <w:t>浓度贡献值叠加背景值98%的保证率日均值和年均浓度预测结果一览表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858"/>
        <w:gridCol w:w="1494"/>
        <w:gridCol w:w="1109"/>
        <w:gridCol w:w="1108"/>
        <w:gridCol w:w="1108"/>
        <w:gridCol w:w="1498"/>
        <w:gridCol w:w="946"/>
        <w:gridCol w:w="1058"/>
        <w:gridCol w:w="1108"/>
        <w:gridCol w:w="1108"/>
        <w:gridCol w:w="1108"/>
      </w:tblGrid>
      <w:tr w14:paraId="3ACA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tcBorders>
              <w:top w:val="single" w:color="auto" w:sz="4" w:space="0"/>
              <w:left w:val="single" w:color="auto" w:sz="4" w:space="0"/>
              <w:bottom w:val="single" w:color="auto" w:sz="4" w:space="0"/>
              <w:right w:val="single" w:color="auto" w:sz="4" w:space="0"/>
            </w:tcBorders>
            <w:noWrap/>
            <w:vAlign w:val="center"/>
          </w:tcPr>
          <w:p w14:paraId="71A13D2F">
            <w:pPr>
              <w:pStyle w:val="557"/>
              <w:rPr>
                <w:color w:val="auto"/>
              </w:rPr>
            </w:pPr>
            <w:r>
              <w:rPr>
                <w:rFonts w:hint="eastAsia"/>
              </w:rPr>
              <w:t>序号</w:t>
            </w:r>
          </w:p>
        </w:tc>
        <w:tc>
          <w:tcPr>
            <w:tcW w:w="1829" w:type="dxa"/>
            <w:tcBorders>
              <w:top w:val="single" w:color="auto" w:sz="4" w:space="0"/>
              <w:left w:val="single" w:color="auto" w:sz="4" w:space="0"/>
              <w:bottom w:val="single" w:color="auto" w:sz="4" w:space="0"/>
              <w:right w:val="single" w:color="auto" w:sz="4" w:space="0"/>
            </w:tcBorders>
            <w:noWrap/>
            <w:vAlign w:val="center"/>
          </w:tcPr>
          <w:p w14:paraId="51B534A7">
            <w:pPr>
              <w:pStyle w:val="557"/>
            </w:pPr>
            <w:r>
              <w:rPr>
                <w:rFonts w:hint="eastAsia"/>
              </w:rPr>
              <w:t>点名称</w:t>
            </w:r>
          </w:p>
        </w:tc>
        <w:tc>
          <w:tcPr>
            <w:tcW w:w="1471" w:type="dxa"/>
            <w:tcBorders>
              <w:top w:val="single" w:color="auto" w:sz="4" w:space="0"/>
              <w:left w:val="single" w:color="auto" w:sz="4" w:space="0"/>
              <w:bottom w:val="single" w:color="auto" w:sz="4" w:space="0"/>
              <w:right w:val="single" w:color="auto" w:sz="4" w:space="0"/>
            </w:tcBorders>
            <w:noWrap/>
            <w:vAlign w:val="center"/>
          </w:tcPr>
          <w:p w14:paraId="2FB1B8D2">
            <w:pPr>
              <w:pStyle w:val="557"/>
            </w:pPr>
            <w:r>
              <w:rPr>
                <w:rFonts w:hint="eastAsia"/>
              </w:rPr>
              <w:t>点坐标</w:t>
            </w:r>
            <w:r>
              <w:t>(x</w:t>
            </w:r>
            <w:r>
              <w:rPr>
                <w:rFonts w:hint="eastAsia"/>
              </w:rPr>
              <w:t>或</w:t>
            </w:r>
            <w:r>
              <w:t>r,y</w:t>
            </w:r>
            <w:r>
              <w:rPr>
                <w:rFonts w:hint="eastAsia"/>
              </w:rPr>
              <w:t>或</w:t>
            </w:r>
            <w:r>
              <w:t>a)</w:t>
            </w:r>
          </w:p>
        </w:tc>
        <w:tc>
          <w:tcPr>
            <w:tcW w:w="1091" w:type="dxa"/>
            <w:tcBorders>
              <w:top w:val="single" w:color="auto" w:sz="4" w:space="0"/>
              <w:left w:val="single" w:color="auto" w:sz="4" w:space="0"/>
              <w:bottom w:val="single" w:color="auto" w:sz="4" w:space="0"/>
              <w:right w:val="single" w:color="auto" w:sz="4" w:space="0"/>
            </w:tcBorders>
            <w:noWrap/>
            <w:vAlign w:val="center"/>
          </w:tcPr>
          <w:p w14:paraId="500C1513">
            <w:pPr>
              <w:pStyle w:val="557"/>
            </w:pPr>
            <w:r>
              <w:rPr>
                <w:rFonts w:hint="eastAsia"/>
              </w:rPr>
              <w:t>地面高程</w:t>
            </w:r>
            <w:r>
              <w:t>(m)</w:t>
            </w:r>
          </w:p>
        </w:tc>
        <w:tc>
          <w:tcPr>
            <w:tcW w:w="1090" w:type="dxa"/>
            <w:tcBorders>
              <w:top w:val="single" w:color="auto" w:sz="4" w:space="0"/>
              <w:left w:val="single" w:color="auto" w:sz="4" w:space="0"/>
              <w:bottom w:val="single" w:color="auto" w:sz="4" w:space="0"/>
              <w:right w:val="single" w:color="auto" w:sz="4" w:space="0"/>
            </w:tcBorders>
            <w:noWrap/>
            <w:vAlign w:val="center"/>
          </w:tcPr>
          <w:p w14:paraId="7A9149FF">
            <w:pPr>
              <w:pStyle w:val="557"/>
            </w:pPr>
            <w:r>
              <w:rPr>
                <w:rFonts w:hint="eastAsia"/>
              </w:rPr>
              <w:t>浓度类型</w:t>
            </w:r>
          </w:p>
        </w:tc>
        <w:tc>
          <w:tcPr>
            <w:tcW w:w="1090" w:type="dxa"/>
            <w:tcBorders>
              <w:top w:val="single" w:color="auto" w:sz="4" w:space="0"/>
              <w:left w:val="single" w:color="auto" w:sz="4" w:space="0"/>
              <w:bottom w:val="single" w:color="auto" w:sz="4" w:space="0"/>
              <w:right w:val="single" w:color="auto" w:sz="4" w:space="0"/>
            </w:tcBorders>
            <w:noWrap/>
            <w:vAlign w:val="center"/>
          </w:tcPr>
          <w:p w14:paraId="32D0C282">
            <w:pPr>
              <w:pStyle w:val="557"/>
            </w:pPr>
            <w:r>
              <w:rPr>
                <w:rFonts w:hint="eastAsia"/>
              </w:rPr>
              <w:t>浓度增量</w:t>
            </w:r>
            <w:r>
              <w:t>(mg/m^3)</w:t>
            </w:r>
          </w:p>
        </w:tc>
        <w:tc>
          <w:tcPr>
            <w:tcW w:w="1474" w:type="dxa"/>
            <w:tcBorders>
              <w:top w:val="single" w:color="auto" w:sz="4" w:space="0"/>
              <w:left w:val="single" w:color="auto" w:sz="4" w:space="0"/>
              <w:bottom w:val="single" w:color="auto" w:sz="4" w:space="0"/>
              <w:right w:val="single" w:color="auto" w:sz="4" w:space="0"/>
            </w:tcBorders>
            <w:noWrap/>
            <w:vAlign w:val="center"/>
          </w:tcPr>
          <w:p w14:paraId="0DC2CD45">
            <w:pPr>
              <w:pStyle w:val="557"/>
            </w:pPr>
            <w:r>
              <w:rPr>
                <w:rFonts w:hint="eastAsia"/>
              </w:rPr>
              <w:t>出现时间</w:t>
            </w:r>
            <w:r>
              <w:t>(YYMMDDHH)</w:t>
            </w:r>
          </w:p>
        </w:tc>
        <w:tc>
          <w:tcPr>
            <w:tcW w:w="931" w:type="dxa"/>
            <w:tcBorders>
              <w:top w:val="single" w:color="auto" w:sz="4" w:space="0"/>
              <w:left w:val="single" w:color="auto" w:sz="4" w:space="0"/>
              <w:bottom w:val="single" w:color="auto" w:sz="4" w:space="0"/>
              <w:right w:val="single" w:color="auto" w:sz="4" w:space="0"/>
            </w:tcBorders>
            <w:vAlign w:val="center"/>
          </w:tcPr>
          <w:p w14:paraId="054993F5">
            <w:pPr>
              <w:pStyle w:val="557"/>
            </w:pPr>
            <w:r>
              <w:rPr>
                <w:rFonts w:hint="eastAsia"/>
              </w:rPr>
              <w:t>背景浓度</w:t>
            </w:r>
          </w:p>
          <w:p w14:paraId="72BDC0D8">
            <w:pPr>
              <w:pStyle w:val="557"/>
            </w:pPr>
            <w:r>
              <w:t>(mg/m^3)</w:t>
            </w:r>
          </w:p>
        </w:tc>
        <w:tc>
          <w:tcPr>
            <w:tcW w:w="1041" w:type="dxa"/>
            <w:tcBorders>
              <w:top w:val="single" w:color="auto" w:sz="4" w:space="0"/>
              <w:left w:val="single" w:color="auto" w:sz="4" w:space="0"/>
              <w:bottom w:val="single" w:color="auto" w:sz="4" w:space="0"/>
              <w:right w:val="single" w:color="auto" w:sz="4" w:space="0"/>
            </w:tcBorders>
            <w:vAlign w:val="center"/>
          </w:tcPr>
          <w:p w14:paraId="749C0A10">
            <w:pPr>
              <w:pStyle w:val="557"/>
            </w:pPr>
            <w:r>
              <w:rPr>
                <w:rFonts w:hint="eastAsia"/>
              </w:rPr>
              <w:t>叠加浓度</w:t>
            </w:r>
          </w:p>
          <w:p w14:paraId="213B01B9">
            <w:pPr>
              <w:pStyle w:val="557"/>
            </w:pPr>
            <w:r>
              <w:t>(mg/m^3)</w:t>
            </w:r>
          </w:p>
        </w:tc>
        <w:tc>
          <w:tcPr>
            <w:tcW w:w="1090" w:type="dxa"/>
            <w:tcBorders>
              <w:top w:val="single" w:color="auto" w:sz="4" w:space="0"/>
              <w:left w:val="single" w:color="auto" w:sz="4" w:space="0"/>
              <w:bottom w:val="single" w:color="auto" w:sz="4" w:space="0"/>
              <w:right w:val="single" w:color="auto" w:sz="4" w:space="0"/>
            </w:tcBorders>
            <w:noWrap/>
            <w:vAlign w:val="center"/>
          </w:tcPr>
          <w:p w14:paraId="6FBDDE10">
            <w:pPr>
              <w:pStyle w:val="557"/>
            </w:pPr>
            <w:r>
              <w:rPr>
                <w:rFonts w:hint="eastAsia"/>
              </w:rPr>
              <w:t>评价标准</w:t>
            </w:r>
            <w:r>
              <w:t>(mg/m^3)</w:t>
            </w:r>
          </w:p>
        </w:tc>
        <w:tc>
          <w:tcPr>
            <w:tcW w:w="1090" w:type="dxa"/>
            <w:tcBorders>
              <w:top w:val="single" w:color="auto" w:sz="4" w:space="0"/>
              <w:left w:val="single" w:color="auto" w:sz="4" w:space="0"/>
              <w:bottom w:val="single" w:color="auto" w:sz="4" w:space="0"/>
              <w:right w:val="single" w:color="auto" w:sz="4" w:space="0"/>
            </w:tcBorders>
            <w:noWrap/>
            <w:vAlign w:val="center"/>
          </w:tcPr>
          <w:p w14:paraId="61FCED11">
            <w:pPr>
              <w:pStyle w:val="557"/>
            </w:pPr>
            <w:r>
              <w:rPr>
                <w:rFonts w:hint="eastAsia"/>
              </w:rPr>
              <w:t>占标率</w:t>
            </w:r>
            <w:r>
              <w:t>%</w:t>
            </w:r>
          </w:p>
        </w:tc>
        <w:tc>
          <w:tcPr>
            <w:tcW w:w="1090" w:type="dxa"/>
            <w:tcBorders>
              <w:top w:val="single" w:color="auto" w:sz="4" w:space="0"/>
              <w:left w:val="single" w:color="auto" w:sz="4" w:space="0"/>
              <w:bottom w:val="single" w:color="auto" w:sz="4" w:space="0"/>
              <w:right w:val="single" w:color="auto" w:sz="4" w:space="0"/>
            </w:tcBorders>
            <w:noWrap/>
            <w:vAlign w:val="center"/>
          </w:tcPr>
          <w:p w14:paraId="3F1F9CB0">
            <w:pPr>
              <w:pStyle w:val="557"/>
            </w:pPr>
            <w:r>
              <w:rPr>
                <w:rFonts w:hint="eastAsia"/>
              </w:rPr>
              <w:t>是否超标</w:t>
            </w:r>
          </w:p>
        </w:tc>
      </w:tr>
      <w:tr w14:paraId="7774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1" w:type="dxa"/>
            <w:vMerge w:val="restart"/>
            <w:tcBorders>
              <w:top w:val="single" w:color="auto" w:sz="4" w:space="0"/>
              <w:left w:val="single" w:color="auto" w:sz="4" w:space="0"/>
              <w:bottom w:val="single" w:color="auto" w:sz="4" w:space="0"/>
              <w:right w:val="single" w:color="auto" w:sz="4" w:space="0"/>
            </w:tcBorders>
            <w:noWrap/>
            <w:vAlign w:val="center"/>
          </w:tcPr>
          <w:p w14:paraId="133D07B8">
            <w:pPr>
              <w:pStyle w:val="557"/>
            </w:pPr>
            <w:r>
              <w:rPr>
                <w:rFonts w:hint="eastAsia"/>
              </w:rPr>
              <w:t>1</w:t>
            </w:r>
          </w:p>
        </w:tc>
        <w:tc>
          <w:tcPr>
            <w:tcW w:w="1829" w:type="dxa"/>
            <w:vMerge w:val="restart"/>
            <w:tcBorders>
              <w:top w:val="single" w:color="auto" w:sz="4" w:space="0"/>
              <w:left w:val="single" w:color="auto" w:sz="4" w:space="0"/>
              <w:bottom w:val="single" w:color="auto" w:sz="4" w:space="0"/>
              <w:right w:val="single" w:color="auto" w:sz="4" w:space="0"/>
            </w:tcBorders>
            <w:noWrap/>
            <w:vAlign w:val="center"/>
          </w:tcPr>
          <w:p w14:paraId="275DE6FA">
            <w:pPr>
              <w:pStyle w:val="557"/>
            </w:pPr>
            <w:r>
              <w:rPr>
                <w:rFonts w:hint="eastAsia"/>
              </w:rPr>
              <w:t>网格</w:t>
            </w:r>
          </w:p>
        </w:tc>
        <w:tc>
          <w:tcPr>
            <w:tcW w:w="1471" w:type="dxa"/>
            <w:tcBorders>
              <w:top w:val="single" w:color="auto" w:sz="4" w:space="0"/>
              <w:left w:val="single" w:color="auto" w:sz="4" w:space="0"/>
              <w:bottom w:val="single" w:color="auto" w:sz="4" w:space="0"/>
              <w:right w:val="single" w:color="auto" w:sz="4" w:space="0"/>
            </w:tcBorders>
            <w:noWrap/>
            <w:vAlign w:val="center"/>
          </w:tcPr>
          <w:p w14:paraId="5872C316">
            <w:pPr>
              <w:pStyle w:val="557"/>
            </w:pPr>
            <w:r>
              <w:rPr>
                <w:rFonts w:hint="eastAsia"/>
              </w:rPr>
              <w:t>-250,-1250</w:t>
            </w:r>
          </w:p>
        </w:tc>
        <w:tc>
          <w:tcPr>
            <w:tcW w:w="1091" w:type="dxa"/>
            <w:tcBorders>
              <w:top w:val="single" w:color="auto" w:sz="4" w:space="0"/>
              <w:left w:val="single" w:color="auto" w:sz="4" w:space="0"/>
              <w:bottom w:val="single" w:color="auto" w:sz="4" w:space="0"/>
              <w:right w:val="single" w:color="auto" w:sz="4" w:space="0"/>
            </w:tcBorders>
            <w:noWrap/>
            <w:vAlign w:val="center"/>
          </w:tcPr>
          <w:p w14:paraId="45B2FAA9">
            <w:pPr>
              <w:pStyle w:val="557"/>
            </w:pPr>
            <w:r>
              <w:rPr>
                <w:rFonts w:hint="eastAsia"/>
              </w:rPr>
              <w:t>686.4</w:t>
            </w:r>
          </w:p>
        </w:tc>
        <w:tc>
          <w:tcPr>
            <w:tcW w:w="1090" w:type="dxa"/>
            <w:tcBorders>
              <w:top w:val="single" w:color="auto" w:sz="4" w:space="0"/>
              <w:left w:val="single" w:color="auto" w:sz="4" w:space="0"/>
              <w:bottom w:val="single" w:color="auto" w:sz="4" w:space="0"/>
              <w:right w:val="single" w:color="auto" w:sz="4" w:space="0"/>
            </w:tcBorders>
            <w:noWrap/>
            <w:vAlign w:val="center"/>
          </w:tcPr>
          <w:p w14:paraId="7E46ECCC">
            <w:pPr>
              <w:pStyle w:val="557"/>
            </w:pPr>
            <w:r>
              <w:rPr>
                <w:rFonts w:hint="eastAsia"/>
              </w:rPr>
              <w:t>日平均</w:t>
            </w:r>
          </w:p>
        </w:tc>
        <w:tc>
          <w:tcPr>
            <w:tcW w:w="1090" w:type="dxa"/>
            <w:tcBorders>
              <w:top w:val="single" w:color="auto" w:sz="4" w:space="0"/>
              <w:left w:val="single" w:color="auto" w:sz="4" w:space="0"/>
              <w:bottom w:val="single" w:color="auto" w:sz="4" w:space="0"/>
              <w:right w:val="single" w:color="auto" w:sz="4" w:space="0"/>
            </w:tcBorders>
            <w:noWrap/>
            <w:vAlign w:val="center"/>
          </w:tcPr>
          <w:p w14:paraId="01F75249">
            <w:pPr>
              <w:pStyle w:val="557"/>
            </w:pPr>
            <w:r>
              <w:rPr>
                <w:rFonts w:hint="eastAsia"/>
              </w:rPr>
              <w:t>0.000001</w:t>
            </w:r>
          </w:p>
        </w:tc>
        <w:tc>
          <w:tcPr>
            <w:tcW w:w="1474" w:type="dxa"/>
            <w:tcBorders>
              <w:top w:val="single" w:color="auto" w:sz="4" w:space="0"/>
              <w:left w:val="single" w:color="auto" w:sz="4" w:space="0"/>
              <w:bottom w:val="single" w:color="auto" w:sz="4" w:space="0"/>
              <w:right w:val="single" w:color="auto" w:sz="4" w:space="0"/>
            </w:tcBorders>
            <w:noWrap/>
            <w:vAlign w:val="center"/>
          </w:tcPr>
          <w:p w14:paraId="081C7DE2">
            <w:pPr>
              <w:pStyle w:val="557"/>
            </w:pPr>
            <w:r>
              <w:rPr>
                <w:rFonts w:hint="eastAsia"/>
              </w:rPr>
              <w:t>231220</w:t>
            </w:r>
          </w:p>
        </w:tc>
        <w:tc>
          <w:tcPr>
            <w:tcW w:w="931" w:type="dxa"/>
            <w:tcBorders>
              <w:top w:val="single" w:color="auto" w:sz="4" w:space="0"/>
              <w:left w:val="single" w:color="auto" w:sz="4" w:space="0"/>
              <w:bottom w:val="single" w:color="auto" w:sz="4" w:space="0"/>
              <w:right w:val="single" w:color="auto" w:sz="4" w:space="0"/>
            </w:tcBorders>
            <w:vAlign w:val="center"/>
          </w:tcPr>
          <w:p w14:paraId="481605E5">
            <w:pPr>
              <w:pStyle w:val="557"/>
            </w:pPr>
            <w:r>
              <w:rPr>
                <w:rFonts w:hint="eastAsia"/>
              </w:rPr>
              <w:t>0.053</w:t>
            </w:r>
          </w:p>
        </w:tc>
        <w:tc>
          <w:tcPr>
            <w:tcW w:w="1041" w:type="dxa"/>
            <w:tcBorders>
              <w:top w:val="single" w:color="auto" w:sz="4" w:space="0"/>
              <w:left w:val="single" w:color="auto" w:sz="4" w:space="0"/>
              <w:bottom w:val="single" w:color="auto" w:sz="4" w:space="0"/>
              <w:right w:val="single" w:color="auto" w:sz="4" w:space="0"/>
            </w:tcBorders>
            <w:vAlign w:val="center"/>
          </w:tcPr>
          <w:p w14:paraId="0FECF4E8">
            <w:pPr>
              <w:pStyle w:val="557"/>
            </w:pPr>
            <w:r>
              <w:rPr>
                <w:rFonts w:hint="eastAsia"/>
              </w:rPr>
              <w:t>0.053001</w:t>
            </w:r>
          </w:p>
        </w:tc>
        <w:tc>
          <w:tcPr>
            <w:tcW w:w="1090" w:type="dxa"/>
            <w:tcBorders>
              <w:top w:val="single" w:color="auto" w:sz="4" w:space="0"/>
              <w:left w:val="single" w:color="auto" w:sz="4" w:space="0"/>
              <w:bottom w:val="single" w:color="auto" w:sz="4" w:space="0"/>
              <w:right w:val="single" w:color="auto" w:sz="4" w:space="0"/>
            </w:tcBorders>
            <w:noWrap/>
            <w:vAlign w:val="center"/>
          </w:tcPr>
          <w:p w14:paraId="107C20DB">
            <w:pPr>
              <w:pStyle w:val="557"/>
            </w:pPr>
            <w:r>
              <w:rPr>
                <w:rFonts w:hint="eastAsia"/>
              </w:rPr>
              <w:t>0.08</w:t>
            </w:r>
          </w:p>
        </w:tc>
        <w:tc>
          <w:tcPr>
            <w:tcW w:w="1090" w:type="dxa"/>
            <w:tcBorders>
              <w:top w:val="single" w:color="auto" w:sz="4" w:space="0"/>
              <w:left w:val="single" w:color="auto" w:sz="4" w:space="0"/>
              <w:bottom w:val="single" w:color="auto" w:sz="4" w:space="0"/>
              <w:right w:val="single" w:color="auto" w:sz="4" w:space="0"/>
            </w:tcBorders>
            <w:noWrap/>
            <w:vAlign w:val="center"/>
          </w:tcPr>
          <w:p w14:paraId="05052A5C">
            <w:pPr>
              <w:pStyle w:val="557"/>
            </w:pPr>
            <w:r>
              <w:rPr>
                <w:rFonts w:hint="eastAsia"/>
              </w:rPr>
              <w:t>66.25</w:t>
            </w:r>
          </w:p>
        </w:tc>
        <w:tc>
          <w:tcPr>
            <w:tcW w:w="1090" w:type="dxa"/>
            <w:tcBorders>
              <w:top w:val="single" w:color="auto" w:sz="4" w:space="0"/>
              <w:left w:val="single" w:color="auto" w:sz="4" w:space="0"/>
              <w:bottom w:val="single" w:color="auto" w:sz="4" w:space="0"/>
              <w:right w:val="single" w:color="auto" w:sz="4" w:space="0"/>
            </w:tcBorders>
            <w:noWrap/>
            <w:vAlign w:val="center"/>
          </w:tcPr>
          <w:p w14:paraId="3236B2C3">
            <w:pPr>
              <w:pStyle w:val="557"/>
            </w:pPr>
            <w:r>
              <w:rPr>
                <w:rFonts w:hint="eastAsia"/>
              </w:rPr>
              <w:t>达标</w:t>
            </w:r>
          </w:p>
        </w:tc>
      </w:tr>
      <w:tr w14:paraId="394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0CB3B2C">
            <w:pPr>
              <w:jc w:val="center"/>
              <w:rPr>
                <w:rFonts w:hint="eastAsia"/>
                <w:bCs/>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FA9E552">
            <w:pPr>
              <w:jc w:val="center"/>
              <w:rPr>
                <w:rFonts w:hint="eastAsia"/>
                <w:bCs/>
                <w:sz w:val="18"/>
                <w:szCs w:val="18"/>
                <w:u w:color="000000"/>
                <w:lang w:val="zh-CN" w:bidi="en-US"/>
              </w:rPr>
            </w:pPr>
          </w:p>
        </w:tc>
        <w:tc>
          <w:tcPr>
            <w:tcW w:w="1471" w:type="dxa"/>
            <w:tcBorders>
              <w:top w:val="single" w:color="auto" w:sz="4" w:space="0"/>
              <w:left w:val="single" w:color="auto" w:sz="4" w:space="0"/>
              <w:bottom w:val="single" w:color="auto" w:sz="4" w:space="0"/>
              <w:right w:val="single" w:color="auto" w:sz="4" w:space="0"/>
            </w:tcBorders>
            <w:noWrap/>
            <w:vAlign w:val="center"/>
          </w:tcPr>
          <w:p w14:paraId="53CF4890">
            <w:pPr>
              <w:pStyle w:val="557"/>
            </w:pPr>
            <w:r>
              <w:rPr>
                <w:rFonts w:hint="eastAsia"/>
              </w:rPr>
              <w:t>-200,-1300</w:t>
            </w:r>
          </w:p>
        </w:tc>
        <w:tc>
          <w:tcPr>
            <w:tcW w:w="1091" w:type="dxa"/>
            <w:tcBorders>
              <w:top w:val="single" w:color="auto" w:sz="4" w:space="0"/>
              <w:left w:val="single" w:color="auto" w:sz="4" w:space="0"/>
              <w:bottom w:val="single" w:color="auto" w:sz="4" w:space="0"/>
              <w:right w:val="single" w:color="auto" w:sz="4" w:space="0"/>
            </w:tcBorders>
            <w:noWrap/>
            <w:vAlign w:val="center"/>
          </w:tcPr>
          <w:p w14:paraId="521FAAFB">
            <w:pPr>
              <w:pStyle w:val="557"/>
            </w:pPr>
            <w:r>
              <w:rPr>
                <w:rFonts w:hint="eastAsia"/>
              </w:rPr>
              <w:t>684.2</w:t>
            </w:r>
          </w:p>
        </w:tc>
        <w:tc>
          <w:tcPr>
            <w:tcW w:w="1090" w:type="dxa"/>
            <w:tcBorders>
              <w:top w:val="single" w:color="auto" w:sz="4" w:space="0"/>
              <w:left w:val="single" w:color="auto" w:sz="4" w:space="0"/>
              <w:bottom w:val="single" w:color="auto" w:sz="4" w:space="0"/>
              <w:right w:val="single" w:color="auto" w:sz="4" w:space="0"/>
            </w:tcBorders>
            <w:noWrap/>
            <w:vAlign w:val="center"/>
          </w:tcPr>
          <w:p w14:paraId="23EF43E4">
            <w:pPr>
              <w:pStyle w:val="557"/>
            </w:pPr>
            <w:r>
              <w:rPr>
                <w:rFonts w:hint="eastAsia"/>
              </w:rPr>
              <w:t>年平均</w:t>
            </w:r>
          </w:p>
        </w:tc>
        <w:tc>
          <w:tcPr>
            <w:tcW w:w="1090" w:type="dxa"/>
            <w:tcBorders>
              <w:top w:val="single" w:color="auto" w:sz="4" w:space="0"/>
              <w:left w:val="single" w:color="auto" w:sz="4" w:space="0"/>
              <w:bottom w:val="single" w:color="auto" w:sz="4" w:space="0"/>
              <w:right w:val="single" w:color="auto" w:sz="4" w:space="0"/>
            </w:tcBorders>
            <w:noWrap/>
            <w:vAlign w:val="center"/>
          </w:tcPr>
          <w:p w14:paraId="2D0C3A1A">
            <w:pPr>
              <w:pStyle w:val="557"/>
            </w:pPr>
            <w:r>
              <w:rPr>
                <w:rFonts w:hint="eastAsia"/>
              </w:rPr>
              <w:t>0.003123</w:t>
            </w:r>
          </w:p>
        </w:tc>
        <w:tc>
          <w:tcPr>
            <w:tcW w:w="1474" w:type="dxa"/>
            <w:tcBorders>
              <w:top w:val="single" w:color="auto" w:sz="4" w:space="0"/>
              <w:left w:val="single" w:color="auto" w:sz="4" w:space="0"/>
              <w:bottom w:val="single" w:color="auto" w:sz="4" w:space="0"/>
              <w:right w:val="single" w:color="auto" w:sz="4" w:space="0"/>
            </w:tcBorders>
            <w:noWrap/>
            <w:vAlign w:val="center"/>
          </w:tcPr>
          <w:p w14:paraId="491DBABB">
            <w:pPr>
              <w:pStyle w:val="557"/>
            </w:pPr>
            <w:r>
              <w:rPr>
                <w:rFonts w:hint="eastAsia"/>
              </w:rPr>
              <w:t>平均值</w:t>
            </w:r>
          </w:p>
        </w:tc>
        <w:tc>
          <w:tcPr>
            <w:tcW w:w="931" w:type="dxa"/>
            <w:tcBorders>
              <w:top w:val="single" w:color="auto" w:sz="4" w:space="0"/>
              <w:left w:val="single" w:color="auto" w:sz="4" w:space="0"/>
              <w:bottom w:val="single" w:color="auto" w:sz="4" w:space="0"/>
              <w:right w:val="single" w:color="auto" w:sz="4" w:space="0"/>
            </w:tcBorders>
            <w:vAlign w:val="center"/>
          </w:tcPr>
          <w:p w14:paraId="1491761F">
            <w:pPr>
              <w:pStyle w:val="557"/>
            </w:pPr>
            <w:r>
              <w:rPr>
                <w:rFonts w:hint="eastAsia"/>
              </w:rPr>
              <w:t>0.026633</w:t>
            </w:r>
          </w:p>
        </w:tc>
        <w:tc>
          <w:tcPr>
            <w:tcW w:w="1041" w:type="dxa"/>
            <w:tcBorders>
              <w:top w:val="single" w:color="auto" w:sz="4" w:space="0"/>
              <w:left w:val="single" w:color="auto" w:sz="4" w:space="0"/>
              <w:bottom w:val="single" w:color="auto" w:sz="4" w:space="0"/>
              <w:right w:val="single" w:color="auto" w:sz="4" w:space="0"/>
            </w:tcBorders>
            <w:vAlign w:val="center"/>
          </w:tcPr>
          <w:p w14:paraId="2B6D431A">
            <w:pPr>
              <w:pStyle w:val="557"/>
            </w:pPr>
            <w:r>
              <w:rPr>
                <w:rFonts w:hint="eastAsia"/>
              </w:rPr>
              <w:t>0.029756</w:t>
            </w:r>
          </w:p>
        </w:tc>
        <w:tc>
          <w:tcPr>
            <w:tcW w:w="1090" w:type="dxa"/>
            <w:tcBorders>
              <w:top w:val="single" w:color="auto" w:sz="4" w:space="0"/>
              <w:left w:val="single" w:color="auto" w:sz="4" w:space="0"/>
              <w:bottom w:val="single" w:color="auto" w:sz="4" w:space="0"/>
              <w:right w:val="single" w:color="auto" w:sz="4" w:space="0"/>
            </w:tcBorders>
            <w:noWrap/>
            <w:vAlign w:val="center"/>
          </w:tcPr>
          <w:p w14:paraId="19B40CFF">
            <w:pPr>
              <w:pStyle w:val="557"/>
            </w:pPr>
            <w:r>
              <w:rPr>
                <w:rFonts w:hint="eastAsia"/>
              </w:rPr>
              <w:t>0.04</w:t>
            </w:r>
          </w:p>
        </w:tc>
        <w:tc>
          <w:tcPr>
            <w:tcW w:w="1090" w:type="dxa"/>
            <w:tcBorders>
              <w:top w:val="single" w:color="auto" w:sz="4" w:space="0"/>
              <w:left w:val="single" w:color="auto" w:sz="4" w:space="0"/>
              <w:bottom w:val="single" w:color="auto" w:sz="4" w:space="0"/>
              <w:right w:val="single" w:color="auto" w:sz="4" w:space="0"/>
            </w:tcBorders>
            <w:noWrap/>
            <w:vAlign w:val="center"/>
          </w:tcPr>
          <w:p w14:paraId="2B63503B">
            <w:pPr>
              <w:pStyle w:val="557"/>
            </w:pPr>
            <w:r>
              <w:rPr>
                <w:rFonts w:hint="eastAsia"/>
              </w:rPr>
              <w:t>74.39</w:t>
            </w:r>
          </w:p>
        </w:tc>
        <w:tc>
          <w:tcPr>
            <w:tcW w:w="1090" w:type="dxa"/>
            <w:tcBorders>
              <w:top w:val="single" w:color="auto" w:sz="4" w:space="0"/>
              <w:left w:val="single" w:color="auto" w:sz="4" w:space="0"/>
              <w:bottom w:val="single" w:color="auto" w:sz="4" w:space="0"/>
              <w:right w:val="single" w:color="auto" w:sz="4" w:space="0"/>
            </w:tcBorders>
            <w:noWrap/>
            <w:vAlign w:val="center"/>
          </w:tcPr>
          <w:p w14:paraId="1C09A6C0">
            <w:pPr>
              <w:pStyle w:val="557"/>
            </w:pPr>
            <w:r>
              <w:rPr>
                <w:rFonts w:hint="eastAsia"/>
              </w:rPr>
              <w:t>达标</w:t>
            </w:r>
          </w:p>
        </w:tc>
      </w:tr>
    </w:tbl>
    <w:p w14:paraId="21098D8B">
      <w:pPr>
        <w:pStyle w:val="645"/>
        <w:rPr>
          <w:rFonts w:hint="eastAsia"/>
        </w:rPr>
      </w:pPr>
    </w:p>
    <w:p w14:paraId="0687CA31">
      <w:pPr>
        <w:pStyle w:val="535"/>
        <w:ind w:left="416" w:hanging="416"/>
        <w:rPr>
          <w:rFonts w:hint="eastAsia"/>
          <w:color w:val="auto"/>
        </w:rPr>
      </w:pPr>
      <w:r>
        <w:rPr>
          <w:rFonts w:hint="eastAsia"/>
          <w:color w:val="auto"/>
          <w:spacing w:val="8"/>
        </w:rPr>
        <w:t>表5.2.8-12</w:t>
      </w:r>
      <w:r>
        <w:rPr>
          <w:rFonts w:hint="eastAsia"/>
          <w:color w:val="auto"/>
        </w:rPr>
        <w:t xml:space="preserve">   环境保护目标和预测网格PM</w:t>
      </w:r>
      <w:r>
        <w:rPr>
          <w:rFonts w:hint="eastAsia"/>
          <w:color w:val="auto"/>
          <w:vertAlign w:val="subscript"/>
        </w:rPr>
        <w:t>10</w:t>
      </w:r>
      <w:r>
        <w:rPr>
          <w:rFonts w:hint="eastAsia"/>
          <w:color w:val="auto"/>
        </w:rPr>
        <w:t>浓度贡献值叠加背景值95%的保证率日均值和年均浓度预测结果一览表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842"/>
        <w:gridCol w:w="1482"/>
        <w:gridCol w:w="1099"/>
        <w:gridCol w:w="1097"/>
        <w:gridCol w:w="1097"/>
        <w:gridCol w:w="1483"/>
        <w:gridCol w:w="1057"/>
        <w:gridCol w:w="1057"/>
        <w:gridCol w:w="1097"/>
        <w:gridCol w:w="1097"/>
        <w:gridCol w:w="1098"/>
      </w:tblGrid>
      <w:tr w14:paraId="6913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7" w:type="dxa"/>
            <w:tcBorders>
              <w:top w:val="single" w:color="auto" w:sz="4" w:space="0"/>
              <w:left w:val="single" w:color="auto" w:sz="4" w:space="0"/>
              <w:bottom w:val="single" w:color="auto" w:sz="4" w:space="0"/>
              <w:right w:val="single" w:color="auto" w:sz="4" w:space="0"/>
            </w:tcBorders>
            <w:noWrap/>
            <w:vAlign w:val="center"/>
          </w:tcPr>
          <w:p w14:paraId="22647239">
            <w:pPr>
              <w:pStyle w:val="557"/>
              <w:rPr>
                <w:color w:val="auto"/>
              </w:rPr>
            </w:pPr>
            <w:r>
              <w:rPr>
                <w:rFonts w:hint="eastAsia"/>
              </w:rPr>
              <w:t>序号</w:t>
            </w:r>
          </w:p>
        </w:tc>
        <w:tc>
          <w:tcPr>
            <w:tcW w:w="1813" w:type="dxa"/>
            <w:tcBorders>
              <w:top w:val="single" w:color="auto" w:sz="4" w:space="0"/>
              <w:left w:val="single" w:color="auto" w:sz="4" w:space="0"/>
              <w:bottom w:val="single" w:color="auto" w:sz="4" w:space="0"/>
              <w:right w:val="single" w:color="auto" w:sz="4" w:space="0"/>
            </w:tcBorders>
            <w:noWrap/>
            <w:vAlign w:val="center"/>
          </w:tcPr>
          <w:p w14:paraId="027EC5EF">
            <w:pPr>
              <w:pStyle w:val="557"/>
            </w:pPr>
            <w:r>
              <w:rPr>
                <w:rFonts w:hint="eastAsia"/>
              </w:rPr>
              <w:t>点名称</w:t>
            </w:r>
          </w:p>
        </w:tc>
        <w:tc>
          <w:tcPr>
            <w:tcW w:w="1458" w:type="dxa"/>
            <w:tcBorders>
              <w:top w:val="single" w:color="auto" w:sz="4" w:space="0"/>
              <w:left w:val="single" w:color="auto" w:sz="4" w:space="0"/>
              <w:bottom w:val="single" w:color="auto" w:sz="4" w:space="0"/>
              <w:right w:val="single" w:color="auto" w:sz="4" w:space="0"/>
            </w:tcBorders>
            <w:noWrap/>
            <w:vAlign w:val="center"/>
          </w:tcPr>
          <w:p w14:paraId="547C1167">
            <w:pPr>
              <w:pStyle w:val="557"/>
            </w:pPr>
            <w:r>
              <w:rPr>
                <w:rFonts w:hint="eastAsia"/>
              </w:rPr>
              <w:t>点坐标</w:t>
            </w:r>
            <w:r>
              <w:t>(x</w:t>
            </w:r>
            <w:r>
              <w:rPr>
                <w:rFonts w:hint="eastAsia"/>
              </w:rPr>
              <w:t>或</w:t>
            </w:r>
            <w:r>
              <w:t>r,y</w:t>
            </w:r>
            <w:r>
              <w:rPr>
                <w:rFonts w:hint="eastAsia"/>
              </w:rPr>
              <w:t>或</w:t>
            </w:r>
            <w:r>
              <w:t>a)</w:t>
            </w:r>
          </w:p>
        </w:tc>
        <w:tc>
          <w:tcPr>
            <w:tcW w:w="1081" w:type="dxa"/>
            <w:tcBorders>
              <w:top w:val="single" w:color="auto" w:sz="4" w:space="0"/>
              <w:left w:val="single" w:color="auto" w:sz="4" w:space="0"/>
              <w:bottom w:val="single" w:color="auto" w:sz="4" w:space="0"/>
              <w:right w:val="single" w:color="auto" w:sz="4" w:space="0"/>
            </w:tcBorders>
            <w:noWrap/>
            <w:vAlign w:val="center"/>
          </w:tcPr>
          <w:p w14:paraId="36B4835F">
            <w:pPr>
              <w:pStyle w:val="557"/>
            </w:pPr>
            <w:r>
              <w:rPr>
                <w:rFonts w:hint="eastAsia"/>
              </w:rPr>
              <w:t>地面高程</w:t>
            </w:r>
            <w:r>
              <w:t>(m)</w:t>
            </w:r>
          </w:p>
        </w:tc>
        <w:tc>
          <w:tcPr>
            <w:tcW w:w="1080" w:type="dxa"/>
            <w:tcBorders>
              <w:top w:val="single" w:color="auto" w:sz="4" w:space="0"/>
              <w:left w:val="single" w:color="auto" w:sz="4" w:space="0"/>
              <w:bottom w:val="single" w:color="auto" w:sz="4" w:space="0"/>
              <w:right w:val="single" w:color="auto" w:sz="4" w:space="0"/>
            </w:tcBorders>
            <w:noWrap/>
            <w:vAlign w:val="center"/>
          </w:tcPr>
          <w:p w14:paraId="4620B405">
            <w:pPr>
              <w:pStyle w:val="557"/>
            </w:pPr>
            <w:r>
              <w:rPr>
                <w:rFonts w:hint="eastAsia"/>
              </w:rPr>
              <w:t>浓度类型</w:t>
            </w:r>
          </w:p>
        </w:tc>
        <w:tc>
          <w:tcPr>
            <w:tcW w:w="1080" w:type="dxa"/>
            <w:tcBorders>
              <w:top w:val="single" w:color="auto" w:sz="4" w:space="0"/>
              <w:left w:val="single" w:color="auto" w:sz="4" w:space="0"/>
              <w:bottom w:val="single" w:color="auto" w:sz="4" w:space="0"/>
              <w:right w:val="single" w:color="auto" w:sz="4" w:space="0"/>
            </w:tcBorders>
            <w:noWrap/>
            <w:vAlign w:val="center"/>
          </w:tcPr>
          <w:p w14:paraId="6FA6FBDB">
            <w:pPr>
              <w:pStyle w:val="557"/>
            </w:pPr>
            <w:r>
              <w:rPr>
                <w:rFonts w:hint="eastAsia"/>
              </w:rPr>
              <w:t>浓度增量</w:t>
            </w:r>
            <w:r>
              <w:t>(mg/m^3)</w:t>
            </w:r>
          </w:p>
        </w:tc>
        <w:tc>
          <w:tcPr>
            <w:tcW w:w="1459" w:type="dxa"/>
            <w:tcBorders>
              <w:top w:val="single" w:color="auto" w:sz="4" w:space="0"/>
              <w:left w:val="single" w:color="auto" w:sz="4" w:space="0"/>
              <w:bottom w:val="single" w:color="auto" w:sz="4" w:space="0"/>
              <w:right w:val="single" w:color="auto" w:sz="4" w:space="0"/>
            </w:tcBorders>
            <w:noWrap/>
            <w:vAlign w:val="center"/>
          </w:tcPr>
          <w:p w14:paraId="7418EACE">
            <w:pPr>
              <w:pStyle w:val="557"/>
            </w:pPr>
            <w:r>
              <w:rPr>
                <w:rFonts w:hint="eastAsia"/>
              </w:rPr>
              <w:t>出现时间</w:t>
            </w:r>
            <w:r>
              <w:t>(YYMMDDHH)</w:t>
            </w:r>
          </w:p>
        </w:tc>
        <w:tc>
          <w:tcPr>
            <w:tcW w:w="1040" w:type="dxa"/>
            <w:tcBorders>
              <w:top w:val="single" w:color="auto" w:sz="4" w:space="0"/>
              <w:left w:val="single" w:color="auto" w:sz="4" w:space="0"/>
              <w:bottom w:val="single" w:color="auto" w:sz="4" w:space="0"/>
              <w:right w:val="single" w:color="auto" w:sz="4" w:space="0"/>
            </w:tcBorders>
            <w:vAlign w:val="center"/>
          </w:tcPr>
          <w:p w14:paraId="7AF4D08D">
            <w:pPr>
              <w:pStyle w:val="557"/>
            </w:pPr>
            <w:r>
              <w:rPr>
                <w:rFonts w:hint="eastAsia"/>
              </w:rPr>
              <w:t>背景浓度</w:t>
            </w:r>
          </w:p>
          <w:p w14:paraId="1CF1AAD5">
            <w:pPr>
              <w:pStyle w:val="557"/>
            </w:pPr>
            <w:r>
              <w:t>(mg/m^3)</w:t>
            </w:r>
          </w:p>
        </w:tc>
        <w:tc>
          <w:tcPr>
            <w:tcW w:w="1040" w:type="dxa"/>
            <w:tcBorders>
              <w:top w:val="single" w:color="auto" w:sz="4" w:space="0"/>
              <w:left w:val="single" w:color="auto" w:sz="4" w:space="0"/>
              <w:bottom w:val="single" w:color="auto" w:sz="4" w:space="0"/>
              <w:right w:val="single" w:color="auto" w:sz="4" w:space="0"/>
            </w:tcBorders>
            <w:vAlign w:val="center"/>
          </w:tcPr>
          <w:p w14:paraId="7E337FB9">
            <w:pPr>
              <w:pStyle w:val="557"/>
            </w:pPr>
            <w:r>
              <w:rPr>
                <w:rFonts w:hint="eastAsia"/>
              </w:rPr>
              <w:t>叠加浓度</w:t>
            </w:r>
          </w:p>
          <w:p w14:paraId="18B7CDF3">
            <w:pPr>
              <w:pStyle w:val="557"/>
            </w:pPr>
            <w:r>
              <w:t>(mg/m^3)</w:t>
            </w:r>
          </w:p>
        </w:tc>
        <w:tc>
          <w:tcPr>
            <w:tcW w:w="1080" w:type="dxa"/>
            <w:tcBorders>
              <w:top w:val="single" w:color="auto" w:sz="4" w:space="0"/>
              <w:left w:val="single" w:color="auto" w:sz="4" w:space="0"/>
              <w:bottom w:val="single" w:color="auto" w:sz="4" w:space="0"/>
              <w:right w:val="single" w:color="auto" w:sz="4" w:space="0"/>
            </w:tcBorders>
            <w:noWrap/>
            <w:vAlign w:val="center"/>
          </w:tcPr>
          <w:p w14:paraId="5E64B2ED">
            <w:pPr>
              <w:pStyle w:val="557"/>
            </w:pPr>
            <w:r>
              <w:rPr>
                <w:rFonts w:hint="eastAsia"/>
              </w:rPr>
              <w:t>评价标准</w:t>
            </w:r>
            <w:r>
              <w:t>(mg/m^3)</w:t>
            </w:r>
          </w:p>
        </w:tc>
        <w:tc>
          <w:tcPr>
            <w:tcW w:w="1080" w:type="dxa"/>
            <w:tcBorders>
              <w:top w:val="single" w:color="auto" w:sz="4" w:space="0"/>
              <w:left w:val="single" w:color="auto" w:sz="4" w:space="0"/>
              <w:bottom w:val="single" w:color="auto" w:sz="4" w:space="0"/>
              <w:right w:val="single" w:color="auto" w:sz="4" w:space="0"/>
            </w:tcBorders>
            <w:noWrap/>
            <w:vAlign w:val="center"/>
          </w:tcPr>
          <w:p w14:paraId="58310B28">
            <w:pPr>
              <w:pStyle w:val="557"/>
            </w:pPr>
            <w:r>
              <w:rPr>
                <w:rFonts w:hint="eastAsia"/>
              </w:rPr>
              <w:t>占标率</w:t>
            </w:r>
            <w:r>
              <w:t>%</w:t>
            </w:r>
          </w:p>
        </w:tc>
        <w:tc>
          <w:tcPr>
            <w:tcW w:w="1080" w:type="dxa"/>
            <w:tcBorders>
              <w:top w:val="single" w:color="auto" w:sz="4" w:space="0"/>
              <w:left w:val="single" w:color="auto" w:sz="4" w:space="0"/>
              <w:bottom w:val="single" w:color="auto" w:sz="4" w:space="0"/>
              <w:right w:val="single" w:color="auto" w:sz="4" w:space="0"/>
            </w:tcBorders>
            <w:noWrap/>
            <w:vAlign w:val="center"/>
          </w:tcPr>
          <w:p w14:paraId="6C85EE4C">
            <w:pPr>
              <w:pStyle w:val="557"/>
            </w:pPr>
            <w:r>
              <w:rPr>
                <w:rFonts w:hint="eastAsia"/>
              </w:rPr>
              <w:t>是否超标</w:t>
            </w:r>
          </w:p>
        </w:tc>
      </w:tr>
      <w:tr w14:paraId="795E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7" w:type="dxa"/>
            <w:vMerge w:val="restart"/>
            <w:tcBorders>
              <w:top w:val="single" w:color="auto" w:sz="4" w:space="0"/>
              <w:left w:val="single" w:color="auto" w:sz="4" w:space="0"/>
              <w:bottom w:val="single" w:color="auto" w:sz="4" w:space="0"/>
              <w:right w:val="single" w:color="auto" w:sz="4" w:space="0"/>
            </w:tcBorders>
            <w:noWrap/>
            <w:vAlign w:val="center"/>
          </w:tcPr>
          <w:p w14:paraId="35F75C02">
            <w:pPr>
              <w:pStyle w:val="557"/>
            </w:pPr>
            <w:r>
              <w:rPr>
                <w:rFonts w:hint="eastAsia"/>
              </w:rPr>
              <w:t>1</w:t>
            </w:r>
          </w:p>
        </w:tc>
        <w:tc>
          <w:tcPr>
            <w:tcW w:w="1813" w:type="dxa"/>
            <w:vMerge w:val="restart"/>
            <w:tcBorders>
              <w:top w:val="single" w:color="auto" w:sz="4" w:space="0"/>
              <w:left w:val="single" w:color="auto" w:sz="4" w:space="0"/>
              <w:bottom w:val="single" w:color="auto" w:sz="4" w:space="0"/>
              <w:right w:val="single" w:color="auto" w:sz="4" w:space="0"/>
            </w:tcBorders>
            <w:noWrap/>
            <w:vAlign w:val="center"/>
          </w:tcPr>
          <w:p w14:paraId="6D918680">
            <w:pPr>
              <w:pStyle w:val="557"/>
            </w:pPr>
            <w:r>
              <w:rPr>
                <w:rFonts w:hint="eastAsia"/>
              </w:rPr>
              <w:t>网格</w:t>
            </w:r>
          </w:p>
        </w:tc>
        <w:tc>
          <w:tcPr>
            <w:tcW w:w="1458" w:type="dxa"/>
            <w:tcBorders>
              <w:top w:val="single" w:color="auto" w:sz="4" w:space="0"/>
              <w:left w:val="single" w:color="auto" w:sz="4" w:space="0"/>
              <w:bottom w:val="single" w:color="auto" w:sz="4" w:space="0"/>
              <w:right w:val="single" w:color="auto" w:sz="4" w:space="0"/>
            </w:tcBorders>
            <w:noWrap/>
            <w:vAlign w:val="center"/>
          </w:tcPr>
          <w:p w14:paraId="02E1CB2C">
            <w:pPr>
              <w:pStyle w:val="557"/>
            </w:pPr>
            <w:r>
              <w:rPr>
                <w:rFonts w:hint="eastAsia"/>
              </w:rPr>
              <w:t>-2500,-2500</w:t>
            </w:r>
          </w:p>
        </w:tc>
        <w:tc>
          <w:tcPr>
            <w:tcW w:w="1081" w:type="dxa"/>
            <w:tcBorders>
              <w:top w:val="single" w:color="auto" w:sz="4" w:space="0"/>
              <w:left w:val="single" w:color="auto" w:sz="4" w:space="0"/>
              <w:bottom w:val="single" w:color="auto" w:sz="4" w:space="0"/>
              <w:right w:val="single" w:color="auto" w:sz="4" w:space="0"/>
            </w:tcBorders>
            <w:noWrap/>
            <w:vAlign w:val="center"/>
          </w:tcPr>
          <w:p w14:paraId="2B3C1567">
            <w:pPr>
              <w:pStyle w:val="557"/>
            </w:pPr>
            <w:r>
              <w:rPr>
                <w:rFonts w:hint="eastAsia"/>
              </w:rPr>
              <w:t>679.8</w:t>
            </w:r>
          </w:p>
        </w:tc>
        <w:tc>
          <w:tcPr>
            <w:tcW w:w="1080" w:type="dxa"/>
            <w:tcBorders>
              <w:top w:val="single" w:color="auto" w:sz="4" w:space="0"/>
              <w:left w:val="single" w:color="auto" w:sz="4" w:space="0"/>
              <w:bottom w:val="single" w:color="auto" w:sz="4" w:space="0"/>
              <w:right w:val="single" w:color="auto" w:sz="4" w:space="0"/>
            </w:tcBorders>
            <w:noWrap/>
            <w:vAlign w:val="center"/>
          </w:tcPr>
          <w:p w14:paraId="3B0DCFA9">
            <w:pPr>
              <w:pStyle w:val="557"/>
            </w:pPr>
            <w:r>
              <w:rPr>
                <w:rFonts w:hint="eastAsia"/>
              </w:rPr>
              <w:t>年平均</w:t>
            </w:r>
          </w:p>
        </w:tc>
        <w:tc>
          <w:tcPr>
            <w:tcW w:w="1080" w:type="dxa"/>
            <w:tcBorders>
              <w:top w:val="single" w:color="auto" w:sz="4" w:space="0"/>
              <w:left w:val="single" w:color="auto" w:sz="4" w:space="0"/>
              <w:bottom w:val="single" w:color="auto" w:sz="4" w:space="0"/>
              <w:right w:val="single" w:color="auto" w:sz="4" w:space="0"/>
            </w:tcBorders>
            <w:noWrap/>
            <w:vAlign w:val="center"/>
          </w:tcPr>
          <w:p w14:paraId="1BE45C91">
            <w:pPr>
              <w:pStyle w:val="557"/>
            </w:pPr>
            <w:r>
              <w:rPr>
                <w:rFonts w:hint="eastAsia"/>
              </w:rPr>
              <w:t>0</w:t>
            </w:r>
          </w:p>
        </w:tc>
        <w:tc>
          <w:tcPr>
            <w:tcW w:w="1459" w:type="dxa"/>
            <w:tcBorders>
              <w:top w:val="single" w:color="auto" w:sz="4" w:space="0"/>
              <w:left w:val="single" w:color="auto" w:sz="4" w:space="0"/>
              <w:bottom w:val="single" w:color="auto" w:sz="4" w:space="0"/>
              <w:right w:val="single" w:color="auto" w:sz="4" w:space="0"/>
            </w:tcBorders>
            <w:noWrap/>
            <w:vAlign w:val="center"/>
          </w:tcPr>
          <w:p w14:paraId="22BFD5CF">
            <w:pPr>
              <w:pStyle w:val="557"/>
            </w:pPr>
            <w:r>
              <w:rPr>
                <w:rFonts w:hint="eastAsia"/>
              </w:rPr>
              <w:t>平均值</w:t>
            </w:r>
          </w:p>
        </w:tc>
        <w:tc>
          <w:tcPr>
            <w:tcW w:w="1040" w:type="dxa"/>
            <w:tcBorders>
              <w:top w:val="single" w:color="auto" w:sz="4" w:space="0"/>
              <w:left w:val="single" w:color="auto" w:sz="4" w:space="0"/>
              <w:bottom w:val="single" w:color="auto" w:sz="4" w:space="0"/>
              <w:right w:val="single" w:color="auto" w:sz="4" w:space="0"/>
            </w:tcBorders>
            <w:vAlign w:val="center"/>
          </w:tcPr>
          <w:p w14:paraId="347A2357">
            <w:pPr>
              <w:pStyle w:val="557"/>
            </w:pPr>
            <w:r>
              <w:rPr>
                <w:rFonts w:hint="eastAsia"/>
              </w:rPr>
              <w:t>0.100901</w:t>
            </w:r>
          </w:p>
        </w:tc>
        <w:tc>
          <w:tcPr>
            <w:tcW w:w="1040" w:type="dxa"/>
            <w:tcBorders>
              <w:top w:val="single" w:color="auto" w:sz="4" w:space="0"/>
              <w:left w:val="single" w:color="auto" w:sz="4" w:space="0"/>
              <w:bottom w:val="single" w:color="auto" w:sz="4" w:space="0"/>
              <w:right w:val="single" w:color="auto" w:sz="4" w:space="0"/>
            </w:tcBorders>
            <w:vAlign w:val="center"/>
          </w:tcPr>
          <w:p w14:paraId="4CAAA2D6">
            <w:pPr>
              <w:pStyle w:val="557"/>
            </w:pPr>
            <w:r>
              <w:rPr>
                <w:rFonts w:hint="eastAsia"/>
              </w:rPr>
              <w:t>0.100901</w:t>
            </w:r>
          </w:p>
        </w:tc>
        <w:tc>
          <w:tcPr>
            <w:tcW w:w="1080" w:type="dxa"/>
            <w:tcBorders>
              <w:top w:val="single" w:color="auto" w:sz="4" w:space="0"/>
              <w:left w:val="single" w:color="auto" w:sz="4" w:space="0"/>
              <w:bottom w:val="single" w:color="auto" w:sz="4" w:space="0"/>
              <w:right w:val="single" w:color="auto" w:sz="4" w:space="0"/>
            </w:tcBorders>
            <w:noWrap/>
            <w:vAlign w:val="center"/>
          </w:tcPr>
          <w:p w14:paraId="4935CA9A">
            <w:pPr>
              <w:pStyle w:val="557"/>
            </w:pPr>
            <w:r>
              <w:rPr>
                <w:rFonts w:hint="eastAsia"/>
              </w:rPr>
              <w:t>0.07</w:t>
            </w:r>
          </w:p>
        </w:tc>
        <w:tc>
          <w:tcPr>
            <w:tcW w:w="1080" w:type="dxa"/>
            <w:tcBorders>
              <w:top w:val="single" w:color="auto" w:sz="4" w:space="0"/>
              <w:left w:val="single" w:color="auto" w:sz="4" w:space="0"/>
              <w:bottom w:val="single" w:color="auto" w:sz="4" w:space="0"/>
              <w:right w:val="single" w:color="auto" w:sz="4" w:space="0"/>
            </w:tcBorders>
            <w:noWrap/>
            <w:vAlign w:val="center"/>
          </w:tcPr>
          <w:p w14:paraId="2FAA4E23">
            <w:pPr>
              <w:pStyle w:val="557"/>
            </w:pPr>
            <w:r>
              <w:rPr>
                <w:rFonts w:hint="eastAsia"/>
              </w:rPr>
              <w:t>144.14</w:t>
            </w:r>
          </w:p>
        </w:tc>
        <w:tc>
          <w:tcPr>
            <w:tcW w:w="1080" w:type="dxa"/>
            <w:tcBorders>
              <w:top w:val="single" w:color="auto" w:sz="4" w:space="0"/>
              <w:left w:val="single" w:color="auto" w:sz="4" w:space="0"/>
              <w:bottom w:val="single" w:color="auto" w:sz="4" w:space="0"/>
              <w:right w:val="single" w:color="auto" w:sz="4" w:space="0"/>
            </w:tcBorders>
            <w:noWrap/>
            <w:vAlign w:val="center"/>
          </w:tcPr>
          <w:p w14:paraId="3384668A">
            <w:pPr>
              <w:pStyle w:val="557"/>
            </w:pPr>
            <w:r>
              <w:rPr>
                <w:rFonts w:hint="eastAsia"/>
              </w:rPr>
              <w:t>超标</w:t>
            </w:r>
          </w:p>
        </w:tc>
      </w:tr>
      <w:tr w14:paraId="17D5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F1EE11">
            <w:pPr>
              <w:jc w:val="center"/>
              <w:rPr>
                <w:rFonts w:hint="eastAsia"/>
                <w:bCs/>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46CED4">
            <w:pPr>
              <w:jc w:val="center"/>
              <w:rPr>
                <w:rFonts w:hint="eastAsia"/>
                <w:bCs/>
                <w:sz w:val="18"/>
                <w:szCs w:val="18"/>
                <w:u w:color="000000"/>
                <w:lang w:val="zh-CN" w:bidi="en-US"/>
              </w:rPr>
            </w:pPr>
          </w:p>
        </w:tc>
        <w:tc>
          <w:tcPr>
            <w:tcW w:w="1458" w:type="dxa"/>
            <w:tcBorders>
              <w:top w:val="single" w:color="auto" w:sz="4" w:space="0"/>
              <w:left w:val="single" w:color="auto" w:sz="4" w:space="0"/>
              <w:bottom w:val="single" w:color="auto" w:sz="4" w:space="0"/>
              <w:right w:val="single" w:color="auto" w:sz="4" w:space="0"/>
            </w:tcBorders>
            <w:noWrap/>
            <w:vAlign w:val="center"/>
          </w:tcPr>
          <w:p w14:paraId="1B796DE4">
            <w:pPr>
              <w:pStyle w:val="557"/>
            </w:pPr>
            <w:r>
              <w:rPr>
                <w:rFonts w:hint="eastAsia"/>
              </w:rPr>
              <w:t>-500,50</w:t>
            </w:r>
          </w:p>
        </w:tc>
        <w:tc>
          <w:tcPr>
            <w:tcW w:w="1081" w:type="dxa"/>
            <w:tcBorders>
              <w:top w:val="single" w:color="auto" w:sz="4" w:space="0"/>
              <w:left w:val="single" w:color="auto" w:sz="4" w:space="0"/>
              <w:bottom w:val="single" w:color="auto" w:sz="4" w:space="0"/>
              <w:right w:val="single" w:color="auto" w:sz="4" w:space="0"/>
            </w:tcBorders>
            <w:noWrap/>
            <w:vAlign w:val="center"/>
          </w:tcPr>
          <w:p w14:paraId="1C797343">
            <w:pPr>
              <w:pStyle w:val="557"/>
            </w:pPr>
            <w:r>
              <w:rPr>
                <w:rFonts w:hint="eastAsia"/>
              </w:rPr>
              <w:t>688.4</w:t>
            </w:r>
          </w:p>
        </w:tc>
        <w:tc>
          <w:tcPr>
            <w:tcW w:w="1080" w:type="dxa"/>
            <w:tcBorders>
              <w:top w:val="single" w:color="auto" w:sz="4" w:space="0"/>
              <w:left w:val="single" w:color="auto" w:sz="4" w:space="0"/>
              <w:bottom w:val="single" w:color="auto" w:sz="4" w:space="0"/>
              <w:right w:val="single" w:color="auto" w:sz="4" w:space="0"/>
            </w:tcBorders>
            <w:noWrap/>
            <w:vAlign w:val="center"/>
          </w:tcPr>
          <w:p w14:paraId="7A4783FD">
            <w:pPr>
              <w:pStyle w:val="557"/>
            </w:pPr>
            <w:r>
              <w:rPr>
                <w:rFonts w:hint="eastAsia"/>
              </w:rPr>
              <w:t>年平均</w:t>
            </w:r>
          </w:p>
        </w:tc>
        <w:tc>
          <w:tcPr>
            <w:tcW w:w="1080" w:type="dxa"/>
            <w:tcBorders>
              <w:top w:val="single" w:color="auto" w:sz="4" w:space="0"/>
              <w:left w:val="single" w:color="auto" w:sz="4" w:space="0"/>
              <w:bottom w:val="single" w:color="auto" w:sz="4" w:space="0"/>
              <w:right w:val="single" w:color="auto" w:sz="4" w:space="0"/>
            </w:tcBorders>
            <w:noWrap/>
            <w:vAlign w:val="center"/>
          </w:tcPr>
          <w:p w14:paraId="249F7906">
            <w:pPr>
              <w:pStyle w:val="557"/>
            </w:pPr>
            <w:r>
              <w:rPr>
                <w:rFonts w:hint="eastAsia"/>
              </w:rPr>
              <w:t>0.001046</w:t>
            </w:r>
          </w:p>
        </w:tc>
        <w:tc>
          <w:tcPr>
            <w:tcW w:w="1459" w:type="dxa"/>
            <w:tcBorders>
              <w:top w:val="single" w:color="auto" w:sz="4" w:space="0"/>
              <w:left w:val="single" w:color="auto" w:sz="4" w:space="0"/>
              <w:bottom w:val="single" w:color="auto" w:sz="4" w:space="0"/>
              <w:right w:val="single" w:color="auto" w:sz="4" w:space="0"/>
            </w:tcBorders>
            <w:noWrap/>
            <w:vAlign w:val="center"/>
          </w:tcPr>
          <w:p w14:paraId="14F29541">
            <w:pPr>
              <w:pStyle w:val="557"/>
            </w:pPr>
            <w:r>
              <w:rPr>
                <w:rFonts w:hint="eastAsia"/>
              </w:rPr>
              <w:t>平均值</w:t>
            </w:r>
          </w:p>
        </w:tc>
        <w:tc>
          <w:tcPr>
            <w:tcW w:w="1040" w:type="dxa"/>
            <w:tcBorders>
              <w:top w:val="single" w:color="auto" w:sz="4" w:space="0"/>
              <w:left w:val="single" w:color="auto" w:sz="4" w:space="0"/>
              <w:bottom w:val="single" w:color="auto" w:sz="4" w:space="0"/>
              <w:right w:val="single" w:color="auto" w:sz="4" w:space="0"/>
            </w:tcBorders>
            <w:vAlign w:val="center"/>
          </w:tcPr>
          <w:p w14:paraId="39548953">
            <w:pPr>
              <w:pStyle w:val="557"/>
            </w:pPr>
            <w:r>
              <w:rPr>
                <w:rFonts w:hint="eastAsia"/>
              </w:rPr>
              <w:t>0.100901</w:t>
            </w:r>
          </w:p>
        </w:tc>
        <w:tc>
          <w:tcPr>
            <w:tcW w:w="1040" w:type="dxa"/>
            <w:tcBorders>
              <w:top w:val="single" w:color="auto" w:sz="4" w:space="0"/>
              <w:left w:val="single" w:color="auto" w:sz="4" w:space="0"/>
              <w:bottom w:val="single" w:color="auto" w:sz="4" w:space="0"/>
              <w:right w:val="single" w:color="auto" w:sz="4" w:space="0"/>
            </w:tcBorders>
            <w:vAlign w:val="center"/>
          </w:tcPr>
          <w:p w14:paraId="7B24FD28">
            <w:pPr>
              <w:pStyle w:val="557"/>
            </w:pPr>
            <w:r>
              <w:rPr>
                <w:rFonts w:hint="eastAsia"/>
              </w:rPr>
              <w:t>0.101947</w:t>
            </w:r>
          </w:p>
        </w:tc>
        <w:tc>
          <w:tcPr>
            <w:tcW w:w="1080" w:type="dxa"/>
            <w:tcBorders>
              <w:top w:val="single" w:color="auto" w:sz="4" w:space="0"/>
              <w:left w:val="single" w:color="auto" w:sz="4" w:space="0"/>
              <w:bottom w:val="single" w:color="auto" w:sz="4" w:space="0"/>
              <w:right w:val="single" w:color="auto" w:sz="4" w:space="0"/>
            </w:tcBorders>
            <w:noWrap/>
            <w:vAlign w:val="center"/>
          </w:tcPr>
          <w:p w14:paraId="5510D6B9">
            <w:pPr>
              <w:pStyle w:val="557"/>
            </w:pPr>
            <w:r>
              <w:rPr>
                <w:rFonts w:hint="eastAsia"/>
              </w:rPr>
              <w:t>0.07</w:t>
            </w:r>
          </w:p>
        </w:tc>
        <w:tc>
          <w:tcPr>
            <w:tcW w:w="1080" w:type="dxa"/>
            <w:tcBorders>
              <w:top w:val="single" w:color="auto" w:sz="4" w:space="0"/>
              <w:left w:val="single" w:color="auto" w:sz="4" w:space="0"/>
              <w:bottom w:val="single" w:color="auto" w:sz="4" w:space="0"/>
              <w:right w:val="single" w:color="auto" w:sz="4" w:space="0"/>
            </w:tcBorders>
            <w:noWrap/>
            <w:vAlign w:val="center"/>
          </w:tcPr>
          <w:p w14:paraId="020A6654">
            <w:pPr>
              <w:pStyle w:val="557"/>
            </w:pPr>
            <w:r>
              <w:rPr>
                <w:rFonts w:hint="eastAsia"/>
              </w:rPr>
              <w:t>145.64</w:t>
            </w:r>
          </w:p>
        </w:tc>
        <w:tc>
          <w:tcPr>
            <w:tcW w:w="1080" w:type="dxa"/>
            <w:tcBorders>
              <w:top w:val="single" w:color="auto" w:sz="4" w:space="0"/>
              <w:left w:val="single" w:color="auto" w:sz="4" w:space="0"/>
              <w:bottom w:val="single" w:color="auto" w:sz="4" w:space="0"/>
              <w:right w:val="single" w:color="auto" w:sz="4" w:space="0"/>
            </w:tcBorders>
            <w:noWrap/>
            <w:vAlign w:val="center"/>
          </w:tcPr>
          <w:p w14:paraId="6404664D">
            <w:pPr>
              <w:pStyle w:val="557"/>
            </w:pPr>
            <w:r>
              <w:rPr>
                <w:rFonts w:hint="eastAsia"/>
              </w:rPr>
              <w:t>超标</w:t>
            </w:r>
          </w:p>
        </w:tc>
      </w:tr>
    </w:tbl>
    <w:p w14:paraId="753F416C">
      <w:pPr>
        <w:pStyle w:val="535"/>
        <w:ind w:left="416" w:hanging="416"/>
        <w:rPr>
          <w:rFonts w:hint="eastAsia"/>
          <w:snapToGrid/>
          <w:color w:val="auto"/>
          <w:sz w:val="18"/>
          <w:szCs w:val="18"/>
        </w:rPr>
      </w:pPr>
    </w:p>
    <w:p w14:paraId="16BDB297">
      <w:pPr>
        <w:pStyle w:val="535"/>
        <w:ind w:left="400" w:hanging="400"/>
        <w:rPr>
          <w:rFonts w:hint="eastAsia"/>
          <w:color w:val="auto"/>
        </w:rPr>
      </w:pPr>
      <w:r>
        <w:rPr>
          <w:rFonts w:hint="eastAsia"/>
          <w:color w:val="auto"/>
        </w:rPr>
        <w:t>表</w:t>
      </w:r>
      <w:r>
        <w:rPr>
          <w:rFonts w:hint="eastAsia"/>
          <w:color w:val="auto"/>
          <w:spacing w:val="8"/>
        </w:rPr>
        <w:t xml:space="preserve">5.2.8-13 </w:t>
      </w:r>
      <w:r>
        <w:rPr>
          <w:rFonts w:hint="eastAsia"/>
          <w:color w:val="auto"/>
        </w:rPr>
        <w:t xml:space="preserve">  环境保护目标和预测网格PM</w:t>
      </w:r>
      <w:r>
        <w:rPr>
          <w:rFonts w:hint="eastAsia"/>
          <w:color w:val="auto"/>
          <w:vertAlign w:val="subscript"/>
        </w:rPr>
        <w:t>2.5</w:t>
      </w:r>
      <w:r>
        <w:rPr>
          <w:rFonts w:hint="eastAsia"/>
          <w:color w:val="auto"/>
        </w:rPr>
        <w:t>浓度贡献值叠加背景值95%的保证率日均值和年均浓度预测结果一览表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842"/>
        <w:gridCol w:w="1482"/>
        <w:gridCol w:w="1099"/>
        <w:gridCol w:w="1097"/>
        <w:gridCol w:w="1097"/>
        <w:gridCol w:w="1483"/>
        <w:gridCol w:w="1057"/>
        <w:gridCol w:w="1057"/>
        <w:gridCol w:w="1097"/>
        <w:gridCol w:w="1097"/>
        <w:gridCol w:w="1098"/>
      </w:tblGrid>
      <w:tr w14:paraId="218C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7" w:type="dxa"/>
            <w:tcBorders>
              <w:top w:val="single" w:color="auto" w:sz="4" w:space="0"/>
              <w:left w:val="single" w:color="auto" w:sz="4" w:space="0"/>
              <w:bottom w:val="single" w:color="auto" w:sz="4" w:space="0"/>
              <w:right w:val="single" w:color="auto" w:sz="4" w:space="0"/>
            </w:tcBorders>
            <w:noWrap/>
            <w:vAlign w:val="center"/>
          </w:tcPr>
          <w:p w14:paraId="06790321">
            <w:pPr>
              <w:pStyle w:val="557"/>
              <w:rPr>
                <w:color w:val="auto"/>
              </w:rPr>
            </w:pPr>
            <w:r>
              <w:rPr>
                <w:rFonts w:hint="eastAsia"/>
              </w:rPr>
              <w:t>序号</w:t>
            </w:r>
          </w:p>
        </w:tc>
        <w:tc>
          <w:tcPr>
            <w:tcW w:w="1813" w:type="dxa"/>
            <w:tcBorders>
              <w:top w:val="single" w:color="auto" w:sz="4" w:space="0"/>
              <w:left w:val="single" w:color="auto" w:sz="4" w:space="0"/>
              <w:bottom w:val="single" w:color="auto" w:sz="4" w:space="0"/>
              <w:right w:val="single" w:color="auto" w:sz="4" w:space="0"/>
            </w:tcBorders>
            <w:noWrap/>
            <w:vAlign w:val="center"/>
          </w:tcPr>
          <w:p w14:paraId="6B79CC46">
            <w:pPr>
              <w:pStyle w:val="557"/>
            </w:pPr>
            <w:r>
              <w:rPr>
                <w:rFonts w:hint="eastAsia"/>
              </w:rPr>
              <w:t>点名称</w:t>
            </w:r>
          </w:p>
        </w:tc>
        <w:tc>
          <w:tcPr>
            <w:tcW w:w="1458" w:type="dxa"/>
            <w:tcBorders>
              <w:top w:val="single" w:color="auto" w:sz="4" w:space="0"/>
              <w:left w:val="single" w:color="auto" w:sz="4" w:space="0"/>
              <w:bottom w:val="single" w:color="auto" w:sz="4" w:space="0"/>
              <w:right w:val="single" w:color="auto" w:sz="4" w:space="0"/>
            </w:tcBorders>
            <w:noWrap/>
            <w:vAlign w:val="center"/>
          </w:tcPr>
          <w:p w14:paraId="3A9E779D">
            <w:pPr>
              <w:pStyle w:val="557"/>
            </w:pPr>
            <w:r>
              <w:rPr>
                <w:rFonts w:hint="eastAsia"/>
              </w:rPr>
              <w:t>点坐标</w:t>
            </w:r>
            <w:r>
              <w:t>(x</w:t>
            </w:r>
            <w:r>
              <w:rPr>
                <w:rFonts w:hint="eastAsia"/>
              </w:rPr>
              <w:t>或</w:t>
            </w:r>
            <w:r>
              <w:t>r,y</w:t>
            </w:r>
            <w:r>
              <w:rPr>
                <w:rFonts w:hint="eastAsia"/>
              </w:rPr>
              <w:t>或</w:t>
            </w:r>
            <w:r>
              <w:t>a)</w:t>
            </w:r>
          </w:p>
        </w:tc>
        <w:tc>
          <w:tcPr>
            <w:tcW w:w="1081" w:type="dxa"/>
            <w:tcBorders>
              <w:top w:val="single" w:color="auto" w:sz="4" w:space="0"/>
              <w:left w:val="single" w:color="auto" w:sz="4" w:space="0"/>
              <w:bottom w:val="single" w:color="auto" w:sz="4" w:space="0"/>
              <w:right w:val="single" w:color="auto" w:sz="4" w:space="0"/>
            </w:tcBorders>
            <w:noWrap/>
            <w:vAlign w:val="center"/>
          </w:tcPr>
          <w:p w14:paraId="6C5FA84F">
            <w:pPr>
              <w:pStyle w:val="557"/>
            </w:pPr>
            <w:r>
              <w:rPr>
                <w:rFonts w:hint="eastAsia"/>
              </w:rPr>
              <w:t>地面高程</w:t>
            </w:r>
            <w:r>
              <w:t>(m)</w:t>
            </w:r>
          </w:p>
        </w:tc>
        <w:tc>
          <w:tcPr>
            <w:tcW w:w="1080" w:type="dxa"/>
            <w:tcBorders>
              <w:top w:val="single" w:color="auto" w:sz="4" w:space="0"/>
              <w:left w:val="single" w:color="auto" w:sz="4" w:space="0"/>
              <w:bottom w:val="single" w:color="auto" w:sz="4" w:space="0"/>
              <w:right w:val="single" w:color="auto" w:sz="4" w:space="0"/>
            </w:tcBorders>
            <w:noWrap/>
            <w:vAlign w:val="center"/>
          </w:tcPr>
          <w:p w14:paraId="2CC8DC95">
            <w:pPr>
              <w:pStyle w:val="557"/>
            </w:pPr>
            <w:r>
              <w:rPr>
                <w:rFonts w:hint="eastAsia"/>
              </w:rPr>
              <w:t>浓度类型</w:t>
            </w:r>
          </w:p>
        </w:tc>
        <w:tc>
          <w:tcPr>
            <w:tcW w:w="1080" w:type="dxa"/>
            <w:tcBorders>
              <w:top w:val="single" w:color="auto" w:sz="4" w:space="0"/>
              <w:left w:val="single" w:color="auto" w:sz="4" w:space="0"/>
              <w:bottom w:val="single" w:color="auto" w:sz="4" w:space="0"/>
              <w:right w:val="single" w:color="auto" w:sz="4" w:space="0"/>
            </w:tcBorders>
            <w:noWrap/>
            <w:vAlign w:val="center"/>
          </w:tcPr>
          <w:p w14:paraId="30C2F99A">
            <w:pPr>
              <w:pStyle w:val="557"/>
            </w:pPr>
            <w:r>
              <w:rPr>
                <w:rFonts w:hint="eastAsia"/>
              </w:rPr>
              <w:t>浓度增量</w:t>
            </w:r>
            <w:r>
              <w:t>(mg/m^3)</w:t>
            </w:r>
          </w:p>
        </w:tc>
        <w:tc>
          <w:tcPr>
            <w:tcW w:w="1459" w:type="dxa"/>
            <w:tcBorders>
              <w:top w:val="single" w:color="auto" w:sz="4" w:space="0"/>
              <w:left w:val="single" w:color="auto" w:sz="4" w:space="0"/>
              <w:bottom w:val="single" w:color="auto" w:sz="4" w:space="0"/>
              <w:right w:val="single" w:color="auto" w:sz="4" w:space="0"/>
            </w:tcBorders>
            <w:noWrap/>
            <w:vAlign w:val="center"/>
          </w:tcPr>
          <w:p w14:paraId="42EE48A2">
            <w:pPr>
              <w:pStyle w:val="557"/>
            </w:pPr>
            <w:r>
              <w:rPr>
                <w:rFonts w:hint="eastAsia"/>
              </w:rPr>
              <w:t>出现时间</w:t>
            </w:r>
            <w:r>
              <w:t>(YYMMDDHH)</w:t>
            </w:r>
          </w:p>
        </w:tc>
        <w:tc>
          <w:tcPr>
            <w:tcW w:w="1040" w:type="dxa"/>
            <w:tcBorders>
              <w:top w:val="single" w:color="auto" w:sz="4" w:space="0"/>
              <w:left w:val="single" w:color="auto" w:sz="4" w:space="0"/>
              <w:bottom w:val="single" w:color="auto" w:sz="4" w:space="0"/>
              <w:right w:val="single" w:color="auto" w:sz="4" w:space="0"/>
            </w:tcBorders>
            <w:vAlign w:val="center"/>
          </w:tcPr>
          <w:p w14:paraId="4A6557D3">
            <w:pPr>
              <w:pStyle w:val="557"/>
            </w:pPr>
            <w:r>
              <w:rPr>
                <w:rFonts w:hint="eastAsia"/>
              </w:rPr>
              <w:t>背景浓度</w:t>
            </w:r>
          </w:p>
          <w:p w14:paraId="2CE725DA">
            <w:pPr>
              <w:pStyle w:val="557"/>
            </w:pPr>
            <w:r>
              <w:t>(mg/m^3)</w:t>
            </w:r>
          </w:p>
        </w:tc>
        <w:tc>
          <w:tcPr>
            <w:tcW w:w="1040" w:type="dxa"/>
            <w:tcBorders>
              <w:top w:val="single" w:color="auto" w:sz="4" w:space="0"/>
              <w:left w:val="single" w:color="auto" w:sz="4" w:space="0"/>
              <w:bottom w:val="single" w:color="auto" w:sz="4" w:space="0"/>
              <w:right w:val="single" w:color="auto" w:sz="4" w:space="0"/>
            </w:tcBorders>
            <w:vAlign w:val="center"/>
          </w:tcPr>
          <w:p w14:paraId="3AA3DAC3">
            <w:pPr>
              <w:pStyle w:val="557"/>
            </w:pPr>
            <w:r>
              <w:rPr>
                <w:rFonts w:hint="eastAsia"/>
              </w:rPr>
              <w:t>叠加浓度</w:t>
            </w:r>
          </w:p>
          <w:p w14:paraId="3B0C3804">
            <w:pPr>
              <w:pStyle w:val="557"/>
            </w:pPr>
            <w:r>
              <w:t>(mg/m^3)</w:t>
            </w:r>
          </w:p>
        </w:tc>
        <w:tc>
          <w:tcPr>
            <w:tcW w:w="1080" w:type="dxa"/>
            <w:tcBorders>
              <w:top w:val="single" w:color="auto" w:sz="4" w:space="0"/>
              <w:left w:val="single" w:color="auto" w:sz="4" w:space="0"/>
              <w:bottom w:val="single" w:color="auto" w:sz="4" w:space="0"/>
              <w:right w:val="single" w:color="auto" w:sz="4" w:space="0"/>
            </w:tcBorders>
            <w:noWrap/>
            <w:vAlign w:val="center"/>
          </w:tcPr>
          <w:p w14:paraId="5ECDCEBD">
            <w:pPr>
              <w:pStyle w:val="557"/>
            </w:pPr>
            <w:r>
              <w:rPr>
                <w:rFonts w:hint="eastAsia"/>
              </w:rPr>
              <w:t>评价标准</w:t>
            </w:r>
            <w:r>
              <w:t>(mg/m^3)</w:t>
            </w:r>
          </w:p>
        </w:tc>
        <w:tc>
          <w:tcPr>
            <w:tcW w:w="1080" w:type="dxa"/>
            <w:tcBorders>
              <w:top w:val="single" w:color="auto" w:sz="4" w:space="0"/>
              <w:left w:val="single" w:color="auto" w:sz="4" w:space="0"/>
              <w:bottom w:val="single" w:color="auto" w:sz="4" w:space="0"/>
              <w:right w:val="single" w:color="auto" w:sz="4" w:space="0"/>
            </w:tcBorders>
            <w:noWrap/>
            <w:vAlign w:val="center"/>
          </w:tcPr>
          <w:p w14:paraId="188107F9">
            <w:pPr>
              <w:pStyle w:val="557"/>
            </w:pPr>
            <w:r>
              <w:rPr>
                <w:rFonts w:hint="eastAsia"/>
              </w:rPr>
              <w:t>占标率</w:t>
            </w:r>
            <w:r>
              <w:t>%</w:t>
            </w:r>
          </w:p>
        </w:tc>
        <w:tc>
          <w:tcPr>
            <w:tcW w:w="1080" w:type="dxa"/>
            <w:tcBorders>
              <w:top w:val="single" w:color="auto" w:sz="4" w:space="0"/>
              <w:left w:val="single" w:color="auto" w:sz="4" w:space="0"/>
              <w:bottom w:val="single" w:color="auto" w:sz="4" w:space="0"/>
              <w:right w:val="single" w:color="auto" w:sz="4" w:space="0"/>
            </w:tcBorders>
            <w:noWrap/>
            <w:vAlign w:val="center"/>
          </w:tcPr>
          <w:p w14:paraId="291B90BC">
            <w:pPr>
              <w:pStyle w:val="557"/>
            </w:pPr>
            <w:r>
              <w:rPr>
                <w:rFonts w:hint="eastAsia"/>
              </w:rPr>
              <w:t>是否超标</w:t>
            </w:r>
          </w:p>
        </w:tc>
      </w:tr>
      <w:tr w14:paraId="7BC9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7" w:type="dxa"/>
            <w:vMerge w:val="restart"/>
            <w:tcBorders>
              <w:top w:val="single" w:color="auto" w:sz="4" w:space="0"/>
              <w:left w:val="single" w:color="auto" w:sz="4" w:space="0"/>
              <w:bottom w:val="single" w:color="auto" w:sz="4" w:space="0"/>
              <w:right w:val="single" w:color="auto" w:sz="4" w:space="0"/>
            </w:tcBorders>
            <w:noWrap/>
            <w:vAlign w:val="center"/>
          </w:tcPr>
          <w:p w14:paraId="1AE926E8">
            <w:pPr>
              <w:pStyle w:val="557"/>
            </w:pPr>
            <w:r>
              <w:rPr>
                <w:rFonts w:hint="eastAsia"/>
              </w:rPr>
              <w:t>1</w:t>
            </w:r>
          </w:p>
        </w:tc>
        <w:tc>
          <w:tcPr>
            <w:tcW w:w="1813" w:type="dxa"/>
            <w:vMerge w:val="restart"/>
            <w:tcBorders>
              <w:top w:val="single" w:color="auto" w:sz="4" w:space="0"/>
              <w:left w:val="single" w:color="auto" w:sz="4" w:space="0"/>
              <w:bottom w:val="single" w:color="auto" w:sz="4" w:space="0"/>
              <w:right w:val="single" w:color="auto" w:sz="4" w:space="0"/>
            </w:tcBorders>
            <w:noWrap/>
            <w:vAlign w:val="center"/>
          </w:tcPr>
          <w:p w14:paraId="7D864322">
            <w:pPr>
              <w:pStyle w:val="557"/>
            </w:pPr>
            <w:r>
              <w:rPr>
                <w:rFonts w:hint="eastAsia"/>
              </w:rPr>
              <w:t>网格</w:t>
            </w:r>
          </w:p>
        </w:tc>
        <w:tc>
          <w:tcPr>
            <w:tcW w:w="1458" w:type="dxa"/>
            <w:tcBorders>
              <w:top w:val="single" w:color="auto" w:sz="4" w:space="0"/>
              <w:left w:val="single" w:color="auto" w:sz="4" w:space="0"/>
              <w:bottom w:val="single" w:color="auto" w:sz="4" w:space="0"/>
              <w:right w:val="single" w:color="auto" w:sz="4" w:space="0"/>
            </w:tcBorders>
            <w:noWrap/>
            <w:vAlign w:val="center"/>
          </w:tcPr>
          <w:p w14:paraId="22CA59AD">
            <w:pPr>
              <w:pStyle w:val="557"/>
            </w:pPr>
            <w:r>
              <w:rPr>
                <w:rFonts w:hint="eastAsia"/>
              </w:rPr>
              <w:t>-2500,-2500</w:t>
            </w:r>
          </w:p>
        </w:tc>
        <w:tc>
          <w:tcPr>
            <w:tcW w:w="1081" w:type="dxa"/>
            <w:tcBorders>
              <w:top w:val="single" w:color="auto" w:sz="4" w:space="0"/>
              <w:left w:val="single" w:color="auto" w:sz="4" w:space="0"/>
              <w:bottom w:val="single" w:color="auto" w:sz="4" w:space="0"/>
              <w:right w:val="single" w:color="auto" w:sz="4" w:space="0"/>
            </w:tcBorders>
            <w:noWrap/>
            <w:vAlign w:val="center"/>
          </w:tcPr>
          <w:p w14:paraId="47DF1219">
            <w:pPr>
              <w:pStyle w:val="557"/>
            </w:pPr>
            <w:r>
              <w:rPr>
                <w:rFonts w:hint="eastAsia"/>
              </w:rPr>
              <w:t>679.8</w:t>
            </w:r>
          </w:p>
        </w:tc>
        <w:tc>
          <w:tcPr>
            <w:tcW w:w="1080" w:type="dxa"/>
            <w:tcBorders>
              <w:top w:val="single" w:color="auto" w:sz="4" w:space="0"/>
              <w:left w:val="single" w:color="auto" w:sz="4" w:space="0"/>
              <w:bottom w:val="single" w:color="auto" w:sz="4" w:space="0"/>
              <w:right w:val="single" w:color="auto" w:sz="4" w:space="0"/>
            </w:tcBorders>
            <w:noWrap/>
            <w:vAlign w:val="center"/>
          </w:tcPr>
          <w:p w14:paraId="53C6112A">
            <w:pPr>
              <w:pStyle w:val="557"/>
            </w:pPr>
            <w:r>
              <w:rPr>
                <w:rFonts w:hint="eastAsia"/>
              </w:rPr>
              <w:t>年平均</w:t>
            </w:r>
          </w:p>
        </w:tc>
        <w:tc>
          <w:tcPr>
            <w:tcW w:w="1080" w:type="dxa"/>
            <w:tcBorders>
              <w:top w:val="single" w:color="auto" w:sz="4" w:space="0"/>
              <w:left w:val="single" w:color="auto" w:sz="4" w:space="0"/>
              <w:bottom w:val="single" w:color="auto" w:sz="4" w:space="0"/>
              <w:right w:val="single" w:color="auto" w:sz="4" w:space="0"/>
            </w:tcBorders>
            <w:noWrap/>
            <w:vAlign w:val="center"/>
          </w:tcPr>
          <w:p w14:paraId="708D480E">
            <w:pPr>
              <w:pStyle w:val="557"/>
            </w:pPr>
            <w:r>
              <w:rPr>
                <w:rFonts w:hint="eastAsia"/>
              </w:rPr>
              <w:t>0</w:t>
            </w:r>
          </w:p>
        </w:tc>
        <w:tc>
          <w:tcPr>
            <w:tcW w:w="1459" w:type="dxa"/>
            <w:tcBorders>
              <w:top w:val="single" w:color="auto" w:sz="4" w:space="0"/>
              <w:left w:val="single" w:color="auto" w:sz="4" w:space="0"/>
              <w:bottom w:val="single" w:color="auto" w:sz="4" w:space="0"/>
              <w:right w:val="single" w:color="auto" w:sz="4" w:space="0"/>
            </w:tcBorders>
            <w:noWrap/>
            <w:vAlign w:val="center"/>
          </w:tcPr>
          <w:p w14:paraId="77122C15">
            <w:pPr>
              <w:pStyle w:val="557"/>
            </w:pPr>
            <w:r>
              <w:rPr>
                <w:rFonts w:hint="eastAsia"/>
              </w:rPr>
              <w:t>平均值</w:t>
            </w:r>
          </w:p>
        </w:tc>
        <w:tc>
          <w:tcPr>
            <w:tcW w:w="1040" w:type="dxa"/>
            <w:tcBorders>
              <w:top w:val="single" w:color="auto" w:sz="4" w:space="0"/>
              <w:left w:val="single" w:color="auto" w:sz="4" w:space="0"/>
              <w:bottom w:val="single" w:color="auto" w:sz="4" w:space="0"/>
              <w:right w:val="single" w:color="auto" w:sz="4" w:space="0"/>
            </w:tcBorders>
            <w:vAlign w:val="center"/>
          </w:tcPr>
          <w:p w14:paraId="0F320A28">
            <w:pPr>
              <w:pStyle w:val="557"/>
            </w:pPr>
            <w:r>
              <w:rPr>
                <w:rFonts w:hint="eastAsia"/>
              </w:rPr>
              <w:t>0.100901</w:t>
            </w:r>
          </w:p>
        </w:tc>
        <w:tc>
          <w:tcPr>
            <w:tcW w:w="1040" w:type="dxa"/>
            <w:tcBorders>
              <w:top w:val="single" w:color="auto" w:sz="4" w:space="0"/>
              <w:left w:val="single" w:color="auto" w:sz="4" w:space="0"/>
              <w:bottom w:val="single" w:color="auto" w:sz="4" w:space="0"/>
              <w:right w:val="single" w:color="auto" w:sz="4" w:space="0"/>
            </w:tcBorders>
            <w:vAlign w:val="center"/>
          </w:tcPr>
          <w:p w14:paraId="0DBC62FF">
            <w:pPr>
              <w:pStyle w:val="557"/>
            </w:pPr>
            <w:r>
              <w:rPr>
                <w:rFonts w:hint="eastAsia"/>
              </w:rPr>
              <w:t>0.100901</w:t>
            </w:r>
          </w:p>
        </w:tc>
        <w:tc>
          <w:tcPr>
            <w:tcW w:w="1080" w:type="dxa"/>
            <w:tcBorders>
              <w:top w:val="single" w:color="auto" w:sz="4" w:space="0"/>
              <w:left w:val="single" w:color="auto" w:sz="4" w:space="0"/>
              <w:bottom w:val="single" w:color="auto" w:sz="4" w:space="0"/>
              <w:right w:val="single" w:color="auto" w:sz="4" w:space="0"/>
            </w:tcBorders>
            <w:noWrap/>
            <w:vAlign w:val="center"/>
          </w:tcPr>
          <w:p w14:paraId="0F2E8889">
            <w:pPr>
              <w:pStyle w:val="557"/>
            </w:pPr>
            <w:r>
              <w:rPr>
                <w:rFonts w:hint="eastAsia"/>
              </w:rPr>
              <w:t>0.07</w:t>
            </w:r>
          </w:p>
        </w:tc>
        <w:tc>
          <w:tcPr>
            <w:tcW w:w="1080" w:type="dxa"/>
            <w:tcBorders>
              <w:top w:val="single" w:color="auto" w:sz="4" w:space="0"/>
              <w:left w:val="single" w:color="auto" w:sz="4" w:space="0"/>
              <w:bottom w:val="single" w:color="auto" w:sz="4" w:space="0"/>
              <w:right w:val="single" w:color="auto" w:sz="4" w:space="0"/>
            </w:tcBorders>
            <w:noWrap/>
            <w:vAlign w:val="center"/>
          </w:tcPr>
          <w:p w14:paraId="0738B695">
            <w:pPr>
              <w:pStyle w:val="557"/>
            </w:pPr>
            <w:r>
              <w:rPr>
                <w:rFonts w:hint="eastAsia"/>
              </w:rPr>
              <w:t>144.14</w:t>
            </w:r>
          </w:p>
        </w:tc>
        <w:tc>
          <w:tcPr>
            <w:tcW w:w="1080" w:type="dxa"/>
            <w:tcBorders>
              <w:top w:val="single" w:color="auto" w:sz="4" w:space="0"/>
              <w:left w:val="single" w:color="auto" w:sz="4" w:space="0"/>
              <w:bottom w:val="single" w:color="auto" w:sz="4" w:space="0"/>
              <w:right w:val="single" w:color="auto" w:sz="4" w:space="0"/>
            </w:tcBorders>
            <w:noWrap/>
            <w:vAlign w:val="center"/>
          </w:tcPr>
          <w:p w14:paraId="25C11832">
            <w:pPr>
              <w:pStyle w:val="557"/>
            </w:pPr>
            <w:r>
              <w:rPr>
                <w:rFonts w:hint="eastAsia"/>
              </w:rPr>
              <w:t>超标</w:t>
            </w:r>
          </w:p>
        </w:tc>
      </w:tr>
      <w:tr w14:paraId="4031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A77826">
            <w:pPr>
              <w:jc w:val="center"/>
              <w:rPr>
                <w:rFonts w:hint="eastAsia"/>
                <w:bCs/>
                <w:sz w:val="18"/>
                <w:szCs w:val="18"/>
                <w:u w:color="000000"/>
                <w:lang w:val="zh-CN" w:bidi="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B8FB7B">
            <w:pPr>
              <w:jc w:val="center"/>
              <w:rPr>
                <w:rFonts w:hint="eastAsia"/>
                <w:bCs/>
                <w:sz w:val="18"/>
                <w:szCs w:val="18"/>
                <w:u w:color="000000"/>
                <w:lang w:val="zh-CN" w:bidi="en-US"/>
              </w:rPr>
            </w:pPr>
          </w:p>
        </w:tc>
        <w:tc>
          <w:tcPr>
            <w:tcW w:w="1458" w:type="dxa"/>
            <w:tcBorders>
              <w:top w:val="single" w:color="auto" w:sz="4" w:space="0"/>
              <w:left w:val="single" w:color="auto" w:sz="4" w:space="0"/>
              <w:bottom w:val="single" w:color="auto" w:sz="4" w:space="0"/>
              <w:right w:val="single" w:color="auto" w:sz="4" w:space="0"/>
            </w:tcBorders>
            <w:noWrap/>
            <w:vAlign w:val="center"/>
          </w:tcPr>
          <w:p w14:paraId="0F9487EF">
            <w:pPr>
              <w:pStyle w:val="557"/>
            </w:pPr>
            <w:r>
              <w:rPr>
                <w:rFonts w:hint="eastAsia"/>
              </w:rPr>
              <w:t>-150,-1400</w:t>
            </w:r>
          </w:p>
        </w:tc>
        <w:tc>
          <w:tcPr>
            <w:tcW w:w="1081" w:type="dxa"/>
            <w:tcBorders>
              <w:top w:val="single" w:color="auto" w:sz="4" w:space="0"/>
              <w:left w:val="single" w:color="auto" w:sz="4" w:space="0"/>
              <w:bottom w:val="single" w:color="auto" w:sz="4" w:space="0"/>
              <w:right w:val="single" w:color="auto" w:sz="4" w:space="0"/>
            </w:tcBorders>
            <w:noWrap/>
            <w:vAlign w:val="center"/>
          </w:tcPr>
          <w:p w14:paraId="502FA52E">
            <w:pPr>
              <w:pStyle w:val="557"/>
            </w:pPr>
            <w:r>
              <w:rPr>
                <w:rFonts w:hint="eastAsia"/>
              </w:rPr>
              <w:t>682.8</w:t>
            </w:r>
          </w:p>
        </w:tc>
        <w:tc>
          <w:tcPr>
            <w:tcW w:w="1080" w:type="dxa"/>
            <w:tcBorders>
              <w:top w:val="single" w:color="auto" w:sz="4" w:space="0"/>
              <w:left w:val="single" w:color="auto" w:sz="4" w:space="0"/>
              <w:bottom w:val="single" w:color="auto" w:sz="4" w:space="0"/>
              <w:right w:val="single" w:color="auto" w:sz="4" w:space="0"/>
            </w:tcBorders>
            <w:noWrap/>
            <w:vAlign w:val="center"/>
          </w:tcPr>
          <w:p w14:paraId="4EE0A8E1">
            <w:pPr>
              <w:pStyle w:val="557"/>
            </w:pPr>
            <w:r>
              <w:rPr>
                <w:rFonts w:hint="eastAsia"/>
              </w:rPr>
              <w:t>年平均</w:t>
            </w:r>
          </w:p>
        </w:tc>
        <w:tc>
          <w:tcPr>
            <w:tcW w:w="1080" w:type="dxa"/>
            <w:tcBorders>
              <w:top w:val="single" w:color="auto" w:sz="4" w:space="0"/>
              <w:left w:val="single" w:color="auto" w:sz="4" w:space="0"/>
              <w:bottom w:val="single" w:color="auto" w:sz="4" w:space="0"/>
              <w:right w:val="single" w:color="auto" w:sz="4" w:space="0"/>
            </w:tcBorders>
            <w:noWrap/>
            <w:vAlign w:val="center"/>
          </w:tcPr>
          <w:p w14:paraId="1BBBB168">
            <w:pPr>
              <w:pStyle w:val="557"/>
            </w:pPr>
            <w:r>
              <w:rPr>
                <w:rFonts w:hint="eastAsia"/>
              </w:rPr>
              <w:t>0.000793</w:t>
            </w:r>
          </w:p>
        </w:tc>
        <w:tc>
          <w:tcPr>
            <w:tcW w:w="1459" w:type="dxa"/>
            <w:tcBorders>
              <w:top w:val="single" w:color="auto" w:sz="4" w:space="0"/>
              <w:left w:val="single" w:color="auto" w:sz="4" w:space="0"/>
              <w:bottom w:val="single" w:color="auto" w:sz="4" w:space="0"/>
              <w:right w:val="single" w:color="auto" w:sz="4" w:space="0"/>
            </w:tcBorders>
            <w:noWrap/>
            <w:vAlign w:val="center"/>
          </w:tcPr>
          <w:p w14:paraId="0A91AB51">
            <w:pPr>
              <w:pStyle w:val="557"/>
            </w:pPr>
            <w:r>
              <w:rPr>
                <w:rFonts w:hint="eastAsia"/>
              </w:rPr>
              <w:t>平均值</w:t>
            </w:r>
          </w:p>
        </w:tc>
        <w:tc>
          <w:tcPr>
            <w:tcW w:w="1040" w:type="dxa"/>
            <w:tcBorders>
              <w:top w:val="single" w:color="auto" w:sz="4" w:space="0"/>
              <w:left w:val="single" w:color="auto" w:sz="4" w:space="0"/>
              <w:bottom w:val="single" w:color="auto" w:sz="4" w:space="0"/>
              <w:right w:val="single" w:color="auto" w:sz="4" w:space="0"/>
            </w:tcBorders>
            <w:vAlign w:val="center"/>
          </w:tcPr>
          <w:p w14:paraId="1165EF50">
            <w:pPr>
              <w:pStyle w:val="557"/>
            </w:pPr>
            <w:r>
              <w:rPr>
                <w:rFonts w:hint="eastAsia"/>
              </w:rPr>
              <w:t>0.100901</w:t>
            </w:r>
          </w:p>
        </w:tc>
        <w:tc>
          <w:tcPr>
            <w:tcW w:w="1040" w:type="dxa"/>
            <w:tcBorders>
              <w:top w:val="single" w:color="auto" w:sz="4" w:space="0"/>
              <w:left w:val="single" w:color="auto" w:sz="4" w:space="0"/>
              <w:bottom w:val="single" w:color="auto" w:sz="4" w:space="0"/>
              <w:right w:val="single" w:color="auto" w:sz="4" w:space="0"/>
            </w:tcBorders>
            <w:vAlign w:val="center"/>
          </w:tcPr>
          <w:p w14:paraId="0E9A7BF9">
            <w:pPr>
              <w:pStyle w:val="557"/>
            </w:pPr>
            <w:r>
              <w:rPr>
                <w:rFonts w:hint="eastAsia"/>
              </w:rPr>
              <w:t>0.101695</w:t>
            </w:r>
          </w:p>
        </w:tc>
        <w:tc>
          <w:tcPr>
            <w:tcW w:w="1080" w:type="dxa"/>
            <w:tcBorders>
              <w:top w:val="single" w:color="auto" w:sz="4" w:space="0"/>
              <w:left w:val="single" w:color="auto" w:sz="4" w:space="0"/>
              <w:bottom w:val="single" w:color="auto" w:sz="4" w:space="0"/>
              <w:right w:val="single" w:color="auto" w:sz="4" w:space="0"/>
            </w:tcBorders>
            <w:noWrap/>
            <w:vAlign w:val="center"/>
          </w:tcPr>
          <w:p w14:paraId="5792C3DE">
            <w:pPr>
              <w:pStyle w:val="557"/>
            </w:pPr>
            <w:r>
              <w:rPr>
                <w:rFonts w:hint="eastAsia"/>
              </w:rPr>
              <w:t>0.07</w:t>
            </w:r>
          </w:p>
        </w:tc>
        <w:tc>
          <w:tcPr>
            <w:tcW w:w="1080" w:type="dxa"/>
            <w:tcBorders>
              <w:top w:val="single" w:color="auto" w:sz="4" w:space="0"/>
              <w:left w:val="single" w:color="auto" w:sz="4" w:space="0"/>
              <w:bottom w:val="single" w:color="auto" w:sz="4" w:space="0"/>
              <w:right w:val="single" w:color="auto" w:sz="4" w:space="0"/>
            </w:tcBorders>
            <w:noWrap/>
            <w:vAlign w:val="center"/>
          </w:tcPr>
          <w:p w14:paraId="3470EF45">
            <w:pPr>
              <w:pStyle w:val="557"/>
            </w:pPr>
            <w:r>
              <w:rPr>
                <w:rFonts w:hint="eastAsia"/>
              </w:rPr>
              <w:t>145.28</w:t>
            </w:r>
          </w:p>
        </w:tc>
        <w:tc>
          <w:tcPr>
            <w:tcW w:w="1080" w:type="dxa"/>
            <w:tcBorders>
              <w:top w:val="single" w:color="auto" w:sz="4" w:space="0"/>
              <w:left w:val="single" w:color="auto" w:sz="4" w:space="0"/>
              <w:bottom w:val="single" w:color="auto" w:sz="4" w:space="0"/>
              <w:right w:val="single" w:color="auto" w:sz="4" w:space="0"/>
            </w:tcBorders>
            <w:noWrap/>
            <w:vAlign w:val="center"/>
          </w:tcPr>
          <w:p w14:paraId="6B97F8D0">
            <w:pPr>
              <w:pStyle w:val="557"/>
            </w:pPr>
            <w:r>
              <w:rPr>
                <w:rFonts w:hint="eastAsia"/>
              </w:rPr>
              <w:t>超标</w:t>
            </w:r>
          </w:p>
        </w:tc>
      </w:tr>
    </w:tbl>
    <w:p w14:paraId="3C74AE5D">
      <w:pPr>
        <w:pStyle w:val="645"/>
        <w:rPr>
          <w:rFonts w:hint="eastAsia"/>
        </w:rPr>
      </w:pPr>
      <w:r>
        <w:rPr>
          <w:rFonts w:hint="eastAsia"/>
        </w:rPr>
        <w:t>表</w:t>
      </w:r>
      <w:r>
        <w:rPr>
          <w:rFonts w:hint="eastAsia"/>
          <w:spacing w:val="8"/>
        </w:rPr>
        <w:t xml:space="preserve">5.2.8-14   </w:t>
      </w:r>
      <w:r>
        <w:rPr>
          <w:rFonts w:hint="eastAsia"/>
        </w:rPr>
        <w:t>环境保护目标和预测网格NH</w:t>
      </w:r>
      <w:r>
        <w:rPr>
          <w:rFonts w:hint="eastAsia"/>
          <w:vertAlign w:val="subscript"/>
        </w:rPr>
        <w:t>3</w:t>
      </w:r>
      <w:r>
        <w:rPr>
          <w:rFonts w:hint="eastAsia"/>
        </w:rPr>
        <w:t>浓度贡献值叠加背景值后1小时平均值预测结果一览表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13"/>
        <w:gridCol w:w="1499"/>
        <w:gridCol w:w="1112"/>
        <w:gridCol w:w="1111"/>
        <w:gridCol w:w="1111"/>
        <w:gridCol w:w="1502"/>
        <w:gridCol w:w="1110"/>
        <w:gridCol w:w="1111"/>
        <w:gridCol w:w="1111"/>
        <w:gridCol w:w="1111"/>
        <w:gridCol w:w="1111"/>
      </w:tblGrid>
      <w:tr w14:paraId="2F52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6351F0DD">
            <w:pPr>
              <w:pStyle w:val="557"/>
              <w:rPr>
                <w:color w:val="auto"/>
              </w:rPr>
            </w:pPr>
            <w:r>
              <w:rPr>
                <w:rFonts w:hint="eastAsia"/>
              </w:rPr>
              <w:t>序号</w:t>
            </w:r>
          </w:p>
        </w:tc>
        <w:tc>
          <w:tcPr>
            <w:tcW w:w="1588" w:type="dxa"/>
            <w:tcBorders>
              <w:top w:val="single" w:color="auto" w:sz="4" w:space="0"/>
              <w:left w:val="single" w:color="auto" w:sz="4" w:space="0"/>
              <w:bottom w:val="single" w:color="auto" w:sz="4" w:space="0"/>
              <w:right w:val="single" w:color="auto" w:sz="4" w:space="0"/>
            </w:tcBorders>
            <w:noWrap/>
            <w:vAlign w:val="center"/>
          </w:tcPr>
          <w:p w14:paraId="59922846">
            <w:pPr>
              <w:pStyle w:val="557"/>
            </w:pPr>
            <w:r>
              <w:rPr>
                <w:rFonts w:hint="eastAsia"/>
              </w:rPr>
              <w:t>点名称</w:t>
            </w:r>
          </w:p>
        </w:tc>
        <w:tc>
          <w:tcPr>
            <w:tcW w:w="1476" w:type="dxa"/>
            <w:tcBorders>
              <w:top w:val="single" w:color="auto" w:sz="4" w:space="0"/>
              <w:left w:val="single" w:color="auto" w:sz="4" w:space="0"/>
              <w:bottom w:val="single" w:color="auto" w:sz="4" w:space="0"/>
              <w:right w:val="single" w:color="auto" w:sz="4" w:space="0"/>
            </w:tcBorders>
            <w:noWrap/>
            <w:vAlign w:val="center"/>
          </w:tcPr>
          <w:p w14:paraId="571FE509">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7DA281C7">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E59A4A1">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300D9FB6">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15B4E030">
            <w:pPr>
              <w:pStyle w:val="557"/>
            </w:pPr>
            <w:r>
              <w:rPr>
                <w:rFonts w:hint="eastAsia"/>
              </w:rPr>
              <w:t>出现时间</w:t>
            </w:r>
            <w:r>
              <w:t>(YYMMDDHH)</w:t>
            </w:r>
          </w:p>
        </w:tc>
        <w:tc>
          <w:tcPr>
            <w:tcW w:w="1092" w:type="dxa"/>
            <w:tcBorders>
              <w:top w:val="single" w:color="auto" w:sz="4" w:space="0"/>
              <w:left w:val="single" w:color="auto" w:sz="4" w:space="0"/>
              <w:bottom w:val="single" w:color="auto" w:sz="4" w:space="0"/>
              <w:right w:val="single" w:color="auto" w:sz="4" w:space="0"/>
            </w:tcBorders>
            <w:vAlign w:val="center"/>
          </w:tcPr>
          <w:p w14:paraId="57094776">
            <w:pPr>
              <w:pStyle w:val="557"/>
            </w:pPr>
            <w:r>
              <w:rPr>
                <w:rFonts w:hint="eastAsia"/>
              </w:rPr>
              <w:t>背景浓度</w:t>
            </w:r>
          </w:p>
          <w:p w14:paraId="1A075249">
            <w:pPr>
              <w:pStyle w:val="557"/>
            </w:pPr>
            <w:r>
              <w:t>(mg/m^3)</w:t>
            </w:r>
          </w:p>
        </w:tc>
        <w:tc>
          <w:tcPr>
            <w:tcW w:w="1093" w:type="dxa"/>
            <w:tcBorders>
              <w:top w:val="single" w:color="auto" w:sz="4" w:space="0"/>
              <w:left w:val="single" w:color="auto" w:sz="4" w:space="0"/>
              <w:bottom w:val="single" w:color="auto" w:sz="4" w:space="0"/>
              <w:right w:val="single" w:color="auto" w:sz="4" w:space="0"/>
            </w:tcBorders>
            <w:vAlign w:val="center"/>
          </w:tcPr>
          <w:p w14:paraId="25EC7AE3">
            <w:pPr>
              <w:pStyle w:val="557"/>
            </w:pPr>
            <w:r>
              <w:rPr>
                <w:rFonts w:hint="eastAsia"/>
              </w:rPr>
              <w:t>叠加浓度</w:t>
            </w:r>
          </w:p>
          <w:p w14:paraId="7C330B10">
            <w:pPr>
              <w:pStyle w:val="557"/>
            </w:pP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4D3C5248">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1E2D7C89">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520F4838">
            <w:pPr>
              <w:pStyle w:val="557"/>
            </w:pPr>
            <w:r>
              <w:rPr>
                <w:rFonts w:hint="eastAsia"/>
              </w:rPr>
              <w:t>是否超标</w:t>
            </w:r>
          </w:p>
        </w:tc>
      </w:tr>
      <w:tr w14:paraId="7AA3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080160EC">
            <w:pPr>
              <w:pStyle w:val="557"/>
            </w:pPr>
            <w:r>
              <w:rPr>
                <w:rFonts w:hint="eastAsia"/>
              </w:rPr>
              <w:t>1</w:t>
            </w:r>
          </w:p>
        </w:tc>
        <w:tc>
          <w:tcPr>
            <w:tcW w:w="1588" w:type="dxa"/>
            <w:tcBorders>
              <w:top w:val="single" w:color="auto" w:sz="4" w:space="0"/>
              <w:left w:val="single" w:color="auto" w:sz="4" w:space="0"/>
              <w:bottom w:val="single" w:color="auto" w:sz="4" w:space="0"/>
              <w:right w:val="single" w:color="auto" w:sz="4" w:space="0"/>
            </w:tcBorders>
            <w:noWrap/>
            <w:vAlign w:val="center"/>
          </w:tcPr>
          <w:p w14:paraId="37EFEA78">
            <w:pPr>
              <w:pStyle w:val="557"/>
            </w:pPr>
            <w:r>
              <w:rPr>
                <w:rFonts w:hint="eastAsia"/>
              </w:rPr>
              <w:t>网格</w:t>
            </w:r>
          </w:p>
        </w:tc>
        <w:tc>
          <w:tcPr>
            <w:tcW w:w="1476" w:type="dxa"/>
            <w:tcBorders>
              <w:top w:val="single" w:color="auto" w:sz="4" w:space="0"/>
              <w:left w:val="single" w:color="auto" w:sz="4" w:space="0"/>
              <w:bottom w:val="single" w:color="auto" w:sz="4" w:space="0"/>
              <w:right w:val="single" w:color="auto" w:sz="4" w:space="0"/>
            </w:tcBorders>
            <w:noWrap/>
            <w:vAlign w:val="center"/>
          </w:tcPr>
          <w:p w14:paraId="0A02C1EF">
            <w:pPr>
              <w:pStyle w:val="557"/>
            </w:pPr>
            <w:r>
              <w:rPr>
                <w:rFonts w:hint="eastAsia"/>
              </w:rPr>
              <w:t>50,-1450</w:t>
            </w:r>
          </w:p>
        </w:tc>
        <w:tc>
          <w:tcPr>
            <w:tcW w:w="1094" w:type="dxa"/>
            <w:tcBorders>
              <w:top w:val="single" w:color="auto" w:sz="4" w:space="0"/>
              <w:left w:val="single" w:color="auto" w:sz="4" w:space="0"/>
              <w:bottom w:val="single" w:color="auto" w:sz="4" w:space="0"/>
              <w:right w:val="single" w:color="auto" w:sz="4" w:space="0"/>
            </w:tcBorders>
            <w:noWrap/>
            <w:vAlign w:val="center"/>
          </w:tcPr>
          <w:p w14:paraId="26D6941D">
            <w:pPr>
              <w:pStyle w:val="557"/>
            </w:pPr>
            <w:r>
              <w:rPr>
                <w:rFonts w:hint="eastAsia"/>
              </w:rPr>
              <w:t>682.4</w:t>
            </w:r>
          </w:p>
        </w:tc>
        <w:tc>
          <w:tcPr>
            <w:tcW w:w="1093" w:type="dxa"/>
            <w:tcBorders>
              <w:top w:val="single" w:color="auto" w:sz="4" w:space="0"/>
              <w:left w:val="single" w:color="auto" w:sz="4" w:space="0"/>
              <w:bottom w:val="single" w:color="auto" w:sz="4" w:space="0"/>
              <w:right w:val="single" w:color="auto" w:sz="4" w:space="0"/>
            </w:tcBorders>
            <w:noWrap/>
            <w:vAlign w:val="center"/>
          </w:tcPr>
          <w:p w14:paraId="10FCEF69">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52793E93">
            <w:pPr>
              <w:pStyle w:val="557"/>
            </w:pPr>
            <w:r>
              <w:rPr>
                <w:rFonts w:hint="eastAsia"/>
              </w:rPr>
              <w:t>0.100627</w:t>
            </w:r>
          </w:p>
        </w:tc>
        <w:tc>
          <w:tcPr>
            <w:tcW w:w="1478" w:type="dxa"/>
            <w:tcBorders>
              <w:top w:val="single" w:color="auto" w:sz="4" w:space="0"/>
              <w:left w:val="single" w:color="auto" w:sz="4" w:space="0"/>
              <w:bottom w:val="single" w:color="auto" w:sz="4" w:space="0"/>
              <w:right w:val="single" w:color="auto" w:sz="4" w:space="0"/>
            </w:tcBorders>
            <w:noWrap/>
            <w:vAlign w:val="center"/>
          </w:tcPr>
          <w:p w14:paraId="1062666C">
            <w:pPr>
              <w:pStyle w:val="557"/>
            </w:pPr>
            <w:r>
              <w:rPr>
                <w:rFonts w:hint="eastAsia"/>
              </w:rPr>
              <w:t>23052506</w:t>
            </w:r>
          </w:p>
        </w:tc>
        <w:tc>
          <w:tcPr>
            <w:tcW w:w="1092" w:type="dxa"/>
            <w:tcBorders>
              <w:top w:val="single" w:color="auto" w:sz="4" w:space="0"/>
              <w:left w:val="single" w:color="auto" w:sz="4" w:space="0"/>
              <w:bottom w:val="single" w:color="auto" w:sz="4" w:space="0"/>
              <w:right w:val="single" w:color="auto" w:sz="4" w:space="0"/>
            </w:tcBorders>
            <w:vAlign w:val="center"/>
          </w:tcPr>
          <w:p w14:paraId="29FFE89F">
            <w:pPr>
              <w:pStyle w:val="557"/>
            </w:pPr>
            <w:r>
              <w:rPr>
                <w:rFonts w:hint="eastAsia"/>
              </w:rPr>
              <w:t>0.004</w:t>
            </w:r>
          </w:p>
        </w:tc>
        <w:tc>
          <w:tcPr>
            <w:tcW w:w="1093" w:type="dxa"/>
            <w:tcBorders>
              <w:top w:val="single" w:color="auto" w:sz="4" w:space="0"/>
              <w:left w:val="single" w:color="auto" w:sz="4" w:space="0"/>
              <w:bottom w:val="single" w:color="auto" w:sz="4" w:space="0"/>
              <w:right w:val="single" w:color="auto" w:sz="4" w:space="0"/>
            </w:tcBorders>
            <w:vAlign w:val="center"/>
          </w:tcPr>
          <w:p w14:paraId="598BD5C1">
            <w:pPr>
              <w:pStyle w:val="557"/>
            </w:pPr>
            <w:r>
              <w:rPr>
                <w:rFonts w:hint="eastAsia"/>
              </w:rPr>
              <w:t>0.104627</w:t>
            </w:r>
          </w:p>
        </w:tc>
        <w:tc>
          <w:tcPr>
            <w:tcW w:w="1093" w:type="dxa"/>
            <w:tcBorders>
              <w:top w:val="single" w:color="auto" w:sz="4" w:space="0"/>
              <w:left w:val="single" w:color="auto" w:sz="4" w:space="0"/>
              <w:bottom w:val="single" w:color="auto" w:sz="4" w:space="0"/>
              <w:right w:val="single" w:color="auto" w:sz="4" w:space="0"/>
            </w:tcBorders>
            <w:noWrap/>
            <w:vAlign w:val="center"/>
          </w:tcPr>
          <w:p w14:paraId="64943D94">
            <w:pPr>
              <w:pStyle w:val="557"/>
            </w:pPr>
            <w:r>
              <w:rPr>
                <w:rFonts w:hint="eastAsia"/>
              </w:rPr>
              <w:t>0.2</w:t>
            </w:r>
          </w:p>
        </w:tc>
        <w:tc>
          <w:tcPr>
            <w:tcW w:w="1093" w:type="dxa"/>
            <w:tcBorders>
              <w:top w:val="single" w:color="auto" w:sz="4" w:space="0"/>
              <w:left w:val="single" w:color="auto" w:sz="4" w:space="0"/>
              <w:bottom w:val="single" w:color="auto" w:sz="4" w:space="0"/>
              <w:right w:val="single" w:color="auto" w:sz="4" w:space="0"/>
            </w:tcBorders>
            <w:noWrap/>
            <w:vAlign w:val="center"/>
          </w:tcPr>
          <w:p w14:paraId="260B4942">
            <w:pPr>
              <w:pStyle w:val="557"/>
            </w:pPr>
            <w:r>
              <w:rPr>
                <w:rFonts w:hint="eastAsia"/>
              </w:rPr>
              <w:t>52.31</w:t>
            </w:r>
          </w:p>
        </w:tc>
        <w:tc>
          <w:tcPr>
            <w:tcW w:w="1093" w:type="dxa"/>
            <w:tcBorders>
              <w:top w:val="single" w:color="auto" w:sz="4" w:space="0"/>
              <w:left w:val="single" w:color="auto" w:sz="4" w:space="0"/>
              <w:bottom w:val="single" w:color="auto" w:sz="4" w:space="0"/>
              <w:right w:val="single" w:color="auto" w:sz="4" w:space="0"/>
            </w:tcBorders>
            <w:noWrap/>
            <w:vAlign w:val="center"/>
          </w:tcPr>
          <w:p w14:paraId="1A06316F">
            <w:pPr>
              <w:pStyle w:val="557"/>
            </w:pPr>
            <w:r>
              <w:rPr>
                <w:rFonts w:hint="eastAsia"/>
              </w:rPr>
              <w:t>达标</w:t>
            </w:r>
          </w:p>
        </w:tc>
      </w:tr>
    </w:tbl>
    <w:p w14:paraId="63325956">
      <w:pPr>
        <w:pStyle w:val="557"/>
      </w:pPr>
    </w:p>
    <w:p w14:paraId="1D9A22B8">
      <w:pPr>
        <w:pStyle w:val="535"/>
        <w:ind w:left="400" w:hanging="400"/>
        <w:rPr>
          <w:rFonts w:hint="eastAsia"/>
          <w:color w:val="auto"/>
        </w:rPr>
      </w:pPr>
      <w:r>
        <w:rPr>
          <w:rFonts w:hint="eastAsia"/>
          <w:color w:val="auto"/>
        </w:rPr>
        <w:t>表</w:t>
      </w:r>
      <w:r>
        <w:rPr>
          <w:rFonts w:hint="eastAsia"/>
          <w:color w:val="auto"/>
          <w:spacing w:val="8"/>
        </w:rPr>
        <w:t xml:space="preserve">5.2.8-15   </w:t>
      </w:r>
      <w:r>
        <w:rPr>
          <w:rFonts w:hint="eastAsia"/>
          <w:color w:val="auto"/>
        </w:rPr>
        <w:t>环境保护目标和预测网格H</w:t>
      </w:r>
      <w:r>
        <w:rPr>
          <w:rFonts w:hint="eastAsia"/>
          <w:color w:val="auto"/>
          <w:vertAlign w:val="subscript"/>
        </w:rPr>
        <w:t>2</w:t>
      </w:r>
      <w:r>
        <w:rPr>
          <w:rFonts w:hint="eastAsia"/>
          <w:color w:val="auto"/>
        </w:rPr>
        <w:t>S浓度贡献值叠加背景值</w:t>
      </w:r>
      <w:r>
        <w:rPr>
          <w:rFonts w:hint="eastAsia"/>
        </w:rPr>
        <w:t>后</w:t>
      </w:r>
      <w:r>
        <w:rPr>
          <w:rFonts w:hint="eastAsia"/>
          <w:color w:val="auto"/>
        </w:rPr>
        <w:t>1小时平均值预测结果一览表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13"/>
        <w:gridCol w:w="1499"/>
        <w:gridCol w:w="1112"/>
        <w:gridCol w:w="1111"/>
        <w:gridCol w:w="1111"/>
        <w:gridCol w:w="1502"/>
        <w:gridCol w:w="1110"/>
        <w:gridCol w:w="1111"/>
        <w:gridCol w:w="1111"/>
        <w:gridCol w:w="1111"/>
        <w:gridCol w:w="1111"/>
      </w:tblGrid>
      <w:tr w14:paraId="494D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3D32A497">
            <w:pPr>
              <w:pStyle w:val="557"/>
              <w:rPr>
                <w:color w:val="auto"/>
              </w:rPr>
            </w:pPr>
            <w:r>
              <w:rPr>
                <w:rFonts w:hint="eastAsia"/>
              </w:rPr>
              <w:t>序号</w:t>
            </w:r>
          </w:p>
        </w:tc>
        <w:tc>
          <w:tcPr>
            <w:tcW w:w="1588" w:type="dxa"/>
            <w:tcBorders>
              <w:top w:val="single" w:color="auto" w:sz="4" w:space="0"/>
              <w:left w:val="single" w:color="auto" w:sz="4" w:space="0"/>
              <w:bottom w:val="single" w:color="auto" w:sz="4" w:space="0"/>
              <w:right w:val="single" w:color="auto" w:sz="4" w:space="0"/>
            </w:tcBorders>
            <w:noWrap/>
            <w:vAlign w:val="center"/>
          </w:tcPr>
          <w:p w14:paraId="5AE11417">
            <w:pPr>
              <w:pStyle w:val="557"/>
            </w:pPr>
            <w:r>
              <w:rPr>
                <w:rFonts w:hint="eastAsia"/>
              </w:rPr>
              <w:t>点名称</w:t>
            </w:r>
          </w:p>
        </w:tc>
        <w:tc>
          <w:tcPr>
            <w:tcW w:w="1476" w:type="dxa"/>
            <w:tcBorders>
              <w:top w:val="single" w:color="auto" w:sz="4" w:space="0"/>
              <w:left w:val="single" w:color="auto" w:sz="4" w:space="0"/>
              <w:bottom w:val="single" w:color="auto" w:sz="4" w:space="0"/>
              <w:right w:val="single" w:color="auto" w:sz="4" w:space="0"/>
            </w:tcBorders>
            <w:noWrap/>
            <w:vAlign w:val="center"/>
          </w:tcPr>
          <w:p w14:paraId="07CC8B07">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4CFE48C2">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23A23AD">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1B777E97">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5240190E">
            <w:pPr>
              <w:pStyle w:val="557"/>
            </w:pPr>
            <w:r>
              <w:rPr>
                <w:rFonts w:hint="eastAsia"/>
              </w:rPr>
              <w:t>出现时间</w:t>
            </w:r>
            <w:r>
              <w:t>(YYMMDDHH)</w:t>
            </w:r>
          </w:p>
        </w:tc>
        <w:tc>
          <w:tcPr>
            <w:tcW w:w="1092" w:type="dxa"/>
            <w:tcBorders>
              <w:top w:val="single" w:color="auto" w:sz="4" w:space="0"/>
              <w:left w:val="single" w:color="auto" w:sz="4" w:space="0"/>
              <w:bottom w:val="single" w:color="auto" w:sz="4" w:space="0"/>
              <w:right w:val="single" w:color="auto" w:sz="4" w:space="0"/>
            </w:tcBorders>
            <w:vAlign w:val="center"/>
          </w:tcPr>
          <w:p w14:paraId="000E22C1">
            <w:pPr>
              <w:pStyle w:val="557"/>
            </w:pPr>
            <w:r>
              <w:rPr>
                <w:rFonts w:hint="eastAsia"/>
              </w:rPr>
              <w:t>背景浓度</w:t>
            </w:r>
          </w:p>
          <w:p w14:paraId="3957F279">
            <w:pPr>
              <w:pStyle w:val="557"/>
            </w:pPr>
            <w:r>
              <w:t>(mg/m^3)</w:t>
            </w:r>
          </w:p>
        </w:tc>
        <w:tc>
          <w:tcPr>
            <w:tcW w:w="1093" w:type="dxa"/>
            <w:tcBorders>
              <w:top w:val="single" w:color="auto" w:sz="4" w:space="0"/>
              <w:left w:val="single" w:color="auto" w:sz="4" w:space="0"/>
              <w:bottom w:val="single" w:color="auto" w:sz="4" w:space="0"/>
              <w:right w:val="single" w:color="auto" w:sz="4" w:space="0"/>
            </w:tcBorders>
            <w:vAlign w:val="center"/>
          </w:tcPr>
          <w:p w14:paraId="7DFDD3D0">
            <w:pPr>
              <w:pStyle w:val="557"/>
            </w:pPr>
            <w:r>
              <w:rPr>
                <w:rFonts w:hint="eastAsia"/>
              </w:rPr>
              <w:t>叠加浓度</w:t>
            </w:r>
          </w:p>
          <w:p w14:paraId="0DB3C176">
            <w:pPr>
              <w:pStyle w:val="557"/>
            </w:pP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441178C0">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6D523005">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05091A98">
            <w:pPr>
              <w:pStyle w:val="557"/>
            </w:pPr>
            <w:r>
              <w:rPr>
                <w:rFonts w:hint="eastAsia"/>
              </w:rPr>
              <w:t>是否超标</w:t>
            </w:r>
          </w:p>
        </w:tc>
      </w:tr>
      <w:tr w14:paraId="2E2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4C9284F1">
            <w:pPr>
              <w:pStyle w:val="557"/>
            </w:pPr>
            <w:r>
              <w:rPr>
                <w:rFonts w:hint="eastAsia"/>
              </w:rPr>
              <w:t>1</w:t>
            </w:r>
          </w:p>
        </w:tc>
        <w:tc>
          <w:tcPr>
            <w:tcW w:w="1588" w:type="dxa"/>
            <w:tcBorders>
              <w:top w:val="single" w:color="auto" w:sz="4" w:space="0"/>
              <w:left w:val="single" w:color="auto" w:sz="4" w:space="0"/>
              <w:bottom w:val="single" w:color="auto" w:sz="4" w:space="0"/>
              <w:right w:val="single" w:color="auto" w:sz="4" w:space="0"/>
            </w:tcBorders>
            <w:noWrap/>
            <w:vAlign w:val="center"/>
          </w:tcPr>
          <w:p w14:paraId="2C02E399">
            <w:pPr>
              <w:pStyle w:val="557"/>
            </w:pPr>
            <w:r>
              <w:rPr>
                <w:rFonts w:hint="eastAsia"/>
              </w:rPr>
              <w:t>网格</w:t>
            </w:r>
          </w:p>
        </w:tc>
        <w:tc>
          <w:tcPr>
            <w:tcW w:w="1476" w:type="dxa"/>
            <w:tcBorders>
              <w:top w:val="single" w:color="auto" w:sz="4" w:space="0"/>
              <w:left w:val="single" w:color="auto" w:sz="4" w:space="0"/>
              <w:bottom w:val="single" w:color="auto" w:sz="4" w:space="0"/>
              <w:right w:val="single" w:color="auto" w:sz="4" w:space="0"/>
            </w:tcBorders>
            <w:noWrap/>
            <w:vAlign w:val="center"/>
          </w:tcPr>
          <w:p w14:paraId="05E23A74">
            <w:pPr>
              <w:pStyle w:val="557"/>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52E92DC2">
            <w:pPr>
              <w:pStyle w:val="557"/>
            </w:pPr>
            <w:r>
              <w:rPr>
                <w:rFonts w:hint="eastAsia"/>
              </w:rPr>
              <w:t>684.4</w:t>
            </w:r>
          </w:p>
        </w:tc>
        <w:tc>
          <w:tcPr>
            <w:tcW w:w="1093" w:type="dxa"/>
            <w:tcBorders>
              <w:top w:val="single" w:color="auto" w:sz="4" w:space="0"/>
              <w:left w:val="single" w:color="auto" w:sz="4" w:space="0"/>
              <w:bottom w:val="single" w:color="auto" w:sz="4" w:space="0"/>
              <w:right w:val="single" w:color="auto" w:sz="4" w:space="0"/>
            </w:tcBorders>
            <w:noWrap/>
            <w:vAlign w:val="center"/>
          </w:tcPr>
          <w:p w14:paraId="568D5F77">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089438F7">
            <w:pPr>
              <w:pStyle w:val="557"/>
            </w:pPr>
            <w:r>
              <w:rPr>
                <w:rFonts w:hint="eastAsia"/>
              </w:rPr>
              <w:t>0.006938</w:t>
            </w:r>
          </w:p>
        </w:tc>
        <w:tc>
          <w:tcPr>
            <w:tcW w:w="1478" w:type="dxa"/>
            <w:tcBorders>
              <w:top w:val="single" w:color="auto" w:sz="4" w:space="0"/>
              <w:left w:val="single" w:color="auto" w:sz="4" w:space="0"/>
              <w:bottom w:val="single" w:color="auto" w:sz="4" w:space="0"/>
              <w:right w:val="single" w:color="auto" w:sz="4" w:space="0"/>
            </w:tcBorders>
            <w:noWrap/>
            <w:vAlign w:val="center"/>
          </w:tcPr>
          <w:p w14:paraId="395A2250">
            <w:pPr>
              <w:pStyle w:val="557"/>
            </w:pPr>
            <w:r>
              <w:rPr>
                <w:rFonts w:hint="eastAsia"/>
              </w:rPr>
              <w:t>23052506</w:t>
            </w:r>
          </w:p>
        </w:tc>
        <w:tc>
          <w:tcPr>
            <w:tcW w:w="1092" w:type="dxa"/>
            <w:tcBorders>
              <w:top w:val="single" w:color="auto" w:sz="4" w:space="0"/>
              <w:left w:val="single" w:color="auto" w:sz="4" w:space="0"/>
              <w:bottom w:val="single" w:color="auto" w:sz="4" w:space="0"/>
              <w:right w:val="single" w:color="auto" w:sz="4" w:space="0"/>
            </w:tcBorders>
            <w:vAlign w:val="center"/>
          </w:tcPr>
          <w:p w14:paraId="51E334F2">
            <w:pPr>
              <w:pStyle w:val="557"/>
            </w:pPr>
            <w:r>
              <w:rPr>
                <w:rFonts w:hint="eastAsia"/>
              </w:rPr>
              <w:t>0.0025</w:t>
            </w:r>
          </w:p>
        </w:tc>
        <w:tc>
          <w:tcPr>
            <w:tcW w:w="1093" w:type="dxa"/>
            <w:tcBorders>
              <w:top w:val="single" w:color="auto" w:sz="4" w:space="0"/>
              <w:left w:val="single" w:color="auto" w:sz="4" w:space="0"/>
              <w:bottom w:val="single" w:color="auto" w:sz="4" w:space="0"/>
              <w:right w:val="single" w:color="auto" w:sz="4" w:space="0"/>
            </w:tcBorders>
            <w:vAlign w:val="center"/>
          </w:tcPr>
          <w:p w14:paraId="1473189C">
            <w:pPr>
              <w:pStyle w:val="557"/>
            </w:pPr>
            <w:r>
              <w:rPr>
                <w:rFonts w:hint="eastAsia"/>
              </w:rPr>
              <w:t>0.009438</w:t>
            </w:r>
          </w:p>
        </w:tc>
        <w:tc>
          <w:tcPr>
            <w:tcW w:w="1093" w:type="dxa"/>
            <w:tcBorders>
              <w:top w:val="single" w:color="auto" w:sz="4" w:space="0"/>
              <w:left w:val="single" w:color="auto" w:sz="4" w:space="0"/>
              <w:bottom w:val="single" w:color="auto" w:sz="4" w:space="0"/>
              <w:right w:val="single" w:color="auto" w:sz="4" w:space="0"/>
            </w:tcBorders>
            <w:noWrap/>
            <w:vAlign w:val="center"/>
          </w:tcPr>
          <w:p w14:paraId="1E83D358">
            <w:pPr>
              <w:pStyle w:val="557"/>
            </w:pPr>
            <w:r>
              <w:rPr>
                <w:rFonts w:hint="eastAsia"/>
              </w:rPr>
              <w:t>0.01</w:t>
            </w:r>
          </w:p>
        </w:tc>
        <w:tc>
          <w:tcPr>
            <w:tcW w:w="1093" w:type="dxa"/>
            <w:tcBorders>
              <w:top w:val="single" w:color="auto" w:sz="4" w:space="0"/>
              <w:left w:val="single" w:color="auto" w:sz="4" w:space="0"/>
              <w:bottom w:val="single" w:color="auto" w:sz="4" w:space="0"/>
              <w:right w:val="single" w:color="auto" w:sz="4" w:space="0"/>
            </w:tcBorders>
            <w:noWrap/>
            <w:vAlign w:val="center"/>
          </w:tcPr>
          <w:p w14:paraId="424F9310">
            <w:pPr>
              <w:pStyle w:val="557"/>
            </w:pPr>
            <w:r>
              <w:rPr>
                <w:rFonts w:hint="eastAsia"/>
              </w:rPr>
              <w:t>94.38</w:t>
            </w:r>
          </w:p>
        </w:tc>
        <w:tc>
          <w:tcPr>
            <w:tcW w:w="1093" w:type="dxa"/>
            <w:tcBorders>
              <w:top w:val="single" w:color="auto" w:sz="4" w:space="0"/>
              <w:left w:val="single" w:color="auto" w:sz="4" w:space="0"/>
              <w:bottom w:val="single" w:color="auto" w:sz="4" w:space="0"/>
              <w:right w:val="single" w:color="auto" w:sz="4" w:space="0"/>
            </w:tcBorders>
            <w:noWrap/>
            <w:vAlign w:val="center"/>
          </w:tcPr>
          <w:p w14:paraId="01C99A38">
            <w:pPr>
              <w:pStyle w:val="557"/>
            </w:pPr>
            <w:r>
              <w:rPr>
                <w:rFonts w:hint="eastAsia"/>
              </w:rPr>
              <w:t>达标</w:t>
            </w:r>
          </w:p>
        </w:tc>
      </w:tr>
    </w:tbl>
    <w:p w14:paraId="35220726">
      <w:pPr>
        <w:pStyle w:val="535"/>
        <w:ind w:left="416" w:hanging="416"/>
        <w:rPr>
          <w:rFonts w:hint="eastAsia"/>
          <w:color w:val="auto"/>
          <w:spacing w:val="8"/>
        </w:rPr>
      </w:pPr>
    </w:p>
    <w:p w14:paraId="75790A34">
      <w:pPr>
        <w:pStyle w:val="535"/>
        <w:ind w:left="416" w:hanging="416"/>
        <w:rPr>
          <w:rFonts w:hint="eastAsia"/>
          <w:color w:val="auto"/>
        </w:rPr>
      </w:pPr>
      <w:r>
        <w:rPr>
          <w:rFonts w:hint="eastAsia"/>
          <w:color w:val="auto"/>
          <w:spacing w:val="8"/>
        </w:rPr>
        <w:t xml:space="preserve">表5.2.8-16    </w:t>
      </w:r>
      <w:r>
        <w:rPr>
          <w:rFonts w:hint="eastAsia"/>
          <w:color w:val="auto"/>
        </w:rPr>
        <w:t>环境保护目标和预测网格NMHC浓度贡献值叠加背景值</w:t>
      </w:r>
      <w:r>
        <w:rPr>
          <w:rFonts w:hint="eastAsia"/>
        </w:rPr>
        <w:t>后</w:t>
      </w:r>
      <w:r>
        <w:rPr>
          <w:rFonts w:hint="eastAsia"/>
          <w:color w:val="auto"/>
        </w:rPr>
        <w:t>1小时平均值预测结果一览表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13"/>
        <w:gridCol w:w="1499"/>
        <w:gridCol w:w="1112"/>
        <w:gridCol w:w="1111"/>
        <w:gridCol w:w="1111"/>
        <w:gridCol w:w="1502"/>
        <w:gridCol w:w="1110"/>
        <w:gridCol w:w="1111"/>
        <w:gridCol w:w="1111"/>
        <w:gridCol w:w="1111"/>
        <w:gridCol w:w="1111"/>
      </w:tblGrid>
      <w:tr w14:paraId="0558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3F895F15">
            <w:pPr>
              <w:pStyle w:val="557"/>
              <w:rPr>
                <w:color w:val="auto"/>
              </w:rPr>
            </w:pPr>
            <w:r>
              <w:rPr>
                <w:rFonts w:hint="eastAsia"/>
              </w:rPr>
              <w:t>序号</w:t>
            </w:r>
          </w:p>
        </w:tc>
        <w:tc>
          <w:tcPr>
            <w:tcW w:w="1588" w:type="dxa"/>
            <w:tcBorders>
              <w:top w:val="single" w:color="auto" w:sz="4" w:space="0"/>
              <w:left w:val="single" w:color="auto" w:sz="4" w:space="0"/>
              <w:bottom w:val="single" w:color="auto" w:sz="4" w:space="0"/>
              <w:right w:val="single" w:color="auto" w:sz="4" w:space="0"/>
            </w:tcBorders>
            <w:noWrap/>
            <w:vAlign w:val="center"/>
          </w:tcPr>
          <w:p w14:paraId="14117B94">
            <w:pPr>
              <w:pStyle w:val="557"/>
            </w:pPr>
            <w:r>
              <w:rPr>
                <w:rFonts w:hint="eastAsia"/>
              </w:rPr>
              <w:t>点名称</w:t>
            </w:r>
          </w:p>
        </w:tc>
        <w:tc>
          <w:tcPr>
            <w:tcW w:w="1476" w:type="dxa"/>
            <w:tcBorders>
              <w:top w:val="single" w:color="auto" w:sz="4" w:space="0"/>
              <w:left w:val="single" w:color="auto" w:sz="4" w:space="0"/>
              <w:bottom w:val="single" w:color="auto" w:sz="4" w:space="0"/>
              <w:right w:val="single" w:color="auto" w:sz="4" w:space="0"/>
            </w:tcBorders>
            <w:noWrap/>
            <w:vAlign w:val="center"/>
          </w:tcPr>
          <w:p w14:paraId="7DBE9329">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13208728">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61EDB55D">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77539496">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5C783C98">
            <w:pPr>
              <w:pStyle w:val="557"/>
            </w:pPr>
            <w:r>
              <w:rPr>
                <w:rFonts w:hint="eastAsia"/>
              </w:rPr>
              <w:t>出现时间</w:t>
            </w:r>
            <w:r>
              <w:t>(YYMMDDHH)</w:t>
            </w:r>
          </w:p>
        </w:tc>
        <w:tc>
          <w:tcPr>
            <w:tcW w:w="1092" w:type="dxa"/>
            <w:tcBorders>
              <w:top w:val="single" w:color="auto" w:sz="4" w:space="0"/>
              <w:left w:val="single" w:color="auto" w:sz="4" w:space="0"/>
              <w:bottom w:val="single" w:color="auto" w:sz="4" w:space="0"/>
              <w:right w:val="single" w:color="auto" w:sz="4" w:space="0"/>
            </w:tcBorders>
            <w:vAlign w:val="center"/>
          </w:tcPr>
          <w:p w14:paraId="0BB98809">
            <w:pPr>
              <w:pStyle w:val="557"/>
            </w:pPr>
            <w:r>
              <w:rPr>
                <w:rFonts w:hint="eastAsia"/>
              </w:rPr>
              <w:t>背景浓度</w:t>
            </w:r>
          </w:p>
          <w:p w14:paraId="67A47B90">
            <w:pPr>
              <w:pStyle w:val="557"/>
            </w:pPr>
            <w:r>
              <w:t>(mg/m^3)</w:t>
            </w:r>
          </w:p>
        </w:tc>
        <w:tc>
          <w:tcPr>
            <w:tcW w:w="1093" w:type="dxa"/>
            <w:tcBorders>
              <w:top w:val="single" w:color="auto" w:sz="4" w:space="0"/>
              <w:left w:val="single" w:color="auto" w:sz="4" w:space="0"/>
              <w:bottom w:val="single" w:color="auto" w:sz="4" w:space="0"/>
              <w:right w:val="single" w:color="auto" w:sz="4" w:space="0"/>
            </w:tcBorders>
            <w:vAlign w:val="center"/>
          </w:tcPr>
          <w:p w14:paraId="2C25294B">
            <w:pPr>
              <w:pStyle w:val="557"/>
            </w:pPr>
            <w:r>
              <w:rPr>
                <w:rFonts w:hint="eastAsia"/>
              </w:rPr>
              <w:t>叠加浓度</w:t>
            </w:r>
          </w:p>
          <w:p w14:paraId="28ADDDE4">
            <w:pPr>
              <w:pStyle w:val="557"/>
            </w:pP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31263DC9">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231D0636">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2B841651">
            <w:pPr>
              <w:pStyle w:val="557"/>
            </w:pPr>
            <w:r>
              <w:rPr>
                <w:rFonts w:hint="eastAsia"/>
              </w:rPr>
              <w:t>是否超标</w:t>
            </w:r>
          </w:p>
        </w:tc>
      </w:tr>
      <w:tr w14:paraId="2F5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3F872A14">
            <w:pPr>
              <w:pStyle w:val="557"/>
            </w:pPr>
            <w:r>
              <w:rPr>
                <w:rFonts w:hint="eastAsia"/>
              </w:rPr>
              <w:t>1</w:t>
            </w:r>
          </w:p>
        </w:tc>
        <w:tc>
          <w:tcPr>
            <w:tcW w:w="1588" w:type="dxa"/>
            <w:tcBorders>
              <w:top w:val="single" w:color="auto" w:sz="4" w:space="0"/>
              <w:left w:val="single" w:color="auto" w:sz="4" w:space="0"/>
              <w:bottom w:val="single" w:color="auto" w:sz="4" w:space="0"/>
              <w:right w:val="single" w:color="auto" w:sz="4" w:space="0"/>
            </w:tcBorders>
            <w:noWrap/>
            <w:vAlign w:val="center"/>
          </w:tcPr>
          <w:p w14:paraId="3F660826">
            <w:pPr>
              <w:pStyle w:val="557"/>
            </w:pPr>
            <w:r>
              <w:rPr>
                <w:rFonts w:hint="eastAsia"/>
              </w:rPr>
              <w:t>网格</w:t>
            </w:r>
          </w:p>
        </w:tc>
        <w:tc>
          <w:tcPr>
            <w:tcW w:w="1476" w:type="dxa"/>
            <w:tcBorders>
              <w:top w:val="single" w:color="auto" w:sz="4" w:space="0"/>
              <w:left w:val="single" w:color="auto" w:sz="4" w:space="0"/>
              <w:bottom w:val="single" w:color="auto" w:sz="4" w:space="0"/>
              <w:right w:val="single" w:color="auto" w:sz="4" w:space="0"/>
            </w:tcBorders>
            <w:noWrap/>
            <w:vAlign w:val="center"/>
          </w:tcPr>
          <w:p w14:paraId="48536D33">
            <w:pPr>
              <w:pStyle w:val="557"/>
              <w:rPr>
                <w:highlight w:val="yellow"/>
              </w:rPr>
            </w:pPr>
            <w:r>
              <w:rPr>
                <w:rFonts w:hint="eastAsia"/>
              </w:rPr>
              <w:t>50,50</w:t>
            </w:r>
          </w:p>
        </w:tc>
        <w:tc>
          <w:tcPr>
            <w:tcW w:w="1094" w:type="dxa"/>
            <w:tcBorders>
              <w:top w:val="single" w:color="auto" w:sz="4" w:space="0"/>
              <w:left w:val="single" w:color="auto" w:sz="4" w:space="0"/>
              <w:bottom w:val="single" w:color="auto" w:sz="4" w:space="0"/>
              <w:right w:val="single" w:color="auto" w:sz="4" w:space="0"/>
            </w:tcBorders>
            <w:noWrap/>
            <w:vAlign w:val="center"/>
          </w:tcPr>
          <w:p w14:paraId="43911DBC">
            <w:pPr>
              <w:pStyle w:val="557"/>
            </w:pPr>
            <w:r>
              <w:rPr>
                <w:rFonts w:hint="eastAsia"/>
              </w:rPr>
              <w:t>686</w:t>
            </w:r>
          </w:p>
        </w:tc>
        <w:tc>
          <w:tcPr>
            <w:tcW w:w="1093" w:type="dxa"/>
            <w:tcBorders>
              <w:top w:val="single" w:color="auto" w:sz="4" w:space="0"/>
              <w:left w:val="single" w:color="auto" w:sz="4" w:space="0"/>
              <w:bottom w:val="single" w:color="auto" w:sz="4" w:space="0"/>
              <w:right w:val="single" w:color="auto" w:sz="4" w:space="0"/>
            </w:tcBorders>
            <w:noWrap/>
            <w:vAlign w:val="center"/>
          </w:tcPr>
          <w:p w14:paraId="312E97D4">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63837462">
            <w:pPr>
              <w:pStyle w:val="557"/>
              <w:rPr>
                <w:highlight w:val="yellow"/>
              </w:rPr>
            </w:pPr>
            <w:r>
              <w:rPr>
                <w:rFonts w:hint="eastAsia"/>
              </w:rPr>
              <w:t>1.071926</w:t>
            </w:r>
          </w:p>
        </w:tc>
        <w:tc>
          <w:tcPr>
            <w:tcW w:w="1478" w:type="dxa"/>
            <w:tcBorders>
              <w:top w:val="single" w:color="auto" w:sz="4" w:space="0"/>
              <w:left w:val="single" w:color="auto" w:sz="4" w:space="0"/>
              <w:bottom w:val="single" w:color="auto" w:sz="4" w:space="0"/>
              <w:right w:val="single" w:color="auto" w:sz="4" w:space="0"/>
            </w:tcBorders>
            <w:noWrap/>
            <w:vAlign w:val="center"/>
          </w:tcPr>
          <w:p w14:paraId="4514C1AC">
            <w:pPr>
              <w:pStyle w:val="557"/>
              <w:rPr>
                <w:highlight w:val="yellow"/>
              </w:rPr>
            </w:pPr>
            <w:r>
              <w:rPr>
                <w:rFonts w:hint="eastAsia"/>
              </w:rPr>
              <w:t>23052506</w:t>
            </w:r>
          </w:p>
        </w:tc>
        <w:tc>
          <w:tcPr>
            <w:tcW w:w="1092" w:type="dxa"/>
            <w:tcBorders>
              <w:top w:val="single" w:color="auto" w:sz="4" w:space="0"/>
              <w:left w:val="single" w:color="auto" w:sz="4" w:space="0"/>
              <w:bottom w:val="single" w:color="auto" w:sz="4" w:space="0"/>
              <w:right w:val="single" w:color="auto" w:sz="4" w:space="0"/>
            </w:tcBorders>
            <w:vAlign w:val="center"/>
          </w:tcPr>
          <w:p w14:paraId="4856B6CE">
            <w:pPr>
              <w:pStyle w:val="557"/>
              <w:rPr>
                <w:highlight w:val="yellow"/>
              </w:rPr>
            </w:pPr>
            <w:r>
              <w:rPr>
                <w:rFonts w:hint="eastAsia"/>
              </w:rPr>
              <w:t>0.88</w:t>
            </w:r>
          </w:p>
        </w:tc>
        <w:tc>
          <w:tcPr>
            <w:tcW w:w="1093" w:type="dxa"/>
            <w:tcBorders>
              <w:top w:val="single" w:color="auto" w:sz="4" w:space="0"/>
              <w:left w:val="single" w:color="auto" w:sz="4" w:space="0"/>
              <w:bottom w:val="single" w:color="auto" w:sz="4" w:space="0"/>
              <w:right w:val="single" w:color="auto" w:sz="4" w:space="0"/>
            </w:tcBorders>
            <w:vAlign w:val="center"/>
          </w:tcPr>
          <w:p w14:paraId="41AFD613">
            <w:pPr>
              <w:pStyle w:val="557"/>
              <w:rPr>
                <w:highlight w:val="yellow"/>
              </w:rPr>
            </w:pPr>
            <w:r>
              <w:rPr>
                <w:rFonts w:hint="eastAsia"/>
              </w:rPr>
              <w:t>1.951926</w:t>
            </w:r>
          </w:p>
        </w:tc>
        <w:tc>
          <w:tcPr>
            <w:tcW w:w="1093" w:type="dxa"/>
            <w:tcBorders>
              <w:top w:val="single" w:color="auto" w:sz="4" w:space="0"/>
              <w:left w:val="single" w:color="auto" w:sz="4" w:space="0"/>
              <w:bottom w:val="single" w:color="auto" w:sz="4" w:space="0"/>
              <w:right w:val="single" w:color="auto" w:sz="4" w:space="0"/>
            </w:tcBorders>
            <w:noWrap/>
            <w:vAlign w:val="center"/>
          </w:tcPr>
          <w:p w14:paraId="11B47D8F">
            <w:pPr>
              <w:pStyle w:val="557"/>
              <w:rPr>
                <w:highlight w:val="yellow"/>
              </w:rPr>
            </w:pPr>
            <w:r>
              <w:rPr>
                <w:rFonts w:hint="eastAsia"/>
              </w:rPr>
              <w:t>2</w:t>
            </w:r>
          </w:p>
        </w:tc>
        <w:tc>
          <w:tcPr>
            <w:tcW w:w="1093" w:type="dxa"/>
            <w:tcBorders>
              <w:top w:val="single" w:color="auto" w:sz="4" w:space="0"/>
              <w:left w:val="single" w:color="auto" w:sz="4" w:space="0"/>
              <w:bottom w:val="single" w:color="auto" w:sz="4" w:space="0"/>
              <w:right w:val="single" w:color="auto" w:sz="4" w:space="0"/>
            </w:tcBorders>
            <w:noWrap/>
            <w:vAlign w:val="center"/>
          </w:tcPr>
          <w:p w14:paraId="54418494">
            <w:pPr>
              <w:pStyle w:val="557"/>
              <w:rPr>
                <w:highlight w:val="yellow"/>
              </w:rPr>
            </w:pPr>
            <w:r>
              <w:rPr>
                <w:rFonts w:hint="eastAsia"/>
              </w:rPr>
              <w:t>97.6</w:t>
            </w:r>
          </w:p>
        </w:tc>
        <w:tc>
          <w:tcPr>
            <w:tcW w:w="1093" w:type="dxa"/>
            <w:tcBorders>
              <w:top w:val="single" w:color="auto" w:sz="4" w:space="0"/>
              <w:left w:val="single" w:color="auto" w:sz="4" w:space="0"/>
              <w:bottom w:val="single" w:color="auto" w:sz="4" w:space="0"/>
              <w:right w:val="single" w:color="auto" w:sz="4" w:space="0"/>
            </w:tcBorders>
            <w:noWrap/>
            <w:vAlign w:val="center"/>
          </w:tcPr>
          <w:p w14:paraId="7088135B">
            <w:pPr>
              <w:pStyle w:val="557"/>
              <w:rPr>
                <w:highlight w:val="yellow"/>
              </w:rPr>
            </w:pPr>
            <w:r>
              <w:rPr>
                <w:rFonts w:hint="eastAsia"/>
              </w:rPr>
              <w:t>达标</w:t>
            </w:r>
          </w:p>
        </w:tc>
      </w:tr>
    </w:tbl>
    <w:p w14:paraId="6230A7FD">
      <w:pPr>
        <w:pStyle w:val="541"/>
        <w:ind w:left="496" w:hanging="496"/>
        <w:rPr>
          <w:rFonts w:hint="eastAsia"/>
          <w:spacing w:val="8"/>
        </w:rPr>
      </w:pPr>
    </w:p>
    <w:p w14:paraId="7FA96DC6">
      <w:pPr>
        <w:pStyle w:val="541"/>
        <w:ind w:left="496" w:hanging="496"/>
        <w:rPr>
          <w:rFonts w:hint="eastAsia"/>
        </w:rPr>
      </w:pPr>
      <w:r>
        <w:rPr>
          <w:rFonts w:hint="eastAsia"/>
          <w:spacing w:val="8"/>
        </w:rPr>
        <w:t>表5.2.8-17</w:t>
      </w:r>
      <w:r>
        <w:rPr>
          <w:rFonts w:hint="eastAsia"/>
        </w:rPr>
        <w:t xml:space="preserve">   环境保护目标和预测网格甲醇浓度贡献值叠加背景值后1小时平均值预测结果一览表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13"/>
        <w:gridCol w:w="1499"/>
        <w:gridCol w:w="1112"/>
        <w:gridCol w:w="1111"/>
        <w:gridCol w:w="1111"/>
        <w:gridCol w:w="1502"/>
        <w:gridCol w:w="1110"/>
        <w:gridCol w:w="1111"/>
        <w:gridCol w:w="1111"/>
        <w:gridCol w:w="1111"/>
        <w:gridCol w:w="1111"/>
      </w:tblGrid>
      <w:tr w14:paraId="445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21E52F1B">
            <w:pPr>
              <w:pStyle w:val="557"/>
              <w:rPr>
                <w:color w:val="auto"/>
              </w:rPr>
            </w:pPr>
            <w:r>
              <w:rPr>
                <w:rFonts w:hint="eastAsia"/>
              </w:rPr>
              <w:t>序号</w:t>
            </w:r>
          </w:p>
        </w:tc>
        <w:tc>
          <w:tcPr>
            <w:tcW w:w="1588" w:type="dxa"/>
            <w:tcBorders>
              <w:top w:val="single" w:color="auto" w:sz="4" w:space="0"/>
              <w:left w:val="single" w:color="auto" w:sz="4" w:space="0"/>
              <w:bottom w:val="single" w:color="auto" w:sz="4" w:space="0"/>
              <w:right w:val="single" w:color="auto" w:sz="4" w:space="0"/>
            </w:tcBorders>
            <w:noWrap/>
            <w:vAlign w:val="center"/>
          </w:tcPr>
          <w:p w14:paraId="704CE11E">
            <w:pPr>
              <w:pStyle w:val="557"/>
            </w:pPr>
            <w:r>
              <w:rPr>
                <w:rFonts w:hint="eastAsia"/>
              </w:rPr>
              <w:t>点名称</w:t>
            </w:r>
          </w:p>
        </w:tc>
        <w:tc>
          <w:tcPr>
            <w:tcW w:w="1476" w:type="dxa"/>
            <w:tcBorders>
              <w:top w:val="single" w:color="auto" w:sz="4" w:space="0"/>
              <w:left w:val="single" w:color="auto" w:sz="4" w:space="0"/>
              <w:bottom w:val="single" w:color="auto" w:sz="4" w:space="0"/>
              <w:right w:val="single" w:color="auto" w:sz="4" w:space="0"/>
            </w:tcBorders>
            <w:noWrap/>
            <w:vAlign w:val="center"/>
          </w:tcPr>
          <w:p w14:paraId="50653296">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5552738A">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5727672C">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1DADEE5C">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349DFE10">
            <w:pPr>
              <w:pStyle w:val="557"/>
            </w:pPr>
            <w:r>
              <w:rPr>
                <w:rFonts w:hint="eastAsia"/>
              </w:rPr>
              <w:t>出现时间</w:t>
            </w:r>
            <w:r>
              <w:t>(YYMMDDHH)</w:t>
            </w:r>
          </w:p>
        </w:tc>
        <w:tc>
          <w:tcPr>
            <w:tcW w:w="1092" w:type="dxa"/>
            <w:tcBorders>
              <w:top w:val="single" w:color="auto" w:sz="4" w:space="0"/>
              <w:left w:val="single" w:color="auto" w:sz="4" w:space="0"/>
              <w:bottom w:val="single" w:color="auto" w:sz="4" w:space="0"/>
              <w:right w:val="single" w:color="auto" w:sz="4" w:space="0"/>
            </w:tcBorders>
            <w:vAlign w:val="center"/>
          </w:tcPr>
          <w:p w14:paraId="2C287FF5">
            <w:pPr>
              <w:pStyle w:val="557"/>
            </w:pPr>
            <w:r>
              <w:rPr>
                <w:rFonts w:hint="eastAsia"/>
              </w:rPr>
              <w:t>背景浓度</w:t>
            </w:r>
          </w:p>
          <w:p w14:paraId="28C1B32C">
            <w:pPr>
              <w:pStyle w:val="557"/>
            </w:pPr>
            <w:r>
              <w:t>(mg/m^3)</w:t>
            </w:r>
          </w:p>
        </w:tc>
        <w:tc>
          <w:tcPr>
            <w:tcW w:w="1093" w:type="dxa"/>
            <w:tcBorders>
              <w:top w:val="single" w:color="auto" w:sz="4" w:space="0"/>
              <w:left w:val="single" w:color="auto" w:sz="4" w:space="0"/>
              <w:bottom w:val="single" w:color="auto" w:sz="4" w:space="0"/>
              <w:right w:val="single" w:color="auto" w:sz="4" w:space="0"/>
            </w:tcBorders>
            <w:vAlign w:val="center"/>
          </w:tcPr>
          <w:p w14:paraId="2A03584E">
            <w:pPr>
              <w:pStyle w:val="557"/>
            </w:pPr>
            <w:r>
              <w:rPr>
                <w:rFonts w:hint="eastAsia"/>
              </w:rPr>
              <w:t>叠加浓度</w:t>
            </w:r>
          </w:p>
          <w:p w14:paraId="5D5F8073">
            <w:pPr>
              <w:pStyle w:val="557"/>
            </w:pP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33CFACFF">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412C77B9">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61F9B9D0">
            <w:pPr>
              <w:pStyle w:val="557"/>
            </w:pPr>
            <w:r>
              <w:rPr>
                <w:rFonts w:hint="eastAsia"/>
              </w:rPr>
              <w:t>是否超标</w:t>
            </w:r>
          </w:p>
        </w:tc>
      </w:tr>
      <w:tr w14:paraId="6ADB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58C681D1">
            <w:pPr>
              <w:pStyle w:val="557"/>
            </w:pPr>
            <w:r>
              <w:rPr>
                <w:rFonts w:hint="eastAsia"/>
              </w:rPr>
              <w:t>1</w:t>
            </w:r>
          </w:p>
        </w:tc>
        <w:tc>
          <w:tcPr>
            <w:tcW w:w="1588" w:type="dxa"/>
            <w:tcBorders>
              <w:top w:val="single" w:color="auto" w:sz="4" w:space="0"/>
              <w:left w:val="single" w:color="auto" w:sz="4" w:space="0"/>
              <w:bottom w:val="single" w:color="auto" w:sz="4" w:space="0"/>
              <w:right w:val="single" w:color="auto" w:sz="4" w:space="0"/>
            </w:tcBorders>
            <w:noWrap/>
            <w:vAlign w:val="center"/>
          </w:tcPr>
          <w:p w14:paraId="526F0B16">
            <w:pPr>
              <w:pStyle w:val="557"/>
            </w:pPr>
            <w:r>
              <w:rPr>
                <w:rFonts w:hint="eastAsia"/>
              </w:rPr>
              <w:t>网格</w:t>
            </w:r>
          </w:p>
        </w:tc>
        <w:tc>
          <w:tcPr>
            <w:tcW w:w="1476" w:type="dxa"/>
            <w:tcBorders>
              <w:top w:val="single" w:color="auto" w:sz="4" w:space="0"/>
              <w:left w:val="single" w:color="auto" w:sz="4" w:space="0"/>
              <w:bottom w:val="single" w:color="auto" w:sz="4" w:space="0"/>
              <w:right w:val="single" w:color="auto" w:sz="4" w:space="0"/>
            </w:tcBorders>
            <w:noWrap/>
            <w:vAlign w:val="center"/>
          </w:tcPr>
          <w:p w14:paraId="090934DF">
            <w:pPr>
              <w:pStyle w:val="557"/>
              <w:rPr>
                <w:highlight w:val="yellow"/>
              </w:rPr>
            </w:pPr>
            <w:r>
              <w:rPr>
                <w:rFonts w:hint="eastAsia"/>
              </w:rPr>
              <w:t>100,-1450</w:t>
            </w:r>
          </w:p>
        </w:tc>
        <w:tc>
          <w:tcPr>
            <w:tcW w:w="1094" w:type="dxa"/>
            <w:tcBorders>
              <w:top w:val="single" w:color="auto" w:sz="4" w:space="0"/>
              <w:left w:val="single" w:color="auto" w:sz="4" w:space="0"/>
              <w:bottom w:val="single" w:color="auto" w:sz="4" w:space="0"/>
              <w:right w:val="single" w:color="auto" w:sz="4" w:space="0"/>
            </w:tcBorders>
            <w:noWrap/>
            <w:vAlign w:val="center"/>
          </w:tcPr>
          <w:p w14:paraId="413DF560">
            <w:pPr>
              <w:pStyle w:val="557"/>
            </w:pPr>
            <w:r>
              <w:rPr>
                <w:rFonts w:hint="eastAsia"/>
              </w:rPr>
              <w:t>682.4</w:t>
            </w:r>
          </w:p>
        </w:tc>
        <w:tc>
          <w:tcPr>
            <w:tcW w:w="1093" w:type="dxa"/>
            <w:tcBorders>
              <w:top w:val="single" w:color="auto" w:sz="4" w:space="0"/>
              <w:left w:val="single" w:color="auto" w:sz="4" w:space="0"/>
              <w:bottom w:val="single" w:color="auto" w:sz="4" w:space="0"/>
              <w:right w:val="single" w:color="auto" w:sz="4" w:space="0"/>
            </w:tcBorders>
            <w:noWrap/>
            <w:vAlign w:val="center"/>
          </w:tcPr>
          <w:p w14:paraId="00FB3DB8">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417B6727">
            <w:pPr>
              <w:pStyle w:val="557"/>
            </w:pPr>
            <w:r>
              <w:rPr>
                <w:rFonts w:hint="eastAsia"/>
              </w:rPr>
              <w:t>0.225876</w:t>
            </w:r>
          </w:p>
        </w:tc>
        <w:tc>
          <w:tcPr>
            <w:tcW w:w="1478" w:type="dxa"/>
            <w:tcBorders>
              <w:top w:val="single" w:color="auto" w:sz="4" w:space="0"/>
              <w:left w:val="single" w:color="auto" w:sz="4" w:space="0"/>
              <w:bottom w:val="single" w:color="auto" w:sz="4" w:space="0"/>
              <w:right w:val="single" w:color="auto" w:sz="4" w:space="0"/>
            </w:tcBorders>
            <w:noWrap/>
            <w:vAlign w:val="center"/>
          </w:tcPr>
          <w:p w14:paraId="36311C8F">
            <w:pPr>
              <w:pStyle w:val="557"/>
            </w:pPr>
            <w:r>
              <w:rPr>
                <w:rFonts w:hint="eastAsia"/>
              </w:rPr>
              <w:t>23052506</w:t>
            </w:r>
          </w:p>
        </w:tc>
        <w:tc>
          <w:tcPr>
            <w:tcW w:w="1092" w:type="dxa"/>
            <w:tcBorders>
              <w:top w:val="single" w:color="auto" w:sz="4" w:space="0"/>
              <w:left w:val="single" w:color="auto" w:sz="4" w:space="0"/>
              <w:bottom w:val="single" w:color="auto" w:sz="4" w:space="0"/>
              <w:right w:val="single" w:color="auto" w:sz="4" w:space="0"/>
            </w:tcBorders>
            <w:vAlign w:val="center"/>
          </w:tcPr>
          <w:p w14:paraId="152173A4">
            <w:pPr>
              <w:pStyle w:val="557"/>
            </w:pPr>
            <w:r>
              <w:rPr>
                <w:rFonts w:hint="eastAsia"/>
              </w:rPr>
              <w:t>0.2</w:t>
            </w:r>
          </w:p>
        </w:tc>
        <w:tc>
          <w:tcPr>
            <w:tcW w:w="1093" w:type="dxa"/>
            <w:tcBorders>
              <w:top w:val="single" w:color="auto" w:sz="4" w:space="0"/>
              <w:left w:val="single" w:color="auto" w:sz="4" w:space="0"/>
              <w:bottom w:val="single" w:color="auto" w:sz="4" w:space="0"/>
              <w:right w:val="single" w:color="auto" w:sz="4" w:space="0"/>
            </w:tcBorders>
            <w:vAlign w:val="center"/>
          </w:tcPr>
          <w:p w14:paraId="3F5E1E50">
            <w:pPr>
              <w:pStyle w:val="557"/>
              <w:rPr>
                <w:highlight w:val="yellow"/>
              </w:rPr>
            </w:pPr>
            <w:r>
              <w:rPr>
                <w:rFonts w:hint="eastAsia"/>
              </w:rPr>
              <w:t>0.425876</w:t>
            </w:r>
          </w:p>
        </w:tc>
        <w:tc>
          <w:tcPr>
            <w:tcW w:w="1093" w:type="dxa"/>
            <w:tcBorders>
              <w:top w:val="single" w:color="auto" w:sz="4" w:space="0"/>
              <w:left w:val="single" w:color="auto" w:sz="4" w:space="0"/>
              <w:bottom w:val="single" w:color="auto" w:sz="4" w:space="0"/>
              <w:right w:val="single" w:color="auto" w:sz="4" w:space="0"/>
            </w:tcBorders>
            <w:noWrap/>
            <w:vAlign w:val="center"/>
          </w:tcPr>
          <w:p w14:paraId="18BDC4B2">
            <w:pPr>
              <w:pStyle w:val="557"/>
              <w:rPr>
                <w:highlight w:val="yellow"/>
              </w:rPr>
            </w:pPr>
            <w:r>
              <w:rPr>
                <w:rFonts w:hint="eastAsia"/>
              </w:rPr>
              <w:t>3</w:t>
            </w:r>
          </w:p>
        </w:tc>
        <w:tc>
          <w:tcPr>
            <w:tcW w:w="1093" w:type="dxa"/>
            <w:tcBorders>
              <w:top w:val="single" w:color="auto" w:sz="4" w:space="0"/>
              <w:left w:val="single" w:color="auto" w:sz="4" w:space="0"/>
              <w:bottom w:val="single" w:color="auto" w:sz="4" w:space="0"/>
              <w:right w:val="single" w:color="auto" w:sz="4" w:space="0"/>
            </w:tcBorders>
            <w:noWrap/>
            <w:vAlign w:val="center"/>
          </w:tcPr>
          <w:p w14:paraId="432FAE24">
            <w:pPr>
              <w:pStyle w:val="557"/>
              <w:rPr>
                <w:highlight w:val="yellow"/>
              </w:rPr>
            </w:pPr>
            <w:r>
              <w:rPr>
                <w:rFonts w:hint="eastAsia"/>
              </w:rPr>
              <w:t>14.2</w:t>
            </w:r>
          </w:p>
        </w:tc>
        <w:tc>
          <w:tcPr>
            <w:tcW w:w="1093" w:type="dxa"/>
            <w:tcBorders>
              <w:top w:val="single" w:color="auto" w:sz="4" w:space="0"/>
              <w:left w:val="single" w:color="auto" w:sz="4" w:space="0"/>
              <w:bottom w:val="single" w:color="auto" w:sz="4" w:space="0"/>
              <w:right w:val="single" w:color="auto" w:sz="4" w:space="0"/>
            </w:tcBorders>
            <w:noWrap/>
            <w:vAlign w:val="center"/>
          </w:tcPr>
          <w:p w14:paraId="17386DE0">
            <w:pPr>
              <w:pStyle w:val="557"/>
              <w:rPr>
                <w:highlight w:val="yellow"/>
              </w:rPr>
            </w:pPr>
            <w:r>
              <w:rPr>
                <w:rFonts w:hint="eastAsia"/>
              </w:rPr>
              <w:t>达标</w:t>
            </w:r>
          </w:p>
        </w:tc>
      </w:tr>
    </w:tbl>
    <w:p w14:paraId="13F3F6AB">
      <w:pPr>
        <w:pStyle w:val="541"/>
        <w:ind w:left="496" w:hanging="496"/>
        <w:rPr>
          <w:rFonts w:hint="eastAsia"/>
          <w:spacing w:val="8"/>
        </w:rPr>
      </w:pPr>
    </w:p>
    <w:p w14:paraId="114AA935">
      <w:pPr>
        <w:pStyle w:val="541"/>
        <w:ind w:left="496" w:hanging="496"/>
        <w:rPr>
          <w:rFonts w:hint="eastAsia"/>
        </w:rPr>
      </w:pPr>
      <w:r>
        <w:rPr>
          <w:rFonts w:hint="eastAsia"/>
          <w:spacing w:val="8"/>
        </w:rPr>
        <w:t>表5.2.8-18</w:t>
      </w:r>
      <w:r>
        <w:rPr>
          <w:rFonts w:hint="eastAsia"/>
        </w:rPr>
        <w:t xml:space="preserve">   环境保护目标和预测网格硫酸浓度贡献值叠加背景值后1小时平均值预测结果一览表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13"/>
        <w:gridCol w:w="1499"/>
        <w:gridCol w:w="1112"/>
        <w:gridCol w:w="1111"/>
        <w:gridCol w:w="1111"/>
        <w:gridCol w:w="1502"/>
        <w:gridCol w:w="1110"/>
        <w:gridCol w:w="1111"/>
        <w:gridCol w:w="1111"/>
        <w:gridCol w:w="1111"/>
        <w:gridCol w:w="1111"/>
      </w:tblGrid>
      <w:tr w14:paraId="251F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784A1ABC">
            <w:pPr>
              <w:pStyle w:val="557"/>
              <w:rPr>
                <w:color w:val="auto"/>
              </w:rPr>
            </w:pPr>
            <w:r>
              <w:rPr>
                <w:rFonts w:hint="eastAsia"/>
              </w:rPr>
              <w:t>序号</w:t>
            </w:r>
          </w:p>
        </w:tc>
        <w:tc>
          <w:tcPr>
            <w:tcW w:w="1588" w:type="dxa"/>
            <w:tcBorders>
              <w:top w:val="single" w:color="auto" w:sz="4" w:space="0"/>
              <w:left w:val="single" w:color="auto" w:sz="4" w:space="0"/>
              <w:bottom w:val="single" w:color="auto" w:sz="4" w:space="0"/>
              <w:right w:val="single" w:color="auto" w:sz="4" w:space="0"/>
            </w:tcBorders>
            <w:noWrap/>
            <w:vAlign w:val="center"/>
          </w:tcPr>
          <w:p w14:paraId="4DF09F3F">
            <w:pPr>
              <w:pStyle w:val="557"/>
            </w:pPr>
            <w:r>
              <w:rPr>
                <w:rFonts w:hint="eastAsia"/>
              </w:rPr>
              <w:t>点名称</w:t>
            </w:r>
          </w:p>
        </w:tc>
        <w:tc>
          <w:tcPr>
            <w:tcW w:w="1476" w:type="dxa"/>
            <w:tcBorders>
              <w:top w:val="single" w:color="auto" w:sz="4" w:space="0"/>
              <w:left w:val="single" w:color="auto" w:sz="4" w:space="0"/>
              <w:bottom w:val="single" w:color="auto" w:sz="4" w:space="0"/>
              <w:right w:val="single" w:color="auto" w:sz="4" w:space="0"/>
            </w:tcBorders>
            <w:noWrap/>
            <w:vAlign w:val="center"/>
          </w:tcPr>
          <w:p w14:paraId="231A24F5">
            <w:pPr>
              <w:pStyle w:val="557"/>
            </w:pPr>
            <w:r>
              <w:rPr>
                <w:rFonts w:hint="eastAsia"/>
              </w:rPr>
              <w:t>点坐标</w:t>
            </w:r>
            <w:r>
              <w:t>(x</w:t>
            </w:r>
            <w:r>
              <w:rPr>
                <w:rFonts w:hint="eastAsia"/>
              </w:rPr>
              <w:t>或</w:t>
            </w:r>
            <w:r>
              <w:t>r,y</w:t>
            </w:r>
            <w:r>
              <w:rPr>
                <w:rFonts w:hint="eastAsia"/>
              </w:rPr>
              <w:t>或</w:t>
            </w:r>
            <w:r>
              <w:t>a)</w:t>
            </w:r>
          </w:p>
        </w:tc>
        <w:tc>
          <w:tcPr>
            <w:tcW w:w="1094" w:type="dxa"/>
            <w:tcBorders>
              <w:top w:val="single" w:color="auto" w:sz="4" w:space="0"/>
              <w:left w:val="single" w:color="auto" w:sz="4" w:space="0"/>
              <w:bottom w:val="single" w:color="auto" w:sz="4" w:space="0"/>
              <w:right w:val="single" w:color="auto" w:sz="4" w:space="0"/>
            </w:tcBorders>
            <w:noWrap/>
            <w:vAlign w:val="center"/>
          </w:tcPr>
          <w:p w14:paraId="3D088227">
            <w:pPr>
              <w:pStyle w:val="557"/>
            </w:pPr>
            <w:r>
              <w:rPr>
                <w:rFonts w:hint="eastAsia"/>
              </w:rPr>
              <w:t>地面高程</w:t>
            </w:r>
            <w:r>
              <w:t>(m)</w:t>
            </w:r>
          </w:p>
        </w:tc>
        <w:tc>
          <w:tcPr>
            <w:tcW w:w="1093" w:type="dxa"/>
            <w:tcBorders>
              <w:top w:val="single" w:color="auto" w:sz="4" w:space="0"/>
              <w:left w:val="single" w:color="auto" w:sz="4" w:space="0"/>
              <w:bottom w:val="single" w:color="auto" w:sz="4" w:space="0"/>
              <w:right w:val="single" w:color="auto" w:sz="4" w:space="0"/>
            </w:tcBorders>
            <w:noWrap/>
            <w:vAlign w:val="center"/>
          </w:tcPr>
          <w:p w14:paraId="0A75E006">
            <w:pPr>
              <w:pStyle w:val="557"/>
            </w:pPr>
            <w:r>
              <w:rPr>
                <w:rFonts w:hint="eastAsia"/>
              </w:rPr>
              <w:t>浓度类型</w:t>
            </w:r>
          </w:p>
        </w:tc>
        <w:tc>
          <w:tcPr>
            <w:tcW w:w="1093" w:type="dxa"/>
            <w:tcBorders>
              <w:top w:val="single" w:color="auto" w:sz="4" w:space="0"/>
              <w:left w:val="single" w:color="auto" w:sz="4" w:space="0"/>
              <w:bottom w:val="single" w:color="auto" w:sz="4" w:space="0"/>
              <w:right w:val="single" w:color="auto" w:sz="4" w:space="0"/>
            </w:tcBorders>
            <w:noWrap/>
            <w:vAlign w:val="center"/>
          </w:tcPr>
          <w:p w14:paraId="671FEF17">
            <w:pPr>
              <w:pStyle w:val="557"/>
            </w:pPr>
            <w:r>
              <w:rPr>
                <w:rFonts w:hint="eastAsia"/>
              </w:rPr>
              <w:t>浓度增量</w:t>
            </w:r>
            <w:r>
              <w:t>(mg/m^3)</w:t>
            </w:r>
          </w:p>
        </w:tc>
        <w:tc>
          <w:tcPr>
            <w:tcW w:w="1478" w:type="dxa"/>
            <w:tcBorders>
              <w:top w:val="single" w:color="auto" w:sz="4" w:space="0"/>
              <w:left w:val="single" w:color="auto" w:sz="4" w:space="0"/>
              <w:bottom w:val="single" w:color="auto" w:sz="4" w:space="0"/>
              <w:right w:val="single" w:color="auto" w:sz="4" w:space="0"/>
            </w:tcBorders>
            <w:noWrap/>
            <w:vAlign w:val="center"/>
          </w:tcPr>
          <w:p w14:paraId="4F2425F0">
            <w:pPr>
              <w:pStyle w:val="557"/>
            </w:pPr>
            <w:r>
              <w:rPr>
                <w:rFonts w:hint="eastAsia"/>
              </w:rPr>
              <w:t>出现时间</w:t>
            </w:r>
            <w:r>
              <w:t>(YYMMDDHH)</w:t>
            </w:r>
          </w:p>
        </w:tc>
        <w:tc>
          <w:tcPr>
            <w:tcW w:w="1092" w:type="dxa"/>
            <w:tcBorders>
              <w:top w:val="single" w:color="auto" w:sz="4" w:space="0"/>
              <w:left w:val="single" w:color="auto" w:sz="4" w:space="0"/>
              <w:bottom w:val="single" w:color="auto" w:sz="4" w:space="0"/>
              <w:right w:val="single" w:color="auto" w:sz="4" w:space="0"/>
            </w:tcBorders>
            <w:vAlign w:val="center"/>
          </w:tcPr>
          <w:p w14:paraId="38D04733">
            <w:pPr>
              <w:pStyle w:val="557"/>
            </w:pPr>
            <w:r>
              <w:rPr>
                <w:rFonts w:hint="eastAsia"/>
              </w:rPr>
              <w:t>背景浓度</w:t>
            </w:r>
          </w:p>
          <w:p w14:paraId="29482F4B">
            <w:pPr>
              <w:pStyle w:val="557"/>
            </w:pPr>
            <w:r>
              <w:t>(mg/m^3)</w:t>
            </w:r>
          </w:p>
        </w:tc>
        <w:tc>
          <w:tcPr>
            <w:tcW w:w="1093" w:type="dxa"/>
            <w:tcBorders>
              <w:top w:val="single" w:color="auto" w:sz="4" w:space="0"/>
              <w:left w:val="single" w:color="auto" w:sz="4" w:space="0"/>
              <w:bottom w:val="single" w:color="auto" w:sz="4" w:space="0"/>
              <w:right w:val="single" w:color="auto" w:sz="4" w:space="0"/>
            </w:tcBorders>
            <w:vAlign w:val="center"/>
          </w:tcPr>
          <w:p w14:paraId="514B19D3">
            <w:pPr>
              <w:pStyle w:val="557"/>
            </w:pPr>
            <w:r>
              <w:rPr>
                <w:rFonts w:hint="eastAsia"/>
              </w:rPr>
              <w:t>叠加浓度</w:t>
            </w:r>
          </w:p>
          <w:p w14:paraId="492A9BBA">
            <w:pPr>
              <w:pStyle w:val="557"/>
            </w:pP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02A513E1">
            <w:pPr>
              <w:pStyle w:val="557"/>
            </w:pPr>
            <w:r>
              <w:rPr>
                <w:rFonts w:hint="eastAsia"/>
              </w:rPr>
              <w:t>评价标准</w:t>
            </w:r>
            <w:r>
              <w:t>(mg/m^3)</w:t>
            </w:r>
          </w:p>
        </w:tc>
        <w:tc>
          <w:tcPr>
            <w:tcW w:w="1093" w:type="dxa"/>
            <w:tcBorders>
              <w:top w:val="single" w:color="auto" w:sz="4" w:space="0"/>
              <w:left w:val="single" w:color="auto" w:sz="4" w:space="0"/>
              <w:bottom w:val="single" w:color="auto" w:sz="4" w:space="0"/>
              <w:right w:val="single" w:color="auto" w:sz="4" w:space="0"/>
            </w:tcBorders>
            <w:noWrap/>
            <w:vAlign w:val="center"/>
          </w:tcPr>
          <w:p w14:paraId="11F84208">
            <w:pPr>
              <w:pStyle w:val="557"/>
            </w:pPr>
            <w:r>
              <w:rPr>
                <w:rFonts w:hint="eastAsia"/>
              </w:rPr>
              <w:t>占标率</w:t>
            </w:r>
            <w:r>
              <w:t>%</w:t>
            </w:r>
          </w:p>
        </w:tc>
        <w:tc>
          <w:tcPr>
            <w:tcW w:w="1093" w:type="dxa"/>
            <w:tcBorders>
              <w:top w:val="single" w:color="auto" w:sz="4" w:space="0"/>
              <w:left w:val="single" w:color="auto" w:sz="4" w:space="0"/>
              <w:bottom w:val="single" w:color="auto" w:sz="4" w:space="0"/>
              <w:right w:val="single" w:color="auto" w:sz="4" w:space="0"/>
            </w:tcBorders>
            <w:noWrap/>
            <w:vAlign w:val="center"/>
          </w:tcPr>
          <w:p w14:paraId="7C09F596">
            <w:pPr>
              <w:pStyle w:val="557"/>
            </w:pPr>
            <w:r>
              <w:rPr>
                <w:rFonts w:hint="eastAsia"/>
              </w:rPr>
              <w:t>是否超标</w:t>
            </w:r>
          </w:p>
        </w:tc>
      </w:tr>
      <w:tr w14:paraId="414C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2" w:type="dxa"/>
            <w:tcBorders>
              <w:top w:val="single" w:color="auto" w:sz="4" w:space="0"/>
              <w:left w:val="single" w:color="auto" w:sz="4" w:space="0"/>
              <w:bottom w:val="single" w:color="auto" w:sz="4" w:space="0"/>
              <w:right w:val="single" w:color="auto" w:sz="4" w:space="0"/>
            </w:tcBorders>
            <w:noWrap/>
            <w:vAlign w:val="center"/>
          </w:tcPr>
          <w:p w14:paraId="42A59B2D">
            <w:pPr>
              <w:pStyle w:val="557"/>
            </w:pPr>
            <w:r>
              <w:rPr>
                <w:rFonts w:hint="eastAsia"/>
              </w:rPr>
              <w:t>19</w:t>
            </w:r>
          </w:p>
        </w:tc>
        <w:tc>
          <w:tcPr>
            <w:tcW w:w="1588" w:type="dxa"/>
            <w:tcBorders>
              <w:top w:val="single" w:color="auto" w:sz="4" w:space="0"/>
              <w:left w:val="single" w:color="auto" w:sz="4" w:space="0"/>
              <w:bottom w:val="single" w:color="auto" w:sz="4" w:space="0"/>
              <w:right w:val="single" w:color="auto" w:sz="4" w:space="0"/>
            </w:tcBorders>
            <w:noWrap/>
            <w:vAlign w:val="center"/>
          </w:tcPr>
          <w:p w14:paraId="663ED354">
            <w:pPr>
              <w:pStyle w:val="557"/>
            </w:pPr>
            <w:r>
              <w:rPr>
                <w:rFonts w:hint="eastAsia"/>
              </w:rPr>
              <w:t>网格</w:t>
            </w:r>
          </w:p>
        </w:tc>
        <w:tc>
          <w:tcPr>
            <w:tcW w:w="1476" w:type="dxa"/>
            <w:tcBorders>
              <w:top w:val="single" w:color="auto" w:sz="4" w:space="0"/>
              <w:left w:val="single" w:color="auto" w:sz="4" w:space="0"/>
              <w:bottom w:val="single" w:color="auto" w:sz="4" w:space="0"/>
              <w:right w:val="single" w:color="auto" w:sz="4" w:space="0"/>
            </w:tcBorders>
            <w:noWrap/>
            <w:vAlign w:val="center"/>
          </w:tcPr>
          <w:p w14:paraId="133E3062">
            <w:pPr>
              <w:pStyle w:val="557"/>
              <w:rPr>
                <w:highlight w:val="yellow"/>
              </w:rPr>
            </w:pPr>
            <w:r>
              <w:rPr>
                <w:rFonts w:hint="eastAsia"/>
              </w:rPr>
              <w:t>-50,-100</w:t>
            </w:r>
          </w:p>
        </w:tc>
        <w:tc>
          <w:tcPr>
            <w:tcW w:w="1094" w:type="dxa"/>
            <w:tcBorders>
              <w:top w:val="single" w:color="auto" w:sz="4" w:space="0"/>
              <w:left w:val="single" w:color="auto" w:sz="4" w:space="0"/>
              <w:bottom w:val="single" w:color="auto" w:sz="4" w:space="0"/>
              <w:right w:val="single" w:color="auto" w:sz="4" w:space="0"/>
            </w:tcBorders>
            <w:noWrap/>
            <w:vAlign w:val="center"/>
          </w:tcPr>
          <w:p w14:paraId="53D2E489">
            <w:pPr>
              <w:pStyle w:val="557"/>
            </w:pPr>
            <w:r>
              <w:rPr>
                <w:rFonts w:hint="eastAsia"/>
              </w:rPr>
              <w:t>685.1</w:t>
            </w:r>
          </w:p>
        </w:tc>
        <w:tc>
          <w:tcPr>
            <w:tcW w:w="1093" w:type="dxa"/>
            <w:tcBorders>
              <w:top w:val="single" w:color="auto" w:sz="4" w:space="0"/>
              <w:left w:val="single" w:color="auto" w:sz="4" w:space="0"/>
              <w:bottom w:val="single" w:color="auto" w:sz="4" w:space="0"/>
              <w:right w:val="single" w:color="auto" w:sz="4" w:space="0"/>
            </w:tcBorders>
            <w:noWrap/>
            <w:vAlign w:val="center"/>
          </w:tcPr>
          <w:p w14:paraId="5C9639CE">
            <w:pPr>
              <w:pStyle w:val="557"/>
            </w:pPr>
            <w:r>
              <w:rPr>
                <w:rFonts w:hint="eastAsia"/>
              </w:rPr>
              <w:t>1小时</w:t>
            </w:r>
          </w:p>
        </w:tc>
        <w:tc>
          <w:tcPr>
            <w:tcW w:w="1093" w:type="dxa"/>
            <w:tcBorders>
              <w:top w:val="single" w:color="auto" w:sz="4" w:space="0"/>
              <w:left w:val="single" w:color="auto" w:sz="4" w:space="0"/>
              <w:bottom w:val="single" w:color="auto" w:sz="4" w:space="0"/>
              <w:right w:val="single" w:color="auto" w:sz="4" w:space="0"/>
            </w:tcBorders>
            <w:noWrap/>
            <w:vAlign w:val="center"/>
          </w:tcPr>
          <w:p w14:paraId="0A346C1B">
            <w:pPr>
              <w:pStyle w:val="557"/>
            </w:pPr>
            <w:r>
              <w:rPr>
                <w:rFonts w:hint="eastAsia"/>
              </w:rPr>
              <w:t>0.004894</w:t>
            </w:r>
          </w:p>
        </w:tc>
        <w:tc>
          <w:tcPr>
            <w:tcW w:w="1478" w:type="dxa"/>
            <w:tcBorders>
              <w:top w:val="single" w:color="auto" w:sz="4" w:space="0"/>
              <w:left w:val="single" w:color="auto" w:sz="4" w:space="0"/>
              <w:bottom w:val="single" w:color="auto" w:sz="4" w:space="0"/>
              <w:right w:val="single" w:color="auto" w:sz="4" w:space="0"/>
            </w:tcBorders>
            <w:noWrap/>
            <w:vAlign w:val="center"/>
          </w:tcPr>
          <w:p w14:paraId="1823FA3D">
            <w:pPr>
              <w:pStyle w:val="557"/>
            </w:pPr>
            <w:r>
              <w:rPr>
                <w:rFonts w:hint="eastAsia"/>
              </w:rPr>
              <w:t>23061909</w:t>
            </w:r>
          </w:p>
        </w:tc>
        <w:tc>
          <w:tcPr>
            <w:tcW w:w="1092" w:type="dxa"/>
            <w:tcBorders>
              <w:top w:val="single" w:color="auto" w:sz="4" w:space="0"/>
              <w:left w:val="single" w:color="auto" w:sz="4" w:space="0"/>
              <w:bottom w:val="single" w:color="auto" w:sz="4" w:space="0"/>
              <w:right w:val="single" w:color="auto" w:sz="4" w:space="0"/>
            </w:tcBorders>
            <w:vAlign w:val="center"/>
          </w:tcPr>
          <w:p w14:paraId="3743B301">
            <w:pPr>
              <w:pStyle w:val="557"/>
            </w:pPr>
            <w:r>
              <w:rPr>
                <w:rFonts w:hint="eastAsia"/>
              </w:rPr>
              <w:t>0.028</w:t>
            </w:r>
          </w:p>
        </w:tc>
        <w:tc>
          <w:tcPr>
            <w:tcW w:w="1093" w:type="dxa"/>
            <w:tcBorders>
              <w:top w:val="single" w:color="auto" w:sz="4" w:space="0"/>
              <w:left w:val="single" w:color="auto" w:sz="4" w:space="0"/>
              <w:bottom w:val="single" w:color="auto" w:sz="4" w:space="0"/>
              <w:right w:val="single" w:color="auto" w:sz="4" w:space="0"/>
            </w:tcBorders>
            <w:vAlign w:val="center"/>
          </w:tcPr>
          <w:p w14:paraId="3B36F3B9">
            <w:pPr>
              <w:pStyle w:val="557"/>
              <w:rPr>
                <w:highlight w:val="yellow"/>
              </w:rPr>
            </w:pPr>
            <w:r>
              <w:rPr>
                <w:rFonts w:hint="eastAsia"/>
              </w:rPr>
              <w:t>0.032894</w:t>
            </w:r>
          </w:p>
        </w:tc>
        <w:tc>
          <w:tcPr>
            <w:tcW w:w="1093" w:type="dxa"/>
            <w:tcBorders>
              <w:top w:val="single" w:color="auto" w:sz="4" w:space="0"/>
              <w:left w:val="single" w:color="auto" w:sz="4" w:space="0"/>
              <w:bottom w:val="single" w:color="auto" w:sz="4" w:space="0"/>
              <w:right w:val="single" w:color="auto" w:sz="4" w:space="0"/>
            </w:tcBorders>
            <w:noWrap/>
            <w:vAlign w:val="center"/>
          </w:tcPr>
          <w:p w14:paraId="4630C930">
            <w:pPr>
              <w:pStyle w:val="557"/>
              <w:rPr>
                <w:highlight w:val="yellow"/>
              </w:rPr>
            </w:pPr>
            <w:r>
              <w:rPr>
                <w:rFonts w:hint="eastAsia"/>
              </w:rPr>
              <w:t>0.3</w:t>
            </w:r>
          </w:p>
        </w:tc>
        <w:tc>
          <w:tcPr>
            <w:tcW w:w="1093" w:type="dxa"/>
            <w:tcBorders>
              <w:top w:val="single" w:color="auto" w:sz="4" w:space="0"/>
              <w:left w:val="single" w:color="auto" w:sz="4" w:space="0"/>
              <w:bottom w:val="single" w:color="auto" w:sz="4" w:space="0"/>
              <w:right w:val="single" w:color="auto" w:sz="4" w:space="0"/>
            </w:tcBorders>
            <w:noWrap/>
            <w:vAlign w:val="center"/>
          </w:tcPr>
          <w:p w14:paraId="58A30D21">
            <w:pPr>
              <w:pStyle w:val="557"/>
              <w:rPr>
                <w:highlight w:val="yellow"/>
              </w:rPr>
            </w:pPr>
            <w:r>
              <w:rPr>
                <w:rFonts w:hint="eastAsia"/>
              </w:rPr>
              <w:t>10.96</w:t>
            </w:r>
          </w:p>
        </w:tc>
        <w:tc>
          <w:tcPr>
            <w:tcW w:w="1093" w:type="dxa"/>
            <w:tcBorders>
              <w:top w:val="single" w:color="auto" w:sz="4" w:space="0"/>
              <w:left w:val="single" w:color="auto" w:sz="4" w:space="0"/>
              <w:bottom w:val="single" w:color="auto" w:sz="4" w:space="0"/>
              <w:right w:val="single" w:color="auto" w:sz="4" w:space="0"/>
            </w:tcBorders>
            <w:noWrap/>
            <w:vAlign w:val="center"/>
          </w:tcPr>
          <w:p w14:paraId="023B8AE7">
            <w:pPr>
              <w:pStyle w:val="557"/>
              <w:rPr>
                <w:highlight w:val="yellow"/>
              </w:rPr>
            </w:pPr>
            <w:r>
              <w:rPr>
                <w:rFonts w:hint="eastAsia"/>
              </w:rPr>
              <w:t>达标</w:t>
            </w:r>
          </w:p>
        </w:tc>
      </w:tr>
    </w:tbl>
    <w:p w14:paraId="2A13DC7A">
      <w:pPr>
        <w:pStyle w:val="562"/>
        <w:ind w:firstLine="0" w:firstLineChars="0"/>
        <w:rPr>
          <w:rFonts w:hint="eastAsia"/>
        </w:rPr>
      </w:pPr>
    </w:p>
    <w:p w14:paraId="56FDEB2B">
      <w:pPr>
        <w:rPr>
          <w:rFonts w:hint="eastAsia"/>
          <w:sz w:val="20"/>
        </w:rPr>
        <w:sectPr>
          <w:pgSz w:w="16838" w:h="11906" w:orient="landscape"/>
          <w:pgMar w:top="1800" w:right="1440" w:bottom="1800" w:left="1440" w:header="851" w:footer="850" w:gutter="0"/>
          <w:cols w:space="720" w:num="1"/>
          <w:docGrid w:type="lines" w:linePitch="326" w:charSpace="0"/>
        </w:sectPr>
      </w:pPr>
    </w:p>
    <w:p w14:paraId="6633A8F6">
      <w:pPr>
        <w:pStyle w:val="557"/>
      </w:pPr>
    </w:p>
    <w:p w14:paraId="66E5C520">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5.2.8-1 </w:t>
      </w:r>
      <w:r>
        <w:rPr>
          <w:rFonts w:hint="eastAsia"/>
          <w:color w:val="000000" w:themeColor="text1"/>
          <w14:textFill>
            <w14:solidFill>
              <w14:schemeClr w14:val="tx1"/>
            </w14:solidFill>
          </w14:textFill>
        </w:rPr>
        <w:t xml:space="preserve">   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日均98%保证率落地叠加浓度分布图（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17C83BB6">
      <w:pPr>
        <w:pStyle w:val="557"/>
      </w:pPr>
    </w:p>
    <w:p w14:paraId="77A77BD9">
      <w:pPr>
        <w:jc w:val="center"/>
        <w:rPr>
          <w:rFonts w:hint="eastAsia"/>
          <w:color w:val="FF0000"/>
        </w:rPr>
      </w:pPr>
    </w:p>
    <w:p w14:paraId="6F471FA7">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5.2.8-2</w:t>
      </w:r>
      <w:r>
        <w:rPr>
          <w:rFonts w:hint="eastAsia"/>
          <w:color w:val="000000" w:themeColor="text1"/>
          <w14:textFill>
            <w14:solidFill>
              <w14:schemeClr w14:val="tx1"/>
            </w14:solidFill>
          </w14:textFill>
        </w:rPr>
        <w:t xml:space="preserve">  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年均叠加浓度分布图（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16963232">
      <w:pPr>
        <w:pStyle w:val="557"/>
        <w:rPr>
          <w:highlight w:val="yellow"/>
        </w:rPr>
      </w:pPr>
    </w:p>
    <w:p w14:paraId="1B106AA1">
      <w:pPr>
        <w:pStyle w:val="557"/>
        <w:rPr>
          <w:color w:val="FF0000"/>
          <w:sz w:val="24"/>
          <w:szCs w:val="24"/>
        </w:rPr>
      </w:pPr>
    </w:p>
    <w:p w14:paraId="5FD75A62">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5.2.8-3</w:t>
      </w:r>
      <w:r>
        <w:rPr>
          <w:rFonts w:hint="eastAsia"/>
          <w:color w:val="000000" w:themeColor="text1"/>
          <w14:textFill>
            <w14:solidFill>
              <w14:schemeClr w14:val="tx1"/>
            </w14:solidFill>
          </w14:textFill>
        </w:rPr>
        <w:t xml:space="preserve">  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日均98%保证率落地叠加浓度分布图（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3B34EC5">
      <w:pPr>
        <w:pStyle w:val="557"/>
        <w:rPr>
          <w:highlight w:val="yellow"/>
        </w:rPr>
      </w:pPr>
    </w:p>
    <w:p w14:paraId="70E1CE5B">
      <w:pPr>
        <w:pStyle w:val="557"/>
        <w:rPr>
          <w:color w:val="FF0000"/>
          <w:sz w:val="24"/>
          <w:szCs w:val="24"/>
          <w:highlight w:val="yellow"/>
        </w:rPr>
      </w:pPr>
    </w:p>
    <w:p w14:paraId="21B65D64">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5.2.8-4  </w:t>
      </w:r>
      <w:r>
        <w:rPr>
          <w:rFonts w:hint="eastAsia"/>
          <w:color w:val="000000" w:themeColor="text1"/>
          <w14:textFill>
            <w14:solidFill>
              <w14:schemeClr w14:val="tx1"/>
            </w14:solidFill>
          </w14:textFill>
        </w:rPr>
        <w:t xml:space="preserve">  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年均叠加浓度分布图（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C298132">
      <w:pPr>
        <w:pStyle w:val="557"/>
        <w:rPr>
          <w:color w:val="FF0000"/>
        </w:rPr>
      </w:pPr>
    </w:p>
    <w:p w14:paraId="0F4E3A07">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5.2.8-5  </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日均95%保证率落地叠加浓度分布图（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4714D085">
      <w:pPr>
        <w:pStyle w:val="557"/>
        <w:rPr>
          <w:highlight w:val="yellow"/>
        </w:rPr>
      </w:pPr>
    </w:p>
    <w:p w14:paraId="04905E14">
      <w:pPr>
        <w:pStyle w:val="557"/>
        <w:rPr>
          <w:color w:val="FF0000"/>
          <w:highlight w:val="yellow"/>
        </w:rPr>
      </w:pPr>
    </w:p>
    <w:p w14:paraId="3175DDFD">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5.2.8-6  </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年均叠加浓度分布图（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11D1F9A5">
      <w:pPr>
        <w:pStyle w:val="557"/>
        <w:rPr>
          <w:color w:val="FF0000"/>
        </w:rPr>
      </w:pPr>
    </w:p>
    <w:p w14:paraId="3F62F466">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5.2.8-7  </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日均95%保证率落地叠加浓度分布图（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5246D581">
      <w:pPr>
        <w:pStyle w:val="557"/>
        <w:rPr>
          <w:highlight w:val="yellow"/>
        </w:rPr>
      </w:pPr>
    </w:p>
    <w:p w14:paraId="027997A6">
      <w:pPr>
        <w:pStyle w:val="557"/>
        <w:rPr>
          <w:color w:val="FF0000"/>
        </w:rPr>
      </w:pPr>
    </w:p>
    <w:p w14:paraId="0DBB705B">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5.2.8-8  </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年均叠加浓度分布图（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AD21D9D">
      <w:pPr>
        <w:pStyle w:val="557"/>
        <w:rPr>
          <w:color w:val="FF0000"/>
          <w:sz w:val="24"/>
          <w:szCs w:val="24"/>
        </w:rPr>
      </w:pPr>
    </w:p>
    <w:p w14:paraId="19C6F69D">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5.2.8-9  </w:t>
      </w: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小时均叠加浓度分布图（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00EFB224">
      <w:pPr>
        <w:pStyle w:val="557"/>
      </w:pPr>
    </w:p>
    <w:p w14:paraId="0691BF09">
      <w:pPr>
        <w:pStyle w:val="557"/>
        <w:rPr>
          <w:color w:val="FF0000"/>
        </w:rPr>
      </w:pPr>
    </w:p>
    <w:p w14:paraId="205A7957">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5.2.8-10   </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S小时均叠加浓度分布图（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49EDBF00">
      <w:pPr>
        <w:pStyle w:val="557"/>
        <w:rPr>
          <w:color w:val="FF0000"/>
        </w:rPr>
      </w:pPr>
    </w:p>
    <w:p w14:paraId="40C54CFD">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5.2.8-11   </w:t>
      </w:r>
      <w:r>
        <w:rPr>
          <w:rFonts w:hint="eastAsia"/>
          <w:color w:val="000000" w:themeColor="text1"/>
          <w14:textFill>
            <w14:solidFill>
              <w14:schemeClr w14:val="tx1"/>
            </w14:solidFill>
          </w14:textFill>
        </w:rPr>
        <w:t>NMHC小时叠加浓度分布图（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C2749F1">
      <w:pPr>
        <w:pStyle w:val="557"/>
      </w:pPr>
    </w:p>
    <w:p w14:paraId="3A4CA00E">
      <w:pPr>
        <w:pStyle w:val="557"/>
        <w:rPr>
          <w:color w:val="FF0000"/>
          <w:sz w:val="24"/>
          <w:szCs w:val="24"/>
        </w:rPr>
      </w:pPr>
    </w:p>
    <w:p w14:paraId="28A51C84">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5.2.8-12   </w:t>
      </w:r>
      <w:r>
        <w:rPr>
          <w:rFonts w:hint="eastAsia"/>
          <w:color w:val="000000" w:themeColor="text1"/>
          <w14:textFill>
            <w14:solidFill>
              <w14:schemeClr w14:val="tx1"/>
            </w14:solidFill>
          </w14:textFill>
        </w:rPr>
        <w:t>甲醇小时叠加浓度分布图（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6143CF37">
      <w:pPr>
        <w:pStyle w:val="557"/>
        <w:rPr>
          <w:color w:val="FF0000"/>
          <w:sz w:val="24"/>
          <w:szCs w:val="24"/>
        </w:rPr>
      </w:pPr>
    </w:p>
    <w:p w14:paraId="017153F7">
      <w:pPr>
        <w:pStyle w:val="535"/>
        <w:ind w:left="400" w:hanging="400"/>
        <w:rPr>
          <w:rFonts w:hint="eastAsia"/>
          <w:color w:val="000000" w:themeColor="text1"/>
          <w14:textFill>
            <w14:solidFill>
              <w14:schemeClr w14:val="tx1"/>
            </w14:solidFill>
          </w14:textFill>
        </w:rPr>
      </w:pPr>
      <w:r>
        <w:rPr>
          <w:rFonts w:hint="eastAsia" w:ascii="宋体" w:hAnsi="宋体" w:eastAsia="宋体"/>
          <w:color w:val="000000" w:themeColor="text1"/>
          <w:lang w:val="de-DE"/>
          <w14:textFill>
            <w14:solidFill>
              <w14:schemeClr w14:val="tx1"/>
            </w14:solidFill>
          </w14:textFill>
        </w:rPr>
        <w:t>图</w:t>
      </w:r>
      <w:r>
        <w:rPr>
          <w:rFonts w:hint="eastAsia"/>
          <w:color w:val="000000" w:themeColor="text1"/>
          <w:lang w:val="de-DE"/>
          <w14:textFill>
            <w14:solidFill>
              <w14:schemeClr w14:val="tx1"/>
            </w14:solidFill>
          </w14:textFill>
        </w:rPr>
        <w:t xml:space="preserve">5.2.8-13   </w:t>
      </w:r>
      <w:r>
        <w:rPr>
          <w:rFonts w:hint="eastAsia"/>
          <w:color w:val="000000" w:themeColor="text1"/>
          <w14:textFill>
            <w14:solidFill>
              <w14:schemeClr w14:val="tx1"/>
            </w14:solidFill>
          </w14:textFill>
        </w:rPr>
        <w:t>硫酸小时叠加浓度分布图（</w:t>
      </w:r>
      <w:r>
        <w:rPr>
          <w:rFonts w:ascii="Times New Roman" w:hAnsi="Times New Roman"/>
          <w:color w:val="000000" w:themeColor="text1"/>
          <w14:textFill>
            <w14:solidFill>
              <w14:schemeClr w14:val="tx1"/>
            </w14:solidFill>
          </w14:textFill>
        </w:rPr>
        <w:t>m</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73AEDC2E">
      <w:pPr>
        <w:pStyle w:val="557"/>
      </w:pPr>
    </w:p>
    <w:p w14:paraId="1641CC6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根据预测结果，可得出：</w:t>
      </w:r>
    </w:p>
    <w:p w14:paraId="754C060D">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项目排放的基本污染物</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ascii="宋体" w:hAnsi="宋体"/>
          <w:color w:val="000000" w:themeColor="text1"/>
          <w14:textFill>
            <w14:solidFill>
              <w14:schemeClr w14:val="tx1"/>
            </w14:solidFill>
          </w14:textFill>
        </w:rPr>
        <w:t>的贡献值叠加区域在建及拟建污染源落地浓度贡献值、区域背景值后的</w:t>
      </w:r>
      <w:r>
        <w:rPr>
          <w:color w:val="000000" w:themeColor="text1"/>
          <w14:textFill>
            <w14:solidFill>
              <w14:schemeClr w14:val="tx1"/>
            </w14:solidFill>
          </w14:textFill>
        </w:rPr>
        <w:t>98%</w:t>
      </w:r>
      <w:r>
        <w:rPr>
          <w:rFonts w:hint="eastAsia" w:ascii="宋体" w:hAnsi="宋体"/>
          <w:color w:val="000000" w:themeColor="text1"/>
          <w14:textFill>
            <w14:solidFill>
              <w14:schemeClr w14:val="tx1"/>
            </w14:solidFill>
          </w14:textFill>
        </w:rPr>
        <w:t>保证率日均浓度和年均浓度最大占标率分别为</w:t>
      </w:r>
      <w:r>
        <w:rPr>
          <w:rFonts w:hint="eastAsia"/>
          <w:color w:val="000000" w:themeColor="text1"/>
          <w14:textFill>
            <w14:solidFill>
              <w14:schemeClr w14:val="tx1"/>
            </w14:solidFill>
          </w14:textFill>
        </w:rPr>
        <w:t>10.17</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和</w:t>
      </w:r>
      <w:r>
        <w:rPr>
          <w:rFonts w:hint="eastAsia"/>
          <w:color w:val="000000" w:themeColor="text1"/>
          <w14:textFill>
            <w14:solidFill>
              <w14:schemeClr w14:val="tx1"/>
            </w14:solidFill>
          </w14:textFill>
        </w:rPr>
        <w:t>12.85</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，满足《环境空气质量标准》（</w:t>
      </w:r>
      <w:r>
        <w:rPr>
          <w:color w:val="000000" w:themeColor="text1"/>
          <w14:textFill>
            <w14:solidFill>
              <w14:schemeClr w14:val="tx1"/>
            </w14:solidFill>
          </w14:textFill>
        </w:rPr>
        <w:t>GB3095-2012</w:t>
      </w:r>
      <w:r>
        <w:rPr>
          <w:rFonts w:hint="eastAsia" w:ascii="宋体" w:hAnsi="宋体"/>
          <w:color w:val="000000" w:themeColor="text1"/>
          <w14:textFill>
            <w14:solidFill>
              <w14:schemeClr w14:val="tx1"/>
            </w14:solidFill>
          </w14:textFill>
        </w:rPr>
        <w:t>）中的二级标准。</w:t>
      </w:r>
    </w:p>
    <w:p w14:paraId="0091111F">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项目排放的基本污染物</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ascii="宋体" w:hAnsi="宋体"/>
          <w:color w:val="000000" w:themeColor="text1"/>
          <w14:textFill>
            <w14:solidFill>
              <w14:schemeClr w14:val="tx1"/>
            </w14:solidFill>
          </w14:textFill>
        </w:rPr>
        <w:t>的贡献值叠加区域在建及拟建污染源落地浓度贡献值、区域背景值后的</w:t>
      </w:r>
      <w:r>
        <w:rPr>
          <w:color w:val="000000" w:themeColor="text1"/>
          <w14:textFill>
            <w14:solidFill>
              <w14:schemeClr w14:val="tx1"/>
            </w14:solidFill>
          </w14:textFill>
        </w:rPr>
        <w:t>98%</w:t>
      </w:r>
      <w:r>
        <w:rPr>
          <w:rFonts w:hint="eastAsia" w:ascii="宋体" w:hAnsi="宋体"/>
          <w:color w:val="000000" w:themeColor="text1"/>
          <w14:textFill>
            <w14:solidFill>
              <w14:schemeClr w14:val="tx1"/>
            </w14:solidFill>
          </w14:textFill>
        </w:rPr>
        <w:t>保证率日均浓度和年均浓度最大占标率分别为</w:t>
      </w:r>
      <w:r>
        <w:rPr>
          <w:rFonts w:hint="eastAsia"/>
          <w:color w:val="000000" w:themeColor="text1"/>
          <w14:textFill>
            <w14:solidFill>
              <w14:schemeClr w14:val="tx1"/>
            </w14:solidFill>
          </w14:textFill>
        </w:rPr>
        <w:t>66.25</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和</w:t>
      </w:r>
      <w:r>
        <w:rPr>
          <w:rFonts w:hint="eastAsia"/>
          <w:color w:val="000000" w:themeColor="text1"/>
          <w14:textFill>
            <w14:solidFill>
              <w14:schemeClr w14:val="tx1"/>
            </w14:solidFill>
          </w14:textFill>
        </w:rPr>
        <w:t>74.39</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，满足《环境空气质量标准》（</w:t>
      </w:r>
      <w:r>
        <w:rPr>
          <w:color w:val="000000" w:themeColor="text1"/>
          <w14:textFill>
            <w14:solidFill>
              <w14:schemeClr w14:val="tx1"/>
            </w14:solidFill>
          </w14:textFill>
        </w:rPr>
        <w:t>GB3095-2012</w:t>
      </w:r>
      <w:r>
        <w:rPr>
          <w:rFonts w:hint="eastAsia" w:ascii="宋体" w:hAnsi="宋体"/>
          <w:color w:val="000000" w:themeColor="text1"/>
          <w14:textFill>
            <w14:solidFill>
              <w14:schemeClr w14:val="tx1"/>
            </w14:solidFill>
          </w14:textFill>
        </w:rPr>
        <w:t>）中的二级标准。</w:t>
      </w:r>
    </w:p>
    <w:p w14:paraId="584A710E">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项目排放的基本污染物</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的贡献值叠加区域在建及拟建污染源落地浓度贡献值、区域背景值后的</w:t>
      </w:r>
      <w:r>
        <w:rPr>
          <w:color w:val="000000" w:themeColor="text1"/>
          <w14:textFill>
            <w14:solidFill>
              <w14:schemeClr w14:val="tx1"/>
            </w14:solidFill>
          </w14:textFill>
        </w:rPr>
        <w:t>95%</w:t>
      </w:r>
      <w:r>
        <w:rPr>
          <w:rFonts w:hint="eastAsia"/>
          <w:color w:val="000000" w:themeColor="text1"/>
          <w14:textFill>
            <w14:solidFill>
              <w14:schemeClr w14:val="tx1"/>
            </w14:solidFill>
          </w14:textFill>
        </w:rPr>
        <w:t>保证率日均浓度和年均浓度最大占标率分别为144.14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和145.64</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出现超标，超标原因为区域现状背景浓度已超标。</w:t>
      </w:r>
    </w:p>
    <w:p w14:paraId="3AE01907">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项目排放的基本污染物</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hint="eastAsia" w:ascii="宋体" w:hAnsi="宋体"/>
          <w:color w:val="000000" w:themeColor="text1"/>
          <w14:textFill>
            <w14:solidFill>
              <w14:schemeClr w14:val="tx1"/>
            </w14:solidFill>
          </w14:textFill>
        </w:rPr>
        <w:t>的贡献值叠加区域在建及拟建污染源落地浓度贡献值、区域背景值后的</w:t>
      </w:r>
      <w:r>
        <w:rPr>
          <w:color w:val="000000" w:themeColor="text1"/>
          <w14:textFill>
            <w14:solidFill>
              <w14:schemeClr w14:val="tx1"/>
            </w14:solidFill>
          </w14:textFill>
        </w:rPr>
        <w:t>95%</w:t>
      </w:r>
      <w:r>
        <w:rPr>
          <w:rFonts w:hint="eastAsia" w:ascii="宋体" w:hAnsi="宋体"/>
          <w:color w:val="000000" w:themeColor="text1"/>
          <w14:textFill>
            <w14:solidFill>
              <w14:schemeClr w14:val="tx1"/>
            </w14:solidFill>
          </w14:textFill>
        </w:rPr>
        <w:t>保证率日均浓度和年均浓度最大占标率分别为</w:t>
      </w:r>
      <w:r>
        <w:rPr>
          <w:rFonts w:hint="eastAsia"/>
          <w:color w:val="000000" w:themeColor="text1"/>
          <w14:textFill>
            <w14:solidFill>
              <w14:schemeClr w14:val="tx1"/>
            </w14:solidFill>
          </w14:textFill>
        </w:rPr>
        <w:t>144.14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和145.28</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出现超标，超标原因为区域现状背景浓度已超标。</w:t>
      </w:r>
    </w:p>
    <w:p w14:paraId="422CF8E9">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项目排放的特征污染物</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ascii="宋体" w:hAnsi="宋体"/>
          <w:color w:val="000000" w:themeColor="text1"/>
          <w14:textFill>
            <w14:solidFill>
              <w14:schemeClr w14:val="tx1"/>
            </w14:solidFill>
          </w14:textFill>
        </w:rPr>
        <w:t>、甲醇、硫酸</w:t>
      </w:r>
      <w:r>
        <w:rPr>
          <w:rFonts w:hint="eastAsia"/>
          <w:color w:val="000000" w:themeColor="text1"/>
          <w14:textFill>
            <w14:solidFill>
              <w14:schemeClr w14:val="tx1"/>
            </w14:solidFill>
          </w14:textFill>
        </w:rPr>
        <w:t>的贡献值叠加区域在建及拟建污染源落地浓度贡献值、区域背景值后的小时均浓度最大占标率分别为52.31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、94.38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、10.96%，均满足《环境影响评价技术导则大气环境》（</w:t>
      </w:r>
      <w:r>
        <w:rPr>
          <w:color w:val="000000" w:themeColor="text1"/>
          <w14:textFill>
            <w14:solidFill>
              <w14:schemeClr w14:val="tx1"/>
            </w14:solidFill>
          </w14:textFill>
        </w:rPr>
        <w:t>HJ2.2-2018</w:t>
      </w: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中质量浓度参考限值的要求。</w:t>
      </w:r>
    </w:p>
    <w:p w14:paraId="5255D48A">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项目排放的特征污染物甲烷总烃贡献值叠加区域在建及拟建污染源落地浓度贡献值、区域背景值后的小时浓度最大占标率为97.6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，满足《大气污染物综合排放标准详解》中的浓度要求。</w:t>
      </w:r>
    </w:p>
    <w:p w14:paraId="41C7A06D">
      <w:pPr>
        <w:pStyle w:val="98"/>
        <w:numPr>
          <w:ilvl w:val="3"/>
          <w:numId w:val="8"/>
        </w:numPr>
        <w:ind w:left="0"/>
        <w:rPr>
          <w:rFonts w:hint="eastAsia"/>
        </w:rPr>
      </w:pPr>
      <w:r>
        <w:rPr>
          <w:rFonts w:hint="eastAsia"/>
        </w:rPr>
        <w:t>非正常工况排放影响分析</w:t>
      </w:r>
    </w:p>
    <w:p w14:paraId="22625DD3">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在全年气象条件下，项目非正常工况下污染物最大小时落地浓度预测结果见</w:t>
      </w:r>
      <w:r>
        <w:rPr>
          <w:rFonts w:hint="eastAsia"/>
          <w:color w:val="000000" w:themeColor="text1"/>
          <w:spacing w:val="8"/>
          <w14:textFill>
            <w14:solidFill>
              <w14:schemeClr w14:val="tx1"/>
            </w14:solidFill>
          </w14:textFill>
        </w:rPr>
        <w:t>表</w:t>
      </w:r>
      <w:r>
        <w:rPr>
          <w:color w:val="000000" w:themeColor="text1"/>
          <w:spacing w:val="8"/>
          <w14:textFill>
            <w14:solidFill>
              <w14:schemeClr w14:val="tx1"/>
            </w14:solidFill>
          </w14:textFill>
        </w:rPr>
        <w:t>5.2.8-</w:t>
      </w:r>
      <w:r>
        <w:rPr>
          <w:rFonts w:hint="eastAsia"/>
          <w:color w:val="000000" w:themeColor="text1"/>
          <w:spacing w:val="8"/>
          <w14:textFill>
            <w14:solidFill>
              <w14:schemeClr w14:val="tx1"/>
            </w14:solidFill>
          </w14:textFill>
        </w:rPr>
        <w:t>19</w:t>
      </w:r>
      <w:r>
        <w:rPr>
          <w:rFonts w:hint="eastAsia"/>
          <w:color w:val="000000" w:themeColor="text1"/>
          <w14:textFill>
            <w14:solidFill>
              <w14:schemeClr w14:val="tx1"/>
            </w14:solidFill>
          </w14:textFill>
        </w:rPr>
        <w:t>。</w:t>
      </w:r>
    </w:p>
    <w:p w14:paraId="32B63488">
      <w:pPr>
        <w:pStyle w:val="535"/>
        <w:ind w:left="416" w:hanging="416"/>
        <w:rPr>
          <w:rFonts w:hint="eastAsia"/>
          <w:color w:val="000000" w:themeColor="text1"/>
          <w14:textFill>
            <w14:solidFill>
              <w14:schemeClr w14:val="tx1"/>
            </w14:solidFill>
          </w14:textFill>
        </w:rPr>
      </w:pPr>
      <w:r>
        <w:rPr>
          <w:rFonts w:hint="eastAsia"/>
          <w:color w:val="000000" w:themeColor="text1"/>
          <w:spacing w:val="8"/>
          <w14:textFill>
            <w14:solidFill>
              <w14:schemeClr w14:val="tx1"/>
            </w14:solidFill>
          </w14:textFill>
        </w:rPr>
        <w:t xml:space="preserve">表5.2.8-19   </w:t>
      </w:r>
      <w:r>
        <w:rPr>
          <w:rFonts w:hint="eastAsia"/>
          <w:color w:val="000000" w:themeColor="text1"/>
          <w14:textFill>
            <w14:solidFill>
              <w14:schemeClr w14:val="tx1"/>
            </w14:solidFill>
          </w14:textFill>
        </w:rPr>
        <w:t>非正常工况最大小时落地浓度预测结果</w:t>
      </w:r>
    </w:p>
    <w:tbl>
      <w:tblPr>
        <w:tblStyle w:val="65"/>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9"/>
        <w:gridCol w:w="993"/>
        <w:gridCol w:w="1425"/>
        <w:gridCol w:w="793"/>
        <w:gridCol w:w="925"/>
        <w:gridCol w:w="837"/>
        <w:gridCol w:w="852"/>
        <w:gridCol w:w="944"/>
        <w:gridCol w:w="705"/>
      </w:tblGrid>
      <w:tr w14:paraId="0104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10" w:type="pct"/>
            <w:tcBorders>
              <w:top w:val="single" w:color="auto" w:sz="4" w:space="0"/>
              <w:left w:val="single" w:color="auto" w:sz="4" w:space="0"/>
              <w:bottom w:val="single" w:color="auto" w:sz="4" w:space="0"/>
              <w:right w:val="single" w:color="auto" w:sz="4" w:space="0"/>
            </w:tcBorders>
            <w:noWrap/>
            <w:vAlign w:val="center"/>
          </w:tcPr>
          <w:p w14:paraId="130A06D2">
            <w:pPr>
              <w:pStyle w:val="557"/>
            </w:pPr>
            <w:r>
              <w:rPr>
                <w:rFonts w:hint="eastAsia"/>
              </w:rPr>
              <w:t>污染物</w:t>
            </w:r>
          </w:p>
        </w:tc>
        <w:tc>
          <w:tcPr>
            <w:tcW w:w="597" w:type="pct"/>
            <w:tcBorders>
              <w:top w:val="single" w:color="auto" w:sz="4" w:space="0"/>
              <w:left w:val="single" w:color="auto" w:sz="4" w:space="0"/>
              <w:bottom w:val="single" w:color="auto" w:sz="4" w:space="0"/>
              <w:right w:val="single" w:color="auto" w:sz="4" w:space="0"/>
            </w:tcBorders>
            <w:noWrap/>
            <w:vAlign w:val="center"/>
          </w:tcPr>
          <w:p w14:paraId="02B46FB9">
            <w:pPr>
              <w:pStyle w:val="557"/>
            </w:pPr>
            <w:r>
              <w:rPr>
                <w:rFonts w:hint="eastAsia"/>
              </w:rPr>
              <w:t>点名称</w:t>
            </w:r>
          </w:p>
        </w:tc>
        <w:tc>
          <w:tcPr>
            <w:tcW w:w="856" w:type="pct"/>
            <w:tcBorders>
              <w:top w:val="single" w:color="auto" w:sz="4" w:space="0"/>
              <w:left w:val="single" w:color="auto" w:sz="4" w:space="0"/>
              <w:bottom w:val="single" w:color="auto" w:sz="4" w:space="0"/>
              <w:right w:val="single" w:color="auto" w:sz="4" w:space="0"/>
            </w:tcBorders>
            <w:noWrap/>
            <w:vAlign w:val="center"/>
          </w:tcPr>
          <w:p w14:paraId="5F2EBFFB">
            <w:pPr>
              <w:pStyle w:val="557"/>
            </w:pPr>
            <w:r>
              <w:rPr>
                <w:rFonts w:hint="eastAsia"/>
              </w:rPr>
              <w:t>点坐标</w:t>
            </w:r>
            <w:r>
              <w:t>(x,y)</w:t>
            </w:r>
          </w:p>
        </w:tc>
        <w:tc>
          <w:tcPr>
            <w:tcW w:w="476" w:type="pct"/>
            <w:tcBorders>
              <w:top w:val="single" w:color="auto" w:sz="4" w:space="0"/>
              <w:left w:val="single" w:color="auto" w:sz="4" w:space="0"/>
              <w:bottom w:val="single" w:color="auto" w:sz="4" w:space="0"/>
              <w:right w:val="single" w:color="auto" w:sz="4" w:space="0"/>
            </w:tcBorders>
            <w:noWrap/>
            <w:vAlign w:val="center"/>
          </w:tcPr>
          <w:p w14:paraId="1F87EDBC">
            <w:pPr>
              <w:pStyle w:val="557"/>
            </w:pPr>
            <w:r>
              <w:rPr>
                <w:rFonts w:hint="eastAsia"/>
              </w:rPr>
              <w:t>浓度</w:t>
            </w:r>
          </w:p>
          <w:p w14:paraId="3CB7FED8">
            <w:pPr>
              <w:pStyle w:val="557"/>
            </w:pPr>
            <w:r>
              <w:rPr>
                <w:rFonts w:hint="eastAsia"/>
              </w:rPr>
              <w:t>类型</w:t>
            </w:r>
          </w:p>
        </w:tc>
        <w:tc>
          <w:tcPr>
            <w:tcW w:w="556" w:type="pct"/>
            <w:tcBorders>
              <w:top w:val="single" w:color="auto" w:sz="4" w:space="0"/>
              <w:left w:val="single" w:color="auto" w:sz="4" w:space="0"/>
              <w:bottom w:val="single" w:color="auto" w:sz="4" w:space="0"/>
              <w:right w:val="single" w:color="auto" w:sz="4" w:space="0"/>
            </w:tcBorders>
            <w:noWrap/>
            <w:vAlign w:val="center"/>
          </w:tcPr>
          <w:p w14:paraId="79B86B1F">
            <w:pPr>
              <w:pStyle w:val="557"/>
            </w:pPr>
            <w:r>
              <w:rPr>
                <w:rFonts w:hint="eastAsia"/>
              </w:rPr>
              <w:t>浓度</w:t>
            </w:r>
          </w:p>
          <w:p w14:paraId="32F28F7B">
            <w:pPr>
              <w:pStyle w:val="557"/>
            </w:pPr>
            <w:r>
              <w:rPr>
                <w:rFonts w:hint="eastAsia"/>
              </w:rPr>
              <w:t>增量</w:t>
            </w:r>
            <w:r>
              <w:t>(mg/m</w:t>
            </w:r>
            <w:r>
              <w:rPr>
                <w:vertAlign w:val="superscript"/>
              </w:rPr>
              <w:t>3</w:t>
            </w:r>
            <w:r>
              <w:t>)</w:t>
            </w:r>
          </w:p>
        </w:tc>
        <w:tc>
          <w:tcPr>
            <w:tcW w:w="503" w:type="pct"/>
            <w:tcBorders>
              <w:top w:val="single" w:color="auto" w:sz="4" w:space="0"/>
              <w:left w:val="single" w:color="auto" w:sz="4" w:space="0"/>
              <w:bottom w:val="single" w:color="auto" w:sz="4" w:space="0"/>
              <w:right w:val="single" w:color="auto" w:sz="4" w:space="0"/>
            </w:tcBorders>
            <w:noWrap/>
            <w:vAlign w:val="center"/>
          </w:tcPr>
          <w:p w14:paraId="1E77280B">
            <w:pPr>
              <w:pStyle w:val="557"/>
            </w:pPr>
            <w:r>
              <w:rPr>
                <w:rFonts w:hint="eastAsia"/>
              </w:rPr>
              <w:t>出现时间</w:t>
            </w:r>
          </w:p>
        </w:tc>
        <w:tc>
          <w:tcPr>
            <w:tcW w:w="512" w:type="pct"/>
            <w:tcBorders>
              <w:top w:val="single" w:color="auto" w:sz="4" w:space="0"/>
              <w:left w:val="single" w:color="auto" w:sz="4" w:space="0"/>
              <w:bottom w:val="single" w:color="auto" w:sz="4" w:space="0"/>
              <w:right w:val="single" w:color="auto" w:sz="4" w:space="0"/>
            </w:tcBorders>
            <w:noWrap/>
            <w:vAlign w:val="center"/>
          </w:tcPr>
          <w:p w14:paraId="5C47F6FA">
            <w:pPr>
              <w:pStyle w:val="557"/>
            </w:pPr>
            <w:r>
              <w:rPr>
                <w:rFonts w:hint="eastAsia"/>
              </w:rPr>
              <w:t>评价标准</w:t>
            </w:r>
            <w:r>
              <w:t>(mg/m</w:t>
            </w:r>
            <w:r>
              <w:rPr>
                <w:vertAlign w:val="superscript"/>
              </w:rPr>
              <w:t>3</w:t>
            </w:r>
            <w:r>
              <w:t>)</w:t>
            </w:r>
          </w:p>
        </w:tc>
        <w:tc>
          <w:tcPr>
            <w:tcW w:w="567" w:type="pct"/>
            <w:tcBorders>
              <w:top w:val="single" w:color="auto" w:sz="4" w:space="0"/>
              <w:left w:val="single" w:color="auto" w:sz="4" w:space="0"/>
              <w:bottom w:val="single" w:color="auto" w:sz="4" w:space="0"/>
              <w:right w:val="single" w:color="auto" w:sz="4" w:space="0"/>
            </w:tcBorders>
            <w:noWrap/>
            <w:vAlign w:val="center"/>
          </w:tcPr>
          <w:p w14:paraId="4FDAAB83">
            <w:pPr>
              <w:pStyle w:val="557"/>
            </w:pPr>
            <w:r>
              <w:rPr>
                <w:rFonts w:hint="eastAsia"/>
              </w:rPr>
              <w:t>占标率</w:t>
            </w:r>
            <w:r>
              <w:t>%</w:t>
            </w:r>
          </w:p>
        </w:tc>
        <w:tc>
          <w:tcPr>
            <w:tcW w:w="417" w:type="pct"/>
            <w:tcBorders>
              <w:top w:val="single" w:color="auto" w:sz="4" w:space="0"/>
              <w:left w:val="single" w:color="auto" w:sz="4" w:space="0"/>
              <w:bottom w:val="single" w:color="auto" w:sz="4" w:space="0"/>
              <w:right w:val="single" w:color="auto" w:sz="4" w:space="0"/>
            </w:tcBorders>
            <w:noWrap/>
            <w:vAlign w:val="center"/>
          </w:tcPr>
          <w:p w14:paraId="12F2A080">
            <w:pPr>
              <w:pStyle w:val="557"/>
            </w:pPr>
            <w:r>
              <w:rPr>
                <w:rFonts w:hint="eastAsia"/>
              </w:rPr>
              <w:t>是否超标</w:t>
            </w:r>
          </w:p>
        </w:tc>
      </w:tr>
      <w:tr w14:paraId="395F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ign w:val="center"/>
          </w:tcPr>
          <w:p w14:paraId="14AC8463">
            <w:pPr>
              <w:pStyle w:val="557"/>
            </w:pPr>
            <w:r>
              <w:t>硫回收装置故障废气</w:t>
            </w:r>
          </w:p>
        </w:tc>
      </w:tr>
      <w:tr w14:paraId="4DD2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10" w:type="pct"/>
            <w:tcBorders>
              <w:top w:val="single" w:color="auto" w:sz="4" w:space="0"/>
              <w:left w:val="single" w:color="auto" w:sz="4" w:space="0"/>
              <w:right w:val="single" w:color="auto" w:sz="4" w:space="0"/>
            </w:tcBorders>
            <w:noWrap/>
            <w:vAlign w:val="center"/>
          </w:tcPr>
          <w:p w14:paraId="222AD4E5">
            <w:pPr>
              <w:pStyle w:val="557"/>
            </w:pPr>
            <w:r>
              <w:rPr>
                <w:rFonts w:hint="eastAsia"/>
              </w:rPr>
              <w:t>SO</w:t>
            </w:r>
            <w:r>
              <w:rPr>
                <w:rFonts w:hint="eastAsia"/>
                <w:vertAlign w:val="subscript"/>
              </w:rPr>
              <w:t>2</w:t>
            </w:r>
          </w:p>
        </w:tc>
        <w:tc>
          <w:tcPr>
            <w:tcW w:w="597" w:type="pct"/>
            <w:tcBorders>
              <w:top w:val="single" w:color="auto" w:sz="4" w:space="0"/>
              <w:left w:val="single" w:color="auto" w:sz="4" w:space="0"/>
              <w:bottom w:val="single" w:color="auto" w:sz="4" w:space="0"/>
              <w:right w:val="single" w:color="auto" w:sz="4" w:space="0"/>
            </w:tcBorders>
            <w:noWrap/>
            <w:vAlign w:val="center"/>
          </w:tcPr>
          <w:p w14:paraId="60361C5F">
            <w:pPr>
              <w:pStyle w:val="557"/>
            </w:pPr>
            <w:r>
              <w:rPr>
                <w:rFonts w:hint="eastAsia"/>
              </w:rPr>
              <w:t>网格</w:t>
            </w:r>
          </w:p>
        </w:tc>
        <w:tc>
          <w:tcPr>
            <w:tcW w:w="856" w:type="pct"/>
            <w:tcBorders>
              <w:top w:val="single" w:color="auto" w:sz="4" w:space="0"/>
              <w:left w:val="single" w:color="auto" w:sz="4" w:space="0"/>
              <w:bottom w:val="single" w:color="auto" w:sz="4" w:space="0"/>
              <w:right w:val="single" w:color="auto" w:sz="4" w:space="0"/>
            </w:tcBorders>
            <w:noWrap/>
            <w:vAlign w:val="center"/>
          </w:tcPr>
          <w:p w14:paraId="16EB57C8">
            <w:pPr>
              <w:pStyle w:val="557"/>
            </w:pPr>
            <w:r>
              <w:rPr>
                <w:rFonts w:hint="eastAsia"/>
              </w:rPr>
              <w:t>-50,-100</w:t>
            </w:r>
          </w:p>
        </w:tc>
        <w:tc>
          <w:tcPr>
            <w:tcW w:w="476" w:type="pct"/>
            <w:tcBorders>
              <w:top w:val="single" w:color="auto" w:sz="4" w:space="0"/>
              <w:left w:val="single" w:color="auto" w:sz="4" w:space="0"/>
              <w:bottom w:val="single" w:color="auto" w:sz="4" w:space="0"/>
              <w:right w:val="single" w:color="auto" w:sz="4" w:space="0"/>
            </w:tcBorders>
            <w:noWrap/>
            <w:vAlign w:val="center"/>
          </w:tcPr>
          <w:p w14:paraId="5D936361">
            <w:pPr>
              <w:pStyle w:val="557"/>
            </w:pPr>
            <w:r>
              <w:t>1</w:t>
            </w:r>
            <w:r>
              <w:rPr>
                <w:rFonts w:hint="eastAsia"/>
              </w:rPr>
              <w:t>小时</w:t>
            </w:r>
          </w:p>
        </w:tc>
        <w:tc>
          <w:tcPr>
            <w:tcW w:w="556" w:type="pct"/>
            <w:tcBorders>
              <w:top w:val="single" w:color="auto" w:sz="4" w:space="0"/>
              <w:left w:val="single" w:color="auto" w:sz="4" w:space="0"/>
              <w:bottom w:val="single" w:color="auto" w:sz="4" w:space="0"/>
              <w:right w:val="single" w:color="auto" w:sz="4" w:space="0"/>
            </w:tcBorders>
            <w:noWrap/>
            <w:vAlign w:val="center"/>
          </w:tcPr>
          <w:p w14:paraId="7A586444">
            <w:pPr>
              <w:pStyle w:val="557"/>
            </w:pPr>
            <w:r>
              <w:rPr>
                <w:rFonts w:hint="eastAsia"/>
              </w:rPr>
              <w:t>0.169</w:t>
            </w:r>
          </w:p>
        </w:tc>
        <w:tc>
          <w:tcPr>
            <w:tcW w:w="503" w:type="pct"/>
            <w:tcBorders>
              <w:top w:val="single" w:color="auto" w:sz="4" w:space="0"/>
              <w:left w:val="single" w:color="auto" w:sz="4" w:space="0"/>
              <w:bottom w:val="single" w:color="auto" w:sz="4" w:space="0"/>
              <w:right w:val="single" w:color="auto" w:sz="4" w:space="0"/>
            </w:tcBorders>
            <w:noWrap/>
            <w:vAlign w:val="center"/>
          </w:tcPr>
          <w:p w14:paraId="2C0B715A">
            <w:pPr>
              <w:pStyle w:val="557"/>
            </w:pPr>
            <w:r>
              <w:rPr>
                <w:rFonts w:hint="eastAsia"/>
              </w:rPr>
              <w:t>23061909</w:t>
            </w:r>
          </w:p>
        </w:tc>
        <w:tc>
          <w:tcPr>
            <w:tcW w:w="512" w:type="pct"/>
            <w:tcBorders>
              <w:top w:val="single" w:color="auto" w:sz="4" w:space="0"/>
              <w:left w:val="single" w:color="auto" w:sz="4" w:space="0"/>
              <w:bottom w:val="single" w:color="auto" w:sz="4" w:space="0"/>
              <w:right w:val="single" w:color="auto" w:sz="4" w:space="0"/>
            </w:tcBorders>
            <w:noWrap/>
            <w:vAlign w:val="center"/>
          </w:tcPr>
          <w:p w14:paraId="4E084BDB">
            <w:pPr>
              <w:pStyle w:val="557"/>
            </w:pPr>
            <w:r>
              <w:rPr>
                <w:rFonts w:hint="eastAsia"/>
              </w:rPr>
              <w:t>0.5</w:t>
            </w:r>
          </w:p>
        </w:tc>
        <w:tc>
          <w:tcPr>
            <w:tcW w:w="567" w:type="pct"/>
            <w:tcBorders>
              <w:top w:val="single" w:color="auto" w:sz="4" w:space="0"/>
              <w:left w:val="single" w:color="auto" w:sz="4" w:space="0"/>
              <w:bottom w:val="single" w:color="auto" w:sz="4" w:space="0"/>
              <w:right w:val="single" w:color="auto" w:sz="4" w:space="0"/>
            </w:tcBorders>
            <w:noWrap/>
            <w:vAlign w:val="center"/>
          </w:tcPr>
          <w:p w14:paraId="2F52F94F">
            <w:pPr>
              <w:pStyle w:val="557"/>
            </w:pPr>
            <w:r>
              <w:rPr>
                <w:rFonts w:hint="eastAsia"/>
              </w:rPr>
              <w:t>33.8</w:t>
            </w:r>
          </w:p>
        </w:tc>
        <w:tc>
          <w:tcPr>
            <w:tcW w:w="417" w:type="pct"/>
            <w:tcBorders>
              <w:top w:val="single" w:color="auto" w:sz="4" w:space="0"/>
              <w:left w:val="single" w:color="auto" w:sz="4" w:space="0"/>
              <w:bottom w:val="single" w:color="auto" w:sz="4" w:space="0"/>
              <w:right w:val="single" w:color="auto" w:sz="4" w:space="0"/>
            </w:tcBorders>
            <w:noWrap/>
            <w:vAlign w:val="center"/>
          </w:tcPr>
          <w:p w14:paraId="1D3322FE">
            <w:pPr>
              <w:pStyle w:val="557"/>
            </w:pPr>
            <w:r>
              <w:rPr>
                <w:rFonts w:hint="eastAsia"/>
              </w:rPr>
              <w:t>达标</w:t>
            </w:r>
          </w:p>
        </w:tc>
      </w:tr>
      <w:tr w14:paraId="001F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10" w:type="pct"/>
            <w:tcBorders>
              <w:top w:val="single" w:color="auto" w:sz="4" w:space="0"/>
              <w:left w:val="single" w:color="auto" w:sz="4" w:space="0"/>
              <w:right w:val="single" w:color="auto" w:sz="4" w:space="0"/>
            </w:tcBorders>
            <w:noWrap/>
            <w:vAlign w:val="center"/>
          </w:tcPr>
          <w:p w14:paraId="144FD7F2">
            <w:pPr>
              <w:pStyle w:val="557"/>
            </w:pPr>
            <w:r>
              <w:rPr>
                <w:rFonts w:hint="eastAsia"/>
              </w:rPr>
              <w:t>NO</w:t>
            </w:r>
            <w:r>
              <w:rPr>
                <w:rFonts w:hint="eastAsia"/>
                <w:vertAlign w:val="subscript"/>
              </w:rPr>
              <w:t>2</w:t>
            </w:r>
          </w:p>
        </w:tc>
        <w:tc>
          <w:tcPr>
            <w:tcW w:w="597" w:type="pct"/>
            <w:tcBorders>
              <w:top w:val="single" w:color="auto" w:sz="4" w:space="0"/>
              <w:left w:val="single" w:color="auto" w:sz="4" w:space="0"/>
              <w:bottom w:val="single" w:color="auto" w:sz="4" w:space="0"/>
              <w:right w:val="single" w:color="auto" w:sz="4" w:space="0"/>
            </w:tcBorders>
            <w:noWrap/>
            <w:vAlign w:val="center"/>
          </w:tcPr>
          <w:p w14:paraId="561C2066">
            <w:pPr>
              <w:pStyle w:val="557"/>
            </w:pPr>
            <w:r>
              <w:rPr>
                <w:rFonts w:hint="eastAsia"/>
              </w:rPr>
              <w:t>网格</w:t>
            </w:r>
          </w:p>
        </w:tc>
        <w:tc>
          <w:tcPr>
            <w:tcW w:w="856" w:type="pct"/>
            <w:tcBorders>
              <w:top w:val="single" w:color="auto" w:sz="4" w:space="0"/>
              <w:left w:val="single" w:color="auto" w:sz="4" w:space="0"/>
              <w:bottom w:val="single" w:color="auto" w:sz="4" w:space="0"/>
              <w:right w:val="single" w:color="auto" w:sz="4" w:space="0"/>
            </w:tcBorders>
            <w:noWrap/>
            <w:vAlign w:val="center"/>
          </w:tcPr>
          <w:p w14:paraId="1013DFD2">
            <w:pPr>
              <w:pStyle w:val="557"/>
            </w:pPr>
            <w:r>
              <w:rPr>
                <w:rFonts w:hint="eastAsia"/>
              </w:rPr>
              <w:t>-50,-100</w:t>
            </w:r>
          </w:p>
        </w:tc>
        <w:tc>
          <w:tcPr>
            <w:tcW w:w="476" w:type="pct"/>
            <w:tcBorders>
              <w:top w:val="single" w:color="auto" w:sz="4" w:space="0"/>
              <w:left w:val="single" w:color="auto" w:sz="4" w:space="0"/>
              <w:bottom w:val="single" w:color="auto" w:sz="4" w:space="0"/>
              <w:right w:val="single" w:color="auto" w:sz="4" w:space="0"/>
            </w:tcBorders>
            <w:noWrap/>
            <w:vAlign w:val="center"/>
          </w:tcPr>
          <w:p w14:paraId="657E2AF1">
            <w:pPr>
              <w:pStyle w:val="557"/>
            </w:pPr>
            <w:r>
              <w:t>1</w:t>
            </w:r>
            <w:r>
              <w:rPr>
                <w:rFonts w:hint="eastAsia"/>
              </w:rPr>
              <w:t>小时</w:t>
            </w:r>
          </w:p>
        </w:tc>
        <w:tc>
          <w:tcPr>
            <w:tcW w:w="556" w:type="pct"/>
            <w:tcBorders>
              <w:top w:val="single" w:color="auto" w:sz="4" w:space="0"/>
              <w:left w:val="single" w:color="auto" w:sz="4" w:space="0"/>
              <w:bottom w:val="single" w:color="auto" w:sz="4" w:space="0"/>
              <w:right w:val="single" w:color="auto" w:sz="4" w:space="0"/>
            </w:tcBorders>
            <w:noWrap/>
            <w:vAlign w:val="center"/>
          </w:tcPr>
          <w:p w14:paraId="34424D79">
            <w:pPr>
              <w:pStyle w:val="557"/>
            </w:pPr>
            <w:r>
              <w:rPr>
                <w:rFonts w:hint="eastAsia"/>
              </w:rPr>
              <w:t>0.022634</w:t>
            </w:r>
          </w:p>
        </w:tc>
        <w:tc>
          <w:tcPr>
            <w:tcW w:w="503" w:type="pct"/>
            <w:tcBorders>
              <w:top w:val="single" w:color="auto" w:sz="4" w:space="0"/>
              <w:left w:val="single" w:color="auto" w:sz="4" w:space="0"/>
              <w:bottom w:val="single" w:color="auto" w:sz="4" w:space="0"/>
              <w:right w:val="single" w:color="auto" w:sz="4" w:space="0"/>
            </w:tcBorders>
            <w:noWrap/>
            <w:vAlign w:val="center"/>
          </w:tcPr>
          <w:p w14:paraId="6EA2E057">
            <w:pPr>
              <w:pStyle w:val="557"/>
            </w:pPr>
            <w:r>
              <w:rPr>
                <w:rFonts w:hint="eastAsia"/>
              </w:rPr>
              <w:t>23061909</w:t>
            </w:r>
          </w:p>
        </w:tc>
        <w:tc>
          <w:tcPr>
            <w:tcW w:w="512" w:type="pct"/>
            <w:tcBorders>
              <w:top w:val="single" w:color="auto" w:sz="4" w:space="0"/>
              <w:left w:val="single" w:color="auto" w:sz="4" w:space="0"/>
              <w:bottom w:val="single" w:color="auto" w:sz="4" w:space="0"/>
              <w:right w:val="single" w:color="auto" w:sz="4" w:space="0"/>
            </w:tcBorders>
            <w:noWrap/>
            <w:vAlign w:val="center"/>
          </w:tcPr>
          <w:p w14:paraId="79854B16">
            <w:pPr>
              <w:pStyle w:val="557"/>
            </w:pPr>
            <w:r>
              <w:rPr>
                <w:rFonts w:hint="eastAsia"/>
              </w:rPr>
              <w:t>0.2</w:t>
            </w:r>
          </w:p>
        </w:tc>
        <w:tc>
          <w:tcPr>
            <w:tcW w:w="567" w:type="pct"/>
            <w:tcBorders>
              <w:top w:val="single" w:color="auto" w:sz="4" w:space="0"/>
              <w:left w:val="single" w:color="auto" w:sz="4" w:space="0"/>
              <w:bottom w:val="single" w:color="auto" w:sz="4" w:space="0"/>
              <w:right w:val="single" w:color="auto" w:sz="4" w:space="0"/>
            </w:tcBorders>
            <w:noWrap/>
            <w:vAlign w:val="center"/>
          </w:tcPr>
          <w:p w14:paraId="099E70F9">
            <w:pPr>
              <w:pStyle w:val="557"/>
            </w:pPr>
            <w:r>
              <w:rPr>
                <w:rFonts w:hint="eastAsia"/>
              </w:rPr>
              <w:t>11.32</w:t>
            </w:r>
          </w:p>
        </w:tc>
        <w:tc>
          <w:tcPr>
            <w:tcW w:w="417" w:type="pct"/>
            <w:tcBorders>
              <w:top w:val="single" w:color="auto" w:sz="4" w:space="0"/>
              <w:left w:val="single" w:color="auto" w:sz="4" w:space="0"/>
              <w:bottom w:val="single" w:color="auto" w:sz="4" w:space="0"/>
              <w:right w:val="single" w:color="auto" w:sz="4" w:space="0"/>
            </w:tcBorders>
            <w:noWrap/>
            <w:vAlign w:val="center"/>
          </w:tcPr>
          <w:p w14:paraId="1E60BC2D">
            <w:pPr>
              <w:pStyle w:val="557"/>
            </w:pPr>
            <w:r>
              <w:rPr>
                <w:rFonts w:hint="eastAsia"/>
              </w:rPr>
              <w:t>达标</w:t>
            </w:r>
          </w:p>
        </w:tc>
      </w:tr>
      <w:tr w14:paraId="0EB4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10" w:type="pct"/>
            <w:tcBorders>
              <w:left w:val="single" w:color="auto" w:sz="4" w:space="0"/>
              <w:right w:val="single" w:color="auto" w:sz="4" w:space="0"/>
            </w:tcBorders>
            <w:noWrap/>
            <w:vAlign w:val="center"/>
          </w:tcPr>
          <w:p w14:paraId="612BC67F">
            <w:pPr>
              <w:pStyle w:val="557"/>
            </w:pPr>
            <w:r>
              <w:rPr>
                <w:rFonts w:hint="eastAsia"/>
              </w:rPr>
              <w:t>硫酸雾</w:t>
            </w:r>
          </w:p>
        </w:tc>
        <w:tc>
          <w:tcPr>
            <w:tcW w:w="597" w:type="pct"/>
            <w:tcBorders>
              <w:top w:val="single" w:color="auto" w:sz="4" w:space="0"/>
              <w:left w:val="single" w:color="auto" w:sz="4" w:space="0"/>
              <w:bottom w:val="single" w:color="auto" w:sz="4" w:space="0"/>
              <w:right w:val="single" w:color="auto" w:sz="4" w:space="0"/>
            </w:tcBorders>
            <w:noWrap/>
            <w:vAlign w:val="center"/>
          </w:tcPr>
          <w:p w14:paraId="676AED92">
            <w:pPr>
              <w:pStyle w:val="557"/>
            </w:pPr>
            <w:r>
              <w:rPr>
                <w:rFonts w:hint="eastAsia"/>
              </w:rPr>
              <w:t>网格</w:t>
            </w:r>
          </w:p>
        </w:tc>
        <w:tc>
          <w:tcPr>
            <w:tcW w:w="856" w:type="pct"/>
            <w:tcBorders>
              <w:top w:val="single" w:color="auto" w:sz="4" w:space="0"/>
              <w:left w:val="single" w:color="auto" w:sz="4" w:space="0"/>
              <w:bottom w:val="single" w:color="auto" w:sz="4" w:space="0"/>
              <w:right w:val="single" w:color="auto" w:sz="4" w:space="0"/>
            </w:tcBorders>
            <w:noWrap/>
            <w:vAlign w:val="center"/>
          </w:tcPr>
          <w:p w14:paraId="0C28F6CC">
            <w:pPr>
              <w:pStyle w:val="557"/>
            </w:pPr>
            <w:r>
              <w:rPr>
                <w:rFonts w:hint="eastAsia"/>
              </w:rPr>
              <w:t>-50,-100</w:t>
            </w:r>
          </w:p>
        </w:tc>
        <w:tc>
          <w:tcPr>
            <w:tcW w:w="476" w:type="pct"/>
            <w:tcBorders>
              <w:top w:val="single" w:color="auto" w:sz="4" w:space="0"/>
              <w:left w:val="single" w:color="auto" w:sz="4" w:space="0"/>
              <w:bottom w:val="single" w:color="auto" w:sz="4" w:space="0"/>
              <w:right w:val="single" w:color="auto" w:sz="4" w:space="0"/>
            </w:tcBorders>
            <w:noWrap/>
            <w:vAlign w:val="center"/>
          </w:tcPr>
          <w:p w14:paraId="1A90B426">
            <w:pPr>
              <w:pStyle w:val="557"/>
            </w:pPr>
            <w:r>
              <w:t>1</w:t>
            </w:r>
            <w:r>
              <w:rPr>
                <w:rFonts w:hint="eastAsia"/>
              </w:rPr>
              <w:t>小时</w:t>
            </w:r>
          </w:p>
        </w:tc>
        <w:tc>
          <w:tcPr>
            <w:tcW w:w="556" w:type="pct"/>
            <w:tcBorders>
              <w:top w:val="single" w:color="auto" w:sz="4" w:space="0"/>
              <w:left w:val="single" w:color="auto" w:sz="4" w:space="0"/>
              <w:bottom w:val="single" w:color="auto" w:sz="4" w:space="0"/>
              <w:right w:val="single" w:color="auto" w:sz="4" w:space="0"/>
            </w:tcBorders>
            <w:noWrap/>
            <w:vAlign w:val="center"/>
          </w:tcPr>
          <w:p w14:paraId="3C5BC695">
            <w:pPr>
              <w:pStyle w:val="557"/>
            </w:pPr>
            <w:r>
              <w:rPr>
                <w:rFonts w:hint="eastAsia"/>
              </w:rPr>
              <w:t>0.160449</w:t>
            </w:r>
          </w:p>
        </w:tc>
        <w:tc>
          <w:tcPr>
            <w:tcW w:w="503" w:type="pct"/>
            <w:tcBorders>
              <w:top w:val="single" w:color="auto" w:sz="4" w:space="0"/>
              <w:left w:val="single" w:color="auto" w:sz="4" w:space="0"/>
              <w:bottom w:val="single" w:color="auto" w:sz="4" w:space="0"/>
              <w:right w:val="single" w:color="auto" w:sz="4" w:space="0"/>
            </w:tcBorders>
            <w:noWrap/>
            <w:vAlign w:val="center"/>
          </w:tcPr>
          <w:p w14:paraId="27DE257C">
            <w:pPr>
              <w:pStyle w:val="557"/>
            </w:pPr>
            <w:r>
              <w:rPr>
                <w:rFonts w:hint="eastAsia"/>
              </w:rPr>
              <w:t>23061909</w:t>
            </w:r>
          </w:p>
        </w:tc>
        <w:tc>
          <w:tcPr>
            <w:tcW w:w="512" w:type="pct"/>
            <w:tcBorders>
              <w:top w:val="single" w:color="auto" w:sz="4" w:space="0"/>
              <w:left w:val="single" w:color="auto" w:sz="4" w:space="0"/>
              <w:bottom w:val="single" w:color="auto" w:sz="4" w:space="0"/>
              <w:right w:val="single" w:color="auto" w:sz="4" w:space="0"/>
            </w:tcBorders>
            <w:noWrap/>
            <w:vAlign w:val="center"/>
          </w:tcPr>
          <w:p w14:paraId="1050DA58">
            <w:pPr>
              <w:pStyle w:val="557"/>
            </w:pPr>
            <w:r>
              <w:rPr>
                <w:rFonts w:hint="eastAsia"/>
              </w:rPr>
              <w:t>0.3</w:t>
            </w:r>
          </w:p>
        </w:tc>
        <w:tc>
          <w:tcPr>
            <w:tcW w:w="567" w:type="pct"/>
            <w:tcBorders>
              <w:top w:val="single" w:color="auto" w:sz="4" w:space="0"/>
              <w:left w:val="single" w:color="auto" w:sz="4" w:space="0"/>
              <w:bottom w:val="single" w:color="auto" w:sz="4" w:space="0"/>
              <w:right w:val="single" w:color="auto" w:sz="4" w:space="0"/>
            </w:tcBorders>
            <w:noWrap/>
            <w:vAlign w:val="center"/>
          </w:tcPr>
          <w:p w14:paraId="08D522B6">
            <w:pPr>
              <w:pStyle w:val="557"/>
            </w:pPr>
            <w:r>
              <w:rPr>
                <w:rFonts w:hint="eastAsia"/>
              </w:rPr>
              <w:t>53.48</w:t>
            </w:r>
          </w:p>
        </w:tc>
        <w:tc>
          <w:tcPr>
            <w:tcW w:w="417" w:type="pct"/>
            <w:tcBorders>
              <w:top w:val="single" w:color="auto" w:sz="4" w:space="0"/>
              <w:left w:val="single" w:color="auto" w:sz="4" w:space="0"/>
              <w:bottom w:val="single" w:color="auto" w:sz="4" w:space="0"/>
              <w:right w:val="single" w:color="auto" w:sz="4" w:space="0"/>
            </w:tcBorders>
            <w:noWrap/>
            <w:vAlign w:val="center"/>
          </w:tcPr>
          <w:p w14:paraId="73A15131">
            <w:pPr>
              <w:pStyle w:val="557"/>
            </w:pPr>
            <w:r>
              <w:rPr>
                <w:rFonts w:hint="eastAsia"/>
              </w:rPr>
              <w:t>达标</w:t>
            </w:r>
          </w:p>
        </w:tc>
      </w:tr>
      <w:tr w14:paraId="3E66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ign w:val="center"/>
          </w:tcPr>
          <w:p w14:paraId="47D12ADE">
            <w:pPr>
              <w:pStyle w:val="557"/>
            </w:pPr>
            <w:r>
              <w:rPr>
                <w:rFonts w:hint="eastAsia"/>
              </w:rPr>
              <w:t>燃气锅炉脱硝除尘措施失效</w:t>
            </w:r>
          </w:p>
        </w:tc>
      </w:tr>
      <w:tr w14:paraId="0D30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771D9DC3">
            <w:pPr>
              <w:pStyle w:val="557"/>
              <w:rPr>
                <w:lang w:val="zh-CN" w:bidi="en-US"/>
              </w:rPr>
            </w:pPr>
            <w:r>
              <w:rPr>
                <w:rFonts w:hint="eastAsia"/>
              </w:rPr>
              <w:t>N</w:t>
            </w:r>
            <w:r>
              <w:t>O</w:t>
            </w:r>
            <w:r>
              <w:rPr>
                <w:vertAlign w:val="subscript"/>
              </w:rPr>
              <w:t>2</w:t>
            </w:r>
          </w:p>
        </w:tc>
        <w:tc>
          <w:tcPr>
            <w:tcW w:w="597" w:type="pct"/>
            <w:tcBorders>
              <w:top w:val="single" w:color="auto" w:sz="4" w:space="0"/>
              <w:left w:val="single" w:color="auto" w:sz="4" w:space="0"/>
              <w:bottom w:val="single" w:color="auto" w:sz="4" w:space="0"/>
              <w:right w:val="single" w:color="auto" w:sz="4" w:space="0"/>
            </w:tcBorders>
            <w:noWrap/>
            <w:vAlign w:val="center"/>
          </w:tcPr>
          <w:p w14:paraId="463A3C1F">
            <w:pPr>
              <w:pStyle w:val="557"/>
            </w:pPr>
            <w:r>
              <w:rPr>
                <w:rFonts w:hint="eastAsia"/>
              </w:rPr>
              <w:t>网格</w:t>
            </w:r>
          </w:p>
        </w:tc>
        <w:tc>
          <w:tcPr>
            <w:tcW w:w="856" w:type="pct"/>
            <w:tcBorders>
              <w:top w:val="single" w:color="auto" w:sz="4" w:space="0"/>
              <w:left w:val="single" w:color="auto" w:sz="4" w:space="0"/>
              <w:bottom w:val="single" w:color="auto" w:sz="4" w:space="0"/>
              <w:right w:val="single" w:color="auto" w:sz="4" w:space="0"/>
            </w:tcBorders>
            <w:noWrap/>
            <w:vAlign w:val="center"/>
          </w:tcPr>
          <w:p w14:paraId="43215BE3">
            <w:pPr>
              <w:pStyle w:val="557"/>
            </w:pPr>
            <w:r>
              <w:rPr>
                <w:rFonts w:hint="eastAsia"/>
              </w:rPr>
              <w:t>-50,-100</w:t>
            </w:r>
          </w:p>
        </w:tc>
        <w:tc>
          <w:tcPr>
            <w:tcW w:w="476" w:type="pct"/>
            <w:tcBorders>
              <w:top w:val="single" w:color="auto" w:sz="4" w:space="0"/>
              <w:left w:val="single" w:color="auto" w:sz="4" w:space="0"/>
              <w:bottom w:val="single" w:color="auto" w:sz="4" w:space="0"/>
              <w:right w:val="single" w:color="auto" w:sz="4" w:space="0"/>
            </w:tcBorders>
            <w:noWrap/>
            <w:vAlign w:val="center"/>
          </w:tcPr>
          <w:p w14:paraId="71CED925">
            <w:pPr>
              <w:pStyle w:val="557"/>
            </w:pPr>
            <w:r>
              <w:t>1</w:t>
            </w:r>
            <w:r>
              <w:rPr>
                <w:rFonts w:hint="eastAsia"/>
              </w:rPr>
              <w:t>小时</w:t>
            </w:r>
          </w:p>
        </w:tc>
        <w:tc>
          <w:tcPr>
            <w:tcW w:w="556" w:type="pct"/>
            <w:tcBorders>
              <w:top w:val="single" w:color="auto" w:sz="4" w:space="0"/>
              <w:left w:val="single" w:color="auto" w:sz="4" w:space="0"/>
              <w:bottom w:val="single" w:color="auto" w:sz="4" w:space="0"/>
              <w:right w:val="single" w:color="auto" w:sz="4" w:space="0"/>
            </w:tcBorders>
            <w:noWrap/>
            <w:vAlign w:val="center"/>
          </w:tcPr>
          <w:p w14:paraId="276D5DCC">
            <w:pPr>
              <w:pStyle w:val="557"/>
            </w:pPr>
            <w:r>
              <w:rPr>
                <w:rFonts w:hint="eastAsia"/>
              </w:rPr>
              <w:t>0.011653</w:t>
            </w:r>
          </w:p>
        </w:tc>
        <w:tc>
          <w:tcPr>
            <w:tcW w:w="503" w:type="pct"/>
            <w:tcBorders>
              <w:top w:val="single" w:color="auto" w:sz="4" w:space="0"/>
              <w:left w:val="single" w:color="auto" w:sz="4" w:space="0"/>
              <w:bottom w:val="single" w:color="auto" w:sz="4" w:space="0"/>
              <w:right w:val="single" w:color="auto" w:sz="4" w:space="0"/>
            </w:tcBorders>
            <w:noWrap/>
            <w:vAlign w:val="center"/>
          </w:tcPr>
          <w:p w14:paraId="29B4309B">
            <w:pPr>
              <w:pStyle w:val="557"/>
            </w:pPr>
            <w:r>
              <w:rPr>
                <w:rFonts w:hint="eastAsia"/>
              </w:rPr>
              <w:t>23061909</w:t>
            </w:r>
          </w:p>
        </w:tc>
        <w:tc>
          <w:tcPr>
            <w:tcW w:w="512" w:type="pct"/>
            <w:tcBorders>
              <w:top w:val="single" w:color="auto" w:sz="4" w:space="0"/>
              <w:left w:val="single" w:color="auto" w:sz="4" w:space="0"/>
              <w:bottom w:val="single" w:color="auto" w:sz="4" w:space="0"/>
              <w:right w:val="single" w:color="auto" w:sz="4" w:space="0"/>
            </w:tcBorders>
            <w:noWrap/>
            <w:vAlign w:val="center"/>
          </w:tcPr>
          <w:p w14:paraId="00B96774">
            <w:pPr>
              <w:pStyle w:val="557"/>
            </w:pPr>
            <w:r>
              <w:rPr>
                <w:rFonts w:hint="eastAsia"/>
              </w:rPr>
              <w:t>0.2</w:t>
            </w:r>
          </w:p>
        </w:tc>
        <w:tc>
          <w:tcPr>
            <w:tcW w:w="567" w:type="pct"/>
            <w:tcBorders>
              <w:top w:val="single" w:color="auto" w:sz="4" w:space="0"/>
              <w:left w:val="single" w:color="auto" w:sz="4" w:space="0"/>
              <w:bottom w:val="single" w:color="auto" w:sz="4" w:space="0"/>
              <w:right w:val="single" w:color="auto" w:sz="4" w:space="0"/>
            </w:tcBorders>
            <w:noWrap/>
            <w:vAlign w:val="center"/>
          </w:tcPr>
          <w:p w14:paraId="63C28902">
            <w:pPr>
              <w:pStyle w:val="557"/>
            </w:pPr>
            <w:r>
              <w:rPr>
                <w:rFonts w:hint="eastAsia"/>
              </w:rPr>
              <w:t>5.83</w:t>
            </w:r>
          </w:p>
        </w:tc>
        <w:tc>
          <w:tcPr>
            <w:tcW w:w="417" w:type="pct"/>
            <w:tcBorders>
              <w:top w:val="single" w:color="auto" w:sz="4" w:space="0"/>
              <w:left w:val="single" w:color="auto" w:sz="4" w:space="0"/>
              <w:bottom w:val="single" w:color="auto" w:sz="4" w:space="0"/>
              <w:right w:val="single" w:color="auto" w:sz="4" w:space="0"/>
            </w:tcBorders>
            <w:noWrap/>
            <w:vAlign w:val="center"/>
          </w:tcPr>
          <w:p w14:paraId="390EF096">
            <w:pPr>
              <w:pStyle w:val="557"/>
            </w:pPr>
            <w:r>
              <w:rPr>
                <w:rFonts w:hint="eastAsia"/>
              </w:rPr>
              <w:t>达标</w:t>
            </w:r>
          </w:p>
        </w:tc>
      </w:tr>
    </w:tbl>
    <w:p w14:paraId="1ACA119D">
      <w:pPr>
        <w:pStyle w:val="557"/>
      </w:pPr>
    </w:p>
    <w:p w14:paraId="5512644A">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从非正常工况</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小时落地浓度预测结果可知，当硫回收装置发生故障/燃煤锅炉烟气治理措施出现故障，主要污染物</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非正常排放会对区域环境空气质量产生较大影响：各污染物落地浓度大幅增加，最大值出现超标。</w:t>
      </w:r>
    </w:p>
    <w:p w14:paraId="3D9E43D3">
      <w:pPr>
        <w:pStyle w:val="281"/>
        <w:ind w:firstLine="48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项目运营需加强生产管理，尽量减少非计划装置开停车，并缩短开停车时间，同时避免环保设施不正常运行，减少事故排放对周围大气环境及敏感目标的影响。</w:t>
      </w:r>
    </w:p>
    <w:p w14:paraId="7B9CC06D">
      <w:pPr>
        <w:pStyle w:val="98"/>
        <w:numPr>
          <w:ilvl w:val="3"/>
          <w:numId w:val="8"/>
        </w:numPr>
        <w:ind w:left="0"/>
        <w:rPr>
          <w:rFonts w:hint="eastAsia"/>
        </w:rPr>
      </w:pPr>
      <w:r>
        <w:rPr>
          <w:rFonts w:hint="eastAsia"/>
        </w:rPr>
        <w:t>交通运输源大气环境影响分析</w:t>
      </w:r>
    </w:p>
    <w:p w14:paraId="478F207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来说，道路愈清洁、车速愈慢，产生的扬尘就愈小，运输道路扬尘在自然风作用下的影响范围一般在100m以内。本项目进出厂运输道路为硬化路，较清洁，扬尘产生量少，因此对沿线环境影响相对较小。汽车排放的含有CO、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等有害烟气是又一污染源，特别是载重汽车排放的烟气量较空车大，对公路附近和厂区物料场附近的环境空气质量形成一定影响。</w:t>
      </w:r>
    </w:p>
    <w:p w14:paraId="58DC58DB">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另外，载重车辆频繁地进出评价区，而且装载的物料部分为粉料，有可能使物料逸散，使汽车驶过的道路两边一定范围短时间内环境空气中飘尘污染较重，影响行人、附近城镇村民等的健康，飘尘还将使道路两旁近距离的植物叶面透气孔受到堵塞，影响植物的光合作用，从而影响植物的正常生长。</w:t>
      </w:r>
    </w:p>
    <w:p w14:paraId="1849A02E">
      <w:pPr>
        <w:pStyle w:val="98"/>
        <w:numPr>
          <w:ilvl w:val="3"/>
          <w:numId w:val="8"/>
        </w:numPr>
        <w:ind w:left="0"/>
        <w:rPr>
          <w:rFonts w:hint="eastAsia"/>
        </w:rPr>
      </w:pPr>
      <w:r>
        <w:rPr>
          <w:rFonts w:hint="eastAsia"/>
        </w:rPr>
        <w:t>大气环境防护距离</w:t>
      </w:r>
    </w:p>
    <w:p w14:paraId="5B92B749">
      <w:pPr>
        <w:pStyle w:val="281"/>
        <w:ind w:firstLine="480"/>
      </w:pPr>
      <w:r>
        <w:rPr>
          <w:rFonts w:hint="eastAsia"/>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268E5CAA">
      <w:pPr>
        <w:pStyle w:val="281"/>
        <w:ind w:firstLine="480"/>
        <w:rPr>
          <w:spacing w:val="8"/>
        </w:rPr>
      </w:pPr>
      <w:r>
        <w:rPr>
          <w:rFonts w:hint="eastAsia"/>
        </w:rPr>
        <w:t>本项目为新建项目，全厂无现有污染源，采用进一步预测模型模拟评价基准年内本项目所有污染源对厂界外主要污染物的短期贡献浓度分布。根据预测结果，主要污染物</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w:t>
      </w:r>
      <w:r>
        <w:t>NH</w:t>
      </w:r>
      <w:r>
        <w:rPr>
          <w:vertAlign w:val="subscript"/>
        </w:rPr>
        <w:t>3</w:t>
      </w:r>
      <w:r>
        <w:rPr>
          <w:rFonts w:hint="eastAsia"/>
        </w:rPr>
        <w:t>、</w:t>
      </w:r>
      <w:r>
        <w:t>H</w:t>
      </w:r>
      <w:r>
        <w:rPr>
          <w:vertAlign w:val="subscript"/>
        </w:rPr>
        <w:t>2</w:t>
      </w:r>
      <w:r>
        <w:t>S</w:t>
      </w:r>
      <w:r>
        <w:rPr>
          <w:rFonts w:hint="eastAsia"/>
        </w:rPr>
        <w:t>、</w:t>
      </w:r>
      <w:r>
        <w:t>NMHC</w:t>
      </w:r>
      <w:r>
        <w:rPr>
          <w:rFonts w:hint="eastAsia"/>
        </w:rPr>
        <w:t>、硫酸和甲醇等的短期贡献浓度均未超过环境质量浓度限值，在厂界附近不存在短期落地浓度贡献值超过环境质量短期浓度限值的网格点，大气环境防护距离计算为</w:t>
      </w:r>
      <w:r>
        <w:t>0m</w:t>
      </w:r>
      <w:r>
        <w:rPr>
          <w:rFonts w:hint="eastAsia"/>
        </w:rPr>
        <w:t>，即不设置大气环境防护距离。</w:t>
      </w:r>
    </w:p>
    <w:p w14:paraId="3E85A3E0">
      <w:pPr>
        <w:pStyle w:val="97"/>
        <w:rPr>
          <w:rFonts w:hint="eastAsia"/>
        </w:rPr>
      </w:pPr>
      <w:r>
        <w:t>污染物排放量核算</w:t>
      </w:r>
    </w:p>
    <w:p w14:paraId="27EC921B">
      <w:pPr>
        <w:pStyle w:val="281"/>
        <w:ind w:firstLine="480"/>
      </w:pPr>
      <w:r>
        <w:t>本环评按照导则8.8.7要求，根据最终确定的污染治理设施、预防措施及排污方案，确定本项目所有新增污染源大气排污节点、排放污染物、污染治理设施与预防措施以及大气排放口基本情况。</w:t>
      </w:r>
    </w:p>
    <w:p w14:paraId="39ADE575">
      <w:pPr>
        <w:pStyle w:val="98"/>
        <w:rPr>
          <w:rFonts w:hint="eastAsia"/>
        </w:rPr>
      </w:pPr>
      <w:r>
        <w:t>有组织排放量核算</w:t>
      </w:r>
    </w:p>
    <w:p w14:paraId="5F489690">
      <w:pPr>
        <w:pStyle w:val="281"/>
        <w:ind w:firstLine="480"/>
        <w:rPr>
          <w:rFonts w:hint="eastAsia" w:ascii="宋体" w:hAnsi="宋体"/>
        </w:rPr>
      </w:pPr>
      <w:r>
        <w:rPr>
          <w:rFonts w:hint="eastAsia" w:ascii="宋体" w:hAnsi="宋体"/>
        </w:rPr>
        <w:t>本项目大气污染物有组织排放量核算见表</w:t>
      </w:r>
      <w:r>
        <w:rPr>
          <w:rFonts w:hint="eastAsia"/>
        </w:rPr>
        <w:t>5.2</w:t>
      </w:r>
      <w:r>
        <w:t>.9</w:t>
      </w:r>
      <w:r>
        <w:rPr>
          <w:rFonts w:hint="eastAsia"/>
        </w:rPr>
        <w:t>-</w:t>
      </w:r>
      <w:r>
        <w:t>1</w:t>
      </w:r>
      <w:r>
        <w:rPr>
          <w:rFonts w:hint="eastAsia" w:ascii="宋体" w:hAnsi="宋体"/>
        </w:rPr>
        <w:t>。</w:t>
      </w:r>
    </w:p>
    <w:p w14:paraId="7EC50313">
      <w:pPr>
        <w:pStyle w:val="114"/>
        <w:rPr>
          <w:rFonts w:hint="eastAsia" w:ascii="宋体"/>
        </w:rPr>
      </w:pPr>
      <w:r>
        <w:rPr>
          <w:rFonts w:hint="eastAsia" w:ascii="宋体" w:eastAsia="宋体"/>
        </w:rPr>
        <w:t>表</w:t>
      </w:r>
      <w:r>
        <w:rPr>
          <w:rFonts w:hint="eastAsia"/>
        </w:rPr>
        <w:t>5.2</w:t>
      </w:r>
      <w:r>
        <w:t>.9</w:t>
      </w:r>
      <w:r>
        <w:rPr>
          <w:rFonts w:hint="eastAsia"/>
        </w:rPr>
        <w:t>-</w:t>
      </w:r>
      <w:r>
        <w:rPr>
          <w:rFonts w:eastAsia="宋体"/>
        </w:rPr>
        <w:t xml:space="preserve">1    </w:t>
      </w:r>
      <w:r>
        <w:rPr>
          <w:rFonts w:ascii="Times New Roman" w:hAnsi="Times New Roman"/>
        </w:rPr>
        <w:t>大气污染物有组织排放</w:t>
      </w:r>
      <w:r>
        <w:rPr>
          <w:rFonts w:hint="eastAsia" w:ascii="Times New Roman" w:hAnsi="Times New Roman"/>
        </w:rPr>
        <w:t>核算</w:t>
      </w:r>
      <w:r>
        <w:rPr>
          <w:rFonts w:ascii="Times New Roman" w:hAnsi="Times New Roman"/>
        </w:rPr>
        <w:t>表</w:t>
      </w:r>
    </w:p>
    <w:tbl>
      <w:tblPr>
        <w:tblStyle w:val="65"/>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83"/>
        <w:gridCol w:w="2038"/>
        <w:gridCol w:w="1459"/>
        <w:gridCol w:w="1164"/>
        <w:gridCol w:w="1025"/>
        <w:gridCol w:w="1098"/>
      </w:tblGrid>
      <w:tr w14:paraId="1034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9" w:type="pct"/>
            <w:vMerge w:val="restart"/>
            <w:vAlign w:val="center"/>
          </w:tcPr>
          <w:p w14:paraId="6713FE44">
            <w:pPr>
              <w:pStyle w:val="557"/>
            </w:pPr>
            <w:r>
              <w:t>序号</w:t>
            </w:r>
          </w:p>
        </w:tc>
        <w:tc>
          <w:tcPr>
            <w:tcW w:w="1888" w:type="pct"/>
            <w:gridSpan w:val="2"/>
            <w:vMerge w:val="restart"/>
            <w:vAlign w:val="center"/>
          </w:tcPr>
          <w:p w14:paraId="050E550B">
            <w:pPr>
              <w:pStyle w:val="557"/>
            </w:pPr>
            <w:r>
              <w:t>排放口编号</w:t>
            </w:r>
          </w:p>
        </w:tc>
        <w:tc>
          <w:tcPr>
            <w:tcW w:w="855" w:type="pct"/>
            <w:vMerge w:val="restart"/>
            <w:vAlign w:val="center"/>
          </w:tcPr>
          <w:p w14:paraId="11E12E69">
            <w:pPr>
              <w:pStyle w:val="557"/>
            </w:pPr>
            <w:r>
              <w:t>污染物</w:t>
            </w:r>
          </w:p>
        </w:tc>
        <w:tc>
          <w:tcPr>
            <w:tcW w:w="682" w:type="pct"/>
            <w:vMerge w:val="restart"/>
            <w:vAlign w:val="center"/>
          </w:tcPr>
          <w:p w14:paraId="06BE3A74">
            <w:pPr>
              <w:pStyle w:val="557"/>
            </w:pPr>
            <w:r>
              <w:t>核算排放浓度/（mg/m</w:t>
            </w:r>
            <w:r>
              <w:rPr>
                <w:vertAlign w:val="superscript"/>
              </w:rPr>
              <w:t>3</w:t>
            </w:r>
            <w:r>
              <w:t>）</w:t>
            </w:r>
          </w:p>
        </w:tc>
        <w:tc>
          <w:tcPr>
            <w:tcW w:w="601" w:type="pct"/>
            <w:vMerge w:val="restart"/>
            <w:vAlign w:val="center"/>
          </w:tcPr>
          <w:p w14:paraId="4AD5327B">
            <w:pPr>
              <w:pStyle w:val="557"/>
            </w:pPr>
            <w:r>
              <w:t>核算排放速率/（kg/h）</w:t>
            </w:r>
          </w:p>
        </w:tc>
        <w:tc>
          <w:tcPr>
            <w:tcW w:w="644" w:type="pct"/>
            <w:vMerge w:val="restart"/>
            <w:vAlign w:val="center"/>
          </w:tcPr>
          <w:p w14:paraId="6FFE7751">
            <w:pPr>
              <w:pStyle w:val="557"/>
            </w:pPr>
            <w:r>
              <w:t>核算年排放量/（t/a）</w:t>
            </w:r>
          </w:p>
        </w:tc>
      </w:tr>
      <w:tr w14:paraId="25AA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9" w:type="pct"/>
            <w:vMerge w:val="continue"/>
            <w:vAlign w:val="center"/>
          </w:tcPr>
          <w:p w14:paraId="40BDDF3D">
            <w:pPr>
              <w:pStyle w:val="557"/>
            </w:pPr>
          </w:p>
        </w:tc>
        <w:tc>
          <w:tcPr>
            <w:tcW w:w="1888" w:type="pct"/>
            <w:gridSpan w:val="2"/>
            <w:vMerge w:val="continue"/>
            <w:vAlign w:val="center"/>
          </w:tcPr>
          <w:p w14:paraId="4F29F4EF">
            <w:pPr>
              <w:pStyle w:val="557"/>
            </w:pPr>
          </w:p>
        </w:tc>
        <w:tc>
          <w:tcPr>
            <w:tcW w:w="855" w:type="pct"/>
            <w:vMerge w:val="continue"/>
            <w:vAlign w:val="center"/>
          </w:tcPr>
          <w:p w14:paraId="17A6637F">
            <w:pPr>
              <w:pStyle w:val="557"/>
            </w:pPr>
          </w:p>
        </w:tc>
        <w:tc>
          <w:tcPr>
            <w:tcW w:w="682" w:type="pct"/>
            <w:vMerge w:val="continue"/>
            <w:vAlign w:val="center"/>
          </w:tcPr>
          <w:p w14:paraId="6543BD7A">
            <w:pPr>
              <w:pStyle w:val="557"/>
            </w:pPr>
          </w:p>
        </w:tc>
        <w:tc>
          <w:tcPr>
            <w:tcW w:w="601" w:type="pct"/>
            <w:vMerge w:val="continue"/>
            <w:vAlign w:val="center"/>
          </w:tcPr>
          <w:p w14:paraId="72C8CFF4">
            <w:pPr>
              <w:pStyle w:val="557"/>
            </w:pPr>
          </w:p>
        </w:tc>
        <w:tc>
          <w:tcPr>
            <w:tcW w:w="644" w:type="pct"/>
            <w:vMerge w:val="continue"/>
            <w:vAlign w:val="center"/>
          </w:tcPr>
          <w:p w14:paraId="1CDEAD4B">
            <w:pPr>
              <w:pStyle w:val="557"/>
            </w:pPr>
          </w:p>
        </w:tc>
      </w:tr>
      <w:tr w14:paraId="7662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7"/>
            <w:vAlign w:val="center"/>
          </w:tcPr>
          <w:p w14:paraId="24B6081F">
            <w:pPr>
              <w:pStyle w:val="557"/>
            </w:pPr>
            <w:r>
              <w:t>主要排放口</w:t>
            </w:r>
          </w:p>
        </w:tc>
      </w:tr>
      <w:tr w14:paraId="220B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35798061">
            <w:pPr>
              <w:pStyle w:val="557"/>
            </w:pPr>
            <w:r>
              <w:rPr>
                <w:rFonts w:hint="eastAsia"/>
              </w:rPr>
              <w:t>1</w:t>
            </w:r>
          </w:p>
        </w:tc>
        <w:tc>
          <w:tcPr>
            <w:tcW w:w="694" w:type="pct"/>
            <w:vMerge w:val="restart"/>
            <w:vAlign w:val="center"/>
          </w:tcPr>
          <w:p w14:paraId="113EE7E0">
            <w:pPr>
              <w:pStyle w:val="557"/>
            </w:pPr>
            <w:r>
              <w:t>DA02-00</w:t>
            </w:r>
            <w:r>
              <w:rPr>
                <w:rFonts w:hint="eastAsia"/>
              </w:rPr>
              <w:t>2</w:t>
            </w:r>
          </w:p>
        </w:tc>
        <w:tc>
          <w:tcPr>
            <w:tcW w:w="1195" w:type="pct"/>
            <w:vMerge w:val="restart"/>
            <w:vAlign w:val="center"/>
          </w:tcPr>
          <w:p w14:paraId="35523FA9">
            <w:pPr>
              <w:pStyle w:val="557"/>
            </w:pPr>
            <w:r>
              <w:rPr>
                <w:rFonts w:hint="eastAsia" w:ascii="宋体" w:hAnsi="宋体" w:cs="宋体"/>
                <w:kern w:val="0"/>
                <w:lang w:bidi="ar"/>
              </w:rPr>
              <w:t>硫回收制酸尾气</w:t>
            </w:r>
          </w:p>
        </w:tc>
        <w:tc>
          <w:tcPr>
            <w:tcW w:w="855" w:type="pct"/>
            <w:vAlign w:val="center"/>
          </w:tcPr>
          <w:p w14:paraId="2F611495">
            <w:pPr>
              <w:pStyle w:val="557"/>
            </w:pPr>
            <w:r>
              <w:t>SO</w:t>
            </w:r>
            <w:r>
              <w:rPr>
                <w:vertAlign w:val="subscript"/>
              </w:rPr>
              <w:t>2</w:t>
            </w:r>
          </w:p>
        </w:tc>
        <w:tc>
          <w:tcPr>
            <w:tcW w:w="682" w:type="pct"/>
            <w:vAlign w:val="center"/>
          </w:tcPr>
          <w:p w14:paraId="3A5F57F8">
            <w:pPr>
              <w:pStyle w:val="557"/>
            </w:pPr>
            <w:r>
              <w:rPr>
                <w:kern w:val="0"/>
                <w:lang w:bidi="ar"/>
              </w:rPr>
              <w:t>183.27</w:t>
            </w:r>
          </w:p>
        </w:tc>
        <w:tc>
          <w:tcPr>
            <w:tcW w:w="601" w:type="pct"/>
            <w:vAlign w:val="center"/>
          </w:tcPr>
          <w:p w14:paraId="76BE95A3">
            <w:pPr>
              <w:pStyle w:val="557"/>
            </w:pPr>
            <w:r>
              <w:rPr>
                <w:kern w:val="0"/>
                <w:lang w:bidi="ar"/>
              </w:rPr>
              <w:t xml:space="preserve">2.02 </w:t>
            </w:r>
          </w:p>
        </w:tc>
        <w:tc>
          <w:tcPr>
            <w:tcW w:w="644" w:type="pct"/>
            <w:vAlign w:val="center"/>
          </w:tcPr>
          <w:p w14:paraId="087F9889">
            <w:pPr>
              <w:pStyle w:val="557"/>
            </w:pPr>
            <w:r>
              <w:rPr>
                <w:kern w:val="0"/>
                <w:lang w:bidi="ar"/>
              </w:rPr>
              <w:t xml:space="preserve">16.13 </w:t>
            </w:r>
          </w:p>
        </w:tc>
      </w:tr>
      <w:tr w14:paraId="6FBE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2E1CF4DE">
            <w:pPr>
              <w:pStyle w:val="557"/>
            </w:pPr>
          </w:p>
        </w:tc>
        <w:tc>
          <w:tcPr>
            <w:tcW w:w="694" w:type="pct"/>
            <w:vMerge w:val="continue"/>
            <w:vAlign w:val="center"/>
          </w:tcPr>
          <w:p w14:paraId="27EABAD9">
            <w:pPr>
              <w:pStyle w:val="557"/>
            </w:pPr>
          </w:p>
        </w:tc>
        <w:tc>
          <w:tcPr>
            <w:tcW w:w="1195" w:type="pct"/>
            <w:vMerge w:val="continue"/>
            <w:vAlign w:val="center"/>
          </w:tcPr>
          <w:p w14:paraId="730ED445">
            <w:pPr>
              <w:pStyle w:val="557"/>
            </w:pPr>
          </w:p>
        </w:tc>
        <w:tc>
          <w:tcPr>
            <w:tcW w:w="855" w:type="pct"/>
            <w:vAlign w:val="center"/>
          </w:tcPr>
          <w:p w14:paraId="1AF2592C">
            <w:pPr>
              <w:pStyle w:val="557"/>
            </w:pPr>
            <w:r>
              <w:rPr>
                <w:rFonts w:hint="eastAsia"/>
              </w:rPr>
              <w:t>硫酸雾</w:t>
            </w:r>
          </w:p>
        </w:tc>
        <w:tc>
          <w:tcPr>
            <w:tcW w:w="682" w:type="pct"/>
            <w:vAlign w:val="center"/>
          </w:tcPr>
          <w:p w14:paraId="5E53BB6F">
            <w:pPr>
              <w:pStyle w:val="557"/>
            </w:pPr>
            <w:r>
              <w:rPr>
                <w:kern w:val="0"/>
                <w:lang w:bidi="ar"/>
              </w:rPr>
              <w:t>26.1</w:t>
            </w:r>
          </w:p>
        </w:tc>
        <w:tc>
          <w:tcPr>
            <w:tcW w:w="601" w:type="pct"/>
            <w:vAlign w:val="center"/>
          </w:tcPr>
          <w:p w14:paraId="4D4A71FB">
            <w:pPr>
              <w:pStyle w:val="557"/>
            </w:pPr>
            <w:r>
              <w:rPr>
                <w:kern w:val="0"/>
                <w:lang w:bidi="ar"/>
              </w:rPr>
              <w:t xml:space="preserve">0.29 </w:t>
            </w:r>
          </w:p>
        </w:tc>
        <w:tc>
          <w:tcPr>
            <w:tcW w:w="644" w:type="pct"/>
            <w:vAlign w:val="center"/>
          </w:tcPr>
          <w:p w14:paraId="3C039029">
            <w:pPr>
              <w:pStyle w:val="557"/>
            </w:pPr>
            <w:r>
              <w:rPr>
                <w:kern w:val="0"/>
                <w:lang w:bidi="ar"/>
              </w:rPr>
              <w:t xml:space="preserve">2.30 </w:t>
            </w:r>
          </w:p>
        </w:tc>
      </w:tr>
      <w:tr w14:paraId="17A1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7418A5DF">
            <w:pPr>
              <w:pStyle w:val="557"/>
            </w:pPr>
          </w:p>
        </w:tc>
        <w:tc>
          <w:tcPr>
            <w:tcW w:w="694" w:type="pct"/>
            <w:vMerge w:val="continue"/>
            <w:vAlign w:val="center"/>
          </w:tcPr>
          <w:p w14:paraId="70A040A3">
            <w:pPr>
              <w:pStyle w:val="557"/>
            </w:pPr>
          </w:p>
        </w:tc>
        <w:tc>
          <w:tcPr>
            <w:tcW w:w="1195" w:type="pct"/>
            <w:vMerge w:val="continue"/>
            <w:vAlign w:val="center"/>
          </w:tcPr>
          <w:p w14:paraId="4EDCAB52">
            <w:pPr>
              <w:pStyle w:val="557"/>
            </w:pPr>
          </w:p>
        </w:tc>
        <w:tc>
          <w:tcPr>
            <w:tcW w:w="855" w:type="pct"/>
            <w:vAlign w:val="center"/>
          </w:tcPr>
          <w:p w14:paraId="02A5373E">
            <w:pPr>
              <w:pStyle w:val="557"/>
            </w:pPr>
            <w:r>
              <w:t>NOx</w:t>
            </w:r>
          </w:p>
        </w:tc>
        <w:tc>
          <w:tcPr>
            <w:tcW w:w="682" w:type="pct"/>
            <w:vAlign w:val="center"/>
          </w:tcPr>
          <w:p w14:paraId="1744FFD2">
            <w:pPr>
              <w:pStyle w:val="557"/>
            </w:pPr>
            <w:r>
              <w:rPr>
                <w:kern w:val="0"/>
                <w:lang w:bidi="ar"/>
              </w:rPr>
              <w:t xml:space="preserve">136.36 </w:t>
            </w:r>
          </w:p>
        </w:tc>
        <w:tc>
          <w:tcPr>
            <w:tcW w:w="601" w:type="pct"/>
            <w:vAlign w:val="center"/>
          </w:tcPr>
          <w:p w14:paraId="4D16DAE8">
            <w:pPr>
              <w:pStyle w:val="557"/>
            </w:pPr>
            <w:r>
              <w:rPr>
                <w:kern w:val="0"/>
                <w:lang w:bidi="ar"/>
              </w:rPr>
              <w:t>1.5</w:t>
            </w:r>
          </w:p>
        </w:tc>
        <w:tc>
          <w:tcPr>
            <w:tcW w:w="644" w:type="pct"/>
            <w:vAlign w:val="center"/>
          </w:tcPr>
          <w:p w14:paraId="00D8C8EE">
            <w:pPr>
              <w:pStyle w:val="557"/>
            </w:pPr>
            <w:r>
              <w:rPr>
                <w:kern w:val="0"/>
                <w:lang w:bidi="ar"/>
              </w:rPr>
              <w:t>12</w:t>
            </w:r>
          </w:p>
        </w:tc>
      </w:tr>
      <w:tr w14:paraId="39C4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197022B7">
            <w:pPr>
              <w:pStyle w:val="557"/>
            </w:pPr>
            <w:r>
              <w:rPr>
                <w:rFonts w:hint="eastAsia"/>
              </w:rPr>
              <w:t>2</w:t>
            </w:r>
          </w:p>
        </w:tc>
        <w:tc>
          <w:tcPr>
            <w:tcW w:w="694" w:type="pct"/>
            <w:vMerge w:val="restart"/>
            <w:vAlign w:val="center"/>
          </w:tcPr>
          <w:p w14:paraId="7DF07C3D">
            <w:pPr>
              <w:pStyle w:val="557"/>
            </w:pPr>
            <w:r>
              <w:t>DA0</w:t>
            </w:r>
            <w:r>
              <w:rPr>
                <w:rFonts w:hint="eastAsia"/>
              </w:rPr>
              <w:t>6</w:t>
            </w:r>
            <w:r>
              <w:t>-001</w:t>
            </w:r>
          </w:p>
        </w:tc>
        <w:tc>
          <w:tcPr>
            <w:tcW w:w="1195" w:type="pct"/>
            <w:vMerge w:val="restart"/>
            <w:vAlign w:val="center"/>
          </w:tcPr>
          <w:p w14:paraId="0DDB29BC">
            <w:pPr>
              <w:pStyle w:val="557"/>
              <w:rPr>
                <w:rFonts w:hint="eastAsia" w:ascii="宋体" w:hAnsi="宋体" w:cs="宋体"/>
                <w:kern w:val="0"/>
                <w:lang w:bidi="ar"/>
              </w:rPr>
            </w:pPr>
            <w:r>
              <w:rPr>
                <w:rFonts w:hint="eastAsia" w:ascii="宋体" w:hAnsi="宋体" w:cs="宋体"/>
                <w:kern w:val="0"/>
                <w:lang w:bidi="ar"/>
              </w:rPr>
              <w:t>草酰胺装置尾气</w:t>
            </w:r>
          </w:p>
          <w:p w14:paraId="2BDCCD04">
            <w:pPr>
              <w:pStyle w:val="557"/>
            </w:pPr>
            <w:r>
              <w:rPr>
                <w:rFonts w:hint="eastAsia" w:ascii="宋体" w:hAnsi="宋体" w:cs="宋体"/>
                <w:kern w:val="0"/>
                <w:lang w:bidi="ar"/>
              </w:rPr>
              <w:t>吸收塔顶排气</w:t>
            </w:r>
          </w:p>
        </w:tc>
        <w:tc>
          <w:tcPr>
            <w:tcW w:w="855" w:type="pct"/>
            <w:vAlign w:val="center"/>
          </w:tcPr>
          <w:p w14:paraId="50B1E360">
            <w:pPr>
              <w:pStyle w:val="557"/>
            </w:pPr>
            <w:r>
              <w:rPr>
                <w:rFonts w:hint="eastAsia"/>
              </w:rPr>
              <w:t>甲醇</w:t>
            </w:r>
          </w:p>
        </w:tc>
        <w:tc>
          <w:tcPr>
            <w:tcW w:w="682" w:type="pct"/>
            <w:vAlign w:val="center"/>
          </w:tcPr>
          <w:p w14:paraId="536CBA4F">
            <w:pPr>
              <w:pStyle w:val="557"/>
            </w:pPr>
            <w:r>
              <w:rPr>
                <w:kern w:val="0"/>
                <w:lang w:bidi="ar"/>
              </w:rPr>
              <w:t>3.8</w:t>
            </w:r>
          </w:p>
        </w:tc>
        <w:tc>
          <w:tcPr>
            <w:tcW w:w="601" w:type="pct"/>
            <w:vAlign w:val="center"/>
          </w:tcPr>
          <w:p w14:paraId="0D3439C6">
            <w:pPr>
              <w:pStyle w:val="557"/>
            </w:pPr>
            <w:r>
              <w:rPr>
                <w:kern w:val="0"/>
                <w:lang w:bidi="ar"/>
              </w:rPr>
              <w:t>0.038</w:t>
            </w:r>
          </w:p>
        </w:tc>
        <w:tc>
          <w:tcPr>
            <w:tcW w:w="644" w:type="pct"/>
            <w:vAlign w:val="center"/>
          </w:tcPr>
          <w:p w14:paraId="279928F0">
            <w:pPr>
              <w:pStyle w:val="557"/>
            </w:pPr>
            <w:r>
              <w:rPr>
                <w:kern w:val="0"/>
                <w:lang w:bidi="ar"/>
              </w:rPr>
              <w:t>0.304</w:t>
            </w:r>
          </w:p>
        </w:tc>
      </w:tr>
      <w:tr w14:paraId="2654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3A0BB093">
            <w:pPr>
              <w:pStyle w:val="557"/>
            </w:pPr>
          </w:p>
        </w:tc>
        <w:tc>
          <w:tcPr>
            <w:tcW w:w="694" w:type="pct"/>
            <w:vMerge w:val="continue"/>
            <w:vAlign w:val="center"/>
          </w:tcPr>
          <w:p w14:paraId="6D81B930">
            <w:pPr>
              <w:pStyle w:val="557"/>
            </w:pPr>
          </w:p>
        </w:tc>
        <w:tc>
          <w:tcPr>
            <w:tcW w:w="1195" w:type="pct"/>
            <w:vMerge w:val="continue"/>
            <w:vAlign w:val="center"/>
          </w:tcPr>
          <w:p w14:paraId="24AA52B6">
            <w:pPr>
              <w:pStyle w:val="557"/>
              <w:rPr>
                <w:rFonts w:hint="eastAsia" w:ascii="宋体" w:hAnsi="宋体" w:cs="宋体"/>
                <w:kern w:val="0"/>
                <w:lang w:bidi="ar"/>
              </w:rPr>
            </w:pPr>
          </w:p>
        </w:tc>
        <w:tc>
          <w:tcPr>
            <w:tcW w:w="855" w:type="pct"/>
            <w:vAlign w:val="center"/>
          </w:tcPr>
          <w:p w14:paraId="3533D5BA">
            <w:pPr>
              <w:pStyle w:val="557"/>
            </w:pPr>
            <w:r>
              <w:t>NH</w:t>
            </w:r>
            <w:r>
              <w:rPr>
                <w:vertAlign w:val="subscript"/>
              </w:rPr>
              <w:t>3</w:t>
            </w:r>
          </w:p>
        </w:tc>
        <w:tc>
          <w:tcPr>
            <w:tcW w:w="682" w:type="pct"/>
            <w:vAlign w:val="center"/>
          </w:tcPr>
          <w:p w14:paraId="209B1099">
            <w:pPr>
              <w:pStyle w:val="557"/>
            </w:pPr>
            <w:r>
              <w:rPr>
                <w:kern w:val="0"/>
                <w:lang w:bidi="ar"/>
              </w:rPr>
              <w:t>1.4</w:t>
            </w:r>
          </w:p>
        </w:tc>
        <w:tc>
          <w:tcPr>
            <w:tcW w:w="601" w:type="pct"/>
            <w:vAlign w:val="center"/>
          </w:tcPr>
          <w:p w14:paraId="77D870C1">
            <w:pPr>
              <w:pStyle w:val="557"/>
            </w:pPr>
            <w:r>
              <w:rPr>
                <w:kern w:val="0"/>
                <w:lang w:bidi="ar"/>
              </w:rPr>
              <w:t>0.014</w:t>
            </w:r>
          </w:p>
        </w:tc>
        <w:tc>
          <w:tcPr>
            <w:tcW w:w="644" w:type="pct"/>
            <w:vAlign w:val="center"/>
          </w:tcPr>
          <w:p w14:paraId="456A9EA3">
            <w:pPr>
              <w:pStyle w:val="557"/>
            </w:pPr>
            <w:r>
              <w:rPr>
                <w:kern w:val="0"/>
                <w:lang w:bidi="ar"/>
              </w:rPr>
              <w:t>0.112</w:t>
            </w:r>
          </w:p>
        </w:tc>
      </w:tr>
      <w:tr w14:paraId="658F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1BECA7D3">
            <w:pPr>
              <w:pStyle w:val="557"/>
            </w:pPr>
            <w:r>
              <w:rPr>
                <w:rFonts w:hint="eastAsia"/>
              </w:rPr>
              <w:t>3</w:t>
            </w:r>
          </w:p>
        </w:tc>
        <w:tc>
          <w:tcPr>
            <w:tcW w:w="694" w:type="pct"/>
            <w:vMerge w:val="restart"/>
            <w:vAlign w:val="center"/>
          </w:tcPr>
          <w:p w14:paraId="60EF1B3F">
            <w:pPr>
              <w:pStyle w:val="557"/>
            </w:pPr>
            <w:r>
              <w:t>DA0</w:t>
            </w:r>
            <w:r>
              <w:rPr>
                <w:rFonts w:hint="eastAsia"/>
              </w:rPr>
              <w:t>7</w:t>
            </w:r>
            <w:r>
              <w:t>-00</w:t>
            </w:r>
            <w:r>
              <w:rPr>
                <w:rFonts w:hint="eastAsia"/>
              </w:rPr>
              <w:t>3</w:t>
            </w:r>
          </w:p>
        </w:tc>
        <w:tc>
          <w:tcPr>
            <w:tcW w:w="1195" w:type="pct"/>
            <w:vMerge w:val="restart"/>
            <w:vAlign w:val="center"/>
          </w:tcPr>
          <w:p w14:paraId="4FF538AC">
            <w:pPr>
              <w:pStyle w:val="557"/>
            </w:pPr>
            <w:r>
              <w:rPr>
                <w:rFonts w:hint="eastAsia"/>
              </w:rPr>
              <w:t>1#造粒废气、1#包装废气、1#烘干废气</w:t>
            </w:r>
          </w:p>
        </w:tc>
        <w:tc>
          <w:tcPr>
            <w:tcW w:w="855" w:type="pct"/>
            <w:vAlign w:val="center"/>
          </w:tcPr>
          <w:p w14:paraId="0D8BF0D5">
            <w:pPr>
              <w:pStyle w:val="557"/>
            </w:pPr>
            <w:r>
              <w:t>颗粒物</w:t>
            </w:r>
          </w:p>
        </w:tc>
        <w:tc>
          <w:tcPr>
            <w:tcW w:w="682" w:type="pct"/>
            <w:vAlign w:val="center"/>
          </w:tcPr>
          <w:p w14:paraId="4CA2E6C2">
            <w:pPr>
              <w:pStyle w:val="557"/>
            </w:pPr>
            <w:r>
              <w:t>18.</w:t>
            </w:r>
            <w:r>
              <w:rPr>
                <w:rFonts w:hint="eastAsia"/>
              </w:rPr>
              <w:t>36</w:t>
            </w:r>
          </w:p>
        </w:tc>
        <w:tc>
          <w:tcPr>
            <w:tcW w:w="601" w:type="pct"/>
            <w:vAlign w:val="center"/>
          </w:tcPr>
          <w:p w14:paraId="207B6FFA">
            <w:pPr>
              <w:pStyle w:val="557"/>
            </w:pPr>
            <w:r>
              <w:t>5.9</w:t>
            </w:r>
            <w:r>
              <w:rPr>
                <w:rFonts w:hint="eastAsia"/>
              </w:rPr>
              <w:t>5</w:t>
            </w:r>
          </w:p>
        </w:tc>
        <w:tc>
          <w:tcPr>
            <w:tcW w:w="644" w:type="pct"/>
            <w:vAlign w:val="center"/>
          </w:tcPr>
          <w:p w14:paraId="3A8398F2">
            <w:pPr>
              <w:pStyle w:val="557"/>
            </w:pPr>
            <w:r>
              <w:t>47.</w:t>
            </w:r>
            <w:r>
              <w:rPr>
                <w:rFonts w:hint="eastAsia"/>
              </w:rPr>
              <w:t>59</w:t>
            </w:r>
          </w:p>
        </w:tc>
      </w:tr>
      <w:tr w14:paraId="49CD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45C5AB33">
            <w:pPr>
              <w:pStyle w:val="557"/>
            </w:pPr>
          </w:p>
        </w:tc>
        <w:tc>
          <w:tcPr>
            <w:tcW w:w="694" w:type="pct"/>
            <w:vMerge w:val="continue"/>
            <w:vAlign w:val="center"/>
          </w:tcPr>
          <w:p w14:paraId="4B45A8E8">
            <w:pPr>
              <w:pStyle w:val="557"/>
            </w:pPr>
          </w:p>
        </w:tc>
        <w:tc>
          <w:tcPr>
            <w:tcW w:w="1195" w:type="pct"/>
            <w:vMerge w:val="continue"/>
            <w:vAlign w:val="center"/>
          </w:tcPr>
          <w:p w14:paraId="4A6D9CE7">
            <w:pPr>
              <w:pStyle w:val="557"/>
            </w:pPr>
          </w:p>
        </w:tc>
        <w:tc>
          <w:tcPr>
            <w:tcW w:w="855" w:type="pct"/>
            <w:vAlign w:val="center"/>
          </w:tcPr>
          <w:p w14:paraId="6A2934D7">
            <w:pPr>
              <w:pStyle w:val="557"/>
            </w:pPr>
            <w:r>
              <w:t>NH</w:t>
            </w:r>
            <w:r>
              <w:rPr>
                <w:vertAlign w:val="subscript"/>
              </w:rPr>
              <w:t>3</w:t>
            </w:r>
          </w:p>
        </w:tc>
        <w:tc>
          <w:tcPr>
            <w:tcW w:w="682" w:type="pct"/>
            <w:vAlign w:val="center"/>
          </w:tcPr>
          <w:p w14:paraId="49DCFDA9">
            <w:pPr>
              <w:pStyle w:val="557"/>
            </w:pPr>
            <w:r>
              <w:t>1.52</w:t>
            </w:r>
          </w:p>
        </w:tc>
        <w:tc>
          <w:tcPr>
            <w:tcW w:w="601" w:type="pct"/>
            <w:vAlign w:val="center"/>
          </w:tcPr>
          <w:p w14:paraId="3DFC2944">
            <w:pPr>
              <w:pStyle w:val="557"/>
            </w:pPr>
            <w:r>
              <w:t>0.49</w:t>
            </w:r>
          </w:p>
        </w:tc>
        <w:tc>
          <w:tcPr>
            <w:tcW w:w="644" w:type="pct"/>
            <w:vAlign w:val="center"/>
          </w:tcPr>
          <w:p w14:paraId="0DC7ECA0">
            <w:pPr>
              <w:pStyle w:val="557"/>
            </w:pPr>
            <w:r>
              <w:t>3.94</w:t>
            </w:r>
          </w:p>
        </w:tc>
      </w:tr>
      <w:tr w14:paraId="0EB8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66A41E46">
            <w:pPr>
              <w:pStyle w:val="557"/>
            </w:pPr>
            <w:r>
              <w:rPr>
                <w:rFonts w:hint="eastAsia"/>
              </w:rPr>
              <w:t>4</w:t>
            </w:r>
          </w:p>
        </w:tc>
        <w:tc>
          <w:tcPr>
            <w:tcW w:w="694" w:type="pct"/>
            <w:vMerge w:val="restart"/>
            <w:vAlign w:val="center"/>
          </w:tcPr>
          <w:p w14:paraId="412A4968">
            <w:pPr>
              <w:pStyle w:val="557"/>
            </w:pPr>
            <w:r>
              <w:t>DA0</w:t>
            </w:r>
            <w:r>
              <w:rPr>
                <w:rFonts w:hint="eastAsia"/>
              </w:rPr>
              <w:t>7</w:t>
            </w:r>
            <w:r>
              <w:t>-00</w:t>
            </w:r>
            <w:r>
              <w:rPr>
                <w:rFonts w:hint="eastAsia"/>
              </w:rPr>
              <w:t>4</w:t>
            </w:r>
          </w:p>
        </w:tc>
        <w:tc>
          <w:tcPr>
            <w:tcW w:w="1195" w:type="pct"/>
            <w:vMerge w:val="restart"/>
            <w:vAlign w:val="center"/>
          </w:tcPr>
          <w:p w14:paraId="0E4EFCCA">
            <w:pPr>
              <w:pStyle w:val="557"/>
            </w:pPr>
            <w:r>
              <w:rPr>
                <w:rFonts w:hint="eastAsia"/>
              </w:rPr>
              <w:t>2#造粒废气、2#包装废气、2#烘干废气</w:t>
            </w:r>
          </w:p>
        </w:tc>
        <w:tc>
          <w:tcPr>
            <w:tcW w:w="855" w:type="pct"/>
            <w:vAlign w:val="center"/>
          </w:tcPr>
          <w:p w14:paraId="07449B57">
            <w:pPr>
              <w:pStyle w:val="557"/>
            </w:pPr>
            <w:r>
              <w:t>颗粒物</w:t>
            </w:r>
          </w:p>
        </w:tc>
        <w:tc>
          <w:tcPr>
            <w:tcW w:w="682" w:type="pct"/>
            <w:vAlign w:val="center"/>
          </w:tcPr>
          <w:p w14:paraId="6E0816CB">
            <w:pPr>
              <w:pStyle w:val="557"/>
            </w:pPr>
            <w:r>
              <w:t>18.</w:t>
            </w:r>
            <w:r>
              <w:rPr>
                <w:rFonts w:hint="eastAsia"/>
              </w:rPr>
              <w:t>36</w:t>
            </w:r>
          </w:p>
        </w:tc>
        <w:tc>
          <w:tcPr>
            <w:tcW w:w="601" w:type="pct"/>
            <w:vAlign w:val="center"/>
          </w:tcPr>
          <w:p w14:paraId="475F60CF">
            <w:pPr>
              <w:pStyle w:val="557"/>
            </w:pPr>
            <w:r>
              <w:t>5.9</w:t>
            </w:r>
            <w:r>
              <w:rPr>
                <w:rFonts w:hint="eastAsia"/>
              </w:rPr>
              <w:t>5</w:t>
            </w:r>
          </w:p>
        </w:tc>
        <w:tc>
          <w:tcPr>
            <w:tcW w:w="644" w:type="pct"/>
            <w:vAlign w:val="center"/>
          </w:tcPr>
          <w:p w14:paraId="3111B0CE">
            <w:pPr>
              <w:pStyle w:val="557"/>
            </w:pPr>
            <w:r>
              <w:t>47.</w:t>
            </w:r>
            <w:r>
              <w:rPr>
                <w:rFonts w:hint="eastAsia"/>
              </w:rPr>
              <w:t>59</w:t>
            </w:r>
          </w:p>
        </w:tc>
      </w:tr>
      <w:tr w14:paraId="3549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59015680">
            <w:pPr>
              <w:pStyle w:val="557"/>
            </w:pPr>
          </w:p>
        </w:tc>
        <w:tc>
          <w:tcPr>
            <w:tcW w:w="694" w:type="pct"/>
            <w:vMerge w:val="continue"/>
            <w:vAlign w:val="center"/>
          </w:tcPr>
          <w:p w14:paraId="23604046">
            <w:pPr>
              <w:pStyle w:val="557"/>
            </w:pPr>
          </w:p>
        </w:tc>
        <w:tc>
          <w:tcPr>
            <w:tcW w:w="1195" w:type="pct"/>
            <w:vMerge w:val="continue"/>
            <w:vAlign w:val="center"/>
          </w:tcPr>
          <w:p w14:paraId="3E8E73C1">
            <w:pPr>
              <w:pStyle w:val="557"/>
            </w:pPr>
          </w:p>
        </w:tc>
        <w:tc>
          <w:tcPr>
            <w:tcW w:w="855" w:type="pct"/>
            <w:vAlign w:val="center"/>
          </w:tcPr>
          <w:p w14:paraId="79FB8109">
            <w:pPr>
              <w:pStyle w:val="557"/>
            </w:pPr>
            <w:r>
              <w:t>NH</w:t>
            </w:r>
            <w:r>
              <w:rPr>
                <w:vertAlign w:val="subscript"/>
              </w:rPr>
              <w:t>3</w:t>
            </w:r>
          </w:p>
        </w:tc>
        <w:tc>
          <w:tcPr>
            <w:tcW w:w="682" w:type="pct"/>
            <w:vAlign w:val="center"/>
          </w:tcPr>
          <w:p w14:paraId="409232E0">
            <w:pPr>
              <w:pStyle w:val="557"/>
            </w:pPr>
            <w:r>
              <w:t>1.52</w:t>
            </w:r>
          </w:p>
        </w:tc>
        <w:tc>
          <w:tcPr>
            <w:tcW w:w="601" w:type="pct"/>
            <w:vAlign w:val="center"/>
          </w:tcPr>
          <w:p w14:paraId="43B697E9">
            <w:pPr>
              <w:pStyle w:val="557"/>
            </w:pPr>
            <w:r>
              <w:t>0.49</w:t>
            </w:r>
          </w:p>
        </w:tc>
        <w:tc>
          <w:tcPr>
            <w:tcW w:w="644" w:type="pct"/>
            <w:vAlign w:val="center"/>
          </w:tcPr>
          <w:p w14:paraId="4EEEABFF">
            <w:pPr>
              <w:pStyle w:val="557"/>
            </w:pPr>
            <w:r>
              <w:t>3.94</w:t>
            </w:r>
          </w:p>
        </w:tc>
      </w:tr>
      <w:tr w14:paraId="2604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546164F9">
            <w:pPr>
              <w:pStyle w:val="557"/>
            </w:pPr>
            <w:r>
              <w:rPr>
                <w:rFonts w:hint="eastAsia"/>
              </w:rPr>
              <w:t>5</w:t>
            </w:r>
          </w:p>
        </w:tc>
        <w:tc>
          <w:tcPr>
            <w:tcW w:w="694" w:type="pct"/>
            <w:vMerge w:val="restart"/>
            <w:vAlign w:val="center"/>
          </w:tcPr>
          <w:p w14:paraId="376B8AE3">
            <w:pPr>
              <w:pStyle w:val="557"/>
            </w:pPr>
            <w:r>
              <w:t>DA0</w:t>
            </w:r>
            <w:r>
              <w:rPr>
                <w:rFonts w:hint="eastAsia"/>
              </w:rPr>
              <w:t>7</w:t>
            </w:r>
            <w:r>
              <w:t>-00</w:t>
            </w:r>
            <w:r>
              <w:rPr>
                <w:rFonts w:hint="eastAsia"/>
              </w:rPr>
              <w:t>6</w:t>
            </w:r>
          </w:p>
        </w:tc>
        <w:tc>
          <w:tcPr>
            <w:tcW w:w="1195" w:type="pct"/>
            <w:vMerge w:val="restart"/>
            <w:vAlign w:val="center"/>
          </w:tcPr>
          <w:p w14:paraId="33BBE58E">
            <w:pPr>
              <w:pStyle w:val="557"/>
              <w:rPr>
                <w:rFonts w:hint="eastAsia" w:ascii="宋体" w:hAnsi="宋体" w:cs="宋体"/>
                <w:kern w:val="0"/>
                <w:lang w:bidi="ar"/>
              </w:rPr>
            </w:pPr>
            <w:r>
              <w:rPr>
                <w:rFonts w:hint="eastAsia" w:ascii="宋体" w:hAnsi="宋体" w:cs="宋体"/>
                <w:kern w:val="0"/>
                <w:lang w:bidi="ar"/>
              </w:rPr>
              <w:t>有机缓释肥装置</w:t>
            </w:r>
          </w:p>
          <w:p w14:paraId="4A62502D">
            <w:pPr>
              <w:pStyle w:val="557"/>
            </w:pPr>
            <w:r>
              <w:rPr>
                <w:rFonts w:hint="eastAsia" w:ascii="宋体" w:hAnsi="宋体" w:cs="宋体"/>
                <w:kern w:val="0"/>
                <w:lang w:bidi="ar"/>
              </w:rPr>
              <w:t>加热炉废气</w:t>
            </w:r>
          </w:p>
        </w:tc>
        <w:tc>
          <w:tcPr>
            <w:tcW w:w="855" w:type="pct"/>
            <w:vAlign w:val="center"/>
          </w:tcPr>
          <w:p w14:paraId="38AAB526">
            <w:pPr>
              <w:pStyle w:val="557"/>
            </w:pPr>
            <w:r>
              <w:rPr>
                <w:kern w:val="0"/>
                <w:lang w:bidi="ar"/>
              </w:rPr>
              <w:t>NOx</w:t>
            </w:r>
          </w:p>
        </w:tc>
        <w:tc>
          <w:tcPr>
            <w:tcW w:w="682" w:type="pct"/>
            <w:vAlign w:val="center"/>
          </w:tcPr>
          <w:p w14:paraId="07F454BD">
            <w:pPr>
              <w:pStyle w:val="557"/>
              <w:rPr>
                <w:kern w:val="0"/>
                <w:lang w:bidi="ar"/>
              </w:rPr>
            </w:pPr>
            <w:r>
              <w:rPr>
                <w:kern w:val="0"/>
                <w:lang w:bidi="ar"/>
              </w:rPr>
              <w:t>100</w:t>
            </w:r>
          </w:p>
        </w:tc>
        <w:tc>
          <w:tcPr>
            <w:tcW w:w="601" w:type="pct"/>
            <w:vAlign w:val="center"/>
          </w:tcPr>
          <w:p w14:paraId="436399A5">
            <w:pPr>
              <w:pStyle w:val="557"/>
              <w:rPr>
                <w:kern w:val="0"/>
                <w:lang w:bidi="ar"/>
              </w:rPr>
            </w:pPr>
            <w:r>
              <w:rPr>
                <w:kern w:val="0"/>
                <w:lang w:bidi="ar"/>
              </w:rPr>
              <w:t>0.81</w:t>
            </w:r>
          </w:p>
        </w:tc>
        <w:tc>
          <w:tcPr>
            <w:tcW w:w="644" w:type="pct"/>
            <w:vAlign w:val="center"/>
          </w:tcPr>
          <w:p w14:paraId="5F0A379D">
            <w:pPr>
              <w:pStyle w:val="557"/>
              <w:rPr>
                <w:kern w:val="0"/>
                <w:lang w:bidi="ar"/>
              </w:rPr>
            </w:pPr>
            <w:r>
              <w:rPr>
                <w:kern w:val="0"/>
                <w:lang w:bidi="ar"/>
              </w:rPr>
              <w:t>6.45</w:t>
            </w:r>
          </w:p>
        </w:tc>
      </w:tr>
      <w:tr w14:paraId="38E8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14982042">
            <w:pPr>
              <w:pStyle w:val="557"/>
            </w:pPr>
          </w:p>
        </w:tc>
        <w:tc>
          <w:tcPr>
            <w:tcW w:w="694" w:type="pct"/>
            <w:vMerge w:val="continue"/>
            <w:vAlign w:val="center"/>
          </w:tcPr>
          <w:p w14:paraId="2B1A4FA8">
            <w:pPr>
              <w:pStyle w:val="557"/>
            </w:pPr>
          </w:p>
        </w:tc>
        <w:tc>
          <w:tcPr>
            <w:tcW w:w="1195" w:type="pct"/>
            <w:vMerge w:val="continue"/>
            <w:vAlign w:val="center"/>
          </w:tcPr>
          <w:p w14:paraId="2B6EA50B">
            <w:pPr>
              <w:pStyle w:val="557"/>
            </w:pPr>
          </w:p>
        </w:tc>
        <w:tc>
          <w:tcPr>
            <w:tcW w:w="855" w:type="pct"/>
            <w:vAlign w:val="center"/>
          </w:tcPr>
          <w:p w14:paraId="4EBE55A3">
            <w:pPr>
              <w:pStyle w:val="557"/>
            </w:pPr>
            <w:r>
              <w:rPr>
                <w:rFonts w:hint="eastAsia" w:ascii="宋体" w:hAnsi="宋体" w:cs="宋体"/>
                <w:kern w:val="0"/>
                <w:lang w:bidi="ar"/>
              </w:rPr>
              <w:t>颗粒物</w:t>
            </w:r>
          </w:p>
        </w:tc>
        <w:tc>
          <w:tcPr>
            <w:tcW w:w="682" w:type="pct"/>
            <w:vAlign w:val="center"/>
          </w:tcPr>
          <w:p w14:paraId="76E8225B">
            <w:pPr>
              <w:pStyle w:val="557"/>
              <w:rPr>
                <w:kern w:val="0"/>
                <w:lang w:bidi="ar"/>
              </w:rPr>
            </w:pPr>
            <w:r>
              <w:rPr>
                <w:kern w:val="0"/>
                <w:lang w:bidi="ar"/>
              </w:rPr>
              <w:t>49.22</w:t>
            </w:r>
          </w:p>
        </w:tc>
        <w:tc>
          <w:tcPr>
            <w:tcW w:w="601" w:type="pct"/>
            <w:vAlign w:val="center"/>
          </w:tcPr>
          <w:p w14:paraId="427AFC96">
            <w:pPr>
              <w:pStyle w:val="557"/>
              <w:rPr>
                <w:kern w:val="0"/>
                <w:lang w:bidi="ar"/>
              </w:rPr>
            </w:pPr>
            <w:r>
              <w:rPr>
                <w:kern w:val="0"/>
                <w:lang w:bidi="ar"/>
              </w:rPr>
              <w:t>0.4</w:t>
            </w:r>
          </w:p>
        </w:tc>
        <w:tc>
          <w:tcPr>
            <w:tcW w:w="644" w:type="pct"/>
            <w:vAlign w:val="center"/>
          </w:tcPr>
          <w:p w14:paraId="0338E654">
            <w:pPr>
              <w:pStyle w:val="557"/>
              <w:rPr>
                <w:kern w:val="0"/>
                <w:lang w:bidi="ar"/>
              </w:rPr>
            </w:pPr>
            <w:r>
              <w:rPr>
                <w:kern w:val="0"/>
                <w:lang w:bidi="ar"/>
              </w:rPr>
              <w:t>3.17</w:t>
            </w:r>
          </w:p>
        </w:tc>
      </w:tr>
      <w:tr w14:paraId="250F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598787DE">
            <w:pPr>
              <w:pStyle w:val="557"/>
            </w:pPr>
            <w:r>
              <w:rPr>
                <w:rFonts w:hint="eastAsia"/>
              </w:rPr>
              <w:t>6</w:t>
            </w:r>
          </w:p>
        </w:tc>
        <w:tc>
          <w:tcPr>
            <w:tcW w:w="694" w:type="pct"/>
            <w:vMerge w:val="restart"/>
            <w:vAlign w:val="center"/>
          </w:tcPr>
          <w:p w14:paraId="3F742C7C">
            <w:pPr>
              <w:pStyle w:val="557"/>
            </w:pPr>
            <w:r>
              <w:rPr>
                <w:rFonts w:hint="eastAsia"/>
              </w:rPr>
              <w:t>DA08-002</w:t>
            </w:r>
          </w:p>
        </w:tc>
        <w:tc>
          <w:tcPr>
            <w:tcW w:w="1195" w:type="pct"/>
            <w:vMerge w:val="restart"/>
            <w:vAlign w:val="center"/>
          </w:tcPr>
          <w:p w14:paraId="66DB6CE8">
            <w:pPr>
              <w:pStyle w:val="557"/>
            </w:pPr>
            <w:r>
              <w:rPr>
                <w:kern w:val="0"/>
                <w:lang w:bidi="ar"/>
              </w:rPr>
              <w:t>1#</w:t>
            </w:r>
            <w:r>
              <w:rPr>
                <w:rFonts w:hint="eastAsia" w:ascii="宋体" w:hAnsi="宋体" w:cs="宋体"/>
                <w:kern w:val="0"/>
                <w:lang w:bidi="ar"/>
              </w:rPr>
              <w:t>燃气锅炉</w:t>
            </w:r>
          </w:p>
        </w:tc>
        <w:tc>
          <w:tcPr>
            <w:tcW w:w="855" w:type="pct"/>
            <w:vAlign w:val="center"/>
          </w:tcPr>
          <w:p w14:paraId="0AEDF4A6">
            <w:pPr>
              <w:pStyle w:val="557"/>
            </w:pPr>
            <w:r>
              <w:rPr>
                <w:rFonts w:hint="eastAsia"/>
              </w:rPr>
              <w:t>颗粒物</w:t>
            </w:r>
          </w:p>
        </w:tc>
        <w:tc>
          <w:tcPr>
            <w:tcW w:w="682" w:type="pct"/>
            <w:vAlign w:val="center"/>
          </w:tcPr>
          <w:p w14:paraId="65CF3B26">
            <w:pPr>
              <w:pStyle w:val="557"/>
            </w:pPr>
            <w:r>
              <w:rPr>
                <w:kern w:val="0"/>
                <w:lang w:bidi="ar"/>
              </w:rPr>
              <w:t>5.22</w:t>
            </w:r>
          </w:p>
        </w:tc>
        <w:tc>
          <w:tcPr>
            <w:tcW w:w="601" w:type="pct"/>
            <w:vAlign w:val="center"/>
          </w:tcPr>
          <w:p w14:paraId="5A1D1F82">
            <w:pPr>
              <w:pStyle w:val="557"/>
            </w:pPr>
            <w:r>
              <w:rPr>
                <w:kern w:val="0"/>
                <w:lang w:bidi="ar"/>
              </w:rPr>
              <w:t>0.76</w:t>
            </w:r>
          </w:p>
        </w:tc>
        <w:tc>
          <w:tcPr>
            <w:tcW w:w="644" w:type="pct"/>
            <w:vAlign w:val="center"/>
          </w:tcPr>
          <w:p w14:paraId="2A4E9DFD">
            <w:pPr>
              <w:pStyle w:val="557"/>
            </w:pPr>
            <w:r>
              <w:rPr>
                <w:kern w:val="0"/>
                <w:lang w:bidi="ar"/>
              </w:rPr>
              <w:t>6.10</w:t>
            </w:r>
          </w:p>
        </w:tc>
      </w:tr>
      <w:tr w14:paraId="7364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65382C95">
            <w:pPr>
              <w:pStyle w:val="557"/>
            </w:pPr>
          </w:p>
        </w:tc>
        <w:tc>
          <w:tcPr>
            <w:tcW w:w="694" w:type="pct"/>
            <w:vMerge w:val="continue"/>
            <w:vAlign w:val="center"/>
          </w:tcPr>
          <w:p w14:paraId="37133BF4">
            <w:pPr>
              <w:pStyle w:val="557"/>
            </w:pPr>
          </w:p>
        </w:tc>
        <w:tc>
          <w:tcPr>
            <w:tcW w:w="1195" w:type="pct"/>
            <w:vMerge w:val="continue"/>
            <w:vAlign w:val="center"/>
          </w:tcPr>
          <w:p w14:paraId="77EFC1B9">
            <w:pPr>
              <w:pStyle w:val="557"/>
            </w:pPr>
          </w:p>
        </w:tc>
        <w:tc>
          <w:tcPr>
            <w:tcW w:w="855" w:type="pct"/>
            <w:vAlign w:val="center"/>
          </w:tcPr>
          <w:p w14:paraId="43E7DE5A">
            <w:pPr>
              <w:pStyle w:val="557"/>
            </w:pPr>
            <w:r>
              <w:rPr>
                <w:rFonts w:hint="eastAsia"/>
              </w:rPr>
              <w:t>氮氧化物</w:t>
            </w:r>
          </w:p>
        </w:tc>
        <w:tc>
          <w:tcPr>
            <w:tcW w:w="682" w:type="pct"/>
            <w:vAlign w:val="center"/>
          </w:tcPr>
          <w:p w14:paraId="3149FE2F">
            <w:pPr>
              <w:pStyle w:val="557"/>
            </w:pPr>
            <w:r>
              <w:rPr>
                <w:kern w:val="0"/>
                <w:lang w:bidi="ar"/>
              </w:rPr>
              <w:t>11.70</w:t>
            </w:r>
          </w:p>
        </w:tc>
        <w:tc>
          <w:tcPr>
            <w:tcW w:w="601" w:type="pct"/>
            <w:vAlign w:val="center"/>
          </w:tcPr>
          <w:p w14:paraId="7EA92298">
            <w:pPr>
              <w:pStyle w:val="557"/>
            </w:pPr>
            <w:r>
              <w:rPr>
                <w:kern w:val="0"/>
                <w:lang w:bidi="ar"/>
              </w:rPr>
              <w:t>1.71</w:t>
            </w:r>
          </w:p>
        </w:tc>
        <w:tc>
          <w:tcPr>
            <w:tcW w:w="644" w:type="pct"/>
            <w:vAlign w:val="center"/>
          </w:tcPr>
          <w:p w14:paraId="39A11309">
            <w:pPr>
              <w:pStyle w:val="557"/>
            </w:pPr>
            <w:r>
              <w:rPr>
                <w:kern w:val="0"/>
                <w:lang w:bidi="ar"/>
              </w:rPr>
              <w:t>13.68</w:t>
            </w:r>
          </w:p>
        </w:tc>
      </w:tr>
      <w:tr w14:paraId="33F4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61CBFB88">
            <w:pPr>
              <w:pStyle w:val="557"/>
            </w:pPr>
            <w:r>
              <w:rPr>
                <w:rFonts w:hint="eastAsia"/>
              </w:rPr>
              <w:t>7</w:t>
            </w:r>
          </w:p>
        </w:tc>
        <w:tc>
          <w:tcPr>
            <w:tcW w:w="694" w:type="pct"/>
            <w:vMerge w:val="restart"/>
            <w:vAlign w:val="center"/>
          </w:tcPr>
          <w:p w14:paraId="697D85D1">
            <w:pPr>
              <w:pStyle w:val="557"/>
            </w:pPr>
            <w:r>
              <w:rPr>
                <w:rFonts w:hint="eastAsia"/>
              </w:rPr>
              <w:t>DA08-003</w:t>
            </w:r>
          </w:p>
        </w:tc>
        <w:tc>
          <w:tcPr>
            <w:tcW w:w="1195" w:type="pct"/>
            <w:vMerge w:val="restart"/>
            <w:vAlign w:val="center"/>
          </w:tcPr>
          <w:p w14:paraId="0F8394F8">
            <w:pPr>
              <w:pStyle w:val="557"/>
            </w:pPr>
            <w:r>
              <w:rPr>
                <w:rFonts w:hint="eastAsia"/>
                <w:kern w:val="0"/>
                <w:lang w:bidi="ar"/>
              </w:rPr>
              <w:t>2</w:t>
            </w:r>
            <w:r>
              <w:rPr>
                <w:kern w:val="0"/>
                <w:lang w:bidi="ar"/>
              </w:rPr>
              <w:t>#</w:t>
            </w:r>
            <w:r>
              <w:rPr>
                <w:rFonts w:hint="eastAsia" w:ascii="宋体" w:hAnsi="宋体" w:cs="宋体"/>
                <w:kern w:val="0"/>
                <w:lang w:bidi="ar"/>
              </w:rPr>
              <w:t>燃气锅炉</w:t>
            </w:r>
          </w:p>
        </w:tc>
        <w:tc>
          <w:tcPr>
            <w:tcW w:w="855" w:type="pct"/>
            <w:vAlign w:val="center"/>
          </w:tcPr>
          <w:p w14:paraId="45F6B31A">
            <w:pPr>
              <w:pStyle w:val="557"/>
            </w:pPr>
            <w:r>
              <w:rPr>
                <w:rFonts w:hint="eastAsia"/>
              </w:rPr>
              <w:t>颗粒物</w:t>
            </w:r>
          </w:p>
        </w:tc>
        <w:tc>
          <w:tcPr>
            <w:tcW w:w="682" w:type="pct"/>
            <w:vAlign w:val="center"/>
          </w:tcPr>
          <w:p w14:paraId="2441D173">
            <w:pPr>
              <w:pStyle w:val="557"/>
            </w:pPr>
            <w:r>
              <w:rPr>
                <w:kern w:val="0"/>
                <w:lang w:bidi="ar"/>
              </w:rPr>
              <w:t>5.22</w:t>
            </w:r>
          </w:p>
        </w:tc>
        <w:tc>
          <w:tcPr>
            <w:tcW w:w="601" w:type="pct"/>
            <w:vAlign w:val="center"/>
          </w:tcPr>
          <w:p w14:paraId="0C0CFCED">
            <w:pPr>
              <w:pStyle w:val="557"/>
            </w:pPr>
            <w:r>
              <w:rPr>
                <w:kern w:val="0"/>
                <w:lang w:bidi="ar"/>
              </w:rPr>
              <w:t>0.76</w:t>
            </w:r>
          </w:p>
        </w:tc>
        <w:tc>
          <w:tcPr>
            <w:tcW w:w="644" w:type="pct"/>
            <w:vAlign w:val="center"/>
          </w:tcPr>
          <w:p w14:paraId="694FC2E6">
            <w:pPr>
              <w:pStyle w:val="557"/>
            </w:pPr>
            <w:r>
              <w:rPr>
                <w:kern w:val="0"/>
                <w:lang w:bidi="ar"/>
              </w:rPr>
              <w:t>6.10</w:t>
            </w:r>
          </w:p>
        </w:tc>
      </w:tr>
      <w:tr w14:paraId="0753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520BE946">
            <w:pPr>
              <w:pStyle w:val="557"/>
            </w:pPr>
          </w:p>
        </w:tc>
        <w:tc>
          <w:tcPr>
            <w:tcW w:w="694" w:type="pct"/>
            <w:vMerge w:val="continue"/>
            <w:vAlign w:val="center"/>
          </w:tcPr>
          <w:p w14:paraId="2E0113A6">
            <w:pPr>
              <w:pStyle w:val="557"/>
            </w:pPr>
          </w:p>
        </w:tc>
        <w:tc>
          <w:tcPr>
            <w:tcW w:w="1195" w:type="pct"/>
            <w:vMerge w:val="continue"/>
            <w:vAlign w:val="center"/>
          </w:tcPr>
          <w:p w14:paraId="7A5B8C63">
            <w:pPr>
              <w:pStyle w:val="557"/>
            </w:pPr>
          </w:p>
        </w:tc>
        <w:tc>
          <w:tcPr>
            <w:tcW w:w="855" w:type="pct"/>
            <w:vAlign w:val="center"/>
          </w:tcPr>
          <w:p w14:paraId="25259DF0">
            <w:pPr>
              <w:pStyle w:val="557"/>
            </w:pPr>
            <w:r>
              <w:rPr>
                <w:rFonts w:hint="eastAsia"/>
              </w:rPr>
              <w:t>氮氧化物</w:t>
            </w:r>
          </w:p>
        </w:tc>
        <w:tc>
          <w:tcPr>
            <w:tcW w:w="682" w:type="pct"/>
            <w:vAlign w:val="center"/>
          </w:tcPr>
          <w:p w14:paraId="2F28D04A">
            <w:pPr>
              <w:pStyle w:val="557"/>
            </w:pPr>
            <w:r>
              <w:rPr>
                <w:kern w:val="0"/>
                <w:lang w:bidi="ar"/>
              </w:rPr>
              <w:t>11.70</w:t>
            </w:r>
          </w:p>
        </w:tc>
        <w:tc>
          <w:tcPr>
            <w:tcW w:w="601" w:type="pct"/>
            <w:vAlign w:val="center"/>
          </w:tcPr>
          <w:p w14:paraId="4BCB6107">
            <w:pPr>
              <w:pStyle w:val="557"/>
            </w:pPr>
            <w:r>
              <w:rPr>
                <w:kern w:val="0"/>
                <w:lang w:bidi="ar"/>
              </w:rPr>
              <w:t>1.71</w:t>
            </w:r>
          </w:p>
        </w:tc>
        <w:tc>
          <w:tcPr>
            <w:tcW w:w="644" w:type="pct"/>
            <w:vAlign w:val="center"/>
          </w:tcPr>
          <w:p w14:paraId="54562195">
            <w:pPr>
              <w:pStyle w:val="557"/>
            </w:pPr>
            <w:r>
              <w:rPr>
                <w:kern w:val="0"/>
                <w:lang w:bidi="ar"/>
              </w:rPr>
              <w:t>13.68</w:t>
            </w:r>
          </w:p>
        </w:tc>
      </w:tr>
      <w:tr w14:paraId="581C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restart"/>
            <w:vAlign w:val="center"/>
          </w:tcPr>
          <w:p w14:paraId="1F19C172">
            <w:pPr>
              <w:pStyle w:val="557"/>
            </w:pPr>
            <w:r>
              <w:t>主要排放口合计</w:t>
            </w:r>
          </w:p>
        </w:tc>
        <w:tc>
          <w:tcPr>
            <w:tcW w:w="2138" w:type="pct"/>
            <w:gridSpan w:val="3"/>
            <w:vAlign w:val="center"/>
          </w:tcPr>
          <w:p w14:paraId="3A1EF7A6">
            <w:pPr>
              <w:pStyle w:val="557"/>
            </w:pPr>
            <w:r>
              <w:t>NH</w:t>
            </w:r>
            <w:r>
              <w:rPr>
                <w:vertAlign w:val="subscript"/>
              </w:rPr>
              <w:t>3</w:t>
            </w:r>
          </w:p>
        </w:tc>
        <w:tc>
          <w:tcPr>
            <w:tcW w:w="644" w:type="pct"/>
            <w:vAlign w:val="center"/>
          </w:tcPr>
          <w:p w14:paraId="510F6ED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7.992</w:t>
            </w:r>
          </w:p>
        </w:tc>
      </w:tr>
      <w:tr w14:paraId="054A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54F4191C">
            <w:pPr>
              <w:pStyle w:val="557"/>
            </w:pPr>
          </w:p>
        </w:tc>
        <w:tc>
          <w:tcPr>
            <w:tcW w:w="2138" w:type="pct"/>
            <w:gridSpan w:val="3"/>
            <w:vAlign w:val="center"/>
          </w:tcPr>
          <w:p w14:paraId="33741C4B">
            <w:pPr>
              <w:pStyle w:val="557"/>
            </w:pPr>
            <w:r>
              <w:rPr>
                <w:rFonts w:hint="eastAsia"/>
              </w:rPr>
              <w:t>NO</w:t>
            </w:r>
            <w:r>
              <w:rPr>
                <w:rFonts w:hint="eastAsia"/>
                <w:vertAlign w:val="subscript"/>
              </w:rPr>
              <w:t>X</w:t>
            </w:r>
          </w:p>
        </w:tc>
        <w:tc>
          <w:tcPr>
            <w:tcW w:w="644" w:type="pct"/>
            <w:vAlign w:val="center"/>
          </w:tcPr>
          <w:p w14:paraId="086E29EA">
            <w:pPr>
              <w:pStyle w:val="557"/>
            </w:pPr>
            <w:r>
              <w:rPr>
                <w:rFonts w:eastAsia="等线"/>
              </w:rPr>
              <w:t>45.81</w:t>
            </w:r>
          </w:p>
        </w:tc>
      </w:tr>
      <w:tr w14:paraId="4D70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1AED7BE3">
            <w:pPr>
              <w:pStyle w:val="557"/>
            </w:pPr>
          </w:p>
        </w:tc>
        <w:tc>
          <w:tcPr>
            <w:tcW w:w="2138" w:type="pct"/>
            <w:gridSpan w:val="3"/>
            <w:vAlign w:val="center"/>
          </w:tcPr>
          <w:p w14:paraId="23B676E7">
            <w:pPr>
              <w:pStyle w:val="557"/>
            </w:pPr>
            <w:r>
              <w:rPr>
                <w:rFonts w:hint="eastAsia"/>
              </w:rPr>
              <w:t>SO</w:t>
            </w:r>
            <w:r>
              <w:rPr>
                <w:rFonts w:hint="eastAsia"/>
                <w:vertAlign w:val="subscript"/>
              </w:rPr>
              <w:t>2</w:t>
            </w:r>
          </w:p>
        </w:tc>
        <w:tc>
          <w:tcPr>
            <w:tcW w:w="644" w:type="pct"/>
            <w:vAlign w:val="center"/>
          </w:tcPr>
          <w:p w14:paraId="29FC41AE">
            <w:pPr>
              <w:pStyle w:val="557"/>
            </w:pPr>
            <w:r>
              <w:rPr>
                <w:rFonts w:eastAsia="等线"/>
                <w:color w:val="000000"/>
              </w:rPr>
              <w:t>26.97</w:t>
            </w:r>
          </w:p>
        </w:tc>
      </w:tr>
      <w:tr w14:paraId="4BBF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6C4B417E">
            <w:pPr>
              <w:pStyle w:val="557"/>
            </w:pPr>
          </w:p>
        </w:tc>
        <w:tc>
          <w:tcPr>
            <w:tcW w:w="2138" w:type="pct"/>
            <w:gridSpan w:val="3"/>
            <w:vAlign w:val="center"/>
          </w:tcPr>
          <w:p w14:paraId="1E1C820D">
            <w:pPr>
              <w:pStyle w:val="557"/>
            </w:pPr>
            <w:r>
              <w:rPr>
                <w:rFonts w:hint="eastAsia"/>
              </w:rPr>
              <w:t>颗粒物</w:t>
            </w:r>
          </w:p>
        </w:tc>
        <w:tc>
          <w:tcPr>
            <w:tcW w:w="644" w:type="pct"/>
            <w:vAlign w:val="center"/>
          </w:tcPr>
          <w:p w14:paraId="46B5E931">
            <w:pPr>
              <w:pStyle w:val="557"/>
              <w:rPr>
                <w:highlight w:val="yellow"/>
              </w:rPr>
            </w:pPr>
            <w:r>
              <w:rPr>
                <w:rFonts w:eastAsia="等线"/>
                <w:color w:val="000000"/>
              </w:rPr>
              <w:t>110.55</w:t>
            </w:r>
          </w:p>
        </w:tc>
      </w:tr>
      <w:tr w14:paraId="29FB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1735DECD">
            <w:pPr>
              <w:pStyle w:val="557"/>
            </w:pPr>
          </w:p>
        </w:tc>
        <w:tc>
          <w:tcPr>
            <w:tcW w:w="2138" w:type="pct"/>
            <w:gridSpan w:val="3"/>
            <w:vAlign w:val="center"/>
          </w:tcPr>
          <w:p w14:paraId="08B10CEF">
            <w:pPr>
              <w:pStyle w:val="557"/>
            </w:pPr>
            <w:r>
              <w:rPr>
                <w:rFonts w:hint="eastAsia"/>
              </w:rPr>
              <w:t>甲醇</w:t>
            </w:r>
          </w:p>
        </w:tc>
        <w:tc>
          <w:tcPr>
            <w:tcW w:w="644" w:type="pct"/>
            <w:vAlign w:val="center"/>
          </w:tcPr>
          <w:p w14:paraId="0B49D19E">
            <w:pPr>
              <w:pStyle w:val="557"/>
              <w:rPr>
                <w:highlight w:val="yellow"/>
              </w:rPr>
            </w:pPr>
            <w:r>
              <w:rPr>
                <w:rFonts w:eastAsia="等线"/>
              </w:rPr>
              <w:t>0.304</w:t>
            </w:r>
          </w:p>
        </w:tc>
      </w:tr>
      <w:tr w14:paraId="2483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29F86FC3">
            <w:pPr>
              <w:pStyle w:val="557"/>
            </w:pPr>
          </w:p>
        </w:tc>
        <w:tc>
          <w:tcPr>
            <w:tcW w:w="2138" w:type="pct"/>
            <w:gridSpan w:val="3"/>
            <w:vAlign w:val="center"/>
          </w:tcPr>
          <w:p w14:paraId="3AE45D5D">
            <w:pPr>
              <w:pStyle w:val="557"/>
            </w:pPr>
            <w:r>
              <w:rPr>
                <w:rFonts w:hint="eastAsia"/>
              </w:rPr>
              <w:t>硫酸雾</w:t>
            </w:r>
          </w:p>
        </w:tc>
        <w:tc>
          <w:tcPr>
            <w:tcW w:w="644" w:type="pct"/>
            <w:vAlign w:val="center"/>
          </w:tcPr>
          <w:p w14:paraId="65DE843C">
            <w:pPr>
              <w:pStyle w:val="557"/>
            </w:pPr>
            <w:r>
              <w:rPr>
                <w:rFonts w:eastAsia="等线"/>
              </w:rPr>
              <w:t>2.3</w:t>
            </w:r>
          </w:p>
        </w:tc>
      </w:tr>
      <w:tr w14:paraId="16B6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7"/>
            <w:vAlign w:val="center"/>
          </w:tcPr>
          <w:p w14:paraId="7466617D">
            <w:pPr>
              <w:pStyle w:val="557"/>
              <w:rPr>
                <w:color w:val="EE0000"/>
              </w:rPr>
            </w:pPr>
            <w:r>
              <w:t>一般排放口</w:t>
            </w:r>
          </w:p>
        </w:tc>
      </w:tr>
      <w:tr w14:paraId="6170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0366DC7B">
            <w:pPr>
              <w:pStyle w:val="557"/>
            </w:pPr>
            <w:r>
              <w:rPr>
                <w:rFonts w:hint="eastAsia"/>
              </w:rPr>
              <w:t>1</w:t>
            </w:r>
          </w:p>
        </w:tc>
        <w:tc>
          <w:tcPr>
            <w:tcW w:w="694" w:type="pct"/>
            <w:vAlign w:val="center"/>
          </w:tcPr>
          <w:p w14:paraId="1C250518">
            <w:pPr>
              <w:pStyle w:val="557"/>
            </w:pPr>
            <w:r>
              <w:t>DA01-00</w:t>
            </w:r>
            <w:r>
              <w:rPr>
                <w:rFonts w:hint="eastAsia"/>
              </w:rPr>
              <w:t>1</w:t>
            </w:r>
          </w:p>
        </w:tc>
        <w:tc>
          <w:tcPr>
            <w:tcW w:w="1195" w:type="pct"/>
            <w:vAlign w:val="center"/>
          </w:tcPr>
          <w:p w14:paraId="53413C37">
            <w:pPr>
              <w:pStyle w:val="557"/>
              <w:rPr>
                <w:lang w:eastAsia="zh"/>
              </w:rPr>
            </w:pPr>
            <w:r>
              <w:rPr>
                <w:rFonts w:hint="eastAsia" w:ascii="宋体" w:hAnsi="宋体" w:cs="宋体"/>
                <w:kern w:val="0"/>
                <w:lang w:eastAsia="zh" w:bidi="ar"/>
              </w:rPr>
              <w:t>原料煤仓废气</w:t>
            </w:r>
          </w:p>
        </w:tc>
        <w:tc>
          <w:tcPr>
            <w:tcW w:w="855" w:type="pct"/>
            <w:vAlign w:val="center"/>
          </w:tcPr>
          <w:p w14:paraId="08AFE34C">
            <w:pPr>
              <w:pStyle w:val="557"/>
            </w:pPr>
            <w:r>
              <w:t>颗粒物</w:t>
            </w:r>
          </w:p>
        </w:tc>
        <w:tc>
          <w:tcPr>
            <w:tcW w:w="682" w:type="pct"/>
            <w:vAlign w:val="center"/>
          </w:tcPr>
          <w:p w14:paraId="5EAFA1DD">
            <w:pPr>
              <w:pStyle w:val="557"/>
            </w:pPr>
            <w:r>
              <w:rPr>
                <w:rFonts w:hint="eastAsia"/>
                <w:kern w:val="0"/>
                <w:lang w:bidi="ar"/>
              </w:rPr>
              <w:t>18.75</w:t>
            </w:r>
          </w:p>
        </w:tc>
        <w:tc>
          <w:tcPr>
            <w:tcW w:w="601" w:type="pct"/>
            <w:vAlign w:val="center"/>
          </w:tcPr>
          <w:p w14:paraId="12E19186">
            <w:pPr>
              <w:pStyle w:val="557"/>
            </w:pPr>
            <w:r>
              <w:rPr>
                <w:kern w:val="0"/>
                <w:lang w:bidi="ar"/>
              </w:rPr>
              <w:t>0.15</w:t>
            </w:r>
          </w:p>
        </w:tc>
        <w:tc>
          <w:tcPr>
            <w:tcW w:w="644" w:type="pct"/>
            <w:vAlign w:val="center"/>
          </w:tcPr>
          <w:p w14:paraId="72988D48">
            <w:pPr>
              <w:pStyle w:val="557"/>
            </w:pPr>
            <w:r>
              <w:rPr>
                <w:kern w:val="0"/>
                <w:lang w:bidi="ar"/>
              </w:rPr>
              <w:t>1.19</w:t>
            </w:r>
          </w:p>
        </w:tc>
      </w:tr>
      <w:tr w14:paraId="114E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43704213">
            <w:pPr>
              <w:pStyle w:val="557"/>
            </w:pPr>
            <w:r>
              <w:rPr>
                <w:rFonts w:hint="eastAsia"/>
              </w:rPr>
              <w:t>2</w:t>
            </w:r>
          </w:p>
        </w:tc>
        <w:tc>
          <w:tcPr>
            <w:tcW w:w="694" w:type="pct"/>
            <w:vMerge w:val="restart"/>
            <w:vAlign w:val="center"/>
          </w:tcPr>
          <w:p w14:paraId="44A3A6AC">
            <w:pPr>
              <w:pStyle w:val="557"/>
            </w:pPr>
            <w:r>
              <w:t>DA01-00</w:t>
            </w:r>
            <w:r>
              <w:rPr>
                <w:rFonts w:hint="eastAsia"/>
              </w:rPr>
              <w:t>2</w:t>
            </w:r>
          </w:p>
        </w:tc>
        <w:tc>
          <w:tcPr>
            <w:tcW w:w="1195" w:type="pct"/>
            <w:vMerge w:val="restart"/>
            <w:vAlign w:val="center"/>
          </w:tcPr>
          <w:p w14:paraId="553DF12B">
            <w:pPr>
              <w:pStyle w:val="557"/>
              <w:rPr>
                <w:rFonts w:hint="eastAsia" w:ascii="宋体" w:hAnsi="宋体" w:cs="宋体"/>
                <w:kern w:val="0"/>
                <w:lang w:eastAsia="zh" w:bidi="ar"/>
              </w:rPr>
            </w:pPr>
            <w:r>
              <w:t>磨煤干燥废气</w:t>
            </w:r>
          </w:p>
        </w:tc>
        <w:tc>
          <w:tcPr>
            <w:tcW w:w="855" w:type="pct"/>
            <w:vAlign w:val="center"/>
          </w:tcPr>
          <w:p w14:paraId="4459F2E9">
            <w:pPr>
              <w:pStyle w:val="557"/>
            </w:pPr>
            <w:r>
              <w:t>颗粒物</w:t>
            </w:r>
          </w:p>
        </w:tc>
        <w:tc>
          <w:tcPr>
            <w:tcW w:w="682" w:type="pct"/>
            <w:vAlign w:val="center"/>
          </w:tcPr>
          <w:p w14:paraId="49C8AAE3">
            <w:pPr>
              <w:pStyle w:val="557"/>
            </w:pPr>
            <w:r>
              <w:rPr>
                <w:kern w:val="0"/>
                <w:lang w:bidi="ar"/>
              </w:rPr>
              <w:t xml:space="preserve">13.35 </w:t>
            </w:r>
          </w:p>
        </w:tc>
        <w:tc>
          <w:tcPr>
            <w:tcW w:w="601" w:type="pct"/>
            <w:vAlign w:val="center"/>
          </w:tcPr>
          <w:p w14:paraId="3250A2ED">
            <w:pPr>
              <w:pStyle w:val="557"/>
            </w:pPr>
            <w:r>
              <w:rPr>
                <w:kern w:val="0"/>
                <w:lang w:bidi="ar"/>
              </w:rPr>
              <w:t>0.7075</w:t>
            </w:r>
          </w:p>
        </w:tc>
        <w:tc>
          <w:tcPr>
            <w:tcW w:w="644" w:type="pct"/>
            <w:vAlign w:val="center"/>
          </w:tcPr>
          <w:p w14:paraId="5A873D7B">
            <w:pPr>
              <w:pStyle w:val="557"/>
            </w:pPr>
            <w:r>
              <w:rPr>
                <w:kern w:val="0"/>
                <w:lang w:bidi="ar"/>
              </w:rPr>
              <w:t>5.66</w:t>
            </w:r>
          </w:p>
        </w:tc>
      </w:tr>
      <w:tr w14:paraId="5434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0AB64439">
            <w:pPr>
              <w:pStyle w:val="557"/>
            </w:pPr>
          </w:p>
        </w:tc>
        <w:tc>
          <w:tcPr>
            <w:tcW w:w="694" w:type="pct"/>
            <w:vMerge w:val="continue"/>
            <w:vAlign w:val="center"/>
          </w:tcPr>
          <w:p w14:paraId="0D64024C">
            <w:pPr>
              <w:pStyle w:val="557"/>
            </w:pPr>
          </w:p>
        </w:tc>
        <w:tc>
          <w:tcPr>
            <w:tcW w:w="1195" w:type="pct"/>
            <w:vMerge w:val="continue"/>
            <w:vAlign w:val="center"/>
          </w:tcPr>
          <w:p w14:paraId="50B8CAF1">
            <w:pPr>
              <w:pStyle w:val="557"/>
            </w:pPr>
          </w:p>
        </w:tc>
        <w:tc>
          <w:tcPr>
            <w:tcW w:w="855" w:type="pct"/>
            <w:vAlign w:val="center"/>
          </w:tcPr>
          <w:p w14:paraId="5C4E5544">
            <w:pPr>
              <w:pStyle w:val="557"/>
            </w:pPr>
            <w:r>
              <w:t>NO</w:t>
            </w:r>
            <w:r>
              <w:rPr>
                <w:vertAlign w:val="subscript"/>
              </w:rPr>
              <w:t>X</w:t>
            </w:r>
          </w:p>
        </w:tc>
        <w:tc>
          <w:tcPr>
            <w:tcW w:w="682" w:type="pct"/>
            <w:vAlign w:val="center"/>
          </w:tcPr>
          <w:p w14:paraId="442A0A1D">
            <w:pPr>
              <w:pStyle w:val="557"/>
            </w:pPr>
            <w:r>
              <w:rPr>
                <w:kern w:val="0"/>
                <w:lang w:bidi="ar"/>
              </w:rPr>
              <w:t>100</w:t>
            </w:r>
          </w:p>
        </w:tc>
        <w:tc>
          <w:tcPr>
            <w:tcW w:w="601" w:type="pct"/>
            <w:vAlign w:val="center"/>
          </w:tcPr>
          <w:p w14:paraId="1BD2D068">
            <w:pPr>
              <w:pStyle w:val="557"/>
            </w:pPr>
            <w:r>
              <w:rPr>
                <w:kern w:val="0"/>
                <w:lang w:bidi="ar"/>
              </w:rPr>
              <w:t>5.3</w:t>
            </w:r>
          </w:p>
        </w:tc>
        <w:tc>
          <w:tcPr>
            <w:tcW w:w="644" w:type="pct"/>
            <w:vAlign w:val="center"/>
          </w:tcPr>
          <w:p w14:paraId="0191DF68">
            <w:pPr>
              <w:pStyle w:val="557"/>
            </w:pPr>
            <w:r>
              <w:rPr>
                <w:kern w:val="0"/>
                <w:lang w:bidi="ar"/>
              </w:rPr>
              <w:t>42.4</w:t>
            </w:r>
          </w:p>
        </w:tc>
      </w:tr>
      <w:tr w14:paraId="4725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7389C6BA">
            <w:pPr>
              <w:pStyle w:val="557"/>
            </w:pPr>
            <w:r>
              <w:rPr>
                <w:rFonts w:hint="eastAsia"/>
              </w:rPr>
              <w:t>3</w:t>
            </w:r>
          </w:p>
        </w:tc>
        <w:tc>
          <w:tcPr>
            <w:tcW w:w="694" w:type="pct"/>
            <w:vAlign w:val="center"/>
          </w:tcPr>
          <w:p w14:paraId="0799C5FC">
            <w:pPr>
              <w:pStyle w:val="557"/>
            </w:pPr>
            <w:r>
              <w:t>DA01-003</w:t>
            </w:r>
          </w:p>
        </w:tc>
        <w:tc>
          <w:tcPr>
            <w:tcW w:w="1195" w:type="pct"/>
            <w:vAlign w:val="center"/>
          </w:tcPr>
          <w:p w14:paraId="314D0421">
            <w:pPr>
              <w:pStyle w:val="557"/>
            </w:pPr>
            <w:r>
              <w:rPr>
                <w:rFonts w:hint="eastAsia"/>
              </w:rPr>
              <w:t>粉煤锁斗排气</w:t>
            </w:r>
          </w:p>
        </w:tc>
        <w:tc>
          <w:tcPr>
            <w:tcW w:w="855" w:type="pct"/>
            <w:vAlign w:val="center"/>
          </w:tcPr>
          <w:p w14:paraId="72A42693">
            <w:pPr>
              <w:pStyle w:val="557"/>
            </w:pPr>
            <w:r>
              <w:t>颗粒物</w:t>
            </w:r>
          </w:p>
        </w:tc>
        <w:tc>
          <w:tcPr>
            <w:tcW w:w="682" w:type="pct"/>
            <w:vAlign w:val="center"/>
          </w:tcPr>
          <w:p w14:paraId="1E68C546">
            <w:pPr>
              <w:pStyle w:val="557"/>
            </w:pPr>
            <w:r>
              <w:rPr>
                <w:rFonts w:hint="eastAsia"/>
                <w:kern w:val="0"/>
                <w:lang w:bidi="ar"/>
              </w:rPr>
              <w:t>17.65</w:t>
            </w:r>
          </w:p>
        </w:tc>
        <w:tc>
          <w:tcPr>
            <w:tcW w:w="601" w:type="pct"/>
            <w:vAlign w:val="center"/>
          </w:tcPr>
          <w:p w14:paraId="3464C940">
            <w:pPr>
              <w:pStyle w:val="557"/>
            </w:pPr>
            <w:r>
              <w:rPr>
                <w:kern w:val="0"/>
                <w:lang w:bidi="ar"/>
              </w:rPr>
              <w:t>0.15</w:t>
            </w:r>
          </w:p>
        </w:tc>
        <w:tc>
          <w:tcPr>
            <w:tcW w:w="644" w:type="pct"/>
            <w:vAlign w:val="center"/>
          </w:tcPr>
          <w:p w14:paraId="19896648">
            <w:pPr>
              <w:pStyle w:val="557"/>
            </w:pPr>
            <w:r>
              <w:rPr>
                <w:kern w:val="0"/>
                <w:lang w:bidi="ar"/>
              </w:rPr>
              <w:t>1.19</w:t>
            </w:r>
          </w:p>
        </w:tc>
      </w:tr>
      <w:tr w14:paraId="796E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0910F902">
            <w:pPr>
              <w:pStyle w:val="557"/>
            </w:pPr>
            <w:r>
              <w:rPr>
                <w:rFonts w:hint="eastAsia"/>
              </w:rPr>
              <w:t>4</w:t>
            </w:r>
          </w:p>
        </w:tc>
        <w:tc>
          <w:tcPr>
            <w:tcW w:w="694" w:type="pct"/>
            <w:vMerge w:val="restart"/>
            <w:vAlign w:val="center"/>
          </w:tcPr>
          <w:p w14:paraId="6B2D6743">
            <w:pPr>
              <w:pStyle w:val="557"/>
            </w:pPr>
            <w:r>
              <w:t>DA01-00</w:t>
            </w:r>
            <w:r>
              <w:rPr>
                <w:rFonts w:hint="eastAsia"/>
              </w:rPr>
              <w:t>4</w:t>
            </w:r>
          </w:p>
        </w:tc>
        <w:tc>
          <w:tcPr>
            <w:tcW w:w="1195" w:type="pct"/>
            <w:vMerge w:val="restart"/>
            <w:vAlign w:val="center"/>
          </w:tcPr>
          <w:p w14:paraId="47DF759E">
            <w:pPr>
              <w:pStyle w:val="557"/>
            </w:pPr>
            <w:r>
              <w:rPr>
                <w:rFonts w:hint="eastAsia" w:ascii="宋体" w:hAnsi="宋体" w:cs="宋体"/>
                <w:kern w:val="0"/>
                <w:lang w:bidi="ar"/>
              </w:rPr>
              <w:t>真空泵排气</w:t>
            </w:r>
          </w:p>
        </w:tc>
        <w:tc>
          <w:tcPr>
            <w:tcW w:w="855" w:type="pct"/>
            <w:vAlign w:val="center"/>
          </w:tcPr>
          <w:p w14:paraId="62B00709">
            <w:pPr>
              <w:pStyle w:val="557"/>
            </w:pPr>
            <w:r>
              <w:t>H</w:t>
            </w:r>
            <w:r>
              <w:rPr>
                <w:vertAlign w:val="subscript"/>
              </w:rPr>
              <w:t>2</w:t>
            </w:r>
            <w:r>
              <w:t>S</w:t>
            </w:r>
          </w:p>
        </w:tc>
        <w:tc>
          <w:tcPr>
            <w:tcW w:w="682" w:type="pct"/>
            <w:vAlign w:val="center"/>
          </w:tcPr>
          <w:p w14:paraId="160ADFE7">
            <w:pPr>
              <w:pStyle w:val="557"/>
            </w:pPr>
            <w:r>
              <w:t>/</w:t>
            </w:r>
          </w:p>
        </w:tc>
        <w:tc>
          <w:tcPr>
            <w:tcW w:w="601" w:type="pct"/>
            <w:vAlign w:val="center"/>
          </w:tcPr>
          <w:p w14:paraId="3A3C6F85">
            <w:pPr>
              <w:pStyle w:val="557"/>
            </w:pPr>
            <w:r>
              <w:t>0.001</w:t>
            </w:r>
          </w:p>
        </w:tc>
        <w:tc>
          <w:tcPr>
            <w:tcW w:w="644" w:type="pct"/>
            <w:vAlign w:val="center"/>
          </w:tcPr>
          <w:p w14:paraId="3B8F098C">
            <w:pPr>
              <w:pStyle w:val="557"/>
            </w:pPr>
            <w:r>
              <w:t>0.008</w:t>
            </w:r>
          </w:p>
        </w:tc>
      </w:tr>
      <w:tr w14:paraId="3A87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107232FA">
            <w:pPr>
              <w:pStyle w:val="557"/>
            </w:pPr>
          </w:p>
        </w:tc>
        <w:tc>
          <w:tcPr>
            <w:tcW w:w="694" w:type="pct"/>
            <w:vMerge w:val="continue"/>
            <w:vAlign w:val="center"/>
          </w:tcPr>
          <w:p w14:paraId="081A63E3">
            <w:pPr>
              <w:pStyle w:val="557"/>
            </w:pPr>
          </w:p>
        </w:tc>
        <w:tc>
          <w:tcPr>
            <w:tcW w:w="1195" w:type="pct"/>
            <w:vMerge w:val="continue"/>
            <w:vAlign w:val="center"/>
          </w:tcPr>
          <w:p w14:paraId="77769E61">
            <w:pPr>
              <w:pStyle w:val="557"/>
              <w:rPr>
                <w:rFonts w:hint="eastAsia" w:ascii="宋体" w:hAnsi="宋体" w:cs="宋体"/>
                <w:kern w:val="0"/>
                <w:lang w:bidi="ar"/>
              </w:rPr>
            </w:pPr>
          </w:p>
        </w:tc>
        <w:tc>
          <w:tcPr>
            <w:tcW w:w="855" w:type="pct"/>
            <w:vAlign w:val="center"/>
          </w:tcPr>
          <w:p w14:paraId="1CA6E1CE">
            <w:pPr>
              <w:pStyle w:val="557"/>
            </w:pPr>
            <w:r>
              <w:rPr>
                <w:rFonts w:hint="eastAsia"/>
              </w:rPr>
              <w:t>氨</w:t>
            </w:r>
          </w:p>
        </w:tc>
        <w:tc>
          <w:tcPr>
            <w:tcW w:w="682" w:type="pct"/>
            <w:vAlign w:val="center"/>
          </w:tcPr>
          <w:p w14:paraId="49316B56">
            <w:pPr>
              <w:pStyle w:val="557"/>
            </w:pPr>
            <w:r>
              <w:rPr>
                <w:rFonts w:hint="eastAsia"/>
              </w:rPr>
              <w:t>/</w:t>
            </w:r>
          </w:p>
        </w:tc>
        <w:tc>
          <w:tcPr>
            <w:tcW w:w="601" w:type="pct"/>
            <w:vAlign w:val="center"/>
          </w:tcPr>
          <w:p w14:paraId="07EF915F">
            <w:pPr>
              <w:pStyle w:val="557"/>
            </w:pPr>
            <w:r>
              <w:rPr>
                <w:rFonts w:hint="eastAsia"/>
              </w:rPr>
              <w:t>0.11</w:t>
            </w:r>
          </w:p>
        </w:tc>
        <w:tc>
          <w:tcPr>
            <w:tcW w:w="644" w:type="pct"/>
            <w:vAlign w:val="center"/>
          </w:tcPr>
          <w:p w14:paraId="0CA895CC">
            <w:pPr>
              <w:pStyle w:val="557"/>
            </w:pPr>
            <w:r>
              <w:rPr>
                <w:rFonts w:hint="eastAsia"/>
              </w:rPr>
              <w:t>0.88</w:t>
            </w:r>
          </w:p>
        </w:tc>
      </w:tr>
      <w:tr w14:paraId="58DB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7979E303">
            <w:pPr>
              <w:pStyle w:val="557"/>
            </w:pPr>
            <w:r>
              <w:rPr>
                <w:rFonts w:hint="eastAsia"/>
              </w:rPr>
              <w:t>5</w:t>
            </w:r>
          </w:p>
        </w:tc>
        <w:tc>
          <w:tcPr>
            <w:tcW w:w="694" w:type="pct"/>
            <w:vMerge w:val="restart"/>
            <w:vAlign w:val="center"/>
          </w:tcPr>
          <w:p w14:paraId="5406E113">
            <w:pPr>
              <w:pStyle w:val="557"/>
            </w:pPr>
            <w:r>
              <w:t>DA02-001</w:t>
            </w:r>
          </w:p>
        </w:tc>
        <w:tc>
          <w:tcPr>
            <w:tcW w:w="1195" w:type="pct"/>
            <w:vMerge w:val="restart"/>
            <w:vAlign w:val="center"/>
          </w:tcPr>
          <w:p w14:paraId="26F580D4">
            <w:pPr>
              <w:pStyle w:val="557"/>
            </w:pPr>
            <w:r>
              <w:rPr>
                <w:rFonts w:hint="eastAsia"/>
              </w:rPr>
              <w:t>低温甲醇洗尾气</w:t>
            </w:r>
          </w:p>
        </w:tc>
        <w:tc>
          <w:tcPr>
            <w:tcW w:w="855" w:type="pct"/>
            <w:vAlign w:val="center"/>
          </w:tcPr>
          <w:p w14:paraId="335C0036">
            <w:pPr>
              <w:pStyle w:val="557"/>
            </w:pPr>
            <w:r>
              <w:t>H</w:t>
            </w:r>
            <w:r>
              <w:rPr>
                <w:vertAlign w:val="subscript"/>
              </w:rPr>
              <w:t>2</w:t>
            </w:r>
            <w:r>
              <w:t>S</w:t>
            </w:r>
          </w:p>
        </w:tc>
        <w:tc>
          <w:tcPr>
            <w:tcW w:w="682" w:type="pct"/>
            <w:vAlign w:val="center"/>
          </w:tcPr>
          <w:p w14:paraId="6B80DE1F">
            <w:pPr>
              <w:pStyle w:val="557"/>
            </w:pPr>
            <w:r>
              <w:rPr>
                <w:kern w:val="0"/>
                <w:lang w:bidi="ar"/>
              </w:rPr>
              <w:t>5.52</w:t>
            </w:r>
          </w:p>
        </w:tc>
        <w:tc>
          <w:tcPr>
            <w:tcW w:w="601" w:type="pct"/>
            <w:vAlign w:val="center"/>
          </w:tcPr>
          <w:p w14:paraId="49D6488B">
            <w:pPr>
              <w:pStyle w:val="557"/>
            </w:pPr>
            <w:r>
              <w:rPr>
                <w:kern w:val="0"/>
                <w:lang w:bidi="ar"/>
              </w:rPr>
              <w:t>0.13</w:t>
            </w:r>
          </w:p>
        </w:tc>
        <w:tc>
          <w:tcPr>
            <w:tcW w:w="644" w:type="pct"/>
            <w:vAlign w:val="center"/>
          </w:tcPr>
          <w:p w14:paraId="3CA9CAF2">
            <w:pPr>
              <w:pStyle w:val="557"/>
            </w:pPr>
            <w:r>
              <w:rPr>
                <w:kern w:val="0"/>
                <w:lang w:bidi="ar"/>
              </w:rPr>
              <w:t>1.04</w:t>
            </w:r>
          </w:p>
        </w:tc>
      </w:tr>
      <w:tr w14:paraId="7CA0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78C67503">
            <w:pPr>
              <w:pStyle w:val="557"/>
            </w:pPr>
          </w:p>
        </w:tc>
        <w:tc>
          <w:tcPr>
            <w:tcW w:w="694" w:type="pct"/>
            <w:vMerge w:val="continue"/>
            <w:vAlign w:val="center"/>
          </w:tcPr>
          <w:p w14:paraId="7083FC75">
            <w:pPr>
              <w:pStyle w:val="557"/>
            </w:pPr>
          </w:p>
        </w:tc>
        <w:tc>
          <w:tcPr>
            <w:tcW w:w="1195" w:type="pct"/>
            <w:vMerge w:val="continue"/>
            <w:vAlign w:val="center"/>
          </w:tcPr>
          <w:p w14:paraId="127904D3">
            <w:pPr>
              <w:pStyle w:val="557"/>
            </w:pPr>
          </w:p>
        </w:tc>
        <w:tc>
          <w:tcPr>
            <w:tcW w:w="855" w:type="pct"/>
            <w:vAlign w:val="center"/>
          </w:tcPr>
          <w:p w14:paraId="47BAD0EB">
            <w:pPr>
              <w:pStyle w:val="557"/>
            </w:pPr>
            <w:r>
              <w:t>CH</w:t>
            </w:r>
            <w:r>
              <w:rPr>
                <w:vertAlign w:val="subscript"/>
              </w:rPr>
              <w:t>3</w:t>
            </w:r>
            <w:r>
              <w:t>OH</w:t>
            </w:r>
          </w:p>
        </w:tc>
        <w:tc>
          <w:tcPr>
            <w:tcW w:w="682" w:type="pct"/>
            <w:vAlign w:val="center"/>
          </w:tcPr>
          <w:p w14:paraId="64ED9F09">
            <w:pPr>
              <w:pStyle w:val="557"/>
            </w:pPr>
            <w:r>
              <w:rPr>
                <w:kern w:val="0"/>
                <w:lang w:bidi="ar"/>
              </w:rPr>
              <w:t>23.86</w:t>
            </w:r>
          </w:p>
        </w:tc>
        <w:tc>
          <w:tcPr>
            <w:tcW w:w="601" w:type="pct"/>
            <w:vAlign w:val="center"/>
          </w:tcPr>
          <w:p w14:paraId="0AFB0A0B">
            <w:pPr>
              <w:pStyle w:val="557"/>
            </w:pPr>
            <w:r>
              <w:rPr>
                <w:kern w:val="0"/>
                <w:lang w:bidi="ar"/>
              </w:rPr>
              <w:t>0.5775</w:t>
            </w:r>
          </w:p>
        </w:tc>
        <w:tc>
          <w:tcPr>
            <w:tcW w:w="644" w:type="pct"/>
            <w:vAlign w:val="center"/>
          </w:tcPr>
          <w:p w14:paraId="5BBCFF71">
            <w:pPr>
              <w:pStyle w:val="557"/>
            </w:pPr>
            <w:r>
              <w:rPr>
                <w:kern w:val="0"/>
                <w:lang w:bidi="ar"/>
              </w:rPr>
              <w:t>4.62</w:t>
            </w:r>
          </w:p>
        </w:tc>
      </w:tr>
      <w:tr w14:paraId="6913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33B94015">
            <w:pPr>
              <w:pStyle w:val="557"/>
            </w:pPr>
            <w:r>
              <w:rPr>
                <w:rFonts w:hint="eastAsia"/>
              </w:rPr>
              <w:t>6</w:t>
            </w:r>
          </w:p>
        </w:tc>
        <w:tc>
          <w:tcPr>
            <w:tcW w:w="694" w:type="pct"/>
            <w:vAlign w:val="center"/>
          </w:tcPr>
          <w:p w14:paraId="64DC47DC">
            <w:pPr>
              <w:pStyle w:val="557"/>
            </w:pPr>
            <w:r>
              <w:t>DA0</w:t>
            </w:r>
            <w:r>
              <w:rPr>
                <w:rFonts w:hint="eastAsia"/>
              </w:rPr>
              <w:t>7</w:t>
            </w:r>
            <w:r>
              <w:t>-001</w:t>
            </w:r>
          </w:p>
        </w:tc>
        <w:tc>
          <w:tcPr>
            <w:tcW w:w="1195" w:type="pct"/>
            <w:vAlign w:val="center"/>
          </w:tcPr>
          <w:p w14:paraId="71BDA1C7">
            <w:pPr>
              <w:pStyle w:val="557"/>
              <w:rPr>
                <w:rFonts w:hint="eastAsia" w:ascii="宋体" w:hAnsi="宋体" w:cs="宋体"/>
                <w:kern w:val="0"/>
                <w:lang w:bidi="ar"/>
              </w:rPr>
            </w:pPr>
            <w:r>
              <w:rPr>
                <w:rFonts w:hint="eastAsia" w:ascii="宋体" w:hAnsi="宋体" w:cs="宋体"/>
                <w:kern w:val="0"/>
                <w:lang w:bidi="ar"/>
              </w:rPr>
              <w:t>有机缓释肥装置-</w:t>
            </w:r>
          </w:p>
          <w:p w14:paraId="12F44DDA">
            <w:pPr>
              <w:pStyle w:val="557"/>
            </w:pPr>
            <w:r>
              <w:rPr>
                <w:rFonts w:hint="eastAsia" w:ascii="宋体" w:hAnsi="宋体" w:cs="宋体"/>
                <w:kern w:val="0"/>
                <w:lang w:bidi="ar"/>
              </w:rPr>
              <w:t>1#投料废气</w:t>
            </w:r>
          </w:p>
        </w:tc>
        <w:tc>
          <w:tcPr>
            <w:tcW w:w="855" w:type="pct"/>
            <w:vAlign w:val="center"/>
          </w:tcPr>
          <w:p w14:paraId="415B4FBB">
            <w:pPr>
              <w:pStyle w:val="557"/>
            </w:pPr>
            <w:r>
              <w:t>颗粒物</w:t>
            </w:r>
          </w:p>
        </w:tc>
        <w:tc>
          <w:tcPr>
            <w:tcW w:w="682" w:type="pct"/>
            <w:vAlign w:val="center"/>
          </w:tcPr>
          <w:p w14:paraId="670E80DD">
            <w:pPr>
              <w:pStyle w:val="557"/>
              <w:rPr>
                <w:kern w:val="0"/>
                <w:lang w:bidi="ar"/>
              </w:rPr>
            </w:pPr>
            <w:r>
              <w:rPr>
                <w:kern w:val="0"/>
                <w:lang w:bidi="ar"/>
              </w:rPr>
              <w:t>9.30</w:t>
            </w:r>
          </w:p>
        </w:tc>
        <w:tc>
          <w:tcPr>
            <w:tcW w:w="601" w:type="pct"/>
            <w:vAlign w:val="center"/>
          </w:tcPr>
          <w:p w14:paraId="32728683">
            <w:pPr>
              <w:pStyle w:val="557"/>
              <w:rPr>
                <w:kern w:val="0"/>
                <w:lang w:bidi="ar"/>
              </w:rPr>
            </w:pPr>
            <w:r>
              <w:rPr>
                <w:kern w:val="0"/>
                <w:lang w:bidi="ar"/>
              </w:rPr>
              <w:t>0.2</w:t>
            </w:r>
          </w:p>
        </w:tc>
        <w:tc>
          <w:tcPr>
            <w:tcW w:w="644" w:type="pct"/>
            <w:vAlign w:val="center"/>
          </w:tcPr>
          <w:p w14:paraId="6E9F1C77">
            <w:pPr>
              <w:pStyle w:val="557"/>
              <w:rPr>
                <w:kern w:val="0"/>
                <w:lang w:bidi="ar"/>
              </w:rPr>
            </w:pPr>
            <w:r>
              <w:rPr>
                <w:kern w:val="0"/>
                <w:lang w:bidi="ar"/>
              </w:rPr>
              <w:t>1.6</w:t>
            </w:r>
          </w:p>
        </w:tc>
      </w:tr>
      <w:tr w14:paraId="263B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3BDEBB3B">
            <w:pPr>
              <w:pStyle w:val="557"/>
            </w:pPr>
            <w:r>
              <w:rPr>
                <w:rFonts w:hint="eastAsia"/>
              </w:rPr>
              <w:t>7</w:t>
            </w:r>
          </w:p>
        </w:tc>
        <w:tc>
          <w:tcPr>
            <w:tcW w:w="694" w:type="pct"/>
            <w:vAlign w:val="center"/>
          </w:tcPr>
          <w:p w14:paraId="6AC1A78A">
            <w:pPr>
              <w:pStyle w:val="557"/>
            </w:pPr>
            <w:r>
              <w:t>DA0</w:t>
            </w:r>
            <w:r>
              <w:rPr>
                <w:rFonts w:hint="eastAsia"/>
              </w:rPr>
              <w:t>7</w:t>
            </w:r>
            <w:r>
              <w:t>-00</w:t>
            </w:r>
            <w:r>
              <w:rPr>
                <w:rFonts w:hint="eastAsia"/>
              </w:rPr>
              <w:t>2</w:t>
            </w:r>
          </w:p>
        </w:tc>
        <w:tc>
          <w:tcPr>
            <w:tcW w:w="1195" w:type="pct"/>
            <w:vAlign w:val="center"/>
          </w:tcPr>
          <w:p w14:paraId="2245428F">
            <w:pPr>
              <w:pStyle w:val="557"/>
              <w:rPr>
                <w:rFonts w:hint="eastAsia" w:ascii="宋体" w:hAnsi="宋体" w:cs="宋体"/>
                <w:kern w:val="0"/>
                <w:lang w:bidi="ar"/>
              </w:rPr>
            </w:pPr>
            <w:r>
              <w:rPr>
                <w:rFonts w:hint="eastAsia" w:ascii="宋体" w:hAnsi="宋体" w:cs="宋体"/>
                <w:kern w:val="0"/>
                <w:lang w:bidi="ar"/>
              </w:rPr>
              <w:t>有机缓释肥装置-</w:t>
            </w:r>
          </w:p>
          <w:p w14:paraId="5617313A">
            <w:pPr>
              <w:pStyle w:val="557"/>
            </w:pPr>
            <w:r>
              <w:rPr>
                <w:rFonts w:hint="eastAsia" w:ascii="宋体" w:hAnsi="宋体" w:cs="宋体"/>
                <w:kern w:val="0"/>
                <w:lang w:bidi="ar"/>
              </w:rPr>
              <w:t>2#投料废气</w:t>
            </w:r>
          </w:p>
        </w:tc>
        <w:tc>
          <w:tcPr>
            <w:tcW w:w="855" w:type="pct"/>
            <w:vAlign w:val="center"/>
          </w:tcPr>
          <w:p w14:paraId="52C870A3">
            <w:pPr>
              <w:pStyle w:val="557"/>
            </w:pPr>
            <w:r>
              <w:t>颗粒物</w:t>
            </w:r>
          </w:p>
        </w:tc>
        <w:tc>
          <w:tcPr>
            <w:tcW w:w="682" w:type="pct"/>
            <w:vAlign w:val="center"/>
          </w:tcPr>
          <w:p w14:paraId="6E95ECA3">
            <w:pPr>
              <w:pStyle w:val="557"/>
              <w:rPr>
                <w:kern w:val="0"/>
                <w:lang w:bidi="ar"/>
              </w:rPr>
            </w:pPr>
            <w:r>
              <w:rPr>
                <w:kern w:val="0"/>
                <w:lang w:bidi="ar"/>
              </w:rPr>
              <w:t xml:space="preserve">9.30 </w:t>
            </w:r>
          </w:p>
        </w:tc>
        <w:tc>
          <w:tcPr>
            <w:tcW w:w="601" w:type="pct"/>
            <w:vAlign w:val="center"/>
          </w:tcPr>
          <w:p w14:paraId="08A417BD">
            <w:pPr>
              <w:pStyle w:val="557"/>
              <w:rPr>
                <w:kern w:val="0"/>
                <w:lang w:bidi="ar"/>
              </w:rPr>
            </w:pPr>
            <w:r>
              <w:rPr>
                <w:kern w:val="0"/>
                <w:lang w:bidi="ar"/>
              </w:rPr>
              <w:t>0.2</w:t>
            </w:r>
          </w:p>
        </w:tc>
        <w:tc>
          <w:tcPr>
            <w:tcW w:w="644" w:type="pct"/>
            <w:vAlign w:val="center"/>
          </w:tcPr>
          <w:p w14:paraId="1A2F5E24">
            <w:pPr>
              <w:pStyle w:val="557"/>
              <w:rPr>
                <w:kern w:val="0"/>
                <w:lang w:bidi="ar"/>
              </w:rPr>
            </w:pPr>
            <w:r>
              <w:rPr>
                <w:kern w:val="0"/>
                <w:lang w:bidi="ar"/>
              </w:rPr>
              <w:t>1.6</w:t>
            </w:r>
          </w:p>
        </w:tc>
      </w:tr>
      <w:tr w14:paraId="3E9D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4CDB1CBA">
            <w:pPr>
              <w:pStyle w:val="557"/>
            </w:pPr>
            <w:r>
              <w:rPr>
                <w:rFonts w:hint="eastAsia"/>
              </w:rPr>
              <w:t>8</w:t>
            </w:r>
          </w:p>
        </w:tc>
        <w:tc>
          <w:tcPr>
            <w:tcW w:w="694" w:type="pct"/>
            <w:vAlign w:val="center"/>
          </w:tcPr>
          <w:p w14:paraId="0CE9F12D">
            <w:pPr>
              <w:pStyle w:val="557"/>
            </w:pPr>
            <w:r>
              <w:t>DA0</w:t>
            </w:r>
            <w:r>
              <w:rPr>
                <w:rFonts w:hint="eastAsia"/>
              </w:rPr>
              <w:t>7</w:t>
            </w:r>
            <w:r>
              <w:t>-00</w:t>
            </w:r>
            <w:r>
              <w:rPr>
                <w:rFonts w:hint="eastAsia"/>
              </w:rPr>
              <w:t>5</w:t>
            </w:r>
          </w:p>
        </w:tc>
        <w:tc>
          <w:tcPr>
            <w:tcW w:w="1195" w:type="pct"/>
            <w:vAlign w:val="center"/>
          </w:tcPr>
          <w:p w14:paraId="05D60A84">
            <w:pPr>
              <w:pStyle w:val="557"/>
            </w:pPr>
            <w:r>
              <w:rPr>
                <w:kern w:val="0"/>
                <w:lang w:bidi="ar"/>
              </w:rPr>
              <w:t>1#</w:t>
            </w:r>
            <w:r>
              <w:rPr>
                <w:rFonts w:hint="eastAsia" w:ascii="宋体" w:hAnsi="宋体" w:cs="宋体"/>
                <w:kern w:val="0"/>
                <w:lang w:bidi="ar"/>
              </w:rPr>
              <w:t>冷却废气</w:t>
            </w:r>
          </w:p>
        </w:tc>
        <w:tc>
          <w:tcPr>
            <w:tcW w:w="855" w:type="pct"/>
            <w:vAlign w:val="center"/>
          </w:tcPr>
          <w:p w14:paraId="7F5E2225">
            <w:pPr>
              <w:pStyle w:val="557"/>
            </w:pPr>
            <w:r>
              <w:t>颗粒物</w:t>
            </w:r>
          </w:p>
        </w:tc>
        <w:tc>
          <w:tcPr>
            <w:tcW w:w="682" w:type="pct"/>
            <w:vAlign w:val="center"/>
          </w:tcPr>
          <w:p w14:paraId="5950EE7C">
            <w:pPr>
              <w:pStyle w:val="557"/>
              <w:rPr>
                <w:kern w:val="0"/>
                <w:lang w:bidi="ar"/>
              </w:rPr>
            </w:pPr>
            <w:r>
              <w:rPr>
                <w:kern w:val="0"/>
                <w:lang w:bidi="ar"/>
              </w:rPr>
              <w:t>0.75</w:t>
            </w:r>
          </w:p>
        </w:tc>
        <w:tc>
          <w:tcPr>
            <w:tcW w:w="601" w:type="pct"/>
            <w:vAlign w:val="center"/>
          </w:tcPr>
          <w:p w14:paraId="10D9ED6E">
            <w:pPr>
              <w:pStyle w:val="557"/>
              <w:rPr>
                <w:kern w:val="0"/>
                <w:lang w:bidi="ar"/>
              </w:rPr>
            </w:pPr>
            <w:r>
              <w:rPr>
                <w:kern w:val="0"/>
                <w:lang w:bidi="ar"/>
              </w:rPr>
              <w:t>0.0375</w:t>
            </w:r>
          </w:p>
        </w:tc>
        <w:tc>
          <w:tcPr>
            <w:tcW w:w="644" w:type="pct"/>
            <w:vAlign w:val="center"/>
          </w:tcPr>
          <w:p w14:paraId="13765B66">
            <w:pPr>
              <w:pStyle w:val="557"/>
              <w:rPr>
                <w:kern w:val="0"/>
                <w:lang w:bidi="ar"/>
              </w:rPr>
            </w:pPr>
            <w:r>
              <w:rPr>
                <w:kern w:val="0"/>
                <w:lang w:bidi="ar"/>
              </w:rPr>
              <w:t>0.3</w:t>
            </w:r>
          </w:p>
        </w:tc>
      </w:tr>
      <w:tr w14:paraId="2C7E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2854C327">
            <w:pPr>
              <w:pStyle w:val="557"/>
            </w:pPr>
            <w:r>
              <w:rPr>
                <w:rFonts w:hint="eastAsia"/>
              </w:rPr>
              <w:t>9</w:t>
            </w:r>
          </w:p>
        </w:tc>
        <w:tc>
          <w:tcPr>
            <w:tcW w:w="694" w:type="pct"/>
            <w:vAlign w:val="center"/>
          </w:tcPr>
          <w:p w14:paraId="56CF6916">
            <w:pPr>
              <w:pStyle w:val="557"/>
            </w:pPr>
            <w:r>
              <w:t>DA0</w:t>
            </w:r>
            <w:r>
              <w:rPr>
                <w:rFonts w:hint="eastAsia"/>
              </w:rPr>
              <w:t>7</w:t>
            </w:r>
            <w:r>
              <w:t>-00</w:t>
            </w:r>
            <w:r>
              <w:rPr>
                <w:rFonts w:hint="eastAsia"/>
              </w:rPr>
              <w:t>6</w:t>
            </w:r>
          </w:p>
        </w:tc>
        <w:tc>
          <w:tcPr>
            <w:tcW w:w="1195" w:type="pct"/>
            <w:vAlign w:val="center"/>
          </w:tcPr>
          <w:p w14:paraId="6DFF5A7D">
            <w:pPr>
              <w:pStyle w:val="557"/>
            </w:pPr>
            <w:r>
              <w:rPr>
                <w:rFonts w:hint="eastAsia"/>
                <w:kern w:val="0"/>
                <w:lang w:bidi="ar"/>
              </w:rPr>
              <w:t>2</w:t>
            </w:r>
            <w:r>
              <w:rPr>
                <w:kern w:val="0"/>
                <w:lang w:bidi="ar"/>
              </w:rPr>
              <w:t>#</w:t>
            </w:r>
            <w:r>
              <w:rPr>
                <w:rFonts w:hint="eastAsia" w:ascii="宋体" w:hAnsi="宋体" w:cs="宋体"/>
                <w:kern w:val="0"/>
                <w:lang w:bidi="ar"/>
              </w:rPr>
              <w:t>冷却废气</w:t>
            </w:r>
          </w:p>
        </w:tc>
        <w:tc>
          <w:tcPr>
            <w:tcW w:w="855" w:type="pct"/>
            <w:vAlign w:val="center"/>
          </w:tcPr>
          <w:p w14:paraId="783F6405">
            <w:pPr>
              <w:pStyle w:val="557"/>
            </w:pPr>
            <w:r>
              <w:t>颗粒物</w:t>
            </w:r>
          </w:p>
        </w:tc>
        <w:tc>
          <w:tcPr>
            <w:tcW w:w="682" w:type="pct"/>
            <w:vAlign w:val="center"/>
          </w:tcPr>
          <w:p w14:paraId="32ED0256">
            <w:pPr>
              <w:pStyle w:val="557"/>
              <w:rPr>
                <w:kern w:val="0"/>
                <w:lang w:bidi="ar"/>
              </w:rPr>
            </w:pPr>
            <w:r>
              <w:rPr>
                <w:kern w:val="0"/>
                <w:lang w:bidi="ar"/>
              </w:rPr>
              <w:t>0.75</w:t>
            </w:r>
          </w:p>
        </w:tc>
        <w:tc>
          <w:tcPr>
            <w:tcW w:w="601" w:type="pct"/>
            <w:vAlign w:val="center"/>
          </w:tcPr>
          <w:p w14:paraId="497F7415">
            <w:pPr>
              <w:pStyle w:val="557"/>
              <w:rPr>
                <w:kern w:val="0"/>
                <w:lang w:bidi="ar"/>
              </w:rPr>
            </w:pPr>
            <w:r>
              <w:rPr>
                <w:kern w:val="0"/>
                <w:lang w:bidi="ar"/>
              </w:rPr>
              <w:t>0.0375</w:t>
            </w:r>
          </w:p>
        </w:tc>
        <w:tc>
          <w:tcPr>
            <w:tcW w:w="644" w:type="pct"/>
            <w:vAlign w:val="center"/>
          </w:tcPr>
          <w:p w14:paraId="39953779">
            <w:pPr>
              <w:pStyle w:val="557"/>
              <w:rPr>
                <w:kern w:val="0"/>
                <w:lang w:bidi="ar"/>
              </w:rPr>
            </w:pPr>
            <w:r>
              <w:rPr>
                <w:kern w:val="0"/>
                <w:lang w:bidi="ar"/>
              </w:rPr>
              <w:t>0.3</w:t>
            </w:r>
          </w:p>
        </w:tc>
      </w:tr>
      <w:tr w14:paraId="666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restart"/>
            <w:vAlign w:val="center"/>
          </w:tcPr>
          <w:p w14:paraId="79156EE5">
            <w:pPr>
              <w:pStyle w:val="557"/>
            </w:pPr>
            <w:r>
              <w:rPr>
                <w:rFonts w:hint="eastAsia"/>
              </w:rPr>
              <w:t>10</w:t>
            </w:r>
          </w:p>
        </w:tc>
        <w:tc>
          <w:tcPr>
            <w:tcW w:w="694" w:type="pct"/>
            <w:vMerge w:val="restart"/>
            <w:vAlign w:val="center"/>
          </w:tcPr>
          <w:p w14:paraId="464C5315">
            <w:pPr>
              <w:pStyle w:val="557"/>
            </w:pPr>
            <w:r>
              <w:rPr>
                <w:rFonts w:hint="eastAsia"/>
              </w:rPr>
              <w:t>DA08-001</w:t>
            </w:r>
          </w:p>
        </w:tc>
        <w:tc>
          <w:tcPr>
            <w:tcW w:w="1195" w:type="pct"/>
            <w:vMerge w:val="restart"/>
            <w:vAlign w:val="center"/>
          </w:tcPr>
          <w:p w14:paraId="791C2B43">
            <w:pPr>
              <w:pStyle w:val="557"/>
            </w:pPr>
            <w:r>
              <w:rPr>
                <w:rFonts w:hint="eastAsia"/>
              </w:rPr>
              <w:t>污水处理站</w:t>
            </w:r>
          </w:p>
        </w:tc>
        <w:tc>
          <w:tcPr>
            <w:tcW w:w="855" w:type="pct"/>
            <w:vAlign w:val="center"/>
          </w:tcPr>
          <w:p w14:paraId="48B492FD">
            <w:pPr>
              <w:pStyle w:val="557"/>
            </w:pPr>
            <w:r>
              <w:t>NMHC</w:t>
            </w:r>
          </w:p>
        </w:tc>
        <w:tc>
          <w:tcPr>
            <w:tcW w:w="682" w:type="pct"/>
            <w:vAlign w:val="center"/>
          </w:tcPr>
          <w:p w14:paraId="5277D23E">
            <w:pPr>
              <w:pStyle w:val="557"/>
            </w:pPr>
            <w:r>
              <w:rPr>
                <w:kern w:val="0"/>
                <w:lang w:bidi="ar"/>
              </w:rPr>
              <w:t>28</w:t>
            </w:r>
          </w:p>
        </w:tc>
        <w:tc>
          <w:tcPr>
            <w:tcW w:w="601" w:type="pct"/>
            <w:vAlign w:val="center"/>
          </w:tcPr>
          <w:p w14:paraId="59C988A9">
            <w:pPr>
              <w:pStyle w:val="557"/>
            </w:pPr>
            <w:r>
              <w:rPr>
                <w:kern w:val="0"/>
                <w:lang w:bidi="ar"/>
              </w:rPr>
              <w:t>0.56</w:t>
            </w:r>
          </w:p>
        </w:tc>
        <w:tc>
          <w:tcPr>
            <w:tcW w:w="644" w:type="pct"/>
            <w:vAlign w:val="center"/>
          </w:tcPr>
          <w:p w14:paraId="238CAA11">
            <w:pPr>
              <w:pStyle w:val="557"/>
            </w:pPr>
            <w:r>
              <w:rPr>
                <w:kern w:val="0"/>
                <w:lang w:bidi="ar"/>
              </w:rPr>
              <w:t>4.48</w:t>
            </w:r>
          </w:p>
        </w:tc>
      </w:tr>
      <w:tr w14:paraId="25A2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4D9E0296">
            <w:pPr>
              <w:pStyle w:val="557"/>
            </w:pPr>
          </w:p>
        </w:tc>
        <w:tc>
          <w:tcPr>
            <w:tcW w:w="694" w:type="pct"/>
            <w:vMerge w:val="continue"/>
            <w:vAlign w:val="center"/>
          </w:tcPr>
          <w:p w14:paraId="41D61E24">
            <w:pPr>
              <w:pStyle w:val="557"/>
            </w:pPr>
          </w:p>
        </w:tc>
        <w:tc>
          <w:tcPr>
            <w:tcW w:w="1195" w:type="pct"/>
            <w:vMerge w:val="continue"/>
            <w:vAlign w:val="center"/>
          </w:tcPr>
          <w:p w14:paraId="4E4F2943">
            <w:pPr>
              <w:pStyle w:val="557"/>
            </w:pPr>
          </w:p>
        </w:tc>
        <w:tc>
          <w:tcPr>
            <w:tcW w:w="855" w:type="pct"/>
            <w:vAlign w:val="center"/>
          </w:tcPr>
          <w:p w14:paraId="4DEED58B">
            <w:pPr>
              <w:pStyle w:val="557"/>
            </w:pPr>
            <w:r>
              <w:rPr>
                <w:rFonts w:hint="eastAsia"/>
              </w:rPr>
              <w:t>氨</w:t>
            </w:r>
          </w:p>
        </w:tc>
        <w:tc>
          <w:tcPr>
            <w:tcW w:w="682" w:type="pct"/>
            <w:vAlign w:val="center"/>
          </w:tcPr>
          <w:p w14:paraId="5E83060B">
            <w:pPr>
              <w:pStyle w:val="557"/>
            </w:pPr>
            <w:r>
              <w:rPr>
                <w:kern w:val="0"/>
                <w:lang w:bidi="ar"/>
              </w:rPr>
              <w:t>0.9</w:t>
            </w:r>
          </w:p>
        </w:tc>
        <w:tc>
          <w:tcPr>
            <w:tcW w:w="601" w:type="pct"/>
            <w:vAlign w:val="center"/>
          </w:tcPr>
          <w:p w14:paraId="638BB7F3">
            <w:pPr>
              <w:pStyle w:val="557"/>
            </w:pPr>
            <w:r>
              <w:rPr>
                <w:kern w:val="0"/>
                <w:lang w:bidi="ar"/>
              </w:rPr>
              <w:t>0.018</w:t>
            </w:r>
          </w:p>
        </w:tc>
        <w:tc>
          <w:tcPr>
            <w:tcW w:w="644" w:type="pct"/>
            <w:vAlign w:val="center"/>
          </w:tcPr>
          <w:p w14:paraId="021CCAF6">
            <w:pPr>
              <w:pStyle w:val="557"/>
            </w:pPr>
            <w:r>
              <w:rPr>
                <w:kern w:val="0"/>
                <w:lang w:bidi="ar"/>
              </w:rPr>
              <w:t>0.144</w:t>
            </w:r>
          </w:p>
        </w:tc>
      </w:tr>
      <w:tr w14:paraId="065C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Merge w:val="continue"/>
            <w:vAlign w:val="center"/>
          </w:tcPr>
          <w:p w14:paraId="74571C27">
            <w:pPr>
              <w:pStyle w:val="557"/>
            </w:pPr>
          </w:p>
        </w:tc>
        <w:tc>
          <w:tcPr>
            <w:tcW w:w="694" w:type="pct"/>
            <w:vMerge w:val="continue"/>
            <w:vAlign w:val="center"/>
          </w:tcPr>
          <w:p w14:paraId="4CDFFE3A">
            <w:pPr>
              <w:pStyle w:val="557"/>
            </w:pPr>
          </w:p>
        </w:tc>
        <w:tc>
          <w:tcPr>
            <w:tcW w:w="1195" w:type="pct"/>
            <w:vMerge w:val="continue"/>
            <w:vAlign w:val="center"/>
          </w:tcPr>
          <w:p w14:paraId="4828CCDD">
            <w:pPr>
              <w:pStyle w:val="557"/>
            </w:pPr>
          </w:p>
        </w:tc>
        <w:tc>
          <w:tcPr>
            <w:tcW w:w="855" w:type="pct"/>
            <w:vAlign w:val="center"/>
          </w:tcPr>
          <w:p w14:paraId="6048134C">
            <w:pPr>
              <w:pStyle w:val="557"/>
            </w:pPr>
            <w:r>
              <w:rPr>
                <w:rFonts w:hint="eastAsia"/>
              </w:rPr>
              <w:t>硫化氢</w:t>
            </w:r>
          </w:p>
        </w:tc>
        <w:tc>
          <w:tcPr>
            <w:tcW w:w="682" w:type="pct"/>
            <w:vAlign w:val="center"/>
          </w:tcPr>
          <w:p w14:paraId="481942B8">
            <w:pPr>
              <w:pStyle w:val="557"/>
            </w:pPr>
            <w:r>
              <w:rPr>
                <w:kern w:val="0"/>
                <w:lang w:bidi="ar"/>
              </w:rPr>
              <w:t>0.45</w:t>
            </w:r>
          </w:p>
        </w:tc>
        <w:tc>
          <w:tcPr>
            <w:tcW w:w="601" w:type="pct"/>
            <w:vAlign w:val="center"/>
          </w:tcPr>
          <w:p w14:paraId="0C216D34">
            <w:pPr>
              <w:pStyle w:val="557"/>
            </w:pPr>
            <w:r>
              <w:rPr>
                <w:kern w:val="0"/>
                <w:lang w:bidi="ar"/>
              </w:rPr>
              <w:t>0.009</w:t>
            </w:r>
          </w:p>
        </w:tc>
        <w:tc>
          <w:tcPr>
            <w:tcW w:w="644" w:type="pct"/>
            <w:vAlign w:val="center"/>
          </w:tcPr>
          <w:p w14:paraId="79672DFE">
            <w:pPr>
              <w:pStyle w:val="557"/>
            </w:pPr>
            <w:r>
              <w:rPr>
                <w:kern w:val="0"/>
                <w:lang w:bidi="ar"/>
              </w:rPr>
              <w:t>0.072</w:t>
            </w:r>
          </w:p>
        </w:tc>
      </w:tr>
      <w:tr w14:paraId="6E29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203936A9">
            <w:pPr>
              <w:pStyle w:val="557"/>
            </w:pPr>
            <w:r>
              <w:rPr>
                <w:rFonts w:hint="eastAsia"/>
              </w:rPr>
              <w:t>11</w:t>
            </w:r>
          </w:p>
        </w:tc>
        <w:tc>
          <w:tcPr>
            <w:tcW w:w="694" w:type="pct"/>
            <w:vAlign w:val="center"/>
          </w:tcPr>
          <w:p w14:paraId="4DF2BDAC">
            <w:pPr>
              <w:pStyle w:val="557"/>
            </w:pPr>
            <w:r>
              <w:rPr>
                <w:rFonts w:hint="eastAsia"/>
              </w:rPr>
              <w:t>DA09-001</w:t>
            </w:r>
          </w:p>
        </w:tc>
        <w:tc>
          <w:tcPr>
            <w:tcW w:w="1195" w:type="pct"/>
            <w:vAlign w:val="center"/>
          </w:tcPr>
          <w:p w14:paraId="746345E0">
            <w:pPr>
              <w:pStyle w:val="557"/>
            </w:pPr>
            <w:r>
              <w:rPr>
                <w:rFonts w:hint="eastAsia" w:ascii="宋体" w:hAnsi="宋体" w:cs="宋体"/>
                <w:kern w:val="0"/>
                <w:lang w:bidi="ar"/>
              </w:rPr>
              <w:t>筛分破碎废气</w:t>
            </w:r>
          </w:p>
        </w:tc>
        <w:tc>
          <w:tcPr>
            <w:tcW w:w="855" w:type="pct"/>
            <w:vAlign w:val="center"/>
          </w:tcPr>
          <w:p w14:paraId="1F7C8CC7">
            <w:pPr>
              <w:pStyle w:val="557"/>
            </w:pPr>
            <w:r>
              <w:t>颗粒物</w:t>
            </w:r>
          </w:p>
        </w:tc>
        <w:tc>
          <w:tcPr>
            <w:tcW w:w="682" w:type="pct"/>
            <w:vAlign w:val="center"/>
          </w:tcPr>
          <w:p w14:paraId="08315F13">
            <w:pPr>
              <w:pStyle w:val="557"/>
              <w:rPr>
                <w:kern w:val="0"/>
                <w:lang w:bidi="ar"/>
              </w:rPr>
            </w:pPr>
            <w:r>
              <w:rPr>
                <w:kern w:val="0"/>
                <w:lang w:bidi="ar"/>
              </w:rPr>
              <w:t>15</w:t>
            </w:r>
          </w:p>
        </w:tc>
        <w:tc>
          <w:tcPr>
            <w:tcW w:w="601" w:type="pct"/>
            <w:vAlign w:val="center"/>
          </w:tcPr>
          <w:p w14:paraId="691918E4">
            <w:pPr>
              <w:pStyle w:val="557"/>
              <w:rPr>
                <w:kern w:val="0"/>
                <w:lang w:bidi="ar"/>
              </w:rPr>
            </w:pPr>
            <w:r>
              <w:rPr>
                <w:kern w:val="0"/>
                <w:lang w:bidi="ar"/>
              </w:rPr>
              <w:t>0.15</w:t>
            </w:r>
          </w:p>
        </w:tc>
        <w:tc>
          <w:tcPr>
            <w:tcW w:w="644" w:type="pct"/>
            <w:vAlign w:val="center"/>
          </w:tcPr>
          <w:p w14:paraId="02DCDD7D">
            <w:pPr>
              <w:pStyle w:val="557"/>
              <w:rPr>
                <w:kern w:val="0"/>
                <w:lang w:bidi="ar"/>
              </w:rPr>
            </w:pPr>
            <w:r>
              <w:rPr>
                <w:kern w:val="0"/>
                <w:lang w:bidi="ar"/>
              </w:rPr>
              <w:t>1.2</w:t>
            </w:r>
          </w:p>
        </w:tc>
      </w:tr>
      <w:tr w14:paraId="4996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537D1A3F">
            <w:pPr>
              <w:pStyle w:val="557"/>
            </w:pPr>
            <w:r>
              <w:rPr>
                <w:rFonts w:hint="eastAsia"/>
              </w:rPr>
              <w:t>12</w:t>
            </w:r>
          </w:p>
        </w:tc>
        <w:tc>
          <w:tcPr>
            <w:tcW w:w="694" w:type="pct"/>
            <w:vAlign w:val="center"/>
          </w:tcPr>
          <w:p w14:paraId="0164D2C2">
            <w:pPr>
              <w:pStyle w:val="557"/>
            </w:pPr>
            <w:r>
              <w:rPr>
                <w:rFonts w:hint="eastAsia"/>
              </w:rPr>
              <w:t>DA09-002</w:t>
            </w:r>
          </w:p>
        </w:tc>
        <w:tc>
          <w:tcPr>
            <w:tcW w:w="1195" w:type="pct"/>
            <w:vAlign w:val="center"/>
          </w:tcPr>
          <w:p w14:paraId="13F61739">
            <w:pPr>
              <w:pStyle w:val="557"/>
            </w:pPr>
            <w:r>
              <w:rPr>
                <w:kern w:val="0"/>
                <w:lang w:bidi="ar"/>
              </w:rPr>
              <w:t>1#</w:t>
            </w:r>
            <w:r>
              <w:rPr>
                <w:rFonts w:hint="eastAsia" w:ascii="宋体" w:hAnsi="宋体" w:cs="宋体"/>
                <w:kern w:val="0"/>
                <w:lang w:bidi="ar"/>
              </w:rPr>
              <w:t>转运站</w:t>
            </w:r>
          </w:p>
        </w:tc>
        <w:tc>
          <w:tcPr>
            <w:tcW w:w="855" w:type="pct"/>
          </w:tcPr>
          <w:p w14:paraId="62E5A8C4">
            <w:pPr>
              <w:pStyle w:val="557"/>
            </w:pPr>
            <w:r>
              <w:t>颗粒物</w:t>
            </w:r>
          </w:p>
        </w:tc>
        <w:tc>
          <w:tcPr>
            <w:tcW w:w="682" w:type="pct"/>
            <w:vAlign w:val="center"/>
          </w:tcPr>
          <w:p w14:paraId="1F88625A">
            <w:pPr>
              <w:pStyle w:val="557"/>
              <w:rPr>
                <w:kern w:val="0"/>
                <w:lang w:bidi="ar"/>
              </w:rPr>
            </w:pPr>
            <w:r>
              <w:rPr>
                <w:kern w:val="0"/>
                <w:lang w:bidi="ar"/>
              </w:rPr>
              <w:t>15</w:t>
            </w:r>
          </w:p>
        </w:tc>
        <w:tc>
          <w:tcPr>
            <w:tcW w:w="601" w:type="pct"/>
            <w:vAlign w:val="center"/>
          </w:tcPr>
          <w:p w14:paraId="4E31CB25">
            <w:pPr>
              <w:pStyle w:val="557"/>
              <w:rPr>
                <w:kern w:val="0"/>
                <w:lang w:bidi="ar"/>
              </w:rPr>
            </w:pPr>
            <w:r>
              <w:rPr>
                <w:kern w:val="0"/>
                <w:lang w:bidi="ar"/>
              </w:rPr>
              <w:t>0.15</w:t>
            </w:r>
          </w:p>
        </w:tc>
        <w:tc>
          <w:tcPr>
            <w:tcW w:w="644" w:type="pct"/>
            <w:vAlign w:val="center"/>
          </w:tcPr>
          <w:p w14:paraId="674B29F9">
            <w:pPr>
              <w:pStyle w:val="557"/>
              <w:rPr>
                <w:kern w:val="0"/>
                <w:lang w:bidi="ar"/>
              </w:rPr>
            </w:pPr>
            <w:r>
              <w:rPr>
                <w:kern w:val="0"/>
                <w:lang w:bidi="ar"/>
              </w:rPr>
              <w:t>1.2</w:t>
            </w:r>
          </w:p>
        </w:tc>
      </w:tr>
      <w:tr w14:paraId="2DB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9" w:type="pct"/>
            <w:vAlign w:val="center"/>
          </w:tcPr>
          <w:p w14:paraId="203CA119">
            <w:pPr>
              <w:pStyle w:val="557"/>
            </w:pPr>
            <w:r>
              <w:rPr>
                <w:rFonts w:hint="eastAsia"/>
              </w:rPr>
              <w:t>13</w:t>
            </w:r>
          </w:p>
        </w:tc>
        <w:tc>
          <w:tcPr>
            <w:tcW w:w="694" w:type="pct"/>
            <w:vAlign w:val="center"/>
          </w:tcPr>
          <w:p w14:paraId="50FD006A">
            <w:pPr>
              <w:pStyle w:val="557"/>
            </w:pPr>
            <w:r>
              <w:rPr>
                <w:rFonts w:hint="eastAsia"/>
              </w:rPr>
              <w:t>DA09-003</w:t>
            </w:r>
          </w:p>
        </w:tc>
        <w:tc>
          <w:tcPr>
            <w:tcW w:w="1195" w:type="pct"/>
            <w:vAlign w:val="center"/>
          </w:tcPr>
          <w:p w14:paraId="1505D587">
            <w:pPr>
              <w:pStyle w:val="557"/>
            </w:pPr>
            <w:r>
              <w:rPr>
                <w:kern w:val="0"/>
                <w:lang w:bidi="ar"/>
              </w:rPr>
              <w:t>2#</w:t>
            </w:r>
            <w:r>
              <w:rPr>
                <w:rFonts w:hint="eastAsia" w:ascii="宋体" w:hAnsi="宋体" w:cs="宋体"/>
                <w:kern w:val="0"/>
                <w:lang w:bidi="ar"/>
              </w:rPr>
              <w:t>转运站</w:t>
            </w:r>
          </w:p>
        </w:tc>
        <w:tc>
          <w:tcPr>
            <w:tcW w:w="855" w:type="pct"/>
          </w:tcPr>
          <w:p w14:paraId="1BDD488E">
            <w:pPr>
              <w:pStyle w:val="557"/>
            </w:pPr>
            <w:r>
              <w:t>颗粒物</w:t>
            </w:r>
          </w:p>
        </w:tc>
        <w:tc>
          <w:tcPr>
            <w:tcW w:w="682" w:type="pct"/>
            <w:vAlign w:val="center"/>
          </w:tcPr>
          <w:p w14:paraId="13351F05">
            <w:pPr>
              <w:pStyle w:val="557"/>
              <w:rPr>
                <w:kern w:val="0"/>
                <w:lang w:bidi="ar"/>
              </w:rPr>
            </w:pPr>
            <w:r>
              <w:rPr>
                <w:kern w:val="0"/>
                <w:lang w:bidi="ar"/>
              </w:rPr>
              <w:t>15</w:t>
            </w:r>
          </w:p>
        </w:tc>
        <w:tc>
          <w:tcPr>
            <w:tcW w:w="601" w:type="pct"/>
            <w:vAlign w:val="center"/>
          </w:tcPr>
          <w:p w14:paraId="77F3B577">
            <w:pPr>
              <w:pStyle w:val="557"/>
              <w:rPr>
                <w:kern w:val="0"/>
                <w:lang w:bidi="ar"/>
              </w:rPr>
            </w:pPr>
            <w:r>
              <w:rPr>
                <w:kern w:val="0"/>
                <w:lang w:bidi="ar"/>
              </w:rPr>
              <w:t>0.15</w:t>
            </w:r>
          </w:p>
        </w:tc>
        <w:tc>
          <w:tcPr>
            <w:tcW w:w="644" w:type="pct"/>
            <w:vAlign w:val="center"/>
          </w:tcPr>
          <w:p w14:paraId="5B858E57">
            <w:pPr>
              <w:pStyle w:val="557"/>
              <w:rPr>
                <w:kern w:val="0"/>
                <w:lang w:bidi="ar"/>
              </w:rPr>
            </w:pPr>
            <w:r>
              <w:rPr>
                <w:kern w:val="0"/>
                <w:lang w:bidi="ar"/>
              </w:rPr>
              <w:t>1.2</w:t>
            </w:r>
          </w:p>
        </w:tc>
      </w:tr>
      <w:tr w14:paraId="1C70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restart"/>
            <w:vAlign w:val="center"/>
          </w:tcPr>
          <w:p w14:paraId="33E6D0B5">
            <w:pPr>
              <w:pStyle w:val="557"/>
            </w:pPr>
            <w:r>
              <w:t>一般排放口合计</w:t>
            </w:r>
          </w:p>
        </w:tc>
        <w:tc>
          <w:tcPr>
            <w:tcW w:w="2138" w:type="pct"/>
            <w:gridSpan w:val="3"/>
            <w:vAlign w:val="center"/>
          </w:tcPr>
          <w:p w14:paraId="38E177C3">
            <w:pPr>
              <w:pStyle w:val="557"/>
            </w:pPr>
            <w:r>
              <w:t>甲醇</w:t>
            </w:r>
          </w:p>
        </w:tc>
        <w:tc>
          <w:tcPr>
            <w:tcW w:w="644" w:type="pct"/>
            <w:vAlign w:val="center"/>
          </w:tcPr>
          <w:p w14:paraId="3CBC3CAC">
            <w:pPr>
              <w:pStyle w:val="557"/>
            </w:pPr>
            <w:r>
              <w:t>4.62</w:t>
            </w:r>
          </w:p>
        </w:tc>
      </w:tr>
      <w:tr w14:paraId="2852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1D691B50">
            <w:pPr>
              <w:pStyle w:val="557"/>
            </w:pPr>
          </w:p>
        </w:tc>
        <w:tc>
          <w:tcPr>
            <w:tcW w:w="2138" w:type="pct"/>
            <w:gridSpan w:val="3"/>
            <w:vAlign w:val="center"/>
          </w:tcPr>
          <w:p w14:paraId="644991F8">
            <w:pPr>
              <w:pStyle w:val="557"/>
            </w:pPr>
            <w:r>
              <w:rPr>
                <w:rFonts w:hint="eastAsia"/>
              </w:rPr>
              <w:t>NMHC</w:t>
            </w:r>
          </w:p>
        </w:tc>
        <w:tc>
          <w:tcPr>
            <w:tcW w:w="644" w:type="pct"/>
            <w:vAlign w:val="center"/>
          </w:tcPr>
          <w:p w14:paraId="7571C2FD">
            <w:pPr>
              <w:pStyle w:val="557"/>
            </w:pPr>
            <w:r>
              <w:t>4.48</w:t>
            </w:r>
          </w:p>
        </w:tc>
      </w:tr>
      <w:tr w14:paraId="3295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79539B3F">
            <w:pPr>
              <w:pStyle w:val="557"/>
            </w:pPr>
          </w:p>
        </w:tc>
        <w:tc>
          <w:tcPr>
            <w:tcW w:w="2138" w:type="pct"/>
            <w:gridSpan w:val="3"/>
            <w:vAlign w:val="center"/>
          </w:tcPr>
          <w:p w14:paraId="1777C902">
            <w:pPr>
              <w:pStyle w:val="557"/>
            </w:pPr>
            <w:r>
              <w:t>H</w:t>
            </w:r>
            <w:r>
              <w:rPr>
                <w:vertAlign w:val="subscript"/>
              </w:rPr>
              <w:t>2</w:t>
            </w:r>
            <w:r>
              <w:t>S</w:t>
            </w:r>
          </w:p>
        </w:tc>
        <w:tc>
          <w:tcPr>
            <w:tcW w:w="644" w:type="pct"/>
            <w:vAlign w:val="center"/>
          </w:tcPr>
          <w:p w14:paraId="696714C9">
            <w:pPr>
              <w:pStyle w:val="557"/>
            </w:pPr>
            <w:r>
              <w:t>1.12</w:t>
            </w:r>
          </w:p>
        </w:tc>
      </w:tr>
      <w:tr w14:paraId="4FFC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25910FF6">
            <w:pPr>
              <w:pStyle w:val="557"/>
            </w:pPr>
          </w:p>
        </w:tc>
        <w:tc>
          <w:tcPr>
            <w:tcW w:w="2138" w:type="pct"/>
            <w:gridSpan w:val="3"/>
            <w:vAlign w:val="center"/>
          </w:tcPr>
          <w:p w14:paraId="491E1FCA">
            <w:pPr>
              <w:pStyle w:val="557"/>
            </w:pPr>
            <w:r>
              <w:t>NO</w:t>
            </w:r>
            <w:r>
              <w:rPr>
                <w:vertAlign w:val="subscript"/>
              </w:rPr>
              <w:t>X</w:t>
            </w:r>
          </w:p>
        </w:tc>
        <w:tc>
          <w:tcPr>
            <w:tcW w:w="644" w:type="pct"/>
            <w:vAlign w:val="center"/>
          </w:tcPr>
          <w:p w14:paraId="29FC52B0">
            <w:pPr>
              <w:pStyle w:val="557"/>
            </w:pPr>
            <w:r>
              <w:t>42.4</w:t>
            </w:r>
          </w:p>
        </w:tc>
      </w:tr>
      <w:tr w14:paraId="7E6D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34BB26AE">
            <w:pPr>
              <w:pStyle w:val="557"/>
            </w:pPr>
          </w:p>
        </w:tc>
        <w:tc>
          <w:tcPr>
            <w:tcW w:w="2138" w:type="pct"/>
            <w:gridSpan w:val="3"/>
            <w:vAlign w:val="center"/>
          </w:tcPr>
          <w:p w14:paraId="0AC7A014">
            <w:pPr>
              <w:pStyle w:val="557"/>
            </w:pPr>
            <w:r>
              <w:t>NH</w:t>
            </w:r>
            <w:r>
              <w:rPr>
                <w:vertAlign w:val="subscript"/>
              </w:rPr>
              <w:t>3</w:t>
            </w:r>
          </w:p>
        </w:tc>
        <w:tc>
          <w:tcPr>
            <w:tcW w:w="644" w:type="pct"/>
            <w:vAlign w:val="center"/>
          </w:tcPr>
          <w:p w14:paraId="2754E1F4">
            <w:pPr>
              <w:pStyle w:val="557"/>
            </w:pPr>
            <w:r>
              <w:rPr>
                <w:rFonts w:hint="eastAsia"/>
              </w:rPr>
              <w:t>1.024</w:t>
            </w:r>
          </w:p>
        </w:tc>
      </w:tr>
      <w:tr w14:paraId="75E1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3A9C41DC">
            <w:pPr>
              <w:pStyle w:val="557"/>
            </w:pPr>
          </w:p>
        </w:tc>
        <w:tc>
          <w:tcPr>
            <w:tcW w:w="2138" w:type="pct"/>
            <w:gridSpan w:val="3"/>
            <w:vAlign w:val="center"/>
          </w:tcPr>
          <w:p w14:paraId="1797627A">
            <w:pPr>
              <w:pStyle w:val="557"/>
            </w:pPr>
            <w:r>
              <w:t>颗粒物</w:t>
            </w:r>
          </w:p>
        </w:tc>
        <w:tc>
          <w:tcPr>
            <w:tcW w:w="644" w:type="pct"/>
            <w:vAlign w:val="center"/>
          </w:tcPr>
          <w:p w14:paraId="25A995B9">
            <w:pPr>
              <w:pStyle w:val="557"/>
            </w:pPr>
            <w:r>
              <w:rPr>
                <w:rFonts w:hint="eastAsia"/>
              </w:rPr>
              <w:t>15.65</w:t>
            </w:r>
          </w:p>
        </w:tc>
      </w:tr>
      <w:tr w14:paraId="135C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7"/>
            <w:vAlign w:val="center"/>
          </w:tcPr>
          <w:p w14:paraId="6C805C27">
            <w:pPr>
              <w:pStyle w:val="557"/>
            </w:pPr>
            <w:r>
              <w:t>有组织排放</w:t>
            </w:r>
          </w:p>
        </w:tc>
      </w:tr>
      <w:tr w14:paraId="1050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restart"/>
            <w:vAlign w:val="center"/>
          </w:tcPr>
          <w:p w14:paraId="53EBD6F3">
            <w:pPr>
              <w:pStyle w:val="557"/>
            </w:pPr>
            <w:r>
              <w:t>有组织排放总计</w:t>
            </w:r>
          </w:p>
        </w:tc>
        <w:tc>
          <w:tcPr>
            <w:tcW w:w="2138" w:type="pct"/>
            <w:gridSpan w:val="3"/>
            <w:vAlign w:val="center"/>
          </w:tcPr>
          <w:p w14:paraId="19A20FD5">
            <w:pPr>
              <w:pStyle w:val="557"/>
            </w:pPr>
            <w:r>
              <w:t>甲醇</w:t>
            </w:r>
          </w:p>
        </w:tc>
        <w:tc>
          <w:tcPr>
            <w:tcW w:w="644" w:type="pct"/>
            <w:vAlign w:val="center"/>
          </w:tcPr>
          <w:p w14:paraId="794612E7">
            <w:pPr>
              <w:pStyle w:val="557"/>
            </w:pPr>
            <w:r>
              <w:t>4.924</w:t>
            </w:r>
          </w:p>
        </w:tc>
      </w:tr>
      <w:tr w14:paraId="4BC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6A460B4A">
            <w:pPr>
              <w:pStyle w:val="557"/>
            </w:pPr>
          </w:p>
        </w:tc>
        <w:tc>
          <w:tcPr>
            <w:tcW w:w="2138" w:type="pct"/>
            <w:gridSpan w:val="3"/>
            <w:vAlign w:val="center"/>
          </w:tcPr>
          <w:p w14:paraId="1C2C0FB8">
            <w:pPr>
              <w:pStyle w:val="557"/>
            </w:pPr>
            <w:r>
              <w:rPr>
                <w:rFonts w:hint="eastAsia"/>
              </w:rPr>
              <w:t>NMHC</w:t>
            </w:r>
          </w:p>
        </w:tc>
        <w:tc>
          <w:tcPr>
            <w:tcW w:w="644" w:type="pct"/>
            <w:vAlign w:val="center"/>
          </w:tcPr>
          <w:p w14:paraId="6163C6A8">
            <w:pPr>
              <w:pStyle w:val="557"/>
            </w:pPr>
            <w:r>
              <w:t>4.48</w:t>
            </w:r>
          </w:p>
        </w:tc>
      </w:tr>
      <w:tr w14:paraId="61A3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781638CB">
            <w:pPr>
              <w:pStyle w:val="557"/>
            </w:pPr>
          </w:p>
        </w:tc>
        <w:tc>
          <w:tcPr>
            <w:tcW w:w="2138" w:type="pct"/>
            <w:gridSpan w:val="3"/>
            <w:vAlign w:val="center"/>
          </w:tcPr>
          <w:p w14:paraId="078DAE4C">
            <w:pPr>
              <w:pStyle w:val="557"/>
            </w:pPr>
            <w:r>
              <w:t>H</w:t>
            </w:r>
            <w:r>
              <w:rPr>
                <w:vertAlign w:val="subscript"/>
              </w:rPr>
              <w:t>2</w:t>
            </w:r>
            <w:r>
              <w:t>S</w:t>
            </w:r>
          </w:p>
        </w:tc>
        <w:tc>
          <w:tcPr>
            <w:tcW w:w="644" w:type="pct"/>
            <w:vAlign w:val="center"/>
          </w:tcPr>
          <w:p w14:paraId="61645879">
            <w:pPr>
              <w:pStyle w:val="557"/>
            </w:pPr>
            <w:r>
              <w:t>1.12</w:t>
            </w:r>
          </w:p>
        </w:tc>
      </w:tr>
      <w:tr w14:paraId="277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45B73087">
            <w:pPr>
              <w:pStyle w:val="557"/>
            </w:pPr>
          </w:p>
        </w:tc>
        <w:tc>
          <w:tcPr>
            <w:tcW w:w="2138" w:type="pct"/>
            <w:gridSpan w:val="3"/>
            <w:vAlign w:val="center"/>
          </w:tcPr>
          <w:p w14:paraId="1FCD8BDA">
            <w:pPr>
              <w:pStyle w:val="557"/>
            </w:pPr>
            <w:r>
              <w:t>SO</w:t>
            </w:r>
            <w:r>
              <w:rPr>
                <w:vertAlign w:val="subscript"/>
              </w:rPr>
              <w:t>2</w:t>
            </w:r>
          </w:p>
        </w:tc>
        <w:tc>
          <w:tcPr>
            <w:tcW w:w="644" w:type="pct"/>
            <w:vAlign w:val="center"/>
          </w:tcPr>
          <w:p w14:paraId="2B7AF7BF">
            <w:pPr>
              <w:pStyle w:val="557"/>
            </w:pPr>
            <w:r>
              <w:rPr>
                <w:rFonts w:hint="eastAsia"/>
              </w:rPr>
              <w:t>26.97</w:t>
            </w:r>
          </w:p>
        </w:tc>
      </w:tr>
      <w:tr w14:paraId="1AD0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560086DF">
            <w:pPr>
              <w:pStyle w:val="557"/>
            </w:pPr>
          </w:p>
        </w:tc>
        <w:tc>
          <w:tcPr>
            <w:tcW w:w="2138" w:type="pct"/>
            <w:gridSpan w:val="3"/>
            <w:vAlign w:val="center"/>
          </w:tcPr>
          <w:p w14:paraId="6D42F685">
            <w:pPr>
              <w:pStyle w:val="557"/>
            </w:pPr>
            <w:r>
              <w:t>NO</w:t>
            </w:r>
            <w:r>
              <w:rPr>
                <w:vertAlign w:val="subscript"/>
              </w:rPr>
              <w:t>X</w:t>
            </w:r>
          </w:p>
        </w:tc>
        <w:tc>
          <w:tcPr>
            <w:tcW w:w="644" w:type="pct"/>
            <w:vAlign w:val="center"/>
          </w:tcPr>
          <w:p w14:paraId="3CF84088">
            <w:pPr>
              <w:pStyle w:val="557"/>
            </w:pPr>
            <w:r>
              <w:t>88.21</w:t>
            </w:r>
          </w:p>
        </w:tc>
      </w:tr>
      <w:tr w14:paraId="3589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498283AA">
            <w:pPr>
              <w:pStyle w:val="557"/>
            </w:pPr>
          </w:p>
        </w:tc>
        <w:tc>
          <w:tcPr>
            <w:tcW w:w="2138" w:type="pct"/>
            <w:gridSpan w:val="3"/>
            <w:vAlign w:val="center"/>
          </w:tcPr>
          <w:p w14:paraId="2F01EBA6">
            <w:pPr>
              <w:pStyle w:val="557"/>
            </w:pPr>
            <w:r>
              <w:t>NH</w:t>
            </w:r>
            <w:r>
              <w:rPr>
                <w:vertAlign w:val="subscript"/>
              </w:rPr>
              <w:t>3</w:t>
            </w:r>
          </w:p>
        </w:tc>
        <w:tc>
          <w:tcPr>
            <w:tcW w:w="644" w:type="pct"/>
            <w:vAlign w:val="center"/>
          </w:tcPr>
          <w:p w14:paraId="77B9FF71">
            <w:pPr>
              <w:pStyle w:val="557"/>
            </w:pPr>
            <w:r>
              <w:rPr>
                <w:rFonts w:hint="eastAsia"/>
              </w:rPr>
              <w:t>9.016</w:t>
            </w:r>
          </w:p>
        </w:tc>
      </w:tr>
      <w:tr w14:paraId="5D90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76C5BB80">
            <w:pPr>
              <w:pStyle w:val="557"/>
            </w:pPr>
          </w:p>
        </w:tc>
        <w:tc>
          <w:tcPr>
            <w:tcW w:w="2138" w:type="pct"/>
            <w:gridSpan w:val="3"/>
            <w:vAlign w:val="center"/>
          </w:tcPr>
          <w:p w14:paraId="1AB70BA6">
            <w:pPr>
              <w:pStyle w:val="557"/>
            </w:pPr>
            <w:r>
              <w:t>颗粒物</w:t>
            </w:r>
          </w:p>
        </w:tc>
        <w:tc>
          <w:tcPr>
            <w:tcW w:w="644" w:type="pct"/>
            <w:vAlign w:val="center"/>
          </w:tcPr>
          <w:p w14:paraId="7B469360">
            <w:pPr>
              <w:pStyle w:val="557"/>
            </w:pPr>
            <w:r>
              <w:rPr>
                <w:rFonts w:hint="eastAsia"/>
              </w:rPr>
              <w:t>125.99</w:t>
            </w:r>
          </w:p>
        </w:tc>
      </w:tr>
      <w:tr w14:paraId="2737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18" w:type="pct"/>
            <w:gridSpan w:val="3"/>
            <w:vMerge w:val="continue"/>
            <w:vAlign w:val="center"/>
          </w:tcPr>
          <w:p w14:paraId="1806C32F">
            <w:pPr>
              <w:pStyle w:val="557"/>
            </w:pPr>
          </w:p>
        </w:tc>
        <w:tc>
          <w:tcPr>
            <w:tcW w:w="2138" w:type="pct"/>
            <w:gridSpan w:val="3"/>
            <w:vAlign w:val="center"/>
          </w:tcPr>
          <w:p w14:paraId="567A9ADE">
            <w:pPr>
              <w:pStyle w:val="557"/>
            </w:pPr>
            <w:r>
              <w:rPr>
                <w:rFonts w:hint="eastAsia"/>
              </w:rPr>
              <w:t>硫酸雾</w:t>
            </w:r>
          </w:p>
        </w:tc>
        <w:tc>
          <w:tcPr>
            <w:tcW w:w="644" w:type="pct"/>
            <w:vAlign w:val="center"/>
          </w:tcPr>
          <w:p w14:paraId="38942AB7">
            <w:pPr>
              <w:pStyle w:val="557"/>
            </w:pPr>
            <w:r>
              <w:t>2.3</w:t>
            </w:r>
          </w:p>
        </w:tc>
      </w:tr>
    </w:tbl>
    <w:p w14:paraId="14C98DC1">
      <w:pPr>
        <w:rPr>
          <w:rFonts w:hint="eastAsia"/>
        </w:rPr>
      </w:pPr>
    </w:p>
    <w:p w14:paraId="134FDD03">
      <w:pPr>
        <w:pStyle w:val="98"/>
        <w:rPr>
          <w:rFonts w:hint="eastAsia"/>
        </w:rPr>
      </w:pPr>
      <w:r>
        <w:t>无组织排放量核算</w:t>
      </w:r>
    </w:p>
    <w:p w14:paraId="79DE82E5">
      <w:pPr>
        <w:pStyle w:val="281"/>
        <w:ind w:firstLine="480"/>
        <w:rPr>
          <w:rFonts w:hint="eastAsia" w:ascii="宋体" w:hAnsi="宋体"/>
        </w:rPr>
      </w:pPr>
      <w:r>
        <w:rPr>
          <w:rFonts w:hint="eastAsia" w:ascii="宋体" w:hAnsi="宋体"/>
        </w:rPr>
        <w:t>无组织排放量核算见表</w:t>
      </w:r>
      <w:r>
        <w:rPr>
          <w:rFonts w:hint="eastAsia"/>
        </w:rPr>
        <w:t>5.2</w:t>
      </w:r>
      <w:r>
        <w:t>.9</w:t>
      </w:r>
      <w:r>
        <w:rPr>
          <w:rFonts w:hint="eastAsia"/>
        </w:rPr>
        <w:t>-</w:t>
      </w:r>
      <w:r>
        <w:t>2</w:t>
      </w:r>
      <w:r>
        <w:rPr>
          <w:rFonts w:hint="eastAsia" w:ascii="宋体" w:hAnsi="宋体"/>
        </w:rPr>
        <w:t>。</w:t>
      </w:r>
    </w:p>
    <w:p w14:paraId="68507DFB">
      <w:pPr>
        <w:pStyle w:val="114"/>
        <w:rPr>
          <w:rFonts w:ascii="Times New Roman" w:hAnsi="Times New Roman"/>
        </w:rPr>
      </w:pPr>
      <w:r>
        <w:rPr>
          <w:rFonts w:hint="eastAsia" w:ascii="宋体" w:eastAsia="宋体"/>
        </w:rPr>
        <w:t>表</w:t>
      </w:r>
      <w:r>
        <w:rPr>
          <w:rFonts w:hint="eastAsia"/>
        </w:rPr>
        <w:t>5.2</w:t>
      </w:r>
      <w:r>
        <w:t>.9</w:t>
      </w:r>
      <w:r>
        <w:rPr>
          <w:rFonts w:hint="eastAsia"/>
        </w:rPr>
        <w:t>-</w:t>
      </w:r>
      <w:r>
        <w:rPr>
          <w:rFonts w:eastAsia="宋体"/>
        </w:rPr>
        <w:t xml:space="preserve">2    </w:t>
      </w:r>
      <w:r>
        <w:rPr>
          <w:rFonts w:ascii="Times New Roman" w:hAnsi="Times New Roman"/>
        </w:rPr>
        <w:t>项目大气污染物无组织排放量核算表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522"/>
        <w:gridCol w:w="429"/>
        <w:gridCol w:w="1931"/>
        <w:gridCol w:w="347"/>
        <w:gridCol w:w="645"/>
        <w:gridCol w:w="658"/>
        <w:gridCol w:w="1682"/>
        <w:gridCol w:w="1194"/>
        <w:gridCol w:w="1097"/>
      </w:tblGrid>
      <w:tr w14:paraId="3744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307" w:type="pct"/>
            <w:vMerge w:val="restart"/>
            <w:vAlign w:val="center"/>
          </w:tcPr>
          <w:p w14:paraId="72FDEA83">
            <w:pPr>
              <w:pStyle w:val="557"/>
            </w:pPr>
            <w:r>
              <w:t>序号</w:t>
            </w:r>
          </w:p>
        </w:tc>
        <w:tc>
          <w:tcPr>
            <w:tcW w:w="252" w:type="pct"/>
            <w:vMerge w:val="restart"/>
            <w:vAlign w:val="center"/>
          </w:tcPr>
          <w:p w14:paraId="121A85C0">
            <w:pPr>
              <w:pStyle w:val="557"/>
            </w:pPr>
            <w:r>
              <w:t>排放口编号</w:t>
            </w:r>
          </w:p>
        </w:tc>
        <w:tc>
          <w:tcPr>
            <w:tcW w:w="1135" w:type="pct"/>
            <w:vMerge w:val="restart"/>
            <w:vAlign w:val="center"/>
          </w:tcPr>
          <w:p w14:paraId="1E89C86E">
            <w:pPr>
              <w:pStyle w:val="557"/>
            </w:pPr>
            <w:r>
              <w:t>产污环节</w:t>
            </w:r>
          </w:p>
        </w:tc>
        <w:tc>
          <w:tcPr>
            <w:tcW w:w="583" w:type="pct"/>
            <w:gridSpan w:val="2"/>
            <w:vMerge w:val="restart"/>
            <w:vAlign w:val="center"/>
          </w:tcPr>
          <w:p w14:paraId="26DAE7D9">
            <w:pPr>
              <w:pStyle w:val="557"/>
            </w:pPr>
            <w:r>
              <w:t>污染物</w:t>
            </w:r>
          </w:p>
        </w:tc>
        <w:tc>
          <w:tcPr>
            <w:tcW w:w="387" w:type="pct"/>
            <w:vMerge w:val="restart"/>
            <w:vAlign w:val="center"/>
          </w:tcPr>
          <w:p w14:paraId="36FD390A">
            <w:pPr>
              <w:pStyle w:val="557"/>
            </w:pPr>
            <w:r>
              <w:t>主要污染防治措施</w:t>
            </w:r>
          </w:p>
        </w:tc>
        <w:tc>
          <w:tcPr>
            <w:tcW w:w="1691" w:type="pct"/>
            <w:gridSpan w:val="2"/>
            <w:vAlign w:val="center"/>
          </w:tcPr>
          <w:p w14:paraId="2B81F9DE">
            <w:pPr>
              <w:pStyle w:val="557"/>
            </w:pPr>
            <w:r>
              <w:t>污染物排放标准</w:t>
            </w:r>
          </w:p>
        </w:tc>
        <w:tc>
          <w:tcPr>
            <w:tcW w:w="645" w:type="pct"/>
            <w:vMerge w:val="restart"/>
            <w:vAlign w:val="center"/>
          </w:tcPr>
          <w:p w14:paraId="345B8D32">
            <w:pPr>
              <w:pStyle w:val="557"/>
            </w:pPr>
            <w:r>
              <w:t>申报年排放量/（t/a）</w:t>
            </w:r>
          </w:p>
        </w:tc>
      </w:tr>
      <w:tr w14:paraId="60D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continue"/>
            <w:vAlign w:val="center"/>
          </w:tcPr>
          <w:p w14:paraId="59C6E434">
            <w:pPr>
              <w:pStyle w:val="557"/>
            </w:pPr>
          </w:p>
        </w:tc>
        <w:tc>
          <w:tcPr>
            <w:tcW w:w="252" w:type="pct"/>
            <w:vMerge w:val="continue"/>
            <w:vAlign w:val="center"/>
          </w:tcPr>
          <w:p w14:paraId="3E2D7402">
            <w:pPr>
              <w:pStyle w:val="557"/>
            </w:pPr>
          </w:p>
        </w:tc>
        <w:tc>
          <w:tcPr>
            <w:tcW w:w="1135" w:type="pct"/>
            <w:vMerge w:val="continue"/>
            <w:vAlign w:val="center"/>
          </w:tcPr>
          <w:p w14:paraId="70C857C0">
            <w:pPr>
              <w:pStyle w:val="557"/>
            </w:pPr>
          </w:p>
        </w:tc>
        <w:tc>
          <w:tcPr>
            <w:tcW w:w="583" w:type="pct"/>
            <w:gridSpan w:val="2"/>
            <w:vMerge w:val="continue"/>
            <w:vAlign w:val="center"/>
          </w:tcPr>
          <w:p w14:paraId="50DB5796">
            <w:pPr>
              <w:pStyle w:val="557"/>
            </w:pPr>
          </w:p>
        </w:tc>
        <w:tc>
          <w:tcPr>
            <w:tcW w:w="387" w:type="pct"/>
            <w:vMerge w:val="continue"/>
            <w:vAlign w:val="center"/>
          </w:tcPr>
          <w:p w14:paraId="09BBF2A2">
            <w:pPr>
              <w:pStyle w:val="557"/>
            </w:pPr>
          </w:p>
        </w:tc>
        <w:tc>
          <w:tcPr>
            <w:tcW w:w="989" w:type="pct"/>
            <w:vAlign w:val="center"/>
          </w:tcPr>
          <w:p w14:paraId="0A57DBDD">
            <w:pPr>
              <w:pStyle w:val="557"/>
            </w:pPr>
            <w:r>
              <w:t>标准名称</w:t>
            </w:r>
          </w:p>
        </w:tc>
        <w:tc>
          <w:tcPr>
            <w:tcW w:w="702" w:type="pct"/>
            <w:vAlign w:val="center"/>
          </w:tcPr>
          <w:p w14:paraId="679A6ACD">
            <w:pPr>
              <w:pStyle w:val="557"/>
            </w:pPr>
            <w:r>
              <w:t>浓度限值（mg/m</w:t>
            </w:r>
            <w:r>
              <w:rPr>
                <w:vertAlign w:val="superscript"/>
              </w:rPr>
              <w:t>3</w:t>
            </w:r>
            <w:r>
              <w:t>）</w:t>
            </w:r>
          </w:p>
        </w:tc>
        <w:tc>
          <w:tcPr>
            <w:tcW w:w="0" w:type="auto"/>
            <w:vMerge w:val="continue"/>
            <w:vAlign w:val="center"/>
          </w:tcPr>
          <w:p w14:paraId="2A00192F">
            <w:pPr>
              <w:pStyle w:val="557"/>
            </w:pPr>
          </w:p>
        </w:tc>
      </w:tr>
      <w:tr w14:paraId="5D7D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restart"/>
            <w:vAlign w:val="center"/>
          </w:tcPr>
          <w:p w14:paraId="16747295">
            <w:pPr>
              <w:pStyle w:val="557"/>
            </w:pPr>
            <w:r>
              <w:rPr>
                <w:rFonts w:hint="eastAsia"/>
              </w:rPr>
              <w:t>1</w:t>
            </w:r>
          </w:p>
        </w:tc>
        <w:tc>
          <w:tcPr>
            <w:tcW w:w="252" w:type="pct"/>
            <w:vMerge w:val="restart"/>
            <w:vAlign w:val="center"/>
          </w:tcPr>
          <w:p w14:paraId="0C5C7E59">
            <w:pPr>
              <w:pStyle w:val="557"/>
            </w:pPr>
            <w:r>
              <w:rPr>
                <w:rFonts w:hint="eastAsia"/>
              </w:rPr>
              <w:t>/</w:t>
            </w:r>
          </w:p>
        </w:tc>
        <w:tc>
          <w:tcPr>
            <w:tcW w:w="1135" w:type="pct"/>
            <w:vMerge w:val="restart"/>
            <w:vAlign w:val="center"/>
          </w:tcPr>
          <w:p w14:paraId="5367C2FF">
            <w:pPr>
              <w:pStyle w:val="557"/>
            </w:pPr>
            <w:r>
              <w:rPr>
                <w:rFonts w:hint="eastAsia"/>
              </w:rPr>
              <w:t>气化装置无组织排放</w:t>
            </w:r>
          </w:p>
        </w:tc>
        <w:tc>
          <w:tcPr>
            <w:tcW w:w="583" w:type="pct"/>
            <w:gridSpan w:val="2"/>
            <w:vAlign w:val="center"/>
          </w:tcPr>
          <w:p w14:paraId="4EB07FFC">
            <w:pPr>
              <w:pStyle w:val="557"/>
            </w:pPr>
            <w:r>
              <w:t>H</w:t>
            </w:r>
            <w:r>
              <w:rPr>
                <w:vertAlign w:val="subscript"/>
              </w:rPr>
              <w:t>2</w:t>
            </w:r>
            <w:r>
              <w:t>S</w:t>
            </w:r>
          </w:p>
        </w:tc>
        <w:tc>
          <w:tcPr>
            <w:tcW w:w="387" w:type="pct"/>
            <w:vAlign w:val="center"/>
          </w:tcPr>
          <w:p w14:paraId="642ACE19">
            <w:pPr>
              <w:pStyle w:val="557"/>
            </w:pPr>
            <w:r>
              <w:t>/</w:t>
            </w:r>
          </w:p>
        </w:tc>
        <w:tc>
          <w:tcPr>
            <w:tcW w:w="989" w:type="pct"/>
            <w:vMerge w:val="restart"/>
            <w:vAlign w:val="center"/>
          </w:tcPr>
          <w:p w14:paraId="59316FF8">
            <w:pPr>
              <w:pStyle w:val="557"/>
            </w:pPr>
            <w:r>
              <w:rPr>
                <w:rFonts w:hint="eastAsia"/>
              </w:rPr>
              <w:t>《</w:t>
            </w:r>
            <w:r>
              <w:t>恶臭污染物排放标准》（</w:t>
            </w:r>
            <w:r>
              <w:rPr>
                <w:rFonts w:eastAsia="TimesNewRoman"/>
              </w:rPr>
              <w:t>GB14554-93</w:t>
            </w:r>
            <w:r>
              <w:t>）表</w:t>
            </w:r>
            <w:r>
              <w:rPr>
                <w:rFonts w:hint="eastAsia"/>
              </w:rPr>
              <w:t>1</w:t>
            </w:r>
            <w:r>
              <w:t>厂界标准值</w:t>
            </w:r>
          </w:p>
        </w:tc>
        <w:tc>
          <w:tcPr>
            <w:tcW w:w="702" w:type="pct"/>
            <w:vAlign w:val="center"/>
          </w:tcPr>
          <w:p w14:paraId="58A16398">
            <w:pPr>
              <w:pStyle w:val="557"/>
            </w:pPr>
            <w:r>
              <w:rPr>
                <w:rFonts w:hint="eastAsia"/>
              </w:rPr>
              <w:t>0.06</w:t>
            </w:r>
          </w:p>
        </w:tc>
        <w:tc>
          <w:tcPr>
            <w:tcW w:w="0" w:type="auto"/>
            <w:vAlign w:val="center"/>
          </w:tcPr>
          <w:p w14:paraId="4276AAA4">
            <w:pPr>
              <w:pStyle w:val="557"/>
            </w:pPr>
            <w:r>
              <w:rPr>
                <w:color w:val="000000"/>
                <w:kern w:val="0"/>
                <w:lang w:bidi="ar"/>
              </w:rPr>
              <w:t>0.16</w:t>
            </w:r>
          </w:p>
        </w:tc>
      </w:tr>
      <w:tr w14:paraId="3A85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continue"/>
            <w:vAlign w:val="center"/>
          </w:tcPr>
          <w:p w14:paraId="259C988A">
            <w:pPr>
              <w:pStyle w:val="557"/>
            </w:pPr>
          </w:p>
        </w:tc>
        <w:tc>
          <w:tcPr>
            <w:tcW w:w="252" w:type="pct"/>
            <w:vMerge w:val="continue"/>
            <w:vAlign w:val="center"/>
          </w:tcPr>
          <w:p w14:paraId="03949E2F">
            <w:pPr>
              <w:pStyle w:val="557"/>
            </w:pPr>
          </w:p>
        </w:tc>
        <w:tc>
          <w:tcPr>
            <w:tcW w:w="1135" w:type="pct"/>
            <w:vMerge w:val="continue"/>
            <w:vAlign w:val="center"/>
          </w:tcPr>
          <w:p w14:paraId="77851F74">
            <w:pPr>
              <w:pStyle w:val="557"/>
            </w:pPr>
          </w:p>
        </w:tc>
        <w:tc>
          <w:tcPr>
            <w:tcW w:w="583" w:type="pct"/>
            <w:gridSpan w:val="2"/>
            <w:vAlign w:val="center"/>
          </w:tcPr>
          <w:p w14:paraId="49148FB0">
            <w:pPr>
              <w:pStyle w:val="557"/>
            </w:pPr>
            <w:r>
              <w:t>NH</w:t>
            </w:r>
            <w:r>
              <w:rPr>
                <w:vertAlign w:val="subscript"/>
              </w:rPr>
              <w:t>3</w:t>
            </w:r>
          </w:p>
        </w:tc>
        <w:tc>
          <w:tcPr>
            <w:tcW w:w="387" w:type="pct"/>
            <w:vAlign w:val="center"/>
          </w:tcPr>
          <w:p w14:paraId="34D9382B">
            <w:pPr>
              <w:pStyle w:val="557"/>
            </w:pPr>
            <w:r>
              <w:t>/</w:t>
            </w:r>
          </w:p>
        </w:tc>
        <w:tc>
          <w:tcPr>
            <w:tcW w:w="989" w:type="pct"/>
            <w:vMerge w:val="continue"/>
            <w:vAlign w:val="center"/>
          </w:tcPr>
          <w:p w14:paraId="0C4C8C50">
            <w:pPr>
              <w:pStyle w:val="557"/>
            </w:pPr>
          </w:p>
        </w:tc>
        <w:tc>
          <w:tcPr>
            <w:tcW w:w="702" w:type="pct"/>
            <w:vAlign w:val="center"/>
          </w:tcPr>
          <w:p w14:paraId="6FAF7F80">
            <w:pPr>
              <w:pStyle w:val="557"/>
            </w:pPr>
            <w:r>
              <w:rPr>
                <w:rFonts w:hint="eastAsia"/>
              </w:rPr>
              <w:t>1.5</w:t>
            </w:r>
          </w:p>
        </w:tc>
        <w:tc>
          <w:tcPr>
            <w:tcW w:w="0" w:type="auto"/>
            <w:vAlign w:val="center"/>
          </w:tcPr>
          <w:p w14:paraId="3ABB324F">
            <w:pPr>
              <w:pStyle w:val="557"/>
            </w:pPr>
            <w:r>
              <w:rPr>
                <w:color w:val="000000"/>
                <w:kern w:val="0"/>
                <w:lang w:bidi="ar"/>
              </w:rPr>
              <w:t>0.64</w:t>
            </w:r>
          </w:p>
        </w:tc>
      </w:tr>
      <w:tr w14:paraId="47DA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continue"/>
            <w:vAlign w:val="center"/>
          </w:tcPr>
          <w:p w14:paraId="3A464704">
            <w:pPr>
              <w:pStyle w:val="557"/>
            </w:pPr>
          </w:p>
        </w:tc>
        <w:tc>
          <w:tcPr>
            <w:tcW w:w="252" w:type="pct"/>
            <w:vMerge w:val="continue"/>
            <w:vAlign w:val="center"/>
          </w:tcPr>
          <w:p w14:paraId="351F2F28">
            <w:pPr>
              <w:pStyle w:val="557"/>
            </w:pPr>
          </w:p>
        </w:tc>
        <w:tc>
          <w:tcPr>
            <w:tcW w:w="1135" w:type="pct"/>
            <w:vMerge w:val="continue"/>
            <w:vAlign w:val="center"/>
          </w:tcPr>
          <w:p w14:paraId="0860EF0C">
            <w:pPr>
              <w:pStyle w:val="557"/>
            </w:pPr>
          </w:p>
        </w:tc>
        <w:tc>
          <w:tcPr>
            <w:tcW w:w="583" w:type="pct"/>
            <w:gridSpan w:val="2"/>
            <w:vAlign w:val="center"/>
          </w:tcPr>
          <w:p w14:paraId="09BF46DA">
            <w:pPr>
              <w:pStyle w:val="557"/>
            </w:pPr>
            <w:r>
              <w:t>NMHC</w:t>
            </w:r>
          </w:p>
        </w:tc>
        <w:tc>
          <w:tcPr>
            <w:tcW w:w="387" w:type="pct"/>
            <w:vAlign w:val="center"/>
          </w:tcPr>
          <w:p w14:paraId="0A0DC21C">
            <w:pPr>
              <w:pStyle w:val="557"/>
            </w:pPr>
            <w:r>
              <w:t>/</w:t>
            </w:r>
          </w:p>
        </w:tc>
        <w:tc>
          <w:tcPr>
            <w:tcW w:w="989" w:type="pct"/>
            <w:vMerge w:val="restart"/>
            <w:vAlign w:val="center"/>
          </w:tcPr>
          <w:p w14:paraId="4CDC6664">
            <w:pPr>
              <w:pStyle w:val="557"/>
            </w:pPr>
            <w:r>
              <w:rPr>
                <w:rFonts w:hint="eastAsia"/>
              </w:rPr>
              <w:t>《石油化学工业污染物排放标准》（GB31571-2015（含2024年修改单））表7企业边界大气污染物浓度限值</w:t>
            </w:r>
          </w:p>
        </w:tc>
        <w:tc>
          <w:tcPr>
            <w:tcW w:w="702" w:type="pct"/>
            <w:vAlign w:val="center"/>
          </w:tcPr>
          <w:p w14:paraId="3E50E956">
            <w:pPr>
              <w:pStyle w:val="557"/>
            </w:pPr>
            <w:r>
              <w:rPr>
                <w:rFonts w:hint="eastAsia"/>
              </w:rPr>
              <w:t>4.0</w:t>
            </w:r>
          </w:p>
        </w:tc>
        <w:tc>
          <w:tcPr>
            <w:tcW w:w="0" w:type="auto"/>
            <w:vAlign w:val="center"/>
          </w:tcPr>
          <w:p w14:paraId="41146E5F">
            <w:pPr>
              <w:pStyle w:val="557"/>
            </w:pPr>
            <w:r>
              <w:rPr>
                <w:rFonts w:hint="eastAsia"/>
                <w:color w:val="000000"/>
                <w:kern w:val="0"/>
                <w:lang w:bidi="ar"/>
              </w:rPr>
              <w:t>3.13</w:t>
            </w:r>
          </w:p>
        </w:tc>
      </w:tr>
      <w:tr w14:paraId="15C9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3705E66F">
            <w:pPr>
              <w:pStyle w:val="557"/>
            </w:pPr>
            <w:r>
              <w:rPr>
                <w:rFonts w:hint="eastAsia"/>
              </w:rPr>
              <w:t>2</w:t>
            </w:r>
          </w:p>
        </w:tc>
        <w:tc>
          <w:tcPr>
            <w:tcW w:w="252" w:type="pct"/>
            <w:vAlign w:val="center"/>
          </w:tcPr>
          <w:p w14:paraId="7865EF43">
            <w:pPr>
              <w:pStyle w:val="557"/>
            </w:pPr>
            <w:r>
              <w:rPr>
                <w:rFonts w:hint="eastAsia"/>
              </w:rPr>
              <w:t>/</w:t>
            </w:r>
          </w:p>
        </w:tc>
        <w:tc>
          <w:tcPr>
            <w:tcW w:w="1135" w:type="pct"/>
            <w:vAlign w:val="center"/>
          </w:tcPr>
          <w:p w14:paraId="7998CD5B">
            <w:pPr>
              <w:pStyle w:val="557"/>
            </w:pPr>
            <w:r>
              <w:rPr>
                <w:rFonts w:hint="eastAsia" w:ascii="宋体" w:hAnsi="宋体" w:cs="宋体"/>
                <w:color w:val="000000"/>
                <w:kern w:val="0"/>
                <w:lang w:bidi="ar"/>
              </w:rPr>
              <w:t>低温甲醇洗单元无组织排放</w:t>
            </w:r>
          </w:p>
        </w:tc>
        <w:tc>
          <w:tcPr>
            <w:tcW w:w="583" w:type="pct"/>
            <w:gridSpan w:val="2"/>
            <w:vAlign w:val="center"/>
          </w:tcPr>
          <w:p w14:paraId="760B0B2D">
            <w:pPr>
              <w:pStyle w:val="557"/>
            </w:pPr>
            <w:r>
              <w:t>NMHC</w:t>
            </w:r>
          </w:p>
        </w:tc>
        <w:tc>
          <w:tcPr>
            <w:tcW w:w="387" w:type="pct"/>
            <w:vAlign w:val="center"/>
          </w:tcPr>
          <w:p w14:paraId="20B8A593">
            <w:pPr>
              <w:pStyle w:val="557"/>
            </w:pPr>
            <w:r>
              <w:t>/</w:t>
            </w:r>
          </w:p>
        </w:tc>
        <w:tc>
          <w:tcPr>
            <w:tcW w:w="989" w:type="pct"/>
            <w:vMerge w:val="continue"/>
            <w:vAlign w:val="center"/>
          </w:tcPr>
          <w:p w14:paraId="66B4C55A">
            <w:pPr>
              <w:pStyle w:val="557"/>
            </w:pPr>
          </w:p>
        </w:tc>
        <w:tc>
          <w:tcPr>
            <w:tcW w:w="702" w:type="pct"/>
            <w:vAlign w:val="center"/>
          </w:tcPr>
          <w:p w14:paraId="4003FC71">
            <w:pPr>
              <w:pStyle w:val="557"/>
            </w:pPr>
            <w:r>
              <w:rPr>
                <w:rFonts w:hint="eastAsia"/>
              </w:rPr>
              <w:t>4.0</w:t>
            </w:r>
          </w:p>
        </w:tc>
        <w:tc>
          <w:tcPr>
            <w:tcW w:w="0" w:type="auto"/>
            <w:vAlign w:val="center"/>
          </w:tcPr>
          <w:p w14:paraId="73F8405B">
            <w:pPr>
              <w:pStyle w:val="557"/>
            </w:pPr>
            <w:r>
              <w:rPr>
                <w:rFonts w:hint="eastAsia"/>
              </w:rPr>
              <w:t>5.06</w:t>
            </w:r>
          </w:p>
        </w:tc>
      </w:tr>
      <w:tr w14:paraId="0AA6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7D3A31D8">
            <w:pPr>
              <w:pStyle w:val="557"/>
            </w:pPr>
            <w:r>
              <w:rPr>
                <w:rFonts w:hint="eastAsia"/>
              </w:rPr>
              <w:t>3</w:t>
            </w:r>
          </w:p>
        </w:tc>
        <w:tc>
          <w:tcPr>
            <w:tcW w:w="252" w:type="pct"/>
            <w:vAlign w:val="center"/>
          </w:tcPr>
          <w:p w14:paraId="3C972C7F">
            <w:pPr>
              <w:pStyle w:val="557"/>
            </w:pPr>
            <w:r>
              <w:rPr>
                <w:rFonts w:hint="eastAsia"/>
              </w:rPr>
              <w:t>/</w:t>
            </w:r>
          </w:p>
        </w:tc>
        <w:tc>
          <w:tcPr>
            <w:tcW w:w="1135" w:type="pct"/>
            <w:vAlign w:val="center"/>
          </w:tcPr>
          <w:p w14:paraId="0E92D5E3">
            <w:pPr>
              <w:pStyle w:val="557"/>
            </w:pPr>
            <w:r>
              <w:rPr>
                <w:rFonts w:hint="eastAsia" w:ascii="宋体" w:hAnsi="宋体" w:cs="宋体"/>
                <w:color w:val="000000"/>
                <w:kern w:val="0"/>
                <w:lang w:bidi="ar"/>
              </w:rPr>
              <w:t>深冷分离单元无组织排放</w:t>
            </w:r>
          </w:p>
        </w:tc>
        <w:tc>
          <w:tcPr>
            <w:tcW w:w="583" w:type="pct"/>
            <w:gridSpan w:val="2"/>
            <w:vAlign w:val="center"/>
          </w:tcPr>
          <w:p w14:paraId="32241F76">
            <w:pPr>
              <w:pStyle w:val="557"/>
            </w:pPr>
            <w:r>
              <w:t>NMHC</w:t>
            </w:r>
          </w:p>
        </w:tc>
        <w:tc>
          <w:tcPr>
            <w:tcW w:w="387" w:type="pct"/>
            <w:vAlign w:val="center"/>
          </w:tcPr>
          <w:p w14:paraId="2ED7BBF9">
            <w:pPr>
              <w:pStyle w:val="557"/>
            </w:pPr>
            <w:r>
              <w:t>/</w:t>
            </w:r>
          </w:p>
        </w:tc>
        <w:tc>
          <w:tcPr>
            <w:tcW w:w="989" w:type="pct"/>
            <w:vMerge w:val="continue"/>
            <w:vAlign w:val="center"/>
          </w:tcPr>
          <w:p w14:paraId="25530B96">
            <w:pPr>
              <w:pStyle w:val="557"/>
            </w:pPr>
          </w:p>
        </w:tc>
        <w:tc>
          <w:tcPr>
            <w:tcW w:w="702" w:type="pct"/>
            <w:vAlign w:val="center"/>
          </w:tcPr>
          <w:p w14:paraId="7DF041F2">
            <w:pPr>
              <w:pStyle w:val="557"/>
            </w:pPr>
            <w:r>
              <w:rPr>
                <w:rFonts w:hint="eastAsia"/>
              </w:rPr>
              <w:t>4.0</w:t>
            </w:r>
          </w:p>
        </w:tc>
        <w:tc>
          <w:tcPr>
            <w:tcW w:w="0" w:type="auto"/>
            <w:vAlign w:val="center"/>
          </w:tcPr>
          <w:p w14:paraId="051ED38F">
            <w:pPr>
              <w:pStyle w:val="557"/>
            </w:pPr>
            <w:r>
              <w:rPr>
                <w:rFonts w:hint="eastAsia"/>
              </w:rPr>
              <w:t>4.5</w:t>
            </w:r>
          </w:p>
        </w:tc>
      </w:tr>
      <w:tr w14:paraId="7236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3AE554F6">
            <w:pPr>
              <w:pStyle w:val="557"/>
            </w:pPr>
            <w:r>
              <w:rPr>
                <w:rFonts w:hint="eastAsia"/>
              </w:rPr>
              <w:t>4</w:t>
            </w:r>
          </w:p>
        </w:tc>
        <w:tc>
          <w:tcPr>
            <w:tcW w:w="252" w:type="pct"/>
            <w:vAlign w:val="center"/>
          </w:tcPr>
          <w:p w14:paraId="0AF93045">
            <w:pPr>
              <w:pStyle w:val="557"/>
            </w:pPr>
            <w:r>
              <w:rPr>
                <w:rFonts w:hint="eastAsia"/>
              </w:rPr>
              <w:t>/</w:t>
            </w:r>
          </w:p>
        </w:tc>
        <w:tc>
          <w:tcPr>
            <w:tcW w:w="1135" w:type="pct"/>
            <w:vAlign w:val="center"/>
          </w:tcPr>
          <w:p w14:paraId="14BD84CF">
            <w:pPr>
              <w:pStyle w:val="557"/>
            </w:pPr>
            <w:r>
              <w:rPr>
                <w:rFonts w:hint="eastAsia"/>
              </w:rPr>
              <w:t>硫回收单元无组织排放</w:t>
            </w:r>
          </w:p>
        </w:tc>
        <w:tc>
          <w:tcPr>
            <w:tcW w:w="583" w:type="pct"/>
            <w:gridSpan w:val="2"/>
            <w:vAlign w:val="center"/>
          </w:tcPr>
          <w:p w14:paraId="459CC673">
            <w:pPr>
              <w:pStyle w:val="557"/>
            </w:pPr>
            <w:r>
              <w:t>NMHC</w:t>
            </w:r>
          </w:p>
        </w:tc>
        <w:tc>
          <w:tcPr>
            <w:tcW w:w="387" w:type="pct"/>
            <w:vAlign w:val="center"/>
          </w:tcPr>
          <w:p w14:paraId="2A760E08">
            <w:pPr>
              <w:pStyle w:val="557"/>
            </w:pPr>
            <w:r>
              <w:t>/</w:t>
            </w:r>
          </w:p>
        </w:tc>
        <w:tc>
          <w:tcPr>
            <w:tcW w:w="989" w:type="pct"/>
            <w:vMerge w:val="continue"/>
            <w:vAlign w:val="center"/>
          </w:tcPr>
          <w:p w14:paraId="0E052419">
            <w:pPr>
              <w:pStyle w:val="557"/>
            </w:pPr>
          </w:p>
        </w:tc>
        <w:tc>
          <w:tcPr>
            <w:tcW w:w="702" w:type="pct"/>
            <w:vAlign w:val="center"/>
          </w:tcPr>
          <w:p w14:paraId="764688BA">
            <w:pPr>
              <w:pStyle w:val="557"/>
            </w:pPr>
            <w:r>
              <w:rPr>
                <w:rFonts w:hint="eastAsia"/>
              </w:rPr>
              <w:t>4.0</w:t>
            </w:r>
          </w:p>
        </w:tc>
        <w:tc>
          <w:tcPr>
            <w:tcW w:w="0" w:type="auto"/>
            <w:vAlign w:val="center"/>
          </w:tcPr>
          <w:p w14:paraId="0AF849E0">
            <w:pPr>
              <w:pStyle w:val="557"/>
            </w:pPr>
            <w:r>
              <w:rPr>
                <w:rFonts w:hint="eastAsia"/>
                <w:color w:val="000000"/>
                <w:kern w:val="0"/>
                <w:lang w:bidi="ar"/>
              </w:rPr>
              <w:t>3.93</w:t>
            </w:r>
          </w:p>
        </w:tc>
      </w:tr>
      <w:tr w14:paraId="33C2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3A328A25">
            <w:pPr>
              <w:pStyle w:val="557"/>
            </w:pPr>
            <w:r>
              <w:rPr>
                <w:rFonts w:hint="eastAsia"/>
              </w:rPr>
              <w:t>5</w:t>
            </w:r>
          </w:p>
        </w:tc>
        <w:tc>
          <w:tcPr>
            <w:tcW w:w="252" w:type="pct"/>
            <w:vAlign w:val="center"/>
          </w:tcPr>
          <w:p w14:paraId="3FEA8230">
            <w:pPr>
              <w:pStyle w:val="557"/>
            </w:pPr>
            <w:r>
              <w:rPr>
                <w:rFonts w:hint="eastAsia"/>
              </w:rPr>
              <w:t>/</w:t>
            </w:r>
          </w:p>
        </w:tc>
        <w:tc>
          <w:tcPr>
            <w:tcW w:w="1135" w:type="pct"/>
            <w:vAlign w:val="center"/>
          </w:tcPr>
          <w:p w14:paraId="22912FA0">
            <w:pPr>
              <w:pStyle w:val="557"/>
            </w:pPr>
            <w:r>
              <w:rPr>
                <w:rFonts w:hint="eastAsia"/>
              </w:rPr>
              <w:t>合成氨装置无组织排放</w:t>
            </w:r>
          </w:p>
        </w:tc>
        <w:tc>
          <w:tcPr>
            <w:tcW w:w="583" w:type="pct"/>
            <w:gridSpan w:val="2"/>
            <w:vAlign w:val="center"/>
          </w:tcPr>
          <w:p w14:paraId="36DCCBD7">
            <w:pPr>
              <w:pStyle w:val="557"/>
            </w:pPr>
            <w:r>
              <w:t>NH</w:t>
            </w:r>
            <w:r>
              <w:rPr>
                <w:vertAlign w:val="subscript"/>
              </w:rPr>
              <w:t>3</w:t>
            </w:r>
          </w:p>
        </w:tc>
        <w:tc>
          <w:tcPr>
            <w:tcW w:w="387" w:type="pct"/>
            <w:vAlign w:val="center"/>
          </w:tcPr>
          <w:p w14:paraId="4F84D238">
            <w:pPr>
              <w:pStyle w:val="557"/>
            </w:pPr>
            <w:r>
              <w:t>/</w:t>
            </w:r>
          </w:p>
        </w:tc>
        <w:tc>
          <w:tcPr>
            <w:tcW w:w="989" w:type="pct"/>
            <w:vAlign w:val="center"/>
          </w:tcPr>
          <w:p w14:paraId="35818363">
            <w:pPr>
              <w:pStyle w:val="557"/>
            </w:pPr>
            <w:r>
              <w:rPr>
                <w:rFonts w:hint="eastAsia"/>
              </w:rPr>
              <w:t>《</w:t>
            </w:r>
            <w:r>
              <w:t>恶臭污染物排放标准》（</w:t>
            </w:r>
            <w:r>
              <w:rPr>
                <w:rFonts w:eastAsia="TimesNewRoman"/>
              </w:rPr>
              <w:t>GB14554-93</w:t>
            </w:r>
            <w:r>
              <w:t>）表</w:t>
            </w:r>
            <w:r>
              <w:rPr>
                <w:rFonts w:hint="eastAsia"/>
              </w:rPr>
              <w:t>1</w:t>
            </w:r>
            <w:r>
              <w:t>厂界标准值</w:t>
            </w:r>
          </w:p>
        </w:tc>
        <w:tc>
          <w:tcPr>
            <w:tcW w:w="702" w:type="pct"/>
            <w:vAlign w:val="center"/>
          </w:tcPr>
          <w:p w14:paraId="449A4D06">
            <w:pPr>
              <w:pStyle w:val="557"/>
            </w:pPr>
            <w:r>
              <w:rPr>
                <w:rFonts w:hint="eastAsia"/>
              </w:rPr>
              <w:t>1.5</w:t>
            </w:r>
          </w:p>
        </w:tc>
        <w:tc>
          <w:tcPr>
            <w:tcW w:w="0" w:type="auto"/>
            <w:vAlign w:val="center"/>
          </w:tcPr>
          <w:p w14:paraId="6E89B3C5">
            <w:pPr>
              <w:pStyle w:val="557"/>
            </w:pPr>
            <w:r>
              <w:rPr>
                <w:rFonts w:hint="eastAsia"/>
              </w:rPr>
              <w:t>0.392</w:t>
            </w:r>
          </w:p>
        </w:tc>
      </w:tr>
      <w:tr w14:paraId="6C13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4A098E74">
            <w:pPr>
              <w:pStyle w:val="557"/>
            </w:pPr>
            <w:r>
              <w:rPr>
                <w:rFonts w:hint="eastAsia"/>
              </w:rPr>
              <w:t>6</w:t>
            </w:r>
          </w:p>
        </w:tc>
        <w:tc>
          <w:tcPr>
            <w:tcW w:w="252" w:type="pct"/>
            <w:vAlign w:val="center"/>
          </w:tcPr>
          <w:p w14:paraId="6BAAD280">
            <w:pPr>
              <w:pStyle w:val="557"/>
            </w:pPr>
            <w:r>
              <w:rPr>
                <w:rFonts w:hint="eastAsia"/>
              </w:rPr>
              <w:t>/</w:t>
            </w:r>
          </w:p>
        </w:tc>
        <w:tc>
          <w:tcPr>
            <w:tcW w:w="1135" w:type="pct"/>
            <w:vAlign w:val="center"/>
          </w:tcPr>
          <w:p w14:paraId="135A7AF4">
            <w:pPr>
              <w:pStyle w:val="557"/>
            </w:pPr>
            <w:r>
              <w:rPr>
                <w:rFonts w:hint="eastAsia" w:ascii="宋体" w:hAnsi="宋体" w:cs="宋体"/>
                <w:color w:val="000000"/>
                <w:kern w:val="0"/>
                <w:lang w:bidi="ar"/>
              </w:rPr>
              <w:t>DMO装置无组织废气</w:t>
            </w:r>
          </w:p>
        </w:tc>
        <w:tc>
          <w:tcPr>
            <w:tcW w:w="583" w:type="pct"/>
            <w:gridSpan w:val="2"/>
            <w:vAlign w:val="center"/>
          </w:tcPr>
          <w:p w14:paraId="112B9F43">
            <w:pPr>
              <w:pStyle w:val="557"/>
            </w:pPr>
            <w:r>
              <w:t>NMHC</w:t>
            </w:r>
          </w:p>
        </w:tc>
        <w:tc>
          <w:tcPr>
            <w:tcW w:w="387" w:type="pct"/>
            <w:vAlign w:val="center"/>
          </w:tcPr>
          <w:p w14:paraId="51897ECB">
            <w:pPr>
              <w:pStyle w:val="557"/>
            </w:pPr>
            <w:r>
              <w:t>/</w:t>
            </w:r>
          </w:p>
        </w:tc>
        <w:tc>
          <w:tcPr>
            <w:tcW w:w="989" w:type="pct"/>
            <w:vMerge w:val="restart"/>
            <w:vAlign w:val="center"/>
          </w:tcPr>
          <w:p w14:paraId="22D20717">
            <w:pPr>
              <w:pStyle w:val="557"/>
            </w:pPr>
            <w:r>
              <w:rPr>
                <w:rFonts w:hint="eastAsia"/>
              </w:rPr>
              <w:t>《石油化学工业污染物排放标准》（GB31571-2015（含2024年修改单））表7企业边界大气污染物浓度限值</w:t>
            </w:r>
          </w:p>
        </w:tc>
        <w:tc>
          <w:tcPr>
            <w:tcW w:w="702" w:type="pct"/>
            <w:vAlign w:val="center"/>
          </w:tcPr>
          <w:p w14:paraId="6E66D2EC">
            <w:pPr>
              <w:pStyle w:val="557"/>
            </w:pPr>
            <w:r>
              <w:rPr>
                <w:rFonts w:hint="eastAsia"/>
              </w:rPr>
              <w:t>4.0</w:t>
            </w:r>
          </w:p>
        </w:tc>
        <w:tc>
          <w:tcPr>
            <w:tcW w:w="0" w:type="auto"/>
            <w:vAlign w:val="center"/>
          </w:tcPr>
          <w:p w14:paraId="79B69234">
            <w:pPr>
              <w:pStyle w:val="557"/>
            </w:pPr>
            <w:r>
              <w:rPr>
                <w:color w:val="000000"/>
                <w:kern w:val="0"/>
                <w:lang w:bidi="ar"/>
              </w:rPr>
              <w:t>4.</w:t>
            </w:r>
            <w:r>
              <w:rPr>
                <w:rFonts w:hint="eastAsia"/>
                <w:color w:val="000000"/>
                <w:kern w:val="0"/>
                <w:lang w:bidi="ar"/>
              </w:rPr>
              <w:t>13</w:t>
            </w:r>
          </w:p>
        </w:tc>
      </w:tr>
      <w:tr w14:paraId="0F94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508983F7">
            <w:pPr>
              <w:pStyle w:val="557"/>
            </w:pPr>
            <w:r>
              <w:rPr>
                <w:rFonts w:hint="eastAsia"/>
              </w:rPr>
              <w:t>7</w:t>
            </w:r>
          </w:p>
        </w:tc>
        <w:tc>
          <w:tcPr>
            <w:tcW w:w="252" w:type="pct"/>
            <w:vAlign w:val="center"/>
          </w:tcPr>
          <w:p w14:paraId="46987252">
            <w:pPr>
              <w:pStyle w:val="557"/>
            </w:pPr>
            <w:r>
              <w:rPr>
                <w:rFonts w:hint="eastAsia"/>
              </w:rPr>
              <w:t>/</w:t>
            </w:r>
          </w:p>
        </w:tc>
        <w:tc>
          <w:tcPr>
            <w:tcW w:w="1135" w:type="pct"/>
            <w:vAlign w:val="center"/>
          </w:tcPr>
          <w:p w14:paraId="61669A97">
            <w:pPr>
              <w:pStyle w:val="557"/>
            </w:pPr>
            <w:r>
              <w:rPr>
                <w:rFonts w:hint="eastAsia" w:ascii="宋体" w:hAnsi="宋体" w:cs="宋体"/>
                <w:color w:val="000000"/>
                <w:kern w:val="0"/>
                <w:lang w:bidi="ar"/>
              </w:rPr>
              <w:t>草酰胺装置无组织排放</w:t>
            </w:r>
          </w:p>
        </w:tc>
        <w:tc>
          <w:tcPr>
            <w:tcW w:w="583" w:type="pct"/>
            <w:gridSpan w:val="2"/>
            <w:vAlign w:val="center"/>
          </w:tcPr>
          <w:p w14:paraId="384574CA">
            <w:pPr>
              <w:pStyle w:val="557"/>
            </w:pPr>
            <w:r>
              <w:t>NMHC</w:t>
            </w:r>
          </w:p>
        </w:tc>
        <w:tc>
          <w:tcPr>
            <w:tcW w:w="387" w:type="pct"/>
            <w:vAlign w:val="center"/>
          </w:tcPr>
          <w:p w14:paraId="5B9E2C5E">
            <w:pPr>
              <w:pStyle w:val="557"/>
            </w:pPr>
            <w:r>
              <w:t>/</w:t>
            </w:r>
          </w:p>
        </w:tc>
        <w:tc>
          <w:tcPr>
            <w:tcW w:w="989" w:type="pct"/>
            <w:vMerge w:val="continue"/>
            <w:vAlign w:val="center"/>
          </w:tcPr>
          <w:p w14:paraId="5E18FAD2">
            <w:pPr>
              <w:pStyle w:val="557"/>
            </w:pPr>
          </w:p>
        </w:tc>
        <w:tc>
          <w:tcPr>
            <w:tcW w:w="702" w:type="pct"/>
            <w:vAlign w:val="center"/>
          </w:tcPr>
          <w:p w14:paraId="7F5B40F9">
            <w:pPr>
              <w:pStyle w:val="557"/>
            </w:pPr>
            <w:r>
              <w:rPr>
                <w:rFonts w:hint="eastAsia"/>
              </w:rPr>
              <w:t>4.0</w:t>
            </w:r>
          </w:p>
        </w:tc>
        <w:tc>
          <w:tcPr>
            <w:tcW w:w="0" w:type="auto"/>
            <w:vAlign w:val="center"/>
          </w:tcPr>
          <w:p w14:paraId="6AD885DE">
            <w:pPr>
              <w:pStyle w:val="557"/>
            </w:pPr>
            <w:r>
              <w:rPr>
                <w:rFonts w:hint="eastAsia"/>
              </w:rPr>
              <w:t>4.29</w:t>
            </w:r>
          </w:p>
        </w:tc>
      </w:tr>
      <w:tr w14:paraId="0002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restart"/>
            <w:vAlign w:val="center"/>
          </w:tcPr>
          <w:p w14:paraId="50293641">
            <w:pPr>
              <w:pStyle w:val="557"/>
            </w:pPr>
            <w:r>
              <w:rPr>
                <w:rFonts w:hint="eastAsia"/>
              </w:rPr>
              <w:t>8</w:t>
            </w:r>
          </w:p>
        </w:tc>
        <w:tc>
          <w:tcPr>
            <w:tcW w:w="252" w:type="pct"/>
            <w:vMerge w:val="restart"/>
            <w:vAlign w:val="center"/>
          </w:tcPr>
          <w:p w14:paraId="58134376">
            <w:pPr>
              <w:pStyle w:val="557"/>
            </w:pPr>
            <w:r>
              <w:rPr>
                <w:rFonts w:hint="eastAsia"/>
              </w:rPr>
              <w:t>/</w:t>
            </w:r>
          </w:p>
        </w:tc>
        <w:tc>
          <w:tcPr>
            <w:tcW w:w="1135" w:type="pct"/>
            <w:vMerge w:val="restart"/>
            <w:vAlign w:val="center"/>
          </w:tcPr>
          <w:p w14:paraId="760FFCA0">
            <w:pPr>
              <w:pStyle w:val="557"/>
            </w:pPr>
            <w:r>
              <w:rPr>
                <w:rFonts w:hint="eastAsia"/>
              </w:rPr>
              <w:t>污水处理站</w:t>
            </w:r>
          </w:p>
        </w:tc>
        <w:tc>
          <w:tcPr>
            <w:tcW w:w="583" w:type="pct"/>
            <w:gridSpan w:val="2"/>
            <w:vAlign w:val="center"/>
          </w:tcPr>
          <w:p w14:paraId="5E5B8281">
            <w:pPr>
              <w:pStyle w:val="557"/>
            </w:pPr>
            <w:r>
              <w:t>NMHC</w:t>
            </w:r>
          </w:p>
        </w:tc>
        <w:tc>
          <w:tcPr>
            <w:tcW w:w="387" w:type="pct"/>
            <w:vAlign w:val="center"/>
          </w:tcPr>
          <w:p w14:paraId="77AA7CC8">
            <w:pPr>
              <w:pStyle w:val="557"/>
            </w:pPr>
            <w:r>
              <w:rPr>
                <w:rFonts w:hint="eastAsia"/>
              </w:rPr>
              <w:t>/</w:t>
            </w:r>
          </w:p>
        </w:tc>
        <w:tc>
          <w:tcPr>
            <w:tcW w:w="989" w:type="pct"/>
            <w:vMerge w:val="continue"/>
            <w:vAlign w:val="center"/>
          </w:tcPr>
          <w:p w14:paraId="6281F067">
            <w:pPr>
              <w:pStyle w:val="557"/>
            </w:pPr>
          </w:p>
        </w:tc>
        <w:tc>
          <w:tcPr>
            <w:tcW w:w="702" w:type="pct"/>
            <w:vAlign w:val="center"/>
          </w:tcPr>
          <w:p w14:paraId="2DF0810D">
            <w:pPr>
              <w:pStyle w:val="557"/>
            </w:pPr>
            <w:r>
              <w:rPr>
                <w:rFonts w:hint="eastAsia"/>
              </w:rPr>
              <w:t>4.0</w:t>
            </w:r>
          </w:p>
        </w:tc>
        <w:tc>
          <w:tcPr>
            <w:tcW w:w="0" w:type="auto"/>
            <w:vAlign w:val="center"/>
          </w:tcPr>
          <w:p w14:paraId="7E939D32">
            <w:pPr>
              <w:pStyle w:val="557"/>
            </w:pPr>
            <w:r>
              <w:rPr>
                <w:color w:val="000000"/>
                <w:kern w:val="0"/>
                <w:lang w:bidi="ar"/>
              </w:rPr>
              <w:t>2.48</w:t>
            </w:r>
          </w:p>
        </w:tc>
      </w:tr>
      <w:tr w14:paraId="4483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continue"/>
            <w:vAlign w:val="center"/>
          </w:tcPr>
          <w:p w14:paraId="7B01BF0C">
            <w:pPr>
              <w:pStyle w:val="557"/>
            </w:pPr>
          </w:p>
        </w:tc>
        <w:tc>
          <w:tcPr>
            <w:tcW w:w="252" w:type="pct"/>
            <w:vMerge w:val="continue"/>
            <w:vAlign w:val="center"/>
          </w:tcPr>
          <w:p w14:paraId="0D0B39D5">
            <w:pPr>
              <w:pStyle w:val="557"/>
            </w:pPr>
          </w:p>
        </w:tc>
        <w:tc>
          <w:tcPr>
            <w:tcW w:w="1135" w:type="pct"/>
            <w:vMerge w:val="continue"/>
            <w:vAlign w:val="center"/>
          </w:tcPr>
          <w:p w14:paraId="02B65535">
            <w:pPr>
              <w:pStyle w:val="557"/>
            </w:pPr>
          </w:p>
        </w:tc>
        <w:tc>
          <w:tcPr>
            <w:tcW w:w="583" w:type="pct"/>
            <w:gridSpan w:val="2"/>
            <w:vAlign w:val="center"/>
          </w:tcPr>
          <w:p w14:paraId="27EF87E8">
            <w:pPr>
              <w:pStyle w:val="557"/>
            </w:pPr>
            <w:r>
              <w:t>NH</w:t>
            </w:r>
            <w:r>
              <w:rPr>
                <w:vertAlign w:val="subscript"/>
              </w:rPr>
              <w:t>3</w:t>
            </w:r>
          </w:p>
        </w:tc>
        <w:tc>
          <w:tcPr>
            <w:tcW w:w="387" w:type="pct"/>
            <w:vAlign w:val="center"/>
          </w:tcPr>
          <w:p w14:paraId="2B3D84DC">
            <w:pPr>
              <w:pStyle w:val="557"/>
            </w:pPr>
            <w:r>
              <w:rPr>
                <w:rFonts w:hint="eastAsia"/>
              </w:rPr>
              <w:t>/</w:t>
            </w:r>
          </w:p>
        </w:tc>
        <w:tc>
          <w:tcPr>
            <w:tcW w:w="989" w:type="pct"/>
            <w:vMerge w:val="restart"/>
            <w:vAlign w:val="center"/>
          </w:tcPr>
          <w:p w14:paraId="721EB187">
            <w:pPr>
              <w:pStyle w:val="557"/>
            </w:pPr>
            <w:r>
              <w:rPr>
                <w:rFonts w:hint="eastAsia"/>
              </w:rPr>
              <w:t>《</w:t>
            </w:r>
            <w:r>
              <w:t>恶臭污染物排放标准》（</w:t>
            </w:r>
            <w:r>
              <w:rPr>
                <w:rFonts w:eastAsia="TimesNewRoman"/>
              </w:rPr>
              <w:t>GB14554-93</w:t>
            </w:r>
            <w:r>
              <w:t>）表</w:t>
            </w:r>
            <w:r>
              <w:rPr>
                <w:rFonts w:hint="eastAsia"/>
              </w:rPr>
              <w:t>1</w:t>
            </w:r>
            <w:r>
              <w:t>厂界标准值</w:t>
            </w:r>
          </w:p>
        </w:tc>
        <w:tc>
          <w:tcPr>
            <w:tcW w:w="702" w:type="pct"/>
            <w:vAlign w:val="center"/>
          </w:tcPr>
          <w:p w14:paraId="1E8D7E6F">
            <w:pPr>
              <w:pStyle w:val="557"/>
            </w:pPr>
            <w:r>
              <w:rPr>
                <w:rFonts w:hint="eastAsia"/>
              </w:rPr>
              <w:t>1.5</w:t>
            </w:r>
          </w:p>
        </w:tc>
        <w:tc>
          <w:tcPr>
            <w:tcW w:w="0" w:type="auto"/>
            <w:vAlign w:val="center"/>
          </w:tcPr>
          <w:p w14:paraId="35381B80">
            <w:pPr>
              <w:pStyle w:val="557"/>
            </w:pPr>
            <w:r>
              <w:rPr>
                <w:color w:val="000000"/>
                <w:kern w:val="0"/>
                <w:lang w:bidi="ar"/>
              </w:rPr>
              <w:t>0.016</w:t>
            </w:r>
          </w:p>
        </w:tc>
      </w:tr>
      <w:tr w14:paraId="62F4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Merge w:val="continue"/>
            <w:vAlign w:val="center"/>
          </w:tcPr>
          <w:p w14:paraId="11421245">
            <w:pPr>
              <w:pStyle w:val="557"/>
            </w:pPr>
          </w:p>
        </w:tc>
        <w:tc>
          <w:tcPr>
            <w:tcW w:w="252" w:type="pct"/>
            <w:vMerge w:val="continue"/>
            <w:vAlign w:val="center"/>
          </w:tcPr>
          <w:p w14:paraId="2EC3ADCB">
            <w:pPr>
              <w:pStyle w:val="557"/>
            </w:pPr>
          </w:p>
        </w:tc>
        <w:tc>
          <w:tcPr>
            <w:tcW w:w="1135" w:type="pct"/>
            <w:vMerge w:val="continue"/>
            <w:vAlign w:val="center"/>
          </w:tcPr>
          <w:p w14:paraId="23EF1E96">
            <w:pPr>
              <w:pStyle w:val="557"/>
            </w:pPr>
          </w:p>
        </w:tc>
        <w:tc>
          <w:tcPr>
            <w:tcW w:w="583" w:type="pct"/>
            <w:gridSpan w:val="2"/>
            <w:vAlign w:val="center"/>
          </w:tcPr>
          <w:p w14:paraId="2775322A">
            <w:pPr>
              <w:pStyle w:val="557"/>
            </w:pPr>
            <w:r>
              <w:t>H</w:t>
            </w:r>
            <w:r>
              <w:rPr>
                <w:vertAlign w:val="subscript"/>
              </w:rPr>
              <w:t>2</w:t>
            </w:r>
            <w:r>
              <w:t>S</w:t>
            </w:r>
          </w:p>
        </w:tc>
        <w:tc>
          <w:tcPr>
            <w:tcW w:w="387" w:type="pct"/>
            <w:vAlign w:val="center"/>
          </w:tcPr>
          <w:p w14:paraId="56124EA5">
            <w:pPr>
              <w:pStyle w:val="557"/>
            </w:pPr>
            <w:r>
              <w:rPr>
                <w:rFonts w:hint="eastAsia"/>
              </w:rPr>
              <w:t>/</w:t>
            </w:r>
          </w:p>
        </w:tc>
        <w:tc>
          <w:tcPr>
            <w:tcW w:w="989" w:type="pct"/>
            <w:vMerge w:val="continue"/>
            <w:vAlign w:val="center"/>
          </w:tcPr>
          <w:p w14:paraId="17600488">
            <w:pPr>
              <w:pStyle w:val="557"/>
            </w:pPr>
          </w:p>
        </w:tc>
        <w:tc>
          <w:tcPr>
            <w:tcW w:w="702" w:type="pct"/>
            <w:vAlign w:val="center"/>
          </w:tcPr>
          <w:p w14:paraId="599AA128">
            <w:pPr>
              <w:pStyle w:val="557"/>
            </w:pPr>
            <w:r>
              <w:rPr>
                <w:rFonts w:hint="eastAsia"/>
              </w:rPr>
              <w:t>0.06</w:t>
            </w:r>
          </w:p>
        </w:tc>
        <w:tc>
          <w:tcPr>
            <w:tcW w:w="0" w:type="auto"/>
            <w:vAlign w:val="center"/>
          </w:tcPr>
          <w:p w14:paraId="1C256DE0">
            <w:pPr>
              <w:pStyle w:val="557"/>
            </w:pPr>
            <w:r>
              <w:rPr>
                <w:color w:val="000000"/>
                <w:kern w:val="0"/>
                <w:lang w:bidi="ar"/>
              </w:rPr>
              <w:t>0.008</w:t>
            </w:r>
          </w:p>
        </w:tc>
      </w:tr>
      <w:tr w14:paraId="0400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67FDF9B5">
            <w:pPr>
              <w:pStyle w:val="557"/>
            </w:pPr>
            <w:r>
              <w:rPr>
                <w:rFonts w:hint="eastAsia"/>
              </w:rPr>
              <w:t>9</w:t>
            </w:r>
          </w:p>
        </w:tc>
        <w:tc>
          <w:tcPr>
            <w:tcW w:w="252" w:type="pct"/>
            <w:vAlign w:val="center"/>
          </w:tcPr>
          <w:p w14:paraId="156190C3">
            <w:pPr>
              <w:pStyle w:val="557"/>
            </w:pPr>
            <w:r>
              <w:rPr>
                <w:rFonts w:hint="eastAsia"/>
              </w:rPr>
              <w:t>/</w:t>
            </w:r>
          </w:p>
        </w:tc>
        <w:tc>
          <w:tcPr>
            <w:tcW w:w="1135" w:type="pct"/>
            <w:vAlign w:val="center"/>
          </w:tcPr>
          <w:p w14:paraId="5AFB53EB">
            <w:pPr>
              <w:pStyle w:val="557"/>
            </w:pPr>
            <w:r>
              <w:rPr>
                <w:rFonts w:hint="eastAsia" w:ascii="宋体" w:hAnsi="宋体" w:cs="宋体"/>
                <w:color w:val="000000"/>
                <w:kern w:val="0"/>
                <w:lang w:bidi="ar"/>
              </w:rPr>
              <w:t>循环水场</w:t>
            </w:r>
          </w:p>
        </w:tc>
        <w:tc>
          <w:tcPr>
            <w:tcW w:w="583" w:type="pct"/>
            <w:gridSpan w:val="2"/>
            <w:vAlign w:val="center"/>
          </w:tcPr>
          <w:p w14:paraId="76CF385B">
            <w:pPr>
              <w:pStyle w:val="557"/>
            </w:pPr>
            <w:r>
              <w:t>NMHC</w:t>
            </w:r>
          </w:p>
        </w:tc>
        <w:tc>
          <w:tcPr>
            <w:tcW w:w="387" w:type="pct"/>
            <w:vAlign w:val="center"/>
          </w:tcPr>
          <w:p w14:paraId="06B20109">
            <w:pPr>
              <w:pStyle w:val="557"/>
            </w:pPr>
            <w:r>
              <w:rPr>
                <w:rFonts w:hint="eastAsia"/>
              </w:rPr>
              <w:t>/</w:t>
            </w:r>
          </w:p>
        </w:tc>
        <w:tc>
          <w:tcPr>
            <w:tcW w:w="989" w:type="pct"/>
            <w:vMerge w:val="restart"/>
            <w:vAlign w:val="center"/>
          </w:tcPr>
          <w:p w14:paraId="75DE610D">
            <w:pPr>
              <w:pStyle w:val="557"/>
            </w:pPr>
            <w:r>
              <w:rPr>
                <w:rFonts w:hint="eastAsia"/>
              </w:rPr>
              <w:t>《石油化学工业污染物排放标准》（GB31571-2015（含2024年修改单））表7企业边界大气污染物浓度限值</w:t>
            </w:r>
          </w:p>
        </w:tc>
        <w:tc>
          <w:tcPr>
            <w:tcW w:w="702" w:type="pct"/>
            <w:vAlign w:val="center"/>
          </w:tcPr>
          <w:p w14:paraId="6F3E250F">
            <w:pPr>
              <w:pStyle w:val="557"/>
            </w:pPr>
            <w:r>
              <w:rPr>
                <w:rFonts w:hint="eastAsia"/>
              </w:rPr>
              <w:t>4.0</w:t>
            </w:r>
          </w:p>
        </w:tc>
        <w:tc>
          <w:tcPr>
            <w:tcW w:w="0" w:type="auto"/>
            <w:vAlign w:val="center"/>
          </w:tcPr>
          <w:p w14:paraId="3E209BAC">
            <w:pPr>
              <w:pStyle w:val="557"/>
            </w:pPr>
            <w:r>
              <w:rPr>
                <w:color w:val="000000"/>
                <w:kern w:val="0"/>
                <w:lang w:bidi="ar"/>
              </w:rPr>
              <w:t>26.88</w:t>
            </w:r>
          </w:p>
        </w:tc>
      </w:tr>
      <w:tr w14:paraId="6794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3282997B">
            <w:pPr>
              <w:pStyle w:val="557"/>
            </w:pPr>
            <w:r>
              <w:rPr>
                <w:rFonts w:hint="eastAsia"/>
              </w:rPr>
              <w:t>10</w:t>
            </w:r>
          </w:p>
        </w:tc>
        <w:tc>
          <w:tcPr>
            <w:tcW w:w="252" w:type="pct"/>
            <w:vAlign w:val="center"/>
          </w:tcPr>
          <w:p w14:paraId="5746D7FA">
            <w:pPr>
              <w:pStyle w:val="557"/>
            </w:pPr>
            <w:r>
              <w:rPr>
                <w:rFonts w:hint="eastAsia"/>
              </w:rPr>
              <w:t>/</w:t>
            </w:r>
          </w:p>
        </w:tc>
        <w:tc>
          <w:tcPr>
            <w:tcW w:w="1135" w:type="pct"/>
            <w:vAlign w:val="center"/>
          </w:tcPr>
          <w:p w14:paraId="53D878EC">
            <w:pPr>
              <w:pStyle w:val="557"/>
            </w:pPr>
            <w:r>
              <w:rPr>
                <w:rFonts w:hint="eastAsia" w:ascii="宋体" w:hAnsi="宋体" w:cs="宋体"/>
                <w:color w:val="000000"/>
                <w:kern w:val="0"/>
                <w:lang w:bidi="ar"/>
              </w:rPr>
              <w:t>空分装置循环水站</w:t>
            </w:r>
          </w:p>
        </w:tc>
        <w:tc>
          <w:tcPr>
            <w:tcW w:w="583" w:type="pct"/>
            <w:gridSpan w:val="2"/>
            <w:vAlign w:val="center"/>
          </w:tcPr>
          <w:p w14:paraId="32A3CD2D">
            <w:pPr>
              <w:pStyle w:val="557"/>
            </w:pPr>
            <w:r>
              <w:t>NMHC</w:t>
            </w:r>
          </w:p>
        </w:tc>
        <w:tc>
          <w:tcPr>
            <w:tcW w:w="387" w:type="pct"/>
            <w:vAlign w:val="center"/>
          </w:tcPr>
          <w:p w14:paraId="51031036">
            <w:pPr>
              <w:pStyle w:val="557"/>
            </w:pPr>
            <w:r>
              <w:rPr>
                <w:rFonts w:hint="eastAsia"/>
              </w:rPr>
              <w:t>/</w:t>
            </w:r>
          </w:p>
        </w:tc>
        <w:tc>
          <w:tcPr>
            <w:tcW w:w="989" w:type="pct"/>
            <w:vMerge w:val="continue"/>
            <w:vAlign w:val="center"/>
          </w:tcPr>
          <w:p w14:paraId="7D91D1CA">
            <w:pPr>
              <w:pStyle w:val="557"/>
            </w:pPr>
          </w:p>
        </w:tc>
        <w:tc>
          <w:tcPr>
            <w:tcW w:w="702" w:type="pct"/>
            <w:vAlign w:val="center"/>
          </w:tcPr>
          <w:p w14:paraId="5E2A1AFB">
            <w:pPr>
              <w:pStyle w:val="557"/>
            </w:pPr>
            <w:r>
              <w:rPr>
                <w:rFonts w:hint="eastAsia"/>
              </w:rPr>
              <w:t>4.0</w:t>
            </w:r>
          </w:p>
        </w:tc>
        <w:tc>
          <w:tcPr>
            <w:tcW w:w="0" w:type="auto"/>
            <w:vAlign w:val="center"/>
          </w:tcPr>
          <w:p w14:paraId="1059FEE8">
            <w:pPr>
              <w:pStyle w:val="557"/>
            </w:pPr>
            <w:r>
              <w:rPr>
                <w:color w:val="000000"/>
                <w:kern w:val="0"/>
                <w:lang w:bidi="ar"/>
              </w:rPr>
              <w:t>2.56</w:t>
            </w:r>
          </w:p>
        </w:tc>
      </w:tr>
      <w:tr w14:paraId="3BF6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4F40B8A8">
            <w:pPr>
              <w:pStyle w:val="557"/>
            </w:pPr>
            <w:r>
              <w:rPr>
                <w:rFonts w:hint="eastAsia"/>
              </w:rPr>
              <w:t>11</w:t>
            </w:r>
          </w:p>
        </w:tc>
        <w:tc>
          <w:tcPr>
            <w:tcW w:w="252" w:type="pct"/>
            <w:vAlign w:val="center"/>
          </w:tcPr>
          <w:p w14:paraId="00F8F3EE">
            <w:pPr>
              <w:pStyle w:val="557"/>
            </w:pPr>
            <w:r>
              <w:rPr>
                <w:rFonts w:hint="eastAsia"/>
              </w:rPr>
              <w:t>/</w:t>
            </w:r>
          </w:p>
        </w:tc>
        <w:tc>
          <w:tcPr>
            <w:tcW w:w="1135" w:type="pct"/>
            <w:vAlign w:val="center"/>
          </w:tcPr>
          <w:p w14:paraId="69B29E57">
            <w:pPr>
              <w:pStyle w:val="557"/>
            </w:pPr>
            <w:r>
              <w:rPr>
                <w:rFonts w:hint="eastAsia" w:ascii="宋体" w:hAnsi="宋体" w:cs="宋体"/>
                <w:color w:val="000000"/>
                <w:kern w:val="0"/>
                <w:lang w:bidi="ar"/>
              </w:rPr>
              <w:t>综合罐组无组织废气</w:t>
            </w:r>
          </w:p>
        </w:tc>
        <w:tc>
          <w:tcPr>
            <w:tcW w:w="583" w:type="pct"/>
            <w:gridSpan w:val="2"/>
            <w:vAlign w:val="center"/>
          </w:tcPr>
          <w:p w14:paraId="0471683F">
            <w:pPr>
              <w:pStyle w:val="557"/>
            </w:pPr>
            <w:r>
              <w:t>NMHC</w:t>
            </w:r>
          </w:p>
        </w:tc>
        <w:tc>
          <w:tcPr>
            <w:tcW w:w="387" w:type="pct"/>
            <w:vAlign w:val="center"/>
          </w:tcPr>
          <w:p w14:paraId="0DB8E267">
            <w:pPr>
              <w:pStyle w:val="557"/>
            </w:pPr>
            <w:r>
              <w:rPr>
                <w:rFonts w:hint="eastAsia"/>
              </w:rPr>
              <w:t>/</w:t>
            </w:r>
          </w:p>
        </w:tc>
        <w:tc>
          <w:tcPr>
            <w:tcW w:w="989" w:type="pct"/>
            <w:vMerge w:val="continue"/>
            <w:vAlign w:val="center"/>
          </w:tcPr>
          <w:p w14:paraId="08D22EA9">
            <w:pPr>
              <w:pStyle w:val="557"/>
            </w:pPr>
          </w:p>
        </w:tc>
        <w:tc>
          <w:tcPr>
            <w:tcW w:w="702" w:type="pct"/>
            <w:vAlign w:val="center"/>
          </w:tcPr>
          <w:p w14:paraId="0254C770">
            <w:pPr>
              <w:pStyle w:val="557"/>
            </w:pPr>
            <w:r>
              <w:rPr>
                <w:rFonts w:hint="eastAsia"/>
              </w:rPr>
              <w:t>4.0</w:t>
            </w:r>
          </w:p>
        </w:tc>
        <w:tc>
          <w:tcPr>
            <w:tcW w:w="0" w:type="auto"/>
            <w:vAlign w:val="center"/>
          </w:tcPr>
          <w:p w14:paraId="0973D674">
            <w:pPr>
              <w:pStyle w:val="557"/>
            </w:pPr>
            <w:r>
              <w:rPr>
                <w:color w:val="000000"/>
                <w:kern w:val="0"/>
                <w:lang w:bidi="ar"/>
              </w:rPr>
              <w:t>0.241</w:t>
            </w:r>
          </w:p>
        </w:tc>
      </w:tr>
      <w:tr w14:paraId="4F3D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0638678B">
            <w:pPr>
              <w:pStyle w:val="557"/>
            </w:pPr>
            <w:r>
              <w:rPr>
                <w:rFonts w:hint="eastAsia"/>
              </w:rPr>
              <w:t>12</w:t>
            </w:r>
          </w:p>
        </w:tc>
        <w:tc>
          <w:tcPr>
            <w:tcW w:w="252" w:type="pct"/>
            <w:vAlign w:val="center"/>
          </w:tcPr>
          <w:p w14:paraId="3CE8F512">
            <w:pPr>
              <w:pStyle w:val="557"/>
            </w:pPr>
            <w:r>
              <w:rPr>
                <w:rFonts w:hint="eastAsia"/>
              </w:rPr>
              <w:t>/</w:t>
            </w:r>
          </w:p>
        </w:tc>
        <w:tc>
          <w:tcPr>
            <w:tcW w:w="1135" w:type="pct"/>
            <w:vAlign w:val="center"/>
          </w:tcPr>
          <w:p w14:paraId="500E8882">
            <w:pPr>
              <w:pStyle w:val="557"/>
            </w:pPr>
            <w:r>
              <w:rPr>
                <w:rFonts w:hint="eastAsia" w:ascii="宋体" w:hAnsi="宋体" w:cs="宋体"/>
                <w:color w:val="000000"/>
                <w:kern w:val="0"/>
                <w:lang w:bidi="ar"/>
              </w:rPr>
              <w:t>亚硝酸甲酯罐组</w:t>
            </w:r>
          </w:p>
        </w:tc>
        <w:tc>
          <w:tcPr>
            <w:tcW w:w="583" w:type="pct"/>
            <w:gridSpan w:val="2"/>
            <w:vAlign w:val="center"/>
          </w:tcPr>
          <w:p w14:paraId="5897BC51">
            <w:pPr>
              <w:pStyle w:val="557"/>
            </w:pPr>
            <w:r>
              <w:t>NMHC</w:t>
            </w:r>
          </w:p>
        </w:tc>
        <w:tc>
          <w:tcPr>
            <w:tcW w:w="387" w:type="pct"/>
            <w:vAlign w:val="center"/>
          </w:tcPr>
          <w:p w14:paraId="50204824">
            <w:pPr>
              <w:pStyle w:val="557"/>
            </w:pPr>
            <w:r>
              <w:rPr>
                <w:rFonts w:hint="eastAsia"/>
              </w:rPr>
              <w:t>/</w:t>
            </w:r>
          </w:p>
        </w:tc>
        <w:tc>
          <w:tcPr>
            <w:tcW w:w="989" w:type="pct"/>
            <w:vMerge w:val="continue"/>
            <w:vAlign w:val="center"/>
          </w:tcPr>
          <w:p w14:paraId="017C6952">
            <w:pPr>
              <w:pStyle w:val="557"/>
            </w:pPr>
          </w:p>
        </w:tc>
        <w:tc>
          <w:tcPr>
            <w:tcW w:w="702" w:type="pct"/>
            <w:vAlign w:val="center"/>
          </w:tcPr>
          <w:p w14:paraId="1CE112E8">
            <w:pPr>
              <w:pStyle w:val="557"/>
            </w:pPr>
            <w:r>
              <w:rPr>
                <w:rFonts w:hint="eastAsia"/>
              </w:rPr>
              <w:t>4.0</w:t>
            </w:r>
          </w:p>
        </w:tc>
        <w:tc>
          <w:tcPr>
            <w:tcW w:w="0" w:type="auto"/>
            <w:vAlign w:val="center"/>
          </w:tcPr>
          <w:p w14:paraId="019F16E4">
            <w:pPr>
              <w:pStyle w:val="557"/>
            </w:pPr>
            <w:r>
              <w:rPr>
                <w:color w:val="000000"/>
                <w:kern w:val="0"/>
                <w:lang w:bidi="ar"/>
              </w:rPr>
              <w:t>0.13</w:t>
            </w:r>
          </w:p>
        </w:tc>
      </w:tr>
      <w:tr w14:paraId="6615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15010984">
            <w:pPr>
              <w:pStyle w:val="557"/>
            </w:pPr>
            <w:r>
              <w:rPr>
                <w:rFonts w:hint="eastAsia"/>
              </w:rPr>
              <w:t>13</w:t>
            </w:r>
          </w:p>
        </w:tc>
        <w:tc>
          <w:tcPr>
            <w:tcW w:w="252" w:type="pct"/>
            <w:vAlign w:val="center"/>
          </w:tcPr>
          <w:p w14:paraId="63D6B749">
            <w:pPr>
              <w:pStyle w:val="557"/>
            </w:pPr>
            <w:r>
              <w:rPr>
                <w:rFonts w:hint="eastAsia"/>
              </w:rPr>
              <w:t>/</w:t>
            </w:r>
          </w:p>
        </w:tc>
        <w:tc>
          <w:tcPr>
            <w:tcW w:w="1135" w:type="pct"/>
            <w:vAlign w:val="center"/>
          </w:tcPr>
          <w:p w14:paraId="3F425D69">
            <w:pPr>
              <w:pStyle w:val="557"/>
            </w:pPr>
            <w:r>
              <w:rPr>
                <w:rFonts w:hint="eastAsia" w:ascii="宋体" w:hAnsi="宋体" w:cs="宋体"/>
                <w:color w:val="000000"/>
                <w:kern w:val="0"/>
                <w:lang w:bidi="ar"/>
              </w:rPr>
              <w:t>中间产品罐组</w:t>
            </w:r>
          </w:p>
        </w:tc>
        <w:tc>
          <w:tcPr>
            <w:tcW w:w="583" w:type="pct"/>
            <w:gridSpan w:val="2"/>
            <w:vAlign w:val="center"/>
          </w:tcPr>
          <w:p w14:paraId="70066294">
            <w:pPr>
              <w:pStyle w:val="557"/>
            </w:pPr>
            <w:r>
              <w:t>NMHC</w:t>
            </w:r>
          </w:p>
        </w:tc>
        <w:tc>
          <w:tcPr>
            <w:tcW w:w="387" w:type="pct"/>
            <w:vAlign w:val="center"/>
          </w:tcPr>
          <w:p w14:paraId="4000B503">
            <w:pPr>
              <w:pStyle w:val="557"/>
            </w:pPr>
            <w:r>
              <w:rPr>
                <w:rFonts w:hint="eastAsia"/>
              </w:rPr>
              <w:t>/</w:t>
            </w:r>
          </w:p>
        </w:tc>
        <w:tc>
          <w:tcPr>
            <w:tcW w:w="989" w:type="pct"/>
            <w:vMerge w:val="continue"/>
            <w:vAlign w:val="center"/>
          </w:tcPr>
          <w:p w14:paraId="762D07A2">
            <w:pPr>
              <w:pStyle w:val="557"/>
            </w:pPr>
          </w:p>
        </w:tc>
        <w:tc>
          <w:tcPr>
            <w:tcW w:w="702" w:type="pct"/>
            <w:vAlign w:val="center"/>
          </w:tcPr>
          <w:p w14:paraId="388ABFFF">
            <w:pPr>
              <w:pStyle w:val="557"/>
            </w:pPr>
            <w:r>
              <w:rPr>
                <w:rFonts w:hint="eastAsia"/>
              </w:rPr>
              <w:t>4.0</w:t>
            </w:r>
          </w:p>
        </w:tc>
        <w:tc>
          <w:tcPr>
            <w:tcW w:w="0" w:type="auto"/>
            <w:vAlign w:val="center"/>
          </w:tcPr>
          <w:p w14:paraId="3DF47413">
            <w:pPr>
              <w:pStyle w:val="557"/>
            </w:pPr>
            <w:r>
              <w:rPr>
                <w:color w:val="000000"/>
                <w:kern w:val="0"/>
                <w:lang w:bidi="ar"/>
              </w:rPr>
              <w:t>1.48</w:t>
            </w:r>
          </w:p>
        </w:tc>
      </w:tr>
      <w:tr w14:paraId="52DA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0" w:type="auto"/>
            <w:vAlign w:val="center"/>
          </w:tcPr>
          <w:p w14:paraId="703D98C9">
            <w:pPr>
              <w:pStyle w:val="557"/>
            </w:pPr>
            <w:r>
              <w:rPr>
                <w:rFonts w:hint="eastAsia"/>
              </w:rPr>
              <w:t>14</w:t>
            </w:r>
          </w:p>
        </w:tc>
        <w:tc>
          <w:tcPr>
            <w:tcW w:w="252" w:type="pct"/>
            <w:vAlign w:val="center"/>
          </w:tcPr>
          <w:p w14:paraId="061B4E9C">
            <w:pPr>
              <w:pStyle w:val="557"/>
            </w:pPr>
            <w:r>
              <w:rPr>
                <w:rFonts w:hint="eastAsia"/>
              </w:rPr>
              <w:t>/</w:t>
            </w:r>
          </w:p>
        </w:tc>
        <w:tc>
          <w:tcPr>
            <w:tcW w:w="1135" w:type="pct"/>
            <w:vAlign w:val="center"/>
          </w:tcPr>
          <w:p w14:paraId="60A36640">
            <w:pPr>
              <w:pStyle w:val="557"/>
            </w:pPr>
            <w:r>
              <w:rPr>
                <w:rFonts w:hint="eastAsia" w:ascii="宋体" w:hAnsi="宋体" w:cs="宋体"/>
                <w:color w:val="000000"/>
                <w:kern w:val="0"/>
                <w:lang w:bidi="ar"/>
              </w:rPr>
              <w:t>汽车装卸站无组织废气</w:t>
            </w:r>
          </w:p>
        </w:tc>
        <w:tc>
          <w:tcPr>
            <w:tcW w:w="583" w:type="pct"/>
            <w:gridSpan w:val="2"/>
            <w:vAlign w:val="center"/>
          </w:tcPr>
          <w:p w14:paraId="77968C33">
            <w:pPr>
              <w:pStyle w:val="557"/>
            </w:pPr>
            <w:r>
              <w:t>NMHC</w:t>
            </w:r>
          </w:p>
        </w:tc>
        <w:tc>
          <w:tcPr>
            <w:tcW w:w="387" w:type="pct"/>
            <w:vAlign w:val="center"/>
          </w:tcPr>
          <w:p w14:paraId="658D7065">
            <w:pPr>
              <w:pStyle w:val="557"/>
            </w:pPr>
            <w:r>
              <w:rPr>
                <w:rFonts w:hint="eastAsia"/>
              </w:rPr>
              <w:t>/</w:t>
            </w:r>
          </w:p>
        </w:tc>
        <w:tc>
          <w:tcPr>
            <w:tcW w:w="989" w:type="pct"/>
            <w:vMerge w:val="continue"/>
            <w:vAlign w:val="center"/>
          </w:tcPr>
          <w:p w14:paraId="7E1DB3DF">
            <w:pPr>
              <w:pStyle w:val="557"/>
            </w:pPr>
          </w:p>
        </w:tc>
        <w:tc>
          <w:tcPr>
            <w:tcW w:w="702" w:type="pct"/>
            <w:vAlign w:val="center"/>
          </w:tcPr>
          <w:p w14:paraId="548A6267">
            <w:pPr>
              <w:pStyle w:val="557"/>
            </w:pPr>
            <w:r>
              <w:rPr>
                <w:rFonts w:hint="eastAsia"/>
              </w:rPr>
              <w:t>4.0</w:t>
            </w:r>
          </w:p>
        </w:tc>
        <w:tc>
          <w:tcPr>
            <w:tcW w:w="0" w:type="auto"/>
            <w:vAlign w:val="center"/>
          </w:tcPr>
          <w:p w14:paraId="5BEDF4F0">
            <w:pPr>
              <w:pStyle w:val="557"/>
            </w:pPr>
            <w:r>
              <w:rPr>
                <w:color w:val="000000"/>
                <w:kern w:val="0"/>
                <w:lang w:bidi="ar"/>
              </w:rPr>
              <w:t>0.17</w:t>
            </w:r>
          </w:p>
        </w:tc>
      </w:tr>
      <w:tr w14:paraId="6D1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5000" w:type="pct"/>
            <w:gridSpan w:val="9"/>
            <w:vAlign w:val="center"/>
          </w:tcPr>
          <w:p w14:paraId="258B53E5">
            <w:pPr>
              <w:pStyle w:val="557"/>
              <w:rPr>
                <w:color w:val="FF0000"/>
              </w:rPr>
            </w:pPr>
            <w:r>
              <w:t>无组织排放统计</w:t>
            </w:r>
          </w:p>
        </w:tc>
      </w:tr>
      <w:tr w14:paraId="214F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898" w:type="pct"/>
            <w:gridSpan w:val="4"/>
            <w:vMerge w:val="restart"/>
            <w:vAlign w:val="center"/>
          </w:tcPr>
          <w:p w14:paraId="3980F0AA">
            <w:pPr>
              <w:pStyle w:val="557"/>
            </w:pPr>
            <w:r>
              <w:t>无组织排放统计</w:t>
            </w:r>
          </w:p>
        </w:tc>
        <w:tc>
          <w:tcPr>
            <w:tcW w:w="2457" w:type="pct"/>
            <w:gridSpan w:val="4"/>
            <w:vAlign w:val="center"/>
          </w:tcPr>
          <w:p w14:paraId="229D7F1A">
            <w:pPr>
              <w:pStyle w:val="557"/>
            </w:pPr>
            <w:r>
              <w:t>H</w:t>
            </w:r>
            <w:r>
              <w:rPr>
                <w:vertAlign w:val="subscript"/>
              </w:rPr>
              <w:t>2</w:t>
            </w:r>
            <w:r>
              <w:t>S</w:t>
            </w:r>
          </w:p>
        </w:tc>
        <w:tc>
          <w:tcPr>
            <w:tcW w:w="645" w:type="pct"/>
            <w:vAlign w:val="center"/>
          </w:tcPr>
          <w:p w14:paraId="0F21DE04">
            <w:pPr>
              <w:pStyle w:val="557"/>
            </w:pPr>
            <w:r>
              <w:rPr>
                <w:color w:val="000000"/>
              </w:rPr>
              <w:t>0.168</w:t>
            </w:r>
          </w:p>
        </w:tc>
      </w:tr>
      <w:tr w14:paraId="79C4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898" w:type="pct"/>
            <w:gridSpan w:val="4"/>
            <w:vMerge w:val="continue"/>
            <w:vAlign w:val="center"/>
          </w:tcPr>
          <w:p w14:paraId="6F48896B">
            <w:pPr>
              <w:pStyle w:val="557"/>
            </w:pPr>
          </w:p>
        </w:tc>
        <w:tc>
          <w:tcPr>
            <w:tcW w:w="2457" w:type="pct"/>
            <w:gridSpan w:val="4"/>
            <w:vAlign w:val="center"/>
          </w:tcPr>
          <w:p w14:paraId="4CCCD378">
            <w:pPr>
              <w:pStyle w:val="557"/>
            </w:pPr>
            <w:r>
              <w:t>NH</w:t>
            </w:r>
            <w:r>
              <w:rPr>
                <w:vertAlign w:val="subscript"/>
              </w:rPr>
              <w:t>3</w:t>
            </w:r>
          </w:p>
        </w:tc>
        <w:tc>
          <w:tcPr>
            <w:tcW w:w="645" w:type="pct"/>
            <w:vAlign w:val="center"/>
          </w:tcPr>
          <w:p w14:paraId="68D97756">
            <w:pPr>
              <w:pStyle w:val="557"/>
            </w:pPr>
            <w:r>
              <w:rPr>
                <w:color w:val="000000"/>
              </w:rPr>
              <w:t>1.048</w:t>
            </w:r>
          </w:p>
        </w:tc>
      </w:tr>
      <w:tr w14:paraId="1BA7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898" w:type="pct"/>
            <w:gridSpan w:val="4"/>
            <w:vMerge w:val="continue"/>
            <w:vAlign w:val="center"/>
          </w:tcPr>
          <w:p w14:paraId="70921275">
            <w:pPr>
              <w:pStyle w:val="557"/>
            </w:pPr>
          </w:p>
        </w:tc>
        <w:tc>
          <w:tcPr>
            <w:tcW w:w="2457" w:type="pct"/>
            <w:gridSpan w:val="4"/>
            <w:vAlign w:val="center"/>
          </w:tcPr>
          <w:p w14:paraId="2EDB140E">
            <w:pPr>
              <w:pStyle w:val="557"/>
            </w:pPr>
            <w:r>
              <w:t>NMHC</w:t>
            </w:r>
          </w:p>
        </w:tc>
        <w:tc>
          <w:tcPr>
            <w:tcW w:w="645" w:type="pct"/>
            <w:vAlign w:val="center"/>
          </w:tcPr>
          <w:p w14:paraId="259D392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58.981</w:t>
            </w:r>
          </w:p>
        </w:tc>
      </w:tr>
    </w:tbl>
    <w:p w14:paraId="77E50EAC">
      <w:pPr>
        <w:pStyle w:val="98"/>
        <w:rPr>
          <w:rFonts w:hint="eastAsia"/>
        </w:rPr>
      </w:pPr>
      <w:r>
        <w:t>污染物年排放量核算</w:t>
      </w:r>
    </w:p>
    <w:p w14:paraId="2970DC50">
      <w:pPr>
        <w:pStyle w:val="24"/>
        <w:spacing w:after="0" w:line="360" w:lineRule="auto"/>
        <w:ind w:firstLine="480" w:firstLineChars="200"/>
        <w:rPr>
          <w:rStyle w:val="282"/>
        </w:rPr>
      </w:pPr>
      <w:r>
        <w:rPr>
          <w:sz w:val="24"/>
        </w:rPr>
        <w:t>本项目污染物排放量核</w:t>
      </w:r>
      <w:r>
        <w:rPr>
          <w:rStyle w:val="282"/>
        </w:rPr>
        <w:t>算见</w:t>
      </w:r>
      <w:r>
        <w:rPr>
          <w:rStyle w:val="282"/>
          <w:rFonts w:hint="eastAsia"/>
        </w:rPr>
        <w:t>表5.2</w:t>
      </w:r>
      <w:r>
        <w:rPr>
          <w:rStyle w:val="282"/>
        </w:rPr>
        <w:t>.9</w:t>
      </w:r>
      <w:r>
        <w:rPr>
          <w:rStyle w:val="282"/>
          <w:rFonts w:hint="eastAsia"/>
        </w:rPr>
        <w:t>-</w:t>
      </w:r>
      <w:r>
        <w:rPr>
          <w:rStyle w:val="282"/>
        </w:rPr>
        <w:t>3。</w:t>
      </w:r>
    </w:p>
    <w:p w14:paraId="69C0BE67">
      <w:pPr>
        <w:pStyle w:val="541"/>
        <w:rPr>
          <w:rFonts w:hint="eastAsia"/>
        </w:rPr>
      </w:pPr>
      <w:r>
        <w:rPr>
          <w:rFonts w:hint="eastAsia"/>
        </w:rPr>
        <w:t>表5.2.9-3</w:t>
      </w:r>
      <w:r>
        <w:t xml:space="preserve">    项目大气污染物排放量核算一览表</w:t>
      </w:r>
    </w:p>
    <w:tbl>
      <w:tblPr>
        <w:tblStyle w:val="65"/>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3443"/>
        <w:gridCol w:w="3442"/>
      </w:tblGrid>
      <w:tr w14:paraId="6FCB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2255715A">
            <w:pPr>
              <w:pStyle w:val="557"/>
            </w:pPr>
            <w:bookmarkStart w:id="302" w:name="_Hlk150249343"/>
            <w:r>
              <w:t>序号</w:t>
            </w:r>
          </w:p>
        </w:tc>
        <w:tc>
          <w:tcPr>
            <w:tcW w:w="2013" w:type="pct"/>
            <w:vAlign w:val="center"/>
          </w:tcPr>
          <w:p w14:paraId="42EA4DCE">
            <w:pPr>
              <w:pStyle w:val="557"/>
            </w:pPr>
            <w:r>
              <w:t>污染物</w:t>
            </w:r>
          </w:p>
        </w:tc>
        <w:tc>
          <w:tcPr>
            <w:tcW w:w="2012" w:type="pct"/>
            <w:vAlign w:val="center"/>
          </w:tcPr>
          <w:p w14:paraId="31B7B5F2">
            <w:pPr>
              <w:pStyle w:val="557"/>
            </w:pPr>
            <w:r>
              <w:t>年排放量/（t/a）</w:t>
            </w:r>
          </w:p>
        </w:tc>
      </w:tr>
      <w:tr w14:paraId="76D1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7BFC5A78">
            <w:pPr>
              <w:pStyle w:val="557"/>
            </w:pPr>
            <w:bookmarkStart w:id="303" w:name="_Hlk138791837"/>
            <w:r>
              <w:t>1</w:t>
            </w:r>
          </w:p>
        </w:tc>
        <w:tc>
          <w:tcPr>
            <w:tcW w:w="2013" w:type="pct"/>
            <w:vAlign w:val="center"/>
          </w:tcPr>
          <w:p w14:paraId="1B27B7B0">
            <w:pPr>
              <w:pStyle w:val="557"/>
            </w:pPr>
            <w:r>
              <w:t>NH</w:t>
            </w:r>
            <w:r>
              <w:rPr>
                <w:vertAlign w:val="subscript"/>
              </w:rPr>
              <w:t>3</w:t>
            </w:r>
          </w:p>
        </w:tc>
        <w:tc>
          <w:tcPr>
            <w:tcW w:w="2012" w:type="pct"/>
            <w:vAlign w:val="center"/>
          </w:tcPr>
          <w:p w14:paraId="5DBEABC9">
            <w:pPr>
              <w:pStyle w:val="557"/>
            </w:pPr>
            <w:r>
              <w:rPr>
                <w:rFonts w:eastAsia="等线"/>
                <w:color w:val="000000"/>
              </w:rPr>
              <w:t>10.064</w:t>
            </w:r>
          </w:p>
        </w:tc>
      </w:tr>
      <w:tr w14:paraId="1844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4E7EC53D">
            <w:pPr>
              <w:pStyle w:val="557"/>
            </w:pPr>
            <w:r>
              <w:t>2</w:t>
            </w:r>
          </w:p>
        </w:tc>
        <w:tc>
          <w:tcPr>
            <w:tcW w:w="2013" w:type="pct"/>
            <w:vAlign w:val="center"/>
          </w:tcPr>
          <w:p w14:paraId="7061A33A">
            <w:pPr>
              <w:pStyle w:val="557"/>
            </w:pPr>
            <w:r>
              <w:t>NO</w:t>
            </w:r>
            <w:r>
              <w:rPr>
                <w:vertAlign w:val="subscript"/>
              </w:rPr>
              <w:t>X</w:t>
            </w:r>
          </w:p>
        </w:tc>
        <w:tc>
          <w:tcPr>
            <w:tcW w:w="2012" w:type="pct"/>
            <w:vAlign w:val="center"/>
          </w:tcPr>
          <w:p w14:paraId="6CBFE1C0">
            <w:pPr>
              <w:pStyle w:val="557"/>
            </w:pPr>
            <w:r>
              <w:rPr>
                <w:rFonts w:eastAsia="等线"/>
                <w:color w:val="000000"/>
              </w:rPr>
              <w:t>88.21</w:t>
            </w:r>
          </w:p>
        </w:tc>
      </w:tr>
      <w:tr w14:paraId="07B8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17499D6D">
            <w:pPr>
              <w:pStyle w:val="557"/>
            </w:pPr>
            <w:r>
              <w:t>3</w:t>
            </w:r>
          </w:p>
        </w:tc>
        <w:tc>
          <w:tcPr>
            <w:tcW w:w="2013" w:type="pct"/>
            <w:vAlign w:val="center"/>
          </w:tcPr>
          <w:p w14:paraId="7E291332">
            <w:pPr>
              <w:pStyle w:val="557"/>
            </w:pPr>
            <w:r>
              <w:t>SO</w:t>
            </w:r>
            <w:r>
              <w:rPr>
                <w:vertAlign w:val="subscript"/>
              </w:rPr>
              <w:t>2</w:t>
            </w:r>
          </w:p>
        </w:tc>
        <w:tc>
          <w:tcPr>
            <w:tcW w:w="2012" w:type="pct"/>
            <w:vAlign w:val="center"/>
          </w:tcPr>
          <w:p w14:paraId="08D252A3">
            <w:pPr>
              <w:pStyle w:val="557"/>
            </w:pPr>
            <w:r>
              <w:rPr>
                <w:rFonts w:eastAsia="等线"/>
                <w:color w:val="000000"/>
              </w:rPr>
              <w:t>26.97</w:t>
            </w:r>
          </w:p>
        </w:tc>
      </w:tr>
      <w:tr w14:paraId="213C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5E3E00E2">
            <w:pPr>
              <w:pStyle w:val="557"/>
            </w:pPr>
            <w:r>
              <w:t>4</w:t>
            </w:r>
          </w:p>
        </w:tc>
        <w:tc>
          <w:tcPr>
            <w:tcW w:w="2013" w:type="pct"/>
            <w:vAlign w:val="center"/>
          </w:tcPr>
          <w:p w14:paraId="0BB4BDA3">
            <w:pPr>
              <w:pStyle w:val="557"/>
            </w:pPr>
            <w:r>
              <w:rPr>
                <w:rFonts w:hint="eastAsia"/>
              </w:rPr>
              <w:t>颗粒物</w:t>
            </w:r>
          </w:p>
        </w:tc>
        <w:tc>
          <w:tcPr>
            <w:tcW w:w="2012" w:type="pct"/>
            <w:vAlign w:val="center"/>
          </w:tcPr>
          <w:p w14:paraId="2FDBE065">
            <w:pPr>
              <w:pStyle w:val="557"/>
            </w:pPr>
            <w:r>
              <w:rPr>
                <w:rFonts w:eastAsia="等线"/>
                <w:color w:val="000000"/>
              </w:rPr>
              <w:t>125.99</w:t>
            </w:r>
          </w:p>
        </w:tc>
      </w:tr>
      <w:tr w14:paraId="4C4A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22B3EAB8">
            <w:pPr>
              <w:pStyle w:val="557"/>
            </w:pPr>
            <w:r>
              <w:t>5</w:t>
            </w:r>
          </w:p>
        </w:tc>
        <w:tc>
          <w:tcPr>
            <w:tcW w:w="2013" w:type="pct"/>
            <w:vAlign w:val="center"/>
          </w:tcPr>
          <w:p w14:paraId="6B40617E">
            <w:pPr>
              <w:pStyle w:val="557"/>
            </w:pPr>
            <w:r>
              <w:rPr>
                <w:rFonts w:hint="eastAsia"/>
              </w:rPr>
              <w:t>硫酸雾</w:t>
            </w:r>
          </w:p>
        </w:tc>
        <w:tc>
          <w:tcPr>
            <w:tcW w:w="2012" w:type="pct"/>
            <w:vAlign w:val="center"/>
          </w:tcPr>
          <w:p w14:paraId="1FE91802">
            <w:pPr>
              <w:pStyle w:val="557"/>
            </w:pPr>
            <w:r>
              <w:rPr>
                <w:rFonts w:eastAsia="等线"/>
                <w:color w:val="000000"/>
              </w:rPr>
              <w:t>2.3</w:t>
            </w:r>
          </w:p>
        </w:tc>
      </w:tr>
      <w:tr w14:paraId="62F7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6EB3B912">
            <w:pPr>
              <w:pStyle w:val="557"/>
            </w:pPr>
            <w:r>
              <w:t>6</w:t>
            </w:r>
          </w:p>
        </w:tc>
        <w:tc>
          <w:tcPr>
            <w:tcW w:w="2013" w:type="pct"/>
            <w:vAlign w:val="center"/>
          </w:tcPr>
          <w:p w14:paraId="7FCFD767">
            <w:pPr>
              <w:pStyle w:val="557"/>
            </w:pPr>
            <w:r>
              <w:rPr>
                <w:rFonts w:hint="eastAsia"/>
              </w:rPr>
              <w:t>甲醇</w:t>
            </w:r>
          </w:p>
        </w:tc>
        <w:tc>
          <w:tcPr>
            <w:tcW w:w="2012" w:type="pct"/>
            <w:vAlign w:val="center"/>
          </w:tcPr>
          <w:p w14:paraId="638791F6">
            <w:pPr>
              <w:pStyle w:val="557"/>
            </w:pPr>
            <w:r>
              <w:rPr>
                <w:rFonts w:eastAsia="等线"/>
                <w:color w:val="000000"/>
              </w:rPr>
              <w:t>4.924</w:t>
            </w:r>
          </w:p>
        </w:tc>
      </w:tr>
      <w:tr w14:paraId="607C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4B302FDE">
            <w:pPr>
              <w:pStyle w:val="557"/>
            </w:pPr>
            <w:r>
              <w:rPr>
                <w:rFonts w:hint="eastAsia"/>
              </w:rPr>
              <w:t>7</w:t>
            </w:r>
          </w:p>
        </w:tc>
        <w:tc>
          <w:tcPr>
            <w:tcW w:w="2013" w:type="pct"/>
            <w:vAlign w:val="center"/>
          </w:tcPr>
          <w:p w14:paraId="12A94678">
            <w:pPr>
              <w:pStyle w:val="557"/>
            </w:pPr>
            <w:r>
              <w:t>NMHC</w:t>
            </w:r>
          </w:p>
        </w:tc>
        <w:tc>
          <w:tcPr>
            <w:tcW w:w="2012" w:type="pct"/>
            <w:vAlign w:val="center"/>
          </w:tcPr>
          <w:p w14:paraId="030135E0">
            <w:pPr>
              <w:pStyle w:val="557"/>
            </w:pPr>
            <w:r>
              <w:rPr>
                <w:rFonts w:eastAsia="等线"/>
                <w:color w:val="000000"/>
              </w:rPr>
              <w:t>63.461</w:t>
            </w:r>
          </w:p>
        </w:tc>
      </w:tr>
      <w:tr w14:paraId="25A2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75" w:type="pct"/>
            <w:vAlign w:val="center"/>
          </w:tcPr>
          <w:p w14:paraId="23A393D2">
            <w:pPr>
              <w:pStyle w:val="557"/>
            </w:pPr>
            <w:r>
              <w:rPr>
                <w:rFonts w:hint="eastAsia"/>
              </w:rPr>
              <w:t>8</w:t>
            </w:r>
          </w:p>
        </w:tc>
        <w:tc>
          <w:tcPr>
            <w:tcW w:w="2013" w:type="pct"/>
            <w:vAlign w:val="center"/>
          </w:tcPr>
          <w:p w14:paraId="556AA712">
            <w:pPr>
              <w:pStyle w:val="557"/>
            </w:pPr>
            <w:r>
              <w:t>H</w:t>
            </w:r>
            <w:r>
              <w:rPr>
                <w:vertAlign w:val="subscript"/>
              </w:rPr>
              <w:t>2</w:t>
            </w:r>
            <w:r>
              <w:t>S</w:t>
            </w:r>
          </w:p>
        </w:tc>
        <w:tc>
          <w:tcPr>
            <w:tcW w:w="2012" w:type="pct"/>
            <w:vAlign w:val="center"/>
          </w:tcPr>
          <w:p w14:paraId="779837D3">
            <w:pPr>
              <w:pStyle w:val="557"/>
            </w:pPr>
            <w:r>
              <w:rPr>
                <w:rFonts w:eastAsia="等线"/>
                <w:color w:val="000000"/>
              </w:rPr>
              <w:t>1.288</w:t>
            </w:r>
          </w:p>
        </w:tc>
      </w:tr>
      <w:bookmarkEnd w:id="302"/>
      <w:bookmarkEnd w:id="303"/>
    </w:tbl>
    <w:p w14:paraId="69402060">
      <w:pPr>
        <w:pStyle w:val="562"/>
        <w:ind w:firstLine="400"/>
        <w:rPr>
          <w:rFonts w:hint="eastAsia"/>
        </w:rPr>
      </w:pPr>
    </w:p>
    <w:p w14:paraId="5C26F9B6">
      <w:pPr>
        <w:pStyle w:val="98"/>
        <w:rPr>
          <w:rFonts w:hint="eastAsia"/>
        </w:rPr>
      </w:pPr>
      <w:r>
        <w:rPr>
          <w:rFonts w:hint="eastAsia"/>
        </w:rPr>
        <w:t>非正常排放量核算</w:t>
      </w:r>
    </w:p>
    <w:p w14:paraId="5E46981A">
      <w:pPr>
        <w:pStyle w:val="281"/>
        <w:ind w:firstLine="480"/>
        <w:rPr>
          <w:rStyle w:val="282"/>
        </w:rPr>
      </w:pPr>
      <w:r>
        <w:rPr>
          <w:rFonts w:hint="eastAsia" w:ascii="宋体" w:hAnsi="宋体"/>
          <w:szCs w:val="24"/>
        </w:rPr>
        <w:t>非正常工况下，污染物排放量核</w:t>
      </w:r>
      <w:r>
        <w:rPr>
          <w:rStyle w:val="282"/>
        </w:rPr>
        <w:t>算见</w:t>
      </w:r>
      <w:r>
        <w:rPr>
          <w:rStyle w:val="282"/>
          <w:rFonts w:hint="eastAsia"/>
        </w:rPr>
        <w:t>表5.2</w:t>
      </w:r>
      <w:r>
        <w:rPr>
          <w:rStyle w:val="282"/>
        </w:rPr>
        <w:t>.9</w:t>
      </w:r>
      <w:r>
        <w:rPr>
          <w:rStyle w:val="282"/>
          <w:rFonts w:hint="eastAsia"/>
        </w:rPr>
        <w:t>-</w:t>
      </w:r>
      <w:r>
        <w:rPr>
          <w:rStyle w:val="282"/>
        </w:rPr>
        <w:t>4。</w:t>
      </w:r>
    </w:p>
    <w:p w14:paraId="5546073E">
      <w:pPr>
        <w:pStyle w:val="541"/>
        <w:rPr>
          <w:rFonts w:hint="eastAsia"/>
        </w:rPr>
      </w:pPr>
      <w:r>
        <w:rPr>
          <w:rFonts w:hint="eastAsia"/>
        </w:rPr>
        <w:t>表5.2.9-4</w:t>
      </w:r>
      <w:r>
        <w:t xml:space="preserve">    </w:t>
      </w:r>
      <w:r>
        <w:rPr>
          <w:rFonts w:hint="eastAsia"/>
        </w:rPr>
        <w:t>污染源非正常</w:t>
      </w:r>
      <w:r>
        <w:t>排放量核算表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1925"/>
        <w:gridCol w:w="1629"/>
        <w:gridCol w:w="1418"/>
        <w:gridCol w:w="1134"/>
        <w:gridCol w:w="1422"/>
      </w:tblGrid>
      <w:tr w14:paraId="6C5C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top w:val="single" w:color="auto" w:sz="4" w:space="0"/>
              <w:left w:val="single" w:color="auto" w:sz="4" w:space="0"/>
              <w:bottom w:val="single" w:color="auto" w:sz="4" w:space="0"/>
              <w:right w:val="single" w:color="auto" w:sz="4" w:space="0"/>
            </w:tcBorders>
            <w:vAlign w:val="center"/>
          </w:tcPr>
          <w:p w14:paraId="7A90C1A4">
            <w:pPr>
              <w:pStyle w:val="557"/>
            </w:pPr>
            <w:r>
              <w:t>排放源</w:t>
            </w:r>
          </w:p>
        </w:tc>
        <w:tc>
          <w:tcPr>
            <w:tcW w:w="1925" w:type="dxa"/>
            <w:vMerge w:val="restart"/>
            <w:tcBorders>
              <w:top w:val="single" w:color="auto" w:sz="4" w:space="0"/>
              <w:left w:val="single" w:color="auto" w:sz="4" w:space="0"/>
              <w:bottom w:val="single" w:color="auto" w:sz="4" w:space="0"/>
              <w:right w:val="single" w:color="auto" w:sz="4" w:space="0"/>
            </w:tcBorders>
            <w:vAlign w:val="center"/>
          </w:tcPr>
          <w:p w14:paraId="1E61B4E7">
            <w:pPr>
              <w:pStyle w:val="557"/>
            </w:pPr>
            <w:r>
              <w:t>污染物</w:t>
            </w:r>
          </w:p>
        </w:tc>
        <w:tc>
          <w:tcPr>
            <w:tcW w:w="3047" w:type="dxa"/>
            <w:gridSpan w:val="2"/>
            <w:tcBorders>
              <w:top w:val="single" w:color="auto" w:sz="4" w:space="0"/>
              <w:left w:val="single" w:color="auto" w:sz="4" w:space="0"/>
              <w:bottom w:val="single" w:color="auto" w:sz="4" w:space="0"/>
              <w:right w:val="single" w:color="auto" w:sz="4" w:space="0"/>
            </w:tcBorders>
            <w:vAlign w:val="center"/>
          </w:tcPr>
          <w:p w14:paraId="2565D35E">
            <w:pPr>
              <w:pStyle w:val="557"/>
            </w:pPr>
            <w:r>
              <w:t>污染物产生情况</w:t>
            </w:r>
          </w:p>
        </w:tc>
        <w:tc>
          <w:tcPr>
            <w:tcW w:w="1134" w:type="dxa"/>
            <w:vMerge w:val="restart"/>
            <w:tcBorders>
              <w:top w:val="single" w:color="auto" w:sz="4" w:space="0"/>
              <w:left w:val="single" w:color="auto" w:sz="4" w:space="0"/>
              <w:right w:val="single" w:color="auto" w:sz="4" w:space="0"/>
            </w:tcBorders>
            <w:vAlign w:val="center"/>
          </w:tcPr>
          <w:p w14:paraId="4E6A81A2">
            <w:pPr>
              <w:pStyle w:val="557"/>
            </w:pPr>
            <w:r>
              <w:t>排放时间（h）</w:t>
            </w:r>
          </w:p>
        </w:tc>
        <w:tc>
          <w:tcPr>
            <w:tcW w:w="1422" w:type="dxa"/>
            <w:vMerge w:val="restart"/>
            <w:tcBorders>
              <w:top w:val="single" w:color="auto" w:sz="4" w:space="0"/>
              <w:left w:val="single" w:color="auto" w:sz="4" w:space="0"/>
              <w:right w:val="single" w:color="auto" w:sz="4" w:space="0"/>
            </w:tcBorders>
            <w:vAlign w:val="center"/>
          </w:tcPr>
          <w:p w14:paraId="66FBFE70">
            <w:pPr>
              <w:pStyle w:val="557"/>
            </w:pPr>
            <w:r>
              <w:t>去向及排气筒参数</w:t>
            </w:r>
          </w:p>
        </w:tc>
      </w:tr>
      <w:tr w14:paraId="302E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top w:val="single" w:color="auto" w:sz="4" w:space="0"/>
              <w:left w:val="single" w:color="auto" w:sz="4" w:space="0"/>
              <w:bottom w:val="single" w:color="auto" w:sz="4" w:space="0"/>
              <w:right w:val="single" w:color="auto" w:sz="4" w:space="0"/>
            </w:tcBorders>
            <w:vAlign w:val="center"/>
          </w:tcPr>
          <w:p w14:paraId="46C98CC1">
            <w:pPr>
              <w:pStyle w:val="557"/>
            </w:pPr>
          </w:p>
        </w:tc>
        <w:tc>
          <w:tcPr>
            <w:tcW w:w="1925" w:type="dxa"/>
            <w:vMerge w:val="continue"/>
            <w:tcBorders>
              <w:top w:val="single" w:color="auto" w:sz="4" w:space="0"/>
              <w:left w:val="single" w:color="auto" w:sz="4" w:space="0"/>
              <w:bottom w:val="single" w:color="auto" w:sz="4" w:space="0"/>
              <w:right w:val="single" w:color="auto" w:sz="4" w:space="0"/>
            </w:tcBorders>
            <w:vAlign w:val="center"/>
          </w:tcPr>
          <w:p w14:paraId="3D299A29">
            <w:pPr>
              <w:pStyle w:val="557"/>
            </w:pPr>
          </w:p>
        </w:tc>
        <w:tc>
          <w:tcPr>
            <w:tcW w:w="1629" w:type="dxa"/>
            <w:tcBorders>
              <w:top w:val="single" w:color="auto" w:sz="4" w:space="0"/>
              <w:left w:val="single" w:color="auto" w:sz="4" w:space="0"/>
              <w:bottom w:val="single" w:color="auto" w:sz="4" w:space="0"/>
              <w:right w:val="single" w:color="auto" w:sz="4" w:space="0"/>
            </w:tcBorders>
            <w:vAlign w:val="center"/>
          </w:tcPr>
          <w:p w14:paraId="000BECC4">
            <w:pPr>
              <w:pStyle w:val="557"/>
            </w:pPr>
            <w:r>
              <w:t>废气产生量（Nm</w:t>
            </w:r>
            <w:r>
              <w:rPr>
                <w:vertAlign w:val="superscript"/>
              </w:rPr>
              <w:t>3</w:t>
            </w:r>
            <w:r>
              <w:t>/h）</w:t>
            </w:r>
          </w:p>
        </w:tc>
        <w:tc>
          <w:tcPr>
            <w:tcW w:w="1418" w:type="dxa"/>
            <w:tcBorders>
              <w:top w:val="single" w:color="auto" w:sz="4" w:space="0"/>
              <w:left w:val="single" w:color="auto" w:sz="4" w:space="0"/>
              <w:bottom w:val="single" w:color="auto" w:sz="4" w:space="0"/>
              <w:right w:val="single" w:color="auto" w:sz="4" w:space="0"/>
            </w:tcBorders>
            <w:vAlign w:val="center"/>
          </w:tcPr>
          <w:p w14:paraId="6486D4D2">
            <w:pPr>
              <w:pStyle w:val="557"/>
            </w:pPr>
            <w:r>
              <w:t>产生速率（kg/h）</w:t>
            </w:r>
          </w:p>
        </w:tc>
        <w:tc>
          <w:tcPr>
            <w:tcW w:w="1134" w:type="dxa"/>
            <w:vMerge w:val="continue"/>
            <w:tcBorders>
              <w:left w:val="single" w:color="auto" w:sz="4" w:space="0"/>
              <w:bottom w:val="single" w:color="auto" w:sz="4" w:space="0"/>
              <w:right w:val="single" w:color="auto" w:sz="4" w:space="0"/>
            </w:tcBorders>
            <w:vAlign w:val="center"/>
          </w:tcPr>
          <w:p w14:paraId="239F7048">
            <w:pPr>
              <w:pStyle w:val="557"/>
            </w:pPr>
          </w:p>
        </w:tc>
        <w:tc>
          <w:tcPr>
            <w:tcW w:w="1422" w:type="dxa"/>
            <w:vMerge w:val="continue"/>
            <w:tcBorders>
              <w:left w:val="single" w:color="auto" w:sz="4" w:space="0"/>
              <w:bottom w:val="single" w:color="auto" w:sz="4" w:space="0"/>
              <w:right w:val="single" w:color="auto" w:sz="4" w:space="0"/>
            </w:tcBorders>
            <w:vAlign w:val="center"/>
          </w:tcPr>
          <w:p w14:paraId="36A3422A">
            <w:pPr>
              <w:pStyle w:val="557"/>
            </w:pPr>
          </w:p>
        </w:tc>
      </w:tr>
      <w:tr w14:paraId="152F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left w:val="single" w:color="auto" w:sz="4" w:space="0"/>
              <w:right w:val="single" w:color="auto" w:sz="4" w:space="0"/>
            </w:tcBorders>
            <w:vAlign w:val="center"/>
          </w:tcPr>
          <w:p w14:paraId="71DF511C">
            <w:pPr>
              <w:pStyle w:val="557"/>
            </w:pPr>
            <w:r>
              <w:t>硫回收装置故障废气</w:t>
            </w:r>
          </w:p>
        </w:tc>
        <w:tc>
          <w:tcPr>
            <w:tcW w:w="1925" w:type="dxa"/>
            <w:tcBorders>
              <w:top w:val="single" w:color="auto" w:sz="4" w:space="0"/>
              <w:left w:val="single" w:color="auto" w:sz="4" w:space="0"/>
              <w:bottom w:val="single" w:color="auto" w:sz="4" w:space="0"/>
              <w:right w:val="single" w:color="auto" w:sz="4" w:space="0"/>
            </w:tcBorders>
            <w:vAlign w:val="center"/>
          </w:tcPr>
          <w:p w14:paraId="1F378753">
            <w:pPr>
              <w:pStyle w:val="557"/>
            </w:pPr>
            <w:r>
              <w:t>SO</w:t>
            </w:r>
            <w:r>
              <w:rPr>
                <w:vertAlign w:val="subscript"/>
              </w:rPr>
              <w:t>2</w:t>
            </w:r>
          </w:p>
        </w:tc>
        <w:tc>
          <w:tcPr>
            <w:tcW w:w="1629" w:type="dxa"/>
            <w:vMerge w:val="restart"/>
            <w:tcBorders>
              <w:top w:val="single" w:color="auto" w:sz="4" w:space="0"/>
              <w:left w:val="single" w:color="auto" w:sz="4" w:space="0"/>
              <w:right w:val="single" w:color="auto" w:sz="4" w:space="0"/>
            </w:tcBorders>
            <w:vAlign w:val="center"/>
          </w:tcPr>
          <w:p w14:paraId="304F4136">
            <w:pPr>
              <w:pStyle w:val="557"/>
            </w:pPr>
            <w:r>
              <w:rPr>
                <w:rFonts w:hint="eastAsia"/>
              </w:rPr>
              <w:t>15000</w:t>
            </w:r>
          </w:p>
        </w:tc>
        <w:tc>
          <w:tcPr>
            <w:tcW w:w="1418" w:type="dxa"/>
            <w:tcBorders>
              <w:top w:val="single" w:color="auto" w:sz="4" w:space="0"/>
              <w:left w:val="single" w:color="auto" w:sz="4" w:space="0"/>
              <w:bottom w:val="single" w:color="auto" w:sz="4" w:space="0"/>
              <w:right w:val="single" w:color="auto" w:sz="4" w:space="0"/>
            </w:tcBorders>
            <w:vAlign w:val="center"/>
          </w:tcPr>
          <w:p w14:paraId="6B858816">
            <w:pPr>
              <w:pStyle w:val="557"/>
            </w:pPr>
            <w:r>
              <w:rPr>
                <w:color w:val="auto"/>
                <w:kern w:val="0"/>
                <w:lang w:bidi="ar"/>
              </w:rPr>
              <w:t>10.08</w:t>
            </w:r>
          </w:p>
        </w:tc>
        <w:tc>
          <w:tcPr>
            <w:tcW w:w="1134" w:type="dxa"/>
            <w:vMerge w:val="restart"/>
            <w:tcBorders>
              <w:left w:val="single" w:color="auto" w:sz="4" w:space="0"/>
              <w:right w:val="single" w:color="auto" w:sz="4" w:space="0"/>
            </w:tcBorders>
            <w:vAlign w:val="center"/>
          </w:tcPr>
          <w:p w14:paraId="7CC29B2A">
            <w:pPr>
              <w:pStyle w:val="557"/>
            </w:pPr>
            <w:r>
              <w:t>1</w:t>
            </w:r>
          </w:p>
        </w:tc>
        <w:tc>
          <w:tcPr>
            <w:tcW w:w="1422" w:type="dxa"/>
            <w:vMerge w:val="restart"/>
            <w:tcBorders>
              <w:left w:val="single" w:color="auto" w:sz="4" w:space="0"/>
              <w:right w:val="single" w:color="auto" w:sz="4" w:space="0"/>
            </w:tcBorders>
            <w:vAlign w:val="center"/>
          </w:tcPr>
          <w:p w14:paraId="50C79F1B">
            <w:pPr>
              <w:pStyle w:val="557"/>
            </w:pPr>
            <w:r>
              <w:t>H=4</w:t>
            </w:r>
            <w:r>
              <w:rPr>
                <w:rFonts w:hint="eastAsia"/>
              </w:rPr>
              <w:t>6</w:t>
            </w:r>
            <w:r>
              <w:t>m</w:t>
            </w:r>
            <w:r>
              <w:rPr>
                <w:rFonts w:hint="eastAsia"/>
              </w:rPr>
              <w:t xml:space="preserve">; </w:t>
            </w:r>
            <w:r>
              <w:t>DN=0.7m</w:t>
            </w:r>
            <w:r>
              <w:rPr>
                <w:rFonts w:hint="eastAsia"/>
              </w:rPr>
              <w:t xml:space="preserve">; </w:t>
            </w:r>
            <w:r>
              <w:t>T=50℃</w:t>
            </w:r>
          </w:p>
        </w:tc>
      </w:tr>
      <w:tr w14:paraId="5B14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60B0769D">
            <w:pPr>
              <w:pStyle w:val="557"/>
            </w:pPr>
          </w:p>
        </w:tc>
        <w:tc>
          <w:tcPr>
            <w:tcW w:w="1925" w:type="dxa"/>
            <w:tcBorders>
              <w:top w:val="single" w:color="auto" w:sz="4" w:space="0"/>
              <w:left w:val="single" w:color="auto" w:sz="4" w:space="0"/>
              <w:bottom w:val="single" w:color="auto" w:sz="4" w:space="0"/>
              <w:right w:val="single" w:color="auto" w:sz="4" w:space="0"/>
            </w:tcBorders>
            <w:vAlign w:val="center"/>
          </w:tcPr>
          <w:p w14:paraId="6CC3465D">
            <w:pPr>
              <w:pStyle w:val="557"/>
            </w:pPr>
            <w:r>
              <w:t>硫酸雾</w:t>
            </w:r>
          </w:p>
        </w:tc>
        <w:tc>
          <w:tcPr>
            <w:tcW w:w="1629" w:type="dxa"/>
            <w:vMerge w:val="continue"/>
            <w:tcBorders>
              <w:top w:val="single" w:color="auto" w:sz="4" w:space="0"/>
              <w:left w:val="single" w:color="auto" w:sz="4" w:space="0"/>
              <w:right w:val="single" w:color="auto" w:sz="4" w:space="0"/>
            </w:tcBorders>
            <w:vAlign w:val="center"/>
          </w:tcPr>
          <w:p w14:paraId="1A6F5C1E">
            <w:pPr>
              <w:pStyle w:val="557"/>
            </w:pPr>
          </w:p>
        </w:tc>
        <w:tc>
          <w:tcPr>
            <w:tcW w:w="1418" w:type="dxa"/>
            <w:tcBorders>
              <w:top w:val="single" w:color="auto" w:sz="4" w:space="0"/>
              <w:left w:val="single" w:color="auto" w:sz="4" w:space="0"/>
              <w:bottom w:val="single" w:color="auto" w:sz="4" w:space="0"/>
              <w:right w:val="single" w:color="auto" w:sz="4" w:space="0"/>
            </w:tcBorders>
            <w:vAlign w:val="center"/>
          </w:tcPr>
          <w:p w14:paraId="3D2DA7F7">
            <w:pPr>
              <w:pStyle w:val="557"/>
            </w:pPr>
            <w:r>
              <w:rPr>
                <w:color w:val="auto"/>
                <w:kern w:val="0"/>
                <w:lang w:bidi="ar"/>
              </w:rPr>
              <w:t>9.57</w:t>
            </w:r>
          </w:p>
        </w:tc>
        <w:tc>
          <w:tcPr>
            <w:tcW w:w="1134" w:type="dxa"/>
            <w:vMerge w:val="continue"/>
            <w:tcBorders>
              <w:left w:val="single" w:color="auto" w:sz="4" w:space="0"/>
              <w:right w:val="single" w:color="auto" w:sz="4" w:space="0"/>
            </w:tcBorders>
            <w:vAlign w:val="center"/>
          </w:tcPr>
          <w:p w14:paraId="1B9189FF">
            <w:pPr>
              <w:pStyle w:val="557"/>
            </w:pPr>
          </w:p>
        </w:tc>
        <w:tc>
          <w:tcPr>
            <w:tcW w:w="1422" w:type="dxa"/>
            <w:vMerge w:val="continue"/>
            <w:tcBorders>
              <w:left w:val="single" w:color="auto" w:sz="4" w:space="0"/>
              <w:right w:val="single" w:color="auto" w:sz="4" w:space="0"/>
            </w:tcBorders>
            <w:vAlign w:val="center"/>
          </w:tcPr>
          <w:p w14:paraId="3967B841">
            <w:pPr>
              <w:pStyle w:val="557"/>
            </w:pPr>
          </w:p>
        </w:tc>
      </w:tr>
      <w:tr w14:paraId="045A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39B6EA4E">
            <w:pPr>
              <w:pStyle w:val="557"/>
            </w:pPr>
          </w:p>
        </w:tc>
        <w:tc>
          <w:tcPr>
            <w:tcW w:w="1925" w:type="dxa"/>
            <w:tcBorders>
              <w:top w:val="single" w:color="auto" w:sz="4" w:space="0"/>
              <w:left w:val="single" w:color="auto" w:sz="4" w:space="0"/>
              <w:bottom w:val="single" w:color="auto" w:sz="4" w:space="0"/>
              <w:right w:val="single" w:color="auto" w:sz="4" w:space="0"/>
            </w:tcBorders>
            <w:vAlign w:val="center"/>
          </w:tcPr>
          <w:p w14:paraId="394787E8">
            <w:pPr>
              <w:pStyle w:val="557"/>
            </w:pPr>
            <w:r>
              <w:t>NOx</w:t>
            </w:r>
          </w:p>
        </w:tc>
        <w:tc>
          <w:tcPr>
            <w:tcW w:w="1629" w:type="dxa"/>
            <w:vMerge w:val="continue"/>
            <w:tcBorders>
              <w:left w:val="single" w:color="auto" w:sz="4" w:space="0"/>
              <w:right w:val="single" w:color="auto" w:sz="4" w:space="0"/>
            </w:tcBorders>
            <w:vAlign w:val="center"/>
          </w:tcPr>
          <w:p w14:paraId="08359365">
            <w:pPr>
              <w:pStyle w:val="557"/>
            </w:pPr>
          </w:p>
        </w:tc>
        <w:tc>
          <w:tcPr>
            <w:tcW w:w="1418" w:type="dxa"/>
            <w:tcBorders>
              <w:top w:val="single" w:color="auto" w:sz="4" w:space="0"/>
              <w:left w:val="single" w:color="auto" w:sz="4" w:space="0"/>
              <w:bottom w:val="single" w:color="auto" w:sz="4" w:space="0"/>
              <w:right w:val="single" w:color="auto" w:sz="4" w:space="0"/>
            </w:tcBorders>
            <w:vAlign w:val="center"/>
          </w:tcPr>
          <w:p w14:paraId="0A644171">
            <w:pPr>
              <w:pStyle w:val="557"/>
            </w:pPr>
            <w:r>
              <w:rPr>
                <w:color w:val="auto"/>
                <w:kern w:val="0"/>
                <w:lang w:bidi="ar"/>
              </w:rPr>
              <w:t>6</w:t>
            </w:r>
          </w:p>
        </w:tc>
        <w:tc>
          <w:tcPr>
            <w:tcW w:w="1134" w:type="dxa"/>
            <w:vMerge w:val="continue"/>
            <w:tcBorders>
              <w:left w:val="single" w:color="auto" w:sz="4" w:space="0"/>
              <w:right w:val="single" w:color="auto" w:sz="4" w:space="0"/>
            </w:tcBorders>
            <w:vAlign w:val="center"/>
          </w:tcPr>
          <w:p w14:paraId="432F44EC">
            <w:pPr>
              <w:pStyle w:val="557"/>
            </w:pPr>
          </w:p>
        </w:tc>
        <w:tc>
          <w:tcPr>
            <w:tcW w:w="1422" w:type="dxa"/>
            <w:vMerge w:val="continue"/>
            <w:tcBorders>
              <w:left w:val="single" w:color="auto" w:sz="4" w:space="0"/>
              <w:right w:val="single" w:color="auto" w:sz="4" w:space="0"/>
            </w:tcBorders>
            <w:vAlign w:val="center"/>
          </w:tcPr>
          <w:p w14:paraId="0773E668">
            <w:pPr>
              <w:pStyle w:val="557"/>
            </w:pPr>
          </w:p>
        </w:tc>
      </w:tr>
      <w:tr w14:paraId="0EC7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restart"/>
            <w:tcBorders>
              <w:left w:val="single" w:color="auto" w:sz="4" w:space="0"/>
              <w:right w:val="single" w:color="auto" w:sz="4" w:space="0"/>
            </w:tcBorders>
            <w:vAlign w:val="center"/>
          </w:tcPr>
          <w:p w14:paraId="2D767FD6">
            <w:pPr>
              <w:pStyle w:val="557"/>
            </w:pPr>
            <w:r>
              <w:rPr>
                <w:rFonts w:hint="eastAsia"/>
              </w:rPr>
              <w:t>燃气</w:t>
            </w:r>
            <w:r>
              <w:t>锅炉</w:t>
            </w:r>
          </w:p>
        </w:tc>
        <w:tc>
          <w:tcPr>
            <w:tcW w:w="1925" w:type="dxa"/>
            <w:tcBorders>
              <w:top w:val="single" w:color="auto" w:sz="4" w:space="0"/>
              <w:left w:val="single" w:color="auto" w:sz="4" w:space="0"/>
              <w:bottom w:val="single" w:color="auto" w:sz="4" w:space="0"/>
              <w:right w:val="single" w:color="auto" w:sz="4" w:space="0"/>
            </w:tcBorders>
            <w:vAlign w:val="center"/>
          </w:tcPr>
          <w:p w14:paraId="36130F7B">
            <w:pPr>
              <w:pStyle w:val="557"/>
            </w:pPr>
            <w:r>
              <w:t>颗粒物</w:t>
            </w:r>
          </w:p>
        </w:tc>
        <w:tc>
          <w:tcPr>
            <w:tcW w:w="1629" w:type="dxa"/>
            <w:vMerge w:val="restart"/>
            <w:tcBorders>
              <w:left w:val="single" w:color="auto" w:sz="4" w:space="0"/>
              <w:right w:val="single" w:color="auto" w:sz="4" w:space="0"/>
            </w:tcBorders>
            <w:vAlign w:val="center"/>
          </w:tcPr>
          <w:p w14:paraId="1445BA40">
            <w:pPr>
              <w:pStyle w:val="557"/>
            </w:pPr>
            <w:r>
              <w:rPr>
                <w:color w:val="000000"/>
                <w:kern w:val="0"/>
                <w:lang w:bidi="ar"/>
              </w:rPr>
              <w:t>146130.31</w:t>
            </w:r>
          </w:p>
        </w:tc>
        <w:tc>
          <w:tcPr>
            <w:tcW w:w="1418" w:type="dxa"/>
            <w:tcBorders>
              <w:top w:val="single" w:color="auto" w:sz="4" w:space="0"/>
              <w:left w:val="single" w:color="auto" w:sz="4" w:space="0"/>
              <w:bottom w:val="single" w:color="auto" w:sz="4" w:space="0"/>
              <w:right w:val="single" w:color="auto" w:sz="4" w:space="0"/>
            </w:tcBorders>
            <w:vAlign w:val="center"/>
          </w:tcPr>
          <w:p w14:paraId="5206F78D">
            <w:pPr>
              <w:pStyle w:val="557"/>
            </w:pPr>
            <w:r>
              <w:rPr>
                <w:color w:val="000000"/>
                <w:kern w:val="0"/>
                <w:lang w:bidi="ar"/>
              </w:rPr>
              <w:t>0.76</w:t>
            </w:r>
          </w:p>
        </w:tc>
        <w:tc>
          <w:tcPr>
            <w:tcW w:w="1134" w:type="dxa"/>
            <w:vMerge w:val="restart"/>
            <w:tcBorders>
              <w:left w:val="single" w:color="auto" w:sz="4" w:space="0"/>
              <w:right w:val="single" w:color="auto" w:sz="4" w:space="0"/>
            </w:tcBorders>
            <w:vAlign w:val="center"/>
          </w:tcPr>
          <w:p w14:paraId="7053AEF1">
            <w:pPr>
              <w:pStyle w:val="557"/>
            </w:pPr>
            <w:r>
              <w:t>1</w:t>
            </w:r>
          </w:p>
        </w:tc>
        <w:tc>
          <w:tcPr>
            <w:tcW w:w="1422" w:type="dxa"/>
            <w:vMerge w:val="restart"/>
            <w:tcBorders>
              <w:left w:val="single" w:color="auto" w:sz="4" w:space="0"/>
              <w:right w:val="single" w:color="auto" w:sz="4" w:space="0"/>
            </w:tcBorders>
            <w:vAlign w:val="center"/>
          </w:tcPr>
          <w:p w14:paraId="556B41C5">
            <w:pPr>
              <w:pStyle w:val="557"/>
            </w:pPr>
            <w:r>
              <w:t>H=</w:t>
            </w:r>
            <w:r>
              <w:rPr>
                <w:rFonts w:hint="eastAsia"/>
              </w:rPr>
              <w:t>35</w:t>
            </w:r>
            <w:r>
              <w:t>m</w:t>
            </w:r>
            <w:r>
              <w:rPr>
                <w:rFonts w:hint="eastAsia"/>
              </w:rPr>
              <w:t xml:space="preserve">; </w:t>
            </w:r>
            <w:r>
              <w:t>DN=</w:t>
            </w:r>
            <w:r>
              <w:rPr>
                <w:rFonts w:hint="eastAsia"/>
              </w:rPr>
              <w:t>1.2</w:t>
            </w:r>
            <w:r>
              <w:t>m</w:t>
            </w:r>
            <w:r>
              <w:rPr>
                <w:rFonts w:hint="eastAsia"/>
              </w:rPr>
              <w:t xml:space="preserve">; </w:t>
            </w:r>
            <w:r>
              <w:t>T=</w:t>
            </w:r>
            <w:r>
              <w:rPr>
                <w:rFonts w:hint="eastAsia"/>
              </w:rPr>
              <w:t>135</w:t>
            </w:r>
            <w:r>
              <w:t>℃</w:t>
            </w:r>
          </w:p>
        </w:tc>
      </w:tr>
      <w:tr w14:paraId="2646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7" w:type="dxa"/>
            <w:vMerge w:val="continue"/>
            <w:tcBorders>
              <w:left w:val="single" w:color="auto" w:sz="4" w:space="0"/>
              <w:right w:val="single" w:color="auto" w:sz="4" w:space="0"/>
            </w:tcBorders>
            <w:vAlign w:val="center"/>
          </w:tcPr>
          <w:p w14:paraId="03ED6686">
            <w:pPr>
              <w:pStyle w:val="557"/>
            </w:pPr>
          </w:p>
        </w:tc>
        <w:tc>
          <w:tcPr>
            <w:tcW w:w="1925" w:type="dxa"/>
            <w:tcBorders>
              <w:top w:val="single" w:color="auto" w:sz="4" w:space="0"/>
              <w:left w:val="single" w:color="auto" w:sz="4" w:space="0"/>
              <w:bottom w:val="single" w:color="auto" w:sz="4" w:space="0"/>
              <w:right w:val="single" w:color="auto" w:sz="4" w:space="0"/>
            </w:tcBorders>
            <w:vAlign w:val="center"/>
          </w:tcPr>
          <w:p w14:paraId="4582DF99">
            <w:pPr>
              <w:pStyle w:val="557"/>
            </w:pPr>
            <w:r>
              <w:t>氮氧化物</w:t>
            </w:r>
          </w:p>
        </w:tc>
        <w:tc>
          <w:tcPr>
            <w:tcW w:w="1629" w:type="dxa"/>
            <w:vMerge w:val="continue"/>
            <w:tcBorders>
              <w:left w:val="single" w:color="auto" w:sz="4" w:space="0"/>
              <w:right w:val="single" w:color="auto" w:sz="4" w:space="0"/>
            </w:tcBorders>
            <w:vAlign w:val="center"/>
          </w:tcPr>
          <w:p w14:paraId="48C8BDE8">
            <w:pPr>
              <w:pStyle w:val="557"/>
            </w:pPr>
          </w:p>
        </w:tc>
        <w:tc>
          <w:tcPr>
            <w:tcW w:w="1418" w:type="dxa"/>
            <w:tcBorders>
              <w:top w:val="single" w:color="auto" w:sz="4" w:space="0"/>
              <w:left w:val="single" w:color="auto" w:sz="4" w:space="0"/>
              <w:bottom w:val="single" w:color="auto" w:sz="4" w:space="0"/>
              <w:right w:val="single" w:color="auto" w:sz="4" w:space="0"/>
            </w:tcBorders>
            <w:vAlign w:val="center"/>
          </w:tcPr>
          <w:p w14:paraId="582A5881">
            <w:pPr>
              <w:pStyle w:val="557"/>
            </w:pPr>
            <w:r>
              <w:rPr>
                <w:color w:val="000000"/>
                <w:kern w:val="0"/>
                <w:lang w:bidi="ar"/>
              </w:rPr>
              <w:t>5.13</w:t>
            </w:r>
          </w:p>
        </w:tc>
        <w:tc>
          <w:tcPr>
            <w:tcW w:w="1134" w:type="dxa"/>
            <w:vMerge w:val="continue"/>
            <w:tcBorders>
              <w:left w:val="single" w:color="auto" w:sz="4" w:space="0"/>
              <w:right w:val="single" w:color="auto" w:sz="4" w:space="0"/>
            </w:tcBorders>
            <w:vAlign w:val="center"/>
          </w:tcPr>
          <w:p w14:paraId="6B9223ED">
            <w:pPr>
              <w:pStyle w:val="557"/>
            </w:pPr>
          </w:p>
        </w:tc>
        <w:tc>
          <w:tcPr>
            <w:tcW w:w="1422" w:type="dxa"/>
            <w:vMerge w:val="continue"/>
            <w:tcBorders>
              <w:left w:val="single" w:color="auto" w:sz="4" w:space="0"/>
              <w:right w:val="single" w:color="auto" w:sz="4" w:space="0"/>
            </w:tcBorders>
            <w:vAlign w:val="center"/>
          </w:tcPr>
          <w:p w14:paraId="60793DD9">
            <w:pPr>
              <w:pStyle w:val="557"/>
            </w:pPr>
          </w:p>
        </w:tc>
      </w:tr>
    </w:tbl>
    <w:p w14:paraId="7A9BE57B">
      <w:pPr>
        <w:pStyle w:val="562"/>
        <w:ind w:firstLine="400"/>
        <w:rPr>
          <w:rFonts w:hint="eastAsia"/>
        </w:rPr>
      </w:pPr>
    </w:p>
    <w:p w14:paraId="49BF9CE3">
      <w:pPr>
        <w:pStyle w:val="97"/>
        <w:rPr>
          <w:rFonts w:hint="eastAsia"/>
        </w:rPr>
      </w:pPr>
      <w:r>
        <w:t>大气环境影响评价自查表</w:t>
      </w:r>
    </w:p>
    <w:p w14:paraId="56F29E62">
      <w:pPr>
        <w:spacing w:line="360" w:lineRule="auto"/>
        <w:ind w:firstLine="480" w:firstLineChars="200"/>
        <w:rPr>
          <w:rStyle w:val="282"/>
        </w:rPr>
      </w:pPr>
      <w:r>
        <w:t>建设项目大气环境影响评价自查表</w:t>
      </w:r>
      <w:r>
        <w:rPr>
          <w:rStyle w:val="282"/>
        </w:rPr>
        <w:t>见表</w:t>
      </w:r>
      <w:r>
        <w:rPr>
          <w:rStyle w:val="282"/>
          <w:rFonts w:hint="eastAsia"/>
        </w:rPr>
        <w:t>5.2</w:t>
      </w:r>
      <w:r>
        <w:rPr>
          <w:rStyle w:val="282"/>
        </w:rPr>
        <w:t>.10</w:t>
      </w:r>
      <w:r>
        <w:rPr>
          <w:rStyle w:val="282"/>
          <w:rFonts w:hint="eastAsia"/>
        </w:rPr>
        <w:t>-</w:t>
      </w:r>
      <w:r>
        <w:rPr>
          <w:rStyle w:val="282"/>
        </w:rPr>
        <w:t>1。</w:t>
      </w:r>
    </w:p>
    <w:p w14:paraId="34B30159">
      <w:pPr>
        <w:pStyle w:val="114"/>
        <w:rPr>
          <w:rFonts w:ascii="Times New Roman" w:hAnsi="Times New Roman"/>
        </w:rPr>
      </w:pPr>
      <w:r>
        <w:t>表</w:t>
      </w:r>
      <w:r>
        <w:rPr>
          <w:rFonts w:hint="eastAsia"/>
        </w:rPr>
        <w:t>5.2</w:t>
      </w:r>
      <w:r>
        <w:t>.10</w:t>
      </w:r>
      <w:r>
        <w:rPr>
          <w:rFonts w:hint="eastAsia"/>
        </w:rPr>
        <w:t>-</w:t>
      </w:r>
      <w:r>
        <w:t xml:space="preserve">1    </w:t>
      </w:r>
      <w:r>
        <w:rPr>
          <w:rFonts w:ascii="Times New Roman" w:hAnsi="Times New Roman"/>
        </w:rPr>
        <w:t>建设项目大气环境影响评价自查表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6"/>
        <w:gridCol w:w="1497"/>
        <w:gridCol w:w="777"/>
        <w:gridCol w:w="145"/>
        <w:gridCol w:w="362"/>
        <w:gridCol w:w="80"/>
        <w:gridCol w:w="201"/>
        <w:gridCol w:w="65"/>
        <w:gridCol w:w="139"/>
        <w:gridCol w:w="136"/>
        <w:gridCol w:w="920"/>
        <w:gridCol w:w="289"/>
        <w:gridCol w:w="94"/>
        <w:gridCol w:w="298"/>
        <w:gridCol w:w="415"/>
        <w:gridCol w:w="119"/>
        <w:gridCol w:w="235"/>
        <w:gridCol w:w="473"/>
        <w:gridCol w:w="228"/>
        <w:gridCol w:w="388"/>
        <w:gridCol w:w="417"/>
        <w:gridCol w:w="531"/>
      </w:tblGrid>
      <w:tr w14:paraId="631E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290" w:type="pct"/>
            <w:gridSpan w:val="2"/>
            <w:tcBorders>
              <w:top w:val="single" w:color="auto" w:sz="4" w:space="0"/>
              <w:left w:val="single" w:color="auto" w:sz="4" w:space="0"/>
              <w:bottom w:val="single" w:color="auto" w:sz="4" w:space="0"/>
              <w:right w:val="single" w:color="auto" w:sz="4" w:space="0"/>
            </w:tcBorders>
            <w:vAlign w:val="center"/>
          </w:tcPr>
          <w:p w14:paraId="524794D0">
            <w:pPr>
              <w:pStyle w:val="557"/>
            </w:pPr>
            <w:r>
              <w:t>工作内容</w:t>
            </w:r>
          </w:p>
        </w:tc>
        <w:tc>
          <w:tcPr>
            <w:tcW w:w="3710" w:type="pct"/>
            <w:gridSpan w:val="20"/>
            <w:tcBorders>
              <w:top w:val="single" w:color="auto" w:sz="4" w:space="0"/>
              <w:left w:val="single" w:color="auto" w:sz="4" w:space="0"/>
              <w:bottom w:val="single" w:color="auto" w:sz="4" w:space="0"/>
              <w:right w:val="single" w:color="auto" w:sz="4" w:space="0"/>
            </w:tcBorders>
            <w:vAlign w:val="center"/>
          </w:tcPr>
          <w:p w14:paraId="1F24D578">
            <w:pPr>
              <w:pStyle w:val="557"/>
            </w:pPr>
            <w:r>
              <w:t>自查项目</w:t>
            </w:r>
          </w:p>
        </w:tc>
      </w:tr>
      <w:tr w14:paraId="2977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14:paraId="13895225">
            <w:pPr>
              <w:pStyle w:val="557"/>
            </w:pPr>
            <w:r>
              <w:t>评价等级与范围</w:t>
            </w:r>
          </w:p>
        </w:tc>
        <w:tc>
          <w:tcPr>
            <w:tcW w:w="880" w:type="pct"/>
            <w:tcBorders>
              <w:top w:val="single" w:color="auto" w:sz="4" w:space="0"/>
              <w:left w:val="single" w:color="auto" w:sz="4" w:space="0"/>
              <w:bottom w:val="single" w:color="auto" w:sz="4" w:space="0"/>
              <w:right w:val="single" w:color="auto" w:sz="4" w:space="0"/>
            </w:tcBorders>
            <w:vAlign w:val="center"/>
          </w:tcPr>
          <w:p w14:paraId="16211343">
            <w:pPr>
              <w:pStyle w:val="557"/>
            </w:pPr>
            <w:r>
              <w:t>评价等级</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0DEC9F33">
            <w:pPr>
              <w:pStyle w:val="557"/>
            </w:pPr>
            <w:r>
              <w:t>一级</w:t>
            </w:r>
            <w:r>
              <w:rPr/>
              <w:sym w:font="Wingdings 2" w:char="0052"/>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49A4214C">
            <w:pPr>
              <w:pStyle w:val="557"/>
            </w:pPr>
            <w:r>
              <w:t>二级</w:t>
            </w:r>
            <w:r>
              <w:rPr/>
              <w:sym w:font="Wingdings 2" w:char="00A3"/>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389E3C2C">
            <w:pPr>
              <w:pStyle w:val="557"/>
            </w:pPr>
            <w:r>
              <w:t>三级</w:t>
            </w:r>
            <w:r>
              <w:rPr/>
              <w:sym w:font="Wingdings 2" w:char="00A3"/>
            </w:r>
          </w:p>
        </w:tc>
      </w:tr>
      <w:tr w14:paraId="126C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E57DBA7">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6B926C82">
            <w:pPr>
              <w:pStyle w:val="557"/>
            </w:pPr>
            <w:r>
              <w:t>评价范围</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6B59A512">
            <w:pPr>
              <w:pStyle w:val="557"/>
            </w:pPr>
            <w:r>
              <w:t>边长=50km</w:t>
            </w:r>
            <w:r>
              <w:rPr/>
              <w:sym w:font="Wingdings 2" w:char="00A3"/>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691E8877">
            <w:pPr>
              <w:pStyle w:val="557"/>
            </w:pPr>
            <w:r>
              <w:t>边长5~50km</w:t>
            </w:r>
            <w:r>
              <w:rPr/>
              <w:sym w:font="Wingdings 2" w:char="00A3"/>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536630D8">
            <w:pPr>
              <w:pStyle w:val="557"/>
            </w:pPr>
            <w:r>
              <w:t>边长=5km</w:t>
            </w:r>
            <w:r>
              <w:rPr/>
              <w:sym w:font="Wingdings 2" w:char="0052"/>
            </w:r>
          </w:p>
        </w:tc>
      </w:tr>
      <w:tr w14:paraId="74CD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14:paraId="6F113E64">
            <w:pPr>
              <w:pStyle w:val="557"/>
            </w:pPr>
            <w:r>
              <w:t>评价</w:t>
            </w:r>
          </w:p>
          <w:p w14:paraId="039384B5">
            <w:pPr>
              <w:pStyle w:val="557"/>
            </w:pPr>
            <w:r>
              <w:t>因子</w:t>
            </w:r>
          </w:p>
        </w:tc>
        <w:tc>
          <w:tcPr>
            <w:tcW w:w="880" w:type="pct"/>
            <w:tcBorders>
              <w:top w:val="single" w:color="auto" w:sz="4" w:space="0"/>
              <w:left w:val="single" w:color="auto" w:sz="4" w:space="0"/>
              <w:bottom w:val="single" w:color="auto" w:sz="4" w:space="0"/>
              <w:right w:val="single" w:color="auto" w:sz="4" w:space="0"/>
            </w:tcBorders>
            <w:vAlign w:val="center"/>
          </w:tcPr>
          <w:p w14:paraId="4D56C954">
            <w:pPr>
              <w:pStyle w:val="557"/>
            </w:pPr>
            <w:r>
              <w:t>SO</w:t>
            </w:r>
            <w:r>
              <w:rPr>
                <w:vertAlign w:val="subscript"/>
              </w:rPr>
              <w:t>2</w:t>
            </w:r>
            <w:r>
              <w:t>+NO</w:t>
            </w:r>
            <w:r>
              <w:rPr>
                <w:vertAlign w:val="subscript"/>
              </w:rPr>
              <w:t>X</w:t>
            </w:r>
            <w:r>
              <w:t>排放量</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1576707D">
            <w:pPr>
              <w:pStyle w:val="557"/>
            </w:pPr>
            <w:r>
              <w:t>≥2000t/a</w:t>
            </w:r>
            <w:r>
              <w:rPr/>
              <w:sym w:font="Wingdings 2" w:char="00A3"/>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7BC61E22">
            <w:pPr>
              <w:pStyle w:val="557"/>
            </w:pPr>
            <w:r>
              <w:t>500~2000t/a</w:t>
            </w:r>
            <w:r>
              <w:rPr/>
              <w:sym w:font="Wingdings 2" w:char="00A3"/>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7A7EFD6D">
            <w:pPr>
              <w:pStyle w:val="557"/>
            </w:pPr>
            <w:r>
              <w:t>＜500t/a</w:t>
            </w:r>
            <w:r>
              <w:rPr/>
              <w:sym w:font="Wingdings 2" w:char="0052"/>
            </w:r>
          </w:p>
        </w:tc>
      </w:tr>
      <w:tr w14:paraId="1EB4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4B0C16">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371B5147">
            <w:pPr>
              <w:pStyle w:val="557"/>
            </w:pPr>
            <w:r>
              <w:t>评价因子</w:t>
            </w:r>
          </w:p>
        </w:tc>
        <w:tc>
          <w:tcPr>
            <w:tcW w:w="2513" w:type="pct"/>
            <w:gridSpan w:val="15"/>
            <w:tcBorders>
              <w:top w:val="single" w:color="auto" w:sz="4" w:space="0"/>
              <w:left w:val="single" w:color="auto" w:sz="4" w:space="0"/>
              <w:bottom w:val="single" w:color="auto" w:sz="4" w:space="0"/>
              <w:right w:val="single" w:color="auto" w:sz="4" w:space="0"/>
            </w:tcBorders>
            <w:vAlign w:val="center"/>
          </w:tcPr>
          <w:p w14:paraId="2E09EDDB">
            <w:pPr>
              <w:pStyle w:val="557"/>
            </w:pPr>
            <w:r>
              <w:t>基本污染物（SO</w:t>
            </w:r>
            <w:r>
              <w:rPr>
                <w:vertAlign w:val="subscript"/>
              </w:rPr>
              <w:t>2</w:t>
            </w:r>
            <w:r>
              <w:t>、NO</w:t>
            </w:r>
            <w:r>
              <w:rPr>
                <w:vertAlign w:val="subscript"/>
              </w:rPr>
              <w:t>2</w:t>
            </w:r>
            <w:r>
              <w:t>、PM</w:t>
            </w:r>
            <w:r>
              <w:rPr>
                <w:vertAlign w:val="subscript"/>
              </w:rPr>
              <w:t>10</w:t>
            </w:r>
            <w:r>
              <w:t>、PM</w:t>
            </w:r>
            <w:r>
              <w:rPr>
                <w:vertAlign w:val="subscript"/>
              </w:rPr>
              <w:t>2.5</w:t>
            </w:r>
            <w:r>
              <w:t>、O</w:t>
            </w:r>
            <w:r>
              <w:rPr>
                <w:vertAlign w:val="subscript"/>
              </w:rPr>
              <w:t>3</w:t>
            </w:r>
            <w:r>
              <w:t>、CO）</w:t>
            </w:r>
          </w:p>
          <w:p w14:paraId="4DF6C06D">
            <w:pPr>
              <w:pStyle w:val="557"/>
            </w:pPr>
            <w:r>
              <w:t>其他污染物（</w:t>
            </w:r>
            <w:r>
              <w:rPr>
                <w:rFonts w:hint="eastAsia"/>
              </w:rPr>
              <w:t>氨、硫化氢、非甲烷总烃、甲醇、硫酸</w:t>
            </w:r>
            <w:r>
              <w:t>）</w:t>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0E40F596">
            <w:pPr>
              <w:pStyle w:val="557"/>
            </w:pPr>
            <w:r>
              <w:t>包括二次PM</w:t>
            </w:r>
            <w:r>
              <w:rPr>
                <w:vertAlign w:val="subscript"/>
              </w:rPr>
              <w:t>2.5</w:t>
            </w:r>
            <w:r>
              <w:rPr/>
              <w:sym w:font="Wingdings 2" w:char="00A3"/>
            </w:r>
          </w:p>
          <w:p w14:paraId="6D1A22C1">
            <w:pPr>
              <w:pStyle w:val="557"/>
            </w:pPr>
            <w:r>
              <w:t>不包括二次PM</w:t>
            </w:r>
            <w:r>
              <w:rPr>
                <w:vertAlign w:val="subscript"/>
              </w:rPr>
              <w:t>2.5</w:t>
            </w:r>
            <w:r>
              <w:rPr/>
              <w:sym w:font="Wingdings 2" w:char="0052"/>
            </w:r>
          </w:p>
        </w:tc>
      </w:tr>
      <w:tr w14:paraId="6530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0043197E">
            <w:pPr>
              <w:pStyle w:val="557"/>
            </w:pPr>
            <w:r>
              <w:t>评价</w:t>
            </w:r>
          </w:p>
          <w:p w14:paraId="2935B544">
            <w:pPr>
              <w:pStyle w:val="557"/>
            </w:pPr>
            <w:r>
              <w:t>标准</w:t>
            </w:r>
          </w:p>
        </w:tc>
        <w:tc>
          <w:tcPr>
            <w:tcW w:w="880" w:type="pct"/>
            <w:tcBorders>
              <w:top w:val="single" w:color="auto" w:sz="4" w:space="0"/>
              <w:left w:val="single" w:color="auto" w:sz="4" w:space="0"/>
              <w:bottom w:val="single" w:color="auto" w:sz="4" w:space="0"/>
              <w:right w:val="single" w:color="auto" w:sz="4" w:space="0"/>
            </w:tcBorders>
            <w:vAlign w:val="center"/>
          </w:tcPr>
          <w:p w14:paraId="0C77B7EA">
            <w:pPr>
              <w:pStyle w:val="557"/>
            </w:pPr>
            <w:r>
              <w:t>评价标准</w:t>
            </w:r>
          </w:p>
        </w:tc>
        <w:tc>
          <w:tcPr>
            <w:tcW w:w="802" w:type="pct"/>
            <w:gridSpan w:val="4"/>
            <w:tcBorders>
              <w:top w:val="single" w:color="auto" w:sz="4" w:space="0"/>
              <w:left w:val="single" w:color="auto" w:sz="4" w:space="0"/>
              <w:bottom w:val="single" w:color="auto" w:sz="4" w:space="0"/>
              <w:right w:val="single" w:color="auto" w:sz="4" w:space="0"/>
            </w:tcBorders>
            <w:vAlign w:val="center"/>
          </w:tcPr>
          <w:p w14:paraId="67D7556F">
            <w:pPr>
              <w:pStyle w:val="557"/>
            </w:pPr>
            <w:r>
              <w:t>国家标准</w:t>
            </w:r>
            <w:r>
              <w:rPr/>
              <w:sym w:font="Wingdings 2" w:char="0052"/>
            </w:r>
          </w:p>
        </w:tc>
        <w:tc>
          <w:tcPr>
            <w:tcW w:w="1029" w:type="pct"/>
            <w:gridSpan w:val="6"/>
            <w:tcBorders>
              <w:top w:val="single" w:color="auto" w:sz="4" w:space="0"/>
              <w:left w:val="single" w:color="auto" w:sz="4" w:space="0"/>
              <w:bottom w:val="single" w:color="auto" w:sz="4" w:space="0"/>
              <w:right w:val="single" w:color="auto" w:sz="4" w:space="0"/>
            </w:tcBorders>
            <w:vAlign w:val="center"/>
          </w:tcPr>
          <w:p w14:paraId="4AF583D3">
            <w:pPr>
              <w:pStyle w:val="557"/>
            </w:pPr>
            <w:r>
              <w:t>地方标准</w:t>
            </w:r>
            <w:r>
              <w:rPr/>
              <w:sym w:font="Wingdings 2" w:char="00A3"/>
            </w:r>
          </w:p>
        </w:tc>
        <w:tc>
          <w:tcPr>
            <w:tcW w:w="960" w:type="pct"/>
            <w:gridSpan w:val="6"/>
            <w:tcBorders>
              <w:top w:val="single" w:color="auto" w:sz="4" w:space="0"/>
              <w:left w:val="single" w:color="auto" w:sz="4" w:space="0"/>
              <w:bottom w:val="single" w:color="auto" w:sz="4" w:space="0"/>
              <w:right w:val="single" w:color="auto" w:sz="4" w:space="0"/>
            </w:tcBorders>
            <w:vAlign w:val="center"/>
          </w:tcPr>
          <w:p w14:paraId="47CF2333">
            <w:pPr>
              <w:pStyle w:val="557"/>
            </w:pPr>
            <w:r>
              <w:t>附录D</w:t>
            </w:r>
            <w:r>
              <w:rPr/>
              <w:sym w:font="Wingdings 2" w:char="0052"/>
            </w:r>
          </w:p>
        </w:tc>
        <w:tc>
          <w:tcPr>
            <w:tcW w:w="919" w:type="pct"/>
            <w:gridSpan w:val="4"/>
            <w:tcBorders>
              <w:top w:val="single" w:color="auto" w:sz="4" w:space="0"/>
              <w:left w:val="single" w:color="auto" w:sz="4" w:space="0"/>
              <w:bottom w:val="single" w:color="auto" w:sz="4" w:space="0"/>
              <w:right w:val="single" w:color="auto" w:sz="4" w:space="0"/>
            </w:tcBorders>
            <w:vAlign w:val="center"/>
          </w:tcPr>
          <w:p w14:paraId="7086246E">
            <w:pPr>
              <w:pStyle w:val="557"/>
            </w:pPr>
            <w:r>
              <w:t>其他标准</w:t>
            </w:r>
            <w:r>
              <w:rPr/>
              <w:sym w:font="Wingdings 2" w:char="0052"/>
            </w:r>
          </w:p>
        </w:tc>
      </w:tr>
      <w:tr w14:paraId="5D24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14:paraId="11935E64">
            <w:pPr>
              <w:pStyle w:val="557"/>
            </w:pPr>
            <w:r>
              <w:t>现状</w:t>
            </w:r>
          </w:p>
          <w:p w14:paraId="5D98E89C">
            <w:pPr>
              <w:pStyle w:val="557"/>
            </w:pPr>
            <w:r>
              <w:t>评价</w:t>
            </w:r>
          </w:p>
        </w:tc>
        <w:tc>
          <w:tcPr>
            <w:tcW w:w="880" w:type="pct"/>
            <w:tcBorders>
              <w:top w:val="single" w:color="auto" w:sz="4" w:space="0"/>
              <w:left w:val="single" w:color="auto" w:sz="4" w:space="0"/>
              <w:bottom w:val="single" w:color="auto" w:sz="4" w:space="0"/>
              <w:right w:val="single" w:color="auto" w:sz="4" w:space="0"/>
            </w:tcBorders>
            <w:vAlign w:val="center"/>
          </w:tcPr>
          <w:p w14:paraId="4E20910C">
            <w:pPr>
              <w:pStyle w:val="557"/>
            </w:pPr>
            <w:r>
              <w:t>环境功能区</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5269542C">
            <w:pPr>
              <w:pStyle w:val="557"/>
            </w:pPr>
            <w:r>
              <w:t>一类区</w:t>
            </w:r>
            <w:r>
              <w:rPr/>
              <w:sym w:font="Wingdings 2" w:char="00A3"/>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2DCEFB85">
            <w:pPr>
              <w:pStyle w:val="557"/>
            </w:pPr>
            <w:r>
              <w:t>二类区</w:t>
            </w:r>
            <w:r>
              <w:rPr/>
              <w:sym w:font="Wingdings 2" w:char="0052"/>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7893E77E">
            <w:pPr>
              <w:pStyle w:val="557"/>
            </w:pPr>
            <w:r>
              <w:t>一类区和二类区</w:t>
            </w:r>
            <w:r>
              <w:rPr/>
              <w:sym w:font="Wingdings 2" w:char="00A3"/>
            </w:r>
          </w:p>
        </w:tc>
      </w:tr>
      <w:tr w14:paraId="34D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D5B034">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2ED5B4E0">
            <w:pPr>
              <w:pStyle w:val="557"/>
            </w:pPr>
            <w:r>
              <w:t>评价基准年</w:t>
            </w:r>
          </w:p>
        </w:tc>
        <w:tc>
          <w:tcPr>
            <w:tcW w:w="3710" w:type="pct"/>
            <w:gridSpan w:val="20"/>
            <w:tcBorders>
              <w:top w:val="single" w:color="auto" w:sz="4" w:space="0"/>
              <w:left w:val="single" w:color="auto" w:sz="4" w:space="0"/>
              <w:bottom w:val="single" w:color="auto" w:sz="4" w:space="0"/>
              <w:right w:val="single" w:color="auto" w:sz="4" w:space="0"/>
            </w:tcBorders>
            <w:vAlign w:val="center"/>
          </w:tcPr>
          <w:p w14:paraId="5788C420">
            <w:pPr>
              <w:pStyle w:val="557"/>
            </w:pPr>
            <w:r>
              <w:t>（202</w:t>
            </w:r>
            <w:r>
              <w:rPr>
                <w:rFonts w:hint="eastAsia"/>
              </w:rPr>
              <w:t>3</w:t>
            </w:r>
            <w:r>
              <w:t>）年</w:t>
            </w:r>
          </w:p>
        </w:tc>
      </w:tr>
      <w:tr w14:paraId="4590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8EA23C">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63F2E1AA">
            <w:pPr>
              <w:pStyle w:val="557"/>
            </w:pPr>
            <w:r>
              <w:t>环境空气质量现状调查数据来源</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77C818FC">
            <w:pPr>
              <w:pStyle w:val="557"/>
            </w:pPr>
            <w:r>
              <w:t>长期例行监测数据</w:t>
            </w:r>
            <w:r>
              <w:rPr/>
              <w:sym w:font="Wingdings 2" w:char="00A3"/>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527380C5">
            <w:pPr>
              <w:pStyle w:val="557"/>
            </w:pPr>
            <w:r>
              <w:t>主管部门发布的数据</w:t>
            </w:r>
            <w:r>
              <w:rPr/>
              <w:sym w:font="Wingdings 2" w:char="0052"/>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341FDDE8">
            <w:pPr>
              <w:pStyle w:val="557"/>
            </w:pPr>
            <w:r>
              <w:t>现状补充监测</w:t>
            </w:r>
            <w:r>
              <w:rPr/>
              <w:sym w:font="Wingdings 2" w:char="0052"/>
            </w:r>
          </w:p>
        </w:tc>
      </w:tr>
      <w:tr w14:paraId="7BDD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E277B7">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02179495">
            <w:pPr>
              <w:pStyle w:val="557"/>
            </w:pPr>
            <w:r>
              <w:t>现状评价</w:t>
            </w:r>
          </w:p>
        </w:tc>
        <w:tc>
          <w:tcPr>
            <w:tcW w:w="1831" w:type="pct"/>
            <w:gridSpan w:val="10"/>
            <w:tcBorders>
              <w:top w:val="single" w:color="auto" w:sz="4" w:space="0"/>
              <w:left w:val="single" w:color="auto" w:sz="4" w:space="0"/>
              <w:bottom w:val="single" w:color="auto" w:sz="4" w:space="0"/>
              <w:right w:val="single" w:color="auto" w:sz="4" w:space="0"/>
            </w:tcBorders>
            <w:vAlign w:val="center"/>
          </w:tcPr>
          <w:p w14:paraId="5DABB739">
            <w:pPr>
              <w:pStyle w:val="557"/>
            </w:pPr>
            <w:r>
              <w:t>达标区</w:t>
            </w:r>
            <w:r>
              <w:rPr/>
              <w:sym w:font="Wingdings 2" w:char="0052"/>
            </w:r>
          </w:p>
        </w:tc>
        <w:tc>
          <w:tcPr>
            <w:tcW w:w="1879" w:type="pct"/>
            <w:gridSpan w:val="10"/>
            <w:tcBorders>
              <w:top w:val="single" w:color="auto" w:sz="4" w:space="0"/>
              <w:left w:val="single" w:color="auto" w:sz="4" w:space="0"/>
              <w:bottom w:val="single" w:color="auto" w:sz="4" w:space="0"/>
              <w:right w:val="single" w:color="auto" w:sz="4" w:space="0"/>
            </w:tcBorders>
            <w:vAlign w:val="center"/>
          </w:tcPr>
          <w:p w14:paraId="1FA0EE29">
            <w:pPr>
              <w:pStyle w:val="557"/>
            </w:pPr>
            <w:r>
              <w:t>不达标区</w:t>
            </w:r>
            <w:r>
              <w:rPr/>
              <w:sym w:font="Wingdings 2" w:char="00A3"/>
            </w:r>
          </w:p>
        </w:tc>
      </w:tr>
      <w:tr w14:paraId="4E77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78B78EC5">
            <w:pPr>
              <w:pStyle w:val="557"/>
            </w:pPr>
            <w:r>
              <w:t>污染源</w:t>
            </w:r>
          </w:p>
          <w:p w14:paraId="34ED0D62">
            <w:pPr>
              <w:pStyle w:val="557"/>
            </w:pPr>
            <w:r>
              <w:t>调查</w:t>
            </w:r>
          </w:p>
        </w:tc>
        <w:tc>
          <w:tcPr>
            <w:tcW w:w="880" w:type="pct"/>
            <w:tcBorders>
              <w:top w:val="single" w:color="auto" w:sz="4" w:space="0"/>
              <w:left w:val="single" w:color="auto" w:sz="4" w:space="0"/>
              <w:bottom w:val="single" w:color="auto" w:sz="4" w:space="0"/>
              <w:right w:val="single" w:color="auto" w:sz="4" w:space="0"/>
            </w:tcBorders>
            <w:vAlign w:val="center"/>
          </w:tcPr>
          <w:p w14:paraId="05273F26">
            <w:pPr>
              <w:pStyle w:val="557"/>
            </w:pPr>
            <w:r>
              <w:t>调查内容</w:t>
            </w:r>
          </w:p>
        </w:tc>
        <w:tc>
          <w:tcPr>
            <w:tcW w:w="1040" w:type="pct"/>
            <w:gridSpan w:val="7"/>
            <w:tcBorders>
              <w:top w:val="single" w:color="auto" w:sz="4" w:space="0"/>
              <w:left w:val="single" w:color="auto" w:sz="4" w:space="0"/>
              <w:bottom w:val="single" w:color="auto" w:sz="4" w:space="0"/>
              <w:right w:val="single" w:color="auto" w:sz="4" w:space="0"/>
            </w:tcBorders>
            <w:vAlign w:val="center"/>
          </w:tcPr>
          <w:p w14:paraId="4DAE406A">
            <w:pPr>
              <w:pStyle w:val="557"/>
            </w:pPr>
            <w:r>
              <w:t>本项目正常排放源</w:t>
            </w:r>
            <w:r>
              <w:rPr/>
              <w:sym w:font="Wingdings 2" w:char="0052"/>
            </w:r>
          </w:p>
          <w:p w14:paraId="30E9F169">
            <w:pPr>
              <w:pStyle w:val="557"/>
            </w:pPr>
            <w:r>
              <w:t>本项目非正常排放源</w:t>
            </w:r>
            <w:r>
              <w:rPr/>
              <w:sym w:font="Wingdings 2" w:char="0052"/>
            </w:r>
          </w:p>
          <w:p w14:paraId="19DF06E3">
            <w:pPr>
              <w:pStyle w:val="557"/>
            </w:pPr>
            <w:r>
              <w:t>现有污染源</w:t>
            </w:r>
            <w:r>
              <w:rPr/>
              <w:sym w:font="Wingdings 2" w:char="00A3"/>
            </w:r>
          </w:p>
        </w:tc>
        <w:tc>
          <w:tcPr>
            <w:tcW w:w="791" w:type="pct"/>
            <w:gridSpan w:val="3"/>
            <w:tcBorders>
              <w:top w:val="single" w:color="auto" w:sz="4" w:space="0"/>
              <w:left w:val="single" w:color="auto" w:sz="4" w:space="0"/>
              <w:bottom w:val="single" w:color="auto" w:sz="4" w:space="0"/>
              <w:right w:val="single" w:color="auto" w:sz="4" w:space="0"/>
            </w:tcBorders>
            <w:vAlign w:val="center"/>
          </w:tcPr>
          <w:p w14:paraId="1C17FFB8">
            <w:pPr>
              <w:pStyle w:val="557"/>
            </w:pPr>
            <w:r>
              <w:t>拟替代的污染源</w:t>
            </w:r>
            <w:r>
              <w:rPr/>
              <w:sym w:font="Wingdings 2" w:char="00A3"/>
            </w:r>
          </w:p>
        </w:tc>
        <w:tc>
          <w:tcPr>
            <w:tcW w:w="1322" w:type="pct"/>
            <w:gridSpan w:val="8"/>
            <w:tcBorders>
              <w:top w:val="single" w:color="auto" w:sz="4" w:space="0"/>
              <w:left w:val="single" w:color="auto" w:sz="4" w:space="0"/>
              <w:bottom w:val="single" w:color="auto" w:sz="4" w:space="0"/>
              <w:right w:val="single" w:color="auto" w:sz="4" w:space="0"/>
            </w:tcBorders>
            <w:vAlign w:val="center"/>
          </w:tcPr>
          <w:p w14:paraId="5FB9F3BC">
            <w:pPr>
              <w:pStyle w:val="557"/>
            </w:pPr>
            <w:r>
              <w:t>其他在建、拟建项目污染源</w:t>
            </w:r>
            <w:r>
              <w:rPr/>
              <w:sym w:font="Wingdings 2" w:char="0052"/>
            </w:r>
          </w:p>
        </w:tc>
        <w:tc>
          <w:tcPr>
            <w:tcW w:w="557" w:type="pct"/>
            <w:gridSpan w:val="2"/>
            <w:tcBorders>
              <w:top w:val="single" w:color="auto" w:sz="4" w:space="0"/>
              <w:left w:val="single" w:color="auto" w:sz="4" w:space="0"/>
              <w:bottom w:val="single" w:color="auto" w:sz="4" w:space="0"/>
              <w:right w:val="single" w:color="auto" w:sz="4" w:space="0"/>
            </w:tcBorders>
            <w:vAlign w:val="center"/>
          </w:tcPr>
          <w:p w14:paraId="7BC84E7B">
            <w:pPr>
              <w:pStyle w:val="557"/>
            </w:pPr>
            <w:r>
              <w:t>区域污染源</w:t>
            </w:r>
            <w:r>
              <w:rPr/>
              <w:sym w:font="Wingdings 2" w:char="00A3"/>
            </w:r>
          </w:p>
        </w:tc>
      </w:tr>
      <w:tr w14:paraId="70A7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14:paraId="641C6662">
            <w:pPr>
              <w:pStyle w:val="557"/>
            </w:pPr>
            <w:r>
              <w:t>大气环境影响预测与评价</w:t>
            </w:r>
          </w:p>
        </w:tc>
        <w:tc>
          <w:tcPr>
            <w:tcW w:w="880" w:type="pct"/>
            <w:tcBorders>
              <w:top w:val="single" w:color="auto" w:sz="4" w:space="0"/>
              <w:left w:val="single" w:color="auto" w:sz="4" w:space="0"/>
              <w:bottom w:val="single" w:color="auto" w:sz="4" w:space="0"/>
              <w:right w:val="single" w:color="auto" w:sz="4" w:space="0"/>
            </w:tcBorders>
            <w:vAlign w:val="center"/>
          </w:tcPr>
          <w:p w14:paraId="3090B8EF">
            <w:pPr>
              <w:pStyle w:val="557"/>
            </w:pPr>
            <w:r>
              <w:t>预测模型</w:t>
            </w:r>
          </w:p>
        </w:tc>
        <w:tc>
          <w:tcPr>
            <w:tcW w:w="542" w:type="pct"/>
            <w:gridSpan w:val="2"/>
            <w:tcBorders>
              <w:top w:val="single" w:color="auto" w:sz="4" w:space="0"/>
              <w:left w:val="single" w:color="auto" w:sz="4" w:space="0"/>
              <w:bottom w:val="single" w:color="auto" w:sz="4" w:space="0"/>
              <w:right w:val="single" w:color="auto" w:sz="4" w:space="0"/>
            </w:tcBorders>
            <w:vAlign w:val="center"/>
          </w:tcPr>
          <w:p w14:paraId="3B1381EA">
            <w:pPr>
              <w:pStyle w:val="557"/>
            </w:pPr>
            <w:r>
              <w:t>AERMOD</w:t>
            </w:r>
          </w:p>
          <w:p w14:paraId="766BC6B8">
            <w:pPr>
              <w:pStyle w:val="557"/>
            </w:pPr>
            <w:r>
              <w:rPr/>
              <w:sym w:font="Wingdings 2" w:char="0052"/>
            </w:r>
          </w:p>
        </w:tc>
        <w:tc>
          <w:tcPr>
            <w:tcW w:w="378" w:type="pct"/>
            <w:gridSpan w:val="3"/>
            <w:tcBorders>
              <w:top w:val="single" w:color="auto" w:sz="4" w:space="0"/>
              <w:left w:val="single" w:color="auto" w:sz="4" w:space="0"/>
              <w:bottom w:val="single" w:color="auto" w:sz="4" w:space="0"/>
              <w:right w:val="single" w:color="auto" w:sz="4" w:space="0"/>
            </w:tcBorders>
            <w:vAlign w:val="center"/>
          </w:tcPr>
          <w:p w14:paraId="1FB38372">
            <w:pPr>
              <w:pStyle w:val="557"/>
            </w:pPr>
            <w:r>
              <w:t>ADMS</w:t>
            </w:r>
          </w:p>
          <w:p w14:paraId="44C676F8">
            <w:pPr>
              <w:pStyle w:val="557"/>
            </w:pPr>
            <w:r>
              <w:rPr/>
              <w:sym w:font="Wingdings 2" w:char="00A3"/>
            </w:r>
          </w:p>
        </w:tc>
        <w:tc>
          <w:tcPr>
            <w:tcW w:w="741" w:type="pct"/>
            <w:gridSpan w:val="4"/>
            <w:tcBorders>
              <w:top w:val="single" w:color="auto" w:sz="4" w:space="0"/>
              <w:left w:val="single" w:color="auto" w:sz="4" w:space="0"/>
              <w:bottom w:val="single" w:color="auto" w:sz="4" w:space="0"/>
              <w:right w:val="single" w:color="auto" w:sz="4" w:space="0"/>
            </w:tcBorders>
            <w:vAlign w:val="center"/>
          </w:tcPr>
          <w:p w14:paraId="0CCED7AC">
            <w:pPr>
              <w:pStyle w:val="557"/>
            </w:pPr>
            <w:r>
              <w:t>AUSTAL2000</w:t>
            </w:r>
          </w:p>
          <w:p w14:paraId="76349136">
            <w:pPr>
              <w:pStyle w:val="557"/>
            </w:pPr>
            <w:r>
              <w:rPr/>
              <w:sym w:font="Wingdings 2" w:char="00A3"/>
            </w:r>
          </w:p>
        </w:tc>
        <w:tc>
          <w:tcPr>
            <w:tcW w:w="714" w:type="pct"/>
            <w:gridSpan w:val="5"/>
            <w:tcBorders>
              <w:top w:val="single" w:color="auto" w:sz="4" w:space="0"/>
              <w:left w:val="single" w:color="auto" w:sz="4" w:space="0"/>
              <w:bottom w:val="single" w:color="auto" w:sz="4" w:space="0"/>
              <w:right w:val="single" w:color="auto" w:sz="4" w:space="0"/>
            </w:tcBorders>
            <w:vAlign w:val="center"/>
          </w:tcPr>
          <w:p w14:paraId="59B3B981">
            <w:pPr>
              <w:pStyle w:val="557"/>
            </w:pPr>
            <w:r>
              <w:t>EDMS/AEDT</w:t>
            </w:r>
          </w:p>
          <w:p w14:paraId="5EE0717D">
            <w:pPr>
              <w:pStyle w:val="557"/>
            </w:pPr>
            <w:r>
              <w:rPr/>
              <w:sym w:font="Wingdings 2" w:char="00A3"/>
            </w:r>
          </w:p>
        </w:tc>
        <w:tc>
          <w:tcPr>
            <w:tcW w:w="550" w:type="pct"/>
            <w:gridSpan w:val="3"/>
            <w:tcBorders>
              <w:top w:val="single" w:color="auto" w:sz="4" w:space="0"/>
              <w:left w:val="single" w:color="auto" w:sz="4" w:space="0"/>
              <w:bottom w:val="single" w:color="auto" w:sz="4" w:space="0"/>
              <w:right w:val="single" w:color="auto" w:sz="4" w:space="0"/>
            </w:tcBorders>
            <w:vAlign w:val="center"/>
          </w:tcPr>
          <w:p w14:paraId="636EAA44">
            <w:pPr>
              <w:pStyle w:val="557"/>
            </w:pPr>
            <w:r>
              <w:t>CALPUFF</w:t>
            </w:r>
          </w:p>
          <w:p w14:paraId="2786D516">
            <w:pPr>
              <w:pStyle w:val="557"/>
            </w:pPr>
            <w:r>
              <w:rPr/>
              <w:sym w:font="Wingdings 2" w:char="00A3"/>
            </w:r>
          </w:p>
        </w:tc>
        <w:tc>
          <w:tcPr>
            <w:tcW w:w="473" w:type="pct"/>
            <w:gridSpan w:val="2"/>
            <w:tcBorders>
              <w:top w:val="single" w:color="auto" w:sz="4" w:space="0"/>
              <w:left w:val="single" w:color="auto" w:sz="4" w:space="0"/>
              <w:bottom w:val="single" w:color="auto" w:sz="4" w:space="0"/>
              <w:right w:val="single" w:color="auto" w:sz="4" w:space="0"/>
            </w:tcBorders>
            <w:vAlign w:val="center"/>
          </w:tcPr>
          <w:p w14:paraId="7AA9736C">
            <w:pPr>
              <w:pStyle w:val="557"/>
            </w:pPr>
            <w:r>
              <w:t>网络模型</w:t>
            </w:r>
          </w:p>
          <w:p w14:paraId="51BDEC8C">
            <w:pPr>
              <w:pStyle w:val="557"/>
            </w:pPr>
            <w:r>
              <w:rPr/>
              <w:sym w:font="Wingdings 2" w:char="00A3"/>
            </w:r>
          </w:p>
        </w:tc>
        <w:tc>
          <w:tcPr>
            <w:tcW w:w="312" w:type="pct"/>
            <w:tcBorders>
              <w:top w:val="single" w:color="auto" w:sz="4" w:space="0"/>
              <w:left w:val="single" w:color="auto" w:sz="4" w:space="0"/>
              <w:bottom w:val="single" w:color="auto" w:sz="4" w:space="0"/>
              <w:right w:val="single" w:color="auto" w:sz="4" w:space="0"/>
            </w:tcBorders>
            <w:vAlign w:val="center"/>
          </w:tcPr>
          <w:p w14:paraId="7E288980">
            <w:pPr>
              <w:pStyle w:val="557"/>
            </w:pPr>
            <w:r>
              <w:t>其他</w:t>
            </w:r>
          </w:p>
          <w:p w14:paraId="7430011D">
            <w:pPr>
              <w:pStyle w:val="557"/>
            </w:pPr>
            <w:r>
              <w:rPr/>
              <w:sym w:font="Wingdings 2" w:char="00A3"/>
            </w:r>
          </w:p>
        </w:tc>
      </w:tr>
      <w:tr w14:paraId="1D3A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8F49372">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09C96624">
            <w:pPr>
              <w:pStyle w:val="557"/>
            </w:pPr>
            <w:r>
              <w:t>预测范围</w:t>
            </w:r>
          </w:p>
        </w:tc>
        <w:tc>
          <w:tcPr>
            <w:tcW w:w="1120" w:type="pct"/>
            <w:gridSpan w:val="8"/>
            <w:tcBorders>
              <w:top w:val="single" w:color="auto" w:sz="4" w:space="0"/>
              <w:left w:val="single" w:color="auto" w:sz="4" w:space="0"/>
              <w:bottom w:val="single" w:color="auto" w:sz="4" w:space="0"/>
              <w:right w:val="single" w:color="auto" w:sz="4" w:space="0"/>
            </w:tcBorders>
            <w:vAlign w:val="center"/>
          </w:tcPr>
          <w:p w14:paraId="0E6031DF">
            <w:pPr>
              <w:pStyle w:val="557"/>
            </w:pPr>
            <w:r>
              <w:t>边长≥50km</w:t>
            </w:r>
            <w:r>
              <w:rPr/>
              <w:sym w:font="Wingdings 2" w:char="00A3"/>
            </w:r>
          </w:p>
        </w:tc>
        <w:tc>
          <w:tcPr>
            <w:tcW w:w="1393" w:type="pct"/>
            <w:gridSpan w:val="7"/>
            <w:tcBorders>
              <w:top w:val="single" w:color="auto" w:sz="4" w:space="0"/>
              <w:left w:val="single" w:color="auto" w:sz="4" w:space="0"/>
              <w:bottom w:val="single" w:color="auto" w:sz="4" w:space="0"/>
              <w:right w:val="single" w:color="auto" w:sz="4" w:space="0"/>
            </w:tcBorders>
            <w:vAlign w:val="center"/>
          </w:tcPr>
          <w:p w14:paraId="1B65F3BB">
            <w:pPr>
              <w:pStyle w:val="557"/>
            </w:pPr>
            <w:r>
              <w:t>边长5~50km</w:t>
            </w:r>
            <w:r>
              <w:rPr/>
              <w:sym w:font="Wingdings 2" w:char="0052"/>
            </w:r>
          </w:p>
        </w:tc>
        <w:tc>
          <w:tcPr>
            <w:tcW w:w="1197" w:type="pct"/>
            <w:gridSpan w:val="5"/>
            <w:tcBorders>
              <w:top w:val="single" w:color="auto" w:sz="4" w:space="0"/>
              <w:left w:val="single" w:color="auto" w:sz="4" w:space="0"/>
              <w:bottom w:val="single" w:color="auto" w:sz="4" w:space="0"/>
              <w:right w:val="single" w:color="auto" w:sz="4" w:space="0"/>
            </w:tcBorders>
            <w:vAlign w:val="center"/>
          </w:tcPr>
          <w:p w14:paraId="31441DDB">
            <w:pPr>
              <w:pStyle w:val="557"/>
            </w:pPr>
            <w:r>
              <w:t>边长=5km</w:t>
            </w:r>
            <w:r>
              <w:rPr/>
              <w:sym w:font="Wingdings 2" w:char="00A3"/>
            </w:r>
          </w:p>
        </w:tc>
      </w:tr>
      <w:tr w14:paraId="2137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F5F358">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3F856557">
            <w:pPr>
              <w:pStyle w:val="557"/>
            </w:pPr>
            <w:r>
              <w:t>预测因子</w:t>
            </w:r>
          </w:p>
        </w:tc>
        <w:tc>
          <w:tcPr>
            <w:tcW w:w="2061" w:type="pct"/>
            <w:gridSpan w:val="12"/>
            <w:tcBorders>
              <w:top w:val="single" w:color="auto" w:sz="4" w:space="0"/>
              <w:left w:val="single" w:color="auto" w:sz="4" w:space="0"/>
              <w:bottom w:val="single" w:color="auto" w:sz="4" w:space="0"/>
              <w:right w:val="single" w:color="auto" w:sz="4" w:space="0"/>
            </w:tcBorders>
            <w:vAlign w:val="center"/>
          </w:tcPr>
          <w:p w14:paraId="7B8D836F">
            <w:pPr>
              <w:pStyle w:val="557"/>
            </w:pPr>
            <w:r>
              <w:t>预测因子（SO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、非甲烷总烃、</w:t>
            </w:r>
            <w:r>
              <w:t>NH</w:t>
            </w:r>
            <w:r>
              <w:rPr>
                <w:vertAlign w:val="subscript"/>
              </w:rPr>
              <w:t>3</w:t>
            </w:r>
            <w:r>
              <w:rPr>
                <w:rFonts w:hint="eastAsia"/>
              </w:rPr>
              <w:t>、</w:t>
            </w:r>
            <w:r>
              <w:t>H</w:t>
            </w:r>
            <w:r>
              <w:rPr>
                <w:vertAlign w:val="subscript"/>
              </w:rPr>
              <w:t>2</w:t>
            </w:r>
            <w:r>
              <w:t>S</w:t>
            </w:r>
            <w:r>
              <w:rPr>
                <w:rFonts w:hint="eastAsia"/>
              </w:rPr>
              <w:t>、甲醇、硫酸</w:t>
            </w:r>
            <w:r>
              <w:t>）</w:t>
            </w:r>
          </w:p>
        </w:tc>
        <w:tc>
          <w:tcPr>
            <w:tcW w:w="1649" w:type="pct"/>
            <w:gridSpan w:val="8"/>
            <w:tcBorders>
              <w:top w:val="single" w:color="auto" w:sz="4" w:space="0"/>
              <w:left w:val="single" w:color="auto" w:sz="4" w:space="0"/>
              <w:bottom w:val="single" w:color="auto" w:sz="4" w:space="0"/>
              <w:right w:val="single" w:color="auto" w:sz="4" w:space="0"/>
            </w:tcBorders>
            <w:vAlign w:val="center"/>
          </w:tcPr>
          <w:p w14:paraId="7EF82870">
            <w:pPr>
              <w:pStyle w:val="557"/>
            </w:pPr>
            <w:r>
              <w:t>包括二次PM</w:t>
            </w:r>
            <w:r>
              <w:rPr>
                <w:vertAlign w:val="subscript"/>
              </w:rPr>
              <w:t>2.5</w:t>
            </w:r>
            <w:r>
              <w:rPr/>
              <w:sym w:font="Wingdings 2" w:char="00A3"/>
            </w:r>
          </w:p>
          <w:p w14:paraId="11345F47">
            <w:pPr>
              <w:pStyle w:val="557"/>
            </w:pPr>
            <w:r>
              <w:t>不包括二次PM</w:t>
            </w:r>
            <w:r>
              <w:rPr>
                <w:vertAlign w:val="subscript"/>
              </w:rPr>
              <w:t>2.5</w:t>
            </w:r>
            <w:r>
              <w:rPr/>
              <w:sym w:font="Wingdings 2" w:char="0052"/>
            </w:r>
          </w:p>
        </w:tc>
      </w:tr>
      <w:tr w14:paraId="1858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8EAEC4">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4ED380E0">
            <w:pPr>
              <w:pStyle w:val="557"/>
            </w:pPr>
            <w:r>
              <w:t>正常排放短期浓度贡献值</w:t>
            </w:r>
          </w:p>
        </w:tc>
        <w:tc>
          <w:tcPr>
            <w:tcW w:w="2061" w:type="pct"/>
            <w:gridSpan w:val="12"/>
            <w:tcBorders>
              <w:top w:val="single" w:color="auto" w:sz="4" w:space="0"/>
              <w:left w:val="single" w:color="auto" w:sz="4" w:space="0"/>
              <w:bottom w:val="single" w:color="auto" w:sz="4" w:space="0"/>
              <w:right w:val="single" w:color="auto" w:sz="4" w:space="0"/>
            </w:tcBorders>
            <w:vAlign w:val="center"/>
          </w:tcPr>
          <w:p w14:paraId="2303EBF7">
            <w:pPr>
              <w:pStyle w:val="557"/>
            </w:pPr>
            <w:r>
              <w:rPr>
                <w:iCs/>
              </w:rPr>
              <w:t>C</w:t>
            </w:r>
            <w:r>
              <w:rPr>
                <w:vertAlign w:val="subscript"/>
              </w:rPr>
              <w:t>本项目</w:t>
            </w:r>
            <w:r>
              <w:t>最大占标率≤100%</w:t>
            </w:r>
            <w:r>
              <w:rPr/>
              <w:sym w:font="Wingdings 2" w:char="0052"/>
            </w:r>
          </w:p>
        </w:tc>
        <w:tc>
          <w:tcPr>
            <w:tcW w:w="1649" w:type="pct"/>
            <w:gridSpan w:val="8"/>
            <w:tcBorders>
              <w:top w:val="single" w:color="auto" w:sz="4" w:space="0"/>
              <w:left w:val="single" w:color="auto" w:sz="4" w:space="0"/>
              <w:bottom w:val="single" w:color="auto" w:sz="4" w:space="0"/>
              <w:right w:val="single" w:color="auto" w:sz="4" w:space="0"/>
            </w:tcBorders>
            <w:vAlign w:val="center"/>
          </w:tcPr>
          <w:p w14:paraId="68802D5B">
            <w:pPr>
              <w:pStyle w:val="557"/>
            </w:pPr>
            <w:r>
              <w:rPr>
                <w:iCs/>
              </w:rPr>
              <w:t>C</w:t>
            </w:r>
            <w:r>
              <w:rPr>
                <w:vertAlign w:val="subscript"/>
              </w:rPr>
              <w:t>本项目</w:t>
            </w:r>
            <w:r>
              <w:t>最大占标率＞100%</w:t>
            </w:r>
            <w:r>
              <w:rPr/>
              <w:sym w:font="Wingdings 2" w:char="00A3"/>
            </w:r>
          </w:p>
        </w:tc>
      </w:tr>
      <w:tr w14:paraId="24B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53EDB4">
            <w:pPr>
              <w:pStyle w:val="557"/>
            </w:pPr>
          </w:p>
        </w:tc>
        <w:tc>
          <w:tcPr>
            <w:tcW w:w="880" w:type="pct"/>
            <w:vMerge w:val="restart"/>
            <w:tcBorders>
              <w:top w:val="single" w:color="auto" w:sz="4" w:space="0"/>
              <w:left w:val="single" w:color="auto" w:sz="4" w:space="0"/>
              <w:bottom w:val="single" w:color="auto" w:sz="4" w:space="0"/>
              <w:right w:val="single" w:color="auto" w:sz="4" w:space="0"/>
            </w:tcBorders>
            <w:vAlign w:val="center"/>
          </w:tcPr>
          <w:p w14:paraId="36D2E14A">
            <w:pPr>
              <w:pStyle w:val="557"/>
            </w:pPr>
            <w:r>
              <w:t>正常排放年均浓度贡献值</w:t>
            </w:r>
          </w:p>
        </w:tc>
        <w:tc>
          <w:tcPr>
            <w:tcW w:w="457" w:type="pct"/>
            <w:tcBorders>
              <w:top w:val="single" w:color="auto" w:sz="4" w:space="0"/>
              <w:left w:val="single" w:color="auto" w:sz="4" w:space="0"/>
              <w:bottom w:val="single" w:color="auto" w:sz="4" w:space="0"/>
              <w:right w:val="single" w:color="auto" w:sz="4" w:space="0"/>
            </w:tcBorders>
            <w:vAlign w:val="center"/>
          </w:tcPr>
          <w:p w14:paraId="5319B7FC">
            <w:pPr>
              <w:pStyle w:val="557"/>
            </w:pPr>
            <w:r>
              <w:t>一类区</w:t>
            </w:r>
          </w:p>
        </w:tc>
        <w:tc>
          <w:tcPr>
            <w:tcW w:w="1604" w:type="pct"/>
            <w:gridSpan w:val="11"/>
            <w:tcBorders>
              <w:top w:val="single" w:color="auto" w:sz="4" w:space="0"/>
              <w:left w:val="single" w:color="auto" w:sz="4" w:space="0"/>
              <w:bottom w:val="single" w:color="auto" w:sz="4" w:space="0"/>
              <w:right w:val="single" w:color="auto" w:sz="4" w:space="0"/>
            </w:tcBorders>
            <w:vAlign w:val="center"/>
          </w:tcPr>
          <w:p w14:paraId="1CB4322A">
            <w:pPr>
              <w:pStyle w:val="557"/>
            </w:pPr>
            <w:r>
              <w:rPr>
                <w:iCs/>
              </w:rPr>
              <w:t>C</w:t>
            </w:r>
            <w:r>
              <w:rPr>
                <w:vertAlign w:val="subscript"/>
              </w:rPr>
              <w:t>本项目</w:t>
            </w:r>
            <w:r>
              <w:t>最大占标率≤10%</w:t>
            </w:r>
            <w:r>
              <w:rPr/>
              <w:sym w:font="Wingdings 2" w:char="00A3"/>
            </w:r>
          </w:p>
        </w:tc>
        <w:tc>
          <w:tcPr>
            <w:tcW w:w="1649" w:type="pct"/>
            <w:gridSpan w:val="8"/>
            <w:tcBorders>
              <w:top w:val="single" w:color="auto" w:sz="4" w:space="0"/>
              <w:left w:val="single" w:color="auto" w:sz="4" w:space="0"/>
              <w:bottom w:val="single" w:color="auto" w:sz="4" w:space="0"/>
              <w:right w:val="single" w:color="auto" w:sz="4" w:space="0"/>
            </w:tcBorders>
            <w:vAlign w:val="center"/>
          </w:tcPr>
          <w:p w14:paraId="47F53326">
            <w:pPr>
              <w:pStyle w:val="557"/>
            </w:pPr>
            <w:r>
              <w:rPr>
                <w:iCs/>
              </w:rPr>
              <w:t>C</w:t>
            </w:r>
            <w:r>
              <w:rPr>
                <w:vertAlign w:val="subscript"/>
              </w:rPr>
              <w:t>本项目</w:t>
            </w:r>
            <w:r>
              <w:t>最大占标率＞10%</w:t>
            </w:r>
            <w:r>
              <w:rPr/>
              <w:sym w:font="Wingdings 2" w:char="00A3"/>
            </w:r>
          </w:p>
        </w:tc>
      </w:tr>
      <w:tr w14:paraId="00AE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E3D349">
            <w:pPr>
              <w:pStyle w:val="557"/>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2D7374">
            <w:pPr>
              <w:pStyle w:val="557"/>
            </w:pPr>
          </w:p>
        </w:tc>
        <w:tc>
          <w:tcPr>
            <w:tcW w:w="457" w:type="pct"/>
            <w:tcBorders>
              <w:top w:val="single" w:color="auto" w:sz="4" w:space="0"/>
              <w:left w:val="single" w:color="auto" w:sz="4" w:space="0"/>
              <w:bottom w:val="single" w:color="auto" w:sz="4" w:space="0"/>
              <w:right w:val="single" w:color="auto" w:sz="4" w:space="0"/>
            </w:tcBorders>
            <w:vAlign w:val="center"/>
          </w:tcPr>
          <w:p w14:paraId="31B32479">
            <w:pPr>
              <w:pStyle w:val="557"/>
            </w:pPr>
            <w:r>
              <w:t>二类区</w:t>
            </w:r>
          </w:p>
        </w:tc>
        <w:tc>
          <w:tcPr>
            <w:tcW w:w="1604" w:type="pct"/>
            <w:gridSpan w:val="11"/>
            <w:tcBorders>
              <w:top w:val="single" w:color="auto" w:sz="4" w:space="0"/>
              <w:left w:val="single" w:color="auto" w:sz="4" w:space="0"/>
              <w:bottom w:val="single" w:color="auto" w:sz="4" w:space="0"/>
              <w:right w:val="single" w:color="auto" w:sz="4" w:space="0"/>
            </w:tcBorders>
            <w:vAlign w:val="center"/>
          </w:tcPr>
          <w:p w14:paraId="408B0F32">
            <w:pPr>
              <w:pStyle w:val="557"/>
            </w:pPr>
            <w:r>
              <w:rPr>
                <w:iCs/>
              </w:rPr>
              <w:t>C</w:t>
            </w:r>
            <w:r>
              <w:rPr>
                <w:vertAlign w:val="subscript"/>
              </w:rPr>
              <w:t>本项目</w:t>
            </w:r>
            <w:r>
              <w:t>最大占标率≤30%</w:t>
            </w:r>
            <w:r>
              <w:rPr/>
              <w:sym w:font="Wingdings 2" w:char="0052"/>
            </w:r>
          </w:p>
        </w:tc>
        <w:tc>
          <w:tcPr>
            <w:tcW w:w="1649" w:type="pct"/>
            <w:gridSpan w:val="8"/>
            <w:tcBorders>
              <w:top w:val="single" w:color="auto" w:sz="4" w:space="0"/>
              <w:left w:val="single" w:color="auto" w:sz="4" w:space="0"/>
              <w:bottom w:val="single" w:color="auto" w:sz="4" w:space="0"/>
              <w:right w:val="single" w:color="auto" w:sz="4" w:space="0"/>
            </w:tcBorders>
            <w:vAlign w:val="center"/>
          </w:tcPr>
          <w:p w14:paraId="31D2D7D1">
            <w:pPr>
              <w:pStyle w:val="557"/>
            </w:pPr>
            <w:r>
              <w:rPr>
                <w:iCs/>
              </w:rPr>
              <w:t>C</w:t>
            </w:r>
            <w:r>
              <w:rPr>
                <w:vertAlign w:val="subscript"/>
              </w:rPr>
              <w:t>本项目</w:t>
            </w:r>
            <w:r>
              <w:t>最大占标率＞30%</w:t>
            </w:r>
            <w:r>
              <w:rPr/>
              <w:sym w:font="Wingdings 2" w:char="00A3"/>
            </w:r>
          </w:p>
        </w:tc>
      </w:tr>
      <w:tr w14:paraId="10DE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7FD68F7">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0FB08D4C">
            <w:pPr>
              <w:pStyle w:val="557"/>
            </w:pPr>
            <w:r>
              <w:t>非正常排放1h浓度贡献值</w:t>
            </w:r>
          </w:p>
        </w:tc>
        <w:tc>
          <w:tcPr>
            <w:tcW w:w="755" w:type="pct"/>
            <w:gridSpan w:val="3"/>
            <w:tcBorders>
              <w:top w:val="single" w:color="auto" w:sz="4" w:space="0"/>
              <w:left w:val="single" w:color="auto" w:sz="4" w:space="0"/>
              <w:bottom w:val="single" w:color="auto" w:sz="4" w:space="0"/>
              <w:right w:val="single" w:color="auto" w:sz="4" w:space="0"/>
            </w:tcBorders>
            <w:vAlign w:val="center"/>
          </w:tcPr>
          <w:p w14:paraId="03295915">
            <w:pPr>
              <w:pStyle w:val="557"/>
            </w:pPr>
            <w:r>
              <w:t>非正常持续时长</w:t>
            </w:r>
          </w:p>
          <w:p w14:paraId="644B1E25">
            <w:pPr>
              <w:pStyle w:val="557"/>
            </w:pPr>
            <w:r>
              <w:t>（1）h</w:t>
            </w:r>
          </w:p>
        </w:tc>
        <w:tc>
          <w:tcPr>
            <w:tcW w:w="1550" w:type="pct"/>
            <w:gridSpan w:val="10"/>
            <w:tcBorders>
              <w:top w:val="single" w:color="auto" w:sz="4" w:space="0"/>
              <w:left w:val="single" w:color="auto" w:sz="4" w:space="0"/>
              <w:bottom w:val="single" w:color="auto" w:sz="4" w:space="0"/>
              <w:right w:val="single" w:color="auto" w:sz="4" w:space="0"/>
            </w:tcBorders>
            <w:vAlign w:val="center"/>
          </w:tcPr>
          <w:p w14:paraId="30D04F08">
            <w:pPr>
              <w:pStyle w:val="557"/>
            </w:pPr>
            <w:r>
              <w:rPr>
                <w:iCs/>
              </w:rPr>
              <w:t>C</w:t>
            </w:r>
            <w:r>
              <w:rPr>
                <w:vertAlign w:val="subscript"/>
              </w:rPr>
              <w:t>非正常</w:t>
            </w:r>
            <w:r>
              <w:t>最大占标率≤100%</w:t>
            </w:r>
            <w:r>
              <w:rPr/>
              <w:sym w:font="Wingdings 2" w:char="00A3"/>
            </w:r>
          </w:p>
        </w:tc>
        <w:tc>
          <w:tcPr>
            <w:tcW w:w="1405" w:type="pct"/>
            <w:gridSpan w:val="7"/>
            <w:tcBorders>
              <w:top w:val="single" w:color="auto" w:sz="4" w:space="0"/>
              <w:left w:val="single" w:color="auto" w:sz="4" w:space="0"/>
              <w:bottom w:val="single" w:color="auto" w:sz="4" w:space="0"/>
              <w:right w:val="single" w:color="auto" w:sz="4" w:space="0"/>
            </w:tcBorders>
            <w:vAlign w:val="center"/>
          </w:tcPr>
          <w:p w14:paraId="4274AB5D">
            <w:pPr>
              <w:pStyle w:val="557"/>
            </w:pPr>
            <w:r>
              <w:rPr>
                <w:iCs/>
              </w:rPr>
              <w:t>C</w:t>
            </w:r>
            <w:r>
              <w:rPr>
                <w:vertAlign w:val="subscript"/>
              </w:rPr>
              <w:t>非正常</w:t>
            </w:r>
            <w:r>
              <w:t>最大占标率＞100%</w:t>
            </w:r>
            <w:r>
              <w:rPr/>
              <w:sym w:font="Wingdings 2" w:char="0052"/>
            </w:r>
          </w:p>
        </w:tc>
      </w:tr>
      <w:tr w14:paraId="1133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4BF9A94">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5599FB2D">
            <w:pPr>
              <w:pStyle w:val="557"/>
            </w:pPr>
            <w:r>
              <w:t>保证率日平均浓度和年平均浓度叠加值</w:t>
            </w:r>
          </w:p>
        </w:tc>
        <w:tc>
          <w:tcPr>
            <w:tcW w:w="1831" w:type="pct"/>
            <w:gridSpan w:val="10"/>
            <w:tcBorders>
              <w:top w:val="single" w:color="auto" w:sz="4" w:space="0"/>
              <w:left w:val="single" w:color="auto" w:sz="4" w:space="0"/>
              <w:bottom w:val="single" w:color="auto" w:sz="4" w:space="0"/>
              <w:right w:val="single" w:color="auto" w:sz="4" w:space="0"/>
            </w:tcBorders>
            <w:vAlign w:val="center"/>
          </w:tcPr>
          <w:p w14:paraId="0F45DE45">
            <w:pPr>
              <w:pStyle w:val="557"/>
            </w:pPr>
            <w:r>
              <w:rPr>
                <w:iCs/>
              </w:rPr>
              <w:t>C</w:t>
            </w:r>
            <w:r>
              <w:rPr>
                <w:vertAlign w:val="subscript"/>
              </w:rPr>
              <w:t>叠加</w:t>
            </w:r>
            <w:r>
              <w:t>达标</w:t>
            </w:r>
            <w:r>
              <w:rPr/>
              <w:sym w:font="Wingdings 2" w:char="0052"/>
            </w:r>
          </w:p>
        </w:tc>
        <w:tc>
          <w:tcPr>
            <w:tcW w:w="1879" w:type="pct"/>
            <w:gridSpan w:val="10"/>
            <w:tcBorders>
              <w:top w:val="single" w:color="auto" w:sz="4" w:space="0"/>
              <w:left w:val="single" w:color="auto" w:sz="4" w:space="0"/>
              <w:bottom w:val="single" w:color="auto" w:sz="4" w:space="0"/>
              <w:right w:val="single" w:color="auto" w:sz="4" w:space="0"/>
            </w:tcBorders>
            <w:vAlign w:val="center"/>
          </w:tcPr>
          <w:p w14:paraId="066CA648">
            <w:pPr>
              <w:pStyle w:val="557"/>
            </w:pPr>
            <w:r>
              <w:rPr>
                <w:iCs/>
              </w:rPr>
              <w:t>C</w:t>
            </w:r>
            <w:r>
              <w:rPr>
                <w:vertAlign w:val="subscript"/>
              </w:rPr>
              <w:t>叠加</w:t>
            </w:r>
            <w:r>
              <w:t>不达标</w:t>
            </w:r>
            <w:r>
              <w:rPr/>
              <w:sym w:font="Wingdings 2" w:char="00A3"/>
            </w:r>
          </w:p>
        </w:tc>
      </w:tr>
      <w:tr w14:paraId="39FD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881DFE">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22F35A8A">
            <w:pPr>
              <w:pStyle w:val="557"/>
            </w:pPr>
            <w:r>
              <w:t>区域环境质量的整体变化情况</w:t>
            </w:r>
          </w:p>
        </w:tc>
        <w:tc>
          <w:tcPr>
            <w:tcW w:w="1831" w:type="pct"/>
            <w:gridSpan w:val="10"/>
            <w:tcBorders>
              <w:top w:val="single" w:color="auto" w:sz="4" w:space="0"/>
              <w:left w:val="single" w:color="auto" w:sz="4" w:space="0"/>
              <w:bottom w:val="single" w:color="auto" w:sz="4" w:space="0"/>
              <w:right w:val="single" w:color="auto" w:sz="4" w:space="0"/>
            </w:tcBorders>
            <w:vAlign w:val="center"/>
          </w:tcPr>
          <w:p w14:paraId="6CE51BA0">
            <w:pPr>
              <w:pStyle w:val="557"/>
            </w:pPr>
            <w:r>
              <w:rPr>
                <w:iCs/>
              </w:rPr>
              <w:t>k</w:t>
            </w:r>
            <w:r>
              <w:t>≤-20%</w:t>
            </w:r>
            <w:r>
              <w:rPr/>
              <w:sym w:font="Wingdings 2" w:char="00A3"/>
            </w:r>
          </w:p>
        </w:tc>
        <w:tc>
          <w:tcPr>
            <w:tcW w:w="1879" w:type="pct"/>
            <w:gridSpan w:val="10"/>
            <w:tcBorders>
              <w:top w:val="single" w:color="auto" w:sz="4" w:space="0"/>
              <w:left w:val="single" w:color="auto" w:sz="4" w:space="0"/>
              <w:bottom w:val="single" w:color="auto" w:sz="4" w:space="0"/>
              <w:right w:val="single" w:color="auto" w:sz="4" w:space="0"/>
            </w:tcBorders>
            <w:vAlign w:val="center"/>
          </w:tcPr>
          <w:p w14:paraId="2C61AB82">
            <w:pPr>
              <w:pStyle w:val="557"/>
            </w:pPr>
            <w:r>
              <w:rPr>
                <w:iCs/>
              </w:rPr>
              <w:t>k</w:t>
            </w:r>
            <w:r>
              <w:rPr>
                <w:rFonts w:hint="eastAsia"/>
                <w:iCs/>
              </w:rPr>
              <w:t>&gt;</w:t>
            </w:r>
            <w:r>
              <w:t>20%</w:t>
            </w:r>
            <w:r>
              <w:rPr/>
              <w:sym w:font="Wingdings 2" w:char="00A3"/>
            </w:r>
          </w:p>
        </w:tc>
      </w:tr>
      <w:tr w14:paraId="6E3F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bottom w:val="single" w:color="auto" w:sz="4" w:space="0"/>
              <w:right w:val="single" w:color="auto" w:sz="4" w:space="0"/>
            </w:tcBorders>
            <w:vAlign w:val="center"/>
          </w:tcPr>
          <w:p w14:paraId="4874E337">
            <w:pPr>
              <w:pStyle w:val="557"/>
            </w:pPr>
            <w:r>
              <w:t>环境监测计划</w:t>
            </w:r>
          </w:p>
        </w:tc>
        <w:tc>
          <w:tcPr>
            <w:tcW w:w="880" w:type="pct"/>
            <w:tcBorders>
              <w:top w:val="single" w:color="auto" w:sz="4" w:space="0"/>
              <w:left w:val="single" w:color="auto" w:sz="4" w:space="0"/>
              <w:bottom w:val="single" w:color="auto" w:sz="4" w:space="0"/>
              <w:right w:val="single" w:color="auto" w:sz="4" w:space="0"/>
            </w:tcBorders>
            <w:vAlign w:val="center"/>
          </w:tcPr>
          <w:p w14:paraId="473D836E">
            <w:pPr>
              <w:pStyle w:val="557"/>
            </w:pPr>
            <w:r>
              <w:t>污染源监测</w:t>
            </w:r>
          </w:p>
        </w:tc>
        <w:tc>
          <w:tcPr>
            <w:tcW w:w="1831" w:type="pct"/>
            <w:gridSpan w:val="10"/>
            <w:tcBorders>
              <w:top w:val="single" w:color="auto" w:sz="4" w:space="0"/>
              <w:left w:val="single" w:color="auto" w:sz="4" w:space="0"/>
              <w:bottom w:val="single" w:color="auto" w:sz="4" w:space="0"/>
              <w:right w:val="single" w:color="auto" w:sz="4" w:space="0"/>
            </w:tcBorders>
            <w:vAlign w:val="center"/>
          </w:tcPr>
          <w:p w14:paraId="1DE7F39F">
            <w:pPr>
              <w:pStyle w:val="557"/>
            </w:pPr>
            <w:r>
              <w:t>监测因子（SO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、非甲烷总烃、</w:t>
            </w:r>
            <w:r>
              <w:t>NH</w:t>
            </w:r>
            <w:r>
              <w:rPr>
                <w:vertAlign w:val="subscript"/>
              </w:rPr>
              <w:t>3</w:t>
            </w:r>
            <w:r>
              <w:rPr>
                <w:rFonts w:hint="eastAsia"/>
              </w:rPr>
              <w:t>、</w:t>
            </w:r>
            <w:r>
              <w:t>H</w:t>
            </w:r>
            <w:r>
              <w:rPr>
                <w:vertAlign w:val="subscript"/>
              </w:rPr>
              <w:t>2</w:t>
            </w:r>
            <w:r>
              <w:t>S</w:t>
            </w:r>
            <w:r>
              <w:rPr>
                <w:rFonts w:hint="eastAsia"/>
              </w:rPr>
              <w:t>、甲醇、硫酸</w:t>
            </w:r>
            <w:r>
              <w:t>）</w:t>
            </w:r>
          </w:p>
        </w:tc>
        <w:tc>
          <w:tcPr>
            <w:tcW w:w="1322" w:type="pct"/>
            <w:gridSpan w:val="8"/>
            <w:tcBorders>
              <w:top w:val="single" w:color="auto" w:sz="4" w:space="0"/>
              <w:left w:val="single" w:color="auto" w:sz="4" w:space="0"/>
              <w:bottom w:val="single" w:color="auto" w:sz="4" w:space="0"/>
              <w:right w:val="single" w:color="auto" w:sz="4" w:space="0"/>
            </w:tcBorders>
            <w:vAlign w:val="center"/>
          </w:tcPr>
          <w:p w14:paraId="6679DA60">
            <w:pPr>
              <w:pStyle w:val="557"/>
            </w:pPr>
            <w:r>
              <w:t>有组织废气监测√</w:t>
            </w:r>
          </w:p>
          <w:p w14:paraId="6BBB76E1">
            <w:pPr>
              <w:pStyle w:val="557"/>
            </w:pPr>
            <w:r>
              <w:t>无组织废气监测√</w:t>
            </w:r>
          </w:p>
        </w:tc>
        <w:tc>
          <w:tcPr>
            <w:tcW w:w="557" w:type="pct"/>
            <w:gridSpan w:val="2"/>
            <w:tcBorders>
              <w:top w:val="single" w:color="auto" w:sz="4" w:space="0"/>
              <w:left w:val="single" w:color="auto" w:sz="4" w:space="0"/>
              <w:bottom w:val="single" w:color="auto" w:sz="4" w:space="0"/>
              <w:right w:val="single" w:color="auto" w:sz="4" w:space="0"/>
            </w:tcBorders>
            <w:vAlign w:val="center"/>
          </w:tcPr>
          <w:p w14:paraId="11CC860F">
            <w:pPr>
              <w:pStyle w:val="557"/>
            </w:pPr>
            <w:r>
              <w:t>无监测</w:t>
            </w:r>
            <w:r>
              <w:rPr/>
              <w:sym w:font="Wingdings 2" w:char="00A3"/>
            </w:r>
          </w:p>
        </w:tc>
      </w:tr>
      <w:tr w14:paraId="62D9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BAB6326">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1907705D">
            <w:pPr>
              <w:pStyle w:val="557"/>
            </w:pPr>
            <w:r>
              <w:t>环境质量监测</w:t>
            </w:r>
          </w:p>
        </w:tc>
        <w:tc>
          <w:tcPr>
            <w:tcW w:w="1831" w:type="pct"/>
            <w:gridSpan w:val="10"/>
            <w:tcBorders>
              <w:top w:val="single" w:color="auto" w:sz="4" w:space="0"/>
              <w:left w:val="single" w:color="auto" w:sz="4" w:space="0"/>
              <w:bottom w:val="single" w:color="auto" w:sz="4" w:space="0"/>
              <w:right w:val="single" w:color="auto" w:sz="4" w:space="0"/>
            </w:tcBorders>
            <w:vAlign w:val="center"/>
          </w:tcPr>
          <w:p w14:paraId="4D6E652B">
            <w:pPr>
              <w:pStyle w:val="557"/>
            </w:pPr>
            <w:r>
              <w:t>监测因子（SO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、非甲烷总烃、</w:t>
            </w:r>
            <w:r>
              <w:t>NH</w:t>
            </w:r>
            <w:r>
              <w:rPr>
                <w:vertAlign w:val="subscript"/>
              </w:rPr>
              <w:t>3</w:t>
            </w:r>
            <w:r>
              <w:rPr>
                <w:rFonts w:hint="eastAsia"/>
              </w:rPr>
              <w:t>、</w:t>
            </w:r>
            <w:r>
              <w:t>H</w:t>
            </w:r>
            <w:r>
              <w:rPr>
                <w:vertAlign w:val="subscript"/>
              </w:rPr>
              <w:t>2</w:t>
            </w:r>
            <w:r>
              <w:t>S</w:t>
            </w:r>
            <w:r>
              <w:rPr>
                <w:rFonts w:hint="eastAsia"/>
              </w:rPr>
              <w:t>、甲醇、硫酸</w:t>
            </w:r>
            <w:r>
              <w:t>）</w:t>
            </w:r>
          </w:p>
        </w:tc>
        <w:tc>
          <w:tcPr>
            <w:tcW w:w="1322" w:type="pct"/>
            <w:gridSpan w:val="8"/>
            <w:tcBorders>
              <w:top w:val="single" w:color="auto" w:sz="4" w:space="0"/>
              <w:left w:val="single" w:color="auto" w:sz="4" w:space="0"/>
              <w:bottom w:val="single" w:color="auto" w:sz="4" w:space="0"/>
              <w:right w:val="single" w:color="auto" w:sz="4" w:space="0"/>
            </w:tcBorders>
            <w:vAlign w:val="center"/>
          </w:tcPr>
          <w:p w14:paraId="1F2C041B">
            <w:pPr>
              <w:pStyle w:val="557"/>
            </w:pPr>
            <w:r>
              <w:t>监测点位数（1）</w:t>
            </w:r>
          </w:p>
        </w:tc>
        <w:tc>
          <w:tcPr>
            <w:tcW w:w="557" w:type="pct"/>
            <w:gridSpan w:val="2"/>
            <w:tcBorders>
              <w:top w:val="single" w:color="auto" w:sz="4" w:space="0"/>
              <w:left w:val="single" w:color="auto" w:sz="4" w:space="0"/>
              <w:bottom w:val="single" w:color="auto" w:sz="4" w:space="0"/>
              <w:right w:val="single" w:color="auto" w:sz="4" w:space="0"/>
            </w:tcBorders>
            <w:vAlign w:val="center"/>
          </w:tcPr>
          <w:p w14:paraId="76A63F58">
            <w:pPr>
              <w:pStyle w:val="557"/>
            </w:pPr>
            <w:r>
              <w:t>无监测</w:t>
            </w:r>
            <w:r>
              <w:rPr/>
              <w:sym w:font="Wingdings 2" w:char="00A3"/>
            </w:r>
          </w:p>
        </w:tc>
      </w:tr>
      <w:tr w14:paraId="331D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10" w:type="pct"/>
            <w:vMerge w:val="restart"/>
            <w:tcBorders>
              <w:top w:val="single" w:color="auto" w:sz="4" w:space="0"/>
              <w:left w:val="single" w:color="auto" w:sz="4" w:space="0"/>
              <w:right w:val="single" w:color="auto" w:sz="4" w:space="0"/>
            </w:tcBorders>
            <w:vAlign w:val="center"/>
          </w:tcPr>
          <w:p w14:paraId="3CEF4EAA">
            <w:pPr>
              <w:pStyle w:val="557"/>
            </w:pPr>
            <w:r>
              <w:t>评价结论</w:t>
            </w:r>
          </w:p>
        </w:tc>
        <w:tc>
          <w:tcPr>
            <w:tcW w:w="880" w:type="pct"/>
            <w:tcBorders>
              <w:top w:val="single" w:color="auto" w:sz="4" w:space="0"/>
              <w:left w:val="single" w:color="auto" w:sz="4" w:space="0"/>
              <w:bottom w:val="single" w:color="auto" w:sz="4" w:space="0"/>
              <w:right w:val="single" w:color="auto" w:sz="4" w:space="0"/>
            </w:tcBorders>
            <w:vAlign w:val="center"/>
          </w:tcPr>
          <w:p w14:paraId="43A9948B">
            <w:pPr>
              <w:pStyle w:val="557"/>
            </w:pPr>
            <w:r>
              <w:t>环境影响</w:t>
            </w:r>
          </w:p>
        </w:tc>
        <w:tc>
          <w:tcPr>
            <w:tcW w:w="3710" w:type="pct"/>
            <w:gridSpan w:val="20"/>
            <w:tcBorders>
              <w:top w:val="single" w:color="auto" w:sz="4" w:space="0"/>
              <w:left w:val="single" w:color="auto" w:sz="4" w:space="0"/>
              <w:bottom w:val="single" w:color="auto" w:sz="4" w:space="0"/>
              <w:right w:val="single" w:color="auto" w:sz="4" w:space="0"/>
            </w:tcBorders>
            <w:vAlign w:val="center"/>
          </w:tcPr>
          <w:p w14:paraId="5BB46898">
            <w:pPr>
              <w:pStyle w:val="557"/>
            </w:pPr>
            <w:r>
              <w:t>可以接受</w:t>
            </w:r>
            <w:r>
              <w:rPr/>
              <w:sym w:font="Wingdings 2" w:char="0052"/>
            </w:r>
            <w:r>
              <w:t>不可以接受</w:t>
            </w:r>
            <w:r>
              <w:rPr/>
              <w:sym w:font="Wingdings 2" w:char="00A3"/>
            </w:r>
          </w:p>
        </w:tc>
      </w:tr>
      <w:tr w14:paraId="0FE6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left w:val="single" w:color="auto" w:sz="4" w:space="0"/>
              <w:right w:val="single" w:color="auto" w:sz="4" w:space="0"/>
            </w:tcBorders>
            <w:vAlign w:val="center"/>
          </w:tcPr>
          <w:p w14:paraId="0B540A9D">
            <w:pPr>
              <w:pStyle w:val="557"/>
            </w:pPr>
          </w:p>
        </w:tc>
        <w:tc>
          <w:tcPr>
            <w:tcW w:w="880" w:type="pct"/>
            <w:tcBorders>
              <w:top w:val="single" w:color="auto" w:sz="4" w:space="0"/>
              <w:left w:val="single" w:color="auto" w:sz="4" w:space="0"/>
              <w:bottom w:val="single" w:color="auto" w:sz="4" w:space="0"/>
              <w:right w:val="single" w:color="auto" w:sz="4" w:space="0"/>
            </w:tcBorders>
            <w:vAlign w:val="center"/>
          </w:tcPr>
          <w:p w14:paraId="3227ECEC">
            <w:pPr>
              <w:pStyle w:val="557"/>
            </w:pPr>
            <w:r>
              <w:t>大气环境防护距离</w:t>
            </w:r>
          </w:p>
        </w:tc>
        <w:tc>
          <w:tcPr>
            <w:tcW w:w="3710" w:type="pct"/>
            <w:gridSpan w:val="20"/>
            <w:tcBorders>
              <w:top w:val="single" w:color="auto" w:sz="4" w:space="0"/>
              <w:left w:val="single" w:color="auto" w:sz="4" w:space="0"/>
              <w:bottom w:val="single" w:color="auto" w:sz="4" w:space="0"/>
              <w:right w:val="single" w:color="auto" w:sz="4" w:space="0"/>
            </w:tcBorders>
            <w:vAlign w:val="center"/>
          </w:tcPr>
          <w:p w14:paraId="40B8E2F1">
            <w:pPr>
              <w:pStyle w:val="557"/>
            </w:pPr>
            <w:r>
              <w:t>距（-）厂界最远（0）m</w:t>
            </w:r>
          </w:p>
        </w:tc>
      </w:tr>
      <w:tr w14:paraId="31E5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left w:val="single" w:color="auto" w:sz="4" w:space="0"/>
              <w:right w:val="single" w:color="auto" w:sz="4" w:space="0"/>
            </w:tcBorders>
            <w:vAlign w:val="center"/>
          </w:tcPr>
          <w:p w14:paraId="2B7C7E91">
            <w:pPr>
              <w:pStyle w:val="557"/>
            </w:pPr>
          </w:p>
        </w:tc>
        <w:tc>
          <w:tcPr>
            <w:tcW w:w="880" w:type="pct"/>
            <w:vMerge w:val="restart"/>
            <w:tcBorders>
              <w:top w:val="single" w:color="auto" w:sz="4" w:space="0"/>
              <w:left w:val="single" w:color="auto" w:sz="4" w:space="0"/>
              <w:right w:val="single" w:color="auto" w:sz="4" w:space="0"/>
            </w:tcBorders>
            <w:vAlign w:val="center"/>
          </w:tcPr>
          <w:p w14:paraId="62104875">
            <w:pPr>
              <w:pStyle w:val="557"/>
            </w:pPr>
            <w:r>
              <w:t>污染源年排放量</w:t>
            </w:r>
          </w:p>
        </w:tc>
        <w:tc>
          <w:tcPr>
            <w:tcW w:w="958" w:type="pct"/>
            <w:gridSpan w:val="6"/>
            <w:tcBorders>
              <w:top w:val="single" w:color="auto" w:sz="4" w:space="0"/>
              <w:left w:val="single" w:color="auto" w:sz="4" w:space="0"/>
              <w:bottom w:val="single" w:color="auto" w:sz="4" w:space="0"/>
              <w:right w:val="single" w:color="auto" w:sz="4" w:space="0"/>
            </w:tcBorders>
            <w:vAlign w:val="center"/>
          </w:tcPr>
          <w:p w14:paraId="25B88ACB">
            <w:pPr>
              <w:pStyle w:val="557"/>
            </w:pPr>
            <w:r>
              <w:rPr>
                <w:rFonts w:hint="eastAsia"/>
              </w:rPr>
              <w:t>N</w:t>
            </w:r>
            <w:r>
              <w:t>H</w:t>
            </w:r>
            <w:r>
              <w:rPr>
                <w:vertAlign w:val="subscript"/>
              </w:rPr>
              <w:t>3</w:t>
            </w:r>
            <w:r>
              <w:t>：</w:t>
            </w:r>
          </w:p>
          <w:p w14:paraId="33B162DE">
            <w:pPr>
              <w:pStyle w:val="557"/>
            </w:pPr>
            <w:r>
              <w:t>（</w:t>
            </w:r>
            <w:r>
              <w:rPr>
                <w:rFonts w:hint="eastAsia" w:eastAsia="等线"/>
                <w:color w:val="000000"/>
              </w:rPr>
              <w:t>10.064</w:t>
            </w:r>
            <w:r>
              <w:t>）t/a</w:t>
            </w:r>
          </w:p>
        </w:tc>
        <w:tc>
          <w:tcPr>
            <w:tcW w:w="928" w:type="pct"/>
            <w:gridSpan w:val="5"/>
            <w:tcBorders>
              <w:top w:val="single" w:color="auto" w:sz="4" w:space="0"/>
              <w:left w:val="single" w:color="auto" w:sz="4" w:space="0"/>
              <w:bottom w:val="single" w:color="auto" w:sz="4" w:space="0"/>
              <w:right w:val="single" w:color="auto" w:sz="4" w:space="0"/>
            </w:tcBorders>
            <w:vAlign w:val="center"/>
          </w:tcPr>
          <w:p w14:paraId="372A9F50">
            <w:pPr>
              <w:pStyle w:val="557"/>
            </w:pPr>
            <w:r>
              <w:t>NO</w:t>
            </w:r>
            <w:r>
              <w:rPr>
                <w:vertAlign w:val="subscript"/>
              </w:rPr>
              <w:t>X</w:t>
            </w:r>
            <w:r>
              <w:t>：</w:t>
            </w:r>
          </w:p>
          <w:p w14:paraId="792E9088">
            <w:pPr>
              <w:pStyle w:val="557"/>
            </w:pPr>
            <w:r>
              <w:t>（</w:t>
            </w:r>
            <w:r>
              <w:rPr>
                <w:rFonts w:hint="eastAsia" w:eastAsia="等线"/>
              </w:rPr>
              <w:t>88.21</w:t>
            </w:r>
            <w:r>
              <w:t>）t/a</w:t>
            </w:r>
          </w:p>
        </w:tc>
        <w:tc>
          <w:tcPr>
            <w:tcW w:w="905" w:type="pct"/>
            <w:gridSpan w:val="5"/>
            <w:tcBorders>
              <w:top w:val="single" w:color="auto" w:sz="4" w:space="0"/>
              <w:left w:val="single" w:color="auto" w:sz="4" w:space="0"/>
              <w:bottom w:val="single" w:color="auto" w:sz="4" w:space="0"/>
              <w:right w:val="single" w:color="auto" w:sz="4" w:space="0"/>
            </w:tcBorders>
            <w:vAlign w:val="center"/>
          </w:tcPr>
          <w:p w14:paraId="0A6BB4C2">
            <w:pPr>
              <w:pStyle w:val="557"/>
            </w:pPr>
            <w:r>
              <w:t>SO</w:t>
            </w:r>
            <w:r>
              <w:rPr>
                <w:vertAlign w:val="subscript"/>
              </w:rPr>
              <w:t>2</w:t>
            </w:r>
            <w:r>
              <w:t>：</w:t>
            </w:r>
          </w:p>
          <w:p w14:paraId="610239FC">
            <w:pPr>
              <w:pStyle w:val="557"/>
            </w:pPr>
            <w:r>
              <w:t>（</w:t>
            </w:r>
            <w:r>
              <w:rPr>
                <w:rFonts w:hint="eastAsia"/>
              </w:rPr>
              <w:t>26.97</w:t>
            </w:r>
            <w:r>
              <w:t>）t/a</w:t>
            </w:r>
          </w:p>
        </w:tc>
        <w:tc>
          <w:tcPr>
            <w:tcW w:w="919" w:type="pct"/>
            <w:gridSpan w:val="4"/>
            <w:tcBorders>
              <w:top w:val="single" w:color="auto" w:sz="4" w:space="0"/>
              <w:left w:val="single" w:color="auto" w:sz="4" w:space="0"/>
              <w:bottom w:val="single" w:color="auto" w:sz="4" w:space="0"/>
              <w:right w:val="single" w:color="auto" w:sz="4" w:space="0"/>
            </w:tcBorders>
            <w:vAlign w:val="center"/>
          </w:tcPr>
          <w:p w14:paraId="2D776BA3">
            <w:pPr>
              <w:pStyle w:val="557"/>
            </w:pPr>
            <w:r>
              <w:rPr>
                <w:rFonts w:hint="eastAsia"/>
              </w:rPr>
              <w:t>甲醇</w:t>
            </w:r>
            <w:r>
              <w:t>：</w:t>
            </w:r>
          </w:p>
          <w:p w14:paraId="5969260D">
            <w:pPr>
              <w:pStyle w:val="557"/>
            </w:pPr>
            <w:r>
              <w:t>（</w:t>
            </w:r>
            <w:r>
              <w:rPr>
                <w:rFonts w:hint="eastAsia" w:eastAsia="等线"/>
              </w:rPr>
              <w:t>4.924</w:t>
            </w:r>
            <w:r>
              <w:t>）t/a</w:t>
            </w:r>
          </w:p>
        </w:tc>
      </w:tr>
      <w:tr w14:paraId="30DB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left w:val="single" w:color="auto" w:sz="4" w:space="0"/>
              <w:right w:val="single" w:color="auto" w:sz="4" w:space="0"/>
            </w:tcBorders>
            <w:vAlign w:val="center"/>
          </w:tcPr>
          <w:p w14:paraId="54EDC3DD">
            <w:pPr>
              <w:pStyle w:val="557"/>
            </w:pPr>
          </w:p>
        </w:tc>
        <w:tc>
          <w:tcPr>
            <w:tcW w:w="880" w:type="pct"/>
            <w:vMerge w:val="continue"/>
            <w:tcBorders>
              <w:left w:val="single" w:color="auto" w:sz="4" w:space="0"/>
              <w:right w:val="single" w:color="auto" w:sz="4" w:space="0"/>
            </w:tcBorders>
            <w:vAlign w:val="center"/>
          </w:tcPr>
          <w:p w14:paraId="407FE9E0">
            <w:pPr>
              <w:pStyle w:val="557"/>
            </w:pPr>
          </w:p>
        </w:tc>
        <w:tc>
          <w:tcPr>
            <w:tcW w:w="958" w:type="pct"/>
            <w:gridSpan w:val="6"/>
            <w:tcBorders>
              <w:top w:val="single" w:color="auto" w:sz="4" w:space="0"/>
              <w:left w:val="single" w:color="auto" w:sz="4" w:space="0"/>
              <w:bottom w:val="single" w:color="auto" w:sz="4" w:space="0"/>
              <w:right w:val="single" w:color="auto" w:sz="4" w:space="0"/>
            </w:tcBorders>
            <w:vAlign w:val="center"/>
          </w:tcPr>
          <w:p w14:paraId="063C0222">
            <w:pPr>
              <w:pStyle w:val="557"/>
            </w:pPr>
            <w:r>
              <w:t>颗粒物：</w:t>
            </w:r>
          </w:p>
          <w:p w14:paraId="472A77F7">
            <w:pPr>
              <w:pStyle w:val="557"/>
            </w:pPr>
            <w:r>
              <w:t>（</w:t>
            </w:r>
            <w:r>
              <w:rPr>
                <w:rFonts w:hint="eastAsia" w:eastAsia="等线"/>
                <w:color w:val="000000"/>
              </w:rPr>
              <w:t>125.99</w:t>
            </w:r>
            <w:r>
              <w:t>）t/a</w:t>
            </w:r>
          </w:p>
        </w:tc>
        <w:tc>
          <w:tcPr>
            <w:tcW w:w="928" w:type="pct"/>
            <w:gridSpan w:val="5"/>
            <w:tcBorders>
              <w:top w:val="single" w:color="auto" w:sz="4" w:space="0"/>
              <w:left w:val="single" w:color="auto" w:sz="4" w:space="0"/>
              <w:bottom w:val="single" w:color="auto" w:sz="4" w:space="0"/>
              <w:right w:val="single" w:color="auto" w:sz="4" w:space="0"/>
            </w:tcBorders>
            <w:vAlign w:val="center"/>
          </w:tcPr>
          <w:p w14:paraId="43491F9D">
            <w:pPr>
              <w:pStyle w:val="557"/>
            </w:pPr>
            <w:r>
              <w:rPr>
                <w:rFonts w:hint="eastAsia"/>
              </w:rPr>
              <w:t>硫酸雾：</w:t>
            </w:r>
          </w:p>
          <w:p w14:paraId="674E9E8D">
            <w:pPr>
              <w:pStyle w:val="557"/>
            </w:pPr>
            <w:r>
              <w:rPr>
                <w:rFonts w:hint="eastAsia"/>
              </w:rPr>
              <w:t>（2.3）</w:t>
            </w:r>
            <w:r>
              <w:t>t/a</w:t>
            </w:r>
          </w:p>
        </w:tc>
        <w:tc>
          <w:tcPr>
            <w:tcW w:w="905" w:type="pct"/>
            <w:gridSpan w:val="5"/>
            <w:tcBorders>
              <w:top w:val="single" w:color="auto" w:sz="4" w:space="0"/>
              <w:left w:val="single" w:color="auto" w:sz="4" w:space="0"/>
              <w:bottom w:val="single" w:color="auto" w:sz="4" w:space="0"/>
              <w:right w:val="single" w:color="auto" w:sz="4" w:space="0"/>
            </w:tcBorders>
            <w:vAlign w:val="center"/>
          </w:tcPr>
          <w:p w14:paraId="4E25833A">
            <w:pPr>
              <w:pStyle w:val="557"/>
            </w:pPr>
            <w:r>
              <w:t>VOC</w:t>
            </w:r>
            <w:r>
              <w:rPr>
                <w:vertAlign w:val="subscript"/>
              </w:rPr>
              <w:t>S</w:t>
            </w:r>
            <w:r>
              <w:t>：（</w:t>
            </w:r>
            <w:r>
              <w:rPr>
                <w:rFonts w:hint="eastAsia"/>
              </w:rPr>
              <w:t>63.461）</w:t>
            </w:r>
            <w:r>
              <w:t>t/a</w:t>
            </w:r>
          </w:p>
        </w:tc>
        <w:tc>
          <w:tcPr>
            <w:tcW w:w="919" w:type="pct"/>
            <w:gridSpan w:val="4"/>
            <w:tcBorders>
              <w:top w:val="single" w:color="auto" w:sz="4" w:space="0"/>
              <w:left w:val="single" w:color="auto" w:sz="4" w:space="0"/>
              <w:bottom w:val="single" w:color="auto" w:sz="4" w:space="0"/>
              <w:right w:val="single" w:color="auto" w:sz="4" w:space="0"/>
            </w:tcBorders>
            <w:vAlign w:val="center"/>
          </w:tcPr>
          <w:p w14:paraId="10283984">
            <w:pPr>
              <w:pStyle w:val="557"/>
            </w:pPr>
            <w:r>
              <w:rPr>
                <w:rFonts w:hint="eastAsia"/>
              </w:rPr>
              <w:t>H</w:t>
            </w:r>
            <w:r>
              <w:rPr>
                <w:vertAlign w:val="subscript"/>
              </w:rPr>
              <w:t>2</w:t>
            </w:r>
            <w:r>
              <w:t>S：</w:t>
            </w:r>
          </w:p>
          <w:p w14:paraId="72333093">
            <w:pPr>
              <w:pStyle w:val="557"/>
              <w:rPr>
                <w:highlight w:val="yellow"/>
              </w:rPr>
            </w:pPr>
            <w:r>
              <w:t>（</w:t>
            </w:r>
            <w:r>
              <w:rPr>
                <w:rFonts w:hint="eastAsia" w:eastAsia="等线"/>
              </w:rPr>
              <w:t>1.288</w:t>
            </w:r>
            <w:r>
              <w:t>）t/a</w:t>
            </w:r>
          </w:p>
        </w:tc>
      </w:tr>
      <w:tr w14:paraId="2845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22"/>
            <w:tcBorders>
              <w:top w:val="single" w:color="auto" w:sz="4" w:space="0"/>
              <w:left w:val="single" w:color="auto" w:sz="4" w:space="0"/>
              <w:bottom w:val="single" w:color="auto" w:sz="4" w:space="0"/>
              <w:right w:val="single" w:color="auto" w:sz="4" w:space="0"/>
            </w:tcBorders>
            <w:vAlign w:val="center"/>
          </w:tcPr>
          <w:p w14:paraId="6F659D05">
            <w:pPr>
              <w:pStyle w:val="557"/>
            </w:pPr>
            <w:r>
              <w:t>注：“</w:t>
            </w:r>
            <w:r>
              <w:rPr/>
              <w:sym w:font="Wingdings 2" w:char="00A3"/>
            </w:r>
            <w:r>
              <w:t>”为勾选项，填“√”；“（）”为内容填写项</w:t>
            </w:r>
          </w:p>
        </w:tc>
      </w:tr>
    </w:tbl>
    <w:p w14:paraId="169CC965">
      <w:pPr>
        <w:pStyle w:val="557"/>
      </w:pPr>
    </w:p>
    <w:p w14:paraId="17E6D866">
      <w:pPr>
        <w:numPr>
          <w:ilvl w:val="1"/>
          <w:numId w:val="1"/>
        </w:numPr>
        <w:overflowPunct w:val="0"/>
        <w:autoSpaceDE w:val="0"/>
        <w:autoSpaceDN w:val="0"/>
        <w:spacing w:line="360" w:lineRule="auto"/>
        <w:ind w:left="0"/>
        <w:textAlignment w:val="baseline"/>
        <w:outlineLvl w:val="1"/>
        <w:rPr>
          <w:rFonts w:hint="eastAsia" w:eastAsia="黑体"/>
          <w:b/>
          <w:bCs/>
          <w:sz w:val="30"/>
          <w:szCs w:val="30"/>
        </w:rPr>
      </w:pPr>
      <w:bookmarkStart w:id="304" w:name="_Toc25099"/>
      <w:bookmarkStart w:id="305" w:name="_Toc194592890"/>
      <w:r>
        <w:rPr>
          <w:rFonts w:eastAsia="黑体"/>
          <w:b/>
          <w:bCs/>
          <w:sz w:val="30"/>
          <w:szCs w:val="30"/>
        </w:rPr>
        <w:t>运营期地下水环境影响预测与评价</w:t>
      </w:r>
      <w:bookmarkEnd w:id="304"/>
      <w:bookmarkEnd w:id="305"/>
    </w:p>
    <w:p w14:paraId="0E087715">
      <w:pPr>
        <w:numPr>
          <w:ilvl w:val="2"/>
          <w:numId w:val="1"/>
        </w:numPr>
        <w:spacing w:line="360" w:lineRule="auto"/>
        <w:ind w:left="0"/>
        <w:outlineLvl w:val="2"/>
        <w:rPr>
          <w:rFonts w:hint="eastAsia" w:ascii="黑体" w:hAnsi="黑体" w:eastAsia="黑体"/>
          <w:b/>
          <w:sz w:val="28"/>
        </w:rPr>
      </w:pPr>
      <w:bookmarkStart w:id="306" w:name="_Hlk150244144"/>
      <w:r>
        <w:rPr>
          <w:rFonts w:ascii="黑体" w:hAnsi="黑体" w:eastAsia="黑体"/>
          <w:b/>
          <w:sz w:val="28"/>
        </w:rPr>
        <w:t>区域</w:t>
      </w:r>
      <w:r>
        <w:rPr>
          <w:rFonts w:hint="eastAsia" w:ascii="黑体" w:hAnsi="黑体" w:eastAsia="黑体"/>
          <w:b/>
          <w:sz w:val="28"/>
        </w:rPr>
        <w:t>地质与水文</w:t>
      </w:r>
      <w:r>
        <w:rPr>
          <w:rFonts w:ascii="黑体" w:hAnsi="黑体" w:eastAsia="黑体"/>
          <w:b/>
          <w:sz w:val="28"/>
        </w:rPr>
        <w:t>地质条件</w:t>
      </w:r>
    </w:p>
    <w:p w14:paraId="75CD12AE">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区域地质</w:t>
      </w:r>
    </w:p>
    <w:p w14:paraId="575283F0">
      <w:pPr>
        <w:overflowPunct w:val="0"/>
        <w:spacing w:line="360" w:lineRule="auto"/>
        <w:ind w:firstLine="480" w:firstLineChars="200"/>
        <w:rPr>
          <w:rFonts w:ascii="Times New Roman" w:hAnsi="Times New Roman"/>
          <w:szCs w:val="21"/>
        </w:rPr>
      </w:pPr>
      <w:r>
        <w:rPr>
          <w:rFonts w:ascii="Times New Roman" w:hAnsi="Times New Roman"/>
          <w:szCs w:val="21"/>
        </w:rPr>
        <w:t>哈密地区地层发育齐全，从太古宇至第四系都有出露，其中古生界分布最广，构成本区地层的主体。晚石炭世之前，区内经历了大陆形成、裂解、板块活动等阶段，沉积类型基本为海相沉积；晚石炭世-早二叠世，为陆内裂谷阶晚石炭世-早二叠世，为陆内裂谷阶段，沉积类型比较复杂，有边缘海盆及残余海槽环境形成的海相沉积，也有部分陆相沉积；中生代之后，本区主要为板内陆相沉积。</w:t>
      </w:r>
    </w:p>
    <w:p w14:paraId="139C693A">
      <w:pPr>
        <w:overflowPunct w:val="0"/>
        <w:spacing w:line="360" w:lineRule="auto"/>
        <w:ind w:firstLine="480" w:firstLineChars="200"/>
        <w:rPr>
          <w:rFonts w:ascii="Times New Roman" w:hAnsi="Times New Roman"/>
          <w:szCs w:val="21"/>
        </w:rPr>
      </w:pPr>
      <w:r>
        <w:rPr>
          <w:rFonts w:ascii="Times New Roman" w:hAnsi="Times New Roman"/>
          <w:szCs w:val="21"/>
        </w:rPr>
        <w:t xml:space="preserve">（一）太古宇 </w:t>
      </w:r>
    </w:p>
    <w:p w14:paraId="727DA425">
      <w:pPr>
        <w:overflowPunct w:val="0"/>
        <w:spacing w:line="360" w:lineRule="auto"/>
        <w:ind w:firstLine="480" w:firstLineChars="200"/>
        <w:rPr>
          <w:rFonts w:ascii="Times New Roman" w:hAnsi="Times New Roman"/>
          <w:szCs w:val="21"/>
        </w:rPr>
      </w:pPr>
      <w:r>
        <w:rPr>
          <w:rFonts w:ascii="Times New Roman" w:hAnsi="Times New Roman"/>
          <w:szCs w:val="21"/>
        </w:rPr>
        <w:t>本区已知的太古宇，主要分布于东天山星星峡地区、库鲁克塔格的辛格尔及其以南地区，库鲁克塔格的太古宇称为托格拉克布拉克杂岩，以钠长片麻岩、变质碎屑岩、花岗质岩和混合岩类组成。研究表明，它实际上为太古宙表壳岩系的残留体，时代可能属晚太古宙。</w:t>
      </w:r>
    </w:p>
    <w:p w14:paraId="590F039F">
      <w:pPr>
        <w:overflowPunct w:val="0"/>
        <w:spacing w:line="360" w:lineRule="auto"/>
        <w:ind w:firstLine="480" w:firstLineChars="200"/>
        <w:rPr>
          <w:rFonts w:ascii="Times New Roman" w:hAnsi="Times New Roman"/>
          <w:szCs w:val="21"/>
        </w:rPr>
      </w:pPr>
      <w:r>
        <w:rPr>
          <w:rFonts w:ascii="Times New Roman" w:hAnsi="Times New Roman"/>
          <w:szCs w:val="21"/>
        </w:rPr>
        <w:t xml:space="preserve">（二）元古宇 </w:t>
      </w:r>
    </w:p>
    <w:p w14:paraId="300ABF0F">
      <w:pPr>
        <w:overflowPunct w:val="0"/>
        <w:spacing w:line="360" w:lineRule="auto"/>
        <w:ind w:firstLine="480" w:firstLineChars="200"/>
        <w:rPr>
          <w:rFonts w:ascii="Times New Roman" w:hAnsi="Times New Roman"/>
          <w:szCs w:val="21"/>
        </w:rPr>
      </w:pPr>
      <w:r>
        <w:rPr>
          <w:rFonts w:ascii="Times New Roman" w:hAnsi="Times New Roman"/>
          <w:szCs w:val="21"/>
        </w:rPr>
        <w:t xml:space="preserve">元古宇构成天山陆壳基底的主体，在整个天山地区都有分布。 </w:t>
      </w:r>
    </w:p>
    <w:p w14:paraId="27506330">
      <w:pPr>
        <w:overflowPunct w:val="0"/>
        <w:spacing w:line="360" w:lineRule="auto"/>
        <w:ind w:firstLine="48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古元古界</w:t>
      </w:r>
    </w:p>
    <w:p w14:paraId="51F9FFE1">
      <w:pPr>
        <w:overflowPunct w:val="0"/>
        <w:spacing w:line="360" w:lineRule="auto"/>
        <w:ind w:firstLine="480" w:firstLineChars="200"/>
        <w:rPr>
          <w:rFonts w:ascii="Times New Roman" w:hAnsi="Times New Roman"/>
          <w:szCs w:val="21"/>
        </w:rPr>
      </w:pPr>
      <w:r>
        <w:rPr>
          <w:rFonts w:ascii="Times New Roman" w:hAnsi="Times New Roman"/>
          <w:szCs w:val="21"/>
        </w:rPr>
        <w:t>出露于库鲁克塔格地区，称兴地塔格群，主要为一套由绿片岩相-角闪岩相斜长角闪岩、片岩和千枚岩、混合岩、片麻岩组成的变质地层。</w:t>
      </w:r>
    </w:p>
    <w:p w14:paraId="7EDA339A">
      <w:pPr>
        <w:overflowPunct w:val="0"/>
        <w:spacing w:line="360" w:lineRule="auto"/>
        <w:ind w:firstLine="48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中元古界</w:t>
      </w:r>
    </w:p>
    <w:p w14:paraId="13FA851F">
      <w:pPr>
        <w:overflowPunct w:val="0"/>
        <w:spacing w:line="360" w:lineRule="auto"/>
        <w:ind w:firstLine="480" w:firstLineChars="200"/>
        <w:rPr>
          <w:rFonts w:ascii="Times New Roman" w:hAnsi="Times New Roman"/>
          <w:szCs w:val="21"/>
        </w:rPr>
      </w:pPr>
      <w:r>
        <w:rPr>
          <w:rFonts w:ascii="Times New Roman" w:hAnsi="Times New Roman"/>
          <w:szCs w:val="21"/>
        </w:rPr>
        <w:t>长城系：主要为一套绿片岩相-低角闪岩相绿片岩、片岩、板岩、千枚岩、碳酸盐岩、夹基性-中酸性火山岩和少量硅质岩组成，分布于星星峡、库鲁克塔格等地，分别称为星星峡群、杨吉布拉克群。</w:t>
      </w:r>
    </w:p>
    <w:p w14:paraId="0CD1B894">
      <w:pPr>
        <w:overflowPunct w:val="0"/>
        <w:spacing w:line="360" w:lineRule="auto"/>
        <w:ind w:firstLine="480" w:firstLineChars="200"/>
        <w:rPr>
          <w:rFonts w:ascii="Times New Roman" w:hAnsi="Times New Roman"/>
          <w:szCs w:val="21"/>
        </w:rPr>
      </w:pPr>
      <w:r>
        <w:rPr>
          <w:rFonts w:ascii="Times New Roman" w:hAnsi="Times New Roman"/>
          <w:szCs w:val="21"/>
        </w:rPr>
        <w:t>蓟县系：分布于东天山卡瓦布拉克-星星峡、库鲁克塔格等地区，分别称卡瓦布拉克群和爱尔基干群，由一套岩性相对单一的浅变质碳酸盐岩-碎屑岩组成。</w:t>
      </w:r>
    </w:p>
    <w:p w14:paraId="64A2AFB9">
      <w:pPr>
        <w:overflowPunct w:val="0"/>
        <w:spacing w:line="360" w:lineRule="auto"/>
        <w:ind w:firstLine="480" w:firstLineChars="200"/>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新元古界 青白口系：出露在东天山尾亚以南、北山、库鲁克塔格等地，分别称为天湖群、白玉山群、帕尔岗塔格群，为一套浅变质碳酸盐岩-碎屑岩建造。</w:t>
      </w:r>
    </w:p>
    <w:p w14:paraId="503C419E">
      <w:pPr>
        <w:overflowPunct w:val="0"/>
        <w:spacing w:line="360" w:lineRule="auto"/>
        <w:ind w:firstLine="480" w:firstLineChars="200"/>
        <w:rPr>
          <w:rFonts w:ascii="Times New Roman" w:hAnsi="Times New Roman"/>
          <w:szCs w:val="21"/>
        </w:rPr>
      </w:pPr>
      <w:r>
        <w:rPr>
          <w:rFonts w:ascii="Times New Roman" w:hAnsi="Times New Roman"/>
          <w:szCs w:val="21"/>
        </w:rPr>
        <w:t xml:space="preserve">震旦系：主要出露于库鲁克塔格等地，主要为滨海-浅海相及陆相碎屑岩、碳酸盐岩、冰碛岩及火山岩，构成前寒武纪基底的第一套盖层，主要以角度不整合覆于长城系、青白口系之上。其中库鲁克塔格出露比较完整，下统划分为贝义西组、照壁山组、阿勒通沟组、特瑞爱肯组，上统划分为扎摩克提组、育肯沟组、水泉组、汗格尔乔克组；震旦系以冰碛岩发育为其主要特征，研究表明，早震旦世可划分出两个冰期和一个间冰期。 </w:t>
      </w:r>
    </w:p>
    <w:p w14:paraId="32AE3C71">
      <w:pPr>
        <w:overflowPunct w:val="0"/>
        <w:spacing w:line="360" w:lineRule="auto"/>
        <w:ind w:firstLine="480" w:firstLineChars="200"/>
        <w:rPr>
          <w:rFonts w:ascii="Times New Roman" w:hAnsi="Times New Roman"/>
          <w:szCs w:val="21"/>
        </w:rPr>
      </w:pPr>
      <w:r>
        <w:rPr>
          <w:rFonts w:ascii="Times New Roman" w:hAnsi="Times New Roman"/>
          <w:szCs w:val="21"/>
        </w:rPr>
        <w:t xml:space="preserve">（三）古生界 </w:t>
      </w:r>
    </w:p>
    <w:p w14:paraId="6151800F">
      <w:pPr>
        <w:overflowPunct w:val="0"/>
        <w:spacing w:line="360" w:lineRule="auto"/>
        <w:ind w:firstLine="48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寒武系</w:t>
      </w:r>
    </w:p>
    <w:p w14:paraId="0EAAA475">
      <w:pPr>
        <w:overflowPunct w:val="0"/>
        <w:spacing w:line="360" w:lineRule="auto"/>
        <w:ind w:firstLine="480" w:firstLineChars="200"/>
        <w:rPr>
          <w:rFonts w:ascii="Times New Roman" w:hAnsi="Times New Roman"/>
          <w:szCs w:val="21"/>
        </w:rPr>
      </w:pPr>
      <w:r>
        <w:rPr>
          <w:rFonts w:ascii="Times New Roman" w:hAnsi="Times New Roman"/>
          <w:szCs w:val="21"/>
        </w:rPr>
        <w:t>分布于东天山卡瓦布拉克、库鲁克塔格分布于东天山卡瓦布拉克、库鲁克塔格、北山等地，主要为一套浅海陆棚相-台地相碳酸盐岩、碎屑岩、硅质岩沉积，其中以库鲁克塔格等地出露最为完整。下寒武统划分为西山布拉克组和西大山组，中寒武统称为莫合尔山组，上寒武统称为突尔沙克塔格群，主要为一套深水陆棚相细碎屑岩-碳酸盐岩-硅质岩沉积，底部夹有火山岩并具含磷层。</w:t>
      </w:r>
    </w:p>
    <w:p w14:paraId="4373CA49">
      <w:pPr>
        <w:overflowPunct w:val="0"/>
        <w:spacing w:line="360" w:lineRule="auto"/>
        <w:ind w:firstLine="48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奥陶系</w:t>
      </w:r>
    </w:p>
    <w:p w14:paraId="4C242BAF">
      <w:pPr>
        <w:overflowPunct w:val="0"/>
        <w:spacing w:line="360" w:lineRule="auto"/>
        <w:ind w:firstLine="480" w:firstLineChars="200"/>
        <w:rPr>
          <w:rFonts w:ascii="Times New Roman" w:hAnsi="Times New Roman"/>
          <w:szCs w:val="21"/>
        </w:rPr>
      </w:pPr>
      <w:r>
        <w:rPr>
          <w:rFonts w:ascii="Times New Roman" w:hAnsi="Times New Roman"/>
          <w:szCs w:val="21"/>
        </w:rPr>
        <w:t>分布范围较小，出露于东准噶尔、库鲁克塔格、北山等地，东准噶尔主要分布在北天山古生代活动大陆边缘地段的麦钦乌拉山南坡、哈尔里克山北坡一带。活动大陆边缘地段的麦钦乌拉山南坡、哈尔里克山北坡一带。奥陶系中上统荒草坡群，为硅质火山岩建造，特点是地层分布零星，多呈残块产出，岩石由浅变质碎屑岩、中酸性火山岩及火山碎屑岩组成，含丰富化石。</w:t>
      </w:r>
    </w:p>
    <w:p w14:paraId="22ACB842">
      <w:pPr>
        <w:overflowPunct w:val="0"/>
        <w:spacing w:line="360" w:lineRule="auto"/>
        <w:ind w:firstLine="480" w:firstLineChars="200"/>
        <w:rPr>
          <w:rFonts w:ascii="Times New Roman" w:hAnsi="Times New Roman"/>
          <w:szCs w:val="21"/>
        </w:rPr>
      </w:pPr>
      <w:r>
        <w:rPr>
          <w:rFonts w:ascii="Times New Roman" w:hAnsi="Times New Roman"/>
          <w:szCs w:val="21"/>
        </w:rPr>
        <w:t>库鲁克塔格等地出露最为完整。主要为碳酸岩台地沉积，沉积特征与柯坪地区相似；在中天山可可乃克地区下中奥陶统称为可可乃克群，为一套细碧-角斑岩及杂砂岩建造；库米什南中上奥陶统称硫磺山群，为半深海槽盆相碎屑岩及碳酸岩沉积。</w:t>
      </w:r>
    </w:p>
    <w:p w14:paraId="57259417">
      <w:pPr>
        <w:overflowPunct w:val="0"/>
        <w:spacing w:line="360" w:lineRule="auto"/>
        <w:ind w:firstLine="480" w:firstLineChars="200"/>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志留系</w:t>
      </w:r>
    </w:p>
    <w:p w14:paraId="57AF2792">
      <w:pPr>
        <w:overflowPunct w:val="0"/>
        <w:spacing w:line="360" w:lineRule="auto"/>
        <w:ind w:firstLine="480" w:firstLineChars="200"/>
        <w:rPr>
          <w:rFonts w:ascii="Times New Roman" w:hAnsi="Times New Roman"/>
          <w:szCs w:val="21"/>
        </w:rPr>
      </w:pPr>
      <w:r>
        <w:rPr>
          <w:rFonts w:ascii="Times New Roman" w:hAnsi="Times New Roman"/>
          <w:szCs w:val="21"/>
        </w:rPr>
        <w:t xml:space="preserve">志留系分布比较广泛，在东准噶尔、南北天山及塔里木盆地周缘都有分布，沉积建造类型多样，且厚度变化大。东准噶尔地区分布于红柳峡东侧的中志留统红柳峡组，主要岩性为石英长石砂岩、粉砂岩、钙质砂岩、砾岩及灰岩等，为一套稳定型滨海－浅海相陆源碎屑沉积，夹碳酸盐岩。本区志留系地层呈残块产出，根据化石和岩相建造分为两个岩性段，下部为含凝灰质岩屑碎屑砂岩，上部为中酸性火山岩、火山碎屑岩夹灰岩透镜体，属浅滨海相火山正常沉积碎屑建造；吐鲁番-鄯善以南下志留统为乌尊布拉克组、中-上志留统为牛心滩组，上志留-下泥盆统为阿尔皮什麦布拉克组。主要为一套碎屑岩-碳酸盐岩建造，常发生轻微变质；北山地区中-上志留统称为公婆泉群，为海相火山岩和碎屑岩沉积。 </w:t>
      </w:r>
    </w:p>
    <w:p w14:paraId="758DF77C">
      <w:pPr>
        <w:overflowPunct w:val="0"/>
        <w:spacing w:line="360" w:lineRule="auto"/>
        <w:ind w:firstLine="480" w:firstLineChars="200"/>
        <w:rPr>
          <w:rFonts w:ascii="Times New Roman" w:hAnsi="Times New Roman"/>
          <w:szCs w:val="21"/>
        </w:rPr>
      </w:pPr>
      <w:r>
        <w:rPr>
          <w:rFonts w:ascii="Times New Roman" w:hAnsi="Times New Roman"/>
          <w:szCs w:val="21"/>
        </w:rPr>
        <w:t>4</w:t>
      </w:r>
      <w:r>
        <w:rPr>
          <w:rFonts w:hint="eastAsia" w:ascii="Times New Roman" w:hAnsi="Times New Roman"/>
          <w:szCs w:val="21"/>
        </w:rPr>
        <w:t>）</w:t>
      </w:r>
      <w:r>
        <w:rPr>
          <w:rFonts w:ascii="Times New Roman" w:hAnsi="Times New Roman"/>
          <w:szCs w:val="21"/>
        </w:rPr>
        <w:t>泥盆系</w:t>
      </w:r>
    </w:p>
    <w:p w14:paraId="625C3C04">
      <w:pPr>
        <w:overflowPunct w:val="0"/>
        <w:spacing w:line="360" w:lineRule="auto"/>
        <w:ind w:firstLine="480" w:firstLineChars="200"/>
        <w:rPr>
          <w:rFonts w:ascii="Times New Roman" w:hAnsi="Times New Roman"/>
          <w:szCs w:val="21"/>
        </w:rPr>
      </w:pPr>
      <w:r>
        <w:rPr>
          <w:rFonts w:ascii="Times New Roman" w:hAnsi="Times New Roman"/>
          <w:szCs w:val="21"/>
        </w:rPr>
        <w:t>分布比较广泛，泥盆系主要分布于东准噶尔、东天山哈尔里克山及吐-哈盆地周缘地区。东准噶尔地区泥盆系下统的阿苏山组、卓木巴斯套组，分布在纸房及琼河坝一带，为一套绿色、紫灰色辉石安山玢岩、杏仁状玄武玢岩、晶屑岩屑凝灰岩、凝灰砾岩夹生物灰岩及钙质砂岩。大南湖组，分布于大加山红柳峡以南、巴里坤南山等地，为一套凝灰质砂岩、粉砂岩、砂砾岩、钙质砂砾岩、复矿质砂岩、砾岩夹安山玢岩、玄武玢岩、霏细岩及灰岩透镜体。泥盆系中统的乌鲁巴斯套组，分布比较零散，主要出露在哈甫提克山、考克赛尔盖山南等地，以浅海－滨海相碎屑岩为主，夹碳酸盐岩，岩性为粗砂岩、岩屑砂岩、层凝灰岩、凝灰质粉砂岩、凝灰质砂岩、千枚岩化凝灰粉砂质泥岩、细砂岩，夹灰岩透镜体。泥盆系中统的纸房组，分布于考克赛尔盖山南，为一套薄至厚层状粗砂岩、含砾粗砂岩夹砾岩及灰岩团块。泥盆系中统的头苏泉组（D2砂岩、含砾粗砂岩夹砾岩及灰岩团块。泥盆系中统的头苏泉组（D2ts2ts）主要分布在大加山、红柳峡以南加曼苏一带，其岩性为一套砂岩、粉砂岩、硅质板岩、千枚岩、安山玢岩、英安岩、流纹岩、凝灰岩夹灰岩透镜体。泥盆系上统的卡希翁组，分布于大哈甫提克山、考克赛尔盖山等地，为一套凝灰砂岩、层凝灰岩、细砂岩、粉砂岩、泥岩夹灰岩透镜体及玄武安山玢岩等。东天山地区下泥盆统为大南湖组，主要为一套中基性火山岩及火山碎屑岩建造；中泥盆称头苏泉组，以中酸性、基性火山岩、火山碎屑岩为主。</w:t>
      </w:r>
    </w:p>
    <w:p w14:paraId="07775BEB">
      <w:pPr>
        <w:overflowPunct w:val="0"/>
        <w:spacing w:line="360" w:lineRule="auto"/>
        <w:ind w:firstLine="480" w:firstLineChars="200"/>
        <w:rPr>
          <w:rFonts w:ascii="Times New Roman" w:hAnsi="Times New Roman"/>
          <w:szCs w:val="21"/>
        </w:rPr>
      </w:pPr>
      <w:r>
        <w:rPr>
          <w:rFonts w:ascii="Times New Roman" w:hAnsi="Times New Roman"/>
          <w:szCs w:val="21"/>
        </w:rPr>
        <w:t>5</w:t>
      </w:r>
      <w:r>
        <w:rPr>
          <w:rFonts w:hint="eastAsia" w:ascii="Times New Roman" w:hAnsi="Times New Roman"/>
          <w:szCs w:val="21"/>
        </w:rPr>
        <w:t>）</w:t>
      </w:r>
      <w:r>
        <w:rPr>
          <w:rFonts w:ascii="Times New Roman" w:hAnsi="Times New Roman"/>
          <w:szCs w:val="21"/>
        </w:rPr>
        <w:t xml:space="preserve">石炭系 </w:t>
      </w:r>
    </w:p>
    <w:p w14:paraId="090E0085">
      <w:pPr>
        <w:overflowPunct w:val="0"/>
        <w:spacing w:line="360" w:lineRule="auto"/>
        <w:ind w:firstLine="480" w:firstLineChars="200"/>
        <w:rPr>
          <w:rFonts w:ascii="Times New Roman" w:hAnsi="Times New Roman"/>
          <w:szCs w:val="21"/>
        </w:rPr>
      </w:pPr>
      <w:r>
        <w:rPr>
          <w:rFonts w:ascii="Times New Roman" w:hAnsi="Times New Roman"/>
          <w:szCs w:val="21"/>
        </w:rPr>
        <w:t>石炭系是天山地区分布最为广泛的地层，在不同构造环境，形成完全不同的建造类型，岩相建造及厚度变化都非常大。造及厚度变化都非常大。总体来看，东准噶尔、北天山地区以活动型火山岩组合为主，南天山以稳定型碎屑岩-碳酸盐岩沉积为主。</w:t>
      </w:r>
    </w:p>
    <w:p w14:paraId="79369FFE">
      <w:pPr>
        <w:overflowPunct w:val="0"/>
        <w:spacing w:line="360" w:lineRule="auto"/>
        <w:ind w:firstLine="480" w:firstLineChars="200"/>
        <w:rPr>
          <w:rFonts w:ascii="Times New Roman" w:hAnsi="Times New Roman"/>
          <w:szCs w:val="21"/>
        </w:rPr>
      </w:pPr>
      <w:r>
        <w:rPr>
          <w:rFonts w:ascii="Times New Roman" w:hAnsi="Times New Roman"/>
          <w:szCs w:val="21"/>
        </w:rPr>
        <w:t>东准噶尔地区石炭系下统的东古鲁巴斯套组，分布不广，零星出露，主要分布于麦钦乌拉山北坡，以一套泥质砂岩为主，夹钙质砂岩、凝灰岩、晶屑岩屑凝灰岩、凝灰质砂岩等。石炭系下统的南明水组，南明水组，分布于考克赛尔盖山、麦钦乌拉山、三塘湖等地，主要为一套滨海浅海相正常碎屑岩、火山碎屑岩沉积，各地岩相、厚度变化极大，岩性为凝灰质砂岩、硬砂岩、凝灰岩、硅质板岩，夹</w:t>
      </w:r>
      <w:r>
        <w:rPr>
          <w:rFonts w:hint="eastAsia" w:ascii="Times New Roman" w:hAnsi="Times New Roman"/>
          <w:szCs w:val="21"/>
        </w:rPr>
        <w:t>凝灰质角砾岩</w:t>
      </w:r>
      <w:r>
        <w:rPr>
          <w:rFonts w:ascii="Times New Roman" w:hAnsi="Times New Roman"/>
          <w:szCs w:val="21"/>
        </w:rPr>
        <w:t>、钙质砂岩、长石砂岩、砂砾岩、砾岩及中酸性凝灰熔岩、熔岩角砾岩、安山岩、火山角砾岩等。石炭系下统的雅满苏组，分布于博格多地区红柳峡南、巴里坤湖以北等地区，为滨海相沉积。上部为凝灰质砾岩、细砂岩、粉砂岩、凝灰岩、层凝灰岩；下部为辉绿岩、玄武岩与凝灰质粉砂岩不均匀互层，夹凝灰质砂岩、凝灰岩、硅质岩、英安玢岩、砂岩、砾岩及灰岩等。石炭系下统的居里得能组，分布于博格多地区巴里坤北部等地，为一套陆相、海陆交互相砂岩、砾岩、粉砂岩等。石炭系中统的柳树沟组，分布于博格多地区巴里坤以北、红柳峡南等地，其岩性上部为厚层－块状火山角砾岩、层－块状火山角砾岩、集块岩、凝灰岩夹安山玢岩、英安玢岩；下部为层凝灰岩夹安山玢岩、霏细岩、玄武玢岩、硅质岩等。石炭系中统的祁家沟组，多与柳树沟组相伴而存，为浅海相沉积，岩性为灰岩、泥灰岩、泥质粉砂岩、砂砾岩，中下部为中酸性凝灰岩、火山角砾岩等。石炭系上统的奥尔吐组，零星分布于大石头一带，其岩性为粉砂岩、细砂岩、钙质粉砂岩、钙质砾岩、砂质灰岩、灰岩等。</w:t>
      </w:r>
    </w:p>
    <w:p w14:paraId="3FA4BD86">
      <w:pPr>
        <w:overflowPunct w:val="0"/>
        <w:spacing w:line="360" w:lineRule="auto"/>
        <w:ind w:firstLine="480" w:firstLineChars="200"/>
        <w:rPr>
          <w:rFonts w:ascii="Times New Roman" w:hAnsi="Times New Roman"/>
          <w:szCs w:val="21"/>
        </w:rPr>
      </w:pPr>
      <w:r>
        <w:rPr>
          <w:rFonts w:ascii="Times New Roman" w:hAnsi="Times New Roman"/>
          <w:szCs w:val="21"/>
        </w:rPr>
        <w:t>在东天山觉罗塔格一带，沉积类型非常复杂，其西段康古尔大断裂以北地区下石炭统称为小热泉子组，为一套中性火山岩、火山碎屑岩夹碎屑岩和碳酸盐岩；上石炭统划分为底格尔组和苏穆克组，主要为碎屑岩及火山碎屑岩。康古尔塔格大断裂以南地区下石炭统划分为雅满苏组、白鱼山组，前者为火山岩、火山碎屑岩、碎屑岩及碳酸盐组合，后者为碳酸盐及火山碎屑岩组合；上石炭统由于构造环境不同有两种建造类型，一是分布于秋格明塔什一带的蛇绿岩及复理石建造，由下至上划分为梧桐窝子组、干墩组、苦水组，二是在区内广泛分布的马头滩组中酸性火山岩-火山碎屑岩建造。在南天山依克孜塔克地区，下石炭统分为干草湖组，为一套碎屑岩-碳酸盐岩沉积。</w:t>
      </w:r>
    </w:p>
    <w:p w14:paraId="2E078709">
      <w:pPr>
        <w:overflowPunct w:val="0"/>
        <w:spacing w:line="360" w:lineRule="auto"/>
        <w:ind w:firstLine="480" w:firstLineChars="200"/>
        <w:rPr>
          <w:rFonts w:ascii="Times New Roman" w:hAnsi="Times New Roman"/>
          <w:szCs w:val="21"/>
        </w:rPr>
      </w:pPr>
      <w:r>
        <w:rPr>
          <w:rFonts w:ascii="Times New Roman" w:hAnsi="Times New Roman"/>
          <w:szCs w:val="21"/>
        </w:rPr>
        <w:t>6</w:t>
      </w:r>
      <w:r>
        <w:rPr>
          <w:rFonts w:hint="eastAsia" w:ascii="Times New Roman" w:hAnsi="Times New Roman"/>
          <w:szCs w:val="21"/>
        </w:rPr>
        <w:t>）</w:t>
      </w:r>
      <w:r>
        <w:rPr>
          <w:rFonts w:ascii="Times New Roman" w:hAnsi="Times New Roman"/>
          <w:szCs w:val="21"/>
        </w:rPr>
        <w:t>二叠系</w:t>
      </w:r>
    </w:p>
    <w:p w14:paraId="71D43770">
      <w:pPr>
        <w:overflowPunct w:val="0"/>
        <w:spacing w:line="360" w:lineRule="auto"/>
        <w:ind w:firstLine="480" w:firstLineChars="200"/>
        <w:rPr>
          <w:rFonts w:ascii="Times New Roman" w:hAnsi="Times New Roman"/>
          <w:szCs w:val="21"/>
        </w:rPr>
      </w:pPr>
      <w:r>
        <w:rPr>
          <w:rFonts w:ascii="Times New Roman" w:hAnsi="Times New Roman"/>
          <w:szCs w:val="21"/>
        </w:rPr>
        <w:t>二叠纪进入板内活动初期，哈密地区沉积特征差异较大，东准噶尔地区下二叠统卡拉岗组，零星分布于三塘湖山前坳陷西南边缘，岩性为流纹质凝灰岩、流纹斑岩、霏细斑岩夹中、酸性火山碎屑岩等。屑岩等。下二叠统阿其克拉克群，偶尔出露于大加山一带，岩性为杂色砾岩、砂砾岩、砂岩、玄武岩、霏细岩、流纹岩，夹少量泥岩及安山岩等。上二叠统乌拉泊组，主要分布在三塘湖及其以西一带。乌拉泊组为滨海相沉积，由长石砂岩、粉砂岩夹凝灰质砂岩、凝灰岩等组成。</w:t>
      </w:r>
    </w:p>
    <w:p w14:paraId="755FB55A">
      <w:pPr>
        <w:overflowPunct w:val="0"/>
        <w:spacing w:line="360" w:lineRule="auto"/>
        <w:ind w:firstLine="480" w:firstLineChars="200"/>
        <w:rPr>
          <w:rFonts w:ascii="Times New Roman" w:hAnsi="Times New Roman"/>
          <w:szCs w:val="21"/>
        </w:rPr>
      </w:pPr>
      <w:r>
        <w:rPr>
          <w:rFonts w:ascii="Times New Roman" w:hAnsi="Times New Roman"/>
          <w:szCs w:val="21"/>
        </w:rPr>
        <w:t>准噶尔盆地南缘乌鲁木齐及以东地区，以陆相沉积为主，局部夹有海相层，生物类型以安加拉区系植物群为主。下二叠统划分为下芨芨槽群、上芨芨槽子群，前者为一套滨海-海陆交互相细碎屑岩沉积，后者主要为河流-三角洲相碎屑岩沉积；上二叠统称为下仓房沟群，主要为一套湖相细碎屑岩沉积；在东天山东段及北山地区，下二叠统称为红柳河组和骆驼沟组，前者为一套火山岩及火山碎屑岩，后者为碎屑岩；上二叠统称为红柳峡群，为火山岩、火山碎屑岩、碎屑岩组合。东天山西段下二叠统为阿其克布拉克组、上二叠统为大热泉子组，为陆源碎屑岩夹碳酸盐岩沉积。</w:t>
      </w:r>
    </w:p>
    <w:p w14:paraId="73BD2CA9">
      <w:pPr>
        <w:overflowPunct w:val="0"/>
        <w:spacing w:line="360" w:lineRule="auto"/>
        <w:ind w:firstLine="480" w:firstLineChars="200"/>
        <w:rPr>
          <w:rFonts w:ascii="Times New Roman" w:hAnsi="Times New Roman"/>
          <w:szCs w:val="21"/>
        </w:rPr>
      </w:pPr>
      <w:r>
        <w:rPr>
          <w:rFonts w:ascii="Times New Roman" w:hAnsi="Times New Roman"/>
          <w:szCs w:val="21"/>
        </w:rPr>
        <w:t xml:space="preserve">（四）中生界 </w:t>
      </w:r>
    </w:p>
    <w:p w14:paraId="3B67500C">
      <w:pPr>
        <w:overflowPunct w:val="0"/>
        <w:spacing w:line="360" w:lineRule="auto"/>
        <w:ind w:firstLine="480" w:firstLineChars="200"/>
        <w:rPr>
          <w:rFonts w:ascii="Times New Roman" w:hAnsi="Times New Roman"/>
          <w:szCs w:val="21"/>
        </w:rPr>
      </w:pPr>
      <w:r>
        <w:rPr>
          <w:rFonts w:ascii="Times New Roman" w:hAnsi="Times New Roman"/>
          <w:szCs w:val="21"/>
        </w:rPr>
        <w:t>中生界以陆相沉积为主。三叠系陆相沉积主要分布于东准噶尔、准噶尔盆地南缘及吐-哈盆地、天山山前及山间盆地中。东准噶下三叠统上仓房沟群分布在小哈甫提山南麓一带，以紫、紫红色砾岩为主，砂质泥岩夹砂岩次之，属河流相及湖沼相沉积。与下伏上二叠统下仓房沟群呈整合（局部不整合）接触。准噶尔盆地南缘主要在乌鲁木齐-吉木萨尔地区地层发育最为齐全，下三叠统称为上仓房沟群、中-上三叠统称为小泉沟群，主要为河流-浅水湖相碎屑岩沉积；吐-哈盆地主要见于塔里木盆地北缘地区，地层划分为：下三叠统俄堆霍布拉克组、中三叠统街组、塔里奇克组，主要以河湖相碎屑岩为主，上部发育湖沼相细碎屑岩沉积。</w:t>
      </w:r>
    </w:p>
    <w:p w14:paraId="0576B18F">
      <w:pPr>
        <w:overflowPunct w:val="0"/>
        <w:spacing w:line="360" w:lineRule="auto"/>
        <w:ind w:firstLine="48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 xml:space="preserve">侏罗系 </w:t>
      </w:r>
    </w:p>
    <w:p w14:paraId="35865C38">
      <w:pPr>
        <w:overflowPunct w:val="0"/>
        <w:spacing w:line="360" w:lineRule="auto"/>
        <w:ind w:firstLine="480" w:firstLineChars="200"/>
        <w:rPr>
          <w:rFonts w:ascii="Times New Roman" w:hAnsi="Times New Roman"/>
          <w:szCs w:val="21"/>
        </w:rPr>
      </w:pPr>
      <w:r>
        <w:rPr>
          <w:rFonts w:ascii="Times New Roman" w:hAnsi="Times New Roman"/>
          <w:szCs w:val="21"/>
        </w:rPr>
        <w:t>分布范围较三叠系明显扩大。在准噶尔盆地南缘，下侏罗统为八道湾组和三工河组，主要为河湖相、湖相、沼泽相碎屑岩夹煤层；中侏罗统为西山窑组和头屯河组，为一套湖泊-沼泽相碎屑岩，西山窑组是区内主要的含煤层；上侏罗统为齐古组和喀拉扎组，为湖泊相及河流相碎屑岩。在吐鲁番-哈密盆地，哈密盆地，侏罗纪沉积与准噶尔南缘相似，自下而上地层划分为：下侏罗统八道湾组和三工河组；中侏罗统西山窑组、三间房组、七克台组；上侏罗统齐古组、喀拉扎组。塔里木北缘的西南天山地区，下侏罗尕组，主要为湖相细碎屑岩沉积，夹有煤层；上侏罗统为齐古组、喀拉扎组和库孜贡苏组，主要为河流相粗碎屑沉积。</w:t>
      </w:r>
    </w:p>
    <w:p w14:paraId="7E8C9CB1">
      <w:pPr>
        <w:overflowPunct w:val="0"/>
        <w:spacing w:line="360" w:lineRule="auto"/>
        <w:ind w:firstLine="48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 xml:space="preserve">白垩系 </w:t>
      </w:r>
    </w:p>
    <w:p w14:paraId="73643606">
      <w:pPr>
        <w:overflowPunct w:val="0"/>
        <w:spacing w:line="360" w:lineRule="auto"/>
        <w:ind w:firstLine="480" w:firstLineChars="200"/>
        <w:rPr>
          <w:rFonts w:ascii="Times New Roman" w:hAnsi="Times New Roman"/>
          <w:szCs w:val="21"/>
        </w:rPr>
      </w:pPr>
      <w:r>
        <w:rPr>
          <w:rFonts w:ascii="Times New Roman" w:hAnsi="Times New Roman"/>
          <w:szCs w:val="21"/>
        </w:rPr>
        <w:t xml:space="preserve">在北天山-准噶尔南缘及南天山地区都为陆相沉积。北天山-准噶尔南缘下白垩统土古里克群主要为一套湖相细碎屑沉积，上白垩统在吐鲁番盆地称为苏巴什组和库穆塔克组，为山麓相-河流相-湖泊相碎屑岩组成，为过渡型沉积。南天山下白垩统为喀普斯浪群，由河湖相及山麓相碎屑岩组成；上白垩统恰克马克其组主要是山麓相及河流相粗碎屑沉积。 </w:t>
      </w:r>
    </w:p>
    <w:p w14:paraId="66796A9B">
      <w:pPr>
        <w:overflowPunct w:val="0"/>
        <w:spacing w:line="360" w:lineRule="auto"/>
        <w:ind w:firstLine="480" w:firstLineChars="200"/>
        <w:rPr>
          <w:rFonts w:ascii="Times New Roman" w:hAnsi="Times New Roman"/>
          <w:szCs w:val="21"/>
        </w:rPr>
      </w:pPr>
      <w:r>
        <w:rPr>
          <w:rFonts w:ascii="Times New Roman" w:hAnsi="Times New Roman"/>
          <w:szCs w:val="21"/>
        </w:rPr>
        <w:t>（五）新生界</w:t>
      </w:r>
    </w:p>
    <w:p w14:paraId="5AFBA1D6">
      <w:pPr>
        <w:overflowPunct w:val="0"/>
        <w:spacing w:line="360" w:lineRule="auto"/>
        <w:ind w:firstLine="480" w:firstLineChars="200"/>
        <w:rPr>
          <w:rFonts w:ascii="Times New Roman" w:hAnsi="Times New Roman"/>
          <w:szCs w:val="21"/>
        </w:rPr>
      </w:pPr>
      <w:r>
        <w:rPr>
          <w:rFonts w:ascii="Times New Roman" w:hAnsi="Times New Roman"/>
          <w:szCs w:val="21"/>
        </w:rPr>
        <w:t>哈密地区古近系-新近系发育齐全，主要分布于山间盆地及山前地区，准噶尔盆地南缘及吐鲁番盆地为陆相碎屑沉积，中新统以后为磨拉石沉积；塔里木盆地西部古近系为浅海相、海湾相、泻湖相碳酸盐岩和膏泥岩沉积，新近系下部过渡为海陆过渡相沉积，上部为陆相磨拉石堆积。</w:t>
      </w:r>
    </w:p>
    <w:p w14:paraId="027C6D4E">
      <w:pPr>
        <w:overflowPunct w:val="0"/>
        <w:spacing w:line="360" w:lineRule="auto"/>
        <w:ind w:firstLine="480" w:firstLineChars="200"/>
        <w:rPr>
          <w:rFonts w:ascii="Times New Roman" w:hAnsi="Times New Roman"/>
          <w:szCs w:val="21"/>
        </w:rPr>
      </w:pPr>
      <w:r>
        <w:rPr>
          <w:rFonts w:ascii="Times New Roman" w:hAnsi="Times New Roman"/>
          <w:szCs w:val="21"/>
        </w:rPr>
        <w:t>第四系广泛分布于哈密地区各盆地、河流两岸及山前地带等，沉积类型复杂，有冲洪积、残坡积、风积、湖积、化学沉积、冰积等各种成因类型。</w:t>
      </w:r>
    </w:p>
    <w:p w14:paraId="7A7A05A6">
      <w:pPr>
        <w:widowControl w:val="0"/>
        <w:autoSpaceDE w:val="0"/>
        <w:autoSpaceDN w:val="0"/>
        <w:adjustRightInd w:val="0"/>
        <w:jc w:val="center"/>
        <w:rPr>
          <w:rFonts w:ascii="Times New Roman" w:hAnsi="Times New Roman" w:cs="Times New Roman"/>
          <w:bCs/>
          <w:snapToGrid w:val="0"/>
          <w:sz w:val="18"/>
          <w:szCs w:val="18"/>
          <w:u w:color="000000"/>
        </w:rPr>
      </w:pPr>
    </w:p>
    <w:p w14:paraId="3637B9FA">
      <w:pPr>
        <w:spacing w:line="360" w:lineRule="auto"/>
        <w:jc w:val="center"/>
        <w:rPr>
          <w:rFonts w:hint="eastAsia" w:ascii="黑体" w:hAnsi="黑体" w:eastAsia="黑体"/>
          <w:b/>
        </w:rPr>
      </w:pPr>
      <w:r>
        <w:rPr>
          <w:rFonts w:ascii="黑体" w:hAnsi="黑体" w:eastAsia="黑体"/>
          <w:b/>
        </w:rPr>
        <w:t>图</w:t>
      </w:r>
      <w:r>
        <w:rPr>
          <w:rFonts w:hint="eastAsia" w:ascii="黑体" w:hAnsi="黑体" w:eastAsia="黑体"/>
          <w:b/>
        </w:rPr>
        <w:t>5.3.1-</w:t>
      </w:r>
      <w:r>
        <w:rPr>
          <w:rFonts w:ascii="黑体" w:hAnsi="黑体" w:eastAsia="黑体"/>
          <w:b/>
        </w:rPr>
        <w:t>1  区域地质图</w:t>
      </w:r>
    </w:p>
    <w:p w14:paraId="12E6825E">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区域水文地质</w:t>
      </w:r>
    </w:p>
    <w:p w14:paraId="3023FBC2">
      <w:pPr>
        <w:overflowPunct w:val="0"/>
        <w:spacing w:line="360" w:lineRule="auto"/>
        <w:ind w:firstLine="480" w:firstLineChars="200"/>
        <w:rPr>
          <w:rFonts w:ascii="Times New Roman" w:hAnsi="Times New Roman"/>
          <w:szCs w:val="21"/>
        </w:rPr>
      </w:pPr>
      <w:r>
        <w:rPr>
          <w:rFonts w:hint="eastAsia" w:ascii="Times New Roman" w:hAnsi="Times New Roman"/>
          <w:szCs w:val="21"/>
        </w:rPr>
        <w:t>石城子河、榆树沟、庙尔沟流域地下水资源主要分布于哈尔里克山山前冲洪积扇，根</w:t>
      </w:r>
      <w:r>
        <w:rPr>
          <w:rFonts w:ascii="Times New Roman" w:hAnsi="Times New Roman"/>
          <w:szCs w:val="21"/>
        </w:rPr>
        <w:t>据地质时代、岩性、沉积物成因类型，水力性质及其岩石的透水性，地下水类型主要为第四系松散岩类孔隙潜水，含水层岩性主要为砂砾石，厚度一般在30～6</w:t>
      </w:r>
      <w:r>
        <w:rPr>
          <w:rFonts w:hint="eastAsia" w:ascii="Times New Roman" w:hAnsi="Times New Roman"/>
          <w:szCs w:val="21"/>
        </w:rPr>
        <w:t>0</w:t>
      </w:r>
      <w:r>
        <w:rPr>
          <w:rFonts w:ascii="Times New Roman" w:hAnsi="Times New Roman"/>
          <w:szCs w:val="21"/>
        </w:rPr>
        <w:t>m，其中心位于边关墩沉降中心，第四系含水层厚度大于100m，具有较大的地下水储存空间，其第四系含水层富水性均大于3000m</w:t>
      </w:r>
      <w:r>
        <w:rPr>
          <w:rFonts w:ascii="Times New Roman" w:hAnsi="Times New Roman"/>
          <w:szCs w:val="21"/>
          <w:vertAlign w:val="superscript"/>
        </w:rPr>
        <w:t>3</w:t>
      </w:r>
      <w:r>
        <w:rPr>
          <w:rFonts w:ascii="Times New Roman" w:hAnsi="Times New Roman"/>
          <w:szCs w:val="21"/>
        </w:rPr>
        <w:t>/d；第三系碎屑岩类孔隙一裂隙承压水，含水层岩性为砂岩、砾岩</w:t>
      </w:r>
      <w:r>
        <w:rPr>
          <w:rFonts w:hint="eastAsia" w:ascii="Times New Roman" w:hAnsi="Times New Roman"/>
          <w:szCs w:val="21"/>
        </w:rPr>
        <w:t>，</w:t>
      </w:r>
      <w:r>
        <w:rPr>
          <w:rFonts w:ascii="Times New Roman" w:hAnsi="Times New Roman"/>
          <w:szCs w:val="21"/>
        </w:rPr>
        <w:t>含水层厚度30～6</w:t>
      </w:r>
      <w:r>
        <w:rPr>
          <w:rFonts w:hint="eastAsia" w:ascii="Times New Roman" w:hAnsi="Times New Roman"/>
          <w:szCs w:val="21"/>
        </w:rPr>
        <w:t>0</w:t>
      </w:r>
      <w:r>
        <w:rPr>
          <w:rFonts w:ascii="Times New Roman" w:hAnsi="Times New Roman"/>
          <w:szCs w:val="21"/>
        </w:rPr>
        <w:t>m</w:t>
      </w:r>
      <w:r>
        <w:rPr>
          <w:rFonts w:hint="eastAsia" w:ascii="Times New Roman" w:hAnsi="Times New Roman"/>
          <w:szCs w:val="21"/>
        </w:rPr>
        <w:t>，</w:t>
      </w:r>
      <w:r>
        <w:rPr>
          <w:rFonts w:ascii="Times New Roman" w:hAnsi="Times New Roman"/>
          <w:szCs w:val="21"/>
        </w:rPr>
        <w:t>富水性大于1000m</w:t>
      </w:r>
      <w:r>
        <w:rPr>
          <w:rFonts w:ascii="Times New Roman" w:hAnsi="Times New Roman"/>
          <w:szCs w:val="21"/>
          <w:vertAlign w:val="superscript"/>
        </w:rPr>
        <w:t>3</w:t>
      </w:r>
      <w:r>
        <w:rPr>
          <w:rFonts w:ascii="Times New Roman" w:hAnsi="Times New Roman"/>
          <w:szCs w:val="21"/>
        </w:rPr>
        <w:t>/d。</w:t>
      </w:r>
    </w:p>
    <w:p w14:paraId="6F7E1060">
      <w:pPr>
        <w:overflowPunct w:val="0"/>
        <w:spacing w:line="360" w:lineRule="auto"/>
        <w:ind w:firstLine="480" w:firstLineChars="200"/>
        <w:rPr>
          <w:rFonts w:ascii="Times New Roman" w:hAnsi="Times New Roman"/>
          <w:szCs w:val="21"/>
        </w:rPr>
      </w:pPr>
      <w:r>
        <w:rPr>
          <w:rFonts w:ascii="Times New Roman" w:hAnsi="Times New Roman"/>
          <w:szCs w:val="21"/>
        </w:rPr>
        <w:t>第四系潜水及第三系浅层承压水主要接受北部山区侧向流入，干渠入渗、河道潜流、河道洪流、面洪入渗、支、斗渠入渗、田渗补给、地下水回归入渗等补给；平原区第四系浅水及第三系浅层承压水</w:t>
      </w:r>
      <w:r>
        <w:rPr>
          <w:rFonts w:hint="eastAsia" w:ascii="Times New Roman" w:hAnsi="Times New Roman"/>
          <w:szCs w:val="21"/>
        </w:rPr>
        <w:t>，</w:t>
      </w:r>
      <w:r>
        <w:rPr>
          <w:rFonts w:ascii="Times New Roman" w:hAnsi="Times New Roman"/>
          <w:szCs w:val="21"/>
        </w:rPr>
        <w:t>在312国道以北的平原区中上部，含水层岩性为砂砾石、卵砾石、透水性极强，地下水循环交替强烈，地下水以平缓的坡度向下运移，水力坡度为5～8.5‰。兰新公路以南随含水层颗粒变细和细颗粒夹层透镜体的出现，粗颗粒的砾石层和砂砾石层趋于消失，透水性和富水性减弱，水循环交替滞缓，径流条件差，水力坡度较大，为6.9～8‰。越往南，颗粒越细，地下水径流条件越差，平均水力坡度为9‰左右，平原区地下水排泄主要为泉水溢出、蒸发、蒸腾、人工开采等。</w:t>
      </w:r>
    </w:p>
    <w:p w14:paraId="524716FA">
      <w:pPr>
        <w:overflowPunct w:val="0"/>
        <w:spacing w:line="360" w:lineRule="auto"/>
        <w:ind w:firstLine="480" w:firstLineChars="200"/>
        <w:rPr>
          <w:rFonts w:ascii="Times New Roman" w:hAnsi="Times New Roman"/>
          <w:szCs w:val="21"/>
        </w:rPr>
      </w:pPr>
      <w:r>
        <w:rPr>
          <w:rFonts w:ascii="Times New Roman" w:hAnsi="Times New Roman"/>
          <w:szCs w:val="21"/>
        </w:rPr>
        <w:t>平原区北部戈壁带第四系潜水水化学类型为HCO</w:t>
      </w:r>
      <w:r>
        <w:rPr>
          <w:rFonts w:ascii="Times New Roman" w:hAnsi="Times New Roman"/>
          <w:szCs w:val="21"/>
          <w:vertAlign w:val="subscript"/>
        </w:rPr>
        <w:t>3</w:t>
      </w:r>
      <w:r>
        <w:rPr>
          <w:rFonts w:ascii="Times New Roman" w:hAnsi="Times New Roman"/>
          <w:szCs w:val="21"/>
        </w:rPr>
        <w:t>—Ca·Na型，矿化度多小于0.3g/L</w:t>
      </w:r>
      <w:r>
        <w:rPr>
          <w:rFonts w:hint="eastAsia" w:ascii="Times New Roman" w:hAnsi="Times New Roman"/>
          <w:szCs w:val="21"/>
        </w:rPr>
        <w:t>，</w:t>
      </w:r>
      <w:r>
        <w:rPr>
          <w:rFonts w:ascii="Times New Roman" w:hAnsi="Times New Roman"/>
          <w:szCs w:val="21"/>
        </w:rPr>
        <w:t>总硬度300～45</w:t>
      </w:r>
      <w:r>
        <w:rPr>
          <w:rFonts w:hint="eastAsia" w:ascii="Times New Roman" w:hAnsi="Times New Roman"/>
          <w:szCs w:val="21"/>
        </w:rPr>
        <w:t>0</w:t>
      </w:r>
      <w:r>
        <w:rPr>
          <w:rFonts w:ascii="Times New Roman" w:hAnsi="Times New Roman"/>
          <w:szCs w:val="21"/>
        </w:rPr>
        <w:t xml:space="preserve">mg/L。 </w:t>
      </w:r>
    </w:p>
    <w:p w14:paraId="0C496870">
      <w:pPr>
        <w:overflowPunct w:val="0"/>
        <w:spacing w:line="360" w:lineRule="auto"/>
        <w:ind w:firstLine="480" w:firstLineChars="200"/>
        <w:rPr>
          <w:rFonts w:ascii="Times New Roman" w:hAnsi="Times New Roman"/>
          <w:szCs w:val="21"/>
        </w:rPr>
      </w:pPr>
      <w:r>
        <w:rPr>
          <w:rFonts w:ascii="Times New Roman" w:hAnsi="Times New Roman"/>
          <w:szCs w:val="21"/>
        </w:rPr>
        <w:t xml:space="preserve">平原区为第四系松散岩类潜水～承压水、下伏第三系碎屑岩类孔隙裂隙承压水，山区及残丘区为基岩裂隙水、第三系孔隙裂隙水。 </w:t>
      </w:r>
    </w:p>
    <w:p w14:paraId="77384E93">
      <w:pPr>
        <w:overflowPunct w:val="0"/>
        <w:spacing w:line="360" w:lineRule="auto"/>
        <w:ind w:firstLine="480" w:firstLineChars="200"/>
        <w:rPr>
          <w:rFonts w:ascii="Times New Roman" w:hAnsi="Times New Roman"/>
          <w:szCs w:val="21"/>
        </w:rPr>
      </w:pPr>
      <w:r>
        <w:rPr>
          <w:rFonts w:ascii="Times New Roman" w:hAnsi="Times New Roman"/>
          <w:szCs w:val="21"/>
        </w:rPr>
        <w:t>北部山前的冲洪积平原，自山前向细土平原区第四系岩性由卵砾石过渡为砂砾石与亚砂土、亚粘土层，厚度由300～40</w:t>
      </w:r>
      <w:r>
        <w:rPr>
          <w:rFonts w:hint="eastAsia" w:ascii="Times New Roman" w:hAnsi="Times New Roman"/>
          <w:szCs w:val="21"/>
        </w:rPr>
        <w:t>0</w:t>
      </w:r>
      <w:r>
        <w:rPr>
          <w:rFonts w:ascii="Times New Roman" w:hAnsi="Times New Roman"/>
          <w:szCs w:val="21"/>
        </w:rPr>
        <w:t>m，过渡到小于20m。地下水位由大于6</w:t>
      </w:r>
      <w:r>
        <w:rPr>
          <w:rFonts w:hint="eastAsia" w:ascii="Times New Roman" w:hAnsi="Times New Roman"/>
          <w:szCs w:val="21"/>
        </w:rPr>
        <w:t>0</w:t>
      </w:r>
      <w:r>
        <w:rPr>
          <w:rFonts w:ascii="Times New Roman" w:hAnsi="Times New Roman"/>
          <w:szCs w:val="21"/>
        </w:rPr>
        <w:t>m变至1～5m，个别地段自流。地下水富水性由单井涌水量5000～3000m</w:t>
      </w:r>
      <w:r>
        <w:rPr>
          <w:rFonts w:ascii="Times New Roman" w:hAnsi="Times New Roman"/>
          <w:szCs w:val="21"/>
          <w:vertAlign w:val="superscript"/>
        </w:rPr>
        <w:t>3</w:t>
      </w:r>
      <w:r>
        <w:rPr>
          <w:rFonts w:ascii="Times New Roman" w:hAnsi="Times New Roman"/>
          <w:szCs w:val="21"/>
        </w:rPr>
        <w:t>/d，过渡到1000～3000m</w:t>
      </w:r>
      <w:r>
        <w:rPr>
          <w:rFonts w:ascii="Times New Roman" w:hAnsi="Times New Roman"/>
          <w:szCs w:val="21"/>
          <w:vertAlign w:val="superscript"/>
        </w:rPr>
        <w:t>3</w:t>
      </w:r>
      <w:r>
        <w:rPr>
          <w:rFonts w:ascii="Times New Roman" w:hAnsi="Times New Roman"/>
          <w:szCs w:val="21"/>
        </w:rPr>
        <w:t>/d及小于100m</w:t>
      </w:r>
      <w:r>
        <w:rPr>
          <w:rFonts w:ascii="Times New Roman" w:hAnsi="Times New Roman"/>
          <w:szCs w:val="21"/>
          <w:vertAlign w:val="superscript"/>
        </w:rPr>
        <w:t>3</w:t>
      </w:r>
      <w:r>
        <w:rPr>
          <w:rFonts w:ascii="Times New Roman" w:hAnsi="Times New Roman"/>
          <w:szCs w:val="21"/>
        </w:rPr>
        <w:t>/d。水质由好变差</w:t>
      </w:r>
      <w:r>
        <w:rPr>
          <w:rFonts w:hint="eastAsia" w:ascii="Times New Roman" w:hAnsi="Times New Roman"/>
          <w:szCs w:val="21"/>
        </w:rPr>
        <w:t>，</w:t>
      </w:r>
      <w:r>
        <w:rPr>
          <w:rFonts w:ascii="Times New Roman" w:hAnsi="Times New Roman"/>
          <w:szCs w:val="21"/>
        </w:rPr>
        <w:t xml:space="preserve">矿化度由0.3g/L过渡为0.5～lg/L或大于3g/L。 </w:t>
      </w:r>
    </w:p>
    <w:p w14:paraId="462B5EF4">
      <w:pPr>
        <w:overflowPunct w:val="0"/>
        <w:spacing w:line="360" w:lineRule="auto"/>
        <w:ind w:firstLine="480" w:firstLineChars="200"/>
        <w:rPr>
          <w:rFonts w:ascii="Times New Roman" w:hAnsi="Times New Roman"/>
          <w:szCs w:val="21"/>
        </w:rPr>
      </w:pPr>
      <w:r>
        <w:rPr>
          <w:rFonts w:ascii="Times New Roman" w:hAnsi="Times New Roman"/>
          <w:szCs w:val="21"/>
        </w:rPr>
        <w:t>南部循环产业园地处哈尔里克山山脉南坡的冲洪积平原下游西河坝河床的西岸，为地下水的排泄区。该处地层岩性以细颗粒物质，含水层岩性为：第四系松散层厚度较薄，岩性以亚砂土，含砾亚砂土为主，含水性富水性较差，地下水径流速度缓慢，单井涌水量500-1000立方米/日，渗透系数5-20米/日。第三系含水层为泥钙质砂砾岩夹泥砂岩，含水层富水性差，单井涌水量小于500立方米/日，渗透系数5-10米/日，地下水化学类型为SO</w:t>
      </w:r>
      <w:r>
        <w:rPr>
          <w:rFonts w:ascii="Times New Roman" w:hAnsi="Times New Roman"/>
          <w:szCs w:val="21"/>
          <w:vertAlign w:val="subscript"/>
        </w:rPr>
        <w:t>4</w:t>
      </w:r>
      <w:r>
        <w:rPr>
          <w:rFonts w:ascii="Times New Roman" w:hAnsi="Times New Roman"/>
          <w:szCs w:val="21"/>
        </w:rPr>
        <w:t>-Ca-Na型水，矿化度500-1000毫克/升。区域地下水位动态为开采</w:t>
      </w:r>
      <w:r>
        <w:rPr>
          <w:rFonts w:hint="eastAsia" w:ascii="Times New Roman" w:hAnsi="Times New Roman"/>
          <w:szCs w:val="21"/>
        </w:rPr>
        <w:t>-</w:t>
      </w:r>
      <w:r>
        <w:rPr>
          <w:rFonts w:ascii="Times New Roman" w:hAnsi="Times New Roman"/>
          <w:szCs w:val="21"/>
        </w:rPr>
        <w:t>蒸发型，地下水位动态变化与上游及周边地区过量开采地下水有直接关系。地下水位呈逐年连续性下降</w:t>
      </w:r>
    </w:p>
    <w:p w14:paraId="08E692BB">
      <w:pPr>
        <w:overflowPunct w:val="0"/>
        <w:spacing w:line="360" w:lineRule="auto"/>
        <w:ind w:firstLine="480" w:firstLineChars="200"/>
        <w:rPr>
          <w:rFonts w:ascii="Times New Roman" w:hAnsi="Times New Roman"/>
          <w:szCs w:val="21"/>
        </w:rPr>
        <w:sectPr>
          <w:pgSz w:w="11906" w:h="16838"/>
          <w:pgMar w:top="1440" w:right="1800" w:bottom="1440" w:left="1800" w:header="851" w:footer="992" w:gutter="0"/>
          <w:cols w:space="425" w:num="1"/>
          <w:docGrid w:type="linesAndChars" w:linePitch="312" w:charSpace="0"/>
        </w:sectPr>
      </w:pPr>
      <w:r>
        <w:rPr>
          <w:rFonts w:hint="eastAsia" w:ascii="Times New Roman" w:hAnsi="Times New Roman"/>
          <w:szCs w:val="21"/>
        </w:rPr>
        <w:t>区域水文地质图见图5.3.1-2。</w:t>
      </w:r>
    </w:p>
    <w:p w14:paraId="1097CC7B">
      <w:pPr>
        <w:overflowPunct w:val="0"/>
        <w:spacing w:line="360" w:lineRule="auto"/>
        <w:ind w:firstLine="480" w:firstLineChars="200"/>
        <w:rPr>
          <w:rFonts w:ascii="Times New Roman" w:hAnsi="Times New Roman"/>
          <w:szCs w:val="21"/>
        </w:rPr>
      </w:pPr>
    </w:p>
    <w:p w14:paraId="2A8C352B">
      <w:pPr>
        <w:spacing w:line="360" w:lineRule="auto"/>
        <w:jc w:val="center"/>
        <w:rPr>
          <w:rFonts w:hint="eastAsia" w:ascii="黑体" w:hAnsi="黑体" w:eastAsia="黑体"/>
          <w:b/>
        </w:rPr>
        <w:sectPr>
          <w:pgSz w:w="16838" w:h="11906" w:orient="landscape"/>
          <w:pgMar w:top="1800" w:right="1440" w:bottom="1800" w:left="1440" w:header="851" w:footer="992" w:gutter="0"/>
          <w:cols w:space="425" w:num="1"/>
          <w:docGrid w:type="linesAndChars" w:linePitch="326" w:charSpace="0"/>
        </w:sectPr>
      </w:pPr>
      <w:r>
        <w:rPr>
          <w:rFonts w:hint="eastAsia" w:ascii="黑体" w:hAnsi="黑体" w:eastAsia="黑体"/>
          <w:b/>
        </w:rPr>
        <w:t>图5.3.1-2   区域水文地质图</w:t>
      </w:r>
    </w:p>
    <w:p w14:paraId="5FE08C15">
      <w:pPr>
        <w:numPr>
          <w:ilvl w:val="2"/>
          <w:numId w:val="1"/>
        </w:numPr>
        <w:spacing w:line="360" w:lineRule="auto"/>
        <w:ind w:left="0"/>
        <w:outlineLvl w:val="2"/>
        <w:rPr>
          <w:rFonts w:hint="eastAsia" w:ascii="黑体" w:hAnsi="黑体" w:eastAsia="黑体"/>
          <w:b/>
          <w:sz w:val="28"/>
        </w:rPr>
      </w:pPr>
      <w:r>
        <w:rPr>
          <w:rFonts w:hint="eastAsia" w:ascii="黑体" w:hAnsi="黑体" w:eastAsia="黑体"/>
          <w:b/>
          <w:sz w:val="28"/>
        </w:rPr>
        <w:t>场地地层及水文地质条件</w:t>
      </w:r>
    </w:p>
    <w:p w14:paraId="446AFD30">
      <w:pPr>
        <w:keepNext/>
        <w:keepLines/>
        <w:numPr>
          <w:ilvl w:val="3"/>
          <w:numId w:val="1"/>
        </w:numPr>
        <w:spacing w:line="360" w:lineRule="auto"/>
        <w:ind w:left="0"/>
        <w:outlineLvl w:val="3"/>
        <w:rPr>
          <w:rFonts w:hint="eastAsia" w:ascii="黑体" w:hAnsi="黑体" w:eastAsia="黑体"/>
          <w:b/>
          <w:bCs/>
          <w:color w:val="000000" w:themeColor="text1"/>
          <w:kern w:val="2"/>
          <w14:textFill>
            <w14:solidFill>
              <w14:schemeClr w14:val="tx1"/>
            </w14:solidFill>
          </w14:textFill>
        </w:rPr>
      </w:pPr>
      <w:r>
        <w:rPr>
          <w:rFonts w:hint="eastAsia" w:ascii="黑体" w:hAnsi="黑体" w:eastAsia="黑体"/>
          <w:b/>
          <w:bCs/>
          <w:color w:val="000000" w:themeColor="text1"/>
          <w:kern w:val="2"/>
          <w14:textFill>
            <w14:solidFill>
              <w14:schemeClr w14:val="tx1"/>
            </w14:solidFill>
          </w14:textFill>
        </w:rPr>
        <w:t>水文地质</w:t>
      </w:r>
    </w:p>
    <w:p w14:paraId="577FE211">
      <w:pPr>
        <w:numPr>
          <w:ilvl w:val="4"/>
          <w:numId w:val="1"/>
        </w:numPr>
        <w:overflowPunct w:val="0"/>
        <w:spacing w:line="360" w:lineRule="auto"/>
        <w:ind w:left="283"/>
        <w:outlineLvl w:val="4"/>
        <w:rPr>
          <w:rFonts w:hint="eastAsia" w:ascii="黑体" w:hAnsi="黑体" w:eastAsia="黑体"/>
          <w:b/>
        </w:rPr>
      </w:pPr>
      <w:r>
        <w:rPr>
          <w:rFonts w:hint="eastAsia" w:ascii="黑体" w:hAnsi="黑体" w:eastAsia="黑体"/>
          <w:b/>
        </w:rPr>
        <w:t>水文地质钻探</w:t>
      </w:r>
    </w:p>
    <w:p w14:paraId="601098E4">
      <w:pPr>
        <w:spacing w:line="360" w:lineRule="auto"/>
        <w:ind w:firstLine="480" w:firstLineChars="200"/>
        <w:rPr>
          <w:rFonts w:ascii="Times New Roman" w:hAnsi="Times New Roman" w:cs="Times New Roman"/>
        </w:rPr>
      </w:pPr>
      <w:r>
        <w:rPr>
          <w:rFonts w:hint="eastAsia" w:ascii="Times New Roman" w:hAnsi="Times New Roman" w:cs="Times New Roman"/>
        </w:rPr>
        <w:t>本项目水文地质资料引用</w:t>
      </w:r>
      <w:r>
        <w:rPr>
          <w:rFonts w:hint="eastAsia"/>
        </w:rPr>
        <w:t>新疆中和合众新材料有限公司年产100万吨羧酸及其下游产品一体化项目（一期工程）水文地质资料。该项目位于本项目南</w:t>
      </w:r>
      <w:r>
        <w:rPr>
          <w:rFonts w:ascii="Times New Roman" w:hAnsi="Times New Roman" w:cs="Times New Roman"/>
        </w:rPr>
        <w:t>侧，与本项目位于同一水质</w:t>
      </w:r>
      <w:r>
        <w:rPr>
          <w:rFonts w:hint="eastAsia" w:ascii="Times New Roman" w:hAnsi="Times New Roman" w:cs="Times New Roman"/>
        </w:rPr>
        <w:t>地质</w:t>
      </w:r>
      <w:r>
        <w:rPr>
          <w:rFonts w:ascii="Times New Roman" w:hAnsi="Times New Roman" w:cs="Times New Roman"/>
        </w:rPr>
        <w:t>单元。</w:t>
      </w:r>
    </w:p>
    <w:p w14:paraId="77C64030">
      <w:pPr>
        <w:spacing w:line="360" w:lineRule="auto"/>
        <w:ind w:firstLine="480" w:firstLineChars="200"/>
        <w:rPr>
          <w:rFonts w:ascii="Times New Roman" w:hAnsi="Times New Roman" w:cs="Times New Roman"/>
        </w:rPr>
      </w:pPr>
      <w:r>
        <w:rPr>
          <w:rFonts w:ascii="Times New Roman" w:hAnsi="Times New Roman" w:cs="Times New Roman"/>
        </w:rPr>
        <w:t>2020年12月，新疆中和合众新材料有限公司委托青岛中油岩土工程有限公司在项目场地进行了水文地质勘察工作，共布设钻孔5个，勘探深度50m左右，钻孔统计见表4.2.2-1。</w:t>
      </w:r>
    </w:p>
    <w:p w14:paraId="0B9957B8">
      <w:pPr>
        <w:spacing w:line="360" w:lineRule="auto"/>
        <w:jc w:val="center"/>
        <w:rPr>
          <w:rFonts w:hint="eastAsia" w:ascii="黑体" w:hAnsi="黑体" w:eastAsia="黑体"/>
          <w:b/>
        </w:rPr>
      </w:pPr>
      <w:r>
        <w:rPr>
          <w:rFonts w:hint="eastAsia" w:ascii="黑体" w:hAnsi="黑体" w:eastAsia="黑体"/>
          <w:b/>
        </w:rPr>
        <w:t>表5.3.2</w:t>
      </w:r>
      <w:r>
        <w:rPr>
          <w:rFonts w:ascii="黑体" w:hAnsi="黑体" w:eastAsia="黑体"/>
          <w:b/>
        </w:rPr>
        <w:t xml:space="preserve">-1  </w:t>
      </w:r>
      <w:r>
        <w:rPr>
          <w:rFonts w:hint="eastAsia" w:ascii="黑体" w:hAnsi="黑体" w:eastAsia="黑体"/>
          <w:b/>
        </w:rPr>
        <w:t xml:space="preserve"> </w:t>
      </w:r>
      <w:r>
        <w:rPr>
          <w:rFonts w:ascii="黑体" w:hAnsi="黑体" w:eastAsia="黑体"/>
          <w:b/>
        </w:rPr>
        <w:t xml:space="preserve"> </w:t>
      </w:r>
      <w:r>
        <w:rPr>
          <w:rFonts w:hint="eastAsia" w:ascii="黑体" w:hAnsi="黑体" w:eastAsia="黑体"/>
          <w:b/>
        </w:rPr>
        <w:t>钻孔统计表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4"/>
        <w:gridCol w:w="1408"/>
        <w:gridCol w:w="1428"/>
        <w:gridCol w:w="1195"/>
        <w:gridCol w:w="1144"/>
        <w:gridCol w:w="1144"/>
        <w:gridCol w:w="1132"/>
      </w:tblGrid>
      <w:tr w14:paraId="6CF2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14C6DF1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钻孔编号</w:t>
            </w:r>
          </w:p>
        </w:tc>
        <w:tc>
          <w:tcPr>
            <w:tcW w:w="827" w:type="pct"/>
            <w:vAlign w:val="center"/>
          </w:tcPr>
          <w:p w14:paraId="2C689C5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东经E</w:t>
            </w:r>
          </w:p>
        </w:tc>
        <w:tc>
          <w:tcPr>
            <w:tcW w:w="839" w:type="pct"/>
            <w:vAlign w:val="center"/>
          </w:tcPr>
          <w:p w14:paraId="4442978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北纬N</w:t>
            </w:r>
          </w:p>
        </w:tc>
        <w:tc>
          <w:tcPr>
            <w:tcW w:w="702" w:type="pct"/>
            <w:vAlign w:val="center"/>
          </w:tcPr>
          <w:p w14:paraId="49BC4C1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地面高程(m)</w:t>
            </w:r>
          </w:p>
        </w:tc>
        <w:tc>
          <w:tcPr>
            <w:tcW w:w="672" w:type="pct"/>
            <w:vAlign w:val="center"/>
          </w:tcPr>
          <w:p w14:paraId="57C1039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水位埋深(m)</w:t>
            </w:r>
          </w:p>
        </w:tc>
        <w:tc>
          <w:tcPr>
            <w:tcW w:w="672" w:type="pct"/>
            <w:vAlign w:val="center"/>
          </w:tcPr>
          <w:p w14:paraId="22B2EEB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水位高程(m)</w:t>
            </w:r>
          </w:p>
        </w:tc>
        <w:tc>
          <w:tcPr>
            <w:tcW w:w="665" w:type="pct"/>
            <w:noWrap/>
            <w:tcMar>
              <w:top w:w="9" w:type="dxa"/>
              <w:left w:w="9" w:type="dxa"/>
              <w:bottom w:w="0" w:type="dxa"/>
              <w:right w:w="9" w:type="dxa"/>
            </w:tcMar>
            <w:vAlign w:val="center"/>
          </w:tcPr>
          <w:p w14:paraId="457D249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勘探深度(m)</w:t>
            </w:r>
          </w:p>
        </w:tc>
      </w:tr>
      <w:tr w14:paraId="3C65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35DABB1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H1</w:t>
            </w:r>
          </w:p>
        </w:tc>
        <w:tc>
          <w:tcPr>
            <w:tcW w:w="827" w:type="pct"/>
            <w:vAlign w:val="center"/>
          </w:tcPr>
          <w:p w14:paraId="23471388">
            <w:pPr>
              <w:widowControl w:val="0"/>
              <w:autoSpaceDE w:val="0"/>
              <w:autoSpaceDN w:val="0"/>
              <w:adjustRightInd w:val="0"/>
              <w:jc w:val="center"/>
              <w:rPr>
                <w:rFonts w:ascii="Times New Roman" w:hAnsi="Times New Roman" w:cs="Times New Roman"/>
                <w:bCs/>
                <w:snapToGrid w:val="0"/>
                <w:sz w:val="18"/>
                <w:szCs w:val="18"/>
                <w:u w:color="000000"/>
              </w:rPr>
            </w:pPr>
          </w:p>
        </w:tc>
        <w:tc>
          <w:tcPr>
            <w:tcW w:w="839" w:type="pct"/>
            <w:vAlign w:val="center"/>
          </w:tcPr>
          <w:p w14:paraId="78C4FD27">
            <w:pPr>
              <w:widowControl w:val="0"/>
              <w:autoSpaceDE w:val="0"/>
              <w:autoSpaceDN w:val="0"/>
              <w:adjustRightInd w:val="0"/>
              <w:jc w:val="center"/>
              <w:rPr>
                <w:rFonts w:ascii="Times New Roman" w:hAnsi="Times New Roman" w:cs="Times New Roman"/>
                <w:bCs/>
                <w:snapToGrid w:val="0"/>
                <w:sz w:val="18"/>
                <w:szCs w:val="18"/>
                <w:u w:color="000000"/>
              </w:rPr>
            </w:pPr>
          </w:p>
        </w:tc>
        <w:tc>
          <w:tcPr>
            <w:tcW w:w="702" w:type="pct"/>
            <w:vAlign w:val="center"/>
          </w:tcPr>
          <w:p w14:paraId="3830BC9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674.32</w:t>
            </w:r>
          </w:p>
        </w:tc>
        <w:tc>
          <w:tcPr>
            <w:tcW w:w="672" w:type="pct"/>
            <w:vAlign w:val="center"/>
          </w:tcPr>
          <w:p w14:paraId="40BF338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3.76</w:t>
            </w:r>
          </w:p>
        </w:tc>
        <w:tc>
          <w:tcPr>
            <w:tcW w:w="672" w:type="pct"/>
            <w:vAlign w:val="center"/>
          </w:tcPr>
          <w:p w14:paraId="0228EA5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670.56</w:t>
            </w:r>
          </w:p>
        </w:tc>
        <w:tc>
          <w:tcPr>
            <w:tcW w:w="665" w:type="pct"/>
            <w:noWrap/>
            <w:tcMar>
              <w:top w:w="9" w:type="dxa"/>
              <w:left w:w="9" w:type="dxa"/>
              <w:bottom w:w="0" w:type="dxa"/>
              <w:right w:w="9" w:type="dxa"/>
            </w:tcMar>
            <w:vAlign w:val="center"/>
          </w:tcPr>
          <w:p w14:paraId="76B2975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56</w:t>
            </w:r>
          </w:p>
        </w:tc>
      </w:tr>
      <w:tr w14:paraId="0FF0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2B22F26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H2</w:t>
            </w:r>
          </w:p>
        </w:tc>
        <w:tc>
          <w:tcPr>
            <w:tcW w:w="827" w:type="pct"/>
            <w:vAlign w:val="center"/>
          </w:tcPr>
          <w:p w14:paraId="76B9ABB5">
            <w:pPr>
              <w:widowControl w:val="0"/>
              <w:autoSpaceDE w:val="0"/>
              <w:autoSpaceDN w:val="0"/>
              <w:adjustRightInd w:val="0"/>
              <w:jc w:val="center"/>
              <w:rPr>
                <w:rFonts w:ascii="Times New Roman" w:hAnsi="Times New Roman" w:cs="Times New Roman"/>
                <w:bCs/>
                <w:snapToGrid w:val="0"/>
                <w:sz w:val="18"/>
                <w:szCs w:val="18"/>
                <w:u w:color="000000"/>
              </w:rPr>
            </w:pPr>
          </w:p>
        </w:tc>
        <w:tc>
          <w:tcPr>
            <w:tcW w:w="839" w:type="pct"/>
            <w:vAlign w:val="center"/>
          </w:tcPr>
          <w:p w14:paraId="4BFD4699">
            <w:pPr>
              <w:widowControl w:val="0"/>
              <w:autoSpaceDE w:val="0"/>
              <w:autoSpaceDN w:val="0"/>
              <w:adjustRightInd w:val="0"/>
              <w:jc w:val="center"/>
              <w:rPr>
                <w:rFonts w:ascii="Times New Roman" w:hAnsi="Times New Roman" w:cs="Times New Roman"/>
                <w:bCs/>
                <w:snapToGrid w:val="0"/>
                <w:sz w:val="18"/>
                <w:szCs w:val="18"/>
                <w:u w:color="000000"/>
              </w:rPr>
            </w:pPr>
          </w:p>
        </w:tc>
        <w:tc>
          <w:tcPr>
            <w:tcW w:w="702" w:type="pct"/>
            <w:vAlign w:val="center"/>
          </w:tcPr>
          <w:p w14:paraId="4E8A418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676.89</w:t>
            </w:r>
          </w:p>
        </w:tc>
        <w:tc>
          <w:tcPr>
            <w:tcW w:w="672" w:type="pct"/>
            <w:vAlign w:val="center"/>
          </w:tcPr>
          <w:p w14:paraId="2901ECF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2.97</w:t>
            </w:r>
          </w:p>
        </w:tc>
        <w:tc>
          <w:tcPr>
            <w:tcW w:w="672" w:type="pct"/>
            <w:vAlign w:val="center"/>
          </w:tcPr>
          <w:p w14:paraId="49EC3CF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673.92</w:t>
            </w:r>
          </w:p>
        </w:tc>
        <w:tc>
          <w:tcPr>
            <w:tcW w:w="665" w:type="pct"/>
            <w:noWrap/>
            <w:tcMar>
              <w:top w:w="9" w:type="dxa"/>
              <w:left w:w="9" w:type="dxa"/>
              <w:bottom w:w="0" w:type="dxa"/>
              <w:right w:w="9" w:type="dxa"/>
            </w:tcMar>
            <w:vAlign w:val="center"/>
          </w:tcPr>
          <w:p w14:paraId="06EB679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52</w:t>
            </w:r>
          </w:p>
        </w:tc>
      </w:tr>
      <w:tr w14:paraId="123F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1EA910D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H3</w:t>
            </w:r>
          </w:p>
        </w:tc>
        <w:tc>
          <w:tcPr>
            <w:tcW w:w="827" w:type="pct"/>
            <w:vAlign w:val="center"/>
          </w:tcPr>
          <w:p w14:paraId="56F798D0">
            <w:pPr>
              <w:widowControl w:val="0"/>
              <w:autoSpaceDE w:val="0"/>
              <w:autoSpaceDN w:val="0"/>
              <w:adjustRightInd w:val="0"/>
              <w:jc w:val="center"/>
              <w:rPr>
                <w:rFonts w:ascii="Times New Roman" w:hAnsi="Times New Roman" w:cs="Times New Roman"/>
                <w:bCs/>
                <w:snapToGrid w:val="0"/>
                <w:sz w:val="18"/>
                <w:szCs w:val="18"/>
                <w:u w:color="000000"/>
              </w:rPr>
            </w:pPr>
          </w:p>
        </w:tc>
        <w:tc>
          <w:tcPr>
            <w:tcW w:w="839" w:type="pct"/>
            <w:vAlign w:val="center"/>
          </w:tcPr>
          <w:p w14:paraId="73AE50CE">
            <w:pPr>
              <w:widowControl w:val="0"/>
              <w:autoSpaceDE w:val="0"/>
              <w:autoSpaceDN w:val="0"/>
              <w:adjustRightInd w:val="0"/>
              <w:jc w:val="center"/>
              <w:rPr>
                <w:rFonts w:ascii="Times New Roman" w:hAnsi="Times New Roman" w:cs="Times New Roman"/>
                <w:bCs/>
                <w:snapToGrid w:val="0"/>
                <w:sz w:val="18"/>
                <w:szCs w:val="18"/>
                <w:u w:color="000000"/>
              </w:rPr>
            </w:pPr>
          </w:p>
        </w:tc>
        <w:tc>
          <w:tcPr>
            <w:tcW w:w="702" w:type="pct"/>
            <w:vAlign w:val="center"/>
          </w:tcPr>
          <w:p w14:paraId="015EE89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683.84</w:t>
            </w:r>
          </w:p>
        </w:tc>
        <w:tc>
          <w:tcPr>
            <w:tcW w:w="672" w:type="pct"/>
            <w:vAlign w:val="center"/>
          </w:tcPr>
          <w:p w14:paraId="310DEF8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6.03</w:t>
            </w:r>
          </w:p>
        </w:tc>
        <w:tc>
          <w:tcPr>
            <w:tcW w:w="672" w:type="pct"/>
            <w:vAlign w:val="center"/>
          </w:tcPr>
          <w:p w14:paraId="7EA9EAF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677.81</w:t>
            </w:r>
          </w:p>
        </w:tc>
        <w:tc>
          <w:tcPr>
            <w:tcW w:w="665" w:type="pct"/>
            <w:noWrap/>
            <w:tcMar>
              <w:top w:w="9" w:type="dxa"/>
              <w:left w:w="9" w:type="dxa"/>
              <w:bottom w:w="0" w:type="dxa"/>
              <w:right w:w="9" w:type="dxa"/>
            </w:tcMar>
            <w:vAlign w:val="center"/>
          </w:tcPr>
          <w:p w14:paraId="57A93AC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50</w:t>
            </w:r>
          </w:p>
        </w:tc>
      </w:tr>
      <w:tr w14:paraId="5DEB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3019C4B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H4</w:t>
            </w:r>
          </w:p>
        </w:tc>
        <w:tc>
          <w:tcPr>
            <w:tcW w:w="827" w:type="pct"/>
            <w:vAlign w:val="center"/>
          </w:tcPr>
          <w:p w14:paraId="679BEBCE">
            <w:pPr>
              <w:widowControl w:val="0"/>
              <w:autoSpaceDE w:val="0"/>
              <w:autoSpaceDN w:val="0"/>
              <w:adjustRightInd w:val="0"/>
              <w:jc w:val="center"/>
              <w:rPr>
                <w:rFonts w:ascii="Times New Roman" w:hAnsi="Times New Roman" w:cs="Times New Roman"/>
                <w:bCs/>
                <w:snapToGrid w:val="0"/>
                <w:sz w:val="18"/>
                <w:szCs w:val="18"/>
                <w:u w:color="000000"/>
              </w:rPr>
            </w:pPr>
          </w:p>
        </w:tc>
        <w:tc>
          <w:tcPr>
            <w:tcW w:w="839" w:type="pct"/>
            <w:vAlign w:val="center"/>
          </w:tcPr>
          <w:p w14:paraId="63B22370">
            <w:pPr>
              <w:widowControl w:val="0"/>
              <w:autoSpaceDE w:val="0"/>
              <w:autoSpaceDN w:val="0"/>
              <w:adjustRightInd w:val="0"/>
              <w:jc w:val="center"/>
              <w:rPr>
                <w:rFonts w:ascii="Times New Roman" w:hAnsi="Times New Roman" w:cs="Times New Roman"/>
                <w:bCs/>
                <w:snapToGrid w:val="0"/>
                <w:sz w:val="18"/>
                <w:szCs w:val="18"/>
                <w:u w:color="000000"/>
              </w:rPr>
            </w:pPr>
          </w:p>
        </w:tc>
        <w:tc>
          <w:tcPr>
            <w:tcW w:w="702" w:type="pct"/>
            <w:vAlign w:val="center"/>
          </w:tcPr>
          <w:p w14:paraId="4406653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683.23</w:t>
            </w:r>
          </w:p>
        </w:tc>
        <w:tc>
          <w:tcPr>
            <w:tcW w:w="672" w:type="pct"/>
            <w:vAlign w:val="center"/>
          </w:tcPr>
          <w:p w14:paraId="4465CD8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7.25</w:t>
            </w:r>
          </w:p>
        </w:tc>
        <w:tc>
          <w:tcPr>
            <w:tcW w:w="672" w:type="pct"/>
            <w:vAlign w:val="center"/>
          </w:tcPr>
          <w:p w14:paraId="108B09D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675.98</w:t>
            </w:r>
          </w:p>
        </w:tc>
        <w:tc>
          <w:tcPr>
            <w:tcW w:w="665" w:type="pct"/>
            <w:noWrap/>
            <w:tcMar>
              <w:top w:w="9" w:type="dxa"/>
              <w:left w:w="9" w:type="dxa"/>
              <w:bottom w:w="0" w:type="dxa"/>
              <w:right w:w="9" w:type="dxa"/>
            </w:tcMar>
            <w:vAlign w:val="center"/>
          </w:tcPr>
          <w:p w14:paraId="410452D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52</w:t>
            </w:r>
          </w:p>
        </w:tc>
      </w:tr>
      <w:tr w14:paraId="3C16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0" w:type="pct"/>
            <w:noWrap/>
            <w:tcMar>
              <w:top w:w="9" w:type="dxa"/>
              <w:left w:w="9" w:type="dxa"/>
              <w:bottom w:w="0" w:type="dxa"/>
              <w:right w:w="9" w:type="dxa"/>
            </w:tcMar>
            <w:vAlign w:val="center"/>
          </w:tcPr>
          <w:p w14:paraId="400EC06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H5</w:t>
            </w:r>
          </w:p>
        </w:tc>
        <w:tc>
          <w:tcPr>
            <w:tcW w:w="827" w:type="pct"/>
            <w:vAlign w:val="center"/>
          </w:tcPr>
          <w:p w14:paraId="10F78E87">
            <w:pPr>
              <w:widowControl w:val="0"/>
              <w:autoSpaceDE w:val="0"/>
              <w:autoSpaceDN w:val="0"/>
              <w:adjustRightInd w:val="0"/>
              <w:jc w:val="center"/>
              <w:rPr>
                <w:rFonts w:ascii="Times New Roman" w:hAnsi="Times New Roman" w:cs="Times New Roman"/>
                <w:bCs/>
                <w:snapToGrid w:val="0"/>
                <w:sz w:val="18"/>
                <w:szCs w:val="18"/>
                <w:u w:color="000000"/>
              </w:rPr>
            </w:pPr>
          </w:p>
        </w:tc>
        <w:tc>
          <w:tcPr>
            <w:tcW w:w="839" w:type="pct"/>
            <w:vAlign w:val="center"/>
          </w:tcPr>
          <w:p w14:paraId="04238E7D">
            <w:pPr>
              <w:widowControl w:val="0"/>
              <w:autoSpaceDE w:val="0"/>
              <w:autoSpaceDN w:val="0"/>
              <w:adjustRightInd w:val="0"/>
              <w:jc w:val="center"/>
              <w:rPr>
                <w:rFonts w:ascii="Times New Roman" w:hAnsi="Times New Roman" w:cs="Times New Roman"/>
                <w:bCs/>
                <w:snapToGrid w:val="0"/>
                <w:sz w:val="18"/>
                <w:szCs w:val="18"/>
                <w:u w:color="000000"/>
              </w:rPr>
            </w:pPr>
          </w:p>
        </w:tc>
        <w:tc>
          <w:tcPr>
            <w:tcW w:w="702" w:type="pct"/>
            <w:vAlign w:val="center"/>
          </w:tcPr>
          <w:p w14:paraId="631E02C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684.57</w:t>
            </w:r>
          </w:p>
        </w:tc>
        <w:tc>
          <w:tcPr>
            <w:tcW w:w="672" w:type="pct"/>
            <w:vAlign w:val="center"/>
          </w:tcPr>
          <w:p w14:paraId="115DCDC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7.34</w:t>
            </w:r>
          </w:p>
        </w:tc>
        <w:tc>
          <w:tcPr>
            <w:tcW w:w="672" w:type="pct"/>
            <w:vAlign w:val="center"/>
          </w:tcPr>
          <w:p w14:paraId="56AB652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677.23</w:t>
            </w:r>
          </w:p>
        </w:tc>
        <w:tc>
          <w:tcPr>
            <w:tcW w:w="665" w:type="pct"/>
            <w:noWrap/>
            <w:tcMar>
              <w:top w:w="9" w:type="dxa"/>
              <w:left w:w="9" w:type="dxa"/>
              <w:bottom w:w="0" w:type="dxa"/>
              <w:right w:w="9" w:type="dxa"/>
            </w:tcMar>
            <w:vAlign w:val="center"/>
          </w:tcPr>
          <w:p w14:paraId="0854E65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52</w:t>
            </w:r>
          </w:p>
        </w:tc>
      </w:tr>
    </w:tbl>
    <w:p w14:paraId="35D7DDC7">
      <w:pPr>
        <w:widowControl w:val="0"/>
        <w:autoSpaceDE w:val="0"/>
        <w:autoSpaceDN w:val="0"/>
        <w:adjustRightInd w:val="0"/>
        <w:jc w:val="center"/>
        <w:rPr>
          <w:rFonts w:ascii="Times New Roman" w:hAnsi="Times New Roman" w:cs="Times New Roman"/>
          <w:bCs/>
          <w:snapToGrid w:val="0"/>
          <w:sz w:val="18"/>
          <w:szCs w:val="18"/>
          <w:u w:color="000000"/>
        </w:rPr>
      </w:pPr>
    </w:p>
    <w:p w14:paraId="3563EE17">
      <w:pPr>
        <w:spacing w:line="360" w:lineRule="auto"/>
        <w:jc w:val="center"/>
        <w:rPr>
          <w:rFonts w:hint="eastAsia" w:ascii="黑体" w:hAnsi="黑体" w:eastAsia="黑体"/>
          <w:b/>
        </w:rPr>
      </w:pPr>
      <w:r>
        <w:rPr>
          <w:rFonts w:hint="eastAsia" w:ascii="黑体" w:hAnsi="黑体" w:eastAsia="黑体"/>
          <w:b/>
        </w:rPr>
        <w:t>图5.3.2-1     水文钻孔位置图</w:t>
      </w:r>
    </w:p>
    <w:p w14:paraId="55B1B72E">
      <w:pPr>
        <w:spacing w:line="360" w:lineRule="auto"/>
        <w:jc w:val="center"/>
        <w:rPr>
          <w:rFonts w:hint="eastAsia" w:ascii="黑体" w:hAnsi="黑体" w:eastAsia="黑体"/>
          <w:b/>
        </w:rPr>
      </w:pPr>
    </w:p>
    <w:p w14:paraId="1DCD3CD9">
      <w:pPr>
        <w:numPr>
          <w:ilvl w:val="4"/>
          <w:numId w:val="1"/>
        </w:numPr>
        <w:overflowPunct w:val="0"/>
        <w:spacing w:line="360" w:lineRule="auto"/>
        <w:ind w:left="283"/>
        <w:outlineLvl w:val="4"/>
        <w:rPr>
          <w:rFonts w:ascii="Times New Roman" w:hAnsi="Times New Roman" w:eastAsia="黑体"/>
          <w:b/>
        </w:rPr>
      </w:pPr>
      <w:r>
        <w:rPr>
          <w:rFonts w:hint="eastAsia" w:ascii="Times New Roman" w:hAnsi="Times New Roman" w:eastAsia="黑体"/>
          <w:b/>
        </w:rPr>
        <w:t>评价区地质条件</w:t>
      </w:r>
    </w:p>
    <w:p w14:paraId="65A42234">
      <w:pPr>
        <w:overflowPunct w:val="0"/>
        <w:spacing w:line="360" w:lineRule="auto"/>
        <w:ind w:firstLine="480" w:firstLineChars="200"/>
        <w:rPr>
          <w:rFonts w:ascii="Times New Roman" w:hAnsi="Times New Roman"/>
          <w:szCs w:val="21"/>
        </w:rPr>
      </w:pPr>
      <w:r>
        <w:rPr>
          <w:rFonts w:hint="eastAsia" w:ascii="Times New Roman" w:hAnsi="Times New Roman"/>
          <w:szCs w:val="21"/>
        </w:rPr>
        <w:t>（1）地形地貌</w:t>
      </w:r>
    </w:p>
    <w:p w14:paraId="64C108C5">
      <w:pPr>
        <w:overflowPunct w:val="0"/>
        <w:spacing w:line="360" w:lineRule="auto"/>
        <w:ind w:firstLine="480" w:firstLineChars="200"/>
        <w:rPr>
          <w:rFonts w:ascii="Times New Roman" w:hAnsi="Times New Roman"/>
          <w:szCs w:val="21"/>
        </w:rPr>
      </w:pPr>
      <w:r>
        <w:rPr>
          <w:rFonts w:hint="eastAsia" w:ascii="Times New Roman" w:hAnsi="Times New Roman"/>
          <w:szCs w:val="21"/>
        </w:rPr>
        <w:t>评价区</w:t>
      </w:r>
      <w:r>
        <w:rPr>
          <w:rFonts w:ascii="Times New Roman" w:hAnsi="Times New Roman"/>
          <w:szCs w:val="21"/>
        </w:rPr>
        <w:t>场地较为</w:t>
      </w:r>
      <w:r>
        <w:rPr>
          <w:rFonts w:hint="eastAsia" w:ascii="Times New Roman" w:hAnsi="Times New Roman"/>
          <w:szCs w:val="21"/>
        </w:rPr>
        <w:t>平坦开阔</w:t>
      </w:r>
      <w:r>
        <w:rPr>
          <w:rFonts w:ascii="Times New Roman" w:hAnsi="Times New Roman"/>
          <w:szCs w:val="21"/>
        </w:rPr>
        <w:t>，</w:t>
      </w:r>
      <w:r>
        <w:rPr>
          <w:rFonts w:hint="eastAsia" w:ascii="Times New Roman" w:hAnsi="Times New Roman"/>
          <w:szCs w:val="21"/>
        </w:rPr>
        <w:t>地貌</w:t>
      </w:r>
      <w:r>
        <w:rPr>
          <w:rFonts w:ascii="Times New Roman" w:hAnsi="Times New Roman"/>
          <w:szCs w:val="21"/>
        </w:rPr>
        <w:t>单元较为单一；东西方向呈西高东低、南北方向呈北高南低</w:t>
      </w:r>
      <w:r>
        <w:rPr>
          <w:rFonts w:hint="eastAsia" w:ascii="Times New Roman" w:hAnsi="Times New Roman"/>
          <w:szCs w:val="21"/>
        </w:rPr>
        <w:t>；地表</w:t>
      </w:r>
      <w:r>
        <w:rPr>
          <w:rFonts w:ascii="Times New Roman" w:hAnsi="Times New Roman"/>
          <w:szCs w:val="21"/>
        </w:rPr>
        <w:t>以</w:t>
      </w:r>
      <w:r>
        <w:rPr>
          <w:rFonts w:hint="eastAsia" w:ascii="Times New Roman" w:hAnsi="Times New Roman"/>
          <w:szCs w:val="21"/>
        </w:rPr>
        <w:t>大量</w:t>
      </w:r>
      <w:r>
        <w:rPr>
          <w:rFonts w:ascii="Times New Roman" w:hAnsi="Times New Roman"/>
          <w:szCs w:val="21"/>
        </w:rPr>
        <w:t>小沙丘以及少量矮小的植被组成</w:t>
      </w:r>
      <w:r>
        <w:rPr>
          <w:rFonts w:hint="eastAsia" w:ascii="Times New Roman" w:hAnsi="Times New Roman"/>
          <w:szCs w:val="21"/>
        </w:rPr>
        <w:t>。</w:t>
      </w:r>
    </w:p>
    <w:p w14:paraId="5C7A4C46">
      <w:pPr>
        <w:overflowPunct w:val="0"/>
        <w:spacing w:line="360" w:lineRule="auto"/>
        <w:ind w:firstLine="480" w:firstLineChars="200"/>
        <w:rPr>
          <w:rFonts w:ascii="Times New Roman" w:hAnsi="Times New Roman"/>
          <w:szCs w:val="21"/>
        </w:rPr>
      </w:pPr>
      <w:bookmarkStart w:id="307" w:name="_Toc58852649"/>
      <w:bookmarkStart w:id="308" w:name="_Toc489451727"/>
      <w:bookmarkStart w:id="309" w:name="_Toc58665080"/>
      <w:r>
        <w:rPr>
          <w:rFonts w:hint="eastAsia" w:ascii="Times New Roman" w:hAnsi="Times New Roman"/>
          <w:szCs w:val="21"/>
        </w:rPr>
        <w:t>（2）地层岩性</w:t>
      </w:r>
      <w:bookmarkEnd w:id="307"/>
      <w:bookmarkEnd w:id="308"/>
      <w:bookmarkEnd w:id="309"/>
    </w:p>
    <w:p w14:paraId="5ACD0A0C">
      <w:pPr>
        <w:overflowPunct w:val="0"/>
        <w:spacing w:line="360" w:lineRule="auto"/>
        <w:ind w:firstLine="480" w:firstLineChars="200"/>
        <w:rPr>
          <w:rFonts w:ascii="Times New Roman" w:hAnsi="Times New Roman"/>
          <w:szCs w:val="21"/>
        </w:rPr>
      </w:pPr>
      <w:r>
        <w:rPr>
          <w:rFonts w:hint="eastAsia" w:ascii="Times New Roman" w:hAnsi="Times New Roman"/>
          <w:szCs w:val="21"/>
        </w:rPr>
        <w:t>根据工程地质测绘和调查</w:t>
      </w:r>
      <w:r>
        <w:rPr>
          <w:rFonts w:ascii="Times New Roman" w:hAnsi="Times New Roman"/>
          <w:szCs w:val="21"/>
        </w:rPr>
        <w:t>以及钻探成果，</w:t>
      </w:r>
      <w:r>
        <w:rPr>
          <w:rFonts w:hint="eastAsia" w:ascii="Times New Roman" w:hAnsi="Times New Roman"/>
          <w:szCs w:val="21"/>
        </w:rPr>
        <w:t>评价区主要</w:t>
      </w:r>
      <w:r>
        <w:rPr>
          <w:rFonts w:ascii="Times New Roman" w:hAnsi="Times New Roman"/>
          <w:szCs w:val="21"/>
        </w:rPr>
        <w:t>地层为表层的细砂、粉砂</w:t>
      </w:r>
      <w:r>
        <w:rPr>
          <w:rFonts w:hint="eastAsia" w:ascii="Times New Roman" w:hAnsi="Times New Roman"/>
          <w:szCs w:val="21"/>
        </w:rPr>
        <w:t>以及</w:t>
      </w:r>
      <w:r>
        <w:rPr>
          <w:rFonts w:ascii="Times New Roman" w:hAnsi="Times New Roman"/>
          <w:szCs w:val="21"/>
        </w:rPr>
        <w:t>细砂三层。具体地层分布以及特征见下列描述。</w:t>
      </w:r>
    </w:p>
    <w:p w14:paraId="0707486D">
      <w:pPr>
        <w:overflowPunct w:val="0"/>
        <w:spacing w:line="360" w:lineRule="auto"/>
        <w:ind w:firstLine="480" w:firstLineChars="200"/>
        <w:rPr>
          <w:rFonts w:ascii="Times New Roman" w:hAnsi="Times New Roman"/>
          <w:szCs w:val="21"/>
        </w:rPr>
      </w:pPr>
      <w:bookmarkStart w:id="310" w:name="_Toc24750635"/>
      <w:r>
        <w:rPr>
          <w:rFonts w:ascii="Cambria Math" w:hAnsi="Cambria Math" w:cs="Cambria Math"/>
          <w:szCs w:val="21"/>
        </w:rPr>
        <w:t>①</w:t>
      </w:r>
      <w:r>
        <w:rPr>
          <w:rFonts w:hint="eastAsia" w:ascii="Times New Roman" w:hAnsi="Times New Roman"/>
          <w:szCs w:val="21"/>
        </w:rPr>
        <w:t>细砂</w:t>
      </w:r>
      <w:r>
        <w:rPr>
          <w:rFonts w:ascii="Times New Roman" w:hAnsi="Times New Roman"/>
          <w:szCs w:val="21"/>
        </w:rPr>
        <w:t>：灰褐色，干燥，</w:t>
      </w:r>
      <w:r>
        <w:rPr>
          <w:rFonts w:hint="eastAsia" w:ascii="Times New Roman" w:hAnsi="Times New Roman"/>
          <w:szCs w:val="21"/>
        </w:rPr>
        <w:t>松散</w:t>
      </w:r>
      <w:r>
        <w:rPr>
          <w:rFonts w:ascii="Times New Roman" w:hAnsi="Times New Roman"/>
          <w:szCs w:val="21"/>
        </w:rPr>
        <w:t>~稍密。颗粒</w:t>
      </w:r>
      <w:r>
        <w:rPr>
          <w:rFonts w:hint="eastAsia" w:ascii="Times New Roman" w:hAnsi="Times New Roman"/>
          <w:szCs w:val="21"/>
        </w:rPr>
        <w:t>级配</w:t>
      </w:r>
      <w:r>
        <w:rPr>
          <w:rFonts w:ascii="Times New Roman" w:hAnsi="Times New Roman"/>
          <w:szCs w:val="21"/>
        </w:rPr>
        <w:t>不良，</w:t>
      </w:r>
      <w:r>
        <w:rPr>
          <w:rFonts w:hint="eastAsia" w:ascii="Times New Roman" w:hAnsi="Times New Roman"/>
          <w:szCs w:val="21"/>
        </w:rPr>
        <w:t>磨圆</w:t>
      </w:r>
      <w:r>
        <w:rPr>
          <w:rFonts w:ascii="Times New Roman" w:hAnsi="Times New Roman"/>
          <w:szCs w:val="21"/>
        </w:rPr>
        <w:t>度一般，矿物成分</w:t>
      </w:r>
      <w:r>
        <w:rPr>
          <w:rFonts w:hint="eastAsia" w:ascii="Times New Roman" w:hAnsi="Times New Roman"/>
          <w:szCs w:val="21"/>
        </w:rPr>
        <w:t>以</w:t>
      </w:r>
      <w:r>
        <w:rPr>
          <w:rFonts w:ascii="Times New Roman" w:hAnsi="Times New Roman"/>
          <w:szCs w:val="21"/>
        </w:rPr>
        <w:t>长石、石英及暗色矿物为主，含少量云母。上部</w:t>
      </w:r>
      <w:r>
        <w:rPr>
          <w:rFonts w:hint="eastAsia" w:ascii="Times New Roman" w:hAnsi="Times New Roman"/>
          <w:szCs w:val="21"/>
        </w:rPr>
        <w:t>含</w:t>
      </w:r>
      <w:r>
        <w:rPr>
          <w:rFonts w:ascii="Times New Roman" w:hAnsi="Times New Roman"/>
          <w:szCs w:val="21"/>
        </w:rPr>
        <w:t>少量</w:t>
      </w:r>
      <w:r>
        <w:rPr>
          <w:rFonts w:hint="eastAsia" w:ascii="Times New Roman" w:hAnsi="Times New Roman"/>
          <w:szCs w:val="21"/>
        </w:rPr>
        <w:t>植物</w:t>
      </w:r>
      <w:r>
        <w:rPr>
          <w:rFonts w:ascii="Times New Roman" w:hAnsi="Times New Roman"/>
          <w:szCs w:val="21"/>
        </w:rPr>
        <w:t>根系。</w:t>
      </w:r>
      <w:r>
        <w:rPr>
          <w:rFonts w:hint="eastAsia" w:ascii="Times New Roman" w:hAnsi="Times New Roman"/>
          <w:szCs w:val="21"/>
        </w:rPr>
        <w:t>该层在</w:t>
      </w:r>
      <w:r>
        <w:rPr>
          <w:rFonts w:ascii="Times New Roman" w:hAnsi="Times New Roman"/>
          <w:szCs w:val="21"/>
        </w:rPr>
        <w:t>区内</w:t>
      </w:r>
      <w:r>
        <w:rPr>
          <w:rFonts w:hint="eastAsia" w:ascii="Times New Roman" w:hAnsi="Times New Roman"/>
          <w:szCs w:val="21"/>
        </w:rPr>
        <w:t>广泛</w:t>
      </w:r>
      <w:r>
        <w:rPr>
          <w:rFonts w:ascii="Times New Roman" w:hAnsi="Times New Roman"/>
          <w:szCs w:val="21"/>
        </w:rPr>
        <w:t>分布，</w:t>
      </w:r>
      <w:r>
        <w:rPr>
          <w:rFonts w:hint="eastAsia" w:ascii="Times New Roman" w:hAnsi="Times New Roman"/>
          <w:szCs w:val="21"/>
        </w:rPr>
        <w:t>层底标高</w:t>
      </w:r>
      <w:r>
        <w:rPr>
          <w:rFonts w:ascii="Times New Roman" w:hAnsi="Times New Roman"/>
          <w:szCs w:val="21"/>
        </w:rPr>
        <w:t>673.12~682.47</w:t>
      </w:r>
      <w:r>
        <w:rPr>
          <w:rFonts w:hint="eastAsia" w:ascii="Times New Roman" w:hAnsi="Times New Roman"/>
          <w:szCs w:val="21"/>
        </w:rPr>
        <w:t>m</w:t>
      </w:r>
      <w:r>
        <w:rPr>
          <w:rFonts w:ascii="Times New Roman" w:hAnsi="Times New Roman"/>
          <w:szCs w:val="21"/>
        </w:rPr>
        <w:t>，层厚</w:t>
      </w:r>
      <w:r>
        <w:rPr>
          <w:rFonts w:hint="eastAsia" w:ascii="Times New Roman" w:hAnsi="Times New Roman"/>
          <w:szCs w:val="21"/>
        </w:rPr>
        <w:t>1.20</w:t>
      </w:r>
      <w:r>
        <w:rPr>
          <w:rFonts w:ascii="Times New Roman" w:hAnsi="Times New Roman"/>
          <w:szCs w:val="21"/>
        </w:rPr>
        <w:t>~2.60</w:t>
      </w:r>
      <w:r>
        <w:rPr>
          <w:rFonts w:hint="eastAsia" w:ascii="Times New Roman" w:hAnsi="Times New Roman"/>
          <w:szCs w:val="21"/>
        </w:rPr>
        <w:t>m</w:t>
      </w:r>
      <w:r>
        <w:rPr>
          <w:rFonts w:ascii="Times New Roman" w:hAnsi="Times New Roman"/>
          <w:szCs w:val="21"/>
        </w:rPr>
        <w:t>。</w:t>
      </w:r>
    </w:p>
    <w:p w14:paraId="3D723DD0">
      <w:pPr>
        <w:overflowPunct w:val="0"/>
        <w:spacing w:line="360" w:lineRule="auto"/>
        <w:ind w:firstLine="480" w:firstLineChars="200"/>
        <w:rPr>
          <w:rFonts w:ascii="Times New Roman" w:hAnsi="Times New Roman"/>
          <w:szCs w:val="21"/>
        </w:rPr>
      </w:pPr>
      <w:r>
        <w:rPr>
          <w:rFonts w:ascii="Cambria Math" w:hAnsi="Cambria Math" w:cs="Cambria Math"/>
          <w:szCs w:val="21"/>
        </w:rPr>
        <w:t>②</w:t>
      </w:r>
      <w:r>
        <w:rPr>
          <w:rFonts w:hint="eastAsia" w:ascii="Times New Roman" w:hAnsi="Times New Roman"/>
          <w:szCs w:val="21"/>
        </w:rPr>
        <w:t>粉砂</w:t>
      </w:r>
      <w:r>
        <w:rPr>
          <w:rFonts w:ascii="Times New Roman" w:hAnsi="Times New Roman"/>
          <w:szCs w:val="21"/>
        </w:rPr>
        <w:t>：红褐色、</w:t>
      </w:r>
      <w:r>
        <w:rPr>
          <w:rFonts w:hint="eastAsia" w:ascii="Times New Roman" w:hAnsi="Times New Roman"/>
          <w:szCs w:val="21"/>
        </w:rPr>
        <w:t>少量</w:t>
      </w:r>
      <w:r>
        <w:rPr>
          <w:rFonts w:ascii="Times New Roman" w:hAnsi="Times New Roman"/>
          <w:szCs w:val="21"/>
        </w:rPr>
        <w:t>灰黄</w:t>
      </w:r>
      <w:r>
        <w:rPr>
          <w:rFonts w:hint="eastAsia" w:ascii="Times New Roman" w:hAnsi="Times New Roman"/>
          <w:szCs w:val="21"/>
        </w:rPr>
        <w:t>~</w:t>
      </w:r>
      <w:r>
        <w:rPr>
          <w:rFonts w:ascii="Times New Roman" w:hAnsi="Times New Roman"/>
          <w:szCs w:val="21"/>
        </w:rPr>
        <w:t>灰白色，</w:t>
      </w:r>
      <w:r>
        <w:rPr>
          <w:rFonts w:hint="eastAsia" w:ascii="Times New Roman" w:hAnsi="Times New Roman"/>
          <w:szCs w:val="21"/>
        </w:rPr>
        <w:t>湿润</w:t>
      </w:r>
      <w:r>
        <w:rPr>
          <w:rFonts w:ascii="Times New Roman" w:hAnsi="Times New Roman"/>
          <w:szCs w:val="21"/>
        </w:rPr>
        <w:t>~</w:t>
      </w:r>
      <w:r>
        <w:rPr>
          <w:rFonts w:hint="eastAsia" w:ascii="Times New Roman" w:hAnsi="Times New Roman"/>
          <w:szCs w:val="21"/>
        </w:rPr>
        <w:t>饱和</w:t>
      </w:r>
      <w:r>
        <w:rPr>
          <w:rFonts w:ascii="Times New Roman" w:hAnsi="Times New Roman"/>
          <w:szCs w:val="21"/>
        </w:rPr>
        <w:t>，密实</w:t>
      </w:r>
      <w:r>
        <w:rPr>
          <w:rFonts w:hint="eastAsia" w:ascii="Times New Roman" w:hAnsi="Times New Roman"/>
          <w:szCs w:val="21"/>
        </w:rPr>
        <w:t>。</w:t>
      </w:r>
      <w:r>
        <w:rPr>
          <w:rFonts w:ascii="Times New Roman" w:hAnsi="Times New Roman"/>
          <w:szCs w:val="21"/>
        </w:rPr>
        <w:t>颗粒</w:t>
      </w:r>
      <w:r>
        <w:rPr>
          <w:rFonts w:hint="eastAsia" w:ascii="Times New Roman" w:hAnsi="Times New Roman"/>
          <w:szCs w:val="21"/>
        </w:rPr>
        <w:t>级配</w:t>
      </w:r>
      <w:r>
        <w:rPr>
          <w:rFonts w:ascii="Times New Roman" w:hAnsi="Times New Roman"/>
          <w:szCs w:val="21"/>
        </w:rPr>
        <w:t>不良，矿物成分以长石、石英及暗色矿物为主，含少量云母。该层</w:t>
      </w:r>
      <w:r>
        <w:rPr>
          <w:rFonts w:hint="eastAsia" w:ascii="Times New Roman" w:hAnsi="Times New Roman"/>
          <w:szCs w:val="21"/>
        </w:rPr>
        <w:t>在</w:t>
      </w:r>
      <w:r>
        <w:rPr>
          <w:rFonts w:ascii="Times New Roman" w:hAnsi="Times New Roman"/>
          <w:szCs w:val="21"/>
        </w:rPr>
        <w:t>区内广泛分布</w:t>
      </w:r>
      <w:r>
        <w:rPr>
          <w:rFonts w:hint="eastAsia" w:ascii="Times New Roman" w:hAnsi="Times New Roman"/>
          <w:szCs w:val="21"/>
        </w:rPr>
        <w:t>，层底标高</w:t>
      </w:r>
      <w:r>
        <w:rPr>
          <w:rFonts w:ascii="Times New Roman" w:hAnsi="Times New Roman"/>
          <w:szCs w:val="21"/>
        </w:rPr>
        <w:t>666.59~674.77m，层厚</w:t>
      </w:r>
      <w:r>
        <w:rPr>
          <w:rFonts w:hint="eastAsia" w:ascii="Times New Roman" w:hAnsi="Times New Roman"/>
          <w:szCs w:val="21"/>
        </w:rPr>
        <w:t>4.00~</w:t>
      </w:r>
      <w:r>
        <w:rPr>
          <w:rFonts w:ascii="Times New Roman" w:hAnsi="Times New Roman"/>
          <w:szCs w:val="21"/>
        </w:rPr>
        <w:t>8.80m。</w:t>
      </w:r>
    </w:p>
    <w:p w14:paraId="62BA2196">
      <w:pPr>
        <w:overflowPunct w:val="0"/>
        <w:spacing w:line="360" w:lineRule="auto"/>
        <w:ind w:firstLine="480" w:firstLineChars="200"/>
        <w:rPr>
          <w:rFonts w:ascii="Times New Roman" w:hAnsi="Times New Roman"/>
          <w:szCs w:val="21"/>
        </w:rPr>
      </w:pPr>
      <w:r>
        <w:rPr>
          <w:rFonts w:ascii="Cambria Math" w:hAnsi="Cambria Math" w:cs="Cambria Math"/>
          <w:szCs w:val="21"/>
        </w:rPr>
        <w:t>③</w:t>
      </w:r>
      <w:bookmarkEnd w:id="310"/>
      <w:r>
        <w:rPr>
          <w:rFonts w:hint="eastAsia" w:ascii="Times New Roman" w:hAnsi="Times New Roman"/>
          <w:szCs w:val="21"/>
        </w:rPr>
        <w:t>细砂</w:t>
      </w:r>
      <w:r>
        <w:rPr>
          <w:rFonts w:ascii="Times New Roman" w:hAnsi="Times New Roman"/>
          <w:szCs w:val="21"/>
        </w:rPr>
        <w:t>：</w:t>
      </w:r>
      <w:r>
        <w:rPr>
          <w:rFonts w:hint="eastAsia" w:ascii="Times New Roman" w:hAnsi="Times New Roman"/>
          <w:szCs w:val="21"/>
        </w:rPr>
        <w:t>青灰色</w:t>
      </w:r>
      <w:r>
        <w:rPr>
          <w:rFonts w:ascii="Times New Roman" w:hAnsi="Times New Roman"/>
          <w:szCs w:val="21"/>
        </w:rPr>
        <w:t>~灰白色，</w:t>
      </w:r>
      <w:r>
        <w:rPr>
          <w:rFonts w:hint="eastAsia" w:ascii="Times New Roman" w:hAnsi="Times New Roman"/>
          <w:szCs w:val="21"/>
        </w:rPr>
        <w:t>饱和，</w:t>
      </w:r>
      <w:r>
        <w:rPr>
          <w:rFonts w:ascii="Times New Roman" w:hAnsi="Times New Roman"/>
          <w:szCs w:val="21"/>
        </w:rPr>
        <w:t>密实。</w:t>
      </w:r>
      <w:r>
        <w:rPr>
          <w:rFonts w:hint="eastAsia" w:ascii="Times New Roman" w:hAnsi="Times New Roman"/>
          <w:szCs w:val="21"/>
        </w:rPr>
        <w:t>含</w:t>
      </w:r>
      <w:r>
        <w:rPr>
          <w:rFonts w:ascii="Times New Roman" w:hAnsi="Times New Roman"/>
          <w:szCs w:val="21"/>
        </w:rPr>
        <w:t>云母、石英、长石等矿物，级配不均匀，磨圆度</w:t>
      </w:r>
      <w:r>
        <w:rPr>
          <w:rFonts w:hint="eastAsia" w:ascii="Times New Roman" w:hAnsi="Times New Roman"/>
          <w:szCs w:val="21"/>
        </w:rPr>
        <w:t>一般</w:t>
      </w:r>
      <w:r>
        <w:rPr>
          <w:rFonts w:ascii="Times New Roman" w:hAnsi="Times New Roman"/>
          <w:szCs w:val="21"/>
        </w:rPr>
        <w:t>，</w:t>
      </w:r>
      <w:r>
        <w:rPr>
          <w:rFonts w:hint="eastAsia" w:ascii="Times New Roman" w:hAnsi="Times New Roman"/>
          <w:szCs w:val="21"/>
        </w:rPr>
        <w:t>呈</w:t>
      </w:r>
      <w:r>
        <w:rPr>
          <w:rFonts w:ascii="Times New Roman" w:hAnsi="Times New Roman"/>
          <w:szCs w:val="21"/>
        </w:rPr>
        <w:t>亚圆形，中粗砂充填</w:t>
      </w:r>
      <w:r>
        <w:rPr>
          <w:rFonts w:hint="eastAsia" w:ascii="Times New Roman" w:hAnsi="Times New Roman"/>
          <w:szCs w:val="21"/>
        </w:rPr>
        <w:t>10</w:t>
      </w:r>
      <w:r>
        <w:rPr>
          <w:rFonts w:ascii="Times New Roman" w:hAnsi="Times New Roman"/>
          <w:szCs w:val="21"/>
        </w:rPr>
        <w:t>%。</w:t>
      </w:r>
      <w:r>
        <w:rPr>
          <w:rFonts w:hint="eastAsia" w:ascii="Times New Roman" w:hAnsi="Times New Roman"/>
          <w:szCs w:val="21"/>
        </w:rPr>
        <w:t>该层在</w:t>
      </w:r>
      <w:r>
        <w:rPr>
          <w:rFonts w:ascii="Times New Roman" w:hAnsi="Times New Roman"/>
          <w:szCs w:val="21"/>
        </w:rPr>
        <w:t>区内广泛分布，</w:t>
      </w:r>
      <w:r>
        <w:rPr>
          <w:rFonts w:hint="eastAsia" w:ascii="Times New Roman" w:hAnsi="Times New Roman"/>
          <w:szCs w:val="21"/>
        </w:rPr>
        <w:t>未</w:t>
      </w:r>
      <w:r>
        <w:rPr>
          <w:rFonts w:ascii="Times New Roman" w:hAnsi="Times New Roman"/>
          <w:szCs w:val="21"/>
        </w:rPr>
        <w:t>揭穿。</w:t>
      </w:r>
    </w:p>
    <w:p w14:paraId="19A76D35">
      <w:pPr>
        <w:overflowPunct w:val="0"/>
        <w:spacing w:line="360" w:lineRule="auto"/>
        <w:ind w:firstLine="480" w:firstLineChars="200"/>
        <w:rPr>
          <w:rFonts w:ascii="Times New Roman" w:hAnsi="Times New Roman"/>
          <w:szCs w:val="21"/>
        </w:rPr>
      </w:pPr>
      <w:r>
        <w:rPr>
          <w:rFonts w:hint="eastAsia" w:ascii="Times New Roman" w:hAnsi="Times New Roman"/>
          <w:szCs w:val="21"/>
        </w:rPr>
        <w:t>项目区典型钻孔柱状图见图5.3.2-2。</w:t>
      </w:r>
    </w:p>
    <w:p w14:paraId="47154B71">
      <w:pPr>
        <w:widowControl w:val="0"/>
        <w:autoSpaceDE w:val="0"/>
        <w:autoSpaceDN w:val="0"/>
        <w:adjustRightInd w:val="0"/>
        <w:jc w:val="center"/>
        <w:rPr>
          <w:rFonts w:ascii="Times New Roman" w:hAnsi="Times New Roman" w:cs="Times New Roman"/>
          <w:bCs/>
          <w:snapToGrid w:val="0"/>
          <w:sz w:val="18"/>
          <w:szCs w:val="18"/>
          <w:u w:color="000000"/>
        </w:rPr>
      </w:pPr>
    </w:p>
    <w:p w14:paraId="16FC08F1">
      <w:pPr>
        <w:spacing w:line="360" w:lineRule="auto"/>
        <w:jc w:val="center"/>
        <w:rPr>
          <w:rFonts w:hint="eastAsia" w:ascii="黑体" w:hAnsi="黑体" w:eastAsia="黑体"/>
          <w:b/>
        </w:rPr>
      </w:pPr>
      <w:r>
        <w:rPr>
          <w:rFonts w:hint="eastAsia" w:ascii="黑体" w:hAnsi="黑体" w:eastAsia="黑体"/>
          <w:b/>
        </w:rPr>
        <w:t>图5.3.2-2    典型钻孔柱状图（H4）</w:t>
      </w:r>
    </w:p>
    <w:p w14:paraId="5DEFC5B0">
      <w:pPr>
        <w:spacing w:line="360" w:lineRule="auto"/>
        <w:rPr>
          <w:rFonts w:ascii="Times New Roman" w:hAnsi="Times New Roman" w:cs="Times New Roman"/>
        </w:rPr>
      </w:pPr>
    </w:p>
    <w:p w14:paraId="527FDD5C">
      <w:pPr>
        <w:overflowPunct w:val="0"/>
        <w:spacing w:line="360" w:lineRule="auto"/>
        <w:ind w:firstLine="480" w:firstLineChars="200"/>
        <w:rPr>
          <w:rFonts w:ascii="Times New Roman" w:hAnsi="Times New Roman"/>
          <w:szCs w:val="21"/>
        </w:rPr>
      </w:pPr>
      <w:r>
        <w:rPr>
          <w:rFonts w:hint="eastAsia" w:ascii="Times New Roman" w:hAnsi="Times New Roman"/>
          <w:szCs w:val="21"/>
        </w:rPr>
        <w:t>（3）水文地质条件</w:t>
      </w:r>
    </w:p>
    <w:p w14:paraId="0E5BE5E5">
      <w:pPr>
        <w:overflowPunct w:val="0"/>
        <w:spacing w:line="360" w:lineRule="auto"/>
        <w:ind w:firstLine="480" w:firstLineChars="200"/>
        <w:rPr>
          <w:rFonts w:ascii="Times New Roman" w:hAnsi="Times New Roman"/>
          <w:szCs w:val="21"/>
        </w:rPr>
      </w:pPr>
      <w:r>
        <w:rPr>
          <w:rFonts w:ascii="Times New Roman" w:hAnsi="Times New Roman"/>
          <w:szCs w:val="21"/>
        </w:rPr>
        <w:t>1）地下水类型及赋存条件</w:t>
      </w:r>
    </w:p>
    <w:p w14:paraId="768F4300">
      <w:pPr>
        <w:overflowPunct w:val="0"/>
        <w:spacing w:line="360" w:lineRule="auto"/>
        <w:ind w:firstLine="480" w:firstLineChars="200"/>
        <w:rPr>
          <w:rFonts w:ascii="Times New Roman" w:hAnsi="Times New Roman"/>
          <w:szCs w:val="21"/>
        </w:rPr>
      </w:pPr>
      <w:r>
        <w:rPr>
          <w:rFonts w:hint="eastAsia" w:ascii="Times New Roman" w:hAnsi="Times New Roman"/>
          <w:szCs w:val="21"/>
        </w:rPr>
        <w:t>评价区地下水的赋存条件与分布规律，受地貌、岩性、构造条件所控制，而气象因素对评价区地下水的补给和动态影响颇为显著，评价区雨量稀少，地下水的补给来源主要为</w:t>
      </w:r>
      <w:r>
        <w:rPr>
          <w:rFonts w:ascii="Times New Roman" w:hAnsi="Times New Roman"/>
          <w:szCs w:val="21"/>
        </w:rPr>
        <w:t>北部山区的雨雪</w:t>
      </w:r>
      <w:r>
        <w:rPr>
          <w:rFonts w:hint="eastAsia" w:ascii="Times New Roman" w:hAnsi="Times New Roman"/>
          <w:szCs w:val="21"/>
        </w:rPr>
        <w:t>、</w:t>
      </w:r>
      <w:r>
        <w:rPr>
          <w:rFonts w:ascii="Times New Roman" w:hAnsi="Times New Roman"/>
          <w:szCs w:val="21"/>
        </w:rPr>
        <w:t>冰川</w:t>
      </w:r>
      <w:r>
        <w:rPr>
          <w:rFonts w:hint="eastAsia" w:ascii="Times New Roman" w:hAnsi="Times New Roman"/>
          <w:szCs w:val="21"/>
        </w:rPr>
        <w:t>补给，地下水水化学类型较单一。</w:t>
      </w:r>
    </w:p>
    <w:p w14:paraId="710A5BC5">
      <w:pPr>
        <w:overflowPunct w:val="0"/>
        <w:spacing w:line="360" w:lineRule="auto"/>
        <w:ind w:firstLine="480" w:firstLineChars="200"/>
        <w:rPr>
          <w:rFonts w:ascii="Times New Roman" w:hAnsi="Times New Roman"/>
          <w:szCs w:val="21"/>
        </w:rPr>
      </w:pPr>
      <w:r>
        <w:rPr>
          <w:rFonts w:hint="eastAsia" w:ascii="Times New Roman" w:hAnsi="Times New Roman"/>
          <w:szCs w:val="21"/>
        </w:rPr>
        <w:t>按岩土体赋水条件和含水介质，评价区地下水类型为第四系松散岩类孔隙水。</w:t>
      </w:r>
    </w:p>
    <w:p w14:paraId="356F8FAD">
      <w:pPr>
        <w:overflowPunct w:val="0"/>
        <w:spacing w:line="360" w:lineRule="auto"/>
        <w:ind w:firstLine="480" w:firstLineChars="200"/>
        <w:rPr>
          <w:rFonts w:ascii="Times New Roman" w:hAnsi="Times New Roman"/>
          <w:szCs w:val="21"/>
        </w:rPr>
      </w:pPr>
      <w:r>
        <w:rPr>
          <w:rFonts w:hint="eastAsia" w:ascii="Times New Roman" w:hAnsi="Times New Roman"/>
          <w:szCs w:val="21"/>
        </w:rPr>
        <w:t>根据钻孔资料，评价区孔隙水含水介质主要为细砂及</w:t>
      </w:r>
      <w:r>
        <w:rPr>
          <w:rFonts w:ascii="Times New Roman" w:hAnsi="Times New Roman"/>
          <w:szCs w:val="21"/>
        </w:rPr>
        <w:t>粉砂</w:t>
      </w:r>
      <w:r>
        <w:rPr>
          <w:rFonts w:hint="eastAsia" w:ascii="Times New Roman" w:hAnsi="Times New Roman"/>
          <w:szCs w:val="21"/>
        </w:rPr>
        <w:t>组成，水量丰富-中等。循环交替较为强烈，水质较好。</w:t>
      </w:r>
    </w:p>
    <w:p w14:paraId="13E7A41C">
      <w:pPr>
        <w:overflowPunct w:val="0"/>
        <w:spacing w:line="360" w:lineRule="auto"/>
        <w:ind w:firstLine="480" w:firstLineChars="200"/>
        <w:rPr>
          <w:rFonts w:ascii="Times New Roman" w:hAnsi="Times New Roman"/>
          <w:szCs w:val="21"/>
        </w:rPr>
      </w:pPr>
      <w:r>
        <w:rPr>
          <w:rFonts w:hint="eastAsia"/>
          <w:szCs w:val="21"/>
        </w:rPr>
        <w:t>根据水文地质勘察情况，评价区内地层条件单一，以细砂、粉砂为主，潜水含水层厚度均大于</w:t>
      </w:r>
      <w:r>
        <w:rPr>
          <w:rFonts w:ascii="Times New Roman" w:hAnsi="Times New Roman" w:eastAsia="Times New Roman"/>
          <w:szCs w:val="21"/>
        </w:rPr>
        <w:t>50</w:t>
      </w:r>
      <w:r>
        <w:rPr>
          <w:rFonts w:hint="eastAsia"/>
          <w:szCs w:val="21"/>
        </w:rPr>
        <w:t>米（未揭穿），渗透系数可以取</w:t>
      </w:r>
      <w:r>
        <w:rPr>
          <w:rFonts w:ascii="Times New Roman" w:hAnsi="Times New Roman" w:eastAsia="Times New Roman"/>
          <w:szCs w:val="21"/>
        </w:rPr>
        <w:t>5m/d</w:t>
      </w:r>
      <w:r>
        <w:rPr>
          <w:rFonts w:hint="eastAsia"/>
          <w:szCs w:val="21"/>
        </w:rPr>
        <w:t>。</w:t>
      </w:r>
    </w:p>
    <w:p w14:paraId="388F8BDB">
      <w:pPr>
        <w:overflowPunct w:val="0"/>
        <w:spacing w:line="360" w:lineRule="auto"/>
        <w:ind w:firstLine="480" w:firstLineChars="200"/>
        <w:rPr>
          <w:rFonts w:ascii="Times New Roman" w:hAnsi="Times New Roman"/>
          <w:szCs w:val="21"/>
        </w:rPr>
      </w:pPr>
      <w:r>
        <w:rPr>
          <w:rFonts w:hint="eastAsia" w:ascii="Times New Roman" w:hAnsi="Times New Roman"/>
          <w:szCs w:val="21"/>
        </w:rPr>
        <w:t>评价区水文地质图见图</w:t>
      </w:r>
      <w:r>
        <w:rPr>
          <w:rFonts w:ascii="Times New Roman" w:hAnsi="Times New Roman"/>
          <w:szCs w:val="21"/>
        </w:rPr>
        <w:t>4</w:t>
      </w:r>
      <w:r>
        <w:rPr>
          <w:rFonts w:hint="eastAsia" w:ascii="Times New Roman" w:hAnsi="Times New Roman"/>
          <w:szCs w:val="21"/>
        </w:rPr>
        <w:t>.2.</w:t>
      </w:r>
      <w:r>
        <w:rPr>
          <w:rFonts w:ascii="Times New Roman" w:hAnsi="Times New Roman"/>
          <w:szCs w:val="21"/>
        </w:rPr>
        <w:t>1</w:t>
      </w:r>
      <w:r>
        <w:rPr>
          <w:rFonts w:hint="eastAsia" w:ascii="Times New Roman" w:hAnsi="Times New Roman"/>
          <w:szCs w:val="21"/>
        </w:rPr>
        <w:t>-5。</w:t>
      </w:r>
    </w:p>
    <w:p w14:paraId="75F5278C">
      <w:pPr>
        <w:widowControl w:val="0"/>
        <w:autoSpaceDE w:val="0"/>
        <w:autoSpaceDN w:val="0"/>
        <w:adjustRightInd w:val="0"/>
        <w:jc w:val="center"/>
        <w:rPr>
          <w:rFonts w:ascii="Times New Roman" w:hAnsi="Times New Roman" w:cs="Times New Roman"/>
          <w:bCs/>
          <w:snapToGrid w:val="0"/>
          <w:sz w:val="18"/>
          <w:szCs w:val="18"/>
          <w:u w:color="000000"/>
        </w:rPr>
      </w:pPr>
    </w:p>
    <w:p w14:paraId="58FB21A4">
      <w:pPr>
        <w:spacing w:line="360" w:lineRule="auto"/>
        <w:jc w:val="center"/>
        <w:rPr>
          <w:rFonts w:hint="eastAsia" w:ascii="黑体" w:hAnsi="黑体" w:eastAsia="黑体"/>
          <w:b/>
        </w:rPr>
      </w:pPr>
      <w:r>
        <w:rPr>
          <w:rFonts w:hint="eastAsia" w:ascii="黑体" w:hAnsi="黑体" w:eastAsia="黑体"/>
          <w:b/>
        </w:rPr>
        <w:t>图5.3.2.3     评价区水文地质图（1:5万）</w:t>
      </w:r>
    </w:p>
    <w:p w14:paraId="35466D1E">
      <w:pPr>
        <w:overflowPunct w:val="0"/>
        <w:spacing w:line="360" w:lineRule="auto"/>
        <w:ind w:firstLine="480" w:firstLineChars="200"/>
        <w:rPr>
          <w:rFonts w:ascii="Times New Roman" w:hAnsi="Times New Roman"/>
          <w:szCs w:val="21"/>
        </w:rPr>
      </w:pPr>
      <w:r>
        <w:rPr>
          <w:rFonts w:ascii="Times New Roman" w:hAnsi="Times New Roman"/>
          <w:szCs w:val="21"/>
        </w:rPr>
        <w:t>2）地下水</w:t>
      </w:r>
      <w:r>
        <w:rPr>
          <w:rFonts w:hint="eastAsia" w:ascii="Times New Roman" w:hAnsi="Times New Roman"/>
          <w:szCs w:val="21"/>
        </w:rPr>
        <w:t>补、径、排条件</w:t>
      </w:r>
    </w:p>
    <w:p w14:paraId="69D4D7E3">
      <w:pPr>
        <w:overflowPunct w:val="0"/>
        <w:spacing w:line="360" w:lineRule="auto"/>
        <w:ind w:firstLine="480" w:firstLineChars="200"/>
        <w:rPr>
          <w:rFonts w:ascii="Times New Roman" w:hAnsi="Times New Roman"/>
          <w:szCs w:val="21"/>
        </w:rPr>
      </w:pPr>
      <w:r>
        <w:rPr>
          <w:rFonts w:hint="eastAsia"/>
          <w:szCs w:val="21"/>
        </w:rPr>
        <w:t>①</w:t>
      </w:r>
      <w:r>
        <w:rPr>
          <w:rFonts w:ascii="Times New Roman" w:hAnsi="Times New Roman"/>
          <w:szCs w:val="21"/>
        </w:rPr>
        <w:t>补给：南部循环经济产业园地下水的补给来源主要为上游地下水的侧向流入补给，其次为灌溉水垂向入渗补给。因该区降水量小蒸发大，无法形成有效降水量，对评价区地下水基本没有补给。</w:t>
      </w:r>
    </w:p>
    <w:p w14:paraId="256AFDF4">
      <w:pPr>
        <w:overflowPunct w:val="0"/>
        <w:spacing w:line="360" w:lineRule="auto"/>
        <w:ind w:firstLine="480" w:firstLineChars="200"/>
        <w:rPr>
          <w:rFonts w:ascii="Times New Roman" w:hAnsi="Times New Roman"/>
          <w:szCs w:val="21"/>
        </w:rPr>
      </w:pPr>
      <w:r>
        <w:rPr>
          <w:rFonts w:hint="eastAsia"/>
          <w:szCs w:val="21"/>
        </w:rPr>
        <w:t>②</w:t>
      </w:r>
      <w:r>
        <w:rPr>
          <w:rFonts w:ascii="Times New Roman" w:hAnsi="Times New Roman"/>
          <w:szCs w:val="21"/>
        </w:rPr>
        <w:t>径流：地下水的径流条件主要受地形地貌条件和含水介质所控制，区域内地下水整体流向为N20°E方向向S20°W流动。南部循环经济产业园流向与地形走向基本一致，水力坡度</w:t>
      </w:r>
      <w:r>
        <w:rPr>
          <w:rFonts w:hint="eastAsia" w:ascii="Times New Roman" w:hAnsi="Times New Roman"/>
          <w:szCs w:val="28"/>
        </w:rPr>
        <w:t>2</w:t>
      </w:r>
      <w:r>
        <w:rPr>
          <w:rFonts w:ascii="Times New Roman" w:hAnsi="Times New Roman"/>
          <w:szCs w:val="21"/>
        </w:rPr>
        <w:t>～4‰，渗透系数5m/d，地下水流场较为简单。</w:t>
      </w:r>
    </w:p>
    <w:p w14:paraId="149D2EFE">
      <w:pPr>
        <w:overflowPunct w:val="0"/>
        <w:spacing w:line="360" w:lineRule="auto"/>
        <w:ind w:firstLine="480" w:firstLineChars="200"/>
        <w:rPr>
          <w:rFonts w:ascii="Times New Roman" w:hAnsi="Times New Roman"/>
          <w:szCs w:val="21"/>
        </w:rPr>
      </w:pPr>
      <w:r>
        <w:rPr>
          <w:rFonts w:hint="eastAsia"/>
          <w:szCs w:val="21"/>
        </w:rPr>
        <w:t>③</w:t>
      </w:r>
      <w:r>
        <w:rPr>
          <w:rFonts w:ascii="Times New Roman" w:hAnsi="Times New Roman"/>
          <w:szCs w:val="21"/>
        </w:rPr>
        <w:t>区内地下水的排泄方式为地下水侧向流出排泄和人工开采。</w:t>
      </w:r>
    </w:p>
    <w:p w14:paraId="6D208656">
      <w:pPr>
        <w:overflowPunct w:val="0"/>
        <w:spacing w:line="360" w:lineRule="auto"/>
        <w:ind w:firstLine="480" w:firstLineChars="200"/>
        <w:rPr>
          <w:rFonts w:ascii="Times New Roman" w:hAnsi="Times New Roman"/>
          <w:szCs w:val="21"/>
        </w:rPr>
      </w:pPr>
      <w:r>
        <w:rPr>
          <w:rFonts w:hint="eastAsia" w:ascii="Times New Roman" w:hAnsi="Times New Roman"/>
          <w:szCs w:val="21"/>
        </w:rPr>
        <w:t>本项目在水文地质勘察工作中，对地下水水位进行了监测，地下水水位监测结果见表5.3.2-1，并根据水位监测结果绘制评价区地下水等水位线图，见图5.3.2-4。</w:t>
      </w:r>
    </w:p>
    <w:p w14:paraId="13CE76B3">
      <w:pPr>
        <w:spacing w:line="360" w:lineRule="auto"/>
        <w:jc w:val="center"/>
        <w:rPr>
          <w:rFonts w:hint="eastAsia" w:ascii="黑体" w:hAnsi="黑体" w:eastAsia="黑体"/>
          <w:b/>
        </w:rPr>
      </w:pPr>
      <w:r>
        <w:rPr>
          <w:rFonts w:hint="eastAsia" w:ascii="黑体" w:hAnsi="黑体" w:eastAsia="黑体"/>
          <w:b/>
        </w:rPr>
        <w:t>表5.3.2-1   地下水水位监测结果表</w:t>
      </w:r>
    </w:p>
    <w:tbl>
      <w:tblPr>
        <w:tblStyle w:val="6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633"/>
        <w:gridCol w:w="2321"/>
        <w:gridCol w:w="2488"/>
      </w:tblGrid>
      <w:tr w14:paraId="2717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72AC6267">
            <w:pPr>
              <w:autoSpaceDE w:val="0"/>
              <w:autoSpaceDN w:val="0"/>
              <w:jc w:val="center"/>
              <w:rPr>
                <w:rFonts w:ascii="Times New Roman" w:hAnsi="Times New Roman"/>
                <w:snapToGrid w:val="0"/>
                <w:sz w:val="21"/>
                <w:szCs w:val="21"/>
              </w:rPr>
            </w:pPr>
            <w:r>
              <w:rPr>
                <w:rFonts w:ascii="Times New Roman" w:hAnsi="Times New Roman"/>
                <w:snapToGrid w:val="0"/>
                <w:sz w:val="21"/>
                <w:szCs w:val="21"/>
              </w:rPr>
              <w:t>监测点</w:t>
            </w:r>
          </w:p>
        </w:tc>
        <w:tc>
          <w:tcPr>
            <w:tcW w:w="959" w:type="pct"/>
            <w:vAlign w:val="center"/>
          </w:tcPr>
          <w:p w14:paraId="5A47FE28">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监测时间</w:t>
            </w:r>
          </w:p>
        </w:tc>
        <w:tc>
          <w:tcPr>
            <w:tcW w:w="1363" w:type="pct"/>
            <w:vAlign w:val="center"/>
          </w:tcPr>
          <w:p w14:paraId="16EE1E60">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水位埋深（m）</w:t>
            </w:r>
          </w:p>
        </w:tc>
        <w:tc>
          <w:tcPr>
            <w:tcW w:w="1461" w:type="pct"/>
            <w:vAlign w:val="center"/>
          </w:tcPr>
          <w:p w14:paraId="480FF42F">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井深（m）</w:t>
            </w:r>
          </w:p>
        </w:tc>
      </w:tr>
      <w:tr w14:paraId="1D57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4CDB0B75">
            <w:pPr>
              <w:autoSpaceDE w:val="0"/>
              <w:autoSpaceDN w:val="0"/>
              <w:jc w:val="center"/>
              <w:rPr>
                <w:rFonts w:ascii="Times New Roman" w:hAnsi="Times New Roman"/>
                <w:snapToGrid w:val="0"/>
                <w:sz w:val="21"/>
                <w:szCs w:val="21"/>
                <w:lang w:val="zh-CN"/>
              </w:rPr>
            </w:pPr>
            <w:r>
              <w:rPr>
                <w:rFonts w:ascii="Times New Roman" w:hAnsi="Times New Roman"/>
                <w:sz w:val="21"/>
                <w:szCs w:val="21"/>
              </w:rPr>
              <w:t>H1</w:t>
            </w:r>
          </w:p>
        </w:tc>
        <w:tc>
          <w:tcPr>
            <w:tcW w:w="959" w:type="pct"/>
            <w:vMerge w:val="restart"/>
            <w:vAlign w:val="center"/>
          </w:tcPr>
          <w:p w14:paraId="0A535343">
            <w:pPr>
              <w:autoSpaceDE w:val="0"/>
              <w:autoSpaceDN w:val="0"/>
              <w:jc w:val="center"/>
              <w:rPr>
                <w:rFonts w:ascii="Times New Roman" w:hAnsi="Times New Roman"/>
                <w:snapToGrid w:val="0"/>
                <w:sz w:val="21"/>
                <w:szCs w:val="21"/>
              </w:rPr>
            </w:pPr>
            <w:r>
              <w:rPr>
                <w:rFonts w:hint="eastAsia" w:ascii="Times New Roman" w:hAnsi="Times New Roman"/>
                <w:bCs/>
                <w:sz w:val="21"/>
                <w:szCs w:val="21"/>
              </w:rPr>
              <w:t>2020年11月17日</w:t>
            </w:r>
          </w:p>
        </w:tc>
        <w:tc>
          <w:tcPr>
            <w:tcW w:w="1363" w:type="pct"/>
            <w:vAlign w:val="center"/>
          </w:tcPr>
          <w:p w14:paraId="39ADD6F4">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3</w:t>
            </w:r>
          </w:p>
        </w:tc>
        <w:tc>
          <w:tcPr>
            <w:tcW w:w="1461" w:type="pct"/>
            <w:vAlign w:val="center"/>
          </w:tcPr>
          <w:p w14:paraId="5D1C2F85">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56</w:t>
            </w:r>
          </w:p>
        </w:tc>
      </w:tr>
      <w:tr w14:paraId="61FF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5373062B">
            <w:pPr>
              <w:autoSpaceDE w:val="0"/>
              <w:autoSpaceDN w:val="0"/>
              <w:jc w:val="center"/>
              <w:rPr>
                <w:rFonts w:ascii="Times New Roman" w:hAnsi="Times New Roman"/>
                <w:sz w:val="21"/>
                <w:szCs w:val="21"/>
              </w:rPr>
            </w:pPr>
            <w:r>
              <w:rPr>
                <w:rFonts w:ascii="Times New Roman" w:hAnsi="Times New Roman"/>
                <w:sz w:val="21"/>
                <w:szCs w:val="21"/>
              </w:rPr>
              <w:t>H2</w:t>
            </w:r>
          </w:p>
        </w:tc>
        <w:tc>
          <w:tcPr>
            <w:tcW w:w="959" w:type="pct"/>
            <w:vMerge w:val="continue"/>
            <w:vAlign w:val="center"/>
          </w:tcPr>
          <w:p w14:paraId="7EC0910F">
            <w:pPr>
              <w:autoSpaceDE w:val="0"/>
              <w:autoSpaceDN w:val="0"/>
              <w:jc w:val="center"/>
              <w:rPr>
                <w:rFonts w:ascii="Times New Roman" w:hAnsi="Times New Roman"/>
                <w:snapToGrid w:val="0"/>
                <w:sz w:val="21"/>
                <w:szCs w:val="21"/>
              </w:rPr>
            </w:pPr>
          </w:p>
        </w:tc>
        <w:tc>
          <w:tcPr>
            <w:tcW w:w="1363" w:type="pct"/>
            <w:vAlign w:val="center"/>
          </w:tcPr>
          <w:p w14:paraId="3C89ECCD">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4</w:t>
            </w:r>
          </w:p>
        </w:tc>
        <w:tc>
          <w:tcPr>
            <w:tcW w:w="1461" w:type="pct"/>
            <w:vAlign w:val="center"/>
          </w:tcPr>
          <w:p w14:paraId="124E5429">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52</w:t>
            </w:r>
          </w:p>
        </w:tc>
      </w:tr>
      <w:tr w14:paraId="04FC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1C455D29">
            <w:pPr>
              <w:autoSpaceDE w:val="0"/>
              <w:autoSpaceDN w:val="0"/>
              <w:jc w:val="center"/>
              <w:rPr>
                <w:rFonts w:ascii="Times New Roman" w:hAnsi="Times New Roman"/>
                <w:sz w:val="21"/>
                <w:szCs w:val="21"/>
              </w:rPr>
            </w:pPr>
            <w:r>
              <w:rPr>
                <w:rFonts w:ascii="Times New Roman" w:hAnsi="Times New Roman"/>
                <w:sz w:val="21"/>
                <w:szCs w:val="21"/>
              </w:rPr>
              <w:t>H3</w:t>
            </w:r>
          </w:p>
        </w:tc>
        <w:tc>
          <w:tcPr>
            <w:tcW w:w="959" w:type="pct"/>
            <w:vMerge w:val="continue"/>
            <w:vAlign w:val="center"/>
          </w:tcPr>
          <w:p w14:paraId="2C13B2FB">
            <w:pPr>
              <w:autoSpaceDE w:val="0"/>
              <w:autoSpaceDN w:val="0"/>
              <w:jc w:val="center"/>
              <w:rPr>
                <w:rFonts w:ascii="Times New Roman" w:hAnsi="Times New Roman"/>
                <w:snapToGrid w:val="0"/>
                <w:sz w:val="21"/>
                <w:szCs w:val="21"/>
              </w:rPr>
            </w:pPr>
          </w:p>
        </w:tc>
        <w:tc>
          <w:tcPr>
            <w:tcW w:w="1363" w:type="pct"/>
            <w:vAlign w:val="center"/>
          </w:tcPr>
          <w:p w14:paraId="0AC60CCC">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5.5</w:t>
            </w:r>
          </w:p>
        </w:tc>
        <w:tc>
          <w:tcPr>
            <w:tcW w:w="1461" w:type="pct"/>
            <w:vAlign w:val="center"/>
          </w:tcPr>
          <w:p w14:paraId="6AE597C4">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50</w:t>
            </w:r>
          </w:p>
        </w:tc>
      </w:tr>
      <w:tr w14:paraId="357A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5B4DFA0B">
            <w:pPr>
              <w:autoSpaceDE w:val="0"/>
              <w:autoSpaceDN w:val="0"/>
              <w:jc w:val="center"/>
              <w:rPr>
                <w:rFonts w:ascii="Times New Roman" w:hAnsi="Times New Roman"/>
                <w:sz w:val="21"/>
                <w:szCs w:val="21"/>
              </w:rPr>
            </w:pPr>
            <w:r>
              <w:rPr>
                <w:rFonts w:ascii="Times New Roman" w:hAnsi="Times New Roman"/>
                <w:sz w:val="21"/>
                <w:szCs w:val="21"/>
              </w:rPr>
              <w:t>H4</w:t>
            </w:r>
          </w:p>
        </w:tc>
        <w:tc>
          <w:tcPr>
            <w:tcW w:w="959" w:type="pct"/>
            <w:vMerge w:val="continue"/>
            <w:vAlign w:val="center"/>
          </w:tcPr>
          <w:p w14:paraId="597E68D6">
            <w:pPr>
              <w:autoSpaceDE w:val="0"/>
              <w:autoSpaceDN w:val="0"/>
              <w:jc w:val="center"/>
              <w:rPr>
                <w:rFonts w:ascii="Times New Roman" w:hAnsi="Times New Roman"/>
                <w:snapToGrid w:val="0"/>
                <w:sz w:val="21"/>
                <w:szCs w:val="21"/>
              </w:rPr>
            </w:pPr>
          </w:p>
        </w:tc>
        <w:tc>
          <w:tcPr>
            <w:tcW w:w="1363" w:type="pct"/>
            <w:vAlign w:val="center"/>
          </w:tcPr>
          <w:p w14:paraId="6188C8B6">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7</w:t>
            </w:r>
          </w:p>
        </w:tc>
        <w:tc>
          <w:tcPr>
            <w:tcW w:w="1461" w:type="pct"/>
            <w:vAlign w:val="center"/>
          </w:tcPr>
          <w:p w14:paraId="5788C854">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52</w:t>
            </w:r>
          </w:p>
        </w:tc>
      </w:tr>
      <w:tr w14:paraId="6056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7" w:type="pct"/>
            <w:vAlign w:val="center"/>
          </w:tcPr>
          <w:p w14:paraId="2C047EB1">
            <w:pPr>
              <w:autoSpaceDE w:val="0"/>
              <w:autoSpaceDN w:val="0"/>
              <w:jc w:val="center"/>
              <w:rPr>
                <w:rFonts w:ascii="Times New Roman" w:hAnsi="Times New Roman"/>
                <w:sz w:val="21"/>
                <w:szCs w:val="21"/>
              </w:rPr>
            </w:pPr>
            <w:r>
              <w:rPr>
                <w:rFonts w:ascii="Times New Roman" w:hAnsi="Times New Roman"/>
                <w:sz w:val="21"/>
                <w:szCs w:val="21"/>
              </w:rPr>
              <w:t>H5</w:t>
            </w:r>
          </w:p>
        </w:tc>
        <w:tc>
          <w:tcPr>
            <w:tcW w:w="959" w:type="pct"/>
            <w:vMerge w:val="continue"/>
            <w:vAlign w:val="center"/>
          </w:tcPr>
          <w:p w14:paraId="437D1C66">
            <w:pPr>
              <w:autoSpaceDE w:val="0"/>
              <w:autoSpaceDN w:val="0"/>
              <w:jc w:val="center"/>
              <w:rPr>
                <w:rFonts w:ascii="Times New Roman" w:hAnsi="Times New Roman"/>
                <w:bCs/>
                <w:sz w:val="21"/>
                <w:szCs w:val="21"/>
                <w:lang w:val="zh-CN"/>
              </w:rPr>
            </w:pPr>
          </w:p>
        </w:tc>
        <w:tc>
          <w:tcPr>
            <w:tcW w:w="1363" w:type="pct"/>
            <w:vAlign w:val="center"/>
          </w:tcPr>
          <w:p w14:paraId="31B75590">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6</w:t>
            </w:r>
          </w:p>
        </w:tc>
        <w:tc>
          <w:tcPr>
            <w:tcW w:w="1461" w:type="pct"/>
            <w:vAlign w:val="center"/>
          </w:tcPr>
          <w:p w14:paraId="615A4D5A">
            <w:pPr>
              <w:autoSpaceDE w:val="0"/>
              <w:autoSpaceDN w:val="0"/>
              <w:jc w:val="center"/>
              <w:rPr>
                <w:rFonts w:ascii="Times New Roman" w:hAnsi="Times New Roman"/>
                <w:snapToGrid w:val="0"/>
                <w:sz w:val="21"/>
                <w:szCs w:val="21"/>
              </w:rPr>
            </w:pPr>
            <w:r>
              <w:rPr>
                <w:rFonts w:hint="eastAsia" w:ascii="Times New Roman" w:hAnsi="Times New Roman"/>
                <w:snapToGrid w:val="0"/>
                <w:sz w:val="21"/>
                <w:szCs w:val="21"/>
              </w:rPr>
              <w:t>52</w:t>
            </w:r>
          </w:p>
        </w:tc>
      </w:tr>
    </w:tbl>
    <w:p w14:paraId="6CAB901E">
      <w:pPr>
        <w:widowControl w:val="0"/>
        <w:autoSpaceDE w:val="0"/>
        <w:autoSpaceDN w:val="0"/>
        <w:adjustRightInd w:val="0"/>
        <w:jc w:val="center"/>
        <w:rPr>
          <w:rFonts w:ascii="Times New Roman" w:hAnsi="Times New Roman" w:cs="Times New Roman"/>
          <w:bCs/>
          <w:snapToGrid w:val="0"/>
          <w:sz w:val="18"/>
          <w:szCs w:val="18"/>
          <w:u w:color="000000"/>
        </w:rPr>
      </w:pPr>
    </w:p>
    <w:p w14:paraId="0CC4BA80">
      <w:pPr>
        <w:spacing w:line="360" w:lineRule="auto"/>
        <w:jc w:val="center"/>
        <w:rPr>
          <w:rFonts w:hint="eastAsia" w:ascii="黑体" w:hAnsi="黑体" w:eastAsia="黑体"/>
          <w:b/>
        </w:rPr>
      </w:pPr>
      <w:r>
        <w:rPr>
          <w:rFonts w:hint="eastAsia" w:ascii="黑体" w:hAnsi="黑体" w:eastAsia="黑体"/>
          <w:b/>
        </w:rPr>
        <w:t>图5.3.2-4    评价</w:t>
      </w:r>
      <w:r>
        <w:rPr>
          <w:rFonts w:ascii="黑体" w:hAnsi="黑体" w:eastAsia="黑体"/>
          <w:b/>
        </w:rPr>
        <w:t>区等水位线图（2020年12月）</w:t>
      </w:r>
    </w:p>
    <w:p w14:paraId="72336DAE">
      <w:pPr>
        <w:overflowPunct w:val="0"/>
        <w:spacing w:line="360" w:lineRule="auto"/>
        <w:ind w:firstLine="480" w:firstLineChars="200"/>
        <w:rPr>
          <w:rFonts w:ascii="Times New Roman" w:hAnsi="Times New Roman"/>
          <w:szCs w:val="21"/>
        </w:rPr>
      </w:pPr>
      <w:r>
        <w:rPr>
          <w:rFonts w:ascii="Times New Roman" w:hAnsi="Times New Roman"/>
          <w:szCs w:val="21"/>
        </w:rPr>
        <w:t>3）地下水动态特征</w:t>
      </w:r>
    </w:p>
    <w:p w14:paraId="3A039A5B">
      <w:pPr>
        <w:overflowPunct w:val="0"/>
        <w:spacing w:line="360" w:lineRule="auto"/>
        <w:ind w:firstLine="480" w:firstLineChars="200"/>
        <w:rPr>
          <w:rFonts w:ascii="Times New Roman" w:hAnsi="Times New Roman"/>
          <w:szCs w:val="21"/>
        </w:rPr>
      </w:pPr>
      <w:r>
        <w:rPr>
          <w:rFonts w:hint="eastAsia" w:ascii="Times New Roman" w:hAnsi="Times New Roman"/>
          <w:szCs w:val="21"/>
        </w:rPr>
        <w:t>评价区地下水位动态为开采-蒸发型，地下水位动态变化与季节、上游及周边地区过量开采地下水有直接关系。地下水水位季节变化较为明显，夏季地下水水位相对较高，而秋冬干燥季节相对较低，年变化幅度一般1~2m。由于本区降雨量少、蒸发量大，因此水位动态更多的是与气候干燥程度和持续时间关系更密切。含水层岩性为细砂，透水性较好，地下水循环交替强烈。</w:t>
      </w:r>
    </w:p>
    <w:p w14:paraId="37456F7F">
      <w:pPr>
        <w:overflowPunct w:val="0"/>
        <w:spacing w:line="360" w:lineRule="auto"/>
        <w:ind w:firstLine="480" w:firstLineChars="200"/>
        <w:rPr>
          <w:rFonts w:ascii="Times New Roman" w:hAnsi="Times New Roman"/>
          <w:szCs w:val="21"/>
        </w:rPr>
      </w:pPr>
      <w:r>
        <w:rPr>
          <w:rFonts w:ascii="Times New Roman" w:hAnsi="Times New Roman"/>
          <w:szCs w:val="21"/>
        </w:rPr>
        <w:t>4）地下水水化学特征</w:t>
      </w:r>
    </w:p>
    <w:p w14:paraId="7DD33E30">
      <w:pPr>
        <w:overflowPunct w:val="0"/>
        <w:spacing w:line="360" w:lineRule="auto"/>
        <w:ind w:firstLine="480" w:firstLineChars="200"/>
        <w:rPr>
          <w:rFonts w:ascii="Times New Roman" w:hAnsi="Times New Roman"/>
          <w:szCs w:val="21"/>
        </w:rPr>
      </w:pPr>
      <w:r>
        <w:rPr>
          <w:rFonts w:ascii="Times New Roman" w:hAnsi="Times New Roman"/>
          <w:szCs w:val="21"/>
        </w:rPr>
        <w:t>评价区地下水主要的补给来源为位于北部石城子沟河水的入渗，南部地下水化学类型为SO</w:t>
      </w:r>
      <w:r>
        <w:rPr>
          <w:rFonts w:ascii="Times New Roman" w:hAnsi="Times New Roman"/>
          <w:szCs w:val="21"/>
          <w:vertAlign w:val="subscript"/>
        </w:rPr>
        <w:t>4</w:t>
      </w:r>
      <w:r>
        <w:rPr>
          <w:rFonts w:ascii="Times New Roman" w:hAnsi="Times New Roman"/>
          <w:szCs w:val="21"/>
        </w:rPr>
        <w:t>-Ca-Na型水。</w:t>
      </w:r>
    </w:p>
    <w:p w14:paraId="2C05BC96">
      <w:pPr>
        <w:overflowPunct w:val="0"/>
        <w:spacing w:line="360" w:lineRule="auto"/>
        <w:ind w:firstLine="480" w:firstLineChars="200"/>
        <w:rPr>
          <w:rFonts w:ascii="Times New Roman" w:hAnsi="Times New Roman"/>
          <w:szCs w:val="21"/>
        </w:rPr>
      </w:pPr>
      <w:r>
        <w:rPr>
          <w:rFonts w:ascii="Times New Roman" w:hAnsi="Times New Roman"/>
          <w:szCs w:val="21"/>
        </w:rPr>
        <w:t>5）地下水开发利用现状</w:t>
      </w:r>
    </w:p>
    <w:p w14:paraId="732097C9">
      <w:pPr>
        <w:overflowPunct w:val="0"/>
        <w:spacing w:line="360" w:lineRule="auto"/>
        <w:ind w:firstLine="480" w:firstLineChars="200"/>
        <w:rPr>
          <w:rFonts w:ascii="Times New Roman" w:hAnsi="Times New Roman"/>
          <w:szCs w:val="21"/>
        </w:rPr>
      </w:pPr>
      <w:r>
        <w:rPr>
          <w:rFonts w:hint="eastAsia" w:ascii="Times New Roman" w:hAnsi="Times New Roman"/>
          <w:szCs w:val="21"/>
        </w:rPr>
        <w:t>评价区位于哈密</w:t>
      </w:r>
      <w:r>
        <w:rPr>
          <w:rFonts w:ascii="Times New Roman" w:hAnsi="Times New Roman"/>
          <w:szCs w:val="21"/>
        </w:rPr>
        <w:t>工业园区内，</w:t>
      </w:r>
      <w:r>
        <w:rPr>
          <w:rFonts w:hint="eastAsia" w:ascii="Times New Roman" w:hAnsi="Times New Roman"/>
          <w:szCs w:val="21"/>
        </w:rPr>
        <w:t>附近</w:t>
      </w:r>
      <w:r>
        <w:rPr>
          <w:rFonts w:ascii="Times New Roman" w:hAnsi="Times New Roman"/>
          <w:szCs w:val="21"/>
        </w:rPr>
        <w:t>无村庄</w:t>
      </w:r>
      <w:r>
        <w:rPr>
          <w:rFonts w:hint="eastAsia" w:ascii="Times New Roman" w:hAnsi="Times New Roman"/>
          <w:szCs w:val="21"/>
        </w:rPr>
        <w:t>，园区生产</w:t>
      </w:r>
      <w:r>
        <w:rPr>
          <w:rFonts w:ascii="Times New Roman" w:hAnsi="Times New Roman"/>
          <w:szCs w:val="21"/>
        </w:rPr>
        <w:t>生活用水</w:t>
      </w:r>
      <w:r>
        <w:rPr>
          <w:rFonts w:hint="eastAsia" w:ascii="Times New Roman" w:hAnsi="Times New Roman"/>
          <w:szCs w:val="21"/>
        </w:rPr>
        <w:t>主要</w:t>
      </w:r>
      <w:r>
        <w:rPr>
          <w:rFonts w:ascii="Times New Roman" w:hAnsi="Times New Roman"/>
          <w:szCs w:val="21"/>
        </w:rPr>
        <w:t>由</w:t>
      </w:r>
      <w:r>
        <w:rPr>
          <w:rFonts w:hint="eastAsia" w:ascii="Times New Roman" w:hAnsi="Times New Roman"/>
          <w:szCs w:val="21"/>
        </w:rPr>
        <w:t>市政管网供水，评价区</w:t>
      </w:r>
      <w:r>
        <w:rPr>
          <w:rFonts w:ascii="Times New Roman" w:hAnsi="Times New Roman"/>
          <w:szCs w:val="21"/>
        </w:rPr>
        <w:t>内处于荒地未开发状态。</w:t>
      </w:r>
    </w:p>
    <w:p w14:paraId="446BFD4B">
      <w:pPr>
        <w:overflowPunct w:val="0"/>
        <w:spacing w:line="360" w:lineRule="auto"/>
        <w:ind w:firstLine="480" w:firstLineChars="200"/>
        <w:rPr>
          <w:rFonts w:ascii="Times New Roman" w:hAnsi="Times New Roman"/>
          <w:szCs w:val="21"/>
        </w:rPr>
      </w:pPr>
      <w:r>
        <w:rPr>
          <w:rFonts w:hint="eastAsia" w:ascii="Times New Roman" w:hAnsi="Times New Roman"/>
          <w:szCs w:val="21"/>
        </w:rPr>
        <w:t>4、水文地质试验</w:t>
      </w:r>
    </w:p>
    <w:p w14:paraId="7DE10913">
      <w:pPr>
        <w:overflowPunct w:val="0"/>
        <w:spacing w:line="360" w:lineRule="auto"/>
        <w:ind w:firstLine="480" w:firstLineChars="200"/>
        <w:rPr>
          <w:rFonts w:ascii="Times New Roman" w:hAnsi="Times New Roman"/>
          <w:szCs w:val="21"/>
        </w:rPr>
      </w:pPr>
      <w:r>
        <w:rPr>
          <w:rFonts w:hint="eastAsia" w:ascii="Times New Roman" w:hAnsi="Times New Roman"/>
          <w:szCs w:val="21"/>
        </w:rPr>
        <w:t>1）渗水试验</w:t>
      </w:r>
    </w:p>
    <w:p w14:paraId="3D260E25">
      <w:pPr>
        <w:overflowPunct w:val="0"/>
        <w:spacing w:line="360" w:lineRule="auto"/>
        <w:ind w:firstLine="480" w:firstLineChars="200"/>
        <w:rPr>
          <w:rFonts w:ascii="Times New Roman" w:hAnsi="Times New Roman"/>
          <w:szCs w:val="21"/>
        </w:rPr>
      </w:pPr>
      <w:r>
        <w:rPr>
          <w:rFonts w:hint="eastAsia" w:ascii="Times New Roman" w:hAnsi="Times New Roman"/>
          <w:szCs w:val="21"/>
        </w:rPr>
        <w:t>（1）试验方法</w:t>
      </w:r>
    </w:p>
    <w:p w14:paraId="77F97F2C">
      <w:pPr>
        <w:overflowPunct w:val="0"/>
        <w:spacing w:line="360" w:lineRule="auto"/>
        <w:ind w:firstLine="480" w:firstLineChars="200"/>
        <w:rPr>
          <w:rFonts w:ascii="Times New Roman" w:hAnsi="Times New Roman"/>
          <w:szCs w:val="21"/>
        </w:rPr>
      </w:pPr>
      <w:r>
        <w:rPr>
          <w:rFonts w:hint="eastAsia" w:ascii="Times New Roman" w:hAnsi="Times New Roman"/>
          <w:szCs w:val="21"/>
        </w:rPr>
        <w:t>试验选用双环渗水试验法，原因在于基本排除了侧向渗透的影响，提高了试验结果的精度。在确定试点时，试点的包气带岩层具有代表性，可以代表相当区域内的包气带岩层特征。双环渗水试验法需要仪器主要有双环、铁锹、供水瓶、支架和尺子。</w:t>
      </w:r>
    </w:p>
    <w:p w14:paraId="3990C41B">
      <w:pPr>
        <w:overflowPunct w:val="0"/>
        <w:spacing w:line="360" w:lineRule="auto"/>
        <w:ind w:firstLine="480" w:firstLineChars="200"/>
        <w:rPr>
          <w:rFonts w:ascii="Times New Roman" w:hAnsi="Times New Roman"/>
          <w:szCs w:val="21"/>
        </w:rPr>
      </w:pPr>
      <w:r>
        <w:rPr>
          <w:rFonts w:hint="eastAsia" w:ascii="Times New Roman" w:hAnsi="Times New Roman"/>
          <w:szCs w:val="21"/>
        </w:rPr>
        <w:t>双环渗水试验具体试验步骤为：先除去表土，然后在地表嵌入高50cm、内径25cm，底面积为490.625cm</w:t>
      </w:r>
      <w:r>
        <w:rPr>
          <w:rFonts w:hint="eastAsia" w:ascii="Times New Roman" w:hAnsi="Times New Roman"/>
          <w:szCs w:val="21"/>
          <w:vertAlign w:val="superscript"/>
        </w:rPr>
        <w:t>2</w:t>
      </w:r>
      <w:r>
        <w:rPr>
          <w:rFonts w:hint="eastAsia" w:ascii="Times New Roman" w:hAnsi="Times New Roman"/>
          <w:szCs w:val="21"/>
        </w:rPr>
        <w:t>的铁环，且铁环须压入土层5cm以上；如果沿铁环底部向外漏水，但是土质过于坚硬，而不易继续压入铁环时，需在铁环底部外沿做止水处理。为减小侧向渗透对试验结果的影响，以同心轴的方式埋置一直径50cm的大环于小环外，而且要确保大环高度与小环高度相同。注水水源以秒表计时，人工量筒定量加注的方式。定水头注水时，控制环底水面高度，一般控制在10cm以内，实际试验中环底水面高度为8～10cm，水面高度包括环底铺砾厚度在内，并且保证大环和小环水面高度相同。</w:t>
      </w:r>
    </w:p>
    <w:p w14:paraId="01C002E0">
      <w:pPr>
        <w:snapToGrid w:val="0"/>
        <w:ind w:firstLine="480"/>
        <w:jc w:val="center"/>
        <w:rPr>
          <w:rFonts w:hint="eastAsia"/>
        </w:rPr>
      </w:pPr>
    </w:p>
    <w:p w14:paraId="3E3AEE4B">
      <w:pPr>
        <w:spacing w:line="360" w:lineRule="auto"/>
        <w:jc w:val="center"/>
        <w:rPr>
          <w:rFonts w:hint="eastAsia" w:ascii="黑体" w:hAnsi="黑体" w:eastAsia="黑体"/>
          <w:b/>
        </w:rPr>
      </w:pPr>
      <w:r>
        <w:rPr>
          <w:rFonts w:hint="eastAsia" w:ascii="黑体" w:hAnsi="黑体" w:eastAsia="黑体"/>
          <w:b/>
        </w:rPr>
        <w:t xml:space="preserve">图5.3.2-5    </w:t>
      </w:r>
      <w:r>
        <w:rPr>
          <w:rFonts w:ascii="黑体" w:hAnsi="黑体" w:eastAsia="黑体"/>
          <w:b/>
        </w:rPr>
        <w:t xml:space="preserve"> 双环渗水试验装置示意图</w:t>
      </w:r>
    </w:p>
    <w:p w14:paraId="75D47F73">
      <w:pPr>
        <w:widowControl w:val="0"/>
        <w:adjustRightInd w:val="0"/>
        <w:snapToGrid w:val="0"/>
        <w:jc w:val="center"/>
        <w:rPr>
          <w:rFonts w:ascii="Times New Roman" w:hAnsi="Times New Roman" w:cs="Times New Roman"/>
          <w:b/>
          <w:kern w:val="2"/>
          <w:sz w:val="20"/>
          <w:szCs w:val="21"/>
        </w:rPr>
      </w:pPr>
    </w:p>
    <w:p w14:paraId="742A4534">
      <w:pPr>
        <w:spacing w:line="360" w:lineRule="auto"/>
        <w:jc w:val="center"/>
        <w:rPr>
          <w:rFonts w:hint="eastAsia" w:ascii="黑体" w:hAnsi="黑体" w:eastAsia="黑体"/>
          <w:b/>
          <w:bCs/>
        </w:rPr>
      </w:pPr>
      <w:r>
        <w:rPr>
          <w:rFonts w:hint="eastAsia" w:ascii="黑体" w:hAnsi="黑体" w:eastAsia="黑体"/>
          <w:b/>
        </w:rPr>
        <w:t xml:space="preserve">图5.3.2-6    </w:t>
      </w:r>
      <w:r>
        <w:rPr>
          <w:rFonts w:ascii="黑体" w:hAnsi="黑体" w:eastAsia="黑体"/>
          <w:b/>
          <w:bCs/>
        </w:rPr>
        <w:t xml:space="preserve"> </w:t>
      </w:r>
      <w:r>
        <w:rPr>
          <w:rFonts w:hint="eastAsia" w:ascii="黑体" w:hAnsi="黑体" w:eastAsia="黑体"/>
          <w:b/>
          <w:bCs/>
        </w:rPr>
        <w:t>渗水试验现场图</w:t>
      </w:r>
    </w:p>
    <w:p w14:paraId="14ADC16C">
      <w:pPr>
        <w:overflowPunct w:val="0"/>
        <w:spacing w:line="360" w:lineRule="auto"/>
        <w:ind w:firstLine="480" w:firstLineChars="200"/>
        <w:rPr>
          <w:rFonts w:ascii="Times New Roman" w:hAnsi="Times New Roman"/>
          <w:szCs w:val="21"/>
        </w:rPr>
      </w:pPr>
      <w:r>
        <w:rPr>
          <w:rFonts w:hint="eastAsia" w:ascii="Times New Roman" w:hAnsi="Times New Roman"/>
          <w:szCs w:val="21"/>
        </w:rPr>
        <w:t>（2）试验点位置</w:t>
      </w:r>
    </w:p>
    <w:p w14:paraId="68E20481">
      <w:pPr>
        <w:overflowPunct w:val="0"/>
        <w:spacing w:line="360" w:lineRule="auto"/>
        <w:ind w:firstLine="480" w:firstLineChars="200"/>
        <w:rPr>
          <w:rFonts w:ascii="Times New Roman" w:hAnsi="Times New Roman"/>
        </w:rPr>
      </w:pPr>
      <w:r>
        <w:rPr>
          <w:rFonts w:hint="eastAsia" w:ascii="Times New Roman" w:hAnsi="Times New Roman"/>
        </w:rPr>
        <w:t>根据现场踏勘及掌握的水文地质资料，选取3个点进行渗水试验，渗水试验点位分布如</w:t>
      </w:r>
      <w:r>
        <w:rPr>
          <w:rFonts w:hint="eastAsia" w:ascii="Times New Roman" w:hAnsi="Times New Roman"/>
          <w:szCs w:val="21"/>
        </w:rPr>
        <w:t>图5.3.2-7</w:t>
      </w:r>
      <w:r>
        <w:rPr>
          <w:rFonts w:hint="eastAsia" w:ascii="Times New Roman" w:hAnsi="Times New Roman"/>
        </w:rPr>
        <w:t>所示。</w:t>
      </w:r>
    </w:p>
    <w:p w14:paraId="41D3B283">
      <w:pPr>
        <w:snapToGrid w:val="0"/>
        <w:ind w:firstLine="446" w:firstLineChars="186"/>
        <w:jc w:val="center"/>
        <w:rPr>
          <w:rFonts w:hint="eastAsia"/>
        </w:rPr>
      </w:pPr>
    </w:p>
    <w:p w14:paraId="717429C6">
      <w:pPr>
        <w:spacing w:line="360" w:lineRule="auto"/>
        <w:jc w:val="center"/>
        <w:rPr>
          <w:rFonts w:hint="eastAsia" w:ascii="黑体" w:hAnsi="黑体" w:eastAsia="黑体"/>
          <w:b/>
          <w:bCs/>
          <w:sz w:val="21"/>
        </w:rPr>
      </w:pPr>
      <w:r>
        <w:rPr>
          <w:rFonts w:hint="eastAsia" w:ascii="黑体" w:hAnsi="黑体" w:eastAsia="黑体"/>
          <w:b/>
        </w:rPr>
        <w:t xml:space="preserve">图5.3.2-7   </w:t>
      </w:r>
      <w:r>
        <w:rPr>
          <w:rFonts w:hint="eastAsia" w:ascii="黑体" w:hAnsi="黑体" w:eastAsia="黑体"/>
          <w:b/>
          <w:bCs/>
          <w:sz w:val="21"/>
        </w:rPr>
        <w:t>渗水试验点位图</w:t>
      </w:r>
    </w:p>
    <w:p w14:paraId="10737723">
      <w:pPr>
        <w:overflowPunct w:val="0"/>
        <w:spacing w:line="360" w:lineRule="auto"/>
        <w:ind w:firstLine="480" w:firstLineChars="200"/>
        <w:rPr>
          <w:rFonts w:ascii="Times New Roman" w:hAnsi="Times New Roman"/>
          <w:szCs w:val="21"/>
        </w:rPr>
      </w:pPr>
      <w:r>
        <w:rPr>
          <w:rFonts w:hint="eastAsia" w:ascii="Times New Roman" w:hAnsi="Times New Roman"/>
          <w:szCs w:val="21"/>
        </w:rPr>
        <w:t>（3）试验过程</w:t>
      </w:r>
    </w:p>
    <w:p w14:paraId="38AE23E6">
      <w:pPr>
        <w:overflowPunct w:val="0"/>
        <w:spacing w:line="360" w:lineRule="auto"/>
        <w:ind w:firstLine="480" w:firstLineChars="200"/>
        <w:rPr>
          <w:rFonts w:ascii="Times New Roman" w:hAnsi="Times New Roman"/>
          <w:szCs w:val="21"/>
        </w:rPr>
      </w:pPr>
      <w:r>
        <w:rPr>
          <w:rFonts w:hint="eastAsia" w:ascii="Times New Roman" w:hAnsi="Times New Roman"/>
          <w:szCs w:val="21"/>
        </w:rPr>
        <w:t>①定水头注水，观察记录。</w:t>
      </w:r>
    </w:p>
    <w:p w14:paraId="0BA41283">
      <w:pPr>
        <w:overflowPunct w:val="0"/>
        <w:spacing w:line="360" w:lineRule="auto"/>
        <w:ind w:firstLine="480" w:firstLineChars="200"/>
        <w:rPr>
          <w:rFonts w:ascii="Times New Roman" w:hAnsi="Times New Roman"/>
          <w:szCs w:val="21"/>
        </w:rPr>
      </w:pPr>
      <w:r>
        <w:rPr>
          <w:rFonts w:hint="eastAsia" w:ascii="Times New Roman" w:hAnsi="Times New Roman"/>
          <w:szCs w:val="21"/>
        </w:rPr>
        <w:t>以环底水标尺为准，保持定水头注水。同时观测注入水量，记录的时间间隔开始为1、3、5min，最后为10、20、30min。</w:t>
      </w:r>
    </w:p>
    <w:p w14:paraId="3066EAE8">
      <w:pPr>
        <w:overflowPunct w:val="0"/>
        <w:spacing w:line="360" w:lineRule="auto"/>
        <w:ind w:firstLine="480" w:firstLineChars="200"/>
        <w:rPr>
          <w:rFonts w:ascii="Times New Roman" w:hAnsi="Times New Roman"/>
          <w:szCs w:val="21"/>
        </w:rPr>
      </w:pPr>
      <w:r>
        <w:rPr>
          <w:rFonts w:hint="eastAsia" w:ascii="Times New Roman" w:hAnsi="Times New Roman"/>
          <w:szCs w:val="21"/>
        </w:rPr>
        <w:t>②渗水量稳定，完成试验。</w:t>
      </w:r>
    </w:p>
    <w:p w14:paraId="774E8C69">
      <w:pPr>
        <w:overflowPunct w:val="0"/>
        <w:spacing w:line="360" w:lineRule="auto"/>
        <w:ind w:firstLine="480" w:firstLineChars="200"/>
        <w:rPr>
          <w:rFonts w:ascii="Times New Roman" w:hAnsi="Times New Roman"/>
          <w:szCs w:val="21"/>
        </w:rPr>
      </w:pPr>
      <w:r>
        <w:rPr>
          <w:rFonts w:hint="eastAsia" w:ascii="Times New Roman" w:hAnsi="Times New Roman"/>
          <w:szCs w:val="21"/>
        </w:rPr>
        <w:t>试验记录的过程中，描绘渗水量-时间（v-t）曲线，待曲线保持在较小的区间稳定摆动时，再延续2～3h，即结束试验。</w:t>
      </w:r>
    </w:p>
    <w:p w14:paraId="1B6D98F3">
      <w:pPr>
        <w:overflowPunct w:val="0"/>
        <w:spacing w:line="360" w:lineRule="auto"/>
        <w:ind w:firstLine="480" w:firstLineChars="200"/>
        <w:rPr>
          <w:rFonts w:ascii="Times New Roman" w:hAnsi="Times New Roman"/>
          <w:szCs w:val="21"/>
        </w:rPr>
      </w:pPr>
      <w:r>
        <w:rPr>
          <w:rFonts w:hint="eastAsia" w:ascii="Times New Roman" w:hAnsi="Times New Roman"/>
          <w:szCs w:val="21"/>
        </w:rPr>
        <w:t>（4）试验结果</w:t>
      </w:r>
    </w:p>
    <w:p w14:paraId="56915F0B">
      <w:pPr>
        <w:overflowPunct w:val="0"/>
        <w:spacing w:line="360" w:lineRule="auto"/>
        <w:ind w:firstLine="480" w:firstLineChars="200"/>
        <w:rPr>
          <w:rFonts w:ascii="Times New Roman" w:hAnsi="Times New Roman"/>
          <w:szCs w:val="21"/>
        </w:rPr>
      </w:pPr>
      <w:r>
        <w:rPr>
          <w:rFonts w:hint="eastAsia" w:ascii="Times New Roman" w:hAnsi="Times New Roman"/>
          <w:szCs w:val="21"/>
        </w:rPr>
        <w:t>试验开始时，向环内注水并始终保持其水深为10cm不变，每隔30min观测记录一次注水量读数，初始阶段由于渗水量变化较大，适当加密观测次数。当注入水量稳定2h后，试验即告结束，并按稳定时的水量计算表土的垂向渗透系数。计算公式如下：</w:t>
      </w:r>
    </w:p>
    <w:p w14:paraId="21F80EC0">
      <w:pPr>
        <w:overflowPunct w:val="0"/>
        <w:spacing w:line="360" w:lineRule="auto"/>
        <w:ind w:firstLine="480" w:firstLineChars="200"/>
        <w:rPr>
          <w:rFonts w:ascii="Times New Roman" w:hAnsi="Times New Roman"/>
          <w:szCs w:val="21"/>
        </w:rPr>
      </w:pPr>
      <w:r>
        <w:rPr>
          <w:rFonts w:hint="eastAsia" w:ascii="Times New Roman" w:hAnsi="Times New Roman"/>
          <w:szCs w:val="21"/>
        </w:rPr>
        <w:t>K=240Q/F</w:t>
      </w:r>
    </w:p>
    <w:p w14:paraId="445AA8DA">
      <w:pPr>
        <w:overflowPunct w:val="0"/>
        <w:spacing w:line="360" w:lineRule="auto"/>
        <w:ind w:firstLine="480" w:firstLineChars="200"/>
        <w:rPr>
          <w:rFonts w:ascii="Times New Roman" w:hAnsi="Times New Roman"/>
          <w:szCs w:val="21"/>
        </w:rPr>
      </w:pPr>
      <w:r>
        <w:rPr>
          <w:rFonts w:hint="eastAsia" w:ascii="Times New Roman" w:hAnsi="Times New Roman"/>
          <w:szCs w:val="21"/>
        </w:rPr>
        <w:t>式中：K为渗透系数(m/d)；Q为稳定水量(L/h)；F为试坑底面积（cm</w:t>
      </w:r>
      <w:r>
        <w:rPr>
          <w:rFonts w:hint="eastAsia" w:ascii="Times New Roman" w:hAnsi="Times New Roman"/>
          <w:szCs w:val="21"/>
          <w:vertAlign w:val="superscript"/>
        </w:rPr>
        <w:t>2</w:t>
      </w:r>
      <w:r>
        <w:rPr>
          <w:rFonts w:hint="eastAsia" w:ascii="Times New Roman" w:hAnsi="Times New Roman"/>
          <w:szCs w:val="21"/>
        </w:rPr>
        <w:t>）；240为单位换算系数。</w:t>
      </w:r>
    </w:p>
    <w:p w14:paraId="650C8983">
      <w:pPr>
        <w:overflowPunct w:val="0"/>
        <w:spacing w:line="360" w:lineRule="auto"/>
        <w:ind w:firstLine="480" w:firstLineChars="200"/>
        <w:rPr>
          <w:rFonts w:ascii="Times New Roman" w:hAnsi="Times New Roman"/>
          <w:szCs w:val="21"/>
        </w:rPr>
      </w:pPr>
      <w:r>
        <w:rPr>
          <w:rFonts w:hint="eastAsia" w:ascii="Times New Roman" w:hAnsi="Times New Roman"/>
          <w:szCs w:val="21"/>
        </w:rPr>
        <w:t>通过渗水试验记录表，获得渗水速度随时间变化曲线，如图5.3.2-8所示。根据试验现场记录数据，通过计算得到3个试验点包气带的垂向渗透系数数值：4.432 m/d ~4.828m/d。具体渗水实验结果见表5.3.2-2。</w:t>
      </w:r>
    </w:p>
    <w:p w14:paraId="2D044A05">
      <w:pPr>
        <w:spacing w:line="360" w:lineRule="auto"/>
        <w:jc w:val="center"/>
        <w:rPr>
          <w:rFonts w:hint="eastAsia" w:ascii="黑体" w:hAnsi="黑体" w:eastAsia="黑体"/>
          <w:b/>
        </w:rPr>
      </w:pPr>
      <w:r>
        <w:rPr>
          <w:rFonts w:hint="eastAsia" w:ascii="黑体" w:hAnsi="黑体" w:eastAsia="黑体"/>
          <w:b/>
        </w:rPr>
        <w:t>表5.3.2-2</w:t>
      </w:r>
      <w:r>
        <w:rPr>
          <w:rFonts w:ascii="黑体" w:hAnsi="黑体" w:eastAsia="黑体"/>
          <w:b/>
        </w:rPr>
        <w:t xml:space="preserve">   </w:t>
      </w:r>
      <w:r>
        <w:rPr>
          <w:rFonts w:hint="eastAsia" w:ascii="黑体" w:hAnsi="黑体" w:eastAsia="黑体"/>
          <w:b/>
        </w:rPr>
        <w:t>渗水试验成果表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290"/>
        <w:gridCol w:w="1421"/>
        <w:gridCol w:w="2848"/>
        <w:gridCol w:w="840"/>
        <w:gridCol w:w="1215"/>
      </w:tblGrid>
      <w:tr w14:paraId="311F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4" w:type="pct"/>
            <w:vMerge w:val="restart"/>
            <w:vAlign w:val="center"/>
          </w:tcPr>
          <w:p w14:paraId="18987D15">
            <w:pPr>
              <w:jc w:val="center"/>
              <w:rPr>
                <w:rFonts w:ascii="Times New Roman" w:hAnsi="Times New Roman"/>
                <w:sz w:val="18"/>
                <w:szCs w:val="18"/>
              </w:rPr>
            </w:pPr>
            <w:r>
              <w:rPr>
                <w:rFonts w:ascii="Times New Roman" w:hAnsi="Times New Roman"/>
                <w:sz w:val="18"/>
                <w:szCs w:val="18"/>
              </w:rPr>
              <w:t>编号</w:t>
            </w:r>
          </w:p>
        </w:tc>
        <w:tc>
          <w:tcPr>
            <w:tcW w:w="758" w:type="pct"/>
            <w:vMerge w:val="restart"/>
            <w:vAlign w:val="center"/>
          </w:tcPr>
          <w:p w14:paraId="2D034B3F">
            <w:pPr>
              <w:jc w:val="center"/>
              <w:rPr>
                <w:rFonts w:ascii="Times New Roman" w:hAnsi="Times New Roman"/>
                <w:sz w:val="18"/>
                <w:szCs w:val="18"/>
              </w:rPr>
            </w:pPr>
            <w:r>
              <w:rPr>
                <w:rFonts w:ascii="Times New Roman" w:hAnsi="Times New Roman"/>
                <w:sz w:val="18"/>
                <w:szCs w:val="18"/>
              </w:rPr>
              <w:t>实验地层</w:t>
            </w:r>
          </w:p>
        </w:tc>
        <w:tc>
          <w:tcPr>
            <w:tcW w:w="835" w:type="pct"/>
            <w:vMerge w:val="restart"/>
            <w:vAlign w:val="center"/>
          </w:tcPr>
          <w:p w14:paraId="726A87B3">
            <w:pPr>
              <w:jc w:val="center"/>
              <w:rPr>
                <w:rFonts w:ascii="Times New Roman" w:hAnsi="Times New Roman"/>
                <w:sz w:val="18"/>
                <w:szCs w:val="18"/>
              </w:rPr>
            </w:pPr>
            <w:r>
              <w:rPr>
                <w:rFonts w:ascii="Times New Roman" w:hAnsi="Times New Roman"/>
                <w:sz w:val="18"/>
                <w:szCs w:val="18"/>
              </w:rPr>
              <w:t>试验日期</w:t>
            </w:r>
          </w:p>
        </w:tc>
        <w:tc>
          <w:tcPr>
            <w:tcW w:w="1674" w:type="pct"/>
            <w:vMerge w:val="restart"/>
            <w:vAlign w:val="center"/>
          </w:tcPr>
          <w:p w14:paraId="7BE4D9BB">
            <w:pPr>
              <w:jc w:val="center"/>
              <w:rPr>
                <w:rFonts w:ascii="Times New Roman" w:hAnsi="Times New Roman"/>
                <w:sz w:val="18"/>
                <w:szCs w:val="18"/>
              </w:rPr>
            </w:pPr>
            <w:r>
              <w:rPr>
                <w:rFonts w:ascii="Times New Roman" w:hAnsi="Times New Roman"/>
                <w:sz w:val="18"/>
                <w:szCs w:val="18"/>
              </w:rPr>
              <w:t>稳定平均渗水流速(L/h)</w:t>
            </w:r>
          </w:p>
        </w:tc>
        <w:tc>
          <w:tcPr>
            <w:tcW w:w="1208" w:type="pct"/>
            <w:gridSpan w:val="2"/>
            <w:vAlign w:val="center"/>
          </w:tcPr>
          <w:p w14:paraId="1581D6F1">
            <w:pPr>
              <w:jc w:val="center"/>
              <w:rPr>
                <w:rFonts w:ascii="Times New Roman" w:hAnsi="Times New Roman"/>
                <w:sz w:val="18"/>
                <w:szCs w:val="18"/>
              </w:rPr>
            </w:pPr>
            <w:r>
              <w:rPr>
                <w:rFonts w:ascii="Times New Roman" w:hAnsi="Times New Roman"/>
                <w:sz w:val="18"/>
                <w:szCs w:val="18"/>
              </w:rPr>
              <w:t>渗透系数K</w:t>
            </w:r>
          </w:p>
        </w:tc>
      </w:tr>
      <w:tr w14:paraId="6883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4" w:type="pct"/>
            <w:vMerge w:val="continue"/>
            <w:vAlign w:val="center"/>
          </w:tcPr>
          <w:p w14:paraId="264B285A">
            <w:pPr>
              <w:jc w:val="center"/>
              <w:rPr>
                <w:rFonts w:ascii="Times New Roman" w:hAnsi="Times New Roman"/>
                <w:sz w:val="18"/>
                <w:szCs w:val="18"/>
              </w:rPr>
            </w:pPr>
          </w:p>
        </w:tc>
        <w:tc>
          <w:tcPr>
            <w:tcW w:w="758" w:type="pct"/>
            <w:vMerge w:val="continue"/>
            <w:vAlign w:val="center"/>
          </w:tcPr>
          <w:p w14:paraId="2C57B9D2">
            <w:pPr>
              <w:jc w:val="center"/>
              <w:rPr>
                <w:rFonts w:ascii="Times New Roman" w:hAnsi="Times New Roman"/>
                <w:sz w:val="18"/>
                <w:szCs w:val="18"/>
              </w:rPr>
            </w:pPr>
          </w:p>
        </w:tc>
        <w:tc>
          <w:tcPr>
            <w:tcW w:w="835" w:type="pct"/>
            <w:vMerge w:val="continue"/>
            <w:vAlign w:val="center"/>
          </w:tcPr>
          <w:p w14:paraId="3C807ED0">
            <w:pPr>
              <w:jc w:val="center"/>
              <w:rPr>
                <w:rFonts w:ascii="Times New Roman" w:hAnsi="Times New Roman"/>
                <w:sz w:val="18"/>
                <w:szCs w:val="18"/>
              </w:rPr>
            </w:pPr>
          </w:p>
        </w:tc>
        <w:tc>
          <w:tcPr>
            <w:tcW w:w="1674" w:type="pct"/>
            <w:vMerge w:val="continue"/>
            <w:vAlign w:val="center"/>
          </w:tcPr>
          <w:p w14:paraId="288DBD04">
            <w:pPr>
              <w:jc w:val="center"/>
              <w:rPr>
                <w:rFonts w:ascii="Times New Roman" w:hAnsi="Times New Roman"/>
                <w:sz w:val="18"/>
                <w:szCs w:val="18"/>
              </w:rPr>
            </w:pPr>
          </w:p>
        </w:tc>
        <w:tc>
          <w:tcPr>
            <w:tcW w:w="494" w:type="pct"/>
            <w:vAlign w:val="center"/>
          </w:tcPr>
          <w:p w14:paraId="609918EB">
            <w:pPr>
              <w:jc w:val="center"/>
              <w:rPr>
                <w:rFonts w:ascii="Times New Roman" w:hAnsi="Times New Roman"/>
                <w:sz w:val="18"/>
                <w:szCs w:val="18"/>
              </w:rPr>
            </w:pPr>
            <w:r>
              <w:rPr>
                <w:rFonts w:ascii="Times New Roman" w:hAnsi="Times New Roman"/>
                <w:sz w:val="18"/>
                <w:szCs w:val="18"/>
              </w:rPr>
              <w:t>(m/d)</w:t>
            </w:r>
          </w:p>
        </w:tc>
        <w:tc>
          <w:tcPr>
            <w:tcW w:w="714" w:type="pct"/>
            <w:vAlign w:val="center"/>
          </w:tcPr>
          <w:p w14:paraId="6C5DE0BC">
            <w:pPr>
              <w:jc w:val="center"/>
              <w:rPr>
                <w:rFonts w:ascii="Times New Roman" w:hAnsi="Times New Roman"/>
                <w:sz w:val="18"/>
                <w:szCs w:val="18"/>
              </w:rPr>
            </w:pPr>
            <w:r>
              <w:rPr>
                <w:rFonts w:ascii="Times New Roman" w:hAnsi="Times New Roman"/>
                <w:sz w:val="18"/>
                <w:szCs w:val="18"/>
              </w:rPr>
              <w:t>(cm/s)</w:t>
            </w:r>
          </w:p>
        </w:tc>
      </w:tr>
      <w:tr w14:paraId="1683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4" w:type="pct"/>
            <w:noWrap/>
            <w:vAlign w:val="center"/>
          </w:tcPr>
          <w:p w14:paraId="18AC47F1">
            <w:pPr>
              <w:jc w:val="center"/>
              <w:rPr>
                <w:rFonts w:ascii="Times New Roman" w:hAnsi="Times New Roman"/>
                <w:sz w:val="18"/>
                <w:szCs w:val="18"/>
              </w:rPr>
            </w:pPr>
            <w:r>
              <w:rPr>
                <w:rFonts w:ascii="Times New Roman" w:hAnsi="Times New Roman"/>
                <w:sz w:val="18"/>
                <w:szCs w:val="18"/>
              </w:rPr>
              <w:t>SS-01</w:t>
            </w:r>
          </w:p>
        </w:tc>
        <w:tc>
          <w:tcPr>
            <w:tcW w:w="758" w:type="pct"/>
            <w:noWrap/>
            <w:vAlign w:val="center"/>
          </w:tcPr>
          <w:p w14:paraId="2450B953">
            <w:pPr>
              <w:jc w:val="center"/>
              <w:rPr>
                <w:rFonts w:ascii="Times New Roman" w:hAnsi="Times New Roman"/>
                <w:sz w:val="18"/>
                <w:szCs w:val="18"/>
              </w:rPr>
            </w:pPr>
            <w:r>
              <w:rPr>
                <w:rFonts w:ascii="Times New Roman" w:hAnsi="Times New Roman"/>
                <w:sz w:val="18"/>
                <w:szCs w:val="18"/>
              </w:rPr>
              <w:t>细砂</w:t>
            </w:r>
          </w:p>
        </w:tc>
        <w:tc>
          <w:tcPr>
            <w:tcW w:w="835" w:type="pct"/>
            <w:noWrap/>
            <w:vAlign w:val="center"/>
          </w:tcPr>
          <w:p w14:paraId="47E277A6">
            <w:pPr>
              <w:jc w:val="center"/>
              <w:rPr>
                <w:rFonts w:ascii="Times New Roman" w:hAnsi="Times New Roman"/>
                <w:sz w:val="18"/>
                <w:szCs w:val="18"/>
              </w:rPr>
            </w:pPr>
            <w:r>
              <w:rPr>
                <w:rFonts w:ascii="Times New Roman" w:hAnsi="Times New Roman"/>
                <w:sz w:val="18"/>
                <w:szCs w:val="18"/>
              </w:rPr>
              <w:t>2020.12.05</w:t>
            </w:r>
          </w:p>
        </w:tc>
        <w:tc>
          <w:tcPr>
            <w:tcW w:w="1674" w:type="pct"/>
            <w:noWrap/>
            <w:vAlign w:val="center"/>
          </w:tcPr>
          <w:p w14:paraId="5614F49E">
            <w:pPr>
              <w:jc w:val="center"/>
              <w:rPr>
                <w:rFonts w:ascii="Times New Roman" w:hAnsi="Times New Roman"/>
                <w:sz w:val="18"/>
                <w:szCs w:val="18"/>
              </w:rPr>
            </w:pPr>
            <w:r>
              <w:rPr>
                <w:rFonts w:ascii="Times New Roman" w:hAnsi="Times New Roman"/>
                <w:sz w:val="18"/>
                <w:szCs w:val="18"/>
              </w:rPr>
              <w:t>9.060</w:t>
            </w:r>
          </w:p>
        </w:tc>
        <w:tc>
          <w:tcPr>
            <w:tcW w:w="494" w:type="pct"/>
            <w:noWrap/>
            <w:vAlign w:val="center"/>
          </w:tcPr>
          <w:p w14:paraId="7CF93F04">
            <w:pPr>
              <w:jc w:val="center"/>
              <w:rPr>
                <w:rFonts w:ascii="Times New Roman" w:hAnsi="Times New Roman"/>
                <w:sz w:val="18"/>
                <w:szCs w:val="18"/>
              </w:rPr>
            </w:pPr>
            <w:r>
              <w:rPr>
                <w:rFonts w:ascii="Times New Roman" w:hAnsi="Times New Roman"/>
                <w:sz w:val="18"/>
                <w:szCs w:val="18"/>
              </w:rPr>
              <w:t>4.432</w:t>
            </w:r>
          </w:p>
        </w:tc>
        <w:tc>
          <w:tcPr>
            <w:tcW w:w="714" w:type="pct"/>
            <w:noWrap/>
            <w:vAlign w:val="center"/>
          </w:tcPr>
          <w:p w14:paraId="00F372B2">
            <w:pPr>
              <w:jc w:val="center"/>
              <w:rPr>
                <w:rFonts w:ascii="Times New Roman" w:hAnsi="Times New Roman"/>
                <w:sz w:val="18"/>
                <w:szCs w:val="18"/>
              </w:rPr>
            </w:pPr>
            <w:r>
              <w:rPr>
                <w:rFonts w:ascii="Times New Roman" w:hAnsi="Times New Roman"/>
                <w:sz w:val="18"/>
                <w:szCs w:val="18"/>
              </w:rPr>
              <w:t>5.13E-03</w:t>
            </w:r>
          </w:p>
        </w:tc>
      </w:tr>
      <w:tr w14:paraId="0145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4" w:type="pct"/>
            <w:noWrap/>
            <w:vAlign w:val="center"/>
          </w:tcPr>
          <w:p w14:paraId="56D23110">
            <w:pPr>
              <w:jc w:val="center"/>
              <w:rPr>
                <w:rFonts w:ascii="Times New Roman" w:hAnsi="Times New Roman"/>
                <w:sz w:val="18"/>
                <w:szCs w:val="18"/>
              </w:rPr>
            </w:pPr>
            <w:r>
              <w:rPr>
                <w:rFonts w:ascii="Times New Roman" w:hAnsi="Times New Roman"/>
                <w:sz w:val="18"/>
                <w:szCs w:val="18"/>
              </w:rPr>
              <w:t>SS-02</w:t>
            </w:r>
          </w:p>
        </w:tc>
        <w:tc>
          <w:tcPr>
            <w:tcW w:w="758" w:type="pct"/>
            <w:noWrap/>
            <w:vAlign w:val="center"/>
          </w:tcPr>
          <w:p w14:paraId="58B11F32">
            <w:pPr>
              <w:jc w:val="center"/>
              <w:rPr>
                <w:rFonts w:ascii="Times New Roman" w:hAnsi="Times New Roman"/>
                <w:sz w:val="18"/>
                <w:szCs w:val="18"/>
              </w:rPr>
            </w:pPr>
            <w:r>
              <w:rPr>
                <w:rFonts w:ascii="Times New Roman" w:hAnsi="Times New Roman"/>
                <w:sz w:val="18"/>
                <w:szCs w:val="18"/>
              </w:rPr>
              <w:t>细砂</w:t>
            </w:r>
          </w:p>
        </w:tc>
        <w:tc>
          <w:tcPr>
            <w:tcW w:w="835" w:type="pct"/>
            <w:noWrap/>
            <w:vAlign w:val="center"/>
          </w:tcPr>
          <w:p w14:paraId="1E06A45F">
            <w:pPr>
              <w:jc w:val="center"/>
              <w:rPr>
                <w:rFonts w:ascii="Times New Roman" w:hAnsi="Times New Roman"/>
                <w:sz w:val="18"/>
                <w:szCs w:val="18"/>
              </w:rPr>
            </w:pPr>
            <w:r>
              <w:rPr>
                <w:rFonts w:ascii="Times New Roman" w:hAnsi="Times New Roman"/>
                <w:sz w:val="18"/>
                <w:szCs w:val="18"/>
              </w:rPr>
              <w:t>2020.12.05</w:t>
            </w:r>
          </w:p>
        </w:tc>
        <w:tc>
          <w:tcPr>
            <w:tcW w:w="1674" w:type="pct"/>
            <w:noWrap/>
            <w:vAlign w:val="center"/>
          </w:tcPr>
          <w:p w14:paraId="7FDC96DE">
            <w:pPr>
              <w:jc w:val="center"/>
              <w:rPr>
                <w:rFonts w:ascii="Times New Roman" w:hAnsi="Times New Roman"/>
                <w:sz w:val="18"/>
                <w:szCs w:val="18"/>
              </w:rPr>
            </w:pPr>
            <w:r>
              <w:rPr>
                <w:rFonts w:ascii="Times New Roman" w:hAnsi="Times New Roman"/>
                <w:sz w:val="18"/>
                <w:szCs w:val="18"/>
              </w:rPr>
              <w:t>9.870</w:t>
            </w:r>
          </w:p>
        </w:tc>
        <w:tc>
          <w:tcPr>
            <w:tcW w:w="494" w:type="pct"/>
            <w:noWrap/>
            <w:vAlign w:val="center"/>
          </w:tcPr>
          <w:p w14:paraId="4C94B1FE">
            <w:pPr>
              <w:jc w:val="center"/>
              <w:rPr>
                <w:rFonts w:ascii="Times New Roman" w:hAnsi="Times New Roman"/>
                <w:sz w:val="18"/>
                <w:szCs w:val="18"/>
              </w:rPr>
            </w:pPr>
            <w:r>
              <w:rPr>
                <w:rFonts w:ascii="Times New Roman" w:hAnsi="Times New Roman"/>
                <w:sz w:val="18"/>
                <w:szCs w:val="18"/>
              </w:rPr>
              <w:t>4.828</w:t>
            </w:r>
          </w:p>
        </w:tc>
        <w:tc>
          <w:tcPr>
            <w:tcW w:w="714" w:type="pct"/>
            <w:noWrap/>
            <w:vAlign w:val="center"/>
          </w:tcPr>
          <w:p w14:paraId="7F7D341D">
            <w:pPr>
              <w:jc w:val="center"/>
              <w:rPr>
                <w:rFonts w:ascii="Times New Roman" w:hAnsi="Times New Roman"/>
                <w:sz w:val="18"/>
                <w:szCs w:val="18"/>
              </w:rPr>
            </w:pPr>
            <w:r>
              <w:rPr>
                <w:rFonts w:ascii="Times New Roman" w:hAnsi="Times New Roman"/>
                <w:sz w:val="18"/>
                <w:szCs w:val="18"/>
              </w:rPr>
              <w:t>5.59E-03</w:t>
            </w:r>
          </w:p>
        </w:tc>
      </w:tr>
      <w:tr w14:paraId="12BE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4" w:type="pct"/>
            <w:noWrap/>
            <w:vAlign w:val="center"/>
          </w:tcPr>
          <w:p w14:paraId="5577B02A">
            <w:pPr>
              <w:jc w:val="center"/>
              <w:rPr>
                <w:rFonts w:ascii="Times New Roman" w:hAnsi="Times New Roman"/>
                <w:sz w:val="18"/>
                <w:szCs w:val="18"/>
              </w:rPr>
            </w:pPr>
            <w:r>
              <w:rPr>
                <w:rFonts w:ascii="Times New Roman" w:hAnsi="Times New Roman"/>
                <w:sz w:val="18"/>
                <w:szCs w:val="18"/>
              </w:rPr>
              <w:t>SS-03</w:t>
            </w:r>
          </w:p>
        </w:tc>
        <w:tc>
          <w:tcPr>
            <w:tcW w:w="758" w:type="pct"/>
            <w:noWrap/>
            <w:vAlign w:val="center"/>
          </w:tcPr>
          <w:p w14:paraId="6BAE2EC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细砂</w:t>
            </w:r>
          </w:p>
        </w:tc>
        <w:tc>
          <w:tcPr>
            <w:tcW w:w="835" w:type="pct"/>
            <w:noWrap/>
            <w:vAlign w:val="center"/>
          </w:tcPr>
          <w:p w14:paraId="144630DD">
            <w:pPr>
              <w:jc w:val="center"/>
              <w:rPr>
                <w:rFonts w:ascii="Times New Roman" w:hAnsi="Times New Roman"/>
                <w:sz w:val="18"/>
                <w:szCs w:val="18"/>
              </w:rPr>
            </w:pPr>
            <w:r>
              <w:rPr>
                <w:rFonts w:ascii="Times New Roman" w:hAnsi="Times New Roman"/>
                <w:sz w:val="18"/>
                <w:szCs w:val="18"/>
              </w:rPr>
              <w:t>2020.12.06</w:t>
            </w:r>
          </w:p>
        </w:tc>
        <w:tc>
          <w:tcPr>
            <w:tcW w:w="1674" w:type="pct"/>
            <w:noWrap/>
            <w:vAlign w:val="center"/>
          </w:tcPr>
          <w:p w14:paraId="63CD3F5D">
            <w:pPr>
              <w:jc w:val="center"/>
              <w:rPr>
                <w:rFonts w:ascii="Times New Roman" w:hAnsi="Times New Roman"/>
                <w:sz w:val="18"/>
                <w:szCs w:val="18"/>
              </w:rPr>
            </w:pPr>
            <w:r>
              <w:rPr>
                <w:rFonts w:ascii="Times New Roman" w:hAnsi="Times New Roman"/>
                <w:sz w:val="18"/>
                <w:szCs w:val="18"/>
              </w:rPr>
              <w:t>9.632</w:t>
            </w:r>
          </w:p>
        </w:tc>
        <w:tc>
          <w:tcPr>
            <w:tcW w:w="494" w:type="pct"/>
            <w:noWrap/>
            <w:vAlign w:val="center"/>
          </w:tcPr>
          <w:p w14:paraId="5404ABA6">
            <w:pPr>
              <w:jc w:val="center"/>
              <w:rPr>
                <w:rFonts w:ascii="Times New Roman" w:hAnsi="Times New Roman"/>
                <w:sz w:val="18"/>
                <w:szCs w:val="18"/>
              </w:rPr>
            </w:pPr>
            <w:r>
              <w:rPr>
                <w:rFonts w:ascii="Times New Roman" w:hAnsi="Times New Roman"/>
                <w:sz w:val="18"/>
                <w:szCs w:val="18"/>
              </w:rPr>
              <w:t>4.712</w:t>
            </w:r>
          </w:p>
        </w:tc>
        <w:tc>
          <w:tcPr>
            <w:tcW w:w="714" w:type="pct"/>
            <w:noWrap/>
            <w:vAlign w:val="center"/>
          </w:tcPr>
          <w:p w14:paraId="5239E97A">
            <w:pPr>
              <w:jc w:val="center"/>
              <w:rPr>
                <w:rFonts w:ascii="Times New Roman" w:hAnsi="Times New Roman"/>
                <w:sz w:val="18"/>
                <w:szCs w:val="18"/>
              </w:rPr>
            </w:pPr>
            <w:r>
              <w:rPr>
                <w:rFonts w:ascii="Times New Roman" w:hAnsi="Times New Roman"/>
                <w:sz w:val="18"/>
                <w:szCs w:val="18"/>
              </w:rPr>
              <w:t>5.45E-03</w:t>
            </w:r>
          </w:p>
        </w:tc>
      </w:tr>
    </w:tbl>
    <w:p w14:paraId="3E218817">
      <w:pPr>
        <w:spacing w:line="360" w:lineRule="auto"/>
        <w:jc w:val="center"/>
        <w:rPr>
          <w:rFonts w:hint="eastAsia" w:ascii="黑体" w:hAnsi="黑体" w:eastAsia="黑体"/>
          <w:b/>
        </w:rPr>
      </w:pPr>
      <w:r>
        <w:rPr>
          <w:rFonts w:hint="eastAsia" w:ascii="黑体" w:hAnsi="黑体" w:eastAsia="黑体"/>
          <w:b/>
        </w:rPr>
        <w:t xml:space="preserve">图5.3.2-8    </w:t>
      </w:r>
      <w:r>
        <w:rPr>
          <w:rFonts w:ascii="黑体" w:hAnsi="黑体" w:eastAsia="黑体"/>
          <w:b/>
        </w:rPr>
        <w:t xml:space="preserve"> 渗水试验流量-时间变化曲线图</w:t>
      </w:r>
    </w:p>
    <w:p w14:paraId="276EAD87">
      <w:pPr>
        <w:overflowPunct w:val="0"/>
        <w:spacing w:line="360" w:lineRule="auto"/>
        <w:ind w:firstLine="480" w:firstLineChars="200"/>
        <w:rPr>
          <w:rFonts w:ascii="Times New Roman" w:hAnsi="Times New Roman"/>
          <w:szCs w:val="21"/>
        </w:rPr>
      </w:pPr>
      <w:r>
        <w:rPr>
          <w:rFonts w:hint="eastAsia" w:ascii="Times New Roman" w:hAnsi="Times New Roman"/>
          <w:szCs w:val="21"/>
        </w:rPr>
        <w:t>2）抽水试验</w:t>
      </w:r>
    </w:p>
    <w:p w14:paraId="5C03DF58">
      <w:pPr>
        <w:overflowPunct w:val="0"/>
        <w:spacing w:line="360" w:lineRule="auto"/>
        <w:ind w:firstLine="480" w:firstLineChars="200"/>
        <w:rPr>
          <w:rFonts w:ascii="Times New Roman" w:hAnsi="Times New Roman"/>
          <w:szCs w:val="21"/>
        </w:rPr>
      </w:pPr>
      <w:r>
        <w:rPr>
          <w:rFonts w:hint="eastAsia" w:ascii="Times New Roman" w:hAnsi="Times New Roman"/>
          <w:szCs w:val="21"/>
        </w:rPr>
        <w:t>（1）试验过程</w:t>
      </w:r>
    </w:p>
    <w:p w14:paraId="1B9C21DD">
      <w:pPr>
        <w:overflowPunct w:val="0"/>
        <w:spacing w:line="360" w:lineRule="auto"/>
        <w:ind w:firstLine="480" w:firstLineChars="200"/>
        <w:rPr>
          <w:rFonts w:ascii="Times New Roman" w:hAnsi="Times New Roman"/>
          <w:szCs w:val="21"/>
        </w:rPr>
      </w:pPr>
      <w:r>
        <w:rPr>
          <w:rFonts w:hint="eastAsia" w:ascii="Times New Roman" w:hAnsi="Times New Roman"/>
          <w:szCs w:val="21"/>
        </w:rPr>
        <w:t>在厂区评价区范围内进行了三组单孔抽水试验（井H2、H3、H4），每组进行两次降深试验。在抽水试验进行前，每30min进行一次静水观测，在2h内地下水位变幅不超过2cm，且不发生持续上升或下降趋势时，即可视为稳定。在进行试验时，在5min、10min、15min、20min、30min、40min、50min和60min时，各观测一次地下水位和流量，之后每半小时观测一次；记录地下水埋深变化以及流量变化，通过计算获得试验区水文地质参数。抽水完成后，在1min、3min、5min、10min、15min和30min分别进行地下水位观测，之后每30min观测一次。</w:t>
      </w:r>
    </w:p>
    <w:p w14:paraId="4FCBEE88">
      <w:pPr>
        <w:overflowPunct w:val="0"/>
        <w:spacing w:line="360" w:lineRule="auto"/>
        <w:ind w:firstLine="480" w:firstLineChars="200"/>
        <w:rPr>
          <w:rFonts w:ascii="Times New Roman" w:hAnsi="Times New Roman"/>
          <w:szCs w:val="21"/>
        </w:rPr>
      </w:pPr>
      <w:r>
        <w:rPr>
          <w:rFonts w:hint="eastAsia" w:ascii="Times New Roman" w:hAnsi="Times New Roman"/>
          <w:szCs w:val="21"/>
        </w:rPr>
        <w:t>（2）试验结果</w:t>
      </w:r>
    </w:p>
    <w:p w14:paraId="5D8AA9AD">
      <w:pPr>
        <w:overflowPunct w:val="0"/>
        <w:spacing w:line="360" w:lineRule="auto"/>
        <w:ind w:firstLine="480" w:firstLineChars="200"/>
        <w:rPr>
          <w:rFonts w:ascii="Times New Roman" w:hAnsi="Times New Roman"/>
          <w:szCs w:val="21"/>
        </w:rPr>
      </w:pPr>
      <w:r>
        <w:rPr>
          <w:rFonts w:hint="eastAsia" w:ascii="Times New Roman" w:hAnsi="Times New Roman"/>
          <w:szCs w:val="21"/>
        </w:rPr>
        <w:t>利用潜水单孔稳定流完整井渗透系数计算公式进行渗透系数计算：</w:t>
      </w:r>
    </w:p>
    <w:p w14:paraId="2B9C3C9F">
      <w:pPr>
        <w:overflowPunct w:val="0"/>
        <w:spacing w:line="360" w:lineRule="auto"/>
        <w:ind w:firstLine="480" w:firstLineChars="200"/>
        <w:jc w:val="center"/>
        <w:rPr>
          <w:rFonts w:ascii="Times New Roman" w:hAnsi="Times New Roman"/>
          <w:szCs w:val="21"/>
        </w:rPr>
      </w:pPr>
      <w:r>
        <w:rPr>
          <w:rFonts w:ascii="Times New Roman" w:hAnsi="Times New Roman"/>
          <w:szCs w:val="21"/>
        </w:rPr>
        <w:drawing>
          <wp:inline distT="0" distB="0" distL="0" distR="0">
            <wp:extent cx="1467485" cy="457200"/>
            <wp:effectExtent l="0" t="0" r="18415" b="0"/>
            <wp:docPr id="122" name="图片 12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文本&#10;&#10;AI 生成的内容可能不正确。"/>
                    <pic:cNvPicPr>
                      <a:picLocks noChangeAspect="1"/>
                    </pic:cNvPicPr>
                  </pic:nvPicPr>
                  <pic:blipFill>
                    <a:blip r:embed="rId40"/>
                    <a:stretch>
                      <a:fillRect/>
                    </a:stretch>
                  </pic:blipFill>
                  <pic:spPr>
                    <a:xfrm>
                      <a:off x="0" y="0"/>
                      <a:ext cx="1466850" cy="457200"/>
                    </a:xfrm>
                    <a:prstGeom prst="rect">
                      <a:avLst/>
                    </a:prstGeom>
                  </pic:spPr>
                </pic:pic>
              </a:graphicData>
            </a:graphic>
          </wp:inline>
        </w:drawing>
      </w:r>
    </w:p>
    <w:p w14:paraId="23CE7362">
      <w:pPr>
        <w:overflowPunct w:val="0"/>
        <w:spacing w:line="360" w:lineRule="auto"/>
        <w:ind w:firstLine="480" w:firstLineChars="200"/>
        <w:jc w:val="center"/>
        <w:rPr>
          <w:rFonts w:ascii="Times New Roman" w:hAnsi="Times New Roman"/>
          <w:szCs w:val="21"/>
        </w:rPr>
      </w:pPr>
      <w:r>
        <w:rPr>
          <w:rFonts w:ascii="Times New Roman" w:hAnsi="Times New Roman"/>
          <w:szCs w:val="21"/>
        </w:rPr>
        <w:drawing>
          <wp:inline distT="0" distB="0" distL="0" distR="0">
            <wp:extent cx="1297305" cy="297815"/>
            <wp:effectExtent l="0" t="0" r="17145" b="6985"/>
            <wp:docPr id="123" name="图片 123"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包含 图示&#10;&#10;AI 生成的内容可能不正确。"/>
                    <pic:cNvPicPr>
                      <a:picLocks noChangeAspect="1"/>
                    </pic:cNvPicPr>
                  </pic:nvPicPr>
                  <pic:blipFill>
                    <a:blip r:embed="rId41"/>
                    <a:stretch>
                      <a:fillRect/>
                    </a:stretch>
                  </pic:blipFill>
                  <pic:spPr>
                    <a:xfrm>
                      <a:off x="0" y="0"/>
                      <a:ext cx="1295400" cy="295275"/>
                    </a:xfrm>
                    <a:prstGeom prst="rect">
                      <a:avLst/>
                    </a:prstGeom>
                  </pic:spPr>
                </pic:pic>
              </a:graphicData>
            </a:graphic>
          </wp:inline>
        </w:drawing>
      </w:r>
    </w:p>
    <w:p w14:paraId="422D455A">
      <w:pPr>
        <w:overflowPunct w:val="0"/>
        <w:spacing w:line="360" w:lineRule="auto"/>
        <w:ind w:firstLine="480" w:firstLineChars="200"/>
        <w:rPr>
          <w:rFonts w:ascii="Times New Roman" w:hAnsi="Times New Roman"/>
          <w:szCs w:val="21"/>
        </w:rPr>
      </w:pPr>
      <w:r>
        <w:rPr>
          <w:rFonts w:hint="eastAsia" w:ascii="Times New Roman" w:hAnsi="Times New Roman"/>
          <w:szCs w:val="21"/>
        </w:rPr>
        <w:t>K-渗透系数(m/d)；</w:t>
      </w:r>
    </w:p>
    <w:p w14:paraId="5DCA63DD">
      <w:pPr>
        <w:overflowPunct w:val="0"/>
        <w:spacing w:line="360" w:lineRule="auto"/>
        <w:ind w:firstLine="480" w:firstLineChars="200"/>
        <w:rPr>
          <w:rFonts w:ascii="Times New Roman" w:hAnsi="Times New Roman"/>
        </w:rPr>
      </w:pPr>
      <w:r>
        <w:rPr>
          <w:rFonts w:hint="eastAsia" w:ascii="Times New Roman" w:hAnsi="Times New Roman"/>
        </w:rPr>
        <w:t>Q-流量(m</w:t>
      </w:r>
      <w:r>
        <w:rPr>
          <w:rFonts w:hint="eastAsia" w:ascii="Times New Roman" w:hAnsi="Times New Roman"/>
          <w:vertAlign w:val="superscript"/>
        </w:rPr>
        <w:t>3</w:t>
      </w:r>
      <w:r>
        <w:rPr>
          <w:rFonts w:hint="eastAsia" w:ascii="Times New Roman" w:hAnsi="Times New Roman"/>
        </w:rPr>
        <w:t>/d)；</w:t>
      </w:r>
    </w:p>
    <w:p w14:paraId="3865EAC7">
      <w:pPr>
        <w:overflowPunct w:val="0"/>
        <w:spacing w:line="360" w:lineRule="auto"/>
        <w:ind w:firstLine="480" w:firstLineChars="200"/>
        <w:rPr>
          <w:rFonts w:ascii="Times New Roman" w:hAnsi="Times New Roman"/>
        </w:rPr>
      </w:pPr>
      <w:r>
        <w:rPr>
          <w:rFonts w:hint="eastAsia" w:ascii="Times New Roman" w:hAnsi="Times New Roman"/>
        </w:rPr>
        <w:t>H-含水层自然时厚度(m)；</w:t>
      </w:r>
    </w:p>
    <w:p w14:paraId="38ECB7CC">
      <w:pPr>
        <w:overflowPunct w:val="0"/>
        <w:spacing w:line="360" w:lineRule="auto"/>
        <w:ind w:firstLine="480" w:firstLineChars="200"/>
        <w:rPr>
          <w:rFonts w:ascii="Times New Roman" w:hAnsi="Times New Roman"/>
        </w:rPr>
      </w:pPr>
      <w:r>
        <w:rPr>
          <w:rFonts w:hint="eastAsia" w:ascii="Times New Roman" w:hAnsi="Times New Roman"/>
        </w:rPr>
        <w:t>h-含水层抽水时厚度(m)；</w:t>
      </w:r>
    </w:p>
    <w:p w14:paraId="6C53EF57">
      <w:pPr>
        <w:overflowPunct w:val="0"/>
        <w:spacing w:line="360" w:lineRule="auto"/>
        <w:ind w:firstLine="480" w:firstLineChars="200"/>
        <w:rPr>
          <w:rFonts w:ascii="Times New Roman" w:hAnsi="Times New Roman"/>
        </w:rPr>
      </w:pPr>
      <w:r>
        <w:rPr>
          <w:rFonts w:hint="eastAsia" w:ascii="Times New Roman" w:hAnsi="Times New Roman"/>
        </w:rPr>
        <w:t>S-抽水井水位降深(m)；</w:t>
      </w:r>
    </w:p>
    <w:p w14:paraId="6B11BB76">
      <w:pPr>
        <w:overflowPunct w:val="0"/>
        <w:spacing w:line="360" w:lineRule="auto"/>
        <w:ind w:firstLine="480" w:firstLineChars="200"/>
        <w:rPr>
          <w:rFonts w:ascii="Times New Roman" w:hAnsi="Times New Roman"/>
        </w:rPr>
      </w:pPr>
      <w:r>
        <w:rPr>
          <w:rFonts w:hint="eastAsia" w:ascii="Times New Roman" w:hAnsi="Times New Roman"/>
        </w:rPr>
        <w:t>r-抽水井半径(m)；</w:t>
      </w:r>
    </w:p>
    <w:p w14:paraId="22519C93">
      <w:pPr>
        <w:overflowPunct w:val="0"/>
        <w:spacing w:line="360" w:lineRule="auto"/>
        <w:ind w:firstLine="480" w:firstLineChars="200"/>
        <w:rPr>
          <w:rFonts w:ascii="Times New Roman" w:hAnsi="Times New Roman"/>
        </w:rPr>
      </w:pPr>
      <w:r>
        <w:rPr>
          <w:rFonts w:hint="eastAsia" w:ascii="Times New Roman" w:hAnsi="Times New Roman"/>
        </w:rPr>
        <w:t>R-抽水影响半径(m)。</w:t>
      </w:r>
    </w:p>
    <w:p w14:paraId="2FF06CE0">
      <w:pPr>
        <w:overflowPunct w:val="0"/>
        <w:spacing w:line="360" w:lineRule="auto"/>
        <w:ind w:firstLine="480" w:firstLineChars="200"/>
        <w:rPr>
          <w:rFonts w:ascii="Times New Roman" w:hAnsi="Times New Roman"/>
        </w:rPr>
      </w:pPr>
      <w:r>
        <w:rPr>
          <w:rFonts w:hint="eastAsia" w:ascii="Times New Roman" w:hAnsi="Times New Roman"/>
        </w:rPr>
        <w:t>根据钻孔条件及试验结果数据，通过计算分别得到抽水试验降深曲线，如</w:t>
      </w:r>
      <w:r>
        <w:rPr>
          <w:rFonts w:hint="eastAsia" w:ascii="Times New Roman" w:hAnsi="Times New Roman"/>
          <w:szCs w:val="21"/>
        </w:rPr>
        <w:t>图5.3.2-9-图5.3.2-11</w:t>
      </w:r>
      <w:r>
        <w:rPr>
          <w:rFonts w:hint="eastAsia" w:ascii="Times New Roman" w:hAnsi="Times New Roman"/>
        </w:rPr>
        <w:t>所示。</w:t>
      </w:r>
    </w:p>
    <w:p w14:paraId="358D8D11">
      <w:pPr>
        <w:adjustRightInd w:val="0"/>
        <w:snapToGrid w:val="0"/>
        <w:jc w:val="center"/>
        <w:rPr>
          <w:rFonts w:ascii="Times New Roman" w:hAnsi="Times New Roman"/>
        </w:rPr>
      </w:pPr>
    </w:p>
    <w:p w14:paraId="126987CA">
      <w:pPr>
        <w:spacing w:line="360" w:lineRule="auto"/>
        <w:jc w:val="center"/>
        <w:rPr>
          <w:rFonts w:hint="eastAsia" w:ascii="黑体" w:hAnsi="黑体" w:eastAsia="黑体"/>
          <w:b/>
        </w:rPr>
      </w:pPr>
      <w:r>
        <w:rPr>
          <w:rFonts w:hint="eastAsia" w:ascii="黑体" w:hAnsi="黑体" w:eastAsia="黑体"/>
          <w:b/>
        </w:rPr>
        <w:t>图5.3.2-9     H2抽水试验曲线</w:t>
      </w:r>
    </w:p>
    <w:p w14:paraId="758B1637">
      <w:pPr>
        <w:adjustRightInd w:val="0"/>
        <w:snapToGrid w:val="0"/>
        <w:jc w:val="center"/>
        <w:rPr>
          <w:rFonts w:ascii="Times New Roman" w:hAnsi="Times New Roman"/>
        </w:rPr>
      </w:pPr>
    </w:p>
    <w:p w14:paraId="73E020E8">
      <w:pPr>
        <w:spacing w:line="360" w:lineRule="auto"/>
        <w:jc w:val="center"/>
        <w:rPr>
          <w:rFonts w:hint="eastAsia" w:ascii="黑体" w:hAnsi="黑体" w:eastAsia="黑体"/>
          <w:b/>
        </w:rPr>
      </w:pPr>
      <w:r>
        <w:rPr>
          <w:rFonts w:hint="eastAsia" w:ascii="黑体" w:hAnsi="黑体" w:eastAsia="黑体"/>
          <w:b/>
        </w:rPr>
        <w:t>图5.3.2-10</w:t>
      </w:r>
      <w:r>
        <w:rPr>
          <w:rFonts w:ascii="黑体" w:hAnsi="黑体" w:eastAsia="黑体"/>
          <w:b/>
        </w:rPr>
        <w:t xml:space="preserve"> </w:t>
      </w:r>
      <w:r>
        <w:rPr>
          <w:rFonts w:hint="eastAsia" w:ascii="黑体" w:hAnsi="黑体" w:eastAsia="黑体"/>
          <w:b/>
        </w:rPr>
        <w:t xml:space="preserve">  </w:t>
      </w:r>
      <w:r>
        <w:rPr>
          <w:rFonts w:ascii="黑体" w:hAnsi="黑体" w:eastAsia="黑体"/>
          <w:b/>
        </w:rPr>
        <w:t xml:space="preserve"> H3</w:t>
      </w:r>
      <w:r>
        <w:rPr>
          <w:rFonts w:hint="eastAsia" w:ascii="黑体" w:hAnsi="黑体" w:eastAsia="黑体"/>
          <w:b/>
        </w:rPr>
        <w:t>抽水试验曲线</w:t>
      </w:r>
    </w:p>
    <w:p w14:paraId="785B57E4">
      <w:pPr>
        <w:adjustRightInd w:val="0"/>
        <w:snapToGrid w:val="0"/>
        <w:ind w:firstLine="480"/>
        <w:rPr>
          <w:rFonts w:ascii="Times New Roman" w:hAnsi="Times New Roman"/>
        </w:rPr>
      </w:pPr>
    </w:p>
    <w:p w14:paraId="6347D085">
      <w:pPr>
        <w:adjustRightInd w:val="0"/>
        <w:snapToGrid w:val="0"/>
        <w:jc w:val="center"/>
        <w:rPr>
          <w:rFonts w:ascii="Times New Roman" w:hAnsi="Times New Roman"/>
        </w:rPr>
      </w:pPr>
    </w:p>
    <w:p w14:paraId="5517608C">
      <w:pPr>
        <w:spacing w:line="360" w:lineRule="auto"/>
        <w:jc w:val="center"/>
        <w:rPr>
          <w:rFonts w:ascii="Times New Roman" w:hAnsi="Times New Roman" w:eastAsia="黑体"/>
          <w:b/>
          <w:sz w:val="21"/>
          <w:szCs w:val="21"/>
        </w:rPr>
      </w:pPr>
      <w:r>
        <w:rPr>
          <w:rFonts w:hint="eastAsia" w:ascii="黑体" w:hAnsi="黑体" w:eastAsia="黑体"/>
          <w:b/>
        </w:rPr>
        <w:t xml:space="preserve">图5.3.2-11  </w:t>
      </w:r>
      <w:r>
        <w:rPr>
          <w:rFonts w:ascii="Times New Roman" w:hAnsi="Times New Roman" w:eastAsia="黑体"/>
          <w:b/>
          <w:sz w:val="21"/>
          <w:szCs w:val="21"/>
        </w:rPr>
        <w:t xml:space="preserve">  H4抽水试验曲线</w:t>
      </w:r>
    </w:p>
    <w:p w14:paraId="7CDFB9B7">
      <w:pPr>
        <w:overflowPunct w:val="0"/>
        <w:spacing w:line="360" w:lineRule="auto"/>
        <w:ind w:firstLine="480" w:firstLineChars="200"/>
        <w:rPr>
          <w:rFonts w:ascii="Times New Roman" w:hAnsi="Times New Roman"/>
          <w:szCs w:val="21"/>
        </w:rPr>
      </w:pPr>
      <w:r>
        <w:rPr>
          <w:rFonts w:hint="eastAsia" w:ascii="Times New Roman" w:hAnsi="Times New Roman"/>
          <w:szCs w:val="21"/>
        </w:rPr>
        <w:t>根据钻孔条件及试验结果数据，通过计算分别得到目标含水层的渗透系数，如表5.3.2-3所示。</w:t>
      </w:r>
    </w:p>
    <w:p w14:paraId="2DE4A009">
      <w:pPr>
        <w:spacing w:line="360" w:lineRule="auto"/>
        <w:jc w:val="center"/>
        <w:rPr>
          <w:rFonts w:hint="eastAsia" w:ascii="黑体" w:hAnsi="黑体" w:eastAsia="黑体"/>
          <w:b/>
        </w:rPr>
      </w:pPr>
      <w:r>
        <w:rPr>
          <w:rFonts w:hint="eastAsia" w:ascii="黑体" w:hAnsi="黑体" w:eastAsia="黑体"/>
          <w:b/>
        </w:rPr>
        <w:t>表5.3.2-3</w:t>
      </w:r>
      <w:r>
        <w:rPr>
          <w:rFonts w:ascii="黑体" w:hAnsi="黑体" w:eastAsia="黑体"/>
          <w:b/>
        </w:rPr>
        <w:t xml:space="preserve">    </w:t>
      </w:r>
      <w:r>
        <w:rPr>
          <w:rFonts w:hint="eastAsia" w:ascii="黑体" w:hAnsi="黑体" w:eastAsia="黑体"/>
          <w:b/>
        </w:rPr>
        <w:t>抽水试验成果表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951"/>
        <w:gridCol w:w="1037"/>
        <w:gridCol w:w="1012"/>
        <w:gridCol w:w="898"/>
        <w:gridCol w:w="984"/>
        <w:gridCol w:w="983"/>
        <w:gridCol w:w="984"/>
      </w:tblGrid>
      <w:tr w14:paraId="1313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vMerge w:val="restart"/>
            <w:noWrap/>
            <w:vAlign w:val="center"/>
          </w:tcPr>
          <w:p w14:paraId="36DC4B2B">
            <w:pPr>
              <w:ind w:firstLine="420"/>
              <w:jc w:val="center"/>
              <w:rPr>
                <w:rFonts w:ascii="Times New Roman" w:hAnsi="Times New Roman"/>
                <w:sz w:val="18"/>
                <w:szCs w:val="18"/>
              </w:rPr>
            </w:pPr>
          </w:p>
        </w:tc>
        <w:tc>
          <w:tcPr>
            <w:tcW w:w="567" w:type="pct"/>
            <w:vMerge w:val="restart"/>
            <w:noWrap/>
            <w:vAlign w:val="center"/>
          </w:tcPr>
          <w:p w14:paraId="3C3C788E">
            <w:pPr>
              <w:jc w:val="center"/>
              <w:rPr>
                <w:rFonts w:ascii="Times New Roman" w:hAnsi="Times New Roman"/>
                <w:sz w:val="18"/>
                <w:szCs w:val="18"/>
              </w:rPr>
            </w:pPr>
            <w:r>
              <w:rPr>
                <w:rFonts w:ascii="Times New Roman" w:hAnsi="Times New Roman"/>
                <w:sz w:val="18"/>
                <w:szCs w:val="18"/>
              </w:rPr>
              <w:t>单位</w:t>
            </w:r>
          </w:p>
        </w:tc>
        <w:tc>
          <w:tcPr>
            <w:tcW w:w="1219" w:type="pct"/>
            <w:gridSpan w:val="2"/>
            <w:noWrap/>
            <w:vAlign w:val="center"/>
          </w:tcPr>
          <w:p w14:paraId="76E9A172">
            <w:pPr>
              <w:jc w:val="center"/>
              <w:rPr>
                <w:rFonts w:ascii="Times New Roman" w:hAnsi="Times New Roman"/>
                <w:sz w:val="18"/>
                <w:szCs w:val="18"/>
              </w:rPr>
            </w:pPr>
            <w:r>
              <w:rPr>
                <w:rFonts w:ascii="Times New Roman" w:hAnsi="Times New Roman"/>
                <w:sz w:val="18"/>
                <w:szCs w:val="18"/>
              </w:rPr>
              <w:t>H2</w:t>
            </w:r>
          </w:p>
        </w:tc>
        <w:tc>
          <w:tcPr>
            <w:tcW w:w="1121" w:type="pct"/>
            <w:gridSpan w:val="2"/>
            <w:noWrap/>
            <w:vAlign w:val="center"/>
          </w:tcPr>
          <w:p w14:paraId="7BE385A7">
            <w:pPr>
              <w:jc w:val="center"/>
              <w:rPr>
                <w:rFonts w:ascii="Times New Roman" w:hAnsi="Times New Roman"/>
                <w:sz w:val="18"/>
                <w:szCs w:val="18"/>
              </w:rPr>
            </w:pPr>
            <w:r>
              <w:rPr>
                <w:rFonts w:ascii="Times New Roman" w:hAnsi="Times New Roman"/>
                <w:sz w:val="18"/>
                <w:szCs w:val="18"/>
              </w:rPr>
              <w:t>H3</w:t>
            </w:r>
          </w:p>
        </w:tc>
        <w:tc>
          <w:tcPr>
            <w:tcW w:w="1171" w:type="pct"/>
            <w:gridSpan w:val="2"/>
            <w:noWrap/>
            <w:vAlign w:val="center"/>
          </w:tcPr>
          <w:p w14:paraId="628B3F97">
            <w:pPr>
              <w:jc w:val="center"/>
              <w:rPr>
                <w:rFonts w:ascii="Times New Roman" w:hAnsi="Times New Roman"/>
                <w:sz w:val="18"/>
                <w:szCs w:val="18"/>
              </w:rPr>
            </w:pPr>
            <w:r>
              <w:rPr>
                <w:rFonts w:ascii="Times New Roman" w:hAnsi="Times New Roman"/>
                <w:sz w:val="18"/>
                <w:szCs w:val="18"/>
              </w:rPr>
              <w:t>H4</w:t>
            </w:r>
          </w:p>
        </w:tc>
      </w:tr>
      <w:tr w14:paraId="238E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vMerge w:val="continue"/>
            <w:noWrap/>
            <w:vAlign w:val="center"/>
          </w:tcPr>
          <w:p w14:paraId="6E620942">
            <w:pPr>
              <w:ind w:firstLine="420"/>
              <w:jc w:val="center"/>
              <w:rPr>
                <w:rFonts w:ascii="Times New Roman" w:hAnsi="Times New Roman"/>
                <w:sz w:val="18"/>
                <w:szCs w:val="18"/>
              </w:rPr>
            </w:pPr>
          </w:p>
        </w:tc>
        <w:tc>
          <w:tcPr>
            <w:tcW w:w="567" w:type="pct"/>
            <w:vMerge w:val="continue"/>
            <w:noWrap/>
            <w:vAlign w:val="center"/>
          </w:tcPr>
          <w:p w14:paraId="420A1326">
            <w:pPr>
              <w:ind w:firstLine="420"/>
              <w:jc w:val="center"/>
              <w:rPr>
                <w:rFonts w:ascii="Times New Roman" w:hAnsi="Times New Roman"/>
                <w:sz w:val="18"/>
                <w:szCs w:val="18"/>
              </w:rPr>
            </w:pPr>
          </w:p>
        </w:tc>
        <w:tc>
          <w:tcPr>
            <w:tcW w:w="617" w:type="pct"/>
            <w:noWrap/>
            <w:vAlign w:val="center"/>
          </w:tcPr>
          <w:p w14:paraId="178D817B">
            <w:pPr>
              <w:jc w:val="center"/>
              <w:rPr>
                <w:rFonts w:ascii="Times New Roman" w:hAnsi="Times New Roman"/>
                <w:sz w:val="18"/>
                <w:szCs w:val="18"/>
              </w:rPr>
            </w:pPr>
            <w:r>
              <w:rPr>
                <w:rFonts w:ascii="Times New Roman" w:hAnsi="Times New Roman"/>
                <w:sz w:val="18"/>
                <w:szCs w:val="18"/>
              </w:rPr>
              <w:t>1</w:t>
            </w:r>
          </w:p>
        </w:tc>
        <w:tc>
          <w:tcPr>
            <w:tcW w:w="602" w:type="pct"/>
            <w:noWrap/>
            <w:vAlign w:val="center"/>
          </w:tcPr>
          <w:p w14:paraId="2AAD1C02">
            <w:pPr>
              <w:jc w:val="center"/>
              <w:rPr>
                <w:rFonts w:ascii="Times New Roman" w:hAnsi="Times New Roman"/>
                <w:sz w:val="18"/>
                <w:szCs w:val="18"/>
              </w:rPr>
            </w:pPr>
            <w:r>
              <w:rPr>
                <w:rFonts w:ascii="Times New Roman" w:hAnsi="Times New Roman"/>
                <w:sz w:val="18"/>
                <w:szCs w:val="18"/>
              </w:rPr>
              <w:t>2</w:t>
            </w:r>
          </w:p>
        </w:tc>
        <w:tc>
          <w:tcPr>
            <w:tcW w:w="535" w:type="pct"/>
            <w:noWrap/>
            <w:vAlign w:val="center"/>
          </w:tcPr>
          <w:p w14:paraId="4E1847C6">
            <w:pPr>
              <w:jc w:val="center"/>
              <w:rPr>
                <w:rFonts w:ascii="Times New Roman" w:hAnsi="Times New Roman"/>
                <w:sz w:val="18"/>
                <w:szCs w:val="18"/>
              </w:rPr>
            </w:pPr>
            <w:r>
              <w:rPr>
                <w:rFonts w:ascii="Times New Roman" w:hAnsi="Times New Roman"/>
                <w:sz w:val="18"/>
                <w:szCs w:val="18"/>
              </w:rPr>
              <w:t>1</w:t>
            </w:r>
          </w:p>
        </w:tc>
        <w:tc>
          <w:tcPr>
            <w:tcW w:w="585" w:type="pct"/>
            <w:noWrap/>
            <w:vAlign w:val="center"/>
          </w:tcPr>
          <w:p w14:paraId="148668F9">
            <w:pPr>
              <w:jc w:val="center"/>
              <w:rPr>
                <w:rFonts w:ascii="Times New Roman" w:hAnsi="Times New Roman"/>
                <w:sz w:val="18"/>
                <w:szCs w:val="18"/>
              </w:rPr>
            </w:pPr>
            <w:r>
              <w:rPr>
                <w:rFonts w:ascii="Times New Roman" w:hAnsi="Times New Roman"/>
                <w:sz w:val="18"/>
                <w:szCs w:val="18"/>
              </w:rPr>
              <w:t>2</w:t>
            </w:r>
          </w:p>
        </w:tc>
        <w:tc>
          <w:tcPr>
            <w:tcW w:w="585" w:type="pct"/>
            <w:noWrap/>
            <w:vAlign w:val="center"/>
          </w:tcPr>
          <w:p w14:paraId="0375DD78">
            <w:pPr>
              <w:jc w:val="center"/>
              <w:rPr>
                <w:rFonts w:ascii="Times New Roman" w:hAnsi="Times New Roman"/>
                <w:sz w:val="18"/>
                <w:szCs w:val="18"/>
              </w:rPr>
            </w:pPr>
            <w:r>
              <w:rPr>
                <w:rFonts w:ascii="Times New Roman" w:hAnsi="Times New Roman"/>
                <w:sz w:val="18"/>
                <w:szCs w:val="18"/>
              </w:rPr>
              <w:t>1</w:t>
            </w:r>
          </w:p>
        </w:tc>
        <w:tc>
          <w:tcPr>
            <w:tcW w:w="586" w:type="pct"/>
            <w:noWrap/>
            <w:vAlign w:val="center"/>
          </w:tcPr>
          <w:p w14:paraId="5BBE033C">
            <w:pPr>
              <w:jc w:val="center"/>
              <w:rPr>
                <w:rFonts w:ascii="Times New Roman" w:hAnsi="Times New Roman"/>
                <w:sz w:val="18"/>
                <w:szCs w:val="18"/>
              </w:rPr>
            </w:pPr>
            <w:r>
              <w:rPr>
                <w:rFonts w:ascii="Times New Roman" w:hAnsi="Times New Roman"/>
                <w:sz w:val="18"/>
                <w:szCs w:val="18"/>
              </w:rPr>
              <w:t>2</w:t>
            </w:r>
          </w:p>
        </w:tc>
      </w:tr>
      <w:tr w14:paraId="4999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3C8B3EB7">
            <w:pPr>
              <w:jc w:val="center"/>
              <w:rPr>
                <w:rFonts w:ascii="Times New Roman" w:hAnsi="Times New Roman"/>
                <w:sz w:val="18"/>
                <w:szCs w:val="18"/>
              </w:rPr>
            </w:pPr>
            <w:r>
              <w:rPr>
                <w:rFonts w:ascii="Times New Roman" w:hAnsi="Times New Roman"/>
                <w:sz w:val="18"/>
                <w:szCs w:val="18"/>
              </w:rPr>
              <w:t>抽水延续时间</w:t>
            </w:r>
          </w:p>
        </w:tc>
        <w:tc>
          <w:tcPr>
            <w:tcW w:w="567" w:type="pct"/>
            <w:vMerge w:val="restart"/>
            <w:noWrap/>
            <w:vAlign w:val="center"/>
          </w:tcPr>
          <w:p w14:paraId="44F1D22A">
            <w:pPr>
              <w:jc w:val="center"/>
              <w:rPr>
                <w:rFonts w:ascii="Times New Roman" w:hAnsi="Times New Roman"/>
                <w:sz w:val="18"/>
                <w:szCs w:val="18"/>
              </w:rPr>
            </w:pPr>
            <w:r>
              <w:rPr>
                <w:rFonts w:ascii="Times New Roman" w:hAnsi="Times New Roman"/>
                <w:sz w:val="18"/>
                <w:szCs w:val="18"/>
              </w:rPr>
              <w:t>min</w:t>
            </w:r>
          </w:p>
        </w:tc>
        <w:tc>
          <w:tcPr>
            <w:tcW w:w="617" w:type="pct"/>
            <w:noWrap/>
            <w:vAlign w:val="center"/>
          </w:tcPr>
          <w:p w14:paraId="0C186D61">
            <w:pPr>
              <w:jc w:val="center"/>
              <w:rPr>
                <w:rFonts w:ascii="Times New Roman" w:hAnsi="Times New Roman"/>
                <w:sz w:val="18"/>
                <w:szCs w:val="18"/>
              </w:rPr>
            </w:pPr>
            <w:r>
              <w:rPr>
                <w:rFonts w:ascii="Times New Roman" w:hAnsi="Times New Roman"/>
                <w:sz w:val="18"/>
                <w:szCs w:val="18"/>
              </w:rPr>
              <w:t>300</w:t>
            </w:r>
          </w:p>
        </w:tc>
        <w:tc>
          <w:tcPr>
            <w:tcW w:w="602" w:type="pct"/>
            <w:noWrap/>
            <w:vAlign w:val="center"/>
          </w:tcPr>
          <w:p w14:paraId="2028C6BB">
            <w:pPr>
              <w:jc w:val="center"/>
              <w:rPr>
                <w:rFonts w:ascii="Times New Roman" w:hAnsi="Times New Roman"/>
                <w:sz w:val="18"/>
                <w:szCs w:val="18"/>
              </w:rPr>
            </w:pPr>
            <w:r>
              <w:rPr>
                <w:rFonts w:ascii="Times New Roman" w:hAnsi="Times New Roman"/>
                <w:sz w:val="18"/>
                <w:szCs w:val="18"/>
              </w:rPr>
              <w:t>300</w:t>
            </w:r>
          </w:p>
        </w:tc>
        <w:tc>
          <w:tcPr>
            <w:tcW w:w="535" w:type="pct"/>
            <w:noWrap/>
            <w:vAlign w:val="center"/>
          </w:tcPr>
          <w:p w14:paraId="575CB904">
            <w:pPr>
              <w:jc w:val="center"/>
              <w:rPr>
                <w:rFonts w:ascii="Times New Roman" w:hAnsi="Times New Roman"/>
                <w:sz w:val="18"/>
                <w:szCs w:val="18"/>
              </w:rPr>
            </w:pPr>
            <w:r>
              <w:rPr>
                <w:rFonts w:ascii="Times New Roman" w:hAnsi="Times New Roman"/>
                <w:sz w:val="18"/>
                <w:szCs w:val="18"/>
              </w:rPr>
              <w:t>300</w:t>
            </w:r>
          </w:p>
        </w:tc>
        <w:tc>
          <w:tcPr>
            <w:tcW w:w="585" w:type="pct"/>
            <w:noWrap/>
            <w:vAlign w:val="center"/>
          </w:tcPr>
          <w:p w14:paraId="1B32BA6D">
            <w:pPr>
              <w:jc w:val="center"/>
              <w:rPr>
                <w:rFonts w:ascii="Times New Roman" w:hAnsi="Times New Roman"/>
                <w:sz w:val="18"/>
                <w:szCs w:val="18"/>
              </w:rPr>
            </w:pPr>
            <w:r>
              <w:rPr>
                <w:rFonts w:ascii="Times New Roman" w:hAnsi="Times New Roman"/>
                <w:sz w:val="18"/>
                <w:szCs w:val="18"/>
              </w:rPr>
              <w:t>300</w:t>
            </w:r>
          </w:p>
        </w:tc>
        <w:tc>
          <w:tcPr>
            <w:tcW w:w="585" w:type="pct"/>
            <w:noWrap/>
            <w:vAlign w:val="center"/>
          </w:tcPr>
          <w:p w14:paraId="0426B7A0">
            <w:pPr>
              <w:jc w:val="center"/>
              <w:rPr>
                <w:rFonts w:ascii="Times New Roman" w:hAnsi="Times New Roman"/>
                <w:sz w:val="18"/>
                <w:szCs w:val="18"/>
              </w:rPr>
            </w:pPr>
            <w:r>
              <w:rPr>
                <w:rFonts w:ascii="Times New Roman" w:hAnsi="Times New Roman"/>
                <w:sz w:val="18"/>
                <w:szCs w:val="18"/>
              </w:rPr>
              <w:t>300</w:t>
            </w:r>
          </w:p>
        </w:tc>
        <w:tc>
          <w:tcPr>
            <w:tcW w:w="586" w:type="pct"/>
            <w:noWrap/>
            <w:vAlign w:val="center"/>
          </w:tcPr>
          <w:p w14:paraId="5C5F284D">
            <w:pPr>
              <w:jc w:val="center"/>
              <w:rPr>
                <w:rFonts w:ascii="Times New Roman" w:hAnsi="Times New Roman"/>
                <w:sz w:val="18"/>
                <w:szCs w:val="18"/>
              </w:rPr>
            </w:pPr>
            <w:r>
              <w:rPr>
                <w:rFonts w:ascii="Times New Roman" w:hAnsi="Times New Roman"/>
                <w:sz w:val="18"/>
                <w:szCs w:val="18"/>
              </w:rPr>
              <w:t>300</w:t>
            </w:r>
          </w:p>
        </w:tc>
      </w:tr>
      <w:tr w14:paraId="27D7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3151783A">
            <w:pPr>
              <w:jc w:val="center"/>
              <w:rPr>
                <w:rFonts w:ascii="Times New Roman" w:hAnsi="Times New Roman"/>
                <w:sz w:val="18"/>
                <w:szCs w:val="18"/>
              </w:rPr>
            </w:pPr>
            <w:r>
              <w:rPr>
                <w:rFonts w:ascii="Times New Roman" w:hAnsi="Times New Roman"/>
                <w:sz w:val="18"/>
                <w:szCs w:val="18"/>
              </w:rPr>
              <w:t>稳定状态观测时间</w:t>
            </w:r>
          </w:p>
        </w:tc>
        <w:tc>
          <w:tcPr>
            <w:tcW w:w="567" w:type="pct"/>
            <w:vMerge w:val="continue"/>
            <w:vAlign w:val="center"/>
          </w:tcPr>
          <w:p w14:paraId="1D7E15CD">
            <w:pPr>
              <w:ind w:firstLine="420"/>
              <w:jc w:val="center"/>
              <w:rPr>
                <w:rFonts w:ascii="Times New Roman" w:hAnsi="Times New Roman"/>
                <w:sz w:val="18"/>
                <w:szCs w:val="18"/>
              </w:rPr>
            </w:pPr>
          </w:p>
        </w:tc>
        <w:tc>
          <w:tcPr>
            <w:tcW w:w="617" w:type="pct"/>
            <w:noWrap/>
            <w:vAlign w:val="center"/>
          </w:tcPr>
          <w:p w14:paraId="09170CF4">
            <w:pPr>
              <w:jc w:val="center"/>
              <w:rPr>
                <w:rFonts w:ascii="Times New Roman" w:hAnsi="Times New Roman"/>
                <w:sz w:val="18"/>
                <w:szCs w:val="18"/>
              </w:rPr>
            </w:pPr>
            <w:r>
              <w:rPr>
                <w:rFonts w:ascii="Times New Roman" w:hAnsi="Times New Roman"/>
                <w:sz w:val="18"/>
                <w:szCs w:val="18"/>
              </w:rPr>
              <w:t>250</w:t>
            </w:r>
          </w:p>
        </w:tc>
        <w:tc>
          <w:tcPr>
            <w:tcW w:w="602" w:type="pct"/>
            <w:noWrap/>
            <w:vAlign w:val="center"/>
          </w:tcPr>
          <w:p w14:paraId="545897F3">
            <w:pPr>
              <w:jc w:val="center"/>
              <w:rPr>
                <w:rFonts w:ascii="Times New Roman" w:hAnsi="Times New Roman"/>
                <w:sz w:val="18"/>
                <w:szCs w:val="18"/>
              </w:rPr>
            </w:pPr>
            <w:r>
              <w:rPr>
                <w:rFonts w:ascii="Times New Roman" w:hAnsi="Times New Roman"/>
                <w:sz w:val="18"/>
                <w:szCs w:val="18"/>
              </w:rPr>
              <w:t>250</w:t>
            </w:r>
          </w:p>
        </w:tc>
        <w:tc>
          <w:tcPr>
            <w:tcW w:w="535" w:type="pct"/>
            <w:noWrap/>
            <w:vAlign w:val="center"/>
          </w:tcPr>
          <w:p w14:paraId="65CA1EAA">
            <w:pPr>
              <w:jc w:val="center"/>
              <w:rPr>
                <w:rFonts w:ascii="Times New Roman" w:hAnsi="Times New Roman"/>
                <w:sz w:val="18"/>
                <w:szCs w:val="18"/>
              </w:rPr>
            </w:pPr>
            <w:r>
              <w:rPr>
                <w:rFonts w:ascii="Times New Roman" w:hAnsi="Times New Roman"/>
                <w:sz w:val="18"/>
                <w:szCs w:val="18"/>
              </w:rPr>
              <w:t>260</w:t>
            </w:r>
          </w:p>
        </w:tc>
        <w:tc>
          <w:tcPr>
            <w:tcW w:w="585" w:type="pct"/>
            <w:noWrap/>
            <w:vAlign w:val="center"/>
          </w:tcPr>
          <w:p w14:paraId="16075459">
            <w:pPr>
              <w:jc w:val="center"/>
              <w:rPr>
                <w:rFonts w:ascii="Times New Roman" w:hAnsi="Times New Roman"/>
                <w:sz w:val="18"/>
                <w:szCs w:val="18"/>
              </w:rPr>
            </w:pPr>
            <w:r>
              <w:rPr>
                <w:rFonts w:ascii="Times New Roman" w:hAnsi="Times New Roman"/>
                <w:sz w:val="18"/>
                <w:szCs w:val="18"/>
              </w:rPr>
              <w:t>260</w:t>
            </w:r>
          </w:p>
        </w:tc>
        <w:tc>
          <w:tcPr>
            <w:tcW w:w="585" w:type="pct"/>
            <w:noWrap/>
            <w:vAlign w:val="center"/>
          </w:tcPr>
          <w:p w14:paraId="323BA616">
            <w:pPr>
              <w:jc w:val="center"/>
              <w:rPr>
                <w:rFonts w:ascii="Times New Roman" w:hAnsi="Times New Roman"/>
                <w:sz w:val="18"/>
                <w:szCs w:val="18"/>
              </w:rPr>
            </w:pPr>
            <w:r>
              <w:rPr>
                <w:rFonts w:ascii="Times New Roman" w:hAnsi="Times New Roman"/>
                <w:sz w:val="18"/>
                <w:szCs w:val="18"/>
              </w:rPr>
              <w:t>255</w:t>
            </w:r>
          </w:p>
        </w:tc>
        <w:tc>
          <w:tcPr>
            <w:tcW w:w="586" w:type="pct"/>
            <w:noWrap/>
            <w:vAlign w:val="center"/>
          </w:tcPr>
          <w:p w14:paraId="355F65F8">
            <w:pPr>
              <w:jc w:val="center"/>
              <w:rPr>
                <w:rFonts w:ascii="Times New Roman" w:hAnsi="Times New Roman"/>
                <w:sz w:val="18"/>
                <w:szCs w:val="18"/>
              </w:rPr>
            </w:pPr>
            <w:r>
              <w:rPr>
                <w:rFonts w:ascii="Times New Roman" w:hAnsi="Times New Roman"/>
                <w:sz w:val="18"/>
                <w:szCs w:val="18"/>
              </w:rPr>
              <w:t>250</w:t>
            </w:r>
          </w:p>
        </w:tc>
      </w:tr>
      <w:tr w14:paraId="111F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1A533A58">
            <w:pPr>
              <w:jc w:val="center"/>
              <w:rPr>
                <w:rFonts w:ascii="Times New Roman" w:hAnsi="Times New Roman"/>
                <w:sz w:val="18"/>
                <w:szCs w:val="18"/>
              </w:rPr>
            </w:pPr>
            <w:r>
              <w:rPr>
                <w:rFonts w:ascii="Times New Roman" w:hAnsi="Times New Roman"/>
                <w:sz w:val="18"/>
                <w:szCs w:val="18"/>
              </w:rPr>
              <w:t>降深</w:t>
            </w:r>
          </w:p>
        </w:tc>
        <w:tc>
          <w:tcPr>
            <w:tcW w:w="567" w:type="pct"/>
            <w:noWrap/>
            <w:vAlign w:val="center"/>
          </w:tcPr>
          <w:p w14:paraId="05F1F141">
            <w:pPr>
              <w:jc w:val="center"/>
              <w:rPr>
                <w:rFonts w:ascii="Times New Roman" w:hAnsi="Times New Roman"/>
                <w:sz w:val="18"/>
                <w:szCs w:val="18"/>
              </w:rPr>
            </w:pPr>
            <w:r>
              <w:rPr>
                <w:rFonts w:ascii="Times New Roman" w:hAnsi="Times New Roman"/>
                <w:sz w:val="18"/>
                <w:szCs w:val="18"/>
              </w:rPr>
              <w:t>m</w:t>
            </w:r>
          </w:p>
        </w:tc>
        <w:tc>
          <w:tcPr>
            <w:tcW w:w="617" w:type="pct"/>
            <w:noWrap/>
            <w:vAlign w:val="center"/>
          </w:tcPr>
          <w:p w14:paraId="2DC0EF54">
            <w:pPr>
              <w:jc w:val="center"/>
              <w:rPr>
                <w:rFonts w:ascii="Times New Roman" w:hAnsi="Times New Roman"/>
                <w:sz w:val="18"/>
                <w:szCs w:val="18"/>
              </w:rPr>
            </w:pPr>
            <w:r>
              <w:rPr>
                <w:rFonts w:ascii="Times New Roman" w:hAnsi="Times New Roman"/>
                <w:sz w:val="18"/>
                <w:szCs w:val="18"/>
              </w:rPr>
              <w:t>0.516</w:t>
            </w:r>
          </w:p>
        </w:tc>
        <w:tc>
          <w:tcPr>
            <w:tcW w:w="602" w:type="pct"/>
            <w:noWrap/>
            <w:vAlign w:val="center"/>
          </w:tcPr>
          <w:p w14:paraId="5DAA4381">
            <w:pPr>
              <w:jc w:val="center"/>
              <w:rPr>
                <w:rFonts w:ascii="Times New Roman" w:hAnsi="Times New Roman"/>
                <w:sz w:val="18"/>
                <w:szCs w:val="18"/>
              </w:rPr>
            </w:pPr>
            <w:r>
              <w:rPr>
                <w:rFonts w:ascii="Times New Roman" w:hAnsi="Times New Roman"/>
                <w:sz w:val="18"/>
                <w:szCs w:val="18"/>
              </w:rPr>
              <w:t>0.725</w:t>
            </w:r>
          </w:p>
        </w:tc>
        <w:tc>
          <w:tcPr>
            <w:tcW w:w="535" w:type="pct"/>
            <w:noWrap/>
            <w:vAlign w:val="center"/>
          </w:tcPr>
          <w:p w14:paraId="67EC8B78">
            <w:pPr>
              <w:jc w:val="center"/>
              <w:rPr>
                <w:rFonts w:ascii="Times New Roman" w:hAnsi="Times New Roman"/>
                <w:sz w:val="18"/>
                <w:szCs w:val="18"/>
              </w:rPr>
            </w:pPr>
            <w:r>
              <w:rPr>
                <w:rFonts w:ascii="Times New Roman" w:hAnsi="Times New Roman"/>
                <w:sz w:val="18"/>
                <w:szCs w:val="18"/>
              </w:rPr>
              <w:t>0.477</w:t>
            </w:r>
          </w:p>
        </w:tc>
        <w:tc>
          <w:tcPr>
            <w:tcW w:w="585" w:type="pct"/>
            <w:noWrap/>
            <w:vAlign w:val="center"/>
          </w:tcPr>
          <w:p w14:paraId="78AF721A">
            <w:pPr>
              <w:jc w:val="center"/>
              <w:rPr>
                <w:rFonts w:ascii="Times New Roman" w:hAnsi="Times New Roman"/>
                <w:sz w:val="18"/>
                <w:szCs w:val="18"/>
              </w:rPr>
            </w:pPr>
            <w:r>
              <w:rPr>
                <w:rFonts w:ascii="Times New Roman" w:hAnsi="Times New Roman"/>
                <w:sz w:val="18"/>
                <w:szCs w:val="18"/>
              </w:rPr>
              <w:t>0.690</w:t>
            </w:r>
          </w:p>
        </w:tc>
        <w:tc>
          <w:tcPr>
            <w:tcW w:w="585" w:type="pct"/>
            <w:noWrap/>
            <w:vAlign w:val="center"/>
          </w:tcPr>
          <w:p w14:paraId="7DB944C8">
            <w:pPr>
              <w:jc w:val="center"/>
              <w:rPr>
                <w:rFonts w:ascii="Times New Roman" w:hAnsi="Times New Roman"/>
                <w:sz w:val="18"/>
                <w:szCs w:val="18"/>
              </w:rPr>
            </w:pPr>
            <w:r>
              <w:rPr>
                <w:rFonts w:ascii="Times New Roman" w:hAnsi="Times New Roman"/>
                <w:sz w:val="18"/>
                <w:szCs w:val="18"/>
              </w:rPr>
              <w:t>0.501</w:t>
            </w:r>
          </w:p>
        </w:tc>
        <w:tc>
          <w:tcPr>
            <w:tcW w:w="586" w:type="pct"/>
            <w:noWrap/>
            <w:vAlign w:val="center"/>
          </w:tcPr>
          <w:p w14:paraId="479097E1">
            <w:pPr>
              <w:jc w:val="center"/>
              <w:rPr>
                <w:rFonts w:ascii="Times New Roman" w:hAnsi="Times New Roman"/>
                <w:sz w:val="18"/>
                <w:szCs w:val="18"/>
              </w:rPr>
            </w:pPr>
            <w:r>
              <w:rPr>
                <w:rFonts w:ascii="Times New Roman" w:hAnsi="Times New Roman"/>
                <w:sz w:val="18"/>
                <w:szCs w:val="18"/>
              </w:rPr>
              <w:t>0.739</w:t>
            </w:r>
          </w:p>
        </w:tc>
      </w:tr>
      <w:tr w14:paraId="0D05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7D2DC017">
            <w:pPr>
              <w:jc w:val="center"/>
              <w:rPr>
                <w:rFonts w:ascii="Times New Roman" w:hAnsi="Times New Roman"/>
                <w:sz w:val="18"/>
                <w:szCs w:val="18"/>
              </w:rPr>
            </w:pPr>
            <w:r>
              <w:rPr>
                <w:rFonts w:ascii="Times New Roman" w:hAnsi="Times New Roman"/>
                <w:sz w:val="18"/>
                <w:szCs w:val="18"/>
              </w:rPr>
              <w:t>流量</w:t>
            </w:r>
          </w:p>
        </w:tc>
        <w:tc>
          <w:tcPr>
            <w:tcW w:w="567" w:type="pct"/>
            <w:noWrap/>
            <w:vAlign w:val="center"/>
          </w:tcPr>
          <w:p w14:paraId="5F2F2D03">
            <w:pPr>
              <w:jc w:val="center"/>
              <w:rPr>
                <w:rFonts w:ascii="Times New Roman" w:hAnsi="Times New Roman"/>
                <w:sz w:val="18"/>
                <w:szCs w:val="18"/>
              </w:rPr>
            </w:pPr>
            <w:r>
              <w:rPr>
                <w:rFonts w:ascii="Times New Roman" w:hAnsi="Times New Roman"/>
                <w:sz w:val="18"/>
                <w:szCs w:val="18"/>
              </w:rPr>
              <w:t>m³/d</w:t>
            </w:r>
          </w:p>
        </w:tc>
        <w:tc>
          <w:tcPr>
            <w:tcW w:w="617" w:type="pct"/>
            <w:noWrap/>
            <w:vAlign w:val="center"/>
          </w:tcPr>
          <w:p w14:paraId="2FDEB344">
            <w:pPr>
              <w:jc w:val="center"/>
              <w:rPr>
                <w:rFonts w:ascii="Times New Roman" w:hAnsi="Times New Roman"/>
                <w:sz w:val="18"/>
                <w:szCs w:val="18"/>
              </w:rPr>
            </w:pPr>
            <w:r>
              <w:rPr>
                <w:rFonts w:ascii="Times New Roman" w:hAnsi="Times New Roman"/>
                <w:sz w:val="18"/>
                <w:szCs w:val="18"/>
              </w:rPr>
              <w:t>150.876</w:t>
            </w:r>
          </w:p>
        </w:tc>
        <w:tc>
          <w:tcPr>
            <w:tcW w:w="602" w:type="pct"/>
            <w:noWrap/>
            <w:vAlign w:val="center"/>
          </w:tcPr>
          <w:p w14:paraId="0D90161E">
            <w:pPr>
              <w:jc w:val="center"/>
              <w:rPr>
                <w:rFonts w:ascii="Times New Roman" w:hAnsi="Times New Roman"/>
                <w:sz w:val="18"/>
                <w:szCs w:val="18"/>
              </w:rPr>
            </w:pPr>
            <w:r>
              <w:rPr>
                <w:rFonts w:ascii="Times New Roman" w:hAnsi="Times New Roman"/>
                <w:sz w:val="18"/>
                <w:szCs w:val="18"/>
              </w:rPr>
              <w:t>216.531</w:t>
            </w:r>
          </w:p>
        </w:tc>
        <w:tc>
          <w:tcPr>
            <w:tcW w:w="535" w:type="pct"/>
            <w:noWrap/>
            <w:vAlign w:val="center"/>
          </w:tcPr>
          <w:p w14:paraId="6BAD2B47">
            <w:pPr>
              <w:jc w:val="center"/>
              <w:rPr>
                <w:rFonts w:ascii="Times New Roman" w:hAnsi="Times New Roman"/>
                <w:sz w:val="18"/>
                <w:szCs w:val="18"/>
              </w:rPr>
            </w:pPr>
            <w:r>
              <w:rPr>
                <w:rFonts w:ascii="Times New Roman" w:hAnsi="Times New Roman"/>
                <w:sz w:val="18"/>
                <w:szCs w:val="18"/>
              </w:rPr>
              <w:t>149.367</w:t>
            </w:r>
          </w:p>
        </w:tc>
        <w:tc>
          <w:tcPr>
            <w:tcW w:w="585" w:type="pct"/>
            <w:noWrap/>
            <w:vAlign w:val="center"/>
          </w:tcPr>
          <w:p w14:paraId="6D622D57">
            <w:pPr>
              <w:jc w:val="center"/>
              <w:rPr>
                <w:rFonts w:ascii="Times New Roman" w:hAnsi="Times New Roman"/>
                <w:sz w:val="18"/>
                <w:szCs w:val="18"/>
              </w:rPr>
            </w:pPr>
            <w:r>
              <w:rPr>
                <w:rFonts w:ascii="Times New Roman" w:hAnsi="Times New Roman"/>
                <w:sz w:val="18"/>
                <w:szCs w:val="18"/>
              </w:rPr>
              <w:t>212.200</w:t>
            </w:r>
          </w:p>
        </w:tc>
        <w:tc>
          <w:tcPr>
            <w:tcW w:w="585" w:type="pct"/>
            <w:noWrap/>
            <w:vAlign w:val="center"/>
          </w:tcPr>
          <w:p w14:paraId="6A7247D5">
            <w:pPr>
              <w:jc w:val="center"/>
              <w:rPr>
                <w:rFonts w:ascii="Times New Roman" w:hAnsi="Times New Roman"/>
                <w:sz w:val="18"/>
                <w:szCs w:val="18"/>
              </w:rPr>
            </w:pPr>
            <w:r>
              <w:rPr>
                <w:rFonts w:ascii="Times New Roman" w:hAnsi="Times New Roman"/>
                <w:sz w:val="18"/>
                <w:szCs w:val="18"/>
              </w:rPr>
              <w:t>149.367</w:t>
            </w:r>
          </w:p>
        </w:tc>
        <w:tc>
          <w:tcPr>
            <w:tcW w:w="586" w:type="pct"/>
            <w:noWrap/>
            <w:vAlign w:val="center"/>
          </w:tcPr>
          <w:p w14:paraId="3D3A9F81">
            <w:pPr>
              <w:jc w:val="center"/>
              <w:rPr>
                <w:rFonts w:ascii="Times New Roman" w:hAnsi="Times New Roman"/>
                <w:sz w:val="18"/>
                <w:szCs w:val="18"/>
              </w:rPr>
            </w:pPr>
            <w:r>
              <w:rPr>
                <w:rFonts w:ascii="Times New Roman" w:hAnsi="Times New Roman"/>
                <w:sz w:val="18"/>
                <w:szCs w:val="18"/>
              </w:rPr>
              <w:t>214.365</w:t>
            </w:r>
          </w:p>
        </w:tc>
      </w:tr>
      <w:tr w14:paraId="7A04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372D828A">
            <w:pPr>
              <w:jc w:val="center"/>
              <w:rPr>
                <w:rFonts w:ascii="Times New Roman" w:hAnsi="Times New Roman"/>
                <w:sz w:val="18"/>
                <w:szCs w:val="18"/>
              </w:rPr>
            </w:pPr>
            <w:r>
              <w:rPr>
                <w:rFonts w:ascii="Times New Roman" w:hAnsi="Times New Roman"/>
                <w:sz w:val="18"/>
                <w:szCs w:val="18"/>
              </w:rPr>
              <w:t>单位涌水量</w:t>
            </w:r>
          </w:p>
        </w:tc>
        <w:tc>
          <w:tcPr>
            <w:tcW w:w="567" w:type="pct"/>
            <w:noWrap/>
            <w:vAlign w:val="center"/>
          </w:tcPr>
          <w:p w14:paraId="67F5B60E">
            <w:pPr>
              <w:jc w:val="center"/>
              <w:rPr>
                <w:rFonts w:ascii="Times New Roman" w:hAnsi="Times New Roman"/>
                <w:sz w:val="18"/>
                <w:szCs w:val="18"/>
              </w:rPr>
            </w:pPr>
            <w:r>
              <w:rPr>
                <w:rFonts w:ascii="Times New Roman" w:hAnsi="Times New Roman"/>
                <w:sz w:val="18"/>
                <w:szCs w:val="18"/>
              </w:rPr>
              <w:t>m³/d×m</w:t>
            </w:r>
          </w:p>
        </w:tc>
        <w:tc>
          <w:tcPr>
            <w:tcW w:w="617" w:type="pct"/>
            <w:noWrap/>
            <w:vAlign w:val="center"/>
          </w:tcPr>
          <w:p w14:paraId="585633B1">
            <w:pPr>
              <w:jc w:val="center"/>
              <w:rPr>
                <w:rFonts w:ascii="Times New Roman" w:hAnsi="Times New Roman"/>
                <w:sz w:val="18"/>
                <w:szCs w:val="18"/>
              </w:rPr>
            </w:pPr>
            <w:r>
              <w:rPr>
                <w:rFonts w:ascii="Times New Roman" w:hAnsi="Times New Roman"/>
                <w:sz w:val="18"/>
                <w:szCs w:val="18"/>
              </w:rPr>
              <w:t>292.395</w:t>
            </w:r>
          </w:p>
        </w:tc>
        <w:tc>
          <w:tcPr>
            <w:tcW w:w="602" w:type="pct"/>
            <w:noWrap/>
            <w:vAlign w:val="center"/>
          </w:tcPr>
          <w:p w14:paraId="7E09E9C2">
            <w:pPr>
              <w:jc w:val="center"/>
              <w:rPr>
                <w:rFonts w:ascii="Times New Roman" w:hAnsi="Times New Roman"/>
                <w:sz w:val="18"/>
                <w:szCs w:val="18"/>
              </w:rPr>
            </w:pPr>
            <w:r>
              <w:rPr>
                <w:rFonts w:ascii="Times New Roman" w:hAnsi="Times New Roman"/>
                <w:sz w:val="18"/>
                <w:szCs w:val="18"/>
              </w:rPr>
              <w:t>298.663</w:t>
            </w:r>
          </w:p>
        </w:tc>
        <w:tc>
          <w:tcPr>
            <w:tcW w:w="535" w:type="pct"/>
            <w:noWrap/>
            <w:vAlign w:val="center"/>
          </w:tcPr>
          <w:p w14:paraId="5D59BD39">
            <w:pPr>
              <w:jc w:val="center"/>
              <w:rPr>
                <w:rFonts w:ascii="Times New Roman" w:hAnsi="Times New Roman"/>
                <w:sz w:val="18"/>
                <w:szCs w:val="18"/>
              </w:rPr>
            </w:pPr>
            <w:r>
              <w:rPr>
                <w:rFonts w:ascii="Times New Roman" w:hAnsi="Times New Roman"/>
                <w:sz w:val="18"/>
                <w:szCs w:val="18"/>
              </w:rPr>
              <w:t>313.138</w:t>
            </w:r>
          </w:p>
        </w:tc>
        <w:tc>
          <w:tcPr>
            <w:tcW w:w="585" w:type="pct"/>
            <w:noWrap/>
            <w:vAlign w:val="center"/>
          </w:tcPr>
          <w:p w14:paraId="56BD1663">
            <w:pPr>
              <w:jc w:val="center"/>
              <w:rPr>
                <w:rFonts w:ascii="Times New Roman" w:hAnsi="Times New Roman"/>
                <w:sz w:val="18"/>
                <w:szCs w:val="18"/>
              </w:rPr>
            </w:pPr>
            <w:r>
              <w:rPr>
                <w:rFonts w:ascii="Times New Roman" w:hAnsi="Times New Roman"/>
                <w:sz w:val="18"/>
                <w:szCs w:val="18"/>
              </w:rPr>
              <w:t>307.536</w:t>
            </w:r>
          </w:p>
        </w:tc>
        <w:tc>
          <w:tcPr>
            <w:tcW w:w="585" w:type="pct"/>
            <w:noWrap/>
            <w:vAlign w:val="center"/>
          </w:tcPr>
          <w:p w14:paraId="2F10B646">
            <w:pPr>
              <w:jc w:val="center"/>
              <w:rPr>
                <w:rFonts w:ascii="Times New Roman" w:hAnsi="Times New Roman"/>
                <w:sz w:val="18"/>
                <w:szCs w:val="18"/>
              </w:rPr>
            </w:pPr>
            <w:r>
              <w:rPr>
                <w:rFonts w:ascii="Times New Roman" w:hAnsi="Times New Roman"/>
                <w:sz w:val="18"/>
                <w:szCs w:val="18"/>
              </w:rPr>
              <w:t>298.138</w:t>
            </w:r>
          </w:p>
        </w:tc>
        <w:tc>
          <w:tcPr>
            <w:tcW w:w="586" w:type="pct"/>
            <w:noWrap/>
            <w:vAlign w:val="center"/>
          </w:tcPr>
          <w:p w14:paraId="2F2D5AE5">
            <w:pPr>
              <w:jc w:val="center"/>
              <w:rPr>
                <w:rFonts w:ascii="Times New Roman" w:hAnsi="Times New Roman"/>
                <w:sz w:val="18"/>
                <w:szCs w:val="18"/>
              </w:rPr>
            </w:pPr>
            <w:r>
              <w:rPr>
                <w:rFonts w:ascii="Times New Roman" w:hAnsi="Times New Roman"/>
                <w:sz w:val="18"/>
                <w:szCs w:val="18"/>
              </w:rPr>
              <w:t>290.074</w:t>
            </w:r>
          </w:p>
        </w:tc>
      </w:tr>
      <w:tr w14:paraId="3506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26C2F78A">
            <w:pPr>
              <w:jc w:val="center"/>
              <w:rPr>
                <w:rFonts w:ascii="Times New Roman" w:hAnsi="Times New Roman"/>
                <w:sz w:val="18"/>
                <w:szCs w:val="18"/>
              </w:rPr>
            </w:pPr>
            <w:r>
              <w:rPr>
                <w:rFonts w:ascii="Times New Roman" w:hAnsi="Times New Roman"/>
                <w:sz w:val="18"/>
                <w:szCs w:val="18"/>
              </w:rPr>
              <w:t>井径</w:t>
            </w:r>
          </w:p>
        </w:tc>
        <w:tc>
          <w:tcPr>
            <w:tcW w:w="567" w:type="pct"/>
            <w:noWrap/>
            <w:vAlign w:val="center"/>
          </w:tcPr>
          <w:p w14:paraId="209F26A7">
            <w:pPr>
              <w:jc w:val="center"/>
              <w:rPr>
                <w:rFonts w:ascii="Times New Roman" w:hAnsi="Times New Roman"/>
                <w:sz w:val="18"/>
                <w:szCs w:val="18"/>
              </w:rPr>
            </w:pPr>
            <w:r>
              <w:rPr>
                <w:rFonts w:ascii="Times New Roman" w:hAnsi="Times New Roman"/>
                <w:sz w:val="18"/>
                <w:szCs w:val="18"/>
              </w:rPr>
              <w:t>m</w:t>
            </w:r>
          </w:p>
        </w:tc>
        <w:tc>
          <w:tcPr>
            <w:tcW w:w="617" w:type="pct"/>
            <w:noWrap/>
            <w:vAlign w:val="center"/>
          </w:tcPr>
          <w:p w14:paraId="149A8D04">
            <w:pPr>
              <w:jc w:val="center"/>
              <w:rPr>
                <w:rFonts w:ascii="Times New Roman" w:hAnsi="Times New Roman"/>
                <w:sz w:val="18"/>
                <w:szCs w:val="18"/>
              </w:rPr>
            </w:pPr>
            <w:r>
              <w:rPr>
                <w:rFonts w:ascii="Times New Roman" w:hAnsi="Times New Roman"/>
                <w:sz w:val="18"/>
                <w:szCs w:val="18"/>
              </w:rPr>
              <w:t>0.150</w:t>
            </w:r>
          </w:p>
        </w:tc>
        <w:tc>
          <w:tcPr>
            <w:tcW w:w="602" w:type="pct"/>
            <w:noWrap/>
            <w:vAlign w:val="center"/>
          </w:tcPr>
          <w:p w14:paraId="08209CB6">
            <w:pPr>
              <w:jc w:val="center"/>
              <w:rPr>
                <w:rFonts w:ascii="Times New Roman" w:hAnsi="Times New Roman"/>
                <w:sz w:val="18"/>
                <w:szCs w:val="18"/>
              </w:rPr>
            </w:pPr>
            <w:r>
              <w:rPr>
                <w:rFonts w:ascii="Times New Roman" w:hAnsi="Times New Roman"/>
                <w:sz w:val="18"/>
                <w:szCs w:val="18"/>
              </w:rPr>
              <w:t>0.150</w:t>
            </w:r>
          </w:p>
        </w:tc>
        <w:tc>
          <w:tcPr>
            <w:tcW w:w="535" w:type="pct"/>
            <w:noWrap/>
            <w:vAlign w:val="center"/>
          </w:tcPr>
          <w:p w14:paraId="6628A5D1">
            <w:pPr>
              <w:jc w:val="center"/>
              <w:rPr>
                <w:rFonts w:ascii="Times New Roman" w:hAnsi="Times New Roman"/>
                <w:sz w:val="18"/>
                <w:szCs w:val="18"/>
              </w:rPr>
            </w:pPr>
            <w:r>
              <w:rPr>
                <w:rFonts w:ascii="Times New Roman" w:hAnsi="Times New Roman"/>
                <w:sz w:val="18"/>
                <w:szCs w:val="18"/>
              </w:rPr>
              <w:t>0.150</w:t>
            </w:r>
          </w:p>
        </w:tc>
        <w:tc>
          <w:tcPr>
            <w:tcW w:w="585" w:type="pct"/>
            <w:noWrap/>
            <w:vAlign w:val="center"/>
          </w:tcPr>
          <w:p w14:paraId="406E2981">
            <w:pPr>
              <w:jc w:val="center"/>
              <w:rPr>
                <w:rFonts w:ascii="Times New Roman" w:hAnsi="Times New Roman"/>
                <w:sz w:val="18"/>
                <w:szCs w:val="18"/>
              </w:rPr>
            </w:pPr>
            <w:r>
              <w:rPr>
                <w:rFonts w:ascii="Times New Roman" w:hAnsi="Times New Roman"/>
                <w:sz w:val="18"/>
                <w:szCs w:val="18"/>
              </w:rPr>
              <w:t>0.150</w:t>
            </w:r>
          </w:p>
        </w:tc>
        <w:tc>
          <w:tcPr>
            <w:tcW w:w="585" w:type="pct"/>
            <w:noWrap/>
            <w:vAlign w:val="center"/>
          </w:tcPr>
          <w:p w14:paraId="5D3B06E3">
            <w:pPr>
              <w:jc w:val="center"/>
              <w:rPr>
                <w:rFonts w:ascii="Times New Roman" w:hAnsi="Times New Roman"/>
                <w:sz w:val="18"/>
                <w:szCs w:val="18"/>
              </w:rPr>
            </w:pPr>
            <w:r>
              <w:rPr>
                <w:rFonts w:ascii="Times New Roman" w:hAnsi="Times New Roman"/>
                <w:sz w:val="18"/>
                <w:szCs w:val="18"/>
              </w:rPr>
              <w:t>0.150</w:t>
            </w:r>
          </w:p>
        </w:tc>
        <w:tc>
          <w:tcPr>
            <w:tcW w:w="586" w:type="pct"/>
            <w:noWrap/>
            <w:vAlign w:val="center"/>
          </w:tcPr>
          <w:p w14:paraId="3C84282D">
            <w:pPr>
              <w:jc w:val="center"/>
              <w:rPr>
                <w:rFonts w:ascii="Times New Roman" w:hAnsi="Times New Roman"/>
                <w:sz w:val="18"/>
                <w:szCs w:val="18"/>
              </w:rPr>
            </w:pPr>
            <w:r>
              <w:rPr>
                <w:rFonts w:ascii="Times New Roman" w:hAnsi="Times New Roman"/>
                <w:sz w:val="18"/>
                <w:szCs w:val="18"/>
              </w:rPr>
              <w:t>0.150</w:t>
            </w:r>
          </w:p>
        </w:tc>
      </w:tr>
      <w:tr w14:paraId="0D67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491BAB71">
            <w:pPr>
              <w:jc w:val="center"/>
              <w:rPr>
                <w:rFonts w:ascii="Times New Roman" w:hAnsi="Times New Roman"/>
                <w:sz w:val="18"/>
                <w:szCs w:val="18"/>
              </w:rPr>
            </w:pPr>
            <w:r>
              <w:rPr>
                <w:rFonts w:ascii="Times New Roman" w:hAnsi="Times New Roman"/>
                <w:sz w:val="18"/>
                <w:szCs w:val="18"/>
              </w:rPr>
              <w:t>影响半径</w:t>
            </w:r>
          </w:p>
        </w:tc>
        <w:tc>
          <w:tcPr>
            <w:tcW w:w="567" w:type="pct"/>
            <w:noWrap/>
            <w:vAlign w:val="center"/>
          </w:tcPr>
          <w:p w14:paraId="458CF48D">
            <w:pPr>
              <w:jc w:val="center"/>
              <w:rPr>
                <w:rFonts w:ascii="Times New Roman" w:hAnsi="Times New Roman"/>
                <w:sz w:val="18"/>
                <w:szCs w:val="18"/>
              </w:rPr>
            </w:pPr>
            <w:r>
              <w:rPr>
                <w:rFonts w:ascii="Times New Roman" w:hAnsi="Times New Roman"/>
                <w:sz w:val="18"/>
                <w:szCs w:val="18"/>
              </w:rPr>
              <w:t>m</w:t>
            </w:r>
          </w:p>
        </w:tc>
        <w:tc>
          <w:tcPr>
            <w:tcW w:w="617" w:type="pct"/>
            <w:noWrap/>
            <w:vAlign w:val="center"/>
          </w:tcPr>
          <w:p w14:paraId="4B8EB1A5">
            <w:pPr>
              <w:jc w:val="center"/>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6.685</w:t>
            </w:r>
          </w:p>
        </w:tc>
        <w:tc>
          <w:tcPr>
            <w:tcW w:w="602" w:type="pct"/>
            <w:noWrap/>
            <w:vAlign w:val="center"/>
          </w:tcPr>
          <w:p w14:paraId="3C41DA69">
            <w:pPr>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4.501</w:t>
            </w:r>
          </w:p>
        </w:tc>
        <w:tc>
          <w:tcPr>
            <w:tcW w:w="535" w:type="pct"/>
            <w:noWrap/>
            <w:vAlign w:val="center"/>
          </w:tcPr>
          <w:p w14:paraId="4564D552">
            <w:pPr>
              <w:jc w:val="center"/>
              <w:rPr>
                <w:rFonts w:ascii="Times New Roman" w:hAnsi="Times New Roman"/>
                <w:sz w:val="18"/>
                <w:szCs w:val="18"/>
              </w:rPr>
            </w:pPr>
            <w:r>
              <w:rPr>
                <w:rFonts w:hint="eastAsia" w:ascii="Times New Roman" w:hAnsi="Times New Roman"/>
                <w:sz w:val="18"/>
                <w:szCs w:val="18"/>
              </w:rPr>
              <w:t>15.036</w:t>
            </w:r>
          </w:p>
        </w:tc>
        <w:tc>
          <w:tcPr>
            <w:tcW w:w="585" w:type="pct"/>
            <w:noWrap/>
            <w:vAlign w:val="center"/>
          </w:tcPr>
          <w:p w14:paraId="48588933">
            <w:pPr>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2</w:t>
            </w:r>
            <w:r>
              <w:rPr>
                <w:rFonts w:ascii="Times New Roman" w:hAnsi="Times New Roman"/>
                <w:sz w:val="18"/>
                <w:szCs w:val="18"/>
              </w:rPr>
              <w:t>.</w:t>
            </w:r>
            <w:r>
              <w:rPr>
                <w:rFonts w:hint="eastAsia" w:ascii="Times New Roman" w:hAnsi="Times New Roman"/>
                <w:sz w:val="18"/>
                <w:szCs w:val="18"/>
              </w:rPr>
              <w:t>481</w:t>
            </w:r>
          </w:p>
        </w:tc>
        <w:tc>
          <w:tcPr>
            <w:tcW w:w="585" w:type="pct"/>
            <w:noWrap/>
            <w:vAlign w:val="center"/>
          </w:tcPr>
          <w:p w14:paraId="07943E46">
            <w:pPr>
              <w:jc w:val="center"/>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5.661</w:t>
            </w:r>
          </w:p>
        </w:tc>
        <w:tc>
          <w:tcPr>
            <w:tcW w:w="586" w:type="pct"/>
            <w:noWrap/>
            <w:vAlign w:val="center"/>
          </w:tcPr>
          <w:p w14:paraId="5D25C79D">
            <w:pPr>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3.480</w:t>
            </w:r>
          </w:p>
        </w:tc>
      </w:tr>
      <w:tr w14:paraId="7534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noWrap/>
            <w:vAlign w:val="center"/>
          </w:tcPr>
          <w:p w14:paraId="5EE8AEA5">
            <w:pPr>
              <w:jc w:val="center"/>
              <w:rPr>
                <w:rFonts w:ascii="Times New Roman" w:hAnsi="Times New Roman"/>
                <w:sz w:val="18"/>
                <w:szCs w:val="18"/>
              </w:rPr>
            </w:pPr>
            <w:r>
              <w:rPr>
                <w:rFonts w:ascii="Times New Roman" w:hAnsi="Times New Roman"/>
                <w:sz w:val="18"/>
                <w:szCs w:val="18"/>
              </w:rPr>
              <w:t>渗透系数</w:t>
            </w:r>
          </w:p>
        </w:tc>
        <w:tc>
          <w:tcPr>
            <w:tcW w:w="567" w:type="pct"/>
            <w:noWrap/>
            <w:vAlign w:val="center"/>
          </w:tcPr>
          <w:p w14:paraId="1F80EB5A">
            <w:pPr>
              <w:jc w:val="center"/>
              <w:rPr>
                <w:rFonts w:ascii="Times New Roman" w:hAnsi="Times New Roman"/>
                <w:sz w:val="18"/>
                <w:szCs w:val="18"/>
              </w:rPr>
            </w:pPr>
            <w:r>
              <w:rPr>
                <w:rFonts w:ascii="Times New Roman" w:hAnsi="Times New Roman"/>
                <w:sz w:val="18"/>
                <w:szCs w:val="18"/>
              </w:rPr>
              <w:t>m/d</w:t>
            </w:r>
          </w:p>
        </w:tc>
        <w:tc>
          <w:tcPr>
            <w:tcW w:w="617" w:type="pct"/>
            <w:noWrap/>
            <w:vAlign w:val="center"/>
          </w:tcPr>
          <w:p w14:paraId="2FD19564">
            <w:pPr>
              <w:jc w:val="center"/>
              <w:rPr>
                <w:rFonts w:ascii="Times New Roman" w:hAnsi="Times New Roman"/>
                <w:sz w:val="18"/>
                <w:szCs w:val="18"/>
              </w:rPr>
            </w:pPr>
            <w:r>
              <w:rPr>
                <w:rFonts w:hint="eastAsia" w:ascii="Times New Roman" w:hAnsi="Times New Roman"/>
                <w:sz w:val="18"/>
                <w:szCs w:val="18"/>
              </w:rPr>
              <w:t>5.331</w:t>
            </w:r>
          </w:p>
        </w:tc>
        <w:tc>
          <w:tcPr>
            <w:tcW w:w="602" w:type="pct"/>
            <w:noWrap/>
            <w:vAlign w:val="center"/>
          </w:tcPr>
          <w:p w14:paraId="165CF1ED">
            <w:pPr>
              <w:jc w:val="center"/>
              <w:rPr>
                <w:rFonts w:ascii="Times New Roman" w:hAnsi="Times New Roman"/>
                <w:sz w:val="18"/>
                <w:szCs w:val="18"/>
              </w:rPr>
            </w:pPr>
            <w:r>
              <w:rPr>
                <w:rFonts w:hint="eastAsia" w:ascii="Times New Roman" w:hAnsi="Times New Roman"/>
                <w:sz w:val="18"/>
                <w:szCs w:val="18"/>
              </w:rPr>
              <w:t>5.823</w:t>
            </w:r>
          </w:p>
        </w:tc>
        <w:tc>
          <w:tcPr>
            <w:tcW w:w="535" w:type="pct"/>
            <w:noWrap/>
            <w:vAlign w:val="center"/>
          </w:tcPr>
          <w:p w14:paraId="06B9C759">
            <w:pPr>
              <w:jc w:val="center"/>
              <w:rPr>
                <w:rFonts w:ascii="Times New Roman" w:hAnsi="Times New Roman"/>
                <w:sz w:val="18"/>
                <w:szCs w:val="18"/>
              </w:rPr>
            </w:pPr>
            <w:r>
              <w:rPr>
                <w:rFonts w:ascii="Times New Roman" w:hAnsi="Times New Roman"/>
                <w:sz w:val="18"/>
                <w:szCs w:val="18"/>
              </w:rPr>
              <w:t>5.</w:t>
            </w:r>
            <w:r>
              <w:rPr>
                <w:rFonts w:hint="eastAsia" w:ascii="Times New Roman" w:hAnsi="Times New Roman"/>
                <w:sz w:val="18"/>
                <w:szCs w:val="18"/>
              </w:rPr>
              <w:t>650</w:t>
            </w:r>
          </w:p>
        </w:tc>
        <w:tc>
          <w:tcPr>
            <w:tcW w:w="585" w:type="pct"/>
            <w:noWrap/>
            <w:vAlign w:val="center"/>
          </w:tcPr>
          <w:p w14:paraId="2021684B">
            <w:pPr>
              <w:jc w:val="center"/>
              <w:rPr>
                <w:rFonts w:ascii="Times New Roman" w:hAnsi="Times New Roman"/>
                <w:sz w:val="18"/>
                <w:szCs w:val="18"/>
              </w:rPr>
            </w:pPr>
            <w:r>
              <w:rPr>
                <w:rFonts w:hint="eastAsia" w:ascii="Times New Roman" w:hAnsi="Times New Roman"/>
                <w:sz w:val="18"/>
                <w:szCs w:val="18"/>
              </w:rPr>
              <w:t>6.036</w:t>
            </w:r>
          </w:p>
        </w:tc>
        <w:tc>
          <w:tcPr>
            <w:tcW w:w="585" w:type="pct"/>
            <w:noWrap/>
            <w:vAlign w:val="center"/>
          </w:tcPr>
          <w:p w14:paraId="3CAAB93F">
            <w:pPr>
              <w:jc w:val="center"/>
              <w:rPr>
                <w:rFonts w:ascii="Times New Roman" w:hAnsi="Times New Roman"/>
                <w:sz w:val="18"/>
                <w:szCs w:val="18"/>
              </w:rPr>
            </w:pPr>
            <w:r>
              <w:rPr>
                <w:rFonts w:hint="eastAsia" w:ascii="Times New Roman" w:hAnsi="Times New Roman"/>
                <w:sz w:val="18"/>
                <w:szCs w:val="18"/>
              </w:rPr>
              <w:t>5.459</w:t>
            </w:r>
          </w:p>
        </w:tc>
        <w:tc>
          <w:tcPr>
            <w:tcW w:w="586" w:type="pct"/>
            <w:noWrap/>
            <w:vAlign w:val="center"/>
          </w:tcPr>
          <w:p w14:paraId="7C9181F8">
            <w:pPr>
              <w:jc w:val="center"/>
              <w:rPr>
                <w:rFonts w:ascii="Times New Roman" w:hAnsi="Times New Roman"/>
                <w:sz w:val="18"/>
                <w:szCs w:val="18"/>
              </w:rPr>
            </w:pPr>
            <w:r>
              <w:rPr>
                <w:rFonts w:ascii="Times New Roman" w:hAnsi="Times New Roman"/>
                <w:sz w:val="18"/>
                <w:szCs w:val="18"/>
              </w:rPr>
              <w:t>5.</w:t>
            </w:r>
            <w:r>
              <w:rPr>
                <w:rFonts w:hint="eastAsia" w:ascii="Times New Roman" w:hAnsi="Times New Roman"/>
                <w:sz w:val="18"/>
                <w:szCs w:val="18"/>
              </w:rPr>
              <w:t>64</w:t>
            </w:r>
            <w:r>
              <w:rPr>
                <w:rFonts w:ascii="Times New Roman" w:hAnsi="Times New Roman"/>
                <w:sz w:val="18"/>
                <w:szCs w:val="18"/>
              </w:rPr>
              <w:t>0</w:t>
            </w:r>
          </w:p>
        </w:tc>
      </w:tr>
      <w:tr w14:paraId="71C1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vMerge w:val="restart"/>
            <w:noWrap/>
            <w:vAlign w:val="center"/>
          </w:tcPr>
          <w:p w14:paraId="696490A1">
            <w:pPr>
              <w:jc w:val="center"/>
              <w:rPr>
                <w:rFonts w:ascii="Times New Roman" w:hAnsi="Times New Roman"/>
                <w:sz w:val="18"/>
                <w:szCs w:val="18"/>
              </w:rPr>
            </w:pPr>
            <w:r>
              <w:rPr>
                <w:rFonts w:ascii="Times New Roman" w:hAnsi="Times New Roman"/>
                <w:sz w:val="18"/>
                <w:szCs w:val="18"/>
              </w:rPr>
              <w:t>平均渗透系数</w:t>
            </w:r>
          </w:p>
        </w:tc>
        <w:tc>
          <w:tcPr>
            <w:tcW w:w="567" w:type="pct"/>
            <w:noWrap/>
            <w:vAlign w:val="center"/>
          </w:tcPr>
          <w:p w14:paraId="520D7064">
            <w:pPr>
              <w:jc w:val="center"/>
              <w:rPr>
                <w:rFonts w:ascii="Times New Roman" w:hAnsi="Times New Roman"/>
                <w:sz w:val="18"/>
                <w:szCs w:val="18"/>
              </w:rPr>
            </w:pPr>
            <w:r>
              <w:rPr>
                <w:rFonts w:ascii="Times New Roman" w:hAnsi="Times New Roman"/>
                <w:sz w:val="18"/>
                <w:szCs w:val="18"/>
              </w:rPr>
              <w:t>m/d</w:t>
            </w:r>
          </w:p>
        </w:tc>
        <w:tc>
          <w:tcPr>
            <w:tcW w:w="1219" w:type="pct"/>
            <w:gridSpan w:val="2"/>
            <w:noWrap/>
            <w:vAlign w:val="center"/>
          </w:tcPr>
          <w:p w14:paraId="689D887D">
            <w:pPr>
              <w:jc w:val="center"/>
              <w:rPr>
                <w:rFonts w:ascii="Times New Roman" w:hAnsi="Times New Roman"/>
                <w:sz w:val="18"/>
                <w:szCs w:val="18"/>
              </w:rPr>
            </w:pPr>
            <w:r>
              <w:rPr>
                <w:rFonts w:hint="eastAsia" w:ascii="Times New Roman" w:hAnsi="Times New Roman"/>
                <w:sz w:val="18"/>
                <w:szCs w:val="18"/>
              </w:rPr>
              <w:t>5.577</w:t>
            </w:r>
          </w:p>
        </w:tc>
        <w:tc>
          <w:tcPr>
            <w:tcW w:w="1121" w:type="pct"/>
            <w:gridSpan w:val="2"/>
            <w:noWrap/>
            <w:vAlign w:val="center"/>
          </w:tcPr>
          <w:p w14:paraId="7E8A0D48">
            <w:pPr>
              <w:jc w:val="center"/>
              <w:rPr>
                <w:rFonts w:ascii="Times New Roman" w:hAnsi="Times New Roman"/>
                <w:sz w:val="18"/>
                <w:szCs w:val="18"/>
              </w:rPr>
            </w:pPr>
            <w:r>
              <w:rPr>
                <w:rFonts w:ascii="Times New Roman" w:hAnsi="Times New Roman"/>
                <w:sz w:val="18"/>
                <w:szCs w:val="18"/>
              </w:rPr>
              <w:t>5.</w:t>
            </w:r>
            <w:r>
              <w:rPr>
                <w:rFonts w:hint="eastAsia" w:ascii="Times New Roman" w:hAnsi="Times New Roman"/>
                <w:sz w:val="18"/>
                <w:szCs w:val="18"/>
              </w:rPr>
              <w:t>843</w:t>
            </w:r>
          </w:p>
        </w:tc>
        <w:tc>
          <w:tcPr>
            <w:tcW w:w="1171" w:type="pct"/>
            <w:gridSpan w:val="2"/>
            <w:noWrap/>
            <w:vAlign w:val="center"/>
          </w:tcPr>
          <w:p w14:paraId="112C7640">
            <w:pPr>
              <w:jc w:val="center"/>
              <w:rPr>
                <w:rFonts w:ascii="Times New Roman" w:hAnsi="Times New Roman"/>
                <w:sz w:val="18"/>
                <w:szCs w:val="18"/>
              </w:rPr>
            </w:pPr>
            <w:r>
              <w:rPr>
                <w:rFonts w:ascii="Times New Roman" w:hAnsi="Times New Roman"/>
                <w:sz w:val="18"/>
                <w:szCs w:val="18"/>
              </w:rPr>
              <w:t>5.</w:t>
            </w:r>
            <w:r>
              <w:rPr>
                <w:rFonts w:hint="eastAsia" w:ascii="Times New Roman" w:hAnsi="Times New Roman"/>
                <w:sz w:val="18"/>
                <w:szCs w:val="18"/>
              </w:rPr>
              <w:t>550</w:t>
            </w:r>
          </w:p>
        </w:tc>
      </w:tr>
      <w:tr w14:paraId="26AA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pct"/>
            <w:vMerge w:val="continue"/>
            <w:vAlign w:val="center"/>
          </w:tcPr>
          <w:p w14:paraId="1A44393F">
            <w:pPr>
              <w:ind w:firstLine="420"/>
              <w:jc w:val="center"/>
              <w:rPr>
                <w:rFonts w:ascii="Times New Roman" w:hAnsi="Times New Roman"/>
                <w:sz w:val="18"/>
                <w:szCs w:val="18"/>
              </w:rPr>
            </w:pPr>
          </w:p>
        </w:tc>
        <w:tc>
          <w:tcPr>
            <w:tcW w:w="567" w:type="pct"/>
            <w:noWrap/>
            <w:vAlign w:val="center"/>
          </w:tcPr>
          <w:p w14:paraId="4654D910">
            <w:pPr>
              <w:jc w:val="center"/>
              <w:rPr>
                <w:rFonts w:ascii="Times New Roman" w:hAnsi="Times New Roman"/>
                <w:sz w:val="18"/>
                <w:szCs w:val="18"/>
              </w:rPr>
            </w:pPr>
            <w:r>
              <w:rPr>
                <w:rFonts w:ascii="Times New Roman" w:hAnsi="Times New Roman"/>
                <w:sz w:val="18"/>
                <w:szCs w:val="18"/>
              </w:rPr>
              <w:t>cm/s</w:t>
            </w:r>
          </w:p>
        </w:tc>
        <w:tc>
          <w:tcPr>
            <w:tcW w:w="1219" w:type="pct"/>
            <w:gridSpan w:val="2"/>
            <w:noWrap/>
            <w:vAlign w:val="center"/>
          </w:tcPr>
          <w:p w14:paraId="401816FA">
            <w:pPr>
              <w:jc w:val="center"/>
              <w:rPr>
                <w:rFonts w:ascii="Times New Roman" w:hAnsi="Times New Roman"/>
                <w:sz w:val="18"/>
                <w:szCs w:val="18"/>
              </w:rPr>
            </w:pPr>
            <w:r>
              <w:rPr>
                <w:rFonts w:hint="eastAsia" w:ascii="Times New Roman" w:hAnsi="Times New Roman"/>
                <w:sz w:val="18"/>
                <w:szCs w:val="18"/>
              </w:rPr>
              <w:t>6.46</w:t>
            </w:r>
            <w:r>
              <w:rPr>
                <w:rFonts w:ascii="Times New Roman" w:hAnsi="Times New Roman"/>
                <w:sz w:val="18"/>
                <w:szCs w:val="18"/>
              </w:rPr>
              <w:t>E-03</w:t>
            </w:r>
          </w:p>
        </w:tc>
        <w:tc>
          <w:tcPr>
            <w:tcW w:w="1121" w:type="pct"/>
            <w:gridSpan w:val="2"/>
            <w:noWrap/>
            <w:vAlign w:val="center"/>
          </w:tcPr>
          <w:p w14:paraId="77363854">
            <w:pPr>
              <w:jc w:val="center"/>
              <w:rPr>
                <w:rFonts w:ascii="Times New Roman" w:hAnsi="Times New Roman"/>
                <w:sz w:val="18"/>
                <w:szCs w:val="18"/>
              </w:rPr>
            </w:pPr>
            <w:r>
              <w:rPr>
                <w:rFonts w:ascii="Times New Roman" w:hAnsi="Times New Roman"/>
                <w:sz w:val="18"/>
                <w:szCs w:val="18"/>
              </w:rPr>
              <w:t>6.</w:t>
            </w:r>
            <w:r>
              <w:rPr>
                <w:rFonts w:hint="eastAsia" w:ascii="Times New Roman" w:hAnsi="Times New Roman"/>
                <w:sz w:val="18"/>
                <w:szCs w:val="18"/>
              </w:rPr>
              <w:t>77</w:t>
            </w:r>
            <w:r>
              <w:rPr>
                <w:rFonts w:ascii="Times New Roman" w:hAnsi="Times New Roman"/>
                <w:sz w:val="18"/>
                <w:szCs w:val="18"/>
              </w:rPr>
              <w:t>E-03</w:t>
            </w:r>
          </w:p>
        </w:tc>
        <w:tc>
          <w:tcPr>
            <w:tcW w:w="1171" w:type="pct"/>
            <w:gridSpan w:val="2"/>
            <w:noWrap/>
            <w:vAlign w:val="center"/>
          </w:tcPr>
          <w:p w14:paraId="761BE19A">
            <w:pPr>
              <w:jc w:val="center"/>
              <w:rPr>
                <w:rFonts w:ascii="Times New Roman" w:hAnsi="Times New Roman"/>
                <w:sz w:val="18"/>
                <w:szCs w:val="18"/>
              </w:rPr>
            </w:pPr>
            <w:r>
              <w:rPr>
                <w:rFonts w:hint="eastAsia" w:ascii="Times New Roman" w:hAnsi="Times New Roman"/>
                <w:sz w:val="18"/>
                <w:szCs w:val="18"/>
              </w:rPr>
              <w:t>6.42</w:t>
            </w:r>
            <w:r>
              <w:rPr>
                <w:rFonts w:ascii="Times New Roman" w:hAnsi="Times New Roman"/>
                <w:sz w:val="18"/>
                <w:szCs w:val="18"/>
              </w:rPr>
              <w:t>E-03</w:t>
            </w:r>
          </w:p>
        </w:tc>
      </w:tr>
      <w:bookmarkEnd w:id="306"/>
    </w:tbl>
    <w:p w14:paraId="0226708E">
      <w:pPr>
        <w:numPr>
          <w:ilvl w:val="2"/>
          <w:numId w:val="1"/>
        </w:numPr>
        <w:spacing w:line="360" w:lineRule="auto"/>
        <w:ind w:left="0"/>
        <w:outlineLvl w:val="2"/>
        <w:rPr>
          <w:rFonts w:hint="eastAsia" w:ascii="黑体" w:hAnsi="黑体" w:eastAsia="黑体"/>
          <w:b/>
          <w:sz w:val="28"/>
        </w:rPr>
      </w:pPr>
      <w:bookmarkStart w:id="311" w:name="_Hlk169783302"/>
      <w:bookmarkStart w:id="312" w:name="_Hlk150244926"/>
      <w:r>
        <w:rPr>
          <w:rFonts w:ascii="黑体" w:hAnsi="黑体" w:eastAsia="黑体"/>
          <w:b/>
          <w:sz w:val="28"/>
        </w:rPr>
        <w:t>废水污染影响途径及影响判定</w:t>
      </w:r>
      <w:bookmarkEnd w:id="311"/>
    </w:p>
    <w:p w14:paraId="17B8B195">
      <w:pPr>
        <w:overflowPunct w:val="0"/>
        <w:spacing w:line="360" w:lineRule="auto"/>
        <w:ind w:firstLine="480" w:firstLineChars="200"/>
        <w:rPr>
          <w:rFonts w:ascii="Times New Roman" w:hAnsi="Times New Roman"/>
          <w:color w:val="000000" w:themeColor="text1"/>
          <w:szCs w:val="21"/>
          <w14:textFill>
            <w14:solidFill>
              <w14:schemeClr w14:val="tx1"/>
            </w14:solidFill>
          </w14:textFill>
        </w:rPr>
      </w:pPr>
      <w:bookmarkStart w:id="313" w:name="_Hlk169783316"/>
      <w:r>
        <w:rPr>
          <w:rFonts w:hint="eastAsia" w:ascii="Times New Roman" w:hAnsi="Times New Roman"/>
          <w:color w:val="000000" w:themeColor="text1"/>
          <w:szCs w:val="21"/>
          <w14:textFill>
            <w14:solidFill>
              <w14:schemeClr w14:val="tx1"/>
            </w14:solidFill>
          </w14:textFill>
        </w:rPr>
        <w:t>全厂生产废水（气化灰水、煤气冷却单元-汽提废水、低温甲醇洗单元-含醇废水、硫回收单元-汽包排水、硝酸提浓塔顶馏出液、发生蒸汽排污水、尾气吸收塔底废水、发生蒸汽排污水</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各装置地面冲洗水等）、生活污水经厂内污水处理站处理后，出水与循环水站排水、除盐水站排水送回用水站进一步处理，部分回用，不能回用的部分送园区污水处理厂。</w:t>
      </w:r>
    </w:p>
    <w:p w14:paraId="23816B3D">
      <w:pPr>
        <w:overflowPunct w:val="0"/>
        <w:spacing w:line="360" w:lineRule="auto"/>
        <w:ind w:firstLine="480" w:firstLineChars="200"/>
        <w:rPr>
          <w:rFonts w:ascii="Times New Roman" w:hAnsi="Times New Roman"/>
          <w:szCs w:val="21"/>
        </w:rPr>
      </w:pPr>
      <w:r>
        <w:rPr>
          <w:rFonts w:hint="eastAsia"/>
          <w:szCs w:val="21"/>
        </w:rPr>
        <w:t>本工程排放的废水对地下水的影响途径主要是在污水的收集、处理、输送、贮存过程因防渗层的腐蚀损坏透过地面渗透影响厂址区域地下水。</w:t>
      </w:r>
    </w:p>
    <w:p w14:paraId="36FBBFEE">
      <w:pPr>
        <w:overflowPunct w:val="0"/>
        <w:spacing w:line="360" w:lineRule="auto"/>
        <w:ind w:firstLine="480" w:firstLineChars="200"/>
        <w:rPr>
          <w:rFonts w:ascii="Times New Roman" w:hAnsi="Times New Roman"/>
          <w:szCs w:val="21"/>
        </w:rPr>
      </w:pPr>
      <w:r>
        <w:rPr>
          <w:rFonts w:hint="eastAsia"/>
          <w:szCs w:val="21"/>
        </w:rPr>
        <w:t>项目建设期间构筑物及其设施均采用钢筋混凝土结构，设置防渗设施，正常生产过程中严防污水下渗，以避免对地下水潜水层的污染。</w:t>
      </w:r>
    </w:p>
    <w:p w14:paraId="72FECCD9">
      <w:pPr>
        <w:overflowPunct w:val="0"/>
        <w:spacing w:line="360" w:lineRule="auto"/>
        <w:ind w:firstLine="480" w:firstLineChars="200"/>
        <w:rPr>
          <w:rFonts w:ascii="Times New Roman" w:hAnsi="Times New Roman"/>
          <w:szCs w:val="21"/>
        </w:rPr>
      </w:pPr>
      <w:r>
        <w:rPr>
          <w:rFonts w:hint="eastAsia"/>
          <w:szCs w:val="21"/>
        </w:rPr>
        <w:t>根据本项目的生产特征，可能泄漏并污染地下水的污染源包括：</w:t>
      </w:r>
    </w:p>
    <w:p w14:paraId="3405944C">
      <w:pPr>
        <w:spacing w:line="360" w:lineRule="auto"/>
        <w:ind w:firstLine="480" w:firstLineChars="200"/>
        <w:rPr>
          <w:rFonts w:hint="eastAsia"/>
        </w:rPr>
      </w:pPr>
      <w:r>
        <w:t>非正常状况下，</w:t>
      </w:r>
      <w:r>
        <w:rPr>
          <w:rFonts w:hint="eastAsia"/>
        </w:rPr>
        <w:t>综合调节池底</w:t>
      </w:r>
      <w:r>
        <w:t>防渗层发生破损，废水存在着持续泄漏污染地下水的可能性。</w:t>
      </w:r>
    </w:p>
    <w:p w14:paraId="5516FE00">
      <w:pPr>
        <w:overflowPunct w:val="0"/>
        <w:spacing w:line="360" w:lineRule="auto"/>
        <w:ind w:firstLine="480" w:firstLineChars="200"/>
        <w:rPr>
          <w:rFonts w:ascii="Times New Roman" w:hAnsi="Times New Roman"/>
          <w:szCs w:val="21"/>
        </w:rPr>
      </w:pPr>
      <w:r>
        <w:rPr>
          <w:rFonts w:ascii="Times New Roman" w:hAnsi="Times New Roman"/>
          <w:szCs w:val="21"/>
        </w:rPr>
        <w:t>本项目地下水污染途径识别见表</w:t>
      </w:r>
      <w:r>
        <w:rPr>
          <w:rFonts w:hint="eastAsia" w:ascii="Times New Roman" w:hAnsi="Times New Roman"/>
          <w:szCs w:val="21"/>
        </w:rPr>
        <w:t>5</w:t>
      </w:r>
      <w:r>
        <w:rPr>
          <w:rFonts w:ascii="Times New Roman" w:hAnsi="Times New Roman"/>
          <w:szCs w:val="21"/>
        </w:rPr>
        <w:t>.3.3-1。</w:t>
      </w:r>
    </w:p>
    <w:p w14:paraId="6E1B3065">
      <w:pPr>
        <w:overflowPunct w:val="0"/>
        <w:autoSpaceDE w:val="0"/>
        <w:autoSpaceDN w:val="0"/>
        <w:spacing w:line="360" w:lineRule="auto"/>
        <w:jc w:val="center"/>
        <w:textAlignment w:val="baseline"/>
        <w:rPr>
          <w:rFonts w:hint="eastAsia" w:ascii="黑体" w:hAnsi="黑体" w:eastAsia="黑体"/>
          <w:b/>
          <w:snapToGrid w:val="0"/>
        </w:rPr>
      </w:pPr>
      <w:r>
        <w:rPr>
          <w:rFonts w:ascii="黑体" w:hAnsi="黑体" w:eastAsia="黑体"/>
          <w:b/>
          <w:snapToGrid w:val="0"/>
        </w:rPr>
        <w:t>表</w:t>
      </w:r>
      <w:r>
        <w:rPr>
          <w:rFonts w:hint="eastAsia" w:ascii="黑体" w:hAnsi="黑体" w:eastAsia="黑体"/>
          <w:b/>
          <w:snapToGrid w:val="0"/>
        </w:rPr>
        <w:t>5</w:t>
      </w:r>
      <w:r>
        <w:rPr>
          <w:rFonts w:ascii="黑体" w:hAnsi="黑体" w:eastAsia="黑体"/>
          <w:b/>
          <w:snapToGrid w:val="0"/>
        </w:rPr>
        <w:t>.3.3-1    地下水污染来源及途径识别</w:t>
      </w:r>
    </w:p>
    <w:tbl>
      <w:tblPr>
        <w:tblStyle w:val="65"/>
        <w:tblW w:w="83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522"/>
        <w:gridCol w:w="975"/>
        <w:gridCol w:w="1333"/>
        <w:gridCol w:w="1843"/>
        <w:gridCol w:w="2599"/>
        <w:gridCol w:w="1087"/>
      </w:tblGrid>
      <w:tr w14:paraId="37044E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22" w:type="dxa"/>
            <w:vAlign w:val="center"/>
          </w:tcPr>
          <w:p w14:paraId="241C903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序号</w:t>
            </w:r>
          </w:p>
        </w:tc>
        <w:tc>
          <w:tcPr>
            <w:tcW w:w="975" w:type="dxa"/>
            <w:vAlign w:val="center"/>
          </w:tcPr>
          <w:p w14:paraId="76D4B19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污染来源</w:t>
            </w:r>
          </w:p>
        </w:tc>
        <w:tc>
          <w:tcPr>
            <w:tcW w:w="1333" w:type="dxa"/>
            <w:vAlign w:val="center"/>
          </w:tcPr>
          <w:p w14:paraId="58ADEF7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主要设备/污染源</w:t>
            </w:r>
          </w:p>
        </w:tc>
        <w:tc>
          <w:tcPr>
            <w:tcW w:w="1843" w:type="dxa"/>
            <w:vAlign w:val="center"/>
          </w:tcPr>
          <w:p w14:paraId="23C924D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特征因子</w:t>
            </w:r>
          </w:p>
        </w:tc>
        <w:tc>
          <w:tcPr>
            <w:tcW w:w="2599" w:type="dxa"/>
            <w:vAlign w:val="center"/>
          </w:tcPr>
          <w:p w14:paraId="7696255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污染途径识别</w:t>
            </w:r>
          </w:p>
        </w:tc>
        <w:tc>
          <w:tcPr>
            <w:tcW w:w="1087" w:type="dxa"/>
            <w:vAlign w:val="center"/>
          </w:tcPr>
          <w:p w14:paraId="7922618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源强估算</w:t>
            </w:r>
          </w:p>
        </w:tc>
      </w:tr>
      <w:tr w14:paraId="53D630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522" w:type="dxa"/>
            <w:vAlign w:val="center"/>
          </w:tcPr>
          <w:p w14:paraId="3B41E2C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p>
        </w:tc>
        <w:tc>
          <w:tcPr>
            <w:tcW w:w="975" w:type="dxa"/>
            <w:vAlign w:val="center"/>
          </w:tcPr>
          <w:p w14:paraId="69A68A3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污水处理站</w:t>
            </w:r>
          </w:p>
        </w:tc>
        <w:tc>
          <w:tcPr>
            <w:tcW w:w="1333" w:type="dxa"/>
            <w:vAlign w:val="center"/>
          </w:tcPr>
          <w:p w14:paraId="3511659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综合调节池</w:t>
            </w:r>
          </w:p>
        </w:tc>
        <w:tc>
          <w:tcPr>
            <w:tcW w:w="1843" w:type="dxa"/>
            <w:vAlign w:val="center"/>
          </w:tcPr>
          <w:p w14:paraId="7772B36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SS、BOD</w:t>
            </w:r>
            <w:r>
              <w:rPr>
                <w:rFonts w:hint="eastAsia" w:ascii="Times New Roman" w:hAnsi="Times New Roman" w:cs="Times New Roman"/>
                <w:bCs/>
                <w:snapToGrid w:val="0"/>
                <w:sz w:val="18"/>
                <w:szCs w:val="18"/>
                <w:u w:color="000000"/>
                <w:vertAlign w:val="subscript"/>
              </w:rPr>
              <w:t>5</w:t>
            </w:r>
            <w:r>
              <w:rPr>
                <w:rFonts w:hint="eastAsia" w:ascii="Times New Roman" w:hAnsi="Times New Roman" w:cs="Times New Roman"/>
                <w:bCs/>
                <w:snapToGrid w:val="0"/>
                <w:sz w:val="18"/>
                <w:szCs w:val="18"/>
                <w:u w:color="000000"/>
              </w:rPr>
              <w:t>、C</w:t>
            </w:r>
            <w:r>
              <w:rPr>
                <w:rFonts w:ascii="Times New Roman" w:hAnsi="Times New Roman" w:cs="Times New Roman"/>
                <w:bCs/>
                <w:snapToGrid w:val="0"/>
                <w:sz w:val="18"/>
                <w:szCs w:val="18"/>
                <w:u w:color="000000"/>
              </w:rPr>
              <w:t>OD</w:t>
            </w:r>
            <w:r>
              <w:rPr>
                <w:rFonts w:hint="eastAsia" w:ascii="Times New Roman" w:hAnsi="Times New Roman" w:cs="Times New Roman"/>
                <w:bCs/>
                <w:snapToGrid w:val="0"/>
                <w:sz w:val="18"/>
                <w:szCs w:val="18"/>
                <w:u w:color="000000"/>
              </w:rPr>
              <w:t>、氯化物、硫化物、氨氮、氰化物、溶解性总固体、石油类</w:t>
            </w:r>
          </w:p>
        </w:tc>
        <w:tc>
          <w:tcPr>
            <w:tcW w:w="2599" w:type="dxa"/>
            <w:vAlign w:val="center"/>
          </w:tcPr>
          <w:p w14:paraId="065A8CE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非正常工况下，废水持续泄漏，进而渗入包气带及地下水。</w:t>
            </w:r>
          </w:p>
        </w:tc>
        <w:tc>
          <w:tcPr>
            <w:tcW w:w="1087" w:type="dxa"/>
            <w:vAlign w:val="center"/>
          </w:tcPr>
          <w:p w14:paraId="5ADC633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按</w:t>
            </w:r>
            <w:r>
              <w:rPr>
                <w:rFonts w:hint="eastAsia" w:ascii="Times New Roman" w:hAnsi="Times New Roman" w:cs="Times New Roman"/>
                <w:bCs/>
                <w:snapToGrid w:val="0"/>
                <w:sz w:val="18"/>
                <w:szCs w:val="18"/>
                <w:u w:color="000000"/>
              </w:rPr>
              <w:t>调节池的2</w:t>
            </w:r>
            <w:r>
              <w:rPr>
                <w:rFonts w:ascii="Times New Roman" w:hAnsi="Times New Roman" w:cs="Times New Roman"/>
                <w:bCs/>
                <w:snapToGrid w:val="0"/>
                <w:sz w:val="18"/>
                <w:szCs w:val="18"/>
                <w:u w:color="000000"/>
              </w:rPr>
              <w:t>0%考虑计算</w:t>
            </w:r>
          </w:p>
        </w:tc>
      </w:tr>
    </w:tbl>
    <w:p w14:paraId="5B0FBFAB">
      <w:pPr>
        <w:adjustRightInd w:val="0"/>
        <w:snapToGrid w:val="0"/>
        <w:spacing w:line="360" w:lineRule="auto"/>
        <w:ind w:firstLine="480" w:firstLineChars="200"/>
        <w:rPr>
          <w:rFonts w:hint="eastAsia"/>
          <w:szCs w:val="20"/>
        </w:rPr>
      </w:pPr>
      <w:r>
        <w:t>各种风险事故情</w:t>
      </w:r>
      <w:r>
        <w:rPr>
          <w:rFonts w:ascii="Times New Roman" w:hAnsi="Times New Roman"/>
          <w:szCs w:val="21"/>
        </w:rPr>
        <w:t>况下，污染物泄漏于地表，因降水等多种因素综合影响使污染物通过淋滤方式经过包气带向饱水带运动（如图</w:t>
      </w:r>
      <w:r>
        <w:rPr>
          <w:rFonts w:hint="eastAsia" w:ascii="Times New Roman" w:hAnsi="Times New Roman"/>
          <w:szCs w:val="21"/>
        </w:rPr>
        <w:t>5.3</w:t>
      </w:r>
      <w:r>
        <w:rPr>
          <w:rFonts w:ascii="Times New Roman" w:hAnsi="Times New Roman"/>
          <w:szCs w:val="21"/>
        </w:rPr>
        <w:t>.3</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，这个过程中，无论污染物为油水混合物还是饱和溶解污水，能够进入地下水并随之运动的最终都是溶解进入水中的部分</w:t>
      </w:r>
      <w:r>
        <w:t>。</w:t>
      </w:r>
    </w:p>
    <w:p w14:paraId="0638F82A">
      <w:pPr>
        <w:adjustRightInd w:val="0"/>
        <w:snapToGrid w:val="0"/>
        <w:spacing w:line="360" w:lineRule="auto"/>
        <w:ind w:firstLine="480" w:firstLineChars="200"/>
        <w:rPr>
          <w:rFonts w:hint="eastAsia"/>
          <w:szCs w:val="20"/>
        </w:rPr>
      </w:pPr>
      <w:r>
        <w:rPr>
          <w:szCs w:val="20"/>
        </w:rPr>
        <w:drawing>
          <wp:inline distT="0" distB="0" distL="0" distR="0">
            <wp:extent cx="4182745" cy="2981960"/>
            <wp:effectExtent l="0" t="0" r="0" b="0"/>
            <wp:docPr id="71"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图示&#10;&#10;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b="3548"/>
                    <a:stretch>
                      <a:fillRect/>
                    </a:stretch>
                  </pic:blipFill>
                  <pic:spPr>
                    <a:xfrm>
                      <a:off x="0" y="0"/>
                      <a:ext cx="4182745" cy="2981960"/>
                    </a:xfrm>
                    <a:prstGeom prst="rect">
                      <a:avLst/>
                    </a:prstGeom>
                    <a:noFill/>
                    <a:ln>
                      <a:noFill/>
                    </a:ln>
                  </pic:spPr>
                </pic:pic>
              </a:graphicData>
            </a:graphic>
          </wp:inline>
        </w:drawing>
      </w:r>
    </w:p>
    <w:p w14:paraId="52950C18">
      <w:pPr>
        <w:overflowPunct w:val="0"/>
        <w:autoSpaceDE w:val="0"/>
        <w:autoSpaceDN w:val="0"/>
        <w:spacing w:line="360" w:lineRule="auto"/>
        <w:jc w:val="center"/>
        <w:textAlignment w:val="baseline"/>
        <w:rPr>
          <w:rFonts w:hint="eastAsia" w:ascii="黑体" w:hAnsi="黑体" w:eastAsia="黑体"/>
          <w:b/>
          <w:snapToGrid w:val="0"/>
        </w:rPr>
      </w:pPr>
      <w:r>
        <w:rPr>
          <w:rFonts w:ascii="黑体" w:hAnsi="黑体" w:eastAsia="黑体"/>
          <w:b/>
          <w:snapToGrid w:val="0"/>
        </w:rPr>
        <w:t>图</w:t>
      </w:r>
      <w:r>
        <w:rPr>
          <w:rFonts w:hint="eastAsia" w:ascii="黑体" w:hAnsi="黑体" w:eastAsia="黑体"/>
          <w:b/>
          <w:snapToGrid w:val="0"/>
        </w:rPr>
        <w:t>5.3</w:t>
      </w:r>
      <w:r>
        <w:rPr>
          <w:rFonts w:ascii="黑体" w:hAnsi="黑体" w:eastAsia="黑体"/>
          <w:b/>
          <w:snapToGrid w:val="0"/>
        </w:rPr>
        <w:t>.3</w:t>
      </w:r>
      <w:r>
        <w:rPr>
          <w:rFonts w:hint="eastAsia" w:ascii="黑体" w:hAnsi="黑体" w:eastAsia="黑体"/>
          <w:b/>
          <w:snapToGrid w:val="0"/>
        </w:rPr>
        <w:t>-</w:t>
      </w:r>
      <w:r>
        <w:rPr>
          <w:rFonts w:ascii="黑体" w:hAnsi="黑体" w:eastAsia="黑体"/>
          <w:b/>
          <w:snapToGrid w:val="0"/>
        </w:rPr>
        <w:t>1    污染物在包气带、饱水带运动概化图</w:t>
      </w:r>
    </w:p>
    <w:p w14:paraId="3AFDCE55">
      <w:pPr>
        <w:spacing w:line="360" w:lineRule="auto"/>
        <w:ind w:firstLine="480" w:firstLineChars="200"/>
        <w:rPr>
          <w:rFonts w:hint="eastAsia"/>
        </w:rPr>
      </w:pPr>
      <w:r>
        <w:t>包气带是连接大气和地下水的重要纽带，在大气降水补给地下水以及地下水通过包气带蒸发过程中扮演着重要的角色。包气带污染可进一步引起和促进水体、大气和生物等要素的污染，从而影响人体健康。所以有必要对包气带污染情况进行预测，为进一步采取预防措施提出科学依据。包气带的防污性能与包气带的岩性、结构、厚度以及地形坡度等有着密切的联系。其中岩性和厚度对防污性能影响较大，包气带土壤沉积物中的粘土矿物和有机碳在吸附无机离子组分和有机污染物过程中发挥着非常重要的作用。一般来说包气带土层对污染物的吸附可以阻滞有机污染物向地下水中迁移，包气带的厚度越大，污染物越难以迁移进入地下水。</w:t>
      </w:r>
      <w:bookmarkEnd w:id="313"/>
    </w:p>
    <w:p w14:paraId="35E17603">
      <w:pPr>
        <w:numPr>
          <w:ilvl w:val="2"/>
          <w:numId w:val="1"/>
        </w:numPr>
        <w:spacing w:line="360" w:lineRule="auto"/>
        <w:ind w:left="0"/>
        <w:outlineLvl w:val="2"/>
        <w:rPr>
          <w:rFonts w:hint="eastAsia" w:ascii="黑体" w:hAnsi="黑体" w:eastAsia="黑体"/>
          <w:b/>
          <w:sz w:val="28"/>
        </w:rPr>
      </w:pPr>
      <w:bookmarkStart w:id="314" w:name="_Hlk169783412"/>
      <w:r>
        <w:rPr>
          <w:rFonts w:hint="eastAsia" w:ascii="黑体" w:hAnsi="黑体" w:eastAsia="黑体"/>
          <w:b/>
          <w:sz w:val="28"/>
        </w:rPr>
        <w:t>正常运行对厂区周围地下水环境影响</w:t>
      </w:r>
      <w:bookmarkEnd w:id="314"/>
    </w:p>
    <w:p w14:paraId="2579107B">
      <w:pPr>
        <w:overflowPunct w:val="0"/>
        <w:spacing w:line="360" w:lineRule="auto"/>
        <w:ind w:firstLine="480" w:firstLineChars="200"/>
        <w:rPr>
          <w:rFonts w:ascii="Times New Roman" w:hAnsi="Times New Roman"/>
          <w:color w:val="000000" w:themeColor="text1"/>
          <w:szCs w:val="21"/>
          <w14:textFill>
            <w14:solidFill>
              <w14:schemeClr w14:val="tx1"/>
            </w14:solidFill>
          </w14:textFill>
        </w:rPr>
      </w:pPr>
      <w:bookmarkStart w:id="315" w:name="_Hlk169783420"/>
      <w:r>
        <w:rPr>
          <w:rFonts w:hint="eastAsia"/>
          <w:color w:val="000000" w:themeColor="text1"/>
          <w:szCs w:val="21"/>
          <w14:textFill>
            <w14:solidFill>
              <w14:schemeClr w14:val="tx1"/>
            </w14:solidFill>
          </w14:textFill>
        </w:rPr>
        <w:t>正常工况下，</w:t>
      </w:r>
      <w:r>
        <w:rPr>
          <w:rFonts w:hint="eastAsia" w:ascii="Times New Roman" w:hAnsi="Times New Roman"/>
          <w:color w:val="000000" w:themeColor="text1"/>
          <w:szCs w:val="21"/>
          <w14:textFill>
            <w14:solidFill>
              <w14:schemeClr w14:val="tx1"/>
            </w14:solidFill>
          </w14:textFill>
        </w:rPr>
        <w:t>全厂生产废水（气化灰水、煤气冷却单元-汽提废水、低温甲醇洗单元-含醇废水、硫回收单元-汽包排水、硝酸提浓塔顶馏出液、发生蒸汽排污水、尾气吸收塔底废水、发生蒸汽排污水</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各装置地面冲洗水等）、生活污水经厂内污水处理站处理后，出水与循环水站排水、除盐水站排水送回用水站进一步处理，部分回用，不能回用的部分送园区污水处理厂。</w:t>
      </w:r>
    </w:p>
    <w:p w14:paraId="307A0BC9">
      <w:pPr>
        <w:spacing w:line="360" w:lineRule="auto"/>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项目厂区实行分区防渗，</w:t>
      </w:r>
      <w:r>
        <w:rPr>
          <w:rFonts w:hint="eastAsia"/>
          <w:color w:val="000000" w:themeColor="text1"/>
          <w14:textFill>
            <w14:solidFill>
              <w14:schemeClr w14:val="tx1"/>
            </w14:solidFill>
          </w14:textFill>
        </w:rPr>
        <w:t>项目各装置区、罐区、危废临时贮存场所等</w:t>
      </w:r>
      <w:r>
        <w:rPr>
          <w:color w:val="000000" w:themeColor="text1"/>
          <w14:textFill>
            <w14:solidFill>
              <w14:schemeClr w14:val="tx1"/>
            </w14:solidFill>
          </w14:textFill>
        </w:rPr>
        <w:t>为重点</w:t>
      </w:r>
      <w:r>
        <w:rPr>
          <w:rFonts w:ascii="Times New Roman" w:hAnsi="Times New Roman"/>
          <w:color w:val="000000" w:themeColor="text1"/>
          <w:szCs w:val="21"/>
          <w14:textFill>
            <w14:solidFill>
              <w14:schemeClr w14:val="tx1"/>
            </w14:solidFill>
          </w14:textFill>
        </w:rPr>
        <w:t>防渗区；同时在厂区设置了一个</w:t>
      </w:r>
      <w:r>
        <w:rPr>
          <w:rFonts w:hint="eastAsia" w:ascii="Times New Roman" w:hAnsi="Times New Roman"/>
          <w:color w:val="000000" w:themeColor="text1"/>
          <w:szCs w:val="21"/>
          <w14:textFill>
            <w14:solidFill>
              <w14:schemeClr w14:val="tx1"/>
            </w14:solidFill>
          </w14:textFill>
        </w:rPr>
        <w:t>8000</w:t>
      </w:r>
      <w:r>
        <w:rPr>
          <w:rFonts w:ascii="Times New Roman" w:hAnsi="Times New Roman"/>
          <w:color w:val="000000" w:themeColor="text1"/>
          <w:szCs w:val="21"/>
          <w14:textFill>
            <w14:solidFill>
              <w14:schemeClr w14:val="tx1"/>
            </w14:solidFill>
          </w14:textFill>
        </w:rPr>
        <w:t>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事故水池，以防事故水的影响。在正常工况下，本项目生产废水的地下渗</w:t>
      </w:r>
      <w:r>
        <w:rPr>
          <w:color w:val="000000" w:themeColor="text1"/>
          <w14:textFill>
            <w14:solidFill>
              <w14:schemeClr w14:val="tx1"/>
            </w14:solidFill>
          </w14:textFill>
        </w:rPr>
        <w:t>透将得到控制，不会对地下水环境质量造成功能类别的改变。</w:t>
      </w:r>
    </w:p>
    <w:p w14:paraId="5522F456">
      <w:pPr>
        <w:spacing w:line="360" w:lineRule="auto"/>
        <w:ind w:firstLine="480" w:firstLineChars="200"/>
        <w:rPr>
          <w:rFonts w:hint="eastAsia"/>
        </w:rPr>
      </w:pPr>
      <w:r>
        <w:t>因此，污水通过各盛水设施渗透而污染地下水的可能性很小，对当地地下水不会造成污染，故本工程装置在正常生产情况下，对周围水环境影响不大</w:t>
      </w:r>
      <w:bookmarkEnd w:id="315"/>
      <w:r>
        <w:t>。</w:t>
      </w:r>
    </w:p>
    <w:p w14:paraId="39046AAC">
      <w:pPr>
        <w:numPr>
          <w:ilvl w:val="2"/>
          <w:numId w:val="1"/>
        </w:numPr>
        <w:spacing w:line="360" w:lineRule="auto"/>
        <w:ind w:left="0"/>
        <w:outlineLvl w:val="2"/>
        <w:rPr>
          <w:rFonts w:hint="eastAsia" w:ascii="黑体" w:hAnsi="黑体"/>
          <w:b/>
          <w:sz w:val="28"/>
        </w:rPr>
      </w:pPr>
      <w:bookmarkStart w:id="316" w:name="_Hlk169783536"/>
      <w:r>
        <w:rPr>
          <w:rFonts w:hint="eastAsia" w:ascii="黑体" w:hAnsi="黑体" w:eastAsia="黑体"/>
          <w:b/>
          <w:sz w:val="28"/>
        </w:rPr>
        <w:t>非正常工况、风险状况地下水环境影响评价</w:t>
      </w:r>
      <w:bookmarkEnd w:id="316"/>
    </w:p>
    <w:p w14:paraId="797D23BE">
      <w:pPr>
        <w:spacing w:line="360" w:lineRule="auto"/>
        <w:ind w:firstLine="480" w:firstLineChars="200"/>
        <w:rPr>
          <w:rFonts w:hint="eastAsia"/>
        </w:rPr>
      </w:pPr>
      <w:bookmarkStart w:id="317" w:name="_Hlk169783552"/>
      <w:r>
        <w:rPr>
          <w:rFonts w:hint="eastAsia"/>
        </w:rPr>
        <w:t>综合考虑拟建项目物料及废污水的特性和装置设施的装备情况，非正常状况泄漏点设定为：污水处理站综合调节池渗漏。</w:t>
      </w:r>
    </w:p>
    <w:p w14:paraId="50D1395E">
      <w:pPr>
        <w:spacing w:line="360" w:lineRule="auto"/>
        <w:ind w:firstLine="480" w:firstLineChars="200"/>
        <w:rPr>
          <w:rFonts w:hint="eastAsia"/>
        </w:rPr>
      </w:pPr>
      <w:r>
        <w:rPr>
          <w:rFonts w:hint="eastAsia"/>
        </w:rPr>
        <w:t>依据本工程风险识别结果，风险事故状况预测点设定为：硫酸储罐、液氨罐爆炸渗漏。</w:t>
      </w:r>
    </w:p>
    <w:p w14:paraId="0592A30B">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污染物泄漏量</w:t>
      </w:r>
    </w:p>
    <w:p w14:paraId="658592F1">
      <w:pPr>
        <w:overflowPunct w:val="0"/>
        <w:spacing w:line="360" w:lineRule="auto"/>
        <w:ind w:firstLine="480" w:firstLineChars="200"/>
        <w:rPr>
          <w:rFonts w:ascii="Times New Roman" w:hAnsi="Times New Roman"/>
          <w:szCs w:val="21"/>
        </w:rPr>
      </w:pPr>
      <w:bookmarkStart w:id="318" w:name="_Hlk193110059"/>
      <w:r>
        <w:rPr>
          <w:rFonts w:hint="eastAsia" w:ascii="Times New Roman" w:hAnsi="Times New Roman"/>
          <w:szCs w:val="21"/>
        </w:rPr>
        <w:t>（1）非正常工况下污水泄漏量</w:t>
      </w:r>
    </w:p>
    <w:p w14:paraId="50631F5C">
      <w:pPr>
        <w:overflowPunct w:val="0"/>
        <w:spacing w:line="360" w:lineRule="auto"/>
        <w:ind w:firstLine="480" w:firstLineChars="200"/>
        <w:rPr>
          <w:rFonts w:ascii="Times New Roman" w:hAnsi="Times New Roman"/>
          <w:snapToGrid w:val="0"/>
          <w:szCs w:val="21"/>
        </w:rPr>
      </w:pPr>
      <w:r>
        <w:rPr>
          <w:rFonts w:ascii="Times New Roman" w:hAnsi="Times New Roman"/>
          <w:szCs w:val="21"/>
        </w:rPr>
        <w:t>考虑到废水泄漏达到20%以上时能够从水计量仪器的监测数据中发现，不能形成持续泄漏，故假设</w:t>
      </w:r>
      <w:r>
        <w:rPr>
          <w:rFonts w:hint="eastAsia" w:ascii="Times New Roman" w:hAnsi="Times New Roman"/>
          <w:szCs w:val="21"/>
        </w:rPr>
        <w:t>综合调节池底</w:t>
      </w:r>
      <w:r>
        <w:rPr>
          <w:rFonts w:ascii="Times New Roman" w:hAnsi="Times New Roman"/>
          <w:snapToGrid w:val="0"/>
          <w:szCs w:val="21"/>
        </w:rPr>
        <w:t>出现多点的裂缝，污水泄漏进入土壤的量按总污水量20%考虑。</w:t>
      </w:r>
      <w:bookmarkStart w:id="319" w:name="_Hlk177835834"/>
    </w:p>
    <w:p w14:paraId="05B6F746">
      <w:pPr>
        <w:overflowPunct w:val="0"/>
        <w:spacing w:line="360" w:lineRule="auto"/>
        <w:ind w:firstLine="480" w:firstLineChars="200"/>
        <w:rPr>
          <w:rFonts w:ascii="Times New Roman" w:hAnsi="Times New Roman"/>
          <w:snapToGrid w:val="0"/>
          <w:szCs w:val="21"/>
        </w:rPr>
      </w:pPr>
      <w:r>
        <w:rPr>
          <w:rFonts w:ascii="Times New Roman" w:hAnsi="Times New Roman"/>
          <w:snapToGrid w:val="0"/>
          <w:szCs w:val="21"/>
        </w:rPr>
        <w:t>拟建项目</w:t>
      </w:r>
      <w:r>
        <w:rPr>
          <w:rFonts w:hint="eastAsia" w:ascii="Times New Roman" w:hAnsi="Times New Roman"/>
          <w:snapToGrid w:val="0"/>
          <w:szCs w:val="21"/>
        </w:rPr>
        <w:t>污水处理站</w:t>
      </w:r>
      <w:r>
        <w:rPr>
          <w:rFonts w:hint="eastAsia" w:ascii="Times New Roman" w:hAnsi="Times New Roman"/>
          <w:szCs w:val="21"/>
        </w:rPr>
        <w:t>综合调节池</w:t>
      </w:r>
      <w:r>
        <w:rPr>
          <w:rFonts w:ascii="Times New Roman" w:hAnsi="Times New Roman"/>
          <w:snapToGrid w:val="0"/>
          <w:szCs w:val="21"/>
        </w:rPr>
        <w:t>容积</w:t>
      </w:r>
      <w:r>
        <w:rPr>
          <w:rFonts w:hint="eastAsia" w:ascii="Times New Roman" w:hAnsi="Times New Roman"/>
          <w:snapToGrid w:val="0"/>
          <w:szCs w:val="21"/>
        </w:rPr>
        <w:t>7200</w:t>
      </w:r>
      <w:r>
        <w:rPr>
          <w:rFonts w:ascii="Times New Roman" w:hAnsi="Times New Roman"/>
          <w:snapToGrid w:val="0"/>
          <w:szCs w:val="21"/>
        </w:rPr>
        <w:t>m</w:t>
      </w:r>
      <w:r>
        <w:rPr>
          <w:rFonts w:ascii="Times New Roman" w:hAnsi="Times New Roman"/>
          <w:snapToGrid w:val="0"/>
          <w:szCs w:val="21"/>
          <w:vertAlign w:val="superscript"/>
        </w:rPr>
        <w:t>3</w:t>
      </w:r>
      <w:r>
        <w:rPr>
          <w:rFonts w:ascii="Times New Roman" w:hAnsi="Times New Roman"/>
          <w:szCs w:val="21"/>
        </w:rPr>
        <w:t>，</w:t>
      </w:r>
      <w:r>
        <w:rPr>
          <w:rFonts w:ascii="Times New Roman" w:hAnsi="Times New Roman"/>
          <w:snapToGrid w:val="0"/>
          <w:szCs w:val="21"/>
        </w:rPr>
        <w:t>污水泄漏量</w:t>
      </w:r>
      <w:r>
        <w:rPr>
          <w:rFonts w:ascii="Times New Roman" w:hAnsi="Times New Roman"/>
          <w:szCs w:val="21"/>
        </w:rPr>
        <w:t>为</w:t>
      </w:r>
      <w:r>
        <w:rPr>
          <w:rFonts w:hint="eastAsia" w:ascii="Times New Roman" w:hAnsi="Times New Roman"/>
          <w:szCs w:val="21"/>
        </w:rPr>
        <w:t>1440</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w:t>
      </w:r>
      <w:r>
        <w:rPr>
          <w:rFonts w:ascii="Times New Roman" w:hAnsi="Times New Roman"/>
          <w:snapToGrid w:val="0"/>
          <w:szCs w:val="21"/>
        </w:rPr>
        <w:t>则</w:t>
      </w:r>
      <w:r>
        <w:rPr>
          <w:rFonts w:hint="eastAsia" w:ascii="Times New Roman" w:hAnsi="Times New Roman"/>
          <w:szCs w:val="21"/>
        </w:rPr>
        <w:t>SS</w:t>
      </w:r>
      <w:r>
        <w:rPr>
          <w:rFonts w:ascii="Times New Roman" w:hAnsi="Times New Roman"/>
          <w:snapToGrid w:val="0"/>
          <w:szCs w:val="21"/>
        </w:rPr>
        <w:t>泄漏量约为</w:t>
      </w:r>
      <w:r>
        <w:rPr>
          <w:rFonts w:hint="eastAsia" w:ascii="Times New Roman" w:hAnsi="Times New Roman"/>
          <w:snapToGrid w:val="0"/>
          <w:szCs w:val="21"/>
        </w:rPr>
        <w:t>111.29</w:t>
      </w:r>
      <w:r>
        <w:rPr>
          <w:rFonts w:ascii="Times New Roman" w:hAnsi="Times New Roman"/>
          <w:szCs w:val="21"/>
        </w:rPr>
        <w:t>kg</w:t>
      </w:r>
      <w:r>
        <w:rPr>
          <w:rFonts w:hint="eastAsia" w:ascii="Times New Roman" w:hAnsi="Times New Roman"/>
          <w:szCs w:val="21"/>
        </w:rPr>
        <w:t>、BOD</w:t>
      </w:r>
      <w:r>
        <w:rPr>
          <w:rFonts w:hint="eastAsia" w:ascii="Times New Roman" w:hAnsi="Times New Roman"/>
          <w:szCs w:val="21"/>
          <w:vertAlign w:val="subscript"/>
        </w:rPr>
        <w:t>5</w:t>
      </w:r>
      <w:r>
        <w:rPr>
          <w:rFonts w:ascii="Times New Roman" w:hAnsi="Times New Roman"/>
          <w:snapToGrid w:val="0"/>
          <w:szCs w:val="21"/>
        </w:rPr>
        <w:t>泄漏量约为</w:t>
      </w:r>
      <w:r>
        <w:rPr>
          <w:rFonts w:hint="eastAsia" w:ascii="Times New Roman" w:hAnsi="Times New Roman"/>
          <w:snapToGrid w:val="0"/>
          <w:szCs w:val="21"/>
        </w:rPr>
        <w:t>266.20</w:t>
      </w:r>
      <w:r>
        <w:rPr>
          <w:rFonts w:hint="eastAsia" w:ascii="Times New Roman" w:hAnsi="Times New Roman"/>
          <w:szCs w:val="21"/>
        </w:rPr>
        <w:t>k</w:t>
      </w:r>
      <w:r>
        <w:rPr>
          <w:rFonts w:ascii="Times New Roman" w:hAnsi="Times New Roman"/>
          <w:szCs w:val="21"/>
        </w:rPr>
        <w:t>g</w:t>
      </w:r>
      <w:r>
        <w:rPr>
          <w:rFonts w:hint="eastAsia" w:ascii="Times New Roman" w:hAnsi="Times New Roman"/>
          <w:szCs w:val="21"/>
        </w:rPr>
        <w:t>、C</w:t>
      </w:r>
      <w:r>
        <w:rPr>
          <w:rFonts w:ascii="Times New Roman" w:hAnsi="Times New Roman"/>
          <w:szCs w:val="21"/>
        </w:rPr>
        <w:t>OD</w:t>
      </w:r>
      <w:r>
        <w:rPr>
          <w:rFonts w:ascii="Times New Roman" w:hAnsi="Times New Roman"/>
          <w:snapToGrid w:val="0"/>
          <w:szCs w:val="21"/>
        </w:rPr>
        <w:t>泄漏量约为</w:t>
      </w:r>
      <w:r>
        <w:rPr>
          <w:rFonts w:hint="eastAsia" w:ascii="Times New Roman" w:hAnsi="Times New Roman"/>
          <w:snapToGrid w:val="0"/>
          <w:szCs w:val="21"/>
        </w:rPr>
        <w:t>608.45</w:t>
      </w:r>
      <w:r>
        <w:rPr>
          <w:rFonts w:ascii="Times New Roman" w:hAnsi="Times New Roman"/>
          <w:szCs w:val="21"/>
        </w:rPr>
        <w:t>kg</w:t>
      </w:r>
      <w:r>
        <w:rPr>
          <w:rFonts w:hint="eastAsia" w:ascii="Times New Roman" w:hAnsi="Times New Roman"/>
          <w:szCs w:val="21"/>
        </w:rPr>
        <w:t>、氯化物</w:t>
      </w:r>
      <w:r>
        <w:rPr>
          <w:rFonts w:ascii="Times New Roman" w:hAnsi="Times New Roman"/>
          <w:snapToGrid w:val="0"/>
          <w:szCs w:val="21"/>
        </w:rPr>
        <w:t>泄漏量约为</w:t>
      </w:r>
      <w:r>
        <w:rPr>
          <w:rFonts w:hint="eastAsia" w:ascii="Times New Roman" w:hAnsi="Times New Roman"/>
          <w:snapToGrid w:val="0"/>
          <w:szCs w:val="21"/>
        </w:rPr>
        <w:t>78.83k</w:t>
      </w:r>
      <w:r>
        <w:rPr>
          <w:rFonts w:ascii="Times New Roman" w:hAnsi="Times New Roman"/>
          <w:szCs w:val="21"/>
        </w:rPr>
        <w:t>g</w:t>
      </w:r>
      <w:r>
        <w:rPr>
          <w:rFonts w:hint="eastAsia" w:ascii="Times New Roman" w:hAnsi="Times New Roman"/>
          <w:szCs w:val="21"/>
        </w:rPr>
        <w:t>、硫化物</w:t>
      </w:r>
      <w:r>
        <w:rPr>
          <w:rFonts w:ascii="Times New Roman" w:hAnsi="Times New Roman"/>
          <w:snapToGrid w:val="0"/>
          <w:szCs w:val="21"/>
        </w:rPr>
        <w:t>泄漏量约为</w:t>
      </w:r>
      <w:bookmarkStart w:id="320" w:name="OLE_LINK12"/>
      <w:r>
        <w:rPr>
          <w:rFonts w:hint="eastAsia" w:ascii="Times New Roman" w:hAnsi="Times New Roman"/>
          <w:snapToGrid w:val="0"/>
          <w:szCs w:val="21"/>
        </w:rPr>
        <w:t>54.14</w:t>
      </w:r>
      <w:r>
        <w:rPr>
          <w:rFonts w:ascii="Times New Roman" w:hAnsi="Times New Roman"/>
          <w:szCs w:val="21"/>
        </w:rPr>
        <w:t>kg</w:t>
      </w:r>
      <w:bookmarkEnd w:id="320"/>
      <w:r>
        <w:rPr>
          <w:rFonts w:hint="eastAsia" w:ascii="Times New Roman" w:hAnsi="Times New Roman"/>
          <w:szCs w:val="21"/>
        </w:rPr>
        <w:t>、氨氮</w:t>
      </w:r>
      <w:r>
        <w:rPr>
          <w:rFonts w:ascii="Times New Roman" w:hAnsi="Times New Roman"/>
          <w:snapToGrid w:val="0"/>
          <w:szCs w:val="21"/>
        </w:rPr>
        <w:t>泄漏量约为</w:t>
      </w:r>
      <w:r>
        <w:rPr>
          <w:rFonts w:hint="eastAsia" w:ascii="Times New Roman" w:hAnsi="Times New Roman"/>
          <w:snapToGrid w:val="0"/>
          <w:szCs w:val="21"/>
        </w:rPr>
        <w:t>363.75</w:t>
      </w:r>
      <w:r>
        <w:rPr>
          <w:rFonts w:ascii="Times New Roman" w:hAnsi="Times New Roman"/>
          <w:szCs w:val="21"/>
        </w:rPr>
        <w:t>kg</w:t>
      </w:r>
      <w:r>
        <w:rPr>
          <w:rFonts w:hint="eastAsia" w:ascii="Times New Roman" w:hAnsi="Times New Roman"/>
          <w:szCs w:val="21"/>
        </w:rPr>
        <w:t>、氰化物</w:t>
      </w:r>
      <w:r>
        <w:rPr>
          <w:rFonts w:ascii="Times New Roman" w:hAnsi="Times New Roman"/>
          <w:snapToGrid w:val="0"/>
          <w:szCs w:val="21"/>
        </w:rPr>
        <w:t>泄漏量约为</w:t>
      </w:r>
      <w:r>
        <w:rPr>
          <w:rFonts w:hint="eastAsia" w:ascii="Times New Roman" w:hAnsi="Times New Roman"/>
          <w:snapToGrid w:val="0"/>
          <w:szCs w:val="21"/>
        </w:rPr>
        <w:t>7.88</w:t>
      </w:r>
      <w:r>
        <w:rPr>
          <w:rFonts w:ascii="Times New Roman" w:hAnsi="Times New Roman"/>
          <w:szCs w:val="21"/>
        </w:rPr>
        <w:t>kg</w:t>
      </w:r>
      <w:r>
        <w:rPr>
          <w:rFonts w:hint="eastAsia" w:ascii="Times New Roman" w:hAnsi="Times New Roman"/>
          <w:szCs w:val="21"/>
        </w:rPr>
        <w:t>、溶解性总固体泄漏量为1628.40kg、石油类</w:t>
      </w:r>
      <w:r>
        <w:rPr>
          <w:rFonts w:ascii="Times New Roman" w:hAnsi="Times New Roman"/>
          <w:snapToGrid w:val="0"/>
          <w:szCs w:val="21"/>
        </w:rPr>
        <w:t>泄漏量约为</w:t>
      </w:r>
      <w:r>
        <w:rPr>
          <w:rFonts w:hint="eastAsia" w:ascii="Times New Roman" w:hAnsi="Times New Roman"/>
          <w:snapToGrid w:val="0"/>
          <w:szCs w:val="21"/>
        </w:rPr>
        <w:t>0.92</w:t>
      </w:r>
      <w:r>
        <w:rPr>
          <w:rFonts w:ascii="Times New Roman" w:hAnsi="Times New Roman"/>
          <w:szCs w:val="21"/>
        </w:rPr>
        <w:t>kg</w:t>
      </w:r>
      <w:r>
        <w:rPr>
          <w:rFonts w:hint="eastAsia" w:ascii="Times New Roman" w:hAnsi="Times New Roman"/>
          <w:szCs w:val="21"/>
        </w:rPr>
        <w:t>。</w:t>
      </w:r>
    </w:p>
    <w:bookmarkEnd w:id="319"/>
    <w:p w14:paraId="5738ECA7">
      <w:pPr>
        <w:tabs>
          <w:tab w:val="left" w:pos="3600"/>
        </w:tabs>
        <w:overflowPunct w:val="0"/>
        <w:spacing w:line="360" w:lineRule="auto"/>
        <w:ind w:firstLine="480" w:firstLineChars="200"/>
        <w:rPr>
          <w:rFonts w:ascii="Times New Roman" w:hAnsi="Times New Roman"/>
          <w:szCs w:val="21"/>
        </w:rPr>
      </w:pPr>
      <w:r>
        <w:rPr>
          <w:rFonts w:hint="eastAsia" w:ascii="Times New Roman" w:hAnsi="Times New Roman"/>
          <w:szCs w:val="21"/>
        </w:rPr>
        <w:t>（2）风险状况下污染物泄漏量</w:t>
      </w:r>
    </w:p>
    <w:p w14:paraId="3DDBB3A9">
      <w:pPr>
        <w:overflowPunct w:val="0"/>
        <w:spacing w:line="360" w:lineRule="auto"/>
        <w:ind w:firstLine="480" w:firstLineChars="200"/>
        <w:rPr>
          <w:rFonts w:ascii="Times New Roman" w:hAnsi="Times New Roman"/>
          <w:szCs w:val="21"/>
        </w:rPr>
      </w:pPr>
      <w:r>
        <w:rPr>
          <w:rFonts w:hint="eastAsia"/>
          <w:szCs w:val="21"/>
        </w:rPr>
        <w:t>①</w:t>
      </w:r>
      <w:r>
        <w:rPr>
          <w:rFonts w:hint="eastAsia" w:ascii="Times New Roman" w:hAnsi="Times New Roman"/>
          <w:szCs w:val="21"/>
        </w:rPr>
        <w:t>液氨储罐泄漏</w:t>
      </w:r>
    </w:p>
    <w:p w14:paraId="308830F0">
      <w:pPr>
        <w:overflowPunct w:val="0"/>
        <w:spacing w:line="360" w:lineRule="auto"/>
        <w:ind w:firstLine="480" w:firstLineChars="200"/>
        <w:rPr>
          <w:rFonts w:ascii="Times New Roman" w:hAnsi="Times New Roman"/>
          <w:szCs w:val="21"/>
        </w:rPr>
      </w:pPr>
      <w:r>
        <w:rPr>
          <w:rFonts w:hint="eastAsia" w:ascii="Times New Roman" w:hAnsi="Times New Roman"/>
          <w:szCs w:val="21"/>
        </w:rPr>
        <w:t>根据7.6.2.4节分析，</w:t>
      </w:r>
      <w:r>
        <w:rPr>
          <w:rFonts w:ascii="Times New Roman" w:hAnsi="Times New Roman"/>
          <w:szCs w:val="21"/>
        </w:rPr>
        <w:t>液氨</w:t>
      </w:r>
      <w:r>
        <w:rPr>
          <w:rFonts w:hint="eastAsia" w:ascii="Times New Roman" w:hAnsi="Times New Roman"/>
          <w:szCs w:val="21"/>
        </w:rPr>
        <w:t>泄漏速率为23.16</w:t>
      </w:r>
      <w:r>
        <w:rPr>
          <w:rFonts w:ascii="Times New Roman" w:hAnsi="Times New Roman"/>
          <w:szCs w:val="21"/>
        </w:rPr>
        <w:t>kg/s</w:t>
      </w:r>
      <w:r>
        <w:rPr>
          <w:rFonts w:hint="eastAsia" w:ascii="Times New Roman" w:hAnsi="Times New Roman"/>
          <w:szCs w:val="21"/>
        </w:rPr>
        <w:t>，泄漏时间为10min，总泄漏量为13896kg，气体泄漏速率为17.14</w:t>
      </w:r>
      <w:r>
        <w:rPr>
          <w:rFonts w:ascii="Times New Roman" w:hAnsi="Times New Roman"/>
          <w:szCs w:val="21"/>
        </w:rPr>
        <w:t>kg/s</w:t>
      </w:r>
      <w:r>
        <w:rPr>
          <w:rFonts w:hint="eastAsia" w:ascii="Times New Roman" w:hAnsi="Times New Roman"/>
          <w:szCs w:val="21"/>
        </w:rPr>
        <w:t>，挥发量为10284kg，未挥发量为6.02</w:t>
      </w:r>
      <w:r>
        <w:rPr>
          <w:rFonts w:ascii="Times New Roman" w:hAnsi="Times New Roman"/>
          <w:szCs w:val="21"/>
        </w:rPr>
        <w:t>kg/s</w:t>
      </w:r>
      <w:r>
        <w:rPr>
          <w:rFonts w:hint="eastAsia" w:ascii="Times New Roman" w:hAnsi="Times New Roman"/>
          <w:szCs w:val="21"/>
        </w:rPr>
        <w:t>，3612</w:t>
      </w:r>
      <w:r>
        <w:rPr>
          <w:rFonts w:ascii="Times New Roman" w:hAnsi="Times New Roman"/>
          <w:szCs w:val="21"/>
        </w:rPr>
        <w:t>kg</w:t>
      </w:r>
      <w:r>
        <w:rPr>
          <w:rFonts w:hint="eastAsia" w:ascii="Times New Roman" w:hAnsi="Times New Roman"/>
          <w:szCs w:val="21"/>
        </w:rPr>
        <w:t>；假定3612kg液氨中有5%遇水变成20%的氨水（水来自氨气爆炸产生）进入地下水；折算氨氮泄漏量为148.73kg。</w:t>
      </w:r>
    </w:p>
    <w:p w14:paraId="73CA3928">
      <w:pPr>
        <w:overflowPunct w:val="0"/>
        <w:spacing w:line="360" w:lineRule="auto"/>
        <w:ind w:firstLine="480" w:firstLineChars="200"/>
        <w:rPr>
          <w:rFonts w:ascii="Times New Roman" w:hAnsi="Times New Roman"/>
          <w:szCs w:val="21"/>
        </w:rPr>
      </w:pPr>
      <w:r>
        <w:rPr>
          <w:rFonts w:hint="eastAsia"/>
          <w:szCs w:val="21"/>
        </w:rPr>
        <w:t>②</w:t>
      </w:r>
      <w:r>
        <w:rPr>
          <w:rFonts w:hint="eastAsia" w:ascii="Times New Roman" w:hAnsi="Times New Roman"/>
          <w:szCs w:val="21"/>
        </w:rPr>
        <w:t>硫酸储罐泄漏</w:t>
      </w:r>
    </w:p>
    <w:p w14:paraId="2FFFA8CC">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本项目设置2个硫酸储罐，容积为331m</w:t>
      </w:r>
      <w:r>
        <w:rPr>
          <w:rFonts w:ascii="Times New Roman" w:hAnsi="Times New Roman" w:cs="Times New Roman"/>
          <w:szCs w:val="21"/>
          <w:vertAlign w:val="superscript"/>
        </w:rPr>
        <w:t>3</w:t>
      </w:r>
      <w:r>
        <w:rPr>
          <w:rFonts w:ascii="Times New Roman" w:hAnsi="Times New Roman" w:cs="Times New Roman"/>
          <w:szCs w:val="21"/>
        </w:rPr>
        <w:t>。假定单个储罐出口管线接口处破裂，硫酸泄漏蒸发，释放时间10min。硫酸储罐出口管线直径50mm，假定管径断裂，硫酸泄漏至防火堤内。根据风险导则附录F，</w:t>
      </w:r>
      <w:r>
        <w:rPr>
          <w:rFonts w:hint="eastAsia" w:ascii="Times New Roman" w:hAnsi="Times New Roman" w:cs="Times New Roman"/>
          <w:szCs w:val="21"/>
        </w:rPr>
        <w:t>用伯努利</w:t>
      </w:r>
      <w:r>
        <w:rPr>
          <w:rFonts w:ascii="Times New Roman" w:hAnsi="Times New Roman" w:cs="Times New Roman"/>
          <w:szCs w:val="21"/>
        </w:rPr>
        <w:t>方程计算液体泄漏速度Q</w:t>
      </w:r>
      <w:r>
        <w:rPr>
          <w:rFonts w:ascii="Times New Roman" w:hAnsi="Times New Roman" w:cs="Times New Roman"/>
          <w:szCs w:val="21"/>
          <w:vertAlign w:val="subscript"/>
        </w:rPr>
        <w:t>L</w:t>
      </w:r>
      <w:r>
        <w:rPr>
          <w:rFonts w:ascii="Times New Roman" w:hAnsi="Times New Roman" w:cs="Times New Roman"/>
          <w:szCs w:val="21"/>
        </w:rPr>
        <w:t>：</w:t>
      </w:r>
    </w:p>
    <w:p w14:paraId="7DFB57EC">
      <w:pPr>
        <w:ind w:firstLine="482"/>
        <w:jc w:val="center"/>
        <w:rPr>
          <w:rFonts w:hint="eastAsia"/>
        </w:rPr>
      </w:pPr>
      <w:r>
        <w:rPr>
          <w:b/>
          <w:bCs/>
        </w:rPr>
        <w:object>
          <v:shape id="_x0000_i1031" o:spt="75" type="#_x0000_t75" style="height:36.75pt;width:144pt;" o:ole="t" filled="f" o:preferrelative="t" stroked="f" coordsize="21600,21600">
            <v:path/>
            <v:fill on="f" focussize="0,0"/>
            <v:stroke on="f" joinstyle="miter"/>
            <v:imagedata r:id="rId44" o:title=""/>
            <o:lock v:ext="edit" aspectratio="t"/>
            <w10:wrap type="none"/>
            <w10:anchorlock/>
          </v:shape>
          <o:OLEObject Type="Embed" ProgID="Equation.DSMT4" ShapeID="_x0000_i1031" DrawAspect="Content" ObjectID="_1468075731" r:id="rId43">
            <o:LockedField>false</o:LockedField>
          </o:OLEObject>
        </w:object>
      </w:r>
    </w:p>
    <w:p w14:paraId="2E68F352">
      <w:pPr>
        <w:overflowPunct w:val="0"/>
        <w:spacing w:line="360" w:lineRule="auto"/>
        <w:ind w:firstLine="480" w:firstLineChars="200"/>
        <w:rPr>
          <w:rFonts w:ascii="Times New Roman" w:hAnsi="Times New Roman"/>
          <w:sz w:val="21"/>
          <w:szCs w:val="21"/>
        </w:rPr>
      </w:pPr>
      <w:r>
        <w:rPr>
          <w:rFonts w:hint="eastAsia"/>
          <w:szCs w:val="21"/>
        </w:rPr>
        <w:t>式中：</w:t>
      </w:r>
      <w:r>
        <w:rPr>
          <w:rFonts w:hint="eastAsia" w:ascii="Times New Roman" w:hAnsi="Times New Roman"/>
          <w:sz w:val="21"/>
          <w:szCs w:val="21"/>
        </w:rPr>
        <w:t>Q</w:t>
      </w:r>
      <w:r>
        <w:rPr>
          <w:rFonts w:hint="eastAsia" w:ascii="Times New Roman" w:hAnsi="Times New Roman"/>
          <w:sz w:val="21"/>
          <w:szCs w:val="21"/>
          <w:vertAlign w:val="subscript"/>
        </w:rPr>
        <w:t>L</w:t>
      </w:r>
      <w:r>
        <w:rPr>
          <w:rFonts w:hint="eastAsia" w:ascii="Times New Roman" w:hAnsi="Times New Roman"/>
          <w:sz w:val="21"/>
          <w:szCs w:val="21"/>
        </w:rPr>
        <w:t>—</w:t>
      </w:r>
      <w:r>
        <w:rPr>
          <w:rFonts w:hint="eastAsia"/>
          <w:sz w:val="21"/>
          <w:szCs w:val="21"/>
        </w:rPr>
        <w:t>液体的泄漏速度，</w:t>
      </w:r>
      <w:r>
        <w:rPr>
          <w:rFonts w:hint="eastAsia" w:ascii="Times New Roman" w:hAnsi="Times New Roman"/>
          <w:sz w:val="21"/>
          <w:szCs w:val="21"/>
        </w:rPr>
        <w:t>kg/s</w:t>
      </w:r>
      <w:r>
        <w:rPr>
          <w:rFonts w:hint="eastAsia"/>
          <w:sz w:val="21"/>
          <w:szCs w:val="21"/>
        </w:rPr>
        <w:t>；</w:t>
      </w:r>
    </w:p>
    <w:p w14:paraId="0B4B4A90">
      <w:pPr>
        <w:overflowPunct w:val="0"/>
        <w:spacing w:line="360" w:lineRule="auto"/>
        <w:ind w:firstLine="1224" w:firstLineChars="583"/>
        <w:rPr>
          <w:rFonts w:ascii="Times New Roman" w:hAnsi="Times New Roman"/>
          <w:sz w:val="21"/>
          <w:szCs w:val="21"/>
        </w:rPr>
      </w:pPr>
      <w:r>
        <w:rPr>
          <w:rFonts w:hint="eastAsia" w:ascii="Times New Roman" w:hAnsi="Times New Roman"/>
          <w:sz w:val="21"/>
          <w:szCs w:val="21"/>
        </w:rPr>
        <w:t>C</w:t>
      </w:r>
      <w:r>
        <w:rPr>
          <w:rFonts w:hint="eastAsia" w:ascii="Times New Roman" w:hAnsi="Times New Roman"/>
          <w:sz w:val="21"/>
          <w:szCs w:val="21"/>
          <w:vertAlign w:val="subscript"/>
        </w:rPr>
        <w:t>d</w:t>
      </w:r>
      <w:r>
        <w:rPr>
          <w:rFonts w:hint="eastAsia" w:ascii="Times New Roman" w:hAnsi="Times New Roman"/>
          <w:sz w:val="21"/>
          <w:szCs w:val="21"/>
        </w:rPr>
        <w:t>—</w:t>
      </w:r>
      <w:r>
        <w:rPr>
          <w:rFonts w:hint="eastAsia"/>
          <w:sz w:val="21"/>
          <w:szCs w:val="21"/>
        </w:rPr>
        <w:t>液体泄漏系数，取值</w:t>
      </w:r>
      <w:r>
        <w:rPr>
          <w:rFonts w:hint="eastAsia" w:ascii="Times New Roman" w:hAnsi="Times New Roman"/>
          <w:sz w:val="21"/>
          <w:szCs w:val="21"/>
        </w:rPr>
        <w:t>0.65</w:t>
      </w:r>
      <w:r>
        <w:rPr>
          <w:rFonts w:hint="eastAsia"/>
          <w:sz w:val="21"/>
          <w:szCs w:val="21"/>
        </w:rPr>
        <w:t>（裂口形状圆形）；</w:t>
      </w:r>
    </w:p>
    <w:p w14:paraId="62782B83">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A—</w:t>
      </w:r>
      <w:r>
        <w:rPr>
          <w:rFonts w:hint="eastAsia"/>
          <w:sz w:val="21"/>
          <w:szCs w:val="21"/>
        </w:rPr>
        <w:t>裂口面积，</w:t>
      </w:r>
      <w:r>
        <w:rPr>
          <w:rFonts w:hint="eastAsia" w:ascii="Times New Roman" w:hAnsi="Times New Roman"/>
          <w:sz w:val="21"/>
          <w:szCs w:val="21"/>
        </w:rPr>
        <w:t>m</w:t>
      </w:r>
      <w:r>
        <w:rPr>
          <w:rFonts w:hint="eastAsia" w:ascii="Times New Roman" w:hAnsi="Times New Roman"/>
          <w:sz w:val="21"/>
          <w:szCs w:val="21"/>
          <w:vertAlign w:val="superscript"/>
        </w:rPr>
        <w:t>2</w:t>
      </w:r>
      <w:r>
        <w:rPr>
          <w:rFonts w:hint="eastAsia"/>
          <w:sz w:val="21"/>
          <w:szCs w:val="21"/>
        </w:rPr>
        <w:t>；</w:t>
      </w:r>
    </w:p>
    <w:p w14:paraId="372A1915">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ρ—</w:t>
      </w:r>
      <w:r>
        <w:rPr>
          <w:rFonts w:hint="eastAsia"/>
          <w:sz w:val="21"/>
          <w:szCs w:val="21"/>
        </w:rPr>
        <w:t>泄漏液体密度</w:t>
      </w:r>
      <w:r>
        <w:rPr>
          <w:rFonts w:ascii="Times New Roman" w:hAnsi="Times New Roman" w:cs="Times New Roman"/>
          <w:sz w:val="21"/>
          <w:szCs w:val="21"/>
        </w:rPr>
        <w:t>，1840kg/m</w:t>
      </w:r>
      <w:r>
        <w:rPr>
          <w:rFonts w:ascii="Times New Roman" w:hAnsi="Times New Roman" w:cs="Times New Roman"/>
          <w:sz w:val="21"/>
          <w:szCs w:val="21"/>
          <w:vertAlign w:val="superscript"/>
        </w:rPr>
        <w:t>3</w:t>
      </w:r>
    </w:p>
    <w:p w14:paraId="651101F5">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P</w:t>
      </w:r>
      <w:r>
        <w:rPr>
          <w:rFonts w:hint="eastAsia"/>
          <w:sz w:val="21"/>
          <w:szCs w:val="21"/>
        </w:rPr>
        <w:t>、</w:t>
      </w:r>
      <w:r>
        <w:rPr>
          <w:rFonts w:hint="eastAsia" w:ascii="Times New Roman" w:hAnsi="Times New Roman"/>
          <w:sz w:val="21"/>
          <w:szCs w:val="21"/>
        </w:rPr>
        <w:t>P</w:t>
      </w:r>
      <w:r>
        <w:rPr>
          <w:rFonts w:hint="eastAsia" w:ascii="Times New Roman" w:hAnsi="Times New Roman"/>
          <w:sz w:val="21"/>
          <w:szCs w:val="21"/>
          <w:vertAlign w:val="subscript"/>
        </w:rPr>
        <w:t>0</w:t>
      </w:r>
      <w:r>
        <w:rPr>
          <w:rFonts w:hint="eastAsia" w:ascii="Times New Roman" w:hAnsi="Times New Roman"/>
          <w:sz w:val="21"/>
          <w:szCs w:val="21"/>
        </w:rPr>
        <w:t>—</w:t>
      </w:r>
      <w:r>
        <w:rPr>
          <w:rFonts w:hint="eastAsia"/>
          <w:sz w:val="21"/>
          <w:szCs w:val="21"/>
        </w:rPr>
        <w:t>容器内介质压力，环境压力，</w:t>
      </w:r>
      <w:r>
        <w:rPr>
          <w:rFonts w:hint="eastAsia" w:ascii="Times New Roman" w:hAnsi="Times New Roman"/>
          <w:sz w:val="21"/>
          <w:szCs w:val="21"/>
        </w:rPr>
        <w:t>P</w:t>
      </w:r>
      <w:r>
        <w:rPr>
          <w:rFonts w:hint="eastAsia"/>
          <w:sz w:val="21"/>
          <w:szCs w:val="21"/>
        </w:rPr>
        <w:t>取</w:t>
      </w:r>
      <w:r>
        <w:rPr>
          <w:rFonts w:hint="eastAsia" w:ascii="Times New Roman" w:hAnsi="Times New Roman"/>
          <w:sz w:val="21"/>
          <w:szCs w:val="21"/>
        </w:rPr>
        <w:t>0.101MPa</w:t>
      </w:r>
      <w:r>
        <w:rPr>
          <w:rFonts w:hint="eastAsia"/>
          <w:sz w:val="21"/>
          <w:szCs w:val="21"/>
        </w:rPr>
        <w:t>，</w:t>
      </w:r>
      <w:r>
        <w:rPr>
          <w:rFonts w:hint="eastAsia" w:ascii="Times New Roman" w:hAnsi="Times New Roman"/>
          <w:sz w:val="21"/>
          <w:szCs w:val="21"/>
        </w:rPr>
        <w:t>P</w:t>
      </w:r>
      <w:r>
        <w:rPr>
          <w:rFonts w:hint="eastAsia" w:ascii="Times New Roman" w:hAnsi="Times New Roman"/>
          <w:sz w:val="21"/>
          <w:szCs w:val="21"/>
          <w:vertAlign w:val="subscript"/>
        </w:rPr>
        <w:t>0</w:t>
      </w:r>
      <w:r>
        <w:rPr>
          <w:rFonts w:hint="eastAsia"/>
          <w:sz w:val="21"/>
          <w:szCs w:val="21"/>
        </w:rPr>
        <w:t>取</w:t>
      </w:r>
      <w:r>
        <w:rPr>
          <w:rFonts w:hint="eastAsia" w:ascii="Times New Roman" w:hAnsi="Times New Roman"/>
          <w:sz w:val="21"/>
          <w:szCs w:val="21"/>
        </w:rPr>
        <w:t>0.101MPa</w:t>
      </w:r>
      <w:r>
        <w:rPr>
          <w:rFonts w:hint="eastAsia"/>
          <w:sz w:val="21"/>
          <w:szCs w:val="21"/>
        </w:rPr>
        <w:t>；</w:t>
      </w:r>
    </w:p>
    <w:p w14:paraId="58851135">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g—</w:t>
      </w:r>
      <w:r>
        <w:rPr>
          <w:rFonts w:hint="eastAsia"/>
          <w:sz w:val="21"/>
          <w:szCs w:val="21"/>
        </w:rPr>
        <w:t>重力加速度，</w:t>
      </w:r>
      <w:r>
        <w:rPr>
          <w:rFonts w:hint="eastAsia" w:ascii="Times New Roman" w:hAnsi="Times New Roman"/>
          <w:sz w:val="21"/>
          <w:szCs w:val="21"/>
        </w:rPr>
        <w:t>9.8m/s</w:t>
      </w:r>
      <w:r>
        <w:rPr>
          <w:rFonts w:hint="eastAsia" w:ascii="Times New Roman" w:hAnsi="Times New Roman"/>
          <w:sz w:val="21"/>
          <w:szCs w:val="21"/>
          <w:vertAlign w:val="superscript"/>
        </w:rPr>
        <w:t>2</w:t>
      </w:r>
      <w:r>
        <w:rPr>
          <w:rFonts w:hint="eastAsia"/>
          <w:sz w:val="21"/>
          <w:szCs w:val="21"/>
        </w:rPr>
        <w:t>；</w:t>
      </w:r>
    </w:p>
    <w:p w14:paraId="03F20C1A">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h—</w:t>
      </w:r>
      <w:r>
        <w:rPr>
          <w:rFonts w:hint="eastAsia"/>
          <w:sz w:val="21"/>
          <w:szCs w:val="21"/>
        </w:rPr>
        <w:t>裂口之上液位高度，</w:t>
      </w:r>
      <w:r>
        <w:rPr>
          <w:rFonts w:hint="eastAsia" w:ascii="Times New Roman" w:hAnsi="Times New Roman"/>
          <w:sz w:val="21"/>
          <w:szCs w:val="21"/>
        </w:rPr>
        <w:t>5m</w:t>
      </w:r>
      <w:r>
        <w:rPr>
          <w:rFonts w:hint="eastAsia"/>
          <w:sz w:val="21"/>
          <w:szCs w:val="21"/>
        </w:rPr>
        <w:t>。</w:t>
      </w:r>
    </w:p>
    <w:p w14:paraId="77C6FFDC">
      <w:pPr>
        <w:overflowPunct w:val="0"/>
        <w:spacing w:line="360" w:lineRule="auto"/>
        <w:ind w:firstLine="480" w:firstLineChars="200"/>
        <w:rPr>
          <w:rFonts w:ascii="Times New Roman" w:hAnsi="Times New Roman"/>
          <w:szCs w:val="21"/>
        </w:rPr>
      </w:pPr>
      <w:r>
        <w:rPr>
          <w:rFonts w:ascii="Times New Roman" w:hAnsi="Times New Roman"/>
          <w:szCs w:val="21"/>
        </w:rPr>
        <w:t>根据以上公式计算</w:t>
      </w:r>
      <w:r>
        <w:rPr>
          <w:rFonts w:hint="eastAsia" w:ascii="Times New Roman" w:hAnsi="Times New Roman"/>
          <w:szCs w:val="21"/>
        </w:rPr>
        <w:t>硫酸</w:t>
      </w:r>
      <w:r>
        <w:rPr>
          <w:rFonts w:ascii="Times New Roman" w:hAnsi="Times New Roman"/>
          <w:szCs w:val="21"/>
        </w:rPr>
        <w:t>泄漏速率为</w:t>
      </w:r>
      <w:r>
        <w:rPr>
          <w:rFonts w:hint="eastAsia" w:ascii="Times New Roman" w:hAnsi="Times New Roman"/>
          <w:szCs w:val="21"/>
        </w:rPr>
        <w:t>2.37</w:t>
      </w:r>
      <w:r>
        <w:rPr>
          <w:rFonts w:ascii="Times New Roman" w:hAnsi="Times New Roman"/>
          <w:szCs w:val="21"/>
        </w:rPr>
        <w:t>kg/s</w:t>
      </w:r>
      <w:r>
        <w:rPr>
          <w:rFonts w:hint="eastAsia" w:ascii="Times New Roman" w:hAnsi="Times New Roman"/>
          <w:szCs w:val="21"/>
        </w:rPr>
        <w:t>，泄漏时间为10min，总泄漏量为1422kg。</w:t>
      </w:r>
    </w:p>
    <w:p w14:paraId="28528087">
      <w:pPr>
        <w:overflowPunct w:val="0"/>
        <w:spacing w:line="360" w:lineRule="auto"/>
        <w:ind w:firstLine="480" w:firstLineChars="200"/>
        <w:rPr>
          <w:rFonts w:ascii="Times New Roman" w:hAnsi="Times New Roman"/>
          <w:szCs w:val="21"/>
        </w:rPr>
      </w:pPr>
      <w:r>
        <w:rPr>
          <w:rFonts w:hint="eastAsia" w:ascii="Times New Roman" w:hAnsi="Times New Roman"/>
          <w:szCs w:val="21"/>
        </w:rPr>
        <w:t>污染源水质见下表。</w:t>
      </w:r>
    </w:p>
    <w:p w14:paraId="00197A36">
      <w:pPr>
        <w:spacing w:line="360" w:lineRule="auto"/>
        <w:jc w:val="center"/>
        <w:rPr>
          <w:rFonts w:hint="eastAsia" w:ascii="黑体" w:hAnsi="黑体" w:eastAsia="黑体"/>
          <w:b/>
        </w:rPr>
      </w:pPr>
      <w:bookmarkStart w:id="321" w:name="_Hlk192242074"/>
      <w:r>
        <w:rPr>
          <w:rFonts w:hint="eastAsia" w:ascii="黑体" w:hAnsi="黑体" w:eastAsia="黑体"/>
          <w:b/>
        </w:rPr>
        <w:t>表5.3.5-1    污染源水质分析表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06"/>
        <w:gridCol w:w="811"/>
        <w:gridCol w:w="945"/>
        <w:gridCol w:w="1377"/>
        <w:gridCol w:w="1276"/>
        <w:gridCol w:w="1126"/>
        <w:gridCol w:w="1484"/>
        <w:gridCol w:w="1080"/>
      </w:tblGrid>
      <w:tr w14:paraId="2A6966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Align w:val="center"/>
          </w:tcPr>
          <w:p w14:paraId="6C7221D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序号</w:t>
            </w:r>
          </w:p>
        </w:tc>
        <w:tc>
          <w:tcPr>
            <w:tcW w:w="811" w:type="dxa"/>
            <w:vAlign w:val="center"/>
          </w:tcPr>
          <w:p w14:paraId="71880B3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污染源</w:t>
            </w:r>
          </w:p>
        </w:tc>
        <w:tc>
          <w:tcPr>
            <w:tcW w:w="945" w:type="dxa"/>
            <w:vAlign w:val="center"/>
          </w:tcPr>
          <w:p w14:paraId="0B24398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废水量</w:t>
            </w:r>
          </w:p>
        </w:tc>
        <w:tc>
          <w:tcPr>
            <w:tcW w:w="1377" w:type="dxa"/>
            <w:vAlign w:val="center"/>
          </w:tcPr>
          <w:p w14:paraId="07C0524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污染物</w:t>
            </w:r>
          </w:p>
        </w:tc>
        <w:tc>
          <w:tcPr>
            <w:tcW w:w="1276" w:type="dxa"/>
            <w:vAlign w:val="center"/>
          </w:tcPr>
          <w:p w14:paraId="7820496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污染物</w:t>
            </w:r>
          </w:p>
          <w:p w14:paraId="09ACBA5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泄漏量kg</w:t>
            </w:r>
          </w:p>
        </w:tc>
        <w:tc>
          <w:tcPr>
            <w:tcW w:w="1126" w:type="dxa"/>
            <w:vAlign w:val="center"/>
          </w:tcPr>
          <w:p w14:paraId="4274EE2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浓度</w:t>
            </w:r>
          </w:p>
          <w:p w14:paraId="1AE011A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（mg/L）</w:t>
            </w:r>
          </w:p>
        </w:tc>
        <w:tc>
          <w:tcPr>
            <w:tcW w:w="1484" w:type="dxa"/>
            <w:vAlign w:val="center"/>
          </w:tcPr>
          <w:p w14:paraId="2111E6D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GB/T 14848-2017</w:t>
            </w:r>
          </w:p>
          <w:p w14:paraId="46D1C8A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Ⅲ类标准值</w:t>
            </w:r>
          </w:p>
        </w:tc>
        <w:tc>
          <w:tcPr>
            <w:tcW w:w="1080" w:type="dxa"/>
            <w:vAlign w:val="center"/>
          </w:tcPr>
          <w:p w14:paraId="790AB25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标准指数</w:t>
            </w:r>
          </w:p>
        </w:tc>
      </w:tr>
      <w:tr w14:paraId="154845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restart"/>
            <w:vAlign w:val="center"/>
          </w:tcPr>
          <w:p w14:paraId="288E896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w:t>
            </w:r>
          </w:p>
        </w:tc>
        <w:tc>
          <w:tcPr>
            <w:tcW w:w="811" w:type="dxa"/>
            <w:vMerge w:val="restart"/>
            <w:vAlign w:val="center"/>
          </w:tcPr>
          <w:p w14:paraId="7F3B12A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污水处理站综合调整池</w:t>
            </w:r>
          </w:p>
        </w:tc>
        <w:tc>
          <w:tcPr>
            <w:tcW w:w="945" w:type="dxa"/>
            <w:vMerge w:val="restart"/>
            <w:vAlign w:val="center"/>
          </w:tcPr>
          <w:p w14:paraId="1846AA3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1440</w:t>
            </w:r>
            <w:r>
              <w:rPr>
                <w:rFonts w:ascii="Times New Roman" w:hAnsi="Times New Roman" w:cs="Times New Roman"/>
                <w:bCs/>
                <w:snapToGrid w:val="0"/>
                <w:sz w:val="22"/>
                <w:szCs w:val="18"/>
                <w:u w:color="000000"/>
              </w:rPr>
              <w:t xml:space="preserve"> m</w:t>
            </w:r>
            <w:r>
              <w:rPr>
                <w:rFonts w:ascii="Times New Roman" w:hAnsi="Times New Roman" w:cs="Times New Roman"/>
                <w:bCs/>
                <w:snapToGrid w:val="0"/>
                <w:sz w:val="22"/>
                <w:szCs w:val="18"/>
                <w:u w:color="000000"/>
                <w:vertAlign w:val="superscript"/>
              </w:rPr>
              <w:t>3</w:t>
            </w:r>
          </w:p>
        </w:tc>
        <w:tc>
          <w:tcPr>
            <w:tcW w:w="1377" w:type="dxa"/>
            <w:vAlign w:val="center"/>
          </w:tcPr>
          <w:p w14:paraId="69FDDAD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SS</w:t>
            </w:r>
          </w:p>
        </w:tc>
        <w:tc>
          <w:tcPr>
            <w:tcW w:w="1276" w:type="dxa"/>
            <w:vAlign w:val="center"/>
          </w:tcPr>
          <w:p w14:paraId="4AC0A35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111.286</w:t>
            </w:r>
          </w:p>
        </w:tc>
        <w:tc>
          <w:tcPr>
            <w:tcW w:w="1126" w:type="dxa"/>
            <w:vAlign w:val="center"/>
          </w:tcPr>
          <w:p w14:paraId="5B4861B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79.49</w:t>
            </w:r>
          </w:p>
        </w:tc>
        <w:tc>
          <w:tcPr>
            <w:tcW w:w="1484" w:type="dxa"/>
            <w:vAlign w:val="center"/>
          </w:tcPr>
          <w:p w14:paraId="02DA243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w:t>
            </w:r>
          </w:p>
        </w:tc>
        <w:tc>
          <w:tcPr>
            <w:tcW w:w="1080" w:type="dxa"/>
            <w:vAlign w:val="center"/>
          </w:tcPr>
          <w:p w14:paraId="05AB3CC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w:t>
            </w:r>
          </w:p>
        </w:tc>
      </w:tr>
      <w:tr w14:paraId="78A38E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109F968A">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555EDC33">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33326B3B">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3048785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BOD</w:t>
            </w:r>
          </w:p>
        </w:tc>
        <w:tc>
          <w:tcPr>
            <w:tcW w:w="1276" w:type="dxa"/>
            <w:vAlign w:val="center"/>
          </w:tcPr>
          <w:p w14:paraId="673EA85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266.196</w:t>
            </w:r>
          </w:p>
        </w:tc>
        <w:tc>
          <w:tcPr>
            <w:tcW w:w="1126" w:type="dxa"/>
            <w:vAlign w:val="center"/>
          </w:tcPr>
          <w:p w14:paraId="69CD8EB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190.14</w:t>
            </w:r>
          </w:p>
        </w:tc>
        <w:tc>
          <w:tcPr>
            <w:tcW w:w="1484" w:type="dxa"/>
            <w:vAlign w:val="center"/>
          </w:tcPr>
          <w:p w14:paraId="0DE8CC4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w:t>
            </w:r>
          </w:p>
        </w:tc>
        <w:tc>
          <w:tcPr>
            <w:tcW w:w="1080" w:type="dxa"/>
            <w:vAlign w:val="center"/>
          </w:tcPr>
          <w:p w14:paraId="36F1E32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w:t>
            </w:r>
          </w:p>
        </w:tc>
      </w:tr>
      <w:tr w14:paraId="4D147D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35A48DD0">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04E122D5">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4C01F6AE">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02615EF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COD</w:t>
            </w:r>
          </w:p>
        </w:tc>
        <w:tc>
          <w:tcPr>
            <w:tcW w:w="1276" w:type="dxa"/>
            <w:vAlign w:val="center"/>
          </w:tcPr>
          <w:p w14:paraId="6C85A0F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608.454</w:t>
            </w:r>
          </w:p>
        </w:tc>
        <w:tc>
          <w:tcPr>
            <w:tcW w:w="1126" w:type="dxa"/>
            <w:vAlign w:val="center"/>
          </w:tcPr>
          <w:p w14:paraId="5D7E1A0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434.61</w:t>
            </w:r>
          </w:p>
        </w:tc>
        <w:tc>
          <w:tcPr>
            <w:tcW w:w="1484" w:type="dxa"/>
            <w:vAlign w:val="center"/>
          </w:tcPr>
          <w:p w14:paraId="49B847C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3</w:t>
            </w:r>
          </w:p>
        </w:tc>
        <w:tc>
          <w:tcPr>
            <w:tcW w:w="1080" w:type="dxa"/>
            <w:vAlign w:val="center"/>
          </w:tcPr>
          <w:p w14:paraId="3DA70FC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144.87 </w:t>
            </w:r>
          </w:p>
        </w:tc>
      </w:tr>
      <w:tr w14:paraId="1EC2A7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2622C3DA">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1EC04C4D">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523BF219">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60C397E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氯化物</w:t>
            </w:r>
          </w:p>
        </w:tc>
        <w:tc>
          <w:tcPr>
            <w:tcW w:w="1276" w:type="dxa"/>
            <w:vAlign w:val="center"/>
          </w:tcPr>
          <w:p w14:paraId="4AA7453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78.834</w:t>
            </w:r>
          </w:p>
        </w:tc>
        <w:tc>
          <w:tcPr>
            <w:tcW w:w="1126" w:type="dxa"/>
            <w:vAlign w:val="center"/>
          </w:tcPr>
          <w:p w14:paraId="0E16658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56.31</w:t>
            </w:r>
          </w:p>
        </w:tc>
        <w:tc>
          <w:tcPr>
            <w:tcW w:w="1484" w:type="dxa"/>
            <w:vAlign w:val="center"/>
          </w:tcPr>
          <w:p w14:paraId="0C42E2F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250</w:t>
            </w:r>
          </w:p>
        </w:tc>
        <w:tc>
          <w:tcPr>
            <w:tcW w:w="1080" w:type="dxa"/>
            <w:vAlign w:val="center"/>
          </w:tcPr>
          <w:p w14:paraId="7D0AB4A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0.23 </w:t>
            </w:r>
          </w:p>
        </w:tc>
      </w:tr>
      <w:tr w14:paraId="5E116F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2C98BCB1">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7A8BA0F9">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59AB6605">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1F75A78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硫化物</w:t>
            </w:r>
          </w:p>
        </w:tc>
        <w:tc>
          <w:tcPr>
            <w:tcW w:w="1276" w:type="dxa"/>
            <w:vAlign w:val="center"/>
          </w:tcPr>
          <w:p w14:paraId="7FA7E9F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54.138</w:t>
            </w:r>
          </w:p>
        </w:tc>
        <w:tc>
          <w:tcPr>
            <w:tcW w:w="1126" w:type="dxa"/>
            <w:vAlign w:val="center"/>
          </w:tcPr>
          <w:p w14:paraId="67C763F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38.67</w:t>
            </w:r>
          </w:p>
        </w:tc>
        <w:tc>
          <w:tcPr>
            <w:tcW w:w="1484" w:type="dxa"/>
            <w:vAlign w:val="center"/>
          </w:tcPr>
          <w:p w14:paraId="6754218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0.02</w:t>
            </w:r>
          </w:p>
        </w:tc>
        <w:tc>
          <w:tcPr>
            <w:tcW w:w="1080" w:type="dxa"/>
            <w:vAlign w:val="center"/>
          </w:tcPr>
          <w:p w14:paraId="2197F7F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1933.50 </w:t>
            </w:r>
          </w:p>
        </w:tc>
      </w:tr>
      <w:tr w14:paraId="76BBE0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5DF3B78B">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69D543B5">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35936C64">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73B218E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氨氮</w:t>
            </w:r>
          </w:p>
        </w:tc>
        <w:tc>
          <w:tcPr>
            <w:tcW w:w="1276" w:type="dxa"/>
            <w:vAlign w:val="center"/>
          </w:tcPr>
          <w:p w14:paraId="127281A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363.748</w:t>
            </w:r>
          </w:p>
        </w:tc>
        <w:tc>
          <w:tcPr>
            <w:tcW w:w="1126" w:type="dxa"/>
            <w:vAlign w:val="center"/>
          </w:tcPr>
          <w:p w14:paraId="4DE4C9C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259.82</w:t>
            </w:r>
          </w:p>
        </w:tc>
        <w:tc>
          <w:tcPr>
            <w:tcW w:w="1484" w:type="dxa"/>
            <w:vAlign w:val="center"/>
          </w:tcPr>
          <w:p w14:paraId="5D1E60B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0.5</w:t>
            </w:r>
          </w:p>
        </w:tc>
        <w:tc>
          <w:tcPr>
            <w:tcW w:w="1080" w:type="dxa"/>
            <w:vAlign w:val="center"/>
          </w:tcPr>
          <w:p w14:paraId="7170280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519.64 </w:t>
            </w:r>
          </w:p>
        </w:tc>
      </w:tr>
      <w:tr w14:paraId="3E697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209C4C59">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2729BB17">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06FB2325">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6B80085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HCN</w:t>
            </w:r>
          </w:p>
        </w:tc>
        <w:tc>
          <w:tcPr>
            <w:tcW w:w="1276" w:type="dxa"/>
            <w:vAlign w:val="center"/>
          </w:tcPr>
          <w:p w14:paraId="29CD2A3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7.882</w:t>
            </w:r>
          </w:p>
        </w:tc>
        <w:tc>
          <w:tcPr>
            <w:tcW w:w="1126" w:type="dxa"/>
            <w:vAlign w:val="center"/>
          </w:tcPr>
          <w:p w14:paraId="3ED9E27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5.63</w:t>
            </w:r>
          </w:p>
        </w:tc>
        <w:tc>
          <w:tcPr>
            <w:tcW w:w="1484" w:type="dxa"/>
            <w:vAlign w:val="center"/>
          </w:tcPr>
          <w:p w14:paraId="47D2B31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0.05</w:t>
            </w:r>
          </w:p>
        </w:tc>
        <w:tc>
          <w:tcPr>
            <w:tcW w:w="1080" w:type="dxa"/>
            <w:vAlign w:val="center"/>
          </w:tcPr>
          <w:p w14:paraId="792C955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112.60 </w:t>
            </w:r>
          </w:p>
        </w:tc>
      </w:tr>
      <w:tr w14:paraId="1B5EF5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7028A230">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61E309C4">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5DFA87A2">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6F322D1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TDS</w:t>
            </w:r>
          </w:p>
        </w:tc>
        <w:tc>
          <w:tcPr>
            <w:tcW w:w="1276" w:type="dxa"/>
            <w:vAlign w:val="center"/>
          </w:tcPr>
          <w:p w14:paraId="72F9948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1628.396</w:t>
            </w:r>
          </w:p>
        </w:tc>
        <w:tc>
          <w:tcPr>
            <w:tcW w:w="1126" w:type="dxa"/>
            <w:vAlign w:val="center"/>
          </w:tcPr>
          <w:p w14:paraId="6BC363D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1163.14</w:t>
            </w:r>
          </w:p>
        </w:tc>
        <w:tc>
          <w:tcPr>
            <w:tcW w:w="1484" w:type="dxa"/>
            <w:vAlign w:val="center"/>
          </w:tcPr>
          <w:p w14:paraId="41DA31D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1000</w:t>
            </w:r>
          </w:p>
        </w:tc>
        <w:tc>
          <w:tcPr>
            <w:tcW w:w="1080" w:type="dxa"/>
            <w:vAlign w:val="center"/>
          </w:tcPr>
          <w:p w14:paraId="6AB7770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1.16 </w:t>
            </w:r>
          </w:p>
        </w:tc>
      </w:tr>
      <w:tr w14:paraId="6E231C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Merge w:val="continue"/>
            <w:vAlign w:val="center"/>
          </w:tcPr>
          <w:p w14:paraId="24EBF0EE">
            <w:pPr>
              <w:widowControl w:val="0"/>
              <w:autoSpaceDE w:val="0"/>
              <w:autoSpaceDN w:val="0"/>
              <w:adjustRightInd w:val="0"/>
              <w:jc w:val="center"/>
              <w:rPr>
                <w:rFonts w:ascii="Times New Roman" w:hAnsi="Times New Roman" w:cs="Times New Roman"/>
                <w:bCs/>
                <w:snapToGrid w:val="0"/>
                <w:sz w:val="18"/>
                <w:szCs w:val="18"/>
                <w:u w:color="000000"/>
              </w:rPr>
            </w:pPr>
          </w:p>
        </w:tc>
        <w:tc>
          <w:tcPr>
            <w:tcW w:w="811" w:type="dxa"/>
            <w:vMerge w:val="continue"/>
            <w:vAlign w:val="center"/>
          </w:tcPr>
          <w:p w14:paraId="0A86A1F2">
            <w:pPr>
              <w:widowControl w:val="0"/>
              <w:autoSpaceDE w:val="0"/>
              <w:autoSpaceDN w:val="0"/>
              <w:adjustRightInd w:val="0"/>
              <w:jc w:val="center"/>
              <w:rPr>
                <w:rFonts w:ascii="Times New Roman" w:hAnsi="Times New Roman" w:cs="Times New Roman"/>
                <w:bCs/>
                <w:snapToGrid w:val="0"/>
                <w:sz w:val="18"/>
                <w:szCs w:val="18"/>
                <w:u w:color="000000"/>
              </w:rPr>
            </w:pPr>
          </w:p>
        </w:tc>
        <w:tc>
          <w:tcPr>
            <w:tcW w:w="945" w:type="dxa"/>
            <w:vMerge w:val="continue"/>
            <w:vAlign w:val="center"/>
          </w:tcPr>
          <w:p w14:paraId="69FF7F54">
            <w:pPr>
              <w:widowControl w:val="0"/>
              <w:autoSpaceDE w:val="0"/>
              <w:autoSpaceDN w:val="0"/>
              <w:adjustRightInd w:val="0"/>
              <w:jc w:val="center"/>
              <w:rPr>
                <w:rFonts w:ascii="Times New Roman" w:hAnsi="Times New Roman" w:cs="Times New Roman"/>
                <w:bCs/>
                <w:snapToGrid w:val="0"/>
                <w:sz w:val="18"/>
                <w:szCs w:val="18"/>
                <w:u w:color="000000"/>
              </w:rPr>
            </w:pPr>
          </w:p>
        </w:tc>
        <w:tc>
          <w:tcPr>
            <w:tcW w:w="1377" w:type="dxa"/>
            <w:vAlign w:val="center"/>
          </w:tcPr>
          <w:p w14:paraId="09C49F1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石油类</w:t>
            </w:r>
          </w:p>
        </w:tc>
        <w:tc>
          <w:tcPr>
            <w:tcW w:w="1276" w:type="dxa"/>
            <w:vAlign w:val="center"/>
          </w:tcPr>
          <w:p w14:paraId="5719276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0.924</w:t>
            </w:r>
          </w:p>
        </w:tc>
        <w:tc>
          <w:tcPr>
            <w:tcW w:w="1126" w:type="dxa"/>
            <w:vAlign w:val="center"/>
          </w:tcPr>
          <w:p w14:paraId="7B0A5F2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0.66</w:t>
            </w:r>
          </w:p>
        </w:tc>
        <w:tc>
          <w:tcPr>
            <w:tcW w:w="1484" w:type="dxa"/>
            <w:vAlign w:val="center"/>
          </w:tcPr>
          <w:p w14:paraId="57F1643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0.05</w:t>
            </w:r>
          </w:p>
        </w:tc>
        <w:tc>
          <w:tcPr>
            <w:tcW w:w="1080" w:type="dxa"/>
            <w:vAlign w:val="center"/>
          </w:tcPr>
          <w:p w14:paraId="629E4DF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 xml:space="preserve">13.20 </w:t>
            </w:r>
          </w:p>
        </w:tc>
      </w:tr>
      <w:tr w14:paraId="2BE126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Align w:val="center"/>
          </w:tcPr>
          <w:p w14:paraId="54069E4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w:t>
            </w:r>
          </w:p>
        </w:tc>
        <w:tc>
          <w:tcPr>
            <w:tcW w:w="811" w:type="dxa"/>
            <w:vAlign w:val="center"/>
          </w:tcPr>
          <w:p w14:paraId="1CF2B61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液氨储罐</w:t>
            </w:r>
          </w:p>
        </w:tc>
        <w:tc>
          <w:tcPr>
            <w:tcW w:w="945" w:type="dxa"/>
            <w:vAlign w:val="center"/>
          </w:tcPr>
          <w:p w14:paraId="263FDE2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180.6kg</w:t>
            </w:r>
          </w:p>
        </w:tc>
        <w:tc>
          <w:tcPr>
            <w:tcW w:w="1377" w:type="dxa"/>
            <w:vAlign w:val="center"/>
          </w:tcPr>
          <w:p w14:paraId="7B3A638B">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氨氮</w:t>
            </w:r>
          </w:p>
        </w:tc>
        <w:tc>
          <w:tcPr>
            <w:tcW w:w="1276" w:type="dxa"/>
            <w:vAlign w:val="center"/>
          </w:tcPr>
          <w:p w14:paraId="0A09C27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148.73</w:t>
            </w:r>
          </w:p>
        </w:tc>
        <w:tc>
          <w:tcPr>
            <w:tcW w:w="1126" w:type="dxa"/>
            <w:vAlign w:val="center"/>
          </w:tcPr>
          <w:p w14:paraId="3376D39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164706.5</w:t>
            </w:r>
          </w:p>
        </w:tc>
        <w:tc>
          <w:tcPr>
            <w:tcW w:w="1484" w:type="dxa"/>
            <w:vAlign w:val="center"/>
          </w:tcPr>
          <w:p w14:paraId="70A0C2D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0.5</w:t>
            </w:r>
          </w:p>
        </w:tc>
        <w:tc>
          <w:tcPr>
            <w:tcW w:w="1080" w:type="dxa"/>
            <w:vAlign w:val="center"/>
          </w:tcPr>
          <w:p w14:paraId="6260852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329413.1</w:t>
            </w:r>
          </w:p>
        </w:tc>
      </w:tr>
      <w:tr w14:paraId="696956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06" w:type="dxa"/>
            <w:vAlign w:val="center"/>
          </w:tcPr>
          <w:p w14:paraId="778FB81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w:t>
            </w:r>
          </w:p>
        </w:tc>
        <w:tc>
          <w:tcPr>
            <w:tcW w:w="811" w:type="dxa"/>
            <w:vAlign w:val="center"/>
          </w:tcPr>
          <w:p w14:paraId="5F96739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硫酸储罐</w:t>
            </w:r>
          </w:p>
        </w:tc>
        <w:tc>
          <w:tcPr>
            <w:tcW w:w="945" w:type="dxa"/>
            <w:vAlign w:val="center"/>
          </w:tcPr>
          <w:p w14:paraId="29DE5AD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1422kg</w:t>
            </w:r>
          </w:p>
        </w:tc>
        <w:tc>
          <w:tcPr>
            <w:tcW w:w="1377" w:type="dxa"/>
            <w:vAlign w:val="center"/>
          </w:tcPr>
          <w:p w14:paraId="524F361B">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硫酸盐</w:t>
            </w:r>
          </w:p>
        </w:tc>
        <w:tc>
          <w:tcPr>
            <w:tcW w:w="1276" w:type="dxa"/>
            <w:vAlign w:val="center"/>
          </w:tcPr>
          <w:p w14:paraId="43DB816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1392.98</w:t>
            </w:r>
          </w:p>
        </w:tc>
        <w:tc>
          <w:tcPr>
            <w:tcW w:w="1126" w:type="dxa"/>
            <w:vAlign w:val="center"/>
          </w:tcPr>
          <w:p w14:paraId="57000CD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1802448</w:t>
            </w:r>
          </w:p>
        </w:tc>
        <w:tc>
          <w:tcPr>
            <w:tcW w:w="1484" w:type="dxa"/>
            <w:vAlign w:val="center"/>
          </w:tcPr>
          <w:p w14:paraId="37FA0F7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250</w:t>
            </w:r>
          </w:p>
        </w:tc>
        <w:tc>
          <w:tcPr>
            <w:tcW w:w="1080" w:type="dxa"/>
            <w:vAlign w:val="center"/>
          </w:tcPr>
          <w:p w14:paraId="0F3117C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eastAsia="等线" w:cs="Times New Roman"/>
                <w:color w:val="000000"/>
                <w:sz w:val="18"/>
                <w:szCs w:val="18"/>
              </w:rPr>
              <w:t>7209.8</w:t>
            </w:r>
          </w:p>
        </w:tc>
      </w:tr>
    </w:tbl>
    <w:p w14:paraId="091AE67F">
      <w:pPr>
        <w:overflowPunct w:val="0"/>
        <w:spacing w:line="360" w:lineRule="auto"/>
        <w:ind w:firstLine="480" w:firstLineChars="200"/>
        <w:rPr>
          <w:rFonts w:ascii="Times New Roman" w:hAnsi="Times New Roman"/>
          <w:szCs w:val="21"/>
        </w:rPr>
      </w:pPr>
      <w:r>
        <w:rPr>
          <w:rFonts w:hint="eastAsia" w:ascii="Times New Roman" w:hAnsi="Times New Roman"/>
          <w:szCs w:val="21"/>
        </w:rPr>
        <w:t>为了全面分析非正常工况、风险状况下，泄漏的污染物对地下水的影响，本次评价主要预测因子选取COD、硫化物、氨氮、HCN、石油类、硫酸盐。</w:t>
      </w:r>
      <w:bookmarkEnd w:id="318"/>
      <w:bookmarkEnd w:id="321"/>
    </w:p>
    <w:p w14:paraId="68093ED2">
      <w:pPr>
        <w:keepNext/>
        <w:keepLines/>
        <w:numPr>
          <w:ilvl w:val="3"/>
          <w:numId w:val="1"/>
        </w:numPr>
        <w:spacing w:line="360" w:lineRule="auto"/>
        <w:ind w:left="0"/>
        <w:outlineLvl w:val="3"/>
        <w:rPr>
          <w:rFonts w:hint="eastAsia" w:ascii="黑体" w:hAnsi="黑体" w:eastAsia="黑体"/>
          <w:b/>
          <w:bCs/>
          <w:kern w:val="2"/>
        </w:rPr>
      </w:pPr>
      <w:bookmarkStart w:id="322" w:name="_Hlk165995864"/>
      <w:r>
        <w:rPr>
          <w:rFonts w:hint="eastAsia" w:ascii="黑体" w:hAnsi="黑体" w:eastAsia="黑体"/>
          <w:b/>
          <w:bCs/>
          <w:kern w:val="2"/>
        </w:rPr>
        <w:t>数学模型</w:t>
      </w:r>
      <w:bookmarkEnd w:id="322"/>
    </w:p>
    <w:p w14:paraId="45BBF054">
      <w:pPr>
        <w:overflowPunct w:val="0"/>
        <w:spacing w:line="360" w:lineRule="auto"/>
        <w:ind w:firstLine="480" w:firstLineChars="200"/>
        <w:rPr>
          <w:rFonts w:ascii="Times New Roman" w:hAnsi="Times New Roman"/>
          <w:szCs w:val="21"/>
        </w:rPr>
      </w:pPr>
      <w:bookmarkStart w:id="323" w:name="_Hlk165995877"/>
      <w:r>
        <w:rPr>
          <w:rFonts w:hint="eastAsia" w:ascii="Times New Roman" w:hAnsi="Times New Roman"/>
          <w:szCs w:val="21"/>
        </w:rPr>
        <w:t>考虑到厂区内地下水受到影响的为岩性粉细砂的孔隙潜水，水位埋深不大，当项目运转出现事故时，含有污染物的废水极可能沿着大孔隙以捷径式入渗的方式快速进入含水层从而随地下水流进行迁移，为此本次模拟计算过程忽略污染物在包气带的运移过程（最不利的情况），这样使计算结果更为保守，符合工程设计的思想。</w:t>
      </w:r>
    </w:p>
    <w:p w14:paraId="55FFB1E3">
      <w:pPr>
        <w:overflowPunct w:val="0"/>
        <w:spacing w:line="360" w:lineRule="auto"/>
        <w:ind w:firstLine="480" w:firstLineChars="200"/>
        <w:rPr>
          <w:rFonts w:ascii="Times New Roman" w:hAnsi="Times New Roman"/>
          <w:szCs w:val="21"/>
        </w:rPr>
      </w:pPr>
      <w:r>
        <w:rPr>
          <w:rFonts w:ascii="Times New Roman" w:hAnsi="Times New Roman"/>
          <w:szCs w:val="21"/>
        </w:rPr>
        <w:t>由厂区附近孔隙水等水位线可知，在项目区的地下水主要是从</w:t>
      </w:r>
      <w:r>
        <w:rPr>
          <w:rFonts w:hint="eastAsia" w:ascii="Times New Roman" w:hAnsi="Times New Roman"/>
          <w:szCs w:val="21"/>
        </w:rPr>
        <w:t>东北向西南</w:t>
      </w:r>
      <w:r>
        <w:rPr>
          <w:rFonts w:ascii="Times New Roman" w:hAnsi="Times New Roman"/>
          <w:szCs w:val="21"/>
        </w:rPr>
        <w:t>方向呈一维流动，加之厂区以及附近区域并没有集中型供水水源地，地下水位动态稳定，因此污染物在浅层含水层中的迁移，可概化为瞬时注入示踪剂（平面瞬时点源）的一维稳定流动二维水动力弥散问题，当取平行地下水流动的方向为x轴正方向，垂直地下水流向为y方向时，则求取污染浓度分布模型如下：</w:t>
      </w:r>
    </w:p>
    <w:p w14:paraId="4D583678">
      <w:pPr>
        <w:overflowPunct w:val="0"/>
        <w:spacing w:line="360" w:lineRule="auto"/>
        <w:ind w:firstLine="480" w:firstLineChars="200"/>
        <w:jc w:val="center"/>
        <w:rPr>
          <w:rFonts w:ascii="Times New Roman" w:hAnsi="Times New Roman"/>
          <w:b/>
          <w:bCs/>
          <w:szCs w:val="21"/>
        </w:rPr>
      </w:pPr>
      <w:r>
        <w:rPr>
          <w:rFonts w:ascii="Times New Roman" w:hAnsi="Times New Roman"/>
          <w:szCs w:val="21"/>
        </w:rPr>
        <w:drawing>
          <wp:inline distT="0" distB="0" distL="0" distR="0">
            <wp:extent cx="2560320" cy="609600"/>
            <wp:effectExtent l="0" t="0" r="0" b="0"/>
            <wp:docPr id="247589076" name="图片 2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89076" name="图片 25" descr="未命名"/>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564444" cy="610811"/>
                    </a:xfrm>
                    <a:prstGeom prst="rect">
                      <a:avLst/>
                    </a:prstGeom>
                    <a:noFill/>
                    <a:ln>
                      <a:noFill/>
                    </a:ln>
                  </pic:spPr>
                </pic:pic>
              </a:graphicData>
            </a:graphic>
          </wp:inline>
        </w:drawing>
      </w:r>
    </w:p>
    <w:p w14:paraId="4C2E6DBD">
      <w:pPr>
        <w:overflowPunct w:val="0"/>
        <w:spacing w:line="360" w:lineRule="auto"/>
        <w:ind w:firstLine="480" w:firstLineChars="200"/>
        <w:rPr>
          <w:rFonts w:ascii="Times New Roman" w:hAnsi="Times New Roman"/>
          <w:sz w:val="21"/>
          <w:szCs w:val="21"/>
        </w:rPr>
      </w:pPr>
      <w:r>
        <w:rPr>
          <w:rFonts w:ascii="Times New Roman" w:hAnsi="Times New Roman"/>
          <w:szCs w:val="21"/>
        </w:rPr>
        <w:t>式中：</w:t>
      </w:r>
      <w:r>
        <w:rPr>
          <w:rFonts w:ascii="Times New Roman" w:hAnsi="Times New Roman"/>
          <w:sz w:val="21"/>
          <w:szCs w:val="21"/>
        </w:rPr>
        <w:t>x，y—计算点处的位置坐标；</w:t>
      </w:r>
    </w:p>
    <w:p w14:paraId="2C34C4D4">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t—时间，d；</w:t>
      </w:r>
    </w:p>
    <w:p w14:paraId="7F6FB255">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C(x，y，t)—t时刻点x，y处的示踪剂浓度，g/L；</w:t>
      </w:r>
    </w:p>
    <w:p w14:paraId="7B19655B">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M—含水层的厚度，m；</w:t>
      </w:r>
    </w:p>
    <w:p w14:paraId="18524547">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bscript"/>
        </w:rPr>
        <w:t>M</w:t>
      </w:r>
      <w:r>
        <w:rPr>
          <w:rFonts w:ascii="Times New Roman" w:hAnsi="Times New Roman"/>
          <w:sz w:val="21"/>
          <w:szCs w:val="21"/>
        </w:rPr>
        <w:t>—长度为M的线源瞬时注入的示踪剂质量，kg；</w:t>
      </w:r>
    </w:p>
    <w:p w14:paraId="273879F4">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u—水流速度，m/d；</w:t>
      </w:r>
    </w:p>
    <w:p w14:paraId="3CAB5238">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n—有效孔隙度，无量纲；</w:t>
      </w:r>
    </w:p>
    <w:p w14:paraId="137DFA40">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D</w:t>
      </w:r>
      <w:r>
        <w:rPr>
          <w:rFonts w:ascii="Times New Roman" w:hAnsi="Times New Roman"/>
          <w:sz w:val="21"/>
          <w:szCs w:val="21"/>
          <w:vertAlign w:val="subscript"/>
        </w:rPr>
        <w:t>L</w:t>
      </w:r>
      <w:r>
        <w:rPr>
          <w:rFonts w:ascii="Times New Roman" w:hAnsi="Times New Roman"/>
          <w:sz w:val="21"/>
          <w:szCs w:val="21"/>
        </w:rPr>
        <w:t>—纵向x方向的弥散系数，m</w:t>
      </w:r>
      <w:r>
        <w:rPr>
          <w:rFonts w:ascii="Times New Roman" w:hAnsi="Times New Roman"/>
          <w:sz w:val="21"/>
          <w:szCs w:val="21"/>
          <w:vertAlign w:val="superscript"/>
        </w:rPr>
        <w:t>2</w:t>
      </w:r>
      <w:r>
        <w:rPr>
          <w:rFonts w:ascii="Times New Roman" w:hAnsi="Times New Roman"/>
          <w:sz w:val="21"/>
          <w:szCs w:val="21"/>
        </w:rPr>
        <w:t>/d；</w:t>
      </w:r>
    </w:p>
    <w:p w14:paraId="62F61CCD">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D</w:t>
      </w:r>
      <w:r>
        <w:rPr>
          <w:rFonts w:ascii="Times New Roman" w:hAnsi="Times New Roman"/>
          <w:sz w:val="21"/>
          <w:szCs w:val="21"/>
          <w:vertAlign w:val="subscript"/>
        </w:rPr>
        <w:t>T</w:t>
      </w:r>
      <w:r>
        <w:rPr>
          <w:rFonts w:ascii="Times New Roman" w:hAnsi="Times New Roman"/>
          <w:sz w:val="21"/>
          <w:szCs w:val="21"/>
        </w:rPr>
        <w:t>—横向y方向的弥散系数，m</w:t>
      </w:r>
      <w:r>
        <w:rPr>
          <w:rFonts w:ascii="Times New Roman" w:hAnsi="Times New Roman"/>
          <w:sz w:val="21"/>
          <w:szCs w:val="21"/>
          <w:vertAlign w:val="superscript"/>
        </w:rPr>
        <w:t>2</w:t>
      </w:r>
      <w:r>
        <w:rPr>
          <w:rFonts w:ascii="Times New Roman" w:hAnsi="Times New Roman"/>
          <w:sz w:val="21"/>
          <w:szCs w:val="21"/>
        </w:rPr>
        <w:t>/d；</w:t>
      </w:r>
    </w:p>
    <w:p w14:paraId="16BBBD1E">
      <w:pPr>
        <w:overflowPunct w:val="0"/>
        <w:spacing w:line="360" w:lineRule="auto"/>
        <w:ind w:firstLine="1260" w:firstLineChars="600"/>
        <w:rPr>
          <w:rFonts w:ascii="Times New Roman" w:hAnsi="Times New Roman"/>
          <w:sz w:val="21"/>
          <w:szCs w:val="21"/>
        </w:rPr>
      </w:pPr>
      <w:r>
        <w:rPr>
          <w:rFonts w:ascii="Times New Roman" w:hAnsi="Times New Roman"/>
          <w:sz w:val="21"/>
          <w:szCs w:val="21"/>
        </w:rPr>
        <w:t>π—圆周率。</w:t>
      </w:r>
      <w:bookmarkEnd w:id="323"/>
    </w:p>
    <w:p w14:paraId="3B52D6CE">
      <w:pPr>
        <w:keepNext/>
        <w:keepLines/>
        <w:numPr>
          <w:ilvl w:val="3"/>
          <w:numId w:val="1"/>
        </w:numPr>
        <w:spacing w:line="360" w:lineRule="auto"/>
        <w:ind w:left="0"/>
        <w:outlineLvl w:val="3"/>
        <w:rPr>
          <w:rFonts w:hint="eastAsia" w:ascii="黑体" w:hAnsi="黑体" w:eastAsia="黑体"/>
          <w:b/>
          <w:bCs/>
          <w:kern w:val="2"/>
        </w:rPr>
      </w:pPr>
      <w:bookmarkStart w:id="324" w:name="_Hlk165995900"/>
      <w:r>
        <w:rPr>
          <w:rFonts w:hint="eastAsia" w:ascii="黑体" w:hAnsi="黑体" w:eastAsia="黑体"/>
          <w:b/>
          <w:bCs/>
          <w:kern w:val="2"/>
        </w:rPr>
        <w:t>预测参数选取</w:t>
      </w:r>
    </w:p>
    <w:bookmarkEnd w:id="324"/>
    <w:p w14:paraId="74076B6F">
      <w:pPr>
        <w:overflowPunct w:val="0"/>
        <w:spacing w:line="360" w:lineRule="auto"/>
        <w:ind w:firstLine="480" w:firstLineChars="200"/>
        <w:rPr>
          <w:rFonts w:ascii="Times New Roman" w:hAnsi="Times New Roman"/>
          <w:szCs w:val="21"/>
        </w:rPr>
      </w:pPr>
      <w:bookmarkStart w:id="325" w:name="_Hlk165995914"/>
      <w:bookmarkStart w:id="326" w:name="_Hlk177061749"/>
      <w:r>
        <w:rPr>
          <w:rFonts w:hint="eastAsia" w:ascii="Times New Roman" w:hAnsi="Times New Roman"/>
          <w:szCs w:val="21"/>
        </w:rPr>
        <w:t>模型需要的参数：含水层厚度M、地下水流速u、地下水流向、岩层的有效孔隙度n、渗透系数k、弥散系数、外泄污染物质量。这些参数主要来自园区规划环评。</w:t>
      </w:r>
    </w:p>
    <w:p w14:paraId="5BB16FEB">
      <w:pPr>
        <w:overflowPunct w:val="0"/>
        <w:spacing w:line="360" w:lineRule="auto"/>
        <w:ind w:firstLine="480" w:firstLineChars="200"/>
        <w:rPr>
          <w:rFonts w:ascii="Times New Roman" w:hAnsi="Times New Roman"/>
          <w:szCs w:val="21"/>
        </w:rPr>
      </w:pPr>
      <w:r>
        <w:rPr>
          <w:rFonts w:ascii="Times New Roman" w:hAnsi="Times New Roman"/>
          <w:szCs w:val="21"/>
        </w:rPr>
        <w:t>各参数取值见表</w:t>
      </w:r>
      <w:r>
        <w:rPr>
          <w:rFonts w:hint="eastAsia" w:ascii="Times New Roman" w:hAnsi="Times New Roman"/>
          <w:szCs w:val="21"/>
        </w:rPr>
        <w:t>5.3.5-1。</w:t>
      </w:r>
    </w:p>
    <w:p w14:paraId="411F681B">
      <w:pPr>
        <w:overflowPunct w:val="0"/>
        <w:autoSpaceDE w:val="0"/>
        <w:autoSpaceDN w:val="0"/>
        <w:spacing w:line="360" w:lineRule="auto"/>
        <w:jc w:val="center"/>
        <w:textAlignment w:val="baseline"/>
        <w:rPr>
          <w:rFonts w:hint="eastAsia" w:ascii="黑体" w:hAnsi="黑体" w:eastAsia="黑体"/>
          <w:b/>
          <w:snapToGrid w:val="0"/>
        </w:rPr>
      </w:pPr>
      <w:r>
        <w:rPr>
          <w:rFonts w:ascii="黑体" w:hAnsi="黑体" w:eastAsia="黑体"/>
          <w:b/>
          <w:snapToGrid w:val="0"/>
        </w:rPr>
        <w:t>表</w:t>
      </w:r>
      <w:r>
        <w:rPr>
          <w:rFonts w:hint="eastAsia" w:ascii="黑体" w:hAnsi="黑体" w:eastAsia="黑体"/>
          <w:b/>
          <w:snapToGrid w:val="0"/>
        </w:rPr>
        <w:t>5.3.5-1</w:t>
      </w:r>
      <w:r>
        <w:rPr>
          <w:rFonts w:ascii="黑体" w:hAnsi="黑体" w:eastAsia="黑体"/>
          <w:b/>
          <w:snapToGrid w:val="0"/>
        </w:rPr>
        <w:t xml:space="preserve">    水文地质参数取值一览表</w:t>
      </w:r>
    </w:p>
    <w:tbl>
      <w:tblPr>
        <w:tblStyle w:val="70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633"/>
        <w:gridCol w:w="1269"/>
        <w:gridCol w:w="1235"/>
        <w:gridCol w:w="4808"/>
      </w:tblGrid>
      <w:tr w14:paraId="6842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6CE9B69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序号</w:t>
            </w:r>
          </w:p>
        </w:tc>
        <w:tc>
          <w:tcPr>
            <w:tcW w:w="617" w:type="dxa"/>
            <w:vAlign w:val="center"/>
          </w:tcPr>
          <w:p w14:paraId="5D0D9B9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参数</w:t>
            </w:r>
          </w:p>
          <w:p w14:paraId="6E16AB4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符号</w:t>
            </w:r>
          </w:p>
        </w:tc>
        <w:tc>
          <w:tcPr>
            <w:tcW w:w="1238" w:type="dxa"/>
            <w:vAlign w:val="center"/>
          </w:tcPr>
          <w:p w14:paraId="76B577D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参数名称</w:t>
            </w:r>
          </w:p>
        </w:tc>
        <w:tc>
          <w:tcPr>
            <w:tcW w:w="1205" w:type="dxa"/>
            <w:vAlign w:val="center"/>
          </w:tcPr>
          <w:p w14:paraId="2AC3640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参数数值</w:t>
            </w:r>
          </w:p>
        </w:tc>
        <w:tc>
          <w:tcPr>
            <w:tcW w:w="4690" w:type="dxa"/>
            <w:vAlign w:val="center"/>
          </w:tcPr>
          <w:p w14:paraId="24E109D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数值来源</w:t>
            </w:r>
          </w:p>
        </w:tc>
      </w:tr>
      <w:tr w14:paraId="441A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69A7B4A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w:t>
            </w:r>
          </w:p>
        </w:tc>
        <w:tc>
          <w:tcPr>
            <w:tcW w:w="617" w:type="dxa"/>
            <w:vAlign w:val="center"/>
          </w:tcPr>
          <w:p w14:paraId="61CAEC1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u</w:t>
            </w:r>
          </w:p>
        </w:tc>
        <w:tc>
          <w:tcPr>
            <w:tcW w:w="1238" w:type="dxa"/>
            <w:vAlign w:val="center"/>
          </w:tcPr>
          <w:p w14:paraId="40D13F9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水流速度</w:t>
            </w:r>
          </w:p>
        </w:tc>
        <w:tc>
          <w:tcPr>
            <w:tcW w:w="1205" w:type="dxa"/>
            <w:vAlign w:val="center"/>
          </w:tcPr>
          <w:p w14:paraId="36819E5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0.08</w:t>
            </w:r>
            <w:r>
              <w:rPr>
                <w:rFonts w:ascii="Times New Roman" w:hAnsi="Times New Roman" w:cs="Times New Roman"/>
                <w:bCs/>
                <w:snapToGrid w:val="0"/>
                <w:sz w:val="18"/>
                <w:szCs w:val="18"/>
                <w:u w:color="000000"/>
              </w:rPr>
              <w:t>m</w:t>
            </w:r>
            <w:r>
              <w:rPr>
                <w:rFonts w:ascii="Times New Roman" w:hAnsi="Times New Roman" w:cs="Times New Roman"/>
                <w:bCs/>
                <w:snapToGrid w:val="0"/>
                <w:spacing w:val="3"/>
                <w:sz w:val="18"/>
                <w:szCs w:val="18"/>
                <w:u w:color="000000"/>
              </w:rPr>
              <w:t>/</w:t>
            </w:r>
            <w:r>
              <w:rPr>
                <w:rFonts w:ascii="Times New Roman" w:hAnsi="Times New Roman" w:cs="Times New Roman"/>
                <w:bCs/>
                <w:snapToGrid w:val="0"/>
                <w:sz w:val="18"/>
                <w:szCs w:val="18"/>
                <w:u w:color="000000"/>
              </w:rPr>
              <w:t>d</w:t>
            </w:r>
          </w:p>
        </w:tc>
        <w:tc>
          <w:tcPr>
            <w:tcW w:w="4690" w:type="dxa"/>
            <w:vAlign w:val="center"/>
          </w:tcPr>
          <w:p w14:paraId="25A4F7BB">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根据《新疆中和合众新材料有限公司年产100万吨羧酸及其下游产品一体化项目水文地质勘察报告》（2020年12月），通过抽水试验确定本场区含水层的渗透系数约为5m/d。通过地形资料以及现场水位实测数据，本场区附近水力坡度约为4/1000，因此： </w:t>
            </w:r>
          </w:p>
          <w:p w14:paraId="44C07F46">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地下水的渗透流速：V=KI=5m/d×0.004=0.02m/d， </w:t>
            </w:r>
          </w:p>
          <w:p w14:paraId="27DF7F11">
            <w:pPr>
              <w:widowControl w:val="0"/>
              <w:autoSpaceDE w:val="0"/>
              <w:autoSpaceDN w:val="0"/>
              <w:adjustRightInd w:val="0"/>
              <w:rPr>
                <w:rFonts w:hint="eastAsia"/>
              </w:rPr>
            </w:pPr>
            <w:r>
              <w:rPr>
                <w:rFonts w:ascii="Times New Roman" w:hAnsi="Times New Roman" w:cs="Times New Roman"/>
                <w:sz w:val="18"/>
                <w:szCs w:val="18"/>
              </w:rPr>
              <w:t>平均实际流速：u=V/n=0.08m/d。</w:t>
            </w:r>
          </w:p>
        </w:tc>
      </w:tr>
      <w:tr w14:paraId="04F7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45A5F70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2</w:t>
            </w:r>
          </w:p>
        </w:tc>
        <w:tc>
          <w:tcPr>
            <w:tcW w:w="617" w:type="dxa"/>
            <w:vAlign w:val="center"/>
          </w:tcPr>
          <w:p w14:paraId="0B0393E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D</w:t>
            </w:r>
            <w:r>
              <w:rPr>
                <w:rFonts w:ascii="Times New Roman" w:hAnsi="Times New Roman" w:cs="Times New Roman"/>
                <w:bCs/>
                <w:snapToGrid w:val="0"/>
                <w:sz w:val="18"/>
                <w:szCs w:val="18"/>
                <w:u w:color="000000"/>
                <w:vertAlign w:val="subscript"/>
              </w:rPr>
              <w:t>L</w:t>
            </w:r>
          </w:p>
        </w:tc>
        <w:tc>
          <w:tcPr>
            <w:tcW w:w="1238" w:type="dxa"/>
            <w:vAlign w:val="center"/>
          </w:tcPr>
          <w:p w14:paraId="234EBBA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纵向弥散系数</w:t>
            </w:r>
          </w:p>
        </w:tc>
        <w:tc>
          <w:tcPr>
            <w:tcW w:w="1205" w:type="dxa"/>
            <w:vAlign w:val="center"/>
          </w:tcPr>
          <w:p w14:paraId="1E818CE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pacing w:val="7"/>
                <w:sz w:val="18"/>
                <w:szCs w:val="18"/>
                <w:u w:color="000000"/>
              </w:rPr>
              <w:t>0.4</w:t>
            </w:r>
            <w:r>
              <w:rPr>
                <w:rFonts w:ascii="Times New Roman" w:hAnsi="Times New Roman" w:cs="Times New Roman"/>
                <w:bCs/>
                <w:snapToGrid w:val="0"/>
                <w:sz w:val="18"/>
                <w:szCs w:val="18"/>
                <w:u w:color="000000"/>
              </w:rPr>
              <w:t>m</w:t>
            </w:r>
            <w:r>
              <w:rPr>
                <w:rFonts w:hint="eastAsia" w:ascii="Times New Roman" w:hAnsi="Times New Roman" w:cs="Times New Roman"/>
                <w:bCs/>
                <w:snapToGrid w:val="0"/>
                <w:position w:val="7"/>
                <w:sz w:val="18"/>
                <w:szCs w:val="18"/>
                <w:u w:color="000000"/>
                <w:vertAlign w:val="subscript"/>
              </w:rPr>
              <w:t>2</w:t>
            </w:r>
            <w:r>
              <w:rPr>
                <w:rFonts w:ascii="Times New Roman" w:hAnsi="Times New Roman" w:cs="Times New Roman"/>
                <w:bCs/>
                <w:snapToGrid w:val="0"/>
                <w:sz w:val="18"/>
                <w:szCs w:val="18"/>
                <w:u w:color="000000"/>
              </w:rPr>
              <w:t>/d</w:t>
            </w:r>
          </w:p>
        </w:tc>
        <w:tc>
          <w:tcPr>
            <w:tcW w:w="4690" w:type="dxa"/>
            <w:vAlign w:val="center"/>
          </w:tcPr>
          <w:p w14:paraId="6B0712DE">
            <w:pPr>
              <w:widowControl w:val="0"/>
              <w:autoSpaceDE w:val="0"/>
              <w:autoSpaceDN w:val="0"/>
              <w:adjustRightInd w:val="0"/>
              <w:jc w:val="center"/>
              <w:rPr>
                <w:rFonts w:ascii="Times New Roman" w:hAnsi="Times New Roman" w:cs="Times New Roman"/>
                <w:bCs/>
                <w:snapToGrid w:val="0"/>
                <w:sz w:val="18"/>
                <w:u w:color="000000"/>
              </w:rPr>
            </w:pPr>
            <w:r>
              <w:rPr>
                <w:rFonts w:ascii="Times New Roman" w:hAnsi="Times New Roman" w:cs="Times New Roman"/>
                <w:bCs/>
                <w:snapToGrid w:val="0"/>
                <w:sz w:val="18"/>
                <w:szCs w:val="18"/>
                <w:u w:color="000000"/>
              </w:rPr>
              <w:t>D</w:t>
            </w:r>
            <w:r>
              <w:rPr>
                <w:rFonts w:ascii="Times New Roman" w:hAnsi="Times New Roman" w:cs="Times New Roman"/>
                <w:bCs/>
                <w:snapToGrid w:val="0"/>
                <w:sz w:val="18"/>
                <w:szCs w:val="18"/>
                <w:u w:color="000000"/>
                <w:vertAlign w:val="subscript"/>
              </w:rPr>
              <w:t>L</w:t>
            </w:r>
            <w:r>
              <w:rPr>
                <w:rFonts w:ascii="Times New Roman" w:hAnsi="Times New Roman" w:cs="Times New Roman"/>
                <w:bCs/>
                <w:snapToGrid w:val="0"/>
                <w:sz w:val="18"/>
                <w:szCs w:val="18"/>
                <w:u w:color="000000"/>
              </w:rPr>
              <w:t>=a</w:t>
            </w:r>
            <w:r>
              <w:rPr>
                <w:rFonts w:ascii="Times New Roman" w:hAnsi="Times New Roman" w:cs="Times New Roman"/>
                <w:bCs/>
                <w:snapToGrid w:val="0"/>
                <w:sz w:val="18"/>
                <w:szCs w:val="18"/>
                <w:u w:color="000000"/>
                <w:vertAlign w:val="subscript"/>
              </w:rPr>
              <w:t>L</w:t>
            </w:r>
            <w:r>
              <w:rPr>
                <w:rFonts w:ascii="Times New Roman" w:hAnsi="Times New Roman" w:cs="Times New Roman"/>
                <w:bCs/>
                <w:snapToGrid w:val="0"/>
                <w:sz w:val="18"/>
                <w:szCs w:val="18"/>
                <w:u w:color="000000"/>
              </w:rPr>
              <w:t>u，a</w:t>
            </w:r>
            <w:r>
              <w:rPr>
                <w:rFonts w:ascii="Times New Roman" w:hAnsi="Times New Roman" w:cs="Times New Roman"/>
                <w:bCs/>
                <w:snapToGrid w:val="0"/>
                <w:sz w:val="18"/>
                <w:szCs w:val="18"/>
                <w:u w:color="000000"/>
                <w:vertAlign w:val="subscript"/>
              </w:rPr>
              <w:t>L</w:t>
            </w:r>
            <w:r>
              <w:rPr>
                <w:rFonts w:ascii="Times New Roman" w:hAnsi="Times New Roman" w:cs="Times New Roman"/>
                <w:bCs/>
                <w:snapToGrid w:val="0"/>
                <w:sz w:val="18"/>
                <w:szCs w:val="18"/>
                <w:u w:color="000000"/>
              </w:rPr>
              <w:t>为纵向弥散度。</w:t>
            </w:r>
            <w:r>
              <w:rPr>
                <w:rFonts w:ascii="Times New Roman" w:hAnsi="Times New Roman" w:cs="Times New Roman"/>
                <w:bCs/>
                <w:snapToGrid w:val="0"/>
                <w:spacing w:val="14"/>
                <w:sz w:val="18"/>
                <w:szCs w:val="18"/>
                <w:u w:color="000000"/>
              </w:rPr>
              <w:t>参</w:t>
            </w:r>
            <w:r>
              <w:rPr>
                <w:rFonts w:ascii="Times New Roman" w:hAnsi="Times New Roman" w:cs="Times New Roman"/>
                <w:bCs/>
                <w:snapToGrid w:val="0"/>
                <w:sz w:val="18"/>
                <w:szCs w:val="18"/>
                <w:u w:color="000000"/>
              </w:rPr>
              <w:t>考前人的研究成果，弥散度应介于</w:t>
            </w:r>
            <w:r>
              <w:rPr>
                <w:rFonts w:ascii="Times New Roman" w:hAnsi="Times New Roman" w:eastAsia="Times New Roman" w:cs="Times New Roman"/>
                <w:bCs/>
                <w:snapToGrid w:val="0"/>
                <w:sz w:val="18"/>
                <w:szCs w:val="18"/>
                <w:u w:color="000000"/>
              </w:rPr>
              <w:t>1</w:t>
            </w:r>
            <w:r>
              <w:rPr>
                <w:rFonts w:ascii="Times New Roman" w:hAnsi="Times New Roman" w:cs="Times New Roman"/>
                <w:bCs/>
                <w:snapToGrid w:val="0"/>
                <w:sz w:val="18"/>
                <w:szCs w:val="18"/>
                <w:u w:color="000000"/>
              </w:rPr>
              <w:t>-</w:t>
            </w:r>
            <w:r>
              <w:rPr>
                <w:rFonts w:ascii="Times New Roman" w:hAnsi="Times New Roman" w:eastAsia="Times New Roman" w:cs="Times New Roman"/>
                <w:bCs/>
                <w:snapToGrid w:val="0"/>
                <w:sz w:val="18"/>
                <w:szCs w:val="18"/>
                <w:u w:color="000000"/>
              </w:rPr>
              <w:t>10</w:t>
            </w:r>
            <w:r>
              <w:rPr>
                <w:rFonts w:ascii="Times New Roman" w:hAnsi="Times New Roman" w:cs="Times New Roman"/>
                <w:bCs/>
                <w:snapToGrid w:val="0"/>
                <w:sz w:val="18"/>
                <w:szCs w:val="18"/>
                <w:u w:color="000000"/>
              </w:rPr>
              <w:t>之间，</w:t>
            </w:r>
            <w:r>
              <w:rPr>
                <w:rFonts w:ascii="Times New Roman" w:hAnsi="Times New Roman" w:cs="Times New Roman"/>
                <w:bCs/>
                <w:snapToGrid w:val="0"/>
                <w:spacing w:val="16"/>
                <w:sz w:val="18"/>
                <w:szCs w:val="18"/>
                <w:u w:color="000000"/>
              </w:rPr>
              <w:t>按</w:t>
            </w:r>
            <w:r>
              <w:rPr>
                <w:rFonts w:ascii="Times New Roman" w:hAnsi="Times New Roman" w:cs="Times New Roman"/>
                <w:bCs/>
                <w:snapToGrid w:val="0"/>
                <w:spacing w:val="13"/>
                <w:sz w:val="18"/>
                <w:szCs w:val="18"/>
                <w:u w:color="000000"/>
              </w:rPr>
              <w:t>照最不利的评价原则，本次模拟取弥散度参数值</w:t>
            </w:r>
            <w:r>
              <w:rPr>
                <w:rFonts w:ascii="Times New Roman" w:hAnsi="Times New Roman" w:cs="Times New Roman"/>
                <w:bCs/>
                <w:snapToGrid w:val="0"/>
                <w:spacing w:val="2"/>
                <w:sz w:val="18"/>
                <w:szCs w:val="18"/>
                <w:u w:color="000000"/>
              </w:rPr>
              <w:t>取</w:t>
            </w:r>
            <w:r>
              <w:rPr>
                <w:rFonts w:ascii="Times New Roman" w:hAnsi="Times New Roman" w:cs="Times New Roman" w:eastAsiaTheme="minorEastAsia"/>
                <w:bCs/>
                <w:snapToGrid w:val="0"/>
                <w:spacing w:val="2"/>
                <w:sz w:val="18"/>
                <w:szCs w:val="18"/>
                <w:u w:color="000000"/>
              </w:rPr>
              <w:t>5；</w:t>
            </w:r>
            <w:r>
              <w:rPr>
                <w:rFonts w:ascii="Times New Roman" w:hAnsi="Times New Roman" w:cs="Times New Roman"/>
                <w:bCs/>
                <w:snapToGrid w:val="0"/>
                <w:sz w:val="18"/>
                <w:u w:color="000000"/>
              </w:rPr>
              <w:t>由此计算项目区含水层中的纵向弥散系数</w:t>
            </w:r>
          </w:p>
          <w:p w14:paraId="096BBB2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D</w:t>
            </w:r>
            <w:r>
              <w:rPr>
                <w:rFonts w:ascii="Times New Roman" w:hAnsi="Times New Roman" w:cs="Times New Roman"/>
                <w:bCs/>
                <w:snapToGrid w:val="0"/>
                <w:sz w:val="18"/>
                <w:szCs w:val="18"/>
                <w:u w:color="000000"/>
                <w:vertAlign w:val="subscript"/>
              </w:rPr>
              <w:t>L</w:t>
            </w:r>
            <w:r>
              <w:rPr>
                <w:rFonts w:ascii="Times New Roman" w:hAnsi="Times New Roman" w:cs="Times New Roman"/>
                <w:bCs/>
                <w:snapToGrid w:val="0"/>
                <w:sz w:val="18"/>
                <w:szCs w:val="18"/>
                <w:u w:color="000000"/>
              </w:rPr>
              <w:t>=5×0.08m/d =0.4(m</w:t>
            </w:r>
            <w:r>
              <w:rPr>
                <w:rFonts w:ascii="Times New Roman" w:hAnsi="Times New Roman" w:cs="Times New Roman"/>
                <w:bCs/>
                <w:snapToGrid w:val="0"/>
                <w:sz w:val="18"/>
                <w:szCs w:val="18"/>
                <w:u w:color="000000"/>
                <w:vertAlign w:val="superscript"/>
              </w:rPr>
              <w:t>2</w:t>
            </w:r>
            <w:r>
              <w:rPr>
                <w:rFonts w:ascii="Times New Roman" w:hAnsi="Times New Roman" w:cs="Times New Roman"/>
                <w:bCs/>
                <w:snapToGrid w:val="0"/>
                <w:sz w:val="18"/>
                <w:szCs w:val="18"/>
                <w:u w:color="000000"/>
              </w:rPr>
              <w:t>/d)；</w:t>
            </w:r>
          </w:p>
        </w:tc>
      </w:tr>
      <w:tr w14:paraId="19B9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1F801EC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3</w:t>
            </w:r>
          </w:p>
        </w:tc>
        <w:tc>
          <w:tcPr>
            <w:tcW w:w="617" w:type="dxa"/>
            <w:vAlign w:val="center"/>
          </w:tcPr>
          <w:p w14:paraId="112A308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M</w:t>
            </w:r>
          </w:p>
        </w:tc>
        <w:tc>
          <w:tcPr>
            <w:tcW w:w="1238" w:type="dxa"/>
            <w:vAlign w:val="center"/>
          </w:tcPr>
          <w:p w14:paraId="1A94A2A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含水层</w:t>
            </w:r>
          </w:p>
          <w:p w14:paraId="532FD06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厚度</w:t>
            </w:r>
          </w:p>
        </w:tc>
        <w:tc>
          <w:tcPr>
            <w:tcW w:w="1205" w:type="dxa"/>
            <w:vAlign w:val="center"/>
          </w:tcPr>
          <w:p w14:paraId="6C5BF2E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30m</w:t>
            </w:r>
          </w:p>
        </w:tc>
        <w:tc>
          <w:tcPr>
            <w:tcW w:w="4690" w:type="dxa"/>
            <w:vAlign w:val="center"/>
          </w:tcPr>
          <w:p w14:paraId="1E82C48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根据《</w:t>
            </w:r>
            <w:r>
              <w:rPr>
                <w:rFonts w:hint="eastAsia" w:ascii="Times New Roman" w:hAnsi="Times New Roman" w:cs="Times New Roman"/>
                <w:bCs/>
                <w:snapToGrid w:val="0"/>
                <w:sz w:val="18"/>
                <w:szCs w:val="18"/>
                <w:u w:color="000000"/>
              </w:rPr>
              <w:t>哈密高新区化工产业集中区总体规划（2023-2035年）环境影响报告书</w:t>
            </w:r>
            <w:r>
              <w:rPr>
                <w:rFonts w:ascii="Times New Roman" w:hAnsi="Times New Roman" w:cs="Times New Roman"/>
                <w:bCs/>
                <w:snapToGrid w:val="0"/>
                <w:sz w:val="18"/>
                <w:szCs w:val="18"/>
                <w:u w:color="000000"/>
              </w:rPr>
              <w:t>》，项目所处区域地下含水层厚度约为</w:t>
            </w:r>
            <w:r>
              <w:rPr>
                <w:rFonts w:ascii="Times New Roman" w:hAnsi="Times New Roman" w:eastAsia="Times New Roman" w:cs="Times New Roman"/>
                <w:bCs/>
                <w:snapToGrid w:val="0"/>
                <w:sz w:val="18"/>
                <w:szCs w:val="18"/>
                <w:u w:color="000000"/>
              </w:rPr>
              <w:t>30m</w:t>
            </w:r>
            <w:r>
              <w:rPr>
                <w:rFonts w:ascii="Times New Roman" w:hAnsi="Times New Roman" w:cs="Times New Roman"/>
                <w:bCs/>
                <w:snapToGrid w:val="0"/>
                <w:sz w:val="18"/>
                <w:szCs w:val="18"/>
                <w:u w:color="000000"/>
              </w:rPr>
              <w:t>。</w:t>
            </w:r>
          </w:p>
        </w:tc>
      </w:tr>
      <w:tr w14:paraId="7796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04A593F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4</w:t>
            </w:r>
          </w:p>
        </w:tc>
        <w:tc>
          <w:tcPr>
            <w:tcW w:w="617" w:type="dxa"/>
            <w:vAlign w:val="center"/>
          </w:tcPr>
          <w:p w14:paraId="5F2A098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n</w:t>
            </w:r>
          </w:p>
        </w:tc>
        <w:tc>
          <w:tcPr>
            <w:tcW w:w="1238" w:type="dxa"/>
            <w:vAlign w:val="center"/>
          </w:tcPr>
          <w:p w14:paraId="6ABC4C9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有效孔隙度</w:t>
            </w:r>
          </w:p>
        </w:tc>
        <w:tc>
          <w:tcPr>
            <w:tcW w:w="1205" w:type="dxa"/>
            <w:vAlign w:val="center"/>
          </w:tcPr>
          <w:p w14:paraId="54D43BA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0.25</w:t>
            </w:r>
          </w:p>
        </w:tc>
        <w:tc>
          <w:tcPr>
            <w:tcW w:w="4690" w:type="dxa"/>
            <w:vAlign w:val="center"/>
          </w:tcPr>
          <w:p w14:paraId="6D01C2A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n=Vn/V，n为岩石的孔隙度，查《水文地质手册》为0.25</w:t>
            </w:r>
          </w:p>
        </w:tc>
      </w:tr>
      <w:tr w14:paraId="3DB9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6" w:type="dxa"/>
            <w:vAlign w:val="center"/>
          </w:tcPr>
          <w:p w14:paraId="544EB5F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w:t>
            </w:r>
          </w:p>
        </w:tc>
        <w:tc>
          <w:tcPr>
            <w:tcW w:w="617" w:type="dxa"/>
            <w:vAlign w:val="center"/>
          </w:tcPr>
          <w:p w14:paraId="6AA7C0B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k</w:t>
            </w:r>
          </w:p>
        </w:tc>
        <w:tc>
          <w:tcPr>
            <w:tcW w:w="1238" w:type="dxa"/>
            <w:vAlign w:val="center"/>
          </w:tcPr>
          <w:p w14:paraId="4099DDB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渗透系数</w:t>
            </w:r>
          </w:p>
        </w:tc>
        <w:tc>
          <w:tcPr>
            <w:tcW w:w="1205" w:type="dxa"/>
            <w:vAlign w:val="center"/>
          </w:tcPr>
          <w:p w14:paraId="69DC75A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5m/d</w:t>
            </w:r>
          </w:p>
        </w:tc>
        <w:tc>
          <w:tcPr>
            <w:tcW w:w="4690" w:type="dxa"/>
            <w:vAlign w:val="center"/>
          </w:tcPr>
          <w:p w14:paraId="499A40E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依据</w:t>
            </w:r>
            <w:r>
              <w:rPr>
                <w:rFonts w:ascii="Times New Roman" w:hAnsi="Times New Roman" w:cs="Times New Roman"/>
                <w:bCs/>
                <w:snapToGrid w:val="0"/>
                <w:sz w:val="18"/>
                <w:szCs w:val="18"/>
                <w:u w:color="000000"/>
              </w:rPr>
              <w:t>《新疆中和合众新材料有限公司年产100万吨羧酸及其下游产品一体化项目水文地质勘察报告》</w:t>
            </w:r>
          </w:p>
        </w:tc>
      </w:tr>
      <w:bookmarkEnd w:id="325"/>
    </w:tbl>
    <w:p w14:paraId="02602782">
      <w:pPr>
        <w:keepNext/>
        <w:keepLines/>
        <w:numPr>
          <w:ilvl w:val="3"/>
          <w:numId w:val="1"/>
        </w:numPr>
        <w:spacing w:line="360" w:lineRule="auto"/>
        <w:ind w:left="0"/>
        <w:outlineLvl w:val="3"/>
        <w:rPr>
          <w:rFonts w:hint="eastAsia" w:ascii="黑体" w:hAnsi="黑体" w:eastAsia="黑体"/>
          <w:b/>
          <w:bCs/>
          <w:kern w:val="2"/>
        </w:rPr>
      </w:pPr>
      <w:bookmarkStart w:id="327" w:name="_Hlk165996586"/>
      <w:r>
        <w:rPr>
          <w:rFonts w:hint="eastAsia" w:ascii="黑体" w:hAnsi="黑体" w:eastAsia="黑体"/>
          <w:b/>
          <w:bCs/>
          <w:kern w:val="2"/>
        </w:rPr>
        <w:t>预测结果</w:t>
      </w:r>
      <w:bookmarkEnd w:id="327"/>
    </w:p>
    <w:p w14:paraId="3DD86AF0">
      <w:pPr>
        <w:overflowPunct w:val="0"/>
        <w:spacing w:line="360" w:lineRule="auto"/>
        <w:ind w:firstLine="480" w:firstLineChars="200"/>
        <w:rPr>
          <w:rFonts w:ascii="Times New Roman" w:hAnsi="Times New Roman"/>
          <w:szCs w:val="21"/>
        </w:rPr>
      </w:pPr>
      <w:bookmarkStart w:id="328" w:name="_Hlk165996945"/>
      <w:r>
        <w:rPr>
          <w:rFonts w:ascii="Times New Roman" w:hAnsi="Times New Roman"/>
          <w:szCs w:val="21"/>
        </w:rPr>
        <w:t>水污染物</w:t>
      </w:r>
      <w:r>
        <w:rPr>
          <w:rFonts w:hint="eastAsia" w:ascii="Times New Roman" w:hAnsi="Times New Roman"/>
          <w:szCs w:val="21"/>
        </w:rPr>
        <w:t>COD、硫化物、氨氮、HCN、石油类、硫酸盐等污染物</w:t>
      </w:r>
      <w:r>
        <w:rPr>
          <w:rFonts w:ascii="Times New Roman" w:hAnsi="Times New Roman"/>
          <w:szCs w:val="21"/>
        </w:rPr>
        <w:t>在进入含水层100d、3</w:t>
      </w:r>
      <w:r>
        <w:rPr>
          <w:rFonts w:hint="eastAsia" w:ascii="Times New Roman" w:hAnsi="Times New Roman"/>
          <w:szCs w:val="21"/>
        </w:rPr>
        <w:t>65</w:t>
      </w:r>
      <w:r>
        <w:rPr>
          <w:rFonts w:ascii="Times New Roman" w:hAnsi="Times New Roman"/>
          <w:szCs w:val="21"/>
        </w:rPr>
        <w:t>d</w:t>
      </w:r>
      <w:r>
        <w:rPr>
          <w:rFonts w:hint="eastAsia" w:ascii="Times New Roman" w:hAnsi="Times New Roman"/>
          <w:szCs w:val="21"/>
        </w:rPr>
        <w:t>、1000d、3</w:t>
      </w:r>
      <w:r>
        <w:rPr>
          <w:rFonts w:ascii="Times New Roman" w:hAnsi="Times New Roman"/>
          <w:szCs w:val="21"/>
        </w:rPr>
        <w:t>650</w:t>
      </w:r>
      <w:r>
        <w:rPr>
          <w:rFonts w:hint="eastAsia" w:ascii="Times New Roman" w:hAnsi="Times New Roman"/>
          <w:szCs w:val="21"/>
        </w:rPr>
        <w:t>d</w:t>
      </w:r>
      <w:r>
        <w:rPr>
          <w:rFonts w:ascii="Times New Roman" w:hAnsi="Times New Roman"/>
          <w:szCs w:val="21"/>
        </w:rPr>
        <w:t>的迁移预测结果见</w:t>
      </w:r>
      <w:r>
        <w:rPr>
          <w:rFonts w:hint="eastAsia" w:ascii="Times New Roman" w:hAnsi="Times New Roman"/>
          <w:szCs w:val="21"/>
        </w:rPr>
        <w:t>下图</w:t>
      </w:r>
      <w:r>
        <w:rPr>
          <w:rFonts w:ascii="Times New Roman" w:hAnsi="Times New Roman"/>
          <w:szCs w:val="21"/>
        </w:rPr>
        <w:t>。</w:t>
      </w:r>
    </w:p>
    <w:p w14:paraId="328B4252">
      <w:pPr>
        <w:overflowPunct w:val="0"/>
        <w:spacing w:line="360" w:lineRule="auto"/>
        <w:ind w:firstLine="480" w:firstLineChars="200"/>
        <w:rPr>
          <w:rFonts w:ascii="Times New Roman" w:hAnsi="Times New Roman"/>
          <w:szCs w:val="21"/>
        </w:rPr>
      </w:pPr>
    </w:p>
    <w:bookmarkEnd w:id="328"/>
    <w:p w14:paraId="237C190F">
      <w:pPr>
        <w:overflowPunct w:val="0"/>
        <w:spacing w:line="360" w:lineRule="auto"/>
        <w:ind w:firstLine="480" w:firstLineChars="200"/>
        <w:rPr>
          <w:rFonts w:ascii="Times New Roman" w:hAnsi="Times New Roman"/>
          <w:szCs w:val="21"/>
        </w:rPr>
      </w:pPr>
      <w:bookmarkStart w:id="329" w:name="_Hlk166000940"/>
      <w:bookmarkStart w:id="330" w:name="_Hlk177925281"/>
      <w:bookmarkStart w:id="331" w:name="_Hlk193110100"/>
      <w:bookmarkStart w:id="332" w:name="_Hlk177835851"/>
      <w:r>
        <w:rPr>
          <w:rFonts w:hint="eastAsia" w:ascii="Times New Roman" w:hAnsi="Times New Roman"/>
          <w:szCs w:val="21"/>
        </w:rPr>
        <w:t>非正常工况下，</w:t>
      </w:r>
      <w:r>
        <w:rPr>
          <w:rFonts w:ascii="Times New Roman" w:hAnsi="Times New Roman"/>
          <w:szCs w:val="21"/>
        </w:rPr>
        <w:t>水污染物COD进入含水层100d迁移</w:t>
      </w:r>
      <w:r>
        <w:rPr>
          <w:rFonts w:hint="eastAsia" w:ascii="Times New Roman" w:hAnsi="Times New Roman"/>
          <w:szCs w:val="21"/>
        </w:rPr>
        <w:t>：下游最大浓度为：</w:t>
      </w:r>
      <w:r>
        <w:rPr>
          <w:rFonts w:ascii="Times New Roman" w:hAnsi="Times New Roman"/>
          <w:szCs w:val="21"/>
        </w:rPr>
        <w:t>460.39mg/</w:t>
      </w:r>
      <w:r>
        <w:rPr>
          <w:rFonts w:hint="eastAsia" w:ascii="Times New Roman" w:hAnsi="Times New Roman"/>
          <w:szCs w:val="21"/>
        </w:rPr>
        <w:t>L，超标距离最远为</w:t>
      </w:r>
      <w:r>
        <w:rPr>
          <w:rFonts w:ascii="Times New Roman" w:hAnsi="Times New Roman"/>
          <w:szCs w:val="21"/>
        </w:rPr>
        <w:t>37m</w:t>
      </w:r>
      <w:r>
        <w:rPr>
          <w:rFonts w:hint="eastAsia" w:ascii="Times New Roman" w:hAnsi="Times New Roman"/>
          <w:szCs w:val="21"/>
        </w:rPr>
        <w:t>，超标面积为</w:t>
      </w:r>
      <w:r>
        <w:rPr>
          <w:rFonts w:ascii="Times New Roman" w:hAnsi="Times New Roman"/>
          <w:szCs w:val="21"/>
        </w:rPr>
        <w:t>803m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水污染物COD进入含水层</w:t>
      </w:r>
      <w:r>
        <w:rPr>
          <w:rFonts w:hint="eastAsia" w:ascii="Times New Roman" w:hAnsi="Times New Roman"/>
          <w:szCs w:val="21"/>
        </w:rPr>
        <w:t>365</w:t>
      </w:r>
      <w:r>
        <w:rPr>
          <w:rFonts w:ascii="Times New Roman" w:hAnsi="Times New Roman"/>
          <w:szCs w:val="21"/>
        </w:rPr>
        <w:t>d迁移</w:t>
      </w:r>
      <w:r>
        <w:rPr>
          <w:rFonts w:hint="eastAsia" w:ascii="Times New Roman" w:hAnsi="Times New Roman"/>
          <w:szCs w:val="21"/>
        </w:rPr>
        <w:t>：</w:t>
      </w:r>
      <w:r>
        <w:rPr>
          <w:rFonts w:hint="eastAsia" w:ascii="Times New Roman" w:hAnsi="Times New Roman"/>
          <w:szCs w:val="21"/>
          <w:lang w:val="zh-CN"/>
        </w:rPr>
        <w:t>下游最大浓度为：</w:t>
      </w:r>
      <w:r>
        <w:rPr>
          <w:rFonts w:ascii="Times New Roman" w:hAnsi="Times New Roman"/>
          <w:szCs w:val="21"/>
          <w:lang w:val="zh-CN"/>
        </w:rPr>
        <w:t>126.1</w:t>
      </w:r>
      <w:r>
        <w:rPr>
          <w:rFonts w:hint="eastAsia" w:ascii="Times New Roman" w:hAnsi="Times New Roman"/>
          <w:szCs w:val="21"/>
          <w:lang w:val="zh-CN"/>
        </w:rPr>
        <w:t>4</w:t>
      </w:r>
      <w:r>
        <w:rPr>
          <w:rFonts w:ascii="Times New Roman" w:hAnsi="Times New Roman"/>
          <w:szCs w:val="21"/>
          <w:lang w:val="zh-CN"/>
        </w:rPr>
        <w:t>mg/</w:t>
      </w:r>
      <w:r>
        <w:rPr>
          <w:rFonts w:hint="eastAsia" w:ascii="Times New Roman" w:hAnsi="Times New Roman"/>
          <w:szCs w:val="21"/>
        </w:rPr>
        <w:t>L</w:t>
      </w:r>
      <w:r>
        <w:rPr>
          <w:rFonts w:hint="eastAsia" w:ascii="Times New Roman" w:hAnsi="Times New Roman"/>
          <w:szCs w:val="21"/>
          <w:lang w:val="zh-CN"/>
        </w:rPr>
        <w:t>，超标距离最远为</w:t>
      </w:r>
      <w:r>
        <w:rPr>
          <w:rFonts w:ascii="Times New Roman" w:hAnsi="Times New Roman"/>
          <w:szCs w:val="21"/>
          <w:lang w:val="zh-CN"/>
        </w:rPr>
        <w:t>76.2m</w:t>
      </w:r>
      <w:r>
        <w:rPr>
          <w:rFonts w:hint="eastAsia" w:ascii="Times New Roman" w:hAnsi="Times New Roman"/>
          <w:szCs w:val="21"/>
          <w:lang w:val="zh-CN"/>
        </w:rPr>
        <w:t>，超标面积为</w:t>
      </w:r>
      <w:r>
        <w:rPr>
          <w:rFonts w:ascii="Times New Roman" w:hAnsi="Times New Roman"/>
          <w:szCs w:val="21"/>
          <w:lang w:val="zh-CN"/>
        </w:rPr>
        <w:t>2178m</w:t>
      </w:r>
      <w:r>
        <w:rPr>
          <w:rFonts w:ascii="Times New Roman" w:hAnsi="Times New Roman"/>
          <w:szCs w:val="21"/>
          <w:vertAlign w:val="superscript"/>
          <w:lang w:val="zh-CN"/>
        </w:rPr>
        <w:t>2</w:t>
      </w:r>
      <w:r>
        <w:rPr>
          <w:rFonts w:hint="eastAsia" w:ascii="Times New Roman" w:hAnsi="Times New Roman"/>
          <w:szCs w:val="21"/>
        </w:rPr>
        <w:t>；</w:t>
      </w:r>
      <w:r>
        <w:rPr>
          <w:rFonts w:ascii="Times New Roman" w:hAnsi="Times New Roman"/>
          <w:szCs w:val="21"/>
        </w:rPr>
        <w:t>水污染物COD进入含水层</w:t>
      </w:r>
      <w:r>
        <w:rPr>
          <w:rFonts w:hint="eastAsia" w:ascii="Times New Roman" w:hAnsi="Times New Roman"/>
          <w:szCs w:val="21"/>
        </w:rPr>
        <w:t>1000</w:t>
      </w:r>
      <w:r>
        <w:rPr>
          <w:rFonts w:ascii="Times New Roman" w:hAnsi="Times New Roman"/>
          <w:szCs w:val="21"/>
        </w:rPr>
        <w:t>d迁移</w:t>
      </w:r>
      <w:r>
        <w:rPr>
          <w:rFonts w:hint="eastAsia" w:ascii="Times New Roman" w:hAnsi="Times New Roman"/>
          <w:szCs w:val="21"/>
        </w:rPr>
        <w:t>：下游最大浓度为：</w:t>
      </w:r>
      <w:r>
        <w:rPr>
          <w:rFonts w:ascii="Times New Roman" w:hAnsi="Times New Roman"/>
          <w:szCs w:val="21"/>
          <w:lang w:val="zh-CN"/>
        </w:rPr>
        <w:t>46.0</w:t>
      </w:r>
      <w:r>
        <w:rPr>
          <w:rFonts w:hint="eastAsia" w:ascii="Times New Roman" w:hAnsi="Times New Roman"/>
          <w:szCs w:val="21"/>
          <w:lang w:val="zh-CN"/>
        </w:rPr>
        <w:t>4</w:t>
      </w:r>
      <w:r>
        <w:rPr>
          <w:rFonts w:ascii="Times New Roman" w:hAnsi="Times New Roman"/>
          <w:szCs w:val="21"/>
          <w:lang w:val="zh-CN"/>
        </w:rPr>
        <w:t>m</w:t>
      </w:r>
      <w:r>
        <w:rPr>
          <w:rFonts w:hint="eastAsia" w:ascii="Times New Roman" w:hAnsi="Times New Roman"/>
          <w:szCs w:val="21"/>
          <w:lang w:val="zh-CN"/>
        </w:rPr>
        <w:t>g</w:t>
      </w:r>
      <w:r>
        <w:rPr>
          <w:rFonts w:ascii="Times New Roman" w:hAnsi="Times New Roman"/>
          <w:szCs w:val="21"/>
          <w:lang w:val="zh-CN"/>
        </w:rPr>
        <w:t>/</w:t>
      </w:r>
      <w:r>
        <w:rPr>
          <w:rFonts w:hint="eastAsia" w:ascii="Times New Roman" w:hAnsi="Times New Roman"/>
          <w:szCs w:val="21"/>
        </w:rPr>
        <w:t>L</w:t>
      </w:r>
      <w:r>
        <w:rPr>
          <w:rFonts w:hint="eastAsia" w:ascii="Times New Roman" w:hAnsi="Times New Roman"/>
          <w:szCs w:val="21"/>
          <w:lang w:val="zh-CN"/>
        </w:rPr>
        <w:t>，超标距离最远为</w:t>
      </w:r>
      <w:r>
        <w:rPr>
          <w:rFonts w:ascii="Times New Roman" w:hAnsi="Times New Roman"/>
          <w:szCs w:val="21"/>
          <w:lang w:val="zh-CN"/>
        </w:rPr>
        <w:t>147m</w:t>
      </w:r>
      <w:r>
        <w:rPr>
          <w:rFonts w:hint="eastAsia" w:ascii="Times New Roman" w:hAnsi="Times New Roman"/>
          <w:szCs w:val="21"/>
          <w:lang w:val="zh-CN"/>
        </w:rPr>
        <w:t>，超标面积为</w:t>
      </w:r>
      <w:r>
        <w:rPr>
          <w:rFonts w:ascii="Times New Roman" w:hAnsi="Times New Roman"/>
          <w:szCs w:val="21"/>
          <w:lang w:val="zh-CN"/>
        </w:rPr>
        <w:t>4346m</w:t>
      </w:r>
      <w:r>
        <w:rPr>
          <w:rFonts w:ascii="Times New Roman" w:hAnsi="Times New Roman"/>
          <w:szCs w:val="21"/>
          <w:vertAlign w:val="superscript"/>
          <w:lang w:val="zh-CN"/>
        </w:rPr>
        <w:t>2</w:t>
      </w:r>
      <w:r>
        <w:rPr>
          <w:rFonts w:hint="eastAsia" w:ascii="Times New Roman" w:hAnsi="Times New Roman"/>
          <w:szCs w:val="21"/>
        </w:rPr>
        <w:t>；</w:t>
      </w:r>
      <w:r>
        <w:rPr>
          <w:rFonts w:ascii="Times New Roman" w:hAnsi="Times New Roman"/>
          <w:szCs w:val="21"/>
        </w:rPr>
        <w:t>水污染物COD进入含水层3650d迁移</w:t>
      </w:r>
      <w:r>
        <w:rPr>
          <w:rFonts w:hint="eastAsia" w:ascii="Times New Roman" w:hAnsi="Times New Roman"/>
          <w:szCs w:val="21"/>
        </w:rPr>
        <w:t>：下游最大浓度为：12.61</w:t>
      </w:r>
      <w:r>
        <w:rPr>
          <w:rFonts w:ascii="Times New Roman" w:hAnsi="Times New Roman"/>
          <w:szCs w:val="21"/>
        </w:rPr>
        <w:t>mg/</w:t>
      </w:r>
      <w:r>
        <w:rPr>
          <w:rFonts w:hint="eastAsia" w:ascii="Times New Roman" w:hAnsi="Times New Roman"/>
          <w:szCs w:val="21"/>
        </w:rPr>
        <w:t>L</w:t>
      </w:r>
      <w:r>
        <w:rPr>
          <w:rFonts w:hint="eastAsia" w:ascii="Times New Roman" w:hAnsi="Times New Roman"/>
          <w:szCs w:val="21"/>
          <w:lang w:val="zh-CN"/>
        </w:rPr>
        <w:t>，超标距离最远为384</w:t>
      </w:r>
      <w:r>
        <w:rPr>
          <w:rFonts w:ascii="Times New Roman" w:hAnsi="Times New Roman"/>
          <w:szCs w:val="21"/>
          <w:lang w:val="zh-CN"/>
        </w:rPr>
        <w:t>m</w:t>
      </w:r>
      <w:r>
        <w:rPr>
          <w:rFonts w:hint="eastAsia" w:ascii="Times New Roman" w:hAnsi="Times New Roman"/>
          <w:szCs w:val="21"/>
          <w:lang w:val="zh-CN"/>
        </w:rPr>
        <w:t>，超标面积为8329.36</w:t>
      </w:r>
      <w:r>
        <w:rPr>
          <w:rFonts w:ascii="Times New Roman" w:hAnsi="Times New Roman"/>
          <w:szCs w:val="21"/>
          <w:lang w:val="zh-CN"/>
        </w:rPr>
        <w:t>m</w:t>
      </w:r>
      <w:r>
        <w:rPr>
          <w:rFonts w:ascii="Times New Roman" w:hAnsi="Times New Roman"/>
          <w:szCs w:val="21"/>
          <w:vertAlign w:val="superscript"/>
          <w:lang w:val="zh-CN"/>
        </w:rPr>
        <w:t>2</w:t>
      </w:r>
    </w:p>
    <w:p w14:paraId="6ADA230C">
      <w:pPr>
        <w:overflowPunct w:val="0"/>
        <w:spacing w:line="360" w:lineRule="auto"/>
        <w:ind w:firstLine="480" w:firstLineChars="200"/>
        <w:rPr>
          <w:rFonts w:ascii="Times New Roman" w:hAnsi="Times New Roman"/>
          <w:szCs w:val="21"/>
        </w:rPr>
      </w:pPr>
      <w:r>
        <w:rPr>
          <w:rFonts w:hint="eastAsia" w:ascii="Times New Roman" w:hAnsi="Times New Roman"/>
          <w:szCs w:val="21"/>
        </w:rPr>
        <w:t>非正常工况下，</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w:t>
      </w:r>
      <w:r>
        <w:rPr>
          <w:rFonts w:ascii="Times New Roman" w:hAnsi="Times New Roman"/>
          <w:szCs w:val="21"/>
          <w:lang w:val="zh-CN"/>
        </w:rPr>
        <w:t>261.53</w:t>
      </w:r>
      <w:r>
        <w:rPr>
          <w:rFonts w:ascii="Times New Roman" w:hAnsi="Times New Roman"/>
          <w:szCs w:val="21"/>
        </w:rPr>
        <w:t>mg/</w:t>
      </w:r>
      <w:r>
        <w:rPr>
          <w:rFonts w:hint="eastAsia" w:ascii="Times New Roman" w:hAnsi="Times New Roman"/>
          <w:szCs w:val="21"/>
        </w:rPr>
        <w:t>L，超标距离最远为40</w:t>
      </w:r>
      <w:r>
        <w:rPr>
          <w:rFonts w:ascii="Times New Roman" w:hAnsi="Times New Roman"/>
          <w:szCs w:val="21"/>
        </w:rPr>
        <w:t>m</w:t>
      </w:r>
      <w:r>
        <w:rPr>
          <w:rFonts w:hint="eastAsia" w:ascii="Times New Roman" w:hAnsi="Times New Roman"/>
          <w:szCs w:val="21"/>
        </w:rPr>
        <w:t>，超标面积为996</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w:t>
      </w:r>
      <w:r>
        <w:rPr>
          <w:rFonts w:hint="eastAsia" w:ascii="Times New Roman" w:hAnsi="Times New Roman"/>
          <w:szCs w:val="21"/>
        </w:rPr>
        <w:t>365</w:t>
      </w:r>
      <w:r>
        <w:rPr>
          <w:rFonts w:ascii="Times New Roman" w:hAnsi="Times New Roman"/>
          <w:szCs w:val="21"/>
        </w:rPr>
        <w:t>d迁移</w:t>
      </w:r>
      <w:r>
        <w:rPr>
          <w:rFonts w:hint="eastAsia" w:ascii="Times New Roman" w:hAnsi="Times New Roman"/>
          <w:szCs w:val="21"/>
        </w:rPr>
        <w:t>：下游最大浓度为：71.65</w:t>
      </w:r>
      <w:r>
        <w:rPr>
          <w:rFonts w:ascii="Times New Roman" w:hAnsi="Times New Roman"/>
          <w:szCs w:val="21"/>
        </w:rPr>
        <w:t>mg/</w:t>
      </w:r>
      <w:r>
        <w:rPr>
          <w:rFonts w:hint="eastAsia" w:ascii="Times New Roman" w:hAnsi="Times New Roman"/>
          <w:szCs w:val="21"/>
        </w:rPr>
        <w:t>L，超标距离最远为83.2</w:t>
      </w:r>
      <w:r>
        <w:rPr>
          <w:rFonts w:ascii="Times New Roman" w:hAnsi="Times New Roman"/>
          <w:szCs w:val="21"/>
        </w:rPr>
        <w:t>m</w:t>
      </w:r>
      <w:r>
        <w:rPr>
          <w:rFonts w:hint="eastAsia" w:ascii="Times New Roman" w:hAnsi="Times New Roman"/>
          <w:szCs w:val="21"/>
        </w:rPr>
        <w:t>，超标面积为2888</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污染物</w:t>
      </w:r>
      <w:r>
        <w:rPr>
          <w:rFonts w:hint="eastAsia" w:ascii="Times New Roman" w:hAnsi="Times New Roman"/>
          <w:szCs w:val="21"/>
        </w:rPr>
        <w:t>氨氮</w:t>
      </w:r>
      <w:r>
        <w:rPr>
          <w:rFonts w:ascii="Times New Roman" w:hAnsi="Times New Roman"/>
          <w:szCs w:val="21"/>
        </w:rPr>
        <w:t>进入含水层1000d迁移</w:t>
      </w:r>
      <w:r>
        <w:rPr>
          <w:rFonts w:hint="eastAsia" w:ascii="Times New Roman" w:hAnsi="Times New Roman"/>
          <w:szCs w:val="21"/>
        </w:rPr>
        <w:t>：下游最大浓度为：26.15</w:t>
      </w:r>
      <w:r>
        <w:rPr>
          <w:rFonts w:ascii="Times New Roman" w:hAnsi="Times New Roman"/>
          <w:szCs w:val="21"/>
        </w:rPr>
        <w:t>mg/</w:t>
      </w:r>
      <w:r>
        <w:rPr>
          <w:rFonts w:hint="eastAsia" w:ascii="Times New Roman" w:hAnsi="Times New Roman"/>
          <w:szCs w:val="21"/>
        </w:rPr>
        <w:t>L，超标距离最远为160</w:t>
      </w:r>
      <w:r>
        <w:rPr>
          <w:rFonts w:ascii="Times New Roman" w:hAnsi="Times New Roman"/>
          <w:szCs w:val="21"/>
        </w:rPr>
        <w:t>m</w:t>
      </w:r>
      <w:r>
        <w:rPr>
          <w:rFonts w:hint="eastAsia" w:ascii="Times New Roman" w:hAnsi="Times New Roman"/>
          <w:szCs w:val="21"/>
        </w:rPr>
        <w:t>，超标面积为6291</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进入含水层3650d迁移</w:t>
      </w:r>
      <w:r>
        <w:rPr>
          <w:rFonts w:hint="eastAsia" w:ascii="Times New Roman" w:hAnsi="Times New Roman"/>
          <w:szCs w:val="21"/>
        </w:rPr>
        <w:t>：下游最大浓度为：7.17</w:t>
      </w:r>
      <w:r>
        <w:rPr>
          <w:rFonts w:ascii="Times New Roman" w:hAnsi="Times New Roman"/>
          <w:szCs w:val="21"/>
        </w:rPr>
        <w:t>mg/</w:t>
      </w:r>
      <w:r>
        <w:rPr>
          <w:rFonts w:hint="eastAsia" w:ascii="Times New Roman" w:hAnsi="Times New Roman"/>
          <w:szCs w:val="21"/>
        </w:rPr>
        <w:t>L，超标距离最远为417</w:t>
      </w:r>
      <w:r>
        <w:rPr>
          <w:rFonts w:ascii="Times New Roman" w:hAnsi="Times New Roman"/>
          <w:szCs w:val="21"/>
        </w:rPr>
        <w:t>m</w:t>
      </w:r>
      <w:r>
        <w:rPr>
          <w:rFonts w:hint="eastAsia" w:ascii="Times New Roman" w:hAnsi="Times New Roman"/>
          <w:szCs w:val="21"/>
        </w:rPr>
        <w:t>，超标面积为15458.7</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p>
    <w:p w14:paraId="4D7F71F4">
      <w:pPr>
        <w:overflowPunct w:val="0"/>
        <w:spacing w:line="360" w:lineRule="auto"/>
        <w:ind w:firstLine="480" w:firstLineChars="200"/>
        <w:rPr>
          <w:rFonts w:ascii="Times New Roman" w:hAnsi="Times New Roman"/>
          <w:szCs w:val="21"/>
        </w:rPr>
      </w:pPr>
      <w:r>
        <w:rPr>
          <w:rFonts w:hint="eastAsia" w:ascii="Times New Roman" w:hAnsi="Times New Roman"/>
          <w:szCs w:val="21"/>
        </w:rPr>
        <w:t>非正常工况下，</w:t>
      </w:r>
      <w:r>
        <w:rPr>
          <w:rFonts w:ascii="Times New Roman" w:hAnsi="Times New Roman"/>
          <w:szCs w:val="21"/>
        </w:rPr>
        <w:t>水污染物</w:t>
      </w:r>
      <w:r>
        <w:rPr>
          <w:rFonts w:hint="eastAsia" w:ascii="Times New Roman" w:hAnsi="Times New Roman"/>
          <w:szCs w:val="21"/>
        </w:rPr>
        <w:t>硫化物</w:t>
      </w:r>
      <w:r>
        <w:rPr>
          <w:rFonts w:ascii="Times New Roman" w:hAnsi="Times New Roman"/>
          <w:szCs w:val="21"/>
        </w:rPr>
        <w:t>进入含水层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：下游最大浓度为：38.96</w:t>
      </w:r>
      <w:r>
        <w:rPr>
          <w:rFonts w:ascii="Times New Roman" w:hAnsi="Times New Roman"/>
          <w:szCs w:val="21"/>
        </w:rPr>
        <w:t>mg/</w:t>
      </w:r>
      <w:r>
        <w:rPr>
          <w:rFonts w:hint="eastAsia" w:ascii="Times New Roman" w:hAnsi="Times New Roman"/>
          <w:szCs w:val="21"/>
        </w:rPr>
        <w:t>L，超标距离最远为43</w:t>
      </w:r>
      <w:r>
        <w:rPr>
          <w:rFonts w:ascii="Times New Roman" w:hAnsi="Times New Roman"/>
          <w:szCs w:val="21"/>
        </w:rPr>
        <w:t>m</w:t>
      </w:r>
      <w:r>
        <w:rPr>
          <w:rFonts w:hint="eastAsia" w:ascii="Times New Roman" w:hAnsi="Times New Roman"/>
          <w:szCs w:val="21"/>
        </w:rPr>
        <w:t>，超标面积为1208</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硫化物</w:t>
      </w:r>
      <w:r>
        <w:rPr>
          <w:rFonts w:ascii="Times New Roman" w:hAnsi="Times New Roman"/>
          <w:szCs w:val="21"/>
        </w:rPr>
        <w:t>进入含水层365d迁移</w:t>
      </w:r>
      <w:r>
        <w:rPr>
          <w:rFonts w:hint="eastAsia" w:ascii="Times New Roman" w:hAnsi="Times New Roman"/>
          <w:szCs w:val="21"/>
        </w:rPr>
        <w:t>：下游最大浓度为：10.67</w:t>
      </w:r>
      <w:r>
        <w:rPr>
          <w:rFonts w:ascii="Times New Roman" w:hAnsi="Times New Roman"/>
          <w:szCs w:val="21"/>
        </w:rPr>
        <w:t>mg/</w:t>
      </w:r>
      <w:r>
        <w:rPr>
          <w:rFonts w:hint="eastAsia" w:ascii="Times New Roman" w:hAnsi="Times New Roman"/>
          <w:szCs w:val="21"/>
        </w:rPr>
        <w:t>L，超标距离最远为90.2</w:t>
      </w:r>
      <w:r>
        <w:rPr>
          <w:rFonts w:ascii="Times New Roman" w:hAnsi="Times New Roman"/>
          <w:szCs w:val="21"/>
        </w:rPr>
        <w:t>m</w:t>
      </w:r>
      <w:r>
        <w:rPr>
          <w:rFonts w:hint="eastAsia" w:ascii="Times New Roman" w:hAnsi="Times New Roman"/>
          <w:szCs w:val="21"/>
        </w:rPr>
        <w:t>，超标面积为</w:t>
      </w:r>
      <w:r>
        <w:rPr>
          <w:rFonts w:hint="eastAsia" w:ascii="Times New Roman" w:hAnsi="Times New Roman"/>
          <w:szCs w:val="21"/>
          <w:lang w:val="zh-CN"/>
        </w:rPr>
        <w:t>3642</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硫化物</w:t>
      </w:r>
      <w:r>
        <w:rPr>
          <w:rFonts w:ascii="Times New Roman" w:hAnsi="Times New Roman"/>
          <w:szCs w:val="21"/>
        </w:rPr>
        <w:t>进入含水层</w:t>
      </w:r>
      <w:r>
        <w:rPr>
          <w:rFonts w:hint="eastAsia" w:ascii="Times New Roman" w:hAnsi="Times New Roman"/>
          <w:szCs w:val="21"/>
        </w:rPr>
        <w:t>10</w:t>
      </w:r>
      <w:r>
        <w:rPr>
          <w:rFonts w:ascii="Times New Roman" w:hAnsi="Times New Roman"/>
          <w:szCs w:val="21"/>
        </w:rPr>
        <w:t>0</w:t>
      </w:r>
      <w:r>
        <w:rPr>
          <w:rFonts w:hint="eastAsia" w:ascii="Times New Roman" w:hAnsi="Times New Roman"/>
          <w:szCs w:val="21"/>
        </w:rPr>
        <w:t>0</w:t>
      </w:r>
      <w:r>
        <w:rPr>
          <w:rFonts w:ascii="Times New Roman" w:hAnsi="Times New Roman"/>
          <w:szCs w:val="21"/>
        </w:rPr>
        <w:t>d迁移</w:t>
      </w:r>
      <w:r>
        <w:rPr>
          <w:rFonts w:hint="eastAsia" w:ascii="Times New Roman" w:hAnsi="Times New Roman"/>
          <w:szCs w:val="21"/>
        </w:rPr>
        <w:t>：下游最大浓度为：3.90</w:t>
      </w:r>
      <w:r>
        <w:rPr>
          <w:rFonts w:ascii="Times New Roman" w:hAnsi="Times New Roman"/>
          <w:szCs w:val="21"/>
        </w:rPr>
        <w:t>mg/</w:t>
      </w:r>
      <w:r>
        <w:rPr>
          <w:rFonts w:hint="eastAsia" w:ascii="Times New Roman" w:hAnsi="Times New Roman"/>
          <w:szCs w:val="21"/>
        </w:rPr>
        <w:t>L，超标距离最远为172</w:t>
      </w:r>
      <w:r>
        <w:rPr>
          <w:rFonts w:ascii="Times New Roman" w:hAnsi="Times New Roman"/>
          <w:szCs w:val="21"/>
        </w:rPr>
        <w:t>m</w:t>
      </w:r>
      <w:r>
        <w:rPr>
          <w:rFonts w:hint="eastAsia" w:ascii="Times New Roman" w:hAnsi="Times New Roman"/>
          <w:szCs w:val="21"/>
        </w:rPr>
        <w:t>，超标面积为8384</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硫化物</w:t>
      </w:r>
      <w:r>
        <w:rPr>
          <w:rFonts w:ascii="Times New Roman" w:hAnsi="Times New Roman"/>
          <w:szCs w:val="21"/>
        </w:rPr>
        <w:t>进入含水层3650d迁移</w:t>
      </w:r>
      <w:r>
        <w:rPr>
          <w:rFonts w:hint="eastAsia" w:ascii="Times New Roman" w:hAnsi="Times New Roman"/>
          <w:szCs w:val="21"/>
        </w:rPr>
        <w:t>，下游最大浓度为：1.07</w:t>
      </w:r>
      <w:r>
        <w:rPr>
          <w:rFonts w:ascii="Times New Roman" w:hAnsi="Times New Roman"/>
          <w:szCs w:val="21"/>
        </w:rPr>
        <w:t>mg/</w:t>
      </w:r>
      <w:r>
        <w:rPr>
          <w:rFonts w:hint="eastAsia" w:ascii="Times New Roman" w:hAnsi="Times New Roman"/>
          <w:szCs w:val="21"/>
        </w:rPr>
        <w:t>L，超标距离最远为445</w:t>
      </w:r>
      <w:r>
        <w:rPr>
          <w:rFonts w:ascii="Times New Roman" w:hAnsi="Times New Roman"/>
          <w:szCs w:val="21"/>
        </w:rPr>
        <w:t>m</w:t>
      </w:r>
      <w:r>
        <w:rPr>
          <w:rFonts w:hint="eastAsia" w:ascii="Times New Roman" w:hAnsi="Times New Roman"/>
          <w:szCs w:val="21"/>
        </w:rPr>
        <w:t>，超标面积为23069.9</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p>
    <w:p w14:paraId="2D437B61">
      <w:pPr>
        <w:overflowPunct w:val="0"/>
        <w:spacing w:line="360" w:lineRule="auto"/>
        <w:ind w:firstLine="480" w:firstLineChars="200"/>
        <w:rPr>
          <w:rFonts w:ascii="Times New Roman" w:hAnsi="Times New Roman"/>
          <w:szCs w:val="21"/>
        </w:rPr>
      </w:pPr>
      <w:r>
        <w:rPr>
          <w:rFonts w:hint="eastAsia" w:ascii="Times New Roman" w:hAnsi="Times New Roman"/>
          <w:szCs w:val="21"/>
        </w:rPr>
        <w:t>非正常工况下，</w:t>
      </w:r>
      <w:r>
        <w:rPr>
          <w:rFonts w:ascii="Times New Roman" w:hAnsi="Times New Roman"/>
          <w:szCs w:val="21"/>
        </w:rPr>
        <w:t>水污染物</w:t>
      </w:r>
      <w:r>
        <w:rPr>
          <w:rFonts w:hint="eastAsia" w:ascii="Times New Roman" w:hAnsi="Times New Roman"/>
          <w:szCs w:val="21"/>
        </w:rPr>
        <w:t>氰化物</w:t>
      </w:r>
      <w:r>
        <w:rPr>
          <w:rFonts w:ascii="Times New Roman" w:hAnsi="Times New Roman"/>
          <w:szCs w:val="21"/>
        </w:rPr>
        <w:t>进入含水层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：下游最大浓度为：5.7</w:t>
      </w:r>
      <w:r>
        <w:rPr>
          <w:rFonts w:ascii="Times New Roman" w:hAnsi="Times New Roman"/>
          <w:szCs w:val="21"/>
        </w:rPr>
        <w:t>mg/</w:t>
      </w:r>
      <w:r>
        <w:rPr>
          <w:rFonts w:hint="eastAsia" w:ascii="Times New Roman" w:hAnsi="Times New Roman"/>
          <w:szCs w:val="21"/>
        </w:rPr>
        <w:t>L，超标距离最远为36</w:t>
      </w:r>
      <w:r>
        <w:rPr>
          <w:rFonts w:ascii="Times New Roman" w:hAnsi="Times New Roman"/>
          <w:szCs w:val="21"/>
        </w:rPr>
        <w:t>m</w:t>
      </w:r>
      <w:r>
        <w:rPr>
          <w:rFonts w:hint="eastAsia" w:ascii="Times New Roman" w:hAnsi="Times New Roman"/>
          <w:szCs w:val="21"/>
        </w:rPr>
        <w:t>，超标面积为752</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氰化物</w:t>
      </w:r>
      <w:r>
        <w:rPr>
          <w:rFonts w:ascii="Times New Roman" w:hAnsi="Times New Roman"/>
          <w:szCs w:val="21"/>
        </w:rPr>
        <w:t>进入含水层365d迁移</w:t>
      </w:r>
      <w:r>
        <w:rPr>
          <w:rFonts w:hint="eastAsia" w:ascii="Times New Roman" w:hAnsi="Times New Roman"/>
          <w:szCs w:val="21"/>
        </w:rPr>
        <w:t>：下游最大浓度为：1.56</w:t>
      </w:r>
      <w:r>
        <w:rPr>
          <w:rFonts w:ascii="Times New Roman" w:hAnsi="Times New Roman"/>
          <w:szCs w:val="21"/>
        </w:rPr>
        <w:t>mg/</w:t>
      </w:r>
      <w:r>
        <w:rPr>
          <w:rFonts w:hint="eastAsia" w:ascii="Times New Roman" w:hAnsi="Times New Roman"/>
          <w:szCs w:val="21"/>
        </w:rPr>
        <w:t>L，超标距离最远为74.2</w:t>
      </w:r>
      <w:r>
        <w:rPr>
          <w:rFonts w:ascii="Times New Roman" w:hAnsi="Times New Roman"/>
          <w:szCs w:val="21"/>
        </w:rPr>
        <w:t>m</w:t>
      </w:r>
      <w:r>
        <w:rPr>
          <w:rFonts w:hint="eastAsia" w:ascii="Times New Roman" w:hAnsi="Times New Roman"/>
          <w:szCs w:val="21"/>
        </w:rPr>
        <w:t>，超标面积为1994</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氰化物</w:t>
      </w:r>
      <w:r>
        <w:rPr>
          <w:rFonts w:ascii="Times New Roman" w:hAnsi="Times New Roman"/>
          <w:szCs w:val="21"/>
        </w:rPr>
        <w:t>进入含水层</w:t>
      </w:r>
      <w:r>
        <w:rPr>
          <w:rFonts w:hint="eastAsia" w:ascii="Times New Roman" w:hAnsi="Times New Roman"/>
          <w:szCs w:val="21"/>
        </w:rPr>
        <w:t>10</w:t>
      </w:r>
      <w:r>
        <w:rPr>
          <w:rFonts w:ascii="Times New Roman" w:hAnsi="Times New Roman"/>
          <w:szCs w:val="21"/>
        </w:rPr>
        <w:t>0</w:t>
      </w:r>
      <w:r>
        <w:rPr>
          <w:rFonts w:hint="eastAsia" w:ascii="Times New Roman" w:hAnsi="Times New Roman"/>
          <w:szCs w:val="21"/>
        </w:rPr>
        <w:t>0</w:t>
      </w:r>
      <w:r>
        <w:rPr>
          <w:rFonts w:ascii="Times New Roman" w:hAnsi="Times New Roman"/>
          <w:szCs w:val="21"/>
        </w:rPr>
        <w:t>d迁移</w:t>
      </w:r>
      <w:r>
        <w:rPr>
          <w:rFonts w:hint="eastAsia" w:ascii="Times New Roman" w:hAnsi="Times New Roman"/>
          <w:szCs w:val="21"/>
        </w:rPr>
        <w:t>：下游最大浓度为：0.57</w:t>
      </w:r>
      <w:r>
        <w:rPr>
          <w:rFonts w:ascii="Times New Roman" w:hAnsi="Times New Roman"/>
          <w:szCs w:val="21"/>
        </w:rPr>
        <w:t>mg/</w:t>
      </w:r>
      <w:r>
        <w:rPr>
          <w:rFonts w:hint="eastAsia" w:ascii="Times New Roman" w:hAnsi="Times New Roman"/>
          <w:szCs w:val="21"/>
        </w:rPr>
        <w:t>L，超标距离最远为143</w:t>
      </w:r>
      <w:r>
        <w:rPr>
          <w:rFonts w:ascii="Times New Roman" w:hAnsi="Times New Roman"/>
          <w:szCs w:val="21"/>
        </w:rPr>
        <w:t>m</w:t>
      </w:r>
      <w:r>
        <w:rPr>
          <w:rFonts w:hint="eastAsia" w:ascii="Times New Roman" w:hAnsi="Times New Roman"/>
          <w:szCs w:val="21"/>
        </w:rPr>
        <w:t>，超标面积为3872</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氰化物</w:t>
      </w:r>
      <w:r>
        <w:rPr>
          <w:rFonts w:ascii="Times New Roman" w:hAnsi="Times New Roman"/>
          <w:szCs w:val="21"/>
        </w:rPr>
        <w:t>进入含水层3650d迁移</w:t>
      </w:r>
      <w:r>
        <w:rPr>
          <w:rFonts w:hint="eastAsia" w:ascii="Times New Roman" w:hAnsi="Times New Roman"/>
          <w:szCs w:val="21"/>
        </w:rPr>
        <w:t>，</w:t>
      </w:r>
      <w:bookmarkEnd w:id="312"/>
      <w:r>
        <w:rPr>
          <w:rFonts w:hint="eastAsia" w:ascii="Times New Roman" w:hAnsi="Times New Roman"/>
          <w:szCs w:val="21"/>
        </w:rPr>
        <w:t>下游最大浓度为：0.16</w:t>
      </w:r>
      <w:r>
        <w:rPr>
          <w:rFonts w:ascii="Times New Roman" w:hAnsi="Times New Roman"/>
          <w:szCs w:val="21"/>
        </w:rPr>
        <w:t>mg/</w:t>
      </w:r>
      <w:r>
        <w:rPr>
          <w:rFonts w:hint="eastAsia" w:ascii="Times New Roman" w:hAnsi="Times New Roman"/>
          <w:szCs w:val="21"/>
        </w:rPr>
        <w:t>L，超标距离最远为374</w:t>
      </w:r>
      <w:r>
        <w:rPr>
          <w:rFonts w:ascii="Times New Roman" w:hAnsi="Times New Roman"/>
          <w:szCs w:val="21"/>
        </w:rPr>
        <w:t>m</w:t>
      </w:r>
      <w:r>
        <w:rPr>
          <w:rFonts w:hint="eastAsia" w:ascii="Times New Roman" w:hAnsi="Times New Roman"/>
          <w:szCs w:val="21"/>
        </w:rPr>
        <w:t>，超标面积为6601.3</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p>
    <w:bookmarkEnd w:id="329"/>
    <w:p w14:paraId="10E0F4A2">
      <w:pPr>
        <w:overflowPunct w:val="0"/>
        <w:spacing w:line="360" w:lineRule="auto"/>
        <w:ind w:firstLine="480" w:firstLineChars="200"/>
        <w:rPr>
          <w:rFonts w:ascii="Times New Roman" w:hAnsi="Times New Roman"/>
          <w:szCs w:val="21"/>
        </w:rPr>
      </w:pPr>
      <w:r>
        <w:rPr>
          <w:rFonts w:hint="eastAsia" w:ascii="Times New Roman" w:hAnsi="Times New Roman"/>
          <w:szCs w:val="21"/>
        </w:rPr>
        <w:t>非正常工况下，</w:t>
      </w:r>
      <w:r>
        <w:rPr>
          <w:rFonts w:ascii="Times New Roman" w:hAnsi="Times New Roman"/>
          <w:szCs w:val="21"/>
        </w:rPr>
        <w:t>水污染物</w:t>
      </w:r>
      <w:r>
        <w:rPr>
          <w:rFonts w:hint="eastAsia" w:ascii="Times New Roman" w:hAnsi="Times New Roman"/>
          <w:szCs w:val="21"/>
        </w:rPr>
        <w:t>石油类</w:t>
      </w:r>
      <w:r>
        <w:rPr>
          <w:rFonts w:ascii="Times New Roman" w:hAnsi="Times New Roman"/>
          <w:szCs w:val="21"/>
        </w:rPr>
        <w:t>进入含水层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：下游最大浓度为：0.66</w:t>
      </w:r>
      <w:r>
        <w:rPr>
          <w:rFonts w:ascii="Times New Roman" w:hAnsi="Times New Roman"/>
          <w:szCs w:val="21"/>
        </w:rPr>
        <w:t>mg/</w:t>
      </w:r>
      <w:r>
        <w:rPr>
          <w:rFonts w:hint="eastAsia" w:ascii="Times New Roman" w:hAnsi="Times New Roman"/>
          <w:szCs w:val="21"/>
        </w:rPr>
        <w:t>L，超标距离最远为29</w:t>
      </w:r>
      <w:r>
        <w:rPr>
          <w:rFonts w:ascii="Times New Roman" w:hAnsi="Times New Roman"/>
          <w:szCs w:val="21"/>
        </w:rPr>
        <w:t>m</w:t>
      </w:r>
      <w:r>
        <w:rPr>
          <w:rFonts w:hint="eastAsia" w:ascii="Times New Roman" w:hAnsi="Times New Roman"/>
          <w:szCs w:val="21"/>
        </w:rPr>
        <w:t>，超标面积为414</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石油类</w:t>
      </w:r>
      <w:r>
        <w:rPr>
          <w:rFonts w:ascii="Times New Roman" w:hAnsi="Times New Roman"/>
          <w:szCs w:val="21"/>
        </w:rPr>
        <w:t>进入含水层365d迁移</w:t>
      </w:r>
      <w:r>
        <w:rPr>
          <w:rFonts w:hint="eastAsia" w:ascii="Times New Roman" w:hAnsi="Times New Roman"/>
          <w:szCs w:val="21"/>
        </w:rPr>
        <w:t>：下游最大浓度为：0.18</w:t>
      </w:r>
      <w:r>
        <w:rPr>
          <w:rFonts w:ascii="Times New Roman" w:hAnsi="Times New Roman"/>
          <w:szCs w:val="21"/>
        </w:rPr>
        <w:t>mg/</w:t>
      </w:r>
      <w:r>
        <w:rPr>
          <w:rFonts w:hint="eastAsia" w:ascii="Times New Roman" w:hAnsi="Times New Roman"/>
          <w:szCs w:val="21"/>
        </w:rPr>
        <w:t>L，超标距离最远为57.2</w:t>
      </w:r>
      <w:r>
        <w:rPr>
          <w:rFonts w:ascii="Times New Roman" w:hAnsi="Times New Roman"/>
          <w:szCs w:val="21"/>
        </w:rPr>
        <w:t>m</w:t>
      </w:r>
      <w:r>
        <w:rPr>
          <w:rFonts w:hint="eastAsia" w:ascii="Times New Roman" w:hAnsi="Times New Roman"/>
          <w:szCs w:val="21"/>
        </w:rPr>
        <w:t>，超标面积为</w:t>
      </w:r>
      <w:r>
        <w:rPr>
          <w:rFonts w:hint="eastAsia" w:ascii="Times New Roman" w:hAnsi="Times New Roman"/>
          <w:szCs w:val="21"/>
          <w:lang w:val="zh-CN"/>
        </w:rPr>
        <w:t>749</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石油类</w:t>
      </w:r>
      <w:r>
        <w:rPr>
          <w:rFonts w:ascii="Times New Roman" w:hAnsi="Times New Roman"/>
          <w:szCs w:val="21"/>
        </w:rPr>
        <w:t>进入含水层</w:t>
      </w:r>
      <w:r>
        <w:rPr>
          <w:rFonts w:hint="eastAsia" w:ascii="Times New Roman" w:hAnsi="Times New Roman"/>
          <w:szCs w:val="21"/>
        </w:rPr>
        <w:t>10</w:t>
      </w:r>
      <w:r>
        <w:rPr>
          <w:rFonts w:ascii="Times New Roman" w:hAnsi="Times New Roman"/>
          <w:szCs w:val="21"/>
        </w:rPr>
        <w:t>0</w:t>
      </w:r>
      <w:r>
        <w:rPr>
          <w:rFonts w:hint="eastAsia" w:ascii="Times New Roman" w:hAnsi="Times New Roman"/>
          <w:szCs w:val="21"/>
        </w:rPr>
        <w:t>0</w:t>
      </w:r>
      <w:r>
        <w:rPr>
          <w:rFonts w:ascii="Times New Roman" w:hAnsi="Times New Roman"/>
          <w:szCs w:val="21"/>
        </w:rPr>
        <w:t>d迁移</w:t>
      </w:r>
      <w:r>
        <w:rPr>
          <w:rFonts w:hint="eastAsia" w:ascii="Times New Roman" w:hAnsi="Times New Roman"/>
          <w:szCs w:val="21"/>
        </w:rPr>
        <w:t>：下游最大浓度为：0.066</w:t>
      </w:r>
      <w:r>
        <w:rPr>
          <w:rFonts w:ascii="Times New Roman" w:hAnsi="Times New Roman"/>
          <w:szCs w:val="21"/>
        </w:rPr>
        <w:t>mg/</w:t>
      </w:r>
      <w:r>
        <w:rPr>
          <w:rFonts w:hint="eastAsia" w:ascii="Times New Roman" w:hAnsi="Times New Roman"/>
          <w:szCs w:val="21"/>
        </w:rPr>
        <w:t>L，超标距离最远为102</w:t>
      </w:r>
      <w:r>
        <w:rPr>
          <w:rFonts w:ascii="Times New Roman" w:hAnsi="Times New Roman"/>
          <w:szCs w:val="21"/>
        </w:rPr>
        <w:t>m</w:t>
      </w:r>
      <w:r>
        <w:rPr>
          <w:rFonts w:hint="eastAsia" w:ascii="Times New Roman" w:hAnsi="Times New Roman"/>
          <w:szCs w:val="21"/>
        </w:rPr>
        <w:t>，超标面积为447</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石油类</w:t>
      </w:r>
      <w:r>
        <w:rPr>
          <w:rFonts w:ascii="Times New Roman" w:hAnsi="Times New Roman"/>
          <w:szCs w:val="21"/>
        </w:rPr>
        <w:t>进入含水层3650d迁移</w:t>
      </w:r>
      <w:r>
        <w:rPr>
          <w:rFonts w:hint="eastAsia" w:ascii="Times New Roman" w:hAnsi="Times New Roman"/>
          <w:szCs w:val="21"/>
        </w:rPr>
        <w:t>，下游最大浓度为：0.02</w:t>
      </w:r>
      <w:r>
        <w:rPr>
          <w:rFonts w:ascii="Times New Roman" w:hAnsi="Times New Roman"/>
          <w:szCs w:val="21"/>
        </w:rPr>
        <w:t>mg/</w:t>
      </w:r>
      <w:r>
        <w:rPr>
          <w:rFonts w:hint="eastAsia" w:ascii="Times New Roman" w:hAnsi="Times New Roman"/>
          <w:szCs w:val="21"/>
        </w:rPr>
        <w:t>L，</w:t>
      </w:r>
      <w:bookmarkEnd w:id="330"/>
      <w:r>
        <w:rPr>
          <w:rFonts w:hint="eastAsia" w:ascii="Times New Roman" w:hAnsi="Times New Roman"/>
          <w:szCs w:val="21"/>
        </w:rPr>
        <w:t>未超标。</w:t>
      </w:r>
    </w:p>
    <w:p w14:paraId="2115ADC4">
      <w:pPr>
        <w:overflowPunct w:val="0"/>
        <w:spacing w:line="360" w:lineRule="auto"/>
        <w:ind w:firstLine="480" w:firstLineChars="200"/>
        <w:rPr>
          <w:rFonts w:ascii="Times New Roman" w:hAnsi="Times New Roman"/>
          <w:szCs w:val="21"/>
        </w:rPr>
      </w:pPr>
      <w:r>
        <w:rPr>
          <w:rFonts w:hint="eastAsia" w:ascii="Times New Roman" w:hAnsi="Times New Roman"/>
          <w:szCs w:val="21"/>
        </w:rPr>
        <w:t>风险状况下，</w:t>
      </w:r>
      <w:r>
        <w:rPr>
          <w:rFonts w:ascii="Times New Roman" w:hAnsi="Times New Roman"/>
          <w:szCs w:val="21"/>
        </w:rPr>
        <w:t>水污染物</w:t>
      </w:r>
      <w:r>
        <w:rPr>
          <w:rFonts w:hint="eastAsia" w:ascii="Times New Roman" w:hAnsi="Times New Roman"/>
          <w:szCs w:val="21"/>
        </w:rPr>
        <w:t>硫酸盐进</w:t>
      </w:r>
      <w:r>
        <w:rPr>
          <w:rFonts w:ascii="Times New Roman" w:hAnsi="Times New Roman"/>
          <w:szCs w:val="21"/>
        </w:rPr>
        <w:t>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w:t>
      </w:r>
      <w:r>
        <w:rPr>
          <w:rFonts w:ascii="Times New Roman" w:hAnsi="Times New Roman"/>
          <w:szCs w:val="21"/>
          <w:lang w:val="zh-CN"/>
        </w:rPr>
        <w:t>46.73</w:t>
      </w:r>
      <w:r>
        <w:rPr>
          <w:rFonts w:ascii="Times New Roman" w:hAnsi="Times New Roman"/>
          <w:szCs w:val="21"/>
        </w:rPr>
        <w:t>mg/</w:t>
      </w:r>
      <w:r>
        <w:rPr>
          <w:rFonts w:hint="eastAsia" w:ascii="Times New Roman" w:hAnsi="Times New Roman"/>
          <w:szCs w:val="21"/>
        </w:rPr>
        <w:t>L，未超标；</w:t>
      </w:r>
      <w:r>
        <w:rPr>
          <w:rFonts w:ascii="Times New Roman" w:hAnsi="Times New Roman"/>
          <w:szCs w:val="21"/>
        </w:rPr>
        <w:t>水污染物</w:t>
      </w:r>
      <w:r>
        <w:rPr>
          <w:rFonts w:hint="eastAsia" w:ascii="Times New Roman" w:hAnsi="Times New Roman"/>
          <w:szCs w:val="21"/>
        </w:rPr>
        <w:t>硫酸盐</w:t>
      </w:r>
      <w:r>
        <w:rPr>
          <w:rFonts w:ascii="Times New Roman" w:hAnsi="Times New Roman"/>
          <w:szCs w:val="21"/>
        </w:rPr>
        <w:t>进入含水层365d迁移</w:t>
      </w:r>
      <w:r>
        <w:rPr>
          <w:rFonts w:hint="eastAsia" w:ascii="Times New Roman" w:hAnsi="Times New Roman"/>
          <w:szCs w:val="21"/>
        </w:rPr>
        <w:t>：下游最大浓度为：12.81</w:t>
      </w:r>
      <w:r>
        <w:rPr>
          <w:rFonts w:ascii="Times New Roman" w:hAnsi="Times New Roman"/>
          <w:szCs w:val="21"/>
        </w:rPr>
        <w:t>mg/</w:t>
      </w:r>
      <w:r>
        <w:rPr>
          <w:rFonts w:hint="eastAsia" w:ascii="Times New Roman" w:hAnsi="Times New Roman"/>
          <w:szCs w:val="21"/>
        </w:rPr>
        <w:t>L，未超标；</w:t>
      </w:r>
      <w:r>
        <w:rPr>
          <w:rFonts w:ascii="Times New Roman" w:hAnsi="Times New Roman"/>
          <w:szCs w:val="21"/>
        </w:rPr>
        <w:t>水污染物</w:t>
      </w:r>
      <w:r>
        <w:rPr>
          <w:rFonts w:hint="eastAsia" w:ascii="Times New Roman" w:hAnsi="Times New Roman"/>
          <w:szCs w:val="21"/>
        </w:rPr>
        <w:t>硫酸盐</w:t>
      </w:r>
      <w:r>
        <w:rPr>
          <w:rFonts w:ascii="Times New Roman" w:hAnsi="Times New Roman"/>
          <w:szCs w:val="21"/>
        </w:rPr>
        <w:t>进入含水层</w:t>
      </w:r>
      <w:r>
        <w:rPr>
          <w:rFonts w:hint="eastAsia" w:ascii="Times New Roman" w:hAnsi="Times New Roman"/>
          <w:szCs w:val="21"/>
        </w:rPr>
        <w:t>10</w:t>
      </w:r>
      <w:r>
        <w:rPr>
          <w:rFonts w:ascii="Times New Roman" w:hAnsi="Times New Roman"/>
          <w:szCs w:val="21"/>
        </w:rPr>
        <w:t>0</w:t>
      </w:r>
      <w:r>
        <w:rPr>
          <w:rFonts w:hint="eastAsia" w:ascii="Times New Roman" w:hAnsi="Times New Roman"/>
          <w:szCs w:val="21"/>
        </w:rPr>
        <w:t>0</w:t>
      </w:r>
      <w:r>
        <w:rPr>
          <w:rFonts w:ascii="Times New Roman" w:hAnsi="Times New Roman"/>
          <w:szCs w:val="21"/>
        </w:rPr>
        <w:t>d迁移</w:t>
      </w:r>
      <w:r>
        <w:rPr>
          <w:rFonts w:hint="eastAsia" w:ascii="Times New Roman" w:hAnsi="Times New Roman"/>
          <w:szCs w:val="21"/>
        </w:rPr>
        <w:t>：下游最大浓度为：4.67</w:t>
      </w:r>
      <w:r>
        <w:rPr>
          <w:rFonts w:ascii="Times New Roman" w:hAnsi="Times New Roman"/>
          <w:szCs w:val="21"/>
        </w:rPr>
        <w:t>mg/</w:t>
      </w:r>
      <w:r>
        <w:rPr>
          <w:rFonts w:hint="eastAsia" w:ascii="Times New Roman" w:hAnsi="Times New Roman"/>
          <w:szCs w:val="21"/>
        </w:rPr>
        <w:t>L，未超标；</w:t>
      </w:r>
      <w:r>
        <w:rPr>
          <w:rFonts w:ascii="Times New Roman" w:hAnsi="Times New Roman"/>
          <w:szCs w:val="21"/>
        </w:rPr>
        <w:t>水污染物</w:t>
      </w:r>
      <w:r>
        <w:rPr>
          <w:rFonts w:hint="eastAsia" w:ascii="Times New Roman" w:hAnsi="Times New Roman"/>
          <w:szCs w:val="21"/>
        </w:rPr>
        <w:t>硫酸盐</w:t>
      </w:r>
      <w:r>
        <w:rPr>
          <w:rFonts w:ascii="Times New Roman" w:hAnsi="Times New Roman"/>
          <w:szCs w:val="21"/>
        </w:rPr>
        <w:t>进入含水层3650d迁移</w:t>
      </w:r>
      <w:r>
        <w:rPr>
          <w:rFonts w:hint="eastAsia" w:ascii="Times New Roman" w:hAnsi="Times New Roman"/>
          <w:szCs w:val="21"/>
        </w:rPr>
        <w:t>，下游最大浓度为：1.28</w:t>
      </w:r>
      <w:r>
        <w:rPr>
          <w:rFonts w:ascii="Times New Roman" w:hAnsi="Times New Roman"/>
          <w:szCs w:val="21"/>
        </w:rPr>
        <w:t>mg/</w:t>
      </w:r>
      <w:r>
        <w:rPr>
          <w:rFonts w:hint="eastAsia" w:ascii="Times New Roman" w:hAnsi="Times New Roman"/>
          <w:szCs w:val="21"/>
        </w:rPr>
        <w:t>L，未超标。</w:t>
      </w:r>
    </w:p>
    <w:p w14:paraId="57B7F38C">
      <w:pPr>
        <w:overflowPunct w:val="0"/>
        <w:spacing w:line="360" w:lineRule="auto"/>
        <w:ind w:firstLine="480" w:firstLineChars="200"/>
        <w:rPr>
          <w:rFonts w:ascii="Times New Roman" w:hAnsi="Times New Roman"/>
          <w:szCs w:val="21"/>
        </w:rPr>
      </w:pPr>
      <w:r>
        <w:rPr>
          <w:rFonts w:hint="eastAsia" w:ascii="Times New Roman" w:hAnsi="Times New Roman"/>
          <w:szCs w:val="21"/>
        </w:rPr>
        <w:t>风险状况下，</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w:t>
      </w:r>
      <w:r>
        <w:rPr>
          <w:rFonts w:hint="eastAsia" w:ascii="Times New Roman" w:hAnsi="Times New Roman"/>
          <w:szCs w:val="21"/>
        </w:rPr>
        <w:t>100</w:t>
      </w:r>
      <w:r>
        <w:rPr>
          <w:rFonts w:ascii="Times New Roman" w:hAnsi="Times New Roman"/>
          <w:szCs w:val="21"/>
        </w:rPr>
        <w:t>d迁移</w:t>
      </w:r>
      <w:r>
        <w:rPr>
          <w:rFonts w:hint="eastAsia" w:ascii="Times New Roman" w:hAnsi="Times New Roman"/>
          <w:szCs w:val="21"/>
        </w:rPr>
        <w:t>：下游最大浓度为：103.96</w:t>
      </w:r>
      <w:r>
        <w:rPr>
          <w:rFonts w:ascii="Times New Roman" w:hAnsi="Times New Roman"/>
          <w:szCs w:val="21"/>
        </w:rPr>
        <w:t>mg/</w:t>
      </w:r>
      <w:r>
        <w:rPr>
          <w:rFonts w:hint="eastAsia" w:ascii="Times New Roman" w:hAnsi="Times New Roman"/>
          <w:szCs w:val="21"/>
        </w:rPr>
        <w:t>L，超标距离最远为38</w:t>
      </w:r>
      <w:r>
        <w:rPr>
          <w:rFonts w:ascii="Times New Roman" w:hAnsi="Times New Roman"/>
          <w:szCs w:val="21"/>
        </w:rPr>
        <w:t>m</w:t>
      </w:r>
      <w:r>
        <w:rPr>
          <w:rFonts w:hint="eastAsia" w:ascii="Times New Roman" w:hAnsi="Times New Roman"/>
          <w:szCs w:val="21"/>
        </w:rPr>
        <w:t>，超标面积为852</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w:t>
      </w:r>
      <w:r>
        <w:rPr>
          <w:rFonts w:hint="eastAsia" w:ascii="Times New Roman" w:hAnsi="Times New Roman"/>
          <w:szCs w:val="21"/>
        </w:rPr>
        <w:t>365</w:t>
      </w:r>
      <w:r>
        <w:rPr>
          <w:rFonts w:ascii="Times New Roman" w:hAnsi="Times New Roman"/>
          <w:szCs w:val="21"/>
        </w:rPr>
        <w:t>d迁移</w:t>
      </w:r>
      <w:r>
        <w:rPr>
          <w:rFonts w:hint="eastAsia" w:ascii="Times New Roman" w:hAnsi="Times New Roman"/>
          <w:szCs w:val="21"/>
        </w:rPr>
        <w:t>：下游最大浓度为：28.48</w:t>
      </w:r>
      <w:r>
        <w:rPr>
          <w:rFonts w:ascii="Times New Roman" w:hAnsi="Times New Roman"/>
          <w:szCs w:val="21"/>
        </w:rPr>
        <w:t>mg/</w:t>
      </w:r>
      <w:r>
        <w:rPr>
          <w:rFonts w:hint="eastAsia" w:ascii="Times New Roman" w:hAnsi="Times New Roman"/>
          <w:szCs w:val="21"/>
        </w:rPr>
        <w:t>L，超标距离最远为78.2</w:t>
      </w:r>
      <w:r>
        <w:rPr>
          <w:rFonts w:ascii="Times New Roman" w:hAnsi="Times New Roman"/>
          <w:szCs w:val="21"/>
        </w:rPr>
        <w:t>m</w:t>
      </w:r>
      <w:r>
        <w:rPr>
          <w:rFonts w:hint="eastAsia" w:ascii="Times New Roman" w:hAnsi="Times New Roman"/>
          <w:szCs w:val="21"/>
        </w:rPr>
        <w:t>，超标面积为2350</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污染物</w:t>
      </w:r>
      <w:r>
        <w:rPr>
          <w:rFonts w:hint="eastAsia" w:ascii="Times New Roman" w:hAnsi="Times New Roman"/>
          <w:szCs w:val="21"/>
        </w:rPr>
        <w:t>氨氮</w:t>
      </w:r>
      <w:r>
        <w:rPr>
          <w:rFonts w:ascii="Times New Roman" w:hAnsi="Times New Roman"/>
          <w:szCs w:val="21"/>
        </w:rPr>
        <w:t>进入含水层1000d迁移</w:t>
      </w:r>
      <w:r>
        <w:rPr>
          <w:rFonts w:hint="eastAsia" w:ascii="Times New Roman" w:hAnsi="Times New Roman"/>
          <w:szCs w:val="21"/>
        </w:rPr>
        <w:t>：下游最大浓度为：0.066</w:t>
      </w:r>
      <w:r>
        <w:rPr>
          <w:rFonts w:ascii="Times New Roman" w:hAnsi="Times New Roman"/>
          <w:szCs w:val="21"/>
        </w:rPr>
        <w:t>mg/</w:t>
      </w:r>
      <w:r>
        <w:rPr>
          <w:rFonts w:hint="eastAsia" w:ascii="Times New Roman" w:hAnsi="Times New Roman"/>
          <w:szCs w:val="21"/>
        </w:rPr>
        <w:t>L，超标距离最远为150</w:t>
      </w:r>
      <w:r>
        <w:rPr>
          <w:rFonts w:ascii="Times New Roman" w:hAnsi="Times New Roman"/>
          <w:szCs w:val="21"/>
        </w:rPr>
        <w:t>m</w:t>
      </w:r>
      <w:r>
        <w:rPr>
          <w:rFonts w:hint="eastAsia" w:ascii="Times New Roman" w:hAnsi="Times New Roman"/>
          <w:szCs w:val="21"/>
        </w:rPr>
        <w:t>，超标面积为4823</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水污染物</w:t>
      </w:r>
      <w:r>
        <w:rPr>
          <w:rFonts w:hint="eastAsia" w:ascii="Times New Roman" w:hAnsi="Times New Roman"/>
          <w:szCs w:val="21"/>
        </w:rPr>
        <w:t>氨氮</w:t>
      </w:r>
      <w:r>
        <w:rPr>
          <w:rFonts w:ascii="Times New Roman" w:hAnsi="Times New Roman"/>
          <w:szCs w:val="21"/>
        </w:rPr>
        <w:t>进入含水层3650d迁移</w:t>
      </w:r>
      <w:r>
        <w:rPr>
          <w:rFonts w:hint="eastAsia" w:ascii="Times New Roman" w:hAnsi="Times New Roman"/>
          <w:szCs w:val="21"/>
        </w:rPr>
        <w:t>：</w:t>
      </w:r>
      <w:bookmarkEnd w:id="331"/>
      <w:r>
        <w:rPr>
          <w:rFonts w:hint="eastAsia" w:ascii="Times New Roman" w:hAnsi="Times New Roman"/>
          <w:szCs w:val="21"/>
        </w:rPr>
        <w:t>下游最大浓度为：2.85</w:t>
      </w:r>
      <w:r>
        <w:rPr>
          <w:rFonts w:ascii="Times New Roman" w:hAnsi="Times New Roman"/>
          <w:szCs w:val="21"/>
        </w:rPr>
        <w:t>mg/</w:t>
      </w:r>
      <w:r>
        <w:rPr>
          <w:rFonts w:hint="eastAsia" w:ascii="Times New Roman" w:hAnsi="Times New Roman"/>
          <w:szCs w:val="21"/>
        </w:rPr>
        <w:t>L，超标距离最远为393</w:t>
      </w:r>
      <w:r>
        <w:rPr>
          <w:rFonts w:ascii="Times New Roman" w:hAnsi="Times New Roman"/>
          <w:szCs w:val="21"/>
        </w:rPr>
        <w:t>m</w:t>
      </w:r>
      <w:r>
        <w:rPr>
          <w:rFonts w:hint="eastAsia" w:ascii="Times New Roman" w:hAnsi="Times New Roman"/>
          <w:szCs w:val="21"/>
        </w:rPr>
        <w:t>，超标面积为10095.96</w:t>
      </w:r>
      <w:r>
        <w:rPr>
          <w:rFonts w:ascii="Times New Roman" w:hAnsi="Times New Roman"/>
          <w:szCs w:val="21"/>
        </w:rPr>
        <w:t>m</w:t>
      </w:r>
      <w:r>
        <w:rPr>
          <w:rFonts w:ascii="Times New Roman" w:hAnsi="Times New Roman"/>
          <w:szCs w:val="21"/>
          <w:vertAlign w:val="superscript"/>
        </w:rPr>
        <w:t>2</w:t>
      </w:r>
      <w:r>
        <w:rPr>
          <w:rFonts w:hint="eastAsia" w:ascii="Times New Roman" w:hAnsi="Times New Roman"/>
          <w:szCs w:val="21"/>
        </w:rPr>
        <w:t>。</w:t>
      </w:r>
    </w:p>
    <w:bookmarkEnd w:id="326"/>
    <w:bookmarkEnd w:id="332"/>
    <w:p w14:paraId="4707164E">
      <w:pPr>
        <w:numPr>
          <w:ilvl w:val="2"/>
          <w:numId w:val="1"/>
        </w:numPr>
        <w:spacing w:line="360" w:lineRule="auto"/>
        <w:ind w:left="0"/>
        <w:outlineLvl w:val="2"/>
        <w:rPr>
          <w:rFonts w:hint="eastAsia" w:ascii="黑体" w:hAnsi="黑体" w:eastAsia="黑体"/>
          <w:b/>
          <w:sz w:val="28"/>
        </w:rPr>
      </w:pPr>
      <w:bookmarkStart w:id="333" w:name="_Hlk166001362"/>
      <w:r>
        <w:rPr>
          <w:rFonts w:hint="eastAsia" w:ascii="黑体" w:hAnsi="黑体" w:eastAsia="黑体"/>
          <w:b/>
          <w:sz w:val="28"/>
        </w:rPr>
        <w:t>地下水环境影响评价小结</w:t>
      </w:r>
      <w:bookmarkEnd w:id="333"/>
    </w:p>
    <w:p w14:paraId="75EF7D02">
      <w:pPr>
        <w:overflowPunct w:val="0"/>
        <w:spacing w:line="360" w:lineRule="auto"/>
        <w:ind w:firstLine="480" w:firstLineChars="200"/>
        <w:rPr>
          <w:rFonts w:ascii="Times New Roman" w:hAnsi="Times New Roman"/>
          <w:szCs w:val="21"/>
        </w:rPr>
      </w:pPr>
      <w:bookmarkStart w:id="334" w:name="_Hlk166001357"/>
      <w:r>
        <w:rPr>
          <w:rFonts w:ascii="Times New Roman" w:hAnsi="Times New Roman"/>
          <w:szCs w:val="21"/>
        </w:rPr>
        <w:t>根据预测结果，</w:t>
      </w:r>
      <w:r>
        <w:rPr>
          <w:rFonts w:hint="eastAsia" w:ascii="Times New Roman" w:hAnsi="Times New Roman"/>
          <w:szCs w:val="21"/>
        </w:rPr>
        <w:t>综合调节池泄漏</w:t>
      </w:r>
      <w:r>
        <w:rPr>
          <w:rFonts w:ascii="Times New Roman" w:hAnsi="Times New Roman"/>
          <w:szCs w:val="21"/>
        </w:rPr>
        <w:t>将对地下水环境造成一定影响</w:t>
      </w:r>
      <w:r>
        <w:rPr>
          <w:rFonts w:hint="eastAsia" w:ascii="Times New Roman" w:hAnsi="Times New Roman"/>
          <w:szCs w:val="21"/>
        </w:rPr>
        <w:t>，</w:t>
      </w:r>
      <w:r>
        <w:rPr>
          <w:rFonts w:ascii="Times New Roman" w:hAnsi="Times New Roman"/>
          <w:szCs w:val="21"/>
        </w:rPr>
        <w:t>其</w:t>
      </w:r>
      <w:bookmarkStart w:id="335" w:name="_Hlk157444034"/>
      <w:r>
        <w:rPr>
          <w:rFonts w:ascii="Times New Roman" w:hAnsi="Times New Roman"/>
          <w:szCs w:val="21"/>
        </w:rPr>
        <w:t>超标距离</w:t>
      </w:r>
      <w:r>
        <w:rPr>
          <w:rFonts w:hint="eastAsia" w:ascii="Times New Roman" w:hAnsi="Times New Roman"/>
          <w:szCs w:val="21"/>
        </w:rPr>
        <w:t>未超出厂区边界</w:t>
      </w:r>
      <w:r>
        <w:rPr>
          <w:rFonts w:ascii="Times New Roman" w:hAnsi="Times New Roman"/>
          <w:szCs w:val="21"/>
        </w:rPr>
        <w:t>，因此废水泄漏主要对厂区内</w:t>
      </w:r>
      <w:r>
        <w:rPr>
          <w:rFonts w:hint="eastAsia" w:ascii="Times New Roman" w:hAnsi="Times New Roman"/>
          <w:szCs w:val="21"/>
        </w:rPr>
        <w:t>及周边</w:t>
      </w:r>
      <w:r>
        <w:rPr>
          <w:rFonts w:ascii="Times New Roman" w:hAnsi="Times New Roman"/>
          <w:szCs w:val="21"/>
        </w:rPr>
        <w:t>的地下水造成</w:t>
      </w:r>
      <w:r>
        <w:rPr>
          <w:rFonts w:hint="eastAsia" w:ascii="Times New Roman" w:hAnsi="Times New Roman"/>
          <w:szCs w:val="21"/>
        </w:rPr>
        <w:t>较明显的</w:t>
      </w:r>
      <w:r>
        <w:rPr>
          <w:rFonts w:ascii="Times New Roman" w:hAnsi="Times New Roman"/>
          <w:szCs w:val="21"/>
        </w:rPr>
        <w:t>影响。</w:t>
      </w:r>
    </w:p>
    <w:bookmarkEnd w:id="335"/>
    <w:p w14:paraId="7F9BAB49">
      <w:pPr>
        <w:overflowPunct w:val="0"/>
        <w:spacing w:line="360" w:lineRule="auto"/>
        <w:ind w:firstLine="480" w:firstLineChars="200"/>
        <w:rPr>
          <w:rFonts w:ascii="Times New Roman" w:hAnsi="Times New Roman"/>
        </w:rPr>
      </w:pPr>
      <w:r>
        <w:rPr>
          <w:rFonts w:ascii="Times New Roman" w:hAnsi="Times New Roman"/>
          <w:szCs w:val="21"/>
        </w:rPr>
        <w:t>综合以上模拟预测可以看出，确保防渗措施和渗漏检测有效这两项工作对于防止地下水遭受污染具有非常重要的意义，监控井合理布设和适当的监控周期布设是控制非正常状况影响范围的重要手段，要通过各种措施避免跑冒滴漏、非正常工况时的泄漏等事故工况的发生，从源头入手保护地下水。</w:t>
      </w:r>
      <w:bookmarkEnd w:id="317"/>
    </w:p>
    <w:bookmarkEnd w:id="334"/>
    <w:p w14:paraId="12070F93">
      <w:pPr>
        <w:pStyle w:val="722"/>
        <w:rPr>
          <w:rFonts w:hint="eastAsia"/>
        </w:rPr>
      </w:pPr>
      <w:bookmarkStart w:id="336" w:name="_Toc32698"/>
      <w:r>
        <w:t>运营期地表水环境影响预测与评价</w:t>
      </w:r>
      <w:bookmarkEnd w:id="336"/>
    </w:p>
    <w:p w14:paraId="33ED3E37">
      <w:pPr>
        <w:pStyle w:val="97"/>
        <w:rPr>
          <w:rFonts w:hint="eastAsia"/>
        </w:rPr>
      </w:pPr>
      <w:bookmarkStart w:id="337" w:name="_Hlk129687043"/>
      <w:r>
        <w:rPr>
          <w:snapToGrid w:val="0"/>
        </w:rPr>
        <w:t>水污染控制和水环境影响减缓措施有效性评</w:t>
      </w:r>
      <w:bookmarkEnd w:id="337"/>
      <w:r>
        <w:rPr>
          <w:snapToGrid w:val="0"/>
        </w:rPr>
        <w:t>价</w:t>
      </w:r>
    </w:p>
    <w:p w14:paraId="2F788638">
      <w:pPr>
        <w:pStyle w:val="98"/>
        <w:rPr>
          <w:rFonts w:hint="eastAsia"/>
        </w:rPr>
      </w:pPr>
      <w:bookmarkStart w:id="338" w:name="_Hlk150641316"/>
      <w:bookmarkStart w:id="339" w:name="_Hlk129687057"/>
      <w:r>
        <w:rPr>
          <w:rFonts w:hint="eastAsia"/>
        </w:rPr>
        <w:t>正常工况</w:t>
      </w:r>
    </w:p>
    <w:p w14:paraId="3DC1DBB3">
      <w:pPr>
        <w:pStyle w:val="281"/>
        <w:ind w:firstLine="480"/>
        <w:rPr>
          <w:rFonts w:hint="eastAsia" w:ascii="宋体" w:hAnsi="宋体"/>
        </w:rPr>
      </w:pPr>
      <w:r>
        <w:rPr>
          <w:rFonts w:hint="eastAsia"/>
        </w:rPr>
        <w:t>全厂生产废水（气化灰水、煤气冷却单元-汽提废水、低温甲醇洗单元-含醇废水、硫回收单元-汽包排水、硝酸提浓塔顶馏出液、发生蒸汽排污水、尾气吸收塔底废水、发生蒸汽排污水</w:t>
      </w:r>
      <w:r>
        <w:rPr>
          <w:rFonts w:hint="eastAsia" w:cs="Times New Roman"/>
        </w:rPr>
        <w:t>、</w:t>
      </w:r>
      <w:r>
        <w:rPr>
          <w:rFonts w:hint="eastAsia"/>
        </w:rPr>
        <w:t>各装置地面冲洗水等）、生活污水经厂内污水处理站处理后，出水与循环水站排水、除盐水站排水送回用水站进一步处理，清水回用，浓水送蒸发结晶系统</w:t>
      </w:r>
      <w:r>
        <w:rPr>
          <w:rFonts w:hint="eastAsia" w:ascii="宋体" w:hAnsi="宋体"/>
        </w:rPr>
        <w:t>，全厂废水不外排。</w:t>
      </w:r>
    </w:p>
    <w:p w14:paraId="51163532">
      <w:pPr>
        <w:pStyle w:val="98"/>
        <w:rPr>
          <w:rFonts w:hint="eastAsia"/>
        </w:rPr>
      </w:pPr>
      <w:r>
        <w:rPr>
          <w:rFonts w:hint="eastAsia"/>
        </w:rPr>
        <w:t>非正常工况</w:t>
      </w:r>
    </w:p>
    <w:p w14:paraId="5C03B0D4">
      <w:pPr>
        <w:pStyle w:val="281"/>
        <w:ind w:firstLine="480"/>
        <w:rPr>
          <w:rFonts w:hint="eastAsia" w:ascii="宋体" w:hAnsi="宋体"/>
        </w:rPr>
      </w:pPr>
      <w:r>
        <w:rPr>
          <w:rFonts w:hint="eastAsia" w:ascii="宋体" w:hAnsi="宋体"/>
        </w:rPr>
        <w:t>本项目污水处理站设置综合调节池；全厂设置初期雨水池、事故水池。</w:t>
      </w:r>
    </w:p>
    <w:p w14:paraId="14A3A3EA">
      <w:pPr>
        <w:pStyle w:val="281"/>
        <w:ind w:firstLine="480"/>
        <w:rPr>
          <w:rFonts w:hint="eastAsia" w:ascii="宋体" w:hAnsi="宋体"/>
        </w:rPr>
      </w:pPr>
      <w:r>
        <w:rPr>
          <w:rFonts w:hint="eastAsia" w:ascii="宋体" w:hAnsi="宋体"/>
        </w:rPr>
        <w:t>综合调节池主要用于存放非正常工况时各装置运行产生的生产废水，在污水处理装置运行正常后将污水送至装置内进行处理；当发生消防事故时，有污染的各生产装置和辅助生产设施界区内消防废水、泄漏物料及事故过程中可能受污染的雨水首先经装置区内管线重力排入初期雨水池，调节池前设置溢流井，调节池储满后，事故水经溢流井经雨水管线，最终送至事故水池收集储存。</w:t>
      </w:r>
    </w:p>
    <w:p w14:paraId="64D3F4E3">
      <w:pPr>
        <w:pStyle w:val="281"/>
        <w:ind w:firstLine="480"/>
      </w:pPr>
      <w:r>
        <w:rPr>
          <w:rFonts w:hint="eastAsia" w:ascii="宋体" w:hAnsi="宋体"/>
        </w:rPr>
        <w:t>上述措施均能确保在非正常工况时，事故排水截留在厂区范围内，不会对地表水造成污染，对区域地表水环境影响较小。</w:t>
      </w:r>
      <w:bookmarkEnd w:id="338"/>
    </w:p>
    <w:bookmarkEnd w:id="339"/>
    <w:p w14:paraId="3266A11A">
      <w:pPr>
        <w:pStyle w:val="97"/>
        <w:rPr>
          <w:rFonts w:hint="eastAsia"/>
        </w:rPr>
      </w:pPr>
      <w:bookmarkStart w:id="340" w:name="_Hlk129687084"/>
      <w:r>
        <w:rPr>
          <w:snapToGrid w:val="0"/>
        </w:rPr>
        <w:t>地表水环境影响自查表</w:t>
      </w:r>
      <w:bookmarkEnd w:id="340"/>
    </w:p>
    <w:p w14:paraId="263F26DB">
      <w:pPr>
        <w:pStyle w:val="33"/>
        <w:spacing w:line="360" w:lineRule="auto"/>
        <w:ind w:firstLine="482"/>
        <w:rPr>
          <w:rFonts w:ascii="Times New Roman" w:hAnsi="Times New Roman"/>
          <w:spacing w:val="8"/>
          <w:sz w:val="24"/>
          <w:szCs w:val="24"/>
          <w:lang w:val="sq-AL"/>
        </w:rPr>
      </w:pPr>
      <w:bookmarkStart w:id="341" w:name="_Hlk129687111"/>
      <w:r>
        <w:rPr>
          <w:rFonts w:ascii="Times New Roman" w:hAnsi="Times New Roman"/>
          <w:spacing w:val="8"/>
          <w:sz w:val="24"/>
          <w:szCs w:val="24"/>
          <w:lang w:val="sq-AL"/>
        </w:rPr>
        <w:t>地表水环境影响自查表见表</w:t>
      </w:r>
      <w:r>
        <w:rPr>
          <w:rFonts w:hint="eastAsia" w:ascii="Times New Roman" w:hAnsi="Times New Roman"/>
          <w:spacing w:val="8"/>
          <w:sz w:val="24"/>
          <w:szCs w:val="24"/>
          <w:lang w:val="sq-AL"/>
        </w:rPr>
        <w:t>5</w:t>
      </w:r>
      <w:r>
        <w:rPr>
          <w:rFonts w:ascii="Times New Roman" w:hAnsi="Times New Roman"/>
          <w:spacing w:val="8"/>
          <w:sz w:val="24"/>
          <w:szCs w:val="24"/>
          <w:lang w:val="sq-AL"/>
        </w:rPr>
        <w:t>.4.</w:t>
      </w:r>
      <w:r>
        <w:rPr>
          <w:rFonts w:hint="eastAsia" w:ascii="Times New Roman" w:hAnsi="Times New Roman"/>
          <w:spacing w:val="8"/>
          <w:sz w:val="24"/>
          <w:szCs w:val="24"/>
          <w:lang w:val="sq-AL"/>
        </w:rPr>
        <w:t>2</w:t>
      </w:r>
      <w:r>
        <w:rPr>
          <w:rFonts w:ascii="Times New Roman" w:hAnsi="Times New Roman"/>
          <w:spacing w:val="8"/>
          <w:sz w:val="24"/>
          <w:szCs w:val="24"/>
          <w:lang w:val="sq-AL"/>
        </w:rPr>
        <w:t>-1</w:t>
      </w:r>
      <w:bookmarkEnd w:id="341"/>
      <w:r>
        <w:rPr>
          <w:rFonts w:ascii="Times New Roman" w:hAnsi="Times New Roman"/>
          <w:spacing w:val="8"/>
          <w:sz w:val="24"/>
          <w:szCs w:val="24"/>
          <w:lang w:val="sq-AL"/>
        </w:rPr>
        <w:t>。</w:t>
      </w:r>
    </w:p>
    <w:p w14:paraId="5FC2732D">
      <w:pPr>
        <w:pStyle w:val="33"/>
        <w:spacing w:line="360" w:lineRule="auto"/>
        <w:ind w:firstLine="482"/>
        <w:rPr>
          <w:rFonts w:ascii="Times New Roman" w:hAnsi="Times New Roman"/>
          <w:spacing w:val="8"/>
          <w:sz w:val="24"/>
          <w:szCs w:val="24"/>
          <w:lang w:val="sq-AL"/>
        </w:rPr>
      </w:pPr>
    </w:p>
    <w:p w14:paraId="41C97A76">
      <w:pPr>
        <w:pStyle w:val="33"/>
        <w:spacing w:line="360" w:lineRule="auto"/>
        <w:ind w:firstLine="482"/>
        <w:rPr>
          <w:rFonts w:ascii="Times New Roman" w:hAnsi="Times New Roman"/>
          <w:spacing w:val="8"/>
          <w:sz w:val="24"/>
          <w:szCs w:val="24"/>
          <w:lang w:val="sq-AL"/>
        </w:rPr>
        <w:sectPr>
          <w:pgSz w:w="11906" w:h="16838"/>
          <w:pgMar w:top="1440" w:right="1800" w:bottom="1440" w:left="1800" w:header="851" w:footer="992" w:gutter="0"/>
          <w:cols w:space="425" w:num="1"/>
          <w:docGrid w:type="linesAndChars" w:linePitch="312" w:charSpace="0"/>
        </w:sectPr>
      </w:pPr>
    </w:p>
    <w:p w14:paraId="696BD708">
      <w:pPr>
        <w:pStyle w:val="161"/>
        <w:rPr>
          <w:rFonts w:hint="eastAsia"/>
          <w:color w:val="auto"/>
        </w:rPr>
      </w:pPr>
      <w:r>
        <w:rPr>
          <w:color w:val="auto"/>
        </w:rPr>
        <w:t>表</w:t>
      </w:r>
      <w:r>
        <w:rPr>
          <w:rFonts w:hint="eastAsia"/>
          <w:color w:val="auto"/>
        </w:rPr>
        <w:t>5</w:t>
      </w:r>
      <w:r>
        <w:rPr>
          <w:color w:val="auto"/>
        </w:rPr>
        <w:t>.4</w:t>
      </w:r>
      <w:r>
        <w:rPr>
          <w:rFonts w:hint="eastAsia"/>
          <w:color w:val="auto"/>
        </w:rPr>
        <w:t>.2</w:t>
      </w:r>
      <w:r>
        <w:rPr>
          <w:color w:val="auto"/>
        </w:rPr>
        <w:t>-1   地表水环境影响评价自查表</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6"/>
        <w:gridCol w:w="2654"/>
        <w:gridCol w:w="1704"/>
        <w:gridCol w:w="559"/>
        <w:gridCol w:w="376"/>
        <w:gridCol w:w="554"/>
        <w:gridCol w:w="744"/>
        <w:gridCol w:w="1442"/>
        <w:gridCol w:w="373"/>
        <w:gridCol w:w="336"/>
        <w:gridCol w:w="829"/>
        <w:gridCol w:w="930"/>
        <w:gridCol w:w="558"/>
        <w:gridCol w:w="231"/>
        <w:gridCol w:w="2002"/>
      </w:tblGrid>
      <w:tr w14:paraId="45B9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0" w:type="dxa"/>
            <w:gridSpan w:val="2"/>
            <w:tcMar>
              <w:left w:w="57" w:type="dxa"/>
              <w:right w:w="57" w:type="dxa"/>
            </w:tcMar>
          </w:tcPr>
          <w:p w14:paraId="692549C3">
            <w:pPr>
              <w:pStyle w:val="557"/>
            </w:pPr>
            <w:r>
              <w:t>工作内容</w:t>
            </w:r>
          </w:p>
        </w:tc>
        <w:tc>
          <w:tcPr>
            <w:tcW w:w="10638" w:type="dxa"/>
            <w:gridSpan w:val="13"/>
            <w:tcMar>
              <w:left w:w="57" w:type="dxa"/>
              <w:right w:w="57" w:type="dxa"/>
            </w:tcMar>
          </w:tcPr>
          <w:p w14:paraId="568BA158">
            <w:pPr>
              <w:pStyle w:val="557"/>
            </w:pPr>
            <w:r>
              <w:t>自查项目</w:t>
            </w:r>
          </w:p>
        </w:tc>
      </w:tr>
      <w:tr w14:paraId="73D6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7AB77662">
            <w:pPr>
              <w:pStyle w:val="557"/>
            </w:pPr>
            <w:r>
              <w:t>影响</w:t>
            </w:r>
          </w:p>
          <w:p w14:paraId="6B458C27">
            <w:pPr>
              <w:pStyle w:val="557"/>
            </w:pPr>
            <w:r>
              <w:t>识别</w:t>
            </w:r>
          </w:p>
        </w:tc>
        <w:tc>
          <w:tcPr>
            <w:tcW w:w="2654" w:type="dxa"/>
            <w:tcMar>
              <w:left w:w="57" w:type="dxa"/>
              <w:right w:w="57" w:type="dxa"/>
            </w:tcMar>
            <w:vAlign w:val="center"/>
          </w:tcPr>
          <w:p w14:paraId="661EAC6D">
            <w:pPr>
              <w:pStyle w:val="557"/>
            </w:pPr>
            <w:r>
              <w:t>影响类型</w:t>
            </w:r>
          </w:p>
        </w:tc>
        <w:tc>
          <w:tcPr>
            <w:tcW w:w="10638" w:type="dxa"/>
            <w:gridSpan w:val="13"/>
            <w:tcMar>
              <w:left w:w="57" w:type="dxa"/>
              <w:right w:w="57" w:type="dxa"/>
            </w:tcMar>
            <w:vAlign w:val="center"/>
          </w:tcPr>
          <w:p w14:paraId="41C9BFF8">
            <w:pPr>
              <w:pStyle w:val="557"/>
            </w:pPr>
            <w:r>
              <w:t>水污染影响型</w:t>
            </w:r>
            <w:r>
              <w:rPr/>
              <w:sym w:font="Wingdings 2" w:char="0052"/>
            </w:r>
            <w:r>
              <w:t>；水文要素影响型□</w:t>
            </w:r>
          </w:p>
        </w:tc>
      </w:tr>
      <w:tr w14:paraId="68E0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0AB2DDB">
            <w:pPr>
              <w:pStyle w:val="557"/>
            </w:pPr>
          </w:p>
        </w:tc>
        <w:tc>
          <w:tcPr>
            <w:tcW w:w="2654" w:type="dxa"/>
            <w:tcMar>
              <w:left w:w="57" w:type="dxa"/>
              <w:right w:w="57" w:type="dxa"/>
            </w:tcMar>
            <w:vAlign w:val="center"/>
          </w:tcPr>
          <w:p w14:paraId="420AEC6C">
            <w:pPr>
              <w:pStyle w:val="557"/>
            </w:pPr>
            <w:r>
              <w:t>水环境保护目标</w:t>
            </w:r>
          </w:p>
        </w:tc>
        <w:tc>
          <w:tcPr>
            <w:tcW w:w="10638" w:type="dxa"/>
            <w:gridSpan w:val="13"/>
            <w:tcMar>
              <w:left w:w="57" w:type="dxa"/>
              <w:right w:w="57" w:type="dxa"/>
            </w:tcMar>
            <w:vAlign w:val="center"/>
          </w:tcPr>
          <w:p w14:paraId="381CB81D">
            <w:pPr>
              <w:pStyle w:val="557"/>
            </w:pPr>
            <w:r>
              <w:t>饮用水水源保护区□；饮用水取水口；涉水的自然保护区□；重要湿地□；</w:t>
            </w:r>
          </w:p>
          <w:p w14:paraId="40CFFD69">
            <w:pPr>
              <w:pStyle w:val="557"/>
            </w:pPr>
            <w:r>
              <w:t>重点保护与珍稀水生生物的栖息地□；</w:t>
            </w:r>
          </w:p>
          <w:p w14:paraId="06398CED">
            <w:pPr>
              <w:pStyle w:val="557"/>
            </w:pPr>
            <w:r>
              <w:t>重要水生生物的自然产卵场及索饵场、越冬场和洄游通道、天然渔场等渔业水体□；涉水的风景名胜区□；其他□</w:t>
            </w:r>
          </w:p>
        </w:tc>
      </w:tr>
      <w:tr w14:paraId="1129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74E63C65">
            <w:pPr>
              <w:pStyle w:val="557"/>
            </w:pPr>
          </w:p>
        </w:tc>
        <w:tc>
          <w:tcPr>
            <w:tcW w:w="2654" w:type="dxa"/>
            <w:vMerge w:val="restart"/>
            <w:tcMar>
              <w:left w:w="57" w:type="dxa"/>
              <w:right w:w="57" w:type="dxa"/>
            </w:tcMar>
            <w:vAlign w:val="center"/>
          </w:tcPr>
          <w:p w14:paraId="3FA7DC3D">
            <w:pPr>
              <w:pStyle w:val="557"/>
            </w:pPr>
            <w:r>
              <w:t>影响途径</w:t>
            </w:r>
          </w:p>
        </w:tc>
        <w:tc>
          <w:tcPr>
            <w:tcW w:w="5379" w:type="dxa"/>
            <w:gridSpan w:val="6"/>
            <w:tcMar>
              <w:left w:w="57" w:type="dxa"/>
              <w:right w:w="57" w:type="dxa"/>
            </w:tcMar>
            <w:vAlign w:val="center"/>
          </w:tcPr>
          <w:p w14:paraId="25B8D938">
            <w:pPr>
              <w:pStyle w:val="557"/>
            </w:pPr>
            <w:r>
              <w:t>水污染影响型</w:t>
            </w:r>
          </w:p>
        </w:tc>
        <w:tc>
          <w:tcPr>
            <w:tcW w:w="5259" w:type="dxa"/>
            <w:gridSpan w:val="7"/>
            <w:tcMar>
              <w:left w:w="57" w:type="dxa"/>
              <w:right w:w="57" w:type="dxa"/>
            </w:tcMar>
            <w:vAlign w:val="center"/>
          </w:tcPr>
          <w:p w14:paraId="3F71F0A4">
            <w:pPr>
              <w:pStyle w:val="557"/>
            </w:pPr>
            <w:r>
              <w:t>水文要素影响型</w:t>
            </w:r>
          </w:p>
        </w:tc>
      </w:tr>
      <w:tr w14:paraId="549A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4D3A02F">
            <w:pPr>
              <w:pStyle w:val="557"/>
            </w:pPr>
          </w:p>
        </w:tc>
        <w:tc>
          <w:tcPr>
            <w:tcW w:w="2654" w:type="dxa"/>
            <w:vMerge w:val="continue"/>
            <w:tcMar>
              <w:left w:w="57" w:type="dxa"/>
              <w:right w:w="57" w:type="dxa"/>
            </w:tcMar>
            <w:vAlign w:val="center"/>
          </w:tcPr>
          <w:p w14:paraId="45B4E60B">
            <w:pPr>
              <w:pStyle w:val="557"/>
            </w:pPr>
          </w:p>
        </w:tc>
        <w:tc>
          <w:tcPr>
            <w:tcW w:w="5379" w:type="dxa"/>
            <w:gridSpan w:val="6"/>
            <w:tcMar>
              <w:left w:w="57" w:type="dxa"/>
              <w:right w:w="57" w:type="dxa"/>
            </w:tcMar>
            <w:vAlign w:val="center"/>
          </w:tcPr>
          <w:p w14:paraId="47EA0BF6">
            <w:pPr>
              <w:pStyle w:val="557"/>
            </w:pPr>
            <w:r>
              <w:t>直接排放□；间接排放</w:t>
            </w:r>
            <w:r>
              <w:rPr/>
              <w:sym w:font="Wingdings 2" w:char="0052"/>
            </w:r>
            <w:r>
              <w:t>；其他□</w:t>
            </w:r>
          </w:p>
        </w:tc>
        <w:tc>
          <w:tcPr>
            <w:tcW w:w="5259" w:type="dxa"/>
            <w:gridSpan w:val="7"/>
            <w:tcMar>
              <w:left w:w="57" w:type="dxa"/>
              <w:right w:w="57" w:type="dxa"/>
            </w:tcMar>
            <w:vAlign w:val="center"/>
          </w:tcPr>
          <w:p w14:paraId="78D9BFA5">
            <w:pPr>
              <w:pStyle w:val="557"/>
            </w:pPr>
            <w:r>
              <w:t>水温□；径流□；水域面积□</w:t>
            </w:r>
          </w:p>
        </w:tc>
      </w:tr>
      <w:tr w14:paraId="7C3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57CDBB6">
            <w:pPr>
              <w:pStyle w:val="557"/>
            </w:pPr>
          </w:p>
        </w:tc>
        <w:tc>
          <w:tcPr>
            <w:tcW w:w="2654" w:type="dxa"/>
            <w:tcMar>
              <w:left w:w="57" w:type="dxa"/>
              <w:right w:w="57" w:type="dxa"/>
            </w:tcMar>
            <w:vAlign w:val="center"/>
          </w:tcPr>
          <w:p w14:paraId="1205AC30">
            <w:pPr>
              <w:pStyle w:val="557"/>
            </w:pPr>
            <w:r>
              <w:t>影响因子</w:t>
            </w:r>
          </w:p>
        </w:tc>
        <w:tc>
          <w:tcPr>
            <w:tcW w:w="5379" w:type="dxa"/>
            <w:gridSpan w:val="6"/>
            <w:tcMar>
              <w:left w:w="57" w:type="dxa"/>
              <w:right w:w="57" w:type="dxa"/>
            </w:tcMar>
          </w:tcPr>
          <w:p w14:paraId="7EAB6375">
            <w:pPr>
              <w:pStyle w:val="557"/>
            </w:pPr>
            <w:r>
              <w:t>持久性污染物□；有毒有害污染物</w:t>
            </w:r>
            <w:r>
              <w:rPr/>
              <w:sym w:font="Wingdings 2" w:char="0052"/>
            </w:r>
            <w:r>
              <w:t>；非持久性污染物</w:t>
            </w:r>
            <w:r>
              <w:rPr/>
              <w:sym w:font="Wingdings 2" w:char="0052"/>
            </w:r>
            <w:r>
              <w:t>；</w:t>
            </w:r>
          </w:p>
          <w:p w14:paraId="10137E49">
            <w:pPr>
              <w:pStyle w:val="557"/>
            </w:pPr>
            <w:r>
              <w:t>pH值</w:t>
            </w:r>
            <w:r>
              <w:rPr/>
              <w:sym w:font="Wingdings 2" w:char="0052"/>
            </w:r>
            <w:r>
              <w:t>；热污染□；富营养化□；其他□</w:t>
            </w:r>
          </w:p>
        </w:tc>
        <w:tc>
          <w:tcPr>
            <w:tcW w:w="5259" w:type="dxa"/>
            <w:gridSpan w:val="7"/>
            <w:tcMar>
              <w:left w:w="57" w:type="dxa"/>
              <w:right w:w="57" w:type="dxa"/>
            </w:tcMar>
            <w:vAlign w:val="center"/>
          </w:tcPr>
          <w:p w14:paraId="56E076E2">
            <w:pPr>
              <w:pStyle w:val="557"/>
            </w:pPr>
            <w:r>
              <w:t>水温□；水位（水深）□；流速□；流量□；其他□</w:t>
            </w:r>
          </w:p>
        </w:tc>
      </w:tr>
      <w:tr w14:paraId="7642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0" w:type="dxa"/>
            <w:gridSpan w:val="2"/>
            <w:vMerge w:val="restart"/>
            <w:tcMar>
              <w:left w:w="57" w:type="dxa"/>
              <w:right w:w="57" w:type="dxa"/>
            </w:tcMar>
            <w:vAlign w:val="center"/>
          </w:tcPr>
          <w:p w14:paraId="61D92E48">
            <w:pPr>
              <w:pStyle w:val="557"/>
            </w:pPr>
            <w:r>
              <w:t>评价等级</w:t>
            </w:r>
          </w:p>
        </w:tc>
        <w:tc>
          <w:tcPr>
            <w:tcW w:w="5379" w:type="dxa"/>
            <w:gridSpan w:val="6"/>
            <w:tcMar>
              <w:left w:w="57" w:type="dxa"/>
              <w:right w:w="57" w:type="dxa"/>
            </w:tcMar>
          </w:tcPr>
          <w:p w14:paraId="63D16888">
            <w:pPr>
              <w:pStyle w:val="557"/>
            </w:pPr>
            <w:r>
              <w:t>水污染影响型</w:t>
            </w:r>
          </w:p>
        </w:tc>
        <w:tc>
          <w:tcPr>
            <w:tcW w:w="5259" w:type="dxa"/>
            <w:gridSpan w:val="7"/>
            <w:tcMar>
              <w:left w:w="57" w:type="dxa"/>
              <w:right w:w="57" w:type="dxa"/>
            </w:tcMar>
            <w:vAlign w:val="center"/>
          </w:tcPr>
          <w:p w14:paraId="73A40437">
            <w:pPr>
              <w:pStyle w:val="557"/>
            </w:pPr>
            <w:r>
              <w:t>水文要素影响型</w:t>
            </w:r>
          </w:p>
        </w:tc>
      </w:tr>
      <w:tr w14:paraId="312E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10" w:type="dxa"/>
            <w:gridSpan w:val="2"/>
            <w:vMerge w:val="continue"/>
            <w:tcMar>
              <w:left w:w="57" w:type="dxa"/>
              <w:right w:w="57" w:type="dxa"/>
            </w:tcMar>
            <w:vAlign w:val="center"/>
          </w:tcPr>
          <w:p w14:paraId="7894FCFD">
            <w:pPr>
              <w:pStyle w:val="557"/>
            </w:pPr>
          </w:p>
        </w:tc>
        <w:tc>
          <w:tcPr>
            <w:tcW w:w="5379" w:type="dxa"/>
            <w:gridSpan w:val="6"/>
            <w:tcMar>
              <w:left w:w="57" w:type="dxa"/>
              <w:right w:w="57" w:type="dxa"/>
            </w:tcMar>
          </w:tcPr>
          <w:p w14:paraId="06BA766A">
            <w:pPr>
              <w:pStyle w:val="557"/>
            </w:pPr>
            <w:r>
              <w:t>一级□；二级□；三级A□；三级B</w:t>
            </w:r>
            <w:r>
              <w:rPr/>
              <w:sym w:font="Wingdings 2" w:char="0052"/>
            </w:r>
          </w:p>
        </w:tc>
        <w:tc>
          <w:tcPr>
            <w:tcW w:w="5259" w:type="dxa"/>
            <w:gridSpan w:val="7"/>
            <w:tcMar>
              <w:left w:w="57" w:type="dxa"/>
              <w:right w:w="57" w:type="dxa"/>
            </w:tcMar>
            <w:vAlign w:val="center"/>
          </w:tcPr>
          <w:p w14:paraId="3A5D87C4">
            <w:pPr>
              <w:pStyle w:val="557"/>
            </w:pPr>
            <w:r>
              <w:t>一级□；二级□；三级□</w:t>
            </w:r>
          </w:p>
        </w:tc>
      </w:tr>
      <w:tr w14:paraId="3C8F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5576DCDE">
            <w:pPr>
              <w:pStyle w:val="557"/>
            </w:pPr>
            <w:r>
              <w:t>现状</w:t>
            </w:r>
          </w:p>
          <w:p w14:paraId="4C04150D">
            <w:pPr>
              <w:pStyle w:val="557"/>
            </w:pPr>
            <w:r>
              <w:t>调查</w:t>
            </w:r>
          </w:p>
        </w:tc>
        <w:tc>
          <w:tcPr>
            <w:tcW w:w="2654" w:type="dxa"/>
            <w:vMerge w:val="restart"/>
            <w:tcMar>
              <w:left w:w="57" w:type="dxa"/>
              <w:right w:w="57" w:type="dxa"/>
            </w:tcMar>
            <w:vAlign w:val="center"/>
          </w:tcPr>
          <w:p w14:paraId="53A87CD9">
            <w:pPr>
              <w:pStyle w:val="557"/>
            </w:pPr>
            <w:r>
              <w:t>区域污染源</w:t>
            </w:r>
          </w:p>
        </w:tc>
        <w:tc>
          <w:tcPr>
            <w:tcW w:w="5379" w:type="dxa"/>
            <w:gridSpan w:val="6"/>
            <w:tcMar>
              <w:left w:w="57" w:type="dxa"/>
              <w:right w:w="57" w:type="dxa"/>
            </w:tcMar>
            <w:vAlign w:val="center"/>
          </w:tcPr>
          <w:p w14:paraId="01CA649B">
            <w:pPr>
              <w:pStyle w:val="557"/>
            </w:pPr>
            <w:r>
              <w:t>调查项目</w:t>
            </w:r>
          </w:p>
        </w:tc>
        <w:tc>
          <w:tcPr>
            <w:tcW w:w="5259" w:type="dxa"/>
            <w:gridSpan w:val="7"/>
            <w:tcMar>
              <w:left w:w="57" w:type="dxa"/>
              <w:right w:w="57" w:type="dxa"/>
            </w:tcMar>
            <w:vAlign w:val="center"/>
          </w:tcPr>
          <w:p w14:paraId="4C8244A2">
            <w:pPr>
              <w:pStyle w:val="557"/>
            </w:pPr>
            <w:r>
              <w:t>数据来源</w:t>
            </w:r>
          </w:p>
        </w:tc>
      </w:tr>
      <w:tr w14:paraId="67A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73166789">
            <w:pPr>
              <w:pStyle w:val="557"/>
            </w:pPr>
          </w:p>
        </w:tc>
        <w:tc>
          <w:tcPr>
            <w:tcW w:w="2654" w:type="dxa"/>
            <w:vMerge w:val="continue"/>
            <w:tcMar>
              <w:left w:w="57" w:type="dxa"/>
              <w:right w:w="57" w:type="dxa"/>
            </w:tcMar>
            <w:vAlign w:val="center"/>
          </w:tcPr>
          <w:p w14:paraId="3D8EEC87">
            <w:pPr>
              <w:pStyle w:val="557"/>
            </w:pPr>
          </w:p>
        </w:tc>
        <w:tc>
          <w:tcPr>
            <w:tcW w:w="2639" w:type="dxa"/>
            <w:gridSpan w:val="3"/>
            <w:tcMar>
              <w:left w:w="57" w:type="dxa"/>
              <w:right w:w="57" w:type="dxa"/>
            </w:tcMar>
            <w:vAlign w:val="center"/>
          </w:tcPr>
          <w:p w14:paraId="2F14D754">
            <w:pPr>
              <w:pStyle w:val="557"/>
            </w:pPr>
            <w:r>
              <w:t>已建□；在建□；拟建□；其他□</w:t>
            </w:r>
          </w:p>
        </w:tc>
        <w:tc>
          <w:tcPr>
            <w:tcW w:w="2740" w:type="dxa"/>
            <w:gridSpan w:val="3"/>
            <w:tcMar>
              <w:left w:w="57" w:type="dxa"/>
              <w:right w:w="57" w:type="dxa"/>
            </w:tcMar>
            <w:vAlign w:val="center"/>
          </w:tcPr>
          <w:p w14:paraId="4D9574A7">
            <w:pPr>
              <w:pStyle w:val="557"/>
            </w:pPr>
            <w:r>
              <w:t>拟替代的污染源□</w:t>
            </w:r>
          </w:p>
        </w:tc>
        <w:tc>
          <w:tcPr>
            <w:tcW w:w="5259" w:type="dxa"/>
            <w:gridSpan w:val="7"/>
            <w:tcMar>
              <w:left w:w="57" w:type="dxa"/>
              <w:right w:w="57" w:type="dxa"/>
            </w:tcMar>
            <w:vAlign w:val="center"/>
          </w:tcPr>
          <w:p w14:paraId="79A8FAEA">
            <w:pPr>
              <w:pStyle w:val="557"/>
            </w:pPr>
            <w:r>
              <w:t>排污许可证□；环评□；环保验收□；既有实测□；</w:t>
            </w:r>
          </w:p>
          <w:p w14:paraId="62AED173">
            <w:pPr>
              <w:pStyle w:val="557"/>
            </w:pPr>
            <w:r>
              <w:t>现场监测□；入河排放口数据□；其他□</w:t>
            </w:r>
          </w:p>
        </w:tc>
      </w:tr>
      <w:tr w14:paraId="076E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6B0387ED">
            <w:pPr>
              <w:pStyle w:val="557"/>
            </w:pPr>
          </w:p>
        </w:tc>
        <w:tc>
          <w:tcPr>
            <w:tcW w:w="2654" w:type="dxa"/>
            <w:vMerge w:val="restart"/>
            <w:tcMar>
              <w:left w:w="57" w:type="dxa"/>
              <w:right w:w="57" w:type="dxa"/>
            </w:tcMar>
            <w:vAlign w:val="center"/>
          </w:tcPr>
          <w:p w14:paraId="01826F62">
            <w:pPr>
              <w:pStyle w:val="557"/>
            </w:pPr>
            <w:r>
              <w:t>受影响水体水环境质量</w:t>
            </w:r>
          </w:p>
        </w:tc>
        <w:tc>
          <w:tcPr>
            <w:tcW w:w="5379" w:type="dxa"/>
            <w:gridSpan w:val="6"/>
            <w:tcMar>
              <w:left w:w="57" w:type="dxa"/>
              <w:right w:w="57" w:type="dxa"/>
            </w:tcMar>
          </w:tcPr>
          <w:p w14:paraId="03F7C5D1">
            <w:pPr>
              <w:pStyle w:val="557"/>
            </w:pPr>
            <w:r>
              <w:t>调查时期</w:t>
            </w:r>
          </w:p>
        </w:tc>
        <w:tc>
          <w:tcPr>
            <w:tcW w:w="5259" w:type="dxa"/>
            <w:gridSpan w:val="7"/>
            <w:tcMar>
              <w:left w:w="57" w:type="dxa"/>
              <w:right w:w="57" w:type="dxa"/>
            </w:tcMar>
          </w:tcPr>
          <w:p w14:paraId="536C93C8">
            <w:pPr>
              <w:pStyle w:val="557"/>
            </w:pPr>
            <w:r>
              <w:t>数据来源</w:t>
            </w:r>
          </w:p>
        </w:tc>
      </w:tr>
      <w:tr w14:paraId="6F7D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291242C1">
            <w:pPr>
              <w:pStyle w:val="557"/>
            </w:pPr>
          </w:p>
        </w:tc>
        <w:tc>
          <w:tcPr>
            <w:tcW w:w="2654" w:type="dxa"/>
            <w:vMerge w:val="continue"/>
            <w:tcMar>
              <w:left w:w="57" w:type="dxa"/>
              <w:right w:w="57" w:type="dxa"/>
            </w:tcMar>
            <w:vAlign w:val="center"/>
          </w:tcPr>
          <w:p w14:paraId="3C97AA13">
            <w:pPr>
              <w:pStyle w:val="557"/>
            </w:pPr>
          </w:p>
        </w:tc>
        <w:tc>
          <w:tcPr>
            <w:tcW w:w="5379" w:type="dxa"/>
            <w:gridSpan w:val="6"/>
            <w:tcMar>
              <w:left w:w="57" w:type="dxa"/>
              <w:right w:w="57" w:type="dxa"/>
            </w:tcMar>
            <w:vAlign w:val="center"/>
          </w:tcPr>
          <w:p w14:paraId="21646B14">
            <w:pPr>
              <w:pStyle w:val="557"/>
            </w:pPr>
            <w:r>
              <w:t>丰水期□；平水期□；枯水期□；冰封期□</w:t>
            </w:r>
          </w:p>
          <w:p w14:paraId="246C9F61">
            <w:pPr>
              <w:pStyle w:val="557"/>
            </w:pPr>
            <w:r>
              <w:t>春季□；夏季□；秋季□；冬季</w:t>
            </w:r>
            <w:r>
              <w:rPr/>
              <w:sym w:font="Wingdings 2" w:char="0052"/>
            </w:r>
          </w:p>
        </w:tc>
        <w:tc>
          <w:tcPr>
            <w:tcW w:w="5259" w:type="dxa"/>
            <w:gridSpan w:val="7"/>
            <w:tcMar>
              <w:left w:w="57" w:type="dxa"/>
              <w:right w:w="57" w:type="dxa"/>
            </w:tcMar>
            <w:vAlign w:val="center"/>
          </w:tcPr>
          <w:p w14:paraId="762B2028">
            <w:pPr>
              <w:pStyle w:val="557"/>
            </w:pPr>
            <w:r>
              <w:t>生态环境保护主管部门□；补充监测</w:t>
            </w:r>
            <w:r>
              <w:rPr/>
              <w:sym w:font="Wingdings 2" w:char="0052"/>
            </w:r>
            <w:r>
              <w:t>；其他□</w:t>
            </w:r>
          </w:p>
        </w:tc>
      </w:tr>
      <w:tr w14:paraId="02E0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E03894A">
            <w:pPr>
              <w:pStyle w:val="557"/>
            </w:pPr>
          </w:p>
        </w:tc>
        <w:tc>
          <w:tcPr>
            <w:tcW w:w="2654" w:type="dxa"/>
            <w:tcMar>
              <w:left w:w="57" w:type="dxa"/>
              <w:right w:w="57" w:type="dxa"/>
            </w:tcMar>
          </w:tcPr>
          <w:p w14:paraId="28B6B9EB">
            <w:pPr>
              <w:pStyle w:val="557"/>
            </w:pPr>
            <w:r>
              <w:t>区域水资源开发利用状况</w:t>
            </w:r>
          </w:p>
        </w:tc>
        <w:tc>
          <w:tcPr>
            <w:tcW w:w="10638" w:type="dxa"/>
            <w:gridSpan w:val="13"/>
            <w:tcMar>
              <w:left w:w="57" w:type="dxa"/>
              <w:right w:w="57" w:type="dxa"/>
            </w:tcMar>
            <w:vAlign w:val="center"/>
          </w:tcPr>
          <w:p w14:paraId="050744A4">
            <w:pPr>
              <w:pStyle w:val="557"/>
            </w:pPr>
            <w:r>
              <w:t>未开发□；开发量40%以下□；开发量40%以上□</w:t>
            </w:r>
          </w:p>
        </w:tc>
      </w:tr>
      <w:tr w14:paraId="2C96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BE3DB92">
            <w:pPr>
              <w:pStyle w:val="557"/>
            </w:pPr>
          </w:p>
        </w:tc>
        <w:tc>
          <w:tcPr>
            <w:tcW w:w="2654" w:type="dxa"/>
            <w:vMerge w:val="restart"/>
            <w:tcMar>
              <w:left w:w="57" w:type="dxa"/>
              <w:right w:w="57" w:type="dxa"/>
            </w:tcMar>
            <w:vAlign w:val="center"/>
          </w:tcPr>
          <w:p w14:paraId="3F6B3666">
            <w:pPr>
              <w:pStyle w:val="557"/>
            </w:pPr>
            <w:r>
              <w:t>水文情势调查</w:t>
            </w:r>
          </w:p>
        </w:tc>
        <w:tc>
          <w:tcPr>
            <w:tcW w:w="5379" w:type="dxa"/>
            <w:gridSpan w:val="6"/>
            <w:tcMar>
              <w:left w:w="57" w:type="dxa"/>
              <w:right w:w="57" w:type="dxa"/>
            </w:tcMar>
            <w:vAlign w:val="center"/>
          </w:tcPr>
          <w:p w14:paraId="0F12C708">
            <w:pPr>
              <w:pStyle w:val="557"/>
            </w:pPr>
            <w:r>
              <w:t>调查时期</w:t>
            </w:r>
          </w:p>
        </w:tc>
        <w:tc>
          <w:tcPr>
            <w:tcW w:w="5259" w:type="dxa"/>
            <w:gridSpan w:val="7"/>
            <w:tcMar>
              <w:left w:w="57" w:type="dxa"/>
              <w:right w:w="57" w:type="dxa"/>
            </w:tcMar>
            <w:vAlign w:val="center"/>
          </w:tcPr>
          <w:p w14:paraId="5E6A3C3F">
            <w:pPr>
              <w:pStyle w:val="557"/>
            </w:pPr>
            <w:r>
              <w:t>数据来源</w:t>
            </w:r>
          </w:p>
        </w:tc>
      </w:tr>
      <w:tr w14:paraId="44C4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15AAA6F8">
            <w:pPr>
              <w:pStyle w:val="557"/>
            </w:pPr>
          </w:p>
        </w:tc>
        <w:tc>
          <w:tcPr>
            <w:tcW w:w="2654" w:type="dxa"/>
            <w:vMerge w:val="continue"/>
            <w:tcMar>
              <w:left w:w="57" w:type="dxa"/>
              <w:right w:w="57" w:type="dxa"/>
            </w:tcMar>
            <w:vAlign w:val="center"/>
          </w:tcPr>
          <w:p w14:paraId="4ED42FEA">
            <w:pPr>
              <w:pStyle w:val="557"/>
            </w:pPr>
          </w:p>
        </w:tc>
        <w:tc>
          <w:tcPr>
            <w:tcW w:w="5379" w:type="dxa"/>
            <w:gridSpan w:val="6"/>
            <w:tcMar>
              <w:left w:w="57" w:type="dxa"/>
              <w:right w:w="57" w:type="dxa"/>
            </w:tcMar>
            <w:vAlign w:val="center"/>
          </w:tcPr>
          <w:p w14:paraId="3D3F0A36">
            <w:pPr>
              <w:pStyle w:val="557"/>
            </w:pPr>
            <w:r>
              <w:t>丰水期□；平水期□；枯水期□；冰封期□</w:t>
            </w:r>
          </w:p>
          <w:p w14:paraId="36778A2A">
            <w:pPr>
              <w:pStyle w:val="557"/>
            </w:pPr>
            <w:r>
              <w:t>春季□；夏季□；秋季□；冬季□</w:t>
            </w:r>
          </w:p>
        </w:tc>
        <w:tc>
          <w:tcPr>
            <w:tcW w:w="5259" w:type="dxa"/>
            <w:gridSpan w:val="7"/>
            <w:tcMar>
              <w:left w:w="57" w:type="dxa"/>
              <w:right w:w="57" w:type="dxa"/>
            </w:tcMar>
            <w:vAlign w:val="center"/>
          </w:tcPr>
          <w:p w14:paraId="22FC5137">
            <w:pPr>
              <w:pStyle w:val="557"/>
            </w:pPr>
            <w:r>
              <w:t>水行政主管部门□；补充监测□；其他□</w:t>
            </w:r>
          </w:p>
        </w:tc>
      </w:tr>
      <w:tr w14:paraId="3559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E2EABBE">
            <w:pPr>
              <w:pStyle w:val="557"/>
            </w:pPr>
          </w:p>
        </w:tc>
        <w:tc>
          <w:tcPr>
            <w:tcW w:w="2654" w:type="dxa"/>
            <w:vMerge w:val="restart"/>
            <w:tcMar>
              <w:left w:w="57" w:type="dxa"/>
              <w:right w:w="57" w:type="dxa"/>
            </w:tcMar>
            <w:vAlign w:val="center"/>
          </w:tcPr>
          <w:p w14:paraId="1F7F7277">
            <w:pPr>
              <w:pStyle w:val="557"/>
            </w:pPr>
            <w:r>
              <w:t>补充监测</w:t>
            </w:r>
          </w:p>
        </w:tc>
        <w:tc>
          <w:tcPr>
            <w:tcW w:w="5379" w:type="dxa"/>
            <w:gridSpan w:val="6"/>
            <w:tcMar>
              <w:left w:w="57" w:type="dxa"/>
              <w:right w:w="57" w:type="dxa"/>
            </w:tcMar>
            <w:vAlign w:val="center"/>
          </w:tcPr>
          <w:p w14:paraId="7756FBEB">
            <w:pPr>
              <w:pStyle w:val="557"/>
            </w:pPr>
            <w:r>
              <w:t>监测时期</w:t>
            </w:r>
          </w:p>
        </w:tc>
        <w:tc>
          <w:tcPr>
            <w:tcW w:w="2468" w:type="dxa"/>
            <w:gridSpan w:val="4"/>
            <w:tcMar>
              <w:left w:w="57" w:type="dxa"/>
              <w:right w:w="57" w:type="dxa"/>
            </w:tcMar>
          </w:tcPr>
          <w:p w14:paraId="5F0B6B84">
            <w:pPr>
              <w:pStyle w:val="557"/>
            </w:pPr>
            <w:r>
              <w:t>监测因子</w:t>
            </w:r>
          </w:p>
        </w:tc>
        <w:tc>
          <w:tcPr>
            <w:tcW w:w="2791" w:type="dxa"/>
            <w:gridSpan w:val="3"/>
            <w:tcMar>
              <w:left w:w="57" w:type="dxa"/>
              <w:right w:w="57" w:type="dxa"/>
            </w:tcMar>
          </w:tcPr>
          <w:p w14:paraId="54289E9D">
            <w:pPr>
              <w:pStyle w:val="557"/>
            </w:pPr>
            <w:r>
              <w:t>监测断面或点位</w:t>
            </w:r>
          </w:p>
        </w:tc>
      </w:tr>
      <w:tr w14:paraId="6FFB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50A52BBE">
            <w:pPr>
              <w:pStyle w:val="557"/>
            </w:pPr>
          </w:p>
        </w:tc>
        <w:tc>
          <w:tcPr>
            <w:tcW w:w="2654" w:type="dxa"/>
            <w:vMerge w:val="continue"/>
            <w:tcMar>
              <w:left w:w="57" w:type="dxa"/>
              <w:right w:w="57" w:type="dxa"/>
            </w:tcMar>
            <w:vAlign w:val="center"/>
          </w:tcPr>
          <w:p w14:paraId="6B8C0844">
            <w:pPr>
              <w:pStyle w:val="557"/>
            </w:pPr>
          </w:p>
        </w:tc>
        <w:tc>
          <w:tcPr>
            <w:tcW w:w="5379" w:type="dxa"/>
            <w:gridSpan w:val="6"/>
            <w:tcMar>
              <w:left w:w="57" w:type="dxa"/>
              <w:right w:w="57" w:type="dxa"/>
            </w:tcMar>
          </w:tcPr>
          <w:p w14:paraId="7625F649">
            <w:pPr>
              <w:pStyle w:val="557"/>
            </w:pPr>
            <w:r>
              <w:t>丰水期□；平水期□；枯水期□；冰封期□</w:t>
            </w:r>
          </w:p>
          <w:p w14:paraId="296649C7">
            <w:pPr>
              <w:pStyle w:val="557"/>
            </w:pPr>
            <w:r>
              <w:t>春季□；夏季□；秋季□；冬季□</w:t>
            </w:r>
          </w:p>
        </w:tc>
        <w:tc>
          <w:tcPr>
            <w:tcW w:w="2468" w:type="dxa"/>
            <w:gridSpan w:val="4"/>
            <w:tcMar>
              <w:left w:w="57" w:type="dxa"/>
              <w:right w:w="57" w:type="dxa"/>
            </w:tcMar>
            <w:vAlign w:val="center"/>
          </w:tcPr>
          <w:p w14:paraId="5429297D">
            <w:pPr>
              <w:pStyle w:val="557"/>
            </w:pPr>
            <w:r>
              <w:t>（）</w:t>
            </w:r>
          </w:p>
        </w:tc>
        <w:tc>
          <w:tcPr>
            <w:tcW w:w="2791" w:type="dxa"/>
            <w:gridSpan w:val="3"/>
            <w:tcMar>
              <w:left w:w="57" w:type="dxa"/>
              <w:right w:w="57" w:type="dxa"/>
            </w:tcMar>
          </w:tcPr>
          <w:p w14:paraId="4A298437">
            <w:pPr>
              <w:pStyle w:val="557"/>
            </w:pPr>
            <w:r>
              <w:t>监测断面或点位个数</w:t>
            </w:r>
          </w:p>
          <w:p w14:paraId="35C209B9">
            <w:pPr>
              <w:pStyle w:val="557"/>
            </w:pPr>
            <w:r>
              <w:t>（）个</w:t>
            </w:r>
          </w:p>
        </w:tc>
      </w:tr>
      <w:tr w14:paraId="1E82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29E449D2">
            <w:pPr>
              <w:pStyle w:val="557"/>
            </w:pPr>
            <w:r>
              <w:t>现状</w:t>
            </w:r>
          </w:p>
          <w:p w14:paraId="35F0C11A">
            <w:pPr>
              <w:pStyle w:val="557"/>
            </w:pPr>
            <w:r>
              <w:t>评价</w:t>
            </w:r>
          </w:p>
        </w:tc>
        <w:tc>
          <w:tcPr>
            <w:tcW w:w="2654" w:type="dxa"/>
            <w:tcMar>
              <w:left w:w="57" w:type="dxa"/>
              <w:right w:w="57" w:type="dxa"/>
            </w:tcMar>
            <w:vAlign w:val="center"/>
          </w:tcPr>
          <w:p w14:paraId="702CC4AE">
            <w:pPr>
              <w:pStyle w:val="557"/>
            </w:pPr>
            <w:r>
              <w:t>评价范围</w:t>
            </w:r>
          </w:p>
        </w:tc>
        <w:tc>
          <w:tcPr>
            <w:tcW w:w="10638" w:type="dxa"/>
            <w:gridSpan w:val="13"/>
            <w:tcMar>
              <w:left w:w="57" w:type="dxa"/>
              <w:right w:w="57" w:type="dxa"/>
            </w:tcMar>
          </w:tcPr>
          <w:p w14:paraId="008236EF">
            <w:pPr>
              <w:pStyle w:val="557"/>
            </w:pPr>
            <w:r>
              <w:t>河流：长度（）km；湖库、河口及近岸海域：面积（）km</w:t>
            </w:r>
            <w:r>
              <w:rPr>
                <w:vertAlign w:val="superscript"/>
              </w:rPr>
              <w:t>2</w:t>
            </w:r>
          </w:p>
        </w:tc>
      </w:tr>
      <w:tr w14:paraId="646D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06DC108">
            <w:pPr>
              <w:pStyle w:val="557"/>
            </w:pPr>
          </w:p>
        </w:tc>
        <w:tc>
          <w:tcPr>
            <w:tcW w:w="2654" w:type="dxa"/>
            <w:tcMar>
              <w:left w:w="57" w:type="dxa"/>
              <w:right w:w="57" w:type="dxa"/>
            </w:tcMar>
            <w:vAlign w:val="center"/>
          </w:tcPr>
          <w:p w14:paraId="0D92F975">
            <w:pPr>
              <w:pStyle w:val="557"/>
            </w:pPr>
            <w:r>
              <w:t>评价因子</w:t>
            </w:r>
          </w:p>
        </w:tc>
        <w:tc>
          <w:tcPr>
            <w:tcW w:w="10638" w:type="dxa"/>
            <w:gridSpan w:val="13"/>
            <w:tcMar>
              <w:left w:w="57" w:type="dxa"/>
              <w:right w:w="57" w:type="dxa"/>
            </w:tcMar>
          </w:tcPr>
          <w:p w14:paraId="5A78B969">
            <w:pPr>
              <w:pStyle w:val="557"/>
            </w:pPr>
            <w:r>
              <w:t>（pH</w:t>
            </w:r>
            <w:r>
              <w:rPr>
                <w:rFonts w:hint="eastAsia"/>
              </w:rPr>
              <w:t>、溶解氧、高锰酸盐指数、耗氧量、化学需氧量、五日生化需氧量、氨氮、铜、锌、氟化物、硒、砷、汞、镉、锰、铁、六价铬、铅、氰化物、挥发酚、石油类、阴离子表面活性剂、硫化物、粪大肠菌群</w:t>
            </w:r>
            <w:r>
              <w:t>）</w:t>
            </w:r>
          </w:p>
        </w:tc>
      </w:tr>
      <w:tr w14:paraId="3E48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633095CB">
            <w:pPr>
              <w:pStyle w:val="557"/>
            </w:pPr>
          </w:p>
        </w:tc>
        <w:tc>
          <w:tcPr>
            <w:tcW w:w="2654" w:type="dxa"/>
            <w:tcMar>
              <w:left w:w="57" w:type="dxa"/>
              <w:right w:w="57" w:type="dxa"/>
            </w:tcMar>
            <w:vAlign w:val="center"/>
          </w:tcPr>
          <w:p w14:paraId="59EF8587">
            <w:pPr>
              <w:pStyle w:val="557"/>
            </w:pPr>
            <w:r>
              <w:t>评价标准</w:t>
            </w:r>
          </w:p>
        </w:tc>
        <w:tc>
          <w:tcPr>
            <w:tcW w:w="10638" w:type="dxa"/>
            <w:gridSpan w:val="13"/>
            <w:tcMar>
              <w:left w:w="57" w:type="dxa"/>
              <w:right w:w="57" w:type="dxa"/>
            </w:tcMar>
          </w:tcPr>
          <w:p w14:paraId="54E284C0">
            <w:pPr>
              <w:pStyle w:val="557"/>
            </w:pPr>
            <w:r>
              <w:t>河流、湖库、河口：</w:t>
            </w:r>
            <w:r>
              <w:rPr>
                <w:rFonts w:hint="eastAsia"/>
              </w:rPr>
              <w:t>Ⅰ</w:t>
            </w:r>
            <w:r>
              <w:t>类□；</w:t>
            </w:r>
            <w:r>
              <w:rPr>
                <w:rFonts w:hint="eastAsia"/>
              </w:rPr>
              <w:t>Ⅱ</w:t>
            </w:r>
            <w:r>
              <w:t>类□；</w:t>
            </w:r>
            <w:r>
              <w:rPr>
                <w:rFonts w:hint="eastAsia"/>
              </w:rPr>
              <w:t>Ⅲ</w:t>
            </w:r>
            <w:r>
              <w:t>类</w:t>
            </w:r>
            <w:r>
              <w:rPr/>
              <w:sym w:font="Wingdings 2" w:char="0052"/>
            </w:r>
            <w:r>
              <w:t>；</w:t>
            </w:r>
            <w:r>
              <w:rPr>
                <w:rFonts w:hint="eastAsia"/>
              </w:rPr>
              <w:t>Ⅳ</w:t>
            </w:r>
            <w:r>
              <w:t>类□；</w:t>
            </w:r>
            <w:r>
              <w:rPr>
                <w:rFonts w:hint="eastAsia"/>
              </w:rPr>
              <w:t>Ⅴ</w:t>
            </w:r>
            <w:r>
              <w:t>类□</w:t>
            </w:r>
          </w:p>
          <w:p w14:paraId="110BAB7F">
            <w:pPr>
              <w:pStyle w:val="557"/>
            </w:pPr>
            <w:r>
              <w:t>近岸海域：第一类□；第二类□；第三类□；第四类□</w:t>
            </w:r>
          </w:p>
          <w:p w14:paraId="07BED047">
            <w:pPr>
              <w:pStyle w:val="557"/>
            </w:pPr>
            <w:r>
              <w:t>规划年评价标准（）</w:t>
            </w:r>
          </w:p>
        </w:tc>
      </w:tr>
      <w:tr w14:paraId="5577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C42063C">
            <w:pPr>
              <w:pStyle w:val="557"/>
            </w:pPr>
          </w:p>
        </w:tc>
        <w:tc>
          <w:tcPr>
            <w:tcW w:w="2654" w:type="dxa"/>
            <w:tcMar>
              <w:left w:w="57" w:type="dxa"/>
              <w:right w:w="57" w:type="dxa"/>
            </w:tcMar>
            <w:vAlign w:val="center"/>
          </w:tcPr>
          <w:p w14:paraId="5BF5ECAF">
            <w:pPr>
              <w:pStyle w:val="557"/>
            </w:pPr>
            <w:r>
              <w:t>评价时期</w:t>
            </w:r>
          </w:p>
        </w:tc>
        <w:tc>
          <w:tcPr>
            <w:tcW w:w="10638" w:type="dxa"/>
            <w:gridSpan w:val="13"/>
            <w:tcMar>
              <w:left w:w="57" w:type="dxa"/>
              <w:right w:w="57" w:type="dxa"/>
            </w:tcMar>
            <w:vAlign w:val="center"/>
          </w:tcPr>
          <w:p w14:paraId="0485DAF5">
            <w:pPr>
              <w:pStyle w:val="557"/>
            </w:pPr>
            <w:r>
              <w:t>丰水期□；平水期□；枯水期□；冰封期□</w:t>
            </w:r>
          </w:p>
          <w:p w14:paraId="1E2D9344">
            <w:pPr>
              <w:pStyle w:val="557"/>
            </w:pPr>
            <w:r>
              <w:t>春季□；夏季□；秋季</w:t>
            </w:r>
            <w:r>
              <w:rPr/>
              <w:sym w:font="Wingdings 2" w:char="0052"/>
            </w:r>
            <w:r>
              <w:t>；冬季□</w:t>
            </w:r>
          </w:p>
        </w:tc>
      </w:tr>
      <w:tr w14:paraId="16F3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5F1B57E5">
            <w:pPr>
              <w:pStyle w:val="557"/>
            </w:pPr>
          </w:p>
        </w:tc>
        <w:tc>
          <w:tcPr>
            <w:tcW w:w="2654" w:type="dxa"/>
            <w:tcMar>
              <w:left w:w="57" w:type="dxa"/>
              <w:right w:w="57" w:type="dxa"/>
            </w:tcMar>
            <w:vAlign w:val="center"/>
          </w:tcPr>
          <w:p w14:paraId="3707D910">
            <w:pPr>
              <w:pStyle w:val="557"/>
            </w:pPr>
            <w:r>
              <w:t>评价结论</w:t>
            </w:r>
          </w:p>
        </w:tc>
        <w:tc>
          <w:tcPr>
            <w:tcW w:w="8636" w:type="dxa"/>
            <w:gridSpan w:val="12"/>
            <w:tcMar>
              <w:left w:w="57" w:type="dxa"/>
              <w:right w:w="57" w:type="dxa"/>
            </w:tcMar>
          </w:tcPr>
          <w:p w14:paraId="431F11BB">
            <w:pPr>
              <w:pStyle w:val="557"/>
            </w:pPr>
            <w:r>
              <w:t>水环境功能区或水功能区、近岸海域环境功能区水质达标状况□：达标□；不达标□</w:t>
            </w:r>
          </w:p>
          <w:p w14:paraId="19F80163">
            <w:pPr>
              <w:pStyle w:val="557"/>
            </w:pPr>
            <w:r>
              <w:t>水环境控制单元或断面水质达标状况□：达标</w:t>
            </w:r>
            <w:r>
              <w:rPr/>
              <w:sym w:font="Wingdings 2" w:char="0052"/>
            </w:r>
            <w:r>
              <w:t>；不达标□</w:t>
            </w:r>
          </w:p>
          <w:p w14:paraId="5A59ED42">
            <w:pPr>
              <w:pStyle w:val="557"/>
            </w:pPr>
            <w:r>
              <w:t>水环境保护目标质量状况□：达标□；不达标□</w:t>
            </w:r>
          </w:p>
          <w:p w14:paraId="46EFE2F4">
            <w:pPr>
              <w:pStyle w:val="557"/>
            </w:pPr>
            <w:r>
              <w:t>对照断面、控制断面等代表性断面的水质状况□：达标□；不达标□</w:t>
            </w:r>
          </w:p>
          <w:p w14:paraId="7BE28CA5">
            <w:pPr>
              <w:pStyle w:val="557"/>
            </w:pPr>
            <w:r>
              <w:t>底泥污染评价□</w:t>
            </w:r>
          </w:p>
          <w:p w14:paraId="3D3A8642">
            <w:pPr>
              <w:pStyle w:val="557"/>
            </w:pPr>
            <w:r>
              <w:t>水资源与开发利用程度及其水文情势评价□</w:t>
            </w:r>
          </w:p>
          <w:p w14:paraId="093D769C">
            <w:pPr>
              <w:pStyle w:val="557"/>
            </w:pPr>
            <w:r>
              <w:t>水环境质量回顾评价□</w:t>
            </w:r>
          </w:p>
          <w:p w14:paraId="15FBEFFA">
            <w:pPr>
              <w:pStyle w:val="557"/>
            </w:pPr>
            <w:r>
              <w:t>流域（区域）水资源（包括水能资源）与开发利用总体状况、生态流量管理要求与现状满足程度、建设项目占用水域空间的水流状况与河湖演变状况□</w:t>
            </w:r>
          </w:p>
        </w:tc>
        <w:tc>
          <w:tcPr>
            <w:tcW w:w="2002" w:type="dxa"/>
            <w:tcMar>
              <w:left w:w="57" w:type="dxa"/>
              <w:right w:w="57" w:type="dxa"/>
            </w:tcMar>
            <w:vAlign w:val="center"/>
          </w:tcPr>
          <w:p w14:paraId="7D321139">
            <w:pPr>
              <w:pStyle w:val="557"/>
            </w:pPr>
            <w:r>
              <w:t>达标区</w:t>
            </w:r>
            <w:bookmarkStart w:id="342" w:name="OLE_LINK20"/>
            <w:r>
              <w:rPr/>
              <w:sym w:font="Wingdings 2" w:char="0052"/>
            </w:r>
            <w:bookmarkEnd w:id="342"/>
          </w:p>
          <w:p w14:paraId="04CBBBE2">
            <w:pPr>
              <w:pStyle w:val="557"/>
            </w:pPr>
            <w:r>
              <w:t>不达标区□</w:t>
            </w:r>
          </w:p>
        </w:tc>
      </w:tr>
      <w:tr w14:paraId="5C7E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18F9E406">
            <w:pPr>
              <w:pStyle w:val="557"/>
            </w:pPr>
            <w:r>
              <w:t>影响</w:t>
            </w:r>
          </w:p>
          <w:p w14:paraId="45AD75E6">
            <w:pPr>
              <w:pStyle w:val="557"/>
            </w:pPr>
            <w:r>
              <w:t>预测</w:t>
            </w:r>
          </w:p>
        </w:tc>
        <w:tc>
          <w:tcPr>
            <w:tcW w:w="2654" w:type="dxa"/>
            <w:tcMar>
              <w:left w:w="57" w:type="dxa"/>
              <w:right w:w="57" w:type="dxa"/>
            </w:tcMar>
            <w:vAlign w:val="center"/>
          </w:tcPr>
          <w:p w14:paraId="2A90C97B">
            <w:pPr>
              <w:pStyle w:val="557"/>
            </w:pPr>
            <w:r>
              <w:t>预测范围</w:t>
            </w:r>
          </w:p>
        </w:tc>
        <w:tc>
          <w:tcPr>
            <w:tcW w:w="10638" w:type="dxa"/>
            <w:gridSpan w:val="13"/>
            <w:tcMar>
              <w:left w:w="57" w:type="dxa"/>
              <w:right w:w="57" w:type="dxa"/>
            </w:tcMar>
          </w:tcPr>
          <w:p w14:paraId="0F8E2DC2">
            <w:pPr>
              <w:pStyle w:val="557"/>
            </w:pPr>
            <w:r>
              <w:t>河流：长度（）km；湖库、河口及近岸海域：面积（）km</w:t>
            </w:r>
            <w:r>
              <w:rPr>
                <w:vertAlign w:val="superscript"/>
              </w:rPr>
              <w:t>2</w:t>
            </w:r>
          </w:p>
        </w:tc>
      </w:tr>
      <w:tr w14:paraId="12BD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6C25F771">
            <w:pPr>
              <w:pStyle w:val="557"/>
            </w:pPr>
          </w:p>
        </w:tc>
        <w:tc>
          <w:tcPr>
            <w:tcW w:w="2654" w:type="dxa"/>
            <w:tcMar>
              <w:left w:w="57" w:type="dxa"/>
              <w:right w:w="57" w:type="dxa"/>
            </w:tcMar>
            <w:vAlign w:val="center"/>
          </w:tcPr>
          <w:p w14:paraId="07929940">
            <w:pPr>
              <w:pStyle w:val="557"/>
            </w:pPr>
            <w:r>
              <w:t>预测因子</w:t>
            </w:r>
          </w:p>
        </w:tc>
        <w:tc>
          <w:tcPr>
            <w:tcW w:w="10638" w:type="dxa"/>
            <w:gridSpan w:val="13"/>
            <w:tcMar>
              <w:left w:w="57" w:type="dxa"/>
              <w:right w:w="57" w:type="dxa"/>
            </w:tcMar>
          </w:tcPr>
          <w:p w14:paraId="1E0DCEA5">
            <w:pPr>
              <w:pStyle w:val="557"/>
            </w:pPr>
            <w:r>
              <w:t>（）</w:t>
            </w:r>
          </w:p>
        </w:tc>
      </w:tr>
      <w:tr w14:paraId="2FD9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03F538D8">
            <w:pPr>
              <w:pStyle w:val="557"/>
            </w:pPr>
          </w:p>
        </w:tc>
        <w:tc>
          <w:tcPr>
            <w:tcW w:w="2654" w:type="dxa"/>
            <w:vMerge w:val="restart"/>
            <w:tcMar>
              <w:left w:w="57" w:type="dxa"/>
              <w:right w:w="57" w:type="dxa"/>
            </w:tcMar>
            <w:vAlign w:val="center"/>
          </w:tcPr>
          <w:p w14:paraId="71927C00">
            <w:pPr>
              <w:pStyle w:val="557"/>
            </w:pPr>
            <w:r>
              <w:t>预测时期</w:t>
            </w:r>
          </w:p>
        </w:tc>
        <w:tc>
          <w:tcPr>
            <w:tcW w:w="10638" w:type="dxa"/>
            <w:gridSpan w:val="13"/>
            <w:tcMar>
              <w:left w:w="57" w:type="dxa"/>
              <w:right w:w="57" w:type="dxa"/>
            </w:tcMar>
          </w:tcPr>
          <w:p w14:paraId="1BABFB6C">
            <w:pPr>
              <w:pStyle w:val="557"/>
            </w:pPr>
            <w:r>
              <w:t>丰水期□；平水期□；枯水期□；冰封期□</w:t>
            </w:r>
          </w:p>
        </w:tc>
      </w:tr>
      <w:tr w14:paraId="06CC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61EBE11">
            <w:pPr>
              <w:pStyle w:val="557"/>
            </w:pPr>
          </w:p>
        </w:tc>
        <w:tc>
          <w:tcPr>
            <w:tcW w:w="2654" w:type="dxa"/>
            <w:vMerge w:val="continue"/>
            <w:tcMar>
              <w:left w:w="57" w:type="dxa"/>
              <w:right w:w="57" w:type="dxa"/>
            </w:tcMar>
            <w:vAlign w:val="center"/>
          </w:tcPr>
          <w:p w14:paraId="546E5516">
            <w:pPr>
              <w:pStyle w:val="557"/>
            </w:pPr>
          </w:p>
        </w:tc>
        <w:tc>
          <w:tcPr>
            <w:tcW w:w="10638" w:type="dxa"/>
            <w:gridSpan w:val="13"/>
            <w:tcMar>
              <w:left w:w="57" w:type="dxa"/>
              <w:right w:w="57" w:type="dxa"/>
            </w:tcMar>
          </w:tcPr>
          <w:p w14:paraId="27C30EB3">
            <w:pPr>
              <w:pStyle w:val="557"/>
            </w:pPr>
            <w:r>
              <w:t>春季□；夏季□；秋季□；冬季□</w:t>
            </w:r>
          </w:p>
          <w:p w14:paraId="0117BD7A">
            <w:pPr>
              <w:pStyle w:val="557"/>
            </w:pPr>
            <w:r>
              <w:t>设计水文条件□</w:t>
            </w:r>
          </w:p>
        </w:tc>
      </w:tr>
      <w:tr w14:paraId="5E16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722EAB0D">
            <w:pPr>
              <w:pStyle w:val="557"/>
            </w:pPr>
          </w:p>
        </w:tc>
        <w:tc>
          <w:tcPr>
            <w:tcW w:w="2654" w:type="dxa"/>
            <w:tcMar>
              <w:left w:w="57" w:type="dxa"/>
              <w:right w:w="57" w:type="dxa"/>
            </w:tcMar>
            <w:vAlign w:val="center"/>
          </w:tcPr>
          <w:p w14:paraId="0364F6D8">
            <w:pPr>
              <w:pStyle w:val="557"/>
            </w:pPr>
            <w:r>
              <w:t>预测情景</w:t>
            </w:r>
          </w:p>
        </w:tc>
        <w:tc>
          <w:tcPr>
            <w:tcW w:w="10638" w:type="dxa"/>
            <w:gridSpan w:val="13"/>
            <w:tcMar>
              <w:left w:w="57" w:type="dxa"/>
              <w:right w:w="57" w:type="dxa"/>
            </w:tcMar>
          </w:tcPr>
          <w:p w14:paraId="535E618F">
            <w:pPr>
              <w:pStyle w:val="557"/>
            </w:pPr>
            <w:r>
              <w:t>建设期□；生产运行期□；服务期满后□</w:t>
            </w:r>
          </w:p>
          <w:p w14:paraId="66D1816A">
            <w:pPr>
              <w:pStyle w:val="557"/>
            </w:pPr>
            <w:r>
              <w:t>正常工况□；非正常工况□</w:t>
            </w:r>
          </w:p>
          <w:p w14:paraId="0E5EB0E1">
            <w:pPr>
              <w:pStyle w:val="557"/>
            </w:pPr>
            <w:r>
              <w:t>污染控制和减缓措施方案□</w:t>
            </w:r>
          </w:p>
          <w:p w14:paraId="61B45465">
            <w:pPr>
              <w:pStyle w:val="557"/>
            </w:pPr>
            <w:r>
              <w:t>区（流）域环境质量改善目标要求情景□</w:t>
            </w:r>
          </w:p>
        </w:tc>
      </w:tr>
      <w:tr w14:paraId="37BF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21C92202">
            <w:pPr>
              <w:pStyle w:val="557"/>
            </w:pPr>
          </w:p>
        </w:tc>
        <w:tc>
          <w:tcPr>
            <w:tcW w:w="2654" w:type="dxa"/>
            <w:tcMar>
              <w:left w:w="57" w:type="dxa"/>
              <w:right w:w="57" w:type="dxa"/>
            </w:tcMar>
            <w:vAlign w:val="center"/>
          </w:tcPr>
          <w:p w14:paraId="3C2A7939">
            <w:pPr>
              <w:pStyle w:val="557"/>
            </w:pPr>
            <w:r>
              <w:t>预测方法</w:t>
            </w:r>
          </w:p>
        </w:tc>
        <w:tc>
          <w:tcPr>
            <w:tcW w:w="10638" w:type="dxa"/>
            <w:gridSpan w:val="13"/>
            <w:tcMar>
              <w:left w:w="57" w:type="dxa"/>
              <w:right w:w="57" w:type="dxa"/>
            </w:tcMar>
          </w:tcPr>
          <w:p w14:paraId="44795906">
            <w:pPr>
              <w:pStyle w:val="557"/>
            </w:pPr>
            <w:r>
              <w:t>数值解□；解析解□；其他□</w:t>
            </w:r>
          </w:p>
          <w:p w14:paraId="7E59026F">
            <w:pPr>
              <w:pStyle w:val="557"/>
            </w:pPr>
            <w:r>
              <w:t>导则推荐模式□；其他□</w:t>
            </w:r>
          </w:p>
        </w:tc>
      </w:tr>
      <w:tr w14:paraId="1C5A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41CF2A11">
            <w:pPr>
              <w:pStyle w:val="557"/>
            </w:pPr>
            <w:r>
              <w:t>影响</w:t>
            </w:r>
          </w:p>
          <w:p w14:paraId="438D9A27">
            <w:pPr>
              <w:pStyle w:val="557"/>
            </w:pPr>
            <w:r>
              <w:t>评价</w:t>
            </w:r>
          </w:p>
        </w:tc>
        <w:tc>
          <w:tcPr>
            <w:tcW w:w="2654" w:type="dxa"/>
            <w:tcMar>
              <w:left w:w="57" w:type="dxa"/>
              <w:right w:w="57" w:type="dxa"/>
            </w:tcMar>
          </w:tcPr>
          <w:p w14:paraId="2A5FAB0D">
            <w:pPr>
              <w:pStyle w:val="557"/>
            </w:pPr>
            <w:r>
              <w:t>水污染控制和水环境影响减缓措施有效性评价</w:t>
            </w:r>
          </w:p>
        </w:tc>
        <w:tc>
          <w:tcPr>
            <w:tcW w:w="10638" w:type="dxa"/>
            <w:gridSpan w:val="13"/>
            <w:tcMar>
              <w:left w:w="57" w:type="dxa"/>
              <w:right w:w="57" w:type="dxa"/>
            </w:tcMar>
            <w:vAlign w:val="center"/>
          </w:tcPr>
          <w:p w14:paraId="3331E63E">
            <w:pPr>
              <w:pStyle w:val="557"/>
            </w:pPr>
            <w:r>
              <w:t>区（流）域水环境质量改善目标□；替代削减源□</w:t>
            </w:r>
          </w:p>
        </w:tc>
      </w:tr>
      <w:tr w14:paraId="041B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5DD872B3">
            <w:pPr>
              <w:pStyle w:val="557"/>
            </w:pPr>
          </w:p>
        </w:tc>
        <w:tc>
          <w:tcPr>
            <w:tcW w:w="2654" w:type="dxa"/>
            <w:tcMar>
              <w:left w:w="57" w:type="dxa"/>
              <w:right w:w="57" w:type="dxa"/>
            </w:tcMar>
            <w:vAlign w:val="center"/>
          </w:tcPr>
          <w:p w14:paraId="53B51704">
            <w:pPr>
              <w:pStyle w:val="557"/>
            </w:pPr>
            <w:r>
              <w:t>水环境影响评价</w:t>
            </w:r>
          </w:p>
        </w:tc>
        <w:tc>
          <w:tcPr>
            <w:tcW w:w="10638" w:type="dxa"/>
            <w:gridSpan w:val="13"/>
            <w:tcMar>
              <w:left w:w="57" w:type="dxa"/>
              <w:right w:w="57" w:type="dxa"/>
            </w:tcMar>
            <w:vAlign w:val="center"/>
          </w:tcPr>
          <w:p w14:paraId="6540D40F">
            <w:pPr>
              <w:pStyle w:val="557"/>
            </w:pPr>
            <w:r>
              <w:t>排放口混合区外满足水环境管理要求□</w:t>
            </w:r>
          </w:p>
          <w:p w14:paraId="03143AF7">
            <w:pPr>
              <w:pStyle w:val="557"/>
            </w:pPr>
            <w:r>
              <w:t>水环境功能区或水功能区、近岸海域环境功能区水质达标□</w:t>
            </w:r>
          </w:p>
          <w:p w14:paraId="3A26BE58">
            <w:pPr>
              <w:pStyle w:val="557"/>
            </w:pPr>
            <w:r>
              <w:t>满足水环境保护目标水域水环境质量要求□</w:t>
            </w:r>
          </w:p>
          <w:p w14:paraId="7B60FAAD">
            <w:pPr>
              <w:pStyle w:val="557"/>
            </w:pPr>
            <w:r>
              <w:t>水环境控制单元或断面水质达标□</w:t>
            </w:r>
          </w:p>
          <w:p w14:paraId="527DC558">
            <w:pPr>
              <w:pStyle w:val="557"/>
            </w:pPr>
            <w:r>
              <w:t>满足重点水污染物排放总量控制指标要求，重点行业建设项目，主要污染物排放满足等量或减量替代要求□</w:t>
            </w:r>
          </w:p>
          <w:p w14:paraId="3E089C9B">
            <w:pPr>
              <w:pStyle w:val="557"/>
            </w:pPr>
            <w:r>
              <w:t>满足区（流）域水环境质量改善目标要求□</w:t>
            </w:r>
          </w:p>
          <w:p w14:paraId="6B6CC5C4">
            <w:pPr>
              <w:pStyle w:val="557"/>
            </w:pPr>
            <w:r>
              <w:t>水文要素影响型建设项目同时应包括水文情势变化评价、主要水文特征值影响评价、生态流量符合性评价□</w:t>
            </w:r>
          </w:p>
          <w:p w14:paraId="46EBD9C7">
            <w:pPr>
              <w:pStyle w:val="557"/>
            </w:pPr>
            <w:r>
              <w:t>对于新设或调整入河（湖库、近岸海域）排放口的建设项目，应包括排放口设置的环境合理性评价□</w:t>
            </w:r>
          </w:p>
          <w:p w14:paraId="610E7E95">
            <w:pPr>
              <w:pStyle w:val="557"/>
            </w:pPr>
            <w:r>
              <w:t>满足生态保护红线、水环境质量底线、资源利用上线和环境准入清单管理要求□</w:t>
            </w:r>
          </w:p>
        </w:tc>
      </w:tr>
      <w:tr w14:paraId="54E5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1C91FA4A">
            <w:pPr>
              <w:pStyle w:val="557"/>
            </w:pPr>
          </w:p>
        </w:tc>
        <w:tc>
          <w:tcPr>
            <w:tcW w:w="2654" w:type="dxa"/>
            <w:vMerge w:val="restart"/>
            <w:tcMar>
              <w:left w:w="57" w:type="dxa"/>
              <w:right w:w="57" w:type="dxa"/>
            </w:tcMar>
            <w:vAlign w:val="center"/>
          </w:tcPr>
          <w:p w14:paraId="273BAA5F">
            <w:pPr>
              <w:pStyle w:val="557"/>
            </w:pPr>
            <w:r>
              <w:t>污染源排放量核算</w:t>
            </w:r>
          </w:p>
        </w:tc>
        <w:tc>
          <w:tcPr>
            <w:tcW w:w="3193" w:type="dxa"/>
            <w:gridSpan w:val="4"/>
            <w:tcMar>
              <w:left w:w="57" w:type="dxa"/>
              <w:right w:w="57" w:type="dxa"/>
            </w:tcMar>
          </w:tcPr>
          <w:p w14:paraId="3703CEE9">
            <w:pPr>
              <w:pStyle w:val="557"/>
            </w:pPr>
            <w:r>
              <w:t>污染物名称</w:t>
            </w:r>
          </w:p>
        </w:tc>
        <w:tc>
          <w:tcPr>
            <w:tcW w:w="3724" w:type="dxa"/>
            <w:gridSpan w:val="5"/>
            <w:tcMar>
              <w:left w:w="57" w:type="dxa"/>
              <w:right w:w="57" w:type="dxa"/>
            </w:tcMar>
          </w:tcPr>
          <w:p w14:paraId="282596AA">
            <w:pPr>
              <w:pStyle w:val="557"/>
            </w:pPr>
            <w:r>
              <w:t>排放量/（t/a）</w:t>
            </w:r>
          </w:p>
        </w:tc>
        <w:tc>
          <w:tcPr>
            <w:tcW w:w="3721" w:type="dxa"/>
            <w:gridSpan w:val="4"/>
            <w:tcMar>
              <w:left w:w="57" w:type="dxa"/>
              <w:right w:w="57" w:type="dxa"/>
            </w:tcMar>
          </w:tcPr>
          <w:p w14:paraId="4511BF50">
            <w:pPr>
              <w:pStyle w:val="557"/>
            </w:pPr>
            <w:r>
              <w:t>排放浓度/（mg/L）</w:t>
            </w:r>
          </w:p>
        </w:tc>
      </w:tr>
      <w:tr w14:paraId="46A3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7B9A25AD">
            <w:pPr>
              <w:pStyle w:val="557"/>
            </w:pPr>
          </w:p>
        </w:tc>
        <w:tc>
          <w:tcPr>
            <w:tcW w:w="2654" w:type="dxa"/>
            <w:vMerge w:val="continue"/>
            <w:tcMar>
              <w:left w:w="57" w:type="dxa"/>
              <w:right w:w="57" w:type="dxa"/>
            </w:tcMar>
            <w:vAlign w:val="center"/>
          </w:tcPr>
          <w:p w14:paraId="63A46A1D">
            <w:pPr>
              <w:pStyle w:val="557"/>
            </w:pPr>
          </w:p>
        </w:tc>
        <w:tc>
          <w:tcPr>
            <w:tcW w:w="3193" w:type="dxa"/>
            <w:gridSpan w:val="4"/>
            <w:tcMar>
              <w:left w:w="57" w:type="dxa"/>
              <w:right w:w="57" w:type="dxa"/>
            </w:tcMar>
          </w:tcPr>
          <w:p w14:paraId="3587B593">
            <w:pPr>
              <w:pStyle w:val="557"/>
            </w:pPr>
            <w:r>
              <w:t>COD</w:t>
            </w:r>
          </w:p>
        </w:tc>
        <w:tc>
          <w:tcPr>
            <w:tcW w:w="3724" w:type="dxa"/>
            <w:gridSpan w:val="5"/>
            <w:tcMar>
              <w:left w:w="57" w:type="dxa"/>
              <w:right w:w="57" w:type="dxa"/>
            </w:tcMar>
          </w:tcPr>
          <w:p w14:paraId="324D967B">
            <w:pPr>
              <w:pStyle w:val="557"/>
            </w:pPr>
            <w:r>
              <w:rPr>
                <w:rFonts w:hint="eastAsia"/>
              </w:rPr>
              <w:t>205.22</w:t>
            </w:r>
          </w:p>
        </w:tc>
        <w:tc>
          <w:tcPr>
            <w:tcW w:w="3721" w:type="dxa"/>
            <w:gridSpan w:val="4"/>
            <w:tcMar>
              <w:left w:w="57" w:type="dxa"/>
              <w:right w:w="57" w:type="dxa"/>
            </w:tcMar>
          </w:tcPr>
          <w:p w14:paraId="6592AA7F">
            <w:pPr>
              <w:pStyle w:val="557"/>
            </w:pPr>
            <w:r>
              <w:rPr>
                <w:rFonts w:hint="eastAsia"/>
              </w:rPr>
              <w:t>188.25</w:t>
            </w:r>
          </w:p>
        </w:tc>
      </w:tr>
      <w:tr w14:paraId="0A57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13BEA6FB">
            <w:pPr>
              <w:pStyle w:val="557"/>
            </w:pPr>
          </w:p>
        </w:tc>
        <w:tc>
          <w:tcPr>
            <w:tcW w:w="2654" w:type="dxa"/>
            <w:vMerge w:val="continue"/>
            <w:tcMar>
              <w:left w:w="57" w:type="dxa"/>
              <w:right w:w="57" w:type="dxa"/>
            </w:tcMar>
            <w:vAlign w:val="center"/>
          </w:tcPr>
          <w:p w14:paraId="1418A063">
            <w:pPr>
              <w:pStyle w:val="557"/>
            </w:pPr>
          </w:p>
        </w:tc>
        <w:tc>
          <w:tcPr>
            <w:tcW w:w="3193" w:type="dxa"/>
            <w:gridSpan w:val="4"/>
            <w:tcMar>
              <w:left w:w="57" w:type="dxa"/>
              <w:right w:w="57" w:type="dxa"/>
            </w:tcMar>
          </w:tcPr>
          <w:p w14:paraId="0FCDA818">
            <w:pPr>
              <w:pStyle w:val="557"/>
            </w:pPr>
            <w:r>
              <w:t>氨氮</w:t>
            </w:r>
          </w:p>
        </w:tc>
        <w:tc>
          <w:tcPr>
            <w:tcW w:w="3724" w:type="dxa"/>
            <w:gridSpan w:val="5"/>
            <w:tcMar>
              <w:left w:w="57" w:type="dxa"/>
              <w:right w:w="57" w:type="dxa"/>
            </w:tcMar>
          </w:tcPr>
          <w:p w14:paraId="5FB6680D">
            <w:pPr>
              <w:pStyle w:val="557"/>
            </w:pPr>
            <w:r>
              <w:rPr>
                <w:rFonts w:hint="eastAsia"/>
              </w:rPr>
              <w:t>4.55</w:t>
            </w:r>
          </w:p>
        </w:tc>
        <w:tc>
          <w:tcPr>
            <w:tcW w:w="3721" w:type="dxa"/>
            <w:gridSpan w:val="4"/>
            <w:tcMar>
              <w:left w:w="57" w:type="dxa"/>
              <w:right w:w="57" w:type="dxa"/>
            </w:tcMar>
          </w:tcPr>
          <w:p w14:paraId="73C29190">
            <w:pPr>
              <w:pStyle w:val="557"/>
            </w:pPr>
            <w:r>
              <w:rPr>
                <w:rFonts w:hint="eastAsia"/>
              </w:rPr>
              <w:t>3.87</w:t>
            </w:r>
          </w:p>
        </w:tc>
      </w:tr>
      <w:tr w14:paraId="164D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4DB8F676">
            <w:pPr>
              <w:pStyle w:val="557"/>
            </w:pPr>
          </w:p>
        </w:tc>
        <w:tc>
          <w:tcPr>
            <w:tcW w:w="2654" w:type="dxa"/>
            <w:vMerge w:val="restart"/>
            <w:tcMar>
              <w:left w:w="57" w:type="dxa"/>
              <w:right w:w="57" w:type="dxa"/>
            </w:tcMar>
            <w:vAlign w:val="center"/>
          </w:tcPr>
          <w:p w14:paraId="4BD3DA0B">
            <w:pPr>
              <w:pStyle w:val="557"/>
            </w:pPr>
            <w:r>
              <w:t>替代源排放情况</w:t>
            </w:r>
          </w:p>
        </w:tc>
        <w:tc>
          <w:tcPr>
            <w:tcW w:w="1704" w:type="dxa"/>
            <w:tcMar>
              <w:left w:w="57" w:type="dxa"/>
              <w:right w:w="57" w:type="dxa"/>
            </w:tcMar>
          </w:tcPr>
          <w:p w14:paraId="1960B549">
            <w:pPr>
              <w:pStyle w:val="557"/>
            </w:pPr>
            <w:r>
              <w:t>污染源名称</w:t>
            </w:r>
          </w:p>
        </w:tc>
        <w:tc>
          <w:tcPr>
            <w:tcW w:w="2233" w:type="dxa"/>
            <w:gridSpan w:val="4"/>
            <w:tcMar>
              <w:left w:w="57" w:type="dxa"/>
              <w:right w:w="57" w:type="dxa"/>
            </w:tcMar>
          </w:tcPr>
          <w:p w14:paraId="2E176A77">
            <w:pPr>
              <w:pStyle w:val="557"/>
            </w:pPr>
            <w:r>
              <w:t>排污许可证编号</w:t>
            </w:r>
          </w:p>
        </w:tc>
        <w:tc>
          <w:tcPr>
            <w:tcW w:w="2151" w:type="dxa"/>
            <w:gridSpan w:val="3"/>
            <w:tcMar>
              <w:left w:w="57" w:type="dxa"/>
              <w:right w:w="57" w:type="dxa"/>
            </w:tcMar>
          </w:tcPr>
          <w:p w14:paraId="535C32DE">
            <w:pPr>
              <w:pStyle w:val="557"/>
            </w:pPr>
            <w:r>
              <w:t>污染物名称</w:t>
            </w:r>
          </w:p>
        </w:tc>
        <w:tc>
          <w:tcPr>
            <w:tcW w:w="2317" w:type="dxa"/>
            <w:gridSpan w:val="3"/>
            <w:tcMar>
              <w:left w:w="57" w:type="dxa"/>
              <w:right w:w="57" w:type="dxa"/>
            </w:tcMar>
          </w:tcPr>
          <w:p w14:paraId="13184E1C">
            <w:pPr>
              <w:pStyle w:val="557"/>
            </w:pPr>
            <w:r>
              <w:t>排放量/（t/a）</w:t>
            </w:r>
          </w:p>
        </w:tc>
        <w:tc>
          <w:tcPr>
            <w:tcW w:w="2233" w:type="dxa"/>
            <w:gridSpan w:val="2"/>
            <w:tcMar>
              <w:left w:w="57" w:type="dxa"/>
              <w:right w:w="57" w:type="dxa"/>
            </w:tcMar>
          </w:tcPr>
          <w:p w14:paraId="26794B62">
            <w:pPr>
              <w:pStyle w:val="557"/>
            </w:pPr>
            <w:r>
              <w:t>排放浓度/（mg/L）</w:t>
            </w:r>
          </w:p>
        </w:tc>
      </w:tr>
      <w:tr w14:paraId="264B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40AACD40">
            <w:pPr>
              <w:pStyle w:val="557"/>
            </w:pPr>
          </w:p>
        </w:tc>
        <w:tc>
          <w:tcPr>
            <w:tcW w:w="2654" w:type="dxa"/>
            <w:vMerge w:val="continue"/>
            <w:tcMar>
              <w:left w:w="57" w:type="dxa"/>
              <w:right w:w="57" w:type="dxa"/>
            </w:tcMar>
            <w:vAlign w:val="center"/>
          </w:tcPr>
          <w:p w14:paraId="7390E06C">
            <w:pPr>
              <w:pStyle w:val="557"/>
            </w:pPr>
          </w:p>
        </w:tc>
        <w:tc>
          <w:tcPr>
            <w:tcW w:w="1704" w:type="dxa"/>
            <w:tcMar>
              <w:left w:w="57" w:type="dxa"/>
              <w:right w:w="57" w:type="dxa"/>
            </w:tcMar>
          </w:tcPr>
          <w:p w14:paraId="17FE76B7">
            <w:pPr>
              <w:pStyle w:val="557"/>
            </w:pPr>
            <w:r>
              <w:t>（）</w:t>
            </w:r>
          </w:p>
        </w:tc>
        <w:tc>
          <w:tcPr>
            <w:tcW w:w="2233" w:type="dxa"/>
            <w:gridSpan w:val="4"/>
            <w:tcMar>
              <w:left w:w="57" w:type="dxa"/>
              <w:right w:w="57" w:type="dxa"/>
            </w:tcMar>
          </w:tcPr>
          <w:p w14:paraId="181CF81D">
            <w:pPr>
              <w:pStyle w:val="557"/>
            </w:pPr>
            <w:r>
              <w:t>（）</w:t>
            </w:r>
          </w:p>
        </w:tc>
        <w:tc>
          <w:tcPr>
            <w:tcW w:w="2151" w:type="dxa"/>
            <w:gridSpan w:val="3"/>
            <w:tcMar>
              <w:left w:w="57" w:type="dxa"/>
              <w:right w:w="57" w:type="dxa"/>
            </w:tcMar>
          </w:tcPr>
          <w:p w14:paraId="2A673BC4">
            <w:pPr>
              <w:pStyle w:val="557"/>
            </w:pPr>
            <w:r>
              <w:t>（）</w:t>
            </w:r>
          </w:p>
        </w:tc>
        <w:tc>
          <w:tcPr>
            <w:tcW w:w="2317" w:type="dxa"/>
            <w:gridSpan w:val="3"/>
            <w:tcMar>
              <w:left w:w="57" w:type="dxa"/>
              <w:right w:w="57" w:type="dxa"/>
            </w:tcMar>
          </w:tcPr>
          <w:p w14:paraId="556C8FC4">
            <w:pPr>
              <w:pStyle w:val="557"/>
            </w:pPr>
            <w:r>
              <w:t>（）</w:t>
            </w:r>
          </w:p>
        </w:tc>
        <w:tc>
          <w:tcPr>
            <w:tcW w:w="2233" w:type="dxa"/>
            <w:gridSpan w:val="2"/>
            <w:tcMar>
              <w:left w:w="57" w:type="dxa"/>
              <w:right w:w="57" w:type="dxa"/>
            </w:tcMar>
          </w:tcPr>
          <w:p w14:paraId="40D42992">
            <w:pPr>
              <w:pStyle w:val="557"/>
            </w:pPr>
            <w:r>
              <w:t>（）</w:t>
            </w:r>
          </w:p>
        </w:tc>
      </w:tr>
      <w:tr w14:paraId="2C5E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D109A1F">
            <w:pPr>
              <w:pStyle w:val="557"/>
            </w:pPr>
          </w:p>
        </w:tc>
        <w:tc>
          <w:tcPr>
            <w:tcW w:w="2654" w:type="dxa"/>
            <w:tcMar>
              <w:left w:w="57" w:type="dxa"/>
              <w:right w:w="57" w:type="dxa"/>
            </w:tcMar>
            <w:vAlign w:val="center"/>
          </w:tcPr>
          <w:p w14:paraId="40F55920">
            <w:pPr>
              <w:pStyle w:val="557"/>
            </w:pPr>
            <w:r>
              <w:t>生态流量确定</w:t>
            </w:r>
          </w:p>
        </w:tc>
        <w:tc>
          <w:tcPr>
            <w:tcW w:w="10638" w:type="dxa"/>
            <w:gridSpan w:val="13"/>
            <w:tcMar>
              <w:left w:w="57" w:type="dxa"/>
              <w:right w:w="57" w:type="dxa"/>
            </w:tcMar>
          </w:tcPr>
          <w:p w14:paraId="1F68ED81">
            <w:pPr>
              <w:pStyle w:val="557"/>
            </w:pPr>
            <w:r>
              <w:t>生态流量：一般水期（）m</w:t>
            </w:r>
            <w:r>
              <w:rPr>
                <w:vertAlign w:val="superscript"/>
              </w:rPr>
              <w:t>3</w:t>
            </w:r>
            <w:r>
              <w:t>/s；鱼类繁殖期（）m</w:t>
            </w:r>
            <w:r>
              <w:rPr>
                <w:vertAlign w:val="superscript"/>
              </w:rPr>
              <w:t>3</w:t>
            </w:r>
            <w:r>
              <w:t>/s；其他（）m</w:t>
            </w:r>
            <w:r>
              <w:rPr>
                <w:vertAlign w:val="superscript"/>
              </w:rPr>
              <w:t>3</w:t>
            </w:r>
            <w:r>
              <w:t>/s</w:t>
            </w:r>
          </w:p>
          <w:p w14:paraId="176C2F47">
            <w:pPr>
              <w:pStyle w:val="557"/>
            </w:pPr>
            <w:r>
              <w:t>生态水位：一般水期（）m；鱼类繁殖期（）m；其他（）m</w:t>
            </w:r>
          </w:p>
        </w:tc>
      </w:tr>
      <w:tr w14:paraId="63BF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restart"/>
            <w:tcMar>
              <w:left w:w="57" w:type="dxa"/>
              <w:right w:w="57" w:type="dxa"/>
            </w:tcMar>
            <w:vAlign w:val="center"/>
          </w:tcPr>
          <w:p w14:paraId="4069E4D9">
            <w:pPr>
              <w:pStyle w:val="557"/>
            </w:pPr>
            <w:r>
              <w:t>防治</w:t>
            </w:r>
          </w:p>
          <w:p w14:paraId="397D2004">
            <w:pPr>
              <w:pStyle w:val="557"/>
            </w:pPr>
            <w:r>
              <w:t>措施</w:t>
            </w:r>
          </w:p>
        </w:tc>
        <w:tc>
          <w:tcPr>
            <w:tcW w:w="2654" w:type="dxa"/>
            <w:tcMar>
              <w:left w:w="57" w:type="dxa"/>
              <w:right w:w="57" w:type="dxa"/>
            </w:tcMar>
          </w:tcPr>
          <w:p w14:paraId="1042025D">
            <w:pPr>
              <w:pStyle w:val="557"/>
            </w:pPr>
            <w:r>
              <w:t>环保措施</w:t>
            </w:r>
          </w:p>
        </w:tc>
        <w:tc>
          <w:tcPr>
            <w:tcW w:w="10638" w:type="dxa"/>
            <w:gridSpan w:val="13"/>
            <w:tcMar>
              <w:left w:w="57" w:type="dxa"/>
              <w:right w:w="57" w:type="dxa"/>
            </w:tcMar>
          </w:tcPr>
          <w:p w14:paraId="4F615325">
            <w:pPr>
              <w:pStyle w:val="557"/>
            </w:pPr>
            <w:r>
              <w:t>污水处理设施□；水文减缓设施□；生态流量保障设施□；区域削减□；依托其他工程措施□；其他□</w:t>
            </w:r>
          </w:p>
        </w:tc>
      </w:tr>
      <w:tr w14:paraId="2FF0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47FC663D">
            <w:pPr>
              <w:pStyle w:val="557"/>
            </w:pPr>
          </w:p>
        </w:tc>
        <w:tc>
          <w:tcPr>
            <w:tcW w:w="2654" w:type="dxa"/>
            <w:vMerge w:val="restart"/>
            <w:tcMar>
              <w:left w:w="57" w:type="dxa"/>
              <w:right w:w="57" w:type="dxa"/>
            </w:tcMar>
            <w:vAlign w:val="center"/>
          </w:tcPr>
          <w:p w14:paraId="38EB1A89">
            <w:pPr>
              <w:pStyle w:val="557"/>
            </w:pPr>
            <w:r>
              <w:t>监测计划</w:t>
            </w:r>
          </w:p>
        </w:tc>
        <w:tc>
          <w:tcPr>
            <w:tcW w:w="2263" w:type="dxa"/>
            <w:gridSpan w:val="2"/>
            <w:tcMar>
              <w:left w:w="57" w:type="dxa"/>
              <w:right w:w="57" w:type="dxa"/>
            </w:tcMar>
          </w:tcPr>
          <w:p w14:paraId="2E65D496">
            <w:pPr>
              <w:pStyle w:val="557"/>
            </w:pPr>
          </w:p>
        </w:tc>
        <w:tc>
          <w:tcPr>
            <w:tcW w:w="3489" w:type="dxa"/>
            <w:gridSpan w:val="5"/>
            <w:tcMar>
              <w:left w:w="57" w:type="dxa"/>
              <w:right w:w="57" w:type="dxa"/>
            </w:tcMar>
          </w:tcPr>
          <w:p w14:paraId="139937AA">
            <w:pPr>
              <w:pStyle w:val="557"/>
            </w:pPr>
            <w:r>
              <w:t>环境质量</w:t>
            </w:r>
          </w:p>
        </w:tc>
        <w:tc>
          <w:tcPr>
            <w:tcW w:w="4886" w:type="dxa"/>
            <w:gridSpan w:val="6"/>
            <w:tcMar>
              <w:left w:w="57" w:type="dxa"/>
              <w:right w:w="57" w:type="dxa"/>
            </w:tcMar>
          </w:tcPr>
          <w:p w14:paraId="77F93EEF">
            <w:pPr>
              <w:pStyle w:val="557"/>
            </w:pPr>
            <w:r>
              <w:t>污染源</w:t>
            </w:r>
          </w:p>
        </w:tc>
      </w:tr>
      <w:tr w14:paraId="6EBE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3144C4EE">
            <w:pPr>
              <w:pStyle w:val="557"/>
            </w:pPr>
          </w:p>
        </w:tc>
        <w:tc>
          <w:tcPr>
            <w:tcW w:w="2654" w:type="dxa"/>
            <w:vMerge w:val="continue"/>
            <w:tcMar>
              <w:left w:w="57" w:type="dxa"/>
              <w:right w:w="57" w:type="dxa"/>
            </w:tcMar>
          </w:tcPr>
          <w:p w14:paraId="3643B215">
            <w:pPr>
              <w:pStyle w:val="557"/>
            </w:pPr>
          </w:p>
        </w:tc>
        <w:tc>
          <w:tcPr>
            <w:tcW w:w="2263" w:type="dxa"/>
            <w:gridSpan w:val="2"/>
            <w:tcMar>
              <w:left w:w="57" w:type="dxa"/>
              <w:right w:w="57" w:type="dxa"/>
            </w:tcMar>
          </w:tcPr>
          <w:p w14:paraId="5E139E61">
            <w:pPr>
              <w:pStyle w:val="557"/>
            </w:pPr>
            <w:r>
              <w:t>监测方式</w:t>
            </w:r>
          </w:p>
        </w:tc>
        <w:tc>
          <w:tcPr>
            <w:tcW w:w="3489" w:type="dxa"/>
            <w:gridSpan w:val="5"/>
            <w:tcMar>
              <w:left w:w="57" w:type="dxa"/>
              <w:right w:w="57" w:type="dxa"/>
            </w:tcMar>
          </w:tcPr>
          <w:p w14:paraId="31AFC568">
            <w:pPr>
              <w:pStyle w:val="557"/>
            </w:pPr>
            <w:r>
              <w:t>手动□；自动□；无监测□</w:t>
            </w:r>
          </w:p>
        </w:tc>
        <w:tc>
          <w:tcPr>
            <w:tcW w:w="4886" w:type="dxa"/>
            <w:gridSpan w:val="6"/>
            <w:tcMar>
              <w:left w:w="57" w:type="dxa"/>
              <w:right w:w="57" w:type="dxa"/>
            </w:tcMar>
          </w:tcPr>
          <w:p w14:paraId="3F34FC46">
            <w:pPr>
              <w:pStyle w:val="557"/>
            </w:pPr>
            <w:r>
              <w:t>手动□；自动□；无监测□</w:t>
            </w:r>
          </w:p>
        </w:tc>
      </w:tr>
      <w:tr w14:paraId="300D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2D946F0F">
            <w:pPr>
              <w:pStyle w:val="557"/>
            </w:pPr>
          </w:p>
        </w:tc>
        <w:tc>
          <w:tcPr>
            <w:tcW w:w="2654" w:type="dxa"/>
            <w:vMerge w:val="continue"/>
            <w:tcMar>
              <w:left w:w="57" w:type="dxa"/>
              <w:right w:w="57" w:type="dxa"/>
            </w:tcMar>
          </w:tcPr>
          <w:p w14:paraId="32754B05">
            <w:pPr>
              <w:pStyle w:val="557"/>
            </w:pPr>
          </w:p>
        </w:tc>
        <w:tc>
          <w:tcPr>
            <w:tcW w:w="2263" w:type="dxa"/>
            <w:gridSpan w:val="2"/>
            <w:tcMar>
              <w:left w:w="57" w:type="dxa"/>
              <w:right w:w="57" w:type="dxa"/>
            </w:tcMar>
          </w:tcPr>
          <w:p w14:paraId="58CBDDF9">
            <w:pPr>
              <w:pStyle w:val="557"/>
            </w:pPr>
            <w:r>
              <w:t>监测点位</w:t>
            </w:r>
          </w:p>
        </w:tc>
        <w:tc>
          <w:tcPr>
            <w:tcW w:w="3489" w:type="dxa"/>
            <w:gridSpan w:val="5"/>
            <w:tcMar>
              <w:left w:w="57" w:type="dxa"/>
              <w:right w:w="57" w:type="dxa"/>
            </w:tcMar>
          </w:tcPr>
          <w:p w14:paraId="200F8D86">
            <w:pPr>
              <w:pStyle w:val="557"/>
            </w:pPr>
            <w:r>
              <w:t>（）</w:t>
            </w:r>
          </w:p>
        </w:tc>
        <w:tc>
          <w:tcPr>
            <w:tcW w:w="4886" w:type="dxa"/>
            <w:gridSpan w:val="6"/>
            <w:tcMar>
              <w:left w:w="57" w:type="dxa"/>
              <w:right w:w="57" w:type="dxa"/>
            </w:tcMar>
          </w:tcPr>
          <w:p w14:paraId="0FB50F05">
            <w:pPr>
              <w:pStyle w:val="557"/>
            </w:pPr>
            <w:r>
              <w:t>（处理装置出水）</w:t>
            </w:r>
          </w:p>
        </w:tc>
      </w:tr>
      <w:tr w14:paraId="3978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2287830E">
            <w:pPr>
              <w:pStyle w:val="557"/>
            </w:pPr>
          </w:p>
        </w:tc>
        <w:tc>
          <w:tcPr>
            <w:tcW w:w="2654" w:type="dxa"/>
            <w:vMerge w:val="continue"/>
            <w:tcMar>
              <w:left w:w="57" w:type="dxa"/>
              <w:right w:w="57" w:type="dxa"/>
            </w:tcMar>
          </w:tcPr>
          <w:p w14:paraId="43BB76E5">
            <w:pPr>
              <w:pStyle w:val="557"/>
            </w:pPr>
          </w:p>
        </w:tc>
        <w:tc>
          <w:tcPr>
            <w:tcW w:w="2263" w:type="dxa"/>
            <w:gridSpan w:val="2"/>
            <w:tcMar>
              <w:left w:w="57" w:type="dxa"/>
              <w:right w:w="57" w:type="dxa"/>
            </w:tcMar>
          </w:tcPr>
          <w:p w14:paraId="09CCFB9F">
            <w:pPr>
              <w:pStyle w:val="557"/>
            </w:pPr>
            <w:r>
              <w:t>监测因子</w:t>
            </w:r>
          </w:p>
        </w:tc>
        <w:tc>
          <w:tcPr>
            <w:tcW w:w="3489" w:type="dxa"/>
            <w:gridSpan w:val="5"/>
            <w:tcMar>
              <w:left w:w="57" w:type="dxa"/>
              <w:right w:w="57" w:type="dxa"/>
            </w:tcMar>
          </w:tcPr>
          <w:p w14:paraId="17DDC0BB">
            <w:pPr>
              <w:pStyle w:val="557"/>
            </w:pPr>
            <w:r>
              <w:t>（）</w:t>
            </w:r>
          </w:p>
        </w:tc>
        <w:tc>
          <w:tcPr>
            <w:tcW w:w="4886" w:type="dxa"/>
            <w:gridSpan w:val="6"/>
            <w:tcMar>
              <w:left w:w="57" w:type="dxa"/>
              <w:right w:w="57" w:type="dxa"/>
            </w:tcMar>
          </w:tcPr>
          <w:p w14:paraId="313781BA">
            <w:pPr>
              <w:pStyle w:val="557"/>
            </w:pPr>
          </w:p>
        </w:tc>
      </w:tr>
      <w:tr w14:paraId="3D95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61E44F2D">
            <w:pPr>
              <w:pStyle w:val="557"/>
            </w:pPr>
          </w:p>
        </w:tc>
        <w:tc>
          <w:tcPr>
            <w:tcW w:w="2654" w:type="dxa"/>
            <w:tcMar>
              <w:left w:w="57" w:type="dxa"/>
              <w:right w:w="57" w:type="dxa"/>
            </w:tcMar>
            <w:vAlign w:val="center"/>
          </w:tcPr>
          <w:p w14:paraId="0EBE6929">
            <w:pPr>
              <w:pStyle w:val="557"/>
            </w:pPr>
            <w:r>
              <w:t>污染物排放清单</w:t>
            </w:r>
          </w:p>
        </w:tc>
        <w:tc>
          <w:tcPr>
            <w:tcW w:w="10638" w:type="dxa"/>
            <w:gridSpan w:val="13"/>
            <w:tcMar>
              <w:left w:w="57" w:type="dxa"/>
              <w:right w:w="57" w:type="dxa"/>
            </w:tcMar>
          </w:tcPr>
          <w:p w14:paraId="39D50E61">
            <w:pPr>
              <w:pStyle w:val="557"/>
            </w:pPr>
            <w:r>
              <w:t>□</w:t>
            </w:r>
          </w:p>
        </w:tc>
      </w:tr>
      <w:tr w14:paraId="59DB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6" w:type="dxa"/>
            <w:vMerge w:val="continue"/>
            <w:tcMar>
              <w:left w:w="57" w:type="dxa"/>
              <w:right w:w="57" w:type="dxa"/>
            </w:tcMar>
            <w:vAlign w:val="center"/>
          </w:tcPr>
          <w:p w14:paraId="2A6F84A5">
            <w:pPr>
              <w:pStyle w:val="557"/>
            </w:pPr>
          </w:p>
        </w:tc>
        <w:tc>
          <w:tcPr>
            <w:tcW w:w="2654" w:type="dxa"/>
            <w:tcMar>
              <w:left w:w="57" w:type="dxa"/>
              <w:right w:w="57" w:type="dxa"/>
            </w:tcMar>
          </w:tcPr>
          <w:p w14:paraId="1340847D">
            <w:pPr>
              <w:pStyle w:val="557"/>
            </w:pPr>
            <w:r>
              <w:t>评价结论</w:t>
            </w:r>
          </w:p>
        </w:tc>
        <w:tc>
          <w:tcPr>
            <w:tcW w:w="10638" w:type="dxa"/>
            <w:gridSpan w:val="13"/>
            <w:tcMar>
              <w:left w:w="57" w:type="dxa"/>
              <w:right w:w="57" w:type="dxa"/>
            </w:tcMar>
          </w:tcPr>
          <w:p w14:paraId="2D275B05">
            <w:pPr>
              <w:pStyle w:val="557"/>
            </w:pPr>
            <w:r>
              <w:t>可以接受</w:t>
            </w:r>
            <w:r>
              <w:rPr/>
              <w:sym w:font="Wingdings 2" w:char="0052"/>
            </w:r>
            <w:r>
              <w:t>；不可以接受□</w:t>
            </w:r>
          </w:p>
        </w:tc>
      </w:tr>
      <w:tr w14:paraId="47FF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948" w:type="dxa"/>
            <w:gridSpan w:val="15"/>
            <w:tcMar>
              <w:left w:w="57" w:type="dxa"/>
              <w:right w:w="57" w:type="dxa"/>
            </w:tcMar>
            <w:vAlign w:val="center"/>
          </w:tcPr>
          <w:p w14:paraId="593E5995">
            <w:pPr>
              <w:pStyle w:val="557"/>
            </w:pPr>
            <w:r>
              <w:t>注：“□”为勾选项，可√；“（）”为内容填写项；“备注”为其他补充内容。</w:t>
            </w:r>
          </w:p>
        </w:tc>
      </w:tr>
    </w:tbl>
    <w:p w14:paraId="342D0947">
      <w:pPr>
        <w:spacing w:line="360" w:lineRule="auto"/>
        <w:ind w:firstLine="480" w:firstLineChars="200"/>
        <w:rPr>
          <w:rFonts w:hint="eastAsia"/>
        </w:rPr>
        <w:sectPr>
          <w:pgSz w:w="16838" w:h="11906" w:orient="landscape"/>
          <w:pgMar w:top="1800" w:right="1440" w:bottom="1800" w:left="1440" w:header="851" w:footer="850" w:gutter="0"/>
          <w:cols w:space="425" w:num="1"/>
          <w:docGrid w:type="lines" w:linePitch="326" w:charSpace="0"/>
        </w:sectPr>
      </w:pPr>
    </w:p>
    <w:p w14:paraId="3EC9C3FB">
      <w:pPr>
        <w:pStyle w:val="3"/>
        <w:rPr>
          <w:rFonts w:hint="eastAsia"/>
        </w:rPr>
      </w:pPr>
      <w:bookmarkStart w:id="343" w:name="_Toc8310"/>
      <w:r>
        <w:t>运营期声环境影响预测与评价</w:t>
      </w:r>
      <w:bookmarkEnd w:id="343"/>
    </w:p>
    <w:p w14:paraId="5D705032">
      <w:pPr>
        <w:spacing w:line="360" w:lineRule="auto"/>
        <w:ind w:firstLine="480" w:firstLineChars="200"/>
        <w:rPr>
          <w:rFonts w:hint="eastAsia"/>
        </w:rPr>
      </w:pPr>
      <w:r>
        <w:t>主要预测本项目运行时各主要声源对东、西、南、北厂界的噪声贡献值，并按照《工业企业厂界环境噪声排放</w:t>
      </w:r>
      <w:r>
        <w:rPr>
          <w:rStyle w:val="282"/>
        </w:rPr>
        <w:t>标准》（GB12348-2008）的要求评价本项目投产后厂界噪声状况。</w:t>
      </w:r>
    </w:p>
    <w:p w14:paraId="38C16A1A">
      <w:pPr>
        <w:pStyle w:val="97"/>
        <w:rPr>
          <w:rFonts w:hint="eastAsia"/>
        </w:rPr>
      </w:pPr>
      <w:r>
        <w:t>噪声源</w:t>
      </w:r>
    </w:p>
    <w:p w14:paraId="6F103C69">
      <w:pPr>
        <w:pStyle w:val="281"/>
        <w:ind w:firstLine="480"/>
      </w:pPr>
      <w:r>
        <w:t>本项目设备噪声较多，主要噪声源包括破碎机等设备产生的噪声和风机及各种机泵产生的动力噪声。</w:t>
      </w:r>
    </w:p>
    <w:p w14:paraId="5CEA8799">
      <w:pPr>
        <w:pStyle w:val="281"/>
        <w:ind w:firstLine="480"/>
      </w:pPr>
      <w:r>
        <w:t>全厂各类噪声设备数量多、功率大，表</w:t>
      </w:r>
      <w:r>
        <w:rPr>
          <w:rFonts w:hint="eastAsia"/>
        </w:rPr>
        <w:t>5.5</w:t>
      </w:r>
      <w:r>
        <w:t>.1-1</w:t>
      </w:r>
      <w:r>
        <w:rPr>
          <w:rFonts w:hint="eastAsia"/>
        </w:rPr>
        <w:t>和表5.5.1-2</w:t>
      </w:r>
      <w:r>
        <w:t>列出了</w:t>
      </w:r>
      <w:r>
        <w:rPr>
          <w:rFonts w:hint="eastAsia"/>
        </w:rPr>
        <w:t>总</w:t>
      </w:r>
      <w:r>
        <w:t>工程新增的主要设备噪声源源强、降噪措施及降噪效果。降噪效果参考刘惠玲主编的《环境噪声控制》，一般为15-40dB(A)，本项目以降噪效果</w:t>
      </w:r>
      <w:r>
        <w:rPr>
          <w:rFonts w:hint="eastAsia"/>
        </w:rPr>
        <w:t>20</w:t>
      </w:r>
      <w:r>
        <w:t>dB(A)。其主要噪声源和源强见表</w:t>
      </w:r>
      <w:r>
        <w:rPr>
          <w:rFonts w:hint="eastAsia"/>
        </w:rPr>
        <w:t>5.5</w:t>
      </w:r>
      <w:r>
        <w:t>.1-1。</w:t>
      </w:r>
    </w:p>
    <w:p w14:paraId="2C60D160">
      <w:pPr>
        <w:spacing w:line="360" w:lineRule="auto"/>
        <w:ind w:firstLine="480" w:firstLineChars="200"/>
        <w:rPr>
          <w:rFonts w:hint="eastAsia"/>
        </w:rPr>
        <w:sectPr>
          <w:pgSz w:w="11906" w:h="16838"/>
          <w:pgMar w:top="1440" w:right="1800" w:bottom="1440" w:left="1800" w:header="851" w:footer="850" w:gutter="0"/>
          <w:cols w:space="425" w:num="1"/>
          <w:docGrid w:type="lines" w:linePitch="326" w:charSpace="0"/>
        </w:sectPr>
      </w:pPr>
    </w:p>
    <w:p w14:paraId="194D0CB8">
      <w:pPr>
        <w:spacing w:line="360" w:lineRule="auto"/>
        <w:ind w:firstLine="482" w:firstLineChars="200"/>
        <w:jc w:val="center"/>
        <w:rPr>
          <w:rFonts w:hint="eastAsia" w:ascii="黑体" w:hAnsi="黑体" w:eastAsia="黑体"/>
          <w:b/>
        </w:rPr>
      </w:pPr>
      <w:r>
        <w:rPr>
          <w:rFonts w:hint="eastAsia" w:ascii="黑体" w:hAnsi="黑体" w:eastAsia="黑体"/>
          <w:b/>
        </w:rPr>
        <w:t>表</w:t>
      </w:r>
      <w:r>
        <w:rPr>
          <w:rFonts w:ascii="黑体" w:hAnsi="黑体" w:eastAsia="黑体"/>
          <w:b/>
        </w:rPr>
        <w:t>5.5.1-1</w:t>
      </w:r>
      <w:r>
        <w:rPr>
          <w:rFonts w:hint="eastAsia" w:ascii="黑体" w:hAnsi="黑体" w:eastAsia="黑体"/>
          <w:b/>
        </w:rPr>
        <w:t xml:space="preserve">     工业企业噪声源强调查清单（室外声源）</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3423"/>
        <w:gridCol w:w="1152"/>
        <w:gridCol w:w="1207"/>
        <w:gridCol w:w="1234"/>
        <w:gridCol w:w="1994"/>
        <w:gridCol w:w="2864"/>
        <w:gridCol w:w="1606"/>
      </w:tblGrid>
      <w:tr w14:paraId="6EF1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restart"/>
            <w:vAlign w:val="center"/>
          </w:tcPr>
          <w:p w14:paraId="3BEDB534">
            <w:pPr>
              <w:pStyle w:val="557"/>
            </w:pPr>
            <w:r>
              <w:rPr>
                <w:rFonts w:hint="eastAsia"/>
              </w:rPr>
              <w:t>序号</w:t>
            </w:r>
          </w:p>
        </w:tc>
        <w:tc>
          <w:tcPr>
            <w:tcW w:w="3423" w:type="dxa"/>
            <w:vMerge w:val="restart"/>
            <w:vAlign w:val="center"/>
          </w:tcPr>
          <w:p w14:paraId="294D54DF">
            <w:pPr>
              <w:pStyle w:val="557"/>
            </w:pPr>
            <w:r>
              <w:rPr>
                <w:rFonts w:hint="eastAsia"/>
              </w:rPr>
              <w:t>声源名称</w:t>
            </w:r>
          </w:p>
        </w:tc>
        <w:tc>
          <w:tcPr>
            <w:tcW w:w="3593" w:type="dxa"/>
            <w:gridSpan w:val="3"/>
            <w:vAlign w:val="center"/>
          </w:tcPr>
          <w:p w14:paraId="16BDC5B5">
            <w:pPr>
              <w:pStyle w:val="557"/>
            </w:pPr>
            <w:r>
              <w:rPr>
                <w:rFonts w:hint="eastAsia"/>
              </w:rPr>
              <w:t>空间相对位置/m</w:t>
            </w:r>
          </w:p>
        </w:tc>
        <w:tc>
          <w:tcPr>
            <w:tcW w:w="1994" w:type="dxa"/>
            <w:vAlign w:val="center"/>
          </w:tcPr>
          <w:p w14:paraId="09566A4D">
            <w:pPr>
              <w:pStyle w:val="557"/>
            </w:pPr>
            <w:r>
              <w:rPr>
                <w:rFonts w:hint="eastAsia"/>
              </w:rPr>
              <w:t>声源源强</w:t>
            </w:r>
          </w:p>
        </w:tc>
        <w:tc>
          <w:tcPr>
            <w:tcW w:w="2864" w:type="dxa"/>
            <w:vMerge w:val="restart"/>
            <w:vAlign w:val="center"/>
          </w:tcPr>
          <w:p w14:paraId="5338D2A1">
            <w:pPr>
              <w:pStyle w:val="557"/>
            </w:pPr>
            <w:r>
              <w:rPr>
                <w:rFonts w:hint="eastAsia"/>
              </w:rPr>
              <w:t>声源控制措施</w:t>
            </w:r>
          </w:p>
        </w:tc>
        <w:tc>
          <w:tcPr>
            <w:tcW w:w="1606" w:type="dxa"/>
            <w:vMerge w:val="restart"/>
            <w:vAlign w:val="center"/>
          </w:tcPr>
          <w:p w14:paraId="45F54F57">
            <w:pPr>
              <w:pStyle w:val="557"/>
            </w:pPr>
            <w:r>
              <w:rPr>
                <w:rFonts w:hint="eastAsia"/>
              </w:rPr>
              <w:t>运行时段（</w:t>
            </w:r>
            <w:r>
              <w:t>h</w:t>
            </w:r>
            <w:r>
              <w:rPr>
                <w:rFonts w:hint="eastAsia"/>
              </w:rPr>
              <w:t>）</w:t>
            </w:r>
          </w:p>
        </w:tc>
      </w:tr>
      <w:tr w14:paraId="0F40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vAlign w:val="center"/>
          </w:tcPr>
          <w:p w14:paraId="47F404C1">
            <w:pPr>
              <w:pStyle w:val="557"/>
            </w:pPr>
          </w:p>
        </w:tc>
        <w:tc>
          <w:tcPr>
            <w:tcW w:w="3423" w:type="dxa"/>
            <w:vMerge w:val="continue"/>
            <w:vAlign w:val="center"/>
          </w:tcPr>
          <w:p w14:paraId="77673F0B">
            <w:pPr>
              <w:pStyle w:val="557"/>
            </w:pPr>
          </w:p>
        </w:tc>
        <w:tc>
          <w:tcPr>
            <w:tcW w:w="1152" w:type="dxa"/>
            <w:vAlign w:val="center"/>
          </w:tcPr>
          <w:p w14:paraId="4EEA8E85">
            <w:pPr>
              <w:pStyle w:val="557"/>
            </w:pPr>
            <w:r>
              <w:rPr>
                <w:rFonts w:hint="eastAsia"/>
              </w:rPr>
              <w:t>X</w:t>
            </w:r>
          </w:p>
        </w:tc>
        <w:tc>
          <w:tcPr>
            <w:tcW w:w="1207" w:type="dxa"/>
            <w:vAlign w:val="center"/>
          </w:tcPr>
          <w:p w14:paraId="176A522B">
            <w:pPr>
              <w:pStyle w:val="557"/>
            </w:pPr>
            <w:r>
              <w:rPr>
                <w:rFonts w:hint="eastAsia"/>
              </w:rPr>
              <w:t>Y</w:t>
            </w:r>
          </w:p>
        </w:tc>
        <w:tc>
          <w:tcPr>
            <w:tcW w:w="1234" w:type="dxa"/>
            <w:vAlign w:val="center"/>
          </w:tcPr>
          <w:p w14:paraId="64DF0AE5">
            <w:pPr>
              <w:pStyle w:val="557"/>
            </w:pPr>
            <w:r>
              <w:rPr>
                <w:rFonts w:hint="eastAsia"/>
              </w:rPr>
              <w:t>Z</w:t>
            </w:r>
          </w:p>
        </w:tc>
        <w:tc>
          <w:tcPr>
            <w:tcW w:w="1994" w:type="dxa"/>
            <w:vAlign w:val="center"/>
          </w:tcPr>
          <w:p w14:paraId="5BB1D3C6">
            <w:pPr>
              <w:pStyle w:val="557"/>
            </w:pPr>
            <w:r>
              <w:rPr>
                <w:rFonts w:hint="eastAsia"/>
              </w:rPr>
              <w:t>声功率级/dB(A)</w:t>
            </w:r>
          </w:p>
        </w:tc>
        <w:tc>
          <w:tcPr>
            <w:tcW w:w="2864" w:type="dxa"/>
            <w:vMerge w:val="continue"/>
            <w:vAlign w:val="center"/>
          </w:tcPr>
          <w:p w14:paraId="501631F0">
            <w:pPr>
              <w:pStyle w:val="557"/>
            </w:pPr>
          </w:p>
        </w:tc>
        <w:tc>
          <w:tcPr>
            <w:tcW w:w="1606" w:type="dxa"/>
            <w:vMerge w:val="continue"/>
            <w:vAlign w:val="center"/>
          </w:tcPr>
          <w:p w14:paraId="7E86AA50">
            <w:pPr>
              <w:pStyle w:val="557"/>
            </w:pPr>
          </w:p>
        </w:tc>
      </w:tr>
      <w:tr w14:paraId="1E34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3F86A197">
            <w:pPr>
              <w:pStyle w:val="557"/>
            </w:pPr>
            <w:r>
              <w:t>1</w:t>
            </w:r>
          </w:p>
        </w:tc>
        <w:tc>
          <w:tcPr>
            <w:tcW w:w="3423" w:type="dxa"/>
            <w:vAlign w:val="center"/>
          </w:tcPr>
          <w:p w14:paraId="2AF1EABC">
            <w:pPr>
              <w:pStyle w:val="557"/>
            </w:pPr>
            <w:r>
              <w:t>气化装置-风机</w:t>
            </w:r>
            <w:r>
              <w:rPr>
                <w:rFonts w:hint="eastAsia"/>
              </w:rPr>
              <w:t>，10</w:t>
            </w:r>
            <w:r>
              <w:t>台</w:t>
            </w:r>
          </w:p>
        </w:tc>
        <w:tc>
          <w:tcPr>
            <w:tcW w:w="1152" w:type="dxa"/>
            <w:vAlign w:val="center"/>
          </w:tcPr>
          <w:p w14:paraId="1DC6EFB6">
            <w:pPr>
              <w:pStyle w:val="557"/>
            </w:pPr>
            <w:r>
              <w:rPr>
                <w:rFonts w:hint="eastAsia"/>
              </w:rPr>
              <w:t>-230</w:t>
            </w:r>
          </w:p>
        </w:tc>
        <w:tc>
          <w:tcPr>
            <w:tcW w:w="1207" w:type="dxa"/>
            <w:vAlign w:val="center"/>
          </w:tcPr>
          <w:p w14:paraId="73E6E28B">
            <w:pPr>
              <w:pStyle w:val="557"/>
            </w:pPr>
            <w:r>
              <w:rPr>
                <w:rFonts w:hint="eastAsia"/>
              </w:rPr>
              <w:t>-252</w:t>
            </w:r>
          </w:p>
        </w:tc>
        <w:tc>
          <w:tcPr>
            <w:tcW w:w="1234" w:type="dxa"/>
            <w:vAlign w:val="center"/>
          </w:tcPr>
          <w:p w14:paraId="7B8DEEFF">
            <w:pPr>
              <w:pStyle w:val="557"/>
            </w:pPr>
            <w:r>
              <w:rPr>
                <w:rFonts w:hint="eastAsia"/>
              </w:rPr>
              <w:t>686.47</w:t>
            </w:r>
          </w:p>
        </w:tc>
        <w:tc>
          <w:tcPr>
            <w:tcW w:w="1994" w:type="dxa"/>
            <w:vAlign w:val="center"/>
          </w:tcPr>
          <w:p w14:paraId="0F169A43">
            <w:pPr>
              <w:pStyle w:val="557"/>
            </w:pPr>
            <w:r>
              <w:t>90</w:t>
            </w:r>
          </w:p>
        </w:tc>
        <w:tc>
          <w:tcPr>
            <w:tcW w:w="2864" w:type="dxa"/>
            <w:vAlign w:val="center"/>
          </w:tcPr>
          <w:p w14:paraId="7128A5EC">
            <w:pPr>
              <w:pStyle w:val="557"/>
            </w:pPr>
            <w:r>
              <w:rPr>
                <w:rFonts w:hint="eastAsia"/>
              </w:rPr>
              <w:t>隔声、减振</w:t>
            </w:r>
          </w:p>
        </w:tc>
        <w:tc>
          <w:tcPr>
            <w:tcW w:w="1606" w:type="dxa"/>
            <w:vAlign w:val="center"/>
          </w:tcPr>
          <w:p w14:paraId="3F7247AB">
            <w:pPr>
              <w:pStyle w:val="557"/>
            </w:pPr>
            <w:r>
              <w:t>8000</w:t>
            </w:r>
          </w:p>
        </w:tc>
      </w:tr>
      <w:tr w14:paraId="2D7C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574357A8">
            <w:pPr>
              <w:pStyle w:val="557"/>
            </w:pPr>
            <w:r>
              <w:t>2</w:t>
            </w:r>
          </w:p>
        </w:tc>
        <w:tc>
          <w:tcPr>
            <w:tcW w:w="3423" w:type="dxa"/>
            <w:vAlign w:val="center"/>
          </w:tcPr>
          <w:p w14:paraId="4D86B666">
            <w:pPr>
              <w:pStyle w:val="557"/>
            </w:pPr>
            <w:r>
              <w:t>气化装置-机泵</w:t>
            </w:r>
            <w:r>
              <w:rPr>
                <w:rFonts w:hint="eastAsia"/>
              </w:rPr>
              <w:t>，42</w:t>
            </w:r>
            <w:r>
              <w:t>台</w:t>
            </w:r>
          </w:p>
        </w:tc>
        <w:tc>
          <w:tcPr>
            <w:tcW w:w="1152" w:type="dxa"/>
            <w:vAlign w:val="center"/>
          </w:tcPr>
          <w:p w14:paraId="44105640">
            <w:pPr>
              <w:pStyle w:val="557"/>
            </w:pPr>
            <w:r>
              <w:rPr>
                <w:rFonts w:hint="eastAsia"/>
              </w:rPr>
              <w:t>-185</w:t>
            </w:r>
          </w:p>
        </w:tc>
        <w:tc>
          <w:tcPr>
            <w:tcW w:w="1207" w:type="dxa"/>
            <w:vAlign w:val="center"/>
          </w:tcPr>
          <w:p w14:paraId="41C99E01">
            <w:pPr>
              <w:pStyle w:val="557"/>
            </w:pPr>
            <w:r>
              <w:rPr>
                <w:rFonts w:hint="eastAsia"/>
              </w:rPr>
              <w:t>-232</w:t>
            </w:r>
          </w:p>
        </w:tc>
        <w:tc>
          <w:tcPr>
            <w:tcW w:w="1234" w:type="dxa"/>
            <w:vAlign w:val="center"/>
          </w:tcPr>
          <w:p w14:paraId="6EBF7483">
            <w:pPr>
              <w:pStyle w:val="557"/>
            </w:pPr>
            <w:r>
              <w:rPr>
                <w:rFonts w:hint="eastAsia"/>
              </w:rPr>
              <w:t>684.52</w:t>
            </w:r>
          </w:p>
        </w:tc>
        <w:tc>
          <w:tcPr>
            <w:tcW w:w="1994" w:type="dxa"/>
            <w:vAlign w:val="center"/>
          </w:tcPr>
          <w:p w14:paraId="41E5B1DD">
            <w:pPr>
              <w:pStyle w:val="557"/>
            </w:pPr>
            <w:r>
              <w:t>90</w:t>
            </w:r>
          </w:p>
        </w:tc>
        <w:tc>
          <w:tcPr>
            <w:tcW w:w="2864" w:type="dxa"/>
            <w:vAlign w:val="center"/>
          </w:tcPr>
          <w:p w14:paraId="23E530E5">
            <w:pPr>
              <w:pStyle w:val="557"/>
            </w:pPr>
            <w:r>
              <w:rPr>
                <w:rFonts w:hint="eastAsia"/>
              </w:rPr>
              <w:t>低噪声电机、减振</w:t>
            </w:r>
          </w:p>
        </w:tc>
        <w:tc>
          <w:tcPr>
            <w:tcW w:w="1606" w:type="dxa"/>
            <w:vAlign w:val="center"/>
          </w:tcPr>
          <w:p w14:paraId="2A919137">
            <w:pPr>
              <w:pStyle w:val="557"/>
            </w:pPr>
            <w:r>
              <w:t>8000</w:t>
            </w:r>
          </w:p>
        </w:tc>
      </w:tr>
      <w:tr w14:paraId="3DFD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268BFE7B">
            <w:pPr>
              <w:pStyle w:val="557"/>
            </w:pPr>
            <w:r>
              <w:t>3</w:t>
            </w:r>
          </w:p>
        </w:tc>
        <w:tc>
          <w:tcPr>
            <w:tcW w:w="3423" w:type="dxa"/>
            <w:vAlign w:val="center"/>
          </w:tcPr>
          <w:p w14:paraId="63AE7831">
            <w:pPr>
              <w:pStyle w:val="557"/>
            </w:pPr>
            <w:r>
              <w:t>气化装置-搅拌机</w:t>
            </w:r>
            <w:r>
              <w:rPr>
                <w:rFonts w:hint="eastAsia"/>
              </w:rPr>
              <w:t>，4</w:t>
            </w:r>
            <w:r>
              <w:t>台</w:t>
            </w:r>
          </w:p>
        </w:tc>
        <w:tc>
          <w:tcPr>
            <w:tcW w:w="1152" w:type="dxa"/>
            <w:vAlign w:val="center"/>
          </w:tcPr>
          <w:p w14:paraId="3745E2E4">
            <w:pPr>
              <w:pStyle w:val="557"/>
            </w:pPr>
            <w:r>
              <w:rPr>
                <w:rFonts w:hint="eastAsia"/>
              </w:rPr>
              <w:t>-156</w:t>
            </w:r>
          </w:p>
        </w:tc>
        <w:tc>
          <w:tcPr>
            <w:tcW w:w="1207" w:type="dxa"/>
            <w:vAlign w:val="center"/>
          </w:tcPr>
          <w:p w14:paraId="0F1E1EAC">
            <w:pPr>
              <w:pStyle w:val="557"/>
            </w:pPr>
            <w:r>
              <w:rPr>
                <w:rFonts w:hint="eastAsia"/>
              </w:rPr>
              <w:t>-234</w:t>
            </w:r>
          </w:p>
        </w:tc>
        <w:tc>
          <w:tcPr>
            <w:tcW w:w="1234" w:type="dxa"/>
            <w:vAlign w:val="center"/>
          </w:tcPr>
          <w:p w14:paraId="118B57CC">
            <w:pPr>
              <w:pStyle w:val="557"/>
            </w:pPr>
            <w:r>
              <w:rPr>
                <w:rFonts w:hint="eastAsia"/>
              </w:rPr>
              <w:t>682.51</w:t>
            </w:r>
          </w:p>
        </w:tc>
        <w:tc>
          <w:tcPr>
            <w:tcW w:w="1994" w:type="dxa"/>
            <w:vAlign w:val="center"/>
          </w:tcPr>
          <w:p w14:paraId="29B3E023">
            <w:pPr>
              <w:pStyle w:val="557"/>
            </w:pPr>
            <w:r>
              <w:t>90</w:t>
            </w:r>
          </w:p>
        </w:tc>
        <w:tc>
          <w:tcPr>
            <w:tcW w:w="2864" w:type="dxa"/>
            <w:vAlign w:val="center"/>
          </w:tcPr>
          <w:p w14:paraId="74AA6CF0">
            <w:pPr>
              <w:pStyle w:val="557"/>
            </w:pPr>
            <w:r>
              <w:rPr>
                <w:rFonts w:hint="eastAsia"/>
              </w:rPr>
              <w:t>隔声、减振</w:t>
            </w:r>
          </w:p>
        </w:tc>
        <w:tc>
          <w:tcPr>
            <w:tcW w:w="1606" w:type="dxa"/>
            <w:vAlign w:val="center"/>
          </w:tcPr>
          <w:p w14:paraId="4922254E">
            <w:pPr>
              <w:pStyle w:val="557"/>
            </w:pPr>
            <w:r>
              <w:t>8000</w:t>
            </w:r>
          </w:p>
        </w:tc>
      </w:tr>
      <w:tr w14:paraId="2BF8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5188D6D1">
            <w:pPr>
              <w:pStyle w:val="557"/>
            </w:pPr>
            <w:r>
              <w:t>4</w:t>
            </w:r>
          </w:p>
        </w:tc>
        <w:tc>
          <w:tcPr>
            <w:tcW w:w="3423" w:type="dxa"/>
            <w:vAlign w:val="center"/>
          </w:tcPr>
          <w:p w14:paraId="09A5E054">
            <w:pPr>
              <w:pStyle w:val="557"/>
            </w:pPr>
            <w:r>
              <w:rPr>
                <w:rFonts w:hint="eastAsia"/>
              </w:rPr>
              <w:t>煤气冷却</w:t>
            </w:r>
            <w:r>
              <w:t>单元-风机</w:t>
            </w:r>
            <w:r>
              <w:rPr>
                <w:rFonts w:hint="eastAsia"/>
              </w:rPr>
              <w:t>，</w:t>
            </w:r>
            <w:r>
              <w:t>1台</w:t>
            </w:r>
          </w:p>
        </w:tc>
        <w:tc>
          <w:tcPr>
            <w:tcW w:w="1152" w:type="dxa"/>
            <w:noWrap/>
            <w:vAlign w:val="center"/>
          </w:tcPr>
          <w:p w14:paraId="3B9BA62C">
            <w:pPr>
              <w:pStyle w:val="557"/>
            </w:pPr>
            <w:r>
              <w:rPr>
                <w:rFonts w:hint="eastAsia"/>
              </w:rPr>
              <w:t>-109</w:t>
            </w:r>
          </w:p>
        </w:tc>
        <w:tc>
          <w:tcPr>
            <w:tcW w:w="1207" w:type="dxa"/>
            <w:noWrap/>
            <w:vAlign w:val="center"/>
          </w:tcPr>
          <w:p w14:paraId="5D42AD8A">
            <w:pPr>
              <w:pStyle w:val="557"/>
            </w:pPr>
            <w:r>
              <w:rPr>
                <w:rFonts w:hint="eastAsia"/>
              </w:rPr>
              <w:t>-76</w:t>
            </w:r>
          </w:p>
        </w:tc>
        <w:tc>
          <w:tcPr>
            <w:tcW w:w="1234" w:type="dxa"/>
            <w:noWrap/>
            <w:vAlign w:val="center"/>
          </w:tcPr>
          <w:p w14:paraId="620872E1">
            <w:pPr>
              <w:pStyle w:val="557"/>
            </w:pPr>
            <w:r>
              <w:rPr>
                <w:rFonts w:hint="eastAsia"/>
              </w:rPr>
              <w:t>683.21</w:t>
            </w:r>
          </w:p>
        </w:tc>
        <w:tc>
          <w:tcPr>
            <w:tcW w:w="1994" w:type="dxa"/>
            <w:vAlign w:val="center"/>
          </w:tcPr>
          <w:p w14:paraId="792C0338">
            <w:pPr>
              <w:pStyle w:val="557"/>
            </w:pPr>
            <w:r>
              <w:rPr>
                <w:rFonts w:hint="eastAsia"/>
              </w:rPr>
              <w:t>70</w:t>
            </w:r>
          </w:p>
        </w:tc>
        <w:tc>
          <w:tcPr>
            <w:tcW w:w="2864" w:type="dxa"/>
            <w:vAlign w:val="center"/>
          </w:tcPr>
          <w:p w14:paraId="2884613F">
            <w:pPr>
              <w:pStyle w:val="557"/>
            </w:pPr>
            <w:r>
              <w:rPr>
                <w:rFonts w:hint="eastAsia"/>
              </w:rPr>
              <w:t>隔声、减振</w:t>
            </w:r>
          </w:p>
        </w:tc>
        <w:tc>
          <w:tcPr>
            <w:tcW w:w="1606" w:type="dxa"/>
            <w:vAlign w:val="center"/>
          </w:tcPr>
          <w:p w14:paraId="799388EC">
            <w:pPr>
              <w:pStyle w:val="557"/>
            </w:pPr>
            <w:r>
              <w:t>8000</w:t>
            </w:r>
          </w:p>
        </w:tc>
      </w:tr>
      <w:tr w14:paraId="6D0E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000B0E51">
            <w:pPr>
              <w:pStyle w:val="557"/>
            </w:pPr>
            <w:r>
              <w:t>5</w:t>
            </w:r>
          </w:p>
        </w:tc>
        <w:tc>
          <w:tcPr>
            <w:tcW w:w="3423" w:type="dxa"/>
            <w:vAlign w:val="center"/>
          </w:tcPr>
          <w:p w14:paraId="4330F538">
            <w:pPr>
              <w:pStyle w:val="557"/>
            </w:pPr>
            <w:r>
              <w:rPr>
                <w:rFonts w:hint="eastAsia"/>
              </w:rPr>
              <w:t>煤气冷却单元</w:t>
            </w:r>
            <w:r>
              <w:t>-机泵</w:t>
            </w:r>
            <w:r>
              <w:rPr>
                <w:rFonts w:hint="eastAsia"/>
              </w:rPr>
              <w:t>，6</w:t>
            </w:r>
            <w:r>
              <w:t>台</w:t>
            </w:r>
          </w:p>
        </w:tc>
        <w:tc>
          <w:tcPr>
            <w:tcW w:w="1152" w:type="dxa"/>
            <w:noWrap/>
            <w:vAlign w:val="center"/>
          </w:tcPr>
          <w:p w14:paraId="483C3D3C">
            <w:pPr>
              <w:pStyle w:val="557"/>
            </w:pPr>
            <w:r>
              <w:rPr>
                <w:rFonts w:hint="eastAsia"/>
              </w:rPr>
              <w:t>-76</w:t>
            </w:r>
          </w:p>
        </w:tc>
        <w:tc>
          <w:tcPr>
            <w:tcW w:w="1207" w:type="dxa"/>
            <w:noWrap/>
            <w:vAlign w:val="center"/>
          </w:tcPr>
          <w:p w14:paraId="4A0610BF">
            <w:pPr>
              <w:pStyle w:val="557"/>
            </w:pPr>
            <w:r>
              <w:rPr>
                <w:rFonts w:hint="eastAsia"/>
              </w:rPr>
              <w:t>-37</w:t>
            </w:r>
          </w:p>
        </w:tc>
        <w:tc>
          <w:tcPr>
            <w:tcW w:w="1234" w:type="dxa"/>
            <w:noWrap/>
            <w:vAlign w:val="center"/>
          </w:tcPr>
          <w:p w14:paraId="65BD4314">
            <w:pPr>
              <w:pStyle w:val="557"/>
            </w:pPr>
            <w:r>
              <w:rPr>
                <w:rFonts w:hint="eastAsia"/>
              </w:rPr>
              <w:t>682.91</w:t>
            </w:r>
          </w:p>
        </w:tc>
        <w:tc>
          <w:tcPr>
            <w:tcW w:w="1994" w:type="dxa"/>
            <w:vAlign w:val="center"/>
          </w:tcPr>
          <w:p w14:paraId="28C35259">
            <w:pPr>
              <w:pStyle w:val="557"/>
            </w:pPr>
            <w:r>
              <w:rPr>
                <w:rFonts w:hint="eastAsia"/>
              </w:rPr>
              <w:t>70</w:t>
            </w:r>
          </w:p>
        </w:tc>
        <w:tc>
          <w:tcPr>
            <w:tcW w:w="2864" w:type="dxa"/>
            <w:vAlign w:val="center"/>
          </w:tcPr>
          <w:p w14:paraId="683AF260">
            <w:pPr>
              <w:pStyle w:val="557"/>
            </w:pPr>
            <w:r>
              <w:rPr>
                <w:rFonts w:hint="eastAsia"/>
              </w:rPr>
              <w:t>低噪声电机、减振</w:t>
            </w:r>
          </w:p>
        </w:tc>
        <w:tc>
          <w:tcPr>
            <w:tcW w:w="1606" w:type="dxa"/>
            <w:vAlign w:val="center"/>
          </w:tcPr>
          <w:p w14:paraId="3871491B">
            <w:pPr>
              <w:pStyle w:val="557"/>
            </w:pPr>
            <w:r>
              <w:t>8000</w:t>
            </w:r>
          </w:p>
        </w:tc>
      </w:tr>
      <w:tr w14:paraId="0825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5E09E95F">
            <w:pPr>
              <w:pStyle w:val="557"/>
            </w:pPr>
            <w:r>
              <w:t>6</w:t>
            </w:r>
          </w:p>
        </w:tc>
        <w:tc>
          <w:tcPr>
            <w:tcW w:w="3423" w:type="dxa"/>
            <w:vAlign w:val="center"/>
          </w:tcPr>
          <w:p w14:paraId="3D4AC23F">
            <w:pPr>
              <w:pStyle w:val="557"/>
            </w:pPr>
            <w:r>
              <w:rPr>
                <w:rFonts w:hint="eastAsia"/>
                <w:color w:val="000000"/>
              </w:rPr>
              <w:t>低温甲醇洗单元</w:t>
            </w:r>
            <w:r>
              <w:rPr>
                <w:rFonts w:eastAsia="等线"/>
                <w:color w:val="000000"/>
              </w:rPr>
              <w:t>-</w:t>
            </w:r>
            <w:r>
              <w:rPr>
                <w:rFonts w:hint="eastAsia"/>
                <w:color w:val="000000"/>
              </w:rPr>
              <w:t>压缩机，2台</w:t>
            </w:r>
          </w:p>
        </w:tc>
        <w:tc>
          <w:tcPr>
            <w:tcW w:w="1152" w:type="dxa"/>
            <w:noWrap/>
            <w:vAlign w:val="center"/>
          </w:tcPr>
          <w:p w14:paraId="780AB177">
            <w:pPr>
              <w:pStyle w:val="557"/>
            </w:pPr>
            <w:r>
              <w:rPr>
                <w:rFonts w:hint="eastAsia"/>
              </w:rPr>
              <w:t>50</w:t>
            </w:r>
          </w:p>
        </w:tc>
        <w:tc>
          <w:tcPr>
            <w:tcW w:w="1207" w:type="dxa"/>
            <w:noWrap/>
            <w:vAlign w:val="center"/>
          </w:tcPr>
          <w:p w14:paraId="4D47267A">
            <w:pPr>
              <w:pStyle w:val="557"/>
            </w:pPr>
            <w:r>
              <w:rPr>
                <w:rFonts w:hint="eastAsia"/>
              </w:rPr>
              <w:t>75</w:t>
            </w:r>
          </w:p>
        </w:tc>
        <w:tc>
          <w:tcPr>
            <w:tcW w:w="1234" w:type="dxa"/>
            <w:noWrap/>
            <w:vAlign w:val="center"/>
          </w:tcPr>
          <w:p w14:paraId="3D9C0716">
            <w:pPr>
              <w:pStyle w:val="557"/>
            </w:pPr>
            <w:r>
              <w:rPr>
                <w:rFonts w:hint="eastAsia"/>
              </w:rPr>
              <w:t>681.92</w:t>
            </w:r>
          </w:p>
        </w:tc>
        <w:tc>
          <w:tcPr>
            <w:tcW w:w="1994" w:type="dxa"/>
            <w:vAlign w:val="center"/>
          </w:tcPr>
          <w:p w14:paraId="25C8BEFF">
            <w:pPr>
              <w:pStyle w:val="557"/>
            </w:pPr>
            <w:r>
              <w:rPr>
                <w:rFonts w:hint="eastAsia"/>
              </w:rPr>
              <w:t>70</w:t>
            </w:r>
          </w:p>
        </w:tc>
        <w:tc>
          <w:tcPr>
            <w:tcW w:w="2864" w:type="dxa"/>
            <w:vAlign w:val="center"/>
          </w:tcPr>
          <w:p w14:paraId="2153F49C">
            <w:pPr>
              <w:pStyle w:val="557"/>
            </w:pPr>
            <w:r>
              <w:rPr>
                <w:rFonts w:hint="eastAsia"/>
              </w:rPr>
              <w:t>低噪声电机、减振</w:t>
            </w:r>
          </w:p>
        </w:tc>
        <w:tc>
          <w:tcPr>
            <w:tcW w:w="1606" w:type="dxa"/>
            <w:vAlign w:val="center"/>
          </w:tcPr>
          <w:p w14:paraId="2CDBD273">
            <w:pPr>
              <w:pStyle w:val="557"/>
            </w:pPr>
            <w:r>
              <w:t>8000</w:t>
            </w:r>
          </w:p>
        </w:tc>
      </w:tr>
      <w:tr w14:paraId="2351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1A316056">
            <w:pPr>
              <w:pStyle w:val="557"/>
            </w:pPr>
            <w:r>
              <w:t>7</w:t>
            </w:r>
          </w:p>
        </w:tc>
        <w:tc>
          <w:tcPr>
            <w:tcW w:w="3423" w:type="dxa"/>
            <w:vAlign w:val="center"/>
          </w:tcPr>
          <w:p w14:paraId="73497B83">
            <w:pPr>
              <w:pStyle w:val="557"/>
              <w:rPr>
                <w:color w:val="FF0000"/>
              </w:rPr>
            </w:pPr>
            <w:r>
              <w:rPr>
                <w:rFonts w:hint="eastAsia"/>
                <w:color w:val="000000"/>
              </w:rPr>
              <w:t>低温甲醇洗单元</w:t>
            </w:r>
            <w:r>
              <w:rPr>
                <w:rFonts w:eastAsia="等线"/>
                <w:color w:val="000000"/>
              </w:rPr>
              <w:t>-</w:t>
            </w:r>
            <w:r>
              <w:rPr>
                <w:rFonts w:hint="eastAsia"/>
                <w:color w:val="000000"/>
              </w:rPr>
              <w:t>机泵，17台</w:t>
            </w:r>
          </w:p>
        </w:tc>
        <w:tc>
          <w:tcPr>
            <w:tcW w:w="1152" w:type="dxa"/>
            <w:noWrap/>
            <w:vAlign w:val="center"/>
          </w:tcPr>
          <w:p w14:paraId="65143A3D">
            <w:pPr>
              <w:pStyle w:val="557"/>
            </w:pPr>
            <w:r>
              <w:rPr>
                <w:rFonts w:hint="eastAsia"/>
              </w:rPr>
              <w:t>4</w:t>
            </w:r>
          </w:p>
        </w:tc>
        <w:tc>
          <w:tcPr>
            <w:tcW w:w="1207" w:type="dxa"/>
            <w:noWrap/>
            <w:vAlign w:val="center"/>
          </w:tcPr>
          <w:p w14:paraId="540B147E">
            <w:pPr>
              <w:pStyle w:val="557"/>
            </w:pPr>
            <w:r>
              <w:rPr>
                <w:rFonts w:hint="eastAsia"/>
              </w:rPr>
              <w:t>-2</w:t>
            </w:r>
          </w:p>
        </w:tc>
        <w:tc>
          <w:tcPr>
            <w:tcW w:w="1234" w:type="dxa"/>
            <w:noWrap/>
            <w:vAlign w:val="center"/>
          </w:tcPr>
          <w:p w14:paraId="481E19EA">
            <w:pPr>
              <w:pStyle w:val="557"/>
            </w:pPr>
            <w:r>
              <w:rPr>
                <w:rFonts w:hint="eastAsia"/>
              </w:rPr>
              <w:t>685.44</w:t>
            </w:r>
          </w:p>
        </w:tc>
        <w:tc>
          <w:tcPr>
            <w:tcW w:w="1994" w:type="dxa"/>
            <w:vAlign w:val="center"/>
          </w:tcPr>
          <w:p w14:paraId="45D4EE50">
            <w:pPr>
              <w:pStyle w:val="557"/>
            </w:pPr>
            <w:r>
              <w:rPr>
                <w:rFonts w:hint="eastAsia"/>
              </w:rPr>
              <w:t>70</w:t>
            </w:r>
          </w:p>
        </w:tc>
        <w:tc>
          <w:tcPr>
            <w:tcW w:w="2864" w:type="dxa"/>
            <w:vAlign w:val="center"/>
          </w:tcPr>
          <w:p w14:paraId="14C757C5">
            <w:pPr>
              <w:pStyle w:val="557"/>
            </w:pPr>
            <w:r>
              <w:rPr>
                <w:rFonts w:hint="eastAsia"/>
              </w:rPr>
              <w:t>隔声、减振</w:t>
            </w:r>
          </w:p>
        </w:tc>
        <w:tc>
          <w:tcPr>
            <w:tcW w:w="1606" w:type="dxa"/>
            <w:vAlign w:val="center"/>
          </w:tcPr>
          <w:p w14:paraId="3E7ED8D7">
            <w:pPr>
              <w:pStyle w:val="557"/>
            </w:pPr>
            <w:r>
              <w:t>8000</w:t>
            </w:r>
          </w:p>
        </w:tc>
      </w:tr>
      <w:tr w14:paraId="724C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06C4A184">
            <w:pPr>
              <w:pStyle w:val="557"/>
            </w:pPr>
            <w:r>
              <w:t>8</w:t>
            </w:r>
          </w:p>
        </w:tc>
        <w:tc>
          <w:tcPr>
            <w:tcW w:w="3423" w:type="dxa"/>
            <w:vAlign w:val="center"/>
          </w:tcPr>
          <w:p w14:paraId="407504CB">
            <w:pPr>
              <w:pStyle w:val="557"/>
              <w:rPr>
                <w:color w:val="FF0000"/>
              </w:rPr>
            </w:pPr>
            <w:r>
              <w:rPr>
                <w:rFonts w:hint="eastAsia"/>
                <w:color w:val="000000"/>
              </w:rPr>
              <w:t>CO深冷分离单元</w:t>
            </w:r>
            <w:r>
              <w:rPr>
                <w:rFonts w:eastAsia="等线"/>
                <w:color w:val="000000"/>
              </w:rPr>
              <w:t>-</w:t>
            </w:r>
            <w:r>
              <w:rPr>
                <w:rFonts w:hint="eastAsia"/>
                <w:color w:val="000000"/>
              </w:rPr>
              <w:t>压缩机，1台</w:t>
            </w:r>
          </w:p>
        </w:tc>
        <w:tc>
          <w:tcPr>
            <w:tcW w:w="1152" w:type="dxa"/>
            <w:noWrap/>
            <w:vAlign w:val="center"/>
          </w:tcPr>
          <w:p w14:paraId="6445B04B">
            <w:pPr>
              <w:pStyle w:val="557"/>
            </w:pPr>
            <w:r>
              <w:rPr>
                <w:rFonts w:hint="eastAsia"/>
              </w:rPr>
              <w:t>20</w:t>
            </w:r>
          </w:p>
        </w:tc>
        <w:tc>
          <w:tcPr>
            <w:tcW w:w="1207" w:type="dxa"/>
            <w:noWrap/>
            <w:vAlign w:val="center"/>
          </w:tcPr>
          <w:p w14:paraId="60891133">
            <w:pPr>
              <w:pStyle w:val="557"/>
            </w:pPr>
            <w:r>
              <w:rPr>
                <w:rFonts w:hint="eastAsia"/>
              </w:rPr>
              <w:t>-4</w:t>
            </w:r>
          </w:p>
        </w:tc>
        <w:tc>
          <w:tcPr>
            <w:tcW w:w="1234" w:type="dxa"/>
            <w:noWrap/>
            <w:vAlign w:val="center"/>
          </w:tcPr>
          <w:p w14:paraId="0565B735">
            <w:pPr>
              <w:pStyle w:val="557"/>
            </w:pPr>
            <w:r>
              <w:rPr>
                <w:rFonts w:hint="eastAsia"/>
              </w:rPr>
              <w:t>686.51</w:t>
            </w:r>
          </w:p>
        </w:tc>
        <w:tc>
          <w:tcPr>
            <w:tcW w:w="1994" w:type="dxa"/>
            <w:vAlign w:val="center"/>
          </w:tcPr>
          <w:p w14:paraId="2A323263">
            <w:pPr>
              <w:pStyle w:val="557"/>
            </w:pPr>
            <w:r>
              <w:rPr>
                <w:rFonts w:hint="eastAsia"/>
              </w:rPr>
              <w:t>70</w:t>
            </w:r>
          </w:p>
        </w:tc>
        <w:tc>
          <w:tcPr>
            <w:tcW w:w="2864" w:type="dxa"/>
            <w:vAlign w:val="center"/>
          </w:tcPr>
          <w:p w14:paraId="62C3DA67">
            <w:pPr>
              <w:pStyle w:val="557"/>
            </w:pPr>
            <w:r>
              <w:rPr>
                <w:rFonts w:hint="eastAsia"/>
              </w:rPr>
              <w:t>低噪声电机、减振</w:t>
            </w:r>
          </w:p>
        </w:tc>
        <w:tc>
          <w:tcPr>
            <w:tcW w:w="1606" w:type="dxa"/>
            <w:vAlign w:val="center"/>
          </w:tcPr>
          <w:p w14:paraId="0E9E847A">
            <w:pPr>
              <w:pStyle w:val="557"/>
            </w:pPr>
            <w:r>
              <w:t>8000</w:t>
            </w:r>
          </w:p>
        </w:tc>
      </w:tr>
      <w:tr w14:paraId="7D7F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0D55EE40">
            <w:pPr>
              <w:pStyle w:val="557"/>
            </w:pPr>
            <w:r>
              <w:t>9</w:t>
            </w:r>
          </w:p>
        </w:tc>
        <w:tc>
          <w:tcPr>
            <w:tcW w:w="3423" w:type="dxa"/>
            <w:vAlign w:val="center"/>
          </w:tcPr>
          <w:p w14:paraId="34A1BCD5">
            <w:pPr>
              <w:pStyle w:val="557"/>
              <w:rPr>
                <w:color w:val="FF0000"/>
              </w:rPr>
            </w:pPr>
            <w:r>
              <w:rPr>
                <w:rFonts w:hint="eastAsia"/>
                <w:color w:val="000000"/>
              </w:rPr>
              <w:t>硫回收单元</w:t>
            </w:r>
            <w:r>
              <w:rPr>
                <w:rFonts w:eastAsia="等线"/>
                <w:color w:val="000000"/>
              </w:rPr>
              <w:t>-</w:t>
            </w:r>
            <w:r>
              <w:rPr>
                <w:rFonts w:hint="eastAsia"/>
                <w:color w:val="000000"/>
              </w:rPr>
              <w:t>风机，2台</w:t>
            </w:r>
          </w:p>
        </w:tc>
        <w:tc>
          <w:tcPr>
            <w:tcW w:w="1152" w:type="dxa"/>
            <w:noWrap/>
            <w:vAlign w:val="center"/>
          </w:tcPr>
          <w:p w14:paraId="3BD5F7F8">
            <w:pPr>
              <w:pStyle w:val="557"/>
            </w:pPr>
            <w:r>
              <w:rPr>
                <w:rFonts w:hint="eastAsia"/>
              </w:rPr>
              <w:t>37</w:t>
            </w:r>
          </w:p>
        </w:tc>
        <w:tc>
          <w:tcPr>
            <w:tcW w:w="1207" w:type="dxa"/>
            <w:noWrap/>
            <w:vAlign w:val="center"/>
          </w:tcPr>
          <w:p w14:paraId="1A96AE9A">
            <w:pPr>
              <w:pStyle w:val="557"/>
            </w:pPr>
            <w:r>
              <w:rPr>
                <w:rFonts w:hint="eastAsia"/>
              </w:rPr>
              <w:t>-10</w:t>
            </w:r>
          </w:p>
        </w:tc>
        <w:tc>
          <w:tcPr>
            <w:tcW w:w="1234" w:type="dxa"/>
            <w:noWrap/>
            <w:vAlign w:val="center"/>
          </w:tcPr>
          <w:p w14:paraId="21B504B1">
            <w:pPr>
              <w:pStyle w:val="557"/>
            </w:pPr>
            <w:r>
              <w:rPr>
                <w:rFonts w:hint="eastAsia"/>
              </w:rPr>
              <w:t>687.63</w:t>
            </w:r>
          </w:p>
        </w:tc>
        <w:tc>
          <w:tcPr>
            <w:tcW w:w="1994" w:type="dxa"/>
            <w:vAlign w:val="center"/>
          </w:tcPr>
          <w:p w14:paraId="3881BD5D">
            <w:pPr>
              <w:pStyle w:val="557"/>
            </w:pPr>
            <w:r>
              <w:rPr>
                <w:rFonts w:hint="eastAsia"/>
              </w:rPr>
              <w:t>70</w:t>
            </w:r>
          </w:p>
        </w:tc>
        <w:tc>
          <w:tcPr>
            <w:tcW w:w="2864" w:type="dxa"/>
            <w:vAlign w:val="center"/>
          </w:tcPr>
          <w:p w14:paraId="644A6210">
            <w:pPr>
              <w:pStyle w:val="557"/>
            </w:pPr>
            <w:r>
              <w:rPr>
                <w:rFonts w:hint="eastAsia"/>
              </w:rPr>
              <w:t>隔声、减振</w:t>
            </w:r>
          </w:p>
        </w:tc>
        <w:tc>
          <w:tcPr>
            <w:tcW w:w="1606" w:type="dxa"/>
            <w:vAlign w:val="center"/>
          </w:tcPr>
          <w:p w14:paraId="14A0F261">
            <w:pPr>
              <w:pStyle w:val="557"/>
            </w:pPr>
            <w:r>
              <w:t>8000</w:t>
            </w:r>
          </w:p>
        </w:tc>
      </w:tr>
      <w:tr w14:paraId="773F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162D3BEB">
            <w:pPr>
              <w:pStyle w:val="557"/>
            </w:pPr>
            <w:r>
              <w:rPr>
                <w:rFonts w:hint="eastAsia"/>
              </w:rPr>
              <w:t>10</w:t>
            </w:r>
          </w:p>
        </w:tc>
        <w:tc>
          <w:tcPr>
            <w:tcW w:w="3423" w:type="dxa"/>
            <w:vAlign w:val="center"/>
          </w:tcPr>
          <w:p w14:paraId="606056D9">
            <w:pPr>
              <w:pStyle w:val="557"/>
              <w:rPr>
                <w:color w:val="FF0000"/>
              </w:rPr>
            </w:pPr>
            <w:r>
              <w:rPr>
                <w:rFonts w:hint="eastAsia"/>
                <w:color w:val="000000"/>
              </w:rPr>
              <w:t>硫回收单元</w:t>
            </w:r>
            <w:r>
              <w:rPr>
                <w:rFonts w:eastAsia="等线"/>
                <w:color w:val="000000"/>
              </w:rPr>
              <w:t>-</w:t>
            </w:r>
            <w:r>
              <w:rPr>
                <w:rFonts w:hint="eastAsia"/>
                <w:color w:val="000000"/>
              </w:rPr>
              <w:t>机泵，7台</w:t>
            </w:r>
          </w:p>
        </w:tc>
        <w:tc>
          <w:tcPr>
            <w:tcW w:w="1152" w:type="dxa"/>
            <w:noWrap/>
            <w:vAlign w:val="center"/>
          </w:tcPr>
          <w:p w14:paraId="6AF0B0AD">
            <w:pPr>
              <w:pStyle w:val="557"/>
            </w:pPr>
            <w:r>
              <w:rPr>
                <w:rFonts w:hint="eastAsia"/>
              </w:rPr>
              <w:t>-57</w:t>
            </w:r>
          </w:p>
        </w:tc>
        <w:tc>
          <w:tcPr>
            <w:tcW w:w="1207" w:type="dxa"/>
            <w:noWrap/>
            <w:vAlign w:val="center"/>
          </w:tcPr>
          <w:p w14:paraId="2EB6C1A1">
            <w:pPr>
              <w:pStyle w:val="557"/>
            </w:pPr>
            <w:r>
              <w:rPr>
                <w:rFonts w:hint="eastAsia"/>
              </w:rPr>
              <w:t>-168</w:t>
            </w:r>
          </w:p>
        </w:tc>
        <w:tc>
          <w:tcPr>
            <w:tcW w:w="1234" w:type="dxa"/>
            <w:noWrap/>
            <w:vAlign w:val="center"/>
          </w:tcPr>
          <w:p w14:paraId="342EFCCE">
            <w:pPr>
              <w:pStyle w:val="557"/>
            </w:pPr>
            <w:r>
              <w:rPr>
                <w:rFonts w:hint="eastAsia"/>
              </w:rPr>
              <w:t>687.61</w:t>
            </w:r>
          </w:p>
        </w:tc>
        <w:tc>
          <w:tcPr>
            <w:tcW w:w="1994" w:type="dxa"/>
            <w:vAlign w:val="center"/>
          </w:tcPr>
          <w:p w14:paraId="09A530F9">
            <w:pPr>
              <w:pStyle w:val="557"/>
            </w:pPr>
            <w:r>
              <w:rPr>
                <w:rFonts w:hint="eastAsia"/>
              </w:rPr>
              <w:t>70</w:t>
            </w:r>
          </w:p>
        </w:tc>
        <w:tc>
          <w:tcPr>
            <w:tcW w:w="2864" w:type="dxa"/>
            <w:vAlign w:val="center"/>
          </w:tcPr>
          <w:p w14:paraId="21547489">
            <w:pPr>
              <w:pStyle w:val="557"/>
            </w:pPr>
            <w:r>
              <w:rPr>
                <w:rFonts w:hint="eastAsia"/>
              </w:rPr>
              <w:t>隔声、减振</w:t>
            </w:r>
          </w:p>
        </w:tc>
        <w:tc>
          <w:tcPr>
            <w:tcW w:w="1606" w:type="dxa"/>
            <w:vAlign w:val="center"/>
          </w:tcPr>
          <w:p w14:paraId="40076876">
            <w:pPr>
              <w:pStyle w:val="557"/>
            </w:pPr>
            <w:r>
              <w:t>8000</w:t>
            </w:r>
          </w:p>
        </w:tc>
      </w:tr>
      <w:tr w14:paraId="11C6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53C5B8E4">
            <w:pPr>
              <w:pStyle w:val="557"/>
            </w:pPr>
            <w:r>
              <w:rPr>
                <w:rFonts w:hint="eastAsia"/>
              </w:rPr>
              <w:t>11</w:t>
            </w:r>
          </w:p>
        </w:tc>
        <w:tc>
          <w:tcPr>
            <w:tcW w:w="3423" w:type="dxa"/>
            <w:vAlign w:val="center"/>
          </w:tcPr>
          <w:p w14:paraId="6352D8C5">
            <w:pPr>
              <w:pStyle w:val="557"/>
              <w:rPr>
                <w:color w:val="000000"/>
              </w:rPr>
            </w:pPr>
            <w:r>
              <w:rPr>
                <w:rFonts w:hint="eastAsia"/>
              </w:rPr>
              <w:t>二氧化碳压缩单元-压缩</w:t>
            </w:r>
            <w:r>
              <w:t>机</w:t>
            </w:r>
            <w:r>
              <w:rPr>
                <w:rFonts w:hint="eastAsia"/>
              </w:rPr>
              <w:t>，1台</w:t>
            </w:r>
          </w:p>
        </w:tc>
        <w:tc>
          <w:tcPr>
            <w:tcW w:w="1152" w:type="dxa"/>
            <w:noWrap/>
            <w:vAlign w:val="center"/>
          </w:tcPr>
          <w:p w14:paraId="7C52E484">
            <w:pPr>
              <w:pStyle w:val="557"/>
            </w:pPr>
            <w:r>
              <w:rPr>
                <w:rFonts w:hint="eastAsia"/>
              </w:rPr>
              <w:t>60</w:t>
            </w:r>
          </w:p>
        </w:tc>
        <w:tc>
          <w:tcPr>
            <w:tcW w:w="1207" w:type="dxa"/>
            <w:noWrap/>
            <w:vAlign w:val="center"/>
          </w:tcPr>
          <w:p w14:paraId="13158BD3">
            <w:pPr>
              <w:pStyle w:val="557"/>
            </w:pPr>
            <w:r>
              <w:rPr>
                <w:rFonts w:hint="eastAsia"/>
              </w:rPr>
              <w:t>80</w:t>
            </w:r>
          </w:p>
        </w:tc>
        <w:tc>
          <w:tcPr>
            <w:tcW w:w="1234" w:type="dxa"/>
            <w:noWrap/>
            <w:vAlign w:val="center"/>
          </w:tcPr>
          <w:p w14:paraId="3CA1D879">
            <w:pPr>
              <w:pStyle w:val="557"/>
            </w:pPr>
            <w:r>
              <w:rPr>
                <w:rFonts w:hint="eastAsia"/>
              </w:rPr>
              <w:t>689.62</w:t>
            </w:r>
          </w:p>
        </w:tc>
        <w:tc>
          <w:tcPr>
            <w:tcW w:w="1994" w:type="dxa"/>
            <w:vAlign w:val="center"/>
          </w:tcPr>
          <w:p w14:paraId="27FA63FD">
            <w:pPr>
              <w:pStyle w:val="557"/>
            </w:pPr>
            <w:r>
              <w:rPr>
                <w:rFonts w:hint="eastAsia"/>
              </w:rPr>
              <w:t>70</w:t>
            </w:r>
          </w:p>
        </w:tc>
        <w:tc>
          <w:tcPr>
            <w:tcW w:w="2864" w:type="dxa"/>
            <w:vAlign w:val="center"/>
          </w:tcPr>
          <w:p w14:paraId="4BDAA612">
            <w:pPr>
              <w:pStyle w:val="557"/>
            </w:pPr>
            <w:r>
              <w:rPr>
                <w:rFonts w:hint="eastAsia"/>
              </w:rPr>
              <w:t>低噪声电机、减振</w:t>
            </w:r>
          </w:p>
        </w:tc>
        <w:tc>
          <w:tcPr>
            <w:tcW w:w="1606" w:type="dxa"/>
            <w:vAlign w:val="center"/>
          </w:tcPr>
          <w:p w14:paraId="1E21CD1E">
            <w:pPr>
              <w:pStyle w:val="557"/>
            </w:pPr>
            <w:r>
              <w:t>8000</w:t>
            </w:r>
          </w:p>
        </w:tc>
      </w:tr>
      <w:tr w14:paraId="40E7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11526964">
            <w:pPr>
              <w:pStyle w:val="557"/>
            </w:pPr>
            <w:r>
              <w:rPr>
                <w:rFonts w:hint="eastAsia"/>
              </w:rPr>
              <w:t>12</w:t>
            </w:r>
          </w:p>
        </w:tc>
        <w:tc>
          <w:tcPr>
            <w:tcW w:w="3423" w:type="dxa"/>
            <w:vAlign w:val="center"/>
          </w:tcPr>
          <w:p w14:paraId="21A1D39B">
            <w:pPr>
              <w:pStyle w:val="557"/>
              <w:rPr>
                <w:color w:val="000000"/>
              </w:rPr>
            </w:pPr>
            <w:r>
              <w:rPr>
                <w:rFonts w:hint="eastAsia"/>
              </w:rPr>
              <w:t>电解水制氢装置-</w:t>
            </w:r>
            <w:r>
              <w:t>压缩机</w:t>
            </w:r>
            <w:r>
              <w:rPr>
                <w:rFonts w:hint="eastAsia"/>
              </w:rPr>
              <w:t>，2台</w:t>
            </w:r>
          </w:p>
        </w:tc>
        <w:tc>
          <w:tcPr>
            <w:tcW w:w="1152" w:type="dxa"/>
            <w:noWrap/>
            <w:vAlign w:val="center"/>
          </w:tcPr>
          <w:p w14:paraId="583FB693">
            <w:pPr>
              <w:pStyle w:val="557"/>
            </w:pPr>
            <w:r>
              <w:rPr>
                <w:rFonts w:hint="eastAsia"/>
              </w:rPr>
              <w:t>-120</w:t>
            </w:r>
          </w:p>
        </w:tc>
        <w:tc>
          <w:tcPr>
            <w:tcW w:w="1207" w:type="dxa"/>
            <w:noWrap/>
            <w:vAlign w:val="center"/>
          </w:tcPr>
          <w:p w14:paraId="1F4C1A5E">
            <w:pPr>
              <w:pStyle w:val="557"/>
            </w:pPr>
            <w:r>
              <w:rPr>
                <w:rFonts w:hint="eastAsia"/>
              </w:rPr>
              <w:t>130</w:t>
            </w:r>
          </w:p>
        </w:tc>
        <w:tc>
          <w:tcPr>
            <w:tcW w:w="1234" w:type="dxa"/>
            <w:noWrap/>
            <w:vAlign w:val="center"/>
          </w:tcPr>
          <w:p w14:paraId="459C5061">
            <w:pPr>
              <w:pStyle w:val="557"/>
            </w:pPr>
            <w:r>
              <w:rPr>
                <w:rFonts w:hint="eastAsia"/>
              </w:rPr>
              <w:t>682.63</w:t>
            </w:r>
          </w:p>
        </w:tc>
        <w:tc>
          <w:tcPr>
            <w:tcW w:w="1994" w:type="dxa"/>
            <w:vAlign w:val="center"/>
          </w:tcPr>
          <w:p w14:paraId="18C476FA">
            <w:pPr>
              <w:pStyle w:val="557"/>
            </w:pPr>
            <w:r>
              <w:rPr>
                <w:rFonts w:hint="eastAsia"/>
              </w:rPr>
              <w:t>70</w:t>
            </w:r>
          </w:p>
        </w:tc>
        <w:tc>
          <w:tcPr>
            <w:tcW w:w="2864" w:type="dxa"/>
            <w:vAlign w:val="center"/>
          </w:tcPr>
          <w:p w14:paraId="44151136">
            <w:pPr>
              <w:pStyle w:val="557"/>
            </w:pPr>
            <w:r>
              <w:rPr>
                <w:rFonts w:hint="eastAsia"/>
              </w:rPr>
              <w:t>低噪声电机、减振</w:t>
            </w:r>
          </w:p>
        </w:tc>
        <w:tc>
          <w:tcPr>
            <w:tcW w:w="1606" w:type="dxa"/>
            <w:vAlign w:val="center"/>
          </w:tcPr>
          <w:p w14:paraId="77422DE3">
            <w:pPr>
              <w:pStyle w:val="557"/>
            </w:pPr>
            <w:r>
              <w:t>8000</w:t>
            </w:r>
          </w:p>
        </w:tc>
      </w:tr>
      <w:tr w14:paraId="50C0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082F0D38">
            <w:pPr>
              <w:pStyle w:val="557"/>
            </w:pPr>
            <w:r>
              <w:rPr>
                <w:rFonts w:hint="eastAsia"/>
              </w:rPr>
              <w:t>13</w:t>
            </w:r>
          </w:p>
        </w:tc>
        <w:tc>
          <w:tcPr>
            <w:tcW w:w="3423" w:type="dxa"/>
            <w:vAlign w:val="center"/>
          </w:tcPr>
          <w:p w14:paraId="101AC5A9">
            <w:pPr>
              <w:pStyle w:val="557"/>
              <w:rPr>
                <w:color w:val="FF0000"/>
              </w:rPr>
            </w:pPr>
            <w:r>
              <w:rPr>
                <w:rFonts w:hint="eastAsia"/>
              </w:rPr>
              <w:t>冷却塔，27台</w:t>
            </w:r>
          </w:p>
        </w:tc>
        <w:tc>
          <w:tcPr>
            <w:tcW w:w="1152" w:type="dxa"/>
            <w:noWrap/>
            <w:vAlign w:val="center"/>
          </w:tcPr>
          <w:p w14:paraId="6E1D8D3A">
            <w:pPr>
              <w:pStyle w:val="557"/>
            </w:pPr>
            <w:r>
              <w:t>-478</w:t>
            </w:r>
          </w:p>
        </w:tc>
        <w:tc>
          <w:tcPr>
            <w:tcW w:w="1207" w:type="dxa"/>
            <w:noWrap/>
            <w:vAlign w:val="center"/>
          </w:tcPr>
          <w:p w14:paraId="7EBFEA0B">
            <w:pPr>
              <w:pStyle w:val="557"/>
            </w:pPr>
            <w:r>
              <w:t>56</w:t>
            </w:r>
          </w:p>
        </w:tc>
        <w:tc>
          <w:tcPr>
            <w:tcW w:w="1234" w:type="dxa"/>
            <w:noWrap/>
            <w:vAlign w:val="center"/>
          </w:tcPr>
          <w:p w14:paraId="2382B17E">
            <w:pPr>
              <w:pStyle w:val="557"/>
            </w:pPr>
            <w:r>
              <w:rPr>
                <w:rFonts w:hint="eastAsia"/>
              </w:rPr>
              <w:t>684.69</w:t>
            </w:r>
          </w:p>
        </w:tc>
        <w:tc>
          <w:tcPr>
            <w:tcW w:w="1994" w:type="dxa"/>
            <w:vAlign w:val="center"/>
          </w:tcPr>
          <w:p w14:paraId="67DFEE3C">
            <w:pPr>
              <w:pStyle w:val="557"/>
            </w:pPr>
            <w:r>
              <w:rPr>
                <w:rFonts w:hint="eastAsia"/>
              </w:rPr>
              <w:t>70</w:t>
            </w:r>
          </w:p>
        </w:tc>
        <w:tc>
          <w:tcPr>
            <w:tcW w:w="2864" w:type="dxa"/>
            <w:vAlign w:val="center"/>
          </w:tcPr>
          <w:p w14:paraId="14C36E3C">
            <w:pPr>
              <w:pStyle w:val="557"/>
            </w:pPr>
            <w:r>
              <w:rPr>
                <w:rFonts w:hint="eastAsia"/>
              </w:rPr>
              <w:t>基础减振</w:t>
            </w:r>
          </w:p>
        </w:tc>
        <w:tc>
          <w:tcPr>
            <w:tcW w:w="1606" w:type="dxa"/>
            <w:vAlign w:val="center"/>
          </w:tcPr>
          <w:p w14:paraId="28689FA2">
            <w:pPr>
              <w:pStyle w:val="557"/>
            </w:pPr>
            <w:r>
              <w:rPr>
                <w:rFonts w:hint="eastAsia"/>
              </w:rPr>
              <w:t>8000</w:t>
            </w:r>
          </w:p>
        </w:tc>
      </w:tr>
      <w:tr w14:paraId="0371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Align w:val="center"/>
          </w:tcPr>
          <w:p w14:paraId="0EAA5FFE">
            <w:pPr>
              <w:pStyle w:val="557"/>
            </w:pPr>
            <w:r>
              <w:rPr>
                <w:rFonts w:hint="eastAsia"/>
              </w:rPr>
              <w:t>14</w:t>
            </w:r>
          </w:p>
        </w:tc>
        <w:tc>
          <w:tcPr>
            <w:tcW w:w="3423" w:type="dxa"/>
            <w:vAlign w:val="center"/>
          </w:tcPr>
          <w:p w14:paraId="39313B49">
            <w:pPr>
              <w:pStyle w:val="557"/>
            </w:pPr>
            <w:r>
              <w:rPr>
                <w:rFonts w:hint="eastAsia"/>
              </w:rPr>
              <w:t>火炬头，3台</w:t>
            </w:r>
          </w:p>
        </w:tc>
        <w:tc>
          <w:tcPr>
            <w:tcW w:w="1152" w:type="dxa"/>
            <w:noWrap/>
            <w:vAlign w:val="center"/>
          </w:tcPr>
          <w:p w14:paraId="30BC3936">
            <w:pPr>
              <w:pStyle w:val="557"/>
            </w:pPr>
            <w:r>
              <w:rPr>
                <w:rFonts w:hint="eastAsia"/>
              </w:rPr>
              <w:t>-564</w:t>
            </w:r>
          </w:p>
        </w:tc>
        <w:tc>
          <w:tcPr>
            <w:tcW w:w="1207" w:type="dxa"/>
            <w:noWrap/>
            <w:vAlign w:val="center"/>
          </w:tcPr>
          <w:p w14:paraId="3FEB905A">
            <w:pPr>
              <w:pStyle w:val="557"/>
            </w:pPr>
            <w:r>
              <w:rPr>
                <w:rFonts w:hint="eastAsia"/>
              </w:rPr>
              <w:t>-371</w:t>
            </w:r>
          </w:p>
        </w:tc>
        <w:tc>
          <w:tcPr>
            <w:tcW w:w="1234" w:type="dxa"/>
            <w:noWrap/>
            <w:vAlign w:val="center"/>
          </w:tcPr>
          <w:p w14:paraId="4B0DAE54">
            <w:pPr>
              <w:pStyle w:val="557"/>
            </w:pPr>
            <w:r>
              <w:rPr>
                <w:rFonts w:hint="eastAsia"/>
              </w:rPr>
              <w:t>685.27</w:t>
            </w:r>
          </w:p>
        </w:tc>
        <w:tc>
          <w:tcPr>
            <w:tcW w:w="1994" w:type="dxa"/>
            <w:vAlign w:val="center"/>
          </w:tcPr>
          <w:p w14:paraId="66E599FD">
            <w:pPr>
              <w:pStyle w:val="557"/>
            </w:pPr>
            <w:r>
              <w:rPr>
                <w:rFonts w:hint="eastAsia"/>
              </w:rPr>
              <w:t>90</w:t>
            </w:r>
          </w:p>
        </w:tc>
        <w:tc>
          <w:tcPr>
            <w:tcW w:w="2864" w:type="dxa"/>
            <w:vAlign w:val="center"/>
          </w:tcPr>
          <w:p w14:paraId="11517813">
            <w:pPr>
              <w:pStyle w:val="557"/>
            </w:pPr>
            <w:r>
              <w:rPr>
                <w:rFonts w:hint="eastAsia"/>
              </w:rPr>
              <w:t>/</w:t>
            </w:r>
          </w:p>
        </w:tc>
        <w:tc>
          <w:tcPr>
            <w:tcW w:w="1606" w:type="dxa"/>
            <w:vAlign w:val="center"/>
          </w:tcPr>
          <w:p w14:paraId="7D78195C">
            <w:pPr>
              <w:pStyle w:val="557"/>
            </w:pPr>
            <w:r>
              <w:rPr>
                <w:rFonts w:hint="eastAsia"/>
              </w:rPr>
              <w:t>8000</w:t>
            </w:r>
          </w:p>
        </w:tc>
      </w:tr>
    </w:tbl>
    <w:p w14:paraId="42F4EC2E">
      <w:pPr>
        <w:spacing w:line="360" w:lineRule="auto"/>
        <w:ind w:firstLine="482" w:firstLineChars="200"/>
        <w:jc w:val="center"/>
        <w:rPr>
          <w:rFonts w:hint="eastAsia" w:ascii="黑体" w:hAnsi="黑体" w:eastAsia="黑体"/>
          <w:b/>
        </w:rPr>
      </w:pPr>
    </w:p>
    <w:p w14:paraId="49158B8F">
      <w:pPr>
        <w:spacing w:line="360" w:lineRule="auto"/>
        <w:ind w:firstLine="482" w:firstLineChars="200"/>
        <w:jc w:val="center"/>
        <w:rPr>
          <w:rFonts w:hint="eastAsia" w:ascii="黑体" w:hAnsi="黑体" w:eastAsia="黑体"/>
          <w:b/>
        </w:rPr>
      </w:pPr>
      <w:r>
        <w:rPr>
          <w:rFonts w:hint="eastAsia" w:ascii="黑体" w:hAnsi="黑体" w:eastAsia="黑体"/>
          <w:b/>
        </w:rPr>
        <w:t>表</w:t>
      </w:r>
      <w:r>
        <w:rPr>
          <w:rFonts w:ascii="黑体" w:hAnsi="黑体" w:eastAsia="黑体"/>
          <w:b/>
        </w:rPr>
        <w:t>5.5.1-</w:t>
      </w:r>
      <w:r>
        <w:rPr>
          <w:rFonts w:hint="eastAsia" w:ascii="黑体" w:hAnsi="黑体" w:eastAsia="黑体"/>
          <w:b/>
        </w:rPr>
        <w:t>2     工业企业噪声源强调查清单（室内声源）</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443"/>
        <w:gridCol w:w="2160"/>
        <w:gridCol w:w="924"/>
        <w:gridCol w:w="2101"/>
        <w:gridCol w:w="576"/>
        <w:gridCol w:w="578"/>
        <w:gridCol w:w="754"/>
        <w:gridCol w:w="833"/>
        <w:gridCol w:w="717"/>
        <w:gridCol w:w="873"/>
        <w:gridCol w:w="862"/>
        <w:gridCol w:w="862"/>
        <w:gridCol w:w="921"/>
      </w:tblGrid>
      <w:tr w14:paraId="3A7E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vMerge w:val="restart"/>
            <w:noWrap/>
            <w:vAlign w:val="center"/>
          </w:tcPr>
          <w:p w14:paraId="5A97C789">
            <w:pPr>
              <w:pStyle w:val="557"/>
            </w:pPr>
            <w:r>
              <w:rPr>
                <w:rFonts w:hint="eastAsia"/>
              </w:rPr>
              <w:t>序号</w:t>
            </w:r>
          </w:p>
        </w:tc>
        <w:tc>
          <w:tcPr>
            <w:tcW w:w="509" w:type="pct"/>
            <w:vMerge w:val="restart"/>
            <w:noWrap/>
            <w:vAlign w:val="center"/>
          </w:tcPr>
          <w:p w14:paraId="0BCEC3C4">
            <w:pPr>
              <w:pStyle w:val="557"/>
            </w:pPr>
            <w:r>
              <w:rPr>
                <w:rFonts w:hint="eastAsia"/>
              </w:rPr>
              <w:t>建筑物名称</w:t>
            </w:r>
          </w:p>
        </w:tc>
        <w:tc>
          <w:tcPr>
            <w:tcW w:w="762" w:type="pct"/>
            <w:vMerge w:val="restart"/>
            <w:noWrap/>
            <w:vAlign w:val="center"/>
          </w:tcPr>
          <w:p w14:paraId="1638E663">
            <w:pPr>
              <w:pStyle w:val="557"/>
            </w:pPr>
            <w:r>
              <w:rPr>
                <w:rFonts w:hint="eastAsia"/>
              </w:rPr>
              <w:t>声源名称</w:t>
            </w:r>
          </w:p>
        </w:tc>
        <w:tc>
          <w:tcPr>
            <w:tcW w:w="326" w:type="pct"/>
            <w:vMerge w:val="restart"/>
            <w:noWrap/>
            <w:vAlign w:val="center"/>
          </w:tcPr>
          <w:p w14:paraId="1FEB0F93">
            <w:pPr>
              <w:pStyle w:val="557"/>
            </w:pPr>
            <w:r>
              <w:rPr>
                <w:rFonts w:hint="eastAsia"/>
              </w:rPr>
              <w:t>声功率级/dB(A)</w:t>
            </w:r>
          </w:p>
        </w:tc>
        <w:tc>
          <w:tcPr>
            <w:tcW w:w="741" w:type="pct"/>
            <w:vMerge w:val="restart"/>
            <w:noWrap/>
            <w:vAlign w:val="center"/>
          </w:tcPr>
          <w:p w14:paraId="17C1494E">
            <w:pPr>
              <w:pStyle w:val="557"/>
            </w:pPr>
            <w:r>
              <w:rPr>
                <w:rFonts w:hint="eastAsia"/>
              </w:rPr>
              <w:t>声源控制措施</w:t>
            </w:r>
          </w:p>
        </w:tc>
        <w:tc>
          <w:tcPr>
            <w:tcW w:w="673" w:type="pct"/>
            <w:gridSpan w:val="3"/>
            <w:noWrap/>
            <w:vAlign w:val="center"/>
          </w:tcPr>
          <w:p w14:paraId="6D25F313">
            <w:pPr>
              <w:pStyle w:val="557"/>
            </w:pPr>
            <w:r>
              <w:rPr>
                <w:rFonts w:hint="eastAsia"/>
              </w:rPr>
              <w:t>空间相对位置/m</w:t>
            </w:r>
          </w:p>
        </w:tc>
        <w:tc>
          <w:tcPr>
            <w:tcW w:w="294" w:type="pct"/>
            <w:vMerge w:val="restart"/>
            <w:noWrap/>
            <w:vAlign w:val="center"/>
          </w:tcPr>
          <w:p w14:paraId="63EB1384">
            <w:pPr>
              <w:pStyle w:val="557"/>
            </w:pPr>
            <w:r>
              <w:rPr>
                <w:rFonts w:hint="eastAsia"/>
              </w:rPr>
              <w:t>距室内边界距离/m</w:t>
            </w:r>
          </w:p>
        </w:tc>
        <w:tc>
          <w:tcPr>
            <w:tcW w:w="253" w:type="pct"/>
            <w:vMerge w:val="restart"/>
            <w:noWrap/>
            <w:vAlign w:val="center"/>
          </w:tcPr>
          <w:p w14:paraId="4C589348">
            <w:pPr>
              <w:pStyle w:val="557"/>
            </w:pPr>
            <w:r>
              <w:rPr>
                <w:rFonts w:hint="eastAsia"/>
              </w:rPr>
              <w:t>室内边界声级/dB(A)</w:t>
            </w:r>
          </w:p>
        </w:tc>
        <w:tc>
          <w:tcPr>
            <w:tcW w:w="308" w:type="pct"/>
            <w:vMerge w:val="restart"/>
            <w:noWrap/>
            <w:vAlign w:val="center"/>
          </w:tcPr>
          <w:p w14:paraId="7D17134F">
            <w:pPr>
              <w:pStyle w:val="557"/>
            </w:pPr>
            <w:r>
              <w:rPr>
                <w:rFonts w:hint="eastAsia"/>
              </w:rPr>
              <w:t>运行时段</w:t>
            </w:r>
          </w:p>
        </w:tc>
        <w:tc>
          <w:tcPr>
            <w:tcW w:w="304" w:type="pct"/>
            <w:vMerge w:val="restart"/>
            <w:noWrap/>
            <w:vAlign w:val="center"/>
          </w:tcPr>
          <w:p w14:paraId="794CBBF3">
            <w:pPr>
              <w:pStyle w:val="557"/>
            </w:pPr>
            <w:r>
              <w:rPr>
                <w:rFonts w:hint="eastAsia"/>
              </w:rPr>
              <w:t>建筑物插入损失/dB(A)</w:t>
            </w:r>
          </w:p>
        </w:tc>
        <w:tc>
          <w:tcPr>
            <w:tcW w:w="629" w:type="pct"/>
            <w:gridSpan w:val="2"/>
            <w:noWrap/>
            <w:vAlign w:val="center"/>
          </w:tcPr>
          <w:p w14:paraId="0FD35C08">
            <w:pPr>
              <w:pStyle w:val="557"/>
            </w:pPr>
            <w:r>
              <w:rPr>
                <w:rFonts w:hint="eastAsia"/>
              </w:rPr>
              <w:t>建筑物外噪声</w:t>
            </w:r>
          </w:p>
        </w:tc>
      </w:tr>
      <w:tr w14:paraId="6AF0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vMerge w:val="continue"/>
            <w:vAlign w:val="center"/>
          </w:tcPr>
          <w:p w14:paraId="1AF78D9B">
            <w:pPr>
              <w:pStyle w:val="557"/>
            </w:pPr>
          </w:p>
        </w:tc>
        <w:tc>
          <w:tcPr>
            <w:tcW w:w="509" w:type="pct"/>
            <w:vMerge w:val="continue"/>
            <w:vAlign w:val="center"/>
          </w:tcPr>
          <w:p w14:paraId="260023CA">
            <w:pPr>
              <w:pStyle w:val="557"/>
            </w:pPr>
          </w:p>
        </w:tc>
        <w:tc>
          <w:tcPr>
            <w:tcW w:w="762" w:type="pct"/>
            <w:vMerge w:val="continue"/>
            <w:vAlign w:val="center"/>
          </w:tcPr>
          <w:p w14:paraId="6E69C3DD">
            <w:pPr>
              <w:pStyle w:val="557"/>
            </w:pPr>
          </w:p>
        </w:tc>
        <w:tc>
          <w:tcPr>
            <w:tcW w:w="326" w:type="pct"/>
            <w:vMerge w:val="continue"/>
            <w:noWrap/>
            <w:vAlign w:val="center"/>
          </w:tcPr>
          <w:p w14:paraId="6A8BDA10">
            <w:pPr>
              <w:pStyle w:val="557"/>
            </w:pPr>
          </w:p>
        </w:tc>
        <w:tc>
          <w:tcPr>
            <w:tcW w:w="741" w:type="pct"/>
            <w:vMerge w:val="continue"/>
            <w:vAlign w:val="center"/>
          </w:tcPr>
          <w:p w14:paraId="12397D7E">
            <w:pPr>
              <w:pStyle w:val="557"/>
            </w:pPr>
          </w:p>
        </w:tc>
        <w:tc>
          <w:tcPr>
            <w:tcW w:w="203" w:type="pct"/>
            <w:noWrap/>
            <w:vAlign w:val="center"/>
          </w:tcPr>
          <w:p w14:paraId="429010E8">
            <w:pPr>
              <w:pStyle w:val="557"/>
            </w:pPr>
            <w:r>
              <w:rPr>
                <w:rFonts w:hint="eastAsia"/>
              </w:rPr>
              <w:t>X</w:t>
            </w:r>
          </w:p>
        </w:tc>
        <w:tc>
          <w:tcPr>
            <w:tcW w:w="204" w:type="pct"/>
            <w:noWrap/>
            <w:vAlign w:val="center"/>
          </w:tcPr>
          <w:p w14:paraId="2BE56EB9">
            <w:pPr>
              <w:pStyle w:val="557"/>
            </w:pPr>
            <w:r>
              <w:rPr>
                <w:rFonts w:hint="eastAsia"/>
              </w:rPr>
              <w:t>Y</w:t>
            </w:r>
          </w:p>
        </w:tc>
        <w:tc>
          <w:tcPr>
            <w:tcW w:w="266" w:type="pct"/>
            <w:noWrap/>
            <w:vAlign w:val="center"/>
          </w:tcPr>
          <w:p w14:paraId="1BD56BE7">
            <w:pPr>
              <w:pStyle w:val="557"/>
            </w:pPr>
            <w:r>
              <w:rPr>
                <w:rFonts w:hint="eastAsia"/>
              </w:rPr>
              <w:t>Z</w:t>
            </w:r>
          </w:p>
        </w:tc>
        <w:tc>
          <w:tcPr>
            <w:tcW w:w="294" w:type="pct"/>
            <w:vMerge w:val="continue"/>
            <w:vAlign w:val="center"/>
          </w:tcPr>
          <w:p w14:paraId="65993556">
            <w:pPr>
              <w:pStyle w:val="557"/>
            </w:pPr>
          </w:p>
        </w:tc>
        <w:tc>
          <w:tcPr>
            <w:tcW w:w="253" w:type="pct"/>
            <w:vMerge w:val="continue"/>
            <w:vAlign w:val="center"/>
          </w:tcPr>
          <w:p w14:paraId="41A01BD4">
            <w:pPr>
              <w:pStyle w:val="557"/>
            </w:pPr>
          </w:p>
        </w:tc>
        <w:tc>
          <w:tcPr>
            <w:tcW w:w="308" w:type="pct"/>
            <w:vMerge w:val="continue"/>
            <w:vAlign w:val="center"/>
          </w:tcPr>
          <w:p w14:paraId="365869F6">
            <w:pPr>
              <w:pStyle w:val="557"/>
            </w:pPr>
          </w:p>
        </w:tc>
        <w:tc>
          <w:tcPr>
            <w:tcW w:w="304" w:type="pct"/>
            <w:vMerge w:val="continue"/>
            <w:vAlign w:val="center"/>
          </w:tcPr>
          <w:p w14:paraId="78E5C2F4">
            <w:pPr>
              <w:pStyle w:val="557"/>
            </w:pPr>
          </w:p>
        </w:tc>
        <w:tc>
          <w:tcPr>
            <w:tcW w:w="304" w:type="pct"/>
            <w:noWrap/>
            <w:vAlign w:val="center"/>
          </w:tcPr>
          <w:p w14:paraId="2174FA83">
            <w:pPr>
              <w:pStyle w:val="557"/>
            </w:pPr>
            <w:r>
              <w:rPr>
                <w:rFonts w:hint="eastAsia"/>
              </w:rPr>
              <w:t>声压级/dB(A)</w:t>
            </w:r>
          </w:p>
        </w:tc>
        <w:tc>
          <w:tcPr>
            <w:tcW w:w="325" w:type="pct"/>
            <w:noWrap/>
            <w:vAlign w:val="center"/>
          </w:tcPr>
          <w:p w14:paraId="1FBB2E69">
            <w:pPr>
              <w:pStyle w:val="557"/>
            </w:pPr>
            <w:r>
              <w:rPr>
                <w:rFonts w:hint="eastAsia"/>
              </w:rPr>
              <w:t>建筑物外距离/m</w:t>
            </w:r>
          </w:p>
        </w:tc>
      </w:tr>
      <w:tr w14:paraId="3D27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1D414F82">
            <w:pPr>
              <w:pStyle w:val="557"/>
            </w:pPr>
            <w:r>
              <w:t>1</w:t>
            </w:r>
          </w:p>
        </w:tc>
        <w:tc>
          <w:tcPr>
            <w:tcW w:w="509" w:type="pct"/>
            <w:noWrap/>
            <w:vAlign w:val="center"/>
          </w:tcPr>
          <w:p w14:paraId="6D93FAE0">
            <w:pPr>
              <w:pStyle w:val="557"/>
            </w:pPr>
            <w:r>
              <w:rPr>
                <w:rFonts w:hint="eastAsia"/>
              </w:rPr>
              <w:t>合成氨设备间</w:t>
            </w:r>
          </w:p>
        </w:tc>
        <w:tc>
          <w:tcPr>
            <w:tcW w:w="762" w:type="pct"/>
            <w:noWrap/>
            <w:vAlign w:val="center"/>
          </w:tcPr>
          <w:p w14:paraId="610C5C9B">
            <w:pPr>
              <w:pStyle w:val="557"/>
            </w:pPr>
            <w:r>
              <w:t>合成氨装置-机泵</w:t>
            </w:r>
            <w:r>
              <w:rPr>
                <w:rFonts w:hint="eastAsia"/>
              </w:rPr>
              <w:t>，3</w:t>
            </w:r>
            <w:r>
              <w:t>台</w:t>
            </w:r>
          </w:p>
        </w:tc>
        <w:tc>
          <w:tcPr>
            <w:tcW w:w="326" w:type="pct"/>
            <w:noWrap/>
            <w:vAlign w:val="center"/>
          </w:tcPr>
          <w:p w14:paraId="3249A29E">
            <w:pPr>
              <w:pStyle w:val="557"/>
            </w:pPr>
            <w:r>
              <w:t>85</w:t>
            </w:r>
          </w:p>
        </w:tc>
        <w:tc>
          <w:tcPr>
            <w:tcW w:w="741" w:type="pct"/>
            <w:noWrap/>
            <w:vAlign w:val="center"/>
          </w:tcPr>
          <w:p w14:paraId="4DF047FC">
            <w:pPr>
              <w:pStyle w:val="557"/>
            </w:pPr>
            <w:r>
              <w:rPr>
                <w:rFonts w:hint="eastAsia"/>
              </w:rPr>
              <w:t>低噪声电机、减振</w:t>
            </w:r>
          </w:p>
        </w:tc>
        <w:tc>
          <w:tcPr>
            <w:tcW w:w="203" w:type="pct"/>
            <w:noWrap/>
            <w:vAlign w:val="center"/>
          </w:tcPr>
          <w:p w14:paraId="16067E6B">
            <w:pPr>
              <w:pStyle w:val="557"/>
            </w:pPr>
            <w:r>
              <w:rPr>
                <w:rFonts w:hint="eastAsia"/>
              </w:rPr>
              <w:t>-100</w:t>
            </w:r>
          </w:p>
        </w:tc>
        <w:tc>
          <w:tcPr>
            <w:tcW w:w="204" w:type="pct"/>
            <w:noWrap/>
            <w:vAlign w:val="center"/>
          </w:tcPr>
          <w:p w14:paraId="122C899E">
            <w:pPr>
              <w:pStyle w:val="557"/>
            </w:pPr>
            <w:r>
              <w:rPr>
                <w:rFonts w:hint="eastAsia"/>
              </w:rPr>
              <w:t>121</w:t>
            </w:r>
          </w:p>
        </w:tc>
        <w:tc>
          <w:tcPr>
            <w:tcW w:w="266" w:type="pct"/>
            <w:noWrap/>
            <w:vAlign w:val="center"/>
          </w:tcPr>
          <w:p w14:paraId="51A83575">
            <w:pPr>
              <w:pStyle w:val="557"/>
            </w:pPr>
            <w:r>
              <w:rPr>
                <w:rFonts w:hint="eastAsia"/>
              </w:rPr>
              <w:t>682.30</w:t>
            </w:r>
          </w:p>
        </w:tc>
        <w:tc>
          <w:tcPr>
            <w:tcW w:w="294" w:type="pct"/>
            <w:noWrap/>
            <w:vAlign w:val="center"/>
          </w:tcPr>
          <w:p w14:paraId="3D17B926">
            <w:pPr>
              <w:pStyle w:val="557"/>
            </w:pPr>
            <w:r>
              <w:rPr>
                <w:rFonts w:hint="eastAsia"/>
              </w:rPr>
              <w:t>4</w:t>
            </w:r>
          </w:p>
        </w:tc>
        <w:tc>
          <w:tcPr>
            <w:tcW w:w="253" w:type="pct"/>
            <w:noWrap/>
            <w:vAlign w:val="center"/>
          </w:tcPr>
          <w:p w14:paraId="5226B302">
            <w:pPr>
              <w:pStyle w:val="557"/>
            </w:pPr>
            <w:r>
              <w:rPr>
                <w:rFonts w:hint="eastAsia"/>
              </w:rPr>
              <w:t>83</w:t>
            </w:r>
          </w:p>
        </w:tc>
        <w:tc>
          <w:tcPr>
            <w:tcW w:w="308" w:type="pct"/>
            <w:noWrap/>
            <w:vAlign w:val="center"/>
          </w:tcPr>
          <w:p w14:paraId="31AE2327">
            <w:pPr>
              <w:pStyle w:val="557"/>
            </w:pPr>
            <w:r>
              <w:rPr>
                <w:rFonts w:hint="eastAsia"/>
              </w:rPr>
              <w:t>8000</w:t>
            </w:r>
          </w:p>
        </w:tc>
        <w:tc>
          <w:tcPr>
            <w:tcW w:w="304" w:type="pct"/>
            <w:noWrap/>
            <w:vAlign w:val="center"/>
          </w:tcPr>
          <w:p w14:paraId="00875754">
            <w:pPr>
              <w:pStyle w:val="557"/>
            </w:pPr>
            <w:r>
              <w:rPr>
                <w:rFonts w:hint="eastAsia"/>
              </w:rPr>
              <w:t>18</w:t>
            </w:r>
          </w:p>
        </w:tc>
        <w:tc>
          <w:tcPr>
            <w:tcW w:w="304" w:type="pct"/>
            <w:noWrap/>
            <w:vAlign w:val="center"/>
          </w:tcPr>
          <w:p w14:paraId="632DE1EB">
            <w:pPr>
              <w:pStyle w:val="557"/>
            </w:pPr>
            <w:r>
              <w:rPr>
                <w:rFonts w:hint="eastAsia"/>
              </w:rPr>
              <w:t>65</w:t>
            </w:r>
          </w:p>
        </w:tc>
        <w:tc>
          <w:tcPr>
            <w:tcW w:w="325" w:type="pct"/>
            <w:noWrap/>
            <w:vAlign w:val="center"/>
          </w:tcPr>
          <w:p w14:paraId="7240DB3F">
            <w:pPr>
              <w:pStyle w:val="557"/>
            </w:pPr>
            <w:r>
              <w:t>1</w:t>
            </w:r>
          </w:p>
        </w:tc>
      </w:tr>
      <w:tr w14:paraId="460B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0D21889">
            <w:pPr>
              <w:pStyle w:val="557"/>
            </w:pPr>
            <w:r>
              <w:t>2</w:t>
            </w:r>
          </w:p>
        </w:tc>
        <w:tc>
          <w:tcPr>
            <w:tcW w:w="509" w:type="pct"/>
            <w:noWrap/>
            <w:vAlign w:val="center"/>
          </w:tcPr>
          <w:p w14:paraId="57041F14">
            <w:pPr>
              <w:pStyle w:val="557"/>
            </w:pPr>
            <w:r>
              <w:rPr>
                <w:rFonts w:hint="eastAsia"/>
              </w:rPr>
              <w:t>合成氨设备间</w:t>
            </w:r>
          </w:p>
        </w:tc>
        <w:tc>
          <w:tcPr>
            <w:tcW w:w="762" w:type="pct"/>
            <w:noWrap/>
            <w:vAlign w:val="center"/>
          </w:tcPr>
          <w:p w14:paraId="54291DE7">
            <w:pPr>
              <w:pStyle w:val="557"/>
            </w:pPr>
            <w:r>
              <w:t>合成氨装置-压缩机</w:t>
            </w:r>
            <w:r>
              <w:rPr>
                <w:rFonts w:hint="eastAsia"/>
              </w:rPr>
              <w:t>，1</w:t>
            </w:r>
            <w:r>
              <w:t>台</w:t>
            </w:r>
          </w:p>
        </w:tc>
        <w:tc>
          <w:tcPr>
            <w:tcW w:w="326" w:type="pct"/>
            <w:noWrap/>
            <w:vAlign w:val="center"/>
          </w:tcPr>
          <w:p w14:paraId="486D0660">
            <w:pPr>
              <w:pStyle w:val="557"/>
            </w:pPr>
            <w:r>
              <w:t>90</w:t>
            </w:r>
          </w:p>
        </w:tc>
        <w:tc>
          <w:tcPr>
            <w:tcW w:w="741" w:type="pct"/>
            <w:noWrap/>
            <w:vAlign w:val="center"/>
          </w:tcPr>
          <w:p w14:paraId="199A7A74">
            <w:pPr>
              <w:pStyle w:val="557"/>
            </w:pPr>
            <w:r>
              <w:rPr>
                <w:rFonts w:hint="eastAsia"/>
              </w:rPr>
              <w:t>消声器</w:t>
            </w:r>
          </w:p>
        </w:tc>
        <w:tc>
          <w:tcPr>
            <w:tcW w:w="203" w:type="pct"/>
            <w:noWrap/>
            <w:vAlign w:val="center"/>
          </w:tcPr>
          <w:p w14:paraId="565864FE">
            <w:pPr>
              <w:pStyle w:val="557"/>
            </w:pPr>
            <w:r>
              <w:rPr>
                <w:rFonts w:hint="eastAsia"/>
              </w:rPr>
              <w:t>-59</w:t>
            </w:r>
          </w:p>
        </w:tc>
        <w:tc>
          <w:tcPr>
            <w:tcW w:w="204" w:type="pct"/>
            <w:noWrap/>
            <w:vAlign w:val="center"/>
          </w:tcPr>
          <w:p w14:paraId="18274E99">
            <w:pPr>
              <w:pStyle w:val="557"/>
            </w:pPr>
            <w:r>
              <w:rPr>
                <w:rFonts w:hint="eastAsia"/>
              </w:rPr>
              <w:t>107</w:t>
            </w:r>
          </w:p>
        </w:tc>
        <w:tc>
          <w:tcPr>
            <w:tcW w:w="266" w:type="pct"/>
            <w:noWrap/>
            <w:vAlign w:val="center"/>
          </w:tcPr>
          <w:p w14:paraId="36FF13C2">
            <w:pPr>
              <w:pStyle w:val="557"/>
            </w:pPr>
            <w:r>
              <w:rPr>
                <w:rFonts w:hint="eastAsia"/>
              </w:rPr>
              <w:t>682.52</w:t>
            </w:r>
          </w:p>
        </w:tc>
        <w:tc>
          <w:tcPr>
            <w:tcW w:w="294" w:type="pct"/>
            <w:noWrap/>
            <w:vAlign w:val="center"/>
          </w:tcPr>
          <w:p w14:paraId="72A5BA96">
            <w:pPr>
              <w:pStyle w:val="557"/>
            </w:pPr>
            <w:r>
              <w:rPr>
                <w:rFonts w:hint="eastAsia"/>
              </w:rPr>
              <w:t>8</w:t>
            </w:r>
          </w:p>
        </w:tc>
        <w:tc>
          <w:tcPr>
            <w:tcW w:w="253" w:type="pct"/>
            <w:noWrap/>
            <w:vAlign w:val="center"/>
          </w:tcPr>
          <w:p w14:paraId="5AF406C6">
            <w:pPr>
              <w:pStyle w:val="557"/>
            </w:pPr>
            <w:r>
              <w:rPr>
                <w:rFonts w:hint="eastAsia"/>
              </w:rPr>
              <w:t>86</w:t>
            </w:r>
          </w:p>
        </w:tc>
        <w:tc>
          <w:tcPr>
            <w:tcW w:w="308" w:type="pct"/>
            <w:noWrap/>
            <w:vAlign w:val="center"/>
          </w:tcPr>
          <w:p w14:paraId="5EB4C48D">
            <w:pPr>
              <w:pStyle w:val="557"/>
            </w:pPr>
            <w:r>
              <w:rPr>
                <w:rFonts w:hint="eastAsia"/>
              </w:rPr>
              <w:t>8000</w:t>
            </w:r>
          </w:p>
        </w:tc>
        <w:tc>
          <w:tcPr>
            <w:tcW w:w="304" w:type="pct"/>
            <w:noWrap/>
            <w:vAlign w:val="center"/>
          </w:tcPr>
          <w:p w14:paraId="57E54145">
            <w:pPr>
              <w:pStyle w:val="557"/>
            </w:pPr>
            <w:r>
              <w:rPr>
                <w:rFonts w:hint="eastAsia"/>
              </w:rPr>
              <w:t>16</w:t>
            </w:r>
          </w:p>
        </w:tc>
        <w:tc>
          <w:tcPr>
            <w:tcW w:w="304" w:type="pct"/>
            <w:noWrap/>
            <w:vAlign w:val="center"/>
          </w:tcPr>
          <w:p w14:paraId="1105CB10">
            <w:pPr>
              <w:pStyle w:val="557"/>
            </w:pPr>
            <w:r>
              <w:rPr>
                <w:rFonts w:hint="eastAsia"/>
              </w:rPr>
              <w:t>70</w:t>
            </w:r>
          </w:p>
        </w:tc>
        <w:tc>
          <w:tcPr>
            <w:tcW w:w="325" w:type="pct"/>
            <w:noWrap/>
            <w:vAlign w:val="center"/>
          </w:tcPr>
          <w:p w14:paraId="264BD3DF">
            <w:pPr>
              <w:pStyle w:val="557"/>
            </w:pPr>
            <w:r>
              <w:t>1</w:t>
            </w:r>
          </w:p>
        </w:tc>
      </w:tr>
      <w:tr w14:paraId="5B34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D0B996D">
            <w:pPr>
              <w:pStyle w:val="557"/>
            </w:pPr>
            <w:r>
              <w:t>3</w:t>
            </w:r>
          </w:p>
        </w:tc>
        <w:tc>
          <w:tcPr>
            <w:tcW w:w="509" w:type="pct"/>
            <w:noWrap/>
            <w:vAlign w:val="center"/>
          </w:tcPr>
          <w:p w14:paraId="5109C915">
            <w:pPr>
              <w:pStyle w:val="557"/>
            </w:pPr>
            <w:r>
              <w:rPr>
                <w:rFonts w:hint="eastAsia"/>
              </w:rPr>
              <w:t>DMO车间</w:t>
            </w:r>
          </w:p>
        </w:tc>
        <w:tc>
          <w:tcPr>
            <w:tcW w:w="762" w:type="pct"/>
            <w:noWrap/>
            <w:vAlign w:val="center"/>
          </w:tcPr>
          <w:p w14:paraId="7F740656">
            <w:pPr>
              <w:pStyle w:val="557"/>
            </w:pPr>
            <w:r>
              <w:rPr>
                <w:rFonts w:hint="eastAsia"/>
              </w:rPr>
              <w:t>DMO装置-</w:t>
            </w:r>
            <w:r>
              <w:t>机泵</w:t>
            </w:r>
            <w:r>
              <w:rPr>
                <w:rFonts w:hint="eastAsia"/>
              </w:rPr>
              <w:t>，90台</w:t>
            </w:r>
          </w:p>
        </w:tc>
        <w:tc>
          <w:tcPr>
            <w:tcW w:w="326" w:type="pct"/>
            <w:noWrap/>
            <w:vAlign w:val="center"/>
          </w:tcPr>
          <w:p w14:paraId="21241E09">
            <w:pPr>
              <w:pStyle w:val="557"/>
            </w:pPr>
            <w:r>
              <w:t>90</w:t>
            </w:r>
          </w:p>
        </w:tc>
        <w:tc>
          <w:tcPr>
            <w:tcW w:w="741" w:type="pct"/>
            <w:noWrap/>
            <w:vAlign w:val="center"/>
          </w:tcPr>
          <w:p w14:paraId="01A0FE70">
            <w:pPr>
              <w:pStyle w:val="557"/>
            </w:pPr>
            <w:r>
              <w:rPr>
                <w:rFonts w:hint="eastAsia"/>
              </w:rPr>
              <w:t>厂房隔声、基础减振</w:t>
            </w:r>
          </w:p>
        </w:tc>
        <w:tc>
          <w:tcPr>
            <w:tcW w:w="203" w:type="pct"/>
            <w:noWrap/>
            <w:vAlign w:val="center"/>
          </w:tcPr>
          <w:p w14:paraId="184DC6E3">
            <w:pPr>
              <w:pStyle w:val="557"/>
            </w:pPr>
            <w:r>
              <w:rPr>
                <w:rFonts w:hint="eastAsia"/>
              </w:rPr>
              <w:t>-35</w:t>
            </w:r>
          </w:p>
        </w:tc>
        <w:tc>
          <w:tcPr>
            <w:tcW w:w="204" w:type="pct"/>
            <w:noWrap/>
            <w:vAlign w:val="center"/>
          </w:tcPr>
          <w:p w14:paraId="7AD3AEC8">
            <w:pPr>
              <w:pStyle w:val="557"/>
            </w:pPr>
            <w:r>
              <w:rPr>
                <w:rFonts w:hint="eastAsia"/>
              </w:rPr>
              <w:t>300</w:t>
            </w:r>
          </w:p>
        </w:tc>
        <w:tc>
          <w:tcPr>
            <w:tcW w:w="266" w:type="pct"/>
            <w:noWrap/>
            <w:vAlign w:val="center"/>
          </w:tcPr>
          <w:p w14:paraId="25E51C77">
            <w:pPr>
              <w:pStyle w:val="557"/>
            </w:pPr>
            <w:r>
              <w:rPr>
                <w:rFonts w:hint="eastAsia"/>
              </w:rPr>
              <w:t>680.21</w:t>
            </w:r>
          </w:p>
        </w:tc>
        <w:tc>
          <w:tcPr>
            <w:tcW w:w="294" w:type="pct"/>
            <w:noWrap/>
            <w:vAlign w:val="center"/>
          </w:tcPr>
          <w:p w14:paraId="6181CF61">
            <w:pPr>
              <w:pStyle w:val="557"/>
            </w:pPr>
            <w:r>
              <w:rPr>
                <w:rFonts w:hint="eastAsia"/>
              </w:rPr>
              <w:t>8</w:t>
            </w:r>
          </w:p>
        </w:tc>
        <w:tc>
          <w:tcPr>
            <w:tcW w:w="253" w:type="pct"/>
            <w:noWrap/>
            <w:vAlign w:val="center"/>
          </w:tcPr>
          <w:p w14:paraId="4BFDA763">
            <w:pPr>
              <w:pStyle w:val="557"/>
            </w:pPr>
            <w:r>
              <w:rPr>
                <w:rFonts w:hint="eastAsia"/>
              </w:rPr>
              <w:t>86</w:t>
            </w:r>
          </w:p>
        </w:tc>
        <w:tc>
          <w:tcPr>
            <w:tcW w:w="308" w:type="pct"/>
            <w:noWrap/>
            <w:vAlign w:val="center"/>
          </w:tcPr>
          <w:p w14:paraId="5D0B5110">
            <w:pPr>
              <w:pStyle w:val="557"/>
            </w:pPr>
            <w:r>
              <w:rPr>
                <w:rFonts w:hint="eastAsia"/>
              </w:rPr>
              <w:t>8000</w:t>
            </w:r>
          </w:p>
        </w:tc>
        <w:tc>
          <w:tcPr>
            <w:tcW w:w="304" w:type="pct"/>
            <w:noWrap/>
            <w:vAlign w:val="center"/>
          </w:tcPr>
          <w:p w14:paraId="1631B353">
            <w:pPr>
              <w:pStyle w:val="557"/>
            </w:pPr>
            <w:r>
              <w:rPr>
                <w:rFonts w:hint="eastAsia"/>
              </w:rPr>
              <w:t>16</w:t>
            </w:r>
          </w:p>
        </w:tc>
        <w:tc>
          <w:tcPr>
            <w:tcW w:w="304" w:type="pct"/>
            <w:noWrap/>
            <w:vAlign w:val="center"/>
          </w:tcPr>
          <w:p w14:paraId="0BB928D5">
            <w:pPr>
              <w:pStyle w:val="557"/>
            </w:pPr>
            <w:r>
              <w:rPr>
                <w:rFonts w:hint="eastAsia"/>
              </w:rPr>
              <w:t>70</w:t>
            </w:r>
          </w:p>
        </w:tc>
        <w:tc>
          <w:tcPr>
            <w:tcW w:w="325" w:type="pct"/>
            <w:noWrap/>
            <w:vAlign w:val="center"/>
          </w:tcPr>
          <w:p w14:paraId="59603743">
            <w:pPr>
              <w:pStyle w:val="557"/>
            </w:pPr>
            <w:r>
              <w:t>1</w:t>
            </w:r>
          </w:p>
        </w:tc>
      </w:tr>
      <w:tr w14:paraId="0B4E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19A453E2">
            <w:pPr>
              <w:pStyle w:val="557"/>
            </w:pPr>
            <w:r>
              <w:t>4</w:t>
            </w:r>
          </w:p>
        </w:tc>
        <w:tc>
          <w:tcPr>
            <w:tcW w:w="509" w:type="pct"/>
            <w:noWrap/>
            <w:vAlign w:val="center"/>
          </w:tcPr>
          <w:p w14:paraId="5032B248">
            <w:pPr>
              <w:pStyle w:val="557"/>
            </w:pPr>
            <w:r>
              <w:rPr>
                <w:rFonts w:hint="eastAsia"/>
              </w:rPr>
              <w:t>DMO车间</w:t>
            </w:r>
          </w:p>
        </w:tc>
        <w:tc>
          <w:tcPr>
            <w:tcW w:w="762" w:type="pct"/>
            <w:noWrap/>
            <w:vAlign w:val="center"/>
          </w:tcPr>
          <w:p w14:paraId="43EE624D">
            <w:pPr>
              <w:pStyle w:val="557"/>
            </w:pPr>
            <w:r>
              <w:rPr>
                <w:rFonts w:hint="eastAsia"/>
              </w:rPr>
              <w:t>DMO装置-压缩机，5台</w:t>
            </w:r>
          </w:p>
        </w:tc>
        <w:tc>
          <w:tcPr>
            <w:tcW w:w="326" w:type="pct"/>
            <w:noWrap/>
            <w:vAlign w:val="center"/>
          </w:tcPr>
          <w:p w14:paraId="2B3DFE43">
            <w:pPr>
              <w:pStyle w:val="557"/>
            </w:pPr>
            <w:r>
              <w:t>85</w:t>
            </w:r>
          </w:p>
        </w:tc>
        <w:tc>
          <w:tcPr>
            <w:tcW w:w="741" w:type="pct"/>
            <w:noWrap/>
            <w:vAlign w:val="center"/>
          </w:tcPr>
          <w:p w14:paraId="04502576">
            <w:pPr>
              <w:pStyle w:val="557"/>
            </w:pPr>
            <w:r>
              <w:rPr>
                <w:rFonts w:hint="eastAsia"/>
              </w:rPr>
              <w:t>低噪声电机、减振</w:t>
            </w:r>
          </w:p>
        </w:tc>
        <w:tc>
          <w:tcPr>
            <w:tcW w:w="203" w:type="pct"/>
            <w:noWrap/>
            <w:vAlign w:val="center"/>
          </w:tcPr>
          <w:p w14:paraId="11B9E089">
            <w:pPr>
              <w:pStyle w:val="557"/>
            </w:pPr>
            <w:r>
              <w:rPr>
                <w:rFonts w:hint="eastAsia"/>
              </w:rPr>
              <w:t>-39</w:t>
            </w:r>
          </w:p>
        </w:tc>
        <w:tc>
          <w:tcPr>
            <w:tcW w:w="204" w:type="pct"/>
            <w:noWrap/>
            <w:vAlign w:val="center"/>
          </w:tcPr>
          <w:p w14:paraId="22E791E2">
            <w:pPr>
              <w:pStyle w:val="557"/>
            </w:pPr>
            <w:r>
              <w:rPr>
                <w:rFonts w:hint="eastAsia"/>
              </w:rPr>
              <w:t>273</w:t>
            </w:r>
          </w:p>
        </w:tc>
        <w:tc>
          <w:tcPr>
            <w:tcW w:w="266" w:type="pct"/>
            <w:noWrap/>
            <w:vAlign w:val="center"/>
          </w:tcPr>
          <w:p w14:paraId="28D441BA">
            <w:pPr>
              <w:pStyle w:val="557"/>
            </w:pPr>
            <w:r>
              <w:rPr>
                <w:rFonts w:hint="eastAsia"/>
              </w:rPr>
              <w:t>680.25</w:t>
            </w:r>
          </w:p>
        </w:tc>
        <w:tc>
          <w:tcPr>
            <w:tcW w:w="294" w:type="pct"/>
            <w:noWrap/>
            <w:vAlign w:val="center"/>
          </w:tcPr>
          <w:p w14:paraId="71EA4001">
            <w:pPr>
              <w:pStyle w:val="557"/>
            </w:pPr>
            <w:r>
              <w:rPr>
                <w:rFonts w:hint="eastAsia"/>
              </w:rPr>
              <w:t>7</w:t>
            </w:r>
          </w:p>
        </w:tc>
        <w:tc>
          <w:tcPr>
            <w:tcW w:w="253" w:type="pct"/>
            <w:noWrap/>
            <w:vAlign w:val="center"/>
          </w:tcPr>
          <w:p w14:paraId="42A6527C">
            <w:pPr>
              <w:pStyle w:val="557"/>
            </w:pPr>
            <w:r>
              <w:rPr>
                <w:rFonts w:hint="eastAsia"/>
              </w:rPr>
              <w:t>81</w:t>
            </w:r>
          </w:p>
        </w:tc>
        <w:tc>
          <w:tcPr>
            <w:tcW w:w="308" w:type="pct"/>
            <w:noWrap/>
            <w:vAlign w:val="center"/>
          </w:tcPr>
          <w:p w14:paraId="01B73D16">
            <w:pPr>
              <w:pStyle w:val="557"/>
            </w:pPr>
            <w:r>
              <w:rPr>
                <w:rFonts w:hint="eastAsia"/>
              </w:rPr>
              <w:t>8000</w:t>
            </w:r>
          </w:p>
        </w:tc>
        <w:tc>
          <w:tcPr>
            <w:tcW w:w="304" w:type="pct"/>
            <w:noWrap/>
            <w:vAlign w:val="center"/>
          </w:tcPr>
          <w:p w14:paraId="6DAF26E4">
            <w:pPr>
              <w:pStyle w:val="557"/>
            </w:pPr>
            <w:r>
              <w:rPr>
                <w:rFonts w:hint="eastAsia"/>
              </w:rPr>
              <w:t>16</w:t>
            </w:r>
          </w:p>
        </w:tc>
        <w:tc>
          <w:tcPr>
            <w:tcW w:w="304" w:type="pct"/>
            <w:noWrap/>
            <w:vAlign w:val="center"/>
          </w:tcPr>
          <w:p w14:paraId="7373F7FB">
            <w:pPr>
              <w:pStyle w:val="557"/>
            </w:pPr>
            <w:r>
              <w:rPr>
                <w:rFonts w:hint="eastAsia"/>
              </w:rPr>
              <w:t>65</w:t>
            </w:r>
          </w:p>
        </w:tc>
        <w:tc>
          <w:tcPr>
            <w:tcW w:w="325" w:type="pct"/>
            <w:noWrap/>
            <w:vAlign w:val="center"/>
          </w:tcPr>
          <w:p w14:paraId="42FD5264">
            <w:pPr>
              <w:pStyle w:val="557"/>
            </w:pPr>
            <w:r>
              <w:t>1</w:t>
            </w:r>
          </w:p>
        </w:tc>
      </w:tr>
      <w:tr w14:paraId="502C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63DED238">
            <w:pPr>
              <w:pStyle w:val="557"/>
            </w:pPr>
            <w:r>
              <w:t>5</w:t>
            </w:r>
          </w:p>
        </w:tc>
        <w:tc>
          <w:tcPr>
            <w:tcW w:w="509" w:type="pct"/>
            <w:noWrap/>
            <w:vAlign w:val="center"/>
          </w:tcPr>
          <w:p w14:paraId="7633A733">
            <w:pPr>
              <w:pStyle w:val="557"/>
            </w:pPr>
            <w:r>
              <w:rPr>
                <w:rFonts w:hint="eastAsia"/>
              </w:rPr>
              <w:t>草酰胺车间</w:t>
            </w:r>
          </w:p>
        </w:tc>
        <w:tc>
          <w:tcPr>
            <w:tcW w:w="762" w:type="pct"/>
            <w:noWrap/>
            <w:vAlign w:val="center"/>
          </w:tcPr>
          <w:p w14:paraId="36A24F35">
            <w:pPr>
              <w:pStyle w:val="557"/>
            </w:pPr>
            <w:r>
              <w:t>机泵</w:t>
            </w:r>
            <w:r>
              <w:rPr>
                <w:rFonts w:hint="eastAsia"/>
              </w:rPr>
              <w:t>，44台</w:t>
            </w:r>
          </w:p>
        </w:tc>
        <w:tc>
          <w:tcPr>
            <w:tcW w:w="326" w:type="pct"/>
            <w:noWrap/>
            <w:vAlign w:val="center"/>
          </w:tcPr>
          <w:p w14:paraId="0BC56B84">
            <w:pPr>
              <w:pStyle w:val="557"/>
            </w:pPr>
            <w:r>
              <w:t>85</w:t>
            </w:r>
          </w:p>
        </w:tc>
        <w:tc>
          <w:tcPr>
            <w:tcW w:w="741" w:type="pct"/>
            <w:noWrap/>
            <w:vAlign w:val="center"/>
          </w:tcPr>
          <w:p w14:paraId="2FBA5077">
            <w:pPr>
              <w:pStyle w:val="557"/>
            </w:pPr>
            <w:r>
              <w:rPr>
                <w:rFonts w:hint="eastAsia"/>
              </w:rPr>
              <w:t>厂房隔声、基础减振</w:t>
            </w:r>
          </w:p>
        </w:tc>
        <w:tc>
          <w:tcPr>
            <w:tcW w:w="203" w:type="pct"/>
            <w:noWrap/>
            <w:vAlign w:val="center"/>
          </w:tcPr>
          <w:p w14:paraId="19ADB0D6">
            <w:pPr>
              <w:pStyle w:val="557"/>
            </w:pPr>
            <w:r>
              <w:rPr>
                <w:rFonts w:hint="eastAsia"/>
              </w:rPr>
              <w:t>-68</w:t>
            </w:r>
          </w:p>
        </w:tc>
        <w:tc>
          <w:tcPr>
            <w:tcW w:w="204" w:type="pct"/>
            <w:noWrap/>
            <w:vAlign w:val="center"/>
          </w:tcPr>
          <w:p w14:paraId="3765BFC9">
            <w:pPr>
              <w:pStyle w:val="557"/>
            </w:pPr>
            <w:r>
              <w:rPr>
                <w:rFonts w:hint="eastAsia"/>
              </w:rPr>
              <w:t>254</w:t>
            </w:r>
          </w:p>
        </w:tc>
        <w:tc>
          <w:tcPr>
            <w:tcW w:w="266" w:type="pct"/>
            <w:noWrap/>
            <w:vAlign w:val="center"/>
          </w:tcPr>
          <w:p w14:paraId="557B44C8">
            <w:pPr>
              <w:pStyle w:val="557"/>
            </w:pPr>
            <w:r>
              <w:rPr>
                <w:rFonts w:hint="eastAsia"/>
              </w:rPr>
              <w:t>684.95</w:t>
            </w:r>
          </w:p>
        </w:tc>
        <w:tc>
          <w:tcPr>
            <w:tcW w:w="294" w:type="pct"/>
            <w:noWrap/>
            <w:vAlign w:val="center"/>
          </w:tcPr>
          <w:p w14:paraId="750A806C">
            <w:pPr>
              <w:pStyle w:val="557"/>
            </w:pPr>
            <w:r>
              <w:rPr>
                <w:rFonts w:hint="eastAsia"/>
              </w:rPr>
              <w:t>5</w:t>
            </w:r>
          </w:p>
        </w:tc>
        <w:tc>
          <w:tcPr>
            <w:tcW w:w="253" w:type="pct"/>
            <w:noWrap/>
            <w:vAlign w:val="center"/>
          </w:tcPr>
          <w:p w14:paraId="2EEDB249">
            <w:pPr>
              <w:pStyle w:val="557"/>
            </w:pPr>
            <w:r>
              <w:rPr>
                <w:rFonts w:hint="eastAsia"/>
              </w:rPr>
              <w:t>82</w:t>
            </w:r>
          </w:p>
        </w:tc>
        <w:tc>
          <w:tcPr>
            <w:tcW w:w="308" w:type="pct"/>
            <w:noWrap/>
            <w:vAlign w:val="center"/>
          </w:tcPr>
          <w:p w14:paraId="6FDD6884">
            <w:pPr>
              <w:pStyle w:val="557"/>
            </w:pPr>
            <w:r>
              <w:rPr>
                <w:rFonts w:hint="eastAsia"/>
              </w:rPr>
              <w:t>8000</w:t>
            </w:r>
          </w:p>
        </w:tc>
        <w:tc>
          <w:tcPr>
            <w:tcW w:w="304" w:type="pct"/>
            <w:noWrap/>
            <w:vAlign w:val="center"/>
          </w:tcPr>
          <w:p w14:paraId="1BFF9388">
            <w:pPr>
              <w:pStyle w:val="557"/>
            </w:pPr>
            <w:r>
              <w:rPr>
                <w:rFonts w:hint="eastAsia"/>
              </w:rPr>
              <w:t>17</w:t>
            </w:r>
          </w:p>
        </w:tc>
        <w:tc>
          <w:tcPr>
            <w:tcW w:w="304" w:type="pct"/>
            <w:noWrap/>
            <w:vAlign w:val="center"/>
          </w:tcPr>
          <w:p w14:paraId="36CB7A62">
            <w:pPr>
              <w:pStyle w:val="557"/>
            </w:pPr>
            <w:r>
              <w:rPr>
                <w:rFonts w:hint="eastAsia"/>
              </w:rPr>
              <w:t>65</w:t>
            </w:r>
          </w:p>
        </w:tc>
        <w:tc>
          <w:tcPr>
            <w:tcW w:w="325" w:type="pct"/>
            <w:noWrap/>
            <w:vAlign w:val="center"/>
          </w:tcPr>
          <w:p w14:paraId="3722E15C">
            <w:pPr>
              <w:pStyle w:val="557"/>
            </w:pPr>
            <w:r>
              <w:t>1</w:t>
            </w:r>
          </w:p>
        </w:tc>
      </w:tr>
      <w:tr w14:paraId="5F5E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523EF2F5">
            <w:pPr>
              <w:pStyle w:val="557"/>
            </w:pPr>
            <w:r>
              <w:t>6</w:t>
            </w:r>
          </w:p>
        </w:tc>
        <w:tc>
          <w:tcPr>
            <w:tcW w:w="509" w:type="pct"/>
            <w:noWrap/>
            <w:vAlign w:val="center"/>
          </w:tcPr>
          <w:p w14:paraId="53FB8CD3">
            <w:pPr>
              <w:pStyle w:val="557"/>
            </w:pPr>
            <w:r>
              <w:rPr>
                <w:rFonts w:hint="eastAsia"/>
              </w:rPr>
              <w:t>草酰胺车间</w:t>
            </w:r>
          </w:p>
        </w:tc>
        <w:tc>
          <w:tcPr>
            <w:tcW w:w="762" w:type="pct"/>
            <w:noWrap/>
            <w:vAlign w:val="center"/>
          </w:tcPr>
          <w:p w14:paraId="74566319">
            <w:pPr>
              <w:pStyle w:val="557"/>
            </w:pPr>
            <w:r>
              <w:rPr>
                <w:rFonts w:hint="eastAsia"/>
              </w:rPr>
              <w:t>搅拌器，9台</w:t>
            </w:r>
          </w:p>
        </w:tc>
        <w:tc>
          <w:tcPr>
            <w:tcW w:w="326" w:type="pct"/>
            <w:noWrap/>
            <w:vAlign w:val="center"/>
          </w:tcPr>
          <w:p w14:paraId="3124BE3A">
            <w:pPr>
              <w:pStyle w:val="557"/>
            </w:pPr>
            <w:r>
              <w:t>85</w:t>
            </w:r>
          </w:p>
        </w:tc>
        <w:tc>
          <w:tcPr>
            <w:tcW w:w="741" w:type="pct"/>
            <w:noWrap/>
            <w:vAlign w:val="center"/>
          </w:tcPr>
          <w:p w14:paraId="69A2928E">
            <w:pPr>
              <w:pStyle w:val="557"/>
            </w:pPr>
            <w:r>
              <w:rPr>
                <w:rFonts w:hint="eastAsia"/>
              </w:rPr>
              <w:t>低噪声电机、减振</w:t>
            </w:r>
          </w:p>
        </w:tc>
        <w:tc>
          <w:tcPr>
            <w:tcW w:w="203" w:type="pct"/>
            <w:noWrap/>
            <w:vAlign w:val="center"/>
          </w:tcPr>
          <w:p w14:paraId="1CDD4979">
            <w:pPr>
              <w:pStyle w:val="557"/>
            </w:pPr>
            <w:r>
              <w:rPr>
                <w:rFonts w:hint="eastAsia"/>
              </w:rPr>
              <w:t>16</w:t>
            </w:r>
          </w:p>
        </w:tc>
        <w:tc>
          <w:tcPr>
            <w:tcW w:w="204" w:type="pct"/>
            <w:noWrap/>
            <w:vAlign w:val="center"/>
          </w:tcPr>
          <w:p w14:paraId="70587268">
            <w:pPr>
              <w:pStyle w:val="557"/>
            </w:pPr>
            <w:r>
              <w:rPr>
                <w:rFonts w:hint="eastAsia"/>
              </w:rPr>
              <w:t>250</w:t>
            </w:r>
          </w:p>
        </w:tc>
        <w:tc>
          <w:tcPr>
            <w:tcW w:w="266" w:type="pct"/>
            <w:noWrap/>
            <w:vAlign w:val="center"/>
          </w:tcPr>
          <w:p w14:paraId="0C29FC9E">
            <w:pPr>
              <w:pStyle w:val="557"/>
            </w:pPr>
            <w:r>
              <w:rPr>
                <w:rFonts w:hint="eastAsia"/>
              </w:rPr>
              <w:t>684.67</w:t>
            </w:r>
          </w:p>
        </w:tc>
        <w:tc>
          <w:tcPr>
            <w:tcW w:w="294" w:type="pct"/>
            <w:noWrap/>
            <w:vAlign w:val="center"/>
          </w:tcPr>
          <w:p w14:paraId="41CCDE30">
            <w:pPr>
              <w:pStyle w:val="557"/>
            </w:pPr>
            <w:r>
              <w:rPr>
                <w:rFonts w:hint="eastAsia"/>
              </w:rPr>
              <w:t>5</w:t>
            </w:r>
          </w:p>
        </w:tc>
        <w:tc>
          <w:tcPr>
            <w:tcW w:w="253" w:type="pct"/>
            <w:noWrap/>
            <w:vAlign w:val="center"/>
          </w:tcPr>
          <w:p w14:paraId="6B74B864">
            <w:pPr>
              <w:pStyle w:val="557"/>
            </w:pPr>
            <w:r>
              <w:rPr>
                <w:rFonts w:hint="eastAsia"/>
              </w:rPr>
              <w:t>82</w:t>
            </w:r>
          </w:p>
        </w:tc>
        <w:tc>
          <w:tcPr>
            <w:tcW w:w="308" w:type="pct"/>
            <w:noWrap/>
            <w:vAlign w:val="center"/>
          </w:tcPr>
          <w:p w14:paraId="77D2D62D">
            <w:pPr>
              <w:pStyle w:val="557"/>
            </w:pPr>
            <w:r>
              <w:rPr>
                <w:rFonts w:hint="eastAsia"/>
              </w:rPr>
              <w:t>8000</w:t>
            </w:r>
          </w:p>
        </w:tc>
        <w:tc>
          <w:tcPr>
            <w:tcW w:w="304" w:type="pct"/>
            <w:noWrap/>
            <w:vAlign w:val="center"/>
          </w:tcPr>
          <w:p w14:paraId="6E6F744E">
            <w:pPr>
              <w:pStyle w:val="557"/>
            </w:pPr>
            <w:r>
              <w:rPr>
                <w:rFonts w:hint="eastAsia"/>
              </w:rPr>
              <w:t>17</w:t>
            </w:r>
          </w:p>
        </w:tc>
        <w:tc>
          <w:tcPr>
            <w:tcW w:w="304" w:type="pct"/>
            <w:noWrap/>
            <w:vAlign w:val="center"/>
          </w:tcPr>
          <w:p w14:paraId="44CDCD32">
            <w:pPr>
              <w:pStyle w:val="557"/>
            </w:pPr>
            <w:r>
              <w:rPr>
                <w:rFonts w:hint="eastAsia"/>
              </w:rPr>
              <w:t>65</w:t>
            </w:r>
          </w:p>
        </w:tc>
        <w:tc>
          <w:tcPr>
            <w:tcW w:w="325" w:type="pct"/>
            <w:noWrap/>
            <w:vAlign w:val="center"/>
          </w:tcPr>
          <w:p w14:paraId="2645D08E">
            <w:pPr>
              <w:pStyle w:val="557"/>
            </w:pPr>
            <w:r>
              <w:t>1</w:t>
            </w:r>
          </w:p>
        </w:tc>
      </w:tr>
      <w:tr w14:paraId="192F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D0BE851">
            <w:pPr>
              <w:pStyle w:val="557"/>
            </w:pPr>
            <w:r>
              <w:t>7</w:t>
            </w:r>
          </w:p>
        </w:tc>
        <w:tc>
          <w:tcPr>
            <w:tcW w:w="509" w:type="pct"/>
            <w:noWrap/>
            <w:vAlign w:val="center"/>
          </w:tcPr>
          <w:p w14:paraId="5CDC3767">
            <w:pPr>
              <w:pStyle w:val="557"/>
            </w:pPr>
            <w:r>
              <w:rPr>
                <w:rFonts w:hint="eastAsia"/>
              </w:rPr>
              <w:t>草酰胺车间</w:t>
            </w:r>
          </w:p>
        </w:tc>
        <w:tc>
          <w:tcPr>
            <w:tcW w:w="762" w:type="pct"/>
            <w:noWrap/>
            <w:vAlign w:val="center"/>
          </w:tcPr>
          <w:p w14:paraId="07464B4E">
            <w:pPr>
              <w:pStyle w:val="557"/>
            </w:pPr>
            <w:r>
              <w:rPr>
                <w:rFonts w:hint="eastAsia"/>
              </w:rPr>
              <w:t>包装机，1台</w:t>
            </w:r>
          </w:p>
        </w:tc>
        <w:tc>
          <w:tcPr>
            <w:tcW w:w="326" w:type="pct"/>
            <w:noWrap/>
            <w:vAlign w:val="center"/>
          </w:tcPr>
          <w:p w14:paraId="2EC39D7E">
            <w:pPr>
              <w:pStyle w:val="557"/>
            </w:pPr>
            <w:r>
              <w:t>70</w:t>
            </w:r>
          </w:p>
        </w:tc>
        <w:tc>
          <w:tcPr>
            <w:tcW w:w="741" w:type="pct"/>
            <w:noWrap/>
            <w:vAlign w:val="center"/>
          </w:tcPr>
          <w:p w14:paraId="217DC06B">
            <w:pPr>
              <w:pStyle w:val="557"/>
            </w:pPr>
            <w:r>
              <w:rPr>
                <w:rFonts w:hint="eastAsia"/>
              </w:rPr>
              <w:t>低噪声电机、减振</w:t>
            </w:r>
          </w:p>
        </w:tc>
        <w:tc>
          <w:tcPr>
            <w:tcW w:w="203" w:type="pct"/>
            <w:noWrap/>
            <w:vAlign w:val="center"/>
          </w:tcPr>
          <w:p w14:paraId="704B93F2">
            <w:pPr>
              <w:pStyle w:val="557"/>
            </w:pPr>
            <w:r>
              <w:rPr>
                <w:rFonts w:hint="eastAsia"/>
              </w:rPr>
              <w:t>-16</w:t>
            </w:r>
          </w:p>
        </w:tc>
        <w:tc>
          <w:tcPr>
            <w:tcW w:w="204" w:type="pct"/>
            <w:noWrap/>
            <w:vAlign w:val="center"/>
          </w:tcPr>
          <w:p w14:paraId="1E77AB45">
            <w:pPr>
              <w:pStyle w:val="557"/>
            </w:pPr>
            <w:r>
              <w:rPr>
                <w:rFonts w:hint="eastAsia"/>
              </w:rPr>
              <w:t>273</w:t>
            </w:r>
          </w:p>
        </w:tc>
        <w:tc>
          <w:tcPr>
            <w:tcW w:w="266" w:type="pct"/>
            <w:noWrap/>
            <w:vAlign w:val="center"/>
          </w:tcPr>
          <w:p w14:paraId="6FF22F62">
            <w:pPr>
              <w:pStyle w:val="557"/>
            </w:pPr>
            <w:r>
              <w:rPr>
                <w:rFonts w:hint="eastAsia"/>
              </w:rPr>
              <w:t>685.24</w:t>
            </w:r>
          </w:p>
        </w:tc>
        <w:tc>
          <w:tcPr>
            <w:tcW w:w="294" w:type="pct"/>
            <w:noWrap/>
            <w:vAlign w:val="center"/>
          </w:tcPr>
          <w:p w14:paraId="3910C115">
            <w:pPr>
              <w:pStyle w:val="557"/>
            </w:pPr>
            <w:r>
              <w:rPr>
                <w:rFonts w:hint="eastAsia"/>
              </w:rPr>
              <w:t>4</w:t>
            </w:r>
          </w:p>
        </w:tc>
        <w:tc>
          <w:tcPr>
            <w:tcW w:w="253" w:type="pct"/>
            <w:noWrap/>
            <w:vAlign w:val="center"/>
          </w:tcPr>
          <w:p w14:paraId="52CC0D7B">
            <w:pPr>
              <w:pStyle w:val="557"/>
            </w:pPr>
            <w:r>
              <w:rPr>
                <w:rFonts w:hint="eastAsia"/>
              </w:rPr>
              <w:t>68</w:t>
            </w:r>
          </w:p>
        </w:tc>
        <w:tc>
          <w:tcPr>
            <w:tcW w:w="308" w:type="pct"/>
            <w:noWrap/>
            <w:vAlign w:val="center"/>
          </w:tcPr>
          <w:p w14:paraId="792E1321">
            <w:pPr>
              <w:pStyle w:val="557"/>
            </w:pPr>
            <w:r>
              <w:rPr>
                <w:rFonts w:hint="eastAsia"/>
              </w:rPr>
              <w:t>8000</w:t>
            </w:r>
          </w:p>
        </w:tc>
        <w:tc>
          <w:tcPr>
            <w:tcW w:w="304" w:type="pct"/>
            <w:noWrap/>
            <w:vAlign w:val="center"/>
          </w:tcPr>
          <w:p w14:paraId="77A0C4F5">
            <w:pPr>
              <w:pStyle w:val="557"/>
            </w:pPr>
            <w:r>
              <w:rPr>
                <w:rFonts w:hint="eastAsia"/>
              </w:rPr>
              <w:t>18</w:t>
            </w:r>
          </w:p>
        </w:tc>
        <w:tc>
          <w:tcPr>
            <w:tcW w:w="304" w:type="pct"/>
            <w:noWrap/>
            <w:vAlign w:val="center"/>
          </w:tcPr>
          <w:p w14:paraId="6DB0E177">
            <w:pPr>
              <w:pStyle w:val="557"/>
            </w:pPr>
            <w:r>
              <w:rPr>
                <w:rFonts w:hint="eastAsia"/>
              </w:rPr>
              <w:t>50</w:t>
            </w:r>
          </w:p>
        </w:tc>
        <w:tc>
          <w:tcPr>
            <w:tcW w:w="325" w:type="pct"/>
            <w:noWrap/>
            <w:vAlign w:val="center"/>
          </w:tcPr>
          <w:p w14:paraId="35C672D0">
            <w:pPr>
              <w:pStyle w:val="557"/>
            </w:pPr>
            <w:r>
              <w:t>1</w:t>
            </w:r>
          </w:p>
        </w:tc>
      </w:tr>
      <w:tr w14:paraId="6AA6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C9ACB09">
            <w:pPr>
              <w:pStyle w:val="557"/>
            </w:pPr>
            <w:r>
              <w:t>8</w:t>
            </w:r>
          </w:p>
        </w:tc>
        <w:tc>
          <w:tcPr>
            <w:tcW w:w="509" w:type="pct"/>
            <w:noWrap/>
            <w:vAlign w:val="center"/>
          </w:tcPr>
          <w:p w14:paraId="696C0417">
            <w:pPr>
              <w:pStyle w:val="557"/>
            </w:pPr>
            <w:r>
              <w:rPr>
                <w:rFonts w:hint="eastAsia"/>
              </w:rPr>
              <w:t>有机缓释肥</w:t>
            </w:r>
          </w:p>
          <w:p w14:paraId="6FE5CECE">
            <w:pPr>
              <w:pStyle w:val="557"/>
            </w:pPr>
            <w:r>
              <w:rPr>
                <w:rFonts w:hint="eastAsia"/>
              </w:rPr>
              <w:t>车间</w:t>
            </w:r>
          </w:p>
        </w:tc>
        <w:tc>
          <w:tcPr>
            <w:tcW w:w="762" w:type="pct"/>
            <w:noWrap/>
            <w:vAlign w:val="center"/>
          </w:tcPr>
          <w:p w14:paraId="5E3B969E">
            <w:pPr>
              <w:pStyle w:val="557"/>
            </w:pPr>
            <w:r>
              <w:rPr>
                <w:rFonts w:hint="eastAsia"/>
              </w:rPr>
              <w:t>搅拌器，2台</w:t>
            </w:r>
          </w:p>
        </w:tc>
        <w:tc>
          <w:tcPr>
            <w:tcW w:w="326" w:type="pct"/>
            <w:noWrap/>
            <w:vAlign w:val="center"/>
          </w:tcPr>
          <w:p w14:paraId="2F0E06E3">
            <w:pPr>
              <w:pStyle w:val="557"/>
            </w:pPr>
            <w:r>
              <w:t>85</w:t>
            </w:r>
          </w:p>
        </w:tc>
        <w:tc>
          <w:tcPr>
            <w:tcW w:w="741" w:type="pct"/>
            <w:noWrap/>
            <w:vAlign w:val="center"/>
          </w:tcPr>
          <w:p w14:paraId="482B03FD">
            <w:pPr>
              <w:pStyle w:val="557"/>
            </w:pPr>
            <w:r>
              <w:rPr>
                <w:rFonts w:hint="eastAsia"/>
              </w:rPr>
              <w:t>低噪声电机、减振</w:t>
            </w:r>
          </w:p>
        </w:tc>
        <w:tc>
          <w:tcPr>
            <w:tcW w:w="203" w:type="pct"/>
            <w:noWrap/>
            <w:vAlign w:val="center"/>
          </w:tcPr>
          <w:p w14:paraId="3544CC5D">
            <w:pPr>
              <w:pStyle w:val="557"/>
            </w:pPr>
            <w:r>
              <w:rPr>
                <w:rFonts w:hint="eastAsia"/>
              </w:rPr>
              <w:t>-8</w:t>
            </w:r>
          </w:p>
        </w:tc>
        <w:tc>
          <w:tcPr>
            <w:tcW w:w="204" w:type="pct"/>
            <w:noWrap/>
            <w:vAlign w:val="center"/>
          </w:tcPr>
          <w:p w14:paraId="2B60E241">
            <w:pPr>
              <w:pStyle w:val="557"/>
            </w:pPr>
            <w:r>
              <w:rPr>
                <w:rFonts w:hint="eastAsia"/>
              </w:rPr>
              <w:t>254</w:t>
            </w:r>
          </w:p>
        </w:tc>
        <w:tc>
          <w:tcPr>
            <w:tcW w:w="266" w:type="pct"/>
            <w:noWrap/>
            <w:vAlign w:val="center"/>
          </w:tcPr>
          <w:p w14:paraId="3ED4A29E">
            <w:pPr>
              <w:pStyle w:val="557"/>
            </w:pPr>
            <w:r>
              <w:rPr>
                <w:rFonts w:hint="eastAsia"/>
              </w:rPr>
              <w:t>683.45</w:t>
            </w:r>
          </w:p>
        </w:tc>
        <w:tc>
          <w:tcPr>
            <w:tcW w:w="294" w:type="pct"/>
            <w:noWrap/>
            <w:vAlign w:val="center"/>
          </w:tcPr>
          <w:p w14:paraId="7E6F5A6A">
            <w:pPr>
              <w:pStyle w:val="557"/>
            </w:pPr>
            <w:r>
              <w:rPr>
                <w:rFonts w:hint="eastAsia"/>
              </w:rPr>
              <w:t>8</w:t>
            </w:r>
          </w:p>
        </w:tc>
        <w:tc>
          <w:tcPr>
            <w:tcW w:w="253" w:type="pct"/>
            <w:noWrap/>
            <w:vAlign w:val="center"/>
          </w:tcPr>
          <w:p w14:paraId="10EC9E9B">
            <w:pPr>
              <w:pStyle w:val="557"/>
            </w:pPr>
            <w:r>
              <w:rPr>
                <w:rFonts w:hint="eastAsia"/>
              </w:rPr>
              <w:t>81</w:t>
            </w:r>
          </w:p>
        </w:tc>
        <w:tc>
          <w:tcPr>
            <w:tcW w:w="308" w:type="pct"/>
            <w:noWrap/>
            <w:vAlign w:val="center"/>
          </w:tcPr>
          <w:p w14:paraId="608D4ACB">
            <w:pPr>
              <w:pStyle w:val="557"/>
            </w:pPr>
            <w:r>
              <w:rPr>
                <w:rFonts w:hint="eastAsia"/>
              </w:rPr>
              <w:t>8000</w:t>
            </w:r>
          </w:p>
        </w:tc>
        <w:tc>
          <w:tcPr>
            <w:tcW w:w="304" w:type="pct"/>
            <w:noWrap/>
            <w:vAlign w:val="center"/>
          </w:tcPr>
          <w:p w14:paraId="277B2736">
            <w:pPr>
              <w:pStyle w:val="557"/>
            </w:pPr>
            <w:r>
              <w:rPr>
                <w:rFonts w:hint="eastAsia"/>
              </w:rPr>
              <w:t>16</w:t>
            </w:r>
          </w:p>
        </w:tc>
        <w:tc>
          <w:tcPr>
            <w:tcW w:w="304" w:type="pct"/>
            <w:noWrap/>
            <w:vAlign w:val="center"/>
          </w:tcPr>
          <w:p w14:paraId="3A9C17D0">
            <w:pPr>
              <w:pStyle w:val="557"/>
            </w:pPr>
            <w:r>
              <w:rPr>
                <w:rFonts w:hint="eastAsia"/>
              </w:rPr>
              <w:t>65</w:t>
            </w:r>
          </w:p>
        </w:tc>
        <w:tc>
          <w:tcPr>
            <w:tcW w:w="325" w:type="pct"/>
            <w:noWrap/>
            <w:vAlign w:val="center"/>
          </w:tcPr>
          <w:p w14:paraId="114A4E32">
            <w:pPr>
              <w:pStyle w:val="557"/>
            </w:pPr>
            <w:r>
              <w:t>1</w:t>
            </w:r>
          </w:p>
        </w:tc>
      </w:tr>
      <w:tr w14:paraId="2966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1568C551">
            <w:pPr>
              <w:pStyle w:val="557"/>
            </w:pPr>
            <w:r>
              <w:t>9</w:t>
            </w:r>
          </w:p>
        </w:tc>
        <w:tc>
          <w:tcPr>
            <w:tcW w:w="509" w:type="pct"/>
            <w:noWrap/>
            <w:vAlign w:val="center"/>
          </w:tcPr>
          <w:p w14:paraId="6F667456">
            <w:pPr>
              <w:pStyle w:val="557"/>
            </w:pPr>
            <w:r>
              <w:rPr>
                <w:rFonts w:hint="eastAsia"/>
              </w:rPr>
              <w:t>有机缓释肥</w:t>
            </w:r>
          </w:p>
          <w:p w14:paraId="488A051F">
            <w:pPr>
              <w:pStyle w:val="557"/>
            </w:pPr>
            <w:r>
              <w:rPr>
                <w:rFonts w:hint="eastAsia"/>
              </w:rPr>
              <w:t>车间</w:t>
            </w:r>
          </w:p>
        </w:tc>
        <w:tc>
          <w:tcPr>
            <w:tcW w:w="762" w:type="pct"/>
            <w:noWrap/>
            <w:vAlign w:val="center"/>
          </w:tcPr>
          <w:p w14:paraId="71F35618">
            <w:pPr>
              <w:pStyle w:val="557"/>
            </w:pPr>
            <w:r>
              <w:rPr>
                <w:rFonts w:hint="eastAsia"/>
              </w:rPr>
              <w:t>包装机，6台</w:t>
            </w:r>
          </w:p>
        </w:tc>
        <w:tc>
          <w:tcPr>
            <w:tcW w:w="326" w:type="pct"/>
            <w:noWrap/>
            <w:vAlign w:val="center"/>
          </w:tcPr>
          <w:p w14:paraId="1F3ABCC6">
            <w:pPr>
              <w:pStyle w:val="557"/>
            </w:pPr>
            <w:r>
              <w:t>85</w:t>
            </w:r>
          </w:p>
        </w:tc>
        <w:tc>
          <w:tcPr>
            <w:tcW w:w="741" w:type="pct"/>
            <w:noWrap/>
            <w:vAlign w:val="center"/>
          </w:tcPr>
          <w:p w14:paraId="2B68BAB1">
            <w:pPr>
              <w:pStyle w:val="557"/>
            </w:pPr>
            <w:r>
              <w:rPr>
                <w:rFonts w:hint="eastAsia"/>
              </w:rPr>
              <w:t>厂房隔声、基础减振</w:t>
            </w:r>
          </w:p>
        </w:tc>
        <w:tc>
          <w:tcPr>
            <w:tcW w:w="203" w:type="pct"/>
            <w:noWrap/>
            <w:vAlign w:val="center"/>
          </w:tcPr>
          <w:p w14:paraId="6BCEEC11">
            <w:pPr>
              <w:pStyle w:val="557"/>
            </w:pPr>
            <w:r>
              <w:rPr>
                <w:rFonts w:hint="eastAsia"/>
              </w:rPr>
              <w:t>-45</w:t>
            </w:r>
          </w:p>
        </w:tc>
        <w:tc>
          <w:tcPr>
            <w:tcW w:w="204" w:type="pct"/>
            <w:noWrap/>
            <w:vAlign w:val="center"/>
          </w:tcPr>
          <w:p w14:paraId="7C434B39">
            <w:pPr>
              <w:pStyle w:val="557"/>
            </w:pPr>
            <w:r>
              <w:rPr>
                <w:rFonts w:hint="eastAsia"/>
              </w:rPr>
              <w:t>259</w:t>
            </w:r>
          </w:p>
        </w:tc>
        <w:tc>
          <w:tcPr>
            <w:tcW w:w="266" w:type="pct"/>
            <w:noWrap/>
            <w:vAlign w:val="center"/>
          </w:tcPr>
          <w:p w14:paraId="3CA9BE12">
            <w:pPr>
              <w:pStyle w:val="557"/>
            </w:pPr>
            <w:r>
              <w:rPr>
                <w:rFonts w:hint="eastAsia"/>
              </w:rPr>
              <w:t>683.95</w:t>
            </w:r>
          </w:p>
        </w:tc>
        <w:tc>
          <w:tcPr>
            <w:tcW w:w="294" w:type="pct"/>
            <w:noWrap/>
            <w:vAlign w:val="center"/>
          </w:tcPr>
          <w:p w14:paraId="56ED95D3">
            <w:pPr>
              <w:pStyle w:val="557"/>
            </w:pPr>
            <w:r>
              <w:rPr>
                <w:rFonts w:hint="eastAsia"/>
              </w:rPr>
              <w:t>6</w:t>
            </w:r>
          </w:p>
        </w:tc>
        <w:tc>
          <w:tcPr>
            <w:tcW w:w="253" w:type="pct"/>
            <w:noWrap/>
            <w:vAlign w:val="center"/>
          </w:tcPr>
          <w:p w14:paraId="73999EF5">
            <w:pPr>
              <w:pStyle w:val="557"/>
            </w:pPr>
            <w:r>
              <w:rPr>
                <w:rFonts w:hint="eastAsia"/>
              </w:rPr>
              <w:t>82</w:t>
            </w:r>
          </w:p>
        </w:tc>
        <w:tc>
          <w:tcPr>
            <w:tcW w:w="308" w:type="pct"/>
            <w:noWrap/>
            <w:vAlign w:val="center"/>
          </w:tcPr>
          <w:p w14:paraId="67741F01">
            <w:pPr>
              <w:pStyle w:val="557"/>
            </w:pPr>
            <w:r>
              <w:rPr>
                <w:rFonts w:hint="eastAsia"/>
              </w:rPr>
              <w:t>8000</w:t>
            </w:r>
          </w:p>
        </w:tc>
        <w:tc>
          <w:tcPr>
            <w:tcW w:w="304" w:type="pct"/>
            <w:noWrap/>
            <w:vAlign w:val="center"/>
          </w:tcPr>
          <w:p w14:paraId="6CD648E5">
            <w:pPr>
              <w:pStyle w:val="557"/>
            </w:pPr>
            <w:r>
              <w:rPr>
                <w:rFonts w:hint="eastAsia"/>
              </w:rPr>
              <w:t>17</w:t>
            </w:r>
          </w:p>
        </w:tc>
        <w:tc>
          <w:tcPr>
            <w:tcW w:w="304" w:type="pct"/>
            <w:noWrap/>
            <w:vAlign w:val="center"/>
          </w:tcPr>
          <w:p w14:paraId="73B769BB">
            <w:pPr>
              <w:pStyle w:val="557"/>
            </w:pPr>
            <w:r>
              <w:rPr>
                <w:rFonts w:hint="eastAsia"/>
              </w:rPr>
              <w:t>65</w:t>
            </w:r>
          </w:p>
        </w:tc>
        <w:tc>
          <w:tcPr>
            <w:tcW w:w="325" w:type="pct"/>
            <w:noWrap/>
            <w:vAlign w:val="center"/>
          </w:tcPr>
          <w:p w14:paraId="5E60248A">
            <w:pPr>
              <w:pStyle w:val="557"/>
            </w:pPr>
            <w:r>
              <w:t>1</w:t>
            </w:r>
          </w:p>
        </w:tc>
      </w:tr>
      <w:tr w14:paraId="202A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651ABBD8">
            <w:pPr>
              <w:pStyle w:val="557"/>
            </w:pPr>
            <w:r>
              <w:t>10</w:t>
            </w:r>
          </w:p>
        </w:tc>
        <w:tc>
          <w:tcPr>
            <w:tcW w:w="509" w:type="pct"/>
            <w:noWrap/>
            <w:vAlign w:val="center"/>
          </w:tcPr>
          <w:p w14:paraId="4DA54355">
            <w:pPr>
              <w:pStyle w:val="557"/>
            </w:pPr>
            <w:r>
              <w:rPr>
                <w:rFonts w:hint="eastAsia"/>
              </w:rPr>
              <w:t>有机缓释肥</w:t>
            </w:r>
          </w:p>
          <w:p w14:paraId="5814E301">
            <w:pPr>
              <w:pStyle w:val="557"/>
            </w:pPr>
            <w:r>
              <w:rPr>
                <w:rFonts w:hint="eastAsia"/>
              </w:rPr>
              <w:t>车间</w:t>
            </w:r>
          </w:p>
        </w:tc>
        <w:tc>
          <w:tcPr>
            <w:tcW w:w="762" w:type="pct"/>
            <w:noWrap/>
            <w:vAlign w:val="center"/>
          </w:tcPr>
          <w:p w14:paraId="34557003">
            <w:pPr>
              <w:pStyle w:val="557"/>
            </w:pPr>
            <w:r>
              <w:rPr>
                <w:rFonts w:hint="eastAsia"/>
              </w:rPr>
              <w:t>风机，15台</w:t>
            </w:r>
          </w:p>
        </w:tc>
        <w:tc>
          <w:tcPr>
            <w:tcW w:w="326" w:type="pct"/>
            <w:noWrap/>
            <w:vAlign w:val="center"/>
          </w:tcPr>
          <w:p w14:paraId="4CB6E3FA">
            <w:pPr>
              <w:pStyle w:val="557"/>
            </w:pPr>
            <w:r>
              <w:t>85</w:t>
            </w:r>
          </w:p>
        </w:tc>
        <w:tc>
          <w:tcPr>
            <w:tcW w:w="741" w:type="pct"/>
            <w:noWrap/>
            <w:vAlign w:val="center"/>
          </w:tcPr>
          <w:p w14:paraId="1F54D333">
            <w:pPr>
              <w:pStyle w:val="557"/>
            </w:pPr>
            <w:r>
              <w:rPr>
                <w:rFonts w:hint="eastAsia"/>
              </w:rPr>
              <w:t>厂房隔声、基础减振</w:t>
            </w:r>
          </w:p>
        </w:tc>
        <w:tc>
          <w:tcPr>
            <w:tcW w:w="203" w:type="pct"/>
            <w:noWrap/>
            <w:vAlign w:val="center"/>
          </w:tcPr>
          <w:p w14:paraId="14371C27">
            <w:pPr>
              <w:pStyle w:val="557"/>
            </w:pPr>
            <w:r>
              <w:rPr>
                <w:rFonts w:hint="eastAsia"/>
              </w:rPr>
              <w:t>10</w:t>
            </w:r>
          </w:p>
        </w:tc>
        <w:tc>
          <w:tcPr>
            <w:tcW w:w="204" w:type="pct"/>
            <w:noWrap/>
            <w:vAlign w:val="center"/>
          </w:tcPr>
          <w:p w14:paraId="213FC8BB">
            <w:pPr>
              <w:pStyle w:val="557"/>
            </w:pPr>
            <w:r>
              <w:rPr>
                <w:rFonts w:hint="eastAsia"/>
              </w:rPr>
              <w:t>254</w:t>
            </w:r>
          </w:p>
        </w:tc>
        <w:tc>
          <w:tcPr>
            <w:tcW w:w="266" w:type="pct"/>
            <w:noWrap/>
            <w:vAlign w:val="center"/>
          </w:tcPr>
          <w:p w14:paraId="27046921">
            <w:pPr>
              <w:pStyle w:val="557"/>
            </w:pPr>
            <w:r>
              <w:rPr>
                <w:rFonts w:hint="eastAsia"/>
              </w:rPr>
              <w:t>683.44</w:t>
            </w:r>
          </w:p>
        </w:tc>
        <w:tc>
          <w:tcPr>
            <w:tcW w:w="294" w:type="pct"/>
            <w:noWrap/>
            <w:vAlign w:val="center"/>
          </w:tcPr>
          <w:p w14:paraId="6F41DD7E">
            <w:pPr>
              <w:pStyle w:val="557"/>
            </w:pPr>
            <w:r>
              <w:rPr>
                <w:rFonts w:hint="eastAsia"/>
              </w:rPr>
              <w:t>6</w:t>
            </w:r>
          </w:p>
        </w:tc>
        <w:tc>
          <w:tcPr>
            <w:tcW w:w="253" w:type="pct"/>
            <w:noWrap/>
            <w:vAlign w:val="center"/>
          </w:tcPr>
          <w:p w14:paraId="4CDB280E">
            <w:pPr>
              <w:pStyle w:val="557"/>
            </w:pPr>
            <w:r>
              <w:rPr>
                <w:rFonts w:hint="eastAsia"/>
              </w:rPr>
              <w:t>82</w:t>
            </w:r>
          </w:p>
        </w:tc>
        <w:tc>
          <w:tcPr>
            <w:tcW w:w="308" w:type="pct"/>
            <w:noWrap/>
            <w:vAlign w:val="center"/>
          </w:tcPr>
          <w:p w14:paraId="0E9C6F8A">
            <w:pPr>
              <w:pStyle w:val="557"/>
            </w:pPr>
            <w:r>
              <w:rPr>
                <w:rFonts w:hint="eastAsia"/>
              </w:rPr>
              <w:t>8000</w:t>
            </w:r>
          </w:p>
        </w:tc>
        <w:tc>
          <w:tcPr>
            <w:tcW w:w="304" w:type="pct"/>
            <w:noWrap/>
            <w:vAlign w:val="center"/>
          </w:tcPr>
          <w:p w14:paraId="226FBB6E">
            <w:pPr>
              <w:pStyle w:val="557"/>
            </w:pPr>
            <w:r>
              <w:rPr>
                <w:rFonts w:hint="eastAsia"/>
              </w:rPr>
              <w:t>17</w:t>
            </w:r>
          </w:p>
        </w:tc>
        <w:tc>
          <w:tcPr>
            <w:tcW w:w="304" w:type="pct"/>
            <w:noWrap/>
            <w:vAlign w:val="center"/>
          </w:tcPr>
          <w:p w14:paraId="33762A93">
            <w:pPr>
              <w:pStyle w:val="557"/>
            </w:pPr>
            <w:r>
              <w:rPr>
                <w:rFonts w:hint="eastAsia"/>
              </w:rPr>
              <w:t>65</w:t>
            </w:r>
          </w:p>
        </w:tc>
        <w:tc>
          <w:tcPr>
            <w:tcW w:w="325" w:type="pct"/>
            <w:noWrap/>
            <w:vAlign w:val="center"/>
          </w:tcPr>
          <w:p w14:paraId="574C2B68">
            <w:pPr>
              <w:pStyle w:val="557"/>
            </w:pPr>
            <w:r>
              <w:t>1</w:t>
            </w:r>
          </w:p>
        </w:tc>
      </w:tr>
      <w:tr w14:paraId="3C81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0BDE14A4">
            <w:pPr>
              <w:pStyle w:val="557"/>
            </w:pPr>
            <w:r>
              <w:t>11</w:t>
            </w:r>
          </w:p>
        </w:tc>
        <w:tc>
          <w:tcPr>
            <w:tcW w:w="509" w:type="pct"/>
            <w:noWrap/>
            <w:vAlign w:val="center"/>
          </w:tcPr>
          <w:p w14:paraId="61CA81E9">
            <w:pPr>
              <w:pStyle w:val="557"/>
            </w:pPr>
            <w:r>
              <w:rPr>
                <w:rFonts w:hint="eastAsia"/>
              </w:rPr>
              <w:t>有机缓释肥</w:t>
            </w:r>
          </w:p>
          <w:p w14:paraId="30E6B989">
            <w:pPr>
              <w:pStyle w:val="557"/>
            </w:pPr>
            <w:r>
              <w:rPr>
                <w:rFonts w:hint="eastAsia"/>
              </w:rPr>
              <w:t>车间</w:t>
            </w:r>
          </w:p>
        </w:tc>
        <w:tc>
          <w:tcPr>
            <w:tcW w:w="762" w:type="pct"/>
            <w:noWrap/>
            <w:vAlign w:val="center"/>
          </w:tcPr>
          <w:p w14:paraId="1E689A35">
            <w:pPr>
              <w:pStyle w:val="557"/>
            </w:pPr>
            <w:r>
              <w:rPr>
                <w:rFonts w:hint="eastAsia"/>
              </w:rPr>
              <w:t>造粒机，29台</w:t>
            </w:r>
          </w:p>
        </w:tc>
        <w:tc>
          <w:tcPr>
            <w:tcW w:w="326" w:type="pct"/>
            <w:noWrap/>
            <w:vAlign w:val="center"/>
          </w:tcPr>
          <w:p w14:paraId="2DF0AA23">
            <w:pPr>
              <w:pStyle w:val="557"/>
            </w:pPr>
            <w:r>
              <w:t>85</w:t>
            </w:r>
          </w:p>
        </w:tc>
        <w:tc>
          <w:tcPr>
            <w:tcW w:w="741" w:type="pct"/>
            <w:noWrap/>
            <w:vAlign w:val="center"/>
          </w:tcPr>
          <w:p w14:paraId="04BBD41D">
            <w:pPr>
              <w:pStyle w:val="557"/>
            </w:pPr>
            <w:r>
              <w:rPr>
                <w:rFonts w:hint="eastAsia"/>
              </w:rPr>
              <w:t>厂房隔声、基础减振</w:t>
            </w:r>
          </w:p>
        </w:tc>
        <w:tc>
          <w:tcPr>
            <w:tcW w:w="203" w:type="pct"/>
            <w:noWrap/>
            <w:vAlign w:val="center"/>
          </w:tcPr>
          <w:p w14:paraId="34C51661">
            <w:pPr>
              <w:pStyle w:val="557"/>
            </w:pPr>
            <w:r>
              <w:rPr>
                <w:rFonts w:hint="eastAsia"/>
              </w:rPr>
              <w:t>213</w:t>
            </w:r>
          </w:p>
        </w:tc>
        <w:tc>
          <w:tcPr>
            <w:tcW w:w="204" w:type="pct"/>
            <w:noWrap/>
            <w:vAlign w:val="center"/>
          </w:tcPr>
          <w:p w14:paraId="07F869C6">
            <w:pPr>
              <w:pStyle w:val="557"/>
            </w:pPr>
            <w:r>
              <w:rPr>
                <w:rFonts w:hint="eastAsia"/>
              </w:rPr>
              <w:t>259</w:t>
            </w:r>
          </w:p>
        </w:tc>
        <w:tc>
          <w:tcPr>
            <w:tcW w:w="266" w:type="pct"/>
            <w:noWrap/>
            <w:vAlign w:val="center"/>
          </w:tcPr>
          <w:p w14:paraId="5FFE7EEF">
            <w:pPr>
              <w:pStyle w:val="557"/>
            </w:pPr>
            <w:r>
              <w:rPr>
                <w:rFonts w:hint="eastAsia"/>
              </w:rPr>
              <w:t>683.67</w:t>
            </w:r>
          </w:p>
        </w:tc>
        <w:tc>
          <w:tcPr>
            <w:tcW w:w="294" w:type="pct"/>
            <w:noWrap/>
            <w:vAlign w:val="center"/>
          </w:tcPr>
          <w:p w14:paraId="415884E5">
            <w:pPr>
              <w:pStyle w:val="557"/>
            </w:pPr>
            <w:r>
              <w:rPr>
                <w:rFonts w:hint="eastAsia"/>
              </w:rPr>
              <w:t>5</w:t>
            </w:r>
          </w:p>
        </w:tc>
        <w:tc>
          <w:tcPr>
            <w:tcW w:w="253" w:type="pct"/>
            <w:noWrap/>
            <w:vAlign w:val="center"/>
          </w:tcPr>
          <w:p w14:paraId="7BEF1882">
            <w:pPr>
              <w:pStyle w:val="557"/>
            </w:pPr>
            <w:r>
              <w:rPr>
                <w:rFonts w:hint="eastAsia"/>
              </w:rPr>
              <w:t>82.5</w:t>
            </w:r>
          </w:p>
        </w:tc>
        <w:tc>
          <w:tcPr>
            <w:tcW w:w="308" w:type="pct"/>
            <w:noWrap/>
            <w:vAlign w:val="center"/>
          </w:tcPr>
          <w:p w14:paraId="1E8C32D5">
            <w:pPr>
              <w:pStyle w:val="557"/>
            </w:pPr>
            <w:r>
              <w:rPr>
                <w:rFonts w:hint="eastAsia"/>
              </w:rPr>
              <w:t>8000</w:t>
            </w:r>
          </w:p>
        </w:tc>
        <w:tc>
          <w:tcPr>
            <w:tcW w:w="304" w:type="pct"/>
            <w:noWrap/>
            <w:vAlign w:val="center"/>
          </w:tcPr>
          <w:p w14:paraId="0386D5BF">
            <w:pPr>
              <w:pStyle w:val="557"/>
            </w:pPr>
            <w:r>
              <w:rPr>
                <w:rFonts w:hint="eastAsia"/>
              </w:rPr>
              <w:t>17.5</w:t>
            </w:r>
          </w:p>
        </w:tc>
        <w:tc>
          <w:tcPr>
            <w:tcW w:w="304" w:type="pct"/>
            <w:noWrap/>
            <w:vAlign w:val="center"/>
          </w:tcPr>
          <w:p w14:paraId="66C2B4FC">
            <w:pPr>
              <w:pStyle w:val="557"/>
            </w:pPr>
            <w:r>
              <w:rPr>
                <w:rFonts w:hint="eastAsia"/>
              </w:rPr>
              <w:t>65</w:t>
            </w:r>
          </w:p>
        </w:tc>
        <w:tc>
          <w:tcPr>
            <w:tcW w:w="325" w:type="pct"/>
            <w:noWrap/>
            <w:vAlign w:val="center"/>
          </w:tcPr>
          <w:p w14:paraId="56A61504">
            <w:pPr>
              <w:pStyle w:val="557"/>
            </w:pPr>
            <w:r>
              <w:t>1</w:t>
            </w:r>
          </w:p>
        </w:tc>
      </w:tr>
      <w:tr w14:paraId="2268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11F19F5">
            <w:pPr>
              <w:pStyle w:val="557"/>
            </w:pPr>
            <w:r>
              <w:t>12</w:t>
            </w:r>
          </w:p>
        </w:tc>
        <w:tc>
          <w:tcPr>
            <w:tcW w:w="509" w:type="pct"/>
            <w:noWrap/>
            <w:vAlign w:val="center"/>
          </w:tcPr>
          <w:p w14:paraId="6133AFA8">
            <w:pPr>
              <w:pStyle w:val="557"/>
            </w:pPr>
            <w:r>
              <w:rPr>
                <w:rFonts w:hint="eastAsia"/>
              </w:rPr>
              <w:t>有机缓释肥</w:t>
            </w:r>
          </w:p>
          <w:p w14:paraId="16E6B034">
            <w:pPr>
              <w:pStyle w:val="557"/>
            </w:pPr>
            <w:r>
              <w:rPr>
                <w:rFonts w:hint="eastAsia"/>
              </w:rPr>
              <w:t>车间</w:t>
            </w:r>
          </w:p>
        </w:tc>
        <w:tc>
          <w:tcPr>
            <w:tcW w:w="762" w:type="pct"/>
            <w:noWrap/>
            <w:vAlign w:val="center"/>
          </w:tcPr>
          <w:p w14:paraId="2B026B25">
            <w:pPr>
              <w:pStyle w:val="557"/>
            </w:pPr>
            <w:r>
              <w:rPr>
                <w:rFonts w:hint="eastAsia"/>
              </w:rPr>
              <w:t>筛分机，1台</w:t>
            </w:r>
          </w:p>
        </w:tc>
        <w:tc>
          <w:tcPr>
            <w:tcW w:w="326" w:type="pct"/>
            <w:noWrap/>
            <w:vAlign w:val="center"/>
          </w:tcPr>
          <w:p w14:paraId="16D54362">
            <w:pPr>
              <w:pStyle w:val="557"/>
            </w:pPr>
            <w:r>
              <w:t>85</w:t>
            </w:r>
          </w:p>
        </w:tc>
        <w:tc>
          <w:tcPr>
            <w:tcW w:w="741" w:type="pct"/>
            <w:noWrap/>
            <w:vAlign w:val="center"/>
          </w:tcPr>
          <w:p w14:paraId="0E86D162">
            <w:pPr>
              <w:pStyle w:val="557"/>
            </w:pPr>
            <w:r>
              <w:rPr>
                <w:rFonts w:hint="eastAsia"/>
              </w:rPr>
              <w:t>低噪声电机、减振</w:t>
            </w:r>
          </w:p>
        </w:tc>
        <w:tc>
          <w:tcPr>
            <w:tcW w:w="203" w:type="pct"/>
            <w:noWrap/>
            <w:vAlign w:val="center"/>
          </w:tcPr>
          <w:p w14:paraId="651B5AB7">
            <w:pPr>
              <w:pStyle w:val="557"/>
            </w:pPr>
            <w:r>
              <w:rPr>
                <w:rFonts w:hint="eastAsia"/>
              </w:rPr>
              <w:t>295</w:t>
            </w:r>
          </w:p>
        </w:tc>
        <w:tc>
          <w:tcPr>
            <w:tcW w:w="204" w:type="pct"/>
            <w:noWrap/>
            <w:vAlign w:val="center"/>
          </w:tcPr>
          <w:p w14:paraId="65740E92">
            <w:pPr>
              <w:pStyle w:val="557"/>
            </w:pPr>
            <w:r>
              <w:rPr>
                <w:rFonts w:hint="eastAsia"/>
              </w:rPr>
              <w:t>256</w:t>
            </w:r>
          </w:p>
        </w:tc>
        <w:tc>
          <w:tcPr>
            <w:tcW w:w="266" w:type="pct"/>
            <w:noWrap/>
            <w:vAlign w:val="center"/>
          </w:tcPr>
          <w:p w14:paraId="305FED0D">
            <w:pPr>
              <w:pStyle w:val="557"/>
            </w:pPr>
            <w:r>
              <w:rPr>
                <w:rFonts w:hint="eastAsia"/>
              </w:rPr>
              <w:t>683.92</w:t>
            </w:r>
          </w:p>
        </w:tc>
        <w:tc>
          <w:tcPr>
            <w:tcW w:w="294" w:type="pct"/>
            <w:noWrap/>
            <w:vAlign w:val="center"/>
          </w:tcPr>
          <w:p w14:paraId="6B15E8C8">
            <w:pPr>
              <w:pStyle w:val="557"/>
            </w:pPr>
            <w:r>
              <w:rPr>
                <w:rFonts w:hint="eastAsia"/>
              </w:rPr>
              <w:t>4</w:t>
            </w:r>
          </w:p>
        </w:tc>
        <w:tc>
          <w:tcPr>
            <w:tcW w:w="253" w:type="pct"/>
            <w:noWrap/>
            <w:vAlign w:val="center"/>
          </w:tcPr>
          <w:p w14:paraId="4290316C">
            <w:pPr>
              <w:pStyle w:val="557"/>
            </w:pPr>
            <w:r>
              <w:rPr>
                <w:rFonts w:hint="eastAsia"/>
              </w:rPr>
              <w:t>83</w:t>
            </w:r>
          </w:p>
        </w:tc>
        <w:tc>
          <w:tcPr>
            <w:tcW w:w="308" w:type="pct"/>
            <w:noWrap/>
            <w:vAlign w:val="center"/>
          </w:tcPr>
          <w:p w14:paraId="30C4E450">
            <w:pPr>
              <w:pStyle w:val="557"/>
            </w:pPr>
            <w:r>
              <w:rPr>
                <w:rFonts w:hint="eastAsia"/>
              </w:rPr>
              <w:t>8000</w:t>
            </w:r>
          </w:p>
        </w:tc>
        <w:tc>
          <w:tcPr>
            <w:tcW w:w="304" w:type="pct"/>
            <w:noWrap/>
            <w:vAlign w:val="center"/>
          </w:tcPr>
          <w:p w14:paraId="0C779001">
            <w:pPr>
              <w:pStyle w:val="557"/>
            </w:pPr>
            <w:r>
              <w:rPr>
                <w:rFonts w:hint="eastAsia"/>
              </w:rPr>
              <w:t>18</w:t>
            </w:r>
          </w:p>
        </w:tc>
        <w:tc>
          <w:tcPr>
            <w:tcW w:w="304" w:type="pct"/>
            <w:noWrap/>
            <w:vAlign w:val="center"/>
          </w:tcPr>
          <w:p w14:paraId="61DC4004">
            <w:pPr>
              <w:pStyle w:val="557"/>
            </w:pPr>
            <w:r>
              <w:rPr>
                <w:rFonts w:hint="eastAsia"/>
              </w:rPr>
              <w:t>65</w:t>
            </w:r>
          </w:p>
        </w:tc>
        <w:tc>
          <w:tcPr>
            <w:tcW w:w="325" w:type="pct"/>
            <w:noWrap/>
            <w:vAlign w:val="center"/>
          </w:tcPr>
          <w:p w14:paraId="5990C87F">
            <w:pPr>
              <w:pStyle w:val="557"/>
            </w:pPr>
            <w:r>
              <w:t>1</w:t>
            </w:r>
          </w:p>
        </w:tc>
      </w:tr>
      <w:tr w14:paraId="0A65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209BC0D2">
            <w:pPr>
              <w:pStyle w:val="557"/>
            </w:pPr>
            <w:r>
              <w:rPr>
                <w:rFonts w:hint="eastAsia"/>
              </w:rPr>
              <w:t>13</w:t>
            </w:r>
          </w:p>
        </w:tc>
        <w:tc>
          <w:tcPr>
            <w:tcW w:w="509" w:type="pct"/>
            <w:noWrap/>
            <w:vAlign w:val="center"/>
          </w:tcPr>
          <w:p w14:paraId="1240FD73">
            <w:pPr>
              <w:pStyle w:val="557"/>
            </w:pPr>
            <w:r>
              <w:rPr>
                <w:rFonts w:hint="eastAsia"/>
              </w:rPr>
              <w:t>循环水站</w:t>
            </w:r>
          </w:p>
        </w:tc>
        <w:tc>
          <w:tcPr>
            <w:tcW w:w="762" w:type="pct"/>
            <w:noWrap/>
            <w:vAlign w:val="center"/>
          </w:tcPr>
          <w:p w14:paraId="6247F15A">
            <w:pPr>
              <w:pStyle w:val="557"/>
            </w:pPr>
            <w:r>
              <w:rPr>
                <w:rFonts w:hint="eastAsia"/>
              </w:rPr>
              <w:t>循环水站</w:t>
            </w:r>
            <w:r>
              <w:t>机泵</w:t>
            </w:r>
            <w:r>
              <w:rPr>
                <w:rFonts w:hint="eastAsia"/>
              </w:rPr>
              <w:t>，12</w:t>
            </w:r>
            <w:r>
              <w:t>台</w:t>
            </w:r>
          </w:p>
        </w:tc>
        <w:tc>
          <w:tcPr>
            <w:tcW w:w="326" w:type="pct"/>
            <w:noWrap/>
            <w:vAlign w:val="center"/>
          </w:tcPr>
          <w:p w14:paraId="7D02FBF5">
            <w:pPr>
              <w:pStyle w:val="557"/>
            </w:pPr>
            <w:r>
              <w:t>80-90</w:t>
            </w:r>
          </w:p>
        </w:tc>
        <w:tc>
          <w:tcPr>
            <w:tcW w:w="741" w:type="pct"/>
            <w:noWrap/>
            <w:vAlign w:val="center"/>
          </w:tcPr>
          <w:p w14:paraId="7688E647">
            <w:pPr>
              <w:pStyle w:val="557"/>
            </w:pPr>
            <w:r>
              <w:rPr>
                <w:rFonts w:hint="eastAsia"/>
              </w:rPr>
              <w:t>低噪声电机、基础减振</w:t>
            </w:r>
          </w:p>
        </w:tc>
        <w:tc>
          <w:tcPr>
            <w:tcW w:w="203" w:type="pct"/>
            <w:noWrap/>
            <w:vAlign w:val="center"/>
          </w:tcPr>
          <w:p w14:paraId="7CF730CB">
            <w:pPr>
              <w:pStyle w:val="557"/>
            </w:pPr>
            <w:r>
              <w:rPr>
                <w:rFonts w:hint="eastAsia"/>
              </w:rPr>
              <w:t>-236</w:t>
            </w:r>
          </w:p>
        </w:tc>
        <w:tc>
          <w:tcPr>
            <w:tcW w:w="204" w:type="pct"/>
            <w:noWrap/>
            <w:vAlign w:val="center"/>
          </w:tcPr>
          <w:p w14:paraId="3217D774">
            <w:pPr>
              <w:pStyle w:val="557"/>
            </w:pPr>
            <w:r>
              <w:rPr>
                <w:rFonts w:hint="eastAsia"/>
              </w:rPr>
              <w:t>213</w:t>
            </w:r>
          </w:p>
        </w:tc>
        <w:tc>
          <w:tcPr>
            <w:tcW w:w="266" w:type="pct"/>
            <w:noWrap/>
            <w:vAlign w:val="center"/>
          </w:tcPr>
          <w:p w14:paraId="57B152C8">
            <w:pPr>
              <w:pStyle w:val="557"/>
            </w:pPr>
            <w:r>
              <w:rPr>
                <w:rFonts w:hint="eastAsia"/>
              </w:rPr>
              <w:t>689.31</w:t>
            </w:r>
          </w:p>
        </w:tc>
        <w:tc>
          <w:tcPr>
            <w:tcW w:w="294" w:type="pct"/>
            <w:noWrap/>
            <w:vAlign w:val="center"/>
          </w:tcPr>
          <w:p w14:paraId="48C1B419">
            <w:pPr>
              <w:pStyle w:val="557"/>
            </w:pPr>
            <w:r>
              <w:rPr>
                <w:rFonts w:hint="eastAsia"/>
              </w:rPr>
              <w:t>4</w:t>
            </w:r>
          </w:p>
        </w:tc>
        <w:tc>
          <w:tcPr>
            <w:tcW w:w="253" w:type="pct"/>
            <w:noWrap/>
            <w:vAlign w:val="center"/>
          </w:tcPr>
          <w:p w14:paraId="4A26FD12">
            <w:pPr>
              <w:pStyle w:val="557"/>
            </w:pPr>
            <w:r>
              <w:rPr>
                <w:rFonts w:hint="eastAsia"/>
              </w:rPr>
              <w:t>77-87</w:t>
            </w:r>
          </w:p>
        </w:tc>
        <w:tc>
          <w:tcPr>
            <w:tcW w:w="308" w:type="pct"/>
            <w:noWrap/>
            <w:vAlign w:val="center"/>
          </w:tcPr>
          <w:p w14:paraId="54C77B26">
            <w:pPr>
              <w:pStyle w:val="557"/>
            </w:pPr>
            <w:r>
              <w:rPr>
                <w:rFonts w:hint="eastAsia"/>
              </w:rPr>
              <w:t>8000</w:t>
            </w:r>
          </w:p>
        </w:tc>
        <w:tc>
          <w:tcPr>
            <w:tcW w:w="304" w:type="pct"/>
            <w:noWrap/>
            <w:vAlign w:val="center"/>
          </w:tcPr>
          <w:p w14:paraId="03CC31F5">
            <w:pPr>
              <w:pStyle w:val="557"/>
            </w:pPr>
            <w:r>
              <w:rPr>
                <w:rFonts w:hint="eastAsia"/>
              </w:rPr>
              <w:t>17</w:t>
            </w:r>
          </w:p>
        </w:tc>
        <w:tc>
          <w:tcPr>
            <w:tcW w:w="304" w:type="pct"/>
            <w:noWrap/>
            <w:vAlign w:val="center"/>
          </w:tcPr>
          <w:p w14:paraId="4BA52C9D">
            <w:pPr>
              <w:pStyle w:val="557"/>
            </w:pPr>
            <w:r>
              <w:rPr>
                <w:rFonts w:hint="eastAsia"/>
              </w:rPr>
              <w:t>60-70</w:t>
            </w:r>
          </w:p>
        </w:tc>
        <w:tc>
          <w:tcPr>
            <w:tcW w:w="325" w:type="pct"/>
            <w:noWrap/>
            <w:vAlign w:val="center"/>
          </w:tcPr>
          <w:p w14:paraId="1AAD6E1C">
            <w:pPr>
              <w:pStyle w:val="557"/>
            </w:pPr>
            <w:r>
              <w:t>1</w:t>
            </w:r>
          </w:p>
        </w:tc>
      </w:tr>
      <w:tr w14:paraId="2D94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03E6FB9B">
            <w:pPr>
              <w:pStyle w:val="557"/>
            </w:pPr>
            <w:r>
              <w:rPr>
                <w:rFonts w:hint="eastAsia"/>
              </w:rPr>
              <w:t>14</w:t>
            </w:r>
          </w:p>
        </w:tc>
        <w:tc>
          <w:tcPr>
            <w:tcW w:w="509" w:type="pct"/>
            <w:noWrap/>
            <w:vAlign w:val="center"/>
          </w:tcPr>
          <w:p w14:paraId="4F4F1A9C">
            <w:pPr>
              <w:pStyle w:val="557"/>
            </w:pPr>
            <w:r>
              <w:rPr>
                <w:rFonts w:hint="eastAsia"/>
              </w:rPr>
              <w:t>脱盐水站</w:t>
            </w:r>
          </w:p>
        </w:tc>
        <w:tc>
          <w:tcPr>
            <w:tcW w:w="762" w:type="pct"/>
            <w:noWrap/>
            <w:vAlign w:val="center"/>
          </w:tcPr>
          <w:p w14:paraId="28BCC072">
            <w:pPr>
              <w:pStyle w:val="557"/>
            </w:pPr>
            <w:r>
              <w:rPr>
                <w:rFonts w:hint="eastAsia"/>
              </w:rPr>
              <w:t>脱盐水站</w:t>
            </w:r>
            <w:r>
              <w:t>机泵</w:t>
            </w:r>
            <w:r>
              <w:rPr>
                <w:rFonts w:hint="eastAsia"/>
              </w:rPr>
              <w:t>，25</w:t>
            </w:r>
            <w:r>
              <w:t>台</w:t>
            </w:r>
          </w:p>
        </w:tc>
        <w:tc>
          <w:tcPr>
            <w:tcW w:w="326" w:type="pct"/>
            <w:noWrap/>
            <w:vAlign w:val="center"/>
          </w:tcPr>
          <w:p w14:paraId="6C2F8CDC">
            <w:pPr>
              <w:pStyle w:val="557"/>
            </w:pPr>
            <w:r>
              <w:t>80-90</w:t>
            </w:r>
          </w:p>
        </w:tc>
        <w:tc>
          <w:tcPr>
            <w:tcW w:w="741" w:type="pct"/>
            <w:noWrap/>
            <w:vAlign w:val="center"/>
          </w:tcPr>
          <w:p w14:paraId="773BBDA5">
            <w:pPr>
              <w:pStyle w:val="557"/>
            </w:pPr>
            <w:r>
              <w:rPr>
                <w:rFonts w:hint="eastAsia"/>
              </w:rPr>
              <w:t>低噪声电机、基础减振</w:t>
            </w:r>
          </w:p>
        </w:tc>
        <w:tc>
          <w:tcPr>
            <w:tcW w:w="203" w:type="pct"/>
            <w:noWrap/>
            <w:vAlign w:val="center"/>
          </w:tcPr>
          <w:p w14:paraId="49E7482B">
            <w:pPr>
              <w:pStyle w:val="557"/>
            </w:pPr>
            <w:r>
              <w:rPr>
                <w:rFonts w:hint="eastAsia"/>
              </w:rPr>
              <w:t>-226</w:t>
            </w:r>
          </w:p>
        </w:tc>
        <w:tc>
          <w:tcPr>
            <w:tcW w:w="204" w:type="pct"/>
            <w:noWrap/>
            <w:vAlign w:val="center"/>
          </w:tcPr>
          <w:p w14:paraId="48C882BF">
            <w:pPr>
              <w:pStyle w:val="557"/>
            </w:pPr>
            <w:r>
              <w:rPr>
                <w:rFonts w:hint="eastAsia"/>
              </w:rPr>
              <w:t>62</w:t>
            </w:r>
          </w:p>
        </w:tc>
        <w:tc>
          <w:tcPr>
            <w:tcW w:w="266" w:type="pct"/>
            <w:noWrap/>
            <w:vAlign w:val="center"/>
          </w:tcPr>
          <w:p w14:paraId="4F4CAD28">
            <w:pPr>
              <w:pStyle w:val="557"/>
            </w:pPr>
            <w:r>
              <w:rPr>
                <w:rFonts w:hint="eastAsia"/>
              </w:rPr>
              <w:t>688.24</w:t>
            </w:r>
          </w:p>
        </w:tc>
        <w:tc>
          <w:tcPr>
            <w:tcW w:w="294" w:type="pct"/>
            <w:noWrap/>
            <w:vAlign w:val="center"/>
          </w:tcPr>
          <w:p w14:paraId="4B9BB438">
            <w:pPr>
              <w:pStyle w:val="557"/>
            </w:pPr>
            <w:r>
              <w:rPr>
                <w:rFonts w:hint="eastAsia"/>
              </w:rPr>
              <w:t>5</w:t>
            </w:r>
          </w:p>
        </w:tc>
        <w:tc>
          <w:tcPr>
            <w:tcW w:w="253" w:type="pct"/>
            <w:noWrap/>
            <w:vAlign w:val="center"/>
          </w:tcPr>
          <w:p w14:paraId="2F5D9645">
            <w:pPr>
              <w:pStyle w:val="557"/>
            </w:pPr>
            <w:r>
              <w:rPr>
                <w:rFonts w:hint="eastAsia"/>
              </w:rPr>
              <w:t>77-87</w:t>
            </w:r>
          </w:p>
        </w:tc>
        <w:tc>
          <w:tcPr>
            <w:tcW w:w="308" w:type="pct"/>
            <w:noWrap/>
            <w:vAlign w:val="center"/>
          </w:tcPr>
          <w:p w14:paraId="345AAB4F">
            <w:pPr>
              <w:pStyle w:val="557"/>
            </w:pPr>
            <w:r>
              <w:rPr>
                <w:rFonts w:hint="eastAsia"/>
              </w:rPr>
              <w:t>8000</w:t>
            </w:r>
          </w:p>
        </w:tc>
        <w:tc>
          <w:tcPr>
            <w:tcW w:w="304" w:type="pct"/>
            <w:noWrap/>
            <w:vAlign w:val="center"/>
          </w:tcPr>
          <w:p w14:paraId="156AD22A">
            <w:pPr>
              <w:pStyle w:val="557"/>
            </w:pPr>
            <w:r>
              <w:rPr>
                <w:rFonts w:hint="eastAsia"/>
              </w:rPr>
              <w:t>17</w:t>
            </w:r>
          </w:p>
        </w:tc>
        <w:tc>
          <w:tcPr>
            <w:tcW w:w="304" w:type="pct"/>
            <w:noWrap/>
            <w:vAlign w:val="center"/>
          </w:tcPr>
          <w:p w14:paraId="3E0D4E47">
            <w:pPr>
              <w:pStyle w:val="557"/>
            </w:pPr>
            <w:r>
              <w:rPr>
                <w:rFonts w:hint="eastAsia"/>
              </w:rPr>
              <w:t>60-70</w:t>
            </w:r>
          </w:p>
        </w:tc>
        <w:tc>
          <w:tcPr>
            <w:tcW w:w="325" w:type="pct"/>
            <w:noWrap/>
            <w:vAlign w:val="center"/>
          </w:tcPr>
          <w:p w14:paraId="1F80DC67">
            <w:pPr>
              <w:pStyle w:val="557"/>
            </w:pPr>
            <w:r>
              <w:t>1</w:t>
            </w:r>
          </w:p>
        </w:tc>
      </w:tr>
      <w:tr w14:paraId="5BC2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2445B647">
            <w:pPr>
              <w:pStyle w:val="557"/>
            </w:pPr>
            <w:r>
              <w:rPr>
                <w:rFonts w:hint="eastAsia"/>
              </w:rPr>
              <w:t>15</w:t>
            </w:r>
          </w:p>
        </w:tc>
        <w:tc>
          <w:tcPr>
            <w:tcW w:w="509" w:type="pct"/>
            <w:noWrap/>
            <w:vAlign w:val="center"/>
          </w:tcPr>
          <w:p w14:paraId="216E957D">
            <w:pPr>
              <w:pStyle w:val="557"/>
            </w:pPr>
            <w:r>
              <w:rPr>
                <w:rFonts w:hint="eastAsia"/>
              </w:rPr>
              <w:t>回用水站</w:t>
            </w:r>
          </w:p>
        </w:tc>
        <w:tc>
          <w:tcPr>
            <w:tcW w:w="762" w:type="pct"/>
            <w:noWrap/>
            <w:vAlign w:val="center"/>
          </w:tcPr>
          <w:p w14:paraId="2A69B221">
            <w:pPr>
              <w:pStyle w:val="557"/>
            </w:pPr>
            <w:r>
              <w:rPr>
                <w:rFonts w:hint="eastAsia"/>
              </w:rPr>
              <w:t>回用水站</w:t>
            </w:r>
            <w:r>
              <w:t>机泵</w:t>
            </w:r>
            <w:r>
              <w:rPr>
                <w:rFonts w:hint="eastAsia"/>
              </w:rPr>
              <w:t>，2</w:t>
            </w:r>
            <w:r>
              <w:t>台</w:t>
            </w:r>
          </w:p>
        </w:tc>
        <w:tc>
          <w:tcPr>
            <w:tcW w:w="326" w:type="pct"/>
            <w:noWrap/>
            <w:vAlign w:val="center"/>
          </w:tcPr>
          <w:p w14:paraId="33E36E09">
            <w:pPr>
              <w:pStyle w:val="557"/>
            </w:pPr>
            <w:r>
              <w:t>80-90</w:t>
            </w:r>
          </w:p>
        </w:tc>
        <w:tc>
          <w:tcPr>
            <w:tcW w:w="741" w:type="pct"/>
            <w:noWrap/>
            <w:vAlign w:val="center"/>
          </w:tcPr>
          <w:p w14:paraId="37012523">
            <w:pPr>
              <w:pStyle w:val="557"/>
            </w:pPr>
            <w:r>
              <w:rPr>
                <w:rFonts w:hint="eastAsia"/>
              </w:rPr>
              <w:t>低噪声电机、基础减振</w:t>
            </w:r>
          </w:p>
        </w:tc>
        <w:tc>
          <w:tcPr>
            <w:tcW w:w="203" w:type="pct"/>
            <w:noWrap/>
            <w:vAlign w:val="center"/>
          </w:tcPr>
          <w:p w14:paraId="41FA8FB3">
            <w:pPr>
              <w:pStyle w:val="557"/>
            </w:pPr>
            <w:r>
              <w:rPr>
                <w:rFonts w:hint="eastAsia"/>
              </w:rPr>
              <w:t>390</w:t>
            </w:r>
          </w:p>
        </w:tc>
        <w:tc>
          <w:tcPr>
            <w:tcW w:w="204" w:type="pct"/>
            <w:noWrap/>
            <w:vAlign w:val="center"/>
          </w:tcPr>
          <w:p w14:paraId="446793A7">
            <w:pPr>
              <w:pStyle w:val="557"/>
            </w:pPr>
            <w:r>
              <w:rPr>
                <w:rFonts w:hint="eastAsia"/>
              </w:rPr>
              <w:t>86</w:t>
            </w:r>
          </w:p>
        </w:tc>
        <w:tc>
          <w:tcPr>
            <w:tcW w:w="266" w:type="pct"/>
            <w:noWrap/>
            <w:vAlign w:val="center"/>
          </w:tcPr>
          <w:p w14:paraId="54984E66">
            <w:pPr>
              <w:pStyle w:val="557"/>
            </w:pPr>
            <w:r>
              <w:rPr>
                <w:rFonts w:hint="eastAsia"/>
              </w:rPr>
              <w:t>682.19</w:t>
            </w:r>
          </w:p>
        </w:tc>
        <w:tc>
          <w:tcPr>
            <w:tcW w:w="294" w:type="pct"/>
            <w:noWrap/>
            <w:vAlign w:val="center"/>
          </w:tcPr>
          <w:p w14:paraId="72048BFF">
            <w:pPr>
              <w:pStyle w:val="557"/>
            </w:pPr>
            <w:r>
              <w:rPr>
                <w:rFonts w:hint="eastAsia"/>
              </w:rPr>
              <w:t>4</w:t>
            </w:r>
          </w:p>
        </w:tc>
        <w:tc>
          <w:tcPr>
            <w:tcW w:w="253" w:type="pct"/>
            <w:noWrap/>
            <w:vAlign w:val="center"/>
          </w:tcPr>
          <w:p w14:paraId="337BB9E3">
            <w:pPr>
              <w:pStyle w:val="557"/>
            </w:pPr>
            <w:r>
              <w:rPr>
                <w:rFonts w:hint="eastAsia"/>
              </w:rPr>
              <w:t>77-87</w:t>
            </w:r>
          </w:p>
        </w:tc>
        <w:tc>
          <w:tcPr>
            <w:tcW w:w="308" w:type="pct"/>
            <w:noWrap/>
            <w:vAlign w:val="center"/>
          </w:tcPr>
          <w:p w14:paraId="2C9703DF">
            <w:pPr>
              <w:pStyle w:val="557"/>
            </w:pPr>
            <w:r>
              <w:rPr>
                <w:rFonts w:hint="eastAsia"/>
              </w:rPr>
              <w:t>8000</w:t>
            </w:r>
          </w:p>
        </w:tc>
        <w:tc>
          <w:tcPr>
            <w:tcW w:w="304" w:type="pct"/>
            <w:noWrap/>
            <w:vAlign w:val="center"/>
          </w:tcPr>
          <w:p w14:paraId="387C43A6">
            <w:pPr>
              <w:pStyle w:val="557"/>
            </w:pPr>
            <w:r>
              <w:rPr>
                <w:rFonts w:hint="eastAsia"/>
              </w:rPr>
              <w:t>17</w:t>
            </w:r>
          </w:p>
        </w:tc>
        <w:tc>
          <w:tcPr>
            <w:tcW w:w="304" w:type="pct"/>
            <w:noWrap/>
            <w:vAlign w:val="center"/>
          </w:tcPr>
          <w:p w14:paraId="123C15A4">
            <w:pPr>
              <w:pStyle w:val="557"/>
            </w:pPr>
            <w:r>
              <w:rPr>
                <w:rFonts w:hint="eastAsia"/>
              </w:rPr>
              <w:t>60-70</w:t>
            </w:r>
          </w:p>
        </w:tc>
        <w:tc>
          <w:tcPr>
            <w:tcW w:w="325" w:type="pct"/>
            <w:noWrap/>
            <w:vAlign w:val="center"/>
          </w:tcPr>
          <w:p w14:paraId="2617025B">
            <w:pPr>
              <w:pStyle w:val="557"/>
            </w:pPr>
            <w:r>
              <w:t>1</w:t>
            </w:r>
          </w:p>
        </w:tc>
      </w:tr>
      <w:tr w14:paraId="61AE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220457D">
            <w:pPr>
              <w:pStyle w:val="557"/>
            </w:pPr>
            <w:r>
              <w:rPr>
                <w:rFonts w:hint="eastAsia"/>
              </w:rPr>
              <w:t>16</w:t>
            </w:r>
          </w:p>
        </w:tc>
        <w:tc>
          <w:tcPr>
            <w:tcW w:w="509" w:type="pct"/>
            <w:noWrap/>
            <w:vAlign w:val="center"/>
          </w:tcPr>
          <w:p w14:paraId="6B16AB0B">
            <w:pPr>
              <w:pStyle w:val="557"/>
            </w:pPr>
            <w:r>
              <w:rPr>
                <w:rFonts w:hint="eastAsia"/>
              </w:rPr>
              <w:t>污水处理站房</w:t>
            </w:r>
          </w:p>
        </w:tc>
        <w:tc>
          <w:tcPr>
            <w:tcW w:w="762" w:type="pct"/>
            <w:noWrap/>
            <w:vAlign w:val="center"/>
          </w:tcPr>
          <w:p w14:paraId="5FACAEA5">
            <w:pPr>
              <w:pStyle w:val="557"/>
            </w:pPr>
            <w:r>
              <w:rPr>
                <w:rFonts w:hint="eastAsia"/>
              </w:rPr>
              <w:t>污水处理站</w:t>
            </w:r>
            <w:r>
              <w:t>机泵</w:t>
            </w:r>
            <w:r>
              <w:rPr>
                <w:rFonts w:hint="eastAsia"/>
              </w:rPr>
              <w:t>，27</w:t>
            </w:r>
            <w:r>
              <w:t>台</w:t>
            </w:r>
          </w:p>
        </w:tc>
        <w:tc>
          <w:tcPr>
            <w:tcW w:w="326" w:type="pct"/>
            <w:noWrap/>
            <w:vAlign w:val="center"/>
          </w:tcPr>
          <w:p w14:paraId="7EB4CE46">
            <w:pPr>
              <w:pStyle w:val="557"/>
            </w:pPr>
            <w:r>
              <w:t>80-90</w:t>
            </w:r>
          </w:p>
        </w:tc>
        <w:tc>
          <w:tcPr>
            <w:tcW w:w="741" w:type="pct"/>
            <w:noWrap/>
            <w:vAlign w:val="center"/>
          </w:tcPr>
          <w:p w14:paraId="795A4791">
            <w:pPr>
              <w:pStyle w:val="557"/>
            </w:pPr>
            <w:r>
              <w:rPr>
                <w:rFonts w:hint="eastAsia"/>
              </w:rPr>
              <w:t>低噪声电机、基础减振</w:t>
            </w:r>
          </w:p>
        </w:tc>
        <w:tc>
          <w:tcPr>
            <w:tcW w:w="203" w:type="pct"/>
            <w:noWrap/>
            <w:vAlign w:val="center"/>
          </w:tcPr>
          <w:p w14:paraId="1778747F">
            <w:pPr>
              <w:pStyle w:val="557"/>
            </w:pPr>
            <w:r>
              <w:rPr>
                <w:rFonts w:hint="eastAsia"/>
              </w:rPr>
              <w:t>312</w:t>
            </w:r>
          </w:p>
        </w:tc>
        <w:tc>
          <w:tcPr>
            <w:tcW w:w="204" w:type="pct"/>
            <w:noWrap/>
            <w:vAlign w:val="center"/>
          </w:tcPr>
          <w:p w14:paraId="0319F87E">
            <w:pPr>
              <w:pStyle w:val="557"/>
            </w:pPr>
            <w:r>
              <w:rPr>
                <w:rFonts w:hint="eastAsia"/>
              </w:rPr>
              <w:t>228</w:t>
            </w:r>
          </w:p>
        </w:tc>
        <w:tc>
          <w:tcPr>
            <w:tcW w:w="266" w:type="pct"/>
            <w:noWrap/>
            <w:vAlign w:val="center"/>
          </w:tcPr>
          <w:p w14:paraId="165EB0C6">
            <w:pPr>
              <w:pStyle w:val="557"/>
            </w:pPr>
            <w:r>
              <w:rPr>
                <w:rFonts w:hint="eastAsia"/>
              </w:rPr>
              <w:t>683.51</w:t>
            </w:r>
          </w:p>
        </w:tc>
        <w:tc>
          <w:tcPr>
            <w:tcW w:w="294" w:type="pct"/>
            <w:noWrap/>
            <w:vAlign w:val="center"/>
          </w:tcPr>
          <w:p w14:paraId="49B05BD8">
            <w:pPr>
              <w:pStyle w:val="557"/>
            </w:pPr>
            <w:r>
              <w:rPr>
                <w:rFonts w:hint="eastAsia"/>
              </w:rPr>
              <w:t>6</w:t>
            </w:r>
          </w:p>
        </w:tc>
        <w:tc>
          <w:tcPr>
            <w:tcW w:w="253" w:type="pct"/>
            <w:noWrap/>
            <w:vAlign w:val="center"/>
          </w:tcPr>
          <w:p w14:paraId="0DC05BFE">
            <w:pPr>
              <w:pStyle w:val="557"/>
            </w:pPr>
            <w:r>
              <w:rPr>
                <w:rFonts w:hint="eastAsia"/>
              </w:rPr>
              <w:t>77-87</w:t>
            </w:r>
          </w:p>
        </w:tc>
        <w:tc>
          <w:tcPr>
            <w:tcW w:w="308" w:type="pct"/>
            <w:noWrap/>
            <w:vAlign w:val="center"/>
          </w:tcPr>
          <w:p w14:paraId="2795CFAE">
            <w:pPr>
              <w:pStyle w:val="557"/>
            </w:pPr>
            <w:r>
              <w:rPr>
                <w:rFonts w:hint="eastAsia"/>
              </w:rPr>
              <w:t>8000</w:t>
            </w:r>
          </w:p>
        </w:tc>
        <w:tc>
          <w:tcPr>
            <w:tcW w:w="304" w:type="pct"/>
            <w:noWrap/>
            <w:vAlign w:val="center"/>
          </w:tcPr>
          <w:p w14:paraId="394D06BA">
            <w:pPr>
              <w:pStyle w:val="557"/>
            </w:pPr>
            <w:r>
              <w:rPr>
                <w:rFonts w:hint="eastAsia"/>
              </w:rPr>
              <w:t>17</w:t>
            </w:r>
          </w:p>
        </w:tc>
        <w:tc>
          <w:tcPr>
            <w:tcW w:w="304" w:type="pct"/>
            <w:noWrap/>
            <w:vAlign w:val="center"/>
          </w:tcPr>
          <w:p w14:paraId="5B07D01B">
            <w:pPr>
              <w:pStyle w:val="557"/>
            </w:pPr>
            <w:r>
              <w:rPr>
                <w:rFonts w:hint="eastAsia"/>
              </w:rPr>
              <w:t>60-70</w:t>
            </w:r>
          </w:p>
        </w:tc>
        <w:tc>
          <w:tcPr>
            <w:tcW w:w="325" w:type="pct"/>
            <w:noWrap/>
            <w:vAlign w:val="center"/>
          </w:tcPr>
          <w:p w14:paraId="55C78109">
            <w:pPr>
              <w:pStyle w:val="557"/>
            </w:pPr>
            <w:r>
              <w:t>1</w:t>
            </w:r>
          </w:p>
        </w:tc>
      </w:tr>
      <w:tr w14:paraId="0C48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6FF45997">
            <w:pPr>
              <w:pStyle w:val="557"/>
            </w:pPr>
            <w:r>
              <w:rPr>
                <w:rFonts w:hint="eastAsia"/>
              </w:rPr>
              <w:t>17</w:t>
            </w:r>
          </w:p>
        </w:tc>
        <w:tc>
          <w:tcPr>
            <w:tcW w:w="509" w:type="pct"/>
            <w:noWrap/>
            <w:vAlign w:val="center"/>
          </w:tcPr>
          <w:p w14:paraId="0C1DD6AB">
            <w:pPr>
              <w:pStyle w:val="557"/>
            </w:pPr>
            <w:r>
              <w:rPr>
                <w:rFonts w:hint="eastAsia"/>
              </w:rPr>
              <w:t>污水处理站房</w:t>
            </w:r>
          </w:p>
        </w:tc>
        <w:tc>
          <w:tcPr>
            <w:tcW w:w="762" w:type="pct"/>
            <w:noWrap/>
            <w:vAlign w:val="center"/>
          </w:tcPr>
          <w:p w14:paraId="6FC1054E">
            <w:pPr>
              <w:pStyle w:val="557"/>
            </w:pPr>
            <w:r>
              <w:rPr>
                <w:rFonts w:hint="eastAsia"/>
              </w:rPr>
              <w:t>污水处理站</w:t>
            </w:r>
            <w:r>
              <w:t>风机</w:t>
            </w:r>
            <w:r>
              <w:rPr>
                <w:rFonts w:hint="eastAsia"/>
              </w:rPr>
              <w:t>，1</w:t>
            </w:r>
            <w:r>
              <w:t>台</w:t>
            </w:r>
          </w:p>
        </w:tc>
        <w:tc>
          <w:tcPr>
            <w:tcW w:w="326" w:type="pct"/>
            <w:noWrap/>
            <w:vAlign w:val="center"/>
          </w:tcPr>
          <w:p w14:paraId="5AF58176">
            <w:pPr>
              <w:pStyle w:val="557"/>
            </w:pPr>
            <w:r>
              <w:t>95</w:t>
            </w:r>
          </w:p>
        </w:tc>
        <w:tc>
          <w:tcPr>
            <w:tcW w:w="741" w:type="pct"/>
            <w:noWrap/>
            <w:vAlign w:val="center"/>
          </w:tcPr>
          <w:p w14:paraId="17747D16">
            <w:pPr>
              <w:pStyle w:val="557"/>
            </w:pPr>
            <w:r>
              <w:rPr>
                <w:rFonts w:hint="eastAsia"/>
              </w:rPr>
              <w:t>低噪声叶片</w:t>
            </w:r>
          </w:p>
        </w:tc>
        <w:tc>
          <w:tcPr>
            <w:tcW w:w="203" w:type="pct"/>
            <w:noWrap/>
            <w:vAlign w:val="center"/>
          </w:tcPr>
          <w:p w14:paraId="6AEF7A13">
            <w:pPr>
              <w:pStyle w:val="557"/>
            </w:pPr>
            <w:r>
              <w:rPr>
                <w:rFonts w:hint="eastAsia"/>
              </w:rPr>
              <w:t>328</w:t>
            </w:r>
          </w:p>
        </w:tc>
        <w:tc>
          <w:tcPr>
            <w:tcW w:w="204" w:type="pct"/>
            <w:noWrap/>
            <w:vAlign w:val="center"/>
          </w:tcPr>
          <w:p w14:paraId="002B16E1">
            <w:pPr>
              <w:pStyle w:val="557"/>
            </w:pPr>
            <w:r>
              <w:rPr>
                <w:rFonts w:hint="eastAsia"/>
              </w:rPr>
              <w:t>189</w:t>
            </w:r>
          </w:p>
        </w:tc>
        <w:tc>
          <w:tcPr>
            <w:tcW w:w="266" w:type="pct"/>
            <w:noWrap/>
            <w:vAlign w:val="center"/>
          </w:tcPr>
          <w:p w14:paraId="10195F7A">
            <w:pPr>
              <w:pStyle w:val="557"/>
            </w:pPr>
            <w:r>
              <w:rPr>
                <w:rFonts w:hint="eastAsia"/>
              </w:rPr>
              <w:t>683.92</w:t>
            </w:r>
          </w:p>
        </w:tc>
        <w:tc>
          <w:tcPr>
            <w:tcW w:w="294" w:type="pct"/>
            <w:noWrap/>
            <w:vAlign w:val="center"/>
          </w:tcPr>
          <w:p w14:paraId="38708578">
            <w:pPr>
              <w:pStyle w:val="557"/>
            </w:pPr>
            <w:r>
              <w:rPr>
                <w:rFonts w:hint="eastAsia"/>
              </w:rPr>
              <w:t>3</w:t>
            </w:r>
          </w:p>
        </w:tc>
        <w:tc>
          <w:tcPr>
            <w:tcW w:w="253" w:type="pct"/>
            <w:noWrap/>
            <w:vAlign w:val="center"/>
          </w:tcPr>
          <w:p w14:paraId="4FBD0CA3">
            <w:pPr>
              <w:pStyle w:val="557"/>
            </w:pPr>
            <w:r>
              <w:rPr>
                <w:rFonts w:hint="eastAsia"/>
              </w:rPr>
              <w:t>91</w:t>
            </w:r>
          </w:p>
        </w:tc>
        <w:tc>
          <w:tcPr>
            <w:tcW w:w="308" w:type="pct"/>
            <w:noWrap/>
            <w:vAlign w:val="center"/>
          </w:tcPr>
          <w:p w14:paraId="229AB68A">
            <w:pPr>
              <w:pStyle w:val="557"/>
            </w:pPr>
            <w:r>
              <w:rPr>
                <w:rFonts w:hint="eastAsia"/>
              </w:rPr>
              <w:t>8000</w:t>
            </w:r>
          </w:p>
        </w:tc>
        <w:tc>
          <w:tcPr>
            <w:tcW w:w="304" w:type="pct"/>
            <w:noWrap/>
            <w:vAlign w:val="center"/>
          </w:tcPr>
          <w:p w14:paraId="24598023">
            <w:pPr>
              <w:pStyle w:val="557"/>
            </w:pPr>
            <w:r>
              <w:rPr>
                <w:rFonts w:hint="eastAsia"/>
              </w:rPr>
              <w:t>16</w:t>
            </w:r>
          </w:p>
        </w:tc>
        <w:tc>
          <w:tcPr>
            <w:tcW w:w="304" w:type="pct"/>
            <w:noWrap/>
            <w:vAlign w:val="center"/>
          </w:tcPr>
          <w:p w14:paraId="18957471">
            <w:pPr>
              <w:pStyle w:val="557"/>
            </w:pPr>
            <w:r>
              <w:rPr>
                <w:rFonts w:hint="eastAsia"/>
              </w:rPr>
              <w:t>75</w:t>
            </w:r>
          </w:p>
        </w:tc>
        <w:tc>
          <w:tcPr>
            <w:tcW w:w="325" w:type="pct"/>
            <w:noWrap/>
            <w:vAlign w:val="center"/>
          </w:tcPr>
          <w:p w14:paraId="38A0CF98">
            <w:pPr>
              <w:pStyle w:val="557"/>
            </w:pPr>
            <w:r>
              <w:t>1</w:t>
            </w:r>
          </w:p>
        </w:tc>
      </w:tr>
      <w:tr w14:paraId="48C5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5FA324A3">
            <w:pPr>
              <w:pStyle w:val="557"/>
            </w:pPr>
            <w:r>
              <w:rPr>
                <w:rFonts w:hint="eastAsia"/>
              </w:rPr>
              <w:t>18</w:t>
            </w:r>
          </w:p>
        </w:tc>
        <w:tc>
          <w:tcPr>
            <w:tcW w:w="509" w:type="pct"/>
            <w:noWrap/>
            <w:vAlign w:val="center"/>
          </w:tcPr>
          <w:p w14:paraId="10C17CC6">
            <w:pPr>
              <w:pStyle w:val="557"/>
            </w:pPr>
            <w:r>
              <w:rPr>
                <w:rFonts w:hint="eastAsia"/>
              </w:rPr>
              <w:t>锅炉房</w:t>
            </w:r>
          </w:p>
        </w:tc>
        <w:tc>
          <w:tcPr>
            <w:tcW w:w="762" w:type="pct"/>
            <w:noWrap/>
            <w:vAlign w:val="center"/>
          </w:tcPr>
          <w:p w14:paraId="69DC7F8F">
            <w:pPr>
              <w:pStyle w:val="557"/>
            </w:pPr>
            <w:r>
              <w:t>机泵</w:t>
            </w:r>
            <w:r>
              <w:rPr>
                <w:rFonts w:hint="eastAsia"/>
              </w:rPr>
              <w:t>，</w:t>
            </w:r>
            <w:r>
              <w:t>7台</w:t>
            </w:r>
          </w:p>
        </w:tc>
        <w:tc>
          <w:tcPr>
            <w:tcW w:w="326" w:type="pct"/>
            <w:noWrap/>
            <w:vAlign w:val="center"/>
          </w:tcPr>
          <w:p w14:paraId="4B1683AA">
            <w:pPr>
              <w:pStyle w:val="557"/>
            </w:pPr>
            <w:r>
              <w:t>80-90</w:t>
            </w:r>
          </w:p>
        </w:tc>
        <w:tc>
          <w:tcPr>
            <w:tcW w:w="741" w:type="pct"/>
            <w:noWrap/>
            <w:vAlign w:val="center"/>
          </w:tcPr>
          <w:p w14:paraId="39C5EE1F">
            <w:pPr>
              <w:pStyle w:val="557"/>
            </w:pPr>
            <w:r>
              <w:rPr>
                <w:rFonts w:hint="eastAsia"/>
              </w:rPr>
              <w:t>低噪声电机、基础减振</w:t>
            </w:r>
          </w:p>
        </w:tc>
        <w:tc>
          <w:tcPr>
            <w:tcW w:w="203" w:type="pct"/>
            <w:noWrap/>
            <w:vAlign w:val="center"/>
          </w:tcPr>
          <w:p w14:paraId="794CDB2C">
            <w:pPr>
              <w:pStyle w:val="557"/>
            </w:pPr>
            <w:r>
              <w:rPr>
                <w:rFonts w:hint="eastAsia"/>
              </w:rPr>
              <w:t>-545</w:t>
            </w:r>
          </w:p>
        </w:tc>
        <w:tc>
          <w:tcPr>
            <w:tcW w:w="204" w:type="pct"/>
            <w:noWrap/>
            <w:vAlign w:val="center"/>
          </w:tcPr>
          <w:p w14:paraId="148124DE">
            <w:pPr>
              <w:pStyle w:val="557"/>
            </w:pPr>
            <w:r>
              <w:rPr>
                <w:rFonts w:hint="eastAsia"/>
              </w:rPr>
              <w:t>-170</w:t>
            </w:r>
          </w:p>
        </w:tc>
        <w:tc>
          <w:tcPr>
            <w:tcW w:w="266" w:type="pct"/>
            <w:noWrap/>
            <w:vAlign w:val="center"/>
          </w:tcPr>
          <w:p w14:paraId="3970121F">
            <w:pPr>
              <w:pStyle w:val="557"/>
            </w:pPr>
            <w:r>
              <w:rPr>
                <w:rFonts w:hint="eastAsia"/>
              </w:rPr>
              <w:t>685.67</w:t>
            </w:r>
          </w:p>
        </w:tc>
        <w:tc>
          <w:tcPr>
            <w:tcW w:w="294" w:type="pct"/>
            <w:noWrap/>
            <w:vAlign w:val="center"/>
          </w:tcPr>
          <w:p w14:paraId="1B73EEF4">
            <w:pPr>
              <w:pStyle w:val="557"/>
            </w:pPr>
            <w:r>
              <w:rPr>
                <w:rFonts w:hint="eastAsia"/>
              </w:rPr>
              <w:t>4</w:t>
            </w:r>
          </w:p>
        </w:tc>
        <w:tc>
          <w:tcPr>
            <w:tcW w:w="253" w:type="pct"/>
            <w:noWrap/>
            <w:vAlign w:val="center"/>
          </w:tcPr>
          <w:p w14:paraId="49A2C940">
            <w:pPr>
              <w:pStyle w:val="557"/>
            </w:pPr>
            <w:r>
              <w:rPr>
                <w:rFonts w:hint="eastAsia"/>
              </w:rPr>
              <w:t>77-87</w:t>
            </w:r>
          </w:p>
        </w:tc>
        <w:tc>
          <w:tcPr>
            <w:tcW w:w="308" w:type="pct"/>
            <w:noWrap/>
            <w:vAlign w:val="center"/>
          </w:tcPr>
          <w:p w14:paraId="050F8873">
            <w:pPr>
              <w:pStyle w:val="557"/>
            </w:pPr>
            <w:r>
              <w:rPr>
                <w:rFonts w:hint="eastAsia"/>
              </w:rPr>
              <w:t>8000</w:t>
            </w:r>
          </w:p>
        </w:tc>
        <w:tc>
          <w:tcPr>
            <w:tcW w:w="304" w:type="pct"/>
            <w:noWrap/>
            <w:vAlign w:val="center"/>
          </w:tcPr>
          <w:p w14:paraId="3FF26258">
            <w:pPr>
              <w:pStyle w:val="557"/>
            </w:pPr>
            <w:r>
              <w:rPr>
                <w:rFonts w:hint="eastAsia"/>
              </w:rPr>
              <w:t>17</w:t>
            </w:r>
          </w:p>
        </w:tc>
        <w:tc>
          <w:tcPr>
            <w:tcW w:w="304" w:type="pct"/>
            <w:noWrap/>
            <w:vAlign w:val="center"/>
          </w:tcPr>
          <w:p w14:paraId="50B39725">
            <w:pPr>
              <w:pStyle w:val="557"/>
            </w:pPr>
            <w:r>
              <w:rPr>
                <w:rFonts w:hint="eastAsia"/>
              </w:rPr>
              <w:t>60-70</w:t>
            </w:r>
          </w:p>
        </w:tc>
        <w:tc>
          <w:tcPr>
            <w:tcW w:w="325" w:type="pct"/>
            <w:noWrap/>
            <w:vAlign w:val="center"/>
          </w:tcPr>
          <w:p w14:paraId="14BA43BB">
            <w:pPr>
              <w:pStyle w:val="557"/>
            </w:pPr>
            <w:r>
              <w:t>1</w:t>
            </w:r>
          </w:p>
        </w:tc>
      </w:tr>
      <w:tr w14:paraId="122C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4BE53460">
            <w:pPr>
              <w:pStyle w:val="557"/>
            </w:pPr>
            <w:r>
              <w:rPr>
                <w:rFonts w:hint="eastAsia"/>
              </w:rPr>
              <w:t>19</w:t>
            </w:r>
          </w:p>
        </w:tc>
        <w:tc>
          <w:tcPr>
            <w:tcW w:w="509" w:type="pct"/>
            <w:noWrap/>
            <w:vAlign w:val="center"/>
          </w:tcPr>
          <w:p w14:paraId="33172656">
            <w:pPr>
              <w:pStyle w:val="557"/>
            </w:pPr>
            <w:r>
              <w:rPr>
                <w:rFonts w:hint="eastAsia"/>
              </w:rPr>
              <w:t>空分站</w:t>
            </w:r>
          </w:p>
        </w:tc>
        <w:tc>
          <w:tcPr>
            <w:tcW w:w="762" w:type="pct"/>
            <w:noWrap/>
            <w:vAlign w:val="center"/>
          </w:tcPr>
          <w:p w14:paraId="1A267475">
            <w:pPr>
              <w:pStyle w:val="557"/>
            </w:pPr>
            <w:r>
              <w:rPr>
                <w:rFonts w:hint="eastAsia"/>
              </w:rPr>
              <w:t>风机，</w:t>
            </w:r>
            <w:r>
              <w:t>1台</w:t>
            </w:r>
          </w:p>
        </w:tc>
        <w:tc>
          <w:tcPr>
            <w:tcW w:w="326" w:type="pct"/>
            <w:noWrap/>
            <w:vAlign w:val="center"/>
          </w:tcPr>
          <w:p w14:paraId="504E5D5B">
            <w:pPr>
              <w:pStyle w:val="557"/>
            </w:pPr>
            <w:r>
              <w:t>95</w:t>
            </w:r>
          </w:p>
        </w:tc>
        <w:tc>
          <w:tcPr>
            <w:tcW w:w="741" w:type="pct"/>
            <w:noWrap/>
            <w:vAlign w:val="center"/>
          </w:tcPr>
          <w:p w14:paraId="69605661">
            <w:pPr>
              <w:pStyle w:val="557"/>
            </w:pPr>
            <w:r>
              <w:rPr>
                <w:rFonts w:hint="eastAsia"/>
              </w:rPr>
              <w:t>低噪声设备</w:t>
            </w:r>
          </w:p>
        </w:tc>
        <w:tc>
          <w:tcPr>
            <w:tcW w:w="203" w:type="pct"/>
            <w:noWrap/>
            <w:vAlign w:val="center"/>
          </w:tcPr>
          <w:p w14:paraId="2FDEBDC7">
            <w:pPr>
              <w:pStyle w:val="557"/>
            </w:pPr>
            <w:r>
              <w:rPr>
                <w:rFonts w:hint="eastAsia"/>
              </w:rPr>
              <w:t>-400</w:t>
            </w:r>
          </w:p>
        </w:tc>
        <w:tc>
          <w:tcPr>
            <w:tcW w:w="204" w:type="pct"/>
            <w:noWrap/>
            <w:vAlign w:val="center"/>
          </w:tcPr>
          <w:p w14:paraId="0F233C69">
            <w:pPr>
              <w:pStyle w:val="557"/>
            </w:pPr>
            <w:r>
              <w:rPr>
                <w:rFonts w:hint="eastAsia"/>
              </w:rPr>
              <w:t>82</w:t>
            </w:r>
          </w:p>
        </w:tc>
        <w:tc>
          <w:tcPr>
            <w:tcW w:w="266" w:type="pct"/>
            <w:noWrap/>
            <w:vAlign w:val="center"/>
          </w:tcPr>
          <w:p w14:paraId="55D135B3">
            <w:pPr>
              <w:pStyle w:val="557"/>
            </w:pPr>
            <w:r>
              <w:rPr>
                <w:rFonts w:hint="eastAsia"/>
              </w:rPr>
              <w:t>681.92</w:t>
            </w:r>
          </w:p>
        </w:tc>
        <w:tc>
          <w:tcPr>
            <w:tcW w:w="294" w:type="pct"/>
            <w:noWrap/>
            <w:vAlign w:val="center"/>
          </w:tcPr>
          <w:p w14:paraId="5605FEA6">
            <w:pPr>
              <w:pStyle w:val="557"/>
            </w:pPr>
            <w:r>
              <w:rPr>
                <w:rFonts w:hint="eastAsia"/>
              </w:rPr>
              <w:t>7</w:t>
            </w:r>
          </w:p>
        </w:tc>
        <w:tc>
          <w:tcPr>
            <w:tcW w:w="253" w:type="pct"/>
            <w:noWrap/>
            <w:vAlign w:val="center"/>
          </w:tcPr>
          <w:p w14:paraId="3F07125A">
            <w:pPr>
              <w:pStyle w:val="557"/>
            </w:pPr>
            <w:r>
              <w:rPr>
                <w:rFonts w:hint="eastAsia"/>
              </w:rPr>
              <w:t>90</w:t>
            </w:r>
          </w:p>
        </w:tc>
        <w:tc>
          <w:tcPr>
            <w:tcW w:w="308" w:type="pct"/>
            <w:noWrap/>
            <w:vAlign w:val="center"/>
          </w:tcPr>
          <w:p w14:paraId="0D57DDB1">
            <w:pPr>
              <w:pStyle w:val="557"/>
            </w:pPr>
            <w:r>
              <w:rPr>
                <w:rFonts w:hint="eastAsia"/>
              </w:rPr>
              <w:t>8000</w:t>
            </w:r>
          </w:p>
        </w:tc>
        <w:tc>
          <w:tcPr>
            <w:tcW w:w="304" w:type="pct"/>
            <w:noWrap/>
            <w:vAlign w:val="center"/>
          </w:tcPr>
          <w:p w14:paraId="7EE07E5A">
            <w:pPr>
              <w:pStyle w:val="557"/>
            </w:pPr>
            <w:r>
              <w:rPr>
                <w:rFonts w:hint="eastAsia"/>
              </w:rPr>
              <w:t>15</w:t>
            </w:r>
          </w:p>
        </w:tc>
        <w:tc>
          <w:tcPr>
            <w:tcW w:w="304" w:type="pct"/>
            <w:noWrap/>
            <w:vAlign w:val="center"/>
          </w:tcPr>
          <w:p w14:paraId="055C4599">
            <w:pPr>
              <w:pStyle w:val="557"/>
            </w:pPr>
            <w:r>
              <w:rPr>
                <w:rFonts w:hint="eastAsia"/>
              </w:rPr>
              <w:t>75</w:t>
            </w:r>
          </w:p>
        </w:tc>
        <w:tc>
          <w:tcPr>
            <w:tcW w:w="325" w:type="pct"/>
            <w:noWrap/>
            <w:vAlign w:val="center"/>
          </w:tcPr>
          <w:p w14:paraId="3FE6BEA5">
            <w:pPr>
              <w:pStyle w:val="557"/>
            </w:pPr>
            <w:r>
              <w:t>1</w:t>
            </w:r>
          </w:p>
        </w:tc>
      </w:tr>
      <w:tr w14:paraId="6885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55D1EB48">
            <w:pPr>
              <w:pStyle w:val="557"/>
            </w:pPr>
            <w:r>
              <w:rPr>
                <w:rFonts w:hint="eastAsia"/>
              </w:rPr>
              <w:t>20</w:t>
            </w:r>
          </w:p>
        </w:tc>
        <w:tc>
          <w:tcPr>
            <w:tcW w:w="509" w:type="pct"/>
            <w:noWrap/>
            <w:vAlign w:val="center"/>
          </w:tcPr>
          <w:p w14:paraId="713C0FF5">
            <w:pPr>
              <w:pStyle w:val="557"/>
            </w:pPr>
            <w:r>
              <w:rPr>
                <w:rFonts w:hint="eastAsia"/>
              </w:rPr>
              <w:t>空分站</w:t>
            </w:r>
          </w:p>
        </w:tc>
        <w:tc>
          <w:tcPr>
            <w:tcW w:w="762" w:type="pct"/>
            <w:noWrap/>
            <w:vAlign w:val="center"/>
          </w:tcPr>
          <w:p w14:paraId="283D0BF0">
            <w:pPr>
              <w:pStyle w:val="557"/>
            </w:pPr>
            <w:r>
              <w:rPr>
                <w:rFonts w:hint="eastAsia"/>
              </w:rPr>
              <w:t>空分站</w:t>
            </w:r>
            <w:r>
              <w:t>空气</w:t>
            </w:r>
            <w:r>
              <w:rPr>
                <w:rFonts w:hint="eastAsia"/>
              </w:rPr>
              <w:t>压缩机，</w:t>
            </w:r>
            <w:r>
              <w:t>1台</w:t>
            </w:r>
          </w:p>
        </w:tc>
        <w:tc>
          <w:tcPr>
            <w:tcW w:w="326" w:type="pct"/>
            <w:noWrap/>
            <w:vAlign w:val="center"/>
          </w:tcPr>
          <w:p w14:paraId="48FFB940">
            <w:pPr>
              <w:pStyle w:val="557"/>
            </w:pPr>
            <w:r>
              <w:t>95</w:t>
            </w:r>
          </w:p>
        </w:tc>
        <w:tc>
          <w:tcPr>
            <w:tcW w:w="741" w:type="pct"/>
            <w:noWrap/>
            <w:vAlign w:val="center"/>
          </w:tcPr>
          <w:p w14:paraId="15729588">
            <w:pPr>
              <w:pStyle w:val="557"/>
            </w:pPr>
            <w:r>
              <w:rPr>
                <w:rFonts w:hint="eastAsia"/>
              </w:rPr>
              <w:t>低噪声设备</w:t>
            </w:r>
          </w:p>
        </w:tc>
        <w:tc>
          <w:tcPr>
            <w:tcW w:w="203" w:type="pct"/>
            <w:noWrap/>
            <w:vAlign w:val="center"/>
          </w:tcPr>
          <w:p w14:paraId="67DF4E9B">
            <w:pPr>
              <w:pStyle w:val="557"/>
            </w:pPr>
            <w:r>
              <w:rPr>
                <w:rFonts w:hint="eastAsia"/>
              </w:rPr>
              <w:t>-414</w:t>
            </w:r>
          </w:p>
        </w:tc>
        <w:tc>
          <w:tcPr>
            <w:tcW w:w="204" w:type="pct"/>
            <w:noWrap/>
            <w:vAlign w:val="center"/>
          </w:tcPr>
          <w:p w14:paraId="7CD78618">
            <w:pPr>
              <w:pStyle w:val="557"/>
            </w:pPr>
            <w:r>
              <w:rPr>
                <w:rFonts w:hint="eastAsia"/>
              </w:rPr>
              <w:t>70</w:t>
            </w:r>
          </w:p>
        </w:tc>
        <w:tc>
          <w:tcPr>
            <w:tcW w:w="266" w:type="pct"/>
            <w:noWrap/>
            <w:vAlign w:val="center"/>
          </w:tcPr>
          <w:p w14:paraId="7340353C">
            <w:pPr>
              <w:pStyle w:val="557"/>
            </w:pPr>
            <w:r>
              <w:rPr>
                <w:rFonts w:hint="eastAsia"/>
              </w:rPr>
              <w:t>681.62</w:t>
            </w:r>
          </w:p>
        </w:tc>
        <w:tc>
          <w:tcPr>
            <w:tcW w:w="294" w:type="pct"/>
            <w:noWrap/>
            <w:vAlign w:val="center"/>
          </w:tcPr>
          <w:p w14:paraId="01473C02">
            <w:pPr>
              <w:pStyle w:val="557"/>
            </w:pPr>
            <w:r>
              <w:rPr>
                <w:rFonts w:hint="eastAsia"/>
              </w:rPr>
              <w:t>8</w:t>
            </w:r>
          </w:p>
        </w:tc>
        <w:tc>
          <w:tcPr>
            <w:tcW w:w="253" w:type="pct"/>
            <w:noWrap/>
            <w:vAlign w:val="center"/>
          </w:tcPr>
          <w:p w14:paraId="24D5B9EC">
            <w:pPr>
              <w:pStyle w:val="557"/>
            </w:pPr>
            <w:r>
              <w:rPr>
                <w:rFonts w:hint="eastAsia"/>
              </w:rPr>
              <w:t>91</w:t>
            </w:r>
          </w:p>
        </w:tc>
        <w:tc>
          <w:tcPr>
            <w:tcW w:w="308" w:type="pct"/>
            <w:noWrap/>
            <w:vAlign w:val="center"/>
          </w:tcPr>
          <w:p w14:paraId="364A581F">
            <w:pPr>
              <w:pStyle w:val="557"/>
            </w:pPr>
            <w:r>
              <w:rPr>
                <w:rFonts w:hint="eastAsia"/>
              </w:rPr>
              <w:t>8000</w:t>
            </w:r>
          </w:p>
        </w:tc>
        <w:tc>
          <w:tcPr>
            <w:tcW w:w="304" w:type="pct"/>
            <w:noWrap/>
            <w:vAlign w:val="center"/>
          </w:tcPr>
          <w:p w14:paraId="5D2363E1">
            <w:pPr>
              <w:pStyle w:val="557"/>
            </w:pPr>
            <w:r>
              <w:rPr>
                <w:rFonts w:hint="eastAsia"/>
              </w:rPr>
              <w:t>16</w:t>
            </w:r>
          </w:p>
        </w:tc>
        <w:tc>
          <w:tcPr>
            <w:tcW w:w="304" w:type="pct"/>
            <w:noWrap/>
            <w:vAlign w:val="center"/>
          </w:tcPr>
          <w:p w14:paraId="31BBA354">
            <w:pPr>
              <w:pStyle w:val="557"/>
            </w:pPr>
            <w:r>
              <w:rPr>
                <w:rFonts w:hint="eastAsia"/>
              </w:rPr>
              <w:t>75</w:t>
            </w:r>
          </w:p>
        </w:tc>
        <w:tc>
          <w:tcPr>
            <w:tcW w:w="325" w:type="pct"/>
            <w:noWrap/>
            <w:vAlign w:val="center"/>
          </w:tcPr>
          <w:p w14:paraId="06759946">
            <w:pPr>
              <w:pStyle w:val="557"/>
            </w:pPr>
            <w:r>
              <w:t>1</w:t>
            </w:r>
          </w:p>
        </w:tc>
      </w:tr>
      <w:tr w14:paraId="3067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6CF25EE0">
            <w:pPr>
              <w:pStyle w:val="557"/>
            </w:pPr>
            <w:r>
              <w:rPr>
                <w:rFonts w:hint="eastAsia"/>
              </w:rPr>
              <w:t>21</w:t>
            </w:r>
          </w:p>
        </w:tc>
        <w:tc>
          <w:tcPr>
            <w:tcW w:w="509" w:type="pct"/>
            <w:noWrap/>
            <w:vAlign w:val="center"/>
          </w:tcPr>
          <w:p w14:paraId="292EB242">
            <w:pPr>
              <w:pStyle w:val="557"/>
            </w:pPr>
            <w:r>
              <w:rPr>
                <w:rFonts w:hint="eastAsia"/>
              </w:rPr>
              <w:t>空分站</w:t>
            </w:r>
          </w:p>
        </w:tc>
        <w:tc>
          <w:tcPr>
            <w:tcW w:w="762" w:type="pct"/>
            <w:noWrap/>
            <w:vAlign w:val="center"/>
          </w:tcPr>
          <w:p w14:paraId="7F79639E">
            <w:pPr>
              <w:pStyle w:val="557"/>
            </w:pPr>
            <w:r>
              <w:rPr>
                <w:rFonts w:hint="eastAsia"/>
              </w:rPr>
              <w:t>空分站</w:t>
            </w:r>
            <w:r>
              <w:t>空气增压机</w:t>
            </w:r>
            <w:r>
              <w:rPr>
                <w:rFonts w:hint="eastAsia"/>
              </w:rPr>
              <w:t>，</w:t>
            </w:r>
            <w:r>
              <w:t>1台</w:t>
            </w:r>
          </w:p>
        </w:tc>
        <w:tc>
          <w:tcPr>
            <w:tcW w:w="326" w:type="pct"/>
            <w:noWrap/>
            <w:vAlign w:val="center"/>
          </w:tcPr>
          <w:p w14:paraId="6EEF95D6">
            <w:pPr>
              <w:pStyle w:val="557"/>
            </w:pPr>
            <w:r>
              <w:t>95</w:t>
            </w:r>
          </w:p>
        </w:tc>
        <w:tc>
          <w:tcPr>
            <w:tcW w:w="741" w:type="pct"/>
            <w:noWrap/>
            <w:vAlign w:val="center"/>
          </w:tcPr>
          <w:p w14:paraId="7854333E">
            <w:pPr>
              <w:pStyle w:val="557"/>
            </w:pPr>
            <w:r>
              <w:rPr>
                <w:rFonts w:hint="eastAsia"/>
              </w:rPr>
              <w:t>低噪声设备</w:t>
            </w:r>
          </w:p>
        </w:tc>
        <w:tc>
          <w:tcPr>
            <w:tcW w:w="203" w:type="pct"/>
            <w:noWrap/>
            <w:vAlign w:val="center"/>
          </w:tcPr>
          <w:p w14:paraId="513EBF25">
            <w:pPr>
              <w:pStyle w:val="557"/>
            </w:pPr>
            <w:r>
              <w:rPr>
                <w:rFonts w:hint="eastAsia"/>
              </w:rPr>
              <w:t>-414</w:t>
            </w:r>
          </w:p>
        </w:tc>
        <w:tc>
          <w:tcPr>
            <w:tcW w:w="204" w:type="pct"/>
            <w:noWrap/>
            <w:vAlign w:val="center"/>
          </w:tcPr>
          <w:p w14:paraId="6F37BE63">
            <w:pPr>
              <w:pStyle w:val="557"/>
            </w:pPr>
            <w:r>
              <w:rPr>
                <w:rFonts w:hint="eastAsia"/>
              </w:rPr>
              <w:t>64</w:t>
            </w:r>
          </w:p>
        </w:tc>
        <w:tc>
          <w:tcPr>
            <w:tcW w:w="266" w:type="pct"/>
            <w:noWrap/>
            <w:vAlign w:val="center"/>
          </w:tcPr>
          <w:p w14:paraId="488FD4E6">
            <w:pPr>
              <w:pStyle w:val="557"/>
            </w:pPr>
            <w:r>
              <w:rPr>
                <w:rFonts w:hint="eastAsia"/>
              </w:rPr>
              <w:t>681.64</w:t>
            </w:r>
          </w:p>
        </w:tc>
        <w:tc>
          <w:tcPr>
            <w:tcW w:w="294" w:type="pct"/>
            <w:noWrap/>
            <w:vAlign w:val="center"/>
          </w:tcPr>
          <w:p w14:paraId="50E75BFD">
            <w:pPr>
              <w:pStyle w:val="557"/>
            </w:pPr>
            <w:r>
              <w:rPr>
                <w:rFonts w:hint="eastAsia"/>
              </w:rPr>
              <w:t>8</w:t>
            </w:r>
          </w:p>
        </w:tc>
        <w:tc>
          <w:tcPr>
            <w:tcW w:w="253" w:type="pct"/>
            <w:noWrap/>
            <w:vAlign w:val="center"/>
          </w:tcPr>
          <w:p w14:paraId="56C0C9FB">
            <w:pPr>
              <w:pStyle w:val="557"/>
            </w:pPr>
            <w:r>
              <w:rPr>
                <w:rFonts w:hint="eastAsia"/>
              </w:rPr>
              <w:t>91</w:t>
            </w:r>
          </w:p>
        </w:tc>
        <w:tc>
          <w:tcPr>
            <w:tcW w:w="308" w:type="pct"/>
            <w:noWrap/>
            <w:vAlign w:val="center"/>
          </w:tcPr>
          <w:p w14:paraId="3D11908E">
            <w:pPr>
              <w:pStyle w:val="557"/>
            </w:pPr>
            <w:r>
              <w:rPr>
                <w:rFonts w:hint="eastAsia"/>
              </w:rPr>
              <w:t>8000</w:t>
            </w:r>
          </w:p>
        </w:tc>
        <w:tc>
          <w:tcPr>
            <w:tcW w:w="304" w:type="pct"/>
            <w:noWrap/>
            <w:vAlign w:val="center"/>
          </w:tcPr>
          <w:p w14:paraId="65E3606A">
            <w:pPr>
              <w:pStyle w:val="557"/>
            </w:pPr>
            <w:r>
              <w:rPr>
                <w:rFonts w:hint="eastAsia"/>
              </w:rPr>
              <w:t>16</w:t>
            </w:r>
          </w:p>
        </w:tc>
        <w:tc>
          <w:tcPr>
            <w:tcW w:w="304" w:type="pct"/>
            <w:noWrap/>
            <w:vAlign w:val="center"/>
          </w:tcPr>
          <w:p w14:paraId="5EF6B1A0">
            <w:pPr>
              <w:pStyle w:val="557"/>
            </w:pPr>
            <w:r>
              <w:rPr>
                <w:rFonts w:hint="eastAsia"/>
              </w:rPr>
              <w:t>75</w:t>
            </w:r>
          </w:p>
        </w:tc>
        <w:tc>
          <w:tcPr>
            <w:tcW w:w="325" w:type="pct"/>
            <w:noWrap/>
            <w:vAlign w:val="center"/>
          </w:tcPr>
          <w:p w14:paraId="39092F47">
            <w:pPr>
              <w:pStyle w:val="557"/>
            </w:pPr>
            <w:r>
              <w:t>1</w:t>
            </w:r>
          </w:p>
        </w:tc>
      </w:tr>
      <w:tr w14:paraId="18A0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0D27CAED">
            <w:pPr>
              <w:pStyle w:val="557"/>
            </w:pPr>
            <w:r>
              <w:rPr>
                <w:rFonts w:hint="eastAsia"/>
              </w:rPr>
              <w:t>22</w:t>
            </w:r>
          </w:p>
        </w:tc>
        <w:tc>
          <w:tcPr>
            <w:tcW w:w="509" w:type="pct"/>
            <w:noWrap/>
            <w:vAlign w:val="center"/>
          </w:tcPr>
          <w:p w14:paraId="4AA0AF27">
            <w:pPr>
              <w:pStyle w:val="557"/>
            </w:pPr>
            <w:r>
              <w:rPr>
                <w:rFonts w:hint="eastAsia"/>
              </w:rPr>
              <w:t>空分站</w:t>
            </w:r>
          </w:p>
        </w:tc>
        <w:tc>
          <w:tcPr>
            <w:tcW w:w="762" w:type="pct"/>
            <w:noWrap/>
            <w:vAlign w:val="center"/>
          </w:tcPr>
          <w:p w14:paraId="116C48D5">
            <w:pPr>
              <w:pStyle w:val="557"/>
            </w:pPr>
            <w:r>
              <w:rPr>
                <w:rFonts w:hint="eastAsia"/>
              </w:rPr>
              <w:t>空分站</w:t>
            </w:r>
            <w:r>
              <w:t>机泵</w:t>
            </w:r>
            <w:r>
              <w:rPr>
                <w:rFonts w:hint="eastAsia"/>
              </w:rPr>
              <w:t>，</w:t>
            </w:r>
            <w:r>
              <w:t>11台</w:t>
            </w:r>
          </w:p>
        </w:tc>
        <w:tc>
          <w:tcPr>
            <w:tcW w:w="326" w:type="pct"/>
            <w:noWrap/>
            <w:vAlign w:val="center"/>
          </w:tcPr>
          <w:p w14:paraId="0232C8CF">
            <w:pPr>
              <w:pStyle w:val="557"/>
            </w:pPr>
            <w:r>
              <w:t>80-90</w:t>
            </w:r>
          </w:p>
        </w:tc>
        <w:tc>
          <w:tcPr>
            <w:tcW w:w="741" w:type="pct"/>
            <w:noWrap/>
            <w:vAlign w:val="center"/>
          </w:tcPr>
          <w:p w14:paraId="714E4DDE">
            <w:pPr>
              <w:pStyle w:val="557"/>
            </w:pPr>
            <w:r>
              <w:rPr>
                <w:rFonts w:hint="eastAsia"/>
              </w:rPr>
              <w:t>低噪声电机、基础减振</w:t>
            </w:r>
          </w:p>
        </w:tc>
        <w:tc>
          <w:tcPr>
            <w:tcW w:w="203" w:type="pct"/>
            <w:noWrap/>
            <w:vAlign w:val="center"/>
          </w:tcPr>
          <w:p w14:paraId="640E1EFB">
            <w:pPr>
              <w:pStyle w:val="557"/>
            </w:pPr>
            <w:r>
              <w:rPr>
                <w:rFonts w:hint="eastAsia"/>
              </w:rPr>
              <w:t>-180</w:t>
            </w:r>
          </w:p>
        </w:tc>
        <w:tc>
          <w:tcPr>
            <w:tcW w:w="204" w:type="pct"/>
            <w:noWrap/>
            <w:vAlign w:val="center"/>
          </w:tcPr>
          <w:p w14:paraId="0CC77228">
            <w:pPr>
              <w:pStyle w:val="557"/>
            </w:pPr>
            <w:r>
              <w:rPr>
                <w:rFonts w:hint="eastAsia"/>
              </w:rPr>
              <w:t>76</w:t>
            </w:r>
          </w:p>
        </w:tc>
        <w:tc>
          <w:tcPr>
            <w:tcW w:w="266" w:type="pct"/>
            <w:noWrap/>
            <w:vAlign w:val="center"/>
          </w:tcPr>
          <w:p w14:paraId="5A731C61">
            <w:pPr>
              <w:pStyle w:val="557"/>
            </w:pPr>
            <w:r>
              <w:rPr>
                <w:rFonts w:hint="eastAsia"/>
              </w:rPr>
              <w:t>681.29</w:t>
            </w:r>
          </w:p>
        </w:tc>
        <w:tc>
          <w:tcPr>
            <w:tcW w:w="294" w:type="pct"/>
            <w:noWrap/>
            <w:vAlign w:val="center"/>
          </w:tcPr>
          <w:p w14:paraId="0D14A9C1">
            <w:pPr>
              <w:pStyle w:val="557"/>
            </w:pPr>
            <w:r>
              <w:rPr>
                <w:rFonts w:hint="eastAsia"/>
              </w:rPr>
              <w:t>4</w:t>
            </w:r>
          </w:p>
        </w:tc>
        <w:tc>
          <w:tcPr>
            <w:tcW w:w="253" w:type="pct"/>
            <w:noWrap/>
            <w:vAlign w:val="center"/>
          </w:tcPr>
          <w:p w14:paraId="6CC115E5">
            <w:pPr>
              <w:pStyle w:val="557"/>
            </w:pPr>
            <w:r>
              <w:rPr>
                <w:rFonts w:hint="eastAsia"/>
              </w:rPr>
              <w:t>77-87</w:t>
            </w:r>
          </w:p>
        </w:tc>
        <w:tc>
          <w:tcPr>
            <w:tcW w:w="308" w:type="pct"/>
            <w:noWrap/>
            <w:vAlign w:val="center"/>
          </w:tcPr>
          <w:p w14:paraId="4671E8A7">
            <w:pPr>
              <w:pStyle w:val="557"/>
            </w:pPr>
            <w:r>
              <w:rPr>
                <w:rFonts w:hint="eastAsia"/>
              </w:rPr>
              <w:t>8000</w:t>
            </w:r>
          </w:p>
        </w:tc>
        <w:tc>
          <w:tcPr>
            <w:tcW w:w="304" w:type="pct"/>
            <w:noWrap/>
            <w:vAlign w:val="center"/>
          </w:tcPr>
          <w:p w14:paraId="1AF72F41">
            <w:pPr>
              <w:pStyle w:val="557"/>
            </w:pPr>
            <w:r>
              <w:rPr>
                <w:rFonts w:hint="eastAsia"/>
              </w:rPr>
              <w:t>17</w:t>
            </w:r>
          </w:p>
        </w:tc>
        <w:tc>
          <w:tcPr>
            <w:tcW w:w="304" w:type="pct"/>
            <w:noWrap/>
            <w:vAlign w:val="center"/>
          </w:tcPr>
          <w:p w14:paraId="17DC8943">
            <w:pPr>
              <w:pStyle w:val="557"/>
            </w:pPr>
            <w:r>
              <w:rPr>
                <w:rFonts w:hint="eastAsia"/>
              </w:rPr>
              <w:t>60-70</w:t>
            </w:r>
          </w:p>
        </w:tc>
        <w:tc>
          <w:tcPr>
            <w:tcW w:w="325" w:type="pct"/>
            <w:noWrap/>
            <w:vAlign w:val="center"/>
          </w:tcPr>
          <w:p w14:paraId="028A8F1C">
            <w:pPr>
              <w:pStyle w:val="557"/>
            </w:pPr>
            <w:r>
              <w:t>1</w:t>
            </w:r>
          </w:p>
        </w:tc>
      </w:tr>
      <w:tr w14:paraId="3447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6B34660A">
            <w:pPr>
              <w:pStyle w:val="557"/>
            </w:pPr>
            <w:r>
              <w:rPr>
                <w:rFonts w:hint="eastAsia"/>
              </w:rPr>
              <w:t>23</w:t>
            </w:r>
          </w:p>
        </w:tc>
        <w:tc>
          <w:tcPr>
            <w:tcW w:w="509" w:type="pct"/>
            <w:noWrap/>
            <w:vAlign w:val="center"/>
          </w:tcPr>
          <w:p w14:paraId="543B89F0">
            <w:pPr>
              <w:pStyle w:val="557"/>
            </w:pPr>
            <w:r>
              <w:rPr>
                <w:rFonts w:hint="eastAsia"/>
              </w:rPr>
              <w:t>制冷站</w:t>
            </w:r>
          </w:p>
        </w:tc>
        <w:tc>
          <w:tcPr>
            <w:tcW w:w="762" w:type="pct"/>
            <w:noWrap/>
            <w:vAlign w:val="center"/>
          </w:tcPr>
          <w:p w14:paraId="0B27A338">
            <w:pPr>
              <w:pStyle w:val="557"/>
            </w:pPr>
            <w:r>
              <w:t>机泵</w:t>
            </w:r>
            <w:r>
              <w:rPr>
                <w:rFonts w:hint="eastAsia"/>
              </w:rPr>
              <w:t>，19台</w:t>
            </w:r>
          </w:p>
        </w:tc>
        <w:tc>
          <w:tcPr>
            <w:tcW w:w="326" w:type="pct"/>
            <w:noWrap/>
            <w:vAlign w:val="center"/>
          </w:tcPr>
          <w:p w14:paraId="0AAD4575">
            <w:pPr>
              <w:pStyle w:val="557"/>
            </w:pPr>
            <w:r>
              <w:t>80-90</w:t>
            </w:r>
          </w:p>
        </w:tc>
        <w:tc>
          <w:tcPr>
            <w:tcW w:w="741" w:type="pct"/>
            <w:noWrap/>
            <w:vAlign w:val="center"/>
          </w:tcPr>
          <w:p w14:paraId="344E5021">
            <w:pPr>
              <w:pStyle w:val="557"/>
            </w:pPr>
            <w:r>
              <w:rPr>
                <w:rFonts w:hint="eastAsia"/>
              </w:rPr>
              <w:t>低噪声电机、基础减振</w:t>
            </w:r>
          </w:p>
        </w:tc>
        <w:tc>
          <w:tcPr>
            <w:tcW w:w="203" w:type="pct"/>
            <w:noWrap/>
            <w:vAlign w:val="center"/>
          </w:tcPr>
          <w:p w14:paraId="3B64C56D">
            <w:pPr>
              <w:pStyle w:val="557"/>
            </w:pPr>
            <w:r>
              <w:rPr>
                <w:rFonts w:hint="eastAsia"/>
              </w:rPr>
              <w:t>-520</w:t>
            </w:r>
          </w:p>
        </w:tc>
        <w:tc>
          <w:tcPr>
            <w:tcW w:w="204" w:type="pct"/>
            <w:noWrap/>
            <w:vAlign w:val="center"/>
          </w:tcPr>
          <w:p w14:paraId="23F6AC5C">
            <w:pPr>
              <w:pStyle w:val="557"/>
            </w:pPr>
            <w:r>
              <w:rPr>
                <w:rFonts w:hint="eastAsia"/>
              </w:rPr>
              <w:t>-150</w:t>
            </w:r>
          </w:p>
        </w:tc>
        <w:tc>
          <w:tcPr>
            <w:tcW w:w="266" w:type="pct"/>
            <w:noWrap/>
            <w:vAlign w:val="center"/>
          </w:tcPr>
          <w:p w14:paraId="493EFD05">
            <w:pPr>
              <w:pStyle w:val="557"/>
            </w:pPr>
            <w:r>
              <w:rPr>
                <w:rFonts w:hint="eastAsia"/>
              </w:rPr>
              <w:t>687.59</w:t>
            </w:r>
          </w:p>
        </w:tc>
        <w:tc>
          <w:tcPr>
            <w:tcW w:w="294" w:type="pct"/>
            <w:noWrap/>
            <w:vAlign w:val="center"/>
          </w:tcPr>
          <w:p w14:paraId="107D7A1E">
            <w:pPr>
              <w:pStyle w:val="557"/>
            </w:pPr>
            <w:r>
              <w:rPr>
                <w:rFonts w:hint="eastAsia"/>
              </w:rPr>
              <w:t>4</w:t>
            </w:r>
          </w:p>
        </w:tc>
        <w:tc>
          <w:tcPr>
            <w:tcW w:w="253" w:type="pct"/>
            <w:noWrap/>
            <w:vAlign w:val="center"/>
          </w:tcPr>
          <w:p w14:paraId="38C28772">
            <w:pPr>
              <w:pStyle w:val="557"/>
            </w:pPr>
            <w:r>
              <w:rPr>
                <w:rFonts w:hint="eastAsia"/>
              </w:rPr>
              <w:t>77-87</w:t>
            </w:r>
          </w:p>
        </w:tc>
        <w:tc>
          <w:tcPr>
            <w:tcW w:w="308" w:type="pct"/>
            <w:noWrap/>
            <w:vAlign w:val="center"/>
          </w:tcPr>
          <w:p w14:paraId="19D3033F">
            <w:pPr>
              <w:pStyle w:val="557"/>
            </w:pPr>
            <w:r>
              <w:rPr>
                <w:rFonts w:hint="eastAsia"/>
              </w:rPr>
              <w:t>8000</w:t>
            </w:r>
          </w:p>
        </w:tc>
        <w:tc>
          <w:tcPr>
            <w:tcW w:w="304" w:type="pct"/>
            <w:noWrap/>
            <w:vAlign w:val="center"/>
          </w:tcPr>
          <w:p w14:paraId="4F3051C4">
            <w:pPr>
              <w:pStyle w:val="557"/>
            </w:pPr>
            <w:r>
              <w:rPr>
                <w:rFonts w:hint="eastAsia"/>
              </w:rPr>
              <w:t>17</w:t>
            </w:r>
          </w:p>
        </w:tc>
        <w:tc>
          <w:tcPr>
            <w:tcW w:w="304" w:type="pct"/>
            <w:noWrap/>
            <w:vAlign w:val="center"/>
          </w:tcPr>
          <w:p w14:paraId="0BBDA9CB">
            <w:pPr>
              <w:pStyle w:val="557"/>
            </w:pPr>
            <w:r>
              <w:rPr>
                <w:rFonts w:hint="eastAsia"/>
              </w:rPr>
              <w:t>60-70</w:t>
            </w:r>
          </w:p>
        </w:tc>
        <w:tc>
          <w:tcPr>
            <w:tcW w:w="325" w:type="pct"/>
            <w:noWrap/>
            <w:vAlign w:val="center"/>
          </w:tcPr>
          <w:p w14:paraId="06277F35">
            <w:pPr>
              <w:pStyle w:val="557"/>
            </w:pPr>
            <w:r>
              <w:t>1</w:t>
            </w:r>
          </w:p>
        </w:tc>
      </w:tr>
      <w:tr w14:paraId="6F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3E92BBF4">
            <w:pPr>
              <w:pStyle w:val="557"/>
            </w:pPr>
            <w:r>
              <w:rPr>
                <w:rFonts w:hint="eastAsia"/>
              </w:rPr>
              <w:t>24</w:t>
            </w:r>
          </w:p>
        </w:tc>
        <w:tc>
          <w:tcPr>
            <w:tcW w:w="509" w:type="pct"/>
            <w:noWrap/>
            <w:vAlign w:val="center"/>
          </w:tcPr>
          <w:p w14:paraId="1E415B21">
            <w:pPr>
              <w:pStyle w:val="557"/>
            </w:pPr>
            <w:r>
              <w:rPr>
                <w:rFonts w:hint="eastAsia"/>
              </w:rPr>
              <w:t>制冷站</w:t>
            </w:r>
          </w:p>
        </w:tc>
        <w:tc>
          <w:tcPr>
            <w:tcW w:w="762" w:type="pct"/>
            <w:noWrap/>
            <w:vAlign w:val="center"/>
          </w:tcPr>
          <w:p w14:paraId="4C51D283">
            <w:pPr>
              <w:pStyle w:val="557"/>
            </w:pPr>
            <w:r>
              <w:rPr>
                <w:rFonts w:hint="eastAsia"/>
              </w:rPr>
              <w:t>压缩机，1台</w:t>
            </w:r>
          </w:p>
        </w:tc>
        <w:tc>
          <w:tcPr>
            <w:tcW w:w="326" w:type="pct"/>
            <w:noWrap/>
            <w:vAlign w:val="center"/>
          </w:tcPr>
          <w:p w14:paraId="7A05B70A">
            <w:pPr>
              <w:pStyle w:val="557"/>
            </w:pPr>
            <w:r>
              <w:t>95</w:t>
            </w:r>
          </w:p>
        </w:tc>
        <w:tc>
          <w:tcPr>
            <w:tcW w:w="741" w:type="pct"/>
            <w:noWrap/>
            <w:vAlign w:val="center"/>
          </w:tcPr>
          <w:p w14:paraId="484BF777">
            <w:pPr>
              <w:pStyle w:val="557"/>
            </w:pPr>
            <w:r>
              <w:rPr>
                <w:rFonts w:hint="eastAsia"/>
              </w:rPr>
              <w:t>低噪声设备</w:t>
            </w:r>
          </w:p>
        </w:tc>
        <w:tc>
          <w:tcPr>
            <w:tcW w:w="203" w:type="pct"/>
            <w:noWrap/>
            <w:vAlign w:val="center"/>
          </w:tcPr>
          <w:p w14:paraId="25615B63">
            <w:pPr>
              <w:pStyle w:val="557"/>
            </w:pPr>
            <w:r>
              <w:rPr>
                <w:rFonts w:hint="eastAsia"/>
              </w:rPr>
              <w:t>-525</w:t>
            </w:r>
          </w:p>
        </w:tc>
        <w:tc>
          <w:tcPr>
            <w:tcW w:w="204" w:type="pct"/>
            <w:noWrap/>
            <w:vAlign w:val="center"/>
          </w:tcPr>
          <w:p w14:paraId="22FB9F90">
            <w:pPr>
              <w:pStyle w:val="557"/>
            </w:pPr>
            <w:r>
              <w:rPr>
                <w:rFonts w:hint="eastAsia"/>
              </w:rPr>
              <w:t>-140</w:t>
            </w:r>
          </w:p>
        </w:tc>
        <w:tc>
          <w:tcPr>
            <w:tcW w:w="266" w:type="pct"/>
            <w:noWrap/>
            <w:vAlign w:val="center"/>
          </w:tcPr>
          <w:p w14:paraId="2A250C70">
            <w:pPr>
              <w:pStyle w:val="557"/>
            </w:pPr>
            <w:r>
              <w:rPr>
                <w:rFonts w:hint="eastAsia"/>
              </w:rPr>
              <w:t>687.29</w:t>
            </w:r>
          </w:p>
        </w:tc>
        <w:tc>
          <w:tcPr>
            <w:tcW w:w="294" w:type="pct"/>
            <w:noWrap/>
            <w:vAlign w:val="center"/>
          </w:tcPr>
          <w:p w14:paraId="6A5AF635">
            <w:pPr>
              <w:pStyle w:val="557"/>
            </w:pPr>
            <w:r>
              <w:rPr>
                <w:rFonts w:hint="eastAsia"/>
              </w:rPr>
              <w:t>8</w:t>
            </w:r>
          </w:p>
        </w:tc>
        <w:tc>
          <w:tcPr>
            <w:tcW w:w="253" w:type="pct"/>
            <w:noWrap/>
            <w:vAlign w:val="center"/>
          </w:tcPr>
          <w:p w14:paraId="3EA44112">
            <w:pPr>
              <w:pStyle w:val="557"/>
            </w:pPr>
            <w:r>
              <w:rPr>
                <w:rFonts w:hint="eastAsia"/>
              </w:rPr>
              <w:t>91</w:t>
            </w:r>
          </w:p>
        </w:tc>
        <w:tc>
          <w:tcPr>
            <w:tcW w:w="308" w:type="pct"/>
            <w:noWrap/>
            <w:vAlign w:val="center"/>
          </w:tcPr>
          <w:p w14:paraId="3E612602">
            <w:pPr>
              <w:pStyle w:val="557"/>
            </w:pPr>
            <w:r>
              <w:rPr>
                <w:rFonts w:hint="eastAsia"/>
              </w:rPr>
              <w:t>8000</w:t>
            </w:r>
          </w:p>
        </w:tc>
        <w:tc>
          <w:tcPr>
            <w:tcW w:w="304" w:type="pct"/>
            <w:noWrap/>
            <w:vAlign w:val="center"/>
          </w:tcPr>
          <w:p w14:paraId="2FFBE5BB">
            <w:pPr>
              <w:pStyle w:val="557"/>
            </w:pPr>
            <w:r>
              <w:rPr>
                <w:rFonts w:hint="eastAsia"/>
              </w:rPr>
              <w:t>16</w:t>
            </w:r>
          </w:p>
        </w:tc>
        <w:tc>
          <w:tcPr>
            <w:tcW w:w="304" w:type="pct"/>
            <w:noWrap/>
            <w:vAlign w:val="center"/>
          </w:tcPr>
          <w:p w14:paraId="6DA909F4">
            <w:pPr>
              <w:pStyle w:val="557"/>
            </w:pPr>
            <w:r>
              <w:rPr>
                <w:rFonts w:hint="eastAsia"/>
              </w:rPr>
              <w:t>75</w:t>
            </w:r>
          </w:p>
        </w:tc>
        <w:tc>
          <w:tcPr>
            <w:tcW w:w="325" w:type="pct"/>
            <w:noWrap/>
            <w:vAlign w:val="center"/>
          </w:tcPr>
          <w:p w14:paraId="08EFB960">
            <w:pPr>
              <w:pStyle w:val="557"/>
            </w:pPr>
            <w:r>
              <w:t>1</w:t>
            </w:r>
          </w:p>
        </w:tc>
      </w:tr>
      <w:tr w14:paraId="6CA7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1" w:type="pct"/>
            <w:noWrap/>
            <w:vAlign w:val="center"/>
          </w:tcPr>
          <w:p w14:paraId="7EA99CE2">
            <w:pPr>
              <w:pStyle w:val="557"/>
            </w:pPr>
            <w:r>
              <w:rPr>
                <w:rFonts w:hint="eastAsia"/>
              </w:rPr>
              <w:t>25</w:t>
            </w:r>
          </w:p>
        </w:tc>
        <w:tc>
          <w:tcPr>
            <w:tcW w:w="509" w:type="pct"/>
            <w:noWrap/>
            <w:vAlign w:val="center"/>
          </w:tcPr>
          <w:p w14:paraId="4BF485CF">
            <w:pPr>
              <w:pStyle w:val="557"/>
            </w:pPr>
            <w:r>
              <w:rPr>
                <w:rFonts w:hint="eastAsia"/>
              </w:rPr>
              <w:t>储运系统</w:t>
            </w:r>
          </w:p>
        </w:tc>
        <w:tc>
          <w:tcPr>
            <w:tcW w:w="762" w:type="pct"/>
            <w:noWrap/>
            <w:vAlign w:val="center"/>
          </w:tcPr>
          <w:p w14:paraId="7EBE2BD7">
            <w:pPr>
              <w:pStyle w:val="557"/>
            </w:pPr>
            <w:r>
              <w:t>机泵</w:t>
            </w:r>
            <w:r>
              <w:rPr>
                <w:rFonts w:hint="eastAsia"/>
              </w:rPr>
              <w:t>，8</w:t>
            </w:r>
            <w:r>
              <w:t>台</w:t>
            </w:r>
          </w:p>
        </w:tc>
        <w:tc>
          <w:tcPr>
            <w:tcW w:w="326" w:type="pct"/>
            <w:noWrap/>
            <w:vAlign w:val="center"/>
          </w:tcPr>
          <w:p w14:paraId="60A4C88C">
            <w:pPr>
              <w:pStyle w:val="557"/>
            </w:pPr>
            <w:r>
              <w:t>75~80</w:t>
            </w:r>
          </w:p>
        </w:tc>
        <w:tc>
          <w:tcPr>
            <w:tcW w:w="741" w:type="pct"/>
            <w:noWrap/>
            <w:vAlign w:val="center"/>
          </w:tcPr>
          <w:p w14:paraId="2CAE7D00">
            <w:pPr>
              <w:pStyle w:val="557"/>
            </w:pPr>
            <w:r>
              <w:rPr>
                <w:rFonts w:hint="eastAsia"/>
              </w:rPr>
              <w:t>基础减振</w:t>
            </w:r>
          </w:p>
        </w:tc>
        <w:tc>
          <w:tcPr>
            <w:tcW w:w="203" w:type="pct"/>
            <w:noWrap/>
            <w:vAlign w:val="center"/>
          </w:tcPr>
          <w:p w14:paraId="3CFE302F">
            <w:pPr>
              <w:pStyle w:val="557"/>
            </w:pPr>
            <w:r>
              <w:rPr>
                <w:rFonts w:hint="eastAsia"/>
              </w:rPr>
              <w:t>-220</w:t>
            </w:r>
          </w:p>
        </w:tc>
        <w:tc>
          <w:tcPr>
            <w:tcW w:w="204" w:type="pct"/>
            <w:noWrap/>
            <w:vAlign w:val="center"/>
          </w:tcPr>
          <w:p w14:paraId="7E8B43FA">
            <w:pPr>
              <w:pStyle w:val="557"/>
            </w:pPr>
            <w:r>
              <w:rPr>
                <w:rFonts w:hint="eastAsia"/>
              </w:rPr>
              <w:t>95</w:t>
            </w:r>
          </w:p>
        </w:tc>
        <w:tc>
          <w:tcPr>
            <w:tcW w:w="266" w:type="pct"/>
            <w:noWrap/>
            <w:vAlign w:val="center"/>
          </w:tcPr>
          <w:p w14:paraId="3FBBC3E8">
            <w:pPr>
              <w:pStyle w:val="557"/>
            </w:pPr>
            <w:r>
              <w:rPr>
                <w:rFonts w:hint="eastAsia"/>
              </w:rPr>
              <w:t>686.88</w:t>
            </w:r>
          </w:p>
        </w:tc>
        <w:tc>
          <w:tcPr>
            <w:tcW w:w="294" w:type="pct"/>
            <w:noWrap/>
            <w:vAlign w:val="center"/>
          </w:tcPr>
          <w:p w14:paraId="21577F50">
            <w:pPr>
              <w:pStyle w:val="557"/>
            </w:pPr>
            <w:r>
              <w:rPr>
                <w:rFonts w:hint="eastAsia"/>
              </w:rPr>
              <w:t>8</w:t>
            </w:r>
          </w:p>
        </w:tc>
        <w:tc>
          <w:tcPr>
            <w:tcW w:w="253" w:type="pct"/>
            <w:noWrap/>
            <w:vAlign w:val="center"/>
          </w:tcPr>
          <w:p w14:paraId="34BBE659">
            <w:pPr>
              <w:pStyle w:val="557"/>
            </w:pPr>
            <w:r>
              <w:rPr>
                <w:rFonts w:hint="eastAsia"/>
              </w:rPr>
              <w:t>77-87</w:t>
            </w:r>
          </w:p>
        </w:tc>
        <w:tc>
          <w:tcPr>
            <w:tcW w:w="308" w:type="pct"/>
            <w:noWrap/>
            <w:vAlign w:val="center"/>
          </w:tcPr>
          <w:p w14:paraId="2780A658">
            <w:pPr>
              <w:pStyle w:val="557"/>
            </w:pPr>
            <w:r>
              <w:rPr>
                <w:rFonts w:hint="eastAsia"/>
              </w:rPr>
              <w:t>8000</w:t>
            </w:r>
          </w:p>
        </w:tc>
        <w:tc>
          <w:tcPr>
            <w:tcW w:w="304" w:type="pct"/>
            <w:noWrap/>
            <w:vAlign w:val="center"/>
          </w:tcPr>
          <w:p w14:paraId="0D7A58C9">
            <w:pPr>
              <w:pStyle w:val="557"/>
            </w:pPr>
            <w:r>
              <w:rPr>
                <w:rFonts w:hint="eastAsia"/>
              </w:rPr>
              <w:t>17</w:t>
            </w:r>
          </w:p>
        </w:tc>
        <w:tc>
          <w:tcPr>
            <w:tcW w:w="304" w:type="pct"/>
            <w:noWrap/>
            <w:vAlign w:val="center"/>
          </w:tcPr>
          <w:p w14:paraId="29ACD031">
            <w:pPr>
              <w:pStyle w:val="557"/>
            </w:pPr>
            <w:r>
              <w:rPr>
                <w:rFonts w:hint="eastAsia"/>
              </w:rPr>
              <w:t>60-70</w:t>
            </w:r>
          </w:p>
        </w:tc>
        <w:tc>
          <w:tcPr>
            <w:tcW w:w="325" w:type="pct"/>
            <w:noWrap/>
            <w:vAlign w:val="center"/>
          </w:tcPr>
          <w:p w14:paraId="65BBB1FA">
            <w:pPr>
              <w:pStyle w:val="557"/>
            </w:pPr>
            <w:r>
              <w:t>1</w:t>
            </w:r>
          </w:p>
        </w:tc>
      </w:tr>
    </w:tbl>
    <w:p w14:paraId="7A15377D">
      <w:pPr>
        <w:spacing w:line="360" w:lineRule="auto"/>
        <w:ind w:firstLine="482" w:firstLineChars="200"/>
        <w:jc w:val="center"/>
        <w:rPr>
          <w:rFonts w:hint="eastAsia" w:ascii="黑体" w:hAnsi="黑体" w:eastAsia="黑体"/>
          <w:b/>
        </w:rPr>
      </w:pPr>
    </w:p>
    <w:p w14:paraId="1AFEA96D">
      <w:pPr>
        <w:spacing w:line="360" w:lineRule="auto"/>
        <w:ind w:firstLine="482" w:firstLineChars="200"/>
        <w:jc w:val="center"/>
        <w:rPr>
          <w:rFonts w:hint="eastAsia" w:ascii="黑体" w:hAnsi="黑体" w:eastAsia="黑体"/>
          <w:b/>
        </w:rPr>
      </w:pPr>
    </w:p>
    <w:p w14:paraId="36B68D8B">
      <w:pPr>
        <w:pStyle w:val="557"/>
        <w:sectPr>
          <w:pgSz w:w="16838" w:h="11906" w:orient="landscape"/>
          <w:pgMar w:top="1800" w:right="1440" w:bottom="1800" w:left="1440" w:header="851" w:footer="850" w:gutter="0"/>
          <w:cols w:space="425" w:num="1"/>
          <w:docGrid w:type="lines" w:linePitch="326" w:charSpace="0"/>
        </w:sectPr>
      </w:pPr>
    </w:p>
    <w:p w14:paraId="1460EA43">
      <w:pPr>
        <w:pStyle w:val="97"/>
        <w:rPr>
          <w:rFonts w:hint="eastAsia"/>
        </w:rPr>
      </w:pPr>
      <w:r>
        <w:t>预测模式</w:t>
      </w:r>
    </w:p>
    <w:p w14:paraId="6507BADE">
      <w:pPr>
        <w:pStyle w:val="104"/>
        <w:ind w:firstLine="512"/>
        <w:rPr>
          <w:rFonts w:hint="eastAsia" w:ascii="Times New Roman"/>
        </w:rPr>
      </w:pPr>
      <w:r>
        <w:rPr>
          <w:rFonts w:ascii="Times New Roman"/>
        </w:rPr>
        <w:t>采用《环境影响评价技术导则－声环境》</w:t>
      </w:r>
      <w:r>
        <w:rPr>
          <w:rFonts w:hint="eastAsia" w:ascii="Times New Roman"/>
        </w:rPr>
        <w:t>（</w:t>
      </w:r>
      <w:r>
        <w:rPr>
          <w:rFonts w:ascii="Times New Roman"/>
        </w:rPr>
        <w:t>HJ2.4</w:t>
      </w:r>
      <w:r>
        <w:rPr>
          <w:rFonts w:hint="eastAsia" w:ascii="Times New Roman"/>
        </w:rPr>
        <w:t>-</w:t>
      </w:r>
      <w:r>
        <w:rPr>
          <w:rFonts w:ascii="Times New Roman"/>
        </w:rPr>
        <w:t>2021</w:t>
      </w:r>
      <w:r>
        <w:rPr>
          <w:rFonts w:hint="eastAsia" w:ascii="Times New Roman"/>
        </w:rPr>
        <w:t>）</w:t>
      </w:r>
      <w:r>
        <w:rPr>
          <w:rFonts w:ascii="Times New Roman"/>
        </w:rPr>
        <w:t>中的工业噪声预测模式。本次预测模式不考虑雨、雪、雾和温度梯度等因素，以保证未来实际噪声环境较预测结果优越。</w:t>
      </w:r>
    </w:p>
    <w:p w14:paraId="7498CF21">
      <w:pPr>
        <w:spacing w:line="360" w:lineRule="auto"/>
        <w:ind w:firstLine="480" w:firstLineChars="200"/>
        <w:rPr>
          <w:rFonts w:hint="eastAsia"/>
        </w:rPr>
      </w:pPr>
      <w:r>
        <w:t>（1）室外声源</w:t>
      </w:r>
    </w:p>
    <w:p w14:paraId="254F2831">
      <w:pPr>
        <w:spacing w:line="360" w:lineRule="auto"/>
        <w:jc w:val="center"/>
        <w:rPr>
          <w:rFonts w:hint="eastAsia"/>
        </w:rPr>
      </w:pPr>
      <w:r>
        <w:rPr>
          <w:position w:val="-14"/>
        </w:rPr>
        <w:object>
          <v:shape id="_x0000_i1032" o:spt="75" type="#_x0000_t75" style="height:21.75pt;width:165.75pt;" o:ole="t" filled="f" o:preferrelative="t" stroked="f" coordsize="21600,21600">
            <v:path/>
            <v:fill on="f" focussize="0,0"/>
            <v:stroke on="f" joinstyle="miter"/>
            <v:imagedata r:id="rId47" o:title=""/>
            <o:lock v:ext="edit" aspectratio="t"/>
            <w10:wrap type="none"/>
            <w10:anchorlock/>
          </v:shape>
          <o:OLEObject Type="Embed" ProgID="Equation.DSMT4" ShapeID="_x0000_i1032" DrawAspect="Content" ObjectID="_1468075732" r:id="rId46">
            <o:LockedField>false</o:LockedField>
          </o:OLEObject>
        </w:object>
      </w:r>
    </w:p>
    <w:p w14:paraId="68C5955F">
      <w:pPr>
        <w:spacing w:line="360" w:lineRule="auto"/>
        <w:ind w:firstLine="480" w:firstLineChars="200"/>
        <w:rPr>
          <w:rFonts w:ascii="Times New Roman" w:hAnsi="Times New Roman" w:cs="Times New Roman"/>
          <w:szCs w:val="21"/>
        </w:rPr>
      </w:pPr>
      <w:r>
        <w:rPr>
          <w:rFonts w:ascii="Times New Roman" w:hAnsi="Times New Roman" w:cs="Times New Roman"/>
        </w:rPr>
        <w:t>式中：</w:t>
      </w:r>
      <w:r>
        <w:rPr>
          <w:rFonts w:ascii="Times New Roman" w:hAnsi="Times New Roman" w:cs="Times New Roman"/>
          <w:position w:val="-14"/>
          <w:szCs w:val="21"/>
        </w:rPr>
        <w:object>
          <v:shape id="_x0000_i1033" o:spt="75" type="#_x0000_t75" style="height:14.25pt;width:28.5pt;" o:ole="t" filled="f" o:preferrelative="t" stroked="f" coordsize="21600,21600">
            <v:path/>
            <v:fill on="f" focussize="0,0"/>
            <v:stroke on="f" joinstyle="miter"/>
            <v:imagedata r:id="rId49" o:title=""/>
            <o:lock v:ext="edit" aspectratio="t"/>
            <w10:wrap type="none"/>
            <w10:anchorlock/>
          </v:shape>
          <o:OLEObject Type="Embed" ProgID="Equation.DSMT4" ShapeID="_x0000_i1033" DrawAspect="Content" ObjectID="_1468075733" r:id="rId48">
            <o:LockedField>false</o:LockedField>
          </o:OLEObject>
        </w:object>
      </w:r>
      <w:r>
        <w:rPr>
          <w:rFonts w:ascii="Times New Roman" w:hAnsi="Times New Roman" w:cs="Times New Roman"/>
          <w:szCs w:val="21"/>
        </w:rPr>
        <w:t>—噪声源在预测点的声压级，dB(A)；</w:t>
      </w:r>
    </w:p>
    <w:p w14:paraId="7F0058D7">
      <w:pPr>
        <w:spacing w:line="360" w:lineRule="auto"/>
        <w:ind w:firstLine="1200" w:firstLineChars="500"/>
        <w:rPr>
          <w:rFonts w:ascii="Times New Roman" w:hAnsi="Times New Roman" w:cs="Times New Roman"/>
          <w:szCs w:val="21"/>
        </w:rPr>
      </w:pPr>
      <w:r>
        <w:rPr>
          <w:rFonts w:ascii="Times New Roman" w:hAnsi="Times New Roman" w:cs="Times New Roman"/>
          <w:position w:val="-14"/>
          <w:szCs w:val="21"/>
        </w:rPr>
        <w:object>
          <v:shape id="_x0000_i1034" o:spt="75" type="#_x0000_t75" style="height:14.25pt;width:36pt;" o:ole="t" filled="f" o:preferrelative="t" stroked="f" coordsize="21600,21600">
            <v:path/>
            <v:fill on="f" focussize="0,0"/>
            <v:stroke on="f" joinstyle="miter"/>
            <v:imagedata r:id="rId51" o:title=""/>
            <o:lock v:ext="edit" aspectratio="t"/>
            <w10:wrap type="none"/>
            <w10:anchorlock/>
          </v:shape>
          <o:OLEObject Type="Embed" ProgID="Equation.DSMT4" ShapeID="_x0000_i1034" DrawAspect="Content" ObjectID="_1468075734" r:id="rId50">
            <o:LockedField>false</o:LockedField>
          </o:OLEObject>
        </w:object>
      </w:r>
      <w:r>
        <w:rPr>
          <w:rFonts w:ascii="Times New Roman" w:hAnsi="Times New Roman" w:cs="Times New Roman"/>
          <w:szCs w:val="21"/>
        </w:rPr>
        <w:t>—参考位置</w:t>
      </w:r>
      <w:r>
        <w:rPr>
          <w:rFonts w:ascii="Times New Roman" w:hAnsi="Times New Roman" w:cs="Times New Roman"/>
          <w:position w:val="-12"/>
          <w:szCs w:val="21"/>
        </w:rPr>
        <w:object>
          <v:shape id="_x0000_i1035" o:spt="75" type="#_x0000_t75" style="height:21.75pt;width:14.25pt;" o:ole="t" filled="f" o:preferrelative="t" stroked="f" coordsize="21600,21600">
            <v:path/>
            <v:fill on="f" focussize="0,0"/>
            <v:stroke on="f" joinstyle="miter"/>
            <v:imagedata r:id="rId53" o:title=""/>
            <o:lock v:ext="edit" aspectratio="t"/>
            <w10:wrap type="none"/>
            <w10:anchorlock/>
          </v:shape>
          <o:OLEObject Type="Embed" ProgID="Equation.DSMT4" ShapeID="_x0000_i1035" DrawAspect="Content" ObjectID="_1468075735" r:id="rId52">
            <o:LockedField>false</o:LockedField>
          </o:OLEObject>
        </w:object>
      </w:r>
      <w:r>
        <w:rPr>
          <w:rFonts w:ascii="Times New Roman" w:hAnsi="Times New Roman" w:cs="Times New Roman"/>
          <w:szCs w:val="21"/>
        </w:rPr>
        <w:t>处的声压级，dB(A)；</w:t>
      </w:r>
    </w:p>
    <w:p w14:paraId="4B5D2F8F">
      <w:pPr>
        <w:spacing w:line="360" w:lineRule="auto"/>
        <w:ind w:firstLine="1200" w:firstLineChars="500"/>
        <w:rPr>
          <w:rFonts w:ascii="Times New Roman" w:hAnsi="Times New Roman" w:cs="Times New Roman"/>
          <w:szCs w:val="21"/>
        </w:rPr>
      </w:pPr>
      <w:r>
        <w:rPr>
          <w:rFonts w:ascii="Times New Roman" w:hAnsi="Times New Roman" w:cs="Times New Roman"/>
          <w:position w:val="-12"/>
          <w:szCs w:val="21"/>
        </w:rPr>
        <w:object>
          <v:shape id="_x0000_i1036" o:spt="75" type="#_x0000_t75" style="height:21.75pt;width:14.25pt;" o:ole="t" filled="f" o:preferrelative="t" stroked="f" coordsize="21600,21600">
            <v:path/>
            <v:fill on="f" focussize="0,0"/>
            <v:stroke on="f" joinstyle="miter"/>
            <v:imagedata r:id="rId53" o:title=""/>
            <o:lock v:ext="edit" aspectratio="t"/>
            <w10:wrap type="none"/>
            <w10:anchorlock/>
          </v:shape>
          <o:OLEObject Type="Embed" ProgID="Equation.DSMT4" ShapeID="_x0000_i1036" DrawAspect="Content" ObjectID="_1468075736" r:id="rId54">
            <o:LockedField>false</o:LockedField>
          </o:OLEObject>
        </w:object>
      </w:r>
      <w:r>
        <w:rPr>
          <w:rFonts w:ascii="Times New Roman" w:hAnsi="Times New Roman" w:cs="Times New Roman"/>
          <w:szCs w:val="21"/>
        </w:rPr>
        <w:t>—参考位置距声源中心的位置，m；</w:t>
      </w:r>
    </w:p>
    <w:p w14:paraId="50F659BD">
      <w:pPr>
        <w:spacing w:line="360" w:lineRule="auto"/>
        <w:ind w:firstLine="1200" w:firstLineChars="500"/>
        <w:rPr>
          <w:rFonts w:ascii="Times New Roman" w:hAnsi="Times New Roman" w:cs="Times New Roman"/>
          <w:szCs w:val="21"/>
        </w:rPr>
      </w:pPr>
      <w:r>
        <w:rPr>
          <w:rFonts w:ascii="Times New Roman" w:hAnsi="Times New Roman" w:cs="Times New Roman"/>
          <w:position w:val="-4"/>
          <w:szCs w:val="21"/>
        </w:rPr>
        <w:object>
          <v:shape id="_x0000_i1037" o:spt="75" type="#_x0000_t75" style="height:14.25pt;width:14.25pt;" o:ole="t" filled="f" o:preferrelative="t" stroked="f" coordsize="21600,21600">
            <v:path/>
            <v:fill on="f" focussize="0,0"/>
            <v:stroke on="f" joinstyle="miter"/>
            <v:imagedata r:id="rId56" o:title=""/>
            <o:lock v:ext="edit" aspectratio="t"/>
            <w10:wrap type="none"/>
            <w10:anchorlock/>
          </v:shape>
          <o:OLEObject Type="Embed" ProgID="Equation.DSMT4" ShapeID="_x0000_i1037" DrawAspect="Content" ObjectID="_1468075737" r:id="rId55">
            <o:LockedField>false</o:LockedField>
          </o:OLEObject>
        </w:object>
      </w:r>
      <w:r>
        <w:rPr>
          <w:rFonts w:ascii="Times New Roman" w:hAnsi="Times New Roman" w:cs="Times New Roman"/>
          <w:szCs w:val="21"/>
        </w:rPr>
        <w:t>—声源中心至预测点的距离，m；</w:t>
      </w:r>
    </w:p>
    <w:p w14:paraId="15DD8ADE">
      <w:pPr>
        <w:spacing w:line="360" w:lineRule="auto"/>
        <w:ind w:firstLine="1200" w:firstLineChars="500"/>
        <w:rPr>
          <w:rFonts w:ascii="Times New Roman" w:hAnsi="Times New Roman" w:cs="Times New Roman"/>
          <w:szCs w:val="21"/>
        </w:rPr>
      </w:pPr>
      <w:r>
        <w:rPr>
          <w:rFonts w:ascii="Times New Roman" w:hAnsi="Times New Roman" w:cs="Times New Roman"/>
          <w:position w:val="-4"/>
          <w:szCs w:val="21"/>
        </w:rPr>
        <w:object>
          <v:shape id="_x0000_i1038" o:spt="75" type="#_x0000_t75" style="height:14.25pt;width:21.75pt;" o:ole="t" filled="f" o:preferrelative="t" stroked="f" coordsize="21600,21600">
            <v:path/>
            <v:fill on="f" focussize="0,0"/>
            <v:stroke on="f" joinstyle="miter"/>
            <v:imagedata r:id="rId58" o:title=""/>
            <o:lock v:ext="edit" aspectratio="t"/>
            <w10:wrap type="none"/>
            <w10:anchorlock/>
          </v:shape>
          <o:OLEObject Type="Embed" ProgID="Equation.DSMT4" ShapeID="_x0000_i1038" DrawAspect="Content" ObjectID="_1468075738" r:id="rId57">
            <o:LockedField>false</o:LockedField>
          </o:OLEObject>
        </w:object>
      </w:r>
      <w:r>
        <w:rPr>
          <w:rFonts w:ascii="Times New Roman" w:hAnsi="Times New Roman" w:cs="Times New Roman"/>
          <w:szCs w:val="21"/>
        </w:rPr>
        <w:t>—各种因素引起的声衰减量（如声屏障，遮挡物，空气吸收，地面吸收等引起的声衰减），dB(A)。</w:t>
      </w:r>
    </w:p>
    <w:p w14:paraId="6F252D01">
      <w:pPr>
        <w:spacing w:line="360" w:lineRule="auto"/>
        <w:ind w:firstLine="480" w:firstLineChars="200"/>
        <w:rPr>
          <w:rFonts w:ascii="Times New Roman" w:hAnsi="Times New Roman" w:cs="Times New Roman"/>
        </w:rPr>
      </w:pPr>
      <w:r>
        <w:rPr>
          <w:rFonts w:ascii="Times New Roman" w:hAnsi="Times New Roman" w:cs="Times New Roman"/>
        </w:rPr>
        <w:t>（2）室内声源</w:t>
      </w:r>
    </w:p>
    <w:p w14:paraId="003C6EB6">
      <w:pPr>
        <w:spacing w:line="360" w:lineRule="auto"/>
        <w:ind w:firstLine="480" w:firstLineChars="200"/>
        <w:rPr>
          <w:rFonts w:ascii="Times New Roman" w:hAnsi="Times New Roman" w:cs="Times New Roman"/>
        </w:rPr>
      </w:pPr>
      <w:r>
        <w:rPr>
          <w:rFonts w:ascii="Times New Roman" w:hAnsi="Times New Roman" w:cs="Times New Roman"/>
        </w:rPr>
        <w:t>A.车间室内声源靠近围护结构处产生的声压级：</w:t>
      </w:r>
    </w:p>
    <w:p w14:paraId="296FEC99">
      <w:pPr>
        <w:spacing w:line="360" w:lineRule="auto"/>
        <w:jc w:val="center"/>
        <w:rPr>
          <w:rFonts w:ascii="Times New Roman" w:hAnsi="Times New Roman" w:cs="Times New Roman"/>
        </w:rPr>
      </w:pPr>
      <w:r>
        <w:rPr>
          <w:rFonts w:ascii="Times New Roman" w:hAnsi="Times New Roman" w:cs="Times New Roman"/>
          <w:position w:val="-32"/>
        </w:rPr>
        <w:object>
          <v:shape id="_x0000_i1039" o:spt="75" type="#_x0000_t75" style="height:36pt;width:129.75pt;" o:ole="t" filled="f" o:preferrelative="t" stroked="f" coordsize="21600,21600">
            <v:path/>
            <v:fill on="f" focussize="0,0"/>
            <v:stroke on="f" joinstyle="miter"/>
            <v:imagedata r:id="rId60" o:title=""/>
            <o:lock v:ext="edit" aspectratio="t"/>
            <w10:wrap type="none"/>
            <w10:anchorlock/>
          </v:shape>
          <o:OLEObject Type="Embed" ProgID="Equation.3" ShapeID="_x0000_i1039" DrawAspect="Content" ObjectID="_1468075739" r:id="rId59">
            <o:LockedField>false</o:LockedField>
          </o:OLEObject>
        </w:object>
      </w:r>
    </w:p>
    <w:p w14:paraId="45D47111">
      <w:pPr>
        <w:spacing w:line="360" w:lineRule="auto"/>
        <w:ind w:firstLine="480" w:firstLineChars="200"/>
        <w:rPr>
          <w:rFonts w:ascii="Times New Roman" w:hAnsi="Times New Roman" w:cs="Times New Roman"/>
          <w:sz w:val="21"/>
          <w:szCs w:val="21"/>
        </w:rPr>
      </w:pPr>
      <w:r>
        <w:rPr>
          <w:rFonts w:ascii="Times New Roman" w:hAnsi="Times New Roman" w:cs="Times New Roman"/>
        </w:rPr>
        <w:t>式中</w:t>
      </w:r>
      <w:r>
        <w:rPr>
          <w:rFonts w:ascii="Times New Roman" w:hAnsi="Times New Roman" w:cs="Times New Roman"/>
          <w:sz w:val="21"/>
          <w:szCs w:val="21"/>
        </w:rPr>
        <w:t>：</w:t>
      </w:r>
      <w:r>
        <w:rPr>
          <w:rFonts w:hint="eastAsia" w:ascii="Times New Roman" w:hAnsi="Times New Roman" w:cs="Times New Roman"/>
          <w:sz w:val="21"/>
          <w:szCs w:val="21"/>
        </w:rPr>
        <w:t>Q</w:t>
      </w:r>
      <w:r>
        <w:rPr>
          <w:rFonts w:ascii="Times New Roman" w:hAnsi="Times New Roman" w:cs="Times New Roman"/>
          <w:sz w:val="21"/>
          <w:szCs w:val="21"/>
        </w:rPr>
        <w:t>—指向性因子；</w:t>
      </w:r>
    </w:p>
    <w:p w14:paraId="020265FB">
      <w:pPr>
        <w:spacing w:line="360" w:lineRule="auto"/>
        <w:ind w:firstLine="1260" w:firstLineChars="600"/>
        <w:rPr>
          <w:rFonts w:ascii="Times New Roman" w:hAnsi="Times New Roman" w:cs="Times New Roman"/>
          <w:sz w:val="21"/>
          <w:szCs w:val="21"/>
        </w:rPr>
      </w:pPr>
      <w:r>
        <w:rPr>
          <w:rFonts w:ascii="Times New Roman" w:hAnsi="Times New Roman" w:cs="Times New Roman"/>
          <w:sz w:val="21"/>
          <w:szCs w:val="21"/>
        </w:rPr>
        <w:t>L</w:t>
      </w:r>
      <w:r>
        <w:rPr>
          <w:rFonts w:ascii="Times New Roman" w:hAnsi="Times New Roman" w:cs="Times New Roman"/>
          <w:sz w:val="21"/>
          <w:szCs w:val="21"/>
          <w:vertAlign w:val="subscript"/>
        </w:rPr>
        <w:t>W</w:t>
      </w:r>
      <w:r>
        <w:rPr>
          <w:rFonts w:ascii="Times New Roman" w:hAnsi="Times New Roman" w:cs="Times New Roman"/>
          <w:sz w:val="21"/>
          <w:szCs w:val="21"/>
        </w:rPr>
        <w:t>—室内声源声功率级，dB；</w:t>
      </w:r>
    </w:p>
    <w:p w14:paraId="310F08A1">
      <w:pPr>
        <w:spacing w:line="360" w:lineRule="auto"/>
        <w:ind w:firstLine="1260" w:firstLineChars="600"/>
        <w:rPr>
          <w:rFonts w:ascii="Times New Roman" w:hAnsi="Times New Roman" w:cs="Times New Roman"/>
          <w:sz w:val="21"/>
          <w:szCs w:val="21"/>
        </w:rPr>
      </w:pPr>
      <w:r>
        <w:rPr>
          <w:rFonts w:hint="eastAsia" w:ascii="Times New Roman" w:hAnsi="Times New Roman" w:cs="Times New Roman"/>
          <w:sz w:val="21"/>
          <w:szCs w:val="21"/>
        </w:rPr>
        <w:t>R</w:t>
      </w:r>
      <w:r>
        <w:rPr>
          <w:rFonts w:ascii="Times New Roman" w:hAnsi="Times New Roman" w:cs="Times New Roman"/>
          <w:sz w:val="21"/>
          <w:szCs w:val="21"/>
        </w:rPr>
        <w:t>—房间常数；</w:t>
      </w:r>
    </w:p>
    <w:p w14:paraId="28CAD60B">
      <w:pPr>
        <w:spacing w:line="360" w:lineRule="auto"/>
        <w:ind w:firstLine="1260" w:firstLineChars="600"/>
        <w:rPr>
          <w:rFonts w:ascii="Times New Roman" w:hAnsi="Times New Roman" w:cs="Times New Roman"/>
          <w:sz w:val="21"/>
          <w:szCs w:val="21"/>
        </w:rPr>
      </w:pPr>
      <w:r>
        <w:rPr>
          <w:rFonts w:ascii="Times New Roman" w:hAnsi="Times New Roman" w:cs="Times New Roman"/>
          <w:position w:val="-12"/>
          <w:sz w:val="21"/>
          <w:szCs w:val="21"/>
        </w:rPr>
        <w:object>
          <v:shape id="_x0000_i1040" o:spt="75" type="#_x0000_t75" style="height:21.75pt;width:14.25pt;" o:ole="t" filled="f" o:preferrelative="t" stroked="f" coordsize="21600,21600">
            <v:path/>
            <v:fill on="f" focussize="0,0"/>
            <v:stroke on="f" joinstyle="miter"/>
            <v:imagedata r:id="rId62" o:title=""/>
            <o:lock v:ext="edit" aspectratio="t"/>
            <w10:wrap type="none"/>
            <w10:anchorlock/>
          </v:shape>
          <o:OLEObject Type="Embed" ProgID="Equation.DSMT4" ShapeID="_x0000_i1040" DrawAspect="Content" ObjectID="_1468075740" r:id="rId61">
            <o:LockedField>false</o:LockedField>
          </o:OLEObject>
        </w:object>
      </w:r>
      <w:r>
        <w:rPr>
          <w:rFonts w:ascii="Times New Roman" w:hAnsi="Times New Roman" w:cs="Times New Roman"/>
          <w:sz w:val="21"/>
          <w:szCs w:val="21"/>
        </w:rPr>
        <w:t>—声源到靠近围护结构某点处的距离，m。</w:t>
      </w:r>
    </w:p>
    <w:p w14:paraId="08822E67">
      <w:pPr>
        <w:tabs>
          <w:tab w:val="left" w:pos="284"/>
          <w:tab w:val="left" w:pos="426"/>
        </w:tabs>
        <w:spacing w:line="360" w:lineRule="auto"/>
        <w:ind w:firstLine="480" w:firstLineChars="200"/>
        <w:rPr>
          <w:rFonts w:ascii="Times New Roman" w:hAnsi="Times New Roman" w:cs="Times New Roman"/>
        </w:rPr>
      </w:pPr>
      <w:r>
        <w:rPr>
          <w:rFonts w:ascii="Times New Roman" w:hAnsi="Times New Roman" w:cs="Times New Roman"/>
        </w:rPr>
        <w:t>B. 计算所有室内声源在围护结构处产生的叠加声压级：</w:t>
      </w:r>
    </w:p>
    <w:p w14:paraId="053AE70F">
      <w:pPr>
        <w:spacing w:line="360" w:lineRule="auto"/>
        <w:jc w:val="center"/>
        <w:rPr>
          <w:rFonts w:ascii="Times New Roman" w:hAnsi="Times New Roman" w:cs="Times New Roman"/>
        </w:rPr>
      </w:pPr>
      <w:r>
        <w:rPr>
          <w:rFonts w:ascii="Times New Roman" w:hAnsi="Times New Roman" w:cs="Times New Roman"/>
          <w:position w:val="-30"/>
        </w:rPr>
        <w:object>
          <v:shape id="_x0000_i1041" o:spt="75" type="#_x0000_t75" style="height:36pt;width:122.25pt;" o:ole="t" filled="f" o:preferrelative="t" stroked="f" coordsize="21600,21600">
            <v:path/>
            <v:fill on="f" focussize="0,0"/>
            <v:stroke on="f" joinstyle="miter"/>
            <v:imagedata r:id="rId64" o:title=""/>
            <o:lock v:ext="edit" aspectratio="t"/>
            <w10:wrap type="none"/>
            <w10:anchorlock/>
          </v:shape>
          <o:OLEObject Type="Embed" ProgID="Equation.3" ShapeID="_x0000_i1041" DrawAspect="Content" ObjectID="_1468075741" r:id="rId63">
            <o:LockedField>false</o:LockedField>
          </o:OLEObject>
        </w:object>
      </w:r>
    </w:p>
    <w:p w14:paraId="3FBEE26C">
      <w:pPr>
        <w:spacing w:line="360" w:lineRule="auto"/>
        <w:ind w:firstLine="616" w:firstLineChars="257"/>
        <w:rPr>
          <w:rFonts w:ascii="Times New Roman" w:hAnsi="Times New Roman" w:cs="Times New Roman"/>
          <w:szCs w:val="21"/>
        </w:rPr>
      </w:pPr>
      <w:r>
        <w:rPr>
          <w:rFonts w:ascii="Times New Roman" w:hAnsi="Times New Roman" w:cs="Times New Roman"/>
        </w:rPr>
        <w:t>式中：</w:t>
      </w:r>
      <w:r>
        <w:rPr>
          <w:rFonts w:ascii="Times New Roman" w:hAnsi="Times New Roman" w:cs="Times New Roman"/>
          <w:szCs w:val="21"/>
        </w:rPr>
        <w:t>L</w:t>
      </w:r>
      <w:r>
        <w:rPr>
          <w:rFonts w:ascii="Times New Roman" w:hAnsi="Times New Roman" w:cs="Times New Roman"/>
          <w:szCs w:val="21"/>
          <w:vertAlign w:val="subscript"/>
        </w:rPr>
        <w:t>p1</w:t>
      </w:r>
      <w:r>
        <w:rPr>
          <w:rFonts w:ascii="Times New Roman" w:hAnsi="Times New Roman" w:cs="Times New Roman"/>
          <w:szCs w:val="21"/>
        </w:rPr>
        <w:t>(T)—靠近围护结构处室内N个声源的叠加声压级，dB；</w:t>
      </w:r>
    </w:p>
    <w:p w14:paraId="19011703">
      <w:pPr>
        <w:spacing w:line="360" w:lineRule="auto"/>
        <w:ind w:firstLine="1473" w:firstLineChars="614"/>
        <w:rPr>
          <w:rFonts w:ascii="Times New Roman" w:hAnsi="Times New Roman" w:cs="Times New Roman"/>
          <w:szCs w:val="21"/>
        </w:rPr>
      </w:pPr>
      <w:r>
        <w:rPr>
          <w:rFonts w:ascii="Times New Roman" w:hAnsi="Times New Roman" w:cs="Times New Roman"/>
          <w:szCs w:val="21"/>
        </w:rPr>
        <w:t>L</w:t>
      </w:r>
      <w:r>
        <w:rPr>
          <w:rFonts w:ascii="Times New Roman" w:hAnsi="Times New Roman" w:cs="Times New Roman"/>
          <w:szCs w:val="21"/>
          <w:vertAlign w:val="subscript"/>
        </w:rPr>
        <w:t>p1j</w:t>
      </w:r>
      <w:r>
        <w:rPr>
          <w:rFonts w:ascii="Times New Roman" w:hAnsi="Times New Roman" w:cs="Times New Roman"/>
          <w:szCs w:val="21"/>
        </w:rPr>
        <w:t>(T)—室内j声源声压级，dB；</w:t>
      </w:r>
    </w:p>
    <w:p w14:paraId="59DC9665">
      <w:pPr>
        <w:spacing w:line="360" w:lineRule="auto"/>
        <w:ind w:firstLine="1473" w:firstLineChars="614"/>
        <w:rPr>
          <w:rFonts w:ascii="Times New Roman" w:hAnsi="Times New Roman" w:cs="Times New Roman"/>
          <w:szCs w:val="21"/>
        </w:rPr>
      </w:pPr>
      <w:r>
        <w:rPr>
          <w:rFonts w:ascii="Times New Roman" w:hAnsi="Times New Roman" w:cs="Times New Roman"/>
          <w:szCs w:val="21"/>
        </w:rPr>
        <w:t>N—室内声源总数。</w:t>
      </w:r>
    </w:p>
    <w:p w14:paraId="7E828564">
      <w:pPr>
        <w:spacing w:line="360" w:lineRule="auto"/>
        <w:ind w:firstLine="600" w:firstLineChars="250"/>
        <w:rPr>
          <w:rFonts w:ascii="Times New Roman" w:hAnsi="Times New Roman" w:cs="Times New Roman"/>
        </w:rPr>
      </w:pPr>
      <w:r>
        <w:rPr>
          <w:rFonts w:ascii="Times New Roman" w:hAnsi="Times New Roman" w:cs="Times New Roman"/>
        </w:rPr>
        <w:t>C.计算靠近室外</w:t>
      </w:r>
      <w:r>
        <w:rPr>
          <w:rFonts w:hint="eastAsia" w:ascii="Times New Roman" w:hAnsi="Times New Roman" w:cs="Times New Roman"/>
        </w:rPr>
        <w:t>围护结构</w:t>
      </w:r>
      <w:r>
        <w:rPr>
          <w:rFonts w:ascii="Times New Roman" w:hAnsi="Times New Roman" w:cs="Times New Roman"/>
        </w:rPr>
        <w:t>处的声压级：</w:t>
      </w:r>
    </w:p>
    <w:p w14:paraId="70445253">
      <w:pPr>
        <w:spacing w:line="360" w:lineRule="auto"/>
        <w:jc w:val="center"/>
        <w:rPr>
          <w:rFonts w:ascii="Times New Roman" w:hAnsi="Times New Roman" w:cs="Times New Roman"/>
        </w:rPr>
      </w:pPr>
      <w:r>
        <w:rPr>
          <w:rFonts w:ascii="Times New Roman" w:hAnsi="Times New Roman" w:cs="Times New Roman"/>
          <w:position w:val="-14"/>
        </w:rPr>
        <w:object>
          <v:shape id="_x0000_i1042" o:spt="75" type="#_x0000_t75" style="height:21.75pt;width:129.75pt;" o:ole="t" filled="f" o:preferrelative="t" stroked="f" coordsize="21600,21600">
            <v:path/>
            <v:fill on="f" focussize="0,0"/>
            <v:stroke on="f" joinstyle="miter"/>
            <v:imagedata r:id="rId66" o:title=""/>
            <o:lock v:ext="edit" aspectratio="t"/>
            <w10:wrap type="none"/>
            <w10:anchorlock/>
          </v:shape>
          <o:OLEObject Type="Embed" ProgID="Equation.3" ShapeID="_x0000_i1042" DrawAspect="Content" ObjectID="_1468075742" r:id="rId65">
            <o:LockedField>false</o:LockedField>
          </o:OLEObject>
        </w:object>
      </w:r>
    </w:p>
    <w:p w14:paraId="081723E1">
      <w:pPr>
        <w:spacing w:line="360" w:lineRule="auto"/>
        <w:ind w:firstLine="720" w:firstLineChars="300"/>
        <w:rPr>
          <w:rFonts w:ascii="Times New Roman" w:hAnsi="Times New Roman" w:cs="Times New Roman"/>
          <w:sz w:val="21"/>
          <w:szCs w:val="21"/>
        </w:rPr>
      </w:pPr>
      <w:r>
        <w:rPr>
          <w:rFonts w:ascii="Times New Roman" w:hAnsi="Times New Roman" w:cs="Times New Roman"/>
        </w:rPr>
        <w:t>式中：</w:t>
      </w:r>
      <w:r>
        <w:rPr>
          <w:rFonts w:ascii="Times New Roman" w:hAnsi="Times New Roman" w:cs="Times New Roman"/>
          <w:sz w:val="21"/>
          <w:szCs w:val="21"/>
        </w:rPr>
        <w:t>L</w:t>
      </w:r>
      <w:r>
        <w:rPr>
          <w:rFonts w:ascii="Times New Roman" w:hAnsi="Times New Roman" w:cs="Times New Roman"/>
          <w:sz w:val="21"/>
          <w:szCs w:val="21"/>
          <w:vertAlign w:val="subscript"/>
        </w:rPr>
        <w:t>p2i</w:t>
      </w:r>
      <w:r>
        <w:rPr>
          <w:rFonts w:ascii="Times New Roman" w:hAnsi="Times New Roman" w:cs="Times New Roman"/>
          <w:sz w:val="21"/>
          <w:szCs w:val="21"/>
        </w:rPr>
        <w:t>(T)—靠近围护结构处室内N个声源的叠加声压级，dB；</w:t>
      </w:r>
    </w:p>
    <w:p w14:paraId="7AC82D9A">
      <w:pPr>
        <w:spacing w:line="360" w:lineRule="auto"/>
        <w:ind w:firstLine="1499" w:firstLineChars="714"/>
        <w:rPr>
          <w:rFonts w:ascii="Times New Roman" w:hAnsi="Times New Roman" w:cs="Times New Roman"/>
          <w:sz w:val="21"/>
          <w:szCs w:val="21"/>
        </w:rPr>
      </w:pPr>
      <w:r>
        <w:rPr>
          <w:rFonts w:ascii="Times New Roman" w:hAnsi="Times New Roman" w:cs="Times New Roman"/>
          <w:sz w:val="21"/>
          <w:szCs w:val="21"/>
        </w:rPr>
        <w:t>TL—围护结构的隔声量，dB；</w:t>
      </w:r>
    </w:p>
    <w:p w14:paraId="6C8A55FE">
      <w:pPr>
        <w:spacing w:line="360" w:lineRule="auto"/>
        <w:ind w:firstLine="600" w:firstLineChars="250"/>
        <w:rPr>
          <w:rFonts w:ascii="Times New Roman" w:hAnsi="Times New Roman" w:cs="Times New Roman"/>
        </w:rPr>
      </w:pPr>
      <w:r>
        <w:rPr>
          <w:rFonts w:ascii="Times New Roman" w:hAnsi="Times New Roman" w:cs="Times New Roman"/>
        </w:rPr>
        <w:t>D.将室外声源的声压级和透过面积换算成等效的室外声源，计算中心位置位于透声面积处的等效声源的声功率级：</w:t>
      </w:r>
    </w:p>
    <w:p w14:paraId="1211E497">
      <w:pPr>
        <w:spacing w:line="360" w:lineRule="auto"/>
        <w:jc w:val="center"/>
        <w:rPr>
          <w:rFonts w:ascii="Times New Roman" w:hAnsi="Times New Roman" w:cs="Times New Roman"/>
        </w:rPr>
      </w:pPr>
      <w:r>
        <w:rPr>
          <w:rFonts w:ascii="Times New Roman" w:hAnsi="Times New Roman" w:cs="Times New Roman"/>
          <w:position w:val="-12"/>
        </w:rPr>
        <w:object>
          <v:shape id="_x0000_i1043" o:spt="75" type="#_x0000_t75" style="height:21.75pt;width:108pt;" o:ole="t" filled="f" o:preferrelative="t" stroked="f" coordsize="21600,21600">
            <v:path/>
            <v:fill on="f" focussize="0,0"/>
            <v:stroke on="f" joinstyle="miter"/>
            <v:imagedata r:id="rId68" o:title=""/>
            <o:lock v:ext="edit" aspectratio="t"/>
            <w10:wrap type="none"/>
            <w10:anchorlock/>
          </v:shape>
          <o:OLEObject Type="Embed" ProgID="Equation.3" ShapeID="_x0000_i1043" DrawAspect="Content" ObjectID="_1468075743" r:id="rId67">
            <o:LockedField>false</o:LockedField>
          </o:OLEObject>
        </w:object>
      </w:r>
    </w:p>
    <w:p w14:paraId="537B3D4F">
      <w:pPr>
        <w:spacing w:line="360" w:lineRule="auto"/>
        <w:ind w:firstLine="600" w:firstLineChars="250"/>
        <w:rPr>
          <w:rFonts w:ascii="Times New Roman" w:hAnsi="Times New Roman" w:cs="Times New Roman"/>
        </w:rPr>
      </w:pPr>
      <w:r>
        <w:rPr>
          <w:rFonts w:ascii="Times New Roman" w:hAnsi="Times New Roman" w:cs="Times New Roman"/>
        </w:rPr>
        <w:t>E.按室外声源预测方法计算预测点处的声压级。</w:t>
      </w:r>
    </w:p>
    <w:p w14:paraId="39EBF257">
      <w:pPr>
        <w:spacing w:line="360" w:lineRule="auto"/>
        <w:jc w:val="center"/>
        <w:rPr>
          <w:rFonts w:ascii="Times New Roman" w:hAnsi="Times New Roman" w:cs="Times New Roman"/>
        </w:rPr>
      </w:pPr>
      <w:r>
        <w:rPr>
          <w:rFonts w:ascii="Times New Roman" w:hAnsi="Times New Roman" w:cs="Times New Roman"/>
          <w:position w:val="-14"/>
        </w:rPr>
        <w:object>
          <v:shape id="_x0000_i1044" o:spt="75" type="#_x0000_t75" style="height:21.75pt;width:136.5pt;" o:ole="t" filled="f" o:preferrelative="t" stroked="f" coordsize="21600,21600">
            <v:path/>
            <v:fill on="f" focussize="0,0"/>
            <v:stroke on="f" joinstyle="miter"/>
            <v:imagedata r:id="rId70" o:title=""/>
            <o:lock v:ext="edit" aspectratio="t"/>
            <w10:wrap type="none"/>
            <w10:anchorlock/>
          </v:shape>
          <o:OLEObject Type="Embed" ProgID="Equation.DSMT4" ShapeID="_x0000_i1044" DrawAspect="Content" ObjectID="_1468075744" r:id="rId69">
            <o:LockedField>false</o:LockedField>
          </o:OLEObject>
        </w:object>
      </w:r>
    </w:p>
    <w:p w14:paraId="2BBCCA00">
      <w:pPr>
        <w:spacing w:line="360" w:lineRule="auto"/>
        <w:ind w:firstLine="600" w:firstLineChars="250"/>
        <w:rPr>
          <w:rFonts w:ascii="Times New Roman" w:hAnsi="Times New Roman" w:cs="Times New Roman"/>
        </w:rPr>
      </w:pPr>
      <w:r>
        <w:rPr>
          <w:rFonts w:ascii="Times New Roman" w:hAnsi="Times New Roman" w:cs="Times New Roman"/>
        </w:rPr>
        <w:t>F. 如预测点在靠近声源处，但不能满足声源条件时，需按线声源或面声源模式计算。</w:t>
      </w:r>
    </w:p>
    <w:p w14:paraId="049E260A">
      <w:pPr>
        <w:spacing w:line="360" w:lineRule="auto"/>
        <w:ind w:firstLine="480" w:firstLineChars="200"/>
        <w:rPr>
          <w:rFonts w:ascii="Times New Roman" w:hAnsi="Times New Roman" w:cs="Times New Roman"/>
        </w:rPr>
      </w:pPr>
      <w:r>
        <w:rPr>
          <w:rFonts w:ascii="Times New Roman" w:hAnsi="Times New Roman" w:cs="Times New Roman"/>
        </w:rPr>
        <w:t>（3）总声压级</w:t>
      </w:r>
    </w:p>
    <w:p w14:paraId="4225FE69">
      <w:pPr>
        <w:spacing w:line="360" w:lineRule="auto"/>
        <w:jc w:val="center"/>
        <w:rPr>
          <w:rFonts w:ascii="Times New Roman" w:hAnsi="Times New Roman" w:cs="Times New Roman"/>
        </w:rPr>
      </w:pPr>
      <w:r>
        <w:rPr>
          <w:rFonts w:ascii="Times New Roman" w:hAnsi="Times New Roman" w:cs="Times New Roman"/>
          <w:position w:val="-30"/>
        </w:rPr>
        <w:object>
          <v:shape id="_x0000_i1045" o:spt="75" type="#_x0000_t75" style="height:36pt;width:244.5pt;" o:ole="t" filled="f" o:preferrelative="t" stroked="f" coordsize="21600,21600">
            <v:path/>
            <v:fill on="f" focussize="0,0"/>
            <v:stroke on="f" joinstyle="miter"/>
            <v:imagedata r:id="rId72" o:title=""/>
            <o:lock v:ext="edit" aspectratio="t"/>
            <w10:wrap type="none"/>
            <w10:anchorlock/>
          </v:shape>
          <o:OLEObject Type="Embed" ProgID="Equation.DSMT4" ShapeID="_x0000_i1045" DrawAspect="Content" ObjectID="_1468075745" r:id="rId71">
            <o:LockedField>false</o:LockedField>
          </o:OLEObject>
        </w:object>
      </w:r>
    </w:p>
    <w:p w14:paraId="469DE580">
      <w:pPr>
        <w:spacing w:line="360" w:lineRule="auto"/>
        <w:ind w:firstLine="660" w:firstLineChars="275"/>
        <w:rPr>
          <w:rFonts w:ascii="Times New Roman" w:hAnsi="Times New Roman" w:cs="Times New Roman"/>
          <w:sz w:val="21"/>
          <w:szCs w:val="21"/>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sz w:val="21"/>
          <w:szCs w:val="21"/>
        </w:rPr>
        <w:t xml:space="preserve"> T为计算等效声级的时间；</w:t>
      </w:r>
    </w:p>
    <w:p w14:paraId="327A33CC">
      <w:pPr>
        <w:spacing w:line="360" w:lineRule="auto"/>
        <w:ind w:firstLine="1260" w:firstLineChars="600"/>
        <w:rPr>
          <w:rFonts w:ascii="Times New Roman" w:hAnsi="Times New Roman" w:cs="Times New Roman"/>
          <w:sz w:val="21"/>
          <w:szCs w:val="21"/>
        </w:rPr>
      </w:pPr>
      <w:r>
        <w:rPr>
          <w:rFonts w:ascii="Times New Roman" w:hAnsi="Times New Roman" w:cs="Times New Roman"/>
          <w:sz w:val="21"/>
          <w:szCs w:val="21"/>
        </w:rPr>
        <w:t>M为室外声源个数；N为室内声源个数；</w:t>
      </w:r>
    </w:p>
    <w:p w14:paraId="1521D9DA">
      <w:pPr>
        <w:spacing w:line="360" w:lineRule="auto"/>
        <w:ind w:firstLine="1260" w:firstLineChars="600"/>
        <w:rPr>
          <w:rFonts w:ascii="Times New Roman" w:hAnsi="Times New Roman" w:cs="Times New Roman"/>
          <w:sz w:val="21"/>
          <w:szCs w:val="21"/>
        </w:rPr>
      </w:pPr>
      <w:r>
        <w:rPr>
          <w:rFonts w:ascii="Times New Roman" w:hAnsi="Times New Roman" w:cs="Times New Roman"/>
          <w:position w:val="-14"/>
          <w:sz w:val="21"/>
          <w:szCs w:val="21"/>
        </w:rPr>
        <w:object>
          <v:shape id="_x0000_i1046" o:spt="75" type="#_x0000_t75" style="height:14.25pt;width:21.75pt;" o:ole="t" filled="f" o:preferrelative="t" stroked="f" coordsize="21600,21600">
            <v:path/>
            <v:fill on="f" focussize="0,0"/>
            <v:stroke on="f" joinstyle="miter"/>
            <v:imagedata r:id="rId74" o:title=""/>
            <o:lock v:ext="edit" aspectratio="t"/>
            <w10:wrap type="none"/>
            <w10:anchorlock/>
          </v:shape>
          <o:OLEObject Type="Embed" ProgID="Equation.DSMT4" ShapeID="_x0000_i1046" DrawAspect="Content" ObjectID="_1468075746" r:id="rId73">
            <o:LockedField>false</o:LockedField>
          </o:OLEObject>
        </w:object>
      </w:r>
      <w:r>
        <w:rPr>
          <w:rFonts w:ascii="Times New Roman" w:hAnsi="Times New Roman" w:cs="Times New Roman"/>
          <w:sz w:val="21"/>
          <w:szCs w:val="21"/>
        </w:rPr>
        <w:t>为T时间内第i个室外声源的工作时间；</w:t>
      </w:r>
    </w:p>
    <w:p w14:paraId="4EAF3146">
      <w:pPr>
        <w:spacing w:line="360" w:lineRule="auto"/>
        <w:ind w:firstLine="1260" w:firstLineChars="600"/>
        <w:rPr>
          <w:rFonts w:ascii="Times New Roman" w:hAnsi="Times New Roman" w:cs="Times New Roman"/>
          <w:sz w:val="21"/>
          <w:szCs w:val="21"/>
        </w:rPr>
      </w:pPr>
      <w:r>
        <w:rPr>
          <w:rFonts w:ascii="Times New Roman" w:hAnsi="Times New Roman" w:cs="Times New Roman"/>
          <w:position w:val="-14"/>
          <w:sz w:val="21"/>
          <w:szCs w:val="21"/>
        </w:rPr>
        <w:object>
          <v:shape id="_x0000_i1047" o:spt="75" type="#_x0000_t75" style="height:21.75pt;width:21.75pt;" o:ole="t" filled="f" o:preferrelative="t" stroked="f" coordsize="21600,21600">
            <v:path/>
            <v:fill on="f" focussize="0,0"/>
            <v:stroke on="f" joinstyle="miter"/>
            <v:imagedata r:id="rId76" o:title=""/>
            <o:lock v:ext="edit" aspectratio="t"/>
            <w10:wrap type="none"/>
            <w10:anchorlock/>
          </v:shape>
          <o:OLEObject Type="Embed" ProgID="Equation.DSMT4" ShapeID="_x0000_i1047" DrawAspect="Content" ObjectID="_1468075747" r:id="rId75">
            <o:LockedField>false</o:LockedField>
          </o:OLEObject>
        </w:object>
      </w:r>
      <w:r>
        <w:rPr>
          <w:rFonts w:ascii="Times New Roman" w:hAnsi="Times New Roman" w:cs="Times New Roman"/>
          <w:sz w:val="21"/>
          <w:szCs w:val="21"/>
        </w:rPr>
        <w:t>为T时间内第j个室内声源的工作时间。</w:t>
      </w:r>
    </w:p>
    <w:p w14:paraId="3202234C">
      <w:pPr>
        <w:spacing w:line="360" w:lineRule="auto"/>
        <w:ind w:firstLine="1260" w:firstLineChars="600"/>
        <w:rPr>
          <w:rFonts w:ascii="Times New Roman" w:hAnsi="Times New Roman" w:cs="Times New Roman"/>
          <w:sz w:val="21"/>
          <w:szCs w:val="21"/>
        </w:rPr>
      </w:pPr>
      <w:r>
        <w:rPr>
          <w:rFonts w:ascii="Times New Roman" w:hAnsi="Times New Roman" w:cs="Times New Roman"/>
          <w:sz w:val="21"/>
          <w:szCs w:val="21"/>
        </w:rPr>
        <w:object>
          <v:shape id="_x0000_i1048" o:spt="75" type="#_x0000_t75" style="height:21.75pt;width:21.75pt;" o:ole="t" filled="f" o:preferrelative="t" stroked="f" coordsize="21600,21600">
            <v:path/>
            <v:fill on="f" focussize="0,0"/>
            <v:stroke on="f" joinstyle="miter"/>
            <v:imagedata r:id="rId78" o:title=""/>
            <o:lock v:ext="edit" aspectratio="t"/>
            <w10:wrap type="none"/>
            <w10:anchorlock/>
          </v:shape>
          <o:OLEObject Type="Embed" ProgID="Equation.DSMT4" ShapeID="_x0000_i1048" DrawAspect="Content" ObjectID="_1468075748" r:id="rId77">
            <o:LockedField>false</o:LockedField>
          </o:OLEObject>
        </w:object>
      </w:r>
      <w:r>
        <w:rPr>
          <w:rFonts w:ascii="Times New Roman" w:hAnsi="Times New Roman" w:cs="Times New Roman"/>
          <w:sz w:val="21"/>
          <w:szCs w:val="21"/>
        </w:rPr>
        <w:t>和</w:t>
      </w:r>
      <w:r>
        <w:rPr>
          <w:rFonts w:ascii="Times New Roman" w:hAnsi="Times New Roman" w:cs="Times New Roman"/>
          <w:sz w:val="21"/>
          <w:szCs w:val="21"/>
        </w:rPr>
        <w:object>
          <v:shape id="_x0000_i1049" o:spt="75" type="#_x0000_t75" style="height:21.75pt;width:14.25pt;" o:ole="t" filled="f" o:preferrelative="t" stroked="f" coordsize="21600,21600">
            <v:path/>
            <v:fill on="f" focussize="0,0"/>
            <v:stroke on="f" joinstyle="miter"/>
            <v:imagedata r:id="rId80" o:title=""/>
            <o:lock v:ext="edit" aspectratio="t"/>
            <w10:wrap type="none"/>
            <w10:anchorlock/>
          </v:shape>
          <o:OLEObject Type="Embed" ProgID="Equation.DSMT4" ShapeID="_x0000_i1049" DrawAspect="Content" ObjectID="_1468075749" r:id="rId79">
            <o:LockedField>false</o:LockedField>
          </o:OLEObject>
        </w:object>
      </w:r>
      <w:r>
        <w:rPr>
          <w:rFonts w:ascii="Times New Roman" w:hAnsi="Times New Roman" w:cs="Times New Roman"/>
          <w:sz w:val="21"/>
          <w:szCs w:val="21"/>
        </w:rPr>
        <w:t>均按T时间内实际工作时间计算。</w:t>
      </w:r>
    </w:p>
    <w:p w14:paraId="1710DE6C">
      <w:pPr>
        <w:pStyle w:val="97"/>
        <w:rPr>
          <w:rFonts w:hint="eastAsia"/>
        </w:rPr>
      </w:pPr>
      <w:r>
        <w:t>噪声影响预测与分析</w:t>
      </w:r>
    </w:p>
    <w:p w14:paraId="7D319778">
      <w:pPr>
        <w:pStyle w:val="158"/>
        <w:ind w:firstLine="480"/>
        <w:rPr>
          <w:rFonts w:ascii="Times New Roman" w:hAnsi="Times New Roman"/>
        </w:rPr>
      </w:pPr>
      <w:r>
        <w:rPr>
          <w:rFonts w:ascii="Times New Roman" w:hAnsi="Times New Roman"/>
        </w:rPr>
        <w:t>根据对声环境现状的监测结果，并叠加本项目建成后对周围声环境的贡献值，便得到厂界噪声叠加值，本项目预测结果见表</w:t>
      </w:r>
      <w:r>
        <w:rPr>
          <w:rFonts w:hint="eastAsia" w:ascii="Times New Roman" w:hAnsi="Times New Roman"/>
        </w:rPr>
        <w:t>5.5</w:t>
      </w:r>
      <w:r>
        <w:rPr>
          <w:rFonts w:ascii="Times New Roman" w:hAnsi="Times New Roman"/>
        </w:rPr>
        <w:t>.</w:t>
      </w:r>
      <w:r>
        <w:rPr>
          <w:rFonts w:hint="eastAsia" w:ascii="Times New Roman" w:hAnsi="Times New Roman"/>
        </w:rPr>
        <w:t>3</w:t>
      </w:r>
      <w:r>
        <w:rPr>
          <w:rFonts w:ascii="Times New Roman" w:hAnsi="Times New Roman"/>
        </w:rPr>
        <w:t>-1。</w:t>
      </w:r>
    </w:p>
    <w:p w14:paraId="728CC64F">
      <w:pPr>
        <w:spacing w:line="360" w:lineRule="auto"/>
        <w:jc w:val="center"/>
        <w:rPr>
          <w:rFonts w:hint="eastAsia" w:ascii="黑体" w:hAnsi="黑体" w:eastAsia="黑体"/>
          <w:b/>
        </w:rPr>
        <w:sectPr>
          <w:pgSz w:w="11906" w:h="16838"/>
          <w:pgMar w:top="1440" w:right="1800" w:bottom="1440" w:left="1800" w:header="851" w:footer="850" w:gutter="0"/>
          <w:cols w:space="425" w:num="1"/>
          <w:docGrid w:type="lines" w:linePitch="326" w:charSpace="0"/>
        </w:sectPr>
      </w:pPr>
    </w:p>
    <w:p w14:paraId="1DA0BE4F">
      <w:pPr>
        <w:spacing w:line="360" w:lineRule="auto"/>
        <w:jc w:val="center"/>
        <w:rPr>
          <w:rFonts w:hint="eastAsia" w:ascii="黑体" w:hAnsi="黑体" w:eastAsia="黑体"/>
          <w:b/>
        </w:rPr>
      </w:pPr>
      <w:r>
        <w:rPr>
          <w:rFonts w:ascii="黑体" w:hAnsi="黑体" w:eastAsia="黑体"/>
          <w:b/>
        </w:rPr>
        <w:t>表</w:t>
      </w:r>
      <w:r>
        <w:rPr>
          <w:rFonts w:hint="eastAsia" w:ascii="黑体" w:hAnsi="黑体" w:eastAsia="黑体"/>
          <w:b/>
        </w:rPr>
        <w:t>5.5</w:t>
      </w:r>
      <w:r>
        <w:rPr>
          <w:rFonts w:ascii="黑体" w:hAnsi="黑体" w:eastAsia="黑体"/>
          <w:b/>
        </w:rPr>
        <w:t>.</w:t>
      </w:r>
      <w:r>
        <w:rPr>
          <w:rFonts w:hint="eastAsia" w:ascii="黑体" w:hAnsi="黑体" w:eastAsia="黑体"/>
          <w:b/>
        </w:rPr>
        <w:t>3</w:t>
      </w:r>
      <w:r>
        <w:rPr>
          <w:rFonts w:ascii="黑体" w:hAnsi="黑体" w:eastAsia="黑体"/>
          <w:b/>
        </w:rPr>
        <w:t>-1    建设工程厂界噪声预测结果（dB）</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581"/>
        <w:gridCol w:w="1055"/>
        <w:gridCol w:w="1580"/>
        <w:gridCol w:w="1264"/>
        <w:gridCol w:w="1264"/>
        <w:gridCol w:w="1563"/>
        <w:gridCol w:w="1264"/>
        <w:gridCol w:w="1375"/>
        <w:gridCol w:w="1264"/>
        <w:gridCol w:w="1265"/>
      </w:tblGrid>
      <w:tr w14:paraId="26B7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88" w:type="dxa"/>
            <w:vMerge w:val="restart"/>
            <w:noWrap/>
            <w:vAlign w:val="center"/>
          </w:tcPr>
          <w:p w14:paraId="3AB1AF0C">
            <w:pPr>
              <w:pStyle w:val="557"/>
            </w:pPr>
            <w:r>
              <w:rPr>
                <w:rFonts w:hint="eastAsia"/>
              </w:rPr>
              <w:t>序号</w:t>
            </w:r>
          </w:p>
        </w:tc>
        <w:tc>
          <w:tcPr>
            <w:tcW w:w="1556" w:type="dxa"/>
            <w:vMerge w:val="restart"/>
            <w:noWrap/>
            <w:vAlign w:val="center"/>
          </w:tcPr>
          <w:p w14:paraId="4D952ABD">
            <w:pPr>
              <w:pStyle w:val="557"/>
            </w:pPr>
            <w:r>
              <w:rPr>
                <w:rFonts w:hint="eastAsia"/>
              </w:rPr>
              <w:t>点名称</w:t>
            </w:r>
          </w:p>
        </w:tc>
        <w:tc>
          <w:tcPr>
            <w:tcW w:w="2593" w:type="dxa"/>
            <w:gridSpan w:val="2"/>
            <w:noWrap/>
            <w:vAlign w:val="center"/>
          </w:tcPr>
          <w:p w14:paraId="6E956428">
            <w:pPr>
              <w:pStyle w:val="557"/>
            </w:pPr>
            <w:r>
              <w:rPr>
                <w:rFonts w:hint="eastAsia"/>
              </w:rPr>
              <w:t>定义坐标</w:t>
            </w:r>
          </w:p>
        </w:tc>
        <w:tc>
          <w:tcPr>
            <w:tcW w:w="1244" w:type="dxa"/>
            <w:vMerge w:val="restart"/>
            <w:noWrap/>
            <w:vAlign w:val="center"/>
          </w:tcPr>
          <w:p w14:paraId="74304804">
            <w:pPr>
              <w:pStyle w:val="557"/>
            </w:pPr>
            <w:r>
              <w:rPr>
                <w:rFonts w:hint="eastAsia"/>
              </w:rPr>
              <w:t>地面高程(m)</w:t>
            </w:r>
          </w:p>
        </w:tc>
        <w:tc>
          <w:tcPr>
            <w:tcW w:w="1244" w:type="dxa"/>
            <w:vMerge w:val="restart"/>
            <w:noWrap/>
            <w:vAlign w:val="center"/>
          </w:tcPr>
          <w:p w14:paraId="7B47BA76">
            <w:pPr>
              <w:pStyle w:val="557"/>
            </w:pPr>
            <w:r>
              <w:rPr>
                <w:rFonts w:hint="eastAsia"/>
              </w:rPr>
              <w:t>离地高度(m)</w:t>
            </w:r>
          </w:p>
        </w:tc>
        <w:tc>
          <w:tcPr>
            <w:tcW w:w="1538" w:type="dxa"/>
            <w:vMerge w:val="restart"/>
            <w:noWrap/>
            <w:vAlign w:val="center"/>
          </w:tcPr>
          <w:p w14:paraId="09C92832">
            <w:pPr>
              <w:pStyle w:val="557"/>
            </w:pPr>
            <w:r>
              <w:rPr>
                <w:rFonts w:hint="eastAsia"/>
              </w:rPr>
              <w:t>噪声时段</w:t>
            </w:r>
          </w:p>
        </w:tc>
        <w:tc>
          <w:tcPr>
            <w:tcW w:w="1244" w:type="dxa"/>
            <w:vMerge w:val="restart"/>
            <w:noWrap/>
            <w:vAlign w:val="center"/>
          </w:tcPr>
          <w:p w14:paraId="0517CC3A">
            <w:pPr>
              <w:pStyle w:val="557"/>
            </w:pPr>
            <w:r>
              <w:rPr>
                <w:rFonts w:hint="eastAsia"/>
              </w:rPr>
              <w:t>贡献值(dBA)</w:t>
            </w:r>
          </w:p>
        </w:tc>
        <w:tc>
          <w:tcPr>
            <w:tcW w:w="1353" w:type="dxa"/>
            <w:vMerge w:val="restart"/>
            <w:noWrap/>
            <w:vAlign w:val="center"/>
          </w:tcPr>
          <w:p w14:paraId="7D027A2C">
            <w:pPr>
              <w:pStyle w:val="557"/>
            </w:pPr>
            <w:r>
              <w:rPr>
                <w:rFonts w:hint="eastAsia"/>
              </w:rPr>
              <w:t>评价标准(dBA)</w:t>
            </w:r>
          </w:p>
        </w:tc>
        <w:tc>
          <w:tcPr>
            <w:tcW w:w="1244" w:type="dxa"/>
            <w:vMerge w:val="restart"/>
            <w:noWrap/>
            <w:vAlign w:val="center"/>
          </w:tcPr>
          <w:p w14:paraId="6315F786">
            <w:pPr>
              <w:pStyle w:val="557"/>
            </w:pPr>
            <w:r>
              <w:rPr>
                <w:rFonts w:hint="eastAsia"/>
              </w:rPr>
              <w:t>占标率%</w:t>
            </w:r>
          </w:p>
        </w:tc>
        <w:tc>
          <w:tcPr>
            <w:tcW w:w="1244" w:type="dxa"/>
            <w:vMerge w:val="restart"/>
            <w:noWrap/>
            <w:vAlign w:val="center"/>
          </w:tcPr>
          <w:p w14:paraId="5CC5AE2A">
            <w:pPr>
              <w:pStyle w:val="557"/>
            </w:pPr>
            <w:r>
              <w:rPr>
                <w:rFonts w:hint="eastAsia"/>
              </w:rPr>
              <w:t>是否超标</w:t>
            </w:r>
          </w:p>
        </w:tc>
      </w:tr>
      <w:tr w14:paraId="2F25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8" w:type="dxa"/>
            <w:vMerge w:val="continue"/>
            <w:noWrap/>
            <w:vAlign w:val="center"/>
          </w:tcPr>
          <w:p w14:paraId="63767C85">
            <w:pPr>
              <w:pStyle w:val="557"/>
            </w:pPr>
          </w:p>
        </w:tc>
        <w:tc>
          <w:tcPr>
            <w:tcW w:w="1556" w:type="dxa"/>
            <w:vMerge w:val="continue"/>
            <w:noWrap/>
            <w:vAlign w:val="center"/>
          </w:tcPr>
          <w:p w14:paraId="5393DFC5">
            <w:pPr>
              <w:pStyle w:val="557"/>
            </w:pPr>
          </w:p>
        </w:tc>
        <w:tc>
          <w:tcPr>
            <w:tcW w:w="1038" w:type="dxa"/>
            <w:noWrap/>
            <w:vAlign w:val="center"/>
          </w:tcPr>
          <w:p w14:paraId="6AFC6028">
            <w:pPr>
              <w:pStyle w:val="557"/>
            </w:pPr>
            <w:r>
              <w:rPr>
                <w:rFonts w:hint="eastAsia"/>
              </w:rPr>
              <w:t>X</w:t>
            </w:r>
          </w:p>
        </w:tc>
        <w:tc>
          <w:tcPr>
            <w:tcW w:w="1555" w:type="dxa"/>
            <w:noWrap/>
            <w:vAlign w:val="center"/>
          </w:tcPr>
          <w:p w14:paraId="6F01C555">
            <w:pPr>
              <w:pStyle w:val="557"/>
            </w:pPr>
            <w:r>
              <w:rPr>
                <w:rFonts w:hint="eastAsia"/>
              </w:rPr>
              <w:t>Y</w:t>
            </w:r>
          </w:p>
        </w:tc>
        <w:tc>
          <w:tcPr>
            <w:tcW w:w="1244" w:type="dxa"/>
            <w:vMerge w:val="continue"/>
            <w:noWrap/>
            <w:vAlign w:val="center"/>
          </w:tcPr>
          <w:p w14:paraId="31FC2FD0">
            <w:pPr>
              <w:pStyle w:val="557"/>
            </w:pPr>
          </w:p>
        </w:tc>
        <w:tc>
          <w:tcPr>
            <w:tcW w:w="1244" w:type="dxa"/>
            <w:vMerge w:val="continue"/>
            <w:noWrap/>
            <w:vAlign w:val="center"/>
          </w:tcPr>
          <w:p w14:paraId="32C301A0">
            <w:pPr>
              <w:pStyle w:val="557"/>
            </w:pPr>
          </w:p>
        </w:tc>
        <w:tc>
          <w:tcPr>
            <w:tcW w:w="1538" w:type="dxa"/>
            <w:vMerge w:val="continue"/>
            <w:noWrap/>
            <w:vAlign w:val="center"/>
          </w:tcPr>
          <w:p w14:paraId="7E222067">
            <w:pPr>
              <w:pStyle w:val="557"/>
            </w:pPr>
          </w:p>
        </w:tc>
        <w:tc>
          <w:tcPr>
            <w:tcW w:w="1244" w:type="dxa"/>
            <w:vMerge w:val="continue"/>
            <w:noWrap/>
            <w:vAlign w:val="center"/>
          </w:tcPr>
          <w:p w14:paraId="7E4201FB">
            <w:pPr>
              <w:pStyle w:val="557"/>
            </w:pPr>
          </w:p>
        </w:tc>
        <w:tc>
          <w:tcPr>
            <w:tcW w:w="1353" w:type="dxa"/>
            <w:vMerge w:val="continue"/>
            <w:noWrap/>
            <w:vAlign w:val="center"/>
          </w:tcPr>
          <w:p w14:paraId="4552F00C">
            <w:pPr>
              <w:pStyle w:val="557"/>
            </w:pPr>
          </w:p>
        </w:tc>
        <w:tc>
          <w:tcPr>
            <w:tcW w:w="1244" w:type="dxa"/>
            <w:vMerge w:val="continue"/>
            <w:noWrap/>
            <w:vAlign w:val="center"/>
          </w:tcPr>
          <w:p w14:paraId="19CFCB90">
            <w:pPr>
              <w:pStyle w:val="557"/>
            </w:pPr>
          </w:p>
        </w:tc>
        <w:tc>
          <w:tcPr>
            <w:tcW w:w="1244" w:type="dxa"/>
            <w:vMerge w:val="continue"/>
            <w:noWrap/>
            <w:vAlign w:val="center"/>
          </w:tcPr>
          <w:p w14:paraId="53C10690">
            <w:pPr>
              <w:pStyle w:val="557"/>
            </w:pPr>
          </w:p>
        </w:tc>
      </w:tr>
      <w:tr w14:paraId="238A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dxa"/>
            <w:noWrap/>
            <w:vAlign w:val="center"/>
          </w:tcPr>
          <w:p w14:paraId="5248C5CD">
            <w:pPr>
              <w:pStyle w:val="557"/>
            </w:pPr>
            <w:r>
              <w:rPr>
                <w:rFonts w:hint="eastAsia"/>
              </w:rPr>
              <w:t>1</w:t>
            </w:r>
          </w:p>
        </w:tc>
        <w:tc>
          <w:tcPr>
            <w:tcW w:w="1556" w:type="dxa"/>
            <w:noWrap/>
            <w:vAlign w:val="center"/>
          </w:tcPr>
          <w:p w14:paraId="4CD93CF0">
            <w:pPr>
              <w:pStyle w:val="557"/>
            </w:pPr>
            <w:r>
              <w:rPr>
                <w:rFonts w:hint="eastAsia"/>
              </w:rPr>
              <w:t>z1</w:t>
            </w:r>
          </w:p>
        </w:tc>
        <w:tc>
          <w:tcPr>
            <w:tcW w:w="1038" w:type="dxa"/>
            <w:noWrap/>
            <w:vAlign w:val="center"/>
          </w:tcPr>
          <w:p w14:paraId="45039981">
            <w:pPr>
              <w:pStyle w:val="557"/>
            </w:pPr>
            <w:r>
              <w:rPr>
                <w:rFonts w:hint="eastAsia"/>
              </w:rPr>
              <w:t>6</w:t>
            </w:r>
          </w:p>
        </w:tc>
        <w:tc>
          <w:tcPr>
            <w:tcW w:w="1555" w:type="dxa"/>
            <w:noWrap/>
            <w:vAlign w:val="center"/>
          </w:tcPr>
          <w:p w14:paraId="3624CD4B">
            <w:pPr>
              <w:pStyle w:val="557"/>
            </w:pPr>
            <w:r>
              <w:rPr>
                <w:rFonts w:hint="eastAsia"/>
              </w:rPr>
              <w:t>433</w:t>
            </w:r>
          </w:p>
        </w:tc>
        <w:tc>
          <w:tcPr>
            <w:tcW w:w="1244" w:type="dxa"/>
            <w:noWrap/>
            <w:vAlign w:val="center"/>
          </w:tcPr>
          <w:p w14:paraId="3CE49182">
            <w:pPr>
              <w:pStyle w:val="557"/>
            </w:pPr>
            <w:r>
              <w:rPr>
                <w:rFonts w:hint="eastAsia"/>
              </w:rPr>
              <w:t>686.33</w:t>
            </w:r>
          </w:p>
        </w:tc>
        <w:tc>
          <w:tcPr>
            <w:tcW w:w="1244" w:type="dxa"/>
            <w:noWrap/>
            <w:vAlign w:val="center"/>
          </w:tcPr>
          <w:p w14:paraId="27AF0B35">
            <w:pPr>
              <w:pStyle w:val="557"/>
            </w:pPr>
            <w:r>
              <w:rPr>
                <w:rFonts w:hint="eastAsia"/>
              </w:rPr>
              <w:t>0</w:t>
            </w:r>
          </w:p>
        </w:tc>
        <w:tc>
          <w:tcPr>
            <w:tcW w:w="1538" w:type="dxa"/>
            <w:noWrap/>
            <w:vAlign w:val="center"/>
          </w:tcPr>
          <w:p w14:paraId="014DC813">
            <w:pPr>
              <w:pStyle w:val="557"/>
            </w:pPr>
            <w:r>
              <w:rPr>
                <w:rFonts w:hint="eastAsia"/>
              </w:rPr>
              <w:t>昼夜等效噪声</w:t>
            </w:r>
          </w:p>
        </w:tc>
        <w:tc>
          <w:tcPr>
            <w:tcW w:w="1244" w:type="dxa"/>
            <w:noWrap/>
            <w:vAlign w:val="center"/>
          </w:tcPr>
          <w:p w14:paraId="20012FE2">
            <w:pPr>
              <w:pStyle w:val="557"/>
            </w:pPr>
            <w:r>
              <w:rPr>
                <w:rFonts w:hint="eastAsia"/>
              </w:rPr>
              <w:t>46.6</w:t>
            </w:r>
          </w:p>
        </w:tc>
        <w:tc>
          <w:tcPr>
            <w:tcW w:w="1353" w:type="dxa"/>
            <w:noWrap/>
            <w:vAlign w:val="center"/>
          </w:tcPr>
          <w:p w14:paraId="6896C6AB">
            <w:pPr>
              <w:pStyle w:val="557"/>
            </w:pPr>
            <w:r>
              <w:rPr>
                <w:rFonts w:hint="eastAsia"/>
              </w:rPr>
              <w:t>60</w:t>
            </w:r>
          </w:p>
        </w:tc>
        <w:tc>
          <w:tcPr>
            <w:tcW w:w="1244" w:type="dxa"/>
            <w:noWrap/>
            <w:vAlign w:val="center"/>
          </w:tcPr>
          <w:p w14:paraId="7B508418">
            <w:pPr>
              <w:pStyle w:val="557"/>
            </w:pPr>
            <w:r>
              <w:rPr>
                <w:rFonts w:hint="eastAsia"/>
              </w:rPr>
              <w:t>77.67</w:t>
            </w:r>
          </w:p>
        </w:tc>
        <w:tc>
          <w:tcPr>
            <w:tcW w:w="1244" w:type="dxa"/>
            <w:noWrap/>
            <w:vAlign w:val="center"/>
          </w:tcPr>
          <w:p w14:paraId="5AE87983">
            <w:pPr>
              <w:pStyle w:val="557"/>
            </w:pPr>
            <w:r>
              <w:rPr>
                <w:rFonts w:hint="eastAsia"/>
              </w:rPr>
              <w:t>达标</w:t>
            </w:r>
          </w:p>
        </w:tc>
      </w:tr>
      <w:tr w14:paraId="516E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dxa"/>
            <w:noWrap/>
            <w:vAlign w:val="center"/>
          </w:tcPr>
          <w:p w14:paraId="154C4C7E">
            <w:pPr>
              <w:pStyle w:val="557"/>
            </w:pPr>
            <w:r>
              <w:rPr>
                <w:rFonts w:hint="eastAsia"/>
              </w:rPr>
              <w:t>2</w:t>
            </w:r>
          </w:p>
        </w:tc>
        <w:tc>
          <w:tcPr>
            <w:tcW w:w="1556" w:type="dxa"/>
            <w:noWrap/>
            <w:vAlign w:val="center"/>
          </w:tcPr>
          <w:p w14:paraId="2B1F37B2">
            <w:pPr>
              <w:pStyle w:val="557"/>
            </w:pPr>
            <w:r>
              <w:rPr>
                <w:rFonts w:hint="eastAsia"/>
              </w:rPr>
              <w:t>z2</w:t>
            </w:r>
          </w:p>
        </w:tc>
        <w:tc>
          <w:tcPr>
            <w:tcW w:w="1038" w:type="dxa"/>
            <w:noWrap/>
            <w:vAlign w:val="center"/>
          </w:tcPr>
          <w:p w14:paraId="67A86ACC">
            <w:pPr>
              <w:pStyle w:val="557"/>
            </w:pPr>
            <w:r>
              <w:rPr>
                <w:rFonts w:hint="eastAsia"/>
              </w:rPr>
              <w:t>743</w:t>
            </w:r>
          </w:p>
        </w:tc>
        <w:tc>
          <w:tcPr>
            <w:tcW w:w="1555" w:type="dxa"/>
            <w:noWrap/>
            <w:vAlign w:val="center"/>
          </w:tcPr>
          <w:p w14:paraId="43160AB9">
            <w:pPr>
              <w:pStyle w:val="557"/>
            </w:pPr>
            <w:r>
              <w:rPr>
                <w:rFonts w:hint="eastAsia"/>
              </w:rPr>
              <w:t>-8</w:t>
            </w:r>
          </w:p>
        </w:tc>
        <w:tc>
          <w:tcPr>
            <w:tcW w:w="1244" w:type="dxa"/>
            <w:noWrap/>
            <w:vAlign w:val="center"/>
          </w:tcPr>
          <w:p w14:paraId="3FA6234A">
            <w:pPr>
              <w:pStyle w:val="557"/>
            </w:pPr>
            <w:r>
              <w:rPr>
                <w:rFonts w:hint="eastAsia"/>
              </w:rPr>
              <w:t>682.31</w:t>
            </w:r>
          </w:p>
        </w:tc>
        <w:tc>
          <w:tcPr>
            <w:tcW w:w="1244" w:type="dxa"/>
            <w:noWrap/>
            <w:vAlign w:val="center"/>
          </w:tcPr>
          <w:p w14:paraId="63A49DAE">
            <w:pPr>
              <w:pStyle w:val="557"/>
            </w:pPr>
            <w:r>
              <w:rPr>
                <w:rFonts w:hint="eastAsia"/>
              </w:rPr>
              <w:t>0</w:t>
            </w:r>
          </w:p>
        </w:tc>
        <w:tc>
          <w:tcPr>
            <w:tcW w:w="1538" w:type="dxa"/>
            <w:noWrap/>
            <w:vAlign w:val="center"/>
          </w:tcPr>
          <w:p w14:paraId="3D420736">
            <w:pPr>
              <w:pStyle w:val="557"/>
            </w:pPr>
            <w:r>
              <w:rPr>
                <w:rFonts w:hint="eastAsia"/>
              </w:rPr>
              <w:t>昼夜等效噪声</w:t>
            </w:r>
          </w:p>
        </w:tc>
        <w:tc>
          <w:tcPr>
            <w:tcW w:w="1244" w:type="dxa"/>
            <w:noWrap/>
            <w:vAlign w:val="center"/>
          </w:tcPr>
          <w:p w14:paraId="291B64C8">
            <w:pPr>
              <w:pStyle w:val="557"/>
            </w:pPr>
            <w:r>
              <w:rPr>
                <w:rFonts w:hint="eastAsia"/>
              </w:rPr>
              <w:t>46.2</w:t>
            </w:r>
          </w:p>
        </w:tc>
        <w:tc>
          <w:tcPr>
            <w:tcW w:w="1353" w:type="dxa"/>
            <w:noWrap/>
            <w:vAlign w:val="center"/>
          </w:tcPr>
          <w:p w14:paraId="1AF60F0C">
            <w:pPr>
              <w:pStyle w:val="557"/>
            </w:pPr>
            <w:r>
              <w:rPr>
                <w:rFonts w:hint="eastAsia"/>
              </w:rPr>
              <w:t>60</w:t>
            </w:r>
          </w:p>
        </w:tc>
        <w:tc>
          <w:tcPr>
            <w:tcW w:w="1244" w:type="dxa"/>
            <w:noWrap/>
            <w:vAlign w:val="center"/>
          </w:tcPr>
          <w:p w14:paraId="6CABF049">
            <w:pPr>
              <w:pStyle w:val="557"/>
            </w:pPr>
            <w:r>
              <w:rPr>
                <w:rFonts w:hint="eastAsia"/>
              </w:rPr>
              <w:t>77</w:t>
            </w:r>
          </w:p>
        </w:tc>
        <w:tc>
          <w:tcPr>
            <w:tcW w:w="1244" w:type="dxa"/>
            <w:noWrap/>
            <w:vAlign w:val="center"/>
          </w:tcPr>
          <w:p w14:paraId="1B2E11D0">
            <w:pPr>
              <w:pStyle w:val="557"/>
            </w:pPr>
            <w:r>
              <w:rPr>
                <w:rFonts w:hint="eastAsia"/>
              </w:rPr>
              <w:t>达标</w:t>
            </w:r>
          </w:p>
        </w:tc>
      </w:tr>
      <w:tr w14:paraId="36E1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dxa"/>
            <w:noWrap/>
            <w:vAlign w:val="center"/>
          </w:tcPr>
          <w:p w14:paraId="097F82E4">
            <w:pPr>
              <w:pStyle w:val="557"/>
            </w:pPr>
            <w:r>
              <w:rPr>
                <w:rFonts w:hint="eastAsia"/>
              </w:rPr>
              <w:t>3</w:t>
            </w:r>
          </w:p>
        </w:tc>
        <w:tc>
          <w:tcPr>
            <w:tcW w:w="1556" w:type="dxa"/>
            <w:noWrap/>
            <w:vAlign w:val="center"/>
          </w:tcPr>
          <w:p w14:paraId="7BCD0EDC">
            <w:pPr>
              <w:pStyle w:val="557"/>
            </w:pPr>
            <w:r>
              <w:rPr>
                <w:rFonts w:hint="eastAsia"/>
              </w:rPr>
              <w:t>z3</w:t>
            </w:r>
          </w:p>
        </w:tc>
        <w:tc>
          <w:tcPr>
            <w:tcW w:w="1038" w:type="dxa"/>
            <w:noWrap/>
            <w:vAlign w:val="center"/>
          </w:tcPr>
          <w:p w14:paraId="04C00A4F">
            <w:pPr>
              <w:pStyle w:val="557"/>
            </w:pPr>
            <w:r>
              <w:rPr>
                <w:rFonts w:hint="eastAsia"/>
              </w:rPr>
              <w:t>271</w:t>
            </w:r>
          </w:p>
        </w:tc>
        <w:tc>
          <w:tcPr>
            <w:tcW w:w="1555" w:type="dxa"/>
            <w:noWrap/>
            <w:vAlign w:val="center"/>
          </w:tcPr>
          <w:p w14:paraId="565819E4">
            <w:pPr>
              <w:pStyle w:val="557"/>
            </w:pPr>
            <w:r>
              <w:rPr>
                <w:rFonts w:hint="eastAsia"/>
              </w:rPr>
              <w:t>-368</w:t>
            </w:r>
          </w:p>
        </w:tc>
        <w:tc>
          <w:tcPr>
            <w:tcW w:w="1244" w:type="dxa"/>
            <w:noWrap/>
            <w:vAlign w:val="center"/>
          </w:tcPr>
          <w:p w14:paraId="0CE62B94">
            <w:pPr>
              <w:pStyle w:val="557"/>
            </w:pPr>
            <w:r>
              <w:rPr>
                <w:rFonts w:hint="eastAsia"/>
              </w:rPr>
              <w:t>685.42</w:t>
            </w:r>
          </w:p>
        </w:tc>
        <w:tc>
          <w:tcPr>
            <w:tcW w:w="1244" w:type="dxa"/>
            <w:noWrap/>
            <w:vAlign w:val="center"/>
          </w:tcPr>
          <w:p w14:paraId="752287E2">
            <w:pPr>
              <w:pStyle w:val="557"/>
            </w:pPr>
            <w:r>
              <w:rPr>
                <w:rFonts w:hint="eastAsia"/>
              </w:rPr>
              <w:t>0</w:t>
            </w:r>
          </w:p>
        </w:tc>
        <w:tc>
          <w:tcPr>
            <w:tcW w:w="1538" w:type="dxa"/>
            <w:noWrap/>
            <w:vAlign w:val="center"/>
          </w:tcPr>
          <w:p w14:paraId="48C3CF01">
            <w:pPr>
              <w:pStyle w:val="557"/>
            </w:pPr>
            <w:r>
              <w:rPr>
                <w:rFonts w:hint="eastAsia"/>
              </w:rPr>
              <w:t>昼夜等效噪声</w:t>
            </w:r>
          </w:p>
        </w:tc>
        <w:tc>
          <w:tcPr>
            <w:tcW w:w="1244" w:type="dxa"/>
            <w:noWrap/>
            <w:vAlign w:val="center"/>
          </w:tcPr>
          <w:p w14:paraId="1AE93467">
            <w:pPr>
              <w:pStyle w:val="557"/>
            </w:pPr>
            <w:r>
              <w:rPr>
                <w:rFonts w:hint="eastAsia"/>
              </w:rPr>
              <w:t>46.61</w:t>
            </w:r>
          </w:p>
        </w:tc>
        <w:tc>
          <w:tcPr>
            <w:tcW w:w="1353" w:type="dxa"/>
            <w:noWrap/>
            <w:vAlign w:val="center"/>
          </w:tcPr>
          <w:p w14:paraId="7F8C217D">
            <w:pPr>
              <w:pStyle w:val="557"/>
            </w:pPr>
            <w:r>
              <w:rPr>
                <w:rFonts w:hint="eastAsia"/>
              </w:rPr>
              <w:t>60</w:t>
            </w:r>
          </w:p>
        </w:tc>
        <w:tc>
          <w:tcPr>
            <w:tcW w:w="1244" w:type="dxa"/>
            <w:noWrap/>
            <w:vAlign w:val="center"/>
          </w:tcPr>
          <w:p w14:paraId="3DEDC2F4">
            <w:pPr>
              <w:pStyle w:val="557"/>
            </w:pPr>
            <w:r>
              <w:rPr>
                <w:rFonts w:hint="eastAsia"/>
              </w:rPr>
              <w:t>77.68</w:t>
            </w:r>
          </w:p>
        </w:tc>
        <w:tc>
          <w:tcPr>
            <w:tcW w:w="1244" w:type="dxa"/>
            <w:noWrap/>
            <w:vAlign w:val="center"/>
          </w:tcPr>
          <w:p w14:paraId="655CDEEF">
            <w:pPr>
              <w:pStyle w:val="557"/>
            </w:pPr>
            <w:r>
              <w:rPr>
                <w:rFonts w:hint="eastAsia"/>
              </w:rPr>
              <w:t>达标</w:t>
            </w:r>
          </w:p>
        </w:tc>
      </w:tr>
      <w:tr w14:paraId="4BCB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dxa"/>
            <w:noWrap/>
            <w:vAlign w:val="center"/>
          </w:tcPr>
          <w:p w14:paraId="7EDD2489">
            <w:pPr>
              <w:pStyle w:val="557"/>
            </w:pPr>
            <w:r>
              <w:rPr>
                <w:rFonts w:hint="eastAsia"/>
              </w:rPr>
              <w:t>4</w:t>
            </w:r>
          </w:p>
        </w:tc>
        <w:tc>
          <w:tcPr>
            <w:tcW w:w="1556" w:type="dxa"/>
            <w:noWrap/>
            <w:vAlign w:val="center"/>
          </w:tcPr>
          <w:p w14:paraId="04CF9B00">
            <w:pPr>
              <w:pStyle w:val="557"/>
            </w:pPr>
            <w:r>
              <w:rPr>
                <w:rFonts w:hint="eastAsia"/>
              </w:rPr>
              <w:t>z4</w:t>
            </w:r>
          </w:p>
        </w:tc>
        <w:tc>
          <w:tcPr>
            <w:tcW w:w="1038" w:type="dxa"/>
            <w:noWrap/>
            <w:vAlign w:val="center"/>
          </w:tcPr>
          <w:p w14:paraId="2B7A12F6">
            <w:pPr>
              <w:pStyle w:val="557"/>
            </w:pPr>
            <w:r>
              <w:rPr>
                <w:rFonts w:hint="eastAsia"/>
              </w:rPr>
              <w:t>-284</w:t>
            </w:r>
          </w:p>
        </w:tc>
        <w:tc>
          <w:tcPr>
            <w:tcW w:w="1555" w:type="dxa"/>
            <w:noWrap/>
            <w:vAlign w:val="center"/>
          </w:tcPr>
          <w:p w14:paraId="0536378B">
            <w:pPr>
              <w:pStyle w:val="557"/>
            </w:pPr>
            <w:r>
              <w:rPr>
                <w:rFonts w:hint="eastAsia"/>
              </w:rPr>
              <w:t>-362</w:t>
            </w:r>
          </w:p>
        </w:tc>
        <w:tc>
          <w:tcPr>
            <w:tcW w:w="1244" w:type="dxa"/>
            <w:noWrap/>
            <w:vAlign w:val="center"/>
          </w:tcPr>
          <w:p w14:paraId="0BFD909D">
            <w:pPr>
              <w:pStyle w:val="557"/>
            </w:pPr>
            <w:r>
              <w:rPr>
                <w:rFonts w:hint="eastAsia"/>
              </w:rPr>
              <w:t>686.56</w:t>
            </w:r>
          </w:p>
        </w:tc>
        <w:tc>
          <w:tcPr>
            <w:tcW w:w="1244" w:type="dxa"/>
            <w:noWrap/>
            <w:vAlign w:val="center"/>
          </w:tcPr>
          <w:p w14:paraId="19A18498">
            <w:pPr>
              <w:pStyle w:val="557"/>
            </w:pPr>
            <w:r>
              <w:rPr>
                <w:rFonts w:hint="eastAsia"/>
              </w:rPr>
              <w:t>0</w:t>
            </w:r>
          </w:p>
        </w:tc>
        <w:tc>
          <w:tcPr>
            <w:tcW w:w="1538" w:type="dxa"/>
            <w:noWrap/>
            <w:vAlign w:val="center"/>
          </w:tcPr>
          <w:p w14:paraId="64687F7A">
            <w:pPr>
              <w:pStyle w:val="557"/>
            </w:pPr>
            <w:r>
              <w:rPr>
                <w:rFonts w:hint="eastAsia"/>
              </w:rPr>
              <w:t>昼夜等效噪声</w:t>
            </w:r>
          </w:p>
        </w:tc>
        <w:tc>
          <w:tcPr>
            <w:tcW w:w="1244" w:type="dxa"/>
            <w:noWrap/>
            <w:vAlign w:val="center"/>
          </w:tcPr>
          <w:p w14:paraId="17EF575F">
            <w:pPr>
              <w:pStyle w:val="557"/>
            </w:pPr>
            <w:r>
              <w:rPr>
                <w:rFonts w:hint="eastAsia"/>
              </w:rPr>
              <w:t>48.3</w:t>
            </w:r>
          </w:p>
        </w:tc>
        <w:tc>
          <w:tcPr>
            <w:tcW w:w="1353" w:type="dxa"/>
            <w:noWrap/>
            <w:vAlign w:val="center"/>
          </w:tcPr>
          <w:p w14:paraId="53F78824">
            <w:pPr>
              <w:pStyle w:val="557"/>
            </w:pPr>
            <w:r>
              <w:rPr>
                <w:rFonts w:hint="eastAsia"/>
              </w:rPr>
              <w:t>60</w:t>
            </w:r>
          </w:p>
        </w:tc>
        <w:tc>
          <w:tcPr>
            <w:tcW w:w="1244" w:type="dxa"/>
            <w:noWrap/>
            <w:vAlign w:val="center"/>
          </w:tcPr>
          <w:p w14:paraId="5A2EA27F">
            <w:pPr>
              <w:pStyle w:val="557"/>
            </w:pPr>
            <w:r>
              <w:rPr>
                <w:rFonts w:hint="eastAsia"/>
              </w:rPr>
              <w:t>80.5</w:t>
            </w:r>
          </w:p>
        </w:tc>
        <w:tc>
          <w:tcPr>
            <w:tcW w:w="1244" w:type="dxa"/>
            <w:noWrap/>
            <w:vAlign w:val="center"/>
          </w:tcPr>
          <w:p w14:paraId="4A1CBEAC">
            <w:pPr>
              <w:pStyle w:val="557"/>
            </w:pPr>
            <w:r>
              <w:rPr>
                <w:rFonts w:hint="eastAsia"/>
              </w:rPr>
              <w:t>达标</w:t>
            </w:r>
          </w:p>
        </w:tc>
      </w:tr>
      <w:tr w14:paraId="693E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dxa"/>
            <w:noWrap/>
            <w:vAlign w:val="center"/>
          </w:tcPr>
          <w:p w14:paraId="60989A3A">
            <w:pPr>
              <w:pStyle w:val="557"/>
            </w:pPr>
            <w:r>
              <w:rPr>
                <w:rFonts w:hint="eastAsia"/>
              </w:rPr>
              <w:t>6</w:t>
            </w:r>
          </w:p>
        </w:tc>
        <w:tc>
          <w:tcPr>
            <w:tcW w:w="1556" w:type="dxa"/>
            <w:noWrap/>
            <w:vAlign w:val="center"/>
          </w:tcPr>
          <w:p w14:paraId="59617EC8">
            <w:pPr>
              <w:pStyle w:val="557"/>
            </w:pPr>
            <w:r>
              <w:rPr>
                <w:rFonts w:hint="eastAsia"/>
              </w:rPr>
              <w:t>网格(水平网格)</w:t>
            </w:r>
          </w:p>
        </w:tc>
        <w:tc>
          <w:tcPr>
            <w:tcW w:w="1038" w:type="dxa"/>
            <w:noWrap/>
            <w:vAlign w:val="center"/>
          </w:tcPr>
          <w:p w14:paraId="0C49A516">
            <w:pPr>
              <w:pStyle w:val="557"/>
            </w:pPr>
            <w:r>
              <w:rPr>
                <w:rFonts w:hint="eastAsia"/>
              </w:rPr>
              <w:t>52</w:t>
            </w:r>
          </w:p>
        </w:tc>
        <w:tc>
          <w:tcPr>
            <w:tcW w:w="1555" w:type="dxa"/>
            <w:noWrap/>
            <w:vAlign w:val="center"/>
          </w:tcPr>
          <w:p w14:paraId="004EFC16">
            <w:pPr>
              <w:pStyle w:val="557"/>
            </w:pPr>
            <w:r>
              <w:rPr>
                <w:rFonts w:hint="eastAsia"/>
              </w:rPr>
              <w:t>37</w:t>
            </w:r>
          </w:p>
        </w:tc>
        <w:tc>
          <w:tcPr>
            <w:tcW w:w="1244" w:type="dxa"/>
            <w:noWrap/>
            <w:vAlign w:val="center"/>
          </w:tcPr>
          <w:p w14:paraId="71298938">
            <w:pPr>
              <w:pStyle w:val="557"/>
            </w:pPr>
            <w:r>
              <w:rPr>
                <w:rFonts w:hint="eastAsia"/>
              </w:rPr>
              <w:t>687.52</w:t>
            </w:r>
          </w:p>
        </w:tc>
        <w:tc>
          <w:tcPr>
            <w:tcW w:w="1244" w:type="dxa"/>
            <w:noWrap/>
            <w:vAlign w:val="center"/>
          </w:tcPr>
          <w:p w14:paraId="61821025">
            <w:pPr>
              <w:pStyle w:val="557"/>
            </w:pPr>
            <w:r>
              <w:rPr>
                <w:rFonts w:hint="eastAsia"/>
              </w:rPr>
              <w:t>1.2</w:t>
            </w:r>
          </w:p>
        </w:tc>
        <w:tc>
          <w:tcPr>
            <w:tcW w:w="1538" w:type="dxa"/>
            <w:noWrap/>
            <w:vAlign w:val="center"/>
          </w:tcPr>
          <w:p w14:paraId="55B24BC2">
            <w:pPr>
              <w:pStyle w:val="557"/>
            </w:pPr>
            <w:r>
              <w:rPr>
                <w:rFonts w:hint="eastAsia"/>
              </w:rPr>
              <w:t>昼夜等效噪声</w:t>
            </w:r>
          </w:p>
        </w:tc>
        <w:tc>
          <w:tcPr>
            <w:tcW w:w="1244" w:type="dxa"/>
            <w:noWrap/>
            <w:vAlign w:val="center"/>
          </w:tcPr>
          <w:p w14:paraId="34113608">
            <w:pPr>
              <w:pStyle w:val="557"/>
            </w:pPr>
            <w:r>
              <w:rPr>
                <w:rFonts w:hint="eastAsia"/>
              </w:rPr>
              <w:t>58.81</w:t>
            </w:r>
          </w:p>
        </w:tc>
        <w:tc>
          <w:tcPr>
            <w:tcW w:w="1353" w:type="dxa"/>
            <w:noWrap/>
            <w:vAlign w:val="center"/>
          </w:tcPr>
          <w:p w14:paraId="1352A19B">
            <w:pPr>
              <w:pStyle w:val="557"/>
            </w:pPr>
            <w:r>
              <w:rPr>
                <w:rFonts w:hint="eastAsia"/>
              </w:rPr>
              <w:t>60</w:t>
            </w:r>
          </w:p>
        </w:tc>
        <w:tc>
          <w:tcPr>
            <w:tcW w:w="1244" w:type="dxa"/>
            <w:noWrap/>
            <w:vAlign w:val="center"/>
          </w:tcPr>
          <w:p w14:paraId="640E82D6">
            <w:pPr>
              <w:pStyle w:val="557"/>
            </w:pPr>
            <w:r>
              <w:rPr>
                <w:rFonts w:hint="eastAsia"/>
              </w:rPr>
              <w:t>98.02</w:t>
            </w:r>
          </w:p>
        </w:tc>
        <w:tc>
          <w:tcPr>
            <w:tcW w:w="1244" w:type="dxa"/>
            <w:noWrap/>
            <w:vAlign w:val="center"/>
          </w:tcPr>
          <w:p w14:paraId="1BBE292E">
            <w:pPr>
              <w:pStyle w:val="557"/>
            </w:pPr>
            <w:r>
              <w:rPr>
                <w:rFonts w:hint="eastAsia"/>
              </w:rPr>
              <w:t>达标</w:t>
            </w:r>
          </w:p>
        </w:tc>
      </w:tr>
    </w:tbl>
    <w:p w14:paraId="203DEA9E">
      <w:pPr>
        <w:spacing w:line="360" w:lineRule="auto"/>
        <w:jc w:val="center"/>
        <w:rPr>
          <w:rFonts w:hint="eastAsia" w:ascii="黑体" w:hAnsi="黑体" w:eastAsia="黑体"/>
          <w:b/>
        </w:rPr>
      </w:pPr>
    </w:p>
    <w:p w14:paraId="025E693F">
      <w:pPr>
        <w:spacing w:line="360" w:lineRule="auto"/>
        <w:ind w:firstLine="480" w:firstLineChars="200"/>
        <w:rPr>
          <w:rFonts w:hint="eastAsia"/>
        </w:rPr>
      </w:pPr>
    </w:p>
    <w:p w14:paraId="7AF8520D">
      <w:pPr>
        <w:spacing w:line="360" w:lineRule="auto"/>
        <w:ind w:firstLine="480" w:firstLineChars="200"/>
        <w:rPr>
          <w:rFonts w:hint="eastAsia"/>
        </w:rPr>
        <w:sectPr>
          <w:pgSz w:w="16838" w:h="11906" w:orient="landscape"/>
          <w:pgMar w:top="1800" w:right="1440" w:bottom="1800" w:left="1440" w:header="851" w:footer="850" w:gutter="0"/>
          <w:cols w:space="425" w:num="1"/>
          <w:docGrid w:type="lines" w:linePitch="326" w:charSpace="0"/>
        </w:sectPr>
      </w:pPr>
    </w:p>
    <w:p w14:paraId="2370B776">
      <w:pPr>
        <w:pStyle w:val="281"/>
        <w:ind w:firstLine="480"/>
      </w:pPr>
      <w:r>
        <w:t>由此可得：本项目投入运行后，运营期噪声污染源对厂界各评价点的预测值满足《工业企业厂界环境噪声排放标准》（GB12348-2008）3类区标准要求；项目周边200m范围内没有敏感点分布，因此，不会造成噪声扰民现象，但建设单位仍应引起重视，合理布置产噪设备，进一步完善降噪措施，降低噪声对环境的影响。</w:t>
      </w:r>
    </w:p>
    <w:p w14:paraId="363AE24A">
      <w:pPr>
        <w:pStyle w:val="97"/>
        <w:rPr>
          <w:rFonts w:hint="eastAsia"/>
        </w:rPr>
      </w:pPr>
      <w:r>
        <w:rPr>
          <w:rFonts w:hint="eastAsia"/>
        </w:rPr>
        <w:t>自查表</w:t>
      </w:r>
    </w:p>
    <w:p w14:paraId="0C08021C">
      <w:pPr>
        <w:pStyle w:val="281"/>
        <w:ind w:firstLine="480"/>
      </w:pPr>
      <w:r>
        <w:rPr>
          <w:rFonts w:hint="eastAsia"/>
        </w:rPr>
        <w:t>声环境影响自查见下表。</w:t>
      </w:r>
    </w:p>
    <w:p w14:paraId="2A459BC1">
      <w:pPr>
        <w:pStyle w:val="535"/>
        <w:rPr>
          <w:rFonts w:hint="eastAsia"/>
          <w:color w:val="auto"/>
        </w:rPr>
      </w:pPr>
      <w:r>
        <w:rPr>
          <w:rFonts w:hint="eastAsia"/>
          <w:color w:val="auto"/>
        </w:rPr>
        <w:t>表</w:t>
      </w:r>
      <w:r>
        <w:rPr>
          <w:color w:val="auto"/>
        </w:rPr>
        <w:t>5.5.</w:t>
      </w:r>
      <w:r>
        <w:rPr>
          <w:rFonts w:hint="eastAsia"/>
          <w:color w:val="auto"/>
        </w:rPr>
        <w:t>4</w:t>
      </w:r>
      <w:r>
        <w:rPr>
          <w:color w:val="auto"/>
        </w:rPr>
        <w:noBreakHyphen/>
      </w:r>
      <w:r>
        <w:rPr>
          <w:color w:val="auto"/>
        </w:rPr>
        <w:t xml:space="preserve">1    </w:t>
      </w:r>
      <w:r>
        <w:rPr>
          <w:rFonts w:hint="eastAsia"/>
          <w:color w:val="auto"/>
        </w:rPr>
        <w:t>声环境影响自查表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148"/>
        <w:gridCol w:w="1559"/>
        <w:gridCol w:w="991"/>
        <w:gridCol w:w="991"/>
        <w:gridCol w:w="863"/>
        <w:gridCol w:w="553"/>
        <w:gridCol w:w="283"/>
        <w:gridCol w:w="991"/>
        <w:gridCol w:w="949"/>
      </w:tblGrid>
      <w:tr w14:paraId="4094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2709" w:type="dxa"/>
            <w:gridSpan w:val="2"/>
            <w:vAlign w:val="center"/>
          </w:tcPr>
          <w:p w14:paraId="4B74FBB3">
            <w:pPr>
              <w:pStyle w:val="557"/>
            </w:pPr>
            <w:r>
              <w:rPr>
                <w:rFonts w:hint="eastAsia"/>
              </w:rPr>
              <w:t>工作内容</w:t>
            </w:r>
          </w:p>
        </w:tc>
        <w:tc>
          <w:tcPr>
            <w:tcW w:w="5627" w:type="dxa"/>
            <w:gridSpan w:val="7"/>
            <w:vAlign w:val="center"/>
          </w:tcPr>
          <w:p w14:paraId="61E8F1E5">
            <w:pPr>
              <w:pStyle w:val="557"/>
            </w:pPr>
            <w:r>
              <w:rPr>
                <w:rFonts w:hint="eastAsia"/>
              </w:rPr>
              <w:t>自查项目</w:t>
            </w:r>
          </w:p>
        </w:tc>
      </w:tr>
      <w:tr w14:paraId="6A5F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restart"/>
            <w:vAlign w:val="center"/>
          </w:tcPr>
          <w:p w14:paraId="257BB009">
            <w:pPr>
              <w:pStyle w:val="557"/>
            </w:pPr>
            <w:r>
              <w:rPr>
                <w:rFonts w:hint="eastAsia"/>
              </w:rPr>
              <w:t>评价等级</w:t>
            </w:r>
          </w:p>
          <w:p w14:paraId="151D128D">
            <w:pPr>
              <w:pStyle w:val="557"/>
            </w:pPr>
            <w:r>
              <w:rPr>
                <w:rFonts w:hint="eastAsia"/>
              </w:rPr>
              <w:t>与范围</w:t>
            </w:r>
          </w:p>
        </w:tc>
        <w:tc>
          <w:tcPr>
            <w:tcW w:w="1560" w:type="dxa"/>
            <w:vAlign w:val="center"/>
          </w:tcPr>
          <w:p w14:paraId="175D776D">
            <w:pPr>
              <w:pStyle w:val="557"/>
            </w:pPr>
            <w:r>
              <w:rPr>
                <w:rFonts w:hint="eastAsia"/>
              </w:rPr>
              <w:t>评价等级</w:t>
            </w:r>
          </w:p>
        </w:tc>
        <w:tc>
          <w:tcPr>
            <w:tcW w:w="5627" w:type="dxa"/>
            <w:gridSpan w:val="7"/>
            <w:vAlign w:val="center"/>
          </w:tcPr>
          <w:p w14:paraId="77BB6005">
            <w:pPr>
              <w:pStyle w:val="557"/>
            </w:pPr>
            <w:r>
              <w:rPr>
                <w:rFonts w:hint="eastAsia"/>
              </w:rPr>
              <w:t>一级□二级□三级</w:t>
            </w:r>
            <w:r>
              <w:rPr>
                <w:rFonts w:hint="eastAsia"/>
                <w:lang w:val="de-DE"/>
              </w:rPr>
              <w:sym w:font="Wingdings 2" w:char="F052"/>
            </w:r>
          </w:p>
        </w:tc>
      </w:tr>
      <w:tr w14:paraId="53F3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6EE45015">
            <w:pPr>
              <w:pStyle w:val="557"/>
            </w:pPr>
          </w:p>
        </w:tc>
        <w:tc>
          <w:tcPr>
            <w:tcW w:w="1560" w:type="dxa"/>
            <w:vAlign w:val="center"/>
          </w:tcPr>
          <w:p w14:paraId="47E12379">
            <w:pPr>
              <w:pStyle w:val="557"/>
            </w:pPr>
            <w:r>
              <w:rPr>
                <w:rFonts w:hint="eastAsia"/>
              </w:rPr>
              <w:t>评价范围</w:t>
            </w:r>
          </w:p>
        </w:tc>
        <w:tc>
          <w:tcPr>
            <w:tcW w:w="5627" w:type="dxa"/>
            <w:gridSpan w:val="7"/>
            <w:vAlign w:val="center"/>
          </w:tcPr>
          <w:p w14:paraId="231ABDE3">
            <w:pPr>
              <w:pStyle w:val="557"/>
            </w:pPr>
            <w:r>
              <w:rPr>
                <w:rFonts w:hint="eastAsia"/>
              </w:rPr>
              <w:t>200 m</w:t>
            </w:r>
            <w:r>
              <w:rPr>
                <w:rFonts w:hint="eastAsia"/>
                <w:lang w:val="de-DE"/>
              </w:rPr>
              <w:sym w:font="Wingdings 2" w:char="F052"/>
            </w:r>
            <w:r>
              <w:rPr>
                <w:rFonts w:hint="eastAsia"/>
              </w:rPr>
              <w:t xml:space="preserve">    大于 200 m□   小于200 m□</w:t>
            </w:r>
          </w:p>
        </w:tc>
      </w:tr>
      <w:tr w14:paraId="2627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Align w:val="center"/>
          </w:tcPr>
          <w:p w14:paraId="3EB4C2DD">
            <w:pPr>
              <w:pStyle w:val="557"/>
            </w:pPr>
            <w:r>
              <w:rPr>
                <w:rFonts w:hint="eastAsia"/>
              </w:rPr>
              <w:t>评价因子</w:t>
            </w:r>
          </w:p>
        </w:tc>
        <w:tc>
          <w:tcPr>
            <w:tcW w:w="1560" w:type="dxa"/>
            <w:vAlign w:val="center"/>
          </w:tcPr>
          <w:p w14:paraId="37A47798">
            <w:pPr>
              <w:pStyle w:val="557"/>
            </w:pPr>
            <w:r>
              <w:rPr>
                <w:rFonts w:hint="eastAsia"/>
              </w:rPr>
              <w:t>评价因子</w:t>
            </w:r>
          </w:p>
        </w:tc>
        <w:tc>
          <w:tcPr>
            <w:tcW w:w="5627" w:type="dxa"/>
            <w:gridSpan w:val="7"/>
            <w:vAlign w:val="center"/>
          </w:tcPr>
          <w:p w14:paraId="3B8CDDDB">
            <w:pPr>
              <w:pStyle w:val="557"/>
            </w:pPr>
            <w:r>
              <w:rPr>
                <w:rFonts w:hint="eastAsia"/>
              </w:rPr>
              <w:t>等效连续A声级</w:t>
            </w:r>
            <w:r>
              <w:rPr>
                <w:rFonts w:hint="eastAsia"/>
                <w:lang w:val="de-DE"/>
              </w:rPr>
              <w:sym w:font="Wingdings 2" w:char="F052"/>
            </w:r>
            <w:r>
              <w:rPr>
                <w:rFonts w:hint="eastAsia"/>
              </w:rPr>
              <w:t>最大A声级□计权等效连续感觉噪声级□</w:t>
            </w:r>
          </w:p>
        </w:tc>
      </w:tr>
      <w:tr w14:paraId="1B26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Align w:val="center"/>
          </w:tcPr>
          <w:p w14:paraId="66AF5506">
            <w:pPr>
              <w:pStyle w:val="557"/>
            </w:pPr>
            <w:r>
              <w:rPr>
                <w:rFonts w:hint="eastAsia"/>
              </w:rPr>
              <w:t>评价标准</w:t>
            </w:r>
          </w:p>
        </w:tc>
        <w:tc>
          <w:tcPr>
            <w:tcW w:w="1560" w:type="dxa"/>
            <w:vAlign w:val="center"/>
          </w:tcPr>
          <w:p w14:paraId="6F5DC4C2">
            <w:pPr>
              <w:pStyle w:val="557"/>
            </w:pPr>
            <w:r>
              <w:rPr>
                <w:rFonts w:hint="eastAsia"/>
              </w:rPr>
              <w:t>评价标准</w:t>
            </w:r>
          </w:p>
        </w:tc>
        <w:tc>
          <w:tcPr>
            <w:tcW w:w="5627" w:type="dxa"/>
            <w:gridSpan w:val="7"/>
            <w:vAlign w:val="center"/>
          </w:tcPr>
          <w:p w14:paraId="7B5230CC">
            <w:pPr>
              <w:pStyle w:val="557"/>
            </w:pPr>
            <w:r>
              <w:rPr>
                <w:rFonts w:hint="eastAsia"/>
              </w:rPr>
              <w:t>国家标准</w:t>
            </w:r>
            <w:r>
              <w:rPr>
                <w:rFonts w:hint="eastAsia"/>
                <w:lang w:val="de-DE"/>
              </w:rPr>
              <w:sym w:font="Wingdings 2" w:char="F052"/>
            </w:r>
            <w:r>
              <w:rPr>
                <w:rFonts w:hint="eastAsia"/>
              </w:rPr>
              <w:t>地方标准□国外标准□</w:t>
            </w:r>
          </w:p>
        </w:tc>
      </w:tr>
      <w:tr w14:paraId="6970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restart"/>
            <w:vAlign w:val="center"/>
          </w:tcPr>
          <w:p w14:paraId="4120995D">
            <w:pPr>
              <w:pStyle w:val="557"/>
            </w:pPr>
            <w:r>
              <w:rPr>
                <w:rFonts w:hint="eastAsia"/>
              </w:rPr>
              <w:t>现状评价</w:t>
            </w:r>
          </w:p>
        </w:tc>
        <w:tc>
          <w:tcPr>
            <w:tcW w:w="1560" w:type="dxa"/>
            <w:vAlign w:val="center"/>
          </w:tcPr>
          <w:p w14:paraId="1AA85B8E">
            <w:pPr>
              <w:pStyle w:val="557"/>
            </w:pPr>
            <w:r>
              <w:rPr>
                <w:rFonts w:hint="eastAsia"/>
              </w:rPr>
              <w:t>环境功能区</w:t>
            </w:r>
          </w:p>
        </w:tc>
        <w:tc>
          <w:tcPr>
            <w:tcW w:w="992" w:type="dxa"/>
            <w:vAlign w:val="center"/>
          </w:tcPr>
          <w:p w14:paraId="47CD1719">
            <w:pPr>
              <w:pStyle w:val="557"/>
            </w:pPr>
            <w:r>
              <w:rPr>
                <w:rFonts w:hint="eastAsia"/>
              </w:rPr>
              <w:t>0类区□</w:t>
            </w:r>
          </w:p>
        </w:tc>
        <w:tc>
          <w:tcPr>
            <w:tcW w:w="992" w:type="dxa"/>
            <w:vAlign w:val="center"/>
          </w:tcPr>
          <w:p w14:paraId="21FC02FC">
            <w:pPr>
              <w:pStyle w:val="557"/>
            </w:pPr>
            <w:r>
              <w:rPr>
                <w:rFonts w:hint="eastAsia"/>
              </w:rPr>
              <w:t>1类区□</w:t>
            </w:r>
          </w:p>
        </w:tc>
        <w:tc>
          <w:tcPr>
            <w:tcW w:w="864" w:type="dxa"/>
            <w:vAlign w:val="center"/>
          </w:tcPr>
          <w:p w14:paraId="5C0B3C69">
            <w:pPr>
              <w:pStyle w:val="557"/>
            </w:pPr>
            <w:r>
              <w:rPr>
                <w:rFonts w:hint="eastAsia"/>
              </w:rPr>
              <w:t>2类区□</w:t>
            </w:r>
          </w:p>
        </w:tc>
        <w:tc>
          <w:tcPr>
            <w:tcW w:w="837" w:type="dxa"/>
            <w:gridSpan w:val="2"/>
            <w:vAlign w:val="center"/>
          </w:tcPr>
          <w:p w14:paraId="36197132">
            <w:pPr>
              <w:pStyle w:val="557"/>
            </w:pPr>
            <w:r>
              <w:rPr>
                <w:rFonts w:hint="eastAsia"/>
              </w:rPr>
              <w:t>3类区</w:t>
            </w:r>
            <w:r>
              <w:rPr>
                <w:rFonts w:hint="eastAsia"/>
                <w:lang w:val="de-DE"/>
              </w:rPr>
              <w:sym w:font="Wingdings 2" w:char="F052"/>
            </w:r>
          </w:p>
        </w:tc>
        <w:tc>
          <w:tcPr>
            <w:tcW w:w="992" w:type="dxa"/>
            <w:vAlign w:val="center"/>
          </w:tcPr>
          <w:p w14:paraId="091857F8">
            <w:pPr>
              <w:pStyle w:val="557"/>
            </w:pPr>
            <w:r>
              <w:rPr>
                <w:rFonts w:hint="eastAsia"/>
              </w:rPr>
              <w:t>4a类区□</w:t>
            </w:r>
          </w:p>
        </w:tc>
        <w:tc>
          <w:tcPr>
            <w:tcW w:w="950" w:type="dxa"/>
            <w:vAlign w:val="center"/>
          </w:tcPr>
          <w:p w14:paraId="05F37F8B">
            <w:pPr>
              <w:pStyle w:val="557"/>
            </w:pPr>
            <w:r>
              <w:rPr>
                <w:rFonts w:hint="eastAsia"/>
              </w:rPr>
              <w:t>4b类区□</w:t>
            </w:r>
          </w:p>
        </w:tc>
      </w:tr>
      <w:tr w14:paraId="0C6C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20847957">
            <w:pPr>
              <w:pStyle w:val="557"/>
            </w:pPr>
          </w:p>
        </w:tc>
        <w:tc>
          <w:tcPr>
            <w:tcW w:w="1560" w:type="dxa"/>
            <w:vAlign w:val="center"/>
          </w:tcPr>
          <w:p w14:paraId="152FC950">
            <w:pPr>
              <w:pStyle w:val="557"/>
            </w:pPr>
            <w:r>
              <w:rPr>
                <w:rFonts w:hint="eastAsia"/>
              </w:rPr>
              <w:t>评价年度</w:t>
            </w:r>
          </w:p>
        </w:tc>
        <w:tc>
          <w:tcPr>
            <w:tcW w:w="992" w:type="dxa"/>
            <w:vAlign w:val="center"/>
          </w:tcPr>
          <w:p w14:paraId="654AB935">
            <w:pPr>
              <w:pStyle w:val="557"/>
            </w:pPr>
            <w:r>
              <w:rPr>
                <w:rFonts w:hint="eastAsia"/>
              </w:rPr>
              <w:t>初期</w:t>
            </w:r>
            <w:r>
              <w:rPr>
                <w:rFonts w:hint="eastAsia"/>
                <w:lang w:val="de-DE"/>
              </w:rPr>
              <w:sym w:font="Wingdings 2" w:char="F052"/>
            </w:r>
          </w:p>
        </w:tc>
        <w:tc>
          <w:tcPr>
            <w:tcW w:w="992" w:type="dxa"/>
            <w:vAlign w:val="center"/>
          </w:tcPr>
          <w:p w14:paraId="7EB01A77">
            <w:pPr>
              <w:pStyle w:val="557"/>
            </w:pPr>
            <w:r>
              <w:rPr>
                <w:rFonts w:hint="eastAsia"/>
              </w:rPr>
              <w:t>近期□</w:t>
            </w:r>
          </w:p>
        </w:tc>
        <w:tc>
          <w:tcPr>
            <w:tcW w:w="1418" w:type="dxa"/>
            <w:gridSpan w:val="2"/>
            <w:vAlign w:val="center"/>
          </w:tcPr>
          <w:p w14:paraId="44F43CDE">
            <w:pPr>
              <w:pStyle w:val="557"/>
            </w:pPr>
            <w:r>
              <w:rPr>
                <w:rFonts w:hint="eastAsia"/>
              </w:rPr>
              <w:t>中期□</w:t>
            </w:r>
          </w:p>
        </w:tc>
        <w:tc>
          <w:tcPr>
            <w:tcW w:w="2225" w:type="dxa"/>
            <w:gridSpan w:val="3"/>
            <w:vAlign w:val="center"/>
          </w:tcPr>
          <w:p w14:paraId="68CFF161">
            <w:pPr>
              <w:pStyle w:val="557"/>
            </w:pPr>
            <w:r>
              <w:rPr>
                <w:rFonts w:hint="eastAsia"/>
              </w:rPr>
              <w:t>远期□</w:t>
            </w:r>
          </w:p>
        </w:tc>
      </w:tr>
      <w:tr w14:paraId="38C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26C2FFF6">
            <w:pPr>
              <w:pStyle w:val="557"/>
            </w:pPr>
          </w:p>
        </w:tc>
        <w:tc>
          <w:tcPr>
            <w:tcW w:w="1560" w:type="dxa"/>
            <w:vAlign w:val="center"/>
          </w:tcPr>
          <w:p w14:paraId="21E24AB3">
            <w:pPr>
              <w:pStyle w:val="557"/>
            </w:pPr>
            <w:r>
              <w:rPr>
                <w:rFonts w:hint="eastAsia"/>
              </w:rPr>
              <w:t>现状调查方法</w:t>
            </w:r>
          </w:p>
        </w:tc>
        <w:tc>
          <w:tcPr>
            <w:tcW w:w="5627" w:type="dxa"/>
            <w:gridSpan w:val="7"/>
            <w:vAlign w:val="center"/>
          </w:tcPr>
          <w:p w14:paraId="01586FB3">
            <w:pPr>
              <w:pStyle w:val="557"/>
            </w:pPr>
            <w:r>
              <w:rPr>
                <w:rFonts w:hint="eastAsia"/>
              </w:rPr>
              <w:t>现场实测法</w:t>
            </w:r>
            <w:r>
              <w:rPr>
                <w:rFonts w:hint="eastAsia"/>
                <w:lang w:val="de-DE"/>
              </w:rPr>
              <w:sym w:font="Wingdings 2" w:char="F052"/>
            </w:r>
            <w:r>
              <w:rPr>
                <w:rFonts w:hint="eastAsia"/>
                <w:lang w:val="de-DE"/>
              </w:rPr>
              <w:t xml:space="preserve">     </w:t>
            </w:r>
            <w:r>
              <w:rPr>
                <w:rFonts w:hint="eastAsia"/>
              </w:rPr>
              <w:t>现场实测加模型计算法    □     收集资料□</w:t>
            </w:r>
          </w:p>
        </w:tc>
      </w:tr>
      <w:tr w14:paraId="5B7E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010C8CAB">
            <w:pPr>
              <w:pStyle w:val="557"/>
            </w:pPr>
          </w:p>
        </w:tc>
        <w:tc>
          <w:tcPr>
            <w:tcW w:w="1560" w:type="dxa"/>
            <w:vAlign w:val="center"/>
          </w:tcPr>
          <w:p w14:paraId="597D2D0C">
            <w:pPr>
              <w:pStyle w:val="557"/>
            </w:pPr>
            <w:r>
              <w:rPr>
                <w:rFonts w:hint="eastAsia"/>
              </w:rPr>
              <w:t>现状评价</w:t>
            </w:r>
          </w:p>
        </w:tc>
        <w:tc>
          <w:tcPr>
            <w:tcW w:w="1984" w:type="dxa"/>
            <w:gridSpan w:val="2"/>
            <w:vAlign w:val="center"/>
          </w:tcPr>
          <w:p w14:paraId="323616A7">
            <w:pPr>
              <w:pStyle w:val="557"/>
            </w:pPr>
            <w:r>
              <w:rPr>
                <w:rFonts w:hint="eastAsia"/>
              </w:rPr>
              <w:t>达标百分比</w:t>
            </w:r>
          </w:p>
        </w:tc>
        <w:tc>
          <w:tcPr>
            <w:tcW w:w="3643" w:type="dxa"/>
            <w:gridSpan w:val="5"/>
            <w:vAlign w:val="center"/>
          </w:tcPr>
          <w:p w14:paraId="600FDC2F">
            <w:pPr>
              <w:pStyle w:val="557"/>
            </w:pPr>
            <w:r>
              <w:rPr>
                <w:rFonts w:hint="eastAsia"/>
              </w:rPr>
              <w:t>100%</w:t>
            </w:r>
          </w:p>
        </w:tc>
      </w:tr>
      <w:tr w14:paraId="6D6E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Align w:val="center"/>
          </w:tcPr>
          <w:p w14:paraId="2C076856">
            <w:pPr>
              <w:pStyle w:val="557"/>
            </w:pPr>
            <w:r>
              <w:rPr>
                <w:rFonts w:hint="eastAsia"/>
              </w:rPr>
              <w:t>噪声源调查</w:t>
            </w:r>
          </w:p>
        </w:tc>
        <w:tc>
          <w:tcPr>
            <w:tcW w:w="1560" w:type="dxa"/>
            <w:vAlign w:val="center"/>
          </w:tcPr>
          <w:p w14:paraId="333A6DDB">
            <w:pPr>
              <w:pStyle w:val="557"/>
            </w:pPr>
            <w:r>
              <w:rPr>
                <w:rFonts w:hint="eastAsia"/>
              </w:rPr>
              <w:t>噪声源调查法</w:t>
            </w:r>
          </w:p>
        </w:tc>
        <w:tc>
          <w:tcPr>
            <w:tcW w:w="5627" w:type="dxa"/>
            <w:gridSpan w:val="7"/>
            <w:vAlign w:val="center"/>
          </w:tcPr>
          <w:p w14:paraId="63953064">
            <w:pPr>
              <w:pStyle w:val="557"/>
            </w:pPr>
            <w:r>
              <w:rPr>
                <w:rFonts w:hint="eastAsia"/>
              </w:rPr>
              <w:t>现场实测□已有资料</w:t>
            </w:r>
            <w:r>
              <w:rPr>
                <w:rFonts w:hint="eastAsia"/>
                <w:lang w:val="de-DE"/>
              </w:rPr>
              <w:sym w:font="Wingdings 2" w:char="F052"/>
            </w:r>
            <w:r>
              <w:rPr>
                <w:rFonts w:hint="eastAsia"/>
              </w:rPr>
              <w:t>研究成果□</w:t>
            </w:r>
          </w:p>
        </w:tc>
      </w:tr>
      <w:tr w14:paraId="6232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restart"/>
            <w:vAlign w:val="center"/>
          </w:tcPr>
          <w:p w14:paraId="3C301E27">
            <w:pPr>
              <w:pStyle w:val="557"/>
            </w:pPr>
            <w:r>
              <w:rPr>
                <w:rFonts w:hint="eastAsia"/>
              </w:rPr>
              <w:t>声环境影</w:t>
            </w:r>
          </w:p>
          <w:p w14:paraId="1D019B9B">
            <w:pPr>
              <w:pStyle w:val="557"/>
            </w:pPr>
            <w:r>
              <w:rPr>
                <w:rFonts w:hint="eastAsia"/>
              </w:rPr>
              <w:t>响预测与</w:t>
            </w:r>
          </w:p>
          <w:p w14:paraId="61BB5030">
            <w:pPr>
              <w:pStyle w:val="557"/>
            </w:pPr>
            <w:r>
              <w:rPr>
                <w:rFonts w:hint="eastAsia"/>
              </w:rPr>
              <w:t>评价</w:t>
            </w:r>
          </w:p>
        </w:tc>
        <w:tc>
          <w:tcPr>
            <w:tcW w:w="1560" w:type="dxa"/>
            <w:vAlign w:val="center"/>
          </w:tcPr>
          <w:p w14:paraId="6A003B32">
            <w:pPr>
              <w:pStyle w:val="557"/>
            </w:pPr>
            <w:r>
              <w:rPr>
                <w:rFonts w:hint="eastAsia"/>
              </w:rPr>
              <w:t>预测模型</w:t>
            </w:r>
          </w:p>
        </w:tc>
        <w:tc>
          <w:tcPr>
            <w:tcW w:w="5627" w:type="dxa"/>
            <w:gridSpan w:val="7"/>
            <w:vAlign w:val="center"/>
          </w:tcPr>
          <w:p w14:paraId="25EBCD60">
            <w:pPr>
              <w:pStyle w:val="557"/>
            </w:pPr>
            <w:r>
              <w:rPr>
                <w:rFonts w:hint="eastAsia"/>
              </w:rPr>
              <w:t>导则推荐模型</w:t>
            </w:r>
            <w:r>
              <w:rPr>
                <w:rFonts w:hint="eastAsia"/>
                <w:lang w:val="de-DE"/>
              </w:rPr>
              <w:sym w:font="Wingdings 2" w:char="F052"/>
            </w:r>
            <w:r>
              <w:rPr>
                <w:rFonts w:hint="eastAsia"/>
              </w:rPr>
              <w:t>其他□</w:t>
            </w:r>
          </w:p>
        </w:tc>
      </w:tr>
      <w:tr w14:paraId="2C6A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49FFB25D">
            <w:pPr>
              <w:pStyle w:val="557"/>
            </w:pPr>
          </w:p>
        </w:tc>
        <w:tc>
          <w:tcPr>
            <w:tcW w:w="1560" w:type="dxa"/>
            <w:vAlign w:val="center"/>
          </w:tcPr>
          <w:p w14:paraId="716A87DA">
            <w:pPr>
              <w:pStyle w:val="557"/>
            </w:pPr>
            <w:r>
              <w:rPr>
                <w:rFonts w:hint="eastAsia"/>
              </w:rPr>
              <w:t>预测范围</w:t>
            </w:r>
          </w:p>
        </w:tc>
        <w:tc>
          <w:tcPr>
            <w:tcW w:w="5627" w:type="dxa"/>
            <w:gridSpan w:val="7"/>
            <w:vAlign w:val="center"/>
          </w:tcPr>
          <w:p w14:paraId="1EEAAFE2">
            <w:pPr>
              <w:pStyle w:val="557"/>
            </w:pPr>
            <w:r>
              <w:rPr>
                <w:rFonts w:hint="eastAsia"/>
              </w:rPr>
              <w:t>200 m</w:t>
            </w:r>
            <w:r>
              <w:rPr>
                <w:rFonts w:hint="eastAsia"/>
                <w:lang w:val="de-DE"/>
              </w:rPr>
              <w:sym w:font="Wingdings 2" w:char="F052"/>
            </w:r>
            <w:r>
              <w:rPr>
                <w:rFonts w:hint="eastAsia"/>
                <w:lang w:val="de-DE"/>
              </w:rPr>
              <w:t xml:space="preserve">        </w:t>
            </w:r>
            <w:r>
              <w:rPr>
                <w:rFonts w:hint="eastAsia"/>
              </w:rPr>
              <w:t>大于 200 m□       小于200 m □</w:t>
            </w:r>
          </w:p>
        </w:tc>
      </w:tr>
      <w:tr w14:paraId="1F2F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7EF31478">
            <w:pPr>
              <w:pStyle w:val="557"/>
            </w:pPr>
          </w:p>
        </w:tc>
        <w:tc>
          <w:tcPr>
            <w:tcW w:w="1560" w:type="dxa"/>
            <w:vAlign w:val="center"/>
          </w:tcPr>
          <w:p w14:paraId="4E6539F3">
            <w:pPr>
              <w:pStyle w:val="557"/>
            </w:pPr>
            <w:r>
              <w:rPr>
                <w:rFonts w:hint="eastAsia"/>
              </w:rPr>
              <w:t>预测因子</w:t>
            </w:r>
          </w:p>
        </w:tc>
        <w:tc>
          <w:tcPr>
            <w:tcW w:w="5627" w:type="dxa"/>
            <w:gridSpan w:val="7"/>
            <w:vAlign w:val="center"/>
          </w:tcPr>
          <w:p w14:paraId="1C6D10F2">
            <w:pPr>
              <w:pStyle w:val="557"/>
            </w:pPr>
            <w:r>
              <w:rPr>
                <w:rFonts w:hint="eastAsia"/>
              </w:rPr>
              <w:t>等效连续A声级</w:t>
            </w:r>
            <w:r>
              <w:rPr>
                <w:rFonts w:hint="eastAsia"/>
                <w:lang w:val="de-DE"/>
              </w:rPr>
              <w:sym w:font="Wingdings 2" w:char="F052"/>
            </w:r>
            <w:r>
              <w:rPr>
                <w:rFonts w:hint="eastAsia"/>
              </w:rPr>
              <w:t>最大A声级□计权等效连续感觉噪声级□</w:t>
            </w:r>
          </w:p>
        </w:tc>
      </w:tr>
      <w:tr w14:paraId="149B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0A28D4AA">
            <w:pPr>
              <w:pStyle w:val="557"/>
            </w:pPr>
          </w:p>
        </w:tc>
        <w:tc>
          <w:tcPr>
            <w:tcW w:w="1560" w:type="dxa"/>
            <w:vAlign w:val="center"/>
          </w:tcPr>
          <w:p w14:paraId="5B7329AA">
            <w:pPr>
              <w:pStyle w:val="557"/>
            </w:pPr>
            <w:r>
              <w:rPr>
                <w:rFonts w:hint="eastAsia"/>
              </w:rPr>
              <w:t>厂界噪声贡献值</w:t>
            </w:r>
          </w:p>
        </w:tc>
        <w:tc>
          <w:tcPr>
            <w:tcW w:w="5627" w:type="dxa"/>
            <w:gridSpan w:val="7"/>
            <w:vAlign w:val="center"/>
          </w:tcPr>
          <w:p w14:paraId="6C124987">
            <w:pPr>
              <w:pStyle w:val="557"/>
            </w:pPr>
            <w:r>
              <w:rPr>
                <w:rFonts w:hint="eastAsia"/>
              </w:rPr>
              <w:t>达标</w:t>
            </w:r>
            <w:r>
              <w:rPr>
                <w:rFonts w:hint="eastAsia"/>
                <w:lang w:val="de-DE"/>
              </w:rPr>
              <w:sym w:font="Wingdings 2" w:char="F052"/>
            </w:r>
            <w:r>
              <w:rPr>
                <w:rFonts w:hint="eastAsia"/>
              </w:rPr>
              <w:t>不达标□</w:t>
            </w:r>
          </w:p>
        </w:tc>
      </w:tr>
      <w:tr w14:paraId="070F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353C6D4B">
            <w:pPr>
              <w:pStyle w:val="557"/>
            </w:pPr>
          </w:p>
        </w:tc>
        <w:tc>
          <w:tcPr>
            <w:tcW w:w="1560" w:type="dxa"/>
            <w:vAlign w:val="center"/>
          </w:tcPr>
          <w:p w14:paraId="6A39AC69">
            <w:pPr>
              <w:pStyle w:val="557"/>
            </w:pPr>
            <w:r>
              <w:rPr>
                <w:rFonts w:hint="eastAsia"/>
              </w:rPr>
              <w:t>声环境保护目标处噪声值</w:t>
            </w:r>
          </w:p>
        </w:tc>
        <w:tc>
          <w:tcPr>
            <w:tcW w:w="5627" w:type="dxa"/>
            <w:gridSpan w:val="7"/>
            <w:vAlign w:val="center"/>
          </w:tcPr>
          <w:p w14:paraId="41983400">
            <w:pPr>
              <w:pStyle w:val="557"/>
            </w:pPr>
            <w:r>
              <w:rPr>
                <w:rFonts w:hint="eastAsia"/>
              </w:rPr>
              <w:t>达标□不达标□</w:t>
            </w:r>
          </w:p>
        </w:tc>
      </w:tr>
      <w:tr w14:paraId="1102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restart"/>
            <w:vAlign w:val="center"/>
          </w:tcPr>
          <w:p w14:paraId="03658219">
            <w:pPr>
              <w:pStyle w:val="557"/>
            </w:pPr>
            <w:r>
              <w:rPr>
                <w:rFonts w:hint="eastAsia"/>
              </w:rPr>
              <w:t>环境监测</w:t>
            </w:r>
          </w:p>
          <w:p w14:paraId="683CB193">
            <w:pPr>
              <w:pStyle w:val="557"/>
            </w:pPr>
            <w:r>
              <w:rPr>
                <w:rFonts w:hint="eastAsia"/>
              </w:rPr>
              <w:t>计划</w:t>
            </w:r>
          </w:p>
        </w:tc>
        <w:tc>
          <w:tcPr>
            <w:tcW w:w="1560" w:type="dxa"/>
            <w:vAlign w:val="center"/>
          </w:tcPr>
          <w:p w14:paraId="7B7552F4">
            <w:pPr>
              <w:pStyle w:val="557"/>
            </w:pPr>
            <w:r>
              <w:rPr>
                <w:rFonts w:hint="eastAsia"/>
              </w:rPr>
              <w:t>排放监测</w:t>
            </w:r>
          </w:p>
        </w:tc>
        <w:tc>
          <w:tcPr>
            <w:tcW w:w="5627" w:type="dxa"/>
            <w:gridSpan w:val="7"/>
            <w:vAlign w:val="center"/>
          </w:tcPr>
          <w:p w14:paraId="5EFC52D3">
            <w:pPr>
              <w:pStyle w:val="557"/>
            </w:pPr>
            <w:r>
              <w:rPr>
                <w:rFonts w:hint="eastAsia"/>
              </w:rPr>
              <w:t>厂界监测</w:t>
            </w:r>
            <w:r>
              <w:rPr>
                <w:rFonts w:hint="eastAsia"/>
                <w:lang w:val="de-DE"/>
              </w:rPr>
              <w:sym w:font="Wingdings 2" w:char="F052"/>
            </w:r>
            <w:r>
              <w:rPr>
                <w:rFonts w:hint="eastAsia"/>
              </w:rPr>
              <w:t>固定位置监测□自动监测□手动监测</w:t>
            </w:r>
            <w:r>
              <w:rPr>
                <w:rFonts w:hint="eastAsia"/>
                <w:lang w:val="de-DE"/>
              </w:rPr>
              <w:sym w:font="Wingdings 2" w:char="F052"/>
            </w:r>
            <w:r>
              <w:rPr>
                <w:rFonts w:hint="eastAsia"/>
              </w:rPr>
              <w:t>无监测□</w:t>
            </w:r>
          </w:p>
        </w:tc>
      </w:tr>
      <w:tr w14:paraId="5C16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Merge w:val="continue"/>
            <w:vAlign w:val="center"/>
          </w:tcPr>
          <w:p w14:paraId="20C3162B">
            <w:pPr>
              <w:pStyle w:val="557"/>
            </w:pPr>
          </w:p>
        </w:tc>
        <w:tc>
          <w:tcPr>
            <w:tcW w:w="1560" w:type="dxa"/>
            <w:vAlign w:val="center"/>
          </w:tcPr>
          <w:p w14:paraId="77363C1F">
            <w:pPr>
              <w:pStyle w:val="557"/>
            </w:pPr>
            <w:r>
              <w:rPr>
                <w:rFonts w:hint="eastAsia"/>
              </w:rPr>
              <w:t>声环境保护目</w:t>
            </w:r>
          </w:p>
          <w:p w14:paraId="76AD5C8E">
            <w:pPr>
              <w:pStyle w:val="557"/>
            </w:pPr>
            <w:r>
              <w:rPr>
                <w:rFonts w:hint="eastAsia"/>
              </w:rPr>
              <w:t>标处噪声监测</w:t>
            </w:r>
          </w:p>
        </w:tc>
        <w:tc>
          <w:tcPr>
            <w:tcW w:w="1984" w:type="dxa"/>
            <w:gridSpan w:val="2"/>
            <w:vAlign w:val="center"/>
          </w:tcPr>
          <w:p w14:paraId="73C4B7FB">
            <w:pPr>
              <w:pStyle w:val="557"/>
            </w:pPr>
            <w:r>
              <w:rPr>
                <w:rFonts w:hint="eastAsia"/>
              </w:rPr>
              <w:t>监测因子：</w:t>
            </w:r>
          </w:p>
          <w:p w14:paraId="5CD316E3">
            <w:pPr>
              <w:pStyle w:val="557"/>
            </w:pPr>
            <w:r>
              <w:rPr>
                <w:rFonts w:hint="eastAsia"/>
              </w:rPr>
              <w:t>（等效连续A声级）</w:t>
            </w:r>
          </w:p>
        </w:tc>
        <w:tc>
          <w:tcPr>
            <w:tcW w:w="1701" w:type="dxa"/>
            <w:gridSpan w:val="3"/>
            <w:vAlign w:val="center"/>
          </w:tcPr>
          <w:p w14:paraId="2921E24D">
            <w:pPr>
              <w:pStyle w:val="557"/>
            </w:pPr>
            <w:r>
              <w:rPr>
                <w:rFonts w:hint="eastAsia"/>
              </w:rPr>
              <w:t>监测点位</w:t>
            </w:r>
          </w:p>
          <w:p w14:paraId="13F363AA">
            <w:pPr>
              <w:pStyle w:val="557"/>
            </w:pPr>
            <w:r>
              <w:rPr>
                <w:rFonts w:hint="eastAsia"/>
              </w:rPr>
              <w:t>（厂界四周）</w:t>
            </w:r>
          </w:p>
        </w:tc>
        <w:tc>
          <w:tcPr>
            <w:tcW w:w="1942" w:type="dxa"/>
            <w:gridSpan w:val="2"/>
            <w:vAlign w:val="center"/>
          </w:tcPr>
          <w:p w14:paraId="7B43335E">
            <w:pPr>
              <w:pStyle w:val="557"/>
            </w:pPr>
            <w:r>
              <w:rPr>
                <w:rFonts w:hint="eastAsia"/>
              </w:rPr>
              <w:t>无监测□</w:t>
            </w:r>
          </w:p>
        </w:tc>
      </w:tr>
      <w:tr w14:paraId="4699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1149" w:type="dxa"/>
            <w:vAlign w:val="center"/>
          </w:tcPr>
          <w:p w14:paraId="679FD9E5">
            <w:pPr>
              <w:pStyle w:val="557"/>
            </w:pPr>
            <w:r>
              <w:rPr>
                <w:rFonts w:hint="eastAsia"/>
              </w:rPr>
              <w:t>评价结论</w:t>
            </w:r>
          </w:p>
        </w:tc>
        <w:tc>
          <w:tcPr>
            <w:tcW w:w="1560" w:type="dxa"/>
            <w:vAlign w:val="center"/>
          </w:tcPr>
          <w:p w14:paraId="7A7719BA">
            <w:pPr>
              <w:pStyle w:val="557"/>
            </w:pPr>
            <w:r>
              <w:rPr>
                <w:rFonts w:hint="eastAsia"/>
              </w:rPr>
              <w:t>环境影响</w:t>
            </w:r>
          </w:p>
        </w:tc>
        <w:tc>
          <w:tcPr>
            <w:tcW w:w="5627" w:type="dxa"/>
            <w:gridSpan w:val="7"/>
            <w:vAlign w:val="center"/>
          </w:tcPr>
          <w:p w14:paraId="4622F838">
            <w:pPr>
              <w:pStyle w:val="557"/>
            </w:pPr>
            <w:r>
              <w:rPr>
                <w:rFonts w:hint="eastAsia"/>
              </w:rPr>
              <w:t>可行</w:t>
            </w:r>
            <w:r>
              <w:rPr>
                <w:rFonts w:hint="eastAsia"/>
                <w:lang w:val="de-DE"/>
              </w:rPr>
              <w:sym w:font="Wingdings 2" w:char="F052"/>
            </w:r>
            <w:r>
              <w:rPr>
                <w:rFonts w:hint="eastAsia"/>
              </w:rPr>
              <w:t>不可行□</w:t>
            </w:r>
          </w:p>
        </w:tc>
      </w:tr>
      <w:tr w14:paraId="1145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8336" w:type="dxa"/>
            <w:gridSpan w:val="9"/>
            <w:vAlign w:val="center"/>
          </w:tcPr>
          <w:p w14:paraId="0460D12E">
            <w:pPr>
              <w:pStyle w:val="557"/>
            </w:pPr>
            <w:r>
              <w:rPr>
                <w:rFonts w:hint="eastAsia"/>
              </w:rPr>
              <w:t>注：“□”为勾选项，可√；“（）”为内容填写项。</w:t>
            </w:r>
          </w:p>
        </w:tc>
      </w:tr>
    </w:tbl>
    <w:p w14:paraId="334CD186">
      <w:pPr>
        <w:pStyle w:val="557"/>
      </w:pPr>
    </w:p>
    <w:p w14:paraId="250ED560">
      <w:pPr>
        <w:pStyle w:val="3"/>
        <w:rPr>
          <w:rFonts w:hint="eastAsia"/>
        </w:rPr>
      </w:pPr>
      <w:bookmarkStart w:id="344" w:name="_Toc12886"/>
      <w:r>
        <w:t>运营期固体废物影响预测与评价</w:t>
      </w:r>
      <w:bookmarkEnd w:id="344"/>
    </w:p>
    <w:p w14:paraId="451C9998">
      <w:pPr>
        <w:pStyle w:val="97"/>
        <w:rPr>
          <w:rFonts w:hint="eastAsia"/>
        </w:rPr>
      </w:pPr>
      <w:r>
        <w:t>固体废物产生处置情况</w:t>
      </w:r>
    </w:p>
    <w:p w14:paraId="753D2E43">
      <w:pPr>
        <w:pStyle w:val="128"/>
        <w:rPr>
          <w:rFonts w:hint="eastAsia"/>
        </w:rPr>
      </w:pPr>
      <w:r>
        <w:rPr>
          <w:rFonts w:hint="eastAsia"/>
        </w:rPr>
        <w:t>拟建项目产生的固体废物包括一般工业固体废物、危险废物、生活垃圾。本项目固体废物产生及排放情况见表5.6</w:t>
      </w:r>
      <w:r>
        <w:t>.1</w:t>
      </w:r>
      <w:r>
        <w:rPr>
          <w:rFonts w:hint="eastAsia"/>
        </w:rPr>
        <w:t>-1。</w:t>
      </w:r>
    </w:p>
    <w:p w14:paraId="4724BC92">
      <w:pPr>
        <w:pStyle w:val="97"/>
        <w:rPr>
          <w:rFonts w:hint="eastAsia"/>
        </w:rPr>
      </w:pPr>
      <w:r>
        <w:t>固体废物环境影响分析</w:t>
      </w:r>
    </w:p>
    <w:p w14:paraId="67630D2C">
      <w:pPr>
        <w:pStyle w:val="98"/>
        <w:rPr>
          <w:rFonts w:hint="eastAsia"/>
        </w:rPr>
      </w:pPr>
      <w:r>
        <w:rPr>
          <w:rFonts w:hint="eastAsia"/>
        </w:rPr>
        <w:t>产生影响</w:t>
      </w:r>
      <w:r>
        <w:t>的环节</w:t>
      </w:r>
    </w:p>
    <w:p w14:paraId="5DFD2C8C">
      <w:pPr>
        <w:pStyle w:val="128"/>
        <w:rPr>
          <w:rFonts w:hint="eastAsia"/>
        </w:rPr>
      </w:pPr>
      <w:r>
        <w:rPr>
          <w:rFonts w:hint="eastAsia"/>
        </w:rPr>
        <w:t>拟建项目产生的固体废物在产生、收集、贮存、运输、利用和处置过程中可能会对外环境造成影响：</w:t>
      </w:r>
    </w:p>
    <w:p w14:paraId="54A2CF59">
      <w:pPr>
        <w:pStyle w:val="128"/>
        <w:rPr>
          <w:rFonts w:hint="eastAsia"/>
        </w:rPr>
      </w:pPr>
      <w:r>
        <w:rPr>
          <w:rFonts w:hint="eastAsia"/>
        </w:rPr>
        <w:t>（1）固体废物，特别是危险废物在产生、分类收集、贮存过程，如危废贮存场所选址不合理、贮存能力不满足要求或管理不善造成的危险废物与一般工业固体废物、生活垃圾的混放；</w:t>
      </w:r>
    </w:p>
    <w:p w14:paraId="04F97708">
      <w:pPr>
        <w:pStyle w:val="128"/>
        <w:rPr>
          <w:rFonts w:hint="eastAsia"/>
        </w:rPr>
      </w:pPr>
      <w:r>
        <w:rPr>
          <w:rFonts w:hint="eastAsia"/>
        </w:rPr>
        <w:t>（2）固体废物，特别是危险废物从厂区内产生工艺环节运输到贮存场所或处置设施过程可能产生散落、泄漏所引起的环境影响；</w:t>
      </w:r>
    </w:p>
    <w:p w14:paraId="71581E62">
      <w:pPr>
        <w:pStyle w:val="128"/>
        <w:rPr>
          <w:rFonts w:hint="eastAsia"/>
        </w:rPr>
        <w:sectPr>
          <w:pgSz w:w="11906" w:h="16838"/>
          <w:pgMar w:top="1440" w:right="1800" w:bottom="1440" w:left="1800" w:header="851" w:footer="850" w:gutter="0"/>
          <w:cols w:space="425" w:num="1"/>
          <w:docGrid w:type="lines" w:linePitch="326" w:charSpace="0"/>
        </w:sectPr>
      </w:pPr>
      <w:r>
        <w:rPr>
          <w:rFonts w:hint="eastAsia"/>
        </w:rPr>
        <w:t>（3）固体废物，特别是危险废物在综合利用或处置过程中对环境造成影响</w:t>
      </w:r>
      <w:r>
        <w:t>。</w:t>
      </w:r>
    </w:p>
    <w:p w14:paraId="5C928372">
      <w:pPr>
        <w:spacing w:line="360" w:lineRule="auto"/>
        <w:jc w:val="center"/>
        <w:rPr>
          <w:rFonts w:hint="eastAsia" w:ascii="黑体" w:hAnsi="黑体" w:eastAsia="黑体"/>
          <w:b/>
        </w:rPr>
      </w:pPr>
      <w:r>
        <w:rPr>
          <w:rFonts w:hint="eastAsia" w:ascii="黑体" w:hAnsi="黑体" w:eastAsia="黑体"/>
          <w:b/>
        </w:rPr>
        <w:t>表5.6.1-1</w:t>
      </w:r>
      <w:r>
        <w:rPr>
          <w:rFonts w:ascii="黑体" w:hAnsi="黑体" w:eastAsia="黑体"/>
          <w:b/>
        </w:rPr>
        <w:t xml:space="preserve">    </w:t>
      </w:r>
      <w:r>
        <w:rPr>
          <w:rFonts w:hint="eastAsia" w:ascii="黑体" w:hAnsi="黑体" w:eastAsia="黑体"/>
          <w:b/>
        </w:rPr>
        <w:t>全厂固体废物产生类别、产生量及处置去向一览表</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835"/>
        <w:gridCol w:w="1621"/>
        <w:gridCol w:w="2004"/>
        <w:gridCol w:w="2078"/>
        <w:gridCol w:w="2660"/>
        <w:gridCol w:w="1422"/>
      </w:tblGrid>
      <w:tr w14:paraId="322E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Merge w:val="restart"/>
            <w:vAlign w:val="center"/>
          </w:tcPr>
          <w:p w14:paraId="7BC99157">
            <w:pPr>
              <w:jc w:val="center"/>
              <w:rPr>
                <w:rFonts w:ascii="Times New Roman" w:hAnsi="Times New Roman" w:cs="Times New Roman"/>
                <w:color w:val="000000"/>
                <w:sz w:val="18"/>
                <w:szCs w:val="18"/>
              </w:rPr>
            </w:pPr>
            <w:r>
              <w:rPr>
                <w:rFonts w:ascii="Times New Roman" w:hAnsi="Times New Roman" w:cs="Times New Roman"/>
                <w:color w:val="000000"/>
                <w:sz w:val="18"/>
                <w:szCs w:val="18"/>
              </w:rPr>
              <w:t>编号</w:t>
            </w:r>
          </w:p>
        </w:tc>
        <w:tc>
          <w:tcPr>
            <w:tcW w:w="2835" w:type="dxa"/>
            <w:vMerge w:val="restart"/>
            <w:vAlign w:val="center"/>
          </w:tcPr>
          <w:p w14:paraId="7ED9AA24">
            <w:pPr>
              <w:jc w:val="center"/>
              <w:rPr>
                <w:rFonts w:ascii="Times New Roman" w:hAnsi="Times New Roman" w:cs="Times New Roman"/>
                <w:color w:val="000000"/>
                <w:sz w:val="18"/>
                <w:szCs w:val="18"/>
              </w:rPr>
            </w:pPr>
            <w:r>
              <w:rPr>
                <w:rFonts w:ascii="Times New Roman" w:hAnsi="Times New Roman" w:cs="Times New Roman"/>
                <w:color w:val="000000"/>
                <w:sz w:val="18"/>
                <w:szCs w:val="18"/>
              </w:rPr>
              <w:t>固废名称</w:t>
            </w:r>
          </w:p>
        </w:tc>
        <w:tc>
          <w:tcPr>
            <w:tcW w:w="3625" w:type="dxa"/>
            <w:gridSpan w:val="2"/>
            <w:vAlign w:val="center"/>
          </w:tcPr>
          <w:p w14:paraId="7F612AE0">
            <w:pPr>
              <w:jc w:val="center"/>
              <w:rPr>
                <w:rFonts w:ascii="Times New Roman" w:hAnsi="Times New Roman" w:cs="Times New Roman"/>
                <w:color w:val="000000"/>
                <w:sz w:val="18"/>
                <w:szCs w:val="18"/>
              </w:rPr>
            </w:pPr>
            <w:r>
              <w:rPr>
                <w:rFonts w:ascii="Times New Roman" w:hAnsi="Times New Roman" w:cs="Times New Roman"/>
                <w:color w:val="000000"/>
                <w:sz w:val="18"/>
                <w:szCs w:val="18"/>
              </w:rPr>
              <w:t>固废属性</w:t>
            </w:r>
          </w:p>
        </w:tc>
        <w:tc>
          <w:tcPr>
            <w:tcW w:w="2078" w:type="dxa"/>
            <w:vMerge w:val="restart"/>
            <w:vAlign w:val="center"/>
          </w:tcPr>
          <w:p w14:paraId="4DB6C0B2">
            <w:pPr>
              <w:jc w:val="center"/>
              <w:rPr>
                <w:rFonts w:ascii="Times New Roman" w:hAnsi="Times New Roman" w:cs="Times New Roman"/>
                <w:color w:val="000000"/>
                <w:sz w:val="18"/>
                <w:szCs w:val="18"/>
              </w:rPr>
            </w:pPr>
            <w:r>
              <w:rPr>
                <w:rFonts w:ascii="Times New Roman" w:hAnsi="Times New Roman" w:cs="Times New Roman"/>
                <w:color w:val="000000"/>
                <w:sz w:val="18"/>
                <w:szCs w:val="18"/>
              </w:rPr>
              <w:t>产生量（t/a）</w:t>
            </w:r>
          </w:p>
        </w:tc>
        <w:tc>
          <w:tcPr>
            <w:tcW w:w="2660" w:type="dxa"/>
            <w:vMerge w:val="restart"/>
            <w:vAlign w:val="center"/>
          </w:tcPr>
          <w:p w14:paraId="770B4719">
            <w:pPr>
              <w:jc w:val="center"/>
              <w:rPr>
                <w:rFonts w:ascii="Times New Roman" w:hAnsi="Times New Roman" w:cs="Times New Roman"/>
                <w:color w:val="000000"/>
                <w:sz w:val="18"/>
                <w:szCs w:val="18"/>
              </w:rPr>
            </w:pPr>
            <w:r>
              <w:rPr>
                <w:rFonts w:ascii="Times New Roman" w:hAnsi="Times New Roman" w:cs="Times New Roman"/>
                <w:color w:val="000000"/>
                <w:sz w:val="18"/>
                <w:szCs w:val="18"/>
              </w:rPr>
              <w:t>处理措施</w:t>
            </w:r>
            <w:r>
              <w:rPr>
                <w:rFonts w:ascii="Times New Roman" w:hAnsi="Times New Roman" w:cs="Times New Roman"/>
                <w:sz w:val="18"/>
                <w:szCs w:val="18"/>
              </w:rPr>
              <w:t>厂内暂存后送有资质单位处置</w:t>
            </w:r>
          </w:p>
        </w:tc>
        <w:tc>
          <w:tcPr>
            <w:tcW w:w="1422" w:type="dxa"/>
            <w:vMerge w:val="restart"/>
            <w:vAlign w:val="center"/>
          </w:tcPr>
          <w:p w14:paraId="06B39381">
            <w:pPr>
              <w:jc w:val="center"/>
              <w:rPr>
                <w:rFonts w:ascii="Times New Roman" w:hAnsi="Times New Roman" w:cs="Times New Roman"/>
                <w:color w:val="000000"/>
                <w:sz w:val="18"/>
                <w:szCs w:val="18"/>
              </w:rPr>
            </w:pPr>
            <w:r>
              <w:rPr>
                <w:rFonts w:ascii="Times New Roman" w:hAnsi="Times New Roman" w:cs="Times New Roman"/>
                <w:color w:val="000000"/>
                <w:sz w:val="18"/>
                <w:szCs w:val="18"/>
              </w:rPr>
              <w:t>处理量（t/a）</w:t>
            </w:r>
          </w:p>
        </w:tc>
      </w:tr>
      <w:tr w14:paraId="621F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Merge w:val="continue"/>
            <w:vAlign w:val="center"/>
          </w:tcPr>
          <w:p w14:paraId="3B35A57C">
            <w:pPr>
              <w:rPr>
                <w:rFonts w:ascii="Times New Roman" w:hAnsi="Times New Roman" w:cs="Times New Roman"/>
                <w:color w:val="000000"/>
                <w:sz w:val="18"/>
                <w:szCs w:val="18"/>
              </w:rPr>
            </w:pPr>
          </w:p>
        </w:tc>
        <w:tc>
          <w:tcPr>
            <w:tcW w:w="2835" w:type="dxa"/>
            <w:vMerge w:val="continue"/>
            <w:vAlign w:val="center"/>
          </w:tcPr>
          <w:p w14:paraId="141A53C0">
            <w:pPr>
              <w:rPr>
                <w:rFonts w:ascii="Times New Roman" w:hAnsi="Times New Roman" w:cs="Times New Roman"/>
                <w:color w:val="000000"/>
                <w:sz w:val="18"/>
                <w:szCs w:val="18"/>
              </w:rPr>
            </w:pPr>
          </w:p>
        </w:tc>
        <w:tc>
          <w:tcPr>
            <w:tcW w:w="1621" w:type="dxa"/>
            <w:vAlign w:val="center"/>
          </w:tcPr>
          <w:p w14:paraId="510BAE16">
            <w:pPr>
              <w:jc w:val="center"/>
              <w:rPr>
                <w:rFonts w:ascii="Times New Roman" w:hAnsi="Times New Roman" w:cs="Times New Roman"/>
                <w:color w:val="000000"/>
                <w:sz w:val="18"/>
                <w:szCs w:val="18"/>
              </w:rPr>
            </w:pPr>
            <w:r>
              <w:rPr>
                <w:rFonts w:ascii="Times New Roman" w:hAnsi="Times New Roman" w:cs="Times New Roman"/>
                <w:color w:val="000000"/>
                <w:sz w:val="18"/>
                <w:szCs w:val="18"/>
              </w:rPr>
              <w:t>固废属性</w:t>
            </w:r>
          </w:p>
        </w:tc>
        <w:tc>
          <w:tcPr>
            <w:tcW w:w="2004" w:type="dxa"/>
            <w:vAlign w:val="center"/>
          </w:tcPr>
          <w:p w14:paraId="48226AD1">
            <w:pPr>
              <w:jc w:val="center"/>
              <w:rPr>
                <w:rFonts w:ascii="Times New Roman" w:hAnsi="Times New Roman" w:cs="Times New Roman"/>
                <w:color w:val="000000"/>
                <w:sz w:val="18"/>
                <w:szCs w:val="18"/>
              </w:rPr>
            </w:pPr>
            <w:r>
              <w:rPr>
                <w:rFonts w:ascii="Times New Roman" w:hAnsi="Times New Roman" w:cs="Times New Roman"/>
                <w:color w:val="000000"/>
                <w:sz w:val="18"/>
                <w:szCs w:val="18"/>
              </w:rPr>
              <w:t>代码</w:t>
            </w:r>
          </w:p>
        </w:tc>
        <w:tc>
          <w:tcPr>
            <w:tcW w:w="2078" w:type="dxa"/>
            <w:vMerge w:val="continue"/>
            <w:vAlign w:val="center"/>
          </w:tcPr>
          <w:p w14:paraId="6B68B22F">
            <w:pPr>
              <w:rPr>
                <w:rFonts w:ascii="Times New Roman" w:hAnsi="Times New Roman" w:cs="Times New Roman"/>
                <w:color w:val="000000"/>
                <w:sz w:val="18"/>
                <w:szCs w:val="18"/>
              </w:rPr>
            </w:pPr>
          </w:p>
        </w:tc>
        <w:tc>
          <w:tcPr>
            <w:tcW w:w="2660" w:type="dxa"/>
            <w:vMerge w:val="continue"/>
            <w:vAlign w:val="center"/>
          </w:tcPr>
          <w:p w14:paraId="2A88A23F">
            <w:pPr>
              <w:rPr>
                <w:rFonts w:ascii="Times New Roman" w:hAnsi="Times New Roman" w:cs="Times New Roman"/>
                <w:color w:val="000000"/>
                <w:sz w:val="18"/>
                <w:szCs w:val="18"/>
              </w:rPr>
            </w:pPr>
          </w:p>
        </w:tc>
        <w:tc>
          <w:tcPr>
            <w:tcW w:w="1422" w:type="dxa"/>
            <w:vMerge w:val="continue"/>
            <w:vAlign w:val="center"/>
          </w:tcPr>
          <w:p w14:paraId="56C51763">
            <w:pPr>
              <w:rPr>
                <w:rFonts w:ascii="Times New Roman" w:hAnsi="Times New Roman" w:cs="Times New Roman"/>
                <w:color w:val="000000"/>
                <w:sz w:val="18"/>
                <w:szCs w:val="18"/>
              </w:rPr>
            </w:pPr>
          </w:p>
        </w:tc>
      </w:tr>
      <w:tr w14:paraId="34D9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5E8C146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1-1</w:t>
            </w:r>
          </w:p>
        </w:tc>
        <w:tc>
          <w:tcPr>
            <w:tcW w:w="2835" w:type="dxa"/>
            <w:vAlign w:val="center"/>
          </w:tcPr>
          <w:p w14:paraId="3EF67F24">
            <w:pPr>
              <w:jc w:val="center"/>
              <w:rPr>
                <w:rFonts w:ascii="Times New Roman" w:hAnsi="Times New Roman" w:cs="Times New Roman"/>
                <w:color w:val="000000"/>
                <w:sz w:val="18"/>
                <w:szCs w:val="18"/>
              </w:rPr>
            </w:pPr>
            <w:r>
              <w:rPr>
                <w:rFonts w:ascii="Times New Roman" w:hAnsi="Times New Roman" w:cs="Times New Roman"/>
                <w:color w:val="000000"/>
                <w:sz w:val="18"/>
                <w:szCs w:val="18"/>
              </w:rPr>
              <w:t>气化细渣</w:t>
            </w:r>
          </w:p>
        </w:tc>
        <w:tc>
          <w:tcPr>
            <w:tcW w:w="1621" w:type="dxa"/>
            <w:vAlign w:val="center"/>
          </w:tcPr>
          <w:p w14:paraId="117860DF">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522907D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252-003-S16</w:t>
            </w:r>
          </w:p>
        </w:tc>
        <w:tc>
          <w:tcPr>
            <w:tcW w:w="2078" w:type="dxa"/>
            <w:vAlign w:val="center"/>
          </w:tcPr>
          <w:p w14:paraId="0B1F22EB">
            <w:pPr>
              <w:pStyle w:val="557"/>
            </w:pPr>
            <w:r>
              <w:rPr>
                <w:rFonts w:hint="eastAsia"/>
              </w:rPr>
              <w:t>38196.48</w:t>
            </w:r>
          </w:p>
        </w:tc>
        <w:tc>
          <w:tcPr>
            <w:tcW w:w="2660" w:type="dxa"/>
            <w:vMerge w:val="restart"/>
            <w:vAlign w:val="center"/>
          </w:tcPr>
          <w:p w14:paraId="448B5A5A">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厂区不存储，</w:t>
            </w:r>
            <w:r>
              <w:rPr>
                <w:rFonts w:ascii="Times New Roman" w:hAnsi="Times New Roman" w:cs="Times New Roman"/>
                <w:color w:val="000000"/>
                <w:sz w:val="18"/>
                <w:szCs w:val="18"/>
              </w:rPr>
              <w:t>送一般固废填埋场</w:t>
            </w:r>
          </w:p>
        </w:tc>
        <w:tc>
          <w:tcPr>
            <w:tcW w:w="1422" w:type="dxa"/>
            <w:vAlign w:val="center"/>
          </w:tcPr>
          <w:p w14:paraId="31160563">
            <w:pPr>
              <w:pStyle w:val="557"/>
            </w:pPr>
            <w:r>
              <w:rPr>
                <w:rFonts w:hint="eastAsia"/>
              </w:rPr>
              <w:t>38196.48</w:t>
            </w:r>
          </w:p>
        </w:tc>
      </w:tr>
      <w:tr w14:paraId="2526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1818060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1-2</w:t>
            </w:r>
          </w:p>
        </w:tc>
        <w:tc>
          <w:tcPr>
            <w:tcW w:w="2835" w:type="dxa"/>
            <w:vAlign w:val="center"/>
          </w:tcPr>
          <w:p w14:paraId="6CAC45C2">
            <w:pPr>
              <w:jc w:val="center"/>
              <w:rPr>
                <w:rFonts w:ascii="Times New Roman" w:hAnsi="Times New Roman" w:cs="Times New Roman"/>
                <w:color w:val="000000"/>
                <w:sz w:val="18"/>
                <w:szCs w:val="18"/>
              </w:rPr>
            </w:pPr>
            <w:r>
              <w:rPr>
                <w:rFonts w:ascii="Times New Roman" w:hAnsi="Times New Roman" w:cs="Times New Roman"/>
                <w:color w:val="000000"/>
                <w:sz w:val="18"/>
                <w:szCs w:val="18"/>
              </w:rPr>
              <w:t>气化粗渣</w:t>
            </w:r>
          </w:p>
        </w:tc>
        <w:tc>
          <w:tcPr>
            <w:tcW w:w="1621" w:type="dxa"/>
            <w:vAlign w:val="center"/>
          </w:tcPr>
          <w:p w14:paraId="27FD100D">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325D7DD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252-002-S16</w:t>
            </w:r>
          </w:p>
        </w:tc>
        <w:tc>
          <w:tcPr>
            <w:tcW w:w="2078" w:type="dxa"/>
            <w:vAlign w:val="center"/>
          </w:tcPr>
          <w:p w14:paraId="47B18702">
            <w:pPr>
              <w:pStyle w:val="557"/>
            </w:pPr>
            <w:r>
              <w:rPr>
                <w:rFonts w:hint="eastAsia"/>
              </w:rPr>
              <w:t>44123.52</w:t>
            </w:r>
          </w:p>
        </w:tc>
        <w:tc>
          <w:tcPr>
            <w:tcW w:w="2660" w:type="dxa"/>
            <w:vMerge w:val="continue"/>
            <w:vAlign w:val="center"/>
          </w:tcPr>
          <w:p w14:paraId="009532C5">
            <w:pPr>
              <w:jc w:val="center"/>
              <w:rPr>
                <w:rFonts w:ascii="Times New Roman" w:hAnsi="Times New Roman" w:cs="Times New Roman"/>
                <w:color w:val="000000"/>
                <w:sz w:val="18"/>
                <w:szCs w:val="18"/>
              </w:rPr>
            </w:pPr>
          </w:p>
        </w:tc>
        <w:tc>
          <w:tcPr>
            <w:tcW w:w="1422" w:type="dxa"/>
            <w:vAlign w:val="center"/>
          </w:tcPr>
          <w:p w14:paraId="76C95746">
            <w:pPr>
              <w:pStyle w:val="557"/>
            </w:pPr>
            <w:r>
              <w:rPr>
                <w:rFonts w:hint="eastAsia"/>
              </w:rPr>
              <w:t>44123.52</w:t>
            </w:r>
          </w:p>
        </w:tc>
      </w:tr>
      <w:tr w14:paraId="20F2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3188A4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1-3</w:t>
            </w:r>
          </w:p>
        </w:tc>
        <w:tc>
          <w:tcPr>
            <w:tcW w:w="2835" w:type="dxa"/>
            <w:vAlign w:val="center"/>
          </w:tcPr>
          <w:p w14:paraId="1F7E1EF0">
            <w:pPr>
              <w:jc w:val="center"/>
              <w:rPr>
                <w:rFonts w:ascii="Times New Roman" w:hAnsi="Times New Roman" w:cs="Times New Roman"/>
                <w:color w:val="000000"/>
                <w:sz w:val="18"/>
                <w:szCs w:val="18"/>
              </w:rPr>
            </w:pPr>
            <w:r>
              <w:rPr>
                <w:rFonts w:ascii="Times New Roman" w:hAnsi="Times New Roman" w:cs="Times New Roman"/>
                <w:color w:val="000000"/>
                <w:sz w:val="18"/>
                <w:szCs w:val="18"/>
              </w:rPr>
              <w:t>原煤仓收尘灰</w:t>
            </w:r>
          </w:p>
        </w:tc>
        <w:tc>
          <w:tcPr>
            <w:tcW w:w="1621" w:type="dxa"/>
            <w:vAlign w:val="center"/>
          </w:tcPr>
          <w:p w14:paraId="44759FCC">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6F80414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900-099-S16</w:t>
            </w:r>
          </w:p>
        </w:tc>
        <w:tc>
          <w:tcPr>
            <w:tcW w:w="2078" w:type="dxa"/>
            <w:vAlign w:val="center"/>
          </w:tcPr>
          <w:p w14:paraId="26563244">
            <w:pPr>
              <w:pStyle w:val="557"/>
            </w:pPr>
            <w:r>
              <w:rPr>
                <w:rFonts w:hint="eastAsia"/>
              </w:rPr>
              <w:t>117.65</w:t>
            </w:r>
          </w:p>
        </w:tc>
        <w:tc>
          <w:tcPr>
            <w:tcW w:w="2660" w:type="dxa"/>
            <w:vAlign w:val="center"/>
          </w:tcPr>
          <w:p w14:paraId="53D327F4">
            <w:pPr>
              <w:jc w:val="center"/>
              <w:rPr>
                <w:rFonts w:ascii="Times New Roman" w:hAnsi="Times New Roman" w:cs="Times New Roman"/>
                <w:color w:val="000000"/>
                <w:sz w:val="18"/>
                <w:szCs w:val="18"/>
              </w:rPr>
            </w:pPr>
            <w:r>
              <w:rPr>
                <w:rFonts w:ascii="Times New Roman" w:hAnsi="Times New Roman" w:cs="Times New Roman"/>
                <w:color w:val="000000"/>
                <w:sz w:val="18"/>
                <w:szCs w:val="18"/>
              </w:rPr>
              <w:t>回用</w:t>
            </w:r>
          </w:p>
        </w:tc>
        <w:tc>
          <w:tcPr>
            <w:tcW w:w="1422" w:type="dxa"/>
            <w:vAlign w:val="center"/>
          </w:tcPr>
          <w:p w14:paraId="66B09FE5">
            <w:pPr>
              <w:pStyle w:val="557"/>
            </w:pPr>
            <w:r>
              <w:rPr>
                <w:rFonts w:hint="eastAsia"/>
              </w:rPr>
              <w:t>117.65</w:t>
            </w:r>
          </w:p>
        </w:tc>
      </w:tr>
      <w:tr w14:paraId="0EF9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2D6384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1-4</w:t>
            </w:r>
          </w:p>
        </w:tc>
        <w:tc>
          <w:tcPr>
            <w:tcW w:w="2835" w:type="dxa"/>
            <w:vAlign w:val="center"/>
          </w:tcPr>
          <w:p w14:paraId="0F38CB31">
            <w:pPr>
              <w:jc w:val="center"/>
              <w:rPr>
                <w:rFonts w:ascii="Times New Roman" w:hAnsi="Times New Roman" w:cs="Times New Roman"/>
                <w:color w:val="000000"/>
                <w:sz w:val="18"/>
                <w:szCs w:val="18"/>
              </w:rPr>
            </w:pPr>
            <w:r>
              <w:rPr>
                <w:rFonts w:ascii="Times New Roman" w:hAnsi="Times New Roman" w:cs="Times New Roman"/>
                <w:color w:val="000000"/>
                <w:sz w:val="18"/>
                <w:szCs w:val="18"/>
              </w:rPr>
              <w:t>磨煤及干燥收尘灰</w:t>
            </w:r>
          </w:p>
        </w:tc>
        <w:tc>
          <w:tcPr>
            <w:tcW w:w="1621" w:type="dxa"/>
            <w:vAlign w:val="center"/>
          </w:tcPr>
          <w:p w14:paraId="10D7C569">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40BCFFD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900-099-S16</w:t>
            </w:r>
          </w:p>
        </w:tc>
        <w:tc>
          <w:tcPr>
            <w:tcW w:w="2078" w:type="dxa"/>
            <w:vAlign w:val="center"/>
          </w:tcPr>
          <w:p w14:paraId="2DB0E6BA">
            <w:pPr>
              <w:pStyle w:val="557"/>
            </w:pPr>
            <w:r>
              <w:rPr>
                <w:rFonts w:hint="eastAsia"/>
              </w:rPr>
              <w:t>1126.34</w:t>
            </w:r>
          </w:p>
        </w:tc>
        <w:tc>
          <w:tcPr>
            <w:tcW w:w="2660" w:type="dxa"/>
            <w:vAlign w:val="center"/>
          </w:tcPr>
          <w:p w14:paraId="769049CE">
            <w:pPr>
              <w:jc w:val="center"/>
              <w:rPr>
                <w:rFonts w:ascii="Times New Roman" w:hAnsi="Times New Roman" w:cs="Times New Roman"/>
                <w:color w:val="000000"/>
                <w:sz w:val="18"/>
                <w:szCs w:val="18"/>
              </w:rPr>
            </w:pPr>
            <w:r>
              <w:rPr>
                <w:rFonts w:ascii="Times New Roman" w:hAnsi="Times New Roman" w:cs="Times New Roman"/>
                <w:color w:val="000000"/>
                <w:sz w:val="18"/>
                <w:szCs w:val="18"/>
              </w:rPr>
              <w:t>回用</w:t>
            </w:r>
          </w:p>
        </w:tc>
        <w:tc>
          <w:tcPr>
            <w:tcW w:w="1422" w:type="dxa"/>
            <w:vAlign w:val="center"/>
          </w:tcPr>
          <w:p w14:paraId="186C54AE">
            <w:pPr>
              <w:pStyle w:val="557"/>
            </w:pPr>
            <w:r>
              <w:rPr>
                <w:rFonts w:hint="eastAsia"/>
              </w:rPr>
              <w:t>1126.34</w:t>
            </w:r>
          </w:p>
        </w:tc>
      </w:tr>
      <w:tr w14:paraId="7E16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FE36EE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1-5</w:t>
            </w:r>
          </w:p>
        </w:tc>
        <w:tc>
          <w:tcPr>
            <w:tcW w:w="2835" w:type="dxa"/>
            <w:vAlign w:val="center"/>
          </w:tcPr>
          <w:p w14:paraId="23219A03">
            <w:pPr>
              <w:pStyle w:val="557"/>
            </w:pPr>
            <w:r>
              <w:t>粉煤</w:t>
            </w:r>
            <w:r>
              <w:rPr>
                <w:rFonts w:hint="eastAsia"/>
              </w:rPr>
              <w:t>锁斗</w:t>
            </w:r>
            <w:r>
              <w:t>收尘灰</w:t>
            </w:r>
          </w:p>
        </w:tc>
        <w:tc>
          <w:tcPr>
            <w:tcW w:w="1621" w:type="dxa"/>
            <w:vAlign w:val="center"/>
          </w:tcPr>
          <w:p w14:paraId="5B1E2A9F">
            <w:pPr>
              <w:pStyle w:val="557"/>
            </w:pPr>
            <w:r>
              <w:t>一般固废</w:t>
            </w:r>
          </w:p>
        </w:tc>
        <w:tc>
          <w:tcPr>
            <w:tcW w:w="2004" w:type="dxa"/>
            <w:vAlign w:val="center"/>
          </w:tcPr>
          <w:p w14:paraId="2F56052E">
            <w:pPr>
              <w:pStyle w:val="557"/>
            </w:pPr>
            <w:r>
              <w:t>900-099-S16</w:t>
            </w:r>
          </w:p>
        </w:tc>
        <w:tc>
          <w:tcPr>
            <w:tcW w:w="2078" w:type="dxa"/>
            <w:vAlign w:val="center"/>
          </w:tcPr>
          <w:p w14:paraId="12119360">
            <w:pPr>
              <w:pStyle w:val="557"/>
            </w:pPr>
            <w:r>
              <w:rPr>
                <w:rFonts w:hint="eastAsia"/>
              </w:rPr>
              <w:t>117.65</w:t>
            </w:r>
          </w:p>
        </w:tc>
        <w:tc>
          <w:tcPr>
            <w:tcW w:w="2660" w:type="dxa"/>
            <w:vAlign w:val="center"/>
          </w:tcPr>
          <w:p w14:paraId="474F7F4C">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回用</w:t>
            </w:r>
          </w:p>
        </w:tc>
        <w:tc>
          <w:tcPr>
            <w:tcW w:w="1422" w:type="dxa"/>
            <w:vAlign w:val="center"/>
          </w:tcPr>
          <w:p w14:paraId="4FD37401">
            <w:pPr>
              <w:pStyle w:val="557"/>
            </w:pPr>
            <w:r>
              <w:rPr>
                <w:rFonts w:hint="eastAsia"/>
              </w:rPr>
              <w:t>117.65</w:t>
            </w:r>
          </w:p>
        </w:tc>
      </w:tr>
      <w:tr w14:paraId="450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39723A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2-1</w:t>
            </w:r>
          </w:p>
        </w:tc>
        <w:tc>
          <w:tcPr>
            <w:tcW w:w="2835" w:type="dxa"/>
            <w:vAlign w:val="center"/>
          </w:tcPr>
          <w:p w14:paraId="483EBAEB">
            <w:pPr>
              <w:pStyle w:val="557"/>
            </w:pPr>
            <w:r>
              <w:rPr>
                <w:rFonts w:hint="eastAsia"/>
              </w:rPr>
              <w:t>煤气冷却单元-废</w:t>
            </w:r>
            <w:r>
              <w:t>催化剂</w:t>
            </w:r>
          </w:p>
        </w:tc>
        <w:tc>
          <w:tcPr>
            <w:tcW w:w="1621" w:type="dxa"/>
            <w:vAlign w:val="center"/>
          </w:tcPr>
          <w:p w14:paraId="2995A4A3">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2004" w:type="dxa"/>
            <w:vAlign w:val="center"/>
          </w:tcPr>
          <w:p w14:paraId="6CD9BDD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HW50 261-167-50</w:t>
            </w:r>
          </w:p>
        </w:tc>
        <w:tc>
          <w:tcPr>
            <w:tcW w:w="2078" w:type="dxa"/>
            <w:vAlign w:val="center"/>
          </w:tcPr>
          <w:p w14:paraId="78546C31">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60t/a</w:t>
            </w:r>
          </w:p>
        </w:tc>
        <w:tc>
          <w:tcPr>
            <w:tcW w:w="2660" w:type="dxa"/>
            <w:vMerge w:val="restart"/>
            <w:vAlign w:val="center"/>
          </w:tcPr>
          <w:p w14:paraId="59C78F82">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厂内暂存后送有资质单位处置</w:t>
            </w:r>
          </w:p>
        </w:tc>
        <w:tc>
          <w:tcPr>
            <w:tcW w:w="1422" w:type="dxa"/>
            <w:vAlign w:val="center"/>
          </w:tcPr>
          <w:p w14:paraId="57D943DE">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60t/a</w:t>
            </w:r>
          </w:p>
        </w:tc>
      </w:tr>
      <w:tr w14:paraId="32FF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3EA855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2-2</w:t>
            </w:r>
          </w:p>
        </w:tc>
        <w:tc>
          <w:tcPr>
            <w:tcW w:w="2835" w:type="dxa"/>
            <w:vAlign w:val="center"/>
          </w:tcPr>
          <w:p w14:paraId="470A6094">
            <w:pPr>
              <w:pStyle w:val="557"/>
            </w:pPr>
            <w:r>
              <w:rPr>
                <w:rFonts w:hint="eastAsia"/>
              </w:rPr>
              <w:t>煤气冷却单元-</w:t>
            </w:r>
            <w:r>
              <w:t>废脱毒剂</w:t>
            </w:r>
          </w:p>
        </w:tc>
        <w:tc>
          <w:tcPr>
            <w:tcW w:w="1621" w:type="dxa"/>
            <w:vAlign w:val="center"/>
          </w:tcPr>
          <w:p w14:paraId="7427DEE9">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2004" w:type="dxa"/>
            <w:vAlign w:val="center"/>
          </w:tcPr>
          <w:p w14:paraId="389F85F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HW49 900-041-49</w:t>
            </w:r>
          </w:p>
        </w:tc>
        <w:tc>
          <w:tcPr>
            <w:tcW w:w="2078" w:type="dxa"/>
            <w:vAlign w:val="center"/>
          </w:tcPr>
          <w:p w14:paraId="5AE3D968">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20t/2a</w:t>
            </w:r>
          </w:p>
        </w:tc>
        <w:tc>
          <w:tcPr>
            <w:tcW w:w="2660" w:type="dxa"/>
            <w:vMerge w:val="continue"/>
            <w:vAlign w:val="center"/>
          </w:tcPr>
          <w:p w14:paraId="721841D8">
            <w:pPr>
              <w:jc w:val="center"/>
              <w:rPr>
                <w:rFonts w:ascii="Times New Roman" w:hAnsi="Times New Roman" w:cs="Times New Roman"/>
                <w:color w:val="000000"/>
                <w:sz w:val="18"/>
                <w:szCs w:val="18"/>
              </w:rPr>
            </w:pPr>
          </w:p>
        </w:tc>
        <w:tc>
          <w:tcPr>
            <w:tcW w:w="1422" w:type="dxa"/>
            <w:vAlign w:val="center"/>
          </w:tcPr>
          <w:p w14:paraId="27A2FE38">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20t/2a</w:t>
            </w:r>
          </w:p>
        </w:tc>
      </w:tr>
      <w:tr w14:paraId="0713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F4B131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2-3</w:t>
            </w:r>
          </w:p>
        </w:tc>
        <w:tc>
          <w:tcPr>
            <w:tcW w:w="2835" w:type="dxa"/>
            <w:vAlign w:val="center"/>
          </w:tcPr>
          <w:p w14:paraId="4E2796BE">
            <w:pPr>
              <w:pStyle w:val="557"/>
            </w:pPr>
            <w:r>
              <w:rPr>
                <w:rFonts w:hint="eastAsia"/>
              </w:rPr>
              <w:t>煤气冷却单元-废水解剂</w:t>
            </w:r>
          </w:p>
        </w:tc>
        <w:tc>
          <w:tcPr>
            <w:tcW w:w="1621" w:type="dxa"/>
            <w:vAlign w:val="center"/>
          </w:tcPr>
          <w:p w14:paraId="5FCEE4DE">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2004" w:type="dxa"/>
            <w:vAlign w:val="center"/>
          </w:tcPr>
          <w:p w14:paraId="1F2EFD6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HW49 900-041-49</w:t>
            </w:r>
          </w:p>
        </w:tc>
        <w:tc>
          <w:tcPr>
            <w:tcW w:w="2078" w:type="dxa"/>
            <w:vAlign w:val="center"/>
          </w:tcPr>
          <w:p w14:paraId="68BD2433">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54t/a</w:t>
            </w:r>
          </w:p>
        </w:tc>
        <w:tc>
          <w:tcPr>
            <w:tcW w:w="2660" w:type="dxa"/>
            <w:vMerge w:val="continue"/>
            <w:vAlign w:val="center"/>
          </w:tcPr>
          <w:p w14:paraId="3B229E0E">
            <w:pPr>
              <w:jc w:val="center"/>
              <w:rPr>
                <w:rFonts w:ascii="Times New Roman" w:hAnsi="Times New Roman" w:cs="Times New Roman"/>
                <w:color w:val="000000"/>
                <w:sz w:val="18"/>
                <w:szCs w:val="18"/>
              </w:rPr>
            </w:pPr>
          </w:p>
        </w:tc>
        <w:tc>
          <w:tcPr>
            <w:tcW w:w="1422" w:type="dxa"/>
            <w:vAlign w:val="center"/>
          </w:tcPr>
          <w:p w14:paraId="3A165DA5">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54t/a</w:t>
            </w:r>
          </w:p>
        </w:tc>
      </w:tr>
      <w:tr w14:paraId="5D6D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E2E671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2-4</w:t>
            </w:r>
          </w:p>
        </w:tc>
        <w:tc>
          <w:tcPr>
            <w:tcW w:w="2835" w:type="dxa"/>
            <w:vAlign w:val="center"/>
          </w:tcPr>
          <w:p w14:paraId="2534DD01">
            <w:pPr>
              <w:pStyle w:val="557"/>
            </w:pPr>
            <w:r>
              <w:rPr>
                <w:rFonts w:hint="eastAsia"/>
              </w:rPr>
              <w:t>深冷分离-</w:t>
            </w:r>
            <w:r>
              <w:t>废</w:t>
            </w:r>
            <w:r>
              <w:rPr>
                <w:rFonts w:hint="eastAsia"/>
              </w:rPr>
              <w:t>分子筛</w:t>
            </w:r>
          </w:p>
        </w:tc>
        <w:tc>
          <w:tcPr>
            <w:tcW w:w="1621" w:type="dxa"/>
          </w:tcPr>
          <w:p w14:paraId="780F436E">
            <w:pPr>
              <w:pStyle w:val="557"/>
            </w:pPr>
            <w:r>
              <w:rPr>
                <w:rFonts w:hint="eastAsia"/>
              </w:rPr>
              <w:t>一般固废</w:t>
            </w:r>
          </w:p>
        </w:tc>
        <w:tc>
          <w:tcPr>
            <w:tcW w:w="2004" w:type="dxa"/>
            <w:vAlign w:val="center"/>
          </w:tcPr>
          <w:p w14:paraId="7C9ACB84">
            <w:pPr>
              <w:pStyle w:val="557"/>
            </w:pPr>
            <w:r>
              <w:rPr>
                <w:rFonts w:hint="eastAsia"/>
              </w:rPr>
              <w:t>900-005-S59</w:t>
            </w:r>
          </w:p>
        </w:tc>
        <w:tc>
          <w:tcPr>
            <w:tcW w:w="2078" w:type="dxa"/>
            <w:vAlign w:val="center"/>
          </w:tcPr>
          <w:p w14:paraId="597E9132">
            <w:pPr>
              <w:jc w:val="center"/>
              <w:rPr>
                <w:rFonts w:ascii="Times New Roman" w:hAnsi="Times New Roman" w:eastAsia="等线" w:cs="Times New Roman"/>
                <w:color w:val="000000"/>
                <w:sz w:val="18"/>
                <w:szCs w:val="18"/>
              </w:rPr>
            </w:pPr>
            <w:r>
              <w:rPr>
                <w:rFonts w:ascii="Times New Roman" w:hAnsi="Times New Roman" w:cs="Times New Roman"/>
                <w:sz w:val="18"/>
                <w:szCs w:val="18"/>
              </w:rPr>
              <w:t>190</w:t>
            </w:r>
            <w:r>
              <w:rPr>
                <w:rFonts w:hint="eastAsia" w:ascii="Times New Roman" w:hAnsi="Times New Roman" w:cs="Times New Roman"/>
                <w:sz w:val="18"/>
                <w:szCs w:val="18"/>
              </w:rPr>
              <w:t>t</w:t>
            </w:r>
            <w:r>
              <w:rPr>
                <w:rFonts w:ascii="Times New Roman" w:hAnsi="Times New Roman" w:cs="Times New Roman"/>
                <w:sz w:val="18"/>
                <w:szCs w:val="18"/>
              </w:rPr>
              <w:t>/5a</w:t>
            </w:r>
          </w:p>
        </w:tc>
        <w:tc>
          <w:tcPr>
            <w:tcW w:w="2660" w:type="dxa"/>
            <w:vAlign w:val="center"/>
          </w:tcPr>
          <w:p w14:paraId="679509F2">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厂家回收</w:t>
            </w:r>
          </w:p>
        </w:tc>
        <w:tc>
          <w:tcPr>
            <w:tcW w:w="1422" w:type="dxa"/>
            <w:vAlign w:val="center"/>
          </w:tcPr>
          <w:p w14:paraId="5BAB8080">
            <w:pPr>
              <w:jc w:val="center"/>
              <w:rPr>
                <w:rFonts w:ascii="Times New Roman" w:hAnsi="Times New Roman" w:eastAsia="等线" w:cs="Times New Roman"/>
                <w:color w:val="000000"/>
                <w:sz w:val="18"/>
                <w:szCs w:val="18"/>
              </w:rPr>
            </w:pPr>
            <w:r>
              <w:rPr>
                <w:rFonts w:ascii="Times New Roman" w:hAnsi="Times New Roman" w:cs="Times New Roman"/>
                <w:sz w:val="18"/>
                <w:szCs w:val="18"/>
              </w:rPr>
              <w:t>190</w:t>
            </w:r>
            <w:r>
              <w:rPr>
                <w:rFonts w:hint="eastAsia" w:ascii="Times New Roman" w:hAnsi="Times New Roman" w:cs="Times New Roman"/>
                <w:sz w:val="18"/>
                <w:szCs w:val="18"/>
              </w:rPr>
              <w:t>t</w:t>
            </w:r>
            <w:r>
              <w:rPr>
                <w:rFonts w:ascii="Times New Roman" w:hAnsi="Times New Roman" w:cs="Times New Roman"/>
                <w:sz w:val="18"/>
                <w:szCs w:val="18"/>
              </w:rPr>
              <w:t>/5a</w:t>
            </w:r>
          </w:p>
        </w:tc>
      </w:tr>
      <w:tr w14:paraId="73E4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D7ECA00">
            <w:pPr>
              <w:jc w:val="center"/>
              <w:rPr>
                <w:rFonts w:ascii="Times New Roman" w:hAnsi="Times New Roman" w:eastAsia="等线" w:cs="Times New Roman"/>
                <w:sz w:val="18"/>
                <w:szCs w:val="18"/>
              </w:rPr>
            </w:pPr>
            <w:r>
              <w:rPr>
                <w:rFonts w:ascii="Times New Roman" w:hAnsi="Times New Roman" w:eastAsia="等线" w:cs="Times New Roman"/>
                <w:sz w:val="18"/>
                <w:szCs w:val="18"/>
              </w:rPr>
              <w:t>S</w:t>
            </w:r>
            <w:r>
              <w:rPr>
                <w:rFonts w:ascii="Times New Roman" w:hAnsi="Times New Roman" w:eastAsia="等线" w:cs="Times New Roman"/>
                <w:sz w:val="18"/>
                <w:szCs w:val="18"/>
                <w:vertAlign w:val="subscript"/>
              </w:rPr>
              <w:t>2-5</w:t>
            </w:r>
          </w:p>
        </w:tc>
        <w:tc>
          <w:tcPr>
            <w:tcW w:w="2835" w:type="dxa"/>
            <w:vAlign w:val="center"/>
          </w:tcPr>
          <w:p w14:paraId="141851DF">
            <w:pPr>
              <w:pStyle w:val="557"/>
            </w:pPr>
            <w:r>
              <w:t>废脱硝催化剂</w:t>
            </w:r>
          </w:p>
        </w:tc>
        <w:tc>
          <w:tcPr>
            <w:tcW w:w="1621" w:type="dxa"/>
            <w:vAlign w:val="center"/>
          </w:tcPr>
          <w:p w14:paraId="040992C2">
            <w:pPr>
              <w:pStyle w:val="557"/>
            </w:pPr>
            <w:r>
              <w:t>危险废物</w:t>
            </w:r>
          </w:p>
        </w:tc>
        <w:tc>
          <w:tcPr>
            <w:tcW w:w="2004" w:type="dxa"/>
            <w:vAlign w:val="center"/>
          </w:tcPr>
          <w:p w14:paraId="7E4FDF89">
            <w:pPr>
              <w:pStyle w:val="557"/>
            </w:pPr>
            <w:r>
              <w:t>HW50 772-007-50</w:t>
            </w:r>
          </w:p>
        </w:tc>
        <w:tc>
          <w:tcPr>
            <w:tcW w:w="2078" w:type="dxa"/>
            <w:vAlign w:val="center"/>
          </w:tcPr>
          <w:p w14:paraId="593F7A69">
            <w:pPr>
              <w:pStyle w:val="557"/>
            </w:pPr>
            <w:r>
              <w:rPr>
                <w:rFonts w:hint="eastAsia"/>
              </w:rPr>
              <w:t>1</w:t>
            </w:r>
            <w:r>
              <w:t>t/</w:t>
            </w:r>
            <w:r>
              <w:rPr>
                <w:rFonts w:hint="eastAsia"/>
              </w:rPr>
              <w:t>3</w:t>
            </w:r>
            <w:r>
              <w:t>a</w:t>
            </w:r>
          </w:p>
        </w:tc>
        <w:tc>
          <w:tcPr>
            <w:tcW w:w="2660" w:type="dxa"/>
            <w:vMerge w:val="restart"/>
            <w:vAlign w:val="center"/>
          </w:tcPr>
          <w:p w14:paraId="734800DB">
            <w:pPr>
              <w:pStyle w:val="557"/>
            </w:pPr>
            <w:r>
              <w:t>厂内暂存后送有资质单位处置</w:t>
            </w:r>
          </w:p>
        </w:tc>
        <w:tc>
          <w:tcPr>
            <w:tcW w:w="1422" w:type="dxa"/>
            <w:vAlign w:val="center"/>
          </w:tcPr>
          <w:p w14:paraId="2C55D549">
            <w:pPr>
              <w:pStyle w:val="557"/>
            </w:pPr>
            <w:r>
              <w:rPr>
                <w:rFonts w:hint="eastAsia"/>
              </w:rPr>
              <w:t>1</w:t>
            </w:r>
            <w:r>
              <w:t>t/</w:t>
            </w:r>
            <w:r>
              <w:rPr>
                <w:rFonts w:hint="eastAsia"/>
              </w:rPr>
              <w:t>3</w:t>
            </w:r>
            <w:r>
              <w:t>a</w:t>
            </w:r>
          </w:p>
        </w:tc>
      </w:tr>
      <w:tr w14:paraId="48BC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F836696">
            <w:pPr>
              <w:jc w:val="center"/>
              <w:rPr>
                <w:rFonts w:ascii="Times New Roman" w:hAnsi="Times New Roman" w:eastAsia="等线" w:cs="Times New Roman"/>
                <w:sz w:val="18"/>
                <w:szCs w:val="18"/>
              </w:rPr>
            </w:pPr>
            <w:r>
              <w:rPr>
                <w:rFonts w:ascii="Times New Roman" w:hAnsi="Times New Roman" w:eastAsia="等线" w:cs="Times New Roman"/>
                <w:sz w:val="18"/>
                <w:szCs w:val="18"/>
              </w:rPr>
              <w:t>S</w:t>
            </w:r>
            <w:r>
              <w:rPr>
                <w:rFonts w:ascii="Times New Roman" w:hAnsi="Times New Roman" w:eastAsia="等线" w:cs="Times New Roman"/>
                <w:sz w:val="18"/>
                <w:szCs w:val="18"/>
                <w:vertAlign w:val="subscript"/>
              </w:rPr>
              <w:t>2-6</w:t>
            </w:r>
          </w:p>
        </w:tc>
        <w:tc>
          <w:tcPr>
            <w:tcW w:w="2835" w:type="dxa"/>
            <w:vAlign w:val="center"/>
          </w:tcPr>
          <w:p w14:paraId="3F0339DF">
            <w:pPr>
              <w:pStyle w:val="557"/>
            </w:pPr>
            <w:r>
              <w:t>废SO</w:t>
            </w:r>
            <w:r>
              <w:rPr>
                <w:vertAlign w:val="subscript"/>
              </w:rPr>
              <w:t>2</w:t>
            </w:r>
            <w:r>
              <w:t>转化催化剂</w:t>
            </w:r>
          </w:p>
        </w:tc>
        <w:tc>
          <w:tcPr>
            <w:tcW w:w="1621" w:type="dxa"/>
            <w:vAlign w:val="center"/>
          </w:tcPr>
          <w:p w14:paraId="79CFEE62">
            <w:pPr>
              <w:pStyle w:val="557"/>
            </w:pPr>
            <w:r>
              <w:t>危险废物</w:t>
            </w:r>
          </w:p>
        </w:tc>
        <w:tc>
          <w:tcPr>
            <w:tcW w:w="2004" w:type="dxa"/>
          </w:tcPr>
          <w:p w14:paraId="38F925A8">
            <w:pPr>
              <w:pStyle w:val="557"/>
            </w:pPr>
            <w:r>
              <w:t>HW50 261-173-50</w:t>
            </w:r>
          </w:p>
        </w:tc>
        <w:tc>
          <w:tcPr>
            <w:tcW w:w="2078" w:type="dxa"/>
            <w:vAlign w:val="center"/>
          </w:tcPr>
          <w:p w14:paraId="492661D7">
            <w:pPr>
              <w:pStyle w:val="557"/>
            </w:pPr>
            <w:r>
              <w:rPr>
                <w:rFonts w:hint="eastAsia"/>
              </w:rPr>
              <w:t>84</w:t>
            </w:r>
            <w:r>
              <w:t>t/</w:t>
            </w:r>
            <w:r>
              <w:rPr>
                <w:rFonts w:hint="eastAsia"/>
              </w:rPr>
              <w:t>4</w:t>
            </w:r>
            <w:r>
              <w:t>a</w:t>
            </w:r>
          </w:p>
        </w:tc>
        <w:tc>
          <w:tcPr>
            <w:tcW w:w="2660" w:type="dxa"/>
            <w:vMerge w:val="continue"/>
            <w:vAlign w:val="center"/>
          </w:tcPr>
          <w:p w14:paraId="60845DB4">
            <w:pPr>
              <w:jc w:val="center"/>
              <w:rPr>
                <w:rFonts w:ascii="Times New Roman" w:hAnsi="Times New Roman" w:cs="Times New Roman"/>
                <w:sz w:val="18"/>
                <w:szCs w:val="18"/>
              </w:rPr>
            </w:pPr>
          </w:p>
        </w:tc>
        <w:tc>
          <w:tcPr>
            <w:tcW w:w="1422" w:type="dxa"/>
            <w:vAlign w:val="center"/>
          </w:tcPr>
          <w:p w14:paraId="510BB21C">
            <w:pPr>
              <w:pStyle w:val="557"/>
            </w:pPr>
            <w:r>
              <w:rPr>
                <w:rFonts w:hint="eastAsia"/>
              </w:rPr>
              <w:t>84</w:t>
            </w:r>
            <w:r>
              <w:t>t/</w:t>
            </w:r>
            <w:r>
              <w:rPr>
                <w:rFonts w:hint="eastAsia"/>
              </w:rPr>
              <w:t>4</w:t>
            </w:r>
            <w:r>
              <w:t>a</w:t>
            </w:r>
          </w:p>
        </w:tc>
      </w:tr>
      <w:tr w14:paraId="120A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99F8E46">
            <w:pPr>
              <w:pStyle w:val="557"/>
            </w:pPr>
            <w:r>
              <w:t>S</w:t>
            </w:r>
            <w:r>
              <w:rPr>
                <w:rFonts w:hint="eastAsia"/>
                <w:vertAlign w:val="subscript"/>
              </w:rPr>
              <w:t>3-</w:t>
            </w:r>
            <w:r>
              <w:rPr>
                <w:vertAlign w:val="subscript"/>
              </w:rPr>
              <w:t>1</w:t>
            </w:r>
          </w:p>
        </w:tc>
        <w:tc>
          <w:tcPr>
            <w:tcW w:w="2835" w:type="dxa"/>
            <w:vAlign w:val="center"/>
          </w:tcPr>
          <w:p w14:paraId="4921DBF6">
            <w:pPr>
              <w:pStyle w:val="557"/>
            </w:pPr>
            <w:r>
              <w:rPr>
                <w:rFonts w:hint="eastAsia"/>
              </w:rPr>
              <w:t>废脱氧（氢）催化剂</w:t>
            </w:r>
          </w:p>
        </w:tc>
        <w:tc>
          <w:tcPr>
            <w:tcW w:w="1621" w:type="dxa"/>
            <w:vAlign w:val="center"/>
          </w:tcPr>
          <w:p w14:paraId="33003F9D">
            <w:pPr>
              <w:pStyle w:val="557"/>
            </w:pPr>
            <w:r>
              <w:rPr>
                <w:rFonts w:hint="eastAsia"/>
              </w:rPr>
              <w:t>危险废物</w:t>
            </w:r>
          </w:p>
        </w:tc>
        <w:tc>
          <w:tcPr>
            <w:tcW w:w="2004" w:type="dxa"/>
            <w:vAlign w:val="center"/>
          </w:tcPr>
          <w:p w14:paraId="2B953C4F">
            <w:pPr>
              <w:pStyle w:val="557"/>
            </w:pPr>
            <w:r>
              <w:t>HW50 261-167-50</w:t>
            </w:r>
          </w:p>
        </w:tc>
        <w:tc>
          <w:tcPr>
            <w:tcW w:w="2078" w:type="dxa"/>
            <w:vAlign w:val="center"/>
          </w:tcPr>
          <w:p w14:paraId="1737671D">
            <w:pPr>
              <w:pStyle w:val="557"/>
            </w:pPr>
            <w:r>
              <w:rPr>
                <w:rFonts w:hint="eastAsia"/>
              </w:rPr>
              <w:t>5.49</w:t>
            </w:r>
            <w:r>
              <w:t>t/</w:t>
            </w:r>
            <w:r>
              <w:rPr>
                <w:rFonts w:hint="eastAsia"/>
              </w:rPr>
              <w:t>3</w:t>
            </w:r>
            <w:r>
              <w:t>a</w:t>
            </w:r>
          </w:p>
        </w:tc>
        <w:tc>
          <w:tcPr>
            <w:tcW w:w="2660" w:type="dxa"/>
            <w:vAlign w:val="center"/>
          </w:tcPr>
          <w:p w14:paraId="437B70CB">
            <w:pPr>
              <w:pStyle w:val="557"/>
            </w:pPr>
            <w:r>
              <w:rPr>
                <w:rFonts w:hint="eastAsia"/>
              </w:rPr>
              <w:t>厂家回收</w:t>
            </w:r>
          </w:p>
        </w:tc>
        <w:tc>
          <w:tcPr>
            <w:tcW w:w="1422" w:type="dxa"/>
            <w:vAlign w:val="center"/>
          </w:tcPr>
          <w:p w14:paraId="71A2EA7E">
            <w:pPr>
              <w:pStyle w:val="557"/>
            </w:pPr>
            <w:r>
              <w:rPr>
                <w:rFonts w:hint="eastAsia"/>
              </w:rPr>
              <w:t>5.49</w:t>
            </w:r>
            <w:r>
              <w:t>t/</w:t>
            </w:r>
            <w:r>
              <w:rPr>
                <w:rFonts w:hint="eastAsia"/>
              </w:rPr>
              <w:t>3</w:t>
            </w:r>
            <w:r>
              <w:t>a</w:t>
            </w:r>
          </w:p>
        </w:tc>
      </w:tr>
      <w:tr w14:paraId="59C6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64BE5FB">
            <w:pPr>
              <w:pStyle w:val="557"/>
            </w:pPr>
            <w:r>
              <w:t>S</w:t>
            </w:r>
            <w:r>
              <w:rPr>
                <w:rFonts w:hint="eastAsia"/>
                <w:vertAlign w:val="subscript"/>
              </w:rPr>
              <w:t>3-</w:t>
            </w:r>
            <w:r>
              <w:rPr>
                <w:vertAlign w:val="subscript"/>
              </w:rPr>
              <w:t>2</w:t>
            </w:r>
          </w:p>
        </w:tc>
        <w:tc>
          <w:tcPr>
            <w:tcW w:w="2835" w:type="dxa"/>
            <w:vAlign w:val="center"/>
          </w:tcPr>
          <w:p w14:paraId="68C29942">
            <w:pPr>
              <w:pStyle w:val="557"/>
            </w:pPr>
            <w:r>
              <w:rPr>
                <w:rFonts w:hint="eastAsia"/>
              </w:rPr>
              <w:t>废分子筛</w:t>
            </w:r>
          </w:p>
        </w:tc>
        <w:tc>
          <w:tcPr>
            <w:tcW w:w="1621" w:type="dxa"/>
          </w:tcPr>
          <w:p w14:paraId="0C7E7955">
            <w:pPr>
              <w:pStyle w:val="557"/>
            </w:pPr>
            <w:r>
              <w:rPr>
                <w:rFonts w:hint="eastAsia"/>
              </w:rPr>
              <w:t>一般固废</w:t>
            </w:r>
          </w:p>
        </w:tc>
        <w:tc>
          <w:tcPr>
            <w:tcW w:w="2004" w:type="dxa"/>
            <w:vAlign w:val="center"/>
          </w:tcPr>
          <w:p w14:paraId="6B016B1F">
            <w:pPr>
              <w:pStyle w:val="557"/>
            </w:pPr>
            <w:r>
              <w:rPr>
                <w:rFonts w:hint="eastAsia"/>
              </w:rPr>
              <w:t>900-005-S59</w:t>
            </w:r>
          </w:p>
        </w:tc>
        <w:tc>
          <w:tcPr>
            <w:tcW w:w="2078" w:type="dxa"/>
            <w:vAlign w:val="center"/>
          </w:tcPr>
          <w:p w14:paraId="30777BC6">
            <w:pPr>
              <w:pStyle w:val="557"/>
            </w:pPr>
            <w:r>
              <w:rPr>
                <w:rFonts w:hint="eastAsia"/>
              </w:rPr>
              <w:t>33</w:t>
            </w:r>
            <w:r>
              <w:t>t/</w:t>
            </w:r>
            <w:r>
              <w:rPr>
                <w:rFonts w:hint="eastAsia"/>
              </w:rPr>
              <w:t>3</w:t>
            </w:r>
            <w:r>
              <w:t>a</w:t>
            </w:r>
          </w:p>
        </w:tc>
        <w:tc>
          <w:tcPr>
            <w:tcW w:w="2660" w:type="dxa"/>
            <w:vAlign w:val="center"/>
          </w:tcPr>
          <w:p w14:paraId="72D429FA">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厂家回收</w:t>
            </w:r>
          </w:p>
        </w:tc>
        <w:tc>
          <w:tcPr>
            <w:tcW w:w="1422" w:type="dxa"/>
            <w:vAlign w:val="center"/>
          </w:tcPr>
          <w:p w14:paraId="505B4DDC">
            <w:pPr>
              <w:pStyle w:val="557"/>
            </w:pPr>
            <w:r>
              <w:rPr>
                <w:rFonts w:hint="eastAsia"/>
              </w:rPr>
              <w:t>33</w:t>
            </w:r>
            <w:r>
              <w:t>t/</w:t>
            </w:r>
            <w:r>
              <w:rPr>
                <w:rFonts w:hint="eastAsia"/>
              </w:rPr>
              <w:t>3</w:t>
            </w:r>
            <w:r>
              <w:t>a</w:t>
            </w:r>
          </w:p>
        </w:tc>
      </w:tr>
      <w:tr w14:paraId="2F93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3D03CDFE">
            <w:pPr>
              <w:pStyle w:val="557"/>
            </w:pPr>
            <w:r>
              <w:t>S</w:t>
            </w:r>
            <w:r>
              <w:rPr>
                <w:rFonts w:hint="eastAsia"/>
                <w:vertAlign w:val="subscript"/>
              </w:rPr>
              <w:t>3-3</w:t>
            </w:r>
          </w:p>
        </w:tc>
        <w:tc>
          <w:tcPr>
            <w:tcW w:w="2835" w:type="dxa"/>
            <w:vAlign w:val="center"/>
          </w:tcPr>
          <w:p w14:paraId="5602552D">
            <w:pPr>
              <w:pStyle w:val="557"/>
            </w:pPr>
            <w:r>
              <w:rPr>
                <w:rFonts w:hint="eastAsia"/>
              </w:rPr>
              <w:t>废碱液</w:t>
            </w:r>
          </w:p>
        </w:tc>
        <w:tc>
          <w:tcPr>
            <w:tcW w:w="1621" w:type="dxa"/>
            <w:vAlign w:val="center"/>
          </w:tcPr>
          <w:p w14:paraId="328A7943">
            <w:pPr>
              <w:pStyle w:val="557"/>
            </w:pPr>
            <w:r>
              <w:rPr>
                <w:rFonts w:hint="eastAsia"/>
              </w:rPr>
              <w:t>危险废物</w:t>
            </w:r>
          </w:p>
        </w:tc>
        <w:tc>
          <w:tcPr>
            <w:tcW w:w="2004" w:type="dxa"/>
            <w:vAlign w:val="center"/>
          </w:tcPr>
          <w:p w14:paraId="055AD7FC">
            <w:pPr>
              <w:jc w:val="center"/>
              <w:rPr>
                <w:rFonts w:ascii="Times New Roman" w:hAnsi="Times New Roman" w:cs="Times New Roman"/>
                <w:bCs/>
                <w:snapToGrid w:val="0"/>
                <w:color w:val="000000" w:themeColor="text1"/>
                <w:kern w:val="2"/>
                <w:sz w:val="18"/>
                <w:szCs w:val="18"/>
                <w:u w:color="000000"/>
                <w14:textFill>
                  <w14:solidFill>
                    <w14:schemeClr w14:val="tx1"/>
                  </w14:solidFill>
                </w14:textFill>
              </w:rPr>
            </w:pPr>
            <w:r>
              <w:rPr>
                <w:rFonts w:hint="eastAsia" w:ascii="Times New Roman" w:hAnsi="Times New Roman" w:cs="Times New Roman"/>
                <w:sz w:val="18"/>
                <w:szCs w:val="18"/>
              </w:rPr>
              <w:t>HW39 900-352-35</w:t>
            </w:r>
          </w:p>
        </w:tc>
        <w:tc>
          <w:tcPr>
            <w:tcW w:w="2078" w:type="dxa"/>
            <w:vAlign w:val="center"/>
          </w:tcPr>
          <w:p w14:paraId="091C8D75">
            <w:pPr>
              <w:pStyle w:val="557"/>
            </w:pPr>
            <w:r>
              <w:t>35t/5</w:t>
            </w:r>
            <w:r>
              <w:rPr>
                <w:rFonts w:hint="eastAsia"/>
              </w:rPr>
              <w:t>a</w:t>
            </w:r>
          </w:p>
        </w:tc>
        <w:tc>
          <w:tcPr>
            <w:tcW w:w="2660" w:type="dxa"/>
            <w:vAlign w:val="center"/>
          </w:tcPr>
          <w:p w14:paraId="276B69BE">
            <w:pPr>
              <w:jc w:val="center"/>
              <w:rPr>
                <w:rFonts w:ascii="Times New Roman" w:hAnsi="Times New Roman" w:cs="Times New Roman"/>
                <w:color w:val="000000"/>
                <w:sz w:val="18"/>
                <w:szCs w:val="18"/>
              </w:rPr>
            </w:pPr>
            <w:r>
              <w:rPr>
                <w:rFonts w:ascii="Times New Roman" w:hAnsi="Times New Roman" w:cs="Times New Roman"/>
                <w:color w:val="000000"/>
                <w:sz w:val="18"/>
                <w:szCs w:val="18"/>
              </w:rPr>
              <w:t>厂内暂存后送有资质单位处置</w:t>
            </w:r>
          </w:p>
        </w:tc>
        <w:tc>
          <w:tcPr>
            <w:tcW w:w="1422" w:type="dxa"/>
            <w:vAlign w:val="center"/>
          </w:tcPr>
          <w:p w14:paraId="5EC46641">
            <w:pPr>
              <w:pStyle w:val="557"/>
            </w:pPr>
            <w:r>
              <w:t>35t/5</w:t>
            </w:r>
            <w:r>
              <w:rPr>
                <w:rFonts w:hint="eastAsia"/>
              </w:rPr>
              <w:t>a</w:t>
            </w:r>
          </w:p>
        </w:tc>
      </w:tr>
      <w:tr w14:paraId="736F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ED49E1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4-1</w:t>
            </w:r>
          </w:p>
        </w:tc>
        <w:tc>
          <w:tcPr>
            <w:tcW w:w="2835" w:type="dxa"/>
            <w:vAlign w:val="center"/>
          </w:tcPr>
          <w:p w14:paraId="4DC19B44">
            <w:pPr>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废氨合成催化剂</w:t>
            </w:r>
          </w:p>
        </w:tc>
        <w:tc>
          <w:tcPr>
            <w:tcW w:w="1621" w:type="dxa"/>
            <w:vAlign w:val="center"/>
          </w:tcPr>
          <w:p w14:paraId="176E616A">
            <w:pPr>
              <w:pStyle w:val="190"/>
              <w:rPr>
                <w:rFonts w:ascii="Times New Roman" w:hAnsi="Times New Roman" w:cs="Times New Roman"/>
                <w:kern w:val="2"/>
                <w:szCs w:val="18"/>
              </w:rPr>
            </w:pPr>
            <w:r>
              <w:rPr>
                <w:rFonts w:ascii="Times New Roman" w:hAnsi="Times New Roman" w:cs="Times New Roman"/>
                <w:kern w:val="2"/>
                <w:szCs w:val="18"/>
              </w:rPr>
              <w:t>危险废物</w:t>
            </w:r>
          </w:p>
        </w:tc>
        <w:tc>
          <w:tcPr>
            <w:tcW w:w="2004" w:type="dxa"/>
            <w:vAlign w:val="center"/>
          </w:tcPr>
          <w:p w14:paraId="009BCD98">
            <w:pPr>
              <w:jc w:val="center"/>
              <w:rPr>
                <w:rFonts w:ascii="Times New Roman" w:hAnsi="Times New Roman" w:cs="Times New Roman"/>
                <w:sz w:val="18"/>
                <w:szCs w:val="18"/>
              </w:rPr>
            </w:pPr>
            <w:r>
              <w:rPr>
                <w:rFonts w:ascii="Times New Roman" w:hAnsi="Times New Roman" w:cs="Times New Roman"/>
                <w:sz w:val="18"/>
                <w:szCs w:val="18"/>
              </w:rPr>
              <w:t xml:space="preserve">HW50 </w:t>
            </w:r>
            <w:r>
              <w:rPr>
                <w:rFonts w:ascii="Times New Roman" w:hAnsi="Times New Roman" w:cs="Times New Roman"/>
                <w:color w:val="000000"/>
                <w:sz w:val="18"/>
                <w:szCs w:val="18"/>
              </w:rPr>
              <w:t>261-164-50</w:t>
            </w:r>
          </w:p>
        </w:tc>
        <w:tc>
          <w:tcPr>
            <w:tcW w:w="2078" w:type="dxa"/>
            <w:vAlign w:val="center"/>
          </w:tcPr>
          <w:p w14:paraId="742AE887">
            <w:pPr>
              <w:pStyle w:val="190"/>
              <w:rPr>
                <w:rFonts w:ascii="Times New Roman" w:hAnsi="Times New Roman" w:cs="Times New Roman"/>
                <w:kern w:val="2"/>
                <w:szCs w:val="18"/>
              </w:rPr>
            </w:pPr>
            <w:r>
              <w:rPr>
                <w:rFonts w:hint="eastAsia" w:ascii="Times New Roman" w:hAnsi="Times New Roman" w:cs="Times New Roman"/>
                <w:kern w:val="2"/>
                <w:szCs w:val="18"/>
              </w:rPr>
              <w:t>123t</w:t>
            </w:r>
            <w:r>
              <w:rPr>
                <w:rFonts w:ascii="Times New Roman" w:hAnsi="Times New Roman" w:cs="Times New Roman"/>
                <w:kern w:val="2"/>
                <w:szCs w:val="18"/>
              </w:rPr>
              <w:t>/</w:t>
            </w:r>
            <w:r>
              <w:rPr>
                <w:rFonts w:hint="eastAsia" w:ascii="Times New Roman" w:hAnsi="Times New Roman" w:cs="Times New Roman"/>
                <w:kern w:val="2"/>
                <w:szCs w:val="18"/>
              </w:rPr>
              <w:t>8</w:t>
            </w:r>
            <w:r>
              <w:rPr>
                <w:rFonts w:ascii="Times New Roman" w:hAnsi="Times New Roman" w:cs="Times New Roman"/>
                <w:kern w:val="2"/>
                <w:szCs w:val="18"/>
              </w:rPr>
              <w:t>a</w:t>
            </w:r>
          </w:p>
        </w:tc>
        <w:tc>
          <w:tcPr>
            <w:tcW w:w="2660" w:type="dxa"/>
            <w:vAlign w:val="center"/>
          </w:tcPr>
          <w:p w14:paraId="2D27789C">
            <w:pPr>
              <w:pStyle w:val="190"/>
              <w:rPr>
                <w:rFonts w:ascii="Times New Roman" w:hAnsi="Times New Roman" w:cs="Times New Roman"/>
                <w:kern w:val="2"/>
                <w:szCs w:val="18"/>
              </w:rPr>
            </w:pPr>
            <w:r>
              <w:t>厂内暂存后送有资质单位处置</w:t>
            </w:r>
          </w:p>
        </w:tc>
        <w:tc>
          <w:tcPr>
            <w:tcW w:w="1422" w:type="dxa"/>
            <w:vAlign w:val="center"/>
          </w:tcPr>
          <w:p w14:paraId="5E4AB789">
            <w:pPr>
              <w:jc w:val="center"/>
              <w:rPr>
                <w:rFonts w:ascii="Times New Roman" w:hAnsi="Times New Roman" w:eastAsia="等线" w:cs="Times New Roman"/>
                <w:color w:val="000000"/>
                <w:sz w:val="18"/>
                <w:szCs w:val="18"/>
              </w:rPr>
            </w:pPr>
            <w:r>
              <w:rPr>
                <w:rFonts w:hint="eastAsia" w:ascii="Times New Roman" w:hAnsi="Times New Roman" w:cs="Times New Roman"/>
                <w:kern w:val="2"/>
                <w:sz w:val="18"/>
                <w:szCs w:val="18"/>
              </w:rPr>
              <w:t>123t</w:t>
            </w:r>
            <w:r>
              <w:rPr>
                <w:rFonts w:ascii="Times New Roman" w:hAnsi="Times New Roman" w:cs="Times New Roman"/>
                <w:kern w:val="2"/>
                <w:sz w:val="18"/>
                <w:szCs w:val="18"/>
              </w:rPr>
              <w:t>/</w:t>
            </w:r>
            <w:r>
              <w:rPr>
                <w:rFonts w:hint="eastAsia" w:ascii="Times New Roman" w:hAnsi="Times New Roman" w:cs="Times New Roman"/>
                <w:kern w:val="2"/>
                <w:sz w:val="18"/>
                <w:szCs w:val="18"/>
              </w:rPr>
              <w:t>8</w:t>
            </w:r>
            <w:r>
              <w:rPr>
                <w:rFonts w:ascii="Times New Roman" w:hAnsi="Times New Roman" w:cs="Times New Roman"/>
                <w:kern w:val="2"/>
                <w:sz w:val="18"/>
                <w:szCs w:val="18"/>
              </w:rPr>
              <w:t>a</w:t>
            </w:r>
          </w:p>
        </w:tc>
      </w:tr>
      <w:tr w14:paraId="4C83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7B6A41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5-1</w:t>
            </w:r>
          </w:p>
        </w:tc>
        <w:tc>
          <w:tcPr>
            <w:tcW w:w="2835" w:type="dxa"/>
            <w:vAlign w:val="center"/>
          </w:tcPr>
          <w:p w14:paraId="24C1E73D">
            <w:pPr>
              <w:pStyle w:val="190"/>
              <w:rPr>
                <w:rFonts w:ascii="Times New Roman" w:hAnsi="Times New Roman" w:cs="Times New Roman"/>
                <w:kern w:val="2"/>
                <w:szCs w:val="18"/>
              </w:rPr>
            </w:pPr>
            <w:r>
              <w:rPr>
                <w:rFonts w:hint="eastAsia" w:ascii="Times New Roman" w:hAnsi="Times New Roman" w:cs="Times New Roman"/>
                <w:kern w:val="2"/>
                <w:szCs w:val="18"/>
              </w:rPr>
              <w:t>废羰化催化剂</w:t>
            </w:r>
          </w:p>
        </w:tc>
        <w:tc>
          <w:tcPr>
            <w:tcW w:w="1621" w:type="dxa"/>
            <w:vAlign w:val="center"/>
          </w:tcPr>
          <w:p w14:paraId="3DD0E3AE">
            <w:pPr>
              <w:pStyle w:val="190"/>
              <w:rPr>
                <w:rFonts w:ascii="Times New Roman" w:hAnsi="Times New Roman" w:cs="Times New Roman"/>
                <w:kern w:val="2"/>
                <w:szCs w:val="18"/>
              </w:rPr>
            </w:pPr>
            <w:r>
              <w:rPr>
                <w:rFonts w:ascii="Times New Roman" w:hAnsi="Times New Roman" w:cs="Times New Roman"/>
                <w:kern w:val="2"/>
                <w:szCs w:val="18"/>
              </w:rPr>
              <w:t>危险废物</w:t>
            </w:r>
          </w:p>
        </w:tc>
        <w:tc>
          <w:tcPr>
            <w:tcW w:w="2004" w:type="dxa"/>
            <w:vAlign w:val="center"/>
          </w:tcPr>
          <w:p w14:paraId="11BB5FDB">
            <w:pPr>
              <w:pStyle w:val="190"/>
              <w:rPr>
                <w:rFonts w:ascii="Times New Roman" w:hAnsi="Times New Roman" w:cs="Times New Roman"/>
                <w:kern w:val="2"/>
                <w:szCs w:val="18"/>
              </w:rPr>
            </w:pPr>
            <w:r>
              <w:rPr>
                <w:rFonts w:ascii="Times New Roman" w:hAnsi="Times New Roman" w:eastAsia="等线" w:cs="Times New Roman"/>
                <w:color w:val="000000"/>
                <w:szCs w:val="18"/>
              </w:rPr>
              <w:t>HW50 261-167-50</w:t>
            </w:r>
          </w:p>
        </w:tc>
        <w:tc>
          <w:tcPr>
            <w:tcW w:w="2078" w:type="dxa"/>
            <w:vAlign w:val="center"/>
          </w:tcPr>
          <w:p w14:paraId="5C591FA3">
            <w:pPr>
              <w:pStyle w:val="190"/>
              <w:rPr>
                <w:rFonts w:ascii="Times New Roman" w:hAnsi="Times New Roman" w:cs="Times New Roman"/>
                <w:kern w:val="2"/>
                <w:szCs w:val="18"/>
              </w:rPr>
            </w:pPr>
            <w:r>
              <w:rPr>
                <w:rFonts w:hint="eastAsia" w:ascii="Times New Roman" w:hAnsi="Times New Roman" w:cs="Times New Roman"/>
                <w:kern w:val="2"/>
                <w:szCs w:val="18"/>
              </w:rPr>
              <w:t>59.4</w:t>
            </w:r>
          </w:p>
        </w:tc>
        <w:tc>
          <w:tcPr>
            <w:tcW w:w="2660" w:type="dxa"/>
            <w:vAlign w:val="center"/>
          </w:tcPr>
          <w:p w14:paraId="621F8A34">
            <w:pPr>
              <w:pStyle w:val="190"/>
              <w:rPr>
                <w:rFonts w:ascii="Times New Roman" w:hAnsi="Times New Roman" w:cs="Times New Roman"/>
                <w:kern w:val="2"/>
                <w:szCs w:val="18"/>
              </w:rPr>
            </w:pPr>
            <w:r>
              <w:rPr>
                <w:rFonts w:hint="eastAsia" w:ascii="Times New Roman" w:hAnsi="Times New Roman" w:cs="Times New Roman"/>
                <w:kern w:val="2"/>
                <w:szCs w:val="18"/>
              </w:rPr>
              <w:t>厂家回收</w:t>
            </w:r>
          </w:p>
        </w:tc>
        <w:tc>
          <w:tcPr>
            <w:tcW w:w="1422" w:type="dxa"/>
            <w:vAlign w:val="center"/>
          </w:tcPr>
          <w:p w14:paraId="6F05CC7F">
            <w:pPr>
              <w:pStyle w:val="190"/>
              <w:rPr>
                <w:rFonts w:ascii="Times New Roman" w:hAnsi="Times New Roman" w:cs="Times New Roman"/>
                <w:kern w:val="2"/>
                <w:szCs w:val="18"/>
              </w:rPr>
            </w:pPr>
            <w:r>
              <w:rPr>
                <w:rFonts w:hint="eastAsia" w:ascii="Times New Roman" w:hAnsi="Times New Roman" w:cs="Times New Roman"/>
                <w:kern w:val="2"/>
                <w:szCs w:val="18"/>
              </w:rPr>
              <w:t>59.4</w:t>
            </w:r>
          </w:p>
        </w:tc>
      </w:tr>
      <w:tr w14:paraId="1F64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5CC87E5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5-2</w:t>
            </w:r>
          </w:p>
        </w:tc>
        <w:tc>
          <w:tcPr>
            <w:tcW w:w="2835" w:type="dxa"/>
            <w:vAlign w:val="center"/>
          </w:tcPr>
          <w:p w14:paraId="12A434BD">
            <w:pPr>
              <w:pStyle w:val="190"/>
              <w:rPr>
                <w:rFonts w:ascii="Times New Roman" w:hAnsi="Times New Roman" w:cs="Times New Roman"/>
                <w:szCs w:val="18"/>
              </w:rPr>
            </w:pPr>
            <w:r>
              <w:rPr>
                <w:rFonts w:hint="eastAsia" w:ascii="Times New Roman" w:hAnsi="Times New Roman" w:cs="Times New Roman"/>
              </w:rPr>
              <w:t>废瓷球</w:t>
            </w:r>
          </w:p>
        </w:tc>
        <w:tc>
          <w:tcPr>
            <w:tcW w:w="1621" w:type="dxa"/>
            <w:vAlign w:val="center"/>
          </w:tcPr>
          <w:p w14:paraId="4087FBAB">
            <w:pPr>
              <w:pStyle w:val="190"/>
              <w:rPr>
                <w:rFonts w:ascii="Times New Roman" w:hAnsi="Times New Roman" w:cs="Times New Roman"/>
                <w:kern w:val="2"/>
                <w:szCs w:val="18"/>
              </w:rPr>
            </w:pPr>
            <w:r>
              <w:rPr>
                <w:rFonts w:hint="eastAsia" w:ascii="Times New Roman" w:hAnsi="Times New Roman" w:cs="Times New Roman"/>
                <w:kern w:val="2"/>
                <w:szCs w:val="18"/>
              </w:rPr>
              <w:t>危险废物</w:t>
            </w:r>
          </w:p>
        </w:tc>
        <w:tc>
          <w:tcPr>
            <w:tcW w:w="2004" w:type="dxa"/>
            <w:vAlign w:val="center"/>
          </w:tcPr>
          <w:p w14:paraId="3BCEB420">
            <w:pPr>
              <w:pStyle w:val="190"/>
              <w:rPr>
                <w:rFonts w:ascii="Times New Roman" w:hAnsi="Times New Roman" w:cs="Times New Roman"/>
                <w:kern w:val="2"/>
                <w:szCs w:val="18"/>
              </w:rPr>
            </w:pPr>
            <w:r>
              <w:rPr>
                <w:rFonts w:ascii="Times New Roman" w:hAnsi="Times New Roman" w:cs="Times New Roman"/>
                <w:kern w:val="2"/>
                <w:szCs w:val="18"/>
              </w:rPr>
              <w:t>HW49 900-041-49</w:t>
            </w:r>
          </w:p>
        </w:tc>
        <w:tc>
          <w:tcPr>
            <w:tcW w:w="2078" w:type="dxa"/>
            <w:vAlign w:val="center"/>
          </w:tcPr>
          <w:p w14:paraId="03E103C6">
            <w:pPr>
              <w:pStyle w:val="190"/>
              <w:rPr>
                <w:rFonts w:ascii="Times New Roman" w:hAnsi="Times New Roman" w:cs="Times New Roman"/>
                <w:kern w:val="2"/>
                <w:szCs w:val="18"/>
              </w:rPr>
            </w:pPr>
            <w:r>
              <w:rPr>
                <w:rFonts w:hint="eastAsia" w:ascii="Times New Roman" w:hAnsi="Times New Roman" w:cs="Times New Roman"/>
              </w:rPr>
              <w:t>9.13</w:t>
            </w:r>
          </w:p>
        </w:tc>
        <w:tc>
          <w:tcPr>
            <w:tcW w:w="2660" w:type="dxa"/>
            <w:vAlign w:val="center"/>
          </w:tcPr>
          <w:p w14:paraId="6A5A75BB">
            <w:pPr>
              <w:pStyle w:val="190"/>
              <w:rPr>
                <w:rFonts w:ascii="Times New Roman" w:hAnsi="Times New Roman" w:cs="Times New Roman"/>
                <w:kern w:val="2"/>
                <w:szCs w:val="18"/>
              </w:rPr>
            </w:pPr>
            <w:r>
              <w:t>厂内暂存后送有资质单位处置</w:t>
            </w:r>
          </w:p>
        </w:tc>
        <w:tc>
          <w:tcPr>
            <w:tcW w:w="1422" w:type="dxa"/>
            <w:vAlign w:val="center"/>
          </w:tcPr>
          <w:p w14:paraId="2B63669E">
            <w:pPr>
              <w:pStyle w:val="190"/>
              <w:rPr>
                <w:rFonts w:hint="eastAsia"/>
              </w:rPr>
            </w:pPr>
            <w:r>
              <w:rPr>
                <w:rFonts w:hint="eastAsia" w:ascii="Times New Roman" w:hAnsi="Times New Roman" w:cs="Times New Roman"/>
              </w:rPr>
              <w:t>9.13</w:t>
            </w:r>
          </w:p>
        </w:tc>
      </w:tr>
      <w:tr w14:paraId="2FE0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707BF9C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7</w:t>
            </w:r>
            <w:r>
              <w:rPr>
                <w:rFonts w:ascii="Times New Roman" w:hAnsi="Times New Roman" w:eastAsia="等线" w:cs="Times New Roman"/>
                <w:color w:val="000000"/>
                <w:sz w:val="18"/>
                <w:szCs w:val="18"/>
                <w:vertAlign w:val="subscript"/>
              </w:rPr>
              <w:t>-1</w:t>
            </w:r>
          </w:p>
        </w:tc>
        <w:tc>
          <w:tcPr>
            <w:tcW w:w="2835" w:type="dxa"/>
            <w:vAlign w:val="center"/>
          </w:tcPr>
          <w:p w14:paraId="5F2B3F48">
            <w:pPr>
              <w:pStyle w:val="190"/>
              <w:rPr>
                <w:rFonts w:ascii="Times New Roman" w:hAnsi="Times New Roman" w:cs="Times New Roman"/>
                <w:kern w:val="2"/>
                <w:szCs w:val="18"/>
              </w:rPr>
            </w:pPr>
            <w:r>
              <w:rPr>
                <w:rFonts w:hint="eastAsia" w:ascii="Times New Roman" w:hAnsi="Times New Roman" w:cs="Times New Roman"/>
                <w:kern w:val="2"/>
                <w:szCs w:val="18"/>
              </w:rPr>
              <w:t>投料废气-收尘灰</w:t>
            </w:r>
          </w:p>
        </w:tc>
        <w:tc>
          <w:tcPr>
            <w:tcW w:w="1621" w:type="dxa"/>
            <w:vAlign w:val="center"/>
          </w:tcPr>
          <w:p w14:paraId="19279948">
            <w:pPr>
              <w:pStyle w:val="190"/>
              <w:rPr>
                <w:rFonts w:ascii="Times New Roman" w:hAnsi="Times New Roman" w:cs="Times New Roman"/>
                <w:kern w:val="2"/>
                <w:szCs w:val="18"/>
              </w:rPr>
            </w:pPr>
            <w:r>
              <w:rPr>
                <w:rFonts w:ascii="Times New Roman" w:hAnsi="Times New Roman" w:cs="Times New Roman"/>
                <w:kern w:val="2"/>
                <w:szCs w:val="18"/>
              </w:rPr>
              <w:t>一般固废</w:t>
            </w:r>
          </w:p>
        </w:tc>
        <w:tc>
          <w:tcPr>
            <w:tcW w:w="2004" w:type="dxa"/>
            <w:vAlign w:val="center"/>
          </w:tcPr>
          <w:p w14:paraId="1F3016C1">
            <w:pPr>
              <w:pStyle w:val="190"/>
              <w:rPr>
                <w:rFonts w:ascii="Times New Roman" w:hAnsi="Times New Roman" w:cs="Times New Roman"/>
                <w:kern w:val="2"/>
                <w:szCs w:val="18"/>
              </w:rPr>
            </w:pPr>
            <w:r>
              <w:rPr>
                <w:rFonts w:ascii="Times New Roman" w:hAnsi="Times New Roman" w:cs="Times New Roman"/>
                <w:kern w:val="2"/>
                <w:szCs w:val="18"/>
              </w:rPr>
              <w:t>900-099-S16</w:t>
            </w:r>
          </w:p>
        </w:tc>
        <w:tc>
          <w:tcPr>
            <w:tcW w:w="2078" w:type="dxa"/>
            <w:vAlign w:val="center"/>
          </w:tcPr>
          <w:p w14:paraId="12E5BB6A">
            <w:pPr>
              <w:pStyle w:val="190"/>
              <w:rPr>
                <w:rFonts w:ascii="Times New Roman" w:hAnsi="Times New Roman" w:cs="Times New Roman"/>
                <w:kern w:val="2"/>
                <w:szCs w:val="18"/>
              </w:rPr>
            </w:pPr>
            <w:r>
              <w:rPr>
                <w:rFonts w:hint="eastAsia" w:ascii="Times New Roman" w:hAnsi="Times New Roman" w:cs="Times New Roman"/>
                <w:kern w:val="2"/>
                <w:szCs w:val="18"/>
              </w:rPr>
              <w:t>5213.8</w:t>
            </w:r>
          </w:p>
        </w:tc>
        <w:tc>
          <w:tcPr>
            <w:tcW w:w="2660" w:type="dxa"/>
            <w:vAlign w:val="center"/>
          </w:tcPr>
          <w:p w14:paraId="1253880F">
            <w:pPr>
              <w:pStyle w:val="190"/>
              <w:rPr>
                <w:rFonts w:ascii="Times New Roman" w:hAnsi="Times New Roman" w:cs="Times New Roman"/>
                <w:kern w:val="2"/>
                <w:szCs w:val="18"/>
              </w:rPr>
            </w:pPr>
            <w:r>
              <w:rPr>
                <w:rFonts w:hint="eastAsia" w:ascii="Times New Roman" w:hAnsi="Times New Roman" w:cs="Times New Roman"/>
                <w:kern w:val="2"/>
                <w:szCs w:val="18"/>
              </w:rPr>
              <w:t>回用</w:t>
            </w:r>
          </w:p>
        </w:tc>
        <w:tc>
          <w:tcPr>
            <w:tcW w:w="1422" w:type="dxa"/>
            <w:vAlign w:val="center"/>
          </w:tcPr>
          <w:p w14:paraId="299763EB">
            <w:pPr>
              <w:pStyle w:val="190"/>
              <w:rPr>
                <w:rFonts w:ascii="Times New Roman" w:hAnsi="Times New Roman" w:cs="Times New Roman"/>
                <w:kern w:val="2"/>
                <w:szCs w:val="18"/>
              </w:rPr>
            </w:pPr>
            <w:r>
              <w:rPr>
                <w:rFonts w:hint="eastAsia" w:ascii="Times New Roman" w:hAnsi="Times New Roman" w:cs="Times New Roman"/>
                <w:kern w:val="2"/>
                <w:szCs w:val="18"/>
              </w:rPr>
              <w:t>5213.8</w:t>
            </w:r>
          </w:p>
        </w:tc>
      </w:tr>
      <w:tr w14:paraId="6C27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4A08CD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7</w:t>
            </w:r>
            <w:r>
              <w:rPr>
                <w:rFonts w:ascii="Times New Roman" w:hAnsi="Times New Roman" w:eastAsia="等线" w:cs="Times New Roman"/>
                <w:color w:val="000000"/>
                <w:sz w:val="18"/>
                <w:szCs w:val="18"/>
                <w:vertAlign w:val="subscript"/>
              </w:rPr>
              <w:t>-2</w:t>
            </w:r>
          </w:p>
        </w:tc>
        <w:tc>
          <w:tcPr>
            <w:tcW w:w="2835" w:type="dxa"/>
            <w:vAlign w:val="center"/>
          </w:tcPr>
          <w:p w14:paraId="7E47C28F">
            <w:pPr>
              <w:pStyle w:val="190"/>
              <w:rPr>
                <w:rFonts w:ascii="Times New Roman" w:hAnsi="Times New Roman" w:cs="Times New Roman"/>
                <w:szCs w:val="18"/>
              </w:rPr>
            </w:pPr>
            <w:r>
              <w:rPr>
                <w:rFonts w:hint="eastAsia" w:ascii="Times New Roman" w:hAnsi="Times New Roman" w:cs="Times New Roman"/>
                <w:szCs w:val="18"/>
              </w:rPr>
              <w:t>冷却废气-收尘灰</w:t>
            </w:r>
          </w:p>
        </w:tc>
        <w:tc>
          <w:tcPr>
            <w:tcW w:w="1621" w:type="dxa"/>
            <w:vAlign w:val="center"/>
          </w:tcPr>
          <w:p w14:paraId="21FFD978">
            <w:pPr>
              <w:pStyle w:val="190"/>
              <w:rPr>
                <w:rFonts w:ascii="Times New Roman" w:hAnsi="Times New Roman" w:cs="Times New Roman"/>
                <w:kern w:val="2"/>
                <w:szCs w:val="18"/>
              </w:rPr>
            </w:pPr>
            <w:r>
              <w:rPr>
                <w:rFonts w:ascii="Times New Roman" w:hAnsi="Times New Roman" w:cs="Times New Roman"/>
                <w:kern w:val="2"/>
                <w:szCs w:val="18"/>
              </w:rPr>
              <w:t>一般固废</w:t>
            </w:r>
          </w:p>
        </w:tc>
        <w:tc>
          <w:tcPr>
            <w:tcW w:w="2004" w:type="dxa"/>
            <w:vAlign w:val="center"/>
          </w:tcPr>
          <w:p w14:paraId="6F468B43">
            <w:pPr>
              <w:pStyle w:val="190"/>
              <w:rPr>
                <w:rFonts w:ascii="Times New Roman" w:hAnsi="Times New Roman" w:cs="Times New Roman"/>
                <w:kern w:val="2"/>
                <w:szCs w:val="18"/>
              </w:rPr>
            </w:pPr>
            <w:r>
              <w:rPr>
                <w:rFonts w:ascii="Times New Roman" w:hAnsi="Times New Roman" w:cs="Times New Roman"/>
                <w:kern w:val="2"/>
                <w:szCs w:val="18"/>
              </w:rPr>
              <w:t>900-099-S16</w:t>
            </w:r>
          </w:p>
        </w:tc>
        <w:tc>
          <w:tcPr>
            <w:tcW w:w="2078" w:type="dxa"/>
            <w:vAlign w:val="center"/>
          </w:tcPr>
          <w:p w14:paraId="00596BCD">
            <w:pPr>
              <w:pStyle w:val="190"/>
              <w:rPr>
                <w:rFonts w:ascii="Times New Roman" w:hAnsi="Times New Roman" w:cs="Times New Roman"/>
                <w:kern w:val="2"/>
                <w:szCs w:val="18"/>
              </w:rPr>
            </w:pPr>
            <w:r>
              <w:rPr>
                <w:rFonts w:hint="eastAsia" w:ascii="Times New Roman" w:hAnsi="Times New Roman" w:cs="Times New Roman"/>
              </w:rPr>
              <w:t>119.4</w:t>
            </w:r>
          </w:p>
        </w:tc>
        <w:tc>
          <w:tcPr>
            <w:tcW w:w="2660" w:type="dxa"/>
            <w:vAlign w:val="center"/>
          </w:tcPr>
          <w:p w14:paraId="01893EAA">
            <w:pPr>
              <w:pStyle w:val="190"/>
              <w:rPr>
                <w:rFonts w:ascii="Times New Roman" w:hAnsi="Times New Roman" w:cs="Times New Roman"/>
                <w:kern w:val="2"/>
                <w:szCs w:val="18"/>
              </w:rPr>
            </w:pPr>
            <w:r>
              <w:rPr>
                <w:rFonts w:hint="eastAsia" w:ascii="Times New Roman" w:hAnsi="Times New Roman" w:cs="Times New Roman"/>
                <w:kern w:val="2"/>
                <w:szCs w:val="18"/>
              </w:rPr>
              <w:t>回用</w:t>
            </w:r>
          </w:p>
        </w:tc>
        <w:tc>
          <w:tcPr>
            <w:tcW w:w="1422" w:type="dxa"/>
            <w:vAlign w:val="center"/>
          </w:tcPr>
          <w:p w14:paraId="0935B32A">
            <w:pPr>
              <w:pStyle w:val="190"/>
              <w:rPr>
                <w:rFonts w:hint="eastAsia"/>
              </w:rPr>
            </w:pPr>
            <w:r>
              <w:rPr>
                <w:rFonts w:hint="eastAsia" w:ascii="Times New Roman" w:hAnsi="Times New Roman" w:cs="Times New Roman"/>
              </w:rPr>
              <w:t>119.4</w:t>
            </w:r>
          </w:p>
        </w:tc>
      </w:tr>
      <w:tr w14:paraId="3ECA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FF691C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8-1</w:t>
            </w:r>
          </w:p>
        </w:tc>
        <w:tc>
          <w:tcPr>
            <w:tcW w:w="2835" w:type="dxa"/>
            <w:vAlign w:val="center"/>
          </w:tcPr>
          <w:p w14:paraId="214390E1">
            <w:pPr>
              <w:jc w:val="center"/>
              <w:rPr>
                <w:rFonts w:ascii="Times New Roman" w:hAnsi="Times New Roman" w:cs="Times New Roman"/>
                <w:color w:val="000000"/>
                <w:sz w:val="18"/>
                <w:szCs w:val="18"/>
              </w:rPr>
            </w:pPr>
            <w:r>
              <w:rPr>
                <w:rFonts w:ascii="Times New Roman" w:hAnsi="Times New Roman" w:cs="Times New Roman"/>
                <w:color w:val="000000"/>
                <w:sz w:val="18"/>
                <w:szCs w:val="18"/>
              </w:rPr>
              <w:t>脱盐水站-废超滤膜</w:t>
            </w:r>
          </w:p>
        </w:tc>
        <w:tc>
          <w:tcPr>
            <w:tcW w:w="1621" w:type="dxa"/>
            <w:vAlign w:val="center"/>
          </w:tcPr>
          <w:p w14:paraId="3819DECE">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5385613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900-009-S59</w:t>
            </w:r>
          </w:p>
        </w:tc>
        <w:tc>
          <w:tcPr>
            <w:tcW w:w="2078" w:type="dxa"/>
            <w:vAlign w:val="center"/>
          </w:tcPr>
          <w:p w14:paraId="3EEFA01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c>
          <w:tcPr>
            <w:tcW w:w="2660" w:type="dxa"/>
            <w:vMerge w:val="restart"/>
            <w:vAlign w:val="center"/>
          </w:tcPr>
          <w:p w14:paraId="09DEABFE">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一般固废填埋场</w:t>
            </w:r>
          </w:p>
        </w:tc>
        <w:tc>
          <w:tcPr>
            <w:tcW w:w="1422" w:type="dxa"/>
            <w:vAlign w:val="center"/>
          </w:tcPr>
          <w:p w14:paraId="3E78E3E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r>
      <w:tr w14:paraId="1DE8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58689F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8-2</w:t>
            </w:r>
          </w:p>
        </w:tc>
        <w:tc>
          <w:tcPr>
            <w:tcW w:w="2835" w:type="dxa"/>
            <w:vAlign w:val="center"/>
          </w:tcPr>
          <w:p w14:paraId="15685C65">
            <w:pPr>
              <w:jc w:val="center"/>
              <w:rPr>
                <w:rFonts w:ascii="Times New Roman" w:hAnsi="Times New Roman" w:cs="Times New Roman"/>
                <w:color w:val="000000"/>
                <w:sz w:val="18"/>
                <w:szCs w:val="18"/>
              </w:rPr>
            </w:pPr>
            <w:r>
              <w:rPr>
                <w:rFonts w:ascii="Times New Roman" w:hAnsi="Times New Roman" w:cs="Times New Roman"/>
                <w:color w:val="000000"/>
                <w:sz w:val="18"/>
                <w:szCs w:val="18"/>
              </w:rPr>
              <w:t>脱盐水站-废反渗透膜</w:t>
            </w:r>
          </w:p>
        </w:tc>
        <w:tc>
          <w:tcPr>
            <w:tcW w:w="1621" w:type="dxa"/>
            <w:vAlign w:val="center"/>
          </w:tcPr>
          <w:p w14:paraId="5FAD4BFB">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1648CC5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900-009-S59</w:t>
            </w:r>
          </w:p>
        </w:tc>
        <w:tc>
          <w:tcPr>
            <w:tcW w:w="2078" w:type="dxa"/>
            <w:vAlign w:val="center"/>
          </w:tcPr>
          <w:p w14:paraId="01D46F5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c>
          <w:tcPr>
            <w:tcW w:w="2660" w:type="dxa"/>
            <w:vMerge w:val="continue"/>
            <w:vAlign w:val="center"/>
          </w:tcPr>
          <w:p w14:paraId="4DBF2900">
            <w:pPr>
              <w:rPr>
                <w:rFonts w:ascii="Times New Roman" w:hAnsi="Times New Roman" w:cs="Times New Roman"/>
                <w:color w:val="000000"/>
                <w:sz w:val="18"/>
                <w:szCs w:val="18"/>
              </w:rPr>
            </w:pPr>
          </w:p>
        </w:tc>
        <w:tc>
          <w:tcPr>
            <w:tcW w:w="1422" w:type="dxa"/>
            <w:vAlign w:val="center"/>
          </w:tcPr>
          <w:p w14:paraId="3994D62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r>
      <w:tr w14:paraId="2F5E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CE93AF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ascii="Times New Roman" w:hAnsi="Times New Roman" w:eastAsia="等线" w:cs="Times New Roman"/>
                <w:color w:val="000000"/>
                <w:sz w:val="18"/>
                <w:szCs w:val="18"/>
                <w:vertAlign w:val="subscript"/>
              </w:rPr>
              <w:t>8-3</w:t>
            </w:r>
          </w:p>
        </w:tc>
        <w:tc>
          <w:tcPr>
            <w:tcW w:w="2835" w:type="dxa"/>
            <w:vAlign w:val="center"/>
          </w:tcPr>
          <w:p w14:paraId="4A88594B">
            <w:pPr>
              <w:jc w:val="center"/>
              <w:rPr>
                <w:rFonts w:ascii="Times New Roman" w:hAnsi="Times New Roman" w:cs="Times New Roman"/>
                <w:color w:val="000000"/>
                <w:sz w:val="18"/>
                <w:szCs w:val="18"/>
              </w:rPr>
            </w:pPr>
            <w:r>
              <w:rPr>
                <w:rFonts w:ascii="Times New Roman" w:hAnsi="Times New Roman" w:cs="Times New Roman"/>
                <w:color w:val="000000"/>
                <w:sz w:val="18"/>
                <w:szCs w:val="18"/>
              </w:rPr>
              <w:t>脱盐水站-废离子交换树脂</w:t>
            </w:r>
          </w:p>
        </w:tc>
        <w:tc>
          <w:tcPr>
            <w:tcW w:w="1621" w:type="dxa"/>
            <w:vAlign w:val="center"/>
          </w:tcPr>
          <w:p w14:paraId="6BD66F61">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1C7BD3F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900-008-S59</w:t>
            </w:r>
          </w:p>
        </w:tc>
        <w:tc>
          <w:tcPr>
            <w:tcW w:w="2078" w:type="dxa"/>
            <w:vAlign w:val="center"/>
          </w:tcPr>
          <w:p w14:paraId="557FDB7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w:t>
            </w:r>
          </w:p>
        </w:tc>
        <w:tc>
          <w:tcPr>
            <w:tcW w:w="2660" w:type="dxa"/>
            <w:vMerge w:val="continue"/>
            <w:vAlign w:val="center"/>
          </w:tcPr>
          <w:p w14:paraId="251410B2">
            <w:pPr>
              <w:rPr>
                <w:rFonts w:ascii="Times New Roman" w:hAnsi="Times New Roman" w:cs="Times New Roman"/>
                <w:color w:val="000000"/>
                <w:sz w:val="18"/>
                <w:szCs w:val="18"/>
              </w:rPr>
            </w:pPr>
          </w:p>
        </w:tc>
        <w:tc>
          <w:tcPr>
            <w:tcW w:w="1422" w:type="dxa"/>
            <w:vAlign w:val="center"/>
          </w:tcPr>
          <w:p w14:paraId="0DD13EA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w:t>
            </w:r>
          </w:p>
        </w:tc>
      </w:tr>
      <w:tr w14:paraId="00AF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FD62BE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4</w:t>
            </w:r>
          </w:p>
        </w:tc>
        <w:tc>
          <w:tcPr>
            <w:tcW w:w="2835" w:type="dxa"/>
            <w:vAlign w:val="center"/>
          </w:tcPr>
          <w:p w14:paraId="666013A3">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-污泥</w:t>
            </w:r>
          </w:p>
        </w:tc>
        <w:tc>
          <w:tcPr>
            <w:tcW w:w="1621" w:type="dxa"/>
            <w:vAlign w:val="center"/>
          </w:tcPr>
          <w:p w14:paraId="0EDE4DAD">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0156AA3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900-099-S16</w:t>
            </w:r>
          </w:p>
        </w:tc>
        <w:tc>
          <w:tcPr>
            <w:tcW w:w="2078" w:type="dxa"/>
            <w:vAlign w:val="center"/>
          </w:tcPr>
          <w:p w14:paraId="74CB99B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w:t>
            </w:r>
          </w:p>
        </w:tc>
        <w:tc>
          <w:tcPr>
            <w:tcW w:w="2660" w:type="dxa"/>
            <w:vMerge w:val="continue"/>
            <w:vAlign w:val="center"/>
          </w:tcPr>
          <w:p w14:paraId="41D54771">
            <w:pPr>
              <w:jc w:val="center"/>
              <w:rPr>
                <w:rFonts w:ascii="Times New Roman" w:hAnsi="Times New Roman" w:cs="Times New Roman"/>
                <w:color w:val="000000"/>
                <w:sz w:val="18"/>
                <w:szCs w:val="18"/>
              </w:rPr>
            </w:pPr>
          </w:p>
        </w:tc>
        <w:tc>
          <w:tcPr>
            <w:tcW w:w="1422" w:type="dxa"/>
            <w:vAlign w:val="center"/>
          </w:tcPr>
          <w:p w14:paraId="2E229B6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w:t>
            </w:r>
          </w:p>
        </w:tc>
      </w:tr>
      <w:tr w14:paraId="55FC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74C75BF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5</w:t>
            </w:r>
          </w:p>
        </w:tc>
        <w:tc>
          <w:tcPr>
            <w:tcW w:w="2835" w:type="dxa"/>
            <w:vAlign w:val="center"/>
          </w:tcPr>
          <w:p w14:paraId="1F1F9355">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-废滤料</w:t>
            </w:r>
          </w:p>
        </w:tc>
        <w:tc>
          <w:tcPr>
            <w:tcW w:w="1621" w:type="dxa"/>
            <w:vAlign w:val="center"/>
          </w:tcPr>
          <w:p w14:paraId="1963F448">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2A9F1DD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900-009-S59</w:t>
            </w:r>
          </w:p>
        </w:tc>
        <w:tc>
          <w:tcPr>
            <w:tcW w:w="2078" w:type="dxa"/>
            <w:vAlign w:val="center"/>
          </w:tcPr>
          <w:p w14:paraId="35477C1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2660" w:type="dxa"/>
            <w:vMerge w:val="continue"/>
            <w:vAlign w:val="center"/>
          </w:tcPr>
          <w:p w14:paraId="127176A6">
            <w:pPr>
              <w:jc w:val="center"/>
              <w:rPr>
                <w:rFonts w:ascii="Times New Roman" w:hAnsi="Times New Roman" w:cs="Times New Roman"/>
                <w:color w:val="000000"/>
                <w:sz w:val="18"/>
                <w:szCs w:val="18"/>
              </w:rPr>
            </w:pPr>
          </w:p>
        </w:tc>
        <w:tc>
          <w:tcPr>
            <w:tcW w:w="1422" w:type="dxa"/>
            <w:vAlign w:val="center"/>
          </w:tcPr>
          <w:p w14:paraId="25E1796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r>
      <w:tr w14:paraId="0233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411DBBC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6</w:t>
            </w:r>
          </w:p>
        </w:tc>
        <w:tc>
          <w:tcPr>
            <w:tcW w:w="2835" w:type="dxa"/>
            <w:vAlign w:val="center"/>
          </w:tcPr>
          <w:p w14:paraId="2CB8A931">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-废超滤膜</w:t>
            </w:r>
          </w:p>
        </w:tc>
        <w:tc>
          <w:tcPr>
            <w:tcW w:w="1621" w:type="dxa"/>
            <w:vAlign w:val="center"/>
          </w:tcPr>
          <w:p w14:paraId="433F7A9E">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754FD39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900-009-S59</w:t>
            </w:r>
          </w:p>
        </w:tc>
        <w:tc>
          <w:tcPr>
            <w:tcW w:w="2078" w:type="dxa"/>
            <w:vAlign w:val="center"/>
          </w:tcPr>
          <w:p w14:paraId="1276348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c>
          <w:tcPr>
            <w:tcW w:w="2660" w:type="dxa"/>
            <w:vMerge w:val="continue"/>
            <w:vAlign w:val="center"/>
          </w:tcPr>
          <w:p w14:paraId="5BCA210B">
            <w:pPr>
              <w:jc w:val="center"/>
              <w:rPr>
                <w:rFonts w:ascii="Times New Roman" w:hAnsi="Times New Roman" w:cs="Times New Roman"/>
                <w:color w:val="000000"/>
                <w:sz w:val="18"/>
                <w:szCs w:val="18"/>
              </w:rPr>
            </w:pPr>
          </w:p>
        </w:tc>
        <w:tc>
          <w:tcPr>
            <w:tcW w:w="1422" w:type="dxa"/>
            <w:vAlign w:val="center"/>
          </w:tcPr>
          <w:p w14:paraId="7462827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r>
      <w:tr w14:paraId="4C5E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D9D94C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7</w:t>
            </w:r>
          </w:p>
        </w:tc>
        <w:tc>
          <w:tcPr>
            <w:tcW w:w="2835" w:type="dxa"/>
            <w:vAlign w:val="center"/>
          </w:tcPr>
          <w:p w14:paraId="71613ADC">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-废反渗透膜</w:t>
            </w:r>
          </w:p>
        </w:tc>
        <w:tc>
          <w:tcPr>
            <w:tcW w:w="1621" w:type="dxa"/>
            <w:vAlign w:val="center"/>
          </w:tcPr>
          <w:p w14:paraId="3A1BECFA">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5C5F11C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900-009-S59</w:t>
            </w:r>
          </w:p>
        </w:tc>
        <w:tc>
          <w:tcPr>
            <w:tcW w:w="2078" w:type="dxa"/>
            <w:vAlign w:val="center"/>
          </w:tcPr>
          <w:p w14:paraId="4638F84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c>
          <w:tcPr>
            <w:tcW w:w="2660" w:type="dxa"/>
            <w:vMerge w:val="continue"/>
            <w:vAlign w:val="center"/>
          </w:tcPr>
          <w:p w14:paraId="12996322">
            <w:pPr>
              <w:jc w:val="center"/>
              <w:rPr>
                <w:rFonts w:ascii="Times New Roman" w:hAnsi="Times New Roman" w:cs="Times New Roman"/>
                <w:color w:val="000000"/>
                <w:sz w:val="18"/>
                <w:szCs w:val="18"/>
              </w:rPr>
            </w:pPr>
          </w:p>
        </w:tc>
        <w:tc>
          <w:tcPr>
            <w:tcW w:w="1422" w:type="dxa"/>
            <w:vAlign w:val="center"/>
          </w:tcPr>
          <w:p w14:paraId="217CD0B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r>
      <w:tr w14:paraId="0010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DAE8F1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8</w:t>
            </w:r>
          </w:p>
        </w:tc>
        <w:tc>
          <w:tcPr>
            <w:tcW w:w="2835" w:type="dxa"/>
            <w:vAlign w:val="center"/>
          </w:tcPr>
          <w:p w14:paraId="5CB49F40">
            <w:pPr>
              <w:jc w:val="center"/>
              <w:rPr>
                <w:rFonts w:ascii="Times New Roman" w:hAnsi="Times New Roman" w:cs="Times New Roman"/>
                <w:color w:val="000000"/>
                <w:sz w:val="18"/>
                <w:szCs w:val="18"/>
              </w:rPr>
            </w:pPr>
            <w:r>
              <w:rPr>
                <w:rFonts w:ascii="Times New Roman" w:hAnsi="Times New Roman" w:cs="Times New Roman"/>
                <w:color w:val="000000"/>
                <w:sz w:val="18"/>
                <w:szCs w:val="18"/>
              </w:rPr>
              <w:t>污水处理站-生化污泥</w:t>
            </w:r>
          </w:p>
        </w:tc>
        <w:tc>
          <w:tcPr>
            <w:tcW w:w="1621" w:type="dxa"/>
            <w:vAlign w:val="center"/>
          </w:tcPr>
          <w:p w14:paraId="184E4D1E">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0EF13CD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900-099-S16</w:t>
            </w:r>
          </w:p>
        </w:tc>
        <w:tc>
          <w:tcPr>
            <w:tcW w:w="2078" w:type="dxa"/>
            <w:vAlign w:val="center"/>
          </w:tcPr>
          <w:p w14:paraId="57B7956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1500</w:t>
            </w:r>
          </w:p>
        </w:tc>
        <w:tc>
          <w:tcPr>
            <w:tcW w:w="2660" w:type="dxa"/>
            <w:vMerge w:val="continue"/>
            <w:vAlign w:val="center"/>
          </w:tcPr>
          <w:p w14:paraId="38EBDBC6">
            <w:pPr>
              <w:rPr>
                <w:rFonts w:ascii="Times New Roman" w:hAnsi="Times New Roman" w:cs="Times New Roman"/>
                <w:color w:val="000000"/>
                <w:sz w:val="18"/>
                <w:szCs w:val="18"/>
              </w:rPr>
            </w:pPr>
          </w:p>
        </w:tc>
        <w:tc>
          <w:tcPr>
            <w:tcW w:w="1422" w:type="dxa"/>
            <w:vAlign w:val="center"/>
          </w:tcPr>
          <w:p w14:paraId="4B5B13B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1500</w:t>
            </w:r>
          </w:p>
        </w:tc>
      </w:tr>
      <w:tr w14:paraId="7643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ECE821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9</w:t>
            </w:r>
          </w:p>
        </w:tc>
        <w:tc>
          <w:tcPr>
            <w:tcW w:w="2835" w:type="dxa"/>
            <w:vAlign w:val="center"/>
          </w:tcPr>
          <w:p w14:paraId="2361289D">
            <w:pPr>
              <w:jc w:val="center"/>
              <w:rPr>
                <w:rFonts w:ascii="Times New Roman" w:hAnsi="Times New Roman" w:cs="Times New Roman"/>
                <w:color w:val="000000"/>
                <w:sz w:val="18"/>
                <w:szCs w:val="18"/>
              </w:rPr>
            </w:pPr>
            <w:r>
              <w:rPr>
                <w:rFonts w:ascii="Times New Roman" w:hAnsi="Times New Roman" w:cs="Times New Roman"/>
                <w:color w:val="000000"/>
                <w:sz w:val="18"/>
                <w:szCs w:val="18"/>
              </w:rPr>
              <w:t>空分站-废分子筛</w:t>
            </w:r>
          </w:p>
        </w:tc>
        <w:tc>
          <w:tcPr>
            <w:tcW w:w="1621" w:type="dxa"/>
            <w:vAlign w:val="center"/>
          </w:tcPr>
          <w:p w14:paraId="615FCD05">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3349131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900-005-S59</w:t>
            </w:r>
          </w:p>
        </w:tc>
        <w:tc>
          <w:tcPr>
            <w:tcW w:w="2078" w:type="dxa"/>
            <w:vAlign w:val="center"/>
          </w:tcPr>
          <w:p w14:paraId="156EC7E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164t/5a</w:t>
            </w:r>
          </w:p>
        </w:tc>
        <w:tc>
          <w:tcPr>
            <w:tcW w:w="2660" w:type="dxa"/>
            <w:vMerge w:val="continue"/>
            <w:vAlign w:val="center"/>
          </w:tcPr>
          <w:p w14:paraId="55F8B61F">
            <w:pPr>
              <w:rPr>
                <w:rFonts w:ascii="Times New Roman" w:hAnsi="Times New Roman" w:cs="Times New Roman"/>
                <w:color w:val="000000"/>
                <w:sz w:val="18"/>
                <w:szCs w:val="18"/>
              </w:rPr>
            </w:pPr>
          </w:p>
        </w:tc>
        <w:tc>
          <w:tcPr>
            <w:tcW w:w="1422" w:type="dxa"/>
            <w:vAlign w:val="center"/>
          </w:tcPr>
          <w:p w14:paraId="416FBA1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164t/5a</w:t>
            </w:r>
          </w:p>
        </w:tc>
      </w:tr>
      <w:tr w14:paraId="7CE8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A4B2BF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10</w:t>
            </w:r>
          </w:p>
        </w:tc>
        <w:tc>
          <w:tcPr>
            <w:tcW w:w="2835" w:type="dxa"/>
            <w:vAlign w:val="center"/>
          </w:tcPr>
          <w:p w14:paraId="00E2DB95">
            <w:pPr>
              <w:jc w:val="center"/>
              <w:rPr>
                <w:rFonts w:ascii="Times New Roman" w:hAnsi="Times New Roman" w:cs="Times New Roman"/>
                <w:color w:val="000000"/>
                <w:sz w:val="18"/>
                <w:szCs w:val="18"/>
              </w:rPr>
            </w:pPr>
            <w:r>
              <w:rPr>
                <w:rFonts w:ascii="Times New Roman" w:hAnsi="Times New Roman" w:cs="Times New Roman"/>
                <w:color w:val="000000"/>
                <w:sz w:val="18"/>
                <w:szCs w:val="18"/>
              </w:rPr>
              <w:t>空分站-废空分氧化铝</w:t>
            </w:r>
          </w:p>
        </w:tc>
        <w:tc>
          <w:tcPr>
            <w:tcW w:w="1621" w:type="dxa"/>
            <w:vAlign w:val="center"/>
          </w:tcPr>
          <w:p w14:paraId="1A0E9ABA">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3D52A2D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900-008-S59</w:t>
            </w:r>
          </w:p>
        </w:tc>
        <w:tc>
          <w:tcPr>
            <w:tcW w:w="2078" w:type="dxa"/>
            <w:vAlign w:val="center"/>
          </w:tcPr>
          <w:p w14:paraId="263F071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105t/5a</w:t>
            </w:r>
          </w:p>
        </w:tc>
        <w:tc>
          <w:tcPr>
            <w:tcW w:w="2660" w:type="dxa"/>
            <w:vMerge w:val="continue"/>
            <w:vAlign w:val="center"/>
          </w:tcPr>
          <w:p w14:paraId="5AFEBBE4">
            <w:pPr>
              <w:rPr>
                <w:rFonts w:ascii="Times New Roman" w:hAnsi="Times New Roman" w:cs="Times New Roman"/>
                <w:color w:val="000000"/>
                <w:sz w:val="18"/>
                <w:szCs w:val="18"/>
              </w:rPr>
            </w:pPr>
          </w:p>
        </w:tc>
        <w:tc>
          <w:tcPr>
            <w:tcW w:w="1422" w:type="dxa"/>
            <w:vAlign w:val="center"/>
          </w:tcPr>
          <w:p w14:paraId="797AF3D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105t/5a</w:t>
            </w:r>
          </w:p>
        </w:tc>
      </w:tr>
      <w:tr w14:paraId="56A0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7D64F0E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11</w:t>
            </w:r>
          </w:p>
        </w:tc>
        <w:tc>
          <w:tcPr>
            <w:tcW w:w="2835" w:type="dxa"/>
            <w:vAlign w:val="center"/>
          </w:tcPr>
          <w:p w14:paraId="247B366C">
            <w:pPr>
              <w:jc w:val="center"/>
              <w:rPr>
                <w:rFonts w:ascii="Times New Roman" w:hAnsi="Times New Roman" w:cs="Times New Roman"/>
                <w:color w:val="000000"/>
                <w:sz w:val="18"/>
                <w:szCs w:val="18"/>
              </w:rPr>
            </w:pPr>
            <w:r>
              <w:rPr>
                <w:rFonts w:ascii="Times New Roman" w:hAnsi="Times New Roman" w:cs="Times New Roman"/>
                <w:color w:val="000000"/>
                <w:sz w:val="18"/>
                <w:szCs w:val="18"/>
              </w:rPr>
              <w:t>动力站-废脱硝催化剂</w:t>
            </w:r>
          </w:p>
        </w:tc>
        <w:tc>
          <w:tcPr>
            <w:tcW w:w="1621" w:type="dxa"/>
            <w:vAlign w:val="center"/>
          </w:tcPr>
          <w:p w14:paraId="25E398FD">
            <w:pPr>
              <w:jc w:val="center"/>
              <w:rPr>
                <w:rFonts w:ascii="Times New Roman" w:hAnsi="Times New Roman" w:cs="Times New Roman"/>
                <w:color w:val="000000"/>
                <w:sz w:val="18"/>
                <w:szCs w:val="18"/>
              </w:rPr>
            </w:pPr>
            <w:r>
              <w:rPr>
                <w:rFonts w:ascii="Times New Roman" w:hAnsi="Times New Roman" w:cs="Times New Roman"/>
                <w:color w:val="000000"/>
                <w:sz w:val="18"/>
                <w:szCs w:val="18"/>
              </w:rPr>
              <w:t>危险废物</w:t>
            </w:r>
          </w:p>
        </w:tc>
        <w:tc>
          <w:tcPr>
            <w:tcW w:w="2004" w:type="dxa"/>
            <w:vAlign w:val="center"/>
          </w:tcPr>
          <w:p w14:paraId="2770EDE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HW50 772-007-50</w:t>
            </w:r>
          </w:p>
        </w:tc>
        <w:tc>
          <w:tcPr>
            <w:tcW w:w="2078" w:type="dxa"/>
            <w:vAlign w:val="center"/>
          </w:tcPr>
          <w:p w14:paraId="3262FE5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210m</w:t>
            </w:r>
            <w:r>
              <w:rPr>
                <w:rFonts w:ascii="Times New Roman" w:hAnsi="Times New Roman" w:eastAsia="等线" w:cs="Times New Roman"/>
                <w:color w:val="000000"/>
                <w:sz w:val="18"/>
                <w:szCs w:val="18"/>
                <w:vertAlign w:val="superscript"/>
              </w:rPr>
              <w:t>3</w:t>
            </w:r>
            <w:r>
              <w:rPr>
                <w:rFonts w:ascii="Times New Roman" w:hAnsi="Times New Roman" w:eastAsia="等线" w:cs="Times New Roman"/>
                <w:color w:val="000000"/>
                <w:sz w:val="18"/>
                <w:szCs w:val="18"/>
              </w:rPr>
              <w:t>/3a</w:t>
            </w:r>
          </w:p>
        </w:tc>
        <w:tc>
          <w:tcPr>
            <w:tcW w:w="2660" w:type="dxa"/>
            <w:vMerge w:val="restart"/>
            <w:vAlign w:val="center"/>
          </w:tcPr>
          <w:p w14:paraId="1AC470DB">
            <w:pPr>
              <w:rPr>
                <w:rFonts w:ascii="Times New Roman" w:hAnsi="Times New Roman" w:cs="Times New Roman"/>
                <w:color w:val="000000"/>
                <w:sz w:val="18"/>
                <w:szCs w:val="18"/>
              </w:rPr>
            </w:pPr>
            <w:r>
              <w:rPr>
                <w:rFonts w:ascii="Times New Roman" w:hAnsi="Times New Roman" w:cs="Times New Roman"/>
                <w:color w:val="000000"/>
                <w:sz w:val="18"/>
                <w:szCs w:val="18"/>
              </w:rPr>
              <w:t>厂内暂存后送有资质单位处置</w:t>
            </w:r>
          </w:p>
        </w:tc>
        <w:tc>
          <w:tcPr>
            <w:tcW w:w="1422" w:type="dxa"/>
            <w:vAlign w:val="center"/>
          </w:tcPr>
          <w:p w14:paraId="7D2A30D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210m</w:t>
            </w:r>
            <w:r>
              <w:rPr>
                <w:rFonts w:ascii="Times New Roman" w:hAnsi="Times New Roman" w:eastAsia="等线" w:cs="Times New Roman"/>
                <w:color w:val="000000"/>
                <w:sz w:val="18"/>
                <w:szCs w:val="18"/>
                <w:vertAlign w:val="superscript"/>
              </w:rPr>
              <w:t>3</w:t>
            </w:r>
            <w:r>
              <w:rPr>
                <w:rFonts w:ascii="Times New Roman" w:hAnsi="Times New Roman" w:eastAsia="等线" w:cs="Times New Roman"/>
                <w:color w:val="000000"/>
                <w:sz w:val="18"/>
                <w:szCs w:val="18"/>
              </w:rPr>
              <w:t>/3a</w:t>
            </w:r>
          </w:p>
        </w:tc>
      </w:tr>
      <w:tr w14:paraId="2865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646FAC3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12</w:t>
            </w:r>
          </w:p>
        </w:tc>
        <w:tc>
          <w:tcPr>
            <w:tcW w:w="2835" w:type="dxa"/>
            <w:vAlign w:val="center"/>
          </w:tcPr>
          <w:p w14:paraId="2B2E812A">
            <w:pPr>
              <w:jc w:val="center"/>
              <w:rPr>
                <w:rFonts w:ascii="Times New Roman" w:hAnsi="Times New Roman" w:cs="Times New Roman"/>
                <w:color w:val="000000"/>
                <w:sz w:val="18"/>
                <w:szCs w:val="18"/>
              </w:rPr>
            </w:pPr>
            <w:r>
              <w:rPr>
                <w:rFonts w:ascii="Times New Roman" w:hAnsi="Times New Roman" w:cs="Times New Roman"/>
                <w:color w:val="000000"/>
                <w:sz w:val="18"/>
                <w:szCs w:val="18"/>
              </w:rPr>
              <w:t>220kV变电所-事故废油</w:t>
            </w:r>
          </w:p>
        </w:tc>
        <w:tc>
          <w:tcPr>
            <w:tcW w:w="1621" w:type="dxa"/>
            <w:vAlign w:val="center"/>
          </w:tcPr>
          <w:p w14:paraId="321DF12A">
            <w:pPr>
              <w:jc w:val="center"/>
              <w:rPr>
                <w:rFonts w:ascii="Times New Roman" w:hAnsi="Times New Roman" w:cs="Times New Roman"/>
                <w:color w:val="000000"/>
                <w:sz w:val="18"/>
                <w:szCs w:val="18"/>
              </w:rPr>
            </w:pPr>
            <w:r>
              <w:rPr>
                <w:rFonts w:ascii="Times New Roman" w:hAnsi="Times New Roman" w:cs="Times New Roman"/>
                <w:color w:val="000000"/>
                <w:sz w:val="18"/>
                <w:szCs w:val="18"/>
              </w:rPr>
              <w:t>危险废物</w:t>
            </w:r>
          </w:p>
        </w:tc>
        <w:tc>
          <w:tcPr>
            <w:tcW w:w="2004" w:type="dxa"/>
            <w:vAlign w:val="center"/>
          </w:tcPr>
          <w:p w14:paraId="41B9A7F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HW08 900-220-08</w:t>
            </w:r>
          </w:p>
        </w:tc>
        <w:tc>
          <w:tcPr>
            <w:tcW w:w="2078" w:type="dxa"/>
            <w:vAlign w:val="center"/>
          </w:tcPr>
          <w:p w14:paraId="0A6E2C3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35m</w:t>
            </w:r>
            <w:r>
              <w:rPr>
                <w:rFonts w:ascii="Times New Roman" w:hAnsi="Times New Roman" w:eastAsia="等线" w:cs="Times New Roman"/>
                <w:color w:val="000000"/>
                <w:sz w:val="18"/>
                <w:szCs w:val="18"/>
                <w:vertAlign w:val="superscript"/>
              </w:rPr>
              <w:t>3</w:t>
            </w:r>
          </w:p>
        </w:tc>
        <w:tc>
          <w:tcPr>
            <w:tcW w:w="2660" w:type="dxa"/>
            <w:vMerge w:val="continue"/>
            <w:vAlign w:val="center"/>
          </w:tcPr>
          <w:p w14:paraId="3FA30043">
            <w:pPr>
              <w:rPr>
                <w:rFonts w:ascii="Times New Roman" w:hAnsi="Times New Roman" w:cs="Times New Roman"/>
                <w:color w:val="000000"/>
                <w:sz w:val="18"/>
                <w:szCs w:val="18"/>
              </w:rPr>
            </w:pPr>
          </w:p>
        </w:tc>
        <w:tc>
          <w:tcPr>
            <w:tcW w:w="1422" w:type="dxa"/>
            <w:vAlign w:val="center"/>
          </w:tcPr>
          <w:p w14:paraId="6B4DF2B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35m</w:t>
            </w:r>
            <w:r>
              <w:rPr>
                <w:rFonts w:ascii="Times New Roman" w:hAnsi="Times New Roman" w:eastAsia="等线" w:cs="Times New Roman"/>
                <w:color w:val="000000"/>
                <w:sz w:val="18"/>
                <w:szCs w:val="18"/>
                <w:vertAlign w:val="superscript"/>
              </w:rPr>
              <w:t>3</w:t>
            </w:r>
          </w:p>
        </w:tc>
      </w:tr>
      <w:tr w14:paraId="51C8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55" w:type="dxa"/>
            <w:vAlign w:val="center"/>
          </w:tcPr>
          <w:p w14:paraId="4D20E9C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13</w:t>
            </w:r>
          </w:p>
        </w:tc>
        <w:tc>
          <w:tcPr>
            <w:tcW w:w="2835" w:type="dxa"/>
            <w:vAlign w:val="center"/>
          </w:tcPr>
          <w:p w14:paraId="02B567D7">
            <w:pPr>
              <w:jc w:val="center"/>
              <w:rPr>
                <w:rFonts w:ascii="Times New Roman" w:hAnsi="Times New Roman" w:cs="Times New Roman"/>
                <w:color w:val="000000"/>
                <w:sz w:val="18"/>
                <w:szCs w:val="18"/>
              </w:rPr>
            </w:pPr>
            <w:r>
              <w:rPr>
                <w:rFonts w:ascii="Times New Roman" w:hAnsi="Times New Roman" w:cs="Times New Roman"/>
                <w:color w:val="000000"/>
                <w:sz w:val="18"/>
                <w:szCs w:val="18"/>
              </w:rPr>
              <w:t>220kV变电所-</w:t>
            </w:r>
            <w:r>
              <w:rPr>
                <w:rFonts w:hint="eastAsia" w:ascii="Times New Roman" w:hAnsi="Times New Roman" w:cs="Times New Roman"/>
                <w:color w:val="000000"/>
                <w:sz w:val="18"/>
                <w:szCs w:val="18"/>
              </w:rPr>
              <w:t>废铅酸蓄电池</w:t>
            </w:r>
          </w:p>
        </w:tc>
        <w:tc>
          <w:tcPr>
            <w:tcW w:w="1621" w:type="dxa"/>
            <w:vAlign w:val="center"/>
          </w:tcPr>
          <w:p w14:paraId="045D4FD7">
            <w:pPr>
              <w:jc w:val="center"/>
              <w:rPr>
                <w:rFonts w:ascii="Times New Roman" w:hAnsi="Times New Roman" w:cs="Times New Roman"/>
                <w:color w:val="000000"/>
                <w:sz w:val="18"/>
                <w:szCs w:val="18"/>
              </w:rPr>
            </w:pPr>
            <w:r>
              <w:rPr>
                <w:rFonts w:ascii="Times New Roman" w:hAnsi="Times New Roman" w:cs="Times New Roman"/>
                <w:color w:val="000000"/>
                <w:sz w:val="18"/>
                <w:szCs w:val="18"/>
              </w:rPr>
              <w:t>危险废物</w:t>
            </w:r>
          </w:p>
        </w:tc>
        <w:tc>
          <w:tcPr>
            <w:tcW w:w="2004" w:type="dxa"/>
            <w:vAlign w:val="center"/>
          </w:tcPr>
          <w:p w14:paraId="0ACCAF7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HW31 900-052-31</w:t>
            </w:r>
          </w:p>
        </w:tc>
        <w:tc>
          <w:tcPr>
            <w:tcW w:w="2078" w:type="dxa"/>
            <w:vAlign w:val="center"/>
          </w:tcPr>
          <w:p w14:paraId="697365B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1.44t/10a</w:t>
            </w:r>
          </w:p>
        </w:tc>
        <w:tc>
          <w:tcPr>
            <w:tcW w:w="2660" w:type="dxa"/>
            <w:vMerge w:val="continue"/>
            <w:vAlign w:val="center"/>
          </w:tcPr>
          <w:p w14:paraId="0B113E94">
            <w:pPr>
              <w:rPr>
                <w:rFonts w:ascii="Times New Roman" w:hAnsi="Times New Roman" w:cs="Times New Roman"/>
                <w:color w:val="000000"/>
                <w:sz w:val="18"/>
                <w:szCs w:val="18"/>
              </w:rPr>
            </w:pPr>
          </w:p>
        </w:tc>
        <w:tc>
          <w:tcPr>
            <w:tcW w:w="1422" w:type="dxa"/>
            <w:vAlign w:val="center"/>
          </w:tcPr>
          <w:p w14:paraId="2F9A695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1.44t/10a</w:t>
            </w:r>
          </w:p>
        </w:tc>
      </w:tr>
      <w:tr w14:paraId="2824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013DF77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w:t>
            </w:r>
            <w:r>
              <w:rPr>
                <w:rFonts w:ascii="Times New Roman" w:hAnsi="Times New Roman" w:eastAsia="等线" w:cs="Times New Roman"/>
                <w:color w:val="000000"/>
                <w:sz w:val="18"/>
                <w:szCs w:val="18"/>
                <w:vertAlign w:val="subscript"/>
              </w:rPr>
              <w:t>14</w:t>
            </w:r>
          </w:p>
        </w:tc>
        <w:tc>
          <w:tcPr>
            <w:tcW w:w="2835" w:type="dxa"/>
            <w:vAlign w:val="center"/>
          </w:tcPr>
          <w:p w14:paraId="414C757D">
            <w:pPr>
              <w:jc w:val="center"/>
              <w:rPr>
                <w:rFonts w:ascii="Times New Roman" w:hAnsi="Times New Roman" w:cs="Times New Roman"/>
                <w:color w:val="000000"/>
                <w:sz w:val="18"/>
                <w:szCs w:val="18"/>
              </w:rPr>
            </w:pPr>
            <w:r>
              <w:rPr>
                <w:rFonts w:ascii="Times New Roman" w:hAnsi="Times New Roman" w:cs="Times New Roman"/>
                <w:color w:val="000000"/>
                <w:sz w:val="18"/>
                <w:szCs w:val="18"/>
              </w:rPr>
              <w:t>生活垃圾</w:t>
            </w:r>
          </w:p>
        </w:tc>
        <w:tc>
          <w:tcPr>
            <w:tcW w:w="1621" w:type="dxa"/>
            <w:vAlign w:val="center"/>
          </w:tcPr>
          <w:p w14:paraId="2D4418A6">
            <w:pPr>
              <w:jc w:val="center"/>
              <w:rPr>
                <w:rFonts w:ascii="Times New Roman" w:hAnsi="Times New Roman" w:cs="Times New Roman"/>
                <w:color w:val="000000"/>
                <w:sz w:val="18"/>
                <w:szCs w:val="18"/>
              </w:rPr>
            </w:pPr>
            <w:r>
              <w:rPr>
                <w:rFonts w:ascii="Times New Roman" w:hAnsi="Times New Roman" w:cs="Times New Roman"/>
                <w:color w:val="000000"/>
                <w:sz w:val="18"/>
                <w:szCs w:val="18"/>
              </w:rPr>
              <w:t>生活垃圾</w:t>
            </w:r>
          </w:p>
        </w:tc>
        <w:tc>
          <w:tcPr>
            <w:tcW w:w="2004" w:type="dxa"/>
            <w:vAlign w:val="center"/>
          </w:tcPr>
          <w:p w14:paraId="28726E4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w:t>
            </w:r>
          </w:p>
        </w:tc>
        <w:tc>
          <w:tcPr>
            <w:tcW w:w="2078" w:type="dxa"/>
            <w:vAlign w:val="center"/>
          </w:tcPr>
          <w:p w14:paraId="48FC4DD7">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93.44</w:t>
            </w:r>
          </w:p>
        </w:tc>
        <w:tc>
          <w:tcPr>
            <w:tcW w:w="2660" w:type="dxa"/>
            <w:vAlign w:val="center"/>
          </w:tcPr>
          <w:p w14:paraId="1242FA9D">
            <w:pPr>
              <w:jc w:val="center"/>
              <w:rPr>
                <w:rFonts w:hint="eastAsia" w:cs="Times New Roman"/>
                <w:color w:val="000000"/>
                <w:sz w:val="18"/>
                <w:szCs w:val="18"/>
              </w:rPr>
            </w:pPr>
            <w:r>
              <w:rPr>
                <w:rFonts w:cs="Times New Roman"/>
                <w:color w:val="000000"/>
                <w:sz w:val="18"/>
                <w:szCs w:val="18"/>
              </w:rPr>
              <w:t>委托园区环卫部门</w:t>
            </w:r>
          </w:p>
        </w:tc>
        <w:tc>
          <w:tcPr>
            <w:tcW w:w="1422" w:type="dxa"/>
            <w:vAlign w:val="center"/>
          </w:tcPr>
          <w:p w14:paraId="2E9513C8">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93.44</w:t>
            </w:r>
          </w:p>
        </w:tc>
      </w:tr>
      <w:tr w14:paraId="197C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20833620">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8-15</w:t>
            </w:r>
          </w:p>
        </w:tc>
        <w:tc>
          <w:tcPr>
            <w:tcW w:w="2835" w:type="dxa"/>
            <w:vAlign w:val="center"/>
          </w:tcPr>
          <w:p w14:paraId="64C035D3">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杂盐</w:t>
            </w:r>
          </w:p>
        </w:tc>
        <w:tc>
          <w:tcPr>
            <w:tcW w:w="1621" w:type="dxa"/>
            <w:vAlign w:val="center"/>
          </w:tcPr>
          <w:p w14:paraId="3CDDD571">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危险废物</w:t>
            </w:r>
          </w:p>
        </w:tc>
        <w:tc>
          <w:tcPr>
            <w:tcW w:w="2004" w:type="dxa"/>
            <w:vAlign w:val="center"/>
          </w:tcPr>
          <w:p w14:paraId="2552183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HW49 900-041-49</w:t>
            </w:r>
          </w:p>
        </w:tc>
        <w:tc>
          <w:tcPr>
            <w:tcW w:w="2078" w:type="dxa"/>
            <w:vAlign w:val="center"/>
          </w:tcPr>
          <w:p w14:paraId="59778005">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240</w:t>
            </w:r>
          </w:p>
        </w:tc>
        <w:tc>
          <w:tcPr>
            <w:tcW w:w="2660" w:type="dxa"/>
            <w:vAlign w:val="center"/>
          </w:tcPr>
          <w:p w14:paraId="587726B1">
            <w:pPr>
              <w:jc w:val="center"/>
              <w:rPr>
                <w:rFonts w:hint="eastAsia" w:cs="Times New Roman"/>
                <w:color w:val="000000"/>
                <w:sz w:val="18"/>
                <w:szCs w:val="18"/>
              </w:rPr>
            </w:pPr>
            <w:r>
              <w:rPr>
                <w:rFonts w:ascii="Times New Roman" w:hAnsi="Times New Roman" w:cs="Times New Roman"/>
                <w:color w:val="000000"/>
                <w:sz w:val="18"/>
                <w:szCs w:val="18"/>
              </w:rPr>
              <w:t>厂内暂存后送有资质单位处置</w:t>
            </w:r>
          </w:p>
        </w:tc>
        <w:tc>
          <w:tcPr>
            <w:tcW w:w="1422" w:type="dxa"/>
            <w:vAlign w:val="center"/>
          </w:tcPr>
          <w:p w14:paraId="6E143D33">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240</w:t>
            </w:r>
          </w:p>
        </w:tc>
      </w:tr>
      <w:tr w14:paraId="64D3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vAlign w:val="center"/>
          </w:tcPr>
          <w:p w14:paraId="5FE27F3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S</w:t>
            </w:r>
            <w:r>
              <w:rPr>
                <w:rFonts w:hint="eastAsia" w:ascii="Times New Roman" w:hAnsi="Times New Roman" w:eastAsia="等线" w:cs="Times New Roman"/>
                <w:color w:val="000000"/>
                <w:sz w:val="18"/>
                <w:szCs w:val="18"/>
                <w:vertAlign w:val="subscript"/>
              </w:rPr>
              <w:t>9</w:t>
            </w:r>
            <w:r>
              <w:rPr>
                <w:rFonts w:ascii="Times New Roman" w:hAnsi="Times New Roman" w:eastAsia="等线" w:cs="Times New Roman"/>
                <w:color w:val="000000"/>
                <w:sz w:val="18"/>
                <w:szCs w:val="18"/>
                <w:vertAlign w:val="subscript"/>
              </w:rPr>
              <w:t>-1</w:t>
            </w:r>
          </w:p>
        </w:tc>
        <w:tc>
          <w:tcPr>
            <w:tcW w:w="2835" w:type="dxa"/>
            <w:vAlign w:val="center"/>
          </w:tcPr>
          <w:p w14:paraId="0F381AEF">
            <w:pPr>
              <w:jc w:val="center"/>
              <w:rPr>
                <w:rFonts w:ascii="Times New Roman" w:hAnsi="Times New Roman" w:cs="Times New Roman"/>
                <w:color w:val="000000"/>
                <w:sz w:val="18"/>
                <w:szCs w:val="18"/>
              </w:rPr>
            </w:pPr>
            <w:r>
              <w:rPr>
                <w:rFonts w:ascii="Times New Roman" w:hAnsi="Times New Roman" w:cs="Times New Roman"/>
                <w:color w:val="000000"/>
                <w:sz w:val="18"/>
                <w:szCs w:val="18"/>
              </w:rPr>
              <w:t>原煤储运收尘灰</w:t>
            </w:r>
          </w:p>
        </w:tc>
        <w:tc>
          <w:tcPr>
            <w:tcW w:w="1621" w:type="dxa"/>
            <w:vAlign w:val="center"/>
          </w:tcPr>
          <w:p w14:paraId="766DF925">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一般固废</w:t>
            </w:r>
          </w:p>
        </w:tc>
        <w:tc>
          <w:tcPr>
            <w:tcW w:w="2004" w:type="dxa"/>
            <w:vAlign w:val="center"/>
          </w:tcPr>
          <w:p w14:paraId="73FBF4B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900-099-S16</w:t>
            </w:r>
          </w:p>
        </w:tc>
        <w:tc>
          <w:tcPr>
            <w:tcW w:w="2078" w:type="dxa"/>
            <w:vAlign w:val="center"/>
          </w:tcPr>
          <w:p w14:paraId="23E8802E">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716.4</w:t>
            </w:r>
          </w:p>
        </w:tc>
        <w:tc>
          <w:tcPr>
            <w:tcW w:w="2660" w:type="dxa"/>
            <w:vAlign w:val="center"/>
          </w:tcPr>
          <w:p w14:paraId="298A1AE3">
            <w:pPr>
              <w:jc w:val="center"/>
              <w:rPr>
                <w:rFonts w:hint="eastAsia" w:cs="Times New Roman"/>
                <w:color w:val="000000"/>
                <w:sz w:val="18"/>
                <w:szCs w:val="18"/>
              </w:rPr>
            </w:pPr>
            <w:r>
              <w:rPr>
                <w:rFonts w:hint="eastAsia" w:cs="Times New Roman"/>
                <w:color w:val="000000"/>
                <w:sz w:val="18"/>
                <w:szCs w:val="18"/>
              </w:rPr>
              <w:t>送气化装置作原料</w:t>
            </w:r>
          </w:p>
        </w:tc>
        <w:tc>
          <w:tcPr>
            <w:tcW w:w="1422" w:type="dxa"/>
            <w:vAlign w:val="center"/>
          </w:tcPr>
          <w:p w14:paraId="32363674">
            <w:pPr>
              <w:jc w:val="center"/>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716.4</w:t>
            </w:r>
          </w:p>
        </w:tc>
      </w:tr>
    </w:tbl>
    <w:p w14:paraId="2F107BD7">
      <w:pPr>
        <w:spacing w:line="360" w:lineRule="auto"/>
        <w:jc w:val="center"/>
        <w:rPr>
          <w:rFonts w:hint="eastAsia" w:ascii="黑体" w:hAnsi="黑体" w:eastAsia="黑体"/>
          <w:b/>
        </w:rPr>
      </w:pPr>
    </w:p>
    <w:p w14:paraId="266BA72C">
      <w:pPr>
        <w:spacing w:line="360" w:lineRule="auto"/>
        <w:jc w:val="center"/>
        <w:rPr>
          <w:rFonts w:hint="eastAsia" w:ascii="黑体" w:hAnsi="黑体" w:eastAsia="黑体"/>
          <w:b/>
        </w:rPr>
      </w:pPr>
    </w:p>
    <w:p w14:paraId="0AF90214">
      <w:pPr>
        <w:pStyle w:val="128"/>
        <w:rPr>
          <w:rFonts w:hint="eastAsia"/>
        </w:rPr>
        <w:sectPr>
          <w:pgSz w:w="16838" w:h="11906" w:orient="landscape"/>
          <w:pgMar w:top="1797" w:right="1440" w:bottom="1797" w:left="1440" w:header="851" w:footer="850" w:gutter="0"/>
          <w:cols w:space="720" w:num="1"/>
          <w:docGrid w:linePitch="326" w:charSpace="0"/>
        </w:sectPr>
      </w:pPr>
    </w:p>
    <w:p w14:paraId="0DD16A7F">
      <w:pPr>
        <w:pStyle w:val="98"/>
        <w:rPr>
          <w:rFonts w:hint="eastAsia"/>
        </w:rPr>
      </w:pPr>
      <w:r>
        <w:rPr>
          <w:rFonts w:hint="eastAsia"/>
        </w:rPr>
        <w:t>固体废物环境影响分析</w:t>
      </w:r>
    </w:p>
    <w:p w14:paraId="35EF4A93">
      <w:pPr>
        <w:pStyle w:val="814"/>
        <w:rPr>
          <w:rFonts w:hint="eastAsia"/>
        </w:rPr>
      </w:pPr>
      <w:bookmarkStart w:id="345" w:name="_Hlk98239662"/>
      <w:r>
        <w:t>灰渣综合利用的影响分析</w:t>
      </w:r>
    </w:p>
    <w:p w14:paraId="380CCB56">
      <w:pPr>
        <w:pStyle w:val="128"/>
        <w:rPr>
          <w:rFonts w:hAnsi="Times New Roman" w:cs="Times New Roman"/>
        </w:rPr>
      </w:pPr>
      <w:r>
        <w:rPr>
          <w:rFonts w:hAnsi="Times New Roman" w:cs="Times New Roman"/>
        </w:rPr>
        <w:t>本项目汽车输送的一般固体废物中，废吸附剂</w:t>
      </w:r>
      <w:r>
        <w:rPr>
          <w:rFonts w:hint="eastAsia" w:hAnsi="Times New Roman" w:cs="Times New Roman"/>
        </w:rPr>
        <w:t>，废超滤膜、废反渗透膜、废离子交换树脂、废滤料、生化污泥、废分子筛、废空分氧化铝</w:t>
      </w:r>
      <w:r>
        <w:rPr>
          <w:rFonts w:hAnsi="Times New Roman" w:cs="Times New Roman"/>
        </w:rPr>
        <w:t>等一般固体废物均非颗粒状固体废物，不易起尘，对环境影响不明显；煤气化装置</w:t>
      </w:r>
      <w:r>
        <w:rPr>
          <w:rFonts w:hint="eastAsia" w:hAnsi="Times New Roman" w:cs="Times New Roman"/>
        </w:rPr>
        <w:t>粗渣、细渣</w:t>
      </w:r>
      <w:r>
        <w:rPr>
          <w:rFonts w:hAnsi="Times New Roman" w:cs="Times New Roman"/>
        </w:rPr>
        <w:t>、锅炉灰渣运输车辆应采用密闭、控制车速等措施，对大气环境质量影响不明显。</w:t>
      </w:r>
    </w:p>
    <w:p w14:paraId="5DE1653A">
      <w:pPr>
        <w:pStyle w:val="814"/>
        <w:rPr>
          <w:rFonts w:hint="eastAsia"/>
        </w:rPr>
      </w:pPr>
      <w:r>
        <w:t>危险废物环境影响分析</w:t>
      </w:r>
    </w:p>
    <w:p w14:paraId="2AF54ABF">
      <w:pPr>
        <w:pStyle w:val="281"/>
        <w:ind w:firstLine="480"/>
        <w:rPr>
          <w:rFonts w:cs="Times New Roman"/>
        </w:rPr>
      </w:pPr>
      <w:r>
        <w:rPr>
          <w:rFonts w:cs="Times New Roman"/>
        </w:rPr>
        <w:t>本项目产生的危险废物种类较多，按照《建设项目危险废物环境影响评价指南》开展评价工作。</w:t>
      </w:r>
    </w:p>
    <w:p w14:paraId="1F4151B6">
      <w:pPr>
        <w:pStyle w:val="281"/>
        <w:ind w:firstLine="480"/>
        <w:rPr>
          <w:rFonts w:cs="Times New Roman"/>
        </w:rPr>
      </w:pPr>
      <w:r>
        <w:rPr>
          <w:rFonts w:hint="eastAsia" w:cs="Times New Roman"/>
        </w:rPr>
        <w:t>（</w:t>
      </w:r>
      <w:r>
        <w:rPr>
          <w:rFonts w:cs="Times New Roman"/>
        </w:rPr>
        <w:t>1）危险废物贮存过程的环境影响分析</w:t>
      </w:r>
    </w:p>
    <w:p w14:paraId="27E8822B">
      <w:pPr>
        <w:pStyle w:val="281"/>
        <w:ind w:firstLine="480"/>
        <w:rPr>
          <w:rFonts w:cs="Times New Roman"/>
        </w:rPr>
      </w:pPr>
      <w:r>
        <w:rPr>
          <w:rFonts w:ascii="宋体" w:hAnsi="宋体" w:cs="Cambria Math"/>
        </w:rPr>
        <w:t>①</w:t>
      </w:r>
      <w:r>
        <w:rPr>
          <w:rFonts w:cs="Times New Roman"/>
        </w:rPr>
        <w:t>危险废物贮存场所</w:t>
      </w:r>
    </w:p>
    <w:p w14:paraId="1DD6774D">
      <w:pPr>
        <w:pStyle w:val="281"/>
        <w:ind w:firstLine="480"/>
        <w:rPr>
          <w:rFonts w:cs="Times New Roman"/>
        </w:rPr>
      </w:pPr>
      <w:r>
        <w:rPr>
          <w:rFonts w:cs="Times New Roman"/>
        </w:rPr>
        <w:t>本项目危险废物外委处置前，在厂内危险废物暂存间暂存，采用密闭库房存储。危险废物暂存间基础必须防渗，人工衬层的材料渗透系数不大于1.0×10</w:t>
      </w:r>
      <w:r>
        <w:rPr>
          <w:rFonts w:cs="Times New Roman"/>
          <w:vertAlign w:val="superscript"/>
        </w:rPr>
        <w:t>-12</w:t>
      </w:r>
      <w:r>
        <w:rPr>
          <w:rFonts w:cs="Times New Roman"/>
        </w:rPr>
        <w:t>m/s，需满足《危险废物贮存污染控制标准》（GB 18597-2023）进行防渗、防雨淋等相关设计和管理要求，对地下水和土壤环境造成的影响不大。</w:t>
      </w:r>
      <w:r>
        <w:rPr>
          <w:rFonts w:cs="Times New Roman"/>
          <w:lang w:bidi="en-US"/>
        </w:rPr>
        <w:t>危废的贮存场所设置明显标志；贮存场所内禁止混放不相容危险废物。</w:t>
      </w:r>
    </w:p>
    <w:p w14:paraId="47AB89FB">
      <w:pPr>
        <w:pStyle w:val="281"/>
        <w:ind w:firstLine="480"/>
        <w:rPr>
          <w:rFonts w:cs="Times New Roman"/>
        </w:rPr>
      </w:pPr>
      <w:r>
        <w:rPr>
          <w:rFonts w:ascii="宋体" w:hAnsi="宋体" w:cs="Cambria Math"/>
        </w:rPr>
        <w:t>②</w:t>
      </w:r>
      <w:r>
        <w:rPr>
          <w:rFonts w:cs="Times New Roman"/>
        </w:rPr>
        <w:t>危险废物贮存场所环境影响</w:t>
      </w:r>
    </w:p>
    <w:p w14:paraId="1AD94731">
      <w:pPr>
        <w:pStyle w:val="281"/>
        <w:ind w:firstLine="480"/>
      </w:pPr>
      <w:r>
        <w:t>本项目选址不位于生态保护红线区域、永久基本农田和其他需要特别保护的区域内，不属于溶洞区或易遭受洪水、滑坡、泥石流、潮汐等严重自然灾害影响的地区，危险废物贮存场位于项目区内，选址符合《危险废物贮存污染控制标准》（GB 18597-2023）对选址的要求。</w:t>
      </w:r>
    </w:p>
    <w:p w14:paraId="1C8CD096">
      <w:pPr>
        <w:pStyle w:val="281"/>
        <w:ind w:firstLine="480"/>
        <w:rPr>
          <w:rFonts w:cs="Times New Roman"/>
        </w:rPr>
      </w:pPr>
      <w:r>
        <w:rPr>
          <w:rFonts w:cs="Times New Roman"/>
        </w:rPr>
        <w:t>危险废物暂存间的设计参照《危险废物贮存污染控制标准》（GB18597-2023）的要求进行，危险废物暂存间污染防治分区按重点污染区域考虑，地面进行耐腐和硬化处理，暂存库内所有设备考虑防爆设置，</w:t>
      </w:r>
      <w:r>
        <w:t>并按《环境保护图形标志—固体废物贮存（处置）场》（GB 15562.2-1995及其修改单）的规定设置警示标志。</w:t>
      </w:r>
      <w:r>
        <w:rPr>
          <w:rFonts w:cs="Times New Roman"/>
        </w:rPr>
        <w:t>危废暂存库设</w:t>
      </w:r>
      <w:r>
        <w:rPr>
          <w:rFonts w:hint="eastAsia" w:cs="Times New Roman"/>
        </w:rPr>
        <w:t>地沟</w:t>
      </w:r>
      <w:r>
        <w:rPr>
          <w:rFonts w:cs="Times New Roman"/>
        </w:rPr>
        <w:t>，收集在消防事故发生过程中产生的泄漏物料、污染消防水等。库内清理出来的泄漏物，一律按危险废物处理。</w:t>
      </w:r>
    </w:p>
    <w:p w14:paraId="612ABD4B">
      <w:pPr>
        <w:pStyle w:val="281"/>
        <w:ind w:firstLine="480"/>
        <w:rPr>
          <w:rFonts w:cs="Times New Roman"/>
        </w:rPr>
      </w:pPr>
      <w:r>
        <w:rPr>
          <w:rFonts w:ascii="宋体" w:hAnsi="宋体" w:cs="Cambria Math"/>
        </w:rPr>
        <w:t>③</w:t>
      </w:r>
      <w:r>
        <w:rPr>
          <w:rFonts w:cs="Times New Roman"/>
        </w:rPr>
        <w:t>危险废物贮存管理要求</w:t>
      </w:r>
    </w:p>
    <w:p w14:paraId="3FACC5EE">
      <w:pPr>
        <w:pStyle w:val="281"/>
        <w:ind w:firstLine="480"/>
        <w:rPr>
          <w:rFonts w:cs="Times New Roman"/>
        </w:rPr>
      </w:pPr>
      <w:r>
        <w:rPr>
          <w:rFonts w:cs="Times New Roman"/>
        </w:rPr>
        <w:t>本项目对危险固体废物进行全过程严格管理，必须交由有资质的单位安全处理处置，严禁随意堆放和扩散，必须设置专用贮存场所，并</w:t>
      </w:r>
      <w:r>
        <w:rPr>
          <w:rFonts w:hint="eastAsia" w:cs="Times New Roman"/>
        </w:rPr>
        <w:t>按照</w:t>
      </w:r>
      <w:r>
        <w:rPr>
          <w:rFonts w:cs="Times New Roman"/>
        </w:rPr>
        <w:t>《危险废物贮存污染控制标准》（GB 18597-2023）及《危险废物污染防治技术政策》的有关规定贮存及管理，有防扬散、防流失、防渗漏等措施，由专业人员操作，单独收集和贮运，对本项目产生的固体废物特别是危险废物进行全过程严格管理和安全处置。</w:t>
      </w:r>
    </w:p>
    <w:p w14:paraId="62321393">
      <w:pPr>
        <w:pStyle w:val="281"/>
        <w:ind w:firstLine="480"/>
        <w:rPr>
          <w:rFonts w:cs="Times New Roman"/>
        </w:rPr>
      </w:pPr>
      <w:r>
        <w:rPr>
          <w:rFonts w:cs="Times New Roman"/>
        </w:rPr>
        <w:t>为杜绝危险废物在转运过程中对环境的潜在性污染风险，各危险废物处置单位应实行“上门取货制”和危险废物的转运联单制，配备专用的危险废物转运车辆，实行从废物产生源头装车，到最终的处理处置设施进行全程监控和管理。废物进场时首先要对废物进行物理和化学性质分析，分类并登记造册，禁止将不相容废物装入同一容器。盛装危险废物的容器上要粘贴符合标准的标签。</w:t>
      </w:r>
    </w:p>
    <w:p w14:paraId="3625DF9F">
      <w:pPr>
        <w:pStyle w:val="281"/>
        <w:ind w:firstLine="480"/>
        <w:rPr>
          <w:rFonts w:cs="Times New Roman"/>
        </w:rPr>
      </w:pPr>
      <w:r>
        <w:rPr>
          <w:rFonts w:cs="Times New Roman"/>
        </w:rPr>
        <w:t>综上所述，本项目危险废物贮存设施可靠，贮存环节对环境产生的影响较小。</w:t>
      </w:r>
    </w:p>
    <w:p w14:paraId="66009BD8">
      <w:pPr>
        <w:pStyle w:val="281"/>
        <w:ind w:firstLine="480"/>
        <w:rPr>
          <w:rFonts w:cs="Times New Roman"/>
        </w:rPr>
      </w:pPr>
      <w:r>
        <w:rPr>
          <w:rFonts w:hint="eastAsia" w:cs="Times New Roman"/>
        </w:rPr>
        <w:t>（2</w:t>
      </w:r>
      <w:r>
        <w:rPr>
          <w:rFonts w:cs="Times New Roman"/>
        </w:rPr>
        <w:t>）危险废物运输过程的环境影响分析</w:t>
      </w:r>
    </w:p>
    <w:p w14:paraId="40679971">
      <w:pPr>
        <w:pStyle w:val="281"/>
        <w:ind w:firstLine="480"/>
        <w:rPr>
          <w:rFonts w:cs="Times New Roman"/>
        </w:rPr>
      </w:pPr>
      <w:r>
        <w:rPr>
          <w:rFonts w:cs="Times New Roman"/>
        </w:rPr>
        <w:t>危废在运输过程中，如果管理不当或未采取适当的污染防治和安全防护措施，则会造成污染，因此，危险废物运输必须由具备资质的单位承担，并严格按照《危险废物收集、贮存、运输技术规范》（HJ2025-2012）和《危险废物转移联单管理办法》（总局5号令）进行操作。为杜绝危险废物在转运过程中对环境的潜在污染风险，各危险废物处置单位应实施“上门取货制”和危险废物的转运联单制，采用专用的危险废物转运车辆，实行从废物产生源头装车、到最终的处理处置设施进行全程监控和管理。</w:t>
      </w:r>
    </w:p>
    <w:p w14:paraId="61765413">
      <w:pPr>
        <w:pStyle w:val="281"/>
        <w:ind w:firstLine="480"/>
        <w:rPr>
          <w:rFonts w:cs="Times New Roman"/>
        </w:rPr>
      </w:pPr>
      <w:r>
        <w:rPr>
          <w:rFonts w:cs="Times New Roman"/>
        </w:rPr>
        <w:t>各危险废物处置单位均应持有危险废物经营许可证并按照其许可证的经营范围组织实施。运输采取专车、专用容器进行，并按规定程序进行贮存，储运过程将采取可靠、严密的环境保护对策，同时危险废物按规定线路进行运输。因此其运输过程对环境影响较小。危废处置中心应严格遵守《道路危险货物运输管理规定》（交通部令2005年第9号），必须对危险废物的运输加以控制和管理。运输危险废物，必须同时符合两个要求，一是必须采取防止污染环境的措施，符合环境保护的要求，做到无害化的运输；二是遵守国家有关危险货物运输管理的规定，符合危险货物运输的安全防护要求，做到安全运输；承担危险废物运输的单位应获得交通运输部门颁发的危险货物运输资质。具体的防治污染环境的措施有：</w:t>
      </w:r>
    </w:p>
    <w:p w14:paraId="13843672">
      <w:pPr>
        <w:pStyle w:val="281"/>
        <w:ind w:firstLine="480"/>
        <w:rPr>
          <w:rFonts w:cs="Times New Roman"/>
        </w:rPr>
      </w:pPr>
      <w:r>
        <w:rPr>
          <w:rFonts w:cs="Times New Roman"/>
        </w:rPr>
        <w:t>1）运输时应当采取密闭、遮盖、捆扎、喷淋等措施防止扬散；对运输危险废物的设施和设备应当加强管理和维护，保证其正常运行和使用；</w:t>
      </w:r>
    </w:p>
    <w:p w14:paraId="52296936">
      <w:pPr>
        <w:pStyle w:val="281"/>
        <w:ind w:firstLine="480"/>
        <w:rPr>
          <w:rFonts w:cs="Times New Roman"/>
        </w:rPr>
      </w:pPr>
      <w:r>
        <w:rPr>
          <w:rFonts w:cs="Times New Roman"/>
        </w:rPr>
        <w:t>2）不能混合运输性质不相容而又未经安全性处置的危险废物；</w:t>
      </w:r>
    </w:p>
    <w:p w14:paraId="19B6267E">
      <w:pPr>
        <w:pStyle w:val="281"/>
        <w:ind w:firstLine="480"/>
        <w:rPr>
          <w:rFonts w:cs="Times New Roman"/>
        </w:rPr>
      </w:pPr>
      <w:r>
        <w:rPr>
          <w:rFonts w:cs="Times New Roman"/>
        </w:rPr>
        <w:t>3）运输危险废物的设施和设备在转作他用时，必须经过消除污染的处理，方可使用；</w:t>
      </w:r>
    </w:p>
    <w:p w14:paraId="7BEF7C7F">
      <w:pPr>
        <w:pStyle w:val="281"/>
        <w:ind w:firstLine="480"/>
        <w:rPr>
          <w:rFonts w:cs="Times New Roman"/>
        </w:rPr>
      </w:pPr>
      <w:r>
        <w:rPr>
          <w:rFonts w:cs="Times New Roman"/>
        </w:rPr>
        <w:t>4）运输危险废物的人员，应当接受专业培训，经考核合格后，方可从事运输危险废物的工作；</w:t>
      </w:r>
    </w:p>
    <w:p w14:paraId="2D881457">
      <w:pPr>
        <w:pStyle w:val="281"/>
        <w:ind w:firstLine="480"/>
        <w:rPr>
          <w:rFonts w:cs="Times New Roman"/>
        </w:rPr>
      </w:pPr>
      <w:r>
        <w:rPr>
          <w:rFonts w:cs="Times New Roman"/>
        </w:rPr>
        <w:t>5）运输危险废物的单位应当制定在发生意外事故时采取的应急措施和防范措施；</w:t>
      </w:r>
    </w:p>
    <w:p w14:paraId="58811F5A">
      <w:pPr>
        <w:pStyle w:val="281"/>
        <w:ind w:firstLine="480"/>
        <w:rPr>
          <w:rFonts w:cs="Times New Roman"/>
        </w:rPr>
      </w:pPr>
      <w:r>
        <w:rPr>
          <w:rFonts w:cs="Times New Roman"/>
        </w:rPr>
        <w:t>6）运输时，发生突发性事故必须立即采取措施消除或者减轻对环境的污染危害，及时通报给附近的单位和居民，并向事故发生地县级以上人民政府环境保护行政主管部门和有关部门报告，接受调查处理；</w:t>
      </w:r>
    </w:p>
    <w:p w14:paraId="6C9CA00D">
      <w:pPr>
        <w:pStyle w:val="281"/>
        <w:ind w:firstLine="480"/>
        <w:rPr>
          <w:rFonts w:cs="Times New Roman"/>
        </w:rPr>
      </w:pPr>
      <w:r>
        <w:rPr>
          <w:rFonts w:cs="Times New Roman"/>
        </w:rPr>
        <w:t>7）承运危险废物时，应在危险废物包装上按照GB18597附录A设置标志；</w:t>
      </w:r>
    </w:p>
    <w:p w14:paraId="4FB50330">
      <w:pPr>
        <w:pStyle w:val="281"/>
        <w:ind w:firstLine="480"/>
        <w:rPr>
          <w:rFonts w:cs="Times New Roman"/>
        </w:rPr>
      </w:pPr>
      <w:r>
        <w:rPr>
          <w:rFonts w:cs="Times New Roman"/>
        </w:rPr>
        <w:t>8）危险废物公路运输时，运输车辆应按GB13392设置车辆标志，并采用规定的专用路线运输；</w:t>
      </w:r>
    </w:p>
    <w:p w14:paraId="6E483B00">
      <w:pPr>
        <w:pStyle w:val="281"/>
        <w:ind w:firstLine="480"/>
        <w:rPr>
          <w:rFonts w:cs="Times New Roman"/>
        </w:rPr>
      </w:pPr>
      <w:r>
        <w:rPr>
          <w:rFonts w:cs="Times New Roman"/>
        </w:rPr>
        <w:t>9）卸载区的工作人员应熟悉废物的危险特性，并配备适当的个人防护装备。卸载区配备必要的消防设备和设施，并设置明显的指示标志。</w:t>
      </w:r>
    </w:p>
    <w:p w14:paraId="640C64C9">
      <w:pPr>
        <w:pStyle w:val="281"/>
        <w:ind w:firstLine="480"/>
        <w:rPr>
          <w:rFonts w:cs="Times New Roman"/>
        </w:rPr>
      </w:pPr>
      <w:r>
        <w:rPr>
          <w:rFonts w:cs="Times New Roman"/>
        </w:rPr>
        <w:t>10）危险废物装卸区应设置隔离设施，液态废物卸载区应设置收集槽和缓冲罐。</w:t>
      </w:r>
    </w:p>
    <w:p w14:paraId="4A83618A">
      <w:pPr>
        <w:pStyle w:val="281"/>
        <w:ind w:firstLine="480"/>
        <w:rPr>
          <w:rFonts w:cs="Times New Roman"/>
        </w:rPr>
      </w:pPr>
      <w:r>
        <w:rPr>
          <w:rFonts w:cs="Times New Roman"/>
        </w:rPr>
        <w:t>在采取上述措施后，可有效减少危险废物运输对环境的影响，本项目危险废物运输过程不会对环境空气造成明显不良影响，不会引起周边大气环境质量功能的变化，在可接受范围内。</w:t>
      </w:r>
    </w:p>
    <w:p w14:paraId="2D41C1E7">
      <w:pPr>
        <w:pStyle w:val="281"/>
        <w:ind w:firstLine="480"/>
        <w:rPr>
          <w:rFonts w:cs="Times New Roman"/>
          <w:kern w:val="2"/>
        </w:rPr>
      </w:pPr>
      <w:r>
        <w:rPr>
          <w:rFonts w:cs="Times New Roman"/>
        </w:rPr>
        <w:t>（3）危险废物外送委托处理处置对环境的影响分析</w:t>
      </w:r>
    </w:p>
    <w:p w14:paraId="4EB87B6E">
      <w:pPr>
        <w:pStyle w:val="281"/>
        <w:ind w:firstLine="480"/>
        <w:rPr>
          <w:rFonts w:cs="Times New Roman"/>
        </w:rPr>
      </w:pPr>
      <w:r>
        <w:rPr>
          <w:rFonts w:cs="Times New Roman"/>
        </w:rPr>
        <w:t>本工程需委托处置的危险废物包括</w:t>
      </w:r>
      <w:r>
        <w:rPr>
          <w:rFonts w:hint="eastAsia"/>
        </w:rPr>
        <w:t>煤气冷却</w:t>
      </w:r>
      <w:r>
        <w:t>单元-废脱毒剂、硫回收单元-废脱硝催化剂、硫回收单元-废SO</w:t>
      </w:r>
      <w:r>
        <w:rPr>
          <w:vertAlign w:val="subscript"/>
        </w:rPr>
        <w:t>2</w:t>
      </w:r>
      <w:r>
        <w:t>转化催化剂、硫回收单元-废除雾纤维、动力站-废脱硝催化剂</w:t>
      </w:r>
      <w:r>
        <w:rPr>
          <w:rFonts w:hint="eastAsia"/>
        </w:rPr>
        <w:t>、</w:t>
      </w:r>
      <w:r>
        <w:t>220kV变电站-</w:t>
      </w:r>
      <w:r>
        <w:rPr>
          <w:rFonts w:hint="eastAsia"/>
        </w:rPr>
        <w:t>废变压器油</w:t>
      </w:r>
      <w:r>
        <w:t>、220kV变电站-</w:t>
      </w:r>
      <w:r>
        <w:rPr>
          <w:rFonts w:hint="eastAsia"/>
        </w:rPr>
        <w:t>废铅酸蓄电池</w:t>
      </w:r>
      <w:r>
        <w:t>等</w:t>
      </w:r>
      <w:r>
        <w:rPr>
          <w:rFonts w:cs="Times New Roman"/>
        </w:rPr>
        <w:t>。</w:t>
      </w:r>
    </w:p>
    <w:p w14:paraId="166413DD">
      <w:pPr>
        <w:pStyle w:val="281"/>
        <w:ind w:firstLine="480"/>
        <w:rPr>
          <w:rFonts w:cs="Times New Roman"/>
        </w:rPr>
      </w:pPr>
      <w:r>
        <w:rPr>
          <w:rFonts w:cs="Times New Roman"/>
        </w:rPr>
        <w:t>本工程在厂内设置一座危险废物暂存库，危险废物在库内暂存后，定期送有资质单位处置。</w:t>
      </w:r>
    </w:p>
    <w:p w14:paraId="185AC427">
      <w:pPr>
        <w:pStyle w:val="128"/>
        <w:rPr>
          <w:rFonts w:hAnsi="Times New Roman" w:cs="Times New Roman"/>
        </w:rPr>
      </w:pPr>
      <w:r>
        <w:rPr>
          <w:rFonts w:hAnsi="Times New Roman" w:cs="Times New Roman"/>
        </w:rPr>
        <w:t>（4）对大气环境的影响</w:t>
      </w:r>
    </w:p>
    <w:p w14:paraId="6D23CEDA">
      <w:pPr>
        <w:pStyle w:val="128"/>
        <w:rPr>
          <w:rFonts w:hAnsi="Times New Roman" w:cs="Times New Roman"/>
        </w:rPr>
      </w:pPr>
      <w:r>
        <w:rPr>
          <w:rFonts w:hAnsi="Times New Roman" w:cs="Times New Roman"/>
        </w:rPr>
        <w:t>固体废物在堆放过程中，废物所含的细粒、粉末随风扬散；在废物运输及处理过程中缺少相应的防护和净化设施，释放有害气体和粉尘。危废暂存于满足《危险废物贮存污染控制标准》（GB18597-2023）要求的危废暂存间，并采取防风、防雨、防漏等措施，暂存能力满足要求，危险废物定期委托有资质单位采用专用车辆运输至有资质单位处置，因此，拟建项目固体废物对大气环境的影响较小。</w:t>
      </w:r>
    </w:p>
    <w:p w14:paraId="11C3745D">
      <w:pPr>
        <w:pStyle w:val="128"/>
        <w:rPr>
          <w:rFonts w:hAnsi="Times New Roman" w:cs="Times New Roman"/>
        </w:rPr>
      </w:pPr>
      <w:r>
        <w:rPr>
          <w:rFonts w:hAnsi="Times New Roman" w:cs="Times New Roman"/>
        </w:rPr>
        <w:t>（5）对地下水、土壤环境的影响</w:t>
      </w:r>
    </w:p>
    <w:p w14:paraId="1253CE4F">
      <w:pPr>
        <w:pStyle w:val="128"/>
        <w:rPr>
          <w:rFonts w:hAnsi="Times New Roman" w:cs="Times New Roman"/>
        </w:rPr>
      </w:pPr>
      <w:r>
        <w:rPr>
          <w:rFonts w:hAnsi="Times New Roman" w:cs="Times New Roman"/>
        </w:rPr>
        <w:t>固体废物的长期露天堆放</w:t>
      </w:r>
      <w:r>
        <w:rPr>
          <w:rFonts w:hint="eastAsia" w:hAnsi="Times New Roman" w:cs="Times New Roman"/>
        </w:rPr>
        <w:t>。</w:t>
      </w:r>
      <w:r>
        <w:rPr>
          <w:rFonts w:hAnsi="Times New Roman" w:cs="Times New Roman"/>
        </w:rPr>
        <w:t>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拟建项目产生一般固废和危险废物均暂存于满足要求的暂存间或库内，采取防风、防雨措施，不存在露天堆放，因此，固体废物特别是危险废物的有害成分进入土壤环境的可能性较小，对周边土壤环境的影响较小。</w:t>
      </w:r>
    </w:p>
    <w:p w14:paraId="341E5ADB">
      <w:pPr>
        <w:pStyle w:val="128"/>
        <w:rPr>
          <w:rFonts w:hAnsi="Times New Roman" w:cs="Times New Roman"/>
        </w:rPr>
      </w:pPr>
      <w:r>
        <w:rPr>
          <w:rFonts w:hAnsi="Times New Roman" w:cs="Times New Roman"/>
        </w:rPr>
        <w:t>拟建项目在固体废物堆存场的建设均采用室内仓库，避免了露天堆放对土壤环境的污染和堆存过程中产生扬尘对环境空气的污染；外售的固体废物使用专用车辆进行运输，同时运输过程中注意遮盖，避免物料遗撒，防止运输途中产生扬尘，污染道路沿线的大气环境。另外要求在厂区内暂时存放固体废物特别是危险废物期间应加强管理，分类收集，及时处理，严格执行《危险废物贮存污染控制标准》（GB18597-2023）、《一般工业固体废物贮存和填埋污染控制标准》（GB18599-2020）等相关要求，堆放场地应设有防渗、防流失措施；在清运过程中，要求做好密闭措施，防止固废散发出臭味或抛洒遗漏而导致污染扩散。</w:t>
      </w:r>
      <w:bookmarkEnd w:id="345"/>
    </w:p>
    <w:p w14:paraId="0B905935">
      <w:pPr>
        <w:pStyle w:val="3"/>
        <w:rPr>
          <w:rFonts w:hint="eastAsia"/>
        </w:rPr>
      </w:pPr>
      <w:bookmarkStart w:id="346" w:name="_Toc15404"/>
      <w:bookmarkStart w:id="347" w:name="_Toc60992716"/>
      <w:r>
        <w:rPr>
          <w:rFonts w:hint="eastAsia"/>
        </w:rPr>
        <w:t>生态环境影响分析</w:t>
      </w:r>
      <w:bookmarkEnd w:id="346"/>
      <w:bookmarkEnd w:id="347"/>
    </w:p>
    <w:p w14:paraId="3BBAEAF8">
      <w:pPr>
        <w:pStyle w:val="128"/>
        <w:rPr>
          <w:rFonts w:hint="eastAsia"/>
        </w:rPr>
      </w:pPr>
      <w:bookmarkStart w:id="348" w:name="_Hlk129687933"/>
      <w:r>
        <w:rPr>
          <w:rFonts w:hint="eastAsia"/>
        </w:rPr>
        <w:t>项目生态影响主要体现在占地影响以及外排废气污染物对植被生态的影响。</w:t>
      </w:r>
    </w:p>
    <w:p w14:paraId="0CD50616">
      <w:pPr>
        <w:pStyle w:val="97"/>
        <w:rPr>
          <w:rFonts w:hint="eastAsia"/>
        </w:rPr>
      </w:pPr>
      <w:r>
        <w:rPr>
          <w:rFonts w:hint="eastAsia"/>
        </w:rPr>
        <w:t>占地影响分析</w:t>
      </w:r>
    </w:p>
    <w:p w14:paraId="6357333C">
      <w:pPr>
        <w:pStyle w:val="128"/>
        <w:rPr>
          <w:rFonts w:hint="eastAsia"/>
        </w:rPr>
      </w:pPr>
      <w:r>
        <w:rPr>
          <w:rFonts w:hint="eastAsia"/>
        </w:rPr>
        <w:t>拟建</w:t>
      </w:r>
      <w:r>
        <w:t>项目位于哈密工业园区，总占地</w:t>
      </w:r>
      <w:r>
        <w:rPr>
          <w:rFonts w:hint="eastAsia"/>
        </w:rPr>
        <w:t>约51.024h</w:t>
      </w:r>
      <w:r>
        <w:t>m</w:t>
      </w:r>
      <w:r>
        <w:rPr>
          <w:vertAlign w:val="superscript"/>
        </w:rPr>
        <w:t>2</w:t>
      </w:r>
      <w:r>
        <w:t>，占地类型为三类工业用地，项目场地内为</w:t>
      </w:r>
      <w:r>
        <w:rPr>
          <w:rFonts w:hint="eastAsia"/>
        </w:rPr>
        <w:t>未利用地</w:t>
      </w:r>
      <w:r>
        <w:t>，植被覆盖度很低。</w:t>
      </w:r>
    </w:p>
    <w:p w14:paraId="23557C4F">
      <w:pPr>
        <w:pStyle w:val="128"/>
        <w:rPr>
          <w:rFonts w:hint="eastAsia"/>
        </w:rPr>
      </w:pPr>
      <w:r>
        <w:t>项目建成后，在项目区空地、道路两侧进行绿化，生产装置周围绿地种植草皮，同时充分利用厂区道路两旁及零星空地进行绿化，选择耐性好、抗性强的乡土植物，并采取生取草、灌、木相结合的绿化方式。</w:t>
      </w:r>
    </w:p>
    <w:p w14:paraId="218EB1AD">
      <w:pPr>
        <w:pStyle w:val="128"/>
        <w:rPr>
          <w:rFonts w:hint="eastAsia"/>
        </w:rPr>
      </w:pPr>
      <w:r>
        <w:t>另外由于构筑物投运、道路硬化、绿化的建成等，将减少扬尘，使厂区及周边水土流失程度得到控制。在进行生态绿化后，其影响环境的因素得到较好控制的情况下，会对拟建地块周围环境质量改善起到—定的积极作用</w:t>
      </w:r>
      <w:r>
        <w:rPr>
          <w:rFonts w:hint="eastAsia"/>
        </w:rPr>
        <w:t>。</w:t>
      </w:r>
    </w:p>
    <w:p w14:paraId="7A42FE8E">
      <w:pPr>
        <w:pStyle w:val="97"/>
        <w:rPr>
          <w:rFonts w:hint="eastAsia"/>
        </w:rPr>
      </w:pPr>
      <w:r>
        <w:rPr>
          <w:rFonts w:hint="eastAsia"/>
        </w:rPr>
        <w:t>动植物影响分析</w:t>
      </w:r>
    </w:p>
    <w:p w14:paraId="772C7D14">
      <w:pPr>
        <w:pStyle w:val="281"/>
        <w:ind w:firstLine="480"/>
      </w:pPr>
      <w:r>
        <w:rPr>
          <w:rFonts w:hint="eastAsia" w:ascii="宋体" w:hAnsi="宋体"/>
        </w:rPr>
        <w:t>根据园区规划环评，</w:t>
      </w:r>
      <w:r>
        <w:rPr>
          <w:rFonts w:hint="eastAsia" w:hAnsi="宋体"/>
          <w:szCs w:val="24"/>
        </w:rPr>
        <w:t>经开发受人为活动干扰的影响，野生动物的种类和数量稀少，目前经开区内陆栖野生动物中无珍稀保护动物，且未见有大型野生动物活动，主要为常见于荒漠地带的小型兽类，</w:t>
      </w:r>
      <w:r>
        <w:rPr>
          <w:rFonts w:hAnsi="宋体"/>
          <w:szCs w:val="24"/>
        </w:rPr>
        <w:t>旱獭</w:t>
      </w:r>
      <w:r>
        <w:rPr>
          <w:rFonts w:hint="eastAsia" w:hAnsi="宋体"/>
          <w:szCs w:val="24"/>
        </w:rPr>
        <w:t>、老鼠等，爬行类有绿蟾蜍、敏麻蜥、捷蜥蜴，鸟类有黑顶麻雀、棕柳莺等</w:t>
      </w:r>
      <w:r>
        <w:rPr>
          <w:rFonts w:hint="eastAsia" w:ascii="宋体" w:hAnsi="宋体"/>
        </w:rPr>
        <w:t>；</w:t>
      </w:r>
      <w:r>
        <w:rPr>
          <w:szCs w:val="24"/>
        </w:rPr>
        <w:t>经开区大部分位于噶顺戈壁，降水稀少，无常年地表径流，主要为裸地和稀疏植被，区域地下水位在4～10m不等，荒漠植被主要有柽柳、假木贼、琵琶柴、骆驼刺、盐生草、琵琶柴、麻黄及少量的白刺等，多分布在山前洪冲积扇中上部，戈壁滩洪积平原半固定沙丘和冲积平原中下段局部残丘上生物累积极为微弱，分布极不均匀，植被盖度在10%以内</w:t>
      </w:r>
      <w:r>
        <w:rPr>
          <w:rFonts w:hint="eastAsia"/>
          <w:szCs w:val="24"/>
        </w:rPr>
        <w:t>。</w:t>
      </w:r>
    </w:p>
    <w:p w14:paraId="00C74CE6">
      <w:pPr>
        <w:pStyle w:val="281"/>
        <w:ind w:firstLine="480"/>
      </w:pPr>
      <w:r>
        <w:rPr>
          <w:rFonts w:hint="eastAsia" w:ascii="宋体" w:hAnsi="宋体"/>
        </w:rPr>
        <w:t>运营期排放的大气污染物主要有</w:t>
      </w:r>
      <w:r>
        <w:rPr>
          <w:rFonts w:hint="eastAsia"/>
        </w:rPr>
        <w:t>SO</w:t>
      </w:r>
      <w:r>
        <w:rPr>
          <w:rFonts w:hint="eastAsia"/>
          <w:vertAlign w:val="subscript"/>
        </w:rPr>
        <w:t>2</w:t>
      </w:r>
      <w:r>
        <w:rPr>
          <w:rFonts w:hint="eastAsia" w:ascii="宋体" w:hAnsi="宋体"/>
        </w:rPr>
        <w:t>、</w:t>
      </w:r>
      <w:r>
        <w:rPr>
          <w:rFonts w:hint="eastAsia"/>
        </w:rPr>
        <w:t>NO</w:t>
      </w:r>
      <w:r>
        <w:rPr>
          <w:rFonts w:hint="eastAsia"/>
          <w:vertAlign w:val="subscript"/>
        </w:rPr>
        <w:t>X</w:t>
      </w:r>
      <w:r>
        <w:rPr>
          <w:rFonts w:hint="eastAsia" w:ascii="宋体" w:hAnsi="宋体"/>
        </w:rPr>
        <w:t>、粉尘（烟尘）等，这些废气通过叶表面气孔进入植物组织，干扰酶的作用和代谢机能，抑制植被光合作用与呼吸作用，导致植物的生长发育减退及叶面伤害、坏死等，在芽、花、果实和枝梢上会突然出现大量伤斑。被空气污染后的植物，生长减缓，抵抗性削弱，也容易造成易受病、虫侵袭的间接危害。二氧化硫和空气中的水蒸气结合，变成</w:t>
      </w:r>
      <w:r>
        <w:t>“</w:t>
      </w:r>
      <w:r>
        <w:rPr>
          <w:rFonts w:hint="eastAsia" w:ascii="宋体" w:hAnsi="宋体"/>
        </w:rPr>
        <w:t>硫酸烟雾</w:t>
      </w:r>
      <w:r>
        <w:t>”</w:t>
      </w:r>
      <w:r>
        <w:rPr>
          <w:rFonts w:hint="eastAsia" w:ascii="宋体" w:hAnsi="宋体"/>
        </w:rPr>
        <w:t>，除了直接伤害植物以外，随雨雪降到地面上以后，可使土壤酸化，从而危害植物的正常生长。经过长时间积累影响，使得植物群落生长破碎化，动物栖息地质量下降，影响动植物的正常生长。</w:t>
      </w:r>
    </w:p>
    <w:p w14:paraId="78DDC4EE">
      <w:pPr>
        <w:pStyle w:val="97"/>
        <w:rPr>
          <w:rFonts w:hint="eastAsia"/>
        </w:rPr>
      </w:pPr>
      <w:r>
        <w:rPr>
          <w:rFonts w:hint="eastAsia"/>
        </w:rPr>
        <w:t>水土流失影响分析</w:t>
      </w:r>
    </w:p>
    <w:p w14:paraId="6ED8D333">
      <w:pPr>
        <w:pStyle w:val="281"/>
        <w:ind w:firstLine="480"/>
      </w:pPr>
      <w:r>
        <w:rPr>
          <w:rFonts w:hint="eastAsia" w:ascii="宋体" w:hAnsi="宋体"/>
        </w:rPr>
        <w:t>建设期的水土保持防治工程措施与项目主体工程建设施工需同步进行，主体工程建设投产后，建设期的水土保持防治工程措施也将一同完成，运营期开展的植物措施存在滞后性，需要一段时间的生长和恢复过程，但是将很大程度改善项目所在区域水土流失现象。</w:t>
      </w:r>
    </w:p>
    <w:p w14:paraId="0F2B30C2">
      <w:pPr>
        <w:pStyle w:val="97"/>
        <w:rPr>
          <w:rFonts w:hint="eastAsia"/>
        </w:rPr>
      </w:pPr>
      <w:r>
        <w:rPr>
          <w:rFonts w:hint="eastAsia"/>
        </w:rPr>
        <w:t>自然景观影响分析</w:t>
      </w:r>
    </w:p>
    <w:p w14:paraId="06FA453E">
      <w:pPr>
        <w:pStyle w:val="281"/>
        <w:ind w:firstLine="480"/>
      </w:pPr>
      <w:r>
        <w:rPr>
          <w:rFonts w:hint="eastAsia" w:ascii="宋体" w:hAnsi="宋体"/>
        </w:rPr>
        <w:t>项目运营期，厂址内工程永久占地将使原有景观变为人为的非自然景观，导致景观斑块改变，但厂址外的自然景观格局不会有变化，仍可以保留原始景观；绿化工程将增加人工植被的种植面积，景观斑块、生物多样性将得到改善，因此对自然景观有正面影响。</w:t>
      </w:r>
    </w:p>
    <w:p w14:paraId="4A3F08EE">
      <w:pPr>
        <w:pStyle w:val="97"/>
        <w:rPr>
          <w:rFonts w:hint="eastAsia"/>
        </w:rPr>
      </w:pPr>
      <w:r>
        <w:rPr>
          <w:rFonts w:hint="eastAsia"/>
        </w:rPr>
        <w:t>小结</w:t>
      </w:r>
    </w:p>
    <w:p w14:paraId="6F466F25">
      <w:pPr>
        <w:pStyle w:val="281"/>
        <w:ind w:firstLine="480"/>
      </w:pPr>
      <w:r>
        <w:rPr>
          <w:rFonts w:hint="eastAsia" w:ascii="宋体" w:hAnsi="宋体"/>
        </w:rPr>
        <w:t>项目建设中，由于厂区平整，建（构）筑物地基开挖、回填，修筑道路，埋设管道等施工活动，对原地貌和地表植被进行了扰动和破坏，降低或丧失了原有的水土保持功能，加剧了区域水土流失的发生和发展。根据实地调查，影响该区域水土流失的自然因素主要有气候、地形、地貌、土壤、植被等；人为因素如厂区建（构）筑物基础开挖、进厂道路、运渣道路修筑、输水管线开挖等破坏了地表植被和原土体结构，加剧了水土流失的发生和发展。</w:t>
      </w:r>
    </w:p>
    <w:p w14:paraId="7C22D2BA">
      <w:pPr>
        <w:pStyle w:val="281"/>
        <w:ind w:firstLine="480"/>
      </w:pPr>
      <w:r>
        <w:rPr>
          <w:rFonts w:hint="eastAsia" w:ascii="宋体" w:hAnsi="宋体"/>
        </w:rPr>
        <w:t>工程进入运行期后，建设时期的厂区开挖面已由建（构）筑物所取代或全部回填，施工扰动区也将得到治理；厂外公路路基及两侧均采取植物措施进行防护，植被覆盖率较原地貌大大提高，将产生良好的生态效应。</w:t>
      </w:r>
    </w:p>
    <w:p w14:paraId="5EFB262D">
      <w:pPr>
        <w:pStyle w:val="281"/>
        <w:ind w:firstLine="480"/>
        <w:rPr>
          <w:rFonts w:hint="eastAsia" w:ascii="宋体" w:hAnsi="宋体"/>
        </w:rPr>
      </w:pPr>
      <w:r>
        <w:rPr>
          <w:rFonts w:hint="eastAsia" w:ascii="宋体" w:hAnsi="宋体"/>
        </w:rPr>
        <w:t>项目的装置、厂房及配套设施等建设，将使生产厂区自施工期开始、并在整个运营期内一直持续地占用土地，致使土地利用产生不可逆的影响，即厂区土地由原来的荒草地成为工业用地，并使这些土地永久失去原有的生物生产功能和生态功能。本项目占地已规划为工业用地且占地面积有限，因此，其对当地的土地利用影响是微乎其微，对生物生产功能和生态功能也是极轻微的。</w:t>
      </w:r>
    </w:p>
    <w:p w14:paraId="63F468E2">
      <w:pPr>
        <w:pStyle w:val="97"/>
        <w:rPr>
          <w:rFonts w:hint="eastAsia"/>
        </w:rPr>
      </w:pPr>
      <w:r>
        <w:rPr>
          <w:rFonts w:hint="eastAsia"/>
        </w:rPr>
        <w:t>自查表</w:t>
      </w:r>
    </w:p>
    <w:p w14:paraId="32688C74">
      <w:pPr>
        <w:pStyle w:val="281"/>
        <w:ind w:firstLine="480"/>
        <w:rPr>
          <w:rFonts w:hint="eastAsia" w:ascii="宋体" w:hAnsi="宋体"/>
        </w:rPr>
      </w:pPr>
      <w:r>
        <w:rPr>
          <w:rFonts w:hint="eastAsia" w:ascii="宋体" w:hAnsi="宋体"/>
        </w:rPr>
        <w:t>生态影响评价自查表见下表。</w:t>
      </w:r>
    </w:p>
    <w:p w14:paraId="6FE11C9F">
      <w:pPr>
        <w:pStyle w:val="645"/>
        <w:rPr>
          <w:rFonts w:hint="eastAsia"/>
        </w:rPr>
      </w:pPr>
      <w:r>
        <w:rPr>
          <w:rFonts w:hint="eastAsia"/>
        </w:rPr>
        <w:t>表</w:t>
      </w:r>
      <w:r>
        <w:t xml:space="preserve">5.7.6-1    </w:t>
      </w:r>
      <w:r>
        <w:rPr>
          <w:rFonts w:hint="eastAsia"/>
        </w:rPr>
        <w:t>生态影响评价自查表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7"/>
        <w:gridCol w:w="1232"/>
        <w:gridCol w:w="6337"/>
      </w:tblGrid>
      <w:tr w14:paraId="34AB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190" w:type="pct"/>
            <w:gridSpan w:val="2"/>
            <w:vAlign w:val="center"/>
          </w:tcPr>
          <w:p w14:paraId="2A1401D7">
            <w:pPr>
              <w:pStyle w:val="557"/>
            </w:pPr>
            <w:r>
              <w:rPr>
                <w:rFonts w:hint="eastAsia"/>
              </w:rPr>
              <w:t>工作内容</w:t>
            </w:r>
          </w:p>
        </w:tc>
        <w:tc>
          <w:tcPr>
            <w:tcW w:w="3810" w:type="pct"/>
            <w:vAlign w:val="center"/>
          </w:tcPr>
          <w:p w14:paraId="5C97552B">
            <w:pPr>
              <w:pStyle w:val="557"/>
            </w:pPr>
            <w:r>
              <w:rPr>
                <w:rFonts w:hint="eastAsia"/>
              </w:rPr>
              <w:t>自查项目</w:t>
            </w:r>
          </w:p>
        </w:tc>
      </w:tr>
      <w:tr w14:paraId="5C19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restart"/>
            <w:vAlign w:val="center"/>
          </w:tcPr>
          <w:p w14:paraId="2793087F">
            <w:pPr>
              <w:pStyle w:val="557"/>
            </w:pPr>
            <w:r>
              <w:rPr>
                <w:rFonts w:hint="eastAsia"/>
              </w:rPr>
              <w:t>生态影响识别</w:t>
            </w:r>
          </w:p>
        </w:tc>
        <w:tc>
          <w:tcPr>
            <w:tcW w:w="741" w:type="pct"/>
            <w:vAlign w:val="center"/>
          </w:tcPr>
          <w:p w14:paraId="4EB9B093">
            <w:pPr>
              <w:pStyle w:val="557"/>
            </w:pPr>
            <w:r>
              <w:rPr>
                <w:rFonts w:hint="eastAsia"/>
              </w:rPr>
              <w:t>生态保护目标</w:t>
            </w:r>
          </w:p>
        </w:tc>
        <w:tc>
          <w:tcPr>
            <w:tcW w:w="3810" w:type="pct"/>
            <w:vAlign w:val="center"/>
          </w:tcPr>
          <w:p w14:paraId="44B7D955">
            <w:pPr>
              <w:pStyle w:val="557"/>
            </w:pPr>
            <w:r>
              <w:rPr>
                <w:rFonts w:hint="eastAsia"/>
              </w:rPr>
              <w:t>重要物种□；国家公园□；自然保护区□；自然公园□；世界自然遗产□；生态保护红线□；重要生境□；其他具有重要生态功能、对保护生物多样性具有重要意义的区域□；其他□</w:t>
            </w:r>
          </w:p>
        </w:tc>
      </w:tr>
      <w:tr w14:paraId="7A7A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589948BE">
            <w:pPr>
              <w:pStyle w:val="557"/>
            </w:pPr>
          </w:p>
        </w:tc>
        <w:tc>
          <w:tcPr>
            <w:tcW w:w="741" w:type="pct"/>
            <w:vAlign w:val="center"/>
          </w:tcPr>
          <w:p w14:paraId="0B8897B7">
            <w:pPr>
              <w:pStyle w:val="557"/>
            </w:pPr>
            <w:r>
              <w:rPr>
                <w:rFonts w:hint="eastAsia"/>
              </w:rPr>
              <w:t>影响方式</w:t>
            </w:r>
          </w:p>
        </w:tc>
        <w:tc>
          <w:tcPr>
            <w:tcW w:w="3810" w:type="pct"/>
            <w:vAlign w:val="center"/>
          </w:tcPr>
          <w:p w14:paraId="1230F02B">
            <w:pPr>
              <w:pStyle w:val="557"/>
            </w:pPr>
            <w:r>
              <w:rPr>
                <w:rFonts w:hint="eastAsia"/>
              </w:rPr>
              <w:t>工程占用</w:t>
            </w:r>
            <w:r>
              <w:rPr>
                <w:rFonts w:hint="eastAsia"/>
              </w:rPr>
              <w:sym w:font="Wingdings 2" w:char="F052"/>
            </w:r>
            <w:r>
              <w:rPr>
                <w:rFonts w:hint="eastAsia"/>
              </w:rPr>
              <w:t>；施工活动干扰</w:t>
            </w:r>
            <w:r>
              <w:rPr>
                <w:rFonts w:hint="eastAsia"/>
              </w:rPr>
              <w:sym w:font="Wingdings 2" w:char="F052"/>
            </w:r>
            <w:r>
              <w:rPr>
                <w:rFonts w:hint="eastAsia"/>
              </w:rPr>
              <w:t>；改变环境条件□；其他□</w:t>
            </w:r>
          </w:p>
        </w:tc>
      </w:tr>
      <w:tr w14:paraId="4ED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45BFE7FB">
            <w:pPr>
              <w:pStyle w:val="557"/>
            </w:pPr>
          </w:p>
        </w:tc>
        <w:tc>
          <w:tcPr>
            <w:tcW w:w="741" w:type="pct"/>
            <w:vAlign w:val="center"/>
          </w:tcPr>
          <w:p w14:paraId="6E336D42">
            <w:pPr>
              <w:pStyle w:val="557"/>
            </w:pPr>
            <w:r>
              <w:rPr>
                <w:rFonts w:hint="eastAsia"/>
              </w:rPr>
              <w:t>评价因子</w:t>
            </w:r>
          </w:p>
        </w:tc>
        <w:tc>
          <w:tcPr>
            <w:tcW w:w="3810" w:type="pct"/>
            <w:vAlign w:val="center"/>
          </w:tcPr>
          <w:p w14:paraId="45F37E74">
            <w:pPr>
              <w:pStyle w:val="557"/>
            </w:pPr>
            <w:r>
              <w:rPr>
                <w:rFonts w:hint="eastAsia"/>
              </w:rPr>
              <w:t>物种□（）</w:t>
            </w:r>
          </w:p>
          <w:p w14:paraId="2946FD30">
            <w:pPr>
              <w:pStyle w:val="557"/>
            </w:pPr>
            <w:r>
              <w:rPr>
                <w:rFonts w:hint="eastAsia"/>
              </w:rPr>
              <w:t>生境□（）</w:t>
            </w:r>
          </w:p>
          <w:p w14:paraId="236BD422">
            <w:pPr>
              <w:pStyle w:val="557"/>
            </w:pPr>
            <w:r>
              <w:rPr>
                <w:rFonts w:hint="eastAsia"/>
              </w:rPr>
              <w:t>生物群落（）</w:t>
            </w:r>
          </w:p>
          <w:p w14:paraId="7AB5F0F1">
            <w:pPr>
              <w:pStyle w:val="557"/>
            </w:pPr>
            <w:r>
              <w:rPr>
                <w:rFonts w:hint="eastAsia"/>
              </w:rPr>
              <w:t>生态系统□（）</w:t>
            </w:r>
          </w:p>
          <w:p w14:paraId="30E95087">
            <w:pPr>
              <w:pStyle w:val="557"/>
            </w:pPr>
            <w:r>
              <w:rPr>
                <w:rFonts w:hint="eastAsia"/>
              </w:rPr>
              <w:t>生物多样性□（）</w:t>
            </w:r>
          </w:p>
          <w:p w14:paraId="01C31201">
            <w:pPr>
              <w:pStyle w:val="557"/>
            </w:pPr>
            <w:r>
              <w:rPr>
                <w:rFonts w:hint="eastAsia"/>
              </w:rPr>
              <w:t>生态敏感区</w:t>
            </w:r>
            <w:r>
              <w:rPr>
                <w:rFonts w:hint="eastAsia"/>
              </w:rPr>
              <w:sym w:font="Wingdings 2" w:char="F052"/>
            </w:r>
            <w:r>
              <w:rPr>
                <w:rFonts w:hint="eastAsia"/>
              </w:rPr>
              <w:t>（土地沙漠化敏感、土壤侵蚀极度敏感）</w:t>
            </w:r>
          </w:p>
          <w:p w14:paraId="3396645D">
            <w:pPr>
              <w:pStyle w:val="557"/>
            </w:pPr>
            <w:r>
              <w:rPr>
                <w:rFonts w:hint="eastAsia"/>
              </w:rPr>
              <w:t>自然景观□（）</w:t>
            </w:r>
          </w:p>
          <w:p w14:paraId="2B951FE0">
            <w:pPr>
              <w:pStyle w:val="557"/>
            </w:pPr>
            <w:r>
              <w:rPr>
                <w:rFonts w:hint="eastAsia"/>
              </w:rPr>
              <w:t>自然遗迹□（）</w:t>
            </w:r>
          </w:p>
          <w:p w14:paraId="12F4A7EC">
            <w:pPr>
              <w:pStyle w:val="557"/>
            </w:pPr>
            <w:r>
              <w:rPr>
                <w:rFonts w:hint="eastAsia"/>
              </w:rPr>
              <w:t>其他□（）</w:t>
            </w:r>
          </w:p>
        </w:tc>
      </w:tr>
      <w:tr w14:paraId="69C7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90" w:type="pct"/>
            <w:gridSpan w:val="2"/>
            <w:vAlign w:val="center"/>
          </w:tcPr>
          <w:p w14:paraId="3B7E323E">
            <w:pPr>
              <w:pStyle w:val="557"/>
            </w:pPr>
            <w:r>
              <w:rPr>
                <w:rFonts w:hint="eastAsia"/>
              </w:rPr>
              <w:t>评价等级</w:t>
            </w:r>
          </w:p>
        </w:tc>
        <w:tc>
          <w:tcPr>
            <w:tcW w:w="3810" w:type="pct"/>
            <w:vAlign w:val="center"/>
          </w:tcPr>
          <w:p w14:paraId="735A49A4">
            <w:pPr>
              <w:pStyle w:val="557"/>
            </w:pPr>
            <w:r>
              <w:rPr>
                <w:rFonts w:hint="eastAsia"/>
              </w:rPr>
              <w:t>一级□  二级□   三级□   生态影响简单分析</w:t>
            </w:r>
            <w:r>
              <w:rPr>
                <w:rFonts w:hint="eastAsia"/>
              </w:rPr>
              <w:sym w:font="Wingdings 2" w:char="F052"/>
            </w:r>
          </w:p>
        </w:tc>
      </w:tr>
      <w:tr w14:paraId="216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90" w:type="pct"/>
            <w:gridSpan w:val="2"/>
            <w:vAlign w:val="center"/>
          </w:tcPr>
          <w:p w14:paraId="38A5ADDB">
            <w:pPr>
              <w:pStyle w:val="557"/>
            </w:pPr>
            <w:r>
              <w:rPr>
                <w:rFonts w:hint="eastAsia"/>
              </w:rPr>
              <w:t>评价范围</w:t>
            </w:r>
          </w:p>
        </w:tc>
        <w:tc>
          <w:tcPr>
            <w:tcW w:w="3810" w:type="pct"/>
            <w:vAlign w:val="center"/>
          </w:tcPr>
          <w:p w14:paraId="470B8E83">
            <w:pPr>
              <w:pStyle w:val="557"/>
            </w:pPr>
            <w:r>
              <w:rPr>
                <w:rFonts w:hint="eastAsia"/>
              </w:rPr>
              <w:t>陆域面积：（9.82）km</w:t>
            </w:r>
            <w:r>
              <w:rPr>
                <w:rFonts w:hint="eastAsia"/>
                <w:vertAlign w:val="superscript"/>
              </w:rPr>
              <w:t>2</w:t>
            </w:r>
            <w:r>
              <w:rPr>
                <w:rFonts w:hint="eastAsia"/>
              </w:rPr>
              <w:t>；水域面积：（/）km</w:t>
            </w:r>
            <w:r>
              <w:rPr>
                <w:rFonts w:hint="eastAsia"/>
                <w:vertAlign w:val="superscript"/>
              </w:rPr>
              <w:t>2</w:t>
            </w:r>
          </w:p>
        </w:tc>
      </w:tr>
      <w:tr w14:paraId="2981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restart"/>
            <w:vAlign w:val="center"/>
          </w:tcPr>
          <w:p w14:paraId="0BDAA634">
            <w:pPr>
              <w:pStyle w:val="557"/>
            </w:pPr>
            <w:r>
              <w:rPr>
                <w:rFonts w:hint="eastAsia"/>
              </w:rPr>
              <w:t>生态现状调查与评价</w:t>
            </w:r>
          </w:p>
        </w:tc>
        <w:tc>
          <w:tcPr>
            <w:tcW w:w="741" w:type="pct"/>
            <w:vAlign w:val="center"/>
          </w:tcPr>
          <w:p w14:paraId="5E26CCF7">
            <w:pPr>
              <w:pStyle w:val="557"/>
            </w:pPr>
            <w:r>
              <w:rPr>
                <w:rFonts w:hint="eastAsia"/>
              </w:rPr>
              <w:t>调查方法</w:t>
            </w:r>
          </w:p>
        </w:tc>
        <w:tc>
          <w:tcPr>
            <w:tcW w:w="3810" w:type="pct"/>
            <w:vAlign w:val="center"/>
          </w:tcPr>
          <w:p w14:paraId="119202CA">
            <w:pPr>
              <w:pStyle w:val="557"/>
            </w:pPr>
            <w:r>
              <w:rPr>
                <w:rFonts w:hint="eastAsia"/>
              </w:rPr>
              <w:t>资料收集</w:t>
            </w:r>
            <w:r>
              <w:rPr>
                <w:rFonts w:hint="eastAsia"/>
              </w:rPr>
              <w:sym w:font="Wingdings 2" w:char="F052"/>
            </w:r>
            <w:r>
              <w:rPr>
                <w:rFonts w:hint="eastAsia"/>
              </w:rPr>
              <w:t>；遥感调查□；调查样方、样线□；调查点位、断面□；专家和公众咨询法□；其他□</w:t>
            </w:r>
          </w:p>
        </w:tc>
      </w:tr>
      <w:tr w14:paraId="0FF3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70752B0E">
            <w:pPr>
              <w:pStyle w:val="557"/>
            </w:pPr>
          </w:p>
        </w:tc>
        <w:tc>
          <w:tcPr>
            <w:tcW w:w="741" w:type="pct"/>
            <w:vAlign w:val="center"/>
          </w:tcPr>
          <w:p w14:paraId="5A01B464">
            <w:pPr>
              <w:pStyle w:val="557"/>
            </w:pPr>
            <w:r>
              <w:rPr>
                <w:rFonts w:hint="eastAsia"/>
              </w:rPr>
              <w:t>调查时间</w:t>
            </w:r>
          </w:p>
        </w:tc>
        <w:tc>
          <w:tcPr>
            <w:tcW w:w="3810" w:type="pct"/>
            <w:vAlign w:val="center"/>
          </w:tcPr>
          <w:p w14:paraId="0E72475C">
            <w:pPr>
              <w:pStyle w:val="557"/>
            </w:pPr>
            <w:r>
              <w:rPr>
                <w:rFonts w:hint="eastAsia"/>
              </w:rPr>
              <w:t>春季□；夏季□；秋季□；冬季</w:t>
            </w:r>
            <w:r>
              <w:rPr>
                <w:rFonts w:hint="eastAsia"/>
              </w:rPr>
              <w:sym w:font="Wingdings 2" w:char="F052"/>
            </w:r>
          </w:p>
          <w:p w14:paraId="51283E88">
            <w:pPr>
              <w:pStyle w:val="557"/>
            </w:pPr>
            <w:r>
              <w:rPr>
                <w:rFonts w:hint="eastAsia"/>
              </w:rPr>
              <w:t>丰水期□；枯水期□；平水期□</w:t>
            </w:r>
          </w:p>
        </w:tc>
      </w:tr>
      <w:tr w14:paraId="7ED8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15C21A21">
            <w:pPr>
              <w:pStyle w:val="557"/>
            </w:pPr>
          </w:p>
        </w:tc>
        <w:tc>
          <w:tcPr>
            <w:tcW w:w="741" w:type="pct"/>
            <w:vAlign w:val="center"/>
          </w:tcPr>
          <w:p w14:paraId="527129BF">
            <w:pPr>
              <w:pStyle w:val="557"/>
            </w:pPr>
            <w:r>
              <w:rPr>
                <w:rFonts w:hint="eastAsia"/>
              </w:rPr>
              <w:t>所在区域的生态问题</w:t>
            </w:r>
          </w:p>
        </w:tc>
        <w:tc>
          <w:tcPr>
            <w:tcW w:w="3810" w:type="pct"/>
            <w:vAlign w:val="center"/>
          </w:tcPr>
          <w:p w14:paraId="5A5B6258">
            <w:pPr>
              <w:pStyle w:val="557"/>
            </w:pPr>
            <w:r>
              <w:rPr>
                <w:rFonts w:hint="eastAsia"/>
              </w:rPr>
              <w:t>水土流失□；沙漠化□；石漠化□；盐渍化□；生物入侵□；污染危害□；其他</w:t>
            </w:r>
            <w:r>
              <w:rPr>
                <w:rFonts w:hint="eastAsia"/>
              </w:rPr>
              <w:sym w:font="Wingdings 2" w:char="F052"/>
            </w:r>
          </w:p>
        </w:tc>
      </w:tr>
      <w:tr w14:paraId="7089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5C891A66">
            <w:pPr>
              <w:pStyle w:val="557"/>
            </w:pPr>
          </w:p>
        </w:tc>
        <w:tc>
          <w:tcPr>
            <w:tcW w:w="741" w:type="pct"/>
            <w:vAlign w:val="center"/>
          </w:tcPr>
          <w:p w14:paraId="12C69DE3">
            <w:pPr>
              <w:pStyle w:val="557"/>
            </w:pPr>
            <w:r>
              <w:rPr>
                <w:rFonts w:hint="eastAsia"/>
              </w:rPr>
              <w:t>评价内容</w:t>
            </w:r>
          </w:p>
        </w:tc>
        <w:tc>
          <w:tcPr>
            <w:tcW w:w="3810" w:type="pct"/>
            <w:vAlign w:val="center"/>
          </w:tcPr>
          <w:p w14:paraId="68A3D758">
            <w:pPr>
              <w:pStyle w:val="557"/>
            </w:pPr>
            <w:r>
              <w:rPr>
                <w:rFonts w:hint="eastAsia"/>
              </w:rPr>
              <w:t>植被/植物群落</w:t>
            </w:r>
            <w:r>
              <w:rPr>
                <w:rFonts w:hint="eastAsia"/>
              </w:rPr>
              <w:sym w:font="Wingdings 2" w:char="F052"/>
            </w:r>
            <w:r>
              <w:rPr>
                <w:rFonts w:hint="eastAsia"/>
              </w:rPr>
              <w:t>；土地利用</w:t>
            </w:r>
            <w:r>
              <w:rPr>
                <w:rFonts w:hint="eastAsia"/>
              </w:rPr>
              <w:sym w:font="Wingdings 2" w:char="F052"/>
            </w:r>
            <w:r>
              <w:rPr>
                <w:rFonts w:hint="eastAsia"/>
              </w:rPr>
              <w:t>；生态系统</w:t>
            </w:r>
            <w:r>
              <w:rPr>
                <w:rFonts w:hint="eastAsia"/>
              </w:rPr>
              <w:sym w:font="Wingdings 2" w:char="F052"/>
            </w:r>
            <w:r>
              <w:rPr>
                <w:rFonts w:hint="eastAsia"/>
              </w:rPr>
              <w:t>；生物多样性□；重要物种□；生态敏感区□；其他□</w:t>
            </w:r>
          </w:p>
        </w:tc>
      </w:tr>
      <w:tr w14:paraId="62E4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restart"/>
            <w:vAlign w:val="center"/>
          </w:tcPr>
          <w:p w14:paraId="58E5A467">
            <w:pPr>
              <w:pStyle w:val="557"/>
            </w:pPr>
            <w:r>
              <w:rPr>
                <w:rFonts w:hint="eastAsia"/>
              </w:rPr>
              <w:t>生态影响预测与评价</w:t>
            </w:r>
          </w:p>
        </w:tc>
        <w:tc>
          <w:tcPr>
            <w:tcW w:w="741" w:type="pct"/>
            <w:vAlign w:val="center"/>
          </w:tcPr>
          <w:p w14:paraId="7CE0F4EE">
            <w:pPr>
              <w:pStyle w:val="557"/>
            </w:pPr>
            <w:r>
              <w:rPr>
                <w:rFonts w:hint="eastAsia"/>
              </w:rPr>
              <w:t>评价方法</w:t>
            </w:r>
          </w:p>
        </w:tc>
        <w:tc>
          <w:tcPr>
            <w:tcW w:w="3810" w:type="pct"/>
            <w:vAlign w:val="center"/>
          </w:tcPr>
          <w:p w14:paraId="5D2155C8">
            <w:pPr>
              <w:pStyle w:val="557"/>
            </w:pPr>
            <w:r>
              <w:rPr>
                <w:rFonts w:hint="eastAsia"/>
              </w:rPr>
              <w:t>定性</w:t>
            </w:r>
            <w:r>
              <w:rPr>
                <w:rFonts w:hint="eastAsia"/>
              </w:rPr>
              <w:sym w:font="Wingdings 2" w:char="F052"/>
            </w:r>
            <w:r>
              <w:rPr>
                <w:rFonts w:hint="eastAsia"/>
              </w:rPr>
              <w:t>；定性和定量□</w:t>
            </w:r>
          </w:p>
        </w:tc>
      </w:tr>
      <w:tr w14:paraId="17BA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7B0BDDB4">
            <w:pPr>
              <w:pStyle w:val="557"/>
            </w:pPr>
          </w:p>
        </w:tc>
        <w:tc>
          <w:tcPr>
            <w:tcW w:w="741" w:type="pct"/>
            <w:vAlign w:val="center"/>
          </w:tcPr>
          <w:p w14:paraId="11452BF8">
            <w:pPr>
              <w:pStyle w:val="557"/>
            </w:pPr>
            <w:r>
              <w:rPr>
                <w:rFonts w:hint="eastAsia"/>
              </w:rPr>
              <w:t>评价内容</w:t>
            </w:r>
          </w:p>
        </w:tc>
        <w:tc>
          <w:tcPr>
            <w:tcW w:w="3810" w:type="pct"/>
            <w:vAlign w:val="center"/>
          </w:tcPr>
          <w:p w14:paraId="25B47A06">
            <w:pPr>
              <w:pStyle w:val="557"/>
            </w:pPr>
            <w:r>
              <w:rPr>
                <w:rFonts w:hint="eastAsia"/>
              </w:rPr>
              <w:t>植被/植物群落</w:t>
            </w:r>
            <w:r>
              <w:rPr>
                <w:rFonts w:hint="eastAsia"/>
              </w:rPr>
              <w:sym w:font="Wingdings 2" w:char="F052"/>
            </w:r>
            <w:r>
              <w:rPr>
                <w:rFonts w:hint="eastAsia"/>
              </w:rPr>
              <w:t>；土地利用</w:t>
            </w:r>
            <w:r>
              <w:rPr>
                <w:rFonts w:hint="eastAsia"/>
              </w:rPr>
              <w:sym w:font="Wingdings 2" w:char="F052"/>
            </w:r>
            <w:r>
              <w:rPr>
                <w:rFonts w:hint="eastAsia"/>
              </w:rPr>
              <w:t>；生态系统□；生物多样性□；重要物种</w:t>
            </w:r>
            <w:r>
              <w:rPr>
                <w:rFonts w:hint="eastAsia"/>
              </w:rPr>
              <w:sym w:font="Wingdings 2" w:char="F052"/>
            </w:r>
            <w:r>
              <w:rPr>
                <w:rFonts w:hint="eastAsia"/>
              </w:rPr>
              <w:t>；生态敏感区□；生物入侵风险□；其他□</w:t>
            </w:r>
          </w:p>
        </w:tc>
      </w:tr>
      <w:tr w14:paraId="7095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restart"/>
            <w:vAlign w:val="center"/>
          </w:tcPr>
          <w:p w14:paraId="56161539">
            <w:pPr>
              <w:pStyle w:val="557"/>
            </w:pPr>
            <w:r>
              <w:rPr>
                <w:rFonts w:hint="eastAsia"/>
              </w:rPr>
              <w:t>生态保护对策措施</w:t>
            </w:r>
          </w:p>
        </w:tc>
        <w:tc>
          <w:tcPr>
            <w:tcW w:w="741" w:type="pct"/>
            <w:vAlign w:val="center"/>
          </w:tcPr>
          <w:p w14:paraId="2839138F">
            <w:pPr>
              <w:pStyle w:val="557"/>
            </w:pPr>
            <w:r>
              <w:rPr>
                <w:rFonts w:hint="eastAsia"/>
              </w:rPr>
              <w:t>对策措施</w:t>
            </w:r>
          </w:p>
        </w:tc>
        <w:tc>
          <w:tcPr>
            <w:tcW w:w="3810" w:type="pct"/>
            <w:vAlign w:val="center"/>
          </w:tcPr>
          <w:p w14:paraId="30B02559">
            <w:pPr>
              <w:pStyle w:val="557"/>
            </w:pPr>
            <w:r>
              <w:rPr>
                <w:rFonts w:hint="eastAsia"/>
              </w:rPr>
              <w:t>避让□；减缓</w:t>
            </w:r>
            <w:r>
              <w:rPr>
                <w:rFonts w:hint="eastAsia"/>
              </w:rPr>
              <w:sym w:font="Wingdings 2" w:char="F052"/>
            </w:r>
            <w:r>
              <w:rPr>
                <w:rFonts w:hint="eastAsia"/>
              </w:rPr>
              <w:t>；生态修复□；生态补偿；科研□；其他□</w:t>
            </w:r>
          </w:p>
        </w:tc>
      </w:tr>
      <w:tr w14:paraId="3611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36C24D41">
            <w:pPr>
              <w:pStyle w:val="557"/>
            </w:pPr>
          </w:p>
        </w:tc>
        <w:tc>
          <w:tcPr>
            <w:tcW w:w="741" w:type="pct"/>
            <w:vAlign w:val="center"/>
          </w:tcPr>
          <w:p w14:paraId="571A7C12">
            <w:pPr>
              <w:pStyle w:val="557"/>
            </w:pPr>
            <w:r>
              <w:rPr>
                <w:rFonts w:hint="eastAsia"/>
              </w:rPr>
              <w:t>生态监测计划</w:t>
            </w:r>
          </w:p>
        </w:tc>
        <w:tc>
          <w:tcPr>
            <w:tcW w:w="3810" w:type="pct"/>
            <w:vAlign w:val="center"/>
          </w:tcPr>
          <w:p w14:paraId="2E16A6FE">
            <w:pPr>
              <w:pStyle w:val="557"/>
            </w:pPr>
            <w:r>
              <w:rPr>
                <w:rFonts w:hint="eastAsia"/>
              </w:rPr>
              <w:t>全生命周期□；长期跟踪□；常规□；无</w:t>
            </w:r>
            <w:r>
              <w:rPr>
                <w:rFonts w:hint="eastAsia"/>
              </w:rPr>
              <w:sym w:font="Wingdings 2" w:char="F052"/>
            </w:r>
          </w:p>
        </w:tc>
      </w:tr>
      <w:tr w14:paraId="7901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Merge w:val="continue"/>
            <w:vAlign w:val="center"/>
          </w:tcPr>
          <w:p w14:paraId="491376B7">
            <w:pPr>
              <w:pStyle w:val="557"/>
            </w:pPr>
          </w:p>
        </w:tc>
        <w:tc>
          <w:tcPr>
            <w:tcW w:w="741" w:type="pct"/>
            <w:vAlign w:val="center"/>
          </w:tcPr>
          <w:p w14:paraId="0ABE150A">
            <w:pPr>
              <w:pStyle w:val="557"/>
            </w:pPr>
            <w:r>
              <w:rPr>
                <w:rFonts w:hint="eastAsia"/>
              </w:rPr>
              <w:t>环境管理</w:t>
            </w:r>
          </w:p>
        </w:tc>
        <w:tc>
          <w:tcPr>
            <w:tcW w:w="3810" w:type="pct"/>
            <w:vAlign w:val="center"/>
          </w:tcPr>
          <w:p w14:paraId="3939C9D8">
            <w:pPr>
              <w:pStyle w:val="557"/>
            </w:pPr>
            <w:r>
              <w:rPr>
                <w:rFonts w:hint="eastAsia"/>
              </w:rPr>
              <w:t>环境监理□；环境影响后评价□；其他</w:t>
            </w:r>
            <w:r>
              <w:rPr>
                <w:rFonts w:hint="eastAsia"/>
              </w:rPr>
              <w:sym w:font="Wingdings 2" w:char="F052"/>
            </w:r>
          </w:p>
        </w:tc>
      </w:tr>
      <w:tr w14:paraId="57F8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49" w:type="pct"/>
            <w:vAlign w:val="center"/>
          </w:tcPr>
          <w:p w14:paraId="3F0A17D6">
            <w:pPr>
              <w:pStyle w:val="557"/>
            </w:pPr>
            <w:r>
              <w:rPr>
                <w:rFonts w:hint="eastAsia"/>
              </w:rPr>
              <w:t>评价结论</w:t>
            </w:r>
          </w:p>
        </w:tc>
        <w:tc>
          <w:tcPr>
            <w:tcW w:w="741" w:type="pct"/>
            <w:vAlign w:val="center"/>
          </w:tcPr>
          <w:p w14:paraId="0141545F">
            <w:pPr>
              <w:pStyle w:val="557"/>
            </w:pPr>
            <w:r>
              <w:rPr>
                <w:rFonts w:hint="eastAsia"/>
              </w:rPr>
              <w:t>生态影响</w:t>
            </w:r>
          </w:p>
        </w:tc>
        <w:tc>
          <w:tcPr>
            <w:tcW w:w="3810" w:type="pct"/>
            <w:vAlign w:val="center"/>
          </w:tcPr>
          <w:p w14:paraId="424E7C01">
            <w:pPr>
              <w:pStyle w:val="557"/>
            </w:pPr>
            <w:r>
              <w:rPr>
                <w:rFonts w:hint="eastAsia"/>
              </w:rPr>
              <w:t>可行</w:t>
            </w:r>
            <w:r>
              <w:rPr>
                <w:rFonts w:hint="eastAsia"/>
              </w:rPr>
              <w:sym w:font="Wingdings 2" w:char="F052"/>
            </w:r>
            <w:r>
              <w:rPr>
                <w:rFonts w:hint="eastAsia"/>
              </w:rPr>
              <w:t>；不可行□</w:t>
            </w:r>
          </w:p>
        </w:tc>
      </w:tr>
      <w:tr w14:paraId="4477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3"/>
            <w:vAlign w:val="center"/>
          </w:tcPr>
          <w:p w14:paraId="6340B548">
            <w:pPr>
              <w:pStyle w:val="557"/>
            </w:pPr>
            <w:r>
              <w:rPr>
                <w:rFonts w:hint="eastAsia"/>
              </w:rPr>
              <w:t>注：</w:t>
            </w:r>
            <w:r>
              <w:t>“□”</w:t>
            </w:r>
            <w:r>
              <w:rPr>
                <w:rFonts w:hint="eastAsia"/>
              </w:rPr>
              <w:t>为勾选项，可</w:t>
            </w:r>
            <w:r>
              <w:t>√</w:t>
            </w:r>
            <w:r>
              <w:rPr>
                <w:rFonts w:hint="eastAsia"/>
              </w:rPr>
              <w:t>；</w:t>
            </w:r>
            <w:r>
              <w:t>“</w:t>
            </w:r>
            <w:r>
              <w:rPr>
                <w:rFonts w:hint="eastAsia"/>
              </w:rPr>
              <w:t>（）</w:t>
            </w:r>
            <w:r>
              <w:t>”</w:t>
            </w:r>
            <w:r>
              <w:rPr>
                <w:rFonts w:hint="eastAsia"/>
              </w:rPr>
              <w:t>为内容填写项。</w:t>
            </w:r>
          </w:p>
        </w:tc>
      </w:tr>
      <w:bookmarkEnd w:id="348"/>
    </w:tbl>
    <w:p w14:paraId="367B1901">
      <w:pPr>
        <w:pStyle w:val="281"/>
        <w:ind w:firstLine="480"/>
      </w:pPr>
      <w:bookmarkStart w:id="349" w:name="_Toc528242214"/>
    </w:p>
    <w:p w14:paraId="2B7B083E">
      <w:pPr>
        <w:numPr>
          <w:ilvl w:val="1"/>
          <w:numId w:val="1"/>
        </w:numPr>
        <w:overflowPunct w:val="0"/>
        <w:autoSpaceDE w:val="0"/>
        <w:autoSpaceDN w:val="0"/>
        <w:spacing w:line="360" w:lineRule="auto"/>
        <w:ind w:left="0"/>
        <w:textAlignment w:val="baseline"/>
        <w:outlineLvl w:val="1"/>
        <w:rPr>
          <w:rFonts w:hint="eastAsia" w:eastAsia="黑体"/>
          <w:b/>
          <w:bCs/>
          <w:sz w:val="30"/>
          <w:szCs w:val="30"/>
        </w:rPr>
      </w:pPr>
      <w:bookmarkStart w:id="350" w:name="_Toc60992717"/>
      <w:bookmarkStart w:id="351" w:name="_Toc19766"/>
      <w:bookmarkStart w:id="352" w:name="_Toc194592895"/>
      <w:r>
        <w:rPr>
          <w:rFonts w:hint="eastAsia" w:eastAsia="黑体"/>
          <w:b/>
          <w:bCs/>
          <w:sz w:val="30"/>
          <w:szCs w:val="30"/>
        </w:rPr>
        <w:t>土壤环境影响</w:t>
      </w:r>
      <w:bookmarkEnd w:id="350"/>
      <w:r>
        <w:rPr>
          <w:rFonts w:hint="eastAsia" w:eastAsia="黑体"/>
          <w:b/>
          <w:bCs/>
          <w:sz w:val="30"/>
          <w:szCs w:val="30"/>
        </w:rPr>
        <w:t>预测与评价</w:t>
      </w:r>
      <w:bookmarkEnd w:id="351"/>
      <w:bookmarkEnd w:id="352"/>
    </w:p>
    <w:p w14:paraId="29F7F3F0">
      <w:pPr>
        <w:numPr>
          <w:ilvl w:val="2"/>
          <w:numId w:val="1"/>
        </w:numPr>
        <w:spacing w:line="360" w:lineRule="auto"/>
        <w:ind w:left="0"/>
        <w:outlineLvl w:val="2"/>
        <w:rPr>
          <w:rFonts w:hint="eastAsia" w:ascii="黑体" w:hAnsi="黑体" w:eastAsia="黑体"/>
          <w:b/>
          <w:sz w:val="28"/>
        </w:rPr>
      </w:pPr>
      <w:r>
        <w:rPr>
          <w:rFonts w:hint="eastAsia" w:ascii="黑体" w:hAnsi="黑体" w:eastAsia="黑体"/>
          <w:b/>
          <w:sz w:val="28"/>
        </w:rPr>
        <w:t>土壤影响识别</w:t>
      </w:r>
    </w:p>
    <w:p w14:paraId="2856079E">
      <w:pPr>
        <w:overflowPunct w:val="0"/>
        <w:spacing w:line="360" w:lineRule="auto"/>
        <w:ind w:firstLine="480" w:firstLineChars="200"/>
        <w:rPr>
          <w:rFonts w:ascii="Times New Roman" w:hAnsi="Times New Roman"/>
          <w:szCs w:val="21"/>
        </w:rPr>
      </w:pPr>
      <w:bookmarkStart w:id="353" w:name="_Hlk129689187"/>
      <w:r>
        <w:rPr>
          <w:rFonts w:hint="eastAsia"/>
          <w:szCs w:val="21"/>
        </w:rPr>
        <w:t>本项目属于新建项目，根据工程组成，可分为建设期、运营期两个阶段对土壤的环境影响。</w:t>
      </w:r>
    </w:p>
    <w:p w14:paraId="076F128A">
      <w:pPr>
        <w:overflowPunct w:val="0"/>
        <w:spacing w:line="360" w:lineRule="auto"/>
        <w:ind w:firstLine="480" w:firstLineChars="200"/>
        <w:rPr>
          <w:rFonts w:ascii="Times New Roman" w:hAnsi="Times New Roman"/>
          <w:szCs w:val="21"/>
        </w:rPr>
      </w:pPr>
      <w:r>
        <w:rPr>
          <w:rFonts w:hint="eastAsia"/>
          <w:szCs w:val="21"/>
        </w:rPr>
        <w:t>施工期环境影响识别主要针对施工过程中施工机械在使用过程中，施工人员在施工生活过程中，固体废物在临时储存过程中对土壤产生的影响等。</w:t>
      </w:r>
    </w:p>
    <w:p w14:paraId="4B26FF50">
      <w:pPr>
        <w:overflowPunct w:val="0"/>
        <w:spacing w:line="360" w:lineRule="auto"/>
        <w:ind w:firstLine="480" w:firstLineChars="200"/>
        <w:rPr>
          <w:rFonts w:ascii="Times New Roman" w:hAnsi="Times New Roman"/>
          <w:szCs w:val="21"/>
        </w:rPr>
      </w:pPr>
      <w:r>
        <w:rPr>
          <w:rFonts w:hint="eastAsia"/>
          <w:szCs w:val="21"/>
        </w:rPr>
        <w:t>运营期环境影响识别主要针对排放的大气污染物、废水污染物，及本项目主要生产车间等使用过程中对土壤产生的影响等。</w:t>
      </w:r>
    </w:p>
    <w:p w14:paraId="321D8F55">
      <w:pPr>
        <w:overflowPunct w:val="0"/>
        <w:spacing w:line="360" w:lineRule="auto"/>
        <w:ind w:firstLine="480" w:firstLineChars="200"/>
        <w:rPr>
          <w:rFonts w:ascii="Times New Roman" w:hAnsi="Times New Roman"/>
          <w:szCs w:val="21"/>
        </w:rPr>
      </w:pPr>
      <w:r>
        <w:rPr>
          <w:rFonts w:hint="eastAsia"/>
          <w:szCs w:val="21"/>
        </w:rPr>
        <w:t>本项目对土壤的影响类型和途径见</w:t>
      </w:r>
      <w:r>
        <w:rPr>
          <w:rFonts w:hint="eastAsia" w:ascii="Times New Roman" w:hAnsi="Times New Roman"/>
          <w:szCs w:val="21"/>
        </w:rPr>
        <w:t>表5</w:t>
      </w:r>
      <w:r>
        <w:rPr>
          <w:rFonts w:ascii="Times New Roman" w:hAnsi="Times New Roman"/>
          <w:szCs w:val="21"/>
        </w:rPr>
        <w:t>.8.1-1</w:t>
      </w:r>
      <w:r>
        <w:rPr>
          <w:rFonts w:hint="eastAsia"/>
          <w:szCs w:val="21"/>
        </w:rPr>
        <w:t>。本项目土壤环境影响识别见</w:t>
      </w:r>
      <w:r>
        <w:rPr>
          <w:rFonts w:hint="eastAsia" w:ascii="Times New Roman" w:hAnsi="Times New Roman"/>
          <w:szCs w:val="21"/>
        </w:rPr>
        <w:t>表5</w:t>
      </w:r>
      <w:r>
        <w:rPr>
          <w:rFonts w:ascii="Times New Roman" w:hAnsi="Times New Roman"/>
          <w:szCs w:val="21"/>
        </w:rPr>
        <w:t>.8.1-2</w:t>
      </w:r>
      <w:r>
        <w:rPr>
          <w:rFonts w:hint="eastAsia"/>
          <w:szCs w:val="21"/>
        </w:rPr>
        <w:t>。</w:t>
      </w:r>
    </w:p>
    <w:p w14:paraId="33107F9B">
      <w:pPr>
        <w:overflowPunct w:val="0"/>
        <w:autoSpaceDE w:val="0"/>
        <w:autoSpaceDN w:val="0"/>
        <w:spacing w:line="360" w:lineRule="auto"/>
        <w:jc w:val="center"/>
        <w:textAlignment w:val="baseline"/>
        <w:rPr>
          <w:rFonts w:hint="eastAsia" w:ascii="黑体" w:hAnsi="黑体" w:eastAsia="黑体"/>
          <w:b/>
          <w:snapToGrid w:val="0"/>
        </w:rPr>
      </w:pPr>
      <w:bookmarkStart w:id="354" w:name="_Ref81668245"/>
      <w:r>
        <w:rPr>
          <w:rFonts w:hint="eastAsia" w:ascii="黑体" w:hAnsi="黑体" w:eastAsia="黑体"/>
          <w:b/>
          <w:snapToGrid w:val="0"/>
        </w:rPr>
        <w:t>表</w:t>
      </w:r>
      <w:bookmarkEnd w:id="354"/>
      <w:r>
        <w:rPr>
          <w:rFonts w:ascii="黑体" w:hAnsi="黑体" w:eastAsia="黑体"/>
          <w:b/>
          <w:snapToGrid w:val="0"/>
        </w:rPr>
        <w:t xml:space="preserve">5.8.1-1    </w:t>
      </w:r>
      <w:r>
        <w:rPr>
          <w:rFonts w:hint="eastAsia" w:ascii="黑体" w:hAnsi="黑体" w:eastAsia="黑体"/>
          <w:b/>
          <w:snapToGrid w:val="0"/>
        </w:rPr>
        <w:t>项目土壤影响类型与途径表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2051"/>
        <w:gridCol w:w="2037"/>
        <w:gridCol w:w="2113"/>
      </w:tblGrid>
      <w:tr w14:paraId="2681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3" w:type="dxa"/>
            <w:vMerge w:val="restart"/>
            <w:vAlign w:val="center"/>
          </w:tcPr>
          <w:p w14:paraId="1AFC1AF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不同时段</w:t>
            </w:r>
          </w:p>
        </w:tc>
        <w:tc>
          <w:tcPr>
            <w:tcW w:w="6357" w:type="dxa"/>
            <w:gridSpan w:val="3"/>
            <w:vAlign w:val="center"/>
          </w:tcPr>
          <w:p w14:paraId="54A3AF1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污染影响型</w:t>
            </w:r>
          </w:p>
        </w:tc>
      </w:tr>
      <w:tr w14:paraId="4FA5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3" w:type="dxa"/>
            <w:vMerge w:val="continue"/>
            <w:vAlign w:val="center"/>
          </w:tcPr>
          <w:p w14:paraId="4C6C331A">
            <w:pPr>
              <w:widowControl w:val="0"/>
              <w:autoSpaceDE w:val="0"/>
              <w:autoSpaceDN w:val="0"/>
              <w:adjustRightInd w:val="0"/>
              <w:jc w:val="center"/>
              <w:rPr>
                <w:rFonts w:ascii="Times New Roman" w:hAnsi="Times New Roman" w:cs="Times New Roman"/>
                <w:bCs/>
                <w:snapToGrid w:val="0"/>
                <w:sz w:val="18"/>
                <w:szCs w:val="18"/>
                <w:u w:color="000000"/>
              </w:rPr>
            </w:pPr>
          </w:p>
        </w:tc>
        <w:tc>
          <w:tcPr>
            <w:tcW w:w="2103" w:type="dxa"/>
            <w:vAlign w:val="center"/>
          </w:tcPr>
          <w:p w14:paraId="6DF14BF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大气沉降</w:t>
            </w:r>
          </w:p>
        </w:tc>
        <w:tc>
          <w:tcPr>
            <w:tcW w:w="2088" w:type="dxa"/>
            <w:vAlign w:val="center"/>
          </w:tcPr>
          <w:p w14:paraId="5CFCA65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地面漫流</w:t>
            </w:r>
          </w:p>
        </w:tc>
        <w:tc>
          <w:tcPr>
            <w:tcW w:w="2166" w:type="dxa"/>
            <w:vAlign w:val="center"/>
          </w:tcPr>
          <w:p w14:paraId="6387110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垂直入渗</w:t>
            </w:r>
          </w:p>
        </w:tc>
      </w:tr>
      <w:tr w14:paraId="1E34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3" w:type="dxa"/>
            <w:vAlign w:val="center"/>
          </w:tcPr>
          <w:p w14:paraId="0F82D32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建设期</w:t>
            </w:r>
          </w:p>
        </w:tc>
        <w:tc>
          <w:tcPr>
            <w:tcW w:w="2103" w:type="dxa"/>
            <w:vAlign w:val="center"/>
          </w:tcPr>
          <w:p w14:paraId="28EA1FE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088" w:type="dxa"/>
            <w:vAlign w:val="center"/>
          </w:tcPr>
          <w:p w14:paraId="38D5EFD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166" w:type="dxa"/>
            <w:vAlign w:val="center"/>
          </w:tcPr>
          <w:p w14:paraId="025F545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r>
      <w:tr w14:paraId="2CE2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3" w:type="dxa"/>
            <w:vAlign w:val="center"/>
          </w:tcPr>
          <w:p w14:paraId="56EC0C4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运营期</w:t>
            </w:r>
          </w:p>
        </w:tc>
        <w:tc>
          <w:tcPr>
            <w:tcW w:w="2103" w:type="dxa"/>
            <w:vAlign w:val="center"/>
          </w:tcPr>
          <w:p w14:paraId="38A0B8D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088" w:type="dxa"/>
            <w:vAlign w:val="center"/>
          </w:tcPr>
          <w:p w14:paraId="08E00C4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166" w:type="dxa"/>
            <w:vAlign w:val="center"/>
          </w:tcPr>
          <w:p w14:paraId="16433F5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r>
      <w:tr w14:paraId="35FD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3" w:type="dxa"/>
            <w:vAlign w:val="center"/>
          </w:tcPr>
          <w:p w14:paraId="024F5A3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服务期满后</w:t>
            </w:r>
          </w:p>
        </w:tc>
        <w:tc>
          <w:tcPr>
            <w:tcW w:w="2103" w:type="dxa"/>
            <w:vAlign w:val="center"/>
          </w:tcPr>
          <w:p w14:paraId="3943FA4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088" w:type="dxa"/>
            <w:vAlign w:val="center"/>
          </w:tcPr>
          <w:p w14:paraId="7FE4F53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c>
          <w:tcPr>
            <w:tcW w:w="2166" w:type="dxa"/>
            <w:vAlign w:val="center"/>
          </w:tcPr>
          <w:p w14:paraId="0D9F5EA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w:t>
            </w:r>
          </w:p>
        </w:tc>
      </w:tr>
    </w:tbl>
    <w:p w14:paraId="680CF133">
      <w:pPr>
        <w:rPr>
          <w:rFonts w:hint="eastAsia"/>
          <w:sz w:val="18"/>
        </w:rPr>
      </w:pPr>
    </w:p>
    <w:p w14:paraId="538E139C">
      <w:pPr>
        <w:spacing w:line="360" w:lineRule="auto"/>
        <w:jc w:val="center"/>
        <w:rPr>
          <w:rFonts w:hint="eastAsia" w:ascii="黑体" w:hAnsi="黑体" w:eastAsia="黑体"/>
          <w:b/>
        </w:rPr>
      </w:pPr>
      <w:bookmarkStart w:id="355" w:name="_Ref81668254"/>
      <w:r>
        <w:rPr>
          <w:rFonts w:hint="eastAsia" w:ascii="黑体" w:hAnsi="黑体" w:eastAsia="黑体"/>
          <w:b/>
        </w:rPr>
        <w:t xml:space="preserve">表 </w:t>
      </w:r>
      <w:bookmarkEnd w:id="355"/>
      <w:r>
        <w:rPr>
          <w:rFonts w:ascii="黑体" w:hAnsi="黑体" w:eastAsia="黑体"/>
          <w:b/>
        </w:rPr>
        <w:t xml:space="preserve">5.8.1-2    </w:t>
      </w:r>
      <w:r>
        <w:rPr>
          <w:rFonts w:hint="eastAsia" w:ascii="黑体" w:hAnsi="黑体" w:eastAsia="黑体"/>
          <w:b/>
        </w:rPr>
        <w:t>项目土壤环境影响源及影响因子识别表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386"/>
        <w:gridCol w:w="1023"/>
        <w:gridCol w:w="3014"/>
        <w:gridCol w:w="1422"/>
      </w:tblGrid>
      <w:tr w14:paraId="7421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0" w:type="dxa"/>
            <w:noWrap/>
            <w:vAlign w:val="center"/>
          </w:tcPr>
          <w:p w14:paraId="0C93189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污染源</w:t>
            </w:r>
          </w:p>
        </w:tc>
        <w:tc>
          <w:tcPr>
            <w:tcW w:w="1386" w:type="dxa"/>
            <w:noWrap/>
            <w:vAlign w:val="center"/>
          </w:tcPr>
          <w:p w14:paraId="02235FA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工艺流程/节点</w:t>
            </w:r>
          </w:p>
        </w:tc>
        <w:tc>
          <w:tcPr>
            <w:tcW w:w="1023" w:type="dxa"/>
            <w:vAlign w:val="center"/>
          </w:tcPr>
          <w:p w14:paraId="22195AB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污染途径</w:t>
            </w:r>
          </w:p>
        </w:tc>
        <w:tc>
          <w:tcPr>
            <w:tcW w:w="3014" w:type="dxa"/>
            <w:vAlign w:val="center"/>
          </w:tcPr>
          <w:p w14:paraId="41BAF30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全部污染物指标</w:t>
            </w:r>
          </w:p>
        </w:tc>
        <w:tc>
          <w:tcPr>
            <w:tcW w:w="1422" w:type="dxa"/>
            <w:vAlign w:val="center"/>
          </w:tcPr>
          <w:p w14:paraId="3C0A59B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特征因子</w:t>
            </w:r>
          </w:p>
        </w:tc>
      </w:tr>
      <w:tr w14:paraId="68A7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0" w:type="dxa"/>
            <w:noWrap/>
            <w:vAlign w:val="center"/>
          </w:tcPr>
          <w:p w14:paraId="4646681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全厂废气</w:t>
            </w:r>
          </w:p>
        </w:tc>
        <w:tc>
          <w:tcPr>
            <w:tcW w:w="1386" w:type="dxa"/>
            <w:noWrap/>
            <w:vAlign w:val="center"/>
          </w:tcPr>
          <w:p w14:paraId="161426A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废气</w:t>
            </w:r>
          </w:p>
        </w:tc>
        <w:tc>
          <w:tcPr>
            <w:tcW w:w="1023" w:type="dxa"/>
            <w:vAlign w:val="center"/>
          </w:tcPr>
          <w:p w14:paraId="1E1AB40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大气沉降</w:t>
            </w:r>
          </w:p>
        </w:tc>
        <w:tc>
          <w:tcPr>
            <w:tcW w:w="3014" w:type="dxa"/>
            <w:vAlign w:val="center"/>
          </w:tcPr>
          <w:p w14:paraId="0179133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SO</w:t>
            </w:r>
            <w:r>
              <w:rPr>
                <w:rFonts w:hint="eastAsia" w:ascii="Times New Roman" w:hAnsi="Times New Roman" w:cs="Times New Roman"/>
                <w:bCs/>
                <w:snapToGrid w:val="0"/>
                <w:sz w:val="18"/>
                <w:szCs w:val="18"/>
                <w:u w:color="000000"/>
                <w:vertAlign w:val="subscript"/>
              </w:rPr>
              <w:t>2</w:t>
            </w:r>
            <w:r>
              <w:rPr>
                <w:rFonts w:hint="eastAsia" w:ascii="Times New Roman" w:hAnsi="Times New Roman" w:cs="Times New Roman"/>
                <w:bCs/>
                <w:snapToGrid w:val="0"/>
                <w:sz w:val="18"/>
                <w:szCs w:val="18"/>
                <w:u w:color="000000"/>
              </w:rPr>
              <w:t>、NO</w:t>
            </w:r>
            <w:r>
              <w:rPr>
                <w:rFonts w:hint="eastAsia" w:ascii="Times New Roman" w:hAnsi="Times New Roman" w:cs="Times New Roman"/>
                <w:bCs/>
                <w:snapToGrid w:val="0"/>
                <w:sz w:val="18"/>
                <w:szCs w:val="18"/>
                <w:u w:color="000000"/>
                <w:vertAlign w:val="subscript"/>
              </w:rPr>
              <w:t>X</w:t>
            </w:r>
            <w:r>
              <w:rPr>
                <w:rFonts w:hint="eastAsia" w:ascii="Times New Roman" w:hAnsi="Times New Roman" w:cs="Times New Roman"/>
                <w:bCs/>
                <w:snapToGrid w:val="0"/>
                <w:sz w:val="18"/>
                <w:szCs w:val="18"/>
                <w:u w:color="000000"/>
              </w:rPr>
              <w:t>、PM</w:t>
            </w:r>
            <w:r>
              <w:rPr>
                <w:rFonts w:hint="eastAsia" w:ascii="Times New Roman" w:hAnsi="Times New Roman" w:cs="Times New Roman"/>
                <w:bCs/>
                <w:snapToGrid w:val="0"/>
                <w:sz w:val="18"/>
                <w:szCs w:val="18"/>
                <w:u w:color="000000"/>
                <w:vertAlign w:val="subscript"/>
              </w:rPr>
              <w:t>10</w:t>
            </w:r>
            <w:r>
              <w:rPr>
                <w:rFonts w:hint="eastAsia" w:ascii="Times New Roman" w:hAnsi="Times New Roman" w:cs="Times New Roman"/>
                <w:bCs/>
                <w:snapToGrid w:val="0"/>
                <w:sz w:val="18"/>
                <w:szCs w:val="18"/>
                <w:u w:color="000000"/>
              </w:rPr>
              <w:t>、NH</w:t>
            </w:r>
            <w:r>
              <w:rPr>
                <w:rFonts w:hint="eastAsia" w:ascii="Times New Roman" w:hAnsi="Times New Roman" w:cs="Times New Roman"/>
                <w:bCs/>
                <w:snapToGrid w:val="0"/>
                <w:sz w:val="18"/>
                <w:szCs w:val="18"/>
                <w:u w:color="000000"/>
                <w:vertAlign w:val="subscript"/>
              </w:rPr>
              <w:t>3</w:t>
            </w:r>
            <w:r>
              <w:rPr>
                <w:rFonts w:hint="eastAsia" w:ascii="Times New Roman" w:hAnsi="Times New Roman" w:cs="Times New Roman"/>
                <w:bCs/>
                <w:snapToGrid w:val="0"/>
                <w:sz w:val="18"/>
                <w:szCs w:val="18"/>
                <w:u w:color="000000"/>
              </w:rPr>
              <w:t>、H</w:t>
            </w:r>
            <w:r>
              <w:rPr>
                <w:rFonts w:hint="eastAsia" w:ascii="Times New Roman" w:hAnsi="Times New Roman" w:cs="Times New Roman"/>
                <w:bCs/>
                <w:snapToGrid w:val="0"/>
                <w:sz w:val="18"/>
                <w:szCs w:val="18"/>
                <w:u w:color="000000"/>
                <w:vertAlign w:val="subscript"/>
              </w:rPr>
              <w:t>2</w:t>
            </w:r>
            <w:r>
              <w:rPr>
                <w:rFonts w:hint="eastAsia" w:ascii="Times New Roman" w:hAnsi="Times New Roman" w:cs="Times New Roman"/>
                <w:bCs/>
                <w:snapToGrid w:val="0"/>
                <w:sz w:val="18"/>
                <w:szCs w:val="18"/>
                <w:u w:color="000000"/>
              </w:rPr>
              <w:t>S、NMHC、甲醇、硫酸雾</w:t>
            </w:r>
          </w:p>
        </w:tc>
        <w:tc>
          <w:tcPr>
            <w:tcW w:w="1422" w:type="dxa"/>
            <w:vAlign w:val="center"/>
          </w:tcPr>
          <w:p w14:paraId="1CE3C27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pH值</w:t>
            </w:r>
          </w:p>
        </w:tc>
      </w:tr>
      <w:tr w14:paraId="4713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0" w:type="dxa"/>
            <w:noWrap/>
            <w:vAlign w:val="center"/>
          </w:tcPr>
          <w:p w14:paraId="0B07B5C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污水处理站</w:t>
            </w:r>
          </w:p>
        </w:tc>
        <w:tc>
          <w:tcPr>
            <w:tcW w:w="1386" w:type="dxa"/>
            <w:noWrap/>
            <w:vAlign w:val="center"/>
          </w:tcPr>
          <w:p w14:paraId="41D5833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废水</w:t>
            </w:r>
          </w:p>
        </w:tc>
        <w:tc>
          <w:tcPr>
            <w:tcW w:w="1023" w:type="dxa"/>
            <w:vAlign w:val="center"/>
          </w:tcPr>
          <w:p w14:paraId="37187CE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垂直入渗</w:t>
            </w:r>
          </w:p>
        </w:tc>
        <w:tc>
          <w:tcPr>
            <w:tcW w:w="3014" w:type="dxa"/>
            <w:vAlign w:val="center"/>
          </w:tcPr>
          <w:p w14:paraId="417B5C5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S</w:t>
            </w:r>
            <w:r>
              <w:rPr>
                <w:rFonts w:ascii="Times New Roman" w:hAnsi="Times New Roman" w:cs="Times New Roman"/>
                <w:bCs/>
                <w:snapToGrid w:val="0"/>
                <w:sz w:val="18"/>
                <w:szCs w:val="18"/>
                <w:u w:color="000000"/>
              </w:rPr>
              <w:t>S</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BOD</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COD</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氯化物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硫化物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NH</w:t>
            </w:r>
            <w:r>
              <w:rPr>
                <w:rFonts w:ascii="Times New Roman" w:hAnsi="Times New Roman" w:cs="Times New Roman"/>
                <w:bCs/>
                <w:snapToGrid w:val="0"/>
                <w:sz w:val="18"/>
                <w:szCs w:val="18"/>
                <w:u w:color="000000"/>
                <w:vertAlign w:val="subscript"/>
              </w:rPr>
              <w:t>3</w:t>
            </w:r>
            <w:r>
              <w:rPr>
                <w:rFonts w:ascii="Times New Roman" w:hAnsi="Times New Roman" w:cs="Times New Roman"/>
                <w:bCs/>
                <w:snapToGrid w:val="0"/>
                <w:sz w:val="18"/>
                <w:szCs w:val="18"/>
                <w:u w:color="000000"/>
              </w:rPr>
              <w:t>-N</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HCN</w:t>
            </w:r>
            <w:r>
              <w:rPr>
                <w:rFonts w:hint="eastAsia" w:ascii="Times New Roman" w:hAnsi="Times New Roman" w:cs="Times New Roman"/>
                <w:bCs/>
                <w:snapToGrid w:val="0"/>
                <w:sz w:val="18"/>
                <w:szCs w:val="18"/>
                <w:u w:color="000000"/>
              </w:rPr>
              <w:t>、TDS、</w:t>
            </w:r>
            <w:r>
              <w:rPr>
                <w:rFonts w:ascii="Times New Roman" w:hAnsi="Times New Roman" w:cs="Times New Roman"/>
                <w:bCs/>
                <w:snapToGrid w:val="0"/>
                <w:sz w:val="18"/>
                <w:szCs w:val="18"/>
                <w:u w:color="000000"/>
              </w:rPr>
              <w:t>石油类</w:t>
            </w:r>
          </w:p>
        </w:tc>
        <w:tc>
          <w:tcPr>
            <w:tcW w:w="1422" w:type="dxa"/>
            <w:vAlign w:val="center"/>
          </w:tcPr>
          <w:p w14:paraId="3491591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HCN</w:t>
            </w:r>
            <w:r>
              <w:rPr>
                <w:rFonts w:hint="eastAsia" w:ascii="Times New Roman" w:hAnsi="Times New Roman" w:cs="Times New Roman"/>
                <w:bCs/>
                <w:snapToGrid w:val="0"/>
                <w:sz w:val="18"/>
                <w:szCs w:val="18"/>
                <w:u w:color="000000"/>
              </w:rPr>
              <w:t>、石油烃</w:t>
            </w:r>
          </w:p>
        </w:tc>
      </w:tr>
      <w:tr w14:paraId="3A1F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0" w:type="dxa"/>
            <w:noWrap/>
            <w:vAlign w:val="center"/>
          </w:tcPr>
          <w:p w14:paraId="490A0EE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危化品泄漏</w:t>
            </w:r>
          </w:p>
        </w:tc>
        <w:tc>
          <w:tcPr>
            <w:tcW w:w="1386" w:type="dxa"/>
            <w:noWrap/>
            <w:vAlign w:val="center"/>
          </w:tcPr>
          <w:p w14:paraId="21E9BE2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危化品库</w:t>
            </w:r>
          </w:p>
        </w:tc>
        <w:tc>
          <w:tcPr>
            <w:tcW w:w="1023" w:type="dxa"/>
            <w:vAlign w:val="center"/>
          </w:tcPr>
          <w:p w14:paraId="1F2FE38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垂直入渗</w:t>
            </w:r>
          </w:p>
        </w:tc>
        <w:tc>
          <w:tcPr>
            <w:tcW w:w="3014" w:type="dxa"/>
            <w:vAlign w:val="center"/>
          </w:tcPr>
          <w:p w14:paraId="0B37E52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硫酸</w:t>
            </w:r>
          </w:p>
        </w:tc>
        <w:tc>
          <w:tcPr>
            <w:tcW w:w="1422" w:type="dxa"/>
            <w:vAlign w:val="center"/>
          </w:tcPr>
          <w:p w14:paraId="7A5F6E8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pH值</w:t>
            </w:r>
          </w:p>
        </w:tc>
      </w:tr>
    </w:tbl>
    <w:p w14:paraId="749173DB">
      <w:pPr>
        <w:overflowPunct w:val="0"/>
        <w:spacing w:line="360" w:lineRule="auto"/>
        <w:ind w:firstLine="480" w:firstLineChars="200"/>
        <w:rPr>
          <w:rFonts w:ascii="Times New Roman" w:hAnsi="Times New Roman"/>
          <w:szCs w:val="21"/>
        </w:rPr>
      </w:pPr>
      <w:r>
        <w:rPr>
          <w:rFonts w:hint="eastAsia"/>
          <w:szCs w:val="21"/>
        </w:rPr>
        <w:t>本项目位于</w:t>
      </w:r>
      <w:r>
        <w:rPr>
          <w:rFonts w:hint="eastAsia" w:ascii="Times New Roman" w:hAnsi="Times New Roman"/>
        </w:rPr>
        <w:t>哈密工业园区南部循环经济产业园区</w:t>
      </w:r>
      <w:r>
        <w:rPr>
          <w:rFonts w:hint="eastAsia"/>
          <w:szCs w:val="21"/>
        </w:rPr>
        <w:t>，经调查，项目调查评价范围内无土壤环境敏感目标。</w:t>
      </w:r>
    </w:p>
    <w:bookmarkEnd w:id="353"/>
    <w:p w14:paraId="0B169432">
      <w:pPr>
        <w:numPr>
          <w:ilvl w:val="2"/>
          <w:numId w:val="1"/>
        </w:numPr>
        <w:spacing w:line="360" w:lineRule="auto"/>
        <w:ind w:left="0"/>
        <w:outlineLvl w:val="2"/>
        <w:rPr>
          <w:rFonts w:hint="eastAsia" w:ascii="黑体" w:hAnsi="黑体" w:eastAsia="黑体"/>
          <w:b/>
          <w:sz w:val="28"/>
        </w:rPr>
      </w:pPr>
      <w:bookmarkStart w:id="356" w:name="_Hlk129691610"/>
      <w:r>
        <w:rPr>
          <w:rFonts w:hint="eastAsia" w:ascii="黑体" w:hAnsi="黑体" w:eastAsia="黑体"/>
          <w:b/>
          <w:sz w:val="28"/>
        </w:rPr>
        <w:t>区域土壤环境现状</w:t>
      </w:r>
      <w:bookmarkEnd w:id="356"/>
    </w:p>
    <w:p w14:paraId="7C3FEA8C">
      <w:pPr>
        <w:overflowPunct w:val="0"/>
        <w:spacing w:line="360" w:lineRule="auto"/>
        <w:ind w:firstLine="480" w:firstLineChars="200"/>
        <w:rPr>
          <w:rFonts w:ascii="Times New Roman" w:hAnsi="Times New Roman"/>
          <w:szCs w:val="21"/>
        </w:rPr>
      </w:pPr>
      <w:bookmarkStart w:id="357" w:name="_Hlk129691621"/>
      <w:r>
        <w:rPr>
          <w:rFonts w:hint="eastAsia"/>
          <w:szCs w:val="21"/>
        </w:rPr>
        <w:t>（</w:t>
      </w:r>
      <w:r>
        <w:rPr>
          <w:rFonts w:hint="eastAsia" w:ascii="Times New Roman" w:hAnsi="Times New Roman"/>
          <w:szCs w:val="21"/>
        </w:rPr>
        <w:t>1</w:t>
      </w:r>
      <w:r>
        <w:rPr>
          <w:rFonts w:hint="eastAsia"/>
          <w:szCs w:val="21"/>
        </w:rPr>
        <w:t>）土壤类型及理化特性</w:t>
      </w:r>
    </w:p>
    <w:p w14:paraId="3B15F964">
      <w:pPr>
        <w:overflowPunct w:val="0"/>
        <w:spacing w:line="360" w:lineRule="auto"/>
        <w:ind w:firstLine="480" w:firstLineChars="200"/>
        <w:rPr>
          <w:rFonts w:ascii="Times New Roman" w:hAnsi="Times New Roman"/>
          <w:szCs w:val="21"/>
        </w:rPr>
      </w:pPr>
      <w:r>
        <w:rPr>
          <w:rFonts w:ascii="Times New Roman" w:hAnsi="Times New Roman"/>
          <w:szCs w:val="21"/>
        </w:rPr>
        <w:t>根据国家土壤信息平台（</w:t>
      </w:r>
      <w:bookmarkStart w:id="358" w:name="OLE_LINK24"/>
      <w:r>
        <w:rPr>
          <w:rFonts w:ascii="Times New Roman" w:hAnsi="Times New Roman"/>
          <w:szCs w:val="21"/>
        </w:rPr>
        <w:t>http://www.soilinfo.cn/MAP/index.aspx</w:t>
      </w:r>
      <w:bookmarkEnd w:id="358"/>
      <w:r>
        <w:rPr>
          <w:rFonts w:ascii="Times New Roman" w:hAnsi="Times New Roman"/>
          <w:szCs w:val="21"/>
        </w:rPr>
        <w:t>）查询及现场调查，本项目调查评价范围内土壤类型为</w:t>
      </w:r>
      <w:r>
        <w:rPr>
          <w:rFonts w:hint="eastAsia" w:ascii="Times New Roman" w:hAnsi="Times New Roman"/>
          <w:szCs w:val="21"/>
        </w:rPr>
        <w:t>棕漠土</w:t>
      </w:r>
      <w:r>
        <w:rPr>
          <w:rFonts w:ascii="Times New Roman" w:hAnsi="Times New Roman"/>
          <w:szCs w:val="21"/>
        </w:rPr>
        <w:t>，项目场地及周边主要为</w:t>
      </w:r>
      <w:r>
        <w:rPr>
          <w:rFonts w:hint="eastAsia" w:ascii="Times New Roman" w:hAnsi="Times New Roman"/>
          <w:szCs w:val="21"/>
        </w:rPr>
        <w:t>棕漠土</w:t>
      </w:r>
      <w:r>
        <w:rPr>
          <w:rFonts w:ascii="Times New Roman" w:hAnsi="Times New Roman"/>
          <w:szCs w:val="21"/>
        </w:rPr>
        <w:t>。</w:t>
      </w:r>
    </w:p>
    <w:p w14:paraId="550D46F8">
      <w:pPr>
        <w:overflowPunct w:val="0"/>
        <w:spacing w:line="360" w:lineRule="auto"/>
        <w:ind w:firstLine="480" w:firstLineChars="200"/>
        <w:rPr>
          <w:rFonts w:ascii="Times New Roman" w:hAnsi="Times New Roman"/>
          <w:szCs w:val="21"/>
        </w:rPr>
      </w:pPr>
      <w:r>
        <w:rPr>
          <w:rFonts w:hint="eastAsia"/>
          <w:szCs w:val="21"/>
        </w:rPr>
        <w:t>本项目厂址内土壤理化特性见下表。</w:t>
      </w:r>
    </w:p>
    <w:p w14:paraId="79688988">
      <w:pPr>
        <w:overflowPunct w:val="0"/>
        <w:autoSpaceDE w:val="0"/>
        <w:autoSpaceDN w:val="0"/>
        <w:spacing w:line="360" w:lineRule="auto"/>
        <w:jc w:val="center"/>
        <w:textAlignment w:val="baseline"/>
        <w:rPr>
          <w:rFonts w:hint="eastAsia" w:ascii="黑体" w:hAnsi="黑体" w:eastAsia="黑体"/>
          <w:b/>
          <w:snapToGrid w:val="0"/>
        </w:rPr>
      </w:pPr>
      <w:r>
        <w:rPr>
          <w:rFonts w:hint="eastAsia" w:ascii="黑体" w:hAnsi="黑体" w:eastAsia="黑体"/>
          <w:b/>
          <w:snapToGrid w:val="0"/>
        </w:rPr>
        <w:t>表</w:t>
      </w:r>
      <w:r>
        <w:rPr>
          <w:rFonts w:ascii="黑体" w:hAnsi="黑体" w:eastAsia="黑体"/>
          <w:b/>
          <w:snapToGrid w:val="0"/>
        </w:rPr>
        <w:t xml:space="preserve">5.8.2-1    </w:t>
      </w:r>
      <w:r>
        <w:rPr>
          <w:rFonts w:hint="eastAsia" w:ascii="黑体" w:hAnsi="黑体" w:eastAsia="黑体"/>
          <w:b/>
          <w:snapToGrid w:val="0"/>
        </w:rPr>
        <w:t>项目土壤理化性质调查表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2318"/>
        <w:gridCol w:w="1418"/>
        <w:gridCol w:w="1417"/>
        <w:gridCol w:w="1276"/>
        <w:gridCol w:w="1564"/>
      </w:tblGrid>
      <w:tr w14:paraId="77FF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30" w:type="dxa"/>
            <w:gridSpan w:val="2"/>
            <w:vAlign w:val="center"/>
          </w:tcPr>
          <w:p w14:paraId="3A7126C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点位</w:t>
            </w:r>
          </w:p>
        </w:tc>
        <w:tc>
          <w:tcPr>
            <w:tcW w:w="4111" w:type="dxa"/>
            <w:gridSpan w:val="3"/>
            <w:vAlign w:val="center"/>
          </w:tcPr>
          <w:p w14:paraId="21E8C02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厂界内</w:t>
            </w:r>
            <w:r>
              <w:rPr>
                <w:rFonts w:hint="eastAsia" w:ascii="Times New Roman" w:hAnsi="Times New Roman" w:cs="Times New Roman"/>
                <w:bCs/>
                <w:snapToGrid w:val="0"/>
                <w:sz w:val="18"/>
                <w:szCs w:val="18"/>
                <w:u w:color="000000"/>
              </w:rPr>
              <w:t>3</w:t>
            </w:r>
            <w:r>
              <w:rPr>
                <w:rFonts w:ascii="Times New Roman" w:hAnsi="Times New Roman" w:cs="Times New Roman"/>
                <w:bCs/>
                <w:snapToGrid w:val="0"/>
                <w:sz w:val="18"/>
                <w:szCs w:val="18"/>
                <w:u w:color="000000"/>
              </w:rPr>
              <w:t>#柱状样</w:t>
            </w:r>
          </w:p>
        </w:tc>
        <w:tc>
          <w:tcPr>
            <w:tcW w:w="1564" w:type="dxa"/>
            <w:vAlign w:val="center"/>
          </w:tcPr>
          <w:p w14:paraId="7920BD0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厂界内</w:t>
            </w:r>
            <w:r>
              <w:rPr>
                <w:rFonts w:hint="eastAsia" w:ascii="Times New Roman" w:hAnsi="Times New Roman" w:cs="Times New Roman"/>
                <w:bCs/>
                <w:snapToGrid w:val="0"/>
                <w:sz w:val="18"/>
                <w:szCs w:val="18"/>
                <w:u w:color="000000"/>
              </w:rPr>
              <w:t>2</w:t>
            </w:r>
            <w:r>
              <w:rPr>
                <w:rFonts w:ascii="Times New Roman" w:hAnsi="Times New Roman" w:cs="Times New Roman"/>
                <w:bCs/>
                <w:snapToGrid w:val="0"/>
                <w:sz w:val="18"/>
                <w:szCs w:val="18"/>
                <w:u w:color="000000"/>
              </w:rPr>
              <w:t>#表层样</w:t>
            </w:r>
          </w:p>
        </w:tc>
      </w:tr>
      <w:tr w14:paraId="728C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30" w:type="dxa"/>
            <w:gridSpan w:val="2"/>
            <w:vAlign w:val="center"/>
          </w:tcPr>
          <w:p w14:paraId="2F4B971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层次</w:t>
            </w:r>
          </w:p>
        </w:tc>
        <w:tc>
          <w:tcPr>
            <w:tcW w:w="1418" w:type="dxa"/>
            <w:vAlign w:val="center"/>
          </w:tcPr>
          <w:p w14:paraId="01EF808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0-50cm</w:t>
            </w:r>
          </w:p>
        </w:tc>
        <w:tc>
          <w:tcPr>
            <w:tcW w:w="1417" w:type="dxa"/>
            <w:vAlign w:val="center"/>
          </w:tcPr>
          <w:p w14:paraId="5C239A7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50-150cm</w:t>
            </w:r>
          </w:p>
        </w:tc>
        <w:tc>
          <w:tcPr>
            <w:tcW w:w="1276" w:type="dxa"/>
            <w:vAlign w:val="center"/>
          </w:tcPr>
          <w:p w14:paraId="5CE9504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150-300cm</w:t>
            </w:r>
          </w:p>
        </w:tc>
        <w:tc>
          <w:tcPr>
            <w:tcW w:w="1564" w:type="dxa"/>
            <w:vAlign w:val="center"/>
          </w:tcPr>
          <w:p w14:paraId="7DBA63A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0-20cm</w:t>
            </w:r>
          </w:p>
        </w:tc>
      </w:tr>
      <w:tr w14:paraId="63C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restart"/>
            <w:vAlign w:val="center"/>
          </w:tcPr>
          <w:p w14:paraId="2180B2F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现场记录</w:t>
            </w:r>
          </w:p>
        </w:tc>
        <w:tc>
          <w:tcPr>
            <w:tcW w:w="2318" w:type="dxa"/>
            <w:vAlign w:val="center"/>
          </w:tcPr>
          <w:p w14:paraId="615E12A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颜色</w:t>
            </w:r>
          </w:p>
        </w:tc>
        <w:tc>
          <w:tcPr>
            <w:tcW w:w="1418" w:type="dxa"/>
            <w:vAlign w:val="center"/>
          </w:tcPr>
          <w:p w14:paraId="70FF877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黄棕</w:t>
            </w:r>
          </w:p>
        </w:tc>
        <w:tc>
          <w:tcPr>
            <w:tcW w:w="1417" w:type="dxa"/>
            <w:vAlign w:val="center"/>
          </w:tcPr>
          <w:p w14:paraId="15FC831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黄棕</w:t>
            </w:r>
          </w:p>
        </w:tc>
        <w:tc>
          <w:tcPr>
            <w:tcW w:w="1276" w:type="dxa"/>
            <w:vAlign w:val="center"/>
          </w:tcPr>
          <w:p w14:paraId="133D353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黄棕</w:t>
            </w:r>
          </w:p>
        </w:tc>
        <w:tc>
          <w:tcPr>
            <w:tcW w:w="1564" w:type="dxa"/>
            <w:vAlign w:val="center"/>
          </w:tcPr>
          <w:p w14:paraId="2E2F332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黄棕</w:t>
            </w:r>
          </w:p>
        </w:tc>
      </w:tr>
      <w:tr w14:paraId="5D3D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3FE844C1">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4CA271B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结构</w:t>
            </w:r>
          </w:p>
        </w:tc>
        <w:tc>
          <w:tcPr>
            <w:tcW w:w="1418" w:type="dxa"/>
            <w:vAlign w:val="center"/>
          </w:tcPr>
          <w:p w14:paraId="0EF1258B">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团粒</w:t>
            </w:r>
          </w:p>
        </w:tc>
        <w:tc>
          <w:tcPr>
            <w:tcW w:w="1417" w:type="dxa"/>
            <w:vAlign w:val="center"/>
          </w:tcPr>
          <w:p w14:paraId="5439F17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团粒</w:t>
            </w:r>
          </w:p>
        </w:tc>
        <w:tc>
          <w:tcPr>
            <w:tcW w:w="1276" w:type="dxa"/>
            <w:vAlign w:val="center"/>
          </w:tcPr>
          <w:p w14:paraId="4DF1C71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团粒</w:t>
            </w:r>
          </w:p>
        </w:tc>
        <w:tc>
          <w:tcPr>
            <w:tcW w:w="1564" w:type="dxa"/>
            <w:vAlign w:val="center"/>
          </w:tcPr>
          <w:p w14:paraId="4F6E805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团粒</w:t>
            </w:r>
          </w:p>
        </w:tc>
      </w:tr>
      <w:tr w14:paraId="7287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13A0A016">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142A2CE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质地</w:t>
            </w:r>
          </w:p>
        </w:tc>
        <w:tc>
          <w:tcPr>
            <w:tcW w:w="1418" w:type="dxa"/>
            <w:vAlign w:val="center"/>
          </w:tcPr>
          <w:p w14:paraId="3108991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沙土</w:t>
            </w:r>
          </w:p>
        </w:tc>
        <w:tc>
          <w:tcPr>
            <w:tcW w:w="1417" w:type="dxa"/>
            <w:vAlign w:val="center"/>
          </w:tcPr>
          <w:p w14:paraId="31E6E48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沙土</w:t>
            </w:r>
          </w:p>
        </w:tc>
        <w:tc>
          <w:tcPr>
            <w:tcW w:w="1276" w:type="dxa"/>
            <w:vAlign w:val="center"/>
          </w:tcPr>
          <w:p w14:paraId="01D9AD3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沙土</w:t>
            </w:r>
          </w:p>
        </w:tc>
        <w:tc>
          <w:tcPr>
            <w:tcW w:w="1564" w:type="dxa"/>
            <w:vAlign w:val="center"/>
          </w:tcPr>
          <w:p w14:paraId="16D7DEB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沙土</w:t>
            </w:r>
          </w:p>
        </w:tc>
      </w:tr>
      <w:tr w14:paraId="5E72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665C0D9D">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74832BD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砂砾含量</w:t>
            </w:r>
          </w:p>
        </w:tc>
        <w:tc>
          <w:tcPr>
            <w:tcW w:w="1418" w:type="dxa"/>
            <w:vAlign w:val="center"/>
          </w:tcPr>
          <w:p w14:paraId="6736590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74%</w:t>
            </w:r>
          </w:p>
        </w:tc>
        <w:tc>
          <w:tcPr>
            <w:tcW w:w="1417" w:type="dxa"/>
            <w:vAlign w:val="center"/>
          </w:tcPr>
          <w:p w14:paraId="2B0183A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73%</w:t>
            </w:r>
          </w:p>
        </w:tc>
        <w:tc>
          <w:tcPr>
            <w:tcW w:w="1276" w:type="dxa"/>
            <w:vAlign w:val="center"/>
          </w:tcPr>
          <w:p w14:paraId="7424AD6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73%</w:t>
            </w:r>
          </w:p>
        </w:tc>
        <w:tc>
          <w:tcPr>
            <w:tcW w:w="1564" w:type="dxa"/>
            <w:vAlign w:val="center"/>
          </w:tcPr>
          <w:p w14:paraId="3E1C4AE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76%</w:t>
            </w:r>
          </w:p>
        </w:tc>
      </w:tr>
      <w:tr w14:paraId="48FB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73BF42CC">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0B727A0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其他异物</w:t>
            </w:r>
          </w:p>
        </w:tc>
        <w:tc>
          <w:tcPr>
            <w:tcW w:w="1418" w:type="dxa"/>
            <w:vAlign w:val="center"/>
          </w:tcPr>
          <w:p w14:paraId="41C04A5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无</w:t>
            </w:r>
          </w:p>
        </w:tc>
        <w:tc>
          <w:tcPr>
            <w:tcW w:w="1417" w:type="dxa"/>
            <w:vAlign w:val="center"/>
          </w:tcPr>
          <w:p w14:paraId="08F1BA3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无</w:t>
            </w:r>
          </w:p>
        </w:tc>
        <w:tc>
          <w:tcPr>
            <w:tcW w:w="1276" w:type="dxa"/>
            <w:vAlign w:val="center"/>
          </w:tcPr>
          <w:p w14:paraId="3C82719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无</w:t>
            </w:r>
          </w:p>
        </w:tc>
        <w:tc>
          <w:tcPr>
            <w:tcW w:w="1564" w:type="dxa"/>
            <w:vAlign w:val="center"/>
          </w:tcPr>
          <w:p w14:paraId="734C162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无</w:t>
            </w:r>
          </w:p>
        </w:tc>
      </w:tr>
      <w:tr w14:paraId="2D2B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restart"/>
            <w:vAlign w:val="center"/>
          </w:tcPr>
          <w:p w14:paraId="7A32D95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实验</w:t>
            </w:r>
          </w:p>
          <w:p w14:paraId="0BC92EC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室测</w:t>
            </w:r>
          </w:p>
          <w:p w14:paraId="4013930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定</w:t>
            </w:r>
          </w:p>
        </w:tc>
        <w:tc>
          <w:tcPr>
            <w:tcW w:w="2318" w:type="dxa"/>
            <w:vAlign w:val="center"/>
          </w:tcPr>
          <w:p w14:paraId="49FC697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pH值（无量纲）</w:t>
            </w:r>
          </w:p>
        </w:tc>
        <w:tc>
          <w:tcPr>
            <w:tcW w:w="1418" w:type="dxa"/>
            <w:vAlign w:val="center"/>
          </w:tcPr>
          <w:p w14:paraId="736769C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lang w:bidi="ar"/>
              </w:rPr>
              <w:t>7.87</w:t>
            </w:r>
          </w:p>
        </w:tc>
        <w:tc>
          <w:tcPr>
            <w:tcW w:w="1417" w:type="dxa"/>
            <w:vAlign w:val="center"/>
          </w:tcPr>
          <w:p w14:paraId="6151C5D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lang w:bidi="ar"/>
              </w:rPr>
              <w:t>7.92</w:t>
            </w:r>
          </w:p>
        </w:tc>
        <w:tc>
          <w:tcPr>
            <w:tcW w:w="1276" w:type="dxa"/>
            <w:vAlign w:val="center"/>
          </w:tcPr>
          <w:p w14:paraId="191ECA8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lang w:bidi="ar"/>
              </w:rPr>
              <w:t>8.13</w:t>
            </w:r>
          </w:p>
        </w:tc>
        <w:tc>
          <w:tcPr>
            <w:tcW w:w="1564" w:type="dxa"/>
            <w:vAlign w:val="center"/>
          </w:tcPr>
          <w:p w14:paraId="4D4D651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lang w:bidi="ar"/>
              </w:rPr>
              <w:t>8.17</w:t>
            </w:r>
          </w:p>
        </w:tc>
      </w:tr>
      <w:tr w14:paraId="523C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7BA5B0BC">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1E7A129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阳离子交换量（cmol+/kg）</w:t>
            </w:r>
          </w:p>
        </w:tc>
        <w:tc>
          <w:tcPr>
            <w:tcW w:w="1418" w:type="dxa"/>
            <w:vAlign w:val="center"/>
          </w:tcPr>
          <w:p w14:paraId="4C28BD5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1.6</w:t>
            </w:r>
          </w:p>
        </w:tc>
        <w:tc>
          <w:tcPr>
            <w:tcW w:w="1417" w:type="dxa"/>
            <w:vAlign w:val="center"/>
          </w:tcPr>
          <w:p w14:paraId="51F3B3A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2.3</w:t>
            </w:r>
          </w:p>
        </w:tc>
        <w:tc>
          <w:tcPr>
            <w:tcW w:w="1276" w:type="dxa"/>
            <w:vAlign w:val="center"/>
          </w:tcPr>
          <w:p w14:paraId="0D40D93B">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1.8</w:t>
            </w:r>
          </w:p>
        </w:tc>
        <w:tc>
          <w:tcPr>
            <w:tcW w:w="1564" w:type="dxa"/>
            <w:vAlign w:val="center"/>
          </w:tcPr>
          <w:p w14:paraId="0BDA56B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1.6</w:t>
            </w:r>
          </w:p>
        </w:tc>
      </w:tr>
      <w:tr w14:paraId="044D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7D1AFF43">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0FBF9A3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氧化还原电位（mV）</w:t>
            </w:r>
          </w:p>
        </w:tc>
        <w:tc>
          <w:tcPr>
            <w:tcW w:w="1418" w:type="dxa"/>
            <w:vAlign w:val="center"/>
          </w:tcPr>
          <w:p w14:paraId="448BE09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319</w:t>
            </w:r>
          </w:p>
        </w:tc>
        <w:tc>
          <w:tcPr>
            <w:tcW w:w="1417" w:type="dxa"/>
            <w:vAlign w:val="center"/>
          </w:tcPr>
          <w:p w14:paraId="4534961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321</w:t>
            </w:r>
          </w:p>
        </w:tc>
        <w:tc>
          <w:tcPr>
            <w:tcW w:w="1276" w:type="dxa"/>
            <w:vAlign w:val="center"/>
          </w:tcPr>
          <w:p w14:paraId="0D6ECCE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317</w:t>
            </w:r>
          </w:p>
        </w:tc>
        <w:tc>
          <w:tcPr>
            <w:tcW w:w="1564" w:type="dxa"/>
            <w:vAlign w:val="center"/>
          </w:tcPr>
          <w:p w14:paraId="6EB72D2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320</w:t>
            </w:r>
          </w:p>
        </w:tc>
      </w:tr>
      <w:tr w14:paraId="02E8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1D3F85F4">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2902A8A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饱和导水率（cm/s）</w:t>
            </w:r>
          </w:p>
        </w:tc>
        <w:tc>
          <w:tcPr>
            <w:tcW w:w="1418" w:type="dxa"/>
            <w:vAlign w:val="center"/>
          </w:tcPr>
          <w:p w14:paraId="660DAFD0">
            <w:pPr>
              <w:widowControl w:val="0"/>
              <w:autoSpaceDE w:val="0"/>
              <w:autoSpaceDN w:val="0"/>
              <w:adjustRightInd w:val="0"/>
              <w:jc w:val="center"/>
              <w:rPr>
                <w:rFonts w:ascii="Times New Roman" w:hAnsi="Times New Roman" w:cs="Times New Roman"/>
                <w:bCs/>
                <w:snapToGrid w:val="0"/>
                <w:sz w:val="18"/>
                <w:szCs w:val="18"/>
                <w:highlight w:val="yellow"/>
                <w:u w:color="000000"/>
              </w:rPr>
            </w:pPr>
            <w:r>
              <w:rPr>
                <w:rFonts w:hint="eastAsia" w:ascii="Times New Roman" w:hAnsi="Times New Roman" w:cs="Times New Roman"/>
                <w:bCs/>
                <w:snapToGrid w:val="0"/>
                <w:sz w:val="18"/>
                <w:szCs w:val="18"/>
                <w:u w:color="000000"/>
              </w:rPr>
              <w:t>1.19</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10</w:t>
            </w:r>
            <w:r>
              <w:rPr>
                <w:rFonts w:hint="eastAsia" w:ascii="Times New Roman" w:hAnsi="Times New Roman" w:cs="Times New Roman"/>
                <w:bCs/>
                <w:snapToGrid w:val="0"/>
                <w:sz w:val="18"/>
                <w:szCs w:val="18"/>
                <w:u w:color="000000"/>
                <w:vertAlign w:val="superscript"/>
              </w:rPr>
              <w:t>-3</w:t>
            </w:r>
          </w:p>
        </w:tc>
        <w:tc>
          <w:tcPr>
            <w:tcW w:w="1417" w:type="dxa"/>
            <w:vAlign w:val="center"/>
          </w:tcPr>
          <w:p w14:paraId="361EBCE4">
            <w:pPr>
              <w:widowControl w:val="0"/>
              <w:autoSpaceDE w:val="0"/>
              <w:autoSpaceDN w:val="0"/>
              <w:adjustRightInd w:val="0"/>
              <w:jc w:val="center"/>
              <w:rPr>
                <w:rFonts w:ascii="Times New Roman" w:hAnsi="Times New Roman" w:cs="Times New Roman"/>
                <w:bCs/>
                <w:snapToGrid w:val="0"/>
                <w:sz w:val="18"/>
                <w:szCs w:val="18"/>
                <w:highlight w:val="yellow"/>
                <w:u w:color="000000"/>
              </w:rPr>
            </w:pPr>
            <w:r>
              <w:rPr>
                <w:rFonts w:hint="eastAsia" w:ascii="Times New Roman" w:hAnsi="Times New Roman" w:cs="Times New Roman"/>
                <w:bCs/>
                <w:snapToGrid w:val="0"/>
                <w:sz w:val="18"/>
                <w:szCs w:val="18"/>
                <w:u w:color="000000"/>
              </w:rPr>
              <w:t>1.20</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10</w:t>
            </w:r>
            <w:r>
              <w:rPr>
                <w:rFonts w:hint="eastAsia" w:ascii="Times New Roman" w:hAnsi="Times New Roman" w:cs="Times New Roman"/>
                <w:bCs/>
                <w:snapToGrid w:val="0"/>
                <w:sz w:val="18"/>
                <w:szCs w:val="18"/>
                <w:u w:color="000000"/>
                <w:vertAlign w:val="superscript"/>
              </w:rPr>
              <w:t>-3</w:t>
            </w:r>
          </w:p>
        </w:tc>
        <w:tc>
          <w:tcPr>
            <w:tcW w:w="1276" w:type="dxa"/>
            <w:vAlign w:val="center"/>
          </w:tcPr>
          <w:p w14:paraId="54415A1B">
            <w:pPr>
              <w:widowControl w:val="0"/>
              <w:autoSpaceDE w:val="0"/>
              <w:autoSpaceDN w:val="0"/>
              <w:adjustRightInd w:val="0"/>
              <w:jc w:val="center"/>
              <w:rPr>
                <w:rFonts w:ascii="Times New Roman" w:hAnsi="Times New Roman" w:cs="Times New Roman"/>
                <w:bCs/>
                <w:snapToGrid w:val="0"/>
                <w:sz w:val="18"/>
                <w:szCs w:val="18"/>
                <w:highlight w:val="yellow"/>
                <w:u w:color="000000"/>
              </w:rPr>
            </w:pPr>
            <w:r>
              <w:rPr>
                <w:rFonts w:hint="eastAsia" w:ascii="Times New Roman" w:hAnsi="Times New Roman" w:cs="Times New Roman"/>
                <w:bCs/>
                <w:snapToGrid w:val="0"/>
                <w:sz w:val="18"/>
                <w:szCs w:val="18"/>
                <w:u w:color="000000"/>
              </w:rPr>
              <w:t>1.18</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10</w:t>
            </w:r>
            <w:r>
              <w:rPr>
                <w:rFonts w:hint="eastAsia" w:ascii="Times New Roman" w:hAnsi="Times New Roman" w:cs="Times New Roman"/>
                <w:bCs/>
                <w:snapToGrid w:val="0"/>
                <w:sz w:val="18"/>
                <w:szCs w:val="18"/>
                <w:u w:color="000000"/>
                <w:vertAlign w:val="superscript"/>
              </w:rPr>
              <w:t>-3</w:t>
            </w:r>
          </w:p>
        </w:tc>
        <w:tc>
          <w:tcPr>
            <w:tcW w:w="1564" w:type="dxa"/>
            <w:vAlign w:val="center"/>
          </w:tcPr>
          <w:p w14:paraId="6A2AB17F">
            <w:pPr>
              <w:widowControl w:val="0"/>
              <w:autoSpaceDE w:val="0"/>
              <w:autoSpaceDN w:val="0"/>
              <w:adjustRightInd w:val="0"/>
              <w:jc w:val="center"/>
              <w:rPr>
                <w:rFonts w:ascii="Times New Roman" w:hAnsi="Times New Roman" w:cs="Times New Roman"/>
                <w:bCs/>
                <w:snapToGrid w:val="0"/>
                <w:sz w:val="18"/>
                <w:szCs w:val="18"/>
                <w:highlight w:val="yellow"/>
                <w:u w:color="000000"/>
              </w:rPr>
            </w:pPr>
            <w:r>
              <w:rPr>
                <w:rFonts w:hint="eastAsia" w:ascii="Times New Roman" w:hAnsi="Times New Roman" w:cs="Times New Roman"/>
                <w:bCs/>
                <w:snapToGrid w:val="0"/>
                <w:sz w:val="18"/>
                <w:szCs w:val="18"/>
                <w:u w:color="000000"/>
              </w:rPr>
              <w:t>1.17</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10</w:t>
            </w:r>
            <w:r>
              <w:rPr>
                <w:rFonts w:hint="eastAsia" w:ascii="Times New Roman" w:hAnsi="Times New Roman" w:cs="Times New Roman"/>
                <w:bCs/>
                <w:snapToGrid w:val="0"/>
                <w:sz w:val="18"/>
                <w:szCs w:val="18"/>
                <w:u w:color="000000"/>
                <w:vertAlign w:val="superscript"/>
              </w:rPr>
              <w:t>-3</w:t>
            </w:r>
          </w:p>
        </w:tc>
      </w:tr>
      <w:tr w14:paraId="3D92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22F9E07E">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6725F7C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土壤容重（g/cm³）</w:t>
            </w:r>
          </w:p>
        </w:tc>
        <w:tc>
          <w:tcPr>
            <w:tcW w:w="1418" w:type="dxa"/>
            <w:vAlign w:val="center"/>
          </w:tcPr>
          <w:p w14:paraId="36A03C8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1.41</w:t>
            </w:r>
          </w:p>
        </w:tc>
        <w:tc>
          <w:tcPr>
            <w:tcW w:w="1417" w:type="dxa"/>
            <w:vAlign w:val="center"/>
          </w:tcPr>
          <w:p w14:paraId="3C3EE4B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1.40</w:t>
            </w:r>
          </w:p>
        </w:tc>
        <w:tc>
          <w:tcPr>
            <w:tcW w:w="1276" w:type="dxa"/>
            <w:vAlign w:val="center"/>
          </w:tcPr>
          <w:p w14:paraId="53D8A92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1.41</w:t>
            </w:r>
          </w:p>
        </w:tc>
        <w:tc>
          <w:tcPr>
            <w:tcW w:w="1564" w:type="dxa"/>
            <w:vAlign w:val="center"/>
          </w:tcPr>
          <w:p w14:paraId="39DF10B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1.40</w:t>
            </w:r>
          </w:p>
        </w:tc>
      </w:tr>
      <w:tr w14:paraId="254E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12" w:type="dxa"/>
            <w:vMerge w:val="continue"/>
            <w:vAlign w:val="center"/>
          </w:tcPr>
          <w:p w14:paraId="2B6FBD07">
            <w:pPr>
              <w:widowControl w:val="0"/>
              <w:autoSpaceDE w:val="0"/>
              <w:autoSpaceDN w:val="0"/>
              <w:adjustRightInd w:val="0"/>
              <w:jc w:val="center"/>
              <w:rPr>
                <w:rFonts w:ascii="Times New Roman" w:hAnsi="Times New Roman" w:cs="Times New Roman"/>
                <w:bCs/>
                <w:snapToGrid w:val="0"/>
                <w:sz w:val="18"/>
                <w:szCs w:val="18"/>
                <w:u w:color="000000"/>
              </w:rPr>
            </w:pPr>
          </w:p>
        </w:tc>
        <w:tc>
          <w:tcPr>
            <w:tcW w:w="2318" w:type="dxa"/>
            <w:vAlign w:val="center"/>
          </w:tcPr>
          <w:p w14:paraId="78B3727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孔隙度（%）</w:t>
            </w:r>
          </w:p>
        </w:tc>
        <w:tc>
          <w:tcPr>
            <w:tcW w:w="1418" w:type="dxa"/>
            <w:vAlign w:val="center"/>
          </w:tcPr>
          <w:p w14:paraId="173AE63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42.3</w:t>
            </w:r>
          </w:p>
        </w:tc>
        <w:tc>
          <w:tcPr>
            <w:tcW w:w="1417" w:type="dxa"/>
            <w:vAlign w:val="center"/>
          </w:tcPr>
          <w:p w14:paraId="499DD10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42.7</w:t>
            </w:r>
          </w:p>
        </w:tc>
        <w:tc>
          <w:tcPr>
            <w:tcW w:w="1276" w:type="dxa"/>
            <w:vAlign w:val="center"/>
          </w:tcPr>
          <w:p w14:paraId="4668AA3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45.6</w:t>
            </w:r>
          </w:p>
        </w:tc>
        <w:tc>
          <w:tcPr>
            <w:tcW w:w="1564" w:type="dxa"/>
            <w:vAlign w:val="center"/>
          </w:tcPr>
          <w:p w14:paraId="38580F4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42.7</w:t>
            </w:r>
          </w:p>
        </w:tc>
      </w:tr>
    </w:tbl>
    <w:p w14:paraId="5A7BED32">
      <w:pPr>
        <w:widowControl w:val="0"/>
        <w:autoSpaceDE w:val="0"/>
        <w:autoSpaceDN w:val="0"/>
        <w:adjustRightInd w:val="0"/>
        <w:jc w:val="center"/>
        <w:rPr>
          <w:rFonts w:ascii="Times New Roman" w:hAnsi="Times New Roman" w:cs="Times New Roman"/>
          <w:bCs/>
          <w:snapToGrid w:val="0"/>
          <w:sz w:val="18"/>
          <w:szCs w:val="18"/>
          <w:u w:color="000000"/>
        </w:rPr>
      </w:pPr>
    </w:p>
    <w:p w14:paraId="5F477220">
      <w:pPr>
        <w:overflowPunct w:val="0"/>
        <w:spacing w:line="360" w:lineRule="auto"/>
        <w:ind w:firstLine="480" w:firstLineChars="200"/>
        <w:rPr>
          <w:rFonts w:ascii="Times New Roman" w:hAnsi="Times New Roman"/>
          <w:szCs w:val="21"/>
        </w:rPr>
      </w:pPr>
      <w:r>
        <w:rPr>
          <w:rFonts w:ascii="Times New Roman" w:hAnsi="Times New Roman"/>
          <w:szCs w:val="21"/>
        </w:rPr>
        <w:t>（2）土壤环境质量现状</w:t>
      </w:r>
    </w:p>
    <w:p w14:paraId="52F22318">
      <w:pPr>
        <w:overflowPunct w:val="0"/>
        <w:spacing w:line="360" w:lineRule="auto"/>
        <w:ind w:firstLine="480" w:firstLineChars="200"/>
        <w:rPr>
          <w:rFonts w:ascii="Times New Roman" w:hAnsi="Times New Roman"/>
          <w:szCs w:val="21"/>
        </w:rPr>
      </w:pPr>
      <w:r>
        <w:rPr>
          <w:rFonts w:ascii="Times New Roman" w:hAnsi="Times New Roman"/>
          <w:szCs w:val="21"/>
        </w:rPr>
        <w:t>拟建项目评价区域周围设1</w:t>
      </w:r>
      <w:r>
        <w:rPr>
          <w:rFonts w:hint="eastAsia" w:ascii="Times New Roman" w:hAnsi="Times New Roman"/>
          <w:szCs w:val="21"/>
        </w:rPr>
        <w:t>1</w:t>
      </w:r>
      <w:r>
        <w:rPr>
          <w:rFonts w:ascii="Times New Roman" w:hAnsi="Times New Roman"/>
          <w:szCs w:val="21"/>
        </w:rPr>
        <w:t>个土壤采样点，其中用地范围内</w:t>
      </w:r>
      <w:r>
        <w:rPr>
          <w:rFonts w:hint="eastAsia" w:ascii="Times New Roman" w:hAnsi="Times New Roman"/>
          <w:szCs w:val="21"/>
        </w:rPr>
        <w:t>7</w:t>
      </w:r>
      <w:r>
        <w:rPr>
          <w:rFonts w:ascii="Times New Roman" w:hAnsi="Times New Roman"/>
          <w:szCs w:val="21"/>
        </w:rPr>
        <w:t>个，用地范围外4个，根据本报告环境现状调查章节可知，项目厂区范围内土壤采样点各监测因子均满足《土壤环境质量建设用地土壤污染风险管控标准（试行）》（GB36600-2018）第二类用地筛选值。本项目内土壤环境质量状况良好。</w:t>
      </w:r>
      <w:bookmarkEnd w:id="357"/>
    </w:p>
    <w:p w14:paraId="2E393805">
      <w:pPr>
        <w:numPr>
          <w:ilvl w:val="2"/>
          <w:numId w:val="1"/>
        </w:numPr>
        <w:spacing w:line="360" w:lineRule="auto"/>
        <w:ind w:left="0"/>
        <w:outlineLvl w:val="2"/>
        <w:rPr>
          <w:rFonts w:hint="eastAsia" w:ascii="黑体" w:hAnsi="黑体" w:eastAsia="黑体"/>
          <w:b/>
          <w:sz w:val="28"/>
        </w:rPr>
      </w:pPr>
      <w:bookmarkStart w:id="359" w:name="_Hlk169786337"/>
      <w:bookmarkStart w:id="360" w:name="_Hlk150614885"/>
      <w:bookmarkStart w:id="361" w:name="_Hlk129691700"/>
      <w:r>
        <w:rPr>
          <w:rFonts w:hint="eastAsia" w:ascii="黑体" w:hAnsi="黑体" w:eastAsia="黑体"/>
          <w:b/>
          <w:sz w:val="28"/>
        </w:rPr>
        <w:t>土壤环境影响预测与评价</w:t>
      </w:r>
    </w:p>
    <w:p w14:paraId="6426EBA9">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大气沉降</w:t>
      </w:r>
    </w:p>
    <w:bookmarkEnd w:id="359"/>
    <w:p w14:paraId="442B960D">
      <w:pPr>
        <w:overflowPunct w:val="0"/>
        <w:spacing w:line="360" w:lineRule="auto"/>
        <w:ind w:firstLine="480" w:firstLineChars="200"/>
        <w:rPr>
          <w:rFonts w:ascii="Times New Roman" w:hAnsi="Times New Roman"/>
          <w:szCs w:val="21"/>
        </w:rPr>
      </w:pPr>
      <w:bookmarkStart w:id="362" w:name="_Hlk166002179"/>
      <w:bookmarkStart w:id="363" w:name="_Hlk169786346"/>
      <w:r>
        <w:rPr>
          <w:rFonts w:hint="eastAsia"/>
          <w:szCs w:val="21"/>
        </w:rPr>
        <w:t>本项目涉及的可能污染土壤环境的污染物为</w:t>
      </w:r>
      <w:r>
        <w:rPr>
          <w:rFonts w:hint="eastAsia" w:ascii="Times New Roman" w:hAnsi="Times New Roman"/>
          <w:szCs w:val="21"/>
        </w:rPr>
        <w:t>硫酸雾</w:t>
      </w:r>
      <w:r>
        <w:rPr>
          <w:rFonts w:hint="eastAsia"/>
          <w:szCs w:val="21"/>
        </w:rPr>
        <w:t>。土壤环境污染途径为大气沉降进入土壤环境。本报告中要求建设范围做好重点区域的防腐防渗工作，防治污染物质进入土壤环境，则本项目只需考虑通过污染物通过大气沉降进入土壤所产生的影响。</w:t>
      </w:r>
    </w:p>
    <w:p w14:paraId="57283A87">
      <w:pPr>
        <w:overflowPunct w:val="0"/>
        <w:spacing w:line="360" w:lineRule="auto"/>
        <w:ind w:firstLine="480" w:firstLineChars="200"/>
        <w:rPr>
          <w:rFonts w:ascii="Times New Roman" w:hAnsi="Times New Roman"/>
          <w:szCs w:val="21"/>
        </w:rPr>
      </w:pPr>
      <w:r>
        <w:rPr>
          <w:rFonts w:ascii="Times New Roman" w:hAnsi="Times New Roman"/>
          <w:szCs w:val="21"/>
        </w:rPr>
        <w:t>（1）预测评价范围</w:t>
      </w:r>
    </w:p>
    <w:p w14:paraId="3D5A23A9">
      <w:pPr>
        <w:overflowPunct w:val="0"/>
        <w:spacing w:line="360" w:lineRule="auto"/>
        <w:ind w:firstLine="480" w:firstLineChars="200"/>
        <w:rPr>
          <w:rFonts w:ascii="Times New Roman" w:hAnsi="Times New Roman"/>
          <w:szCs w:val="21"/>
        </w:rPr>
      </w:pPr>
      <w:r>
        <w:rPr>
          <w:rFonts w:ascii="Times New Roman" w:hAnsi="Times New Roman"/>
          <w:szCs w:val="21"/>
        </w:rPr>
        <w:t>占地范围内及占地范围外1.0km范围内。</w:t>
      </w:r>
    </w:p>
    <w:p w14:paraId="4616E356">
      <w:pPr>
        <w:overflowPunct w:val="0"/>
        <w:spacing w:line="360" w:lineRule="auto"/>
        <w:ind w:firstLine="480" w:firstLineChars="200"/>
        <w:rPr>
          <w:rFonts w:ascii="Times New Roman" w:hAnsi="Times New Roman"/>
          <w:szCs w:val="21"/>
        </w:rPr>
      </w:pPr>
      <w:r>
        <w:rPr>
          <w:rFonts w:ascii="Times New Roman" w:hAnsi="Times New Roman"/>
          <w:szCs w:val="21"/>
        </w:rPr>
        <w:t>（2）预测评价时</w:t>
      </w:r>
      <w:r>
        <w:rPr>
          <w:rFonts w:hint="eastAsia"/>
          <w:szCs w:val="21"/>
        </w:rPr>
        <w:t>段</w:t>
      </w:r>
    </w:p>
    <w:p w14:paraId="771C2505">
      <w:pPr>
        <w:overflowPunct w:val="0"/>
        <w:spacing w:line="360" w:lineRule="auto"/>
        <w:ind w:firstLine="480" w:firstLineChars="200"/>
        <w:rPr>
          <w:rFonts w:ascii="Times New Roman" w:hAnsi="Times New Roman"/>
          <w:szCs w:val="21"/>
        </w:rPr>
      </w:pPr>
      <w:r>
        <w:rPr>
          <w:rFonts w:hint="eastAsia"/>
          <w:szCs w:val="21"/>
        </w:rPr>
        <w:t>本项目预测时段为项目运营年开始至运营</w:t>
      </w:r>
      <w:r>
        <w:rPr>
          <w:rFonts w:hint="eastAsia" w:ascii="Times New Roman" w:hAnsi="Times New Roman"/>
          <w:szCs w:val="21"/>
        </w:rPr>
        <w:t>50</w:t>
      </w:r>
      <w:r>
        <w:rPr>
          <w:rFonts w:hint="eastAsia"/>
          <w:szCs w:val="21"/>
        </w:rPr>
        <w:t>年。</w:t>
      </w:r>
    </w:p>
    <w:p w14:paraId="0DC5154C">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3</w:t>
      </w:r>
      <w:r>
        <w:rPr>
          <w:rFonts w:hint="eastAsia"/>
          <w:szCs w:val="21"/>
        </w:rPr>
        <w:t>）情景设置</w:t>
      </w:r>
    </w:p>
    <w:p w14:paraId="5CCECE6A">
      <w:pPr>
        <w:overflowPunct w:val="0"/>
        <w:spacing w:line="360" w:lineRule="auto"/>
        <w:ind w:firstLine="480" w:firstLineChars="200"/>
        <w:rPr>
          <w:rFonts w:ascii="Times New Roman" w:hAnsi="Times New Roman"/>
          <w:szCs w:val="21"/>
        </w:rPr>
      </w:pPr>
      <w:r>
        <w:rPr>
          <w:rFonts w:hint="eastAsia"/>
          <w:szCs w:val="21"/>
        </w:rPr>
        <w:t>本项目运行后污染物通过排气筒和无组织排放的形式排放至大气中，通过大气沉降的形式至土壤表层。</w:t>
      </w:r>
    </w:p>
    <w:p w14:paraId="04D18F21">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4</w:t>
      </w:r>
      <w:r>
        <w:rPr>
          <w:rFonts w:hint="eastAsia"/>
          <w:szCs w:val="21"/>
        </w:rPr>
        <w:t>）预测评价因子</w:t>
      </w:r>
    </w:p>
    <w:p w14:paraId="766C9790">
      <w:pPr>
        <w:overflowPunct w:val="0"/>
        <w:spacing w:line="360" w:lineRule="auto"/>
        <w:ind w:firstLine="480" w:firstLineChars="200"/>
        <w:rPr>
          <w:rFonts w:ascii="Times New Roman" w:hAnsi="Times New Roman"/>
          <w:szCs w:val="21"/>
        </w:rPr>
      </w:pPr>
      <w:r>
        <w:rPr>
          <w:rFonts w:hint="eastAsia"/>
          <w:szCs w:val="21"/>
        </w:rPr>
        <w:t>根据工程分析及环境影响识别结果，确定本项目环境影响要素的评价因子为</w:t>
      </w:r>
      <w:r>
        <w:rPr>
          <w:rFonts w:hint="eastAsia" w:ascii="Times New Roman" w:hAnsi="Times New Roman"/>
          <w:szCs w:val="21"/>
        </w:rPr>
        <w:t>硫酸</w:t>
      </w:r>
      <w:r>
        <w:rPr>
          <w:rFonts w:hint="eastAsia"/>
          <w:szCs w:val="21"/>
        </w:rPr>
        <w:t>，见下表。</w:t>
      </w:r>
    </w:p>
    <w:p w14:paraId="3EFF6074">
      <w:pPr>
        <w:overflowPunct w:val="0"/>
        <w:autoSpaceDE w:val="0"/>
        <w:autoSpaceDN w:val="0"/>
        <w:spacing w:line="360" w:lineRule="auto"/>
        <w:jc w:val="center"/>
        <w:textAlignment w:val="baseline"/>
        <w:rPr>
          <w:rFonts w:hint="eastAsia" w:ascii="黑体" w:hAnsi="黑体" w:eastAsia="黑体"/>
          <w:b/>
          <w:snapToGrid w:val="0"/>
        </w:rPr>
      </w:pPr>
      <w:r>
        <w:rPr>
          <w:rFonts w:hint="eastAsia" w:ascii="黑体" w:hAnsi="黑体" w:eastAsia="黑体"/>
          <w:b/>
          <w:snapToGrid w:val="0"/>
        </w:rPr>
        <w:t xml:space="preserve">表 </w:t>
      </w:r>
      <w:r>
        <w:rPr>
          <w:rFonts w:ascii="黑体" w:hAnsi="黑体" w:eastAsia="黑体"/>
          <w:b/>
          <w:snapToGrid w:val="0"/>
        </w:rPr>
        <w:t xml:space="preserve">5.8.3-1    </w:t>
      </w:r>
      <w:r>
        <w:rPr>
          <w:rFonts w:hint="eastAsia" w:ascii="黑体" w:hAnsi="黑体" w:eastAsia="黑体"/>
          <w:b/>
          <w:snapToGrid w:val="0"/>
        </w:rPr>
        <w:t>评级因子筛选</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6432"/>
      </w:tblGrid>
      <w:tr w14:paraId="7FB7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83" w:type="dxa"/>
            <w:vAlign w:val="center"/>
          </w:tcPr>
          <w:p w14:paraId="662426C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环境要素</w:t>
            </w:r>
          </w:p>
        </w:tc>
        <w:tc>
          <w:tcPr>
            <w:tcW w:w="6422" w:type="dxa"/>
            <w:vAlign w:val="center"/>
          </w:tcPr>
          <w:p w14:paraId="13F02B3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预测评价因子</w:t>
            </w:r>
          </w:p>
        </w:tc>
      </w:tr>
      <w:tr w14:paraId="6A75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83" w:type="dxa"/>
            <w:vAlign w:val="center"/>
          </w:tcPr>
          <w:p w14:paraId="398BFCB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土壤环境</w:t>
            </w:r>
          </w:p>
        </w:tc>
        <w:tc>
          <w:tcPr>
            <w:tcW w:w="6422" w:type="dxa"/>
            <w:vAlign w:val="center"/>
          </w:tcPr>
          <w:p w14:paraId="4A6A48C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大气沉降：硫酸雾，排放量为2.3t/a</w:t>
            </w:r>
          </w:p>
        </w:tc>
      </w:tr>
    </w:tbl>
    <w:p w14:paraId="4528CA00">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5</w:t>
      </w:r>
      <w:r>
        <w:rPr>
          <w:rFonts w:hint="eastAsia"/>
          <w:szCs w:val="21"/>
        </w:rPr>
        <w:t>）预测模型</w:t>
      </w:r>
    </w:p>
    <w:p w14:paraId="48DA32EC">
      <w:pPr>
        <w:overflowPunct w:val="0"/>
        <w:spacing w:line="360" w:lineRule="auto"/>
        <w:ind w:firstLine="480" w:firstLineChars="200"/>
        <w:rPr>
          <w:rFonts w:ascii="Times New Roman" w:hAnsi="Times New Roman"/>
          <w:szCs w:val="21"/>
        </w:rPr>
      </w:pPr>
      <w:r>
        <w:rPr>
          <w:rFonts w:hint="eastAsia"/>
          <w:szCs w:val="21"/>
        </w:rPr>
        <w:t>本项目为污染影响型建设项目，评价工作等级为一级，根据《环境影响评价技术导则土壤环境》（</w:t>
      </w:r>
      <w:r>
        <w:rPr>
          <w:rFonts w:hint="eastAsia" w:ascii="Times New Roman" w:hAnsi="Times New Roman"/>
          <w:szCs w:val="21"/>
        </w:rPr>
        <w:t>HJ964-2018</w:t>
      </w:r>
      <w:r>
        <w:rPr>
          <w:rFonts w:hint="eastAsia"/>
          <w:szCs w:val="21"/>
        </w:rPr>
        <w:t>）</w:t>
      </w:r>
      <w:r>
        <w:rPr>
          <w:rFonts w:hint="eastAsia" w:ascii="Times New Roman" w:hAnsi="Times New Roman"/>
          <w:szCs w:val="21"/>
        </w:rPr>
        <w:t>8.7</w:t>
      </w:r>
      <w:r>
        <w:rPr>
          <w:rFonts w:hint="eastAsia"/>
          <w:szCs w:val="21"/>
        </w:rPr>
        <w:t>节</w:t>
      </w:r>
      <w:r>
        <w:rPr>
          <w:rFonts w:ascii="Times New Roman" w:hAnsi="Times New Roman"/>
          <w:szCs w:val="21"/>
        </w:rPr>
        <w:t>“</w:t>
      </w:r>
      <w:r>
        <w:rPr>
          <w:rFonts w:hint="eastAsia"/>
          <w:szCs w:val="21"/>
        </w:rPr>
        <w:t>污染影响型建设项目，其评价工作等级为一级、二级的，预测方法可参见附录</w:t>
      </w:r>
      <w:r>
        <w:rPr>
          <w:rFonts w:hint="eastAsia" w:ascii="Times New Roman" w:hAnsi="Times New Roman"/>
          <w:szCs w:val="21"/>
        </w:rPr>
        <w:t>E</w:t>
      </w:r>
      <w:r>
        <w:rPr>
          <w:rFonts w:hint="eastAsia"/>
          <w:szCs w:val="21"/>
        </w:rPr>
        <w:t>或进行类比分析</w:t>
      </w:r>
      <w:r>
        <w:rPr>
          <w:rFonts w:ascii="Times New Roman" w:hAnsi="Times New Roman"/>
          <w:szCs w:val="21"/>
        </w:rPr>
        <w:t>”</w:t>
      </w:r>
      <w:r>
        <w:rPr>
          <w:rFonts w:hint="eastAsia"/>
          <w:szCs w:val="21"/>
        </w:rPr>
        <w:t>，预测方法选用附录</w:t>
      </w:r>
      <w:r>
        <w:rPr>
          <w:rFonts w:hint="eastAsia" w:ascii="Times New Roman" w:hAnsi="Times New Roman"/>
          <w:szCs w:val="21"/>
        </w:rPr>
        <w:t>E</w:t>
      </w:r>
      <w:r>
        <w:rPr>
          <w:rFonts w:hint="eastAsia"/>
          <w:szCs w:val="21"/>
        </w:rPr>
        <w:t>中方法一进行预测，公式如下。</w:t>
      </w:r>
    </w:p>
    <w:p w14:paraId="75E0682A">
      <w:pPr>
        <w:overflowPunct w:val="0"/>
        <w:spacing w:line="360" w:lineRule="auto"/>
        <w:ind w:firstLine="480" w:firstLineChars="200"/>
        <w:rPr>
          <w:rFonts w:ascii="Times New Roman" w:hAnsi="Times New Roman"/>
          <w:szCs w:val="21"/>
        </w:rPr>
      </w:pPr>
      <w:r>
        <w:rPr>
          <w:rFonts w:hint="eastAsia"/>
          <w:szCs w:val="21"/>
        </w:rPr>
        <w:t>①单位质量土壤中某种物质的增量可用下式计算：</w:t>
      </w:r>
    </w:p>
    <w:p w14:paraId="3D090AB2">
      <w:pPr>
        <w:overflowPunct w:val="0"/>
        <w:spacing w:line="360" w:lineRule="auto"/>
        <w:ind w:firstLine="480" w:firstLineChars="200"/>
        <w:jc w:val="center"/>
        <w:rPr>
          <w:rFonts w:ascii="Times New Roman" w:hAnsi="Times New Roman"/>
          <w:szCs w:val="21"/>
        </w:rPr>
      </w:pPr>
      <w:r>
        <w:rPr>
          <w:rFonts w:hint="eastAsia" w:ascii="Times New Roman" w:hAnsi="Times New Roman"/>
          <w:szCs w:val="21"/>
        </w:rPr>
        <w:t>ΔS=n</w:t>
      </w:r>
      <w:r>
        <w:rPr>
          <w:rFonts w:hint="eastAsia"/>
          <w:szCs w:val="21"/>
        </w:rPr>
        <w:t>（</w:t>
      </w:r>
      <w:r>
        <w:rPr>
          <w:rFonts w:hint="eastAsia" w:ascii="Times New Roman" w:hAnsi="Times New Roman"/>
          <w:szCs w:val="21"/>
        </w:rPr>
        <w:t>Is-Ls-Rs</w:t>
      </w:r>
      <w:r>
        <w:rPr>
          <w:rFonts w:hint="eastAsia"/>
          <w:szCs w:val="21"/>
        </w:rPr>
        <w:t>）</w:t>
      </w:r>
      <w:r>
        <w:rPr>
          <w:rFonts w:hint="eastAsia" w:ascii="Times New Roman" w:hAnsi="Times New Roman"/>
          <w:szCs w:val="21"/>
        </w:rPr>
        <w:t>/</w:t>
      </w:r>
      <w:r>
        <w:rPr>
          <w:rFonts w:hint="eastAsia"/>
          <w:szCs w:val="21"/>
        </w:rPr>
        <w:t>（</w:t>
      </w:r>
      <w:r>
        <w:rPr>
          <w:rFonts w:ascii="Times New Roman" w:hAnsi="Times New Roman"/>
          <w:szCs w:val="21"/>
        </w:rPr>
        <w:t>ρ</w:t>
      </w:r>
      <w:r>
        <w:rPr>
          <w:rFonts w:hint="eastAsia" w:ascii="Times New Roman" w:hAnsi="Times New Roman"/>
          <w:szCs w:val="21"/>
          <w:vertAlign w:val="subscript"/>
        </w:rPr>
        <w:t>b</w:t>
      </w:r>
      <w:r>
        <w:rPr>
          <w:rFonts w:hint="eastAsia" w:ascii="Times New Roman" w:hAnsi="Times New Roman"/>
          <w:szCs w:val="21"/>
        </w:rPr>
        <w:t>×A×D</w:t>
      </w:r>
      <w:r>
        <w:rPr>
          <w:rFonts w:hint="eastAsia"/>
          <w:szCs w:val="21"/>
        </w:rPr>
        <w:t>）</w:t>
      </w:r>
    </w:p>
    <w:p w14:paraId="1EEC16D3">
      <w:pPr>
        <w:overflowPunct w:val="0"/>
        <w:spacing w:line="360" w:lineRule="auto"/>
        <w:ind w:firstLine="480" w:firstLineChars="200"/>
        <w:rPr>
          <w:rFonts w:ascii="Times New Roman" w:hAnsi="Times New Roman"/>
          <w:szCs w:val="21"/>
        </w:rPr>
      </w:pPr>
      <w:r>
        <w:rPr>
          <w:rFonts w:hint="eastAsia"/>
          <w:szCs w:val="21"/>
        </w:rPr>
        <w:t>式中：</w:t>
      </w:r>
    </w:p>
    <w:p w14:paraId="62344D0E">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ΔS—</w:t>
      </w:r>
      <w:r>
        <w:rPr>
          <w:rFonts w:hint="eastAsia"/>
          <w:sz w:val="21"/>
          <w:szCs w:val="21"/>
        </w:rPr>
        <w:t>单位质量表层土壤中某种物质的增量，</w:t>
      </w:r>
      <w:r>
        <w:rPr>
          <w:rFonts w:hint="eastAsia" w:ascii="Times New Roman" w:hAnsi="Times New Roman"/>
          <w:sz w:val="21"/>
          <w:szCs w:val="21"/>
        </w:rPr>
        <w:t>g/kg</w:t>
      </w:r>
      <w:r>
        <w:rPr>
          <w:rFonts w:hint="eastAsia"/>
          <w:sz w:val="21"/>
          <w:szCs w:val="21"/>
        </w:rPr>
        <w:t>；</w:t>
      </w:r>
    </w:p>
    <w:p w14:paraId="0B7CF8F7">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I</w:t>
      </w:r>
      <w:r>
        <w:rPr>
          <w:rFonts w:hint="eastAsia" w:ascii="Times New Roman" w:hAnsi="Times New Roman"/>
          <w:sz w:val="21"/>
          <w:szCs w:val="21"/>
          <w:vertAlign w:val="subscript"/>
        </w:rPr>
        <w:t>S</w:t>
      </w:r>
      <w:r>
        <w:rPr>
          <w:rFonts w:hint="eastAsia" w:ascii="Times New Roman" w:hAnsi="Times New Roman"/>
          <w:sz w:val="21"/>
          <w:szCs w:val="21"/>
        </w:rPr>
        <w:t>—</w:t>
      </w:r>
      <w:r>
        <w:rPr>
          <w:rFonts w:hint="eastAsia"/>
          <w:sz w:val="21"/>
          <w:szCs w:val="21"/>
        </w:rPr>
        <w:t>预测评价范围内单位年份表层土壤中某种物质的输入量，</w:t>
      </w:r>
      <w:r>
        <w:rPr>
          <w:rFonts w:hint="eastAsia" w:ascii="Times New Roman" w:hAnsi="Times New Roman"/>
          <w:sz w:val="21"/>
          <w:szCs w:val="21"/>
        </w:rPr>
        <w:t>g</w:t>
      </w:r>
      <w:r>
        <w:rPr>
          <w:rFonts w:hint="eastAsia"/>
          <w:sz w:val="21"/>
          <w:szCs w:val="21"/>
        </w:rPr>
        <w:t>；</w:t>
      </w:r>
    </w:p>
    <w:p w14:paraId="5467DE44">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L</w:t>
      </w:r>
      <w:r>
        <w:rPr>
          <w:rFonts w:hint="eastAsia" w:ascii="Times New Roman" w:hAnsi="Times New Roman"/>
          <w:sz w:val="21"/>
          <w:szCs w:val="21"/>
          <w:vertAlign w:val="subscript"/>
        </w:rPr>
        <w:t>S</w:t>
      </w:r>
      <w:r>
        <w:rPr>
          <w:rFonts w:hint="eastAsia" w:ascii="Times New Roman" w:hAnsi="Times New Roman"/>
          <w:sz w:val="21"/>
          <w:szCs w:val="21"/>
        </w:rPr>
        <w:t>—</w:t>
      </w:r>
      <w:r>
        <w:rPr>
          <w:rFonts w:hint="eastAsia"/>
          <w:sz w:val="21"/>
          <w:szCs w:val="21"/>
        </w:rPr>
        <w:t>预测评价范围内单位年份表层土壤中某种物质经淋溶排出的量，</w:t>
      </w:r>
      <w:r>
        <w:rPr>
          <w:rFonts w:hint="eastAsia" w:ascii="Times New Roman" w:hAnsi="Times New Roman"/>
          <w:sz w:val="21"/>
          <w:szCs w:val="21"/>
        </w:rPr>
        <w:t>g</w:t>
      </w:r>
      <w:r>
        <w:rPr>
          <w:rFonts w:hint="eastAsia"/>
          <w:sz w:val="21"/>
          <w:szCs w:val="21"/>
        </w:rPr>
        <w:t>；</w:t>
      </w:r>
    </w:p>
    <w:p w14:paraId="2FC6BBEF">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R</w:t>
      </w:r>
      <w:r>
        <w:rPr>
          <w:rFonts w:hint="eastAsia" w:ascii="Times New Roman" w:hAnsi="Times New Roman"/>
          <w:sz w:val="21"/>
          <w:szCs w:val="21"/>
          <w:vertAlign w:val="subscript"/>
        </w:rPr>
        <w:t>S</w:t>
      </w:r>
      <w:r>
        <w:rPr>
          <w:rFonts w:hint="eastAsia" w:ascii="Times New Roman" w:hAnsi="Times New Roman"/>
          <w:sz w:val="21"/>
          <w:szCs w:val="21"/>
        </w:rPr>
        <w:t>—</w:t>
      </w:r>
      <w:r>
        <w:rPr>
          <w:rFonts w:hint="eastAsia"/>
          <w:sz w:val="21"/>
          <w:szCs w:val="21"/>
        </w:rPr>
        <w:t>预测评价范围内单位年份表层土壤中某种物质经径流排出的量，</w:t>
      </w:r>
      <w:r>
        <w:rPr>
          <w:rFonts w:hint="eastAsia" w:ascii="Times New Roman" w:hAnsi="Times New Roman"/>
          <w:sz w:val="21"/>
          <w:szCs w:val="21"/>
        </w:rPr>
        <w:t>g</w:t>
      </w:r>
      <w:r>
        <w:rPr>
          <w:rFonts w:hint="eastAsia"/>
          <w:sz w:val="21"/>
          <w:szCs w:val="21"/>
        </w:rPr>
        <w:t>；</w:t>
      </w:r>
    </w:p>
    <w:p w14:paraId="76248282">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ρ</w:t>
      </w:r>
      <w:r>
        <w:rPr>
          <w:rFonts w:hint="eastAsia" w:ascii="Times New Roman" w:hAnsi="Times New Roman"/>
          <w:sz w:val="21"/>
          <w:szCs w:val="21"/>
          <w:vertAlign w:val="subscript"/>
        </w:rPr>
        <w:t>b</w:t>
      </w:r>
      <w:r>
        <w:rPr>
          <w:rFonts w:hint="eastAsia" w:ascii="Times New Roman" w:hAnsi="Times New Roman"/>
          <w:sz w:val="21"/>
          <w:szCs w:val="21"/>
        </w:rPr>
        <w:t>—</w:t>
      </w:r>
      <w:r>
        <w:rPr>
          <w:rFonts w:hint="eastAsia"/>
          <w:sz w:val="21"/>
          <w:szCs w:val="21"/>
        </w:rPr>
        <w:t>表层土壤容重，</w:t>
      </w:r>
      <w:r>
        <w:rPr>
          <w:rFonts w:hint="eastAsia" w:ascii="Times New Roman" w:hAnsi="Times New Roman"/>
          <w:sz w:val="21"/>
          <w:szCs w:val="21"/>
        </w:rPr>
        <w:t>kg/m</w:t>
      </w:r>
      <w:r>
        <w:rPr>
          <w:rFonts w:hint="eastAsia" w:ascii="Times New Roman" w:hAnsi="Times New Roman"/>
          <w:sz w:val="21"/>
          <w:szCs w:val="21"/>
          <w:vertAlign w:val="superscript"/>
        </w:rPr>
        <w:t>3</w:t>
      </w:r>
      <w:r>
        <w:rPr>
          <w:rFonts w:hint="eastAsia"/>
          <w:sz w:val="21"/>
          <w:szCs w:val="21"/>
        </w:rPr>
        <w:t>；</w:t>
      </w:r>
    </w:p>
    <w:p w14:paraId="71AFA863">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A—</w:t>
      </w:r>
      <w:r>
        <w:rPr>
          <w:rFonts w:hint="eastAsia"/>
          <w:sz w:val="21"/>
          <w:szCs w:val="21"/>
        </w:rPr>
        <w:t>预测评价范围，</w:t>
      </w:r>
      <w:r>
        <w:rPr>
          <w:rFonts w:hint="eastAsia" w:ascii="Times New Roman" w:hAnsi="Times New Roman"/>
          <w:sz w:val="21"/>
          <w:szCs w:val="21"/>
        </w:rPr>
        <w:t>m</w:t>
      </w:r>
      <w:r>
        <w:rPr>
          <w:rFonts w:hint="eastAsia" w:ascii="Times New Roman" w:hAnsi="Times New Roman"/>
          <w:sz w:val="21"/>
          <w:szCs w:val="21"/>
          <w:vertAlign w:val="superscript"/>
        </w:rPr>
        <w:t>2</w:t>
      </w:r>
      <w:r>
        <w:rPr>
          <w:rFonts w:hint="eastAsia"/>
          <w:sz w:val="21"/>
          <w:szCs w:val="21"/>
        </w:rPr>
        <w:t>；</w:t>
      </w:r>
    </w:p>
    <w:p w14:paraId="7ADBE535">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D—</w:t>
      </w:r>
      <w:r>
        <w:rPr>
          <w:rFonts w:hint="eastAsia"/>
          <w:sz w:val="21"/>
          <w:szCs w:val="21"/>
        </w:rPr>
        <w:t>表层土壤深度，一般取</w:t>
      </w:r>
      <w:r>
        <w:rPr>
          <w:rFonts w:hint="eastAsia" w:ascii="Times New Roman" w:hAnsi="Times New Roman"/>
          <w:sz w:val="21"/>
          <w:szCs w:val="21"/>
        </w:rPr>
        <w:t>0.2m</w:t>
      </w:r>
      <w:r>
        <w:rPr>
          <w:rFonts w:hint="eastAsia"/>
          <w:sz w:val="21"/>
          <w:szCs w:val="21"/>
        </w:rPr>
        <w:t>，可根据实际情况适当调整；</w:t>
      </w:r>
    </w:p>
    <w:p w14:paraId="60F51D36">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n—</w:t>
      </w:r>
      <w:r>
        <w:rPr>
          <w:rFonts w:hint="eastAsia"/>
          <w:sz w:val="21"/>
          <w:szCs w:val="21"/>
        </w:rPr>
        <w:t>持续年份，</w:t>
      </w:r>
      <w:r>
        <w:rPr>
          <w:rFonts w:hint="eastAsia" w:ascii="Times New Roman" w:hAnsi="Times New Roman"/>
          <w:sz w:val="21"/>
          <w:szCs w:val="21"/>
        </w:rPr>
        <w:t>a</w:t>
      </w:r>
      <w:r>
        <w:rPr>
          <w:rFonts w:hint="eastAsia"/>
          <w:sz w:val="21"/>
          <w:szCs w:val="21"/>
        </w:rPr>
        <w:t>。</w:t>
      </w:r>
    </w:p>
    <w:p w14:paraId="366E7D4E">
      <w:pPr>
        <w:overflowPunct w:val="0"/>
        <w:spacing w:line="360" w:lineRule="auto"/>
        <w:ind w:firstLine="480" w:firstLineChars="200"/>
        <w:rPr>
          <w:rFonts w:ascii="Times New Roman" w:hAnsi="Times New Roman"/>
          <w:szCs w:val="21"/>
        </w:rPr>
      </w:pPr>
      <w:r>
        <w:rPr>
          <w:rFonts w:hint="eastAsia"/>
          <w:szCs w:val="21"/>
        </w:rPr>
        <w:t>根据土壤导则附录</w:t>
      </w:r>
      <w:r>
        <w:rPr>
          <w:rFonts w:hint="eastAsia" w:ascii="Times New Roman" w:hAnsi="Times New Roman"/>
          <w:szCs w:val="21"/>
        </w:rPr>
        <w:t>E</w:t>
      </w:r>
      <w:r>
        <w:rPr>
          <w:rFonts w:hint="eastAsia"/>
          <w:szCs w:val="21"/>
        </w:rPr>
        <w:t>，项目涉及大气沉降影响的，可不考虑输出量，因此上述公式可简化为如下：</w:t>
      </w:r>
    </w:p>
    <w:p w14:paraId="47C9E743">
      <w:pPr>
        <w:overflowPunct w:val="0"/>
        <w:spacing w:line="360" w:lineRule="auto"/>
        <w:ind w:firstLine="480" w:firstLineChars="200"/>
        <w:jc w:val="center"/>
        <w:rPr>
          <w:rFonts w:ascii="Times New Roman" w:hAnsi="Times New Roman"/>
          <w:szCs w:val="21"/>
        </w:rPr>
      </w:pPr>
      <w:r>
        <w:rPr>
          <w:rFonts w:ascii="Times New Roman" w:hAnsi="Times New Roman"/>
          <w:szCs w:val="21"/>
        </w:rPr>
        <w:t>ΔS=n</w:t>
      </w:r>
      <w:r>
        <w:rPr>
          <w:rFonts w:hint="eastAsia"/>
          <w:szCs w:val="21"/>
        </w:rPr>
        <w:t>（</w:t>
      </w:r>
      <w:r>
        <w:rPr>
          <w:rFonts w:ascii="Times New Roman" w:hAnsi="Times New Roman"/>
          <w:szCs w:val="21"/>
        </w:rPr>
        <w:t>Is</w:t>
      </w:r>
      <w:r>
        <w:rPr>
          <w:rFonts w:hint="eastAsia"/>
          <w:szCs w:val="21"/>
        </w:rPr>
        <w:t>）</w:t>
      </w:r>
      <w:r>
        <w:rPr>
          <w:rFonts w:ascii="Times New Roman" w:hAnsi="Times New Roman"/>
          <w:szCs w:val="21"/>
        </w:rPr>
        <w:t>/</w:t>
      </w:r>
      <w:r>
        <w:rPr>
          <w:rFonts w:hint="eastAsia"/>
          <w:szCs w:val="21"/>
        </w:rPr>
        <w:t>（</w:t>
      </w:r>
      <w:r>
        <w:rPr>
          <w:rFonts w:ascii="Times New Roman" w:hAnsi="Times New Roman"/>
          <w:szCs w:val="21"/>
        </w:rPr>
        <w:t>ρ</w:t>
      </w:r>
      <w:r>
        <w:rPr>
          <w:rFonts w:ascii="Times New Roman" w:hAnsi="Times New Roman"/>
          <w:szCs w:val="21"/>
          <w:vertAlign w:val="subscript"/>
        </w:rPr>
        <w:t>b</w:t>
      </w:r>
      <w:r>
        <w:rPr>
          <w:rFonts w:ascii="Times New Roman" w:hAnsi="Times New Roman"/>
          <w:szCs w:val="21"/>
        </w:rPr>
        <w:t>×A×D</w:t>
      </w:r>
      <w:r>
        <w:rPr>
          <w:rFonts w:hint="eastAsia"/>
          <w:szCs w:val="21"/>
        </w:rPr>
        <w:t>）</w:t>
      </w:r>
    </w:p>
    <w:p w14:paraId="27B9CB96">
      <w:pPr>
        <w:overflowPunct w:val="0"/>
        <w:spacing w:line="360" w:lineRule="auto"/>
        <w:ind w:firstLine="480" w:firstLineChars="200"/>
        <w:rPr>
          <w:rFonts w:ascii="Times New Roman" w:hAnsi="Times New Roman"/>
          <w:szCs w:val="21"/>
        </w:rPr>
      </w:pPr>
      <w:r>
        <w:rPr>
          <w:rFonts w:hint="eastAsia"/>
          <w:szCs w:val="21"/>
        </w:rPr>
        <w:t>②单位质量土壤中某种物质的预测值可根据其增量叠加现状值进行计算，如下：</w:t>
      </w:r>
    </w:p>
    <w:p w14:paraId="1DC3EF98">
      <w:pPr>
        <w:overflowPunct w:val="0"/>
        <w:spacing w:line="360" w:lineRule="auto"/>
        <w:ind w:firstLine="480" w:firstLineChars="200"/>
        <w:jc w:val="center"/>
        <w:rPr>
          <w:rFonts w:ascii="Times New Roman" w:hAnsi="Times New Roman"/>
          <w:szCs w:val="21"/>
        </w:rPr>
      </w:pPr>
      <w:r>
        <w:rPr>
          <w:rFonts w:hint="eastAsia" w:ascii="Times New Roman" w:hAnsi="Times New Roman"/>
          <w:szCs w:val="21"/>
        </w:rPr>
        <w:t>S=S</w:t>
      </w:r>
      <w:r>
        <w:rPr>
          <w:rFonts w:hint="eastAsia" w:ascii="Times New Roman" w:hAnsi="Times New Roman"/>
          <w:szCs w:val="21"/>
          <w:vertAlign w:val="subscript"/>
        </w:rPr>
        <w:t>b</w:t>
      </w:r>
      <w:r>
        <w:rPr>
          <w:rFonts w:hint="eastAsia" w:ascii="Times New Roman" w:hAnsi="Times New Roman"/>
          <w:szCs w:val="21"/>
        </w:rPr>
        <w:t>+ΔS</w:t>
      </w:r>
    </w:p>
    <w:p w14:paraId="00CB533E">
      <w:pPr>
        <w:overflowPunct w:val="0"/>
        <w:spacing w:line="360" w:lineRule="auto"/>
        <w:ind w:firstLine="480" w:firstLineChars="200"/>
        <w:rPr>
          <w:rFonts w:ascii="Times New Roman" w:hAnsi="Times New Roman"/>
          <w:szCs w:val="21"/>
        </w:rPr>
      </w:pPr>
      <w:r>
        <w:rPr>
          <w:rFonts w:hint="eastAsia"/>
          <w:szCs w:val="21"/>
        </w:rPr>
        <w:t>式中：</w:t>
      </w:r>
    </w:p>
    <w:p w14:paraId="13452DC5">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S</w:t>
      </w:r>
      <w:r>
        <w:rPr>
          <w:rFonts w:hint="eastAsia" w:ascii="Times New Roman" w:hAnsi="Times New Roman"/>
          <w:sz w:val="21"/>
          <w:szCs w:val="21"/>
          <w:vertAlign w:val="subscript"/>
        </w:rPr>
        <w:t>b</w:t>
      </w:r>
      <w:r>
        <w:rPr>
          <w:rFonts w:hint="eastAsia" w:ascii="Times New Roman" w:hAnsi="Times New Roman"/>
          <w:sz w:val="21"/>
          <w:szCs w:val="21"/>
        </w:rPr>
        <w:t>—</w:t>
      </w:r>
      <w:r>
        <w:rPr>
          <w:rFonts w:hint="eastAsia"/>
          <w:sz w:val="21"/>
          <w:szCs w:val="21"/>
        </w:rPr>
        <w:t>单位质量土壤中某种物质的现状值，</w:t>
      </w:r>
      <w:r>
        <w:rPr>
          <w:rFonts w:hint="eastAsia" w:ascii="Times New Roman" w:hAnsi="Times New Roman"/>
          <w:sz w:val="21"/>
          <w:szCs w:val="21"/>
        </w:rPr>
        <w:t>g/kg</w:t>
      </w:r>
      <w:r>
        <w:rPr>
          <w:rFonts w:hint="eastAsia"/>
          <w:sz w:val="21"/>
          <w:szCs w:val="21"/>
        </w:rPr>
        <w:t>；</w:t>
      </w:r>
    </w:p>
    <w:p w14:paraId="5FF9938A">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S—</w:t>
      </w:r>
      <w:r>
        <w:rPr>
          <w:rFonts w:hint="eastAsia"/>
          <w:sz w:val="21"/>
          <w:szCs w:val="21"/>
        </w:rPr>
        <w:t>单位质量土壤中某种物质的预测值，</w:t>
      </w:r>
      <w:r>
        <w:rPr>
          <w:rFonts w:hint="eastAsia" w:ascii="Times New Roman" w:hAnsi="Times New Roman"/>
          <w:sz w:val="21"/>
          <w:szCs w:val="21"/>
        </w:rPr>
        <w:t>g/kg</w:t>
      </w:r>
      <w:r>
        <w:rPr>
          <w:rFonts w:hint="eastAsia"/>
          <w:sz w:val="21"/>
          <w:szCs w:val="21"/>
        </w:rPr>
        <w:t>。</w:t>
      </w:r>
    </w:p>
    <w:p w14:paraId="049E0A96">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6</w:t>
      </w:r>
      <w:r>
        <w:rPr>
          <w:rFonts w:hint="eastAsia"/>
          <w:szCs w:val="21"/>
        </w:rPr>
        <w:t>）预测结果</w:t>
      </w:r>
    </w:p>
    <w:p w14:paraId="3E08D86F">
      <w:pPr>
        <w:overflowPunct w:val="0"/>
        <w:spacing w:line="360" w:lineRule="auto"/>
        <w:ind w:firstLine="480" w:firstLineChars="200"/>
        <w:rPr>
          <w:rFonts w:ascii="Times New Roman" w:hAnsi="Times New Roman"/>
          <w:szCs w:val="21"/>
        </w:rPr>
      </w:pPr>
      <w:r>
        <w:rPr>
          <w:rFonts w:hint="eastAsia" w:ascii="Times New Roman" w:hAnsi="Times New Roman"/>
          <w:szCs w:val="21"/>
        </w:rPr>
        <w:t>假设所有硫酸雾均沉降于评价范围内，氢离子通过已经损坏的防漏层垂直入渗进入土壤环境，</w:t>
      </w:r>
      <w:r>
        <w:rPr>
          <w:rFonts w:ascii="Times New Roman" w:hAnsi="Times New Roman"/>
          <w:szCs w:val="21"/>
        </w:rPr>
        <w:t>H</w:t>
      </w:r>
      <w:r>
        <w:rPr>
          <w:rFonts w:hint="eastAsia" w:ascii="Times New Roman" w:hAnsi="Times New Roman"/>
          <w:szCs w:val="21"/>
        </w:rPr>
        <w:t>离子入渗量约0.05t。</w:t>
      </w:r>
    </w:p>
    <w:p w14:paraId="74640026">
      <w:pPr>
        <w:overflowPunct w:val="0"/>
        <w:spacing w:line="360" w:lineRule="auto"/>
        <w:ind w:firstLine="480" w:firstLineChars="200"/>
        <w:rPr>
          <w:rFonts w:ascii="Times New Roman" w:hAnsi="Times New Roman"/>
          <w:szCs w:val="21"/>
        </w:rPr>
      </w:pPr>
      <w:r>
        <w:rPr>
          <w:rFonts w:hint="eastAsia" w:ascii="Times New Roman" w:hAnsi="Times New Roman"/>
          <w:szCs w:val="21"/>
        </w:rPr>
        <w:t>根据计算，土壤H离子增量见表</w:t>
      </w:r>
      <w:r>
        <w:rPr>
          <w:rFonts w:ascii="Times New Roman" w:hAnsi="Times New Roman"/>
          <w:szCs w:val="21"/>
        </w:rPr>
        <w:t>5.8</w:t>
      </w:r>
      <w:r>
        <w:rPr>
          <w:rFonts w:hint="eastAsia" w:ascii="Times New Roman" w:hAnsi="Times New Roman"/>
          <w:szCs w:val="21"/>
        </w:rPr>
        <w:t>.3-2：</w:t>
      </w:r>
    </w:p>
    <w:p w14:paraId="3B66AC3D">
      <w:pPr>
        <w:spacing w:line="360" w:lineRule="auto"/>
        <w:jc w:val="center"/>
        <w:rPr>
          <w:rFonts w:hint="eastAsia" w:ascii="黑体" w:hAnsi="黑体" w:eastAsia="黑体"/>
          <w:b/>
        </w:rPr>
      </w:pPr>
      <w:r>
        <w:rPr>
          <w:rFonts w:hint="eastAsia" w:ascii="黑体" w:hAnsi="黑体" w:eastAsia="黑体"/>
          <w:b/>
        </w:rPr>
        <w:t>表</w:t>
      </w:r>
      <w:r>
        <w:rPr>
          <w:rFonts w:ascii="黑体" w:hAnsi="黑体" w:eastAsia="黑体"/>
          <w:b/>
        </w:rPr>
        <w:t>5.8</w:t>
      </w:r>
      <w:r>
        <w:rPr>
          <w:rFonts w:hint="eastAsia" w:ascii="黑体" w:hAnsi="黑体" w:eastAsia="黑体"/>
          <w:b/>
        </w:rPr>
        <w:t>.3</w:t>
      </w:r>
      <w:r>
        <w:rPr>
          <w:rFonts w:ascii="黑体" w:hAnsi="黑体" w:eastAsia="黑体"/>
          <w:b/>
        </w:rPr>
        <w:t>-</w:t>
      </w:r>
      <w:r>
        <w:rPr>
          <w:rFonts w:hint="eastAsia" w:ascii="黑体" w:hAnsi="黑体" w:eastAsia="黑体"/>
          <w:b/>
        </w:rPr>
        <w:t>2</w:t>
      </w:r>
      <w:r>
        <w:rPr>
          <w:rFonts w:ascii="黑体" w:hAnsi="黑体" w:eastAsia="黑体"/>
          <w:b/>
        </w:rPr>
        <w:t xml:space="preserve">   </w:t>
      </w:r>
      <w:r>
        <w:rPr>
          <w:rFonts w:hint="eastAsia" w:ascii="黑体" w:hAnsi="黑体" w:eastAsia="黑体"/>
          <w:b/>
        </w:rPr>
        <w:t>项目土壤</w:t>
      </w:r>
      <w:r>
        <w:rPr>
          <w:rFonts w:ascii="黑体" w:hAnsi="黑体" w:eastAsia="黑体"/>
          <w:b/>
        </w:rPr>
        <w:t>H</w:t>
      </w:r>
      <w:r>
        <w:rPr>
          <w:rFonts w:hint="eastAsia" w:ascii="黑体" w:hAnsi="黑体" w:eastAsia="黑体"/>
          <w:b/>
        </w:rPr>
        <w:t>离子增量预测结果一览表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087"/>
        <w:gridCol w:w="895"/>
        <w:gridCol w:w="1327"/>
        <w:gridCol w:w="1142"/>
        <w:gridCol w:w="1093"/>
        <w:gridCol w:w="1088"/>
        <w:gridCol w:w="1127"/>
      </w:tblGrid>
      <w:tr w14:paraId="68B7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4" w:type="dxa"/>
            <w:vAlign w:val="center"/>
          </w:tcPr>
          <w:p w14:paraId="6CEA728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序号</w:t>
            </w:r>
          </w:p>
        </w:tc>
        <w:tc>
          <w:tcPr>
            <w:tcW w:w="1182" w:type="dxa"/>
            <w:vAlign w:val="center"/>
          </w:tcPr>
          <w:p w14:paraId="7937B09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物质</w:t>
            </w:r>
          </w:p>
        </w:tc>
        <w:tc>
          <w:tcPr>
            <w:tcW w:w="945" w:type="dxa"/>
            <w:vAlign w:val="center"/>
          </w:tcPr>
          <w:p w14:paraId="687EF9F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输入量t/a</w:t>
            </w:r>
          </w:p>
        </w:tc>
        <w:tc>
          <w:tcPr>
            <w:tcW w:w="1420" w:type="dxa"/>
            <w:vAlign w:val="center"/>
          </w:tcPr>
          <w:p w14:paraId="6A48092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表层土壤容重kg/m</w:t>
            </w:r>
            <w:r>
              <w:rPr>
                <w:rFonts w:hint="eastAsia" w:ascii="Times New Roman" w:hAnsi="Times New Roman" w:cs="Times New Roman"/>
                <w:bCs/>
                <w:snapToGrid w:val="0"/>
                <w:sz w:val="18"/>
                <w:szCs w:val="18"/>
                <w:u w:color="000000"/>
                <w:vertAlign w:val="superscript"/>
              </w:rPr>
              <w:t>3</w:t>
            </w:r>
          </w:p>
        </w:tc>
        <w:tc>
          <w:tcPr>
            <w:tcW w:w="1183" w:type="dxa"/>
            <w:vAlign w:val="center"/>
          </w:tcPr>
          <w:p w14:paraId="68937B7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预测评价范围m</w:t>
            </w:r>
            <w:r>
              <w:rPr>
                <w:rFonts w:hint="eastAsia" w:ascii="Times New Roman" w:hAnsi="Times New Roman" w:cs="Times New Roman"/>
                <w:bCs/>
                <w:snapToGrid w:val="0"/>
                <w:sz w:val="18"/>
                <w:szCs w:val="18"/>
                <w:u w:color="000000"/>
                <w:vertAlign w:val="superscript"/>
              </w:rPr>
              <w:t>2</w:t>
            </w:r>
          </w:p>
        </w:tc>
        <w:tc>
          <w:tcPr>
            <w:tcW w:w="1182" w:type="dxa"/>
            <w:vAlign w:val="center"/>
          </w:tcPr>
          <w:p w14:paraId="7CF3CEA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土壤深度m</w:t>
            </w:r>
          </w:p>
        </w:tc>
        <w:tc>
          <w:tcPr>
            <w:tcW w:w="1183" w:type="dxa"/>
            <w:vAlign w:val="center"/>
          </w:tcPr>
          <w:p w14:paraId="304BE1B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持续年份a</w:t>
            </w:r>
          </w:p>
        </w:tc>
        <w:tc>
          <w:tcPr>
            <w:tcW w:w="1183" w:type="dxa"/>
            <w:vAlign w:val="center"/>
          </w:tcPr>
          <w:p w14:paraId="6A20004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增量g/kg</w:t>
            </w:r>
          </w:p>
        </w:tc>
      </w:tr>
      <w:tr w14:paraId="5F58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4" w:type="dxa"/>
            <w:vAlign w:val="center"/>
          </w:tcPr>
          <w:p w14:paraId="6264212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p>
        </w:tc>
        <w:tc>
          <w:tcPr>
            <w:tcW w:w="1182" w:type="dxa"/>
            <w:vAlign w:val="center"/>
          </w:tcPr>
          <w:p w14:paraId="365808B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H</w:t>
            </w:r>
          </w:p>
        </w:tc>
        <w:tc>
          <w:tcPr>
            <w:tcW w:w="945" w:type="dxa"/>
            <w:vAlign w:val="center"/>
          </w:tcPr>
          <w:p w14:paraId="6A54305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0.05</w:t>
            </w:r>
          </w:p>
        </w:tc>
        <w:tc>
          <w:tcPr>
            <w:tcW w:w="1420" w:type="dxa"/>
            <w:vAlign w:val="center"/>
          </w:tcPr>
          <w:p w14:paraId="3AD0941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1410</w:t>
            </w:r>
          </w:p>
        </w:tc>
        <w:tc>
          <w:tcPr>
            <w:tcW w:w="1183" w:type="dxa"/>
            <w:vAlign w:val="center"/>
          </w:tcPr>
          <w:p w14:paraId="6ECD04B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7636000</w:t>
            </w:r>
          </w:p>
        </w:tc>
        <w:tc>
          <w:tcPr>
            <w:tcW w:w="1182" w:type="dxa"/>
            <w:vAlign w:val="center"/>
          </w:tcPr>
          <w:p w14:paraId="4A3A2D8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0.2</w:t>
            </w:r>
          </w:p>
        </w:tc>
        <w:tc>
          <w:tcPr>
            <w:tcW w:w="1183" w:type="dxa"/>
            <w:vAlign w:val="center"/>
          </w:tcPr>
          <w:p w14:paraId="34F1807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50</w:t>
            </w:r>
          </w:p>
        </w:tc>
        <w:tc>
          <w:tcPr>
            <w:tcW w:w="1183" w:type="dxa"/>
            <w:vAlign w:val="center"/>
          </w:tcPr>
          <w:p w14:paraId="2FDA28B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0.0012</w:t>
            </w:r>
          </w:p>
        </w:tc>
      </w:tr>
    </w:tbl>
    <w:p w14:paraId="57F0A34D">
      <w:pPr>
        <w:widowControl w:val="0"/>
        <w:autoSpaceDE w:val="0"/>
        <w:autoSpaceDN w:val="0"/>
        <w:adjustRightInd w:val="0"/>
        <w:jc w:val="center"/>
        <w:rPr>
          <w:rFonts w:ascii="Times New Roman" w:hAnsi="Times New Roman" w:cs="Times New Roman"/>
          <w:bCs/>
          <w:snapToGrid w:val="0"/>
          <w:sz w:val="18"/>
          <w:szCs w:val="18"/>
          <w:u w:color="000000"/>
        </w:rPr>
      </w:pPr>
    </w:p>
    <w:p w14:paraId="45B595B7">
      <w:pPr>
        <w:overflowPunct w:val="0"/>
        <w:spacing w:line="360" w:lineRule="auto"/>
        <w:ind w:firstLine="480" w:firstLineChars="200"/>
        <w:rPr>
          <w:rFonts w:ascii="Times New Roman" w:hAnsi="Times New Roman"/>
          <w:szCs w:val="21"/>
        </w:rPr>
      </w:pPr>
      <w:r>
        <w:rPr>
          <w:rFonts w:hint="eastAsia" w:ascii="Times New Roman" w:hAnsi="Times New Roman"/>
          <w:szCs w:val="21"/>
        </w:rPr>
        <w:t>本次硫酸泄漏后表层土壤</w:t>
      </w:r>
      <w:r>
        <w:rPr>
          <w:rFonts w:ascii="Times New Roman" w:hAnsi="Times New Roman"/>
          <w:szCs w:val="21"/>
        </w:rPr>
        <w:t>pH</w:t>
      </w:r>
      <w:r>
        <w:rPr>
          <w:rFonts w:hint="eastAsia" w:ascii="Times New Roman" w:hAnsi="Times New Roman"/>
          <w:szCs w:val="21"/>
        </w:rPr>
        <w:t>值的预测值，可根据《环境影响评价技术导则 土壤环境（试行）》（</w:t>
      </w:r>
      <w:r>
        <w:rPr>
          <w:rFonts w:ascii="Times New Roman" w:hAnsi="Times New Roman"/>
          <w:szCs w:val="21"/>
        </w:rPr>
        <w:t>HJ 964-2018</w:t>
      </w:r>
      <w:r>
        <w:rPr>
          <w:rFonts w:hint="eastAsia" w:ascii="Times New Roman" w:hAnsi="Times New Roman"/>
          <w:szCs w:val="21"/>
        </w:rPr>
        <w:t>）附录</w:t>
      </w:r>
      <w:r>
        <w:rPr>
          <w:rFonts w:ascii="Times New Roman" w:hAnsi="Times New Roman"/>
          <w:szCs w:val="21"/>
        </w:rPr>
        <w:t>E</w:t>
      </w:r>
      <w:r>
        <w:rPr>
          <w:rFonts w:hint="eastAsia" w:ascii="Times New Roman" w:hAnsi="Times New Roman"/>
          <w:szCs w:val="21"/>
        </w:rPr>
        <w:t>中的</w:t>
      </w:r>
      <w:r>
        <w:rPr>
          <w:rFonts w:ascii="Times New Roman" w:hAnsi="Times New Roman"/>
          <w:szCs w:val="21"/>
        </w:rPr>
        <w:t>E.3</w:t>
      </w:r>
      <w:r>
        <w:rPr>
          <w:rFonts w:hint="eastAsia" w:ascii="Times New Roman" w:hAnsi="Times New Roman"/>
          <w:szCs w:val="21"/>
        </w:rPr>
        <w:t>公式进行计算，如下：</w:t>
      </w:r>
    </w:p>
    <w:p w14:paraId="623D7807">
      <w:pPr>
        <w:spacing w:line="360" w:lineRule="auto"/>
        <w:jc w:val="center"/>
        <w:rPr>
          <w:rFonts w:ascii="Times New Roman" w:hAnsi="Times New Roman" w:cs="Times New Roman"/>
        </w:rPr>
      </w:pPr>
      <w:r>
        <w:rPr>
          <w:rFonts w:ascii="Times New Roman" w:hAnsi="Times New Roman" w:cs="Times New Roman"/>
        </w:rPr>
        <w:t>pH=pH</w:t>
      </w:r>
      <w:r>
        <w:rPr>
          <w:rFonts w:ascii="Times New Roman" w:hAnsi="Times New Roman" w:cs="Times New Roman"/>
          <w:vertAlign w:val="subscript"/>
        </w:rPr>
        <w:t>b</w:t>
      </w:r>
      <w:r>
        <w:rPr>
          <w:rFonts w:ascii="Times New Roman" w:hAnsi="Times New Roman" w:cs="Times New Roman"/>
        </w:rPr>
        <w:t>-ΔS/BC</w:t>
      </w:r>
      <w:r>
        <w:rPr>
          <w:rFonts w:ascii="Times New Roman" w:hAnsi="Times New Roman" w:cs="Times New Roman"/>
          <w:vertAlign w:val="subscript"/>
        </w:rPr>
        <w:t>pH</w:t>
      </w:r>
    </w:p>
    <w:p w14:paraId="6B32899E">
      <w:pPr>
        <w:spacing w:line="360" w:lineRule="auto"/>
        <w:ind w:firstLine="478" w:firstLineChars="228"/>
        <w:rPr>
          <w:rFonts w:hint="eastAsia" w:ascii="Times New Roman"/>
          <w:sz w:val="21"/>
          <w:szCs w:val="21"/>
        </w:rPr>
      </w:pPr>
      <w:r>
        <w:rPr>
          <w:rFonts w:hint="eastAsia" w:ascii="Times New Roman"/>
          <w:sz w:val="21"/>
          <w:szCs w:val="21"/>
          <w:lang w:val="zh-CN"/>
        </w:rPr>
        <w:t>式中</w:t>
      </w:r>
      <w:r>
        <w:rPr>
          <w:rFonts w:hint="eastAsia" w:ascii="Times New Roman"/>
          <w:sz w:val="21"/>
          <w:szCs w:val="21"/>
        </w:rPr>
        <w:t>：pH</w:t>
      </w:r>
      <w:r>
        <w:rPr>
          <w:rFonts w:hint="eastAsia" w:ascii="Times New Roman"/>
          <w:sz w:val="21"/>
          <w:szCs w:val="21"/>
          <w:vertAlign w:val="subscript"/>
        </w:rPr>
        <w:t>b</w:t>
      </w:r>
      <w:r>
        <w:rPr>
          <w:rFonts w:hint="eastAsia" w:ascii="Times New Roman"/>
          <w:sz w:val="21"/>
          <w:szCs w:val="21"/>
        </w:rPr>
        <w:t>——</w:t>
      </w:r>
      <w:r>
        <w:rPr>
          <w:rFonts w:hint="eastAsia" w:ascii="Times New Roman"/>
          <w:sz w:val="21"/>
          <w:szCs w:val="21"/>
          <w:lang w:val="zh-CN"/>
        </w:rPr>
        <w:t>土壤</w:t>
      </w:r>
      <w:r>
        <w:rPr>
          <w:rFonts w:hint="eastAsia" w:ascii="Times New Roman"/>
          <w:sz w:val="21"/>
          <w:szCs w:val="21"/>
        </w:rPr>
        <w:t>pH</w:t>
      </w:r>
      <w:r>
        <w:rPr>
          <w:rFonts w:hint="eastAsia" w:ascii="Times New Roman"/>
          <w:sz w:val="21"/>
          <w:szCs w:val="21"/>
          <w:lang w:val="zh-CN"/>
        </w:rPr>
        <w:t>现状值</w:t>
      </w:r>
      <w:r>
        <w:rPr>
          <w:rFonts w:hint="eastAsia" w:ascii="Times New Roman"/>
          <w:sz w:val="21"/>
          <w:szCs w:val="21"/>
        </w:rPr>
        <w:t>；</w:t>
      </w:r>
    </w:p>
    <w:p w14:paraId="0CD673E1">
      <w:pPr>
        <w:spacing w:line="360" w:lineRule="auto"/>
        <w:ind w:firstLine="1260" w:firstLineChars="600"/>
        <w:rPr>
          <w:rFonts w:hint="eastAsia" w:ascii="Times New Roman"/>
          <w:sz w:val="21"/>
          <w:szCs w:val="21"/>
        </w:rPr>
      </w:pPr>
      <w:r>
        <w:rPr>
          <w:rFonts w:hint="eastAsia" w:ascii="Times New Roman"/>
          <w:sz w:val="21"/>
          <w:szCs w:val="21"/>
        </w:rPr>
        <w:t>BC</w:t>
      </w:r>
      <w:r>
        <w:rPr>
          <w:rFonts w:hint="eastAsia" w:ascii="Times New Roman"/>
          <w:sz w:val="21"/>
          <w:szCs w:val="21"/>
          <w:vertAlign w:val="subscript"/>
        </w:rPr>
        <w:t>pH</w:t>
      </w:r>
      <w:r>
        <w:rPr>
          <w:rFonts w:hint="eastAsia" w:ascii="Times New Roman"/>
          <w:sz w:val="21"/>
          <w:szCs w:val="21"/>
        </w:rPr>
        <w:t>——</w:t>
      </w:r>
      <w:r>
        <w:rPr>
          <w:rFonts w:hint="eastAsia" w:ascii="Times New Roman"/>
          <w:sz w:val="21"/>
          <w:szCs w:val="21"/>
          <w:lang w:val="zh-CN"/>
        </w:rPr>
        <w:t>缓冲容重</w:t>
      </w:r>
      <w:r>
        <w:rPr>
          <w:rFonts w:hint="eastAsia" w:ascii="Times New Roman"/>
          <w:sz w:val="21"/>
          <w:szCs w:val="21"/>
        </w:rPr>
        <w:t>，mmol/（kg·pH）；</w:t>
      </w:r>
    </w:p>
    <w:p w14:paraId="1A282D6C">
      <w:pPr>
        <w:spacing w:line="360" w:lineRule="auto"/>
        <w:ind w:firstLine="1260" w:firstLineChars="600"/>
        <w:rPr>
          <w:rFonts w:hint="eastAsia" w:ascii="Times New Roman"/>
          <w:sz w:val="21"/>
          <w:szCs w:val="21"/>
          <w:lang w:val="zh-CN"/>
        </w:rPr>
      </w:pPr>
      <w:r>
        <w:rPr>
          <w:rFonts w:hint="eastAsia" w:ascii="Times New Roman"/>
          <w:sz w:val="21"/>
          <w:szCs w:val="21"/>
          <w:lang w:val="zh-CN"/>
        </w:rPr>
        <w:t>pH——土壤pH预测值；</w:t>
      </w:r>
    </w:p>
    <w:p w14:paraId="126341EF">
      <w:pPr>
        <w:overflowPunct w:val="0"/>
        <w:spacing w:line="360" w:lineRule="auto"/>
        <w:ind w:firstLine="480" w:firstLineChars="200"/>
        <w:rPr>
          <w:rFonts w:ascii="Times New Roman" w:hAnsi="Times New Roman"/>
          <w:szCs w:val="21"/>
        </w:rPr>
      </w:pPr>
      <w:r>
        <w:rPr>
          <w:rFonts w:hint="eastAsia" w:ascii="Times New Roman" w:hAnsi="Times New Roman"/>
          <w:szCs w:val="21"/>
        </w:rPr>
        <w:t>根据研究人员对</w:t>
      </w:r>
      <w:r>
        <w:rPr>
          <w:rFonts w:ascii="Times New Roman" w:hAnsi="Times New Roman"/>
          <w:szCs w:val="21"/>
        </w:rPr>
        <w:t>1%</w:t>
      </w:r>
      <w:r>
        <w:rPr>
          <w:rFonts w:hint="eastAsia" w:ascii="Times New Roman" w:hAnsi="Times New Roman"/>
          <w:szCs w:val="21"/>
        </w:rPr>
        <w:t>高岭土、</w:t>
      </w:r>
      <w:r>
        <w:rPr>
          <w:rFonts w:ascii="Times New Roman" w:hAnsi="Times New Roman"/>
          <w:szCs w:val="21"/>
        </w:rPr>
        <w:t>2.5%</w:t>
      </w:r>
      <w:r>
        <w:rPr>
          <w:rFonts w:hint="eastAsia" w:ascii="Times New Roman" w:hAnsi="Times New Roman"/>
          <w:szCs w:val="21"/>
        </w:rPr>
        <w:t>高岭土、</w:t>
      </w:r>
      <w:r>
        <w:rPr>
          <w:rFonts w:ascii="Times New Roman" w:hAnsi="Times New Roman"/>
          <w:szCs w:val="21"/>
        </w:rPr>
        <w:t>5%</w:t>
      </w:r>
      <w:r>
        <w:rPr>
          <w:rFonts w:hint="eastAsia" w:ascii="Times New Roman" w:hAnsi="Times New Roman"/>
          <w:szCs w:val="21"/>
        </w:rPr>
        <w:t>高岭土、</w:t>
      </w:r>
      <w:r>
        <w:rPr>
          <w:rFonts w:ascii="Times New Roman" w:hAnsi="Times New Roman"/>
          <w:szCs w:val="21"/>
        </w:rPr>
        <w:t>7.5%</w:t>
      </w:r>
      <w:r>
        <w:rPr>
          <w:rFonts w:hint="eastAsia" w:ascii="Times New Roman" w:hAnsi="Times New Roman"/>
          <w:szCs w:val="21"/>
        </w:rPr>
        <w:t>高岭土、</w:t>
      </w:r>
      <w:r>
        <w:rPr>
          <w:rFonts w:ascii="Times New Roman" w:hAnsi="Times New Roman"/>
          <w:szCs w:val="21"/>
        </w:rPr>
        <w:t>1%CaCO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2.5%CaCO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5%CaCO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7.5%CaCO</w:t>
      </w:r>
      <w:r>
        <w:rPr>
          <w:rFonts w:ascii="Times New Roman" w:hAnsi="Times New Roman"/>
          <w:szCs w:val="21"/>
          <w:vertAlign w:val="subscript"/>
        </w:rPr>
        <w:t>3</w:t>
      </w:r>
      <w:r>
        <w:rPr>
          <w:rFonts w:hint="eastAsia" w:ascii="Times New Roman" w:hAnsi="Times New Roman"/>
          <w:szCs w:val="21"/>
        </w:rPr>
        <w:t>等各类土壤的研究显示，其缓冲量分别为</w:t>
      </w:r>
      <w:r>
        <w:rPr>
          <w:rFonts w:ascii="Times New Roman" w:hAnsi="Times New Roman"/>
          <w:szCs w:val="21"/>
        </w:rPr>
        <w:t>0.399</w:t>
      </w:r>
      <w:r>
        <w:rPr>
          <w:rFonts w:hint="eastAsia" w:ascii="Times New Roman" w:hAnsi="Times New Roman"/>
          <w:szCs w:val="21"/>
        </w:rPr>
        <w:t>、</w:t>
      </w:r>
      <w:r>
        <w:rPr>
          <w:rFonts w:ascii="Times New Roman" w:hAnsi="Times New Roman"/>
          <w:szCs w:val="21"/>
        </w:rPr>
        <w:t>0.315</w:t>
      </w:r>
      <w:r>
        <w:rPr>
          <w:rFonts w:hint="eastAsia" w:ascii="Times New Roman" w:hAnsi="Times New Roman"/>
          <w:szCs w:val="21"/>
        </w:rPr>
        <w:t>、</w:t>
      </w:r>
      <w:r>
        <w:rPr>
          <w:rFonts w:ascii="Times New Roman" w:hAnsi="Times New Roman"/>
          <w:szCs w:val="21"/>
        </w:rPr>
        <w:t>0.287</w:t>
      </w:r>
      <w:r>
        <w:rPr>
          <w:rFonts w:hint="eastAsia" w:ascii="Times New Roman" w:hAnsi="Times New Roman"/>
          <w:szCs w:val="21"/>
        </w:rPr>
        <w:t>、</w:t>
      </w:r>
      <w:r>
        <w:rPr>
          <w:rFonts w:ascii="Times New Roman" w:hAnsi="Times New Roman"/>
          <w:szCs w:val="21"/>
        </w:rPr>
        <w:t>0.242</w:t>
      </w:r>
      <w:r>
        <w:rPr>
          <w:rFonts w:hint="eastAsia" w:ascii="Times New Roman" w:hAnsi="Times New Roman"/>
          <w:szCs w:val="21"/>
        </w:rPr>
        <w:t>、</w:t>
      </w:r>
      <w:r>
        <w:rPr>
          <w:rFonts w:ascii="Times New Roman" w:hAnsi="Times New Roman"/>
          <w:szCs w:val="21"/>
        </w:rPr>
        <w:t>0.391</w:t>
      </w:r>
      <w:r>
        <w:rPr>
          <w:rFonts w:hint="eastAsia" w:ascii="Times New Roman" w:hAnsi="Times New Roman"/>
          <w:szCs w:val="21"/>
        </w:rPr>
        <w:t>、</w:t>
      </w:r>
      <w:r>
        <w:rPr>
          <w:rFonts w:ascii="Times New Roman" w:hAnsi="Times New Roman"/>
          <w:szCs w:val="21"/>
        </w:rPr>
        <w:t>0.326</w:t>
      </w:r>
      <w:r>
        <w:rPr>
          <w:rFonts w:hint="eastAsia" w:ascii="Times New Roman" w:hAnsi="Times New Roman"/>
          <w:szCs w:val="21"/>
        </w:rPr>
        <w:t>、</w:t>
      </w:r>
      <w:r>
        <w:rPr>
          <w:rFonts w:ascii="Times New Roman" w:hAnsi="Times New Roman"/>
          <w:szCs w:val="21"/>
        </w:rPr>
        <w:t>0.261</w:t>
      </w:r>
      <w:r>
        <w:rPr>
          <w:rFonts w:hint="eastAsia" w:ascii="Times New Roman" w:hAnsi="Times New Roman"/>
          <w:szCs w:val="21"/>
        </w:rPr>
        <w:t>、</w:t>
      </w:r>
      <w:r>
        <w:rPr>
          <w:rFonts w:ascii="Times New Roman" w:hAnsi="Times New Roman"/>
          <w:szCs w:val="21"/>
        </w:rPr>
        <w:t>0.238</w:t>
      </w:r>
      <w:r>
        <w:rPr>
          <w:rFonts w:hint="eastAsia" w:ascii="Times New Roman" w:hAnsi="Times New Roman"/>
          <w:szCs w:val="21"/>
        </w:rPr>
        <w:t>，即土壤中的石灰石、腐殖质的含量等会影响土壤缓冲容量。石灰石比例越大，土壤缓冲容量就越小；腐殖质含量越多，土壤缓冲容量就越大。本项目所在区域的土壤腐殖质较少，石灰石含量较大，</w:t>
      </w:r>
      <w:r>
        <w:rPr>
          <w:rFonts w:ascii="Times New Roman" w:hAnsi="Times New Roman"/>
          <w:szCs w:val="21"/>
        </w:rPr>
        <w:t>BC</w:t>
      </w:r>
      <w:r>
        <w:rPr>
          <w:rFonts w:ascii="Times New Roman" w:hAnsi="Times New Roman"/>
          <w:szCs w:val="21"/>
          <w:vertAlign w:val="subscript"/>
        </w:rPr>
        <w:t>PH</w:t>
      </w:r>
      <w:r>
        <w:rPr>
          <w:rFonts w:hint="eastAsia" w:ascii="Times New Roman" w:hAnsi="Times New Roman"/>
          <w:szCs w:val="21"/>
        </w:rPr>
        <w:t>土壤容重类比取</w:t>
      </w:r>
      <w:r>
        <w:rPr>
          <w:rFonts w:ascii="Times New Roman" w:hAnsi="Times New Roman"/>
          <w:szCs w:val="21"/>
        </w:rPr>
        <w:t>0.242</w:t>
      </w:r>
      <w:r>
        <w:rPr>
          <w:rFonts w:hint="eastAsia" w:ascii="Times New Roman" w:hAnsi="Times New Roman"/>
          <w:szCs w:val="21"/>
        </w:rPr>
        <w:t>。</w:t>
      </w:r>
    </w:p>
    <w:p w14:paraId="04E51C0F">
      <w:pPr>
        <w:overflowPunct w:val="0"/>
        <w:spacing w:line="360" w:lineRule="auto"/>
        <w:ind w:firstLine="480" w:firstLineChars="200"/>
        <w:rPr>
          <w:rFonts w:ascii="Times New Roman" w:hAnsi="Times New Roman"/>
          <w:szCs w:val="21"/>
        </w:rPr>
      </w:pPr>
      <w:r>
        <w:rPr>
          <w:rFonts w:hint="eastAsia" w:ascii="Times New Roman" w:hAnsi="Times New Roman"/>
          <w:szCs w:val="21"/>
        </w:rPr>
        <w:t>因此，</w:t>
      </w:r>
      <w:r>
        <w:rPr>
          <w:rFonts w:ascii="Times New Roman" w:hAnsi="Times New Roman"/>
          <w:szCs w:val="21"/>
        </w:rPr>
        <w:t>pH=</w:t>
      </w:r>
      <w:r>
        <w:rPr>
          <w:rFonts w:hint="eastAsia" w:ascii="Times New Roman" w:hAnsi="Times New Roman"/>
          <w:szCs w:val="21"/>
        </w:rPr>
        <w:t>7.48</w:t>
      </w:r>
      <w:r>
        <w:rPr>
          <w:rFonts w:ascii="Times New Roman" w:hAnsi="Times New Roman"/>
          <w:szCs w:val="21"/>
        </w:rPr>
        <w:t>-</w:t>
      </w:r>
      <w:r>
        <w:rPr>
          <w:rFonts w:hint="eastAsia" w:ascii="Times New Roman" w:hAnsi="Times New Roman"/>
          <w:szCs w:val="21"/>
        </w:rPr>
        <w:t>0.0012</w:t>
      </w:r>
      <w:r>
        <w:rPr>
          <w:rFonts w:ascii="Times New Roman" w:hAnsi="Times New Roman"/>
          <w:szCs w:val="21"/>
        </w:rPr>
        <w:t>/0.242=</w:t>
      </w:r>
      <w:r>
        <w:rPr>
          <w:rFonts w:hint="eastAsia" w:ascii="Times New Roman" w:hAnsi="Times New Roman"/>
          <w:szCs w:val="21"/>
        </w:rPr>
        <w:t>7.475</w:t>
      </w:r>
    </w:p>
    <w:p w14:paraId="647221B2">
      <w:pPr>
        <w:overflowPunct w:val="0"/>
        <w:spacing w:line="360" w:lineRule="auto"/>
        <w:ind w:firstLine="480" w:firstLineChars="200"/>
        <w:rPr>
          <w:rFonts w:ascii="Times New Roman" w:hAnsi="Times New Roman"/>
          <w:szCs w:val="21"/>
        </w:rPr>
      </w:pPr>
      <w:r>
        <w:rPr>
          <w:rFonts w:hint="eastAsia" w:ascii="Times New Roman" w:hAnsi="Times New Roman"/>
          <w:szCs w:val="21"/>
        </w:rPr>
        <w:t>根据预测结果可以看出，硫酸泄漏对表层土壤pH值影响较小。</w:t>
      </w:r>
    </w:p>
    <w:bookmarkEnd w:id="360"/>
    <w:bookmarkEnd w:id="362"/>
    <w:bookmarkEnd w:id="363"/>
    <w:p w14:paraId="098396FD">
      <w:pPr>
        <w:keepNext/>
        <w:keepLines/>
        <w:numPr>
          <w:ilvl w:val="3"/>
          <w:numId w:val="1"/>
        </w:numPr>
        <w:spacing w:line="360" w:lineRule="auto"/>
        <w:ind w:left="0"/>
        <w:outlineLvl w:val="3"/>
        <w:rPr>
          <w:rFonts w:hint="eastAsia" w:ascii="黑体" w:hAnsi="黑体" w:eastAsia="黑体"/>
          <w:b/>
          <w:bCs/>
          <w:kern w:val="2"/>
        </w:rPr>
      </w:pPr>
      <w:bookmarkStart w:id="364" w:name="_Hlk150859576"/>
      <w:r>
        <w:rPr>
          <w:rFonts w:hint="eastAsia" w:ascii="黑体" w:hAnsi="黑体" w:eastAsia="黑体"/>
          <w:b/>
          <w:bCs/>
          <w:kern w:val="2"/>
        </w:rPr>
        <w:t>垂直入渗</w:t>
      </w:r>
      <w:bookmarkEnd w:id="364"/>
    </w:p>
    <w:p w14:paraId="18441BEA">
      <w:pPr>
        <w:numPr>
          <w:ilvl w:val="4"/>
          <w:numId w:val="1"/>
        </w:numPr>
        <w:overflowPunct w:val="0"/>
        <w:spacing w:line="360" w:lineRule="auto"/>
        <w:ind w:left="283"/>
        <w:outlineLvl w:val="4"/>
        <w:rPr>
          <w:rFonts w:hint="eastAsia" w:ascii="黑体" w:hAnsi="黑体" w:eastAsia="黑体"/>
          <w:b/>
        </w:rPr>
      </w:pPr>
      <w:r>
        <w:rPr>
          <w:rFonts w:hint="eastAsia" w:ascii="黑体" w:hAnsi="黑体" w:eastAsia="黑体"/>
          <w:b/>
        </w:rPr>
        <w:t>污水泄漏</w:t>
      </w:r>
    </w:p>
    <w:p w14:paraId="07EF95BC">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1</w:t>
      </w:r>
      <w:r>
        <w:rPr>
          <w:rFonts w:hint="eastAsia"/>
          <w:szCs w:val="21"/>
        </w:rPr>
        <w:t>）预测模型</w:t>
      </w:r>
    </w:p>
    <w:p w14:paraId="0D5009D8">
      <w:pPr>
        <w:overflowPunct w:val="0"/>
        <w:spacing w:line="360" w:lineRule="auto"/>
        <w:ind w:firstLine="480" w:firstLineChars="200"/>
        <w:rPr>
          <w:rFonts w:ascii="Times New Roman" w:hAnsi="Times New Roman"/>
          <w:szCs w:val="21"/>
        </w:rPr>
      </w:pPr>
      <w:r>
        <w:rPr>
          <w:rFonts w:hint="eastAsia"/>
          <w:szCs w:val="21"/>
        </w:rPr>
        <w:t>水处理构筑物内污水垂直入渗对土壤环境的污染影响采用一维非饱和溶质运动模型：</w:t>
      </w:r>
    </w:p>
    <w:p w14:paraId="52964DF4">
      <w:pPr>
        <w:overflowPunct w:val="0"/>
        <w:spacing w:line="360" w:lineRule="auto"/>
        <w:ind w:firstLine="480" w:firstLineChars="200"/>
        <w:rPr>
          <w:rFonts w:ascii="Times New Roman" w:hAnsi="Times New Roman"/>
          <w:szCs w:val="21"/>
        </w:rPr>
      </w:pPr>
      <w:r>
        <w:rPr>
          <w:rFonts w:hint="eastAsia"/>
          <w:szCs w:val="21"/>
        </w:rPr>
        <w:t>一维非饱和溶质垂向运移控制方程如下式所示：</w:t>
      </w:r>
    </w:p>
    <w:p w14:paraId="6B39631A">
      <w:pPr>
        <w:ind w:firstLine="480"/>
        <w:jc w:val="center"/>
        <w:rPr>
          <w:rFonts w:hint="eastAsia"/>
        </w:rPr>
      </w:pPr>
      <w:r>
        <w:drawing>
          <wp:inline distT="0" distB="0" distL="0" distR="0">
            <wp:extent cx="1880235" cy="426085"/>
            <wp:effectExtent l="0" t="0" r="5715" b="0"/>
            <wp:docPr id="792785218"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85218" name="图片 3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892051" cy="429181"/>
                    </a:xfrm>
                    <a:prstGeom prst="rect">
                      <a:avLst/>
                    </a:prstGeom>
                    <a:noFill/>
                    <a:ln>
                      <a:noFill/>
                    </a:ln>
                  </pic:spPr>
                </pic:pic>
              </a:graphicData>
            </a:graphic>
          </wp:inline>
        </w:drawing>
      </w:r>
    </w:p>
    <w:p w14:paraId="139BD801">
      <w:pPr>
        <w:overflowPunct w:val="0"/>
        <w:spacing w:line="360" w:lineRule="auto"/>
        <w:ind w:firstLine="480" w:firstLineChars="200"/>
        <w:rPr>
          <w:rFonts w:ascii="Times New Roman" w:hAnsi="Times New Roman"/>
          <w:szCs w:val="21"/>
        </w:rPr>
      </w:pPr>
      <w:r>
        <w:rPr>
          <w:rFonts w:hint="eastAsia"/>
          <w:szCs w:val="21"/>
        </w:rPr>
        <w:t>式中：</w:t>
      </w:r>
    </w:p>
    <w:p w14:paraId="5CBA6611">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c—</w:t>
      </w:r>
      <w:r>
        <w:rPr>
          <w:rFonts w:hint="eastAsia"/>
          <w:sz w:val="21"/>
          <w:szCs w:val="21"/>
        </w:rPr>
        <w:t>污染物在包气带介质中的浓度，</w:t>
      </w:r>
      <w:r>
        <w:rPr>
          <w:rFonts w:hint="eastAsia" w:ascii="Times New Roman" w:hAnsi="Times New Roman"/>
          <w:sz w:val="21"/>
          <w:szCs w:val="21"/>
        </w:rPr>
        <w:t>mg/L</w:t>
      </w:r>
      <w:r>
        <w:rPr>
          <w:rFonts w:hint="eastAsia"/>
          <w:sz w:val="21"/>
          <w:szCs w:val="21"/>
        </w:rPr>
        <w:t>；</w:t>
      </w:r>
    </w:p>
    <w:p w14:paraId="75EA93DB">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D—</w:t>
      </w:r>
      <w:r>
        <w:rPr>
          <w:rFonts w:hint="eastAsia"/>
          <w:sz w:val="21"/>
          <w:szCs w:val="21"/>
        </w:rPr>
        <w:t>包气带的弥散系数，</w:t>
      </w:r>
      <w:r>
        <w:rPr>
          <w:rFonts w:hint="eastAsia" w:ascii="Times New Roman" w:hAnsi="Times New Roman"/>
          <w:sz w:val="21"/>
          <w:szCs w:val="21"/>
        </w:rPr>
        <w:t>m</w:t>
      </w:r>
      <w:r>
        <w:rPr>
          <w:rFonts w:ascii="Times New Roman" w:hAnsi="Times New Roman"/>
          <w:sz w:val="21"/>
          <w:szCs w:val="21"/>
        </w:rPr>
        <w:t>²</w:t>
      </w:r>
      <w:r>
        <w:rPr>
          <w:rFonts w:hint="eastAsia" w:ascii="Times New Roman" w:hAnsi="Times New Roman"/>
          <w:sz w:val="21"/>
          <w:szCs w:val="21"/>
        </w:rPr>
        <w:t>/d</w:t>
      </w:r>
      <w:r>
        <w:rPr>
          <w:rFonts w:hint="eastAsia"/>
          <w:sz w:val="21"/>
          <w:szCs w:val="21"/>
        </w:rPr>
        <w:t>；</w:t>
      </w:r>
    </w:p>
    <w:p w14:paraId="43373829">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q—</w:t>
      </w:r>
      <w:r>
        <w:rPr>
          <w:rFonts w:hint="eastAsia"/>
          <w:sz w:val="21"/>
          <w:szCs w:val="21"/>
        </w:rPr>
        <w:t>包气带中水流的实际速度，</w:t>
      </w:r>
      <w:r>
        <w:rPr>
          <w:rFonts w:hint="eastAsia" w:ascii="Times New Roman" w:hAnsi="Times New Roman"/>
          <w:sz w:val="21"/>
          <w:szCs w:val="21"/>
        </w:rPr>
        <w:t>m/d</w:t>
      </w:r>
      <w:r>
        <w:rPr>
          <w:rFonts w:hint="eastAsia"/>
          <w:sz w:val="21"/>
          <w:szCs w:val="21"/>
        </w:rPr>
        <w:t>；</w:t>
      </w:r>
    </w:p>
    <w:p w14:paraId="3872639F">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z</w:t>
      </w:r>
      <w:r>
        <w:rPr>
          <w:rFonts w:ascii="Times New Roman" w:hAnsi="Times New Roman"/>
          <w:sz w:val="21"/>
          <w:szCs w:val="21"/>
        </w:rPr>
        <w:t>—</w:t>
      </w:r>
      <w:r>
        <w:rPr>
          <w:rFonts w:hint="eastAsia"/>
          <w:sz w:val="21"/>
          <w:szCs w:val="21"/>
        </w:rPr>
        <w:t>沿</w:t>
      </w:r>
      <w:r>
        <w:rPr>
          <w:rFonts w:hint="eastAsia" w:ascii="Times New Roman" w:hAnsi="Times New Roman"/>
          <w:sz w:val="21"/>
          <w:szCs w:val="21"/>
        </w:rPr>
        <w:t>z</w:t>
      </w:r>
      <w:r>
        <w:rPr>
          <w:rFonts w:hint="eastAsia"/>
          <w:sz w:val="21"/>
          <w:szCs w:val="21"/>
        </w:rPr>
        <w:t>轴的距离，</w:t>
      </w:r>
      <w:r>
        <w:rPr>
          <w:rFonts w:hint="eastAsia" w:ascii="Times New Roman" w:hAnsi="Times New Roman"/>
          <w:sz w:val="21"/>
          <w:szCs w:val="21"/>
        </w:rPr>
        <w:t>m</w:t>
      </w:r>
      <w:r>
        <w:rPr>
          <w:rFonts w:hint="eastAsia"/>
          <w:sz w:val="21"/>
          <w:szCs w:val="21"/>
        </w:rPr>
        <w:t>；</w:t>
      </w:r>
    </w:p>
    <w:p w14:paraId="1764A5BA">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t—</w:t>
      </w:r>
      <w:r>
        <w:rPr>
          <w:rFonts w:hint="eastAsia"/>
          <w:sz w:val="21"/>
          <w:szCs w:val="21"/>
        </w:rPr>
        <w:t>时间变量，</w:t>
      </w:r>
      <w:r>
        <w:rPr>
          <w:rFonts w:hint="eastAsia" w:ascii="Times New Roman" w:hAnsi="Times New Roman"/>
          <w:sz w:val="21"/>
          <w:szCs w:val="21"/>
        </w:rPr>
        <w:t>d</w:t>
      </w:r>
      <w:r>
        <w:rPr>
          <w:rFonts w:hint="eastAsia"/>
          <w:sz w:val="21"/>
          <w:szCs w:val="21"/>
        </w:rPr>
        <w:t>；</w:t>
      </w:r>
    </w:p>
    <w:p w14:paraId="0B3697AE">
      <w:pPr>
        <w:overflowPunct w:val="0"/>
        <w:spacing w:line="360" w:lineRule="auto"/>
        <w:ind w:firstLine="1260" w:firstLineChars="600"/>
        <w:rPr>
          <w:rFonts w:ascii="Times New Roman" w:hAnsi="Times New Roman"/>
          <w:sz w:val="21"/>
          <w:szCs w:val="21"/>
        </w:rPr>
      </w:pPr>
      <w:r>
        <w:rPr>
          <w:rFonts w:hint="eastAsia" w:ascii="Times New Roman" w:hAnsi="Times New Roman"/>
          <w:sz w:val="21"/>
          <w:szCs w:val="21"/>
        </w:rPr>
        <w:t>θ—</w:t>
      </w:r>
      <w:r>
        <w:rPr>
          <w:rFonts w:hint="eastAsia"/>
          <w:sz w:val="21"/>
          <w:szCs w:val="21"/>
        </w:rPr>
        <w:t>土壤含水率，</w:t>
      </w:r>
      <w:r>
        <w:rPr>
          <w:rFonts w:hint="eastAsia" w:ascii="Times New Roman" w:hAnsi="Times New Roman"/>
          <w:sz w:val="21"/>
          <w:szCs w:val="21"/>
        </w:rPr>
        <w:t>%</w:t>
      </w:r>
      <w:r>
        <w:rPr>
          <w:rFonts w:hint="eastAsia"/>
          <w:sz w:val="21"/>
          <w:szCs w:val="21"/>
        </w:rPr>
        <w:t>。</w:t>
      </w:r>
    </w:p>
    <w:p w14:paraId="4865B026">
      <w:pPr>
        <w:overflowPunct w:val="0"/>
        <w:spacing w:line="360" w:lineRule="auto"/>
        <w:ind w:firstLine="480" w:firstLineChars="200"/>
        <w:rPr>
          <w:rFonts w:ascii="Times New Roman" w:hAnsi="Times New Roman"/>
          <w:szCs w:val="21"/>
        </w:rPr>
      </w:pPr>
      <w:r>
        <w:rPr>
          <w:rFonts w:hint="eastAsia"/>
          <w:szCs w:val="21"/>
        </w:rPr>
        <w:t>初始条件：</w:t>
      </w:r>
    </w:p>
    <w:p w14:paraId="002375A7">
      <w:pPr>
        <w:overflowPunct w:val="0"/>
        <w:spacing w:line="360" w:lineRule="auto"/>
        <w:ind w:firstLine="480" w:firstLineChars="200"/>
        <w:jc w:val="center"/>
        <w:rPr>
          <w:rFonts w:ascii="Times New Roman" w:hAnsi="Times New Roman"/>
          <w:szCs w:val="21"/>
        </w:rPr>
      </w:pPr>
      <w:r>
        <w:rPr>
          <w:rFonts w:hint="eastAsia" w:ascii="Times New Roman" w:hAnsi="Times New Roman"/>
          <w:szCs w:val="21"/>
        </w:rPr>
        <w:t>c</w:t>
      </w:r>
      <w:r>
        <w:rPr>
          <w:rFonts w:hint="eastAsia"/>
          <w:szCs w:val="21"/>
        </w:rPr>
        <w:t>（</w:t>
      </w:r>
      <w:r>
        <w:rPr>
          <w:rFonts w:hint="eastAsia" w:ascii="Times New Roman" w:hAnsi="Times New Roman"/>
          <w:szCs w:val="21"/>
        </w:rPr>
        <w:t>z</w:t>
      </w:r>
      <w:r>
        <w:rPr>
          <w:rFonts w:hint="eastAsia"/>
          <w:szCs w:val="21"/>
        </w:rPr>
        <w:t>，</w:t>
      </w:r>
      <w:r>
        <w:rPr>
          <w:rFonts w:hint="eastAsia" w:ascii="Times New Roman" w:hAnsi="Times New Roman"/>
          <w:szCs w:val="21"/>
        </w:rPr>
        <w:t>t</w:t>
      </w:r>
      <w:r>
        <w:rPr>
          <w:rFonts w:hint="eastAsia"/>
          <w:szCs w:val="21"/>
        </w:rPr>
        <w:t>）</w:t>
      </w:r>
      <w:r>
        <w:rPr>
          <w:rFonts w:hint="eastAsia" w:ascii="Times New Roman" w:hAnsi="Times New Roman"/>
          <w:szCs w:val="21"/>
        </w:rPr>
        <w:t>=0   t=0</w:t>
      </w:r>
      <w:r>
        <w:rPr>
          <w:rFonts w:hint="eastAsia"/>
          <w:szCs w:val="21"/>
        </w:rPr>
        <w:t>，</w:t>
      </w:r>
      <w:r>
        <w:rPr>
          <w:rFonts w:hint="eastAsia" w:ascii="Times New Roman" w:hAnsi="Times New Roman"/>
          <w:szCs w:val="21"/>
        </w:rPr>
        <w:t>L</w:t>
      </w:r>
      <w:r>
        <w:rPr>
          <w:rFonts w:ascii="Times New Roman" w:hAnsi="Times New Roman"/>
          <w:szCs w:val="21"/>
        </w:rPr>
        <w:t>≤</w:t>
      </w:r>
      <w:r>
        <w:rPr>
          <w:rFonts w:hint="eastAsia" w:ascii="Times New Roman" w:hAnsi="Times New Roman"/>
          <w:szCs w:val="21"/>
        </w:rPr>
        <w:t>z&lt;0</w:t>
      </w:r>
    </w:p>
    <w:p w14:paraId="6B6544F5">
      <w:pPr>
        <w:overflowPunct w:val="0"/>
        <w:spacing w:line="360" w:lineRule="auto"/>
        <w:ind w:firstLine="480" w:firstLineChars="200"/>
        <w:rPr>
          <w:rFonts w:ascii="Times New Roman" w:hAnsi="Times New Roman"/>
          <w:szCs w:val="21"/>
        </w:rPr>
      </w:pPr>
      <w:r>
        <w:rPr>
          <w:rFonts w:hint="eastAsia"/>
          <w:szCs w:val="21"/>
        </w:rPr>
        <w:t>边界条件：</w:t>
      </w:r>
    </w:p>
    <w:p w14:paraId="27135B2D">
      <w:pPr>
        <w:overflowPunct w:val="0"/>
        <w:spacing w:line="360" w:lineRule="auto"/>
        <w:ind w:firstLine="480" w:firstLineChars="200"/>
        <w:rPr>
          <w:rFonts w:ascii="Times New Roman" w:hAnsi="Times New Roman"/>
          <w:szCs w:val="21"/>
        </w:rPr>
      </w:pPr>
      <w:r>
        <w:rPr>
          <w:rFonts w:hint="eastAsia"/>
          <w:szCs w:val="21"/>
        </w:rPr>
        <w:t>第一类</w:t>
      </w:r>
      <w:r>
        <w:rPr>
          <w:rFonts w:hint="eastAsia" w:ascii="Times New Roman" w:hAnsi="Times New Roman"/>
          <w:szCs w:val="21"/>
        </w:rPr>
        <w:t>Dirichlet</w:t>
      </w:r>
      <w:r>
        <w:rPr>
          <w:rFonts w:hint="eastAsia"/>
          <w:szCs w:val="21"/>
        </w:rPr>
        <w:t>边界条件：</w:t>
      </w:r>
    </w:p>
    <w:p w14:paraId="2C9D8C10">
      <w:pPr>
        <w:overflowPunct w:val="0"/>
        <w:spacing w:line="360" w:lineRule="auto"/>
        <w:ind w:firstLine="480" w:firstLineChars="200"/>
        <w:rPr>
          <w:rFonts w:ascii="Times New Roman" w:hAnsi="Times New Roman"/>
          <w:szCs w:val="21"/>
        </w:rPr>
      </w:pPr>
      <w:r>
        <w:rPr>
          <w:rFonts w:hint="eastAsia"/>
          <w:szCs w:val="21"/>
        </w:rPr>
        <w:t>连续点源：</w:t>
      </w:r>
      <w:r>
        <w:rPr>
          <w:rFonts w:hint="eastAsia" w:ascii="Times New Roman" w:hAnsi="Times New Roman"/>
          <w:szCs w:val="21"/>
        </w:rPr>
        <w:t>c</w:t>
      </w:r>
      <w:r>
        <w:rPr>
          <w:rFonts w:hint="eastAsia"/>
          <w:szCs w:val="21"/>
        </w:rPr>
        <w:t>（</w:t>
      </w:r>
      <w:r>
        <w:rPr>
          <w:rFonts w:hint="eastAsia" w:ascii="Times New Roman" w:hAnsi="Times New Roman"/>
          <w:szCs w:val="21"/>
        </w:rPr>
        <w:t>z</w:t>
      </w:r>
      <w:r>
        <w:rPr>
          <w:rFonts w:hint="eastAsia"/>
          <w:szCs w:val="21"/>
        </w:rPr>
        <w:t>，</w:t>
      </w:r>
      <w:r>
        <w:rPr>
          <w:rFonts w:hint="eastAsia" w:ascii="Times New Roman" w:hAnsi="Times New Roman"/>
          <w:szCs w:val="21"/>
        </w:rPr>
        <w:t>t</w:t>
      </w:r>
      <w:r>
        <w:rPr>
          <w:rFonts w:hint="eastAsia"/>
          <w:szCs w:val="21"/>
        </w:rPr>
        <w:t>）</w:t>
      </w:r>
      <w:r>
        <w:rPr>
          <w:rFonts w:hint="eastAsia" w:ascii="Times New Roman" w:hAnsi="Times New Roman"/>
          <w:szCs w:val="21"/>
        </w:rPr>
        <w:t>=c</w:t>
      </w:r>
      <w:r>
        <w:rPr>
          <w:rFonts w:hint="eastAsia" w:ascii="Times New Roman" w:hAnsi="Times New Roman"/>
          <w:szCs w:val="21"/>
          <w:vertAlign w:val="subscript"/>
        </w:rPr>
        <w:t>0</w:t>
      </w:r>
      <w:r>
        <w:rPr>
          <w:rFonts w:hint="eastAsia"/>
          <w:szCs w:val="21"/>
        </w:rPr>
        <w:t>（</w:t>
      </w:r>
      <w:r>
        <w:rPr>
          <w:rFonts w:hint="eastAsia" w:ascii="Times New Roman" w:hAnsi="Times New Roman"/>
          <w:szCs w:val="21"/>
        </w:rPr>
        <w:t>t</w:t>
      </w:r>
      <w:r>
        <w:rPr>
          <w:rFonts w:hint="eastAsia"/>
          <w:szCs w:val="21"/>
        </w:rPr>
        <w:t>＞</w:t>
      </w:r>
      <w:r>
        <w:rPr>
          <w:rFonts w:hint="eastAsia" w:ascii="Times New Roman" w:hAnsi="Times New Roman"/>
          <w:szCs w:val="21"/>
        </w:rPr>
        <w:t>0</w:t>
      </w:r>
      <w:r>
        <w:rPr>
          <w:rFonts w:hint="eastAsia"/>
          <w:szCs w:val="21"/>
        </w:rPr>
        <w:t>，</w:t>
      </w:r>
      <w:r>
        <w:rPr>
          <w:rFonts w:hint="eastAsia" w:ascii="Times New Roman" w:hAnsi="Times New Roman"/>
          <w:szCs w:val="21"/>
        </w:rPr>
        <w:t>z=0</w:t>
      </w:r>
      <w:r>
        <w:rPr>
          <w:rFonts w:hint="eastAsia"/>
          <w:szCs w:val="21"/>
        </w:rPr>
        <w:t>）</w:t>
      </w:r>
    </w:p>
    <w:p w14:paraId="33131CED">
      <w:pPr>
        <w:overflowPunct w:val="0"/>
        <w:spacing w:line="360" w:lineRule="auto"/>
        <w:ind w:firstLine="480" w:firstLineChars="200"/>
        <w:rPr>
          <w:rFonts w:ascii="Times New Roman" w:hAnsi="Times New Roman"/>
          <w:szCs w:val="21"/>
        </w:rPr>
      </w:pPr>
      <w:r>
        <w:rPr>
          <w:rFonts w:hint="eastAsia"/>
          <w:szCs w:val="21"/>
        </w:rPr>
        <w:t>非连续点源：</w:t>
      </w:r>
      <w:r>
        <w:rPr>
          <w:rFonts w:ascii="Times New Roman" w:hAnsi="Times New Roman"/>
          <w:szCs w:val="21"/>
        </w:rPr>
        <w:drawing>
          <wp:inline distT="0" distB="0" distL="0" distR="0">
            <wp:extent cx="1871345" cy="472440"/>
            <wp:effectExtent l="0" t="0" r="0" b="3810"/>
            <wp:docPr id="590189129"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9129" name="图片 3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883343" cy="475546"/>
                    </a:xfrm>
                    <a:prstGeom prst="rect">
                      <a:avLst/>
                    </a:prstGeom>
                    <a:noFill/>
                    <a:ln>
                      <a:noFill/>
                    </a:ln>
                  </pic:spPr>
                </pic:pic>
              </a:graphicData>
            </a:graphic>
          </wp:inline>
        </w:drawing>
      </w:r>
    </w:p>
    <w:p w14:paraId="7F498523">
      <w:pPr>
        <w:overflowPunct w:val="0"/>
        <w:spacing w:line="360" w:lineRule="auto"/>
        <w:ind w:firstLine="480" w:firstLineChars="200"/>
        <w:rPr>
          <w:rFonts w:ascii="Times New Roman" w:hAnsi="Times New Roman"/>
          <w:szCs w:val="21"/>
        </w:rPr>
      </w:pPr>
      <w:r>
        <w:rPr>
          <w:rFonts w:hint="eastAsia"/>
          <w:szCs w:val="21"/>
        </w:rPr>
        <w:t>第二类</w:t>
      </w:r>
      <w:r>
        <w:rPr>
          <w:rFonts w:hint="eastAsia" w:ascii="Times New Roman" w:hAnsi="Times New Roman"/>
          <w:szCs w:val="21"/>
        </w:rPr>
        <w:t>Neumann</w:t>
      </w:r>
      <w:r>
        <w:rPr>
          <w:rFonts w:hint="eastAsia"/>
          <w:szCs w:val="21"/>
        </w:rPr>
        <w:t>零梯度边界：</w:t>
      </w:r>
    </w:p>
    <w:p w14:paraId="42859623">
      <w:pPr>
        <w:overflowPunct w:val="0"/>
        <w:spacing w:line="360" w:lineRule="auto"/>
        <w:ind w:firstLine="480" w:firstLineChars="200"/>
        <w:jc w:val="center"/>
        <w:rPr>
          <w:rFonts w:ascii="Times New Roman" w:hAnsi="Times New Roman"/>
          <w:szCs w:val="21"/>
        </w:rPr>
      </w:pPr>
      <w:r>
        <w:rPr>
          <w:rFonts w:ascii="Times New Roman" w:hAnsi="Times New Roman"/>
          <w:szCs w:val="21"/>
        </w:rPr>
        <w:drawing>
          <wp:inline distT="0" distB="0" distL="0" distR="0">
            <wp:extent cx="1776730" cy="326390"/>
            <wp:effectExtent l="0" t="0" r="0" b="0"/>
            <wp:docPr id="28831717"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1717" name="图片 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85638" cy="328208"/>
                    </a:xfrm>
                    <a:prstGeom prst="rect">
                      <a:avLst/>
                    </a:prstGeom>
                    <a:noFill/>
                    <a:ln>
                      <a:noFill/>
                    </a:ln>
                  </pic:spPr>
                </pic:pic>
              </a:graphicData>
            </a:graphic>
          </wp:inline>
        </w:drawing>
      </w:r>
    </w:p>
    <w:p w14:paraId="19DD9176">
      <w:pPr>
        <w:overflowPunct w:val="0"/>
        <w:spacing w:line="360" w:lineRule="auto"/>
        <w:ind w:firstLine="480" w:firstLineChars="200"/>
        <w:rPr>
          <w:rFonts w:ascii="Times New Roman" w:hAnsi="Times New Roman"/>
          <w:szCs w:val="21"/>
        </w:rPr>
      </w:pPr>
      <w:r>
        <w:rPr>
          <w:rFonts w:hint="eastAsia"/>
          <w:szCs w:val="21"/>
        </w:rPr>
        <w:t>（</w:t>
      </w:r>
      <w:r>
        <w:rPr>
          <w:rFonts w:hint="eastAsia" w:ascii="Times New Roman" w:hAnsi="Times New Roman"/>
          <w:szCs w:val="21"/>
        </w:rPr>
        <w:t>2</w:t>
      </w:r>
      <w:r>
        <w:rPr>
          <w:rFonts w:hint="eastAsia"/>
          <w:szCs w:val="21"/>
        </w:rPr>
        <w:t>）情景设置</w:t>
      </w:r>
    </w:p>
    <w:p w14:paraId="6422200D">
      <w:pPr>
        <w:overflowPunct w:val="0"/>
        <w:spacing w:line="360" w:lineRule="auto"/>
        <w:ind w:firstLine="480" w:firstLineChars="200"/>
        <w:rPr>
          <w:rFonts w:ascii="Times New Roman" w:hAnsi="Times New Roman"/>
          <w:szCs w:val="21"/>
        </w:rPr>
      </w:pPr>
      <w:r>
        <w:rPr>
          <w:rFonts w:hint="eastAsia" w:ascii="Times New Roman" w:hAnsi="Times New Roman"/>
          <w:szCs w:val="21"/>
        </w:rPr>
        <w:t>正常状况下，各种物料均在设备和管道内，污水均在管道和钢筋混凝土池内，不会有物料和污水渗漏至地下的情景发生，因此，本次土壤污染预测情景主要针对非正常状况事故情景进行设定。</w:t>
      </w:r>
    </w:p>
    <w:p w14:paraId="0C3477CE">
      <w:pPr>
        <w:overflowPunct w:val="0"/>
        <w:spacing w:line="360" w:lineRule="auto"/>
        <w:ind w:firstLine="480" w:firstLineChars="200"/>
        <w:rPr>
          <w:rFonts w:ascii="Times New Roman" w:hAnsi="Times New Roman"/>
          <w:szCs w:val="21"/>
        </w:rPr>
      </w:pPr>
      <w:r>
        <w:rPr>
          <w:rFonts w:hint="eastAsia" w:ascii="Times New Roman" w:hAnsi="Times New Roman"/>
          <w:szCs w:val="21"/>
        </w:rPr>
        <w:t>在非正常状况下，以垂直入渗方式对土壤环境造成影响装置和设施主要是厂区的各种污水收集池。</w:t>
      </w:r>
    </w:p>
    <w:p w14:paraId="53E4CE96">
      <w:pPr>
        <w:overflowPunct w:val="0"/>
        <w:spacing w:line="360" w:lineRule="auto"/>
        <w:ind w:firstLine="480" w:firstLineChars="200"/>
        <w:rPr>
          <w:rFonts w:ascii="Times New Roman" w:hAnsi="Times New Roman"/>
          <w:szCs w:val="21"/>
        </w:rPr>
      </w:pPr>
      <w:bookmarkStart w:id="365" w:name="_Hlk157101413"/>
      <w:r>
        <w:rPr>
          <w:rFonts w:hint="eastAsia" w:ascii="Times New Roman" w:hAnsi="Times New Roman"/>
          <w:szCs w:val="21"/>
        </w:rPr>
        <w:t>本次评价选取污水处理站综合调节池，废水通过垂直入渗方式排入土壤，废水中污染物主要为SS、BOD、COD、氯化物、硫化物、NH</w:t>
      </w:r>
      <w:r>
        <w:rPr>
          <w:rFonts w:hint="eastAsia" w:ascii="Times New Roman" w:hAnsi="Times New Roman"/>
          <w:szCs w:val="21"/>
          <w:vertAlign w:val="subscript"/>
        </w:rPr>
        <w:t>3</w:t>
      </w:r>
      <w:r>
        <w:rPr>
          <w:rFonts w:hint="eastAsia" w:ascii="Times New Roman" w:hAnsi="Times New Roman"/>
          <w:szCs w:val="21"/>
        </w:rPr>
        <w:t>-N、HCN、石油类。</w:t>
      </w:r>
    </w:p>
    <w:bookmarkEnd w:id="365"/>
    <w:p w14:paraId="0BD6258A">
      <w:pPr>
        <w:overflowPunct w:val="0"/>
        <w:spacing w:line="360" w:lineRule="auto"/>
        <w:ind w:firstLine="480" w:firstLineChars="200"/>
        <w:rPr>
          <w:rFonts w:ascii="Times New Roman" w:hAnsi="Times New Roman"/>
          <w:szCs w:val="21"/>
        </w:rPr>
      </w:pPr>
      <w:r>
        <w:rPr>
          <w:rFonts w:hint="eastAsia" w:ascii="Times New Roman" w:hAnsi="Times New Roman"/>
          <w:szCs w:val="21"/>
        </w:rPr>
        <w:t>本次土壤预测因子选择HCN、石油烃</w:t>
      </w:r>
    </w:p>
    <w:p w14:paraId="316AD8D4">
      <w:pPr>
        <w:overflowPunct w:val="0"/>
        <w:spacing w:line="360" w:lineRule="auto"/>
        <w:ind w:firstLine="480" w:firstLineChars="200"/>
        <w:rPr>
          <w:rFonts w:hint="eastAsia"/>
          <w:szCs w:val="21"/>
        </w:rPr>
      </w:pPr>
      <w:r>
        <w:rPr>
          <w:rFonts w:hint="eastAsia" w:ascii="Times New Roman" w:hAnsi="Times New Roman"/>
          <w:szCs w:val="21"/>
        </w:rPr>
        <w:t>假设非正常渗透量为1440m</w:t>
      </w:r>
      <w:r>
        <w:rPr>
          <w:rFonts w:hint="eastAsia" w:ascii="Times New Roman" w:hAnsi="Times New Roman"/>
          <w:szCs w:val="21"/>
          <w:vertAlign w:val="superscript"/>
        </w:rPr>
        <w:t>3</w:t>
      </w:r>
      <w:r>
        <w:rPr>
          <w:rFonts w:hint="eastAsia" w:ascii="Times New Roman" w:hAnsi="Times New Roman"/>
          <w:szCs w:val="21"/>
        </w:rPr>
        <w:t>/d；废水水质为：HCN为5.63mg/L、石油类为0.66mg/L。</w:t>
      </w:r>
    </w:p>
    <w:p w14:paraId="6B0D119B">
      <w:pPr>
        <w:overflowPunct w:val="0"/>
        <w:spacing w:line="360" w:lineRule="auto"/>
        <w:ind w:firstLine="480" w:firstLineChars="200"/>
        <w:rPr>
          <w:rFonts w:ascii="Times New Roman" w:hAnsi="Times New Roman"/>
          <w:szCs w:val="21"/>
        </w:rPr>
      </w:pPr>
      <w:r>
        <w:rPr>
          <w:rFonts w:hint="eastAsia"/>
          <w:szCs w:val="21"/>
        </w:rPr>
        <w:t>（</w:t>
      </w:r>
      <w:r>
        <w:rPr>
          <w:rFonts w:ascii="Times New Roman" w:hAnsi="Times New Roman"/>
          <w:szCs w:val="21"/>
        </w:rPr>
        <w:t>3</w:t>
      </w:r>
      <w:r>
        <w:rPr>
          <w:rFonts w:hint="eastAsia"/>
          <w:szCs w:val="21"/>
        </w:rPr>
        <w:t>）土壤环境影响预测</w:t>
      </w:r>
    </w:p>
    <w:p w14:paraId="6F696A48">
      <w:pPr>
        <w:overflowPunct w:val="0"/>
        <w:spacing w:line="360" w:lineRule="auto"/>
        <w:ind w:firstLine="480" w:firstLineChars="200"/>
        <w:rPr>
          <w:rFonts w:ascii="Times New Roman" w:hAnsi="Times New Roman"/>
          <w:szCs w:val="21"/>
        </w:rPr>
      </w:pPr>
      <w:r>
        <w:rPr>
          <w:rFonts w:hint="eastAsia" w:ascii="Times New Roman" w:hAnsi="Times New Roman"/>
          <w:szCs w:val="21"/>
        </w:rPr>
        <w:t>①软件选取</w:t>
      </w:r>
    </w:p>
    <w:p w14:paraId="3A1F397A">
      <w:pPr>
        <w:overflowPunct w:val="0"/>
        <w:spacing w:line="360" w:lineRule="auto"/>
        <w:ind w:firstLine="480" w:firstLineChars="200"/>
        <w:rPr>
          <w:rFonts w:ascii="Times New Roman" w:hAnsi="Times New Roman"/>
          <w:szCs w:val="21"/>
        </w:rPr>
      </w:pPr>
      <w:r>
        <w:rPr>
          <w:rFonts w:hint="eastAsia" w:ascii="Times New Roman" w:hAnsi="Times New Roman"/>
          <w:szCs w:val="21"/>
        </w:rPr>
        <w:t>在本次评价中应用HYDRUS软件求解非饱和带中的水分与溶质迁移方程。HYDRUS是由美国国家盐改中心（US Salinity laboratory）于1991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他地下水、地表水模型相结合，从宏观上分析水资源的转化规律。后经过众多学者的开发研究，HYDRUS的功能更加完善，已经非常成功地应用于世界各地地下饱和、非饱和带污染物运移研究。</w:t>
      </w:r>
    </w:p>
    <w:p w14:paraId="5AECD7C2">
      <w:pPr>
        <w:overflowPunct w:val="0"/>
        <w:spacing w:line="360" w:lineRule="auto"/>
        <w:ind w:firstLine="480" w:firstLineChars="200"/>
        <w:rPr>
          <w:rFonts w:ascii="Times New Roman" w:hAnsi="Times New Roman"/>
          <w:szCs w:val="21"/>
        </w:rPr>
      </w:pPr>
      <w:r>
        <w:rPr>
          <w:rFonts w:hint="eastAsia" w:ascii="Times New Roman" w:hAnsi="Times New Roman"/>
          <w:szCs w:val="21"/>
        </w:rPr>
        <w:t>②初始条件和边界条件</w:t>
      </w:r>
    </w:p>
    <w:p w14:paraId="4B1E1088">
      <w:pPr>
        <w:overflowPunct w:val="0"/>
        <w:spacing w:line="360" w:lineRule="auto"/>
        <w:ind w:firstLine="480" w:firstLineChars="200"/>
        <w:rPr>
          <w:rFonts w:ascii="Times New Roman" w:hAnsi="Times New Roman"/>
          <w:szCs w:val="21"/>
        </w:rPr>
      </w:pPr>
      <w:r>
        <w:rPr>
          <w:rFonts w:ascii="Times New Roman" w:hAnsi="Times New Roman"/>
          <w:szCs w:val="21"/>
        </w:rPr>
        <w:t>a.</w:t>
      </w:r>
      <w:r>
        <w:rPr>
          <w:rFonts w:hint="eastAsia" w:ascii="Times New Roman" w:hAnsi="Times New Roman"/>
          <w:szCs w:val="21"/>
        </w:rPr>
        <w:t>水流模型</w:t>
      </w:r>
    </w:p>
    <w:p w14:paraId="5B6D1030">
      <w:pPr>
        <w:overflowPunct w:val="0"/>
        <w:spacing w:line="360" w:lineRule="auto"/>
        <w:ind w:firstLine="480" w:firstLineChars="200"/>
        <w:rPr>
          <w:rFonts w:ascii="Times New Roman" w:hAnsi="Times New Roman"/>
          <w:szCs w:val="21"/>
        </w:rPr>
      </w:pPr>
      <w:r>
        <w:rPr>
          <w:rFonts w:hint="eastAsia" w:ascii="Times New Roman" w:hAnsi="Times New Roman"/>
          <w:szCs w:val="21"/>
        </w:rPr>
        <w:t>初始条件：先使用插值的含水率、压力水头值进行</w:t>
      </w:r>
      <w:r>
        <w:rPr>
          <w:rFonts w:ascii="Times New Roman" w:hAnsi="Times New Roman"/>
          <w:szCs w:val="21"/>
        </w:rPr>
        <w:t>10</w:t>
      </w:r>
      <w:r>
        <w:rPr>
          <w:rFonts w:hint="eastAsia" w:ascii="Times New Roman" w:hAnsi="Times New Roman"/>
          <w:szCs w:val="21"/>
        </w:rPr>
        <w:t>天的计算，以</w:t>
      </w:r>
      <w:r>
        <w:rPr>
          <w:rFonts w:ascii="Times New Roman" w:hAnsi="Times New Roman"/>
          <w:szCs w:val="21"/>
        </w:rPr>
        <w:t>10</w:t>
      </w:r>
      <w:r>
        <w:rPr>
          <w:rFonts w:hint="eastAsia" w:ascii="Times New Roman" w:hAnsi="Times New Roman"/>
          <w:szCs w:val="21"/>
        </w:rPr>
        <w:t>天时的稳定计算结果作为初始条件。</w:t>
      </w:r>
    </w:p>
    <w:p w14:paraId="0212F907">
      <w:pPr>
        <w:overflowPunct w:val="0"/>
        <w:spacing w:line="360" w:lineRule="auto"/>
        <w:ind w:firstLine="480" w:firstLineChars="200"/>
        <w:rPr>
          <w:rFonts w:ascii="Times New Roman" w:hAnsi="Times New Roman"/>
          <w:szCs w:val="21"/>
        </w:rPr>
      </w:pPr>
      <w:r>
        <w:rPr>
          <w:rFonts w:hint="eastAsia" w:ascii="Times New Roman" w:hAnsi="Times New Roman"/>
          <w:szCs w:val="21"/>
        </w:rPr>
        <w:t>边界条件：上边界为定水头边界，设定上边界压强为调节池水深（假设储水深度为</w:t>
      </w:r>
      <w:r>
        <w:rPr>
          <w:rFonts w:ascii="Times New Roman" w:hAnsi="Times New Roman"/>
          <w:szCs w:val="21"/>
        </w:rPr>
        <w:t>2.0m</w:t>
      </w:r>
      <w:r>
        <w:rPr>
          <w:rFonts w:hint="eastAsia" w:ascii="Times New Roman" w:hAnsi="Times New Roman"/>
          <w:szCs w:val="21"/>
        </w:rPr>
        <w:t>，压力水头取</w:t>
      </w:r>
      <w:r>
        <w:rPr>
          <w:rFonts w:ascii="Times New Roman" w:hAnsi="Times New Roman"/>
          <w:szCs w:val="21"/>
        </w:rPr>
        <w:t>200.0cm</w:t>
      </w:r>
      <w:r>
        <w:rPr>
          <w:rFonts w:hint="eastAsia" w:ascii="Times New Roman" w:hAnsi="Times New Roman"/>
          <w:szCs w:val="21"/>
        </w:rPr>
        <w:t>）；下边界为自由排水边界。</w:t>
      </w:r>
    </w:p>
    <w:p w14:paraId="2CE83120">
      <w:pPr>
        <w:overflowPunct w:val="0"/>
        <w:spacing w:line="360" w:lineRule="auto"/>
        <w:ind w:firstLine="480" w:firstLineChars="200"/>
        <w:rPr>
          <w:rFonts w:ascii="Times New Roman" w:hAnsi="Times New Roman"/>
          <w:szCs w:val="21"/>
        </w:rPr>
      </w:pPr>
      <w:r>
        <w:rPr>
          <w:rFonts w:ascii="Times New Roman" w:hAnsi="Times New Roman"/>
          <w:szCs w:val="21"/>
        </w:rPr>
        <w:t>b.</w:t>
      </w:r>
      <w:r>
        <w:rPr>
          <w:rFonts w:hint="eastAsia" w:ascii="Times New Roman" w:hAnsi="Times New Roman"/>
          <w:szCs w:val="21"/>
        </w:rPr>
        <w:t>溶质运移模型</w:t>
      </w:r>
      <w:r>
        <w:rPr>
          <w:rFonts w:ascii="Times New Roman" w:hAnsi="Times New Roman"/>
          <w:szCs w:val="21"/>
        </w:rPr>
        <w:t xml:space="preserve"> </w:t>
      </w:r>
    </w:p>
    <w:p w14:paraId="62B15937">
      <w:pPr>
        <w:overflowPunct w:val="0"/>
        <w:spacing w:line="360" w:lineRule="auto"/>
        <w:ind w:firstLine="480" w:firstLineChars="200"/>
        <w:rPr>
          <w:rFonts w:ascii="Times New Roman" w:hAnsi="Times New Roman"/>
          <w:szCs w:val="21"/>
        </w:rPr>
      </w:pPr>
      <w:r>
        <w:rPr>
          <w:rFonts w:hint="eastAsia" w:ascii="Times New Roman" w:hAnsi="Times New Roman"/>
          <w:szCs w:val="21"/>
        </w:rPr>
        <w:t>初始条件：初始条件用原始土层污染物浓度表示，本模型中为零。</w:t>
      </w:r>
    </w:p>
    <w:p w14:paraId="48B8737D">
      <w:pPr>
        <w:overflowPunct w:val="0"/>
        <w:spacing w:line="360" w:lineRule="auto"/>
        <w:ind w:firstLine="480" w:firstLineChars="200"/>
        <w:rPr>
          <w:rFonts w:ascii="Times New Roman" w:hAnsi="Times New Roman"/>
          <w:szCs w:val="21"/>
        </w:rPr>
      </w:pPr>
      <w:r>
        <w:rPr>
          <w:rFonts w:hint="eastAsia" w:ascii="Times New Roman" w:hAnsi="Times New Roman"/>
          <w:szCs w:val="21"/>
        </w:rPr>
        <w:t>边界条件：上边界为定溶质通量边界，HCN为5.63mg/L、石油类为0.66mg/L；下边界为零梯度浓度边界。</w:t>
      </w:r>
    </w:p>
    <w:p w14:paraId="67335A73">
      <w:pPr>
        <w:overflowPunct w:val="0"/>
        <w:spacing w:line="360" w:lineRule="auto"/>
        <w:ind w:firstLine="480" w:firstLineChars="200"/>
        <w:rPr>
          <w:rFonts w:ascii="Times New Roman" w:hAnsi="Times New Roman"/>
          <w:szCs w:val="21"/>
        </w:rPr>
      </w:pPr>
      <w:r>
        <w:rPr>
          <w:rFonts w:hint="eastAsia" w:ascii="Times New Roman" w:hAnsi="Times New Roman"/>
          <w:szCs w:val="21"/>
        </w:rPr>
        <w:t>③参数选取</w:t>
      </w:r>
    </w:p>
    <w:p w14:paraId="3821D807">
      <w:pPr>
        <w:overflowPunct w:val="0"/>
        <w:spacing w:line="360" w:lineRule="auto"/>
        <w:ind w:firstLine="480" w:firstLineChars="200"/>
        <w:rPr>
          <w:rFonts w:ascii="Times New Roman" w:hAnsi="Times New Roman"/>
          <w:szCs w:val="21"/>
        </w:rPr>
      </w:pPr>
      <w:r>
        <w:rPr>
          <w:rFonts w:hint="eastAsia" w:ascii="Times New Roman" w:hAnsi="Times New Roman"/>
          <w:szCs w:val="21"/>
        </w:rPr>
        <w:t>参考</w:t>
      </w:r>
      <w:r>
        <w:rPr>
          <w:rFonts w:ascii="Times New Roman" w:hAnsi="Times New Roman"/>
          <w:szCs w:val="21"/>
        </w:rPr>
        <w:t>HYDRUS-1D</w:t>
      </w:r>
      <w:r>
        <w:rPr>
          <w:rFonts w:hint="eastAsia" w:ascii="Times New Roman" w:hAnsi="Times New Roman"/>
          <w:szCs w:val="21"/>
        </w:rPr>
        <w:t>程序中所附的美国农业部使用的包气带基本岩性参数、本次试验和工勘结果综合取值。</w:t>
      </w:r>
    </w:p>
    <w:p w14:paraId="05694DC0">
      <w:pPr>
        <w:overflowPunct w:val="0"/>
        <w:spacing w:line="360" w:lineRule="auto"/>
        <w:ind w:firstLine="480" w:firstLineChars="200"/>
        <w:rPr>
          <w:rFonts w:ascii="Times New Roman" w:hAnsi="Times New Roman"/>
          <w:szCs w:val="21"/>
        </w:rPr>
      </w:pPr>
      <w:r>
        <w:rPr>
          <w:rFonts w:hint="eastAsia" w:ascii="Times New Roman" w:hAnsi="Times New Roman"/>
          <w:szCs w:val="21"/>
        </w:rPr>
        <w:t>④预测结果</w:t>
      </w:r>
    </w:p>
    <w:p w14:paraId="33D883FC">
      <w:pPr>
        <w:overflowPunct w:val="0"/>
        <w:spacing w:line="360" w:lineRule="auto"/>
        <w:ind w:firstLine="480" w:firstLineChars="200"/>
        <w:rPr>
          <w:rFonts w:ascii="Times New Roman" w:hAnsi="Times New Roman"/>
          <w:szCs w:val="21"/>
        </w:rPr>
      </w:pPr>
      <w:r>
        <w:rPr>
          <w:rFonts w:hint="eastAsia" w:ascii="Times New Roman" w:hAnsi="Times New Roman"/>
          <w:szCs w:val="21"/>
        </w:rPr>
        <w:t>污水处理站综合调节池破碎，导致污染物持续泄漏，地面以下10m的土壤HCN、石油类等污染物浓度随入渗深度变化曲线预测结果见下图。</w:t>
      </w:r>
    </w:p>
    <w:p w14:paraId="144C2E18">
      <w:pPr>
        <w:overflowPunct w:val="0"/>
        <w:spacing w:line="360" w:lineRule="auto"/>
        <w:ind w:firstLine="480" w:firstLineChars="200"/>
        <w:rPr>
          <w:rFonts w:ascii="Times New Roman" w:hAnsi="Times New Roman"/>
          <w:szCs w:val="21"/>
        </w:rPr>
      </w:pPr>
      <w:r>
        <w:rPr>
          <w:rFonts w:hint="eastAsia" w:ascii="Times New Roman" w:hAnsi="Times New Roman"/>
          <w:szCs w:val="21"/>
        </w:rPr>
        <w:t>图中从上向下分别为泄漏20d、40d、60d、80d、100d污染物浓度与入渗深度的关系图。</w:t>
      </w:r>
    </w:p>
    <w:tbl>
      <w:tblPr>
        <w:tblStyle w:val="6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1264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9911680">
            <w:pPr>
              <w:widowControl w:val="0"/>
              <w:overflowPunct w:val="0"/>
              <w:spacing w:line="360" w:lineRule="auto"/>
              <w:jc w:val="both"/>
              <w:rPr>
                <w:rFonts w:ascii="Times New Roman" w:hAnsi="Times New Roman"/>
                <w:szCs w:val="21"/>
              </w:rPr>
            </w:pPr>
            <w:r>
              <w:rPr>
                <w:rFonts w:ascii="Times New Roman" w:hAnsi="Times New Roman"/>
                <w:szCs w:val="21"/>
              </w:rPr>
              <w:drawing>
                <wp:inline distT="0" distB="0" distL="0" distR="0">
                  <wp:extent cx="2273300" cy="1799590"/>
                  <wp:effectExtent l="0" t="0" r="0" b="0"/>
                  <wp:docPr id="49648661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86611" name="图片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273684" cy="1800000"/>
                          </a:xfrm>
                          <a:prstGeom prst="rect">
                            <a:avLst/>
                          </a:prstGeom>
                          <a:noFill/>
                          <a:ln>
                            <a:noFill/>
                          </a:ln>
                        </pic:spPr>
                      </pic:pic>
                    </a:graphicData>
                  </a:graphic>
                </wp:inline>
              </w:drawing>
            </w:r>
          </w:p>
        </w:tc>
        <w:tc>
          <w:tcPr>
            <w:tcW w:w="4261" w:type="dxa"/>
          </w:tcPr>
          <w:p w14:paraId="5E1906C9">
            <w:pPr>
              <w:widowControl w:val="0"/>
              <w:overflowPunct w:val="0"/>
              <w:spacing w:line="360" w:lineRule="auto"/>
              <w:jc w:val="center"/>
              <w:rPr>
                <w:rFonts w:ascii="Times New Roman" w:hAnsi="Times New Roman"/>
                <w:szCs w:val="21"/>
              </w:rPr>
            </w:pPr>
            <w:r>
              <w:rPr>
                <w:rFonts w:ascii="Times New Roman" w:hAnsi="Times New Roman"/>
                <w:szCs w:val="21"/>
              </w:rPr>
              <w:drawing>
                <wp:inline distT="0" distB="0" distL="0" distR="0">
                  <wp:extent cx="2250440" cy="1799590"/>
                  <wp:effectExtent l="0" t="0" r="0" b="0"/>
                  <wp:docPr id="176547645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6457" name="图片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251055" cy="1800000"/>
                          </a:xfrm>
                          <a:prstGeom prst="rect">
                            <a:avLst/>
                          </a:prstGeom>
                          <a:noFill/>
                          <a:ln>
                            <a:noFill/>
                          </a:ln>
                        </pic:spPr>
                      </pic:pic>
                    </a:graphicData>
                  </a:graphic>
                </wp:inline>
              </w:drawing>
            </w:r>
          </w:p>
        </w:tc>
      </w:tr>
      <w:tr w14:paraId="4A749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4B83D87">
            <w:pPr>
              <w:widowControl w:val="0"/>
              <w:spacing w:line="360" w:lineRule="auto"/>
              <w:jc w:val="center"/>
              <w:rPr>
                <w:rFonts w:hint="eastAsia" w:ascii="黑体" w:hAnsi="黑体" w:eastAsia="黑体"/>
                <w:b/>
              </w:rPr>
            </w:pPr>
            <w:r>
              <w:rPr>
                <w:rFonts w:hint="eastAsia" w:ascii="黑体" w:hAnsi="黑体" w:eastAsia="黑体"/>
                <w:b/>
              </w:rPr>
              <w:t>HCN</w:t>
            </w:r>
          </w:p>
        </w:tc>
        <w:tc>
          <w:tcPr>
            <w:tcW w:w="4261" w:type="dxa"/>
          </w:tcPr>
          <w:p w14:paraId="1B1D3485">
            <w:pPr>
              <w:widowControl w:val="0"/>
              <w:spacing w:line="360" w:lineRule="auto"/>
              <w:jc w:val="center"/>
              <w:rPr>
                <w:rFonts w:hint="eastAsia" w:ascii="黑体" w:hAnsi="黑体" w:eastAsia="黑体"/>
                <w:b/>
              </w:rPr>
            </w:pPr>
            <w:r>
              <w:rPr>
                <w:rFonts w:hint="eastAsia" w:ascii="黑体" w:hAnsi="黑体" w:eastAsia="黑体"/>
                <w:b/>
              </w:rPr>
              <w:t>石油烃</w:t>
            </w:r>
          </w:p>
        </w:tc>
      </w:tr>
    </w:tbl>
    <w:p w14:paraId="756F8522">
      <w:pPr>
        <w:numPr>
          <w:ilvl w:val="4"/>
          <w:numId w:val="1"/>
        </w:numPr>
        <w:overflowPunct w:val="0"/>
        <w:spacing w:line="360" w:lineRule="auto"/>
        <w:ind w:left="283"/>
        <w:outlineLvl w:val="4"/>
        <w:rPr>
          <w:rFonts w:hint="eastAsia" w:ascii="黑体" w:hAnsi="黑体" w:eastAsia="黑体"/>
          <w:b/>
        </w:rPr>
      </w:pPr>
      <w:bookmarkStart w:id="366" w:name="_Hlk192087887"/>
      <w:r>
        <w:rPr>
          <w:rFonts w:hint="eastAsia" w:ascii="黑体" w:hAnsi="黑体" w:eastAsia="黑体"/>
          <w:b/>
        </w:rPr>
        <w:t>硫酸泄漏</w:t>
      </w:r>
    </w:p>
    <w:p w14:paraId="525355D9">
      <w:pPr>
        <w:spacing w:line="360" w:lineRule="auto"/>
        <w:ind w:firstLine="480" w:firstLineChars="200"/>
        <w:rPr>
          <w:rFonts w:hint="eastAsia" w:ascii="Times New Roman"/>
          <w:lang w:val="zh-CN"/>
        </w:rPr>
      </w:pPr>
      <w:r>
        <w:rPr>
          <w:rFonts w:hint="eastAsia" w:ascii="Times New Roman"/>
          <w:lang w:val="zh-CN"/>
        </w:rPr>
        <w:t>（1）</w:t>
      </w:r>
      <w:r>
        <w:rPr>
          <w:rFonts w:ascii="Times New Roman"/>
          <w:lang w:val="zh-CN"/>
        </w:rPr>
        <w:t>预测模型</w:t>
      </w:r>
    </w:p>
    <w:p w14:paraId="62114045">
      <w:pPr>
        <w:spacing w:line="360" w:lineRule="auto"/>
        <w:ind w:firstLine="480" w:firstLineChars="200"/>
        <w:rPr>
          <w:rFonts w:hint="eastAsia" w:ascii="Times New Roman"/>
          <w:lang w:val="zh-CN"/>
        </w:rPr>
      </w:pPr>
      <w:r>
        <w:rPr>
          <w:rFonts w:hint="eastAsia" w:ascii="Times New Roman"/>
          <w:lang w:val="zh-CN"/>
        </w:rPr>
        <w:t>①</w:t>
      </w:r>
      <w:r>
        <w:rPr>
          <w:rFonts w:ascii="Times New Roman"/>
          <w:lang w:val="zh-CN"/>
        </w:rPr>
        <w:t>单位质量土壤中某种物质的增量可用下式计算：</w:t>
      </w:r>
    </w:p>
    <w:p w14:paraId="4ADB7A1F">
      <w:pPr>
        <w:spacing w:line="360" w:lineRule="auto"/>
        <w:jc w:val="center"/>
        <w:rPr>
          <w:rFonts w:hint="eastAsia" w:ascii="Times New Roman"/>
        </w:rPr>
      </w:pPr>
      <w:r>
        <w:rPr>
          <w:rFonts w:ascii="Times New Roman"/>
          <w:lang w:val="zh-CN"/>
        </w:rPr>
        <w:t>Δ</w:t>
      </w:r>
      <w:r>
        <w:rPr>
          <w:rFonts w:ascii="Times New Roman"/>
        </w:rPr>
        <w:t>S=n（I</w:t>
      </w:r>
      <w:r>
        <w:rPr>
          <w:rFonts w:hint="eastAsia" w:ascii="Times New Roman"/>
        </w:rPr>
        <w:t>s</w:t>
      </w:r>
      <w:r>
        <w:rPr>
          <w:rFonts w:ascii="Times New Roman"/>
        </w:rPr>
        <w:t>-L</w:t>
      </w:r>
      <w:r>
        <w:rPr>
          <w:rFonts w:hint="eastAsia" w:ascii="Times New Roman"/>
        </w:rPr>
        <w:t>s</w:t>
      </w:r>
      <w:r>
        <w:rPr>
          <w:rFonts w:ascii="Times New Roman"/>
        </w:rPr>
        <w:t>-R</w:t>
      </w:r>
      <w:r>
        <w:rPr>
          <w:rFonts w:hint="eastAsia" w:ascii="Times New Roman"/>
        </w:rPr>
        <w:t>s</w:t>
      </w:r>
      <w:r>
        <w:rPr>
          <w:rFonts w:ascii="Times New Roman"/>
        </w:rPr>
        <w:t>）/（</w:t>
      </w:r>
      <w:r>
        <w:rPr>
          <w:rFonts w:ascii="Times New Roman"/>
          <w:lang w:val="zh-CN"/>
        </w:rPr>
        <w:t>ρ</w:t>
      </w:r>
      <w:r>
        <w:rPr>
          <w:rFonts w:ascii="Times New Roman"/>
          <w:vertAlign w:val="subscript"/>
        </w:rPr>
        <w:t>b</w:t>
      </w:r>
      <w:r>
        <w:rPr>
          <w:rFonts w:ascii="Times New Roman"/>
        </w:rPr>
        <w:t>×A×D）</w:t>
      </w:r>
    </w:p>
    <w:p w14:paraId="60E8D60B">
      <w:pPr>
        <w:spacing w:line="360" w:lineRule="auto"/>
        <w:ind w:firstLine="480" w:firstLineChars="200"/>
        <w:rPr>
          <w:rFonts w:hint="eastAsia" w:ascii="Times New Roman"/>
          <w:sz w:val="21"/>
          <w:szCs w:val="21"/>
          <w:lang w:val="zh-CN"/>
        </w:rPr>
      </w:pPr>
      <w:r>
        <w:rPr>
          <w:rFonts w:ascii="Times New Roman"/>
          <w:lang w:val="zh-CN"/>
        </w:rPr>
        <w:t>式中：</w:t>
      </w:r>
      <w:r>
        <w:rPr>
          <w:rFonts w:ascii="Times New Roman"/>
          <w:sz w:val="21"/>
          <w:szCs w:val="21"/>
          <w:lang w:val="zh-CN"/>
        </w:rPr>
        <w:t>ΔS——单位质量表层土壤中某种物质的增量，g/kg；</w:t>
      </w:r>
    </w:p>
    <w:p w14:paraId="5F685B94">
      <w:pPr>
        <w:spacing w:line="360" w:lineRule="auto"/>
        <w:ind w:firstLine="1260" w:firstLineChars="600"/>
        <w:rPr>
          <w:rFonts w:hint="eastAsia" w:ascii="Times New Roman"/>
          <w:sz w:val="21"/>
          <w:szCs w:val="21"/>
          <w:lang w:val="zh-CN"/>
        </w:rPr>
      </w:pPr>
      <w:r>
        <w:rPr>
          <w:rFonts w:ascii="Times New Roman"/>
          <w:sz w:val="21"/>
          <w:szCs w:val="21"/>
          <w:lang w:val="zh-CN"/>
        </w:rPr>
        <w:t>I</w:t>
      </w:r>
      <w:r>
        <w:rPr>
          <w:rFonts w:ascii="Times New Roman"/>
          <w:sz w:val="21"/>
          <w:szCs w:val="21"/>
          <w:vertAlign w:val="subscript"/>
          <w:lang w:val="zh-CN"/>
        </w:rPr>
        <w:t>S</w:t>
      </w:r>
      <w:r>
        <w:rPr>
          <w:rFonts w:ascii="Times New Roman"/>
          <w:sz w:val="21"/>
          <w:szCs w:val="21"/>
          <w:lang w:val="zh-CN"/>
        </w:rPr>
        <w:t xml:space="preserve"> ——预测评价范围内单位年份表层土壤中某种物质的输入量，g；</w:t>
      </w:r>
    </w:p>
    <w:p w14:paraId="418E3912">
      <w:pPr>
        <w:spacing w:line="360" w:lineRule="auto"/>
        <w:ind w:firstLine="1260" w:firstLineChars="600"/>
        <w:rPr>
          <w:rFonts w:hint="eastAsia" w:ascii="Times New Roman"/>
          <w:sz w:val="21"/>
          <w:szCs w:val="21"/>
          <w:lang w:val="zh-CN"/>
        </w:rPr>
      </w:pPr>
      <w:r>
        <w:rPr>
          <w:rFonts w:ascii="Times New Roman"/>
          <w:sz w:val="21"/>
          <w:szCs w:val="21"/>
          <w:lang w:val="zh-CN"/>
        </w:rPr>
        <w:t>L</w:t>
      </w:r>
      <w:r>
        <w:rPr>
          <w:rFonts w:ascii="Times New Roman"/>
          <w:sz w:val="21"/>
          <w:szCs w:val="21"/>
          <w:vertAlign w:val="subscript"/>
          <w:lang w:val="zh-CN"/>
        </w:rPr>
        <w:t>S</w:t>
      </w:r>
      <w:r>
        <w:rPr>
          <w:rFonts w:ascii="Times New Roman"/>
          <w:sz w:val="21"/>
          <w:szCs w:val="21"/>
          <w:lang w:val="zh-CN"/>
        </w:rPr>
        <w:t>——预测评价范围内单位年份表层土壤中某种物质经淋溶排出的量，g；</w:t>
      </w:r>
    </w:p>
    <w:p w14:paraId="08304E7F">
      <w:pPr>
        <w:spacing w:line="360" w:lineRule="auto"/>
        <w:ind w:firstLine="1260" w:firstLineChars="600"/>
        <w:rPr>
          <w:rFonts w:hint="eastAsia" w:ascii="Times New Roman"/>
          <w:sz w:val="21"/>
          <w:szCs w:val="21"/>
          <w:lang w:val="zh-CN"/>
        </w:rPr>
      </w:pPr>
      <w:r>
        <w:rPr>
          <w:rFonts w:ascii="Times New Roman"/>
          <w:sz w:val="21"/>
          <w:szCs w:val="21"/>
          <w:lang w:val="zh-CN"/>
        </w:rPr>
        <w:t>R</w:t>
      </w:r>
      <w:r>
        <w:rPr>
          <w:rFonts w:ascii="Times New Roman"/>
          <w:sz w:val="21"/>
          <w:szCs w:val="21"/>
          <w:vertAlign w:val="subscript"/>
          <w:lang w:val="zh-CN"/>
        </w:rPr>
        <w:t>S</w:t>
      </w:r>
      <w:r>
        <w:rPr>
          <w:rFonts w:ascii="Times New Roman"/>
          <w:sz w:val="21"/>
          <w:szCs w:val="21"/>
          <w:lang w:val="zh-CN"/>
        </w:rPr>
        <w:t>——预测评价范围内单位年份表层土壤中某种物质经径流排出的量，g；</w:t>
      </w:r>
    </w:p>
    <w:p w14:paraId="40400147">
      <w:pPr>
        <w:spacing w:line="360" w:lineRule="auto"/>
        <w:ind w:firstLine="1224" w:firstLineChars="583"/>
        <w:rPr>
          <w:rFonts w:hint="eastAsia" w:ascii="Times New Roman"/>
          <w:sz w:val="21"/>
          <w:szCs w:val="21"/>
          <w:lang w:val="zh-CN"/>
        </w:rPr>
      </w:pPr>
      <w:r>
        <w:rPr>
          <w:rFonts w:ascii="Times New Roman"/>
          <w:sz w:val="21"/>
          <w:szCs w:val="21"/>
          <w:lang w:val="zh-CN"/>
        </w:rPr>
        <w:t>ρ</w:t>
      </w:r>
      <w:r>
        <w:rPr>
          <w:rFonts w:ascii="Times New Roman"/>
          <w:sz w:val="21"/>
          <w:szCs w:val="21"/>
          <w:vertAlign w:val="subscript"/>
          <w:lang w:val="zh-CN"/>
        </w:rPr>
        <w:t>b</w:t>
      </w:r>
      <w:r>
        <w:rPr>
          <w:rFonts w:ascii="Times New Roman"/>
          <w:sz w:val="21"/>
          <w:szCs w:val="21"/>
          <w:lang w:val="zh-CN"/>
        </w:rPr>
        <w:t>——表层土壤容重，kg/m</w:t>
      </w:r>
      <w:r>
        <w:rPr>
          <w:rFonts w:ascii="Times New Roman"/>
          <w:sz w:val="21"/>
          <w:szCs w:val="21"/>
          <w:vertAlign w:val="superscript"/>
          <w:lang w:val="zh-CN"/>
        </w:rPr>
        <w:t>3</w:t>
      </w:r>
      <w:r>
        <w:rPr>
          <w:rFonts w:ascii="Times New Roman"/>
          <w:sz w:val="21"/>
          <w:szCs w:val="21"/>
          <w:lang w:val="zh-CN"/>
        </w:rPr>
        <w:t>；</w:t>
      </w:r>
    </w:p>
    <w:p w14:paraId="727DE1E6">
      <w:pPr>
        <w:spacing w:line="360" w:lineRule="auto"/>
        <w:ind w:firstLine="1224" w:firstLineChars="583"/>
        <w:rPr>
          <w:rFonts w:hint="eastAsia" w:ascii="Times New Roman"/>
          <w:sz w:val="21"/>
          <w:szCs w:val="21"/>
          <w:lang w:val="zh-CN"/>
        </w:rPr>
      </w:pPr>
      <w:r>
        <w:rPr>
          <w:rFonts w:ascii="Times New Roman"/>
          <w:sz w:val="21"/>
          <w:szCs w:val="21"/>
          <w:lang w:val="zh-CN"/>
        </w:rPr>
        <w:t>A——预测评价范围，m</w:t>
      </w:r>
      <w:r>
        <w:rPr>
          <w:rFonts w:ascii="Times New Roman"/>
          <w:sz w:val="21"/>
          <w:szCs w:val="21"/>
          <w:vertAlign w:val="superscript"/>
          <w:lang w:val="zh-CN"/>
        </w:rPr>
        <w:t>2</w:t>
      </w:r>
      <w:r>
        <w:rPr>
          <w:rFonts w:ascii="Times New Roman"/>
          <w:sz w:val="21"/>
          <w:szCs w:val="21"/>
          <w:lang w:val="zh-CN"/>
        </w:rPr>
        <w:t>；</w:t>
      </w:r>
    </w:p>
    <w:p w14:paraId="62501DFA">
      <w:pPr>
        <w:spacing w:line="360" w:lineRule="auto"/>
        <w:ind w:firstLine="1224" w:firstLineChars="583"/>
        <w:rPr>
          <w:rFonts w:hint="eastAsia" w:ascii="Times New Roman"/>
          <w:sz w:val="21"/>
          <w:szCs w:val="21"/>
          <w:lang w:val="zh-CN"/>
        </w:rPr>
      </w:pPr>
      <w:r>
        <w:rPr>
          <w:rFonts w:ascii="Times New Roman"/>
          <w:sz w:val="21"/>
          <w:szCs w:val="21"/>
          <w:lang w:val="zh-CN"/>
        </w:rPr>
        <w:t>D——表层土壤深度，一般取0.2m，可根据实际情况适当调整；</w:t>
      </w:r>
    </w:p>
    <w:p w14:paraId="369AEF8A">
      <w:pPr>
        <w:spacing w:line="360" w:lineRule="auto"/>
        <w:ind w:firstLine="1224" w:firstLineChars="583"/>
        <w:rPr>
          <w:rFonts w:hint="eastAsia" w:ascii="Times New Roman"/>
          <w:sz w:val="21"/>
          <w:szCs w:val="21"/>
          <w:lang w:val="zh-CN"/>
        </w:rPr>
      </w:pPr>
      <w:r>
        <w:rPr>
          <w:rFonts w:ascii="Times New Roman"/>
          <w:sz w:val="21"/>
          <w:szCs w:val="21"/>
          <w:lang w:val="zh-CN"/>
        </w:rPr>
        <w:t>n——持续年份，a。</w:t>
      </w:r>
    </w:p>
    <w:p w14:paraId="70E4544D">
      <w:pPr>
        <w:overflowPunct w:val="0"/>
        <w:spacing w:line="360" w:lineRule="auto"/>
        <w:ind w:firstLine="480" w:firstLineChars="200"/>
        <w:rPr>
          <w:rFonts w:ascii="Times New Roman" w:hAnsi="Times New Roman"/>
          <w:szCs w:val="21"/>
          <w:lang w:val="zh-CN"/>
        </w:rPr>
      </w:pPr>
      <w:r>
        <w:rPr>
          <w:rFonts w:ascii="Times New Roman" w:hAnsi="Times New Roman"/>
          <w:szCs w:val="21"/>
          <w:lang w:val="zh-CN"/>
        </w:rPr>
        <w:t>根据土壤导则附录E，项目涉及大气沉降影响的，可不考虑输出量，因此上述公式可简化为如下：</w:t>
      </w:r>
    </w:p>
    <w:p w14:paraId="0282FFA5">
      <w:pPr>
        <w:spacing w:line="360" w:lineRule="auto"/>
        <w:jc w:val="center"/>
        <w:rPr>
          <w:rFonts w:hint="eastAsia" w:ascii="Times New Roman"/>
        </w:rPr>
      </w:pPr>
      <w:r>
        <w:rPr>
          <w:rFonts w:ascii="Times New Roman"/>
          <w:lang w:val="zh-CN"/>
        </w:rPr>
        <w:t>Δ</w:t>
      </w:r>
      <w:r>
        <w:rPr>
          <w:rFonts w:ascii="Times New Roman"/>
        </w:rPr>
        <w:t>S=（n×I</w:t>
      </w:r>
      <w:r>
        <w:rPr>
          <w:rFonts w:hint="eastAsia" w:ascii="Times New Roman"/>
        </w:rPr>
        <w:t>s</w:t>
      </w:r>
      <w:r>
        <w:rPr>
          <w:rFonts w:ascii="Times New Roman"/>
        </w:rPr>
        <w:t>）/（</w:t>
      </w:r>
      <w:r>
        <w:rPr>
          <w:rFonts w:ascii="Times New Roman"/>
          <w:lang w:val="zh-CN"/>
        </w:rPr>
        <w:t>ρ</w:t>
      </w:r>
      <w:r>
        <w:rPr>
          <w:rFonts w:ascii="Times New Roman"/>
          <w:vertAlign w:val="subscript"/>
        </w:rPr>
        <w:t>b</w:t>
      </w:r>
      <w:r>
        <w:rPr>
          <w:rFonts w:ascii="Times New Roman"/>
        </w:rPr>
        <w:t>×A×D）</w:t>
      </w:r>
    </w:p>
    <w:p w14:paraId="7695FF2E">
      <w:pPr>
        <w:overflowPunct w:val="0"/>
        <w:spacing w:line="360" w:lineRule="auto"/>
        <w:ind w:firstLine="480" w:firstLineChars="200"/>
        <w:rPr>
          <w:rFonts w:ascii="Times New Roman" w:hAnsi="Times New Roman"/>
          <w:szCs w:val="21"/>
          <w:lang w:val="zh-CN"/>
        </w:rPr>
      </w:pPr>
      <w:r>
        <w:rPr>
          <w:rFonts w:hint="eastAsia" w:ascii="Times New Roman" w:hAnsi="Times New Roman"/>
          <w:szCs w:val="21"/>
          <w:lang w:val="zh-CN"/>
        </w:rPr>
        <w:t>②单位质量土壤中某种物质的预测值可根据其增量叠加现状值进行计算，如下：</w:t>
      </w:r>
    </w:p>
    <w:p w14:paraId="736B884A">
      <w:pPr>
        <w:spacing w:line="360" w:lineRule="auto"/>
        <w:ind w:firstLine="480" w:firstLineChars="200"/>
        <w:jc w:val="center"/>
        <w:rPr>
          <w:rFonts w:hint="eastAsia" w:ascii="Times New Roman"/>
          <w:lang w:val="zh-CN"/>
        </w:rPr>
      </w:pPr>
      <w:r>
        <w:rPr>
          <w:rFonts w:ascii="Times New Roman"/>
        </w:rPr>
        <w:t>S=</w:t>
      </w:r>
      <w:r>
        <w:rPr>
          <w:rFonts w:hint="eastAsia" w:ascii="Times New Roman"/>
        </w:rPr>
        <w:t>S</w:t>
      </w:r>
      <w:r>
        <w:rPr>
          <w:rFonts w:hint="eastAsia" w:ascii="Times New Roman"/>
          <w:vertAlign w:val="subscript"/>
        </w:rPr>
        <w:t>b</w:t>
      </w:r>
      <w:r>
        <w:rPr>
          <w:rFonts w:hint="eastAsia" w:ascii="Times New Roman"/>
        </w:rPr>
        <w:t>+</w:t>
      </w:r>
      <w:r>
        <w:rPr>
          <w:rFonts w:ascii="Times New Roman"/>
          <w:lang w:val="zh-CN"/>
        </w:rPr>
        <w:t>Δ</w:t>
      </w:r>
      <w:r>
        <w:rPr>
          <w:rFonts w:ascii="Times New Roman"/>
        </w:rPr>
        <w:t>S</w:t>
      </w:r>
    </w:p>
    <w:p w14:paraId="7F58641B">
      <w:pPr>
        <w:spacing w:line="360" w:lineRule="auto"/>
        <w:ind w:firstLine="480" w:firstLineChars="200"/>
        <w:rPr>
          <w:rFonts w:hint="eastAsia" w:ascii="Times New Roman"/>
          <w:sz w:val="21"/>
          <w:szCs w:val="21"/>
          <w:lang w:val="zh-CN"/>
        </w:rPr>
      </w:pPr>
      <w:r>
        <w:rPr>
          <w:rFonts w:hint="eastAsia" w:ascii="Times New Roman"/>
          <w:lang w:val="zh-CN"/>
        </w:rPr>
        <w:t>式中：</w:t>
      </w:r>
      <w:r>
        <w:rPr>
          <w:rFonts w:hint="eastAsia" w:ascii="Times New Roman"/>
          <w:sz w:val="21"/>
          <w:szCs w:val="21"/>
          <w:lang w:val="zh-CN"/>
        </w:rPr>
        <w:t>S</w:t>
      </w:r>
      <w:r>
        <w:rPr>
          <w:rFonts w:hint="eastAsia" w:ascii="Times New Roman"/>
          <w:sz w:val="21"/>
          <w:szCs w:val="21"/>
          <w:vertAlign w:val="subscript"/>
          <w:lang w:val="zh-CN"/>
        </w:rPr>
        <w:t>b</w:t>
      </w:r>
      <w:r>
        <w:rPr>
          <w:rFonts w:hint="eastAsia" w:ascii="Times New Roman"/>
          <w:sz w:val="21"/>
          <w:szCs w:val="21"/>
          <w:lang w:val="zh-CN"/>
        </w:rPr>
        <w:t>——单位质量土壤中某种物质的现状值，g/kg；</w:t>
      </w:r>
    </w:p>
    <w:p w14:paraId="7D056F4B">
      <w:pPr>
        <w:spacing w:line="360" w:lineRule="auto"/>
        <w:ind w:firstLine="1260" w:firstLineChars="600"/>
        <w:rPr>
          <w:rFonts w:hint="eastAsia" w:ascii="Times New Roman"/>
          <w:sz w:val="21"/>
          <w:szCs w:val="21"/>
          <w:lang w:val="zh-CN"/>
        </w:rPr>
      </w:pPr>
      <w:r>
        <w:rPr>
          <w:rFonts w:hint="eastAsia" w:ascii="Times New Roman"/>
          <w:sz w:val="21"/>
          <w:szCs w:val="21"/>
          <w:lang w:val="zh-CN"/>
        </w:rPr>
        <w:t>S——单位质量土壤中某种物质的预测值，g/kg。</w:t>
      </w:r>
    </w:p>
    <w:p w14:paraId="548B8A74">
      <w:pPr>
        <w:overflowPunct w:val="0"/>
        <w:spacing w:line="360" w:lineRule="auto"/>
        <w:ind w:firstLine="480" w:firstLineChars="200"/>
        <w:rPr>
          <w:rFonts w:ascii="Times New Roman" w:hAnsi="Times New Roman"/>
          <w:szCs w:val="21"/>
        </w:rPr>
      </w:pPr>
      <w:r>
        <w:rPr>
          <w:rFonts w:hint="eastAsia" w:ascii="Times New Roman" w:hAnsi="Times New Roman"/>
          <w:szCs w:val="21"/>
        </w:rPr>
        <w:t>假设单个硫酸储罐中20%的硫酸泄漏，氢离子通过已经损坏的防漏层垂直入渗进入土壤环境，单个硫酸储罐容积为331m</w:t>
      </w:r>
      <w:r>
        <w:rPr>
          <w:rFonts w:hint="eastAsia" w:ascii="Times New Roman" w:hAnsi="Times New Roman"/>
          <w:szCs w:val="21"/>
          <w:vertAlign w:val="superscript"/>
        </w:rPr>
        <w:t>3</w:t>
      </w:r>
      <w:r>
        <w:rPr>
          <w:rFonts w:hint="eastAsia" w:ascii="Times New Roman" w:hAnsi="Times New Roman"/>
          <w:szCs w:val="21"/>
        </w:rPr>
        <w:t>，泄漏量为66.2m</w:t>
      </w:r>
      <w:r>
        <w:rPr>
          <w:rFonts w:hint="eastAsia" w:ascii="Times New Roman" w:hAnsi="Times New Roman"/>
          <w:szCs w:val="21"/>
          <w:vertAlign w:val="superscript"/>
        </w:rPr>
        <w:t>3</w:t>
      </w:r>
      <w:r>
        <w:rPr>
          <w:rFonts w:hint="eastAsia" w:ascii="Times New Roman" w:hAnsi="Times New Roman"/>
          <w:szCs w:val="21"/>
        </w:rPr>
        <w:t>（121.81t），</w:t>
      </w:r>
      <w:r>
        <w:rPr>
          <w:rFonts w:ascii="Times New Roman" w:hAnsi="Times New Roman"/>
          <w:szCs w:val="21"/>
        </w:rPr>
        <w:t>H</w:t>
      </w:r>
      <w:r>
        <w:rPr>
          <w:rFonts w:hint="eastAsia" w:ascii="Times New Roman" w:hAnsi="Times New Roman"/>
          <w:szCs w:val="21"/>
        </w:rPr>
        <w:t>离子入渗量约2.49t。</w:t>
      </w:r>
    </w:p>
    <w:p w14:paraId="084B67E0">
      <w:pPr>
        <w:overflowPunct w:val="0"/>
        <w:spacing w:line="360" w:lineRule="auto"/>
        <w:ind w:firstLine="480" w:firstLineChars="200"/>
        <w:rPr>
          <w:rFonts w:ascii="Times New Roman" w:hAnsi="Times New Roman"/>
          <w:szCs w:val="21"/>
        </w:rPr>
      </w:pPr>
      <w:r>
        <w:rPr>
          <w:rFonts w:hint="eastAsia" w:ascii="Times New Roman" w:hAnsi="Times New Roman"/>
          <w:szCs w:val="21"/>
        </w:rPr>
        <w:t>根据计算，土壤H离子增量见表</w:t>
      </w:r>
      <w:r>
        <w:rPr>
          <w:rFonts w:ascii="Times New Roman" w:hAnsi="Times New Roman"/>
          <w:szCs w:val="21"/>
        </w:rPr>
        <w:t>5.8</w:t>
      </w:r>
      <w:r>
        <w:rPr>
          <w:rFonts w:hint="eastAsia" w:ascii="Times New Roman" w:hAnsi="Times New Roman"/>
          <w:szCs w:val="21"/>
        </w:rPr>
        <w:t>.3-3：</w:t>
      </w:r>
    </w:p>
    <w:p w14:paraId="4FDCA6C9">
      <w:pPr>
        <w:spacing w:line="360" w:lineRule="auto"/>
        <w:jc w:val="center"/>
        <w:rPr>
          <w:rFonts w:hint="eastAsia" w:ascii="黑体" w:hAnsi="黑体" w:eastAsia="黑体"/>
          <w:b/>
        </w:rPr>
      </w:pPr>
      <w:r>
        <w:rPr>
          <w:rFonts w:hint="eastAsia" w:ascii="黑体" w:hAnsi="黑体" w:eastAsia="黑体"/>
          <w:b/>
        </w:rPr>
        <w:t>表</w:t>
      </w:r>
      <w:r>
        <w:rPr>
          <w:rFonts w:ascii="黑体" w:hAnsi="黑体" w:eastAsia="黑体"/>
          <w:b/>
        </w:rPr>
        <w:t>5.8</w:t>
      </w:r>
      <w:r>
        <w:rPr>
          <w:rFonts w:hint="eastAsia" w:ascii="黑体" w:hAnsi="黑体" w:eastAsia="黑体"/>
          <w:b/>
        </w:rPr>
        <w:t>.3</w:t>
      </w:r>
      <w:r>
        <w:rPr>
          <w:rFonts w:ascii="黑体" w:hAnsi="黑体" w:eastAsia="黑体"/>
          <w:b/>
        </w:rPr>
        <w:t>-</w:t>
      </w:r>
      <w:r>
        <w:rPr>
          <w:rFonts w:hint="eastAsia" w:ascii="黑体" w:hAnsi="黑体" w:eastAsia="黑体"/>
          <w:b/>
        </w:rPr>
        <w:t>3</w:t>
      </w:r>
      <w:r>
        <w:rPr>
          <w:rFonts w:ascii="黑体" w:hAnsi="黑体" w:eastAsia="黑体"/>
          <w:b/>
        </w:rPr>
        <w:t xml:space="preserve">   </w:t>
      </w:r>
      <w:r>
        <w:rPr>
          <w:rFonts w:hint="eastAsia" w:ascii="黑体" w:hAnsi="黑体" w:eastAsia="黑体"/>
          <w:b/>
        </w:rPr>
        <w:t>项目土壤</w:t>
      </w:r>
      <w:r>
        <w:rPr>
          <w:rFonts w:ascii="黑体" w:hAnsi="黑体" w:eastAsia="黑体"/>
          <w:b/>
        </w:rPr>
        <w:t>H</w:t>
      </w:r>
      <w:r>
        <w:rPr>
          <w:rFonts w:hint="eastAsia" w:ascii="黑体" w:hAnsi="黑体" w:eastAsia="黑体"/>
          <w:b/>
        </w:rPr>
        <w:t>离子增量预测结果一览表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089"/>
        <w:gridCol w:w="896"/>
        <w:gridCol w:w="1329"/>
        <w:gridCol w:w="1143"/>
        <w:gridCol w:w="1094"/>
        <w:gridCol w:w="1090"/>
        <w:gridCol w:w="1117"/>
      </w:tblGrid>
      <w:tr w14:paraId="3E43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47" w:type="dxa"/>
            <w:vAlign w:val="center"/>
          </w:tcPr>
          <w:p w14:paraId="5EF73F8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序号</w:t>
            </w:r>
          </w:p>
        </w:tc>
        <w:tc>
          <w:tcPr>
            <w:tcW w:w="1089" w:type="dxa"/>
            <w:vAlign w:val="center"/>
          </w:tcPr>
          <w:p w14:paraId="4E4C844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物质</w:t>
            </w:r>
          </w:p>
        </w:tc>
        <w:tc>
          <w:tcPr>
            <w:tcW w:w="896" w:type="dxa"/>
            <w:vAlign w:val="center"/>
          </w:tcPr>
          <w:p w14:paraId="687B125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输入量t/a</w:t>
            </w:r>
          </w:p>
        </w:tc>
        <w:tc>
          <w:tcPr>
            <w:tcW w:w="1329" w:type="dxa"/>
            <w:vAlign w:val="center"/>
          </w:tcPr>
          <w:p w14:paraId="547ACA0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表层土壤容重kg/m</w:t>
            </w:r>
            <w:r>
              <w:rPr>
                <w:rFonts w:hint="eastAsia" w:ascii="Times New Roman" w:hAnsi="Times New Roman" w:cs="Times New Roman"/>
                <w:bCs/>
                <w:snapToGrid w:val="0"/>
                <w:sz w:val="18"/>
                <w:szCs w:val="18"/>
                <w:u w:color="000000"/>
                <w:vertAlign w:val="superscript"/>
              </w:rPr>
              <w:t>3</w:t>
            </w:r>
          </w:p>
        </w:tc>
        <w:tc>
          <w:tcPr>
            <w:tcW w:w="1143" w:type="dxa"/>
            <w:vAlign w:val="center"/>
          </w:tcPr>
          <w:p w14:paraId="05A53A2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预测评价范围m</w:t>
            </w:r>
            <w:r>
              <w:rPr>
                <w:rFonts w:hint="eastAsia" w:ascii="Times New Roman" w:hAnsi="Times New Roman" w:cs="Times New Roman"/>
                <w:bCs/>
                <w:snapToGrid w:val="0"/>
                <w:sz w:val="18"/>
                <w:szCs w:val="18"/>
                <w:u w:color="000000"/>
                <w:vertAlign w:val="superscript"/>
              </w:rPr>
              <w:t>2</w:t>
            </w:r>
          </w:p>
        </w:tc>
        <w:tc>
          <w:tcPr>
            <w:tcW w:w="1094" w:type="dxa"/>
            <w:vAlign w:val="center"/>
          </w:tcPr>
          <w:p w14:paraId="2EB481D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土壤深度m</w:t>
            </w:r>
          </w:p>
        </w:tc>
        <w:tc>
          <w:tcPr>
            <w:tcW w:w="1090" w:type="dxa"/>
            <w:vAlign w:val="center"/>
          </w:tcPr>
          <w:p w14:paraId="5DE6249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持续年份a</w:t>
            </w:r>
          </w:p>
        </w:tc>
        <w:tc>
          <w:tcPr>
            <w:tcW w:w="1117" w:type="dxa"/>
            <w:vAlign w:val="center"/>
          </w:tcPr>
          <w:p w14:paraId="6116AEF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增量g/kg</w:t>
            </w:r>
          </w:p>
        </w:tc>
      </w:tr>
      <w:tr w14:paraId="161A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47" w:type="dxa"/>
            <w:vAlign w:val="center"/>
          </w:tcPr>
          <w:p w14:paraId="513E478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p>
        </w:tc>
        <w:tc>
          <w:tcPr>
            <w:tcW w:w="1089" w:type="dxa"/>
            <w:vAlign w:val="center"/>
          </w:tcPr>
          <w:p w14:paraId="5D4A1C7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H</w:t>
            </w:r>
          </w:p>
        </w:tc>
        <w:tc>
          <w:tcPr>
            <w:tcW w:w="896" w:type="dxa"/>
            <w:vAlign w:val="center"/>
          </w:tcPr>
          <w:p w14:paraId="7F33040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2.49</w:t>
            </w:r>
          </w:p>
        </w:tc>
        <w:tc>
          <w:tcPr>
            <w:tcW w:w="1329" w:type="dxa"/>
            <w:vAlign w:val="center"/>
          </w:tcPr>
          <w:p w14:paraId="632F6C7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1410</w:t>
            </w:r>
          </w:p>
        </w:tc>
        <w:tc>
          <w:tcPr>
            <w:tcW w:w="1143" w:type="dxa"/>
            <w:vAlign w:val="center"/>
          </w:tcPr>
          <w:p w14:paraId="2D611A4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7636000</w:t>
            </w:r>
          </w:p>
        </w:tc>
        <w:tc>
          <w:tcPr>
            <w:tcW w:w="1094" w:type="dxa"/>
            <w:vAlign w:val="center"/>
          </w:tcPr>
          <w:p w14:paraId="0139D1B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0.2</w:t>
            </w:r>
          </w:p>
        </w:tc>
        <w:tc>
          <w:tcPr>
            <w:tcW w:w="1090" w:type="dxa"/>
            <w:vAlign w:val="center"/>
          </w:tcPr>
          <w:p w14:paraId="222FFF2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30</w:t>
            </w:r>
          </w:p>
        </w:tc>
        <w:tc>
          <w:tcPr>
            <w:tcW w:w="1117" w:type="dxa"/>
            <w:vAlign w:val="center"/>
          </w:tcPr>
          <w:p w14:paraId="265B42B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0.06</w:t>
            </w:r>
          </w:p>
        </w:tc>
      </w:tr>
    </w:tbl>
    <w:p w14:paraId="1254AFE1">
      <w:pPr>
        <w:widowControl w:val="0"/>
        <w:autoSpaceDE w:val="0"/>
        <w:autoSpaceDN w:val="0"/>
        <w:adjustRightInd w:val="0"/>
        <w:jc w:val="center"/>
        <w:rPr>
          <w:rFonts w:ascii="Times New Roman" w:hAnsi="Times New Roman" w:cs="Times New Roman"/>
          <w:bCs/>
          <w:snapToGrid w:val="0"/>
          <w:sz w:val="18"/>
          <w:szCs w:val="18"/>
          <w:u w:color="000000"/>
        </w:rPr>
      </w:pPr>
    </w:p>
    <w:p w14:paraId="55EBFC87">
      <w:pPr>
        <w:overflowPunct w:val="0"/>
        <w:spacing w:line="360" w:lineRule="auto"/>
        <w:ind w:firstLine="480" w:firstLineChars="200"/>
        <w:rPr>
          <w:rFonts w:ascii="Times New Roman" w:hAnsi="Times New Roman"/>
          <w:szCs w:val="21"/>
        </w:rPr>
      </w:pPr>
      <w:r>
        <w:rPr>
          <w:rFonts w:hint="eastAsia" w:ascii="Times New Roman" w:hAnsi="Times New Roman"/>
          <w:szCs w:val="21"/>
        </w:rPr>
        <w:t>本次硫酸泄漏后表层土壤</w:t>
      </w:r>
      <w:r>
        <w:rPr>
          <w:rFonts w:ascii="Times New Roman" w:hAnsi="Times New Roman"/>
          <w:szCs w:val="21"/>
        </w:rPr>
        <w:t>pH</w:t>
      </w:r>
      <w:r>
        <w:rPr>
          <w:rFonts w:hint="eastAsia" w:ascii="Times New Roman" w:hAnsi="Times New Roman"/>
          <w:szCs w:val="21"/>
        </w:rPr>
        <w:t>值的预测值，可根据《环境影响评价技术导则 土壤环境（试行）》（</w:t>
      </w:r>
      <w:r>
        <w:rPr>
          <w:rFonts w:ascii="Times New Roman" w:hAnsi="Times New Roman"/>
          <w:szCs w:val="21"/>
        </w:rPr>
        <w:t>HJ 964-2018</w:t>
      </w:r>
      <w:r>
        <w:rPr>
          <w:rFonts w:hint="eastAsia" w:ascii="Times New Roman" w:hAnsi="Times New Roman"/>
          <w:szCs w:val="21"/>
        </w:rPr>
        <w:t>）附录</w:t>
      </w:r>
      <w:r>
        <w:rPr>
          <w:rFonts w:ascii="Times New Roman" w:hAnsi="Times New Roman"/>
          <w:szCs w:val="21"/>
        </w:rPr>
        <w:t>E</w:t>
      </w:r>
      <w:r>
        <w:rPr>
          <w:rFonts w:hint="eastAsia" w:ascii="Times New Roman" w:hAnsi="Times New Roman"/>
          <w:szCs w:val="21"/>
        </w:rPr>
        <w:t>中的</w:t>
      </w:r>
      <w:r>
        <w:rPr>
          <w:rFonts w:ascii="Times New Roman" w:hAnsi="Times New Roman"/>
          <w:szCs w:val="21"/>
        </w:rPr>
        <w:t>E.3</w:t>
      </w:r>
      <w:r>
        <w:rPr>
          <w:rFonts w:hint="eastAsia" w:ascii="Times New Roman" w:hAnsi="Times New Roman"/>
          <w:szCs w:val="21"/>
        </w:rPr>
        <w:t>公式进行计算，如下：</w:t>
      </w:r>
    </w:p>
    <w:p w14:paraId="5943A890">
      <w:pPr>
        <w:spacing w:line="360" w:lineRule="auto"/>
        <w:ind w:firstLine="1200" w:firstLineChars="500"/>
        <w:jc w:val="center"/>
        <w:rPr>
          <w:rFonts w:ascii="Times New Roman" w:hAnsi="Times New Roman" w:cs="Times New Roman"/>
        </w:rPr>
      </w:pPr>
      <w:r>
        <w:rPr>
          <w:rFonts w:ascii="Times New Roman" w:hAnsi="Times New Roman" w:cs="Times New Roman"/>
        </w:rPr>
        <w:t>pH=pH</w:t>
      </w:r>
      <w:r>
        <w:rPr>
          <w:rFonts w:ascii="Times New Roman" w:hAnsi="Times New Roman" w:cs="Times New Roman"/>
          <w:vertAlign w:val="subscript"/>
        </w:rPr>
        <w:t>b</w:t>
      </w:r>
      <w:r>
        <w:rPr>
          <w:rFonts w:ascii="Times New Roman" w:hAnsi="Times New Roman" w:cs="Times New Roman"/>
        </w:rPr>
        <w:t>-ΔS/BC</w:t>
      </w:r>
      <w:r>
        <w:rPr>
          <w:rFonts w:ascii="Times New Roman" w:hAnsi="Times New Roman" w:cs="Times New Roman"/>
          <w:vertAlign w:val="subscript"/>
        </w:rPr>
        <w:t>pH</w:t>
      </w:r>
    </w:p>
    <w:p w14:paraId="13A6727C">
      <w:pPr>
        <w:spacing w:line="360" w:lineRule="auto"/>
        <w:ind w:firstLine="478" w:firstLineChars="228"/>
        <w:rPr>
          <w:rFonts w:hint="eastAsia" w:ascii="Times New Roman"/>
          <w:sz w:val="21"/>
          <w:szCs w:val="21"/>
        </w:rPr>
      </w:pPr>
      <w:r>
        <w:rPr>
          <w:rFonts w:hint="eastAsia" w:ascii="Times New Roman"/>
          <w:sz w:val="21"/>
          <w:szCs w:val="21"/>
          <w:lang w:val="zh-CN"/>
        </w:rPr>
        <w:t>式中</w:t>
      </w:r>
      <w:r>
        <w:rPr>
          <w:rFonts w:hint="eastAsia" w:ascii="Times New Roman"/>
          <w:sz w:val="21"/>
          <w:szCs w:val="21"/>
        </w:rPr>
        <w:t>：pH</w:t>
      </w:r>
      <w:r>
        <w:rPr>
          <w:rFonts w:hint="eastAsia" w:ascii="Times New Roman"/>
          <w:sz w:val="21"/>
          <w:szCs w:val="21"/>
          <w:vertAlign w:val="subscript"/>
        </w:rPr>
        <w:t>b</w:t>
      </w:r>
      <w:r>
        <w:rPr>
          <w:rFonts w:hint="eastAsia" w:ascii="Times New Roman"/>
          <w:sz w:val="21"/>
          <w:szCs w:val="21"/>
        </w:rPr>
        <w:t>——</w:t>
      </w:r>
      <w:r>
        <w:rPr>
          <w:rFonts w:hint="eastAsia" w:ascii="Times New Roman"/>
          <w:sz w:val="21"/>
          <w:szCs w:val="21"/>
          <w:lang w:val="zh-CN"/>
        </w:rPr>
        <w:t>土壤</w:t>
      </w:r>
      <w:r>
        <w:rPr>
          <w:rFonts w:hint="eastAsia" w:ascii="Times New Roman"/>
          <w:sz w:val="21"/>
          <w:szCs w:val="21"/>
        </w:rPr>
        <w:t>pH</w:t>
      </w:r>
      <w:r>
        <w:rPr>
          <w:rFonts w:hint="eastAsia" w:ascii="Times New Roman"/>
          <w:sz w:val="21"/>
          <w:szCs w:val="21"/>
          <w:lang w:val="zh-CN"/>
        </w:rPr>
        <w:t>现状值</w:t>
      </w:r>
      <w:r>
        <w:rPr>
          <w:rFonts w:hint="eastAsia" w:ascii="Times New Roman"/>
          <w:sz w:val="21"/>
          <w:szCs w:val="21"/>
        </w:rPr>
        <w:t>；</w:t>
      </w:r>
    </w:p>
    <w:p w14:paraId="7382AE2D">
      <w:pPr>
        <w:spacing w:line="360" w:lineRule="auto"/>
        <w:ind w:firstLine="1260" w:firstLineChars="600"/>
        <w:rPr>
          <w:rFonts w:hint="eastAsia" w:ascii="Times New Roman"/>
          <w:sz w:val="21"/>
          <w:szCs w:val="21"/>
        </w:rPr>
      </w:pPr>
      <w:r>
        <w:rPr>
          <w:rFonts w:hint="eastAsia" w:ascii="Times New Roman"/>
          <w:sz w:val="21"/>
          <w:szCs w:val="21"/>
        </w:rPr>
        <w:t>BC</w:t>
      </w:r>
      <w:r>
        <w:rPr>
          <w:rFonts w:hint="eastAsia" w:ascii="Times New Roman"/>
          <w:sz w:val="21"/>
          <w:szCs w:val="21"/>
          <w:vertAlign w:val="subscript"/>
        </w:rPr>
        <w:t>pH</w:t>
      </w:r>
      <w:r>
        <w:rPr>
          <w:rFonts w:hint="eastAsia" w:ascii="Times New Roman"/>
          <w:sz w:val="21"/>
          <w:szCs w:val="21"/>
        </w:rPr>
        <w:t>——</w:t>
      </w:r>
      <w:r>
        <w:rPr>
          <w:rFonts w:hint="eastAsia" w:ascii="Times New Roman"/>
          <w:sz w:val="21"/>
          <w:szCs w:val="21"/>
          <w:lang w:val="zh-CN"/>
        </w:rPr>
        <w:t>缓冲容重</w:t>
      </w:r>
      <w:r>
        <w:rPr>
          <w:rFonts w:hint="eastAsia" w:ascii="Times New Roman"/>
          <w:sz w:val="21"/>
          <w:szCs w:val="21"/>
        </w:rPr>
        <w:t>，mmol/（kg·pH）；</w:t>
      </w:r>
    </w:p>
    <w:p w14:paraId="7760D7D9">
      <w:pPr>
        <w:spacing w:line="360" w:lineRule="auto"/>
        <w:ind w:firstLine="1260" w:firstLineChars="600"/>
        <w:rPr>
          <w:rFonts w:hint="eastAsia" w:ascii="Times New Roman"/>
          <w:sz w:val="21"/>
          <w:szCs w:val="21"/>
          <w:lang w:val="zh-CN"/>
        </w:rPr>
      </w:pPr>
      <w:r>
        <w:rPr>
          <w:rFonts w:hint="eastAsia" w:ascii="Times New Roman"/>
          <w:sz w:val="21"/>
          <w:szCs w:val="21"/>
          <w:lang w:val="zh-CN"/>
        </w:rPr>
        <w:t>pH——土壤pH预测值；</w:t>
      </w:r>
    </w:p>
    <w:p w14:paraId="5945A86D">
      <w:pPr>
        <w:overflowPunct w:val="0"/>
        <w:spacing w:line="360" w:lineRule="auto"/>
        <w:ind w:firstLine="480" w:firstLineChars="200"/>
        <w:rPr>
          <w:rFonts w:ascii="Times New Roman" w:hAnsi="Times New Roman"/>
          <w:szCs w:val="21"/>
        </w:rPr>
      </w:pPr>
      <w:r>
        <w:rPr>
          <w:rFonts w:hint="eastAsia" w:ascii="Times New Roman" w:hAnsi="Times New Roman"/>
          <w:szCs w:val="21"/>
        </w:rPr>
        <w:t>根据研究人员对</w:t>
      </w:r>
      <w:r>
        <w:rPr>
          <w:rFonts w:ascii="Times New Roman" w:hAnsi="Times New Roman"/>
          <w:szCs w:val="21"/>
        </w:rPr>
        <w:t>1%</w:t>
      </w:r>
      <w:r>
        <w:rPr>
          <w:rFonts w:hint="eastAsia" w:ascii="Times New Roman" w:hAnsi="Times New Roman"/>
          <w:szCs w:val="21"/>
        </w:rPr>
        <w:t>高岭土、</w:t>
      </w:r>
      <w:r>
        <w:rPr>
          <w:rFonts w:ascii="Times New Roman" w:hAnsi="Times New Roman"/>
          <w:szCs w:val="21"/>
        </w:rPr>
        <w:t>2.5%</w:t>
      </w:r>
      <w:r>
        <w:rPr>
          <w:rFonts w:hint="eastAsia" w:ascii="Times New Roman" w:hAnsi="Times New Roman"/>
          <w:szCs w:val="21"/>
        </w:rPr>
        <w:t>高岭土、</w:t>
      </w:r>
      <w:r>
        <w:rPr>
          <w:rFonts w:ascii="Times New Roman" w:hAnsi="Times New Roman"/>
          <w:szCs w:val="21"/>
        </w:rPr>
        <w:t>5%</w:t>
      </w:r>
      <w:r>
        <w:rPr>
          <w:rFonts w:hint="eastAsia" w:ascii="Times New Roman" w:hAnsi="Times New Roman"/>
          <w:szCs w:val="21"/>
        </w:rPr>
        <w:t>高岭土、</w:t>
      </w:r>
      <w:r>
        <w:rPr>
          <w:rFonts w:ascii="Times New Roman" w:hAnsi="Times New Roman"/>
          <w:szCs w:val="21"/>
        </w:rPr>
        <w:t>7.5%</w:t>
      </w:r>
      <w:r>
        <w:rPr>
          <w:rFonts w:hint="eastAsia" w:ascii="Times New Roman" w:hAnsi="Times New Roman"/>
          <w:szCs w:val="21"/>
        </w:rPr>
        <w:t>高岭土、</w:t>
      </w:r>
      <w:r>
        <w:rPr>
          <w:rFonts w:ascii="Times New Roman" w:hAnsi="Times New Roman"/>
          <w:szCs w:val="21"/>
        </w:rPr>
        <w:t>1%CaCO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2.5%CaCO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5%CaCO</w:t>
      </w:r>
      <w:r>
        <w:rPr>
          <w:rFonts w:ascii="Times New Roman" w:hAnsi="Times New Roman"/>
          <w:szCs w:val="21"/>
          <w:vertAlign w:val="subscript"/>
        </w:rPr>
        <w:t>3</w:t>
      </w:r>
      <w:r>
        <w:rPr>
          <w:rFonts w:hint="eastAsia" w:ascii="Times New Roman" w:hAnsi="Times New Roman"/>
          <w:szCs w:val="21"/>
        </w:rPr>
        <w:t>、</w:t>
      </w:r>
      <w:r>
        <w:rPr>
          <w:rFonts w:ascii="Times New Roman" w:hAnsi="Times New Roman"/>
          <w:szCs w:val="21"/>
        </w:rPr>
        <w:t>7.5%CaCO</w:t>
      </w:r>
      <w:r>
        <w:rPr>
          <w:rFonts w:ascii="Times New Roman" w:hAnsi="Times New Roman"/>
          <w:szCs w:val="21"/>
          <w:vertAlign w:val="subscript"/>
        </w:rPr>
        <w:t>3</w:t>
      </w:r>
      <w:r>
        <w:rPr>
          <w:rFonts w:hint="eastAsia" w:ascii="Times New Roman" w:hAnsi="Times New Roman"/>
          <w:szCs w:val="21"/>
        </w:rPr>
        <w:t>等各类土壤的研究显示，其缓冲量分别为</w:t>
      </w:r>
      <w:r>
        <w:rPr>
          <w:rFonts w:ascii="Times New Roman" w:hAnsi="Times New Roman"/>
          <w:szCs w:val="21"/>
        </w:rPr>
        <w:t>0.399</w:t>
      </w:r>
      <w:r>
        <w:rPr>
          <w:rFonts w:hint="eastAsia" w:ascii="Times New Roman" w:hAnsi="Times New Roman"/>
          <w:szCs w:val="21"/>
        </w:rPr>
        <w:t>、</w:t>
      </w:r>
      <w:r>
        <w:rPr>
          <w:rFonts w:ascii="Times New Roman" w:hAnsi="Times New Roman"/>
          <w:szCs w:val="21"/>
        </w:rPr>
        <w:t>0.315</w:t>
      </w:r>
      <w:r>
        <w:rPr>
          <w:rFonts w:hint="eastAsia" w:ascii="Times New Roman" w:hAnsi="Times New Roman"/>
          <w:szCs w:val="21"/>
        </w:rPr>
        <w:t>、</w:t>
      </w:r>
      <w:r>
        <w:rPr>
          <w:rFonts w:ascii="Times New Roman" w:hAnsi="Times New Roman"/>
          <w:szCs w:val="21"/>
        </w:rPr>
        <w:t>0.287</w:t>
      </w:r>
      <w:r>
        <w:rPr>
          <w:rFonts w:hint="eastAsia" w:ascii="Times New Roman" w:hAnsi="Times New Roman"/>
          <w:szCs w:val="21"/>
        </w:rPr>
        <w:t>、</w:t>
      </w:r>
      <w:r>
        <w:rPr>
          <w:rFonts w:ascii="Times New Roman" w:hAnsi="Times New Roman"/>
          <w:szCs w:val="21"/>
        </w:rPr>
        <w:t>0.242</w:t>
      </w:r>
      <w:r>
        <w:rPr>
          <w:rFonts w:hint="eastAsia" w:ascii="Times New Roman" w:hAnsi="Times New Roman"/>
          <w:szCs w:val="21"/>
        </w:rPr>
        <w:t>、</w:t>
      </w:r>
      <w:r>
        <w:rPr>
          <w:rFonts w:ascii="Times New Roman" w:hAnsi="Times New Roman"/>
          <w:szCs w:val="21"/>
        </w:rPr>
        <w:t>0.391</w:t>
      </w:r>
      <w:r>
        <w:rPr>
          <w:rFonts w:hint="eastAsia" w:ascii="Times New Roman" w:hAnsi="Times New Roman"/>
          <w:szCs w:val="21"/>
        </w:rPr>
        <w:t>、</w:t>
      </w:r>
      <w:r>
        <w:rPr>
          <w:rFonts w:ascii="Times New Roman" w:hAnsi="Times New Roman"/>
          <w:szCs w:val="21"/>
        </w:rPr>
        <w:t>0.326</w:t>
      </w:r>
      <w:r>
        <w:rPr>
          <w:rFonts w:hint="eastAsia" w:ascii="Times New Roman" w:hAnsi="Times New Roman"/>
          <w:szCs w:val="21"/>
        </w:rPr>
        <w:t>、</w:t>
      </w:r>
      <w:r>
        <w:rPr>
          <w:rFonts w:ascii="Times New Roman" w:hAnsi="Times New Roman"/>
          <w:szCs w:val="21"/>
        </w:rPr>
        <w:t>0.261</w:t>
      </w:r>
      <w:r>
        <w:rPr>
          <w:rFonts w:hint="eastAsia" w:ascii="Times New Roman" w:hAnsi="Times New Roman"/>
          <w:szCs w:val="21"/>
        </w:rPr>
        <w:t>、</w:t>
      </w:r>
      <w:r>
        <w:rPr>
          <w:rFonts w:ascii="Times New Roman" w:hAnsi="Times New Roman"/>
          <w:szCs w:val="21"/>
        </w:rPr>
        <w:t>0.238</w:t>
      </w:r>
      <w:r>
        <w:rPr>
          <w:rFonts w:hint="eastAsia" w:ascii="Times New Roman" w:hAnsi="Times New Roman"/>
          <w:szCs w:val="21"/>
        </w:rPr>
        <w:t>，即土壤中的石灰石、腐殖质的含量等会影响土壤缓冲容量。石灰石比例越大，土壤缓冲容量就越小；腐殖质含量越多，土壤缓冲容量就越大。本项目所在区域的土壤腐殖质较少，石灰石含量较大，</w:t>
      </w:r>
      <w:r>
        <w:rPr>
          <w:rFonts w:ascii="Times New Roman" w:hAnsi="Times New Roman"/>
          <w:szCs w:val="21"/>
        </w:rPr>
        <w:t>BC</w:t>
      </w:r>
      <w:r>
        <w:rPr>
          <w:rFonts w:ascii="Times New Roman" w:hAnsi="Times New Roman"/>
          <w:szCs w:val="21"/>
          <w:vertAlign w:val="subscript"/>
        </w:rPr>
        <w:t>PH</w:t>
      </w:r>
      <w:r>
        <w:rPr>
          <w:rFonts w:hint="eastAsia" w:ascii="Times New Roman" w:hAnsi="Times New Roman"/>
          <w:szCs w:val="21"/>
        </w:rPr>
        <w:t>土壤容重类比取</w:t>
      </w:r>
      <w:r>
        <w:rPr>
          <w:rFonts w:ascii="Times New Roman" w:hAnsi="Times New Roman"/>
          <w:szCs w:val="21"/>
        </w:rPr>
        <w:t>0.242</w:t>
      </w:r>
      <w:r>
        <w:rPr>
          <w:rFonts w:hint="eastAsia" w:ascii="Times New Roman" w:hAnsi="Times New Roman"/>
          <w:szCs w:val="21"/>
        </w:rPr>
        <w:t>。</w:t>
      </w:r>
    </w:p>
    <w:p w14:paraId="605B3C88">
      <w:pPr>
        <w:overflowPunct w:val="0"/>
        <w:spacing w:line="360" w:lineRule="auto"/>
        <w:ind w:firstLine="480" w:firstLineChars="200"/>
        <w:rPr>
          <w:rFonts w:ascii="Times New Roman" w:hAnsi="Times New Roman"/>
          <w:szCs w:val="21"/>
        </w:rPr>
      </w:pPr>
      <w:r>
        <w:rPr>
          <w:rFonts w:hint="eastAsia" w:ascii="Times New Roman" w:hAnsi="Times New Roman"/>
          <w:szCs w:val="21"/>
        </w:rPr>
        <w:t>因此，</w:t>
      </w:r>
      <w:r>
        <w:rPr>
          <w:rFonts w:ascii="Times New Roman" w:hAnsi="Times New Roman"/>
          <w:szCs w:val="21"/>
        </w:rPr>
        <w:t>pH=</w:t>
      </w:r>
      <w:r>
        <w:rPr>
          <w:rFonts w:hint="eastAsia" w:ascii="Times New Roman" w:hAnsi="Times New Roman"/>
          <w:szCs w:val="21"/>
        </w:rPr>
        <w:t>7.48</w:t>
      </w:r>
      <w:r>
        <w:rPr>
          <w:rFonts w:ascii="Times New Roman" w:hAnsi="Times New Roman"/>
          <w:szCs w:val="21"/>
        </w:rPr>
        <w:t>-0.</w:t>
      </w:r>
      <w:r>
        <w:rPr>
          <w:rFonts w:hint="eastAsia" w:ascii="Times New Roman" w:hAnsi="Times New Roman"/>
          <w:szCs w:val="21"/>
        </w:rPr>
        <w:t>06</w:t>
      </w:r>
      <w:r>
        <w:rPr>
          <w:rFonts w:ascii="Times New Roman" w:hAnsi="Times New Roman"/>
          <w:szCs w:val="21"/>
        </w:rPr>
        <w:t>/0.242=</w:t>
      </w:r>
      <w:r>
        <w:rPr>
          <w:rFonts w:hint="eastAsia" w:ascii="Times New Roman" w:hAnsi="Times New Roman"/>
          <w:szCs w:val="21"/>
        </w:rPr>
        <w:t>7.23</w:t>
      </w:r>
    </w:p>
    <w:p w14:paraId="272E0C91">
      <w:pPr>
        <w:overflowPunct w:val="0"/>
        <w:spacing w:line="360" w:lineRule="auto"/>
        <w:ind w:firstLine="480" w:firstLineChars="200"/>
        <w:rPr>
          <w:rFonts w:ascii="Times New Roman" w:hAnsi="Times New Roman"/>
          <w:szCs w:val="21"/>
        </w:rPr>
      </w:pPr>
      <w:r>
        <w:rPr>
          <w:rFonts w:hint="eastAsia" w:ascii="Times New Roman" w:hAnsi="Times New Roman"/>
          <w:szCs w:val="21"/>
        </w:rPr>
        <w:t>根据预测结果可以看出，硫酸泄漏对表层土壤pH值影响较小。</w:t>
      </w:r>
    </w:p>
    <w:bookmarkEnd w:id="366"/>
    <w:p w14:paraId="2CA4E461">
      <w:pPr>
        <w:numPr>
          <w:ilvl w:val="2"/>
          <w:numId w:val="1"/>
        </w:numPr>
        <w:spacing w:line="360" w:lineRule="auto"/>
        <w:ind w:left="0"/>
        <w:outlineLvl w:val="2"/>
        <w:rPr>
          <w:rFonts w:hint="eastAsia" w:ascii="黑体" w:hAnsi="黑体" w:eastAsia="黑体"/>
          <w:b/>
          <w:sz w:val="28"/>
        </w:rPr>
      </w:pPr>
      <w:r>
        <w:rPr>
          <w:rFonts w:hint="eastAsia" w:ascii="黑体" w:hAnsi="黑体" w:eastAsia="黑体"/>
          <w:b/>
          <w:sz w:val="28"/>
        </w:rPr>
        <w:t>小结</w:t>
      </w:r>
    </w:p>
    <w:p w14:paraId="4CDA1E93">
      <w:pPr>
        <w:overflowPunct w:val="0"/>
        <w:spacing w:line="360" w:lineRule="auto"/>
        <w:ind w:firstLine="480" w:firstLineChars="200"/>
        <w:rPr>
          <w:rFonts w:ascii="Times New Roman" w:hAnsi="Times New Roman"/>
          <w:szCs w:val="21"/>
        </w:rPr>
      </w:pPr>
      <w:bookmarkStart w:id="367" w:name="_Hlk162882111"/>
      <w:r>
        <w:rPr>
          <w:rFonts w:hint="eastAsia"/>
          <w:szCs w:val="21"/>
        </w:rPr>
        <w:t>本项目对土壤环境的影响主要是正常状况下大气沉降影响和非正常状况下污水处理站综合调节池污染物垂直入渗影响，预测结论如下：</w:t>
      </w:r>
    </w:p>
    <w:p w14:paraId="66D3D63A">
      <w:pPr>
        <w:overflowPunct w:val="0"/>
        <w:spacing w:line="360" w:lineRule="auto"/>
        <w:ind w:firstLine="48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硫酸雾</w:t>
      </w:r>
      <w:r>
        <w:rPr>
          <w:rFonts w:ascii="Times New Roman" w:hAnsi="Times New Roman"/>
          <w:szCs w:val="21"/>
        </w:rPr>
        <w:t>大气沉降不会引起表层土壤中</w:t>
      </w:r>
      <w:r>
        <w:rPr>
          <w:rFonts w:hint="eastAsia" w:ascii="Times New Roman" w:hAnsi="Times New Roman"/>
          <w:szCs w:val="21"/>
        </w:rPr>
        <w:t>pH值酸化</w:t>
      </w:r>
      <w:r>
        <w:rPr>
          <w:rFonts w:ascii="Times New Roman" w:hAnsi="Times New Roman"/>
          <w:szCs w:val="21"/>
        </w:rPr>
        <w:t>，排入大气环境的</w:t>
      </w:r>
      <w:r>
        <w:rPr>
          <w:rFonts w:hint="eastAsia" w:ascii="Times New Roman" w:hAnsi="Times New Roman"/>
          <w:szCs w:val="21"/>
        </w:rPr>
        <w:t>硫酸雾</w:t>
      </w:r>
      <w:r>
        <w:rPr>
          <w:rFonts w:ascii="Times New Roman" w:hAnsi="Times New Roman"/>
          <w:szCs w:val="21"/>
        </w:rPr>
        <w:t>沉降对周边土壤环境的影响较小，对周边土壤环境敏感目标影响程度有限。</w:t>
      </w:r>
    </w:p>
    <w:p w14:paraId="67CE4D54">
      <w:pPr>
        <w:overflowPunct w:val="0"/>
        <w:spacing w:line="360" w:lineRule="auto"/>
        <w:ind w:firstLine="480" w:firstLineChars="200"/>
        <w:rPr>
          <w:rFonts w:ascii="Times New Roman" w:hAnsi="Times New Roman"/>
          <w:szCs w:val="21"/>
        </w:rPr>
      </w:pPr>
      <w:r>
        <w:rPr>
          <w:rFonts w:ascii="Times New Roman" w:hAnsi="Times New Roman"/>
          <w:szCs w:val="21"/>
        </w:rPr>
        <w:t>（2）</w:t>
      </w:r>
      <w:r>
        <w:rPr>
          <w:rFonts w:hint="eastAsia" w:ascii="Times New Roman" w:hAnsi="Times New Roman"/>
          <w:szCs w:val="21"/>
        </w:rPr>
        <w:t>污水处理站调节池破损，导致HCN、石油类等污染物持续泄漏，泄漏20d、40d、60d、80d、100d污染物影响范围均为地表以下4.0m范围内。</w:t>
      </w:r>
    </w:p>
    <w:p w14:paraId="70797CAF">
      <w:pPr>
        <w:overflowPunct w:val="0"/>
        <w:spacing w:line="360" w:lineRule="auto"/>
        <w:ind w:firstLine="480" w:firstLineChars="200"/>
        <w:rPr>
          <w:rFonts w:ascii="Times New Roman" w:hAnsi="Times New Roman"/>
          <w:szCs w:val="21"/>
        </w:rPr>
      </w:pPr>
      <w:r>
        <w:rPr>
          <w:rFonts w:hint="eastAsia" w:ascii="Times New Roman" w:hAnsi="Times New Roman"/>
          <w:szCs w:val="21"/>
        </w:rPr>
        <w:t>（3）硫酸储罐泄漏，导致硫酸中氢离子进入土壤，根据预测结果可以看出，硫酸泄漏会导致表层土壤pH值较少。</w:t>
      </w:r>
    </w:p>
    <w:p w14:paraId="7FB1385C">
      <w:pPr>
        <w:overflowPunct w:val="0"/>
        <w:spacing w:line="360" w:lineRule="auto"/>
        <w:ind w:firstLine="480" w:firstLineChars="200"/>
        <w:rPr>
          <w:rFonts w:ascii="Times New Roman" w:hAnsi="Times New Roman"/>
          <w:szCs w:val="21"/>
        </w:rPr>
      </w:pPr>
      <w:r>
        <w:rPr>
          <w:rFonts w:hint="eastAsia"/>
          <w:szCs w:val="21"/>
        </w:rPr>
        <w:t>根据预测结果可以知道，项目场地包气带土层渗透性强，防污性能弱，垂直入渗泄漏的污染物很容易穿透包气带进入下部的含水层中，在建设项目施工中，应注意防渗层、防渗措施等隐蔽工程的施工，同时在尽可能加大防渗层的厚度和降低其渗透系数的同时，采用柔性</w:t>
      </w:r>
      <w:r>
        <w:rPr>
          <w:rFonts w:hint="eastAsia" w:ascii="Times New Roman" w:hAnsi="Times New Roman"/>
          <w:szCs w:val="21"/>
        </w:rPr>
        <w:t>+</w:t>
      </w:r>
      <w:r>
        <w:rPr>
          <w:rFonts w:hint="eastAsia"/>
          <w:szCs w:val="21"/>
        </w:rPr>
        <w:t>刚性复合防渗结构设置防渗，增加防渗措施的可靠性，减少污染物迅速穿过防渗层从而污染地下水的风险。</w:t>
      </w:r>
    </w:p>
    <w:p w14:paraId="4CCC2C1D">
      <w:pPr>
        <w:overflowPunct w:val="0"/>
        <w:spacing w:line="360" w:lineRule="auto"/>
        <w:ind w:firstLine="480" w:firstLineChars="200"/>
        <w:rPr>
          <w:rFonts w:hint="eastAsia"/>
          <w:szCs w:val="21"/>
        </w:rPr>
      </w:pPr>
      <w:r>
        <w:rPr>
          <w:rFonts w:hint="eastAsia"/>
          <w:szCs w:val="21"/>
        </w:rPr>
        <w:t>针对工程可能发生的土壤污染，按照</w:t>
      </w:r>
      <w:r>
        <w:rPr>
          <w:rFonts w:ascii="Times New Roman" w:hAnsi="Times New Roman"/>
          <w:szCs w:val="21"/>
        </w:rPr>
        <w:t>“</w:t>
      </w:r>
      <w:r>
        <w:rPr>
          <w:rFonts w:hint="eastAsia"/>
          <w:szCs w:val="21"/>
        </w:rPr>
        <w:t>源头控制、末端防治、污染监控、应急响应</w:t>
      </w:r>
      <w:r>
        <w:rPr>
          <w:rFonts w:ascii="Times New Roman" w:hAnsi="Times New Roman"/>
          <w:szCs w:val="21"/>
        </w:rPr>
        <w:t>”</w:t>
      </w:r>
      <w:r>
        <w:rPr>
          <w:rFonts w:hint="eastAsia"/>
          <w:szCs w:val="21"/>
        </w:rPr>
        <w:t>相结合的原则，从污染物的产生、入渗、扩散、应急响应全阶段进行控制；进行污染防治分区，按照《石油化工工程防渗技术规范》（</w:t>
      </w:r>
      <w:r>
        <w:rPr>
          <w:rFonts w:hint="eastAsia" w:ascii="Times New Roman" w:hAnsi="Times New Roman"/>
          <w:szCs w:val="21"/>
        </w:rPr>
        <w:t>GB/T50934-2013</w:t>
      </w:r>
      <w:r>
        <w:rPr>
          <w:rFonts w:hint="eastAsia"/>
          <w:szCs w:val="21"/>
        </w:rPr>
        <w:t>）要求分区防渗处理；另外，本项目已制定地下水环境跟踪监测措施，制定跟踪监测计划，建立完善的跟踪监测制度，以便及时发现并有效控制。</w:t>
      </w:r>
    </w:p>
    <w:p w14:paraId="4FC536C4">
      <w:pPr>
        <w:overflowPunct w:val="0"/>
        <w:spacing w:line="360" w:lineRule="auto"/>
        <w:ind w:firstLine="480" w:firstLineChars="200"/>
        <w:rPr>
          <w:rFonts w:ascii="Times New Roman" w:hAnsi="Times New Roman"/>
          <w:szCs w:val="21"/>
        </w:rPr>
      </w:pPr>
      <w:r>
        <w:rPr>
          <w:rFonts w:hint="eastAsia"/>
          <w:szCs w:val="21"/>
        </w:rPr>
        <w:t>根据建设项目的土壤环境现状、预测评价结果，从土壤环境影响的角度，项目可行。</w:t>
      </w:r>
    </w:p>
    <w:bookmarkEnd w:id="367"/>
    <w:p w14:paraId="5BD2DC10">
      <w:pPr>
        <w:numPr>
          <w:ilvl w:val="2"/>
          <w:numId w:val="1"/>
        </w:numPr>
        <w:spacing w:line="360" w:lineRule="auto"/>
        <w:ind w:left="0"/>
        <w:outlineLvl w:val="2"/>
        <w:rPr>
          <w:rFonts w:hint="eastAsia" w:ascii="黑体" w:hAnsi="黑体" w:eastAsia="黑体"/>
          <w:b/>
          <w:sz w:val="28"/>
        </w:rPr>
      </w:pPr>
      <w:r>
        <w:rPr>
          <w:rFonts w:hint="eastAsia" w:ascii="黑体" w:hAnsi="黑体" w:eastAsia="黑体"/>
          <w:b/>
          <w:sz w:val="28"/>
        </w:rPr>
        <w:t>土壤环境影响评价自查表</w:t>
      </w:r>
    </w:p>
    <w:p w14:paraId="43512A01">
      <w:pPr>
        <w:overflowPunct w:val="0"/>
        <w:spacing w:line="360" w:lineRule="auto"/>
        <w:ind w:firstLine="480" w:firstLineChars="200"/>
        <w:rPr>
          <w:rFonts w:hint="eastAsia"/>
          <w:szCs w:val="21"/>
        </w:rPr>
      </w:pPr>
      <w:r>
        <w:rPr>
          <w:rFonts w:hint="eastAsia"/>
          <w:szCs w:val="21"/>
        </w:rPr>
        <w:t>项目土壤环境影响评价自查表见表</w:t>
      </w:r>
      <w:r>
        <w:rPr>
          <w:rFonts w:hint="eastAsia" w:ascii="Times New Roman" w:hAnsi="Times New Roman"/>
          <w:szCs w:val="21"/>
        </w:rPr>
        <w:t>5</w:t>
      </w:r>
      <w:r>
        <w:rPr>
          <w:rFonts w:ascii="Times New Roman" w:hAnsi="Times New Roman"/>
          <w:szCs w:val="21"/>
        </w:rPr>
        <w:t>.8.5-1</w:t>
      </w:r>
      <w:r>
        <w:rPr>
          <w:rFonts w:hint="eastAsia"/>
          <w:szCs w:val="21"/>
        </w:rPr>
        <w:t>。</w:t>
      </w:r>
    </w:p>
    <w:p w14:paraId="1BC53A30">
      <w:pPr>
        <w:overflowPunct w:val="0"/>
        <w:autoSpaceDE w:val="0"/>
        <w:autoSpaceDN w:val="0"/>
        <w:spacing w:line="360" w:lineRule="auto"/>
        <w:jc w:val="center"/>
        <w:textAlignment w:val="baseline"/>
        <w:rPr>
          <w:rFonts w:hint="eastAsia" w:ascii="黑体" w:hAnsi="黑体" w:eastAsia="黑体"/>
          <w:b/>
          <w:snapToGrid w:val="0"/>
        </w:rPr>
      </w:pPr>
      <w:r>
        <w:rPr>
          <w:rFonts w:hint="eastAsia" w:ascii="黑体" w:hAnsi="黑体" w:eastAsia="黑体"/>
          <w:b/>
          <w:snapToGrid w:val="0"/>
        </w:rPr>
        <w:t>表5</w:t>
      </w:r>
      <w:r>
        <w:rPr>
          <w:rFonts w:ascii="黑体" w:hAnsi="黑体" w:eastAsia="黑体"/>
          <w:b/>
          <w:snapToGrid w:val="0"/>
        </w:rPr>
        <w:t xml:space="preserve">.8.5-1    </w:t>
      </w:r>
      <w:r>
        <w:rPr>
          <w:rFonts w:hint="eastAsia" w:ascii="黑体" w:hAnsi="黑体" w:eastAsia="黑体"/>
          <w:b/>
          <w:snapToGrid w:val="0"/>
        </w:rPr>
        <w:t>土壤环境影响评价自查表</w:t>
      </w:r>
    </w:p>
    <w:tbl>
      <w:tblPr>
        <w:tblStyle w:val="6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1555"/>
        <w:gridCol w:w="1248"/>
        <w:gridCol w:w="417"/>
        <w:gridCol w:w="832"/>
        <w:gridCol w:w="833"/>
        <w:gridCol w:w="416"/>
        <w:gridCol w:w="1556"/>
        <w:gridCol w:w="1071"/>
      </w:tblGrid>
      <w:tr w14:paraId="254E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3" w:type="dxa"/>
            <w:gridSpan w:val="2"/>
            <w:vAlign w:val="center"/>
          </w:tcPr>
          <w:p w14:paraId="7856046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工作内容</w:t>
            </w:r>
          </w:p>
        </w:tc>
        <w:tc>
          <w:tcPr>
            <w:tcW w:w="5302" w:type="dxa"/>
            <w:gridSpan w:val="6"/>
            <w:vAlign w:val="center"/>
          </w:tcPr>
          <w:p w14:paraId="16F3A96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完成情况</w:t>
            </w:r>
          </w:p>
        </w:tc>
        <w:tc>
          <w:tcPr>
            <w:tcW w:w="1071" w:type="dxa"/>
            <w:vAlign w:val="center"/>
          </w:tcPr>
          <w:p w14:paraId="1CB6A11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备注</w:t>
            </w:r>
          </w:p>
        </w:tc>
      </w:tr>
      <w:tr w14:paraId="6402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3CBF4BF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影</w:t>
            </w:r>
          </w:p>
          <w:p w14:paraId="11D10F3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响</w:t>
            </w:r>
          </w:p>
          <w:p w14:paraId="1C410FA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识</w:t>
            </w:r>
          </w:p>
          <w:p w14:paraId="0701C09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别</w:t>
            </w:r>
          </w:p>
        </w:tc>
        <w:tc>
          <w:tcPr>
            <w:tcW w:w="1555" w:type="dxa"/>
            <w:vAlign w:val="center"/>
          </w:tcPr>
          <w:p w14:paraId="6945918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影响类型</w:t>
            </w:r>
          </w:p>
        </w:tc>
        <w:tc>
          <w:tcPr>
            <w:tcW w:w="5302" w:type="dxa"/>
            <w:gridSpan w:val="6"/>
            <w:vAlign w:val="center"/>
          </w:tcPr>
          <w:p w14:paraId="2CEBF45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污染影响型</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；生态影响型□；两种兼有□</w:t>
            </w:r>
          </w:p>
        </w:tc>
        <w:tc>
          <w:tcPr>
            <w:tcW w:w="1071" w:type="dxa"/>
            <w:vAlign w:val="center"/>
          </w:tcPr>
          <w:p w14:paraId="730A0F8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w:t>
            </w:r>
          </w:p>
        </w:tc>
      </w:tr>
      <w:tr w14:paraId="047C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CDC38FA">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6782A0C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土地利用类型</w:t>
            </w:r>
          </w:p>
        </w:tc>
        <w:tc>
          <w:tcPr>
            <w:tcW w:w="5302" w:type="dxa"/>
            <w:gridSpan w:val="6"/>
            <w:vAlign w:val="center"/>
          </w:tcPr>
          <w:p w14:paraId="195F5AA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建设用地</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；农用地□；未利用地□</w:t>
            </w:r>
          </w:p>
        </w:tc>
        <w:tc>
          <w:tcPr>
            <w:tcW w:w="1071" w:type="dxa"/>
            <w:vAlign w:val="center"/>
          </w:tcPr>
          <w:p w14:paraId="7A25500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有土地利用类型图</w:t>
            </w:r>
          </w:p>
        </w:tc>
      </w:tr>
      <w:tr w14:paraId="67CF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D83AA00">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7F1DA42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占地规模</w:t>
            </w:r>
          </w:p>
        </w:tc>
        <w:tc>
          <w:tcPr>
            <w:tcW w:w="5302" w:type="dxa"/>
            <w:gridSpan w:val="6"/>
            <w:vAlign w:val="center"/>
          </w:tcPr>
          <w:p w14:paraId="2F2F6A6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总占地面积为51.024hm</w:t>
            </w:r>
            <w:r>
              <w:rPr>
                <w:rFonts w:hint="eastAsia" w:ascii="Times New Roman" w:hAnsi="Times New Roman" w:cs="Times New Roman"/>
                <w:bCs/>
                <w:snapToGrid w:val="0"/>
                <w:sz w:val="18"/>
                <w:szCs w:val="18"/>
                <w:u w:color="000000"/>
                <w:vertAlign w:val="superscript"/>
              </w:rPr>
              <w:t>2</w:t>
            </w:r>
            <w:r>
              <w:rPr>
                <w:rFonts w:hint="eastAsia" w:ascii="Times New Roman" w:hAnsi="Times New Roman" w:cs="Times New Roman"/>
                <w:bCs/>
                <w:snapToGrid w:val="0"/>
                <w:sz w:val="18"/>
                <w:szCs w:val="18"/>
                <w:u w:color="000000"/>
              </w:rPr>
              <w:t>，占地规模属于“大型（≥50 hm</w:t>
            </w:r>
            <w:r>
              <w:rPr>
                <w:rFonts w:hint="eastAsia" w:ascii="Times New Roman" w:hAnsi="Times New Roman" w:cs="Times New Roman"/>
                <w:bCs/>
                <w:snapToGrid w:val="0"/>
                <w:sz w:val="18"/>
                <w:szCs w:val="18"/>
                <w:u w:color="000000"/>
                <w:vertAlign w:val="superscript"/>
              </w:rPr>
              <w:t>2</w:t>
            </w:r>
            <w:r>
              <w:rPr>
                <w:rFonts w:hint="eastAsia" w:ascii="Times New Roman" w:hAnsi="Times New Roman" w:cs="Times New Roman"/>
                <w:bCs/>
                <w:snapToGrid w:val="0"/>
                <w:sz w:val="18"/>
                <w:szCs w:val="18"/>
                <w:u w:color="000000"/>
              </w:rPr>
              <w:t>）”。</w:t>
            </w:r>
          </w:p>
        </w:tc>
        <w:tc>
          <w:tcPr>
            <w:tcW w:w="1071" w:type="dxa"/>
            <w:vAlign w:val="center"/>
          </w:tcPr>
          <w:p w14:paraId="49128D9F">
            <w:pPr>
              <w:widowControl w:val="0"/>
              <w:autoSpaceDE w:val="0"/>
              <w:autoSpaceDN w:val="0"/>
              <w:adjustRightInd w:val="0"/>
              <w:jc w:val="center"/>
              <w:rPr>
                <w:rFonts w:ascii="Times New Roman" w:hAnsi="Times New Roman" w:cs="Times New Roman"/>
                <w:bCs/>
                <w:snapToGrid w:val="0"/>
                <w:sz w:val="18"/>
                <w:szCs w:val="18"/>
                <w:u w:color="000000"/>
              </w:rPr>
            </w:pPr>
          </w:p>
        </w:tc>
      </w:tr>
      <w:tr w14:paraId="1D42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2D97D613">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34FC71D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敏感目标信息</w:t>
            </w:r>
          </w:p>
        </w:tc>
        <w:tc>
          <w:tcPr>
            <w:tcW w:w="5302" w:type="dxa"/>
            <w:gridSpan w:val="6"/>
            <w:vAlign w:val="center"/>
          </w:tcPr>
          <w:p w14:paraId="53A918C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敏感目标（无）、方位（</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）、距离（</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w:t>
            </w:r>
          </w:p>
        </w:tc>
        <w:tc>
          <w:tcPr>
            <w:tcW w:w="1071" w:type="dxa"/>
            <w:vAlign w:val="center"/>
          </w:tcPr>
          <w:p w14:paraId="19278C6B">
            <w:pPr>
              <w:widowControl w:val="0"/>
              <w:autoSpaceDE w:val="0"/>
              <w:autoSpaceDN w:val="0"/>
              <w:adjustRightInd w:val="0"/>
              <w:jc w:val="center"/>
              <w:rPr>
                <w:rFonts w:ascii="Times New Roman" w:hAnsi="Times New Roman" w:cs="Times New Roman"/>
                <w:bCs/>
                <w:snapToGrid w:val="0"/>
                <w:sz w:val="18"/>
                <w:szCs w:val="18"/>
                <w:u w:color="000000"/>
              </w:rPr>
            </w:pPr>
          </w:p>
        </w:tc>
      </w:tr>
      <w:tr w14:paraId="616D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DF56A5A">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6AFDC87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影响途径</w:t>
            </w:r>
          </w:p>
        </w:tc>
        <w:tc>
          <w:tcPr>
            <w:tcW w:w="5302" w:type="dxa"/>
            <w:gridSpan w:val="6"/>
            <w:vAlign w:val="center"/>
          </w:tcPr>
          <w:p w14:paraId="2501AD1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大气沉降</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；地面漫流□；垂直入渗</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；地下水位□；其他（）</w:t>
            </w:r>
          </w:p>
        </w:tc>
        <w:tc>
          <w:tcPr>
            <w:tcW w:w="1071" w:type="dxa"/>
            <w:vAlign w:val="center"/>
          </w:tcPr>
          <w:p w14:paraId="4C5B30D7">
            <w:pPr>
              <w:widowControl w:val="0"/>
              <w:autoSpaceDE w:val="0"/>
              <w:autoSpaceDN w:val="0"/>
              <w:adjustRightInd w:val="0"/>
              <w:jc w:val="center"/>
              <w:rPr>
                <w:rFonts w:ascii="Times New Roman" w:hAnsi="Times New Roman" w:cs="Times New Roman"/>
                <w:bCs/>
                <w:snapToGrid w:val="0"/>
                <w:sz w:val="18"/>
                <w:szCs w:val="18"/>
                <w:u w:color="000000"/>
              </w:rPr>
            </w:pPr>
          </w:p>
        </w:tc>
      </w:tr>
      <w:tr w14:paraId="6088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EDD2C95">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460419D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全部污染物</w:t>
            </w:r>
          </w:p>
        </w:tc>
        <w:tc>
          <w:tcPr>
            <w:tcW w:w="5302" w:type="dxa"/>
            <w:gridSpan w:val="6"/>
            <w:vAlign w:val="center"/>
          </w:tcPr>
          <w:p w14:paraId="2660DC9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废气：SO</w:t>
            </w:r>
            <w:r>
              <w:rPr>
                <w:rFonts w:hint="eastAsia" w:ascii="Times New Roman" w:hAnsi="Times New Roman" w:cs="Times New Roman"/>
                <w:bCs/>
                <w:snapToGrid w:val="0"/>
                <w:sz w:val="18"/>
                <w:szCs w:val="18"/>
                <w:u w:color="000000"/>
                <w:vertAlign w:val="subscript"/>
              </w:rPr>
              <w:t>2</w:t>
            </w:r>
            <w:r>
              <w:rPr>
                <w:rFonts w:hint="eastAsia" w:ascii="Times New Roman" w:hAnsi="Times New Roman" w:cs="Times New Roman"/>
                <w:bCs/>
                <w:snapToGrid w:val="0"/>
                <w:sz w:val="18"/>
                <w:szCs w:val="18"/>
                <w:u w:color="000000"/>
              </w:rPr>
              <w:t>、NO</w:t>
            </w:r>
            <w:r>
              <w:rPr>
                <w:rFonts w:hint="eastAsia" w:ascii="Times New Roman" w:hAnsi="Times New Roman" w:cs="Times New Roman"/>
                <w:bCs/>
                <w:snapToGrid w:val="0"/>
                <w:sz w:val="18"/>
                <w:szCs w:val="18"/>
                <w:u w:color="000000"/>
                <w:vertAlign w:val="subscript"/>
              </w:rPr>
              <w:t>X</w:t>
            </w:r>
            <w:r>
              <w:rPr>
                <w:rFonts w:hint="eastAsia" w:ascii="Times New Roman" w:hAnsi="Times New Roman" w:cs="Times New Roman"/>
                <w:bCs/>
                <w:snapToGrid w:val="0"/>
                <w:sz w:val="18"/>
                <w:szCs w:val="18"/>
                <w:u w:color="000000"/>
              </w:rPr>
              <w:t>、PM</w:t>
            </w:r>
            <w:r>
              <w:rPr>
                <w:rFonts w:hint="eastAsia" w:ascii="Times New Roman" w:hAnsi="Times New Roman" w:cs="Times New Roman"/>
                <w:bCs/>
                <w:snapToGrid w:val="0"/>
                <w:sz w:val="18"/>
                <w:szCs w:val="18"/>
                <w:u w:color="000000"/>
                <w:vertAlign w:val="subscript"/>
              </w:rPr>
              <w:t>10</w:t>
            </w:r>
            <w:r>
              <w:rPr>
                <w:rFonts w:hint="eastAsia" w:ascii="Times New Roman" w:hAnsi="Times New Roman" w:cs="Times New Roman"/>
                <w:bCs/>
                <w:snapToGrid w:val="0"/>
                <w:sz w:val="18"/>
                <w:szCs w:val="18"/>
                <w:u w:color="000000"/>
              </w:rPr>
              <w:t>、NH</w:t>
            </w:r>
            <w:r>
              <w:rPr>
                <w:rFonts w:hint="eastAsia" w:ascii="Times New Roman" w:hAnsi="Times New Roman" w:cs="Times New Roman"/>
                <w:bCs/>
                <w:snapToGrid w:val="0"/>
                <w:sz w:val="18"/>
                <w:szCs w:val="18"/>
                <w:u w:color="000000"/>
                <w:vertAlign w:val="subscript"/>
              </w:rPr>
              <w:t>3</w:t>
            </w:r>
            <w:r>
              <w:rPr>
                <w:rFonts w:hint="eastAsia" w:ascii="Times New Roman" w:hAnsi="Times New Roman" w:cs="Times New Roman"/>
                <w:bCs/>
                <w:snapToGrid w:val="0"/>
                <w:sz w:val="18"/>
                <w:szCs w:val="18"/>
                <w:u w:color="000000"/>
              </w:rPr>
              <w:t>、H</w:t>
            </w:r>
            <w:r>
              <w:rPr>
                <w:rFonts w:hint="eastAsia" w:ascii="Times New Roman" w:hAnsi="Times New Roman" w:cs="Times New Roman"/>
                <w:bCs/>
                <w:snapToGrid w:val="0"/>
                <w:sz w:val="18"/>
                <w:szCs w:val="18"/>
                <w:u w:color="000000"/>
                <w:vertAlign w:val="subscript"/>
              </w:rPr>
              <w:t>2</w:t>
            </w:r>
            <w:r>
              <w:rPr>
                <w:rFonts w:hint="eastAsia" w:ascii="Times New Roman" w:hAnsi="Times New Roman" w:cs="Times New Roman"/>
                <w:bCs/>
                <w:snapToGrid w:val="0"/>
                <w:sz w:val="18"/>
                <w:szCs w:val="18"/>
                <w:u w:color="000000"/>
              </w:rPr>
              <w:t>S、NMHC、甲醇、硫酸雾</w:t>
            </w:r>
          </w:p>
          <w:p w14:paraId="6CFAAA19">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废水：S</w:t>
            </w:r>
            <w:r>
              <w:rPr>
                <w:rFonts w:ascii="Times New Roman" w:hAnsi="Times New Roman" w:cs="Times New Roman"/>
                <w:bCs/>
                <w:snapToGrid w:val="0"/>
                <w:sz w:val="18"/>
                <w:szCs w:val="18"/>
                <w:u w:color="000000"/>
              </w:rPr>
              <w:t>S</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BOD</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COD</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氯化物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硫化物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NH</w:t>
            </w:r>
            <w:r>
              <w:rPr>
                <w:rFonts w:ascii="Times New Roman" w:hAnsi="Times New Roman" w:cs="Times New Roman"/>
                <w:bCs/>
                <w:snapToGrid w:val="0"/>
                <w:sz w:val="18"/>
                <w:szCs w:val="18"/>
                <w:u w:color="000000"/>
                <w:vertAlign w:val="subscript"/>
              </w:rPr>
              <w:t>3</w:t>
            </w:r>
            <w:r>
              <w:rPr>
                <w:rFonts w:ascii="Times New Roman" w:hAnsi="Times New Roman" w:cs="Times New Roman"/>
                <w:bCs/>
                <w:snapToGrid w:val="0"/>
                <w:sz w:val="18"/>
                <w:szCs w:val="18"/>
                <w:u w:color="000000"/>
              </w:rPr>
              <w:t>-N</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HCN</w:t>
            </w:r>
            <w:r>
              <w:rPr>
                <w:rFonts w:hint="eastAsia" w:ascii="Times New Roman" w:hAnsi="Times New Roman" w:cs="Times New Roman"/>
                <w:bCs/>
                <w:snapToGrid w:val="0"/>
                <w:sz w:val="18"/>
                <w:szCs w:val="18"/>
                <w:u w:color="000000"/>
              </w:rPr>
              <w:t>、TDS、</w:t>
            </w:r>
            <w:r>
              <w:rPr>
                <w:rFonts w:ascii="Times New Roman" w:hAnsi="Times New Roman" w:cs="Times New Roman"/>
                <w:bCs/>
                <w:snapToGrid w:val="0"/>
                <w:sz w:val="18"/>
                <w:szCs w:val="18"/>
                <w:u w:color="000000"/>
              </w:rPr>
              <w:t>石油类</w:t>
            </w:r>
          </w:p>
        </w:tc>
        <w:tc>
          <w:tcPr>
            <w:tcW w:w="1071" w:type="dxa"/>
            <w:vAlign w:val="center"/>
          </w:tcPr>
          <w:p w14:paraId="675C71D9">
            <w:pPr>
              <w:widowControl w:val="0"/>
              <w:autoSpaceDE w:val="0"/>
              <w:autoSpaceDN w:val="0"/>
              <w:adjustRightInd w:val="0"/>
              <w:jc w:val="center"/>
              <w:rPr>
                <w:rFonts w:ascii="Times New Roman" w:hAnsi="Times New Roman" w:cs="Times New Roman"/>
                <w:bCs/>
                <w:snapToGrid w:val="0"/>
                <w:sz w:val="18"/>
                <w:szCs w:val="18"/>
                <w:u w:color="000000"/>
              </w:rPr>
            </w:pPr>
          </w:p>
        </w:tc>
      </w:tr>
      <w:tr w14:paraId="6FCE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EB99E95">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6205AA2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特征因子</w:t>
            </w:r>
          </w:p>
        </w:tc>
        <w:tc>
          <w:tcPr>
            <w:tcW w:w="5302" w:type="dxa"/>
            <w:gridSpan w:val="6"/>
            <w:vAlign w:val="center"/>
          </w:tcPr>
          <w:p w14:paraId="0E5D3C9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pH值、</w:t>
            </w:r>
            <w:r>
              <w:rPr>
                <w:rFonts w:ascii="Times New Roman" w:hAnsi="Times New Roman" w:eastAsia="等线" w:cs="Times New Roman"/>
                <w:bCs/>
                <w:snapToGrid w:val="0"/>
                <w:sz w:val="18"/>
                <w:szCs w:val="18"/>
                <w:u w:color="000000"/>
              </w:rPr>
              <w:t>HCN</w:t>
            </w:r>
            <w:r>
              <w:rPr>
                <w:rFonts w:hint="eastAsia" w:ascii="Times New Roman" w:hAnsi="Times New Roman" w:eastAsia="等线" w:cs="Times New Roman"/>
                <w:bCs/>
                <w:snapToGrid w:val="0"/>
                <w:sz w:val="18"/>
                <w:szCs w:val="18"/>
                <w:u w:color="000000"/>
              </w:rPr>
              <w:t>、</w:t>
            </w:r>
            <w:r>
              <w:rPr>
                <w:rFonts w:hint="eastAsia" w:ascii="Times New Roman" w:hAnsi="Times New Roman" w:cs="Times New Roman"/>
                <w:bCs/>
                <w:snapToGrid w:val="0"/>
                <w:sz w:val="18"/>
                <w:szCs w:val="18"/>
                <w:u w:color="000000"/>
              </w:rPr>
              <w:t>石油类</w:t>
            </w:r>
          </w:p>
        </w:tc>
        <w:tc>
          <w:tcPr>
            <w:tcW w:w="1071" w:type="dxa"/>
            <w:vAlign w:val="center"/>
          </w:tcPr>
          <w:p w14:paraId="29E9221A">
            <w:pPr>
              <w:widowControl w:val="0"/>
              <w:autoSpaceDE w:val="0"/>
              <w:autoSpaceDN w:val="0"/>
              <w:adjustRightInd w:val="0"/>
              <w:jc w:val="center"/>
              <w:rPr>
                <w:rFonts w:ascii="Times New Roman" w:hAnsi="Times New Roman" w:cs="Times New Roman"/>
                <w:bCs/>
                <w:snapToGrid w:val="0"/>
                <w:sz w:val="18"/>
                <w:szCs w:val="18"/>
                <w:u w:color="000000"/>
              </w:rPr>
            </w:pPr>
          </w:p>
        </w:tc>
      </w:tr>
      <w:tr w14:paraId="381D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DB03997">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7C9E454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所属土壤环境影响评价项目类别</w:t>
            </w:r>
          </w:p>
        </w:tc>
        <w:tc>
          <w:tcPr>
            <w:tcW w:w="5302" w:type="dxa"/>
            <w:gridSpan w:val="6"/>
            <w:vAlign w:val="center"/>
          </w:tcPr>
          <w:p w14:paraId="5ED46C1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Ⅰ类</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；Ⅱ类□；Ⅲ类□；Ⅳ类□</w:t>
            </w:r>
          </w:p>
        </w:tc>
        <w:tc>
          <w:tcPr>
            <w:tcW w:w="1071" w:type="dxa"/>
            <w:vAlign w:val="center"/>
          </w:tcPr>
          <w:p w14:paraId="16438A4C">
            <w:pPr>
              <w:widowControl w:val="0"/>
              <w:autoSpaceDE w:val="0"/>
              <w:autoSpaceDN w:val="0"/>
              <w:adjustRightInd w:val="0"/>
              <w:jc w:val="center"/>
              <w:rPr>
                <w:rFonts w:ascii="Times New Roman" w:hAnsi="Times New Roman" w:cs="Times New Roman"/>
                <w:bCs/>
                <w:snapToGrid w:val="0"/>
                <w:sz w:val="18"/>
                <w:szCs w:val="18"/>
                <w:u w:color="000000"/>
              </w:rPr>
            </w:pPr>
          </w:p>
        </w:tc>
      </w:tr>
      <w:tr w14:paraId="4755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5368FB12">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7D74BA4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敏感程度</w:t>
            </w:r>
          </w:p>
        </w:tc>
        <w:tc>
          <w:tcPr>
            <w:tcW w:w="5302" w:type="dxa"/>
            <w:gridSpan w:val="6"/>
            <w:vAlign w:val="center"/>
          </w:tcPr>
          <w:p w14:paraId="021A2BD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敏感□；较敏感</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；不敏感□</w:t>
            </w:r>
          </w:p>
        </w:tc>
        <w:tc>
          <w:tcPr>
            <w:tcW w:w="1071" w:type="dxa"/>
            <w:vAlign w:val="center"/>
          </w:tcPr>
          <w:p w14:paraId="411114C0">
            <w:pPr>
              <w:widowControl w:val="0"/>
              <w:autoSpaceDE w:val="0"/>
              <w:autoSpaceDN w:val="0"/>
              <w:adjustRightInd w:val="0"/>
              <w:jc w:val="center"/>
              <w:rPr>
                <w:rFonts w:ascii="Times New Roman" w:hAnsi="Times New Roman" w:cs="Times New Roman"/>
                <w:bCs/>
                <w:snapToGrid w:val="0"/>
                <w:sz w:val="18"/>
                <w:szCs w:val="18"/>
                <w:u w:color="000000"/>
              </w:rPr>
            </w:pPr>
          </w:p>
        </w:tc>
      </w:tr>
      <w:tr w14:paraId="3AD5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3" w:type="dxa"/>
            <w:gridSpan w:val="2"/>
            <w:vAlign w:val="center"/>
          </w:tcPr>
          <w:p w14:paraId="437F324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评价工作等级</w:t>
            </w:r>
          </w:p>
        </w:tc>
        <w:tc>
          <w:tcPr>
            <w:tcW w:w="5302" w:type="dxa"/>
            <w:gridSpan w:val="6"/>
            <w:vAlign w:val="center"/>
          </w:tcPr>
          <w:p w14:paraId="01B786B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一级</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；二级□；三级□</w:t>
            </w:r>
          </w:p>
        </w:tc>
        <w:tc>
          <w:tcPr>
            <w:tcW w:w="1071" w:type="dxa"/>
            <w:vAlign w:val="center"/>
          </w:tcPr>
          <w:p w14:paraId="78B7B633">
            <w:pPr>
              <w:widowControl w:val="0"/>
              <w:autoSpaceDE w:val="0"/>
              <w:autoSpaceDN w:val="0"/>
              <w:adjustRightInd w:val="0"/>
              <w:jc w:val="center"/>
              <w:rPr>
                <w:rFonts w:ascii="Times New Roman" w:hAnsi="Times New Roman" w:cs="Times New Roman"/>
                <w:bCs/>
                <w:snapToGrid w:val="0"/>
                <w:sz w:val="18"/>
                <w:szCs w:val="18"/>
                <w:u w:color="000000"/>
              </w:rPr>
            </w:pPr>
          </w:p>
        </w:tc>
      </w:tr>
      <w:tr w14:paraId="1399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36CD1AE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现状调查内容</w:t>
            </w:r>
          </w:p>
        </w:tc>
        <w:tc>
          <w:tcPr>
            <w:tcW w:w="1555" w:type="dxa"/>
            <w:vAlign w:val="center"/>
          </w:tcPr>
          <w:p w14:paraId="758DD16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资料收集</w:t>
            </w:r>
          </w:p>
        </w:tc>
        <w:tc>
          <w:tcPr>
            <w:tcW w:w="5302" w:type="dxa"/>
            <w:gridSpan w:val="6"/>
            <w:vAlign w:val="center"/>
          </w:tcPr>
          <w:p w14:paraId="5CA7532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a）</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；b）</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；d）□</w:t>
            </w:r>
          </w:p>
        </w:tc>
        <w:tc>
          <w:tcPr>
            <w:tcW w:w="1071" w:type="dxa"/>
            <w:vAlign w:val="center"/>
          </w:tcPr>
          <w:p w14:paraId="1A2EE1CE">
            <w:pPr>
              <w:widowControl w:val="0"/>
              <w:autoSpaceDE w:val="0"/>
              <w:autoSpaceDN w:val="0"/>
              <w:adjustRightInd w:val="0"/>
              <w:jc w:val="center"/>
              <w:rPr>
                <w:rFonts w:ascii="Times New Roman" w:hAnsi="Times New Roman" w:cs="Times New Roman"/>
                <w:bCs/>
                <w:snapToGrid w:val="0"/>
                <w:sz w:val="18"/>
                <w:szCs w:val="18"/>
                <w:u w:color="000000"/>
              </w:rPr>
            </w:pPr>
          </w:p>
        </w:tc>
      </w:tr>
      <w:tr w14:paraId="45AA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7F92330B">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26BD353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理化特性</w:t>
            </w:r>
          </w:p>
        </w:tc>
        <w:tc>
          <w:tcPr>
            <w:tcW w:w="5302" w:type="dxa"/>
            <w:gridSpan w:val="6"/>
            <w:vAlign w:val="center"/>
          </w:tcPr>
          <w:p w14:paraId="43AF618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已按要求调查</w:t>
            </w:r>
          </w:p>
        </w:tc>
        <w:tc>
          <w:tcPr>
            <w:tcW w:w="1071" w:type="dxa"/>
            <w:vAlign w:val="center"/>
          </w:tcPr>
          <w:p w14:paraId="3A3CB2F6">
            <w:pPr>
              <w:widowControl w:val="0"/>
              <w:autoSpaceDE w:val="0"/>
              <w:autoSpaceDN w:val="0"/>
              <w:adjustRightInd w:val="0"/>
              <w:jc w:val="center"/>
              <w:rPr>
                <w:rFonts w:ascii="Times New Roman" w:hAnsi="Times New Roman" w:cs="Times New Roman"/>
                <w:bCs/>
                <w:snapToGrid w:val="0"/>
                <w:sz w:val="18"/>
                <w:szCs w:val="18"/>
                <w:u w:color="000000"/>
              </w:rPr>
            </w:pPr>
          </w:p>
        </w:tc>
      </w:tr>
      <w:tr w14:paraId="3244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1A85F39">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Merge w:val="restart"/>
            <w:vAlign w:val="center"/>
          </w:tcPr>
          <w:p w14:paraId="2359E6F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现状监测点位</w:t>
            </w:r>
          </w:p>
        </w:tc>
        <w:tc>
          <w:tcPr>
            <w:tcW w:w="1248" w:type="dxa"/>
            <w:vAlign w:val="center"/>
          </w:tcPr>
          <w:p w14:paraId="4AFDB891">
            <w:pPr>
              <w:widowControl w:val="0"/>
              <w:autoSpaceDE w:val="0"/>
              <w:autoSpaceDN w:val="0"/>
              <w:adjustRightInd w:val="0"/>
              <w:jc w:val="center"/>
              <w:rPr>
                <w:rFonts w:ascii="Times New Roman" w:hAnsi="Times New Roman" w:cs="Times New Roman"/>
                <w:bCs/>
                <w:snapToGrid w:val="0"/>
                <w:sz w:val="18"/>
                <w:szCs w:val="18"/>
                <w:u w:color="000000"/>
              </w:rPr>
            </w:pPr>
          </w:p>
        </w:tc>
        <w:tc>
          <w:tcPr>
            <w:tcW w:w="1249" w:type="dxa"/>
            <w:gridSpan w:val="2"/>
            <w:vAlign w:val="center"/>
          </w:tcPr>
          <w:p w14:paraId="029E66A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占地范围内</w:t>
            </w:r>
          </w:p>
        </w:tc>
        <w:tc>
          <w:tcPr>
            <w:tcW w:w="1249" w:type="dxa"/>
            <w:gridSpan w:val="2"/>
            <w:vAlign w:val="center"/>
          </w:tcPr>
          <w:p w14:paraId="11D59FB7">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占地范围外</w:t>
            </w:r>
          </w:p>
        </w:tc>
        <w:tc>
          <w:tcPr>
            <w:tcW w:w="1556" w:type="dxa"/>
            <w:vAlign w:val="center"/>
          </w:tcPr>
          <w:p w14:paraId="4B5CF10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深度</w:t>
            </w:r>
          </w:p>
        </w:tc>
        <w:tc>
          <w:tcPr>
            <w:tcW w:w="1071" w:type="dxa"/>
            <w:vMerge w:val="restart"/>
            <w:vAlign w:val="center"/>
          </w:tcPr>
          <w:p w14:paraId="4798215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有监测点位分布图</w:t>
            </w:r>
          </w:p>
        </w:tc>
      </w:tr>
      <w:tr w14:paraId="1FEE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6B7F4F1">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Merge w:val="continue"/>
            <w:vAlign w:val="center"/>
          </w:tcPr>
          <w:p w14:paraId="2A3C8357">
            <w:pPr>
              <w:widowControl w:val="0"/>
              <w:autoSpaceDE w:val="0"/>
              <w:autoSpaceDN w:val="0"/>
              <w:adjustRightInd w:val="0"/>
              <w:jc w:val="center"/>
              <w:rPr>
                <w:rFonts w:ascii="Times New Roman" w:hAnsi="Times New Roman" w:cs="Times New Roman"/>
                <w:bCs/>
                <w:snapToGrid w:val="0"/>
                <w:sz w:val="18"/>
                <w:szCs w:val="18"/>
                <w:u w:color="000000"/>
              </w:rPr>
            </w:pPr>
          </w:p>
        </w:tc>
        <w:tc>
          <w:tcPr>
            <w:tcW w:w="1248" w:type="dxa"/>
            <w:vAlign w:val="center"/>
          </w:tcPr>
          <w:p w14:paraId="6E87668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表层样点数</w:t>
            </w:r>
          </w:p>
        </w:tc>
        <w:tc>
          <w:tcPr>
            <w:tcW w:w="1249" w:type="dxa"/>
            <w:gridSpan w:val="2"/>
            <w:vAlign w:val="center"/>
          </w:tcPr>
          <w:p w14:paraId="5B749B7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w:t>
            </w:r>
          </w:p>
        </w:tc>
        <w:tc>
          <w:tcPr>
            <w:tcW w:w="1249" w:type="dxa"/>
            <w:gridSpan w:val="2"/>
            <w:vAlign w:val="center"/>
          </w:tcPr>
          <w:p w14:paraId="237DD37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w:t>
            </w:r>
          </w:p>
        </w:tc>
        <w:tc>
          <w:tcPr>
            <w:tcW w:w="1556" w:type="dxa"/>
            <w:vAlign w:val="center"/>
          </w:tcPr>
          <w:p w14:paraId="2D2659E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0-0.2m</w:t>
            </w:r>
          </w:p>
        </w:tc>
        <w:tc>
          <w:tcPr>
            <w:tcW w:w="1071" w:type="dxa"/>
            <w:vMerge w:val="continue"/>
            <w:vAlign w:val="center"/>
          </w:tcPr>
          <w:p w14:paraId="33535B9E">
            <w:pPr>
              <w:widowControl w:val="0"/>
              <w:autoSpaceDE w:val="0"/>
              <w:autoSpaceDN w:val="0"/>
              <w:adjustRightInd w:val="0"/>
              <w:jc w:val="center"/>
              <w:rPr>
                <w:rFonts w:ascii="Times New Roman" w:hAnsi="Times New Roman" w:cs="Times New Roman"/>
                <w:bCs/>
                <w:snapToGrid w:val="0"/>
                <w:sz w:val="18"/>
                <w:szCs w:val="18"/>
                <w:u w:color="000000"/>
              </w:rPr>
            </w:pPr>
          </w:p>
        </w:tc>
      </w:tr>
      <w:tr w14:paraId="0CFA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C34F44C">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Merge w:val="continue"/>
            <w:vAlign w:val="center"/>
          </w:tcPr>
          <w:p w14:paraId="368CB936">
            <w:pPr>
              <w:widowControl w:val="0"/>
              <w:autoSpaceDE w:val="0"/>
              <w:autoSpaceDN w:val="0"/>
              <w:adjustRightInd w:val="0"/>
              <w:jc w:val="center"/>
              <w:rPr>
                <w:rFonts w:ascii="Times New Roman" w:hAnsi="Times New Roman" w:cs="Times New Roman"/>
                <w:bCs/>
                <w:snapToGrid w:val="0"/>
                <w:sz w:val="18"/>
                <w:szCs w:val="18"/>
                <w:u w:color="000000"/>
              </w:rPr>
            </w:pPr>
          </w:p>
        </w:tc>
        <w:tc>
          <w:tcPr>
            <w:tcW w:w="1248" w:type="dxa"/>
            <w:vAlign w:val="center"/>
          </w:tcPr>
          <w:p w14:paraId="4FAA2FE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柱状样点数</w:t>
            </w:r>
          </w:p>
        </w:tc>
        <w:tc>
          <w:tcPr>
            <w:tcW w:w="1249" w:type="dxa"/>
            <w:gridSpan w:val="2"/>
            <w:vAlign w:val="center"/>
          </w:tcPr>
          <w:p w14:paraId="4EFC57E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w:t>
            </w:r>
          </w:p>
        </w:tc>
        <w:tc>
          <w:tcPr>
            <w:tcW w:w="1249" w:type="dxa"/>
            <w:gridSpan w:val="2"/>
            <w:vAlign w:val="center"/>
          </w:tcPr>
          <w:p w14:paraId="41C43DF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w:t>
            </w:r>
          </w:p>
        </w:tc>
        <w:tc>
          <w:tcPr>
            <w:tcW w:w="1556" w:type="dxa"/>
            <w:vAlign w:val="center"/>
          </w:tcPr>
          <w:p w14:paraId="2089DD7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0-3m</w:t>
            </w:r>
          </w:p>
        </w:tc>
        <w:tc>
          <w:tcPr>
            <w:tcW w:w="1071" w:type="dxa"/>
            <w:vMerge w:val="continue"/>
            <w:vAlign w:val="center"/>
          </w:tcPr>
          <w:p w14:paraId="6400C7B5">
            <w:pPr>
              <w:widowControl w:val="0"/>
              <w:autoSpaceDE w:val="0"/>
              <w:autoSpaceDN w:val="0"/>
              <w:adjustRightInd w:val="0"/>
              <w:jc w:val="center"/>
              <w:rPr>
                <w:rFonts w:ascii="Times New Roman" w:hAnsi="Times New Roman" w:cs="Times New Roman"/>
                <w:bCs/>
                <w:snapToGrid w:val="0"/>
                <w:sz w:val="18"/>
                <w:szCs w:val="18"/>
                <w:u w:color="000000"/>
              </w:rPr>
            </w:pPr>
          </w:p>
        </w:tc>
      </w:tr>
      <w:tr w14:paraId="2C38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7DAF6D21">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4DFA8C5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现状监测因子</w:t>
            </w:r>
          </w:p>
        </w:tc>
        <w:tc>
          <w:tcPr>
            <w:tcW w:w="5302" w:type="dxa"/>
            <w:gridSpan w:val="6"/>
            <w:vAlign w:val="center"/>
          </w:tcPr>
          <w:p w14:paraId="1FE5C6AF">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GB36600中表1基本45项</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 xml:space="preserve"> pH、</w:t>
            </w:r>
            <w:r>
              <w:rPr>
                <w:rFonts w:hint="eastAsia" w:ascii="Times New Roman" w:hAnsi="Times New Roman" w:cs="Times New Roman"/>
                <w:bCs/>
                <w:snapToGrid w:val="0"/>
                <w:sz w:val="18"/>
                <w:szCs w:val="18"/>
                <w:u w:color="000000"/>
              </w:rPr>
              <w:t>钴、</w:t>
            </w:r>
            <w:r>
              <w:rPr>
                <w:rFonts w:ascii="Times New Roman" w:hAnsi="Times New Roman" w:cs="Times New Roman"/>
                <w:bCs/>
                <w:snapToGrid w:val="0"/>
                <w:sz w:val="18"/>
                <w:szCs w:val="18"/>
                <w:u w:color="000000"/>
              </w:rPr>
              <w:t>苯并[a]芘、氰化物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石油烃</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10</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40</w:t>
            </w:r>
            <w:r>
              <w:rPr>
                <w:rFonts w:hint="eastAsia" w:ascii="Times New Roman" w:hAnsi="Times New Roman" w:cs="Times New Roman"/>
                <w:bCs/>
                <w:snapToGrid w:val="0"/>
                <w:sz w:val="18"/>
                <w:szCs w:val="18"/>
                <w:u w:color="000000"/>
              </w:rPr>
              <w:t>）</w:t>
            </w:r>
          </w:p>
        </w:tc>
        <w:tc>
          <w:tcPr>
            <w:tcW w:w="1071" w:type="dxa"/>
            <w:vAlign w:val="center"/>
          </w:tcPr>
          <w:p w14:paraId="4D03F773">
            <w:pPr>
              <w:widowControl w:val="0"/>
              <w:autoSpaceDE w:val="0"/>
              <w:autoSpaceDN w:val="0"/>
              <w:adjustRightInd w:val="0"/>
              <w:jc w:val="center"/>
              <w:rPr>
                <w:rFonts w:ascii="Times New Roman" w:hAnsi="Times New Roman" w:cs="Times New Roman"/>
                <w:bCs/>
                <w:snapToGrid w:val="0"/>
                <w:sz w:val="18"/>
                <w:szCs w:val="18"/>
                <w:u w:color="000000"/>
              </w:rPr>
            </w:pPr>
          </w:p>
        </w:tc>
      </w:tr>
      <w:tr w14:paraId="34A7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1885E7A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现状评价</w:t>
            </w:r>
          </w:p>
        </w:tc>
        <w:tc>
          <w:tcPr>
            <w:tcW w:w="1555" w:type="dxa"/>
            <w:vAlign w:val="center"/>
          </w:tcPr>
          <w:p w14:paraId="641467B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评价因子</w:t>
            </w:r>
          </w:p>
        </w:tc>
        <w:tc>
          <w:tcPr>
            <w:tcW w:w="5302" w:type="dxa"/>
            <w:gridSpan w:val="6"/>
            <w:vAlign w:val="center"/>
          </w:tcPr>
          <w:p w14:paraId="7DDB382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GB36600中表1基本45项</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 xml:space="preserve"> pH、</w:t>
            </w:r>
            <w:r>
              <w:rPr>
                <w:rFonts w:hint="eastAsia" w:ascii="Times New Roman" w:hAnsi="Times New Roman" w:cs="Times New Roman"/>
                <w:bCs/>
                <w:snapToGrid w:val="0"/>
                <w:sz w:val="18"/>
                <w:szCs w:val="18"/>
                <w:u w:color="000000"/>
              </w:rPr>
              <w:t>钴、</w:t>
            </w:r>
            <w:r>
              <w:rPr>
                <w:rFonts w:ascii="Times New Roman" w:hAnsi="Times New Roman" w:cs="Times New Roman"/>
                <w:bCs/>
                <w:snapToGrid w:val="0"/>
                <w:sz w:val="18"/>
                <w:szCs w:val="18"/>
                <w:u w:color="000000"/>
              </w:rPr>
              <w:t>苯并[a]芘、氰化物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石油烃</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10</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40</w:t>
            </w:r>
            <w:r>
              <w:rPr>
                <w:rFonts w:hint="eastAsia" w:ascii="Times New Roman" w:hAnsi="Times New Roman" w:cs="Times New Roman"/>
                <w:bCs/>
                <w:snapToGrid w:val="0"/>
                <w:sz w:val="18"/>
                <w:szCs w:val="18"/>
                <w:u w:color="000000"/>
              </w:rPr>
              <w:t>）</w:t>
            </w:r>
          </w:p>
        </w:tc>
        <w:tc>
          <w:tcPr>
            <w:tcW w:w="1071" w:type="dxa"/>
            <w:vAlign w:val="center"/>
          </w:tcPr>
          <w:p w14:paraId="5E065994">
            <w:pPr>
              <w:widowControl w:val="0"/>
              <w:autoSpaceDE w:val="0"/>
              <w:autoSpaceDN w:val="0"/>
              <w:adjustRightInd w:val="0"/>
              <w:jc w:val="center"/>
              <w:rPr>
                <w:rFonts w:ascii="Times New Roman" w:hAnsi="Times New Roman" w:cs="Times New Roman"/>
                <w:bCs/>
                <w:snapToGrid w:val="0"/>
                <w:sz w:val="18"/>
                <w:szCs w:val="18"/>
                <w:u w:color="000000"/>
              </w:rPr>
            </w:pPr>
          </w:p>
        </w:tc>
      </w:tr>
      <w:tr w14:paraId="6E11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7920A34">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589E1ED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评价标准</w:t>
            </w:r>
          </w:p>
        </w:tc>
        <w:tc>
          <w:tcPr>
            <w:tcW w:w="5302" w:type="dxa"/>
            <w:gridSpan w:val="6"/>
            <w:vAlign w:val="center"/>
          </w:tcPr>
          <w:p w14:paraId="45130A6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GB15618√；GB36600□；表D.1□；表D.2□；其他□</w:t>
            </w:r>
          </w:p>
        </w:tc>
        <w:tc>
          <w:tcPr>
            <w:tcW w:w="1071" w:type="dxa"/>
            <w:vAlign w:val="center"/>
          </w:tcPr>
          <w:p w14:paraId="068316DE">
            <w:pPr>
              <w:widowControl w:val="0"/>
              <w:autoSpaceDE w:val="0"/>
              <w:autoSpaceDN w:val="0"/>
              <w:adjustRightInd w:val="0"/>
              <w:jc w:val="center"/>
              <w:rPr>
                <w:rFonts w:ascii="Times New Roman" w:hAnsi="Times New Roman" w:cs="Times New Roman"/>
                <w:bCs/>
                <w:snapToGrid w:val="0"/>
                <w:sz w:val="18"/>
                <w:szCs w:val="18"/>
                <w:u w:color="000000"/>
              </w:rPr>
            </w:pPr>
          </w:p>
        </w:tc>
      </w:tr>
      <w:tr w14:paraId="5384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EA1BA10">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3D6BB9F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现状评价结论</w:t>
            </w:r>
          </w:p>
        </w:tc>
        <w:tc>
          <w:tcPr>
            <w:tcW w:w="5302" w:type="dxa"/>
            <w:gridSpan w:val="6"/>
            <w:vAlign w:val="center"/>
          </w:tcPr>
          <w:p w14:paraId="68CA6E3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项目区土壤满足《土壤环境质量建设用地土壤污染风险管控标准（试行）》（GB36600-2018）中筛选值第二类标准限值</w:t>
            </w:r>
          </w:p>
        </w:tc>
        <w:tc>
          <w:tcPr>
            <w:tcW w:w="1071" w:type="dxa"/>
            <w:vAlign w:val="center"/>
          </w:tcPr>
          <w:p w14:paraId="38F2BE8C">
            <w:pPr>
              <w:widowControl w:val="0"/>
              <w:autoSpaceDE w:val="0"/>
              <w:autoSpaceDN w:val="0"/>
              <w:adjustRightInd w:val="0"/>
              <w:jc w:val="center"/>
              <w:rPr>
                <w:rFonts w:ascii="Times New Roman" w:hAnsi="Times New Roman" w:cs="Times New Roman"/>
                <w:bCs/>
                <w:snapToGrid w:val="0"/>
                <w:sz w:val="18"/>
                <w:szCs w:val="18"/>
                <w:u w:color="000000"/>
              </w:rPr>
            </w:pPr>
          </w:p>
        </w:tc>
      </w:tr>
      <w:tr w14:paraId="1124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288AD07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影响预测</w:t>
            </w:r>
          </w:p>
        </w:tc>
        <w:tc>
          <w:tcPr>
            <w:tcW w:w="1555" w:type="dxa"/>
            <w:vAlign w:val="center"/>
          </w:tcPr>
          <w:p w14:paraId="706B1A2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预测因子</w:t>
            </w:r>
          </w:p>
        </w:tc>
        <w:tc>
          <w:tcPr>
            <w:tcW w:w="5302" w:type="dxa"/>
            <w:gridSpan w:val="6"/>
            <w:vAlign w:val="center"/>
          </w:tcPr>
          <w:p w14:paraId="57D800B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pH值、</w:t>
            </w:r>
            <w:r>
              <w:rPr>
                <w:rFonts w:ascii="Times New Roman" w:hAnsi="Times New Roman" w:eastAsia="等线" w:cs="Times New Roman"/>
                <w:bCs/>
                <w:snapToGrid w:val="0"/>
                <w:sz w:val="18"/>
                <w:szCs w:val="18"/>
                <w:u w:color="000000"/>
              </w:rPr>
              <w:t>HCN</w:t>
            </w:r>
            <w:r>
              <w:rPr>
                <w:rFonts w:hint="eastAsia" w:ascii="Times New Roman" w:hAnsi="Times New Roman" w:eastAsia="等线" w:cs="Times New Roman"/>
                <w:bCs/>
                <w:snapToGrid w:val="0"/>
                <w:sz w:val="18"/>
                <w:szCs w:val="18"/>
                <w:u w:color="000000"/>
              </w:rPr>
              <w:t>、</w:t>
            </w:r>
            <w:r>
              <w:rPr>
                <w:rFonts w:hint="eastAsia" w:ascii="Times New Roman" w:hAnsi="Times New Roman" w:cs="Times New Roman"/>
                <w:bCs/>
                <w:snapToGrid w:val="0"/>
                <w:sz w:val="18"/>
                <w:szCs w:val="18"/>
                <w:u w:color="000000"/>
              </w:rPr>
              <w:t>石油类</w:t>
            </w:r>
          </w:p>
        </w:tc>
        <w:tc>
          <w:tcPr>
            <w:tcW w:w="1071" w:type="dxa"/>
            <w:vAlign w:val="center"/>
          </w:tcPr>
          <w:p w14:paraId="14A1757B">
            <w:pPr>
              <w:widowControl w:val="0"/>
              <w:autoSpaceDE w:val="0"/>
              <w:autoSpaceDN w:val="0"/>
              <w:adjustRightInd w:val="0"/>
              <w:jc w:val="center"/>
              <w:rPr>
                <w:rFonts w:ascii="Times New Roman" w:hAnsi="Times New Roman" w:cs="Times New Roman"/>
                <w:bCs/>
                <w:snapToGrid w:val="0"/>
                <w:sz w:val="18"/>
                <w:szCs w:val="18"/>
                <w:u w:color="000000"/>
              </w:rPr>
            </w:pPr>
          </w:p>
        </w:tc>
      </w:tr>
      <w:tr w14:paraId="0B2B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9A1DEE1">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61F03F9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预测方法</w:t>
            </w:r>
          </w:p>
        </w:tc>
        <w:tc>
          <w:tcPr>
            <w:tcW w:w="5302" w:type="dxa"/>
            <w:gridSpan w:val="6"/>
            <w:vAlign w:val="center"/>
          </w:tcPr>
          <w:p w14:paraId="58C48C9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附录E</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；附录F□；其他□</w:t>
            </w:r>
          </w:p>
        </w:tc>
        <w:tc>
          <w:tcPr>
            <w:tcW w:w="1071" w:type="dxa"/>
            <w:vAlign w:val="center"/>
          </w:tcPr>
          <w:p w14:paraId="0752B662">
            <w:pPr>
              <w:widowControl w:val="0"/>
              <w:autoSpaceDE w:val="0"/>
              <w:autoSpaceDN w:val="0"/>
              <w:adjustRightInd w:val="0"/>
              <w:jc w:val="center"/>
              <w:rPr>
                <w:rFonts w:ascii="Times New Roman" w:hAnsi="Times New Roman" w:cs="Times New Roman"/>
                <w:bCs/>
                <w:snapToGrid w:val="0"/>
                <w:sz w:val="18"/>
                <w:szCs w:val="18"/>
                <w:u w:color="000000"/>
              </w:rPr>
            </w:pPr>
          </w:p>
        </w:tc>
      </w:tr>
      <w:tr w14:paraId="224A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D883F03">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0EE6100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预测分析内容</w:t>
            </w:r>
          </w:p>
        </w:tc>
        <w:tc>
          <w:tcPr>
            <w:tcW w:w="5302" w:type="dxa"/>
            <w:gridSpan w:val="6"/>
            <w:vAlign w:val="center"/>
          </w:tcPr>
          <w:p w14:paraId="2B01063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影响范围（厂界内）影响程度（较小）</w:t>
            </w:r>
          </w:p>
        </w:tc>
        <w:tc>
          <w:tcPr>
            <w:tcW w:w="1071" w:type="dxa"/>
            <w:vAlign w:val="center"/>
          </w:tcPr>
          <w:p w14:paraId="6158AF51">
            <w:pPr>
              <w:widowControl w:val="0"/>
              <w:autoSpaceDE w:val="0"/>
              <w:autoSpaceDN w:val="0"/>
              <w:adjustRightInd w:val="0"/>
              <w:jc w:val="center"/>
              <w:rPr>
                <w:rFonts w:ascii="Times New Roman" w:hAnsi="Times New Roman" w:cs="Times New Roman"/>
                <w:bCs/>
                <w:snapToGrid w:val="0"/>
                <w:sz w:val="18"/>
                <w:szCs w:val="18"/>
                <w:u w:color="000000"/>
              </w:rPr>
            </w:pPr>
          </w:p>
        </w:tc>
      </w:tr>
      <w:tr w14:paraId="74F0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24A3CED0">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3B41C63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预测结论</w:t>
            </w:r>
          </w:p>
        </w:tc>
        <w:tc>
          <w:tcPr>
            <w:tcW w:w="5302" w:type="dxa"/>
            <w:gridSpan w:val="6"/>
            <w:vAlign w:val="center"/>
          </w:tcPr>
          <w:p w14:paraId="655D54B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达标结论：a）</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；b）□；c）□</w:t>
            </w:r>
          </w:p>
          <w:p w14:paraId="4886CCB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不达标结论：a）□；b）□</w:t>
            </w:r>
          </w:p>
        </w:tc>
        <w:tc>
          <w:tcPr>
            <w:tcW w:w="1071" w:type="dxa"/>
            <w:vAlign w:val="center"/>
          </w:tcPr>
          <w:p w14:paraId="7667533A">
            <w:pPr>
              <w:widowControl w:val="0"/>
              <w:autoSpaceDE w:val="0"/>
              <w:autoSpaceDN w:val="0"/>
              <w:adjustRightInd w:val="0"/>
              <w:jc w:val="center"/>
              <w:rPr>
                <w:rFonts w:ascii="Times New Roman" w:hAnsi="Times New Roman" w:cs="Times New Roman"/>
                <w:bCs/>
                <w:snapToGrid w:val="0"/>
                <w:sz w:val="18"/>
                <w:szCs w:val="18"/>
                <w:u w:color="000000"/>
              </w:rPr>
            </w:pPr>
          </w:p>
        </w:tc>
      </w:tr>
      <w:tr w14:paraId="008F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5469C0D6">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防治措施</w:t>
            </w:r>
          </w:p>
        </w:tc>
        <w:tc>
          <w:tcPr>
            <w:tcW w:w="1555" w:type="dxa"/>
            <w:vAlign w:val="center"/>
          </w:tcPr>
          <w:p w14:paraId="7817B9A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防控措施</w:t>
            </w:r>
          </w:p>
        </w:tc>
        <w:tc>
          <w:tcPr>
            <w:tcW w:w="5302" w:type="dxa"/>
            <w:gridSpan w:val="6"/>
            <w:vAlign w:val="center"/>
          </w:tcPr>
          <w:p w14:paraId="413AAC7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土壤环境质量现状保障□；源头控制</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；过程防控</w:t>
            </w:r>
            <w:r>
              <w:rPr>
                <w:rFonts w:hint="eastAsia" w:ascii="Times New Roman" w:hAnsi="Times New Roman" w:cs="Times New Roman"/>
                <w:bCs/>
                <w:snapToGrid w:val="0"/>
                <w:sz w:val="18"/>
                <w:szCs w:val="18"/>
                <w:u w:color="000000"/>
              </w:rPr>
              <w:sym w:font="Wingdings 2" w:char="F052"/>
            </w:r>
            <w:r>
              <w:rPr>
                <w:rFonts w:ascii="Times New Roman" w:hAnsi="Times New Roman" w:cs="Times New Roman"/>
                <w:bCs/>
                <w:snapToGrid w:val="0"/>
                <w:sz w:val="18"/>
                <w:szCs w:val="18"/>
                <w:u w:color="000000"/>
              </w:rPr>
              <w:t>；其他（）</w:t>
            </w:r>
          </w:p>
        </w:tc>
        <w:tc>
          <w:tcPr>
            <w:tcW w:w="1071" w:type="dxa"/>
            <w:vAlign w:val="center"/>
          </w:tcPr>
          <w:p w14:paraId="02F80976">
            <w:pPr>
              <w:widowControl w:val="0"/>
              <w:autoSpaceDE w:val="0"/>
              <w:autoSpaceDN w:val="0"/>
              <w:adjustRightInd w:val="0"/>
              <w:jc w:val="center"/>
              <w:rPr>
                <w:rFonts w:ascii="Times New Roman" w:hAnsi="Times New Roman" w:cs="Times New Roman"/>
                <w:bCs/>
                <w:snapToGrid w:val="0"/>
                <w:sz w:val="18"/>
                <w:szCs w:val="18"/>
                <w:u w:color="000000"/>
              </w:rPr>
            </w:pPr>
          </w:p>
        </w:tc>
      </w:tr>
      <w:tr w14:paraId="1EAE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217B5380">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Merge w:val="restart"/>
            <w:vAlign w:val="center"/>
          </w:tcPr>
          <w:p w14:paraId="133F13C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跟踪监测</w:t>
            </w:r>
          </w:p>
        </w:tc>
        <w:tc>
          <w:tcPr>
            <w:tcW w:w="1665" w:type="dxa"/>
            <w:gridSpan w:val="2"/>
            <w:vAlign w:val="center"/>
          </w:tcPr>
          <w:p w14:paraId="75E5E45C">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监测点数</w:t>
            </w:r>
          </w:p>
        </w:tc>
        <w:tc>
          <w:tcPr>
            <w:tcW w:w="1665" w:type="dxa"/>
            <w:gridSpan w:val="2"/>
            <w:vAlign w:val="center"/>
          </w:tcPr>
          <w:p w14:paraId="0F768EAE">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监测指标</w:t>
            </w:r>
          </w:p>
        </w:tc>
        <w:tc>
          <w:tcPr>
            <w:tcW w:w="1972" w:type="dxa"/>
            <w:gridSpan w:val="2"/>
            <w:vAlign w:val="center"/>
          </w:tcPr>
          <w:p w14:paraId="524C5EA2">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监测频次</w:t>
            </w:r>
          </w:p>
        </w:tc>
        <w:tc>
          <w:tcPr>
            <w:tcW w:w="1071" w:type="dxa"/>
            <w:vMerge w:val="restart"/>
            <w:vAlign w:val="center"/>
          </w:tcPr>
          <w:p w14:paraId="56D75A3F">
            <w:pPr>
              <w:widowControl w:val="0"/>
              <w:autoSpaceDE w:val="0"/>
              <w:autoSpaceDN w:val="0"/>
              <w:adjustRightInd w:val="0"/>
              <w:jc w:val="center"/>
              <w:rPr>
                <w:rFonts w:ascii="Times New Roman" w:hAnsi="Times New Roman" w:cs="Times New Roman"/>
                <w:bCs/>
                <w:snapToGrid w:val="0"/>
                <w:sz w:val="18"/>
                <w:szCs w:val="18"/>
                <w:u w:color="000000"/>
              </w:rPr>
            </w:pPr>
          </w:p>
        </w:tc>
      </w:tr>
      <w:tr w14:paraId="0852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4E4B050">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Merge w:val="continue"/>
            <w:vAlign w:val="center"/>
          </w:tcPr>
          <w:p w14:paraId="244CA9FB">
            <w:pPr>
              <w:widowControl w:val="0"/>
              <w:autoSpaceDE w:val="0"/>
              <w:autoSpaceDN w:val="0"/>
              <w:adjustRightInd w:val="0"/>
              <w:jc w:val="center"/>
              <w:rPr>
                <w:rFonts w:ascii="Times New Roman" w:hAnsi="Times New Roman" w:cs="Times New Roman"/>
                <w:bCs/>
                <w:snapToGrid w:val="0"/>
                <w:sz w:val="18"/>
                <w:szCs w:val="18"/>
                <w:u w:color="000000"/>
              </w:rPr>
            </w:pPr>
          </w:p>
        </w:tc>
        <w:tc>
          <w:tcPr>
            <w:tcW w:w="1665" w:type="dxa"/>
            <w:gridSpan w:val="2"/>
            <w:vAlign w:val="center"/>
          </w:tcPr>
          <w:p w14:paraId="2C21CF8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2</w:t>
            </w:r>
          </w:p>
        </w:tc>
        <w:tc>
          <w:tcPr>
            <w:tcW w:w="1665" w:type="dxa"/>
            <w:gridSpan w:val="2"/>
            <w:vAlign w:val="center"/>
          </w:tcPr>
          <w:p w14:paraId="2822997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GB36600中表1基本45项、pH值</w:t>
            </w:r>
          </w:p>
        </w:tc>
        <w:tc>
          <w:tcPr>
            <w:tcW w:w="1972" w:type="dxa"/>
            <w:gridSpan w:val="2"/>
            <w:vAlign w:val="center"/>
          </w:tcPr>
          <w:p w14:paraId="5265A7D8">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1次/1年</w:t>
            </w:r>
          </w:p>
        </w:tc>
        <w:tc>
          <w:tcPr>
            <w:tcW w:w="1071" w:type="dxa"/>
            <w:vMerge w:val="continue"/>
            <w:vAlign w:val="center"/>
          </w:tcPr>
          <w:p w14:paraId="20E4E5DC">
            <w:pPr>
              <w:widowControl w:val="0"/>
              <w:autoSpaceDE w:val="0"/>
              <w:autoSpaceDN w:val="0"/>
              <w:adjustRightInd w:val="0"/>
              <w:jc w:val="center"/>
              <w:rPr>
                <w:rFonts w:ascii="Times New Roman" w:hAnsi="Times New Roman" w:cs="Times New Roman"/>
                <w:bCs/>
                <w:snapToGrid w:val="0"/>
                <w:sz w:val="18"/>
                <w:szCs w:val="18"/>
                <w:u w:color="000000"/>
              </w:rPr>
            </w:pPr>
          </w:p>
        </w:tc>
      </w:tr>
      <w:tr w14:paraId="1C36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DA7692E">
            <w:pPr>
              <w:widowControl w:val="0"/>
              <w:autoSpaceDE w:val="0"/>
              <w:autoSpaceDN w:val="0"/>
              <w:adjustRightInd w:val="0"/>
              <w:jc w:val="center"/>
              <w:rPr>
                <w:rFonts w:ascii="Times New Roman" w:hAnsi="Times New Roman" w:cs="Times New Roman"/>
                <w:bCs/>
                <w:snapToGrid w:val="0"/>
                <w:sz w:val="18"/>
                <w:szCs w:val="18"/>
                <w:u w:color="000000"/>
              </w:rPr>
            </w:pPr>
          </w:p>
        </w:tc>
        <w:tc>
          <w:tcPr>
            <w:tcW w:w="1555" w:type="dxa"/>
            <w:vAlign w:val="center"/>
          </w:tcPr>
          <w:p w14:paraId="4A7B0B09">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信息公开指标</w:t>
            </w:r>
          </w:p>
        </w:tc>
        <w:tc>
          <w:tcPr>
            <w:tcW w:w="5302" w:type="dxa"/>
            <w:gridSpan w:val="6"/>
            <w:vAlign w:val="center"/>
          </w:tcPr>
          <w:p w14:paraId="6D6345E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GB36600中表1基本45项+ pH、</w:t>
            </w:r>
            <w:r>
              <w:rPr>
                <w:rFonts w:hint="eastAsia" w:ascii="Times New Roman" w:hAnsi="Times New Roman" w:cs="Times New Roman"/>
                <w:bCs/>
                <w:snapToGrid w:val="0"/>
                <w:sz w:val="18"/>
                <w:szCs w:val="18"/>
                <w:u w:color="000000"/>
              </w:rPr>
              <w:t>钴、</w:t>
            </w:r>
            <w:r>
              <w:rPr>
                <w:rFonts w:ascii="Times New Roman" w:hAnsi="Times New Roman" w:cs="Times New Roman"/>
                <w:bCs/>
                <w:snapToGrid w:val="0"/>
                <w:sz w:val="18"/>
                <w:szCs w:val="18"/>
                <w:u w:color="000000"/>
              </w:rPr>
              <w:t>氰化物</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石油烃</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10</w:t>
            </w:r>
            <w:r>
              <w:rPr>
                <w:rFonts w:hint="eastAsia" w:ascii="Times New Roman" w:hAnsi="Times New Roman" w:cs="Times New Roman"/>
                <w:bCs/>
                <w:snapToGrid w:val="0"/>
                <w:sz w:val="18"/>
                <w:szCs w:val="18"/>
                <w:u w:color="000000"/>
              </w:rPr>
              <w:t>-C</w:t>
            </w:r>
            <w:r>
              <w:rPr>
                <w:rFonts w:hint="eastAsia" w:ascii="Times New Roman" w:hAnsi="Times New Roman" w:cs="Times New Roman"/>
                <w:bCs/>
                <w:snapToGrid w:val="0"/>
                <w:sz w:val="18"/>
                <w:szCs w:val="18"/>
                <w:u w:color="000000"/>
                <w:vertAlign w:val="subscript"/>
              </w:rPr>
              <w:t>40</w:t>
            </w:r>
            <w:r>
              <w:rPr>
                <w:rFonts w:hint="eastAsia" w:ascii="Times New Roman" w:hAnsi="Times New Roman" w:cs="Times New Roman"/>
                <w:bCs/>
                <w:snapToGrid w:val="0"/>
                <w:sz w:val="18"/>
                <w:szCs w:val="18"/>
                <w:u w:color="000000"/>
              </w:rPr>
              <w:t>）</w:t>
            </w:r>
          </w:p>
        </w:tc>
        <w:tc>
          <w:tcPr>
            <w:tcW w:w="1071" w:type="dxa"/>
            <w:vMerge w:val="continue"/>
            <w:vAlign w:val="center"/>
          </w:tcPr>
          <w:p w14:paraId="147D0BB4">
            <w:pPr>
              <w:widowControl w:val="0"/>
              <w:autoSpaceDE w:val="0"/>
              <w:autoSpaceDN w:val="0"/>
              <w:adjustRightInd w:val="0"/>
              <w:jc w:val="center"/>
              <w:rPr>
                <w:rFonts w:ascii="Times New Roman" w:hAnsi="Times New Roman" w:cs="Times New Roman"/>
                <w:bCs/>
                <w:snapToGrid w:val="0"/>
                <w:sz w:val="18"/>
                <w:szCs w:val="18"/>
                <w:u w:color="000000"/>
              </w:rPr>
            </w:pPr>
          </w:p>
        </w:tc>
      </w:tr>
      <w:tr w14:paraId="4670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3" w:type="dxa"/>
            <w:gridSpan w:val="2"/>
            <w:vAlign w:val="center"/>
          </w:tcPr>
          <w:p w14:paraId="7C0F8B6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评价结论</w:t>
            </w:r>
          </w:p>
        </w:tc>
        <w:tc>
          <w:tcPr>
            <w:tcW w:w="5302" w:type="dxa"/>
            <w:gridSpan w:val="6"/>
            <w:vAlign w:val="center"/>
          </w:tcPr>
          <w:p w14:paraId="7B6468C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土壤环境影响可以接受，区域土壤环境质量不因本项目的建设产生恶化。</w:t>
            </w:r>
          </w:p>
        </w:tc>
        <w:tc>
          <w:tcPr>
            <w:tcW w:w="1071" w:type="dxa"/>
            <w:vAlign w:val="center"/>
          </w:tcPr>
          <w:p w14:paraId="561388B5">
            <w:pPr>
              <w:widowControl w:val="0"/>
              <w:autoSpaceDE w:val="0"/>
              <w:autoSpaceDN w:val="0"/>
              <w:adjustRightInd w:val="0"/>
              <w:jc w:val="center"/>
              <w:rPr>
                <w:rFonts w:ascii="Times New Roman" w:hAnsi="Times New Roman" w:cs="Times New Roman"/>
                <w:bCs/>
                <w:snapToGrid w:val="0"/>
                <w:sz w:val="18"/>
                <w:szCs w:val="18"/>
                <w:u w:color="000000"/>
              </w:rPr>
            </w:pPr>
          </w:p>
        </w:tc>
      </w:tr>
      <w:bookmarkEnd w:id="361"/>
    </w:tbl>
    <w:p w14:paraId="60CA10F9">
      <w:pPr>
        <w:numPr>
          <w:ilvl w:val="1"/>
          <w:numId w:val="1"/>
        </w:numPr>
        <w:overflowPunct w:val="0"/>
        <w:autoSpaceDE w:val="0"/>
        <w:autoSpaceDN w:val="0"/>
        <w:spacing w:line="360" w:lineRule="auto"/>
        <w:ind w:left="0"/>
        <w:textAlignment w:val="baseline"/>
        <w:outlineLvl w:val="1"/>
        <w:rPr>
          <w:rFonts w:hint="eastAsia" w:eastAsia="黑体"/>
          <w:b/>
          <w:bCs/>
          <w:sz w:val="30"/>
          <w:szCs w:val="30"/>
        </w:rPr>
      </w:pPr>
      <w:bookmarkStart w:id="368" w:name="_Toc194592896"/>
      <w:bookmarkStart w:id="369" w:name="_Toc1955"/>
      <w:r>
        <w:rPr>
          <w:rFonts w:hint="eastAsia" w:eastAsia="黑体"/>
          <w:b/>
          <w:bCs/>
          <w:sz w:val="30"/>
          <w:szCs w:val="30"/>
        </w:rPr>
        <w:t>电磁环境影响预测分析</w:t>
      </w:r>
      <w:bookmarkEnd w:id="368"/>
      <w:bookmarkEnd w:id="369"/>
    </w:p>
    <w:p w14:paraId="42FA1D10">
      <w:pPr>
        <w:overflowPunct w:val="0"/>
        <w:spacing w:line="360" w:lineRule="auto"/>
        <w:ind w:firstLine="480" w:firstLineChars="200"/>
        <w:rPr>
          <w:rFonts w:ascii="Times New Roman" w:hAnsi="Times New Roman"/>
          <w:szCs w:val="21"/>
        </w:rPr>
      </w:pPr>
      <w:r>
        <w:rPr>
          <w:rFonts w:hint="eastAsia" w:ascii="Times New Roman" w:hAnsi="Times New Roman"/>
          <w:szCs w:val="21"/>
        </w:rPr>
        <w:t>本工程变电站的电磁环境影响评价等级为三级，根据《环境影响评价技术导则输变电》</w:t>
      </w:r>
      <w:r>
        <w:rPr>
          <w:rFonts w:ascii="Times New Roman" w:hAnsi="Times New Roman"/>
          <w:szCs w:val="21"/>
        </w:rPr>
        <w:t>(HJ 24-2020)</w:t>
      </w:r>
      <w:r>
        <w:rPr>
          <w:rFonts w:hint="eastAsia" w:ascii="Times New Roman" w:hAnsi="Times New Roman"/>
          <w:szCs w:val="21"/>
        </w:rPr>
        <w:t>要求，采用类比监测的方式进行预测分析。</w:t>
      </w:r>
    </w:p>
    <w:p w14:paraId="1039CB47">
      <w:pPr>
        <w:numPr>
          <w:ilvl w:val="2"/>
          <w:numId w:val="1"/>
        </w:numPr>
        <w:spacing w:line="360" w:lineRule="auto"/>
        <w:ind w:left="0"/>
        <w:outlineLvl w:val="2"/>
        <w:rPr>
          <w:rFonts w:hint="eastAsia" w:ascii="黑体" w:hAnsi="黑体" w:eastAsia="黑体"/>
          <w:b/>
          <w:bCs/>
          <w:kern w:val="2"/>
          <w:sz w:val="28"/>
        </w:rPr>
      </w:pPr>
      <w:r>
        <w:rPr>
          <w:rFonts w:hint="eastAsia" w:ascii="黑体" w:hAnsi="黑体" w:eastAsia="黑体"/>
          <w:b/>
          <w:sz w:val="28"/>
        </w:rPr>
        <w:t>变电站电磁环境影响预测</w:t>
      </w:r>
    </w:p>
    <w:p w14:paraId="14381BD1">
      <w:pPr>
        <w:keepNext/>
        <w:keepLines/>
        <w:numPr>
          <w:ilvl w:val="3"/>
          <w:numId w:val="1"/>
        </w:numPr>
        <w:spacing w:line="360" w:lineRule="auto"/>
        <w:ind w:left="0"/>
        <w:outlineLvl w:val="3"/>
        <w:rPr>
          <w:rFonts w:hint="eastAsia" w:ascii="黑体" w:hAnsi="黑体" w:eastAsia="黑体"/>
          <w:b/>
          <w:bCs/>
          <w:kern w:val="2"/>
        </w:rPr>
      </w:pPr>
      <w:bookmarkStart w:id="370" w:name="_Toc4167716"/>
      <w:r>
        <w:rPr>
          <w:rFonts w:hint="eastAsia" w:ascii="黑体" w:hAnsi="黑体" w:eastAsia="黑体"/>
          <w:b/>
          <w:bCs/>
          <w:kern w:val="2"/>
        </w:rPr>
        <w:t>类比可行性</w:t>
      </w:r>
      <w:bookmarkEnd w:id="370"/>
    </w:p>
    <w:p w14:paraId="478FDD2B">
      <w:pPr>
        <w:spacing w:line="360" w:lineRule="auto"/>
        <w:ind w:firstLine="480" w:firstLineChars="200"/>
        <w:rPr>
          <w:rFonts w:ascii="Times New Roman" w:hAnsi="Times New Roman" w:cs="Times New Roman"/>
        </w:rPr>
      </w:pPr>
      <w:r>
        <w:rPr>
          <w:rFonts w:ascii="Times New Roman" w:hAnsi="Times New Roman" w:cs="Times New Roman"/>
        </w:rPr>
        <w:t>本次评价升压站的电磁环境影响评价预测采用类比监测的方法进行。</w:t>
      </w:r>
    </w:p>
    <w:p w14:paraId="752495F5">
      <w:pPr>
        <w:spacing w:line="360" w:lineRule="auto"/>
        <w:ind w:firstLine="480" w:firstLineChars="200"/>
        <w:rPr>
          <w:rFonts w:ascii="Times New Roman" w:hAnsi="Times New Roman" w:cs="Times New Roman"/>
        </w:rPr>
      </w:pPr>
      <w:r>
        <w:rPr>
          <w:rFonts w:ascii="Times New Roman" w:hAnsi="Times New Roman" w:cs="Times New Roman"/>
        </w:rPr>
        <w:t>电磁环境类比测量，从严格意义讲，具有完全相同的设备型号（决定了电压等级及额定功率、额定电流等）、布置情况（决定了距离因子）和环境条件是最理想的，即：不仅有相同的主变数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14:paraId="1799C1F5">
      <w:pPr>
        <w:spacing w:line="360" w:lineRule="auto"/>
        <w:ind w:firstLine="480" w:firstLineChars="200"/>
        <w:rPr>
          <w:rFonts w:ascii="Times New Roman" w:hAnsi="Times New Roman" w:cs="Times New Roman"/>
        </w:rPr>
      </w:pPr>
      <w:r>
        <w:rPr>
          <w:rFonts w:ascii="Times New Roman" w:hAnsi="Times New Roman" w:cs="Times New Roman"/>
        </w:rPr>
        <w:t>对于围墙外的工频电场，要求最近的高压带电构架布置一致、电压相同，此时就可以认为具有可比性；同样对于升压站围墙外的工频磁场，也要求最近的通流导体的布置和电流相同才具有可比性。实际情况是，工频电场的类比条件相对容易相符，因为升压站主设备和母线电压是基本稳定的，不会随时间和负荷的变化而产生大的变化。但是产生工频磁场的电流却是随负荷变化而有较大的变化。</w:t>
      </w:r>
    </w:p>
    <w:p w14:paraId="00B2817D">
      <w:pPr>
        <w:spacing w:line="360" w:lineRule="auto"/>
        <w:ind w:firstLine="480" w:firstLineChars="200"/>
        <w:rPr>
          <w:rFonts w:ascii="Times New Roman" w:hAnsi="Times New Roman" w:cs="Times New Roman"/>
        </w:rPr>
      </w:pPr>
      <w:r>
        <w:rPr>
          <w:rFonts w:ascii="Times New Roman" w:hAnsi="Times New Roman" w:cs="Times New Roman"/>
        </w:rPr>
        <w:t>根据以往对诸多变电站的电磁环境的类比监测结果，变电站周围的工频磁场场强远小于0.1mT的限值标准，而变电站围墙外进出线处的工频电场则有可能超过4kV/m。因此本工程主要针对工频电场选取类比对象。按照类似工程的主变规模、电压等级、布置形式等原则，选择已运行的合盛硅业220kV变电站作为新建220kV变电站类比测量变电站。类比变电站与本工程变电站主要技术参数对照，见表5.9.1-1。</w:t>
      </w:r>
    </w:p>
    <w:p w14:paraId="5B1E55B3">
      <w:pPr>
        <w:overflowPunct w:val="0"/>
        <w:autoSpaceDE w:val="0"/>
        <w:autoSpaceDN w:val="0"/>
        <w:spacing w:line="360" w:lineRule="auto"/>
        <w:jc w:val="center"/>
        <w:textAlignment w:val="baseline"/>
        <w:rPr>
          <w:rFonts w:hint="eastAsia" w:ascii="黑体" w:hAnsi="黑体" w:eastAsia="黑体"/>
          <w:b/>
          <w:snapToGrid w:val="0"/>
        </w:rPr>
      </w:pPr>
      <w:r>
        <w:rPr>
          <w:rFonts w:hint="eastAsia" w:ascii="黑体" w:hAnsi="黑体" w:eastAsia="黑体"/>
          <w:b/>
          <w:snapToGrid w:val="0"/>
        </w:rPr>
        <w:t>表</w:t>
      </w:r>
      <w:r>
        <w:rPr>
          <w:rFonts w:ascii="黑体" w:hAnsi="黑体" w:eastAsia="黑体"/>
          <w:b/>
          <w:snapToGrid w:val="0"/>
        </w:rPr>
        <w:t xml:space="preserve">5.9.1-1     </w:t>
      </w:r>
      <w:r>
        <w:rPr>
          <w:rFonts w:hint="eastAsia" w:ascii="黑体" w:hAnsi="黑体" w:eastAsia="黑体"/>
          <w:b/>
          <w:snapToGrid w:val="0"/>
        </w:rPr>
        <w:t>主要技术指标对照表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4043"/>
        <w:gridCol w:w="2309"/>
      </w:tblGrid>
      <w:tr w14:paraId="36DC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53" w:type="dxa"/>
            <w:tcBorders>
              <w:top w:val="single" w:color="auto" w:sz="4" w:space="0"/>
              <w:left w:val="single" w:color="auto" w:sz="4" w:space="0"/>
              <w:bottom w:val="single" w:color="auto" w:sz="4" w:space="0"/>
              <w:right w:val="single" w:color="auto" w:sz="4" w:space="0"/>
            </w:tcBorders>
            <w:vAlign w:val="center"/>
          </w:tcPr>
          <w:p w14:paraId="35CAA43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主要指标</w:t>
            </w:r>
          </w:p>
        </w:tc>
        <w:tc>
          <w:tcPr>
            <w:tcW w:w="4043" w:type="dxa"/>
            <w:tcBorders>
              <w:top w:val="single" w:color="auto" w:sz="4" w:space="0"/>
              <w:left w:val="single" w:color="auto" w:sz="4" w:space="0"/>
              <w:bottom w:val="single" w:color="auto" w:sz="4" w:space="0"/>
              <w:right w:val="single" w:color="auto" w:sz="4" w:space="0"/>
            </w:tcBorders>
            <w:vAlign w:val="center"/>
          </w:tcPr>
          <w:p w14:paraId="3A09F43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合盛硅业</w:t>
            </w:r>
            <w:r>
              <w:rPr>
                <w:rFonts w:ascii="Times New Roman" w:hAnsi="Times New Roman" w:cs="Times New Roman"/>
                <w:bCs/>
                <w:snapToGrid w:val="0"/>
                <w:sz w:val="18"/>
                <w:szCs w:val="18"/>
                <w:u w:color="000000"/>
              </w:rPr>
              <w:t>220kV</w:t>
            </w:r>
            <w:r>
              <w:rPr>
                <w:rFonts w:hint="eastAsia" w:ascii="Times New Roman" w:hAnsi="Times New Roman" w:cs="Times New Roman"/>
                <w:bCs/>
                <w:snapToGrid w:val="0"/>
                <w:sz w:val="18"/>
                <w:szCs w:val="18"/>
                <w:u w:color="000000"/>
              </w:rPr>
              <w:t>变电站</w:t>
            </w:r>
          </w:p>
        </w:tc>
        <w:tc>
          <w:tcPr>
            <w:tcW w:w="2309" w:type="dxa"/>
            <w:tcBorders>
              <w:top w:val="single" w:color="auto" w:sz="4" w:space="0"/>
              <w:left w:val="single" w:color="auto" w:sz="4" w:space="0"/>
              <w:bottom w:val="single" w:color="auto" w:sz="4" w:space="0"/>
              <w:right w:val="single" w:color="auto" w:sz="4" w:space="0"/>
            </w:tcBorders>
            <w:vAlign w:val="center"/>
          </w:tcPr>
          <w:p w14:paraId="2AEBE5D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本项目</w:t>
            </w:r>
            <w:r>
              <w:rPr>
                <w:rFonts w:ascii="Times New Roman" w:hAnsi="Times New Roman" w:cs="Times New Roman"/>
                <w:bCs/>
                <w:snapToGrid w:val="0"/>
                <w:sz w:val="18"/>
                <w:szCs w:val="18"/>
                <w:u w:color="000000"/>
              </w:rPr>
              <w:t>220kV</w:t>
            </w:r>
            <w:r>
              <w:rPr>
                <w:rFonts w:hint="eastAsia" w:ascii="Times New Roman" w:hAnsi="Times New Roman" w:cs="Times New Roman"/>
                <w:bCs/>
                <w:snapToGrid w:val="0"/>
                <w:sz w:val="18"/>
                <w:szCs w:val="18"/>
                <w:u w:color="000000"/>
              </w:rPr>
              <w:t>变电站</w:t>
            </w:r>
          </w:p>
        </w:tc>
      </w:tr>
      <w:tr w14:paraId="31FB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53" w:type="dxa"/>
            <w:tcBorders>
              <w:top w:val="single" w:color="auto" w:sz="4" w:space="0"/>
              <w:left w:val="single" w:color="auto" w:sz="4" w:space="0"/>
              <w:bottom w:val="single" w:color="auto" w:sz="4" w:space="0"/>
              <w:right w:val="single" w:color="auto" w:sz="4" w:space="0"/>
            </w:tcBorders>
            <w:vAlign w:val="center"/>
          </w:tcPr>
          <w:p w14:paraId="345D15E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电压等级</w:t>
            </w:r>
          </w:p>
        </w:tc>
        <w:tc>
          <w:tcPr>
            <w:tcW w:w="4043" w:type="dxa"/>
            <w:tcBorders>
              <w:top w:val="single" w:color="auto" w:sz="4" w:space="0"/>
              <w:left w:val="single" w:color="auto" w:sz="4" w:space="0"/>
              <w:bottom w:val="single" w:color="auto" w:sz="4" w:space="0"/>
              <w:right w:val="single" w:color="auto" w:sz="4" w:space="0"/>
            </w:tcBorders>
            <w:vAlign w:val="center"/>
          </w:tcPr>
          <w:p w14:paraId="721EED1A">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220kV</w:t>
            </w:r>
          </w:p>
        </w:tc>
        <w:tc>
          <w:tcPr>
            <w:tcW w:w="2309" w:type="dxa"/>
            <w:tcBorders>
              <w:top w:val="single" w:color="auto" w:sz="4" w:space="0"/>
              <w:left w:val="single" w:color="auto" w:sz="4" w:space="0"/>
              <w:bottom w:val="single" w:color="auto" w:sz="4" w:space="0"/>
              <w:right w:val="single" w:color="auto" w:sz="4" w:space="0"/>
            </w:tcBorders>
            <w:vAlign w:val="center"/>
          </w:tcPr>
          <w:p w14:paraId="277AEDA4">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220kV</w:t>
            </w:r>
          </w:p>
        </w:tc>
      </w:tr>
      <w:tr w14:paraId="4562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53" w:type="dxa"/>
            <w:tcBorders>
              <w:top w:val="single" w:color="auto" w:sz="4" w:space="0"/>
              <w:left w:val="single" w:color="auto" w:sz="4" w:space="0"/>
              <w:bottom w:val="single" w:color="auto" w:sz="4" w:space="0"/>
              <w:right w:val="single" w:color="auto" w:sz="4" w:space="0"/>
            </w:tcBorders>
            <w:vAlign w:val="center"/>
          </w:tcPr>
          <w:p w14:paraId="16D1260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主变规模</w:t>
            </w:r>
          </w:p>
        </w:tc>
        <w:tc>
          <w:tcPr>
            <w:tcW w:w="4043" w:type="dxa"/>
            <w:tcBorders>
              <w:top w:val="single" w:color="auto" w:sz="4" w:space="0"/>
              <w:left w:val="single" w:color="auto" w:sz="4" w:space="0"/>
              <w:bottom w:val="single" w:color="auto" w:sz="4" w:space="0"/>
              <w:right w:val="single" w:color="auto" w:sz="4" w:space="0"/>
            </w:tcBorders>
            <w:vAlign w:val="center"/>
          </w:tcPr>
          <w:p w14:paraId="70ACC6D0">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4</w:t>
            </w:r>
            <w:r>
              <w:rPr>
                <w:rFonts w:hint="eastAsia" w:ascii="Times New Roman" w:hAnsi="Times New Roman" w:cs="Times New Roman"/>
                <w:bCs/>
                <w:snapToGrid w:val="0"/>
                <w:sz w:val="18"/>
                <w:szCs w:val="18"/>
                <w:u w:color="000000"/>
              </w:rPr>
              <w:t>×</w:t>
            </w:r>
            <w:r>
              <w:rPr>
                <w:rFonts w:ascii="Times New Roman" w:hAnsi="Times New Roman" w:cs="Times New Roman"/>
                <w:bCs/>
                <w:snapToGrid w:val="0"/>
                <w:sz w:val="18"/>
                <w:szCs w:val="18"/>
                <w:u w:color="000000"/>
              </w:rPr>
              <w:t>240MVA</w:t>
            </w:r>
          </w:p>
        </w:tc>
        <w:tc>
          <w:tcPr>
            <w:tcW w:w="2309" w:type="dxa"/>
            <w:tcBorders>
              <w:top w:val="single" w:color="auto" w:sz="4" w:space="0"/>
              <w:left w:val="single" w:color="auto" w:sz="4" w:space="0"/>
              <w:bottom w:val="single" w:color="auto" w:sz="4" w:space="0"/>
              <w:right w:val="single" w:color="auto" w:sz="4" w:space="0"/>
            </w:tcBorders>
            <w:vAlign w:val="center"/>
          </w:tcPr>
          <w:p w14:paraId="2F54057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4×24</w:t>
            </w:r>
            <w:r>
              <w:rPr>
                <w:rFonts w:ascii="Times New Roman" w:hAnsi="Times New Roman" w:cs="Times New Roman"/>
                <w:bCs/>
                <w:snapToGrid w:val="0"/>
                <w:sz w:val="18"/>
                <w:szCs w:val="18"/>
                <w:u w:color="000000"/>
              </w:rPr>
              <w:t>0MVA</w:t>
            </w:r>
          </w:p>
        </w:tc>
      </w:tr>
      <w:tr w14:paraId="141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53" w:type="dxa"/>
            <w:tcBorders>
              <w:top w:val="single" w:color="auto" w:sz="4" w:space="0"/>
              <w:left w:val="single" w:color="auto" w:sz="4" w:space="0"/>
              <w:bottom w:val="single" w:color="auto" w:sz="4" w:space="0"/>
              <w:right w:val="single" w:color="auto" w:sz="4" w:space="0"/>
            </w:tcBorders>
            <w:vAlign w:val="center"/>
          </w:tcPr>
          <w:p w14:paraId="6694636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主变布置形式</w:t>
            </w:r>
          </w:p>
        </w:tc>
        <w:tc>
          <w:tcPr>
            <w:tcW w:w="4043" w:type="dxa"/>
            <w:tcBorders>
              <w:top w:val="single" w:color="auto" w:sz="4" w:space="0"/>
              <w:left w:val="single" w:color="auto" w:sz="4" w:space="0"/>
              <w:bottom w:val="single" w:color="auto" w:sz="4" w:space="0"/>
              <w:right w:val="single" w:color="auto" w:sz="4" w:space="0"/>
            </w:tcBorders>
            <w:vAlign w:val="center"/>
          </w:tcPr>
          <w:p w14:paraId="65B5F57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户外</w:t>
            </w:r>
          </w:p>
        </w:tc>
        <w:tc>
          <w:tcPr>
            <w:tcW w:w="2309" w:type="dxa"/>
            <w:tcBorders>
              <w:top w:val="single" w:color="auto" w:sz="4" w:space="0"/>
              <w:left w:val="single" w:color="auto" w:sz="4" w:space="0"/>
              <w:bottom w:val="single" w:color="auto" w:sz="4" w:space="0"/>
              <w:right w:val="single" w:color="auto" w:sz="4" w:space="0"/>
            </w:tcBorders>
            <w:vAlign w:val="center"/>
          </w:tcPr>
          <w:p w14:paraId="109736B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户外</w:t>
            </w:r>
          </w:p>
        </w:tc>
      </w:tr>
      <w:tr w14:paraId="5639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53" w:type="dxa"/>
            <w:tcBorders>
              <w:top w:val="single" w:color="auto" w:sz="4" w:space="0"/>
              <w:left w:val="single" w:color="auto" w:sz="4" w:space="0"/>
              <w:bottom w:val="single" w:color="auto" w:sz="4" w:space="0"/>
              <w:right w:val="single" w:color="auto" w:sz="4" w:space="0"/>
            </w:tcBorders>
            <w:vAlign w:val="center"/>
          </w:tcPr>
          <w:p w14:paraId="67D5628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运行工况</w:t>
            </w:r>
          </w:p>
        </w:tc>
        <w:tc>
          <w:tcPr>
            <w:tcW w:w="4043" w:type="dxa"/>
            <w:tcBorders>
              <w:top w:val="single" w:color="auto" w:sz="4" w:space="0"/>
              <w:left w:val="single" w:color="auto" w:sz="4" w:space="0"/>
              <w:bottom w:val="single" w:color="auto" w:sz="4" w:space="0"/>
              <w:right w:val="single" w:color="auto" w:sz="4" w:space="0"/>
            </w:tcBorders>
            <w:vAlign w:val="center"/>
          </w:tcPr>
          <w:p w14:paraId="0031B85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正常运行</w:t>
            </w:r>
          </w:p>
        </w:tc>
        <w:tc>
          <w:tcPr>
            <w:tcW w:w="2309" w:type="dxa"/>
            <w:tcBorders>
              <w:top w:val="single" w:color="auto" w:sz="4" w:space="0"/>
              <w:left w:val="single" w:color="auto" w:sz="4" w:space="0"/>
              <w:bottom w:val="single" w:color="auto" w:sz="4" w:space="0"/>
              <w:right w:val="single" w:color="auto" w:sz="4" w:space="0"/>
            </w:tcBorders>
            <w:vAlign w:val="center"/>
          </w:tcPr>
          <w:p w14:paraId="0E79157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w:t>
            </w:r>
          </w:p>
        </w:tc>
      </w:tr>
    </w:tbl>
    <w:p w14:paraId="039BBDEF">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由5.9.1-1分析可知，类比变电站和本工程变电站的主变压器均采用户外布置，由于主变场地均布置在场地中央，离围墙均有一定距离，因此，主变压器产生的工频电场、工频磁场对周围电磁环境影响不大，变电站的布置形式相似，其电磁环境的影响程度相近，相互间具有一定可比性。同时，因类比变电站电压等级、主变规模</w:t>
      </w:r>
      <w:r>
        <w:rPr>
          <w:rFonts w:hint="eastAsia" w:ascii="Times New Roman" w:hAnsi="Times New Roman" w:cs="Times New Roman"/>
          <w:szCs w:val="21"/>
        </w:rPr>
        <w:t>与</w:t>
      </w:r>
      <w:r>
        <w:rPr>
          <w:rFonts w:ascii="Times New Roman" w:hAnsi="Times New Roman" w:cs="Times New Roman"/>
          <w:szCs w:val="21"/>
        </w:rPr>
        <w:t>本变电站</w:t>
      </w:r>
      <w:r>
        <w:rPr>
          <w:rFonts w:hint="eastAsia" w:ascii="Times New Roman" w:hAnsi="Times New Roman" w:cs="Times New Roman"/>
          <w:szCs w:val="21"/>
        </w:rPr>
        <w:t>一致</w:t>
      </w:r>
      <w:r>
        <w:rPr>
          <w:rFonts w:ascii="Times New Roman" w:hAnsi="Times New Roman" w:cs="Times New Roman"/>
          <w:szCs w:val="21"/>
        </w:rPr>
        <w:t>，以合盛220kV变电站作为类比对象是可行的。</w:t>
      </w:r>
    </w:p>
    <w:p w14:paraId="08D232EC">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工频电场、工频磁场类比监测</w:t>
      </w:r>
    </w:p>
    <w:p w14:paraId="02F84AF3">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（1）监测因子</w:t>
      </w:r>
    </w:p>
    <w:p w14:paraId="0A5FFD22">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工频电场强度、工频磁感应强度</w:t>
      </w:r>
    </w:p>
    <w:p w14:paraId="1F7EC551">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（2）监测方法</w:t>
      </w:r>
    </w:p>
    <w:p w14:paraId="5D64753A">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监测方法：《交流输变电工程电磁环境监测办法(试行)》(HJ681-2013)。</w:t>
      </w:r>
    </w:p>
    <w:p w14:paraId="71F22798">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（3）监测单位及监测时间</w:t>
      </w:r>
    </w:p>
    <w:p w14:paraId="71E5DB91">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合盛220kV变电站监测单位：新疆鼎耀工程咨询有限公司</w:t>
      </w:r>
      <w:r>
        <w:rPr>
          <w:rFonts w:hint="eastAsia" w:ascii="Times New Roman" w:hAnsi="Times New Roman" w:cs="Times New Roman"/>
          <w:szCs w:val="21"/>
        </w:rPr>
        <w:t>；</w:t>
      </w:r>
    </w:p>
    <w:p w14:paraId="1A253281">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合盛220kV变电站监测时间：2022年5月20日</w:t>
      </w:r>
    </w:p>
    <w:p w14:paraId="200F36D6">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（4）监测仪器、监测条件</w:t>
      </w:r>
    </w:p>
    <w:p w14:paraId="02B77D86">
      <w:pPr>
        <w:overflowPunct w:val="0"/>
        <w:spacing w:line="360" w:lineRule="auto"/>
        <w:ind w:firstLine="480" w:firstLineChars="200"/>
        <w:rPr>
          <w:rFonts w:ascii="Times New Roman" w:hAnsi="Times New Roman" w:cs="Times New Roman"/>
          <w:szCs w:val="21"/>
        </w:rPr>
      </w:pPr>
      <w:r>
        <w:rPr>
          <w:rFonts w:ascii="Times New Roman" w:hAnsi="Times New Roman" w:cs="Times New Roman"/>
          <w:szCs w:val="21"/>
        </w:rPr>
        <w:t>监测仪器参数，见表5.9.1-2。</w:t>
      </w:r>
    </w:p>
    <w:p w14:paraId="54571F9F">
      <w:pPr>
        <w:overflowPunct w:val="0"/>
        <w:autoSpaceDE w:val="0"/>
        <w:autoSpaceDN w:val="0"/>
        <w:spacing w:line="360" w:lineRule="auto"/>
        <w:jc w:val="center"/>
        <w:textAlignment w:val="baseline"/>
        <w:rPr>
          <w:rFonts w:hint="eastAsia" w:ascii="黑体" w:hAnsi="黑体" w:eastAsia="黑体"/>
          <w:b/>
          <w:snapToGrid w:val="0"/>
          <w:sz w:val="21"/>
        </w:rPr>
      </w:pPr>
      <w:r>
        <w:rPr>
          <w:rFonts w:hint="eastAsia"/>
          <w:b/>
          <w:snapToGrid w:val="0"/>
        </w:rPr>
        <w:t>表</w:t>
      </w:r>
      <w:r>
        <w:rPr>
          <w:rFonts w:ascii="黑体" w:hAnsi="黑体" w:eastAsia="黑体"/>
          <w:b/>
          <w:snapToGrid w:val="0"/>
        </w:rPr>
        <w:t xml:space="preserve">5.9.1-2    </w:t>
      </w:r>
      <w:r>
        <w:rPr>
          <w:rFonts w:hint="eastAsia"/>
          <w:b/>
          <w:snapToGrid w:val="0"/>
        </w:rPr>
        <w:t>监测仪器参数表</w:t>
      </w:r>
    </w:p>
    <w:tbl>
      <w:tblPr>
        <w:tblStyle w:val="65"/>
        <w:tblW w:w="8505"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4"/>
        <w:gridCol w:w="2425"/>
        <w:gridCol w:w="1453"/>
        <w:gridCol w:w="1573"/>
        <w:gridCol w:w="2240"/>
      </w:tblGrid>
      <w:tr w14:paraId="1BF9F74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36" w:type="dxa"/>
            <w:tcMar>
              <w:top w:w="0" w:type="dxa"/>
              <w:left w:w="0" w:type="dxa"/>
              <w:bottom w:w="0" w:type="dxa"/>
              <w:right w:w="0" w:type="dxa"/>
            </w:tcMar>
            <w:vAlign w:val="center"/>
          </w:tcPr>
          <w:p w14:paraId="2D64FB7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序号</w:t>
            </w:r>
          </w:p>
        </w:tc>
        <w:tc>
          <w:tcPr>
            <w:tcW w:w="1893" w:type="dxa"/>
            <w:tcMar>
              <w:top w:w="0" w:type="dxa"/>
              <w:left w:w="0" w:type="dxa"/>
              <w:bottom w:w="0" w:type="dxa"/>
              <w:right w:w="0" w:type="dxa"/>
            </w:tcMar>
            <w:vAlign w:val="center"/>
          </w:tcPr>
          <w:p w14:paraId="160FF9D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监测项目</w:t>
            </w:r>
          </w:p>
        </w:tc>
        <w:tc>
          <w:tcPr>
            <w:tcW w:w="1134" w:type="dxa"/>
            <w:tcMar>
              <w:top w:w="0" w:type="dxa"/>
              <w:left w:w="0" w:type="dxa"/>
              <w:bottom w:w="0" w:type="dxa"/>
              <w:right w:w="0" w:type="dxa"/>
            </w:tcMar>
            <w:vAlign w:val="center"/>
          </w:tcPr>
          <w:p w14:paraId="7DF19A3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设备名称</w:t>
            </w:r>
          </w:p>
        </w:tc>
        <w:tc>
          <w:tcPr>
            <w:tcW w:w="1228" w:type="dxa"/>
            <w:tcMar>
              <w:top w:w="0" w:type="dxa"/>
              <w:left w:w="0" w:type="dxa"/>
              <w:bottom w:w="0" w:type="dxa"/>
              <w:right w:w="0" w:type="dxa"/>
            </w:tcMar>
            <w:vAlign w:val="center"/>
          </w:tcPr>
          <w:p w14:paraId="38B6A87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设备编号</w:t>
            </w:r>
          </w:p>
        </w:tc>
        <w:tc>
          <w:tcPr>
            <w:tcW w:w="1749" w:type="dxa"/>
            <w:tcMar>
              <w:top w:w="0" w:type="dxa"/>
              <w:left w:w="0" w:type="dxa"/>
              <w:bottom w:w="0" w:type="dxa"/>
              <w:right w:w="0" w:type="dxa"/>
            </w:tcMar>
            <w:vAlign w:val="center"/>
          </w:tcPr>
          <w:p w14:paraId="5268DD2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检定</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校准机构</w:t>
            </w:r>
          </w:p>
        </w:tc>
      </w:tr>
      <w:tr w14:paraId="08FDBAA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36" w:type="dxa"/>
            <w:vMerge w:val="restart"/>
            <w:tcMar>
              <w:top w:w="0" w:type="dxa"/>
              <w:left w:w="0" w:type="dxa"/>
              <w:bottom w:w="0" w:type="dxa"/>
              <w:right w:w="0" w:type="dxa"/>
            </w:tcMar>
            <w:vAlign w:val="center"/>
          </w:tcPr>
          <w:p w14:paraId="5F90B9F5">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w:t>
            </w:r>
          </w:p>
        </w:tc>
        <w:tc>
          <w:tcPr>
            <w:tcW w:w="1893" w:type="dxa"/>
            <w:tcMar>
              <w:top w:w="0" w:type="dxa"/>
              <w:left w:w="0" w:type="dxa"/>
              <w:bottom w:w="0" w:type="dxa"/>
              <w:right w:w="0" w:type="dxa"/>
            </w:tcMar>
            <w:vAlign w:val="center"/>
          </w:tcPr>
          <w:p w14:paraId="4E3AD14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工频电场强度</w:t>
            </w:r>
          </w:p>
        </w:tc>
        <w:tc>
          <w:tcPr>
            <w:tcW w:w="1134" w:type="dxa"/>
            <w:vMerge w:val="restart"/>
            <w:tcMar>
              <w:top w:w="0" w:type="dxa"/>
              <w:left w:w="0" w:type="dxa"/>
              <w:bottom w:w="0" w:type="dxa"/>
              <w:right w:w="0" w:type="dxa"/>
            </w:tcMar>
            <w:vAlign w:val="center"/>
          </w:tcPr>
          <w:p w14:paraId="417C8D5B">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EHP-50F</w:t>
            </w:r>
            <w:r>
              <w:rPr>
                <w:rFonts w:hint="eastAsia" w:ascii="Times New Roman" w:hAnsi="Times New Roman" w:cs="Times New Roman"/>
                <w:bCs/>
                <w:snapToGrid w:val="0"/>
                <w:sz w:val="18"/>
                <w:szCs w:val="18"/>
                <w:u w:color="000000"/>
              </w:rPr>
              <w:t>和N</w:t>
            </w:r>
            <w:r>
              <w:rPr>
                <w:rFonts w:ascii="Times New Roman" w:hAnsi="Times New Roman" w:cs="Times New Roman"/>
                <w:bCs/>
                <w:snapToGrid w:val="0"/>
                <w:sz w:val="18"/>
                <w:szCs w:val="18"/>
                <w:u w:color="000000"/>
              </w:rPr>
              <w:t>BM-550</w:t>
            </w:r>
          </w:p>
        </w:tc>
        <w:tc>
          <w:tcPr>
            <w:tcW w:w="1228" w:type="dxa"/>
            <w:vMerge w:val="restart"/>
            <w:tcMar>
              <w:top w:w="0" w:type="dxa"/>
              <w:left w:w="0" w:type="dxa"/>
              <w:bottom w:w="0" w:type="dxa"/>
              <w:right w:w="0" w:type="dxa"/>
            </w:tcMar>
            <w:vAlign w:val="center"/>
          </w:tcPr>
          <w:p w14:paraId="6247A4B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000WX61028</w:t>
            </w:r>
            <w:r>
              <w:rPr>
                <w:rFonts w:hint="eastAsia" w:ascii="Times New Roman" w:hAnsi="Times New Roman" w:cs="Times New Roman"/>
                <w:bCs/>
                <w:snapToGrid w:val="0"/>
                <w:sz w:val="18"/>
                <w:szCs w:val="18"/>
                <w:u w:color="000000"/>
              </w:rPr>
              <w:t>和</w:t>
            </w:r>
          </w:p>
          <w:p w14:paraId="7187C7D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G</w:t>
            </w:r>
            <w:r>
              <w:rPr>
                <w:rFonts w:ascii="Times New Roman" w:hAnsi="Times New Roman" w:cs="Times New Roman"/>
                <w:bCs/>
                <w:snapToGrid w:val="0"/>
                <w:sz w:val="18"/>
                <w:szCs w:val="18"/>
                <w:u w:color="000000"/>
              </w:rPr>
              <w:t>-0742</w:t>
            </w:r>
          </w:p>
        </w:tc>
        <w:tc>
          <w:tcPr>
            <w:tcW w:w="1749" w:type="dxa"/>
            <w:vMerge w:val="restart"/>
            <w:tcMar>
              <w:top w:w="0" w:type="dxa"/>
              <w:left w:w="0" w:type="dxa"/>
              <w:bottom w:w="0" w:type="dxa"/>
              <w:right w:w="0" w:type="dxa"/>
            </w:tcMar>
            <w:vAlign w:val="center"/>
          </w:tcPr>
          <w:p w14:paraId="010A738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中国计量科学研究院</w:t>
            </w:r>
          </w:p>
        </w:tc>
      </w:tr>
      <w:tr w14:paraId="6134BB4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636" w:type="dxa"/>
            <w:vMerge w:val="continue"/>
            <w:vAlign w:val="center"/>
          </w:tcPr>
          <w:p w14:paraId="08EEB1FA">
            <w:pPr>
              <w:widowControl w:val="0"/>
              <w:autoSpaceDE w:val="0"/>
              <w:autoSpaceDN w:val="0"/>
              <w:adjustRightInd w:val="0"/>
              <w:jc w:val="center"/>
              <w:rPr>
                <w:rFonts w:ascii="Times New Roman" w:hAnsi="Times New Roman" w:cs="Times New Roman"/>
                <w:bCs/>
                <w:snapToGrid w:val="0"/>
                <w:sz w:val="18"/>
                <w:szCs w:val="18"/>
                <w:u w:color="000000"/>
              </w:rPr>
            </w:pPr>
          </w:p>
        </w:tc>
        <w:tc>
          <w:tcPr>
            <w:tcW w:w="1893" w:type="dxa"/>
            <w:tcMar>
              <w:top w:w="0" w:type="dxa"/>
              <w:left w:w="0" w:type="dxa"/>
              <w:bottom w:w="0" w:type="dxa"/>
              <w:right w:w="0" w:type="dxa"/>
            </w:tcMar>
            <w:vAlign w:val="center"/>
          </w:tcPr>
          <w:p w14:paraId="482E74D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工频磁感应强度</w:t>
            </w:r>
          </w:p>
        </w:tc>
        <w:tc>
          <w:tcPr>
            <w:tcW w:w="1134" w:type="dxa"/>
            <w:vMerge w:val="continue"/>
            <w:vAlign w:val="center"/>
          </w:tcPr>
          <w:p w14:paraId="3946047C">
            <w:pPr>
              <w:widowControl w:val="0"/>
              <w:autoSpaceDE w:val="0"/>
              <w:autoSpaceDN w:val="0"/>
              <w:adjustRightInd w:val="0"/>
              <w:jc w:val="center"/>
              <w:rPr>
                <w:rFonts w:ascii="Times New Roman" w:hAnsi="Times New Roman" w:cs="Times New Roman"/>
                <w:bCs/>
                <w:snapToGrid w:val="0"/>
                <w:sz w:val="18"/>
                <w:szCs w:val="18"/>
                <w:u w:color="000000"/>
              </w:rPr>
            </w:pPr>
          </w:p>
        </w:tc>
        <w:tc>
          <w:tcPr>
            <w:tcW w:w="1228" w:type="dxa"/>
            <w:vMerge w:val="continue"/>
            <w:vAlign w:val="center"/>
          </w:tcPr>
          <w:p w14:paraId="4E26E210">
            <w:pPr>
              <w:widowControl w:val="0"/>
              <w:autoSpaceDE w:val="0"/>
              <w:autoSpaceDN w:val="0"/>
              <w:adjustRightInd w:val="0"/>
              <w:jc w:val="center"/>
              <w:rPr>
                <w:rFonts w:ascii="Times New Roman" w:hAnsi="Times New Roman" w:cs="Times New Roman"/>
                <w:bCs/>
                <w:snapToGrid w:val="0"/>
                <w:sz w:val="18"/>
                <w:szCs w:val="18"/>
                <w:u w:color="000000"/>
              </w:rPr>
            </w:pPr>
          </w:p>
        </w:tc>
        <w:tc>
          <w:tcPr>
            <w:tcW w:w="1749" w:type="dxa"/>
            <w:vMerge w:val="continue"/>
            <w:vAlign w:val="center"/>
          </w:tcPr>
          <w:p w14:paraId="44BB518F">
            <w:pPr>
              <w:widowControl w:val="0"/>
              <w:autoSpaceDE w:val="0"/>
              <w:autoSpaceDN w:val="0"/>
              <w:adjustRightInd w:val="0"/>
              <w:jc w:val="center"/>
              <w:rPr>
                <w:rFonts w:ascii="Times New Roman" w:hAnsi="Times New Roman" w:cs="Times New Roman"/>
                <w:bCs/>
                <w:snapToGrid w:val="0"/>
                <w:sz w:val="18"/>
                <w:szCs w:val="18"/>
                <w:u w:color="000000"/>
              </w:rPr>
            </w:pPr>
          </w:p>
        </w:tc>
      </w:tr>
    </w:tbl>
    <w:p w14:paraId="3F028FCE">
      <w:pPr>
        <w:overflowPunct w:val="0"/>
        <w:spacing w:line="360" w:lineRule="auto"/>
        <w:ind w:firstLine="480" w:firstLineChars="200"/>
        <w:rPr>
          <w:rFonts w:ascii="Times New Roman" w:hAnsi="Times New Roman"/>
          <w:szCs w:val="21"/>
        </w:rPr>
      </w:pPr>
      <w:r>
        <w:rPr>
          <w:rFonts w:hint="eastAsia"/>
          <w:szCs w:val="21"/>
        </w:rPr>
        <w:t>监测条</w:t>
      </w:r>
      <w:r>
        <w:rPr>
          <w:rFonts w:ascii="Times New Roman" w:hAnsi="Times New Roman"/>
          <w:szCs w:val="21"/>
        </w:rPr>
        <w:t>件：天气</w:t>
      </w:r>
      <w:r>
        <w:rPr>
          <w:rFonts w:hint="eastAsia" w:ascii="Times New Roman" w:hAnsi="Times New Roman"/>
          <w:szCs w:val="21"/>
        </w:rPr>
        <w:t>晴</w:t>
      </w:r>
      <w:r>
        <w:rPr>
          <w:rFonts w:ascii="Times New Roman" w:hAnsi="Times New Roman"/>
          <w:szCs w:val="21"/>
        </w:rPr>
        <w:t>、相对湿度22～35%、温度18～31℃。</w:t>
      </w:r>
    </w:p>
    <w:p w14:paraId="60539DF6">
      <w:pPr>
        <w:overflowPunct w:val="0"/>
        <w:spacing w:line="360" w:lineRule="auto"/>
        <w:ind w:firstLine="480" w:firstLineChars="200"/>
        <w:rPr>
          <w:rFonts w:ascii="Times New Roman" w:hAnsi="Times New Roman"/>
          <w:szCs w:val="21"/>
        </w:rPr>
      </w:pPr>
      <w:r>
        <w:rPr>
          <w:rFonts w:ascii="Times New Roman" w:hAnsi="Times New Roman"/>
          <w:szCs w:val="21"/>
        </w:rPr>
        <w:t>（5）监测结果</w:t>
      </w:r>
    </w:p>
    <w:p w14:paraId="02DFD531">
      <w:pPr>
        <w:overflowPunct w:val="0"/>
        <w:spacing w:line="360" w:lineRule="auto"/>
        <w:ind w:firstLine="480" w:firstLineChars="200"/>
        <w:rPr>
          <w:rFonts w:ascii="Times New Roman" w:hAnsi="Times New Roman"/>
          <w:szCs w:val="21"/>
        </w:rPr>
      </w:pPr>
      <w:r>
        <w:rPr>
          <w:rFonts w:hint="eastAsia" w:ascii="Times New Roman" w:hAnsi="Times New Roman"/>
          <w:szCs w:val="21"/>
        </w:rPr>
        <w:t>监测结果见表</w:t>
      </w:r>
      <w:r>
        <w:rPr>
          <w:rFonts w:ascii="Times New Roman" w:hAnsi="Times New Roman"/>
          <w:szCs w:val="21"/>
        </w:rPr>
        <w:t>5.9.1</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p>
    <w:p w14:paraId="60025EB6">
      <w:pPr>
        <w:overflowPunct w:val="0"/>
        <w:autoSpaceDE w:val="0"/>
        <w:autoSpaceDN w:val="0"/>
        <w:spacing w:line="360" w:lineRule="auto"/>
        <w:jc w:val="center"/>
        <w:textAlignment w:val="baseline"/>
        <w:rPr>
          <w:rFonts w:hint="eastAsia" w:ascii="黑体" w:hAnsi="黑体" w:eastAsia="黑体"/>
          <w:b/>
          <w:snapToGrid w:val="0"/>
          <w:sz w:val="21"/>
        </w:rPr>
      </w:pPr>
      <w:r>
        <w:rPr>
          <w:rFonts w:hint="eastAsia" w:ascii="黑体" w:hAnsi="黑体" w:eastAsia="黑体"/>
          <w:b/>
          <w:snapToGrid w:val="0"/>
        </w:rPr>
        <w:t>表</w:t>
      </w:r>
      <w:r>
        <w:rPr>
          <w:rFonts w:ascii="黑体" w:hAnsi="黑体" w:eastAsia="黑体"/>
          <w:b/>
          <w:snapToGrid w:val="0"/>
        </w:rPr>
        <w:t>5.9.1</w:t>
      </w:r>
      <w:r>
        <w:rPr>
          <w:rFonts w:hint="eastAsia" w:ascii="黑体" w:hAnsi="黑体" w:eastAsia="黑体"/>
          <w:b/>
          <w:snapToGrid w:val="0"/>
        </w:rPr>
        <w:t>-</w:t>
      </w:r>
      <w:r>
        <w:rPr>
          <w:rFonts w:ascii="黑体" w:hAnsi="黑体" w:eastAsia="黑体"/>
          <w:b/>
          <w:snapToGrid w:val="0"/>
        </w:rPr>
        <w:t xml:space="preserve">3    </w:t>
      </w:r>
      <w:r>
        <w:rPr>
          <w:rFonts w:hint="eastAsia" w:ascii="黑体" w:hAnsi="黑体" w:eastAsia="黑体"/>
          <w:b/>
          <w:snapToGrid w:val="0"/>
        </w:rPr>
        <w:t>合盛</w:t>
      </w:r>
      <w:r>
        <w:rPr>
          <w:rFonts w:ascii="黑体" w:hAnsi="黑体" w:eastAsia="黑体"/>
          <w:b/>
          <w:snapToGrid w:val="0"/>
        </w:rPr>
        <w:t>220kV</w:t>
      </w:r>
      <w:r>
        <w:rPr>
          <w:rFonts w:hint="eastAsia" w:ascii="黑体" w:hAnsi="黑体" w:eastAsia="黑体"/>
          <w:b/>
          <w:snapToGrid w:val="0"/>
        </w:rPr>
        <w:t>变电站工频场强测试结果</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873"/>
        <w:gridCol w:w="2126"/>
        <w:gridCol w:w="2126"/>
      </w:tblGrid>
      <w:tr w14:paraId="6A97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55F868E0">
            <w:pPr>
              <w:widowControl w:val="0"/>
              <w:autoSpaceDE w:val="0"/>
              <w:autoSpaceDN w:val="0"/>
              <w:adjustRightInd w:val="0"/>
              <w:jc w:val="center"/>
              <w:rPr>
                <w:rFonts w:ascii="Times New Roman" w:hAnsi="Times New Roman" w:cs="Times New Roman"/>
                <w:bCs/>
                <w:snapToGrid w:val="0"/>
                <w:sz w:val="18"/>
                <w:u w:color="000000"/>
              </w:rPr>
            </w:pPr>
            <w:r>
              <w:rPr>
                <w:rFonts w:hint="eastAsia" w:ascii="Times New Roman" w:hAnsi="Times New Roman" w:cs="Times New Roman"/>
                <w:bCs/>
                <w:snapToGrid w:val="0"/>
                <w:sz w:val="18"/>
                <w:szCs w:val="18"/>
                <w:u w:color="000000"/>
              </w:rPr>
              <w:t>序号</w:t>
            </w:r>
          </w:p>
        </w:tc>
        <w:tc>
          <w:tcPr>
            <w:tcW w:w="2873" w:type="dxa"/>
            <w:tcBorders>
              <w:top w:val="single" w:color="auto" w:sz="4" w:space="0"/>
              <w:left w:val="single" w:color="auto" w:sz="4" w:space="0"/>
              <w:bottom w:val="single" w:color="auto" w:sz="4" w:space="0"/>
              <w:right w:val="single" w:color="auto" w:sz="4" w:space="0"/>
            </w:tcBorders>
            <w:vAlign w:val="center"/>
          </w:tcPr>
          <w:p w14:paraId="35DC346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测点位置</w:t>
            </w:r>
          </w:p>
        </w:tc>
        <w:tc>
          <w:tcPr>
            <w:tcW w:w="2126" w:type="dxa"/>
            <w:tcBorders>
              <w:top w:val="single" w:color="auto" w:sz="4" w:space="0"/>
              <w:left w:val="single" w:color="auto" w:sz="4" w:space="0"/>
              <w:bottom w:val="single" w:color="auto" w:sz="4" w:space="0"/>
              <w:right w:val="single" w:color="auto" w:sz="4" w:space="0"/>
            </w:tcBorders>
            <w:vAlign w:val="center"/>
          </w:tcPr>
          <w:p w14:paraId="5BD3949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电场强度</w:t>
            </w:r>
            <w:r>
              <w:rPr>
                <w:rFonts w:ascii="Times New Roman" w:hAnsi="Times New Roman" w:cs="Times New Roman"/>
                <w:bCs/>
                <w:snapToGrid w:val="0"/>
                <w:sz w:val="18"/>
                <w:szCs w:val="18"/>
                <w:u w:color="000000"/>
              </w:rPr>
              <w:t>(V/m)</w:t>
            </w:r>
          </w:p>
        </w:tc>
        <w:tc>
          <w:tcPr>
            <w:tcW w:w="2126" w:type="dxa"/>
            <w:tcBorders>
              <w:top w:val="single" w:color="auto" w:sz="4" w:space="0"/>
              <w:left w:val="single" w:color="auto" w:sz="4" w:space="0"/>
              <w:bottom w:val="single" w:color="auto" w:sz="4" w:space="0"/>
              <w:right w:val="single" w:color="auto" w:sz="4" w:space="0"/>
            </w:tcBorders>
            <w:vAlign w:val="center"/>
          </w:tcPr>
          <w:p w14:paraId="5EF7FC4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磁感应强度</w:t>
            </w:r>
            <w:r>
              <w:rPr>
                <w:rFonts w:ascii="Times New Roman" w:hAnsi="Times New Roman" w:cs="Times New Roman"/>
                <w:bCs/>
                <w:snapToGrid w:val="0"/>
                <w:sz w:val="18"/>
                <w:szCs w:val="18"/>
                <w:u w:color="000000"/>
              </w:rPr>
              <w:t>(</w:t>
            </w:r>
            <w:r>
              <w:rPr>
                <w:rFonts w:hint="eastAsia" w:ascii="Times New Roman" w:hAnsi="Times New Roman" w:cs="Times New Roman"/>
                <w:bCs/>
                <w:snapToGrid w:val="0"/>
                <w:sz w:val="18"/>
                <w:szCs w:val="18"/>
                <w:u w:color="000000"/>
              </w:rPr>
              <w:t>μ</w:t>
            </w:r>
            <w:r>
              <w:rPr>
                <w:rFonts w:ascii="Times New Roman" w:hAnsi="Times New Roman" w:cs="Times New Roman"/>
                <w:bCs/>
                <w:snapToGrid w:val="0"/>
                <w:sz w:val="18"/>
                <w:szCs w:val="18"/>
                <w:u w:color="000000"/>
              </w:rPr>
              <w:t>T)</w:t>
            </w:r>
          </w:p>
        </w:tc>
      </w:tr>
      <w:tr w14:paraId="15AA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4622B58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1</w:t>
            </w:r>
          </w:p>
        </w:tc>
        <w:tc>
          <w:tcPr>
            <w:tcW w:w="2873" w:type="dxa"/>
            <w:tcBorders>
              <w:top w:val="single" w:color="auto" w:sz="4" w:space="0"/>
              <w:left w:val="single" w:color="auto" w:sz="4" w:space="0"/>
              <w:bottom w:val="single" w:color="auto" w:sz="4" w:space="0"/>
              <w:right w:val="single" w:color="auto" w:sz="4" w:space="0"/>
            </w:tcBorders>
            <w:vAlign w:val="center"/>
          </w:tcPr>
          <w:p w14:paraId="3C99F16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东侧（偏南）围墙外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78CFBB16">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w:t>
            </w:r>
            <w:r>
              <w:rPr>
                <w:rFonts w:ascii="Times New Roman" w:hAnsi="Times New Roman" w:cs="Times New Roman"/>
                <w:bCs/>
                <w:snapToGrid w:val="0"/>
                <w:sz w:val="18"/>
                <w:szCs w:val="18"/>
                <w:u w:color="000000"/>
              </w:rPr>
              <w:t>4.74</w:t>
            </w:r>
          </w:p>
        </w:tc>
        <w:tc>
          <w:tcPr>
            <w:tcW w:w="2126" w:type="dxa"/>
            <w:tcBorders>
              <w:top w:val="single" w:color="auto" w:sz="4" w:space="0"/>
              <w:left w:val="single" w:color="auto" w:sz="4" w:space="0"/>
              <w:bottom w:val="single" w:color="auto" w:sz="4" w:space="0"/>
              <w:right w:val="single" w:color="auto" w:sz="4" w:space="0"/>
            </w:tcBorders>
            <w:vAlign w:val="center"/>
          </w:tcPr>
          <w:p w14:paraId="544928B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0</w:t>
            </w:r>
            <w:r>
              <w:rPr>
                <w:rFonts w:ascii="Times New Roman" w:hAnsi="Times New Roman" w:cs="Times New Roman"/>
                <w:bCs/>
                <w:snapToGrid w:val="0"/>
                <w:sz w:val="18"/>
                <w:szCs w:val="18"/>
                <w:u w:color="000000"/>
              </w:rPr>
              <w:t>.9404</w:t>
            </w:r>
          </w:p>
        </w:tc>
      </w:tr>
      <w:tr w14:paraId="3F07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5265C623">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2</w:t>
            </w:r>
          </w:p>
        </w:tc>
        <w:tc>
          <w:tcPr>
            <w:tcW w:w="2873" w:type="dxa"/>
            <w:tcBorders>
              <w:top w:val="single" w:color="auto" w:sz="4" w:space="0"/>
              <w:left w:val="single" w:color="auto" w:sz="4" w:space="0"/>
              <w:bottom w:val="single" w:color="auto" w:sz="4" w:space="0"/>
              <w:right w:val="single" w:color="auto" w:sz="4" w:space="0"/>
            </w:tcBorders>
            <w:vAlign w:val="center"/>
          </w:tcPr>
          <w:p w14:paraId="256F117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东侧（偏北）围墙外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30FEF46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8</w:t>
            </w:r>
            <w:r>
              <w:rPr>
                <w:rFonts w:ascii="Times New Roman" w:hAnsi="Times New Roman" w:cs="Times New Roman"/>
                <w:bCs/>
                <w:snapToGrid w:val="0"/>
                <w:sz w:val="18"/>
                <w:szCs w:val="18"/>
                <w:u w:color="000000"/>
              </w:rPr>
              <w:t>8.10</w:t>
            </w:r>
          </w:p>
        </w:tc>
        <w:tc>
          <w:tcPr>
            <w:tcW w:w="2126" w:type="dxa"/>
            <w:tcBorders>
              <w:top w:val="single" w:color="auto" w:sz="4" w:space="0"/>
              <w:left w:val="single" w:color="auto" w:sz="4" w:space="0"/>
              <w:bottom w:val="single" w:color="auto" w:sz="4" w:space="0"/>
              <w:right w:val="single" w:color="auto" w:sz="4" w:space="0"/>
            </w:tcBorders>
            <w:vAlign w:val="center"/>
          </w:tcPr>
          <w:p w14:paraId="3FF1EC6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r>
              <w:rPr>
                <w:rFonts w:ascii="Times New Roman" w:hAnsi="Times New Roman" w:cs="Times New Roman"/>
                <w:bCs/>
                <w:snapToGrid w:val="0"/>
                <w:sz w:val="18"/>
                <w:szCs w:val="18"/>
                <w:u w:color="000000"/>
              </w:rPr>
              <w:t>.846</w:t>
            </w:r>
          </w:p>
        </w:tc>
      </w:tr>
      <w:tr w14:paraId="04BE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0C169E81">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3</w:t>
            </w:r>
          </w:p>
        </w:tc>
        <w:tc>
          <w:tcPr>
            <w:tcW w:w="2873" w:type="dxa"/>
            <w:tcBorders>
              <w:top w:val="single" w:color="auto" w:sz="4" w:space="0"/>
              <w:left w:val="single" w:color="auto" w:sz="4" w:space="0"/>
              <w:bottom w:val="single" w:color="auto" w:sz="4" w:space="0"/>
              <w:right w:val="single" w:color="auto" w:sz="4" w:space="0"/>
            </w:tcBorders>
            <w:vAlign w:val="center"/>
          </w:tcPr>
          <w:p w14:paraId="5ACB76CE">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北侧（偏东）围墙外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4A99A2A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w:t>
            </w:r>
            <w:r>
              <w:rPr>
                <w:rFonts w:ascii="Times New Roman" w:hAnsi="Times New Roman" w:cs="Times New Roman"/>
                <w:bCs/>
                <w:snapToGrid w:val="0"/>
                <w:sz w:val="18"/>
                <w:szCs w:val="18"/>
                <w:u w:color="000000"/>
              </w:rPr>
              <w:t>51.9</w:t>
            </w:r>
          </w:p>
        </w:tc>
        <w:tc>
          <w:tcPr>
            <w:tcW w:w="2126" w:type="dxa"/>
            <w:tcBorders>
              <w:top w:val="single" w:color="auto" w:sz="4" w:space="0"/>
              <w:left w:val="single" w:color="auto" w:sz="4" w:space="0"/>
              <w:bottom w:val="single" w:color="auto" w:sz="4" w:space="0"/>
              <w:right w:val="single" w:color="auto" w:sz="4" w:space="0"/>
            </w:tcBorders>
            <w:vAlign w:val="center"/>
          </w:tcPr>
          <w:p w14:paraId="030227D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r>
              <w:rPr>
                <w:rFonts w:ascii="Times New Roman" w:hAnsi="Times New Roman" w:cs="Times New Roman"/>
                <w:bCs/>
                <w:snapToGrid w:val="0"/>
                <w:sz w:val="18"/>
                <w:szCs w:val="18"/>
                <w:u w:color="000000"/>
              </w:rPr>
              <w:t>1.73</w:t>
            </w:r>
          </w:p>
        </w:tc>
      </w:tr>
      <w:tr w14:paraId="0537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252D756D">
            <w:pPr>
              <w:widowControl w:val="0"/>
              <w:autoSpaceDE w:val="0"/>
              <w:autoSpaceDN w:val="0"/>
              <w:adjustRightInd w:val="0"/>
              <w:jc w:val="center"/>
              <w:rPr>
                <w:rFonts w:ascii="Times New Roman" w:hAnsi="Times New Roman" w:cs="Times New Roman"/>
                <w:bCs/>
                <w:snapToGrid w:val="0"/>
                <w:sz w:val="18"/>
                <w:szCs w:val="18"/>
                <w:u w:color="000000"/>
              </w:rPr>
            </w:pPr>
            <w:r>
              <w:rPr>
                <w:rFonts w:ascii="Times New Roman" w:hAnsi="Times New Roman" w:cs="Times New Roman"/>
                <w:bCs/>
                <w:snapToGrid w:val="0"/>
                <w:sz w:val="18"/>
                <w:szCs w:val="18"/>
                <w:u w:color="000000"/>
              </w:rPr>
              <w:t>4</w:t>
            </w:r>
          </w:p>
        </w:tc>
        <w:tc>
          <w:tcPr>
            <w:tcW w:w="2873" w:type="dxa"/>
            <w:tcBorders>
              <w:top w:val="single" w:color="auto" w:sz="4" w:space="0"/>
              <w:left w:val="single" w:color="auto" w:sz="4" w:space="0"/>
              <w:bottom w:val="single" w:color="auto" w:sz="4" w:space="0"/>
              <w:right w:val="single" w:color="auto" w:sz="4" w:space="0"/>
            </w:tcBorders>
            <w:vAlign w:val="center"/>
          </w:tcPr>
          <w:p w14:paraId="5BFE9EF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北侧（中部）围墙外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52256C8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w:t>
            </w:r>
            <w:r>
              <w:rPr>
                <w:rFonts w:ascii="Times New Roman" w:hAnsi="Times New Roman" w:cs="Times New Roman"/>
                <w:bCs/>
                <w:snapToGrid w:val="0"/>
                <w:sz w:val="18"/>
                <w:szCs w:val="18"/>
                <w:u w:color="000000"/>
              </w:rPr>
              <w:t>19.4</w:t>
            </w:r>
          </w:p>
        </w:tc>
        <w:tc>
          <w:tcPr>
            <w:tcW w:w="2126" w:type="dxa"/>
            <w:tcBorders>
              <w:top w:val="single" w:color="auto" w:sz="4" w:space="0"/>
              <w:left w:val="single" w:color="auto" w:sz="4" w:space="0"/>
              <w:bottom w:val="single" w:color="auto" w:sz="4" w:space="0"/>
              <w:right w:val="single" w:color="auto" w:sz="4" w:space="0"/>
            </w:tcBorders>
            <w:vAlign w:val="center"/>
          </w:tcPr>
          <w:p w14:paraId="00C0F30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r>
              <w:rPr>
                <w:rFonts w:ascii="Times New Roman" w:hAnsi="Times New Roman" w:cs="Times New Roman"/>
                <w:bCs/>
                <w:snapToGrid w:val="0"/>
                <w:sz w:val="18"/>
                <w:szCs w:val="18"/>
                <w:u w:color="000000"/>
              </w:rPr>
              <w:t>1.92</w:t>
            </w:r>
          </w:p>
        </w:tc>
      </w:tr>
      <w:tr w14:paraId="3EA6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2A4D9F52">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w:t>
            </w:r>
          </w:p>
        </w:tc>
        <w:tc>
          <w:tcPr>
            <w:tcW w:w="2873" w:type="dxa"/>
            <w:tcBorders>
              <w:top w:val="single" w:color="auto" w:sz="4" w:space="0"/>
              <w:left w:val="single" w:color="auto" w:sz="4" w:space="0"/>
              <w:bottom w:val="single" w:color="auto" w:sz="4" w:space="0"/>
              <w:right w:val="single" w:color="auto" w:sz="4" w:space="0"/>
            </w:tcBorders>
            <w:vAlign w:val="center"/>
          </w:tcPr>
          <w:p w14:paraId="7EE5DD7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北侧（偏西）围墙外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536D31F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w:t>
            </w:r>
            <w:r>
              <w:rPr>
                <w:rFonts w:ascii="Times New Roman" w:hAnsi="Times New Roman" w:cs="Times New Roman"/>
                <w:bCs/>
                <w:snapToGrid w:val="0"/>
                <w:sz w:val="18"/>
                <w:szCs w:val="18"/>
                <w:u w:color="000000"/>
              </w:rPr>
              <w:t>22.0</w:t>
            </w:r>
          </w:p>
        </w:tc>
        <w:tc>
          <w:tcPr>
            <w:tcW w:w="2126" w:type="dxa"/>
            <w:tcBorders>
              <w:top w:val="single" w:color="auto" w:sz="4" w:space="0"/>
              <w:left w:val="single" w:color="auto" w:sz="4" w:space="0"/>
              <w:bottom w:val="single" w:color="auto" w:sz="4" w:space="0"/>
              <w:right w:val="single" w:color="auto" w:sz="4" w:space="0"/>
            </w:tcBorders>
            <w:vAlign w:val="center"/>
          </w:tcPr>
          <w:p w14:paraId="1F23E22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r>
              <w:rPr>
                <w:rFonts w:ascii="Times New Roman" w:hAnsi="Times New Roman" w:cs="Times New Roman"/>
                <w:bCs/>
                <w:snapToGrid w:val="0"/>
                <w:sz w:val="18"/>
                <w:szCs w:val="18"/>
                <w:u w:color="000000"/>
              </w:rPr>
              <w:t>0.31</w:t>
            </w:r>
          </w:p>
        </w:tc>
      </w:tr>
      <w:tr w14:paraId="71AF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189428E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w:t>
            </w:r>
          </w:p>
        </w:tc>
        <w:tc>
          <w:tcPr>
            <w:tcW w:w="2873" w:type="dxa"/>
            <w:tcBorders>
              <w:top w:val="single" w:color="auto" w:sz="4" w:space="0"/>
              <w:left w:val="single" w:color="auto" w:sz="4" w:space="0"/>
              <w:bottom w:val="single" w:color="auto" w:sz="4" w:space="0"/>
              <w:right w:val="single" w:color="auto" w:sz="4" w:space="0"/>
            </w:tcBorders>
            <w:vAlign w:val="center"/>
          </w:tcPr>
          <w:p w14:paraId="06F14B8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西侧（偏北）围墙外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71EC5E2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w:t>
            </w:r>
            <w:r>
              <w:rPr>
                <w:rFonts w:ascii="Times New Roman" w:hAnsi="Times New Roman" w:cs="Times New Roman"/>
                <w:bCs/>
                <w:snapToGrid w:val="0"/>
                <w:sz w:val="18"/>
                <w:szCs w:val="18"/>
                <w:u w:color="000000"/>
              </w:rPr>
              <w:t>0.54</w:t>
            </w:r>
          </w:p>
        </w:tc>
        <w:tc>
          <w:tcPr>
            <w:tcW w:w="2126" w:type="dxa"/>
            <w:tcBorders>
              <w:top w:val="single" w:color="auto" w:sz="4" w:space="0"/>
              <w:left w:val="single" w:color="auto" w:sz="4" w:space="0"/>
              <w:bottom w:val="single" w:color="auto" w:sz="4" w:space="0"/>
              <w:right w:val="single" w:color="auto" w:sz="4" w:space="0"/>
            </w:tcBorders>
            <w:vAlign w:val="center"/>
          </w:tcPr>
          <w:p w14:paraId="13E5CB2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w:t>
            </w:r>
            <w:r>
              <w:rPr>
                <w:rFonts w:ascii="Times New Roman" w:hAnsi="Times New Roman" w:cs="Times New Roman"/>
                <w:bCs/>
                <w:snapToGrid w:val="0"/>
                <w:sz w:val="18"/>
                <w:szCs w:val="18"/>
                <w:u w:color="000000"/>
              </w:rPr>
              <w:t>.004</w:t>
            </w:r>
          </w:p>
        </w:tc>
      </w:tr>
      <w:tr w14:paraId="78A1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E05DFA5">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7</w:t>
            </w:r>
          </w:p>
        </w:tc>
        <w:tc>
          <w:tcPr>
            <w:tcW w:w="2873" w:type="dxa"/>
            <w:tcBorders>
              <w:top w:val="single" w:color="auto" w:sz="4" w:space="0"/>
              <w:left w:val="single" w:color="auto" w:sz="4" w:space="0"/>
              <w:bottom w:val="single" w:color="auto" w:sz="4" w:space="0"/>
              <w:right w:val="single" w:color="auto" w:sz="4" w:space="0"/>
            </w:tcBorders>
            <w:vAlign w:val="center"/>
          </w:tcPr>
          <w:p w14:paraId="7261A5C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西侧（偏南）围墙外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27212E8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w:t>
            </w:r>
            <w:r>
              <w:rPr>
                <w:rFonts w:ascii="Times New Roman" w:hAnsi="Times New Roman" w:cs="Times New Roman"/>
                <w:bCs/>
                <w:snapToGrid w:val="0"/>
                <w:sz w:val="18"/>
                <w:szCs w:val="18"/>
                <w:u w:color="000000"/>
              </w:rPr>
              <w:t>80.2</w:t>
            </w:r>
          </w:p>
        </w:tc>
        <w:tc>
          <w:tcPr>
            <w:tcW w:w="2126" w:type="dxa"/>
            <w:tcBorders>
              <w:top w:val="single" w:color="auto" w:sz="4" w:space="0"/>
              <w:left w:val="single" w:color="auto" w:sz="4" w:space="0"/>
              <w:bottom w:val="single" w:color="auto" w:sz="4" w:space="0"/>
              <w:right w:val="single" w:color="auto" w:sz="4" w:space="0"/>
            </w:tcBorders>
            <w:vAlign w:val="center"/>
          </w:tcPr>
          <w:p w14:paraId="3F0331FC">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w:t>
            </w:r>
            <w:r>
              <w:rPr>
                <w:rFonts w:ascii="Times New Roman" w:hAnsi="Times New Roman" w:cs="Times New Roman"/>
                <w:bCs/>
                <w:snapToGrid w:val="0"/>
                <w:sz w:val="18"/>
                <w:szCs w:val="18"/>
                <w:u w:color="000000"/>
              </w:rPr>
              <w:t>.234</w:t>
            </w:r>
          </w:p>
        </w:tc>
      </w:tr>
      <w:tr w14:paraId="2A2F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1E5DBDF">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8</w:t>
            </w:r>
          </w:p>
        </w:tc>
        <w:tc>
          <w:tcPr>
            <w:tcW w:w="2873" w:type="dxa"/>
            <w:tcBorders>
              <w:top w:val="single" w:color="auto" w:sz="4" w:space="0"/>
              <w:left w:val="single" w:color="auto" w:sz="4" w:space="0"/>
              <w:bottom w:val="single" w:color="auto" w:sz="4" w:space="0"/>
              <w:right w:val="single" w:color="auto" w:sz="4" w:space="0"/>
            </w:tcBorders>
            <w:vAlign w:val="center"/>
          </w:tcPr>
          <w:p w14:paraId="4A30D91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南侧（偏西）围墙外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4F055AD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w:t>
            </w:r>
            <w:r>
              <w:rPr>
                <w:rFonts w:ascii="Times New Roman" w:hAnsi="Times New Roman" w:cs="Times New Roman"/>
                <w:bCs/>
                <w:snapToGrid w:val="0"/>
                <w:sz w:val="18"/>
                <w:szCs w:val="18"/>
                <w:u w:color="000000"/>
              </w:rPr>
              <w:t>61.2</w:t>
            </w:r>
          </w:p>
        </w:tc>
        <w:tc>
          <w:tcPr>
            <w:tcW w:w="2126" w:type="dxa"/>
            <w:tcBorders>
              <w:top w:val="single" w:color="auto" w:sz="4" w:space="0"/>
              <w:left w:val="single" w:color="auto" w:sz="4" w:space="0"/>
              <w:bottom w:val="single" w:color="auto" w:sz="4" w:space="0"/>
              <w:right w:val="single" w:color="auto" w:sz="4" w:space="0"/>
            </w:tcBorders>
            <w:vAlign w:val="center"/>
          </w:tcPr>
          <w:p w14:paraId="1B79C963">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3</w:t>
            </w:r>
            <w:r>
              <w:rPr>
                <w:rFonts w:ascii="Times New Roman" w:hAnsi="Times New Roman" w:cs="Times New Roman"/>
                <w:bCs/>
                <w:snapToGrid w:val="0"/>
                <w:sz w:val="18"/>
                <w:szCs w:val="18"/>
                <w:u w:color="000000"/>
              </w:rPr>
              <w:t>.768</w:t>
            </w:r>
          </w:p>
        </w:tc>
      </w:tr>
      <w:tr w14:paraId="7FB0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7FA8DD80">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9</w:t>
            </w:r>
          </w:p>
        </w:tc>
        <w:tc>
          <w:tcPr>
            <w:tcW w:w="2873" w:type="dxa"/>
            <w:tcBorders>
              <w:top w:val="single" w:color="auto" w:sz="4" w:space="0"/>
              <w:left w:val="single" w:color="auto" w:sz="4" w:space="0"/>
              <w:bottom w:val="single" w:color="auto" w:sz="4" w:space="0"/>
              <w:right w:val="single" w:color="auto" w:sz="4" w:space="0"/>
            </w:tcBorders>
            <w:vAlign w:val="center"/>
          </w:tcPr>
          <w:p w14:paraId="0C46794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南侧（中部）围墙外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06A7635A">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6</w:t>
            </w:r>
            <w:r>
              <w:rPr>
                <w:rFonts w:ascii="Times New Roman" w:hAnsi="Times New Roman" w:cs="Times New Roman"/>
                <w:bCs/>
                <w:snapToGrid w:val="0"/>
                <w:sz w:val="18"/>
                <w:szCs w:val="18"/>
                <w:u w:color="000000"/>
              </w:rPr>
              <w:t>28.4</w:t>
            </w:r>
          </w:p>
        </w:tc>
        <w:tc>
          <w:tcPr>
            <w:tcW w:w="2126" w:type="dxa"/>
            <w:tcBorders>
              <w:top w:val="single" w:color="auto" w:sz="4" w:space="0"/>
              <w:left w:val="single" w:color="auto" w:sz="4" w:space="0"/>
              <w:bottom w:val="single" w:color="auto" w:sz="4" w:space="0"/>
              <w:right w:val="single" w:color="auto" w:sz="4" w:space="0"/>
            </w:tcBorders>
            <w:vAlign w:val="center"/>
          </w:tcPr>
          <w:p w14:paraId="5E9B1CE8">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4</w:t>
            </w:r>
            <w:r>
              <w:rPr>
                <w:rFonts w:ascii="Times New Roman" w:hAnsi="Times New Roman" w:cs="Times New Roman"/>
                <w:bCs/>
                <w:snapToGrid w:val="0"/>
                <w:sz w:val="18"/>
                <w:szCs w:val="18"/>
                <w:u w:color="000000"/>
              </w:rPr>
              <w:t>.507</w:t>
            </w:r>
          </w:p>
        </w:tc>
      </w:tr>
      <w:tr w14:paraId="0494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3BB71F67">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1</w:t>
            </w:r>
            <w:r>
              <w:rPr>
                <w:rFonts w:ascii="Times New Roman" w:hAnsi="Times New Roman" w:cs="Times New Roman"/>
                <w:bCs/>
                <w:snapToGrid w:val="0"/>
                <w:sz w:val="18"/>
                <w:szCs w:val="18"/>
                <w:u w:color="000000"/>
              </w:rPr>
              <w:t>0</w:t>
            </w:r>
          </w:p>
        </w:tc>
        <w:tc>
          <w:tcPr>
            <w:tcW w:w="2873" w:type="dxa"/>
            <w:tcBorders>
              <w:top w:val="single" w:color="auto" w:sz="4" w:space="0"/>
              <w:left w:val="single" w:color="auto" w:sz="4" w:space="0"/>
              <w:bottom w:val="single" w:color="auto" w:sz="4" w:space="0"/>
              <w:right w:val="single" w:color="auto" w:sz="4" w:space="0"/>
            </w:tcBorders>
            <w:vAlign w:val="center"/>
          </w:tcPr>
          <w:p w14:paraId="7B3C73AD">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南侧（偏东）围墙外</w:t>
            </w:r>
            <w:r>
              <w:rPr>
                <w:rFonts w:ascii="Times New Roman" w:hAnsi="Times New Roman" w:cs="Times New Roman"/>
                <w:bCs/>
                <w:snapToGrid w:val="0"/>
                <w:sz w:val="18"/>
                <w:szCs w:val="18"/>
                <w:u w:color="000000"/>
              </w:rPr>
              <w:t>5m</w:t>
            </w:r>
            <w:r>
              <w:rPr>
                <w:rFonts w:hint="eastAsia" w:ascii="Times New Roman" w:hAnsi="Times New Roman" w:cs="Times New Roman"/>
                <w:bCs/>
                <w:snapToGrid w:val="0"/>
                <w:sz w:val="18"/>
                <w:szCs w:val="18"/>
                <w:u w:color="000000"/>
              </w:rPr>
              <w:t>处</w:t>
            </w:r>
          </w:p>
        </w:tc>
        <w:tc>
          <w:tcPr>
            <w:tcW w:w="2126" w:type="dxa"/>
            <w:tcBorders>
              <w:top w:val="single" w:color="auto" w:sz="4" w:space="0"/>
              <w:left w:val="single" w:color="auto" w:sz="4" w:space="0"/>
              <w:bottom w:val="single" w:color="auto" w:sz="4" w:space="0"/>
              <w:right w:val="single" w:color="auto" w:sz="4" w:space="0"/>
            </w:tcBorders>
            <w:vAlign w:val="center"/>
          </w:tcPr>
          <w:p w14:paraId="592EBC11">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5</w:t>
            </w:r>
            <w:r>
              <w:rPr>
                <w:rFonts w:ascii="Times New Roman" w:hAnsi="Times New Roman" w:cs="Times New Roman"/>
                <w:bCs/>
                <w:snapToGrid w:val="0"/>
                <w:sz w:val="18"/>
                <w:szCs w:val="18"/>
                <w:u w:color="000000"/>
              </w:rPr>
              <w:t>45.8</w:t>
            </w:r>
          </w:p>
        </w:tc>
        <w:tc>
          <w:tcPr>
            <w:tcW w:w="2126" w:type="dxa"/>
            <w:tcBorders>
              <w:top w:val="single" w:color="auto" w:sz="4" w:space="0"/>
              <w:left w:val="single" w:color="auto" w:sz="4" w:space="0"/>
              <w:bottom w:val="single" w:color="auto" w:sz="4" w:space="0"/>
              <w:right w:val="single" w:color="auto" w:sz="4" w:space="0"/>
            </w:tcBorders>
            <w:vAlign w:val="center"/>
          </w:tcPr>
          <w:p w14:paraId="70F1BAB4">
            <w:pPr>
              <w:widowControl w:val="0"/>
              <w:autoSpaceDE w:val="0"/>
              <w:autoSpaceDN w:val="0"/>
              <w:adjustRightInd w:val="0"/>
              <w:jc w:val="center"/>
              <w:rPr>
                <w:rFonts w:ascii="Times New Roman" w:hAnsi="Times New Roman" w:cs="Times New Roman"/>
                <w:bCs/>
                <w:snapToGrid w:val="0"/>
                <w:sz w:val="18"/>
                <w:szCs w:val="18"/>
                <w:u w:color="000000"/>
              </w:rPr>
            </w:pPr>
            <w:r>
              <w:rPr>
                <w:rFonts w:hint="eastAsia" w:ascii="Times New Roman" w:hAnsi="Times New Roman" w:cs="Times New Roman"/>
                <w:bCs/>
                <w:snapToGrid w:val="0"/>
                <w:sz w:val="18"/>
                <w:szCs w:val="18"/>
                <w:u w:color="000000"/>
              </w:rPr>
              <w:t>2</w:t>
            </w:r>
            <w:r>
              <w:rPr>
                <w:rFonts w:ascii="Times New Roman" w:hAnsi="Times New Roman" w:cs="Times New Roman"/>
                <w:bCs/>
                <w:snapToGrid w:val="0"/>
                <w:sz w:val="18"/>
                <w:szCs w:val="18"/>
                <w:u w:color="000000"/>
              </w:rPr>
              <w:t>.929</w:t>
            </w:r>
          </w:p>
        </w:tc>
      </w:tr>
    </w:tbl>
    <w:p w14:paraId="50EA417B">
      <w:pPr>
        <w:overflowPunct w:val="0"/>
        <w:spacing w:line="360" w:lineRule="auto"/>
        <w:ind w:firstLine="480" w:firstLineChars="200"/>
        <w:rPr>
          <w:rFonts w:ascii="Times New Roman" w:hAnsi="Times New Roman"/>
          <w:szCs w:val="21"/>
        </w:rPr>
      </w:pPr>
      <w:r>
        <w:rPr>
          <w:rFonts w:hint="eastAsia" w:ascii="Times New Roman" w:hAnsi="Times New Roman"/>
          <w:szCs w:val="21"/>
        </w:rPr>
        <w:t>由类比结果分析可知，变电站外电场强度为</w:t>
      </w:r>
      <w:r>
        <w:rPr>
          <w:rFonts w:ascii="Times New Roman" w:hAnsi="Times New Roman"/>
          <w:szCs w:val="21"/>
        </w:rPr>
        <w:t>40.54V/m</w:t>
      </w:r>
      <w:r>
        <w:rPr>
          <w:rFonts w:hint="eastAsia" w:ascii="Times New Roman" w:hAnsi="Times New Roman"/>
          <w:szCs w:val="21"/>
        </w:rPr>
        <w:t>～</w:t>
      </w:r>
      <w:r>
        <w:rPr>
          <w:rFonts w:ascii="Times New Roman" w:hAnsi="Times New Roman"/>
          <w:szCs w:val="21"/>
        </w:rPr>
        <w:t>651.9V/m</w:t>
      </w:r>
      <w:r>
        <w:rPr>
          <w:rFonts w:hint="eastAsia" w:ascii="Times New Roman" w:hAnsi="Times New Roman"/>
          <w:szCs w:val="21"/>
        </w:rPr>
        <w:t>，磁感应强度</w:t>
      </w:r>
      <w:r>
        <w:rPr>
          <w:rFonts w:ascii="Times New Roman" w:hAnsi="Times New Roman"/>
          <w:szCs w:val="21"/>
        </w:rPr>
        <w:t>0.9404</w:t>
      </w:r>
      <w:r>
        <w:rPr>
          <w:rFonts w:hint="eastAsia" w:ascii="Times New Roman" w:hAnsi="Times New Roman"/>
          <w:szCs w:val="21"/>
        </w:rPr>
        <w:t>μ</w:t>
      </w:r>
      <w:r>
        <w:rPr>
          <w:rFonts w:ascii="Times New Roman" w:hAnsi="Times New Roman"/>
          <w:szCs w:val="21"/>
        </w:rPr>
        <w:t>T</w:t>
      </w:r>
      <w:r>
        <w:rPr>
          <w:rFonts w:hint="eastAsia" w:ascii="Times New Roman" w:hAnsi="Times New Roman"/>
          <w:szCs w:val="21"/>
        </w:rPr>
        <w:t>～</w:t>
      </w:r>
      <w:r>
        <w:rPr>
          <w:rFonts w:ascii="Times New Roman" w:hAnsi="Times New Roman"/>
          <w:szCs w:val="21"/>
        </w:rPr>
        <w:t>11.92</w:t>
      </w:r>
      <w:r>
        <w:rPr>
          <w:rFonts w:hint="eastAsia" w:ascii="Times New Roman" w:hAnsi="Times New Roman"/>
          <w:szCs w:val="21"/>
        </w:rPr>
        <w:t>μ</w:t>
      </w:r>
      <w:r>
        <w:rPr>
          <w:rFonts w:ascii="Times New Roman" w:hAnsi="Times New Roman"/>
          <w:szCs w:val="21"/>
        </w:rPr>
        <w:t>T</w:t>
      </w:r>
      <w:r>
        <w:rPr>
          <w:rFonts w:hint="eastAsia" w:ascii="Times New Roman" w:hAnsi="Times New Roman"/>
          <w:szCs w:val="21"/>
        </w:rPr>
        <w:t>，远小于《电磁环境控制限值》</w:t>
      </w:r>
      <w:r>
        <w:rPr>
          <w:rFonts w:ascii="Times New Roman" w:hAnsi="Times New Roman"/>
          <w:szCs w:val="21"/>
        </w:rPr>
        <w:t>(GB 8702-2014)</w:t>
      </w:r>
      <w:r>
        <w:rPr>
          <w:rFonts w:hint="eastAsia" w:ascii="Times New Roman" w:hAnsi="Times New Roman"/>
          <w:szCs w:val="21"/>
        </w:rPr>
        <w:t>中相应限值：电场强度</w:t>
      </w:r>
      <w:r>
        <w:rPr>
          <w:rFonts w:ascii="Times New Roman" w:hAnsi="Times New Roman"/>
          <w:szCs w:val="21"/>
        </w:rPr>
        <w:t>4000V/m</w:t>
      </w:r>
      <w:r>
        <w:rPr>
          <w:rFonts w:hint="eastAsia" w:ascii="Times New Roman" w:hAnsi="Times New Roman"/>
          <w:szCs w:val="21"/>
        </w:rPr>
        <w:t>，磁感应强度</w:t>
      </w:r>
      <w:r>
        <w:rPr>
          <w:rFonts w:ascii="Times New Roman" w:hAnsi="Times New Roman"/>
          <w:szCs w:val="21"/>
        </w:rPr>
        <w:t>100μT</w:t>
      </w:r>
      <w:r>
        <w:rPr>
          <w:rFonts w:hint="eastAsia" w:ascii="Times New Roman" w:hAnsi="Times New Roman"/>
          <w:szCs w:val="21"/>
        </w:rPr>
        <w:t>。</w:t>
      </w:r>
    </w:p>
    <w:p w14:paraId="45DEECF1">
      <w:pPr>
        <w:keepNext/>
        <w:keepLines/>
        <w:numPr>
          <w:ilvl w:val="3"/>
          <w:numId w:val="1"/>
        </w:numPr>
        <w:spacing w:line="360" w:lineRule="auto"/>
        <w:ind w:left="0"/>
        <w:outlineLvl w:val="3"/>
        <w:rPr>
          <w:rFonts w:hint="eastAsia" w:ascii="黑体" w:hAnsi="黑体" w:eastAsia="黑体"/>
          <w:b/>
          <w:bCs/>
          <w:kern w:val="2"/>
        </w:rPr>
      </w:pPr>
      <w:r>
        <w:rPr>
          <w:rFonts w:hint="eastAsia" w:ascii="黑体" w:hAnsi="黑体" w:eastAsia="黑体"/>
          <w:b/>
          <w:bCs/>
          <w:kern w:val="2"/>
        </w:rPr>
        <w:t>变电站工频电场、工频磁场环境影响评价</w:t>
      </w:r>
    </w:p>
    <w:p w14:paraId="1434AA8D">
      <w:pPr>
        <w:overflowPunct w:val="0"/>
        <w:spacing w:line="360" w:lineRule="auto"/>
        <w:ind w:firstLine="480" w:firstLineChars="200"/>
        <w:rPr>
          <w:rFonts w:ascii="Times New Roman" w:hAnsi="Times New Roman"/>
          <w:szCs w:val="21"/>
        </w:rPr>
      </w:pPr>
      <w:r>
        <w:rPr>
          <w:rFonts w:ascii="Times New Roman" w:hAnsi="Times New Roman"/>
          <w:szCs w:val="21"/>
        </w:rPr>
        <w:t>根据类比测量结果进行分析，类比工程工频电场强度以及工频磁感应强度都远低于《电磁环境控制限值》(GB 8702-2014)中控制限值要求，类比工程与本工程变电站电压等级、主变规模、主变布置形式等基本一致。类比分析可知，本工程变电站建成投运后，对变电站周围环境产生的影响在可接受范围，均能满足《电磁环境控制限值》（GB8702-2014）规定公众曝露控制限值：工频电场强度≤4000V/m，工频磁场强度≤100μT。</w:t>
      </w:r>
    </w:p>
    <w:p w14:paraId="437FA443">
      <w:pPr>
        <w:numPr>
          <w:ilvl w:val="2"/>
          <w:numId w:val="1"/>
        </w:numPr>
        <w:spacing w:line="360" w:lineRule="auto"/>
        <w:ind w:left="0"/>
        <w:outlineLvl w:val="2"/>
        <w:rPr>
          <w:rFonts w:hint="eastAsia" w:ascii="黑体" w:hAnsi="黑体" w:eastAsia="黑体"/>
          <w:b/>
          <w:sz w:val="28"/>
        </w:rPr>
      </w:pPr>
      <w:r>
        <w:rPr>
          <w:rFonts w:hint="eastAsia" w:ascii="黑体" w:hAnsi="黑体" w:eastAsia="黑体"/>
          <w:b/>
          <w:sz w:val="28"/>
        </w:rPr>
        <w:t>电磁环境影响评价结论</w:t>
      </w:r>
    </w:p>
    <w:p w14:paraId="12CD6B4B">
      <w:pPr>
        <w:pStyle w:val="281"/>
        <w:ind w:firstLine="480"/>
      </w:pPr>
      <w:r>
        <w:rPr>
          <w:rFonts w:hint="eastAsia"/>
        </w:rPr>
        <w:t>根据类比监测方式预测结果进行分析，本工程变电站建成投运后，对变电站周围环境产生的影响在可接受范围，变电站电磁环境影响能满足《电磁环境控制限值》（</w:t>
      </w:r>
      <w:r>
        <w:t>GB8702-2014</w:t>
      </w:r>
      <w:r>
        <w:rPr>
          <w:rFonts w:hint="eastAsia"/>
        </w:rPr>
        <w:t>）中频率为</w:t>
      </w:r>
      <w:r>
        <w:t>50Hz</w:t>
      </w:r>
      <w:r>
        <w:rPr>
          <w:rFonts w:hint="eastAsia"/>
        </w:rPr>
        <w:t>时的工频电场强度</w:t>
      </w:r>
      <w:r>
        <w:t>≤4000V/m</w:t>
      </w:r>
      <w:r>
        <w:rPr>
          <w:rFonts w:hint="eastAsia"/>
        </w:rPr>
        <w:t>、工频磁感应强度</w:t>
      </w:r>
      <w:r>
        <w:t>≤100μT</w:t>
      </w:r>
      <w:r>
        <w:rPr>
          <w:rFonts w:hint="eastAsia"/>
        </w:rPr>
        <w:t>的公众曝露控制限值要求。</w:t>
      </w:r>
    </w:p>
    <w:p w14:paraId="6D99E4A0">
      <w:pPr>
        <w:pStyle w:val="281"/>
        <w:ind w:firstLine="480"/>
        <w:sectPr>
          <w:pgSz w:w="11906" w:h="16838"/>
          <w:pgMar w:top="1440" w:right="1800" w:bottom="1440" w:left="1800" w:header="851" w:footer="850" w:gutter="0"/>
          <w:cols w:space="425" w:num="1"/>
          <w:docGrid w:type="lines" w:linePitch="326" w:charSpace="0"/>
        </w:sectPr>
      </w:pPr>
    </w:p>
    <w:p w14:paraId="43E4B9CC">
      <w:pPr>
        <w:pStyle w:val="1012"/>
      </w:pPr>
      <w:bookmarkStart w:id="371" w:name="_Toc25645"/>
      <w:r>
        <w:t>污染防治措施分析</w:t>
      </w:r>
      <w:bookmarkEnd w:id="349"/>
      <w:bookmarkEnd w:id="371"/>
    </w:p>
    <w:p w14:paraId="38B8A1B3">
      <w:pPr>
        <w:numPr>
          <w:ilvl w:val="1"/>
          <w:numId w:val="1"/>
        </w:numPr>
        <w:overflowPunct w:val="0"/>
        <w:autoSpaceDE w:val="0"/>
        <w:autoSpaceDN w:val="0"/>
        <w:spacing w:line="360" w:lineRule="auto"/>
        <w:ind w:left="0"/>
        <w:textAlignment w:val="baseline"/>
        <w:outlineLvl w:val="1"/>
        <w:rPr>
          <w:rFonts w:hint="eastAsia" w:eastAsia="黑体"/>
          <w:b/>
          <w:bCs/>
          <w:sz w:val="30"/>
          <w:szCs w:val="30"/>
        </w:rPr>
      </w:pPr>
      <w:bookmarkStart w:id="372" w:name="_Toc194592898"/>
      <w:bookmarkStart w:id="373" w:name="_Toc28109"/>
      <w:r>
        <w:rPr>
          <w:rFonts w:eastAsia="黑体"/>
          <w:b/>
          <w:bCs/>
          <w:sz w:val="30"/>
          <w:szCs w:val="30"/>
        </w:rPr>
        <w:t>施工期环境影响减缓措施</w:t>
      </w:r>
      <w:bookmarkEnd w:id="372"/>
      <w:bookmarkEnd w:id="373"/>
    </w:p>
    <w:p w14:paraId="1E201AA9">
      <w:pPr>
        <w:numPr>
          <w:ilvl w:val="2"/>
          <w:numId w:val="1"/>
        </w:numPr>
        <w:spacing w:line="360" w:lineRule="auto"/>
        <w:ind w:left="0"/>
        <w:outlineLvl w:val="2"/>
        <w:rPr>
          <w:rFonts w:hint="eastAsia" w:ascii="黑体" w:hAnsi="黑体" w:eastAsia="黑体"/>
          <w:b/>
          <w:sz w:val="28"/>
        </w:rPr>
      </w:pPr>
      <w:r>
        <w:rPr>
          <w:rFonts w:ascii="黑体" w:hAnsi="黑体" w:eastAsia="黑体"/>
          <w:b/>
          <w:sz w:val="28"/>
        </w:rPr>
        <w:t>施工期大气环境影响减缓措施</w:t>
      </w:r>
    </w:p>
    <w:p w14:paraId="50AB7593">
      <w:pPr>
        <w:spacing w:line="360" w:lineRule="auto"/>
        <w:ind w:firstLine="480" w:firstLineChars="200"/>
        <w:rPr>
          <w:rFonts w:hint="eastAsia" w:ascii="Times New Roman"/>
        </w:rPr>
      </w:pPr>
      <w:r>
        <w:rPr>
          <w:rFonts w:ascii="Times New Roman"/>
        </w:rPr>
        <w:t>工程施工期间，装卸和运输过程产生扬尘会对所在区域的大气环境质量造成一定影响。同时扬尘的产生及影响程度与风力大小和气候因素有一定关系。因此，首先应合理安排施工时间，避免在风季破土开工。施工临时道路应铺设砂砾或粘土面层，经常洒水，减</w:t>
      </w:r>
      <w:r>
        <w:rPr>
          <w:rFonts w:hint="eastAsia" w:ascii="Times New Roman"/>
        </w:rPr>
        <w:t>少</w:t>
      </w:r>
      <w:r>
        <w:rPr>
          <w:rFonts w:ascii="Times New Roman"/>
        </w:rPr>
        <w:t>扬尘对环境的污染。此外，施工弃土、施工废物的堆放也是造成扬尘的重要来源之一，如果其堆放场地选择不当或堆放方式不合理，不但会影响景观，还会造成二次扬尘污染。为控制扬尘对大气环境造成的污染，可以在施工期采取以下控制措施：</w:t>
      </w:r>
    </w:p>
    <w:p w14:paraId="5CCA5A5F">
      <w:pPr>
        <w:spacing w:line="360" w:lineRule="auto"/>
        <w:ind w:firstLine="480" w:firstLineChars="200"/>
        <w:rPr>
          <w:rFonts w:hint="eastAsia" w:ascii="Times New Roman"/>
        </w:rPr>
      </w:pPr>
      <w:r>
        <w:rPr>
          <w:rFonts w:ascii="Times New Roman"/>
        </w:rPr>
        <w:t>（1）本项目施工过程中使用的建筑材料，施工单位必须加强施工区域的管理，可在施工区域设置围栏。当风速2.5m/s，有围栏可使施工扬尘影响距离缩短40%，相对无围栏时有明显改善。</w:t>
      </w:r>
    </w:p>
    <w:p w14:paraId="59F9E3C6">
      <w:pPr>
        <w:spacing w:line="360" w:lineRule="auto"/>
        <w:ind w:firstLine="480" w:firstLineChars="200"/>
        <w:rPr>
          <w:rFonts w:hint="eastAsia" w:ascii="Times New Roman"/>
        </w:rPr>
      </w:pPr>
      <w:r>
        <w:rPr>
          <w:rFonts w:ascii="Times New Roman"/>
        </w:rPr>
        <w:t>（2）建筑材料堆场以及混凝土拌合应定点定位，并采取防尘抑尘措施，如在大风天气，对路面和散料堆场采用水喷淋防尘，或用篷布遮盖料堆，停止施工。干旱多风季节可增加洒水次数，以保持下垫面和空气湿润，减少起尘量。</w:t>
      </w:r>
    </w:p>
    <w:p w14:paraId="62A40708">
      <w:pPr>
        <w:spacing w:line="360" w:lineRule="auto"/>
        <w:ind w:firstLine="480" w:firstLineChars="200"/>
        <w:rPr>
          <w:rFonts w:hint="eastAsia" w:ascii="Times New Roman"/>
        </w:rPr>
      </w:pPr>
      <w:r>
        <w:rPr>
          <w:rFonts w:ascii="Times New Roman"/>
        </w:rPr>
        <w:t>（3）加强运输管理，如运输车辆应加盖篷布，不能超载过量；坚持文明装卸，避免使用散装水泥，运输车辆卸完货后应清洗车厢；</w:t>
      </w:r>
    </w:p>
    <w:p w14:paraId="49AEB185">
      <w:pPr>
        <w:spacing w:line="360" w:lineRule="auto"/>
        <w:ind w:firstLine="480" w:firstLineChars="200"/>
        <w:rPr>
          <w:rFonts w:hint="eastAsia" w:ascii="Times New Roman"/>
        </w:rPr>
      </w:pPr>
      <w:r>
        <w:rPr>
          <w:rFonts w:ascii="Times New Roman"/>
        </w:rPr>
        <w:t>（4）对可能产生扬尘的建筑材料加盖篷布或避免露天堆放；</w:t>
      </w:r>
    </w:p>
    <w:p w14:paraId="4DDD1F92">
      <w:pPr>
        <w:spacing w:line="360" w:lineRule="auto"/>
        <w:ind w:firstLine="480" w:firstLineChars="200"/>
        <w:rPr>
          <w:rFonts w:hint="eastAsia" w:ascii="Times New Roman"/>
        </w:rPr>
      </w:pPr>
      <w:r>
        <w:rPr>
          <w:rFonts w:ascii="Times New Roman"/>
        </w:rPr>
        <w:t>（5）加强对施工人员的环保教育，提高施工人员的环保意识，坚持文明施工、科学施工，减少施工期的大气污染。</w:t>
      </w:r>
    </w:p>
    <w:p w14:paraId="3710FF3A">
      <w:pPr>
        <w:numPr>
          <w:ilvl w:val="2"/>
          <w:numId w:val="1"/>
        </w:numPr>
        <w:spacing w:line="360" w:lineRule="auto"/>
        <w:ind w:left="0"/>
        <w:outlineLvl w:val="2"/>
        <w:rPr>
          <w:rFonts w:hint="eastAsia" w:ascii="黑体" w:hAnsi="黑体" w:eastAsia="黑体"/>
          <w:b/>
          <w:sz w:val="28"/>
        </w:rPr>
      </w:pPr>
      <w:r>
        <w:rPr>
          <w:rFonts w:ascii="黑体" w:hAnsi="黑体" w:eastAsia="黑体"/>
          <w:b/>
          <w:sz w:val="28"/>
        </w:rPr>
        <w:t>施工期水环境影响减缓措施</w:t>
      </w:r>
    </w:p>
    <w:p w14:paraId="221C3016">
      <w:pPr>
        <w:overflowPunct w:val="0"/>
        <w:spacing w:line="360" w:lineRule="auto"/>
        <w:ind w:firstLine="480" w:firstLineChars="200"/>
        <w:rPr>
          <w:rFonts w:ascii="Times New Roman" w:hAnsi="Times New Roman"/>
          <w:szCs w:val="21"/>
        </w:rPr>
      </w:pPr>
      <w:bookmarkStart w:id="374" w:name="OLE_LINK697"/>
      <w:r>
        <w:rPr>
          <w:rFonts w:ascii="Times New Roman" w:hAnsi="Times New Roman"/>
          <w:szCs w:val="21"/>
        </w:rPr>
        <w:t>施工期废水主要为施工人员产生的生活污水以及施工过程中产生的废水。</w:t>
      </w:r>
    </w:p>
    <w:p w14:paraId="2E6D7191">
      <w:pPr>
        <w:overflowPunct w:val="0"/>
        <w:spacing w:line="360" w:lineRule="auto"/>
        <w:ind w:firstLine="480" w:firstLineChars="200"/>
        <w:rPr>
          <w:rFonts w:ascii="Times New Roman" w:hAnsi="Times New Roman"/>
          <w:szCs w:val="21"/>
        </w:rPr>
      </w:pPr>
      <w:r>
        <w:rPr>
          <w:rFonts w:ascii="Times New Roman" w:hAnsi="Times New Roman"/>
          <w:szCs w:val="21"/>
        </w:rPr>
        <w:t>（1）生活污水</w:t>
      </w:r>
    </w:p>
    <w:p w14:paraId="37AA9CA5">
      <w:pPr>
        <w:overflowPunct w:val="0"/>
        <w:spacing w:line="360" w:lineRule="auto"/>
        <w:ind w:firstLine="480" w:firstLineChars="200"/>
        <w:rPr>
          <w:rFonts w:ascii="Times New Roman" w:hAnsi="Times New Roman"/>
          <w:szCs w:val="21"/>
        </w:rPr>
      </w:pPr>
      <w:r>
        <w:rPr>
          <w:rFonts w:ascii="Times New Roman" w:hAnsi="Times New Roman"/>
          <w:szCs w:val="21"/>
        </w:rPr>
        <w:t>生活污水发生系数按40L/d.人，施工人员按1</w:t>
      </w:r>
      <w:r>
        <w:rPr>
          <w:rFonts w:hint="eastAsia" w:ascii="Times New Roman" w:hAnsi="Times New Roman"/>
          <w:szCs w:val="21"/>
        </w:rPr>
        <w:t>00</w:t>
      </w:r>
      <w:r>
        <w:rPr>
          <w:rFonts w:ascii="Times New Roman" w:hAnsi="Times New Roman"/>
          <w:szCs w:val="21"/>
        </w:rPr>
        <w:t>人计，则生活污水日产生量为4.0m</w:t>
      </w:r>
      <w:r>
        <w:rPr>
          <w:rFonts w:ascii="Times New Roman" w:hAnsi="Times New Roman"/>
          <w:szCs w:val="21"/>
          <w:vertAlign w:val="superscript"/>
        </w:rPr>
        <w:t>3</w:t>
      </w:r>
      <w:r>
        <w:rPr>
          <w:rFonts w:ascii="Times New Roman" w:hAnsi="Times New Roman"/>
          <w:szCs w:val="21"/>
        </w:rPr>
        <w:t>，主要污染因子BOD约200mg/L，COD约400mg/L，SS在200mg/L左右。施工生活区设简易厕所和化粪池，生活污水经化粪池处理后</w:t>
      </w:r>
      <w:r>
        <w:rPr>
          <w:rFonts w:hint="eastAsia" w:ascii="Times New Roman" w:hAnsi="Times New Roman"/>
          <w:szCs w:val="21"/>
        </w:rPr>
        <w:t>拉运至园区污水处理厂处理</w:t>
      </w:r>
      <w:r>
        <w:rPr>
          <w:rFonts w:ascii="Times New Roman" w:hAnsi="Times New Roman"/>
          <w:szCs w:val="21"/>
        </w:rPr>
        <w:t>。</w:t>
      </w:r>
    </w:p>
    <w:p w14:paraId="27483F08">
      <w:pPr>
        <w:overflowPunct w:val="0"/>
        <w:spacing w:line="360" w:lineRule="auto"/>
        <w:ind w:firstLine="480" w:firstLineChars="200"/>
        <w:rPr>
          <w:rFonts w:ascii="Times New Roman" w:hAnsi="Times New Roman"/>
          <w:szCs w:val="21"/>
        </w:rPr>
      </w:pPr>
      <w:r>
        <w:rPr>
          <w:rFonts w:ascii="Times New Roman" w:hAnsi="Times New Roman"/>
          <w:szCs w:val="21"/>
        </w:rPr>
        <w:t>（2）施工废水</w:t>
      </w:r>
    </w:p>
    <w:p w14:paraId="19A6EEA0">
      <w:pPr>
        <w:overflowPunct w:val="0"/>
        <w:spacing w:line="360" w:lineRule="auto"/>
        <w:ind w:firstLine="480" w:firstLineChars="200"/>
        <w:rPr>
          <w:rFonts w:ascii="Times New Roman" w:hAnsi="Times New Roman"/>
          <w:szCs w:val="21"/>
        </w:rPr>
      </w:pPr>
      <w:r>
        <w:rPr>
          <w:rFonts w:ascii="Times New Roman" w:hAnsi="Times New Roman"/>
          <w:szCs w:val="21"/>
        </w:rPr>
        <w:t>施工过程中产生的生产废水主要为浇灌混凝土、冲洗模板等产生的废水，其产生量较小，经沉淀处理后回用于施工作业</w:t>
      </w:r>
      <w:bookmarkEnd w:id="374"/>
      <w:r>
        <w:rPr>
          <w:rFonts w:ascii="Times New Roman" w:hAnsi="Times New Roman"/>
          <w:szCs w:val="21"/>
        </w:rPr>
        <w:t>。</w:t>
      </w:r>
    </w:p>
    <w:p w14:paraId="341D2600">
      <w:pPr>
        <w:numPr>
          <w:ilvl w:val="2"/>
          <w:numId w:val="1"/>
        </w:numPr>
        <w:spacing w:line="360" w:lineRule="auto"/>
        <w:ind w:left="0"/>
        <w:outlineLvl w:val="2"/>
        <w:rPr>
          <w:rFonts w:hint="eastAsia" w:ascii="黑体" w:hAnsi="黑体" w:eastAsia="黑体"/>
          <w:b/>
          <w:sz w:val="28"/>
        </w:rPr>
      </w:pPr>
      <w:r>
        <w:rPr>
          <w:rFonts w:ascii="黑体" w:hAnsi="黑体" w:eastAsia="黑体"/>
          <w:b/>
          <w:sz w:val="28"/>
        </w:rPr>
        <w:t>施工期声环境影响减缓措施</w:t>
      </w:r>
    </w:p>
    <w:p w14:paraId="5D47987A">
      <w:pPr>
        <w:overflowPunct w:val="0"/>
        <w:spacing w:line="360" w:lineRule="auto"/>
        <w:ind w:firstLine="480" w:firstLineChars="200"/>
        <w:rPr>
          <w:rFonts w:ascii="Times New Roman" w:hAnsi="Times New Roman"/>
          <w:szCs w:val="21"/>
        </w:rPr>
      </w:pPr>
      <w:r>
        <w:rPr>
          <w:rFonts w:ascii="Times New Roman" w:hAnsi="Times New Roman"/>
          <w:szCs w:val="21"/>
        </w:rPr>
        <w:t>本项目施工期的噪声影响是短期和区域性的，项目建成后，施工期噪声的影响也就此结束。但是由于施工机械均为强噪声源，施工期间噪声影响范围较大，因此必须采取以下措施，严格管理。</w:t>
      </w:r>
    </w:p>
    <w:p w14:paraId="1EB16F4B">
      <w:pPr>
        <w:overflowPunct w:val="0"/>
        <w:spacing w:line="360" w:lineRule="auto"/>
        <w:ind w:firstLine="480" w:firstLineChars="200"/>
        <w:rPr>
          <w:rFonts w:ascii="Times New Roman" w:hAnsi="Times New Roman"/>
          <w:szCs w:val="21"/>
        </w:rPr>
      </w:pPr>
      <w:r>
        <w:rPr>
          <w:rFonts w:ascii="Times New Roman" w:hAnsi="Times New Roman"/>
          <w:szCs w:val="21"/>
        </w:rPr>
        <w:t>（1）严格执行《建筑施工场界环境噪声排放标准》（GB12523-2011）对不同施工阶段作业的噪声限值；</w:t>
      </w:r>
    </w:p>
    <w:p w14:paraId="18074419">
      <w:pPr>
        <w:overflowPunct w:val="0"/>
        <w:spacing w:line="360" w:lineRule="auto"/>
        <w:ind w:firstLine="480" w:firstLineChars="200"/>
        <w:rPr>
          <w:rFonts w:ascii="Times New Roman" w:hAnsi="Times New Roman"/>
          <w:spacing w:val="8"/>
        </w:rPr>
      </w:pPr>
      <w:r>
        <w:rPr>
          <w:rFonts w:ascii="Times New Roman" w:hAnsi="Times New Roman"/>
          <w:szCs w:val="21"/>
        </w:rPr>
        <w:t>（2）在工地布置时应考虑将搅拌机等高噪声设备安置在离敏感点相对较远的一侧，并设立简单屏蔽以减少噪声源的影响范围。运输车辆的进出应确定固定运输路线，保持行驶道路平坦，减少车辆的颠簸噪声和产生振动。</w:t>
      </w:r>
    </w:p>
    <w:p w14:paraId="69CC413B">
      <w:pPr>
        <w:numPr>
          <w:ilvl w:val="2"/>
          <w:numId w:val="1"/>
        </w:numPr>
        <w:spacing w:line="360" w:lineRule="auto"/>
        <w:ind w:left="0"/>
        <w:outlineLvl w:val="2"/>
        <w:rPr>
          <w:rFonts w:hint="eastAsia" w:ascii="黑体" w:hAnsi="黑体" w:eastAsia="黑体"/>
          <w:b/>
          <w:sz w:val="28"/>
        </w:rPr>
      </w:pPr>
      <w:r>
        <w:rPr>
          <w:rFonts w:ascii="黑体" w:hAnsi="黑体" w:eastAsia="黑体"/>
          <w:b/>
          <w:sz w:val="28"/>
        </w:rPr>
        <w:t>施工期固体废物处置</w:t>
      </w:r>
    </w:p>
    <w:p w14:paraId="5BEF5F94">
      <w:pPr>
        <w:overflowPunct w:val="0"/>
        <w:spacing w:line="360" w:lineRule="auto"/>
        <w:ind w:firstLine="480" w:firstLineChars="200"/>
        <w:rPr>
          <w:rFonts w:ascii="Times New Roman" w:hAnsi="Times New Roman"/>
          <w:szCs w:val="21"/>
        </w:rPr>
      </w:pPr>
      <w:r>
        <w:rPr>
          <w:rFonts w:ascii="Times New Roman" w:hAnsi="Times New Roman"/>
          <w:szCs w:val="21"/>
        </w:rPr>
        <w:t>本项目施工期间，产生的固体废弃物主要有：厂区地面硬化工程产生的工程渣土，装饰工程施工产生的废料等建筑垃圾，施工人员产生的生活垃圾等。施工单位应按照国家和当地有关建筑垃圾和工程渣土处置管理的规定，认真执行《</w:t>
      </w:r>
      <w:r>
        <w:rPr>
          <w:rFonts w:ascii="Helvetica" w:hAnsi="Helvetica"/>
          <w:szCs w:val="21"/>
          <w:shd w:val="clear" w:color="auto" w:fill="FFFFFF"/>
        </w:rPr>
        <w:t>中华人民共和国固体废物污染环境防治法</w:t>
      </w:r>
      <w:r>
        <w:rPr>
          <w:rFonts w:ascii="Times New Roman" w:hAnsi="Times New Roman"/>
          <w:szCs w:val="21"/>
        </w:rPr>
        <w:t>》，在施工期固体废弃物的处置过程中，采取如下管理措施：</w:t>
      </w:r>
    </w:p>
    <w:p w14:paraId="0932A73B">
      <w:pPr>
        <w:overflowPunct w:val="0"/>
        <w:spacing w:line="360" w:lineRule="auto"/>
        <w:ind w:firstLine="480" w:firstLineChars="200"/>
        <w:rPr>
          <w:rFonts w:ascii="Times New Roman" w:hAnsi="Times New Roman"/>
          <w:szCs w:val="21"/>
        </w:rPr>
      </w:pPr>
      <w:r>
        <w:rPr>
          <w:rFonts w:ascii="Times New Roman" w:hAnsi="Times New Roman"/>
          <w:szCs w:val="21"/>
        </w:rPr>
        <w:t>（1）必须外运的弃土以及建筑垃圾应运至专门的建筑垃圾堆放场；生活垃圾应及时交由环卫部门清运统一处置。</w:t>
      </w:r>
    </w:p>
    <w:p w14:paraId="77463C93">
      <w:pPr>
        <w:overflowPunct w:val="0"/>
        <w:spacing w:line="360" w:lineRule="auto"/>
        <w:ind w:firstLine="480" w:firstLineChars="200"/>
        <w:rPr>
          <w:rFonts w:ascii="Times New Roman" w:hAnsi="Times New Roman"/>
        </w:rPr>
      </w:pPr>
      <w:r>
        <w:rPr>
          <w:rFonts w:ascii="Times New Roman" w:hAnsi="Times New Roman"/>
        </w:rPr>
        <w:t>（2）在工程竣工后，施工单位应拆除各种临时施工设施，并负责将工地的剩余建筑垃圾、工程渣土处理干净，做到“工完、料尽、场地清”，建设单位应负责督促施工单位的固体废弃物处置清理工作。</w:t>
      </w:r>
    </w:p>
    <w:p w14:paraId="5C8ED1CE">
      <w:pPr>
        <w:pStyle w:val="3"/>
        <w:rPr>
          <w:rFonts w:hint="eastAsia"/>
        </w:rPr>
      </w:pPr>
      <w:bookmarkStart w:id="375" w:name="_Toc194592899"/>
      <w:bookmarkStart w:id="376" w:name="_Toc27430"/>
      <w:r>
        <w:t>运营期环境影响减缓措施</w:t>
      </w:r>
      <w:bookmarkEnd w:id="375"/>
      <w:bookmarkEnd w:id="376"/>
    </w:p>
    <w:p w14:paraId="6E13B628">
      <w:pPr>
        <w:pStyle w:val="128"/>
        <w:rPr>
          <w:rFonts w:hint="eastAsia"/>
        </w:rPr>
      </w:pPr>
      <w:r>
        <w:t>按照“达标排放”的原则，确保项目生产过程中“三废”污染源和厂界噪声达标排放，积极开展综合利用。在对项目拟采取的环保措施可行性论证的基础上，针对存在的问题提出相应的具体要求或建议</w:t>
      </w:r>
    </w:p>
    <w:p w14:paraId="05401312">
      <w:pPr>
        <w:pStyle w:val="97"/>
        <w:rPr>
          <w:rFonts w:hint="eastAsia"/>
        </w:rPr>
      </w:pPr>
      <w:bookmarkStart w:id="377" w:name="_Toc417464969"/>
      <w:bookmarkStart w:id="378" w:name="_Toc415615471"/>
      <w:r>
        <w:t>大气污染控制与防治措施</w:t>
      </w:r>
      <w:bookmarkEnd w:id="377"/>
      <w:bookmarkEnd w:id="378"/>
    </w:p>
    <w:p w14:paraId="06285ACE">
      <w:pPr>
        <w:pStyle w:val="98"/>
        <w:rPr>
          <w:rFonts w:hint="eastAsia"/>
          <w:color w:val="auto"/>
        </w:rPr>
      </w:pPr>
      <w:bookmarkStart w:id="379" w:name="_Hlk177925684"/>
      <w:bookmarkStart w:id="380" w:name="_Hlk150621950"/>
      <w:bookmarkStart w:id="381" w:name="_Hlk150616296"/>
      <w:r>
        <w:rPr>
          <w:rFonts w:hint="eastAsia"/>
          <w:color w:val="auto"/>
        </w:rPr>
        <w:t>生产装置废气治理措施</w:t>
      </w:r>
    </w:p>
    <w:p w14:paraId="55304C54">
      <w:pPr>
        <w:pStyle w:val="951"/>
      </w:pPr>
      <w:bookmarkStart w:id="382" w:name="_Hlk193127777"/>
      <w:r>
        <w:rPr>
          <w:rFonts w:hint="eastAsia"/>
        </w:rPr>
        <w:t>煤气化装置废气</w:t>
      </w:r>
    </w:p>
    <w:p w14:paraId="38ED14E6">
      <w:pPr>
        <w:pStyle w:val="128"/>
        <w:rPr>
          <w:rFonts w:hint="eastAsia"/>
        </w:rPr>
      </w:pPr>
      <w:r>
        <w:rPr>
          <w:rFonts w:cs="Times New Roman"/>
          <w:u w:color="000000"/>
        </w:rPr>
        <w:t>本项目磨煤干燥工序惰性气体发生器采用燃料气为燃料</w:t>
      </w:r>
      <w:r>
        <w:rPr>
          <w:rFonts w:hint="eastAsia" w:cs="Times New Roman"/>
          <w:u w:color="000000"/>
        </w:rPr>
        <w:t>，废气采用</w:t>
      </w:r>
      <w:r>
        <w:t>低氮燃烧+布袋除尘器</w:t>
      </w:r>
      <w:r>
        <w:rPr>
          <w:rFonts w:hint="eastAsia"/>
        </w:rPr>
        <w:t>处理后外排；根据《排污许可证申请与核发技术规范 化肥工业-氮肥》（HJ864.1-2017）表6排污单位生产单元或设施废气治理可行技术参照表，干煤粉气流床气化工艺磨煤干燥系统放空气中颗粒物采用袋式除尘器处理，氮氧化物通过低氮燃烧技术减少产生量。本项目磨煤干燥工序废气采用的污染防治措施为推荐的可行技术。</w:t>
      </w:r>
    </w:p>
    <w:p w14:paraId="7A4781FC">
      <w:pPr>
        <w:pStyle w:val="128"/>
        <w:rPr>
          <w:rFonts w:hint="eastAsia"/>
        </w:rPr>
      </w:pPr>
      <w:r>
        <w:rPr>
          <w:rFonts w:hint="eastAsia"/>
        </w:rPr>
        <w:t>本次评价收集了安徽昊源化工集团有限公司现有工程年产</w:t>
      </w:r>
      <w:r>
        <w:t>40</w:t>
      </w:r>
      <w:r>
        <w:rPr>
          <w:rFonts w:hint="eastAsia"/>
        </w:rPr>
        <w:t>万吨合成氨</w:t>
      </w:r>
      <w:r>
        <w:t>70</w:t>
      </w:r>
      <w:r>
        <w:rPr>
          <w:rFonts w:hint="eastAsia"/>
        </w:rPr>
        <w:t>万吨尿素原料线路改造项目自行监测报告，该项目磨煤干燥废气污染防治措施与本项目一致，该项目磨煤干燥废气，颗粒物排放浓度为15.7mg/m</w:t>
      </w:r>
      <w:r>
        <w:rPr>
          <w:rFonts w:hint="eastAsia"/>
          <w:vertAlign w:val="superscript"/>
        </w:rPr>
        <w:t>3</w:t>
      </w:r>
      <w:r>
        <w:rPr>
          <w:rFonts w:hint="eastAsia"/>
        </w:rPr>
        <w:t>，0.72kg/h，氮氧化物排放浓度为3-12mg/m</w:t>
      </w:r>
      <w:r>
        <w:rPr>
          <w:rFonts w:hint="eastAsia"/>
          <w:vertAlign w:val="superscript"/>
        </w:rPr>
        <w:t>3</w:t>
      </w:r>
      <w:r>
        <w:rPr>
          <w:rFonts w:hint="eastAsia"/>
        </w:rPr>
        <w:t>。颗粒物排放浓度、排放速率可满足</w:t>
      </w:r>
      <w:r>
        <w:rPr>
          <w:rFonts w:hint="eastAsia" w:hAnsi="Times New Roman" w:cs="Times New Roman"/>
          <w:szCs w:val="18"/>
        </w:rPr>
        <w:t>《大气污染物综合排放标准》（</w:t>
      </w:r>
      <w:r>
        <w:rPr>
          <w:rFonts w:hAnsi="Times New Roman" w:cs="Times New Roman"/>
          <w:szCs w:val="18"/>
        </w:rPr>
        <w:t>GB16297-1996</w:t>
      </w:r>
      <w:r>
        <w:rPr>
          <w:rFonts w:hint="eastAsia" w:hAnsi="Times New Roman" w:cs="Times New Roman"/>
          <w:szCs w:val="18"/>
        </w:rPr>
        <w:t>）表</w:t>
      </w:r>
      <w:r>
        <w:rPr>
          <w:rFonts w:hAnsi="Times New Roman" w:cs="Times New Roman"/>
          <w:szCs w:val="18"/>
        </w:rPr>
        <w:t>2</w:t>
      </w:r>
      <w:r>
        <w:rPr>
          <w:rFonts w:hint="eastAsia"/>
        </w:rPr>
        <w:t>新污染源大气污染物排放限值；</w:t>
      </w:r>
      <w:r>
        <w:rPr>
          <w:rFonts w:hint="eastAsia" w:hAnsi="Times New Roman" w:cs="Times New Roman"/>
        </w:rPr>
        <w:t>氮氧化物（参照）满足</w:t>
      </w:r>
      <w:r>
        <w:rPr>
          <w:rFonts w:hint="eastAsia"/>
        </w:rPr>
        <w:t>《石油化学工业污染物排放标准》（GB31571-2015，含2024年修改单）表4污染物排放限值。</w:t>
      </w:r>
    </w:p>
    <w:bookmarkEnd w:id="382"/>
    <w:p w14:paraId="245296DC">
      <w:pPr>
        <w:pStyle w:val="951"/>
      </w:pPr>
      <w:bookmarkStart w:id="383" w:name="_Hlk193127783"/>
      <w:r>
        <w:rPr>
          <w:rFonts w:hint="eastAsia"/>
        </w:rPr>
        <w:t>低温甲醇洗尾气治理措施</w:t>
      </w:r>
    </w:p>
    <w:p w14:paraId="0F724892">
      <w:pPr>
        <w:pStyle w:val="281"/>
        <w:ind w:firstLine="480"/>
      </w:pPr>
      <w:r>
        <w:t>甲醇易溶于水，由</w:t>
      </w:r>
      <w:r>
        <w:rPr>
          <w:rFonts w:hint="eastAsia"/>
        </w:rPr>
        <w:t>低温甲醇洗</w:t>
      </w:r>
      <w:r>
        <w:t>再吸收塔中出来的合甲醇废气经冷凝后，再经除盐水洗涤处理，</w:t>
      </w:r>
      <w:r>
        <w:rPr>
          <w:rFonts w:hint="eastAsia"/>
        </w:rPr>
        <w:t>洗涤水从塔顶进入，尾气从塔底进入，采用浮阀塔洗涤，洗涤后废气通过80m高排气筒排放</w:t>
      </w:r>
      <w:r>
        <w:t>。</w:t>
      </w:r>
    </w:p>
    <w:p w14:paraId="2E56C9EE">
      <w:pPr>
        <w:pStyle w:val="281"/>
        <w:ind w:firstLine="480"/>
      </w:pPr>
      <w:r>
        <w:rPr>
          <w:rFonts w:hint="eastAsia"/>
        </w:rPr>
        <w:t>根据《排污许可证申请与核发技术规范 化肥工业-氮肥》（HJ864.1-2017）表6排污单位生产单元或设施废气治理可行技术参照表，干煤粉/水煤浆气流床气化工艺低温甲醇洗尾气推荐采用洗涤处理；本项目低温甲醇洗尾气经</w:t>
      </w:r>
      <w:r>
        <w:t>水洗处理</w:t>
      </w:r>
      <w:r>
        <w:rPr>
          <w:rFonts w:hint="eastAsia"/>
        </w:rPr>
        <w:t>，属于推荐的可行技术。</w:t>
      </w:r>
    </w:p>
    <w:p w14:paraId="528D6E7A">
      <w:pPr>
        <w:pStyle w:val="281"/>
        <w:ind w:firstLine="480"/>
      </w:pPr>
      <w:r>
        <w:rPr>
          <w:rFonts w:hint="eastAsia"/>
        </w:rPr>
        <w:t>本次评价收集了《</w:t>
      </w:r>
      <w:r>
        <w:rPr>
          <w:rFonts w:hint="eastAsia" w:ascii="宋体"/>
        </w:rPr>
        <w:t>新疆宜化化工有限公司年产</w:t>
      </w:r>
      <w:r>
        <w:t>2</w:t>
      </w:r>
      <w:r>
        <w:rPr>
          <w:rFonts w:hint="eastAsia" w:ascii="宋体"/>
        </w:rPr>
        <w:t>×</w:t>
      </w:r>
      <w:r>
        <w:t>20</w:t>
      </w:r>
      <w:r>
        <w:rPr>
          <w:rFonts w:hint="eastAsia" w:ascii="宋体"/>
        </w:rPr>
        <w:t>万吨合成氨、</w:t>
      </w:r>
      <w:r>
        <w:t>60</w:t>
      </w:r>
      <w:r>
        <w:rPr>
          <w:rFonts w:hint="eastAsia" w:ascii="宋体"/>
        </w:rPr>
        <w:t>万吨尿素项目竣工环境保护验收监测报告</w:t>
      </w:r>
      <w:r>
        <w:rPr>
          <w:rFonts w:hint="eastAsia"/>
        </w:rPr>
        <w:t>》，2016年该项目低温甲醇洗废气验收监测结果，甲醇排放浓度14.2～41.1mg/m</w:t>
      </w:r>
      <w:r>
        <w:rPr>
          <w:rFonts w:hint="eastAsia"/>
          <w:vertAlign w:val="superscript"/>
        </w:rPr>
        <w:t>3</w:t>
      </w:r>
      <w:r>
        <w:rPr>
          <w:rFonts w:hint="eastAsia"/>
        </w:rPr>
        <w:t>，</w:t>
      </w:r>
      <w:r>
        <w:t>排放浓度低于</w:t>
      </w:r>
      <w:r>
        <w:rPr>
          <w:rFonts w:hint="eastAsia"/>
        </w:rPr>
        <w:t>《石油化学工业污染物排放标准》（GB31571-2015，含2024年修改单）表6废气中有机特征污染物及排放限值</w:t>
      </w:r>
      <w:r>
        <w:t>。本项目设计甲醇洗废气控制指标≤</w:t>
      </w:r>
      <w:r>
        <w:rPr>
          <w:rFonts w:hint="eastAsia"/>
        </w:rPr>
        <w:t>50mg/m</w:t>
      </w:r>
      <w:r>
        <w:rPr>
          <w:rFonts w:hint="eastAsia"/>
          <w:vertAlign w:val="superscript"/>
        </w:rPr>
        <w:t>3</w:t>
      </w:r>
      <w:r>
        <w:rPr>
          <w:rFonts w:hint="eastAsia"/>
        </w:rPr>
        <w:t>。</w:t>
      </w:r>
    </w:p>
    <w:bookmarkEnd w:id="383"/>
    <w:p w14:paraId="16D40EF2">
      <w:pPr>
        <w:pStyle w:val="951"/>
      </w:pPr>
      <w:bookmarkStart w:id="384" w:name="_Hlk193127802"/>
      <w:r>
        <w:rPr>
          <w:rFonts w:hint="eastAsia"/>
        </w:rPr>
        <w:t>酸性气治理措施</w:t>
      </w:r>
    </w:p>
    <w:p w14:paraId="604E1E79">
      <w:pPr>
        <w:pStyle w:val="281"/>
        <w:ind w:firstLine="480"/>
      </w:pPr>
      <w:bookmarkStart w:id="385" w:name="_Hlk177917034"/>
      <w:r>
        <w:t>本项目设置硫回收系统对气化</w:t>
      </w:r>
      <w:r>
        <w:rPr>
          <w:rFonts w:hint="eastAsia"/>
        </w:rPr>
        <w:t>装置</w:t>
      </w:r>
      <w:r>
        <w:t>和净化装置产生的酸性气进行处理，硫回收采用</w:t>
      </w:r>
      <w:r>
        <w:rPr>
          <w:rFonts w:hint="eastAsia"/>
        </w:rPr>
        <w:t>湿法硫酸工艺</w:t>
      </w:r>
      <w:r>
        <w:t>，收集到的硫制成</w:t>
      </w:r>
      <w:r>
        <w:rPr>
          <w:rFonts w:hint="eastAsia"/>
        </w:rPr>
        <w:t>硫酸</w:t>
      </w:r>
      <w:r>
        <w:t>副产品外售。</w:t>
      </w:r>
      <w:r>
        <w:rPr>
          <w:rFonts w:hint="eastAsia" w:ascii="宋体" w:hAnsi="宋体"/>
        </w:rPr>
        <w:t>酸性气采用湿法制酸的工艺路线生产硫酸，属于国内通用、成熟、可靠的生产工艺</w:t>
      </w:r>
      <w:r>
        <w:rPr>
          <w:rFonts w:hint="eastAsia"/>
        </w:rPr>
        <w:t>，根据设计资料，硫回收装置对硫的回收效率≥</w:t>
      </w:r>
      <w:r>
        <w:t>9</w:t>
      </w:r>
      <w:r>
        <w:rPr>
          <w:rFonts w:hint="eastAsia" w:eastAsiaTheme="minorEastAsia"/>
        </w:rPr>
        <w:t>8.5</w:t>
      </w:r>
      <w:r>
        <w:t>%</w:t>
      </w:r>
      <w:r>
        <w:rPr>
          <w:rFonts w:hint="eastAsia"/>
        </w:rPr>
        <w:t>。本项目年产硫酸0.7万</w:t>
      </w:r>
      <w:r>
        <w:t>t/a</w:t>
      </w:r>
      <w:r>
        <w:rPr>
          <w:rFonts w:hint="eastAsia"/>
        </w:rPr>
        <w:t>，产品</w:t>
      </w:r>
      <w:r>
        <w:rPr>
          <w:rFonts w:hint="eastAsia"/>
          <w:szCs w:val="24"/>
        </w:rPr>
        <w:t>硫酸</w:t>
      </w:r>
      <w:r>
        <w:rPr>
          <w:szCs w:val="24"/>
        </w:rPr>
        <w:t>质量满足《</w:t>
      </w:r>
      <w:r>
        <w:rPr>
          <w:rFonts w:hint="eastAsia"/>
          <w:szCs w:val="24"/>
        </w:rPr>
        <w:t>工业硫酸</w:t>
      </w:r>
      <w:r>
        <w:rPr>
          <w:szCs w:val="24"/>
        </w:rPr>
        <w:t xml:space="preserve">》（GB/T </w:t>
      </w:r>
      <w:r>
        <w:rPr>
          <w:rFonts w:hint="eastAsia"/>
          <w:szCs w:val="24"/>
        </w:rPr>
        <w:t>534-2014</w:t>
      </w:r>
      <w:r>
        <w:rPr>
          <w:szCs w:val="24"/>
        </w:rPr>
        <w:t>）中</w:t>
      </w:r>
      <w:r>
        <w:rPr>
          <w:rFonts w:hint="eastAsia"/>
          <w:szCs w:val="24"/>
        </w:rPr>
        <w:t>合格品。</w:t>
      </w:r>
    </w:p>
    <w:p w14:paraId="2FF3E984">
      <w:pPr>
        <w:pStyle w:val="128"/>
        <w:rPr>
          <w:rFonts w:hint="eastAsia"/>
        </w:rPr>
      </w:pPr>
      <w:r>
        <w:t>硫回收</w:t>
      </w:r>
      <w:r>
        <w:rPr>
          <w:rFonts w:hint="eastAsia" w:ascii="宋体"/>
        </w:rPr>
        <w:t>制酸尾气</w:t>
      </w:r>
      <w:r>
        <w:t>送入</w:t>
      </w:r>
      <w:r>
        <w:rPr>
          <w:rFonts w:hint="eastAsia"/>
        </w:rPr>
        <w:t>经SCR+酸雾捕集器+水洗+氨洗处理后达标外排，可满足</w:t>
      </w:r>
      <w:r>
        <w:rPr>
          <w:rFonts w:hint="eastAsia"/>
          <w:u w:color="000000"/>
        </w:rPr>
        <w:t>《</w:t>
      </w:r>
      <w:r>
        <w:rPr>
          <w:rFonts w:hint="eastAsia"/>
        </w:rPr>
        <w:t>石油炼制工业污染物排放标准》（GB31570-2015，含2024年修改单）表3酸性气回收装置大气污染物排放限值，通过45m排气筒外排。</w:t>
      </w:r>
    </w:p>
    <w:p w14:paraId="3B523376">
      <w:pPr>
        <w:pStyle w:val="281"/>
        <w:ind w:firstLine="480"/>
      </w:pPr>
      <w:r>
        <w:rPr>
          <w:rFonts w:hint="eastAsia"/>
        </w:rPr>
        <w:t>（1）SCR脱销措施</w:t>
      </w:r>
    </w:p>
    <w:p w14:paraId="5B8D0CC8">
      <w:pPr>
        <w:pStyle w:val="281"/>
        <w:ind w:firstLine="480"/>
      </w:pPr>
      <w:r>
        <w:rPr>
          <w:rFonts w:hint="eastAsia"/>
        </w:rPr>
        <w:t>SCR所需氨由上游提供。注入的含氨气流是通过与来自空气预热器的热空气混合而得以稀释的氨气，这样可以确保混合后的温度高于硫酸氢铵露点。热空气和气化氨在氨</w:t>
      </w:r>
      <w:r>
        <w:t>/</w:t>
      </w:r>
      <w:r>
        <w:rPr>
          <w:rFonts w:hint="eastAsia"/>
        </w:rPr>
        <w:t>空气混合器中得以混合，并保持均匀的氨浓度。混合气化氨与热空气加入热工艺气（在</w:t>
      </w:r>
      <w:r>
        <w:t>SCR</w:t>
      </w:r>
      <w:r>
        <w:rPr>
          <w:rFonts w:hint="eastAsia"/>
        </w:rPr>
        <w:t>反应器上游）中。在</w:t>
      </w:r>
      <w:r>
        <w:t>SCR</w:t>
      </w:r>
      <w:r>
        <w:rPr>
          <w:rFonts w:hint="eastAsia"/>
        </w:rPr>
        <w:t>反应器上游安装混合器是为了确保混合的均匀度以及工艺气的温度。</w:t>
      </w:r>
    </w:p>
    <w:p w14:paraId="4D304978">
      <w:pPr>
        <w:pStyle w:val="281"/>
        <w:ind w:firstLine="480"/>
      </w:pPr>
      <w:r>
        <w:rPr>
          <w:rFonts w:hint="eastAsia"/>
        </w:rPr>
        <w:t>混合气化氨，热空气和工艺气流经装载脱硝催化剂的</w:t>
      </w:r>
      <w:r>
        <w:t>SCR</w:t>
      </w:r>
      <w:r>
        <w:rPr>
          <w:rFonts w:hint="eastAsia"/>
        </w:rPr>
        <w:t>反应器。这时，气化氨和</w:t>
      </w:r>
      <w:r>
        <w:t>NOx</w:t>
      </w:r>
      <w:r>
        <w:rPr>
          <w:rFonts w:hint="eastAsia"/>
        </w:rPr>
        <w:t>与催化剂发生反应，将氮气和水蒸气分解出来。氮氧化物的脱除是通过以下反应得以实现：</w:t>
      </w:r>
    </w:p>
    <w:p w14:paraId="507F6140">
      <w:pPr>
        <w:pStyle w:val="281"/>
        <w:ind w:firstLine="480"/>
        <w:jc w:val="center"/>
      </w:pPr>
      <w:r>
        <w:t>4NO(g)+4NH</w:t>
      </w:r>
      <w:r>
        <w:rPr>
          <w:vertAlign w:val="subscript"/>
        </w:rPr>
        <w:t>3</w:t>
      </w:r>
      <w:r>
        <w:t>(g)+O</w:t>
      </w:r>
      <w:r>
        <w:rPr>
          <w:vertAlign w:val="subscript"/>
        </w:rPr>
        <w:t>2</w:t>
      </w:r>
      <w:r>
        <w:t>(g)</w:t>
      </w:r>
      <w:r>
        <w:rPr>
          <w:rFonts w:ascii="Cambria Math" w:hAnsi="Cambria Math" w:cs="Cambria Math"/>
        </w:rPr>
        <w:t>⇌</w:t>
      </w:r>
      <w:r>
        <w:t>4N</w:t>
      </w:r>
      <w:r>
        <w:rPr>
          <w:vertAlign w:val="subscript"/>
        </w:rPr>
        <w:t>2</w:t>
      </w:r>
      <w:r>
        <w:t>(g)+6H</w:t>
      </w:r>
      <w:r>
        <w:rPr>
          <w:vertAlign w:val="subscript"/>
        </w:rPr>
        <w:t>2</w:t>
      </w:r>
      <w:r>
        <w:t>O(g)</w:t>
      </w:r>
    </w:p>
    <w:p w14:paraId="41C2BA3A">
      <w:pPr>
        <w:pStyle w:val="281"/>
        <w:ind w:firstLine="480"/>
        <w:jc w:val="center"/>
      </w:pPr>
      <w:r>
        <w:t>NO(g)+NO</w:t>
      </w:r>
      <w:r>
        <w:rPr>
          <w:vertAlign w:val="subscript"/>
        </w:rPr>
        <w:t>2</w:t>
      </w:r>
      <w:r>
        <w:t>(g)+2NH</w:t>
      </w:r>
      <w:r>
        <w:rPr>
          <w:vertAlign w:val="subscript"/>
        </w:rPr>
        <w:t>3</w:t>
      </w:r>
      <w:r>
        <w:t>(g)</w:t>
      </w:r>
      <w:r>
        <w:rPr>
          <w:rFonts w:ascii="Cambria Math" w:hAnsi="Cambria Math" w:cs="Cambria Math"/>
        </w:rPr>
        <w:t>⇌</w:t>
      </w:r>
      <w:r>
        <w:t>2N</w:t>
      </w:r>
      <w:r>
        <w:rPr>
          <w:vertAlign w:val="subscript"/>
        </w:rPr>
        <w:t>2</w:t>
      </w:r>
      <w:r>
        <w:t>(g)+3H</w:t>
      </w:r>
      <w:r>
        <w:rPr>
          <w:vertAlign w:val="subscript"/>
        </w:rPr>
        <w:t>2</w:t>
      </w:r>
      <w:r>
        <w:t>O(g)</w:t>
      </w:r>
    </w:p>
    <w:p w14:paraId="666F2513">
      <w:pPr>
        <w:pStyle w:val="281"/>
        <w:ind w:firstLine="480"/>
      </w:pPr>
      <w:r>
        <w:t xml:space="preserve">NOx </w:t>
      </w:r>
      <w:r>
        <w:rPr>
          <w:rFonts w:hint="eastAsia"/>
        </w:rPr>
        <w:t>的脱除程度取决于氨水的加入量（通过</w:t>
      </w:r>
      <w:r>
        <w:t>NH</w:t>
      </w:r>
      <w:r>
        <w:rPr>
          <w:vertAlign w:val="subscript"/>
        </w:rPr>
        <w:t>3</w:t>
      </w:r>
      <w:r>
        <w:t xml:space="preserve">/NOx </w:t>
      </w:r>
      <w:r>
        <w:rPr>
          <w:rFonts w:hint="eastAsia"/>
        </w:rPr>
        <w:t>比率来表示）以及催化剂用量</w:t>
      </w:r>
      <w:r>
        <w:t>/</w:t>
      </w:r>
      <w:r>
        <w:rPr>
          <w:rFonts w:hint="eastAsia"/>
        </w:rPr>
        <w:t>类型。当</w:t>
      </w:r>
      <w:r>
        <w:t>NH</w:t>
      </w:r>
      <w:r>
        <w:rPr>
          <w:vertAlign w:val="subscript"/>
        </w:rPr>
        <w:t>3</w:t>
      </w:r>
      <w:r>
        <w:t>/NOx</w:t>
      </w:r>
      <w:r>
        <w:rPr>
          <w:rFonts w:hint="eastAsia"/>
        </w:rPr>
        <w:t>比率低于</w:t>
      </w:r>
      <w:r>
        <w:t>1.0</w:t>
      </w:r>
      <w:r>
        <w:rPr>
          <w:rFonts w:hint="eastAsia"/>
        </w:rPr>
        <w:t>时，氮氧化物的脱除程度与氨增加量成正比。</w:t>
      </w:r>
    </w:p>
    <w:p w14:paraId="50EE3A38">
      <w:pPr>
        <w:pStyle w:val="281"/>
        <w:ind w:firstLine="480"/>
      </w:pPr>
      <w:r>
        <w:t>（2）工艺气的洗涤</w:t>
      </w:r>
    </w:p>
    <w:p w14:paraId="5E3C5AE5">
      <w:pPr>
        <w:pStyle w:val="281"/>
        <w:ind w:firstLine="480"/>
      </w:pPr>
      <w:r>
        <w:t>为了减少SO</w:t>
      </w:r>
      <w:r>
        <w:rPr>
          <w:vertAlign w:val="subscript"/>
        </w:rPr>
        <w:t>2</w:t>
      </w:r>
      <w:r>
        <w:t>的排放量以进一步符合排放保证，需给系统安装水洗塔、氨洗涤塔。离开冷凝器的工艺气通过从急冷塔顶端喷入稀酸溶液得到冷却。</w:t>
      </w:r>
    </w:p>
    <w:p w14:paraId="4C77FA41">
      <w:pPr>
        <w:pStyle w:val="281"/>
        <w:ind w:firstLine="480"/>
      </w:pPr>
      <w:r>
        <w:t>利用急冷泵实现稀酸溶液的循环。稀酸液浓度和急冷塔液位的维持，可通过在急冷泵吸入侧添加除盐水或通过减少少量稀酸。</w:t>
      </w:r>
    </w:p>
    <w:p w14:paraId="31C85B24">
      <w:pPr>
        <w:pStyle w:val="281"/>
        <w:ind w:firstLine="480"/>
      </w:pPr>
      <w:r>
        <w:t>从急冷塔出来的工艺气进入洗涤塔，SO</w:t>
      </w:r>
      <w:r>
        <w:rPr>
          <w:vertAlign w:val="subscript"/>
        </w:rPr>
        <w:t>2</w:t>
      </w:r>
      <w:r>
        <w:t>量与氨反应会得到降低。</w:t>
      </w:r>
    </w:p>
    <w:p w14:paraId="6E5D5183">
      <w:pPr>
        <w:pStyle w:val="281"/>
        <w:ind w:firstLine="480"/>
      </w:pPr>
      <w:r>
        <w:t>（3）酸雾的去除</w:t>
      </w:r>
    </w:p>
    <w:p w14:paraId="0D0CFBD7">
      <w:pPr>
        <w:pStyle w:val="281"/>
        <w:ind w:firstLine="480"/>
      </w:pPr>
      <w:r>
        <w:t>离开氨洗涤塔的洁净气被送入</w:t>
      </w:r>
      <w:r>
        <w:rPr>
          <w:rFonts w:cs="Times New Roman"/>
        </w:rPr>
        <w:t>电除雾器</w:t>
      </w:r>
      <w:r>
        <w:rPr>
          <w:rFonts w:hint="eastAsia"/>
        </w:rPr>
        <w:t>，若洁净气内还存在任何剩余酸雾，都会被分离出去，最终废气经排气筒排放。</w:t>
      </w:r>
    </w:p>
    <w:p w14:paraId="4626144A">
      <w:pPr>
        <w:pStyle w:val="281"/>
        <w:ind w:firstLine="480"/>
      </w:pPr>
      <w:r>
        <w:rPr>
          <w:rFonts w:hint="eastAsia"/>
        </w:rPr>
        <w:t>参照《排污许可证申请与核发技术规范 石化工业》（</w:t>
      </w:r>
      <w:r>
        <w:t>HJ853-2017</w:t>
      </w:r>
      <w:r>
        <w:rPr>
          <w:rFonts w:hint="eastAsia"/>
        </w:rPr>
        <w:t>）表5石化工业排污单位生产装置或设施废气治理可行技术参照表，酸性气回收装置推荐的可行技术为硫磺回收+焚烧+（碱洗技术）；酸性气制硫酸+（碱洗技术）。本项目为酸性气制硫酸，尾气经SCR+酸雾捕集器+两级氨洗处理，是推荐的可行技术；根据《排污许可证申请与核发技术规范 化肥工业-氮肥》（HJ864.1-2017）表 6 排污单位生产单元或设施废气治理可行技术参照表，原料气净化单元硫回收尾气硫酸雾采用碱洗去除，本项目尾气中硫酸雾经过两级氨洗处理，是推荐的可行技术。</w:t>
      </w:r>
    </w:p>
    <w:p w14:paraId="3DE522AA">
      <w:pPr>
        <w:pStyle w:val="281"/>
        <w:ind w:firstLine="480"/>
      </w:pPr>
      <w:r>
        <w:rPr>
          <w:rFonts w:hint="eastAsia"/>
        </w:rPr>
        <w:t>本次评价收集了安徽昊源化工集团有限公司现有工程年产</w:t>
      </w:r>
      <w:r>
        <w:t>40</w:t>
      </w:r>
      <w:r>
        <w:rPr>
          <w:rFonts w:hint="eastAsia"/>
        </w:rPr>
        <w:t>万吨合成氨</w:t>
      </w:r>
      <w:r>
        <w:t>70</w:t>
      </w:r>
      <w:r>
        <w:rPr>
          <w:rFonts w:hint="eastAsia"/>
        </w:rPr>
        <w:t>万吨尿素原料线路改造项目验收监测报告，该项目中硫回收装置与本项目工艺流程一致，尾气处置方式一致，具有可类比性。依据该项目验收监测报告，该项目制酸尾气SO</w:t>
      </w:r>
      <w:r>
        <w:rPr>
          <w:rFonts w:hint="eastAsia"/>
          <w:vertAlign w:val="subscript"/>
        </w:rPr>
        <w:t>2</w:t>
      </w:r>
      <w:r>
        <w:rPr>
          <w:rFonts w:hint="eastAsia"/>
        </w:rPr>
        <w:t>排放</w:t>
      </w:r>
      <w:r>
        <w:t>浓度约</w:t>
      </w:r>
      <w:r>
        <w:rPr>
          <w:rFonts w:hint="eastAsia"/>
        </w:rPr>
        <w:t>3.0m</w:t>
      </w:r>
      <w:r>
        <w:t>g/m</w:t>
      </w:r>
      <w:r>
        <w:rPr>
          <w:vertAlign w:val="superscript"/>
        </w:rPr>
        <w:t>3</w:t>
      </w:r>
      <w:r>
        <w:rPr>
          <w:rFonts w:hint="eastAsia"/>
        </w:rPr>
        <w:t>、硫酸雾为4.53m</w:t>
      </w:r>
      <w:r>
        <w:t>g/m</w:t>
      </w:r>
      <w:r>
        <w:rPr>
          <w:vertAlign w:val="superscript"/>
        </w:rPr>
        <w:t>3</w:t>
      </w:r>
      <w:r>
        <w:t>，废气排放</w:t>
      </w:r>
      <w:r>
        <w:rPr>
          <w:rFonts w:hint="eastAsia"/>
        </w:rPr>
        <w:t>可</w:t>
      </w:r>
      <w:r>
        <w:t>满足</w:t>
      </w:r>
      <w:r>
        <w:rPr>
          <w:rFonts w:hint="eastAsia"/>
          <w:u w:color="000000"/>
        </w:rPr>
        <w:t>《</w:t>
      </w:r>
      <w:r>
        <w:rPr>
          <w:rFonts w:hint="eastAsia"/>
        </w:rPr>
        <w:t>石油炼制工业污染物排放标准》（GB31570-2015，含2024年修改单）表3酸性气回收装置大气污染物排放限值，治理方案是可行的。</w:t>
      </w:r>
    </w:p>
    <w:bookmarkEnd w:id="379"/>
    <w:bookmarkEnd w:id="384"/>
    <w:bookmarkEnd w:id="385"/>
    <w:p w14:paraId="1A6FAE0D">
      <w:pPr>
        <w:pStyle w:val="951"/>
        <w:rPr>
          <w:rFonts w:eastAsia="宋体"/>
        </w:rPr>
      </w:pPr>
      <w:r>
        <w:rPr>
          <w:rFonts w:hint="eastAsia"/>
        </w:rPr>
        <w:t>有机缓释肥装置加热炉废气</w:t>
      </w:r>
    </w:p>
    <w:p w14:paraId="4974D77A">
      <w:pPr>
        <w:pStyle w:val="281"/>
        <w:ind w:firstLine="480"/>
      </w:pPr>
      <w:r>
        <w:rPr>
          <w:rFonts w:hint="eastAsia"/>
        </w:rPr>
        <w:t>有机缓释肥装置加热炉使用燃料气</w:t>
      </w:r>
      <w:r>
        <w:t>作为燃料，采用低氮燃烧技术，污染物能够满足</w:t>
      </w:r>
      <w:r>
        <w:rPr>
          <w:rFonts w:hint="eastAsia" w:ascii="宋体" w:hAnsi="宋体"/>
        </w:rPr>
        <w:t>《石油化学工业污染物排放标准》（</w:t>
      </w:r>
      <w:r>
        <w:rPr>
          <w:rFonts w:cs="Times New Roman"/>
        </w:rPr>
        <w:t>GB31571-2015</w:t>
      </w:r>
      <w:r>
        <w:rPr>
          <w:rFonts w:hint="eastAsia" w:ascii="宋体" w:hAnsi="宋体"/>
        </w:rPr>
        <w:t>，含</w:t>
      </w:r>
      <w:r>
        <w:rPr>
          <w:rFonts w:cs="Times New Roman"/>
        </w:rPr>
        <w:t>2024</w:t>
      </w:r>
      <w:r>
        <w:rPr>
          <w:rFonts w:hint="eastAsia" w:ascii="宋体" w:hAnsi="宋体"/>
        </w:rPr>
        <w:t>年修改单）表</w:t>
      </w:r>
      <w:r>
        <w:rPr>
          <w:rFonts w:cs="Times New Roman"/>
        </w:rPr>
        <w:t>4</w:t>
      </w:r>
      <w:r>
        <w:rPr>
          <w:rFonts w:hint="eastAsia"/>
        </w:rPr>
        <w:t>污染物排放限值；</w:t>
      </w:r>
    </w:p>
    <w:p w14:paraId="227B4A59">
      <w:pPr>
        <w:pStyle w:val="529"/>
        <w:rPr>
          <w:rFonts w:ascii="Times New Roman" w:hAnsi="Times New Roman"/>
        </w:rPr>
      </w:pPr>
      <w:r>
        <w:rPr>
          <w:rFonts w:hint="eastAsia" w:ascii="Times New Roman" w:hAnsi="Times New Roman"/>
        </w:rPr>
        <w:t>根据</w:t>
      </w:r>
      <w:r>
        <w:rPr>
          <w:rFonts w:ascii="Times New Roman" w:hAnsi="Times New Roman"/>
        </w:rPr>
        <w:t>《排污许可证申请与核发技术规范</w:t>
      </w:r>
      <w:r>
        <w:rPr>
          <w:rFonts w:hint="eastAsia" w:ascii="Times New Roman" w:hAnsi="Times New Roman"/>
        </w:rPr>
        <w:t xml:space="preserve"> </w:t>
      </w:r>
      <w:r>
        <w:rPr>
          <w:rFonts w:ascii="Times New Roman" w:hAnsi="Times New Roman"/>
        </w:rPr>
        <w:t>石化工业》（HJ 853-2017），石化工业排污单位主要废气治理可行技术参照表见表</w:t>
      </w:r>
      <w:r>
        <w:rPr>
          <w:rFonts w:hint="eastAsia" w:ascii="Times New Roman" w:hAnsi="Times New Roman"/>
        </w:rPr>
        <w:t>6.2</w:t>
      </w:r>
      <w:r>
        <w:rPr>
          <w:rFonts w:ascii="Times New Roman" w:hAnsi="Times New Roman"/>
        </w:rPr>
        <w:t>.1</w:t>
      </w:r>
      <w:r>
        <w:rPr>
          <w:rFonts w:hint="eastAsia" w:ascii="Times New Roman" w:hAnsi="Times New Roman"/>
        </w:rPr>
        <w:t>-2</w:t>
      </w:r>
      <w:r>
        <w:rPr>
          <w:rFonts w:ascii="Times New Roman" w:hAnsi="Times New Roman"/>
        </w:rPr>
        <w:t>。</w:t>
      </w:r>
    </w:p>
    <w:p w14:paraId="6EE008CD">
      <w:pPr>
        <w:pStyle w:val="541"/>
        <w:rPr>
          <w:rFonts w:hint="eastAsia"/>
        </w:rPr>
      </w:pPr>
      <w:r>
        <w:rPr>
          <w:rFonts w:hint="eastAsia"/>
        </w:rPr>
        <w:t>表6.2</w:t>
      </w:r>
      <w:r>
        <w:t>.1</w:t>
      </w:r>
      <w:r>
        <w:rPr>
          <w:rFonts w:hint="eastAsia"/>
        </w:rPr>
        <w:t xml:space="preserve">-2 </w:t>
      </w:r>
      <w:r>
        <w:t xml:space="preserve">  </w:t>
      </w:r>
      <w:r>
        <w:rPr>
          <w:rFonts w:hint="eastAsia"/>
        </w:rPr>
        <w:t xml:space="preserve"> 石化工业排污单位主要废气治理可行技术参照表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988"/>
        <w:gridCol w:w="1005"/>
        <w:gridCol w:w="3247"/>
        <w:gridCol w:w="2126"/>
        <w:gridCol w:w="1139"/>
      </w:tblGrid>
      <w:tr w14:paraId="7CD6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3BEA3D3">
            <w:pPr>
              <w:pStyle w:val="557"/>
            </w:pPr>
            <w:r>
              <w:rPr>
                <w:rFonts w:hint="eastAsia"/>
              </w:rPr>
              <w:t>生产装置或设施</w:t>
            </w:r>
          </w:p>
        </w:tc>
        <w:tc>
          <w:tcPr>
            <w:tcW w:w="1005" w:type="dxa"/>
            <w:tcBorders>
              <w:top w:val="single" w:color="auto" w:sz="4" w:space="0"/>
              <w:left w:val="single" w:color="auto" w:sz="4" w:space="0"/>
              <w:bottom w:val="single" w:color="auto" w:sz="4" w:space="0"/>
              <w:right w:val="single" w:color="auto" w:sz="4" w:space="0"/>
            </w:tcBorders>
            <w:vAlign w:val="center"/>
          </w:tcPr>
          <w:p w14:paraId="639F9929">
            <w:pPr>
              <w:pStyle w:val="557"/>
            </w:pPr>
            <w:r>
              <w:rPr>
                <w:rFonts w:hint="eastAsia"/>
              </w:rPr>
              <w:t>污染物</w:t>
            </w:r>
          </w:p>
        </w:tc>
        <w:tc>
          <w:tcPr>
            <w:tcW w:w="3247" w:type="dxa"/>
            <w:tcBorders>
              <w:top w:val="single" w:color="auto" w:sz="4" w:space="0"/>
              <w:left w:val="single" w:color="auto" w:sz="4" w:space="0"/>
              <w:bottom w:val="single" w:color="auto" w:sz="4" w:space="0"/>
              <w:right w:val="single" w:color="auto" w:sz="4" w:space="0"/>
            </w:tcBorders>
            <w:vAlign w:val="center"/>
          </w:tcPr>
          <w:p w14:paraId="7CC3ACFB">
            <w:pPr>
              <w:pStyle w:val="557"/>
            </w:pPr>
            <w:r>
              <w:rPr>
                <w:rFonts w:hint="eastAsia"/>
              </w:rPr>
              <w:t>可行技术</w:t>
            </w:r>
          </w:p>
        </w:tc>
        <w:tc>
          <w:tcPr>
            <w:tcW w:w="2126" w:type="dxa"/>
            <w:tcBorders>
              <w:top w:val="single" w:color="auto" w:sz="4" w:space="0"/>
              <w:left w:val="single" w:color="auto" w:sz="4" w:space="0"/>
              <w:bottom w:val="single" w:color="auto" w:sz="4" w:space="0"/>
              <w:right w:val="single" w:color="auto" w:sz="4" w:space="0"/>
            </w:tcBorders>
            <w:vAlign w:val="center"/>
          </w:tcPr>
          <w:p w14:paraId="79D01962">
            <w:pPr>
              <w:pStyle w:val="557"/>
            </w:pPr>
            <w:r>
              <w:rPr>
                <w:rFonts w:hint="eastAsia"/>
              </w:rPr>
              <w:t>本项目</w:t>
            </w:r>
          </w:p>
        </w:tc>
        <w:tc>
          <w:tcPr>
            <w:tcW w:w="1139" w:type="dxa"/>
            <w:tcBorders>
              <w:top w:val="single" w:color="auto" w:sz="4" w:space="0"/>
              <w:left w:val="single" w:color="auto" w:sz="4" w:space="0"/>
              <w:bottom w:val="single" w:color="auto" w:sz="4" w:space="0"/>
              <w:right w:val="single" w:color="auto" w:sz="4" w:space="0"/>
            </w:tcBorders>
            <w:vAlign w:val="center"/>
          </w:tcPr>
          <w:p w14:paraId="3F6ABCB6">
            <w:pPr>
              <w:pStyle w:val="557"/>
            </w:pPr>
            <w:r>
              <w:rPr>
                <w:rFonts w:hint="eastAsia"/>
              </w:rPr>
              <w:t>是否可行</w:t>
            </w:r>
          </w:p>
        </w:tc>
      </w:tr>
      <w:tr w14:paraId="4327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9F55C4B">
            <w:pPr>
              <w:pStyle w:val="557"/>
            </w:pPr>
            <w:r>
              <w:rPr>
                <w:rFonts w:hint="eastAsia"/>
              </w:rPr>
              <w:t>工艺加热炉</w:t>
            </w:r>
          </w:p>
        </w:tc>
        <w:tc>
          <w:tcPr>
            <w:tcW w:w="1005" w:type="dxa"/>
            <w:tcBorders>
              <w:top w:val="single" w:color="auto" w:sz="4" w:space="0"/>
              <w:left w:val="single" w:color="auto" w:sz="4" w:space="0"/>
              <w:bottom w:val="single" w:color="auto" w:sz="4" w:space="0"/>
              <w:right w:val="single" w:color="auto" w:sz="4" w:space="0"/>
            </w:tcBorders>
            <w:vAlign w:val="center"/>
          </w:tcPr>
          <w:p w14:paraId="64E297C3">
            <w:pPr>
              <w:pStyle w:val="557"/>
            </w:pPr>
            <w:r>
              <w:rPr>
                <w:rFonts w:hint="eastAsia"/>
              </w:rPr>
              <w:t>氮氧化物</w:t>
            </w:r>
          </w:p>
        </w:tc>
        <w:tc>
          <w:tcPr>
            <w:tcW w:w="3247" w:type="dxa"/>
            <w:tcBorders>
              <w:top w:val="single" w:color="auto" w:sz="4" w:space="0"/>
              <w:left w:val="single" w:color="auto" w:sz="4" w:space="0"/>
              <w:bottom w:val="single" w:color="auto" w:sz="4" w:space="0"/>
              <w:right w:val="single" w:color="auto" w:sz="4" w:space="0"/>
            </w:tcBorders>
            <w:vAlign w:val="center"/>
          </w:tcPr>
          <w:p w14:paraId="63E510F8">
            <w:pPr>
              <w:pStyle w:val="557"/>
            </w:pPr>
            <w:r>
              <w:rPr>
                <w:rFonts w:hint="eastAsia"/>
              </w:rPr>
              <w:t>低氮燃烧技术（低氮燃烧器、空气分级燃烧、燃料分级燃烧）</w:t>
            </w:r>
          </w:p>
        </w:tc>
        <w:tc>
          <w:tcPr>
            <w:tcW w:w="2126" w:type="dxa"/>
            <w:tcBorders>
              <w:top w:val="single" w:color="auto" w:sz="4" w:space="0"/>
              <w:left w:val="single" w:color="auto" w:sz="4" w:space="0"/>
              <w:bottom w:val="single" w:color="auto" w:sz="4" w:space="0"/>
              <w:right w:val="single" w:color="auto" w:sz="4" w:space="0"/>
            </w:tcBorders>
            <w:vAlign w:val="center"/>
          </w:tcPr>
          <w:p w14:paraId="65C8E0F8">
            <w:pPr>
              <w:pStyle w:val="557"/>
            </w:pPr>
            <w:r>
              <w:rPr>
                <w:rFonts w:hint="eastAsia"/>
              </w:rPr>
              <w:t>低氮燃烧器</w:t>
            </w:r>
          </w:p>
        </w:tc>
        <w:tc>
          <w:tcPr>
            <w:tcW w:w="1139" w:type="dxa"/>
            <w:tcBorders>
              <w:top w:val="single" w:color="auto" w:sz="4" w:space="0"/>
              <w:left w:val="single" w:color="auto" w:sz="4" w:space="0"/>
              <w:bottom w:val="single" w:color="auto" w:sz="4" w:space="0"/>
              <w:right w:val="single" w:color="auto" w:sz="4" w:space="0"/>
            </w:tcBorders>
            <w:vAlign w:val="center"/>
          </w:tcPr>
          <w:p w14:paraId="666B72FE">
            <w:pPr>
              <w:pStyle w:val="557"/>
            </w:pPr>
            <w:r>
              <w:rPr>
                <w:rFonts w:hint="eastAsia"/>
              </w:rPr>
              <w:t>可行</w:t>
            </w:r>
          </w:p>
        </w:tc>
      </w:tr>
      <w:tr w14:paraId="1264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3"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8879A8C">
            <w:pPr>
              <w:pStyle w:val="557"/>
            </w:pPr>
          </w:p>
        </w:tc>
        <w:tc>
          <w:tcPr>
            <w:tcW w:w="1005" w:type="dxa"/>
            <w:tcBorders>
              <w:top w:val="single" w:color="auto" w:sz="4" w:space="0"/>
              <w:left w:val="single" w:color="auto" w:sz="4" w:space="0"/>
              <w:bottom w:val="single" w:color="auto" w:sz="4" w:space="0"/>
              <w:right w:val="single" w:color="auto" w:sz="4" w:space="0"/>
            </w:tcBorders>
            <w:vAlign w:val="center"/>
          </w:tcPr>
          <w:p w14:paraId="6540E006">
            <w:pPr>
              <w:pStyle w:val="557"/>
            </w:pPr>
            <w:r>
              <w:rPr>
                <w:rFonts w:hint="eastAsia"/>
              </w:rPr>
              <w:t>颗粒物</w:t>
            </w:r>
          </w:p>
        </w:tc>
        <w:tc>
          <w:tcPr>
            <w:tcW w:w="3247" w:type="dxa"/>
            <w:tcBorders>
              <w:top w:val="single" w:color="auto" w:sz="4" w:space="0"/>
              <w:left w:val="single" w:color="auto" w:sz="4" w:space="0"/>
              <w:bottom w:val="single" w:color="auto" w:sz="4" w:space="0"/>
              <w:right w:val="single" w:color="auto" w:sz="4" w:space="0"/>
            </w:tcBorders>
            <w:vAlign w:val="center"/>
          </w:tcPr>
          <w:p w14:paraId="04DF26FE">
            <w:pPr>
              <w:pStyle w:val="557"/>
            </w:pPr>
            <w:r>
              <w:rPr>
                <w:rFonts w:hint="eastAsia"/>
              </w:rPr>
              <w:t>采用清洁燃料</w:t>
            </w:r>
          </w:p>
        </w:tc>
        <w:tc>
          <w:tcPr>
            <w:tcW w:w="2126" w:type="dxa"/>
            <w:tcBorders>
              <w:top w:val="single" w:color="auto" w:sz="4" w:space="0"/>
              <w:left w:val="single" w:color="auto" w:sz="4" w:space="0"/>
              <w:bottom w:val="single" w:color="auto" w:sz="4" w:space="0"/>
              <w:right w:val="single" w:color="auto" w:sz="4" w:space="0"/>
            </w:tcBorders>
            <w:vAlign w:val="center"/>
          </w:tcPr>
          <w:p w14:paraId="7FE78575">
            <w:pPr>
              <w:pStyle w:val="557"/>
            </w:pPr>
            <w:r>
              <w:rPr>
                <w:rFonts w:hint="eastAsia"/>
              </w:rPr>
              <w:t>采用清洁燃料</w:t>
            </w:r>
          </w:p>
        </w:tc>
        <w:tc>
          <w:tcPr>
            <w:tcW w:w="1139" w:type="dxa"/>
            <w:tcBorders>
              <w:top w:val="single" w:color="auto" w:sz="4" w:space="0"/>
              <w:left w:val="single" w:color="auto" w:sz="4" w:space="0"/>
              <w:bottom w:val="single" w:color="auto" w:sz="4" w:space="0"/>
              <w:right w:val="single" w:color="auto" w:sz="4" w:space="0"/>
            </w:tcBorders>
            <w:vAlign w:val="center"/>
          </w:tcPr>
          <w:p w14:paraId="6FF7D9A1">
            <w:pPr>
              <w:pStyle w:val="557"/>
            </w:pPr>
            <w:r>
              <w:rPr>
                <w:rFonts w:hint="eastAsia"/>
              </w:rPr>
              <w:t>可行</w:t>
            </w:r>
          </w:p>
        </w:tc>
      </w:tr>
    </w:tbl>
    <w:p w14:paraId="43F372EA">
      <w:pPr>
        <w:pStyle w:val="626"/>
        <w:ind w:firstLine="480"/>
        <w:rPr>
          <w:rFonts w:ascii="Times New Roman" w:hAnsi="Times New Roman"/>
        </w:rPr>
      </w:pPr>
      <w:r>
        <w:rPr>
          <w:rFonts w:ascii="Times New Roman" w:hAnsi="Times New Roman" w:eastAsia="宋体"/>
        </w:rPr>
        <w:t>本项目</w:t>
      </w:r>
      <w:r>
        <w:rPr>
          <w:rFonts w:hint="eastAsia"/>
        </w:rPr>
        <w:t>有机缓释肥装置加热炉</w:t>
      </w:r>
      <w:r>
        <w:rPr>
          <w:rFonts w:ascii="Times New Roman" w:hAnsi="Times New Roman" w:eastAsia="宋体"/>
        </w:rPr>
        <w:t>使用</w:t>
      </w:r>
      <w:r>
        <w:rPr>
          <w:rFonts w:hint="eastAsia" w:ascii="Times New Roman" w:hAnsi="Times New Roman" w:eastAsia="宋体"/>
        </w:rPr>
        <w:t>燃料气</w:t>
      </w:r>
      <w:r>
        <w:rPr>
          <w:rFonts w:ascii="Times New Roman" w:hAnsi="Times New Roman" w:eastAsia="宋体"/>
        </w:rPr>
        <w:t>作为燃料，采用低氮燃烧技术，</w:t>
      </w:r>
      <w:r>
        <w:rPr>
          <w:rFonts w:ascii="Times New Roman" w:hAnsi="Times New Roman" w:eastAsia="宋体"/>
          <w:szCs w:val="24"/>
        </w:rPr>
        <w:t>属于</w:t>
      </w:r>
      <w:r>
        <w:rPr>
          <w:rFonts w:ascii="Times New Roman" w:hAnsi="Times New Roman" w:eastAsia="宋体"/>
        </w:rPr>
        <w:t>《排污许可证申请与核发技术规范石化工业》（</w:t>
      </w:r>
      <w:r>
        <w:rPr>
          <w:rFonts w:ascii="Times New Roman" w:hAnsi="Times New Roman"/>
        </w:rPr>
        <w:t>HJ 853-2017</w:t>
      </w:r>
      <w:r>
        <w:rPr>
          <w:rFonts w:ascii="Times New Roman" w:hAnsi="Times New Roman" w:eastAsia="宋体"/>
        </w:rPr>
        <w:t>）石化工业排污单位主要废气治理可行技术。</w:t>
      </w:r>
    </w:p>
    <w:bookmarkEnd w:id="380"/>
    <w:bookmarkEnd w:id="381"/>
    <w:p w14:paraId="6D8C4795">
      <w:pPr>
        <w:pStyle w:val="98"/>
        <w:rPr>
          <w:rFonts w:hint="eastAsia"/>
          <w:color w:val="auto"/>
        </w:rPr>
      </w:pPr>
      <w:r>
        <w:rPr>
          <w:rFonts w:hint="eastAsia"/>
          <w:color w:val="auto"/>
        </w:rPr>
        <w:t>含尘废气治理措施</w:t>
      </w:r>
    </w:p>
    <w:p w14:paraId="39A31165">
      <w:pPr>
        <w:pStyle w:val="281"/>
        <w:ind w:firstLine="480"/>
      </w:pPr>
      <w:r>
        <w:rPr>
          <w:rFonts w:hint="eastAsia"/>
        </w:rPr>
        <w:t>本项目的颗粒物产生源为煤气化装置煤仓排放气、煤转运站废气、原煤破碎废气、煤仓过滤气等，均采用布袋除尘后，颗粒物达标排放。</w:t>
      </w:r>
    </w:p>
    <w:p w14:paraId="3FDF29AE">
      <w:pPr>
        <w:pStyle w:val="951"/>
      </w:pPr>
      <w:r>
        <w:t>除尘措施</w:t>
      </w:r>
    </w:p>
    <w:p w14:paraId="6F4ED7D1">
      <w:pPr>
        <w:pStyle w:val="281"/>
        <w:ind w:firstLine="480"/>
      </w:pPr>
      <w:r>
        <w:t>本项目各粉尘产生点优先采用抑尘措施控制粉尘产生，并在粉尘产生点采用集气罩将无组织排放转为有组织排放，再采用袋式除尘器进行处理后达标排放。</w:t>
      </w:r>
    </w:p>
    <w:p w14:paraId="3EBA6470">
      <w:pPr>
        <w:pStyle w:val="281"/>
        <w:ind w:firstLine="480"/>
      </w:pPr>
      <w:r>
        <w:rPr>
          <w:rFonts w:hint="eastAsia" w:ascii="宋体" w:hAnsi="宋体"/>
        </w:rPr>
        <w:t>（1）工作原理</w:t>
      </w:r>
    </w:p>
    <w:p w14:paraId="0FABEBBD">
      <w:pPr>
        <w:pStyle w:val="281"/>
        <w:ind w:firstLine="480"/>
      </w:pPr>
      <w:r>
        <w:rPr>
          <w:rFonts w:hint="eastAsia" w:ascii="宋体" w:hAnsi="宋体"/>
        </w:rPr>
        <w:t>袋式除尘器是高效除尘设备之一。布袋除尘器的工作机理是含尘废气通过过滤材料，尘粒被过滤下来，过滤材料捕集粗粒粉尘主要靠惯性碰撞作用，捕集细粒粉尘主要靠扩散和筛分作用。</w:t>
      </w:r>
    </w:p>
    <w:p w14:paraId="517F7D56">
      <w:pPr>
        <w:pStyle w:val="281"/>
        <w:ind w:firstLine="480"/>
      </w:pPr>
      <w:r>
        <w:rPr>
          <w:rFonts w:hint="eastAsia" w:ascii="宋体" w:hAnsi="宋体"/>
        </w:rPr>
        <w:t>据查有关资料，影响袋式除尘器除尘效率的主要是粉尘粒径（见下图）。对于</w:t>
      </w:r>
      <w:r>
        <w:t>1μm</w:t>
      </w:r>
      <w:r>
        <w:rPr>
          <w:rFonts w:hint="eastAsia" w:ascii="宋体" w:hAnsi="宋体"/>
        </w:rPr>
        <w:t>的尘粒，其分级除尘效率可达</w:t>
      </w:r>
      <w:r>
        <w:t>98%</w:t>
      </w:r>
      <w:r>
        <w:rPr>
          <w:rFonts w:hint="eastAsia" w:ascii="宋体" w:hAnsi="宋体"/>
        </w:rPr>
        <w:t>。对于大于</w:t>
      </w:r>
      <w:r>
        <w:t>3μm</w:t>
      </w:r>
      <w:r>
        <w:rPr>
          <w:rFonts w:hint="eastAsia" w:ascii="宋体" w:hAnsi="宋体"/>
        </w:rPr>
        <w:t>的尘粒，可以稳定地获得</w:t>
      </w:r>
      <w:r>
        <w:t>99.9%</w:t>
      </w:r>
      <w:r>
        <w:rPr>
          <w:rFonts w:hint="eastAsia" w:ascii="宋体" w:hAnsi="宋体"/>
        </w:rPr>
        <w:t>以上的除尘效率。</w:t>
      </w:r>
    </w:p>
    <w:p w14:paraId="22F8379E">
      <w:pPr>
        <w:pStyle w:val="711"/>
        <w:ind w:left="562" w:hanging="562"/>
      </w:pPr>
    </w:p>
    <w:p w14:paraId="277A670A">
      <w:pPr>
        <w:pStyle w:val="122"/>
        <w:snapToGrid w:val="0"/>
        <w:spacing w:before="163"/>
        <w:jc w:val="center"/>
        <w:rPr>
          <w:rFonts w:hint="eastAsia" w:ascii="Times New Roman"/>
        </w:rPr>
      </w:pPr>
      <w:r>
        <w:rPr>
          <w:rFonts w:ascii="Times New Roman"/>
        </w:rPr>
        <w:t>1—积尘的滤料；2—振打后的滤料；3—洁净滤料</w:t>
      </w:r>
    </w:p>
    <w:p w14:paraId="1DCFBEC8">
      <w:pPr>
        <w:pStyle w:val="541"/>
        <w:rPr>
          <w:rFonts w:hint="eastAsia" w:ascii="宋体" w:hAnsi="宋体"/>
        </w:rPr>
      </w:pPr>
      <w:r>
        <w:t>图6.2.</w:t>
      </w:r>
      <w:r>
        <w:rPr>
          <w:rFonts w:hint="eastAsia"/>
        </w:rPr>
        <w:t>1</w:t>
      </w:r>
      <w:r>
        <w:t>-3      不同粒径粉尘的去除效率图</w:t>
      </w:r>
    </w:p>
    <w:p w14:paraId="45D6B175">
      <w:pPr>
        <w:pStyle w:val="281"/>
        <w:ind w:firstLine="480"/>
      </w:pPr>
      <w:r>
        <w:rPr>
          <w:rFonts w:hint="eastAsia" w:ascii="宋体" w:hAnsi="宋体"/>
        </w:rPr>
        <w:t>②优点</w:t>
      </w:r>
    </w:p>
    <w:p w14:paraId="5862B530">
      <w:pPr>
        <w:pStyle w:val="281"/>
        <w:ind w:firstLine="480"/>
      </w:pPr>
      <w:r>
        <w:rPr>
          <w:rFonts w:hint="eastAsia" w:ascii="宋体" w:hAnsi="宋体"/>
        </w:rPr>
        <w:t>布袋除尘器属于过滤式除尘器，在钢铁、水泥、化工、电力等行业得到广泛的应用，具有成熟稳定、技术先进、安全可靠、经济合理等优点，具体优点是：</w:t>
      </w:r>
    </w:p>
    <w:p w14:paraId="5DCDCA8D">
      <w:pPr>
        <w:pStyle w:val="281"/>
        <w:ind w:firstLine="480"/>
      </w:pPr>
      <w:r>
        <w:t>1</w:t>
      </w:r>
      <w:r>
        <w:rPr>
          <w:rFonts w:hint="eastAsia" w:ascii="宋体" w:hAnsi="宋体"/>
        </w:rPr>
        <w:t>）除尘效率高，对微细粒子的除尘效率可达</w:t>
      </w:r>
      <w:r>
        <w:t>99%</w:t>
      </w:r>
      <w:r>
        <w:rPr>
          <w:rFonts w:hint="eastAsia" w:ascii="宋体" w:hAnsi="宋体"/>
        </w:rPr>
        <w:t>以上；</w:t>
      </w:r>
    </w:p>
    <w:p w14:paraId="3AE07471">
      <w:pPr>
        <w:pStyle w:val="281"/>
        <w:ind w:firstLine="480"/>
      </w:pPr>
      <w:r>
        <w:t>2</w:t>
      </w:r>
      <w:r>
        <w:rPr>
          <w:rFonts w:hint="eastAsia" w:ascii="宋体" w:hAnsi="宋体"/>
        </w:rPr>
        <w:t>）适应性强，对各类性质的粉尘都有很高的除尘效率，如高比阻粉尘和高浓度粉尘等；</w:t>
      </w:r>
    </w:p>
    <w:p w14:paraId="4FDFD822">
      <w:pPr>
        <w:pStyle w:val="281"/>
        <w:ind w:firstLine="480"/>
      </w:pPr>
      <w:r>
        <w:t>3</w:t>
      </w:r>
      <w:r>
        <w:rPr>
          <w:rFonts w:hint="eastAsia" w:ascii="宋体" w:hAnsi="宋体"/>
        </w:rPr>
        <w:t>）处理风量范围广，对于小风量和大风量均可处理；</w:t>
      </w:r>
    </w:p>
    <w:p w14:paraId="59737C52">
      <w:pPr>
        <w:pStyle w:val="281"/>
        <w:ind w:firstLine="480"/>
        <w:rPr>
          <w:rFonts w:hint="eastAsia" w:ascii="宋体" w:hAnsi="宋体"/>
        </w:rPr>
      </w:pPr>
      <w:r>
        <w:t>4</w:t>
      </w:r>
      <w:r>
        <w:rPr>
          <w:rFonts w:hint="eastAsia" w:ascii="宋体" w:hAnsi="宋体"/>
        </w:rPr>
        <w:t>）结构简单，操作方便，占地面积小；</w:t>
      </w:r>
    </w:p>
    <w:p w14:paraId="3E754C2D">
      <w:pPr>
        <w:pStyle w:val="281"/>
        <w:ind w:firstLine="480"/>
        <w:rPr>
          <w:rFonts w:hint="eastAsia" w:ascii="宋体" w:hAnsi="宋体"/>
          <w:lang w:val="de-DE"/>
        </w:rPr>
      </w:pPr>
      <w:r>
        <w:t>5</w:t>
      </w:r>
      <w:r>
        <w:rPr>
          <w:rFonts w:hint="eastAsia" w:ascii="宋体" w:hAnsi="宋体"/>
        </w:rPr>
        <w:t>）捕集的干粉尘便于回收利用，没有水污染及污泥处理等问题。</w:t>
      </w:r>
    </w:p>
    <w:p w14:paraId="34F833E3">
      <w:pPr>
        <w:pStyle w:val="64"/>
        <w:spacing w:after="0" w:line="360" w:lineRule="auto"/>
        <w:ind w:left="0" w:leftChars="0" w:firstLine="480"/>
        <w:rPr>
          <w:color w:val="auto"/>
          <w:sz w:val="24"/>
        </w:rPr>
      </w:pPr>
      <w:r>
        <w:rPr>
          <w:rFonts w:hint="eastAsia" w:ascii="宋体" w:hAnsi="宋体"/>
          <w:color w:val="auto"/>
          <w:sz w:val="24"/>
        </w:rPr>
        <w:t>③</w:t>
      </w:r>
      <w:r>
        <w:rPr>
          <w:rFonts w:hint="eastAsia"/>
          <w:color w:val="auto"/>
          <w:sz w:val="24"/>
        </w:rPr>
        <w:t>适用范围</w:t>
      </w:r>
    </w:p>
    <w:p w14:paraId="30EB67A1">
      <w:pPr>
        <w:pStyle w:val="64"/>
        <w:spacing w:after="0" w:line="360" w:lineRule="auto"/>
        <w:ind w:left="0" w:leftChars="0" w:firstLine="480"/>
        <w:rPr>
          <w:color w:val="auto"/>
          <w:sz w:val="24"/>
        </w:rPr>
      </w:pPr>
      <w:r>
        <w:rPr>
          <w:color w:val="auto"/>
          <w:sz w:val="24"/>
        </w:rPr>
        <w:t>根据《袋式除尘器通用技术规范》（HJ 2020-2012），袋式除尘器工艺适用于各种风量下的含尘气体净化。以下场合和要求下应优先采用袋式除尘工艺：</w:t>
      </w:r>
    </w:p>
    <w:p w14:paraId="51F34EFF">
      <w:pPr>
        <w:pStyle w:val="64"/>
        <w:spacing w:after="0" w:line="360" w:lineRule="auto"/>
        <w:ind w:left="0" w:leftChars="0" w:firstLine="480"/>
        <w:rPr>
          <w:color w:val="auto"/>
          <w:sz w:val="24"/>
        </w:rPr>
      </w:pPr>
      <w:r>
        <w:rPr>
          <w:rFonts w:hint="eastAsia"/>
          <w:color w:val="auto"/>
          <w:sz w:val="24"/>
        </w:rPr>
        <w:t>1）</w:t>
      </w:r>
      <w:r>
        <w:rPr>
          <w:color w:val="auto"/>
          <w:sz w:val="24"/>
        </w:rPr>
        <w:t>粉尘排放浓度限值&lt;30mg/m</w:t>
      </w:r>
      <w:r>
        <w:rPr>
          <w:color w:val="auto"/>
          <w:sz w:val="24"/>
          <w:vertAlign w:val="superscript"/>
        </w:rPr>
        <w:t>3</w:t>
      </w:r>
      <w:r>
        <w:rPr>
          <w:color w:val="auto"/>
          <w:sz w:val="24"/>
        </w:rPr>
        <w:t>（标态干排气）</w:t>
      </w:r>
    </w:p>
    <w:p w14:paraId="7E2A7FB9">
      <w:pPr>
        <w:pStyle w:val="64"/>
        <w:spacing w:after="0" w:line="360" w:lineRule="auto"/>
        <w:ind w:left="0" w:leftChars="0" w:firstLine="480"/>
        <w:rPr>
          <w:color w:val="auto"/>
          <w:sz w:val="24"/>
        </w:rPr>
      </w:pPr>
      <w:r>
        <w:rPr>
          <w:color w:val="auto"/>
          <w:sz w:val="24"/>
        </w:rPr>
        <w:t>2</w:t>
      </w:r>
      <w:r>
        <w:rPr>
          <w:rFonts w:hint="eastAsia"/>
          <w:color w:val="auto"/>
          <w:sz w:val="24"/>
        </w:rPr>
        <w:t>）高效捕集微细粒子</w:t>
      </w:r>
    </w:p>
    <w:p w14:paraId="3F72DC69">
      <w:pPr>
        <w:pStyle w:val="64"/>
        <w:spacing w:after="0" w:line="360" w:lineRule="auto"/>
        <w:ind w:left="0" w:leftChars="0" w:firstLine="480"/>
        <w:rPr>
          <w:color w:val="auto"/>
          <w:sz w:val="24"/>
        </w:rPr>
      </w:pPr>
      <w:r>
        <w:rPr>
          <w:color w:val="auto"/>
          <w:sz w:val="24"/>
        </w:rPr>
        <w:t>3</w:t>
      </w:r>
      <w:r>
        <w:rPr>
          <w:rFonts w:hint="eastAsia"/>
          <w:color w:val="auto"/>
          <w:sz w:val="24"/>
        </w:rPr>
        <w:t>）含尘空气的净化</w:t>
      </w:r>
    </w:p>
    <w:p w14:paraId="347E79E4">
      <w:pPr>
        <w:pStyle w:val="64"/>
        <w:spacing w:after="0" w:line="360" w:lineRule="auto"/>
        <w:ind w:left="0" w:leftChars="0" w:firstLine="480"/>
        <w:rPr>
          <w:color w:val="auto"/>
          <w:sz w:val="24"/>
        </w:rPr>
      </w:pPr>
      <w:r>
        <w:rPr>
          <w:color w:val="auto"/>
          <w:sz w:val="24"/>
        </w:rPr>
        <w:t>4</w:t>
      </w:r>
      <w:r>
        <w:rPr>
          <w:rFonts w:hint="eastAsia"/>
          <w:color w:val="auto"/>
          <w:sz w:val="24"/>
        </w:rPr>
        <w:t>）炉窑烟气的净化</w:t>
      </w:r>
    </w:p>
    <w:p w14:paraId="7317002F">
      <w:pPr>
        <w:pStyle w:val="64"/>
        <w:spacing w:after="0" w:line="360" w:lineRule="auto"/>
        <w:ind w:left="0" w:leftChars="0" w:firstLine="480"/>
        <w:rPr>
          <w:color w:val="auto"/>
          <w:sz w:val="24"/>
        </w:rPr>
      </w:pPr>
      <w:r>
        <w:rPr>
          <w:color w:val="auto"/>
          <w:sz w:val="24"/>
        </w:rPr>
        <w:t>5</w:t>
      </w:r>
      <w:r>
        <w:rPr>
          <w:rFonts w:hint="eastAsia"/>
          <w:color w:val="auto"/>
          <w:sz w:val="24"/>
        </w:rPr>
        <w:t>）粉尘具有回收价值，可综合利用</w:t>
      </w:r>
    </w:p>
    <w:p w14:paraId="546EFB8A">
      <w:pPr>
        <w:pStyle w:val="64"/>
        <w:spacing w:after="0" w:line="360" w:lineRule="auto"/>
        <w:ind w:left="0" w:leftChars="0" w:firstLine="480"/>
        <w:rPr>
          <w:color w:val="auto"/>
          <w:sz w:val="24"/>
        </w:rPr>
      </w:pPr>
      <w:r>
        <w:rPr>
          <w:color w:val="auto"/>
          <w:sz w:val="24"/>
        </w:rPr>
        <w:t>6</w:t>
      </w:r>
      <w:r>
        <w:rPr>
          <w:rFonts w:hint="eastAsia"/>
          <w:color w:val="auto"/>
          <w:sz w:val="24"/>
        </w:rPr>
        <w:t>）水资源缺乏或严寒地区</w:t>
      </w:r>
    </w:p>
    <w:p w14:paraId="40B4CFB3">
      <w:pPr>
        <w:pStyle w:val="64"/>
        <w:spacing w:after="0" w:line="360" w:lineRule="auto"/>
        <w:ind w:left="0" w:leftChars="0" w:firstLine="480"/>
        <w:rPr>
          <w:color w:val="auto"/>
          <w:sz w:val="24"/>
        </w:rPr>
      </w:pPr>
      <w:r>
        <w:rPr>
          <w:color w:val="auto"/>
          <w:sz w:val="24"/>
        </w:rPr>
        <w:t>7</w:t>
      </w:r>
      <w:r>
        <w:rPr>
          <w:rFonts w:hint="eastAsia"/>
          <w:color w:val="auto"/>
          <w:sz w:val="24"/>
        </w:rPr>
        <w:t>）垃圾焚烧烟气净化</w:t>
      </w:r>
    </w:p>
    <w:p w14:paraId="7390D573">
      <w:pPr>
        <w:pStyle w:val="64"/>
        <w:spacing w:after="0" w:line="360" w:lineRule="auto"/>
        <w:ind w:left="0" w:leftChars="0" w:firstLine="480"/>
        <w:rPr>
          <w:color w:val="auto"/>
          <w:sz w:val="24"/>
        </w:rPr>
      </w:pPr>
      <w:r>
        <w:rPr>
          <w:color w:val="auto"/>
          <w:sz w:val="24"/>
        </w:rPr>
        <w:t>8</w:t>
      </w:r>
      <w:r>
        <w:rPr>
          <w:rFonts w:hint="eastAsia"/>
          <w:color w:val="auto"/>
          <w:sz w:val="24"/>
        </w:rPr>
        <w:t>）高比电阻粉尘或粉尘浓度波动较大</w:t>
      </w:r>
    </w:p>
    <w:p w14:paraId="16598B4D">
      <w:pPr>
        <w:pStyle w:val="64"/>
        <w:spacing w:after="0" w:line="360" w:lineRule="auto"/>
        <w:ind w:left="0" w:leftChars="0" w:firstLine="480"/>
        <w:rPr>
          <w:color w:val="auto"/>
          <w:sz w:val="24"/>
        </w:rPr>
      </w:pPr>
      <w:r>
        <w:rPr>
          <w:color w:val="auto"/>
          <w:sz w:val="24"/>
        </w:rPr>
        <w:t>9</w:t>
      </w:r>
      <w:r>
        <w:rPr>
          <w:rFonts w:hint="eastAsia"/>
          <w:color w:val="auto"/>
          <w:sz w:val="24"/>
        </w:rPr>
        <w:t>）净化后气体循环利用</w:t>
      </w:r>
    </w:p>
    <w:p w14:paraId="0441B975">
      <w:pPr>
        <w:pStyle w:val="64"/>
        <w:spacing w:after="0" w:line="360" w:lineRule="auto"/>
        <w:ind w:left="0" w:leftChars="0" w:firstLine="480"/>
        <w:rPr>
          <w:color w:val="auto"/>
          <w:sz w:val="24"/>
        </w:rPr>
      </w:pPr>
      <w:r>
        <w:rPr>
          <w:rFonts w:hint="eastAsia" w:ascii="宋体" w:hAnsi="宋体"/>
          <w:color w:val="auto"/>
          <w:sz w:val="24"/>
        </w:rPr>
        <w:t>④</w:t>
      </w:r>
      <w:r>
        <w:rPr>
          <w:color w:val="auto"/>
          <w:sz w:val="24"/>
        </w:rPr>
        <w:t>性能参数</w:t>
      </w:r>
    </w:p>
    <w:p w14:paraId="68745E9F">
      <w:pPr>
        <w:pStyle w:val="64"/>
        <w:spacing w:after="0" w:line="360" w:lineRule="auto"/>
        <w:ind w:left="0" w:leftChars="0" w:firstLine="480"/>
        <w:rPr>
          <w:color w:val="auto"/>
          <w:sz w:val="24"/>
        </w:rPr>
      </w:pPr>
      <w:r>
        <w:rPr>
          <w:color w:val="auto"/>
          <w:sz w:val="24"/>
        </w:rPr>
        <w:t>布袋除尘器的滤袋、滤袋框架、电磁脉冲阀、覆膜滤料等需要满足环境保护产品技术要求，烟尘捕集效率≥99.8%，设备阻力＜1200Pa，过滤速度≥1.0m/min，滤袋寿命≥3年，烟尘排放浓度低于20mg/Nm</w:t>
      </w:r>
      <w:r>
        <w:rPr>
          <w:color w:val="auto"/>
          <w:sz w:val="24"/>
          <w:vertAlign w:val="superscript"/>
        </w:rPr>
        <w:t>3</w:t>
      </w:r>
      <w:r>
        <w:rPr>
          <w:color w:val="auto"/>
          <w:sz w:val="24"/>
        </w:rPr>
        <w:t>。</w:t>
      </w:r>
    </w:p>
    <w:p w14:paraId="535EDE8A">
      <w:pPr>
        <w:pStyle w:val="64"/>
        <w:spacing w:after="0" w:line="360" w:lineRule="auto"/>
        <w:ind w:left="0" w:leftChars="0" w:firstLine="480"/>
        <w:rPr>
          <w:color w:val="auto"/>
          <w:sz w:val="24"/>
        </w:rPr>
      </w:pPr>
      <w:r>
        <w:rPr>
          <w:rFonts w:hint="eastAsia" w:ascii="宋体" w:hAnsi="宋体"/>
          <w:color w:val="auto"/>
          <w:sz w:val="24"/>
        </w:rPr>
        <w:t>⑤</w:t>
      </w:r>
      <w:r>
        <w:rPr>
          <w:color w:val="auto"/>
          <w:sz w:val="24"/>
        </w:rPr>
        <w:t>可行性</w:t>
      </w:r>
    </w:p>
    <w:p w14:paraId="798C39BB">
      <w:pPr>
        <w:pStyle w:val="281"/>
        <w:ind w:firstLine="480"/>
        <w:rPr>
          <w:rFonts w:hint="eastAsia" w:ascii="宋体" w:hAnsi="宋体"/>
        </w:rPr>
      </w:pPr>
      <w:r>
        <w:rPr>
          <w:rFonts w:hint="eastAsia" w:ascii="宋体" w:hAnsi="宋体"/>
        </w:rPr>
        <w:t>项目原辅料及中间产品的粒径大于</w:t>
      </w:r>
      <w:r>
        <w:t>3μm</w:t>
      </w:r>
      <w:r>
        <w:rPr>
          <w:rFonts w:hint="eastAsia" w:ascii="宋体" w:hAnsi="宋体"/>
        </w:rPr>
        <w:t>，对照上图</w:t>
      </w:r>
      <w:r>
        <w:t>6.2-1</w:t>
      </w:r>
      <w:r>
        <w:rPr>
          <w:rFonts w:hint="eastAsia" w:ascii="宋体" w:hAnsi="宋体"/>
        </w:rPr>
        <w:t>，使用布袋除尘器除尘效率可达到</w:t>
      </w:r>
      <w:r>
        <w:t>99%</w:t>
      </w:r>
      <w:r>
        <w:rPr>
          <w:rFonts w:hint="eastAsia" w:ascii="宋体" w:hAnsi="宋体"/>
        </w:rPr>
        <w:t>以上，因此，选用袋式除尘器适合本项目含尘尾气的处理，符合《袋式除尘器通用技术规范》（</w:t>
      </w:r>
      <w:r>
        <w:t>HJ2020-2012</w:t>
      </w:r>
      <w:r>
        <w:rPr>
          <w:rFonts w:hint="eastAsia" w:ascii="宋体" w:hAnsi="宋体"/>
        </w:rPr>
        <w:t>）的要求，粉尘排放浓度满足相关排放标准要求，经济上合理，技术是可行的。</w:t>
      </w:r>
    </w:p>
    <w:p w14:paraId="138FC6D4">
      <w:pPr>
        <w:pStyle w:val="951"/>
      </w:pPr>
      <w:bookmarkStart w:id="386" w:name="_Hlk150622488"/>
      <w:r>
        <w:rPr>
          <w:rFonts w:hint="eastAsia"/>
        </w:rPr>
        <w:t>无组织粉尘治理措施</w:t>
      </w:r>
    </w:p>
    <w:p w14:paraId="0DCB6B4A">
      <w:pPr>
        <w:pStyle w:val="281"/>
        <w:ind w:firstLine="480"/>
      </w:pPr>
      <w:bookmarkStart w:id="387" w:name="_Hlk193183210"/>
      <w:bookmarkStart w:id="388" w:name="_Hlk177900147"/>
      <w:r>
        <w:rPr>
          <w:rFonts w:hint="eastAsia"/>
        </w:rPr>
        <w:t>（</w:t>
      </w:r>
      <w:r>
        <w:t>1</w:t>
      </w:r>
      <w:r>
        <w:rPr>
          <w:rFonts w:hint="eastAsia"/>
        </w:rPr>
        <w:t>）煤炭储运系统粉尘控制措施</w:t>
      </w:r>
    </w:p>
    <w:p w14:paraId="4FDFB92B">
      <w:pPr>
        <w:pStyle w:val="281"/>
        <w:ind w:firstLine="480"/>
      </w:pPr>
      <w:bookmarkStart w:id="389" w:name="OLE_LINK163"/>
      <w:bookmarkStart w:id="390" w:name="OLE_LINK164"/>
      <w:r>
        <w:fldChar w:fldCharType="begin"/>
      </w:r>
      <w:r>
        <w:instrText xml:space="preserve"> = 1 \* GB3 </w:instrText>
      </w:r>
      <w:r>
        <w:fldChar w:fldCharType="separate"/>
      </w:r>
      <w:r>
        <w:rPr>
          <w:rFonts w:hint="eastAsia" w:ascii="宋体" w:hAnsi="宋体"/>
        </w:rPr>
        <w:t>①</w:t>
      </w:r>
      <w:r>
        <w:fldChar w:fldCharType="end"/>
      </w:r>
      <w:r>
        <w:rPr>
          <w:rFonts w:hint="eastAsia"/>
        </w:rPr>
        <w:t>设置封闭式煤仓储存煤炭，并仓顶配备袋式除尘器。</w:t>
      </w:r>
    </w:p>
    <w:p w14:paraId="54CF84CE">
      <w:pPr>
        <w:pStyle w:val="281"/>
        <w:ind w:firstLine="480"/>
      </w:pPr>
      <w:r>
        <w:fldChar w:fldCharType="begin"/>
      </w:r>
      <w:r>
        <w:instrText xml:space="preserve"> = 2 \* GB3 </w:instrText>
      </w:r>
      <w:r>
        <w:fldChar w:fldCharType="separate"/>
      </w:r>
      <w:r>
        <w:rPr>
          <w:rFonts w:hint="eastAsia" w:ascii="宋体" w:hAnsi="宋体"/>
        </w:rPr>
        <w:t>②</w:t>
      </w:r>
      <w:r>
        <w:fldChar w:fldCharType="end"/>
      </w:r>
      <w:r>
        <w:rPr>
          <w:rFonts w:hint="eastAsia"/>
        </w:rPr>
        <w:t>煤炭输送采用封闭式输煤栈桥，转运站产生的粉尘进行密闭收集后经布袋除尘处理。</w:t>
      </w:r>
    </w:p>
    <w:bookmarkEnd w:id="387"/>
    <w:bookmarkEnd w:id="389"/>
    <w:p w14:paraId="3826B90A">
      <w:pPr>
        <w:pStyle w:val="281"/>
        <w:ind w:firstLine="480"/>
      </w:pPr>
      <w:r>
        <w:fldChar w:fldCharType="begin"/>
      </w:r>
      <w:r>
        <w:instrText xml:space="preserve"> = 3 \* GB3 </w:instrText>
      </w:r>
      <w:r>
        <w:fldChar w:fldCharType="separate"/>
      </w:r>
      <w:r>
        <w:rPr>
          <w:rFonts w:hint="eastAsia" w:ascii="宋体" w:hAnsi="宋体"/>
        </w:rPr>
        <w:t>③</w:t>
      </w:r>
      <w:r>
        <w:fldChar w:fldCharType="end"/>
      </w:r>
      <w:r>
        <w:rPr>
          <w:rFonts w:hint="eastAsia"/>
        </w:rPr>
        <w:t>原煤在筛分、破碎、转载过程中易产生煤尘，设计在原煤转载处及原煤落煤点设有袋式除尘器及微动力输送。</w:t>
      </w:r>
    </w:p>
    <w:p w14:paraId="4095852E">
      <w:pPr>
        <w:pStyle w:val="281"/>
        <w:ind w:firstLine="480"/>
      </w:pPr>
      <w:r>
        <w:fldChar w:fldCharType="begin"/>
      </w:r>
      <w:r>
        <w:instrText xml:space="preserve"> = 4 \* GB3 </w:instrText>
      </w:r>
      <w:r>
        <w:fldChar w:fldCharType="separate"/>
      </w:r>
      <w:r>
        <w:rPr>
          <w:rFonts w:hint="eastAsia" w:ascii="宋体" w:hAnsi="宋体"/>
        </w:rPr>
        <w:t>④</w:t>
      </w:r>
      <w:r>
        <w:fldChar w:fldCharType="end"/>
      </w:r>
      <w:r>
        <w:rPr>
          <w:rFonts w:hint="eastAsia"/>
        </w:rPr>
        <w:t>在落差大的落煤管上设置缓冲锁气器，在扬尘点局部采用密闭罩，同时采用干式除尘器进行收尘净化。</w:t>
      </w:r>
    </w:p>
    <w:p w14:paraId="432319AA">
      <w:pPr>
        <w:pStyle w:val="281"/>
        <w:ind w:firstLine="480"/>
      </w:pPr>
      <w:r>
        <w:fldChar w:fldCharType="begin"/>
      </w:r>
      <w:r>
        <w:instrText xml:space="preserve"> = 5 \* GB3 </w:instrText>
      </w:r>
      <w:r>
        <w:fldChar w:fldCharType="separate"/>
      </w:r>
      <w:r>
        <w:rPr>
          <w:rFonts w:hint="eastAsia" w:ascii="宋体" w:hAnsi="宋体"/>
        </w:rPr>
        <w:t>⑤</w:t>
      </w:r>
      <w:r>
        <w:fldChar w:fldCharType="end"/>
      </w:r>
      <w:r>
        <w:rPr>
          <w:rFonts w:hint="eastAsia" w:ascii="宋体" w:hAnsi="宋体"/>
        </w:rPr>
        <w:t>对于输煤层地面撒落的粉尘污染，在主厂房运煤层设有水冲洗装置，冲洗后的污水汇集至沉淀池沉淀处理后回用。</w:t>
      </w:r>
    </w:p>
    <w:p w14:paraId="349C7470">
      <w:pPr>
        <w:pStyle w:val="281"/>
        <w:ind w:firstLine="480"/>
      </w:pPr>
      <w:r>
        <w:rPr>
          <w:rFonts w:hint="eastAsia"/>
        </w:rPr>
        <w:t>（</w:t>
      </w:r>
      <w:r>
        <w:t>2</w:t>
      </w:r>
      <w:r>
        <w:rPr>
          <w:rFonts w:hint="eastAsia"/>
        </w:rPr>
        <w:t>）除灰渣系统</w:t>
      </w:r>
    </w:p>
    <w:p w14:paraId="712BB2D1">
      <w:pPr>
        <w:pStyle w:val="281"/>
        <w:ind w:firstLine="480"/>
        <w:rPr>
          <w:kern w:val="2"/>
        </w:rPr>
      </w:pPr>
      <w:r>
        <w:rPr>
          <w:rFonts w:hint="eastAsia"/>
        </w:rPr>
        <w:t>煤气化装置设置封闭式灰仓、渣仓，并对产生的粉尘进行密闭收集后经袋式除尘器处理达标排放；灰、渣进行综合利用时采用密闭罐车装运，或对</w:t>
      </w:r>
      <w:r>
        <w:rPr>
          <w:rFonts w:hint="eastAsia"/>
          <w:kern w:val="2"/>
        </w:rPr>
        <w:t>灰渣进行适当加湿后装车外运，送一般固废填埋场进行填埋处理。</w:t>
      </w:r>
    </w:p>
    <w:p w14:paraId="3477FCBB">
      <w:pPr>
        <w:pStyle w:val="281"/>
        <w:ind w:firstLine="480"/>
      </w:pPr>
      <w:r>
        <w:rPr>
          <w:rFonts w:hint="eastAsia"/>
          <w:kern w:val="2"/>
        </w:rPr>
        <w:t>通过上述措施，可有效地减少项目产生过程中的粉尘排放量。</w:t>
      </w:r>
    </w:p>
    <w:bookmarkEnd w:id="386"/>
    <w:bookmarkEnd w:id="388"/>
    <w:bookmarkEnd w:id="390"/>
    <w:p w14:paraId="7A274EB2">
      <w:pPr>
        <w:pStyle w:val="98"/>
        <w:rPr>
          <w:rFonts w:hint="eastAsia"/>
          <w:color w:val="auto"/>
        </w:rPr>
      </w:pPr>
      <w:r>
        <w:rPr>
          <w:rFonts w:hint="eastAsia"/>
          <w:color w:val="auto"/>
        </w:rPr>
        <w:t>恶臭污染物控制措施</w:t>
      </w:r>
    </w:p>
    <w:p w14:paraId="51030EC7">
      <w:pPr>
        <w:pStyle w:val="281"/>
        <w:ind w:firstLine="480"/>
      </w:pPr>
      <w:r>
        <w:rPr>
          <w:rFonts w:hint="eastAsia"/>
        </w:rPr>
        <w:t>本项目产生恶臭物质主要为煤气化装置真闪不凝气、煤气化装置</w:t>
      </w:r>
      <w:r>
        <w:t>低闪不凝</w:t>
      </w:r>
      <w:r>
        <w:rPr>
          <w:rFonts w:hint="eastAsia"/>
        </w:rPr>
        <w:t>气、煤气化装置捞渣机放空气、煤气冷却单元汽提尾气、低温甲醇洗单元酸性气以及污水处理设施等。</w:t>
      </w:r>
    </w:p>
    <w:p w14:paraId="7D5ADBE7">
      <w:pPr>
        <w:pStyle w:val="281"/>
        <w:ind w:firstLine="199" w:firstLineChars="83"/>
      </w:pPr>
      <w:r>
        <w:rPr>
          <w:rFonts w:hint="eastAsia"/>
        </w:rPr>
        <w:t>工程设计中采取以下措施减少恶臭物质的排放：</w:t>
      </w:r>
    </w:p>
    <w:p w14:paraId="21B3378A">
      <w:pPr>
        <w:pStyle w:val="281"/>
        <w:ind w:firstLine="480"/>
      </w:pPr>
      <w:r>
        <w:rPr>
          <w:rFonts w:hint="eastAsia"/>
        </w:rPr>
        <w:t>（1）各工艺装置采用先进、可靠的工艺方案，生产过程为密闭运行，减少恶臭物质的散失。</w:t>
      </w:r>
    </w:p>
    <w:p w14:paraId="73665E1B">
      <w:pPr>
        <w:pStyle w:val="281"/>
        <w:ind w:firstLine="480"/>
      </w:pPr>
      <w:r>
        <w:rPr>
          <w:rFonts w:hint="eastAsia"/>
        </w:rPr>
        <w:t>（2）煤气化装置</w:t>
      </w:r>
      <w:r>
        <w:t>低闪不凝</w:t>
      </w:r>
      <w:r>
        <w:rPr>
          <w:rFonts w:hint="eastAsia"/>
        </w:rPr>
        <w:t>气、低温甲醇洗单元酸性气送硫回收单元处置；</w:t>
      </w:r>
    </w:p>
    <w:p w14:paraId="39351BC2">
      <w:pPr>
        <w:pStyle w:val="281"/>
        <w:ind w:firstLine="480"/>
      </w:pPr>
      <w:r>
        <w:rPr>
          <w:rFonts w:hint="eastAsia"/>
        </w:rPr>
        <w:t>（3）煤气化装置真空泵排气经28m排气筒排入大气；排放速率满足</w:t>
      </w:r>
      <w:r>
        <w:rPr>
          <w:rFonts w:cs="Times New Roman"/>
          <w:szCs w:val="22"/>
        </w:rPr>
        <w:t>《</w:t>
      </w:r>
      <w:r>
        <w:rPr>
          <w:rFonts w:cs="Times New Roman"/>
        </w:rPr>
        <w:t>恶臭污染物排放标准》（GB14554-93）表2 恶臭污染物排放标准值</w:t>
      </w:r>
      <w:r>
        <w:rPr>
          <w:rFonts w:hint="eastAsia" w:cs="Times New Roman"/>
        </w:rPr>
        <w:t>（</w:t>
      </w:r>
      <w:r>
        <w:t>H</w:t>
      </w:r>
      <w:r>
        <w:rPr>
          <w:vertAlign w:val="subscript"/>
        </w:rPr>
        <w:t>2</w:t>
      </w:r>
      <w:r>
        <w:t>S</w:t>
      </w:r>
      <w:r>
        <w:rPr>
          <w:rFonts w:hint="eastAsia"/>
        </w:rPr>
        <w:t>排放速率0.33kg/h</w:t>
      </w:r>
      <w:r>
        <w:rPr>
          <w:rFonts w:hint="eastAsia" w:cs="Times New Roman"/>
        </w:rPr>
        <w:t>）。</w:t>
      </w:r>
    </w:p>
    <w:p w14:paraId="4576B552">
      <w:pPr>
        <w:pStyle w:val="281"/>
        <w:ind w:firstLine="480"/>
      </w:pPr>
      <w:r>
        <w:rPr>
          <w:rFonts w:hint="eastAsia"/>
        </w:rPr>
        <w:t>（4）污水处理站臭气处理</w:t>
      </w:r>
    </w:p>
    <w:p w14:paraId="7616EE71">
      <w:pPr>
        <w:pStyle w:val="281"/>
        <w:ind w:firstLine="480"/>
      </w:pPr>
      <w:r>
        <w:rPr>
          <w:rFonts w:hint="eastAsia" w:ascii="宋体" w:hAnsi="宋体"/>
        </w:rPr>
        <w:t>①</w:t>
      </w:r>
      <w:r>
        <w:rPr>
          <w:rFonts w:hint="eastAsia"/>
        </w:rPr>
        <w:t>处理措施</w:t>
      </w:r>
    </w:p>
    <w:p w14:paraId="68C65537">
      <w:pPr>
        <w:pStyle w:val="642"/>
        <w:rPr>
          <w:rFonts w:hint="eastAsia"/>
        </w:rPr>
      </w:pPr>
      <w:r>
        <w:rPr>
          <w:rFonts w:hint="eastAsia"/>
        </w:rPr>
        <w:t>恶臭废气通过收集后，进入</w:t>
      </w:r>
      <w:r>
        <w:t>碱洗塔</w:t>
      </w:r>
      <w:r>
        <w:rPr>
          <w:rFonts w:hint="eastAsia"/>
        </w:rPr>
        <w:t>，在洗涤过程液体吸收恶臭气体可溶性污染物。废气与洗涤液采用逆向吸收方式，液体自塔顶向下以雾状（或小液滴）喷洒而下，废气则由塔体（逆向流）使气液接触，部分水汽经过除雾填料后进行分离流入塔体底部。废气经碱洗塔塔顶进入水喷淋塔，</w:t>
      </w:r>
      <w:r>
        <w:t>进一步去除水溶性有机物</w:t>
      </w:r>
      <w:r>
        <w:rPr>
          <w:rFonts w:hint="eastAsia"/>
        </w:rPr>
        <w:t>及</w:t>
      </w:r>
      <w:r>
        <w:t>碱洗塔带出的碱液</w:t>
      </w:r>
      <w:r>
        <w:rPr>
          <w:rFonts w:hint="eastAsia"/>
        </w:rPr>
        <w:t>后，最终经</w:t>
      </w:r>
      <w:r>
        <w:t>生物除臭装置</w:t>
      </w:r>
      <w:r>
        <w:rPr>
          <w:rFonts w:hint="eastAsia"/>
        </w:rPr>
        <w:t>处理后外排。</w:t>
      </w:r>
    </w:p>
    <w:p w14:paraId="1BC01C0A">
      <w:pPr>
        <w:pStyle w:val="281"/>
        <w:ind w:firstLine="480"/>
      </w:pPr>
      <w:r>
        <w:rPr>
          <w:rFonts w:hint="eastAsia"/>
        </w:rPr>
        <w:t>根据《排污许可证申请与核发技术规范化肥工业-氮肥》（HJ864.1-2017）表6排污单位生产单元或设施废气治理可行技术参照表，污水处理厂废气收集处理设施（以煤或油为原料）尾气通过生物滴滤方式处理。本次污水处理站废气处理工艺为“碱洗+水洗+</w:t>
      </w:r>
      <w:r>
        <w:rPr>
          <w:rFonts w:ascii="宋体" w:hAnsi="宋体"/>
          <w:szCs w:val="24"/>
        </w:rPr>
        <w:t>生物除臭</w:t>
      </w:r>
      <w:r>
        <w:rPr>
          <w:rFonts w:hint="eastAsia"/>
        </w:rPr>
        <w:t>”，属于推荐的可行技术。</w:t>
      </w:r>
    </w:p>
    <w:p w14:paraId="3400652E">
      <w:pPr>
        <w:pStyle w:val="281"/>
        <w:ind w:firstLine="480"/>
      </w:pPr>
      <w:r>
        <w:rPr>
          <w:rFonts w:hint="eastAsia" w:ascii="宋体" w:hAnsi="宋体"/>
        </w:rPr>
        <w:t>②</w:t>
      </w:r>
      <w:r>
        <w:rPr>
          <w:rFonts w:hint="eastAsia"/>
        </w:rPr>
        <w:t>生物除臭原理</w:t>
      </w:r>
    </w:p>
    <w:p w14:paraId="0E365C5F">
      <w:pPr>
        <w:pStyle w:val="281"/>
        <w:ind w:firstLine="480"/>
        <w:rPr>
          <w:rFonts w:hint="eastAsia" w:ascii="宋体" w:hAnsi="宋体"/>
          <w:szCs w:val="24"/>
        </w:rPr>
      </w:pPr>
      <w:r>
        <w:rPr>
          <w:rFonts w:hint="eastAsia"/>
        </w:rPr>
        <w:t>生物过滤是使收集到的废气在适宜的条件下，通过长满微生物的固体载体（填料），气味物质先被填料吸收，然后被填料上的微生物氧化分解，完成废气的除臭过程。固体载体上生长的微生物承担了物质转换的任务，因为微生物生长需要足够的有机养分，所以固体载体必须具有高的有机成分。要使微生物保持高</w:t>
      </w:r>
      <w:r>
        <w:rPr>
          <w:rFonts w:hint="eastAsia" w:ascii="宋体" w:hAnsi="宋体"/>
          <w:szCs w:val="24"/>
        </w:rPr>
        <w:t>的活性，还必须为之创造一个良好的生存条件，比如：适宜的湿度、</w:t>
      </w:r>
      <w:r>
        <w:rPr>
          <w:szCs w:val="24"/>
        </w:rPr>
        <w:t>pH</w:t>
      </w:r>
      <w:r>
        <w:rPr>
          <w:rFonts w:hint="eastAsia" w:ascii="宋体" w:hAnsi="宋体"/>
          <w:szCs w:val="24"/>
        </w:rPr>
        <w:t>值、氧气含量、温度和营养成分等。环境条件变化会影响微生物的生长繁殖，因此在试运行时或改变工况时要考虑生物过滤池会有一个适应期。</w:t>
      </w:r>
    </w:p>
    <w:p w14:paraId="56826700">
      <w:pPr>
        <w:pStyle w:val="281"/>
        <w:ind w:firstLine="480"/>
      </w:pPr>
      <w:r>
        <w:rPr>
          <w:rFonts w:hint="eastAsia" w:ascii="宋体" w:hAnsi="宋体"/>
          <w:szCs w:val="24"/>
        </w:rPr>
        <w:t>生物过滤池的最主要部分是填料。一种好的填料必须满足：容许生长的微生物种类多；供微生物生长的表面积大；营养成分合理（</w:t>
      </w:r>
      <w:r>
        <w:rPr>
          <w:szCs w:val="24"/>
        </w:rPr>
        <w:t>N</w:t>
      </w:r>
      <w:r>
        <w:rPr>
          <w:rFonts w:hint="eastAsia" w:ascii="宋体" w:hAnsi="宋体"/>
          <w:szCs w:val="24"/>
        </w:rPr>
        <w:t>、</w:t>
      </w:r>
      <w:r>
        <w:rPr>
          <w:szCs w:val="24"/>
        </w:rPr>
        <w:t>P</w:t>
      </w:r>
      <w:r>
        <w:rPr>
          <w:rFonts w:hint="eastAsia" w:ascii="宋体" w:hAnsi="宋体"/>
          <w:szCs w:val="24"/>
        </w:rPr>
        <w:t>、</w:t>
      </w:r>
      <w:r>
        <w:rPr>
          <w:szCs w:val="24"/>
        </w:rPr>
        <w:t>K</w:t>
      </w:r>
      <w:r>
        <w:rPr>
          <w:rFonts w:hint="eastAsia" w:ascii="宋体" w:hAnsi="宋体"/>
          <w:szCs w:val="24"/>
        </w:rPr>
        <w:t>和痕量元素）；吸水性好；自身的气味少；吸附性好；结构均匀孔隙率大；价格便宜；腐烂慢（运行时间长、养护周期长）。单成分填料一般只满足上述的部分要求，配方合适的多成分混合物可以较全面地满足要求。填料采用干树皮、干草、纤维性泥炭或其混合物。由于填料本身是有机养分，当过滤池暂停运行时，微生物可以利用填料的有机成分继续维持生命活动。过滤池填料的堆放高度取决于所要求的停留时间和表面负荷。工程上填料高度一般为</w:t>
      </w:r>
      <w:r>
        <w:rPr>
          <w:szCs w:val="24"/>
        </w:rPr>
        <w:t>1.0</w:t>
      </w:r>
      <w:r>
        <w:rPr>
          <w:rFonts w:hint="eastAsia" w:ascii="宋体" w:hAnsi="宋体"/>
          <w:szCs w:val="24"/>
        </w:rPr>
        <w:t>～</w:t>
      </w:r>
      <w:r>
        <w:rPr>
          <w:szCs w:val="24"/>
        </w:rPr>
        <w:t>1.2</w:t>
      </w:r>
      <w:r>
        <w:rPr>
          <w:rFonts w:hint="eastAsia" w:ascii="宋体" w:hAnsi="宋体"/>
          <w:szCs w:val="24"/>
        </w:rPr>
        <w:t>米。如果选择的填料合适，工艺上能做到</w:t>
      </w:r>
      <w:r>
        <w:rPr>
          <w:szCs w:val="24"/>
        </w:rPr>
        <w:t>布气均匀、排除气流短路的话，最低高度可以为0.5米。经过几年运行后，填料的最终高度约为初始堆放高度的60%。</w:t>
      </w:r>
    </w:p>
    <w:p w14:paraId="63B65792">
      <w:pPr>
        <w:pStyle w:val="281"/>
        <w:ind w:firstLine="480"/>
      </w:pPr>
      <w:r>
        <w:rPr>
          <w:rFonts w:hint="eastAsia" w:ascii="宋体" w:hAnsi="宋体"/>
        </w:rPr>
        <w:t>③</w:t>
      </w:r>
      <w:r>
        <w:rPr>
          <w:szCs w:val="24"/>
        </w:rPr>
        <w:t>生物除臭实例</w:t>
      </w:r>
    </w:p>
    <w:p w14:paraId="654A5D72">
      <w:pPr>
        <w:pStyle w:val="281"/>
        <w:ind w:firstLine="480"/>
        <w:rPr>
          <w:rFonts w:hint="eastAsia" w:ascii="宋体" w:hAnsi="宋体"/>
        </w:rPr>
      </w:pPr>
      <w:r>
        <w:rPr>
          <w:rFonts w:hint="eastAsia" w:ascii="宋体" w:hAnsi="宋体"/>
        </w:rPr>
        <w:t>本次环评调查了中国石油庆阳石化公司污水处理厂废气产排情况。</w:t>
      </w:r>
    </w:p>
    <w:p w14:paraId="70EFBD58">
      <w:pPr>
        <w:pStyle w:val="281"/>
        <w:ind w:firstLine="480"/>
      </w:pPr>
      <w:r>
        <w:t>中国石油庆阳石化公司采用高效生物滤池系统处理炼油污水产生的臭气。处理后总风量10314m</w:t>
      </w:r>
      <w:r>
        <w:rPr>
          <w:vertAlign w:val="superscript"/>
        </w:rPr>
        <w:t>3</w:t>
      </w:r>
      <w:r>
        <w:t>/h，设计处理风量10000m</w:t>
      </w:r>
      <w:r>
        <w:rPr>
          <w:vertAlign w:val="superscript"/>
        </w:rPr>
        <w:t>3</w:t>
      </w:r>
      <w:r>
        <w:t>/h，自2010年10月15日起运行至今。根据监测结果，NH</w:t>
      </w:r>
      <w:r>
        <w:rPr>
          <w:vertAlign w:val="subscript"/>
        </w:rPr>
        <w:t>3</w:t>
      </w:r>
      <w:r>
        <w:t>的</w:t>
      </w:r>
      <w:r>
        <w:rPr>
          <w:rFonts w:hint="eastAsia"/>
        </w:rPr>
        <w:t>产生</w:t>
      </w:r>
      <w:r>
        <w:t>浓度在13-16 mg/m</w:t>
      </w:r>
      <w:r>
        <w:rPr>
          <w:vertAlign w:val="superscript"/>
        </w:rPr>
        <w:t>3</w:t>
      </w:r>
      <w:r>
        <w:t>，排放浓度为0.8-1.1mg/m</w:t>
      </w:r>
      <w:r>
        <w:rPr>
          <w:vertAlign w:val="superscript"/>
        </w:rPr>
        <w:t>3</w:t>
      </w:r>
      <w:r>
        <w:t>，H</w:t>
      </w:r>
      <w:r>
        <w:rPr>
          <w:vertAlign w:val="subscript"/>
        </w:rPr>
        <w:t>2</w:t>
      </w:r>
      <w:r>
        <w:t>S的</w:t>
      </w:r>
      <w:r>
        <w:rPr>
          <w:rFonts w:hint="eastAsia"/>
        </w:rPr>
        <w:t>产生</w:t>
      </w:r>
      <w:r>
        <w:t>浓度在36-45mg/m</w:t>
      </w:r>
      <w:r>
        <w:rPr>
          <w:vertAlign w:val="superscript"/>
        </w:rPr>
        <w:t>3</w:t>
      </w:r>
      <w:r>
        <w:t>，排放浓度为0.02-0.04mg/m</w:t>
      </w:r>
      <w:r>
        <w:rPr>
          <w:vertAlign w:val="superscript"/>
        </w:rPr>
        <w:t>3</w:t>
      </w:r>
      <w:r>
        <w:t>。</w:t>
      </w:r>
    </w:p>
    <w:p w14:paraId="383FDE7E">
      <w:pPr>
        <w:pStyle w:val="281"/>
        <w:ind w:firstLine="480"/>
      </w:pPr>
      <w:r>
        <w:rPr>
          <w:rFonts w:hint="eastAsia" w:ascii="宋体" w:hAnsi="宋体"/>
        </w:rPr>
        <w:t>本项目拟采用的生物过滤除臭技术成熟、可靠，投资低，处理过程洁净，不产生二次污染，从国内目前普遍应用的实例和技术经济可行性来看，较适合本项目的污水处理站的除臭处理，技术可行。</w:t>
      </w:r>
    </w:p>
    <w:p w14:paraId="054755A1">
      <w:pPr>
        <w:pStyle w:val="98"/>
        <w:rPr>
          <w:rFonts w:hint="eastAsia"/>
          <w:color w:val="auto"/>
        </w:rPr>
      </w:pPr>
      <w:bookmarkStart w:id="391" w:name="_Hlk150622520"/>
      <w:r>
        <w:rPr>
          <w:rFonts w:hint="eastAsia"/>
          <w:color w:val="auto"/>
        </w:rPr>
        <w:t>挥发性有机物</w:t>
      </w:r>
      <w:r>
        <w:rPr>
          <w:color w:val="auto"/>
        </w:rPr>
        <w:t>治理措施</w:t>
      </w:r>
    </w:p>
    <w:p w14:paraId="1CACAA67">
      <w:pPr>
        <w:pStyle w:val="281"/>
        <w:ind w:firstLine="480"/>
      </w:pPr>
      <w:bookmarkStart w:id="392" w:name="_Hlk193185270"/>
      <w:bookmarkStart w:id="393" w:name="_Hlk98239627"/>
      <w:r>
        <w:rPr>
          <w:rFonts w:hint="eastAsia"/>
        </w:rPr>
        <w:t>本项目有组织的有机废气回收后，作为燃料气使用。本次评价对有机废气入炉燃烧提出如下安全措施：在入炉燃气管线安装压力调节设施，分别设有燃气压力低低、高高时报警联锁停炉；燃烧器进风管道上设有风压低低报警联锁停炉、同时根据火检信号均设有点火自动控制及熄火保护联锁停炉系统；各加热炉等附近设置可燃气体检测器，以实现对燃料气泄漏量的监控、报警。</w:t>
      </w:r>
    </w:p>
    <w:bookmarkEnd w:id="392"/>
    <w:p w14:paraId="2711EBA4">
      <w:pPr>
        <w:pStyle w:val="281"/>
        <w:ind w:firstLine="480"/>
      </w:pPr>
      <w:r>
        <w:rPr>
          <w:rFonts w:hint="eastAsia"/>
        </w:rPr>
        <w:t>本项目挥发性有机物无组织排放控制措施遵循源头和过程控制与末端治理相结合的综合防治原则。</w:t>
      </w:r>
    </w:p>
    <w:p w14:paraId="7589AB39">
      <w:pPr>
        <w:pStyle w:val="951"/>
      </w:pPr>
      <w:r>
        <w:rPr>
          <w:rFonts w:hint="eastAsia"/>
        </w:rPr>
        <w:t>工艺过程无组织排放控制</w:t>
      </w:r>
    </w:p>
    <w:p w14:paraId="3D7A8FD6">
      <w:pPr>
        <w:pStyle w:val="626"/>
        <w:ind w:firstLine="480"/>
        <w:rPr>
          <w:rFonts w:ascii="Times New Roman" w:hAnsi="Times New Roman" w:eastAsia="宋体"/>
        </w:rPr>
      </w:pPr>
      <w:r>
        <w:rPr>
          <w:rFonts w:hint="eastAsia" w:ascii="Times New Roman" w:hAnsi="Times New Roman" w:eastAsia="宋体"/>
        </w:rPr>
        <w:t>本项目生产过程中实施的挥发性有机物排放控制措施见下表。</w:t>
      </w:r>
    </w:p>
    <w:p w14:paraId="21ECCE66">
      <w:pPr>
        <w:pStyle w:val="645"/>
        <w:rPr>
          <w:rFonts w:hint="eastAsia"/>
        </w:rPr>
      </w:pPr>
      <w:r>
        <w:rPr>
          <w:rFonts w:hint="eastAsia"/>
        </w:rPr>
        <w:t>表6.2.1-1  本项目工艺过程无组织排放控制与GB37822控制要求相符性</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5386"/>
        <w:gridCol w:w="1564"/>
      </w:tblGrid>
      <w:tr w14:paraId="1DAE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gridSpan w:val="2"/>
            <w:vAlign w:val="center"/>
          </w:tcPr>
          <w:p w14:paraId="14B6E7BD">
            <w:pPr>
              <w:pStyle w:val="557"/>
            </w:pPr>
            <w:r>
              <w:rPr>
                <w:rFonts w:hint="eastAsia"/>
              </w:rPr>
              <w:t>序号</w:t>
            </w:r>
          </w:p>
        </w:tc>
        <w:tc>
          <w:tcPr>
            <w:tcW w:w="5386" w:type="dxa"/>
            <w:vAlign w:val="center"/>
          </w:tcPr>
          <w:p w14:paraId="47E4F87B">
            <w:pPr>
              <w:pStyle w:val="557"/>
            </w:pPr>
            <w:r>
              <w:rPr>
                <w:rFonts w:hint="eastAsia"/>
              </w:rPr>
              <w:t>《挥发性有机物无组织排放控制标准》（GB37822-2019）基本要求</w:t>
            </w:r>
          </w:p>
        </w:tc>
        <w:tc>
          <w:tcPr>
            <w:tcW w:w="1564" w:type="dxa"/>
            <w:vAlign w:val="center"/>
          </w:tcPr>
          <w:p w14:paraId="361D50B7">
            <w:pPr>
              <w:pStyle w:val="557"/>
            </w:pPr>
            <w:r>
              <w:rPr>
                <w:rFonts w:hint="eastAsia"/>
              </w:rPr>
              <w:t>本项目</w:t>
            </w:r>
          </w:p>
        </w:tc>
      </w:tr>
      <w:tr w14:paraId="4225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restart"/>
            <w:vAlign w:val="center"/>
          </w:tcPr>
          <w:p w14:paraId="4118FD28">
            <w:pPr>
              <w:pStyle w:val="557"/>
            </w:pPr>
            <w:r>
              <w:rPr>
                <w:rFonts w:hint="eastAsia"/>
              </w:rPr>
              <w:t>工艺过程VOCs无组织排放控制要求</w:t>
            </w:r>
          </w:p>
        </w:tc>
        <w:tc>
          <w:tcPr>
            <w:tcW w:w="709" w:type="dxa"/>
            <w:vAlign w:val="center"/>
          </w:tcPr>
          <w:p w14:paraId="76B4B36E">
            <w:pPr>
              <w:pStyle w:val="557"/>
            </w:pPr>
            <w:r>
              <w:rPr>
                <w:rFonts w:hint="eastAsia"/>
              </w:rPr>
              <w:t>7.1.1</w:t>
            </w:r>
          </w:p>
        </w:tc>
        <w:tc>
          <w:tcPr>
            <w:tcW w:w="5386" w:type="dxa"/>
            <w:vAlign w:val="center"/>
          </w:tcPr>
          <w:p w14:paraId="0D54833E">
            <w:pPr>
              <w:pStyle w:val="557"/>
            </w:pPr>
            <w:r>
              <w:rPr>
                <w:rFonts w:hint="eastAsia"/>
              </w:rPr>
              <w:t>物料投加和卸放</w:t>
            </w:r>
          </w:p>
          <w:p w14:paraId="7E3B93CC">
            <w:pPr>
              <w:pStyle w:val="557"/>
            </w:pPr>
            <w:r>
              <w:rPr>
                <w:rFonts w:hint="eastAsia"/>
              </w:rPr>
              <w:t>a）液态VOCs 物料应采用密闭管道输送方式或采用高位槽（罐）、桶泵等给料方式密闭投加。无法密闭投加的，应在密闭空间内操作，或进行局部气体收集，废气应排至VOCs废气收集处理系统。</w:t>
            </w:r>
          </w:p>
          <w:p w14:paraId="4EA1F4BE">
            <w:pPr>
              <w:pStyle w:val="557"/>
            </w:pPr>
            <w:r>
              <w:rPr>
                <w:rFonts w:hint="eastAsia"/>
              </w:rPr>
              <w:t>b）粉状、粒状VOCs物料应采用气力输送方式或采用密闭固体投料器等给料方式密闭投加。无法密闭投加的，应在密闭空间内操作，或进行局部气体收集，废气应排至除尘设施、VOCs废气收集处理系统。</w:t>
            </w:r>
          </w:p>
          <w:p w14:paraId="3636EBC6">
            <w:pPr>
              <w:pStyle w:val="557"/>
            </w:pPr>
            <w:r>
              <w:rPr>
                <w:rFonts w:hint="eastAsia"/>
              </w:rPr>
              <w:t>c）VOCs物料卸（出、放）料过程应密闭，卸料废气应排至VOCs废气收集处理系统；无法密闭的，应采取局部气体收集措施，废气应排至VOCs废气收集处理系统。</w:t>
            </w:r>
          </w:p>
        </w:tc>
        <w:tc>
          <w:tcPr>
            <w:tcW w:w="1564" w:type="dxa"/>
            <w:vMerge w:val="restart"/>
            <w:vAlign w:val="center"/>
          </w:tcPr>
          <w:p w14:paraId="73FFE118">
            <w:pPr>
              <w:pStyle w:val="557"/>
            </w:pPr>
            <w:r>
              <w:rPr>
                <w:rFonts w:hint="eastAsia"/>
              </w:rPr>
              <w:t>a)本项目液态VOCs物料均采用密闭管道输送方式</w:t>
            </w:r>
          </w:p>
          <w:p w14:paraId="3A6B5193">
            <w:pPr>
              <w:pStyle w:val="557"/>
            </w:pPr>
            <w:r>
              <w:rPr>
                <w:rFonts w:hint="eastAsia"/>
              </w:rPr>
              <w:t>c)本项目VOCs物料卸(出、放)料过程采用密闭输送</w:t>
            </w:r>
          </w:p>
        </w:tc>
      </w:tr>
      <w:tr w14:paraId="751A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2DAD2162">
            <w:pPr>
              <w:pStyle w:val="557"/>
            </w:pPr>
          </w:p>
        </w:tc>
        <w:tc>
          <w:tcPr>
            <w:tcW w:w="709" w:type="dxa"/>
            <w:vAlign w:val="center"/>
          </w:tcPr>
          <w:p w14:paraId="65E68756">
            <w:pPr>
              <w:pStyle w:val="557"/>
            </w:pPr>
            <w:r>
              <w:rPr>
                <w:rFonts w:hint="eastAsia"/>
              </w:rPr>
              <w:t>7.1.2</w:t>
            </w:r>
          </w:p>
        </w:tc>
        <w:tc>
          <w:tcPr>
            <w:tcW w:w="5386" w:type="dxa"/>
            <w:vAlign w:val="center"/>
          </w:tcPr>
          <w:p w14:paraId="57E2ED2B">
            <w:pPr>
              <w:pStyle w:val="557"/>
            </w:pPr>
            <w:r>
              <w:rPr>
                <w:rFonts w:hint="eastAsia"/>
              </w:rPr>
              <w:t>化学反应</w:t>
            </w:r>
          </w:p>
          <w:p w14:paraId="37B17F49">
            <w:pPr>
              <w:pStyle w:val="557"/>
            </w:pPr>
            <w:r>
              <w:rPr>
                <w:rFonts w:hint="eastAsia"/>
              </w:rPr>
              <w:t>a)反应设备进料置换废气、挥发排气、反应尾气等应排至VOCs废气收集处理系统。</w:t>
            </w:r>
          </w:p>
          <w:p w14:paraId="2F6CE63E">
            <w:pPr>
              <w:pStyle w:val="557"/>
            </w:pPr>
            <w:r>
              <w:rPr>
                <w:rFonts w:hint="eastAsia"/>
              </w:rPr>
              <w:t>b)在反应期间，反应设备的进料口、出料口、检修口、搅拌口、观察孔等开口(孔)在不操作时应保持密闭。</w:t>
            </w:r>
          </w:p>
        </w:tc>
        <w:tc>
          <w:tcPr>
            <w:tcW w:w="1564" w:type="dxa"/>
            <w:vMerge w:val="continue"/>
            <w:vAlign w:val="center"/>
          </w:tcPr>
          <w:p w14:paraId="7FC9A060">
            <w:pPr>
              <w:pStyle w:val="557"/>
            </w:pPr>
          </w:p>
        </w:tc>
      </w:tr>
      <w:tr w14:paraId="5FC4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163FFB49">
            <w:pPr>
              <w:pStyle w:val="557"/>
            </w:pPr>
          </w:p>
        </w:tc>
        <w:tc>
          <w:tcPr>
            <w:tcW w:w="709" w:type="dxa"/>
            <w:vAlign w:val="center"/>
          </w:tcPr>
          <w:p w14:paraId="2F97EE92">
            <w:pPr>
              <w:pStyle w:val="557"/>
            </w:pPr>
            <w:r>
              <w:rPr>
                <w:rFonts w:hint="eastAsia"/>
              </w:rPr>
              <w:t>7.1.3</w:t>
            </w:r>
          </w:p>
        </w:tc>
        <w:tc>
          <w:tcPr>
            <w:tcW w:w="5386" w:type="dxa"/>
            <w:vAlign w:val="center"/>
          </w:tcPr>
          <w:p w14:paraId="72A822B7">
            <w:pPr>
              <w:pStyle w:val="557"/>
            </w:pPr>
            <w:r>
              <w:rPr>
                <w:rFonts w:hint="eastAsia"/>
              </w:rPr>
              <w:t>分离精制</w:t>
            </w:r>
          </w:p>
          <w:p w14:paraId="3748B1DB">
            <w:pPr>
              <w:pStyle w:val="557"/>
            </w:pPr>
            <w:r>
              <w:rPr>
                <w:rFonts w:hint="eastAsia"/>
              </w:rPr>
              <w:t>c)吸收、洗涤、蒸馏/精馏、萃取、结晶等单元操作排放的废气，冷凝单元操作排放的不凝尾气，吸附单元操作的脱附尾气等应排至VOCs废气收集处理系统。</w:t>
            </w:r>
          </w:p>
        </w:tc>
        <w:tc>
          <w:tcPr>
            <w:tcW w:w="1564" w:type="dxa"/>
            <w:vAlign w:val="center"/>
          </w:tcPr>
          <w:p w14:paraId="7ADBDD45">
            <w:pPr>
              <w:pStyle w:val="557"/>
            </w:pPr>
            <w:r>
              <w:rPr>
                <w:rFonts w:hint="eastAsia"/>
              </w:rPr>
              <w:t>低温甲醇洗装置的尾气经洗涤塔洗涤处理后排放</w:t>
            </w:r>
          </w:p>
        </w:tc>
      </w:tr>
      <w:tr w14:paraId="2ECA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1576268B">
            <w:pPr>
              <w:pStyle w:val="557"/>
            </w:pPr>
          </w:p>
        </w:tc>
        <w:tc>
          <w:tcPr>
            <w:tcW w:w="709" w:type="dxa"/>
            <w:vAlign w:val="center"/>
          </w:tcPr>
          <w:p w14:paraId="70B15C30">
            <w:pPr>
              <w:pStyle w:val="557"/>
            </w:pPr>
            <w:r>
              <w:rPr>
                <w:rFonts w:hint="eastAsia"/>
              </w:rPr>
              <w:t>7.3.1</w:t>
            </w:r>
          </w:p>
        </w:tc>
        <w:tc>
          <w:tcPr>
            <w:tcW w:w="5386" w:type="dxa"/>
            <w:vAlign w:val="center"/>
          </w:tcPr>
          <w:p w14:paraId="5F2A9865">
            <w:pPr>
              <w:pStyle w:val="557"/>
            </w:pPr>
            <w:r>
              <w:rPr>
                <w:rFonts w:hint="eastAsia"/>
              </w:rPr>
              <w:t>企业应建立台账，记录含VOCs原辅材料和含VOCs产品的名称、使用量、回收量、废弃量、去向以及VOCs含量等信息。台账保存期限不少于3年。</w:t>
            </w:r>
          </w:p>
        </w:tc>
        <w:tc>
          <w:tcPr>
            <w:tcW w:w="1564" w:type="dxa"/>
            <w:vAlign w:val="center"/>
          </w:tcPr>
          <w:p w14:paraId="00253762">
            <w:pPr>
              <w:pStyle w:val="557"/>
            </w:pPr>
            <w:r>
              <w:rPr>
                <w:rFonts w:hint="eastAsia"/>
              </w:rPr>
              <w:t>项目运行后，企业按照GB37822的管控要求建立VOCs台账。</w:t>
            </w:r>
          </w:p>
        </w:tc>
      </w:tr>
      <w:tr w14:paraId="531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22BEEB81">
            <w:pPr>
              <w:pStyle w:val="557"/>
            </w:pPr>
          </w:p>
        </w:tc>
        <w:tc>
          <w:tcPr>
            <w:tcW w:w="709" w:type="dxa"/>
            <w:vAlign w:val="center"/>
          </w:tcPr>
          <w:p w14:paraId="115D785A">
            <w:pPr>
              <w:pStyle w:val="557"/>
            </w:pPr>
            <w:r>
              <w:rPr>
                <w:rFonts w:hint="eastAsia"/>
              </w:rPr>
              <w:t>7.3.3</w:t>
            </w:r>
          </w:p>
        </w:tc>
        <w:tc>
          <w:tcPr>
            <w:tcW w:w="5386" w:type="dxa"/>
            <w:vAlign w:val="center"/>
          </w:tcPr>
          <w:p w14:paraId="49DEC8EC">
            <w:pPr>
              <w:pStyle w:val="557"/>
            </w:pPr>
            <w:r>
              <w:rPr>
                <w:rFonts w:hint="eastAsia"/>
              </w:rPr>
              <w:t>载有VOCs物料的设备及其管道在开停工（车）、检维修和清洗时，应在退料阶段将残存物料退净，并用密闭容器盛装，退料过程废气应排至VOCs废气收集处理系统；清洗及吹扫过程排气应排至VOCs废气收集处理系统。</w:t>
            </w:r>
          </w:p>
        </w:tc>
        <w:tc>
          <w:tcPr>
            <w:tcW w:w="1564" w:type="dxa"/>
            <w:vAlign w:val="center"/>
          </w:tcPr>
          <w:p w14:paraId="02CED05E">
            <w:pPr>
              <w:pStyle w:val="557"/>
            </w:pPr>
            <w:r>
              <w:rPr>
                <w:rFonts w:hint="eastAsia"/>
              </w:rPr>
              <w:t>气化、煤气冷却、低温甲醇洗等装置开停车废气送气化火炬或全厂火炬处理</w:t>
            </w:r>
          </w:p>
        </w:tc>
      </w:tr>
    </w:tbl>
    <w:p w14:paraId="0128A67E">
      <w:pPr>
        <w:pStyle w:val="557"/>
      </w:pPr>
    </w:p>
    <w:p w14:paraId="0F87EF51">
      <w:pPr>
        <w:pStyle w:val="951"/>
      </w:pPr>
      <w:r>
        <w:rPr>
          <w:rFonts w:hint="eastAsia"/>
        </w:rPr>
        <w:t>设备与管线组件VOCs泄漏控制</w:t>
      </w:r>
    </w:p>
    <w:p w14:paraId="6CF4AB19">
      <w:pPr>
        <w:pStyle w:val="626"/>
        <w:ind w:firstLine="480"/>
        <w:rPr>
          <w:rFonts w:ascii="Times New Roman" w:hAnsi="Times New Roman" w:eastAsia="宋体"/>
        </w:rPr>
      </w:pPr>
      <w:r>
        <w:rPr>
          <w:rFonts w:hint="eastAsia" w:ascii="Times New Roman" w:hAnsi="Times New Roman" w:eastAsia="宋体"/>
        </w:rPr>
        <w:t>在装置区和罐区推行泄漏检测与修复（简称LDAR）技术，加强生产、输送和储存过程挥发性有机物泄漏的监测和监管。</w:t>
      </w:r>
    </w:p>
    <w:p w14:paraId="0154DE07">
      <w:pPr>
        <w:pStyle w:val="645"/>
        <w:rPr>
          <w:rFonts w:hint="eastAsia"/>
        </w:rPr>
      </w:pPr>
      <w:r>
        <w:rPr>
          <w:rFonts w:hint="eastAsia"/>
        </w:rPr>
        <w:t>表6.2.1-2  本项目工艺过程无组织排放控制与GB37822控制要求相符性</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4677"/>
        <w:gridCol w:w="2273"/>
      </w:tblGrid>
      <w:tr w14:paraId="4DD9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gridSpan w:val="2"/>
            <w:vAlign w:val="center"/>
          </w:tcPr>
          <w:p w14:paraId="2FD658AF">
            <w:pPr>
              <w:pStyle w:val="557"/>
            </w:pPr>
            <w:r>
              <w:rPr>
                <w:rFonts w:hint="eastAsia"/>
              </w:rPr>
              <w:t>序号</w:t>
            </w:r>
          </w:p>
        </w:tc>
        <w:tc>
          <w:tcPr>
            <w:tcW w:w="4677" w:type="dxa"/>
            <w:vAlign w:val="center"/>
          </w:tcPr>
          <w:p w14:paraId="4D14F682">
            <w:pPr>
              <w:pStyle w:val="557"/>
            </w:pPr>
            <w:r>
              <w:rPr>
                <w:rFonts w:hint="eastAsia"/>
              </w:rPr>
              <w:t>《挥发性有机物无组织排放控制标准》（GB37822-2019）基本要求</w:t>
            </w:r>
          </w:p>
        </w:tc>
        <w:tc>
          <w:tcPr>
            <w:tcW w:w="2273" w:type="dxa"/>
            <w:vAlign w:val="center"/>
          </w:tcPr>
          <w:p w14:paraId="3841C2C4">
            <w:pPr>
              <w:pStyle w:val="557"/>
            </w:pPr>
            <w:r>
              <w:rPr>
                <w:rFonts w:hint="eastAsia"/>
              </w:rPr>
              <w:t>本项目</w:t>
            </w:r>
          </w:p>
        </w:tc>
      </w:tr>
      <w:tr w14:paraId="7D3E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restart"/>
            <w:vAlign w:val="center"/>
          </w:tcPr>
          <w:p w14:paraId="2FEDCA41">
            <w:pPr>
              <w:pStyle w:val="557"/>
            </w:pPr>
            <w:r>
              <w:rPr>
                <w:rFonts w:hint="eastAsia"/>
              </w:rPr>
              <w:t>设备与管线组件VOCs泄漏控制</w:t>
            </w:r>
          </w:p>
        </w:tc>
        <w:tc>
          <w:tcPr>
            <w:tcW w:w="709" w:type="dxa"/>
            <w:vAlign w:val="center"/>
          </w:tcPr>
          <w:p w14:paraId="5074DA5B">
            <w:pPr>
              <w:pStyle w:val="557"/>
            </w:pPr>
            <w:r>
              <w:rPr>
                <w:rFonts w:hint="eastAsia"/>
              </w:rPr>
              <w:t>8.1</w:t>
            </w:r>
          </w:p>
        </w:tc>
        <w:tc>
          <w:tcPr>
            <w:tcW w:w="4677" w:type="dxa"/>
            <w:vAlign w:val="center"/>
          </w:tcPr>
          <w:p w14:paraId="2DE9BE7C">
            <w:pPr>
              <w:pStyle w:val="557"/>
            </w:pPr>
            <w:r>
              <w:rPr>
                <w:rFonts w:hint="eastAsia"/>
              </w:rPr>
              <w:t>企业中载有气态VOCs物料、液态VOCs物料的设备与管线组件的密封点≥2000个，应开展泄漏检测与修复工作。设备与管线组件包括：a)泵；b)压缩机；c)搅拌器(机)；d)阀门；e)开口阀或开口管线；f)法兰及其他连接件；g)泄压设备；h)取样连接系统；i)其他密封设备。</w:t>
            </w:r>
          </w:p>
        </w:tc>
        <w:tc>
          <w:tcPr>
            <w:tcW w:w="2273" w:type="dxa"/>
            <w:vAlign w:val="center"/>
          </w:tcPr>
          <w:p w14:paraId="7B3D6453">
            <w:pPr>
              <w:pStyle w:val="557"/>
            </w:pPr>
            <w:r>
              <w:rPr>
                <w:rFonts w:hint="eastAsia"/>
              </w:rPr>
              <w:t>本项目建立LDAR(泄漏检测与修复)系统</w:t>
            </w:r>
          </w:p>
        </w:tc>
      </w:tr>
      <w:tr w14:paraId="28F6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69F48057">
            <w:pPr>
              <w:pStyle w:val="557"/>
            </w:pPr>
          </w:p>
        </w:tc>
        <w:tc>
          <w:tcPr>
            <w:tcW w:w="709" w:type="dxa"/>
            <w:vAlign w:val="center"/>
          </w:tcPr>
          <w:p w14:paraId="63EC7F2B">
            <w:pPr>
              <w:pStyle w:val="557"/>
            </w:pPr>
            <w:r>
              <w:rPr>
                <w:rFonts w:hint="eastAsia"/>
              </w:rPr>
              <w:t>8.2</w:t>
            </w:r>
          </w:p>
        </w:tc>
        <w:tc>
          <w:tcPr>
            <w:tcW w:w="4677" w:type="dxa"/>
            <w:vAlign w:val="center"/>
          </w:tcPr>
          <w:p w14:paraId="02D76E3D">
            <w:pPr>
              <w:pStyle w:val="557"/>
            </w:pPr>
            <w:r>
              <w:rPr>
                <w:rFonts w:hint="eastAsia"/>
              </w:rPr>
              <w:t>泄漏认定</w:t>
            </w:r>
          </w:p>
          <w:p w14:paraId="1DACD6EE">
            <w:pPr>
              <w:pStyle w:val="557"/>
            </w:pPr>
            <w:r>
              <w:rPr>
                <w:rFonts w:hint="eastAsia"/>
              </w:rPr>
              <w:t>a)密封点存在渗液、滴液等可见的泄漏现象；</w:t>
            </w:r>
          </w:p>
          <w:p w14:paraId="0ABE27DB">
            <w:pPr>
              <w:pStyle w:val="557"/>
            </w:pPr>
            <w:r>
              <w:rPr>
                <w:rFonts w:hint="eastAsia"/>
              </w:rPr>
              <w:t>b)设备与管线组件密封点的VOCs泄漏检测值超过表1规定的泄漏认定浓度。</w:t>
            </w:r>
          </w:p>
        </w:tc>
        <w:tc>
          <w:tcPr>
            <w:tcW w:w="2273" w:type="dxa"/>
            <w:vAlign w:val="center"/>
          </w:tcPr>
          <w:p w14:paraId="3C0BBA4D">
            <w:pPr>
              <w:pStyle w:val="557"/>
            </w:pPr>
            <w:r>
              <w:rPr>
                <w:rFonts w:hint="eastAsia"/>
              </w:rPr>
              <w:t>项目投入运行后，按GB37822的要求开展泄漏认定，泄漏认定浓度按照泄漏认定浓度执行</w:t>
            </w:r>
          </w:p>
        </w:tc>
      </w:tr>
      <w:tr w14:paraId="0282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235E13F7">
            <w:pPr>
              <w:pStyle w:val="557"/>
            </w:pPr>
          </w:p>
        </w:tc>
        <w:tc>
          <w:tcPr>
            <w:tcW w:w="709" w:type="dxa"/>
            <w:vAlign w:val="center"/>
          </w:tcPr>
          <w:p w14:paraId="6B309F8D">
            <w:pPr>
              <w:pStyle w:val="557"/>
            </w:pPr>
            <w:r>
              <w:rPr>
                <w:rFonts w:hint="eastAsia"/>
              </w:rPr>
              <w:t>8.3.1</w:t>
            </w:r>
          </w:p>
        </w:tc>
        <w:tc>
          <w:tcPr>
            <w:tcW w:w="4677" w:type="dxa"/>
            <w:vAlign w:val="center"/>
          </w:tcPr>
          <w:p w14:paraId="4365E699">
            <w:pPr>
              <w:pStyle w:val="557"/>
            </w:pPr>
            <w:r>
              <w:rPr>
                <w:rFonts w:hint="eastAsia"/>
              </w:rPr>
              <w:t>企业应按下列频次对设备与管线组件的密封点进行VOCs泄漏检测：</w:t>
            </w:r>
          </w:p>
          <w:p w14:paraId="374C5785">
            <w:pPr>
              <w:pStyle w:val="557"/>
            </w:pPr>
            <w:r>
              <w:rPr>
                <w:rFonts w:hint="eastAsia"/>
              </w:rPr>
              <w:t>a）对设备与管线组件的密封点每周进行目视观察，检查其密封处是否出现可见泄漏现象。</w:t>
            </w:r>
          </w:p>
          <w:p w14:paraId="06C65E4A">
            <w:pPr>
              <w:pStyle w:val="557"/>
            </w:pPr>
            <w:r>
              <w:rPr>
                <w:rFonts w:hint="eastAsia"/>
              </w:rPr>
              <w:t xml:space="preserve">b）泵、压缩机、搅拌器（机）、阀门、开口阀或开口管线、泄压设备、取样连接系统至少每6个月检测一次。 </w:t>
            </w:r>
          </w:p>
          <w:p w14:paraId="031BEF9D">
            <w:pPr>
              <w:pStyle w:val="557"/>
            </w:pPr>
            <w:r>
              <w:rPr>
                <w:rFonts w:hint="eastAsia"/>
              </w:rPr>
              <w:t xml:space="preserve">c）法兰及其他连接件、其他密封设备至少每12个月检测一次。 </w:t>
            </w:r>
          </w:p>
          <w:p w14:paraId="61C40C63">
            <w:pPr>
              <w:pStyle w:val="557"/>
            </w:pPr>
            <w:r>
              <w:rPr>
                <w:rFonts w:hint="eastAsia"/>
              </w:rPr>
              <w:t>d）对于直接排放的泄压设备，在非泄压状态下进行泄漏检测。直接排放的泄压设备泄压后，应在泄压之日起5个工作日之内，对泄压设备进行泄漏检测。</w:t>
            </w:r>
          </w:p>
          <w:p w14:paraId="391C0E34">
            <w:pPr>
              <w:pStyle w:val="557"/>
            </w:pPr>
            <w:r>
              <w:rPr>
                <w:rFonts w:hint="eastAsia"/>
              </w:rPr>
              <w:t>e）设备与管线组件初次启用或检维修后，应在90d内进行泄漏检测</w:t>
            </w:r>
          </w:p>
        </w:tc>
        <w:tc>
          <w:tcPr>
            <w:tcW w:w="2273" w:type="dxa"/>
            <w:vAlign w:val="center"/>
          </w:tcPr>
          <w:p w14:paraId="0459C260">
            <w:pPr>
              <w:pStyle w:val="557"/>
            </w:pPr>
            <w:r>
              <w:rPr>
                <w:rFonts w:hint="eastAsia"/>
              </w:rPr>
              <w:t>项目投入运行后，按GB37822的要求开展泄漏检测工作。</w:t>
            </w:r>
          </w:p>
        </w:tc>
      </w:tr>
      <w:tr w14:paraId="566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67B7698B">
            <w:pPr>
              <w:pStyle w:val="557"/>
            </w:pPr>
          </w:p>
        </w:tc>
        <w:tc>
          <w:tcPr>
            <w:tcW w:w="709" w:type="dxa"/>
            <w:vAlign w:val="center"/>
          </w:tcPr>
          <w:p w14:paraId="0258EDF1">
            <w:pPr>
              <w:pStyle w:val="557"/>
            </w:pPr>
            <w:r>
              <w:rPr>
                <w:rFonts w:hint="eastAsia"/>
              </w:rPr>
              <w:t>8.4.1</w:t>
            </w:r>
          </w:p>
        </w:tc>
        <w:tc>
          <w:tcPr>
            <w:tcW w:w="4677" w:type="dxa"/>
            <w:vAlign w:val="center"/>
          </w:tcPr>
          <w:p w14:paraId="28ACE502">
            <w:pPr>
              <w:pStyle w:val="557"/>
            </w:pPr>
            <w:r>
              <w:rPr>
                <w:rFonts w:hint="eastAsia"/>
              </w:rPr>
              <w:t>泄漏源修复</w:t>
            </w:r>
          </w:p>
          <w:p w14:paraId="0BDA48E3">
            <w:pPr>
              <w:pStyle w:val="557"/>
            </w:pPr>
            <w:r>
              <w:rPr>
                <w:rFonts w:hint="eastAsia"/>
              </w:rPr>
              <w:t>当检测到泄漏时，对泄漏源应予以标识并及时修复。发现泄漏之日起5d内应进行</w:t>
            </w:r>
          </w:p>
          <w:p w14:paraId="502AD7B3">
            <w:pPr>
              <w:pStyle w:val="557"/>
            </w:pPr>
            <w:r>
              <w:rPr>
                <w:rFonts w:hint="eastAsia"/>
              </w:rPr>
              <w:t>首次修复，除8.4.2条规定外，应在发现泄漏之日起15d内完成修复。</w:t>
            </w:r>
          </w:p>
        </w:tc>
        <w:tc>
          <w:tcPr>
            <w:tcW w:w="2273" w:type="dxa"/>
            <w:vMerge w:val="restart"/>
            <w:vAlign w:val="center"/>
          </w:tcPr>
          <w:p w14:paraId="16A1C074">
            <w:pPr>
              <w:pStyle w:val="557"/>
            </w:pPr>
            <w:r>
              <w:rPr>
                <w:rFonts w:hint="eastAsia"/>
              </w:rPr>
              <w:t>项目投入运行后，按GB37822的要求开展泄漏源修复工作。</w:t>
            </w:r>
          </w:p>
        </w:tc>
      </w:tr>
      <w:tr w14:paraId="17D3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5AD06D00">
            <w:pPr>
              <w:pStyle w:val="557"/>
            </w:pPr>
          </w:p>
        </w:tc>
        <w:tc>
          <w:tcPr>
            <w:tcW w:w="709" w:type="dxa"/>
            <w:vAlign w:val="center"/>
          </w:tcPr>
          <w:p w14:paraId="08F28EDE">
            <w:pPr>
              <w:pStyle w:val="557"/>
            </w:pPr>
            <w:r>
              <w:rPr>
                <w:rFonts w:hint="eastAsia"/>
              </w:rPr>
              <w:t>8.4.2</w:t>
            </w:r>
          </w:p>
        </w:tc>
        <w:tc>
          <w:tcPr>
            <w:tcW w:w="4677" w:type="dxa"/>
            <w:vAlign w:val="center"/>
          </w:tcPr>
          <w:p w14:paraId="5C5F8368">
            <w:pPr>
              <w:pStyle w:val="557"/>
            </w:pPr>
            <w:r>
              <w:rPr>
                <w:rFonts w:hint="eastAsia"/>
              </w:rPr>
              <w:t>符合下列条件之一的设备与管线组件可延迟修复。企业应将延迟修复方案报生态环境主管部门备案，并于下次停车(工)检修期间完成修复。</w:t>
            </w:r>
          </w:p>
          <w:p w14:paraId="574125CA">
            <w:pPr>
              <w:pStyle w:val="557"/>
            </w:pPr>
            <w:r>
              <w:rPr>
                <w:rFonts w:hint="eastAsia"/>
              </w:rPr>
              <w:t>a)装置停车(工)条件下才能修复；b)立即修复存在安全风险；c)其他特殊情况</w:t>
            </w:r>
          </w:p>
        </w:tc>
        <w:tc>
          <w:tcPr>
            <w:tcW w:w="2273" w:type="dxa"/>
            <w:vMerge w:val="continue"/>
            <w:vAlign w:val="center"/>
          </w:tcPr>
          <w:p w14:paraId="79539DA1">
            <w:pPr>
              <w:pStyle w:val="557"/>
            </w:pPr>
          </w:p>
        </w:tc>
      </w:tr>
      <w:tr w14:paraId="59EA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1CADE922">
            <w:pPr>
              <w:pStyle w:val="557"/>
            </w:pPr>
          </w:p>
        </w:tc>
        <w:tc>
          <w:tcPr>
            <w:tcW w:w="709" w:type="dxa"/>
            <w:vAlign w:val="center"/>
          </w:tcPr>
          <w:p w14:paraId="56D588E1">
            <w:pPr>
              <w:pStyle w:val="557"/>
            </w:pPr>
            <w:r>
              <w:rPr>
                <w:rFonts w:hint="eastAsia"/>
              </w:rPr>
              <w:t>8.6.2</w:t>
            </w:r>
          </w:p>
        </w:tc>
        <w:tc>
          <w:tcPr>
            <w:tcW w:w="4677" w:type="dxa"/>
            <w:vAlign w:val="center"/>
          </w:tcPr>
          <w:p w14:paraId="58F0FD2C">
            <w:pPr>
              <w:pStyle w:val="557"/>
            </w:pPr>
            <w:r>
              <w:rPr>
                <w:rFonts w:hint="eastAsia"/>
              </w:rPr>
              <w:t>开口阀或开口管线应满足下列要求：a)配备合适尺寸的盲法兰、盖子、塞子或二次阀；b)采用二次阀，应在关闭二次阀之前关闭管线上游的阀门。</w:t>
            </w:r>
          </w:p>
        </w:tc>
        <w:tc>
          <w:tcPr>
            <w:tcW w:w="2273" w:type="dxa"/>
            <w:vAlign w:val="center"/>
          </w:tcPr>
          <w:p w14:paraId="302D6E3B">
            <w:pPr>
              <w:pStyle w:val="557"/>
            </w:pPr>
            <w:r>
              <w:rPr>
                <w:rFonts w:hint="eastAsia"/>
              </w:rPr>
              <w:t>项目投入运行后，按GB37822的要求对开口阀或开口管线进行管理</w:t>
            </w:r>
          </w:p>
        </w:tc>
      </w:tr>
      <w:tr w14:paraId="13A9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1928C53A">
            <w:pPr>
              <w:pStyle w:val="557"/>
            </w:pPr>
          </w:p>
        </w:tc>
        <w:tc>
          <w:tcPr>
            <w:tcW w:w="709" w:type="dxa"/>
            <w:vAlign w:val="center"/>
          </w:tcPr>
          <w:p w14:paraId="4C22FE3D">
            <w:pPr>
              <w:pStyle w:val="557"/>
            </w:pPr>
            <w:r>
              <w:rPr>
                <w:rFonts w:hint="eastAsia"/>
              </w:rPr>
              <w:t>8.6.3</w:t>
            </w:r>
          </w:p>
        </w:tc>
        <w:tc>
          <w:tcPr>
            <w:tcW w:w="4677" w:type="dxa"/>
            <w:vAlign w:val="center"/>
          </w:tcPr>
          <w:p w14:paraId="75803E87">
            <w:pPr>
              <w:pStyle w:val="557"/>
            </w:pPr>
            <w:r>
              <w:rPr>
                <w:rFonts w:hint="eastAsia"/>
              </w:rPr>
              <w:t>气态VOCs物料和挥发性有机液体取样连接系统应符合下列规定之一：a)采用在线取样分析系统；b)采用密闭回路式取样连接系统；c)取样连接系统接入VOCs废气收集处理系统；d)采用密闭容器盛装，并记录样品回收量。</w:t>
            </w:r>
          </w:p>
        </w:tc>
        <w:tc>
          <w:tcPr>
            <w:tcW w:w="2273" w:type="dxa"/>
            <w:vAlign w:val="center"/>
          </w:tcPr>
          <w:p w14:paraId="53EBAF1D">
            <w:pPr>
              <w:pStyle w:val="557"/>
            </w:pPr>
            <w:r>
              <w:rPr>
                <w:rFonts w:hint="eastAsia"/>
              </w:rPr>
              <w:t>项目投入运行后，气态VOCs物料和挥发性有机液体取样连接系统按GB37822的要求实施</w:t>
            </w:r>
          </w:p>
        </w:tc>
      </w:tr>
    </w:tbl>
    <w:p w14:paraId="720E90AB">
      <w:pPr>
        <w:pStyle w:val="951"/>
      </w:pPr>
      <w:r>
        <w:rPr>
          <w:rFonts w:hint="eastAsia"/>
        </w:rPr>
        <w:t>敞开液面VOCs无组织排放控制</w:t>
      </w:r>
    </w:p>
    <w:p w14:paraId="33D0D2A7">
      <w:pPr>
        <w:pStyle w:val="626"/>
        <w:ind w:firstLine="480"/>
        <w:rPr>
          <w:rFonts w:ascii="Times New Roman" w:hAnsi="Times New Roman"/>
        </w:rPr>
      </w:pPr>
      <w:r>
        <w:rPr>
          <w:rFonts w:hint="eastAsia" w:eastAsia="宋体"/>
        </w:rPr>
        <w:t>（</w:t>
      </w:r>
      <w:r>
        <w:rPr>
          <w:rFonts w:hint="eastAsia" w:ascii="Times New Roman" w:hAnsi="Times New Roman"/>
        </w:rPr>
        <w:t>1</w:t>
      </w:r>
      <w:r>
        <w:rPr>
          <w:rFonts w:hint="eastAsia" w:eastAsia="宋体"/>
        </w:rPr>
        <w:t>）本项目气化、煤气冷却、低温甲醇洗、硫回收等单元产生的工艺污水采用密闭管道输送。</w:t>
      </w:r>
      <w:r>
        <w:rPr>
          <w:rFonts w:hint="eastAsia" w:ascii="Times New Roman" w:hAnsi="Times New Roman"/>
        </w:rPr>
        <w:t xml:space="preserve"> </w:t>
      </w:r>
    </w:p>
    <w:p w14:paraId="6D2E251C">
      <w:pPr>
        <w:pStyle w:val="626"/>
        <w:ind w:firstLine="480"/>
        <w:rPr>
          <w:rFonts w:ascii="Times New Roman" w:hAnsi="Times New Roman" w:eastAsiaTheme="minorEastAsia"/>
        </w:rPr>
      </w:pPr>
      <w:r>
        <w:rPr>
          <w:rFonts w:hint="eastAsia" w:eastAsia="宋体"/>
        </w:rPr>
        <w:t>（</w:t>
      </w:r>
      <w:r>
        <w:rPr>
          <w:rFonts w:hint="eastAsia" w:ascii="Times New Roman" w:hAnsi="Times New Roman"/>
        </w:rPr>
        <w:t>2</w:t>
      </w:r>
      <w:r>
        <w:rPr>
          <w:rFonts w:hint="eastAsia" w:eastAsia="宋体"/>
        </w:rPr>
        <w:t>）气化、煤气冷却、低温甲醇洗、硫回收等单元废气全部由密闭管道输送至污水处理站。</w:t>
      </w:r>
    </w:p>
    <w:p w14:paraId="1E529836">
      <w:pPr>
        <w:pStyle w:val="281"/>
        <w:ind w:firstLine="480"/>
      </w:pPr>
      <w:r>
        <w:rPr>
          <w:rFonts w:hint="eastAsia"/>
        </w:rPr>
        <w:t>（</w:t>
      </w:r>
      <w:r>
        <w:rPr>
          <w:rFonts w:hint="eastAsia" w:eastAsiaTheme="minorEastAsia"/>
        </w:rPr>
        <w:t>3</w:t>
      </w:r>
      <w:r>
        <w:rPr>
          <w:rFonts w:hint="eastAsia"/>
        </w:rPr>
        <w:t>）污水处理界区生化处理设施来水调节单元、</w:t>
      </w:r>
      <w:r>
        <w:rPr>
          <w:rFonts w:hint="eastAsia"/>
          <w:snapToGrid w:val="0"/>
          <w:szCs w:val="24"/>
        </w:rPr>
        <w:t>生化</w:t>
      </w:r>
      <w:r>
        <w:rPr>
          <w:snapToGrid w:val="0"/>
          <w:szCs w:val="24"/>
        </w:rPr>
        <w:t>反应池</w:t>
      </w:r>
      <w:r>
        <w:rPr>
          <w:rFonts w:hint="eastAsia"/>
        </w:rPr>
        <w:t>、生物氧化单元（不含沉淀池）的废气收集后水洗处理。</w:t>
      </w:r>
    </w:p>
    <w:p w14:paraId="61A61EF7">
      <w:pPr>
        <w:pStyle w:val="281"/>
        <w:ind w:firstLine="480"/>
      </w:pPr>
      <w:r>
        <w:rPr>
          <w:rFonts w:hint="eastAsia"/>
        </w:rPr>
        <w:t>（4）厂区设置调节池（加盖），用于储存气化、煤气冷却等开车时的废水，采用固定顶。</w:t>
      </w:r>
    </w:p>
    <w:p w14:paraId="3CFED148">
      <w:pPr>
        <w:pStyle w:val="281"/>
        <w:ind w:firstLine="480"/>
      </w:pPr>
      <w:r>
        <w:rPr>
          <w:rFonts w:hint="eastAsia"/>
        </w:rPr>
        <w:t>（5）厂区内建设事故水池，根据《石化企业水体环境风险防控技术要求》（Q/SH 0729-2018），事故池不宜加盖。正常情况下，事故池无水。</w:t>
      </w:r>
    </w:p>
    <w:p w14:paraId="16AF920C">
      <w:pPr>
        <w:pStyle w:val="645"/>
        <w:rPr>
          <w:rFonts w:hint="eastAsia"/>
        </w:rPr>
      </w:pPr>
      <w:r>
        <w:rPr>
          <w:rFonts w:hint="eastAsia"/>
        </w:rPr>
        <w:t>表6.2.1-3  本项目工艺过程无组织排放控制与GB37822控制要求相符性</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4677"/>
        <w:gridCol w:w="2273"/>
      </w:tblGrid>
      <w:tr w14:paraId="2D2C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gridSpan w:val="2"/>
            <w:vAlign w:val="center"/>
          </w:tcPr>
          <w:p w14:paraId="6882967F">
            <w:pPr>
              <w:pStyle w:val="557"/>
            </w:pPr>
            <w:r>
              <w:rPr>
                <w:rFonts w:hint="eastAsia"/>
              </w:rPr>
              <w:t>序号</w:t>
            </w:r>
          </w:p>
        </w:tc>
        <w:tc>
          <w:tcPr>
            <w:tcW w:w="4677" w:type="dxa"/>
            <w:vAlign w:val="center"/>
          </w:tcPr>
          <w:p w14:paraId="74D4728E">
            <w:pPr>
              <w:pStyle w:val="557"/>
            </w:pPr>
            <w:r>
              <w:rPr>
                <w:rFonts w:hint="eastAsia"/>
              </w:rPr>
              <w:t>《挥发性有机物无组织排放控制标准》（GB37822-2019）基本要求</w:t>
            </w:r>
          </w:p>
        </w:tc>
        <w:tc>
          <w:tcPr>
            <w:tcW w:w="2273" w:type="dxa"/>
            <w:vAlign w:val="center"/>
          </w:tcPr>
          <w:p w14:paraId="153BAB6C">
            <w:pPr>
              <w:pStyle w:val="557"/>
            </w:pPr>
            <w:r>
              <w:rPr>
                <w:rFonts w:hint="eastAsia"/>
              </w:rPr>
              <w:t>本项目</w:t>
            </w:r>
          </w:p>
        </w:tc>
      </w:tr>
      <w:tr w14:paraId="3D78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restart"/>
            <w:vAlign w:val="center"/>
          </w:tcPr>
          <w:p w14:paraId="0E4FDD84">
            <w:pPr>
              <w:pStyle w:val="557"/>
            </w:pPr>
            <w:r>
              <w:rPr>
                <w:rFonts w:hint="eastAsia"/>
              </w:rPr>
              <w:t>敞开液面VOCs无组织排放控制</w:t>
            </w:r>
          </w:p>
        </w:tc>
        <w:tc>
          <w:tcPr>
            <w:tcW w:w="709" w:type="dxa"/>
            <w:vAlign w:val="center"/>
          </w:tcPr>
          <w:p w14:paraId="28F1B718">
            <w:pPr>
              <w:pStyle w:val="557"/>
            </w:pPr>
            <w:r>
              <w:rPr>
                <w:rFonts w:hint="eastAsia"/>
              </w:rPr>
              <w:t>9.2.1</w:t>
            </w:r>
          </w:p>
        </w:tc>
        <w:tc>
          <w:tcPr>
            <w:tcW w:w="4677" w:type="dxa"/>
            <w:vAlign w:val="center"/>
          </w:tcPr>
          <w:p w14:paraId="5C09D8A7">
            <w:pPr>
              <w:pStyle w:val="557"/>
            </w:pPr>
            <w:r>
              <w:rPr>
                <w:rFonts w:hint="eastAsia"/>
              </w:rPr>
              <w:t>废水集输系统：</w:t>
            </w:r>
          </w:p>
          <w:p w14:paraId="00C95CB5">
            <w:pPr>
              <w:pStyle w:val="557"/>
            </w:pPr>
            <w:r>
              <w:rPr>
                <w:rFonts w:hint="eastAsia"/>
              </w:rPr>
              <w:t>对于工艺过程排放的含VOCs废水，集输系统应符合下列规定之一：</w:t>
            </w:r>
          </w:p>
          <w:p w14:paraId="47F63DA8">
            <w:pPr>
              <w:pStyle w:val="557"/>
            </w:pPr>
            <w:r>
              <w:rPr>
                <w:rFonts w:hint="eastAsia"/>
              </w:rPr>
              <w:t>a)采用密闭管道输送，接入口和排出口采取与环境空气隔离的措施；</w:t>
            </w:r>
          </w:p>
          <w:p w14:paraId="4CA82ED2">
            <w:pPr>
              <w:pStyle w:val="557"/>
            </w:pPr>
            <w:r>
              <w:rPr>
                <w:rFonts w:hint="eastAsia"/>
              </w:rPr>
              <w:t>b)采用沟渠输送，若敞开液面上方100mm处VOCs检测浓度≥100mmol/mol，应加盖密闭，接入口和排出口采取与环境空气隔离的措施。</w:t>
            </w:r>
          </w:p>
        </w:tc>
        <w:tc>
          <w:tcPr>
            <w:tcW w:w="2273" w:type="dxa"/>
            <w:vAlign w:val="center"/>
          </w:tcPr>
          <w:p w14:paraId="6B191CF5">
            <w:pPr>
              <w:pStyle w:val="557"/>
            </w:pPr>
            <w:r>
              <w:rPr>
                <w:rFonts w:hint="eastAsia"/>
              </w:rPr>
              <w:t>本项目生产污水全部采用密闭管道输送，接入口和排出口采取与环境空气隔离的措施</w:t>
            </w:r>
          </w:p>
        </w:tc>
      </w:tr>
      <w:tr w14:paraId="3905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5D924963">
            <w:pPr>
              <w:pStyle w:val="557"/>
            </w:pPr>
          </w:p>
        </w:tc>
        <w:tc>
          <w:tcPr>
            <w:tcW w:w="709" w:type="dxa"/>
            <w:vAlign w:val="center"/>
          </w:tcPr>
          <w:p w14:paraId="5016449D">
            <w:pPr>
              <w:pStyle w:val="557"/>
            </w:pPr>
            <w:r>
              <w:rPr>
                <w:rFonts w:hint="eastAsia"/>
              </w:rPr>
              <w:t>9.2.2</w:t>
            </w:r>
          </w:p>
        </w:tc>
        <w:tc>
          <w:tcPr>
            <w:tcW w:w="4677" w:type="dxa"/>
            <w:vAlign w:val="center"/>
          </w:tcPr>
          <w:p w14:paraId="01531939">
            <w:pPr>
              <w:pStyle w:val="557"/>
            </w:pPr>
            <w:r>
              <w:rPr>
                <w:rFonts w:hint="eastAsia"/>
              </w:rPr>
              <w:t>废水储存、处理设施：</w:t>
            </w:r>
          </w:p>
          <w:p w14:paraId="6BFB5F8B">
            <w:pPr>
              <w:pStyle w:val="557"/>
            </w:pPr>
            <w:r>
              <w:rPr>
                <w:rFonts w:hint="eastAsia"/>
              </w:rPr>
              <w:t>含VOCs废水储存和处理设施敞开液面上方100mm处VOCs检测浓度≥100mmol/mol，应符合下列规定之一：a)采用浮动顶盖；b)采用固定顶盖，收集废气至VOCs废气收集处理系统；c)其他等效措施。</w:t>
            </w:r>
          </w:p>
        </w:tc>
        <w:tc>
          <w:tcPr>
            <w:tcW w:w="2273" w:type="dxa"/>
            <w:vAlign w:val="center"/>
          </w:tcPr>
          <w:p w14:paraId="258D4E69">
            <w:pPr>
              <w:pStyle w:val="557"/>
            </w:pPr>
            <w:r>
              <w:rPr>
                <w:rFonts w:hint="eastAsia"/>
              </w:rPr>
              <w:t>本项目污水处理站调节池加盖，废气引入污水处理站废气治理措施处理</w:t>
            </w:r>
          </w:p>
        </w:tc>
      </w:tr>
      <w:tr w14:paraId="3B11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14:paraId="30BCD0EE">
            <w:pPr>
              <w:pStyle w:val="557"/>
            </w:pPr>
          </w:p>
        </w:tc>
        <w:tc>
          <w:tcPr>
            <w:tcW w:w="709" w:type="dxa"/>
            <w:vAlign w:val="center"/>
          </w:tcPr>
          <w:p w14:paraId="56A80E01">
            <w:pPr>
              <w:pStyle w:val="557"/>
            </w:pPr>
            <w:r>
              <w:rPr>
                <w:rFonts w:hint="eastAsia"/>
              </w:rPr>
              <w:t>9.3</w:t>
            </w:r>
          </w:p>
        </w:tc>
        <w:tc>
          <w:tcPr>
            <w:tcW w:w="4677" w:type="dxa"/>
            <w:vAlign w:val="center"/>
          </w:tcPr>
          <w:p w14:paraId="082E2A83">
            <w:pPr>
              <w:pStyle w:val="557"/>
            </w:pPr>
            <w:r>
              <w:rPr>
                <w:rFonts w:hint="eastAsia"/>
              </w:rPr>
              <w:t>循环冷却水系统</w:t>
            </w:r>
          </w:p>
          <w:p w14:paraId="6E219783">
            <w:pPr>
              <w:pStyle w:val="557"/>
            </w:pPr>
            <w:r>
              <w:rPr>
                <w:rFonts w:hint="eastAsia"/>
              </w:rPr>
              <w:t>对开式循环冷却水系统，每6个月对流经换热器进口和出口的循环冷却水中的总有机碳(TOC)浓度进行检测，若出口浓度大于进口浓度10%，则认定发生了泄漏，应按照8.4条、8.5条规定进行泄漏源修复与记录</w:t>
            </w:r>
          </w:p>
        </w:tc>
        <w:tc>
          <w:tcPr>
            <w:tcW w:w="2273" w:type="dxa"/>
            <w:vAlign w:val="center"/>
          </w:tcPr>
          <w:p w14:paraId="19BE7813">
            <w:pPr>
              <w:pStyle w:val="557"/>
            </w:pPr>
            <w:r>
              <w:rPr>
                <w:rFonts w:hint="eastAsia"/>
              </w:rPr>
              <w:t>本项目使用闭式循环冷却水系统</w:t>
            </w:r>
          </w:p>
        </w:tc>
      </w:tr>
      <w:bookmarkEnd w:id="391"/>
      <w:bookmarkEnd w:id="393"/>
    </w:tbl>
    <w:p w14:paraId="1DA75827">
      <w:pPr>
        <w:pStyle w:val="97"/>
        <w:rPr>
          <w:rFonts w:hint="eastAsia"/>
        </w:rPr>
      </w:pPr>
      <w:r>
        <w:t>水污染控制与防治措施</w:t>
      </w:r>
    </w:p>
    <w:p w14:paraId="37ED86CB">
      <w:pPr>
        <w:pStyle w:val="98"/>
        <w:rPr>
          <w:rFonts w:hint="eastAsia"/>
          <w:color w:val="auto"/>
        </w:rPr>
      </w:pPr>
      <w:r>
        <w:rPr>
          <w:rFonts w:hint="eastAsia"/>
          <w:color w:val="auto"/>
        </w:rPr>
        <w:t>概述</w:t>
      </w:r>
    </w:p>
    <w:p w14:paraId="2E58DD2F">
      <w:pPr>
        <w:pStyle w:val="281"/>
        <w:ind w:firstLine="480"/>
      </w:pPr>
      <w:bookmarkStart w:id="394" w:name="_Hlk150950651"/>
      <w:r>
        <w:rPr>
          <w:rFonts w:hint="eastAsia"/>
        </w:rPr>
        <w:t>全厂生产废水（气化灰水、煤气冷却单元-汽提废水、低温甲醇洗单元-含醇废水、硫回收单元-汽包排水、硝酸提浓塔顶馏出液、发生蒸汽排污水、尾气吸收塔底废水、发生蒸汽排污水</w:t>
      </w:r>
      <w:r>
        <w:rPr>
          <w:rFonts w:hint="eastAsia" w:cs="Times New Roman"/>
        </w:rPr>
        <w:t>、</w:t>
      </w:r>
      <w:r>
        <w:rPr>
          <w:rFonts w:hint="eastAsia"/>
        </w:rPr>
        <w:t>各装置地面冲洗水等）、生活污水经厂内污水处理站处理后，出水与循环水站排水、</w:t>
      </w:r>
      <w:r>
        <w:t>除盐水站排水</w:t>
      </w:r>
      <w:r>
        <w:rPr>
          <w:rFonts w:hint="eastAsia"/>
        </w:rPr>
        <w:t>送回用水站进一步处理，清水回用，浓水送蒸发结晶装置。</w:t>
      </w:r>
    </w:p>
    <w:p w14:paraId="222A19D6">
      <w:pPr>
        <w:pStyle w:val="645"/>
        <w:rPr>
          <w:rFonts w:hint="eastAsia"/>
        </w:rPr>
      </w:pPr>
      <w:r>
        <w:rPr>
          <w:rFonts w:hint="eastAsia"/>
        </w:rPr>
        <w:t>表6.2.2-1    污水处理设施一览表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43"/>
        <w:gridCol w:w="1276"/>
        <w:gridCol w:w="1843"/>
        <w:gridCol w:w="2414"/>
      </w:tblGrid>
      <w:tr w14:paraId="4018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9" w:type="dxa"/>
            <w:vAlign w:val="center"/>
          </w:tcPr>
          <w:p w14:paraId="442DDE57">
            <w:pPr>
              <w:pStyle w:val="557"/>
            </w:pPr>
            <w:r>
              <w:rPr>
                <w:rFonts w:hint="eastAsia"/>
              </w:rPr>
              <w:t>设施名称</w:t>
            </w:r>
          </w:p>
        </w:tc>
        <w:tc>
          <w:tcPr>
            <w:tcW w:w="1843" w:type="dxa"/>
            <w:vAlign w:val="center"/>
          </w:tcPr>
          <w:p w14:paraId="2EB780E7">
            <w:pPr>
              <w:pStyle w:val="557"/>
            </w:pPr>
            <w:r>
              <w:rPr>
                <w:rFonts w:hint="eastAsia"/>
              </w:rPr>
              <w:t>处理废水来源</w:t>
            </w:r>
          </w:p>
        </w:tc>
        <w:tc>
          <w:tcPr>
            <w:tcW w:w="1276" w:type="dxa"/>
            <w:vAlign w:val="center"/>
          </w:tcPr>
          <w:p w14:paraId="50D8FAD4">
            <w:pPr>
              <w:pStyle w:val="557"/>
            </w:pPr>
            <w:r>
              <w:rPr>
                <w:rFonts w:hint="eastAsia"/>
              </w:rPr>
              <w:t>规模（m</w:t>
            </w:r>
            <w:r>
              <w:rPr>
                <w:rFonts w:hint="eastAsia"/>
                <w:vertAlign w:val="superscript"/>
              </w:rPr>
              <w:t>3</w:t>
            </w:r>
            <w:r>
              <w:rPr>
                <w:rFonts w:hint="eastAsia"/>
              </w:rPr>
              <w:t>/h）</w:t>
            </w:r>
          </w:p>
        </w:tc>
        <w:tc>
          <w:tcPr>
            <w:tcW w:w="1843" w:type="dxa"/>
            <w:vAlign w:val="center"/>
          </w:tcPr>
          <w:p w14:paraId="2F1B79D9">
            <w:pPr>
              <w:pStyle w:val="557"/>
            </w:pPr>
            <w:r>
              <w:rPr>
                <w:rFonts w:hint="eastAsia"/>
              </w:rPr>
              <w:t>处理工艺</w:t>
            </w:r>
          </w:p>
        </w:tc>
        <w:tc>
          <w:tcPr>
            <w:tcW w:w="2414" w:type="dxa"/>
            <w:vAlign w:val="center"/>
          </w:tcPr>
          <w:p w14:paraId="4C1E43B6">
            <w:pPr>
              <w:pStyle w:val="557"/>
            </w:pPr>
            <w:r>
              <w:rPr>
                <w:rFonts w:hint="eastAsia"/>
              </w:rPr>
              <w:t>说明</w:t>
            </w:r>
          </w:p>
        </w:tc>
      </w:tr>
      <w:tr w14:paraId="6234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9" w:type="dxa"/>
            <w:vMerge w:val="restart"/>
            <w:vAlign w:val="center"/>
          </w:tcPr>
          <w:p w14:paraId="06282037">
            <w:pPr>
              <w:pStyle w:val="557"/>
            </w:pPr>
            <w:r>
              <w:rPr>
                <w:rFonts w:hint="eastAsia"/>
              </w:rPr>
              <w:t>污水处理站</w:t>
            </w:r>
          </w:p>
        </w:tc>
        <w:tc>
          <w:tcPr>
            <w:tcW w:w="1843" w:type="dxa"/>
            <w:vAlign w:val="center"/>
          </w:tcPr>
          <w:p w14:paraId="4C6882C5">
            <w:pPr>
              <w:pStyle w:val="557"/>
            </w:pPr>
            <w:r>
              <w:rPr>
                <w:rFonts w:hint="eastAsia"/>
              </w:rPr>
              <w:t>气化废水</w:t>
            </w:r>
          </w:p>
        </w:tc>
        <w:tc>
          <w:tcPr>
            <w:tcW w:w="1276" w:type="dxa"/>
            <w:vAlign w:val="center"/>
          </w:tcPr>
          <w:p w14:paraId="606DA086">
            <w:pPr>
              <w:pStyle w:val="557"/>
            </w:pPr>
            <w:r>
              <w:rPr>
                <w:rFonts w:hint="eastAsia"/>
              </w:rPr>
              <w:t>/</w:t>
            </w:r>
          </w:p>
        </w:tc>
        <w:tc>
          <w:tcPr>
            <w:tcW w:w="1843" w:type="dxa"/>
            <w:vAlign w:val="center"/>
          </w:tcPr>
          <w:p w14:paraId="68B4102A">
            <w:pPr>
              <w:pStyle w:val="557"/>
            </w:pPr>
            <w:r>
              <w:rPr>
                <w:rFonts w:hint="eastAsia"/>
              </w:rPr>
              <w:t>预处理沉降</w:t>
            </w:r>
          </w:p>
        </w:tc>
        <w:tc>
          <w:tcPr>
            <w:tcW w:w="2414" w:type="dxa"/>
            <w:vAlign w:val="center"/>
          </w:tcPr>
          <w:p w14:paraId="5EDD1324">
            <w:pPr>
              <w:pStyle w:val="557"/>
            </w:pPr>
            <w:r>
              <w:rPr>
                <w:rFonts w:hint="eastAsia"/>
              </w:rPr>
              <w:t>出水去污水处理站生化系统</w:t>
            </w:r>
          </w:p>
        </w:tc>
      </w:tr>
      <w:tr w14:paraId="72C0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9" w:type="dxa"/>
            <w:vMerge w:val="continue"/>
            <w:vAlign w:val="center"/>
          </w:tcPr>
          <w:p w14:paraId="093750AA">
            <w:pPr>
              <w:pStyle w:val="557"/>
            </w:pPr>
          </w:p>
        </w:tc>
        <w:tc>
          <w:tcPr>
            <w:tcW w:w="1843" w:type="dxa"/>
            <w:vAlign w:val="center"/>
          </w:tcPr>
          <w:p w14:paraId="2A1E2E66">
            <w:pPr>
              <w:pStyle w:val="557"/>
            </w:pPr>
            <w:r>
              <w:rPr>
                <w:rFonts w:hint="eastAsia"/>
              </w:rPr>
              <w:t>工艺污水和生活污水</w:t>
            </w:r>
          </w:p>
        </w:tc>
        <w:tc>
          <w:tcPr>
            <w:tcW w:w="1276" w:type="dxa"/>
            <w:vAlign w:val="center"/>
          </w:tcPr>
          <w:p w14:paraId="62E6D213">
            <w:pPr>
              <w:pStyle w:val="557"/>
            </w:pPr>
            <w:r>
              <w:rPr>
                <w:rFonts w:hint="eastAsia"/>
              </w:rPr>
              <w:t>250</w:t>
            </w:r>
          </w:p>
        </w:tc>
        <w:tc>
          <w:tcPr>
            <w:tcW w:w="1843" w:type="dxa"/>
            <w:vAlign w:val="center"/>
          </w:tcPr>
          <w:p w14:paraId="4C1606A2">
            <w:pPr>
              <w:pStyle w:val="557"/>
            </w:pPr>
            <w:r>
              <w:rPr>
                <w:rFonts w:hint="eastAsia"/>
              </w:rPr>
              <w:t>两级A/O</w:t>
            </w:r>
            <w:r>
              <w:t>+二沉池+澄清池+曝气生物滤池</w:t>
            </w:r>
          </w:p>
        </w:tc>
        <w:tc>
          <w:tcPr>
            <w:tcW w:w="2414" w:type="dxa"/>
            <w:vAlign w:val="center"/>
          </w:tcPr>
          <w:p w14:paraId="040945A1">
            <w:pPr>
              <w:pStyle w:val="557"/>
            </w:pPr>
            <w:r>
              <w:rPr>
                <w:rFonts w:hint="eastAsia"/>
              </w:rPr>
              <w:t>出水送至生化废水回用水站</w:t>
            </w:r>
          </w:p>
        </w:tc>
      </w:tr>
      <w:tr w14:paraId="485F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9" w:type="dxa"/>
            <w:vMerge w:val="restart"/>
            <w:vAlign w:val="center"/>
          </w:tcPr>
          <w:p w14:paraId="6C02F613">
            <w:pPr>
              <w:pStyle w:val="557"/>
              <w:rPr>
                <w:lang w:eastAsia="zh"/>
              </w:rPr>
            </w:pPr>
            <w:r>
              <w:rPr>
                <w:rFonts w:hint="eastAsia"/>
                <w:lang w:eastAsia="zh"/>
              </w:rPr>
              <w:t>回用水处理站</w:t>
            </w:r>
          </w:p>
        </w:tc>
        <w:tc>
          <w:tcPr>
            <w:tcW w:w="1843" w:type="dxa"/>
            <w:vAlign w:val="center"/>
          </w:tcPr>
          <w:p w14:paraId="48A72486">
            <w:pPr>
              <w:pStyle w:val="557"/>
            </w:pPr>
            <w:r>
              <w:rPr>
                <w:rFonts w:hint="eastAsia"/>
              </w:rPr>
              <w:t>循环水排污、脱盐水排污、污水处理站出水</w:t>
            </w:r>
          </w:p>
        </w:tc>
        <w:tc>
          <w:tcPr>
            <w:tcW w:w="1276" w:type="dxa"/>
            <w:vAlign w:val="center"/>
          </w:tcPr>
          <w:p w14:paraId="4F30F8A1">
            <w:pPr>
              <w:pStyle w:val="557"/>
            </w:pPr>
            <w:r>
              <w:rPr>
                <w:rFonts w:hint="eastAsia"/>
              </w:rPr>
              <w:t>500</w:t>
            </w:r>
          </w:p>
        </w:tc>
        <w:tc>
          <w:tcPr>
            <w:tcW w:w="1843" w:type="dxa"/>
            <w:vAlign w:val="center"/>
          </w:tcPr>
          <w:p w14:paraId="24BF0B10">
            <w:pPr>
              <w:pStyle w:val="557"/>
            </w:pPr>
            <w:r>
              <w:rPr>
                <w:rFonts w:hint="eastAsia"/>
              </w:rPr>
              <w:t>过滤+超滤+反渗透</w:t>
            </w:r>
          </w:p>
        </w:tc>
        <w:tc>
          <w:tcPr>
            <w:tcW w:w="2414" w:type="dxa"/>
            <w:vAlign w:val="center"/>
          </w:tcPr>
          <w:p w14:paraId="50181EBB">
            <w:pPr>
              <w:pStyle w:val="557"/>
            </w:pPr>
            <w:r>
              <w:rPr>
                <w:rFonts w:hint="eastAsia"/>
              </w:rPr>
              <w:t>产品水配水后做循环水补充水和除盐水站补充水。浓盐水送蒸发结晶装置。</w:t>
            </w:r>
          </w:p>
        </w:tc>
      </w:tr>
      <w:tr w14:paraId="11AD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9" w:type="dxa"/>
            <w:vMerge w:val="continue"/>
            <w:vAlign w:val="center"/>
          </w:tcPr>
          <w:p w14:paraId="1F8BD393">
            <w:pPr>
              <w:pStyle w:val="557"/>
            </w:pPr>
          </w:p>
        </w:tc>
        <w:tc>
          <w:tcPr>
            <w:tcW w:w="1843" w:type="dxa"/>
            <w:vAlign w:val="center"/>
          </w:tcPr>
          <w:p w14:paraId="5240767C">
            <w:pPr>
              <w:pStyle w:val="557"/>
            </w:pPr>
            <w:r>
              <w:rPr>
                <w:rFonts w:hint="eastAsia"/>
              </w:rPr>
              <w:t>反渗透浓水</w:t>
            </w:r>
          </w:p>
        </w:tc>
        <w:tc>
          <w:tcPr>
            <w:tcW w:w="1276" w:type="dxa"/>
            <w:vAlign w:val="center"/>
          </w:tcPr>
          <w:p w14:paraId="0E0E42D9">
            <w:pPr>
              <w:pStyle w:val="557"/>
            </w:pPr>
            <w:r>
              <w:rPr>
                <w:rFonts w:hint="eastAsia"/>
              </w:rPr>
              <w:t>120</w:t>
            </w:r>
          </w:p>
        </w:tc>
        <w:tc>
          <w:tcPr>
            <w:tcW w:w="1843" w:type="dxa"/>
            <w:vAlign w:val="center"/>
          </w:tcPr>
          <w:p w14:paraId="54274377">
            <w:pPr>
              <w:pStyle w:val="557"/>
            </w:pPr>
            <w:r>
              <w:rPr>
                <w:rFonts w:hint="eastAsia"/>
              </w:rPr>
              <w:t>高浓盐水处理及蒸发结晶</w:t>
            </w:r>
          </w:p>
        </w:tc>
        <w:tc>
          <w:tcPr>
            <w:tcW w:w="2414" w:type="dxa"/>
            <w:vAlign w:val="center"/>
          </w:tcPr>
          <w:p w14:paraId="015414C2">
            <w:pPr>
              <w:pStyle w:val="557"/>
            </w:pPr>
            <w:r>
              <w:rPr>
                <w:rFonts w:hint="eastAsia"/>
              </w:rPr>
              <w:t>/</w:t>
            </w:r>
          </w:p>
        </w:tc>
      </w:tr>
      <w:bookmarkEnd w:id="394"/>
    </w:tbl>
    <w:p w14:paraId="389FAD94">
      <w:pPr>
        <w:pStyle w:val="98"/>
        <w:rPr>
          <w:rFonts w:hint="eastAsia"/>
          <w:color w:val="auto"/>
        </w:rPr>
      </w:pPr>
      <w:r>
        <w:rPr>
          <w:rFonts w:hint="eastAsia"/>
          <w:color w:val="auto"/>
        </w:rPr>
        <w:t>污水处理站</w:t>
      </w:r>
    </w:p>
    <w:p w14:paraId="60D2DD32">
      <w:pPr>
        <w:pStyle w:val="951"/>
      </w:pPr>
      <w:r>
        <w:rPr>
          <w:rFonts w:hint="eastAsia"/>
        </w:rPr>
        <w:t>概述</w:t>
      </w:r>
    </w:p>
    <w:p w14:paraId="147CA1D5">
      <w:pPr>
        <w:pStyle w:val="281"/>
        <w:ind w:firstLine="480"/>
      </w:pPr>
      <w:r>
        <w:rPr>
          <w:rFonts w:hint="eastAsia" w:ascii="宋体" w:hAnsi="宋体"/>
        </w:rPr>
        <w:t>污水处理站由煤气化装置气化灰水预处理系统、综合废水处理系统、污泥处置系统、臭气处理系统等</w:t>
      </w:r>
      <w:r>
        <w:rPr>
          <w:rFonts w:hint="eastAsia"/>
        </w:rPr>
        <w:t>。</w:t>
      </w:r>
    </w:p>
    <w:p w14:paraId="0C59139E">
      <w:pPr>
        <w:pStyle w:val="951"/>
      </w:pPr>
      <w:r>
        <w:rPr>
          <w:rFonts w:hint="eastAsia"/>
        </w:rPr>
        <w:t>处理规模</w:t>
      </w:r>
    </w:p>
    <w:p w14:paraId="50524075">
      <w:pPr>
        <w:pStyle w:val="281"/>
        <w:ind w:firstLine="480"/>
        <w:rPr>
          <w:rFonts w:hint="eastAsia" w:ascii="宋体" w:hAnsi="宋体"/>
        </w:rPr>
      </w:pPr>
      <w:r>
        <w:rPr>
          <w:rFonts w:hint="eastAsia"/>
        </w:rPr>
        <w:t>污水处理站处理规模为250</w:t>
      </w:r>
      <w:r>
        <w:t>m</w:t>
      </w:r>
      <w:r>
        <w:rPr>
          <w:vertAlign w:val="superscript"/>
        </w:rPr>
        <w:t>3</w:t>
      </w:r>
      <w:r>
        <w:t>/h</w:t>
      </w:r>
      <w:r>
        <w:rPr>
          <w:rFonts w:hint="eastAsia"/>
        </w:rPr>
        <w:t>。</w:t>
      </w:r>
    </w:p>
    <w:p w14:paraId="7E7F9AD9">
      <w:pPr>
        <w:pStyle w:val="951"/>
      </w:pPr>
      <w:r>
        <w:rPr>
          <w:rFonts w:hint="eastAsia"/>
        </w:rPr>
        <w:t>设计水质</w:t>
      </w:r>
    </w:p>
    <w:p w14:paraId="00646894">
      <w:pPr>
        <w:pStyle w:val="281"/>
        <w:ind w:firstLine="480"/>
      </w:pPr>
      <w:r>
        <w:t>（</w:t>
      </w:r>
      <w:r>
        <w:rPr>
          <w:rFonts w:hint="eastAsia"/>
        </w:rPr>
        <w:t>1</w:t>
      </w:r>
      <w:r>
        <w:t>）设计出水水质</w:t>
      </w:r>
    </w:p>
    <w:p w14:paraId="270C9F0E">
      <w:pPr>
        <w:pStyle w:val="281"/>
        <w:ind w:firstLine="480"/>
      </w:pPr>
      <w:r>
        <w:rPr>
          <w:rFonts w:hint="eastAsia"/>
        </w:rPr>
        <w:t>本项目污水处理站出水达到下表要求后送回用水系统。</w:t>
      </w:r>
    </w:p>
    <w:p w14:paraId="2A3E92C9">
      <w:pPr>
        <w:pStyle w:val="645"/>
        <w:rPr>
          <w:rFonts w:hint="eastAsia"/>
        </w:rPr>
      </w:pPr>
      <w:r>
        <w:rPr>
          <w:rFonts w:hint="eastAsia"/>
        </w:rPr>
        <w:t>表6</w:t>
      </w:r>
      <w:r>
        <w:t>.2.2-</w:t>
      </w:r>
      <w:r>
        <w:rPr>
          <w:rFonts w:hint="eastAsia"/>
        </w:rPr>
        <w:t>1</w:t>
      </w:r>
      <w:r>
        <w:t xml:space="preserve">    </w:t>
      </w:r>
      <w:r>
        <w:rPr>
          <w:rFonts w:hint="eastAsia"/>
        </w:rPr>
        <w:t>污水处理站出水水质标准</w:t>
      </w:r>
    </w:p>
    <w:tbl>
      <w:tblPr>
        <w:tblStyle w:val="7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43"/>
        <w:gridCol w:w="2287"/>
        <w:gridCol w:w="1825"/>
        <w:gridCol w:w="2661"/>
      </w:tblGrid>
      <w:tr w14:paraId="3063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3D9201CF">
            <w:pPr>
              <w:pStyle w:val="557"/>
              <w:rPr>
                <w:rFonts w:eastAsiaTheme="minorEastAsia"/>
              </w:rPr>
            </w:pPr>
            <w:r>
              <w:rPr>
                <w:rFonts w:eastAsiaTheme="minorEastAsia"/>
              </w:rPr>
              <w:t>序号</w:t>
            </w:r>
          </w:p>
        </w:tc>
        <w:tc>
          <w:tcPr>
            <w:tcW w:w="1375" w:type="pct"/>
            <w:vAlign w:val="center"/>
          </w:tcPr>
          <w:p w14:paraId="255C4568">
            <w:pPr>
              <w:pStyle w:val="557"/>
              <w:rPr>
                <w:rFonts w:eastAsiaTheme="minorEastAsia"/>
              </w:rPr>
            </w:pPr>
            <w:r>
              <w:rPr>
                <w:rFonts w:eastAsiaTheme="minorEastAsia"/>
              </w:rPr>
              <w:t>项目</w:t>
            </w:r>
          </w:p>
        </w:tc>
        <w:tc>
          <w:tcPr>
            <w:tcW w:w="1097" w:type="pct"/>
            <w:vAlign w:val="center"/>
          </w:tcPr>
          <w:p w14:paraId="5FDF6D23">
            <w:pPr>
              <w:pStyle w:val="557"/>
              <w:rPr>
                <w:rFonts w:eastAsiaTheme="minorEastAsia"/>
              </w:rPr>
            </w:pPr>
            <w:r>
              <w:rPr>
                <w:rFonts w:eastAsiaTheme="minorEastAsia"/>
              </w:rPr>
              <w:t>单位</w:t>
            </w:r>
          </w:p>
        </w:tc>
        <w:tc>
          <w:tcPr>
            <w:tcW w:w="1600" w:type="pct"/>
            <w:vAlign w:val="center"/>
          </w:tcPr>
          <w:p w14:paraId="196AC710">
            <w:pPr>
              <w:pStyle w:val="557"/>
              <w:rPr>
                <w:rFonts w:eastAsiaTheme="minorEastAsia"/>
              </w:rPr>
            </w:pPr>
            <w:r>
              <w:rPr>
                <w:rFonts w:eastAsiaTheme="minorEastAsia"/>
              </w:rPr>
              <w:t>标准值</w:t>
            </w:r>
          </w:p>
        </w:tc>
      </w:tr>
      <w:tr w14:paraId="28D1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6F9281FC">
            <w:pPr>
              <w:pStyle w:val="557"/>
              <w:rPr>
                <w:rFonts w:eastAsiaTheme="minorEastAsia"/>
              </w:rPr>
            </w:pPr>
            <w:r>
              <w:rPr>
                <w:rFonts w:eastAsiaTheme="minorEastAsia"/>
              </w:rPr>
              <w:t>1</w:t>
            </w:r>
          </w:p>
        </w:tc>
        <w:tc>
          <w:tcPr>
            <w:tcW w:w="1375" w:type="pct"/>
            <w:vAlign w:val="center"/>
          </w:tcPr>
          <w:p w14:paraId="62918D91">
            <w:pPr>
              <w:pStyle w:val="557"/>
              <w:rPr>
                <w:rFonts w:eastAsiaTheme="minorEastAsia"/>
              </w:rPr>
            </w:pPr>
            <w:r>
              <w:rPr>
                <w:rFonts w:eastAsiaTheme="minorEastAsia"/>
              </w:rPr>
              <w:t>pH</w:t>
            </w:r>
          </w:p>
        </w:tc>
        <w:tc>
          <w:tcPr>
            <w:tcW w:w="1097" w:type="pct"/>
            <w:vAlign w:val="center"/>
          </w:tcPr>
          <w:p w14:paraId="04F0D89C">
            <w:pPr>
              <w:pStyle w:val="557"/>
              <w:rPr>
                <w:rFonts w:eastAsiaTheme="minorEastAsia"/>
              </w:rPr>
            </w:pPr>
            <w:r>
              <w:rPr>
                <w:rFonts w:hint="eastAsia" w:eastAsiaTheme="minorEastAsia"/>
              </w:rPr>
              <w:t>/</w:t>
            </w:r>
          </w:p>
        </w:tc>
        <w:tc>
          <w:tcPr>
            <w:tcW w:w="1600" w:type="pct"/>
            <w:vAlign w:val="center"/>
          </w:tcPr>
          <w:p w14:paraId="26B27F7D">
            <w:pPr>
              <w:pStyle w:val="557"/>
              <w:rPr>
                <w:rFonts w:eastAsiaTheme="minorEastAsia"/>
              </w:rPr>
            </w:pPr>
            <w:r>
              <w:rPr>
                <w:rFonts w:eastAsiaTheme="minorEastAsia"/>
              </w:rPr>
              <w:t>7~9</w:t>
            </w:r>
          </w:p>
        </w:tc>
      </w:tr>
      <w:tr w14:paraId="5C2C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0B5ABD31">
            <w:pPr>
              <w:pStyle w:val="557"/>
              <w:rPr>
                <w:rFonts w:eastAsiaTheme="minorEastAsia"/>
              </w:rPr>
            </w:pPr>
            <w:r>
              <w:rPr>
                <w:rFonts w:eastAsiaTheme="minorEastAsia"/>
              </w:rPr>
              <w:t>2</w:t>
            </w:r>
          </w:p>
        </w:tc>
        <w:tc>
          <w:tcPr>
            <w:tcW w:w="1375" w:type="pct"/>
            <w:vAlign w:val="center"/>
          </w:tcPr>
          <w:p w14:paraId="3318B613">
            <w:pPr>
              <w:pStyle w:val="557"/>
              <w:rPr>
                <w:rFonts w:eastAsiaTheme="minorEastAsia"/>
              </w:rPr>
            </w:pPr>
            <w:r>
              <w:rPr>
                <w:rFonts w:eastAsiaTheme="minorEastAsia"/>
              </w:rPr>
              <w:t>CODCr</w:t>
            </w:r>
          </w:p>
        </w:tc>
        <w:tc>
          <w:tcPr>
            <w:tcW w:w="1097" w:type="pct"/>
            <w:vAlign w:val="center"/>
          </w:tcPr>
          <w:p w14:paraId="560DD65C">
            <w:pPr>
              <w:pStyle w:val="557"/>
              <w:rPr>
                <w:rFonts w:eastAsiaTheme="minorEastAsia"/>
              </w:rPr>
            </w:pPr>
            <w:r>
              <w:rPr>
                <w:rFonts w:eastAsiaTheme="minorEastAsia"/>
              </w:rPr>
              <w:t>mg/L</w:t>
            </w:r>
          </w:p>
        </w:tc>
        <w:tc>
          <w:tcPr>
            <w:tcW w:w="1600" w:type="pct"/>
            <w:vAlign w:val="center"/>
          </w:tcPr>
          <w:p w14:paraId="6BE570FE">
            <w:pPr>
              <w:pStyle w:val="557"/>
              <w:rPr>
                <w:rFonts w:eastAsiaTheme="minorEastAsia"/>
              </w:rPr>
            </w:pPr>
            <w:r>
              <w:rPr>
                <w:rFonts w:eastAsiaTheme="minorEastAsia"/>
              </w:rPr>
              <w:t>60</w:t>
            </w:r>
          </w:p>
        </w:tc>
      </w:tr>
      <w:tr w14:paraId="7714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3B7C3E85">
            <w:pPr>
              <w:pStyle w:val="557"/>
              <w:rPr>
                <w:rFonts w:eastAsiaTheme="minorEastAsia"/>
              </w:rPr>
            </w:pPr>
            <w:r>
              <w:rPr>
                <w:rFonts w:eastAsiaTheme="minorEastAsia"/>
              </w:rPr>
              <w:t>3</w:t>
            </w:r>
          </w:p>
        </w:tc>
        <w:tc>
          <w:tcPr>
            <w:tcW w:w="1375" w:type="pct"/>
            <w:vAlign w:val="center"/>
          </w:tcPr>
          <w:p w14:paraId="2877447E">
            <w:pPr>
              <w:pStyle w:val="557"/>
              <w:rPr>
                <w:rFonts w:eastAsiaTheme="minorEastAsia"/>
              </w:rPr>
            </w:pPr>
            <w:r>
              <w:rPr>
                <w:rFonts w:eastAsiaTheme="minorEastAsia"/>
              </w:rPr>
              <w:t>氨氮</w:t>
            </w:r>
          </w:p>
        </w:tc>
        <w:tc>
          <w:tcPr>
            <w:tcW w:w="1097" w:type="pct"/>
            <w:vAlign w:val="center"/>
          </w:tcPr>
          <w:p w14:paraId="028B56E4">
            <w:pPr>
              <w:pStyle w:val="557"/>
              <w:rPr>
                <w:rFonts w:eastAsiaTheme="minorEastAsia"/>
              </w:rPr>
            </w:pPr>
            <w:r>
              <w:rPr>
                <w:rFonts w:eastAsiaTheme="minorEastAsia"/>
              </w:rPr>
              <w:t>mg/L</w:t>
            </w:r>
          </w:p>
        </w:tc>
        <w:tc>
          <w:tcPr>
            <w:tcW w:w="1600" w:type="pct"/>
            <w:vAlign w:val="center"/>
          </w:tcPr>
          <w:p w14:paraId="36911663">
            <w:pPr>
              <w:pStyle w:val="557"/>
              <w:rPr>
                <w:rFonts w:eastAsiaTheme="minorEastAsia"/>
              </w:rPr>
            </w:pPr>
            <w:r>
              <w:rPr>
                <w:rFonts w:eastAsiaTheme="minorEastAsia"/>
              </w:rPr>
              <w:t>5</w:t>
            </w:r>
          </w:p>
        </w:tc>
      </w:tr>
      <w:tr w14:paraId="2C91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6C20C5C1">
            <w:pPr>
              <w:pStyle w:val="557"/>
              <w:rPr>
                <w:rFonts w:eastAsiaTheme="minorEastAsia"/>
              </w:rPr>
            </w:pPr>
            <w:r>
              <w:rPr>
                <w:rFonts w:eastAsiaTheme="minorEastAsia"/>
              </w:rPr>
              <w:t>4</w:t>
            </w:r>
          </w:p>
        </w:tc>
        <w:tc>
          <w:tcPr>
            <w:tcW w:w="1375" w:type="pct"/>
            <w:vAlign w:val="center"/>
          </w:tcPr>
          <w:p w14:paraId="404F717A">
            <w:pPr>
              <w:pStyle w:val="557"/>
              <w:rPr>
                <w:rFonts w:eastAsiaTheme="minorEastAsia"/>
              </w:rPr>
            </w:pPr>
            <w:r>
              <w:rPr>
                <w:rFonts w:eastAsiaTheme="minorEastAsia"/>
              </w:rPr>
              <w:t>TN</w:t>
            </w:r>
          </w:p>
        </w:tc>
        <w:tc>
          <w:tcPr>
            <w:tcW w:w="1097" w:type="pct"/>
            <w:vAlign w:val="center"/>
          </w:tcPr>
          <w:p w14:paraId="42C1329B">
            <w:pPr>
              <w:pStyle w:val="557"/>
              <w:rPr>
                <w:rFonts w:eastAsiaTheme="minorEastAsia"/>
              </w:rPr>
            </w:pPr>
            <w:r>
              <w:rPr>
                <w:rFonts w:eastAsiaTheme="minorEastAsia"/>
              </w:rPr>
              <w:t>mg/L</w:t>
            </w:r>
          </w:p>
        </w:tc>
        <w:tc>
          <w:tcPr>
            <w:tcW w:w="1600" w:type="pct"/>
            <w:vAlign w:val="center"/>
          </w:tcPr>
          <w:p w14:paraId="08BF439F">
            <w:pPr>
              <w:pStyle w:val="557"/>
              <w:rPr>
                <w:rFonts w:eastAsiaTheme="minorEastAsia"/>
              </w:rPr>
            </w:pPr>
            <w:r>
              <w:rPr>
                <w:rFonts w:eastAsiaTheme="minorEastAsia"/>
              </w:rPr>
              <w:t>15</w:t>
            </w:r>
          </w:p>
        </w:tc>
      </w:tr>
      <w:tr w14:paraId="01EE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734C98BA">
            <w:pPr>
              <w:pStyle w:val="557"/>
              <w:rPr>
                <w:rFonts w:eastAsiaTheme="minorEastAsia"/>
              </w:rPr>
            </w:pPr>
            <w:r>
              <w:rPr>
                <w:rFonts w:eastAsiaTheme="minorEastAsia"/>
              </w:rPr>
              <w:t>5</w:t>
            </w:r>
          </w:p>
        </w:tc>
        <w:tc>
          <w:tcPr>
            <w:tcW w:w="1375" w:type="pct"/>
            <w:vAlign w:val="center"/>
          </w:tcPr>
          <w:p w14:paraId="5C8C0125">
            <w:pPr>
              <w:pStyle w:val="557"/>
              <w:rPr>
                <w:rFonts w:eastAsiaTheme="minorEastAsia"/>
              </w:rPr>
            </w:pPr>
            <w:r>
              <w:rPr>
                <w:rFonts w:eastAsiaTheme="minorEastAsia"/>
              </w:rPr>
              <w:t>硫化物</w:t>
            </w:r>
          </w:p>
        </w:tc>
        <w:tc>
          <w:tcPr>
            <w:tcW w:w="1097" w:type="pct"/>
            <w:vAlign w:val="center"/>
          </w:tcPr>
          <w:p w14:paraId="0214BFBD">
            <w:pPr>
              <w:pStyle w:val="557"/>
              <w:rPr>
                <w:rFonts w:eastAsiaTheme="minorEastAsia"/>
              </w:rPr>
            </w:pPr>
            <w:r>
              <w:rPr>
                <w:rFonts w:eastAsiaTheme="minorEastAsia"/>
              </w:rPr>
              <w:t>mg/L</w:t>
            </w:r>
          </w:p>
        </w:tc>
        <w:tc>
          <w:tcPr>
            <w:tcW w:w="1600" w:type="pct"/>
            <w:vAlign w:val="center"/>
          </w:tcPr>
          <w:p w14:paraId="710C5A39">
            <w:pPr>
              <w:pStyle w:val="557"/>
              <w:rPr>
                <w:rFonts w:eastAsiaTheme="minorEastAsia"/>
              </w:rPr>
            </w:pPr>
            <w:r>
              <w:rPr>
                <w:rFonts w:eastAsiaTheme="minorEastAsia"/>
              </w:rPr>
              <w:t>0.5</w:t>
            </w:r>
          </w:p>
        </w:tc>
      </w:tr>
      <w:tr w14:paraId="52DC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2992B71E">
            <w:pPr>
              <w:pStyle w:val="557"/>
              <w:rPr>
                <w:rFonts w:eastAsiaTheme="minorEastAsia"/>
              </w:rPr>
            </w:pPr>
            <w:r>
              <w:rPr>
                <w:rFonts w:eastAsiaTheme="minorEastAsia"/>
              </w:rPr>
              <w:t>6</w:t>
            </w:r>
          </w:p>
        </w:tc>
        <w:tc>
          <w:tcPr>
            <w:tcW w:w="1375" w:type="pct"/>
            <w:vAlign w:val="center"/>
          </w:tcPr>
          <w:p w14:paraId="7C87C13B">
            <w:pPr>
              <w:pStyle w:val="557"/>
              <w:rPr>
                <w:rFonts w:eastAsiaTheme="minorEastAsia"/>
              </w:rPr>
            </w:pPr>
            <w:r>
              <w:rPr>
                <w:rFonts w:hint="eastAsia" w:eastAsiaTheme="minorEastAsia"/>
              </w:rPr>
              <w:t>氰化物</w:t>
            </w:r>
          </w:p>
        </w:tc>
        <w:tc>
          <w:tcPr>
            <w:tcW w:w="1097" w:type="pct"/>
            <w:vAlign w:val="center"/>
          </w:tcPr>
          <w:p w14:paraId="7F0CE246">
            <w:pPr>
              <w:pStyle w:val="557"/>
              <w:rPr>
                <w:rFonts w:eastAsiaTheme="minorEastAsia"/>
              </w:rPr>
            </w:pPr>
            <w:r>
              <w:rPr>
                <w:rFonts w:eastAsiaTheme="minorEastAsia"/>
              </w:rPr>
              <w:t>mg/L</w:t>
            </w:r>
          </w:p>
        </w:tc>
        <w:tc>
          <w:tcPr>
            <w:tcW w:w="1600" w:type="pct"/>
            <w:vAlign w:val="center"/>
          </w:tcPr>
          <w:p w14:paraId="2C51A2B9">
            <w:pPr>
              <w:pStyle w:val="557"/>
              <w:rPr>
                <w:rFonts w:eastAsiaTheme="minorEastAsia"/>
              </w:rPr>
            </w:pPr>
            <w:r>
              <w:rPr>
                <w:rFonts w:eastAsiaTheme="minorEastAsia"/>
              </w:rPr>
              <w:t>8</w:t>
            </w:r>
          </w:p>
        </w:tc>
      </w:tr>
      <w:tr w14:paraId="08D4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6B6D4CC1">
            <w:pPr>
              <w:pStyle w:val="557"/>
              <w:rPr>
                <w:rFonts w:eastAsiaTheme="minorEastAsia"/>
              </w:rPr>
            </w:pPr>
            <w:r>
              <w:rPr>
                <w:rFonts w:eastAsiaTheme="minorEastAsia"/>
              </w:rPr>
              <w:t>7</w:t>
            </w:r>
          </w:p>
        </w:tc>
        <w:tc>
          <w:tcPr>
            <w:tcW w:w="1375" w:type="pct"/>
            <w:vAlign w:val="center"/>
          </w:tcPr>
          <w:p w14:paraId="5B2689AA">
            <w:pPr>
              <w:pStyle w:val="557"/>
              <w:rPr>
                <w:rFonts w:eastAsiaTheme="minorEastAsia"/>
              </w:rPr>
            </w:pPr>
            <w:r>
              <w:rPr>
                <w:rFonts w:eastAsiaTheme="minorEastAsia"/>
              </w:rPr>
              <w:t>石油类</w:t>
            </w:r>
          </w:p>
        </w:tc>
        <w:tc>
          <w:tcPr>
            <w:tcW w:w="1097" w:type="pct"/>
            <w:vAlign w:val="center"/>
          </w:tcPr>
          <w:p w14:paraId="707C1AD8">
            <w:pPr>
              <w:pStyle w:val="557"/>
              <w:rPr>
                <w:rFonts w:eastAsiaTheme="minorEastAsia"/>
              </w:rPr>
            </w:pPr>
            <w:r>
              <w:rPr>
                <w:rFonts w:eastAsiaTheme="minorEastAsia"/>
              </w:rPr>
              <w:t>mg/L</w:t>
            </w:r>
          </w:p>
        </w:tc>
        <w:tc>
          <w:tcPr>
            <w:tcW w:w="1600" w:type="pct"/>
            <w:vAlign w:val="center"/>
          </w:tcPr>
          <w:p w14:paraId="641EB35F">
            <w:pPr>
              <w:pStyle w:val="557"/>
              <w:rPr>
                <w:rFonts w:eastAsiaTheme="minorEastAsia"/>
              </w:rPr>
            </w:pPr>
            <w:r>
              <w:rPr>
                <w:rFonts w:eastAsiaTheme="minorEastAsia"/>
              </w:rPr>
              <w:t>5</w:t>
            </w:r>
          </w:p>
        </w:tc>
      </w:tr>
      <w:tr w14:paraId="790B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8" w:type="pct"/>
            <w:vAlign w:val="center"/>
          </w:tcPr>
          <w:p w14:paraId="50DDA4AC">
            <w:pPr>
              <w:pStyle w:val="557"/>
              <w:rPr>
                <w:rFonts w:eastAsiaTheme="minorEastAsia"/>
              </w:rPr>
            </w:pPr>
            <w:r>
              <w:rPr>
                <w:rFonts w:eastAsiaTheme="minorEastAsia"/>
              </w:rPr>
              <w:t>8</w:t>
            </w:r>
          </w:p>
        </w:tc>
        <w:tc>
          <w:tcPr>
            <w:tcW w:w="1375" w:type="pct"/>
            <w:vAlign w:val="center"/>
          </w:tcPr>
          <w:p w14:paraId="62032FAD">
            <w:pPr>
              <w:pStyle w:val="557"/>
              <w:rPr>
                <w:rFonts w:eastAsiaTheme="minorEastAsia"/>
              </w:rPr>
            </w:pPr>
            <w:r>
              <w:rPr>
                <w:rFonts w:eastAsiaTheme="minorEastAsia"/>
              </w:rPr>
              <w:t>TDS</w:t>
            </w:r>
          </w:p>
        </w:tc>
        <w:tc>
          <w:tcPr>
            <w:tcW w:w="1097" w:type="pct"/>
            <w:vAlign w:val="center"/>
          </w:tcPr>
          <w:p w14:paraId="2F48EDD8">
            <w:pPr>
              <w:pStyle w:val="557"/>
              <w:rPr>
                <w:rFonts w:eastAsiaTheme="minorEastAsia"/>
              </w:rPr>
            </w:pPr>
            <w:r>
              <w:rPr>
                <w:rFonts w:eastAsiaTheme="minorEastAsia"/>
              </w:rPr>
              <w:t>mg/L</w:t>
            </w:r>
          </w:p>
        </w:tc>
        <w:tc>
          <w:tcPr>
            <w:tcW w:w="1600" w:type="pct"/>
            <w:vAlign w:val="center"/>
          </w:tcPr>
          <w:p w14:paraId="1BD943D3">
            <w:pPr>
              <w:pStyle w:val="557"/>
              <w:rPr>
                <w:rFonts w:eastAsiaTheme="minorEastAsia"/>
              </w:rPr>
            </w:pPr>
            <w:r>
              <w:rPr>
                <w:rFonts w:eastAsiaTheme="minorEastAsia"/>
              </w:rPr>
              <w:t>1600</w:t>
            </w:r>
          </w:p>
        </w:tc>
      </w:tr>
    </w:tbl>
    <w:p w14:paraId="4FEB4295">
      <w:pPr>
        <w:pStyle w:val="814"/>
        <w:rPr>
          <w:rFonts w:hint="eastAsia"/>
        </w:rPr>
      </w:pPr>
      <w:r>
        <w:rPr>
          <w:rFonts w:hint="eastAsia"/>
        </w:rPr>
        <w:t>工艺流程</w:t>
      </w:r>
    </w:p>
    <w:p w14:paraId="0F6625B9">
      <w:pPr>
        <w:pStyle w:val="281"/>
        <w:ind w:firstLine="480"/>
      </w:pPr>
      <w:bookmarkStart w:id="395" w:name="_Hlk193110235"/>
      <w:r>
        <w:t>（1）</w:t>
      </w:r>
      <w:bookmarkStart w:id="396" w:name="_Hlk162628032"/>
      <w:r>
        <w:t>煤气化装置气化灰水</w:t>
      </w:r>
      <w:bookmarkEnd w:id="396"/>
      <w:r>
        <w:t>预处理系统</w:t>
      </w:r>
    </w:p>
    <w:p w14:paraId="5CC1EAA5">
      <w:pPr>
        <w:snapToGrid w:val="0"/>
        <w:spacing w:line="360" w:lineRule="auto"/>
        <w:ind w:firstLine="480"/>
        <w:rPr>
          <w:rFonts w:ascii="Times New Roman" w:hAnsi="Times New Roman" w:cs="Times New Roman"/>
        </w:rPr>
      </w:pPr>
      <w:r>
        <w:rPr>
          <w:rFonts w:hint="eastAsia" w:ascii="Times New Roman" w:hAnsi="Times New Roman" w:cs="Times New Roman"/>
        </w:rPr>
        <w:t>气化废水温度较高，一般水温高于</w:t>
      </w:r>
      <w:r>
        <w:rPr>
          <w:rFonts w:ascii="Times New Roman" w:hAnsi="Times New Roman" w:cs="Times New Roman"/>
        </w:rPr>
        <w:t>45°C</w:t>
      </w:r>
      <w:r>
        <w:rPr>
          <w:rFonts w:hint="eastAsia" w:ascii="Times New Roman" w:hAnsi="Times New Roman" w:cs="Times New Roman"/>
        </w:rPr>
        <w:t>以上，不利于好氧微生物的生长和代谢，因此，气化废水温度需要降低到</w:t>
      </w:r>
      <w:r>
        <w:rPr>
          <w:rFonts w:ascii="Times New Roman" w:hAnsi="Times New Roman" w:cs="Times New Roman"/>
        </w:rPr>
        <w:t>35°C</w:t>
      </w:r>
      <w:r>
        <w:rPr>
          <w:rFonts w:hint="eastAsia" w:ascii="Times New Roman" w:hAnsi="Times New Roman" w:cs="Times New Roman"/>
        </w:rPr>
        <w:t>以下，甚至更低再和其他废水混合。</w:t>
      </w:r>
    </w:p>
    <w:p w14:paraId="16539DE0">
      <w:pPr>
        <w:pStyle w:val="281"/>
        <w:ind w:firstLine="480"/>
      </w:pPr>
      <w:r>
        <w:rPr>
          <w:rFonts w:hint="eastAsia"/>
        </w:rPr>
        <w:t>根据水质分析内容，本项目针对气化污水的高温污染进行单独的预处理，采用冷却塔的形式冷却气化污水，在夏季时将气化污水水温降至常温，使得好氧系统夏季温度维持在</w:t>
      </w:r>
      <w:r>
        <w:t>20~35</w:t>
      </w:r>
      <w:r>
        <w:rPr>
          <w:rFonts w:hint="eastAsia"/>
        </w:rPr>
        <w:t>℃范围；当在冬季时，利用高温的气化污水，使得好氧系统冬季温度维持在</w:t>
      </w:r>
      <w:r>
        <w:t>20~35</w:t>
      </w:r>
      <w:r>
        <w:rPr>
          <w:rFonts w:hint="eastAsia"/>
        </w:rPr>
        <w:t>℃范围。因此本项目针对气化污水设置降温预处理，采用冷却塔的形式。</w:t>
      </w:r>
    </w:p>
    <w:p w14:paraId="20DC5D5D">
      <w:pPr>
        <w:pStyle w:val="281"/>
        <w:ind w:firstLine="480"/>
      </w:pPr>
      <w:r>
        <w:t>（2）</w:t>
      </w:r>
      <w:r>
        <w:rPr>
          <w:rFonts w:hint="eastAsia" w:ascii="宋体" w:hAnsi="宋体"/>
        </w:rPr>
        <w:t>综合废水处理系统</w:t>
      </w:r>
    </w:p>
    <w:p w14:paraId="40F67B19">
      <w:pPr>
        <w:pStyle w:val="281"/>
        <w:ind w:firstLine="480"/>
        <w:rPr>
          <w:rFonts w:cs="Times New Roman"/>
        </w:rPr>
      </w:pPr>
      <w:r>
        <w:rPr>
          <w:rFonts w:hint="eastAsia" w:cs="Times New Roman"/>
        </w:rPr>
        <w:t>气化废水经预处理后，与其他生产、生活污水在综合调节池均质均量后，泵提至高密度沉淀池，通过投加液碱、</w:t>
      </w:r>
      <w:r>
        <w:rPr>
          <w:rFonts w:cs="Times New Roman"/>
        </w:rPr>
        <w:t>PAC</w:t>
      </w:r>
      <w:r>
        <w:rPr>
          <w:rFonts w:hint="eastAsia" w:cs="Times New Roman"/>
        </w:rPr>
        <w:t>、</w:t>
      </w:r>
      <w:r>
        <w:rPr>
          <w:rFonts w:cs="Times New Roman"/>
        </w:rPr>
        <w:t>PAM</w:t>
      </w:r>
      <w:r>
        <w:rPr>
          <w:rFonts w:hint="eastAsia" w:cs="Times New Roman"/>
        </w:rPr>
        <w:t>药剂去除硬度及悬浮物后，污泥排至物化污泥储池，上清液自流进入</w:t>
      </w:r>
      <w:r>
        <w:rPr>
          <w:rFonts w:cs="Times New Roman"/>
        </w:rPr>
        <w:t>HBF</w:t>
      </w:r>
      <w:r>
        <w:rPr>
          <w:rFonts w:hint="eastAsia" w:cs="Times New Roman"/>
        </w:rPr>
        <w:t>工艺；</w:t>
      </w:r>
      <w:r>
        <w:rPr>
          <w:rFonts w:cs="Times New Roman"/>
        </w:rPr>
        <w:t>HBF</w:t>
      </w:r>
      <w:r>
        <w:rPr>
          <w:rFonts w:hint="eastAsia" w:cs="Times New Roman"/>
        </w:rPr>
        <w:t>生化工艺出水</w:t>
      </w:r>
      <w:r>
        <w:rPr>
          <w:rFonts w:cs="Times New Roman"/>
        </w:rPr>
        <w:t>COD</w:t>
      </w:r>
      <w:r>
        <w:rPr>
          <w:rFonts w:hint="eastAsia" w:cs="Times New Roman"/>
        </w:rPr>
        <w:t>可降解至</w:t>
      </w:r>
      <w:r>
        <w:rPr>
          <w:rFonts w:cs="Times New Roman"/>
        </w:rPr>
        <w:t>50mg/L</w:t>
      </w:r>
      <w:r>
        <w:rPr>
          <w:rFonts w:hint="eastAsia" w:cs="Times New Roman"/>
        </w:rPr>
        <w:t>左右，氨氮可降解至</w:t>
      </w:r>
      <w:r>
        <w:rPr>
          <w:rFonts w:cs="Times New Roman"/>
        </w:rPr>
        <w:t>2mg/L</w:t>
      </w:r>
      <w:r>
        <w:rPr>
          <w:rFonts w:hint="eastAsia" w:cs="Times New Roman"/>
        </w:rPr>
        <w:t>左右，总氮可降至</w:t>
      </w:r>
      <w:r>
        <w:rPr>
          <w:rFonts w:cs="Times New Roman"/>
        </w:rPr>
        <w:t>15mg/L</w:t>
      </w:r>
      <w:r>
        <w:rPr>
          <w:rFonts w:hint="eastAsia" w:cs="Times New Roman"/>
        </w:rPr>
        <w:t>左右。</w:t>
      </w:r>
    </w:p>
    <w:p w14:paraId="4ADD3E68">
      <w:pPr>
        <w:pStyle w:val="281"/>
        <w:ind w:firstLine="480"/>
        <w:rPr>
          <w:rFonts w:cs="Times New Roman"/>
        </w:rPr>
      </w:pPr>
      <w:r>
        <w:rPr>
          <w:rFonts w:cs="Times New Roman"/>
        </w:rPr>
        <w:t>HBF</w:t>
      </w:r>
      <w:r>
        <w:rPr>
          <w:rFonts w:hint="eastAsia" w:cs="Times New Roman"/>
        </w:rPr>
        <w:t>工艺是在活性污泥法基础上，结合生物膜法的优势，以生物反应动力学、静态固液分离原理及合理的水力条件为基础而开发的一种具有系统组成简单、运行灵活和可靠性好等优良特点的废水处理新工艺。结合新型酶浮填料的生物富集优势，在原有的序批反应分离池内填装，增加硝化细菌比例，将原有占地较大的连续流二沉池优化为交替出水序批反应池，通过出水前的静置沉淀及斜板过滤提升出水水质并节省占地，尤其适用于占地面积小，处理要求高的废水处理工程。具体根据来水水质和最终出水要求，可以细分为</w:t>
      </w:r>
      <w:r>
        <w:rPr>
          <w:rFonts w:cs="Times New Roman"/>
        </w:rPr>
        <w:t>HBF-</w:t>
      </w:r>
      <w:r>
        <w:rPr>
          <w:rFonts w:hint="eastAsia" w:cs="Times New Roman"/>
        </w:rPr>
        <w:t>改进型高负荷好氧工艺、</w:t>
      </w:r>
      <w:r>
        <w:rPr>
          <w:rFonts w:cs="Times New Roman"/>
        </w:rPr>
        <w:t>HBF-</w:t>
      </w:r>
      <w:r>
        <w:rPr>
          <w:rFonts w:hint="eastAsia" w:cs="Times New Roman"/>
        </w:rPr>
        <w:t>改进型</w:t>
      </w:r>
      <w:r>
        <w:rPr>
          <w:rFonts w:cs="Times New Roman"/>
        </w:rPr>
        <w:t>AO</w:t>
      </w:r>
      <w:r>
        <w:rPr>
          <w:rFonts w:hint="eastAsia" w:cs="Times New Roman"/>
        </w:rPr>
        <w:t>工艺或改</w:t>
      </w:r>
      <w:r>
        <w:rPr>
          <w:rFonts w:cs="Times New Roman"/>
        </w:rPr>
        <w:t>HBF-</w:t>
      </w:r>
      <w:r>
        <w:rPr>
          <w:rFonts w:hint="eastAsia" w:cs="Times New Roman"/>
        </w:rPr>
        <w:t>进型两级</w:t>
      </w:r>
      <w:r>
        <w:rPr>
          <w:rFonts w:cs="Times New Roman"/>
        </w:rPr>
        <w:t>AO</w:t>
      </w:r>
      <w:r>
        <w:rPr>
          <w:rFonts w:hint="eastAsia" w:cs="Times New Roman"/>
        </w:rPr>
        <w:t>工艺。</w:t>
      </w:r>
    </w:p>
    <w:p w14:paraId="24AFEAD5">
      <w:pPr>
        <w:pStyle w:val="281"/>
        <w:ind w:firstLine="480"/>
        <w:rPr>
          <w:rFonts w:cs="Times New Roman"/>
        </w:rPr>
      </w:pPr>
      <w:r>
        <w:rPr>
          <w:rFonts w:hint="eastAsia" w:cs="Times New Roman"/>
        </w:rPr>
        <w:t>本项目来水的氨氮较高、碳氮比低以及后端对于</w:t>
      </w:r>
      <w:r>
        <w:rPr>
          <w:rFonts w:cs="Times New Roman"/>
        </w:rPr>
        <w:t>COD</w:t>
      </w:r>
      <w:r>
        <w:rPr>
          <w:rFonts w:hint="eastAsia" w:cs="Times New Roman"/>
        </w:rPr>
        <w:t>和总氮的出水要求较高，因此根据需求应采</w:t>
      </w:r>
      <w:bookmarkStart w:id="397" w:name="_Hlk194948132"/>
      <w:r>
        <w:rPr>
          <w:rFonts w:hint="eastAsia" w:cs="Times New Roman"/>
        </w:rPr>
        <w:t>用</w:t>
      </w:r>
      <w:r>
        <w:rPr>
          <w:rFonts w:cs="Times New Roman"/>
        </w:rPr>
        <w:t>HBF-</w:t>
      </w:r>
      <w:r>
        <w:rPr>
          <w:rFonts w:hint="eastAsia" w:cs="Times New Roman"/>
        </w:rPr>
        <w:t>改进型两级</w:t>
      </w:r>
      <w:r>
        <w:rPr>
          <w:rFonts w:cs="Times New Roman"/>
        </w:rPr>
        <w:t>AO</w:t>
      </w:r>
      <w:r>
        <w:rPr>
          <w:rFonts w:hint="eastAsia" w:cs="Times New Roman"/>
        </w:rPr>
        <w:t>工艺</w:t>
      </w:r>
      <w:bookmarkEnd w:id="397"/>
      <w:r>
        <w:rPr>
          <w:rFonts w:hint="eastAsia" w:cs="Times New Roman"/>
        </w:rPr>
        <w:t>。</w:t>
      </w:r>
    </w:p>
    <w:p w14:paraId="0BD0B90F">
      <w:pPr>
        <w:pStyle w:val="281"/>
        <w:ind w:firstLine="480"/>
        <w:rPr>
          <w:rFonts w:cs="Times New Roman"/>
        </w:rPr>
      </w:pPr>
      <w:r>
        <w:rPr>
          <w:rFonts w:hint="eastAsia" w:cs="Times New Roman"/>
        </w:rPr>
        <w:t>（1）</w:t>
      </w:r>
      <w:r>
        <w:rPr>
          <w:rFonts w:cs="Times New Roman"/>
        </w:rPr>
        <w:t>HBF-</w:t>
      </w:r>
      <w:r>
        <w:rPr>
          <w:rFonts w:hint="eastAsia" w:cs="Times New Roman"/>
        </w:rPr>
        <w:t>改进型两级</w:t>
      </w:r>
      <w:r>
        <w:rPr>
          <w:rFonts w:cs="Times New Roman"/>
        </w:rPr>
        <w:t>AO</w:t>
      </w:r>
      <w:r>
        <w:rPr>
          <w:rFonts w:hint="eastAsia" w:cs="Times New Roman"/>
        </w:rPr>
        <w:t>工艺</w:t>
      </w:r>
    </w:p>
    <w:p w14:paraId="61583975">
      <w:pPr>
        <w:pStyle w:val="281"/>
        <w:ind w:firstLine="480"/>
        <w:rPr>
          <w:rFonts w:cs="Times New Roman"/>
        </w:rPr>
      </w:pPr>
      <w:r>
        <w:rPr>
          <w:rFonts w:cs="Times New Roman"/>
        </w:rPr>
        <w:t>HBF-</w:t>
      </w:r>
      <w:r>
        <w:rPr>
          <w:rFonts w:hint="eastAsia" w:cs="Times New Roman"/>
        </w:rPr>
        <w:t>改进型两级</w:t>
      </w:r>
      <w:r>
        <w:rPr>
          <w:rFonts w:cs="Times New Roman"/>
        </w:rPr>
        <w:t>AO</w:t>
      </w:r>
      <w:r>
        <w:rPr>
          <w:rFonts w:hint="eastAsia" w:cs="Times New Roman"/>
        </w:rPr>
        <w:t>工艺是在传统的</w:t>
      </w:r>
      <w:r>
        <w:rPr>
          <w:rFonts w:cs="Times New Roman"/>
        </w:rPr>
        <w:t>A/O</w:t>
      </w:r>
      <w:r>
        <w:rPr>
          <w:rFonts w:hint="eastAsia" w:cs="Times New Roman"/>
        </w:rPr>
        <w:t>工艺及</w:t>
      </w:r>
      <w:r>
        <w:rPr>
          <w:rFonts w:cs="Times New Roman"/>
        </w:rPr>
        <w:t>SBR</w:t>
      </w:r>
      <w:r>
        <w:rPr>
          <w:rFonts w:hint="eastAsia" w:cs="Times New Roman"/>
        </w:rPr>
        <w:t>技术的基础上改进成功的污水处理工艺，其实质是两级</w:t>
      </w:r>
      <w:r>
        <w:rPr>
          <w:rFonts w:cs="Times New Roman"/>
        </w:rPr>
        <w:t>AO</w:t>
      </w:r>
      <w:r>
        <w:rPr>
          <w:rFonts w:hint="eastAsia" w:cs="Times New Roman"/>
        </w:rPr>
        <w:t>工艺后接序批反应分离，在好氧池或序批池内增加酶浮填料，因此具备浅层沉淀特性。该工艺配套使用供气式射流曝气，避免了普通微孔曝气不适用于高污泥浓度的情况（寿命短、易污堵）的问题。</w:t>
      </w:r>
    </w:p>
    <w:p w14:paraId="10A12283">
      <w:pPr>
        <w:pStyle w:val="281"/>
        <w:ind w:firstLine="480"/>
      </w:pPr>
      <w:r>
        <w:rPr>
          <w:rFonts w:hint="eastAsia"/>
        </w:rPr>
        <w:t>污水进入</w:t>
      </w:r>
      <w:r>
        <w:t>HBF</w:t>
      </w:r>
      <w:r>
        <w:rPr>
          <w:rFonts w:hint="eastAsia"/>
        </w:rPr>
        <w:t>池的前置缺氧区，并与序批式沉淀池的回流污泥混合及前置好氧区回流的混合液混合，由前置好氧区至前置缺氧区的回流系统提供硝态氮，进行反硝化反应。前置缺氧池出水进入好氧池，经曝气去除大部分有机物及实现硝化反应，有超过</w:t>
      </w:r>
      <w:r>
        <w:t>80%</w:t>
      </w:r>
      <w:r>
        <w:rPr>
          <w:rFonts w:hint="eastAsia"/>
        </w:rPr>
        <w:t>的总氮在第一段</w:t>
      </w:r>
      <w:r>
        <w:t>AO</w:t>
      </w:r>
      <w:r>
        <w:rPr>
          <w:rFonts w:hint="eastAsia"/>
        </w:rPr>
        <w:t>得以去除，前置好氧出水再进入后置缺氧区，剩余的硝态氮在此处进行反硝化反应得到去除，出水进入后置好氧区，进一步对剩余有机物进行降解。后置好氧区出水流入序批沉淀池</w:t>
      </w:r>
      <w:r>
        <w:t>1</w:t>
      </w:r>
      <w:r>
        <w:rPr>
          <w:rFonts w:hint="eastAsia"/>
        </w:rPr>
        <w:t>或序批沉淀池</w:t>
      </w:r>
      <w:r>
        <w:t>2</w:t>
      </w:r>
      <w:r>
        <w:rPr>
          <w:rFonts w:hint="eastAsia"/>
        </w:rPr>
        <w:t>。如果序批沉淀池</w:t>
      </w:r>
      <w:r>
        <w:t>1</w:t>
      </w:r>
      <w:r>
        <w:rPr>
          <w:rFonts w:hint="eastAsia"/>
        </w:rPr>
        <w:t>作为沉淀池出水，则序批沉淀池</w:t>
      </w:r>
      <w:r>
        <w:t>2</w:t>
      </w:r>
      <w:r>
        <w:rPr>
          <w:rFonts w:hint="eastAsia"/>
        </w:rPr>
        <w:t>处于曝气好氧或沉淀状态，序批沉淀池的污泥通过污泥泵回流到前置缺氧区，污泥回流用于强化整个系统的反硝化效率及污泥浓度的平衡，根据要求的反硝化效率高低，可通过变速调节回流泵改变系统的回流量。剩余污泥从序批沉淀池排出直接送入生化污泥池。</w:t>
      </w:r>
    </w:p>
    <w:p w14:paraId="10B5A960">
      <w:pPr>
        <w:pStyle w:val="281"/>
        <w:ind w:firstLine="480"/>
      </w:pPr>
      <w:r>
        <w:rPr>
          <w:rFonts w:hint="eastAsia"/>
        </w:rPr>
        <w:t>（3）污泥处理</w:t>
      </w:r>
    </w:p>
    <w:p w14:paraId="242F7AAE">
      <w:pPr>
        <w:pStyle w:val="281"/>
        <w:ind w:firstLine="480"/>
      </w:pPr>
      <w:r>
        <w:rPr>
          <w:rFonts w:hint="eastAsia"/>
        </w:rPr>
        <w:t>根据本工程污泥处理包括生化污泥及物化污泥。根据工程投资、经营费用、运行维护、工程实例等各方面综合比较，本项目污泥脱水工艺考虑如下：</w:t>
      </w:r>
    </w:p>
    <w:p w14:paraId="4C821E88">
      <w:pPr>
        <w:pStyle w:val="281"/>
        <w:ind w:firstLine="480"/>
      </w:pPr>
      <w:r>
        <w:rPr>
          <w:rFonts w:hint="eastAsia"/>
        </w:rPr>
        <w:t>物化污泥系统：采用物化污泥池</w:t>
      </w:r>
      <w:r>
        <w:t>+</w:t>
      </w:r>
      <w:r>
        <w:rPr>
          <w:rFonts w:hint="eastAsia"/>
        </w:rPr>
        <w:t>高压隔膜板框工艺处理，脱水后的污泥含水率小于</w:t>
      </w:r>
      <w:r>
        <w:t>60%</w:t>
      </w:r>
      <w:r>
        <w:rPr>
          <w:rFonts w:hint="eastAsia"/>
        </w:rPr>
        <w:t>。</w:t>
      </w:r>
    </w:p>
    <w:p w14:paraId="36DA1F86">
      <w:pPr>
        <w:pStyle w:val="281"/>
        <w:ind w:firstLine="480"/>
      </w:pPr>
      <w:r>
        <w:rPr>
          <w:rFonts w:hint="eastAsia"/>
        </w:rPr>
        <w:t>生化污泥系统：采用叠螺脱水机</w:t>
      </w:r>
      <w:r>
        <w:t>+</w:t>
      </w:r>
      <w:r>
        <w:rPr>
          <w:rFonts w:hint="eastAsia"/>
        </w:rPr>
        <w:t>低温干化机工艺处理，脱水后的生化污泥含水率小于</w:t>
      </w:r>
      <w:r>
        <w:t>30%</w:t>
      </w:r>
      <w:r>
        <w:rPr>
          <w:rFonts w:hint="eastAsia"/>
        </w:rPr>
        <w:t>。</w:t>
      </w:r>
    </w:p>
    <w:p w14:paraId="68F82288">
      <w:pPr>
        <w:pStyle w:val="281"/>
        <w:ind w:firstLine="480"/>
      </w:pPr>
      <w:r>
        <w:rPr>
          <w:rFonts w:hint="eastAsia"/>
        </w:rPr>
        <w:t>（4）废气治理措施</w:t>
      </w:r>
    </w:p>
    <w:p w14:paraId="1251A6DB">
      <w:pPr>
        <w:pStyle w:val="281"/>
        <w:ind w:firstLine="480"/>
        <w:rPr>
          <w:rFonts w:cs="Times New Roman"/>
        </w:rPr>
      </w:pPr>
      <w:r>
        <w:rPr>
          <w:rFonts w:hint="eastAsia"/>
        </w:rPr>
        <w:t>各污水池及构筑物（调节池、高密池、</w:t>
      </w:r>
      <w:r>
        <w:t>HBF</w:t>
      </w:r>
      <w:r>
        <w:rPr>
          <w:rFonts w:hint="eastAsia"/>
        </w:rPr>
        <w:t>池、污泥池等）内产生的恶臭气体，经废气收集系统收集后，首先进入碱洗塔，吸附水溶性和酸性恶臭物质，然后利用水洗塔进一步去除水溶性有机物，并且去除碱洗塔可能带出的碱液，确保废气满足生物处理需求，生物除臭装置采用微生物降解原理降解废气中有机物。</w:t>
      </w:r>
    </w:p>
    <w:bookmarkEnd w:id="395"/>
    <w:p w14:paraId="617AE52A">
      <w:pPr>
        <w:pStyle w:val="281"/>
        <w:ind w:firstLine="480"/>
      </w:pPr>
      <w:r>
        <w:rPr>
          <w:rFonts w:hint="eastAsia"/>
        </w:rPr>
        <w:t>污水处理站处理工艺流程见图6</w:t>
      </w:r>
      <w:r>
        <w:t>.2.2-</w:t>
      </w:r>
      <w:r>
        <w:rPr>
          <w:rFonts w:hint="eastAsia"/>
        </w:rPr>
        <w:t>1。</w:t>
      </w:r>
    </w:p>
    <w:p w14:paraId="42B672A5">
      <w:pPr>
        <w:pStyle w:val="281"/>
        <w:ind w:firstLine="480"/>
      </w:pPr>
    </w:p>
    <w:p w14:paraId="6C58FD7A">
      <w:pPr>
        <w:pStyle w:val="645"/>
        <w:rPr>
          <w:rFonts w:hint="eastAsia"/>
        </w:rPr>
      </w:pPr>
      <w:r>
        <w:rPr>
          <w:rFonts w:hint="eastAsia"/>
        </w:rPr>
        <w:t>图6</w:t>
      </w:r>
      <w:r>
        <w:t>.2.2-</w:t>
      </w:r>
      <w:r>
        <w:rPr>
          <w:rFonts w:hint="eastAsia"/>
        </w:rPr>
        <w:t>1</w:t>
      </w:r>
      <w:r>
        <w:t xml:space="preserve">    </w:t>
      </w:r>
      <w:r>
        <w:rPr>
          <w:rFonts w:hint="eastAsia"/>
        </w:rPr>
        <w:t>污水处理站处理工艺流程图</w:t>
      </w:r>
    </w:p>
    <w:p w14:paraId="2D0133D9">
      <w:pPr>
        <w:pStyle w:val="814"/>
        <w:rPr>
          <w:rFonts w:hint="eastAsia"/>
        </w:rPr>
      </w:pPr>
      <w:r>
        <w:rPr>
          <w:rFonts w:hint="eastAsia"/>
        </w:rPr>
        <w:t>主要设备</w:t>
      </w:r>
    </w:p>
    <w:p w14:paraId="222ECF7F">
      <w:pPr>
        <w:pStyle w:val="281"/>
        <w:ind w:firstLine="480"/>
        <w:rPr>
          <w:rFonts w:hint="eastAsia" w:ascii="宋体" w:hAnsi="宋体"/>
        </w:rPr>
      </w:pPr>
      <w:r>
        <w:rPr>
          <w:rFonts w:hint="eastAsia" w:ascii="宋体" w:hAnsi="宋体"/>
        </w:rPr>
        <w:t>污水处理站主要设备见下表。</w:t>
      </w:r>
    </w:p>
    <w:p w14:paraId="78DAEF6F">
      <w:pPr>
        <w:pStyle w:val="535"/>
        <w:rPr>
          <w:rFonts w:hint="eastAsia"/>
          <w:color w:val="auto"/>
        </w:rPr>
      </w:pPr>
      <w:bookmarkStart w:id="398" w:name="_Hlk150658515"/>
      <w:r>
        <w:rPr>
          <w:rFonts w:hint="eastAsia"/>
          <w:color w:val="auto"/>
        </w:rPr>
        <w:t>表6.2</w:t>
      </w:r>
      <w:r>
        <w:rPr>
          <w:color w:val="auto"/>
        </w:rPr>
        <w:t>.2</w:t>
      </w:r>
      <w:r>
        <w:rPr>
          <w:rFonts w:hint="eastAsia"/>
          <w:color w:val="auto"/>
        </w:rPr>
        <w:t>-</w:t>
      </w:r>
      <w:r>
        <w:rPr>
          <w:color w:val="auto"/>
        </w:rPr>
        <w:t xml:space="preserve">3    </w:t>
      </w:r>
      <w:r>
        <w:rPr>
          <w:rFonts w:hint="eastAsia"/>
          <w:color w:val="auto"/>
        </w:rPr>
        <w:t>污水处理站设备一览表</w:t>
      </w:r>
    </w:p>
    <w:bookmarkEnd w:id="398"/>
    <w:p w14:paraId="02206D4A">
      <w:pPr>
        <w:pStyle w:val="557"/>
      </w:pPr>
    </w:p>
    <w:p w14:paraId="310D5C04">
      <w:pPr>
        <w:pStyle w:val="98"/>
        <w:rPr>
          <w:rFonts w:hint="eastAsia"/>
          <w:color w:val="auto"/>
        </w:rPr>
      </w:pPr>
      <w:r>
        <w:rPr>
          <w:rFonts w:hint="eastAsia"/>
          <w:color w:val="auto"/>
        </w:rPr>
        <w:t>可行性分析</w:t>
      </w:r>
    </w:p>
    <w:p w14:paraId="688FDEC5">
      <w:pPr>
        <w:pStyle w:val="281"/>
        <w:ind w:firstLine="480"/>
      </w:pPr>
      <w:bookmarkStart w:id="399" w:name="_Hlk193110435"/>
      <w:r>
        <w:rPr>
          <w:rFonts w:hint="eastAsia"/>
        </w:rPr>
        <w:t>全厂生产废水（气化灰水、煤气冷却单元-汽提废水、低温甲醇洗单元-含醇废水、硫回收单元-汽包排水、硝酸提浓塔顶馏出液、发生蒸汽排污水、尾气吸收塔底废水、发生蒸汽排污水</w:t>
      </w:r>
      <w:r>
        <w:rPr>
          <w:rFonts w:hint="eastAsia" w:cs="Times New Roman"/>
        </w:rPr>
        <w:t>、</w:t>
      </w:r>
      <w:r>
        <w:rPr>
          <w:rFonts w:hint="eastAsia"/>
        </w:rPr>
        <w:t>各装置地面冲洗水等）、生活污水经厂内污水处理站处理后，送入回用水站。</w:t>
      </w:r>
    </w:p>
    <w:p w14:paraId="726209D3">
      <w:pPr>
        <w:pStyle w:val="281"/>
        <w:ind w:firstLine="480"/>
      </w:pPr>
      <w:r>
        <w:rPr>
          <w:rFonts w:hint="eastAsia"/>
        </w:rPr>
        <w:t>（1）</w:t>
      </w:r>
      <w:r>
        <w:t>规模可行性</w:t>
      </w:r>
    </w:p>
    <w:p w14:paraId="361FD0D3">
      <w:pPr>
        <w:pStyle w:val="128"/>
        <w:rPr>
          <w:rFonts w:hint="eastAsia"/>
        </w:rPr>
      </w:pPr>
      <w:r>
        <w:rPr>
          <w:rFonts w:hint="eastAsia"/>
        </w:rPr>
        <w:t>根据工程分析，项目生产废水产生量为105.9m</w:t>
      </w:r>
      <w:r>
        <w:rPr>
          <w:rFonts w:hint="eastAsia"/>
          <w:vertAlign w:val="superscript"/>
        </w:rPr>
        <w:t>3</w:t>
      </w:r>
      <w:r>
        <w:t>/h</w:t>
      </w:r>
      <w:r>
        <w:rPr>
          <w:rFonts w:hint="eastAsia"/>
        </w:rPr>
        <w:t>；污水处理站规模250m</w:t>
      </w:r>
      <w:r>
        <w:rPr>
          <w:rFonts w:hint="eastAsia"/>
          <w:vertAlign w:val="superscript"/>
        </w:rPr>
        <w:t>3</w:t>
      </w:r>
      <w:r>
        <w:t>/h</w:t>
      </w:r>
      <w:r>
        <w:rPr>
          <w:rFonts w:hint="eastAsia"/>
        </w:rPr>
        <w:t>，规模是正常水量的236%，</w:t>
      </w:r>
      <w:r>
        <w:rPr>
          <w:rFonts w:hint="eastAsia" w:cs="Times New Roman"/>
        </w:rPr>
        <w:t>系统预留一定的余量，可实现灵活运行，并应对各种水质水量波动等非正常工况。</w:t>
      </w:r>
    </w:p>
    <w:p w14:paraId="7D9AFB27">
      <w:pPr>
        <w:pStyle w:val="281"/>
        <w:ind w:firstLine="480"/>
      </w:pPr>
      <w:r>
        <w:rPr>
          <w:rFonts w:hint="eastAsia"/>
        </w:rPr>
        <w:t>（2）工艺可行性</w:t>
      </w:r>
    </w:p>
    <w:p w14:paraId="3DA1F277">
      <w:pPr>
        <w:pStyle w:val="128"/>
        <w:rPr>
          <w:rFonts w:hint="eastAsia"/>
        </w:rPr>
      </w:pPr>
      <w:r>
        <w:rPr>
          <w:rFonts w:hint="eastAsia"/>
        </w:rPr>
        <w:t>参照《排污许可证申请与核发技术规范 化肥工业-氮肥》（</w:t>
      </w:r>
      <w:r>
        <w:t>HJ</w:t>
      </w:r>
      <w:r>
        <w:rPr>
          <w:rFonts w:hint="eastAsia"/>
        </w:rPr>
        <w:t>864.1-2017）中可行技术，见下表。</w:t>
      </w:r>
    </w:p>
    <w:p w14:paraId="08DF9D45">
      <w:pPr>
        <w:pStyle w:val="535"/>
        <w:rPr>
          <w:rFonts w:hint="eastAsia"/>
          <w:color w:val="auto"/>
        </w:rPr>
      </w:pPr>
      <w:r>
        <w:rPr>
          <w:color w:val="auto"/>
        </w:rPr>
        <w:t>表</w:t>
      </w:r>
      <w:r>
        <w:rPr>
          <w:rFonts w:hint="eastAsia"/>
          <w:color w:val="auto"/>
        </w:rPr>
        <w:t>6</w:t>
      </w:r>
      <w:r>
        <w:rPr>
          <w:color w:val="auto"/>
        </w:rPr>
        <w:t>.2.2-</w:t>
      </w:r>
      <w:r>
        <w:rPr>
          <w:rFonts w:hint="eastAsia"/>
          <w:color w:val="auto"/>
        </w:rPr>
        <w:t>4</w:t>
      </w:r>
      <w:r>
        <w:rPr>
          <w:color w:val="auto"/>
        </w:rPr>
        <w:t xml:space="preserve">    </w:t>
      </w:r>
      <w:r>
        <w:rPr>
          <w:rFonts w:hint="eastAsia"/>
          <w:color w:val="auto"/>
        </w:rPr>
        <w:t>排污单位废水处理可行技术参照表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3"/>
        <w:gridCol w:w="1714"/>
        <w:gridCol w:w="3778"/>
        <w:gridCol w:w="2500"/>
      </w:tblGrid>
      <w:tr w14:paraId="23E5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13" w:type="dxa"/>
            <w:vAlign w:val="center"/>
          </w:tcPr>
          <w:p w14:paraId="05A111F9">
            <w:pPr>
              <w:pStyle w:val="557"/>
            </w:pPr>
            <w:r>
              <w:t>废水类型</w:t>
            </w:r>
          </w:p>
        </w:tc>
        <w:tc>
          <w:tcPr>
            <w:tcW w:w="5492" w:type="dxa"/>
            <w:gridSpan w:val="2"/>
            <w:vAlign w:val="center"/>
          </w:tcPr>
          <w:p w14:paraId="0F3B2FE3">
            <w:pPr>
              <w:pStyle w:val="557"/>
            </w:pPr>
            <w:r>
              <w:rPr>
                <w:rFonts w:hint="eastAsia"/>
              </w:rPr>
              <w:t>可行技术</w:t>
            </w:r>
          </w:p>
        </w:tc>
        <w:tc>
          <w:tcPr>
            <w:tcW w:w="2500" w:type="dxa"/>
            <w:vAlign w:val="center"/>
          </w:tcPr>
          <w:p w14:paraId="6CA8D44E">
            <w:pPr>
              <w:pStyle w:val="557"/>
            </w:pPr>
            <w:r>
              <w:rPr>
                <w:rFonts w:hint="eastAsia"/>
              </w:rPr>
              <w:t>本项目采取的技术</w:t>
            </w:r>
          </w:p>
        </w:tc>
      </w:tr>
      <w:tr w14:paraId="082A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13" w:type="dxa"/>
            <w:vMerge w:val="restart"/>
            <w:vAlign w:val="center"/>
          </w:tcPr>
          <w:p w14:paraId="3B608581">
            <w:pPr>
              <w:pStyle w:val="557"/>
            </w:pPr>
            <w:r>
              <w:rPr>
                <w:rFonts w:hint="eastAsia"/>
              </w:rPr>
              <w:t>工艺废水</w:t>
            </w:r>
          </w:p>
        </w:tc>
        <w:tc>
          <w:tcPr>
            <w:tcW w:w="1714" w:type="dxa"/>
            <w:vAlign w:val="center"/>
          </w:tcPr>
          <w:p w14:paraId="00EE8387">
            <w:pPr>
              <w:pStyle w:val="557"/>
            </w:pPr>
            <w:r>
              <w:rPr>
                <w:rFonts w:hint="eastAsia"/>
              </w:rPr>
              <w:t>预处理单元</w:t>
            </w:r>
          </w:p>
        </w:tc>
        <w:tc>
          <w:tcPr>
            <w:tcW w:w="3778" w:type="dxa"/>
          </w:tcPr>
          <w:p w14:paraId="59388777">
            <w:pPr>
              <w:pStyle w:val="557"/>
            </w:pPr>
            <w:r>
              <w:rPr>
                <w:rFonts w:hint="eastAsia"/>
              </w:rPr>
              <w:t>隔油、浮选、混凝沉淀、调节等</w:t>
            </w:r>
          </w:p>
        </w:tc>
        <w:tc>
          <w:tcPr>
            <w:tcW w:w="2500" w:type="dxa"/>
            <w:vAlign w:val="center"/>
          </w:tcPr>
          <w:p w14:paraId="68B1CDA0">
            <w:pPr>
              <w:pStyle w:val="557"/>
            </w:pPr>
            <w:r>
              <w:rPr>
                <w:rFonts w:hint="eastAsia"/>
              </w:rPr>
              <w:t>调节、高效沉淀</w:t>
            </w:r>
          </w:p>
        </w:tc>
      </w:tr>
      <w:tr w14:paraId="10FC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13" w:type="dxa"/>
            <w:vMerge w:val="continue"/>
            <w:vAlign w:val="center"/>
          </w:tcPr>
          <w:p w14:paraId="5CAEB0AE">
            <w:pPr>
              <w:pStyle w:val="557"/>
            </w:pPr>
          </w:p>
        </w:tc>
        <w:tc>
          <w:tcPr>
            <w:tcW w:w="1714" w:type="dxa"/>
            <w:vAlign w:val="center"/>
          </w:tcPr>
          <w:p w14:paraId="34BCFC25">
            <w:pPr>
              <w:pStyle w:val="557"/>
            </w:pPr>
            <w:r>
              <w:rPr>
                <w:rFonts w:hint="eastAsia"/>
              </w:rPr>
              <w:t>生化单元</w:t>
            </w:r>
          </w:p>
        </w:tc>
        <w:tc>
          <w:tcPr>
            <w:tcW w:w="3778" w:type="dxa"/>
          </w:tcPr>
          <w:p w14:paraId="5121F7B9">
            <w:pPr>
              <w:pStyle w:val="557"/>
            </w:pPr>
            <w:r>
              <w:rPr>
                <w:rFonts w:hint="eastAsia"/>
              </w:rPr>
              <w:t>（缺氧/好氧(A/O)、序批式活性污泥法（SBR）、周期循环活性污泥法（CASS）、氧化沟、曝气生物滤池（BAF）、膜生物反应器 （MBR）、生物接触氧化法等）</w:t>
            </w:r>
          </w:p>
        </w:tc>
        <w:tc>
          <w:tcPr>
            <w:tcW w:w="2500" w:type="dxa"/>
            <w:vAlign w:val="center"/>
          </w:tcPr>
          <w:p w14:paraId="1F295DB5">
            <w:pPr>
              <w:pStyle w:val="557"/>
            </w:pPr>
            <w:r>
              <w:t>HBF</w:t>
            </w:r>
            <w:r>
              <w:rPr>
                <w:rFonts w:hint="eastAsia"/>
              </w:rPr>
              <w:t>（改进型两级</w:t>
            </w:r>
            <w:r>
              <w:t>AO</w:t>
            </w:r>
            <w:r>
              <w:rPr>
                <w:rFonts w:hint="eastAsia"/>
              </w:rPr>
              <w:t>）+序批沉淀池</w:t>
            </w:r>
          </w:p>
        </w:tc>
      </w:tr>
    </w:tbl>
    <w:p w14:paraId="4A522372">
      <w:pPr>
        <w:pStyle w:val="128"/>
        <w:rPr>
          <w:rFonts w:hint="eastAsia" w:ascii="宋体"/>
        </w:rPr>
      </w:pPr>
      <w:r>
        <w:rPr>
          <w:rFonts w:hint="eastAsia" w:ascii="宋体"/>
        </w:rPr>
        <w:t xml:space="preserve">通过上表可以看出，本项目采用的综合废水处理工艺为《排污许可证申请与核发技术规范 </w:t>
      </w:r>
      <w:r>
        <w:rPr>
          <w:rFonts w:hint="eastAsia"/>
        </w:rPr>
        <w:t>化肥工业-氮肥》（</w:t>
      </w:r>
      <w:r>
        <w:t>HJ</w:t>
      </w:r>
      <w:r>
        <w:rPr>
          <w:rFonts w:hint="eastAsia"/>
        </w:rPr>
        <w:t>864.1-2017）</w:t>
      </w:r>
      <w:r>
        <w:rPr>
          <w:rFonts w:hint="eastAsia" w:ascii="宋体"/>
        </w:rPr>
        <w:t>中明确的可行技术，该系统采用的均是常见工艺，被国内化工企业广泛应用，其运行稳定，处理效果有保证，工艺可行。</w:t>
      </w:r>
    </w:p>
    <w:p w14:paraId="4C269C36">
      <w:pPr>
        <w:pStyle w:val="281"/>
        <w:ind w:firstLine="480"/>
      </w:pPr>
      <w:r>
        <w:rPr>
          <w:rFonts w:hint="eastAsia"/>
        </w:rPr>
        <w:t>本项目采用的</w:t>
      </w:r>
      <w:r>
        <w:t>HBF</w:t>
      </w:r>
      <w:r>
        <w:rPr>
          <w:rFonts w:hint="eastAsia"/>
        </w:rPr>
        <w:t>技术中以新型酶浮填料和供气式射流曝气为依托，利用生物膜与活性污泥混合处理系统实现同步硝化反硝化，较之传统生化系统不仅节省了投资及占地同时运行成本也大为节省，与传统的活性污泥法和</w:t>
      </w:r>
      <w:r>
        <w:t>SBR</w:t>
      </w:r>
      <w:r>
        <w:rPr>
          <w:rFonts w:hint="eastAsia"/>
        </w:rPr>
        <w:t>工艺相比，</w:t>
      </w:r>
      <w:r>
        <w:t>HBF</w:t>
      </w:r>
      <w:r>
        <w:rPr>
          <w:rFonts w:hint="eastAsia"/>
        </w:rPr>
        <w:t>工艺具有以下几个方面的特征和优点：</w:t>
      </w:r>
    </w:p>
    <w:p w14:paraId="0043AE9E">
      <w:pPr>
        <w:pStyle w:val="281"/>
        <w:ind w:firstLine="480"/>
      </w:pPr>
      <w:r>
        <w:rPr>
          <w:rFonts w:hint="eastAsia" w:ascii="宋体" w:hAnsi="宋体"/>
        </w:rPr>
        <w:t>①</w:t>
      </w:r>
      <w:r>
        <w:rPr>
          <w:rFonts w:hint="eastAsia"/>
        </w:rPr>
        <w:t>工艺流程简单，土建和投资低，无二沉池，自动化程度高。</w:t>
      </w:r>
    </w:p>
    <w:p w14:paraId="3F8EA58F">
      <w:pPr>
        <w:pStyle w:val="281"/>
        <w:ind w:firstLine="480"/>
      </w:pPr>
      <w:r>
        <w:rPr>
          <w:rFonts w:hint="eastAsia" w:ascii="宋体" w:hAnsi="宋体"/>
        </w:rPr>
        <w:t>②</w:t>
      </w:r>
      <w:r>
        <w:rPr>
          <w:rFonts w:hint="eastAsia"/>
        </w:rPr>
        <w:t>对于单格序批沉淀池为间断进水，但对于整座序批沉淀池而言，实现了连续进水、出水，使得整个工艺出水连续均匀，操作管理方便；</w:t>
      </w:r>
    </w:p>
    <w:p w14:paraId="5E7247B3">
      <w:pPr>
        <w:pStyle w:val="281"/>
        <w:ind w:firstLine="480"/>
      </w:pPr>
      <w:r>
        <w:rPr>
          <w:rFonts w:hint="eastAsia" w:ascii="宋体" w:hAnsi="宋体"/>
        </w:rPr>
        <w:t>③</w:t>
      </w:r>
      <w:r>
        <w:rPr>
          <w:rFonts w:hint="eastAsia"/>
        </w:rPr>
        <w:t>池内水位基本恒定，好氧区处于常曝气状态，增加了池子容积利用率，提高了设备的利用率；鼓风机压力稳定、效率高；空气氧转化利用率高，容积负荷和污泥负荷高。</w:t>
      </w:r>
    </w:p>
    <w:p w14:paraId="613583B4">
      <w:pPr>
        <w:pStyle w:val="281"/>
        <w:ind w:firstLine="480"/>
      </w:pPr>
      <w:r>
        <w:rPr>
          <w:rFonts w:hint="eastAsia" w:ascii="宋体" w:hAnsi="宋体"/>
        </w:rPr>
        <w:t>④</w:t>
      </w:r>
      <w:r>
        <w:rPr>
          <w:rFonts w:hint="eastAsia"/>
        </w:rPr>
        <w:t>固液分离效果好，剩余污泥产量较少，降低污泥处理与处置费用。</w:t>
      </w:r>
    </w:p>
    <w:p w14:paraId="5D0A7CE3">
      <w:pPr>
        <w:pStyle w:val="281"/>
        <w:ind w:firstLine="480"/>
      </w:pPr>
      <w:r>
        <w:rPr>
          <w:rFonts w:hint="eastAsia" w:ascii="宋体" w:hAnsi="宋体"/>
        </w:rPr>
        <w:t>⑤</w:t>
      </w:r>
      <w:r>
        <w:t>HBF</w:t>
      </w:r>
      <w:r>
        <w:rPr>
          <w:rFonts w:hint="eastAsia"/>
        </w:rPr>
        <w:t>工艺在序批沉淀池后端出水区增加填料，用以过滤出水及增加分离池分离面积以降低出水池的分离表面负荷，从而保证较低的出水</w:t>
      </w:r>
      <w:r>
        <w:t>SS</w:t>
      </w:r>
      <w:r>
        <w:rPr>
          <w:rFonts w:hint="eastAsia"/>
        </w:rPr>
        <w:t>。</w:t>
      </w:r>
    </w:p>
    <w:p w14:paraId="7665EAE6">
      <w:pPr>
        <w:pStyle w:val="281"/>
        <w:ind w:firstLine="480"/>
      </w:pPr>
      <w:r>
        <w:rPr>
          <w:rFonts w:hint="eastAsia" w:ascii="宋体" w:hAnsi="宋体"/>
        </w:rPr>
        <w:t>⑥</w:t>
      </w:r>
      <w:r>
        <w:rPr>
          <w:rFonts w:hint="eastAsia"/>
        </w:rPr>
        <w:t>序批池专利装置出水，控制灵活，可有效防止表面浮渣及其他悬浮固体进入出水管道，出水悬浮固体量的降低是保证较高出水水质的重要前提。</w:t>
      </w:r>
    </w:p>
    <w:p w14:paraId="3EF182F9">
      <w:pPr>
        <w:pStyle w:val="281"/>
        <w:ind w:firstLine="480"/>
      </w:pPr>
      <w:r>
        <w:rPr>
          <w:rFonts w:hint="eastAsia" w:ascii="宋体" w:hAnsi="宋体"/>
        </w:rPr>
        <w:t>⑦</w:t>
      </w:r>
      <w:r>
        <w:rPr>
          <w:rFonts w:hint="eastAsia"/>
        </w:rPr>
        <w:t>采用低压射流曝气代替原有的微孔曝器，能耗省、不易堵塞及免维修，更适用于高浓度污泥浓度生化池的水力搅拌；此外，对于高硬度废水，可以最大限度的避免结垢问题，增加曝气设备的寿命。</w:t>
      </w:r>
    </w:p>
    <w:p w14:paraId="523A6964">
      <w:pPr>
        <w:pStyle w:val="128"/>
        <w:rPr>
          <w:rFonts w:hint="eastAsia"/>
        </w:rPr>
      </w:pPr>
      <w:r>
        <w:rPr>
          <w:rFonts w:hint="eastAsia"/>
        </w:rPr>
        <w:t>污水处理站</w:t>
      </w:r>
      <w:r>
        <w:t>主要污染物设计去除率及进出水水质情况</w:t>
      </w:r>
      <w:r>
        <w:rPr>
          <w:rFonts w:hint="eastAsia"/>
        </w:rPr>
        <w:t>、</w:t>
      </w:r>
      <w:r>
        <w:t>水质控制指标见</w:t>
      </w:r>
      <w:r>
        <w:rPr>
          <w:rFonts w:hint="eastAsia"/>
        </w:rPr>
        <w:t>下表</w:t>
      </w:r>
      <w:r>
        <w:t>。</w:t>
      </w:r>
      <w:r>
        <w:rPr>
          <w:rFonts w:hint="eastAsia"/>
        </w:rPr>
        <w:t>由表中分析可以看出，污水处理站出水可以满足设计出水要求。</w:t>
      </w:r>
    </w:p>
    <w:p w14:paraId="25EA007D">
      <w:pPr>
        <w:pStyle w:val="128"/>
        <w:rPr>
          <w:rFonts w:hint="eastAsia"/>
        </w:rPr>
      </w:pPr>
    </w:p>
    <w:p w14:paraId="1D21891D">
      <w:pPr>
        <w:pStyle w:val="128"/>
        <w:rPr>
          <w:rFonts w:hint="eastAsia"/>
        </w:rPr>
      </w:pPr>
    </w:p>
    <w:p w14:paraId="2A95DEE0">
      <w:pPr>
        <w:pStyle w:val="128"/>
        <w:rPr>
          <w:rFonts w:hint="eastAsia"/>
        </w:rPr>
        <w:sectPr>
          <w:pgSz w:w="11906" w:h="16838"/>
          <w:pgMar w:top="1440" w:right="1800" w:bottom="1440" w:left="1800" w:header="851" w:footer="850" w:gutter="0"/>
          <w:cols w:space="425" w:num="1"/>
          <w:docGrid w:type="lines" w:linePitch="326" w:charSpace="0"/>
        </w:sectPr>
      </w:pPr>
    </w:p>
    <w:p w14:paraId="5293F9D6">
      <w:pPr>
        <w:pStyle w:val="535"/>
        <w:rPr>
          <w:rFonts w:hint="eastAsia"/>
          <w:color w:val="auto"/>
        </w:rPr>
      </w:pPr>
      <w:r>
        <w:rPr>
          <w:color w:val="auto"/>
        </w:rPr>
        <w:t>表</w:t>
      </w:r>
      <w:r>
        <w:rPr>
          <w:rFonts w:hint="eastAsia"/>
          <w:color w:val="auto"/>
        </w:rPr>
        <w:t>6</w:t>
      </w:r>
      <w:r>
        <w:rPr>
          <w:color w:val="auto"/>
        </w:rPr>
        <w:t>.2.2-</w:t>
      </w:r>
      <w:r>
        <w:rPr>
          <w:rFonts w:hint="eastAsia"/>
          <w:color w:val="auto"/>
        </w:rPr>
        <w:t>6</w:t>
      </w:r>
      <w:r>
        <w:rPr>
          <w:color w:val="auto"/>
        </w:rPr>
        <w:t xml:space="preserve">    </w:t>
      </w:r>
      <w:r>
        <w:rPr>
          <w:rFonts w:hint="eastAsia"/>
          <w:color w:val="auto"/>
        </w:rPr>
        <w:t>污水处理站</w:t>
      </w:r>
      <w:r>
        <w:rPr>
          <w:color w:val="auto"/>
        </w:rPr>
        <w:t>进出水水质和设计去除效率表</w:t>
      </w:r>
    </w:p>
    <w:tbl>
      <w:tblPr>
        <w:tblStyle w:val="65"/>
        <w:tblW w:w="14175" w:type="dxa"/>
        <w:jc w:val="center"/>
        <w:tblLayout w:type="autofit"/>
        <w:tblCellMar>
          <w:top w:w="0" w:type="dxa"/>
          <w:left w:w="108" w:type="dxa"/>
          <w:bottom w:w="0" w:type="dxa"/>
          <w:right w:w="108" w:type="dxa"/>
        </w:tblCellMar>
      </w:tblPr>
      <w:tblGrid>
        <w:gridCol w:w="1280"/>
        <w:gridCol w:w="1280"/>
        <w:gridCol w:w="1368"/>
        <w:gridCol w:w="1280"/>
        <w:gridCol w:w="1281"/>
        <w:gridCol w:w="1281"/>
        <w:gridCol w:w="1281"/>
        <w:gridCol w:w="1281"/>
        <w:gridCol w:w="1281"/>
        <w:gridCol w:w="1281"/>
        <w:gridCol w:w="1281"/>
      </w:tblGrid>
      <w:tr w14:paraId="747D0279">
        <w:tblPrEx>
          <w:tblCellMar>
            <w:top w:w="0" w:type="dxa"/>
            <w:left w:w="108" w:type="dxa"/>
            <w:bottom w:w="0" w:type="dxa"/>
            <w:right w:w="108" w:type="dxa"/>
          </w:tblCellMar>
        </w:tblPrEx>
        <w:trPr>
          <w:trHeight w:val="284" w:hRule="atLeast"/>
          <w:jc w:val="center"/>
        </w:trPr>
        <w:tc>
          <w:tcPr>
            <w:tcW w:w="1280" w:type="dxa"/>
            <w:vMerge w:val="restart"/>
            <w:tcBorders>
              <w:top w:val="single" w:color="000000" w:sz="8" w:space="0"/>
              <w:left w:val="single" w:color="000000" w:sz="8" w:space="0"/>
              <w:bottom w:val="single" w:color="000000" w:sz="8" w:space="0"/>
              <w:right w:val="single" w:color="000000" w:sz="8" w:space="0"/>
            </w:tcBorders>
            <w:vAlign w:val="center"/>
          </w:tcPr>
          <w:p w14:paraId="11E46501">
            <w:pPr>
              <w:jc w:val="center"/>
              <w:rPr>
                <w:rFonts w:hint="eastAsia"/>
                <w:color w:val="000000"/>
                <w:sz w:val="18"/>
                <w:szCs w:val="18"/>
              </w:rPr>
            </w:pPr>
            <w:r>
              <w:rPr>
                <w:rFonts w:hint="eastAsia"/>
                <w:color w:val="000000"/>
                <w:sz w:val="18"/>
                <w:szCs w:val="18"/>
              </w:rPr>
              <w:t>装置</w:t>
            </w:r>
          </w:p>
        </w:tc>
        <w:tc>
          <w:tcPr>
            <w:tcW w:w="1280" w:type="dxa"/>
            <w:vMerge w:val="restart"/>
            <w:tcBorders>
              <w:top w:val="single" w:color="000000" w:sz="8" w:space="0"/>
              <w:left w:val="nil"/>
              <w:bottom w:val="single" w:color="000000" w:sz="8" w:space="0"/>
              <w:right w:val="single" w:color="000000" w:sz="8" w:space="0"/>
            </w:tcBorders>
            <w:vAlign w:val="center"/>
          </w:tcPr>
          <w:p w14:paraId="02039E2D">
            <w:pPr>
              <w:jc w:val="center"/>
              <w:rPr>
                <w:rFonts w:hint="eastAsia"/>
                <w:color w:val="000000"/>
                <w:sz w:val="18"/>
                <w:szCs w:val="18"/>
              </w:rPr>
            </w:pPr>
            <w:r>
              <w:rPr>
                <w:rFonts w:hint="eastAsia"/>
                <w:color w:val="000000"/>
                <w:sz w:val="18"/>
                <w:szCs w:val="18"/>
              </w:rPr>
              <w:t>废水名称</w:t>
            </w:r>
          </w:p>
        </w:tc>
        <w:tc>
          <w:tcPr>
            <w:tcW w:w="11615" w:type="dxa"/>
            <w:gridSpan w:val="9"/>
            <w:tcBorders>
              <w:top w:val="single" w:color="000000" w:sz="8" w:space="0"/>
              <w:left w:val="nil"/>
              <w:bottom w:val="single" w:color="000000" w:sz="8" w:space="0"/>
              <w:right w:val="single" w:color="000000" w:sz="8" w:space="0"/>
            </w:tcBorders>
            <w:vAlign w:val="center"/>
          </w:tcPr>
          <w:p w14:paraId="5FD7CA69">
            <w:pPr>
              <w:jc w:val="center"/>
              <w:rPr>
                <w:rFonts w:hint="eastAsia"/>
                <w:color w:val="000000"/>
                <w:sz w:val="18"/>
                <w:szCs w:val="18"/>
              </w:rPr>
            </w:pPr>
            <w:r>
              <w:rPr>
                <w:rFonts w:hint="eastAsia"/>
                <w:color w:val="000000"/>
                <w:sz w:val="18"/>
                <w:szCs w:val="18"/>
              </w:rPr>
              <w:t>主要污染物</w:t>
            </w:r>
          </w:p>
        </w:tc>
      </w:tr>
      <w:tr w14:paraId="5129A164">
        <w:tblPrEx>
          <w:tblCellMar>
            <w:top w:w="0" w:type="dxa"/>
            <w:left w:w="108" w:type="dxa"/>
            <w:bottom w:w="0" w:type="dxa"/>
            <w:right w:w="108" w:type="dxa"/>
          </w:tblCellMar>
        </w:tblPrEx>
        <w:trPr>
          <w:trHeight w:val="284" w:hRule="atLeast"/>
          <w:jc w:val="center"/>
        </w:trPr>
        <w:tc>
          <w:tcPr>
            <w:tcW w:w="1280" w:type="dxa"/>
            <w:vMerge w:val="continue"/>
            <w:tcBorders>
              <w:top w:val="single" w:color="000000" w:sz="8" w:space="0"/>
              <w:left w:val="single" w:color="000000" w:sz="8" w:space="0"/>
              <w:bottom w:val="single" w:color="000000" w:sz="8" w:space="0"/>
              <w:right w:val="single" w:color="000000" w:sz="8" w:space="0"/>
            </w:tcBorders>
            <w:vAlign w:val="center"/>
          </w:tcPr>
          <w:p w14:paraId="7AD4D51D">
            <w:pPr>
              <w:rPr>
                <w:rFonts w:hint="eastAsia"/>
                <w:color w:val="000000"/>
                <w:sz w:val="18"/>
                <w:szCs w:val="18"/>
              </w:rPr>
            </w:pPr>
          </w:p>
        </w:tc>
        <w:tc>
          <w:tcPr>
            <w:tcW w:w="1280" w:type="dxa"/>
            <w:vMerge w:val="continue"/>
            <w:tcBorders>
              <w:top w:val="single" w:color="000000" w:sz="8" w:space="0"/>
              <w:left w:val="nil"/>
              <w:bottom w:val="single" w:color="000000" w:sz="8" w:space="0"/>
              <w:right w:val="single" w:color="000000" w:sz="8" w:space="0"/>
            </w:tcBorders>
            <w:vAlign w:val="center"/>
          </w:tcPr>
          <w:p w14:paraId="5200AECC">
            <w:pPr>
              <w:rPr>
                <w:rFonts w:hint="eastAsia"/>
                <w:color w:val="000000"/>
                <w:sz w:val="18"/>
                <w:szCs w:val="18"/>
              </w:rPr>
            </w:pPr>
          </w:p>
        </w:tc>
        <w:tc>
          <w:tcPr>
            <w:tcW w:w="1368" w:type="dxa"/>
            <w:tcBorders>
              <w:top w:val="nil"/>
              <w:left w:val="nil"/>
              <w:bottom w:val="single" w:color="000000" w:sz="8" w:space="0"/>
              <w:right w:val="single" w:color="000000" w:sz="8" w:space="0"/>
            </w:tcBorders>
            <w:vAlign w:val="center"/>
          </w:tcPr>
          <w:p w14:paraId="7F3EAC49">
            <w:pPr>
              <w:jc w:val="center"/>
              <w:rPr>
                <w:rFonts w:ascii="Times New Roman" w:hAnsi="Times New Roman" w:cs="Times New Roman"/>
                <w:color w:val="000000"/>
                <w:sz w:val="18"/>
                <w:szCs w:val="18"/>
              </w:rPr>
            </w:pPr>
            <w:r>
              <w:rPr>
                <w:rFonts w:ascii="Times New Roman" w:hAnsi="Times New Roman" w:cs="Times New Roman"/>
                <w:color w:val="000000"/>
                <w:sz w:val="18"/>
                <w:szCs w:val="18"/>
              </w:rPr>
              <w:t>SS</w:t>
            </w:r>
          </w:p>
        </w:tc>
        <w:tc>
          <w:tcPr>
            <w:tcW w:w="1280" w:type="dxa"/>
            <w:tcBorders>
              <w:top w:val="nil"/>
              <w:left w:val="nil"/>
              <w:bottom w:val="single" w:color="000000" w:sz="8" w:space="0"/>
              <w:right w:val="single" w:color="000000" w:sz="8" w:space="0"/>
            </w:tcBorders>
            <w:vAlign w:val="center"/>
          </w:tcPr>
          <w:p w14:paraId="2264671B">
            <w:pPr>
              <w:jc w:val="center"/>
              <w:rPr>
                <w:rFonts w:ascii="Times New Roman" w:hAnsi="Times New Roman" w:cs="Times New Roman"/>
                <w:color w:val="000000"/>
                <w:sz w:val="18"/>
                <w:szCs w:val="18"/>
              </w:rPr>
            </w:pPr>
            <w:r>
              <w:rPr>
                <w:rFonts w:ascii="Times New Roman" w:hAnsi="Times New Roman" w:cs="Times New Roman"/>
                <w:color w:val="000000"/>
                <w:sz w:val="18"/>
                <w:szCs w:val="18"/>
              </w:rPr>
              <w:t>BOD</w:t>
            </w:r>
          </w:p>
        </w:tc>
        <w:tc>
          <w:tcPr>
            <w:tcW w:w="1281" w:type="dxa"/>
            <w:tcBorders>
              <w:top w:val="nil"/>
              <w:left w:val="nil"/>
              <w:bottom w:val="single" w:color="000000" w:sz="8" w:space="0"/>
              <w:right w:val="single" w:color="000000" w:sz="8" w:space="0"/>
            </w:tcBorders>
            <w:vAlign w:val="center"/>
          </w:tcPr>
          <w:p w14:paraId="00D43095">
            <w:pPr>
              <w:jc w:val="center"/>
              <w:rPr>
                <w:rFonts w:ascii="Times New Roman" w:hAnsi="Times New Roman" w:cs="Times New Roman"/>
                <w:color w:val="000000"/>
                <w:sz w:val="18"/>
                <w:szCs w:val="18"/>
              </w:rPr>
            </w:pPr>
            <w:r>
              <w:rPr>
                <w:rFonts w:ascii="Times New Roman" w:hAnsi="Times New Roman" w:cs="Times New Roman"/>
                <w:color w:val="000000"/>
                <w:sz w:val="18"/>
                <w:szCs w:val="18"/>
              </w:rPr>
              <w:t>COD</w:t>
            </w:r>
          </w:p>
        </w:tc>
        <w:tc>
          <w:tcPr>
            <w:tcW w:w="1281" w:type="dxa"/>
            <w:tcBorders>
              <w:top w:val="nil"/>
              <w:left w:val="nil"/>
              <w:bottom w:val="single" w:color="000000" w:sz="8" w:space="0"/>
              <w:right w:val="single" w:color="000000" w:sz="8" w:space="0"/>
            </w:tcBorders>
            <w:vAlign w:val="center"/>
          </w:tcPr>
          <w:p w14:paraId="67587953">
            <w:pPr>
              <w:jc w:val="center"/>
              <w:rPr>
                <w:rFonts w:hint="eastAsia"/>
                <w:color w:val="000000"/>
                <w:sz w:val="18"/>
                <w:szCs w:val="18"/>
              </w:rPr>
            </w:pPr>
            <w:r>
              <w:rPr>
                <w:rFonts w:hint="eastAsia"/>
                <w:color w:val="000000"/>
                <w:sz w:val="18"/>
                <w:szCs w:val="18"/>
              </w:rPr>
              <w:t>氯化物</w:t>
            </w:r>
          </w:p>
        </w:tc>
        <w:tc>
          <w:tcPr>
            <w:tcW w:w="1281" w:type="dxa"/>
            <w:tcBorders>
              <w:top w:val="nil"/>
              <w:left w:val="nil"/>
              <w:bottom w:val="single" w:color="000000" w:sz="8" w:space="0"/>
              <w:right w:val="single" w:color="000000" w:sz="8" w:space="0"/>
            </w:tcBorders>
            <w:vAlign w:val="center"/>
          </w:tcPr>
          <w:p w14:paraId="48336402">
            <w:pPr>
              <w:jc w:val="center"/>
              <w:rPr>
                <w:rFonts w:hint="eastAsia"/>
                <w:color w:val="000000"/>
                <w:sz w:val="18"/>
                <w:szCs w:val="18"/>
              </w:rPr>
            </w:pPr>
            <w:r>
              <w:rPr>
                <w:rFonts w:hint="eastAsia"/>
                <w:color w:val="000000"/>
                <w:sz w:val="18"/>
                <w:szCs w:val="18"/>
              </w:rPr>
              <w:t>硫化物</w:t>
            </w:r>
          </w:p>
        </w:tc>
        <w:tc>
          <w:tcPr>
            <w:tcW w:w="1281" w:type="dxa"/>
            <w:tcBorders>
              <w:top w:val="nil"/>
              <w:left w:val="nil"/>
              <w:bottom w:val="single" w:color="000000" w:sz="8" w:space="0"/>
              <w:right w:val="single" w:color="000000" w:sz="8" w:space="0"/>
            </w:tcBorders>
            <w:vAlign w:val="center"/>
          </w:tcPr>
          <w:p w14:paraId="76907385">
            <w:pPr>
              <w:jc w:val="center"/>
              <w:rPr>
                <w:rFonts w:ascii="Times New Roman" w:hAnsi="Times New Roman" w:cs="Times New Roman"/>
                <w:color w:val="000000"/>
                <w:sz w:val="18"/>
                <w:szCs w:val="18"/>
              </w:rPr>
            </w:pPr>
            <w:r>
              <w:rPr>
                <w:rFonts w:ascii="Times New Roman" w:hAnsi="Times New Roman" w:cs="Times New Roman"/>
                <w:color w:val="000000"/>
                <w:sz w:val="18"/>
                <w:szCs w:val="18"/>
              </w:rPr>
              <w:t>NH3-N</w:t>
            </w:r>
          </w:p>
        </w:tc>
        <w:tc>
          <w:tcPr>
            <w:tcW w:w="1281" w:type="dxa"/>
            <w:tcBorders>
              <w:top w:val="nil"/>
              <w:left w:val="nil"/>
              <w:bottom w:val="single" w:color="000000" w:sz="8" w:space="0"/>
              <w:right w:val="single" w:color="000000" w:sz="8" w:space="0"/>
            </w:tcBorders>
            <w:vAlign w:val="center"/>
          </w:tcPr>
          <w:p w14:paraId="1EACAA82">
            <w:pPr>
              <w:jc w:val="center"/>
              <w:rPr>
                <w:rFonts w:ascii="Times New Roman" w:hAnsi="Times New Roman" w:cs="Times New Roman"/>
                <w:color w:val="000000"/>
                <w:sz w:val="18"/>
                <w:szCs w:val="18"/>
              </w:rPr>
            </w:pPr>
            <w:r>
              <w:rPr>
                <w:rFonts w:ascii="Times New Roman" w:hAnsi="Times New Roman" w:cs="Times New Roman"/>
                <w:color w:val="000000"/>
                <w:sz w:val="18"/>
                <w:szCs w:val="18"/>
              </w:rPr>
              <w:t>HCN</w:t>
            </w:r>
          </w:p>
        </w:tc>
        <w:tc>
          <w:tcPr>
            <w:tcW w:w="1281" w:type="dxa"/>
            <w:tcBorders>
              <w:top w:val="nil"/>
              <w:left w:val="nil"/>
              <w:bottom w:val="single" w:color="000000" w:sz="8" w:space="0"/>
              <w:right w:val="single" w:color="000000" w:sz="8" w:space="0"/>
            </w:tcBorders>
            <w:vAlign w:val="center"/>
          </w:tcPr>
          <w:p w14:paraId="6115F3FF">
            <w:pPr>
              <w:jc w:val="center"/>
              <w:rPr>
                <w:rFonts w:hint="eastAsia"/>
                <w:color w:val="000000"/>
                <w:sz w:val="18"/>
                <w:szCs w:val="18"/>
              </w:rPr>
            </w:pPr>
            <w:r>
              <w:rPr>
                <w:rFonts w:hint="eastAsia"/>
                <w:color w:val="000000"/>
                <w:sz w:val="18"/>
                <w:szCs w:val="18"/>
              </w:rPr>
              <w:t>溶解固形物</w:t>
            </w:r>
          </w:p>
        </w:tc>
        <w:tc>
          <w:tcPr>
            <w:tcW w:w="1281" w:type="dxa"/>
            <w:tcBorders>
              <w:top w:val="nil"/>
              <w:left w:val="nil"/>
              <w:bottom w:val="single" w:color="000000" w:sz="8" w:space="0"/>
              <w:right w:val="single" w:color="000000" w:sz="8" w:space="0"/>
            </w:tcBorders>
            <w:vAlign w:val="center"/>
          </w:tcPr>
          <w:p w14:paraId="223E7560">
            <w:pPr>
              <w:jc w:val="center"/>
              <w:rPr>
                <w:rFonts w:hint="eastAsia"/>
                <w:color w:val="000000"/>
                <w:sz w:val="18"/>
                <w:szCs w:val="18"/>
              </w:rPr>
            </w:pPr>
            <w:r>
              <w:rPr>
                <w:rFonts w:hint="eastAsia"/>
                <w:color w:val="000000"/>
                <w:sz w:val="18"/>
                <w:szCs w:val="18"/>
              </w:rPr>
              <w:t>石油类</w:t>
            </w:r>
          </w:p>
        </w:tc>
      </w:tr>
      <w:tr w14:paraId="1F9ED09F">
        <w:tblPrEx>
          <w:tblCellMar>
            <w:top w:w="0" w:type="dxa"/>
            <w:left w:w="108" w:type="dxa"/>
            <w:bottom w:w="0" w:type="dxa"/>
            <w:right w:w="108" w:type="dxa"/>
          </w:tblCellMar>
        </w:tblPrEx>
        <w:trPr>
          <w:trHeight w:val="284" w:hRule="atLeast"/>
          <w:jc w:val="center"/>
        </w:trPr>
        <w:tc>
          <w:tcPr>
            <w:tcW w:w="1280" w:type="dxa"/>
            <w:vMerge w:val="continue"/>
            <w:tcBorders>
              <w:top w:val="single" w:color="000000" w:sz="8" w:space="0"/>
              <w:left w:val="single" w:color="000000" w:sz="8" w:space="0"/>
              <w:bottom w:val="single" w:color="000000" w:sz="8" w:space="0"/>
              <w:right w:val="single" w:color="000000" w:sz="8" w:space="0"/>
            </w:tcBorders>
            <w:vAlign w:val="center"/>
          </w:tcPr>
          <w:p w14:paraId="4521580A">
            <w:pPr>
              <w:rPr>
                <w:rFonts w:hint="eastAsia"/>
                <w:color w:val="000000"/>
                <w:sz w:val="18"/>
                <w:szCs w:val="18"/>
              </w:rPr>
            </w:pPr>
          </w:p>
        </w:tc>
        <w:tc>
          <w:tcPr>
            <w:tcW w:w="1280" w:type="dxa"/>
            <w:vMerge w:val="continue"/>
            <w:tcBorders>
              <w:top w:val="single" w:color="000000" w:sz="8" w:space="0"/>
              <w:left w:val="nil"/>
              <w:bottom w:val="single" w:color="000000" w:sz="8" w:space="0"/>
              <w:right w:val="single" w:color="000000" w:sz="8" w:space="0"/>
            </w:tcBorders>
            <w:vAlign w:val="center"/>
          </w:tcPr>
          <w:p w14:paraId="2B3B41E3">
            <w:pPr>
              <w:rPr>
                <w:rFonts w:hint="eastAsia"/>
                <w:color w:val="000000"/>
                <w:sz w:val="18"/>
                <w:szCs w:val="18"/>
              </w:rPr>
            </w:pPr>
          </w:p>
        </w:tc>
        <w:tc>
          <w:tcPr>
            <w:tcW w:w="11615" w:type="dxa"/>
            <w:gridSpan w:val="9"/>
            <w:tcBorders>
              <w:top w:val="nil"/>
              <w:left w:val="nil"/>
              <w:bottom w:val="single" w:color="000000" w:sz="8" w:space="0"/>
              <w:right w:val="single" w:color="000000" w:sz="8" w:space="0"/>
            </w:tcBorders>
            <w:vAlign w:val="center"/>
          </w:tcPr>
          <w:p w14:paraId="1B5B7B88">
            <w:pPr>
              <w:jc w:val="center"/>
              <w:rPr>
                <w:rFonts w:hint="eastAsia"/>
                <w:color w:val="000000"/>
                <w:sz w:val="18"/>
                <w:szCs w:val="18"/>
              </w:rPr>
            </w:pPr>
            <w:r>
              <w:rPr>
                <w:rFonts w:hint="eastAsia"/>
                <w:color w:val="000000"/>
                <w:sz w:val="18"/>
                <w:szCs w:val="18"/>
              </w:rPr>
              <w:t>单位：</w:t>
            </w:r>
            <w:r>
              <w:rPr>
                <w:rFonts w:ascii="Times New Roman" w:hAnsi="Times New Roman" w:cs="Times New Roman"/>
                <w:color w:val="000000"/>
                <w:sz w:val="18"/>
                <w:szCs w:val="18"/>
              </w:rPr>
              <w:t>mg/L</w:t>
            </w:r>
          </w:p>
        </w:tc>
      </w:tr>
      <w:tr w14:paraId="2A7A84BC">
        <w:tblPrEx>
          <w:tblCellMar>
            <w:top w:w="0" w:type="dxa"/>
            <w:left w:w="108" w:type="dxa"/>
            <w:bottom w:w="0" w:type="dxa"/>
            <w:right w:w="108" w:type="dxa"/>
          </w:tblCellMar>
        </w:tblPrEx>
        <w:trPr>
          <w:trHeight w:val="284" w:hRule="atLeast"/>
          <w:jc w:val="center"/>
        </w:trPr>
        <w:tc>
          <w:tcPr>
            <w:tcW w:w="14175" w:type="dxa"/>
            <w:gridSpan w:val="11"/>
            <w:tcBorders>
              <w:top w:val="nil"/>
              <w:left w:val="single" w:color="000000" w:sz="8" w:space="0"/>
              <w:bottom w:val="single" w:color="000000" w:sz="8" w:space="0"/>
              <w:right w:val="single" w:color="000000" w:sz="8" w:space="0"/>
            </w:tcBorders>
            <w:vAlign w:val="center"/>
          </w:tcPr>
          <w:p w14:paraId="2AB630CA">
            <w:pPr>
              <w:jc w:val="center"/>
              <w:rPr>
                <w:rFonts w:hint="eastAsia"/>
                <w:color w:val="000000"/>
                <w:sz w:val="18"/>
                <w:szCs w:val="18"/>
              </w:rPr>
            </w:pPr>
            <w:r>
              <w:rPr>
                <w:rFonts w:hint="eastAsia"/>
                <w:color w:val="000000"/>
                <w:sz w:val="18"/>
                <w:szCs w:val="18"/>
              </w:rPr>
              <w:t>混凝沉淀</w:t>
            </w:r>
          </w:p>
        </w:tc>
      </w:tr>
      <w:tr w14:paraId="1F42E0BF">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3942E17C">
            <w:pPr>
              <w:jc w:val="center"/>
              <w:rPr>
                <w:rFonts w:hint="eastAsia"/>
                <w:color w:val="000000"/>
                <w:sz w:val="18"/>
                <w:szCs w:val="18"/>
              </w:rPr>
            </w:pPr>
            <w:r>
              <w:rPr>
                <w:rFonts w:hint="eastAsia"/>
                <w:color w:val="000000"/>
                <w:sz w:val="18"/>
                <w:szCs w:val="18"/>
              </w:rPr>
              <w:t>进水</w:t>
            </w:r>
          </w:p>
        </w:tc>
        <w:tc>
          <w:tcPr>
            <w:tcW w:w="1368" w:type="dxa"/>
            <w:tcBorders>
              <w:top w:val="nil"/>
              <w:left w:val="nil"/>
              <w:bottom w:val="single" w:color="000000" w:sz="8" w:space="0"/>
              <w:right w:val="single" w:color="000000" w:sz="8" w:space="0"/>
            </w:tcBorders>
            <w:vAlign w:val="center"/>
          </w:tcPr>
          <w:p w14:paraId="55D12CEF">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79.49</w:t>
            </w:r>
          </w:p>
        </w:tc>
        <w:tc>
          <w:tcPr>
            <w:tcW w:w="1280" w:type="dxa"/>
            <w:tcBorders>
              <w:top w:val="nil"/>
              <w:left w:val="nil"/>
              <w:bottom w:val="single" w:color="000000" w:sz="8" w:space="0"/>
              <w:right w:val="single" w:color="000000" w:sz="8" w:space="0"/>
            </w:tcBorders>
            <w:vAlign w:val="center"/>
          </w:tcPr>
          <w:p w14:paraId="54B5B353">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190.14</w:t>
            </w:r>
          </w:p>
        </w:tc>
        <w:tc>
          <w:tcPr>
            <w:tcW w:w="1281" w:type="dxa"/>
            <w:tcBorders>
              <w:top w:val="nil"/>
              <w:left w:val="nil"/>
              <w:bottom w:val="single" w:color="000000" w:sz="8" w:space="0"/>
              <w:right w:val="single" w:color="000000" w:sz="8" w:space="0"/>
            </w:tcBorders>
            <w:vAlign w:val="center"/>
          </w:tcPr>
          <w:p w14:paraId="59AD6393">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434.61</w:t>
            </w:r>
          </w:p>
        </w:tc>
        <w:tc>
          <w:tcPr>
            <w:tcW w:w="1281" w:type="dxa"/>
            <w:tcBorders>
              <w:top w:val="nil"/>
              <w:left w:val="nil"/>
              <w:bottom w:val="single" w:color="000000" w:sz="8" w:space="0"/>
              <w:right w:val="single" w:color="000000" w:sz="8" w:space="0"/>
            </w:tcBorders>
            <w:vAlign w:val="center"/>
          </w:tcPr>
          <w:p w14:paraId="6BD1D1DF">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56.31</w:t>
            </w:r>
          </w:p>
        </w:tc>
        <w:tc>
          <w:tcPr>
            <w:tcW w:w="1281" w:type="dxa"/>
            <w:tcBorders>
              <w:top w:val="nil"/>
              <w:left w:val="nil"/>
              <w:bottom w:val="single" w:color="000000" w:sz="8" w:space="0"/>
              <w:right w:val="single" w:color="000000" w:sz="8" w:space="0"/>
            </w:tcBorders>
            <w:vAlign w:val="center"/>
          </w:tcPr>
          <w:p w14:paraId="6B6D3F30">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38.67</w:t>
            </w:r>
          </w:p>
        </w:tc>
        <w:tc>
          <w:tcPr>
            <w:tcW w:w="1281" w:type="dxa"/>
            <w:tcBorders>
              <w:top w:val="nil"/>
              <w:left w:val="nil"/>
              <w:bottom w:val="single" w:color="000000" w:sz="8" w:space="0"/>
              <w:right w:val="single" w:color="000000" w:sz="8" w:space="0"/>
            </w:tcBorders>
            <w:vAlign w:val="center"/>
          </w:tcPr>
          <w:p w14:paraId="591DF2EC">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259.82</w:t>
            </w:r>
          </w:p>
        </w:tc>
        <w:tc>
          <w:tcPr>
            <w:tcW w:w="1281" w:type="dxa"/>
            <w:tcBorders>
              <w:top w:val="nil"/>
              <w:left w:val="nil"/>
              <w:bottom w:val="single" w:color="000000" w:sz="8" w:space="0"/>
              <w:right w:val="single" w:color="000000" w:sz="8" w:space="0"/>
            </w:tcBorders>
            <w:vAlign w:val="center"/>
          </w:tcPr>
          <w:p w14:paraId="6CFD2385">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5.63</w:t>
            </w:r>
          </w:p>
        </w:tc>
        <w:tc>
          <w:tcPr>
            <w:tcW w:w="1281" w:type="dxa"/>
            <w:tcBorders>
              <w:top w:val="nil"/>
              <w:left w:val="nil"/>
              <w:bottom w:val="single" w:color="000000" w:sz="8" w:space="0"/>
              <w:right w:val="single" w:color="000000" w:sz="8" w:space="0"/>
            </w:tcBorders>
            <w:vAlign w:val="center"/>
          </w:tcPr>
          <w:p w14:paraId="464892B6">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1163.14</w:t>
            </w:r>
          </w:p>
        </w:tc>
        <w:tc>
          <w:tcPr>
            <w:tcW w:w="1281" w:type="dxa"/>
            <w:tcBorders>
              <w:top w:val="nil"/>
              <w:left w:val="nil"/>
              <w:bottom w:val="single" w:color="000000" w:sz="8" w:space="0"/>
              <w:right w:val="single" w:color="000000" w:sz="8" w:space="0"/>
            </w:tcBorders>
            <w:vAlign w:val="center"/>
          </w:tcPr>
          <w:p w14:paraId="69313172">
            <w:pPr>
              <w:jc w:val="center"/>
              <w:rPr>
                <w:rFonts w:ascii="Times New Roman" w:hAnsi="Times New Roman" w:cs="Times New Roman"/>
                <w:color w:val="000000"/>
                <w:sz w:val="18"/>
                <w:szCs w:val="18"/>
              </w:rPr>
            </w:pPr>
            <w:r>
              <w:rPr>
                <w:rFonts w:ascii="Times New Roman" w:hAnsi="Times New Roman" w:eastAsia="等线" w:cs="Times New Roman"/>
                <w:color w:val="000000"/>
                <w:sz w:val="18"/>
                <w:szCs w:val="18"/>
              </w:rPr>
              <w:t>0.66</w:t>
            </w:r>
          </w:p>
        </w:tc>
      </w:tr>
      <w:tr w14:paraId="3A426430">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63B4BC4D">
            <w:pPr>
              <w:jc w:val="center"/>
              <w:rPr>
                <w:rFonts w:hint="eastAsia"/>
                <w:color w:val="000000"/>
                <w:sz w:val="18"/>
                <w:szCs w:val="18"/>
              </w:rPr>
            </w:pPr>
            <w:r>
              <w:rPr>
                <w:rFonts w:hint="eastAsia"/>
                <w:color w:val="000000"/>
                <w:sz w:val="18"/>
                <w:szCs w:val="18"/>
              </w:rPr>
              <w:t>设计去除率</w:t>
            </w:r>
          </w:p>
        </w:tc>
        <w:tc>
          <w:tcPr>
            <w:tcW w:w="1368" w:type="dxa"/>
            <w:tcBorders>
              <w:top w:val="nil"/>
              <w:left w:val="nil"/>
              <w:bottom w:val="single" w:color="000000" w:sz="8" w:space="0"/>
              <w:right w:val="single" w:color="000000" w:sz="8" w:space="0"/>
            </w:tcBorders>
            <w:vAlign w:val="center"/>
          </w:tcPr>
          <w:p w14:paraId="27A8C9A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80.00 </w:t>
            </w:r>
          </w:p>
        </w:tc>
        <w:tc>
          <w:tcPr>
            <w:tcW w:w="1280" w:type="dxa"/>
            <w:tcBorders>
              <w:top w:val="nil"/>
              <w:left w:val="nil"/>
              <w:bottom w:val="single" w:color="000000" w:sz="8" w:space="0"/>
              <w:right w:val="single" w:color="000000" w:sz="8" w:space="0"/>
            </w:tcBorders>
            <w:vAlign w:val="center"/>
          </w:tcPr>
          <w:p w14:paraId="114D439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15.00 </w:t>
            </w:r>
          </w:p>
        </w:tc>
        <w:tc>
          <w:tcPr>
            <w:tcW w:w="1281" w:type="dxa"/>
            <w:tcBorders>
              <w:top w:val="nil"/>
              <w:left w:val="nil"/>
              <w:bottom w:val="single" w:color="000000" w:sz="8" w:space="0"/>
              <w:right w:val="single" w:color="000000" w:sz="8" w:space="0"/>
            </w:tcBorders>
            <w:vAlign w:val="center"/>
          </w:tcPr>
          <w:p w14:paraId="5C27DB7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30.00 </w:t>
            </w:r>
          </w:p>
        </w:tc>
        <w:tc>
          <w:tcPr>
            <w:tcW w:w="1281" w:type="dxa"/>
            <w:tcBorders>
              <w:top w:val="nil"/>
              <w:left w:val="nil"/>
              <w:bottom w:val="single" w:color="000000" w:sz="8" w:space="0"/>
              <w:right w:val="single" w:color="000000" w:sz="8" w:space="0"/>
            </w:tcBorders>
            <w:vAlign w:val="center"/>
          </w:tcPr>
          <w:p w14:paraId="001B409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308AC5D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30.00 </w:t>
            </w:r>
          </w:p>
        </w:tc>
        <w:tc>
          <w:tcPr>
            <w:tcW w:w="1281" w:type="dxa"/>
            <w:tcBorders>
              <w:top w:val="nil"/>
              <w:left w:val="nil"/>
              <w:bottom w:val="single" w:color="000000" w:sz="8" w:space="0"/>
              <w:right w:val="single" w:color="000000" w:sz="8" w:space="0"/>
            </w:tcBorders>
            <w:vAlign w:val="center"/>
          </w:tcPr>
          <w:p w14:paraId="56D3A34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5.00 </w:t>
            </w:r>
          </w:p>
        </w:tc>
        <w:tc>
          <w:tcPr>
            <w:tcW w:w="1281" w:type="dxa"/>
            <w:tcBorders>
              <w:top w:val="nil"/>
              <w:left w:val="nil"/>
              <w:bottom w:val="single" w:color="000000" w:sz="8" w:space="0"/>
              <w:right w:val="single" w:color="000000" w:sz="8" w:space="0"/>
            </w:tcBorders>
            <w:vAlign w:val="center"/>
          </w:tcPr>
          <w:p w14:paraId="102C373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60.00 </w:t>
            </w:r>
          </w:p>
        </w:tc>
        <w:tc>
          <w:tcPr>
            <w:tcW w:w="1281" w:type="dxa"/>
            <w:tcBorders>
              <w:top w:val="nil"/>
              <w:left w:val="nil"/>
              <w:bottom w:val="single" w:color="000000" w:sz="8" w:space="0"/>
              <w:right w:val="single" w:color="000000" w:sz="8" w:space="0"/>
            </w:tcBorders>
            <w:vAlign w:val="center"/>
          </w:tcPr>
          <w:p w14:paraId="0B4FBB1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0CC9F18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r>
      <w:tr w14:paraId="413F9DE8">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200A511E">
            <w:pPr>
              <w:jc w:val="center"/>
              <w:rPr>
                <w:rFonts w:hint="eastAsia"/>
                <w:color w:val="000000"/>
                <w:sz w:val="18"/>
                <w:szCs w:val="18"/>
              </w:rPr>
            </w:pPr>
            <w:r>
              <w:rPr>
                <w:rFonts w:hint="eastAsia"/>
                <w:color w:val="000000"/>
                <w:sz w:val="18"/>
                <w:szCs w:val="18"/>
              </w:rPr>
              <w:t>出水水质</w:t>
            </w:r>
          </w:p>
        </w:tc>
        <w:tc>
          <w:tcPr>
            <w:tcW w:w="1368" w:type="dxa"/>
            <w:tcBorders>
              <w:top w:val="nil"/>
              <w:left w:val="nil"/>
              <w:bottom w:val="single" w:color="000000" w:sz="8" w:space="0"/>
              <w:right w:val="single" w:color="000000" w:sz="8" w:space="0"/>
            </w:tcBorders>
            <w:vAlign w:val="center"/>
          </w:tcPr>
          <w:p w14:paraId="46D6B0E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15.90 </w:t>
            </w:r>
          </w:p>
        </w:tc>
        <w:tc>
          <w:tcPr>
            <w:tcW w:w="1280" w:type="dxa"/>
            <w:tcBorders>
              <w:top w:val="nil"/>
              <w:left w:val="nil"/>
              <w:bottom w:val="single" w:color="000000" w:sz="8" w:space="0"/>
              <w:right w:val="single" w:color="000000" w:sz="8" w:space="0"/>
            </w:tcBorders>
            <w:vAlign w:val="center"/>
          </w:tcPr>
          <w:p w14:paraId="354D994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161.62 </w:t>
            </w:r>
          </w:p>
        </w:tc>
        <w:tc>
          <w:tcPr>
            <w:tcW w:w="1281" w:type="dxa"/>
            <w:tcBorders>
              <w:top w:val="nil"/>
              <w:left w:val="nil"/>
              <w:bottom w:val="single" w:color="000000" w:sz="8" w:space="0"/>
              <w:right w:val="single" w:color="000000" w:sz="8" w:space="0"/>
            </w:tcBorders>
            <w:vAlign w:val="center"/>
          </w:tcPr>
          <w:p w14:paraId="7CFE59A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304.23 </w:t>
            </w:r>
          </w:p>
        </w:tc>
        <w:tc>
          <w:tcPr>
            <w:tcW w:w="1281" w:type="dxa"/>
            <w:tcBorders>
              <w:top w:val="nil"/>
              <w:left w:val="nil"/>
              <w:bottom w:val="single" w:color="000000" w:sz="8" w:space="0"/>
              <w:right w:val="single" w:color="000000" w:sz="8" w:space="0"/>
            </w:tcBorders>
            <w:vAlign w:val="center"/>
          </w:tcPr>
          <w:p w14:paraId="44C2A7E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7AB0E89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27.07 </w:t>
            </w:r>
          </w:p>
        </w:tc>
        <w:tc>
          <w:tcPr>
            <w:tcW w:w="1281" w:type="dxa"/>
            <w:tcBorders>
              <w:top w:val="nil"/>
              <w:left w:val="nil"/>
              <w:bottom w:val="single" w:color="000000" w:sz="8" w:space="0"/>
              <w:right w:val="single" w:color="000000" w:sz="8" w:space="0"/>
            </w:tcBorders>
            <w:vAlign w:val="center"/>
          </w:tcPr>
          <w:p w14:paraId="6FD6E8B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246.83 </w:t>
            </w:r>
          </w:p>
        </w:tc>
        <w:tc>
          <w:tcPr>
            <w:tcW w:w="1281" w:type="dxa"/>
            <w:tcBorders>
              <w:top w:val="nil"/>
              <w:left w:val="nil"/>
              <w:bottom w:val="single" w:color="000000" w:sz="8" w:space="0"/>
              <w:right w:val="single" w:color="000000" w:sz="8" w:space="0"/>
            </w:tcBorders>
            <w:vAlign w:val="center"/>
          </w:tcPr>
          <w:p w14:paraId="22AB10B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2.25 </w:t>
            </w:r>
          </w:p>
        </w:tc>
        <w:tc>
          <w:tcPr>
            <w:tcW w:w="1281" w:type="dxa"/>
            <w:tcBorders>
              <w:top w:val="nil"/>
              <w:left w:val="nil"/>
              <w:bottom w:val="single" w:color="000000" w:sz="8" w:space="0"/>
              <w:right w:val="single" w:color="000000" w:sz="8" w:space="0"/>
            </w:tcBorders>
            <w:vAlign w:val="center"/>
          </w:tcPr>
          <w:p w14:paraId="17AC508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48996EE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6131877E">
        <w:tblPrEx>
          <w:tblCellMar>
            <w:top w:w="0" w:type="dxa"/>
            <w:left w:w="108" w:type="dxa"/>
            <w:bottom w:w="0" w:type="dxa"/>
            <w:right w:w="108" w:type="dxa"/>
          </w:tblCellMar>
        </w:tblPrEx>
        <w:trPr>
          <w:trHeight w:val="284" w:hRule="atLeast"/>
          <w:jc w:val="center"/>
        </w:trPr>
        <w:tc>
          <w:tcPr>
            <w:tcW w:w="14175" w:type="dxa"/>
            <w:gridSpan w:val="11"/>
            <w:tcBorders>
              <w:top w:val="nil"/>
              <w:left w:val="single" w:color="000000" w:sz="8" w:space="0"/>
              <w:bottom w:val="single" w:color="000000" w:sz="8" w:space="0"/>
              <w:right w:val="single" w:color="000000" w:sz="8" w:space="0"/>
            </w:tcBorders>
            <w:vAlign w:val="center"/>
          </w:tcPr>
          <w:p w14:paraId="4099A3E6">
            <w:pPr>
              <w:jc w:val="center"/>
              <w:rPr>
                <w:rFonts w:hint="eastAsia"/>
                <w:color w:val="000000"/>
                <w:sz w:val="18"/>
                <w:szCs w:val="18"/>
              </w:rPr>
            </w:pPr>
            <w:r>
              <w:rPr>
                <w:rFonts w:hint="eastAsia"/>
                <w:color w:val="000000"/>
                <w:sz w:val="18"/>
                <w:szCs w:val="18"/>
              </w:rPr>
              <w:t>一级</w:t>
            </w:r>
            <w:r>
              <w:rPr>
                <w:rFonts w:ascii="Times New Roman" w:hAnsi="Times New Roman" w:cs="Times New Roman"/>
                <w:color w:val="000000"/>
                <w:sz w:val="18"/>
                <w:szCs w:val="18"/>
              </w:rPr>
              <w:t>A/O</w:t>
            </w:r>
          </w:p>
        </w:tc>
      </w:tr>
      <w:tr w14:paraId="5874F97F">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4427DDEA">
            <w:pPr>
              <w:jc w:val="center"/>
              <w:rPr>
                <w:rFonts w:hint="eastAsia"/>
                <w:color w:val="000000"/>
                <w:sz w:val="18"/>
                <w:szCs w:val="18"/>
              </w:rPr>
            </w:pPr>
            <w:r>
              <w:rPr>
                <w:rFonts w:hint="eastAsia"/>
                <w:color w:val="000000"/>
                <w:sz w:val="18"/>
                <w:szCs w:val="18"/>
              </w:rPr>
              <w:t>进水</w:t>
            </w:r>
          </w:p>
        </w:tc>
        <w:tc>
          <w:tcPr>
            <w:tcW w:w="1368" w:type="dxa"/>
            <w:tcBorders>
              <w:top w:val="nil"/>
              <w:left w:val="nil"/>
              <w:bottom w:val="single" w:color="000000" w:sz="8" w:space="0"/>
              <w:right w:val="single" w:color="000000" w:sz="8" w:space="0"/>
            </w:tcBorders>
            <w:vAlign w:val="center"/>
          </w:tcPr>
          <w:p w14:paraId="48793E7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15.90 </w:t>
            </w:r>
          </w:p>
        </w:tc>
        <w:tc>
          <w:tcPr>
            <w:tcW w:w="1280" w:type="dxa"/>
            <w:tcBorders>
              <w:top w:val="nil"/>
              <w:left w:val="nil"/>
              <w:bottom w:val="single" w:color="000000" w:sz="8" w:space="0"/>
              <w:right w:val="single" w:color="000000" w:sz="8" w:space="0"/>
            </w:tcBorders>
            <w:vAlign w:val="center"/>
          </w:tcPr>
          <w:p w14:paraId="6E5F0B2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161.62 </w:t>
            </w:r>
          </w:p>
        </w:tc>
        <w:tc>
          <w:tcPr>
            <w:tcW w:w="1281" w:type="dxa"/>
            <w:tcBorders>
              <w:top w:val="nil"/>
              <w:left w:val="nil"/>
              <w:bottom w:val="single" w:color="000000" w:sz="8" w:space="0"/>
              <w:right w:val="single" w:color="000000" w:sz="8" w:space="0"/>
            </w:tcBorders>
            <w:vAlign w:val="center"/>
          </w:tcPr>
          <w:p w14:paraId="4F3B33B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304.23 </w:t>
            </w:r>
          </w:p>
        </w:tc>
        <w:tc>
          <w:tcPr>
            <w:tcW w:w="1281" w:type="dxa"/>
            <w:tcBorders>
              <w:top w:val="nil"/>
              <w:left w:val="nil"/>
              <w:bottom w:val="single" w:color="000000" w:sz="8" w:space="0"/>
              <w:right w:val="single" w:color="000000" w:sz="8" w:space="0"/>
            </w:tcBorders>
            <w:vAlign w:val="center"/>
          </w:tcPr>
          <w:p w14:paraId="2D3C43B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7BFE481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27.07 </w:t>
            </w:r>
          </w:p>
        </w:tc>
        <w:tc>
          <w:tcPr>
            <w:tcW w:w="1281" w:type="dxa"/>
            <w:tcBorders>
              <w:top w:val="nil"/>
              <w:left w:val="nil"/>
              <w:bottom w:val="single" w:color="000000" w:sz="8" w:space="0"/>
              <w:right w:val="single" w:color="000000" w:sz="8" w:space="0"/>
            </w:tcBorders>
            <w:vAlign w:val="center"/>
          </w:tcPr>
          <w:p w14:paraId="6521D78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246.83 </w:t>
            </w:r>
          </w:p>
        </w:tc>
        <w:tc>
          <w:tcPr>
            <w:tcW w:w="1281" w:type="dxa"/>
            <w:tcBorders>
              <w:top w:val="nil"/>
              <w:left w:val="nil"/>
              <w:bottom w:val="single" w:color="000000" w:sz="8" w:space="0"/>
              <w:right w:val="single" w:color="000000" w:sz="8" w:space="0"/>
            </w:tcBorders>
            <w:vAlign w:val="center"/>
          </w:tcPr>
          <w:p w14:paraId="5E554EA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2.25 </w:t>
            </w:r>
          </w:p>
        </w:tc>
        <w:tc>
          <w:tcPr>
            <w:tcW w:w="1281" w:type="dxa"/>
            <w:tcBorders>
              <w:top w:val="nil"/>
              <w:left w:val="nil"/>
              <w:bottom w:val="single" w:color="000000" w:sz="8" w:space="0"/>
              <w:right w:val="single" w:color="000000" w:sz="8" w:space="0"/>
            </w:tcBorders>
            <w:vAlign w:val="center"/>
          </w:tcPr>
          <w:p w14:paraId="09B7078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4DA89BF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407C7754">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1A946D02">
            <w:pPr>
              <w:jc w:val="center"/>
              <w:rPr>
                <w:rFonts w:hint="eastAsia"/>
                <w:color w:val="000000"/>
                <w:sz w:val="18"/>
                <w:szCs w:val="18"/>
              </w:rPr>
            </w:pPr>
            <w:r>
              <w:rPr>
                <w:rFonts w:hint="eastAsia"/>
                <w:color w:val="000000"/>
                <w:sz w:val="18"/>
                <w:szCs w:val="18"/>
              </w:rPr>
              <w:t>设计去除率</w:t>
            </w:r>
          </w:p>
        </w:tc>
        <w:tc>
          <w:tcPr>
            <w:tcW w:w="1368" w:type="dxa"/>
            <w:tcBorders>
              <w:top w:val="nil"/>
              <w:left w:val="nil"/>
              <w:bottom w:val="single" w:color="000000" w:sz="8" w:space="0"/>
              <w:right w:val="single" w:color="000000" w:sz="8" w:space="0"/>
            </w:tcBorders>
            <w:vAlign w:val="center"/>
          </w:tcPr>
          <w:p w14:paraId="4B26A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16.70 </w:t>
            </w:r>
          </w:p>
        </w:tc>
        <w:tc>
          <w:tcPr>
            <w:tcW w:w="1280" w:type="dxa"/>
            <w:tcBorders>
              <w:top w:val="nil"/>
              <w:left w:val="nil"/>
              <w:bottom w:val="single" w:color="000000" w:sz="8" w:space="0"/>
              <w:right w:val="single" w:color="000000" w:sz="8" w:space="0"/>
            </w:tcBorders>
            <w:vAlign w:val="center"/>
          </w:tcPr>
          <w:p w14:paraId="23E7050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80.00 </w:t>
            </w:r>
          </w:p>
        </w:tc>
        <w:tc>
          <w:tcPr>
            <w:tcW w:w="1281" w:type="dxa"/>
            <w:tcBorders>
              <w:top w:val="nil"/>
              <w:left w:val="nil"/>
              <w:bottom w:val="single" w:color="000000" w:sz="8" w:space="0"/>
              <w:right w:val="single" w:color="000000" w:sz="8" w:space="0"/>
            </w:tcBorders>
            <w:vAlign w:val="center"/>
          </w:tcPr>
          <w:p w14:paraId="70B85A1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80.00 </w:t>
            </w:r>
          </w:p>
        </w:tc>
        <w:tc>
          <w:tcPr>
            <w:tcW w:w="1281" w:type="dxa"/>
            <w:tcBorders>
              <w:top w:val="nil"/>
              <w:left w:val="nil"/>
              <w:bottom w:val="single" w:color="000000" w:sz="8" w:space="0"/>
              <w:right w:val="single" w:color="000000" w:sz="8" w:space="0"/>
            </w:tcBorders>
            <w:vAlign w:val="center"/>
          </w:tcPr>
          <w:p w14:paraId="6B653D4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25ECE90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85.00 </w:t>
            </w:r>
          </w:p>
        </w:tc>
        <w:tc>
          <w:tcPr>
            <w:tcW w:w="1281" w:type="dxa"/>
            <w:tcBorders>
              <w:top w:val="nil"/>
              <w:left w:val="nil"/>
              <w:bottom w:val="single" w:color="000000" w:sz="8" w:space="0"/>
              <w:right w:val="single" w:color="000000" w:sz="8" w:space="0"/>
            </w:tcBorders>
            <w:vAlign w:val="center"/>
          </w:tcPr>
          <w:p w14:paraId="0CB4340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85.00 </w:t>
            </w:r>
          </w:p>
        </w:tc>
        <w:tc>
          <w:tcPr>
            <w:tcW w:w="1281" w:type="dxa"/>
            <w:tcBorders>
              <w:top w:val="nil"/>
              <w:left w:val="nil"/>
              <w:bottom w:val="single" w:color="000000" w:sz="8" w:space="0"/>
              <w:right w:val="single" w:color="000000" w:sz="8" w:space="0"/>
            </w:tcBorders>
            <w:vAlign w:val="center"/>
          </w:tcPr>
          <w:p w14:paraId="783C571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70.00 </w:t>
            </w:r>
          </w:p>
        </w:tc>
        <w:tc>
          <w:tcPr>
            <w:tcW w:w="1281" w:type="dxa"/>
            <w:tcBorders>
              <w:top w:val="nil"/>
              <w:left w:val="nil"/>
              <w:bottom w:val="single" w:color="000000" w:sz="8" w:space="0"/>
              <w:right w:val="single" w:color="000000" w:sz="8" w:space="0"/>
            </w:tcBorders>
            <w:vAlign w:val="center"/>
          </w:tcPr>
          <w:p w14:paraId="3DE50A4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16C9382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r>
      <w:tr w14:paraId="47ADA0C9">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01FAA3B7">
            <w:pPr>
              <w:jc w:val="center"/>
              <w:rPr>
                <w:rFonts w:hint="eastAsia"/>
                <w:color w:val="000000"/>
                <w:sz w:val="18"/>
                <w:szCs w:val="18"/>
              </w:rPr>
            </w:pPr>
            <w:r>
              <w:rPr>
                <w:rFonts w:hint="eastAsia"/>
                <w:color w:val="000000"/>
                <w:sz w:val="18"/>
                <w:szCs w:val="18"/>
              </w:rPr>
              <w:t>出水水质</w:t>
            </w:r>
          </w:p>
        </w:tc>
        <w:tc>
          <w:tcPr>
            <w:tcW w:w="1368" w:type="dxa"/>
            <w:tcBorders>
              <w:top w:val="nil"/>
              <w:left w:val="nil"/>
              <w:bottom w:val="single" w:color="000000" w:sz="8" w:space="0"/>
              <w:right w:val="single" w:color="000000" w:sz="8" w:space="0"/>
            </w:tcBorders>
            <w:vAlign w:val="center"/>
          </w:tcPr>
          <w:p w14:paraId="076760E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13.24 </w:t>
            </w:r>
          </w:p>
        </w:tc>
        <w:tc>
          <w:tcPr>
            <w:tcW w:w="1280" w:type="dxa"/>
            <w:tcBorders>
              <w:top w:val="nil"/>
              <w:left w:val="nil"/>
              <w:bottom w:val="single" w:color="000000" w:sz="8" w:space="0"/>
              <w:right w:val="single" w:color="000000" w:sz="8" w:space="0"/>
            </w:tcBorders>
            <w:vAlign w:val="center"/>
          </w:tcPr>
          <w:p w14:paraId="23FE157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32.32 </w:t>
            </w:r>
          </w:p>
        </w:tc>
        <w:tc>
          <w:tcPr>
            <w:tcW w:w="1281" w:type="dxa"/>
            <w:tcBorders>
              <w:top w:val="nil"/>
              <w:left w:val="nil"/>
              <w:bottom w:val="single" w:color="000000" w:sz="8" w:space="0"/>
              <w:right w:val="single" w:color="000000" w:sz="8" w:space="0"/>
            </w:tcBorders>
            <w:vAlign w:val="center"/>
          </w:tcPr>
          <w:p w14:paraId="658ACEB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60.85 </w:t>
            </w:r>
          </w:p>
        </w:tc>
        <w:tc>
          <w:tcPr>
            <w:tcW w:w="1281" w:type="dxa"/>
            <w:tcBorders>
              <w:top w:val="nil"/>
              <w:left w:val="nil"/>
              <w:bottom w:val="single" w:color="000000" w:sz="8" w:space="0"/>
              <w:right w:val="single" w:color="000000" w:sz="8" w:space="0"/>
            </w:tcBorders>
            <w:vAlign w:val="center"/>
          </w:tcPr>
          <w:p w14:paraId="19281DA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33074F0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4.06 </w:t>
            </w:r>
          </w:p>
        </w:tc>
        <w:tc>
          <w:tcPr>
            <w:tcW w:w="1281" w:type="dxa"/>
            <w:tcBorders>
              <w:top w:val="nil"/>
              <w:left w:val="nil"/>
              <w:bottom w:val="single" w:color="000000" w:sz="8" w:space="0"/>
              <w:right w:val="single" w:color="000000" w:sz="8" w:space="0"/>
            </w:tcBorders>
            <w:vAlign w:val="center"/>
          </w:tcPr>
          <w:p w14:paraId="3A6F05C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37.02 </w:t>
            </w:r>
          </w:p>
        </w:tc>
        <w:tc>
          <w:tcPr>
            <w:tcW w:w="1281" w:type="dxa"/>
            <w:tcBorders>
              <w:top w:val="nil"/>
              <w:left w:val="nil"/>
              <w:bottom w:val="single" w:color="000000" w:sz="8" w:space="0"/>
              <w:right w:val="single" w:color="000000" w:sz="8" w:space="0"/>
            </w:tcBorders>
            <w:vAlign w:val="center"/>
          </w:tcPr>
          <w:p w14:paraId="503D550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0.68 </w:t>
            </w:r>
          </w:p>
        </w:tc>
        <w:tc>
          <w:tcPr>
            <w:tcW w:w="1281" w:type="dxa"/>
            <w:tcBorders>
              <w:top w:val="nil"/>
              <w:left w:val="nil"/>
              <w:bottom w:val="single" w:color="000000" w:sz="8" w:space="0"/>
              <w:right w:val="single" w:color="000000" w:sz="8" w:space="0"/>
            </w:tcBorders>
            <w:vAlign w:val="center"/>
          </w:tcPr>
          <w:p w14:paraId="5BF4783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4CB49B1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2F93F289">
        <w:tblPrEx>
          <w:tblCellMar>
            <w:top w:w="0" w:type="dxa"/>
            <w:left w:w="108" w:type="dxa"/>
            <w:bottom w:w="0" w:type="dxa"/>
            <w:right w:w="108" w:type="dxa"/>
          </w:tblCellMar>
        </w:tblPrEx>
        <w:trPr>
          <w:trHeight w:val="284" w:hRule="atLeast"/>
          <w:jc w:val="center"/>
        </w:trPr>
        <w:tc>
          <w:tcPr>
            <w:tcW w:w="14175" w:type="dxa"/>
            <w:gridSpan w:val="11"/>
            <w:tcBorders>
              <w:top w:val="nil"/>
              <w:left w:val="single" w:color="000000" w:sz="8" w:space="0"/>
              <w:bottom w:val="single" w:color="000000" w:sz="8" w:space="0"/>
              <w:right w:val="single" w:color="000000" w:sz="8" w:space="0"/>
            </w:tcBorders>
            <w:vAlign w:val="center"/>
          </w:tcPr>
          <w:p w14:paraId="6AFE0F0A">
            <w:pPr>
              <w:jc w:val="center"/>
              <w:rPr>
                <w:rFonts w:hint="eastAsia"/>
                <w:color w:val="000000"/>
                <w:sz w:val="18"/>
                <w:szCs w:val="18"/>
              </w:rPr>
            </w:pPr>
            <w:r>
              <w:rPr>
                <w:rFonts w:hint="eastAsia"/>
                <w:color w:val="000000"/>
                <w:sz w:val="18"/>
                <w:szCs w:val="18"/>
              </w:rPr>
              <w:t>二级</w:t>
            </w:r>
            <w:r>
              <w:rPr>
                <w:rFonts w:ascii="Times New Roman" w:hAnsi="Times New Roman" w:cs="Times New Roman"/>
                <w:color w:val="000000"/>
                <w:sz w:val="18"/>
                <w:szCs w:val="18"/>
              </w:rPr>
              <w:t>A/O</w:t>
            </w:r>
          </w:p>
        </w:tc>
      </w:tr>
      <w:tr w14:paraId="6C4161E3">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59CC4E01">
            <w:pPr>
              <w:jc w:val="center"/>
              <w:rPr>
                <w:rFonts w:hint="eastAsia"/>
                <w:color w:val="000000"/>
                <w:sz w:val="18"/>
                <w:szCs w:val="18"/>
              </w:rPr>
            </w:pPr>
            <w:r>
              <w:rPr>
                <w:rFonts w:hint="eastAsia"/>
                <w:color w:val="000000"/>
                <w:sz w:val="18"/>
                <w:szCs w:val="18"/>
              </w:rPr>
              <w:t>进水</w:t>
            </w:r>
          </w:p>
        </w:tc>
        <w:tc>
          <w:tcPr>
            <w:tcW w:w="1368" w:type="dxa"/>
            <w:tcBorders>
              <w:top w:val="nil"/>
              <w:left w:val="nil"/>
              <w:bottom w:val="single" w:color="000000" w:sz="8" w:space="0"/>
              <w:right w:val="single" w:color="000000" w:sz="8" w:space="0"/>
            </w:tcBorders>
            <w:vAlign w:val="center"/>
          </w:tcPr>
          <w:p w14:paraId="0DD96D3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13.24 </w:t>
            </w:r>
          </w:p>
        </w:tc>
        <w:tc>
          <w:tcPr>
            <w:tcW w:w="1280" w:type="dxa"/>
            <w:tcBorders>
              <w:top w:val="nil"/>
              <w:left w:val="nil"/>
              <w:bottom w:val="single" w:color="000000" w:sz="8" w:space="0"/>
              <w:right w:val="single" w:color="000000" w:sz="8" w:space="0"/>
            </w:tcBorders>
            <w:vAlign w:val="center"/>
          </w:tcPr>
          <w:p w14:paraId="693F52D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32.32 </w:t>
            </w:r>
          </w:p>
        </w:tc>
        <w:tc>
          <w:tcPr>
            <w:tcW w:w="1281" w:type="dxa"/>
            <w:tcBorders>
              <w:top w:val="nil"/>
              <w:left w:val="nil"/>
              <w:bottom w:val="single" w:color="000000" w:sz="8" w:space="0"/>
              <w:right w:val="single" w:color="000000" w:sz="8" w:space="0"/>
            </w:tcBorders>
            <w:vAlign w:val="center"/>
          </w:tcPr>
          <w:p w14:paraId="3D5A9C2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60.85 </w:t>
            </w:r>
          </w:p>
        </w:tc>
        <w:tc>
          <w:tcPr>
            <w:tcW w:w="1281" w:type="dxa"/>
            <w:tcBorders>
              <w:top w:val="nil"/>
              <w:left w:val="nil"/>
              <w:bottom w:val="single" w:color="000000" w:sz="8" w:space="0"/>
              <w:right w:val="single" w:color="000000" w:sz="8" w:space="0"/>
            </w:tcBorders>
            <w:vAlign w:val="center"/>
          </w:tcPr>
          <w:p w14:paraId="5824B8D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13D4E17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4.06 </w:t>
            </w:r>
          </w:p>
        </w:tc>
        <w:tc>
          <w:tcPr>
            <w:tcW w:w="1281" w:type="dxa"/>
            <w:tcBorders>
              <w:top w:val="nil"/>
              <w:left w:val="nil"/>
              <w:bottom w:val="single" w:color="000000" w:sz="8" w:space="0"/>
              <w:right w:val="single" w:color="000000" w:sz="8" w:space="0"/>
            </w:tcBorders>
            <w:vAlign w:val="center"/>
          </w:tcPr>
          <w:p w14:paraId="68D92F6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37.02 </w:t>
            </w:r>
          </w:p>
        </w:tc>
        <w:tc>
          <w:tcPr>
            <w:tcW w:w="1281" w:type="dxa"/>
            <w:tcBorders>
              <w:top w:val="nil"/>
              <w:left w:val="nil"/>
              <w:bottom w:val="single" w:color="000000" w:sz="8" w:space="0"/>
              <w:right w:val="single" w:color="000000" w:sz="8" w:space="0"/>
            </w:tcBorders>
            <w:vAlign w:val="center"/>
          </w:tcPr>
          <w:p w14:paraId="6EFD22B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0.68 </w:t>
            </w:r>
          </w:p>
        </w:tc>
        <w:tc>
          <w:tcPr>
            <w:tcW w:w="1281" w:type="dxa"/>
            <w:tcBorders>
              <w:top w:val="nil"/>
              <w:left w:val="nil"/>
              <w:bottom w:val="single" w:color="000000" w:sz="8" w:space="0"/>
              <w:right w:val="single" w:color="000000" w:sz="8" w:space="0"/>
            </w:tcBorders>
            <w:vAlign w:val="center"/>
          </w:tcPr>
          <w:p w14:paraId="002AAB1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7FF16F2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1572E26B">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23553754">
            <w:pPr>
              <w:jc w:val="center"/>
              <w:rPr>
                <w:rFonts w:hint="eastAsia"/>
                <w:color w:val="000000"/>
                <w:sz w:val="18"/>
                <w:szCs w:val="18"/>
              </w:rPr>
            </w:pPr>
            <w:r>
              <w:rPr>
                <w:rFonts w:hint="eastAsia"/>
                <w:color w:val="000000"/>
                <w:sz w:val="18"/>
                <w:szCs w:val="18"/>
              </w:rPr>
              <w:t>设计去除率</w:t>
            </w:r>
          </w:p>
        </w:tc>
        <w:tc>
          <w:tcPr>
            <w:tcW w:w="1368" w:type="dxa"/>
            <w:tcBorders>
              <w:top w:val="nil"/>
              <w:left w:val="nil"/>
              <w:bottom w:val="single" w:color="000000" w:sz="8" w:space="0"/>
              <w:right w:val="single" w:color="000000" w:sz="8" w:space="0"/>
            </w:tcBorders>
            <w:vAlign w:val="center"/>
          </w:tcPr>
          <w:p w14:paraId="173860B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16.70 </w:t>
            </w:r>
          </w:p>
        </w:tc>
        <w:tc>
          <w:tcPr>
            <w:tcW w:w="1280" w:type="dxa"/>
            <w:tcBorders>
              <w:top w:val="nil"/>
              <w:left w:val="nil"/>
              <w:bottom w:val="single" w:color="000000" w:sz="8" w:space="0"/>
              <w:right w:val="single" w:color="000000" w:sz="8" w:space="0"/>
            </w:tcBorders>
            <w:vAlign w:val="center"/>
          </w:tcPr>
          <w:p w14:paraId="68E3261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80.00 </w:t>
            </w:r>
          </w:p>
        </w:tc>
        <w:tc>
          <w:tcPr>
            <w:tcW w:w="1281" w:type="dxa"/>
            <w:tcBorders>
              <w:top w:val="nil"/>
              <w:left w:val="nil"/>
              <w:bottom w:val="single" w:color="000000" w:sz="8" w:space="0"/>
              <w:right w:val="single" w:color="000000" w:sz="8" w:space="0"/>
            </w:tcBorders>
            <w:vAlign w:val="center"/>
          </w:tcPr>
          <w:p w14:paraId="6D3949D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80.00 </w:t>
            </w:r>
          </w:p>
        </w:tc>
        <w:tc>
          <w:tcPr>
            <w:tcW w:w="1281" w:type="dxa"/>
            <w:tcBorders>
              <w:top w:val="nil"/>
              <w:left w:val="nil"/>
              <w:bottom w:val="single" w:color="000000" w:sz="8" w:space="0"/>
              <w:right w:val="single" w:color="000000" w:sz="8" w:space="0"/>
            </w:tcBorders>
            <w:vAlign w:val="center"/>
          </w:tcPr>
          <w:p w14:paraId="49D2EF9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3C3E1AB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85.00 </w:t>
            </w:r>
          </w:p>
        </w:tc>
        <w:tc>
          <w:tcPr>
            <w:tcW w:w="1281" w:type="dxa"/>
            <w:tcBorders>
              <w:top w:val="nil"/>
              <w:left w:val="nil"/>
              <w:bottom w:val="single" w:color="000000" w:sz="8" w:space="0"/>
              <w:right w:val="single" w:color="000000" w:sz="8" w:space="0"/>
            </w:tcBorders>
            <w:vAlign w:val="center"/>
          </w:tcPr>
          <w:p w14:paraId="3594CF4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85.00 </w:t>
            </w:r>
          </w:p>
        </w:tc>
        <w:tc>
          <w:tcPr>
            <w:tcW w:w="1281" w:type="dxa"/>
            <w:tcBorders>
              <w:top w:val="nil"/>
              <w:left w:val="nil"/>
              <w:bottom w:val="single" w:color="000000" w:sz="8" w:space="0"/>
              <w:right w:val="single" w:color="000000" w:sz="8" w:space="0"/>
            </w:tcBorders>
            <w:vAlign w:val="center"/>
          </w:tcPr>
          <w:p w14:paraId="28E0B1F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70.00 </w:t>
            </w:r>
          </w:p>
        </w:tc>
        <w:tc>
          <w:tcPr>
            <w:tcW w:w="1281" w:type="dxa"/>
            <w:tcBorders>
              <w:top w:val="nil"/>
              <w:left w:val="nil"/>
              <w:bottom w:val="single" w:color="000000" w:sz="8" w:space="0"/>
              <w:right w:val="single" w:color="000000" w:sz="8" w:space="0"/>
            </w:tcBorders>
            <w:vAlign w:val="center"/>
          </w:tcPr>
          <w:p w14:paraId="4F18C63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0478481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r>
      <w:tr w14:paraId="15FF9A72">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7364D598">
            <w:pPr>
              <w:jc w:val="center"/>
              <w:rPr>
                <w:rFonts w:hint="eastAsia"/>
                <w:color w:val="000000"/>
                <w:sz w:val="18"/>
                <w:szCs w:val="18"/>
              </w:rPr>
            </w:pPr>
            <w:r>
              <w:rPr>
                <w:rFonts w:hint="eastAsia"/>
                <w:color w:val="000000"/>
                <w:sz w:val="18"/>
                <w:szCs w:val="18"/>
              </w:rPr>
              <w:t>出水水质</w:t>
            </w:r>
          </w:p>
        </w:tc>
        <w:tc>
          <w:tcPr>
            <w:tcW w:w="1368" w:type="dxa"/>
            <w:tcBorders>
              <w:top w:val="nil"/>
              <w:left w:val="nil"/>
              <w:bottom w:val="single" w:color="000000" w:sz="8" w:space="0"/>
              <w:right w:val="single" w:color="000000" w:sz="8" w:space="0"/>
            </w:tcBorders>
            <w:vAlign w:val="center"/>
          </w:tcPr>
          <w:p w14:paraId="7E63274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11.03 </w:t>
            </w:r>
          </w:p>
        </w:tc>
        <w:tc>
          <w:tcPr>
            <w:tcW w:w="1280" w:type="dxa"/>
            <w:tcBorders>
              <w:top w:val="nil"/>
              <w:left w:val="nil"/>
              <w:bottom w:val="single" w:color="000000" w:sz="8" w:space="0"/>
              <w:right w:val="single" w:color="000000" w:sz="8" w:space="0"/>
            </w:tcBorders>
            <w:vAlign w:val="center"/>
          </w:tcPr>
          <w:p w14:paraId="3CE76AD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6.46 </w:t>
            </w:r>
          </w:p>
        </w:tc>
        <w:tc>
          <w:tcPr>
            <w:tcW w:w="1281" w:type="dxa"/>
            <w:tcBorders>
              <w:top w:val="nil"/>
              <w:left w:val="nil"/>
              <w:bottom w:val="single" w:color="000000" w:sz="8" w:space="0"/>
              <w:right w:val="single" w:color="000000" w:sz="8" w:space="0"/>
            </w:tcBorders>
            <w:vAlign w:val="center"/>
          </w:tcPr>
          <w:p w14:paraId="14FAD16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12.17 </w:t>
            </w:r>
          </w:p>
        </w:tc>
        <w:tc>
          <w:tcPr>
            <w:tcW w:w="1281" w:type="dxa"/>
            <w:tcBorders>
              <w:top w:val="nil"/>
              <w:left w:val="nil"/>
              <w:bottom w:val="single" w:color="000000" w:sz="8" w:space="0"/>
              <w:right w:val="single" w:color="000000" w:sz="8" w:space="0"/>
            </w:tcBorders>
            <w:vAlign w:val="center"/>
          </w:tcPr>
          <w:p w14:paraId="753F9289">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22E58E3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0.61 </w:t>
            </w:r>
          </w:p>
        </w:tc>
        <w:tc>
          <w:tcPr>
            <w:tcW w:w="1281" w:type="dxa"/>
            <w:tcBorders>
              <w:top w:val="nil"/>
              <w:left w:val="nil"/>
              <w:bottom w:val="single" w:color="000000" w:sz="8" w:space="0"/>
              <w:right w:val="single" w:color="000000" w:sz="8" w:space="0"/>
            </w:tcBorders>
            <w:vAlign w:val="center"/>
          </w:tcPr>
          <w:p w14:paraId="5B8E15A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5.55 </w:t>
            </w:r>
          </w:p>
        </w:tc>
        <w:tc>
          <w:tcPr>
            <w:tcW w:w="1281" w:type="dxa"/>
            <w:tcBorders>
              <w:top w:val="nil"/>
              <w:left w:val="nil"/>
              <w:bottom w:val="single" w:color="000000" w:sz="8" w:space="0"/>
              <w:right w:val="single" w:color="000000" w:sz="8" w:space="0"/>
            </w:tcBorders>
            <w:vAlign w:val="center"/>
          </w:tcPr>
          <w:p w14:paraId="74E22FB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0.20 </w:t>
            </w:r>
          </w:p>
        </w:tc>
        <w:tc>
          <w:tcPr>
            <w:tcW w:w="1281" w:type="dxa"/>
            <w:tcBorders>
              <w:top w:val="nil"/>
              <w:left w:val="nil"/>
              <w:bottom w:val="single" w:color="000000" w:sz="8" w:space="0"/>
              <w:right w:val="single" w:color="000000" w:sz="8" w:space="0"/>
            </w:tcBorders>
            <w:vAlign w:val="center"/>
          </w:tcPr>
          <w:p w14:paraId="244D5D3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46FDE9D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41A24809">
        <w:tblPrEx>
          <w:tblCellMar>
            <w:top w:w="0" w:type="dxa"/>
            <w:left w:w="108" w:type="dxa"/>
            <w:bottom w:w="0" w:type="dxa"/>
            <w:right w:w="108" w:type="dxa"/>
          </w:tblCellMar>
        </w:tblPrEx>
        <w:trPr>
          <w:trHeight w:val="284" w:hRule="atLeast"/>
          <w:jc w:val="center"/>
        </w:trPr>
        <w:tc>
          <w:tcPr>
            <w:tcW w:w="14175" w:type="dxa"/>
            <w:gridSpan w:val="11"/>
            <w:tcBorders>
              <w:top w:val="nil"/>
              <w:left w:val="single" w:color="000000" w:sz="8" w:space="0"/>
              <w:bottom w:val="single" w:color="000000" w:sz="8" w:space="0"/>
              <w:right w:val="single" w:color="000000" w:sz="8" w:space="0"/>
            </w:tcBorders>
            <w:vAlign w:val="center"/>
          </w:tcPr>
          <w:p w14:paraId="09D4BEA4">
            <w:pPr>
              <w:jc w:val="center"/>
              <w:rPr>
                <w:rFonts w:hint="eastAsia"/>
                <w:color w:val="000000"/>
                <w:sz w:val="18"/>
                <w:szCs w:val="18"/>
              </w:rPr>
            </w:pPr>
            <w:r>
              <w:rPr>
                <w:rFonts w:hint="eastAsia"/>
                <w:color w:val="000000"/>
                <w:sz w:val="18"/>
                <w:szCs w:val="18"/>
              </w:rPr>
              <w:t>高效沉淀池</w:t>
            </w:r>
          </w:p>
        </w:tc>
      </w:tr>
      <w:tr w14:paraId="2E28D236">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09B24C6D">
            <w:pPr>
              <w:jc w:val="center"/>
              <w:rPr>
                <w:rFonts w:hint="eastAsia"/>
                <w:color w:val="000000"/>
                <w:sz w:val="18"/>
                <w:szCs w:val="18"/>
              </w:rPr>
            </w:pPr>
            <w:r>
              <w:rPr>
                <w:rFonts w:hint="eastAsia"/>
                <w:color w:val="000000"/>
                <w:sz w:val="18"/>
                <w:szCs w:val="18"/>
              </w:rPr>
              <w:t>进水</w:t>
            </w:r>
          </w:p>
        </w:tc>
        <w:tc>
          <w:tcPr>
            <w:tcW w:w="1368" w:type="dxa"/>
            <w:tcBorders>
              <w:top w:val="nil"/>
              <w:left w:val="nil"/>
              <w:bottom w:val="single" w:color="000000" w:sz="8" w:space="0"/>
              <w:right w:val="single" w:color="000000" w:sz="8" w:space="0"/>
            </w:tcBorders>
            <w:vAlign w:val="center"/>
          </w:tcPr>
          <w:p w14:paraId="182AAC3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11.03 </w:t>
            </w:r>
          </w:p>
        </w:tc>
        <w:tc>
          <w:tcPr>
            <w:tcW w:w="1280" w:type="dxa"/>
            <w:tcBorders>
              <w:top w:val="nil"/>
              <w:left w:val="nil"/>
              <w:bottom w:val="single" w:color="000000" w:sz="8" w:space="0"/>
              <w:right w:val="single" w:color="000000" w:sz="8" w:space="0"/>
            </w:tcBorders>
            <w:vAlign w:val="center"/>
          </w:tcPr>
          <w:p w14:paraId="381CAF4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6.46 </w:t>
            </w:r>
          </w:p>
        </w:tc>
        <w:tc>
          <w:tcPr>
            <w:tcW w:w="1281" w:type="dxa"/>
            <w:tcBorders>
              <w:top w:val="nil"/>
              <w:left w:val="nil"/>
              <w:bottom w:val="single" w:color="000000" w:sz="8" w:space="0"/>
              <w:right w:val="single" w:color="000000" w:sz="8" w:space="0"/>
            </w:tcBorders>
            <w:vAlign w:val="center"/>
          </w:tcPr>
          <w:p w14:paraId="3F7D7B68">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12.17 </w:t>
            </w:r>
          </w:p>
        </w:tc>
        <w:tc>
          <w:tcPr>
            <w:tcW w:w="1281" w:type="dxa"/>
            <w:tcBorders>
              <w:top w:val="nil"/>
              <w:left w:val="nil"/>
              <w:bottom w:val="single" w:color="000000" w:sz="8" w:space="0"/>
              <w:right w:val="single" w:color="000000" w:sz="8" w:space="0"/>
            </w:tcBorders>
            <w:vAlign w:val="center"/>
          </w:tcPr>
          <w:p w14:paraId="4BF4103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6D1FA443">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0.61 </w:t>
            </w:r>
          </w:p>
        </w:tc>
        <w:tc>
          <w:tcPr>
            <w:tcW w:w="1281" w:type="dxa"/>
            <w:tcBorders>
              <w:top w:val="nil"/>
              <w:left w:val="nil"/>
              <w:bottom w:val="single" w:color="000000" w:sz="8" w:space="0"/>
              <w:right w:val="single" w:color="000000" w:sz="8" w:space="0"/>
            </w:tcBorders>
            <w:vAlign w:val="center"/>
          </w:tcPr>
          <w:p w14:paraId="71ED8FB4">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5.55 </w:t>
            </w:r>
          </w:p>
        </w:tc>
        <w:tc>
          <w:tcPr>
            <w:tcW w:w="1281" w:type="dxa"/>
            <w:tcBorders>
              <w:top w:val="nil"/>
              <w:left w:val="nil"/>
              <w:bottom w:val="single" w:color="000000" w:sz="8" w:space="0"/>
              <w:right w:val="single" w:color="000000" w:sz="8" w:space="0"/>
            </w:tcBorders>
            <w:vAlign w:val="center"/>
          </w:tcPr>
          <w:p w14:paraId="41AEE5D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0.20 </w:t>
            </w:r>
          </w:p>
        </w:tc>
        <w:tc>
          <w:tcPr>
            <w:tcW w:w="1281" w:type="dxa"/>
            <w:tcBorders>
              <w:top w:val="nil"/>
              <w:left w:val="nil"/>
              <w:bottom w:val="single" w:color="000000" w:sz="8" w:space="0"/>
              <w:right w:val="single" w:color="000000" w:sz="8" w:space="0"/>
            </w:tcBorders>
            <w:vAlign w:val="center"/>
          </w:tcPr>
          <w:p w14:paraId="6DB4A09A">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45822DE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642FDC3A">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6F1537C8">
            <w:pPr>
              <w:jc w:val="center"/>
              <w:rPr>
                <w:rFonts w:hint="eastAsia"/>
                <w:color w:val="000000"/>
                <w:sz w:val="18"/>
                <w:szCs w:val="18"/>
              </w:rPr>
            </w:pPr>
            <w:r>
              <w:rPr>
                <w:rFonts w:hint="eastAsia"/>
                <w:color w:val="000000"/>
                <w:sz w:val="18"/>
                <w:szCs w:val="18"/>
              </w:rPr>
              <w:t>设计去除率</w:t>
            </w:r>
          </w:p>
        </w:tc>
        <w:tc>
          <w:tcPr>
            <w:tcW w:w="1368" w:type="dxa"/>
            <w:tcBorders>
              <w:top w:val="nil"/>
              <w:left w:val="nil"/>
              <w:bottom w:val="single" w:color="000000" w:sz="8" w:space="0"/>
              <w:right w:val="single" w:color="000000" w:sz="8" w:space="0"/>
            </w:tcBorders>
            <w:vAlign w:val="center"/>
          </w:tcPr>
          <w:p w14:paraId="1C09EF84">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99.00 </w:t>
            </w:r>
          </w:p>
        </w:tc>
        <w:tc>
          <w:tcPr>
            <w:tcW w:w="1280" w:type="dxa"/>
            <w:tcBorders>
              <w:top w:val="nil"/>
              <w:left w:val="nil"/>
              <w:bottom w:val="single" w:color="000000" w:sz="8" w:space="0"/>
              <w:right w:val="single" w:color="000000" w:sz="8" w:space="0"/>
            </w:tcBorders>
            <w:vAlign w:val="center"/>
          </w:tcPr>
          <w:p w14:paraId="4436582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73E152D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10.00 </w:t>
            </w:r>
          </w:p>
        </w:tc>
        <w:tc>
          <w:tcPr>
            <w:tcW w:w="1281" w:type="dxa"/>
            <w:tcBorders>
              <w:top w:val="nil"/>
              <w:left w:val="nil"/>
              <w:bottom w:val="single" w:color="000000" w:sz="8" w:space="0"/>
              <w:right w:val="single" w:color="000000" w:sz="8" w:space="0"/>
            </w:tcBorders>
            <w:vAlign w:val="center"/>
          </w:tcPr>
          <w:p w14:paraId="26331D0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11ED6E3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20.00 </w:t>
            </w:r>
          </w:p>
        </w:tc>
        <w:tc>
          <w:tcPr>
            <w:tcW w:w="1281" w:type="dxa"/>
            <w:tcBorders>
              <w:top w:val="nil"/>
              <w:left w:val="nil"/>
              <w:bottom w:val="single" w:color="000000" w:sz="8" w:space="0"/>
              <w:right w:val="single" w:color="000000" w:sz="8" w:space="0"/>
            </w:tcBorders>
            <w:vAlign w:val="center"/>
          </w:tcPr>
          <w:p w14:paraId="5CA8D657">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10.00 </w:t>
            </w:r>
          </w:p>
        </w:tc>
        <w:tc>
          <w:tcPr>
            <w:tcW w:w="1281" w:type="dxa"/>
            <w:tcBorders>
              <w:top w:val="nil"/>
              <w:left w:val="nil"/>
              <w:bottom w:val="single" w:color="000000" w:sz="8" w:space="0"/>
              <w:right w:val="single" w:color="000000" w:sz="8" w:space="0"/>
            </w:tcBorders>
            <w:vAlign w:val="center"/>
          </w:tcPr>
          <w:p w14:paraId="5433BC9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5FD5F54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c>
          <w:tcPr>
            <w:tcW w:w="1281" w:type="dxa"/>
            <w:tcBorders>
              <w:top w:val="nil"/>
              <w:left w:val="nil"/>
              <w:bottom w:val="single" w:color="000000" w:sz="8" w:space="0"/>
              <w:right w:val="single" w:color="000000" w:sz="8" w:space="0"/>
            </w:tcBorders>
            <w:vAlign w:val="center"/>
          </w:tcPr>
          <w:p w14:paraId="2E2F35C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0.00 </w:t>
            </w:r>
          </w:p>
        </w:tc>
      </w:tr>
      <w:tr w14:paraId="027CDAAC">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1B208659">
            <w:pPr>
              <w:jc w:val="center"/>
              <w:rPr>
                <w:rFonts w:hint="eastAsia"/>
                <w:color w:val="000000"/>
                <w:sz w:val="18"/>
                <w:szCs w:val="18"/>
              </w:rPr>
            </w:pPr>
            <w:r>
              <w:rPr>
                <w:rFonts w:hint="eastAsia"/>
                <w:color w:val="000000"/>
                <w:sz w:val="18"/>
                <w:szCs w:val="18"/>
              </w:rPr>
              <w:t>出水水质</w:t>
            </w:r>
          </w:p>
        </w:tc>
        <w:tc>
          <w:tcPr>
            <w:tcW w:w="1368" w:type="dxa"/>
            <w:tcBorders>
              <w:top w:val="nil"/>
              <w:left w:val="nil"/>
              <w:bottom w:val="single" w:color="000000" w:sz="8" w:space="0"/>
              <w:right w:val="single" w:color="000000" w:sz="8" w:space="0"/>
            </w:tcBorders>
            <w:vAlign w:val="center"/>
          </w:tcPr>
          <w:p w14:paraId="49CEBFAD">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0.11 </w:t>
            </w:r>
          </w:p>
        </w:tc>
        <w:tc>
          <w:tcPr>
            <w:tcW w:w="1280" w:type="dxa"/>
            <w:tcBorders>
              <w:top w:val="nil"/>
              <w:left w:val="nil"/>
              <w:bottom w:val="single" w:color="000000" w:sz="8" w:space="0"/>
              <w:right w:val="single" w:color="000000" w:sz="8" w:space="0"/>
            </w:tcBorders>
            <w:vAlign w:val="center"/>
          </w:tcPr>
          <w:p w14:paraId="1B9C244B">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6.46 </w:t>
            </w:r>
          </w:p>
        </w:tc>
        <w:tc>
          <w:tcPr>
            <w:tcW w:w="1281" w:type="dxa"/>
            <w:tcBorders>
              <w:top w:val="nil"/>
              <w:left w:val="nil"/>
              <w:bottom w:val="single" w:color="000000" w:sz="8" w:space="0"/>
              <w:right w:val="single" w:color="000000" w:sz="8" w:space="0"/>
            </w:tcBorders>
            <w:vAlign w:val="center"/>
          </w:tcPr>
          <w:p w14:paraId="50291FEC">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10.95 </w:t>
            </w:r>
          </w:p>
        </w:tc>
        <w:tc>
          <w:tcPr>
            <w:tcW w:w="1281" w:type="dxa"/>
            <w:tcBorders>
              <w:top w:val="nil"/>
              <w:left w:val="nil"/>
              <w:bottom w:val="single" w:color="000000" w:sz="8" w:space="0"/>
              <w:right w:val="single" w:color="000000" w:sz="8" w:space="0"/>
            </w:tcBorders>
            <w:vAlign w:val="center"/>
          </w:tcPr>
          <w:p w14:paraId="54BA6FEF">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56.31 </w:t>
            </w:r>
          </w:p>
        </w:tc>
        <w:tc>
          <w:tcPr>
            <w:tcW w:w="1281" w:type="dxa"/>
            <w:tcBorders>
              <w:top w:val="nil"/>
              <w:left w:val="nil"/>
              <w:bottom w:val="single" w:color="000000" w:sz="8" w:space="0"/>
              <w:right w:val="single" w:color="000000" w:sz="8" w:space="0"/>
            </w:tcBorders>
            <w:vAlign w:val="center"/>
          </w:tcPr>
          <w:p w14:paraId="0F64FD7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0.49 </w:t>
            </w:r>
          </w:p>
        </w:tc>
        <w:tc>
          <w:tcPr>
            <w:tcW w:w="1281" w:type="dxa"/>
            <w:tcBorders>
              <w:top w:val="nil"/>
              <w:left w:val="nil"/>
              <w:bottom w:val="single" w:color="000000" w:sz="8" w:space="0"/>
              <w:right w:val="single" w:color="000000" w:sz="8" w:space="0"/>
            </w:tcBorders>
            <w:vAlign w:val="center"/>
          </w:tcPr>
          <w:p w14:paraId="305B94D2">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5.00 </w:t>
            </w:r>
          </w:p>
        </w:tc>
        <w:tc>
          <w:tcPr>
            <w:tcW w:w="1281" w:type="dxa"/>
            <w:tcBorders>
              <w:top w:val="nil"/>
              <w:left w:val="nil"/>
              <w:bottom w:val="single" w:color="000000" w:sz="8" w:space="0"/>
              <w:right w:val="single" w:color="000000" w:sz="8" w:space="0"/>
            </w:tcBorders>
            <w:vAlign w:val="center"/>
          </w:tcPr>
          <w:p w14:paraId="4468FBA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0.20 </w:t>
            </w:r>
          </w:p>
        </w:tc>
        <w:tc>
          <w:tcPr>
            <w:tcW w:w="1281" w:type="dxa"/>
            <w:tcBorders>
              <w:top w:val="nil"/>
              <w:left w:val="nil"/>
              <w:bottom w:val="single" w:color="000000" w:sz="8" w:space="0"/>
              <w:right w:val="single" w:color="000000" w:sz="8" w:space="0"/>
            </w:tcBorders>
            <w:vAlign w:val="center"/>
          </w:tcPr>
          <w:p w14:paraId="0A8C0F5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1163.14 </w:t>
            </w:r>
          </w:p>
        </w:tc>
        <w:tc>
          <w:tcPr>
            <w:tcW w:w="1281" w:type="dxa"/>
            <w:tcBorders>
              <w:top w:val="nil"/>
              <w:left w:val="nil"/>
              <w:bottom w:val="single" w:color="000000" w:sz="8" w:space="0"/>
              <w:right w:val="single" w:color="000000" w:sz="8" w:space="0"/>
            </w:tcBorders>
            <w:vAlign w:val="center"/>
          </w:tcPr>
          <w:p w14:paraId="3A34466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0.66 </w:t>
            </w:r>
          </w:p>
        </w:tc>
      </w:tr>
      <w:tr w14:paraId="7A351D06">
        <w:tblPrEx>
          <w:tblCellMar>
            <w:top w:w="0" w:type="dxa"/>
            <w:left w:w="108" w:type="dxa"/>
            <w:bottom w:w="0" w:type="dxa"/>
            <w:right w:w="108" w:type="dxa"/>
          </w:tblCellMar>
        </w:tblPrEx>
        <w:trPr>
          <w:trHeight w:val="284" w:hRule="atLeast"/>
          <w:jc w:val="center"/>
        </w:trPr>
        <w:tc>
          <w:tcPr>
            <w:tcW w:w="2560" w:type="dxa"/>
            <w:gridSpan w:val="2"/>
            <w:tcBorders>
              <w:top w:val="nil"/>
              <w:left w:val="single" w:color="000000" w:sz="8" w:space="0"/>
              <w:bottom w:val="single" w:color="000000" w:sz="8" w:space="0"/>
              <w:right w:val="single" w:color="000000" w:sz="8" w:space="0"/>
            </w:tcBorders>
            <w:vAlign w:val="center"/>
          </w:tcPr>
          <w:p w14:paraId="0ADDAD63">
            <w:pPr>
              <w:jc w:val="center"/>
              <w:rPr>
                <w:rFonts w:hint="eastAsia"/>
                <w:color w:val="000000"/>
                <w:sz w:val="18"/>
                <w:szCs w:val="18"/>
              </w:rPr>
            </w:pPr>
            <w:r>
              <w:rPr>
                <w:rFonts w:hint="eastAsia"/>
                <w:color w:val="000000"/>
                <w:sz w:val="18"/>
                <w:szCs w:val="18"/>
              </w:rPr>
              <w:t>设计出水水质</w:t>
            </w:r>
          </w:p>
        </w:tc>
        <w:tc>
          <w:tcPr>
            <w:tcW w:w="1368" w:type="dxa"/>
            <w:tcBorders>
              <w:top w:val="nil"/>
              <w:left w:val="nil"/>
              <w:bottom w:val="single" w:color="000000" w:sz="8" w:space="0"/>
              <w:right w:val="single" w:color="000000" w:sz="8" w:space="0"/>
            </w:tcBorders>
            <w:vAlign w:val="center"/>
          </w:tcPr>
          <w:p w14:paraId="75516B95">
            <w:pPr>
              <w:jc w:val="center"/>
              <w:rPr>
                <w:rFonts w:hint="eastAsia"/>
                <w:color w:val="000000"/>
                <w:sz w:val="18"/>
                <w:szCs w:val="18"/>
              </w:rPr>
            </w:pPr>
          </w:p>
        </w:tc>
        <w:tc>
          <w:tcPr>
            <w:tcW w:w="1280" w:type="dxa"/>
            <w:tcBorders>
              <w:top w:val="nil"/>
              <w:left w:val="nil"/>
              <w:bottom w:val="single" w:color="000000" w:sz="8" w:space="0"/>
              <w:right w:val="single" w:color="000000" w:sz="8" w:space="0"/>
            </w:tcBorders>
            <w:vAlign w:val="center"/>
          </w:tcPr>
          <w:p w14:paraId="4F9921F0">
            <w:pPr>
              <w:rPr>
                <w:rFonts w:ascii="Times New Roman" w:hAnsi="Times New Roman" w:eastAsia="Times New Roman" w:cs="Times New Roman"/>
                <w:sz w:val="20"/>
                <w:szCs w:val="20"/>
              </w:rPr>
            </w:pPr>
          </w:p>
        </w:tc>
        <w:tc>
          <w:tcPr>
            <w:tcW w:w="1281" w:type="dxa"/>
            <w:tcBorders>
              <w:top w:val="nil"/>
              <w:left w:val="nil"/>
              <w:bottom w:val="single" w:color="000000" w:sz="8" w:space="0"/>
              <w:right w:val="single" w:color="000000" w:sz="8" w:space="0"/>
            </w:tcBorders>
            <w:vAlign w:val="center"/>
          </w:tcPr>
          <w:p w14:paraId="40B7D79E">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60.00 </w:t>
            </w:r>
          </w:p>
        </w:tc>
        <w:tc>
          <w:tcPr>
            <w:tcW w:w="1281" w:type="dxa"/>
            <w:tcBorders>
              <w:top w:val="nil"/>
              <w:left w:val="nil"/>
              <w:bottom w:val="single" w:color="000000" w:sz="8" w:space="0"/>
              <w:right w:val="single" w:color="000000" w:sz="8" w:space="0"/>
            </w:tcBorders>
            <w:vAlign w:val="center"/>
          </w:tcPr>
          <w:p w14:paraId="67D7A3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81" w:type="dxa"/>
            <w:tcBorders>
              <w:top w:val="nil"/>
              <w:left w:val="nil"/>
              <w:bottom w:val="single" w:color="000000" w:sz="8" w:space="0"/>
              <w:right w:val="single" w:color="000000" w:sz="8" w:space="0"/>
            </w:tcBorders>
            <w:vAlign w:val="center"/>
          </w:tcPr>
          <w:p w14:paraId="56AE6D6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0.50 </w:t>
            </w:r>
          </w:p>
        </w:tc>
        <w:tc>
          <w:tcPr>
            <w:tcW w:w="1281" w:type="dxa"/>
            <w:tcBorders>
              <w:top w:val="nil"/>
              <w:left w:val="nil"/>
              <w:bottom w:val="single" w:color="000000" w:sz="8" w:space="0"/>
              <w:right w:val="single" w:color="000000" w:sz="8" w:space="0"/>
            </w:tcBorders>
            <w:vAlign w:val="center"/>
          </w:tcPr>
          <w:p w14:paraId="7CA6D3B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5.00 </w:t>
            </w:r>
          </w:p>
        </w:tc>
        <w:tc>
          <w:tcPr>
            <w:tcW w:w="1281" w:type="dxa"/>
            <w:tcBorders>
              <w:top w:val="nil"/>
              <w:left w:val="nil"/>
              <w:bottom w:val="single" w:color="000000" w:sz="8" w:space="0"/>
              <w:right w:val="single" w:color="000000" w:sz="8" w:space="0"/>
            </w:tcBorders>
            <w:vAlign w:val="center"/>
          </w:tcPr>
          <w:p w14:paraId="271402A5">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8.00 </w:t>
            </w:r>
          </w:p>
        </w:tc>
        <w:tc>
          <w:tcPr>
            <w:tcW w:w="1281" w:type="dxa"/>
            <w:tcBorders>
              <w:top w:val="nil"/>
              <w:left w:val="nil"/>
              <w:bottom w:val="single" w:color="000000" w:sz="8" w:space="0"/>
              <w:right w:val="single" w:color="000000" w:sz="8" w:space="0"/>
            </w:tcBorders>
            <w:vAlign w:val="center"/>
          </w:tcPr>
          <w:p w14:paraId="45B64996">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1600.00 </w:t>
            </w:r>
          </w:p>
        </w:tc>
        <w:tc>
          <w:tcPr>
            <w:tcW w:w="1281" w:type="dxa"/>
            <w:tcBorders>
              <w:top w:val="nil"/>
              <w:left w:val="nil"/>
              <w:bottom w:val="single" w:color="000000" w:sz="8" w:space="0"/>
              <w:right w:val="single" w:color="000000" w:sz="8" w:space="0"/>
            </w:tcBorders>
            <w:vAlign w:val="center"/>
          </w:tcPr>
          <w:p w14:paraId="7D31CA91">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5.00 </w:t>
            </w:r>
          </w:p>
        </w:tc>
      </w:tr>
      <w:bookmarkEnd w:id="399"/>
    </w:tbl>
    <w:p w14:paraId="62A7753A">
      <w:pPr>
        <w:pStyle w:val="535"/>
        <w:rPr>
          <w:rFonts w:hint="eastAsia"/>
          <w:color w:val="auto"/>
        </w:rPr>
        <w:sectPr>
          <w:pgSz w:w="16838" w:h="11906" w:orient="landscape"/>
          <w:pgMar w:top="1800" w:right="1440" w:bottom="1800" w:left="1440" w:header="851" w:footer="850" w:gutter="0"/>
          <w:cols w:space="425" w:num="1"/>
          <w:docGrid w:type="lines" w:linePitch="326" w:charSpace="0"/>
        </w:sectPr>
      </w:pPr>
    </w:p>
    <w:p w14:paraId="4D490A43">
      <w:pPr>
        <w:pStyle w:val="98"/>
        <w:rPr>
          <w:rFonts w:hint="eastAsia"/>
          <w:color w:val="auto"/>
        </w:rPr>
      </w:pPr>
      <w:r>
        <w:rPr>
          <w:rFonts w:hint="eastAsia"/>
          <w:color w:val="auto"/>
        </w:rPr>
        <w:t>回用水系统</w:t>
      </w:r>
    </w:p>
    <w:p w14:paraId="061B7E2A">
      <w:pPr>
        <w:pStyle w:val="951"/>
      </w:pPr>
      <w:r>
        <w:rPr>
          <w:rFonts w:hint="eastAsia"/>
        </w:rPr>
        <w:t>概述</w:t>
      </w:r>
    </w:p>
    <w:p w14:paraId="67C3D238">
      <w:pPr>
        <w:pStyle w:val="128"/>
        <w:rPr>
          <w:rFonts w:hint="eastAsia"/>
        </w:rPr>
      </w:pPr>
      <w:r>
        <w:rPr>
          <w:rFonts w:hint="eastAsia"/>
        </w:rPr>
        <w:t>回用水站</w:t>
      </w:r>
      <w:r>
        <w:t>主要收集循环水站排污水、除盐水站排水及污水处理后清水，处理后回用至循环水补水</w:t>
      </w:r>
      <w:r>
        <w:rPr>
          <w:rFonts w:hint="eastAsia"/>
        </w:rPr>
        <w:t>，不能回用部分送蒸发结晶装置。</w:t>
      </w:r>
    </w:p>
    <w:p w14:paraId="5E649AB0">
      <w:pPr>
        <w:pStyle w:val="951"/>
      </w:pPr>
      <w:r>
        <w:rPr>
          <w:rFonts w:hint="eastAsia"/>
        </w:rPr>
        <w:t>处理规模</w:t>
      </w:r>
    </w:p>
    <w:p w14:paraId="548F44CD">
      <w:pPr>
        <w:pStyle w:val="128"/>
        <w:rPr>
          <w:rFonts w:hint="eastAsia"/>
        </w:rPr>
      </w:pPr>
      <w:bookmarkStart w:id="400" w:name="OLE_LINK89"/>
      <w:r>
        <w:rPr>
          <w:rFonts w:hint="eastAsia"/>
        </w:rPr>
        <w:t>中水回用系统</w:t>
      </w:r>
      <w:r>
        <w:t>设计能力</w:t>
      </w:r>
      <w:r>
        <w:rPr>
          <w:rFonts w:hint="eastAsia"/>
        </w:rPr>
        <w:t>50</w:t>
      </w:r>
      <w:r>
        <w:t>0m</w:t>
      </w:r>
      <w:r>
        <w:rPr>
          <w:vertAlign w:val="superscript"/>
        </w:rPr>
        <w:t>3</w:t>
      </w:r>
      <w:r>
        <w:t>/h</w:t>
      </w:r>
      <w:r>
        <w:rPr>
          <w:rFonts w:hint="eastAsia"/>
        </w:rPr>
        <w:t>。</w:t>
      </w:r>
    </w:p>
    <w:p w14:paraId="174F57C6">
      <w:pPr>
        <w:pStyle w:val="951"/>
      </w:pPr>
      <w:r>
        <w:rPr>
          <w:rFonts w:hint="eastAsia"/>
        </w:rPr>
        <w:t>工艺流程</w:t>
      </w:r>
    </w:p>
    <w:p w14:paraId="59E6FE9A">
      <w:pPr>
        <w:pStyle w:val="281"/>
        <w:ind w:firstLine="480"/>
      </w:pPr>
      <w:r>
        <w:rPr>
          <w:rFonts w:hint="eastAsia"/>
        </w:rPr>
        <w:t>（1）水质分析</w:t>
      </w:r>
    </w:p>
    <w:p w14:paraId="0DC23237">
      <w:pPr>
        <w:pStyle w:val="281"/>
        <w:ind w:firstLine="480"/>
      </w:pPr>
      <w:r>
        <w:rPr>
          <w:rFonts w:hint="eastAsia"/>
        </w:rPr>
        <w:t>本工程中待处理中水水质主要有如下特征：来水钙镁硬度较高，为了维持膜系统稳定运行，预处理需要采用高密池进行化学除硬。</w:t>
      </w:r>
    </w:p>
    <w:p w14:paraId="6E0D1A68">
      <w:pPr>
        <w:pStyle w:val="281"/>
        <w:ind w:firstLine="480"/>
      </w:pPr>
      <w:r>
        <w:rPr>
          <w:rFonts w:hint="eastAsia"/>
        </w:rPr>
        <w:t>（2）工艺流程简述</w:t>
      </w:r>
    </w:p>
    <w:p w14:paraId="07BAEAFD">
      <w:pPr>
        <w:pStyle w:val="281"/>
        <w:ind w:firstLine="480"/>
      </w:pPr>
      <w:r>
        <w:rPr>
          <w:rFonts w:hint="eastAsia"/>
        </w:rPr>
        <w:t>主要工艺流程为：高效澄清池+</w:t>
      </w:r>
      <w:r>
        <w:t>V</w:t>
      </w:r>
      <w:r>
        <w:rPr>
          <w:rFonts w:hint="eastAsia"/>
        </w:rPr>
        <w:t>型滤池+超滤系统+反渗透处理系统。</w:t>
      </w:r>
    </w:p>
    <w:p w14:paraId="28D5B245">
      <w:pPr>
        <w:pStyle w:val="281"/>
        <w:ind w:firstLine="480"/>
      </w:pPr>
      <w:r>
        <w:rPr>
          <w:rFonts w:hint="eastAsia"/>
        </w:rPr>
        <w:t>废水经过重力流至高效澄清池，高效澄清池主要用于去除来水内的硬度，二氧化硅类物质。高效澄清池采用双碱法除硬。在反应区内添加液碱，控制</w:t>
      </w:r>
      <w:r>
        <w:t>pH</w:t>
      </w:r>
      <w:r>
        <w:rPr>
          <w:rFonts w:hint="eastAsia"/>
        </w:rPr>
        <w:t>在</w:t>
      </w:r>
      <w:r>
        <w:t>10.5</w:t>
      </w:r>
      <w:r>
        <w:rPr>
          <w:rFonts w:hint="eastAsia"/>
        </w:rPr>
        <w:t>左右，提供氢氧根重点形成</w:t>
      </w:r>
      <w:r>
        <w:t>Mg(OH)</w:t>
      </w:r>
      <w:r>
        <w:rPr>
          <w:vertAlign w:val="subscript"/>
        </w:rPr>
        <w:t>2</w:t>
      </w:r>
      <w:r>
        <w:rPr>
          <w:rFonts w:hint="eastAsia"/>
        </w:rPr>
        <w:t>沉淀；同时在高</w:t>
      </w:r>
      <w:r>
        <w:t>pH</w:t>
      </w:r>
      <w:r>
        <w:rPr>
          <w:rFonts w:hint="eastAsia"/>
        </w:rPr>
        <w:t>下，大部分重碳酸转化为碳酸根与钙离子形成碳酸钙沉淀。通过控制药剂的添加量控制高效澄清池出水硬度在</w:t>
      </w:r>
      <w:r>
        <w:t>150ppm</w:t>
      </w:r>
      <w:r>
        <w:rPr>
          <w:rFonts w:hint="eastAsia"/>
        </w:rPr>
        <w:t>以内。软化沉淀产生的物化污泥泵送进入污水处理站污泥储存池，污泥通过板框压滤机进行脱水处理，本次排泥采用气动阀控制，可通过程序控制排泥。机进行脱水处理，本次排泥采用气动阀控制，可通过程序控制排泥。</w:t>
      </w:r>
    </w:p>
    <w:p w14:paraId="2924CA0C">
      <w:pPr>
        <w:pStyle w:val="281"/>
        <w:ind w:firstLine="480"/>
      </w:pPr>
      <w:r>
        <w:rPr>
          <w:rFonts w:hint="eastAsia"/>
        </w:rPr>
        <w:t>高效澄清池出水进入中间水池，中间水池产水泵送至</w:t>
      </w:r>
      <w:r>
        <w:t>V</w:t>
      </w:r>
      <w:r>
        <w:rPr>
          <w:rFonts w:hint="eastAsia"/>
        </w:rPr>
        <w:t>型滤池、超滤系统。</w:t>
      </w:r>
    </w:p>
    <w:p w14:paraId="0368050E">
      <w:pPr>
        <w:pStyle w:val="281"/>
        <w:ind w:firstLine="480"/>
      </w:pPr>
      <w:r>
        <w:t>V</w:t>
      </w:r>
      <w:r>
        <w:rPr>
          <w:rFonts w:hint="eastAsia"/>
        </w:rPr>
        <w:t>型滤池设置</w:t>
      </w:r>
      <w:r>
        <w:t>2</w:t>
      </w:r>
      <w:r>
        <w:rPr>
          <w:rFonts w:hint="eastAsia"/>
        </w:rPr>
        <w:t>组，产水进入滤池产水池，配置</w:t>
      </w:r>
      <w:r>
        <w:t>4</w:t>
      </w:r>
      <w:r>
        <w:rPr>
          <w:rFonts w:hint="eastAsia"/>
        </w:rPr>
        <w:t>台超滤进水泵。</w:t>
      </w:r>
    </w:p>
    <w:p w14:paraId="4896A3A1">
      <w:pPr>
        <w:pStyle w:val="281"/>
        <w:ind w:firstLine="480"/>
      </w:pPr>
      <w:r>
        <w:rPr>
          <w:rFonts w:hint="eastAsia"/>
        </w:rPr>
        <w:t>超滤系统设置</w:t>
      </w:r>
      <w:r>
        <w:t>3</w:t>
      </w:r>
      <w:r>
        <w:rPr>
          <w:rFonts w:hint="eastAsia"/>
        </w:rPr>
        <w:t>套并列运行，设计回收率</w:t>
      </w:r>
      <w:r>
        <w:t>&gt;90%</w:t>
      </w:r>
      <w:r>
        <w:rPr>
          <w:rFonts w:hint="eastAsia"/>
        </w:rPr>
        <w:t>。超滤产水进入超滤产水池。</w:t>
      </w:r>
    </w:p>
    <w:p w14:paraId="56104482">
      <w:pPr>
        <w:pStyle w:val="281"/>
        <w:ind w:firstLine="480"/>
      </w:pPr>
      <w:r>
        <w:rPr>
          <w:rFonts w:hint="eastAsia"/>
        </w:rPr>
        <w:t>超滤产水进入反渗透处理系统。反渗透设置</w:t>
      </w:r>
      <w:r>
        <w:t>3</w:t>
      </w:r>
      <w:r>
        <w:rPr>
          <w:rFonts w:hint="eastAsia"/>
        </w:rPr>
        <w:t>套并列运行，设计回收率75</w:t>
      </w:r>
      <w:r>
        <w:t>%</w:t>
      </w:r>
      <w:r>
        <w:rPr>
          <w:rFonts w:hint="eastAsia"/>
        </w:rPr>
        <w:t>。</w:t>
      </w:r>
    </w:p>
    <w:p w14:paraId="49211414">
      <w:pPr>
        <w:pStyle w:val="281"/>
        <w:ind w:firstLine="480"/>
      </w:pPr>
      <w:r>
        <w:rPr>
          <w:rFonts w:hint="eastAsia"/>
        </w:rPr>
        <w:t>反渗透产水进入回用水池，泵送至厂区用水点。反渗透浓水进入浓水池，浓水送至蒸发结晶系统。</w:t>
      </w:r>
    </w:p>
    <w:bookmarkEnd w:id="400"/>
    <w:p w14:paraId="150C2FD7">
      <w:pPr>
        <w:pStyle w:val="951"/>
      </w:pPr>
      <w:r>
        <w:rPr>
          <w:rFonts w:hint="eastAsia"/>
        </w:rPr>
        <w:t>主要设备</w:t>
      </w:r>
    </w:p>
    <w:p w14:paraId="0F940627">
      <w:pPr>
        <w:pStyle w:val="128"/>
        <w:rPr>
          <w:rFonts w:hint="eastAsia"/>
        </w:rPr>
      </w:pPr>
      <w:r>
        <w:rPr>
          <w:rFonts w:hint="eastAsia"/>
        </w:rPr>
        <w:t>回用水站设备见下表。</w:t>
      </w:r>
    </w:p>
    <w:p w14:paraId="3CBCBEBD">
      <w:pPr>
        <w:pStyle w:val="645"/>
        <w:rPr>
          <w:rFonts w:hint="eastAsia"/>
        </w:rPr>
      </w:pPr>
      <w:r>
        <w:rPr>
          <w:rFonts w:hint="eastAsia"/>
        </w:rPr>
        <w:t>表6.2</w:t>
      </w:r>
      <w:r>
        <w:t>.2</w:t>
      </w:r>
      <w:r>
        <w:rPr>
          <w:rFonts w:hint="eastAsia"/>
        </w:rPr>
        <w:t>-7    回用水站设备一览表</w:t>
      </w:r>
    </w:p>
    <w:p w14:paraId="2FEE37D2">
      <w:pPr>
        <w:pStyle w:val="557"/>
      </w:pPr>
    </w:p>
    <w:p w14:paraId="60E040FD">
      <w:pPr>
        <w:pStyle w:val="951"/>
      </w:pPr>
      <w:r>
        <w:rPr>
          <w:rFonts w:hint="eastAsia"/>
        </w:rPr>
        <w:t>可行性分析</w:t>
      </w:r>
    </w:p>
    <w:p w14:paraId="162A119D">
      <w:pPr>
        <w:pStyle w:val="281"/>
        <w:ind w:firstLine="480"/>
      </w:pPr>
      <w:bookmarkStart w:id="401" w:name="_Hlk193130897"/>
      <w:r>
        <w:rPr>
          <w:rFonts w:hint="eastAsia"/>
        </w:rPr>
        <w:t>（1）进水水质特征分析及分类处理可行性分析</w:t>
      </w:r>
    </w:p>
    <w:p w14:paraId="66F2767F">
      <w:pPr>
        <w:pStyle w:val="281"/>
        <w:ind w:firstLine="480"/>
      </w:pPr>
      <w:r>
        <w:rPr>
          <w:rFonts w:hint="eastAsia" w:ascii="宋体" w:hAnsi="宋体"/>
        </w:rPr>
        <w:t>①</w:t>
      </w:r>
      <w:r>
        <w:rPr>
          <w:rFonts w:hint="eastAsia"/>
        </w:rPr>
        <w:t>总体水质分析及工艺路线分析</w:t>
      </w:r>
    </w:p>
    <w:p w14:paraId="7EB8C465">
      <w:pPr>
        <w:pStyle w:val="281"/>
        <w:ind w:firstLine="480"/>
      </w:pPr>
      <w:r>
        <w:rPr>
          <w:rFonts w:hint="eastAsia"/>
        </w:rPr>
        <w:t>污水处理站生化出水和清净废水的</w:t>
      </w:r>
      <w:r>
        <w:t>TDS</w:t>
      </w:r>
      <w:r>
        <w:rPr>
          <w:rFonts w:hint="eastAsia"/>
        </w:rPr>
        <w:t>均较高，直接回用无法满足生产要求，所以污水回用的设置目的以及处理重点都是脱盐。同时，回收水中存在大量的硬度、碱度、硅及污染性有机物，所以脱盐处理前必须增加前期预处理，以去除有机物、硬度等。基于以上原因，污水回用的流程确定为：预处理</w:t>
      </w:r>
      <w:r>
        <w:t>+</w:t>
      </w:r>
      <w:r>
        <w:rPr>
          <w:rFonts w:hint="eastAsia"/>
        </w:rPr>
        <w:t>脱盐处理在技术上是可行的。</w:t>
      </w:r>
    </w:p>
    <w:p w14:paraId="115343DD">
      <w:pPr>
        <w:pStyle w:val="281"/>
        <w:ind w:firstLine="480"/>
      </w:pPr>
      <w:r>
        <w:rPr>
          <w:rFonts w:hint="eastAsia" w:ascii="宋体" w:hAnsi="宋体"/>
        </w:rPr>
        <w:t>②</w:t>
      </w:r>
      <w:r>
        <w:rPr>
          <w:rFonts w:hint="eastAsia"/>
        </w:rPr>
        <w:t>分类处理分析</w:t>
      </w:r>
    </w:p>
    <w:p w14:paraId="425F41CA">
      <w:pPr>
        <w:pStyle w:val="281"/>
        <w:ind w:firstLine="480"/>
      </w:pPr>
      <w:r>
        <w:rPr>
          <w:rFonts w:hint="eastAsia"/>
        </w:rPr>
        <w:t>污水处理站生化出水中的</w:t>
      </w:r>
      <w:r>
        <w:t>TDS</w:t>
      </w:r>
      <w:r>
        <w:rPr>
          <w:rFonts w:hint="eastAsia"/>
        </w:rPr>
        <w:t>、硬度较高，同时含有机物，这部分有机物是在污水处理过程中通过生化及物化反应不能去除的，为了达到后续处理的进水要求，此部分污水的预处理重点在于控制有机物、硬度等。</w:t>
      </w:r>
    </w:p>
    <w:p w14:paraId="5B6BA751">
      <w:pPr>
        <w:pStyle w:val="281"/>
        <w:ind w:firstLine="480"/>
      </w:pPr>
      <w:r>
        <w:rPr>
          <w:rFonts w:hint="eastAsia"/>
        </w:rPr>
        <w:t>污水处理生化出水受工艺装置出水水质、水量波动与污水处理效果波动的影响较大，所以应在回用水站内设置对水质、水量有一定缓冲作用的调节水池，并且此股水宜单独收集处理，以避免对整个系统运行造成影响。</w:t>
      </w:r>
    </w:p>
    <w:p w14:paraId="4BFEAC76">
      <w:pPr>
        <w:pStyle w:val="281"/>
        <w:ind w:firstLine="480"/>
      </w:pPr>
      <w:r>
        <w:rPr>
          <w:rFonts w:hint="eastAsia"/>
        </w:rPr>
        <w:t>（2）工艺可行性分析</w:t>
      </w:r>
    </w:p>
    <w:p w14:paraId="042B0323">
      <w:pPr>
        <w:pStyle w:val="281"/>
        <w:ind w:firstLine="480"/>
      </w:pPr>
      <w:r>
        <w:rPr>
          <w:rFonts w:hint="eastAsia"/>
        </w:rPr>
        <w:t>本工程浓缩段采用“高密池</w:t>
      </w:r>
      <w:r>
        <w:t>+</w:t>
      </w:r>
      <w:r>
        <w:rPr>
          <w:rFonts w:hint="eastAsia"/>
        </w:rPr>
        <w:t>砂滤</w:t>
      </w:r>
      <w:r>
        <w:t>+</w:t>
      </w:r>
      <w:r>
        <w:rPr>
          <w:rFonts w:hint="eastAsia"/>
        </w:rPr>
        <w:t>超滤</w:t>
      </w:r>
      <w:r>
        <w:t>+</w:t>
      </w:r>
      <w:r>
        <w:rPr>
          <w:rFonts w:hint="eastAsia"/>
        </w:rPr>
        <w:t>反渗透”处理工艺，基本可概括为“预处理</w:t>
      </w:r>
      <w:r>
        <w:t>+</w:t>
      </w:r>
      <w:r>
        <w:rPr>
          <w:rFonts w:hint="eastAsia"/>
        </w:rPr>
        <w:t>双膜法”工艺，回收率</w:t>
      </w:r>
      <w:r>
        <w:t>75%</w:t>
      </w:r>
      <w:r>
        <w:rPr>
          <w:rFonts w:hint="eastAsia"/>
        </w:rPr>
        <w:t>。该工艺在煤化工领域的成功案例较多。</w:t>
      </w:r>
    </w:p>
    <w:p w14:paraId="01240825">
      <w:pPr>
        <w:pStyle w:val="281"/>
        <w:ind w:firstLine="480"/>
      </w:pPr>
      <w:r>
        <w:rPr>
          <w:rFonts w:hint="eastAsia"/>
        </w:rPr>
        <w:t>预处理采用高密度沉淀池进行化学软化处理。由于本工程废水中较高硅、碱度、硬度等物质，对后续反渗透回用系统运行存在结垢污堵风险，故设置高密池去除上述结垢污堵因子，确保后续回用系统安全运行是合理的。</w:t>
      </w:r>
    </w:p>
    <w:p w14:paraId="5E593048">
      <w:pPr>
        <w:pStyle w:val="281"/>
        <w:ind w:firstLine="480"/>
      </w:pPr>
      <w:r>
        <w:rPr>
          <w:rFonts w:hint="eastAsia"/>
        </w:rPr>
        <w:t>通过化学软化，投加药剂在对钙镁等结垢性离子去除的同时，氟与除硬药剂、絮凝剂等反应生成难溶性物质从水中析出，即化学软化同时达到了去除水中氟的目的。化学沉淀法除氟是经典的传统除氟工艺，也是应用广泛的工艺，在净水处理、回用水处理过程中被广泛应用。</w:t>
      </w:r>
    </w:p>
    <w:p w14:paraId="1E9E26E1">
      <w:pPr>
        <w:pStyle w:val="281"/>
        <w:ind w:firstLine="480"/>
      </w:pPr>
      <w:r>
        <w:rPr>
          <w:rFonts w:hint="eastAsia"/>
        </w:rPr>
        <w:t>高密池结合了软化、澄清、沉淀等功能，通过池内部的高污泥浓度提高了絮凝沉淀的效果，并且在沉淀区的上部设置斜板，用于去除出水中的矾花，保证出水水质。因而，高效沉淀池具有沉淀效率高、占地面积小、出水水质好的优点，是目前污水回用常用的沉淀池。</w:t>
      </w:r>
    </w:p>
    <w:p w14:paraId="34465A2F">
      <w:pPr>
        <w:pStyle w:val="281"/>
        <w:ind w:firstLine="480"/>
      </w:pPr>
      <w:r>
        <w:rPr>
          <w:rFonts w:hint="eastAsia"/>
        </w:rPr>
        <w:t>从多个项目回用水处理站的实际运行情况可以看出，本工程浓缩段选用的处理工艺有成功运行经验与案例，可以达到设计回收率并稳定运行。该工艺也为《排污许可证申请与核发技术规范 石化工业》（HJ853-2017）中明确的可行技术，该系统采用的均是常见工艺，被国内化工企业广泛应用，其运行稳定，处理效果有保证，工艺可行。</w:t>
      </w:r>
      <w:bookmarkEnd w:id="401"/>
    </w:p>
    <w:p w14:paraId="09FE8BC1">
      <w:pPr>
        <w:pStyle w:val="281"/>
        <w:ind w:firstLine="480"/>
      </w:pPr>
      <w:r>
        <w:rPr>
          <w:rFonts w:hint="eastAsia"/>
        </w:rPr>
        <w:t>（3）设计规模可行性</w:t>
      </w:r>
    </w:p>
    <w:p w14:paraId="054413F4">
      <w:pPr>
        <w:pStyle w:val="281"/>
        <w:ind w:firstLine="480"/>
      </w:pPr>
      <w:r>
        <w:t>回用水</w:t>
      </w:r>
      <w:r>
        <w:rPr>
          <w:rFonts w:hint="eastAsia"/>
        </w:rPr>
        <w:t>系统</w:t>
      </w:r>
      <w:r>
        <w:t>设计能力</w:t>
      </w:r>
      <w:r>
        <w:rPr>
          <w:rFonts w:hint="eastAsia"/>
        </w:rPr>
        <w:t>50</w:t>
      </w:r>
      <w:r>
        <w:t>0m</w:t>
      </w:r>
      <w:r>
        <w:rPr>
          <w:vertAlign w:val="superscript"/>
        </w:rPr>
        <w:t>3</w:t>
      </w:r>
      <w:r>
        <w:t>/h</w:t>
      </w:r>
      <w:r>
        <w:rPr>
          <w:rFonts w:hint="eastAsia"/>
        </w:rPr>
        <w:t>。</w:t>
      </w:r>
    </w:p>
    <w:p w14:paraId="1FBE2AE5">
      <w:pPr>
        <w:pStyle w:val="281"/>
        <w:ind w:firstLine="480"/>
      </w:pPr>
      <w:r>
        <w:rPr>
          <w:rFonts w:hint="eastAsia"/>
        </w:rPr>
        <w:t>全厂污水处理站出水量为105.9</w:t>
      </w:r>
      <w:r>
        <w:t>m</w:t>
      </w:r>
      <w:r>
        <w:rPr>
          <w:vertAlign w:val="superscript"/>
        </w:rPr>
        <w:t>3</w:t>
      </w:r>
      <w:r>
        <w:t>/h</w:t>
      </w:r>
      <w:r>
        <w:rPr>
          <w:rFonts w:hint="eastAsia"/>
        </w:rPr>
        <w:t>，循环水站出水54</w:t>
      </w:r>
      <w:r>
        <w:t>m</w:t>
      </w:r>
      <w:r>
        <w:rPr>
          <w:vertAlign w:val="superscript"/>
        </w:rPr>
        <w:t>3</w:t>
      </w:r>
      <w:r>
        <w:t>/h</w:t>
      </w:r>
      <w:r>
        <w:rPr>
          <w:rFonts w:hint="eastAsia"/>
        </w:rPr>
        <w:t>，脱盐水站排水量为123</w:t>
      </w:r>
      <w:r>
        <w:t>m</w:t>
      </w:r>
      <w:r>
        <w:rPr>
          <w:vertAlign w:val="superscript"/>
        </w:rPr>
        <w:t>3</w:t>
      </w:r>
      <w:r>
        <w:t>/h</w:t>
      </w:r>
      <w:r>
        <w:rPr>
          <w:rFonts w:hint="eastAsia"/>
        </w:rPr>
        <w:t>，合计282.9</w:t>
      </w:r>
      <w:r>
        <w:t>m</w:t>
      </w:r>
      <w:r>
        <w:rPr>
          <w:vertAlign w:val="superscript"/>
        </w:rPr>
        <w:t>3</w:t>
      </w:r>
      <w:r>
        <w:t>/h</w:t>
      </w:r>
      <w:r>
        <w:rPr>
          <w:rFonts w:hint="eastAsia"/>
        </w:rPr>
        <w:t>，规模</w:t>
      </w:r>
      <w:r>
        <w:rPr>
          <w:rFonts w:hint="eastAsia" w:cs="Times New Roman"/>
        </w:rPr>
        <w:t>为正常水量的176%，系统预留一定的余量，可实现灵活运行，并应对各种水质水量波动等非正常工况。</w:t>
      </w:r>
    </w:p>
    <w:p w14:paraId="5D804FF5">
      <w:pPr>
        <w:pStyle w:val="98"/>
        <w:rPr>
          <w:rFonts w:hint="eastAsia"/>
          <w:color w:val="auto"/>
        </w:rPr>
      </w:pPr>
      <w:bookmarkStart w:id="402" w:name="_Hlk192089788"/>
      <w:bookmarkStart w:id="403" w:name="_Hlk193130847"/>
      <w:r>
        <w:rPr>
          <w:rFonts w:hint="eastAsia"/>
          <w:color w:val="auto"/>
        </w:rPr>
        <w:t>高浓盐水及蒸发结晶系统</w:t>
      </w:r>
    </w:p>
    <w:p w14:paraId="1E884FC2">
      <w:pPr>
        <w:pStyle w:val="814"/>
        <w:rPr>
          <w:rFonts w:hint="eastAsia"/>
        </w:rPr>
      </w:pPr>
      <w:r>
        <w:rPr>
          <w:rFonts w:hint="eastAsia"/>
        </w:rPr>
        <w:t>处理规模</w:t>
      </w:r>
    </w:p>
    <w:p w14:paraId="6E689293">
      <w:pPr>
        <w:pStyle w:val="281"/>
        <w:ind w:firstLine="480"/>
      </w:pPr>
      <w:r>
        <w:rPr>
          <w:rFonts w:hint="eastAsia" w:cs="Times New Roman"/>
        </w:rPr>
        <w:t>高浓盐水处理的来水为</w:t>
      </w:r>
      <w:r>
        <w:rPr>
          <w:rFonts w:hint="eastAsia" w:cs="Times New Roman"/>
          <w:lang w:eastAsia="zh"/>
        </w:rPr>
        <w:t>回用水处理站</w:t>
      </w:r>
      <w:r>
        <w:rPr>
          <w:rFonts w:hint="eastAsia" w:cs="Times New Roman"/>
        </w:rPr>
        <w:t>的反渗透浓水。根据计算，总处理水量约为84.87m</w:t>
      </w:r>
      <w:r>
        <w:rPr>
          <w:rFonts w:hint="eastAsia" w:cs="Times New Roman"/>
          <w:vertAlign w:val="superscript"/>
        </w:rPr>
        <w:t>3</w:t>
      </w:r>
      <w:r>
        <w:rPr>
          <w:rFonts w:hint="eastAsia" w:cs="Times New Roman"/>
        </w:rPr>
        <w:t>/h，考虑生产的波动性及未预见水量，建设规模为1</w:t>
      </w:r>
      <w:r>
        <w:rPr>
          <w:rFonts w:cs="Times New Roman"/>
        </w:rPr>
        <w:t>2</w:t>
      </w:r>
      <w:r>
        <w:rPr>
          <w:rFonts w:hint="eastAsia" w:cs="Times New Roman"/>
        </w:rPr>
        <w:t>0m</w:t>
      </w:r>
      <w:r>
        <w:rPr>
          <w:rFonts w:hint="eastAsia" w:cs="Times New Roman"/>
          <w:vertAlign w:val="superscript"/>
        </w:rPr>
        <w:t>3</w:t>
      </w:r>
      <w:r>
        <w:rPr>
          <w:rFonts w:hint="eastAsia" w:cs="Times New Roman"/>
        </w:rPr>
        <w:t>/h。</w:t>
      </w:r>
    </w:p>
    <w:p w14:paraId="3CCC0E15">
      <w:pPr>
        <w:pStyle w:val="814"/>
        <w:rPr>
          <w:rFonts w:hint="eastAsia"/>
        </w:rPr>
      </w:pPr>
      <w:r>
        <w:rPr>
          <w:rFonts w:hint="eastAsia"/>
        </w:rPr>
        <w:t>工艺流程</w:t>
      </w:r>
    </w:p>
    <w:p w14:paraId="7B451F0E">
      <w:pPr>
        <w:pStyle w:val="281"/>
        <w:ind w:firstLine="480"/>
      </w:pPr>
      <w:r>
        <w:rPr>
          <w:rFonts w:hint="eastAsia"/>
        </w:rPr>
        <w:t>（1）高浓盐水处理系统</w:t>
      </w:r>
    </w:p>
    <w:p w14:paraId="25C55DB7">
      <w:pPr>
        <w:pStyle w:val="281"/>
        <w:ind w:firstLine="480"/>
      </w:pPr>
      <w:r>
        <w:t>来水不合格指标主要是总溶解性固体和富集的硬度，还有浓缩后富集的COD，采用“高效澄清池+V型滤池+超滤系统+反渗透处理”，主要采用抗污染反渗透膜。抗污染反渗透膜较普通反渗透膜对进水含有的盐量要求不同，抗污染膜允许进水含盐量在0-10000ppm这个范围之内，而高于普通膜允许进水含盐量，且运行压力要比普通膜元件的更低，减少了清洗的频率。由于处理的来水</w:t>
      </w:r>
      <w:r>
        <w:rPr>
          <w:rFonts w:hint="eastAsia"/>
        </w:rPr>
        <w:t>为</w:t>
      </w:r>
      <w:r>
        <w:rPr>
          <w:rFonts w:hint="eastAsia"/>
          <w:lang w:eastAsia="zh"/>
        </w:rPr>
        <w:t>回用水处理站</w:t>
      </w:r>
      <w:r>
        <w:rPr>
          <w:rFonts w:hint="eastAsia"/>
        </w:rPr>
        <w:t>的反渗透浓水，含盐量较高，因此该工艺中选用抗污染的反渗透膜。</w:t>
      </w:r>
    </w:p>
    <w:p w14:paraId="1FA8F240">
      <w:pPr>
        <w:pStyle w:val="281"/>
        <w:ind w:firstLine="480"/>
        <w:rPr>
          <w:rFonts w:cs="Times New Roman"/>
        </w:rPr>
      </w:pPr>
      <w:r>
        <w:rPr>
          <w:rFonts w:hint="eastAsia" w:cs="Times New Roman"/>
        </w:rPr>
        <w:t>高浓盐水处理后的浓水进入蒸发结晶处理。此时水中的T</w:t>
      </w:r>
      <w:r>
        <w:rPr>
          <w:rFonts w:cs="Times New Roman"/>
        </w:rPr>
        <w:t>DS</w:t>
      </w:r>
      <w:r>
        <w:rPr>
          <w:rFonts w:hint="eastAsia" w:cs="Times New Roman"/>
        </w:rPr>
        <w:t>达到了4</w:t>
      </w:r>
      <w:r>
        <w:rPr>
          <w:rFonts w:cs="Times New Roman"/>
        </w:rPr>
        <w:t>0000</w:t>
      </w:r>
      <w:r>
        <w:rPr>
          <w:rFonts w:hint="eastAsia" w:cs="Times New Roman"/>
        </w:rPr>
        <w:t>~</w:t>
      </w:r>
      <w:r>
        <w:rPr>
          <w:rFonts w:cs="Times New Roman"/>
        </w:rPr>
        <w:t>60000mg/L</w:t>
      </w:r>
      <w:r>
        <w:rPr>
          <w:rFonts w:hint="eastAsia" w:cs="Times New Roman"/>
        </w:rPr>
        <w:t>，</w:t>
      </w:r>
      <w:r>
        <w:rPr>
          <w:rFonts w:cs="Times New Roman"/>
        </w:rPr>
        <w:t>COD</w:t>
      </w:r>
      <w:r>
        <w:rPr>
          <w:rFonts w:hint="eastAsia" w:cs="Times New Roman"/>
        </w:rPr>
        <w:t>在3</w:t>
      </w:r>
      <w:r>
        <w:rPr>
          <w:rFonts w:cs="Times New Roman"/>
        </w:rPr>
        <w:t>00 mg/L</w:t>
      </w:r>
      <w:r>
        <w:rPr>
          <w:rFonts w:hint="eastAsia" w:cs="Times New Roman"/>
        </w:rPr>
        <w:t>左右。</w:t>
      </w:r>
    </w:p>
    <w:p w14:paraId="2F6240A4">
      <w:pPr>
        <w:pStyle w:val="281"/>
        <w:ind w:firstLine="482"/>
      </w:pPr>
      <w:r>
        <w:rPr>
          <w:b/>
        </w:rPr>
        <w:t>高浓盐水调节池</w:t>
      </w:r>
      <w:r>
        <w:rPr>
          <w:rFonts w:hint="eastAsia"/>
          <w:b/>
        </w:rPr>
        <w:t>：</w:t>
      </w:r>
      <w:r>
        <w:rPr>
          <w:rFonts w:hint="eastAsia"/>
        </w:rPr>
        <w:t>高浓盐水调节池</w:t>
      </w:r>
      <w:r>
        <w:t>收集高浓盐废水，池内设置潜水搅拌机用于均匀水质，污水泵将</w:t>
      </w:r>
      <w:r>
        <w:rPr>
          <w:rFonts w:hint="eastAsia"/>
        </w:rPr>
        <w:t>池内废水</w:t>
      </w:r>
      <w:r>
        <w:t>定量提升进入高密沉淀池。</w:t>
      </w:r>
    </w:p>
    <w:p w14:paraId="6756A0AD">
      <w:pPr>
        <w:pStyle w:val="281"/>
        <w:ind w:firstLine="482"/>
      </w:pPr>
      <w:r>
        <w:rPr>
          <w:b/>
        </w:rPr>
        <w:t>高密沉淀池</w:t>
      </w:r>
      <w:r>
        <w:rPr>
          <w:rFonts w:hint="eastAsia"/>
          <w:b/>
        </w:rPr>
        <w:t>：</w:t>
      </w:r>
      <w:r>
        <w:rPr>
          <w:rFonts w:hint="eastAsia"/>
        </w:rPr>
        <w:t>调节池</w:t>
      </w:r>
      <w:r>
        <w:t>水由泵提升至高密度沉淀池，项目配套两级高密沉淀池，</w:t>
      </w:r>
      <w:r>
        <w:rPr>
          <w:rFonts w:hint="eastAsia"/>
        </w:rPr>
        <w:t>来</w:t>
      </w:r>
      <w:r>
        <w:t>水首先进入高密度沉淀池的混凝区，通过投</w:t>
      </w:r>
      <w:r>
        <w:rPr>
          <w:rFonts w:hint="eastAsia"/>
        </w:rPr>
        <w:t>加石灰</w:t>
      </w:r>
      <w:r>
        <w:t>与原水中</w:t>
      </w:r>
      <w:r>
        <w:rPr>
          <w:rFonts w:hint="eastAsia"/>
        </w:rPr>
        <w:t>钙镁离子</w:t>
      </w:r>
      <w:r>
        <w:t>在混凝区经过快速搅拌后，与回流污泥一起，进入絮凝区。</w:t>
      </w:r>
    </w:p>
    <w:p w14:paraId="015F0988">
      <w:pPr>
        <w:pStyle w:val="281"/>
        <w:ind w:firstLine="482"/>
      </w:pPr>
      <w:r>
        <w:rPr>
          <w:rFonts w:hint="eastAsia"/>
          <w:b/>
        </w:rPr>
        <w:t>絮凝区：</w:t>
      </w:r>
      <w:r>
        <w:t>在絮凝区内投加PFS、PAM等</w:t>
      </w:r>
      <w:r>
        <w:rPr>
          <w:rFonts w:hint="eastAsia"/>
        </w:rPr>
        <w:t>药剂</w:t>
      </w:r>
      <w:r>
        <w:t>，药剂、原水在混合反应区通过搅拌快速混合、凝聚，并在叶轮的提升作用下进入推流反应区完成慢速絮凝反应，以结成较大的絮凝体。整个反应区（混合和推流反应区）可以获得大量高密度均质的矾花，水中的</w:t>
      </w:r>
      <w:r>
        <w:rPr>
          <w:rFonts w:hint="eastAsia"/>
        </w:rPr>
        <w:t>氟化物沉淀</w:t>
      </w:r>
      <w:r>
        <w:t>以这种矾花为载体，再进入斜管沉淀区进行分离</w:t>
      </w:r>
      <w:r>
        <w:rPr>
          <w:rFonts w:hint="eastAsia"/>
        </w:rPr>
        <w:t>。</w:t>
      </w:r>
      <w:r>
        <w:t>在此过程中，对水中的</w:t>
      </w:r>
      <w:r>
        <w:rPr>
          <w:rFonts w:hint="eastAsia"/>
        </w:rPr>
        <w:t>钙镁和</w:t>
      </w:r>
      <w:r>
        <w:t>氟进行去除</w:t>
      </w:r>
      <w:r>
        <w:rPr>
          <w:rFonts w:hint="eastAsia"/>
        </w:rPr>
        <w:t>。</w:t>
      </w:r>
      <w:r>
        <w:t>沉淀物通过刮泥机刮到泥斗中，</w:t>
      </w:r>
      <w:r>
        <w:rPr>
          <w:rFonts w:hint="eastAsia"/>
        </w:rPr>
        <w:t>部分污泥</w:t>
      </w:r>
      <w:r>
        <w:t>经容积式循环泵</w:t>
      </w:r>
      <w:r>
        <w:rPr>
          <w:rFonts w:hint="eastAsia"/>
        </w:rPr>
        <w:t>提升回流至</w:t>
      </w:r>
      <w:r>
        <w:t>反应池进水端，剩余污泥排放至贮泥池</w:t>
      </w:r>
      <w:r>
        <w:rPr>
          <w:rFonts w:hint="eastAsia"/>
        </w:rPr>
        <w:t>。</w:t>
      </w:r>
    </w:p>
    <w:p w14:paraId="35FD6379">
      <w:pPr>
        <w:pStyle w:val="281"/>
        <w:ind w:firstLine="480"/>
      </w:pPr>
      <w:r>
        <w:rPr>
          <w:rFonts w:hint="eastAsia"/>
        </w:rPr>
        <w:t>一级高密沉淀池出水自流进入二级高密沉淀池，除在</w:t>
      </w:r>
      <w:r>
        <w:t>混凝区投</w:t>
      </w:r>
      <w:r>
        <w:rPr>
          <w:rFonts w:hint="eastAsia"/>
        </w:rPr>
        <w:t>加的</w:t>
      </w:r>
      <w:r>
        <w:t>药剂</w:t>
      </w:r>
      <w:r>
        <w:rPr>
          <w:rFonts w:hint="eastAsia"/>
        </w:rPr>
        <w:t>改为偏铝酸钠外，其他工作过程与一级高密沉淀池相同。偏铝酸钠与二氧化硅反应生成硅铝化合物沉淀，以去除污水中的</w:t>
      </w:r>
      <w:r>
        <w:t>二氧化硅</w:t>
      </w:r>
      <w:r>
        <w:rPr>
          <w:rFonts w:hint="eastAsia"/>
        </w:rPr>
        <w:t>。</w:t>
      </w:r>
    </w:p>
    <w:p w14:paraId="54DDF438">
      <w:pPr>
        <w:pStyle w:val="281"/>
        <w:ind w:firstLine="482"/>
      </w:pPr>
      <w:r>
        <w:rPr>
          <w:b/>
        </w:rPr>
        <w:t>石英砂过滤器</w:t>
      </w:r>
      <w:r>
        <w:rPr>
          <w:rFonts w:hint="eastAsia"/>
          <w:b/>
        </w:rPr>
        <w:t>：</w:t>
      </w:r>
      <w:r>
        <w:rPr>
          <w:rFonts w:hint="eastAsia"/>
        </w:rPr>
        <w:t>石英砂过滤器利用石英砂作为过滤介质，利用水泵将二级高密度沉淀池出水在一定压力下，通过一定厚度的石英砂过滤，以</w:t>
      </w:r>
      <w:r>
        <w:t>去除废水中的悬浮物、胶体，产水进入中间水池。</w:t>
      </w:r>
    </w:p>
    <w:p w14:paraId="61EEF6C9">
      <w:pPr>
        <w:pStyle w:val="281"/>
        <w:ind w:firstLine="482"/>
      </w:pPr>
      <w:r>
        <w:rPr>
          <w:b/>
        </w:rPr>
        <w:t>臭氧催化氧化</w:t>
      </w:r>
      <w:r>
        <w:rPr>
          <w:rFonts w:hint="eastAsia"/>
          <w:b/>
        </w:rPr>
        <w:t>：</w:t>
      </w:r>
      <w:r>
        <w:t>石英砂过滤器出水进入臭氧催化氧化，考虑到本项目水质为高盐水（TDS高达6.5万mg/L），不适用生物法去除COD，因此选择臭氧催化氧化去除COD。为进一步降低难降解有机物的浓度，提高后续结晶盐品质，采用臭氧催化氧化技术对废水进行处理。</w:t>
      </w:r>
    </w:p>
    <w:p w14:paraId="277E732F">
      <w:pPr>
        <w:pStyle w:val="281"/>
        <w:ind w:firstLine="482"/>
      </w:pPr>
      <w:r>
        <w:rPr>
          <w:b/>
        </w:rPr>
        <w:t>活性炭吸附</w:t>
      </w:r>
      <w:r>
        <w:rPr>
          <w:rFonts w:hint="eastAsia"/>
          <w:b/>
        </w:rPr>
        <w:t>：</w:t>
      </w:r>
      <w:r>
        <w:rPr>
          <w:rFonts w:hint="eastAsia"/>
        </w:rPr>
        <w:t>活性炭具有发达的孔隙结构，比表面积大，对水中的有机物具有良好的吸附特性，因此利用</w:t>
      </w:r>
      <w:r>
        <w:t>活性炭吸附系统，对废水中的有机物进行去除，出水进入活性炭出水池。</w:t>
      </w:r>
    </w:p>
    <w:p w14:paraId="391596B6">
      <w:pPr>
        <w:pStyle w:val="281"/>
        <w:ind w:firstLine="482"/>
      </w:pPr>
      <w:r>
        <w:rPr>
          <w:b/>
        </w:rPr>
        <w:t>外压式超滤</w:t>
      </w:r>
      <w:r>
        <w:rPr>
          <w:rFonts w:hint="eastAsia"/>
          <w:b/>
        </w:rPr>
        <w:t>：</w:t>
      </w:r>
      <w:r>
        <w:rPr>
          <w:rFonts w:hint="eastAsia"/>
        </w:rPr>
        <w:t>活性炭吸附</w:t>
      </w:r>
      <w:r>
        <w:t>出水经泵加压进入外压式超滤</w:t>
      </w:r>
      <w:r>
        <w:rPr>
          <w:rFonts w:hint="eastAsia"/>
        </w:rPr>
        <w:t>单元</w:t>
      </w:r>
      <w:r>
        <w:t>。超滤单元的主要作用是截留微小颗粒，降低悬浮物和浊度，去除细菌和部分有机污染物等，</w:t>
      </w:r>
      <w:r>
        <w:rPr>
          <w:rFonts w:hint="eastAsia"/>
        </w:rPr>
        <w:t>为后面RO系统稳定运行提供保证</w:t>
      </w:r>
      <w:r>
        <w:t>。</w:t>
      </w:r>
    </w:p>
    <w:p w14:paraId="0C438648">
      <w:pPr>
        <w:pStyle w:val="281"/>
        <w:ind w:firstLine="482"/>
      </w:pPr>
      <w:r>
        <w:rPr>
          <w:b/>
          <w:bCs/>
        </w:rPr>
        <w:t>螯合型阳离子交换树脂+除碳器</w:t>
      </w:r>
      <w:r>
        <w:rPr>
          <w:rFonts w:hint="eastAsia"/>
          <w:b/>
          <w:bCs/>
        </w:rPr>
        <w:t>：</w:t>
      </w:r>
      <w:r>
        <w:t>超滤产水进入树脂软化床，进一步软化水质，去除水中所有的硬度。其出水中的CO</w:t>
      </w:r>
      <w:r>
        <w:rPr>
          <w:vertAlign w:val="subscript"/>
        </w:rPr>
        <w:t>2</w:t>
      </w:r>
      <w:r>
        <w:t>经脱碳器去除，降低后续蒸发结晶过程中的酸性气体，提高冷凝液的水质。</w:t>
      </w:r>
    </w:p>
    <w:p w14:paraId="15833A8C">
      <w:pPr>
        <w:pStyle w:val="281"/>
        <w:ind w:firstLine="482"/>
      </w:pPr>
      <w:r>
        <w:rPr>
          <w:b/>
        </w:rPr>
        <w:t>低压纳滤</w:t>
      </w:r>
      <w:r>
        <w:rPr>
          <w:rFonts w:hint="eastAsia"/>
          <w:b/>
        </w:rPr>
        <w:t>+</w:t>
      </w:r>
      <w:r>
        <w:rPr>
          <w:b/>
        </w:rPr>
        <w:t>提纯纳滤</w:t>
      </w:r>
      <w:r>
        <w:rPr>
          <w:rFonts w:hint="eastAsia"/>
          <w:b/>
        </w:rPr>
        <w:t>+</w:t>
      </w:r>
      <w:r>
        <w:rPr>
          <w:b/>
        </w:rPr>
        <w:t>高压RO</w:t>
      </w:r>
      <w:r>
        <w:rPr>
          <w:rFonts w:hint="eastAsia"/>
          <w:b/>
        </w:rPr>
        <w:t>+</w:t>
      </w:r>
      <w:r>
        <w:rPr>
          <w:b/>
        </w:rPr>
        <w:t>回用水池</w:t>
      </w:r>
      <w:r>
        <w:rPr>
          <w:rFonts w:hint="eastAsia"/>
          <w:b/>
        </w:rPr>
        <w:t>：</w:t>
      </w:r>
      <w:r>
        <w:t>脱碳器出水经过低压纳滤进行分盐，产水经过提纯纳滤进一步分离，提纯纳滤产水进入高压RO浓缩，高压RO产水</w:t>
      </w:r>
      <w:r>
        <w:rPr>
          <w:rFonts w:hint="eastAsia"/>
        </w:rPr>
        <w:t>进入</w:t>
      </w:r>
      <w:r>
        <w:t>回用水池。</w:t>
      </w:r>
    </w:p>
    <w:p w14:paraId="6669BDC9">
      <w:pPr>
        <w:pStyle w:val="281"/>
        <w:ind w:firstLine="482"/>
      </w:pPr>
      <w:r>
        <w:rPr>
          <w:b/>
          <w:bCs/>
        </w:rPr>
        <w:t>斜板除氟除硅混凝池</w:t>
      </w:r>
      <w:r>
        <w:rPr>
          <w:rFonts w:hint="eastAsia"/>
          <w:b/>
          <w:bCs/>
        </w:rPr>
        <w:t>：</w:t>
      </w:r>
      <w:r>
        <w:t>高压RO浓水通过斜板除氟除硅混凝池</w:t>
      </w:r>
      <w:r>
        <w:rPr>
          <w:rFonts w:hint="eastAsia"/>
        </w:rPr>
        <w:t>以去除污水中的氟和二氧化硅。在混凝区分别投加</w:t>
      </w:r>
      <w:r>
        <w:t>除氟药剂</w:t>
      </w:r>
      <w:r>
        <w:rPr>
          <w:rFonts w:hint="eastAsia"/>
        </w:rPr>
        <w:t>和偏铝酸钠</w:t>
      </w:r>
      <w:r>
        <w:t>经过快速搅拌后</w:t>
      </w:r>
      <w:r>
        <w:rPr>
          <w:rFonts w:hint="eastAsia"/>
        </w:rPr>
        <w:t>生成氟化物沉淀和硅铝化合物沉淀，进入反应区</w:t>
      </w:r>
      <w:r>
        <w:t>投加PFS、PAM等</w:t>
      </w:r>
      <w:r>
        <w:rPr>
          <w:rFonts w:hint="eastAsia"/>
        </w:rPr>
        <w:t>药剂，通过慢速搅拌氟化物沉淀、硅铝化合物沉淀、药剂、原水发生</w:t>
      </w:r>
      <w:r>
        <w:t>絮凝反应，</w:t>
      </w:r>
      <w:r>
        <w:rPr>
          <w:rFonts w:hint="eastAsia"/>
        </w:rPr>
        <w:t>生成密度较大的矾花</w:t>
      </w:r>
      <w:r>
        <w:t>。</w:t>
      </w:r>
      <w:r>
        <w:rPr>
          <w:rFonts w:hint="eastAsia"/>
        </w:rPr>
        <w:t>絮凝后出水进入沉淀池的斜板底部然后向上流至上部集水区，絮体沉淀在斜板的表面上并在重力的作用下下滑。较高的上升流速和斜板（60度角）可以形成一个连续自刮的过程，使絮体不会积累在斜板上，絮体沿斜板表面下滑并沉淀在沉淀池底部。</w:t>
      </w:r>
      <w:r>
        <w:t>沉淀物通过</w:t>
      </w:r>
      <w:r>
        <w:rPr>
          <w:rFonts w:hint="eastAsia"/>
        </w:rPr>
        <w:t>污泥泵将</w:t>
      </w:r>
      <w:r>
        <w:t>剩余污泥排放至贮泥池</w:t>
      </w:r>
      <w:r>
        <w:rPr>
          <w:rFonts w:hint="eastAsia"/>
        </w:rPr>
        <w:t>。</w:t>
      </w:r>
    </w:p>
    <w:p w14:paraId="01A2B951">
      <w:pPr>
        <w:pStyle w:val="281"/>
        <w:ind w:firstLine="482"/>
      </w:pPr>
      <w:r>
        <w:rPr>
          <w:b/>
        </w:rPr>
        <w:t>管式微滤</w:t>
      </w:r>
      <w:r>
        <w:rPr>
          <w:rFonts w:hint="eastAsia"/>
          <w:b/>
        </w:rPr>
        <w:t>：</w:t>
      </w:r>
      <w:r>
        <w:rPr>
          <w:rFonts w:hint="eastAsia"/>
        </w:rPr>
        <w:t>将</w:t>
      </w:r>
      <w:r>
        <w:t>斜板除氟除硅混凝池</w:t>
      </w:r>
      <w:r>
        <w:rPr>
          <w:rFonts w:hint="eastAsia"/>
        </w:rPr>
        <w:t>出水</w:t>
      </w:r>
      <w:r>
        <w:t>经泵加压进入</w:t>
      </w:r>
      <w:r>
        <w:rPr>
          <w:rFonts w:hint="eastAsia"/>
        </w:rPr>
        <w:t>管式微滤装置，进一步过滤、分离污水中的细小</w:t>
      </w:r>
      <w:r>
        <w:t>悬浮物</w:t>
      </w:r>
      <w:r>
        <w:rPr>
          <w:rFonts w:hint="eastAsia"/>
        </w:rPr>
        <w:t>和</w:t>
      </w:r>
      <w:r>
        <w:t>胶体</w:t>
      </w:r>
      <w:r>
        <w:rPr>
          <w:rFonts w:hint="eastAsia"/>
        </w:rPr>
        <w:t>，以</w:t>
      </w:r>
      <w:r>
        <w:t>提高后续结晶盐品质</w:t>
      </w:r>
      <w:r>
        <w:rPr>
          <w:rFonts w:hint="eastAsia"/>
        </w:rPr>
        <w:t>。</w:t>
      </w:r>
    </w:p>
    <w:p w14:paraId="5AABFE1D">
      <w:pPr>
        <w:pStyle w:val="281"/>
        <w:ind w:firstLine="480"/>
      </w:pPr>
      <w:r>
        <w:rPr>
          <w:rFonts w:hint="eastAsia"/>
        </w:rPr>
        <w:t>（2）蒸发结晶系统</w:t>
      </w:r>
    </w:p>
    <w:p w14:paraId="13408664">
      <w:pPr>
        <w:pStyle w:val="281"/>
        <w:ind w:firstLine="482"/>
      </w:pPr>
      <w:r>
        <w:rPr>
          <w:rFonts w:hint="eastAsia"/>
          <w:b/>
        </w:rPr>
        <w:t>氯化钠</w:t>
      </w:r>
      <w:r>
        <w:rPr>
          <w:b/>
        </w:rPr>
        <w:t>蒸发结晶</w:t>
      </w:r>
      <w:r>
        <w:rPr>
          <w:rFonts w:hint="eastAsia"/>
          <w:b/>
        </w:rPr>
        <w:t>：</w:t>
      </w:r>
      <w:r>
        <w:t>管式微滤</w:t>
      </w:r>
      <w:r>
        <w:rPr>
          <w:rFonts w:hint="eastAsia"/>
        </w:rPr>
        <w:t>装置出水由污水泵提升至氯化钠多效</w:t>
      </w:r>
      <w:r>
        <w:t>蒸发</w:t>
      </w:r>
      <w:r>
        <w:rPr>
          <w:rFonts w:hint="eastAsia"/>
        </w:rPr>
        <w:t>装置，采用将模式蒸发结晶装置，水中的氯化钠由于过饱和而使结晶生长，并不断浓缩结晶。对</w:t>
      </w:r>
      <w:r>
        <w:t>蒸发</w:t>
      </w:r>
      <w:r>
        <w:rPr>
          <w:rFonts w:hint="eastAsia"/>
        </w:rPr>
        <w:t>结晶的氯化钠进行干燥包装，最终产出合格的氯化钠产品。</w:t>
      </w:r>
    </w:p>
    <w:p w14:paraId="2D705FD4">
      <w:pPr>
        <w:pStyle w:val="281"/>
        <w:ind w:firstLine="482"/>
      </w:pPr>
      <w:r>
        <w:rPr>
          <w:rFonts w:hint="eastAsia"/>
          <w:b/>
          <w:bCs/>
        </w:rPr>
        <w:t>硫酸钠蒸发结晶：</w:t>
      </w:r>
      <w:r>
        <w:t>低压纳滤浓水经过高压纳滤进行分离，高压纳滤产水进入提纯纳滤进一步分离，高压纳滤浓水依次通过臭氧催化氧化、固定活性炭吸附罐、砂滤</w:t>
      </w:r>
      <w:r>
        <w:rPr>
          <w:rFonts w:hint="eastAsia"/>
        </w:rPr>
        <w:t>器</w:t>
      </w:r>
      <w:r>
        <w:t>进行处理后，出水进入硫酸钠</w:t>
      </w:r>
      <w:r>
        <w:rPr>
          <w:rFonts w:hint="eastAsia"/>
        </w:rPr>
        <w:t>多效</w:t>
      </w:r>
      <w:r>
        <w:t>蒸发</w:t>
      </w:r>
      <w:r>
        <w:rPr>
          <w:rFonts w:hint="eastAsia"/>
        </w:rPr>
        <w:t>器蒸发浓缩</w:t>
      </w:r>
      <w:r>
        <w:t>、冷冻结晶、干燥包装装置，最终产出合格的硫酸钠产品。</w:t>
      </w:r>
    </w:p>
    <w:p w14:paraId="4B191604">
      <w:pPr>
        <w:pStyle w:val="281"/>
        <w:ind w:firstLine="480"/>
      </w:pPr>
      <w:r>
        <w:t>硫酸钠冷冻结晶母液经过稀释后，再进入冷冻母液纳滤进行处理，产水送氯化钠</w:t>
      </w:r>
      <w:r>
        <w:rPr>
          <w:rFonts w:hint="eastAsia"/>
        </w:rPr>
        <w:t>多效</w:t>
      </w:r>
      <w:r>
        <w:t>蒸发结晶，</w:t>
      </w:r>
      <w:r>
        <w:rPr>
          <w:rFonts w:hint="eastAsia"/>
        </w:rPr>
        <w:t>部分</w:t>
      </w:r>
      <w:r>
        <w:t>浓水送混盐蒸发结晶系统</w:t>
      </w:r>
      <w:r>
        <w:rPr>
          <w:rFonts w:hint="eastAsia"/>
        </w:rPr>
        <w:t>，另一部分母液回到泵系统前端调节池</w:t>
      </w:r>
      <w:r>
        <w:t>。</w:t>
      </w:r>
    </w:p>
    <w:p w14:paraId="1C6E74AB">
      <w:pPr>
        <w:pStyle w:val="281"/>
        <w:ind w:firstLine="480"/>
      </w:pPr>
      <w:r>
        <w:t>为保证氯化钠及硫酸钠品质，氯化钠</w:t>
      </w:r>
      <w:r>
        <w:rPr>
          <w:rFonts w:hint="eastAsia"/>
        </w:rPr>
        <w:t>多效</w:t>
      </w:r>
      <w:r>
        <w:t>蒸发结晶会排出少量母液，与冷冻母液纳滤的浓水一同进入混盐蒸发结晶、混盐母液干燥系统，产生少量的杂盐。</w:t>
      </w:r>
    </w:p>
    <w:p w14:paraId="547E7619">
      <w:pPr>
        <w:pStyle w:val="281"/>
        <w:ind w:firstLine="480"/>
      </w:pPr>
      <w:r>
        <w:t>石英砂过滤器反洗水、超滤反洗水、树脂再生水、NF膜冲洗水、RO冲洗水、污泥系统出水进入</w:t>
      </w:r>
      <w:r>
        <w:rPr>
          <w:rFonts w:hint="eastAsia"/>
        </w:rPr>
        <w:t>活性炭出水池</w:t>
      </w:r>
      <w:r>
        <w:t>，不外排。</w:t>
      </w:r>
    </w:p>
    <w:p w14:paraId="12857CD8">
      <w:pPr>
        <w:pStyle w:val="281"/>
        <w:ind w:firstLine="480"/>
      </w:pPr>
      <w:r>
        <w:t>高密度沉淀池与</w:t>
      </w:r>
      <w:r>
        <w:rPr>
          <w:rFonts w:hint="eastAsia"/>
        </w:rPr>
        <w:t>除氟除硅沉淀池（高压RO）</w:t>
      </w:r>
      <w:r>
        <w:t>的排泥进入贮泥池，后经过污泥输送泵进入脱水机进行污泥脱水，产生的废水进入</w:t>
      </w:r>
      <w:r>
        <w:rPr>
          <w:rFonts w:hint="eastAsia"/>
        </w:rPr>
        <w:t>活性炭出水池，应急情况下进入高浓盐水暂存池</w:t>
      </w:r>
      <w:r>
        <w:t>。</w:t>
      </w:r>
    </w:p>
    <w:p w14:paraId="26132331">
      <w:pPr>
        <w:pStyle w:val="814"/>
        <w:rPr>
          <w:rFonts w:hint="eastAsia"/>
        </w:rPr>
      </w:pPr>
      <w:r>
        <w:rPr>
          <w:rFonts w:hint="eastAsia"/>
        </w:rPr>
        <w:t>可行性分析</w:t>
      </w:r>
    </w:p>
    <w:p w14:paraId="4739D588">
      <w:pPr>
        <w:pStyle w:val="281"/>
        <w:ind w:firstLine="480"/>
      </w:pPr>
      <w:r>
        <w:rPr>
          <w:rFonts w:hint="eastAsia"/>
        </w:rPr>
        <w:t>（1）进水水质特征分析</w:t>
      </w:r>
    </w:p>
    <w:p w14:paraId="10C1AE3B">
      <w:pPr>
        <w:pStyle w:val="281"/>
        <w:ind w:firstLine="480"/>
      </w:pPr>
      <w:r>
        <w:rPr>
          <w:rFonts w:hint="eastAsia"/>
        </w:rPr>
        <w:t>根据水质分析可知，回用水系统排水为高浓盐水，</w:t>
      </w:r>
      <w:r>
        <w:t>TDS</w:t>
      </w:r>
      <w:r>
        <w:rPr>
          <w:rFonts w:hint="eastAsia"/>
        </w:rPr>
        <w:t>均较高，同时，回收水中存在大量的硬度、碱度、硅及污染性有机物，所以脱盐处理前必须增加前期多级预处理，以去除有机物、硬度、硅等。</w:t>
      </w:r>
    </w:p>
    <w:p w14:paraId="7145CF85">
      <w:pPr>
        <w:pStyle w:val="281"/>
        <w:ind w:firstLine="480"/>
      </w:pPr>
      <w:r>
        <w:rPr>
          <w:rFonts w:hint="eastAsia"/>
        </w:rPr>
        <w:t>（2）工艺可行性分析</w:t>
      </w:r>
    </w:p>
    <w:p w14:paraId="1E37031A">
      <w:pPr>
        <w:pStyle w:val="281"/>
        <w:ind w:firstLine="480"/>
      </w:pPr>
      <w:r>
        <w:rPr>
          <w:rFonts w:hint="eastAsia"/>
        </w:rPr>
        <w:t>本工程采用了</w:t>
      </w:r>
      <w:r>
        <w:t>“</w:t>
      </w:r>
      <w:r>
        <w:rPr>
          <w:rFonts w:hint="eastAsia"/>
        </w:rPr>
        <w:t>预处理</w:t>
      </w:r>
      <w:r>
        <w:t>+</w:t>
      </w:r>
      <w:r>
        <w:rPr>
          <w:rFonts w:hint="eastAsia"/>
        </w:rPr>
        <w:t>膜分离浓缩</w:t>
      </w:r>
      <w:r>
        <w:t>+</w:t>
      </w:r>
      <w:r>
        <w:rPr>
          <w:rFonts w:hint="eastAsia"/>
        </w:rPr>
        <w:t>分步结晶</w:t>
      </w:r>
      <w:r>
        <w:t>”</w:t>
      </w:r>
      <w:r>
        <w:rPr>
          <w:rFonts w:hint="eastAsia"/>
        </w:rPr>
        <w:t>工艺处理浓盐水，装置总回收率≥</w:t>
      </w:r>
      <w:r>
        <w:t>9</w:t>
      </w:r>
      <w:r>
        <w:rPr>
          <w:rFonts w:hint="eastAsia"/>
        </w:rPr>
        <w:t>0</w:t>
      </w:r>
      <w:r>
        <w:t>%</w:t>
      </w:r>
      <w:r>
        <w:rPr>
          <w:rFonts w:hint="eastAsia"/>
        </w:rPr>
        <w:t>。蒸发结晶装置由蒸发预处理单元和蒸发结晶单元组成。该工艺是目前污水分盐的主流工艺。</w:t>
      </w:r>
    </w:p>
    <w:p w14:paraId="3F7EB192">
      <w:pPr>
        <w:pStyle w:val="281"/>
        <w:ind w:firstLine="480"/>
      </w:pPr>
      <w:r>
        <w:rPr>
          <w:rFonts w:hint="eastAsia"/>
        </w:rPr>
        <w:t>对于浓盐水回收来说，对浓盐水中结垢性离子、有机物的预处理步骤非常重要。为了进一步保证系统的安全可靠性，本工程采用了以下措施：</w:t>
      </w:r>
    </w:p>
    <w:p w14:paraId="7A6EFF8F">
      <w:pPr>
        <w:pStyle w:val="281"/>
        <w:ind w:firstLine="480"/>
      </w:pPr>
      <w:r>
        <w:rPr>
          <w:rFonts w:hint="eastAsia" w:ascii="宋体" w:hAnsi="宋体"/>
        </w:rPr>
        <w:t>①</w:t>
      </w:r>
      <w:r>
        <w:rPr>
          <w:rFonts w:hint="eastAsia"/>
        </w:rPr>
        <w:t>在设备配置方面，采用抗污染膜，通过合理设计，保证回收率；</w:t>
      </w:r>
    </w:p>
    <w:p w14:paraId="0F4F02C5">
      <w:pPr>
        <w:pStyle w:val="281"/>
        <w:ind w:firstLine="480"/>
      </w:pPr>
      <w:r>
        <w:rPr>
          <w:rFonts w:hint="eastAsia" w:ascii="宋体" w:hAnsi="宋体"/>
        </w:rPr>
        <w:t>②</w:t>
      </w:r>
      <w:r>
        <w:rPr>
          <w:rFonts w:hint="eastAsia"/>
        </w:rPr>
        <w:t>在结垢因子控制方面，本工程根据进水水质，采用了多级预处理措施（化学软化、树脂软化），可同时去除废水中硬度、氟、总硅等结垢因子，同时通过进膜前的</w:t>
      </w:r>
      <w:r>
        <w:t>pH</w:t>
      </w:r>
      <w:r>
        <w:rPr>
          <w:rFonts w:hint="eastAsia"/>
        </w:rPr>
        <w:t>回调，确保回收系统不存在结垢风险，从而稳定运行；</w:t>
      </w:r>
    </w:p>
    <w:p w14:paraId="6529EFBE">
      <w:pPr>
        <w:pStyle w:val="281"/>
        <w:ind w:firstLine="480"/>
      </w:pPr>
      <w:r>
        <w:rPr>
          <w:rFonts w:hint="eastAsia" w:ascii="宋体" w:hAnsi="宋体"/>
        </w:rPr>
        <w:t>③</w:t>
      </w:r>
      <w:r>
        <w:rPr>
          <w:rFonts w:hint="eastAsia"/>
        </w:rPr>
        <w:t>在有机物控制方面，采用“臭氧氧化+活性炭吸附”工艺去除浓缩的有机物；</w:t>
      </w:r>
    </w:p>
    <w:p w14:paraId="14DF445C">
      <w:pPr>
        <w:pStyle w:val="281"/>
        <w:ind w:firstLine="480"/>
      </w:pPr>
      <w:r>
        <w:rPr>
          <w:rFonts w:hint="eastAsia" w:ascii="宋体" w:hAnsi="宋体"/>
        </w:rPr>
        <w:t>④</w:t>
      </w:r>
      <w:r>
        <w:rPr>
          <w:rFonts w:hint="eastAsia"/>
        </w:rPr>
        <w:t>对于胶体、悬浮物而言，利用“砂滤</w:t>
      </w:r>
      <w:r>
        <w:t>+</w:t>
      </w:r>
      <w:r>
        <w:rPr>
          <w:rFonts w:hint="eastAsia"/>
        </w:rPr>
        <w:t>超滤”对其进行控制；</w:t>
      </w:r>
    </w:p>
    <w:p w14:paraId="544E4C52">
      <w:pPr>
        <w:pStyle w:val="281"/>
        <w:ind w:firstLine="480"/>
      </w:pPr>
      <w:r>
        <w:rPr>
          <w:rFonts w:hint="eastAsia" w:ascii="宋体" w:hAnsi="宋体"/>
        </w:rPr>
        <w:t>⑤</w:t>
      </w:r>
      <w:r>
        <w:rPr>
          <w:rFonts w:hint="eastAsia"/>
        </w:rPr>
        <w:t>微生物可以通过系统中配置的杀菌系统及系统上的抑菌配置控制，使膜系统安全运行。</w:t>
      </w:r>
    </w:p>
    <w:p w14:paraId="5AD2C9E4">
      <w:pPr>
        <w:pStyle w:val="281"/>
        <w:ind w:firstLine="480"/>
      </w:pPr>
      <w:r>
        <w:rPr>
          <w:rFonts w:hint="eastAsia" w:ascii="宋体" w:hAnsi="宋体"/>
        </w:rPr>
        <w:t>⑥</w:t>
      </w:r>
      <w:r>
        <w:rPr>
          <w:rFonts w:hint="eastAsia"/>
        </w:rPr>
        <w:t>蒸发结晶单元采用“纳滤膜法分盐</w:t>
      </w:r>
      <w:r>
        <w:t>+</w:t>
      </w:r>
      <w:r>
        <w:rPr>
          <w:rFonts w:hint="eastAsia"/>
        </w:rPr>
        <w:t>热法蒸发结晶</w:t>
      </w:r>
      <w:r>
        <w:t>+</w:t>
      </w:r>
      <w:r>
        <w:rPr>
          <w:rFonts w:hint="eastAsia"/>
        </w:rPr>
        <w:t>冷冻结晶”技术对浓盐水进行回收利用。冷冻结晶原理是利用氯化钠和硫酸钠在不同温度下溶解性的差异来分离的。经过蒸发浓缩后</w:t>
      </w:r>
      <w:r>
        <w:t xml:space="preserve">TDS </w:t>
      </w:r>
      <w:r>
        <w:rPr>
          <w:rFonts w:hint="eastAsia"/>
        </w:rPr>
        <w:t>达到</w:t>
      </w:r>
      <w:r>
        <w:t>200000</w:t>
      </w:r>
      <w:r>
        <w:rPr>
          <w:rFonts w:hint="eastAsia"/>
        </w:rPr>
        <w:t>～</w:t>
      </w:r>
      <w:r>
        <w:t xml:space="preserve">240000mg/L </w:t>
      </w:r>
      <w:r>
        <w:rPr>
          <w:rFonts w:hint="eastAsia"/>
        </w:rPr>
        <w:t>的水首先经过硫酸钠蒸发结晶，硫酸钠结晶母液进入冷冻结晶得到十水硫酸钠返回硫酸钠蒸发结晶，冷冻母液进入杂盐蒸发结晶出杂盐。该工艺路线应用成熟，目前，多个煤化工项目均采用此工艺，工艺路线整体运行较为稳定。</w:t>
      </w:r>
    </w:p>
    <w:p w14:paraId="63982371">
      <w:pPr>
        <w:pStyle w:val="281"/>
        <w:ind w:firstLine="480"/>
      </w:pPr>
      <w:r>
        <w:rPr>
          <w:rFonts w:hint="eastAsia"/>
        </w:rPr>
        <w:t>（3）规模可行性</w:t>
      </w:r>
    </w:p>
    <w:p w14:paraId="5E948A4E">
      <w:pPr>
        <w:pStyle w:val="281"/>
        <w:ind w:firstLine="480"/>
        <w:rPr>
          <w:rFonts w:cs="Times New Roman"/>
        </w:rPr>
      </w:pPr>
      <w:r>
        <w:rPr>
          <w:rFonts w:hint="eastAsia" w:cs="Times New Roman"/>
        </w:rPr>
        <w:t>正常工况下，进入高浓盐水及蒸发结晶系统总水量约为84.87m</w:t>
      </w:r>
      <w:r>
        <w:rPr>
          <w:rFonts w:hint="eastAsia" w:cs="Times New Roman"/>
          <w:vertAlign w:val="superscript"/>
        </w:rPr>
        <w:t>3</w:t>
      </w:r>
      <w:r>
        <w:rPr>
          <w:rFonts w:hint="eastAsia" w:cs="Times New Roman"/>
        </w:rPr>
        <w:t>/h，考虑生产的波动性及未预见水量，建设规模为1</w:t>
      </w:r>
      <w:r>
        <w:rPr>
          <w:rFonts w:cs="Times New Roman"/>
        </w:rPr>
        <w:t>2</w:t>
      </w:r>
      <w:r>
        <w:rPr>
          <w:rFonts w:hint="eastAsia" w:cs="Times New Roman"/>
        </w:rPr>
        <w:t>0m</w:t>
      </w:r>
      <w:r>
        <w:rPr>
          <w:rFonts w:hint="eastAsia" w:cs="Times New Roman"/>
          <w:vertAlign w:val="superscript"/>
        </w:rPr>
        <w:t>3</w:t>
      </w:r>
      <w:r>
        <w:rPr>
          <w:rFonts w:hint="eastAsia" w:cs="Times New Roman"/>
        </w:rPr>
        <w:t>/h；设计规模为正常水量的141.4%，系统预留一定的余量，可实现灵活运行，并应对各种水质水量波动等非正常工况。</w:t>
      </w:r>
    </w:p>
    <w:p w14:paraId="038AAD87">
      <w:pPr>
        <w:pStyle w:val="128"/>
        <w:rPr>
          <w:rFonts w:hint="eastAsia"/>
        </w:rPr>
      </w:pPr>
      <w:r>
        <w:rPr>
          <w:rFonts w:hint="eastAsia"/>
        </w:rPr>
        <w:t>根据《氮肥工业废水治理工程技术规范》（HJ1277-2023）：</w:t>
      </w:r>
    </w:p>
    <w:p w14:paraId="7A2FC9B0">
      <w:pPr>
        <w:pStyle w:val="128"/>
        <w:rPr>
          <w:rFonts w:hint="eastAsia"/>
        </w:rPr>
      </w:pPr>
      <w:r>
        <w:rPr>
          <w:rFonts w:hint="eastAsia" w:ascii="宋体"/>
        </w:rPr>
        <w:t>①</w:t>
      </w:r>
      <w:r>
        <w:rPr>
          <w:rFonts w:hint="eastAsia"/>
        </w:rPr>
        <w:t>以煤为原料的氮肥工业综合废水处理工艺一般采用物化+生化处理联用工艺路线处理；本项目气化废水经过降温处理后，与其他生产废水送入调节池均质均量后，经高效沉淀后，送至生化单元处理；</w:t>
      </w:r>
    </w:p>
    <w:p w14:paraId="1659673E">
      <w:pPr>
        <w:pStyle w:val="128"/>
        <w:rPr>
          <w:rFonts w:hint="eastAsia"/>
        </w:rPr>
      </w:pPr>
      <w:r>
        <w:rPr>
          <w:rFonts w:hint="eastAsia" w:ascii="宋体"/>
        </w:rPr>
        <w:t>②</w:t>
      </w:r>
      <w:r>
        <w:rPr>
          <w:rFonts w:hint="eastAsia"/>
        </w:rPr>
        <w:t>循环冷却水场排污水、除盐水站排污水、中水回用宜采用膜分离技术进行处理，本项目循环冷却水排污水、除盐水站排污水、污水处理站出水通过“高效澄清池+</w:t>
      </w:r>
      <w:r>
        <w:t>V</w:t>
      </w:r>
      <w:r>
        <w:rPr>
          <w:rFonts w:hint="eastAsia"/>
        </w:rPr>
        <w:t>型滤池+超滤系统+反渗透处理”工艺处理。</w:t>
      </w:r>
    </w:p>
    <w:p w14:paraId="7EDA6433">
      <w:pPr>
        <w:pStyle w:val="281"/>
        <w:ind w:firstLine="480"/>
      </w:pPr>
      <w:r>
        <w:rPr>
          <w:rFonts w:hint="eastAsia"/>
        </w:rPr>
        <w:t>根据《氮肥工业污染防治可行技术指南》（HJ1302-2023）：氮肥工业综合废水处理工艺一般采用预处理+生化处理+深度处理+脱盐处理等技术进行组合。生化处理应根据进水水质特性和处理要求，选择适宜的生物脱氮工艺。生物脱氮工艺可采用缺氧/好氧（A/O）、序批式活性污泥法（SBR）、改良SBR、厌氧序批式反应器（ASBR）、循环式活性污泥法（CASS）、二级缺氧/好氧（二级 A/O）、曝气生物滤池（BAF）、移动床生物膜法（MBBR）和缺氧/好氧-膜生物反应器（A/O-MBR）等；为提高总氮脱除效率，可采用二级 A/O 或 A/O-MBR。循环冷却水排污水宜单独收集处理。</w:t>
      </w:r>
    </w:p>
    <w:p w14:paraId="1B42FEF4">
      <w:pPr>
        <w:pStyle w:val="281"/>
        <w:ind w:firstLine="480"/>
      </w:pPr>
      <w:r>
        <w:rPr>
          <w:rFonts w:hint="eastAsia"/>
        </w:rPr>
        <w:t>本项目气化水在装置内经过黑水闪蒸系统脱硫处理后，</w:t>
      </w:r>
      <w:r>
        <w:rPr>
          <w:rFonts w:cs="Times New Roman"/>
        </w:rPr>
        <w:t>通过絮凝剂加药系统向沉降槽中加入絮凝剂，在沉降槽安装了一个缓慢转动的沉降槽耙料机把沉降下来的固体送到沉降槽底部的出口。在沉降槽底部沉降出的渣浆通过沉降槽底流泵送至细灰脱水单元进行分离，分离出的含水40%的滤饼</w:t>
      </w:r>
      <w:r>
        <w:rPr>
          <w:rFonts w:hint="eastAsia" w:cs="Times New Roman"/>
        </w:rPr>
        <w:t>外运</w:t>
      </w:r>
      <w:r>
        <w:rPr>
          <w:rFonts w:cs="Times New Roman"/>
        </w:rPr>
        <w:t>，滤液返送回沉降槽。澄清的水从沉降槽顶部溢流到灰水槽。灰水槽是整个气化装置水系统的缓冲罐，整个系统的灰水均返回到灰水槽。灰水槽回收的灰水由低压灰水泵加压，一部分送至灰水冷却器冷却后进入锁斗冲洗水罐，一部分送入低闪汽提塔，为了维持整个气化工艺水系统的微量组分及固体含量的稳定，少量灰水送入灰水冷却器冷却后作为废水送至厂内污水处理站。</w:t>
      </w:r>
      <w:r>
        <w:rPr>
          <w:rFonts w:hint="eastAsia" w:cs="Times New Roman"/>
        </w:rPr>
        <w:t>在污水处理站内进一步沉降后，送入生化处理系统；本项目生化处理系统采用</w:t>
      </w:r>
      <w:r>
        <w:t>“</w:t>
      </w:r>
      <w:r>
        <w:rPr>
          <w:rFonts w:cs="Times New Roman"/>
        </w:rPr>
        <w:t>HBF-</w:t>
      </w:r>
      <w:r>
        <w:rPr>
          <w:rFonts w:hint="eastAsia" w:cs="Times New Roman"/>
        </w:rPr>
        <w:t>改进型两级</w:t>
      </w:r>
      <w:r>
        <w:rPr>
          <w:rFonts w:cs="Times New Roman"/>
        </w:rPr>
        <w:t>AO</w:t>
      </w:r>
      <w:r>
        <w:rPr>
          <w:rFonts w:hint="eastAsia" w:cs="Times New Roman"/>
        </w:rPr>
        <w:t>工艺</w:t>
      </w:r>
      <w:r>
        <w:t>+</w:t>
      </w:r>
      <w:r>
        <w:rPr>
          <w:rFonts w:hint="eastAsia"/>
        </w:rPr>
        <w:t>序批式沉淀</w:t>
      </w:r>
      <w:r>
        <w:t>”</w:t>
      </w:r>
      <w:r>
        <w:rPr>
          <w:rFonts w:hint="eastAsia"/>
        </w:rPr>
        <w:t>工艺。最终，污水处理站出水、循环冷却水排污水、除盐水站排污水通过“高效澄清池+</w:t>
      </w:r>
      <w:r>
        <w:t>V</w:t>
      </w:r>
      <w:r>
        <w:rPr>
          <w:rFonts w:hint="eastAsia"/>
        </w:rPr>
        <w:t>型滤池+超滤系统+反渗透处理”工艺处理后，清水回用，浓水送蒸发结晶系统。</w:t>
      </w:r>
    </w:p>
    <w:p w14:paraId="743B8505">
      <w:pPr>
        <w:pStyle w:val="281"/>
        <w:ind w:firstLine="480"/>
        <w:rPr>
          <w:rFonts w:cs="Times New Roman"/>
        </w:rPr>
      </w:pPr>
      <w:r>
        <w:rPr>
          <w:rFonts w:hint="eastAsia"/>
        </w:rPr>
        <w:t>根据分析，本项目污水处理工艺满足《氮肥工业废水治理工程技术规范》（HJ1277-2023）、《氮肥工业污染防治可行技术指南》（HJ1302-2023）相关要求，是可行的。</w:t>
      </w:r>
    </w:p>
    <w:bookmarkEnd w:id="402"/>
    <w:bookmarkEnd w:id="403"/>
    <w:p w14:paraId="2A6AFB5E">
      <w:pPr>
        <w:pStyle w:val="98"/>
        <w:rPr>
          <w:rFonts w:hint="eastAsia"/>
          <w:color w:val="auto"/>
        </w:rPr>
      </w:pPr>
      <w:r>
        <w:rPr>
          <w:rFonts w:hint="eastAsia"/>
          <w:color w:val="auto"/>
        </w:rPr>
        <w:t>非正常工况废水的处理</w:t>
      </w:r>
    </w:p>
    <w:p w14:paraId="653A0403">
      <w:pPr>
        <w:pStyle w:val="128"/>
        <w:rPr>
          <w:rFonts w:hint="eastAsia"/>
        </w:rPr>
      </w:pPr>
      <w:r>
        <w:rPr>
          <w:rFonts w:hint="eastAsia"/>
        </w:rPr>
        <w:t>非正常工况产生的废水均经污水处理系统处理后回用。污水处理系统设计充分考虑了非正常工况下、开车调试、各生产装置检修或开停车可能导致进入污水处理系统的进水水质、水量波动：</w:t>
      </w:r>
    </w:p>
    <w:p w14:paraId="7DB8D023">
      <w:pPr>
        <w:pStyle w:val="128"/>
        <w:rPr>
          <w:rFonts w:hint="eastAsia"/>
        </w:rPr>
      </w:pPr>
      <w:r>
        <w:rPr>
          <w:rFonts w:hint="eastAsia"/>
        </w:rPr>
        <w:t xml:space="preserve">（1）污水处理系统针对每类废水均设计了12h以上的调节均质池； </w:t>
      </w:r>
    </w:p>
    <w:p w14:paraId="3615C1E1">
      <w:pPr>
        <w:pStyle w:val="128"/>
        <w:rPr>
          <w:rFonts w:hint="eastAsia"/>
        </w:rPr>
      </w:pPr>
      <w:r>
        <w:rPr>
          <w:rFonts w:hint="eastAsia"/>
        </w:rPr>
        <w:t>（2）设计规模的水力负荷在最大排水量的基础上有50%以上的安全系数；</w:t>
      </w:r>
    </w:p>
    <w:p w14:paraId="7BBBB59E">
      <w:pPr>
        <w:pStyle w:val="128"/>
        <w:rPr>
          <w:rFonts w:hint="eastAsia"/>
        </w:rPr>
      </w:pPr>
      <w:r>
        <w:rPr>
          <w:rFonts w:hint="eastAsia"/>
        </w:rPr>
        <w:t>（3）设计规模的有机负荷按污水最大浓度设计；</w:t>
      </w:r>
    </w:p>
    <w:p w14:paraId="6B336947">
      <w:pPr>
        <w:pStyle w:val="128"/>
        <w:rPr>
          <w:rFonts w:hint="eastAsia"/>
        </w:rPr>
      </w:pPr>
      <w:r>
        <w:rPr>
          <w:rFonts w:hint="eastAsia"/>
        </w:rPr>
        <w:t>（4）以环保能力决定生产能力，污水处理系统具有很强的耐冲击负荷能力。如果发生废水水质超过设计水质的情况，只要排水总有机物排放量未超过污水系统设计总有机负荷，一般不会对污水处理生化系统产生太大的影响，出水水质能够保证。废水水质如果超出污水处理系统总负荷，可与合格进水稀释后一起处理或循环处理直至预处理出水水质达标后再进入生化处理系统。</w:t>
      </w:r>
    </w:p>
    <w:p w14:paraId="2E5AC4CD">
      <w:pPr>
        <w:pStyle w:val="97"/>
        <w:rPr>
          <w:rFonts w:hint="eastAsia"/>
        </w:rPr>
      </w:pPr>
      <w:bookmarkStart w:id="404" w:name="_Hlk192090072"/>
      <w:r>
        <w:rPr>
          <w:rFonts w:hint="eastAsia"/>
        </w:rPr>
        <w:t>地下水</w:t>
      </w:r>
      <w:r>
        <w:t>污染防治措施及论证</w:t>
      </w:r>
    </w:p>
    <w:p w14:paraId="6B3CB7A0">
      <w:pPr>
        <w:pStyle w:val="98"/>
        <w:rPr>
          <w:rFonts w:hint="eastAsia"/>
          <w:color w:val="auto"/>
        </w:rPr>
      </w:pPr>
      <w:r>
        <w:rPr>
          <w:rFonts w:hint="eastAsia"/>
          <w:color w:val="auto"/>
        </w:rPr>
        <w:t>地下水环境污染防治</w:t>
      </w:r>
    </w:p>
    <w:p w14:paraId="135D5616">
      <w:pPr>
        <w:pStyle w:val="281"/>
        <w:ind w:firstLine="480"/>
      </w:pPr>
      <w:r>
        <w:rPr>
          <w:rFonts w:hint="eastAsia"/>
        </w:rPr>
        <w:t>按照《中华人民共和国水污染防治法》和《中华人民共和国环境影响评价法》的相关规定，地下水环境保护措施与对策应遵循</w:t>
      </w:r>
      <w:r>
        <w:t>“</w:t>
      </w:r>
      <w:r>
        <w:rPr>
          <w:rFonts w:hint="eastAsia"/>
        </w:rPr>
        <w:t>源头控制、分区防控、污染监测、应急响应</w:t>
      </w:r>
      <w:r>
        <w:t>”</w:t>
      </w:r>
      <w:r>
        <w:rPr>
          <w:rFonts w:hint="eastAsia"/>
        </w:rPr>
        <w:t>的基本要求，即采取主动控制和被动控制相结合的措施。</w:t>
      </w:r>
    </w:p>
    <w:p w14:paraId="7EBC3F43">
      <w:pPr>
        <w:pStyle w:val="281"/>
        <w:ind w:firstLine="480"/>
        <w:rPr>
          <w:rFonts w:cs="Times New Roman"/>
        </w:rPr>
      </w:pPr>
      <w:r>
        <w:rPr>
          <w:rFonts w:cs="Times New Roman"/>
        </w:rPr>
        <w:t>1、主动控制，即从源头控制措施，主要包括在工艺、管道、设备、污水储存及处理构筑物采取相应措施，防止和降低污染物跑、冒、滴、漏，将污染物泄漏的环境风险事故降到最低程度；</w:t>
      </w:r>
    </w:p>
    <w:p w14:paraId="16D3F32A">
      <w:pPr>
        <w:pStyle w:val="281"/>
        <w:ind w:firstLine="480"/>
        <w:rPr>
          <w:rFonts w:cs="Times New Roman"/>
        </w:rPr>
      </w:pPr>
      <w:r>
        <w:rPr>
          <w:rFonts w:cs="Times New Roman"/>
        </w:rPr>
        <w:t>2、被动控制，即末端控制措施，主要包括厂内污染区地面的防渗措施和泄漏、渗漏污染物收集措施，即在污染区地面进行防渗处理，防止洒落地面的污染物渗入地下，并把滞留在地面的污染物收集起来，集中送至综合污水处理厂处理；</w:t>
      </w:r>
    </w:p>
    <w:p w14:paraId="5C24559E">
      <w:pPr>
        <w:pStyle w:val="281"/>
        <w:ind w:firstLine="480"/>
        <w:rPr>
          <w:rFonts w:cs="Times New Roman"/>
        </w:rPr>
      </w:pPr>
      <w:r>
        <w:rPr>
          <w:rFonts w:cs="Times New Roman"/>
        </w:rPr>
        <w:t>3、以重点装置区为主，一般生产区为辅；事故易发区为主，一般区为辅。</w:t>
      </w:r>
    </w:p>
    <w:p w14:paraId="78F5738C">
      <w:pPr>
        <w:pStyle w:val="281"/>
        <w:ind w:firstLine="480"/>
        <w:rPr>
          <w:rFonts w:cs="Times New Roman"/>
        </w:rPr>
      </w:pPr>
      <w:r>
        <w:rPr>
          <w:rFonts w:cs="Times New Roman"/>
        </w:rPr>
        <w:t>4、实施覆盖生产区的地下水污染监控系统，包括建立完善的监测制度、配备先进的检测仪器和设备、科学、合理设置地下水污染监控井，及时发现污染、及时控制；</w:t>
      </w:r>
    </w:p>
    <w:p w14:paraId="7B5ECA4D">
      <w:pPr>
        <w:pStyle w:val="281"/>
        <w:ind w:firstLine="480"/>
      </w:pPr>
      <w:r>
        <w:rPr>
          <w:rFonts w:cs="Times New Roman"/>
        </w:rPr>
        <w:t>5、坚持“可视化”原则，输送含有污染物的管道尽可</w:t>
      </w:r>
      <w:r>
        <w:rPr>
          <w:rFonts w:hint="eastAsia" w:cs="Times New Roman"/>
        </w:rPr>
        <w:t>能在</w:t>
      </w:r>
      <w:r>
        <w:rPr>
          <w:rFonts w:cs="Times New Roman"/>
        </w:rPr>
        <w:t>地上敷设，减少由于埋地管道泄漏而造成的地下水污染</w:t>
      </w:r>
      <w:r>
        <w:rPr>
          <w:rFonts w:hint="eastAsia"/>
        </w:rPr>
        <w:t>。</w:t>
      </w:r>
    </w:p>
    <w:p w14:paraId="7E83E354">
      <w:pPr>
        <w:pStyle w:val="98"/>
        <w:rPr>
          <w:rFonts w:hint="eastAsia"/>
          <w:color w:val="auto"/>
        </w:rPr>
      </w:pPr>
      <w:r>
        <w:rPr>
          <w:rFonts w:hint="eastAsia"/>
          <w:color w:val="auto"/>
        </w:rPr>
        <w:t>污染防控对策</w:t>
      </w:r>
    </w:p>
    <w:p w14:paraId="24B51B5B">
      <w:pPr>
        <w:pStyle w:val="281"/>
        <w:ind w:firstLine="480"/>
      </w:pPr>
      <w:r>
        <w:t>由于地表以下地层复杂，地下水流动极其缓慢，因此，地下水污染具有过程缓慢、不易发现和难以治理的特点。地下水一旦受到污染，即使彻底消除其污染源，也得十几年，甚至几十年才能使水质复原。从源头防止污染物进入地下含水层是我国地下水污染防治的关键。</w:t>
      </w:r>
    </w:p>
    <w:p w14:paraId="52E7460D">
      <w:pPr>
        <w:pStyle w:val="951"/>
      </w:pPr>
      <w:r>
        <w:t>源头控制措施</w:t>
      </w:r>
    </w:p>
    <w:p w14:paraId="0D775251">
      <w:pPr>
        <w:pStyle w:val="281"/>
        <w:ind w:firstLine="480"/>
        <w:rPr>
          <w:rFonts w:cs="Times New Roman"/>
        </w:rPr>
      </w:pPr>
      <w:r>
        <w:rPr>
          <w:rFonts w:cs="Times New Roman"/>
        </w:rPr>
        <w:t>地下水的污染是不可逆的，因此，做好地下水污染的源头控制对地下水环境保护有重要作用。</w:t>
      </w:r>
    </w:p>
    <w:p w14:paraId="359DAEFD">
      <w:pPr>
        <w:pStyle w:val="281"/>
        <w:ind w:firstLine="480"/>
        <w:rPr>
          <w:rFonts w:cs="Times New Roman"/>
        </w:rPr>
      </w:pPr>
      <w:r>
        <w:rPr>
          <w:rFonts w:cs="Times New Roman"/>
        </w:rPr>
        <w:t>项目在生产过程中的废水包括</w:t>
      </w:r>
      <w:r>
        <w:rPr>
          <w:rFonts w:hint="eastAsia" w:cs="Times New Roman"/>
        </w:rPr>
        <w:t>：</w:t>
      </w:r>
      <w:r>
        <w:rPr>
          <w:rFonts w:cs="Times New Roman"/>
        </w:rPr>
        <w:t>生产废水（煤气化装置气化灰水、酸性气脱除单元-含醇废水、各装置地面冲洗水等）、生活污水、循环水站排水、除盐水站排水等。可能对地下水环境造成影响的污染源主要为生产车间、污水处理站、罐区及地下原辅料管线泄漏。在生产过程中应加强管理杜绝</w:t>
      </w:r>
      <w:r>
        <w:rPr>
          <w:rFonts w:hint="eastAsia" w:cs="Times New Roman"/>
        </w:rPr>
        <w:t>此类</w:t>
      </w:r>
      <w:r>
        <w:rPr>
          <w:rFonts w:cs="Times New Roman"/>
        </w:rPr>
        <w:t>现象的发生。针对本项目工程特点，提出以下源头控制措施。</w:t>
      </w:r>
    </w:p>
    <w:p w14:paraId="7D4EF746">
      <w:pPr>
        <w:pStyle w:val="281"/>
        <w:ind w:firstLine="480"/>
        <w:rPr>
          <w:rFonts w:hint="eastAsia" w:ascii="宋体" w:hAnsi="宋体" w:cs="Times New Roman"/>
        </w:rPr>
      </w:pPr>
      <w:r>
        <w:rPr>
          <w:rFonts w:ascii="宋体" w:hAnsi="宋体" w:cs="Cambria Math"/>
        </w:rPr>
        <w:t>①</w:t>
      </w:r>
      <w:r>
        <w:rPr>
          <w:rFonts w:ascii="宋体" w:hAnsi="宋体" w:cs="Times New Roman"/>
        </w:rPr>
        <w:t>生产运行开始前进行试运行，检查设备、管线、污水储存及处理构筑物是否存在“跑冒滴漏”现象；</w:t>
      </w:r>
    </w:p>
    <w:p w14:paraId="597130B0">
      <w:pPr>
        <w:pStyle w:val="281"/>
        <w:ind w:firstLine="480"/>
        <w:rPr>
          <w:rFonts w:hint="eastAsia" w:ascii="宋体" w:hAnsi="宋体" w:cs="Times New Roman"/>
        </w:rPr>
      </w:pPr>
      <w:r>
        <w:rPr>
          <w:rFonts w:ascii="宋体" w:hAnsi="宋体" w:cs="Cambria Math"/>
        </w:rPr>
        <w:t>②</w:t>
      </w:r>
      <w:r>
        <w:rPr>
          <w:rFonts w:ascii="宋体" w:hAnsi="宋体" w:cs="Times New Roman"/>
        </w:rPr>
        <w:t>生产运行前相应部门应该制定详细的开工方案，确保装置在开工和正常生产过程中运行平稳，避免“跑冒滴漏”的现象发生；</w:t>
      </w:r>
    </w:p>
    <w:p w14:paraId="6665BE4E">
      <w:pPr>
        <w:pStyle w:val="281"/>
        <w:ind w:firstLine="480"/>
        <w:rPr>
          <w:rFonts w:hint="eastAsia" w:ascii="宋体" w:hAnsi="宋体" w:cs="Times New Roman"/>
        </w:rPr>
      </w:pPr>
      <w:r>
        <w:rPr>
          <w:rFonts w:ascii="宋体" w:hAnsi="宋体" w:cs="Cambria Math"/>
        </w:rPr>
        <w:t>③</w:t>
      </w:r>
      <w:r>
        <w:rPr>
          <w:rFonts w:ascii="宋体" w:hAnsi="宋体" w:cs="Times New Roman"/>
        </w:rPr>
        <w:t>相关部门应加强日常巡检工作，及时发现“跑冒滴漏”，尤其是对易泄漏部位和重点设备要实施特保特护，避免“跑冒滴漏”出现、扩大；</w:t>
      </w:r>
    </w:p>
    <w:p w14:paraId="6842A587">
      <w:pPr>
        <w:pStyle w:val="281"/>
        <w:ind w:firstLine="480"/>
        <w:rPr>
          <w:rFonts w:hint="eastAsia" w:ascii="宋体" w:hAnsi="宋体" w:cs="Times New Roman"/>
        </w:rPr>
      </w:pPr>
      <w:r>
        <w:rPr>
          <w:rFonts w:ascii="宋体" w:hAnsi="宋体" w:cs="Cambria Math"/>
        </w:rPr>
        <w:t>④</w:t>
      </w:r>
      <w:r>
        <w:rPr>
          <w:rFonts w:ascii="宋体" w:hAnsi="宋体" w:cs="Times New Roman"/>
        </w:rPr>
        <w:t>相关部门对设备设施检查、维护，要制定严格的检修标准、周期和考核标准，落实责任人，检查、维修人员要按照相关标准认真执行，定检后要验收；并做好记录；</w:t>
      </w:r>
    </w:p>
    <w:p w14:paraId="5FD51B29">
      <w:pPr>
        <w:pStyle w:val="281"/>
        <w:ind w:firstLine="480"/>
        <w:rPr>
          <w:rFonts w:hint="eastAsia" w:ascii="宋体" w:hAnsi="宋体" w:cs="Times New Roman"/>
        </w:rPr>
      </w:pPr>
      <w:r>
        <w:rPr>
          <w:rFonts w:ascii="宋体" w:hAnsi="宋体" w:cs="Cambria Math"/>
        </w:rPr>
        <w:t>⑤</w:t>
      </w:r>
      <w:r>
        <w:rPr>
          <w:rFonts w:ascii="宋体" w:hAnsi="宋体" w:cs="Times New Roman"/>
        </w:rPr>
        <w:t>加强设备防腐蚀及老化管理，明确装置重点部位及监测方案，及时消除因设备腐蚀、老化导致的“跑冒滴漏”；</w:t>
      </w:r>
    </w:p>
    <w:p w14:paraId="0D7FDC0C">
      <w:pPr>
        <w:pStyle w:val="281"/>
        <w:ind w:firstLine="480"/>
        <w:rPr>
          <w:rFonts w:cs="Times New Roman"/>
        </w:rPr>
      </w:pPr>
      <w:r>
        <w:rPr>
          <w:rFonts w:ascii="宋体" w:hAnsi="宋体" w:cs="Cambria Math"/>
        </w:rPr>
        <w:t>⑥</w:t>
      </w:r>
      <w:r>
        <w:rPr>
          <w:rFonts w:ascii="宋体" w:hAnsi="宋体" w:cs="Times New Roman"/>
        </w:rPr>
        <w:t>建设项目严重和不可控“跑冒滴漏”应急管理应结合自身实际情况，制定泄漏应急预案</w:t>
      </w:r>
      <w:r>
        <w:rPr>
          <w:rFonts w:cs="Times New Roman"/>
        </w:rPr>
        <w:t>，尽量减少物质泄漏导致装置大面积停工，防止在生产装置调整过程中发生次生事故。</w:t>
      </w:r>
    </w:p>
    <w:p w14:paraId="7D297E44">
      <w:pPr>
        <w:pStyle w:val="951"/>
      </w:pPr>
      <w:bookmarkStart w:id="405" w:name="_Hlk177062284"/>
      <w:r>
        <w:t>分区防控措施</w:t>
      </w:r>
    </w:p>
    <w:p w14:paraId="3BDDE29A">
      <w:pPr>
        <w:pStyle w:val="281"/>
        <w:ind w:firstLine="480"/>
        <w:rPr>
          <w:rFonts w:cs="Times New Roman"/>
        </w:rPr>
      </w:pPr>
      <w:r>
        <w:rPr>
          <w:rFonts w:ascii="宋体" w:hAnsi="宋体" w:cs="Times New Roman"/>
        </w:rPr>
        <w:t>本项目</w:t>
      </w:r>
      <w:r>
        <w:rPr>
          <w:rFonts w:cs="Times New Roman"/>
        </w:rPr>
        <w:t>防渗设计具体结构参考《危险废物贮存污染控制标准》（GB 18597-2023）、《给水排水构筑物工程施工及验收规范》（GB 50141）、《给水排水管道工程施工及验收规范》（GB 50268）、《石油化工工程防渗技术规范》（GB/T 50934）等相关规范对不同构筑物提出的具体防渗结构。</w:t>
      </w:r>
    </w:p>
    <w:p w14:paraId="4A4AF700">
      <w:pPr>
        <w:pStyle w:val="281"/>
        <w:ind w:firstLine="480"/>
        <w:rPr>
          <w:rFonts w:cs="Times New Roman"/>
        </w:rPr>
      </w:pPr>
      <w:r>
        <w:rPr>
          <w:rFonts w:hint="eastAsia" w:ascii="宋体" w:hAnsi="宋体" w:cs="Cambria Math"/>
        </w:rPr>
        <w:t>（1）</w:t>
      </w:r>
      <w:r>
        <w:rPr>
          <w:rFonts w:ascii="宋体" w:hAnsi="宋体" w:cs="Times New Roman"/>
        </w:rPr>
        <w:t>防渗</w:t>
      </w:r>
      <w:r>
        <w:rPr>
          <w:rFonts w:cs="Times New Roman"/>
        </w:rPr>
        <w:t>分区划分</w:t>
      </w:r>
    </w:p>
    <w:p w14:paraId="38F298A9">
      <w:pPr>
        <w:pStyle w:val="281"/>
        <w:ind w:firstLine="480"/>
        <w:rPr>
          <w:rFonts w:cs="Times New Roman"/>
        </w:rPr>
      </w:pPr>
      <w:r>
        <w:rPr>
          <w:rFonts w:cs="Times New Roman"/>
          <w:szCs w:val="24"/>
        </w:rPr>
        <w:t>本项目地下水防渗分区主要按照《石油化工工程防渗技术规范》（GB/T 50934-2013）相关防渗要求进行划分，若《石油化工工程防渗技术规范》（GB/T 50934-2013）未提及的工程按照《环境影响评价技术导则-地下水环境》（HJ 610-2016）建设项目分区防渗的划分依据和地下水污染防渗分区参照表将建设项目地下水分区防渗划分如下表。</w:t>
      </w:r>
      <w:bookmarkEnd w:id="405"/>
      <w:bookmarkStart w:id="406" w:name="_Hlk177062293"/>
    </w:p>
    <w:p w14:paraId="4DD7672E">
      <w:pPr>
        <w:pStyle w:val="645"/>
        <w:rPr>
          <w:rFonts w:hint="eastAsia"/>
        </w:rPr>
      </w:pPr>
      <w:r>
        <w:t>表</w:t>
      </w:r>
      <w:r>
        <w:rPr>
          <w:rFonts w:hint="eastAsia"/>
        </w:rPr>
        <w:t>6.2</w:t>
      </w:r>
      <w:r>
        <w:t>.3-1    典型污染分区</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8"/>
        <w:gridCol w:w="2181"/>
        <w:gridCol w:w="3667"/>
        <w:gridCol w:w="1369"/>
      </w:tblGrid>
      <w:tr w14:paraId="0147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Align w:val="center"/>
          </w:tcPr>
          <w:p w14:paraId="5B9E3D1B">
            <w:pPr>
              <w:pStyle w:val="190"/>
              <w:rPr>
                <w:rFonts w:hint="eastAsia"/>
                <w:kern w:val="2"/>
                <w:szCs w:val="22"/>
              </w:rPr>
            </w:pPr>
          </w:p>
        </w:tc>
        <w:tc>
          <w:tcPr>
            <w:tcW w:w="1282" w:type="pct"/>
            <w:vAlign w:val="center"/>
          </w:tcPr>
          <w:p w14:paraId="609B1624">
            <w:pPr>
              <w:pStyle w:val="190"/>
              <w:rPr>
                <w:rFonts w:hint="eastAsia"/>
                <w:kern w:val="2"/>
                <w:szCs w:val="22"/>
              </w:rPr>
            </w:pPr>
            <w:r>
              <w:rPr>
                <w:kern w:val="2"/>
                <w:szCs w:val="22"/>
              </w:rPr>
              <w:t>装置、单元名称</w:t>
            </w:r>
          </w:p>
        </w:tc>
        <w:tc>
          <w:tcPr>
            <w:tcW w:w="2156" w:type="pct"/>
            <w:vAlign w:val="center"/>
          </w:tcPr>
          <w:p w14:paraId="38AD3B0B">
            <w:pPr>
              <w:pStyle w:val="190"/>
              <w:rPr>
                <w:rFonts w:hint="eastAsia"/>
                <w:kern w:val="2"/>
                <w:szCs w:val="22"/>
              </w:rPr>
            </w:pPr>
            <w:r>
              <w:rPr>
                <w:kern w:val="2"/>
                <w:szCs w:val="22"/>
              </w:rPr>
              <w:t>污染防治区域及部位</w:t>
            </w:r>
          </w:p>
        </w:tc>
        <w:tc>
          <w:tcPr>
            <w:tcW w:w="805" w:type="pct"/>
            <w:vAlign w:val="center"/>
          </w:tcPr>
          <w:p w14:paraId="68BEF846">
            <w:pPr>
              <w:pStyle w:val="190"/>
              <w:rPr>
                <w:rFonts w:hint="eastAsia"/>
                <w:kern w:val="2"/>
                <w:szCs w:val="22"/>
              </w:rPr>
            </w:pPr>
            <w:r>
              <w:rPr>
                <w:kern w:val="2"/>
                <w:szCs w:val="22"/>
              </w:rPr>
              <w:t>分区类别</w:t>
            </w:r>
          </w:p>
        </w:tc>
      </w:tr>
      <w:tr w14:paraId="5923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restart"/>
            <w:vAlign w:val="center"/>
          </w:tcPr>
          <w:p w14:paraId="30642F1F">
            <w:pPr>
              <w:pStyle w:val="190"/>
              <w:rPr>
                <w:rFonts w:hint="eastAsia"/>
                <w:kern w:val="2"/>
                <w:szCs w:val="22"/>
              </w:rPr>
            </w:pPr>
            <w:r>
              <w:rPr>
                <w:kern w:val="2"/>
                <w:szCs w:val="22"/>
              </w:rPr>
              <w:t>装置区</w:t>
            </w:r>
          </w:p>
        </w:tc>
        <w:tc>
          <w:tcPr>
            <w:tcW w:w="1282" w:type="pct"/>
            <w:vAlign w:val="center"/>
          </w:tcPr>
          <w:p w14:paraId="0E708F55">
            <w:pPr>
              <w:pStyle w:val="190"/>
              <w:rPr>
                <w:rFonts w:hint="eastAsia"/>
                <w:kern w:val="2"/>
                <w:szCs w:val="22"/>
              </w:rPr>
            </w:pPr>
            <w:r>
              <w:rPr>
                <w:kern w:val="2"/>
                <w:szCs w:val="22"/>
              </w:rPr>
              <w:t>地下管道</w:t>
            </w:r>
          </w:p>
        </w:tc>
        <w:tc>
          <w:tcPr>
            <w:tcW w:w="2156" w:type="pct"/>
            <w:vAlign w:val="center"/>
          </w:tcPr>
          <w:p w14:paraId="0F377168">
            <w:pPr>
              <w:pStyle w:val="190"/>
              <w:rPr>
                <w:rFonts w:hint="eastAsia"/>
                <w:kern w:val="2"/>
                <w:szCs w:val="22"/>
              </w:rPr>
            </w:pPr>
            <w:r>
              <w:rPr>
                <w:szCs w:val="22"/>
              </w:rPr>
              <w:t>生产污水、污油、各种废溶剂等地下管道</w:t>
            </w:r>
          </w:p>
        </w:tc>
        <w:tc>
          <w:tcPr>
            <w:tcW w:w="805" w:type="pct"/>
            <w:vAlign w:val="center"/>
          </w:tcPr>
          <w:p w14:paraId="5D06637B">
            <w:pPr>
              <w:pStyle w:val="190"/>
              <w:rPr>
                <w:rFonts w:hint="eastAsia"/>
                <w:kern w:val="2"/>
                <w:szCs w:val="22"/>
              </w:rPr>
            </w:pPr>
            <w:r>
              <w:rPr>
                <w:kern w:val="2"/>
                <w:szCs w:val="22"/>
              </w:rPr>
              <w:t>重点</w:t>
            </w:r>
          </w:p>
        </w:tc>
      </w:tr>
      <w:tr w14:paraId="2EEF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3A47026F">
            <w:pPr>
              <w:pStyle w:val="190"/>
              <w:rPr>
                <w:rFonts w:hint="eastAsia"/>
                <w:kern w:val="2"/>
                <w:szCs w:val="22"/>
              </w:rPr>
            </w:pPr>
          </w:p>
        </w:tc>
        <w:tc>
          <w:tcPr>
            <w:tcW w:w="1282" w:type="pct"/>
            <w:vAlign w:val="center"/>
          </w:tcPr>
          <w:p w14:paraId="5135369D">
            <w:pPr>
              <w:pStyle w:val="190"/>
              <w:rPr>
                <w:rFonts w:hint="eastAsia"/>
                <w:kern w:val="2"/>
                <w:szCs w:val="22"/>
              </w:rPr>
            </w:pPr>
            <w:r>
              <w:rPr>
                <w:kern w:val="2"/>
                <w:szCs w:val="22"/>
              </w:rPr>
              <w:t>生产污水井及各种污水池</w:t>
            </w:r>
          </w:p>
        </w:tc>
        <w:tc>
          <w:tcPr>
            <w:tcW w:w="2156" w:type="pct"/>
            <w:vAlign w:val="center"/>
          </w:tcPr>
          <w:p w14:paraId="017CFA28">
            <w:pPr>
              <w:pStyle w:val="190"/>
              <w:rPr>
                <w:rFonts w:hint="eastAsia"/>
                <w:szCs w:val="22"/>
              </w:rPr>
            </w:pPr>
            <w:r>
              <w:rPr>
                <w:szCs w:val="22"/>
              </w:rPr>
              <w:t>生产污水的检查井、水封井、渗漏液检查井、污水池底板及壁板</w:t>
            </w:r>
          </w:p>
        </w:tc>
        <w:tc>
          <w:tcPr>
            <w:tcW w:w="805" w:type="pct"/>
            <w:vAlign w:val="center"/>
          </w:tcPr>
          <w:p w14:paraId="32959132">
            <w:pPr>
              <w:pStyle w:val="190"/>
              <w:rPr>
                <w:rFonts w:hint="eastAsia"/>
                <w:kern w:val="2"/>
                <w:szCs w:val="22"/>
              </w:rPr>
            </w:pPr>
            <w:r>
              <w:rPr>
                <w:kern w:val="2"/>
                <w:szCs w:val="22"/>
              </w:rPr>
              <w:t>重点</w:t>
            </w:r>
          </w:p>
        </w:tc>
      </w:tr>
      <w:tr w14:paraId="254A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79584B4">
            <w:pPr>
              <w:pStyle w:val="190"/>
              <w:rPr>
                <w:rFonts w:hint="eastAsia"/>
                <w:kern w:val="2"/>
                <w:szCs w:val="22"/>
              </w:rPr>
            </w:pPr>
          </w:p>
        </w:tc>
        <w:tc>
          <w:tcPr>
            <w:tcW w:w="1282" w:type="pct"/>
            <w:vAlign w:val="center"/>
          </w:tcPr>
          <w:p w14:paraId="4E10BF79">
            <w:pPr>
              <w:pStyle w:val="190"/>
              <w:rPr>
                <w:rFonts w:hint="eastAsia"/>
                <w:kern w:val="2"/>
                <w:szCs w:val="22"/>
              </w:rPr>
            </w:pPr>
            <w:r>
              <w:rPr>
                <w:kern w:val="2"/>
                <w:szCs w:val="22"/>
              </w:rPr>
              <w:t>生产污水预处理</w:t>
            </w:r>
          </w:p>
        </w:tc>
        <w:tc>
          <w:tcPr>
            <w:tcW w:w="2156" w:type="pct"/>
            <w:vAlign w:val="center"/>
          </w:tcPr>
          <w:p w14:paraId="738E7173">
            <w:pPr>
              <w:pStyle w:val="190"/>
              <w:rPr>
                <w:rFonts w:hint="eastAsia"/>
                <w:szCs w:val="22"/>
              </w:rPr>
            </w:pPr>
            <w:r>
              <w:rPr>
                <w:kern w:val="2"/>
                <w:szCs w:val="22"/>
              </w:rPr>
              <w:t>生产污水预处理池的</w:t>
            </w:r>
            <w:r>
              <w:rPr>
                <w:szCs w:val="22"/>
              </w:rPr>
              <w:t>底板及壁板</w:t>
            </w:r>
          </w:p>
        </w:tc>
        <w:tc>
          <w:tcPr>
            <w:tcW w:w="805" w:type="pct"/>
            <w:vAlign w:val="center"/>
          </w:tcPr>
          <w:p w14:paraId="3AA34994">
            <w:pPr>
              <w:pStyle w:val="190"/>
              <w:rPr>
                <w:rFonts w:hint="eastAsia"/>
                <w:kern w:val="2"/>
                <w:szCs w:val="22"/>
              </w:rPr>
            </w:pPr>
            <w:r>
              <w:rPr>
                <w:kern w:val="2"/>
                <w:szCs w:val="22"/>
              </w:rPr>
              <w:t>重点</w:t>
            </w:r>
          </w:p>
        </w:tc>
      </w:tr>
      <w:tr w14:paraId="2084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396557F2">
            <w:pPr>
              <w:pStyle w:val="190"/>
              <w:rPr>
                <w:rFonts w:hint="eastAsia"/>
                <w:kern w:val="2"/>
                <w:szCs w:val="22"/>
              </w:rPr>
            </w:pPr>
          </w:p>
        </w:tc>
        <w:tc>
          <w:tcPr>
            <w:tcW w:w="1282" w:type="pct"/>
            <w:vAlign w:val="center"/>
          </w:tcPr>
          <w:p w14:paraId="7FEBAC03">
            <w:pPr>
              <w:pStyle w:val="190"/>
              <w:rPr>
                <w:rFonts w:hint="eastAsia"/>
                <w:kern w:val="2"/>
                <w:szCs w:val="22"/>
              </w:rPr>
            </w:pPr>
            <w:r>
              <w:rPr>
                <w:kern w:val="2"/>
                <w:szCs w:val="22"/>
              </w:rPr>
              <w:t>生产污水沟</w:t>
            </w:r>
          </w:p>
        </w:tc>
        <w:tc>
          <w:tcPr>
            <w:tcW w:w="2156" w:type="pct"/>
            <w:vAlign w:val="center"/>
          </w:tcPr>
          <w:p w14:paraId="0F32EBC6">
            <w:pPr>
              <w:pStyle w:val="190"/>
              <w:rPr>
                <w:rFonts w:hint="eastAsia"/>
                <w:kern w:val="2"/>
                <w:szCs w:val="22"/>
              </w:rPr>
            </w:pPr>
            <w:r>
              <w:rPr>
                <w:kern w:val="2"/>
                <w:szCs w:val="22"/>
              </w:rPr>
              <w:t>机泵边沟、油站、除盐水站边沟和生产污水明沟的</w:t>
            </w:r>
            <w:r>
              <w:rPr>
                <w:szCs w:val="22"/>
              </w:rPr>
              <w:t>底板及壁板</w:t>
            </w:r>
          </w:p>
        </w:tc>
        <w:tc>
          <w:tcPr>
            <w:tcW w:w="805" w:type="pct"/>
            <w:vAlign w:val="center"/>
          </w:tcPr>
          <w:p w14:paraId="2F8BC7FF">
            <w:pPr>
              <w:pStyle w:val="190"/>
              <w:rPr>
                <w:rFonts w:hint="eastAsia"/>
                <w:kern w:val="2"/>
                <w:szCs w:val="22"/>
              </w:rPr>
            </w:pPr>
            <w:r>
              <w:rPr>
                <w:kern w:val="2"/>
                <w:szCs w:val="22"/>
              </w:rPr>
              <w:t>一般</w:t>
            </w:r>
          </w:p>
        </w:tc>
      </w:tr>
      <w:tr w14:paraId="3195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restart"/>
            <w:vAlign w:val="center"/>
          </w:tcPr>
          <w:p w14:paraId="10ECC68A">
            <w:pPr>
              <w:pStyle w:val="190"/>
              <w:rPr>
                <w:rFonts w:hint="eastAsia"/>
                <w:kern w:val="2"/>
                <w:szCs w:val="22"/>
              </w:rPr>
            </w:pPr>
            <w:r>
              <w:rPr>
                <w:kern w:val="2"/>
                <w:szCs w:val="22"/>
              </w:rPr>
              <w:t>储运工程</w:t>
            </w:r>
          </w:p>
        </w:tc>
        <w:tc>
          <w:tcPr>
            <w:tcW w:w="1282" w:type="pct"/>
            <w:vMerge w:val="restart"/>
            <w:vAlign w:val="center"/>
          </w:tcPr>
          <w:p w14:paraId="66894D95">
            <w:pPr>
              <w:pStyle w:val="190"/>
              <w:rPr>
                <w:rFonts w:hint="eastAsia"/>
                <w:kern w:val="2"/>
                <w:szCs w:val="22"/>
              </w:rPr>
            </w:pPr>
            <w:r>
              <w:rPr>
                <w:kern w:val="2"/>
                <w:szCs w:val="22"/>
              </w:rPr>
              <w:t>储罐区</w:t>
            </w:r>
          </w:p>
        </w:tc>
        <w:tc>
          <w:tcPr>
            <w:tcW w:w="2156" w:type="pct"/>
            <w:vAlign w:val="center"/>
          </w:tcPr>
          <w:p w14:paraId="3C7248D6">
            <w:pPr>
              <w:pStyle w:val="190"/>
              <w:rPr>
                <w:rFonts w:hint="eastAsia"/>
                <w:kern w:val="2"/>
                <w:szCs w:val="22"/>
              </w:rPr>
            </w:pPr>
            <w:r>
              <w:rPr>
                <w:szCs w:val="22"/>
              </w:rPr>
              <w:t>环墙式和护坡式罐基础</w:t>
            </w:r>
          </w:p>
        </w:tc>
        <w:tc>
          <w:tcPr>
            <w:tcW w:w="805" w:type="pct"/>
            <w:vAlign w:val="center"/>
          </w:tcPr>
          <w:p w14:paraId="07610F50">
            <w:pPr>
              <w:pStyle w:val="190"/>
              <w:rPr>
                <w:rFonts w:hint="eastAsia"/>
                <w:kern w:val="2"/>
                <w:szCs w:val="22"/>
              </w:rPr>
            </w:pPr>
            <w:r>
              <w:rPr>
                <w:kern w:val="2"/>
                <w:szCs w:val="22"/>
              </w:rPr>
              <w:t>重点</w:t>
            </w:r>
          </w:p>
        </w:tc>
      </w:tr>
      <w:tr w14:paraId="4501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3FF5A18">
            <w:pPr>
              <w:pStyle w:val="190"/>
              <w:rPr>
                <w:rFonts w:hint="eastAsia"/>
                <w:kern w:val="2"/>
                <w:szCs w:val="22"/>
              </w:rPr>
            </w:pPr>
          </w:p>
        </w:tc>
        <w:tc>
          <w:tcPr>
            <w:tcW w:w="1282" w:type="pct"/>
            <w:vMerge w:val="continue"/>
            <w:vAlign w:val="center"/>
          </w:tcPr>
          <w:p w14:paraId="363029F4">
            <w:pPr>
              <w:pStyle w:val="190"/>
              <w:rPr>
                <w:rFonts w:hint="eastAsia"/>
                <w:kern w:val="2"/>
                <w:szCs w:val="22"/>
              </w:rPr>
            </w:pPr>
          </w:p>
        </w:tc>
        <w:tc>
          <w:tcPr>
            <w:tcW w:w="2156" w:type="pct"/>
            <w:vAlign w:val="center"/>
          </w:tcPr>
          <w:p w14:paraId="70C64A4F">
            <w:pPr>
              <w:pStyle w:val="190"/>
              <w:rPr>
                <w:rFonts w:hint="eastAsia"/>
                <w:kern w:val="2"/>
                <w:szCs w:val="22"/>
              </w:rPr>
            </w:pPr>
            <w:r>
              <w:rPr>
                <w:szCs w:val="22"/>
              </w:rPr>
              <w:t>承台式罐基础</w:t>
            </w:r>
          </w:p>
        </w:tc>
        <w:tc>
          <w:tcPr>
            <w:tcW w:w="805" w:type="pct"/>
            <w:vAlign w:val="center"/>
          </w:tcPr>
          <w:p w14:paraId="021D9C48">
            <w:pPr>
              <w:pStyle w:val="190"/>
              <w:rPr>
                <w:rFonts w:hint="eastAsia"/>
                <w:kern w:val="2"/>
                <w:szCs w:val="22"/>
              </w:rPr>
            </w:pPr>
            <w:r>
              <w:rPr>
                <w:kern w:val="2"/>
                <w:szCs w:val="22"/>
              </w:rPr>
              <w:t>一般</w:t>
            </w:r>
          </w:p>
        </w:tc>
      </w:tr>
      <w:tr w14:paraId="3EEC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5AF722E2">
            <w:pPr>
              <w:pStyle w:val="190"/>
              <w:rPr>
                <w:rFonts w:hint="eastAsia"/>
                <w:kern w:val="2"/>
                <w:szCs w:val="22"/>
              </w:rPr>
            </w:pPr>
          </w:p>
        </w:tc>
        <w:tc>
          <w:tcPr>
            <w:tcW w:w="1282" w:type="pct"/>
            <w:vMerge w:val="continue"/>
            <w:vAlign w:val="center"/>
          </w:tcPr>
          <w:p w14:paraId="5602238C">
            <w:pPr>
              <w:pStyle w:val="190"/>
              <w:rPr>
                <w:rFonts w:hint="eastAsia"/>
                <w:kern w:val="2"/>
                <w:szCs w:val="22"/>
              </w:rPr>
            </w:pPr>
          </w:p>
        </w:tc>
        <w:tc>
          <w:tcPr>
            <w:tcW w:w="2156" w:type="pct"/>
            <w:vAlign w:val="center"/>
          </w:tcPr>
          <w:p w14:paraId="2B1A9DD5">
            <w:pPr>
              <w:pStyle w:val="190"/>
              <w:rPr>
                <w:rFonts w:hint="eastAsia"/>
                <w:kern w:val="2"/>
                <w:szCs w:val="22"/>
              </w:rPr>
            </w:pPr>
            <w:r>
              <w:rPr>
                <w:szCs w:val="22"/>
              </w:rPr>
              <w:t>储罐到防火堤之间的地面及防火堤</w:t>
            </w:r>
          </w:p>
        </w:tc>
        <w:tc>
          <w:tcPr>
            <w:tcW w:w="805" w:type="pct"/>
            <w:vAlign w:val="center"/>
          </w:tcPr>
          <w:p w14:paraId="3725C467">
            <w:pPr>
              <w:pStyle w:val="190"/>
              <w:rPr>
                <w:rFonts w:hint="eastAsia"/>
                <w:kern w:val="2"/>
                <w:szCs w:val="22"/>
              </w:rPr>
            </w:pPr>
            <w:r>
              <w:rPr>
                <w:kern w:val="2"/>
                <w:szCs w:val="22"/>
              </w:rPr>
              <w:t>一般</w:t>
            </w:r>
          </w:p>
        </w:tc>
      </w:tr>
      <w:tr w14:paraId="0D8B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11829F2B">
            <w:pPr>
              <w:pStyle w:val="190"/>
              <w:rPr>
                <w:rFonts w:hint="eastAsia"/>
                <w:kern w:val="2"/>
                <w:szCs w:val="22"/>
              </w:rPr>
            </w:pPr>
          </w:p>
        </w:tc>
        <w:tc>
          <w:tcPr>
            <w:tcW w:w="1282" w:type="pct"/>
            <w:vAlign w:val="center"/>
          </w:tcPr>
          <w:p w14:paraId="5B20F821">
            <w:pPr>
              <w:pStyle w:val="190"/>
              <w:rPr>
                <w:rFonts w:hint="eastAsia"/>
                <w:kern w:val="2"/>
                <w:szCs w:val="22"/>
              </w:rPr>
            </w:pPr>
            <w:r>
              <w:rPr>
                <w:kern w:val="2"/>
                <w:szCs w:val="22"/>
              </w:rPr>
              <w:t>油泵及油品计量站</w:t>
            </w:r>
          </w:p>
        </w:tc>
        <w:tc>
          <w:tcPr>
            <w:tcW w:w="2156" w:type="pct"/>
            <w:vAlign w:val="center"/>
          </w:tcPr>
          <w:p w14:paraId="1ADBFD15">
            <w:pPr>
              <w:pStyle w:val="190"/>
              <w:rPr>
                <w:rFonts w:hint="eastAsia"/>
                <w:szCs w:val="22"/>
              </w:rPr>
            </w:pPr>
            <w:r>
              <w:rPr>
                <w:kern w:val="2"/>
                <w:szCs w:val="22"/>
              </w:rPr>
              <w:t>油泵及油品计量站界区内的地面</w:t>
            </w:r>
          </w:p>
        </w:tc>
        <w:tc>
          <w:tcPr>
            <w:tcW w:w="805" w:type="pct"/>
            <w:vAlign w:val="center"/>
          </w:tcPr>
          <w:p w14:paraId="0488C21C">
            <w:pPr>
              <w:pStyle w:val="190"/>
              <w:rPr>
                <w:rFonts w:hint="eastAsia"/>
                <w:kern w:val="2"/>
                <w:szCs w:val="22"/>
              </w:rPr>
            </w:pPr>
            <w:r>
              <w:rPr>
                <w:kern w:val="2"/>
                <w:szCs w:val="22"/>
              </w:rPr>
              <w:t>一般</w:t>
            </w:r>
          </w:p>
        </w:tc>
      </w:tr>
      <w:tr w14:paraId="16EA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35A7E313">
            <w:pPr>
              <w:pStyle w:val="190"/>
              <w:rPr>
                <w:rFonts w:hint="eastAsia"/>
                <w:kern w:val="2"/>
                <w:szCs w:val="22"/>
              </w:rPr>
            </w:pPr>
          </w:p>
        </w:tc>
        <w:tc>
          <w:tcPr>
            <w:tcW w:w="1282" w:type="pct"/>
            <w:vAlign w:val="center"/>
          </w:tcPr>
          <w:p w14:paraId="04BF1E22">
            <w:pPr>
              <w:pStyle w:val="190"/>
              <w:rPr>
                <w:rFonts w:hint="eastAsia"/>
                <w:kern w:val="2"/>
                <w:szCs w:val="22"/>
              </w:rPr>
            </w:pPr>
            <w:r>
              <w:rPr>
                <w:kern w:val="2"/>
                <w:szCs w:val="22"/>
              </w:rPr>
              <w:t>汽车装卸车</w:t>
            </w:r>
          </w:p>
        </w:tc>
        <w:tc>
          <w:tcPr>
            <w:tcW w:w="2156" w:type="pct"/>
            <w:vAlign w:val="center"/>
          </w:tcPr>
          <w:p w14:paraId="32F3A3BE">
            <w:pPr>
              <w:pStyle w:val="190"/>
              <w:rPr>
                <w:rFonts w:hint="eastAsia"/>
                <w:kern w:val="2"/>
                <w:szCs w:val="22"/>
              </w:rPr>
            </w:pPr>
            <w:r>
              <w:rPr>
                <w:kern w:val="2"/>
                <w:szCs w:val="22"/>
              </w:rPr>
              <w:t>装卸车栈台界区内的地面</w:t>
            </w:r>
          </w:p>
        </w:tc>
        <w:tc>
          <w:tcPr>
            <w:tcW w:w="805" w:type="pct"/>
            <w:vAlign w:val="center"/>
          </w:tcPr>
          <w:p w14:paraId="47DD7C00">
            <w:pPr>
              <w:pStyle w:val="190"/>
              <w:rPr>
                <w:rFonts w:hint="eastAsia"/>
                <w:kern w:val="2"/>
                <w:szCs w:val="22"/>
              </w:rPr>
            </w:pPr>
            <w:r>
              <w:rPr>
                <w:kern w:val="2"/>
                <w:szCs w:val="22"/>
              </w:rPr>
              <w:t>一般</w:t>
            </w:r>
          </w:p>
        </w:tc>
      </w:tr>
      <w:tr w14:paraId="7A50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D8E6E9F">
            <w:pPr>
              <w:pStyle w:val="190"/>
              <w:rPr>
                <w:rFonts w:hint="eastAsia"/>
                <w:kern w:val="2"/>
                <w:szCs w:val="22"/>
              </w:rPr>
            </w:pPr>
          </w:p>
        </w:tc>
        <w:tc>
          <w:tcPr>
            <w:tcW w:w="1282" w:type="pct"/>
            <w:vAlign w:val="center"/>
          </w:tcPr>
          <w:p w14:paraId="6C369F67">
            <w:pPr>
              <w:pStyle w:val="190"/>
              <w:rPr>
                <w:rFonts w:hint="eastAsia"/>
                <w:kern w:val="2"/>
                <w:szCs w:val="22"/>
              </w:rPr>
            </w:pPr>
            <w:r>
              <w:rPr>
                <w:kern w:val="2"/>
                <w:szCs w:val="22"/>
              </w:rPr>
              <w:t>地下管道</w:t>
            </w:r>
          </w:p>
        </w:tc>
        <w:tc>
          <w:tcPr>
            <w:tcW w:w="2156" w:type="pct"/>
            <w:vAlign w:val="center"/>
          </w:tcPr>
          <w:p w14:paraId="068E23DD">
            <w:pPr>
              <w:pStyle w:val="190"/>
              <w:rPr>
                <w:rFonts w:hint="eastAsia"/>
                <w:kern w:val="2"/>
                <w:szCs w:val="22"/>
              </w:rPr>
            </w:pPr>
            <w:r>
              <w:rPr>
                <w:szCs w:val="22"/>
              </w:rPr>
              <w:t>生产污水、污油、废溶剂等地下管道</w:t>
            </w:r>
          </w:p>
        </w:tc>
        <w:tc>
          <w:tcPr>
            <w:tcW w:w="805" w:type="pct"/>
            <w:vAlign w:val="center"/>
          </w:tcPr>
          <w:p w14:paraId="16028910">
            <w:pPr>
              <w:pStyle w:val="190"/>
              <w:rPr>
                <w:rFonts w:hint="eastAsia"/>
                <w:kern w:val="2"/>
                <w:szCs w:val="22"/>
              </w:rPr>
            </w:pPr>
            <w:r>
              <w:rPr>
                <w:kern w:val="2"/>
                <w:szCs w:val="22"/>
              </w:rPr>
              <w:t>重点</w:t>
            </w:r>
          </w:p>
        </w:tc>
      </w:tr>
      <w:tr w14:paraId="421F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0E608C8C">
            <w:pPr>
              <w:pStyle w:val="190"/>
              <w:rPr>
                <w:rFonts w:hint="eastAsia"/>
                <w:kern w:val="2"/>
                <w:szCs w:val="22"/>
              </w:rPr>
            </w:pPr>
          </w:p>
        </w:tc>
        <w:tc>
          <w:tcPr>
            <w:tcW w:w="1282" w:type="pct"/>
            <w:vAlign w:val="center"/>
          </w:tcPr>
          <w:p w14:paraId="28FC804C">
            <w:pPr>
              <w:pStyle w:val="190"/>
              <w:rPr>
                <w:rFonts w:hint="eastAsia"/>
                <w:kern w:val="2"/>
                <w:szCs w:val="22"/>
              </w:rPr>
            </w:pPr>
            <w:r>
              <w:rPr>
                <w:kern w:val="2"/>
                <w:szCs w:val="22"/>
              </w:rPr>
              <w:t>系统管廊</w:t>
            </w:r>
          </w:p>
        </w:tc>
        <w:tc>
          <w:tcPr>
            <w:tcW w:w="2156" w:type="pct"/>
            <w:vAlign w:val="center"/>
          </w:tcPr>
          <w:p w14:paraId="79D2A83E">
            <w:pPr>
              <w:pStyle w:val="190"/>
              <w:rPr>
                <w:rFonts w:hint="eastAsia"/>
                <w:kern w:val="2"/>
                <w:szCs w:val="22"/>
              </w:rPr>
            </w:pPr>
            <w:r>
              <w:rPr>
                <w:kern w:val="2"/>
                <w:szCs w:val="22"/>
              </w:rPr>
              <w:t>系统管廊集中阀门区的地面</w:t>
            </w:r>
          </w:p>
        </w:tc>
        <w:tc>
          <w:tcPr>
            <w:tcW w:w="805" w:type="pct"/>
            <w:vAlign w:val="center"/>
          </w:tcPr>
          <w:p w14:paraId="218D3B0D">
            <w:pPr>
              <w:pStyle w:val="190"/>
              <w:rPr>
                <w:rFonts w:hint="eastAsia"/>
                <w:kern w:val="2"/>
                <w:szCs w:val="22"/>
              </w:rPr>
            </w:pPr>
            <w:r>
              <w:rPr>
                <w:kern w:val="2"/>
                <w:szCs w:val="22"/>
              </w:rPr>
              <w:t>一般</w:t>
            </w:r>
          </w:p>
        </w:tc>
      </w:tr>
      <w:tr w14:paraId="5342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restart"/>
            <w:vAlign w:val="center"/>
          </w:tcPr>
          <w:p w14:paraId="3FBBFD56">
            <w:pPr>
              <w:pStyle w:val="190"/>
              <w:rPr>
                <w:rFonts w:hint="eastAsia"/>
                <w:kern w:val="2"/>
                <w:szCs w:val="22"/>
              </w:rPr>
            </w:pPr>
            <w:r>
              <w:rPr>
                <w:kern w:val="2"/>
                <w:szCs w:val="22"/>
              </w:rPr>
              <w:t>化学水处理站</w:t>
            </w:r>
          </w:p>
        </w:tc>
        <w:tc>
          <w:tcPr>
            <w:tcW w:w="1282" w:type="pct"/>
            <w:vMerge w:val="restart"/>
            <w:vAlign w:val="center"/>
          </w:tcPr>
          <w:p w14:paraId="29F2930D">
            <w:pPr>
              <w:pStyle w:val="190"/>
              <w:rPr>
                <w:rFonts w:hint="eastAsia"/>
                <w:kern w:val="2"/>
                <w:szCs w:val="22"/>
              </w:rPr>
            </w:pPr>
            <w:r>
              <w:rPr>
                <w:kern w:val="2"/>
                <w:szCs w:val="22"/>
              </w:rPr>
              <w:t>酸碱罐区</w:t>
            </w:r>
          </w:p>
        </w:tc>
        <w:tc>
          <w:tcPr>
            <w:tcW w:w="2156" w:type="pct"/>
            <w:vAlign w:val="center"/>
          </w:tcPr>
          <w:p w14:paraId="5A002626">
            <w:pPr>
              <w:pStyle w:val="190"/>
              <w:rPr>
                <w:rFonts w:hint="eastAsia"/>
                <w:kern w:val="2"/>
                <w:szCs w:val="22"/>
              </w:rPr>
            </w:pPr>
            <w:r>
              <w:rPr>
                <w:szCs w:val="22"/>
              </w:rPr>
              <w:t>环墙式和护坡式罐基础</w:t>
            </w:r>
          </w:p>
        </w:tc>
        <w:tc>
          <w:tcPr>
            <w:tcW w:w="805" w:type="pct"/>
            <w:vAlign w:val="center"/>
          </w:tcPr>
          <w:p w14:paraId="52C46422">
            <w:pPr>
              <w:pStyle w:val="190"/>
              <w:rPr>
                <w:rFonts w:hint="eastAsia"/>
                <w:kern w:val="2"/>
                <w:szCs w:val="22"/>
              </w:rPr>
            </w:pPr>
            <w:r>
              <w:rPr>
                <w:kern w:val="2"/>
                <w:szCs w:val="22"/>
              </w:rPr>
              <w:t>重点</w:t>
            </w:r>
          </w:p>
        </w:tc>
      </w:tr>
      <w:tr w14:paraId="27E7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31CAA91E">
            <w:pPr>
              <w:pStyle w:val="190"/>
              <w:rPr>
                <w:rFonts w:hint="eastAsia"/>
                <w:kern w:val="2"/>
                <w:szCs w:val="22"/>
              </w:rPr>
            </w:pPr>
          </w:p>
        </w:tc>
        <w:tc>
          <w:tcPr>
            <w:tcW w:w="1282" w:type="pct"/>
            <w:vMerge w:val="continue"/>
            <w:vAlign w:val="center"/>
          </w:tcPr>
          <w:p w14:paraId="46C6C036">
            <w:pPr>
              <w:pStyle w:val="190"/>
              <w:rPr>
                <w:rFonts w:hint="eastAsia"/>
                <w:kern w:val="2"/>
                <w:szCs w:val="22"/>
              </w:rPr>
            </w:pPr>
          </w:p>
        </w:tc>
        <w:tc>
          <w:tcPr>
            <w:tcW w:w="2156" w:type="pct"/>
            <w:vAlign w:val="center"/>
          </w:tcPr>
          <w:p w14:paraId="51C8A910">
            <w:pPr>
              <w:pStyle w:val="190"/>
              <w:rPr>
                <w:rFonts w:hint="eastAsia"/>
                <w:kern w:val="2"/>
                <w:szCs w:val="22"/>
              </w:rPr>
            </w:pPr>
            <w:r>
              <w:rPr>
                <w:szCs w:val="22"/>
              </w:rPr>
              <w:t>承台式罐基础</w:t>
            </w:r>
          </w:p>
        </w:tc>
        <w:tc>
          <w:tcPr>
            <w:tcW w:w="805" w:type="pct"/>
            <w:vAlign w:val="center"/>
          </w:tcPr>
          <w:p w14:paraId="1A0AB5AA">
            <w:pPr>
              <w:pStyle w:val="190"/>
              <w:rPr>
                <w:rFonts w:hint="eastAsia"/>
                <w:kern w:val="2"/>
                <w:szCs w:val="22"/>
              </w:rPr>
            </w:pPr>
            <w:r>
              <w:rPr>
                <w:kern w:val="2"/>
                <w:szCs w:val="22"/>
              </w:rPr>
              <w:t>一般</w:t>
            </w:r>
          </w:p>
        </w:tc>
      </w:tr>
      <w:tr w14:paraId="1ECE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07C8042E">
            <w:pPr>
              <w:pStyle w:val="190"/>
              <w:rPr>
                <w:rFonts w:hint="eastAsia"/>
                <w:kern w:val="2"/>
                <w:szCs w:val="22"/>
              </w:rPr>
            </w:pPr>
          </w:p>
        </w:tc>
        <w:tc>
          <w:tcPr>
            <w:tcW w:w="1282" w:type="pct"/>
            <w:vMerge w:val="continue"/>
            <w:vAlign w:val="center"/>
          </w:tcPr>
          <w:p w14:paraId="1F5508E4">
            <w:pPr>
              <w:pStyle w:val="190"/>
              <w:rPr>
                <w:rFonts w:hint="eastAsia"/>
                <w:kern w:val="2"/>
                <w:szCs w:val="22"/>
              </w:rPr>
            </w:pPr>
          </w:p>
        </w:tc>
        <w:tc>
          <w:tcPr>
            <w:tcW w:w="2156" w:type="pct"/>
            <w:vAlign w:val="center"/>
          </w:tcPr>
          <w:p w14:paraId="1C42E4CD">
            <w:pPr>
              <w:pStyle w:val="190"/>
              <w:rPr>
                <w:rFonts w:hint="eastAsia"/>
                <w:kern w:val="2"/>
                <w:szCs w:val="22"/>
              </w:rPr>
            </w:pPr>
            <w:r>
              <w:rPr>
                <w:szCs w:val="22"/>
              </w:rPr>
              <w:t>储罐到围堰之间的地面及围堰</w:t>
            </w:r>
          </w:p>
        </w:tc>
        <w:tc>
          <w:tcPr>
            <w:tcW w:w="805" w:type="pct"/>
            <w:vAlign w:val="center"/>
          </w:tcPr>
          <w:p w14:paraId="4D505B5F">
            <w:pPr>
              <w:pStyle w:val="190"/>
              <w:rPr>
                <w:rFonts w:hint="eastAsia"/>
                <w:kern w:val="2"/>
                <w:szCs w:val="22"/>
              </w:rPr>
            </w:pPr>
            <w:r>
              <w:rPr>
                <w:kern w:val="2"/>
                <w:szCs w:val="22"/>
              </w:rPr>
              <w:t>一般</w:t>
            </w:r>
          </w:p>
        </w:tc>
      </w:tr>
      <w:tr w14:paraId="2A2A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67058DA6">
            <w:pPr>
              <w:pStyle w:val="190"/>
              <w:rPr>
                <w:rFonts w:hint="eastAsia"/>
                <w:kern w:val="2"/>
                <w:szCs w:val="22"/>
              </w:rPr>
            </w:pPr>
          </w:p>
        </w:tc>
        <w:tc>
          <w:tcPr>
            <w:tcW w:w="1282" w:type="pct"/>
            <w:vAlign w:val="center"/>
          </w:tcPr>
          <w:p w14:paraId="5B17FD8F">
            <w:pPr>
              <w:pStyle w:val="190"/>
              <w:rPr>
                <w:rFonts w:hint="eastAsia"/>
                <w:kern w:val="2"/>
                <w:szCs w:val="22"/>
              </w:rPr>
            </w:pPr>
            <w:r>
              <w:rPr>
                <w:kern w:val="2"/>
                <w:szCs w:val="22"/>
              </w:rPr>
              <w:t>酸碱中和池及污水沟</w:t>
            </w:r>
          </w:p>
        </w:tc>
        <w:tc>
          <w:tcPr>
            <w:tcW w:w="2156" w:type="pct"/>
            <w:vAlign w:val="center"/>
          </w:tcPr>
          <w:p w14:paraId="42673223">
            <w:pPr>
              <w:pStyle w:val="190"/>
              <w:rPr>
                <w:rFonts w:hint="eastAsia"/>
                <w:szCs w:val="22"/>
              </w:rPr>
            </w:pPr>
            <w:r>
              <w:rPr>
                <w:szCs w:val="22"/>
              </w:rPr>
              <w:t>酸碱中和池的底板及壁板</w:t>
            </w:r>
          </w:p>
          <w:p w14:paraId="0BFB44BB">
            <w:pPr>
              <w:pStyle w:val="190"/>
              <w:rPr>
                <w:rFonts w:hint="eastAsia"/>
                <w:szCs w:val="22"/>
              </w:rPr>
            </w:pPr>
            <w:r>
              <w:rPr>
                <w:szCs w:val="22"/>
              </w:rPr>
              <w:t>污水沟的底板及壁板</w:t>
            </w:r>
          </w:p>
        </w:tc>
        <w:tc>
          <w:tcPr>
            <w:tcW w:w="805" w:type="pct"/>
            <w:vAlign w:val="center"/>
          </w:tcPr>
          <w:p w14:paraId="41886F82">
            <w:pPr>
              <w:pStyle w:val="190"/>
              <w:rPr>
                <w:rFonts w:hint="eastAsia"/>
                <w:kern w:val="2"/>
                <w:szCs w:val="22"/>
              </w:rPr>
            </w:pPr>
            <w:r>
              <w:rPr>
                <w:kern w:val="2"/>
                <w:szCs w:val="22"/>
              </w:rPr>
              <w:t>重点</w:t>
            </w:r>
          </w:p>
        </w:tc>
      </w:tr>
      <w:tr w14:paraId="64DD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0C38E41">
            <w:pPr>
              <w:pStyle w:val="190"/>
              <w:rPr>
                <w:rFonts w:hint="eastAsia"/>
                <w:kern w:val="2"/>
                <w:szCs w:val="22"/>
              </w:rPr>
            </w:pPr>
          </w:p>
        </w:tc>
        <w:tc>
          <w:tcPr>
            <w:tcW w:w="1282" w:type="pct"/>
            <w:vAlign w:val="center"/>
          </w:tcPr>
          <w:p w14:paraId="29352C55">
            <w:pPr>
              <w:pStyle w:val="190"/>
              <w:rPr>
                <w:rFonts w:hint="eastAsia"/>
                <w:kern w:val="2"/>
                <w:szCs w:val="22"/>
              </w:rPr>
            </w:pPr>
            <w:r>
              <w:rPr>
                <w:kern w:val="2"/>
                <w:szCs w:val="22"/>
              </w:rPr>
              <w:t>水处理厂房</w:t>
            </w:r>
          </w:p>
        </w:tc>
        <w:tc>
          <w:tcPr>
            <w:tcW w:w="2156" w:type="pct"/>
            <w:vAlign w:val="center"/>
          </w:tcPr>
          <w:p w14:paraId="77F26EC0">
            <w:pPr>
              <w:pStyle w:val="190"/>
              <w:rPr>
                <w:rFonts w:hint="eastAsia"/>
                <w:szCs w:val="22"/>
              </w:rPr>
            </w:pPr>
            <w:r>
              <w:rPr>
                <w:kern w:val="2"/>
                <w:szCs w:val="22"/>
              </w:rPr>
              <w:t>水处理厂房</w:t>
            </w:r>
            <w:r>
              <w:rPr>
                <w:szCs w:val="22"/>
              </w:rPr>
              <w:t>内的地面</w:t>
            </w:r>
          </w:p>
        </w:tc>
        <w:tc>
          <w:tcPr>
            <w:tcW w:w="805" w:type="pct"/>
            <w:vAlign w:val="center"/>
          </w:tcPr>
          <w:p w14:paraId="2A8FAC98">
            <w:pPr>
              <w:pStyle w:val="190"/>
              <w:rPr>
                <w:rFonts w:hint="eastAsia"/>
                <w:szCs w:val="22"/>
              </w:rPr>
            </w:pPr>
            <w:r>
              <w:rPr>
                <w:kern w:val="2"/>
                <w:szCs w:val="22"/>
              </w:rPr>
              <w:t>一般</w:t>
            </w:r>
          </w:p>
        </w:tc>
      </w:tr>
      <w:tr w14:paraId="3385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restart"/>
            <w:vAlign w:val="center"/>
          </w:tcPr>
          <w:p w14:paraId="0F21379C">
            <w:pPr>
              <w:pStyle w:val="190"/>
              <w:rPr>
                <w:rFonts w:hint="eastAsia"/>
                <w:kern w:val="2"/>
                <w:szCs w:val="22"/>
              </w:rPr>
            </w:pPr>
            <w:r>
              <w:rPr>
                <w:kern w:val="2"/>
                <w:szCs w:val="22"/>
              </w:rPr>
              <w:t>循环水</w:t>
            </w:r>
            <w:r>
              <w:rPr>
                <w:rFonts w:hint="eastAsia"/>
                <w:kern w:val="2"/>
                <w:szCs w:val="22"/>
              </w:rPr>
              <w:t>站</w:t>
            </w:r>
          </w:p>
        </w:tc>
        <w:tc>
          <w:tcPr>
            <w:tcW w:w="1282" w:type="pct"/>
            <w:vAlign w:val="center"/>
          </w:tcPr>
          <w:p w14:paraId="085F2195">
            <w:pPr>
              <w:pStyle w:val="190"/>
              <w:rPr>
                <w:rFonts w:hint="eastAsia"/>
                <w:kern w:val="2"/>
                <w:szCs w:val="22"/>
              </w:rPr>
            </w:pPr>
            <w:r>
              <w:rPr>
                <w:kern w:val="2"/>
                <w:szCs w:val="22"/>
              </w:rPr>
              <w:t>排污水池</w:t>
            </w:r>
          </w:p>
        </w:tc>
        <w:tc>
          <w:tcPr>
            <w:tcW w:w="2156" w:type="pct"/>
            <w:vAlign w:val="center"/>
          </w:tcPr>
          <w:p w14:paraId="449816AA">
            <w:pPr>
              <w:pStyle w:val="190"/>
              <w:rPr>
                <w:rFonts w:hint="eastAsia"/>
                <w:kern w:val="2"/>
                <w:szCs w:val="22"/>
              </w:rPr>
            </w:pPr>
            <w:r>
              <w:rPr>
                <w:kern w:val="2"/>
                <w:szCs w:val="22"/>
              </w:rPr>
              <w:t>排污水池</w:t>
            </w:r>
            <w:r>
              <w:rPr>
                <w:szCs w:val="22"/>
              </w:rPr>
              <w:t>的底板及壁板</w:t>
            </w:r>
          </w:p>
        </w:tc>
        <w:tc>
          <w:tcPr>
            <w:tcW w:w="805" w:type="pct"/>
            <w:vAlign w:val="center"/>
          </w:tcPr>
          <w:p w14:paraId="19AA40D1">
            <w:pPr>
              <w:pStyle w:val="190"/>
              <w:rPr>
                <w:rFonts w:hint="eastAsia"/>
                <w:kern w:val="2"/>
                <w:szCs w:val="22"/>
              </w:rPr>
            </w:pPr>
            <w:r>
              <w:rPr>
                <w:kern w:val="2"/>
                <w:szCs w:val="22"/>
              </w:rPr>
              <w:t>重点</w:t>
            </w:r>
          </w:p>
        </w:tc>
      </w:tr>
      <w:tr w14:paraId="2E19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1B56EB7F">
            <w:pPr>
              <w:pStyle w:val="190"/>
              <w:rPr>
                <w:rFonts w:hint="eastAsia"/>
                <w:kern w:val="2"/>
                <w:szCs w:val="22"/>
              </w:rPr>
            </w:pPr>
          </w:p>
        </w:tc>
        <w:tc>
          <w:tcPr>
            <w:tcW w:w="1282" w:type="pct"/>
            <w:vAlign w:val="center"/>
          </w:tcPr>
          <w:p w14:paraId="70952E2B">
            <w:pPr>
              <w:pStyle w:val="190"/>
              <w:rPr>
                <w:rFonts w:hint="eastAsia"/>
                <w:kern w:val="2"/>
                <w:szCs w:val="22"/>
              </w:rPr>
            </w:pPr>
            <w:r>
              <w:rPr>
                <w:kern w:val="2"/>
                <w:szCs w:val="22"/>
              </w:rPr>
              <w:t>冷却塔底水池及吸水池</w:t>
            </w:r>
          </w:p>
        </w:tc>
        <w:tc>
          <w:tcPr>
            <w:tcW w:w="2156" w:type="pct"/>
            <w:vAlign w:val="center"/>
          </w:tcPr>
          <w:p w14:paraId="261908F4">
            <w:pPr>
              <w:pStyle w:val="190"/>
              <w:rPr>
                <w:rFonts w:hint="eastAsia"/>
                <w:kern w:val="2"/>
                <w:szCs w:val="22"/>
              </w:rPr>
            </w:pPr>
            <w:r>
              <w:rPr>
                <w:kern w:val="2"/>
                <w:szCs w:val="22"/>
              </w:rPr>
              <w:t>冷却塔底水池及吸水池</w:t>
            </w:r>
            <w:r>
              <w:rPr>
                <w:szCs w:val="22"/>
              </w:rPr>
              <w:t>的底板及壁板</w:t>
            </w:r>
          </w:p>
        </w:tc>
        <w:tc>
          <w:tcPr>
            <w:tcW w:w="805" w:type="pct"/>
            <w:vAlign w:val="center"/>
          </w:tcPr>
          <w:p w14:paraId="297950AF">
            <w:pPr>
              <w:pStyle w:val="190"/>
              <w:rPr>
                <w:rFonts w:hint="eastAsia"/>
                <w:kern w:val="2"/>
                <w:szCs w:val="22"/>
              </w:rPr>
            </w:pPr>
            <w:r>
              <w:rPr>
                <w:kern w:val="2"/>
                <w:szCs w:val="22"/>
              </w:rPr>
              <w:t>一般</w:t>
            </w:r>
          </w:p>
        </w:tc>
      </w:tr>
      <w:tr w14:paraId="1FA5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12263113">
            <w:pPr>
              <w:pStyle w:val="190"/>
              <w:rPr>
                <w:rFonts w:hint="eastAsia"/>
                <w:kern w:val="2"/>
                <w:szCs w:val="22"/>
              </w:rPr>
            </w:pPr>
          </w:p>
        </w:tc>
        <w:tc>
          <w:tcPr>
            <w:tcW w:w="1282" w:type="pct"/>
            <w:vAlign w:val="center"/>
          </w:tcPr>
          <w:p w14:paraId="5E356B22">
            <w:pPr>
              <w:pStyle w:val="190"/>
              <w:rPr>
                <w:rFonts w:hint="eastAsia"/>
                <w:kern w:val="2"/>
                <w:szCs w:val="22"/>
              </w:rPr>
            </w:pPr>
            <w:r>
              <w:rPr>
                <w:kern w:val="2"/>
                <w:szCs w:val="22"/>
              </w:rPr>
              <w:t>加药间</w:t>
            </w:r>
          </w:p>
        </w:tc>
        <w:tc>
          <w:tcPr>
            <w:tcW w:w="2156" w:type="pct"/>
            <w:vAlign w:val="center"/>
          </w:tcPr>
          <w:p w14:paraId="425BF143">
            <w:pPr>
              <w:pStyle w:val="190"/>
              <w:rPr>
                <w:rFonts w:hint="eastAsia"/>
                <w:kern w:val="2"/>
                <w:szCs w:val="22"/>
              </w:rPr>
            </w:pPr>
            <w:r>
              <w:rPr>
                <w:kern w:val="2"/>
                <w:szCs w:val="22"/>
              </w:rPr>
              <w:t>房间内的地面</w:t>
            </w:r>
          </w:p>
        </w:tc>
        <w:tc>
          <w:tcPr>
            <w:tcW w:w="805" w:type="pct"/>
            <w:vAlign w:val="center"/>
          </w:tcPr>
          <w:p w14:paraId="5C435F1F">
            <w:pPr>
              <w:pStyle w:val="190"/>
              <w:rPr>
                <w:rFonts w:hint="eastAsia"/>
                <w:kern w:val="2"/>
                <w:szCs w:val="22"/>
              </w:rPr>
            </w:pPr>
            <w:r>
              <w:rPr>
                <w:kern w:val="2"/>
                <w:szCs w:val="22"/>
              </w:rPr>
              <w:t>一般</w:t>
            </w:r>
          </w:p>
        </w:tc>
      </w:tr>
      <w:tr w14:paraId="10BB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Align w:val="center"/>
          </w:tcPr>
          <w:p w14:paraId="185FB058">
            <w:pPr>
              <w:pStyle w:val="190"/>
              <w:rPr>
                <w:rFonts w:hint="eastAsia"/>
                <w:kern w:val="2"/>
                <w:szCs w:val="22"/>
              </w:rPr>
            </w:pPr>
            <w:r>
              <w:rPr>
                <w:kern w:val="2"/>
                <w:szCs w:val="22"/>
              </w:rPr>
              <w:t>事故水池</w:t>
            </w:r>
          </w:p>
        </w:tc>
        <w:tc>
          <w:tcPr>
            <w:tcW w:w="1282" w:type="pct"/>
            <w:vAlign w:val="center"/>
          </w:tcPr>
          <w:p w14:paraId="29FCE0A2">
            <w:pPr>
              <w:pStyle w:val="190"/>
              <w:rPr>
                <w:rFonts w:hint="eastAsia"/>
                <w:kern w:val="2"/>
                <w:szCs w:val="22"/>
              </w:rPr>
            </w:pPr>
            <w:r>
              <w:rPr>
                <w:kern w:val="2"/>
                <w:szCs w:val="22"/>
              </w:rPr>
              <w:t>事故水池</w:t>
            </w:r>
          </w:p>
        </w:tc>
        <w:tc>
          <w:tcPr>
            <w:tcW w:w="2156" w:type="pct"/>
            <w:vAlign w:val="center"/>
          </w:tcPr>
          <w:p w14:paraId="65427753">
            <w:pPr>
              <w:pStyle w:val="190"/>
              <w:rPr>
                <w:rFonts w:hint="eastAsia"/>
                <w:kern w:val="2"/>
                <w:szCs w:val="22"/>
              </w:rPr>
            </w:pPr>
            <w:r>
              <w:rPr>
                <w:kern w:val="2"/>
                <w:szCs w:val="22"/>
              </w:rPr>
              <w:t>事故水池的底板及壁板</w:t>
            </w:r>
          </w:p>
        </w:tc>
        <w:tc>
          <w:tcPr>
            <w:tcW w:w="805" w:type="pct"/>
            <w:vAlign w:val="center"/>
          </w:tcPr>
          <w:p w14:paraId="41E88823">
            <w:pPr>
              <w:pStyle w:val="190"/>
              <w:rPr>
                <w:rFonts w:hint="eastAsia"/>
                <w:kern w:val="2"/>
                <w:szCs w:val="22"/>
              </w:rPr>
            </w:pPr>
            <w:r>
              <w:rPr>
                <w:rFonts w:hint="eastAsia"/>
                <w:kern w:val="2"/>
                <w:szCs w:val="22"/>
              </w:rPr>
              <w:t>重点</w:t>
            </w:r>
          </w:p>
        </w:tc>
      </w:tr>
      <w:tr w14:paraId="38F3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restart"/>
            <w:vAlign w:val="center"/>
          </w:tcPr>
          <w:p w14:paraId="06A3DDB7">
            <w:pPr>
              <w:pStyle w:val="190"/>
              <w:rPr>
                <w:rFonts w:hint="eastAsia"/>
                <w:kern w:val="2"/>
                <w:szCs w:val="22"/>
              </w:rPr>
            </w:pPr>
            <w:r>
              <w:rPr>
                <w:kern w:val="2"/>
                <w:szCs w:val="22"/>
              </w:rPr>
              <w:t>污水处理站</w:t>
            </w:r>
          </w:p>
        </w:tc>
        <w:tc>
          <w:tcPr>
            <w:tcW w:w="1282" w:type="pct"/>
            <w:vAlign w:val="center"/>
          </w:tcPr>
          <w:p w14:paraId="577D6D13">
            <w:pPr>
              <w:pStyle w:val="190"/>
              <w:rPr>
                <w:rFonts w:hint="eastAsia"/>
                <w:kern w:val="2"/>
                <w:szCs w:val="22"/>
              </w:rPr>
            </w:pPr>
            <w:r>
              <w:rPr>
                <w:kern w:val="2"/>
                <w:szCs w:val="22"/>
              </w:rPr>
              <w:t>地下生产污水管道</w:t>
            </w:r>
          </w:p>
        </w:tc>
        <w:tc>
          <w:tcPr>
            <w:tcW w:w="2156" w:type="pct"/>
            <w:vAlign w:val="center"/>
          </w:tcPr>
          <w:p w14:paraId="01CE6991">
            <w:pPr>
              <w:pStyle w:val="190"/>
              <w:rPr>
                <w:rFonts w:hint="eastAsia"/>
                <w:kern w:val="2"/>
                <w:szCs w:val="22"/>
              </w:rPr>
            </w:pPr>
            <w:r>
              <w:rPr>
                <w:kern w:val="2"/>
                <w:szCs w:val="22"/>
              </w:rPr>
              <w:t>地下生产污水管道</w:t>
            </w:r>
          </w:p>
        </w:tc>
        <w:tc>
          <w:tcPr>
            <w:tcW w:w="805" w:type="pct"/>
            <w:vAlign w:val="center"/>
          </w:tcPr>
          <w:p w14:paraId="66B49639">
            <w:pPr>
              <w:pStyle w:val="190"/>
              <w:rPr>
                <w:rFonts w:hint="eastAsia"/>
                <w:kern w:val="2"/>
                <w:szCs w:val="22"/>
              </w:rPr>
            </w:pPr>
            <w:r>
              <w:rPr>
                <w:kern w:val="2"/>
                <w:szCs w:val="22"/>
              </w:rPr>
              <w:t>重点</w:t>
            </w:r>
          </w:p>
        </w:tc>
      </w:tr>
      <w:tr w14:paraId="1D36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009FEE05">
            <w:pPr>
              <w:pStyle w:val="190"/>
              <w:rPr>
                <w:rFonts w:hint="eastAsia"/>
                <w:kern w:val="2"/>
                <w:szCs w:val="22"/>
              </w:rPr>
            </w:pPr>
          </w:p>
        </w:tc>
        <w:tc>
          <w:tcPr>
            <w:tcW w:w="1282" w:type="pct"/>
            <w:vMerge w:val="restart"/>
            <w:vAlign w:val="center"/>
          </w:tcPr>
          <w:p w14:paraId="127AE3FA">
            <w:pPr>
              <w:pStyle w:val="190"/>
              <w:rPr>
                <w:rFonts w:hint="eastAsia"/>
                <w:kern w:val="2"/>
                <w:szCs w:val="22"/>
              </w:rPr>
            </w:pPr>
            <w:r>
              <w:rPr>
                <w:kern w:val="2"/>
                <w:szCs w:val="22"/>
              </w:rPr>
              <w:t>调节罐、隔油罐和污油罐</w:t>
            </w:r>
          </w:p>
        </w:tc>
        <w:tc>
          <w:tcPr>
            <w:tcW w:w="2156" w:type="pct"/>
            <w:vAlign w:val="center"/>
          </w:tcPr>
          <w:p w14:paraId="0F889D1B">
            <w:pPr>
              <w:pStyle w:val="190"/>
              <w:rPr>
                <w:rFonts w:hint="eastAsia"/>
                <w:kern w:val="2"/>
                <w:szCs w:val="22"/>
              </w:rPr>
            </w:pPr>
            <w:r>
              <w:rPr>
                <w:szCs w:val="22"/>
              </w:rPr>
              <w:t>环墙式和护坡式罐基础</w:t>
            </w:r>
          </w:p>
        </w:tc>
        <w:tc>
          <w:tcPr>
            <w:tcW w:w="805" w:type="pct"/>
            <w:vAlign w:val="center"/>
          </w:tcPr>
          <w:p w14:paraId="06FFC507">
            <w:pPr>
              <w:pStyle w:val="190"/>
              <w:rPr>
                <w:rFonts w:hint="eastAsia"/>
                <w:kern w:val="2"/>
                <w:szCs w:val="22"/>
              </w:rPr>
            </w:pPr>
            <w:r>
              <w:rPr>
                <w:kern w:val="2"/>
                <w:szCs w:val="22"/>
              </w:rPr>
              <w:t>重点</w:t>
            </w:r>
          </w:p>
        </w:tc>
      </w:tr>
      <w:tr w14:paraId="3492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A06B4F2">
            <w:pPr>
              <w:pStyle w:val="190"/>
              <w:rPr>
                <w:rFonts w:hint="eastAsia"/>
                <w:kern w:val="2"/>
                <w:szCs w:val="22"/>
              </w:rPr>
            </w:pPr>
          </w:p>
        </w:tc>
        <w:tc>
          <w:tcPr>
            <w:tcW w:w="1282" w:type="pct"/>
            <w:vMerge w:val="continue"/>
            <w:vAlign w:val="center"/>
          </w:tcPr>
          <w:p w14:paraId="7E588C34">
            <w:pPr>
              <w:pStyle w:val="190"/>
              <w:rPr>
                <w:rFonts w:hint="eastAsia"/>
                <w:kern w:val="2"/>
                <w:szCs w:val="22"/>
              </w:rPr>
            </w:pPr>
          </w:p>
        </w:tc>
        <w:tc>
          <w:tcPr>
            <w:tcW w:w="2156" w:type="pct"/>
            <w:vAlign w:val="center"/>
          </w:tcPr>
          <w:p w14:paraId="260798C9">
            <w:pPr>
              <w:pStyle w:val="190"/>
              <w:rPr>
                <w:rFonts w:hint="eastAsia"/>
                <w:kern w:val="2"/>
                <w:szCs w:val="22"/>
              </w:rPr>
            </w:pPr>
            <w:r>
              <w:rPr>
                <w:szCs w:val="22"/>
              </w:rPr>
              <w:t>承台式罐基础</w:t>
            </w:r>
          </w:p>
        </w:tc>
        <w:tc>
          <w:tcPr>
            <w:tcW w:w="805" w:type="pct"/>
            <w:vAlign w:val="center"/>
          </w:tcPr>
          <w:p w14:paraId="0C7D0E18">
            <w:pPr>
              <w:pStyle w:val="190"/>
              <w:rPr>
                <w:rFonts w:hint="eastAsia"/>
                <w:kern w:val="2"/>
                <w:szCs w:val="22"/>
              </w:rPr>
            </w:pPr>
            <w:r>
              <w:rPr>
                <w:kern w:val="2"/>
                <w:szCs w:val="22"/>
              </w:rPr>
              <w:t>一般</w:t>
            </w:r>
          </w:p>
        </w:tc>
      </w:tr>
      <w:tr w14:paraId="3872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71B66856">
            <w:pPr>
              <w:pStyle w:val="190"/>
              <w:rPr>
                <w:rFonts w:hint="eastAsia"/>
                <w:kern w:val="2"/>
                <w:szCs w:val="22"/>
              </w:rPr>
            </w:pPr>
          </w:p>
        </w:tc>
        <w:tc>
          <w:tcPr>
            <w:tcW w:w="1282" w:type="pct"/>
            <w:vMerge w:val="continue"/>
            <w:vAlign w:val="center"/>
          </w:tcPr>
          <w:p w14:paraId="7DCDB1CF">
            <w:pPr>
              <w:pStyle w:val="190"/>
              <w:rPr>
                <w:rFonts w:hint="eastAsia"/>
                <w:kern w:val="2"/>
                <w:szCs w:val="22"/>
              </w:rPr>
            </w:pPr>
          </w:p>
        </w:tc>
        <w:tc>
          <w:tcPr>
            <w:tcW w:w="2156" w:type="pct"/>
            <w:vAlign w:val="center"/>
          </w:tcPr>
          <w:p w14:paraId="572B5B18">
            <w:pPr>
              <w:pStyle w:val="190"/>
              <w:rPr>
                <w:rFonts w:hint="eastAsia"/>
                <w:kern w:val="2"/>
                <w:szCs w:val="22"/>
              </w:rPr>
            </w:pPr>
            <w:r>
              <w:rPr>
                <w:szCs w:val="22"/>
              </w:rPr>
              <w:t>储罐到防火堤之间的地面及防火堤</w:t>
            </w:r>
          </w:p>
        </w:tc>
        <w:tc>
          <w:tcPr>
            <w:tcW w:w="805" w:type="pct"/>
            <w:vAlign w:val="center"/>
          </w:tcPr>
          <w:p w14:paraId="35527C2A">
            <w:pPr>
              <w:pStyle w:val="190"/>
              <w:rPr>
                <w:rFonts w:hint="eastAsia"/>
                <w:kern w:val="2"/>
                <w:szCs w:val="22"/>
              </w:rPr>
            </w:pPr>
            <w:r>
              <w:rPr>
                <w:kern w:val="2"/>
                <w:szCs w:val="22"/>
              </w:rPr>
              <w:t>一般</w:t>
            </w:r>
          </w:p>
        </w:tc>
      </w:tr>
      <w:tr w14:paraId="0F9A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0E261107">
            <w:pPr>
              <w:pStyle w:val="190"/>
              <w:rPr>
                <w:rFonts w:hint="eastAsia"/>
                <w:kern w:val="2"/>
                <w:szCs w:val="22"/>
              </w:rPr>
            </w:pPr>
          </w:p>
        </w:tc>
        <w:tc>
          <w:tcPr>
            <w:tcW w:w="1282" w:type="pct"/>
            <w:vAlign w:val="center"/>
          </w:tcPr>
          <w:p w14:paraId="6567ECCB">
            <w:pPr>
              <w:pStyle w:val="190"/>
              <w:rPr>
                <w:rFonts w:hint="eastAsia"/>
                <w:kern w:val="2"/>
                <w:szCs w:val="22"/>
              </w:rPr>
            </w:pPr>
            <w:r>
              <w:rPr>
                <w:kern w:val="2"/>
                <w:szCs w:val="22"/>
              </w:rPr>
              <w:t>生产污水、污泥池、沉淀池、污水井</w:t>
            </w:r>
          </w:p>
        </w:tc>
        <w:tc>
          <w:tcPr>
            <w:tcW w:w="2156" w:type="pct"/>
            <w:vAlign w:val="center"/>
          </w:tcPr>
          <w:p w14:paraId="5EF40AE0">
            <w:pPr>
              <w:pStyle w:val="190"/>
              <w:rPr>
                <w:rFonts w:hint="eastAsia"/>
                <w:kern w:val="2"/>
                <w:szCs w:val="22"/>
              </w:rPr>
            </w:pPr>
            <w:r>
              <w:rPr>
                <w:kern w:val="2"/>
                <w:szCs w:val="22"/>
              </w:rPr>
              <w:t>调节池、均质池、隔油池、气浮池、生化池、污泥池、沉淀池、污泥池的</w:t>
            </w:r>
            <w:r>
              <w:rPr>
                <w:szCs w:val="22"/>
              </w:rPr>
              <w:t>底板及壁板；检查井、水封井和渗漏液检查井的底板及壁板</w:t>
            </w:r>
          </w:p>
        </w:tc>
        <w:tc>
          <w:tcPr>
            <w:tcW w:w="805" w:type="pct"/>
            <w:vAlign w:val="center"/>
          </w:tcPr>
          <w:p w14:paraId="53521920">
            <w:pPr>
              <w:pStyle w:val="190"/>
              <w:rPr>
                <w:rFonts w:hint="eastAsia"/>
                <w:kern w:val="2"/>
                <w:szCs w:val="22"/>
              </w:rPr>
            </w:pPr>
            <w:r>
              <w:rPr>
                <w:kern w:val="2"/>
                <w:szCs w:val="22"/>
              </w:rPr>
              <w:t>重点</w:t>
            </w:r>
          </w:p>
        </w:tc>
      </w:tr>
      <w:tr w14:paraId="1D09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Merge w:val="continue"/>
            <w:vAlign w:val="center"/>
          </w:tcPr>
          <w:p w14:paraId="41C74CAC">
            <w:pPr>
              <w:pStyle w:val="190"/>
              <w:rPr>
                <w:rFonts w:hint="eastAsia"/>
                <w:kern w:val="2"/>
                <w:szCs w:val="22"/>
              </w:rPr>
            </w:pPr>
          </w:p>
        </w:tc>
        <w:tc>
          <w:tcPr>
            <w:tcW w:w="1282" w:type="pct"/>
            <w:vAlign w:val="center"/>
          </w:tcPr>
          <w:p w14:paraId="15D545EB">
            <w:pPr>
              <w:pStyle w:val="190"/>
              <w:rPr>
                <w:rFonts w:hint="eastAsia"/>
                <w:kern w:val="2"/>
                <w:szCs w:val="22"/>
              </w:rPr>
            </w:pPr>
            <w:r>
              <w:rPr>
                <w:kern w:val="2"/>
                <w:szCs w:val="22"/>
              </w:rPr>
              <w:t>污泥储存池</w:t>
            </w:r>
          </w:p>
        </w:tc>
        <w:tc>
          <w:tcPr>
            <w:tcW w:w="2156" w:type="pct"/>
            <w:vAlign w:val="center"/>
          </w:tcPr>
          <w:p w14:paraId="31E7FD46">
            <w:pPr>
              <w:pStyle w:val="190"/>
              <w:rPr>
                <w:rFonts w:hint="eastAsia"/>
                <w:kern w:val="2"/>
                <w:szCs w:val="22"/>
              </w:rPr>
            </w:pPr>
            <w:r>
              <w:rPr>
                <w:kern w:val="2"/>
                <w:szCs w:val="22"/>
              </w:rPr>
              <w:t>污泥储存池</w:t>
            </w:r>
            <w:r>
              <w:rPr>
                <w:szCs w:val="22"/>
              </w:rPr>
              <w:t>的底板及壁板</w:t>
            </w:r>
          </w:p>
        </w:tc>
        <w:tc>
          <w:tcPr>
            <w:tcW w:w="805" w:type="pct"/>
            <w:vAlign w:val="center"/>
          </w:tcPr>
          <w:p w14:paraId="2BEC230C">
            <w:pPr>
              <w:pStyle w:val="190"/>
              <w:rPr>
                <w:rFonts w:hint="eastAsia"/>
                <w:kern w:val="2"/>
                <w:szCs w:val="22"/>
              </w:rPr>
            </w:pPr>
            <w:r>
              <w:rPr>
                <w:kern w:val="2"/>
                <w:szCs w:val="22"/>
              </w:rPr>
              <w:t>重点</w:t>
            </w:r>
          </w:p>
        </w:tc>
      </w:tr>
      <w:tr w14:paraId="485C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Align w:val="center"/>
          </w:tcPr>
          <w:p w14:paraId="0AFBA2B2">
            <w:pPr>
              <w:pStyle w:val="190"/>
              <w:rPr>
                <w:rFonts w:hint="eastAsia"/>
                <w:kern w:val="2"/>
                <w:szCs w:val="22"/>
              </w:rPr>
            </w:pPr>
            <w:r>
              <w:rPr>
                <w:kern w:val="2"/>
                <w:szCs w:val="22"/>
              </w:rPr>
              <w:t>液体化学品库</w:t>
            </w:r>
          </w:p>
        </w:tc>
        <w:tc>
          <w:tcPr>
            <w:tcW w:w="1282" w:type="pct"/>
            <w:vAlign w:val="center"/>
          </w:tcPr>
          <w:p w14:paraId="729D35DE">
            <w:pPr>
              <w:pStyle w:val="190"/>
              <w:rPr>
                <w:rFonts w:hint="eastAsia"/>
                <w:kern w:val="2"/>
                <w:szCs w:val="22"/>
              </w:rPr>
            </w:pPr>
            <w:r>
              <w:rPr>
                <w:kern w:val="2"/>
                <w:szCs w:val="22"/>
              </w:rPr>
              <w:t>液体化学品库</w:t>
            </w:r>
          </w:p>
        </w:tc>
        <w:tc>
          <w:tcPr>
            <w:tcW w:w="2156" w:type="pct"/>
            <w:vAlign w:val="center"/>
          </w:tcPr>
          <w:p w14:paraId="14287020">
            <w:pPr>
              <w:pStyle w:val="190"/>
              <w:rPr>
                <w:rFonts w:hint="eastAsia"/>
                <w:kern w:val="2"/>
                <w:szCs w:val="22"/>
              </w:rPr>
            </w:pPr>
            <w:r>
              <w:rPr>
                <w:kern w:val="2"/>
                <w:szCs w:val="22"/>
              </w:rPr>
              <w:t>室内地面</w:t>
            </w:r>
          </w:p>
        </w:tc>
        <w:tc>
          <w:tcPr>
            <w:tcW w:w="805" w:type="pct"/>
            <w:vAlign w:val="center"/>
          </w:tcPr>
          <w:p w14:paraId="6E623372">
            <w:pPr>
              <w:pStyle w:val="190"/>
              <w:rPr>
                <w:rFonts w:hint="eastAsia"/>
                <w:kern w:val="2"/>
                <w:szCs w:val="22"/>
              </w:rPr>
            </w:pPr>
            <w:r>
              <w:rPr>
                <w:kern w:val="2"/>
                <w:szCs w:val="22"/>
              </w:rPr>
              <w:t>一般</w:t>
            </w:r>
          </w:p>
        </w:tc>
      </w:tr>
      <w:tr w14:paraId="4CE7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57" w:type="pct"/>
            <w:vAlign w:val="center"/>
          </w:tcPr>
          <w:p w14:paraId="200BB7F3">
            <w:pPr>
              <w:pStyle w:val="190"/>
              <w:rPr>
                <w:rFonts w:hint="eastAsia"/>
                <w:kern w:val="2"/>
                <w:szCs w:val="22"/>
              </w:rPr>
            </w:pPr>
            <w:r>
              <w:rPr>
                <w:rFonts w:hint="eastAsia"/>
                <w:kern w:val="2"/>
                <w:szCs w:val="22"/>
              </w:rPr>
              <w:t>危废暂存间</w:t>
            </w:r>
          </w:p>
        </w:tc>
        <w:tc>
          <w:tcPr>
            <w:tcW w:w="1282" w:type="pct"/>
            <w:vAlign w:val="center"/>
          </w:tcPr>
          <w:p w14:paraId="7C9CA2DD">
            <w:pPr>
              <w:pStyle w:val="190"/>
              <w:rPr>
                <w:rFonts w:hint="eastAsia"/>
                <w:kern w:val="2"/>
                <w:szCs w:val="22"/>
              </w:rPr>
            </w:pPr>
            <w:r>
              <w:rPr>
                <w:rFonts w:hint="eastAsia"/>
                <w:kern w:val="2"/>
                <w:szCs w:val="22"/>
              </w:rPr>
              <w:t>危废暂存间</w:t>
            </w:r>
          </w:p>
        </w:tc>
        <w:tc>
          <w:tcPr>
            <w:tcW w:w="2156" w:type="pct"/>
            <w:vAlign w:val="center"/>
          </w:tcPr>
          <w:p w14:paraId="20210454">
            <w:pPr>
              <w:pStyle w:val="190"/>
              <w:rPr>
                <w:rFonts w:hint="eastAsia"/>
                <w:kern w:val="2"/>
                <w:szCs w:val="22"/>
              </w:rPr>
            </w:pPr>
            <w:r>
              <w:rPr>
                <w:kern w:val="2"/>
                <w:szCs w:val="22"/>
              </w:rPr>
              <w:t>室内地面</w:t>
            </w:r>
            <w:r>
              <w:rPr>
                <w:rFonts w:hint="eastAsia"/>
                <w:kern w:val="2"/>
                <w:szCs w:val="22"/>
              </w:rPr>
              <w:t>、墙体</w:t>
            </w:r>
          </w:p>
        </w:tc>
        <w:tc>
          <w:tcPr>
            <w:tcW w:w="805" w:type="pct"/>
            <w:vAlign w:val="center"/>
          </w:tcPr>
          <w:p w14:paraId="2DAFD0BA">
            <w:pPr>
              <w:pStyle w:val="190"/>
              <w:rPr>
                <w:rFonts w:hint="eastAsia"/>
                <w:kern w:val="2"/>
                <w:szCs w:val="22"/>
              </w:rPr>
            </w:pPr>
            <w:r>
              <w:rPr>
                <w:rFonts w:hint="eastAsia"/>
                <w:kern w:val="2"/>
                <w:szCs w:val="22"/>
              </w:rPr>
              <w:t>重点</w:t>
            </w:r>
          </w:p>
        </w:tc>
      </w:tr>
    </w:tbl>
    <w:p w14:paraId="5B5AA7F8">
      <w:pPr>
        <w:pStyle w:val="281"/>
        <w:ind w:firstLine="480"/>
      </w:pPr>
      <w:r>
        <w:rPr>
          <w:rFonts w:hint="eastAsia"/>
        </w:rPr>
        <w:t>（2）防渗方案</w:t>
      </w:r>
    </w:p>
    <w:p w14:paraId="3FEAB441">
      <w:pPr>
        <w:pStyle w:val="281"/>
        <w:ind w:firstLine="480"/>
        <w:rPr>
          <w:snapToGrid w:val="0"/>
          <w:u w:color="000000"/>
        </w:rPr>
      </w:pPr>
      <w:r>
        <w:rPr>
          <w:rFonts w:hint="eastAsia" w:ascii="宋体" w:hAnsi="宋体"/>
          <w:snapToGrid w:val="0"/>
          <w:u w:color="000000"/>
        </w:rPr>
        <w:t>①</w:t>
      </w:r>
      <w:r>
        <w:rPr>
          <w:rFonts w:hint="eastAsia"/>
          <w:snapToGrid w:val="0"/>
          <w:u w:color="000000"/>
        </w:rPr>
        <w:t xml:space="preserve">重点污染防渗区 </w:t>
      </w:r>
    </w:p>
    <w:p w14:paraId="2A11EF51">
      <w:pPr>
        <w:pStyle w:val="281"/>
        <w:ind w:firstLine="480"/>
        <w:rPr>
          <w:snapToGrid w:val="0"/>
          <w:u w:color="000000"/>
        </w:rPr>
      </w:pPr>
      <w:r>
        <w:rPr>
          <w:rFonts w:hint="eastAsia"/>
          <w:snapToGrid w:val="0"/>
          <w:u w:color="000000"/>
        </w:rPr>
        <w:t>对项目运行过程中可能发生渗漏，并会对地下水水质造成污染的区域有必要进行重点防渗，重点污染防治区防渗措施参照《石油化工工程防渗技术规范》（GB/T50934-2013）并参考《危险废物安全填埋处置工程建设技术要求》（环发〔2004〕75号）和《危险废物填埋污染控制标准》（GB18598—2019）设计。要求重点污染防治区防治地下水污染的防渗层性能应不低于6.0m厚渗透系数为1.0×10</w:t>
      </w:r>
      <w:r>
        <w:rPr>
          <w:rFonts w:hint="eastAsia"/>
          <w:snapToGrid w:val="0"/>
          <w:u w:color="000000"/>
          <w:vertAlign w:val="superscript"/>
        </w:rPr>
        <w:t>-7</w:t>
      </w:r>
      <w:r>
        <w:rPr>
          <w:rFonts w:hint="eastAsia"/>
          <w:snapToGrid w:val="0"/>
          <w:u w:color="000000"/>
        </w:rPr>
        <w:t xml:space="preserve">cm/s的粘土层。 </w:t>
      </w:r>
    </w:p>
    <w:p w14:paraId="0D16B7C4">
      <w:pPr>
        <w:pStyle w:val="281"/>
        <w:ind w:firstLine="480"/>
        <w:rPr>
          <w:snapToGrid w:val="0"/>
          <w:u w:color="000000"/>
        </w:rPr>
      </w:pPr>
      <w:r>
        <w:rPr>
          <w:rFonts w:hint="eastAsia"/>
          <w:snapToGrid w:val="0"/>
          <w:u w:color="000000"/>
        </w:rPr>
        <w:t xml:space="preserve">重点防渗区各区域还需有针对性地采取不同的防渗措施，具体如下： </w:t>
      </w:r>
    </w:p>
    <w:p w14:paraId="3B949CAA">
      <w:pPr>
        <w:pStyle w:val="281"/>
        <w:ind w:firstLine="480"/>
        <w:rPr>
          <w:snapToGrid w:val="0"/>
          <w:u w:color="000000"/>
        </w:rPr>
      </w:pPr>
      <w:r>
        <w:rPr>
          <w:rFonts w:hint="eastAsia"/>
          <w:snapToGrid w:val="0"/>
          <w:u w:color="000000"/>
        </w:rPr>
        <w:t>1）污（废）水池防渗</w:t>
      </w:r>
    </w:p>
    <w:p w14:paraId="4F4B0404">
      <w:pPr>
        <w:pStyle w:val="281"/>
        <w:ind w:firstLine="480"/>
        <w:rPr>
          <w:snapToGrid w:val="0"/>
          <w:u w:color="000000"/>
        </w:rPr>
      </w:pPr>
      <w:r>
        <w:rPr>
          <w:rFonts w:hint="eastAsia"/>
          <w:snapToGrid w:val="0"/>
          <w:u w:color="000000"/>
        </w:rPr>
        <w:t>混凝土池体采用防渗钢筋混凝土，池体内表面涂刷水泥基渗透结晶型防水涂料（渗透系数不大于1.0×10</w:t>
      </w:r>
      <w:r>
        <w:rPr>
          <w:rFonts w:hint="eastAsia"/>
          <w:snapToGrid w:val="0"/>
          <w:u w:color="000000"/>
          <w:vertAlign w:val="superscript"/>
        </w:rPr>
        <w:t>-7</w:t>
      </w:r>
      <w:r>
        <w:rPr>
          <w:rFonts w:hint="eastAsia"/>
          <w:snapToGrid w:val="0"/>
          <w:u w:color="000000"/>
        </w:rPr>
        <w:t>cm/s）。池底采用“抗渗钢筋混凝土整体基础+素混凝土垫层+长丝无纺土工布+原土夯实”。</w:t>
      </w:r>
    </w:p>
    <w:p w14:paraId="0BE5FAA1">
      <w:pPr>
        <w:pStyle w:val="281"/>
        <w:ind w:firstLine="480"/>
        <w:rPr>
          <w:snapToGrid w:val="0"/>
          <w:u w:color="000000"/>
        </w:rPr>
      </w:pPr>
      <w:r>
        <w:rPr>
          <w:rFonts w:hint="eastAsia"/>
          <w:snapToGrid w:val="0"/>
          <w:u w:color="000000"/>
        </w:rPr>
        <w:t>混凝土强度等级不低于C30，结构厚度不小于250mm，混凝土的抗渗等级不低于P8，水泥基渗透结晶型防水涂料厚度不小于 1.0mm，水泥基渗透结晶型 防水剂掺量宜为胶凝材料总量的 1%-2%。</w:t>
      </w:r>
    </w:p>
    <w:p w14:paraId="10CC988E">
      <w:pPr>
        <w:pStyle w:val="281"/>
        <w:ind w:firstLine="480"/>
        <w:rPr>
          <w:snapToGrid w:val="0"/>
          <w:u w:color="000000"/>
        </w:rPr>
      </w:pPr>
      <w:r>
        <w:rPr>
          <w:rFonts w:hint="eastAsia"/>
          <w:snapToGrid w:val="0"/>
          <w:u w:color="000000"/>
        </w:rPr>
        <w:t xml:space="preserve">在涂刷防水涂料之前，水池应进行满水试验。 </w:t>
      </w:r>
    </w:p>
    <w:p w14:paraId="14053D8E">
      <w:pPr>
        <w:pStyle w:val="281"/>
        <w:ind w:firstLine="480"/>
        <w:rPr>
          <w:snapToGrid w:val="0"/>
          <w:u w:color="000000"/>
        </w:rPr>
      </w:pPr>
      <w:r>
        <w:rPr>
          <w:rFonts w:hint="eastAsia"/>
          <w:snapToGrid w:val="0"/>
          <w:u w:color="000000"/>
        </w:rPr>
        <w:t xml:space="preserve">水池的所有缝均应设止水带，止水带采用橡胶止水带或塑料止水带，施工缝可采用镀锌钢板止水带。橡胶止水带选用氯丁橡胶和三元乙丙橡胶止水带；塑料止水带宜选用软质聚氯乙烯塑料止水带。 </w:t>
      </w:r>
    </w:p>
    <w:p w14:paraId="28172C61">
      <w:pPr>
        <w:pStyle w:val="281"/>
        <w:ind w:firstLine="480"/>
        <w:rPr>
          <w:snapToGrid w:val="0"/>
          <w:u w:color="000000"/>
        </w:rPr>
      </w:pPr>
      <w:r>
        <w:rPr>
          <w:rFonts w:hint="eastAsia"/>
          <w:snapToGrid w:val="0"/>
          <w:u w:color="000000"/>
        </w:rPr>
        <w:t xml:space="preserve">钢筋混凝土水池的设计符合现行行业标准《石油化工钢筋混凝土水池结构设计规范》（SH/T 3132）的有关规定。 </w:t>
      </w:r>
    </w:p>
    <w:p w14:paraId="1C0E5D22">
      <w:pPr>
        <w:pStyle w:val="281"/>
        <w:ind w:firstLine="480"/>
        <w:rPr>
          <w:snapToGrid w:val="0"/>
          <w:u w:color="000000"/>
        </w:rPr>
      </w:pPr>
      <w:r>
        <w:rPr>
          <w:rFonts w:hint="eastAsia"/>
          <w:snapToGrid w:val="0"/>
          <w:u w:color="000000"/>
        </w:rPr>
        <w:t xml:space="preserve">② 罐区防渗 </w:t>
      </w:r>
    </w:p>
    <w:p w14:paraId="6E17974C">
      <w:pPr>
        <w:pStyle w:val="281"/>
        <w:ind w:firstLine="480"/>
        <w:rPr>
          <w:snapToGrid w:val="0"/>
          <w:u w:color="000000"/>
        </w:rPr>
      </w:pPr>
      <w:r>
        <w:rPr>
          <w:rFonts w:hint="eastAsia"/>
          <w:snapToGrid w:val="0"/>
          <w:u w:color="000000"/>
        </w:rPr>
        <w:t>罐区地面采用水泥硬化和严格防渗、防腐和防爆措施，罐区周围须设置具有强防渗性的围堰和集水沟。罐区基础的防渗，需从上至下依次采用“罐底板、沥青砂绝缘层、砂垫层、防水涂料层、钢筋混凝土承台、混凝土垫层”的防渗方式。</w:t>
      </w:r>
    </w:p>
    <w:p w14:paraId="1A14366C">
      <w:pPr>
        <w:pStyle w:val="281"/>
        <w:ind w:firstLine="480"/>
        <w:rPr>
          <w:snapToGrid w:val="0"/>
          <w:u w:color="000000"/>
        </w:rPr>
      </w:pPr>
      <w:r>
        <w:rPr>
          <w:rFonts w:hint="eastAsia"/>
          <w:snapToGrid w:val="0"/>
          <w:u w:color="000000"/>
        </w:rPr>
        <w:t>承台式罐基础的防渗层应符合下列规定：承台及承台以上环墙应采用抗渗混凝土，抗渗等级不低于P6；承台及承台以上环墙内表面涂刷聚合物水泥等柔性防水涂料，厚度不小于1.0mm；承台顶面应找坡，由中心坡向四周，坡度不小于0.3%。</w:t>
      </w:r>
    </w:p>
    <w:p w14:paraId="147891CC">
      <w:pPr>
        <w:pStyle w:val="281"/>
        <w:ind w:firstLine="480"/>
        <w:rPr>
          <w:snapToGrid w:val="0"/>
          <w:u w:color="000000"/>
        </w:rPr>
      </w:pPr>
      <w:r>
        <w:rPr>
          <w:rFonts w:hint="eastAsia"/>
          <w:snapToGrid w:val="0"/>
          <w:u w:color="000000"/>
        </w:rPr>
        <w:t>环墙式罐基础防渗设计应采用高密度聚乙烯（HPDE）膜。高密度聚乙烯（HPDE）膜的厚度为1.5mm；膜上、膜下设置保护层，保护层采用长丝无纺土工布，膜下保护层下</w:t>
      </w:r>
      <w:r>
        <w:rPr>
          <w:rFonts w:hint="eastAsia"/>
        </w:rPr>
        <w:t>敷设不含尖锐颗粒的砂层，砂层厚度不应小于100mm；高密度聚乙烯（HPDE）膜铺设应</w:t>
      </w:r>
      <w:r>
        <w:rPr>
          <w:rFonts w:hint="eastAsia"/>
          <w:snapToGrid w:val="0"/>
          <w:u w:color="000000"/>
        </w:rPr>
        <w:t xml:space="preserve">由中心坡向四周，坡度不宜小于1.5%。 </w:t>
      </w:r>
    </w:p>
    <w:p w14:paraId="707DFA4D">
      <w:pPr>
        <w:pStyle w:val="281"/>
        <w:ind w:firstLine="480"/>
        <w:rPr>
          <w:snapToGrid w:val="0"/>
          <w:u w:color="000000"/>
        </w:rPr>
      </w:pPr>
      <w:r>
        <w:rPr>
          <w:rFonts w:hint="eastAsia"/>
          <w:snapToGrid w:val="0"/>
          <w:u w:color="000000"/>
        </w:rPr>
        <w:t>当泄漏管低于地面标高时，泄漏管对应位置处应设置检漏井，检漏井顶部应设置活动防雨钢盖板。检漏井应符合下列规定：检漏井的平面尺寸宜为500mm×500mm，高出地面200mm，井底应低于泄漏管300mm；检漏井采用抗渗钢筋混凝土，强度等级不低于C30，抗渗等级不低于P8；检漏井壁和底板厚度不宜小于100mm。</w:t>
      </w:r>
    </w:p>
    <w:p w14:paraId="2BF848D8">
      <w:pPr>
        <w:pStyle w:val="281"/>
        <w:ind w:firstLine="480"/>
        <w:rPr>
          <w:snapToGrid w:val="0"/>
          <w:u w:color="000000"/>
        </w:rPr>
      </w:pPr>
      <w:r>
        <w:rPr>
          <w:rFonts w:hint="eastAsia"/>
          <w:snapToGrid w:val="0"/>
          <w:u w:color="000000"/>
        </w:rPr>
        <w:t xml:space="preserve">防火堤的设计除应符合现行国家标准《储罐区防火堤设计规范》GB50351的要求外，尚应符合下列规定：防火堤采用抗渗钢筋混凝土，抗渗等级不低于P6；防火堤的变形缝设置不锈钢板止水带，厚度不小于2.0mm；防火堤变形缝内设置嵌缝板、背衬材料和嵌缝密封材料。 </w:t>
      </w:r>
    </w:p>
    <w:p w14:paraId="6F0F5D75">
      <w:pPr>
        <w:pStyle w:val="281"/>
        <w:ind w:firstLine="480"/>
        <w:rPr>
          <w:snapToGrid w:val="0"/>
          <w:u w:color="000000"/>
        </w:rPr>
      </w:pPr>
      <w:r>
        <w:rPr>
          <w:rFonts w:hint="eastAsia"/>
          <w:snapToGrid w:val="0"/>
          <w:u w:color="000000"/>
        </w:rPr>
        <w:t>③危险废物临时存放库地面及设计堆放高度墙面</w:t>
      </w:r>
    </w:p>
    <w:p w14:paraId="3B814D49">
      <w:pPr>
        <w:pStyle w:val="281"/>
        <w:ind w:firstLine="480"/>
        <w:rPr>
          <w:snapToGrid w:val="0"/>
          <w:u w:color="000000"/>
        </w:rPr>
      </w:pPr>
      <w:r>
        <w:rPr>
          <w:rFonts w:hint="eastAsia"/>
          <w:snapToGrid w:val="0"/>
          <w:u w:color="000000"/>
        </w:rPr>
        <w:t>根据《危险废物安全填埋场工程技术要求》（环发〔2004〕75 号）和《危险废物处置工程技术导则》（HJ2042-2014），地面及墙面要求渗透系数应≤1.0×10</w:t>
      </w:r>
      <w:r>
        <w:rPr>
          <w:rFonts w:hint="eastAsia"/>
          <w:snapToGrid w:val="0"/>
          <w:u w:color="000000"/>
          <w:vertAlign w:val="superscript"/>
        </w:rPr>
        <w:t>-12</w:t>
      </w:r>
      <w:r>
        <w:rPr>
          <w:rFonts w:hint="eastAsia"/>
          <w:snapToGrid w:val="0"/>
          <w:u w:color="000000"/>
        </w:rPr>
        <w:t>cm/s，应采取人工防渗手段。人工衬层材料应选择具有化学兼容性、耐久性、耐热性、高强度、低渗透率、易维护、无二次污染的材料。若采用高密度聚乙烯膜，其渗透系数必须≤1.0×10</w:t>
      </w:r>
      <w:r>
        <w:rPr>
          <w:rFonts w:hint="eastAsia"/>
          <w:snapToGrid w:val="0"/>
          <w:u w:color="000000"/>
          <w:vertAlign w:val="superscript"/>
        </w:rPr>
        <w:t>-12</w:t>
      </w:r>
      <w:r>
        <w:rPr>
          <w:rFonts w:hint="eastAsia"/>
          <w:snapToGrid w:val="0"/>
          <w:u w:color="000000"/>
        </w:rPr>
        <w:t xml:space="preserve">cm/s。 </w:t>
      </w:r>
    </w:p>
    <w:p w14:paraId="6A7EC60E">
      <w:pPr>
        <w:pStyle w:val="281"/>
        <w:ind w:firstLine="480"/>
        <w:rPr>
          <w:snapToGrid w:val="0"/>
          <w:u w:color="000000"/>
        </w:rPr>
      </w:pPr>
      <w:r>
        <w:rPr>
          <w:rFonts w:hint="eastAsia"/>
          <w:snapToGrid w:val="0"/>
          <w:u w:color="000000"/>
        </w:rPr>
        <w:t>2）一般污染防渗区</w:t>
      </w:r>
    </w:p>
    <w:p w14:paraId="1C80ED71">
      <w:pPr>
        <w:pStyle w:val="281"/>
        <w:ind w:firstLine="480"/>
        <w:rPr>
          <w:snapToGrid w:val="0"/>
          <w:u w:color="000000"/>
        </w:rPr>
      </w:pPr>
      <w:r>
        <w:rPr>
          <w:rFonts w:hint="eastAsia"/>
          <w:snapToGrid w:val="0"/>
          <w:u w:color="000000"/>
        </w:rPr>
        <w:t>针对项目一般污染防治区参照《石油化工工程防渗技术规范》（GB/T50934-2013）设置防渗层，要求防渗层的防渗性能不应低于1.5m厚渗透系数为1.0×10</w:t>
      </w:r>
      <w:r>
        <w:rPr>
          <w:rFonts w:hint="eastAsia"/>
          <w:snapToGrid w:val="0"/>
          <w:u w:color="000000"/>
          <w:vertAlign w:val="superscript"/>
        </w:rPr>
        <w:t>-7</w:t>
      </w:r>
      <w:r>
        <w:rPr>
          <w:rFonts w:hint="eastAsia"/>
          <w:snapToGrid w:val="0"/>
          <w:u w:color="000000"/>
        </w:rPr>
        <w:t>cm/s的粘土层。</w:t>
      </w:r>
    </w:p>
    <w:p w14:paraId="1921C02D">
      <w:pPr>
        <w:pStyle w:val="281"/>
        <w:ind w:firstLine="480"/>
        <w:rPr>
          <w:snapToGrid w:val="0"/>
          <w:u w:color="000000"/>
        </w:rPr>
      </w:pPr>
      <w:r>
        <w:rPr>
          <w:rFonts w:hint="eastAsia"/>
          <w:snapToGrid w:val="0"/>
          <w:u w:color="000000"/>
        </w:rPr>
        <w:t xml:space="preserve">一般防渗区各区域还需有针对性地采取不同的防渗措施，具体如下。 </w:t>
      </w:r>
    </w:p>
    <w:p w14:paraId="3ED633B2">
      <w:pPr>
        <w:pStyle w:val="281"/>
        <w:ind w:firstLine="480"/>
        <w:rPr>
          <w:snapToGrid w:val="0"/>
          <w:u w:color="000000"/>
        </w:rPr>
      </w:pPr>
      <w:r>
        <w:rPr>
          <w:rFonts w:hint="eastAsia"/>
          <w:snapToGrid w:val="0"/>
          <w:u w:color="000000"/>
        </w:rPr>
        <w:t>①水池</w:t>
      </w:r>
    </w:p>
    <w:p w14:paraId="3A8A1A17">
      <w:pPr>
        <w:pStyle w:val="281"/>
        <w:ind w:firstLine="480"/>
        <w:rPr>
          <w:snapToGrid w:val="0"/>
          <w:u w:color="000000"/>
        </w:rPr>
      </w:pPr>
      <w:r>
        <w:rPr>
          <w:rFonts w:hint="eastAsia"/>
          <w:snapToGrid w:val="0"/>
          <w:u w:color="000000"/>
        </w:rPr>
        <w:t>一般污染防治区水池结构厚度不小于 250mm，混凝土的抗渗等级不低于 P8。</w:t>
      </w:r>
    </w:p>
    <w:p w14:paraId="5F17C9CF">
      <w:pPr>
        <w:pStyle w:val="281"/>
        <w:ind w:firstLine="480"/>
        <w:rPr>
          <w:snapToGrid w:val="0"/>
          <w:u w:color="000000"/>
        </w:rPr>
      </w:pPr>
      <w:r>
        <w:rPr>
          <w:rFonts w:hint="eastAsia"/>
          <w:snapToGrid w:val="0"/>
          <w:u w:color="000000"/>
        </w:rPr>
        <w:t xml:space="preserve">②污水管网铺设防渗 </w:t>
      </w:r>
    </w:p>
    <w:p w14:paraId="2EA5E1CB">
      <w:pPr>
        <w:pStyle w:val="281"/>
        <w:ind w:firstLine="480"/>
      </w:pPr>
      <w:r>
        <w:rPr>
          <w:rFonts w:hint="eastAsia"/>
          <w:snapToGrid w:val="0"/>
          <w:u w:color="000000"/>
        </w:rPr>
        <w:t>污水管道尽量架空铺设，如采用地下管道，应加强地下管道及设施的固化和密封，</w:t>
      </w:r>
      <w:r>
        <w:rPr>
          <w:rFonts w:hint="eastAsia"/>
        </w:rPr>
        <w:t>采用防腐蚀、防爆材料，防止发生沉降引起渗漏，并按明渠明沟敷设。埋地管道防渗（厂</w:t>
      </w:r>
      <w:r>
        <w:rPr>
          <w:rFonts w:hint="eastAsia"/>
          <w:snapToGrid w:val="0"/>
          <w:u w:color="000000"/>
        </w:rPr>
        <w:t>区），需依次采用“中粗砂回填+中砂垫层+原土夯实”的结构进行防渗。厂外管线穿越</w:t>
      </w:r>
      <w:r>
        <w:rPr>
          <w:rFonts w:hint="eastAsia"/>
        </w:rPr>
        <w:t>村庄段，需进行立体（管沟底部、两侧）防渗处理。</w:t>
      </w:r>
    </w:p>
    <w:bookmarkEnd w:id="404"/>
    <w:bookmarkEnd w:id="406"/>
    <w:p w14:paraId="2CD3E930">
      <w:pPr>
        <w:pStyle w:val="98"/>
        <w:rPr>
          <w:rFonts w:hint="eastAsia"/>
          <w:color w:val="auto"/>
          <w:spacing w:val="8"/>
          <w:lang w:val="sq-AL"/>
        </w:rPr>
      </w:pPr>
      <w:r>
        <w:rPr>
          <w:rFonts w:hint="eastAsia"/>
          <w:color w:val="auto"/>
        </w:rPr>
        <w:t>地下水环境监测与管理</w:t>
      </w:r>
    </w:p>
    <w:p w14:paraId="58A59201">
      <w:pPr>
        <w:spacing w:line="360" w:lineRule="auto"/>
        <w:ind w:firstLine="480" w:firstLineChars="200"/>
        <w:rPr>
          <w:rFonts w:ascii="Times New Roman" w:hAnsi="Times New Roman" w:cs="Times New Roman"/>
        </w:rPr>
      </w:pPr>
      <w:r>
        <w:rPr>
          <w:rFonts w:ascii="Times New Roman" w:hAnsi="Times New Roman" w:cs="Times New Roman"/>
        </w:rPr>
        <w:t>根据《环境影响评价技术导则地下水环境》（HJ610-2016），本项目需要制定地下水污染监控措施：</w:t>
      </w:r>
    </w:p>
    <w:p w14:paraId="62DF19B6">
      <w:pPr>
        <w:spacing w:line="360" w:lineRule="auto"/>
        <w:ind w:firstLine="480" w:firstLineChars="200"/>
        <w:rPr>
          <w:rFonts w:ascii="Times New Roman" w:hAnsi="Times New Roman" w:cs="Times New Roman"/>
        </w:rPr>
      </w:pPr>
      <w:r>
        <w:rPr>
          <w:rFonts w:ascii="Times New Roman" w:hAnsi="Times New Roman" w:cs="Times New Roman"/>
        </w:rPr>
        <w:t>（1）地下水监测计划</w:t>
      </w:r>
    </w:p>
    <w:p w14:paraId="23EA43CB">
      <w:pPr>
        <w:spacing w:line="360" w:lineRule="auto"/>
        <w:ind w:firstLine="480" w:firstLineChars="200"/>
        <w:textAlignment w:val="baseline"/>
        <w:rPr>
          <w:rFonts w:ascii="Times New Roman" w:hAnsi="Times New Roman" w:cs="Times New Roman"/>
        </w:rPr>
      </w:pPr>
      <w:r>
        <w:rPr>
          <w:rFonts w:ascii="Times New Roman" w:hAnsi="Times New Roman" w:cs="Times New Roman"/>
        </w:rPr>
        <w:t>项目地下水环境监测主要参考《地下水环境监测技术规范》（HJ/T164-2020），结合区域含水层系统和地下水径流系统特征，考虑潜在污染源、环境保护目标等因素，并结合模型模拟预测的结果来布置地下水监测点。</w:t>
      </w:r>
    </w:p>
    <w:p w14:paraId="6D379311">
      <w:pPr>
        <w:spacing w:line="360" w:lineRule="auto"/>
        <w:ind w:firstLine="480" w:firstLineChars="200"/>
        <w:rPr>
          <w:rFonts w:ascii="Times New Roman" w:hAnsi="Times New Roman" w:cs="Times New Roman"/>
        </w:rPr>
      </w:pPr>
      <w:r>
        <w:rPr>
          <w:rFonts w:ascii="Times New Roman" w:hAnsi="Times New Roman" w:cs="Times New Roman"/>
        </w:rPr>
        <w:t>（2）监测井布置</w:t>
      </w:r>
    </w:p>
    <w:p w14:paraId="0811E898">
      <w:pPr>
        <w:pStyle w:val="281"/>
        <w:ind w:firstLine="480"/>
        <w:rPr>
          <w:rFonts w:cs="Times New Roman"/>
        </w:rPr>
      </w:pPr>
      <w:bookmarkStart w:id="407" w:name="_Hlk98257608"/>
      <w:r>
        <w:rPr>
          <w:rFonts w:cs="Times New Roman"/>
        </w:rPr>
        <w:t>依据地下水监测原则，结合区域水文地质条件，在厂区周边至少应设置三口（</w:t>
      </w:r>
      <w:r>
        <w:rPr>
          <w:rFonts w:hint="eastAsia"/>
        </w:rPr>
        <w:t>厂址、地下水流向上游、地下水流向下游</w:t>
      </w:r>
      <w:r>
        <w:rPr>
          <w:rFonts w:cs="Times New Roman"/>
        </w:rPr>
        <w:t>）地下水水质监控井。</w:t>
      </w:r>
    </w:p>
    <w:p w14:paraId="3214B49C">
      <w:pPr>
        <w:pStyle w:val="281"/>
        <w:ind w:firstLine="480"/>
        <w:rPr>
          <w:rFonts w:cs="Times New Roman"/>
        </w:rPr>
      </w:pPr>
    </w:p>
    <w:p w14:paraId="5F6190A6">
      <w:pPr>
        <w:pStyle w:val="281"/>
        <w:ind w:firstLine="480"/>
        <w:rPr>
          <w:rFonts w:cs="Times New Roman"/>
        </w:rPr>
      </w:pPr>
      <w:r>
        <w:rPr>
          <w:rFonts w:cs="Times New Roman"/>
        </w:rPr>
        <w:t>监测项目：</w:t>
      </w:r>
      <w:r>
        <w:rPr>
          <w:rFonts w:hint="eastAsia"/>
        </w:rPr>
        <w:t>pH 值、硫化物、氟化物、挥发性酚类、氰化物、氯化物、高锰酸盐指数、氨氮、石油类、总氮、总磷、五日生化需氧量、总有机碳、总钒、苯、苯并[a]芘、总砷、总镍、总铅、总汞、烷基汞等</w:t>
      </w:r>
      <w:r>
        <w:rPr>
          <w:rFonts w:cs="Times New Roman"/>
        </w:rPr>
        <w:t>。</w:t>
      </w:r>
    </w:p>
    <w:p w14:paraId="3CF71130">
      <w:pPr>
        <w:spacing w:line="360" w:lineRule="auto"/>
        <w:ind w:firstLine="480" w:firstLineChars="200"/>
        <w:textAlignment w:val="baseline"/>
        <w:rPr>
          <w:rFonts w:ascii="Times New Roman" w:hAnsi="Times New Roman" w:cs="Times New Roman"/>
        </w:rPr>
      </w:pPr>
      <w:r>
        <w:rPr>
          <w:rFonts w:ascii="Times New Roman" w:hAnsi="Times New Roman" w:cs="Times New Roman"/>
        </w:rPr>
        <w:t>监测层位为孔隙潜水；监测频次：每年一次。</w:t>
      </w:r>
    </w:p>
    <w:bookmarkEnd w:id="407"/>
    <w:p w14:paraId="6D5B32F4">
      <w:pPr>
        <w:spacing w:line="360" w:lineRule="auto"/>
        <w:ind w:firstLine="480" w:firstLineChars="200"/>
        <w:textAlignment w:val="baseline"/>
        <w:rPr>
          <w:rFonts w:ascii="Times New Roman" w:hAnsi="Times New Roman" w:cs="Times New Roman"/>
        </w:rPr>
      </w:pPr>
      <w:r>
        <w:rPr>
          <w:rFonts w:ascii="Times New Roman" w:hAnsi="Times New Roman" w:cs="Times New Roman"/>
        </w:rPr>
        <w:t>（3）地下水监测管理</w:t>
      </w:r>
    </w:p>
    <w:p w14:paraId="5EBEB6A5">
      <w:pPr>
        <w:spacing w:line="360" w:lineRule="auto"/>
        <w:ind w:firstLine="480" w:firstLineChars="200"/>
        <w:textAlignment w:val="baseline"/>
        <w:rPr>
          <w:rFonts w:ascii="Times New Roman" w:hAnsi="Times New Roman" w:cs="Times New Roman"/>
        </w:rPr>
      </w:pPr>
      <w:r>
        <w:rPr>
          <w:rFonts w:ascii="Times New Roman" w:hAnsi="Times New Roman" w:cs="Times New Roman"/>
        </w:rPr>
        <w:t>为保证地下水监测有效、有序管理，须制定相关规定、明确职责，采取以下管理措施和技术措施：</w:t>
      </w:r>
    </w:p>
    <w:p w14:paraId="5571C975">
      <w:pPr>
        <w:spacing w:line="360" w:lineRule="auto"/>
        <w:ind w:firstLine="480" w:firstLineChars="200"/>
        <w:textAlignment w:val="baseline"/>
        <w:rPr>
          <w:rFonts w:ascii="Times New Roman" w:hAnsi="Times New Roman" w:cs="Times New Roman"/>
        </w:rPr>
      </w:pPr>
      <w:r>
        <w:rPr>
          <w:rFonts w:ascii="Times New Roman" w:hAnsi="Times New Roman" w:cs="Times New Roman"/>
        </w:rPr>
        <w:t>1）管理措施</w:t>
      </w:r>
    </w:p>
    <w:p w14:paraId="094A6E77">
      <w:pPr>
        <w:spacing w:line="360" w:lineRule="auto"/>
        <w:ind w:firstLine="480" w:firstLineChars="200"/>
        <w:textAlignment w:val="baseline"/>
        <w:rPr>
          <w:rFonts w:hint="eastAsia" w:cs="Times New Roman"/>
        </w:rPr>
      </w:pPr>
      <w:r>
        <w:rPr>
          <w:rFonts w:cs="Cambria Math"/>
        </w:rPr>
        <w:t>①</w:t>
      </w:r>
      <w:r>
        <w:rPr>
          <w:rFonts w:cs="Times New Roman"/>
        </w:rPr>
        <w:t>防止地下水污染管理的职责属于环保管理部门的职责之一，应指派专人负责</w:t>
      </w:r>
      <w:r>
        <w:rPr>
          <w:rFonts w:hint="eastAsia" w:cs="Times New Roman"/>
        </w:rPr>
        <w:t>防治</w:t>
      </w:r>
      <w:r>
        <w:rPr>
          <w:rFonts w:cs="Times New Roman"/>
        </w:rPr>
        <w:t>地下水污染管理工作。</w:t>
      </w:r>
    </w:p>
    <w:p w14:paraId="077C805C">
      <w:pPr>
        <w:spacing w:line="360" w:lineRule="auto"/>
        <w:ind w:firstLine="480" w:firstLineChars="200"/>
        <w:textAlignment w:val="baseline"/>
        <w:rPr>
          <w:rFonts w:hint="eastAsia" w:cs="Times New Roman"/>
        </w:rPr>
      </w:pPr>
      <w:r>
        <w:rPr>
          <w:rFonts w:cs="Cambria Math"/>
        </w:rPr>
        <w:t>②</w:t>
      </w:r>
      <w:r>
        <w:rPr>
          <w:rFonts w:cs="Times New Roman"/>
        </w:rPr>
        <w:t>应委托具有监测资质的单位负责地下水监测工作，按要求及时分析整理原始资料、监测报告的编写工作。</w:t>
      </w:r>
    </w:p>
    <w:p w14:paraId="4E54F494">
      <w:pPr>
        <w:spacing w:line="360" w:lineRule="auto"/>
        <w:ind w:firstLine="480" w:firstLineChars="200"/>
        <w:textAlignment w:val="baseline"/>
        <w:rPr>
          <w:rFonts w:hint="eastAsia" w:cs="Times New Roman"/>
        </w:rPr>
      </w:pPr>
      <w:r>
        <w:rPr>
          <w:rFonts w:cs="Cambria Math"/>
        </w:rPr>
        <w:t>③</w:t>
      </w:r>
      <w:r>
        <w:rPr>
          <w:rFonts w:cs="Times New Roman"/>
        </w:rPr>
        <w:t>建立地下水监测数据信息管理系统。</w:t>
      </w:r>
    </w:p>
    <w:p w14:paraId="2C37C395">
      <w:pPr>
        <w:spacing w:line="360" w:lineRule="auto"/>
        <w:ind w:firstLine="480" w:firstLineChars="200"/>
        <w:textAlignment w:val="baseline"/>
        <w:rPr>
          <w:rFonts w:hint="eastAsia" w:cs="Times New Roman"/>
        </w:rPr>
      </w:pPr>
      <w:r>
        <w:rPr>
          <w:rFonts w:cs="Cambria Math"/>
        </w:rPr>
        <w:t>④</w:t>
      </w:r>
      <w:r>
        <w:rPr>
          <w:rFonts w:cs="Times New Roman"/>
        </w:rPr>
        <w:t>根据实际情况，按事故的性质、类型、影响范围、严重后果分等级地制订相应的预案。在制定预案时要根据项目环境污染事故潜在威胁的情况，认真细致地考虑各项影响因素，适当的时候组织有关部门、人员进行演练，不断补充完善。</w:t>
      </w:r>
    </w:p>
    <w:p w14:paraId="72570198">
      <w:pPr>
        <w:spacing w:line="360" w:lineRule="auto"/>
        <w:ind w:firstLine="480" w:firstLineChars="200"/>
        <w:textAlignment w:val="baseline"/>
        <w:rPr>
          <w:rFonts w:ascii="Times New Roman" w:hAnsi="Times New Roman" w:cs="Times New Roman"/>
        </w:rPr>
      </w:pPr>
      <w:r>
        <w:rPr>
          <w:rFonts w:ascii="Times New Roman" w:hAnsi="Times New Roman" w:cs="Times New Roman"/>
        </w:rPr>
        <w:t>2）技术措施：</w:t>
      </w:r>
    </w:p>
    <w:p w14:paraId="0EE51597">
      <w:pPr>
        <w:spacing w:line="360" w:lineRule="auto"/>
        <w:ind w:firstLine="480" w:firstLineChars="200"/>
        <w:textAlignment w:val="baseline"/>
        <w:rPr>
          <w:rFonts w:hint="eastAsia" w:cs="Times New Roman"/>
        </w:rPr>
      </w:pPr>
      <w:r>
        <w:rPr>
          <w:rFonts w:cs="Cambria Math"/>
        </w:rPr>
        <w:t>①</w:t>
      </w:r>
      <w:r>
        <w:rPr>
          <w:rFonts w:cs="Times New Roman"/>
        </w:rPr>
        <w:t>按照《地下水环境监测技术规范》（HJ/T164-2020）要求，及时上报监测数据和有关表格。</w:t>
      </w:r>
    </w:p>
    <w:p w14:paraId="0579EE97">
      <w:pPr>
        <w:spacing w:line="360" w:lineRule="auto"/>
        <w:ind w:firstLine="480" w:firstLineChars="200"/>
        <w:textAlignment w:val="baseline"/>
        <w:rPr>
          <w:rFonts w:hint="eastAsia" w:cs="Times New Roman"/>
        </w:rPr>
      </w:pPr>
      <w:r>
        <w:rPr>
          <w:rFonts w:cs="Cambria Math"/>
        </w:rPr>
        <w:t>②</w:t>
      </w:r>
      <w:r>
        <w:rPr>
          <w:rFonts w:cs="Times New Roman"/>
        </w:rPr>
        <w:t>在日常例行监测中，一旦发现地下水水质监测数据异常，应尽快核查数据，确保数据的正确性。并将核查过的监测数据</w:t>
      </w:r>
      <w:r>
        <w:rPr>
          <w:rFonts w:hint="eastAsia" w:cs="Times New Roman"/>
        </w:rPr>
        <w:t>报告</w:t>
      </w:r>
      <w:r>
        <w:rPr>
          <w:rFonts w:cs="Times New Roman"/>
        </w:rPr>
        <w:t>安全环保部门，由专人负责对数据进行分析、核实，并密切关注生产设施的运行情况，为防止地下水污染采取措施提供正确的依据。应采取的措施如下：</w:t>
      </w:r>
    </w:p>
    <w:p w14:paraId="31C2DB31">
      <w:pPr>
        <w:spacing w:line="360" w:lineRule="auto"/>
        <w:ind w:firstLine="480" w:firstLineChars="200"/>
        <w:textAlignment w:val="baseline"/>
        <w:rPr>
          <w:rFonts w:hint="eastAsia" w:cs="Times New Roman"/>
        </w:rPr>
      </w:pPr>
      <w:r>
        <w:rPr>
          <w:rFonts w:cs="Times New Roman"/>
        </w:rPr>
        <w:t>了解项目运行是否出现异常情况，出现异常情况的装置、原因。加大监测密度，分析变化动向。</w:t>
      </w:r>
    </w:p>
    <w:p w14:paraId="1B5FB374">
      <w:pPr>
        <w:spacing w:line="360" w:lineRule="auto"/>
        <w:ind w:firstLine="480" w:firstLineChars="200"/>
        <w:textAlignment w:val="baseline"/>
        <w:rPr>
          <w:rFonts w:hint="eastAsia" w:cs="Times New Roman"/>
        </w:rPr>
      </w:pPr>
      <w:r>
        <w:rPr>
          <w:rFonts w:cs="Cambria Math"/>
        </w:rPr>
        <w:t>③</w:t>
      </w:r>
      <w:r>
        <w:rPr>
          <w:rFonts w:cs="Times New Roman"/>
        </w:rPr>
        <w:t>周期性地编写地下水动态监测报告。</w:t>
      </w:r>
    </w:p>
    <w:p w14:paraId="41743C03">
      <w:pPr>
        <w:spacing w:line="360" w:lineRule="auto"/>
        <w:ind w:firstLine="480" w:firstLineChars="200"/>
        <w:textAlignment w:val="baseline"/>
        <w:rPr>
          <w:rFonts w:hint="eastAsia" w:cs="Times New Roman"/>
        </w:rPr>
      </w:pPr>
      <w:r>
        <w:rPr>
          <w:rFonts w:cs="Cambria Math"/>
        </w:rPr>
        <w:t>④</w:t>
      </w:r>
      <w:r>
        <w:rPr>
          <w:rFonts w:cs="Times New Roman"/>
        </w:rPr>
        <w:t>定期对污染区的储罐、法兰、阀门、管道等进行检查。</w:t>
      </w:r>
    </w:p>
    <w:p w14:paraId="232F14E3">
      <w:pPr>
        <w:spacing w:line="360" w:lineRule="auto"/>
        <w:ind w:firstLine="480" w:firstLineChars="200"/>
        <w:textAlignment w:val="baseline"/>
        <w:rPr>
          <w:rFonts w:hint="eastAsia" w:cs="Times New Roman"/>
        </w:rPr>
      </w:pPr>
      <w:r>
        <w:rPr>
          <w:rFonts w:cs="Times New Roman"/>
        </w:rPr>
        <w:t>制定风险事故应急预案的目的是在发生风险事故时，能以最快的速度发挥最大的效能，有序地实施救援，尽快控制事态的发展，降低事故对潜水和承压水含水层的污染。针对应急工作需要，参照相关技术导则，结合地下水污染治理的技术特点，制定地下水污染应急治理程序。</w:t>
      </w:r>
    </w:p>
    <w:p w14:paraId="6040FB1D">
      <w:pPr>
        <w:spacing w:line="360" w:lineRule="auto"/>
        <w:ind w:firstLine="480" w:firstLineChars="200"/>
        <w:textAlignment w:val="baseline"/>
        <w:rPr>
          <w:rFonts w:hint="eastAsia" w:cs="Times New Roman"/>
        </w:rPr>
      </w:pPr>
      <w:r>
        <w:rPr>
          <w:rFonts w:cs="Times New Roman"/>
        </w:rPr>
        <w:t>应采取如下污染治理措施：</w:t>
      </w:r>
    </w:p>
    <w:p w14:paraId="37EE7FA5">
      <w:pPr>
        <w:spacing w:line="360" w:lineRule="auto"/>
        <w:ind w:firstLine="480" w:firstLineChars="200"/>
        <w:textAlignment w:val="baseline"/>
        <w:rPr>
          <w:rFonts w:ascii="Times New Roman" w:hAnsi="Times New Roman" w:cs="Times New Roman"/>
        </w:rPr>
      </w:pPr>
      <w:r>
        <w:rPr>
          <w:rFonts w:ascii="Times New Roman" w:hAnsi="Times New Roman" w:cs="Times New Roman"/>
        </w:rPr>
        <w:t>1）一旦发生地下水污染事故，应立即启动应急预案。</w:t>
      </w:r>
    </w:p>
    <w:p w14:paraId="53A3BD4C">
      <w:pPr>
        <w:spacing w:line="360" w:lineRule="auto"/>
        <w:ind w:firstLine="480" w:firstLineChars="200"/>
        <w:textAlignment w:val="baseline"/>
        <w:rPr>
          <w:rFonts w:ascii="Times New Roman" w:hAnsi="Times New Roman" w:cs="Times New Roman"/>
        </w:rPr>
      </w:pPr>
      <w:r>
        <w:rPr>
          <w:rFonts w:ascii="Times New Roman" w:hAnsi="Times New Roman" w:cs="Times New Roman"/>
        </w:rPr>
        <w:t>2）查明并切断水污染源。</w:t>
      </w:r>
    </w:p>
    <w:p w14:paraId="4BA1FD14">
      <w:pPr>
        <w:spacing w:line="360" w:lineRule="auto"/>
        <w:ind w:firstLine="480" w:firstLineChars="200"/>
        <w:textAlignment w:val="baseline"/>
        <w:rPr>
          <w:rFonts w:ascii="Times New Roman" w:hAnsi="Times New Roman" w:cs="Times New Roman"/>
        </w:rPr>
      </w:pPr>
      <w:r>
        <w:rPr>
          <w:rFonts w:ascii="Times New Roman" w:hAnsi="Times New Roman" w:cs="Times New Roman"/>
        </w:rPr>
        <w:t>3）探明地下水污染深度、范围和污染程度。</w:t>
      </w:r>
    </w:p>
    <w:p w14:paraId="2076B465">
      <w:pPr>
        <w:spacing w:line="360" w:lineRule="auto"/>
        <w:ind w:firstLine="480" w:firstLineChars="200"/>
        <w:textAlignment w:val="baseline"/>
        <w:rPr>
          <w:rFonts w:ascii="Times New Roman" w:hAnsi="Times New Roman" w:cs="Times New Roman"/>
        </w:rPr>
      </w:pPr>
      <w:r>
        <w:rPr>
          <w:rFonts w:ascii="Times New Roman" w:hAnsi="Times New Roman" w:cs="Times New Roman"/>
        </w:rPr>
        <w:t>4）依据探明的地下水污染情况，合理布置截渗井，并进行试抽工作。</w:t>
      </w:r>
    </w:p>
    <w:p w14:paraId="04F34F27">
      <w:pPr>
        <w:spacing w:line="360" w:lineRule="auto"/>
        <w:ind w:firstLine="480" w:firstLineChars="200"/>
        <w:textAlignment w:val="baseline"/>
        <w:rPr>
          <w:rFonts w:ascii="Times New Roman" w:hAnsi="Times New Roman" w:cs="Times New Roman"/>
        </w:rPr>
      </w:pPr>
      <w:r>
        <w:rPr>
          <w:rFonts w:ascii="Times New Roman" w:hAnsi="Times New Roman" w:cs="Times New Roman"/>
        </w:rPr>
        <w:t>5）依据抽水设计方案进行施工，抽取被污染的地下水体，并依据各井孔出水情况进行调整。</w:t>
      </w:r>
    </w:p>
    <w:p w14:paraId="05303116">
      <w:pPr>
        <w:spacing w:line="360" w:lineRule="auto"/>
        <w:ind w:firstLine="480" w:firstLineChars="200"/>
        <w:textAlignment w:val="baseline"/>
        <w:rPr>
          <w:rFonts w:ascii="Times New Roman" w:hAnsi="Times New Roman" w:cs="Times New Roman"/>
        </w:rPr>
      </w:pPr>
      <w:r>
        <w:rPr>
          <w:rFonts w:ascii="Times New Roman" w:hAnsi="Times New Roman" w:cs="Times New Roman"/>
        </w:rPr>
        <w:t>6）将抽取的地下水进行集中收集处理，并送化验室进行化验分析。</w:t>
      </w:r>
    </w:p>
    <w:p w14:paraId="24D7C906">
      <w:pPr>
        <w:spacing w:line="360" w:lineRule="auto"/>
        <w:ind w:firstLine="480" w:firstLineChars="200"/>
        <w:textAlignment w:val="baseline"/>
        <w:rPr>
          <w:rFonts w:ascii="Times New Roman" w:hAnsi="Times New Roman" w:cs="Times New Roman"/>
        </w:rPr>
      </w:pPr>
      <w:r>
        <w:rPr>
          <w:rFonts w:ascii="Times New Roman" w:hAnsi="Times New Roman" w:cs="Times New Roman"/>
        </w:rPr>
        <w:t>7）当地下水中的特征污染物浓度满足地下水功能区划的标准后，逐步停止抽水，并进行土壤修复治理工作。</w:t>
      </w:r>
    </w:p>
    <w:p w14:paraId="0547AF38">
      <w:pPr>
        <w:spacing w:line="360" w:lineRule="auto"/>
        <w:ind w:firstLine="480" w:firstLineChars="200"/>
        <w:rPr>
          <w:rFonts w:ascii="Times New Roman" w:hAnsi="Times New Roman" w:cs="Times New Roman"/>
        </w:rPr>
      </w:pPr>
      <w:r>
        <w:rPr>
          <w:rFonts w:ascii="Times New Roman" w:hAnsi="Times New Roman" w:cs="Times New Roman"/>
        </w:rPr>
        <w:t>相关建议</w:t>
      </w:r>
    </w:p>
    <w:p w14:paraId="2A19A820">
      <w:pPr>
        <w:spacing w:line="360" w:lineRule="auto"/>
        <w:ind w:firstLine="480" w:firstLineChars="200"/>
        <w:textAlignment w:val="baseline"/>
        <w:rPr>
          <w:rFonts w:ascii="Times New Roman" w:hAnsi="Times New Roman" w:cs="Times New Roman"/>
        </w:rPr>
      </w:pPr>
      <w:r>
        <w:rPr>
          <w:rFonts w:ascii="Times New Roman" w:hAnsi="Times New Roman" w:cs="Times New Roman"/>
        </w:rPr>
        <w:t>1）地下水污染具有不易发现和一旦污染很难治理的特点，因此，防止地下水污染应遵循源头控制、防止渗漏、污染监测及事故应急处理的主动及被动防渗相结合的原则。</w:t>
      </w:r>
    </w:p>
    <w:p w14:paraId="3553909E">
      <w:pPr>
        <w:spacing w:line="360" w:lineRule="auto"/>
        <w:ind w:firstLine="480" w:firstLineChars="200"/>
        <w:textAlignment w:val="baseline"/>
        <w:rPr>
          <w:rFonts w:ascii="Times New Roman" w:hAnsi="Times New Roman" w:cs="Times New Roman"/>
        </w:rPr>
      </w:pPr>
      <w:r>
        <w:rPr>
          <w:rFonts w:ascii="Times New Roman" w:hAnsi="Times New Roman" w:cs="Times New Roman"/>
        </w:rPr>
        <w:t>2）地下水污染情况勘察是一项专业性很强的工作，一旦发生污染事故，应委托具有水文地质勘察资质的单位查明地下水污染情况。</w:t>
      </w:r>
    </w:p>
    <w:p w14:paraId="61DFD1B1">
      <w:pPr>
        <w:pStyle w:val="91"/>
        <w:spacing w:line="360" w:lineRule="auto"/>
        <w:ind w:firstLine="480"/>
        <w:rPr>
          <w:rFonts w:ascii="Times New Roman" w:hAnsi="Times New Roman" w:cs="Times New Roman"/>
          <w:sz w:val="24"/>
        </w:rPr>
      </w:pPr>
      <w:r>
        <w:rPr>
          <w:rFonts w:ascii="Times New Roman" w:hAnsi="Times New Roman" w:cs="Times New Roman"/>
          <w:sz w:val="24"/>
        </w:rPr>
        <w:t>3）当污染事故发生后，污染物首先渗透到不饱和层，然后依据污染物的特性、土壤结构以及场地状况等因素，污染物可能渗透至含水层，而污染地下水。地下水一旦污染，治理非常困难，建设单位应重视地下水污染预防的重要性，确保各项预防措施落实到位、运行正常。</w:t>
      </w:r>
    </w:p>
    <w:p w14:paraId="627C5A66">
      <w:pPr>
        <w:pStyle w:val="97"/>
        <w:rPr>
          <w:rFonts w:hint="eastAsia"/>
        </w:rPr>
      </w:pPr>
      <w:r>
        <w:t>噪声污染治理措施</w:t>
      </w:r>
    </w:p>
    <w:p w14:paraId="57A4F8DC">
      <w:pPr>
        <w:pStyle w:val="529"/>
      </w:pPr>
      <w:r>
        <w:rPr>
          <w:rFonts w:hint="eastAsia"/>
          <w:bCs/>
        </w:rPr>
        <w:t>本项目企业噪声源主要为各种动、静设备运行时产生的正常生产噪声，以及非正常噪声等。</w:t>
      </w:r>
      <w:r>
        <w:rPr>
          <w:rFonts w:hint="eastAsia"/>
        </w:rPr>
        <w:t>噪声源主要为各种动静设备如压缩机、泵、加热炉、调节阀、管道、火炬和工艺气体、压缩气体等生产噪声等。</w:t>
      </w:r>
    </w:p>
    <w:p w14:paraId="6EEBE8C9">
      <w:pPr>
        <w:pStyle w:val="98"/>
        <w:rPr>
          <w:rFonts w:hint="eastAsia"/>
          <w:color w:val="auto"/>
        </w:rPr>
      </w:pPr>
      <w:r>
        <w:rPr>
          <w:rFonts w:hint="eastAsia"/>
          <w:color w:val="auto"/>
        </w:rPr>
        <w:t>主要噪声源控制措施</w:t>
      </w:r>
    </w:p>
    <w:p w14:paraId="6B4E5131">
      <w:pPr>
        <w:pStyle w:val="281"/>
        <w:ind w:firstLine="480"/>
        <w:rPr>
          <w:lang w:val="de-DE"/>
        </w:rPr>
      </w:pPr>
      <w:r>
        <w:rPr>
          <w:rFonts w:hint="eastAsia" w:ascii="宋体" w:hAnsi="宋体"/>
          <w:lang w:val="de-DE"/>
        </w:rPr>
        <w:t>本项目主要噪声源应采取如下降噪声措施，以减少噪声污染，以确保厂界达标。</w:t>
      </w:r>
    </w:p>
    <w:p w14:paraId="368DAD7A">
      <w:pPr>
        <w:pStyle w:val="281"/>
        <w:ind w:firstLine="480"/>
        <w:rPr>
          <w:lang w:val="de-DE"/>
        </w:rPr>
      </w:pPr>
      <w:r>
        <w:rPr>
          <w:rFonts w:hint="eastAsia" w:ascii="宋体" w:hAnsi="宋体"/>
          <w:lang w:val="de-DE"/>
        </w:rPr>
        <w:t>（</w:t>
      </w:r>
      <w:r>
        <w:rPr>
          <w:lang w:val="de-DE"/>
        </w:rPr>
        <w:t>1</w:t>
      </w:r>
      <w:r>
        <w:rPr>
          <w:rFonts w:hint="eastAsia" w:ascii="宋体" w:hAnsi="宋体"/>
          <w:lang w:val="de-DE"/>
        </w:rPr>
        <w:t>）加热炉</w:t>
      </w:r>
    </w:p>
    <w:p w14:paraId="7444F1B7">
      <w:pPr>
        <w:pStyle w:val="281"/>
        <w:ind w:firstLine="480"/>
        <w:rPr>
          <w:lang w:val="de-DE"/>
        </w:rPr>
      </w:pPr>
      <w:r>
        <w:rPr>
          <w:rFonts w:hint="eastAsia" w:ascii="宋体" w:hAnsi="宋体"/>
          <w:lang w:val="de-DE"/>
        </w:rPr>
        <w:t>加热炉是主要的噪声源。其噪声呈低、中频连续性噪声，加热炉噪声控制措施有：</w:t>
      </w:r>
    </w:p>
    <w:p w14:paraId="13F9F5DD">
      <w:pPr>
        <w:pStyle w:val="281"/>
        <w:ind w:firstLine="480"/>
        <w:rPr>
          <w:lang w:val="de-DE"/>
        </w:rPr>
      </w:pPr>
      <w:r>
        <w:rPr>
          <w:rFonts w:hint="eastAsia" w:ascii="宋体" w:hAnsi="宋体"/>
          <w:lang w:val="de-DE"/>
        </w:rPr>
        <w:t>①采用低噪声燃烧喷嘴。例如用高辐射燃烧式喷嘴代替板式无焰喷嘴；用多孔喷嘴代替单孔喷嘴，以减少喷射及湍流噪声。</w:t>
      </w:r>
    </w:p>
    <w:p w14:paraId="7759E6D7">
      <w:pPr>
        <w:pStyle w:val="281"/>
        <w:ind w:firstLine="480"/>
        <w:rPr>
          <w:lang w:val="de-DE"/>
        </w:rPr>
      </w:pPr>
      <w:r>
        <w:rPr>
          <w:lang w:val="de-DE"/>
        </w:rPr>
        <w:fldChar w:fldCharType="begin"/>
      </w:r>
      <w:r>
        <w:rPr>
          <w:lang w:val="de-DE"/>
        </w:rPr>
        <w:instrText xml:space="preserve"> = 2 \* GB3 \* MERGEFORMAT </w:instrText>
      </w:r>
      <w:r>
        <w:rPr>
          <w:lang w:val="de-DE"/>
        </w:rPr>
        <w:fldChar w:fldCharType="separate"/>
      </w:r>
      <w:r>
        <w:rPr>
          <w:rFonts w:hint="eastAsia" w:ascii="宋体" w:hAnsi="宋体"/>
        </w:rPr>
        <w:t>②</w:t>
      </w:r>
      <w:r>
        <w:rPr>
          <w:lang w:val="de-DE"/>
        </w:rPr>
        <w:fldChar w:fldCharType="end"/>
      </w:r>
      <w:r>
        <w:rPr>
          <w:rFonts w:hint="eastAsia" w:ascii="宋体" w:hAnsi="宋体"/>
          <w:lang w:val="de-DE"/>
        </w:rPr>
        <w:t>将自然通风改为强制通风。</w:t>
      </w:r>
    </w:p>
    <w:p w14:paraId="4EF9B1DA">
      <w:pPr>
        <w:pStyle w:val="281"/>
        <w:ind w:firstLine="480"/>
        <w:rPr>
          <w:lang w:val="de-DE"/>
        </w:rPr>
      </w:pPr>
      <w:r>
        <w:rPr>
          <w:rFonts w:hint="eastAsia" w:ascii="宋体" w:hAnsi="宋体"/>
          <w:lang w:val="de-DE"/>
        </w:rPr>
        <w:t>③设置消声罩。消声罩的壳体为金属板，内衬</w:t>
      </w:r>
      <w:r>
        <w:rPr>
          <w:lang w:val="de-DE"/>
        </w:rPr>
        <w:t>30</w:t>
      </w:r>
      <w:r>
        <w:rPr>
          <w:rFonts w:hint="eastAsia" w:ascii="宋体" w:hAnsi="宋体"/>
          <w:lang w:val="de-DE"/>
        </w:rPr>
        <w:t>～</w:t>
      </w:r>
      <w:r>
        <w:rPr>
          <w:lang w:val="de-DE"/>
        </w:rPr>
        <w:t>50mm</w:t>
      </w:r>
      <w:r>
        <w:rPr>
          <w:rFonts w:hint="eastAsia" w:ascii="宋体" w:hAnsi="宋体"/>
          <w:lang w:val="de-DE"/>
        </w:rPr>
        <w:t>吸声材料。吸声材料采用不燃、耐温的吸声泡沫玻璃或其他松软纤维性吸声材料，如超细玻璃棉等。若采用松软纤维性吸声材料，必须加护面结构，如孔板、钢丝网等。</w:t>
      </w:r>
    </w:p>
    <w:p w14:paraId="5C28D9D3">
      <w:pPr>
        <w:pStyle w:val="281"/>
        <w:ind w:firstLine="480"/>
        <w:rPr>
          <w:lang w:val="de-DE"/>
        </w:rPr>
      </w:pPr>
      <w:r>
        <w:rPr>
          <w:rFonts w:hint="eastAsia" w:ascii="宋体" w:hAnsi="宋体"/>
          <w:lang w:val="de-DE"/>
        </w:rPr>
        <w:t>（</w:t>
      </w:r>
      <w:r>
        <w:rPr>
          <w:lang w:val="de-DE"/>
        </w:rPr>
        <w:t>2</w:t>
      </w:r>
      <w:r>
        <w:rPr>
          <w:rFonts w:hint="eastAsia" w:ascii="宋体" w:hAnsi="宋体"/>
          <w:lang w:val="de-DE"/>
        </w:rPr>
        <w:t>）风机及压缩机</w:t>
      </w:r>
    </w:p>
    <w:p w14:paraId="2639677E">
      <w:pPr>
        <w:pStyle w:val="281"/>
        <w:ind w:firstLine="480"/>
        <w:rPr>
          <w:lang w:val="de-DE"/>
        </w:rPr>
      </w:pPr>
      <w:r>
        <w:rPr>
          <w:rFonts w:hint="eastAsia" w:ascii="宋体" w:hAnsi="宋体"/>
          <w:lang w:val="de-DE"/>
        </w:rPr>
        <w:t>风机及压缩机噪声主要由空气动力噪声和机械振动噪声构成。空气动力性噪声是由旋转叶片引起气体介质的涡流和紊流产生的噪声，以及叶片对介质周期性的压力产生的脉冲噪声。机械振动噪声是由轴承噪声及旋转部件的不平衡所产生的振动噪声。这些噪声主要由风机进出口、管道、风机壳体，以及基础的振动等形式向外辐射。风机及压缩机噪声控制方法有：</w:t>
      </w:r>
    </w:p>
    <w:p w14:paraId="03441F93">
      <w:pPr>
        <w:pStyle w:val="281"/>
        <w:ind w:firstLine="480"/>
        <w:rPr>
          <w:lang w:val="de-DE"/>
        </w:rPr>
      </w:pPr>
      <w:r>
        <w:rPr>
          <w:rFonts w:hint="eastAsia" w:ascii="宋体" w:hAnsi="宋体"/>
          <w:lang w:val="de-DE"/>
        </w:rPr>
        <w:t>①进（排）气管道安装消声器，消声量在</w:t>
      </w:r>
      <w:r>
        <w:rPr>
          <w:lang w:val="de-DE"/>
        </w:rPr>
        <w:t>25dB</w:t>
      </w:r>
      <w:r>
        <w:rPr>
          <w:rFonts w:hint="eastAsia" w:ascii="宋体" w:hAnsi="宋体"/>
          <w:lang w:val="de-DE"/>
        </w:rPr>
        <w:t>（</w:t>
      </w:r>
      <w:r>
        <w:rPr>
          <w:lang w:val="de-DE"/>
        </w:rPr>
        <w:t>A</w:t>
      </w:r>
      <w:r>
        <w:rPr>
          <w:rFonts w:hint="eastAsia" w:ascii="宋体" w:hAnsi="宋体"/>
          <w:lang w:val="de-DE"/>
        </w:rPr>
        <w:t>）以上。</w:t>
      </w:r>
    </w:p>
    <w:p w14:paraId="677BF2DD">
      <w:pPr>
        <w:pStyle w:val="281"/>
        <w:ind w:firstLine="480"/>
        <w:rPr>
          <w:lang w:val="de-DE"/>
        </w:rPr>
      </w:pPr>
      <w:r>
        <w:rPr>
          <w:rFonts w:hint="eastAsia" w:ascii="宋体" w:hAnsi="宋体"/>
          <w:lang w:val="de-DE"/>
        </w:rPr>
        <w:t>②设备与底座之间设置减振措施。</w:t>
      </w:r>
    </w:p>
    <w:p w14:paraId="1920E56D">
      <w:pPr>
        <w:pStyle w:val="281"/>
        <w:ind w:firstLine="480"/>
        <w:rPr>
          <w:lang w:val="de-DE"/>
        </w:rPr>
      </w:pPr>
      <w:r>
        <w:rPr>
          <w:rFonts w:hint="eastAsia" w:ascii="宋体" w:hAnsi="宋体"/>
          <w:lang w:val="de-DE"/>
        </w:rPr>
        <w:t>③设隔声罩。控制由风机壳体所辐射的噪声、电磁噪声以及驱动设备（如电机）噪声。</w:t>
      </w:r>
    </w:p>
    <w:p w14:paraId="1E0E489D">
      <w:pPr>
        <w:pStyle w:val="281"/>
        <w:ind w:firstLine="480"/>
        <w:rPr>
          <w:lang w:val="de-DE"/>
        </w:rPr>
      </w:pPr>
      <w:r>
        <w:rPr>
          <w:rFonts w:hint="eastAsia" w:ascii="宋体" w:hAnsi="宋体"/>
          <w:lang w:val="de-DE"/>
        </w:rPr>
        <w:t>④设置风机房和压缩机房，对室内进行声学处理，主要提高墙壁、顶棚的吸声系数，以提高室内吸声量，设置隔声门窗，设置隔声控制室。</w:t>
      </w:r>
    </w:p>
    <w:p w14:paraId="2504637D">
      <w:pPr>
        <w:pStyle w:val="281"/>
        <w:ind w:firstLine="480"/>
        <w:rPr>
          <w:lang w:val="de-DE"/>
        </w:rPr>
      </w:pPr>
      <w:r>
        <w:rPr>
          <w:rFonts w:hint="eastAsia" w:ascii="宋体" w:hAnsi="宋体"/>
          <w:lang w:val="de-DE"/>
        </w:rPr>
        <w:t>（</w:t>
      </w:r>
      <w:r>
        <w:rPr>
          <w:lang w:val="de-DE"/>
        </w:rPr>
        <w:t>3</w:t>
      </w:r>
      <w:r>
        <w:rPr>
          <w:rFonts w:hint="eastAsia" w:ascii="宋体" w:hAnsi="宋体"/>
          <w:lang w:val="de-DE"/>
        </w:rPr>
        <w:t>）机泵</w:t>
      </w:r>
    </w:p>
    <w:p w14:paraId="34696B95">
      <w:pPr>
        <w:pStyle w:val="281"/>
        <w:ind w:firstLine="480"/>
        <w:rPr>
          <w:lang w:val="de-DE"/>
        </w:rPr>
      </w:pPr>
      <w:r>
        <w:rPr>
          <w:rFonts w:hint="eastAsia" w:ascii="宋体" w:hAnsi="宋体"/>
          <w:lang w:val="de-DE"/>
        </w:rPr>
        <w:t>机泵其噪声主要在电机侧，电机噪声一般比泵噪声大</w:t>
      </w:r>
      <w:r>
        <w:rPr>
          <w:lang w:val="de-DE"/>
        </w:rPr>
        <w:t>5dB</w:t>
      </w:r>
      <w:r>
        <w:rPr>
          <w:rFonts w:hint="eastAsia" w:ascii="宋体" w:hAnsi="宋体"/>
          <w:lang w:val="de-DE"/>
        </w:rPr>
        <w:t>（</w:t>
      </w:r>
      <w:r>
        <w:rPr>
          <w:lang w:val="de-DE"/>
        </w:rPr>
        <w:t>A</w:t>
      </w:r>
      <w:r>
        <w:rPr>
          <w:rFonts w:hint="eastAsia" w:ascii="宋体" w:hAnsi="宋体"/>
          <w:lang w:val="de-DE"/>
        </w:rPr>
        <w:t>）左右。所以机泵噪声的治理主要是对电机噪声的控制。大多数电机均为空气冷却，其噪声主要来源于冷却风扇产生的空气动力噪声，其次为电磁噪声、旋转机械噪声等。电机的噪声强度与其功率、转速等参数有关。电机噪声主要控制措施有：</w:t>
      </w:r>
    </w:p>
    <w:p w14:paraId="4B50FD4F">
      <w:pPr>
        <w:pStyle w:val="281"/>
        <w:ind w:firstLine="480"/>
        <w:rPr>
          <w:lang w:val="de-DE"/>
        </w:rPr>
      </w:pPr>
      <w:r>
        <w:rPr>
          <w:rFonts w:hint="eastAsia" w:ascii="宋体" w:hAnsi="宋体"/>
          <w:lang w:val="de-DE"/>
        </w:rPr>
        <w:t>①设置隔声罩。对电机空气动力噪声和电磁噪声均可进行有效控制，一般降噪效果可达</w:t>
      </w:r>
      <w:r>
        <w:rPr>
          <w:lang w:val="de-DE"/>
        </w:rPr>
        <w:t>8</w:t>
      </w:r>
      <w:r>
        <w:rPr>
          <w:rFonts w:hint="eastAsia" w:ascii="宋体" w:hAnsi="宋体"/>
          <w:lang w:val="de-DE"/>
        </w:rPr>
        <w:t>～</w:t>
      </w:r>
      <w:r>
        <w:rPr>
          <w:lang w:val="de-DE"/>
        </w:rPr>
        <w:t>10dB</w:t>
      </w:r>
      <w:r>
        <w:rPr>
          <w:rFonts w:hint="eastAsia" w:ascii="宋体" w:hAnsi="宋体"/>
          <w:lang w:val="de-DE"/>
        </w:rPr>
        <w:t>（</w:t>
      </w:r>
      <w:r>
        <w:rPr>
          <w:lang w:val="de-DE"/>
        </w:rPr>
        <w:t>A</w:t>
      </w:r>
      <w:r>
        <w:rPr>
          <w:rFonts w:hint="eastAsia" w:ascii="宋体" w:hAnsi="宋体"/>
          <w:lang w:val="de-DE"/>
        </w:rPr>
        <w:t>）。</w:t>
      </w:r>
    </w:p>
    <w:p w14:paraId="7D1292CB">
      <w:pPr>
        <w:pStyle w:val="281"/>
        <w:ind w:firstLine="480"/>
        <w:rPr>
          <w:lang w:val="de-DE"/>
        </w:rPr>
      </w:pPr>
      <w:r>
        <w:rPr>
          <w:rFonts w:hint="eastAsia" w:ascii="宋体" w:hAnsi="宋体"/>
          <w:lang w:val="de-DE"/>
        </w:rPr>
        <w:t>②对机泵与基础间的隔振或减振处理。</w:t>
      </w:r>
    </w:p>
    <w:p w14:paraId="4C966072">
      <w:pPr>
        <w:pStyle w:val="281"/>
        <w:ind w:firstLine="480"/>
        <w:rPr>
          <w:lang w:val="de-DE"/>
        </w:rPr>
      </w:pPr>
      <w:r>
        <w:rPr>
          <w:rFonts w:hint="eastAsia" w:ascii="宋体" w:hAnsi="宋体"/>
          <w:lang w:val="de-DE"/>
        </w:rPr>
        <w:t>（</w:t>
      </w:r>
      <w:r>
        <w:rPr>
          <w:lang w:val="de-DE"/>
        </w:rPr>
        <w:t>4</w:t>
      </w:r>
      <w:r>
        <w:rPr>
          <w:rFonts w:hint="eastAsia" w:ascii="宋体" w:hAnsi="宋体"/>
          <w:lang w:val="de-DE"/>
        </w:rPr>
        <w:t>）阀门及管道噪声</w:t>
      </w:r>
    </w:p>
    <w:p w14:paraId="3FFEC211">
      <w:pPr>
        <w:pStyle w:val="281"/>
        <w:ind w:firstLine="480"/>
        <w:rPr>
          <w:lang w:val="de-DE"/>
        </w:rPr>
      </w:pPr>
      <w:r>
        <w:rPr>
          <w:rFonts w:hint="eastAsia" w:ascii="宋体" w:hAnsi="宋体"/>
          <w:lang w:val="de-DE"/>
        </w:rPr>
        <w:t>节流阀、压力调节阀与管道是生产过程中的主要噪声源之一。其中：阀门噪声产生的原因有：空气动力噪声、流体动力噪声、机械振动噪声。</w:t>
      </w:r>
    </w:p>
    <w:p w14:paraId="2B67D90C">
      <w:pPr>
        <w:pStyle w:val="281"/>
        <w:ind w:firstLine="480"/>
        <w:rPr>
          <w:lang w:val="de-DE"/>
        </w:rPr>
      </w:pPr>
      <w:r>
        <w:rPr>
          <w:rFonts w:hint="eastAsia" w:ascii="宋体" w:hAnsi="宋体"/>
          <w:lang w:val="de-DE"/>
        </w:rPr>
        <w:t>管道噪声产生的原因有：一是管道系统中高速气流的冲击、摩擦或在弯头、阀门和其他变径处所产生噪声，二是与之相连的机械振动激发管壁振动而产生的噪声。阀门及管道噪声主要控制方法有：</w:t>
      </w:r>
    </w:p>
    <w:p w14:paraId="49FE7727">
      <w:pPr>
        <w:pStyle w:val="281"/>
        <w:ind w:firstLine="480"/>
        <w:rPr>
          <w:lang w:val="de-DE"/>
        </w:rPr>
      </w:pPr>
      <w:r>
        <w:rPr>
          <w:rFonts w:hint="eastAsia" w:ascii="宋体" w:hAnsi="宋体"/>
          <w:lang w:val="de-DE"/>
        </w:rPr>
        <w:t>①选用低噪声阀门。</w:t>
      </w:r>
    </w:p>
    <w:p w14:paraId="422DEC2F">
      <w:pPr>
        <w:pStyle w:val="281"/>
        <w:ind w:firstLine="480"/>
        <w:rPr>
          <w:lang w:val="de-DE"/>
        </w:rPr>
      </w:pPr>
      <w:r>
        <w:rPr>
          <w:rFonts w:hint="eastAsia" w:ascii="宋体" w:hAnsi="宋体"/>
          <w:lang w:val="de-DE"/>
        </w:rPr>
        <w:t>②管道的合理设计，控制介质的流速，避免介质流向的急剧变化，管径的变化设有光滑的过渡段等。管道与振动设备的连接由刚性连接改为弹性连接，避免机械设备激发管道振动。设消声器或结合管道保温进行管道隔声包扎。</w:t>
      </w:r>
    </w:p>
    <w:p w14:paraId="76CA98D1">
      <w:pPr>
        <w:pStyle w:val="281"/>
        <w:ind w:firstLine="480"/>
      </w:pPr>
      <w:r>
        <w:rPr>
          <w:rFonts w:hint="eastAsia"/>
        </w:rPr>
        <w:t>（5）空冷器</w:t>
      </w:r>
    </w:p>
    <w:p w14:paraId="555590A5">
      <w:pPr>
        <w:pStyle w:val="281"/>
        <w:ind w:firstLine="480"/>
        <w:rPr>
          <w:lang w:val="de-DE"/>
        </w:rPr>
      </w:pPr>
      <w:r>
        <w:rPr>
          <w:rFonts w:hint="eastAsia" w:ascii="宋体" w:hAnsi="宋体"/>
          <w:lang w:val="de-DE"/>
        </w:rPr>
        <w:t>空冷器噪声主要来源于空冷风机所产生的空气动力噪声，电机噪声和传动系统所产生的机械噪声，其中风机噪声占空冷器噪声的</w:t>
      </w:r>
      <w:r>
        <w:rPr>
          <w:lang w:val="de-DE"/>
        </w:rPr>
        <w:t>80%</w:t>
      </w:r>
      <w:r>
        <w:rPr>
          <w:rFonts w:hint="eastAsia" w:ascii="宋体" w:hAnsi="宋体"/>
          <w:lang w:val="de-DE"/>
        </w:rPr>
        <w:t>。控制方法主要有：</w:t>
      </w:r>
    </w:p>
    <w:p w14:paraId="4E9AFA8F">
      <w:pPr>
        <w:pStyle w:val="281"/>
        <w:ind w:firstLine="480"/>
        <w:rPr>
          <w:lang w:val="de-DE"/>
        </w:rPr>
      </w:pPr>
      <w:r>
        <w:rPr>
          <w:rFonts w:hint="eastAsia" w:ascii="宋体" w:hAnsi="宋体"/>
          <w:lang w:val="de-DE"/>
        </w:rPr>
        <w:t>①降低风机转速。</w:t>
      </w:r>
    </w:p>
    <w:p w14:paraId="2A8B1A04">
      <w:pPr>
        <w:pStyle w:val="281"/>
        <w:ind w:firstLine="480"/>
        <w:rPr>
          <w:lang w:val="de-DE"/>
        </w:rPr>
      </w:pPr>
      <w:r>
        <w:rPr>
          <w:rFonts w:hint="eastAsia" w:ascii="宋体" w:hAnsi="宋体"/>
          <w:lang w:val="de-DE"/>
        </w:rPr>
        <w:t>②设置消声器。空冷风机的顶部风筒是辐射噪声的主要部位，在风筒上部安装片式阻性消声器，可使局部噪声降低</w:t>
      </w:r>
      <w:r>
        <w:rPr>
          <w:lang w:val="de-DE"/>
        </w:rPr>
        <w:t>20dB</w:t>
      </w:r>
      <w:r>
        <w:rPr>
          <w:rFonts w:hint="eastAsia" w:ascii="宋体" w:hAnsi="宋体"/>
          <w:lang w:val="de-DE"/>
        </w:rPr>
        <w:t>（</w:t>
      </w:r>
      <w:r>
        <w:rPr>
          <w:lang w:val="de-DE"/>
        </w:rPr>
        <w:t>A</w:t>
      </w:r>
      <w:r>
        <w:rPr>
          <w:rFonts w:hint="eastAsia" w:ascii="宋体" w:hAnsi="宋体"/>
          <w:lang w:val="de-DE"/>
        </w:rPr>
        <w:t>）左右。</w:t>
      </w:r>
    </w:p>
    <w:p w14:paraId="3571CBAB">
      <w:pPr>
        <w:pStyle w:val="281"/>
        <w:ind w:firstLine="480"/>
        <w:rPr>
          <w:lang w:val="de-DE"/>
        </w:rPr>
      </w:pPr>
      <w:r>
        <w:rPr>
          <w:rFonts w:hint="eastAsia" w:ascii="宋体" w:hAnsi="宋体"/>
          <w:lang w:val="de-DE"/>
        </w:rPr>
        <w:t>（</w:t>
      </w:r>
      <w:r>
        <w:rPr>
          <w:lang w:val="de-DE"/>
        </w:rPr>
        <w:t>6</w:t>
      </w:r>
      <w:r>
        <w:rPr>
          <w:rFonts w:hint="eastAsia" w:ascii="宋体" w:hAnsi="宋体"/>
          <w:lang w:val="de-DE"/>
        </w:rPr>
        <w:t>）冷却塔</w:t>
      </w:r>
    </w:p>
    <w:p w14:paraId="699F2C25">
      <w:pPr>
        <w:pStyle w:val="281"/>
        <w:ind w:firstLine="480"/>
        <w:rPr>
          <w:lang w:val="de-DE"/>
        </w:rPr>
      </w:pPr>
      <w:r>
        <w:rPr>
          <w:rFonts w:hint="eastAsia" w:ascii="宋体" w:hAnsi="宋体"/>
          <w:lang w:val="de-DE"/>
        </w:rPr>
        <w:t>冷却塔噪声主要来源于风机产生的空气动力噪声、电机噪声及落水噪声。冷却塔主要噪声控制措施有：</w:t>
      </w:r>
    </w:p>
    <w:p w14:paraId="1A6D7D28">
      <w:pPr>
        <w:pStyle w:val="281"/>
        <w:ind w:firstLine="480"/>
        <w:rPr>
          <w:lang w:val="de-DE"/>
        </w:rPr>
      </w:pPr>
      <w:r>
        <w:rPr>
          <w:rFonts w:hint="eastAsia" w:ascii="宋体" w:hAnsi="宋体"/>
          <w:lang w:val="de-DE"/>
        </w:rPr>
        <w:t>①选用低噪声风机。设计时选用宽叶片、低转速的低噪声风机。</w:t>
      </w:r>
    </w:p>
    <w:p w14:paraId="756728B7">
      <w:pPr>
        <w:pStyle w:val="281"/>
        <w:ind w:firstLine="480"/>
        <w:rPr>
          <w:lang w:val="de-DE"/>
        </w:rPr>
      </w:pPr>
      <w:r>
        <w:rPr>
          <w:rFonts w:hint="eastAsia" w:ascii="宋体" w:hAnsi="宋体"/>
          <w:lang w:val="de-DE"/>
        </w:rPr>
        <w:t>②为了控制风机进风处噪声对周围环境的影响，在风机下部设置百叶隔声屏障。使风机进风口噪声得到衰减又保证进风畅通。</w:t>
      </w:r>
    </w:p>
    <w:p w14:paraId="1191F5BC">
      <w:pPr>
        <w:pStyle w:val="281"/>
        <w:ind w:firstLine="480"/>
        <w:rPr>
          <w:lang w:val="de-DE"/>
        </w:rPr>
      </w:pPr>
      <w:r>
        <w:rPr>
          <w:rFonts w:hint="eastAsia" w:ascii="宋体" w:hAnsi="宋体"/>
          <w:lang w:val="de-DE"/>
        </w:rPr>
        <w:t>③隔声屏障。在冷却塔周围或对噪声敏感侧设置隔声屏障，降低落水噪声对环境的影响。</w:t>
      </w:r>
    </w:p>
    <w:p w14:paraId="278CED83">
      <w:pPr>
        <w:pStyle w:val="281"/>
        <w:ind w:firstLine="480"/>
        <w:rPr>
          <w:lang w:val="de-DE"/>
        </w:rPr>
      </w:pPr>
      <w:r>
        <w:rPr>
          <w:rFonts w:hint="eastAsia" w:ascii="宋体" w:hAnsi="宋体"/>
          <w:lang w:val="de-DE"/>
        </w:rPr>
        <w:t>（</w:t>
      </w:r>
      <w:r>
        <w:rPr>
          <w:lang w:val="de-DE"/>
        </w:rPr>
        <w:t>7</w:t>
      </w:r>
      <w:r>
        <w:rPr>
          <w:rFonts w:hint="eastAsia" w:ascii="宋体" w:hAnsi="宋体"/>
          <w:lang w:val="de-DE"/>
        </w:rPr>
        <w:t>）气体放空</w:t>
      </w:r>
    </w:p>
    <w:p w14:paraId="6480879D">
      <w:pPr>
        <w:pStyle w:val="281"/>
        <w:ind w:firstLine="480"/>
        <w:rPr>
          <w:lang w:val="de-DE"/>
        </w:rPr>
      </w:pPr>
      <w:r>
        <w:rPr>
          <w:rFonts w:hint="eastAsia" w:ascii="宋体" w:hAnsi="宋体"/>
          <w:lang w:val="de-DE"/>
        </w:rPr>
        <w:t>在生产装置开、停气时，或生产过程非正常状态，常常出现气（汽）体排放过程。当气体从排放口排出时具有较高速度，一旦排入大气，便与周围空气发生强烈混合而产生高频噪声，随其逐渐扩散、混合形成紊流，产生低频噪声。</w:t>
      </w:r>
    </w:p>
    <w:p w14:paraId="31DF87C0">
      <w:pPr>
        <w:pStyle w:val="281"/>
        <w:ind w:firstLine="480"/>
        <w:rPr>
          <w:lang w:val="de-DE"/>
        </w:rPr>
      </w:pPr>
      <w:r>
        <w:rPr>
          <w:rFonts w:hint="eastAsia" w:ascii="宋体" w:hAnsi="宋体"/>
          <w:lang w:val="de-DE"/>
        </w:rPr>
        <w:t>放空噪声的主要控制方法是在气体排放口安装消声器。对于介质排放压力</w:t>
      </w:r>
      <w:r>
        <w:rPr>
          <w:lang w:val="de-DE"/>
        </w:rPr>
        <w:t>≥0.4MPa</w:t>
      </w:r>
      <w:r>
        <w:rPr>
          <w:rFonts w:hint="eastAsia" w:ascii="宋体" w:hAnsi="宋体"/>
          <w:lang w:val="de-DE"/>
        </w:rPr>
        <w:t>时，可采用小孔喷注结构消声器。这种消声器结构简单，重量轻，消声效果好，一般消声效果可达</w:t>
      </w:r>
      <w:r>
        <w:rPr>
          <w:lang w:val="de-DE"/>
        </w:rPr>
        <w:t>35dB</w:t>
      </w:r>
      <w:r>
        <w:rPr>
          <w:rFonts w:hint="eastAsia" w:ascii="宋体" w:hAnsi="宋体"/>
          <w:lang w:val="de-DE"/>
        </w:rPr>
        <w:t>（</w:t>
      </w:r>
      <w:r>
        <w:rPr>
          <w:lang w:val="de-DE"/>
        </w:rPr>
        <w:t>A</w:t>
      </w:r>
      <w:r>
        <w:rPr>
          <w:rFonts w:hint="eastAsia" w:ascii="宋体" w:hAnsi="宋体"/>
          <w:lang w:val="de-DE"/>
        </w:rPr>
        <w:t>）以上。对于排放量大，介质压力较低的情况，可采用阻抗复合型消声器。阻抗复合结构消声器，一般体积和重量较小孔喷注结构消声器要大，消声效果一般可达</w:t>
      </w:r>
      <w:r>
        <w:rPr>
          <w:lang w:val="de-DE"/>
        </w:rPr>
        <w:t>25~30dB</w:t>
      </w:r>
      <w:r>
        <w:rPr>
          <w:rFonts w:hint="eastAsia" w:ascii="宋体" w:hAnsi="宋体"/>
          <w:lang w:val="de-DE"/>
        </w:rPr>
        <w:t>（</w:t>
      </w:r>
      <w:r>
        <w:rPr>
          <w:lang w:val="de-DE"/>
        </w:rPr>
        <w:t>A</w:t>
      </w:r>
      <w:r>
        <w:rPr>
          <w:rFonts w:hint="eastAsia" w:ascii="宋体" w:hAnsi="宋体"/>
          <w:lang w:val="de-DE"/>
        </w:rPr>
        <w:t>）。</w:t>
      </w:r>
    </w:p>
    <w:p w14:paraId="676791EF">
      <w:pPr>
        <w:pStyle w:val="281"/>
        <w:ind w:firstLine="480"/>
      </w:pPr>
      <w:r>
        <w:rPr>
          <w:rFonts w:hint="eastAsia"/>
        </w:rPr>
        <w:t>（8）火炬噪声</w:t>
      </w:r>
    </w:p>
    <w:p w14:paraId="0B567F14">
      <w:pPr>
        <w:pStyle w:val="281"/>
        <w:ind w:firstLine="480"/>
      </w:pPr>
      <w:r>
        <w:rPr>
          <w:rFonts w:hint="eastAsia"/>
        </w:rPr>
        <w:t>火炬是保障石油化工安全生产的重要设施，其高度高，地面噪声强度约</w:t>
      </w:r>
      <w:r>
        <w:t>80dB</w:t>
      </w:r>
      <w:r>
        <w:rPr>
          <w:rFonts w:hint="eastAsia"/>
        </w:rPr>
        <w:t>（</w:t>
      </w:r>
      <w:r>
        <w:t>A</w:t>
      </w:r>
      <w:r>
        <w:rPr>
          <w:rFonts w:hint="eastAsia"/>
        </w:rPr>
        <w:t>），主要呈低频特性。噪声主要来源于介质的燃烧噪声、蒸汽喷射噪声等。其主要噪声控制措施为选用低噪声火炬头。</w:t>
      </w:r>
    </w:p>
    <w:p w14:paraId="1055E268">
      <w:pPr>
        <w:pStyle w:val="281"/>
        <w:ind w:firstLine="480"/>
      </w:pPr>
      <w:r>
        <w:rPr>
          <w:rFonts w:hint="eastAsia"/>
        </w:rPr>
        <w:t>（</w:t>
      </w:r>
      <w:r>
        <w:t>9</w:t>
      </w:r>
      <w:r>
        <w:rPr>
          <w:rFonts w:hint="eastAsia"/>
        </w:rPr>
        <w:t>）设置隔声操作室</w:t>
      </w:r>
    </w:p>
    <w:p w14:paraId="49DB75D7">
      <w:pPr>
        <w:pStyle w:val="281"/>
        <w:ind w:firstLine="480"/>
        <w:rPr>
          <w:lang w:val="de-DE"/>
        </w:rPr>
      </w:pPr>
      <w:r>
        <w:rPr>
          <w:rFonts w:hint="eastAsia" w:ascii="宋体" w:hAnsi="宋体"/>
          <w:lang w:val="de-DE"/>
        </w:rPr>
        <w:t>需要较安静的工作岗位，如集中控制室、分析化验室、会议室、办公室等，为防止室外噪声的干扰，要设置隔声门窗，室内并进行声学处理：</w:t>
      </w:r>
    </w:p>
    <w:p w14:paraId="03448C94">
      <w:pPr>
        <w:pStyle w:val="281"/>
        <w:ind w:firstLine="480"/>
        <w:rPr>
          <w:lang w:val="de-DE"/>
        </w:rPr>
      </w:pPr>
      <w:r>
        <w:rPr>
          <w:rFonts w:hint="eastAsia" w:ascii="宋体" w:hAnsi="宋体"/>
          <w:lang w:val="de-DE"/>
        </w:rPr>
        <w:t>①设置隔声门窗。因绝大部分声能透过门窗向外传播，所以，根据所处位置设置可采光的双层玻璃隔声窗（固定式或可开启式），及可通风的隔声百叶窗。所有进出机房的门均作成隔声门或设置双层门。</w:t>
      </w:r>
    </w:p>
    <w:p w14:paraId="77D1CA93">
      <w:pPr>
        <w:pStyle w:val="281"/>
        <w:ind w:firstLine="480"/>
        <w:rPr>
          <w:lang w:val="de-DE"/>
        </w:rPr>
      </w:pPr>
      <w:r>
        <w:rPr>
          <w:rFonts w:hint="eastAsia" w:ascii="宋体" w:hAnsi="宋体"/>
          <w:lang w:val="de-DE"/>
        </w:rPr>
        <w:t>②设置隔声操作室。为保护操作人员的听力，可使操作人员主要在隔声操作室内实行操作，并透过隔声玻璃窗观察设备运行情况。</w:t>
      </w:r>
    </w:p>
    <w:p w14:paraId="46556E2D">
      <w:pPr>
        <w:pStyle w:val="281"/>
        <w:ind w:firstLine="480"/>
        <w:rPr>
          <w:lang w:val="de-DE"/>
        </w:rPr>
      </w:pPr>
      <w:r>
        <w:rPr>
          <w:rFonts w:hint="eastAsia" w:ascii="宋体" w:hAnsi="宋体"/>
          <w:lang w:val="de-DE"/>
        </w:rPr>
        <w:t>③室内采取吸声处理。因室内壁面吸声系数较低，混响声较大，所以使屋顶、壁面提高吸声系数，降低混响噪声。</w:t>
      </w:r>
    </w:p>
    <w:p w14:paraId="5670A02B">
      <w:pPr>
        <w:pStyle w:val="98"/>
        <w:rPr>
          <w:rFonts w:hint="eastAsia"/>
          <w:color w:val="auto"/>
        </w:rPr>
      </w:pPr>
      <w:r>
        <w:rPr>
          <w:rFonts w:hint="eastAsia"/>
          <w:color w:val="auto"/>
        </w:rPr>
        <w:t>保护目标防护措施</w:t>
      </w:r>
    </w:p>
    <w:p w14:paraId="39BD7A12">
      <w:pPr>
        <w:pStyle w:val="281"/>
        <w:ind w:firstLine="480"/>
      </w:pPr>
      <w:r>
        <w:rPr>
          <w:rFonts w:hint="eastAsia" w:ascii="宋体" w:hAnsi="宋体"/>
        </w:rPr>
        <w:t>本项目距离环境保护目标较远，正常情况下，本项目对其影响很小。为避免企业内人员受到噪声损害，通过岗位操作管理，严格规定高噪车间不可长期停留。对必须在高噪声环境中作业的人员应配备个人防护用品。</w:t>
      </w:r>
    </w:p>
    <w:p w14:paraId="3500E652">
      <w:pPr>
        <w:pStyle w:val="98"/>
        <w:rPr>
          <w:rFonts w:hint="eastAsia"/>
          <w:color w:val="auto"/>
        </w:rPr>
      </w:pPr>
      <w:r>
        <w:rPr>
          <w:rFonts w:hint="eastAsia"/>
          <w:color w:val="auto"/>
        </w:rPr>
        <w:t>非正常生产防护措施</w:t>
      </w:r>
    </w:p>
    <w:p w14:paraId="7E90B333">
      <w:pPr>
        <w:pStyle w:val="281"/>
        <w:ind w:firstLine="480"/>
      </w:pPr>
      <w:r>
        <w:rPr>
          <w:rFonts w:hint="eastAsia" w:ascii="宋体" w:hAnsi="宋体"/>
        </w:rPr>
        <w:t>非正常生产噪声主要为项目新建装置开工时须对设备、管道等用氮气进行吹扫，以吹净其中的焊渣等杂质，保证设备、管道清洁，实现安全生产。此种噪声发生在开工前，有且仅有一次，为间歇噪声，工艺设计的一天最大持续时间为</w:t>
      </w:r>
      <w:r>
        <w:t>2h</w:t>
      </w:r>
      <w:r>
        <w:rPr>
          <w:rFonts w:hint="eastAsia" w:ascii="宋体" w:hAnsi="宋体"/>
        </w:rPr>
        <w:t>，产生的噪声声级最大可达到</w:t>
      </w:r>
      <w:r>
        <w:t>120dB(A)</w:t>
      </w:r>
      <w:r>
        <w:rPr>
          <w:rFonts w:hint="eastAsia" w:ascii="宋体" w:hAnsi="宋体"/>
        </w:rPr>
        <w:t>，影响的时间约为</w:t>
      </w:r>
      <w:r>
        <w:t>2</w:t>
      </w:r>
      <w:r>
        <w:rPr>
          <w:rFonts w:hint="eastAsia" w:ascii="宋体" w:hAnsi="宋体"/>
        </w:rPr>
        <w:t>～</w:t>
      </w:r>
      <w:r>
        <w:t>3</w:t>
      </w:r>
      <w:r>
        <w:rPr>
          <w:rFonts w:hint="eastAsia" w:ascii="宋体" w:hAnsi="宋体"/>
        </w:rPr>
        <w:t>个月。此类噪声由于吹出的焊渣为细小颗粒，无法安装消声器等设施进行减弱（易堵塞消声器）。</w:t>
      </w:r>
    </w:p>
    <w:p w14:paraId="10379C73">
      <w:pPr>
        <w:pStyle w:val="281"/>
        <w:ind w:firstLine="480"/>
      </w:pPr>
      <w:r>
        <w:rPr>
          <w:rFonts w:hint="eastAsia" w:ascii="宋体" w:hAnsi="宋体"/>
        </w:rPr>
        <w:t>（</w:t>
      </w:r>
      <w:r>
        <w:t>1</w:t>
      </w:r>
      <w:r>
        <w:rPr>
          <w:rFonts w:hint="eastAsia" w:ascii="宋体" w:hAnsi="宋体"/>
        </w:rPr>
        <w:t>）针对开工设备、管道吹扫噪声，项目开工建设从以下途径对此类噪声影响予以减弱：</w:t>
      </w:r>
    </w:p>
    <w:p w14:paraId="40799110">
      <w:pPr>
        <w:pStyle w:val="281"/>
        <w:ind w:firstLine="480"/>
      </w:pPr>
      <w:r>
        <w:rPr>
          <w:rFonts w:hint="eastAsia" w:ascii="宋体" w:hAnsi="宋体"/>
        </w:rPr>
        <w:t>（</w:t>
      </w:r>
      <w:r>
        <w:t>2</w:t>
      </w:r>
      <w:r>
        <w:rPr>
          <w:rFonts w:hint="eastAsia" w:ascii="宋体" w:hAnsi="宋体"/>
        </w:rPr>
        <w:t>）开工吹扫前在公共媒体发布公告，并同时照会临近单位，以取得能受影响人群的谅解；</w:t>
      </w:r>
    </w:p>
    <w:p w14:paraId="12BEEFE0">
      <w:pPr>
        <w:pStyle w:val="281"/>
        <w:ind w:firstLine="480"/>
      </w:pPr>
      <w:r>
        <w:rPr>
          <w:rFonts w:hint="eastAsia" w:ascii="宋体" w:hAnsi="宋体"/>
        </w:rPr>
        <w:t>（</w:t>
      </w:r>
      <w:r>
        <w:t>3</w:t>
      </w:r>
      <w:r>
        <w:rPr>
          <w:rFonts w:hint="eastAsia" w:ascii="宋体" w:hAnsi="宋体"/>
        </w:rPr>
        <w:t>）严格控制吹扫时间，将吹扫时间与临近单位商定并严格执行，严禁在非商定时间内进行吹扫。</w:t>
      </w:r>
    </w:p>
    <w:p w14:paraId="42052EC7">
      <w:pPr>
        <w:pStyle w:val="281"/>
        <w:ind w:firstLine="480"/>
        <w:rPr>
          <w:lang w:val="de-DE" w:eastAsia="en-US"/>
        </w:rPr>
      </w:pPr>
      <w:r>
        <w:rPr>
          <w:rFonts w:hint="eastAsia" w:ascii="宋体" w:hAnsi="宋体"/>
          <w:lang w:val="de-DE"/>
        </w:rPr>
        <w:t>本项目通过声源控制、传播途径控制、保护目标防护等措施，有效降低噪声对周边环境影响。预测四周厂界昼间、夜间的噪声值均可满足《工业企业厂界环境噪声排放标准》（</w:t>
      </w:r>
      <w:r>
        <w:rPr>
          <w:lang w:val="de-DE"/>
        </w:rPr>
        <w:t>GB12348-2008</w:t>
      </w:r>
      <w:r>
        <w:rPr>
          <w:rFonts w:hint="eastAsia" w:ascii="宋体" w:hAnsi="宋体"/>
          <w:lang w:val="de-DE"/>
        </w:rPr>
        <w:t>）中</w:t>
      </w:r>
      <w:r>
        <w:rPr>
          <w:lang w:val="de-DE"/>
        </w:rPr>
        <w:t>3</w:t>
      </w:r>
      <w:r>
        <w:rPr>
          <w:rFonts w:hint="eastAsia" w:ascii="宋体" w:hAnsi="宋体"/>
          <w:lang w:val="de-DE"/>
        </w:rPr>
        <w:t>类标准（昼间</w:t>
      </w:r>
      <w:r>
        <w:rPr>
          <w:lang w:val="de-DE"/>
        </w:rPr>
        <w:t>65dB(A)</w:t>
      </w:r>
      <w:r>
        <w:rPr>
          <w:rFonts w:hint="eastAsia" w:ascii="宋体" w:hAnsi="宋体"/>
          <w:lang w:val="de-DE"/>
        </w:rPr>
        <w:t>，夜间</w:t>
      </w:r>
      <w:r>
        <w:rPr>
          <w:lang w:val="de-DE"/>
        </w:rPr>
        <w:t>55dB(A)</w:t>
      </w:r>
      <w:r>
        <w:rPr>
          <w:rFonts w:hint="eastAsia" w:ascii="宋体" w:hAnsi="宋体"/>
          <w:lang w:val="de-DE"/>
        </w:rPr>
        <w:t>）的限值要求。措施可行。</w:t>
      </w:r>
    </w:p>
    <w:p w14:paraId="5BE0704B">
      <w:pPr>
        <w:pStyle w:val="97"/>
        <w:rPr>
          <w:rFonts w:hint="eastAsia"/>
        </w:rPr>
      </w:pPr>
      <w:bookmarkStart w:id="408" w:name="_Hlk150615039"/>
      <w:r>
        <w:t>固体废物的污染防治措施</w:t>
      </w:r>
    </w:p>
    <w:p w14:paraId="4C40CB95">
      <w:pPr>
        <w:pStyle w:val="98"/>
        <w:rPr>
          <w:rFonts w:hint="eastAsia"/>
          <w:color w:val="auto"/>
        </w:rPr>
      </w:pPr>
      <w:bookmarkStart w:id="409" w:name="_Hlk150622734"/>
      <w:r>
        <w:rPr>
          <w:color w:val="auto"/>
        </w:rPr>
        <w:t>一般固废</w:t>
      </w:r>
    </w:p>
    <w:p w14:paraId="6CCEE0E7">
      <w:pPr>
        <w:spacing w:line="360" w:lineRule="auto"/>
        <w:ind w:firstLine="480" w:firstLineChars="200"/>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rPr>
        <w:t>设置800m</w:t>
      </w:r>
      <w:r>
        <w:rPr>
          <w:rFonts w:hint="eastAsia" w:ascii="Times New Roman" w:hAnsi="Times New Roman" w:cs="Times New Roman"/>
          <w:vertAlign w:val="superscript"/>
        </w:rPr>
        <w:t>2</w:t>
      </w:r>
      <w:r>
        <w:rPr>
          <w:rFonts w:hint="eastAsia" w:ascii="Times New Roman" w:hAnsi="Times New Roman" w:cs="Times New Roman"/>
        </w:rPr>
        <w:t>一般固废库，</w:t>
      </w:r>
      <w:r>
        <w:rPr>
          <w:rFonts w:ascii="Times New Roman" w:hAnsi="Times New Roman" w:cs="Times New Roman"/>
        </w:rPr>
        <w:t>一般固废主要为</w:t>
      </w:r>
      <w:bookmarkStart w:id="410" w:name="_Hlk150860349"/>
      <w:r>
        <w:rPr>
          <w:rFonts w:hint="eastAsia" w:ascii="Times New Roman" w:hAnsi="Times New Roman" w:cs="Times New Roman"/>
        </w:rPr>
        <w:t>煤气化装置-原煤仓收尘灰、煤气化装置-磨煤及干燥收尘灰、煤气化装置-制粉废渣、煤气化装置-粉煤仓收尘灰、煤气化装置-气化粗渣、煤气化装置-气化细渣、脱盐水站-废超滤膜、脱盐水站-废反渗透膜、脱盐水站-废离子交换树脂、凝结水站-废离子交换树脂、回用水站-污泥、回用水站-废滤料、回用水站-废超滤膜、回用水站-废反渗透膜、空分站-废分子筛、空分站-废空分氧化铝、原煤储运收尘灰等</w:t>
      </w:r>
      <w:r>
        <w:rPr>
          <w:rFonts w:ascii="Times New Roman" w:hAnsi="Times New Roman" w:cs="Times New Roman"/>
        </w:rPr>
        <w:t>。</w:t>
      </w:r>
    </w:p>
    <w:bookmarkEnd w:id="410"/>
    <w:p w14:paraId="5796EC96">
      <w:pPr>
        <w:spacing w:line="360" w:lineRule="auto"/>
        <w:ind w:firstLine="480" w:firstLineChars="200"/>
        <w:rPr>
          <w:rFonts w:ascii="Times New Roman" w:hAnsi="Times New Roman" w:cs="Times New Roman"/>
        </w:rPr>
      </w:pPr>
      <w:r>
        <w:rPr>
          <w:rFonts w:ascii="Times New Roman" w:hAnsi="Times New Roman" w:cs="Times New Roman"/>
        </w:rPr>
        <w:t>其中，</w:t>
      </w:r>
      <w:bookmarkStart w:id="411" w:name="_Hlk150860339"/>
      <w:r>
        <w:rPr>
          <w:rFonts w:ascii="Times New Roman" w:hAnsi="Times New Roman" w:cs="Times New Roman"/>
        </w:rPr>
        <w:t>煤气化装置-原煤仓收尘灰、煤气化装置-磨煤及干燥收尘灰、煤气化装置-粉煤仓收尘灰、</w:t>
      </w:r>
      <w:r>
        <w:rPr>
          <w:rFonts w:hint="eastAsia" w:ascii="Times New Roman" w:hAnsi="Times New Roman" w:cs="Times New Roman"/>
        </w:rPr>
        <w:t>原煤仓收尘灰、</w:t>
      </w:r>
      <w:r>
        <w:rPr>
          <w:rFonts w:ascii="Times New Roman" w:hAnsi="Times New Roman" w:cs="Times New Roman"/>
        </w:rPr>
        <w:t>原煤储运收尘灰</w:t>
      </w:r>
      <w:r>
        <w:rPr>
          <w:rFonts w:hint="eastAsia" w:ascii="Times New Roman" w:hAnsi="Times New Roman" w:cs="Times New Roman"/>
        </w:rPr>
        <w:t>回用于生产</w:t>
      </w:r>
      <w:r>
        <w:rPr>
          <w:rFonts w:ascii="Times New Roman" w:hAnsi="Times New Roman" w:cs="Times New Roman"/>
        </w:rPr>
        <w:t>；煤气化装置-气化粗渣、煤气化装置-气化细渣综合利用，利用不畅时送一般固废填埋场；煤气化装置-制粉废渣、脱盐水站-废超滤膜、</w:t>
      </w:r>
      <w:r>
        <w:rPr>
          <w:rFonts w:hint="eastAsia" w:ascii="Times New Roman" w:hAnsi="Times New Roman" w:cs="Times New Roman"/>
        </w:rPr>
        <w:t>脱盐水站-废超滤膜、脱盐水站-废反渗透膜、脱盐水站-废离子交换树脂、凝结水站-废离子交换树脂、回用水站-污泥、回用水站-废滤料、回用水站-废超滤膜、回用水站-废反渗透膜、空分站-废分子筛、空分站-废空分氧化铝</w:t>
      </w:r>
      <w:r>
        <w:rPr>
          <w:rFonts w:ascii="Times New Roman" w:hAnsi="Times New Roman" w:cs="Times New Roman"/>
        </w:rPr>
        <w:t>送一般固废填埋场填埋处理。</w:t>
      </w:r>
    </w:p>
    <w:bookmarkEnd w:id="411"/>
    <w:p w14:paraId="53FF1B45">
      <w:pPr>
        <w:spacing w:line="360" w:lineRule="auto"/>
        <w:ind w:firstLine="480" w:firstLineChars="200"/>
        <w:rPr>
          <w:rFonts w:ascii="Times New Roman" w:hAnsi="Times New Roman" w:cs="Times New Roman"/>
        </w:rPr>
      </w:pPr>
      <w:r>
        <w:rPr>
          <w:rFonts w:ascii="Times New Roman" w:hAnsi="Times New Roman" w:cs="Times New Roman"/>
        </w:rPr>
        <w:t>一般固体废物收集、暂存、处置要求：</w:t>
      </w:r>
    </w:p>
    <w:p w14:paraId="7CC60BAA">
      <w:pPr>
        <w:pStyle w:val="281"/>
        <w:ind w:firstLine="480"/>
        <w:rPr>
          <w:rFonts w:cs="Times New Roman"/>
        </w:rPr>
      </w:pPr>
      <w:bookmarkStart w:id="412" w:name="_Hlk193195422"/>
      <w:r>
        <w:rPr>
          <w:rFonts w:cs="Times New Roman"/>
        </w:rPr>
        <w:t>（1）收集：各类固废分类收集，不得相互混合。建设单位须建立统一的固废分类收集制度，一般工业固废与生活垃圾不得混合，分开收集。</w:t>
      </w:r>
    </w:p>
    <w:p w14:paraId="54BA84A6">
      <w:pPr>
        <w:pStyle w:val="281"/>
        <w:ind w:firstLine="480"/>
        <w:rPr>
          <w:rFonts w:cs="Times New Roman"/>
        </w:rPr>
      </w:pPr>
      <w:r>
        <w:rPr>
          <w:rFonts w:cs="Times New Roman"/>
        </w:rPr>
        <w:t>（2）暂存：一般工业固废暂存库必须满足《一般工业固体废物贮存和填埋污染控制标准》(GB18599-2020)要求，必须采取防尘、防渗、防流失等防止二次污染的措施。</w:t>
      </w:r>
    </w:p>
    <w:p w14:paraId="127FB2F1">
      <w:pPr>
        <w:pStyle w:val="281"/>
        <w:ind w:firstLine="480"/>
        <w:rPr>
          <w:rFonts w:cs="Times New Roman"/>
        </w:rPr>
      </w:pPr>
      <w:r>
        <w:rPr>
          <w:rFonts w:cs="Times New Roman"/>
        </w:rPr>
        <w:t>一般工业固废暂存库需满足II类场技术要求，应采用单人工复合衬层作为防渗衬层，并符合以下技术要求：人工合成材料应采用高密度聚乙烯膜，厚度不小于1.5 mm，并满足GB/T 17643规定的技术指标要求。采用其他人工合成材料的，其防渗性能至少相当于1.5mm高密度聚乙烯膜的防渗性能；当粘土衬层厚度应不小于0.75m，且经压实、人工改性等措施处理后的饱和渗透系数不应大于1.0×10</w:t>
      </w:r>
      <w:r>
        <w:rPr>
          <w:rFonts w:cs="Times New Roman"/>
          <w:vertAlign w:val="superscript"/>
        </w:rPr>
        <w:t>-7</w:t>
      </w:r>
      <w:r>
        <w:rPr>
          <w:rFonts w:cs="Times New Roman"/>
        </w:rPr>
        <w:t>cm/s。使用其他粘土类防渗衬层材料时，应具有同等以上隔水效力。</w:t>
      </w:r>
    </w:p>
    <w:bookmarkEnd w:id="409"/>
    <w:bookmarkEnd w:id="412"/>
    <w:p w14:paraId="48008AD6">
      <w:pPr>
        <w:pStyle w:val="98"/>
        <w:rPr>
          <w:rFonts w:hint="eastAsia"/>
          <w:color w:val="auto"/>
        </w:rPr>
      </w:pPr>
      <w:r>
        <w:rPr>
          <w:color w:val="auto"/>
        </w:rPr>
        <w:t>危险废物</w:t>
      </w:r>
    </w:p>
    <w:p w14:paraId="57DB11ED">
      <w:pPr>
        <w:pStyle w:val="951"/>
      </w:pPr>
      <w:bookmarkStart w:id="413" w:name="_Hlk177835534"/>
      <w:r>
        <w:t>处理措施</w:t>
      </w:r>
    </w:p>
    <w:p w14:paraId="0A4B974E">
      <w:pPr>
        <w:spacing w:line="360" w:lineRule="auto"/>
        <w:ind w:firstLine="480" w:firstLineChars="200"/>
        <w:rPr>
          <w:rFonts w:ascii="Times New Roman" w:hAnsi="Times New Roman" w:cs="Times New Roman"/>
        </w:rPr>
      </w:pPr>
      <w:r>
        <w:rPr>
          <w:rFonts w:ascii="Times New Roman" w:hAnsi="Times New Roman" w:cs="Times New Roman"/>
        </w:rPr>
        <w:t>本项目产生的危险废物主要为</w:t>
      </w:r>
      <w:bookmarkStart w:id="414" w:name="_Hlk150862303"/>
      <w:r>
        <w:rPr>
          <w:rFonts w:hint="eastAsia" w:ascii="Times New Roman" w:hAnsi="Times New Roman" w:cs="Times New Roman"/>
        </w:rPr>
        <w:t>煤气冷却</w:t>
      </w:r>
      <w:r>
        <w:rPr>
          <w:rFonts w:ascii="Times New Roman" w:hAnsi="Times New Roman" w:cs="Times New Roman"/>
        </w:rPr>
        <w:t>单元-废脱毒剂、硫回收单元-废脱硝催化剂、硫回收单元-废SO</w:t>
      </w:r>
      <w:r>
        <w:rPr>
          <w:rFonts w:ascii="Times New Roman" w:hAnsi="Times New Roman" w:cs="Times New Roman"/>
          <w:vertAlign w:val="subscript"/>
        </w:rPr>
        <w:t>2</w:t>
      </w:r>
      <w:r>
        <w:rPr>
          <w:rFonts w:ascii="Times New Roman" w:hAnsi="Times New Roman" w:cs="Times New Roman"/>
        </w:rPr>
        <w:t>转化催化剂、硫回收单元-废除雾纤维、220kV变电站-</w:t>
      </w:r>
      <w:r>
        <w:rPr>
          <w:rFonts w:hint="eastAsia" w:ascii="Times New Roman" w:hAnsi="Times New Roman" w:cs="Times New Roman"/>
        </w:rPr>
        <w:t>废变压器油</w:t>
      </w:r>
      <w:r>
        <w:rPr>
          <w:rFonts w:ascii="Times New Roman" w:hAnsi="Times New Roman" w:cs="Times New Roman"/>
        </w:rPr>
        <w:t>、220kV变电站-</w:t>
      </w:r>
      <w:r>
        <w:rPr>
          <w:rFonts w:hint="eastAsia" w:ascii="Times New Roman" w:hAnsi="Times New Roman" w:cs="Times New Roman"/>
        </w:rPr>
        <w:t>废铅酸蓄电池、高浓盐水处理及蒸发结晶-杂盐</w:t>
      </w:r>
      <w:r>
        <w:rPr>
          <w:rFonts w:ascii="Times New Roman" w:hAnsi="Times New Roman" w:cs="Times New Roman"/>
        </w:rPr>
        <w:t>等，处置方式为在厂内暂存后，交由有资质单位处置</w:t>
      </w:r>
      <w:bookmarkEnd w:id="414"/>
      <w:r>
        <w:rPr>
          <w:rFonts w:ascii="Times New Roman" w:hAnsi="Times New Roman" w:cs="Times New Roman"/>
        </w:rPr>
        <w:t>。</w:t>
      </w:r>
    </w:p>
    <w:p w14:paraId="10F83586">
      <w:pPr>
        <w:pStyle w:val="951"/>
      </w:pPr>
      <w:r>
        <w:t>危废</w:t>
      </w:r>
      <w:r>
        <w:rPr>
          <w:lang w:val="zh-CN"/>
        </w:rPr>
        <w:t>贮存</w:t>
      </w:r>
      <w:r>
        <w:rPr>
          <w:rFonts w:hint="eastAsia"/>
          <w:lang w:val="zh-CN"/>
        </w:rPr>
        <w:t>污染防治措施</w:t>
      </w:r>
    </w:p>
    <w:p w14:paraId="1D2A1346">
      <w:pPr>
        <w:spacing w:line="360" w:lineRule="auto"/>
        <w:ind w:firstLine="480" w:firstLineChars="200"/>
        <w:rPr>
          <w:rFonts w:ascii="Times New Roman" w:hAnsi="Times New Roman" w:cs="Times New Roman"/>
        </w:rPr>
      </w:pPr>
      <w:bookmarkStart w:id="415" w:name="_Hlk150615909"/>
      <w:r>
        <w:rPr>
          <w:rFonts w:ascii="Times New Roman" w:hAnsi="Times New Roman" w:cs="Times New Roman"/>
        </w:rPr>
        <w:t>本项目设置一间危险废物暂存间，危险废物贮存严格按照《危险废物贮存污染控制标准》（GB18597-2023）要求规范化建设，防止造成二次污染。</w:t>
      </w:r>
    </w:p>
    <w:p w14:paraId="723223BE">
      <w:pPr>
        <w:spacing w:line="360" w:lineRule="auto"/>
        <w:ind w:firstLine="480" w:firstLineChars="200"/>
        <w:rPr>
          <w:rFonts w:ascii="Times New Roman" w:hAnsi="Times New Roman" w:cs="Times New Roman"/>
          <w:lang w:val="zh-CN"/>
        </w:rPr>
      </w:pPr>
      <w:r>
        <w:rPr>
          <w:rFonts w:ascii="Times New Roman" w:hAnsi="Times New Roman" w:cs="Times New Roman"/>
          <w:lang w:val="zh-CN"/>
        </w:rPr>
        <w:t>危险废物贮存设施的一般规定</w:t>
      </w:r>
    </w:p>
    <w:p w14:paraId="08921C86">
      <w:pPr>
        <w:spacing w:line="360" w:lineRule="auto"/>
        <w:ind w:firstLine="480" w:firstLineChars="200"/>
        <w:rPr>
          <w:rFonts w:ascii="Times New Roman" w:hAnsi="Times New Roman" w:cs="Times New Roman"/>
          <w:lang w:val="zh-CN"/>
        </w:rPr>
      </w:pPr>
      <w:r>
        <w:rPr>
          <w:rFonts w:ascii="Times New Roman" w:hAnsi="Times New Roman" w:cs="Times New Roman"/>
          <w:lang w:val="zh-CN"/>
        </w:rPr>
        <w:t>本项目危险废物贮存设施应根据危险废物的形态、物理化学性质、包装形式和污染物迁移途径，采取必要的防风、防晒、防雨、防漏、防渗、防腐以及其他环境污染防治措施，不应露天堆放危险废物。</w:t>
      </w:r>
    </w:p>
    <w:p w14:paraId="685CF4C1">
      <w:pPr>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贮存设施应根据危险废物的类别、数量、形态、物理化学性质和污染防治等要求设置必要的贮存分区，避免不相容的危险废物接触、混合。</w:t>
      </w:r>
    </w:p>
    <w:p w14:paraId="5126732B">
      <w:pPr>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贮存设施或贮存分区内地面、墙面裙脚、堵截泄漏的围堰、接触危险废物的隔板和墙体等应采用坚固的材料建造，表面无裂缝。</w:t>
      </w:r>
    </w:p>
    <w:p w14:paraId="4B1D1768">
      <w:pPr>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cs="Times New Roman"/>
          <w:vertAlign w:val="superscript"/>
          <w:lang w:val="zh-CN"/>
        </w:rPr>
        <w:t>-7</w:t>
      </w:r>
      <w:r>
        <w:rPr>
          <w:rFonts w:ascii="Times New Roman" w:hAnsi="Times New Roman" w:cs="Times New Roman"/>
          <w:lang w:val="zh-CN"/>
        </w:rPr>
        <w:t>cm/s），或至少2mm厚高密度聚乙烯膜等人工防渗材料（渗透系数不大于10</w:t>
      </w:r>
      <w:r>
        <w:rPr>
          <w:rFonts w:ascii="Times New Roman" w:hAnsi="Times New Roman" w:cs="Times New Roman"/>
          <w:vertAlign w:val="superscript"/>
          <w:lang w:val="zh-CN"/>
        </w:rPr>
        <w:t>-10</w:t>
      </w:r>
      <w:r>
        <w:rPr>
          <w:rFonts w:ascii="Times New Roman" w:hAnsi="Times New Roman" w:cs="Times New Roman"/>
          <w:lang w:val="zh-CN"/>
        </w:rPr>
        <w:t>cm/s），或其他防渗性能等效的材料。</w:t>
      </w:r>
    </w:p>
    <w:p w14:paraId="3617C201">
      <w:pPr>
        <w:spacing w:line="360" w:lineRule="auto"/>
        <w:ind w:firstLine="480" w:firstLineChars="200"/>
        <w:rPr>
          <w:rFonts w:ascii="Times New Roman" w:hAnsi="Times New Roman" w:cs="Times New Roman"/>
          <w:lang w:val="zh-CN"/>
        </w:rPr>
      </w:pPr>
      <w:r>
        <w:rPr>
          <w:rFonts w:ascii="Times New Roman" w:hAnsi="Times New Roman" w:cs="Times New Roman"/>
          <w:lang w:val="zh-CN"/>
        </w:rPr>
        <w:t>同一贮存设施宜采用相同的防渗、防腐工艺（包括防渗、防腐结构或材料），防渗、防腐材料应覆盖所有可能与废物及其渗滤液、渗漏液等接触的构筑物表面；采用不同防渗、防腐工艺应分别建设贮存分区。</w:t>
      </w:r>
    </w:p>
    <w:p w14:paraId="487A764E">
      <w:pPr>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贮存设施应采取技术和管理措施防止无关人员进入。</w:t>
      </w:r>
    </w:p>
    <w:p w14:paraId="1D19754A">
      <w:pPr>
        <w:spacing w:line="360" w:lineRule="auto"/>
        <w:ind w:firstLine="480" w:firstLineChars="200"/>
        <w:rPr>
          <w:rFonts w:ascii="Times New Roman" w:hAnsi="Times New Roman" w:cs="Times New Roman"/>
          <w:lang w:val="zh-CN"/>
        </w:rPr>
      </w:pPr>
      <w:r>
        <w:rPr>
          <w:rFonts w:ascii="Times New Roman" w:hAnsi="Times New Roman" w:cs="Times New Roman"/>
          <w:lang w:val="zh-CN"/>
        </w:rPr>
        <w:t>本项目仅设置危险废物贮存库，具体要求如下：</w:t>
      </w:r>
    </w:p>
    <w:p w14:paraId="74B56162">
      <w:pPr>
        <w:spacing w:line="360" w:lineRule="auto"/>
        <w:ind w:firstLine="480" w:firstLineChars="200"/>
        <w:rPr>
          <w:rFonts w:ascii="Times New Roman" w:hAnsi="Times New Roman" w:cs="Times New Roman"/>
          <w:lang w:val="zh-CN"/>
        </w:rPr>
      </w:pPr>
      <w:r>
        <w:rPr>
          <w:rFonts w:hint="eastAsia" w:ascii="Times New Roman" w:hAnsi="Times New Roman" w:cs="Times New Roman"/>
          <w:lang w:val="zh-CN"/>
        </w:rPr>
        <w:t>（</w:t>
      </w:r>
      <w:r>
        <w:rPr>
          <w:rFonts w:ascii="Times New Roman" w:hAnsi="Times New Roman" w:cs="Times New Roman"/>
          <w:lang w:val="zh-CN"/>
        </w:rPr>
        <w:t>1）贮存库</w:t>
      </w:r>
    </w:p>
    <w:p w14:paraId="6D65F412">
      <w:pPr>
        <w:spacing w:line="360" w:lineRule="auto"/>
        <w:ind w:firstLine="480" w:firstLineChars="200"/>
        <w:rPr>
          <w:rFonts w:ascii="Times New Roman" w:hAnsi="Times New Roman" w:cs="Times New Roman"/>
          <w:lang w:val="zh-CN"/>
        </w:rPr>
      </w:pPr>
      <w:r>
        <w:rPr>
          <w:rFonts w:ascii="Times New Roman" w:hAnsi="Times New Roman" w:cs="Times New Roman"/>
          <w:lang w:val="zh-CN"/>
        </w:rPr>
        <w:t>贮存库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 收集设施容积应满足渗滤液的收集要求。</w:t>
      </w:r>
    </w:p>
    <w:p w14:paraId="7B513FF6">
      <w:pPr>
        <w:spacing w:line="360" w:lineRule="auto"/>
        <w:ind w:firstLine="480" w:firstLineChars="200"/>
        <w:rPr>
          <w:rFonts w:ascii="Times New Roman" w:hAnsi="Times New Roman" w:cs="Times New Roman"/>
          <w:lang w:val="zh-CN"/>
        </w:rPr>
      </w:pPr>
      <w:bookmarkStart w:id="416" w:name="_Hlk181522925"/>
      <w:bookmarkStart w:id="417" w:name="OLE_LINK33"/>
      <w:r>
        <w:rPr>
          <w:rFonts w:ascii="Times New Roman" w:hAnsi="Times New Roman" w:cs="Times New Roman"/>
        </w:rPr>
        <w:t>本项目危险废物中</w:t>
      </w:r>
      <w:r>
        <w:rPr>
          <w:rFonts w:hint="eastAsia"/>
        </w:rPr>
        <w:t>煤气冷却</w:t>
      </w:r>
      <w:r>
        <w:rPr>
          <w:rFonts w:ascii="Times New Roman" w:hAnsi="Times New Roman" w:cs="Times New Roman"/>
        </w:rPr>
        <w:t>单元-废脱毒剂、硫回收单元-废脱硝催化剂、硫回收单元-废SO</w:t>
      </w:r>
      <w:r>
        <w:rPr>
          <w:rFonts w:ascii="Times New Roman" w:hAnsi="Times New Roman" w:cs="Times New Roman"/>
          <w:vertAlign w:val="subscript"/>
        </w:rPr>
        <w:t>2</w:t>
      </w:r>
      <w:r>
        <w:rPr>
          <w:rFonts w:ascii="Times New Roman" w:hAnsi="Times New Roman" w:cs="Times New Roman"/>
        </w:rPr>
        <w:t>转化催化剂、硫回收单元-废除雾纤维、220kV变电站-</w:t>
      </w:r>
      <w:r>
        <w:rPr>
          <w:rFonts w:hint="eastAsia" w:ascii="Times New Roman" w:hAnsi="Times New Roman" w:cs="Times New Roman"/>
        </w:rPr>
        <w:t>废变压器油</w:t>
      </w:r>
      <w:r>
        <w:rPr>
          <w:rFonts w:ascii="Times New Roman" w:hAnsi="Times New Roman" w:cs="Times New Roman"/>
        </w:rPr>
        <w:t>、220kV变电站-</w:t>
      </w:r>
      <w:r>
        <w:rPr>
          <w:rFonts w:hint="eastAsia" w:ascii="Times New Roman" w:hAnsi="Times New Roman" w:cs="Times New Roman"/>
        </w:rPr>
        <w:t>废铅酸蓄电池</w:t>
      </w:r>
      <w:r>
        <w:rPr>
          <w:rFonts w:ascii="Times New Roman" w:hAnsi="Times New Roman" w:cs="Times New Roman"/>
        </w:rPr>
        <w:t>经收集后密闭存放在危废桶内。综上可以看出，本项目</w:t>
      </w:r>
      <w:r>
        <w:rPr>
          <w:rFonts w:ascii="Times New Roman" w:hAnsi="Times New Roman" w:cs="Times New Roman"/>
          <w:lang w:val="zh-CN"/>
        </w:rPr>
        <w:t>危废库不属于易产生粉尘、VOCs、酸雾、有毒有害大气污染物和刺激性气味气体的危险废物贮存库</w:t>
      </w:r>
      <w:bookmarkEnd w:id="416"/>
      <w:r>
        <w:rPr>
          <w:rFonts w:ascii="Times New Roman" w:hAnsi="Times New Roman" w:cs="Times New Roman"/>
          <w:lang w:val="zh-CN"/>
        </w:rPr>
        <w:t>。</w:t>
      </w:r>
      <w:bookmarkEnd w:id="415"/>
      <w:bookmarkStart w:id="418" w:name="_Hlk150615849"/>
    </w:p>
    <w:bookmarkEnd w:id="417"/>
    <w:p w14:paraId="770FB015">
      <w:pPr>
        <w:pStyle w:val="281"/>
        <w:ind w:firstLine="480"/>
        <w:rPr>
          <w:rFonts w:cs="Times New Roman"/>
          <w:lang w:val="zh-CN"/>
        </w:rPr>
      </w:pPr>
      <w:r>
        <w:rPr>
          <w:rFonts w:cs="Times New Roman"/>
          <w:lang w:val="zh-CN"/>
        </w:rPr>
        <w:t>（2）危险废物贮存设施的运行与管理</w:t>
      </w:r>
    </w:p>
    <w:p w14:paraId="2FE30F3D">
      <w:pPr>
        <w:pStyle w:val="281"/>
        <w:ind w:firstLine="480"/>
        <w:rPr>
          <w:rFonts w:cs="Times New Roman"/>
          <w:lang w:val="zh-CN"/>
        </w:rPr>
      </w:pPr>
      <w:r>
        <w:rPr>
          <w:rFonts w:cs="Times New Roman"/>
          <w:lang w:val="zh-CN"/>
        </w:rPr>
        <w:t>1）容积包装物污染控制要求</w:t>
      </w:r>
    </w:p>
    <w:p w14:paraId="34CC6982">
      <w:pPr>
        <w:pStyle w:val="281"/>
        <w:ind w:firstLine="480"/>
        <w:rPr>
          <w:rFonts w:cs="Times New Roman"/>
          <w:lang w:val="zh-CN"/>
        </w:rPr>
      </w:pPr>
      <w:r>
        <w:rPr>
          <w:rFonts w:cs="Times New Roman"/>
          <w:lang w:val="zh-CN"/>
        </w:rPr>
        <w:t>容器和包装物材质、内衬应与盛装的危险废物相容。</w:t>
      </w:r>
    </w:p>
    <w:p w14:paraId="20F86B9B">
      <w:pPr>
        <w:pStyle w:val="281"/>
        <w:ind w:firstLine="480"/>
        <w:rPr>
          <w:rFonts w:cs="Times New Roman"/>
          <w:lang w:val="zh-CN"/>
        </w:rPr>
      </w:pPr>
      <w:r>
        <w:rPr>
          <w:rFonts w:cs="Times New Roman"/>
          <w:lang w:val="zh-CN"/>
        </w:rPr>
        <w:t>针对不同类别、形态、物理化学性质的危险废物，其容器和包装物应满足相应的防渗、防漏、防腐和强度等要求。</w:t>
      </w:r>
    </w:p>
    <w:p w14:paraId="7544E8CE">
      <w:pPr>
        <w:pStyle w:val="281"/>
        <w:ind w:firstLine="480"/>
        <w:rPr>
          <w:rFonts w:cs="Times New Roman"/>
          <w:lang w:val="zh-CN"/>
        </w:rPr>
      </w:pPr>
      <w:r>
        <w:rPr>
          <w:rFonts w:cs="Times New Roman"/>
          <w:lang w:val="zh-CN"/>
        </w:rPr>
        <w:t>硬质容器和包装物及其支护结构堆叠码放时不应有明显变形，无破损泄漏。</w:t>
      </w:r>
    </w:p>
    <w:p w14:paraId="6FA41C52">
      <w:pPr>
        <w:pStyle w:val="281"/>
        <w:ind w:firstLine="480"/>
        <w:rPr>
          <w:rFonts w:cs="Times New Roman"/>
          <w:lang w:val="zh-CN"/>
        </w:rPr>
      </w:pPr>
      <w:r>
        <w:rPr>
          <w:rFonts w:cs="Times New Roman"/>
          <w:lang w:val="zh-CN"/>
        </w:rPr>
        <w:t>柔性容器和包装物堆叠码放时应封口严密，无破损泄漏。</w:t>
      </w:r>
    </w:p>
    <w:p w14:paraId="05DF6ECD">
      <w:pPr>
        <w:pStyle w:val="281"/>
        <w:ind w:firstLine="480"/>
        <w:rPr>
          <w:rFonts w:cs="Times New Roman"/>
          <w:lang w:val="zh-CN"/>
        </w:rPr>
      </w:pPr>
      <w:r>
        <w:rPr>
          <w:rFonts w:cs="Times New Roman"/>
          <w:lang w:val="zh-CN"/>
        </w:rPr>
        <w:t>使用容器盛装液态、半固态危险废物时，容器内部应留有适当的空间，以适应因温度变化等可能引发的收缩和膨胀，防止其导致容器渗漏或永久变形。</w:t>
      </w:r>
    </w:p>
    <w:p w14:paraId="67AA6F6F">
      <w:pPr>
        <w:pStyle w:val="281"/>
        <w:ind w:firstLine="480"/>
        <w:rPr>
          <w:rFonts w:cs="Times New Roman"/>
          <w:lang w:val="zh-CN"/>
        </w:rPr>
      </w:pPr>
      <w:r>
        <w:rPr>
          <w:rFonts w:cs="Times New Roman"/>
          <w:lang w:val="zh-CN"/>
        </w:rPr>
        <w:t xml:space="preserve"> 容器和包装物外表面应保持清洁。</w:t>
      </w:r>
    </w:p>
    <w:p w14:paraId="1081E1AC">
      <w:pPr>
        <w:pStyle w:val="281"/>
        <w:ind w:firstLine="480"/>
        <w:rPr>
          <w:rFonts w:cs="Times New Roman"/>
          <w:lang w:val="zh-CN"/>
        </w:rPr>
      </w:pPr>
      <w:r>
        <w:rPr>
          <w:rFonts w:cs="Times New Roman"/>
          <w:lang w:val="zh-CN"/>
        </w:rPr>
        <w:t>2）贮存过程污染控制要求</w:t>
      </w:r>
    </w:p>
    <w:p w14:paraId="61BB4FFC">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a</w:t>
      </w:r>
      <w:r>
        <w:rPr>
          <w:rFonts w:hint="eastAsia" w:ascii="Times New Roman" w:hAnsi="Times New Roman" w:cs="Times New Roman"/>
          <w:lang w:val="zh-CN"/>
        </w:rPr>
        <w:t>.</w:t>
      </w:r>
      <w:r>
        <w:rPr>
          <w:rFonts w:ascii="Times New Roman" w:hAnsi="Times New Roman" w:cs="Times New Roman"/>
          <w:lang w:val="zh-CN"/>
        </w:rPr>
        <w:t>一般要求</w:t>
      </w:r>
    </w:p>
    <w:p w14:paraId="69F861D8">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在常温常压下不易水解、不易挥发的固态危险废物可分类堆放贮存，其他固态危险废物应装入容器或包装物内贮存。</w:t>
      </w:r>
    </w:p>
    <w:p w14:paraId="78CE7980">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液态危险废物应装入容器内贮存，或直接采用贮存池、贮存罐区贮存。</w:t>
      </w:r>
    </w:p>
    <w:p w14:paraId="24182221">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半固态危险废物应装入容器或包装袋内贮存，或直接采用贮存池贮存。</w:t>
      </w:r>
    </w:p>
    <w:p w14:paraId="4CE224ED">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具有热塑性的危险废物应装入容器或包装袋内进行贮存。</w:t>
      </w:r>
    </w:p>
    <w:p w14:paraId="1AAF893E">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b</w:t>
      </w:r>
      <w:r>
        <w:rPr>
          <w:rFonts w:hint="eastAsia" w:ascii="Times New Roman" w:hAnsi="Times New Roman" w:cs="Times New Roman"/>
          <w:lang w:val="zh-CN"/>
        </w:rPr>
        <w:t>.</w:t>
      </w:r>
      <w:r>
        <w:rPr>
          <w:rFonts w:ascii="Times New Roman" w:hAnsi="Times New Roman" w:cs="Times New Roman"/>
          <w:lang w:val="zh-CN"/>
        </w:rPr>
        <w:t>环境管理要求</w:t>
      </w:r>
    </w:p>
    <w:p w14:paraId="5B30CDA3">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危险废物存入贮存设施前应对危险废物类别和特性与危险废物标签等危险废物识别标志的一致性进行核验，不一致的或类别、特性不明的不应存入。</w:t>
      </w:r>
    </w:p>
    <w:p w14:paraId="7A4DD64E">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应定期检查危险废物的贮存状况，及时清理贮存设施地面，更换破损泄漏的危险废物贮存容器和包装物，保证堆存危险废物的防雨、防风、防扬尘等设施功能完好。</w:t>
      </w:r>
    </w:p>
    <w:p w14:paraId="1723645A">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贮存设施运行期间，应按国家有关标准和规定建立危险废物管理台账并保存。</w:t>
      </w:r>
    </w:p>
    <w:p w14:paraId="43CD8778">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贮存设施所有者或运营者应建立贮存设施环境管理制度、管理人员岗位职责制度、设施运行操作制度、人员岗位培训制度等。</w:t>
      </w:r>
    </w:p>
    <w:p w14:paraId="3ED2D7F7">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39B4029C">
      <w:pPr>
        <w:autoSpaceDE w:val="0"/>
        <w:autoSpaceDN w:val="0"/>
        <w:spacing w:line="360" w:lineRule="auto"/>
        <w:ind w:firstLine="480" w:firstLineChars="200"/>
        <w:rPr>
          <w:rFonts w:ascii="Times New Roman" w:hAnsi="Times New Roman" w:cs="Times New Roman"/>
          <w:lang w:val="zh-CN"/>
        </w:rPr>
      </w:pPr>
      <w:r>
        <w:rPr>
          <w:rFonts w:ascii="Times New Roman" w:hAnsi="Times New Roman" w:cs="Times New Roman"/>
          <w:lang w:val="zh-CN"/>
        </w:rPr>
        <w:t>贮存设施所有者或运营者应建立贮存设施全部档案，包括设计、施工、验收、运行、监测和环境应急等，应按国家有关档案管理的法律法规进行整理和归档。</w:t>
      </w:r>
    </w:p>
    <w:p w14:paraId="49D4F962">
      <w:pPr>
        <w:autoSpaceDE w:val="0"/>
        <w:autoSpaceDN w:val="0"/>
        <w:spacing w:line="360" w:lineRule="auto"/>
        <w:ind w:firstLine="480"/>
        <w:rPr>
          <w:rFonts w:ascii="Times New Roman" w:hAnsi="Times New Roman" w:cs="Times New Roman"/>
          <w:lang w:val="zh-CN"/>
        </w:rPr>
      </w:pPr>
      <w:r>
        <w:rPr>
          <w:rFonts w:ascii="Times New Roman" w:hAnsi="Times New Roman" w:cs="Times New Roman"/>
          <w:lang w:val="zh-CN"/>
        </w:rPr>
        <w:t>（3）危险废物收集过程要求</w:t>
      </w:r>
    </w:p>
    <w:p w14:paraId="0A6FEEDC">
      <w:pPr>
        <w:autoSpaceDE w:val="0"/>
        <w:autoSpaceDN w:val="0"/>
        <w:spacing w:line="360" w:lineRule="auto"/>
        <w:ind w:firstLine="480"/>
        <w:rPr>
          <w:rFonts w:ascii="Times New Roman" w:hAnsi="Times New Roman" w:cs="Times New Roman"/>
        </w:rPr>
      </w:pPr>
      <w:r>
        <w:rPr>
          <w:rFonts w:ascii="Times New Roman" w:hAnsi="Times New Roman" w:cs="Times New Roman"/>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032B21A0">
      <w:pPr>
        <w:pStyle w:val="281"/>
        <w:ind w:firstLine="480"/>
        <w:rPr>
          <w:rFonts w:cs="Times New Roman"/>
        </w:rPr>
      </w:pPr>
      <w:r>
        <w:rPr>
          <w:rFonts w:cs="Times New Roman"/>
        </w:rPr>
        <w:t>（4）包装及贮存场所污染防治措施可行性</w:t>
      </w:r>
    </w:p>
    <w:p w14:paraId="28B5B757">
      <w:pPr>
        <w:pStyle w:val="281"/>
        <w:ind w:firstLine="480"/>
        <w:rPr>
          <w:rFonts w:cs="Times New Roman"/>
        </w:rPr>
      </w:pPr>
      <w:r>
        <w:rPr>
          <w:rFonts w:cs="Times New Roman"/>
        </w:rPr>
        <w:t>本项目按照《危险废物贮存污染控制标准》（GB18597-2023）有关要求在厂区内建设一座危险废物暂存间，分类贮存各种危险废物。库房内各种危废按照不同的类别和性质，分别存放于专门的容器中（防渗），分类存放在各自的堆放区内，不</w:t>
      </w:r>
      <w:r>
        <w:rPr>
          <w:rFonts w:hint="eastAsia" w:cs="Times New Roman"/>
        </w:rPr>
        <w:t>叠</w:t>
      </w:r>
      <w:r>
        <w:rPr>
          <w:rFonts w:cs="Times New Roman"/>
        </w:rPr>
        <w:t>层堆放，堆放时从第一堆放区开始堆放，</w:t>
      </w:r>
      <w:r>
        <w:rPr>
          <w:rFonts w:hint="eastAsia" w:cs="Times New Roman"/>
        </w:rPr>
        <w:t>以此类推</w:t>
      </w:r>
      <w:r>
        <w:rPr>
          <w:rFonts w:cs="Times New Roman"/>
        </w:rPr>
        <w:t>。</w:t>
      </w:r>
    </w:p>
    <w:p w14:paraId="5E4751A2">
      <w:pPr>
        <w:pStyle w:val="281"/>
        <w:ind w:firstLine="480"/>
        <w:rPr>
          <w:rFonts w:cs="Times New Roman"/>
        </w:rPr>
      </w:pPr>
      <w:r>
        <w:rPr>
          <w:rFonts w:cs="Times New Roman"/>
        </w:rPr>
        <w:t>危险废物暂存间地面基础及内墙采取防渗措施（其中内墙防渗层高0.5m），使用防水混凝土，地面做防滑处理。地面设地沟和集水池，使渗沥液能进入污水处理站的污水调节池；地面、地沟及集水池均作环氧树脂防腐处理；地沟均设漏水耐腐蚀钢盖板，并在穿墙处做防渗处理。库房内采取全面通风的措施，设有安全照明设施，并设置干粉灭火器，库房外设置室外消火栓。</w:t>
      </w:r>
    </w:p>
    <w:p w14:paraId="71139A33">
      <w:pPr>
        <w:pStyle w:val="281"/>
        <w:ind w:firstLine="480"/>
        <w:rPr>
          <w:rFonts w:cs="Times New Roman"/>
        </w:rPr>
      </w:pPr>
      <w:r>
        <w:rPr>
          <w:rFonts w:cs="Times New Roman"/>
        </w:rPr>
        <w:t>对照《危险废物贮存污染控制标准》（GB18597-2023），本项目危险废物暂存间的建设符合标准中6.2条（危险废物贮存设施（仓库式）的设计原则）、6.3.1条（基础必须防渗，防渗层为至少1m厚粘土层（渗透系数≤10</w:t>
      </w:r>
      <w:r>
        <w:rPr>
          <w:rFonts w:cs="Times New Roman"/>
          <w:vertAlign w:val="superscript"/>
        </w:rPr>
        <w:t>-7</w:t>
      </w:r>
      <w:r>
        <w:rPr>
          <w:rFonts w:cs="Times New Roman"/>
        </w:rPr>
        <w:t xml:space="preserve"> cm/s）或2mm厚高密度聚乙烯，或至少2mm厚的其他人工材料（渗透系数≤10</w:t>
      </w:r>
      <w:r>
        <w:rPr>
          <w:rFonts w:cs="Times New Roman"/>
          <w:vertAlign w:val="superscript"/>
        </w:rPr>
        <w:t>- 10</w:t>
      </w:r>
      <w:r>
        <w:rPr>
          <w:rFonts w:cs="Times New Roman"/>
        </w:rPr>
        <w:t>cm/s）、6.3.9条（危险废物堆要防风、防雨、防晒）、6.3.11条（不相容的危险废物不能堆放在一起）等规定。</w:t>
      </w:r>
    </w:p>
    <w:p w14:paraId="180F9B61">
      <w:pPr>
        <w:pStyle w:val="281"/>
        <w:ind w:firstLine="480"/>
        <w:rPr>
          <w:rFonts w:cs="Times New Roman"/>
        </w:rPr>
      </w:pPr>
      <w:bookmarkStart w:id="419" w:name="_Hlk150623072"/>
      <w:r>
        <w:rPr>
          <w:rFonts w:hint="eastAsia" w:cs="Times New Roman"/>
        </w:rPr>
        <w:t>按照要求，</w:t>
      </w:r>
      <w:r>
        <w:rPr>
          <w:rFonts w:cs="Times New Roman"/>
        </w:rPr>
        <w:t>本项目危险废物</w:t>
      </w:r>
      <w:r>
        <w:rPr>
          <w:rFonts w:hint="eastAsia" w:cs="Times New Roman"/>
        </w:rPr>
        <w:t>最多存放一年</w:t>
      </w:r>
      <w:r>
        <w:rPr>
          <w:rFonts w:cs="Times New Roman"/>
        </w:rPr>
        <w:t>，其后由危废处置单位定期运走，集中处理。建设单位应加强危险废物的管理，及时处置项目产</w:t>
      </w:r>
      <w:r>
        <w:rPr>
          <w:rFonts w:hint="eastAsia" w:cs="Times New Roman"/>
        </w:rPr>
        <w:t>生</w:t>
      </w:r>
      <w:r>
        <w:rPr>
          <w:rFonts w:cs="Times New Roman"/>
        </w:rPr>
        <w:t>的危险废物。危险废物的转运严格按照有关规定进行，实行联单制度。</w:t>
      </w:r>
    </w:p>
    <w:bookmarkEnd w:id="419"/>
    <w:p w14:paraId="29C88DAA">
      <w:pPr>
        <w:pStyle w:val="951"/>
      </w:pPr>
      <w:r>
        <w:t>运输过程的污染防治措施</w:t>
      </w:r>
    </w:p>
    <w:p w14:paraId="0DEF79CB">
      <w:pPr>
        <w:pStyle w:val="104"/>
        <w:ind w:firstLine="512"/>
        <w:rPr>
          <w:rFonts w:ascii="Times New Roman" w:hAnsi="Times New Roman" w:cs="Times New Roman"/>
        </w:rPr>
      </w:pPr>
      <w:r>
        <w:rPr>
          <w:rFonts w:ascii="Times New Roman" w:hAnsi="Times New Roman" w:cs="Times New Roman"/>
        </w:rPr>
        <w:t>危险废物运输中应做到以下几点：</w:t>
      </w:r>
    </w:p>
    <w:p w14:paraId="37201BB7">
      <w:pPr>
        <w:pStyle w:val="104"/>
        <w:ind w:firstLine="512"/>
        <w:rPr>
          <w:rFonts w:ascii="Times New Roman" w:hAnsi="Times New Roman" w:cs="Times New Roman"/>
        </w:rPr>
      </w:pPr>
      <w:r>
        <w:rPr>
          <w:rFonts w:cs="Cambria Math"/>
        </w:rPr>
        <w:t>①</w:t>
      </w:r>
      <w:r>
        <w:rPr>
          <w:rFonts w:ascii="Times New Roman" w:hAnsi="Times New Roman" w:cs="Times New Roman"/>
        </w:rPr>
        <w:t>危险废物的运输车辆须经主管单位检查，并持有有关单位签发的许可证，负责运输的司机应通过培训，持有证明文件。</w:t>
      </w:r>
    </w:p>
    <w:p w14:paraId="65D41372">
      <w:pPr>
        <w:pStyle w:val="104"/>
        <w:ind w:firstLine="512"/>
        <w:rPr>
          <w:rFonts w:ascii="Times New Roman" w:hAnsi="Times New Roman" w:cs="Times New Roman"/>
        </w:rPr>
      </w:pPr>
      <w:r>
        <w:rPr>
          <w:rFonts w:cs="Cambria Math"/>
        </w:rPr>
        <w:t>②</w:t>
      </w:r>
      <w:r>
        <w:rPr>
          <w:rFonts w:ascii="Times New Roman" w:hAnsi="Times New Roman" w:cs="Times New Roman"/>
        </w:rPr>
        <w:t>承载危险废物的车辆须有明显的标志或适当的危险符号，以引起注意。</w:t>
      </w:r>
    </w:p>
    <w:p w14:paraId="13FADFB2">
      <w:pPr>
        <w:pStyle w:val="104"/>
        <w:ind w:firstLine="512"/>
        <w:rPr>
          <w:rFonts w:ascii="Times New Roman" w:hAnsi="Times New Roman" w:cs="Times New Roman"/>
        </w:rPr>
      </w:pPr>
      <w:r>
        <w:rPr>
          <w:rFonts w:cs="Cambria Math"/>
        </w:rPr>
        <w:t>③</w:t>
      </w:r>
      <w:r>
        <w:rPr>
          <w:rFonts w:ascii="Times New Roman" w:hAnsi="Times New Roman" w:cs="Times New Roman"/>
        </w:rPr>
        <w:t>载有危险废物的车辆在公路上行驶时，需持有运输许可证，其上应注明废物来源、性质和运往地点。</w:t>
      </w:r>
    </w:p>
    <w:p w14:paraId="1A647CFE">
      <w:pPr>
        <w:pStyle w:val="104"/>
        <w:ind w:firstLine="512"/>
        <w:rPr>
          <w:rFonts w:ascii="Times New Roman" w:hAnsi="Times New Roman" w:cs="Times New Roman"/>
        </w:rPr>
      </w:pPr>
      <w:r>
        <w:rPr>
          <w:rFonts w:cs="Cambria Math"/>
        </w:rPr>
        <w:t>④</w:t>
      </w:r>
      <w:r>
        <w:rPr>
          <w:rFonts w:ascii="Times New Roman" w:hAnsi="Times New Roman" w:cs="Times New Roman"/>
        </w:rPr>
        <w:t>组织危险废物的运输单位，在事先需</w:t>
      </w:r>
      <w:r>
        <w:rPr>
          <w:rFonts w:hint="eastAsia" w:ascii="Times New Roman" w:hAnsi="Times New Roman" w:cs="Times New Roman"/>
        </w:rPr>
        <w:t>做出</w:t>
      </w:r>
      <w:r>
        <w:rPr>
          <w:rFonts w:ascii="Times New Roman" w:hAnsi="Times New Roman" w:cs="Times New Roman"/>
        </w:rPr>
        <w:t>周密的运输计划和行驶路线，其中包括有效的废物泄漏情况下的应急措施。</w:t>
      </w:r>
    </w:p>
    <w:p w14:paraId="1C1BE123">
      <w:pPr>
        <w:pStyle w:val="951"/>
      </w:pPr>
      <w:r>
        <w:t>危险废物全过程管理</w:t>
      </w:r>
    </w:p>
    <w:p w14:paraId="7498AC6A">
      <w:pPr>
        <w:pStyle w:val="281"/>
        <w:ind w:firstLine="480"/>
        <w:rPr>
          <w:rFonts w:cs="Times New Roman"/>
        </w:rPr>
      </w:pPr>
      <w:r>
        <w:rPr>
          <w:rFonts w:cs="Times New Roman"/>
        </w:rPr>
        <w:t>本报告按照《“十四五”全国危险废物规范化环境管理评估工作方案》“表2危险废物规范化环境管理评估指标（工业危险废物产生单位）”对企业的运行管理提出要求，以利于企业在运行中规范化危险废物的管理制度和落实情况。</w:t>
      </w:r>
    </w:p>
    <w:p w14:paraId="201B6143">
      <w:pPr>
        <w:pStyle w:val="281"/>
        <w:ind w:firstLine="480"/>
        <w:rPr>
          <w:rFonts w:cs="Times New Roman"/>
        </w:rPr>
      </w:pPr>
      <w:r>
        <w:rPr>
          <w:rFonts w:ascii="宋体" w:hAnsi="宋体" w:cs="Cambria Math"/>
        </w:rPr>
        <w:t>①</w:t>
      </w:r>
      <w:r>
        <w:rPr>
          <w:rFonts w:cs="Times New Roman"/>
        </w:rPr>
        <w:t>污染环境防治责任制度</w:t>
      </w:r>
    </w:p>
    <w:p w14:paraId="556EF977">
      <w:pPr>
        <w:pStyle w:val="281"/>
        <w:ind w:firstLine="480"/>
        <w:rPr>
          <w:rFonts w:cs="Times New Roman"/>
        </w:rPr>
      </w:pPr>
      <w:r>
        <w:rPr>
          <w:rFonts w:cs="Times New Roman"/>
        </w:rPr>
        <w:t>产生工业固体废物的单位应当建立健全工业固体废物产生、收集、贮存、利用、处置全过程的污染环境防治责任制度，采取防治工业固体废物污染环境的措施。具体要求如下：</w:t>
      </w:r>
    </w:p>
    <w:p w14:paraId="1D6537EE">
      <w:pPr>
        <w:pStyle w:val="281"/>
        <w:ind w:firstLine="480"/>
        <w:rPr>
          <w:rFonts w:cs="Times New Roman"/>
        </w:rPr>
      </w:pPr>
      <w:r>
        <w:rPr>
          <w:rFonts w:cs="Times New Roman"/>
        </w:rPr>
        <w:t>a</w:t>
      </w:r>
      <w:r>
        <w:rPr>
          <w:rFonts w:hint="eastAsia" w:cs="Times New Roman"/>
        </w:rPr>
        <w:t>.</w:t>
      </w:r>
      <w:r>
        <w:rPr>
          <w:rFonts w:cs="Times New Roman"/>
        </w:rPr>
        <w:t>建立涵盖全过程的责任制度，负责人明确，各项责任分解清晰；负责人熟悉危险废物环境管理相关法规、制度、标准、规范；制定的制度得到落实，采取了防治工业固体废物污染环境的措施。</w:t>
      </w:r>
    </w:p>
    <w:p w14:paraId="4F1F55F0">
      <w:pPr>
        <w:pStyle w:val="281"/>
        <w:ind w:firstLine="480"/>
        <w:rPr>
          <w:rFonts w:cs="Times New Roman"/>
        </w:rPr>
      </w:pPr>
      <w:r>
        <w:rPr>
          <w:rFonts w:cs="Times New Roman"/>
        </w:rPr>
        <w:t>b</w:t>
      </w:r>
      <w:r>
        <w:rPr>
          <w:rFonts w:hint="eastAsia" w:cs="Times New Roman"/>
        </w:rPr>
        <w:t>.</w:t>
      </w:r>
      <w:r>
        <w:rPr>
          <w:rFonts w:cs="Times New Roman"/>
        </w:rPr>
        <w:t>执行危险废物污染防治责任信息公开制度，在显著位置张贴危险废物污染防治责任信息。张贴信息能够表明危险废物产生环节、危害特性、去向及责任人等。</w:t>
      </w:r>
    </w:p>
    <w:p w14:paraId="0030C609">
      <w:pPr>
        <w:pStyle w:val="281"/>
        <w:ind w:firstLine="480"/>
        <w:rPr>
          <w:rFonts w:cs="Times New Roman"/>
        </w:rPr>
      </w:pPr>
      <w:r>
        <w:rPr>
          <w:rFonts w:ascii="宋体" w:hAnsi="宋体" w:cs="Cambria Math"/>
        </w:rPr>
        <w:t>②</w:t>
      </w:r>
      <w:r>
        <w:rPr>
          <w:rFonts w:cs="Times New Roman"/>
        </w:rPr>
        <w:t>标志制度</w:t>
      </w:r>
    </w:p>
    <w:p w14:paraId="6A2A05AF">
      <w:pPr>
        <w:pStyle w:val="281"/>
        <w:ind w:firstLine="480"/>
        <w:rPr>
          <w:rFonts w:cs="Times New Roman"/>
        </w:rPr>
      </w:pPr>
      <w:r>
        <w:rPr>
          <w:rFonts w:cs="Times New Roman"/>
        </w:rPr>
        <w:t>危险废物的容器和包装物应当按照规定设置危险废物识别标志。具体要求如下：</w:t>
      </w:r>
    </w:p>
    <w:p w14:paraId="6928F02D">
      <w:pPr>
        <w:pStyle w:val="281"/>
        <w:ind w:firstLine="480"/>
        <w:rPr>
          <w:rFonts w:cs="Times New Roman"/>
        </w:rPr>
      </w:pPr>
      <w:r>
        <w:rPr>
          <w:rFonts w:cs="Times New Roman"/>
        </w:rPr>
        <w:t>a</w:t>
      </w:r>
      <w:r>
        <w:rPr>
          <w:rFonts w:hint="eastAsia" w:cs="Times New Roman"/>
        </w:rPr>
        <w:t>.</w:t>
      </w:r>
      <w:r>
        <w:rPr>
          <w:rFonts w:cs="Times New Roman"/>
        </w:rPr>
        <w:t>危险废物的容器和包装物应当按照规定设置危险废物识别标志。危险废物识别标志样式正确、内容填写真实完整。</w:t>
      </w:r>
    </w:p>
    <w:p w14:paraId="6292E243">
      <w:pPr>
        <w:pStyle w:val="281"/>
        <w:ind w:firstLine="480"/>
        <w:rPr>
          <w:rFonts w:cs="Times New Roman"/>
        </w:rPr>
      </w:pPr>
      <w:r>
        <w:rPr>
          <w:rFonts w:cs="Times New Roman"/>
        </w:rPr>
        <w:t>b</w:t>
      </w:r>
      <w:r>
        <w:rPr>
          <w:rFonts w:hint="eastAsia" w:cs="Times New Roman"/>
        </w:rPr>
        <w:t>.</w:t>
      </w:r>
      <w:r>
        <w:rPr>
          <w:rFonts w:cs="Times New Roman"/>
        </w:rPr>
        <w:t>收集、贮存、利用、处置危险废物的设施、场所，应当按照规定设置危险废物识别标志。在收集、贮存、利用、处置危险废物的设施、场所均需设置规范（形状、颜色、图案均正确）的危险废物识别标志。</w:t>
      </w:r>
    </w:p>
    <w:p w14:paraId="37FEFE1B">
      <w:pPr>
        <w:pStyle w:val="281"/>
        <w:ind w:firstLine="480"/>
        <w:rPr>
          <w:rFonts w:cs="Times New Roman"/>
        </w:rPr>
      </w:pPr>
      <w:r>
        <w:rPr>
          <w:rFonts w:ascii="宋体" w:hAnsi="宋体" w:cs="Cambria Math"/>
        </w:rPr>
        <w:t>③</w:t>
      </w:r>
      <w:r>
        <w:rPr>
          <w:rFonts w:cs="Times New Roman"/>
        </w:rPr>
        <w:t>管理计划</w:t>
      </w:r>
    </w:p>
    <w:p w14:paraId="4C671C83">
      <w:pPr>
        <w:pStyle w:val="281"/>
        <w:ind w:firstLine="480"/>
        <w:rPr>
          <w:rFonts w:cs="Times New Roman"/>
        </w:rPr>
      </w:pPr>
      <w:r>
        <w:rPr>
          <w:rFonts w:cs="Times New Roman"/>
        </w:rPr>
        <w:t>依法制定危险废物管理计划，危险废物管理计划包括减少危险废物产生量和降低危险废物危害性的措施，以及危险废物贮存、利用、处置措施。具体要求如下：</w:t>
      </w:r>
    </w:p>
    <w:p w14:paraId="2ABDAB1A">
      <w:pPr>
        <w:pStyle w:val="281"/>
        <w:ind w:firstLine="480"/>
        <w:rPr>
          <w:rFonts w:cs="Times New Roman"/>
        </w:rPr>
      </w:pPr>
      <w:r>
        <w:rPr>
          <w:rFonts w:cs="Times New Roman"/>
        </w:rPr>
        <w:t>a</w:t>
      </w:r>
      <w:r>
        <w:rPr>
          <w:rFonts w:hint="eastAsia" w:cs="Times New Roman"/>
        </w:rPr>
        <w:t>.</w:t>
      </w:r>
      <w:r>
        <w:rPr>
          <w:rFonts w:cs="Times New Roman"/>
        </w:rPr>
        <w:t>管理计划要求内容齐全，危险废物的产生环节、种类、危害特性、产生量、利用处置方式描述清晰。管理计划包括以下内容：危险废物的产生环节、种类描述清晰；危险废物产生量预测依据充分，且提出了减少产生量的措施；危险废物的危害特性描述准确，且提出了降低危害性的措施；危险废物贮存、利用、处置措施描述清晰。</w:t>
      </w:r>
    </w:p>
    <w:p w14:paraId="4959D24C">
      <w:pPr>
        <w:pStyle w:val="281"/>
        <w:ind w:firstLine="480"/>
        <w:rPr>
          <w:rFonts w:cs="Times New Roman"/>
        </w:rPr>
      </w:pPr>
      <w:r>
        <w:rPr>
          <w:rFonts w:cs="Times New Roman"/>
        </w:rPr>
        <w:t>b</w:t>
      </w:r>
      <w:r>
        <w:rPr>
          <w:rFonts w:hint="eastAsia" w:cs="Times New Roman"/>
        </w:rPr>
        <w:t>.</w:t>
      </w:r>
      <w:r>
        <w:rPr>
          <w:rFonts w:cs="Times New Roman"/>
        </w:rPr>
        <w:t>通过国家危险废物信息管理系统报所在地生态环境主管部门备案；内容发生变更时及时变更相关备案内容。</w:t>
      </w:r>
    </w:p>
    <w:p w14:paraId="15E57CE3">
      <w:pPr>
        <w:pStyle w:val="281"/>
        <w:ind w:firstLine="480"/>
        <w:rPr>
          <w:rFonts w:cs="Times New Roman"/>
        </w:rPr>
      </w:pPr>
      <w:r>
        <w:rPr>
          <w:rFonts w:ascii="宋体" w:hAnsi="宋体" w:cs="Cambria Math"/>
        </w:rPr>
        <w:t>④</w:t>
      </w:r>
      <w:r>
        <w:rPr>
          <w:rFonts w:cs="Times New Roman"/>
        </w:rPr>
        <w:t>排污许可制度</w:t>
      </w:r>
    </w:p>
    <w:p w14:paraId="1FF4CAB0">
      <w:pPr>
        <w:pStyle w:val="281"/>
        <w:ind w:firstLine="480"/>
        <w:rPr>
          <w:rFonts w:cs="Times New Roman"/>
        </w:rPr>
      </w:pPr>
      <w:r>
        <w:rPr>
          <w:rFonts w:cs="Times New Roman"/>
        </w:rPr>
        <w:t>依法取得排污许可证并按证排污。许可证中按照技术规范对工业固体废物提出明确环境管理要求，对工业固体废物的贮存、自行利用处置和委托外单位利用处置符合许可证要求，按要求及时提交台账记录和执行报告。</w:t>
      </w:r>
    </w:p>
    <w:p w14:paraId="0D107A96">
      <w:pPr>
        <w:pStyle w:val="281"/>
        <w:ind w:firstLine="480"/>
        <w:rPr>
          <w:rFonts w:cs="Times New Roman"/>
        </w:rPr>
      </w:pPr>
      <w:r>
        <w:rPr>
          <w:rFonts w:ascii="宋体" w:hAnsi="宋体" w:cs="Cambria Math"/>
        </w:rPr>
        <w:t>⑤</w:t>
      </w:r>
      <w:r>
        <w:rPr>
          <w:rFonts w:cs="Times New Roman"/>
        </w:rPr>
        <w:t>台账和申报制度</w:t>
      </w:r>
    </w:p>
    <w:p w14:paraId="4C3B8C41">
      <w:pPr>
        <w:pStyle w:val="281"/>
        <w:ind w:firstLine="480"/>
        <w:rPr>
          <w:rFonts w:cs="Times New Roman"/>
        </w:rPr>
      </w:pPr>
      <w:r>
        <w:rPr>
          <w:rFonts w:cs="Times New Roman"/>
        </w:rPr>
        <w:t>按照国家有关规定建立危险废物管理台账，如实记录有关信息。具体要求如下：</w:t>
      </w:r>
    </w:p>
    <w:p w14:paraId="2380898F">
      <w:pPr>
        <w:pStyle w:val="281"/>
        <w:ind w:firstLine="480"/>
        <w:rPr>
          <w:rFonts w:cs="Times New Roman"/>
        </w:rPr>
      </w:pPr>
      <w:r>
        <w:rPr>
          <w:rFonts w:cs="Times New Roman"/>
        </w:rPr>
        <w:t>a</w:t>
      </w:r>
      <w:r>
        <w:rPr>
          <w:rFonts w:hint="eastAsia" w:cs="Times New Roman"/>
        </w:rPr>
        <w:t>.</w:t>
      </w:r>
      <w:r>
        <w:rPr>
          <w:rFonts w:cs="Times New Roman"/>
        </w:rPr>
        <w:t>全面、准确地记录了危险废物产生、入库、出库、自行利用处置等各环节危险废物在企业内部流转情况；且可提供各环节台账记录表等证明材料。</w:t>
      </w:r>
    </w:p>
    <w:p w14:paraId="1529F4AA">
      <w:pPr>
        <w:pStyle w:val="281"/>
        <w:ind w:firstLine="480"/>
        <w:rPr>
          <w:rFonts w:cs="Times New Roman"/>
        </w:rPr>
      </w:pPr>
      <w:r>
        <w:rPr>
          <w:rFonts w:cs="Times New Roman"/>
        </w:rPr>
        <w:t>b</w:t>
      </w:r>
      <w:r>
        <w:rPr>
          <w:rFonts w:hint="eastAsia" w:cs="Times New Roman"/>
        </w:rPr>
        <w:t>.</w:t>
      </w:r>
      <w:r>
        <w:rPr>
          <w:rFonts w:cs="Times New Roman"/>
        </w:rPr>
        <w:t>通过国家危险废物信息管理系统向所在地生态环境主管部门如实申报危险废物的种类、产生量、流向、贮存、处置等有关情况，提供证明材料（如危险废物管理台账、环评文件、竣工验收文件、危险废物转移联单、危险废物利用处置合同、财务数据等）。</w:t>
      </w:r>
    </w:p>
    <w:p w14:paraId="059BDCB4">
      <w:pPr>
        <w:pStyle w:val="281"/>
        <w:ind w:firstLine="480"/>
        <w:rPr>
          <w:rFonts w:cs="Times New Roman"/>
        </w:rPr>
      </w:pPr>
      <w:r>
        <w:rPr>
          <w:rFonts w:ascii="宋体" w:hAnsi="宋体" w:cs="Cambria Math"/>
        </w:rPr>
        <w:t>⑥</w:t>
      </w:r>
      <w:r>
        <w:rPr>
          <w:rFonts w:cs="Times New Roman"/>
        </w:rPr>
        <w:t>源头分类制度</w:t>
      </w:r>
    </w:p>
    <w:p w14:paraId="476E88AF">
      <w:pPr>
        <w:pStyle w:val="281"/>
        <w:ind w:firstLine="480"/>
        <w:rPr>
          <w:rFonts w:cs="Times New Roman"/>
        </w:rPr>
      </w:pPr>
      <w:r>
        <w:rPr>
          <w:rFonts w:cs="Times New Roman"/>
        </w:rPr>
        <w:t>按照危险废物特性分类进行收集。危险废物按种类分别收集、贮存。a.所有危险废物产生环节均按种类分别收集。b.危险废物按种类分别存放，不同废物间有明显间隔。</w:t>
      </w:r>
    </w:p>
    <w:p w14:paraId="767E6A40">
      <w:pPr>
        <w:pStyle w:val="281"/>
        <w:ind w:firstLine="480"/>
        <w:rPr>
          <w:rFonts w:cs="Times New Roman"/>
        </w:rPr>
      </w:pPr>
      <w:r>
        <w:rPr>
          <w:rFonts w:ascii="宋体" w:hAnsi="宋体" w:cs="Cambria Math"/>
        </w:rPr>
        <w:t>⑦</w:t>
      </w:r>
      <w:r>
        <w:rPr>
          <w:rFonts w:cs="Times New Roman"/>
        </w:rPr>
        <w:t>转移制度</w:t>
      </w:r>
    </w:p>
    <w:p w14:paraId="6ABF20CB">
      <w:pPr>
        <w:pStyle w:val="281"/>
        <w:ind w:firstLine="480"/>
        <w:rPr>
          <w:rFonts w:cs="Times New Roman"/>
        </w:rPr>
      </w:pPr>
      <w:r>
        <w:rPr>
          <w:rFonts w:cs="Times New Roman"/>
        </w:rPr>
        <w:t>a</w:t>
      </w:r>
      <w:r>
        <w:rPr>
          <w:rFonts w:hint="eastAsia" w:cs="Times New Roman"/>
        </w:rPr>
        <w:t>.</w:t>
      </w:r>
      <w:r>
        <w:rPr>
          <w:rFonts w:cs="Times New Roman"/>
        </w:rPr>
        <w:t>产生工业固体废物的单位委托他人运输、利用、处置工业固体废物的，应当对受托方的主体资格和技术能力进行核实，依法签订书面合同，在合同中约定污染防治要求。对受托方的主体资格和技术能力进行核实，且可提供证明材料。及时核对受托方收集、利用或者处置相关危险废物情况，且可提供证明材料。</w:t>
      </w:r>
    </w:p>
    <w:p w14:paraId="4159FC37">
      <w:pPr>
        <w:pStyle w:val="281"/>
        <w:ind w:firstLine="480"/>
        <w:rPr>
          <w:rFonts w:cs="Times New Roman"/>
        </w:rPr>
      </w:pPr>
      <w:r>
        <w:rPr>
          <w:rFonts w:cs="Times New Roman"/>
        </w:rPr>
        <w:t>b</w:t>
      </w:r>
      <w:r>
        <w:rPr>
          <w:rFonts w:hint="eastAsia" w:cs="Times New Roman"/>
        </w:rPr>
        <w:t>.</w:t>
      </w:r>
      <w:r>
        <w:rPr>
          <w:rFonts w:cs="Times New Roman"/>
        </w:rPr>
        <w:t>转移危险废物的，按照危险废物转移有关规定，按照危险废物转移有关规定通过国家危险废物信息管理系统如实填写、运行电子联单。</w:t>
      </w:r>
    </w:p>
    <w:p w14:paraId="342D961C">
      <w:pPr>
        <w:pStyle w:val="281"/>
        <w:ind w:firstLine="480"/>
        <w:rPr>
          <w:rFonts w:cs="Times New Roman"/>
        </w:rPr>
      </w:pPr>
      <w:r>
        <w:rPr>
          <w:rFonts w:cs="Times New Roman"/>
        </w:rPr>
        <w:t>c</w:t>
      </w:r>
      <w:r>
        <w:rPr>
          <w:rFonts w:hint="eastAsia" w:cs="Times New Roman"/>
        </w:rPr>
        <w:t>.</w:t>
      </w:r>
      <w:r>
        <w:rPr>
          <w:rFonts w:cs="Times New Roman"/>
        </w:rPr>
        <w:t>跨省、自治区、直辖市转移危险废物的，应当向危险废物移出地省、自治区、直辖市人民政府生态环境主管部门申请并得到批准。</w:t>
      </w:r>
    </w:p>
    <w:p w14:paraId="53E478A0">
      <w:pPr>
        <w:pStyle w:val="281"/>
        <w:ind w:firstLine="480"/>
        <w:rPr>
          <w:rFonts w:cs="Times New Roman"/>
        </w:rPr>
      </w:pPr>
      <w:r>
        <w:rPr>
          <w:rFonts w:ascii="宋体" w:hAnsi="宋体" w:cs="Cambria Math"/>
        </w:rPr>
        <w:t>⑧</w:t>
      </w:r>
      <w:r>
        <w:rPr>
          <w:rFonts w:cs="Times New Roman"/>
        </w:rPr>
        <w:t>环境应急预案备案制度</w:t>
      </w:r>
    </w:p>
    <w:p w14:paraId="7EF484C3">
      <w:pPr>
        <w:pStyle w:val="281"/>
        <w:ind w:firstLine="480"/>
        <w:rPr>
          <w:rFonts w:cs="Times New Roman"/>
        </w:rPr>
      </w:pPr>
      <w:r>
        <w:rPr>
          <w:rFonts w:cs="Times New Roman"/>
        </w:rPr>
        <w:t>a</w:t>
      </w:r>
      <w:r>
        <w:rPr>
          <w:rFonts w:hint="eastAsia" w:cs="Times New Roman"/>
        </w:rPr>
        <w:t>.</w:t>
      </w:r>
      <w:r>
        <w:rPr>
          <w:rFonts w:cs="Times New Roman"/>
        </w:rPr>
        <w:t>依法制定了意外事故的环境污染防范措施和应急预案。a.应急预案有明确的管理机构及负责人。b.有意外事故的情形及相应的处理措施。c.有应急预案中要求配置的应急装备及物资。d.内部及外部环境发生改变时，及时对应急预案进行修订。</w:t>
      </w:r>
    </w:p>
    <w:p w14:paraId="05962999">
      <w:pPr>
        <w:pStyle w:val="281"/>
        <w:ind w:firstLine="480"/>
        <w:rPr>
          <w:rFonts w:cs="Times New Roman"/>
        </w:rPr>
      </w:pPr>
      <w:r>
        <w:rPr>
          <w:rFonts w:cs="Times New Roman"/>
        </w:rPr>
        <w:t>b</w:t>
      </w:r>
      <w:r>
        <w:rPr>
          <w:rFonts w:hint="eastAsia" w:cs="Times New Roman"/>
        </w:rPr>
        <w:t>.</w:t>
      </w:r>
      <w:r>
        <w:rPr>
          <w:rFonts w:cs="Times New Roman"/>
        </w:rPr>
        <w:t>向所在地生态环境主管部门和其他负有固体废物污染环境防治监督管理职责的部门备案，且有相关证明材料。</w:t>
      </w:r>
    </w:p>
    <w:p w14:paraId="6CC696B0">
      <w:pPr>
        <w:pStyle w:val="281"/>
        <w:ind w:firstLine="480"/>
        <w:rPr>
          <w:rFonts w:cs="Times New Roman"/>
        </w:rPr>
      </w:pPr>
      <w:r>
        <w:rPr>
          <w:rFonts w:cs="Times New Roman"/>
        </w:rPr>
        <w:t>c</w:t>
      </w:r>
      <w:r>
        <w:rPr>
          <w:rFonts w:hint="eastAsia" w:cs="Times New Roman"/>
        </w:rPr>
        <w:t>.</w:t>
      </w:r>
      <w:r>
        <w:rPr>
          <w:rFonts w:cs="Times New Roman"/>
        </w:rPr>
        <w:t>按照预案要求每年组织应急演练。本公司是危险废物产生10吨以上的企业，需按照以下要求开展应急演练：有详细的演练计划；有演练的图片、文字或视频记录；有演练后的总结材料；参加演练人员熟悉意外事故的环境污染防范措施。</w:t>
      </w:r>
    </w:p>
    <w:p w14:paraId="198FE26A">
      <w:pPr>
        <w:pStyle w:val="281"/>
        <w:ind w:firstLine="480"/>
        <w:rPr>
          <w:rFonts w:cs="Times New Roman"/>
        </w:rPr>
      </w:pPr>
      <w:r>
        <w:rPr>
          <w:rFonts w:ascii="宋体" w:hAnsi="宋体" w:cs="Cambria Math"/>
        </w:rPr>
        <w:t>⑨</w:t>
      </w:r>
      <w:r>
        <w:rPr>
          <w:rFonts w:cs="Times New Roman"/>
        </w:rPr>
        <w:t>贮存设施环境管理</w:t>
      </w:r>
    </w:p>
    <w:p w14:paraId="3FEDB561">
      <w:pPr>
        <w:pStyle w:val="281"/>
        <w:ind w:firstLine="480"/>
        <w:rPr>
          <w:rFonts w:cs="Times New Roman"/>
        </w:rPr>
      </w:pPr>
      <w:r>
        <w:rPr>
          <w:rFonts w:cs="Times New Roman"/>
        </w:rPr>
        <w:t>a</w:t>
      </w:r>
      <w:r>
        <w:rPr>
          <w:rFonts w:hint="eastAsia" w:cs="Times New Roman"/>
        </w:rPr>
        <w:t>.</w:t>
      </w:r>
      <w:r>
        <w:rPr>
          <w:rFonts w:cs="Times New Roman"/>
        </w:rPr>
        <w:t>依法进行环境影响评价，完成“三同时”验收。</w:t>
      </w:r>
    </w:p>
    <w:p w14:paraId="1D541EE9">
      <w:pPr>
        <w:pStyle w:val="281"/>
        <w:ind w:firstLine="480"/>
        <w:rPr>
          <w:rFonts w:cs="Times New Roman"/>
        </w:rPr>
      </w:pPr>
      <w:r>
        <w:rPr>
          <w:rFonts w:cs="Times New Roman"/>
        </w:rPr>
        <w:t>b</w:t>
      </w:r>
      <w:r>
        <w:rPr>
          <w:rFonts w:hint="eastAsia" w:cs="Times New Roman"/>
        </w:rPr>
        <w:t>.</w:t>
      </w:r>
      <w:r>
        <w:rPr>
          <w:rFonts w:cs="Times New Roman"/>
        </w:rPr>
        <w:t>按照国家有关规定和环境保护标准要求贮存危险废物。根据危险废物贮存设施使用功能及贮存废物的种类、数量、特性和环境风险防控要求进行设置，选址、建设、贮存、运行、监测和退役等过程的环境保护符合《危险废物贮存污染控制标准》有关要求。</w:t>
      </w:r>
    </w:p>
    <w:p w14:paraId="3F328DDC">
      <w:pPr>
        <w:pStyle w:val="281"/>
        <w:ind w:firstLine="480"/>
        <w:rPr>
          <w:rFonts w:cs="Times New Roman"/>
        </w:rPr>
      </w:pPr>
      <w:r>
        <w:rPr>
          <w:rFonts w:ascii="宋体" w:hAnsi="宋体" w:cs="Cambria Math"/>
        </w:rPr>
        <w:t>⑩</w:t>
      </w:r>
      <w:r>
        <w:rPr>
          <w:rFonts w:cs="Times New Roman"/>
        </w:rPr>
        <w:t>信息发布</w:t>
      </w:r>
    </w:p>
    <w:p w14:paraId="11791A20">
      <w:pPr>
        <w:pStyle w:val="281"/>
        <w:ind w:firstLine="480"/>
        <w:rPr>
          <w:rFonts w:cs="Times New Roman"/>
        </w:rPr>
      </w:pPr>
      <w:r>
        <w:rPr>
          <w:rFonts w:cs="Times New Roman"/>
        </w:rPr>
        <w:t>产生固体废物的单位，应当依法及时公开固体废物污染环境防治信息，主动接受社会监督。可通过企业网站等途径依法公开当年危险废物污染环境防治信息。</w:t>
      </w:r>
    </w:p>
    <w:p w14:paraId="6DEBF1FF">
      <w:pPr>
        <w:pStyle w:val="281"/>
        <w:ind w:firstLine="480"/>
        <w:rPr>
          <w:rFonts w:cs="Times New Roman"/>
        </w:rPr>
      </w:pPr>
      <w:r>
        <w:rPr>
          <w:rFonts w:cs="Times New Roman"/>
        </w:rPr>
        <w:t>按照上述规定对危险固废进行妥善处置后，在加强管理，并在落实好各项污染防治措施和固体废物综合利用等安全处置措施的前提下</w:t>
      </w:r>
      <w:r>
        <w:rPr>
          <w:rFonts w:hint="eastAsia" w:cs="Times New Roman"/>
        </w:rPr>
        <w:t>，</w:t>
      </w:r>
      <w:r>
        <w:rPr>
          <w:rFonts w:cs="Times New Roman"/>
        </w:rPr>
        <w:t>厂区产生的危险废物对周围环境的影响较小</w:t>
      </w:r>
      <w:bookmarkEnd w:id="413"/>
      <w:r>
        <w:rPr>
          <w:rFonts w:cs="Times New Roman"/>
        </w:rPr>
        <w:t>。</w:t>
      </w:r>
      <w:bookmarkEnd w:id="408"/>
      <w:bookmarkEnd w:id="418"/>
      <w:bookmarkStart w:id="420" w:name="_Hlk150614579"/>
    </w:p>
    <w:p w14:paraId="0FAFC292">
      <w:pPr>
        <w:pStyle w:val="98"/>
        <w:rPr>
          <w:rFonts w:hint="eastAsia"/>
          <w:color w:val="auto"/>
        </w:rPr>
      </w:pPr>
      <w:bookmarkStart w:id="421" w:name="_Hlk192089889"/>
      <w:r>
        <w:rPr>
          <w:rFonts w:hint="eastAsia"/>
          <w:color w:val="auto"/>
        </w:rPr>
        <w:t>厂外处置措施</w:t>
      </w:r>
    </w:p>
    <w:p w14:paraId="64C80320">
      <w:pPr>
        <w:pStyle w:val="951"/>
      </w:pPr>
      <w:r>
        <w:rPr>
          <w:rFonts w:hint="eastAsia"/>
        </w:rPr>
        <w:t>灰渣综合利用</w:t>
      </w:r>
    </w:p>
    <w:p w14:paraId="682CC348">
      <w:pPr>
        <w:pStyle w:val="281"/>
        <w:ind w:firstLine="480"/>
        <w:rPr>
          <w:rFonts w:cs="Times New Roman"/>
        </w:rPr>
      </w:pPr>
      <w:r>
        <w:rPr>
          <w:rFonts w:hint="eastAsia" w:cs="Times New Roman"/>
        </w:rPr>
        <w:t>气化炉灰渣拟综合利用，综合利用不畅再送一般固废填埋场填埋。</w:t>
      </w:r>
    </w:p>
    <w:p w14:paraId="184C8723">
      <w:pPr>
        <w:pStyle w:val="281"/>
        <w:ind w:firstLine="480"/>
        <w:rPr>
          <w:rFonts w:cs="Times New Roman"/>
        </w:rPr>
      </w:pPr>
      <w:r>
        <w:rPr>
          <w:rFonts w:hint="eastAsia" w:cs="Times New Roman"/>
        </w:rPr>
        <w:t>（1）利用可行性分析</w:t>
      </w:r>
    </w:p>
    <w:p w14:paraId="4AE9055C">
      <w:pPr>
        <w:pStyle w:val="281"/>
        <w:ind w:firstLine="480"/>
        <w:rPr>
          <w:rFonts w:cs="Times New Roman"/>
        </w:rPr>
      </w:pPr>
      <w:r>
        <w:rPr>
          <w:rFonts w:hint="eastAsia" w:cs="Times New Roman"/>
        </w:rPr>
        <w:t>气化炉燃烧区温度在1100～1200℃，煤中的有机成分几乎完全分解，无机化合物熔融进入玻璃状残渣中，气化灰渣为玻璃状，粒径＜3mm，碳含量约为 0.5%，通常可作为水泥填料、制砖材料进行综合利用。</w:t>
      </w:r>
    </w:p>
    <w:p w14:paraId="687F6460">
      <w:pPr>
        <w:pStyle w:val="281"/>
        <w:ind w:firstLine="480"/>
        <w:rPr>
          <w:rFonts w:cs="Times New Roman"/>
        </w:rPr>
      </w:pPr>
      <w:r>
        <w:rPr>
          <w:rFonts w:hint="eastAsia" w:cs="Times New Roman"/>
        </w:rPr>
        <w:t xml:space="preserve">（2）综合利用方式 </w:t>
      </w:r>
    </w:p>
    <w:p w14:paraId="7A3A9B6D">
      <w:pPr>
        <w:pStyle w:val="281"/>
        <w:ind w:firstLine="480"/>
        <w:rPr>
          <w:rFonts w:cs="Times New Roman"/>
        </w:rPr>
      </w:pPr>
      <w:r>
        <w:rPr>
          <w:rFonts w:hint="eastAsia" w:cs="Times New Roman"/>
        </w:rPr>
        <w:t xml:space="preserve">水泥：水泥工业是我国固体废弃物的消纳大户，每年用于水泥生产的固废量约9亿吨，以混合材或替代原料加入。掺加混合材不仅可以调节水泥标号与品种，增加水泥产量，降低生产成本，而且在一定程度上改善水泥的某些性能，满足建筑工程中对水泥的特殊技术要求。粉煤灰和炉渣是最常用的混合材品种，在水泥中的掺加量最高可达40%（wt）。 </w:t>
      </w:r>
    </w:p>
    <w:p w14:paraId="35699BA9">
      <w:pPr>
        <w:pStyle w:val="281"/>
        <w:ind w:firstLine="480"/>
        <w:rPr>
          <w:rFonts w:cs="Times New Roman"/>
        </w:rPr>
      </w:pPr>
      <w:r>
        <w:rPr>
          <w:rFonts w:hint="eastAsia" w:cs="Times New Roman"/>
        </w:rPr>
        <w:t>本项目气化灰渣送周边建材厂综合利用。随着当地社会经济的发展，基本建设会逐步加快，建材的需要量也会逐步增加，灰渣的利用途径也会逐步改善。</w:t>
      </w:r>
    </w:p>
    <w:p w14:paraId="2F856E00">
      <w:pPr>
        <w:pStyle w:val="281"/>
        <w:ind w:firstLine="480"/>
        <w:rPr>
          <w:rFonts w:cs="Times New Roman"/>
        </w:rPr>
      </w:pPr>
      <w:r>
        <w:rPr>
          <w:rFonts w:hint="eastAsia" w:cs="Times New Roman"/>
        </w:rPr>
        <w:t>（3）灰渣运输方案</w:t>
      </w:r>
    </w:p>
    <w:p w14:paraId="2CD9B40B">
      <w:pPr>
        <w:pStyle w:val="281"/>
        <w:ind w:firstLine="480"/>
        <w:rPr>
          <w:rFonts w:cs="Times New Roman"/>
        </w:rPr>
      </w:pPr>
      <w:r>
        <w:rPr>
          <w:rFonts w:hint="eastAsia" w:cs="Times New Roman"/>
        </w:rPr>
        <w:t>采用汽车运输方案。</w:t>
      </w:r>
    </w:p>
    <w:p w14:paraId="36DCCCC2">
      <w:pPr>
        <w:pStyle w:val="281"/>
        <w:ind w:firstLine="480"/>
        <w:rPr>
          <w:rFonts w:cs="Times New Roman"/>
        </w:rPr>
      </w:pPr>
      <w:r>
        <w:rPr>
          <w:rFonts w:hint="eastAsia" w:cs="Times New Roman"/>
        </w:rPr>
        <w:t>气化灰渣——灰渣滤饼直接装入汽车，全部汽车运输至合作厂家。车辆采用密闭不漏液车辆，避免道路遗撒。</w:t>
      </w:r>
    </w:p>
    <w:p w14:paraId="4FA8023F">
      <w:pPr>
        <w:pStyle w:val="281"/>
        <w:ind w:firstLine="480"/>
        <w:rPr>
          <w:rFonts w:cs="Times New Roman"/>
        </w:rPr>
      </w:pPr>
      <w:r>
        <w:rPr>
          <w:rFonts w:hint="eastAsia" w:cs="Times New Roman"/>
        </w:rPr>
        <w:t>从以上分析可知，本项目灰渣综合利用方案是可靠的。</w:t>
      </w:r>
    </w:p>
    <w:p w14:paraId="7B6B0792">
      <w:pPr>
        <w:pStyle w:val="951"/>
      </w:pPr>
      <w:r>
        <w:rPr>
          <w:rFonts w:hint="eastAsia"/>
        </w:rPr>
        <w:t>一般固废填埋场</w:t>
      </w:r>
    </w:p>
    <w:p w14:paraId="540E6054">
      <w:pPr>
        <w:pStyle w:val="281"/>
        <w:ind w:firstLine="480"/>
        <w:rPr>
          <w:rFonts w:cs="Times New Roman"/>
          <w:szCs w:val="24"/>
        </w:rPr>
      </w:pPr>
      <w:bookmarkStart w:id="422" w:name="_Hlk193452992"/>
      <w:bookmarkStart w:id="423" w:name="_Hlk193189334"/>
      <w:bookmarkStart w:id="424" w:name="_Hlk193186809"/>
      <w:r>
        <w:rPr>
          <w:rFonts w:cs="Times New Roman"/>
          <w:szCs w:val="24"/>
        </w:rPr>
        <w:t>哈密高新区南部循环经济产业园</w:t>
      </w:r>
      <w:r>
        <w:rPr>
          <w:rFonts w:hint="eastAsia" w:cs="Times New Roman"/>
          <w:szCs w:val="24"/>
        </w:rPr>
        <w:t>已建设一座</w:t>
      </w:r>
      <w:r>
        <w:rPr>
          <w:rFonts w:cs="Times New Roman"/>
          <w:szCs w:val="24"/>
        </w:rPr>
        <w:t>固废填埋场</w:t>
      </w:r>
      <w:bookmarkEnd w:id="422"/>
      <w:r>
        <w:rPr>
          <w:rFonts w:cs="Times New Roman"/>
          <w:szCs w:val="24"/>
        </w:rPr>
        <w:t>。该项目位于哈密高新区南部循环经济产业园西南约10km的沟谷处，建设规模为年处理固废量约40万吨，</w:t>
      </w:r>
      <w:r>
        <w:rPr>
          <w:rFonts w:hint="eastAsia" w:cs="Times New Roman"/>
          <w:szCs w:val="24"/>
        </w:rPr>
        <w:t>填埋场按照</w:t>
      </w:r>
      <w:r>
        <w:rPr>
          <w:rFonts w:cs="Times New Roman"/>
          <w:szCs w:val="24"/>
        </w:rPr>
        <w:t>Ⅱ</w:t>
      </w:r>
      <w:r>
        <w:rPr>
          <w:rFonts w:hint="eastAsia" w:cs="Times New Roman"/>
          <w:szCs w:val="24"/>
        </w:rPr>
        <w:t>类场设计，每年填埋固废所需库容约35万</w:t>
      </w:r>
      <w:r>
        <w:rPr>
          <w:rFonts w:cs="Times New Roman"/>
          <w:szCs w:val="24"/>
        </w:rPr>
        <w:t>立方米</w:t>
      </w:r>
      <w:r>
        <w:rPr>
          <w:rFonts w:hint="eastAsia" w:cs="Times New Roman"/>
          <w:szCs w:val="24"/>
        </w:rPr>
        <w:t>，</w:t>
      </w:r>
      <w:r>
        <w:rPr>
          <w:rFonts w:cs="Times New Roman"/>
          <w:szCs w:val="24"/>
        </w:rPr>
        <w:t>设计运营期10年，设计总库容35</w:t>
      </w:r>
      <w:r>
        <w:rPr>
          <w:rFonts w:hint="eastAsia" w:cs="Times New Roman"/>
          <w:szCs w:val="24"/>
        </w:rPr>
        <w:t>0</w:t>
      </w:r>
      <w:r>
        <w:rPr>
          <w:rFonts w:cs="Times New Roman"/>
          <w:szCs w:val="24"/>
        </w:rPr>
        <w:t>万立方米</w:t>
      </w:r>
      <w:r>
        <w:rPr>
          <w:rFonts w:hint="eastAsia" w:cs="Times New Roman"/>
          <w:szCs w:val="24"/>
        </w:rPr>
        <w:t>。主要用于收集园区内各企业生产运营过程产生的一般工业固体废物。</w:t>
      </w:r>
      <w:r>
        <w:rPr>
          <w:rFonts w:cs="Times New Roman"/>
          <w:szCs w:val="24"/>
        </w:rPr>
        <w:t>固废填埋场项目环境影响报告书已于2020年3月23日取得原哈密市生态环境局批复</w:t>
      </w:r>
      <w:r>
        <w:rPr>
          <w:rFonts w:hint="eastAsia" w:cs="Times New Roman"/>
          <w:szCs w:val="24"/>
        </w:rPr>
        <w:t>（</w:t>
      </w:r>
      <w:r>
        <w:rPr>
          <w:rFonts w:cs="Times New Roman"/>
          <w:szCs w:val="24"/>
        </w:rPr>
        <w:t>哈地环监函〔2020〕6号</w:t>
      </w:r>
      <w:r>
        <w:rPr>
          <w:rFonts w:hint="eastAsia" w:cs="Times New Roman"/>
          <w:szCs w:val="24"/>
        </w:rPr>
        <w:t>）</w:t>
      </w:r>
      <w:r>
        <w:rPr>
          <w:rFonts w:cs="Times New Roman"/>
          <w:szCs w:val="24"/>
        </w:rPr>
        <w:t>，项目已于2022年1月8日通过</w:t>
      </w:r>
      <w:r>
        <w:rPr>
          <w:rFonts w:hint="eastAsia" w:cs="Times New Roman"/>
          <w:szCs w:val="24"/>
        </w:rPr>
        <w:t>竣工环境保护验收</w:t>
      </w:r>
      <w:r>
        <w:rPr>
          <w:rFonts w:cs="Times New Roman"/>
          <w:szCs w:val="24"/>
        </w:rPr>
        <w:t>，目前正常运行。</w:t>
      </w:r>
    </w:p>
    <w:p w14:paraId="46924CC2">
      <w:pPr>
        <w:pStyle w:val="281"/>
        <w:ind w:firstLine="480"/>
      </w:pPr>
      <w:r>
        <w:rPr>
          <w:rFonts w:hint="eastAsia"/>
        </w:rPr>
        <w:t>本项目气化粗渣、气化细渣利用不畅时，</w:t>
      </w:r>
      <w:r>
        <w:rPr>
          <w:rFonts w:hint="eastAsia" w:cs="Times New Roman"/>
          <w:szCs w:val="24"/>
        </w:rPr>
        <w:t>全部送至</w:t>
      </w:r>
      <w:r>
        <w:rPr>
          <w:rFonts w:cs="Times New Roman"/>
          <w:szCs w:val="24"/>
        </w:rPr>
        <w:t>一般工业固废填埋场</w:t>
      </w:r>
      <w:r>
        <w:rPr>
          <w:rFonts w:hint="eastAsia" w:cs="Times New Roman"/>
          <w:szCs w:val="24"/>
        </w:rPr>
        <w:t>，最大填埋量为82320t/a，</w:t>
      </w:r>
      <w:r>
        <w:rPr>
          <w:rFonts w:cs="Times New Roman"/>
          <w:szCs w:val="24"/>
        </w:rPr>
        <w:t>哈密高新区南部循环经济产业园固废填埋场</w:t>
      </w:r>
      <w:r>
        <w:rPr>
          <w:rFonts w:hint="eastAsia" w:cs="Times New Roman"/>
          <w:szCs w:val="24"/>
        </w:rPr>
        <w:t>可满足本项目需求。</w:t>
      </w:r>
      <w:bookmarkEnd w:id="423"/>
    </w:p>
    <w:bookmarkEnd w:id="424"/>
    <w:p w14:paraId="75978AEF">
      <w:pPr>
        <w:pStyle w:val="951"/>
      </w:pPr>
      <w:r>
        <w:rPr>
          <w:rFonts w:hint="eastAsia"/>
        </w:rPr>
        <w:t>危险废物处置</w:t>
      </w:r>
    </w:p>
    <w:p w14:paraId="51B9F892">
      <w:pPr>
        <w:pStyle w:val="281"/>
        <w:ind w:firstLine="480"/>
      </w:pPr>
      <w:r>
        <w:rPr>
          <w:rFonts w:hint="eastAsia"/>
        </w:rPr>
        <w:t>园区内暂无危险废物处置企业，本项目危险废物在厂内收集后，应</w:t>
      </w:r>
      <w:r>
        <w:t>委托有相应资质的危废处理单位进行处理</w:t>
      </w:r>
      <w:r>
        <w:rPr>
          <w:rFonts w:hint="eastAsia"/>
        </w:rPr>
        <w:t>。</w:t>
      </w:r>
    </w:p>
    <w:bookmarkEnd w:id="420"/>
    <w:bookmarkEnd w:id="421"/>
    <w:p w14:paraId="6681DBB8">
      <w:pPr>
        <w:pStyle w:val="97"/>
        <w:rPr>
          <w:rFonts w:hint="eastAsia"/>
        </w:rPr>
      </w:pPr>
      <w:bookmarkStart w:id="425" w:name="_Hlk192090159"/>
      <w:r>
        <w:t>土壤污染防治措施</w:t>
      </w:r>
    </w:p>
    <w:p w14:paraId="1ED70427">
      <w:pPr>
        <w:pStyle w:val="98"/>
        <w:rPr>
          <w:rFonts w:hint="eastAsia"/>
          <w:color w:val="auto"/>
        </w:rPr>
      </w:pPr>
      <w:r>
        <w:rPr>
          <w:color w:val="auto"/>
        </w:rPr>
        <w:t>源头控制措施</w:t>
      </w:r>
    </w:p>
    <w:p w14:paraId="39C70BA2">
      <w:pPr>
        <w:spacing w:line="360" w:lineRule="auto"/>
        <w:ind w:firstLine="480" w:firstLineChars="200"/>
        <w:rPr>
          <w:rFonts w:hint="eastAsia"/>
          <w:lang w:val="de-DE"/>
        </w:rPr>
      </w:pPr>
      <w:r>
        <w:rPr>
          <w:rFonts w:hint="eastAsia"/>
          <w:lang w:val="de-DE"/>
        </w:rPr>
        <w:t>从生产过程入手，在工艺、管道、设备、给排水等方面尽可能地采取泄漏</w:t>
      </w:r>
    </w:p>
    <w:p w14:paraId="241619EC">
      <w:pPr>
        <w:spacing w:line="360" w:lineRule="auto"/>
        <w:rPr>
          <w:rFonts w:hint="eastAsia"/>
          <w:lang w:val="de-DE"/>
        </w:rPr>
      </w:pPr>
      <w:r>
        <w:rPr>
          <w:rFonts w:hint="eastAsia"/>
          <w:lang w:val="de-DE"/>
        </w:rPr>
        <w:t>控制措施，从源头最大限度降低污染物质泄漏的可能性和泄漏量，使项目区污</w:t>
      </w:r>
    </w:p>
    <w:p w14:paraId="7EED44ED">
      <w:pPr>
        <w:spacing w:line="360" w:lineRule="auto"/>
        <w:rPr>
          <w:rFonts w:hint="eastAsia"/>
          <w:lang w:val="de-DE"/>
        </w:rPr>
      </w:pPr>
      <w:r>
        <w:rPr>
          <w:rFonts w:hint="eastAsia"/>
          <w:lang w:val="de-DE"/>
        </w:rPr>
        <w:t>染物对土壤的影响降至最低，一旦出现泄漏等即可由区域内的各种配套措施进</w:t>
      </w:r>
    </w:p>
    <w:p w14:paraId="6F7A4243">
      <w:pPr>
        <w:spacing w:line="360" w:lineRule="auto"/>
        <w:rPr>
          <w:rFonts w:hint="eastAsia"/>
          <w:spacing w:val="8"/>
          <w:lang w:val="de-DE"/>
        </w:rPr>
      </w:pPr>
      <w:r>
        <w:rPr>
          <w:rFonts w:hint="eastAsia"/>
          <w:lang w:val="de-DE"/>
        </w:rPr>
        <w:t>行收集、处置，同时经过防渗处理的地面有效阻止污染物的下渗。</w:t>
      </w:r>
    </w:p>
    <w:p w14:paraId="404D0272">
      <w:pPr>
        <w:pStyle w:val="98"/>
        <w:rPr>
          <w:rFonts w:hint="eastAsia"/>
          <w:color w:val="auto"/>
        </w:rPr>
      </w:pPr>
      <w:r>
        <w:rPr>
          <w:rFonts w:hint="eastAsia"/>
          <w:color w:val="auto"/>
        </w:rPr>
        <w:t>过程</w:t>
      </w:r>
      <w:r>
        <w:rPr>
          <w:color w:val="auto"/>
        </w:rPr>
        <w:t>控制措施</w:t>
      </w:r>
    </w:p>
    <w:p w14:paraId="65639DDD">
      <w:pPr>
        <w:pStyle w:val="281"/>
        <w:ind w:firstLine="480"/>
        <w:rPr>
          <w:lang w:val="de-DE"/>
        </w:rPr>
      </w:pPr>
      <w:r>
        <w:rPr>
          <w:lang w:val="de-DE"/>
        </w:rPr>
        <w:t>从大气沉降、地面漫流、垂直入渗三个途径进行控制。</w:t>
      </w:r>
    </w:p>
    <w:p w14:paraId="39AC07F2">
      <w:pPr>
        <w:pStyle w:val="281"/>
        <w:ind w:firstLine="480"/>
        <w:rPr>
          <w:lang w:val="de-DE"/>
        </w:rPr>
      </w:pPr>
      <w:r>
        <w:rPr>
          <w:lang w:val="de-DE"/>
        </w:rPr>
        <w:t>（1）大气沉降途径</w:t>
      </w:r>
    </w:p>
    <w:p w14:paraId="17B98E88">
      <w:pPr>
        <w:pStyle w:val="281"/>
        <w:ind w:firstLine="480"/>
        <w:rPr>
          <w:lang w:val="de-DE"/>
        </w:rPr>
      </w:pPr>
      <w:r>
        <w:rPr>
          <w:lang w:val="de-DE"/>
        </w:rPr>
        <w:t>涉及大气沉降途径，可在厂区绿地范围种植对有机物有较强吸附降解能力的植物。</w:t>
      </w:r>
    </w:p>
    <w:p w14:paraId="449DB30D">
      <w:pPr>
        <w:pStyle w:val="281"/>
        <w:ind w:firstLine="480"/>
        <w:rPr>
          <w:lang w:val="de-DE"/>
        </w:rPr>
      </w:pPr>
      <w:r>
        <w:rPr>
          <w:lang w:val="de-DE"/>
        </w:rPr>
        <w:t>（2）地面漫流途径</w:t>
      </w:r>
    </w:p>
    <w:p w14:paraId="70EAC3AD">
      <w:pPr>
        <w:pStyle w:val="281"/>
        <w:ind w:firstLine="480"/>
        <w:rPr>
          <w:lang w:val="de-DE"/>
        </w:rPr>
      </w:pPr>
      <w:r>
        <w:rPr>
          <w:lang w:val="de-DE"/>
        </w:rPr>
        <w:t>对于事故废水及初期雨水，建立从污染源头、过程处理和最终排放的三级防控体系。</w:t>
      </w:r>
    </w:p>
    <w:p w14:paraId="7961A866">
      <w:pPr>
        <w:pStyle w:val="281"/>
        <w:ind w:firstLine="480"/>
        <w:rPr>
          <w:lang w:val="de-DE"/>
        </w:rPr>
      </w:pPr>
      <w:r>
        <w:rPr>
          <w:lang w:val="de-DE"/>
        </w:rPr>
        <w:t>（3）垂直入渗途径</w:t>
      </w:r>
    </w:p>
    <w:p w14:paraId="32864844">
      <w:pPr>
        <w:pStyle w:val="281"/>
        <w:ind w:firstLine="480"/>
        <w:rPr>
          <w:spacing w:val="8"/>
        </w:rPr>
      </w:pPr>
      <w:r>
        <w:rPr>
          <w:rFonts w:ascii="宋体" w:hAnsi="宋体" w:cs="Times New Roman"/>
        </w:rPr>
        <w:t>本项目</w:t>
      </w:r>
      <w:r>
        <w:rPr>
          <w:rFonts w:cs="Times New Roman"/>
        </w:rPr>
        <w:t>防渗设计具体结构参考《危险废物贮存污染控制标准》（GB 18597-2023）、《给水排水构筑物工程施工及验收规范》（GB 50141）、《给水排水管道工程施工及验收规范》（GB 50268）、《石油化工工程防渗技术规范》（GB/T 50934）等相关规范对不同构筑物提出的具体防渗结构</w:t>
      </w:r>
      <w:r>
        <w:rPr>
          <w:rFonts w:hint="eastAsia" w:cs="Times New Roman"/>
        </w:rPr>
        <w:t>。（具体见6.2.3.2.2节分区防控措施）</w:t>
      </w:r>
    </w:p>
    <w:bookmarkEnd w:id="425"/>
    <w:p w14:paraId="648F323E">
      <w:pPr>
        <w:pStyle w:val="98"/>
        <w:rPr>
          <w:rFonts w:hint="eastAsia"/>
          <w:color w:val="auto"/>
        </w:rPr>
      </w:pPr>
      <w:r>
        <w:rPr>
          <w:rFonts w:hint="eastAsia"/>
          <w:color w:val="auto"/>
        </w:rPr>
        <w:t>跟踪评价</w:t>
      </w:r>
    </w:p>
    <w:p w14:paraId="648750AF">
      <w:pPr>
        <w:pStyle w:val="281"/>
        <w:ind w:firstLine="480"/>
        <w:rPr>
          <w:lang w:val="de-DE"/>
        </w:rPr>
      </w:pPr>
      <w:bookmarkStart w:id="426" w:name="_Hlk98257677"/>
      <w:r>
        <w:rPr>
          <w:lang w:val="de-DE"/>
        </w:rPr>
        <w:t>根据《环境影响评价技术导则土壤环境（试行）》（HJ964-2018），土壤环境跟踪监测计划应明确监测点位、监测指标、监测频次以及执行标准等</w:t>
      </w:r>
      <w:r>
        <w:rPr>
          <w:rFonts w:hint="eastAsia"/>
          <w:lang w:val="de-DE"/>
        </w:rPr>
        <w:t>。</w:t>
      </w:r>
      <w:r>
        <w:rPr>
          <w:lang w:val="de-DE"/>
        </w:rPr>
        <w:t>按照</w:t>
      </w:r>
      <w:r>
        <w:rPr>
          <w:rFonts w:hint="eastAsia"/>
          <w:lang w:val="de-DE"/>
        </w:rPr>
        <w:t>《排污单位自行监测技术指南 石油化学工业》（HJ947-2018），</w:t>
      </w:r>
      <w:r>
        <w:rPr>
          <w:lang w:val="de-DE"/>
        </w:rPr>
        <w:t>本项目土壤环境跟踪监测计划见表6.2.6-1。</w:t>
      </w:r>
    </w:p>
    <w:p w14:paraId="362F3373">
      <w:pPr>
        <w:pStyle w:val="281"/>
        <w:ind w:firstLine="480"/>
        <w:rPr>
          <w:lang w:val="de-DE"/>
        </w:rPr>
      </w:pPr>
      <w:r>
        <w:rPr>
          <w:rFonts w:hint="eastAsia"/>
        </w:rPr>
        <w:t>建设单位要对监测数据存档备查，并根据土壤环境跟踪监测情况定期编制监测报告并向社会公开。</w:t>
      </w:r>
    </w:p>
    <w:bookmarkEnd w:id="426"/>
    <w:p w14:paraId="4BD58F81">
      <w:pPr>
        <w:pStyle w:val="541"/>
        <w:rPr>
          <w:rFonts w:hint="eastAsia"/>
        </w:rPr>
      </w:pPr>
      <w:bookmarkStart w:id="427" w:name="_Ref17798868"/>
      <w:bookmarkStart w:id="428" w:name="_Hlk98257670"/>
      <w:r>
        <w:t>表</w:t>
      </w:r>
      <w:bookmarkEnd w:id="427"/>
      <w:r>
        <w:rPr>
          <w:rFonts w:hint="eastAsia"/>
        </w:rPr>
        <w:t>6.2</w:t>
      </w:r>
      <w:r>
        <w:t>.6</w:t>
      </w:r>
      <w:r>
        <w:rPr>
          <w:rFonts w:hint="eastAsia"/>
        </w:rPr>
        <w:t>-</w:t>
      </w:r>
      <w:r>
        <w:t>1    土壤环境跟踪监测计划一览表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94"/>
        <w:gridCol w:w="6922"/>
      </w:tblGrid>
      <w:tr w14:paraId="70C3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838" w:type="pct"/>
            <w:vAlign w:val="center"/>
          </w:tcPr>
          <w:p w14:paraId="5AEF21B3">
            <w:pPr>
              <w:pStyle w:val="190"/>
              <w:rPr>
                <w:rFonts w:ascii="Times New Roman" w:hAnsi="Times New Roman" w:cs="Times New Roman"/>
                <w:kern w:val="2"/>
                <w:szCs w:val="18"/>
              </w:rPr>
            </w:pPr>
            <w:r>
              <w:rPr>
                <w:rFonts w:ascii="Times New Roman" w:hAnsi="Times New Roman" w:cs="Times New Roman"/>
                <w:kern w:val="2"/>
                <w:szCs w:val="18"/>
              </w:rPr>
              <w:t>项目类别</w:t>
            </w:r>
          </w:p>
        </w:tc>
        <w:tc>
          <w:tcPr>
            <w:tcW w:w="4162" w:type="pct"/>
            <w:vAlign w:val="center"/>
          </w:tcPr>
          <w:p w14:paraId="22ECC811">
            <w:pPr>
              <w:pStyle w:val="190"/>
              <w:rPr>
                <w:rFonts w:ascii="Times New Roman" w:hAnsi="Times New Roman" w:cs="Times New Roman"/>
                <w:kern w:val="2"/>
                <w:szCs w:val="22"/>
              </w:rPr>
            </w:pPr>
            <w:r>
              <w:rPr>
                <w:rFonts w:ascii="Times New Roman" w:hAnsi="Times New Roman" w:cs="Times New Roman"/>
                <w:kern w:val="2"/>
                <w:szCs w:val="22"/>
              </w:rPr>
              <w:t>本项目</w:t>
            </w:r>
          </w:p>
        </w:tc>
      </w:tr>
      <w:tr w14:paraId="45D6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838" w:type="pct"/>
            <w:vAlign w:val="center"/>
          </w:tcPr>
          <w:p w14:paraId="2689841E">
            <w:pPr>
              <w:pStyle w:val="190"/>
              <w:rPr>
                <w:rFonts w:ascii="Times New Roman" w:hAnsi="Times New Roman" w:cs="Times New Roman"/>
                <w:kern w:val="2"/>
                <w:szCs w:val="22"/>
              </w:rPr>
            </w:pPr>
            <w:r>
              <w:rPr>
                <w:rFonts w:ascii="Times New Roman" w:hAnsi="Times New Roman" w:cs="Times New Roman"/>
                <w:kern w:val="2"/>
                <w:szCs w:val="22"/>
              </w:rPr>
              <w:t>监测点位</w:t>
            </w:r>
          </w:p>
        </w:tc>
        <w:tc>
          <w:tcPr>
            <w:tcW w:w="4162" w:type="pct"/>
            <w:vAlign w:val="center"/>
          </w:tcPr>
          <w:p w14:paraId="049E3EA8">
            <w:pPr>
              <w:pStyle w:val="190"/>
              <w:rPr>
                <w:rFonts w:ascii="Times New Roman" w:hAnsi="Times New Roman" w:cs="Times New Roman"/>
                <w:kern w:val="2"/>
                <w:szCs w:val="22"/>
              </w:rPr>
            </w:pPr>
            <w:r>
              <w:rPr>
                <w:rFonts w:ascii="Times New Roman" w:hAnsi="Times New Roman" w:cs="Times New Roman"/>
                <w:kern w:val="2"/>
                <w:szCs w:val="22"/>
              </w:rPr>
              <w:t>罐区、污水处理站、厂界外主导风向下风向附近各布设一个点位</w:t>
            </w:r>
          </w:p>
        </w:tc>
      </w:tr>
      <w:tr w14:paraId="6672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838" w:type="pct"/>
            <w:vAlign w:val="center"/>
          </w:tcPr>
          <w:p w14:paraId="4B1392D3">
            <w:pPr>
              <w:pStyle w:val="190"/>
              <w:rPr>
                <w:rFonts w:ascii="Times New Roman" w:hAnsi="Times New Roman" w:cs="Times New Roman"/>
                <w:kern w:val="2"/>
                <w:szCs w:val="22"/>
              </w:rPr>
            </w:pPr>
            <w:r>
              <w:rPr>
                <w:rFonts w:ascii="Times New Roman" w:hAnsi="Times New Roman" w:cs="Times New Roman"/>
                <w:kern w:val="2"/>
                <w:szCs w:val="22"/>
              </w:rPr>
              <w:t>监测指标</w:t>
            </w:r>
          </w:p>
        </w:tc>
        <w:tc>
          <w:tcPr>
            <w:tcW w:w="4162" w:type="pct"/>
            <w:vAlign w:val="center"/>
          </w:tcPr>
          <w:p w14:paraId="48F47D2C">
            <w:pPr>
              <w:pStyle w:val="190"/>
              <w:rPr>
                <w:rFonts w:ascii="Times New Roman" w:hAnsi="Times New Roman" w:cs="Times New Roman"/>
                <w:kern w:val="2"/>
                <w:szCs w:val="22"/>
              </w:rPr>
            </w:pPr>
            <w:r>
              <w:rPr>
                <w:rFonts w:ascii="Times New Roman" w:hAnsi="Times New Roman" w:cs="Times New Roman"/>
              </w:rPr>
              <w:t>pH、砷、镉、铬（六价）、铜、铅、汞、镍、钴、苯并[a]芘、石油烃、氰化物等</w:t>
            </w:r>
          </w:p>
        </w:tc>
      </w:tr>
      <w:tr w14:paraId="1897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838" w:type="pct"/>
            <w:vAlign w:val="center"/>
          </w:tcPr>
          <w:p w14:paraId="5EA0A991">
            <w:pPr>
              <w:pStyle w:val="190"/>
              <w:rPr>
                <w:rFonts w:ascii="Times New Roman" w:hAnsi="Times New Roman" w:cs="Times New Roman"/>
                <w:kern w:val="2"/>
                <w:szCs w:val="22"/>
              </w:rPr>
            </w:pPr>
            <w:r>
              <w:rPr>
                <w:rFonts w:ascii="Times New Roman" w:hAnsi="Times New Roman" w:cs="Times New Roman"/>
                <w:kern w:val="2"/>
                <w:szCs w:val="22"/>
              </w:rPr>
              <w:t>监测频次</w:t>
            </w:r>
          </w:p>
        </w:tc>
        <w:tc>
          <w:tcPr>
            <w:tcW w:w="4162" w:type="pct"/>
            <w:vAlign w:val="center"/>
          </w:tcPr>
          <w:p w14:paraId="5495F9AA">
            <w:pPr>
              <w:pStyle w:val="190"/>
              <w:rPr>
                <w:rFonts w:ascii="Times New Roman" w:hAnsi="Times New Roman" w:cs="Times New Roman"/>
                <w:kern w:val="2"/>
                <w:szCs w:val="22"/>
              </w:rPr>
            </w:pPr>
            <w:r>
              <w:rPr>
                <w:rFonts w:ascii="Times New Roman" w:hAnsi="Times New Roman" w:cs="Times New Roman"/>
                <w:kern w:val="2"/>
                <w:szCs w:val="22"/>
              </w:rPr>
              <w:t>每年一次</w:t>
            </w:r>
          </w:p>
        </w:tc>
      </w:tr>
      <w:bookmarkEnd w:id="428"/>
    </w:tbl>
    <w:p w14:paraId="12D4BD4D">
      <w:pPr>
        <w:ind w:firstLine="480"/>
        <w:rPr>
          <w:rFonts w:hint="eastAsia"/>
        </w:rPr>
      </w:pPr>
    </w:p>
    <w:p w14:paraId="066EDB96">
      <w:pPr>
        <w:pStyle w:val="97"/>
        <w:rPr>
          <w:rFonts w:hint="eastAsia"/>
        </w:rPr>
      </w:pPr>
      <w:r>
        <w:t>生态环境保护措施</w:t>
      </w:r>
    </w:p>
    <w:p w14:paraId="65EACE33">
      <w:pPr>
        <w:pStyle w:val="98"/>
        <w:rPr>
          <w:rFonts w:hint="eastAsia"/>
          <w:color w:val="auto"/>
        </w:rPr>
      </w:pPr>
      <w:r>
        <w:rPr>
          <w:rFonts w:hint="eastAsia"/>
          <w:color w:val="auto"/>
        </w:rPr>
        <w:t>施工期生态环境补偿措施</w:t>
      </w:r>
    </w:p>
    <w:p w14:paraId="7BF56A04">
      <w:pPr>
        <w:pStyle w:val="281"/>
        <w:ind w:firstLine="480"/>
      </w:pPr>
      <w:r>
        <w:rPr>
          <w:rFonts w:hint="eastAsia"/>
        </w:rPr>
        <w:t>项目所在区域生态环境脆弱，应尽量减小、防止项目建设过程对土地沙漠化的扩大，在尽量保护原有植被的基础上缩小对地面固沙植被的破坏。对施工单位实行生态保护目标责任制，要求施工单位选择合适的施工方式、时间并采取合理有效的环境保护措施，其中应包括以下主要内容：</w:t>
      </w:r>
    </w:p>
    <w:p w14:paraId="10F12673">
      <w:pPr>
        <w:pStyle w:val="281"/>
        <w:ind w:firstLine="480"/>
      </w:pPr>
      <w:r>
        <w:rPr>
          <w:rFonts w:hint="eastAsia"/>
        </w:rPr>
        <w:t>（</w:t>
      </w:r>
      <w:r>
        <w:t>1</w:t>
      </w:r>
      <w:r>
        <w:rPr>
          <w:rFonts w:hint="eastAsia"/>
        </w:rPr>
        <w:t>）施工前进行场地平整和施工，应尽量避开大雨与大风天气，避免雨水冲刷与风力侵蚀增加土壤侵蚀量和污染环境；</w:t>
      </w:r>
    </w:p>
    <w:p w14:paraId="0E5CBB29">
      <w:pPr>
        <w:pStyle w:val="281"/>
        <w:ind w:firstLine="480"/>
      </w:pPr>
      <w:r>
        <w:rPr>
          <w:rFonts w:hint="eastAsia"/>
        </w:rPr>
        <w:t>（</w:t>
      </w:r>
      <w:r>
        <w:t>2</w:t>
      </w:r>
      <w:r>
        <w:rPr>
          <w:rFonts w:hint="eastAsia"/>
        </w:rPr>
        <w:t>）各施工场地平整时，要求对场地开挖、管线建设等产生的弃土堆放等合理规划、合理利用，充分利用天然洼地铺放弃渣。在各开挖面采取临时拦挡措施。挖方及时回填，不能立即回填的，在指定场所集中堆放，并做好临时防护措施；</w:t>
      </w:r>
    </w:p>
    <w:p w14:paraId="1684BBE9">
      <w:pPr>
        <w:pStyle w:val="281"/>
        <w:ind w:firstLine="480"/>
      </w:pPr>
      <w:r>
        <w:rPr>
          <w:rFonts w:hint="eastAsia"/>
        </w:rPr>
        <w:t>（</w:t>
      </w:r>
      <w:r>
        <w:t>3</w:t>
      </w:r>
      <w:r>
        <w:rPr>
          <w:rFonts w:hint="eastAsia"/>
        </w:rPr>
        <w:t>）各区域施工产生的建筑垃圾，要及时清运，堆放至指定场所，并实施平整、碾压覆土等，以利恢复植被；</w:t>
      </w:r>
    </w:p>
    <w:p w14:paraId="7D298CF8">
      <w:pPr>
        <w:pStyle w:val="281"/>
        <w:ind w:firstLine="480"/>
      </w:pPr>
      <w:r>
        <w:rPr>
          <w:rFonts w:hint="eastAsia"/>
        </w:rPr>
        <w:t>（</w:t>
      </w:r>
      <w:r>
        <w:t>4</w:t>
      </w:r>
      <w:r>
        <w:rPr>
          <w:rFonts w:hint="eastAsia"/>
        </w:rPr>
        <w:t>）施工建筑材料堆放尽量考虑在厂界范围内设置，避免造成不必要的临时性占地。并应采取一定的防护措施，避免含有害物质的建材、化学品等污染物扩散；加强施工期工程污染源的监督工作；</w:t>
      </w:r>
    </w:p>
    <w:p w14:paraId="3E11F031">
      <w:pPr>
        <w:pStyle w:val="281"/>
        <w:ind w:firstLine="480"/>
      </w:pPr>
      <w:r>
        <w:rPr>
          <w:rFonts w:hint="eastAsia"/>
        </w:rPr>
        <w:t>（</w:t>
      </w:r>
      <w:r>
        <w:t>5</w:t>
      </w:r>
      <w:r>
        <w:rPr>
          <w:rFonts w:hint="eastAsia"/>
        </w:rPr>
        <w:t>）项目排污管线施工扰动的地表全部进行绿化，绿化方式选用沙蒿、沙打旺混播。施工时在管线的主风向一侧设置临时用彩钢板防护，对管线按</w:t>
      </w:r>
      <w:r>
        <w:t>2km</w:t>
      </w:r>
      <w:r>
        <w:rPr>
          <w:rFonts w:hint="eastAsia"/>
        </w:rPr>
        <w:t>进行分段施工，避免基础开挖后扰动地面长时间裸露，同时对开挖的土方进行苫盖；</w:t>
      </w:r>
    </w:p>
    <w:p w14:paraId="5138696E">
      <w:pPr>
        <w:pStyle w:val="281"/>
        <w:ind w:firstLine="480"/>
      </w:pPr>
      <w:r>
        <w:rPr>
          <w:rFonts w:hint="eastAsia"/>
        </w:rPr>
        <w:t>（</w:t>
      </w:r>
      <w:r>
        <w:t>6</w:t>
      </w:r>
      <w:r>
        <w:rPr>
          <w:rFonts w:hint="eastAsia"/>
        </w:rPr>
        <w:t>）为加强项目施工的管理，减少对生态环境的破坏，施工期间应建立生态环境管理体系、加强工程生态环境监理工作，落实相应的环保专职人员与地方政府工作人员一道进行监督和管理。</w:t>
      </w:r>
    </w:p>
    <w:p w14:paraId="7C3194CC">
      <w:pPr>
        <w:pStyle w:val="98"/>
        <w:rPr>
          <w:rFonts w:hint="eastAsia"/>
          <w:color w:val="auto"/>
        </w:rPr>
      </w:pPr>
      <w:r>
        <w:rPr>
          <w:rFonts w:hint="eastAsia"/>
          <w:color w:val="auto"/>
        </w:rPr>
        <w:t>运营期生态环境补偿措施</w:t>
      </w:r>
    </w:p>
    <w:p w14:paraId="15264F45">
      <w:pPr>
        <w:pStyle w:val="281"/>
        <w:ind w:firstLine="480"/>
        <w:rPr>
          <w:lang w:val="de-DE"/>
        </w:rPr>
      </w:pPr>
      <w:r>
        <w:rPr>
          <w:rFonts w:hint="eastAsia" w:ascii="宋体" w:hAnsi="宋体"/>
          <w:lang w:val="de-DE"/>
        </w:rPr>
        <w:t>拟建项目宜在不影响安全和生产的前提下，为改善生产环境，提高绿化覆盖面积，在厂界区和新装置之间的空地上等可绿化之处种植草坪和树木进行绿化。按</w:t>
      </w:r>
      <w:r>
        <w:rPr>
          <w:lang w:val="de-DE"/>
        </w:rPr>
        <w:t>“</w:t>
      </w:r>
      <w:r>
        <w:rPr>
          <w:rFonts w:hint="eastAsia" w:ascii="宋体" w:hAnsi="宋体"/>
          <w:lang w:val="de-DE"/>
        </w:rPr>
        <w:t>适地适树、适地适草</w:t>
      </w:r>
      <w:r>
        <w:rPr>
          <w:lang w:val="de-DE"/>
        </w:rPr>
        <w:t>”</w:t>
      </w:r>
      <w:r>
        <w:rPr>
          <w:rFonts w:hint="eastAsia" w:ascii="宋体" w:hAnsi="宋体"/>
          <w:lang w:val="de-DE"/>
        </w:rPr>
        <w:t>的原则，选择植物树种遵循耐旱、耐瘠薄、抗逆性及防风固沙能力强、易栽培管理并具有良好的景观效果；草种需耐寒、耐瘠薄、抗逆性强、根系发达、繁殖力强、生长快易形成生态绿地的品种。</w:t>
      </w:r>
    </w:p>
    <w:p w14:paraId="79BBD8F6">
      <w:pPr>
        <w:pStyle w:val="281"/>
        <w:ind w:firstLine="480"/>
        <w:rPr>
          <w:lang w:val="de-DE"/>
        </w:rPr>
      </w:pPr>
      <w:r>
        <w:rPr>
          <w:rFonts w:hint="eastAsia" w:ascii="宋体" w:hAnsi="宋体"/>
          <w:lang w:val="de-DE"/>
        </w:rPr>
        <w:t>厂区绿化以道路两侧和厂前区为主，点、线、面相结合，树木、草坪相结合。厂前区建（构）筑物所占面积相对较少，空地较大，是绿化美化的重点区域。楼前设施装饰性绿地，对办公楼主要起到装饰和衬托作用，从环境上看是办公楼楼前与绿地的衔接过渡，使绿化更加自然和谐。楼前基础种植采用绿篱与便道相隔。厂前区其他区域的绿化应做到乔、灌、草坪的合理结合。在草坪适当位置以孤植或丛植形式配置一些低矮灌木或高大乔木，将草坪的四周设置低矮的灌木绿篱。</w:t>
      </w:r>
    </w:p>
    <w:p w14:paraId="367F5FD6">
      <w:pPr>
        <w:pStyle w:val="281"/>
        <w:ind w:firstLine="480"/>
        <w:rPr>
          <w:rFonts w:hint="eastAsia" w:ascii="宋体" w:hAnsi="宋体"/>
          <w:lang w:val="de-DE"/>
        </w:rPr>
      </w:pPr>
      <w:r>
        <w:rPr>
          <w:rFonts w:hint="eastAsia" w:ascii="宋体" w:hAnsi="宋体"/>
          <w:lang w:val="de-DE"/>
        </w:rPr>
        <w:t>生产装置区是项目生产的核心，也是厂区噪声的主要来源，为了配合工程噪声防治对策，进一步减弱噪声，绿化措施一方面注意与厂区整体绿化相协调，另一方面适当配置防噪能力强的绿化植物种。</w:t>
      </w:r>
    </w:p>
    <w:p w14:paraId="4F8C61FE">
      <w:pPr>
        <w:pStyle w:val="97"/>
        <w:rPr>
          <w:rFonts w:hint="eastAsia"/>
        </w:rPr>
      </w:pPr>
      <w:r>
        <w:rPr>
          <w:rFonts w:hint="eastAsia"/>
        </w:rPr>
        <w:t>电磁环境保护措施</w:t>
      </w:r>
    </w:p>
    <w:p w14:paraId="57983187">
      <w:pPr>
        <w:pStyle w:val="281"/>
        <w:ind w:firstLine="480"/>
        <w:rPr>
          <w:lang w:val="de-DE"/>
        </w:rPr>
      </w:pPr>
      <w:r>
        <w:rPr>
          <w:rFonts w:hint="eastAsia" w:ascii="宋体" w:hAnsi="宋体"/>
          <w:lang w:val="de-DE"/>
        </w:rPr>
        <w:t>（</w:t>
      </w:r>
      <w:r>
        <w:rPr>
          <w:lang w:val="de-DE"/>
        </w:rPr>
        <w:t>1</w:t>
      </w:r>
      <w:r>
        <w:rPr>
          <w:rFonts w:hint="eastAsia" w:ascii="宋体" w:hAnsi="宋体"/>
          <w:lang w:val="de-DE"/>
        </w:rPr>
        <w:t>）变电站首先选择低噪声的设备，在总平面布置上，按功能分区布置。</w:t>
      </w:r>
    </w:p>
    <w:p w14:paraId="04B0E33C">
      <w:pPr>
        <w:pStyle w:val="281"/>
        <w:ind w:firstLine="480"/>
        <w:rPr>
          <w:lang w:val="de-DE"/>
        </w:rPr>
      </w:pPr>
      <w:r>
        <w:rPr>
          <w:rFonts w:hint="eastAsia" w:ascii="宋体" w:hAnsi="宋体"/>
          <w:lang w:val="de-DE"/>
        </w:rPr>
        <w:t>（</w:t>
      </w:r>
      <w:r>
        <w:rPr>
          <w:lang w:val="de-DE"/>
        </w:rPr>
        <w:t>2</w:t>
      </w:r>
      <w:r>
        <w:rPr>
          <w:rFonts w:hint="eastAsia" w:ascii="宋体" w:hAnsi="宋体"/>
          <w:lang w:val="de-DE"/>
        </w:rPr>
        <w:t>）对员工进行电磁环境影响基础知识培训，在巡检带电维修过程中，尽可能减少人员曝露在电磁场中的时间。</w:t>
      </w:r>
    </w:p>
    <w:p w14:paraId="110A2A73">
      <w:pPr>
        <w:overflowPunct w:val="0"/>
        <w:spacing w:line="360" w:lineRule="auto"/>
        <w:ind w:firstLine="480" w:firstLineChars="200"/>
        <w:rPr>
          <w:rFonts w:hint="eastAsia"/>
          <w:lang w:val="de-DE"/>
        </w:rPr>
        <w:sectPr>
          <w:pgSz w:w="11906" w:h="16838"/>
          <w:pgMar w:top="1440" w:right="1800" w:bottom="1440" w:left="1800" w:header="851" w:footer="850" w:gutter="0"/>
          <w:cols w:space="425" w:num="1"/>
          <w:docGrid w:type="lines" w:linePitch="326" w:charSpace="0"/>
        </w:sectPr>
      </w:pPr>
      <w:r>
        <w:rPr>
          <w:rFonts w:hint="eastAsia"/>
          <w:lang w:val="de-DE"/>
        </w:rPr>
        <w:t>（3）设立警示标志，禁止无关人员进入变电站或靠近带电架构。</w:t>
      </w:r>
    </w:p>
    <w:p w14:paraId="4E0B335A">
      <w:pPr>
        <w:pStyle w:val="1012"/>
      </w:pPr>
      <w:bookmarkStart w:id="429" w:name="_Toc31906"/>
      <w:r>
        <w:t>环境风险评价</w:t>
      </w:r>
      <w:bookmarkEnd w:id="429"/>
    </w:p>
    <w:p w14:paraId="1EBDD8AB">
      <w:pPr>
        <w:numPr>
          <w:ilvl w:val="1"/>
          <w:numId w:val="1"/>
        </w:numPr>
        <w:overflowPunct w:val="0"/>
        <w:autoSpaceDE w:val="0"/>
        <w:autoSpaceDN w:val="0"/>
        <w:spacing w:line="360" w:lineRule="auto"/>
        <w:ind w:left="0"/>
        <w:textAlignment w:val="baseline"/>
        <w:outlineLvl w:val="1"/>
        <w:rPr>
          <w:rFonts w:hint="eastAsia" w:eastAsia="黑体"/>
          <w:b/>
          <w:bCs/>
          <w:sz w:val="30"/>
          <w:szCs w:val="30"/>
        </w:rPr>
      </w:pPr>
      <w:bookmarkStart w:id="430" w:name="_Toc69750982"/>
      <w:bookmarkStart w:id="431" w:name="_Toc33890409"/>
      <w:bookmarkStart w:id="432" w:name="_Toc71012654"/>
      <w:bookmarkStart w:id="433" w:name="_Toc69809662"/>
      <w:bookmarkStart w:id="434" w:name="_Toc25353"/>
      <w:bookmarkStart w:id="435" w:name="_Toc70372819"/>
      <w:bookmarkStart w:id="436" w:name="_Toc194592901"/>
      <w:r>
        <w:rPr>
          <w:rFonts w:eastAsia="黑体"/>
          <w:b/>
          <w:bCs/>
          <w:sz w:val="30"/>
          <w:szCs w:val="30"/>
        </w:rPr>
        <w:t>综述</w:t>
      </w:r>
      <w:bookmarkEnd w:id="430"/>
      <w:bookmarkEnd w:id="431"/>
      <w:bookmarkEnd w:id="432"/>
      <w:bookmarkEnd w:id="433"/>
      <w:bookmarkEnd w:id="434"/>
      <w:bookmarkEnd w:id="435"/>
      <w:bookmarkEnd w:id="436"/>
    </w:p>
    <w:p w14:paraId="742DCAD8">
      <w:pPr>
        <w:overflowPunct w:val="0"/>
        <w:spacing w:line="360" w:lineRule="auto"/>
        <w:ind w:firstLine="480" w:firstLineChars="200"/>
        <w:rPr>
          <w:rFonts w:ascii="Times New Roman" w:hAnsi="Times New Roman"/>
          <w:szCs w:val="21"/>
        </w:rPr>
      </w:pPr>
      <w:r>
        <w:rPr>
          <w:rFonts w:hint="eastAsia" w:ascii="Times New Roman" w:hAnsi="Times New Roman"/>
          <w:szCs w:val="21"/>
        </w:rPr>
        <w:t>环境风险是指突发性事故对环境造成的危害程度及可能性。根据《建设项目环境风险评价技术导则》（</w:t>
      </w:r>
      <w:r>
        <w:rPr>
          <w:rFonts w:ascii="Times New Roman" w:hAnsi="Times New Roman"/>
          <w:szCs w:val="21"/>
        </w:rPr>
        <w:t>HJ169-2018</w:t>
      </w:r>
      <w:r>
        <w:rPr>
          <w:rFonts w:hint="eastAsia" w:ascii="Times New Roman" w:hAnsi="Times New Roman"/>
          <w:szCs w:val="21"/>
        </w:rPr>
        <w:t>），建设项目环境风险评价基本内容包括风险调查、环境风险潜势初判、风险识别、风险事故情形分析、风险预测与评价、环境风险管理等。</w:t>
      </w:r>
    </w:p>
    <w:p w14:paraId="1BCBBF8D">
      <w:pPr>
        <w:numPr>
          <w:ilvl w:val="2"/>
          <w:numId w:val="1"/>
        </w:numPr>
        <w:spacing w:line="360" w:lineRule="auto"/>
        <w:ind w:left="0"/>
        <w:outlineLvl w:val="2"/>
        <w:rPr>
          <w:rFonts w:hint="eastAsia" w:ascii="黑体" w:hAnsi="黑体" w:eastAsia="黑体"/>
          <w:b/>
          <w:sz w:val="28"/>
        </w:rPr>
      </w:pPr>
      <w:r>
        <w:rPr>
          <w:rFonts w:ascii="黑体" w:hAnsi="黑体" w:eastAsia="黑体"/>
          <w:b/>
          <w:sz w:val="28"/>
        </w:rPr>
        <w:t>评价原则</w:t>
      </w:r>
    </w:p>
    <w:p w14:paraId="72803A18">
      <w:pPr>
        <w:spacing w:line="360" w:lineRule="auto"/>
        <w:ind w:firstLine="480" w:firstLineChars="200"/>
        <w:rPr>
          <w:rFonts w:hint="eastAsia" w:ascii="Times New Roman"/>
        </w:rPr>
      </w:pPr>
      <w:r>
        <w:rPr>
          <w:rFonts w:ascii="Times New Roma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3C419B90">
      <w:pPr>
        <w:numPr>
          <w:ilvl w:val="2"/>
          <w:numId w:val="1"/>
        </w:numPr>
        <w:spacing w:line="360" w:lineRule="auto"/>
        <w:ind w:left="0"/>
        <w:outlineLvl w:val="2"/>
        <w:rPr>
          <w:rFonts w:hint="eastAsia" w:ascii="黑体" w:hAnsi="黑体" w:eastAsia="黑体"/>
          <w:b/>
          <w:sz w:val="28"/>
        </w:rPr>
      </w:pPr>
      <w:bookmarkStart w:id="437" w:name="_Toc71012655"/>
      <w:bookmarkStart w:id="438" w:name="_Toc69809663"/>
      <w:bookmarkStart w:id="439" w:name="_Toc69750983"/>
      <w:bookmarkStart w:id="440" w:name="_Toc33890410"/>
      <w:bookmarkStart w:id="441" w:name="_Toc70372820"/>
      <w:r>
        <w:rPr>
          <w:rFonts w:ascii="黑体" w:hAnsi="黑体" w:eastAsia="黑体"/>
          <w:b/>
          <w:sz w:val="28"/>
        </w:rPr>
        <w:t>评价工作程序</w:t>
      </w:r>
    </w:p>
    <w:p w14:paraId="3BF9AC12">
      <w:pPr>
        <w:overflowPunct w:val="0"/>
        <w:spacing w:line="360" w:lineRule="auto"/>
        <w:ind w:firstLine="480" w:firstLineChars="200"/>
        <w:rPr>
          <w:rFonts w:ascii="Times New Roman" w:hAnsi="Times New Roman"/>
          <w:szCs w:val="21"/>
        </w:rPr>
      </w:pPr>
      <w:r>
        <w:rPr>
          <w:rFonts w:hint="eastAsia" w:ascii="Times New Roman" w:hAnsi="Times New Roman"/>
          <w:szCs w:val="21"/>
        </w:rPr>
        <w:t>环境风险评价工作程序见</w:t>
      </w:r>
      <w:r>
        <w:rPr>
          <w:rFonts w:hint="eastAsia"/>
          <w:szCs w:val="21"/>
        </w:rPr>
        <w:t>图</w:t>
      </w:r>
      <w:r>
        <w:rPr>
          <w:rFonts w:hint="eastAsia" w:ascii="Times New Roman" w:hAnsi="Times New Roman"/>
          <w:szCs w:val="21"/>
        </w:rPr>
        <w:t>7.1</w:t>
      </w:r>
      <w:r>
        <w:rPr>
          <w:rFonts w:ascii="Times New Roman" w:hAnsi="Times New Roman"/>
          <w:szCs w:val="21"/>
        </w:rPr>
        <w:t>.2</w:t>
      </w:r>
      <w:r>
        <w:rPr>
          <w:rFonts w:hint="eastAsia" w:ascii="Times New Roman" w:hAnsi="Times New Roman"/>
          <w:szCs w:val="21"/>
        </w:rPr>
        <w:t>-1。</w:t>
      </w:r>
    </w:p>
    <w:p w14:paraId="744AF053">
      <w:pPr>
        <w:spacing w:line="360" w:lineRule="auto"/>
        <w:ind w:firstLine="512" w:firstLineChars="200"/>
        <w:rPr>
          <w:rFonts w:hint="eastAsia" w:ascii="Times New Roman"/>
          <w:spacing w:val="8"/>
          <w:lang w:val="zh-CN"/>
        </w:rPr>
        <w:sectPr>
          <w:pgSz w:w="11906" w:h="16838"/>
          <w:pgMar w:top="1440" w:right="1800" w:bottom="1440" w:left="1800" w:header="851" w:footer="850" w:gutter="0"/>
          <w:cols w:space="425" w:num="1"/>
          <w:docGrid w:type="lines" w:linePitch="326" w:charSpace="0"/>
        </w:sectPr>
      </w:pPr>
    </w:p>
    <w:p w14:paraId="79F28C6C">
      <w:pPr>
        <w:spacing w:line="360" w:lineRule="auto"/>
        <w:ind w:firstLine="512" w:firstLineChars="200"/>
        <w:rPr>
          <w:rFonts w:hint="eastAsia" w:ascii="Times New Roman"/>
          <w:spacing w:val="8"/>
          <w:lang w:val="zh-CN"/>
        </w:rPr>
      </w:pPr>
      <w:r>
        <w:rPr>
          <w:spacing w:val="8"/>
        </w:rPr>
        <w:drawing>
          <wp:inline distT="0" distB="0" distL="0" distR="0">
            <wp:extent cx="4797425" cy="4967605"/>
            <wp:effectExtent l="0" t="0" r="0" b="0"/>
            <wp:docPr id="11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descr="图示&#10;&#10;描述已自动生成"/>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797425" cy="4967605"/>
                    </a:xfrm>
                    <a:prstGeom prst="rect">
                      <a:avLst/>
                    </a:prstGeom>
                    <a:noFill/>
                    <a:ln>
                      <a:noFill/>
                    </a:ln>
                  </pic:spPr>
                </pic:pic>
              </a:graphicData>
            </a:graphic>
          </wp:inline>
        </w:drawing>
      </w:r>
    </w:p>
    <w:p w14:paraId="6901F734">
      <w:pPr>
        <w:spacing w:line="360" w:lineRule="auto"/>
        <w:jc w:val="center"/>
        <w:rPr>
          <w:rFonts w:hint="eastAsia" w:ascii="黑体" w:hAnsi="黑体" w:eastAsia="黑体"/>
          <w:b/>
        </w:rPr>
      </w:pPr>
      <w:r>
        <w:rPr>
          <w:rFonts w:hint="eastAsia" w:ascii="黑体" w:hAnsi="黑体" w:eastAsia="黑体"/>
          <w:b/>
        </w:rPr>
        <w:t>图7.1</w:t>
      </w:r>
      <w:r>
        <w:rPr>
          <w:rFonts w:ascii="黑体" w:hAnsi="黑体" w:eastAsia="黑体"/>
          <w:b/>
        </w:rPr>
        <w:t>.2</w:t>
      </w:r>
      <w:r>
        <w:rPr>
          <w:rFonts w:hint="eastAsia" w:ascii="黑体" w:hAnsi="黑体" w:eastAsia="黑体"/>
          <w:b/>
        </w:rPr>
        <w:t xml:space="preserve">-1 </w:t>
      </w:r>
      <w:r>
        <w:rPr>
          <w:rFonts w:ascii="黑体" w:hAnsi="黑体" w:eastAsia="黑体"/>
          <w:b/>
        </w:rPr>
        <w:t xml:space="preserve">  </w:t>
      </w:r>
      <w:r>
        <w:rPr>
          <w:rFonts w:hint="eastAsia" w:ascii="黑体" w:hAnsi="黑体" w:eastAsia="黑体"/>
          <w:b/>
        </w:rPr>
        <w:t xml:space="preserve"> </w:t>
      </w:r>
      <w:r>
        <w:rPr>
          <w:rFonts w:ascii="黑体" w:hAnsi="黑体" w:eastAsia="黑体"/>
          <w:b/>
        </w:rPr>
        <w:t>环境风险评价工作程序图</w:t>
      </w:r>
    </w:p>
    <w:p w14:paraId="0B757C5B">
      <w:pPr>
        <w:pStyle w:val="804"/>
        <w:rPr>
          <w:rFonts w:hint="eastAsia"/>
        </w:rPr>
      </w:pPr>
      <w:bookmarkStart w:id="442" w:name="_Toc30963"/>
      <w:bookmarkStart w:id="443" w:name="_Toc194592902"/>
      <w:r>
        <w:t>风险调查</w:t>
      </w:r>
      <w:bookmarkEnd w:id="442"/>
      <w:bookmarkEnd w:id="443"/>
    </w:p>
    <w:p w14:paraId="35306934">
      <w:pPr>
        <w:pStyle w:val="97"/>
        <w:rPr>
          <w:rFonts w:hint="eastAsia"/>
        </w:rPr>
      </w:pPr>
      <w:r>
        <w:rPr>
          <w:rFonts w:hint="eastAsia"/>
        </w:rPr>
        <w:t>物质危险性</w:t>
      </w:r>
      <w:r>
        <w:t>识别</w:t>
      </w:r>
    </w:p>
    <w:p w14:paraId="1D40C7EF">
      <w:pPr>
        <w:pStyle w:val="281"/>
        <w:ind w:firstLine="480"/>
      </w:pPr>
      <w:r>
        <w:t>根据工程分析及导则附录C.1.1要求，本项目涉及的危险物质主要包括</w:t>
      </w:r>
      <w:bookmarkStart w:id="444" w:name="_Hlk163662926"/>
      <w:bookmarkStart w:id="445" w:name="_Hlk127199905"/>
      <w:r>
        <w:rPr>
          <w:rFonts w:hint="eastAsia"/>
        </w:rPr>
        <w:t>CO、硫化氢</w:t>
      </w:r>
      <w:r>
        <w:rPr>
          <w:rFonts w:hint="eastAsia" w:ascii="宋体"/>
        </w:rPr>
        <w:t>、</w:t>
      </w:r>
      <w:r>
        <w:rPr>
          <w:rFonts w:hint="eastAsia"/>
        </w:rPr>
        <w:t>液氨</w:t>
      </w:r>
      <w:r>
        <w:rPr>
          <w:rFonts w:hint="eastAsia" w:ascii="宋体"/>
        </w:rPr>
        <w:t>、</w:t>
      </w:r>
      <w:r>
        <w:rPr>
          <w:rFonts w:hint="eastAsia"/>
        </w:rPr>
        <w:t>硫酸、甲醇、次氯酸钠、硝酸、甲酸甲酯、亚硝酸甲酯等</w:t>
      </w:r>
      <w:bookmarkEnd w:id="444"/>
      <w:r>
        <w:rPr>
          <w:rFonts w:hint="eastAsia"/>
        </w:rPr>
        <w:t>，主要危险物质安全技术说明书（MSDS）资料见下。</w:t>
      </w:r>
      <w:bookmarkEnd w:id="445"/>
    </w:p>
    <w:p w14:paraId="5942DFB5">
      <w:pPr>
        <w:pStyle w:val="645"/>
        <w:rPr>
          <w:rFonts w:hint="eastAsia"/>
        </w:rPr>
      </w:pPr>
      <w:r>
        <w:rPr>
          <w:rFonts w:hint="eastAsia"/>
        </w:rPr>
        <w:t>表7.2</w:t>
      </w:r>
      <w:r>
        <w:t>.1</w:t>
      </w:r>
      <w:r>
        <w:rPr>
          <w:rFonts w:hint="eastAsia"/>
        </w:rPr>
        <w:t>-1    硫化氢的理化性质及危险特性表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538"/>
        <w:gridCol w:w="3220"/>
        <w:gridCol w:w="2090"/>
      </w:tblGrid>
      <w:tr w14:paraId="54FF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Align w:val="center"/>
          </w:tcPr>
          <w:p w14:paraId="758D1252">
            <w:pPr>
              <w:pStyle w:val="557"/>
            </w:pPr>
            <w:r>
              <w:rPr>
                <w:rFonts w:hint="eastAsia"/>
              </w:rPr>
              <w:t>标识</w:t>
            </w:r>
          </w:p>
        </w:tc>
        <w:tc>
          <w:tcPr>
            <w:tcW w:w="7697" w:type="dxa"/>
            <w:gridSpan w:val="3"/>
            <w:vAlign w:val="center"/>
          </w:tcPr>
          <w:p w14:paraId="4004BF63">
            <w:pPr>
              <w:pStyle w:val="557"/>
            </w:pPr>
            <w:r>
              <w:rPr>
                <w:rFonts w:hint="eastAsia"/>
              </w:rPr>
              <w:t>中文名：硫化氢；英文名：</w:t>
            </w:r>
            <w:r>
              <w:t>Hydrogen Sulfide</w:t>
            </w:r>
            <w:r>
              <w:rPr>
                <w:rFonts w:hint="eastAsia"/>
              </w:rPr>
              <w:t>；分子式：</w:t>
            </w:r>
            <w:r>
              <w:t>H</w:t>
            </w:r>
            <w:r>
              <w:rPr>
                <w:vertAlign w:val="subscript"/>
              </w:rPr>
              <w:t>2</w:t>
            </w:r>
            <w:r>
              <w:t>S</w:t>
            </w:r>
            <w:r>
              <w:rPr>
                <w:rFonts w:hint="eastAsia"/>
              </w:rPr>
              <w:t>；分子量：</w:t>
            </w:r>
            <w:r>
              <w:t>34.076</w:t>
            </w:r>
            <w:r>
              <w:rPr>
                <w:rFonts w:hint="eastAsia"/>
              </w:rPr>
              <w:t>；</w:t>
            </w:r>
          </w:p>
          <w:p w14:paraId="112F0C83">
            <w:pPr>
              <w:pStyle w:val="557"/>
            </w:pPr>
            <w:r>
              <w:rPr>
                <w:rFonts w:hint="eastAsia"/>
              </w:rPr>
              <w:t>危险性类别：第</w:t>
            </w:r>
            <w:r>
              <w:t>2.1</w:t>
            </w:r>
            <w:r>
              <w:rPr>
                <w:rFonts w:hint="eastAsia"/>
              </w:rPr>
              <w:t>类，易燃气体；第</w:t>
            </w:r>
            <w:r>
              <w:t>2.3</w:t>
            </w:r>
            <w:r>
              <w:rPr>
                <w:rFonts w:hint="eastAsia"/>
              </w:rPr>
              <w:t>类，有毒气体；</w:t>
            </w:r>
            <w:r>
              <w:t>CAS</w:t>
            </w:r>
            <w:r>
              <w:rPr>
                <w:rFonts w:hint="eastAsia"/>
              </w:rPr>
              <w:t>：</w:t>
            </w:r>
            <w:r>
              <w:t>7783-06-4</w:t>
            </w:r>
          </w:p>
        </w:tc>
      </w:tr>
      <w:tr w14:paraId="2C35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Align w:val="center"/>
          </w:tcPr>
          <w:p w14:paraId="7343A7CC">
            <w:pPr>
              <w:pStyle w:val="557"/>
            </w:pPr>
            <w:r>
              <w:rPr>
                <w:rFonts w:hint="eastAsia"/>
              </w:rPr>
              <w:t>理化性质</w:t>
            </w:r>
          </w:p>
        </w:tc>
        <w:tc>
          <w:tcPr>
            <w:tcW w:w="7697" w:type="dxa"/>
            <w:gridSpan w:val="3"/>
            <w:vAlign w:val="center"/>
          </w:tcPr>
          <w:p w14:paraId="05893898">
            <w:pPr>
              <w:pStyle w:val="557"/>
            </w:pPr>
            <w:r>
              <w:rPr>
                <w:rFonts w:hint="eastAsia"/>
              </w:rPr>
              <w:t>外观与性状：可燃性无色气体，具有典型的臭鸡蛋味；相对密度（空气＝</w:t>
            </w:r>
            <w:r>
              <w:t>1</w:t>
            </w:r>
            <w:r>
              <w:rPr>
                <w:rFonts w:hint="eastAsia"/>
              </w:rPr>
              <w:t>）：</w:t>
            </w:r>
            <w:r>
              <w:t>1.19</w:t>
            </w:r>
            <w:r>
              <w:rPr>
                <w:rFonts w:hint="eastAsia"/>
              </w:rPr>
              <w:t>；</w:t>
            </w:r>
          </w:p>
          <w:p w14:paraId="7C4CDFE1">
            <w:pPr>
              <w:pStyle w:val="557"/>
            </w:pPr>
            <w:r>
              <w:rPr>
                <w:rFonts w:hint="eastAsia"/>
              </w:rPr>
              <w:t>溶解性：易溶于水，</w:t>
            </w:r>
            <w:r>
              <w:t>20</w:t>
            </w:r>
            <w:r>
              <w:rPr>
                <w:rFonts w:hint="eastAsia"/>
              </w:rPr>
              <w:t>℃时</w:t>
            </w:r>
            <w:r>
              <w:t>2.9</w:t>
            </w:r>
            <w:r>
              <w:rPr>
                <w:rFonts w:hint="eastAsia"/>
              </w:rPr>
              <w:t>体积气体溶于</w:t>
            </w:r>
            <w:r>
              <w:t>1</w:t>
            </w:r>
            <w:r>
              <w:rPr>
                <w:rFonts w:hint="eastAsia"/>
              </w:rPr>
              <w:t>体积水中，亦溶于醇类、二硫化碳、石油溶剂和原油中；饱和蒸汽压（kP</w:t>
            </w:r>
            <w:r>
              <w:t>a</w:t>
            </w:r>
            <w:r>
              <w:rPr>
                <w:rFonts w:hint="eastAsia"/>
              </w:rPr>
              <w:t>）：</w:t>
            </w:r>
            <w:r>
              <w:t>2026.5</w:t>
            </w:r>
            <w:r>
              <w:rPr>
                <w:rFonts w:hint="eastAsia"/>
              </w:rPr>
              <w:t>（</w:t>
            </w:r>
            <w:r>
              <w:t>25.5</w:t>
            </w:r>
            <w:r>
              <w:rPr>
                <w:rFonts w:hint="eastAsia"/>
              </w:rPr>
              <w:t>℃）；临界温度</w:t>
            </w:r>
            <w:r>
              <w:t>(</w:t>
            </w:r>
            <w:r>
              <w:rPr>
                <w:rFonts w:hint="eastAsia"/>
              </w:rPr>
              <w:t>℃</w:t>
            </w:r>
            <w:r>
              <w:t>)</w:t>
            </w:r>
            <w:r>
              <w:rPr>
                <w:rFonts w:hint="eastAsia"/>
              </w:rPr>
              <w:t>：</w:t>
            </w:r>
            <w:r>
              <w:t>132.4</w:t>
            </w:r>
            <w:r>
              <w:rPr>
                <w:rFonts w:hint="eastAsia"/>
              </w:rPr>
              <w:t>；临界压力</w:t>
            </w:r>
            <w:r>
              <w:t>(MPa)</w:t>
            </w:r>
            <w:r>
              <w:rPr>
                <w:rFonts w:hint="eastAsia"/>
              </w:rPr>
              <w:t>：</w:t>
            </w:r>
            <w:r>
              <w:t>11.20</w:t>
            </w:r>
            <w:r>
              <w:rPr>
                <w:rFonts w:hint="eastAsia"/>
              </w:rPr>
              <w:t>；熔点</w:t>
            </w:r>
            <w:r>
              <w:t>(</w:t>
            </w:r>
            <w:r>
              <w:rPr>
                <w:rFonts w:hint="eastAsia"/>
              </w:rPr>
              <w:t>℃</w:t>
            </w:r>
            <w:r>
              <w:t>)</w:t>
            </w:r>
            <w:r>
              <w:rPr>
                <w:rFonts w:hint="eastAsia"/>
              </w:rPr>
              <w:t>：</w:t>
            </w:r>
            <w:r>
              <w:t>-82.9</w:t>
            </w:r>
            <w:r>
              <w:rPr>
                <w:rFonts w:hint="eastAsia"/>
              </w:rPr>
              <w:t>；沸点（℃）：</w:t>
            </w:r>
            <w:r>
              <w:t>-60.3</w:t>
            </w:r>
            <w:r>
              <w:rPr>
                <w:rFonts w:hint="eastAsia"/>
              </w:rPr>
              <w:t>；</w:t>
            </w:r>
          </w:p>
        </w:tc>
      </w:tr>
      <w:tr w14:paraId="3484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restart"/>
            <w:vAlign w:val="center"/>
          </w:tcPr>
          <w:p w14:paraId="22EA318A">
            <w:pPr>
              <w:pStyle w:val="557"/>
            </w:pPr>
            <w:r>
              <w:rPr>
                <w:rFonts w:hint="eastAsia"/>
              </w:rPr>
              <w:t>燃烧爆炸危险性</w:t>
            </w:r>
          </w:p>
        </w:tc>
        <w:tc>
          <w:tcPr>
            <w:tcW w:w="7697" w:type="dxa"/>
            <w:gridSpan w:val="3"/>
            <w:vAlign w:val="center"/>
          </w:tcPr>
          <w:p w14:paraId="0D7B4C82">
            <w:pPr>
              <w:pStyle w:val="557"/>
            </w:pPr>
            <w:r>
              <w:rPr>
                <w:rFonts w:hint="eastAsia"/>
              </w:rPr>
              <w:t>燃烧性：易燃；自燃温度</w:t>
            </w:r>
            <w:r>
              <w:t>(</w:t>
            </w:r>
            <w:r>
              <w:rPr>
                <w:rFonts w:hint="eastAsia"/>
              </w:rPr>
              <w:t>℃</w:t>
            </w:r>
            <w:r>
              <w:t>)</w:t>
            </w:r>
            <w:r>
              <w:rPr>
                <w:rFonts w:hint="eastAsia"/>
              </w:rPr>
              <w:t>：</w:t>
            </w:r>
            <w:r>
              <w:t>260</w:t>
            </w:r>
            <w:r>
              <w:rPr>
                <w:rFonts w:hint="eastAsia"/>
              </w:rPr>
              <w:t>；爆炸极限</w:t>
            </w:r>
            <w:r>
              <w:t>(%)</w:t>
            </w:r>
            <w:r>
              <w:rPr>
                <w:rFonts w:hint="eastAsia"/>
              </w:rPr>
              <w:t>：</w:t>
            </w:r>
            <w:r>
              <w:t>4.0~46</w:t>
            </w:r>
            <w:r>
              <w:rPr>
                <w:rFonts w:hint="eastAsia"/>
              </w:rPr>
              <w:t>（体积比）；</w:t>
            </w:r>
          </w:p>
          <w:p w14:paraId="4E32D4BE">
            <w:pPr>
              <w:pStyle w:val="557"/>
            </w:pPr>
            <w:r>
              <w:rPr>
                <w:rFonts w:hint="eastAsia"/>
              </w:rPr>
              <w:t>火险分级：甲类；闪点</w:t>
            </w:r>
            <w:r>
              <w:t>(</w:t>
            </w:r>
            <w:r>
              <w:rPr>
                <w:rFonts w:hint="eastAsia"/>
              </w:rPr>
              <w:t>℃</w:t>
            </w:r>
            <w:r>
              <w:t>)</w:t>
            </w:r>
            <w:r>
              <w:rPr>
                <w:rFonts w:hint="eastAsia"/>
              </w:rPr>
              <w:t>：无意义；稳定性：稳定；聚合危险性：不存在；</w:t>
            </w:r>
          </w:p>
          <w:p w14:paraId="0F185BBC">
            <w:pPr>
              <w:pStyle w:val="557"/>
            </w:pPr>
            <w:r>
              <w:rPr>
                <w:rFonts w:hint="eastAsia"/>
              </w:rPr>
              <w:t>燃烧（分解）产物：氧化硫</w:t>
            </w:r>
          </w:p>
        </w:tc>
      </w:tr>
      <w:tr w14:paraId="6F1C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continue"/>
            <w:vAlign w:val="center"/>
          </w:tcPr>
          <w:p w14:paraId="47D5CC49">
            <w:pPr>
              <w:pStyle w:val="557"/>
            </w:pPr>
          </w:p>
        </w:tc>
        <w:tc>
          <w:tcPr>
            <w:tcW w:w="7697" w:type="dxa"/>
            <w:gridSpan w:val="3"/>
            <w:vAlign w:val="center"/>
          </w:tcPr>
          <w:p w14:paraId="700AF318">
            <w:pPr>
              <w:pStyle w:val="557"/>
            </w:pPr>
            <w:r>
              <w:rPr>
                <w:rFonts w:hint="eastAsia"/>
              </w:rPr>
              <w:t>危险特性：与空气混合能形成爆炸性混合物，遇明火、高热能引起燃烧爆炸。与氟、氯等能发生剧烈的化学反应。若遇高热，容器内压增大，有开裂和爆炸的危险。</w:t>
            </w:r>
          </w:p>
        </w:tc>
      </w:tr>
      <w:tr w14:paraId="7C3B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continue"/>
            <w:vAlign w:val="center"/>
          </w:tcPr>
          <w:p w14:paraId="3FDBA885">
            <w:pPr>
              <w:pStyle w:val="557"/>
            </w:pPr>
          </w:p>
        </w:tc>
        <w:tc>
          <w:tcPr>
            <w:tcW w:w="7697" w:type="dxa"/>
            <w:gridSpan w:val="3"/>
            <w:vAlign w:val="center"/>
          </w:tcPr>
          <w:p w14:paraId="68DCDDF1">
            <w:pPr>
              <w:pStyle w:val="557"/>
            </w:pPr>
            <w:r>
              <w:rPr>
                <w:rFonts w:hint="eastAsia"/>
              </w:rPr>
              <w:t>禁忌物：强氧化剂、碱类。</w:t>
            </w:r>
          </w:p>
        </w:tc>
      </w:tr>
      <w:tr w14:paraId="359C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continue"/>
            <w:vAlign w:val="center"/>
          </w:tcPr>
          <w:p w14:paraId="0955A02A">
            <w:pPr>
              <w:pStyle w:val="557"/>
            </w:pPr>
          </w:p>
        </w:tc>
        <w:tc>
          <w:tcPr>
            <w:tcW w:w="7697" w:type="dxa"/>
            <w:gridSpan w:val="3"/>
            <w:vAlign w:val="center"/>
          </w:tcPr>
          <w:p w14:paraId="34EE31C4">
            <w:pPr>
              <w:pStyle w:val="557"/>
            </w:pPr>
            <w:r>
              <w:rPr>
                <w:rFonts w:hint="eastAsia"/>
              </w:rPr>
              <w:t>灭火方法：消防人员必须穿全身防火防毒服，在上风向灭火。切断气源。若不能切断气源，则不允许熄灭泄漏处的火焰。喷水冷却容器，可能的话将容器从火场移至空旷处。</w:t>
            </w:r>
          </w:p>
          <w:p w14:paraId="30F8031F">
            <w:pPr>
              <w:pStyle w:val="557"/>
            </w:pPr>
            <w:r>
              <w:rPr>
                <w:rFonts w:hint="eastAsia"/>
              </w:rPr>
              <w:t>灭火剂：雾状水、抗溶性泡沫、干粉。</w:t>
            </w:r>
          </w:p>
        </w:tc>
      </w:tr>
      <w:tr w14:paraId="2082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restart"/>
            <w:vAlign w:val="center"/>
          </w:tcPr>
          <w:p w14:paraId="518248C6">
            <w:pPr>
              <w:pStyle w:val="557"/>
            </w:pPr>
            <w:r>
              <w:rPr>
                <w:rFonts w:hint="eastAsia"/>
              </w:rPr>
              <w:t>健康危害与急救方法</w:t>
            </w:r>
          </w:p>
        </w:tc>
        <w:tc>
          <w:tcPr>
            <w:tcW w:w="2489" w:type="dxa"/>
            <w:vAlign w:val="center"/>
          </w:tcPr>
          <w:p w14:paraId="0E2EB9E9">
            <w:pPr>
              <w:pStyle w:val="557"/>
            </w:pPr>
            <w:r>
              <w:rPr>
                <w:rFonts w:hint="eastAsia"/>
              </w:rPr>
              <w:t>毒性：Ⅱ级危害毒物</w:t>
            </w:r>
          </w:p>
        </w:tc>
        <w:tc>
          <w:tcPr>
            <w:tcW w:w="3158" w:type="dxa"/>
            <w:vAlign w:val="center"/>
          </w:tcPr>
          <w:p w14:paraId="319EDB4A">
            <w:pPr>
              <w:pStyle w:val="557"/>
            </w:pPr>
            <w:r>
              <w:rPr>
                <w:rFonts w:hint="eastAsia"/>
              </w:rPr>
              <w:t>职业接触限值：</w:t>
            </w:r>
            <w:r>
              <w:t>MAC</w:t>
            </w:r>
            <w:r>
              <w:rPr>
                <w:rFonts w:hint="eastAsia"/>
              </w:rPr>
              <w:t>：</w:t>
            </w:r>
            <w:r>
              <w:t>10mg</w:t>
            </w:r>
            <w:r>
              <w:rPr>
                <w:rFonts w:hint="eastAsia"/>
              </w:rPr>
              <w:t>/</w:t>
            </w:r>
            <w:r>
              <w:t>m</w:t>
            </w:r>
            <w:r>
              <w:rPr>
                <w:vertAlign w:val="superscript"/>
              </w:rPr>
              <w:t>3</w:t>
            </w:r>
          </w:p>
        </w:tc>
        <w:tc>
          <w:tcPr>
            <w:tcW w:w="2050" w:type="dxa"/>
            <w:vAlign w:val="center"/>
          </w:tcPr>
          <w:p w14:paraId="364F6FD7">
            <w:pPr>
              <w:pStyle w:val="557"/>
            </w:pPr>
            <w:r>
              <w:rPr>
                <w:rFonts w:hint="eastAsia"/>
              </w:rPr>
              <w:t>侵入途径：吸入</w:t>
            </w:r>
          </w:p>
        </w:tc>
      </w:tr>
      <w:tr w14:paraId="2B64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5" w:type="dxa"/>
            <w:vMerge w:val="continue"/>
            <w:vAlign w:val="center"/>
          </w:tcPr>
          <w:p w14:paraId="4142B94F">
            <w:pPr>
              <w:pStyle w:val="557"/>
            </w:pPr>
          </w:p>
        </w:tc>
        <w:tc>
          <w:tcPr>
            <w:tcW w:w="7697" w:type="dxa"/>
            <w:gridSpan w:val="3"/>
            <w:vAlign w:val="center"/>
          </w:tcPr>
          <w:p w14:paraId="37CBD73A">
            <w:pPr>
              <w:pStyle w:val="557"/>
            </w:pPr>
            <w:r>
              <w:rPr>
                <w:rFonts w:hint="eastAsia"/>
              </w:rPr>
              <w:t>健康危害：本品是强烈的神经毒物，对黏膜有强烈刺激作用。</w:t>
            </w:r>
          </w:p>
          <w:p w14:paraId="220CA982">
            <w:pPr>
              <w:pStyle w:val="557"/>
            </w:pPr>
            <w:r>
              <w:rPr>
                <w:rFonts w:hint="eastAsia"/>
              </w:rPr>
              <w:t>急性中毒：短期内吸入高浓度硫化氢后出现流泪、眼痛、眼内异物感、畏光、视物模糊、流涕、咽喉部灼热感、咳嗽、胸闷、头痛、头晕、乏力、意识模糊等。部分患者可有心肌损害。重者可出现脑水肿、肺水肿。极高浓度</w:t>
            </w:r>
            <w:r>
              <w:t>(1000mg/m</w:t>
            </w:r>
            <w:r>
              <w:rPr>
                <w:vertAlign w:val="superscript"/>
              </w:rPr>
              <w:t>3</w:t>
            </w:r>
            <w:r>
              <w:rPr>
                <w:rFonts w:hint="eastAsia"/>
              </w:rPr>
              <w:t>以上</w:t>
            </w:r>
            <w:r>
              <w:t>)</w:t>
            </w:r>
            <w:r>
              <w:rPr>
                <w:rFonts w:hint="eastAsia"/>
              </w:rPr>
              <w:t>时可在数秒钟内突然昏迷，呼吸和心跳骤停。</w:t>
            </w:r>
          </w:p>
          <w:p w14:paraId="5ACFA71B">
            <w:pPr>
              <w:pStyle w:val="557"/>
            </w:pPr>
            <w:r>
              <w:rPr>
                <w:rFonts w:hint="eastAsia"/>
              </w:rPr>
              <w:t>急救方法：皮肤接触：脱去污染的衣着，立即用流动清水彻底冲洗。接触液化气体，接触部位用温水浸泡复温。注意患者保温并且保持安静。吸入或接触该物质可引发迟发反应。确保医务人员了解该物质相关的个体防护知识，注意自身防护。眼睛接触：立即提起眼睑，用流动清水冲洗</w:t>
            </w:r>
            <w:r>
              <w:t>10min</w:t>
            </w:r>
            <w:r>
              <w:rPr>
                <w:rFonts w:hint="eastAsia"/>
              </w:rPr>
              <w:t>或用</w:t>
            </w:r>
            <w:r>
              <w:t>2%</w:t>
            </w:r>
            <w:r>
              <w:rPr>
                <w:rFonts w:hint="eastAsia"/>
              </w:rPr>
              <w:t>碳酸氢钠溶液冲洗。就医。</w:t>
            </w:r>
          </w:p>
          <w:p w14:paraId="6B4AB091">
            <w:pPr>
              <w:pStyle w:val="557"/>
            </w:pPr>
            <w:r>
              <w:rPr>
                <w:rFonts w:hint="eastAsia"/>
              </w:rPr>
              <w:t>吸入：迅速脱离现场至空气新鲜处。保持呼吸道通畅。呼吸困难时给输氧。呼吸停止者，立即进行人工呼吸（勿用口对口，可用单向阀小型呼吸器或其他适当的医疗呼吸器）。就医。</w:t>
            </w:r>
          </w:p>
        </w:tc>
      </w:tr>
    </w:tbl>
    <w:p w14:paraId="4B30E2A2">
      <w:pPr>
        <w:pStyle w:val="541"/>
        <w:rPr>
          <w:rFonts w:hint="eastAsia"/>
        </w:rPr>
      </w:pPr>
      <w:r>
        <w:rPr>
          <w:rFonts w:hint="eastAsia"/>
        </w:rPr>
        <w:t>表7.2</w:t>
      </w:r>
      <w:r>
        <w:t>.1</w:t>
      </w:r>
      <w:r>
        <w:rPr>
          <w:rFonts w:hint="eastAsia"/>
        </w:rPr>
        <w:t>-2    一氧化碳的理化性质及危险特性表</w:t>
      </w:r>
    </w:p>
    <w:tbl>
      <w:tblPr>
        <w:tblStyle w:val="66"/>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128"/>
        <w:gridCol w:w="2235"/>
        <w:gridCol w:w="299"/>
        <w:gridCol w:w="3195"/>
      </w:tblGrid>
      <w:tr w14:paraId="7A67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Align w:val="center"/>
          </w:tcPr>
          <w:p w14:paraId="2D733539">
            <w:pPr>
              <w:pStyle w:val="557"/>
            </w:pPr>
            <w:r>
              <w:rPr>
                <w:rFonts w:hint="eastAsia"/>
              </w:rPr>
              <w:t>标识</w:t>
            </w:r>
          </w:p>
        </w:tc>
        <w:tc>
          <w:tcPr>
            <w:tcW w:w="7857" w:type="dxa"/>
            <w:gridSpan w:val="4"/>
            <w:vAlign w:val="center"/>
          </w:tcPr>
          <w:p w14:paraId="37CD936A">
            <w:pPr>
              <w:pStyle w:val="557"/>
            </w:pPr>
            <w:r>
              <w:rPr>
                <w:rFonts w:hint="eastAsia"/>
              </w:rPr>
              <w:t>中文名：一氧化碳；英文名：</w:t>
            </w:r>
            <w:r>
              <w:t>Carbon monoxide</w:t>
            </w:r>
            <w:r>
              <w:rPr>
                <w:rFonts w:hint="eastAsia"/>
              </w:rPr>
              <w:t>；分子式：</w:t>
            </w:r>
            <w:r>
              <w:t>CO</w:t>
            </w:r>
            <w:r>
              <w:rPr>
                <w:rFonts w:hint="eastAsia"/>
              </w:rPr>
              <w:t>；</w:t>
            </w:r>
          </w:p>
          <w:p w14:paraId="649D1CD3">
            <w:pPr>
              <w:pStyle w:val="557"/>
            </w:pPr>
            <w:r>
              <w:rPr>
                <w:rFonts w:hint="eastAsia"/>
              </w:rPr>
              <w:t>分子量：</w:t>
            </w:r>
            <w:r>
              <w:t>28.01</w:t>
            </w:r>
            <w:r>
              <w:rPr>
                <w:rFonts w:hint="eastAsia"/>
              </w:rPr>
              <w:t>；危险性类别：第</w:t>
            </w:r>
            <w:r>
              <w:t>2.2</w:t>
            </w:r>
            <w:r>
              <w:rPr>
                <w:rFonts w:hint="eastAsia"/>
              </w:rPr>
              <w:t>类易燃气体；</w:t>
            </w:r>
            <w:r>
              <w:t>CAS</w:t>
            </w:r>
            <w:r>
              <w:rPr>
                <w:rFonts w:hint="eastAsia"/>
              </w:rPr>
              <w:t>：</w:t>
            </w:r>
            <w:r>
              <w:t>630-08-0</w:t>
            </w:r>
            <w:r>
              <w:rPr>
                <w:rFonts w:hint="eastAsia"/>
              </w:rPr>
              <w:t>；</w:t>
            </w:r>
          </w:p>
        </w:tc>
      </w:tr>
      <w:tr w14:paraId="15F2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Align w:val="center"/>
          </w:tcPr>
          <w:p w14:paraId="7AC70643">
            <w:pPr>
              <w:pStyle w:val="557"/>
            </w:pPr>
            <w:r>
              <w:rPr>
                <w:rFonts w:hint="eastAsia"/>
              </w:rPr>
              <w:t>理化性质</w:t>
            </w:r>
          </w:p>
        </w:tc>
        <w:tc>
          <w:tcPr>
            <w:tcW w:w="7857" w:type="dxa"/>
            <w:gridSpan w:val="4"/>
            <w:vAlign w:val="center"/>
          </w:tcPr>
          <w:p w14:paraId="404832D9">
            <w:pPr>
              <w:pStyle w:val="557"/>
            </w:pPr>
            <w:r>
              <w:rPr>
                <w:rFonts w:hint="eastAsia"/>
              </w:rPr>
              <w:t>外观与性状：无色无臭气体；溶解性：微溶于水，溶于乙醇、苯等多数有机溶剂；</w:t>
            </w:r>
          </w:p>
          <w:p w14:paraId="2CD38813">
            <w:pPr>
              <w:pStyle w:val="557"/>
            </w:pPr>
            <w:r>
              <w:rPr>
                <w:rFonts w:hint="eastAsia"/>
              </w:rPr>
              <w:t>饱和蒸汽压（</w:t>
            </w:r>
            <w:r>
              <w:t>Kpa</w:t>
            </w:r>
            <w:r>
              <w:rPr>
                <w:rFonts w:hint="eastAsia"/>
              </w:rPr>
              <w:t>）：无资料；熔点</w:t>
            </w:r>
            <w:r>
              <w:t>(</w:t>
            </w:r>
            <w:r>
              <w:rPr>
                <w:rFonts w:hint="eastAsia"/>
              </w:rPr>
              <w:t>℃</w:t>
            </w:r>
            <w:r>
              <w:t>)</w:t>
            </w:r>
            <w:r>
              <w:rPr>
                <w:rFonts w:hint="eastAsia"/>
              </w:rPr>
              <w:t>：</w:t>
            </w:r>
            <w:r>
              <w:t>-199.1</w:t>
            </w:r>
            <w:r>
              <w:rPr>
                <w:rFonts w:hint="eastAsia"/>
              </w:rPr>
              <w:t>；沸点（℃）：</w:t>
            </w:r>
            <w:r>
              <w:t>-191.4</w:t>
            </w:r>
            <w:r>
              <w:rPr>
                <w:rFonts w:hint="eastAsia"/>
              </w:rPr>
              <w:t>；临界压力</w:t>
            </w:r>
            <w:r>
              <w:t>(MPa)</w:t>
            </w:r>
            <w:r>
              <w:rPr>
                <w:rFonts w:hint="eastAsia"/>
              </w:rPr>
              <w:t>：</w:t>
            </w:r>
            <w:r>
              <w:t>3.5</w:t>
            </w:r>
            <w:r>
              <w:rPr>
                <w:rFonts w:hint="eastAsia"/>
              </w:rPr>
              <w:t>；相对密度（水＝</w:t>
            </w:r>
            <w:r>
              <w:t>1</w:t>
            </w:r>
            <w:r>
              <w:rPr>
                <w:rFonts w:hint="eastAsia"/>
              </w:rPr>
              <w:t>）：</w:t>
            </w:r>
            <w:r>
              <w:t>0.79</w:t>
            </w:r>
            <w:r>
              <w:rPr>
                <w:rFonts w:hint="eastAsia"/>
              </w:rPr>
              <w:t>（空气＝</w:t>
            </w:r>
            <w:r>
              <w:t>1</w:t>
            </w:r>
            <w:r>
              <w:rPr>
                <w:rFonts w:hint="eastAsia"/>
              </w:rPr>
              <w:t>）：</w:t>
            </w:r>
            <w:r>
              <w:t>0.97</w:t>
            </w:r>
            <w:r>
              <w:rPr>
                <w:rFonts w:hint="eastAsia"/>
              </w:rPr>
              <w:t>；火险分级：乙类；</w:t>
            </w:r>
          </w:p>
          <w:p w14:paraId="4A180131">
            <w:pPr>
              <w:pStyle w:val="557"/>
            </w:pPr>
            <w:r>
              <w:rPr>
                <w:rFonts w:hint="eastAsia"/>
              </w:rPr>
              <w:t>临界温度</w:t>
            </w:r>
            <w:r>
              <w:t>(</w:t>
            </w:r>
            <w:r>
              <w:rPr>
                <w:rFonts w:hint="eastAsia"/>
              </w:rPr>
              <w:t>℃</w:t>
            </w:r>
            <w:r>
              <w:t>)</w:t>
            </w:r>
            <w:r>
              <w:rPr>
                <w:rFonts w:hint="eastAsia"/>
              </w:rPr>
              <w:t>：</w:t>
            </w:r>
            <w:r>
              <w:t>140</w:t>
            </w:r>
            <w:r>
              <w:rPr>
                <w:rFonts w:hint="eastAsia"/>
              </w:rPr>
              <w:t>；</w:t>
            </w:r>
          </w:p>
        </w:tc>
      </w:tr>
      <w:tr w14:paraId="243D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restart"/>
            <w:vAlign w:val="center"/>
          </w:tcPr>
          <w:p w14:paraId="1476C557">
            <w:pPr>
              <w:pStyle w:val="557"/>
            </w:pPr>
            <w:r>
              <w:rPr>
                <w:rFonts w:hint="eastAsia"/>
              </w:rPr>
              <w:t>燃烧爆炸危险性</w:t>
            </w:r>
          </w:p>
        </w:tc>
        <w:tc>
          <w:tcPr>
            <w:tcW w:w="7857" w:type="dxa"/>
            <w:gridSpan w:val="4"/>
            <w:vAlign w:val="center"/>
          </w:tcPr>
          <w:p w14:paraId="2B7D5C2B">
            <w:pPr>
              <w:pStyle w:val="557"/>
            </w:pPr>
            <w:r>
              <w:rPr>
                <w:rFonts w:hint="eastAsia"/>
              </w:rPr>
              <w:t>燃烧性：易燃；自燃温度</w:t>
            </w:r>
            <w:r>
              <w:t>(</w:t>
            </w:r>
            <w:r>
              <w:rPr>
                <w:rFonts w:hint="eastAsia"/>
              </w:rPr>
              <w:t>℃</w:t>
            </w:r>
            <w:r>
              <w:t>)</w:t>
            </w:r>
            <w:r>
              <w:rPr>
                <w:rFonts w:hint="eastAsia"/>
              </w:rPr>
              <w:t>：</w:t>
            </w:r>
            <w:r>
              <w:t>610</w:t>
            </w:r>
            <w:r>
              <w:rPr>
                <w:rFonts w:hint="eastAsia"/>
              </w:rPr>
              <w:t>；闪点</w:t>
            </w:r>
            <w:r>
              <w:t>(</w:t>
            </w:r>
            <w:r>
              <w:rPr>
                <w:rFonts w:hint="eastAsia"/>
              </w:rPr>
              <w:t>℃</w:t>
            </w:r>
            <w:r>
              <w:t>)</w:t>
            </w:r>
            <w:r>
              <w:rPr>
                <w:rFonts w:hint="eastAsia"/>
              </w:rPr>
              <w:t>：</w:t>
            </w:r>
            <w:r>
              <w:t>&lt;-50</w:t>
            </w:r>
            <w:r>
              <w:rPr>
                <w:rFonts w:hint="eastAsia"/>
              </w:rPr>
              <w:t>；爆炸下限</w:t>
            </w:r>
            <w:r>
              <w:t>(v%)</w:t>
            </w:r>
            <w:r>
              <w:rPr>
                <w:rFonts w:hint="eastAsia"/>
              </w:rPr>
              <w:t>：</w:t>
            </w:r>
            <w:r>
              <w:t>12.5</w:t>
            </w:r>
            <w:r>
              <w:rPr>
                <w:rFonts w:hint="eastAsia"/>
              </w:rPr>
              <w:t>；</w:t>
            </w:r>
          </w:p>
          <w:p w14:paraId="0345B4FE">
            <w:pPr>
              <w:pStyle w:val="557"/>
            </w:pPr>
            <w:r>
              <w:rPr>
                <w:rFonts w:hint="eastAsia"/>
              </w:rPr>
              <w:t>爆炸上限</w:t>
            </w:r>
            <w:r>
              <w:t>(%)</w:t>
            </w:r>
            <w:r>
              <w:rPr>
                <w:rFonts w:hint="eastAsia"/>
              </w:rPr>
              <w:t>：</w:t>
            </w:r>
            <w:r>
              <w:t>74.2</w:t>
            </w:r>
            <w:r>
              <w:rPr>
                <w:rFonts w:hint="eastAsia"/>
              </w:rPr>
              <w:t>；燃烧（分解）产物：一氧化碳、二氧化碳</w:t>
            </w:r>
          </w:p>
        </w:tc>
      </w:tr>
      <w:tr w14:paraId="3B86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57FA1022">
            <w:pPr>
              <w:pStyle w:val="557"/>
            </w:pPr>
          </w:p>
        </w:tc>
        <w:tc>
          <w:tcPr>
            <w:tcW w:w="7857" w:type="dxa"/>
            <w:gridSpan w:val="4"/>
            <w:vAlign w:val="center"/>
          </w:tcPr>
          <w:p w14:paraId="2F49C138">
            <w:pPr>
              <w:pStyle w:val="557"/>
            </w:pPr>
            <w:r>
              <w:rPr>
                <w:rFonts w:hint="eastAsia"/>
              </w:rPr>
              <w:t>危险特性：与空气混合能形成爆炸性混合物，遇明火、高热能引起燃烧爆炸。若遇高热，容器内压增大，有开裂和爆炸的危险。</w:t>
            </w:r>
          </w:p>
        </w:tc>
      </w:tr>
      <w:tr w14:paraId="6736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2917D1C5">
            <w:pPr>
              <w:pStyle w:val="557"/>
            </w:pPr>
          </w:p>
        </w:tc>
        <w:tc>
          <w:tcPr>
            <w:tcW w:w="2128" w:type="dxa"/>
            <w:vAlign w:val="center"/>
          </w:tcPr>
          <w:p w14:paraId="11D73BED">
            <w:pPr>
              <w:pStyle w:val="557"/>
            </w:pPr>
            <w:r>
              <w:rPr>
                <w:rFonts w:hint="eastAsia"/>
              </w:rPr>
              <w:t>稳定性：稳定</w:t>
            </w:r>
          </w:p>
        </w:tc>
        <w:tc>
          <w:tcPr>
            <w:tcW w:w="2534" w:type="dxa"/>
            <w:gridSpan w:val="2"/>
            <w:vAlign w:val="center"/>
          </w:tcPr>
          <w:p w14:paraId="09229FE9">
            <w:pPr>
              <w:pStyle w:val="557"/>
            </w:pPr>
            <w:r>
              <w:rPr>
                <w:rFonts w:hint="eastAsia"/>
              </w:rPr>
              <w:t>聚合危害：不能出现</w:t>
            </w:r>
          </w:p>
        </w:tc>
        <w:tc>
          <w:tcPr>
            <w:tcW w:w="3195" w:type="dxa"/>
            <w:vAlign w:val="center"/>
          </w:tcPr>
          <w:p w14:paraId="105D5296">
            <w:pPr>
              <w:pStyle w:val="557"/>
            </w:pPr>
            <w:r>
              <w:rPr>
                <w:rFonts w:hint="eastAsia"/>
              </w:rPr>
              <w:t>禁忌物：强氧化剂、碱类</w:t>
            </w:r>
          </w:p>
        </w:tc>
      </w:tr>
      <w:tr w14:paraId="2420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1F9E726D">
            <w:pPr>
              <w:pStyle w:val="557"/>
            </w:pPr>
          </w:p>
        </w:tc>
        <w:tc>
          <w:tcPr>
            <w:tcW w:w="7857" w:type="dxa"/>
            <w:gridSpan w:val="4"/>
            <w:vAlign w:val="center"/>
          </w:tcPr>
          <w:p w14:paraId="1C9891DF">
            <w:pPr>
              <w:pStyle w:val="557"/>
            </w:pPr>
            <w:r>
              <w:rPr>
                <w:rFonts w:hint="eastAsia"/>
              </w:rPr>
              <w:t>消防措施：切断气源。若不能立即切断气源，则不允许熄灭正在燃烧的气体。喷水冷却容器，可能的话将容器从火场移至空旷处。灭火剂：雾状水、泡沫、二氧化碳。</w:t>
            </w:r>
          </w:p>
        </w:tc>
      </w:tr>
      <w:tr w14:paraId="5B65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restart"/>
            <w:vAlign w:val="center"/>
          </w:tcPr>
          <w:p w14:paraId="1BB4EEDB">
            <w:pPr>
              <w:pStyle w:val="557"/>
            </w:pPr>
            <w:r>
              <w:rPr>
                <w:rFonts w:hint="eastAsia"/>
              </w:rPr>
              <w:t>健康危害与急救方法</w:t>
            </w:r>
          </w:p>
        </w:tc>
        <w:tc>
          <w:tcPr>
            <w:tcW w:w="7857" w:type="dxa"/>
            <w:gridSpan w:val="4"/>
            <w:vAlign w:val="center"/>
          </w:tcPr>
          <w:p w14:paraId="073C1650">
            <w:pPr>
              <w:pStyle w:val="557"/>
            </w:pPr>
            <w:r>
              <w:rPr>
                <w:rFonts w:hint="eastAsia"/>
              </w:rPr>
              <w:t>接触限值：中国</w:t>
            </w:r>
            <w:r>
              <w:t>MAC</w:t>
            </w:r>
            <w:r>
              <w:rPr>
                <w:rFonts w:hint="eastAsia"/>
              </w:rPr>
              <w:t>：</w:t>
            </w:r>
            <w:r>
              <w:t>30mg</w:t>
            </w:r>
            <w:r>
              <w:rPr>
                <w:rFonts w:hint="eastAsia"/>
              </w:rPr>
              <w:t>/</w:t>
            </w:r>
            <w:r>
              <w:t>m</w:t>
            </w:r>
            <w:r>
              <w:rPr>
                <w:vertAlign w:val="superscript"/>
              </w:rPr>
              <w:t>3</w:t>
            </w:r>
            <w:r>
              <w:rPr>
                <w:rFonts w:hint="eastAsia"/>
              </w:rPr>
              <w:t>；前苏联</w:t>
            </w:r>
            <w:r>
              <w:t>MAC</w:t>
            </w:r>
            <w:r>
              <w:rPr>
                <w:rFonts w:hint="eastAsia"/>
              </w:rPr>
              <w:t>：</w:t>
            </w:r>
            <w:r>
              <w:t>20 mg</w:t>
            </w:r>
            <w:r>
              <w:rPr>
                <w:rFonts w:hint="eastAsia"/>
              </w:rPr>
              <w:t>/</w:t>
            </w:r>
            <w:r>
              <w:t>m</w:t>
            </w:r>
            <w:r>
              <w:rPr>
                <w:vertAlign w:val="superscript"/>
              </w:rPr>
              <w:t>3</w:t>
            </w:r>
          </w:p>
          <w:p w14:paraId="2730AADE">
            <w:pPr>
              <w:pStyle w:val="557"/>
            </w:pPr>
            <w:r>
              <w:rPr>
                <w:rFonts w:hint="eastAsia"/>
              </w:rPr>
              <w:t>美国</w:t>
            </w:r>
            <w:r>
              <w:t>TVL-TWA</w:t>
            </w:r>
            <w:r>
              <w:rPr>
                <w:rFonts w:hint="eastAsia"/>
              </w:rPr>
              <w:t>；</w:t>
            </w:r>
            <w:r>
              <w:t>O SHA</w:t>
            </w:r>
            <w:r>
              <w:tab/>
            </w:r>
            <w:r>
              <w:t>50ppm</w:t>
            </w:r>
            <w:r>
              <w:rPr>
                <w:rFonts w:hint="eastAsia"/>
              </w:rPr>
              <w:t>，</w:t>
            </w:r>
            <w:r>
              <w:t>57 mg</w:t>
            </w:r>
            <w:r>
              <w:rPr>
                <w:rFonts w:hint="eastAsia"/>
              </w:rPr>
              <w:t>/</w:t>
            </w:r>
            <w:r>
              <w:t>m</w:t>
            </w:r>
            <w:r>
              <w:rPr>
                <w:vertAlign w:val="superscript"/>
              </w:rPr>
              <w:t>3</w:t>
            </w:r>
            <w:r>
              <w:rPr>
                <w:rFonts w:hint="eastAsia"/>
              </w:rPr>
              <w:t>；</w:t>
            </w:r>
            <w:r>
              <w:t>ACGIH 50ppm,57 mg</w:t>
            </w:r>
            <w:r>
              <w:rPr>
                <w:rFonts w:hint="eastAsia"/>
              </w:rPr>
              <w:t>/</w:t>
            </w:r>
            <w:r>
              <w:t>m</w:t>
            </w:r>
            <w:r>
              <w:rPr>
                <w:vertAlign w:val="superscript"/>
              </w:rPr>
              <w:t>3</w:t>
            </w:r>
          </w:p>
          <w:p w14:paraId="1117DC25">
            <w:pPr>
              <w:pStyle w:val="557"/>
            </w:pPr>
            <w:r>
              <w:rPr>
                <w:rFonts w:hint="eastAsia"/>
              </w:rPr>
              <w:t>美国</w:t>
            </w:r>
            <w:r>
              <w:t>TLV-STEL</w:t>
            </w:r>
            <w:r>
              <w:rPr>
                <w:rFonts w:hint="eastAsia"/>
              </w:rPr>
              <w:t>：</w:t>
            </w:r>
            <w:r>
              <w:t>ACGIH</w:t>
            </w:r>
            <w:r>
              <w:tab/>
            </w:r>
            <w:r>
              <w:t>400ppm,458 mg</w:t>
            </w:r>
            <w:r>
              <w:rPr>
                <w:rFonts w:hint="eastAsia"/>
              </w:rPr>
              <w:t>/</w:t>
            </w:r>
            <w:r>
              <w:t>m</w:t>
            </w:r>
            <w:r>
              <w:rPr>
                <w:vertAlign w:val="superscript"/>
              </w:rPr>
              <w:t>3</w:t>
            </w:r>
          </w:p>
        </w:tc>
      </w:tr>
      <w:tr w14:paraId="35D4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549F1A5C">
            <w:pPr>
              <w:pStyle w:val="557"/>
            </w:pPr>
          </w:p>
        </w:tc>
        <w:tc>
          <w:tcPr>
            <w:tcW w:w="7857" w:type="dxa"/>
            <w:gridSpan w:val="4"/>
            <w:vAlign w:val="center"/>
          </w:tcPr>
          <w:p w14:paraId="76C31A47">
            <w:pPr>
              <w:pStyle w:val="557"/>
            </w:pPr>
            <w:r>
              <w:rPr>
                <w:rFonts w:hint="eastAsia"/>
              </w:rPr>
              <w:t>侵入途径：吸入。</w:t>
            </w:r>
          </w:p>
        </w:tc>
      </w:tr>
      <w:tr w14:paraId="4F65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241D6C3B">
            <w:pPr>
              <w:pStyle w:val="557"/>
            </w:pPr>
          </w:p>
        </w:tc>
        <w:tc>
          <w:tcPr>
            <w:tcW w:w="7857" w:type="dxa"/>
            <w:gridSpan w:val="4"/>
            <w:vAlign w:val="center"/>
          </w:tcPr>
          <w:p w14:paraId="17CDDB5E">
            <w:pPr>
              <w:pStyle w:val="557"/>
            </w:pPr>
            <w:r>
              <w:rPr>
                <w:rFonts w:hint="eastAsia"/>
              </w:rPr>
              <w:t>毒性：Ⅱ级危害毒物；</w:t>
            </w:r>
            <w:r>
              <w:t>TWA</w:t>
            </w:r>
            <w:r>
              <w:rPr>
                <w:rFonts w:hint="eastAsia"/>
              </w:rPr>
              <w:t>：</w:t>
            </w:r>
            <w:r>
              <w:t>20</w:t>
            </w:r>
            <w:r>
              <w:rPr>
                <w:rFonts w:hint="eastAsia"/>
              </w:rPr>
              <w:t>；</w:t>
            </w:r>
            <w:r>
              <w:t>STEL:30</w:t>
            </w:r>
            <w:r>
              <w:rPr>
                <w:rFonts w:hint="eastAsia"/>
              </w:rPr>
              <w:t>；</w:t>
            </w:r>
            <w:r>
              <w:t>LC</w:t>
            </w:r>
            <w:r>
              <w:rPr>
                <w:vertAlign w:val="subscript"/>
              </w:rPr>
              <w:t>50</w:t>
            </w:r>
            <w:r>
              <w:rPr>
                <w:rFonts w:hint="eastAsia"/>
              </w:rPr>
              <w:t>：</w:t>
            </w:r>
            <w:r>
              <w:t>1807ppm 4</w:t>
            </w:r>
            <w:r>
              <w:rPr>
                <w:rFonts w:hint="eastAsia"/>
              </w:rPr>
              <w:t>小时（大鼠吸入）</w:t>
            </w:r>
          </w:p>
        </w:tc>
      </w:tr>
      <w:tr w14:paraId="155B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002DAAF8">
            <w:pPr>
              <w:pStyle w:val="557"/>
            </w:pPr>
          </w:p>
        </w:tc>
        <w:tc>
          <w:tcPr>
            <w:tcW w:w="7857" w:type="dxa"/>
            <w:gridSpan w:val="4"/>
            <w:vAlign w:val="center"/>
          </w:tcPr>
          <w:p w14:paraId="7304AD81">
            <w:pPr>
              <w:pStyle w:val="557"/>
            </w:pPr>
            <w:r>
              <w:rPr>
                <w:rFonts w:hint="eastAsia"/>
              </w:rPr>
              <w:t>健康危害：一氧化碳在血中与血红蛋白结合而造成组织缺氧。急性中毒：轻度中毒者出现头痛、头晕、耳鸣、心悸、恶心、呕吐、无力；中度中毒者除上述症状外，还有面色潮红、脉快、烦躁、步态不稳、意识模糊，可有昏迷；重度患者昏迷不醒、瞳孔缩小、肌张力增加、频繁抽搐、大小便失禁等；深度中毒可致死。慢性影响：长期反复吸入一定量的一氧化碳可致神经和心血管系统损害。</w:t>
            </w:r>
          </w:p>
          <w:p w14:paraId="15811DA9">
            <w:pPr>
              <w:pStyle w:val="557"/>
            </w:pPr>
            <w:r>
              <w:rPr>
                <w:rFonts w:hint="eastAsia"/>
              </w:rPr>
              <w:t>急救方法：迅速脱离现场至空气新鲜处。呼吸困难时给输氧。呼吸及心跳停止者立即进行人工呼吸和心脏按压术。就医。</w:t>
            </w:r>
          </w:p>
        </w:tc>
      </w:tr>
      <w:tr w14:paraId="4D7F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restart"/>
            <w:vAlign w:val="center"/>
          </w:tcPr>
          <w:p w14:paraId="76DE9655">
            <w:pPr>
              <w:pStyle w:val="557"/>
            </w:pPr>
            <w:r>
              <w:rPr>
                <w:rFonts w:hint="eastAsia"/>
              </w:rPr>
              <w:t>贮运</w:t>
            </w:r>
          </w:p>
        </w:tc>
        <w:tc>
          <w:tcPr>
            <w:tcW w:w="4363" w:type="dxa"/>
            <w:gridSpan w:val="2"/>
            <w:vAlign w:val="center"/>
          </w:tcPr>
          <w:p w14:paraId="543A3888">
            <w:pPr>
              <w:pStyle w:val="557"/>
            </w:pPr>
            <w:r>
              <w:rPr>
                <w:rFonts w:hint="eastAsia"/>
              </w:rPr>
              <w:t>危险货物编号：</w:t>
            </w:r>
            <w:r>
              <w:t>21005</w:t>
            </w:r>
          </w:p>
        </w:tc>
        <w:tc>
          <w:tcPr>
            <w:tcW w:w="3494" w:type="dxa"/>
            <w:gridSpan w:val="2"/>
            <w:vAlign w:val="center"/>
          </w:tcPr>
          <w:p w14:paraId="5897AAC6">
            <w:pPr>
              <w:pStyle w:val="557"/>
            </w:pPr>
            <w:r>
              <w:t>UN</w:t>
            </w:r>
            <w:r>
              <w:rPr>
                <w:rFonts w:hint="eastAsia"/>
              </w:rPr>
              <w:t>编号：</w:t>
            </w:r>
            <w:r>
              <w:t>1016</w:t>
            </w:r>
          </w:p>
        </w:tc>
      </w:tr>
      <w:tr w14:paraId="00FA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vAlign w:val="center"/>
          </w:tcPr>
          <w:p w14:paraId="25EB8E02">
            <w:pPr>
              <w:pStyle w:val="557"/>
            </w:pPr>
          </w:p>
        </w:tc>
        <w:tc>
          <w:tcPr>
            <w:tcW w:w="7857" w:type="dxa"/>
            <w:gridSpan w:val="4"/>
            <w:vAlign w:val="center"/>
          </w:tcPr>
          <w:p w14:paraId="58B3B380">
            <w:pPr>
              <w:pStyle w:val="557"/>
            </w:pPr>
            <w:r>
              <w:rPr>
                <w:rFonts w:hint="eastAsia"/>
              </w:rPr>
              <w:t>易燃有毒的压缩气体。储存于通风仓间内。仓温不宜超过</w:t>
            </w:r>
            <w:r>
              <w:t>30</w:t>
            </w:r>
            <w:r>
              <w:rPr>
                <w:rFonts w:hint="eastAsia"/>
              </w:rPr>
              <w:t>℃。远离火种、热源。防止阳光直射。应与氧气、压缩空气、氧化剂等分开存放。切忌混储混运。储存间内的照明、通风等设施应采用防爆型，开关设在仓外。配备相应品种和数量的消防器材。禁止使用易产生火花的机械设备和工具。验收时要注意品名，注意验瓶日期，先进仓的先发用。搬运时轻装轻卸，防止钢瓶及附件破损。运输按规定路线行驶，勿在居民区和人口稠密区停留。</w:t>
            </w:r>
          </w:p>
        </w:tc>
      </w:tr>
      <w:tr w14:paraId="2C89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Align w:val="center"/>
          </w:tcPr>
          <w:p w14:paraId="13119AF4">
            <w:pPr>
              <w:pStyle w:val="557"/>
            </w:pPr>
            <w:r>
              <w:rPr>
                <w:rFonts w:hint="eastAsia"/>
              </w:rPr>
              <w:t>泄漏处置</w:t>
            </w:r>
          </w:p>
        </w:tc>
        <w:tc>
          <w:tcPr>
            <w:tcW w:w="7857" w:type="dxa"/>
            <w:gridSpan w:val="4"/>
            <w:vAlign w:val="center"/>
          </w:tcPr>
          <w:p w14:paraId="257249E7">
            <w:pPr>
              <w:pStyle w:val="557"/>
            </w:pPr>
            <w:r>
              <w:rPr>
                <w:rFonts w:hint="eastAsia"/>
              </w:rPr>
              <w:t>迅速撤离泄漏污染区人员至上风处，并隔离直至气体散尽，切断火源。建议应急处理人员戴正压自给式呼吸器，穿一般消防防护服。切断气源，喷雾状水稀释、溶解，抽排</w:t>
            </w:r>
            <w:r>
              <w:t>(</w:t>
            </w:r>
            <w:r>
              <w:rPr>
                <w:rFonts w:hint="eastAsia"/>
              </w:rPr>
              <w:t>室内</w:t>
            </w:r>
            <w:r>
              <w:t>)</w:t>
            </w:r>
            <w:r>
              <w:rPr>
                <w:rFonts w:hint="eastAsia"/>
              </w:rPr>
              <w:t>或强力通风</w:t>
            </w:r>
            <w:r>
              <w:t>(</w:t>
            </w:r>
            <w:r>
              <w:rPr>
                <w:rFonts w:hint="eastAsia"/>
              </w:rPr>
              <w:t>室外</w:t>
            </w:r>
            <w:r>
              <w:t>)</w:t>
            </w:r>
            <w:r>
              <w:rPr>
                <w:rFonts w:hint="eastAsia"/>
              </w:rPr>
              <w:t>。如有可能，将漏出气用排风机送至空旷地方或装设适当喷头烧掉。也可以用管路导至炉中、凹地焚之。漏气容器不能再用，且要经过技术处理以清除可能剩下的气体。</w:t>
            </w:r>
          </w:p>
        </w:tc>
      </w:tr>
    </w:tbl>
    <w:p w14:paraId="3F2D9FB6">
      <w:pPr>
        <w:pStyle w:val="541"/>
        <w:rPr>
          <w:rFonts w:hint="eastAsia"/>
        </w:rPr>
      </w:pPr>
      <w:r>
        <w:rPr>
          <w:rFonts w:hint="eastAsia"/>
        </w:rPr>
        <w:t>表7.2</w:t>
      </w:r>
      <w:r>
        <w:t>.1</w:t>
      </w:r>
      <w:r>
        <w:rPr>
          <w:rFonts w:hint="eastAsia"/>
        </w:rPr>
        <w:t>-</w:t>
      </w:r>
      <w:r>
        <w:t xml:space="preserve">3    </w:t>
      </w:r>
      <w:r>
        <w:rPr>
          <w:rFonts w:hint="eastAsia"/>
        </w:rPr>
        <w:t>天然气的</w:t>
      </w:r>
      <w:r>
        <w:t>理化性质及特性表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5"/>
        <w:gridCol w:w="1149"/>
        <w:gridCol w:w="87"/>
        <w:gridCol w:w="331"/>
        <w:gridCol w:w="972"/>
        <w:gridCol w:w="293"/>
        <w:gridCol w:w="680"/>
        <w:gridCol w:w="218"/>
        <w:gridCol w:w="1280"/>
        <w:gridCol w:w="659"/>
        <w:gridCol w:w="844"/>
      </w:tblGrid>
      <w:tr w14:paraId="451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restart"/>
            <w:vAlign w:val="center"/>
          </w:tcPr>
          <w:p w14:paraId="5454EDEF">
            <w:pPr>
              <w:pStyle w:val="557"/>
            </w:pPr>
            <w:r>
              <w:t>标识</w:t>
            </w:r>
          </w:p>
        </w:tc>
        <w:tc>
          <w:tcPr>
            <w:tcW w:w="5035" w:type="dxa"/>
            <w:gridSpan w:val="8"/>
            <w:vAlign w:val="center"/>
          </w:tcPr>
          <w:p w14:paraId="5938BFB1">
            <w:pPr>
              <w:pStyle w:val="557"/>
            </w:pPr>
            <w:r>
              <w:t>中文名：</w:t>
            </w:r>
            <w:r>
              <w:rPr>
                <w:rFonts w:hint="eastAsia"/>
              </w:rPr>
              <w:t>天然气；油田气</w:t>
            </w:r>
          </w:p>
        </w:tc>
        <w:tc>
          <w:tcPr>
            <w:tcW w:w="2783" w:type="dxa"/>
            <w:gridSpan w:val="3"/>
            <w:vAlign w:val="center"/>
          </w:tcPr>
          <w:p w14:paraId="711EC948">
            <w:pPr>
              <w:pStyle w:val="557"/>
            </w:pPr>
            <w:r>
              <w:t>危险货物编号：-</w:t>
            </w:r>
          </w:p>
        </w:tc>
      </w:tr>
      <w:tr w14:paraId="2564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7B77432C">
            <w:pPr>
              <w:pStyle w:val="557"/>
            </w:pPr>
          </w:p>
        </w:tc>
        <w:tc>
          <w:tcPr>
            <w:tcW w:w="5035" w:type="dxa"/>
            <w:gridSpan w:val="8"/>
            <w:vAlign w:val="center"/>
          </w:tcPr>
          <w:p w14:paraId="2958DBEF">
            <w:pPr>
              <w:pStyle w:val="557"/>
            </w:pPr>
            <w:r>
              <w:t>英文名：Natural gas</w:t>
            </w:r>
          </w:p>
        </w:tc>
        <w:tc>
          <w:tcPr>
            <w:tcW w:w="2783" w:type="dxa"/>
            <w:gridSpan w:val="3"/>
            <w:vAlign w:val="center"/>
          </w:tcPr>
          <w:p w14:paraId="50FA177F">
            <w:pPr>
              <w:pStyle w:val="557"/>
            </w:pPr>
            <w:r>
              <w:t>UN编号：</w:t>
            </w:r>
            <w:r>
              <w:rPr>
                <w:rFonts w:hint="eastAsia"/>
              </w:rPr>
              <w:t>1971</w:t>
            </w:r>
          </w:p>
        </w:tc>
      </w:tr>
      <w:tr w14:paraId="137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1147B736">
            <w:pPr>
              <w:pStyle w:val="557"/>
            </w:pPr>
          </w:p>
        </w:tc>
        <w:tc>
          <w:tcPr>
            <w:tcW w:w="2541" w:type="dxa"/>
            <w:gridSpan w:val="3"/>
            <w:vAlign w:val="center"/>
          </w:tcPr>
          <w:p w14:paraId="074C4F76">
            <w:pPr>
              <w:pStyle w:val="557"/>
            </w:pPr>
            <w:r>
              <w:t>分子式：</w:t>
            </w:r>
            <w:r>
              <w:rPr>
                <w:rFonts w:hint="eastAsia"/>
              </w:rPr>
              <w:t>-</w:t>
            </w:r>
          </w:p>
        </w:tc>
        <w:tc>
          <w:tcPr>
            <w:tcW w:w="2494" w:type="dxa"/>
            <w:gridSpan w:val="5"/>
            <w:vAlign w:val="center"/>
          </w:tcPr>
          <w:p w14:paraId="1591283A">
            <w:pPr>
              <w:pStyle w:val="557"/>
            </w:pPr>
            <w:r>
              <w:t>分子量：</w:t>
            </w:r>
            <w:r>
              <w:rPr>
                <w:rFonts w:hint="eastAsia"/>
              </w:rPr>
              <w:t>-</w:t>
            </w:r>
          </w:p>
        </w:tc>
        <w:tc>
          <w:tcPr>
            <w:tcW w:w="2783" w:type="dxa"/>
            <w:gridSpan w:val="3"/>
            <w:vAlign w:val="center"/>
          </w:tcPr>
          <w:p w14:paraId="7CC1020C">
            <w:pPr>
              <w:pStyle w:val="557"/>
            </w:pPr>
            <w:r>
              <w:t>CAS号：</w:t>
            </w:r>
            <w:r>
              <w:rPr>
                <w:rFonts w:hint="eastAsia"/>
              </w:rPr>
              <w:t>8006-14-2</w:t>
            </w:r>
          </w:p>
        </w:tc>
      </w:tr>
      <w:tr w14:paraId="0AC7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restart"/>
            <w:vAlign w:val="center"/>
          </w:tcPr>
          <w:p w14:paraId="1156597E">
            <w:pPr>
              <w:pStyle w:val="557"/>
            </w:pPr>
            <w:r>
              <w:t>理化性质</w:t>
            </w:r>
          </w:p>
        </w:tc>
        <w:tc>
          <w:tcPr>
            <w:tcW w:w="1305" w:type="dxa"/>
            <w:vAlign w:val="center"/>
          </w:tcPr>
          <w:p w14:paraId="38B40466">
            <w:pPr>
              <w:pStyle w:val="557"/>
            </w:pPr>
            <w:r>
              <w:t>外观与性状</w:t>
            </w:r>
          </w:p>
        </w:tc>
        <w:tc>
          <w:tcPr>
            <w:tcW w:w="6513" w:type="dxa"/>
            <w:gridSpan w:val="10"/>
            <w:vAlign w:val="center"/>
          </w:tcPr>
          <w:p w14:paraId="6D199DC9">
            <w:pPr>
              <w:pStyle w:val="557"/>
            </w:pPr>
            <w:r>
              <w:rPr>
                <w:rFonts w:hint="eastAsia"/>
                <w:shd w:val="clear" w:color="auto" w:fill="FFFFFF"/>
              </w:rPr>
              <w:t>无色</w:t>
            </w:r>
            <w:r>
              <w:rPr>
                <w:shd w:val="clear" w:color="auto" w:fill="FFFFFF"/>
              </w:rPr>
              <w:t>无臭气体</w:t>
            </w:r>
            <w:r>
              <w:rPr>
                <w:rFonts w:hint="eastAsia"/>
                <w:shd w:val="clear" w:color="auto" w:fill="FFFFFF"/>
              </w:rPr>
              <w:t>。</w:t>
            </w:r>
          </w:p>
        </w:tc>
      </w:tr>
      <w:tr w14:paraId="42E8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127C25C5">
            <w:pPr>
              <w:pStyle w:val="557"/>
            </w:pPr>
          </w:p>
        </w:tc>
        <w:tc>
          <w:tcPr>
            <w:tcW w:w="1305" w:type="dxa"/>
            <w:vAlign w:val="center"/>
          </w:tcPr>
          <w:p w14:paraId="3FC1A878">
            <w:pPr>
              <w:pStyle w:val="557"/>
            </w:pPr>
            <w:r>
              <w:t>熔点（℃）</w:t>
            </w:r>
          </w:p>
        </w:tc>
        <w:tc>
          <w:tcPr>
            <w:tcW w:w="1149" w:type="dxa"/>
            <w:vAlign w:val="center"/>
          </w:tcPr>
          <w:p w14:paraId="0368DC63">
            <w:pPr>
              <w:pStyle w:val="557"/>
            </w:pPr>
            <w:r>
              <w:rPr>
                <w:rFonts w:hint="eastAsia"/>
              </w:rPr>
              <w:t>-182.5</w:t>
            </w:r>
          </w:p>
        </w:tc>
        <w:tc>
          <w:tcPr>
            <w:tcW w:w="1683" w:type="dxa"/>
            <w:gridSpan w:val="4"/>
            <w:vAlign w:val="center"/>
          </w:tcPr>
          <w:p w14:paraId="68DB7ECE">
            <w:pPr>
              <w:pStyle w:val="557"/>
            </w:pPr>
            <w:r>
              <w:t>相对密度（水=1）</w:t>
            </w:r>
          </w:p>
        </w:tc>
        <w:tc>
          <w:tcPr>
            <w:tcW w:w="898" w:type="dxa"/>
            <w:gridSpan w:val="2"/>
            <w:vAlign w:val="center"/>
          </w:tcPr>
          <w:p w14:paraId="479C918F">
            <w:pPr>
              <w:pStyle w:val="557"/>
            </w:pPr>
            <w:r>
              <w:rPr>
                <w:rFonts w:hint="eastAsia"/>
              </w:rPr>
              <w:t>0.415</w:t>
            </w:r>
          </w:p>
        </w:tc>
        <w:tc>
          <w:tcPr>
            <w:tcW w:w="1939" w:type="dxa"/>
            <w:gridSpan w:val="2"/>
            <w:vAlign w:val="center"/>
          </w:tcPr>
          <w:p w14:paraId="5C88E3EE">
            <w:pPr>
              <w:pStyle w:val="557"/>
            </w:pPr>
            <w:r>
              <w:t>相对密度（空气=1）</w:t>
            </w:r>
          </w:p>
        </w:tc>
        <w:tc>
          <w:tcPr>
            <w:tcW w:w="844" w:type="dxa"/>
            <w:vAlign w:val="center"/>
          </w:tcPr>
          <w:p w14:paraId="0A9CF828">
            <w:pPr>
              <w:pStyle w:val="557"/>
            </w:pPr>
            <w:r>
              <w:rPr>
                <w:rFonts w:hint="eastAsia"/>
              </w:rPr>
              <w:t>0.55</w:t>
            </w:r>
          </w:p>
        </w:tc>
      </w:tr>
      <w:tr w14:paraId="5BE3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788355EB">
            <w:pPr>
              <w:pStyle w:val="557"/>
            </w:pPr>
          </w:p>
        </w:tc>
        <w:tc>
          <w:tcPr>
            <w:tcW w:w="1305" w:type="dxa"/>
            <w:vAlign w:val="center"/>
          </w:tcPr>
          <w:p w14:paraId="61842396">
            <w:pPr>
              <w:pStyle w:val="557"/>
            </w:pPr>
            <w:r>
              <w:t>沸点（℃）</w:t>
            </w:r>
          </w:p>
        </w:tc>
        <w:tc>
          <w:tcPr>
            <w:tcW w:w="1149" w:type="dxa"/>
            <w:vAlign w:val="center"/>
          </w:tcPr>
          <w:p w14:paraId="25561E37">
            <w:pPr>
              <w:pStyle w:val="557"/>
            </w:pPr>
            <w:r>
              <w:rPr>
                <w:rFonts w:hint="eastAsia"/>
              </w:rPr>
              <w:t>-161.5</w:t>
            </w:r>
          </w:p>
        </w:tc>
        <w:tc>
          <w:tcPr>
            <w:tcW w:w="2581" w:type="dxa"/>
            <w:gridSpan w:val="6"/>
            <w:vAlign w:val="center"/>
          </w:tcPr>
          <w:p w14:paraId="73D1ECF5">
            <w:pPr>
              <w:pStyle w:val="557"/>
            </w:pPr>
            <w:r>
              <w:rPr>
                <w:rFonts w:hint="eastAsia"/>
              </w:rPr>
              <w:t>饱和蒸汽压</w:t>
            </w:r>
            <w:r>
              <w:t>（kPa）</w:t>
            </w:r>
          </w:p>
        </w:tc>
        <w:tc>
          <w:tcPr>
            <w:tcW w:w="2783" w:type="dxa"/>
            <w:gridSpan w:val="3"/>
            <w:vAlign w:val="center"/>
          </w:tcPr>
          <w:p w14:paraId="577C700F">
            <w:pPr>
              <w:pStyle w:val="557"/>
            </w:pPr>
            <w:r>
              <w:rPr>
                <w:rFonts w:hint="eastAsia"/>
              </w:rPr>
              <w:t>5.34×10</w:t>
            </w:r>
            <w:r>
              <w:rPr>
                <w:rFonts w:hint="eastAsia"/>
                <w:vertAlign w:val="superscript"/>
              </w:rPr>
              <w:t>-6</w:t>
            </w:r>
            <w:r>
              <w:t>/</w:t>
            </w:r>
            <w:r>
              <w:rPr>
                <w:rFonts w:hint="eastAsia"/>
              </w:rPr>
              <w:t>25</w:t>
            </w:r>
            <w:r>
              <w:t>℃</w:t>
            </w:r>
          </w:p>
        </w:tc>
      </w:tr>
      <w:tr w14:paraId="290D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4D99A2F3">
            <w:pPr>
              <w:pStyle w:val="557"/>
            </w:pPr>
          </w:p>
        </w:tc>
        <w:tc>
          <w:tcPr>
            <w:tcW w:w="1305" w:type="dxa"/>
            <w:vAlign w:val="center"/>
          </w:tcPr>
          <w:p w14:paraId="1A0D2503">
            <w:pPr>
              <w:pStyle w:val="557"/>
            </w:pPr>
            <w:r>
              <w:t>溶解性</w:t>
            </w:r>
          </w:p>
        </w:tc>
        <w:tc>
          <w:tcPr>
            <w:tcW w:w="6513" w:type="dxa"/>
            <w:gridSpan w:val="10"/>
            <w:vAlign w:val="center"/>
          </w:tcPr>
          <w:p w14:paraId="0551AAAD">
            <w:pPr>
              <w:pStyle w:val="557"/>
            </w:pPr>
            <w:r>
              <w:rPr>
                <w:rFonts w:hint="eastAsia"/>
              </w:rPr>
              <w:t>微溶于水，溶于醇、乙醚。</w:t>
            </w:r>
          </w:p>
        </w:tc>
      </w:tr>
      <w:tr w14:paraId="289E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restart"/>
            <w:vAlign w:val="center"/>
          </w:tcPr>
          <w:p w14:paraId="021D14D8">
            <w:pPr>
              <w:pStyle w:val="557"/>
            </w:pPr>
            <w:r>
              <w:t>毒性及健康危害</w:t>
            </w:r>
          </w:p>
        </w:tc>
        <w:tc>
          <w:tcPr>
            <w:tcW w:w="1305" w:type="dxa"/>
            <w:vAlign w:val="center"/>
          </w:tcPr>
          <w:p w14:paraId="30B55D24">
            <w:pPr>
              <w:pStyle w:val="557"/>
            </w:pPr>
            <w:r>
              <w:t>侵入途径</w:t>
            </w:r>
          </w:p>
        </w:tc>
        <w:tc>
          <w:tcPr>
            <w:tcW w:w="6513" w:type="dxa"/>
            <w:gridSpan w:val="10"/>
            <w:vAlign w:val="center"/>
          </w:tcPr>
          <w:p w14:paraId="38C2EA2C">
            <w:pPr>
              <w:pStyle w:val="557"/>
            </w:pPr>
            <w:r>
              <w:t>吸入。</w:t>
            </w:r>
          </w:p>
        </w:tc>
      </w:tr>
      <w:tr w14:paraId="5CC1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63638516">
            <w:pPr>
              <w:pStyle w:val="557"/>
            </w:pPr>
          </w:p>
        </w:tc>
        <w:tc>
          <w:tcPr>
            <w:tcW w:w="1305" w:type="dxa"/>
            <w:vAlign w:val="center"/>
          </w:tcPr>
          <w:p w14:paraId="7BF5971F">
            <w:pPr>
              <w:pStyle w:val="557"/>
            </w:pPr>
            <w:r>
              <w:t>毒性</w:t>
            </w:r>
          </w:p>
        </w:tc>
        <w:tc>
          <w:tcPr>
            <w:tcW w:w="6513" w:type="dxa"/>
            <w:gridSpan w:val="10"/>
            <w:vAlign w:val="center"/>
          </w:tcPr>
          <w:p w14:paraId="17B38350">
            <w:pPr>
              <w:pStyle w:val="557"/>
            </w:pPr>
            <w:r>
              <w:rPr>
                <w:rFonts w:hint="eastAsia"/>
              </w:rPr>
              <w:t>微毒。</w:t>
            </w:r>
            <w:r>
              <w:t>有单纯性窒息</w:t>
            </w:r>
            <w:r>
              <w:rPr>
                <w:rFonts w:hint="eastAsia"/>
              </w:rPr>
              <w:t>作用，</w:t>
            </w:r>
            <w:r>
              <w:t>在高浓度时因缺氧窒息而引起中毒</w:t>
            </w:r>
            <w:r>
              <w:rPr>
                <w:rFonts w:hint="eastAsia"/>
              </w:rPr>
              <w:t>。</w:t>
            </w:r>
          </w:p>
        </w:tc>
      </w:tr>
      <w:tr w14:paraId="6E9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01DBDD07">
            <w:pPr>
              <w:pStyle w:val="557"/>
            </w:pPr>
          </w:p>
        </w:tc>
        <w:tc>
          <w:tcPr>
            <w:tcW w:w="1305" w:type="dxa"/>
            <w:vAlign w:val="center"/>
          </w:tcPr>
          <w:p w14:paraId="6ABB0785">
            <w:pPr>
              <w:pStyle w:val="557"/>
            </w:pPr>
            <w:r>
              <w:t>健康危害</w:t>
            </w:r>
          </w:p>
        </w:tc>
        <w:tc>
          <w:tcPr>
            <w:tcW w:w="6513" w:type="dxa"/>
            <w:gridSpan w:val="10"/>
            <w:vAlign w:val="center"/>
          </w:tcPr>
          <w:p w14:paraId="241C5914">
            <w:pPr>
              <w:pStyle w:val="557"/>
            </w:pPr>
            <w:r>
              <w:rPr>
                <w:rFonts w:hint="eastAsia"/>
              </w:rPr>
              <w:t>-</w:t>
            </w:r>
          </w:p>
        </w:tc>
      </w:tr>
      <w:tr w14:paraId="7E9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777B84F0">
            <w:pPr>
              <w:pStyle w:val="557"/>
            </w:pPr>
          </w:p>
        </w:tc>
        <w:tc>
          <w:tcPr>
            <w:tcW w:w="1305" w:type="dxa"/>
            <w:vAlign w:val="center"/>
          </w:tcPr>
          <w:p w14:paraId="58A7D7E8">
            <w:pPr>
              <w:pStyle w:val="557"/>
            </w:pPr>
            <w:r>
              <w:t>急救方法</w:t>
            </w:r>
          </w:p>
        </w:tc>
        <w:tc>
          <w:tcPr>
            <w:tcW w:w="6513" w:type="dxa"/>
            <w:gridSpan w:val="10"/>
            <w:vAlign w:val="center"/>
          </w:tcPr>
          <w:p w14:paraId="3A12CEB3">
            <w:pPr>
              <w:pStyle w:val="557"/>
            </w:pPr>
            <w:r>
              <w:rPr>
                <w:rFonts w:hint="eastAsia"/>
              </w:rPr>
              <w:t>接触者立即脱离现场至空气新鲜处。吸入浓度高或有症状者给吸氧。对症处理。注意防治脑水肿。</w:t>
            </w:r>
          </w:p>
        </w:tc>
      </w:tr>
      <w:tr w14:paraId="635D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restart"/>
            <w:vAlign w:val="center"/>
          </w:tcPr>
          <w:p w14:paraId="098BE9BA">
            <w:pPr>
              <w:pStyle w:val="557"/>
            </w:pPr>
            <w:r>
              <w:t>燃烧爆炸危险性</w:t>
            </w:r>
          </w:p>
        </w:tc>
        <w:tc>
          <w:tcPr>
            <w:tcW w:w="1305" w:type="dxa"/>
            <w:vAlign w:val="center"/>
          </w:tcPr>
          <w:p w14:paraId="57924BAD">
            <w:pPr>
              <w:pStyle w:val="557"/>
            </w:pPr>
            <w:r>
              <w:t>燃烧性</w:t>
            </w:r>
          </w:p>
        </w:tc>
        <w:tc>
          <w:tcPr>
            <w:tcW w:w="1567" w:type="dxa"/>
            <w:gridSpan w:val="3"/>
            <w:vAlign w:val="center"/>
          </w:tcPr>
          <w:p w14:paraId="226E1426">
            <w:pPr>
              <w:pStyle w:val="557"/>
            </w:pPr>
            <w:r>
              <w:rPr>
                <w:rFonts w:hint="eastAsia"/>
              </w:rPr>
              <w:t>易</w:t>
            </w:r>
            <w:r>
              <w:t>燃</w:t>
            </w:r>
          </w:p>
        </w:tc>
        <w:tc>
          <w:tcPr>
            <w:tcW w:w="1945" w:type="dxa"/>
            <w:gridSpan w:val="3"/>
            <w:vAlign w:val="center"/>
          </w:tcPr>
          <w:p w14:paraId="7407C9A6">
            <w:pPr>
              <w:pStyle w:val="557"/>
            </w:pPr>
            <w:r>
              <w:t>燃烧分解物</w:t>
            </w:r>
          </w:p>
        </w:tc>
        <w:tc>
          <w:tcPr>
            <w:tcW w:w="3001" w:type="dxa"/>
            <w:gridSpan w:val="4"/>
            <w:vAlign w:val="center"/>
          </w:tcPr>
          <w:p w14:paraId="69CFC8F5">
            <w:pPr>
              <w:pStyle w:val="557"/>
            </w:pPr>
            <w:r>
              <w:rPr>
                <w:rFonts w:hint="eastAsia"/>
              </w:rPr>
              <w:t>一氧化碳、二氧化碳、水</w:t>
            </w:r>
          </w:p>
        </w:tc>
      </w:tr>
      <w:tr w14:paraId="02A9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0DB8E159">
            <w:pPr>
              <w:pStyle w:val="557"/>
            </w:pPr>
          </w:p>
        </w:tc>
        <w:tc>
          <w:tcPr>
            <w:tcW w:w="1305" w:type="dxa"/>
            <w:vAlign w:val="center"/>
          </w:tcPr>
          <w:p w14:paraId="08A9BDAC">
            <w:pPr>
              <w:pStyle w:val="557"/>
            </w:pPr>
            <w:r>
              <w:t>闪点（℃）</w:t>
            </w:r>
          </w:p>
        </w:tc>
        <w:tc>
          <w:tcPr>
            <w:tcW w:w="1567" w:type="dxa"/>
            <w:gridSpan w:val="3"/>
            <w:vAlign w:val="center"/>
          </w:tcPr>
          <w:p w14:paraId="72DE14A5">
            <w:pPr>
              <w:pStyle w:val="557"/>
            </w:pPr>
            <w:r>
              <w:rPr>
                <w:rFonts w:hint="eastAsia"/>
              </w:rPr>
              <w:t>-188</w:t>
            </w:r>
          </w:p>
        </w:tc>
        <w:tc>
          <w:tcPr>
            <w:tcW w:w="1945" w:type="dxa"/>
            <w:gridSpan w:val="3"/>
            <w:vAlign w:val="center"/>
          </w:tcPr>
          <w:p w14:paraId="4CCB01BD">
            <w:pPr>
              <w:pStyle w:val="557"/>
            </w:pPr>
            <w:r>
              <w:t>爆炸上限（v%）</w:t>
            </w:r>
          </w:p>
        </w:tc>
        <w:tc>
          <w:tcPr>
            <w:tcW w:w="3001" w:type="dxa"/>
            <w:gridSpan w:val="4"/>
            <w:vAlign w:val="center"/>
          </w:tcPr>
          <w:p w14:paraId="230E9CFC">
            <w:pPr>
              <w:pStyle w:val="557"/>
            </w:pPr>
            <w:r>
              <w:rPr>
                <w:rFonts w:hint="eastAsia"/>
              </w:rPr>
              <w:t>14</w:t>
            </w:r>
          </w:p>
        </w:tc>
      </w:tr>
      <w:tr w14:paraId="26FF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2DC58DF3">
            <w:pPr>
              <w:pStyle w:val="557"/>
            </w:pPr>
          </w:p>
        </w:tc>
        <w:tc>
          <w:tcPr>
            <w:tcW w:w="1305" w:type="dxa"/>
            <w:vAlign w:val="center"/>
          </w:tcPr>
          <w:p w14:paraId="0EE35FD3">
            <w:pPr>
              <w:pStyle w:val="557"/>
            </w:pPr>
            <w:r>
              <w:t>引燃温度（℃）</w:t>
            </w:r>
          </w:p>
        </w:tc>
        <w:tc>
          <w:tcPr>
            <w:tcW w:w="1567" w:type="dxa"/>
            <w:gridSpan w:val="3"/>
            <w:vAlign w:val="center"/>
          </w:tcPr>
          <w:p w14:paraId="43DFE324">
            <w:pPr>
              <w:pStyle w:val="557"/>
            </w:pPr>
            <w:r>
              <w:rPr>
                <w:rFonts w:hint="eastAsia"/>
              </w:rPr>
              <w:t>482-632</w:t>
            </w:r>
          </w:p>
        </w:tc>
        <w:tc>
          <w:tcPr>
            <w:tcW w:w="1945" w:type="dxa"/>
            <w:gridSpan w:val="3"/>
            <w:vAlign w:val="center"/>
          </w:tcPr>
          <w:p w14:paraId="7F19AC79">
            <w:pPr>
              <w:pStyle w:val="557"/>
            </w:pPr>
            <w:r>
              <w:t>爆炸下限（v%）</w:t>
            </w:r>
          </w:p>
        </w:tc>
        <w:tc>
          <w:tcPr>
            <w:tcW w:w="3001" w:type="dxa"/>
            <w:gridSpan w:val="4"/>
            <w:vAlign w:val="center"/>
          </w:tcPr>
          <w:p w14:paraId="16FA9A57">
            <w:pPr>
              <w:pStyle w:val="557"/>
            </w:pPr>
            <w:r>
              <w:rPr>
                <w:rFonts w:hint="eastAsia"/>
              </w:rPr>
              <w:t>5.3</w:t>
            </w:r>
          </w:p>
        </w:tc>
      </w:tr>
      <w:tr w14:paraId="1B1F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3CEEE7A4">
            <w:pPr>
              <w:pStyle w:val="557"/>
            </w:pPr>
          </w:p>
        </w:tc>
        <w:tc>
          <w:tcPr>
            <w:tcW w:w="1305" w:type="dxa"/>
            <w:vAlign w:val="center"/>
          </w:tcPr>
          <w:p w14:paraId="34396010">
            <w:pPr>
              <w:pStyle w:val="557"/>
            </w:pPr>
            <w:r>
              <w:t>建规火险分级</w:t>
            </w:r>
          </w:p>
        </w:tc>
        <w:tc>
          <w:tcPr>
            <w:tcW w:w="1567" w:type="dxa"/>
            <w:gridSpan w:val="3"/>
            <w:vAlign w:val="center"/>
          </w:tcPr>
          <w:p w14:paraId="1827055B">
            <w:pPr>
              <w:pStyle w:val="557"/>
            </w:pPr>
            <w:r>
              <w:rPr>
                <w:rFonts w:hint="eastAsia"/>
              </w:rPr>
              <w:t>甲</w:t>
            </w:r>
          </w:p>
        </w:tc>
        <w:tc>
          <w:tcPr>
            <w:tcW w:w="972" w:type="dxa"/>
            <w:vAlign w:val="center"/>
          </w:tcPr>
          <w:p w14:paraId="2C0528BC">
            <w:pPr>
              <w:pStyle w:val="557"/>
            </w:pPr>
            <w:r>
              <w:t>稳定性</w:t>
            </w:r>
          </w:p>
        </w:tc>
        <w:tc>
          <w:tcPr>
            <w:tcW w:w="973" w:type="dxa"/>
            <w:gridSpan w:val="2"/>
            <w:vAlign w:val="center"/>
          </w:tcPr>
          <w:p w14:paraId="5CF8825F">
            <w:pPr>
              <w:pStyle w:val="557"/>
            </w:pPr>
            <w:r>
              <w:t>稳定</w:t>
            </w:r>
          </w:p>
        </w:tc>
        <w:tc>
          <w:tcPr>
            <w:tcW w:w="1498" w:type="dxa"/>
            <w:gridSpan w:val="2"/>
            <w:vAlign w:val="center"/>
          </w:tcPr>
          <w:p w14:paraId="44AE5AB1">
            <w:pPr>
              <w:pStyle w:val="557"/>
            </w:pPr>
            <w:r>
              <w:t>聚合危害</w:t>
            </w:r>
          </w:p>
        </w:tc>
        <w:tc>
          <w:tcPr>
            <w:tcW w:w="1503" w:type="dxa"/>
            <w:gridSpan w:val="2"/>
            <w:vAlign w:val="center"/>
          </w:tcPr>
          <w:p w14:paraId="6FDA0C85">
            <w:pPr>
              <w:pStyle w:val="557"/>
            </w:pPr>
            <w:r>
              <w:t>不能出现</w:t>
            </w:r>
          </w:p>
        </w:tc>
      </w:tr>
      <w:tr w14:paraId="555F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15AC596B">
            <w:pPr>
              <w:pStyle w:val="557"/>
            </w:pPr>
          </w:p>
        </w:tc>
        <w:tc>
          <w:tcPr>
            <w:tcW w:w="1305" w:type="dxa"/>
            <w:vAlign w:val="center"/>
          </w:tcPr>
          <w:p w14:paraId="0FEF16F8">
            <w:pPr>
              <w:pStyle w:val="557"/>
            </w:pPr>
            <w:r>
              <w:t>禁忌物</w:t>
            </w:r>
          </w:p>
        </w:tc>
        <w:tc>
          <w:tcPr>
            <w:tcW w:w="6513" w:type="dxa"/>
            <w:gridSpan w:val="10"/>
            <w:vAlign w:val="center"/>
          </w:tcPr>
          <w:p w14:paraId="6250EB4D">
            <w:pPr>
              <w:pStyle w:val="557"/>
            </w:pPr>
            <w:r>
              <w:rPr>
                <w:rFonts w:hint="eastAsia"/>
              </w:rPr>
              <w:t>强氧化剂、卤素</w:t>
            </w:r>
            <w:r>
              <w:t>。</w:t>
            </w:r>
          </w:p>
        </w:tc>
      </w:tr>
      <w:tr w14:paraId="7695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5B1C998B">
            <w:pPr>
              <w:pStyle w:val="557"/>
            </w:pPr>
          </w:p>
        </w:tc>
        <w:tc>
          <w:tcPr>
            <w:tcW w:w="1305" w:type="dxa"/>
            <w:vAlign w:val="center"/>
          </w:tcPr>
          <w:p w14:paraId="733B6008">
            <w:pPr>
              <w:pStyle w:val="557"/>
            </w:pPr>
            <w:r>
              <w:t>危险特性</w:t>
            </w:r>
          </w:p>
        </w:tc>
        <w:tc>
          <w:tcPr>
            <w:tcW w:w="6513" w:type="dxa"/>
            <w:gridSpan w:val="10"/>
            <w:vAlign w:val="center"/>
          </w:tcPr>
          <w:p w14:paraId="47DFFA62">
            <w:pPr>
              <w:pStyle w:val="557"/>
              <w:rPr>
                <w:rFonts w:hint="eastAsia" w:ascii="Wingdings 2" w:hAnsi="Wingdings 2"/>
              </w:rPr>
            </w:pPr>
            <w:r>
              <w:t>易燃，与空气混合能形成爆炸性混合物，遇热源和明火有燃烧爆炸的危险。与五氧化溴、氯气、次氯酸、三氟化氮、液氧、二氟化氧</w:t>
            </w:r>
            <w:r>
              <w:rPr>
                <w:rFonts w:hint="eastAsia"/>
              </w:rPr>
              <w:t>及其他</w:t>
            </w:r>
            <w:r>
              <w:t>强氧化剂接触发生剧烈化学反应。若遇高热，容器内压增大，有开裂和爆炸的危险。</w:t>
            </w:r>
          </w:p>
        </w:tc>
      </w:tr>
      <w:tr w14:paraId="281A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5A0199CF">
            <w:pPr>
              <w:pStyle w:val="557"/>
            </w:pPr>
          </w:p>
        </w:tc>
        <w:tc>
          <w:tcPr>
            <w:tcW w:w="1305" w:type="dxa"/>
            <w:vAlign w:val="center"/>
          </w:tcPr>
          <w:p w14:paraId="0A768221">
            <w:pPr>
              <w:pStyle w:val="557"/>
            </w:pPr>
            <w:r>
              <w:t>储运条件</w:t>
            </w:r>
          </w:p>
          <w:p w14:paraId="7F6ADCFD">
            <w:pPr>
              <w:pStyle w:val="557"/>
            </w:pPr>
            <w:r>
              <w:t>与泄漏处理</w:t>
            </w:r>
          </w:p>
        </w:tc>
        <w:tc>
          <w:tcPr>
            <w:tcW w:w="6513" w:type="dxa"/>
            <w:gridSpan w:val="10"/>
            <w:vAlign w:val="center"/>
          </w:tcPr>
          <w:p w14:paraId="41ACCE2C">
            <w:pPr>
              <w:pStyle w:val="557"/>
            </w:pPr>
            <w:r>
              <w:t>储存条件：</w:t>
            </w:r>
            <w:r>
              <w:rPr>
                <w:rFonts w:hint="eastAsia"/>
              </w:rPr>
              <w:t>包装标志：易燃气体。包装方法：钢瓶或大型气柜。储运条件：液化天然气应在大气压下稍高于沸点温度（液化天然气为-160℃）下用绝缘槽车或槽式驳船运输。用大型保温气柜在接近大气压并在相应的低温（-160至-164℃）时储存。远离火源和热源。并备有防泄漏的专门仪器。钢瓶应储存在阴凉、通风良好的不燃材料结构的库房。与五氟化溴、氯气、二氧化氯、三氟化氮、液氧、二氟化氧、氧化剂隔离储运。</w:t>
            </w:r>
          </w:p>
          <w:p w14:paraId="1D6E35FE">
            <w:pPr>
              <w:pStyle w:val="557"/>
            </w:pPr>
            <w:r>
              <w:t>泄漏处理：</w:t>
            </w:r>
            <w:r>
              <w:rPr>
                <w:rFonts w:hint="eastAsia"/>
              </w:rPr>
              <w:t>对钢瓶泄漏的气体用排风机排送至空旷地方放出或装置煤气喷头烧掉。</w:t>
            </w:r>
          </w:p>
        </w:tc>
      </w:tr>
      <w:tr w14:paraId="2E8B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04" w:type="dxa"/>
            <w:vMerge w:val="continue"/>
            <w:vAlign w:val="center"/>
          </w:tcPr>
          <w:p w14:paraId="0C684691">
            <w:pPr>
              <w:pStyle w:val="557"/>
            </w:pPr>
          </w:p>
        </w:tc>
        <w:tc>
          <w:tcPr>
            <w:tcW w:w="1305" w:type="dxa"/>
            <w:vAlign w:val="center"/>
          </w:tcPr>
          <w:p w14:paraId="1767EA77">
            <w:pPr>
              <w:pStyle w:val="557"/>
            </w:pPr>
            <w:r>
              <w:t>灭火方法</w:t>
            </w:r>
          </w:p>
        </w:tc>
        <w:tc>
          <w:tcPr>
            <w:tcW w:w="6513" w:type="dxa"/>
            <w:gridSpan w:val="10"/>
            <w:vAlign w:val="center"/>
          </w:tcPr>
          <w:p w14:paraId="089A9D24">
            <w:pPr>
              <w:pStyle w:val="557"/>
            </w:pPr>
            <w:r>
              <w:rPr>
                <w:rFonts w:hint="eastAsia"/>
              </w:rPr>
              <w:t>泄漏出的液体如未燃着，可用水喷淋驱散气体，防止引燃着火，最好用水喷淋使泄漏液体迅速蒸发，但蒸发速度要加以控制，不可将固体冰晶射至液化天然气上。如果液化天然气已被引燃，用水喷淋保持火场容器与设备冷却，并用水喷淋保护堵漏的人员。如果是少量泄漏，应首先切断气路，用碳酸氢钠、碳酸氢钾、磷酸二氢铵等化学干粉、二氧化碳或卤代烃等灭火。</w:t>
            </w:r>
          </w:p>
        </w:tc>
      </w:tr>
    </w:tbl>
    <w:p w14:paraId="2D47D717">
      <w:pPr>
        <w:pStyle w:val="645"/>
        <w:rPr>
          <w:rFonts w:hint="eastAsia"/>
        </w:rPr>
      </w:pPr>
    </w:p>
    <w:p w14:paraId="38136B04">
      <w:pPr>
        <w:pStyle w:val="645"/>
        <w:rPr>
          <w:rFonts w:hint="eastAsia"/>
        </w:rPr>
      </w:pPr>
      <w:r>
        <w:rPr>
          <w:rFonts w:hint="eastAsia"/>
        </w:rPr>
        <w:t>表7.2</w:t>
      </w:r>
      <w:r>
        <w:t>.1</w:t>
      </w:r>
      <w:r>
        <w:rPr>
          <w:rFonts w:hint="eastAsia"/>
        </w:rPr>
        <w:t>-4</w:t>
      </w:r>
      <w:r>
        <w:t xml:space="preserve">    </w:t>
      </w:r>
      <w:r>
        <w:rPr>
          <w:rFonts w:hint="eastAsia"/>
        </w:rPr>
        <w:t>氢氧化钠的理化性质及危险特性表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544"/>
        <w:gridCol w:w="2405"/>
        <w:gridCol w:w="851"/>
        <w:gridCol w:w="2031"/>
      </w:tblGrid>
      <w:tr w14:paraId="37FB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Align w:val="center"/>
          </w:tcPr>
          <w:p w14:paraId="5BFD543D">
            <w:pPr>
              <w:pStyle w:val="557"/>
            </w:pPr>
            <w:r>
              <w:t>标识</w:t>
            </w:r>
          </w:p>
        </w:tc>
        <w:tc>
          <w:tcPr>
            <w:tcW w:w="7847" w:type="dxa"/>
            <w:gridSpan w:val="4"/>
            <w:vAlign w:val="center"/>
          </w:tcPr>
          <w:p w14:paraId="2095958F">
            <w:pPr>
              <w:pStyle w:val="557"/>
            </w:pPr>
            <w:r>
              <w:t>中文名称；氢氧化钠；英文名称：sodiunhydroxide；分子式：NaOH；</w:t>
            </w:r>
          </w:p>
          <w:p w14:paraId="259749EB">
            <w:pPr>
              <w:pStyle w:val="557"/>
            </w:pPr>
            <w:r>
              <w:t>危险性类别：第8.2类碱性腐蚀品；CAS号：1310-73-2；分子量：40.01</w:t>
            </w:r>
          </w:p>
        </w:tc>
      </w:tr>
      <w:tr w14:paraId="304D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Align w:val="center"/>
          </w:tcPr>
          <w:p w14:paraId="49768A86">
            <w:pPr>
              <w:pStyle w:val="557"/>
            </w:pPr>
            <w:r>
              <w:t>理化性质</w:t>
            </w:r>
          </w:p>
        </w:tc>
        <w:tc>
          <w:tcPr>
            <w:tcW w:w="7847" w:type="dxa"/>
            <w:gridSpan w:val="4"/>
            <w:vAlign w:val="center"/>
          </w:tcPr>
          <w:p w14:paraId="63AD0401">
            <w:pPr>
              <w:pStyle w:val="557"/>
            </w:pPr>
            <w:r>
              <w:t>外观与性状：无色液体；熔点（℃）：318.4；沸点（℃）：1390；</w:t>
            </w:r>
          </w:p>
          <w:p w14:paraId="7F7F8595">
            <w:pPr>
              <w:pStyle w:val="557"/>
            </w:pPr>
            <w:r>
              <w:rPr>
                <w:rFonts w:hint="eastAsia"/>
              </w:rPr>
              <w:t>饱和蒸汽</w:t>
            </w:r>
            <w:r>
              <w:t>压（kPa）：（0.13）739℃；临界温度（℃）：无；</w:t>
            </w:r>
          </w:p>
          <w:p w14:paraId="5A34A28F">
            <w:pPr>
              <w:pStyle w:val="557"/>
            </w:pPr>
            <w:r>
              <w:t>临界压力（MPa）：无；相对密度(水=1)：2.12；烧热（kJ／mol）：无意义；溶解性：易溶于水、乙醇、甘油，不溶于丙酮。</w:t>
            </w:r>
          </w:p>
        </w:tc>
      </w:tr>
      <w:tr w14:paraId="14C3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Merge w:val="restart"/>
            <w:vAlign w:val="center"/>
          </w:tcPr>
          <w:p w14:paraId="1A7D8F67">
            <w:pPr>
              <w:pStyle w:val="557"/>
            </w:pPr>
            <w:r>
              <w:t>燃烧爆炸危险性</w:t>
            </w:r>
          </w:p>
        </w:tc>
        <w:tc>
          <w:tcPr>
            <w:tcW w:w="5812" w:type="dxa"/>
            <w:gridSpan w:val="3"/>
            <w:vAlign w:val="center"/>
          </w:tcPr>
          <w:p w14:paraId="5DF31A8A">
            <w:pPr>
              <w:pStyle w:val="557"/>
            </w:pPr>
            <w:r>
              <w:t>燃烧性：本品不燃，具强腐蚀性、强刺激性，可致人体灼伤。</w:t>
            </w:r>
          </w:p>
        </w:tc>
        <w:tc>
          <w:tcPr>
            <w:tcW w:w="2035" w:type="dxa"/>
            <w:vAlign w:val="center"/>
          </w:tcPr>
          <w:p w14:paraId="524DFBD8">
            <w:pPr>
              <w:pStyle w:val="557"/>
            </w:pPr>
            <w:r>
              <w:t>闪点（℃）：无意义</w:t>
            </w:r>
          </w:p>
        </w:tc>
      </w:tr>
      <w:tr w14:paraId="5FEE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Merge w:val="continue"/>
            <w:vAlign w:val="center"/>
          </w:tcPr>
          <w:p w14:paraId="2941FDA5">
            <w:pPr>
              <w:pStyle w:val="557"/>
            </w:pPr>
          </w:p>
        </w:tc>
        <w:tc>
          <w:tcPr>
            <w:tcW w:w="2549" w:type="dxa"/>
            <w:vAlign w:val="center"/>
          </w:tcPr>
          <w:p w14:paraId="63AC7A88">
            <w:pPr>
              <w:pStyle w:val="557"/>
            </w:pPr>
            <w:r>
              <w:t>引燃温度（℃）：无意义</w:t>
            </w:r>
          </w:p>
        </w:tc>
        <w:tc>
          <w:tcPr>
            <w:tcW w:w="2410" w:type="dxa"/>
            <w:vAlign w:val="center"/>
          </w:tcPr>
          <w:p w14:paraId="6AE59A35">
            <w:pPr>
              <w:pStyle w:val="557"/>
            </w:pPr>
            <w:r>
              <w:t>爆炸下限（%）：无意义</w:t>
            </w:r>
          </w:p>
        </w:tc>
        <w:tc>
          <w:tcPr>
            <w:tcW w:w="2888" w:type="dxa"/>
            <w:gridSpan w:val="2"/>
            <w:vAlign w:val="center"/>
          </w:tcPr>
          <w:p w14:paraId="0559C530">
            <w:pPr>
              <w:pStyle w:val="557"/>
            </w:pPr>
            <w:r>
              <w:t>爆炸上限（%）：无意义</w:t>
            </w:r>
          </w:p>
        </w:tc>
      </w:tr>
      <w:tr w14:paraId="6862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Merge w:val="continue"/>
            <w:vAlign w:val="center"/>
          </w:tcPr>
          <w:p w14:paraId="5C8448C7">
            <w:pPr>
              <w:pStyle w:val="557"/>
            </w:pPr>
          </w:p>
        </w:tc>
        <w:tc>
          <w:tcPr>
            <w:tcW w:w="7847" w:type="dxa"/>
            <w:gridSpan w:val="4"/>
            <w:vAlign w:val="center"/>
          </w:tcPr>
          <w:p w14:paraId="59E8ECDB">
            <w:pPr>
              <w:pStyle w:val="557"/>
            </w:pPr>
            <w:r>
              <w:t>危险特性：与酸发生中和反应并放热，遇潮时对铝、锌和锡有腐蚀性，并放出易燃易爆的氢气，本品不会燃烧，遇水和水蒸气大量放热，形成腐蚀性溶液，具有强腐蚀性。</w:t>
            </w:r>
          </w:p>
          <w:p w14:paraId="57D38358">
            <w:pPr>
              <w:pStyle w:val="557"/>
            </w:pPr>
            <w:r>
              <w:t>消防措施：用水、砂土扑救，但须防止物品遇水产生飞溅，造成灼伤。</w:t>
            </w:r>
          </w:p>
        </w:tc>
      </w:tr>
      <w:tr w14:paraId="58B4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Align w:val="center"/>
          </w:tcPr>
          <w:p w14:paraId="2DD9532E">
            <w:pPr>
              <w:pStyle w:val="557"/>
            </w:pPr>
            <w:r>
              <w:t>毒性</w:t>
            </w:r>
          </w:p>
        </w:tc>
        <w:tc>
          <w:tcPr>
            <w:tcW w:w="7847" w:type="dxa"/>
            <w:gridSpan w:val="4"/>
            <w:vAlign w:val="center"/>
          </w:tcPr>
          <w:p w14:paraId="0558CC3A">
            <w:pPr>
              <w:pStyle w:val="557"/>
            </w:pPr>
            <w:r>
              <w:t>急性毒性LD</w:t>
            </w:r>
            <w:r>
              <w:rPr>
                <w:vertAlign w:val="subscript"/>
              </w:rPr>
              <w:t>50</w:t>
            </w:r>
            <w:r>
              <w:t>：无资料；LC</w:t>
            </w:r>
            <w:r>
              <w:rPr>
                <w:vertAlign w:val="subscript"/>
              </w:rPr>
              <w:t>50</w:t>
            </w:r>
            <w:r>
              <w:t>：无资料毒性：Ⅳ级毒物，MAC：2</w:t>
            </w:r>
          </w:p>
          <w:p w14:paraId="3A9F8F9B">
            <w:pPr>
              <w:pStyle w:val="557"/>
            </w:pPr>
            <w:r>
              <w:t>最高容许浓度：中国MAC(mg/m</w:t>
            </w:r>
            <w:r>
              <w:rPr>
                <w:vertAlign w:val="superscript"/>
              </w:rPr>
              <w:t>3</w:t>
            </w:r>
            <w:r>
              <w:t>)：0.5；前苏联MAC(mg/m</w:t>
            </w:r>
            <w:r>
              <w:rPr>
                <w:vertAlign w:val="superscript"/>
              </w:rPr>
              <w:t>3</w:t>
            </w:r>
            <w:r>
              <w:t>)：0.5</w:t>
            </w:r>
          </w:p>
          <w:p w14:paraId="1655128A">
            <w:pPr>
              <w:pStyle w:val="557"/>
            </w:pPr>
            <w:r>
              <w:t>健康危害：本品有强烈刺激和腐蚀性，粉尘刺激眼和呼吸道，腐蚀鼻中隔；皮肤和眼直接接触可引起灼伤，误服可造成消化道灼伤，黏膜糜烂、出血和休克。</w:t>
            </w:r>
          </w:p>
        </w:tc>
      </w:tr>
      <w:tr w14:paraId="02FF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Align w:val="center"/>
          </w:tcPr>
          <w:p w14:paraId="32071717">
            <w:pPr>
              <w:pStyle w:val="557"/>
            </w:pPr>
            <w:r>
              <w:t>急救措施</w:t>
            </w:r>
          </w:p>
        </w:tc>
        <w:tc>
          <w:tcPr>
            <w:tcW w:w="7847" w:type="dxa"/>
            <w:gridSpan w:val="4"/>
            <w:vAlign w:val="center"/>
          </w:tcPr>
          <w:p w14:paraId="550DAE29">
            <w:pPr>
              <w:pStyle w:val="557"/>
            </w:pPr>
            <w:r>
              <w:t>皮肤接触：立即脱去污染的衣着，用大量流动清水冲洗至少15分钟；就医。</w:t>
            </w:r>
          </w:p>
          <w:p w14:paraId="08DF4ED0">
            <w:pPr>
              <w:pStyle w:val="557"/>
            </w:pPr>
            <w:r>
              <w:t>眼睛接触：立即提起眼睑，用大量流动清水或生理盐水彻底冲洗至少15分钟；就医。吸入：迅速脱离现场至空气新鲜处，保持呼吸道通畅，如呼吸困难，给输氧，如呼吸停止，立即进行人工呼吸；就医。</w:t>
            </w:r>
          </w:p>
          <w:p w14:paraId="79DF34F6">
            <w:pPr>
              <w:pStyle w:val="557"/>
            </w:pPr>
            <w:r>
              <w:t>食入：用水漱口，给饮牛奶或蛋清，就医。</w:t>
            </w:r>
          </w:p>
        </w:tc>
      </w:tr>
      <w:tr w14:paraId="6BCB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Merge w:val="restart"/>
            <w:vAlign w:val="center"/>
          </w:tcPr>
          <w:p w14:paraId="266D29E9">
            <w:pPr>
              <w:pStyle w:val="557"/>
            </w:pPr>
            <w:r>
              <w:t>贮运条件</w:t>
            </w:r>
          </w:p>
        </w:tc>
        <w:tc>
          <w:tcPr>
            <w:tcW w:w="7847" w:type="dxa"/>
            <w:gridSpan w:val="4"/>
            <w:vAlign w:val="center"/>
          </w:tcPr>
          <w:p w14:paraId="44EDA477">
            <w:pPr>
              <w:pStyle w:val="557"/>
            </w:pPr>
            <w:r>
              <w:t>危规号：82001；UN编号：1823；包装标志：20；包装类别：‖类</w:t>
            </w:r>
          </w:p>
        </w:tc>
      </w:tr>
      <w:tr w14:paraId="4B7B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Merge w:val="continue"/>
            <w:vAlign w:val="center"/>
          </w:tcPr>
          <w:p w14:paraId="7117ECDA">
            <w:pPr>
              <w:pStyle w:val="557"/>
            </w:pPr>
          </w:p>
        </w:tc>
        <w:tc>
          <w:tcPr>
            <w:tcW w:w="7847" w:type="dxa"/>
            <w:gridSpan w:val="4"/>
            <w:vAlign w:val="center"/>
          </w:tcPr>
          <w:p w14:paraId="3DE669F2">
            <w:pPr>
              <w:pStyle w:val="557"/>
            </w:pPr>
            <w:r>
              <w:t>储存于干燥清洁的仓间内，注意防潮和雨淋，应与易燃或可燃物及酸类分开存放。分装和搬运作业要注意个人防护。搬运时要轻装轻卸，防止包装及容器损坏。雨天不宜运输。</w:t>
            </w:r>
          </w:p>
        </w:tc>
      </w:tr>
      <w:tr w14:paraId="7171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dxa"/>
            <w:vAlign w:val="center"/>
          </w:tcPr>
          <w:p w14:paraId="5288FA1D">
            <w:pPr>
              <w:pStyle w:val="557"/>
            </w:pPr>
            <w:r>
              <w:t>泄漏处理</w:t>
            </w:r>
          </w:p>
        </w:tc>
        <w:tc>
          <w:tcPr>
            <w:tcW w:w="7847" w:type="dxa"/>
            <w:gridSpan w:val="4"/>
            <w:vAlign w:val="center"/>
          </w:tcPr>
          <w:p w14:paraId="6BF00160">
            <w:pPr>
              <w:pStyle w:val="557"/>
            </w:pPr>
            <w:r>
              <w:t>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tc>
      </w:tr>
    </w:tbl>
    <w:p w14:paraId="312250C6">
      <w:pPr>
        <w:pStyle w:val="645"/>
        <w:rPr>
          <w:rFonts w:hint="eastAsia"/>
        </w:rPr>
      </w:pPr>
      <w:r>
        <w:rPr>
          <w:rFonts w:hint="eastAsia"/>
        </w:rPr>
        <w:t xml:space="preserve">表 </w:t>
      </w:r>
      <w:r>
        <w:t>7.2.1-</w:t>
      </w:r>
      <w:r>
        <w:rPr>
          <w:rFonts w:hint="eastAsia"/>
        </w:rPr>
        <w:t>5</w:t>
      </w:r>
      <w:r>
        <w:t xml:space="preserve">    </w:t>
      </w:r>
      <w:r>
        <w:rPr>
          <w:rFonts w:hint="eastAsia"/>
        </w:rPr>
        <w:t>盐酸的理化性质及危险特性表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2203"/>
        <w:gridCol w:w="2796"/>
        <w:gridCol w:w="2909"/>
      </w:tblGrid>
      <w:tr w14:paraId="0BEB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0C81892F">
            <w:pPr>
              <w:pStyle w:val="557"/>
            </w:pPr>
            <w:r>
              <w:rPr>
                <w:rFonts w:hint="eastAsia"/>
              </w:rPr>
              <w:t>标识</w:t>
            </w:r>
          </w:p>
        </w:tc>
        <w:tc>
          <w:tcPr>
            <w:tcW w:w="7714" w:type="dxa"/>
            <w:gridSpan w:val="3"/>
            <w:vAlign w:val="center"/>
          </w:tcPr>
          <w:p w14:paraId="60788DF7">
            <w:pPr>
              <w:pStyle w:val="557"/>
            </w:pPr>
            <w:r>
              <w:rPr>
                <w:rFonts w:hint="eastAsia"/>
              </w:rPr>
              <w:t>中文名称：盐酸；英文名称：Hydrochloric Chlorohydric acid；别名：氢氯酸；分子式：HCl；分子量：36.46；化学类别：无机酸；危险性类别：酸性腐蚀品；CAS号：7647-01-0；危险货物编号：81013；UN编号：1789（溶液）</w:t>
            </w:r>
          </w:p>
        </w:tc>
      </w:tr>
      <w:tr w14:paraId="33E5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55016E62">
            <w:pPr>
              <w:pStyle w:val="557"/>
            </w:pPr>
            <w:r>
              <w:rPr>
                <w:rFonts w:hint="eastAsia"/>
              </w:rPr>
              <w:t>理化性质</w:t>
            </w:r>
          </w:p>
        </w:tc>
        <w:tc>
          <w:tcPr>
            <w:tcW w:w="7714" w:type="dxa"/>
            <w:gridSpan w:val="3"/>
            <w:vAlign w:val="center"/>
          </w:tcPr>
          <w:p w14:paraId="32F4818A">
            <w:pPr>
              <w:pStyle w:val="557"/>
            </w:pPr>
            <w:r>
              <w:rPr>
                <w:rFonts w:hint="eastAsia"/>
              </w:rPr>
              <w:t>熔点：-114.8℃（纯）；沸点：108.6℃（20%）；饱和蒸气压(kPa)：30．66／21℃；</w:t>
            </w:r>
          </w:p>
          <w:p w14:paraId="691A6019">
            <w:pPr>
              <w:pStyle w:val="557"/>
            </w:pPr>
            <w:r>
              <w:rPr>
                <w:rFonts w:hint="eastAsia"/>
              </w:rPr>
              <w:t>外观与性状：无色或微黄色发烟液体，有刺鼻的酸味；溶解性：与水混溶，溶于碱液；主要用途：重要的无机化工原料，广泛用于染料、医药、食品、印染、皮革、冶金等行业；相对密度（水=1）：1.20；相对密度（空气=1）：1.26</w:t>
            </w:r>
          </w:p>
        </w:tc>
      </w:tr>
      <w:tr w14:paraId="0289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Merge w:val="restart"/>
            <w:vAlign w:val="center"/>
          </w:tcPr>
          <w:p w14:paraId="0AFFC67D">
            <w:pPr>
              <w:pStyle w:val="557"/>
            </w:pPr>
            <w:r>
              <w:rPr>
                <w:rFonts w:hint="eastAsia"/>
              </w:rPr>
              <w:t>燃爆特性与消</w:t>
            </w:r>
          </w:p>
        </w:tc>
        <w:tc>
          <w:tcPr>
            <w:tcW w:w="2149" w:type="dxa"/>
            <w:vAlign w:val="center"/>
          </w:tcPr>
          <w:p w14:paraId="116E5F49">
            <w:pPr>
              <w:pStyle w:val="557"/>
            </w:pPr>
            <w:r>
              <w:rPr>
                <w:rFonts w:hint="eastAsia"/>
              </w:rPr>
              <w:t>燃烧性：不燃</w:t>
            </w:r>
          </w:p>
        </w:tc>
        <w:tc>
          <w:tcPr>
            <w:tcW w:w="2727" w:type="dxa"/>
            <w:vAlign w:val="center"/>
          </w:tcPr>
          <w:p w14:paraId="524A3DFF">
            <w:pPr>
              <w:pStyle w:val="557"/>
            </w:pPr>
            <w:r>
              <w:rPr>
                <w:rFonts w:hint="eastAsia"/>
              </w:rPr>
              <w:t>燃烧（分解）产物：氯化氢</w:t>
            </w:r>
          </w:p>
        </w:tc>
        <w:tc>
          <w:tcPr>
            <w:tcW w:w="2838" w:type="dxa"/>
            <w:vAlign w:val="center"/>
          </w:tcPr>
          <w:p w14:paraId="05394E9C">
            <w:pPr>
              <w:pStyle w:val="557"/>
            </w:pPr>
            <w:r>
              <w:rPr>
                <w:rFonts w:hint="eastAsia"/>
              </w:rPr>
              <w:t>聚合危害：不能出现</w:t>
            </w:r>
          </w:p>
        </w:tc>
      </w:tr>
      <w:tr w14:paraId="0892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Merge w:val="continue"/>
            <w:vAlign w:val="center"/>
          </w:tcPr>
          <w:p w14:paraId="6CC864D4">
            <w:pPr>
              <w:pStyle w:val="557"/>
            </w:pPr>
          </w:p>
        </w:tc>
        <w:tc>
          <w:tcPr>
            <w:tcW w:w="4876" w:type="dxa"/>
            <w:gridSpan w:val="2"/>
            <w:vAlign w:val="center"/>
          </w:tcPr>
          <w:p w14:paraId="5ED1042A">
            <w:pPr>
              <w:pStyle w:val="557"/>
            </w:pPr>
            <w:r>
              <w:rPr>
                <w:rFonts w:hint="eastAsia"/>
              </w:rPr>
              <w:t>禁忌物：碱类、胺类、碱金属、易燃或可燃物。</w:t>
            </w:r>
          </w:p>
        </w:tc>
        <w:tc>
          <w:tcPr>
            <w:tcW w:w="2838" w:type="dxa"/>
            <w:vAlign w:val="center"/>
          </w:tcPr>
          <w:p w14:paraId="1399A670">
            <w:pPr>
              <w:pStyle w:val="557"/>
            </w:pPr>
            <w:r>
              <w:rPr>
                <w:rFonts w:hint="eastAsia"/>
              </w:rPr>
              <w:t>稳定性：稳定</w:t>
            </w:r>
          </w:p>
        </w:tc>
      </w:tr>
      <w:tr w14:paraId="0E15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Merge w:val="continue"/>
            <w:vAlign w:val="center"/>
          </w:tcPr>
          <w:p w14:paraId="0311D70B">
            <w:pPr>
              <w:pStyle w:val="557"/>
            </w:pPr>
          </w:p>
        </w:tc>
        <w:tc>
          <w:tcPr>
            <w:tcW w:w="7714" w:type="dxa"/>
            <w:gridSpan w:val="3"/>
            <w:vAlign w:val="center"/>
          </w:tcPr>
          <w:p w14:paraId="5E73852E">
            <w:pPr>
              <w:pStyle w:val="557"/>
            </w:pPr>
            <w:r>
              <w:rPr>
                <w:rFonts w:hint="eastAsia"/>
              </w:rPr>
              <w:t>危险特性：能与一些活性金属粉末发生反应，放出氢气。遇氰化物能产生剧毒的氰化氢气体。与碱发生中和反应，并放出大量的热。具有较强的腐蚀性。与乙酸酐、脂肪胺类、链烷醇胺类、烯基氧化物、芳香胺类、氨基化合物、2-氨基乙醇、氨、氢氧化铵、二磷化三钙、氯磺酸、乙撑二胺、二甲亚胺、环氧氯丙烷、异氰酸酯类、乙炔基金属、发烟硫酸、有机酸酐、高氯酸、3-丙内酯、磷化铀、硫酸、氢氧化钠及其他碱类、强氧化剂、醋酸乙烯酯及二氟乙烯接触发生反应。接触绝大多数金属，放出易燃氢气。腐蚀某些塑料、橡胶和涂料。</w:t>
            </w:r>
          </w:p>
          <w:p w14:paraId="10C91ACB">
            <w:pPr>
              <w:pStyle w:val="557"/>
            </w:pPr>
            <w:r>
              <w:rPr>
                <w:rFonts w:hint="eastAsia"/>
              </w:rPr>
              <w:t>灭火方法：雾状水、砂土。消防器具(包括SCBA)不能提供足够有效的防护。若不小心接触，立即撤离现场，隔离器具，对人员彻底清污。蒸气比空气重，易在低处聚集。封闭区域内的蒸气遇火能爆炸。蒸气能扩散到远处，遇点火源着火，并引起回燃。储存容器及其部件可能向四面八方飞射很远。如果该物质或被污染的流体进入水路，通知有潜在水体污染的下游用户，通知地方卫生、消防官员和污染控制部门。若不能切断气源，则不允许熄灭泄漏处的火焰。受过特殊培训的人员可以利用喷雾水流冷却周围暴露物，让火自行烧尽。在安全防爆距离以外，使用雾状水冷却暴露的容器。若冷却水流不起作用，立即撤离到安全区域。</w:t>
            </w:r>
          </w:p>
        </w:tc>
      </w:tr>
      <w:tr w14:paraId="009E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Merge w:val="restart"/>
            <w:vAlign w:val="center"/>
          </w:tcPr>
          <w:p w14:paraId="70145F7A">
            <w:pPr>
              <w:pStyle w:val="557"/>
            </w:pPr>
            <w:r>
              <w:rPr>
                <w:rFonts w:hint="eastAsia"/>
              </w:rPr>
              <w:t>包装与储运</w:t>
            </w:r>
          </w:p>
        </w:tc>
        <w:tc>
          <w:tcPr>
            <w:tcW w:w="7714" w:type="dxa"/>
            <w:gridSpan w:val="3"/>
            <w:vAlign w:val="center"/>
          </w:tcPr>
          <w:p w14:paraId="589FAC34">
            <w:pPr>
              <w:pStyle w:val="557"/>
            </w:pPr>
            <w:r>
              <w:rPr>
                <w:rFonts w:hint="eastAsia"/>
              </w:rPr>
              <w:t>危险性类别：第8.1类酸性腐蚀品；危险货物包装；标志：20；包装类别：Ⅱ；</w:t>
            </w:r>
          </w:p>
        </w:tc>
      </w:tr>
      <w:tr w14:paraId="76AC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Merge w:val="continue"/>
            <w:vAlign w:val="center"/>
          </w:tcPr>
          <w:p w14:paraId="4C9140A8">
            <w:pPr>
              <w:pStyle w:val="557"/>
            </w:pPr>
          </w:p>
        </w:tc>
        <w:tc>
          <w:tcPr>
            <w:tcW w:w="7714" w:type="dxa"/>
            <w:gridSpan w:val="3"/>
            <w:vAlign w:val="center"/>
          </w:tcPr>
          <w:p w14:paraId="7B6A5A59">
            <w:pPr>
              <w:pStyle w:val="557"/>
            </w:pPr>
            <w:r>
              <w:rPr>
                <w:rFonts w:hint="eastAsia"/>
              </w:rPr>
              <w:t>储运注意事项：储存于阴凉、干燥、通风处。应与碱类、金属粉末、卤素(氟、氯、溴)、易燃、可燃物等分开存放。不可混储混运。搬运时要轻装轻卸，防止包装及容器损坏。分装和搬运作业要注意个人防护。运输按规定路线行驶。</w:t>
            </w:r>
          </w:p>
          <w:p w14:paraId="3A191486">
            <w:pPr>
              <w:pStyle w:val="557"/>
            </w:pPr>
            <w:r>
              <w:rPr>
                <w:rFonts w:hint="eastAsia"/>
              </w:rPr>
              <w:t>废弃：处置前参阅国家和地方有关法规。废物储存参见“储运注意事项”。用碱液－石灰水中和，生成氯化钠和氯化钙，用水稀释后排入下水道。</w:t>
            </w:r>
          </w:p>
          <w:p w14:paraId="6F352CD2">
            <w:pPr>
              <w:pStyle w:val="557"/>
            </w:pPr>
            <w:r>
              <w:rPr>
                <w:rFonts w:hint="eastAsia"/>
              </w:rPr>
              <w:t>包装方法：螺纹口玻璃瓶、铁盖压口玻璃瓶、塑料瓶或金属桶（罐）外木板箱；耐酸坛、陶瓷罐外木箱或半花格箱。</w:t>
            </w:r>
          </w:p>
          <w:p w14:paraId="660573D1">
            <w:pPr>
              <w:pStyle w:val="557"/>
            </w:pPr>
            <w:r>
              <w:rPr>
                <w:rFonts w:hint="eastAsia"/>
              </w:rPr>
              <w:t>ERG指南：125(无水的)；157(溶液)；125(冷冻)</w:t>
            </w:r>
          </w:p>
          <w:p w14:paraId="7A38F8C1">
            <w:pPr>
              <w:pStyle w:val="557"/>
            </w:pPr>
            <w:r>
              <w:rPr>
                <w:rFonts w:hint="eastAsia"/>
              </w:rPr>
              <w:t>ERG指南分类：125：气体—腐蚀性的；157：有毒和／或腐蚀性物质(不燃／遇水反应的)</w:t>
            </w:r>
          </w:p>
        </w:tc>
      </w:tr>
      <w:tr w14:paraId="5BD2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4202F42B">
            <w:pPr>
              <w:pStyle w:val="557"/>
            </w:pPr>
            <w:r>
              <w:rPr>
                <w:rFonts w:hint="eastAsia"/>
              </w:rPr>
              <w:t>毒性危害</w:t>
            </w:r>
          </w:p>
        </w:tc>
        <w:tc>
          <w:tcPr>
            <w:tcW w:w="7714" w:type="dxa"/>
            <w:gridSpan w:val="3"/>
            <w:vAlign w:val="center"/>
          </w:tcPr>
          <w:p w14:paraId="065DE978">
            <w:pPr>
              <w:pStyle w:val="557"/>
            </w:pPr>
            <w:r>
              <w:rPr>
                <w:rFonts w:hint="eastAsia"/>
              </w:rPr>
              <w:t>LC50：3124ppm1小时(大鼠吸入)；LD50：900mg／kg(兔经口)；该物质对环境有危害，应特别注意对水体和土壤的污染。健康危害：接触其蒸气或烟雾，引起眼结膜炎，鼻及口腔黏膜有烧灼感，鼻衄、齿龈出血、气管炎；刺激皮肤发生皮炎，慢性支气管炎等病变。误服盐酸中毒，可引起消化道灼伤、溃疡形成，有可能胃穿孔、腹膜炎等。</w:t>
            </w:r>
          </w:p>
        </w:tc>
      </w:tr>
      <w:tr w14:paraId="08A4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30689745">
            <w:pPr>
              <w:pStyle w:val="557"/>
            </w:pPr>
            <w:r>
              <w:rPr>
                <w:rFonts w:hint="eastAsia"/>
              </w:rPr>
              <w:t>急救</w:t>
            </w:r>
          </w:p>
        </w:tc>
        <w:tc>
          <w:tcPr>
            <w:tcW w:w="7714" w:type="dxa"/>
            <w:gridSpan w:val="3"/>
            <w:vAlign w:val="center"/>
          </w:tcPr>
          <w:p w14:paraId="378008AF">
            <w:pPr>
              <w:pStyle w:val="557"/>
            </w:pPr>
            <w:r>
              <w:rPr>
                <w:rFonts w:hint="eastAsia"/>
              </w:rPr>
              <w:t>皮肤接触：立即用水冲洗至少15分钟。或用2%碳酸氢钠溶液冲洗。若有灼伤，就医治疗。</w:t>
            </w:r>
          </w:p>
          <w:p w14:paraId="45D9FA84">
            <w:pPr>
              <w:pStyle w:val="557"/>
            </w:pPr>
            <w:r>
              <w:rPr>
                <w:rFonts w:hint="eastAsia"/>
              </w:rPr>
              <w:t>眼睛接触：立即提起眼睑，用流动清水冲洗10分钟或用2%碳酸氢钠溶液冲洗。</w:t>
            </w:r>
          </w:p>
          <w:p w14:paraId="566C64BB">
            <w:pPr>
              <w:pStyle w:val="557"/>
            </w:pPr>
            <w:r>
              <w:rPr>
                <w:rFonts w:hint="eastAsia"/>
              </w:rPr>
              <w:t>吸入：迅速脱离现场至空气新鲜处。呼吸困难时给输氧。给予2～4%碳酸氢钠溶液雾化吸入。就医。如果患者食入或吸入该物质不要用口对口进行人工呼吸，可用单向阀小型呼吸器或其他适当的医疗呼吸器。注意患者保暖并且保持安静。吸入、食入或皮肤接触该物质可引起迟发反应。确保医务人员了解该物质相关的个体防护知识，注意自身防护。</w:t>
            </w:r>
          </w:p>
          <w:p w14:paraId="17613E6A">
            <w:pPr>
              <w:pStyle w:val="557"/>
            </w:pPr>
            <w:r>
              <w:rPr>
                <w:rFonts w:hint="eastAsia"/>
              </w:rPr>
              <w:t>食入：误服者立即漱口，给牛奶、蛋清、植物油等口服，不可催吐。立即就医。</w:t>
            </w:r>
          </w:p>
        </w:tc>
      </w:tr>
      <w:tr w14:paraId="7F95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1E281DD0">
            <w:pPr>
              <w:pStyle w:val="557"/>
            </w:pPr>
            <w:r>
              <w:rPr>
                <w:rFonts w:hint="eastAsia"/>
              </w:rPr>
              <w:t>防护措施</w:t>
            </w:r>
          </w:p>
        </w:tc>
        <w:tc>
          <w:tcPr>
            <w:tcW w:w="7714" w:type="dxa"/>
            <w:gridSpan w:val="3"/>
            <w:vAlign w:val="center"/>
          </w:tcPr>
          <w:p w14:paraId="040C6B44">
            <w:pPr>
              <w:pStyle w:val="557"/>
            </w:pPr>
            <w:r>
              <w:rPr>
                <w:rFonts w:hint="eastAsia"/>
              </w:rPr>
              <w:t>工程控制：密闭操作，注意通风。尽可能机械化、自动化。</w:t>
            </w:r>
          </w:p>
          <w:p w14:paraId="6B7BB3BE">
            <w:pPr>
              <w:pStyle w:val="557"/>
            </w:pPr>
            <w:r>
              <w:rPr>
                <w:rFonts w:hint="eastAsia"/>
              </w:rPr>
              <w:t>呼吸系统防护：可能接触其蒸气或烟雾时，必须佩戴防毒面具。紧急事态抢救或逃生时，建议佩戴自给式呼吸器。</w:t>
            </w:r>
          </w:p>
          <w:p w14:paraId="03AB6807">
            <w:pPr>
              <w:pStyle w:val="557"/>
            </w:pPr>
            <w:r>
              <w:rPr>
                <w:rFonts w:hint="eastAsia"/>
              </w:rPr>
              <w:t>眼睛防护：戴化学安全防护眼镜。防护服：穿工作服(防腐材料制作)。手防护：戴橡皮手套。</w:t>
            </w:r>
          </w:p>
          <w:p w14:paraId="61C28C83">
            <w:pPr>
              <w:pStyle w:val="557"/>
            </w:pPr>
            <w:r>
              <w:rPr>
                <w:rFonts w:hint="eastAsia"/>
              </w:rPr>
              <w:t>其他：工作后，沐浴更衣。单独存放被毒物污染的衣服，洗后再用。保持良好的卫生习惯。</w:t>
            </w:r>
          </w:p>
        </w:tc>
      </w:tr>
      <w:tr w14:paraId="58FB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vAlign w:val="center"/>
          </w:tcPr>
          <w:p w14:paraId="2338DB3E">
            <w:pPr>
              <w:pStyle w:val="557"/>
            </w:pPr>
            <w:r>
              <w:rPr>
                <w:rFonts w:hint="eastAsia"/>
              </w:rPr>
              <w:t>泄漏处置</w:t>
            </w:r>
          </w:p>
        </w:tc>
        <w:tc>
          <w:tcPr>
            <w:tcW w:w="7714" w:type="dxa"/>
            <w:gridSpan w:val="3"/>
            <w:vAlign w:val="center"/>
          </w:tcPr>
          <w:p w14:paraId="573F97F0">
            <w:pPr>
              <w:pStyle w:val="557"/>
            </w:pPr>
            <w:r>
              <w:rPr>
                <w:rFonts w:hint="eastAsia"/>
              </w:rPr>
              <w:t>疏散泄漏污染区人员至安全区，禁止无关人员进入污染区，建议应急处理人员戴好防毒面具，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p w14:paraId="3DB4B7CA">
            <w:pPr>
              <w:pStyle w:val="557"/>
            </w:pPr>
            <w:r>
              <w:rPr>
                <w:rFonts w:hint="eastAsia"/>
              </w:rPr>
              <w:t>环境信息：排放溶液状态的盐酸，可使地表水pH暂时降低，对水生生物造成不良影响。因土壤和地面水对排入的盐酸具有缓冲能力，可在一定程度上起中和作用。中和反应的程度，取决于具体环境的特点。</w:t>
            </w:r>
          </w:p>
        </w:tc>
      </w:tr>
    </w:tbl>
    <w:p w14:paraId="4918BA34">
      <w:pPr>
        <w:pStyle w:val="645"/>
        <w:rPr>
          <w:rFonts w:hint="eastAsia"/>
        </w:rPr>
      </w:pPr>
      <w:r>
        <w:rPr>
          <w:rFonts w:hint="eastAsia"/>
        </w:rPr>
        <w:t>表</w:t>
      </w:r>
      <w:r>
        <w:t>7.2.1-</w:t>
      </w:r>
      <w:r>
        <w:rPr>
          <w:rFonts w:hint="eastAsia"/>
        </w:rPr>
        <w:t>6</w:t>
      </w:r>
      <w:r>
        <w:t xml:space="preserve">    </w:t>
      </w:r>
      <w:r>
        <w:rPr>
          <w:rFonts w:hint="eastAsia"/>
        </w:rPr>
        <w:t>氨的理化性质及危险特性表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720"/>
        <w:gridCol w:w="1529"/>
        <w:gridCol w:w="1526"/>
        <w:gridCol w:w="174"/>
        <w:gridCol w:w="437"/>
        <w:gridCol w:w="1036"/>
        <w:gridCol w:w="593"/>
        <w:gridCol w:w="2490"/>
      </w:tblGrid>
      <w:tr w14:paraId="347F35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54AC3F92">
            <w:pPr>
              <w:pStyle w:val="557"/>
            </w:pPr>
            <w:r>
              <w:t>标识</w:t>
            </w:r>
          </w:p>
        </w:tc>
        <w:tc>
          <w:tcPr>
            <w:tcW w:w="1596" w:type="dxa"/>
            <w:shd w:val="clear" w:color="auto" w:fill="FFFFFF"/>
            <w:vAlign w:val="center"/>
          </w:tcPr>
          <w:p w14:paraId="6F0FA658">
            <w:pPr>
              <w:pStyle w:val="557"/>
            </w:pPr>
            <w:r>
              <w:t>中文名</w:t>
            </w:r>
          </w:p>
        </w:tc>
        <w:tc>
          <w:tcPr>
            <w:tcW w:w="1593" w:type="dxa"/>
            <w:shd w:val="clear" w:color="auto" w:fill="FFFFFF"/>
            <w:vAlign w:val="center"/>
          </w:tcPr>
          <w:p w14:paraId="466D63CC">
            <w:pPr>
              <w:pStyle w:val="557"/>
            </w:pPr>
            <w:r>
              <w:t>氨</w:t>
            </w:r>
          </w:p>
        </w:tc>
        <w:tc>
          <w:tcPr>
            <w:tcW w:w="1716" w:type="dxa"/>
            <w:gridSpan w:val="3"/>
            <w:shd w:val="clear" w:color="auto" w:fill="FFFFFF"/>
            <w:vAlign w:val="center"/>
          </w:tcPr>
          <w:p w14:paraId="6D9A5D40">
            <w:pPr>
              <w:pStyle w:val="557"/>
            </w:pPr>
            <w:r>
              <w:t>英文名</w:t>
            </w:r>
          </w:p>
        </w:tc>
        <w:tc>
          <w:tcPr>
            <w:tcW w:w="3229" w:type="dxa"/>
            <w:gridSpan w:val="2"/>
            <w:shd w:val="clear" w:color="auto" w:fill="FFFFFF"/>
            <w:vAlign w:val="center"/>
          </w:tcPr>
          <w:p w14:paraId="55F85FC7">
            <w:pPr>
              <w:pStyle w:val="557"/>
            </w:pPr>
            <w:r>
              <w:t>ammonia</w:t>
            </w:r>
          </w:p>
        </w:tc>
      </w:tr>
      <w:tr w14:paraId="2DB04E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F25F2AE">
            <w:pPr>
              <w:pStyle w:val="557"/>
            </w:pPr>
          </w:p>
        </w:tc>
        <w:tc>
          <w:tcPr>
            <w:tcW w:w="1596" w:type="dxa"/>
            <w:shd w:val="clear" w:color="auto" w:fill="FFFFFF"/>
            <w:vAlign w:val="center"/>
          </w:tcPr>
          <w:p w14:paraId="3DDBBFD3">
            <w:pPr>
              <w:pStyle w:val="557"/>
            </w:pPr>
            <w:r>
              <w:t>分子式</w:t>
            </w:r>
          </w:p>
        </w:tc>
        <w:tc>
          <w:tcPr>
            <w:tcW w:w="1593" w:type="dxa"/>
            <w:shd w:val="clear" w:color="auto" w:fill="FFFFFF"/>
            <w:vAlign w:val="center"/>
          </w:tcPr>
          <w:p w14:paraId="325AC77D">
            <w:pPr>
              <w:pStyle w:val="557"/>
            </w:pPr>
            <w:r>
              <w:t>NH</w:t>
            </w:r>
            <w:r>
              <w:rPr>
                <w:vertAlign w:val="subscript"/>
              </w:rPr>
              <w:t>3</w:t>
            </w:r>
          </w:p>
        </w:tc>
        <w:tc>
          <w:tcPr>
            <w:tcW w:w="1716" w:type="dxa"/>
            <w:gridSpan w:val="3"/>
            <w:shd w:val="clear" w:color="auto" w:fill="FFFFFF"/>
            <w:vAlign w:val="center"/>
          </w:tcPr>
          <w:p w14:paraId="5FA3C4F9">
            <w:pPr>
              <w:pStyle w:val="557"/>
            </w:pPr>
            <w:r>
              <w:t>相对分子质量</w:t>
            </w:r>
          </w:p>
        </w:tc>
        <w:tc>
          <w:tcPr>
            <w:tcW w:w="3229" w:type="dxa"/>
            <w:gridSpan w:val="2"/>
            <w:shd w:val="clear" w:color="auto" w:fill="FFFFFF"/>
            <w:vAlign w:val="center"/>
          </w:tcPr>
          <w:p w14:paraId="28C87800">
            <w:pPr>
              <w:pStyle w:val="557"/>
            </w:pPr>
            <w:r>
              <w:t>17.03</w:t>
            </w:r>
          </w:p>
        </w:tc>
      </w:tr>
      <w:tr w14:paraId="6B7CEE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5FD0930B">
            <w:pPr>
              <w:pStyle w:val="557"/>
            </w:pPr>
            <w:r>
              <w:t>成分组成</w:t>
            </w:r>
          </w:p>
        </w:tc>
        <w:tc>
          <w:tcPr>
            <w:tcW w:w="1596" w:type="dxa"/>
            <w:shd w:val="clear" w:color="auto" w:fill="FFFFFF"/>
            <w:vAlign w:val="center"/>
          </w:tcPr>
          <w:p w14:paraId="5FA5E8A2">
            <w:pPr>
              <w:pStyle w:val="557"/>
            </w:pPr>
            <w:r>
              <w:t>主要成分</w:t>
            </w:r>
          </w:p>
        </w:tc>
        <w:tc>
          <w:tcPr>
            <w:tcW w:w="1593" w:type="dxa"/>
            <w:shd w:val="clear" w:color="auto" w:fill="FFFFFF"/>
            <w:vAlign w:val="center"/>
          </w:tcPr>
          <w:p w14:paraId="7ADA6E4F">
            <w:pPr>
              <w:pStyle w:val="557"/>
            </w:pPr>
            <w:r>
              <w:t>纯品</w:t>
            </w:r>
          </w:p>
        </w:tc>
        <w:tc>
          <w:tcPr>
            <w:tcW w:w="1716" w:type="dxa"/>
            <w:gridSpan w:val="3"/>
            <w:shd w:val="clear" w:color="auto" w:fill="FFFFFF"/>
            <w:vAlign w:val="center"/>
          </w:tcPr>
          <w:p w14:paraId="28C6B646">
            <w:pPr>
              <w:pStyle w:val="557"/>
            </w:pPr>
            <w:r>
              <w:t>化学类别</w:t>
            </w:r>
          </w:p>
        </w:tc>
        <w:tc>
          <w:tcPr>
            <w:tcW w:w="3229" w:type="dxa"/>
            <w:gridSpan w:val="2"/>
            <w:shd w:val="clear" w:color="auto" w:fill="FFFFFF"/>
            <w:vAlign w:val="center"/>
          </w:tcPr>
          <w:p w14:paraId="6A4B72B8">
            <w:pPr>
              <w:pStyle w:val="557"/>
            </w:pPr>
            <w:r>
              <w:t>氨</w:t>
            </w:r>
          </w:p>
        </w:tc>
      </w:tr>
      <w:tr w14:paraId="39EDB8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2C880C5">
            <w:pPr>
              <w:pStyle w:val="557"/>
            </w:pPr>
          </w:p>
        </w:tc>
        <w:tc>
          <w:tcPr>
            <w:tcW w:w="1596" w:type="dxa"/>
            <w:shd w:val="clear" w:color="auto" w:fill="FFFFFF"/>
            <w:vAlign w:val="center"/>
          </w:tcPr>
          <w:p w14:paraId="5100C721">
            <w:pPr>
              <w:pStyle w:val="557"/>
            </w:pPr>
            <w:r>
              <w:t>外观与性状</w:t>
            </w:r>
          </w:p>
        </w:tc>
        <w:tc>
          <w:tcPr>
            <w:tcW w:w="6538" w:type="dxa"/>
            <w:gridSpan w:val="6"/>
            <w:shd w:val="clear" w:color="auto" w:fill="FFFFFF"/>
            <w:vAlign w:val="center"/>
          </w:tcPr>
          <w:p w14:paraId="25E4145B">
            <w:pPr>
              <w:pStyle w:val="557"/>
            </w:pPr>
            <w:r>
              <w:t>无色有刺激性恶臭的气体</w:t>
            </w:r>
          </w:p>
        </w:tc>
      </w:tr>
      <w:tr w14:paraId="753507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FDD56EF">
            <w:pPr>
              <w:pStyle w:val="557"/>
            </w:pPr>
          </w:p>
        </w:tc>
        <w:tc>
          <w:tcPr>
            <w:tcW w:w="1596" w:type="dxa"/>
            <w:shd w:val="clear" w:color="auto" w:fill="FFFFFF"/>
            <w:vAlign w:val="center"/>
          </w:tcPr>
          <w:p w14:paraId="195CF70D">
            <w:pPr>
              <w:pStyle w:val="557"/>
            </w:pPr>
            <w:r>
              <w:t>主要用途：</w:t>
            </w:r>
          </w:p>
        </w:tc>
        <w:tc>
          <w:tcPr>
            <w:tcW w:w="6538" w:type="dxa"/>
            <w:gridSpan w:val="6"/>
            <w:shd w:val="clear" w:color="auto" w:fill="FFFFFF"/>
            <w:vAlign w:val="center"/>
          </w:tcPr>
          <w:p w14:paraId="1E7E7AAD">
            <w:pPr>
              <w:pStyle w:val="557"/>
            </w:pPr>
            <w:r>
              <w:t>用作</w:t>
            </w:r>
            <w:r>
              <w:rPr>
                <w:rFonts w:hint="eastAsia"/>
              </w:rPr>
              <w:t>制冷</w:t>
            </w:r>
            <w:r>
              <w:t>剂及制取铵盐和氮肥</w:t>
            </w:r>
          </w:p>
        </w:tc>
      </w:tr>
      <w:tr w14:paraId="017EAB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0E6327BF">
            <w:pPr>
              <w:pStyle w:val="557"/>
            </w:pPr>
            <w:r>
              <w:t>理化性质</w:t>
            </w:r>
          </w:p>
        </w:tc>
        <w:tc>
          <w:tcPr>
            <w:tcW w:w="3370" w:type="dxa"/>
            <w:gridSpan w:val="3"/>
            <w:shd w:val="clear" w:color="auto" w:fill="FFFFFF"/>
            <w:vAlign w:val="center"/>
          </w:tcPr>
          <w:p w14:paraId="0CF87E9D">
            <w:pPr>
              <w:pStyle w:val="557"/>
            </w:pPr>
            <w:r>
              <w:t>pH值:/</w:t>
            </w:r>
          </w:p>
        </w:tc>
        <w:tc>
          <w:tcPr>
            <w:tcW w:w="4764" w:type="dxa"/>
            <w:gridSpan w:val="4"/>
            <w:shd w:val="clear" w:color="auto" w:fill="FFFFFF"/>
            <w:vAlign w:val="center"/>
          </w:tcPr>
          <w:p w14:paraId="341E17AA">
            <w:pPr>
              <w:pStyle w:val="557"/>
            </w:pPr>
            <w:r>
              <w:t>熔点(℃): -77.7</w:t>
            </w:r>
          </w:p>
        </w:tc>
      </w:tr>
      <w:tr w14:paraId="26B8F0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37E7AF1">
            <w:pPr>
              <w:pStyle w:val="557"/>
            </w:pPr>
          </w:p>
        </w:tc>
        <w:tc>
          <w:tcPr>
            <w:tcW w:w="3370" w:type="dxa"/>
            <w:gridSpan w:val="3"/>
            <w:shd w:val="clear" w:color="auto" w:fill="FFFFFF"/>
            <w:vAlign w:val="center"/>
          </w:tcPr>
          <w:p w14:paraId="563F64D0">
            <w:pPr>
              <w:pStyle w:val="557"/>
            </w:pPr>
            <w:r>
              <w:t>相对密度( 水=1 ): 0.579（40℃）</w:t>
            </w:r>
          </w:p>
        </w:tc>
        <w:tc>
          <w:tcPr>
            <w:tcW w:w="4764" w:type="dxa"/>
            <w:gridSpan w:val="4"/>
            <w:shd w:val="clear" w:color="auto" w:fill="FFFFFF"/>
            <w:vAlign w:val="center"/>
          </w:tcPr>
          <w:p w14:paraId="590B6F48">
            <w:pPr>
              <w:pStyle w:val="557"/>
            </w:pPr>
            <w:r>
              <w:t>沸点(℃): -33.5</w:t>
            </w:r>
          </w:p>
        </w:tc>
      </w:tr>
      <w:tr w14:paraId="222BAE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1FE891D2">
            <w:pPr>
              <w:pStyle w:val="557"/>
            </w:pPr>
          </w:p>
        </w:tc>
        <w:tc>
          <w:tcPr>
            <w:tcW w:w="3370" w:type="dxa"/>
            <w:gridSpan w:val="3"/>
            <w:shd w:val="clear" w:color="auto" w:fill="FFFFFF"/>
            <w:vAlign w:val="center"/>
          </w:tcPr>
          <w:p w14:paraId="382EEDD2">
            <w:pPr>
              <w:pStyle w:val="557"/>
            </w:pPr>
            <w:r>
              <w:t>相对密度(空气=1): 0.6</w:t>
            </w:r>
          </w:p>
        </w:tc>
        <w:tc>
          <w:tcPr>
            <w:tcW w:w="4764" w:type="dxa"/>
            <w:gridSpan w:val="4"/>
            <w:shd w:val="clear" w:color="auto" w:fill="FFFFFF"/>
            <w:vAlign w:val="center"/>
          </w:tcPr>
          <w:p w14:paraId="7B666488">
            <w:pPr>
              <w:pStyle w:val="557"/>
            </w:pPr>
            <w:r>
              <w:rPr>
                <w:rFonts w:hint="eastAsia"/>
              </w:rPr>
              <w:t>饱和蒸汽压</w:t>
            </w:r>
            <w:r>
              <w:t>(kPa): 506.62(4.7℃)</w:t>
            </w:r>
          </w:p>
        </w:tc>
      </w:tr>
      <w:tr w14:paraId="26B90A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0C0A08F">
            <w:pPr>
              <w:pStyle w:val="557"/>
            </w:pPr>
          </w:p>
        </w:tc>
        <w:tc>
          <w:tcPr>
            <w:tcW w:w="3370" w:type="dxa"/>
            <w:gridSpan w:val="3"/>
            <w:shd w:val="clear" w:color="auto" w:fill="FFFFFF"/>
            <w:vAlign w:val="center"/>
          </w:tcPr>
          <w:p w14:paraId="78DC4924">
            <w:pPr>
              <w:pStyle w:val="557"/>
            </w:pPr>
            <w:r>
              <w:t>燃烧热(kj/kg): 18602</w:t>
            </w:r>
          </w:p>
        </w:tc>
        <w:tc>
          <w:tcPr>
            <w:tcW w:w="4764" w:type="dxa"/>
            <w:gridSpan w:val="4"/>
            <w:shd w:val="clear" w:color="auto" w:fill="FFFFFF"/>
            <w:vAlign w:val="center"/>
          </w:tcPr>
          <w:p w14:paraId="35EED6F3">
            <w:pPr>
              <w:pStyle w:val="557"/>
            </w:pPr>
            <w:r>
              <w:t>临界温度(℃): 132.5</w:t>
            </w:r>
          </w:p>
        </w:tc>
      </w:tr>
      <w:tr w14:paraId="50DAB1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23E07B92">
            <w:pPr>
              <w:pStyle w:val="557"/>
            </w:pPr>
          </w:p>
        </w:tc>
        <w:tc>
          <w:tcPr>
            <w:tcW w:w="3370" w:type="dxa"/>
            <w:gridSpan w:val="3"/>
            <w:shd w:val="clear" w:color="auto" w:fill="FFFFFF"/>
            <w:vAlign w:val="center"/>
          </w:tcPr>
          <w:p w14:paraId="75F157BE">
            <w:pPr>
              <w:pStyle w:val="557"/>
            </w:pPr>
            <w:r>
              <w:t>临界压力(MPa): 11.40</w:t>
            </w:r>
          </w:p>
        </w:tc>
        <w:tc>
          <w:tcPr>
            <w:tcW w:w="4764" w:type="dxa"/>
            <w:gridSpan w:val="4"/>
            <w:shd w:val="clear" w:color="auto" w:fill="FFFFFF"/>
            <w:vAlign w:val="center"/>
          </w:tcPr>
          <w:p w14:paraId="46C00DB5">
            <w:pPr>
              <w:pStyle w:val="557"/>
            </w:pPr>
            <w:r>
              <w:t>辛醇/水分配系数</w:t>
            </w:r>
            <w:r>
              <w:rPr>
                <w:rFonts w:hint="eastAsia"/>
              </w:rPr>
              <w:t>：</w:t>
            </w:r>
            <w:r>
              <w:t> 无资料</w:t>
            </w:r>
          </w:p>
        </w:tc>
      </w:tr>
      <w:tr w14:paraId="4AB769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0EB43EC">
            <w:pPr>
              <w:pStyle w:val="557"/>
            </w:pPr>
          </w:p>
        </w:tc>
        <w:tc>
          <w:tcPr>
            <w:tcW w:w="3370" w:type="dxa"/>
            <w:gridSpan w:val="3"/>
            <w:shd w:val="clear" w:color="auto" w:fill="FFFFFF"/>
            <w:vAlign w:val="center"/>
          </w:tcPr>
          <w:p w14:paraId="0C99AF19">
            <w:pPr>
              <w:pStyle w:val="557"/>
            </w:pPr>
            <w:r>
              <w:t>闪点(℃): 无意义</w:t>
            </w:r>
          </w:p>
        </w:tc>
        <w:tc>
          <w:tcPr>
            <w:tcW w:w="4764" w:type="dxa"/>
            <w:gridSpan w:val="4"/>
            <w:shd w:val="clear" w:color="auto" w:fill="FFFFFF"/>
            <w:vAlign w:val="center"/>
          </w:tcPr>
          <w:p w14:paraId="7EDEF705">
            <w:pPr>
              <w:pStyle w:val="557"/>
            </w:pPr>
            <w:r>
              <w:t>引燃温度(℃): 651</w:t>
            </w:r>
          </w:p>
        </w:tc>
      </w:tr>
      <w:tr w14:paraId="52A22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95F3E5C">
            <w:pPr>
              <w:pStyle w:val="557"/>
            </w:pPr>
          </w:p>
        </w:tc>
        <w:tc>
          <w:tcPr>
            <w:tcW w:w="3370" w:type="dxa"/>
            <w:gridSpan w:val="3"/>
            <w:shd w:val="clear" w:color="auto" w:fill="FFFFFF"/>
            <w:vAlign w:val="center"/>
          </w:tcPr>
          <w:p w14:paraId="55E8480E">
            <w:pPr>
              <w:pStyle w:val="557"/>
            </w:pPr>
            <w:r>
              <w:t>爆炸下限[％(V/V)]: 15.7</w:t>
            </w:r>
          </w:p>
        </w:tc>
        <w:tc>
          <w:tcPr>
            <w:tcW w:w="4764" w:type="dxa"/>
            <w:gridSpan w:val="4"/>
            <w:shd w:val="clear" w:color="auto" w:fill="FFFFFF"/>
            <w:vAlign w:val="center"/>
          </w:tcPr>
          <w:p w14:paraId="4B212C02">
            <w:pPr>
              <w:pStyle w:val="557"/>
            </w:pPr>
            <w:r>
              <w:t>爆炸上限[％(V/V)]: 27.4</w:t>
            </w:r>
          </w:p>
        </w:tc>
      </w:tr>
      <w:tr w14:paraId="2FF185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23CF907">
            <w:pPr>
              <w:pStyle w:val="557"/>
            </w:pPr>
          </w:p>
        </w:tc>
        <w:tc>
          <w:tcPr>
            <w:tcW w:w="3370" w:type="dxa"/>
            <w:gridSpan w:val="3"/>
            <w:shd w:val="clear" w:color="auto" w:fill="FFFFFF"/>
            <w:vAlign w:val="center"/>
          </w:tcPr>
          <w:p w14:paraId="682A5875">
            <w:pPr>
              <w:pStyle w:val="557"/>
            </w:pPr>
            <w:r>
              <w:t>最小点火能(Mj): 无资料</w:t>
            </w:r>
          </w:p>
        </w:tc>
        <w:tc>
          <w:tcPr>
            <w:tcW w:w="4764" w:type="dxa"/>
            <w:gridSpan w:val="4"/>
            <w:shd w:val="clear" w:color="auto" w:fill="FFFFFF"/>
            <w:vAlign w:val="center"/>
          </w:tcPr>
          <w:p w14:paraId="3B907551">
            <w:pPr>
              <w:pStyle w:val="557"/>
            </w:pPr>
            <w:r>
              <w:t>最大爆炸压力(MPa): 0.580</w:t>
            </w:r>
          </w:p>
        </w:tc>
      </w:tr>
      <w:tr w14:paraId="13F64E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5F8B5C9B">
            <w:pPr>
              <w:pStyle w:val="557"/>
            </w:pPr>
          </w:p>
        </w:tc>
        <w:tc>
          <w:tcPr>
            <w:tcW w:w="1596" w:type="dxa"/>
            <w:shd w:val="clear" w:color="auto" w:fill="FFFFFF"/>
            <w:vAlign w:val="center"/>
          </w:tcPr>
          <w:p w14:paraId="006C8852">
            <w:pPr>
              <w:pStyle w:val="557"/>
            </w:pPr>
            <w:r>
              <w:t>溶解性</w:t>
            </w:r>
          </w:p>
        </w:tc>
        <w:tc>
          <w:tcPr>
            <w:tcW w:w="6538" w:type="dxa"/>
            <w:gridSpan w:val="6"/>
            <w:shd w:val="clear" w:color="auto" w:fill="FFFFFF"/>
            <w:vAlign w:val="center"/>
          </w:tcPr>
          <w:p w14:paraId="5EB65561">
            <w:pPr>
              <w:pStyle w:val="557"/>
            </w:pPr>
            <w:r>
              <w:t>易溶于水、乙醇、乙醚。</w:t>
            </w:r>
          </w:p>
        </w:tc>
      </w:tr>
      <w:tr w14:paraId="1ABD0B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6B399DE8">
            <w:pPr>
              <w:pStyle w:val="557"/>
            </w:pPr>
            <w:r>
              <w:t>危险性概述</w:t>
            </w:r>
          </w:p>
        </w:tc>
        <w:tc>
          <w:tcPr>
            <w:tcW w:w="1596" w:type="dxa"/>
            <w:shd w:val="clear" w:color="auto" w:fill="FFFFFF"/>
            <w:vAlign w:val="center"/>
          </w:tcPr>
          <w:p w14:paraId="1C6BB728">
            <w:pPr>
              <w:pStyle w:val="557"/>
            </w:pPr>
            <w:r>
              <w:t>侵入途径</w:t>
            </w:r>
          </w:p>
        </w:tc>
        <w:tc>
          <w:tcPr>
            <w:tcW w:w="6538" w:type="dxa"/>
            <w:gridSpan w:val="6"/>
            <w:shd w:val="clear" w:color="auto" w:fill="FFFFFF"/>
            <w:vAlign w:val="center"/>
          </w:tcPr>
          <w:p w14:paraId="6B5E4655">
            <w:pPr>
              <w:pStyle w:val="557"/>
            </w:pPr>
            <w:r>
              <w:t>吸入</w:t>
            </w:r>
          </w:p>
        </w:tc>
      </w:tr>
      <w:tr w14:paraId="1CF96E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1762C7D">
            <w:pPr>
              <w:pStyle w:val="557"/>
            </w:pPr>
          </w:p>
        </w:tc>
        <w:tc>
          <w:tcPr>
            <w:tcW w:w="1596" w:type="dxa"/>
            <w:shd w:val="clear" w:color="auto" w:fill="FFFFFF"/>
            <w:vAlign w:val="center"/>
          </w:tcPr>
          <w:p w14:paraId="0D95912D">
            <w:pPr>
              <w:pStyle w:val="557"/>
            </w:pPr>
            <w:r>
              <w:t>环境危害</w:t>
            </w:r>
          </w:p>
        </w:tc>
        <w:tc>
          <w:tcPr>
            <w:tcW w:w="6538" w:type="dxa"/>
            <w:gridSpan w:val="6"/>
            <w:shd w:val="clear" w:color="auto" w:fill="FFFFFF"/>
            <w:vAlign w:val="center"/>
          </w:tcPr>
          <w:p w14:paraId="3DEF360D">
            <w:pPr>
              <w:pStyle w:val="557"/>
            </w:pPr>
            <w:r>
              <w:t>对环境有严重危害，对水体、土壤和大气可造成污染。</w:t>
            </w:r>
          </w:p>
        </w:tc>
      </w:tr>
      <w:tr w14:paraId="009D77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2806C1A6">
            <w:pPr>
              <w:pStyle w:val="557"/>
            </w:pPr>
          </w:p>
        </w:tc>
        <w:tc>
          <w:tcPr>
            <w:tcW w:w="1596" w:type="dxa"/>
            <w:shd w:val="clear" w:color="auto" w:fill="FFFFFF"/>
            <w:vAlign w:val="center"/>
          </w:tcPr>
          <w:p w14:paraId="263FCC95">
            <w:pPr>
              <w:pStyle w:val="557"/>
            </w:pPr>
            <w:r>
              <w:t>燃爆危险</w:t>
            </w:r>
          </w:p>
        </w:tc>
        <w:tc>
          <w:tcPr>
            <w:tcW w:w="6538" w:type="dxa"/>
            <w:gridSpan w:val="6"/>
            <w:shd w:val="clear" w:color="auto" w:fill="FFFFFF"/>
            <w:vAlign w:val="center"/>
          </w:tcPr>
          <w:p w14:paraId="78982A58">
            <w:pPr>
              <w:pStyle w:val="557"/>
            </w:pPr>
            <w:r>
              <w:t>本品易燃，有毒，具刺激性。</w:t>
            </w:r>
          </w:p>
        </w:tc>
      </w:tr>
      <w:tr w14:paraId="40618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3F82ABC">
            <w:pPr>
              <w:pStyle w:val="557"/>
            </w:pPr>
          </w:p>
        </w:tc>
        <w:tc>
          <w:tcPr>
            <w:tcW w:w="1596" w:type="dxa"/>
            <w:shd w:val="clear" w:color="auto" w:fill="FFFFFF"/>
            <w:vAlign w:val="center"/>
          </w:tcPr>
          <w:p w14:paraId="528C37E0">
            <w:pPr>
              <w:pStyle w:val="557"/>
            </w:pPr>
            <w:r>
              <w:t>危险性类别</w:t>
            </w:r>
          </w:p>
        </w:tc>
        <w:tc>
          <w:tcPr>
            <w:tcW w:w="6538" w:type="dxa"/>
            <w:gridSpan w:val="6"/>
            <w:shd w:val="clear" w:color="auto" w:fill="FFFFFF"/>
            <w:vAlign w:val="center"/>
          </w:tcPr>
          <w:p w14:paraId="68487FF3">
            <w:pPr>
              <w:pStyle w:val="557"/>
            </w:pPr>
            <w:r>
              <w:t>第2.3类有毒气体</w:t>
            </w:r>
          </w:p>
        </w:tc>
      </w:tr>
      <w:tr w14:paraId="2C61EB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7A8EE6F">
            <w:pPr>
              <w:pStyle w:val="557"/>
            </w:pPr>
          </w:p>
        </w:tc>
        <w:tc>
          <w:tcPr>
            <w:tcW w:w="1596" w:type="dxa"/>
            <w:shd w:val="clear" w:color="auto" w:fill="FFFFFF"/>
            <w:vAlign w:val="center"/>
          </w:tcPr>
          <w:p w14:paraId="26D00546">
            <w:pPr>
              <w:pStyle w:val="557"/>
            </w:pPr>
            <w:r>
              <w:t>健康危害</w:t>
            </w:r>
          </w:p>
        </w:tc>
        <w:tc>
          <w:tcPr>
            <w:tcW w:w="6538" w:type="dxa"/>
            <w:gridSpan w:val="6"/>
            <w:shd w:val="clear" w:color="auto" w:fill="FFFFFF"/>
            <w:vAlign w:val="center"/>
          </w:tcPr>
          <w:p w14:paraId="1567061B">
            <w:pPr>
              <w:pStyle w:val="557"/>
            </w:pPr>
            <w:r>
              <w:t>低浓度氨对黏膜有刺激作用，高浓度可造成组织溶解坏死。急性中毒：轻度者出现流泪、咽痛、声音嘶哑、咳嗽、咯痰等；眼结膜、鼻黏膜、咽部充血、水肿；胸部X线征象符合支气管炎或支气管周围炎。中度中毒上述症状加剧，出现呼吸困难、紫绀；胸部X线征象符合肺炎或间质性肺炎。严重者可发生中毒性肺水肿，或有呼吸窘迫综合征，患者剧烈咳嗽、咯大量粉红色</w:t>
            </w:r>
            <w:r>
              <w:rPr>
                <w:rFonts w:hint="eastAsia"/>
              </w:rPr>
              <w:t>样</w:t>
            </w:r>
            <w:r>
              <w:t>泡沫</w:t>
            </w:r>
            <w:r>
              <w:rPr>
                <w:rFonts w:hint="eastAsia"/>
              </w:rPr>
              <w:t>样</w:t>
            </w:r>
            <w:r>
              <w:t>痰、呼吸窘迫、谵妄、昏迷、休克等。可发生喉头水肿或支气管黏膜坏死脱落窒息。高浓度氨可引起反射性呼吸停止。</w:t>
            </w:r>
          </w:p>
        </w:tc>
      </w:tr>
      <w:tr w14:paraId="5D2DBB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439C7DE8">
            <w:pPr>
              <w:pStyle w:val="557"/>
            </w:pPr>
            <w:r>
              <w:t>急救措施</w:t>
            </w:r>
          </w:p>
        </w:tc>
        <w:tc>
          <w:tcPr>
            <w:tcW w:w="1596" w:type="dxa"/>
            <w:shd w:val="clear" w:color="auto" w:fill="FFFFFF"/>
            <w:vAlign w:val="center"/>
          </w:tcPr>
          <w:p w14:paraId="6597107C">
            <w:pPr>
              <w:pStyle w:val="557"/>
            </w:pPr>
            <w:r>
              <w:t>皮肤接触</w:t>
            </w:r>
          </w:p>
        </w:tc>
        <w:tc>
          <w:tcPr>
            <w:tcW w:w="6538" w:type="dxa"/>
            <w:gridSpan w:val="6"/>
            <w:shd w:val="clear" w:color="auto" w:fill="FFFFFF"/>
            <w:vAlign w:val="center"/>
          </w:tcPr>
          <w:p w14:paraId="6F6051C4">
            <w:pPr>
              <w:pStyle w:val="557"/>
            </w:pPr>
            <w:r>
              <w:t>立即脱去被污染的衣着，应用2%硼酸液或大量清水彻底冲洗。就医。</w:t>
            </w:r>
          </w:p>
        </w:tc>
      </w:tr>
      <w:tr w14:paraId="54315E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E80C0B4">
            <w:pPr>
              <w:pStyle w:val="557"/>
            </w:pPr>
          </w:p>
        </w:tc>
        <w:tc>
          <w:tcPr>
            <w:tcW w:w="1596" w:type="dxa"/>
            <w:shd w:val="clear" w:color="auto" w:fill="FFFFFF"/>
            <w:vAlign w:val="center"/>
          </w:tcPr>
          <w:p w14:paraId="6C6D80DF">
            <w:pPr>
              <w:pStyle w:val="557"/>
            </w:pPr>
            <w:r>
              <w:t>眼睛接触</w:t>
            </w:r>
          </w:p>
        </w:tc>
        <w:tc>
          <w:tcPr>
            <w:tcW w:w="6538" w:type="dxa"/>
            <w:gridSpan w:val="6"/>
            <w:shd w:val="clear" w:color="auto" w:fill="FFFFFF"/>
            <w:vAlign w:val="center"/>
          </w:tcPr>
          <w:p w14:paraId="3FF5CFCA">
            <w:pPr>
              <w:pStyle w:val="557"/>
            </w:pPr>
            <w:r>
              <w:t>立即提起眼睑，用大量流动清水或生理盐水彻底冲洗至少15分钟。就医。</w:t>
            </w:r>
          </w:p>
        </w:tc>
      </w:tr>
      <w:tr w14:paraId="07924A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4F251F3">
            <w:pPr>
              <w:pStyle w:val="557"/>
            </w:pPr>
          </w:p>
        </w:tc>
        <w:tc>
          <w:tcPr>
            <w:tcW w:w="1596" w:type="dxa"/>
            <w:shd w:val="clear" w:color="auto" w:fill="FFFFFF"/>
            <w:vAlign w:val="center"/>
          </w:tcPr>
          <w:p w14:paraId="5F3E8B5A">
            <w:pPr>
              <w:pStyle w:val="557"/>
            </w:pPr>
            <w:r>
              <w:t>吸入</w:t>
            </w:r>
          </w:p>
        </w:tc>
        <w:tc>
          <w:tcPr>
            <w:tcW w:w="6538" w:type="dxa"/>
            <w:gridSpan w:val="6"/>
            <w:shd w:val="clear" w:color="auto" w:fill="FFFFFF"/>
            <w:vAlign w:val="center"/>
          </w:tcPr>
          <w:p w14:paraId="7D74DEBF">
            <w:pPr>
              <w:pStyle w:val="557"/>
            </w:pPr>
            <w:r>
              <w:t>迅速脱离现场至空气新鲜处。保持呼吸道通畅。如呼吸困难，给输氧。如呼吸停止，立即进行人工呼吸。就医。</w:t>
            </w:r>
          </w:p>
        </w:tc>
      </w:tr>
      <w:tr w14:paraId="07E2B6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12423B12">
            <w:pPr>
              <w:pStyle w:val="557"/>
            </w:pPr>
          </w:p>
        </w:tc>
        <w:tc>
          <w:tcPr>
            <w:tcW w:w="1596" w:type="dxa"/>
            <w:shd w:val="clear" w:color="auto" w:fill="FFFFFF"/>
            <w:vAlign w:val="center"/>
          </w:tcPr>
          <w:p w14:paraId="11E0D817">
            <w:pPr>
              <w:pStyle w:val="557"/>
            </w:pPr>
            <w:r>
              <w:t>食入</w:t>
            </w:r>
          </w:p>
        </w:tc>
        <w:tc>
          <w:tcPr>
            <w:tcW w:w="6538" w:type="dxa"/>
            <w:gridSpan w:val="6"/>
            <w:shd w:val="clear" w:color="auto" w:fill="FFFFFF"/>
            <w:vAlign w:val="center"/>
          </w:tcPr>
          <w:p w14:paraId="79CEA6D2">
            <w:pPr>
              <w:pStyle w:val="557"/>
            </w:pPr>
          </w:p>
        </w:tc>
      </w:tr>
      <w:tr w14:paraId="2FDA7C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1F815D25">
            <w:pPr>
              <w:pStyle w:val="557"/>
            </w:pPr>
            <w:r>
              <w:t>消防措施</w:t>
            </w:r>
          </w:p>
        </w:tc>
        <w:tc>
          <w:tcPr>
            <w:tcW w:w="1596" w:type="dxa"/>
            <w:shd w:val="clear" w:color="auto" w:fill="FFFFFF"/>
            <w:vAlign w:val="center"/>
          </w:tcPr>
          <w:p w14:paraId="40DF10D5">
            <w:pPr>
              <w:pStyle w:val="557"/>
            </w:pPr>
            <w:r>
              <w:t>危险特性</w:t>
            </w:r>
          </w:p>
        </w:tc>
        <w:tc>
          <w:tcPr>
            <w:tcW w:w="6538" w:type="dxa"/>
            <w:gridSpan w:val="6"/>
            <w:shd w:val="clear" w:color="auto" w:fill="FFFFFF"/>
            <w:vAlign w:val="center"/>
          </w:tcPr>
          <w:p w14:paraId="4895A4A7">
            <w:pPr>
              <w:pStyle w:val="557"/>
            </w:pPr>
            <w:r>
              <w:t>与空气混合能形成爆炸性混合物。遇明火、高热能引起燃烧爆炸。与氟、氯等接触会发生剧烈的化学反应。若遇高热，容器内压增大，有开裂和爆炸的危险。</w:t>
            </w:r>
          </w:p>
        </w:tc>
      </w:tr>
      <w:tr w14:paraId="4FCBD0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BE24351">
            <w:pPr>
              <w:pStyle w:val="557"/>
            </w:pPr>
          </w:p>
        </w:tc>
        <w:tc>
          <w:tcPr>
            <w:tcW w:w="1596" w:type="dxa"/>
            <w:tcBorders>
              <w:bottom w:val="single" w:color="auto" w:sz="4" w:space="0"/>
            </w:tcBorders>
            <w:shd w:val="clear" w:color="auto" w:fill="FFFFFF"/>
            <w:vAlign w:val="center"/>
          </w:tcPr>
          <w:p w14:paraId="623D6F76">
            <w:pPr>
              <w:pStyle w:val="557"/>
            </w:pPr>
            <w:r>
              <w:t>燃烧产物</w:t>
            </w:r>
          </w:p>
        </w:tc>
        <w:tc>
          <w:tcPr>
            <w:tcW w:w="6538" w:type="dxa"/>
            <w:gridSpan w:val="6"/>
            <w:tcBorders>
              <w:bottom w:val="single" w:color="auto" w:sz="4" w:space="0"/>
            </w:tcBorders>
            <w:shd w:val="clear" w:color="auto" w:fill="FFFFFF"/>
            <w:vAlign w:val="center"/>
          </w:tcPr>
          <w:p w14:paraId="69E9F794">
            <w:pPr>
              <w:pStyle w:val="557"/>
            </w:pPr>
            <w:r>
              <w:t>氧化氮、氨</w:t>
            </w:r>
          </w:p>
        </w:tc>
      </w:tr>
      <w:tr w14:paraId="26D480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tcBorders>
              <w:right w:val="single" w:color="auto" w:sz="4" w:space="0"/>
            </w:tcBorders>
            <w:shd w:val="clear" w:color="auto" w:fill="FFFFFF"/>
            <w:vAlign w:val="center"/>
          </w:tcPr>
          <w:p w14:paraId="59038E50">
            <w:pPr>
              <w:pStyle w:val="557"/>
            </w:pP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14:paraId="78777990">
            <w:pPr>
              <w:pStyle w:val="557"/>
            </w:pPr>
            <w:r>
              <w:t>灭火方法</w:t>
            </w:r>
          </w:p>
        </w:tc>
        <w:tc>
          <w:tcPr>
            <w:tcW w:w="6538" w:type="dxa"/>
            <w:gridSpan w:val="6"/>
            <w:tcBorders>
              <w:top w:val="single" w:color="auto" w:sz="4" w:space="0"/>
              <w:left w:val="single" w:color="auto" w:sz="4" w:space="0"/>
              <w:bottom w:val="single" w:color="auto" w:sz="4" w:space="0"/>
            </w:tcBorders>
            <w:shd w:val="clear" w:color="auto" w:fill="FFFFFF"/>
            <w:vAlign w:val="center"/>
          </w:tcPr>
          <w:p w14:paraId="1A7F75BD">
            <w:pPr>
              <w:pStyle w:val="557"/>
            </w:pPr>
            <w:r>
              <w:t>消防人员必须穿全身防火防毒服，在上风向灭火。切断气源。若不能切断气源。则不允许熄灭泄漏处的火焰。喷水冷却容器。灭火剂：雾状水、抗溶性泡沫、二氧化碳、砂土。</w:t>
            </w:r>
          </w:p>
        </w:tc>
      </w:tr>
      <w:tr w14:paraId="5E96D0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tcBorders>
              <w:right w:val="single" w:color="auto" w:sz="4" w:space="0"/>
            </w:tcBorders>
            <w:shd w:val="clear" w:color="auto" w:fill="FFFFFF"/>
            <w:vAlign w:val="center"/>
          </w:tcPr>
          <w:p w14:paraId="415FA640">
            <w:pPr>
              <w:pStyle w:val="557"/>
            </w:pPr>
            <w:r>
              <w:t>泄漏应急</w:t>
            </w:r>
          </w:p>
          <w:p w14:paraId="0D79BF8B">
            <w:pPr>
              <w:pStyle w:val="557"/>
            </w:pPr>
            <w:r>
              <w:t>处理</w:t>
            </w:r>
          </w:p>
        </w:tc>
        <w:tc>
          <w:tcPr>
            <w:tcW w:w="1596" w:type="dxa"/>
            <w:tcBorders>
              <w:top w:val="single" w:color="auto" w:sz="4" w:space="0"/>
              <w:left w:val="single" w:color="auto" w:sz="4" w:space="0"/>
              <w:bottom w:val="single" w:color="auto" w:sz="4" w:space="0"/>
              <w:right w:val="single" w:color="auto" w:sz="4" w:space="0"/>
            </w:tcBorders>
            <w:shd w:val="clear" w:color="auto" w:fill="FFFFFF"/>
            <w:vAlign w:val="center"/>
          </w:tcPr>
          <w:p w14:paraId="12B5E641">
            <w:pPr>
              <w:pStyle w:val="557"/>
            </w:pPr>
            <w:r>
              <w:t>应急行动</w:t>
            </w:r>
          </w:p>
        </w:tc>
        <w:tc>
          <w:tcPr>
            <w:tcW w:w="6538" w:type="dxa"/>
            <w:gridSpan w:val="6"/>
            <w:tcBorders>
              <w:top w:val="single" w:color="auto" w:sz="4" w:space="0"/>
              <w:left w:val="single" w:color="auto" w:sz="4" w:space="0"/>
              <w:bottom w:val="single" w:color="auto" w:sz="4" w:space="0"/>
            </w:tcBorders>
            <w:shd w:val="clear" w:color="auto" w:fill="FFFFFF"/>
            <w:vAlign w:val="center"/>
          </w:tcPr>
          <w:p w14:paraId="674F0C46">
            <w:pPr>
              <w:pStyle w:val="557"/>
            </w:pPr>
            <w:r>
              <w:t>迅速撤离泄漏污染区人员至上风处，并立即隔离150m</w:t>
            </w:r>
            <w:r>
              <w:rPr>
                <w:rFonts w:hint="eastAsia"/>
              </w:rPr>
              <w:t>，</w:t>
            </w:r>
            <w:r>
              <w:t>严格限制出入。切断火源。建议应急处理人员戴自给正压式呼吸器，穿防静电工作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14:paraId="6B03BC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5AC09DB0">
            <w:pPr>
              <w:pStyle w:val="557"/>
            </w:pPr>
            <w:r>
              <w:t>操作处置与储存</w:t>
            </w:r>
          </w:p>
        </w:tc>
        <w:tc>
          <w:tcPr>
            <w:tcW w:w="1596" w:type="dxa"/>
            <w:tcBorders>
              <w:top w:val="single" w:color="auto" w:sz="4" w:space="0"/>
            </w:tcBorders>
            <w:shd w:val="clear" w:color="auto" w:fill="FFFFFF"/>
            <w:vAlign w:val="center"/>
          </w:tcPr>
          <w:p w14:paraId="2A6E52BD">
            <w:pPr>
              <w:pStyle w:val="557"/>
            </w:pPr>
            <w:r>
              <w:t>操作处置</w:t>
            </w:r>
          </w:p>
          <w:p w14:paraId="6568E26B">
            <w:pPr>
              <w:pStyle w:val="557"/>
            </w:pPr>
            <w:r>
              <w:t>注意事项</w:t>
            </w:r>
          </w:p>
        </w:tc>
        <w:tc>
          <w:tcPr>
            <w:tcW w:w="6538" w:type="dxa"/>
            <w:gridSpan w:val="6"/>
            <w:tcBorders>
              <w:top w:val="single" w:color="auto" w:sz="4" w:space="0"/>
            </w:tcBorders>
            <w:shd w:val="clear" w:color="auto" w:fill="FFFFFF"/>
            <w:vAlign w:val="center"/>
          </w:tcPr>
          <w:p w14:paraId="03C300D6">
            <w:pPr>
              <w:pStyle w:val="557"/>
            </w:pPr>
            <w:r>
              <w:t>严加密闭，提供充分的局部排风和全面通风。操作人员必须经过专门培训，严格遵守操作规程。建议操作人员佩戴过滤式防毒面具（半面罩），戴化学安全防护眼镜，穿防静电工作服，戴橡胶手套。远离火种、热源，工作场所严禁吸烟。使用防爆型的通风系统和设备。防止气体泄漏到工作场所空气中。避免与氧化剂、酸类、卤素接触。搬运时轻装轻卸，防止钢瓶及附件破损。配备相应品种和数量的消防器材及泄漏应急处理设备。</w:t>
            </w:r>
          </w:p>
        </w:tc>
      </w:tr>
      <w:tr w14:paraId="3B34DE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96A15C3">
            <w:pPr>
              <w:pStyle w:val="557"/>
            </w:pPr>
          </w:p>
        </w:tc>
        <w:tc>
          <w:tcPr>
            <w:tcW w:w="1596" w:type="dxa"/>
            <w:shd w:val="clear" w:color="auto" w:fill="FFFFFF"/>
            <w:vAlign w:val="center"/>
          </w:tcPr>
          <w:p w14:paraId="45D1964F">
            <w:pPr>
              <w:pStyle w:val="557"/>
            </w:pPr>
            <w:r>
              <w:t>储存</w:t>
            </w:r>
          </w:p>
          <w:p w14:paraId="14801E95">
            <w:pPr>
              <w:pStyle w:val="557"/>
            </w:pPr>
            <w:r>
              <w:t>注意事项</w:t>
            </w:r>
          </w:p>
        </w:tc>
        <w:tc>
          <w:tcPr>
            <w:tcW w:w="6538" w:type="dxa"/>
            <w:gridSpan w:val="6"/>
            <w:shd w:val="clear" w:color="auto" w:fill="FFFFFF"/>
            <w:vAlign w:val="center"/>
          </w:tcPr>
          <w:p w14:paraId="1221F15B">
            <w:pPr>
              <w:pStyle w:val="557"/>
            </w:pPr>
            <w:r>
              <w:t>储存于阴凉、通风的库房。远离火种、热源。库温不宜超过30℃。应与氧化剂、酸类、卤素、食用化学品分开存放，切忌混储。采用防爆型照明、通风设施。禁止使用易产生火花的机械设备和工具。储区应备有泄漏应急处理设备。</w:t>
            </w:r>
          </w:p>
        </w:tc>
      </w:tr>
      <w:tr w14:paraId="5E5567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7649391A">
            <w:pPr>
              <w:pStyle w:val="557"/>
            </w:pPr>
            <w:r>
              <w:t>接触控制和个体防护</w:t>
            </w:r>
          </w:p>
        </w:tc>
        <w:tc>
          <w:tcPr>
            <w:tcW w:w="1596" w:type="dxa"/>
            <w:vMerge w:val="restart"/>
            <w:shd w:val="clear" w:color="auto" w:fill="FFFFFF"/>
            <w:vAlign w:val="center"/>
          </w:tcPr>
          <w:p w14:paraId="7220A1C3">
            <w:pPr>
              <w:pStyle w:val="557"/>
            </w:pPr>
            <w:r>
              <w:t>最高允许</w:t>
            </w:r>
          </w:p>
          <w:p w14:paraId="68EAB7D7">
            <w:pPr>
              <w:pStyle w:val="557"/>
            </w:pPr>
            <w:r>
              <w:t>浓度</w:t>
            </w:r>
          </w:p>
        </w:tc>
        <w:tc>
          <w:tcPr>
            <w:tcW w:w="6538" w:type="dxa"/>
            <w:gridSpan w:val="6"/>
            <w:shd w:val="clear" w:color="auto" w:fill="FFFFFF"/>
            <w:vAlign w:val="center"/>
          </w:tcPr>
          <w:p w14:paraId="0F9B92A4">
            <w:pPr>
              <w:pStyle w:val="557"/>
            </w:pPr>
            <w:r>
              <w:t>中国：MAC（mg/m</w:t>
            </w:r>
            <w:r>
              <w:rPr>
                <w:vertAlign w:val="superscript"/>
              </w:rPr>
              <w:t>3</w:t>
            </w:r>
            <w:r>
              <w:t>）30</w:t>
            </w:r>
          </w:p>
        </w:tc>
      </w:tr>
      <w:tr w14:paraId="48B705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D7A5093">
            <w:pPr>
              <w:pStyle w:val="557"/>
            </w:pPr>
          </w:p>
        </w:tc>
        <w:tc>
          <w:tcPr>
            <w:tcW w:w="1596" w:type="dxa"/>
            <w:vMerge w:val="continue"/>
            <w:shd w:val="clear" w:color="auto" w:fill="FFFFFF"/>
            <w:vAlign w:val="center"/>
          </w:tcPr>
          <w:p w14:paraId="2871DBBD">
            <w:pPr>
              <w:pStyle w:val="557"/>
            </w:pPr>
          </w:p>
        </w:tc>
        <w:tc>
          <w:tcPr>
            <w:tcW w:w="6538" w:type="dxa"/>
            <w:gridSpan w:val="6"/>
            <w:shd w:val="clear" w:color="auto" w:fill="FFFFFF"/>
            <w:vAlign w:val="center"/>
          </w:tcPr>
          <w:p w14:paraId="3307AE50">
            <w:pPr>
              <w:pStyle w:val="557"/>
            </w:pPr>
            <w:r>
              <w:t>前苏联：MAC（mg/m</w:t>
            </w:r>
            <w:r>
              <w:rPr>
                <w:vertAlign w:val="superscript"/>
              </w:rPr>
              <w:t>3</w:t>
            </w:r>
            <w:r>
              <w:t>）20</w:t>
            </w:r>
          </w:p>
        </w:tc>
      </w:tr>
      <w:tr w14:paraId="73E88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06B779E">
            <w:pPr>
              <w:pStyle w:val="557"/>
            </w:pPr>
          </w:p>
        </w:tc>
        <w:tc>
          <w:tcPr>
            <w:tcW w:w="1596" w:type="dxa"/>
            <w:shd w:val="clear" w:color="auto" w:fill="FFFFFF"/>
            <w:vAlign w:val="center"/>
          </w:tcPr>
          <w:p w14:paraId="25D8C16A">
            <w:pPr>
              <w:pStyle w:val="557"/>
            </w:pPr>
            <w:r>
              <w:t>监测方法</w:t>
            </w:r>
          </w:p>
        </w:tc>
        <w:tc>
          <w:tcPr>
            <w:tcW w:w="6538" w:type="dxa"/>
            <w:gridSpan w:val="6"/>
            <w:shd w:val="clear" w:color="auto" w:fill="FFFFFF"/>
            <w:vAlign w:val="center"/>
          </w:tcPr>
          <w:p w14:paraId="0780D142">
            <w:pPr>
              <w:pStyle w:val="557"/>
            </w:pPr>
            <w:r>
              <w:t>纳氏试剂比色法</w:t>
            </w:r>
          </w:p>
        </w:tc>
      </w:tr>
      <w:tr w14:paraId="25E2B8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B283C90">
            <w:pPr>
              <w:pStyle w:val="557"/>
            </w:pPr>
          </w:p>
        </w:tc>
        <w:tc>
          <w:tcPr>
            <w:tcW w:w="1596" w:type="dxa"/>
            <w:shd w:val="clear" w:color="auto" w:fill="FFFFFF"/>
            <w:vAlign w:val="center"/>
          </w:tcPr>
          <w:p w14:paraId="11A82C85">
            <w:pPr>
              <w:pStyle w:val="557"/>
            </w:pPr>
            <w:r>
              <w:t>工程控制</w:t>
            </w:r>
          </w:p>
        </w:tc>
        <w:tc>
          <w:tcPr>
            <w:tcW w:w="6538" w:type="dxa"/>
            <w:gridSpan w:val="6"/>
            <w:shd w:val="clear" w:color="auto" w:fill="FFFFFF"/>
            <w:vAlign w:val="center"/>
          </w:tcPr>
          <w:p w14:paraId="7BC09360">
            <w:pPr>
              <w:pStyle w:val="557"/>
            </w:pPr>
            <w:r>
              <w:t>严加密闭，提供充分的局部排风和全面通风。提供安全淋浴和洗眼设备。</w:t>
            </w:r>
          </w:p>
        </w:tc>
      </w:tr>
      <w:tr w14:paraId="32AAE2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5C8D18A">
            <w:pPr>
              <w:pStyle w:val="557"/>
            </w:pPr>
          </w:p>
        </w:tc>
        <w:tc>
          <w:tcPr>
            <w:tcW w:w="1596" w:type="dxa"/>
            <w:shd w:val="clear" w:color="auto" w:fill="FFFFFF"/>
            <w:vAlign w:val="center"/>
          </w:tcPr>
          <w:p w14:paraId="041B3C41">
            <w:pPr>
              <w:pStyle w:val="557"/>
            </w:pPr>
            <w:r>
              <w:t>呼吸系统</w:t>
            </w:r>
          </w:p>
          <w:p w14:paraId="23E34808">
            <w:pPr>
              <w:pStyle w:val="557"/>
            </w:pPr>
            <w:r>
              <w:t>防护</w:t>
            </w:r>
          </w:p>
        </w:tc>
        <w:tc>
          <w:tcPr>
            <w:tcW w:w="6538" w:type="dxa"/>
            <w:gridSpan w:val="6"/>
            <w:shd w:val="clear" w:color="auto" w:fill="FFFFFF"/>
            <w:vAlign w:val="center"/>
          </w:tcPr>
          <w:p w14:paraId="614F1A25">
            <w:pPr>
              <w:pStyle w:val="557"/>
            </w:pPr>
            <w:r>
              <w:t>空气中浓度超标时，建议佩戴过滤式防毒面具（半面罩）。紧急事态抢救或撤离时，必须佩戴空气呼吸器。</w:t>
            </w:r>
          </w:p>
        </w:tc>
      </w:tr>
      <w:tr w14:paraId="116F46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0D222A7">
            <w:pPr>
              <w:pStyle w:val="557"/>
            </w:pPr>
          </w:p>
        </w:tc>
        <w:tc>
          <w:tcPr>
            <w:tcW w:w="1596" w:type="dxa"/>
            <w:shd w:val="clear" w:color="auto" w:fill="FFFFFF"/>
            <w:vAlign w:val="center"/>
          </w:tcPr>
          <w:p w14:paraId="78884358">
            <w:pPr>
              <w:pStyle w:val="557"/>
            </w:pPr>
            <w:r>
              <w:t>眼睛防护</w:t>
            </w:r>
          </w:p>
        </w:tc>
        <w:tc>
          <w:tcPr>
            <w:tcW w:w="6538" w:type="dxa"/>
            <w:gridSpan w:val="6"/>
            <w:shd w:val="clear" w:color="auto" w:fill="FFFFFF"/>
            <w:vAlign w:val="center"/>
          </w:tcPr>
          <w:p w14:paraId="1E8C8FA4">
            <w:pPr>
              <w:pStyle w:val="557"/>
            </w:pPr>
            <w:r>
              <w:t>戴化学安全防护眼镜。</w:t>
            </w:r>
          </w:p>
        </w:tc>
      </w:tr>
      <w:tr w14:paraId="59C7D1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4DEE810">
            <w:pPr>
              <w:pStyle w:val="557"/>
            </w:pPr>
          </w:p>
        </w:tc>
        <w:tc>
          <w:tcPr>
            <w:tcW w:w="1596" w:type="dxa"/>
            <w:shd w:val="clear" w:color="auto" w:fill="FFFFFF"/>
            <w:vAlign w:val="center"/>
          </w:tcPr>
          <w:p w14:paraId="2679A660">
            <w:pPr>
              <w:pStyle w:val="557"/>
            </w:pPr>
            <w:r>
              <w:t>身体防护</w:t>
            </w:r>
          </w:p>
        </w:tc>
        <w:tc>
          <w:tcPr>
            <w:tcW w:w="6538" w:type="dxa"/>
            <w:gridSpan w:val="6"/>
            <w:shd w:val="clear" w:color="auto" w:fill="FFFFFF"/>
            <w:vAlign w:val="center"/>
          </w:tcPr>
          <w:p w14:paraId="23F06E65">
            <w:pPr>
              <w:pStyle w:val="557"/>
            </w:pPr>
            <w:r>
              <w:t>穿防静电工作服。</w:t>
            </w:r>
          </w:p>
        </w:tc>
      </w:tr>
      <w:tr w14:paraId="214DF9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1AB36E3">
            <w:pPr>
              <w:pStyle w:val="557"/>
            </w:pPr>
          </w:p>
        </w:tc>
        <w:tc>
          <w:tcPr>
            <w:tcW w:w="1596" w:type="dxa"/>
            <w:shd w:val="clear" w:color="auto" w:fill="FFFFFF"/>
            <w:vAlign w:val="center"/>
          </w:tcPr>
          <w:p w14:paraId="00657C88">
            <w:pPr>
              <w:pStyle w:val="557"/>
            </w:pPr>
            <w:r>
              <w:t>手防护</w:t>
            </w:r>
          </w:p>
        </w:tc>
        <w:tc>
          <w:tcPr>
            <w:tcW w:w="6538" w:type="dxa"/>
            <w:gridSpan w:val="6"/>
            <w:shd w:val="clear" w:color="auto" w:fill="FFFFFF"/>
            <w:vAlign w:val="center"/>
          </w:tcPr>
          <w:p w14:paraId="50672D9E">
            <w:pPr>
              <w:pStyle w:val="557"/>
            </w:pPr>
            <w:r>
              <w:t>戴橡胶手套。</w:t>
            </w:r>
          </w:p>
        </w:tc>
      </w:tr>
      <w:tr w14:paraId="51BBF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4774981E">
            <w:pPr>
              <w:pStyle w:val="557"/>
            </w:pPr>
          </w:p>
        </w:tc>
        <w:tc>
          <w:tcPr>
            <w:tcW w:w="1596" w:type="dxa"/>
            <w:shd w:val="clear" w:color="auto" w:fill="FFFFFF"/>
            <w:vAlign w:val="center"/>
          </w:tcPr>
          <w:p w14:paraId="5EFC99A7">
            <w:pPr>
              <w:pStyle w:val="557"/>
            </w:pPr>
            <w:r>
              <w:t>其他防护</w:t>
            </w:r>
          </w:p>
        </w:tc>
        <w:tc>
          <w:tcPr>
            <w:tcW w:w="6538" w:type="dxa"/>
            <w:gridSpan w:val="6"/>
            <w:shd w:val="clear" w:color="auto" w:fill="FFFFFF"/>
            <w:vAlign w:val="center"/>
          </w:tcPr>
          <w:p w14:paraId="1B9F84F2">
            <w:pPr>
              <w:pStyle w:val="557"/>
            </w:pPr>
            <w:r>
              <w:t>工作现场严禁吸烟、进食和饮水，工作完毕，</w:t>
            </w:r>
            <w:r>
              <w:rPr>
                <w:rFonts w:hint="eastAsia"/>
              </w:rPr>
              <w:t>沐浴</w:t>
            </w:r>
            <w:r>
              <w:t>更衣。保持良好的卫生习惯。</w:t>
            </w:r>
          </w:p>
        </w:tc>
      </w:tr>
      <w:tr w14:paraId="2CED0D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326FFF6C">
            <w:pPr>
              <w:pStyle w:val="557"/>
            </w:pPr>
            <w:r>
              <w:t>稳定性和反应活性</w:t>
            </w:r>
          </w:p>
        </w:tc>
        <w:tc>
          <w:tcPr>
            <w:tcW w:w="1596" w:type="dxa"/>
            <w:shd w:val="clear" w:color="auto" w:fill="FFFFFF"/>
            <w:vAlign w:val="center"/>
          </w:tcPr>
          <w:p w14:paraId="0DA6A0EA">
            <w:pPr>
              <w:pStyle w:val="557"/>
            </w:pPr>
            <w:r>
              <w:t>稳定性</w:t>
            </w:r>
          </w:p>
        </w:tc>
        <w:tc>
          <w:tcPr>
            <w:tcW w:w="6538" w:type="dxa"/>
            <w:gridSpan w:val="6"/>
            <w:shd w:val="clear" w:color="auto" w:fill="FFFFFF"/>
            <w:vAlign w:val="center"/>
          </w:tcPr>
          <w:p w14:paraId="4C77D9D8">
            <w:pPr>
              <w:pStyle w:val="557"/>
            </w:pPr>
            <w:r>
              <w:t>稳定</w:t>
            </w:r>
          </w:p>
        </w:tc>
      </w:tr>
      <w:tr w14:paraId="53B46F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1D1BC1C3">
            <w:pPr>
              <w:pStyle w:val="557"/>
            </w:pPr>
          </w:p>
        </w:tc>
        <w:tc>
          <w:tcPr>
            <w:tcW w:w="1596" w:type="dxa"/>
            <w:shd w:val="clear" w:color="auto" w:fill="FFFFFF"/>
            <w:vAlign w:val="center"/>
          </w:tcPr>
          <w:p w14:paraId="4CE5153B">
            <w:pPr>
              <w:pStyle w:val="557"/>
            </w:pPr>
            <w:r>
              <w:t>禁忌物</w:t>
            </w:r>
          </w:p>
        </w:tc>
        <w:tc>
          <w:tcPr>
            <w:tcW w:w="6538" w:type="dxa"/>
            <w:gridSpan w:val="6"/>
            <w:shd w:val="clear" w:color="auto" w:fill="FFFFFF"/>
            <w:vAlign w:val="center"/>
          </w:tcPr>
          <w:p w14:paraId="0B6C458A">
            <w:pPr>
              <w:pStyle w:val="557"/>
            </w:pPr>
            <w:r>
              <w:t>卤素、酰基氯、酸类、氯仿、强氧化剂</w:t>
            </w:r>
          </w:p>
        </w:tc>
      </w:tr>
      <w:tr w14:paraId="1ABB19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4C16826C">
            <w:pPr>
              <w:pStyle w:val="557"/>
            </w:pPr>
          </w:p>
        </w:tc>
        <w:tc>
          <w:tcPr>
            <w:tcW w:w="1596" w:type="dxa"/>
            <w:shd w:val="clear" w:color="auto" w:fill="FFFFFF"/>
            <w:vAlign w:val="center"/>
          </w:tcPr>
          <w:p w14:paraId="16964480">
            <w:pPr>
              <w:pStyle w:val="557"/>
            </w:pPr>
            <w:r>
              <w:t>聚合危害</w:t>
            </w:r>
          </w:p>
        </w:tc>
        <w:tc>
          <w:tcPr>
            <w:tcW w:w="6538" w:type="dxa"/>
            <w:gridSpan w:val="6"/>
            <w:shd w:val="clear" w:color="auto" w:fill="FFFFFF"/>
            <w:vAlign w:val="center"/>
          </w:tcPr>
          <w:p w14:paraId="1DCE9F1F">
            <w:pPr>
              <w:pStyle w:val="557"/>
            </w:pPr>
            <w:r>
              <w:t>不聚合</w:t>
            </w:r>
          </w:p>
        </w:tc>
      </w:tr>
      <w:tr w14:paraId="166848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16D656D4">
            <w:pPr>
              <w:pStyle w:val="557"/>
            </w:pPr>
          </w:p>
        </w:tc>
        <w:tc>
          <w:tcPr>
            <w:tcW w:w="1596" w:type="dxa"/>
            <w:shd w:val="clear" w:color="auto" w:fill="FFFFFF"/>
            <w:vAlign w:val="center"/>
          </w:tcPr>
          <w:p w14:paraId="37CDB239">
            <w:pPr>
              <w:pStyle w:val="557"/>
            </w:pPr>
            <w:r>
              <w:t>避免接触条件</w:t>
            </w:r>
          </w:p>
        </w:tc>
        <w:tc>
          <w:tcPr>
            <w:tcW w:w="6538" w:type="dxa"/>
            <w:gridSpan w:val="6"/>
            <w:shd w:val="clear" w:color="auto" w:fill="FFFFFF"/>
            <w:vAlign w:val="center"/>
          </w:tcPr>
          <w:p w14:paraId="693AF8D1">
            <w:pPr>
              <w:pStyle w:val="557"/>
            </w:pPr>
          </w:p>
        </w:tc>
      </w:tr>
      <w:tr w14:paraId="130771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39A06081">
            <w:pPr>
              <w:pStyle w:val="557"/>
            </w:pPr>
            <w:r>
              <w:t>毒理学资料</w:t>
            </w:r>
          </w:p>
        </w:tc>
        <w:tc>
          <w:tcPr>
            <w:tcW w:w="1596" w:type="dxa"/>
            <w:vMerge w:val="restart"/>
            <w:shd w:val="clear" w:color="auto" w:fill="FFFFFF"/>
            <w:vAlign w:val="center"/>
          </w:tcPr>
          <w:p w14:paraId="58A30988">
            <w:pPr>
              <w:pStyle w:val="557"/>
            </w:pPr>
            <w:r>
              <w:t>急性毒性</w:t>
            </w:r>
          </w:p>
        </w:tc>
        <w:tc>
          <w:tcPr>
            <w:tcW w:w="6538" w:type="dxa"/>
            <w:gridSpan w:val="6"/>
            <w:shd w:val="clear" w:color="auto" w:fill="FFFFFF"/>
            <w:vAlign w:val="center"/>
          </w:tcPr>
          <w:p w14:paraId="01B189FD">
            <w:pPr>
              <w:pStyle w:val="557"/>
            </w:pPr>
            <w:r>
              <w:t>LD50：350mg/kg（大鼠经口）</w:t>
            </w:r>
          </w:p>
        </w:tc>
      </w:tr>
      <w:tr w14:paraId="750EE9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1FA38721">
            <w:pPr>
              <w:pStyle w:val="557"/>
            </w:pPr>
          </w:p>
        </w:tc>
        <w:tc>
          <w:tcPr>
            <w:tcW w:w="1596" w:type="dxa"/>
            <w:vMerge w:val="continue"/>
            <w:shd w:val="clear" w:color="auto" w:fill="FFFFFF"/>
            <w:vAlign w:val="center"/>
          </w:tcPr>
          <w:p w14:paraId="5F83C631">
            <w:pPr>
              <w:pStyle w:val="557"/>
            </w:pPr>
          </w:p>
        </w:tc>
        <w:tc>
          <w:tcPr>
            <w:tcW w:w="6538" w:type="dxa"/>
            <w:gridSpan w:val="6"/>
            <w:shd w:val="clear" w:color="auto" w:fill="FFFFFF"/>
            <w:vAlign w:val="center"/>
          </w:tcPr>
          <w:p w14:paraId="5D573165">
            <w:pPr>
              <w:pStyle w:val="557"/>
            </w:pPr>
            <w:r>
              <w:t>LC50：1390mg/m3,4小时（大鼠吸入）</w:t>
            </w:r>
          </w:p>
        </w:tc>
      </w:tr>
      <w:tr w14:paraId="4AF174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582480BA">
            <w:pPr>
              <w:pStyle w:val="557"/>
            </w:pPr>
          </w:p>
        </w:tc>
        <w:tc>
          <w:tcPr>
            <w:tcW w:w="1596" w:type="dxa"/>
            <w:shd w:val="clear" w:color="auto" w:fill="FFFFFF"/>
            <w:vAlign w:val="center"/>
          </w:tcPr>
          <w:p w14:paraId="0B6B3A03">
            <w:pPr>
              <w:pStyle w:val="557"/>
            </w:pPr>
            <w:r>
              <w:t>刺激性</w:t>
            </w:r>
          </w:p>
        </w:tc>
        <w:tc>
          <w:tcPr>
            <w:tcW w:w="6538" w:type="dxa"/>
            <w:gridSpan w:val="6"/>
            <w:shd w:val="clear" w:color="auto" w:fill="FFFFFF"/>
            <w:vAlign w:val="center"/>
          </w:tcPr>
          <w:p w14:paraId="2B9D41C9">
            <w:pPr>
              <w:pStyle w:val="557"/>
            </w:pPr>
            <w:r>
              <w:t>家兔经眼：DNA抑制：人白细胞2200μmol/L。姐妹染色单体交换：人淋巴细胞200μmol/L。可引起黏膜刺激。导致眼刺激。</w:t>
            </w:r>
          </w:p>
        </w:tc>
      </w:tr>
      <w:tr w14:paraId="4023F4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2C0CE446">
            <w:pPr>
              <w:pStyle w:val="557"/>
            </w:pPr>
            <w:r>
              <w:t>生态学资料</w:t>
            </w:r>
          </w:p>
        </w:tc>
        <w:tc>
          <w:tcPr>
            <w:tcW w:w="1596" w:type="dxa"/>
            <w:shd w:val="clear" w:color="auto" w:fill="FFFFFF"/>
            <w:vAlign w:val="center"/>
          </w:tcPr>
          <w:p w14:paraId="059E2760">
            <w:pPr>
              <w:pStyle w:val="557"/>
            </w:pPr>
            <w:r>
              <w:t>生态毒性</w:t>
            </w:r>
          </w:p>
        </w:tc>
        <w:tc>
          <w:tcPr>
            <w:tcW w:w="6538" w:type="dxa"/>
            <w:gridSpan w:val="6"/>
            <w:shd w:val="clear" w:color="auto" w:fill="FFFFFF"/>
            <w:vAlign w:val="center"/>
          </w:tcPr>
          <w:p w14:paraId="1F594E77">
            <w:pPr>
              <w:pStyle w:val="557"/>
            </w:pPr>
            <w:r>
              <w:t>无资料</w:t>
            </w:r>
          </w:p>
        </w:tc>
      </w:tr>
      <w:tr w14:paraId="320F49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E70B168">
            <w:pPr>
              <w:pStyle w:val="557"/>
            </w:pPr>
          </w:p>
        </w:tc>
        <w:tc>
          <w:tcPr>
            <w:tcW w:w="1596" w:type="dxa"/>
            <w:shd w:val="clear" w:color="auto" w:fill="FFFFFF"/>
            <w:vAlign w:val="center"/>
          </w:tcPr>
          <w:p w14:paraId="0452A5D9">
            <w:pPr>
              <w:pStyle w:val="557"/>
            </w:pPr>
            <w:r>
              <w:t>其他有害作用</w:t>
            </w:r>
          </w:p>
        </w:tc>
        <w:tc>
          <w:tcPr>
            <w:tcW w:w="6538" w:type="dxa"/>
            <w:gridSpan w:val="6"/>
            <w:shd w:val="clear" w:color="auto" w:fill="FFFFFF"/>
            <w:vAlign w:val="center"/>
          </w:tcPr>
          <w:p w14:paraId="71B118BF">
            <w:pPr>
              <w:pStyle w:val="557"/>
            </w:pPr>
            <w:r>
              <w:t>该物质对环境有严重危害，应特别注意对地表水、土壤、大气和饮用水的污染。</w:t>
            </w:r>
          </w:p>
        </w:tc>
      </w:tr>
      <w:tr w14:paraId="5E6BC5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0F94E525">
            <w:pPr>
              <w:pStyle w:val="557"/>
            </w:pPr>
            <w:r>
              <w:t>废弃处置</w:t>
            </w:r>
          </w:p>
        </w:tc>
        <w:tc>
          <w:tcPr>
            <w:tcW w:w="1596" w:type="dxa"/>
            <w:shd w:val="clear" w:color="auto" w:fill="FFFFFF"/>
            <w:vAlign w:val="center"/>
          </w:tcPr>
          <w:p w14:paraId="5E276533">
            <w:pPr>
              <w:pStyle w:val="557"/>
            </w:pPr>
            <w:r>
              <w:t>废弃物性质</w:t>
            </w:r>
          </w:p>
        </w:tc>
        <w:tc>
          <w:tcPr>
            <w:tcW w:w="6538" w:type="dxa"/>
            <w:gridSpan w:val="6"/>
            <w:shd w:val="clear" w:color="auto" w:fill="FFFFFF"/>
            <w:vAlign w:val="center"/>
          </w:tcPr>
          <w:p w14:paraId="28624E8A">
            <w:pPr>
              <w:pStyle w:val="557"/>
            </w:pPr>
            <w:r>
              <w:t>无资料</w:t>
            </w:r>
          </w:p>
        </w:tc>
      </w:tr>
      <w:tr w14:paraId="111B90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67723631">
            <w:pPr>
              <w:pStyle w:val="557"/>
            </w:pPr>
          </w:p>
        </w:tc>
        <w:tc>
          <w:tcPr>
            <w:tcW w:w="1596" w:type="dxa"/>
            <w:shd w:val="clear" w:color="auto" w:fill="FFFFFF"/>
            <w:vAlign w:val="center"/>
          </w:tcPr>
          <w:p w14:paraId="2395ECCA">
            <w:pPr>
              <w:pStyle w:val="557"/>
            </w:pPr>
            <w:r>
              <w:t>废弃处置方法</w:t>
            </w:r>
          </w:p>
        </w:tc>
        <w:tc>
          <w:tcPr>
            <w:tcW w:w="6538" w:type="dxa"/>
            <w:gridSpan w:val="6"/>
            <w:shd w:val="clear" w:color="auto" w:fill="FFFFFF"/>
            <w:vAlign w:val="center"/>
          </w:tcPr>
          <w:p w14:paraId="49A9C5F1">
            <w:pPr>
              <w:pStyle w:val="557"/>
            </w:pPr>
            <w:r>
              <w:t>先用水稀释，再加盐酸中和，然后放入废水系统。</w:t>
            </w:r>
          </w:p>
        </w:tc>
      </w:tr>
      <w:tr w14:paraId="47A1E9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restart"/>
            <w:shd w:val="clear" w:color="auto" w:fill="FFFFFF"/>
            <w:vAlign w:val="center"/>
          </w:tcPr>
          <w:p w14:paraId="697448AD">
            <w:pPr>
              <w:pStyle w:val="557"/>
            </w:pPr>
            <w:r>
              <w:t>运输信息</w:t>
            </w:r>
          </w:p>
        </w:tc>
        <w:tc>
          <w:tcPr>
            <w:tcW w:w="1596" w:type="dxa"/>
            <w:shd w:val="clear" w:color="auto" w:fill="FFFFFF"/>
            <w:vAlign w:val="center"/>
          </w:tcPr>
          <w:p w14:paraId="2D151221">
            <w:pPr>
              <w:pStyle w:val="557"/>
            </w:pPr>
            <w:r>
              <w:t>包装类别</w:t>
            </w:r>
          </w:p>
        </w:tc>
        <w:tc>
          <w:tcPr>
            <w:tcW w:w="2230" w:type="dxa"/>
            <w:gridSpan w:val="3"/>
            <w:shd w:val="clear" w:color="auto" w:fill="FFFFFF"/>
            <w:vAlign w:val="center"/>
          </w:tcPr>
          <w:p w14:paraId="1C654A71">
            <w:pPr>
              <w:pStyle w:val="557"/>
            </w:pPr>
            <w:r>
              <w:t>Ⅱ类包装</w:t>
            </w:r>
          </w:p>
        </w:tc>
        <w:tc>
          <w:tcPr>
            <w:tcW w:w="1701" w:type="dxa"/>
            <w:gridSpan w:val="2"/>
            <w:shd w:val="clear" w:color="auto" w:fill="FFFFFF"/>
            <w:vAlign w:val="center"/>
          </w:tcPr>
          <w:p w14:paraId="74E58B58">
            <w:pPr>
              <w:pStyle w:val="557"/>
            </w:pPr>
            <w:r>
              <w:t>危险货物编号</w:t>
            </w:r>
          </w:p>
        </w:tc>
        <w:tc>
          <w:tcPr>
            <w:tcW w:w="2607" w:type="dxa"/>
            <w:shd w:val="clear" w:color="auto" w:fill="FFFFFF"/>
            <w:vAlign w:val="center"/>
          </w:tcPr>
          <w:p w14:paraId="251F94F3">
            <w:pPr>
              <w:pStyle w:val="557"/>
            </w:pPr>
            <w:r>
              <w:t>23003</w:t>
            </w:r>
          </w:p>
        </w:tc>
      </w:tr>
      <w:tr w14:paraId="2A3E75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299AAC90">
            <w:pPr>
              <w:pStyle w:val="557"/>
            </w:pPr>
          </w:p>
        </w:tc>
        <w:tc>
          <w:tcPr>
            <w:tcW w:w="1596" w:type="dxa"/>
            <w:shd w:val="clear" w:color="auto" w:fill="FFFFFF"/>
            <w:vAlign w:val="center"/>
          </w:tcPr>
          <w:p w14:paraId="2DDACA62">
            <w:pPr>
              <w:pStyle w:val="557"/>
            </w:pPr>
            <w:r>
              <w:t>CAS号</w:t>
            </w:r>
          </w:p>
        </w:tc>
        <w:tc>
          <w:tcPr>
            <w:tcW w:w="2230" w:type="dxa"/>
            <w:gridSpan w:val="3"/>
            <w:shd w:val="clear" w:color="auto" w:fill="FFFFFF"/>
            <w:vAlign w:val="center"/>
          </w:tcPr>
          <w:p w14:paraId="3D92E2AD">
            <w:pPr>
              <w:pStyle w:val="557"/>
            </w:pPr>
            <w:r>
              <w:t>7664-41-7</w:t>
            </w:r>
          </w:p>
        </w:tc>
        <w:tc>
          <w:tcPr>
            <w:tcW w:w="1701" w:type="dxa"/>
            <w:gridSpan w:val="2"/>
            <w:shd w:val="clear" w:color="auto" w:fill="FFFFFF"/>
            <w:vAlign w:val="center"/>
          </w:tcPr>
          <w:p w14:paraId="470ECEDB">
            <w:pPr>
              <w:pStyle w:val="557"/>
            </w:pPr>
            <w:r>
              <w:t>UN编号</w:t>
            </w:r>
          </w:p>
        </w:tc>
        <w:tc>
          <w:tcPr>
            <w:tcW w:w="2607" w:type="dxa"/>
            <w:shd w:val="clear" w:color="auto" w:fill="FFFFFF"/>
            <w:vAlign w:val="center"/>
          </w:tcPr>
          <w:p w14:paraId="1E227064">
            <w:pPr>
              <w:pStyle w:val="557"/>
            </w:pPr>
            <w:r>
              <w:t>1005</w:t>
            </w:r>
          </w:p>
        </w:tc>
      </w:tr>
      <w:tr w14:paraId="40FB54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391E8EC8">
            <w:pPr>
              <w:pStyle w:val="557"/>
            </w:pPr>
          </w:p>
        </w:tc>
        <w:tc>
          <w:tcPr>
            <w:tcW w:w="1596" w:type="dxa"/>
            <w:shd w:val="clear" w:color="auto" w:fill="FFFFFF"/>
            <w:vAlign w:val="center"/>
          </w:tcPr>
          <w:p w14:paraId="64585490">
            <w:pPr>
              <w:pStyle w:val="557"/>
            </w:pPr>
            <w:r>
              <w:t>包装标志</w:t>
            </w:r>
          </w:p>
        </w:tc>
        <w:tc>
          <w:tcPr>
            <w:tcW w:w="6538" w:type="dxa"/>
            <w:gridSpan w:val="6"/>
            <w:shd w:val="clear" w:color="auto" w:fill="FFFFFF"/>
            <w:vAlign w:val="center"/>
          </w:tcPr>
          <w:p w14:paraId="2BB10436">
            <w:pPr>
              <w:pStyle w:val="557"/>
            </w:pPr>
            <w:r>
              <w:t>有毒气体</w:t>
            </w:r>
          </w:p>
        </w:tc>
      </w:tr>
      <w:tr w14:paraId="67C7C3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04EC2826">
            <w:pPr>
              <w:pStyle w:val="557"/>
            </w:pPr>
          </w:p>
        </w:tc>
        <w:tc>
          <w:tcPr>
            <w:tcW w:w="1596" w:type="dxa"/>
            <w:shd w:val="clear" w:color="auto" w:fill="FFFFFF"/>
            <w:vAlign w:val="center"/>
          </w:tcPr>
          <w:p w14:paraId="72CCEF3A">
            <w:pPr>
              <w:pStyle w:val="557"/>
            </w:pPr>
            <w:r>
              <w:t>包装方法</w:t>
            </w:r>
          </w:p>
        </w:tc>
        <w:tc>
          <w:tcPr>
            <w:tcW w:w="6538" w:type="dxa"/>
            <w:gridSpan w:val="6"/>
            <w:shd w:val="clear" w:color="auto" w:fill="FFFFFF"/>
            <w:vAlign w:val="center"/>
          </w:tcPr>
          <w:p w14:paraId="3B027177">
            <w:pPr>
              <w:pStyle w:val="557"/>
            </w:pPr>
            <w:r>
              <w:t>钢质气瓶</w:t>
            </w:r>
          </w:p>
        </w:tc>
      </w:tr>
      <w:tr w14:paraId="3BD6D6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44" w:type="dxa"/>
            <w:vMerge w:val="continue"/>
            <w:shd w:val="clear" w:color="auto" w:fill="FFFFFF"/>
            <w:vAlign w:val="center"/>
          </w:tcPr>
          <w:p w14:paraId="75A64346">
            <w:pPr>
              <w:pStyle w:val="557"/>
            </w:pPr>
          </w:p>
        </w:tc>
        <w:tc>
          <w:tcPr>
            <w:tcW w:w="1596" w:type="dxa"/>
            <w:shd w:val="clear" w:color="auto" w:fill="FFFFFF"/>
            <w:vAlign w:val="center"/>
          </w:tcPr>
          <w:p w14:paraId="066FDE14">
            <w:pPr>
              <w:pStyle w:val="557"/>
            </w:pPr>
            <w:r>
              <w:t>运输注意</w:t>
            </w:r>
          </w:p>
          <w:p w14:paraId="0CA74C4F">
            <w:pPr>
              <w:pStyle w:val="557"/>
            </w:pPr>
            <w:r>
              <w:t>事项</w:t>
            </w:r>
          </w:p>
        </w:tc>
        <w:tc>
          <w:tcPr>
            <w:tcW w:w="6538" w:type="dxa"/>
            <w:gridSpan w:val="6"/>
            <w:shd w:val="clear" w:color="auto" w:fill="FFFFFF"/>
            <w:vAlign w:val="center"/>
          </w:tcPr>
          <w:p w14:paraId="0927182B">
            <w:pPr>
              <w:pStyle w:val="557"/>
            </w:pPr>
            <w:r>
              <w:t>本品铁路运输时限使用耐压液化气企业自备罐车装运，装运前需报有关部门批准。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食用化学品等混装混运。夏季应早晚运输，防止日光</w:t>
            </w:r>
            <w:r>
              <w:rPr>
                <w:rFonts w:hint="eastAsia"/>
              </w:rPr>
              <w:t>暴晒</w:t>
            </w:r>
            <w:r>
              <w:t>。中途停留时应远离火种、热源。公路运输时要按规定路线行驶，禁止在居民区和人口稠密区停留。铁路运输时要禁止溜放。</w:t>
            </w:r>
          </w:p>
        </w:tc>
      </w:tr>
    </w:tbl>
    <w:p w14:paraId="3BE465A7">
      <w:pPr>
        <w:pStyle w:val="645"/>
        <w:ind w:firstLine="480"/>
        <w:rPr>
          <w:rFonts w:hint="eastAsia"/>
        </w:rPr>
      </w:pPr>
      <w:r>
        <w:rPr>
          <w:rFonts w:hint="eastAsia"/>
        </w:rPr>
        <w:t>表</w:t>
      </w:r>
      <w:r>
        <w:t>7.</w:t>
      </w:r>
      <w:r>
        <w:rPr>
          <w:rFonts w:hint="eastAsia"/>
        </w:rPr>
        <w:t>2</w:t>
      </w:r>
      <w:r>
        <w:t>.1-</w:t>
      </w:r>
      <w:r>
        <w:rPr>
          <w:rFonts w:hint="eastAsia"/>
        </w:rPr>
        <w:t>7</w:t>
      </w:r>
      <w:r>
        <w:t xml:space="preserve"> </w:t>
      </w:r>
      <w:r>
        <w:rPr>
          <w:rFonts w:hint="eastAsia"/>
        </w:rPr>
        <w:t xml:space="preserve"> </w:t>
      </w:r>
      <w:r>
        <w:t xml:space="preserve">  </w:t>
      </w:r>
      <w:r>
        <w:rPr>
          <w:rFonts w:hint="eastAsia"/>
        </w:rPr>
        <w:t>硫酸理化性质及危险特性表</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21"/>
        <w:gridCol w:w="703"/>
        <w:gridCol w:w="2325"/>
        <w:gridCol w:w="2325"/>
      </w:tblGrid>
      <w:tr w14:paraId="1649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5"/>
            <w:vAlign w:val="center"/>
          </w:tcPr>
          <w:p w14:paraId="441C8C90">
            <w:pPr>
              <w:pStyle w:val="557"/>
            </w:pPr>
            <w:r>
              <w:t>硫酸</w:t>
            </w:r>
            <w:r>
              <w:rPr>
                <w:rFonts w:hint="eastAsia"/>
              </w:rPr>
              <w:t xml:space="preserve"> </w:t>
            </w:r>
            <w:r>
              <w:t xml:space="preserve"> CSC编号：0362</w:t>
            </w:r>
          </w:p>
        </w:tc>
      </w:tr>
      <w:tr w14:paraId="25FA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1386792A">
            <w:pPr>
              <w:pStyle w:val="557"/>
            </w:pPr>
            <w:r>
              <w:t>CAS登记号：7664-93-9</w:t>
            </w:r>
          </w:p>
        </w:tc>
        <w:tc>
          <w:tcPr>
            <w:tcW w:w="5354" w:type="dxa"/>
            <w:gridSpan w:val="3"/>
            <w:vAlign w:val="center"/>
          </w:tcPr>
          <w:p w14:paraId="28E2F5C2">
            <w:pPr>
              <w:pStyle w:val="557"/>
            </w:pPr>
            <w:r>
              <w:t>中文名称：硫酸；硫酸（100%）；浓硫酸</w:t>
            </w:r>
          </w:p>
        </w:tc>
      </w:tr>
      <w:tr w14:paraId="7A24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24A8E288">
            <w:pPr>
              <w:pStyle w:val="557"/>
            </w:pPr>
            <w:r>
              <w:t>RTECS号：WS5600000</w:t>
            </w:r>
          </w:p>
        </w:tc>
        <w:tc>
          <w:tcPr>
            <w:tcW w:w="5354" w:type="dxa"/>
            <w:gridSpan w:val="3"/>
            <w:vAlign w:val="center"/>
          </w:tcPr>
          <w:p w14:paraId="7E0753BE">
            <w:pPr>
              <w:pStyle w:val="557"/>
            </w:pPr>
          </w:p>
        </w:tc>
      </w:tr>
      <w:tr w14:paraId="2976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6B06B8AC">
            <w:pPr>
              <w:pStyle w:val="557"/>
            </w:pPr>
            <w:r>
              <w:t>UN编号：1830</w:t>
            </w:r>
          </w:p>
        </w:tc>
        <w:tc>
          <w:tcPr>
            <w:tcW w:w="5354" w:type="dxa"/>
            <w:gridSpan w:val="3"/>
            <w:vMerge w:val="restart"/>
            <w:vAlign w:val="center"/>
          </w:tcPr>
          <w:p w14:paraId="7BE79997">
            <w:pPr>
              <w:pStyle w:val="557"/>
            </w:pPr>
            <w:r>
              <w:t>英文名称：SULFURIC ACID；Sulfuric acid 100%；</w:t>
            </w:r>
          </w:p>
          <w:p w14:paraId="7EFC207A">
            <w:pPr>
              <w:pStyle w:val="557"/>
            </w:pPr>
            <w:r>
              <w:t>Oil of vitriol</w:t>
            </w:r>
          </w:p>
        </w:tc>
      </w:tr>
      <w:tr w14:paraId="73FC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4EC0D116">
            <w:pPr>
              <w:pStyle w:val="557"/>
            </w:pPr>
            <w:r>
              <w:t>EC编号：016-020-00-8</w:t>
            </w:r>
          </w:p>
        </w:tc>
        <w:tc>
          <w:tcPr>
            <w:tcW w:w="5354" w:type="dxa"/>
            <w:gridSpan w:val="3"/>
            <w:vMerge w:val="continue"/>
            <w:vAlign w:val="center"/>
          </w:tcPr>
          <w:p w14:paraId="56221142">
            <w:pPr>
              <w:pStyle w:val="557"/>
            </w:pPr>
          </w:p>
        </w:tc>
      </w:tr>
      <w:tr w14:paraId="59A7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48A0E768">
            <w:pPr>
              <w:pStyle w:val="557"/>
            </w:pPr>
            <w:r>
              <w:t>中国危险货物编号：1830</w:t>
            </w:r>
          </w:p>
        </w:tc>
        <w:tc>
          <w:tcPr>
            <w:tcW w:w="5354" w:type="dxa"/>
            <w:gridSpan w:val="3"/>
            <w:vAlign w:val="center"/>
          </w:tcPr>
          <w:p w14:paraId="5FDA6D80">
            <w:pPr>
              <w:pStyle w:val="557"/>
            </w:pPr>
          </w:p>
        </w:tc>
      </w:tr>
      <w:tr w14:paraId="4DC2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8" w:type="dxa"/>
            <w:gridSpan w:val="2"/>
            <w:vAlign w:val="center"/>
          </w:tcPr>
          <w:p w14:paraId="121E532A">
            <w:pPr>
              <w:pStyle w:val="557"/>
            </w:pPr>
            <w:r>
              <w:t>分子量：98.1</w:t>
            </w:r>
          </w:p>
        </w:tc>
        <w:tc>
          <w:tcPr>
            <w:tcW w:w="5354" w:type="dxa"/>
            <w:gridSpan w:val="3"/>
            <w:vAlign w:val="center"/>
          </w:tcPr>
          <w:p w14:paraId="30692BCE">
            <w:pPr>
              <w:pStyle w:val="557"/>
            </w:pPr>
            <w:r>
              <w:t>化学式：H</w:t>
            </w:r>
            <w:r>
              <w:rPr>
                <w:vertAlign w:val="subscript"/>
              </w:rPr>
              <w:t>2</w:t>
            </w:r>
            <w:r>
              <w:t>SO</w:t>
            </w:r>
            <w:r>
              <w:rPr>
                <w:vertAlign w:val="subscript"/>
              </w:rPr>
              <w:t>4</w:t>
            </w:r>
          </w:p>
        </w:tc>
      </w:tr>
      <w:tr w14:paraId="30FD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30CA7AA1">
            <w:pPr>
              <w:pStyle w:val="557"/>
            </w:pPr>
            <w:r>
              <w:t>危害/接触类型</w:t>
            </w:r>
          </w:p>
        </w:tc>
        <w:tc>
          <w:tcPr>
            <w:tcW w:w="2325" w:type="dxa"/>
            <w:gridSpan w:val="2"/>
            <w:vAlign w:val="center"/>
          </w:tcPr>
          <w:p w14:paraId="62CF38B2">
            <w:pPr>
              <w:pStyle w:val="557"/>
            </w:pPr>
            <w:r>
              <w:t>急性危害/症状</w:t>
            </w:r>
          </w:p>
        </w:tc>
        <w:tc>
          <w:tcPr>
            <w:tcW w:w="2325" w:type="dxa"/>
            <w:vAlign w:val="center"/>
          </w:tcPr>
          <w:p w14:paraId="42BEE612">
            <w:pPr>
              <w:pStyle w:val="557"/>
            </w:pPr>
            <w:r>
              <w:t>预防</w:t>
            </w:r>
          </w:p>
        </w:tc>
        <w:tc>
          <w:tcPr>
            <w:tcW w:w="2325" w:type="dxa"/>
            <w:vAlign w:val="center"/>
          </w:tcPr>
          <w:p w14:paraId="308D1F79">
            <w:pPr>
              <w:pStyle w:val="557"/>
            </w:pPr>
            <w:r>
              <w:t>急救/消防</w:t>
            </w:r>
          </w:p>
        </w:tc>
      </w:tr>
      <w:tr w14:paraId="40F1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7F2B0098">
            <w:pPr>
              <w:pStyle w:val="557"/>
            </w:pPr>
            <w:r>
              <w:t>火灾</w:t>
            </w:r>
          </w:p>
        </w:tc>
        <w:tc>
          <w:tcPr>
            <w:tcW w:w="2325" w:type="dxa"/>
            <w:gridSpan w:val="2"/>
            <w:vAlign w:val="center"/>
          </w:tcPr>
          <w:p w14:paraId="2FC2D549">
            <w:pPr>
              <w:pStyle w:val="557"/>
            </w:pPr>
            <w:r>
              <w:t>不可燃。许多反应可能引起火灾或爆炸。在火焰中释放出刺激性或有毒烟雾（或气体）。</w:t>
            </w:r>
          </w:p>
        </w:tc>
        <w:tc>
          <w:tcPr>
            <w:tcW w:w="2325" w:type="dxa"/>
            <w:vAlign w:val="center"/>
          </w:tcPr>
          <w:p w14:paraId="607D13FB">
            <w:pPr>
              <w:pStyle w:val="557"/>
            </w:pPr>
            <w:r>
              <w:t>禁止与易燃物质接触。禁止与可燃物质接触。</w:t>
            </w:r>
          </w:p>
        </w:tc>
        <w:tc>
          <w:tcPr>
            <w:tcW w:w="2325" w:type="dxa"/>
            <w:vAlign w:val="center"/>
          </w:tcPr>
          <w:p w14:paraId="39746272">
            <w:pPr>
              <w:pStyle w:val="557"/>
            </w:pPr>
            <w:r>
              <w:t>禁止用水。周围环境着火时，使用干粉，水成膜泡沫，泡沫，二氧化碳灭火。</w:t>
            </w:r>
          </w:p>
        </w:tc>
      </w:tr>
      <w:tr w14:paraId="537B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0A513523">
            <w:pPr>
              <w:pStyle w:val="557"/>
            </w:pPr>
            <w:r>
              <w:t>爆炸</w:t>
            </w:r>
          </w:p>
        </w:tc>
        <w:tc>
          <w:tcPr>
            <w:tcW w:w="2325" w:type="dxa"/>
            <w:gridSpan w:val="2"/>
            <w:vAlign w:val="center"/>
          </w:tcPr>
          <w:p w14:paraId="68703DAE">
            <w:pPr>
              <w:pStyle w:val="557"/>
            </w:pPr>
            <w:r>
              <w:t>与碱、可燃物质、氧化剂、还原剂或水接触，有着火和爆炸危险。</w:t>
            </w:r>
          </w:p>
        </w:tc>
        <w:tc>
          <w:tcPr>
            <w:tcW w:w="2325" w:type="dxa"/>
            <w:vAlign w:val="center"/>
          </w:tcPr>
          <w:p w14:paraId="34FB1E5E">
            <w:pPr>
              <w:pStyle w:val="557"/>
            </w:pPr>
            <w:r>
              <w:t>禁止与不相容物质接触：见化学危险性。</w:t>
            </w:r>
          </w:p>
        </w:tc>
        <w:tc>
          <w:tcPr>
            <w:tcW w:w="2325" w:type="dxa"/>
            <w:vAlign w:val="center"/>
          </w:tcPr>
          <w:p w14:paraId="20C8D40B">
            <w:pPr>
              <w:pStyle w:val="557"/>
            </w:pPr>
            <w:r>
              <w:t>着火时，喷雾状水保持料桶等冷却，但避免与水直接接触。</w:t>
            </w:r>
          </w:p>
        </w:tc>
      </w:tr>
      <w:tr w14:paraId="685B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3F1C985D">
            <w:pPr>
              <w:pStyle w:val="557"/>
            </w:pPr>
            <w:r>
              <w:t>#吸入</w:t>
            </w:r>
          </w:p>
        </w:tc>
        <w:tc>
          <w:tcPr>
            <w:tcW w:w="2325" w:type="dxa"/>
            <w:gridSpan w:val="2"/>
            <w:vAlign w:val="center"/>
          </w:tcPr>
          <w:p w14:paraId="470DEC45">
            <w:pPr>
              <w:pStyle w:val="557"/>
            </w:pPr>
            <w:r>
              <w:t>腐蚀作用。灼烧感，咽喉痛，咳嗽，呼吸困难，气促。症状可能推迟显现。（见注解）。</w:t>
            </w:r>
          </w:p>
        </w:tc>
        <w:tc>
          <w:tcPr>
            <w:tcW w:w="2325" w:type="dxa"/>
            <w:vAlign w:val="center"/>
          </w:tcPr>
          <w:p w14:paraId="7C2DEDA7">
            <w:pPr>
              <w:pStyle w:val="557"/>
            </w:pPr>
            <w:r>
              <w:t>通风，局部排气通风</w:t>
            </w:r>
          </w:p>
          <w:p w14:paraId="090310AA">
            <w:pPr>
              <w:pStyle w:val="557"/>
            </w:pPr>
            <w:r>
              <w:t>或呼吸防护。</w:t>
            </w:r>
          </w:p>
        </w:tc>
        <w:tc>
          <w:tcPr>
            <w:tcW w:w="2325" w:type="dxa"/>
            <w:vAlign w:val="center"/>
          </w:tcPr>
          <w:p w14:paraId="55A2F9F0">
            <w:pPr>
              <w:pStyle w:val="557"/>
            </w:pPr>
            <w:r>
              <w:t>新鲜空气，休息，半直立体位。必要时进行人工呼吸，给予医疗护理。</w:t>
            </w:r>
          </w:p>
        </w:tc>
      </w:tr>
      <w:tr w14:paraId="2F19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0F6C79CC">
            <w:pPr>
              <w:pStyle w:val="557"/>
            </w:pPr>
            <w:r>
              <w:t>#皮肤</w:t>
            </w:r>
          </w:p>
        </w:tc>
        <w:tc>
          <w:tcPr>
            <w:tcW w:w="2325" w:type="dxa"/>
            <w:gridSpan w:val="2"/>
            <w:vAlign w:val="center"/>
          </w:tcPr>
          <w:p w14:paraId="4F8944DA">
            <w:pPr>
              <w:pStyle w:val="557"/>
            </w:pPr>
            <w:r>
              <w:t>腐蚀作用，发红，疼痛，水疱，严重皮肤烧伤。</w:t>
            </w:r>
          </w:p>
        </w:tc>
        <w:tc>
          <w:tcPr>
            <w:tcW w:w="2325" w:type="dxa"/>
            <w:vAlign w:val="center"/>
          </w:tcPr>
          <w:p w14:paraId="60232C72">
            <w:pPr>
              <w:pStyle w:val="557"/>
            </w:pPr>
            <w:r>
              <w:t>防护手套，防护服。</w:t>
            </w:r>
          </w:p>
        </w:tc>
        <w:tc>
          <w:tcPr>
            <w:tcW w:w="2325" w:type="dxa"/>
            <w:vAlign w:val="center"/>
          </w:tcPr>
          <w:p w14:paraId="406CF5AB">
            <w:pPr>
              <w:pStyle w:val="557"/>
            </w:pPr>
            <w:r>
              <w:t>脱去污染的衣服，用大量水冲洗皮肤或淋浴，给予医疗护理。</w:t>
            </w:r>
          </w:p>
        </w:tc>
      </w:tr>
      <w:tr w14:paraId="7C0E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7FC2BEB5">
            <w:pPr>
              <w:pStyle w:val="557"/>
            </w:pPr>
            <w:r>
              <w:t>#眼睛</w:t>
            </w:r>
          </w:p>
        </w:tc>
        <w:tc>
          <w:tcPr>
            <w:tcW w:w="2325" w:type="dxa"/>
            <w:gridSpan w:val="2"/>
            <w:vAlign w:val="center"/>
          </w:tcPr>
          <w:p w14:paraId="6D1B280D">
            <w:pPr>
              <w:pStyle w:val="557"/>
            </w:pPr>
            <w:r>
              <w:t>腐蚀作用发红，疼痛，严重深度烧伤。</w:t>
            </w:r>
          </w:p>
        </w:tc>
        <w:tc>
          <w:tcPr>
            <w:tcW w:w="2325" w:type="dxa"/>
            <w:vAlign w:val="center"/>
          </w:tcPr>
          <w:p w14:paraId="45DC7621">
            <w:pPr>
              <w:pStyle w:val="557"/>
            </w:pPr>
            <w:r>
              <w:t>面罩，或眼睛防护结</w:t>
            </w:r>
          </w:p>
          <w:p w14:paraId="35ACB01F">
            <w:pPr>
              <w:pStyle w:val="557"/>
            </w:pPr>
            <w:r>
              <w:t>合呼吸防护。</w:t>
            </w:r>
          </w:p>
        </w:tc>
        <w:tc>
          <w:tcPr>
            <w:tcW w:w="2325" w:type="dxa"/>
            <w:vAlign w:val="center"/>
          </w:tcPr>
          <w:p w14:paraId="3CED70D3">
            <w:pPr>
              <w:pStyle w:val="557"/>
            </w:pPr>
            <w:r>
              <w:t>先用大量水冲洗几分钟（如可能易行，摘除隐形眼镜），然后就医。</w:t>
            </w:r>
          </w:p>
        </w:tc>
      </w:tr>
      <w:tr w14:paraId="08A7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46007DC6">
            <w:pPr>
              <w:pStyle w:val="557"/>
            </w:pPr>
            <w:r>
              <w:t>#食入</w:t>
            </w:r>
          </w:p>
        </w:tc>
        <w:tc>
          <w:tcPr>
            <w:tcW w:w="2325" w:type="dxa"/>
            <w:gridSpan w:val="2"/>
            <w:vAlign w:val="center"/>
          </w:tcPr>
          <w:p w14:paraId="1BE5EBC6">
            <w:pPr>
              <w:pStyle w:val="557"/>
            </w:pPr>
            <w:r>
              <w:t>腐蚀作用，腹部疼痛，灼烧感，休克或虚脱。</w:t>
            </w:r>
          </w:p>
        </w:tc>
        <w:tc>
          <w:tcPr>
            <w:tcW w:w="2325" w:type="dxa"/>
            <w:vAlign w:val="center"/>
          </w:tcPr>
          <w:p w14:paraId="5E92D269">
            <w:pPr>
              <w:pStyle w:val="557"/>
            </w:pPr>
            <w:r>
              <w:t>工作时不得进食，饮水或吸烟。</w:t>
            </w:r>
          </w:p>
        </w:tc>
        <w:tc>
          <w:tcPr>
            <w:tcW w:w="2325" w:type="dxa"/>
            <w:vAlign w:val="center"/>
          </w:tcPr>
          <w:p w14:paraId="419EEAEC">
            <w:pPr>
              <w:pStyle w:val="557"/>
            </w:pPr>
            <w:r>
              <w:t>漱口，不要催吐，给予医疗护理。</w:t>
            </w:r>
          </w:p>
        </w:tc>
      </w:tr>
      <w:tr w14:paraId="0462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141BD9C6">
            <w:pPr>
              <w:pStyle w:val="557"/>
            </w:pPr>
            <w:r>
              <w:t>泄漏处置</w:t>
            </w:r>
          </w:p>
        </w:tc>
        <w:tc>
          <w:tcPr>
            <w:tcW w:w="6975" w:type="dxa"/>
            <w:gridSpan w:val="4"/>
            <w:vAlign w:val="center"/>
          </w:tcPr>
          <w:p w14:paraId="0B7E3921">
            <w:pPr>
              <w:pStyle w:val="557"/>
            </w:pPr>
            <w:r>
              <w:t>向专家咨询</w:t>
            </w:r>
            <w:r>
              <w:rPr>
                <w:rFonts w:hint="eastAsia"/>
              </w:rPr>
              <w:t>，</w:t>
            </w:r>
            <w:r>
              <w:t>撤离危险区域</w:t>
            </w:r>
            <w:r>
              <w:rPr>
                <w:rFonts w:hint="eastAsia"/>
              </w:rPr>
              <w:t>，</w:t>
            </w:r>
            <w:r>
              <w:t>不要用锯末或其他可燃吸收剂吸收。不要让该化学品进入环境。个人防护用具：全套防护服包括自给式呼吸器。</w:t>
            </w:r>
          </w:p>
        </w:tc>
      </w:tr>
      <w:tr w14:paraId="39DD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4D8889A4">
            <w:pPr>
              <w:pStyle w:val="557"/>
            </w:pPr>
            <w:r>
              <w:t>包装与标志</w:t>
            </w:r>
          </w:p>
        </w:tc>
        <w:tc>
          <w:tcPr>
            <w:tcW w:w="6975" w:type="dxa"/>
            <w:gridSpan w:val="4"/>
            <w:vAlign w:val="center"/>
          </w:tcPr>
          <w:p w14:paraId="0A153E69">
            <w:pPr>
              <w:pStyle w:val="557"/>
            </w:pPr>
            <w:r>
              <w:t>不易破碎包装，将易破碎包装放在不易破碎的密闭容器中。不得与食品和饲料一起运输</w:t>
            </w:r>
            <w:r>
              <w:rPr>
                <w:rFonts w:hint="eastAsia"/>
              </w:rPr>
              <w:t>；</w:t>
            </w:r>
            <w:r>
              <w:t>欧盟危险性类别：C符号 标记：B R:35 S:1/2-26-30-45</w:t>
            </w:r>
            <w:r>
              <w:rPr>
                <w:rFonts w:hint="eastAsia"/>
              </w:rPr>
              <w:t>；</w:t>
            </w:r>
          </w:p>
          <w:p w14:paraId="6C07EFD9">
            <w:pPr>
              <w:pStyle w:val="557"/>
            </w:pPr>
            <w:r>
              <w:t>联合国危险性类别：8</w:t>
            </w:r>
            <w:r>
              <w:rPr>
                <w:rFonts w:hint="eastAsia"/>
              </w:rPr>
              <w:t>；</w:t>
            </w:r>
            <w:r>
              <w:t>联合国包装类别：II</w:t>
            </w:r>
            <w:r>
              <w:rPr>
                <w:rFonts w:hint="eastAsia"/>
              </w:rPr>
              <w:t>；</w:t>
            </w:r>
            <w:r>
              <w:t>中国危险性类别：第8类腐蚀性物质</w:t>
            </w:r>
            <w:r>
              <w:rPr>
                <w:rFonts w:hint="eastAsia"/>
              </w:rPr>
              <w:t>；</w:t>
            </w:r>
          </w:p>
          <w:p w14:paraId="07895065">
            <w:pPr>
              <w:pStyle w:val="557"/>
            </w:pPr>
            <w:r>
              <w:t>中国包装类别：II</w:t>
            </w:r>
          </w:p>
        </w:tc>
      </w:tr>
      <w:tr w14:paraId="46B7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1254FFF7">
            <w:pPr>
              <w:pStyle w:val="557"/>
            </w:pPr>
            <w:r>
              <w:t>应急响应</w:t>
            </w:r>
          </w:p>
        </w:tc>
        <w:tc>
          <w:tcPr>
            <w:tcW w:w="6975" w:type="dxa"/>
            <w:gridSpan w:val="4"/>
            <w:vAlign w:val="center"/>
          </w:tcPr>
          <w:p w14:paraId="61EC70FC">
            <w:pPr>
              <w:pStyle w:val="557"/>
            </w:pPr>
            <w:r>
              <w:t>运输应急卡：TEC(R)-80S1830 或 80GC1-II+III</w:t>
            </w:r>
            <w:r>
              <w:rPr>
                <w:rFonts w:hint="eastAsia"/>
              </w:rPr>
              <w:t>；</w:t>
            </w:r>
            <w:r>
              <w:t>美国消防协会法规：H3（健康危险性）；F0（火灾危险性）；R2（反应危险性）；W（禁止用水）</w:t>
            </w:r>
          </w:p>
        </w:tc>
      </w:tr>
      <w:tr w14:paraId="62B5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01294041">
            <w:pPr>
              <w:pStyle w:val="557"/>
            </w:pPr>
            <w:r>
              <w:t>储存</w:t>
            </w:r>
          </w:p>
        </w:tc>
        <w:tc>
          <w:tcPr>
            <w:tcW w:w="6975" w:type="dxa"/>
            <w:gridSpan w:val="4"/>
            <w:vAlign w:val="center"/>
          </w:tcPr>
          <w:p w14:paraId="2692A447">
            <w:pPr>
              <w:pStyle w:val="557"/>
            </w:pPr>
            <w:r>
              <w:t>与可燃物质和还原性物质、强氧化剂、强碱、食品和饲料、性质相互抵触的物质（见化学危险性）分开存放。可以储存在不锈钢容器中。储存在铺有抗腐蚀混凝土地面的场所。</w:t>
            </w:r>
          </w:p>
        </w:tc>
      </w:tr>
      <w:tr w14:paraId="0A6E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55DFE321">
            <w:pPr>
              <w:pStyle w:val="557"/>
            </w:pPr>
            <w:r>
              <w:t>重要数据</w:t>
            </w:r>
          </w:p>
        </w:tc>
        <w:tc>
          <w:tcPr>
            <w:tcW w:w="6975" w:type="dxa"/>
            <w:gridSpan w:val="4"/>
            <w:vAlign w:val="center"/>
          </w:tcPr>
          <w:p w14:paraId="0919527E">
            <w:pPr>
              <w:pStyle w:val="557"/>
            </w:pPr>
            <w:r>
              <w:t>物理状态、外观：无色油状吸湿液体，无气味。</w:t>
            </w:r>
          </w:p>
          <w:p w14:paraId="2B7E55A9">
            <w:pPr>
              <w:pStyle w:val="557"/>
            </w:pPr>
            <w:r>
              <w:t>化学危险性：该物质是一种强氧化剂。与可燃物质和还原性物质激烈发生反应。该物质是一种强酸。与碱激烈反应，有腐蚀性。腐蚀大多数普通金属，生成易燃的/爆炸性的气体氢（见卡片#0001）。与水和有机物激烈反应，释放出热量（见注解）。加热时，生成硫氧化物刺激性或有毒烟雾。</w:t>
            </w:r>
          </w:p>
          <w:p w14:paraId="28A8FC7A">
            <w:pPr>
              <w:pStyle w:val="557"/>
            </w:pPr>
            <w:r>
              <w:t>职业接触限值：阈限值：0.2mg/m3（胸部）； A2（可疑人类致癌物）（强无机酸雾中的硫酸）（美国政府工业卫生学家会议，2005年）。最高容许浓度：0.1mg/m3（可吸入组分）；最高限值种类：I（1）；致癌物类别：4；妊娠风险等级：C（德国，2004年）。</w:t>
            </w:r>
          </w:p>
          <w:p w14:paraId="75EAA41E">
            <w:pPr>
              <w:pStyle w:val="557"/>
            </w:pPr>
            <w:r>
              <w:t>接触途径：该物质可通过吸入其气溶胶和经食入吸收到体内。</w:t>
            </w:r>
          </w:p>
          <w:p w14:paraId="45A6FDE5">
            <w:pPr>
              <w:pStyle w:val="557"/>
            </w:pPr>
            <w:r>
              <w:t>吸入危险性：20℃时蒸发可忽略不计，但喷洒时可较快地达到空气中颗粒物有害浓度。</w:t>
            </w:r>
          </w:p>
          <w:p w14:paraId="326722B8">
            <w:pPr>
              <w:pStyle w:val="557"/>
            </w:pPr>
            <w:r>
              <w:t>短期接触的影响：腐蚀作用。该物质极腐蚀眼睛、皮肤和呼吸道。食入有腐蚀性。吸入气溶胶可能引起肺水肿（见注解）。</w:t>
            </w:r>
          </w:p>
          <w:p w14:paraId="39ABAF3B">
            <w:pPr>
              <w:pStyle w:val="557"/>
            </w:pPr>
            <w:r>
              <w:t>长期或反复接触的影响：反复或长期</w:t>
            </w:r>
            <w:r>
              <w:rPr>
                <w:rFonts w:hint="eastAsia"/>
              </w:rPr>
              <w:t>接触</w:t>
            </w:r>
            <w:r>
              <w:t>该物质的气溶胶，肺可能受损伤。反复或长期接触气溶胶，有腐蚀牙齿危险。含该物质的浓无机酸雾是人类致癌物。</w:t>
            </w:r>
          </w:p>
        </w:tc>
      </w:tr>
      <w:tr w14:paraId="5C35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42DC4780">
            <w:pPr>
              <w:pStyle w:val="557"/>
            </w:pPr>
            <w:r>
              <w:t>物理性质</w:t>
            </w:r>
          </w:p>
        </w:tc>
        <w:tc>
          <w:tcPr>
            <w:tcW w:w="6975" w:type="dxa"/>
            <w:gridSpan w:val="4"/>
            <w:vAlign w:val="center"/>
          </w:tcPr>
          <w:p w14:paraId="17AFC58E">
            <w:pPr>
              <w:pStyle w:val="557"/>
            </w:pPr>
            <w:r>
              <w:t>沸点：340℃（分解）</w:t>
            </w:r>
            <w:r>
              <w:rPr>
                <w:rFonts w:hint="eastAsia"/>
              </w:rPr>
              <w:t>；</w:t>
            </w:r>
            <w:r>
              <w:t>熔点：10℃</w:t>
            </w:r>
            <w:r>
              <w:rPr>
                <w:rFonts w:hint="eastAsia"/>
              </w:rPr>
              <w:t>；</w:t>
            </w:r>
            <w:r>
              <w:t>相对密度（水=1）：1.8</w:t>
            </w:r>
            <w:r>
              <w:rPr>
                <w:rFonts w:hint="eastAsia"/>
              </w:rPr>
              <w:t>；</w:t>
            </w:r>
            <w:r>
              <w:t>水中溶解度：混溶</w:t>
            </w:r>
            <w:r>
              <w:rPr>
                <w:rFonts w:hint="eastAsia"/>
              </w:rPr>
              <w:t>；</w:t>
            </w:r>
          </w:p>
          <w:p w14:paraId="4D3A9A13">
            <w:pPr>
              <w:pStyle w:val="557"/>
            </w:pPr>
            <w:r>
              <w:t>蒸气压：146℃时0.13kPa</w:t>
            </w:r>
            <w:r>
              <w:rPr>
                <w:rFonts w:hint="eastAsia"/>
              </w:rPr>
              <w:t>；</w:t>
            </w:r>
            <w:r>
              <w:t>蒸气相对密度（空气=1）：3.4</w:t>
            </w:r>
          </w:p>
        </w:tc>
      </w:tr>
      <w:tr w14:paraId="1CF8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0F93AEFE">
            <w:pPr>
              <w:pStyle w:val="557"/>
            </w:pPr>
            <w:r>
              <w:t>环境数据</w:t>
            </w:r>
          </w:p>
        </w:tc>
        <w:tc>
          <w:tcPr>
            <w:tcW w:w="6975" w:type="dxa"/>
            <w:gridSpan w:val="4"/>
            <w:vAlign w:val="center"/>
          </w:tcPr>
          <w:p w14:paraId="2FAD0DD5">
            <w:pPr>
              <w:pStyle w:val="557"/>
            </w:pPr>
            <w:r>
              <w:t>该物质对水生生物是有害的。</w:t>
            </w:r>
          </w:p>
        </w:tc>
      </w:tr>
      <w:tr w14:paraId="2D69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47" w:type="dxa"/>
            <w:vAlign w:val="center"/>
          </w:tcPr>
          <w:p w14:paraId="00FE3F53">
            <w:pPr>
              <w:pStyle w:val="557"/>
            </w:pPr>
            <w:r>
              <w:t>注解</w:t>
            </w:r>
          </w:p>
        </w:tc>
        <w:tc>
          <w:tcPr>
            <w:tcW w:w="6975" w:type="dxa"/>
            <w:gridSpan w:val="4"/>
            <w:vAlign w:val="center"/>
          </w:tcPr>
          <w:p w14:paraId="34D012B1">
            <w:pPr>
              <w:pStyle w:val="557"/>
            </w:pPr>
            <w:r>
              <w:t>肺水肿症状常常经过几个小时以后才变得明显，体力劳动使症状加重。因而休息和医学观察是必要的。切勿将水喷洒在该物质上，溶解或稀释时总是缓慢将它加入水中。其他UN编号：1831（发烟硫酸），危险性类别：8，次要危险性：6.1，包装类别：I；UN1832（废硫酸），危险性类别：8，包装类别：II。</w:t>
            </w:r>
          </w:p>
        </w:tc>
      </w:tr>
    </w:tbl>
    <w:p w14:paraId="5376422E">
      <w:pPr>
        <w:pStyle w:val="645"/>
        <w:ind w:firstLine="480"/>
        <w:rPr>
          <w:rFonts w:hint="eastAsia"/>
        </w:rPr>
      </w:pPr>
      <w:r>
        <w:rPr>
          <w:rFonts w:hint="eastAsia"/>
        </w:rPr>
        <w:t>表</w:t>
      </w:r>
      <w:r>
        <w:t>7.</w:t>
      </w:r>
      <w:r>
        <w:rPr>
          <w:rFonts w:hint="eastAsia"/>
        </w:rPr>
        <w:t>2</w:t>
      </w:r>
      <w:r>
        <w:t>.1-</w:t>
      </w:r>
      <w:r>
        <w:rPr>
          <w:rFonts w:hint="eastAsia"/>
        </w:rPr>
        <w:t>8</w:t>
      </w:r>
      <w:r>
        <w:t xml:space="preserve"> </w:t>
      </w:r>
      <w:r>
        <w:rPr>
          <w:rFonts w:hint="eastAsia"/>
        </w:rPr>
        <w:t xml:space="preserve"> </w:t>
      </w:r>
      <w:r>
        <w:t xml:space="preserve">  </w:t>
      </w:r>
      <w:r>
        <w:rPr>
          <w:rFonts w:hint="eastAsia"/>
        </w:rPr>
        <w:t>甲醇理化性质及危险特性表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20"/>
        <w:gridCol w:w="1411"/>
        <w:gridCol w:w="457"/>
        <w:gridCol w:w="3975"/>
      </w:tblGrid>
      <w:tr w14:paraId="2FD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tcPr>
          <w:p w14:paraId="7AD5D189">
            <w:pPr>
              <w:pStyle w:val="557"/>
            </w:pPr>
            <w:r>
              <w:rPr>
                <w:rFonts w:hint="eastAsia"/>
              </w:rPr>
              <w:t>标识</w:t>
            </w:r>
          </w:p>
        </w:tc>
        <w:tc>
          <w:tcPr>
            <w:tcW w:w="7669" w:type="dxa"/>
            <w:gridSpan w:val="4"/>
          </w:tcPr>
          <w:p w14:paraId="77D46FCC">
            <w:pPr>
              <w:pStyle w:val="557"/>
            </w:pPr>
            <w:r>
              <w:rPr>
                <w:rFonts w:hint="eastAsia"/>
              </w:rPr>
              <w:t>中文名：甲醇；英文名：</w:t>
            </w:r>
            <w:r>
              <w:t>methyl alcohol</w:t>
            </w:r>
            <w:r>
              <w:rPr>
                <w:rFonts w:hint="eastAsia"/>
              </w:rPr>
              <w:t>；分子式：</w:t>
            </w:r>
            <w:r>
              <w:t>CH</w:t>
            </w:r>
            <w:r>
              <w:rPr>
                <w:rFonts w:hint="eastAsia"/>
                <w:vertAlign w:val="subscript"/>
              </w:rPr>
              <w:t>3</w:t>
            </w:r>
            <w:r>
              <w:t>O</w:t>
            </w:r>
            <w:r>
              <w:rPr>
                <w:rFonts w:hint="eastAsia"/>
              </w:rPr>
              <w:t>H；分子量：</w:t>
            </w:r>
            <w:r>
              <w:t>32.04</w:t>
            </w:r>
          </w:p>
          <w:p w14:paraId="2BD1EF34">
            <w:pPr>
              <w:pStyle w:val="557"/>
            </w:pPr>
            <w:r>
              <w:rPr>
                <w:rFonts w:hint="eastAsia"/>
              </w:rPr>
              <w:t>危险性类别：第</w:t>
            </w:r>
            <w:r>
              <w:t>3.2</w:t>
            </w:r>
            <w:r>
              <w:rPr>
                <w:rFonts w:hint="eastAsia"/>
              </w:rPr>
              <w:t>类，中闪点易燃液体；</w:t>
            </w:r>
            <w:r>
              <w:t>CAS</w:t>
            </w:r>
            <w:r>
              <w:rPr>
                <w:rFonts w:hint="eastAsia"/>
              </w:rPr>
              <w:t>：</w:t>
            </w:r>
            <w:r>
              <w:t>67-56-1</w:t>
            </w:r>
          </w:p>
        </w:tc>
      </w:tr>
      <w:tr w14:paraId="5F15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tcPr>
          <w:p w14:paraId="36EF2220">
            <w:pPr>
              <w:pStyle w:val="557"/>
            </w:pPr>
            <w:r>
              <w:rPr>
                <w:rFonts w:hint="eastAsia"/>
              </w:rPr>
              <w:t>理化性质</w:t>
            </w:r>
          </w:p>
        </w:tc>
        <w:tc>
          <w:tcPr>
            <w:tcW w:w="7669" w:type="dxa"/>
            <w:gridSpan w:val="4"/>
          </w:tcPr>
          <w:p w14:paraId="0EFCFAD2">
            <w:pPr>
              <w:pStyle w:val="557"/>
            </w:pPr>
            <w:r>
              <w:rPr>
                <w:rFonts w:hint="eastAsia"/>
              </w:rPr>
              <w:t>外观与性状：无色澄清液体，有刺激性气味；饱和蒸汽压（kP</w:t>
            </w:r>
            <w:r>
              <w:t>a</w:t>
            </w:r>
            <w:r>
              <w:rPr>
                <w:rFonts w:hint="eastAsia"/>
              </w:rPr>
              <w:t>）：</w:t>
            </w:r>
            <w:r>
              <w:t>13.33</w:t>
            </w:r>
            <w:r>
              <w:rPr>
                <w:rFonts w:hint="eastAsia"/>
              </w:rPr>
              <w:t>（</w:t>
            </w:r>
            <w:r>
              <w:t>21.2</w:t>
            </w:r>
            <w:r>
              <w:rPr>
                <w:rFonts w:hint="eastAsia"/>
              </w:rPr>
              <w:t>℃）；</w:t>
            </w:r>
          </w:p>
          <w:p w14:paraId="1A2F11EC">
            <w:pPr>
              <w:pStyle w:val="557"/>
            </w:pPr>
            <w:r>
              <w:rPr>
                <w:rFonts w:hint="eastAsia"/>
              </w:rPr>
              <w:t>溶解性：溶于水，可混溶于乙醇、醚等多数有机溶剂；火险分级：甲类；</w:t>
            </w:r>
          </w:p>
          <w:p w14:paraId="1ACF5717">
            <w:pPr>
              <w:pStyle w:val="557"/>
            </w:pPr>
            <w:r>
              <w:rPr>
                <w:rFonts w:hint="eastAsia"/>
              </w:rPr>
              <w:t>相对密度（水＝</w:t>
            </w:r>
            <w:r>
              <w:t>1</w:t>
            </w:r>
            <w:r>
              <w:rPr>
                <w:rFonts w:hint="eastAsia"/>
              </w:rPr>
              <w:t>）：</w:t>
            </w:r>
            <w:r>
              <w:t>0.79</w:t>
            </w:r>
            <w:r>
              <w:rPr>
                <w:rFonts w:hint="eastAsia"/>
              </w:rPr>
              <w:t>；（空气＝</w:t>
            </w:r>
            <w:r>
              <w:t>1</w:t>
            </w:r>
            <w:r>
              <w:rPr>
                <w:rFonts w:hint="eastAsia"/>
              </w:rPr>
              <w:t>）：</w:t>
            </w:r>
            <w:r>
              <w:t>1.11</w:t>
            </w:r>
            <w:r>
              <w:rPr>
                <w:rFonts w:hint="eastAsia"/>
              </w:rPr>
              <w:t>；燃烧热</w:t>
            </w:r>
            <w:r>
              <w:t>(</w:t>
            </w:r>
            <w:r>
              <w:rPr>
                <w:rFonts w:hint="eastAsia"/>
              </w:rPr>
              <w:t>k</w:t>
            </w:r>
            <w:r>
              <w:t>J/mol)</w:t>
            </w:r>
            <w:r>
              <w:rPr>
                <w:rFonts w:hint="eastAsia"/>
              </w:rPr>
              <w:t>：</w:t>
            </w:r>
            <w:r>
              <w:t>727.0</w:t>
            </w:r>
            <w:r>
              <w:rPr>
                <w:rFonts w:hint="eastAsia"/>
              </w:rPr>
              <w:t>；</w:t>
            </w:r>
          </w:p>
          <w:p w14:paraId="1F4CC45B">
            <w:pPr>
              <w:pStyle w:val="557"/>
            </w:pPr>
            <w:r>
              <w:rPr>
                <w:rFonts w:hint="eastAsia"/>
              </w:rPr>
              <w:t>临界温度</w:t>
            </w:r>
            <w:r>
              <w:t>(</w:t>
            </w:r>
            <w:r>
              <w:rPr>
                <w:rFonts w:hint="eastAsia"/>
              </w:rPr>
              <w:t>℃</w:t>
            </w:r>
            <w:r>
              <w:t>)</w:t>
            </w:r>
            <w:r>
              <w:rPr>
                <w:rFonts w:hint="eastAsia"/>
              </w:rPr>
              <w:t>：</w:t>
            </w:r>
            <w:r>
              <w:t>240</w:t>
            </w:r>
            <w:r>
              <w:rPr>
                <w:rFonts w:hint="eastAsia"/>
              </w:rPr>
              <w:t>；临界压力</w:t>
            </w:r>
            <w:r>
              <w:t>(MPa)</w:t>
            </w:r>
            <w:r>
              <w:rPr>
                <w:rFonts w:hint="eastAsia"/>
              </w:rPr>
              <w:t>：</w:t>
            </w:r>
            <w:r>
              <w:t>7.95</w:t>
            </w:r>
            <w:r>
              <w:rPr>
                <w:rFonts w:hint="eastAsia"/>
              </w:rPr>
              <w:t>；熔点</w:t>
            </w:r>
            <w:r>
              <w:t>(</w:t>
            </w:r>
            <w:r>
              <w:rPr>
                <w:rFonts w:hint="eastAsia"/>
              </w:rPr>
              <w:t>℃</w:t>
            </w:r>
            <w:r>
              <w:t>)</w:t>
            </w:r>
            <w:r>
              <w:rPr>
                <w:rFonts w:hint="eastAsia"/>
              </w:rPr>
              <w:t>：</w:t>
            </w:r>
            <w:r>
              <w:t>-97.8</w:t>
            </w:r>
            <w:r>
              <w:rPr>
                <w:rFonts w:hint="eastAsia"/>
              </w:rPr>
              <w:t>；沸点（℃）：</w:t>
            </w:r>
            <w:r>
              <w:t>64.8</w:t>
            </w:r>
            <w:r>
              <w:rPr>
                <w:rFonts w:hint="eastAsia"/>
              </w:rPr>
              <w:t>；</w:t>
            </w:r>
          </w:p>
        </w:tc>
      </w:tr>
      <w:tr w14:paraId="443A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restart"/>
          </w:tcPr>
          <w:p w14:paraId="5A4DA5F9">
            <w:pPr>
              <w:pStyle w:val="557"/>
            </w:pPr>
            <w:r>
              <w:rPr>
                <w:rFonts w:hint="eastAsia"/>
              </w:rPr>
              <w:t>燃烧爆炸危险性</w:t>
            </w:r>
          </w:p>
        </w:tc>
        <w:tc>
          <w:tcPr>
            <w:tcW w:w="7669" w:type="dxa"/>
            <w:gridSpan w:val="4"/>
          </w:tcPr>
          <w:p w14:paraId="6FE5214A">
            <w:pPr>
              <w:pStyle w:val="557"/>
            </w:pPr>
            <w:r>
              <w:rPr>
                <w:rFonts w:hint="eastAsia"/>
              </w:rPr>
              <w:t>燃烧性：易燃；引燃温度</w:t>
            </w:r>
            <w:r>
              <w:t>(</w:t>
            </w:r>
            <w:r>
              <w:rPr>
                <w:rFonts w:hint="eastAsia"/>
              </w:rPr>
              <w:t>℃</w:t>
            </w:r>
            <w:r>
              <w:t>)</w:t>
            </w:r>
            <w:r>
              <w:rPr>
                <w:rFonts w:hint="eastAsia"/>
              </w:rPr>
              <w:t>：</w:t>
            </w:r>
            <w:r>
              <w:t>385</w:t>
            </w:r>
            <w:r>
              <w:rPr>
                <w:rFonts w:hint="eastAsia"/>
              </w:rPr>
              <w:t>；闪点</w:t>
            </w:r>
            <w:r>
              <w:t>(</w:t>
            </w:r>
            <w:r>
              <w:rPr>
                <w:rFonts w:hint="eastAsia"/>
              </w:rPr>
              <w:t>℃</w:t>
            </w:r>
            <w:r>
              <w:t>)</w:t>
            </w:r>
            <w:r>
              <w:rPr>
                <w:rFonts w:hint="eastAsia"/>
              </w:rPr>
              <w:t>：</w:t>
            </w:r>
            <w:r>
              <w:t>11</w:t>
            </w:r>
            <w:r>
              <w:rPr>
                <w:rFonts w:hint="eastAsia"/>
              </w:rPr>
              <w:t>；爆炸下限</w:t>
            </w:r>
            <w:r>
              <w:t>(v%)</w:t>
            </w:r>
            <w:r>
              <w:rPr>
                <w:rFonts w:hint="eastAsia"/>
              </w:rPr>
              <w:t>：</w:t>
            </w:r>
            <w:r>
              <w:t>5.5</w:t>
            </w:r>
            <w:r>
              <w:rPr>
                <w:rFonts w:hint="eastAsia"/>
              </w:rPr>
              <w:t>；爆炸上限</w:t>
            </w:r>
            <w:r>
              <w:t>(%)</w:t>
            </w:r>
            <w:r>
              <w:rPr>
                <w:rFonts w:hint="eastAsia"/>
              </w:rPr>
              <w:t>：</w:t>
            </w:r>
            <w:r>
              <w:t>44</w:t>
            </w:r>
            <w:r>
              <w:rPr>
                <w:rFonts w:hint="eastAsia"/>
              </w:rPr>
              <w:t>；燃烧（分解）产物：一氧化碳、二氧化碳；最小点火能</w:t>
            </w:r>
            <w:r>
              <w:t>mJ</w:t>
            </w:r>
            <w:r>
              <w:rPr>
                <w:rFonts w:hint="eastAsia"/>
              </w:rPr>
              <w:t>：</w:t>
            </w:r>
            <w:r>
              <w:t>0.125</w:t>
            </w:r>
          </w:p>
        </w:tc>
      </w:tr>
      <w:tr w14:paraId="46AB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25932EF3">
            <w:pPr>
              <w:pStyle w:val="557"/>
            </w:pPr>
          </w:p>
        </w:tc>
        <w:tc>
          <w:tcPr>
            <w:tcW w:w="7669" w:type="dxa"/>
            <w:gridSpan w:val="4"/>
          </w:tcPr>
          <w:p w14:paraId="1A7CF40D">
            <w:pPr>
              <w:pStyle w:val="557"/>
            </w:pPr>
            <w:r>
              <w:rPr>
                <w:rFonts w:hint="eastAsia"/>
              </w:rPr>
              <w:t>危险特性：易燃，其蒸气与空气可形成爆炸性混合物。遇明火、高热能引起燃烧爆炸。与氧化剂接触发生化学反应或引起燃烧。在火场中，受热的容器有爆炸危险。其蒸气比空气重，能在较低处扩散到相当远的地方，遇明火会着火回燃。</w:t>
            </w:r>
          </w:p>
        </w:tc>
      </w:tr>
      <w:tr w14:paraId="3545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34B79349">
            <w:pPr>
              <w:pStyle w:val="557"/>
            </w:pPr>
          </w:p>
        </w:tc>
        <w:tc>
          <w:tcPr>
            <w:tcW w:w="1970" w:type="dxa"/>
          </w:tcPr>
          <w:p w14:paraId="019A2DC4">
            <w:pPr>
              <w:pStyle w:val="557"/>
            </w:pPr>
            <w:r>
              <w:rPr>
                <w:rFonts w:hint="eastAsia"/>
              </w:rPr>
              <w:t>稳定性：稳定</w:t>
            </w:r>
          </w:p>
        </w:tc>
        <w:tc>
          <w:tcPr>
            <w:tcW w:w="1822" w:type="dxa"/>
            <w:gridSpan w:val="2"/>
          </w:tcPr>
          <w:p w14:paraId="12DA6E4E">
            <w:pPr>
              <w:pStyle w:val="557"/>
            </w:pPr>
            <w:r>
              <w:rPr>
                <w:rFonts w:hint="eastAsia"/>
              </w:rPr>
              <w:t>聚合危害：不聚合</w:t>
            </w:r>
          </w:p>
        </w:tc>
        <w:tc>
          <w:tcPr>
            <w:tcW w:w="3877" w:type="dxa"/>
          </w:tcPr>
          <w:p w14:paraId="60C65F5B">
            <w:pPr>
              <w:pStyle w:val="557"/>
            </w:pPr>
            <w:r>
              <w:rPr>
                <w:rFonts w:hint="eastAsia"/>
              </w:rPr>
              <w:t>禁忌物：酸类、酸酐、碱金属、强氧化剂</w:t>
            </w:r>
          </w:p>
        </w:tc>
      </w:tr>
      <w:tr w14:paraId="0003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36237935">
            <w:pPr>
              <w:pStyle w:val="557"/>
            </w:pPr>
          </w:p>
        </w:tc>
        <w:tc>
          <w:tcPr>
            <w:tcW w:w="7669" w:type="dxa"/>
            <w:gridSpan w:val="4"/>
          </w:tcPr>
          <w:p w14:paraId="09EDB9F4">
            <w:pPr>
              <w:pStyle w:val="557"/>
            </w:pPr>
            <w:r>
              <w:rPr>
                <w:rFonts w:hint="eastAsia"/>
              </w:rPr>
              <w:t>消防措施：切断气源。若不能立即切断气源，则不允许熄灭正在燃烧的气体。喷水冷却容器，可能的话将容器从火场移至空旷处。灭火剂：雾状水、泡沫、二氧化碳。</w:t>
            </w:r>
          </w:p>
        </w:tc>
      </w:tr>
      <w:tr w14:paraId="49B0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restart"/>
          </w:tcPr>
          <w:p w14:paraId="1FAC2CAF">
            <w:pPr>
              <w:pStyle w:val="557"/>
            </w:pPr>
            <w:r>
              <w:rPr>
                <w:rFonts w:hint="eastAsia"/>
              </w:rPr>
              <w:t>健康危害与急救措施</w:t>
            </w:r>
          </w:p>
        </w:tc>
        <w:tc>
          <w:tcPr>
            <w:tcW w:w="7669" w:type="dxa"/>
            <w:gridSpan w:val="4"/>
          </w:tcPr>
          <w:p w14:paraId="2B3B0B72">
            <w:pPr>
              <w:pStyle w:val="557"/>
            </w:pPr>
            <w:r>
              <w:rPr>
                <w:rFonts w:hint="eastAsia"/>
              </w:rPr>
              <w:t>接触限值：中国</w:t>
            </w:r>
            <w:r>
              <w:t>MAC</w:t>
            </w:r>
            <w:r>
              <w:rPr>
                <w:rFonts w:hint="eastAsia"/>
              </w:rPr>
              <w:t>：</w:t>
            </w:r>
            <w:r>
              <w:t>50 mg</w:t>
            </w:r>
            <w:r>
              <w:rPr>
                <w:rFonts w:hint="eastAsia"/>
              </w:rPr>
              <w:t>/</w:t>
            </w:r>
            <w:r>
              <w:t>m</w:t>
            </w:r>
            <w:r>
              <w:rPr>
                <w:vertAlign w:val="superscript"/>
              </w:rPr>
              <w:t>3</w:t>
            </w:r>
            <w:r>
              <w:rPr>
                <w:rFonts w:hint="eastAsia"/>
              </w:rPr>
              <w:t>；前苏联</w:t>
            </w:r>
            <w:r>
              <w:t>MAC</w:t>
            </w:r>
            <w:r>
              <w:rPr>
                <w:rFonts w:hint="eastAsia"/>
              </w:rPr>
              <w:t>：</w:t>
            </w:r>
            <w:r>
              <w:t>5 mg</w:t>
            </w:r>
            <w:r>
              <w:rPr>
                <w:rFonts w:hint="eastAsia"/>
              </w:rPr>
              <w:t>/</w:t>
            </w:r>
            <w:r>
              <w:t>m</w:t>
            </w:r>
            <w:r>
              <w:rPr>
                <w:vertAlign w:val="superscript"/>
              </w:rPr>
              <w:t>3</w:t>
            </w:r>
          </w:p>
          <w:p w14:paraId="1332DBDC">
            <w:pPr>
              <w:pStyle w:val="557"/>
              <w:rPr>
                <w:vertAlign w:val="superscript"/>
              </w:rPr>
            </w:pPr>
            <w:r>
              <w:rPr>
                <w:rFonts w:hint="eastAsia"/>
              </w:rPr>
              <w:t>美国</w:t>
            </w:r>
            <w:r>
              <w:t>TVL-TWA</w:t>
            </w:r>
            <w:r>
              <w:rPr>
                <w:rFonts w:hint="eastAsia"/>
              </w:rPr>
              <w:t>；</w:t>
            </w:r>
            <w:r>
              <w:t>OSHA</w:t>
            </w:r>
            <w:r>
              <w:rPr>
                <w:rFonts w:hint="eastAsia"/>
              </w:rPr>
              <w:t xml:space="preserve"> </w:t>
            </w:r>
            <w:r>
              <w:tab/>
            </w:r>
            <w:r>
              <w:t>200ppm</w:t>
            </w:r>
            <w:r>
              <w:rPr>
                <w:rFonts w:hint="eastAsia"/>
              </w:rPr>
              <w:t>，</w:t>
            </w:r>
            <w:r>
              <w:t>262 mg</w:t>
            </w:r>
            <w:r>
              <w:rPr>
                <w:rFonts w:hint="eastAsia"/>
              </w:rPr>
              <w:t>/</w:t>
            </w:r>
            <w:r>
              <w:t>m</w:t>
            </w:r>
            <w:r>
              <w:rPr>
                <w:vertAlign w:val="superscript"/>
              </w:rPr>
              <w:t>3</w:t>
            </w:r>
            <w:r>
              <w:rPr>
                <w:rFonts w:hint="eastAsia"/>
              </w:rPr>
              <w:t>；</w:t>
            </w:r>
            <w:r>
              <w:t>ACGIH 200ppm</w:t>
            </w:r>
            <w:r>
              <w:rPr>
                <w:rFonts w:hint="eastAsia"/>
              </w:rPr>
              <w:t>，</w:t>
            </w:r>
            <w:r>
              <w:t>262 mg</w:t>
            </w:r>
            <w:r>
              <w:rPr>
                <w:rFonts w:hint="eastAsia"/>
              </w:rPr>
              <w:t>/</w:t>
            </w:r>
            <w:r>
              <w:t>m</w:t>
            </w:r>
            <w:r>
              <w:rPr>
                <w:vertAlign w:val="superscript"/>
              </w:rPr>
              <w:t>3</w:t>
            </w:r>
          </w:p>
          <w:p w14:paraId="21295509">
            <w:pPr>
              <w:pStyle w:val="557"/>
            </w:pPr>
            <w:r>
              <w:rPr>
                <w:rFonts w:hint="eastAsia"/>
              </w:rPr>
              <w:t>【皮】美国</w:t>
            </w:r>
            <w:r>
              <w:t>TLV-STEL</w:t>
            </w:r>
            <w:r>
              <w:rPr>
                <w:rFonts w:hint="eastAsia"/>
              </w:rPr>
              <w:t>：</w:t>
            </w:r>
            <w:r>
              <w:t>ACGIH</w:t>
            </w:r>
            <w:r>
              <w:tab/>
            </w:r>
            <w:r>
              <w:tab/>
            </w:r>
            <w:r>
              <w:t>250ppm,328 mg</w:t>
            </w:r>
            <w:r>
              <w:rPr>
                <w:rFonts w:hint="eastAsia"/>
              </w:rPr>
              <w:t>/</w:t>
            </w:r>
            <w:r>
              <w:t>m</w:t>
            </w:r>
            <w:r>
              <w:rPr>
                <w:vertAlign w:val="superscript"/>
              </w:rPr>
              <w:t>3</w:t>
            </w:r>
            <w:r>
              <w:rPr>
                <w:rFonts w:hint="eastAsia"/>
              </w:rPr>
              <w:t>【皮】</w:t>
            </w:r>
          </w:p>
        </w:tc>
      </w:tr>
      <w:tr w14:paraId="2FE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0232C118">
            <w:pPr>
              <w:pStyle w:val="557"/>
            </w:pPr>
          </w:p>
        </w:tc>
        <w:tc>
          <w:tcPr>
            <w:tcW w:w="3346" w:type="dxa"/>
            <w:gridSpan w:val="2"/>
          </w:tcPr>
          <w:p w14:paraId="70266FB6">
            <w:pPr>
              <w:pStyle w:val="557"/>
            </w:pPr>
            <w:r>
              <w:rPr>
                <w:rFonts w:hint="eastAsia"/>
              </w:rPr>
              <w:t>侵入途径：吸入、食入、经皮吸收。</w:t>
            </w:r>
          </w:p>
        </w:tc>
        <w:tc>
          <w:tcPr>
            <w:tcW w:w="4323" w:type="dxa"/>
            <w:gridSpan w:val="2"/>
          </w:tcPr>
          <w:p w14:paraId="0D988997">
            <w:pPr>
              <w:pStyle w:val="557"/>
            </w:pPr>
            <w:r>
              <w:rPr>
                <w:rFonts w:hint="eastAsia"/>
              </w:rPr>
              <w:t>毒性：Ⅲ级危害毒物；</w:t>
            </w:r>
            <w:r>
              <w:t>TWA</w:t>
            </w:r>
            <w:r>
              <w:rPr>
                <w:rFonts w:hint="eastAsia"/>
              </w:rPr>
              <w:t>：</w:t>
            </w:r>
            <w:r>
              <w:t>25</w:t>
            </w:r>
            <w:r>
              <w:rPr>
                <w:rFonts w:hint="eastAsia"/>
              </w:rPr>
              <w:t>；</w:t>
            </w:r>
            <w:r>
              <w:t>STEL:50</w:t>
            </w:r>
          </w:p>
        </w:tc>
      </w:tr>
      <w:tr w14:paraId="60CB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37B41384">
            <w:pPr>
              <w:pStyle w:val="557"/>
            </w:pPr>
          </w:p>
        </w:tc>
        <w:tc>
          <w:tcPr>
            <w:tcW w:w="7669" w:type="dxa"/>
            <w:gridSpan w:val="4"/>
          </w:tcPr>
          <w:p w14:paraId="125D7C0F">
            <w:pPr>
              <w:pStyle w:val="557"/>
            </w:pPr>
            <w:r>
              <w:rPr>
                <w:rFonts w:hint="eastAsia"/>
              </w:rPr>
              <w:t>健康危害：对中枢神经系统有麻醉作用；对视神经和视网膜有特殊选择作用，引起病变；可致代谢性酸中毒。</w:t>
            </w:r>
          </w:p>
          <w:p w14:paraId="276CFB68">
            <w:pPr>
              <w:pStyle w:val="557"/>
            </w:pPr>
            <w:r>
              <w:rPr>
                <w:rFonts w:hint="eastAsia"/>
              </w:rPr>
              <w:t>环境危害：防止物料流入排水沟及水源，若流出物料已流入水源或排水沟，污染土壤及植被，应通知环境管理部门。</w:t>
            </w:r>
          </w:p>
          <w:p w14:paraId="1AF581DA">
            <w:pPr>
              <w:pStyle w:val="557"/>
            </w:pPr>
            <w:r>
              <w:rPr>
                <w:rFonts w:hint="eastAsia"/>
              </w:rPr>
              <w:t>急救措施：皮肤接触：脱去污染的衣着，用肥皂水和清水彻底冲洗皮肤。眼睛接触：提起眼睑，用流动清水或生理盐水冲洗。就医。吸入：迅速脱离现场至空气新鲜处。保持呼吸道通畅。如呼吸困难，给输氧。如呼吸停止，立即进行人工呼吸。就医。</w:t>
            </w:r>
          </w:p>
          <w:p w14:paraId="57833D18">
            <w:pPr>
              <w:pStyle w:val="557"/>
            </w:pPr>
            <w:r>
              <w:rPr>
                <w:rFonts w:hint="eastAsia"/>
              </w:rPr>
              <w:t>食入：饮足量温水，催吐。用清水或</w:t>
            </w:r>
            <w:r>
              <w:t>1%</w:t>
            </w:r>
            <w:r>
              <w:rPr>
                <w:rFonts w:hint="eastAsia"/>
              </w:rPr>
              <w:t>硫代硫酸钠溶液洗胃。就医。</w:t>
            </w:r>
          </w:p>
        </w:tc>
      </w:tr>
      <w:tr w14:paraId="5C2E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restart"/>
          </w:tcPr>
          <w:p w14:paraId="7F7A3ED7">
            <w:pPr>
              <w:pStyle w:val="557"/>
            </w:pPr>
            <w:r>
              <w:rPr>
                <w:rFonts w:hint="eastAsia"/>
              </w:rPr>
              <w:t>储存与操作注意事项</w:t>
            </w:r>
          </w:p>
        </w:tc>
        <w:tc>
          <w:tcPr>
            <w:tcW w:w="3792" w:type="dxa"/>
            <w:gridSpan w:val="3"/>
          </w:tcPr>
          <w:p w14:paraId="0FC9B9D1">
            <w:pPr>
              <w:pStyle w:val="557"/>
            </w:pPr>
            <w:r>
              <w:rPr>
                <w:rFonts w:hint="eastAsia"/>
              </w:rPr>
              <w:t>危险货物编号：</w:t>
            </w:r>
            <w:r>
              <w:t>32058</w:t>
            </w:r>
          </w:p>
        </w:tc>
        <w:tc>
          <w:tcPr>
            <w:tcW w:w="3877" w:type="dxa"/>
          </w:tcPr>
          <w:p w14:paraId="48EA3635">
            <w:pPr>
              <w:pStyle w:val="557"/>
            </w:pPr>
            <w:r>
              <w:t>UN</w:t>
            </w:r>
            <w:r>
              <w:rPr>
                <w:rFonts w:hint="eastAsia"/>
              </w:rPr>
              <w:t>编号：</w:t>
            </w:r>
            <w:r>
              <w:t>1230</w:t>
            </w:r>
          </w:p>
        </w:tc>
      </w:tr>
      <w:tr w14:paraId="63BB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vMerge w:val="continue"/>
          </w:tcPr>
          <w:p w14:paraId="794C48DD">
            <w:pPr>
              <w:pStyle w:val="557"/>
            </w:pPr>
          </w:p>
        </w:tc>
        <w:tc>
          <w:tcPr>
            <w:tcW w:w="7669" w:type="dxa"/>
            <w:gridSpan w:val="4"/>
          </w:tcPr>
          <w:p w14:paraId="7E944C41">
            <w:pPr>
              <w:pStyle w:val="557"/>
            </w:pPr>
            <w:r>
              <w:rPr>
                <w:rFonts w:hint="eastAsia"/>
              </w:rPr>
              <w:t>储存注意事项：储存于阴凉、通风的库房。远离火种、热源。库温不宜超过</w:t>
            </w:r>
            <w:r>
              <w:t>30</w:t>
            </w:r>
            <w:r>
              <w:rPr>
                <w:rFonts w:hint="eastAsia"/>
              </w:rPr>
              <w:t>℃。保持容器密封。应与氧化剂、酸类、碱金属等分开存放，切忌混储。采用防爆型照明、通风设施。禁止使用易产生火花的机械设备和工具。储区应备有泄漏应急处理设备和合适的收容材料。</w:t>
            </w:r>
          </w:p>
          <w:p w14:paraId="1A3E5120">
            <w:pPr>
              <w:pStyle w:val="557"/>
            </w:pPr>
            <w:r>
              <w:rPr>
                <w:rFonts w:hint="eastAsia"/>
              </w:rPr>
              <w:t>操作注意事项：密闭操作，加强通风。操作人员必须经过专门培训，严格遵守操作规 程。建议操作人员佩戴过滤式防毒面具</w:t>
            </w:r>
            <w:r>
              <w:t>(</w:t>
            </w:r>
            <w:r>
              <w:rPr>
                <w:rFonts w:hint="eastAsia"/>
              </w:rPr>
              <w:t>半面罩</w:t>
            </w:r>
            <w:r>
              <w:t>)</w:t>
            </w:r>
            <w:r>
              <w:rPr>
                <w:rFonts w:hint="eastAsia"/>
              </w:rPr>
              <w:t>，戴化学安全防护眼镜，穿防静电工作服，戴橡胶手套。远离火种、热源，工作场所严禁吸烟。使用防爆型通风系统和设备。防止蒸气泄漏到工作场所空气中。避免与氧化剂、酸类、碱金属接触。灌装时应控制流速，且有接地装置，防止静电积聚。配备相应品种和数量的消防器材和泄漏应急处理设备。倒空的容器可能残留有害物。</w:t>
            </w:r>
          </w:p>
        </w:tc>
      </w:tr>
      <w:tr w14:paraId="6069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7" w:type="dxa"/>
          </w:tcPr>
          <w:p w14:paraId="19224387">
            <w:pPr>
              <w:pStyle w:val="557"/>
            </w:pPr>
            <w:r>
              <w:rPr>
                <w:rFonts w:hint="eastAsia"/>
              </w:rPr>
              <w:t>泄漏应急处理</w:t>
            </w:r>
          </w:p>
        </w:tc>
        <w:tc>
          <w:tcPr>
            <w:tcW w:w="7669" w:type="dxa"/>
            <w:gridSpan w:val="4"/>
          </w:tcPr>
          <w:p w14:paraId="5285570D">
            <w:pPr>
              <w:pStyle w:val="557"/>
            </w:pPr>
            <w:r>
              <w:rPr>
                <w:rFonts w:hint="eastAsia"/>
              </w:rPr>
              <w:t>迅速撤离泄漏污染区人员至安全区，并进行隔离，严格限制出入。切断火源。建议应急处理人员戴自给正压式呼吸器，穿防静电工作服。不要直接接触泄漏物。尽可能切断泄漏源。防止进入下水道、排洪沟等限制性空间。小量泄漏：用砂土或其他不燃材料吸附或吸收。也可以用大量水冲洗，洗水稀释后放入废水系统。大量泄漏：构筑围堤或挖坑收容。用泡沫覆盖，降低蒸气灾害。用防爆泵转移槽车或专用收集器内，回收或运至废物处理场所处置。</w:t>
            </w:r>
          </w:p>
        </w:tc>
      </w:tr>
    </w:tbl>
    <w:p w14:paraId="48631DB7">
      <w:pPr>
        <w:pStyle w:val="645"/>
        <w:ind w:firstLine="480"/>
        <w:rPr>
          <w:rFonts w:hint="eastAsia"/>
        </w:rPr>
      </w:pPr>
      <w:r>
        <w:rPr>
          <w:rFonts w:hint="eastAsia"/>
        </w:rPr>
        <w:t>表</w:t>
      </w:r>
      <w:r>
        <w:t>7.</w:t>
      </w:r>
      <w:r>
        <w:rPr>
          <w:rFonts w:hint="eastAsia"/>
        </w:rPr>
        <w:t>2</w:t>
      </w:r>
      <w:r>
        <w:t>.1-</w:t>
      </w:r>
      <w:r>
        <w:rPr>
          <w:rFonts w:hint="eastAsia"/>
        </w:rPr>
        <w:t>9</w:t>
      </w:r>
      <w:r>
        <w:t xml:space="preserve"> </w:t>
      </w:r>
      <w:r>
        <w:rPr>
          <w:rFonts w:hint="eastAsia"/>
        </w:rPr>
        <w:t xml:space="preserve"> </w:t>
      </w:r>
      <w:r>
        <w:t xml:space="preserve">  </w:t>
      </w:r>
      <w:r>
        <w:rPr>
          <w:rFonts w:hint="eastAsia"/>
        </w:rPr>
        <w:t>硝酸理化性质及危险特性表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335"/>
        <w:gridCol w:w="1383"/>
        <w:gridCol w:w="250"/>
        <w:gridCol w:w="160"/>
        <w:gridCol w:w="1393"/>
        <w:gridCol w:w="145"/>
        <w:gridCol w:w="628"/>
        <w:gridCol w:w="493"/>
        <w:gridCol w:w="1432"/>
        <w:gridCol w:w="153"/>
        <w:gridCol w:w="663"/>
      </w:tblGrid>
      <w:tr w14:paraId="1E63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restart"/>
            <w:vAlign w:val="center"/>
          </w:tcPr>
          <w:p w14:paraId="1D77CEA6">
            <w:pPr>
              <w:pStyle w:val="557"/>
            </w:pPr>
            <w:r>
              <w:t>标识</w:t>
            </w:r>
          </w:p>
        </w:tc>
        <w:tc>
          <w:tcPr>
            <w:tcW w:w="3112" w:type="pct"/>
            <w:gridSpan w:val="7"/>
            <w:vAlign w:val="center"/>
          </w:tcPr>
          <w:p w14:paraId="183F6FA1">
            <w:pPr>
              <w:pStyle w:val="557"/>
            </w:pPr>
            <w:r>
              <w:t>中文名：硝酸；硝酸氢</w:t>
            </w:r>
            <w:r>
              <w:rPr>
                <w:lang w:eastAsia="zh-TW"/>
              </w:rPr>
              <w:t>；硝漒水</w:t>
            </w:r>
          </w:p>
        </w:tc>
        <w:tc>
          <w:tcPr>
            <w:tcW w:w="1612" w:type="pct"/>
            <w:gridSpan w:val="4"/>
            <w:vAlign w:val="center"/>
          </w:tcPr>
          <w:p w14:paraId="54AA253D">
            <w:pPr>
              <w:pStyle w:val="557"/>
            </w:pPr>
            <w:r>
              <w:t>危险货物编号：81002</w:t>
            </w:r>
          </w:p>
        </w:tc>
      </w:tr>
      <w:tr w14:paraId="6534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6B26FC52">
            <w:pPr>
              <w:pStyle w:val="557"/>
            </w:pPr>
          </w:p>
        </w:tc>
        <w:tc>
          <w:tcPr>
            <w:tcW w:w="3112" w:type="pct"/>
            <w:gridSpan w:val="7"/>
            <w:vAlign w:val="center"/>
          </w:tcPr>
          <w:p w14:paraId="51AAC1C3">
            <w:pPr>
              <w:pStyle w:val="557"/>
            </w:pPr>
            <w:r>
              <w:t>英文名：Nitric acid</w:t>
            </w:r>
          </w:p>
        </w:tc>
        <w:tc>
          <w:tcPr>
            <w:tcW w:w="1612" w:type="pct"/>
            <w:gridSpan w:val="4"/>
            <w:vAlign w:val="center"/>
          </w:tcPr>
          <w:p w14:paraId="1ED825F1">
            <w:pPr>
              <w:pStyle w:val="557"/>
            </w:pPr>
            <w:r>
              <w:t>UN编号：2031</w:t>
            </w:r>
          </w:p>
        </w:tc>
      </w:tr>
      <w:tr w14:paraId="4289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21D5ACB5">
            <w:pPr>
              <w:pStyle w:val="557"/>
            </w:pPr>
          </w:p>
        </w:tc>
        <w:tc>
          <w:tcPr>
            <w:tcW w:w="1745" w:type="pct"/>
            <w:gridSpan w:val="3"/>
            <w:vAlign w:val="center"/>
          </w:tcPr>
          <w:p w14:paraId="1D4F5FA4">
            <w:pPr>
              <w:pStyle w:val="557"/>
            </w:pPr>
            <w:r>
              <w:t>分子式：HNO</w:t>
            </w:r>
            <w:r>
              <w:rPr>
                <w:vertAlign w:val="subscript"/>
              </w:rPr>
              <w:t>3</w:t>
            </w:r>
          </w:p>
        </w:tc>
        <w:tc>
          <w:tcPr>
            <w:tcW w:w="1367" w:type="pct"/>
            <w:gridSpan w:val="4"/>
            <w:vAlign w:val="center"/>
          </w:tcPr>
          <w:p w14:paraId="0914DFC9">
            <w:pPr>
              <w:pStyle w:val="557"/>
            </w:pPr>
            <w:r>
              <w:t>分子量：63.01</w:t>
            </w:r>
          </w:p>
        </w:tc>
        <w:tc>
          <w:tcPr>
            <w:tcW w:w="1612" w:type="pct"/>
            <w:gridSpan w:val="4"/>
            <w:vAlign w:val="center"/>
          </w:tcPr>
          <w:p w14:paraId="00D9E742">
            <w:pPr>
              <w:pStyle w:val="557"/>
            </w:pPr>
            <w:r>
              <w:t>CAS号：7697-37-2</w:t>
            </w:r>
          </w:p>
        </w:tc>
      </w:tr>
      <w:tr w14:paraId="69E3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restart"/>
            <w:vAlign w:val="center"/>
          </w:tcPr>
          <w:p w14:paraId="2F6CF8AE">
            <w:pPr>
              <w:pStyle w:val="557"/>
            </w:pPr>
            <w:r>
              <w:t>理化性质</w:t>
            </w:r>
          </w:p>
        </w:tc>
        <w:tc>
          <w:tcPr>
            <w:tcW w:w="785" w:type="pct"/>
            <w:vAlign w:val="center"/>
          </w:tcPr>
          <w:p w14:paraId="028CEA9B">
            <w:pPr>
              <w:pStyle w:val="557"/>
            </w:pPr>
            <w:r>
              <w:t>外观与性状</w:t>
            </w:r>
          </w:p>
        </w:tc>
        <w:tc>
          <w:tcPr>
            <w:tcW w:w="3939" w:type="pct"/>
            <w:gridSpan w:val="10"/>
            <w:vAlign w:val="center"/>
          </w:tcPr>
          <w:p w14:paraId="7310E30B">
            <w:pPr>
              <w:pStyle w:val="557"/>
            </w:pPr>
            <w:r>
              <w:t>纯品为无色透明发烟液体，有酸味。</w:t>
            </w:r>
          </w:p>
        </w:tc>
      </w:tr>
      <w:tr w14:paraId="500C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485CFC5B">
            <w:pPr>
              <w:pStyle w:val="557"/>
            </w:pPr>
          </w:p>
        </w:tc>
        <w:tc>
          <w:tcPr>
            <w:tcW w:w="785" w:type="pct"/>
            <w:vAlign w:val="center"/>
          </w:tcPr>
          <w:p w14:paraId="324A0839">
            <w:pPr>
              <w:pStyle w:val="557"/>
            </w:pPr>
            <w:r>
              <w:t>熔点（℃）</w:t>
            </w:r>
          </w:p>
        </w:tc>
        <w:tc>
          <w:tcPr>
            <w:tcW w:w="813" w:type="pct"/>
            <w:vAlign w:val="center"/>
          </w:tcPr>
          <w:p w14:paraId="5D2A5264">
            <w:pPr>
              <w:pStyle w:val="557"/>
            </w:pPr>
            <w:r>
              <w:t>-42</w:t>
            </w:r>
          </w:p>
        </w:tc>
        <w:tc>
          <w:tcPr>
            <w:tcW w:w="1145" w:type="pct"/>
            <w:gridSpan w:val="4"/>
            <w:vAlign w:val="center"/>
          </w:tcPr>
          <w:p w14:paraId="3BA79E72">
            <w:pPr>
              <w:pStyle w:val="557"/>
            </w:pPr>
            <w:r>
              <w:t>相对密度(水=1)</w:t>
            </w:r>
          </w:p>
        </w:tc>
        <w:tc>
          <w:tcPr>
            <w:tcW w:w="369" w:type="pct"/>
            <w:vAlign w:val="center"/>
          </w:tcPr>
          <w:p w14:paraId="28764645">
            <w:pPr>
              <w:pStyle w:val="557"/>
            </w:pPr>
            <w:r>
              <w:t>1.5</w:t>
            </w:r>
          </w:p>
        </w:tc>
        <w:tc>
          <w:tcPr>
            <w:tcW w:w="1222" w:type="pct"/>
            <w:gridSpan w:val="3"/>
            <w:vAlign w:val="center"/>
          </w:tcPr>
          <w:p w14:paraId="5C728A26">
            <w:pPr>
              <w:pStyle w:val="557"/>
            </w:pPr>
            <w:r>
              <w:t>相对密度(空气=1)</w:t>
            </w:r>
          </w:p>
        </w:tc>
        <w:tc>
          <w:tcPr>
            <w:tcW w:w="390" w:type="pct"/>
            <w:vAlign w:val="center"/>
          </w:tcPr>
          <w:p w14:paraId="312ABFC7">
            <w:pPr>
              <w:pStyle w:val="557"/>
            </w:pPr>
            <w:r>
              <w:t>2.17</w:t>
            </w:r>
          </w:p>
        </w:tc>
      </w:tr>
      <w:tr w14:paraId="48F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7834CDF6">
            <w:pPr>
              <w:pStyle w:val="557"/>
            </w:pPr>
          </w:p>
        </w:tc>
        <w:tc>
          <w:tcPr>
            <w:tcW w:w="785" w:type="pct"/>
            <w:vAlign w:val="center"/>
          </w:tcPr>
          <w:p w14:paraId="1CCE58E5">
            <w:pPr>
              <w:pStyle w:val="557"/>
            </w:pPr>
            <w:r>
              <w:t>沸点（℃）</w:t>
            </w:r>
          </w:p>
        </w:tc>
        <w:tc>
          <w:tcPr>
            <w:tcW w:w="813" w:type="pct"/>
            <w:vAlign w:val="center"/>
          </w:tcPr>
          <w:p w14:paraId="33350CDA">
            <w:pPr>
              <w:pStyle w:val="557"/>
            </w:pPr>
            <w:r>
              <w:t>86</w:t>
            </w:r>
          </w:p>
        </w:tc>
        <w:tc>
          <w:tcPr>
            <w:tcW w:w="1514" w:type="pct"/>
            <w:gridSpan w:val="5"/>
            <w:vAlign w:val="center"/>
          </w:tcPr>
          <w:p w14:paraId="153AE1DD">
            <w:pPr>
              <w:pStyle w:val="557"/>
            </w:pPr>
            <w:r>
              <w:rPr>
                <w:rFonts w:hint="eastAsia"/>
              </w:rPr>
              <w:t>饱和蒸汽压</w:t>
            </w:r>
            <w:r>
              <w:t>（kPa）</w:t>
            </w:r>
          </w:p>
        </w:tc>
        <w:tc>
          <w:tcPr>
            <w:tcW w:w="1612" w:type="pct"/>
            <w:gridSpan w:val="4"/>
            <w:vAlign w:val="center"/>
          </w:tcPr>
          <w:p w14:paraId="0EF78686">
            <w:pPr>
              <w:pStyle w:val="557"/>
            </w:pPr>
            <w:r>
              <w:t>4.4/20℃</w:t>
            </w:r>
          </w:p>
        </w:tc>
      </w:tr>
      <w:tr w14:paraId="74FB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4AD51B02">
            <w:pPr>
              <w:pStyle w:val="557"/>
            </w:pPr>
          </w:p>
        </w:tc>
        <w:tc>
          <w:tcPr>
            <w:tcW w:w="785" w:type="pct"/>
            <w:vAlign w:val="center"/>
          </w:tcPr>
          <w:p w14:paraId="6C79E71A">
            <w:pPr>
              <w:pStyle w:val="557"/>
            </w:pPr>
            <w:r>
              <w:t>溶解性</w:t>
            </w:r>
          </w:p>
        </w:tc>
        <w:tc>
          <w:tcPr>
            <w:tcW w:w="3939" w:type="pct"/>
            <w:gridSpan w:val="10"/>
            <w:vAlign w:val="center"/>
          </w:tcPr>
          <w:p w14:paraId="1BA3C64F">
            <w:pPr>
              <w:pStyle w:val="557"/>
            </w:pPr>
            <w:r>
              <w:t>与水混溶。</w:t>
            </w:r>
          </w:p>
        </w:tc>
      </w:tr>
      <w:tr w14:paraId="3795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restart"/>
            <w:vAlign w:val="center"/>
          </w:tcPr>
          <w:p w14:paraId="7265B82B">
            <w:pPr>
              <w:pStyle w:val="557"/>
            </w:pPr>
            <w:r>
              <w:t>毒性及健康危害</w:t>
            </w:r>
          </w:p>
        </w:tc>
        <w:tc>
          <w:tcPr>
            <w:tcW w:w="785" w:type="pct"/>
            <w:vAlign w:val="center"/>
          </w:tcPr>
          <w:p w14:paraId="43572CC0">
            <w:pPr>
              <w:pStyle w:val="557"/>
            </w:pPr>
            <w:r>
              <w:t>侵入途径</w:t>
            </w:r>
          </w:p>
        </w:tc>
        <w:tc>
          <w:tcPr>
            <w:tcW w:w="3939" w:type="pct"/>
            <w:gridSpan w:val="10"/>
            <w:vAlign w:val="center"/>
          </w:tcPr>
          <w:p w14:paraId="025CA795">
            <w:pPr>
              <w:pStyle w:val="557"/>
            </w:pPr>
            <w:r>
              <w:t>吸入、食入、经皮吸收</w:t>
            </w:r>
          </w:p>
        </w:tc>
      </w:tr>
      <w:tr w14:paraId="2557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04145FF2">
            <w:pPr>
              <w:pStyle w:val="557"/>
            </w:pPr>
          </w:p>
        </w:tc>
        <w:tc>
          <w:tcPr>
            <w:tcW w:w="785" w:type="pct"/>
            <w:vAlign w:val="center"/>
          </w:tcPr>
          <w:p w14:paraId="1CB174FF">
            <w:pPr>
              <w:pStyle w:val="557"/>
            </w:pPr>
            <w:r>
              <w:t>毒性</w:t>
            </w:r>
          </w:p>
        </w:tc>
        <w:tc>
          <w:tcPr>
            <w:tcW w:w="3939" w:type="pct"/>
            <w:gridSpan w:val="10"/>
            <w:vAlign w:val="center"/>
          </w:tcPr>
          <w:p w14:paraId="5EE2294F">
            <w:pPr>
              <w:pStyle w:val="557"/>
            </w:pPr>
            <w:r>
              <w:t xml:space="preserve"> LD</w:t>
            </w:r>
            <w:r>
              <w:rPr>
                <w:vertAlign w:val="subscript"/>
              </w:rPr>
              <w:t>50</w:t>
            </w:r>
            <w:r>
              <w:t>：                    LC</w:t>
            </w:r>
            <w:r>
              <w:rPr>
                <w:vertAlign w:val="subscript"/>
              </w:rPr>
              <w:t>50</w:t>
            </w:r>
            <w:r>
              <w:t xml:space="preserve">：      </w:t>
            </w:r>
          </w:p>
        </w:tc>
      </w:tr>
      <w:tr w14:paraId="54B7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303830F5">
            <w:pPr>
              <w:pStyle w:val="557"/>
            </w:pPr>
          </w:p>
        </w:tc>
        <w:tc>
          <w:tcPr>
            <w:tcW w:w="785" w:type="pct"/>
            <w:vAlign w:val="center"/>
          </w:tcPr>
          <w:p w14:paraId="76BAE3C5">
            <w:pPr>
              <w:pStyle w:val="557"/>
            </w:pPr>
            <w:r>
              <w:t>健康危害</w:t>
            </w:r>
          </w:p>
        </w:tc>
        <w:tc>
          <w:tcPr>
            <w:tcW w:w="3939" w:type="pct"/>
            <w:gridSpan w:val="10"/>
            <w:vAlign w:val="center"/>
          </w:tcPr>
          <w:p w14:paraId="7AC0E251">
            <w:pPr>
              <w:pStyle w:val="557"/>
            </w:pPr>
            <w: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r>
      <w:tr w14:paraId="4A18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12E130F7">
            <w:pPr>
              <w:pStyle w:val="557"/>
            </w:pPr>
          </w:p>
        </w:tc>
        <w:tc>
          <w:tcPr>
            <w:tcW w:w="785" w:type="pct"/>
            <w:vAlign w:val="center"/>
          </w:tcPr>
          <w:p w14:paraId="64202F85">
            <w:pPr>
              <w:pStyle w:val="557"/>
            </w:pPr>
            <w:r>
              <w:t>急救方法</w:t>
            </w:r>
          </w:p>
        </w:tc>
        <w:tc>
          <w:tcPr>
            <w:tcW w:w="3939" w:type="pct"/>
            <w:gridSpan w:val="10"/>
            <w:vAlign w:val="center"/>
          </w:tcPr>
          <w:p w14:paraId="41CBFF92">
            <w:pPr>
              <w:pStyle w:val="557"/>
            </w:pPr>
            <w:r>
              <w:t>皮肤接触：立即用水冲洗至少15分钟。或用2%碳酸氢钠溶液冲洗。若有灼伤，就医治疗。眼睛接触：立即提起眼睑，用流动清水或生理盐水冲洗至少15分钟。就医。吸入：迅速脱离现场至空气新鲜处。呼吸困难时给输氧。给予2-4%碳酸氢钠溶液雾化吸入。就医。食入：误服者给牛奶、蛋清、植物油等口服，不可催吐。立即就医。</w:t>
            </w:r>
          </w:p>
        </w:tc>
      </w:tr>
      <w:tr w14:paraId="240C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restart"/>
            <w:vAlign w:val="center"/>
          </w:tcPr>
          <w:p w14:paraId="24352E25">
            <w:pPr>
              <w:pStyle w:val="557"/>
            </w:pPr>
            <w:r>
              <w:t>燃烧爆炸危险性</w:t>
            </w:r>
          </w:p>
        </w:tc>
        <w:tc>
          <w:tcPr>
            <w:tcW w:w="785" w:type="pct"/>
            <w:vAlign w:val="center"/>
          </w:tcPr>
          <w:p w14:paraId="273805ED">
            <w:pPr>
              <w:pStyle w:val="557"/>
            </w:pPr>
            <w:r>
              <w:t>燃烧性</w:t>
            </w:r>
          </w:p>
        </w:tc>
        <w:tc>
          <w:tcPr>
            <w:tcW w:w="1054" w:type="pct"/>
            <w:gridSpan w:val="3"/>
            <w:vAlign w:val="center"/>
          </w:tcPr>
          <w:p w14:paraId="2B482FB0">
            <w:pPr>
              <w:pStyle w:val="557"/>
            </w:pPr>
            <w:r>
              <w:t>不燃</w:t>
            </w:r>
          </w:p>
        </w:tc>
        <w:tc>
          <w:tcPr>
            <w:tcW w:w="1563" w:type="pct"/>
            <w:gridSpan w:val="4"/>
            <w:vAlign w:val="center"/>
          </w:tcPr>
          <w:p w14:paraId="0B5A3D92">
            <w:pPr>
              <w:pStyle w:val="557"/>
            </w:pPr>
            <w:r>
              <w:t>燃烧分解物</w:t>
            </w:r>
          </w:p>
        </w:tc>
        <w:tc>
          <w:tcPr>
            <w:tcW w:w="1322" w:type="pct"/>
            <w:gridSpan w:val="3"/>
            <w:vAlign w:val="center"/>
          </w:tcPr>
          <w:p w14:paraId="1FF8BA38">
            <w:pPr>
              <w:pStyle w:val="557"/>
            </w:pPr>
            <w:r>
              <w:t>氧化氮</w:t>
            </w:r>
          </w:p>
        </w:tc>
      </w:tr>
      <w:tr w14:paraId="3B27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196D9A54">
            <w:pPr>
              <w:pStyle w:val="557"/>
            </w:pPr>
          </w:p>
        </w:tc>
        <w:tc>
          <w:tcPr>
            <w:tcW w:w="785" w:type="pct"/>
            <w:vAlign w:val="center"/>
          </w:tcPr>
          <w:p w14:paraId="1CC64642">
            <w:pPr>
              <w:pStyle w:val="557"/>
            </w:pPr>
            <w:r>
              <w:t>闪点(℃)</w:t>
            </w:r>
          </w:p>
        </w:tc>
        <w:tc>
          <w:tcPr>
            <w:tcW w:w="1054" w:type="pct"/>
            <w:gridSpan w:val="3"/>
            <w:vAlign w:val="center"/>
          </w:tcPr>
          <w:p w14:paraId="7D821F39">
            <w:pPr>
              <w:pStyle w:val="557"/>
            </w:pPr>
            <w:r>
              <w:t>/</w:t>
            </w:r>
          </w:p>
        </w:tc>
        <w:tc>
          <w:tcPr>
            <w:tcW w:w="1563" w:type="pct"/>
            <w:gridSpan w:val="4"/>
            <w:vAlign w:val="center"/>
          </w:tcPr>
          <w:p w14:paraId="03F4D854">
            <w:pPr>
              <w:pStyle w:val="557"/>
            </w:pPr>
            <w:r>
              <w:t>爆炸上限（v%）</w:t>
            </w:r>
          </w:p>
        </w:tc>
        <w:tc>
          <w:tcPr>
            <w:tcW w:w="1322" w:type="pct"/>
            <w:gridSpan w:val="3"/>
            <w:vAlign w:val="center"/>
          </w:tcPr>
          <w:p w14:paraId="631BC37D">
            <w:pPr>
              <w:pStyle w:val="557"/>
            </w:pPr>
            <w:r>
              <w:t>/</w:t>
            </w:r>
          </w:p>
        </w:tc>
      </w:tr>
      <w:tr w14:paraId="164D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74DAA91D">
            <w:pPr>
              <w:pStyle w:val="557"/>
            </w:pPr>
          </w:p>
        </w:tc>
        <w:tc>
          <w:tcPr>
            <w:tcW w:w="785" w:type="pct"/>
            <w:vAlign w:val="center"/>
          </w:tcPr>
          <w:p w14:paraId="0396B99F">
            <w:pPr>
              <w:pStyle w:val="557"/>
            </w:pPr>
            <w:r>
              <w:t>引燃温度(℃)</w:t>
            </w:r>
          </w:p>
        </w:tc>
        <w:tc>
          <w:tcPr>
            <w:tcW w:w="1054" w:type="pct"/>
            <w:gridSpan w:val="3"/>
            <w:vAlign w:val="center"/>
          </w:tcPr>
          <w:p w14:paraId="485BB472">
            <w:pPr>
              <w:pStyle w:val="557"/>
            </w:pPr>
            <w:r>
              <w:t>/</w:t>
            </w:r>
          </w:p>
        </w:tc>
        <w:tc>
          <w:tcPr>
            <w:tcW w:w="1563" w:type="pct"/>
            <w:gridSpan w:val="4"/>
            <w:vAlign w:val="center"/>
          </w:tcPr>
          <w:p w14:paraId="01264F49">
            <w:pPr>
              <w:pStyle w:val="557"/>
            </w:pPr>
            <w:r>
              <w:t>爆炸下限（v%）</w:t>
            </w:r>
          </w:p>
        </w:tc>
        <w:tc>
          <w:tcPr>
            <w:tcW w:w="1322" w:type="pct"/>
            <w:gridSpan w:val="3"/>
            <w:vAlign w:val="center"/>
          </w:tcPr>
          <w:p w14:paraId="35BC5D24">
            <w:pPr>
              <w:pStyle w:val="557"/>
            </w:pPr>
            <w:r>
              <w:t>/</w:t>
            </w:r>
          </w:p>
        </w:tc>
      </w:tr>
      <w:tr w14:paraId="764B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48BE1496">
            <w:pPr>
              <w:pStyle w:val="557"/>
            </w:pPr>
          </w:p>
        </w:tc>
        <w:tc>
          <w:tcPr>
            <w:tcW w:w="785" w:type="pct"/>
            <w:vAlign w:val="center"/>
          </w:tcPr>
          <w:p w14:paraId="3F28A36C">
            <w:pPr>
              <w:pStyle w:val="557"/>
            </w:pPr>
            <w:r>
              <w:t>危险特性</w:t>
            </w:r>
          </w:p>
        </w:tc>
        <w:tc>
          <w:tcPr>
            <w:tcW w:w="3939" w:type="pct"/>
            <w:gridSpan w:val="10"/>
            <w:vAlign w:val="center"/>
          </w:tcPr>
          <w:p w14:paraId="1512336A">
            <w:pPr>
              <w:pStyle w:val="557"/>
            </w:pPr>
            <w:r>
              <w:t>强氧化剂。能与多种物质如金属粉末、电石、硫化氢、松节油等猛烈反应，甚至发生爆炸。与还原剂、可燃物如糖、纤维素、木屑、棉花、稻草或废纱头等接触，引起燃烧并散发出剧毒的棕色烟雾。具有强腐蚀性。</w:t>
            </w:r>
          </w:p>
        </w:tc>
      </w:tr>
      <w:tr w14:paraId="2C09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3B27FB45">
            <w:pPr>
              <w:pStyle w:val="557"/>
            </w:pPr>
          </w:p>
        </w:tc>
        <w:tc>
          <w:tcPr>
            <w:tcW w:w="785" w:type="pct"/>
            <w:vAlign w:val="center"/>
          </w:tcPr>
          <w:p w14:paraId="07DF61B5">
            <w:pPr>
              <w:pStyle w:val="557"/>
            </w:pPr>
            <w:r>
              <w:t>建规火险分级</w:t>
            </w:r>
          </w:p>
        </w:tc>
        <w:tc>
          <w:tcPr>
            <w:tcW w:w="1054" w:type="pct"/>
            <w:gridSpan w:val="3"/>
            <w:vAlign w:val="center"/>
          </w:tcPr>
          <w:p w14:paraId="1FB415DA">
            <w:pPr>
              <w:pStyle w:val="557"/>
            </w:pPr>
            <w:r>
              <w:t>乙</w:t>
            </w:r>
          </w:p>
        </w:tc>
        <w:tc>
          <w:tcPr>
            <w:tcW w:w="819" w:type="pct"/>
            <w:vAlign w:val="center"/>
          </w:tcPr>
          <w:p w14:paraId="5AB70F68">
            <w:pPr>
              <w:pStyle w:val="557"/>
            </w:pPr>
            <w:r>
              <w:t>稳定性</w:t>
            </w:r>
          </w:p>
        </w:tc>
        <w:tc>
          <w:tcPr>
            <w:tcW w:w="744" w:type="pct"/>
            <w:gridSpan w:val="3"/>
            <w:vAlign w:val="center"/>
          </w:tcPr>
          <w:p w14:paraId="3BD6E000">
            <w:pPr>
              <w:pStyle w:val="557"/>
            </w:pPr>
            <w:r>
              <w:t>稳定</w:t>
            </w:r>
          </w:p>
        </w:tc>
        <w:tc>
          <w:tcPr>
            <w:tcW w:w="842" w:type="pct"/>
            <w:vAlign w:val="center"/>
          </w:tcPr>
          <w:p w14:paraId="3D5C23F6">
            <w:pPr>
              <w:pStyle w:val="557"/>
            </w:pPr>
            <w:r>
              <w:t>聚合危害</w:t>
            </w:r>
          </w:p>
        </w:tc>
        <w:tc>
          <w:tcPr>
            <w:tcW w:w="480" w:type="pct"/>
            <w:gridSpan w:val="2"/>
            <w:vAlign w:val="center"/>
          </w:tcPr>
          <w:p w14:paraId="12DC648B">
            <w:pPr>
              <w:pStyle w:val="557"/>
            </w:pPr>
            <w:r>
              <w:t>不聚合</w:t>
            </w:r>
          </w:p>
        </w:tc>
      </w:tr>
      <w:tr w14:paraId="15DB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1353D998">
            <w:pPr>
              <w:pStyle w:val="557"/>
            </w:pPr>
          </w:p>
        </w:tc>
        <w:tc>
          <w:tcPr>
            <w:tcW w:w="785" w:type="pct"/>
            <w:vAlign w:val="center"/>
          </w:tcPr>
          <w:p w14:paraId="12CF607B">
            <w:pPr>
              <w:pStyle w:val="557"/>
            </w:pPr>
            <w:r>
              <w:t>禁忌物</w:t>
            </w:r>
          </w:p>
        </w:tc>
        <w:tc>
          <w:tcPr>
            <w:tcW w:w="3939" w:type="pct"/>
            <w:gridSpan w:val="10"/>
            <w:vAlign w:val="center"/>
          </w:tcPr>
          <w:p w14:paraId="38B5145E">
            <w:pPr>
              <w:pStyle w:val="557"/>
              <w:rPr>
                <w:b/>
              </w:rPr>
            </w:pPr>
            <w:r>
              <w:t>还原剂、碱类、醇类、碱金属、铜、胺类。</w:t>
            </w:r>
          </w:p>
        </w:tc>
      </w:tr>
      <w:tr w14:paraId="6740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14F90780">
            <w:pPr>
              <w:pStyle w:val="557"/>
            </w:pPr>
          </w:p>
        </w:tc>
        <w:tc>
          <w:tcPr>
            <w:tcW w:w="785" w:type="pct"/>
            <w:vAlign w:val="center"/>
          </w:tcPr>
          <w:p w14:paraId="30A16FAD">
            <w:pPr>
              <w:pStyle w:val="557"/>
            </w:pPr>
            <w:r>
              <w:t>储运条件</w:t>
            </w:r>
          </w:p>
          <w:p w14:paraId="3C45FFD6">
            <w:pPr>
              <w:pStyle w:val="557"/>
            </w:pPr>
            <w:r>
              <w:t>与泄漏处理</w:t>
            </w:r>
          </w:p>
        </w:tc>
        <w:tc>
          <w:tcPr>
            <w:tcW w:w="3939" w:type="pct"/>
            <w:gridSpan w:val="10"/>
            <w:vAlign w:val="center"/>
          </w:tcPr>
          <w:p w14:paraId="6474933A">
            <w:pPr>
              <w:pStyle w:val="557"/>
            </w:pPr>
            <w:r>
              <w:t>储运条件：储存于阴凉、干燥、通风处。应与易燃、可燃物，碱类、金属粉末等分开存放。不可混储混运。搬运时要轻装轻卸，防止包装及容器损坏。分装和搬运作业要注意个人防护。运输按规定路线行驶，勿在居民区和人口稠密区停留。泄漏处理：迅速撤离泄漏污染区人员至安全区，并进行隔离，严格限制出入。建议应急处理人员戴自给正压式呼吸器，穿防酸碱工作服。从上风处进入现场。尽可能切断泄漏源。防止流入下水道、排洪沟等限制性空间。不要直接接触泄漏物，勿使泄漏物与可燃物质(木材、纸、油等)接触，在确保安全情况下堵漏。喷水雾能减少蒸发但不要使水进入储存容器内。小量泄漏：将地面</w:t>
            </w:r>
            <w:r>
              <w:rPr>
                <w:rFonts w:hint="eastAsia"/>
              </w:rPr>
              <w:t>撒上</w:t>
            </w:r>
            <w:r>
              <w:t>苏打灰，然后用大量水冲洗，洗水稀释后放入废水系统。大量泄漏：构筑围堤或挖坑收容。喷雾状水冷却和稀释蒸汽、保护现场人员、把泄漏物稀释成不燃物。用泵转移至槽车或专用收集器内，回收或运至废物处理场所处置。</w:t>
            </w:r>
          </w:p>
        </w:tc>
      </w:tr>
      <w:tr w14:paraId="3D03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76" w:type="pct"/>
            <w:vMerge w:val="continue"/>
            <w:vAlign w:val="center"/>
          </w:tcPr>
          <w:p w14:paraId="41D52615">
            <w:pPr>
              <w:pStyle w:val="557"/>
            </w:pPr>
          </w:p>
        </w:tc>
        <w:tc>
          <w:tcPr>
            <w:tcW w:w="785" w:type="pct"/>
            <w:vAlign w:val="center"/>
          </w:tcPr>
          <w:p w14:paraId="2922D915">
            <w:pPr>
              <w:pStyle w:val="557"/>
            </w:pPr>
            <w:r>
              <w:t>灭火方法</w:t>
            </w:r>
          </w:p>
        </w:tc>
        <w:tc>
          <w:tcPr>
            <w:tcW w:w="3939" w:type="pct"/>
            <w:gridSpan w:val="10"/>
            <w:vAlign w:val="center"/>
          </w:tcPr>
          <w:p w14:paraId="38EED239">
            <w:pPr>
              <w:pStyle w:val="557"/>
            </w:pPr>
            <w:r>
              <w:t>用二氧化碳、砂土、雾状水、火场周围可用的灭火介质灭火。</w:t>
            </w:r>
          </w:p>
        </w:tc>
      </w:tr>
    </w:tbl>
    <w:p w14:paraId="4D7D8E5F">
      <w:pPr>
        <w:pStyle w:val="557"/>
      </w:pPr>
    </w:p>
    <w:p w14:paraId="64CBBBDC">
      <w:pPr>
        <w:pStyle w:val="97"/>
        <w:rPr>
          <w:rFonts w:hint="eastAsia"/>
        </w:rPr>
      </w:pPr>
      <w:r>
        <w:rPr>
          <w:rFonts w:hint="eastAsia"/>
        </w:rPr>
        <w:t>生产系统风险识别</w:t>
      </w:r>
    </w:p>
    <w:p w14:paraId="76F2CF98">
      <w:pPr>
        <w:pStyle w:val="281"/>
        <w:ind w:firstLine="480"/>
      </w:pPr>
      <w:r>
        <w:rPr>
          <w:rFonts w:hint="eastAsia" w:ascii="宋体" w:hAnsi="宋体"/>
        </w:rPr>
        <w:t>根据导则附录</w:t>
      </w:r>
      <w:r>
        <w:rPr>
          <w:rFonts w:hint="eastAsia"/>
        </w:rPr>
        <w:t>B</w:t>
      </w:r>
      <w:r>
        <w:rPr>
          <w:rFonts w:hint="eastAsia" w:ascii="宋体" w:hAnsi="宋体"/>
        </w:rPr>
        <w:t>和《危险化学品目录（</w:t>
      </w:r>
      <w:r>
        <w:rPr>
          <w:rFonts w:hint="eastAsia"/>
        </w:rPr>
        <w:t>2015</w:t>
      </w:r>
      <w:r>
        <w:rPr>
          <w:rFonts w:hint="eastAsia" w:ascii="宋体" w:hAnsi="宋体"/>
        </w:rPr>
        <w:t>版）》辨识，本项目危险物质包括：</w:t>
      </w:r>
      <w:r>
        <w:t>根据工程分析及导则附录C.1.1要求，本项目涉及的危险物质主要包括</w:t>
      </w:r>
      <w:r>
        <w:rPr>
          <w:rFonts w:hint="eastAsia"/>
        </w:rPr>
        <w:t>CO、硫化氢</w:t>
      </w:r>
      <w:r>
        <w:rPr>
          <w:rFonts w:hint="eastAsia" w:ascii="宋体" w:hAnsi="宋体"/>
        </w:rPr>
        <w:t>、</w:t>
      </w:r>
      <w:r>
        <w:rPr>
          <w:rFonts w:hint="eastAsia"/>
        </w:rPr>
        <w:t>液氨、</w:t>
      </w:r>
      <w:r>
        <w:rPr>
          <w:rFonts w:hint="eastAsia" w:ascii="宋体" w:hAnsi="宋体"/>
        </w:rPr>
        <w:t>天然气（开工使用）、</w:t>
      </w:r>
      <w:r>
        <w:rPr>
          <w:rFonts w:hint="eastAsia"/>
        </w:rPr>
        <w:t>氢氧化钠、盐酸、硫酸、甲醇、次氯酸钠、硝酸、甲酸甲酯、亚硝酸甲酯等，</w:t>
      </w:r>
      <w:r>
        <w:rPr>
          <w:rFonts w:hint="eastAsia" w:ascii="宋体" w:hAnsi="宋体"/>
        </w:rPr>
        <w:t>本项目主要危险物质分布情况见</w:t>
      </w:r>
      <w:r>
        <w:rPr>
          <w:rFonts w:hint="eastAsia"/>
        </w:rPr>
        <w:t>表7.2.2-1</w:t>
      </w:r>
      <w:r>
        <w:rPr>
          <w:rFonts w:hint="eastAsia" w:ascii="宋体" w:hAnsi="宋体"/>
        </w:rPr>
        <w:t>。</w:t>
      </w:r>
    </w:p>
    <w:p w14:paraId="5C12F0E7">
      <w:pPr>
        <w:pStyle w:val="645"/>
        <w:rPr>
          <w:rFonts w:hint="eastAsia"/>
        </w:rPr>
      </w:pPr>
      <w:bookmarkStart w:id="446" w:name="_Ref81993141"/>
      <w:r>
        <w:rPr>
          <w:rFonts w:hint="eastAsia"/>
        </w:rPr>
        <w:t>表</w:t>
      </w:r>
      <w:bookmarkEnd w:id="446"/>
      <w:r>
        <w:t>7.2.2-1    生产设施主要涉及介质一览表</w:t>
      </w:r>
    </w:p>
    <w:tbl>
      <w:tblPr>
        <w:tblStyle w:val="6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599"/>
        <w:gridCol w:w="2375"/>
        <w:gridCol w:w="5109"/>
      </w:tblGrid>
      <w:tr w14:paraId="4849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5DB0C354">
            <w:pPr>
              <w:pStyle w:val="557"/>
            </w:pPr>
            <w:bookmarkStart w:id="447" w:name="_Hlk115198058"/>
            <w:r>
              <w:rPr>
                <w:rFonts w:hint="eastAsia"/>
              </w:rPr>
              <w:t>序号</w:t>
            </w:r>
          </w:p>
        </w:tc>
        <w:tc>
          <w:tcPr>
            <w:tcW w:w="1748" w:type="pct"/>
            <w:gridSpan w:val="2"/>
            <w:vAlign w:val="center"/>
          </w:tcPr>
          <w:p w14:paraId="61425F8E">
            <w:pPr>
              <w:pStyle w:val="557"/>
            </w:pPr>
            <w:r>
              <w:rPr>
                <w:rFonts w:hint="eastAsia"/>
              </w:rPr>
              <w:t>装置名称</w:t>
            </w:r>
          </w:p>
        </w:tc>
        <w:tc>
          <w:tcPr>
            <w:tcW w:w="3002" w:type="pct"/>
            <w:vAlign w:val="center"/>
          </w:tcPr>
          <w:p w14:paraId="4A58B5F5">
            <w:pPr>
              <w:pStyle w:val="557"/>
            </w:pPr>
            <w:r>
              <w:rPr>
                <w:rFonts w:hint="eastAsia"/>
              </w:rPr>
              <w:t>主要危险物质</w:t>
            </w:r>
          </w:p>
        </w:tc>
      </w:tr>
      <w:tr w14:paraId="07FF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4181E9DF">
            <w:pPr>
              <w:pStyle w:val="557"/>
            </w:pPr>
            <w:r>
              <w:rPr>
                <w:rFonts w:hint="eastAsia"/>
              </w:rPr>
              <w:t>一</w:t>
            </w:r>
          </w:p>
        </w:tc>
        <w:tc>
          <w:tcPr>
            <w:tcW w:w="4751" w:type="pct"/>
            <w:gridSpan w:val="3"/>
            <w:vAlign w:val="center"/>
          </w:tcPr>
          <w:p w14:paraId="2FF5E92D">
            <w:pPr>
              <w:pStyle w:val="557"/>
            </w:pPr>
            <w:r>
              <w:rPr>
                <w:rFonts w:hint="eastAsia"/>
              </w:rPr>
              <w:t>生产装置</w:t>
            </w:r>
          </w:p>
        </w:tc>
      </w:tr>
      <w:tr w14:paraId="1C55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66BB6205">
            <w:pPr>
              <w:pStyle w:val="557"/>
            </w:pPr>
            <w:r>
              <w:rPr>
                <w:rFonts w:hint="eastAsia"/>
              </w:rPr>
              <w:t>1</w:t>
            </w:r>
          </w:p>
        </w:tc>
        <w:tc>
          <w:tcPr>
            <w:tcW w:w="1748" w:type="pct"/>
            <w:gridSpan w:val="2"/>
            <w:vAlign w:val="center"/>
          </w:tcPr>
          <w:p w14:paraId="3DAC4B09">
            <w:pPr>
              <w:pStyle w:val="557"/>
            </w:pPr>
            <w:r>
              <w:rPr>
                <w:rFonts w:hint="eastAsia"/>
              </w:rPr>
              <w:t>煤气化装置</w:t>
            </w:r>
          </w:p>
        </w:tc>
        <w:tc>
          <w:tcPr>
            <w:tcW w:w="3002" w:type="pct"/>
            <w:vAlign w:val="center"/>
          </w:tcPr>
          <w:p w14:paraId="15C75D5B">
            <w:pPr>
              <w:pStyle w:val="557"/>
            </w:pPr>
            <w:r>
              <w:rPr>
                <w:rFonts w:hint="eastAsia"/>
              </w:rPr>
              <w:t>粗煤气、硫化氢</w:t>
            </w:r>
          </w:p>
        </w:tc>
      </w:tr>
      <w:tr w14:paraId="441C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Merge w:val="restart"/>
            <w:vAlign w:val="center"/>
          </w:tcPr>
          <w:p w14:paraId="0B5F3D26">
            <w:pPr>
              <w:pStyle w:val="557"/>
            </w:pPr>
            <w:r>
              <w:rPr>
                <w:rFonts w:hint="eastAsia"/>
              </w:rPr>
              <w:t>2</w:t>
            </w:r>
          </w:p>
        </w:tc>
        <w:tc>
          <w:tcPr>
            <w:tcW w:w="352" w:type="pct"/>
            <w:vMerge w:val="restart"/>
            <w:vAlign w:val="center"/>
          </w:tcPr>
          <w:p w14:paraId="5FB98DFB">
            <w:pPr>
              <w:pStyle w:val="557"/>
            </w:pPr>
            <w:r>
              <w:rPr>
                <w:rFonts w:hint="eastAsia"/>
              </w:rPr>
              <w:t>净化装置</w:t>
            </w:r>
          </w:p>
        </w:tc>
        <w:tc>
          <w:tcPr>
            <w:tcW w:w="1396" w:type="pct"/>
            <w:vAlign w:val="center"/>
          </w:tcPr>
          <w:p w14:paraId="6C88B258">
            <w:pPr>
              <w:pStyle w:val="557"/>
            </w:pPr>
            <w:r>
              <w:rPr>
                <w:rFonts w:hint="eastAsia"/>
              </w:rPr>
              <w:t>煤气冷却单元</w:t>
            </w:r>
          </w:p>
        </w:tc>
        <w:tc>
          <w:tcPr>
            <w:tcW w:w="3002" w:type="pct"/>
            <w:vAlign w:val="center"/>
          </w:tcPr>
          <w:p w14:paraId="532EC3D7">
            <w:pPr>
              <w:pStyle w:val="557"/>
            </w:pPr>
            <w:r>
              <w:rPr>
                <w:rFonts w:hint="eastAsia"/>
              </w:rPr>
              <w:t>粗煤气、冷却煤气</w:t>
            </w:r>
          </w:p>
        </w:tc>
      </w:tr>
      <w:tr w14:paraId="497D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Merge w:val="continue"/>
            <w:vAlign w:val="center"/>
          </w:tcPr>
          <w:p w14:paraId="018FF1E1">
            <w:pPr>
              <w:pStyle w:val="557"/>
            </w:pPr>
          </w:p>
        </w:tc>
        <w:tc>
          <w:tcPr>
            <w:tcW w:w="352" w:type="pct"/>
            <w:vMerge w:val="continue"/>
            <w:vAlign w:val="center"/>
          </w:tcPr>
          <w:p w14:paraId="0A3EEBEE">
            <w:pPr>
              <w:pStyle w:val="557"/>
            </w:pPr>
          </w:p>
        </w:tc>
        <w:tc>
          <w:tcPr>
            <w:tcW w:w="1396" w:type="pct"/>
            <w:vAlign w:val="center"/>
          </w:tcPr>
          <w:p w14:paraId="2AEDBCDD">
            <w:pPr>
              <w:pStyle w:val="557"/>
            </w:pPr>
            <w:r>
              <w:rPr>
                <w:rFonts w:hint="eastAsia"/>
              </w:rPr>
              <w:t>低温甲醇洗单元</w:t>
            </w:r>
          </w:p>
        </w:tc>
        <w:tc>
          <w:tcPr>
            <w:tcW w:w="3002" w:type="pct"/>
            <w:vAlign w:val="center"/>
          </w:tcPr>
          <w:p w14:paraId="7D73407D">
            <w:pPr>
              <w:pStyle w:val="557"/>
            </w:pPr>
            <w:r>
              <w:rPr>
                <w:rFonts w:hint="eastAsia"/>
              </w:rPr>
              <w:t>净化气、酸性气、硫化氢</w:t>
            </w:r>
          </w:p>
        </w:tc>
      </w:tr>
      <w:tr w14:paraId="29F0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Merge w:val="continue"/>
            <w:vAlign w:val="center"/>
          </w:tcPr>
          <w:p w14:paraId="7E299A56">
            <w:pPr>
              <w:pStyle w:val="557"/>
            </w:pPr>
          </w:p>
        </w:tc>
        <w:tc>
          <w:tcPr>
            <w:tcW w:w="352" w:type="pct"/>
            <w:vMerge w:val="continue"/>
            <w:vAlign w:val="center"/>
          </w:tcPr>
          <w:p w14:paraId="1D12CE54">
            <w:pPr>
              <w:pStyle w:val="557"/>
            </w:pPr>
          </w:p>
        </w:tc>
        <w:tc>
          <w:tcPr>
            <w:tcW w:w="1396" w:type="pct"/>
            <w:vAlign w:val="center"/>
          </w:tcPr>
          <w:p w14:paraId="7582345E">
            <w:pPr>
              <w:pStyle w:val="557"/>
            </w:pPr>
            <w:r>
              <w:rPr>
                <w:rFonts w:hint="eastAsia"/>
              </w:rPr>
              <w:t>CO深冷分离</w:t>
            </w:r>
          </w:p>
        </w:tc>
        <w:tc>
          <w:tcPr>
            <w:tcW w:w="3002" w:type="pct"/>
            <w:vAlign w:val="center"/>
          </w:tcPr>
          <w:p w14:paraId="1F2001C5">
            <w:pPr>
              <w:pStyle w:val="557"/>
            </w:pPr>
            <w:r>
              <w:rPr>
                <w:rFonts w:hint="eastAsia"/>
              </w:rPr>
              <w:t>净化气、CO气、闪蒸气、含氮尾气</w:t>
            </w:r>
          </w:p>
        </w:tc>
      </w:tr>
      <w:tr w14:paraId="23F0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Merge w:val="continue"/>
            <w:vAlign w:val="center"/>
          </w:tcPr>
          <w:p w14:paraId="122B4275">
            <w:pPr>
              <w:pStyle w:val="557"/>
            </w:pPr>
          </w:p>
        </w:tc>
        <w:tc>
          <w:tcPr>
            <w:tcW w:w="352" w:type="pct"/>
            <w:vMerge w:val="continue"/>
            <w:vAlign w:val="center"/>
          </w:tcPr>
          <w:p w14:paraId="20A14737">
            <w:pPr>
              <w:pStyle w:val="557"/>
            </w:pPr>
          </w:p>
        </w:tc>
        <w:tc>
          <w:tcPr>
            <w:tcW w:w="1396" w:type="pct"/>
            <w:vAlign w:val="center"/>
          </w:tcPr>
          <w:p w14:paraId="6635D21C">
            <w:pPr>
              <w:pStyle w:val="557"/>
            </w:pPr>
            <w:r>
              <w:rPr>
                <w:rFonts w:hint="eastAsia"/>
              </w:rPr>
              <w:t>硫回收单元</w:t>
            </w:r>
          </w:p>
        </w:tc>
        <w:tc>
          <w:tcPr>
            <w:tcW w:w="3002" w:type="pct"/>
            <w:vAlign w:val="center"/>
          </w:tcPr>
          <w:p w14:paraId="39CA60CD">
            <w:pPr>
              <w:pStyle w:val="557"/>
            </w:pPr>
            <w:r>
              <w:rPr>
                <w:rFonts w:hint="eastAsia"/>
              </w:rPr>
              <w:t>酸性气、硫化氢、硫酸</w:t>
            </w:r>
          </w:p>
        </w:tc>
      </w:tr>
      <w:tr w14:paraId="6767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5A0ADC7C">
            <w:pPr>
              <w:pStyle w:val="557"/>
            </w:pPr>
            <w:r>
              <w:rPr>
                <w:rFonts w:hint="eastAsia"/>
              </w:rPr>
              <w:t>3</w:t>
            </w:r>
          </w:p>
        </w:tc>
        <w:tc>
          <w:tcPr>
            <w:tcW w:w="1748" w:type="pct"/>
            <w:gridSpan w:val="2"/>
            <w:vAlign w:val="center"/>
          </w:tcPr>
          <w:p w14:paraId="6DB95EDB">
            <w:pPr>
              <w:pStyle w:val="557"/>
            </w:pPr>
            <w:r>
              <w:rPr>
                <w:rFonts w:hint="eastAsia"/>
              </w:rPr>
              <w:t>合成氨装置</w:t>
            </w:r>
          </w:p>
        </w:tc>
        <w:tc>
          <w:tcPr>
            <w:tcW w:w="3002" w:type="pct"/>
            <w:vAlign w:val="center"/>
          </w:tcPr>
          <w:p w14:paraId="7B78E147">
            <w:pPr>
              <w:pStyle w:val="557"/>
            </w:pPr>
            <w:r>
              <w:rPr>
                <w:rFonts w:hint="eastAsia"/>
              </w:rPr>
              <w:t>合成气、液氨</w:t>
            </w:r>
          </w:p>
        </w:tc>
      </w:tr>
      <w:tr w14:paraId="1DED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05B5D4BB">
            <w:pPr>
              <w:pStyle w:val="557"/>
            </w:pPr>
            <w:r>
              <w:rPr>
                <w:rFonts w:hint="eastAsia"/>
              </w:rPr>
              <w:t>4</w:t>
            </w:r>
          </w:p>
        </w:tc>
        <w:tc>
          <w:tcPr>
            <w:tcW w:w="1748" w:type="pct"/>
            <w:gridSpan w:val="2"/>
            <w:vAlign w:val="center"/>
          </w:tcPr>
          <w:p w14:paraId="2BAEB757">
            <w:pPr>
              <w:pStyle w:val="557"/>
            </w:pPr>
            <w:r>
              <w:rPr>
                <w:rFonts w:hint="eastAsia"/>
              </w:rPr>
              <w:t>DMO装置</w:t>
            </w:r>
          </w:p>
        </w:tc>
        <w:tc>
          <w:tcPr>
            <w:tcW w:w="3002" w:type="pct"/>
            <w:vAlign w:val="center"/>
          </w:tcPr>
          <w:p w14:paraId="68BC614A">
            <w:pPr>
              <w:pStyle w:val="557"/>
            </w:pPr>
            <w:r>
              <w:rPr>
                <w:rFonts w:hint="eastAsia"/>
              </w:rPr>
              <w:t>CO气体、甲醇68%硝酸、DMC、甲酸甲酯、</w:t>
            </w:r>
          </w:p>
        </w:tc>
      </w:tr>
      <w:tr w14:paraId="0BC5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32F6963A">
            <w:pPr>
              <w:pStyle w:val="557"/>
            </w:pPr>
            <w:r>
              <w:rPr>
                <w:rFonts w:hint="eastAsia"/>
              </w:rPr>
              <w:t>5</w:t>
            </w:r>
          </w:p>
        </w:tc>
        <w:tc>
          <w:tcPr>
            <w:tcW w:w="1748" w:type="pct"/>
            <w:gridSpan w:val="2"/>
            <w:vAlign w:val="center"/>
          </w:tcPr>
          <w:p w14:paraId="38EE0B88">
            <w:pPr>
              <w:pStyle w:val="557"/>
            </w:pPr>
            <w:r>
              <w:rPr>
                <w:rFonts w:hint="eastAsia"/>
              </w:rPr>
              <w:t>草酰胺装置</w:t>
            </w:r>
          </w:p>
        </w:tc>
        <w:tc>
          <w:tcPr>
            <w:tcW w:w="3002" w:type="pct"/>
            <w:vAlign w:val="center"/>
          </w:tcPr>
          <w:p w14:paraId="1F3D3FCB">
            <w:pPr>
              <w:pStyle w:val="557"/>
            </w:pPr>
            <w:r>
              <w:rPr>
                <w:rFonts w:hint="eastAsia"/>
              </w:rPr>
              <w:t>液氨、甲醇</w:t>
            </w:r>
          </w:p>
        </w:tc>
      </w:tr>
      <w:tr w14:paraId="4332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21436740">
            <w:pPr>
              <w:pStyle w:val="557"/>
            </w:pPr>
            <w:r>
              <w:rPr>
                <w:rFonts w:hint="eastAsia"/>
              </w:rPr>
              <w:t>6</w:t>
            </w:r>
          </w:p>
        </w:tc>
        <w:tc>
          <w:tcPr>
            <w:tcW w:w="1748" w:type="pct"/>
            <w:gridSpan w:val="2"/>
            <w:vAlign w:val="center"/>
          </w:tcPr>
          <w:p w14:paraId="31DCC5D6">
            <w:pPr>
              <w:pStyle w:val="557"/>
            </w:pPr>
            <w:r>
              <w:rPr>
                <w:rFonts w:hint="eastAsia"/>
              </w:rPr>
              <w:t>有机缓释肥装置</w:t>
            </w:r>
          </w:p>
        </w:tc>
        <w:tc>
          <w:tcPr>
            <w:tcW w:w="3002" w:type="pct"/>
            <w:vAlign w:val="center"/>
          </w:tcPr>
          <w:p w14:paraId="7D9E766F">
            <w:pPr>
              <w:pStyle w:val="557"/>
            </w:pPr>
            <w:r>
              <w:rPr>
                <w:rFonts w:hint="eastAsia"/>
              </w:rPr>
              <w:t>氨水、液氨</w:t>
            </w:r>
          </w:p>
        </w:tc>
      </w:tr>
      <w:tr w14:paraId="2872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02DB73D5">
            <w:pPr>
              <w:pStyle w:val="557"/>
            </w:pPr>
            <w:r>
              <w:rPr>
                <w:rFonts w:hint="eastAsia"/>
              </w:rPr>
              <w:t>二</w:t>
            </w:r>
          </w:p>
        </w:tc>
        <w:tc>
          <w:tcPr>
            <w:tcW w:w="4751" w:type="pct"/>
            <w:gridSpan w:val="3"/>
            <w:vAlign w:val="center"/>
          </w:tcPr>
          <w:p w14:paraId="37F761E2">
            <w:pPr>
              <w:pStyle w:val="557"/>
            </w:pPr>
            <w:r>
              <w:rPr>
                <w:rFonts w:hint="eastAsia"/>
              </w:rPr>
              <w:t>储运设施</w:t>
            </w:r>
          </w:p>
        </w:tc>
      </w:tr>
      <w:tr w14:paraId="2964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5E175F9F">
            <w:pPr>
              <w:pStyle w:val="557"/>
            </w:pPr>
            <w:r>
              <w:rPr>
                <w:rFonts w:hint="eastAsia"/>
              </w:rPr>
              <w:t>1</w:t>
            </w:r>
          </w:p>
        </w:tc>
        <w:tc>
          <w:tcPr>
            <w:tcW w:w="1748" w:type="pct"/>
            <w:gridSpan w:val="2"/>
            <w:vAlign w:val="center"/>
          </w:tcPr>
          <w:p w14:paraId="41BC2E6E">
            <w:pPr>
              <w:pStyle w:val="557"/>
            </w:pPr>
            <w:r>
              <w:rPr>
                <w:rFonts w:hint="eastAsia"/>
              </w:rPr>
              <w:t>液氨罐区</w:t>
            </w:r>
          </w:p>
        </w:tc>
        <w:tc>
          <w:tcPr>
            <w:tcW w:w="3002" w:type="pct"/>
            <w:vAlign w:val="center"/>
          </w:tcPr>
          <w:p w14:paraId="6B4DF95E">
            <w:pPr>
              <w:pStyle w:val="557"/>
            </w:pPr>
            <w:r>
              <w:rPr>
                <w:rFonts w:hint="eastAsia"/>
              </w:rPr>
              <w:t>液氨</w:t>
            </w:r>
          </w:p>
        </w:tc>
      </w:tr>
      <w:tr w14:paraId="0559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0C1B68BB">
            <w:pPr>
              <w:pStyle w:val="557"/>
            </w:pPr>
            <w:r>
              <w:rPr>
                <w:rFonts w:hint="eastAsia"/>
              </w:rPr>
              <w:t>2</w:t>
            </w:r>
          </w:p>
        </w:tc>
        <w:tc>
          <w:tcPr>
            <w:tcW w:w="1748" w:type="pct"/>
            <w:gridSpan w:val="2"/>
            <w:vAlign w:val="center"/>
          </w:tcPr>
          <w:p w14:paraId="128D8CBA">
            <w:pPr>
              <w:pStyle w:val="557"/>
            </w:pPr>
            <w:r>
              <w:rPr>
                <w:rFonts w:hint="eastAsia"/>
              </w:rPr>
              <w:t>综合罐区</w:t>
            </w:r>
          </w:p>
        </w:tc>
        <w:tc>
          <w:tcPr>
            <w:tcW w:w="3002" w:type="pct"/>
            <w:vAlign w:val="center"/>
          </w:tcPr>
          <w:p w14:paraId="5B5C7749">
            <w:pPr>
              <w:pStyle w:val="557"/>
            </w:pPr>
            <w:r>
              <w:rPr>
                <w:rFonts w:hint="eastAsia"/>
              </w:rPr>
              <w:t>碳酸二甲酯、甲醇、甲酸甲酯、硝酸</w:t>
            </w:r>
          </w:p>
        </w:tc>
      </w:tr>
      <w:tr w14:paraId="7594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47991945">
            <w:pPr>
              <w:pStyle w:val="557"/>
            </w:pPr>
            <w:r>
              <w:rPr>
                <w:rFonts w:hint="eastAsia"/>
              </w:rPr>
              <w:t>3</w:t>
            </w:r>
          </w:p>
        </w:tc>
        <w:tc>
          <w:tcPr>
            <w:tcW w:w="1748" w:type="pct"/>
            <w:gridSpan w:val="2"/>
            <w:vAlign w:val="center"/>
          </w:tcPr>
          <w:p w14:paraId="576B3D23">
            <w:pPr>
              <w:pStyle w:val="557"/>
            </w:pPr>
            <w:r>
              <w:rPr>
                <w:rFonts w:hint="eastAsia"/>
              </w:rPr>
              <w:t>亚硝酸甲酯罐区</w:t>
            </w:r>
          </w:p>
        </w:tc>
        <w:tc>
          <w:tcPr>
            <w:tcW w:w="3002" w:type="pct"/>
            <w:vAlign w:val="center"/>
          </w:tcPr>
          <w:p w14:paraId="48155616">
            <w:pPr>
              <w:pStyle w:val="557"/>
            </w:pPr>
            <w:r>
              <w:rPr>
                <w:rFonts w:hint="eastAsia"/>
              </w:rPr>
              <w:t>亚硝酸甲酯</w:t>
            </w:r>
          </w:p>
        </w:tc>
      </w:tr>
      <w:tr w14:paraId="67F8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563A3168">
            <w:pPr>
              <w:pStyle w:val="557"/>
            </w:pPr>
            <w:r>
              <w:rPr>
                <w:rFonts w:hint="eastAsia"/>
              </w:rPr>
              <w:t>三</w:t>
            </w:r>
          </w:p>
        </w:tc>
        <w:tc>
          <w:tcPr>
            <w:tcW w:w="4751" w:type="pct"/>
            <w:gridSpan w:val="3"/>
            <w:vAlign w:val="center"/>
          </w:tcPr>
          <w:p w14:paraId="11864B02">
            <w:pPr>
              <w:pStyle w:val="557"/>
            </w:pPr>
            <w:r>
              <w:rPr>
                <w:rFonts w:hint="eastAsia"/>
              </w:rPr>
              <w:t>公用工程</w:t>
            </w:r>
          </w:p>
        </w:tc>
      </w:tr>
      <w:tr w14:paraId="0AEB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3D6BF3B9">
            <w:pPr>
              <w:pStyle w:val="557"/>
            </w:pPr>
            <w:r>
              <w:rPr>
                <w:rFonts w:hint="eastAsia"/>
              </w:rPr>
              <w:t>1</w:t>
            </w:r>
          </w:p>
        </w:tc>
        <w:tc>
          <w:tcPr>
            <w:tcW w:w="1748" w:type="pct"/>
            <w:gridSpan w:val="2"/>
            <w:vAlign w:val="center"/>
          </w:tcPr>
          <w:p w14:paraId="7171C9A2">
            <w:pPr>
              <w:pStyle w:val="557"/>
            </w:pPr>
            <w:r>
              <w:rPr>
                <w:rFonts w:hint="eastAsia"/>
              </w:rPr>
              <w:t>循环水站</w:t>
            </w:r>
          </w:p>
        </w:tc>
        <w:tc>
          <w:tcPr>
            <w:tcW w:w="3002" w:type="pct"/>
            <w:vAlign w:val="center"/>
          </w:tcPr>
          <w:p w14:paraId="35514C5B">
            <w:pPr>
              <w:pStyle w:val="557"/>
            </w:pPr>
            <w:r>
              <w:rPr>
                <w:rFonts w:hint="eastAsia"/>
              </w:rPr>
              <w:t>次氯酸钠</w:t>
            </w:r>
          </w:p>
        </w:tc>
      </w:tr>
      <w:tr w14:paraId="553A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8" w:type="pct"/>
            <w:vAlign w:val="center"/>
          </w:tcPr>
          <w:p w14:paraId="755E214C">
            <w:pPr>
              <w:pStyle w:val="557"/>
            </w:pPr>
            <w:r>
              <w:t>2</w:t>
            </w:r>
          </w:p>
        </w:tc>
        <w:tc>
          <w:tcPr>
            <w:tcW w:w="1748" w:type="pct"/>
            <w:gridSpan w:val="2"/>
            <w:vAlign w:val="center"/>
          </w:tcPr>
          <w:p w14:paraId="37305294">
            <w:pPr>
              <w:pStyle w:val="557"/>
            </w:pPr>
            <w:r>
              <w:rPr>
                <w:rFonts w:hint="eastAsia"/>
              </w:rPr>
              <w:t>锅炉</w:t>
            </w:r>
          </w:p>
        </w:tc>
        <w:tc>
          <w:tcPr>
            <w:tcW w:w="3002" w:type="pct"/>
            <w:vAlign w:val="center"/>
          </w:tcPr>
          <w:p w14:paraId="53DCB5E1">
            <w:pPr>
              <w:pStyle w:val="557"/>
            </w:pPr>
            <w:r>
              <w:rPr>
                <w:rFonts w:hint="eastAsia"/>
              </w:rPr>
              <w:t>天然气</w:t>
            </w:r>
          </w:p>
        </w:tc>
      </w:tr>
      <w:bookmarkEnd w:id="447"/>
    </w:tbl>
    <w:p w14:paraId="3CD48307">
      <w:pPr>
        <w:pStyle w:val="98"/>
        <w:rPr>
          <w:rFonts w:hint="eastAsia"/>
          <w:color w:val="auto"/>
        </w:rPr>
      </w:pPr>
      <w:r>
        <w:rPr>
          <w:color w:val="auto"/>
        </w:rPr>
        <w:t>生产装置风险识别</w:t>
      </w:r>
    </w:p>
    <w:p w14:paraId="3FB3809B">
      <w:pPr>
        <w:pStyle w:val="281"/>
        <w:ind w:firstLine="480"/>
      </w:pPr>
      <w:r>
        <w:rPr>
          <w:rFonts w:hint="eastAsia" w:ascii="宋体" w:hAnsi="宋体"/>
        </w:rPr>
        <w:t>结合各装置的工艺流程和物质危险性识别结果，对本项目生产装置进行风险识别：</w:t>
      </w:r>
    </w:p>
    <w:p w14:paraId="645984B6">
      <w:pPr>
        <w:pStyle w:val="281"/>
        <w:ind w:firstLine="480"/>
      </w:pPr>
      <w:r>
        <w:rPr>
          <w:rFonts w:hint="eastAsia" w:ascii="宋体" w:hAnsi="宋体"/>
        </w:rPr>
        <w:t>（</w:t>
      </w:r>
      <w:r>
        <w:rPr>
          <w:rFonts w:hint="eastAsia"/>
        </w:rPr>
        <w:t>1</w:t>
      </w:r>
      <w:r>
        <w:rPr>
          <w:rFonts w:hint="eastAsia" w:ascii="宋体" w:hAnsi="宋体"/>
        </w:rPr>
        <w:t>）空分装置</w:t>
      </w:r>
    </w:p>
    <w:p w14:paraId="5945221E">
      <w:pPr>
        <w:pStyle w:val="281"/>
        <w:ind w:firstLine="480"/>
      </w:pPr>
      <w:r>
        <w:rPr>
          <w:rFonts w:hint="eastAsia" w:ascii="宋体" w:hAnsi="宋体"/>
        </w:rPr>
        <w:t>空压机轴瓦及排气管路（管道、冷凝液、油分离器）冷却水中断或供应量不足、注油泵或油系统发生故障导致润滑油中断或供应量不足、排气管路积炭氧化自燃等，可能引起空压机发生火灾爆炸。</w:t>
      </w:r>
    </w:p>
    <w:p w14:paraId="4C3AB73C">
      <w:pPr>
        <w:pStyle w:val="281"/>
        <w:ind w:firstLine="480"/>
      </w:pPr>
      <w:r>
        <w:rPr>
          <w:rFonts w:hint="eastAsia" w:ascii="宋体" w:hAnsi="宋体"/>
        </w:rPr>
        <w:t>空气分离工段发生火灾爆炸事故往往在设备启动阶段、停车排放液氧时、运转不正常、液氧液面迅速下降时，液氧从设备或管路不密闭处泄漏，渗透到精馏塔周围可燃物上，遇到点火源可能发生猛烈爆炸。空气分离工段发生爆炸的原因是液氧中过量积聚了易燃易爆物质，如碳氢化合物等。</w:t>
      </w:r>
    </w:p>
    <w:p w14:paraId="03944694">
      <w:pPr>
        <w:pStyle w:val="281"/>
        <w:ind w:firstLine="480"/>
        <w:rPr>
          <w:rFonts w:hint="eastAsia" w:ascii="宋体" w:hAnsi="宋体"/>
        </w:rPr>
      </w:pPr>
      <w:r>
        <w:rPr>
          <w:rFonts w:hint="eastAsia" w:ascii="宋体" w:hAnsi="宋体"/>
        </w:rPr>
        <w:t>液氧泵和管道中若有铁锈等金属杂质，或脱脂不合格，或由于静电起火，液氧泵和管道易发生火灾爆炸事故。</w:t>
      </w:r>
    </w:p>
    <w:p w14:paraId="6A643DB5">
      <w:pPr>
        <w:pStyle w:val="281"/>
        <w:ind w:firstLine="480"/>
      </w:pPr>
      <w:r>
        <w:t>（2）煤气化装置</w:t>
      </w:r>
    </w:p>
    <w:p w14:paraId="22A02D76">
      <w:pPr>
        <w:pStyle w:val="281"/>
        <w:ind w:firstLine="480"/>
      </w:pPr>
      <w:r>
        <w:rPr>
          <w:rFonts w:hint="eastAsia"/>
        </w:rPr>
        <w:t>粉煤在气化炉生成主要成分为</w:t>
      </w:r>
      <w:r>
        <w:rPr>
          <w:rFonts w:hint="eastAsia"/>
          <w:snapToGrid w:val="0"/>
        </w:rPr>
        <w:t>CO</w:t>
      </w:r>
      <w:r>
        <w:rPr>
          <w:rFonts w:hint="eastAsia"/>
        </w:rPr>
        <w:t>+H</w:t>
      </w:r>
      <w:r>
        <w:rPr>
          <w:rFonts w:hint="eastAsia"/>
          <w:vertAlign w:val="subscript"/>
        </w:rPr>
        <w:t>2</w:t>
      </w:r>
      <w:r>
        <w:rPr>
          <w:rFonts w:hint="eastAsia"/>
        </w:rPr>
        <w:t>并含有H</w:t>
      </w:r>
      <w:r>
        <w:rPr>
          <w:rFonts w:hint="eastAsia"/>
          <w:vertAlign w:val="subscript"/>
        </w:rPr>
        <w:t>2</w:t>
      </w:r>
      <w:r>
        <w:rPr>
          <w:rFonts w:hint="eastAsia"/>
        </w:rPr>
        <w:t>S的原料气。粗合成气温度高达900~1000℃，压力也较高，一旦出现泄漏事故，不但容易引起火灾爆炸事故，同时可能对周围设备造成破坏。此外，CO、H</w:t>
      </w:r>
      <w:r>
        <w:rPr>
          <w:rFonts w:hint="eastAsia"/>
          <w:vertAlign w:val="subscript"/>
        </w:rPr>
        <w:t>2</w:t>
      </w:r>
      <w:r>
        <w:rPr>
          <w:rFonts w:hint="eastAsia"/>
        </w:rPr>
        <w:t>S为有毒物质，会引起中毒。</w:t>
      </w:r>
    </w:p>
    <w:p w14:paraId="75FCC023">
      <w:pPr>
        <w:pStyle w:val="281"/>
        <w:ind w:firstLine="480"/>
      </w:pPr>
      <w:r>
        <w:rPr>
          <w:rFonts w:hint="eastAsia"/>
        </w:rPr>
        <w:t>输送粗合成气的管道和设备，如果产生静电火花或遇到外部火源，可能发生燃烧、爆炸事故；原料气中由于含有H</w:t>
      </w:r>
      <w:r>
        <w:rPr>
          <w:rFonts w:hint="eastAsia"/>
          <w:vertAlign w:val="subscript"/>
        </w:rPr>
        <w:t>2</w:t>
      </w:r>
      <w:r>
        <w:rPr>
          <w:rFonts w:hint="eastAsia"/>
        </w:rPr>
        <w:t>S气体，具有腐蚀性，如果管理维修维护不善、设备、管道材质、安装存在质量问题，腐蚀、砂眼、密闭不严可能造成粗合成气泄漏，在空气中达到一定浓度，遇火源会发生爆炸事故。</w:t>
      </w:r>
    </w:p>
    <w:p w14:paraId="7C63E85C">
      <w:pPr>
        <w:pStyle w:val="281"/>
        <w:ind w:firstLine="480"/>
      </w:pPr>
      <w:r>
        <w:rPr>
          <w:rFonts w:hint="eastAsia"/>
        </w:rPr>
        <w:t>（3）净化装置</w:t>
      </w:r>
    </w:p>
    <w:p w14:paraId="1FD6161F">
      <w:pPr>
        <w:pStyle w:val="281"/>
        <w:ind w:firstLine="480"/>
      </w:pPr>
      <w:r>
        <w:rPr>
          <w:rFonts w:hint="eastAsia"/>
        </w:rPr>
        <w:t>煤气管道、气液分离器部分处于负压操作状态，如果设备密闭性差，空气进入，含氧量超标，形成爆炸混合物，若电气设施等级不够、静电、雷击或其他火源存在，可能发生火灾、爆炸危险。</w:t>
      </w:r>
    </w:p>
    <w:p w14:paraId="731B711C">
      <w:pPr>
        <w:pStyle w:val="281"/>
        <w:ind w:firstLine="480"/>
      </w:pPr>
      <w:r>
        <w:rPr>
          <w:rFonts w:hint="eastAsia"/>
        </w:rPr>
        <w:t>（4）合成氨装置</w:t>
      </w:r>
    </w:p>
    <w:p w14:paraId="7ECF34CE">
      <w:pPr>
        <w:pStyle w:val="281"/>
        <w:ind w:firstLine="480"/>
      </w:pPr>
      <w:r>
        <w:rPr>
          <w:rFonts w:hint="eastAsia"/>
        </w:rPr>
        <w:t>合成气在合成塔内进行高温高压催化反应生成氨，同时回收余热副产蒸汽。合成氨装置产出的液氨属于有毒气体，25%氨水属于碱性腐蚀品，存在泄漏、火灾、爆炸的危险。</w:t>
      </w:r>
    </w:p>
    <w:p w14:paraId="6E29C9EE">
      <w:pPr>
        <w:pStyle w:val="98"/>
        <w:rPr>
          <w:rFonts w:hint="eastAsia"/>
          <w:color w:val="auto"/>
        </w:rPr>
      </w:pPr>
      <w:r>
        <w:rPr>
          <w:rFonts w:hint="eastAsia"/>
          <w:color w:val="auto"/>
        </w:rPr>
        <w:t>公用及环保设施</w:t>
      </w:r>
      <w:r>
        <w:rPr>
          <w:color w:val="auto"/>
        </w:rPr>
        <w:t>风险识别</w:t>
      </w:r>
    </w:p>
    <w:p w14:paraId="54349C7B">
      <w:pPr>
        <w:pStyle w:val="281"/>
        <w:ind w:firstLine="480"/>
      </w:pPr>
      <w:r>
        <w:rPr>
          <w:rFonts w:hint="eastAsia"/>
        </w:rPr>
        <w:t>循环水站、污水处理站使用盐酸、硫酸、次氯酸钠等酸碱类化学药剂，这些腐蚀性物质一旦泄漏，可能进入土壤、地下水，对环境造成污染。</w:t>
      </w:r>
      <w:r>
        <w:t xml:space="preserve"> </w:t>
      </w:r>
    </w:p>
    <w:p w14:paraId="0163FF9E">
      <w:pPr>
        <w:pStyle w:val="281"/>
        <w:ind w:firstLine="480"/>
      </w:pPr>
      <w:r>
        <w:rPr>
          <w:rFonts w:hint="eastAsia" w:ascii="宋体" w:hAnsi="宋体"/>
        </w:rPr>
        <w:t>本项目部分装置的工艺废水中含有毒有害物质，一旦污水管线、污水处理设施、事故水收集设施出现运行故障，或由于误操作、自然灾害等导致失效或受损，可能造成大量有毒有害污水进入外环境，对环境造成严重污染。</w:t>
      </w:r>
    </w:p>
    <w:p w14:paraId="7451F735">
      <w:pPr>
        <w:pStyle w:val="98"/>
        <w:rPr>
          <w:rFonts w:hint="eastAsia"/>
          <w:color w:val="auto"/>
        </w:rPr>
      </w:pPr>
      <w:r>
        <w:rPr>
          <w:rFonts w:hint="eastAsia"/>
          <w:color w:val="auto"/>
        </w:rPr>
        <w:t>储运设施风险识别</w:t>
      </w:r>
    </w:p>
    <w:p w14:paraId="0785AFE8">
      <w:pPr>
        <w:pStyle w:val="281"/>
        <w:ind w:firstLine="480"/>
        <w:rPr>
          <w:rFonts w:hint="eastAsia" w:ascii="宋体" w:hAnsi="宋体"/>
        </w:rPr>
      </w:pPr>
      <w:r>
        <w:rPr>
          <w:rFonts w:hint="eastAsia" w:ascii="宋体" w:hAnsi="宋体"/>
        </w:rPr>
        <w:t>本项目新建罐区存储物料量较大，且储存的物料多为易燃易爆物质，一旦发生事故后果严重。在生</w:t>
      </w:r>
      <w:r>
        <w:t>产运行中存在着由于静电积聚、设备失修、管道接口/阀门/机泵等泄漏、误操作和明火引起火灾爆炸事故的可能以及由于设备故障、失效等造成有毒物料泄漏的可能，从而引发环境事故。根据各储罐贮存物料的危险特征、毒性和储存量，筛选出</w:t>
      </w:r>
      <w:r>
        <w:rPr>
          <w:rFonts w:cs="Times New Roman"/>
          <w:szCs w:val="18"/>
        </w:rPr>
        <w:t>甲醇</w:t>
      </w:r>
      <w:r>
        <w:rPr>
          <w:rFonts w:hint="eastAsia"/>
        </w:rPr>
        <w:t>、</w:t>
      </w:r>
      <w:r>
        <w:rPr>
          <w:rFonts w:hint="eastAsia" w:cs="Times New Roman"/>
          <w:szCs w:val="18"/>
        </w:rPr>
        <w:t>甲酸甲酯</w:t>
      </w:r>
      <w:r>
        <w:rPr>
          <w:rFonts w:hint="eastAsia"/>
        </w:rPr>
        <w:t>、</w:t>
      </w:r>
      <w:r>
        <w:rPr>
          <w:rFonts w:hint="eastAsia" w:cs="Times New Roman"/>
          <w:szCs w:val="18"/>
        </w:rPr>
        <w:t>6</w:t>
      </w:r>
      <w:r>
        <w:rPr>
          <w:rFonts w:cs="Times New Roman"/>
          <w:szCs w:val="18"/>
        </w:rPr>
        <w:t>8%</w:t>
      </w:r>
      <w:r>
        <w:rPr>
          <w:rFonts w:hint="eastAsia" w:cs="Times New Roman"/>
          <w:szCs w:val="18"/>
        </w:rPr>
        <w:t>硝酸</w:t>
      </w:r>
      <w:r>
        <w:rPr>
          <w:rFonts w:hint="eastAsia"/>
        </w:rPr>
        <w:t>、液氨、</w:t>
      </w:r>
      <w:r>
        <w:rPr>
          <w:rFonts w:hint="eastAsia" w:cs="Times New Roman"/>
        </w:rPr>
        <w:t>亚硝酸甲酯、硫酸</w:t>
      </w:r>
      <w:r>
        <w:t>储罐为主要危险因素。</w:t>
      </w:r>
    </w:p>
    <w:p w14:paraId="2EBA1BD8">
      <w:pPr>
        <w:pStyle w:val="98"/>
        <w:rPr>
          <w:rFonts w:hint="eastAsia"/>
          <w:color w:val="auto"/>
        </w:rPr>
      </w:pPr>
      <w:r>
        <w:rPr>
          <w:rFonts w:hint="eastAsia"/>
          <w:color w:val="auto"/>
        </w:rPr>
        <w:t>运输系统</w:t>
      </w:r>
    </w:p>
    <w:p w14:paraId="34CAE8AA">
      <w:pPr>
        <w:pStyle w:val="281"/>
        <w:ind w:firstLine="480"/>
      </w:pPr>
      <w:r>
        <w:rPr>
          <w:rFonts w:hint="eastAsia"/>
        </w:rPr>
        <w:t>本项目新建汽车装卸设施，根据公路运输量确定汽车装车鹤管数量。</w:t>
      </w:r>
      <w:r>
        <w:t xml:space="preserve"> </w:t>
      </w:r>
    </w:p>
    <w:p w14:paraId="674C8843">
      <w:pPr>
        <w:pStyle w:val="281"/>
        <w:ind w:firstLine="480"/>
      </w:pPr>
      <w:r>
        <w:rPr>
          <w:rFonts w:hint="eastAsia"/>
        </w:rPr>
        <w:t>液体产品装卸车站的主要风险源为危险物质的装车鹤管。装卸作业较常见的事故是装卸软管破损导致易燃易爆、有毒物料泄漏引发火灾爆炸事故发生，继而导致环境污染事故发生。由于液体化学品具有易燃易爆性以及易产生静电的特性，在装卸过程中由静电引发的火灾爆炸事故时有发生。</w:t>
      </w:r>
      <w:r>
        <w:t xml:space="preserve"> </w:t>
      </w:r>
    </w:p>
    <w:p w14:paraId="7E146F9E">
      <w:pPr>
        <w:pStyle w:val="281"/>
        <w:ind w:firstLine="480"/>
      </w:pPr>
      <w:r>
        <w:rPr>
          <w:rFonts w:hint="eastAsia"/>
        </w:rPr>
        <w:t>危险化学品在公路运输过程中，由于设备缺陷、撞击、挤压等原因，盛装易燃、易爆危险品的容器及相关辅助设施有可能被击穿或破裂、损坏导致泄漏，进而导致火灾、爆炸等重大事故发生。另外，危险化学品公路运输车辆有时必须通过人口聚集的区域，从而对沿途的居民、行人、其他车辆及设施等构成潜在的巨大威胁，一旦发生事故将会造成较大范围的人员伤亡和财产损失。</w:t>
      </w:r>
      <w:r>
        <w:t xml:space="preserve"> </w:t>
      </w:r>
    </w:p>
    <w:p w14:paraId="710AF535">
      <w:pPr>
        <w:pStyle w:val="281"/>
        <w:ind w:firstLine="480"/>
        <w:rPr>
          <w:rFonts w:hint="eastAsia" w:ascii="宋体" w:hAnsi="宋体"/>
        </w:rPr>
      </w:pPr>
      <w:r>
        <w:rPr>
          <w:rFonts w:hint="eastAsia" w:ascii="宋体" w:hAnsi="宋体"/>
        </w:rPr>
        <w:t>由交通事故引发的环境污染属于突发环境污染事故，其没有固定的排放方式和排放途径，事故发生的时间、地点、环境具有很大的不确定性，发生突然，在瞬时或短时间内大量的排出污染物质，易对环境造成污染。</w:t>
      </w:r>
    </w:p>
    <w:p w14:paraId="4C6DF959">
      <w:pPr>
        <w:pStyle w:val="97"/>
        <w:rPr>
          <w:rFonts w:hint="eastAsia"/>
        </w:rPr>
      </w:pPr>
      <w:r>
        <w:t>环境敏感</w:t>
      </w:r>
      <w:r>
        <w:rPr>
          <w:rFonts w:hint="eastAsia"/>
        </w:rPr>
        <w:t>特征</w:t>
      </w:r>
    </w:p>
    <w:p w14:paraId="3203B85B">
      <w:pPr>
        <w:pStyle w:val="128"/>
        <w:rPr>
          <w:rFonts w:hint="eastAsia"/>
        </w:rPr>
      </w:pPr>
      <w:bookmarkStart w:id="448" w:name="_Hlk150643144"/>
      <w:r>
        <w:rPr>
          <w:rFonts w:hint="eastAsia"/>
        </w:rPr>
        <w:t>根据项目涉及的危险物质可能的影响途径和所在区域的实际环境特点，本项目位于</w:t>
      </w:r>
      <w:r>
        <w:rPr>
          <w:rFonts w:hint="eastAsia" w:hAnsi="Times New Roman" w:cs="Times New Roman"/>
        </w:rPr>
        <w:t>哈密工业园区南部循环经济产业园区</w:t>
      </w:r>
      <w:r>
        <w:rPr>
          <w:rFonts w:hint="eastAsia"/>
        </w:rPr>
        <w:t>，环境风险敏感目标见下表。</w:t>
      </w:r>
      <w:bookmarkStart w:id="449" w:name="_Ref69750088"/>
    </w:p>
    <w:bookmarkEnd w:id="449"/>
    <w:p w14:paraId="53C4398C">
      <w:pPr>
        <w:pStyle w:val="645"/>
        <w:rPr>
          <w:rFonts w:hint="eastAsia"/>
        </w:rPr>
      </w:pPr>
      <w:r>
        <w:rPr>
          <w:rFonts w:hint="eastAsia"/>
        </w:rPr>
        <w:t>表</w:t>
      </w:r>
      <w:r>
        <w:t xml:space="preserve">7.2.3-1    </w:t>
      </w:r>
      <w:r>
        <w:rPr>
          <w:rFonts w:hint="eastAsia"/>
        </w:rPr>
        <w:t>环境敏感特征表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33"/>
        <w:gridCol w:w="1677"/>
        <w:gridCol w:w="1417"/>
        <w:gridCol w:w="703"/>
        <w:gridCol w:w="1301"/>
        <w:gridCol w:w="1970"/>
      </w:tblGrid>
      <w:tr w14:paraId="691A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Align w:val="center"/>
          </w:tcPr>
          <w:p w14:paraId="29E09C6F">
            <w:pPr>
              <w:pStyle w:val="557"/>
            </w:pPr>
            <w:r>
              <w:rPr>
                <w:rFonts w:hint="eastAsia"/>
              </w:rPr>
              <w:t>类别</w:t>
            </w:r>
          </w:p>
        </w:tc>
        <w:tc>
          <w:tcPr>
            <w:tcW w:w="7801" w:type="dxa"/>
            <w:gridSpan w:val="6"/>
            <w:vAlign w:val="center"/>
          </w:tcPr>
          <w:p w14:paraId="28DE095F">
            <w:pPr>
              <w:pStyle w:val="557"/>
            </w:pPr>
            <w:r>
              <w:rPr>
                <w:rFonts w:hint="eastAsia"/>
              </w:rPr>
              <w:t>环境敏感特征</w:t>
            </w:r>
          </w:p>
        </w:tc>
      </w:tr>
      <w:tr w14:paraId="45E2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restart"/>
            <w:vAlign w:val="center"/>
          </w:tcPr>
          <w:p w14:paraId="2E3316CA">
            <w:pPr>
              <w:pStyle w:val="557"/>
            </w:pPr>
            <w:r>
              <w:rPr>
                <w:rFonts w:hint="eastAsia"/>
              </w:rPr>
              <w:t>环境空气</w:t>
            </w:r>
          </w:p>
        </w:tc>
        <w:tc>
          <w:tcPr>
            <w:tcW w:w="7801" w:type="dxa"/>
            <w:gridSpan w:val="6"/>
            <w:vAlign w:val="center"/>
          </w:tcPr>
          <w:p w14:paraId="78FE1115">
            <w:pPr>
              <w:pStyle w:val="557"/>
            </w:pPr>
            <w:r>
              <w:rPr>
                <w:rFonts w:hint="eastAsia"/>
              </w:rPr>
              <w:t>厂址周边</w:t>
            </w:r>
            <w:r>
              <w:t>5km</w:t>
            </w:r>
            <w:r>
              <w:rPr>
                <w:rFonts w:hint="eastAsia"/>
              </w:rPr>
              <w:t>范围内</w:t>
            </w:r>
          </w:p>
        </w:tc>
      </w:tr>
      <w:tr w14:paraId="531A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12E49158">
            <w:pPr>
              <w:pStyle w:val="557"/>
            </w:pPr>
          </w:p>
        </w:tc>
        <w:tc>
          <w:tcPr>
            <w:tcW w:w="733" w:type="dxa"/>
            <w:vAlign w:val="center"/>
          </w:tcPr>
          <w:p w14:paraId="65A894DD">
            <w:pPr>
              <w:pStyle w:val="557"/>
            </w:pPr>
            <w:r>
              <w:rPr>
                <w:rFonts w:hint="eastAsia"/>
              </w:rPr>
              <w:t>序号</w:t>
            </w:r>
          </w:p>
        </w:tc>
        <w:tc>
          <w:tcPr>
            <w:tcW w:w="1677" w:type="dxa"/>
            <w:vAlign w:val="center"/>
          </w:tcPr>
          <w:p w14:paraId="0F63CF75">
            <w:pPr>
              <w:pStyle w:val="557"/>
            </w:pPr>
            <w:r>
              <w:rPr>
                <w:rFonts w:hint="eastAsia"/>
              </w:rPr>
              <w:t>敏感目标名称</w:t>
            </w:r>
          </w:p>
        </w:tc>
        <w:tc>
          <w:tcPr>
            <w:tcW w:w="1417" w:type="dxa"/>
            <w:vAlign w:val="center"/>
          </w:tcPr>
          <w:p w14:paraId="031A87EF">
            <w:pPr>
              <w:pStyle w:val="557"/>
            </w:pPr>
            <w:r>
              <w:rPr>
                <w:rFonts w:hint="eastAsia"/>
              </w:rPr>
              <w:t>相对方位</w:t>
            </w:r>
          </w:p>
        </w:tc>
        <w:tc>
          <w:tcPr>
            <w:tcW w:w="703" w:type="dxa"/>
            <w:vAlign w:val="center"/>
          </w:tcPr>
          <w:p w14:paraId="2BDD99CB">
            <w:pPr>
              <w:pStyle w:val="557"/>
            </w:pPr>
            <w:r>
              <w:rPr>
                <w:rFonts w:hint="eastAsia"/>
              </w:rPr>
              <w:t>距离</w:t>
            </w:r>
            <w:r>
              <w:t>/</w:t>
            </w:r>
            <w:r>
              <w:rPr>
                <w:rFonts w:hint="eastAsia"/>
              </w:rPr>
              <w:t>k</w:t>
            </w:r>
            <w:r>
              <w:t>m</w:t>
            </w:r>
          </w:p>
        </w:tc>
        <w:tc>
          <w:tcPr>
            <w:tcW w:w="1301" w:type="dxa"/>
            <w:vAlign w:val="center"/>
          </w:tcPr>
          <w:p w14:paraId="6F61BC8A">
            <w:pPr>
              <w:pStyle w:val="557"/>
            </w:pPr>
            <w:r>
              <w:rPr>
                <w:rFonts w:hint="eastAsia"/>
              </w:rPr>
              <w:t>属性</w:t>
            </w:r>
          </w:p>
        </w:tc>
        <w:tc>
          <w:tcPr>
            <w:tcW w:w="1970" w:type="dxa"/>
            <w:vAlign w:val="center"/>
          </w:tcPr>
          <w:p w14:paraId="138AE908">
            <w:pPr>
              <w:pStyle w:val="557"/>
            </w:pPr>
            <w:r>
              <w:rPr>
                <w:rFonts w:hint="eastAsia"/>
              </w:rPr>
              <w:t>人口数</w:t>
            </w:r>
          </w:p>
        </w:tc>
      </w:tr>
      <w:tr w14:paraId="0A7A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3B650BA8">
            <w:pPr>
              <w:pStyle w:val="557"/>
            </w:pPr>
          </w:p>
        </w:tc>
        <w:tc>
          <w:tcPr>
            <w:tcW w:w="733" w:type="dxa"/>
            <w:vAlign w:val="center"/>
          </w:tcPr>
          <w:p w14:paraId="2E7CF071">
            <w:pPr>
              <w:pStyle w:val="557"/>
            </w:pPr>
            <w:r>
              <w:rPr>
                <w:rFonts w:hint="eastAsia"/>
              </w:rPr>
              <w:t>1</w:t>
            </w:r>
          </w:p>
        </w:tc>
        <w:tc>
          <w:tcPr>
            <w:tcW w:w="1677" w:type="dxa"/>
            <w:vAlign w:val="center"/>
          </w:tcPr>
          <w:p w14:paraId="0A20F2AD">
            <w:pPr>
              <w:pStyle w:val="557"/>
            </w:pPr>
            <w:r>
              <w:rPr>
                <w:rFonts w:hint="eastAsia"/>
              </w:rPr>
              <w:t>花园乡</w:t>
            </w:r>
          </w:p>
        </w:tc>
        <w:tc>
          <w:tcPr>
            <w:tcW w:w="1417" w:type="dxa"/>
            <w:vAlign w:val="center"/>
          </w:tcPr>
          <w:p w14:paraId="2D0A7F3C">
            <w:pPr>
              <w:pStyle w:val="557"/>
            </w:pPr>
            <w:r>
              <w:rPr>
                <w:rFonts w:hint="eastAsia"/>
              </w:rPr>
              <w:t>SE</w:t>
            </w:r>
          </w:p>
        </w:tc>
        <w:tc>
          <w:tcPr>
            <w:tcW w:w="703" w:type="dxa"/>
            <w:vAlign w:val="center"/>
          </w:tcPr>
          <w:p w14:paraId="06BFF6F8">
            <w:pPr>
              <w:pStyle w:val="557"/>
            </w:pPr>
            <w:r>
              <w:rPr>
                <w:rFonts w:hint="eastAsia"/>
              </w:rPr>
              <w:t>4.6</w:t>
            </w:r>
          </w:p>
        </w:tc>
        <w:tc>
          <w:tcPr>
            <w:tcW w:w="1301" w:type="dxa"/>
            <w:vAlign w:val="center"/>
          </w:tcPr>
          <w:p w14:paraId="0D72373A">
            <w:pPr>
              <w:pStyle w:val="557"/>
            </w:pPr>
            <w:r>
              <w:rPr>
                <w:rFonts w:hint="eastAsia"/>
              </w:rPr>
              <w:t>人群聚集区</w:t>
            </w:r>
          </w:p>
        </w:tc>
        <w:tc>
          <w:tcPr>
            <w:tcW w:w="1970" w:type="dxa"/>
            <w:vAlign w:val="center"/>
          </w:tcPr>
          <w:p w14:paraId="71BD6936">
            <w:pPr>
              <w:pStyle w:val="557"/>
            </w:pPr>
            <w:r>
              <w:rPr>
                <w:rFonts w:hint="eastAsia"/>
              </w:rPr>
              <w:t>150</w:t>
            </w:r>
          </w:p>
        </w:tc>
      </w:tr>
      <w:tr w14:paraId="37D4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09FE49C5">
            <w:pPr>
              <w:pStyle w:val="557"/>
            </w:pPr>
          </w:p>
        </w:tc>
        <w:tc>
          <w:tcPr>
            <w:tcW w:w="5831" w:type="dxa"/>
            <w:gridSpan w:val="5"/>
            <w:vAlign w:val="center"/>
          </w:tcPr>
          <w:p w14:paraId="7B60C35C">
            <w:pPr>
              <w:pStyle w:val="557"/>
            </w:pPr>
            <w:r>
              <w:rPr>
                <w:rFonts w:hint="eastAsia"/>
              </w:rPr>
              <w:t>厂址周边</w:t>
            </w:r>
            <w:r>
              <w:t>500m</w:t>
            </w:r>
            <w:r>
              <w:rPr>
                <w:rFonts w:hint="eastAsia"/>
              </w:rPr>
              <w:t>范围内人口数小计</w:t>
            </w:r>
          </w:p>
        </w:tc>
        <w:tc>
          <w:tcPr>
            <w:tcW w:w="1970" w:type="dxa"/>
            <w:vAlign w:val="center"/>
          </w:tcPr>
          <w:p w14:paraId="4A33947C">
            <w:pPr>
              <w:pStyle w:val="557"/>
            </w:pPr>
            <w:r>
              <w:rPr>
                <w:rFonts w:hint="eastAsia"/>
              </w:rPr>
              <w:t>0</w:t>
            </w:r>
          </w:p>
        </w:tc>
      </w:tr>
      <w:tr w14:paraId="7BC7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64C7A815">
            <w:pPr>
              <w:pStyle w:val="557"/>
            </w:pPr>
          </w:p>
        </w:tc>
        <w:tc>
          <w:tcPr>
            <w:tcW w:w="5831" w:type="dxa"/>
            <w:gridSpan w:val="5"/>
            <w:vAlign w:val="center"/>
          </w:tcPr>
          <w:p w14:paraId="5A8807C4">
            <w:pPr>
              <w:pStyle w:val="557"/>
            </w:pPr>
            <w:r>
              <w:rPr>
                <w:rFonts w:hint="eastAsia"/>
              </w:rPr>
              <w:t>厂址周边</w:t>
            </w:r>
            <w:r>
              <w:t>5km</w:t>
            </w:r>
            <w:r>
              <w:rPr>
                <w:rFonts w:hint="eastAsia"/>
              </w:rPr>
              <w:t>范围内人口数小计</w:t>
            </w:r>
          </w:p>
        </w:tc>
        <w:tc>
          <w:tcPr>
            <w:tcW w:w="1970" w:type="dxa"/>
            <w:vAlign w:val="center"/>
          </w:tcPr>
          <w:p w14:paraId="2F9ED7C0">
            <w:pPr>
              <w:pStyle w:val="557"/>
            </w:pPr>
            <w:r>
              <w:rPr>
                <w:rFonts w:hint="eastAsia"/>
              </w:rPr>
              <w:t>150</w:t>
            </w:r>
          </w:p>
        </w:tc>
      </w:tr>
      <w:tr w14:paraId="76D8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35C461C2">
            <w:pPr>
              <w:pStyle w:val="557"/>
            </w:pPr>
          </w:p>
        </w:tc>
        <w:tc>
          <w:tcPr>
            <w:tcW w:w="5831" w:type="dxa"/>
            <w:gridSpan w:val="5"/>
            <w:vAlign w:val="center"/>
          </w:tcPr>
          <w:p w14:paraId="49E70D24">
            <w:pPr>
              <w:pStyle w:val="557"/>
            </w:pPr>
            <w:r>
              <w:rPr>
                <w:rFonts w:hint="eastAsia"/>
              </w:rPr>
              <w:t>大气环境敏感程度</w:t>
            </w:r>
            <w:r>
              <w:t>E</w:t>
            </w:r>
            <w:r>
              <w:rPr>
                <w:rFonts w:hint="eastAsia"/>
              </w:rPr>
              <w:t>值</w:t>
            </w:r>
          </w:p>
        </w:tc>
        <w:tc>
          <w:tcPr>
            <w:tcW w:w="1970" w:type="dxa"/>
            <w:vAlign w:val="center"/>
          </w:tcPr>
          <w:p w14:paraId="3FF00AB9">
            <w:pPr>
              <w:pStyle w:val="557"/>
            </w:pPr>
            <w:r>
              <w:rPr>
                <w:rFonts w:hint="eastAsia"/>
              </w:rPr>
              <w:t>E</w:t>
            </w:r>
            <w:r>
              <w:t>3</w:t>
            </w:r>
          </w:p>
        </w:tc>
      </w:tr>
      <w:tr w14:paraId="5A90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restart"/>
            <w:vAlign w:val="center"/>
          </w:tcPr>
          <w:p w14:paraId="61A585F1">
            <w:pPr>
              <w:pStyle w:val="557"/>
            </w:pPr>
            <w:r>
              <w:rPr>
                <w:rFonts w:hint="eastAsia"/>
              </w:rPr>
              <w:t>地表水</w:t>
            </w:r>
          </w:p>
        </w:tc>
        <w:tc>
          <w:tcPr>
            <w:tcW w:w="7801" w:type="dxa"/>
            <w:gridSpan w:val="6"/>
            <w:vAlign w:val="center"/>
          </w:tcPr>
          <w:p w14:paraId="26104E16">
            <w:pPr>
              <w:pStyle w:val="557"/>
            </w:pPr>
            <w:r>
              <w:rPr>
                <w:rFonts w:hint="eastAsia"/>
              </w:rPr>
              <w:t>受纳水体</w:t>
            </w:r>
          </w:p>
        </w:tc>
      </w:tr>
      <w:tr w14:paraId="7E44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7192A714">
            <w:pPr>
              <w:pStyle w:val="557"/>
            </w:pPr>
          </w:p>
        </w:tc>
        <w:tc>
          <w:tcPr>
            <w:tcW w:w="733" w:type="dxa"/>
            <w:vAlign w:val="center"/>
          </w:tcPr>
          <w:p w14:paraId="222094F7">
            <w:pPr>
              <w:pStyle w:val="557"/>
            </w:pPr>
            <w:r>
              <w:rPr>
                <w:rFonts w:hint="eastAsia"/>
              </w:rPr>
              <w:t>序号</w:t>
            </w:r>
          </w:p>
        </w:tc>
        <w:tc>
          <w:tcPr>
            <w:tcW w:w="3094" w:type="dxa"/>
            <w:gridSpan w:val="2"/>
            <w:vAlign w:val="center"/>
          </w:tcPr>
          <w:p w14:paraId="56FF9462">
            <w:pPr>
              <w:pStyle w:val="557"/>
            </w:pPr>
            <w:r>
              <w:rPr>
                <w:rFonts w:hint="eastAsia"/>
              </w:rPr>
              <w:t>受纳水体名称</w:t>
            </w:r>
          </w:p>
        </w:tc>
        <w:tc>
          <w:tcPr>
            <w:tcW w:w="2004" w:type="dxa"/>
            <w:gridSpan w:val="2"/>
            <w:vAlign w:val="center"/>
          </w:tcPr>
          <w:p w14:paraId="25EC4679">
            <w:pPr>
              <w:pStyle w:val="557"/>
            </w:pPr>
            <w:r>
              <w:rPr>
                <w:rFonts w:hint="eastAsia"/>
              </w:rPr>
              <w:t>排放点水域环境功能</w:t>
            </w:r>
          </w:p>
        </w:tc>
        <w:tc>
          <w:tcPr>
            <w:tcW w:w="1970" w:type="dxa"/>
            <w:vAlign w:val="center"/>
          </w:tcPr>
          <w:p w14:paraId="745865BF">
            <w:pPr>
              <w:pStyle w:val="557"/>
            </w:pPr>
            <w:r>
              <w:t>24h</w:t>
            </w:r>
            <w:r>
              <w:rPr>
                <w:rFonts w:hint="eastAsia"/>
              </w:rPr>
              <w:t>内流经范围</w:t>
            </w:r>
            <w:r>
              <w:t>/km</w:t>
            </w:r>
          </w:p>
        </w:tc>
      </w:tr>
      <w:tr w14:paraId="7129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1DB4E3F4">
            <w:pPr>
              <w:pStyle w:val="557"/>
            </w:pPr>
          </w:p>
        </w:tc>
        <w:tc>
          <w:tcPr>
            <w:tcW w:w="733" w:type="dxa"/>
            <w:vAlign w:val="center"/>
          </w:tcPr>
          <w:p w14:paraId="3F99C1B6">
            <w:pPr>
              <w:pStyle w:val="557"/>
            </w:pPr>
            <w:r>
              <w:rPr>
                <w:rFonts w:hint="eastAsia"/>
              </w:rPr>
              <w:t>/</w:t>
            </w:r>
          </w:p>
        </w:tc>
        <w:tc>
          <w:tcPr>
            <w:tcW w:w="3094" w:type="dxa"/>
            <w:gridSpan w:val="2"/>
            <w:vAlign w:val="center"/>
          </w:tcPr>
          <w:p w14:paraId="08A93431">
            <w:pPr>
              <w:pStyle w:val="557"/>
            </w:pPr>
            <w:r>
              <w:rPr>
                <w:rFonts w:hint="eastAsia"/>
              </w:rPr>
              <w:t>/</w:t>
            </w:r>
          </w:p>
        </w:tc>
        <w:tc>
          <w:tcPr>
            <w:tcW w:w="2004" w:type="dxa"/>
            <w:gridSpan w:val="2"/>
            <w:vAlign w:val="center"/>
          </w:tcPr>
          <w:p w14:paraId="5E4403CE">
            <w:pPr>
              <w:pStyle w:val="557"/>
            </w:pPr>
            <w:r>
              <w:rPr>
                <w:rFonts w:hint="eastAsia"/>
              </w:rPr>
              <w:t>/</w:t>
            </w:r>
          </w:p>
        </w:tc>
        <w:tc>
          <w:tcPr>
            <w:tcW w:w="1970" w:type="dxa"/>
            <w:vAlign w:val="center"/>
          </w:tcPr>
          <w:p w14:paraId="7252E507">
            <w:pPr>
              <w:pStyle w:val="557"/>
            </w:pPr>
            <w:r>
              <w:rPr>
                <w:rFonts w:hint="eastAsia"/>
              </w:rPr>
              <w:t>/</w:t>
            </w:r>
          </w:p>
        </w:tc>
      </w:tr>
      <w:tr w14:paraId="1AF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53A3379E">
            <w:pPr>
              <w:pStyle w:val="557"/>
            </w:pPr>
          </w:p>
        </w:tc>
        <w:tc>
          <w:tcPr>
            <w:tcW w:w="7801" w:type="dxa"/>
            <w:gridSpan w:val="6"/>
            <w:vAlign w:val="center"/>
          </w:tcPr>
          <w:p w14:paraId="37999BB7">
            <w:pPr>
              <w:pStyle w:val="557"/>
            </w:pPr>
            <w:r>
              <w:rPr>
                <w:rFonts w:hint="eastAsia"/>
              </w:rPr>
              <w:t>内陆水体排放点下游</w:t>
            </w:r>
            <w:r>
              <w:t>10 km</w:t>
            </w:r>
            <w:r>
              <w:rPr>
                <w:rFonts w:hint="eastAsia"/>
              </w:rPr>
              <w:t>（近岸海域一个潮周期最大水平距离两倍）范围内敏感目标</w:t>
            </w:r>
          </w:p>
        </w:tc>
      </w:tr>
      <w:tr w14:paraId="745B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248A7A99">
            <w:pPr>
              <w:pStyle w:val="557"/>
            </w:pPr>
          </w:p>
        </w:tc>
        <w:tc>
          <w:tcPr>
            <w:tcW w:w="733" w:type="dxa"/>
            <w:vAlign w:val="center"/>
          </w:tcPr>
          <w:p w14:paraId="6F8DF3BB">
            <w:pPr>
              <w:pStyle w:val="557"/>
            </w:pPr>
            <w:r>
              <w:rPr>
                <w:rFonts w:hint="eastAsia"/>
              </w:rPr>
              <w:t>序号</w:t>
            </w:r>
          </w:p>
        </w:tc>
        <w:tc>
          <w:tcPr>
            <w:tcW w:w="1677" w:type="dxa"/>
            <w:vAlign w:val="center"/>
          </w:tcPr>
          <w:p w14:paraId="33CC36F5">
            <w:pPr>
              <w:pStyle w:val="557"/>
            </w:pPr>
            <w:r>
              <w:rPr>
                <w:rFonts w:hint="eastAsia"/>
              </w:rPr>
              <w:t>敏感目标名称</w:t>
            </w:r>
          </w:p>
        </w:tc>
        <w:tc>
          <w:tcPr>
            <w:tcW w:w="1417" w:type="dxa"/>
            <w:vAlign w:val="center"/>
          </w:tcPr>
          <w:p w14:paraId="3C652FBE">
            <w:pPr>
              <w:pStyle w:val="557"/>
            </w:pPr>
            <w:r>
              <w:rPr>
                <w:rFonts w:hint="eastAsia"/>
              </w:rPr>
              <w:t>环境敏感特征</w:t>
            </w:r>
          </w:p>
        </w:tc>
        <w:tc>
          <w:tcPr>
            <w:tcW w:w="2004" w:type="dxa"/>
            <w:gridSpan w:val="2"/>
            <w:vAlign w:val="center"/>
          </w:tcPr>
          <w:p w14:paraId="10E56498">
            <w:pPr>
              <w:pStyle w:val="557"/>
            </w:pPr>
            <w:r>
              <w:rPr>
                <w:rFonts w:hint="eastAsia"/>
              </w:rPr>
              <w:t>水质目标</w:t>
            </w:r>
          </w:p>
        </w:tc>
        <w:tc>
          <w:tcPr>
            <w:tcW w:w="1970" w:type="dxa"/>
            <w:vAlign w:val="center"/>
          </w:tcPr>
          <w:p w14:paraId="4B50C328">
            <w:pPr>
              <w:pStyle w:val="557"/>
            </w:pPr>
            <w:r>
              <w:rPr>
                <w:rFonts w:hint="eastAsia"/>
              </w:rPr>
              <w:t>与排放点距离</w:t>
            </w:r>
            <w:r>
              <w:t>/m</w:t>
            </w:r>
          </w:p>
        </w:tc>
      </w:tr>
      <w:tr w14:paraId="0EBC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7B528D77">
            <w:pPr>
              <w:pStyle w:val="557"/>
            </w:pPr>
          </w:p>
        </w:tc>
        <w:tc>
          <w:tcPr>
            <w:tcW w:w="733" w:type="dxa"/>
            <w:vAlign w:val="center"/>
          </w:tcPr>
          <w:p w14:paraId="290A15ED">
            <w:pPr>
              <w:pStyle w:val="557"/>
            </w:pPr>
            <w:r>
              <w:rPr>
                <w:rFonts w:hint="eastAsia"/>
              </w:rPr>
              <w:t>/</w:t>
            </w:r>
          </w:p>
        </w:tc>
        <w:tc>
          <w:tcPr>
            <w:tcW w:w="1677" w:type="dxa"/>
            <w:vAlign w:val="center"/>
          </w:tcPr>
          <w:p w14:paraId="02F7FD24">
            <w:pPr>
              <w:pStyle w:val="557"/>
            </w:pPr>
            <w:r>
              <w:rPr>
                <w:rFonts w:hint="eastAsia"/>
              </w:rPr>
              <w:t>/</w:t>
            </w:r>
          </w:p>
        </w:tc>
        <w:tc>
          <w:tcPr>
            <w:tcW w:w="1417" w:type="dxa"/>
            <w:vAlign w:val="center"/>
          </w:tcPr>
          <w:p w14:paraId="7EB711F6">
            <w:pPr>
              <w:pStyle w:val="557"/>
            </w:pPr>
            <w:r>
              <w:rPr>
                <w:rFonts w:hint="eastAsia"/>
              </w:rPr>
              <w:t>/</w:t>
            </w:r>
          </w:p>
        </w:tc>
        <w:tc>
          <w:tcPr>
            <w:tcW w:w="2004" w:type="dxa"/>
            <w:gridSpan w:val="2"/>
            <w:vAlign w:val="center"/>
          </w:tcPr>
          <w:p w14:paraId="5038F9F0">
            <w:pPr>
              <w:pStyle w:val="557"/>
            </w:pPr>
            <w:r>
              <w:rPr>
                <w:rFonts w:hint="eastAsia"/>
              </w:rPr>
              <w:t>/</w:t>
            </w:r>
          </w:p>
        </w:tc>
        <w:tc>
          <w:tcPr>
            <w:tcW w:w="1970" w:type="dxa"/>
            <w:vAlign w:val="center"/>
          </w:tcPr>
          <w:p w14:paraId="34D9486D">
            <w:pPr>
              <w:pStyle w:val="557"/>
            </w:pPr>
            <w:r>
              <w:rPr>
                <w:rFonts w:hint="eastAsia"/>
              </w:rPr>
              <w:t>/</w:t>
            </w:r>
          </w:p>
        </w:tc>
      </w:tr>
      <w:tr w14:paraId="4679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6825EFDE">
            <w:pPr>
              <w:pStyle w:val="557"/>
            </w:pPr>
          </w:p>
        </w:tc>
        <w:tc>
          <w:tcPr>
            <w:tcW w:w="5831" w:type="dxa"/>
            <w:gridSpan w:val="5"/>
            <w:vAlign w:val="center"/>
          </w:tcPr>
          <w:p w14:paraId="1270183A">
            <w:pPr>
              <w:pStyle w:val="557"/>
            </w:pPr>
            <w:r>
              <w:rPr>
                <w:rFonts w:hint="eastAsia"/>
              </w:rPr>
              <w:t>地表水环境敏感程度</w:t>
            </w:r>
            <w:r>
              <w:t>E</w:t>
            </w:r>
            <w:r>
              <w:rPr>
                <w:rFonts w:hint="eastAsia"/>
              </w:rPr>
              <w:t>值</w:t>
            </w:r>
          </w:p>
        </w:tc>
        <w:tc>
          <w:tcPr>
            <w:tcW w:w="1970" w:type="dxa"/>
            <w:vAlign w:val="center"/>
          </w:tcPr>
          <w:p w14:paraId="715E3738">
            <w:pPr>
              <w:pStyle w:val="557"/>
            </w:pPr>
            <w:r>
              <w:rPr>
                <w:rFonts w:hint="eastAsia"/>
              </w:rPr>
              <w:t>/</w:t>
            </w:r>
          </w:p>
        </w:tc>
      </w:tr>
      <w:tr w14:paraId="2CD1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restart"/>
            <w:vAlign w:val="center"/>
          </w:tcPr>
          <w:p w14:paraId="362B9406">
            <w:pPr>
              <w:pStyle w:val="557"/>
            </w:pPr>
            <w:r>
              <w:rPr>
                <w:rFonts w:hint="eastAsia"/>
              </w:rPr>
              <w:t>地下水</w:t>
            </w:r>
          </w:p>
        </w:tc>
        <w:tc>
          <w:tcPr>
            <w:tcW w:w="733" w:type="dxa"/>
            <w:vAlign w:val="center"/>
          </w:tcPr>
          <w:p w14:paraId="40DA7243">
            <w:pPr>
              <w:pStyle w:val="557"/>
            </w:pPr>
            <w:r>
              <w:rPr>
                <w:rFonts w:hint="eastAsia"/>
              </w:rPr>
              <w:t>序号</w:t>
            </w:r>
          </w:p>
        </w:tc>
        <w:tc>
          <w:tcPr>
            <w:tcW w:w="1677" w:type="dxa"/>
            <w:vAlign w:val="center"/>
          </w:tcPr>
          <w:p w14:paraId="175E4424">
            <w:pPr>
              <w:pStyle w:val="557"/>
            </w:pPr>
            <w:r>
              <w:rPr>
                <w:rFonts w:hint="eastAsia"/>
              </w:rPr>
              <w:t>环境敏感区名称</w:t>
            </w:r>
          </w:p>
        </w:tc>
        <w:tc>
          <w:tcPr>
            <w:tcW w:w="1417" w:type="dxa"/>
            <w:vAlign w:val="center"/>
          </w:tcPr>
          <w:p w14:paraId="1668DDB7">
            <w:pPr>
              <w:pStyle w:val="557"/>
            </w:pPr>
            <w:r>
              <w:rPr>
                <w:rFonts w:hint="eastAsia"/>
              </w:rPr>
              <w:t>环境敏感特征</w:t>
            </w:r>
          </w:p>
        </w:tc>
        <w:tc>
          <w:tcPr>
            <w:tcW w:w="703" w:type="dxa"/>
            <w:vAlign w:val="center"/>
          </w:tcPr>
          <w:p w14:paraId="500E77A4">
            <w:pPr>
              <w:pStyle w:val="557"/>
            </w:pPr>
            <w:r>
              <w:rPr>
                <w:rFonts w:hint="eastAsia"/>
              </w:rPr>
              <w:t>水质目标</w:t>
            </w:r>
          </w:p>
        </w:tc>
        <w:tc>
          <w:tcPr>
            <w:tcW w:w="1301" w:type="dxa"/>
            <w:vAlign w:val="center"/>
          </w:tcPr>
          <w:p w14:paraId="5610B754">
            <w:pPr>
              <w:pStyle w:val="557"/>
            </w:pPr>
            <w:r>
              <w:rPr>
                <w:rFonts w:hint="eastAsia"/>
              </w:rPr>
              <w:t>包气带防污性能</w:t>
            </w:r>
          </w:p>
        </w:tc>
        <w:tc>
          <w:tcPr>
            <w:tcW w:w="1970" w:type="dxa"/>
            <w:vAlign w:val="center"/>
          </w:tcPr>
          <w:p w14:paraId="5A55E8CE">
            <w:pPr>
              <w:pStyle w:val="557"/>
            </w:pPr>
            <w:r>
              <w:rPr>
                <w:rFonts w:hint="eastAsia"/>
              </w:rPr>
              <w:t>与下游厂界距离</w:t>
            </w:r>
            <w:r>
              <w:t>/m</w:t>
            </w:r>
          </w:p>
        </w:tc>
      </w:tr>
      <w:tr w14:paraId="7F94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6C97760A">
            <w:pPr>
              <w:pStyle w:val="557"/>
            </w:pPr>
          </w:p>
        </w:tc>
        <w:tc>
          <w:tcPr>
            <w:tcW w:w="733" w:type="dxa"/>
            <w:vAlign w:val="center"/>
          </w:tcPr>
          <w:p w14:paraId="0998457D">
            <w:pPr>
              <w:pStyle w:val="557"/>
            </w:pPr>
            <w:r>
              <w:rPr>
                <w:rFonts w:hint="eastAsia"/>
              </w:rPr>
              <w:t>/</w:t>
            </w:r>
          </w:p>
        </w:tc>
        <w:tc>
          <w:tcPr>
            <w:tcW w:w="1677" w:type="dxa"/>
            <w:vAlign w:val="center"/>
          </w:tcPr>
          <w:p w14:paraId="31AE7699">
            <w:pPr>
              <w:pStyle w:val="557"/>
            </w:pPr>
            <w:r>
              <w:rPr>
                <w:rFonts w:hint="eastAsia"/>
              </w:rPr>
              <w:t>/</w:t>
            </w:r>
          </w:p>
        </w:tc>
        <w:tc>
          <w:tcPr>
            <w:tcW w:w="1417" w:type="dxa"/>
            <w:vAlign w:val="center"/>
          </w:tcPr>
          <w:p w14:paraId="0D08892D">
            <w:pPr>
              <w:pStyle w:val="557"/>
            </w:pPr>
            <w:r>
              <w:rPr>
                <w:rFonts w:hint="eastAsia"/>
              </w:rPr>
              <w:t>/</w:t>
            </w:r>
          </w:p>
        </w:tc>
        <w:tc>
          <w:tcPr>
            <w:tcW w:w="703" w:type="dxa"/>
            <w:vAlign w:val="center"/>
          </w:tcPr>
          <w:p w14:paraId="1B8342AA">
            <w:pPr>
              <w:pStyle w:val="557"/>
            </w:pPr>
            <w:r>
              <w:rPr>
                <w:rFonts w:hint="eastAsia"/>
              </w:rPr>
              <w:t>/</w:t>
            </w:r>
          </w:p>
        </w:tc>
        <w:tc>
          <w:tcPr>
            <w:tcW w:w="1301" w:type="dxa"/>
            <w:vAlign w:val="center"/>
          </w:tcPr>
          <w:p w14:paraId="15A139E5">
            <w:pPr>
              <w:pStyle w:val="557"/>
            </w:pPr>
            <w:r>
              <w:rPr>
                <w:rFonts w:hint="eastAsia"/>
              </w:rPr>
              <w:t>/</w:t>
            </w:r>
          </w:p>
        </w:tc>
        <w:tc>
          <w:tcPr>
            <w:tcW w:w="1970" w:type="dxa"/>
            <w:vAlign w:val="center"/>
          </w:tcPr>
          <w:p w14:paraId="6536BA44">
            <w:pPr>
              <w:pStyle w:val="557"/>
            </w:pPr>
            <w:r>
              <w:rPr>
                <w:rFonts w:hint="eastAsia"/>
              </w:rPr>
              <w:t>/</w:t>
            </w:r>
          </w:p>
        </w:tc>
      </w:tr>
      <w:tr w14:paraId="1011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vMerge w:val="continue"/>
            <w:vAlign w:val="center"/>
          </w:tcPr>
          <w:p w14:paraId="04A7E244">
            <w:pPr>
              <w:pStyle w:val="557"/>
            </w:pPr>
          </w:p>
        </w:tc>
        <w:tc>
          <w:tcPr>
            <w:tcW w:w="5831" w:type="dxa"/>
            <w:gridSpan w:val="5"/>
            <w:vAlign w:val="center"/>
          </w:tcPr>
          <w:p w14:paraId="379FF5A3">
            <w:pPr>
              <w:pStyle w:val="557"/>
            </w:pPr>
            <w:r>
              <w:rPr>
                <w:rFonts w:hint="eastAsia"/>
              </w:rPr>
              <w:t>地下水环境敏感程度</w:t>
            </w:r>
            <w:r>
              <w:t>E</w:t>
            </w:r>
            <w:r>
              <w:rPr>
                <w:rFonts w:hint="eastAsia"/>
              </w:rPr>
              <w:t>值</w:t>
            </w:r>
          </w:p>
        </w:tc>
        <w:tc>
          <w:tcPr>
            <w:tcW w:w="1970" w:type="dxa"/>
            <w:vAlign w:val="center"/>
          </w:tcPr>
          <w:p w14:paraId="0E9F4B21">
            <w:pPr>
              <w:pStyle w:val="557"/>
            </w:pPr>
            <w:r>
              <w:t>E2</w:t>
            </w:r>
          </w:p>
        </w:tc>
      </w:tr>
      <w:bookmarkEnd w:id="448"/>
    </w:tbl>
    <w:p w14:paraId="1ACF6B63">
      <w:pPr>
        <w:pStyle w:val="804"/>
        <w:rPr>
          <w:rFonts w:hint="eastAsia"/>
        </w:rPr>
      </w:pPr>
      <w:bookmarkStart w:id="450" w:name="_Toc71012656"/>
      <w:bookmarkStart w:id="451" w:name="_Toc20763575"/>
      <w:bookmarkStart w:id="452" w:name="_Toc7745"/>
      <w:bookmarkStart w:id="453" w:name="_Toc20166"/>
      <w:bookmarkStart w:id="454" w:name="_Toc194592903"/>
      <w:bookmarkStart w:id="455" w:name="_Toc70372821"/>
      <w:r>
        <w:rPr>
          <w:rFonts w:hint="eastAsia"/>
        </w:rPr>
        <w:t>环境风险潜势初判</w:t>
      </w:r>
      <w:bookmarkEnd w:id="450"/>
      <w:bookmarkEnd w:id="451"/>
      <w:bookmarkEnd w:id="452"/>
      <w:bookmarkEnd w:id="453"/>
      <w:bookmarkEnd w:id="454"/>
      <w:bookmarkEnd w:id="455"/>
    </w:p>
    <w:p w14:paraId="22576C30">
      <w:pPr>
        <w:pStyle w:val="97"/>
        <w:rPr>
          <w:rFonts w:hint="eastAsia"/>
        </w:rPr>
      </w:pPr>
      <w:r>
        <w:rPr>
          <w:rFonts w:hint="eastAsia"/>
        </w:rPr>
        <w:t>环境风险潜势划分依据</w:t>
      </w:r>
    </w:p>
    <w:p w14:paraId="0EDE4242">
      <w:pPr>
        <w:pStyle w:val="281"/>
        <w:ind w:firstLine="480"/>
        <w:rPr>
          <w:rFonts w:cs="Times New Roman"/>
        </w:rPr>
      </w:pPr>
      <w:r>
        <w:rPr>
          <w:rFonts w:cs="Times New Roman"/>
        </w:rPr>
        <w:t>根据《建设项目环境风险评价技术导则》（HJ 169-2018），建设项目环境风险潜势划分为Ⅰ、Ⅱ、Ⅲ、Ⅳ/Ⅳ+级。</w:t>
      </w:r>
    </w:p>
    <w:p w14:paraId="7FA0A920">
      <w:pPr>
        <w:pStyle w:val="281"/>
        <w:ind w:firstLine="480"/>
      </w:pPr>
      <w:r>
        <w:rPr>
          <w:rFonts w:hint="eastAsia" w:ascii="宋体" w:hAnsi="宋体"/>
        </w:rPr>
        <w:t>根据建设项目涉及的物质和工艺系统的危险性及其所在地的环境敏感程度，结合事故情景环境影响途径，对建设项目潜在环境危害程度进行概化分析，进而确定环境风险潜势，确定依据，见</w:t>
      </w:r>
      <w:r>
        <w:rPr>
          <w:rFonts w:hint="eastAsia"/>
        </w:rPr>
        <w:t>7.3</w:t>
      </w:r>
      <w:r>
        <w:t>.1</w:t>
      </w:r>
      <w:r>
        <w:rPr>
          <w:rFonts w:hint="eastAsia"/>
        </w:rPr>
        <w:t>-1</w:t>
      </w:r>
      <w:r>
        <w:rPr>
          <w:rFonts w:hint="eastAsia" w:ascii="宋体" w:hAnsi="宋体"/>
        </w:rPr>
        <w:t>。</w:t>
      </w:r>
    </w:p>
    <w:p w14:paraId="518537F2">
      <w:pPr>
        <w:pStyle w:val="541"/>
        <w:rPr>
          <w:rFonts w:hint="eastAsia"/>
        </w:rPr>
      </w:pPr>
      <w:bookmarkStart w:id="456" w:name="_Ref69750092"/>
      <w:r>
        <w:rPr>
          <w:rFonts w:hint="eastAsia"/>
        </w:rPr>
        <w:t>表7.3</w:t>
      </w:r>
      <w:bookmarkEnd w:id="456"/>
      <w:r>
        <w:t>.1</w:t>
      </w:r>
      <w:r>
        <w:rPr>
          <w:rFonts w:hint="eastAsia"/>
        </w:rPr>
        <w:t>-1  项目环境风险潜势划分依据一览表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1563"/>
        <w:gridCol w:w="1576"/>
        <w:gridCol w:w="1591"/>
        <w:gridCol w:w="1500"/>
      </w:tblGrid>
      <w:tr w14:paraId="4087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Merge w:val="restart"/>
            <w:vAlign w:val="center"/>
          </w:tcPr>
          <w:p w14:paraId="7EC01A8C">
            <w:pPr>
              <w:pStyle w:val="557"/>
              <w:rPr>
                <w:lang w:eastAsia="en-US"/>
              </w:rPr>
            </w:pPr>
            <w:r>
              <w:rPr>
                <w:lang w:eastAsia="en-US"/>
              </w:rPr>
              <w:t>环境敏感程度</w:t>
            </w:r>
          </w:p>
        </w:tc>
        <w:tc>
          <w:tcPr>
            <w:tcW w:w="6196" w:type="dxa"/>
            <w:gridSpan w:val="4"/>
            <w:vAlign w:val="center"/>
          </w:tcPr>
          <w:p w14:paraId="2AC772AF">
            <w:pPr>
              <w:pStyle w:val="557"/>
            </w:pPr>
            <w:r>
              <w:t>危险物质及工艺系统危险性P</w:t>
            </w:r>
          </w:p>
        </w:tc>
      </w:tr>
      <w:tr w14:paraId="72B8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Merge w:val="continue"/>
            <w:vAlign w:val="center"/>
          </w:tcPr>
          <w:p w14:paraId="2584C3FB">
            <w:pPr>
              <w:pStyle w:val="557"/>
            </w:pPr>
          </w:p>
        </w:tc>
        <w:tc>
          <w:tcPr>
            <w:tcW w:w="1555" w:type="dxa"/>
            <w:vAlign w:val="center"/>
          </w:tcPr>
          <w:p w14:paraId="715F2FE6">
            <w:pPr>
              <w:pStyle w:val="557"/>
              <w:rPr>
                <w:lang w:eastAsia="en-US"/>
              </w:rPr>
            </w:pPr>
            <w:r>
              <w:rPr>
                <w:lang w:eastAsia="en-US"/>
              </w:rPr>
              <w:t>极高危害（P1）</w:t>
            </w:r>
          </w:p>
        </w:tc>
        <w:tc>
          <w:tcPr>
            <w:tcW w:w="1567" w:type="dxa"/>
            <w:vAlign w:val="center"/>
          </w:tcPr>
          <w:p w14:paraId="6BBD81D7">
            <w:pPr>
              <w:pStyle w:val="557"/>
              <w:rPr>
                <w:lang w:eastAsia="en-US"/>
              </w:rPr>
            </w:pPr>
            <w:r>
              <w:rPr>
                <w:lang w:eastAsia="en-US"/>
              </w:rPr>
              <w:t>高度危害（P2）</w:t>
            </w:r>
          </w:p>
        </w:tc>
        <w:tc>
          <w:tcPr>
            <w:tcW w:w="1582" w:type="dxa"/>
            <w:vAlign w:val="center"/>
          </w:tcPr>
          <w:p w14:paraId="602AF589">
            <w:pPr>
              <w:pStyle w:val="557"/>
              <w:rPr>
                <w:lang w:eastAsia="en-US"/>
              </w:rPr>
            </w:pPr>
            <w:r>
              <w:rPr>
                <w:lang w:eastAsia="en-US"/>
              </w:rPr>
              <w:t>中度危害（P3）</w:t>
            </w:r>
          </w:p>
        </w:tc>
        <w:tc>
          <w:tcPr>
            <w:tcW w:w="1492" w:type="dxa"/>
            <w:vAlign w:val="center"/>
          </w:tcPr>
          <w:p w14:paraId="6B1A8047">
            <w:pPr>
              <w:pStyle w:val="557"/>
              <w:rPr>
                <w:lang w:eastAsia="en-US"/>
              </w:rPr>
            </w:pPr>
            <w:r>
              <w:rPr>
                <w:lang w:eastAsia="en-US"/>
              </w:rPr>
              <w:t>轻度危害（P4）</w:t>
            </w:r>
          </w:p>
        </w:tc>
      </w:tr>
      <w:tr w14:paraId="4535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1BA8F237">
            <w:pPr>
              <w:pStyle w:val="557"/>
            </w:pPr>
            <w:r>
              <w:t>环境高敏感度区（E1）</w:t>
            </w:r>
          </w:p>
        </w:tc>
        <w:tc>
          <w:tcPr>
            <w:tcW w:w="1555" w:type="dxa"/>
            <w:vAlign w:val="center"/>
          </w:tcPr>
          <w:p w14:paraId="3B60D8C2">
            <w:pPr>
              <w:pStyle w:val="557"/>
              <w:rPr>
                <w:lang w:eastAsia="en-US"/>
              </w:rPr>
            </w:pPr>
            <w:r>
              <w:rPr>
                <w:lang w:eastAsia="en-US"/>
              </w:rPr>
              <w:t>IV</w:t>
            </w:r>
            <w:r>
              <w:rPr>
                <w:vertAlign w:val="superscript"/>
                <w:lang w:eastAsia="en-US"/>
              </w:rPr>
              <w:t>+</w:t>
            </w:r>
          </w:p>
        </w:tc>
        <w:tc>
          <w:tcPr>
            <w:tcW w:w="1567" w:type="dxa"/>
            <w:vAlign w:val="center"/>
          </w:tcPr>
          <w:p w14:paraId="0D686DD6">
            <w:pPr>
              <w:pStyle w:val="557"/>
              <w:rPr>
                <w:lang w:eastAsia="en-US"/>
              </w:rPr>
            </w:pPr>
            <w:r>
              <w:rPr>
                <w:lang w:eastAsia="en-US"/>
              </w:rPr>
              <w:t>IV</w:t>
            </w:r>
          </w:p>
        </w:tc>
        <w:tc>
          <w:tcPr>
            <w:tcW w:w="1582" w:type="dxa"/>
            <w:vAlign w:val="center"/>
          </w:tcPr>
          <w:p w14:paraId="7A4A58AC">
            <w:pPr>
              <w:pStyle w:val="557"/>
              <w:rPr>
                <w:lang w:eastAsia="en-US"/>
              </w:rPr>
            </w:pPr>
            <w:r>
              <w:rPr>
                <w:lang w:eastAsia="en-US"/>
              </w:rPr>
              <w:t>III</w:t>
            </w:r>
          </w:p>
        </w:tc>
        <w:tc>
          <w:tcPr>
            <w:tcW w:w="1492" w:type="dxa"/>
            <w:vAlign w:val="center"/>
          </w:tcPr>
          <w:p w14:paraId="1138A597">
            <w:pPr>
              <w:pStyle w:val="557"/>
              <w:rPr>
                <w:lang w:eastAsia="en-US"/>
              </w:rPr>
            </w:pPr>
            <w:r>
              <w:rPr>
                <w:lang w:eastAsia="en-US"/>
              </w:rPr>
              <w:t>III</w:t>
            </w:r>
          </w:p>
        </w:tc>
      </w:tr>
      <w:tr w14:paraId="14EC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2755A3B1">
            <w:pPr>
              <w:pStyle w:val="557"/>
            </w:pPr>
            <w:r>
              <w:t>环境中敏感度区（E2）</w:t>
            </w:r>
          </w:p>
        </w:tc>
        <w:tc>
          <w:tcPr>
            <w:tcW w:w="1555" w:type="dxa"/>
            <w:vAlign w:val="center"/>
          </w:tcPr>
          <w:p w14:paraId="1B75811D">
            <w:pPr>
              <w:pStyle w:val="557"/>
              <w:rPr>
                <w:lang w:eastAsia="en-US"/>
              </w:rPr>
            </w:pPr>
            <w:r>
              <w:rPr>
                <w:lang w:eastAsia="en-US"/>
              </w:rPr>
              <w:t>IV</w:t>
            </w:r>
          </w:p>
        </w:tc>
        <w:tc>
          <w:tcPr>
            <w:tcW w:w="1567" w:type="dxa"/>
            <w:vAlign w:val="center"/>
          </w:tcPr>
          <w:p w14:paraId="05E6F7C7">
            <w:pPr>
              <w:pStyle w:val="557"/>
              <w:rPr>
                <w:lang w:eastAsia="en-US"/>
              </w:rPr>
            </w:pPr>
            <w:r>
              <w:rPr>
                <w:lang w:eastAsia="en-US"/>
              </w:rPr>
              <w:t>III</w:t>
            </w:r>
          </w:p>
        </w:tc>
        <w:tc>
          <w:tcPr>
            <w:tcW w:w="1582" w:type="dxa"/>
            <w:vAlign w:val="center"/>
          </w:tcPr>
          <w:p w14:paraId="08BC304A">
            <w:pPr>
              <w:pStyle w:val="557"/>
              <w:rPr>
                <w:lang w:eastAsia="en-US"/>
              </w:rPr>
            </w:pPr>
            <w:r>
              <w:rPr>
                <w:lang w:eastAsia="en-US"/>
              </w:rPr>
              <w:t>III</w:t>
            </w:r>
          </w:p>
        </w:tc>
        <w:tc>
          <w:tcPr>
            <w:tcW w:w="1492" w:type="dxa"/>
            <w:vAlign w:val="center"/>
          </w:tcPr>
          <w:p w14:paraId="369533B1">
            <w:pPr>
              <w:pStyle w:val="557"/>
              <w:rPr>
                <w:lang w:eastAsia="en-US"/>
              </w:rPr>
            </w:pPr>
            <w:r>
              <w:rPr>
                <w:lang w:eastAsia="en-US"/>
              </w:rPr>
              <w:t>II</w:t>
            </w:r>
          </w:p>
        </w:tc>
      </w:tr>
      <w:tr w14:paraId="32BD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3" w:type="dxa"/>
            <w:vAlign w:val="center"/>
          </w:tcPr>
          <w:p w14:paraId="5D3E7AD6">
            <w:pPr>
              <w:pStyle w:val="557"/>
            </w:pPr>
            <w:r>
              <w:t>环境低敏感度区（E3）</w:t>
            </w:r>
          </w:p>
        </w:tc>
        <w:tc>
          <w:tcPr>
            <w:tcW w:w="1555" w:type="dxa"/>
            <w:vAlign w:val="center"/>
          </w:tcPr>
          <w:p w14:paraId="40FB5D5A">
            <w:pPr>
              <w:pStyle w:val="557"/>
              <w:rPr>
                <w:lang w:eastAsia="en-US"/>
              </w:rPr>
            </w:pPr>
            <w:r>
              <w:rPr>
                <w:lang w:eastAsia="en-US"/>
              </w:rPr>
              <w:t>III</w:t>
            </w:r>
          </w:p>
        </w:tc>
        <w:tc>
          <w:tcPr>
            <w:tcW w:w="1567" w:type="dxa"/>
            <w:vAlign w:val="center"/>
          </w:tcPr>
          <w:p w14:paraId="063917F8">
            <w:pPr>
              <w:pStyle w:val="557"/>
              <w:rPr>
                <w:lang w:eastAsia="en-US"/>
              </w:rPr>
            </w:pPr>
            <w:r>
              <w:rPr>
                <w:lang w:eastAsia="en-US"/>
              </w:rPr>
              <w:t>III</w:t>
            </w:r>
          </w:p>
        </w:tc>
        <w:tc>
          <w:tcPr>
            <w:tcW w:w="1582" w:type="dxa"/>
            <w:vAlign w:val="center"/>
          </w:tcPr>
          <w:p w14:paraId="57594981">
            <w:pPr>
              <w:pStyle w:val="557"/>
              <w:rPr>
                <w:lang w:eastAsia="en-US"/>
              </w:rPr>
            </w:pPr>
            <w:r>
              <w:rPr>
                <w:lang w:eastAsia="en-US"/>
              </w:rPr>
              <w:t>II</w:t>
            </w:r>
          </w:p>
        </w:tc>
        <w:tc>
          <w:tcPr>
            <w:tcW w:w="1492" w:type="dxa"/>
            <w:vAlign w:val="center"/>
          </w:tcPr>
          <w:p w14:paraId="1765AD7C">
            <w:pPr>
              <w:pStyle w:val="557"/>
              <w:rPr>
                <w:lang w:eastAsia="en-US"/>
              </w:rPr>
            </w:pPr>
            <w:r>
              <w:rPr>
                <w:lang w:eastAsia="en-US"/>
              </w:rPr>
              <w:t>I</w:t>
            </w:r>
          </w:p>
        </w:tc>
      </w:tr>
      <w:tr w14:paraId="3B2C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59" w:type="dxa"/>
            <w:gridSpan w:val="5"/>
            <w:vAlign w:val="center"/>
          </w:tcPr>
          <w:p w14:paraId="20D23447">
            <w:pPr>
              <w:pStyle w:val="557"/>
            </w:pPr>
            <w:r>
              <w:t>注：IV</w:t>
            </w:r>
            <w:r>
              <w:rPr>
                <w:vertAlign w:val="superscript"/>
              </w:rPr>
              <w:t>+</w:t>
            </w:r>
            <w:r>
              <w:t>为极高环境风险</w:t>
            </w:r>
          </w:p>
        </w:tc>
      </w:tr>
    </w:tbl>
    <w:p w14:paraId="30039D07">
      <w:pPr>
        <w:pStyle w:val="190"/>
        <w:rPr>
          <w:rFonts w:hint="eastAsia"/>
        </w:rPr>
      </w:pPr>
    </w:p>
    <w:p w14:paraId="15ABD16A">
      <w:pPr>
        <w:pStyle w:val="97"/>
        <w:rPr>
          <w:rFonts w:hint="eastAsia"/>
        </w:rPr>
      </w:pPr>
      <w:r>
        <w:rPr>
          <w:rFonts w:hint="eastAsia"/>
        </w:rPr>
        <w:t>危险物质及工艺系统危险性（P）分级</w:t>
      </w:r>
    </w:p>
    <w:p w14:paraId="7B8D8800">
      <w:pPr>
        <w:pStyle w:val="281"/>
        <w:ind w:firstLine="480"/>
      </w:pPr>
      <w:r>
        <w:rPr>
          <w:rFonts w:hint="eastAsia" w:ascii="宋体" w:hAnsi="宋体"/>
        </w:rPr>
        <w:t>根据《建设项目环境风险评价技术导则》（</w:t>
      </w:r>
      <w:r>
        <w:rPr>
          <w:rFonts w:hint="eastAsia"/>
        </w:rPr>
        <w:t>HJ169-2018</w:t>
      </w:r>
      <w:r>
        <w:rPr>
          <w:rFonts w:hint="eastAsia" w:ascii="宋体" w:hAnsi="宋体"/>
        </w:rPr>
        <w:t>）的规定，分析建设项目生产、使用、储存过程中涉及的有毒有害、易燃易爆物质，参见附录</w:t>
      </w:r>
      <w:r>
        <w:rPr>
          <w:rFonts w:hint="eastAsia"/>
        </w:rPr>
        <w:t xml:space="preserve"> B </w:t>
      </w:r>
      <w:r>
        <w:rPr>
          <w:rFonts w:hint="eastAsia" w:ascii="宋体" w:hAnsi="宋体"/>
        </w:rPr>
        <w:t>确定危险物质的临界量。定量分析危险物质数量与临界量的比值（</w:t>
      </w:r>
      <w:r>
        <w:rPr>
          <w:rFonts w:hint="eastAsia"/>
        </w:rPr>
        <w:t>Q</w:t>
      </w:r>
      <w:r>
        <w:rPr>
          <w:rFonts w:hint="eastAsia" w:ascii="宋体" w:hAnsi="宋体"/>
        </w:rPr>
        <w:t>）和所属行业及生产工艺特点（</w:t>
      </w:r>
      <w:r>
        <w:rPr>
          <w:rFonts w:hint="eastAsia"/>
        </w:rPr>
        <w:t>M</w:t>
      </w:r>
      <w:r>
        <w:rPr>
          <w:rFonts w:hint="eastAsia" w:ascii="宋体" w:hAnsi="宋体"/>
        </w:rPr>
        <w:t>），按附录</w:t>
      </w:r>
      <w:r>
        <w:rPr>
          <w:rFonts w:hint="eastAsia"/>
        </w:rPr>
        <w:t xml:space="preserve"> C </w:t>
      </w:r>
      <w:r>
        <w:rPr>
          <w:rFonts w:hint="eastAsia" w:ascii="宋体" w:hAnsi="宋体"/>
        </w:rPr>
        <w:t>对危险物质及工艺系统危险性（</w:t>
      </w:r>
      <w:r>
        <w:rPr>
          <w:rFonts w:hint="eastAsia"/>
        </w:rPr>
        <w:t>P</w:t>
      </w:r>
      <w:r>
        <w:rPr>
          <w:rFonts w:hint="eastAsia" w:ascii="宋体" w:hAnsi="宋体"/>
        </w:rPr>
        <w:t>）等级进行判断。</w:t>
      </w:r>
    </w:p>
    <w:p w14:paraId="7FA7668D">
      <w:pPr>
        <w:pStyle w:val="281"/>
        <w:ind w:firstLine="480"/>
      </w:pPr>
      <w:r>
        <w:rPr>
          <w:rFonts w:hint="eastAsia" w:ascii="宋体" w:hAnsi="宋体"/>
        </w:rPr>
        <w:t>（</w:t>
      </w:r>
      <w:r>
        <w:rPr>
          <w:rFonts w:hint="eastAsia"/>
        </w:rPr>
        <w:t>1</w:t>
      </w:r>
      <w:r>
        <w:rPr>
          <w:rFonts w:hint="eastAsia" w:ascii="宋体" w:hAnsi="宋体"/>
        </w:rPr>
        <w:t>）危险物质数量与临界量比值（</w:t>
      </w:r>
      <w:r>
        <w:rPr>
          <w:rFonts w:hint="eastAsia"/>
        </w:rPr>
        <w:t>Q</w:t>
      </w:r>
      <w:r>
        <w:rPr>
          <w:rFonts w:hint="eastAsia" w:ascii="宋体" w:hAnsi="宋体"/>
        </w:rPr>
        <w:t>）</w:t>
      </w:r>
    </w:p>
    <w:p w14:paraId="5416277B">
      <w:pPr>
        <w:pStyle w:val="281"/>
        <w:ind w:firstLine="480"/>
      </w:pPr>
      <w:r>
        <w:rPr>
          <w:rFonts w:hint="eastAsia" w:ascii="宋体" w:hAnsi="宋体"/>
        </w:rPr>
        <w:t>计算所涉及的每种危险物质在厂界内的最大存在总量与其在《建设项目环境风险评价技术导则》（</w:t>
      </w:r>
      <w:r>
        <w:rPr>
          <w:rFonts w:hint="eastAsia"/>
        </w:rPr>
        <w:t>HJ169-2018</w:t>
      </w:r>
      <w:r>
        <w:rPr>
          <w:rFonts w:hint="eastAsia" w:ascii="宋体" w:hAnsi="宋体"/>
        </w:rPr>
        <w:t>）附录</w:t>
      </w:r>
      <w:r>
        <w:rPr>
          <w:rFonts w:hint="eastAsia"/>
        </w:rPr>
        <w:t>B</w:t>
      </w:r>
      <w:r>
        <w:rPr>
          <w:rFonts w:hint="eastAsia" w:ascii="宋体" w:hAnsi="宋体"/>
        </w:rPr>
        <w:t>中对应临界量的比值</w:t>
      </w:r>
      <w:r>
        <w:rPr>
          <w:rFonts w:hint="eastAsia"/>
        </w:rPr>
        <w:t>Q</w:t>
      </w:r>
      <w:r>
        <w:rPr>
          <w:rFonts w:hint="eastAsia" w:ascii="宋体" w:hAnsi="宋体"/>
        </w:rPr>
        <w:t>。在不同厂区的同一种物质，按其在厂界内的最大存在总量计算。根据《建设项目环境风险评价技术导则》（</w:t>
      </w:r>
      <w:r>
        <w:rPr>
          <w:rFonts w:hint="eastAsia"/>
        </w:rPr>
        <w:t>HJ 169-2018</w:t>
      </w:r>
      <w:r>
        <w:rPr>
          <w:rFonts w:hint="eastAsia" w:ascii="宋体" w:hAnsi="宋体"/>
        </w:rPr>
        <w:t>）附录</w:t>
      </w:r>
      <w:r>
        <w:rPr>
          <w:rFonts w:hint="eastAsia"/>
        </w:rPr>
        <w:t>C</w:t>
      </w:r>
      <w:r>
        <w:rPr>
          <w:rFonts w:hint="eastAsia" w:ascii="宋体" w:hAnsi="宋体"/>
        </w:rPr>
        <w:t>，当只涉及一种危险物质时，计算该物质的总量与其临界值比值，即为</w:t>
      </w:r>
      <w:r>
        <w:rPr>
          <w:rFonts w:hint="eastAsia"/>
        </w:rPr>
        <w:t>Q</w:t>
      </w:r>
      <w:r>
        <w:rPr>
          <w:rFonts w:hint="eastAsia" w:ascii="宋体" w:hAnsi="宋体"/>
        </w:rPr>
        <w:t>；当存在多种危险物质时，则按下式计算物质总量与其临界量比值（</w:t>
      </w:r>
      <w:r>
        <w:rPr>
          <w:rFonts w:hint="eastAsia"/>
        </w:rPr>
        <w:t>Q</w:t>
      </w:r>
      <w:r>
        <w:rPr>
          <w:rFonts w:hint="eastAsia" w:ascii="宋体" w:hAnsi="宋体"/>
        </w:rPr>
        <w:t>）：</w:t>
      </w:r>
      <w:r>
        <w:rPr>
          <w:rFonts w:hint="eastAsia"/>
        </w:rPr>
        <w:t xml:space="preserve">Q </w:t>
      </w:r>
      <w:r>
        <w:rPr>
          <w:rFonts w:hint="eastAsia" w:ascii="宋体" w:hAnsi="宋体"/>
        </w:rPr>
        <w:t>按下式进行计算：</w:t>
      </w:r>
    </w:p>
    <w:p w14:paraId="70F5880D">
      <w:pPr>
        <w:ind w:firstLine="1200" w:firstLineChars="500"/>
        <w:rPr>
          <w:rFonts w:hint="eastAsia"/>
        </w:rPr>
      </w:pPr>
      <m:oMathPara>
        <m:oMath>
          <m:r>
            <m:rPr/>
            <w:rPr>
              <w:rStyle w:val="219"/>
              <w:rFonts w:ascii="Cambria Math"/>
              <w:color w:val="auto"/>
            </w:rPr>
            <m:t>Q</m:t>
          </m:r>
          <m:r>
            <m:rPr/>
            <w:rPr>
              <w:rStyle w:val="219"/>
              <w:rFonts w:ascii="Cambria Math" w:hAnsi="Cambria Math"/>
              <w:color w:val="auto"/>
            </w:rPr>
            <m:t>=</m:t>
          </m:r>
          <m:f>
            <m:fPr>
              <m:ctrlPr>
                <w:rPr>
                  <w:rStyle w:val="219"/>
                  <w:rFonts w:ascii="Cambria Math"/>
                  <w:i/>
                  <w:color w:val="auto"/>
                </w:rPr>
              </m:ctrlPr>
            </m:fPr>
            <m:num>
              <m:sSub>
                <m:sSubPr>
                  <m:ctrlPr>
                    <w:rPr>
                      <w:rStyle w:val="219"/>
                      <w:rFonts w:ascii="Cambria Math"/>
                      <w:i/>
                      <w:color w:val="auto"/>
                    </w:rPr>
                  </m:ctrlPr>
                </m:sSubPr>
                <m:e>
                  <m:r>
                    <m:rPr/>
                    <w:rPr>
                      <w:rStyle w:val="219"/>
                      <w:rFonts w:hint="eastAsia" w:ascii="Cambria Math"/>
                      <w:color w:val="auto"/>
                    </w:rPr>
                    <m:t>q</m:t>
                  </m:r>
                  <m:ctrlPr>
                    <w:rPr>
                      <w:rStyle w:val="219"/>
                      <w:rFonts w:ascii="Cambria Math"/>
                      <w:i/>
                      <w:color w:val="auto"/>
                    </w:rPr>
                  </m:ctrlPr>
                </m:e>
                <m:sub>
                  <m:r>
                    <m:rPr/>
                    <w:rPr>
                      <w:rStyle w:val="219"/>
                      <w:rFonts w:ascii="Cambria Math"/>
                      <w:color w:val="auto"/>
                    </w:rPr>
                    <m:t>1</m:t>
                  </m:r>
                  <m:ctrlPr>
                    <w:rPr>
                      <w:rStyle w:val="219"/>
                      <w:rFonts w:ascii="Cambria Math"/>
                      <w:i/>
                      <w:color w:val="auto"/>
                    </w:rPr>
                  </m:ctrlPr>
                </m:sub>
              </m:sSub>
              <m:ctrlPr>
                <w:rPr>
                  <w:rStyle w:val="219"/>
                  <w:rFonts w:ascii="Cambria Math"/>
                  <w:i/>
                  <w:color w:val="auto"/>
                </w:rPr>
              </m:ctrlPr>
            </m:num>
            <m:den>
              <m:sSub>
                <m:sSubPr>
                  <m:ctrlPr>
                    <w:rPr>
                      <w:rStyle w:val="219"/>
                      <w:rFonts w:ascii="Cambria Math"/>
                      <w:i/>
                      <w:color w:val="auto"/>
                    </w:rPr>
                  </m:ctrlPr>
                </m:sSubPr>
                <m:e>
                  <m:r>
                    <m:rPr/>
                    <w:rPr>
                      <w:rStyle w:val="219"/>
                      <w:rFonts w:ascii="Cambria Math"/>
                      <w:color w:val="auto"/>
                    </w:rPr>
                    <m:t>Q</m:t>
                  </m:r>
                  <m:ctrlPr>
                    <w:rPr>
                      <w:rStyle w:val="219"/>
                      <w:rFonts w:ascii="Cambria Math"/>
                      <w:i/>
                      <w:color w:val="auto"/>
                    </w:rPr>
                  </m:ctrlPr>
                </m:e>
                <m:sub>
                  <m:r>
                    <m:rPr/>
                    <w:rPr>
                      <w:rStyle w:val="219"/>
                      <w:rFonts w:ascii="Cambria Math"/>
                      <w:color w:val="auto"/>
                    </w:rPr>
                    <m:t>1</m:t>
                  </m:r>
                  <m:ctrlPr>
                    <w:rPr>
                      <w:rStyle w:val="219"/>
                      <w:rFonts w:ascii="Cambria Math"/>
                      <w:i/>
                      <w:color w:val="auto"/>
                    </w:rPr>
                  </m:ctrlPr>
                </m:sub>
              </m:sSub>
              <m:ctrlPr>
                <w:rPr>
                  <w:rStyle w:val="219"/>
                  <w:rFonts w:ascii="Cambria Math"/>
                  <w:i/>
                  <w:color w:val="auto"/>
                </w:rPr>
              </m:ctrlPr>
            </m:den>
          </m:f>
          <m:r>
            <m:rPr/>
            <w:rPr>
              <w:rStyle w:val="219"/>
              <w:rFonts w:ascii="Cambria Math" w:hAnsi="Cambria Math"/>
              <w:color w:val="auto"/>
            </w:rPr>
            <m:t>+</m:t>
          </m:r>
          <m:f>
            <m:fPr>
              <m:ctrlPr>
                <w:rPr>
                  <w:rStyle w:val="219"/>
                  <w:rFonts w:ascii="Cambria Math"/>
                  <w:i/>
                  <w:color w:val="auto"/>
                </w:rPr>
              </m:ctrlPr>
            </m:fPr>
            <m:num>
              <m:sSub>
                <m:sSubPr>
                  <m:ctrlPr>
                    <w:rPr>
                      <w:rStyle w:val="219"/>
                      <w:rFonts w:ascii="Cambria Math"/>
                      <w:i/>
                      <w:color w:val="auto"/>
                    </w:rPr>
                  </m:ctrlPr>
                </m:sSubPr>
                <m:e>
                  <m:r>
                    <m:rPr/>
                    <w:rPr>
                      <w:rStyle w:val="219"/>
                      <w:rFonts w:hint="eastAsia" w:ascii="Cambria Math"/>
                      <w:color w:val="auto"/>
                    </w:rPr>
                    <m:t>q</m:t>
                  </m:r>
                  <m:ctrlPr>
                    <w:rPr>
                      <w:rStyle w:val="219"/>
                      <w:rFonts w:ascii="Cambria Math"/>
                      <w:i/>
                      <w:color w:val="auto"/>
                    </w:rPr>
                  </m:ctrlPr>
                </m:e>
                <m:sub>
                  <m:r>
                    <m:rPr/>
                    <w:rPr>
                      <w:rStyle w:val="219"/>
                      <w:rFonts w:ascii="Cambria Math"/>
                      <w:color w:val="auto"/>
                    </w:rPr>
                    <m:t>2</m:t>
                  </m:r>
                  <m:ctrlPr>
                    <w:rPr>
                      <w:rStyle w:val="219"/>
                      <w:rFonts w:ascii="Cambria Math"/>
                      <w:i/>
                      <w:color w:val="auto"/>
                    </w:rPr>
                  </m:ctrlPr>
                </m:sub>
              </m:sSub>
              <m:ctrlPr>
                <w:rPr>
                  <w:rStyle w:val="219"/>
                  <w:rFonts w:ascii="Cambria Math"/>
                  <w:i/>
                  <w:color w:val="auto"/>
                </w:rPr>
              </m:ctrlPr>
            </m:num>
            <m:den>
              <m:sSub>
                <m:sSubPr>
                  <m:ctrlPr>
                    <w:rPr>
                      <w:rStyle w:val="219"/>
                      <w:rFonts w:ascii="Cambria Math"/>
                      <w:i/>
                      <w:color w:val="auto"/>
                    </w:rPr>
                  </m:ctrlPr>
                </m:sSubPr>
                <m:e>
                  <m:r>
                    <m:rPr/>
                    <w:rPr>
                      <w:rStyle w:val="219"/>
                      <w:rFonts w:ascii="Cambria Math"/>
                      <w:color w:val="auto"/>
                    </w:rPr>
                    <m:t>Q</m:t>
                  </m:r>
                  <m:ctrlPr>
                    <w:rPr>
                      <w:rStyle w:val="219"/>
                      <w:rFonts w:ascii="Cambria Math"/>
                      <w:i/>
                      <w:color w:val="auto"/>
                    </w:rPr>
                  </m:ctrlPr>
                </m:e>
                <m:sub>
                  <m:r>
                    <m:rPr/>
                    <w:rPr>
                      <w:rStyle w:val="219"/>
                      <w:rFonts w:ascii="Cambria Math"/>
                      <w:color w:val="auto"/>
                    </w:rPr>
                    <m:t>2</m:t>
                  </m:r>
                  <m:ctrlPr>
                    <w:rPr>
                      <w:rStyle w:val="219"/>
                      <w:rFonts w:ascii="Cambria Math"/>
                      <w:i/>
                      <w:color w:val="auto"/>
                    </w:rPr>
                  </m:ctrlPr>
                </m:sub>
              </m:sSub>
              <m:ctrlPr>
                <w:rPr>
                  <w:rStyle w:val="219"/>
                  <w:rFonts w:ascii="Cambria Math"/>
                  <w:i/>
                  <w:color w:val="auto"/>
                </w:rPr>
              </m:ctrlPr>
            </m:den>
          </m:f>
          <m:r>
            <m:rPr/>
            <w:rPr>
              <w:rStyle w:val="219"/>
              <w:rFonts w:ascii="Cambria Math" w:hAnsi="Cambria Math"/>
              <w:color w:val="auto"/>
            </w:rPr>
            <m:t>+…+</m:t>
          </m:r>
          <m:f>
            <m:fPr>
              <m:ctrlPr>
                <w:rPr>
                  <w:rStyle w:val="219"/>
                  <w:rFonts w:ascii="Cambria Math"/>
                  <w:i/>
                  <w:color w:val="auto"/>
                </w:rPr>
              </m:ctrlPr>
            </m:fPr>
            <m:num>
              <m:sSub>
                <m:sSubPr>
                  <m:ctrlPr>
                    <w:rPr>
                      <w:rStyle w:val="219"/>
                      <w:rFonts w:ascii="Cambria Math"/>
                      <w:i/>
                      <w:color w:val="auto"/>
                    </w:rPr>
                  </m:ctrlPr>
                </m:sSubPr>
                <m:e>
                  <m:r>
                    <m:rPr/>
                    <w:rPr>
                      <w:rStyle w:val="219"/>
                      <w:rFonts w:hint="eastAsia" w:ascii="Cambria Math"/>
                      <w:color w:val="auto"/>
                    </w:rPr>
                    <m:t>q</m:t>
                  </m:r>
                  <m:ctrlPr>
                    <w:rPr>
                      <w:rStyle w:val="219"/>
                      <w:rFonts w:ascii="Cambria Math"/>
                      <w:i/>
                      <w:color w:val="auto"/>
                    </w:rPr>
                  </m:ctrlPr>
                </m:e>
                <m:sub>
                  <m:r>
                    <m:rPr/>
                    <w:rPr>
                      <w:rStyle w:val="219"/>
                      <w:rFonts w:hint="eastAsia" w:ascii="Cambria Math"/>
                      <w:color w:val="auto"/>
                    </w:rPr>
                    <m:t>n</m:t>
                  </m:r>
                  <m:ctrlPr>
                    <w:rPr>
                      <w:rStyle w:val="219"/>
                      <w:rFonts w:ascii="Cambria Math"/>
                      <w:i/>
                      <w:color w:val="auto"/>
                    </w:rPr>
                  </m:ctrlPr>
                </m:sub>
              </m:sSub>
              <m:ctrlPr>
                <w:rPr>
                  <w:rStyle w:val="219"/>
                  <w:rFonts w:ascii="Cambria Math"/>
                  <w:i/>
                  <w:color w:val="auto"/>
                </w:rPr>
              </m:ctrlPr>
            </m:num>
            <m:den>
              <m:sSub>
                <m:sSubPr>
                  <m:ctrlPr>
                    <w:rPr>
                      <w:rStyle w:val="219"/>
                      <w:rFonts w:ascii="Cambria Math"/>
                      <w:i/>
                      <w:color w:val="auto"/>
                    </w:rPr>
                  </m:ctrlPr>
                </m:sSubPr>
                <m:e>
                  <m:r>
                    <m:rPr/>
                    <w:rPr>
                      <w:rStyle w:val="219"/>
                      <w:rFonts w:ascii="Cambria Math"/>
                      <w:color w:val="auto"/>
                    </w:rPr>
                    <m:t>Q</m:t>
                  </m:r>
                  <m:ctrlPr>
                    <w:rPr>
                      <w:rStyle w:val="219"/>
                      <w:rFonts w:ascii="Cambria Math"/>
                      <w:i/>
                      <w:color w:val="auto"/>
                    </w:rPr>
                  </m:ctrlPr>
                </m:e>
                <m:sub>
                  <m:r>
                    <m:rPr/>
                    <w:rPr>
                      <w:rStyle w:val="219"/>
                      <w:rFonts w:hint="eastAsia" w:ascii="Cambria Math"/>
                      <w:color w:val="auto"/>
                    </w:rPr>
                    <m:t>n</m:t>
                  </m:r>
                  <m:ctrlPr>
                    <w:rPr>
                      <w:rStyle w:val="219"/>
                      <w:rFonts w:ascii="Cambria Math"/>
                      <w:i/>
                      <w:color w:val="auto"/>
                    </w:rPr>
                  </m:ctrlPr>
                </m:sub>
              </m:sSub>
              <m:ctrlPr>
                <w:rPr>
                  <w:rStyle w:val="219"/>
                  <w:rFonts w:ascii="Cambria Math"/>
                  <w:i/>
                  <w:color w:val="auto"/>
                </w:rPr>
              </m:ctrlPr>
            </m:den>
          </m:f>
        </m:oMath>
      </m:oMathPara>
    </w:p>
    <w:p w14:paraId="167149EB">
      <w:pPr>
        <w:pStyle w:val="281"/>
        <w:ind w:firstLine="480"/>
      </w:pPr>
      <w:r>
        <w:rPr>
          <w:rFonts w:hint="eastAsia" w:ascii="宋体" w:hAnsi="宋体"/>
        </w:rPr>
        <w:t>式中：</w:t>
      </w:r>
      <w:r>
        <w:t>q</w:t>
      </w:r>
      <w:r>
        <w:rPr>
          <w:vertAlign w:val="subscript"/>
        </w:rPr>
        <w:t>1</w:t>
      </w:r>
      <w:r>
        <w:rPr>
          <w:rFonts w:hint="eastAsia" w:ascii="宋体" w:hAnsi="宋体"/>
        </w:rPr>
        <w:t>，</w:t>
      </w:r>
      <w:r>
        <w:t>q</w:t>
      </w:r>
      <w:r>
        <w:rPr>
          <w:vertAlign w:val="subscript"/>
        </w:rPr>
        <w:t>2</w:t>
      </w:r>
      <w:r>
        <w:rPr>
          <w:rFonts w:hint="eastAsia" w:ascii="宋体" w:hAnsi="宋体"/>
        </w:rPr>
        <w:t>，</w:t>
      </w:r>
      <w:r>
        <w:t>…q</w:t>
      </w:r>
      <w:r>
        <w:rPr>
          <w:vertAlign w:val="subscript"/>
        </w:rPr>
        <w:t>n</w:t>
      </w:r>
      <w:r>
        <w:t>—</w:t>
      </w:r>
      <w:r>
        <w:rPr>
          <w:rFonts w:hint="eastAsia" w:ascii="宋体" w:hAnsi="宋体"/>
        </w:rPr>
        <w:t>每种危险物质的最大存在总量，</w:t>
      </w:r>
      <w:r>
        <w:t>t</w:t>
      </w:r>
      <w:r>
        <w:rPr>
          <w:rFonts w:hint="eastAsia" w:ascii="宋体" w:hAnsi="宋体"/>
        </w:rPr>
        <w:t>；</w:t>
      </w:r>
    </w:p>
    <w:p w14:paraId="132D8521">
      <w:pPr>
        <w:pStyle w:val="281"/>
        <w:ind w:firstLine="1200" w:firstLineChars="500"/>
        <w:rPr>
          <w:rFonts w:hint="eastAsia" w:ascii="宋体" w:hAnsi="宋体"/>
        </w:rPr>
      </w:pPr>
      <w:r>
        <w:t>Q</w:t>
      </w:r>
      <w:r>
        <w:rPr>
          <w:vertAlign w:val="subscript"/>
        </w:rPr>
        <w:t>1</w:t>
      </w:r>
      <w:r>
        <w:rPr>
          <w:rFonts w:hint="eastAsia" w:ascii="宋体" w:hAnsi="宋体"/>
        </w:rPr>
        <w:t>，</w:t>
      </w:r>
      <w:r>
        <w:t>Q</w:t>
      </w:r>
      <w:r>
        <w:rPr>
          <w:vertAlign w:val="subscript"/>
        </w:rPr>
        <w:t>2</w:t>
      </w:r>
      <w:r>
        <w:rPr>
          <w:rFonts w:hint="eastAsia" w:ascii="宋体" w:hAnsi="宋体"/>
        </w:rPr>
        <w:t>，</w:t>
      </w:r>
      <w:r>
        <w:t>…Q</w:t>
      </w:r>
      <w:r>
        <w:rPr>
          <w:vertAlign w:val="subscript"/>
        </w:rPr>
        <w:t>n</w:t>
      </w:r>
      <w:r>
        <w:t>—</w:t>
      </w:r>
      <w:r>
        <w:rPr>
          <w:rFonts w:hint="eastAsia"/>
        </w:rPr>
        <w:t>—</w:t>
      </w:r>
      <w:r>
        <w:rPr>
          <w:rFonts w:hint="eastAsia" w:ascii="宋体" w:hAnsi="宋体"/>
        </w:rPr>
        <w:t>每种危险物质的临界量，</w:t>
      </w:r>
      <w:r>
        <w:t>t</w:t>
      </w:r>
      <w:r>
        <w:rPr>
          <w:rFonts w:hint="eastAsia" w:ascii="宋体" w:hAnsi="宋体"/>
        </w:rPr>
        <w:t>。</w:t>
      </w:r>
    </w:p>
    <w:p w14:paraId="545904C6">
      <w:pPr>
        <w:pStyle w:val="281"/>
        <w:ind w:firstLine="436" w:firstLineChars="182"/>
      </w:pPr>
      <w:r>
        <w:rPr>
          <w:rFonts w:hint="eastAsia" w:ascii="宋体" w:hAnsi="宋体"/>
        </w:rPr>
        <w:t>当</w:t>
      </w:r>
      <w:r>
        <w:rPr>
          <w:rFonts w:hint="eastAsia"/>
        </w:rPr>
        <w:t>Q</w:t>
      </w:r>
      <w:r>
        <w:rPr>
          <w:rFonts w:hint="eastAsia" w:ascii="宋体" w:hAnsi="宋体"/>
        </w:rPr>
        <w:t>＜</w:t>
      </w:r>
      <w:r>
        <w:rPr>
          <w:rFonts w:hint="eastAsia"/>
        </w:rPr>
        <w:t xml:space="preserve">1 </w:t>
      </w:r>
      <w:r>
        <w:rPr>
          <w:rFonts w:hint="eastAsia" w:ascii="宋体" w:hAnsi="宋体"/>
        </w:rPr>
        <w:t>时，该项目环境风险潜势为</w:t>
      </w:r>
      <w:r>
        <w:t>Ⅰ</w:t>
      </w:r>
      <w:r>
        <w:rPr>
          <w:rFonts w:hint="eastAsia" w:ascii="宋体" w:hAnsi="宋体"/>
        </w:rPr>
        <w:t>。</w:t>
      </w:r>
    </w:p>
    <w:p w14:paraId="76190C33">
      <w:pPr>
        <w:pStyle w:val="281"/>
        <w:ind w:firstLine="480"/>
      </w:pPr>
      <w:r>
        <w:rPr>
          <w:rFonts w:hint="eastAsia" w:ascii="宋体" w:hAnsi="宋体"/>
        </w:rPr>
        <w:t>当</w:t>
      </w:r>
      <w:r>
        <w:rPr>
          <w:rFonts w:hint="eastAsia"/>
        </w:rPr>
        <w:t>Q</w:t>
      </w:r>
      <w:r>
        <w:t>≥</w:t>
      </w:r>
      <w:r>
        <w:rPr>
          <w:rFonts w:hint="eastAsia"/>
        </w:rPr>
        <w:t>1</w:t>
      </w:r>
      <w:r>
        <w:rPr>
          <w:rFonts w:hint="eastAsia" w:ascii="宋体" w:hAnsi="宋体"/>
        </w:rPr>
        <w:t>时，将</w:t>
      </w:r>
      <w:r>
        <w:rPr>
          <w:rFonts w:hint="eastAsia"/>
        </w:rPr>
        <w:t>Q</w:t>
      </w:r>
      <w:r>
        <w:rPr>
          <w:rFonts w:hint="eastAsia" w:ascii="宋体" w:hAnsi="宋体"/>
        </w:rPr>
        <w:t>值划分为：</w:t>
      </w:r>
      <w:r>
        <w:fldChar w:fldCharType="begin"/>
      </w:r>
      <w:r>
        <w:rPr>
          <w:rFonts w:hint="eastAsia"/>
        </w:rPr>
        <w:instrText xml:space="preserve">= 1 \* GB3</w:instrText>
      </w:r>
      <w:r>
        <w:fldChar w:fldCharType="separate"/>
      </w:r>
      <w:r>
        <w:rPr>
          <w:rFonts w:hint="eastAsia" w:ascii="宋体" w:hAnsi="宋体"/>
        </w:rPr>
        <w:t>①</w:t>
      </w:r>
      <w:r>
        <w:fldChar w:fldCharType="end"/>
      </w:r>
      <w:r>
        <w:rPr>
          <w:rFonts w:hint="eastAsia"/>
        </w:rPr>
        <w:t>1≤Q</w:t>
      </w:r>
      <w:r>
        <w:rPr>
          <w:rFonts w:hint="eastAsia" w:ascii="宋体" w:hAnsi="宋体"/>
        </w:rPr>
        <w:t>＜</w:t>
      </w:r>
      <w:r>
        <w:rPr>
          <w:rFonts w:hint="eastAsia"/>
        </w:rPr>
        <w:t>10</w:t>
      </w:r>
      <w:r>
        <w:rPr>
          <w:rFonts w:hint="eastAsia" w:ascii="宋体" w:hAnsi="宋体"/>
        </w:rPr>
        <w:t>；</w:t>
      </w:r>
      <w:r>
        <w:fldChar w:fldCharType="begin"/>
      </w:r>
      <w:r>
        <w:rPr>
          <w:rFonts w:hint="eastAsia"/>
        </w:rPr>
        <w:instrText xml:space="preserve">= 2 \* GB3</w:instrText>
      </w:r>
      <w:r>
        <w:fldChar w:fldCharType="separate"/>
      </w:r>
      <w:r>
        <w:rPr>
          <w:rFonts w:hint="eastAsia" w:ascii="宋体" w:hAnsi="宋体"/>
        </w:rPr>
        <w:t>②</w:t>
      </w:r>
      <w:r>
        <w:fldChar w:fldCharType="end"/>
      </w:r>
      <w:r>
        <w:rPr>
          <w:rFonts w:hint="eastAsia"/>
        </w:rPr>
        <w:t>10≤Q</w:t>
      </w:r>
      <w:r>
        <w:rPr>
          <w:rFonts w:hint="eastAsia" w:ascii="宋体" w:hAnsi="宋体"/>
        </w:rPr>
        <w:t>＜</w:t>
      </w:r>
      <w:r>
        <w:rPr>
          <w:rFonts w:hint="eastAsia"/>
        </w:rPr>
        <w:t>100</w:t>
      </w:r>
      <w:r>
        <w:rPr>
          <w:rFonts w:hint="eastAsia" w:ascii="宋体" w:hAnsi="宋体"/>
        </w:rPr>
        <w:t>；</w:t>
      </w:r>
      <w:r>
        <w:fldChar w:fldCharType="begin"/>
      </w:r>
      <w:r>
        <w:rPr>
          <w:rFonts w:hint="eastAsia"/>
        </w:rPr>
        <w:instrText xml:space="preserve">= 3 \* GB3</w:instrText>
      </w:r>
      <w:r>
        <w:fldChar w:fldCharType="separate"/>
      </w:r>
      <w:r>
        <w:rPr>
          <w:rFonts w:hint="eastAsia" w:ascii="宋体" w:hAnsi="宋体"/>
        </w:rPr>
        <w:t>③</w:t>
      </w:r>
      <w:r>
        <w:fldChar w:fldCharType="end"/>
      </w:r>
      <w:r>
        <w:rPr>
          <w:rFonts w:hint="eastAsia"/>
        </w:rPr>
        <w:t>Q≥100</w:t>
      </w:r>
      <w:r>
        <w:rPr>
          <w:rFonts w:hint="eastAsia" w:ascii="宋体" w:hAnsi="宋体"/>
        </w:rPr>
        <w:t>。</w:t>
      </w:r>
    </w:p>
    <w:p w14:paraId="39F5EC6D">
      <w:pPr>
        <w:pStyle w:val="128"/>
        <w:rPr>
          <w:rFonts w:hint="eastAsia"/>
        </w:rPr>
      </w:pPr>
      <w:bookmarkStart w:id="457" w:name="_Hlk177919904"/>
      <w:bookmarkStart w:id="458" w:name="_Hlk193110991"/>
      <w:r>
        <w:rPr>
          <w:rFonts w:hint="eastAsia"/>
        </w:rPr>
        <w:t>本项目生产、使用、储存过程中涉及的有毒有害、易燃易爆危险物质主要有CO、硫化氢</w:t>
      </w:r>
      <w:r>
        <w:rPr>
          <w:rFonts w:hint="eastAsia" w:ascii="宋体"/>
        </w:rPr>
        <w:t>、</w:t>
      </w:r>
      <w:r>
        <w:rPr>
          <w:rFonts w:hint="eastAsia"/>
        </w:rPr>
        <w:t>液氨</w:t>
      </w:r>
      <w:r>
        <w:rPr>
          <w:rFonts w:hint="eastAsia" w:ascii="宋体"/>
        </w:rPr>
        <w:t>、</w:t>
      </w:r>
      <w:r>
        <w:rPr>
          <w:rFonts w:hint="eastAsia"/>
        </w:rPr>
        <w:t>硫酸、甲醇、次氯酸钠、硝酸、甲酸甲酯、亚硝酸甲酯等，拟建项目设计的危险物质最大储存量与临界量比值（Q）计算结果见表7.3</w:t>
      </w:r>
      <w:r>
        <w:t>.2</w:t>
      </w:r>
      <w:r>
        <w:rPr>
          <w:rFonts w:hint="eastAsia"/>
        </w:rPr>
        <w:t>-</w:t>
      </w:r>
      <w:r>
        <w:t>1</w:t>
      </w:r>
      <w:r>
        <w:rPr>
          <w:rFonts w:hint="eastAsia"/>
        </w:rPr>
        <w:t>。</w:t>
      </w:r>
    </w:p>
    <w:p w14:paraId="2A7BDAA8">
      <w:pPr>
        <w:pStyle w:val="541"/>
        <w:rPr>
          <w:rFonts w:hint="eastAsia"/>
        </w:rPr>
      </w:pPr>
      <w:bookmarkStart w:id="459" w:name="_Ref69750101"/>
      <w:r>
        <w:rPr>
          <w:rFonts w:hint="eastAsia"/>
        </w:rPr>
        <w:t>表7.3</w:t>
      </w:r>
      <w:bookmarkEnd w:id="459"/>
      <w:r>
        <w:t xml:space="preserve">.2-1    </w:t>
      </w:r>
      <w:r>
        <w:rPr>
          <w:rFonts w:hint="eastAsia"/>
        </w:rPr>
        <w:t>拟建项目Q值确定表</w:t>
      </w:r>
    </w:p>
    <w:tbl>
      <w:tblPr>
        <w:tblStyle w:val="65"/>
        <w:tblW w:w="8505" w:type="dxa"/>
        <w:jc w:val="center"/>
        <w:tblLayout w:type="autofit"/>
        <w:tblCellMar>
          <w:top w:w="0" w:type="dxa"/>
          <w:left w:w="108" w:type="dxa"/>
          <w:bottom w:w="0" w:type="dxa"/>
          <w:right w:w="108" w:type="dxa"/>
        </w:tblCellMar>
      </w:tblPr>
      <w:tblGrid>
        <w:gridCol w:w="1701"/>
        <w:gridCol w:w="1701"/>
        <w:gridCol w:w="1701"/>
        <w:gridCol w:w="1701"/>
        <w:gridCol w:w="1701"/>
      </w:tblGrid>
      <w:tr w14:paraId="638C33C9">
        <w:tblPrEx>
          <w:tblCellMar>
            <w:top w:w="0" w:type="dxa"/>
            <w:left w:w="108" w:type="dxa"/>
            <w:bottom w:w="0" w:type="dxa"/>
            <w:right w:w="108" w:type="dxa"/>
          </w:tblCellMar>
        </w:tblPrEx>
        <w:trPr>
          <w:trHeight w:val="284" w:hRule="atLeast"/>
          <w:jc w:val="center"/>
        </w:trPr>
        <w:tc>
          <w:tcPr>
            <w:tcW w:w="1080" w:type="dxa"/>
            <w:tcBorders>
              <w:top w:val="single" w:color="auto" w:sz="8" w:space="0"/>
              <w:left w:val="single" w:color="auto" w:sz="8" w:space="0"/>
              <w:bottom w:val="single" w:color="auto" w:sz="8" w:space="0"/>
              <w:right w:val="single" w:color="auto" w:sz="8" w:space="0"/>
            </w:tcBorders>
            <w:vAlign w:val="center"/>
          </w:tcPr>
          <w:p w14:paraId="6C801653">
            <w:pPr>
              <w:jc w:val="center"/>
              <w:rPr>
                <w:rFonts w:hint="eastAsia"/>
                <w:color w:val="000000"/>
                <w:sz w:val="18"/>
                <w:szCs w:val="18"/>
              </w:rPr>
            </w:pPr>
            <w:r>
              <w:rPr>
                <w:rFonts w:hint="eastAsia"/>
                <w:color w:val="000000"/>
                <w:sz w:val="18"/>
                <w:szCs w:val="18"/>
              </w:rPr>
              <w:t>装置单元</w:t>
            </w:r>
          </w:p>
        </w:tc>
        <w:tc>
          <w:tcPr>
            <w:tcW w:w="1080" w:type="dxa"/>
            <w:tcBorders>
              <w:top w:val="single" w:color="auto" w:sz="8" w:space="0"/>
              <w:left w:val="nil"/>
              <w:bottom w:val="single" w:color="auto" w:sz="8" w:space="0"/>
              <w:right w:val="single" w:color="auto" w:sz="8" w:space="0"/>
            </w:tcBorders>
            <w:vAlign w:val="center"/>
          </w:tcPr>
          <w:p w14:paraId="08E5704E">
            <w:pPr>
              <w:jc w:val="center"/>
              <w:rPr>
                <w:rFonts w:hint="eastAsia"/>
                <w:color w:val="000000"/>
                <w:sz w:val="18"/>
                <w:szCs w:val="18"/>
              </w:rPr>
            </w:pPr>
            <w:r>
              <w:rPr>
                <w:rFonts w:hint="eastAsia"/>
                <w:color w:val="000000"/>
                <w:sz w:val="18"/>
                <w:szCs w:val="18"/>
              </w:rPr>
              <w:t>危险化学品名称</w:t>
            </w:r>
          </w:p>
        </w:tc>
        <w:tc>
          <w:tcPr>
            <w:tcW w:w="1080" w:type="dxa"/>
            <w:tcBorders>
              <w:top w:val="single" w:color="auto" w:sz="8" w:space="0"/>
              <w:left w:val="nil"/>
              <w:bottom w:val="single" w:color="auto" w:sz="8" w:space="0"/>
              <w:right w:val="single" w:color="auto" w:sz="8" w:space="0"/>
            </w:tcBorders>
            <w:vAlign w:val="center"/>
          </w:tcPr>
          <w:p w14:paraId="65122771">
            <w:pPr>
              <w:jc w:val="center"/>
              <w:rPr>
                <w:rFonts w:hint="eastAsia"/>
                <w:color w:val="000000"/>
                <w:sz w:val="18"/>
                <w:szCs w:val="18"/>
              </w:rPr>
            </w:pPr>
            <w:r>
              <w:rPr>
                <w:rFonts w:hint="eastAsia"/>
                <w:color w:val="000000"/>
                <w:sz w:val="18"/>
                <w:szCs w:val="18"/>
              </w:rPr>
              <w:t>临界量</w:t>
            </w:r>
            <w:r>
              <w:rPr>
                <w:rFonts w:ascii="Times New Roman" w:hAnsi="Times New Roman" w:cs="Times New Roman"/>
                <w:color w:val="000000"/>
                <w:sz w:val="18"/>
                <w:szCs w:val="18"/>
              </w:rPr>
              <w:t>Q</w:t>
            </w:r>
            <w:r>
              <w:rPr>
                <w:rFonts w:ascii="Times New Roman" w:hAnsi="Times New Roman" w:cs="Times New Roman"/>
                <w:color w:val="000000"/>
                <w:sz w:val="18"/>
                <w:szCs w:val="18"/>
                <w:vertAlign w:val="subscript"/>
              </w:rPr>
              <w:t>n</w:t>
            </w:r>
            <w:r>
              <w:rPr>
                <w:rFonts w:hint="eastAsia"/>
                <w:color w:val="000000"/>
                <w:sz w:val="18"/>
                <w:szCs w:val="18"/>
              </w:rPr>
              <w:t>（</w:t>
            </w:r>
            <w:r>
              <w:rPr>
                <w:rFonts w:ascii="Times New Roman" w:hAnsi="Times New Roman" w:cs="Times New Roman"/>
                <w:color w:val="000000"/>
                <w:sz w:val="18"/>
                <w:szCs w:val="18"/>
              </w:rPr>
              <w:t>t</w:t>
            </w:r>
            <w:r>
              <w:rPr>
                <w:rFonts w:hint="eastAsia"/>
                <w:color w:val="000000"/>
                <w:sz w:val="18"/>
                <w:szCs w:val="18"/>
              </w:rPr>
              <w:t>）</w:t>
            </w:r>
          </w:p>
        </w:tc>
        <w:tc>
          <w:tcPr>
            <w:tcW w:w="1080" w:type="dxa"/>
            <w:tcBorders>
              <w:top w:val="single" w:color="auto" w:sz="8" w:space="0"/>
              <w:left w:val="nil"/>
              <w:bottom w:val="single" w:color="auto" w:sz="8" w:space="0"/>
              <w:right w:val="single" w:color="auto" w:sz="8" w:space="0"/>
            </w:tcBorders>
            <w:vAlign w:val="center"/>
          </w:tcPr>
          <w:p w14:paraId="0480025B">
            <w:pPr>
              <w:jc w:val="center"/>
              <w:rPr>
                <w:rFonts w:hint="eastAsia"/>
                <w:color w:val="000000"/>
                <w:sz w:val="18"/>
                <w:szCs w:val="18"/>
              </w:rPr>
            </w:pPr>
            <w:r>
              <w:rPr>
                <w:rFonts w:hint="eastAsia"/>
                <w:color w:val="000000"/>
                <w:sz w:val="18"/>
                <w:szCs w:val="18"/>
              </w:rPr>
              <w:t>实际存在量（</w:t>
            </w:r>
            <w:r>
              <w:rPr>
                <w:rFonts w:ascii="Times New Roman" w:hAnsi="Times New Roman" w:cs="Times New Roman"/>
                <w:color w:val="000000"/>
                <w:sz w:val="18"/>
                <w:szCs w:val="18"/>
              </w:rPr>
              <w:t>t</w:t>
            </w:r>
            <w:r>
              <w:rPr>
                <w:rFonts w:hint="eastAsia"/>
                <w:color w:val="000000"/>
                <w:sz w:val="18"/>
                <w:szCs w:val="18"/>
              </w:rPr>
              <w:t>）</w:t>
            </w:r>
          </w:p>
        </w:tc>
        <w:tc>
          <w:tcPr>
            <w:tcW w:w="1080" w:type="dxa"/>
            <w:tcBorders>
              <w:top w:val="single" w:color="auto" w:sz="8" w:space="0"/>
              <w:left w:val="nil"/>
              <w:bottom w:val="single" w:color="auto" w:sz="8" w:space="0"/>
              <w:right w:val="single" w:color="auto" w:sz="8" w:space="0"/>
            </w:tcBorders>
            <w:vAlign w:val="center"/>
          </w:tcPr>
          <w:p w14:paraId="3DE70A8A">
            <w:pPr>
              <w:jc w:val="center"/>
              <w:rPr>
                <w:rFonts w:hint="eastAsia"/>
                <w:color w:val="000000"/>
                <w:sz w:val="18"/>
                <w:szCs w:val="18"/>
              </w:rPr>
            </w:pPr>
            <w:r>
              <w:rPr>
                <w:rFonts w:hint="eastAsia"/>
                <w:color w:val="000000"/>
                <w:sz w:val="18"/>
                <w:szCs w:val="18"/>
              </w:rPr>
              <w:t>存在量</w:t>
            </w:r>
            <w:r>
              <w:rPr>
                <w:rFonts w:ascii="Times New Roman" w:hAnsi="Times New Roman" w:cs="Times New Roman"/>
                <w:color w:val="000000"/>
                <w:sz w:val="18"/>
                <w:szCs w:val="18"/>
              </w:rPr>
              <w:t>/</w:t>
            </w:r>
            <w:r>
              <w:rPr>
                <w:rFonts w:hint="eastAsia"/>
                <w:color w:val="000000"/>
                <w:sz w:val="18"/>
                <w:szCs w:val="18"/>
              </w:rPr>
              <w:t>临界量</w:t>
            </w:r>
          </w:p>
        </w:tc>
      </w:tr>
      <w:tr w14:paraId="7C98C5CB">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14AB9631">
            <w:pPr>
              <w:jc w:val="center"/>
              <w:rPr>
                <w:rFonts w:hint="eastAsia"/>
                <w:color w:val="000000"/>
                <w:sz w:val="18"/>
                <w:szCs w:val="18"/>
              </w:rPr>
            </w:pPr>
            <w:r>
              <w:rPr>
                <w:rFonts w:hint="eastAsia"/>
                <w:color w:val="000000"/>
                <w:sz w:val="18"/>
                <w:szCs w:val="18"/>
              </w:rPr>
              <w:t>煤气化装置</w:t>
            </w:r>
          </w:p>
        </w:tc>
        <w:tc>
          <w:tcPr>
            <w:tcW w:w="1080" w:type="dxa"/>
            <w:tcBorders>
              <w:top w:val="nil"/>
              <w:left w:val="nil"/>
              <w:bottom w:val="single" w:color="auto" w:sz="8" w:space="0"/>
              <w:right w:val="single" w:color="auto" w:sz="8" w:space="0"/>
            </w:tcBorders>
            <w:vAlign w:val="center"/>
          </w:tcPr>
          <w:p w14:paraId="15AD860F">
            <w:pPr>
              <w:jc w:val="center"/>
              <w:rPr>
                <w:rFonts w:hint="eastAsia"/>
                <w:color w:val="000000"/>
                <w:sz w:val="18"/>
                <w:szCs w:val="18"/>
              </w:rPr>
            </w:pPr>
            <w:r>
              <w:rPr>
                <w:rFonts w:hint="eastAsia"/>
                <w:color w:val="000000"/>
                <w:sz w:val="18"/>
                <w:szCs w:val="18"/>
              </w:rPr>
              <w:t>煤气</w:t>
            </w:r>
          </w:p>
        </w:tc>
        <w:tc>
          <w:tcPr>
            <w:tcW w:w="1080" w:type="dxa"/>
            <w:tcBorders>
              <w:top w:val="nil"/>
              <w:left w:val="nil"/>
              <w:bottom w:val="single" w:color="auto" w:sz="8" w:space="0"/>
              <w:right w:val="single" w:color="auto" w:sz="8" w:space="0"/>
            </w:tcBorders>
            <w:vAlign w:val="center"/>
          </w:tcPr>
          <w:p w14:paraId="3CFCA00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4293F75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94.33</w:t>
            </w:r>
          </w:p>
        </w:tc>
        <w:tc>
          <w:tcPr>
            <w:tcW w:w="1080" w:type="dxa"/>
            <w:tcBorders>
              <w:top w:val="nil"/>
              <w:left w:val="nil"/>
              <w:bottom w:val="single" w:color="auto" w:sz="8" w:space="0"/>
              <w:right w:val="single" w:color="auto" w:sz="8" w:space="0"/>
            </w:tcBorders>
            <w:noWrap/>
            <w:vAlign w:val="center"/>
          </w:tcPr>
          <w:p w14:paraId="4183E94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12.58 </w:t>
            </w:r>
          </w:p>
        </w:tc>
      </w:tr>
      <w:tr w14:paraId="31BA5A5C">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0BE8F2C3">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02B5D99E">
            <w:pPr>
              <w:jc w:val="center"/>
              <w:rPr>
                <w:rFonts w:hint="eastAsia"/>
                <w:color w:val="000000"/>
                <w:sz w:val="18"/>
                <w:szCs w:val="18"/>
              </w:rPr>
            </w:pPr>
            <w:r>
              <w:rPr>
                <w:rFonts w:hint="eastAsia"/>
                <w:color w:val="000000"/>
                <w:sz w:val="18"/>
                <w:szCs w:val="18"/>
              </w:rPr>
              <w:t>硫化氢</w:t>
            </w:r>
          </w:p>
        </w:tc>
        <w:tc>
          <w:tcPr>
            <w:tcW w:w="1080" w:type="dxa"/>
            <w:tcBorders>
              <w:top w:val="nil"/>
              <w:left w:val="nil"/>
              <w:bottom w:val="single" w:color="auto" w:sz="8" w:space="0"/>
              <w:right w:val="single" w:color="auto" w:sz="8" w:space="0"/>
            </w:tcBorders>
            <w:vAlign w:val="center"/>
          </w:tcPr>
          <w:p w14:paraId="156A2D6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w:t>
            </w:r>
          </w:p>
        </w:tc>
        <w:tc>
          <w:tcPr>
            <w:tcW w:w="1080" w:type="dxa"/>
            <w:tcBorders>
              <w:top w:val="nil"/>
              <w:left w:val="nil"/>
              <w:bottom w:val="single" w:color="auto" w:sz="8" w:space="0"/>
              <w:right w:val="single" w:color="auto" w:sz="8" w:space="0"/>
            </w:tcBorders>
            <w:noWrap/>
            <w:vAlign w:val="center"/>
          </w:tcPr>
          <w:p w14:paraId="255CD2A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0.433</w:t>
            </w:r>
          </w:p>
        </w:tc>
        <w:tc>
          <w:tcPr>
            <w:tcW w:w="1080" w:type="dxa"/>
            <w:tcBorders>
              <w:top w:val="nil"/>
              <w:left w:val="nil"/>
              <w:bottom w:val="single" w:color="auto" w:sz="8" w:space="0"/>
              <w:right w:val="single" w:color="auto" w:sz="8" w:space="0"/>
            </w:tcBorders>
            <w:noWrap/>
            <w:vAlign w:val="center"/>
          </w:tcPr>
          <w:p w14:paraId="750A931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0.17 </w:t>
            </w:r>
          </w:p>
        </w:tc>
      </w:tr>
      <w:tr w14:paraId="0C2B468A">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55295675">
            <w:pPr>
              <w:jc w:val="center"/>
              <w:rPr>
                <w:rFonts w:hint="eastAsia"/>
                <w:color w:val="000000"/>
                <w:sz w:val="18"/>
                <w:szCs w:val="18"/>
              </w:rPr>
            </w:pPr>
            <w:r>
              <w:rPr>
                <w:rFonts w:hint="eastAsia"/>
                <w:color w:val="000000"/>
                <w:sz w:val="18"/>
                <w:szCs w:val="18"/>
              </w:rPr>
              <w:t>煤气冷却单元</w:t>
            </w:r>
          </w:p>
        </w:tc>
        <w:tc>
          <w:tcPr>
            <w:tcW w:w="1080" w:type="dxa"/>
            <w:tcBorders>
              <w:top w:val="nil"/>
              <w:left w:val="nil"/>
              <w:bottom w:val="single" w:color="auto" w:sz="8" w:space="0"/>
              <w:right w:val="single" w:color="auto" w:sz="8" w:space="0"/>
            </w:tcBorders>
            <w:vAlign w:val="center"/>
          </w:tcPr>
          <w:p w14:paraId="2DE6BAF2">
            <w:pPr>
              <w:jc w:val="center"/>
              <w:rPr>
                <w:rFonts w:hint="eastAsia"/>
                <w:color w:val="000000"/>
                <w:sz w:val="18"/>
                <w:szCs w:val="18"/>
              </w:rPr>
            </w:pPr>
            <w:r>
              <w:rPr>
                <w:rFonts w:hint="eastAsia"/>
                <w:color w:val="000000"/>
                <w:sz w:val="18"/>
                <w:szCs w:val="18"/>
              </w:rPr>
              <w:t>煤气</w:t>
            </w:r>
          </w:p>
        </w:tc>
        <w:tc>
          <w:tcPr>
            <w:tcW w:w="1080" w:type="dxa"/>
            <w:tcBorders>
              <w:top w:val="nil"/>
              <w:left w:val="nil"/>
              <w:bottom w:val="single" w:color="auto" w:sz="8" w:space="0"/>
              <w:right w:val="single" w:color="auto" w:sz="8" w:space="0"/>
            </w:tcBorders>
            <w:vAlign w:val="center"/>
          </w:tcPr>
          <w:p w14:paraId="079E93B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6996412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94.33</w:t>
            </w:r>
          </w:p>
        </w:tc>
        <w:tc>
          <w:tcPr>
            <w:tcW w:w="1080" w:type="dxa"/>
            <w:tcBorders>
              <w:top w:val="nil"/>
              <w:left w:val="nil"/>
              <w:bottom w:val="single" w:color="auto" w:sz="8" w:space="0"/>
              <w:right w:val="single" w:color="auto" w:sz="8" w:space="0"/>
            </w:tcBorders>
            <w:noWrap/>
            <w:vAlign w:val="center"/>
          </w:tcPr>
          <w:p w14:paraId="444E554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12.58 </w:t>
            </w:r>
          </w:p>
        </w:tc>
      </w:tr>
      <w:tr w14:paraId="12E3041D">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733DCE42">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251EA7AC">
            <w:pPr>
              <w:jc w:val="center"/>
              <w:rPr>
                <w:rFonts w:hint="eastAsia"/>
                <w:color w:val="000000"/>
                <w:sz w:val="18"/>
                <w:szCs w:val="18"/>
              </w:rPr>
            </w:pPr>
            <w:r>
              <w:rPr>
                <w:rFonts w:hint="eastAsia"/>
                <w:color w:val="000000"/>
                <w:sz w:val="18"/>
                <w:szCs w:val="18"/>
              </w:rPr>
              <w:t>硫化氢</w:t>
            </w:r>
          </w:p>
        </w:tc>
        <w:tc>
          <w:tcPr>
            <w:tcW w:w="1080" w:type="dxa"/>
            <w:tcBorders>
              <w:top w:val="nil"/>
              <w:left w:val="nil"/>
              <w:bottom w:val="single" w:color="auto" w:sz="8" w:space="0"/>
              <w:right w:val="single" w:color="auto" w:sz="8" w:space="0"/>
            </w:tcBorders>
            <w:vAlign w:val="center"/>
          </w:tcPr>
          <w:p w14:paraId="2413485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w:t>
            </w:r>
          </w:p>
        </w:tc>
        <w:tc>
          <w:tcPr>
            <w:tcW w:w="1080" w:type="dxa"/>
            <w:tcBorders>
              <w:top w:val="nil"/>
              <w:left w:val="nil"/>
              <w:bottom w:val="single" w:color="auto" w:sz="8" w:space="0"/>
              <w:right w:val="single" w:color="auto" w:sz="8" w:space="0"/>
            </w:tcBorders>
            <w:noWrap/>
            <w:vAlign w:val="center"/>
          </w:tcPr>
          <w:p w14:paraId="12CA860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0.433</w:t>
            </w:r>
          </w:p>
        </w:tc>
        <w:tc>
          <w:tcPr>
            <w:tcW w:w="1080" w:type="dxa"/>
            <w:tcBorders>
              <w:top w:val="nil"/>
              <w:left w:val="nil"/>
              <w:bottom w:val="single" w:color="auto" w:sz="8" w:space="0"/>
              <w:right w:val="single" w:color="auto" w:sz="8" w:space="0"/>
            </w:tcBorders>
            <w:noWrap/>
            <w:vAlign w:val="center"/>
          </w:tcPr>
          <w:p w14:paraId="7E836C6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0.17 </w:t>
            </w:r>
          </w:p>
        </w:tc>
      </w:tr>
      <w:tr w14:paraId="5BBC7143">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2A218BB4">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63F93096">
            <w:pPr>
              <w:jc w:val="center"/>
              <w:rPr>
                <w:rFonts w:hint="eastAsia"/>
                <w:color w:val="000000"/>
                <w:sz w:val="18"/>
                <w:szCs w:val="18"/>
              </w:rPr>
            </w:pPr>
            <w:r>
              <w:rPr>
                <w:rFonts w:hint="eastAsia"/>
                <w:color w:val="000000"/>
                <w:sz w:val="18"/>
                <w:szCs w:val="18"/>
              </w:rPr>
              <w:t>冷却煤气</w:t>
            </w:r>
          </w:p>
        </w:tc>
        <w:tc>
          <w:tcPr>
            <w:tcW w:w="1080" w:type="dxa"/>
            <w:tcBorders>
              <w:top w:val="nil"/>
              <w:left w:val="nil"/>
              <w:bottom w:val="single" w:color="auto" w:sz="8" w:space="0"/>
              <w:right w:val="single" w:color="auto" w:sz="8" w:space="0"/>
            </w:tcBorders>
            <w:vAlign w:val="center"/>
          </w:tcPr>
          <w:p w14:paraId="69C9CD2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7DD0F34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82.39</w:t>
            </w:r>
          </w:p>
        </w:tc>
        <w:tc>
          <w:tcPr>
            <w:tcW w:w="1080" w:type="dxa"/>
            <w:tcBorders>
              <w:top w:val="nil"/>
              <w:left w:val="nil"/>
              <w:bottom w:val="single" w:color="auto" w:sz="8" w:space="0"/>
              <w:right w:val="single" w:color="auto" w:sz="8" w:space="0"/>
            </w:tcBorders>
            <w:noWrap/>
            <w:vAlign w:val="center"/>
          </w:tcPr>
          <w:p w14:paraId="541243B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10.99 </w:t>
            </w:r>
          </w:p>
        </w:tc>
      </w:tr>
      <w:tr w14:paraId="41048A4E">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6751F081">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4D84648C">
            <w:pPr>
              <w:jc w:val="center"/>
              <w:rPr>
                <w:rFonts w:hint="eastAsia"/>
                <w:color w:val="000000"/>
                <w:sz w:val="18"/>
                <w:szCs w:val="18"/>
              </w:rPr>
            </w:pPr>
            <w:r>
              <w:rPr>
                <w:rFonts w:hint="eastAsia"/>
                <w:color w:val="000000"/>
                <w:sz w:val="18"/>
                <w:szCs w:val="18"/>
              </w:rPr>
              <w:t>气提尾气</w:t>
            </w:r>
          </w:p>
        </w:tc>
        <w:tc>
          <w:tcPr>
            <w:tcW w:w="1080" w:type="dxa"/>
            <w:tcBorders>
              <w:top w:val="nil"/>
              <w:left w:val="nil"/>
              <w:bottom w:val="single" w:color="auto" w:sz="8" w:space="0"/>
              <w:right w:val="single" w:color="auto" w:sz="8" w:space="0"/>
            </w:tcBorders>
            <w:vAlign w:val="center"/>
          </w:tcPr>
          <w:p w14:paraId="6B1226F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326E0FA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0.79</w:t>
            </w:r>
          </w:p>
        </w:tc>
        <w:tc>
          <w:tcPr>
            <w:tcW w:w="1080" w:type="dxa"/>
            <w:tcBorders>
              <w:top w:val="nil"/>
              <w:left w:val="nil"/>
              <w:bottom w:val="single" w:color="auto" w:sz="8" w:space="0"/>
              <w:right w:val="single" w:color="auto" w:sz="8" w:space="0"/>
            </w:tcBorders>
            <w:noWrap/>
            <w:vAlign w:val="center"/>
          </w:tcPr>
          <w:p w14:paraId="435C250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0.11 </w:t>
            </w:r>
          </w:p>
        </w:tc>
      </w:tr>
      <w:tr w14:paraId="5FAE33F5">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663A9E3C">
            <w:pPr>
              <w:jc w:val="center"/>
              <w:rPr>
                <w:rFonts w:hint="eastAsia"/>
                <w:color w:val="000000"/>
                <w:sz w:val="18"/>
                <w:szCs w:val="18"/>
              </w:rPr>
            </w:pPr>
            <w:r>
              <w:rPr>
                <w:rFonts w:hint="eastAsia"/>
                <w:color w:val="000000"/>
                <w:sz w:val="18"/>
                <w:szCs w:val="18"/>
              </w:rPr>
              <w:t>酸性气体脱除单元</w:t>
            </w:r>
          </w:p>
        </w:tc>
        <w:tc>
          <w:tcPr>
            <w:tcW w:w="1080" w:type="dxa"/>
            <w:tcBorders>
              <w:top w:val="nil"/>
              <w:left w:val="nil"/>
              <w:bottom w:val="single" w:color="auto" w:sz="8" w:space="0"/>
              <w:right w:val="single" w:color="auto" w:sz="8" w:space="0"/>
            </w:tcBorders>
            <w:vAlign w:val="center"/>
          </w:tcPr>
          <w:p w14:paraId="71D56412">
            <w:pPr>
              <w:jc w:val="center"/>
              <w:rPr>
                <w:rFonts w:hint="eastAsia"/>
                <w:color w:val="000000"/>
                <w:sz w:val="18"/>
                <w:szCs w:val="18"/>
              </w:rPr>
            </w:pPr>
            <w:r>
              <w:rPr>
                <w:rFonts w:hint="eastAsia"/>
                <w:color w:val="000000"/>
                <w:sz w:val="18"/>
                <w:szCs w:val="18"/>
              </w:rPr>
              <w:t>甲醇</w:t>
            </w:r>
          </w:p>
        </w:tc>
        <w:tc>
          <w:tcPr>
            <w:tcW w:w="1080" w:type="dxa"/>
            <w:tcBorders>
              <w:top w:val="nil"/>
              <w:left w:val="nil"/>
              <w:bottom w:val="single" w:color="auto" w:sz="8" w:space="0"/>
              <w:right w:val="single" w:color="auto" w:sz="8" w:space="0"/>
            </w:tcBorders>
            <w:vAlign w:val="center"/>
          </w:tcPr>
          <w:p w14:paraId="226D058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4B7A7AD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2.19</w:t>
            </w:r>
          </w:p>
        </w:tc>
        <w:tc>
          <w:tcPr>
            <w:tcW w:w="1080" w:type="dxa"/>
            <w:tcBorders>
              <w:top w:val="nil"/>
              <w:left w:val="nil"/>
              <w:bottom w:val="single" w:color="auto" w:sz="8" w:space="0"/>
              <w:right w:val="single" w:color="auto" w:sz="8" w:space="0"/>
            </w:tcBorders>
            <w:noWrap/>
            <w:vAlign w:val="center"/>
          </w:tcPr>
          <w:p w14:paraId="34C75FA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0.22 </w:t>
            </w:r>
          </w:p>
        </w:tc>
      </w:tr>
      <w:tr w14:paraId="3AA58DA4">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390C1C1D">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209F63C5">
            <w:pPr>
              <w:jc w:val="center"/>
              <w:rPr>
                <w:rFonts w:hint="eastAsia"/>
                <w:color w:val="000000"/>
                <w:sz w:val="18"/>
                <w:szCs w:val="18"/>
              </w:rPr>
            </w:pPr>
            <w:r>
              <w:rPr>
                <w:rFonts w:hint="eastAsia"/>
                <w:color w:val="000000"/>
                <w:sz w:val="18"/>
                <w:szCs w:val="18"/>
              </w:rPr>
              <w:t>冷却煤气</w:t>
            </w:r>
          </w:p>
        </w:tc>
        <w:tc>
          <w:tcPr>
            <w:tcW w:w="1080" w:type="dxa"/>
            <w:tcBorders>
              <w:top w:val="nil"/>
              <w:left w:val="nil"/>
              <w:bottom w:val="single" w:color="auto" w:sz="8" w:space="0"/>
              <w:right w:val="single" w:color="auto" w:sz="8" w:space="0"/>
            </w:tcBorders>
            <w:vAlign w:val="center"/>
          </w:tcPr>
          <w:p w14:paraId="1DC3513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69104E6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82.39</w:t>
            </w:r>
          </w:p>
        </w:tc>
        <w:tc>
          <w:tcPr>
            <w:tcW w:w="1080" w:type="dxa"/>
            <w:tcBorders>
              <w:top w:val="nil"/>
              <w:left w:val="nil"/>
              <w:bottom w:val="single" w:color="auto" w:sz="8" w:space="0"/>
              <w:right w:val="single" w:color="auto" w:sz="8" w:space="0"/>
            </w:tcBorders>
            <w:noWrap/>
            <w:vAlign w:val="center"/>
          </w:tcPr>
          <w:p w14:paraId="319BA21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10.99 </w:t>
            </w:r>
          </w:p>
        </w:tc>
      </w:tr>
      <w:tr w14:paraId="2599E2C0">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7C37A524">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7DC74ABD">
            <w:pPr>
              <w:jc w:val="center"/>
              <w:rPr>
                <w:rFonts w:hint="eastAsia"/>
                <w:color w:val="000000"/>
                <w:sz w:val="18"/>
                <w:szCs w:val="18"/>
              </w:rPr>
            </w:pPr>
            <w:r>
              <w:rPr>
                <w:rFonts w:hint="eastAsia"/>
                <w:color w:val="000000"/>
                <w:sz w:val="18"/>
                <w:szCs w:val="18"/>
              </w:rPr>
              <w:t>净化气</w:t>
            </w:r>
          </w:p>
        </w:tc>
        <w:tc>
          <w:tcPr>
            <w:tcW w:w="1080" w:type="dxa"/>
            <w:tcBorders>
              <w:top w:val="nil"/>
              <w:left w:val="nil"/>
              <w:bottom w:val="single" w:color="auto" w:sz="8" w:space="0"/>
              <w:right w:val="single" w:color="auto" w:sz="8" w:space="0"/>
            </w:tcBorders>
            <w:vAlign w:val="center"/>
          </w:tcPr>
          <w:p w14:paraId="618B2DD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3369A03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56.8</w:t>
            </w:r>
          </w:p>
        </w:tc>
        <w:tc>
          <w:tcPr>
            <w:tcW w:w="1080" w:type="dxa"/>
            <w:tcBorders>
              <w:top w:val="nil"/>
              <w:left w:val="nil"/>
              <w:bottom w:val="single" w:color="auto" w:sz="8" w:space="0"/>
              <w:right w:val="single" w:color="auto" w:sz="8" w:space="0"/>
            </w:tcBorders>
            <w:noWrap/>
            <w:vAlign w:val="center"/>
          </w:tcPr>
          <w:p w14:paraId="7633358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7.57 </w:t>
            </w:r>
          </w:p>
        </w:tc>
      </w:tr>
      <w:tr w14:paraId="4CC7709A">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1B9C9DB8">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625B57A2">
            <w:pPr>
              <w:jc w:val="center"/>
              <w:rPr>
                <w:rFonts w:hint="eastAsia"/>
                <w:color w:val="000000"/>
                <w:sz w:val="18"/>
                <w:szCs w:val="18"/>
              </w:rPr>
            </w:pPr>
            <w:r>
              <w:rPr>
                <w:rFonts w:hint="eastAsia"/>
                <w:color w:val="000000"/>
                <w:sz w:val="18"/>
                <w:szCs w:val="18"/>
              </w:rPr>
              <w:t>酸性气</w:t>
            </w:r>
          </w:p>
        </w:tc>
        <w:tc>
          <w:tcPr>
            <w:tcW w:w="1080" w:type="dxa"/>
            <w:tcBorders>
              <w:top w:val="nil"/>
              <w:left w:val="nil"/>
              <w:bottom w:val="single" w:color="auto" w:sz="8" w:space="0"/>
              <w:right w:val="single" w:color="auto" w:sz="8" w:space="0"/>
            </w:tcBorders>
            <w:vAlign w:val="center"/>
          </w:tcPr>
          <w:p w14:paraId="653DE01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11CB482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2.66</w:t>
            </w:r>
          </w:p>
        </w:tc>
        <w:tc>
          <w:tcPr>
            <w:tcW w:w="1080" w:type="dxa"/>
            <w:tcBorders>
              <w:top w:val="nil"/>
              <w:left w:val="nil"/>
              <w:bottom w:val="single" w:color="auto" w:sz="8" w:space="0"/>
              <w:right w:val="single" w:color="auto" w:sz="8" w:space="0"/>
            </w:tcBorders>
            <w:noWrap/>
            <w:vAlign w:val="center"/>
          </w:tcPr>
          <w:p w14:paraId="3E9A9EB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0.35 </w:t>
            </w:r>
          </w:p>
        </w:tc>
      </w:tr>
      <w:tr w14:paraId="165B00E5">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1A379E89">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62C9B865">
            <w:pPr>
              <w:jc w:val="center"/>
              <w:rPr>
                <w:rFonts w:hint="eastAsia"/>
                <w:color w:val="000000"/>
                <w:sz w:val="18"/>
                <w:szCs w:val="18"/>
              </w:rPr>
            </w:pPr>
            <w:r>
              <w:rPr>
                <w:rFonts w:hint="eastAsia"/>
                <w:color w:val="000000"/>
                <w:sz w:val="18"/>
                <w:szCs w:val="18"/>
              </w:rPr>
              <w:t>硫化氢</w:t>
            </w:r>
          </w:p>
        </w:tc>
        <w:tc>
          <w:tcPr>
            <w:tcW w:w="1080" w:type="dxa"/>
            <w:tcBorders>
              <w:top w:val="nil"/>
              <w:left w:val="nil"/>
              <w:bottom w:val="single" w:color="auto" w:sz="8" w:space="0"/>
              <w:right w:val="single" w:color="auto" w:sz="8" w:space="0"/>
            </w:tcBorders>
            <w:vAlign w:val="center"/>
          </w:tcPr>
          <w:p w14:paraId="6FB3F79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w:t>
            </w:r>
          </w:p>
        </w:tc>
        <w:tc>
          <w:tcPr>
            <w:tcW w:w="1080" w:type="dxa"/>
            <w:tcBorders>
              <w:top w:val="nil"/>
              <w:left w:val="nil"/>
              <w:bottom w:val="single" w:color="auto" w:sz="8" w:space="0"/>
              <w:right w:val="single" w:color="auto" w:sz="8" w:space="0"/>
            </w:tcBorders>
            <w:noWrap/>
            <w:vAlign w:val="center"/>
          </w:tcPr>
          <w:p w14:paraId="662E7A8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0.307</w:t>
            </w:r>
          </w:p>
        </w:tc>
        <w:tc>
          <w:tcPr>
            <w:tcW w:w="1080" w:type="dxa"/>
            <w:tcBorders>
              <w:top w:val="nil"/>
              <w:left w:val="nil"/>
              <w:bottom w:val="single" w:color="auto" w:sz="8" w:space="0"/>
              <w:right w:val="single" w:color="auto" w:sz="8" w:space="0"/>
            </w:tcBorders>
            <w:noWrap/>
            <w:vAlign w:val="center"/>
          </w:tcPr>
          <w:p w14:paraId="202068A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0.12 </w:t>
            </w:r>
          </w:p>
        </w:tc>
      </w:tr>
      <w:tr w14:paraId="72E7036B">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3C3E163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CO</w:t>
            </w:r>
            <w:r>
              <w:rPr>
                <w:rFonts w:hint="eastAsia" w:cs="Times New Roman"/>
                <w:color w:val="000000"/>
                <w:sz w:val="18"/>
                <w:szCs w:val="18"/>
              </w:rPr>
              <w:t>深冷分离单元</w:t>
            </w:r>
          </w:p>
        </w:tc>
        <w:tc>
          <w:tcPr>
            <w:tcW w:w="1080" w:type="dxa"/>
            <w:tcBorders>
              <w:top w:val="nil"/>
              <w:left w:val="nil"/>
              <w:bottom w:val="single" w:color="auto" w:sz="8" w:space="0"/>
              <w:right w:val="single" w:color="auto" w:sz="8" w:space="0"/>
            </w:tcBorders>
            <w:vAlign w:val="center"/>
          </w:tcPr>
          <w:p w14:paraId="34E68788">
            <w:pPr>
              <w:jc w:val="center"/>
              <w:rPr>
                <w:rFonts w:hint="eastAsia"/>
                <w:color w:val="000000"/>
                <w:sz w:val="18"/>
                <w:szCs w:val="18"/>
              </w:rPr>
            </w:pPr>
            <w:r>
              <w:rPr>
                <w:rFonts w:hint="eastAsia"/>
                <w:color w:val="000000"/>
                <w:sz w:val="18"/>
                <w:szCs w:val="18"/>
              </w:rPr>
              <w:t>净化气</w:t>
            </w:r>
          </w:p>
        </w:tc>
        <w:tc>
          <w:tcPr>
            <w:tcW w:w="1080" w:type="dxa"/>
            <w:tcBorders>
              <w:top w:val="nil"/>
              <w:left w:val="nil"/>
              <w:bottom w:val="single" w:color="auto" w:sz="8" w:space="0"/>
              <w:right w:val="single" w:color="auto" w:sz="8" w:space="0"/>
            </w:tcBorders>
            <w:vAlign w:val="center"/>
          </w:tcPr>
          <w:p w14:paraId="0AEA408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57BB3A6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56.8</w:t>
            </w:r>
          </w:p>
        </w:tc>
        <w:tc>
          <w:tcPr>
            <w:tcW w:w="1080" w:type="dxa"/>
            <w:tcBorders>
              <w:top w:val="nil"/>
              <w:left w:val="nil"/>
              <w:bottom w:val="single" w:color="auto" w:sz="8" w:space="0"/>
              <w:right w:val="single" w:color="auto" w:sz="8" w:space="0"/>
            </w:tcBorders>
            <w:noWrap/>
            <w:vAlign w:val="center"/>
          </w:tcPr>
          <w:p w14:paraId="44BBC7A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7.57 </w:t>
            </w:r>
          </w:p>
        </w:tc>
      </w:tr>
      <w:tr w14:paraId="388D2CAD">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237B1117">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434B648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CO</w:t>
            </w:r>
            <w:r>
              <w:rPr>
                <w:rFonts w:hint="eastAsia" w:cs="Times New Roman"/>
                <w:color w:val="000000"/>
                <w:sz w:val="18"/>
                <w:szCs w:val="18"/>
              </w:rPr>
              <w:t>气</w:t>
            </w:r>
          </w:p>
        </w:tc>
        <w:tc>
          <w:tcPr>
            <w:tcW w:w="1080" w:type="dxa"/>
            <w:tcBorders>
              <w:top w:val="nil"/>
              <w:left w:val="nil"/>
              <w:bottom w:val="single" w:color="auto" w:sz="8" w:space="0"/>
              <w:right w:val="single" w:color="auto" w:sz="8" w:space="0"/>
            </w:tcBorders>
            <w:vAlign w:val="center"/>
          </w:tcPr>
          <w:p w14:paraId="3E5BE88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66F4754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41.3</w:t>
            </w:r>
          </w:p>
        </w:tc>
        <w:tc>
          <w:tcPr>
            <w:tcW w:w="1080" w:type="dxa"/>
            <w:tcBorders>
              <w:top w:val="nil"/>
              <w:left w:val="nil"/>
              <w:bottom w:val="single" w:color="auto" w:sz="8" w:space="0"/>
              <w:right w:val="single" w:color="auto" w:sz="8" w:space="0"/>
            </w:tcBorders>
            <w:noWrap/>
            <w:vAlign w:val="center"/>
          </w:tcPr>
          <w:p w14:paraId="4B45319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5.51 </w:t>
            </w:r>
          </w:p>
        </w:tc>
      </w:tr>
      <w:tr w14:paraId="0AF680A7">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1AF7BE1E">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2D455380">
            <w:pPr>
              <w:jc w:val="center"/>
              <w:rPr>
                <w:rFonts w:hint="eastAsia"/>
                <w:color w:val="000000"/>
                <w:sz w:val="18"/>
                <w:szCs w:val="18"/>
              </w:rPr>
            </w:pPr>
            <w:r>
              <w:rPr>
                <w:rFonts w:hint="eastAsia"/>
                <w:color w:val="000000"/>
                <w:sz w:val="18"/>
                <w:szCs w:val="18"/>
              </w:rPr>
              <w:t>闪蒸气</w:t>
            </w:r>
          </w:p>
        </w:tc>
        <w:tc>
          <w:tcPr>
            <w:tcW w:w="1080" w:type="dxa"/>
            <w:tcBorders>
              <w:top w:val="nil"/>
              <w:left w:val="nil"/>
              <w:bottom w:val="single" w:color="auto" w:sz="8" w:space="0"/>
              <w:right w:val="single" w:color="auto" w:sz="8" w:space="0"/>
            </w:tcBorders>
            <w:vAlign w:val="center"/>
          </w:tcPr>
          <w:p w14:paraId="57A11DB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5AFE6CA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4.19</w:t>
            </w:r>
          </w:p>
        </w:tc>
        <w:tc>
          <w:tcPr>
            <w:tcW w:w="1080" w:type="dxa"/>
            <w:tcBorders>
              <w:top w:val="nil"/>
              <w:left w:val="nil"/>
              <w:bottom w:val="single" w:color="auto" w:sz="8" w:space="0"/>
              <w:right w:val="single" w:color="auto" w:sz="8" w:space="0"/>
            </w:tcBorders>
            <w:noWrap/>
            <w:vAlign w:val="center"/>
          </w:tcPr>
          <w:p w14:paraId="6D9BBEE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0.56 </w:t>
            </w:r>
          </w:p>
        </w:tc>
      </w:tr>
      <w:tr w14:paraId="728CA96A">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2DB24216">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2A9E216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CO</w:t>
            </w:r>
            <w:r>
              <w:rPr>
                <w:rFonts w:hint="eastAsia" w:cs="Times New Roman"/>
                <w:color w:val="000000"/>
                <w:sz w:val="18"/>
                <w:szCs w:val="18"/>
              </w:rPr>
              <w:t>深冷分离放空气</w:t>
            </w:r>
          </w:p>
        </w:tc>
        <w:tc>
          <w:tcPr>
            <w:tcW w:w="1080" w:type="dxa"/>
            <w:tcBorders>
              <w:top w:val="nil"/>
              <w:left w:val="nil"/>
              <w:bottom w:val="single" w:color="auto" w:sz="8" w:space="0"/>
              <w:right w:val="single" w:color="auto" w:sz="8" w:space="0"/>
            </w:tcBorders>
            <w:vAlign w:val="center"/>
          </w:tcPr>
          <w:p w14:paraId="0F745D5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7E2D7BD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8.01</w:t>
            </w:r>
          </w:p>
        </w:tc>
        <w:tc>
          <w:tcPr>
            <w:tcW w:w="1080" w:type="dxa"/>
            <w:tcBorders>
              <w:top w:val="nil"/>
              <w:left w:val="nil"/>
              <w:bottom w:val="single" w:color="auto" w:sz="8" w:space="0"/>
              <w:right w:val="single" w:color="auto" w:sz="8" w:space="0"/>
            </w:tcBorders>
            <w:noWrap/>
            <w:vAlign w:val="center"/>
          </w:tcPr>
          <w:p w14:paraId="31F3D70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1.07 </w:t>
            </w:r>
          </w:p>
        </w:tc>
      </w:tr>
      <w:tr w14:paraId="4B78957C">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194C361B">
            <w:pPr>
              <w:jc w:val="center"/>
              <w:rPr>
                <w:rFonts w:hint="eastAsia"/>
                <w:color w:val="000000"/>
                <w:sz w:val="18"/>
                <w:szCs w:val="18"/>
              </w:rPr>
            </w:pPr>
            <w:r>
              <w:rPr>
                <w:rFonts w:hint="eastAsia"/>
                <w:color w:val="000000"/>
                <w:sz w:val="18"/>
                <w:szCs w:val="18"/>
              </w:rPr>
              <w:t>硫回收单元</w:t>
            </w:r>
          </w:p>
        </w:tc>
        <w:tc>
          <w:tcPr>
            <w:tcW w:w="1080" w:type="dxa"/>
            <w:tcBorders>
              <w:top w:val="nil"/>
              <w:left w:val="nil"/>
              <w:bottom w:val="single" w:color="auto" w:sz="8" w:space="0"/>
              <w:right w:val="single" w:color="auto" w:sz="8" w:space="0"/>
            </w:tcBorders>
            <w:vAlign w:val="center"/>
          </w:tcPr>
          <w:p w14:paraId="1BC4612F">
            <w:pPr>
              <w:jc w:val="center"/>
              <w:rPr>
                <w:rFonts w:hint="eastAsia"/>
                <w:color w:val="000000"/>
                <w:sz w:val="18"/>
                <w:szCs w:val="18"/>
              </w:rPr>
            </w:pPr>
            <w:r>
              <w:rPr>
                <w:rFonts w:hint="eastAsia"/>
                <w:color w:val="000000"/>
                <w:sz w:val="18"/>
                <w:szCs w:val="18"/>
              </w:rPr>
              <w:t>酸性气</w:t>
            </w:r>
          </w:p>
        </w:tc>
        <w:tc>
          <w:tcPr>
            <w:tcW w:w="1080" w:type="dxa"/>
            <w:tcBorders>
              <w:top w:val="nil"/>
              <w:left w:val="nil"/>
              <w:bottom w:val="single" w:color="auto" w:sz="8" w:space="0"/>
              <w:right w:val="single" w:color="auto" w:sz="8" w:space="0"/>
            </w:tcBorders>
            <w:vAlign w:val="center"/>
          </w:tcPr>
          <w:p w14:paraId="57D1047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08A5328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6.31</w:t>
            </w:r>
          </w:p>
        </w:tc>
        <w:tc>
          <w:tcPr>
            <w:tcW w:w="1080" w:type="dxa"/>
            <w:tcBorders>
              <w:top w:val="nil"/>
              <w:left w:val="nil"/>
              <w:bottom w:val="single" w:color="auto" w:sz="8" w:space="0"/>
              <w:right w:val="single" w:color="auto" w:sz="8" w:space="0"/>
            </w:tcBorders>
            <w:noWrap/>
            <w:vAlign w:val="center"/>
          </w:tcPr>
          <w:p w14:paraId="448F609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0.84 </w:t>
            </w:r>
          </w:p>
        </w:tc>
      </w:tr>
      <w:tr w14:paraId="30CC3D4D">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6C0B84B8">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10EF7C69">
            <w:pPr>
              <w:jc w:val="center"/>
              <w:rPr>
                <w:rFonts w:hint="eastAsia"/>
                <w:color w:val="000000"/>
                <w:sz w:val="18"/>
                <w:szCs w:val="18"/>
              </w:rPr>
            </w:pPr>
            <w:r>
              <w:rPr>
                <w:rFonts w:hint="eastAsia"/>
                <w:color w:val="000000"/>
                <w:sz w:val="18"/>
                <w:szCs w:val="18"/>
              </w:rPr>
              <w:t>硫酸</w:t>
            </w:r>
          </w:p>
        </w:tc>
        <w:tc>
          <w:tcPr>
            <w:tcW w:w="1080" w:type="dxa"/>
            <w:tcBorders>
              <w:top w:val="nil"/>
              <w:left w:val="nil"/>
              <w:bottom w:val="single" w:color="auto" w:sz="8" w:space="0"/>
              <w:right w:val="single" w:color="auto" w:sz="8" w:space="0"/>
            </w:tcBorders>
            <w:vAlign w:val="center"/>
          </w:tcPr>
          <w:p w14:paraId="4E847B7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4B8194B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1.678</w:t>
            </w:r>
          </w:p>
        </w:tc>
        <w:tc>
          <w:tcPr>
            <w:tcW w:w="1080" w:type="dxa"/>
            <w:tcBorders>
              <w:top w:val="nil"/>
              <w:left w:val="nil"/>
              <w:bottom w:val="single" w:color="auto" w:sz="8" w:space="0"/>
              <w:right w:val="single" w:color="auto" w:sz="8" w:space="0"/>
            </w:tcBorders>
            <w:noWrap/>
            <w:vAlign w:val="center"/>
          </w:tcPr>
          <w:p w14:paraId="45322BE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0.17 </w:t>
            </w:r>
          </w:p>
        </w:tc>
      </w:tr>
      <w:tr w14:paraId="5498401A">
        <w:tblPrEx>
          <w:tblCellMar>
            <w:top w:w="0" w:type="dxa"/>
            <w:left w:w="108" w:type="dxa"/>
            <w:bottom w:w="0" w:type="dxa"/>
            <w:right w:w="108" w:type="dxa"/>
          </w:tblCellMar>
        </w:tblPrEx>
        <w:trPr>
          <w:trHeight w:val="284" w:hRule="atLeast"/>
          <w:jc w:val="center"/>
        </w:trPr>
        <w:tc>
          <w:tcPr>
            <w:tcW w:w="1080" w:type="dxa"/>
            <w:tcBorders>
              <w:top w:val="nil"/>
              <w:left w:val="single" w:color="auto" w:sz="8" w:space="0"/>
              <w:bottom w:val="single" w:color="auto" w:sz="8" w:space="0"/>
              <w:right w:val="single" w:color="auto" w:sz="8" w:space="0"/>
            </w:tcBorders>
            <w:vAlign w:val="center"/>
          </w:tcPr>
          <w:p w14:paraId="265885C5">
            <w:pPr>
              <w:jc w:val="center"/>
              <w:rPr>
                <w:rFonts w:hint="eastAsia"/>
                <w:color w:val="000000"/>
                <w:sz w:val="18"/>
                <w:szCs w:val="18"/>
              </w:rPr>
            </w:pPr>
            <w:r>
              <w:rPr>
                <w:rFonts w:hint="eastAsia"/>
                <w:color w:val="000000"/>
                <w:sz w:val="18"/>
                <w:szCs w:val="18"/>
              </w:rPr>
              <w:t>合成氨装置</w:t>
            </w:r>
          </w:p>
        </w:tc>
        <w:tc>
          <w:tcPr>
            <w:tcW w:w="1080" w:type="dxa"/>
            <w:tcBorders>
              <w:top w:val="nil"/>
              <w:left w:val="nil"/>
              <w:bottom w:val="single" w:color="auto" w:sz="8" w:space="0"/>
              <w:right w:val="single" w:color="auto" w:sz="8" w:space="0"/>
            </w:tcBorders>
            <w:vAlign w:val="center"/>
          </w:tcPr>
          <w:p w14:paraId="2D10A564">
            <w:pPr>
              <w:jc w:val="center"/>
              <w:rPr>
                <w:rFonts w:hint="eastAsia"/>
                <w:color w:val="000000"/>
                <w:sz w:val="18"/>
                <w:szCs w:val="18"/>
              </w:rPr>
            </w:pPr>
            <w:r>
              <w:rPr>
                <w:rFonts w:hint="eastAsia"/>
                <w:color w:val="000000"/>
                <w:sz w:val="18"/>
                <w:szCs w:val="18"/>
              </w:rPr>
              <w:t>液氨</w:t>
            </w:r>
          </w:p>
        </w:tc>
        <w:tc>
          <w:tcPr>
            <w:tcW w:w="1080" w:type="dxa"/>
            <w:tcBorders>
              <w:top w:val="nil"/>
              <w:left w:val="nil"/>
              <w:bottom w:val="single" w:color="auto" w:sz="8" w:space="0"/>
              <w:right w:val="single" w:color="auto" w:sz="8" w:space="0"/>
            </w:tcBorders>
            <w:vAlign w:val="center"/>
          </w:tcPr>
          <w:p w14:paraId="72A5CA7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5D55089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36.79</w:t>
            </w:r>
          </w:p>
        </w:tc>
        <w:tc>
          <w:tcPr>
            <w:tcW w:w="1080" w:type="dxa"/>
            <w:tcBorders>
              <w:top w:val="nil"/>
              <w:left w:val="nil"/>
              <w:bottom w:val="single" w:color="auto" w:sz="8" w:space="0"/>
              <w:right w:val="single" w:color="auto" w:sz="8" w:space="0"/>
            </w:tcBorders>
            <w:noWrap/>
            <w:vAlign w:val="center"/>
          </w:tcPr>
          <w:p w14:paraId="2237DFF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7.36 </w:t>
            </w:r>
          </w:p>
        </w:tc>
      </w:tr>
      <w:tr w14:paraId="5B0AC09E">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6FE00DD1">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DMO</w:t>
            </w:r>
            <w:r>
              <w:rPr>
                <w:rFonts w:hint="eastAsia" w:cs="Times New Roman"/>
                <w:color w:val="000000"/>
                <w:sz w:val="18"/>
                <w:szCs w:val="18"/>
              </w:rPr>
              <w:t>装置</w:t>
            </w:r>
          </w:p>
        </w:tc>
        <w:tc>
          <w:tcPr>
            <w:tcW w:w="1080" w:type="dxa"/>
            <w:tcBorders>
              <w:top w:val="nil"/>
              <w:left w:val="nil"/>
              <w:bottom w:val="single" w:color="auto" w:sz="8" w:space="0"/>
              <w:right w:val="single" w:color="auto" w:sz="8" w:space="0"/>
            </w:tcBorders>
            <w:vAlign w:val="center"/>
          </w:tcPr>
          <w:p w14:paraId="017F0C1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CO</w:t>
            </w:r>
            <w:r>
              <w:rPr>
                <w:rFonts w:hint="eastAsia" w:cs="Times New Roman"/>
                <w:color w:val="000000"/>
                <w:sz w:val="18"/>
                <w:szCs w:val="18"/>
              </w:rPr>
              <w:t>气体</w:t>
            </w:r>
          </w:p>
        </w:tc>
        <w:tc>
          <w:tcPr>
            <w:tcW w:w="1080" w:type="dxa"/>
            <w:tcBorders>
              <w:top w:val="nil"/>
              <w:left w:val="nil"/>
              <w:bottom w:val="single" w:color="auto" w:sz="8" w:space="0"/>
              <w:right w:val="single" w:color="auto" w:sz="8" w:space="0"/>
            </w:tcBorders>
            <w:vAlign w:val="center"/>
          </w:tcPr>
          <w:p w14:paraId="020020F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59FE075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41.3</w:t>
            </w:r>
          </w:p>
        </w:tc>
        <w:tc>
          <w:tcPr>
            <w:tcW w:w="1080" w:type="dxa"/>
            <w:tcBorders>
              <w:top w:val="nil"/>
              <w:left w:val="nil"/>
              <w:bottom w:val="single" w:color="auto" w:sz="8" w:space="0"/>
              <w:right w:val="single" w:color="auto" w:sz="8" w:space="0"/>
            </w:tcBorders>
            <w:noWrap/>
            <w:vAlign w:val="center"/>
          </w:tcPr>
          <w:p w14:paraId="016D596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5.51 </w:t>
            </w:r>
          </w:p>
        </w:tc>
      </w:tr>
      <w:tr w14:paraId="1D318B44">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468C5A32">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116D0B94">
            <w:pPr>
              <w:jc w:val="center"/>
              <w:rPr>
                <w:rFonts w:hint="eastAsia"/>
                <w:color w:val="000000"/>
                <w:sz w:val="18"/>
                <w:szCs w:val="18"/>
              </w:rPr>
            </w:pPr>
            <w:r>
              <w:rPr>
                <w:rFonts w:hint="eastAsia"/>
                <w:color w:val="000000"/>
                <w:sz w:val="18"/>
                <w:szCs w:val="18"/>
              </w:rPr>
              <w:t>甲醇</w:t>
            </w:r>
          </w:p>
        </w:tc>
        <w:tc>
          <w:tcPr>
            <w:tcW w:w="1080" w:type="dxa"/>
            <w:tcBorders>
              <w:top w:val="nil"/>
              <w:left w:val="nil"/>
              <w:bottom w:val="single" w:color="auto" w:sz="8" w:space="0"/>
              <w:right w:val="single" w:color="auto" w:sz="8" w:space="0"/>
            </w:tcBorders>
            <w:vAlign w:val="center"/>
          </w:tcPr>
          <w:p w14:paraId="1F61F75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0C59D45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47.07</w:t>
            </w:r>
          </w:p>
        </w:tc>
        <w:tc>
          <w:tcPr>
            <w:tcW w:w="1080" w:type="dxa"/>
            <w:tcBorders>
              <w:top w:val="nil"/>
              <w:left w:val="nil"/>
              <w:bottom w:val="single" w:color="auto" w:sz="8" w:space="0"/>
              <w:right w:val="single" w:color="auto" w:sz="8" w:space="0"/>
            </w:tcBorders>
            <w:noWrap/>
            <w:vAlign w:val="center"/>
          </w:tcPr>
          <w:p w14:paraId="6D34C9E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4.71 </w:t>
            </w:r>
          </w:p>
        </w:tc>
      </w:tr>
      <w:tr w14:paraId="61A9A573">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10B870F8">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0ED2959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68%</w:t>
            </w:r>
            <w:r>
              <w:rPr>
                <w:rFonts w:hint="eastAsia" w:cs="Times New Roman"/>
                <w:color w:val="000000"/>
                <w:sz w:val="18"/>
                <w:szCs w:val="18"/>
              </w:rPr>
              <w:t>硝酸</w:t>
            </w:r>
          </w:p>
        </w:tc>
        <w:tc>
          <w:tcPr>
            <w:tcW w:w="1080" w:type="dxa"/>
            <w:tcBorders>
              <w:top w:val="nil"/>
              <w:left w:val="nil"/>
              <w:bottom w:val="single" w:color="auto" w:sz="8" w:space="0"/>
              <w:right w:val="single" w:color="auto" w:sz="8" w:space="0"/>
            </w:tcBorders>
            <w:vAlign w:val="center"/>
          </w:tcPr>
          <w:p w14:paraId="3FC17DE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7D06C0C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0.066</w:t>
            </w:r>
          </w:p>
        </w:tc>
        <w:tc>
          <w:tcPr>
            <w:tcW w:w="1080" w:type="dxa"/>
            <w:tcBorders>
              <w:top w:val="nil"/>
              <w:left w:val="nil"/>
              <w:bottom w:val="single" w:color="auto" w:sz="8" w:space="0"/>
              <w:right w:val="single" w:color="auto" w:sz="8" w:space="0"/>
            </w:tcBorders>
            <w:noWrap/>
            <w:vAlign w:val="center"/>
          </w:tcPr>
          <w:p w14:paraId="071F952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0.01 </w:t>
            </w:r>
          </w:p>
        </w:tc>
      </w:tr>
      <w:tr w14:paraId="179BE589">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443D1407">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763635E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DMC</w:t>
            </w:r>
          </w:p>
        </w:tc>
        <w:tc>
          <w:tcPr>
            <w:tcW w:w="1080" w:type="dxa"/>
            <w:tcBorders>
              <w:top w:val="nil"/>
              <w:left w:val="nil"/>
              <w:bottom w:val="single" w:color="auto" w:sz="8" w:space="0"/>
              <w:right w:val="single" w:color="auto" w:sz="8" w:space="0"/>
            </w:tcBorders>
            <w:vAlign w:val="center"/>
          </w:tcPr>
          <w:p w14:paraId="18BF6F5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031FE0F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2.3</w:t>
            </w:r>
          </w:p>
        </w:tc>
        <w:tc>
          <w:tcPr>
            <w:tcW w:w="1080" w:type="dxa"/>
            <w:tcBorders>
              <w:top w:val="nil"/>
              <w:left w:val="nil"/>
              <w:bottom w:val="single" w:color="auto" w:sz="8" w:space="0"/>
              <w:right w:val="single" w:color="auto" w:sz="8" w:space="0"/>
            </w:tcBorders>
            <w:noWrap/>
            <w:vAlign w:val="center"/>
          </w:tcPr>
          <w:p w14:paraId="7906DEB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0.46 </w:t>
            </w:r>
          </w:p>
        </w:tc>
      </w:tr>
      <w:tr w14:paraId="62CB7A41">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52C18053">
            <w:pPr>
              <w:rPr>
                <w:rFonts w:ascii="Times New Roman" w:hAnsi="Times New Roman" w:eastAsia="等线" w:cs="Times New Roman"/>
                <w:color w:val="000000"/>
                <w:sz w:val="18"/>
                <w:szCs w:val="18"/>
              </w:rPr>
            </w:pPr>
          </w:p>
        </w:tc>
        <w:tc>
          <w:tcPr>
            <w:tcW w:w="1080" w:type="dxa"/>
            <w:tcBorders>
              <w:top w:val="nil"/>
              <w:left w:val="nil"/>
              <w:bottom w:val="single" w:color="auto" w:sz="8" w:space="0"/>
              <w:right w:val="single" w:color="auto" w:sz="8" w:space="0"/>
            </w:tcBorders>
            <w:vAlign w:val="center"/>
          </w:tcPr>
          <w:p w14:paraId="6464DBE6">
            <w:pPr>
              <w:jc w:val="center"/>
              <w:rPr>
                <w:rFonts w:hint="eastAsia"/>
                <w:color w:val="000000"/>
                <w:sz w:val="18"/>
                <w:szCs w:val="18"/>
              </w:rPr>
            </w:pPr>
            <w:r>
              <w:rPr>
                <w:rFonts w:hint="eastAsia"/>
                <w:color w:val="000000"/>
                <w:sz w:val="18"/>
                <w:szCs w:val="18"/>
              </w:rPr>
              <w:t>甲酸甲酯</w:t>
            </w:r>
          </w:p>
        </w:tc>
        <w:tc>
          <w:tcPr>
            <w:tcW w:w="1080" w:type="dxa"/>
            <w:tcBorders>
              <w:top w:val="nil"/>
              <w:left w:val="nil"/>
              <w:bottom w:val="single" w:color="auto" w:sz="8" w:space="0"/>
              <w:right w:val="single" w:color="auto" w:sz="8" w:space="0"/>
            </w:tcBorders>
            <w:vAlign w:val="center"/>
          </w:tcPr>
          <w:p w14:paraId="0C54E80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3056872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0.31</w:t>
            </w:r>
          </w:p>
        </w:tc>
        <w:tc>
          <w:tcPr>
            <w:tcW w:w="1080" w:type="dxa"/>
            <w:tcBorders>
              <w:top w:val="nil"/>
              <w:left w:val="nil"/>
              <w:bottom w:val="single" w:color="auto" w:sz="8" w:space="0"/>
              <w:right w:val="single" w:color="auto" w:sz="8" w:space="0"/>
            </w:tcBorders>
            <w:noWrap/>
            <w:vAlign w:val="center"/>
          </w:tcPr>
          <w:p w14:paraId="028C7E0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0.03 </w:t>
            </w:r>
          </w:p>
        </w:tc>
      </w:tr>
      <w:tr w14:paraId="425B7CA3">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331DF3CC">
            <w:pPr>
              <w:jc w:val="center"/>
              <w:rPr>
                <w:rFonts w:hint="eastAsia"/>
                <w:color w:val="000000"/>
                <w:sz w:val="18"/>
                <w:szCs w:val="18"/>
              </w:rPr>
            </w:pPr>
            <w:r>
              <w:rPr>
                <w:rFonts w:hint="eastAsia"/>
                <w:color w:val="000000"/>
                <w:sz w:val="18"/>
                <w:szCs w:val="18"/>
              </w:rPr>
              <w:t>草酰胺装置</w:t>
            </w:r>
          </w:p>
        </w:tc>
        <w:tc>
          <w:tcPr>
            <w:tcW w:w="1080" w:type="dxa"/>
            <w:tcBorders>
              <w:top w:val="nil"/>
              <w:left w:val="nil"/>
              <w:bottom w:val="single" w:color="auto" w:sz="8" w:space="0"/>
              <w:right w:val="single" w:color="auto" w:sz="8" w:space="0"/>
            </w:tcBorders>
            <w:vAlign w:val="center"/>
          </w:tcPr>
          <w:p w14:paraId="1F1E9DF9">
            <w:pPr>
              <w:jc w:val="center"/>
              <w:rPr>
                <w:rFonts w:hint="eastAsia"/>
                <w:color w:val="000000"/>
                <w:sz w:val="18"/>
                <w:szCs w:val="18"/>
              </w:rPr>
            </w:pPr>
            <w:r>
              <w:rPr>
                <w:rFonts w:hint="eastAsia"/>
                <w:color w:val="000000"/>
                <w:sz w:val="18"/>
                <w:szCs w:val="18"/>
              </w:rPr>
              <w:t>氨</w:t>
            </w:r>
          </w:p>
        </w:tc>
        <w:tc>
          <w:tcPr>
            <w:tcW w:w="1080" w:type="dxa"/>
            <w:tcBorders>
              <w:top w:val="nil"/>
              <w:left w:val="nil"/>
              <w:bottom w:val="single" w:color="auto" w:sz="8" w:space="0"/>
              <w:right w:val="single" w:color="auto" w:sz="8" w:space="0"/>
            </w:tcBorders>
            <w:vAlign w:val="center"/>
          </w:tcPr>
          <w:p w14:paraId="749F0A2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1455A34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23.86</w:t>
            </w:r>
          </w:p>
        </w:tc>
        <w:tc>
          <w:tcPr>
            <w:tcW w:w="1080" w:type="dxa"/>
            <w:tcBorders>
              <w:top w:val="nil"/>
              <w:left w:val="nil"/>
              <w:bottom w:val="single" w:color="auto" w:sz="8" w:space="0"/>
              <w:right w:val="single" w:color="auto" w:sz="8" w:space="0"/>
            </w:tcBorders>
            <w:noWrap/>
            <w:vAlign w:val="center"/>
          </w:tcPr>
          <w:p w14:paraId="3465D9A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4.77 </w:t>
            </w:r>
          </w:p>
        </w:tc>
      </w:tr>
      <w:tr w14:paraId="2445ACB6">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4AC9500E">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281116EF">
            <w:pPr>
              <w:jc w:val="center"/>
              <w:rPr>
                <w:rFonts w:hint="eastAsia"/>
                <w:color w:val="000000"/>
                <w:sz w:val="18"/>
                <w:szCs w:val="18"/>
              </w:rPr>
            </w:pPr>
            <w:r>
              <w:rPr>
                <w:rFonts w:hint="eastAsia"/>
                <w:color w:val="000000"/>
                <w:sz w:val="18"/>
                <w:szCs w:val="18"/>
              </w:rPr>
              <w:t>甲醇</w:t>
            </w:r>
          </w:p>
        </w:tc>
        <w:tc>
          <w:tcPr>
            <w:tcW w:w="1080" w:type="dxa"/>
            <w:tcBorders>
              <w:top w:val="nil"/>
              <w:left w:val="nil"/>
              <w:bottom w:val="single" w:color="auto" w:sz="8" w:space="0"/>
              <w:right w:val="single" w:color="auto" w:sz="8" w:space="0"/>
            </w:tcBorders>
            <w:vAlign w:val="center"/>
          </w:tcPr>
          <w:p w14:paraId="32A98D3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2D9C42C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44.88</w:t>
            </w:r>
          </w:p>
        </w:tc>
        <w:tc>
          <w:tcPr>
            <w:tcW w:w="1080" w:type="dxa"/>
            <w:tcBorders>
              <w:top w:val="nil"/>
              <w:left w:val="nil"/>
              <w:bottom w:val="single" w:color="auto" w:sz="8" w:space="0"/>
              <w:right w:val="single" w:color="auto" w:sz="8" w:space="0"/>
            </w:tcBorders>
            <w:noWrap/>
            <w:vAlign w:val="center"/>
          </w:tcPr>
          <w:p w14:paraId="5EBA185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4.49 </w:t>
            </w:r>
          </w:p>
        </w:tc>
      </w:tr>
      <w:tr w14:paraId="7BAA49AE">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1FFF7E70">
            <w:pPr>
              <w:jc w:val="center"/>
              <w:rPr>
                <w:rFonts w:hint="eastAsia"/>
                <w:color w:val="000000"/>
                <w:sz w:val="18"/>
                <w:szCs w:val="18"/>
              </w:rPr>
            </w:pPr>
            <w:r>
              <w:rPr>
                <w:rFonts w:hint="eastAsia"/>
                <w:color w:val="000000"/>
                <w:sz w:val="18"/>
                <w:szCs w:val="18"/>
              </w:rPr>
              <w:t>有机缓释肥装置</w:t>
            </w:r>
          </w:p>
        </w:tc>
        <w:tc>
          <w:tcPr>
            <w:tcW w:w="1080" w:type="dxa"/>
            <w:tcBorders>
              <w:top w:val="nil"/>
              <w:left w:val="nil"/>
              <w:bottom w:val="single" w:color="auto" w:sz="8" w:space="0"/>
              <w:right w:val="single" w:color="auto" w:sz="8" w:space="0"/>
            </w:tcBorders>
            <w:vAlign w:val="center"/>
          </w:tcPr>
          <w:p w14:paraId="27A24AA2">
            <w:pPr>
              <w:jc w:val="center"/>
              <w:rPr>
                <w:rFonts w:hint="eastAsia"/>
                <w:color w:val="000000"/>
                <w:sz w:val="18"/>
                <w:szCs w:val="18"/>
              </w:rPr>
            </w:pPr>
            <w:r>
              <w:rPr>
                <w:rFonts w:hint="eastAsia"/>
                <w:color w:val="000000"/>
                <w:sz w:val="18"/>
                <w:szCs w:val="18"/>
              </w:rPr>
              <w:t>硫酸</w:t>
            </w:r>
          </w:p>
        </w:tc>
        <w:tc>
          <w:tcPr>
            <w:tcW w:w="1080" w:type="dxa"/>
            <w:tcBorders>
              <w:top w:val="nil"/>
              <w:left w:val="nil"/>
              <w:bottom w:val="single" w:color="auto" w:sz="8" w:space="0"/>
              <w:right w:val="single" w:color="auto" w:sz="8" w:space="0"/>
            </w:tcBorders>
            <w:vAlign w:val="center"/>
          </w:tcPr>
          <w:p w14:paraId="1815E85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1B7E3F7F">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1.1</w:t>
            </w:r>
          </w:p>
        </w:tc>
        <w:tc>
          <w:tcPr>
            <w:tcW w:w="1080" w:type="dxa"/>
            <w:tcBorders>
              <w:top w:val="nil"/>
              <w:left w:val="nil"/>
              <w:bottom w:val="single" w:color="auto" w:sz="8" w:space="0"/>
              <w:right w:val="single" w:color="auto" w:sz="8" w:space="0"/>
            </w:tcBorders>
            <w:noWrap/>
            <w:vAlign w:val="center"/>
          </w:tcPr>
          <w:p w14:paraId="5556BD55">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0.11 </w:t>
            </w:r>
          </w:p>
        </w:tc>
      </w:tr>
      <w:tr w14:paraId="46396D20">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4ED99651">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0C686FE1">
            <w:pPr>
              <w:jc w:val="center"/>
              <w:rPr>
                <w:rFonts w:hint="eastAsia"/>
                <w:color w:val="000000"/>
                <w:sz w:val="18"/>
                <w:szCs w:val="18"/>
              </w:rPr>
            </w:pPr>
            <w:r>
              <w:rPr>
                <w:rFonts w:hint="eastAsia"/>
                <w:color w:val="000000"/>
                <w:sz w:val="18"/>
                <w:szCs w:val="18"/>
              </w:rPr>
              <w:t>液氨</w:t>
            </w:r>
          </w:p>
        </w:tc>
        <w:tc>
          <w:tcPr>
            <w:tcW w:w="1080" w:type="dxa"/>
            <w:tcBorders>
              <w:top w:val="nil"/>
              <w:left w:val="nil"/>
              <w:bottom w:val="single" w:color="auto" w:sz="8" w:space="0"/>
              <w:right w:val="single" w:color="auto" w:sz="8" w:space="0"/>
            </w:tcBorders>
            <w:vAlign w:val="center"/>
          </w:tcPr>
          <w:p w14:paraId="1D98C50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08CBA9E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2.099</w:t>
            </w:r>
          </w:p>
        </w:tc>
        <w:tc>
          <w:tcPr>
            <w:tcW w:w="1080" w:type="dxa"/>
            <w:tcBorders>
              <w:top w:val="nil"/>
              <w:left w:val="nil"/>
              <w:bottom w:val="single" w:color="auto" w:sz="8" w:space="0"/>
              <w:right w:val="single" w:color="auto" w:sz="8" w:space="0"/>
            </w:tcBorders>
            <w:noWrap/>
            <w:vAlign w:val="center"/>
          </w:tcPr>
          <w:p w14:paraId="0841251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0.42 </w:t>
            </w:r>
          </w:p>
        </w:tc>
      </w:tr>
      <w:tr w14:paraId="26628CCC">
        <w:tblPrEx>
          <w:tblCellMar>
            <w:top w:w="0" w:type="dxa"/>
            <w:left w:w="108" w:type="dxa"/>
            <w:bottom w:w="0" w:type="dxa"/>
            <w:right w:w="108" w:type="dxa"/>
          </w:tblCellMar>
        </w:tblPrEx>
        <w:trPr>
          <w:trHeight w:val="284" w:hRule="atLeast"/>
          <w:jc w:val="center"/>
        </w:trPr>
        <w:tc>
          <w:tcPr>
            <w:tcW w:w="1080" w:type="dxa"/>
            <w:vMerge w:val="restart"/>
            <w:tcBorders>
              <w:top w:val="nil"/>
              <w:left w:val="single" w:color="auto" w:sz="8" w:space="0"/>
              <w:bottom w:val="single" w:color="000000" w:sz="8" w:space="0"/>
              <w:right w:val="single" w:color="auto" w:sz="8" w:space="0"/>
            </w:tcBorders>
            <w:vAlign w:val="center"/>
          </w:tcPr>
          <w:p w14:paraId="241C492E">
            <w:pPr>
              <w:jc w:val="center"/>
              <w:rPr>
                <w:rFonts w:hint="eastAsia"/>
                <w:color w:val="000000"/>
                <w:sz w:val="18"/>
                <w:szCs w:val="18"/>
              </w:rPr>
            </w:pPr>
            <w:r>
              <w:rPr>
                <w:rFonts w:hint="eastAsia"/>
                <w:color w:val="000000"/>
                <w:sz w:val="18"/>
                <w:szCs w:val="18"/>
              </w:rPr>
              <w:t>综合罐组</w:t>
            </w:r>
          </w:p>
        </w:tc>
        <w:tc>
          <w:tcPr>
            <w:tcW w:w="1080" w:type="dxa"/>
            <w:tcBorders>
              <w:top w:val="nil"/>
              <w:left w:val="nil"/>
              <w:bottom w:val="single" w:color="auto" w:sz="8" w:space="0"/>
              <w:right w:val="single" w:color="auto" w:sz="8" w:space="0"/>
            </w:tcBorders>
            <w:vAlign w:val="center"/>
          </w:tcPr>
          <w:p w14:paraId="6C303A68">
            <w:pPr>
              <w:jc w:val="center"/>
              <w:rPr>
                <w:rFonts w:hint="eastAsia"/>
                <w:color w:val="000000"/>
                <w:sz w:val="18"/>
                <w:szCs w:val="18"/>
              </w:rPr>
            </w:pPr>
            <w:r>
              <w:rPr>
                <w:rFonts w:hint="eastAsia"/>
                <w:color w:val="000000"/>
                <w:sz w:val="18"/>
                <w:szCs w:val="18"/>
              </w:rPr>
              <w:t>碳酸二甲酯</w:t>
            </w:r>
          </w:p>
        </w:tc>
        <w:tc>
          <w:tcPr>
            <w:tcW w:w="1080" w:type="dxa"/>
            <w:tcBorders>
              <w:top w:val="nil"/>
              <w:left w:val="nil"/>
              <w:bottom w:val="single" w:color="auto" w:sz="8" w:space="0"/>
              <w:right w:val="single" w:color="auto" w:sz="8" w:space="0"/>
            </w:tcBorders>
            <w:vAlign w:val="center"/>
          </w:tcPr>
          <w:p w14:paraId="113D99A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033D38E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547.23</w:t>
            </w:r>
          </w:p>
        </w:tc>
        <w:tc>
          <w:tcPr>
            <w:tcW w:w="1080" w:type="dxa"/>
            <w:tcBorders>
              <w:top w:val="nil"/>
              <w:left w:val="nil"/>
              <w:bottom w:val="single" w:color="auto" w:sz="8" w:space="0"/>
              <w:right w:val="single" w:color="auto" w:sz="8" w:space="0"/>
            </w:tcBorders>
            <w:noWrap/>
            <w:vAlign w:val="center"/>
          </w:tcPr>
          <w:p w14:paraId="5EBD7C9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109.45 </w:t>
            </w:r>
          </w:p>
        </w:tc>
      </w:tr>
      <w:tr w14:paraId="176FA833">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2DC03EF5">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433C1678">
            <w:pPr>
              <w:jc w:val="center"/>
              <w:rPr>
                <w:rFonts w:hint="eastAsia"/>
                <w:color w:val="000000"/>
                <w:sz w:val="18"/>
                <w:szCs w:val="18"/>
              </w:rPr>
            </w:pPr>
            <w:r>
              <w:rPr>
                <w:rFonts w:hint="eastAsia"/>
                <w:color w:val="000000"/>
                <w:sz w:val="18"/>
                <w:szCs w:val="18"/>
              </w:rPr>
              <w:t>甲醇</w:t>
            </w:r>
          </w:p>
        </w:tc>
        <w:tc>
          <w:tcPr>
            <w:tcW w:w="1080" w:type="dxa"/>
            <w:tcBorders>
              <w:top w:val="nil"/>
              <w:left w:val="nil"/>
              <w:bottom w:val="single" w:color="auto" w:sz="8" w:space="0"/>
              <w:right w:val="single" w:color="auto" w:sz="8" w:space="0"/>
            </w:tcBorders>
            <w:vAlign w:val="center"/>
          </w:tcPr>
          <w:p w14:paraId="7336CEC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18A7E30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402.9</w:t>
            </w:r>
          </w:p>
        </w:tc>
        <w:tc>
          <w:tcPr>
            <w:tcW w:w="1080" w:type="dxa"/>
            <w:tcBorders>
              <w:top w:val="nil"/>
              <w:left w:val="nil"/>
              <w:bottom w:val="single" w:color="auto" w:sz="8" w:space="0"/>
              <w:right w:val="single" w:color="auto" w:sz="8" w:space="0"/>
            </w:tcBorders>
            <w:noWrap/>
            <w:vAlign w:val="center"/>
          </w:tcPr>
          <w:p w14:paraId="7BBCDCCD">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40.29 </w:t>
            </w:r>
          </w:p>
        </w:tc>
      </w:tr>
      <w:tr w14:paraId="3F037A36">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31946C98">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2616C24F">
            <w:pPr>
              <w:jc w:val="center"/>
              <w:rPr>
                <w:rFonts w:hint="eastAsia"/>
                <w:color w:val="000000"/>
                <w:sz w:val="18"/>
                <w:szCs w:val="18"/>
              </w:rPr>
            </w:pPr>
            <w:r>
              <w:rPr>
                <w:rFonts w:hint="eastAsia"/>
                <w:color w:val="000000"/>
                <w:sz w:val="18"/>
                <w:szCs w:val="18"/>
              </w:rPr>
              <w:t>甲醇</w:t>
            </w:r>
          </w:p>
        </w:tc>
        <w:tc>
          <w:tcPr>
            <w:tcW w:w="1080" w:type="dxa"/>
            <w:tcBorders>
              <w:top w:val="nil"/>
              <w:left w:val="nil"/>
              <w:bottom w:val="single" w:color="auto" w:sz="8" w:space="0"/>
              <w:right w:val="single" w:color="auto" w:sz="8" w:space="0"/>
            </w:tcBorders>
            <w:vAlign w:val="center"/>
          </w:tcPr>
          <w:p w14:paraId="5229284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0FFB85B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671.5</w:t>
            </w:r>
          </w:p>
        </w:tc>
        <w:tc>
          <w:tcPr>
            <w:tcW w:w="1080" w:type="dxa"/>
            <w:tcBorders>
              <w:top w:val="nil"/>
              <w:left w:val="nil"/>
              <w:bottom w:val="single" w:color="auto" w:sz="8" w:space="0"/>
              <w:right w:val="single" w:color="auto" w:sz="8" w:space="0"/>
            </w:tcBorders>
            <w:noWrap/>
            <w:vAlign w:val="center"/>
          </w:tcPr>
          <w:p w14:paraId="3F446C82">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67.15 </w:t>
            </w:r>
          </w:p>
        </w:tc>
      </w:tr>
      <w:tr w14:paraId="7F2613CB">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0374524C">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2085D792">
            <w:pPr>
              <w:jc w:val="center"/>
              <w:rPr>
                <w:rFonts w:hint="eastAsia"/>
                <w:color w:val="000000"/>
                <w:sz w:val="18"/>
                <w:szCs w:val="18"/>
              </w:rPr>
            </w:pPr>
            <w:r>
              <w:rPr>
                <w:rFonts w:hint="eastAsia"/>
                <w:color w:val="000000"/>
                <w:sz w:val="18"/>
                <w:szCs w:val="18"/>
              </w:rPr>
              <w:t>甲酸甲酯</w:t>
            </w:r>
          </w:p>
        </w:tc>
        <w:tc>
          <w:tcPr>
            <w:tcW w:w="1080" w:type="dxa"/>
            <w:tcBorders>
              <w:top w:val="nil"/>
              <w:left w:val="nil"/>
              <w:bottom w:val="single" w:color="auto" w:sz="8" w:space="0"/>
              <w:right w:val="single" w:color="auto" w:sz="8" w:space="0"/>
            </w:tcBorders>
            <w:vAlign w:val="center"/>
          </w:tcPr>
          <w:p w14:paraId="49ABCB1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10</w:t>
            </w:r>
          </w:p>
        </w:tc>
        <w:tc>
          <w:tcPr>
            <w:tcW w:w="1080" w:type="dxa"/>
            <w:tcBorders>
              <w:top w:val="nil"/>
              <w:left w:val="nil"/>
              <w:bottom w:val="single" w:color="auto" w:sz="8" w:space="0"/>
              <w:right w:val="single" w:color="auto" w:sz="8" w:space="0"/>
            </w:tcBorders>
            <w:noWrap/>
            <w:vAlign w:val="center"/>
          </w:tcPr>
          <w:p w14:paraId="5E9AFD0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165.58</w:t>
            </w:r>
          </w:p>
        </w:tc>
        <w:tc>
          <w:tcPr>
            <w:tcW w:w="1080" w:type="dxa"/>
            <w:tcBorders>
              <w:top w:val="nil"/>
              <w:left w:val="nil"/>
              <w:bottom w:val="single" w:color="auto" w:sz="8" w:space="0"/>
              <w:right w:val="single" w:color="auto" w:sz="8" w:space="0"/>
            </w:tcBorders>
            <w:noWrap/>
            <w:vAlign w:val="center"/>
          </w:tcPr>
          <w:p w14:paraId="7AEA0746">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16.56 </w:t>
            </w:r>
          </w:p>
        </w:tc>
      </w:tr>
      <w:tr w14:paraId="3EB87EA7">
        <w:tblPrEx>
          <w:tblCellMar>
            <w:top w:w="0" w:type="dxa"/>
            <w:left w:w="108" w:type="dxa"/>
            <w:bottom w:w="0" w:type="dxa"/>
            <w:right w:w="108" w:type="dxa"/>
          </w:tblCellMar>
        </w:tblPrEx>
        <w:trPr>
          <w:trHeight w:val="284" w:hRule="atLeast"/>
          <w:jc w:val="center"/>
        </w:trPr>
        <w:tc>
          <w:tcPr>
            <w:tcW w:w="1080" w:type="dxa"/>
            <w:vMerge w:val="continue"/>
            <w:tcBorders>
              <w:top w:val="nil"/>
              <w:left w:val="single" w:color="auto" w:sz="8" w:space="0"/>
              <w:bottom w:val="single" w:color="000000" w:sz="8" w:space="0"/>
              <w:right w:val="single" w:color="auto" w:sz="8" w:space="0"/>
            </w:tcBorders>
            <w:vAlign w:val="center"/>
          </w:tcPr>
          <w:p w14:paraId="72D24D40">
            <w:pPr>
              <w:rPr>
                <w:rFonts w:hint="eastAsia"/>
                <w:color w:val="000000"/>
                <w:sz w:val="18"/>
                <w:szCs w:val="18"/>
              </w:rPr>
            </w:pPr>
          </w:p>
        </w:tc>
        <w:tc>
          <w:tcPr>
            <w:tcW w:w="1080" w:type="dxa"/>
            <w:tcBorders>
              <w:top w:val="nil"/>
              <w:left w:val="nil"/>
              <w:bottom w:val="single" w:color="auto" w:sz="8" w:space="0"/>
              <w:right w:val="single" w:color="auto" w:sz="8" w:space="0"/>
            </w:tcBorders>
            <w:vAlign w:val="center"/>
          </w:tcPr>
          <w:p w14:paraId="08EA8FDB">
            <w:pPr>
              <w:jc w:val="center"/>
              <w:rPr>
                <w:rFonts w:hint="eastAsia"/>
                <w:color w:val="000000"/>
                <w:sz w:val="18"/>
                <w:szCs w:val="18"/>
              </w:rPr>
            </w:pPr>
            <w:r>
              <w:rPr>
                <w:rFonts w:hint="eastAsia"/>
                <w:color w:val="000000"/>
                <w:sz w:val="18"/>
                <w:szCs w:val="18"/>
              </w:rPr>
              <w:t>硝酸</w:t>
            </w:r>
          </w:p>
        </w:tc>
        <w:tc>
          <w:tcPr>
            <w:tcW w:w="1080" w:type="dxa"/>
            <w:tcBorders>
              <w:top w:val="nil"/>
              <w:left w:val="nil"/>
              <w:bottom w:val="single" w:color="auto" w:sz="8" w:space="0"/>
              <w:right w:val="single" w:color="auto" w:sz="8" w:space="0"/>
            </w:tcBorders>
            <w:vAlign w:val="center"/>
          </w:tcPr>
          <w:p w14:paraId="299D84EC">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1B012CB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25.5</w:t>
            </w:r>
          </w:p>
        </w:tc>
        <w:tc>
          <w:tcPr>
            <w:tcW w:w="1080" w:type="dxa"/>
            <w:tcBorders>
              <w:top w:val="nil"/>
              <w:left w:val="nil"/>
              <w:bottom w:val="single" w:color="auto" w:sz="8" w:space="0"/>
              <w:right w:val="single" w:color="auto" w:sz="8" w:space="0"/>
            </w:tcBorders>
            <w:noWrap/>
            <w:vAlign w:val="center"/>
          </w:tcPr>
          <w:p w14:paraId="171C9623">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3.40 </w:t>
            </w:r>
          </w:p>
        </w:tc>
      </w:tr>
      <w:tr w14:paraId="4717AAD7">
        <w:tblPrEx>
          <w:tblCellMar>
            <w:top w:w="0" w:type="dxa"/>
            <w:left w:w="108" w:type="dxa"/>
            <w:bottom w:w="0" w:type="dxa"/>
            <w:right w:w="108" w:type="dxa"/>
          </w:tblCellMar>
        </w:tblPrEx>
        <w:trPr>
          <w:trHeight w:val="284" w:hRule="atLeast"/>
          <w:jc w:val="center"/>
        </w:trPr>
        <w:tc>
          <w:tcPr>
            <w:tcW w:w="1080" w:type="dxa"/>
            <w:tcBorders>
              <w:top w:val="nil"/>
              <w:left w:val="single" w:color="auto" w:sz="8" w:space="0"/>
              <w:bottom w:val="single" w:color="auto" w:sz="8" w:space="0"/>
              <w:right w:val="single" w:color="auto" w:sz="8" w:space="0"/>
            </w:tcBorders>
            <w:vAlign w:val="center"/>
          </w:tcPr>
          <w:p w14:paraId="46DFA083">
            <w:pPr>
              <w:jc w:val="center"/>
              <w:rPr>
                <w:rFonts w:hint="eastAsia"/>
                <w:color w:val="000000"/>
                <w:sz w:val="18"/>
                <w:szCs w:val="18"/>
              </w:rPr>
            </w:pPr>
            <w:r>
              <w:rPr>
                <w:rFonts w:hint="eastAsia"/>
                <w:color w:val="000000"/>
                <w:sz w:val="18"/>
                <w:szCs w:val="18"/>
              </w:rPr>
              <w:t>液氨罐组</w:t>
            </w:r>
          </w:p>
        </w:tc>
        <w:tc>
          <w:tcPr>
            <w:tcW w:w="1080" w:type="dxa"/>
            <w:tcBorders>
              <w:top w:val="nil"/>
              <w:left w:val="nil"/>
              <w:bottom w:val="single" w:color="auto" w:sz="8" w:space="0"/>
              <w:right w:val="single" w:color="auto" w:sz="8" w:space="0"/>
            </w:tcBorders>
            <w:vAlign w:val="center"/>
          </w:tcPr>
          <w:p w14:paraId="0C1DA53F">
            <w:pPr>
              <w:jc w:val="center"/>
              <w:rPr>
                <w:rFonts w:hint="eastAsia"/>
                <w:color w:val="000000"/>
                <w:sz w:val="18"/>
                <w:szCs w:val="18"/>
              </w:rPr>
            </w:pPr>
            <w:r>
              <w:rPr>
                <w:rFonts w:hint="eastAsia"/>
                <w:color w:val="000000"/>
                <w:sz w:val="18"/>
                <w:szCs w:val="18"/>
              </w:rPr>
              <w:t>液氨</w:t>
            </w:r>
          </w:p>
        </w:tc>
        <w:tc>
          <w:tcPr>
            <w:tcW w:w="1080" w:type="dxa"/>
            <w:tcBorders>
              <w:top w:val="nil"/>
              <w:left w:val="nil"/>
              <w:bottom w:val="single" w:color="auto" w:sz="8" w:space="0"/>
              <w:right w:val="single" w:color="auto" w:sz="8" w:space="0"/>
            </w:tcBorders>
            <w:vAlign w:val="center"/>
          </w:tcPr>
          <w:p w14:paraId="68592BB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3FEDFBE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5355</w:t>
            </w:r>
          </w:p>
        </w:tc>
        <w:tc>
          <w:tcPr>
            <w:tcW w:w="1080" w:type="dxa"/>
            <w:tcBorders>
              <w:top w:val="nil"/>
              <w:left w:val="nil"/>
              <w:bottom w:val="single" w:color="auto" w:sz="8" w:space="0"/>
              <w:right w:val="single" w:color="auto" w:sz="8" w:space="0"/>
            </w:tcBorders>
            <w:noWrap/>
            <w:vAlign w:val="center"/>
          </w:tcPr>
          <w:p w14:paraId="27E63F50">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1071.00 </w:t>
            </w:r>
          </w:p>
        </w:tc>
      </w:tr>
      <w:tr w14:paraId="69E800C2">
        <w:tblPrEx>
          <w:tblCellMar>
            <w:top w:w="0" w:type="dxa"/>
            <w:left w:w="108" w:type="dxa"/>
            <w:bottom w:w="0" w:type="dxa"/>
            <w:right w:w="108" w:type="dxa"/>
          </w:tblCellMar>
        </w:tblPrEx>
        <w:trPr>
          <w:trHeight w:val="284" w:hRule="atLeast"/>
          <w:jc w:val="center"/>
        </w:trPr>
        <w:tc>
          <w:tcPr>
            <w:tcW w:w="1080" w:type="dxa"/>
            <w:tcBorders>
              <w:top w:val="nil"/>
              <w:left w:val="single" w:color="auto" w:sz="8" w:space="0"/>
              <w:bottom w:val="single" w:color="auto" w:sz="8" w:space="0"/>
              <w:right w:val="single" w:color="auto" w:sz="8" w:space="0"/>
            </w:tcBorders>
            <w:vAlign w:val="center"/>
          </w:tcPr>
          <w:p w14:paraId="7201DE95">
            <w:pPr>
              <w:jc w:val="center"/>
              <w:rPr>
                <w:rFonts w:hint="eastAsia"/>
                <w:color w:val="000000"/>
                <w:sz w:val="18"/>
                <w:szCs w:val="18"/>
              </w:rPr>
            </w:pPr>
            <w:r>
              <w:rPr>
                <w:rFonts w:hint="eastAsia"/>
                <w:color w:val="000000"/>
                <w:sz w:val="18"/>
                <w:szCs w:val="18"/>
              </w:rPr>
              <w:t>亚硝酸甲酯罐组</w:t>
            </w:r>
          </w:p>
        </w:tc>
        <w:tc>
          <w:tcPr>
            <w:tcW w:w="1080" w:type="dxa"/>
            <w:tcBorders>
              <w:top w:val="nil"/>
              <w:left w:val="nil"/>
              <w:bottom w:val="single" w:color="auto" w:sz="8" w:space="0"/>
              <w:right w:val="single" w:color="auto" w:sz="8" w:space="0"/>
            </w:tcBorders>
            <w:vAlign w:val="center"/>
          </w:tcPr>
          <w:p w14:paraId="4CC4EA39">
            <w:pPr>
              <w:jc w:val="center"/>
              <w:rPr>
                <w:rFonts w:hint="eastAsia"/>
                <w:color w:val="000000"/>
                <w:sz w:val="18"/>
                <w:szCs w:val="18"/>
              </w:rPr>
            </w:pPr>
            <w:r>
              <w:rPr>
                <w:rFonts w:hint="eastAsia"/>
                <w:color w:val="000000"/>
                <w:sz w:val="18"/>
                <w:szCs w:val="18"/>
              </w:rPr>
              <w:t>亚硝酸甲酯</w:t>
            </w:r>
          </w:p>
        </w:tc>
        <w:tc>
          <w:tcPr>
            <w:tcW w:w="1080" w:type="dxa"/>
            <w:tcBorders>
              <w:top w:val="nil"/>
              <w:left w:val="nil"/>
              <w:bottom w:val="single" w:color="auto" w:sz="8" w:space="0"/>
              <w:right w:val="single" w:color="auto" w:sz="8" w:space="0"/>
            </w:tcBorders>
            <w:vAlign w:val="center"/>
          </w:tcPr>
          <w:p w14:paraId="395A5C5B">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50</w:t>
            </w:r>
          </w:p>
        </w:tc>
        <w:tc>
          <w:tcPr>
            <w:tcW w:w="1080" w:type="dxa"/>
            <w:tcBorders>
              <w:top w:val="nil"/>
              <w:left w:val="nil"/>
              <w:bottom w:val="single" w:color="auto" w:sz="8" w:space="0"/>
              <w:right w:val="single" w:color="auto" w:sz="8" w:space="0"/>
            </w:tcBorders>
            <w:noWrap/>
            <w:vAlign w:val="center"/>
          </w:tcPr>
          <w:p w14:paraId="5A95EC1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252.71</w:t>
            </w:r>
          </w:p>
        </w:tc>
        <w:tc>
          <w:tcPr>
            <w:tcW w:w="1080" w:type="dxa"/>
            <w:tcBorders>
              <w:top w:val="nil"/>
              <w:left w:val="nil"/>
              <w:bottom w:val="single" w:color="auto" w:sz="8" w:space="0"/>
              <w:right w:val="single" w:color="auto" w:sz="8" w:space="0"/>
            </w:tcBorders>
            <w:noWrap/>
            <w:vAlign w:val="center"/>
          </w:tcPr>
          <w:p w14:paraId="44902BA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5.05 </w:t>
            </w:r>
          </w:p>
        </w:tc>
      </w:tr>
      <w:tr w14:paraId="4C64E661">
        <w:tblPrEx>
          <w:tblCellMar>
            <w:top w:w="0" w:type="dxa"/>
            <w:left w:w="108" w:type="dxa"/>
            <w:bottom w:w="0" w:type="dxa"/>
            <w:right w:w="108" w:type="dxa"/>
          </w:tblCellMar>
        </w:tblPrEx>
        <w:trPr>
          <w:trHeight w:val="284" w:hRule="atLeast"/>
          <w:jc w:val="center"/>
        </w:trPr>
        <w:tc>
          <w:tcPr>
            <w:tcW w:w="1080" w:type="dxa"/>
            <w:tcBorders>
              <w:top w:val="nil"/>
              <w:left w:val="single" w:color="auto" w:sz="8" w:space="0"/>
              <w:bottom w:val="single" w:color="auto" w:sz="8" w:space="0"/>
              <w:right w:val="single" w:color="auto" w:sz="8" w:space="0"/>
            </w:tcBorders>
            <w:vAlign w:val="center"/>
          </w:tcPr>
          <w:p w14:paraId="0471F0D1">
            <w:pPr>
              <w:jc w:val="center"/>
              <w:rPr>
                <w:rFonts w:hint="eastAsia"/>
                <w:color w:val="000000"/>
                <w:sz w:val="18"/>
                <w:szCs w:val="18"/>
              </w:rPr>
            </w:pPr>
            <w:r>
              <w:rPr>
                <w:rFonts w:hint="eastAsia"/>
                <w:color w:val="000000"/>
                <w:sz w:val="18"/>
                <w:szCs w:val="18"/>
              </w:rPr>
              <w:t>循环水站</w:t>
            </w:r>
          </w:p>
        </w:tc>
        <w:tc>
          <w:tcPr>
            <w:tcW w:w="1080" w:type="dxa"/>
            <w:tcBorders>
              <w:top w:val="nil"/>
              <w:left w:val="nil"/>
              <w:bottom w:val="single" w:color="auto" w:sz="8" w:space="0"/>
              <w:right w:val="single" w:color="auto" w:sz="8" w:space="0"/>
            </w:tcBorders>
            <w:vAlign w:val="center"/>
          </w:tcPr>
          <w:p w14:paraId="22302957">
            <w:pPr>
              <w:jc w:val="center"/>
              <w:rPr>
                <w:rFonts w:hint="eastAsia"/>
                <w:color w:val="000000"/>
                <w:sz w:val="18"/>
                <w:szCs w:val="18"/>
              </w:rPr>
            </w:pPr>
            <w:r>
              <w:rPr>
                <w:rFonts w:hint="eastAsia"/>
                <w:color w:val="000000"/>
                <w:sz w:val="18"/>
                <w:szCs w:val="18"/>
              </w:rPr>
              <w:t>次氯酸钠</w:t>
            </w:r>
          </w:p>
        </w:tc>
        <w:tc>
          <w:tcPr>
            <w:tcW w:w="1080" w:type="dxa"/>
            <w:tcBorders>
              <w:top w:val="nil"/>
              <w:left w:val="nil"/>
              <w:bottom w:val="single" w:color="auto" w:sz="8" w:space="0"/>
              <w:right w:val="single" w:color="auto" w:sz="8" w:space="0"/>
            </w:tcBorders>
            <w:vAlign w:val="center"/>
          </w:tcPr>
          <w:p w14:paraId="2CAEB6E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5</w:t>
            </w:r>
          </w:p>
        </w:tc>
        <w:tc>
          <w:tcPr>
            <w:tcW w:w="1080" w:type="dxa"/>
            <w:tcBorders>
              <w:top w:val="nil"/>
              <w:left w:val="nil"/>
              <w:bottom w:val="single" w:color="auto" w:sz="8" w:space="0"/>
              <w:right w:val="single" w:color="auto" w:sz="8" w:space="0"/>
            </w:tcBorders>
            <w:noWrap/>
            <w:vAlign w:val="center"/>
          </w:tcPr>
          <w:p w14:paraId="45ABED59">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20</w:t>
            </w:r>
          </w:p>
        </w:tc>
        <w:tc>
          <w:tcPr>
            <w:tcW w:w="1080" w:type="dxa"/>
            <w:tcBorders>
              <w:top w:val="nil"/>
              <w:left w:val="nil"/>
              <w:bottom w:val="single" w:color="auto" w:sz="8" w:space="0"/>
              <w:right w:val="single" w:color="auto" w:sz="8" w:space="0"/>
            </w:tcBorders>
            <w:noWrap/>
            <w:vAlign w:val="center"/>
          </w:tcPr>
          <w:p w14:paraId="6FBD4DF7">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4.00 </w:t>
            </w:r>
          </w:p>
        </w:tc>
      </w:tr>
      <w:tr w14:paraId="64C382E8">
        <w:tblPrEx>
          <w:tblCellMar>
            <w:top w:w="0" w:type="dxa"/>
            <w:left w:w="108" w:type="dxa"/>
            <w:bottom w:w="0" w:type="dxa"/>
            <w:right w:w="108" w:type="dxa"/>
          </w:tblCellMar>
        </w:tblPrEx>
        <w:trPr>
          <w:trHeight w:val="284" w:hRule="atLeast"/>
          <w:jc w:val="center"/>
        </w:trPr>
        <w:tc>
          <w:tcPr>
            <w:tcW w:w="1080" w:type="dxa"/>
            <w:tcBorders>
              <w:top w:val="nil"/>
              <w:left w:val="single" w:color="auto" w:sz="8" w:space="0"/>
              <w:bottom w:val="single" w:color="auto" w:sz="8" w:space="0"/>
              <w:right w:val="single" w:color="auto" w:sz="8" w:space="0"/>
            </w:tcBorders>
            <w:vAlign w:val="center"/>
          </w:tcPr>
          <w:p w14:paraId="55E6F592">
            <w:pPr>
              <w:jc w:val="center"/>
              <w:rPr>
                <w:rFonts w:hint="eastAsia"/>
                <w:color w:val="000000"/>
                <w:sz w:val="18"/>
                <w:szCs w:val="18"/>
              </w:rPr>
            </w:pPr>
            <w:r>
              <w:rPr>
                <w:rFonts w:hint="eastAsia"/>
                <w:color w:val="000000"/>
                <w:sz w:val="18"/>
                <w:szCs w:val="18"/>
              </w:rPr>
              <w:t>燃料</w:t>
            </w:r>
          </w:p>
        </w:tc>
        <w:tc>
          <w:tcPr>
            <w:tcW w:w="1080" w:type="dxa"/>
            <w:tcBorders>
              <w:top w:val="nil"/>
              <w:left w:val="nil"/>
              <w:bottom w:val="single" w:color="auto" w:sz="8" w:space="0"/>
              <w:right w:val="single" w:color="auto" w:sz="8" w:space="0"/>
            </w:tcBorders>
            <w:vAlign w:val="center"/>
          </w:tcPr>
          <w:p w14:paraId="1867D62E">
            <w:pPr>
              <w:jc w:val="center"/>
              <w:rPr>
                <w:rFonts w:hint="eastAsia"/>
                <w:color w:val="000000"/>
                <w:sz w:val="18"/>
                <w:szCs w:val="18"/>
              </w:rPr>
            </w:pPr>
            <w:r>
              <w:rPr>
                <w:rFonts w:hint="eastAsia"/>
                <w:color w:val="000000"/>
                <w:sz w:val="18"/>
                <w:szCs w:val="18"/>
              </w:rPr>
              <w:t>燃料气</w:t>
            </w:r>
          </w:p>
        </w:tc>
        <w:tc>
          <w:tcPr>
            <w:tcW w:w="1080" w:type="dxa"/>
            <w:tcBorders>
              <w:top w:val="nil"/>
              <w:left w:val="nil"/>
              <w:bottom w:val="single" w:color="auto" w:sz="8" w:space="0"/>
              <w:right w:val="single" w:color="auto" w:sz="8" w:space="0"/>
            </w:tcBorders>
            <w:vAlign w:val="center"/>
          </w:tcPr>
          <w:p w14:paraId="62906B04">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7.5</w:t>
            </w:r>
          </w:p>
        </w:tc>
        <w:tc>
          <w:tcPr>
            <w:tcW w:w="1080" w:type="dxa"/>
            <w:tcBorders>
              <w:top w:val="nil"/>
              <w:left w:val="nil"/>
              <w:bottom w:val="single" w:color="auto" w:sz="8" w:space="0"/>
              <w:right w:val="single" w:color="auto" w:sz="8" w:space="0"/>
            </w:tcBorders>
            <w:noWrap/>
            <w:vAlign w:val="center"/>
          </w:tcPr>
          <w:p w14:paraId="59665D28">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13.59</w:t>
            </w:r>
          </w:p>
        </w:tc>
        <w:tc>
          <w:tcPr>
            <w:tcW w:w="1080" w:type="dxa"/>
            <w:tcBorders>
              <w:top w:val="nil"/>
              <w:left w:val="nil"/>
              <w:bottom w:val="single" w:color="auto" w:sz="8" w:space="0"/>
              <w:right w:val="single" w:color="auto" w:sz="8" w:space="0"/>
            </w:tcBorders>
            <w:noWrap/>
            <w:vAlign w:val="center"/>
          </w:tcPr>
          <w:p w14:paraId="4710A62A">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1.81 </w:t>
            </w:r>
          </w:p>
        </w:tc>
      </w:tr>
      <w:tr w14:paraId="416B1DDF">
        <w:tblPrEx>
          <w:tblCellMar>
            <w:top w:w="0" w:type="dxa"/>
            <w:left w:w="108" w:type="dxa"/>
            <w:bottom w:w="0" w:type="dxa"/>
            <w:right w:w="108" w:type="dxa"/>
          </w:tblCellMar>
        </w:tblPrEx>
        <w:trPr>
          <w:trHeight w:val="284" w:hRule="atLeast"/>
          <w:jc w:val="center"/>
        </w:trPr>
        <w:tc>
          <w:tcPr>
            <w:tcW w:w="4320" w:type="dxa"/>
            <w:gridSpan w:val="4"/>
            <w:tcBorders>
              <w:top w:val="single" w:color="auto" w:sz="8" w:space="0"/>
              <w:left w:val="single" w:color="auto" w:sz="8" w:space="0"/>
              <w:bottom w:val="single" w:color="auto" w:sz="8" w:space="0"/>
              <w:right w:val="single" w:color="000000" w:sz="8" w:space="0"/>
            </w:tcBorders>
            <w:vAlign w:val="center"/>
          </w:tcPr>
          <w:p w14:paraId="3B81DC77">
            <w:pPr>
              <w:jc w:val="center"/>
              <w:rPr>
                <w:rFonts w:hint="eastAsia"/>
                <w:color w:val="000000"/>
                <w:sz w:val="18"/>
                <w:szCs w:val="18"/>
              </w:rPr>
            </w:pPr>
            <w:r>
              <w:rPr>
                <w:rFonts w:hint="eastAsia"/>
                <w:color w:val="000000"/>
                <w:sz w:val="18"/>
                <w:szCs w:val="18"/>
              </w:rPr>
              <w:t>合计</w:t>
            </w:r>
          </w:p>
        </w:tc>
        <w:tc>
          <w:tcPr>
            <w:tcW w:w="1080" w:type="dxa"/>
            <w:tcBorders>
              <w:top w:val="nil"/>
              <w:left w:val="nil"/>
              <w:bottom w:val="single" w:color="auto" w:sz="8" w:space="0"/>
              <w:right w:val="single" w:color="auto" w:sz="8" w:space="0"/>
            </w:tcBorders>
            <w:noWrap/>
            <w:vAlign w:val="center"/>
          </w:tcPr>
          <w:p w14:paraId="7FF3A76E">
            <w:pPr>
              <w:jc w:val="center"/>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 xml:space="preserve">1418.13 </w:t>
            </w:r>
          </w:p>
        </w:tc>
      </w:tr>
    </w:tbl>
    <w:p w14:paraId="4565D80A">
      <w:pPr>
        <w:pStyle w:val="281"/>
        <w:ind w:firstLine="480"/>
      </w:pPr>
      <w:r>
        <w:rPr>
          <w:rFonts w:hint="eastAsia" w:ascii="宋体" w:hAnsi="宋体"/>
        </w:rPr>
        <w:t>由表</w:t>
      </w:r>
      <w:r>
        <w:rPr>
          <w:rFonts w:hint="eastAsia"/>
        </w:rPr>
        <w:t>7.3-</w:t>
      </w:r>
      <w:r>
        <w:t>2</w:t>
      </w:r>
      <w:r>
        <w:rPr>
          <w:rFonts w:hint="eastAsia" w:ascii="宋体" w:hAnsi="宋体"/>
        </w:rPr>
        <w:t>可知，本项目危险物质存在量与临界量比值</w:t>
      </w:r>
      <w:r>
        <w:rPr>
          <w:rFonts w:hint="eastAsia"/>
        </w:rPr>
        <w:t>Q</w:t>
      </w:r>
      <w:r>
        <w:rPr>
          <w:rFonts w:hint="eastAsia" w:ascii="宋体" w:hAnsi="宋体"/>
        </w:rPr>
        <w:t>为</w:t>
      </w:r>
      <w:r>
        <w:rPr>
          <w:rFonts w:hint="eastAsia"/>
        </w:rPr>
        <w:t>1418.13</w:t>
      </w:r>
      <w:r>
        <w:rPr>
          <w:rFonts w:hint="eastAsia" w:ascii="宋体" w:hAnsi="宋体"/>
        </w:rPr>
        <w:t>，</w:t>
      </w:r>
      <w:r>
        <w:rPr>
          <w:rFonts w:hint="eastAsia"/>
        </w:rPr>
        <w:t>Q</w:t>
      </w:r>
      <w:r>
        <w:rPr>
          <w:rFonts w:hint="eastAsia" w:ascii="宋体" w:hAnsi="宋体"/>
        </w:rPr>
        <w:t>≥</w:t>
      </w:r>
      <w:r>
        <w:rPr>
          <w:rFonts w:hint="eastAsia"/>
        </w:rPr>
        <w:t>100</w:t>
      </w:r>
      <w:r>
        <w:rPr>
          <w:rFonts w:hint="eastAsia" w:ascii="宋体" w:hAnsi="宋体"/>
        </w:rPr>
        <w:t>。</w:t>
      </w:r>
    </w:p>
    <w:bookmarkEnd w:id="457"/>
    <w:p w14:paraId="6F1DE447">
      <w:pPr>
        <w:pStyle w:val="281"/>
        <w:ind w:firstLine="480"/>
      </w:pPr>
      <w:r>
        <w:rPr>
          <w:rFonts w:hint="eastAsia" w:ascii="宋体" w:hAnsi="宋体"/>
        </w:rPr>
        <w:t>（</w:t>
      </w:r>
      <w:r>
        <w:rPr>
          <w:rFonts w:hint="eastAsia"/>
        </w:rPr>
        <w:t>2</w:t>
      </w:r>
      <w:r>
        <w:rPr>
          <w:rFonts w:hint="eastAsia" w:ascii="宋体" w:hAnsi="宋体"/>
        </w:rPr>
        <w:t>）行业及生产工艺（</w:t>
      </w:r>
      <w:r>
        <w:rPr>
          <w:rFonts w:hint="eastAsia"/>
        </w:rPr>
        <w:t>M</w:t>
      </w:r>
      <w:r>
        <w:rPr>
          <w:rFonts w:hint="eastAsia" w:ascii="宋体" w:hAnsi="宋体"/>
        </w:rPr>
        <w:t>）</w:t>
      </w:r>
    </w:p>
    <w:p w14:paraId="68CB602A">
      <w:pPr>
        <w:pStyle w:val="281"/>
        <w:ind w:firstLine="480"/>
      </w:pPr>
      <w:r>
        <w:rPr>
          <w:rFonts w:hint="eastAsia" w:ascii="宋体" w:hAnsi="宋体"/>
        </w:rPr>
        <w:t>分析项目所属行业及生产工艺特点，按照表</w:t>
      </w:r>
      <w:r>
        <w:rPr>
          <w:rFonts w:hint="eastAsia"/>
        </w:rPr>
        <w:t>7.3-3</w:t>
      </w:r>
      <w:r>
        <w:rPr>
          <w:rFonts w:hint="eastAsia" w:ascii="宋体" w:hAnsi="宋体"/>
        </w:rPr>
        <w:t>评估生产工艺情况。具有多套工艺单元的项目，对每套生产工艺分别评分并求和。将</w:t>
      </w:r>
      <w:r>
        <w:rPr>
          <w:rFonts w:hint="eastAsia"/>
        </w:rPr>
        <w:t>M</w:t>
      </w:r>
      <w:r>
        <w:rPr>
          <w:rFonts w:hint="eastAsia" w:ascii="宋体" w:hAnsi="宋体"/>
        </w:rPr>
        <w:t>划分为（</w:t>
      </w:r>
      <w:r>
        <w:rPr>
          <w:rFonts w:hint="eastAsia"/>
        </w:rPr>
        <w:t>1</w:t>
      </w:r>
      <w:r>
        <w:rPr>
          <w:rFonts w:hint="eastAsia" w:ascii="宋体" w:hAnsi="宋体"/>
        </w:rPr>
        <w:t>）</w:t>
      </w:r>
      <w:r>
        <w:rPr>
          <w:rFonts w:hint="eastAsia"/>
        </w:rPr>
        <w:t>M</w:t>
      </w:r>
      <w:r>
        <w:rPr>
          <w:rFonts w:hint="eastAsia" w:ascii="宋体" w:hAnsi="宋体"/>
        </w:rPr>
        <w:t>＞</w:t>
      </w:r>
      <w:r>
        <w:rPr>
          <w:rFonts w:hint="eastAsia"/>
        </w:rPr>
        <w:t>20</w:t>
      </w:r>
      <w:r>
        <w:rPr>
          <w:rFonts w:hint="eastAsia" w:ascii="宋体" w:hAnsi="宋体"/>
        </w:rPr>
        <w:t>；（</w:t>
      </w:r>
      <w:r>
        <w:rPr>
          <w:rFonts w:hint="eastAsia"/>
        </w:rPr>
        <w:t>2</w:t>
      </w:r>
      <w:r>
        <w:rPr>
          <w:rFonts w:hint="eastAsia" w:ascii="宋体" w:hAnsi="宋体"/>
        </w:rPr>
        <w:t>）</w:t>
      </w:r>
      <w:r>
        <w:rPr>
          <w:rFonts w:hint="eastAsia"/>
        </w:rPr>
        <w:t>10</w:t>
      </w:r>
      <w:r>
        <w:rPr>
          <w:rFonts w:hint="eastAsia" w:ascii="宋体" w:hAnsi="宋体"/>
        </w:rPr>
        <w:t>＜</w:t>
      </w:r>
      <w:r>
        <w:rPr>
          <w:rFonts w:hint="eastAsia"/>
        </w:rPr>
        <w:t>M</w:t>
      </w:r>
      <w:r>
        <w:t>≤</w:t>
      </w:r>
      <w:r>
        <w:rPr>
          <w:rFonts w:hint="eastAsia"/>
        </w:rPr>
        <w:t>20</w:t>
      </w:r>
      <w:r>
        <w:rPr>
          <w:rFonts w:hint="eastAsia" w:ascii="宋体" w:hAnsi="宋体"/>
        </w:rPr>
        <w:t>；（</w:t>
      </w:r>
      <w:r>
        <w:rPr>
          <w:rFonts w:hint="eastAsia"/>
        </w:rPr>
        <w:t>3</w:t>
      </w:r>
      <w:r>
        <w:rPr>
          <w:rFonts w:hint="eastAsia" w:ascii="宋体" w:hAnsi="宋体"/>
        </w:rPr>
        <w:t>）</w:t>
      </w:r>
      <w:r>
        <w:rPr>
          <w:rFonts w:hint="eastAsia"/>
        </w:rPr>
        <w:t>5</w:t>
      </w:r>
      <w:r>
        <w:rPr>
          <w:rFonts w:hint="eastAsia" w:ascii="宋体" w:hAnsi="宋体"/>
        </w:rPr>
        <w:t>＜</w:t>
      </w:r>
      <w:r>
        <w:rPr>
          <w:rFonts w:hint="eastAsia"/>
        </w:rPr>
        <w:t>M≤10</w:t>
      </w:r>
      <w:r>
        <w:rPr>
          <w:rFonts w:hint="eastAsia" w:ascii="宋体" w:hAnsi="宋体"/>
        </w:rPr>
        <w:t>；（</w:t>
      </w:r>
      <w:r>
        <w:rPr>
          <w:rFonts w:hint="eastAsia"/>
        </w:rPr>
        <w:t>4</w:t>
      </w:r>
      <w:r>
        <w:rPr>
          <w:rFonts w:hint="eastAsia" w:ascii="宋体" w:hAnsi="宋体"/>
        </w:rPr>
        <w:t>）</w:t>
      </w:r>
      <w:r>
        <w:rPr>
          <w:rFonts w:hint="eastAsia"/>
        </w:rPr>
        <w:t>M=5</w:t>
      </w:r>
      <w:r>
        <w:rPr>
          <w:rFonts w:hint="eastAsia" w:ascii="宋体" w:hAnsi="宋体"/>
        </w:rPr>
        <w:t>，分别以</w:t>
      </w:r>
      <w:r>
        <w:rPr>
          <w:rFonts w:hint="eastAsia"/>
        </w:rPr>
        <w:t>M1</w:t>
      </w:r>
      <w:r>
        <w:rPr>
          <w:rFonts w:hint="eastAsia" w:ascii="宋体" w:hAnsi="宋体"/>
        </w:rPr>
        <w:t>、</w:t>
      </w:r>
      <w:r>
        <w:rPr>
          <w:rFonts w:hint="eastAsia"/>
        </w:rPr>
        <w:t>M2</w:t>
      </w:r>
      <w:r>
        <w:rPr>
          <w:rFonts w:hint="eastAsia" w:ascii="宋体" w:hAnsi="宋体"/>
        </w:rPr>
        <w:t>、</w:t>
      </w:r>
      <w:r>
        <w:rPr>
          <w:rFonts w:hint="eastAsia"/>
        </w:rPr>
        <w:t>M3</w:t>
      </w:r>
      <w:r>
        <w:rPr>
          <w:rFonts w:hint="eastAsia" w:ascii="宋体" w:hAnsi="宋体"/>
        </w:rPr>
        <w:t>、和</w:t>
      </w:r>
      <w:r>
        <w:rPr>
          <w:rFonts w:hint="eastAsia"/>
        </w:rPr>
        <w:t>M4表示。企业生产工艺过程评估分值详见表7.3</w:t>
      </w:r>
      <w:r>
        <w:t>.2</w:t>
      </w:r>
      <w:r>
        <w:rPr>
          <w:rFonts w:hint="eastAsia"/>
        </w:rPr>
        <w:t>-</w:t>
      </w:r>
      <w:r>
        <w:t>2</w:t>
      </w:r>
      <w:r>
        <w:rPr>
          <w:rFonts w:hint="eastAsia" w:ascii="宋体" w:hAnsi="宋体"/>
        </w:rPr>
        <w:t>。</w:t>
      </w:r>
    </w:p>
    <w:p w14:paraId="5D352C82">
      <w:pPr>
        <w:pStyle w:val="541"/>
        <w:rPr>
          <w:rFonts w:hint="eastAsia"/>
        </w:rPr>
      </w:pPr>
      <w:r>
        <w:rPr>
          <w:rFonts w:hint="eastAsia"/>
        </w:rPr>
        <w:t>表7.3</w:t>
      </w:r>
      <w:r>
        <w:t xml:space="preserve">.2-2  </w:t>
      </w:r>
      <w:r>
        <w:rPr>
          <w:rFonts w:hint="eastAsia"/>
        </w:rPr>
        <w:t xml:space="preserve"> 企业生产工艺过程评估分值表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5275"/>
        <w:gridCol w:w="1334"/>
      </w:tblGrid>
      <w:tr w14:paraId="33C5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Align w:val="center"/>
          </w:tcPr>
          <w:p w14:paraId="5BF95DBA">
            <w:pPr>
              <w:pStyle w:val="557"/>
            </w:pPr>
            <w:r>
              <w:rPr>
                <w:rFonts w:hint="eastAsia"/>
              </w:rPr>
              <w:t>行业</w:t>
            </w:r>
          </w:p>
        </w:tc>
        <w:tc>
          <w:tcPr>
            <w:tcW w:w="5135" w:type="dxa"/>
            <w:vAlign w:val="center"/>
          </w:tcPr>
          <w:p w14:paraId="088D94FF">
            <w:pPr>
              <w:pStyle w:val="557"/>
            </w:pPr>
            <w:r>
              <w:rPr>
                <w:rFonts w:hint="eastAsia"/>
              </w:rPr>
              <w:t>评估依据</w:t>
            </w:r>
          </w:p>
        </w:tc>
        <w:tc>
          <w:tcPr>
            <w:tcW w:w="1299" w:type="dxa"/>
            <w:vAlign w:val="center"/>
          </w:tcPr>
          <w:p w14:paraId="3A99A7BF">
            <w:pPr>
              <w:pStyle w:val="557"/>
            </w:pPr>
            <w:r>
              <w:rPr>
                <w:rFonts w:hint="eastAsia"/>
              </w:rPr>
              <w:t>分值</w:t>
            </w:r>
          </w:p>
        </w:tc>
      </w:tr>
      <w:tr w14:paraId="2441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Merge w:val="restart"/>
            <w:vAlign w:val="center"/>
          </w:tcPr>
          <w:p w14:paraId="294B81F0">
            <w:pPr>
              <w:pStyle w:val="557"/>
            </w:pPr>
            <w:r>
              <w:rPr>
                <w:rFonts w:hint="eastAsia"/>
              </w:rPr>
              <w:t>石化、化工、医药、轻工、化纤、有色冶炼等</w:t>
            </w:r>
          </w:p>
        </w:tc>
        <w:tc>
          <w:tcPr>
            <w:tcW w:w="5135" w:type="dxa"/>
            <w:vAlign w:val="center"/>
          </w:tcPr>
          <w:p w14:paraId="50C4A8EE">
            <w:pPr>
              <w:pStyle w:val="557"/>
            </w:pPr>
            <w:r>
              <w:rPr>
                <w:rFonts w:hint="eastAsi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99" w:type="dxa"/>
            <w:vAlign w:val="center"/>
          </w:tcPr>
          <w:p w14:paraId="23919D03">
            <w:pPr>
              <w:pStyle w:val="557"/>
            </w:pPr>
            <w:r>
              <w:rPr>
                <w:rFonts w:hint="eastAsia"/>
              </w:rPr>
              <w:t>10/套</w:t>
            </w:r>
          </w:p>
        </w:tc>
      </w:tr>
      <w:tr w14:paraId="2890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Merge w:val="continue"/>
            <w:vAlign w:val="center"/>
          </w:tcPr>
          <w:p w14:paraId="7579CBF2">
            <w:pPr>
              <w:pStyle w:val="557"/>
            </w:pPr>
          </w:p>
        </w:tc>
        <w:tc>
          <w:tcPr>
            <w:tcW w:w="5135" w:type="dxa"/>
            <w:vAlign w:val="center"/>
          </w:tcPr>
          <w:p w14:paraId="5C91FE52">
            <w:pPr>
              <w:pStyle w:val="557"/>
            </w:pPr>
            <w:r>
              <w:rPr>
                <w:rFonts w:hint="eastAsia"/>
              </w:rPr>
              <w:t>无机酸制酸工艺、焦化工艺</w:t>
            </w:r>
          </w:p>
        </w:tc>
        <w:tc>
          <w:tcPr>
            <w:tcW w:w="1299" w:type="dxa"/>
            <w:vAlign w:val="center"/>
          </w:tcPr>
          <w:p w14:paraId="67D66FEC">
            <w:pPr>
              <w:pStyle w:val="557"/>
            </w:pPr>
            <w:r>
              <w:rPr>
                <w:rFonts w:hint="eastAsia"/>
              </w:rPr>
              <w:t>5/套</w:t>
            </w:r>
          </w:p>
        </w:tc>
      </w:tr>
      <w:tr w14:paraId="6269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Merge w:val="continue"/>
            <w:vAlign w:val="center"/>
          </w:tcPr>
          <w:p w14:paraId="4C631819">
            <w:pPr>
              <w:pStyle w:val="557"/>
            </w:pPr>
          </w:p>
        </w:tc>
        <w:tc>
          <w:tcPr>
            <w:tcW w:w="5135" w:type="dxa"/>
            <w:vAlign w:val="center"/>
          </w:tcPr>
          <w:p w14:paraId="10A064C8">
            <w:pPr>
              <w:pStyle w:val="557"/>
            </w:pPr>
            <w:r>
              <w:rPr>
                <w:rFonts w:hint="eastAsia"/>
              </w:rPr>
              <w:t>其他高温或高压，且涉及危险物质的工艺过程</w:t>
            </w:r>
            <w:r>
              <w:rPr>
                <w:rFonts w:hint="eastAsia"/>
                <w:vertAlign w:val="superscript"/>
              </w:rPr>
              <w:t>a</w:t>
            </w:r>
            <w:r>
              <w:rPr>
                <w:rFonts w:hint="eastAsia"/>
              </w:rPr>
              <w:t>、危险物质贮存罐区</w:t>
            </w:r>
          </w:p>
        </w:tc>
        <w:tc>
          <w:tcPr>
            <w:tcW w:w="1299" w:type="dxa"/>
            <w:vAlign w:val="center"/>
          </w:tcPr>
          <w:p w14:paraId="7446FD22">
            <w:pPr>
              <w:pStyle w:val="557"/>
            </w:pPr>
            <w:r>
              <w:rPr>
                <w:rFonts w:hint="eastAsia"/>
              </w:rPr>
              <w:t>5/套（罐区）</w:t>
            </w:r>
          </w:p>
        </w:tc>
      </w:tr>
      <w:tr w14:paraId="16EA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Align w:val="center"/>
          </w:tcPr>
          <w:p w14:paraId="150A3618">
            <w:pPr>
              <w:pStyle w:val="557"/>
            </w:pPr>
            <w:r>
              <w:rPr>
                <w:rFonts w:hint="eastAsia"/>
              </w:rPr>
              <w:t>管道、港口/码头等</w:t>
            </w:r>
          </w:p>
        </w:tc>
        <w:tc>
          <w:tcPr>
            <w:tcW w:w="5135" w:type="dxa"/>
            <w:vAlign w:val="center"/>
          </w:tcPr>
          <w:p w14:paraId="43CA03E5">
            <w:pPr>
              <w:pStyle w:val="557"/>
            </w:pPr>
            <w:r>
              <w:rPr>
                <w:rFonts w:hint="eastAsia"/>
              </w:rPr>
              <w:t>涉及危险物质管道运输项目、港口/码头等</w:t>
            </w:r>
          </w:p>
        </w:tc>
        <w:tc>
          <w:tcPr>
            <w:tcW w:w="1299" w:type="dxa"/>
            <w:vAlign w:val="center"/>
          </w:tcPr>
          <w:p w14:paraId="3804457A">
            <w:pPr>
              <w:pStyle w:val="557"/>
            </w:pPr>
            <w:r>
              <w:rPr>
                <w:rFonts w:hint="eastAsia"/>
              </w:rPr>
              <w:t>10</w:t>
            </w:r>
          </w:p>
        </w:tc>
      </w:tr>
      <w:tr w14:paraId="459A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Align w:val="center"/>
          </w:tcPr>
          <w:p w14:paraId="328B5420">
            <w:pPr>
              <w:pStyle w:val="557"/>
            </w:pPr>
            <w:r>
              <w:rPr>
                <w:rFonts w:hint="eastAsia"/>
              </w:rPr>
              <w:t>石油天然气</w:t>
            </w:r>
          </w:p>
        </w:tc>
        <w:tc>
          <w:tcPr>
            <w:tcW w:w="5135" w:type="dxa"/>
            <w:vAlign w:val="center"/>
          </w:tcPr>
          <w:p w14:paraId="26272F16">
            <w:pPr>
              <w:pStyle w:val="557"/>
            </w:pPr>
            <w:r>
              <w:rPr>
                <w:rFonts w:hint="eastAsia"/>
              </w:rPr>
              <w:t>石油、天然气、页岩气开采（含净化），气库（不含加气站的气库），油库（不含加气站的油库）、油气管线</w:t>
            </w:r>
            <w:r>
              <w:rPr>
                <w:rFonts w:hint="eastAsia"/>
                <w:vertAlign w:val="superscript"/>
              </w:rPr>
              <w:t>b</w:t>
            </w:r>
            <w:r>
              <w:rPr>
                <w:rFonts w:hint="eastAsia"/>
              </w:rPr>
              <w:t>（不含城镇燃气管线）</w:t>
            </w:r>
          </w:p>
        </w:tc>
        <w:tc>
          <w:tcPr>
            <w:tcW w:w="1299" w:type="dxa"/>
            <w:vAlign w:val="center"/>
          </w:tcPr>
          <w:p w14:paraId="48462234">
            <w:pPr>
              <w:pStyle w:val="557"/>
            </w:pPr>
            <w:r>
              <w:rPr>
                <w:rFonts w:hint="eastAsia"/>
              </w:rPr>
              <w:t>10</w:t>
            </w:r>
          </w:p>
        </w:tc>
      </w:tr>
      <w:tr w14:paraId="253E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62" w:type="dxa"/>
            <w:vAlign w:val="center"/>
          </w:tcPr>
          <w:p w14:paraId="65C68221">
            <w:pPr>
              <w:pStyle w:val="557"/>
            </w:pPr>
            <w:r>
              <w:rPr>
                <w:rFonts w:hint="eastAsia"/>
              </w:rPr>
              <w:t>其他</w:t>
            </w:r>
          </w:p>
        </w:tc>
        <w:tc>
          <w:tcPr>
            <w:tcW w:w="5135" w:type="dxa"/>
            <w:vAlign w:val="center"/>
          </w:tcPr>
          <w:p w14:paraId="0B7B2287">
            <w:pPr>
              <w:pStyle w:val="557"/>
            </w:pPr>
            <w:r>
              <w:rPr>
                <w:rFonts w:hint="eastAsia"/>
              </w:rPr>
              <w:t>涉及危险物质使用、贮存的项目</w:t>
            </w:r>
          </w:p>
        </w:tc>
        <w:tc>
          <w:tcPr>
            <w:tcW w:w="1299" w:type="dxa"/>
            <w:vAlign w:val="center"/>
          </w:tcPr>
          <w:p w14:paraId="0DE85629">
            <w:pPr>
              <w:pStyle w:val="557"/>
            </w:pPr>
            <w:r>
              <w:rPr>
                <w:rFonts w:hint="eastAsia"/>
              </w:rPr>
              <w:t>5</w:t>
            </w:r>
          </w:p>
        </w:tc>
      </w:tr>
      <w:tr w14:paraId="719E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96" w:type="dxa"/>
            <w:gridSpan w:val="3"/>
            <w:vAlign w:val="center"/>
          </w:tcPr>
          <w:p w14:paraId="5909F666">
            <w:pPr>
              <w:pStyle w:val="557"/>
            </w:pPr>
            <w:r>
              <w:rPr>
                <w:rFonts w:hint="eastAsia"/>
                <w:vertAlign w:val="superscript"/>
              </w:rPr>
              <w:t>a</w:t>
            </w:r>
            <w:r>
              <w:rPr>
                <w:rFonts w:hint="eastAsia"/>
              </w:rPr>
              <w:t>温度≥300℃，高压指压力容器的设计压力(P)≥10.0 MPa；</w:t>
            </w:r>
          </w:p>
          <w:p w14:paraId="6E3E9319">
            <w:pPr>
              <w:pStyle w:val="557"/>
            </w:pPr>
            <w:r>
              <w:rPr>
                <w:rFonts w:hint="eastAsia"/>
                <w:vertAlign w:val="superscript"/>
              </w:rPr>
              <w:t>b</w:t>
            </w:r>
            <w:r>
              <w:rPr>
                <w:rFonts w:hint="eastAsia"/>
              </w:rPr>
              <w:t>长输管道运输项目应按站场、管线分段进行评价。</w:t>
            </w:r>
          </w:p>
        </w:tc>
      </w:tr>
    </w:tbl>
    <w:p w14:paraId="5AC2552E">
      <w:pPr>
        <w:pStyle w:val="281"/>
        <w:ind w:firstLine="480"/>
      </w:pPr>
      <w:r>
        <w:t>本项目为煤化工行业</w:t>
      </w:r>
      <w:r>
        <w:rPr>
          <w:rFonts w:hint="eastAsia"/>
        </w:rPr>
        <w:t>，生产工艺M值计算见表7.3</w:t>
      </w:r>
      <w:r>
        <w:t>.2-</w:t>
      </w:r>
      <w:r>
        <w:rPr>
          <w:rFonts w:hint="eastAsia"/>
        </w:rPr>
        <w:t>4。</w:t>
      </w:r>
    </w:p>
    <w:p w14:paraId="6C4AA94A">
      <w:pPr>
        <w:pStyle w:val="645"/>
        <w:rPr>
          <w:rFonts w:hint="eastAsia"/>
        </w:rPr>
      </w:pPr>
      <w:r>
        <w:rPr>
          <w:rFonts w:hint="eastAsia"/>
        </w:rPr>
        <w:t>表7.3</w:t>
      </w:r>
      <w:r>
        <w:t>.2-</w:t>
      </w:r>
      <w:r>
        <w:rPr>
          <w:rFonts w:hint="eastAsia"/>
        </w:rPr>
        <w:t>4</w:t>
      </w:r>
      <w:r>
        <w:t xml:space="preserve">    </w:t>
      </w:r>
      <w:r>
        <w:rPr>
          <w:rFonts w:hint="eastAsia"/>
        </w:rPr>
        <w:t>本项目生产工艺M值计算表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710"/>
        <w:gridCol w:w="4300"/>
        <w:gridCol w:w="822"/>
        <w:gridCol w:w="1024"/>
      </w:tblGrid>
      <w:tr w14:paraId="2189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1" w:type="pct"/>
            <w:vAlign w:val="center"/>
          </w:tcPr>
          <w:p w14:paraId="074D6516">
            <w:pPr>
              <w:pStyle w:val="557"/>
            </w:pPr>
            <w:r>
              <w:rPr>
                <w:rFonts w:hint="eastAsia"/>
              </w:rPr>
              <w:t>序号</w:t>
            </w:r>
          </w:p>
        </w:tc>
        <w:tc>
          <w:tcPr>
            <w:tcW w:w="1003" w:type="pct"/>
            <w:vAlign w:val="center"/>
          </w:tcPr>
          <w:p w14:paraId="3F2BB15E">
            <w:pPr>
              <w:pStyle w:val="557"/>
            </w:pPr>
            <w:r>
              <w:rPr>
                <w:rFonts w:hint="eastAsia"/>
              </w:rPr>
              <w:t>单元名称</w:t>
            </w:r>
          </w:p>
        </w:tc>
        <w:tc>
          <w:tcPr>
            <w:tcW w:w="2523" w:type="pct"/>
            <w:vAlign w:val="center"/>
          </w:tcPr>
          <w:p w14:paraId="0A403BB8">
            <w:pPr>
              <w:pStyle w:val="557"/>
            </w:pPr>
            <w:r>
              <w:rPr>
                <w:rFonts w:hint="eastAsia"/>
              </w:rPr>
              <w:t>生产工艺</w:t>
            </w:r>
          </w:p>
        </w:tc>
        <w:tc>
          <w:tcPr>
            <w:tcW w:w="482" w:type="pct"/>
            <w:vAlign w:val="center"/>
          </w:tcPr>
          <w:p w14:paraId="5D3FA9C7">
            <w:pPr>
              <w:pStyle w:val="557"/>
            </w:pPr>
            <w:r>
              <w:rPr>
                <w:rFonts w:hint="eastAsia"/>
              </w:rPr>
              <w:t>数量</w:t>
            </w:r>
          </w:p>
        </w:tc>
        <w:tc>
          <w:tcPr>
            <w:tcW w:w="601" w:type="pct"/>
            <w:vAlign w:val="center"/>
          </w:tcPr>
          <w:p w14:paraId="6E613060">
            <w:pPr>
              <w:pStyle w:val="557"/>
            </w:pPr>
            <w:r>
              <w:rPr>
                <w:rFonts w:hint="eastAsia"/>
              </w:rPr>
              <w:t>M分值</w:t>
            </w:r>
          </w:p>
        </w:tc>
      </w:tr>
      <w:tr w14:paraId="6C1F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1" w:type="pct"/>
            <w:vAlign w:val="center"/>
          </w:tcPr>
          <w:p w14:paraId="3CC1970D">
            <w:pPr>
              <w:pStyle w:val="557"/>
            </w:pPr>
            <w:r>
              <w:rPr>
                <w:rFonts w:hint="eastAsia"/>
              </w:rPr>
              <w:t>1</w:t>
            </w:r>
          </w:p>
        </w:tc>
        <w:tc>
          <w:tcPr>
            <w:tcW w:w="1003" w:type="pct"/>
            <w:vAlign w:val="center"/>
          </w:tcPr>
          <w:p w14:paraId="69CCA5B0">
            <w:pPr>
              <w:pStyle w:val="557"/>
            </w:pPr>
            <w:r>
              <w:rPr>
                <w:rFonts w:hint="eastAsia"/>
              </w:rPr>
              <w:t>煤气化装置</w:t>
            </w:r>
          </w:p>
        </w:tc>
        <w:tc>
          <w:tcPr>
            <w:tcW w:w="2523" w:type="pct"/>
            <w:vAlign w:val="center"/>
          </w:tcPr>
          <w:p w14:paraId="6AFD3437">
            <w:pPr>
              <w:pStyle w:val="557"/>
            </w:pPr>
            <w:r>
              <w:rPr>
                <w:rFonts w:hint="eastAsia"/>
              </w:rPr>
              <w:t>新型煤化工工艺</w:t>
            </w:r>
          </w:p>
        </w:tc>
        <w:tc>
          <w:tcPr>
            <w:tcW w:w="482" w:type="pct"/>
            <w:vAlign w:val="center"/>
          </w:tcPr>
          <w:p w14:paraId="0EC915AC">
            <w:pPr>
              <w:pStyle w:val="557"/>
            </w:pPr>
            <w:r>
              <w:rPr>
                <w:rFonts w:hint="eastAsia"/>
              </w:rPr>
              <w:t>1</w:t>
            </w:r>
          </w:p>
        </w:tc>
        <w:tc>
          <w:tcPr>
            <w:tcW w:w="601" w:type="pct"/>
            <w:vAlign w:val="center"/>
          </w:tcPr>
          <w:p w14:paraId="53512C58">
            <w:pPr>
              <w:pStyle w:val="557"/>
            </w:pPr>
            <w:r>
              <w:rPr>
                <w:rFonts w:hint="eastAsia"/>
              </w:rPr>
              <w:t>10</w:t>
            </w:r>
          </w:p>
        </w:tc>
      </w:tr>
      <w:tr w14:paraId="280B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1" w:type="pct"/>
            <w:vAlign w:val="center"/>
          </w:tcPr>
          <w:p w14:paraId="7CC44CA7">
            <w:pPr>
              <w:pStyle w:val="557"/>
            </w:pPr>
            <w:r>
              <w:rPr>
                <w:rFonts w:hint="eastAsia"/>
              </w:rPr>
              <w:t>2</w:t>
            </w:r>
          </w:p>
        </w:tc>
        <w:tc>
          <w:tcPr>
            <w:tcW w:w="1003" w:type="pct"/>
            <w:vAlign w:val="center"/>
          </w:tcPr>
          <w:p w14:paraId="11BDA186">
            <w:pPr>
              <w:pStyle w:val="557"/>
            </w:pPr>
            <w:r>
              <w:rPr>
                <w:rFonts w:hint="eastAsia"/>
              </w:rPr>
              <w:t>合成氨装置</w:t>
            </w:r>
          </w:p>
        </w:tc>
        <w:tc>
          <w:tcPr>
            <w:tcW w:w="2523" w:type="pct"/>
            <w:vAlign w:val="center"/>
          </w:tcPr>
          <w:p w14:paraId="32EA5916">
            <w:pPr>
              <w:pStyle w:val="557"/>
            </w:pPr>
            <w:r>
              <w:rPr>
                <w:rFonts w:hint="eastAsia"/>
              </w:rPr>
              <w:t>合成氨工艺</w:t>
            </w:r>
          </w:p>
        </w:tc>
        <w:tc>
          <w:tcPr>
            <w:tcW w:w="482" w:type="pct"/>
            <w:vAlign w:val="center"/>
          </w:tcPr>
          <w:p w14:paraId="63687ECD">
            <w:pPr>
              <w:pStyle w:val="557"/>
            </w:pPr>
            <w:r>
              <w:rPr>
                <w:rFonts w:hint="eastAsia"/>
              </w:rPr>
              <w:t>1</w:t>
            </w:r>
          </w:p>
        </w:tc>
        <w:tc>
          <w:tcPr>
            <w:tcW w:w="601" w:type="pct"/>
            <w:vAlign w:val="center"/>
          </w:tcPr>
          <w:p w14:paraId="3AD56832">
            <w:pPr>
              <w:pStyle w:val="557"/>
            </w:pPr>
            <w:r>
              <w:rPr>
                <w:rFonts w:hint="eastAsia"/>
              </w:rPr>
              <w:t>10</w:t>
            </w:r>
          </w:p>
        </w:tc>
      </w:tr>
      <w:tr w14:paraId="12F2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1" w:type="pct"/>
            <w:vAlign w:val="center"/>
          </w:tcPr>
          <w:p w14:paraId="4F89A482">
            <w:pPr>
              <w:pStyle w:val="557"/>
            </w:pPr>
            <w:r>
              <w:rPr>
                <w:rFonts w:hint="eastAsia"/>
              </w:rPr>
              <w:t>3</w:t>
            </w:r>
          </w:p>
        </w:tc>
        <w:tc>
          <w:tcPr>
            <w:tcW w:w="1003" w:type="pct"/>
            <w:vAlign w:val="center"/>
          </w:tcPr>
          <w:p w14:paraId="6E78E026">
            <w:pPr>
              <w:pStyle w:val="557"/>
            </w:pPr>
            <w:r>
              <w:rPr>
                <w:rFonts w:hint="eastAsia"/>
              </w:rPr>
              <w:t>硫回收装置</w:t>
            </w:r>
          </w:p>
        </w:tc>
        <w:tc>
          <w:tcPr>
            <w:tcW w:w="2523" w:type="pct"/>
            <w:vAlign w:val="center"/>
          </w:tcPr>
          <w:p w14:paraId="2E3BF23D">
            <w:pPr>
              <w:pStyle w:val="557"/>
            </w:pPr>
            <w:r>
              <w:rPr>
                <w:rFonts w:hint="eastAsia"/>
              </w:rPr>
              <w:t>氧化工艺</w:t>
            </w:r>
          </w:p>
        </w:tc>
        <w:tc>
          <w:tcPr>
            <w:tcW w:w="482" w:type="pct"/>
            <w:vAlign w:val="center"/>
          </w:tcPr>
          <w:p w14:paraId="4CC8DF4F">
            <w:pPr>
              <w:pStyle w:val="557"/>
            </w:pPr>
            <w:r>
              <w:rPr>
                <w:rFonts w:hint="eastAsia"/>
              </w:rPr>
              <w:t>1</w:t>
            </w:r>
          </w:p>
        </w:tc>
        <w:tc>
          <w:tcPr>
            <w:tcW w:w="601" w:type="pct"/>
            <w:vAlign w:val="center"/>
          </w:tcPr>
          <w:p w14:paraId="512BA8AC">
            <w:pPr>
              <w:pStyle w:val="557"/>
            </w:pPr>
            <w:r>
              <w:rPr>
                <w:rFonts w:hint="eastAsia"/>
              </w:rPr>
              <w:t>10</w:t>
            </w:r>
          </w:p>
        </w:tc>
      </w:tr>
      <w:tr w14:paraId="5A0C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1" w:type="pct"/>
            <w:vAlign w:val="center"/>
          </w:tcPr>
          <w:p w14:paraId="04C56C15">
            <w:pPr>
              <w:pStyle w:val="557"/>
            </w:pPr>
            <w:r>
              <w:rPr>
                <w:rFonts w:hint="eastAsia"/>
              </w:rPr>
              <w:t>4</w:t>
            </w:r>
          </w:p>
        </w:tc>
        <w:tc>
          <w:tcPr>
            <w:tcW w:w="1003" w:type="pct"/>
            <w:vAlign w:val="center"/>
          </w:tcPr>
          <w:p w14:paraId="24D01FE5">
            <w:pPr>
              <w:pStyle w:val="557"/>
            </w:pPr>
            <w:r>
              <w:rPr>
                <w:rFonts w:hint="eastAsia"/>
              </w:rPr>
              <w:t>危险物质贮存罐区</w:t>
            </w:r>
          </w:p>
        </w:tc>
        <w:tc>
          <w:tcPr>
            <w:tcW w:w="2523" w:type="pct"/>
            <w:vAlign w:val="center"/>
          </w:tcPr>
          <w:p w14:paraId="5F646BDB">
            <w:pPr>
              <w:pStyle w:val="557"/>
              <w:jc w:val="left"/>
            </w:pPr>
            <w:r>
              <w:rPr>
                <w:rFonts w:hint="eastAsia"/>
              </w:rPr>
              <w:t>项目涉及危险物质贮存罐区：液氨罐区、综合罐区、亚硝酸甲酯罐区</w:t>
            </w:r>
          </w:p>
        </w:tc>
        <w:tc>
          <w:tcPr>
            <w:tcW w:w="482" w:type="pct"/>
            <w:vAlign w:val="center"/>
          </w:tcPr>
          <w:p w14:paraId="2A8A9E55">
            <w:pPr>
              <w:pStyle w:val="557"/>
            </w:pPr>
            <w:r>
              <w:rPr>
                <w:rFonts w:hint="eastAsia"/>
              </w:rPr>
              <w:t>3</w:t>
            </w:r>
          </w:p>
        </w:tc>
        <w:tc>
          <w:tcPr>
            <w:tcW w:w="601" w:type="pct"/>
            <w:vAlign w:val="center"/>
          </w:tcPr>
          <w:p w14:paraId="22E8DA54">
            <w:pPr>
              <w:pStyle w:val="557"/>
            </w:pPr>
            <w:r>
              <w:rPr>
                <w:rFonts w:hint="eastAsia"/>
              </w:rPr>
              <w:t>15</w:t>
            </w:r>
          </w:p>
        </w:tc>
      </w:tr>
      <w:tr w14:paraId="0BFE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vAlign w:val="center"/>
          </w:tcPr>
          <w:p w14:paraId="2E5EF588">
            <w:pPr>
              <w:pStyle w:val="557"/>
              <w:jc w:val="left"/>
            </w:pPr>
            <w:r>
              <w:rPr>
                <w:rFonts w:hint="eastAsia"/>
              </w:rPr>
              <w:t>M=∑Mi =45，即行业及生产工艺为M1。</w:t>
            </w:r>
          </w:p>
        </w:tc>
      </w:tr>
      <w:bookmarkEnd w:id="458"/>
    </w:tbl>
    <w:p w14:paraId="2ED6828D">
      <w:pPr>
        <w:pStyle w:val="128"/>
        <w:rPr>
          <w:rFonts w:hint="eastAsia"/>
        </w:rPr>
      </w:pPr>
      <w:r>
        <w:rPr>
          <w:rFonts w:hint="eastAsia"/>
        </w:rPr>
        <w:t>（3）危险物质及工艺系数危险性（P）值的确定</w:t>
      </w:r>
    </w:p>
    <w:p w14:paraId="765B154A">
      <w:pPr>
        <w:pStyle w:val="128"/>
        <w:rPr>
          <w:rFonts w:hint="eastAsia"/>
        </w:rPr>
      </w:pPr>
      <w:r>
        <w:rPr>
          <w:rFonts w:hint="eastAsia"/>
        </w:rPr>
        <w:t>根据危险物质数量与临界量比值（Q）和行业及生产工艺（M）确定危险物质及工艺系统危险性等级（P）判断，其判断依据，见表7.3</w:t>
      </w:r>
      <w:r>
        <w:t>.2-4</w:t>
      </w:r>
      <w:r>
        <w:rPr>
          <w:rFonts w:hint="eastAsia"/>
        </w:rPr>
        <w:t>。</w:t>
      </w:r>
    </w:p>
    <w:p w14:paraId="1F4CAF52">
      <w:pPr>
        <w:pStyle w:val="541"/>
        <w:rPr>
          <w:rFonts w:hint="eastAsia"/>
        </w:rPr>
      </w:pPr>
      <w:r>
        <w:rPr>
          <w:rFonts w:hint="eastAsia"/>
        </w:rPr>
        <w:t>表7.3</w:t>
      </w:r>
      <w:r>
        <w:t>.2-</w:t>
      </w:r>
      <w:r>
        <w:rPr>
          <w:rFonts w:hint="eastAsia"/>
        </w:rPr>
        <w:t xml:space="preserve">5  </w:t>
      </w:r>
      <w:r>
        <w:t xml:space="preserve">  </w:t>
      </w:r>
      <w:r>
        <w:rPr>
          <w:rFonts w:hint="eastAsia"/>
        </w:rPr>
        <w:t>危险物质及工艺系统危险性等级判断（P）</w:t>
      </w:r>
    </w:p>
    <w:tbl>
      <w:tblPr>
        <w:tblStyle w:val="6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1"/>
        <w:gridCol w:w="1701"/>
        <w:gridCol w:w="1701"/>
        <w:gridCol w:w="1699"/>
      </w:tblGrid>
      <w:tr w14:paraId="7F4C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1" w:type="pct"/>
            <w:vMerge w:val="restart"/>
            <w:vAlign w:val="center"/>
          </w:tcPr>
          <w:p w14:paraId="5BEEA4F2">
            <w:pPr>
              <w:pStyle w:val="557"/>
            </w:pPr>
            <w:r>
              <w:t>危险物质数量与临界量比值（Q）</w:t>
            </w:r>
          </w:p>
        </w:tc>
        <w:tc>
          <w:tcPr>
            <w:tcW w:w="3999" w:type="pct"/>
            <w:gridSpan w:val="4"/>
            <w:vAlign w:val="center"/>
          </w:tcPr>
          <w:p w14:paraId="6D3AAEAE">
            <w:pPr>
              <w:pStyle w:val="557"/>
            </w:pPr>
            <w:r>
              <w:t>行业及生产工艺（P）</w:t>
            </w:r>
          </w:p>
        </w:tc>
      </w:tr>
      <w:tr w14:paraId="7FA2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1" w:type="pct"/>
            <w:vMerge w:val="continue"/>
            <w:vAlign w:val="center"/>
          </w:tcPr>
          <w:p w14:paraId="28DDA4F8">
            <w:pPr>
              <w:pStyle w:val="557"/>
            </w:pPr>
          </w:p>
        </w:tc>
        <w:tc>
          <w:tcPr>
            <w:tcW w:w="1000" w:type="pct"/>
            <w:vAlign w:val="center"/>
          </w:tcPr>
          <w:p w14:paraId="5A0E8400">
            <w:pPr>
              <w:pStyle w:val="557"/>
              <w:rPr>
                <w:lang w:eastAsia="en-US"/>
              </w:rPr>
            </w:pPr>
            <w:r>
              <w:rPr>
                <w:lang w:eastAsia="en-US"/>
              </w:rPr>
              <w:t>M1</w:t>
            </w:r>
          </w:p>
        </w:tc>
        <w:tc>
          <w:tcPr>
            <w:tcW w:w="1000" w:type="pct"/>
            <w:vAlign w:val="center"/>
          </w:tcPr>
          <w:p w14:paraId="79EADFE5">
            <w:pPr>
              <w:pStyle w:val="557"/>
              <w:rPr>
                <w:lang w:eastAsia="en-US"/>
              </w:rPr>
            </w:pPr>
            <w:r>
              <w:rPr>
                <w:lang w:eastAsia="en-US"/>
              </w:rPr>
              <w:t>M2</w:t>
            </w:r>
          </w:p>
        </w:tc>
        <w:tc>
          <w:tcPr>
            <w:tcW w:w="1000" w:type="pct"/>
            <w:vAlign w:val="center"/>
          </w:tcPr>
          <w:p w14:paraId="429C439C">
            <w:pPr>
              <w:pStyle w:val="557"/>
              <w:rPr>
                <w:lang w:eastAsia="en-US"/>
              </w:rPr>
            </w:pPr>
            <w:r>
              <w:rPr>
                <w:lang w:eastAsia="en-US"/>
              </w:rPr>
              <w:t>M3</w:t>
            </w:r>
          </w:p>
        </w:tc>
        <w:tc>
          <w:tcPr>
            <w:tcW w:w="1000" w:type="pct"/>
            <w:vAlign w:val="center"/>
          </w:tcPr>
          <w:p w14:paraId="7FDA9567">
            <w:pPr>
              <w:pStyle w:val="557"/>
              <w:rPr>
                <w:lang w:eastAsia="en-US"/>
              </w:rPr>
            </w:pPr>
            <w:r>
              <w:rPr>
                <w:lang w:eastAsia="en-US"/>
              </w:rPr>
              <w:t>M4</w:t>
            </w:r>
          </w:p>
        </w:tc>
      </w:tr>
      <w:tr w14:paraId="5CE2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1" w:type="pct"/>
            <w:vAlign w:val="center"/>
          </w:tcPr>
          <w:p w14:paraId="1BE90632">
            <w:pPr>
              <w:pStyle w:val="557"/>
              <w:rPr>
                <w:lang w:eastAsia="en-US"/>
              </w:rPr>
            </w:pPr>
            <w:r>
              <w:rPr>
                <w:lang w:eastAsia="en-US"/>
              </w:rPr>
              <w:t>Q≥100</w:t>
            </w:r>
          </w:p>
        </w:tc>
        <w:tc>
          <w:tcPr>
            <w:tcW w:w="1000" w:type="pct"/>
            <w:shd w:val="clear" w:color="auto" w:fill="D0CECE" w:themeFill="background2" w:themeFillShade="E6"/>
            <w:vAlign w:val="center"/>
          </w:tcPr>
          <w:p w14:paraId="559F7585">
            <w:pPr>
              <w:pStyle w:val="557"/>
              <w:rPr>
                <w:lang w:eastAsia="en-US"/>
              </w:rPr>
            </w:pPr>
            <w:r>
              <w:rPr>
                <w:lang w:eastAsia="en-US"/>
              </w:rPr>
              <w:t>P1</w:t>
            </w:r>
          </w:p>
        </w:tc>
        <w:tc>
          <w:tcPr>
            <w:tcW w:w="1000" w:type="pct"/>
            <w:vAlign w:val="center"/>
          </w:tcPr>
          <w:p w14:paraId="616C427C">
            <w:pPr>
              <w:pStyle w:val="557"/>
              <w:rPr>
                <w:lang w:eastAsia="en-US"/>
              </w:rPr>
            </w:pPr>
            <w:r>
              <w:rPr>
                <w:lang w:eastAsia="en-US"/>
              </w:rPr>
              <w:t>P1</w:t>
            </w:r>
          </w:p>
        </w:tc>
        <w:tc>
          <w:tcPr>
            <w:tcW w:w="1000" w:type="pct"/>
            <w:vAlign w:val="center"/>
          </w:tcPr>
          <w:p w14:paraId="113F80B7">
            <w:pPr>
              <w:pStyle w:val="557"/>
              <w:rPr>
                <w:lang w:eastAsia="en-US"/>
              </w:rPr>
            </w:pPr>
            <w:r>
              <w:rPr>
                <w:lang w:eastAsia="en-US"/>
              </w:rPr>
              <w:t>P2</w:t>
            </w:r>
          </w:p>
        </w:tc>
        <w:tc>
          <w:tcPr>
            <w:tcW w:w="1000" w:type="pct"/>
            <w:vAlign w:val="center"/>
          </w:tcPr>
          <w:p w14:paraId="4C39B503">
            <w:pPr>
              <w:pStyle w:val="557"/>
              <w:rPr>
                <w:lang w:eastAsia="en-US"/>
              </w:rPr>
            </w:pPr>
            <w:r>
              <w:rPr>
                <w:lang w:eastAsia="en-US"/>
              </w:rPr>
              <w:t>P3</w:t>
            </w:r>
          </w:p>
        </w:tc>
      </w:tr>
      <w:tr w14:paraId="7EBB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1" w:type="pct"/>
            <w:vAlign w:val="center"/>
          </w:tcPr>
          <w:p w14:paraId="66404083">
            <w:pPr>
              <w:pStyle w:val="557"/>
              <w:rPr>
                <w:lang w:eastAsia="en-US"/>
              </w:rPr>
            </w:pPr>
            <w:r>
              <w:rPr>
                <w:lang w:eastAsia="en-US"/>
              </w:rPr>
              <w:t>10≤Q＜100</w:t>
            </w:r>
          </w:p>
        </w:tc>
        <w:tc>
          <w:tcPr>
            <w:tcW w:w="1000" w:type="pct"/>
            <w:vAlign w:val="center"/>
          </w:tcPr>
          <w:p w14:paraId="49F7CC5D">
            <w:pPr>
              <w:pStyle w:val="557"/>
              <w:rPr>
                <w:lang w:eastAsia="en-US"/>
              </w:rPr>
            </w:pPr>
            <w:r>
              <w:rPr>
                <w:lang w:eastAsia="en-US"/>
              </w:rPr>
              <w:t>P1</w:t>
            </w:r>
          </w:p>
        </w:tc>
        <w:tc>
          <w:tcPr>
            <w:tcW w:w="1000" w:type="pct"/>
            <w:vAlign w:val="center"/>
          </w:tcPr>
          <w:p w14:paraId="4267DF68">
            <w:pPr>
              <w:pStyle w:val="557"/>
              <w:rPr>
                <w:lang w:eastAsia="en-US"/>
              </w:rPr>
            </w:pPr>
            <w:r>
              <w:rPr>
                <w:lang w:eastAsia="en-US"/>
              </w:rPr>
              <w:t>P2</w:t>
            </w:r>
          </w:p>
        </w:tc>
        <w:tc>
          <w:tcPr>
            <w:tcW w:w="1000" w:type="pct"/>
            <w:vAlign w:val="center"/>
          </w:tcPr>
          <w:p w14:paraId="25F26788">
            <w:pPr>
              <w:pStyle w:val="557"/>
              <w:rPr>
                <w:lang w:eastAsia="en-US"/>
              </w:rPr>
            </w:pPr>
            <w:r>
              <w:rPr>
                <w:lang w:eastAsia="en-US"/>
              </w:rPr>
              <w:t>P3</w:t>
            </w:r>
          </w:p>
        </w:tc>
        <w:tc>
          <w:tcPr>
            <w:tcW w:w="1000" w:type="pct"/>
            <w:vAlign w:val="center"/>
          </w:tcPr>
          <w:p w14:paraId="5F7AA292">
            <w:pPr>
              <w:pStyle w:val="557"/>
              <w:rPr>
                <w:lang w:eastAsia="en-US"/>
              </w:rPr>
            </w:pPr>
            <w:r>
              <w:rPr>
                <w:lang w:eastAsia="en-US"/>
              </w:rPr>
              <w:t>P4</w:t>
            </w:r>
          </w:p>
        </w:tc>
      </w:tr>
      <w:tr w14:paraId="1F3E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01" w:type="pct"/>
            <w:vAlign w:val="center"/>
          </w:tcPr>
          <w:p w14:paraId="026452B3">
            <w:pPr>
              <w:pStyle w:val="557"/>
              <w:rPr>
                <w:lang w:eastAsia="en-US"/>
              </w:rPr>
            </w:pPr>
            <w:r>
              <w:rPr>
                <w:lang w:eastAsia="en-US"/>
              </w:rPr>
              <w:t>1≤Q＜10</w:t>
            </w:r>
          </w:p>
        </w:tc>
        <w:tc>
          <w:tcPr>
            <w:tcW w:w="1000" w:type="pct"/>
            <w:vAlign w:val="center"/>
          </w:tcPr>
          <w:p w14:paraId="5DC558E5">
            <w:pPr>
              <w:pStyle w:val="557"/>
              <w:rPr>
                <w:lang w:eastAsia="en-US"/>
              </w:rPr>
            </w:pPr>
            <w:r>
              <w:rPr>
                <w:lang w:eastAsia="en-US"/>
              </w:rPr>
              <w:t>P2</w:t>
            </w:r>
          </w:p>
        </w:tc>
        <w:tc>
          <w:tcPr>
            <w:tcW w:w="1000" w:type="pct"/>
            <w:vAlign w:val="center"/>
          </w:tcPr>
          <w:p w14:paraId="76F0280D">
            <w:pPr>
              <w:pStyle w:val="557"/>
              <w:rPr>
                <w:lang w:eastAsia="en-US"/>
              </w:rPr>
            </w:pPr>
            <w:r>
              <w:rPr>
                <w:lang w:eastAsia="en-US"/>
              </w:rPr>
              <w:t>P3</w:t>
            </w:r>
          </w:p>
        </w:tc>
        <w:tc>
          <w:tcPr>
            <w:tcW w:w="1000" w:type="pct"/>
            <w:vAlign w:val="center"/>
          </w:tcPr>
          <w:p w14:paraId="763D69EA">
            <w:pPr>
              <w:pStyle w:val="557"/>
              <w:rPr>
                <w:lang w:eastAsia="en-US"/>
              </w:rPr>
            </w:pPr>
            <w:r>
              <w:rPr>
                <w:lang w:eastAsia="en-US"/>
              </w:rPr>
              <w:t>P4</w:t>
            </w:r>
          </w:p>
        </w:tc>
        <w:tc>
          <w:tcPr>
            <w:tcW w:w="1000" w:type="pct"/>
            <w:vAlign w:val="center"/>
          </w:tcPr>
          <w:p w14:paraId="2D152521">
            <w:pPr>
              <w:pStyle w:val="557"/>
              <w:rPr>
                <w:lang w:eastAsia="en-US"/>
              </w:rPr>
            </w:pPr>
            <w:r>
              <w:rPr>
                <w:lang w:eastAsia="en-US"/>
              </w:rPr>
              <w:t>P4</w:t>
            </w:r>
          </w:p>
        </w:tc>
      </w:tr>
    </w:tbl>
    <w:p w14:paraId="2E188C13">
      <w:pPr>
        <w:pStyle w:val="281"/>
        <w:ind w:firstLine="480"/>
      </w:pPr>
      <w:r>
        <w:rPr>
          <w:rFonts w:hint="eastAsia" w:ascii="宋体" w:hAnsi="宋体"/>
        </w:rPr>
        <w:t>通过</w:t>
      </w:r>
      <w:r>
        <w:rPr>
          <w:rFonts w:hint="eastAsia"/>
        </w:rPr>
        <w:t>表7.3</w:t>
      </w:r>
      <w:r>
        <w:t>.2-</w:t>
      </w:r>
      <w:r>
        <w:rPr>
          <w:rFonts w:hint="eastAsia"/>
        </w:rPr>
        <w:t>1</w:t>
      </w:r>
      <w:r>
        <w:rPr>
          <w:rFonts w:hint="eastAsia" w:ascii="宋体" w:hAnsi="宋体"/>
        </w:rPr>
        <w:t>和</w:t>
      </w:r>
      <w:r>
        <w:rPr>
          <w:rFonts w:hint="eastAsia"/>
        </w:rPr>
        <w:t>表7.3</w:t>
      </w:r>
      <w:r>
        <w:t>.2-</w:t>
      </w:r>
      <w:r>
        <w:rPr>
          <w:rFonts w:hint="eastAsia"/>
        </w:rPr>
        <w:t>4</w:t>
      </w:r>
      <w:r>
        <w:rPr>
          <w:rFonts w:hint="eastAsia" w:ascii="宋体" w:hAnsi="宋体"/>
        </w:rPr>
        <w:t>分析结果可知，本项目的</w:t>
      </w:r>
      <w:r>
        <w:rPr>
          <w:rFonts w:hint="eastAsia"/>
        </w:rPr>
        <w:t>Q</w:t>
      </w:r>
      <w:r>
        <w:rPr>
          <w:rFonts w:hint="eastAsia" w:ascii="宋体" w:hAnsi="宋体"/>
        </w:rPr>
        <w:t>≥</w:t>
      </w:r>
      <w:r>
        <w:rPr>
          <w:rFonts w:hint="eastAsia"/>
        </w:rPr>
        <w:t>100</w:t>
      </w:r>
      <w:r>
        <w:rPr>
          <w:rFonts w:hint="eastAsia" w:ascii="宋体" w:hAnsi="宋体"/>
        </w:rPr>
        <w:t>，</w:t>
      </w:r>
      <w:r>
        <w:rPr>
          <w:rFonts w:hint="eastAsia"/>
        </w:rPr>
        <w:t>M</w:t>
      </w:r>
      <w:r>
        <w:rPr>
          <w:rFonts w:hint="eastAsia" w:ascii="宋体" w:hAnsi="宋体"/>
        </w:rPr>
        <w:t>以</w:t>
      </w:r>
      <w:r>
        <w:rPr>
          <w:rFonts w:hint="eastAsia"/>
        </w:rPr>
        <w:t>M1</w:t>
      </w:r>
      <w:r>
        <w:rPr>
          <w:rFonts w:hint="eastAsia" w:ascii="宋体" w:hAnsi="宋体"/>
        </w:rPr>
        <w:t>表示，根据</w:t>
      </w:r>
      <w:r>
        <w:rPr>
          <w:rFonts w:hint="eastAsia"/>
        </w:rPr>
        <w:t>表7.3</w:t>
      </w:r>
      <w:r>
        <w:t>.2-</w:t>
      </w:r>
      <w:r>
        <w:rPr>
          <w:rFonts w:hint="eastAsia"/>
        </w:rPr>
        <w:t>5</w:t>
      </w:r>
      <w:r>
        <w:rPr>
          <w:rFonts w:hint="eastAsia" w:ascii="宋体" w:hAnsi="宋体"/>
        </w:rPr>
        <w:t>判断，本项目的</w:t>
      </w:r>
      <w:r>
        <w:rPr>
          <w:rFonts w:hint="eastAsia"/>
        </w:rPr>
        <w:t>P</w:t>
      </w:r>
      <w:r>
        <w:rPr>
          <w:rFonts w:hint="eastAsia" w:ascii="宋体" w:hAnsi="宋体"/>
        </w:rPr>
        <w:t>值以</w:t>
      </w:r>
      <w:r>
        <w:rPr>
          <w:rFonts w:hint="eastAsia"/>
        </w:rPr>
        <w:t>P1</w:t>
      </w:r>
      <w:r>
        <w:rPr>
          <w:rFonts w:hint="eastAsia" w:ascii="宋体" w:hAnsi="宋体"/>
        </w:rPr>
        <w:t>表示。</w:t>
      </w:r>
    </w:p>
    <w:p w14:paraId="7EC27650">
      <w:pPr>
        <w:pStyle w:val="97"/>
        <w:rPr>
          <w:rFonts w:hint="eastAsia"/>
        </w:rPr>
      </w:pPr>
      <w:r>
        <w:rPr>
          <w:rFonts w:hint="eastAsia"/>
        </w:rPr>
        <w:t>环境敏感程度（E）的确定</w:t>
      </w:r>
    </w:p>
    <w:p w14:paraId="0541CADC">
      <w:pPr>
        <w:pStyle w:val="281"/>
        <w:ind w:firstLine="480"/>
      </w:pPr>
      <w:r>
        <w:rPr>
          <w:rFonts w:hint="eastAsia" w:ascii="宋体" w:hAnsi="宋体"/>
        </w:rPr>
        <w:t>（</w:t>
      </w:r>
      <w:r>
        <w:rPr>
          <w:rFonts w:hint="eastAsia"/>
        </w:rPr>
        <w:t>1</w:t>
      </w:r>
      <w:r>
        <w:rPr>
          <w:rFonts w:hint="eastAsia" w:ascii="宋体" w:hAnsi="宋体"/>
        </w:rPr>
        <w:t>）大气环境</w:t>
      </w:r>
    </w:p>
    <w:p w14:paraId="48100DB2">
      <w:pPr>
        <w:pStyle w:val="281"/>
        <w:ind w:firstLine="480"/>
      </w:pPr>
      <w:r>
        <w:rPr>
          <w:rFonts w:hint="eastAsia" w:ascii="宋体" w:hAnsi="宋体"/>
        </w:rPr>
        <w:t>根据《建设项目环境风险评价技术导则》（</w:t>
      </w:r>
      <w:r>
        <w:rPr>
          <w:rFonts w:hint="eastAsia"/>
        </w:rPr>
        <w:t>HJ169-2018</w:t>
      </w:r>
      <w:r>
        <w:rPr>
          <w:rFonts w:hint="eastAsia" w:ascii="宋体" w:hAnsi="宋体"/>
        </w:rPr>
        <w:t>）附录</w:t>
      </w:r>
      <w:r>
        <w:rPr>
          <w:rFonts w:hint="eastAsia"/>
        </w:rPr>
        <w:t>D</w:t>
      </w:r>
      <w:r>
        <w:rPr>
          <w:rFonts w:hint="eastAsia" w:ascii="宋体" w:hAnsi="宋体"/>
        </w:rPr>
        <w:t>：项目所在区域大气环境敏感程度是依据环境敏感目标环境敏感性及人口密度划分环境风险受体的敏感性来确定。大气环境敏感程度共分为三种类型：</w:t>
      </w:r>
      <w:r>
        <w:rPr>
          <w:rFonts w:hint="eastAsia"/>
        </w:rPr>
        <w:t>E1</w:t>
      </w:r>
      <w:r>
        <w:rPr>
          <w:rFonts w:hint="eastAsia" w:ascii="宋体" w:hAnsi="宋体"/>
        </w:rPr>
        <w:t>为环境高度敏感区，</w:t>
      </w:r>
      <w:r>
        <w:rPr>
          <w:rFonts w:hint="eastAsia"/>
        </w:rPr>
        <w:t>E2</w:t>
      </w:r>
      <w:r>
        <w:rPr>
          <w:rFonts w:hint="eastAsia" w:ascii="宋体" w:hAnsi="宋体"/>
        </w:rPr>
        <w:t>为环境中度敏感区，</w:t>
      </w:r>
      <w:r>
        <w:rPr>
          <w:rFonts w:hint="eastAsia"/>
        </w:rPr>
        <w:t>E3</w:t>
      </w:r>
      <w:r>
        <w:rPr>
          <w:rFonts w:hint="eastAsia" w:ascii="宋体" w:hAnsi="宋体"/>
        </w:rPr>
        <w:t>为环境低度敏感区。</w:t>
      </w:r>
    </w:p>
    <w:p w14:paraId="2AEA5336">
      <w:pPr>
        <w:pStyle w:val="128"/>
        <w:rPr>
          <w:rFonts w:hint="eastAsia"/>
        </w:rPr>
      </w:pPr>
      <w:r>
        <w:rPr>
          <w:rFonts w:hint="eastAsia"/>
        </w:rPr>
        <w:t>区域大气环境敏感程度判定一览表，见表7.3</w:t>
      </w:r>
      <w:r>
        <w:t>.3</w:t>
      </w:r>
      <w:r>
        <w:rPr>
          <w:rFonts w:hint="eastAsia"/>
        </w:rPr>
        <w:t>-</w:t>
      </w:r>
      <w:r>
        <w:t>1</w:t>
      </w:r>
      <w:r>
        <w:rPr>
          <w:rFonts w:hint="eastAsia"/>
        </w:rPr>
        <w:t>。</w:t>
      </w:r>
    </w:p>
    <w:p w14:paraId="7A870785">
      <w:pPr>
        <w:pStyle w:val="541"/>
        <w:rPr>
          <w:rFonts w:hint="eastAsia"/>
        </w:rPr>
      </w:pPr>
      <w:bookmarkStart w:id="460" w:name="_Ref69750118"/>
      <w:r>
        <w:rPr>
          <w:rFonts w:hint="eastAsia"/>
        </w:rPr>
        <w:t>表7.3</w:t>
      </w:r>
      <w:bookmarkEnd w:id="460"/>
      <w:r>
        <w:t>.3-1</w:t>
      </w:r>
      <w:r>
        <w:rPr>
          <w:rFonts w:hint="eastAsia"/>
        </w:rPr>
        <w:t xml:space="preserve"> </w:t>
      </w:r>
      <w:r>
        <w:t xml:space="preserve">   </w:t>
      </w:r>
      <w:r>
        <w:rPr>
          <w:rFonts w:hint="eastAsia"/>
        </w:rPr>
        <w:t>区域大气环境敏感程度判定一览表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9"/>
        <w:gridCol w:w="5515"/>
        <w:gridCol w:w="2451"/>
      </w:tblGrid>
      <w:tr w14:paraId="6A98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17" w:type="pct"/>
            <w:vAlign w:val="center"/>
          </w:tcPr>
          <w:p w14:paraId="29386F68">
            <w:pPr>
              <w:pStyle w:val="557"/>
            </w:pPr>
            <w:r>
              <w:t>分级</w:t>
            </w:r>
          </w:p>
        </w:tc>
        <w:tc>
          <w:tcPr>
            <w:tcW w:w="3242" w:type="pct"/>
            <w:vAlign w:val="center"/>
          </w:tcPr>
          <w:p w14:paraId="7516A672">
            <w:pPr>
              <w:pStyle w:val="557"/>
            </w:pPr>
            <w:r>
              <w:t>大气环境敏感性</w:t>
            </w:r>
          </w:p>
        </w:tc>
        <w:tc>
          <w:tcPr>
            <w:tcW w:w="1441" w:type="pct"/>
            <w:vAlign w:val="center"/>
          </w:tcPr>
          <w:p w14:paraId="00FC5010">
            <w:pPr>
              <w:pStyle w:val="557"/>
            </w:pPr>
            <w:r>
              <w:t>项目所在区域判定情况</w:t>
            </w:r>
          </w:p>
        </w:tc>
      </w:tr>
      <w:tr w14:paraId="18AA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17" w:type="pct"/>
            <w:vAlign w:val="center"/>
          </w:tcPr>
          <w:p w14:paraId="6CA83435">
            <w:pPr>
              <w:pStyle w:val="557"/>
            </w:pPr>
            <w:r>
              <w:t>E1</w:t>
            </w:r>
          </w:p>
        </w:tc>
        <w:tc>
          <w:tcPr>
            <w:tcW w:w="3242" w:type="pct"/>
            <w:vAlign w:val="center"/>
          </w:tcPr>
          <w:p w14:paraId="0BE7B803">
            <w:pPr>
              <w:pStyle w:val="557"/>
            </w:pPr>
            <w:r>
              <w:t>周边5km范围内居住区、医疗卫生、文化教育、科研、行政办公等机构人口总数大于5万人，或其他需要特殊保护区域；或周边500m范围内人口总数大于1000人；油气、化学品输送管线管段周边200 m范围内，每千米管段人口数大于200人</w:t>
            </w:r>
          </w:p>
        </w:tc>
        <w:tc>
          <w:tcPr>
            <w:tcW w:w="1441" w:type="pct"/>
            <w:vMerge w:val="restart"/>
            <w:vAlign w:val="center"/>
          </w:tcPr>
          <w:p w14:paraId="538B0E26">
            <w:pPr>
              <w:pStyle w:val="557"/>
            </w:pPr>
            <w:r>
              <w:rPr>
                <w:rFonts w:hint="eastAsia"/>
              </w:rPr>
              <w:t>项目位于哈密工业园区南部循环经济产业园区，</w:t>
            </w:r>
            <w:r>
              <w:t>周边5km范围内居住区、医疗卫生、文化教育、科研、行政办公等机构人口总数小于1万人</w:t>
            </w:r>
            <w:r>
              <w:rPr>
                <w:rFonts w:hint="eastAsia"/>
              </w:rPr>
              <w:t>。</w:t>
            </w:r>
          </w:p>
        </w:tc>
      </w:tr>
      <w:tr w14:paraId="72A0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17" w:type="pct"/>
            <w:vAlign w:val="center"/>
          </w:tcPr>
          <w:p w14:paraId="684C82FA">
            <w:pPr>
              <w:pStyle w:val="557"/>
            </w:pPr>
            <w:r>
              <w:t>E2</w:t>
            </w:r>
          </w:p>
        </w:tc>
        <w:tc>
          <w:tcPr>
            <w:tcW w:w="3242" w:type="pct"/>
            <w:vAlign w:val="center"/>
          </w:tcPr>
          <w:p w14:paraId="5A49A69B">
            <w:pPr>
              <w:pStyle w:val="557"/>
            </w:pPr>
            <w: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c>
          <w:tcPr>
            <w:tcW w:w="1441" w:type="pct"/>
            <w:vMerge w:val="continue"/>
            <w:vAlign w:val="center"/>
          </w:tcPr>
          <w:p w14:paraId="568976D4">
            <w:pPr>
              <w:pStyle w:val="557"/>
            </w:pPr>
          </w:p>
        </w:tc>
      </w:tr>
      <w:tr w14:paraId="36FA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17" w:type="pct"/>
            <w:vAlign w:val="center"/>
          </w:tcPr>
          <w:p w14:paraId="116CD489">
            <w:pPr>
              <w:pStyle w:val="557"/>
            </w:pPr>
            <w:r>
              <w:t>E3</w:t>
            </w:r>
          </w:p>
        </w:tc>
        <w:tc>
          <w:tcPr>
            <w:tcW w:w="3242" w:type="pct"/>
            <w:vAlign w:val="center"/>
          </w:tcPr>
          <w:p w14:paraId="17224E62">
            <w:pPr>
              <w:pStyle w:val="557"/>
            </w:pPr>
            <w:r>
              <w:t>周边5km范围内居住区、医疗卫生、文化教育、科研、行政办公等机构人口总数小于1万人；或周边500m范围内人口总数小于500人；油气、化学品输送管线管段周边200m范围内，每千米管段人口数小于100人</w:t>
            </w:r>
          </w:p>
        </w:tc>
        <w:tc>
          <w:tcPr>
            <w:tcW w:w="1441" w:type="pct"/>
            <w:vMerge w:val="continue"/>
            <w:vAlign w:val="center"/>
          </w:tcPr>
          <w:p w14:paraId="1A25CB70">
            <w:pPr>
              <w:pStyle w:val="557"/>
            </w:pPr>
          </w:p>
        </w:tc>
      </w:tr>
      <w:tr w14:paraId="0B05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559" w:type="pct"/>
            <w:gridSpan w:val="2"/>
            <w:vAlign w:val="center"/>
          </w:tcPr>
          <w:p w14:paraId="3A65F8CA">
            <w:pPr>
              <w:pStyle w:val="557"/>
            </w:pPr>
            <w:r>
              <w:t>区域大气环境敏感程度判定</w:t>
            </w:r>
          </w:p>
        </w:tc>
        <w:tc>
          <w:tcPr>
            <w:tcW w:w="1441" w:type="pct"/>
            <w:vAlign w:val="center"/>
          </w:tcPr>
          <w:p w14:paraId="75063AAA">
            <w:pPr>
              <w:pStyle w:val="557"/>
            </w:pPr>
            <w:r>
              <w:rPr>
                <w:rFonts w:hint="eastAsia"/>
              </w:rPr>
              <w:t>E</w:t>
            </w:r>
            <w:r>
              <w:t>3</w:t>
            </w:r>
          </w:p>
        </w:tc>
      </w:tr>
    </w:tbl>
    <w:p w14:paraId="6FA90498">
      <w:pPr>
        <w:pStyle w:val="128"/>
        <w:rPr>
          <w:rFonts w:hint="eastAsia"/>
        </w:rPr>
      </w:pPr>
      <w:r>
        <w:rPr>
          <w:rFonts w:hint="eastAsia"/>
        </w:rPr>
        <w:t>（2）地表水环境</w:t>
      </w:r>
    </w:p>
    <w:p w14:paraId="4222410A">
      <w:pPr>
        <w:pStyle w:val="128"/>
        <w:rPr>
          <w:rFonts w:hint="eastAsia"/>
        </w:rPr>
      </w:pPr>
      <w:r>
        <w:rPr>
          <w:rFonts w:hint="eastAsia"/>
        </w:rPr>
        <w:t>区域地表水环境敏感程度分级原则见表7.3</w:t>
      </w:r>
      <w:r>
        <w:t>.3-2</w:t>
      </w:r>
      <w:r>
        <w:rPr>
          <w:rFonts w:hint="eastAsia"/>
        </w:rPr>
        <w:t>。地表水环境敏感目标分级判定、地表水功能敏感性分区判定分别见表7.3</w:t>
      </w:r>
      <w:r>
        <w:t>.3-3</w:t>
      </w:r>
      <w:r>
        <w:rPr>
          <w:rFonts w:hint="eastAsia"/>
        </w:rPr>
        <w:t>和表7.3</w:t>
      </w:r>
      <w:r>
        <w:t>.3-4</w:t>
      </w:r>
      <w:r>
        <w:rPr>
          <w:rFonts w:hint="eastAsia"/>
        </w:rPr>
        <w:t>。</w:t>
      </w:r>
    </w:p>
    <w:p w14:paraId="3726065C">
      <w:pPr>
        <w:pStyle w:val="128"/>
        <w:rPr>
          <w:rFonts w:hint="eastAsia"/>
        </w:rPr>
      </w:pPr>
    </w:p>
    <w:p w14:paraId="48CEB636">
      <w:pPr>
        <w:pStyle w:val="541"/>
        <w:rPr>
          <w:rFonts w:hint="eastAsia"/>
        </w:rPr>
      </w:pPr>
      <w:r>
        <w:rPr>
          <w:rFonts w:hint="eastAsia"/>
        </w:rPr>
        <w:t>表7.3</w:t>
      </w:r>
      <w:r>
        <w:t xml:space="preserve">.3-2    </w:t>
      </w:r>
      <w:r>
        <w:rPr>
          <w:rFonts w:hint="eastAsia"/>
        </w:rPr>
        <w:t>地表水环境敏感程度分级原则一览表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7"/>
        <w:gridCol w:w="2304"/>
        <w:gridCol w:w="2127"/>
        <w:gridCol w:w="2127"/>
      </w:tblGrid>
      <w:tr w14:paraId="4D4F9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51" w:type="dxa"/>
            <w:vMerge w:val="restart"/>
            <w:tcBorders>
              <w:top w:val="single" w:color="000000" w:sz="4" w:space="0"/>
              <w:left w:val="single" w:color="000000" w:sz="4" w:space="0"/>
              <w:bottom w:val="single" w:color="000000" w:sz="4" w:space="0"/>
              <w:right w:val="single" w:color="000000" w:sz="4" w:space="0"/>
            </w:tcBorders>
            <w:vAlign w:val="center"/>
          </w:tcPr>
          <w:p w14:paraId="3D3117B3">
            <w:pPr>
              <w:pStyle w:val="557"/>
            </w:pPr>
            <w:r>
              <w:rPr>
                <w:rFonts w:hint="eastAsia"/>
              </w:rPr>
              <w:t>环境敏感目标</w:t>
            </w:r>
          </w:p>
        </w:tc>
        <w:tc>
          <w:tcPr>
            <w:tcW w:w="6571" w:type="dxa"/>
            <w:gridSpan w:val="3"/>
            <w:tcBorders>
              <w:top w:val="single" w:color="000000" w:sz="4" w:space="0"/>
              <w:left w:val="single" w:color="000000" w:sz="4" w:space="0"/>
              <w:bottom w:val="single" w:color="000000" w:sz="4" w:space="0"/>
              <w:right w:val="single" w:color="000000" w:sz="4" w:space="0"/>
            </w:tcBorders>
            <w:vAlign w:val="center"/>
          </w:tcPr>
          <w:p w14:paraId="1F66FEF4">
            <w:pPr>
              <w:pStyle w:val="557"/>
            </w:pPr>
            <w:r>
              <w:rPr>
                <w:rFonts w:hint="eastAsia"/>
              </w:rPr>
              <w:t>地表水功能敏感性</w:t>
            </w:r>
          </w:p>
        </w:tc>
      </w:tr>
      <w:tr w14:paraId="3CAF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6F6732">
            <w:pPr>
              <w:pStyle w:val="557"/>
            </w:pPr>
          </w:p>
        </w:tc>
        <w:tc>
          <w:tcPr>
            <w:tcW w:w="2309" w:type="dxa"/>
            <w:tcBorders>
              <w:top w:val="single" w:color="000000" w:sz="4" w:space="0"/>
              <w:left w:val="single" w:color="000000" w:sz="4" w:space="0"/>
              <w:bottom w:val="single" w:color="000000" w:sz="4" w:space="0"/>
              <w:right w:val="single" w:color="000000" w:sz="4" w:space="0"/>
            </w:tcBorders>
            <w:vAlign w:val="center"/>
          </w:tcPr>
          <w:p w14:paraId="4CD68ACE">
            <w:pPr>
              <w:pStyle w:val="557"/>
            </w:pPr>
            <w:r>
              <w:rPr>
                <w:rFonts w:hint="eastAsia"/>
              </w:rPr>
              <w:t>F1</w:t>
            </w:r>
          </w:p>
        </w:tc>
        <w:tc>
          <w:tcPr>
            <w:tcW w:w="2131" w:type="dxa"/>
            <w:tcBorders>
              <w:top w:val="single" w:color="000000" w:sz="4" w:space="0"/>
              <w:left w:val="single" w:color="000000" w:sz="4" w:space="0"/>
              <w:bottom w:val="single" w:color="000000" w:sz="4" w:space="0"/>
              <w:right w:val="single" w:color="000000" w:sz="4" w:space="0"/>
            </w:tcBorders>
            <w:vAlign w:val="center"/>
          </w:tcPr>
          <w:p w14:paraId="5D97F007">
            <w:pPr>
              <w:pStyle w:val="557"/>
            </w:pPr>
            <w:r>
              <w:rPr>
                <w:rFonts w:hint="eastAsia"/>
              </w:rPr>
              <w:t>F2</w:t>
            </w:r>
          </w:p>
        </w:tc>
        <w:tc>
          <w:tcPr>
            <w:tcW w:w="2131" w:type="dxa"/>
            <w:tcBorders>
              <w:top w:val="single" w:color="000000" w:sz="4" w:space="0"/>
              <w:left w:val="single" w:color="000000" w:sz="4" w:space="0"/>
              <w:bottom w:val="single" w:color="000000" w:sz="4" w:space="0"/>
              <w:right w:val="single" w:color="000000" w:sz="4" w:space="0"/>
            </w:tcBorders>
            <w:vAlign w:val="center"/>
          </w:tcPr>
          <w:p w14:paraId="28E03721">
            <w:pPr>
              <w:pStyle w:val="557"/>
            </w:pPr>
            <w:r>
              <w:rPr>
                <w:rFonts w:hint="eastAsia"/>
              </w:rPr>
              <w:t>F3</w:t>
            </w:r>
          </w:p>
        </w:tc>
      </w:tr>
      <w:tr w14:paraId="0F3A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51" w:type="dxa"/>
            <w:tcBorders>
              <w:top w:val="single" w:color="000000" w:sz="4" w:space="0"/>
              <w:left w:val="single" w:color="000000" w:sz="4" w:space="0"/>
              <w:bottom w:val="single" w:color="000000" w:sz="4" w:space="0"/>
              <w:right w:val="single" w:color="000000" w:sz="4" w:space="0"/>
            </w:tcBorders>
            <w:vAlign w:val="center"/>
          </w:tcPr>
          <w:p w14:paraId="399D3C0A">
            <w:pPr>
              <w:pStyle w:val="557"/>
            </w:pPr>
            <w:r>
              <w:rPr>
                <w:rFonts w:hint="eastAsia"/>
              </w:rPr>
              <w:t>S1</w:t>
            </w:r>
          </w:p>
        </w:tc>
        <w:tc>
          <w:tcPr>
            <w:tcW w:w="2309" w:type="dxa"/>
            <w:tcBorders>
              <w:top w:val="single" w:color="000000" w:sz="4" w:space="0"/>
              <w:left w:val="single" w:color="000000" w:sz="4" w:space="0"/>
              <w:bottom w:val="single" w:color="000000" w:sz="4" w:space="0"/>
              <w:right w:val="single" w:color="000000" w:sz="4" w:space="0"/>
            </w:tcBorders>
            <w:vAlign w:val="center"/>
          </w:tcPr>
          <w:p w14:paraId="6015241F">
            <w:pPr>
              <w:pStyle w:val="557"/>
            </w:pPr>
            <w:r>
              <w:rPr>
                <w:rFonts w:hint="eastAsia"/>
              </w:rPr>
              <w:t>E1</w:t>
            </w:r>
          </w:p>
        </w:tc>
        <w:tc>
          <w:tcPr>
            <w:tcW w:w="2131" w:type="dxa"/>
            <w:tcBorders>
              <w:top w:val="single" w:color="000000" w:sz="4" w:space="0"/>
              <w:left w:val="single" w:color="000000" w:sz="4" w:space="0"/>
              <w:bottom w:val="single" w:color="000000" w:sz="4" w:space="0"/>
              <w:right w:val="single" w:color="000000" w:sz="4" w:space="0"/>
            </w:tcBorders>
            <w:vAlign w:val="center"/>
          </w:tcPr>
          <w:p w14:paraId="2617A6F5">
            <w:pPr>
              <w:pStyle w:val="557"/>
            </w:pPr>
            <w:r>
              <w:rPr>
                <w:rFonts w:hint="eastAsia"/>
              </w:rPr>
              <w:t>E1</w:t>
            </w:r>
          </w:p>
        </w:tc>
        <w:tc>
          <w:tcPr>
            <w:tcW w:w="2131" w:type="dxa"/>
            <w:tcBorders>
              <w:top w:val="single" w:color="000000" w:sz="4" w:space="0"/>
              <w:left w:val="single" w:color="000000" w:sz="4" w:space="0"/>
              <w:bottom w:val="single" w:color="000000" w:sz="4" w:space="0"/>
              <w:right w:val="single" w:color="000000" w:sz="4" w:space="0"/>
            </w:tcBorders>
            <w:vAlign w:val="center"/>
          </w:tcPr>
          <w:p w14:paraId="746CDBD8">
            <w:pPr>
              <w:pStyle w:val="557"/>
            </w:pPr>
            <w:r>
              <w:rPr>
                <w:rFonts w:hint="eastAsia"/>
              </w:rPr>
              <w:t>E2</w:t>
            </w:r>
          </w:p>
        </w:tc>
      </w:tr>
      <w:tr w14:paraId="37C2D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51" w:type="dxa"/>
            <w:tcBorders>
              <w:top w:val="single" w:color="000000" w:sz="4" w:space="0"/>
              <w:left w:val="single" w:color="000000" w:sz="4" w:space="0"/>
              <w:bottom w:val="single" w:color="000000" w:sz="4" w:space="0"/>
              <w:right w:val="single" w:color="000000" w:sz="4" w:space="0"/>
            </w:tcBorders>
            <w:vAlign w:val="center"/>
          </w:tcPr>
          <w:p w14:paraId="5FFC70FD">
            <w:pPr>
              <w:pStyle w:val="557"/>
            </w:pPr>
            <w:r>
              <w:rPr>
                <w:rFonts w:hint="eastAsia"/>
              </w:rPr>
              <w:t>S2</w:t>
            </w:r>
          </w:p>
        </w:tc>
        <w:tc>
          <w:tcPr>
            <w:tcW w:w="2309" w:type="dxa"/>
            <w:tcBorders>
              <w:top w:val="single" w:color="000000" w:sz="4" w:space="0"/>
              <w:left w:val="single" w:color="000000" w:sz="4" w:space="0"/>
              <w:bottom w:val="single" w:color="000000" w:sz="4" w:space="0"/>
              <w:right w:val="single" w:color="000000" w:sz="4" w:space="0"/>
            </w:tcBorders>
            <w:vAlign w:val="center"/>
          </w:tcPr>
          <w:p w14:paraId="72878D72">
            <w:pPr>
              <w:pStyle w:val="557"/>
            </w:pPr>
            <w:r>
              <w:rPr>
                <w:rFonts w:hint="eastAsia"/>
              </w:rPr>
              <w:t>E1</w:t>
            </w:r>
          </w:p>
        </w:tc>
        <w:tc>
          <w:tcPr>
            <w:tcW w:w="2131" w:type="dxa"/>
            <w:tcBorders>
              <w:top w:val="single" w:color="000000" w:sz="4" w:space="0"/>
              <w:left w:val="single" w:color="000000" w:sz="4" w:space="0"/>
              <w:bottom w:val="single" w:color="000000" w:sz="4" w:space="0"/>
              <w:right w:val="single" w:color="000000" w:sz="4" w:space="0"/>
            </w:tcBorders>
            <w:vAlign w:val="center"/>
          </w:tcPr>
          <w:p w14:paraId="554A5210">
            <w:pPr>
              <w:pStyle w:val="557"/>
            </w:pPr>
            <w:r>
              <w:rPr>
                <w:rFonts w:hint="eastAsia"/>
              </w:rPr>
              <w:t>E2</w:t>
            </w:r>
          </w:p>
        </w:tc>
        <w:tc>
          <w:tcPr>
            <w:tcW w:w="2131" w:type="dxa"/>
            <w:tcBorders>
              <w:top w:val="single" w:color="000000" w:sz="4" w:space="0"/>
              <w:left w:val="single" w:color="000000" w:sz="4" w:space="0"/>
              <w:bottom w:val="single" w:color="000000" w:sz="4" w:space="0"/>
              <w:right w:val="single" w:color="000000" w:sz="4" w:space="0"/>
            </w:tcBorders>
            <w:vAlign w:val="center"/>
          </w:tcPr>
          <w:p w14:paraId="1F3B0F33">
            <w:pPr>
              <w:pStyle w:val="557"/>
            </w:pPr>
            <w:r>
              <w:rPr>
                <w:rFonts w:hint="eastAsia"/>
              </w:rPr>
              <w:t>E3</w:t>
            </w:r>
          </w:p>
        </w:tc>
      </w:tr>
      <w:tr w14:paraId="5C313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951" w:type="dxa"/>
            <w:tcBorders>
              <w:top w:val="single" w:color="000000" w:sz="4" w:space="0"/>
              <w:left w:val="single" w:color="000000" w:sz="4" w:space="0"/>
              <w:bottom w:val="single" w:color="000000" w:sz="4" w:space="0"/>
              <w:right w:val="single" w:color="000000" w:sz="4" w:space="0"/>
            </w:tcBorders>
            <w:vAlign w:val="center"/>
          </w:tcPr>
          <w:p w14:paraId="484307E7">
            <w:pPr>
              <w:pStyle w:val="557"/>
            </w:pPr>
            <w:r>
              <w:rPr>
                <w:rFonts w:hint="eastAsia"/>
              </w:rPr>
              <w:t>S3</w:t>
            </w:r>
          </w:p>
        </w:tc>
        <w:tc>
          <w:tcPr>
            <w:tcW w:w="2309" w:type="dxa"/>
            <w:tcBorders>
              <w:top w:val="single" w:color="000000" w:sz="4" w:space="0"/>
              <w:left w:val="single" w:color="000000" w:sz="4" w:space="0"/>
              <w:bottom w:val="single" w:color="000000" w:sz="4" w:space="0"/>
              <w:right w:val="single" w:color="000000" w:sz="4" w:space="0"/>
            </w:tcBorders>
            <w:vAlign w:val="center"/>
          </w:tcPr>
          <w:p w14:paraId="4E9312DE">
            <w:pPr>
              <w:pStyle w:val="557"/>
            </w:pPr>
            <w:r>
              <w:rPr>
                <w:rFonts w:hint="eastAsia"/>
              </w:rPr>
              <w:t>E2</w:t>
            </w:r>
          </w:p>
        </w:tc>
        <w:tc>
          <w:tcPr>
            <w:tcW w:w="2131" w:type="dxa"/>
            <w:tcBorders>
              <w:top w:val="single" w:color="000000" w:sz="4" w:space="0"/>
              <w:left w:val="single" w:color="000000" w:sz="4" w:space="0"/>
              <w:bottom w:val="single" w:color="000000" w:sz="4" w:space="0"/>
              <w:right w:val="single" w:color="000000" w:sz="4" w:space="0"/>
            </w:tcBorders>
            <w:vAlign w:val="center"/>
          </w:tcPr>
          <w:p w14:paraId="7B47A257">
            <w:pPr>
              <w:pStyle w:val="557"/>
            </w:pPr>
            <w:r>
              <w:rPr>
                <w:rFonts w:hint="eastAsia"/>
              </w:rPr>
              <w:t>E2</w:t>
            </w:r>
          </w:p>
        </w:tc>
        <w:tc>
          <w:tcPr>
            <w:tcW w:w="2131" w:type="dxa"/>
            <w:tcBorders>
              <w:top w:val="single" w:color="000000" w:sz="4" w:space="0"/>
              <w:left w:val="single" w:color="000000" w:sz="4" w:space="0"/>
              <w:bottom w:val="single" w:color="000000" w:sz="4" w:space="0"/>
              <w:right w:val="single" w:color="000000" w:sz="4" w:space="0"/>
            </w:tcBorders>
            <w:vAlign w:val="center"/>
          </w:tcPr>
          <w:p w14:paraId="062BDFB1">
            <w:pPr>
              <w:pStyle w:val="557"/>
            </w:pPr>
            <w:r>
              <w:rPr>
                <w:rFonts w:hint="eastAsia"/>
              </w:rPr>
              <w:t>E3</w:t>
            </w:r>
          </w:p>
        </w:tc>
      </w:tr>
    </w:tbl>
    <w:p w14:paraId="66CA7D6A">
      <w:pPr>
        <w:pStyle w:val="557"/>
      </w:pPr>
    </w:p>
    <w:p w14:paraId="013A2B7F">
      <w:pPr>
        <w:pStyle w:val="541"/>
        <w:rPr>
          <w:rFonts w:hint="eastAsia"/>
        </w:rPr>
      </w:pPr>
      <w:r>
        <w:rPr>
          <w:rFonts w:hint="eastAsia"/>
        </w:rPr>
        <w:t>表7.3</w:t>
      </w:r>
      <w:r>
        <w:t xml:space="preserve">.3-3    </w:t>
      </w:r>
      <w:r>
        <w:rPr>
          <w:rFonts w:hint="eastAsia"/>
        </w:rPr>
        <w:t>地表水环境敏感目标分级判定一览表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 w:type="dxa"/>
          <w:bottom w:w="0" w:type="dxa"/>
          <w:right w:w="6" w:type="dxa"/>
        </w:tblCellMar>
      </w:tblPr>
      <w:tblGrid>
        <w:gridCol w:w="584"/>
        <w:gridCol w:w="4773"/>
        <w:gridCol w:w="3148"/>
      </w:tblGrid>
      <w:tr w14:paraId="56B1D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573" w:type="dxa"/>
            <w:tcBorders>
              <w:top w:val="single" w:color="000000" w:sz="4" w:space="0"/>
              <w:left w:val="single" w:color="000000" w:sz="4" w:space="0"/>
              <w:bottom w:val="single" w:color="000000" w:sz="4" w:space="0"/>
              <w:right w:val="single" w:color="000000" w:sz="4" w:space="0"/>
            </w:tcBorders>
            <w:vAlign w:val="center"/>
          </w:tcPr>
          <w:p w14:paraId="2FA34E67">
            <w:pPr>
              <w:pStyle w:val="557"/>
            </w:pPr>
            <w:r>
              <w:rPr>
                <w:rFonts w:hint="eastAsia"/>
              </w:rPr>
              <w:t>分级</w:t>
            </w:r>
          </w:p>
        </w:tc>
        <w:tc>
          <w:tcPr>
            <w:tcW w:w="4678" w:type="dxa"/>
            <w:tcBorders>
              <w:top w:val="single" w:color="000000" w:sz="4" w:space="0"/>
              <w:left w:val="single" w:color="000000" w:sz="4" w:space="0"/>
              <w:bottom w:val="single" w:color="000000" w:sz="4" w:space="0"/>
              <w:right w:val="single" w:color="000000" w:sz="4" w:space="0"/>
            </w:tcBorders>
            <w:vAlign w:val="center"/>
          </w:tcPr>
          <w:p w14:paraId="27037FCA">
            <w:pPr>
              <w:pStyle w:val="557"/>
            </w:pPr>
            <w:r>
              <w:rPr>
                <w:rFonts w:hint="eastAsia"/>
              </w:rPr>
              <w:t>地表水环境敏感目标</w:t>
            </w:r>
          </w:p>
        </w:tc>
        <w:tc>
          <w:tcPr>
            <w:tcW w:w="3085" w:type="dxa"/>
            <w:tcBorders>
              <w:top w:val="single" w:color="000000" w:sz="4" w:space="0"/>
              <w:left w:val="single" w:color="000000" w:sz="4" w:space="0"/>
              <w:bottom w:val="single" w:color="000000" w:sz="4" w:space="0"/>
              <w:right w:val="single" w:color="000000" w:sz="4" w:space="0"/>
            </w:tcBorders>
          </w:tcPr>
          <w:p w14:paraId="4C4A3A77">
            <w:pPr>
              <w:pStyle w:val="557"/>
            </w:pPr>
            <w:r>
              <w:rPr>
                <w:rFonts w:hint="eastAsia"/>
              </w:rPr>
              <w:t>项目判定情况</w:t>
            </w:r>
          </w:p>
        </w:tc>
      </w:tr>
      <w:tr w14:paraId="7ECC1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573" w:type="dxa"/>
            <w:tcBorders>
              <w:top w:val="single" w:color="000000" w:sz="4" w:space="0"/>
              <w:left w:val="single" w:color="000000" w:sz="4" w:space="0"/>
              <w:bottom w:val="single" w:color="000000" w:sz="4" w:space="0"/>
              <w:right w:val="single" w:color="000000" w:sz="4" w:space="0"/>
            </w:tcBorders>
            <w:vAlign w:val="center"/>
          </w:tcPr>
          <w:p w14:paraId="7F15D0FA">
            <w:pPr>
              <w:pStyle w:val="557"/>
            </w:pPr>
            <w:r>
              <w:rPr>
                <w:rFonts w:hint="eastAsia"/>
              </w:rPr>
              <w:t>S1</w:t>
            </w:r>
          </w:p>
        </w:tc>
        <w:tc>
          <w:tcPr>
            <w:tcW w:w="4678" w:type="dxa"/>
            <w:tcBorders>
              <w:top w:val="single" w:color="000000" w:sz="4" w:space="0"/>
              <w:left w:val="single" w:color="000000" w:sz="4" w:space="0"/>
              <w:bottom w:val="single" w:color="000000" w:sz="4" w:space="0"/>
              <w:right w:val="single" w:color="000000" w:sz="4" w:space="0"/>
            </w:tcBorders>
            <w:vAlign w:val="center"/>
          </w:tcPr>
          <w:p w14:paraId="02FF11AB">
            <w:pPr>
              <w:pStyle w:val="557"/>
            </w:pPr>
            <w:r>
              <w:rPr>
                <w:rFonts w:hint="eastAsia"/>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3085" w:type="dxa"/>
            <w:vMerge w:val="restart"/>
            <w:tcBorders>
              <w:top w:val="single" w:color="000000" w:sz="4" w:space="0"/>
              <w:left w:val="single" w:color="000000" w:sz="4" w:space="0"/>
              <w:bottom w:val="single" w:color="000000" w:sz="4" w:space="0"/>
              <w:right w:val="single" w:color="000000" w:sz="4" w:space="0"/>
            </w:tcBorders>
          </w:tcPr>
          <w:p w14:paraId="0E557091">
            <w:pPr>
              <w:pStyle w:val="557"/>
            </w:pPr>
            <w:r>
              <w:rPr>
                <w:rFonts w:hint="eastAsia"/>
              </w:rPr>
              <w:t>项目位于哈密工业园区南部循环经济产业园区，周边最近的地表水为项目东南侧5.0km处南湖水库。危险物质泄漏到内陆水体的排放点下游不涉及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也不涉及水产养殖区；天然渔场；森林公园；地质公园；海滨风景游览区；具有重要经济价值的海洋生物生存区域</w:t>
            </w:r>
          </w:p>
        </w:tc>
      </w:tr>
      <w:tr w14:paraId="798A5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573" w:type="dxa"/>
            <w:tcBorders>
              <w:top w:val="single" w:color="000000" w:sz="4" w:space="0"/>
              <w:left w:val="single" w:color="000000" w:sz="4" w:space="0"/>
              <w:bottom w:val="single" w:color="000000" w:sz="4" w:space="0"/>
              <w:right w:val="single" w:color="000000" w:sz="4" w:space="0"/>
            </w:tcBorders>
            <w:vAlign w:val="center"/>
          </w:tcPr>
          <w:p w14:paraId="77320C67">
            <w:pPr>
              <w:pStyle w:val="557"/>
            </w:pPr>
            <w:r>
              <w:rPr>
                <w:rFonts w:hint="eastAsia"/>
              </w:rPr>
              <w:t>S2</w:t>
            </w:r>
          </w:p>
        </w:tc>
        <w:tc>
          <w:tcPr>
            <w:tcW w:w="4678" w:type="dxa"/>
            <w:tcBorders>
              <w:top w:val="single" w:color="000000" w:sz="4" w:space="0"/>
              <w:left w:val="single" w:color="000000" w:sz="4" w:space="0"/>
              <w:bottom w:val="single" w:color="000000" w:sz="4" w:space="0"/>
              <w:right w:val="single" w:color="000000" w:sz="4" w:space="0"/>
            </w:tcBorders>
            <w:vAlign w:val="center"/>
          </w:tcPr>
          <w:p w14:paraId="5612B3A4">
            <w:pPr>
              <w:pStyle w:val="557"/>
            </w:pPr>
            <w:r>
              <w:rPr>
                <w:rFonts w:hint="eastAsia"/>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c>
          <w:tcPr>
            <w:tcW w:w="3085" w:type="dxa"/>
            <w:vMerge w:val="continue"/>
            <w:tcBorders>
              <w:top w:val="single" w:color="000000" w:sz="4" w:space="0"/>
              <w:left w:val="single" w:color="000000" w:sz="4" w:space="0"/>
              <w:bottom w:val="single" w:color="000000" w:sz="4" w:space="0"/>
              <w:right w:val="single" w:color="000000" w:sz="4" w:space="0"/>
            </w:tcBorders>
            <w:vAlign w:val="center"/>
          </w:tcPr>
          <w:p w14:paraId="26828DE5">
            <w:pPr>
              <w:pStyle w:val="557"/>
            </w:pPr>
          </w:p>
        </w:tc>
      </w:tr>
      <w:tr w14:paraId="33719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573" w:type="dxa"/>
            <w:tcBorders>
              <w:top w:val="single" w:color="000000" w:sz="4" w:space="0"/>
              <w:left w:val="single" w:color="000000" w:sz="4" w:space="0"/>
              <w:bottom w:val="single" w:color="000000" w:sz="4" w:space="0"/>
              <w:right w:val="single" w:color="000000" w:sz="4" w:space="0"/>
            </w:tcBorders>
            <w:vAlign w:val="center"/>
          </w:tcPr>
          <w:p w14:paraId="4A8E96B6">
            <w:pPr>
              <w:pStyle w:val="557"/>
            </w:pPr>
            <w:r>
              <w:rPr>
                <w:rFonts w:hint="eastAsia"/>
              </w:rPr>
              <w:t>S3</w:t>
            </w:r>
          </w:p>
        </w:tc>
        <w:tc>
          <w:tcPr>
            <w:tcW w:w="4678" w:type="dxa"/>
            <w:tcBorders>
              <w:top w:val="single" w:color="000000" w:sz="4" w:space="0"/>
              <w:left w:val="single" w:color="000000" w:sz="4" w:space="0"/>
              <w:bottom w:val="single" w:color="000000" w:sz="4" w:space="0"/>
              <w:right w:val="single" w:color="000000" w:sz="4" w:space="0"/>
            </w:tcBorders>
            <w:vAlign w:val="center"/>
          </w:tcPr>
          <w:p w14:paraId="5B389EB4">
            <w:pPr>
              <w:pStyle w:val="557"/>
            </w:pPr>
            <w:r>
              <w:rPr>
                <w:rFonts w:hint="eastAsia"/>
              </w:rPr>
              <w:t>排放点下游（顺水流向）10 km范围、近岸海域一个潮周期水质点可能达到的最大水平距离的两倍范围内无上述类型1和类型 2包括的敏感保护目标</w:t>
            </w:r>
          </w:p>
        </w:tc>
        <w:tc>
          <w:tcPr>
            <w:tcW w:w="3085" w:type="dxa"/>
            <w:vMerge w:val="continue"/>
            <w:tcBorders>
              <w:top w:val="single" w:color="000000" w:sz="4" w:space="0"/>
              <w:left w:val="single" w:color="000000" w:sz="4" w:space="0"/>
              <w:bottom w:val="single" w:color="000000" w:sz="4" w:space="0"/>
              <w:right w:val="single" w:color="000000" w:sz="4" w:space="0"/>
            </w:tcBorders>
            <w:vAlign w:val="center"/>
          </w:tcPr>
          <w:p w14:paraId="262D5062">
            <w:pPr>
              <w:pStyle w:val="557"/>
            </w:pPr>
          </w:p>
        </w:tc>
      </w:tr>
      <w:tr w14:paraId="4A4AB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5251" w:type="dxa"/>
            <w:gridSpan w:val="2"/>
            <w:tcBorders>
              <w:top w:val="single" w:color="000000" w:sz="4" w:space="0"/>
              <w:left w:val="single" w:color="000000" w:sz="4" w:space="0"/>
              <w:bottom w:val="single" w:color="000000" w:sz="4" w:space="0"/>
              <w:right w:val="single" w:color="000000" w:sz="4" w:space="0"/>
            </w:tcBorders>
            <w:vAlign w:val="center"/>
          </w:tcPr>
          <w:p w14:paraId="2799DB6A">
            <w:pPr>
              <w:pStyle w:val="557"/>
            </w:pPr>
            <w:r>
              <w:rPr>
                <w:rFonts w:hint="eastAsia"/>
              </w:rPr>
              <w:t>地表水环境敏感目标判定</w:t>
            </w:r>
          </w:p>
        </w:tc>
        <w:tc>
          <w:tcPr>
            <w:tcW w:w="3085" w:type="dxa"/>
            <w:tcBorders>
              <w:top w:val="single" w:color="000000" w:sz="4" w:space="0"/>
              <w:left w:val="single" w:color="000000" w:sz="4" w:space="0"/>
              <w:bottom w:val="single" w:color="000000" w:sz="4" w:space="0"/>
              <w:right w:val="single" w:color="000000" w:sz="4" w:space="0"/>
            </w:tcBorders>
          </w:tcPr>
          <w:p w14:paraId="54834068">
            <w:pPr>
              <w:pStyle w:val="557"/>
            </w:pPr>
            <w:r>
              <w:rPr>
                <w:rFonts w:hint="eastAsia"/>
              </w:rPr>
              <w:t>S3</w:t>
            </w:r>
          </w:p>
        </w:tc>
      </w:tr>
    </w:tbl>
    <w:p w14:paraId="2FCA06B8">
      <w:pPr>
        <w:pStyle w:val="562"/>
        <w:ind w:firstLine="400"/>
        <w:rPr>
          <w:rFonts w:hint="eastAsia"/>
        </w:rPr>
      </w:pPr>
    </w:p>
    <w:p w14:paraId="74707EBB">
      <w:pPr>
        <w:pStyle w:val="541"/>
        <w:rPr>
          <w:rFonts w:hint="eastAsia"/>
        </w:rPr>
      </w:pPr>
      <w:r>
        <w:rPr>
          <w:rFonts w:hint="eastAsia"/>
        </w:rPr>
        <w:t>表7.3</w:t>
      </w:r>
      <w:r>
        <w:t>.3-4    地表水环境敏感程度判定一览</w:t>
      </w:r>
      <w:r>
        <w:rPr>
          <w:rFonts w:hint="eastAsia" w:ascii="宋体" w:hAnsi="宋体" w:eastAsia="宋体"/>
        </w:rPr>
        <w:t>表</w:t>
      </w:r>
    </w:p>
    <w:tbl>
      <w:tblPr>
        <w:tblStyle w:val="65"/>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 w:type="dxa"/>
          <w:bottom w:w="0" w:type="dxa"/>
          <w:right w:w="6" w:type="dxa"/>
        </w:tblCellMar>
      </w:tblPr>
      <w:tblGrid>
        <w:gridCol w:w="489"/>
        <w:gridCol w:w="6040"/>
        <w:gridCol w:w="1976"/>
      </w:tblGrid>
      <w:tr w14:paraId="59CB9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478" w:type="dxa"/>
            <w:tcBorders>
              <w:top w:val="single" w:color="000000" w:sz="4" w:space="0"/>
              <w:left w:val="single" w:color="000000" w:sz="4" w:space="0"/>
              <w:bottom w:val="single" w:color="000000" w:sz="4" w:space="0"/>
              <w:right w:val="single" w:color="000000" w:sz="4" w:space="0"/>
            </w:tcBorders>
            <w:vAlign w:val="center"/>
          </w:tcPr>
          <w:p w14:paraId="1ABACD7D">
            <w:pPr>
              <w:pStyle w:val="557"/>
            </w:pPr>
            <w:r>
              <w:rPr>
                <w:rFonts w:hint="eastAsia"/>
              </w:rPr>
              <w:t>分级</w:t>
            </w:r>
          </w:p>
        </w:tc>
        <w:tc>
          <w:tcPr>
            <w:tcW w:w="5907" w:type="dxa"/>
            <w:tcBorders>
              <w:top w:val="single" w:color="000000" w:sz="4" w:space="0"/>
              <w:left w:val="single" w:color="000000" w:sz="4" w:space="0"/>
              <w:bottom w:val="single" w:color="000000" w:sz="4" w:space="0"/>
              <w:right w:val="single" w:color="000000" w:sz="4" w:space="0"/>
            </w:tcBorders>
            <w:vAlign w:val="center"/>
          </w:tcPr>
          <w:p w14:paraId="0B69EA23">
            <w:pPr>
              <w:pStyle w:val="557"/>
            </w:pPr>
            <w:r>
              <w:rPr>
                <w:rFonts w:hint="eastAsia"/>
              </w:rPr>
              <w:t>地表水环境敏感性</w:t>
            </w:r>
          </w:p>
        </w:tc>
        <w:tc>
          <w:tcPr>
            <w:tcW w:w="1933" w:type="dxa"/>
            <w:tcBorders>
              <w:top w:val="single" w:color="000000" w:sz="4" w:space="0"/>
              <w:left w:val="single" w:color="000000" w:sz="4" w:space="0"/>
              <w:bottom w:val="single" w:color="000000" w:sz="4" w:space="0"/>
              <w:right w:val="single" w:color="000000" w:sz="4" w:space="0"/>
            </w:tcBorders>
            <w:vAlign w:val="center"/>
          </w:tcPr>
          <w:p w14:paraId="7947FD41">
            <w:pPr>
              <w:pStyle w:val="557"/>
            </w:pPr>
            <w:r>
              <w:rPr>
                <w:rFonts w:hint="eastAsia"/>
              </w:rPr>
              <w:t>项目判定情况</w:t>
            </w:r>
          </w:p>
        </w:tc>
      </w:tr>
      <w:tr w14:paraId="2242B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478" w:type="dxa"/>
            <w:tcBorders>
              <w:top w:val="single" w:color="000000" w:sz="4" w:space="0"/>
              <w:left w:val="single" w:color="000000" w:sz="4" w:space="0"/>
              <w:bottom w:val="single" w:color="000000" w:sz="4" w:space="0"/>
              <w:right w:val="single" w:color="000000" w:sz="4" w:space="0"/>
            </w:tcBorders>
            <w:vAlign w:val="center"/>
          </w:tcPr>
          <w:p w14:paraId="73728130">
            <w:pPr>
              <w:pStyle w:val="557"/>
            </w:pPr>
            <w:r>
              <w:rPr>
                <w:rFonts w:hint="eastAsia"/>
              </w:rPr>
              <w:t>F1</w:t>
            </w:r>
          </w:p>
        </w:tc>
        <w:tc>
          <w:tcPr>
            <w:tcW w:w="5907" w:type="dxa"/>
            <w:tcBorders>
              <w:top w:val="single" w:color="000000" w:sz="4" w:space="0"/>
              <w:left w:val="single" w:color="000000" w:sz="4" w:space="0"/>
              <w:bottom w:val="single" w:color="000000" w:sz="4" w:space="0"/>
              <w:right w:val="single" w:color="000000" w:sz="4" w:space="0"/>
            </w:tcBorders>
            <w:vAlign w:val="center"/>
          </w:tcPr>
          <w:p w14:paraId="0AD310F7">
            <w:pPr>
              <w:pStyle w:val="557"/>
            </w:pPr>
            <w:r>
              <w:t>排放点进入地表水水域环境功能为Ⅱ类及以上，或海水水质分类第一类；或以发生事故时，危险物质泄漏到水体的排放点算起，排放进入受纳河流最大流速时，24h流经范围内涉跨国界的</w:t>
            </w:r>
          </w:p>
        </w:tc>
        <w:tc>
          <w:tcPr>
            <w:tcW w:w="1933" w:type="dxa"/>
            <w:vMerge w:val="restart"/>
            <w:tcBorders>
              <w:top w:val="single" w:color="000000" w:sz="4" w:space="0"/>
              <w:left w:val="single" w:color="000000" w:sz="4" w:space="0"/>
              <w:bottom w:val="single" w:color="000000" w:sz="4" w:space="0"/>
              <w:right w:val="single" w:color="000000" w:sz="4" w:space="0"/>
            </w:tcBorders>
            <w:vAlign w:val="center"/>
          </w:tcPr>
          <w:p w14:paraId="5E3E9764">
            <w:pPr>
              <w:pStyle w:val="557"/>
            </w:pPr>
            <w:r>
              <w:rPr>
                <w:rFonts w:hint="eastAsia"/>
              </w:rPr>
              <w:t>项目位于哈密工业园区南部循环经济产业园区，周边最近的地表水为项目东南侧5.0km处南湖水库。</w:t>
            </w:r>
          </w:p>
        </w:tc>
      </w:tr>
      <w:tr w14:paraId="79D88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478" w:type="dxa"/>
            <w:tcBorders>
              <w:top w:val="single" w:color="000000" w:sz="4" w:space="0"/>
              <w:left w:val="single" w:color="000000" w:sz="4" w:space="0"/>
              <w:bottom w:val="single" w:color="000000" w:sz="4" w:space="0"/>
              <w:right w:val="single" w:color="000000" w:sz="4" w:space="0"/>
            </w:tcBorders>
            <w:vAlign w:val="center"/>
          </w:tcPr>
          <w:p w14:paraId="73B32EDE">
            <w:pPr>
              <w:pStyle w:val="557"/>
            </w:pPr>
            <w:r>
              <w:rPr>
                <w:rFonts w:hint="eastAsia"/>
              </w:rPr>
              <w:t>F2</w:t>
            </w:r>
          </w:p>
        </w:tc>
        <w:tc>
          <w:tcPr>
            <w:tcW w:w="5907" w:type="dxa"/>
            <w:tcBorders>
              <w:top w:val="single" w:color="000000" w:sz="4" w:space="0"/>
              <w:left w:val="single" w:color="000000" w:sz="4" w:space="0"/>
              <w:bottom w:val="single" w:color="000000" w:sz="4" w:space="0"/>
              <w:right w:val="single" w:color="000000" w:sz="4" w:space="0"/>
            </w:tcBorders>
            <w:vAlign w:val="center"/>
          </w:tcPr>
          <w:p w14:paraId="3C19F36F">
            <w:pPr>
              <w:pStyle w:val="557"/>
            </w:pPr>
            <w:r>
              <w:t>排放点进入地表水水域环境功能为Ⅲ类，或海水水质分类第二类；或以发生事故时，危险物质泄漏到水体的排放点算起，排放进入受纳河流最大流速时，24</w:t>
            </w:r>
            <w:r>
              <w:rPr>
                <w:rFonts w:hint="eastAsia"/>
              </w:rPr>
              <w:t>h</w:t>
            </w:r>
            <w:r>
              <w:t>流经范围内涉跨省界的</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14:paraId="4A9CBBAC">
            <w:pPr>
              <w:pStyle w:val="557"/>
            </w:pPr>
          </w:p>
        </w:tc>
      </w:tr>
      <w:tr w14:paraId="06AFD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478" w:type="dxa"/>
            <w:tcBorders>
              <w:top w:val="single" w:color="000000" w:sz="4" w:space="0"/>
              <w:left w:val="single" w:color="000000" w:sz="4" w:space="0"/>
              <w:bottom w:val="single" w:color="000000" w:sz="4" w:space="0"/>
              <w:right w:val="single" w:color="000000" w:sz="4" w:space="0"/>
            </w:tcBorders>
            <w:vAlign w:val="center"/>
          </w:tcPr>
          <w:p w14:paraId="01D46DCA">
            <w:pPr>
              <w:pStyle w:val="557"/>
            </w:pPr>
            <w:r>
              <w:rPr>
                <w:rFonts w:hint="eastAsia"/>
              </w:rPr>
              <w:t>F3</w:t>
            </w:r>
          </w:p>
        </w:tc>
        <w:tc>
          <w:tcPr>
            <w:tcW w:w="5907" w:type="dxa"/>
            <w:tcBorders>
              <w:top w:val="single" w:color="000000" w:sz="4" w:space="0"/>
              <w:left w:val="single" w:color="000000" w:sz="4" w:space="0"/>
              <w:bottom w:val="single" w:color="000000" w:sz="4" w:space="0"/>
              <w:right w:val="single" w:color="000000" w:sz="4" w:space="0"/>
            </w:tcBorders>
            <w:vAlign w:val="center"/>
          </w:tcPr>
          <w:p w14:paraId="4D848738">
            <w:pPr>
              <w:pStyle w:val="557"/>
            </w:pPr>
            <w:r>
              <w:t>上述地区之外的其他地区</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14:paraId="704448F5">
            <w:pPr>
              <w:pStyle w:val="557"/>
            </w:pPr>
          </w:p>
        </w:tc>
      </w:tr>
      <w:tr w14:paraId="24147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284" w:hRule="atLeast"/>
          <w:jc w:val="center"/>
        </w:trPr>
        <w:tc>
          <w:tcPr>
            <w:tcW w:w="6385" w:type="dxa"/>
            <w:gridSpan w:val="2"/>
            <w:tcBorders>
              <w:top w:val="single" w:color="000000" w:sz="4" w:space="0"/>
              <w:left w:val="single" w:color="000000" w:sz="4" w:space="0"/>
              <w:bottom w:val="single" w:color="000000" w:sz="4" w:space="0"/>
              <w:right w:val="single" w:color="000000" w:sz="4" w:space="0"/>
            </w:tcBorders>
            <w:vAlign w:val="center"/>
          </w:tcPr>
          <w:p w14:paraId="2329F08E">
            <w:pPr>
              <w:pStyle w:val="557"/>
            </w:pPr>
            <w:r>
              <w:rPr>
                <w:rFonts w:hint="eastAsia"/>
              </w:rPr>
              <w:t>区域地表水环境敏感性判定</w:t>
            </w:r>
          </w:p>
        </w:tc>
        <w:tc>
          <w:tcPr>
            <w:tcW w:w="1933" w:type="dxa"/>
            <w:tcBorders>
              <w:top w:val="single" w:color="000000" w:sz="4" w:space="0"/>
              <w:left w:val="single" w:color="000000" w:sz="4" w:space="0"/>
              <w:bottom w:val="single" w:color="000000" w:sz="4" w:space="0"/>
              <w:right w:val="single" w:color="000000" w:sz="4" w:space="0"/>
            </w:tcBorders>
            <w:vAlign w:val="center"/>
          </w:tcPr>
          <w:p w14:paraId="1AFE2D16">
            <w:pPr>
              <w:pStyle w:val="557"/>
            </w:pPr>
            <w:r>
              <w:rPr>
                <w:rFonts w:hint="eastAsia"/>
              </w:rPr>
              <w:t>F3</w:t>
            </w:r>
          </w:p>
        </w:tc>
      </w:tr>
    </w:tbl>
    <w:p w14:paraId="3F8C577C">
      <w:pPr>
        <w:pStyle w:val="557"/>
      </w:pPr>
    </w:p>
    <w:p w14:paraId="06050864">
      <w:pPr>
        <w:pStyle w:val="281"/>
        <w:ind w:firstLine="480"/>
      </w:pPr>
      <w:r>
        <w:rPr>
          <w:rFonts w:hint="eastAsia"/>
        </w:rPr>
        <w:t>据表7.3</w:t>
      </w:r>
      <w:r>
        <w:t>.3-2</w:t>
      </w:r>
      <w:r>
        <w:rPr>
          <w:rFonts w:hint="eastAsia"/>
        </w:rPr>
        <w:t>判定依据，项目所在区域的地表水环境敏感程度分级为“</w:t>
      </w:r>
      <w:r>
        <w:t>E3</w:t>
      </w:r>
      <w:r>
        <w:rPr>
          <w:rFonts w:hint="eastAsia"/>
        </w:rPr>
        <w:t>”。</w:t>
      </w:r>
    </w:p>
    <w:p w14:paraId="0A1F9DBA">
      <w:pPr>
        <w:pStyle w:val="281"/>
        <w:ind w:firstLine="480"/>
      </w:pPr>
      <w:bookmarkStart w:id="461" w:name="_Hlk193290253"/>
      <w:r>
        <w:rPr>
          <w:rFonts w:hint="eastAsia"/>
        </w:rPr>
        <w:t>项目发生事故时含泄漏危险物质的事故水输送到事故水池，不排入地表水体。本项目不考虑风险事故泄漏危险物质对地表水体的影响。</w:t>
      </w:r>
    </w:p>
    <w:p w14:paraId="79F2A14A">
      <w:pPr>
        <w:pStyle w:val="281"/>
        <w:ind w:firstLine="480"/>
      </w:pPr>
      <w:r>
        <w:rPr>
          <w:rFonts w:hint="eastAsia"/>
        </w:rPr>
        <w:t>根据《哈密高新区化工产业集中区总体规划（2023-2035年）环境影响报告书》，哈密高新区化工产业集中区</w:t>
      </w:r>
      <w:r>
        <w:t>新建事故应急池</w:t>
      </w:r>
      <w:r>
        <w:rPr>
          <w:rFonts w:hint="eastAsia"/>
        </w:rPr>
        <w:t>，</w:t>
      </w:r>
      <w:r>
        <w:rPr>
          <w:rFonts w:cs="Times New Roman"/>
          <w:szCs w:val="24"/>
        </w:rPr>
        <w:t>园区建设事故水专用管线用于同时收集事故状态下园区消防废水及污染雨水。</w:t>
      </w:r>
      <w:r>
        <w:rPr>
          <w:rFonts w:hint="eastAsia"/>
        </w:rPr>
        <w:t>本项目通过设置</w:t>
      </w:r>
      <w:r>
        <w:t>“</w:t>
      </w:r>
      <w:r>
        <w:rPr>
          <w:rFonts w:hint="eastAsia"/>
        </w:rPr>
        <w:t>单元</w:t>
      </w:r>
      <w:r>
        <w:t>—</w:t>
      </w:r>
      <w:r>
        <w:rPr>
          <w:rFonts w:hint="eastAsia"/>
        </w:rPr>
        <w:t>厂区</w:t>
      </w:r>
      <w:r>
        <w:t>—</w:t>
      </w:r>
      <w:r>
        <w:rPr>
          <w:rFonts w:hint="eastAsia"/>
        </w:rPr>
        <w:t>园区</w:t>
      </w:r>
      <w:r>
        <w:t>”</w:t>
      </w:r>
      <w:r>
        <w:rPr>
          <w:rFonts w:hint="eastAsia"/>
        </w:rPr>
        <w:t>三级环境风险事故废水防控体系，可有效收集事故废水，不会形成地面漫流；根据现场调查，排放点下游（顺水流向）</w:t>
      </w:r>
      <w:r>
        <w:t>10km</w:t>
      </w:r>
      <w:r>
        <w:rPr>
          <w:rFonts w:hint="eastAsia"/>
        </w:rPr>
        <w:t>范围内不涉及地表水环境风险受体，环境敏感目标分级为</w:t>
      </w:r>
      <w:r>
        <w:t>E3</w:t>
      </w:r>
      <w:r>
        <w:rPr>
          <w:rFonts w:hint="eastAsia"/>
        </w:rPr>
        <w:t>。</w:t>
      </w:r>
    </w:p>
    <w:bookmarkEnd w:id="461"/>
    <w:p w14:paraId="6C2280FA">
      <w:pPr>
        <w:pStyle w:val="281"/>
        <w:ind w:firstLine="480"/>
      </w:pPr>
      <w:r>
        <w:rPr>
          <w:rFonts w:hint="eastAsia"/>
        </w:rPr>
        <w:t>（3）地下水环境</w:t>
      </w:r>
    </w:p>
    <w:p w14:paraId="02BAE2A5">
      <w:pPr>
        <w:pStyle w:val="281"/>
        <w:ind w:firstLine="480"/>
      </w:pPr>
      <w:r>
        <w:rPr>
          <w:rFonts w:hint="eastAsia"/>
        </w:rPr>
        <w:t>根据《建设项目环境风险评价技术导则》（HJ169-2018）附录D的规定：项目所在区域地下水环境敏感程度依据地下水功能敏感性与包气带防污性能确定。区域地下水环境敏感程度共分为三种类型，E1为环境高度敏感区，E2为环境中度敏感区，E3为环境低度敏感区，其分级原则，见表7.3</w:t>
      </w:r>
      <w:r>
        <w:t>.3-5</w:t>
      </w:r>
      <w:r>
        <w:rPr>
          <w:rFonts w:hint="eastAsia"/>
        </w:rPr>
        <w:t>。其中区域地下水功能敏感性分区和区域包气带防污性能分级，分别见表7.3</w:t>
      </w:r>
      <w:r>
        <w:t>.3-6</w:t>
      </w:r>
      <w:r>
        <w:rPr>
          <w:rFonts w:hint="eastAsia"/>
        </w:rPr>
        <w:t>和表7.3</w:t>
      </w:r>
      <w:r>
        <w:t>.3-7</w:t>
      </w:r>
      <w:r>
        <w:rPr>
          <w:rFonts w:hint="eastAsia"/>
        </w:rPr>
        <w:t>。当同一建设项目涉及两个G分区或D分级及以上时，取相对值。</w:t>
      </w:r>
    </w:p>
    <w:p w14:paraId="5695961A">
      <w:pPr>
        <w:pStyle w:val="541"/>
        <w:rPr>
          <w:rFonts w:hint="eastAsia"/>
        </w:rPr>
      </w:pPr>
      <w:r>
        <w:rPr>
          <w:rFonts w:hint="eastAsia"/>
        </w:rPr>
        <w:t>表7.3</w:t>
      </w:r>
      <w:r>
        <w:t>.3-5</w:t>
      </w:r>
      <w:r>
        <w:rPr>
          <w:rFonts w:hint="eastAsia"/>
        </w:rPr>
        <w:t xml:space="preserve"> </w:t>
      </w:r>
      <w:r>
        <w:t xml:space="preserve">   </w:t>
      </w:r>
      <w:r>
        <w:rPr>
          <w:rFonts w:hint="eastAsia"/>
        </w:rPr>
        <w:t>地下水环境敏感程度分级</w:t>
      </w:r>
    </w:p>
    <w:tbl>
      <w:tblPr>
        <w:tblStyle w:val="6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2305"/>
        <w:gridCol w:w="2126"/>
        <w:gridCol w:w="2126"/>
      </w:tblGrid>
      <w:tr w14:paraId="03F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5" w:type="pct"/>
            <w:vMerge w:val="restart"/>
            <w:vAlign w:val="center"/>
          </w:tcPr>
          <w:p w14:paraId="43AC4C33">
            <w:pPr>
              <w:pStyle w:val="557"/>
              <w:rPr>
                <w:lang w:eastAsia="en-US"/>
              </w:rPr>
            </w:pPr>
            <w:r>
              <w:rPr>
                <w:lang w:eastAsia="en-US"/>
              </w:rPr>
              <w:t>包气带防污性能</w:t>
            </w:r>
          </w:p>
        </w:tc>
        <w:tc>
          <w:tcPr>
            <w:tcW w:w="3855" w:type="pct"/>
            <w:gridSpan w:val="3"/>
            <w:vAlign w:val="center"/>
          </w:tcPr>
          <w:p w14:paraId="43F40875">
            <w:pPr>
              <w:pStyle w:val="557"/>
              <w:rPr>
                <w:lang w:eastAsia="en-US"/>
              </w:rPr>
            </w:pPr>
            <w:r>
              <w:rPr>
                <w:lang w:eastAsia="en-US"/>
              </w:rPr>
              <w:t>地下水功能敏感性</w:t>
            </w:r>
          </w:p>
        </w:tc>
      </w:tr>
      <w:tr w14:paraId="44D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5" w:type="pct"/>
            <w:vMerge w:val="continue"/>
            <w:vAlign w:val="center"/>
          </w:tcPr>
          <w:p w14:paraId="7659CACF">
            <w:pPr>
              <w:pStyle w:val="557"/>
              <w:rPr>
                <w:lang w:eastAsia="en-US"/>
              </w:rPr>
            </w:pPr>
          </w:p>
        </w:tc>
        <w:tc>
          <w:tcPr>
            <w:tcW w:w="1355" w:type="pct"/>
            <w:vAlign w:val="center"/>
          </w:tcPr>
          <w:p w14:paraId="6DC64EF9">
            <w:pPr>
              <w:pStyle w:val="557"/>
              <w:rPr>
                <w:lang w:eastAsia="en-US"/>
              </w:rPr>
            </w:pPr>
            <w:r>
              <w:rPr>
                <w:lang w:eastAsia="en-US"/>
              </w:rPr>
              <w:t>G1</w:t>
            </w:r>
          </w:p>
        </w:tc>
        <w:tc>
          <w:tcPr>
            <w:tcW w:w="1250" w:type="pct"/>
            <w:vAlign w:val="center"/>
          </w:tcPr>
          <w:p w14:paraId="6BD09653">
            <w:pPr>
              <w:pStyle w:val="557"/>
              <w:rPr>
                <w:lang w:eastAsia="en-US"/>
              </w:rPr>
            </w:pPr>
            <w:r>
              <w:rPr>
                <w:lang w:eastAsia="en-US"/>
              </w:rPr>
              <w:t>G2</w:t>
            </w:r>
          </w:p>
        </w:tc>
        <w:tc>
          <w:tcPr>
            <w:tcW w:w="1250" w:type="pct"/>
            <w:vAlign w:val="center"/>
          </w:tcPr>
          <w:p w14:paraId="3C23CF56">
            <w:pPr>
              <w:pStyle w:val="557"/>
              <w:rPr>
                <w:lang w:eastAsia="en-US"/>
              </w:rPr>
            </w:pPr>
            <w:r>
              <w:rPr>
                <w:lang w:eastAsia="en-US"/>
              </w:rPr>
              <w:t>G3</w:t>
            </w:r>
          </w:p>
        </w:tc>
      </w:tr>
      <w:tr w14:paraId="531D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5" w:type="pct"/>
            <w:vAlign w:val="center"/>
          </w:tcPr>
          <w:p w14:paraId="5C0C8275">
            <w:pPr>
              <w:pStyle w:val="557"/>
              <w:rPr>
                <w:lang w:eastAsia="en-US"/>
              </w:rPr>
            </w:pPr>
            <w:r>
              <w:rPr>
                <w:lang w:eastAsia="en-US"/>
              </w:rPr>
              <w:t>D1</w:t>
            </w:r>
          </w:p>
        </w:tc>
        <w:tc>
          <w:tcPr>
            <w:tcW w:w="1355" w:type="pct"/>
            <w:vAlign w:val="center"/>
          </w:tcPr>
          <w:p w14:paraId="66F5B152">
            <w:pPr>
              <w:pStyle w:val="557"/>
              <w:rPr>
                <w:lang w:eastAsia="en-US"/>
              </w:rPr>
            </w:pPr>
            <w:r>
              <w:rPr>
                <w:lang w:eastAsia="en-US"/>
              </w:rPr>
              <w:t>E1</w:t>
            </w:r>
          </w:p>
        </w:tc>
        <w:tc>
          <w:tcPr>
            <w:tcW w:w="1250" w:type="pct"/>
            <w:vAlign w:val="center"/>
          </w:tcPr>
          <w:p w14:paraId="7AA0896D">
            <w:pPr>
              <w:pStyle w:val="557"/>
              <w:rPr>
                <w:lang w:eastAsia="en-US"/>
              </w:rPr>
            </w:pPr>
            <w:r>
              <w:rPr>
                <w:lang w:eastAsia="en-US"/>
              </w:rPr>
              <w:t>E1</w:t>
            </w:r>
          </w:p>
        </w:tc>
        <w:tc>
          <w:tcPr>
            <w:tcW w:w="1250" w:type="pct"/>
            <w:shd w:val="clear" w:color="auto" w:fill="D0CECE" w:themeFill="background2" w:themeFillShade="E6"/>
            <w:vAlign w:val="center"/>
          </w:tcPr>
          <w:p w14:paraId="7BC5175A">
            <w:pPr>
              <w:pStyle w:val="557"/>
              <w:rPr>
                <w:lang w:eastAsia="en-US"/>
              </w:rPr>
            </w:pPr>
            <w:r>
              <w:rPr>
                <w:lang w:eastAsia="en-US"/>
              </w:rPr>
              <w:t>E2</w:t>
            </w:r>
          </w:p>
        </w:tc>
      </w:tr>
      <w:tr w14:paraId="61A6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5" w:type="pct"/>
            <w:vAlign w:val="center"/>
          </w:tcPr>
          <w:p w14:paraId="37AEC9CF">
            <w:pPr>
              <w:pStyle w:val="557"/>
              <w:rPr>
                <w:lang w:eastAsia="en-US"/>
              </w:rPr>
            </w:pPr>
            <w:r>
              <w:rPr>
                <w:lang w:eastAsia="en-US"/>
              </w:rPr>
              <w:t>D2</w:t>
            </w:r>
          </w:p>
        </w:tc>
        <w:tc>
          <w:tcPr>
            <w:tcW w:w="1355" w:type="pct"/>
            <w:vAlign w:val="center"/>
          </w:tcPr>
          <w:p w14:paraId="4780CA0A">
            <w:pPr>
              <w:pStyle w:val="557"/>
              <w:rPr>
                <w:lang w:eastAsia="en-US"/>
              </w:rPr>
            </w:pPr>
            <w:r>
              <w:rPr>
                <w:lang w:eastAsia="en-US"/>
              </w:rPr>
              <w:t>E1</w:t>
            </w:r>
          </w:p>
        </w:tc>
        <w:tc>
          <w:tcPr>
            <w:tcW w:w="1250" w:type="pct"/>
            <w:vAlign w:val="center"/>
          </w:tcPr>
          <w:p w14:paraId="32D3B22F">
            <w:pPr>
              <w:pStyle w:val="557"/>
              <w:rPr>
                <w:lang w:eastAsia="en-US"/>
              </w:rPr>
            </w:pPr>
            <w:r>
              <w:rPr>
                <w:lang w:eastAsia="en-US"/>
              </w:rPr>
              <w:t>E2</w:t>
            </w:r>
          </w:p>
        </w:tc>
        <w:tc>
          <w:tcPr>
            <w:tcW w:w="1250" w:type="pct"/>
            <w:vAlign w:val="center"/>
          </w:tcPr>
          <w:p w14:paraId="7E6772A9">
            <w:pPr>
              <w:pStyle w:val="557"/>
              <w:rPr>
                <w:lang w:eastAsia="en-US"/>
              </w:rPr>
            </w:pPr>
            <w:r>
              <w:rPr>
                <w:lang w:eastAsia="en-US"/>
              </w:rPr>
              <w:t>E3</w:t>
            </w:r>
          </w:p>
        </w:tc>
      </w:tr>
      <w:tr w14:paraId="24B1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5" w:type="pct"/>
            <w:vAlign w:val="center"/>
          </w:tcPr>
          <w:p w14:paraId="568A93E5">
            <w:pPr>
              <w:pStyle w:val="557"/>
              <w:rPr>
                <w:lang w:eastAsia="en-US"/>
              </w:rPr>
            </w:pPr>
            <w:r>
              <w:rPr>
                <w:lang w:eastAsia="en-US"/>
              </w:rPr>
              <w:t>D3</w:t>
            </w:r>
          </w:p>
        </w:tc>
        <w:tc>
          <w:tcPr>
            <w:tcW w:w="1355" w:type="pct"/>
            <w:vAlign w:val="center"/>
          </w:tcPr>
          <w:p w14:paraId="1D58999A">
            <w:pPr>
              <w:pStyle w:val="557"/>
              <w:rPr>
                <w:lang w:eastAsia="en-US"/>
              </w:rPr>
            </w:pPr>
            <w:r>
              <w:rPr>
                <w:lang w:eastAsia="en-US"/>
              </w:rPr>
              <w:t>E2</w:t>
            </w:r>
          </w:p>
        </w:tc>
        <w:tc>
          <w:tcPr>
            <w:tcW w:w="1250" w:type="pct"/>
            <w:vAlign w:val="center"/>
          </w:tcPr>
          <w:p w14:paraId="6B096184">
            <w:pPr>
              <w:pStyle w:val="557"/>
              <w:rPr>
                <w:lang w:eastAsia="en-US"/>
              </w:rPr>
            </w:pPr>
            <w:r>
              <w:rPr>
                <w:lang w:eastAsia="en-US"/>
              </w:rPr>
              <w:t>E3</w:t>
            </w:r>
          </w:p>
        </w:tc>
        <w:tc>
          <w:tcPr>
            <w:tcW w:w="1250" w:type="pct"/>
            <w:vAlign w:val="center"/>
          </w:tcPr>
          <w:p w14:paraId="61EEE41C">
            <w:pPr>
              <w:pStyle w:val="557"/>
              <w:rPr>
                <w:lang w:eastAsia="en-US"/>
              </w:rPr>
            </w:pPr>
            <w:r>
              <w:rPr>
                <w:lang w:eastAsia="en-US"/>
              </w:rPr>
              <w:t>E3</w:t>
            </w:r>
          </w:p>
        </w:tc>
      </w:tr>
    </w:tbl>
    <w:p w14:paraId="5ADF773D">
      <w:pPr>
        <w:pStyle w:val="541"/>
        <w:rPr>
          <w:rFonts w:hint="eastAsia"/>
        </w:rPr>
      </w:pPr>
      <w:r>
        <w:rPr>
          <w:rFonts w:hint="eastAsia"/>
        </w:rPr>
        <w:t>表7.3</w:t>
      </w:r>
      <w:r>
        <w:t>.3-6</w:t>
      </w:r>
      <w:r>
        <w:rPr>
          <w:rFonts w:hint="eastAsia"/>
        </w:rPr>
        <w:t xml:space="preserve"> </w:t>
      </w:r>
      <w:r>
        <w:t xml:space="preserve">   </w:t>
      </w:r>
      <w:r>
        <w:rPr>
          <w:rFonts w:hint="eastAsia"/>
        </w:rPr>
        <w:t>区域地下水功能敏感性分区</w:t>
      </w:r>
    </w:p>
    <w:tbl>
      <w:tblPr>
        <w:tblStyle w:val="6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4799"/>
        <w:gridCol w:w="2557"/>
      </w:tblGrid>
      <w:tr w14:paraId="0830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6" w:type="pct"/>
            <w:vAlign w:val="center"/>
          </w:tcPr>
          <w:p w14:paraId="49EE3FBE">
            <w:pPr>
              <w:pStyle w:val="557"/>
            </w:pPr>
            <w:r>
              <w:t>分级</w:t>
            </w:r>
          </w:p>
        </w:tc>
        <w:tc>
          <w:tcPr>
            <w:tcW w:w="2821" w:type="pct"/>
            <w:vAlign w:val="center"/>
          </w:tcPr>
          <w:p w14:paraId="54103B08">
            <w:pPr>
              <w:pStyle w:val="557"/>
            </w:pPr>
            <w:r>
              <w:t>地下水环境敏感特征</w:t>
            </w:r>
          </w:p>
        </w:tc>
        <w:tc>
          <w:tcPr>
            <w:tcW w:w="1503" w:type="pct"/>
            <w:vAlign w:val="center"/>
          </w:tcPr>
          <w:p w14:paraId="0DB58809">
            <w:pPr>
              <w:pStyle w:val="557"/>
            </w:pPr>
            <w:r>
              <w:t>项目所在区域判定情况</w:t>
            </w:r>
          </w:p>
        </w:tc>
      </w:tr>
      <w:tr w14:paraId="5194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6" w:type="pct"/>
            <w:vAlign w:val="center"/>
          </w:tcPr>
          <w:p w14:paraId="494B8EE8">
            <w:pPr>
              <w:pStyle w:val="557"/>
            </w:pPr>
            <w:r>
              <w:t>敏感G1</w:t>
            </w:r>
          </w:p>
        </w:tc>
        <w:tc>
          <w:tcPr>
            <w:tcW w:w="2821" w:type="pct"/>
            <w:vAlign w:val="center"/>
          </w:tcPr>
          <w:p w14:paraId="72B63F95">
            <w:pPr>
              <w:pStyle w:val="557"/>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1503" w:type="pct"/>
            <w:vMerge w:val="restart"/>
            <w:vAlign w:val="center"/>
          </w:tcPr>
          <w:p w14:paraId="54B22725">
            <w:pPr>
              <w:pStyle w:val="557"/>
            </w:pPr>
            <w:r>
              <w:rPr>
                <w:rFonts w:hint="eastAsia"/>
              </w:rPr>
              <w:t>项目所在区域既不属于集中式地下水饮用水水源准保护区和准保护区以外的补给径流区，也不属于除集中式饮用水水源以外的国家或地方政府设定的与地下水环境相关的其他保护区，如热水、矿泉水、温泉等特殊地下水资源保护区和其他保护区的补给径流区；同时也不属于未划定准保护区的集中式饮用水水源、分散式饮用水水源地</w:t>
            </w:r>
          </w:p>
        </w:tc>
      </w:tr>
      <w:tr w14:paraId="4819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6" w:type="pct"/>
            <w:vAlign w:val="center"/>
          </w:tcPr>
          <w:p w14:paraId="4EA04719">
            <w:pPr>
              <w:pStyle w:val="557"/>
            </w:pPr>
            <w:r>
              <w:t>较敏感G2</w:t>
            </w:r>
          </w:p>
        </w:tc>
        <w:tc>
          <w:tcPr>
            <w:tcW w:w="2821" w:type="pct"/>
            <w:vAlign w:val="center"/>
          </w:tcPr>
          <w:p w14:paraId="75D4765A">
            <w:pPr>
              <w:pStyle w:val="557"/>
            </w:pPr>
            <w: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rPr>
              <w:t>a</w:t>
            </w:r>
          </w:p>
        </w:tc>
        <w:tc>
          <w:tcPr>
            <w:tcW w:w="1503" w:type="pct"/>
            <w:vMerge w:val="continue"/>
            <w:vAlign w:val="center"/>
          </w:tcPr>
          <w:p w14:paraId="72CD4697">
            <w:pPr>
              <w:pStyle w:val="557"/>
            </w:pPr>
          </w:p>
        </w:tc>
      </w:tr>
      <w:tr w14:paraId="0199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76" w:type="pct"/>
            <w:vAlign w:val="center"/>
          </w:tcPr>
          <w:p w14:paraId="283CA12B">
            <w:pPr>
              <w:pStyle w:val="557"/>
            </w:pPr>
            <w:r>
              <w:t>不敏感G3</w:t>
            </w:r>
          </w:p>
        </w:tc>
        <w:tc>
          <w:tcPr>
            <w:tcW w:w="2821" w:type="pct"/>
            <w:vAlign w:val="center"/>
          </w:tcPr>
          <w:p w14:paraId="38FFAB04">
            <w:pPr>
              <w:pStyle w:val="557"/>
            </w:pPr>
            <w:r>
              <w:t>上述地区之外的其他地区</w:t>
            </w:r>
          </w:p>
        </w:tc>
        <w:tc>
          <w:tcPr>
            <w:tcW w:w="1503" w:type="pct"/>
            <w:vMerge w:val="continue"/>
            <w:vAlign w:val="center"/>
          </w:tcPr>
          <w:p w14:paraId="43507B5D">
            <w:pPr>
              <w:pStyle w:val="557"/>
            </w:pPr>
          </w:p>
        </w:tc>
      </w:tr>
      <w:tr w14:paraId="0A96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97" w:type="pct"/>
            <w:gridSpan w:val="2"/>
            <w:vAlign w:val="center"/>
          </w:tcPr>
          <w:p w14:paraId="78E33637">
            <w:pPr>
              <w:pStyle w:val="557"/>
            </w:pPr>
            <w:r>
              <w:rPr>
                <w:rFonts w:hint="eastAsia"/>
              </w:rPr>
              <w:t>a“</w:t>
            </w:r>
            <w:r>
              <w:t>环境敏感区</w:t>
            </w:r>
            <w:r>
              <w:rPr>
                <w:rFonts w:hint="eastAsia"/>
              </w:rPr>
              <w:t>”</w:t>
            </w:r>
            <w:r>
              <w:t>是指《建设项目环境影响评价分类管理名录》中所界定的涉及地下水的环境敏感区</w:t>
            </w:r>
          </w:p>
        </w:tc>
        <w:tc>
          <w:tcPr>
            <w:tcW w:w="1503" w:type="pct"/>
            <w:vMerge w:val="continue"/>
            <w:vAlign w:val="center"/>
          </w:tcPr>
          <w:p w14:paraId="3FA3D105">
            <w:pPr>
              <w:pStyle w:val="557"/>
            </w:pPr>
          </w:p>
        </w:tc>
      </w:tr>
      <w:tr w14:paraId="285C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97" w:type="pct"/>
            <w:gridSpan w:val="2"/>
            <w:vAlign w:val="center"/>
          </w:tcPr>
          <w:p w14:paraId="4BDB2B27">
            <w:pPr>
              <w:pStyle w:val="557"/>
            </w:pPr>
            <w:r>
              <w:t>区域</w:t>
            </w:r>
            <w:r>
              <w:rPr>
                <w:rFonts w:hint="eastAsia"/>
              </w:rPr>
              <w:t>地下水</w:t>
            </w:r>
            <w:r>
              <w:t>环境敏感</w:t>
            </w:r>
            <w:r>
              <w:rPr>
                <w:rFonts w:hint="eastAsia"/>
              </w:rPr>
              <w:t>性分区</w:t>
            </w:r>
            <w:r>
              <w:t>判定</w:t>
            </w:r>
          </w:p>
        </w:tc>
        <w:tc>
          <w:tcPr>
            <w:tcW w:w="1503" w:type="pct"/>
            <w:vAlign w:val="center"/>
          </w:tcPr>
          <w:p w14:paraId="32134578">
            <w:pPr>
              <w:pStyle w:val="557"/>
            </w:pPr>
            <w:r>
              <w:rPr>
                <w:rFonts w:hint="eastAsia"/>
              </w:rPr>
              <w:t>G3</w:t>
            </w:r>
          </w:p>
        </w:tc>
      </w:tr>
    </w:tbl>
    <w:p w14:paraId="0DEFEE49">
      <w:pPr>
        <w:pStyle w:val="562"/>
        <w:ind w:firstLine="400"/>
        <w:rPr>
          <w:rFonts w:hint="eastAsia"/>
        </w:rPr>
      </w:pPr>
    </w:p>
    <w:p w14:paraId="4895216A">
      <w:pPr>
        <w:pStyle w:val="541"/>
        <w:rPr>
          <w:rFonts w:hint="eastAsia"/>
        </w:rPr>
      </w:pPr>
      <w:r>
        <w:rPr>
          <w:rFonts w:hint="eastAsia"/>
        </w:rPr>
        <w:t>表7.3</w:t>
      </w:r>
      <w:r>
        <w:t>.3-7</w:t>
      </w:r>
      <w:r>
        <w:rPr>
          <w:rFonts w:hint="eastAsia"/>
        </w:rPr>
        <w:t xml:space="preserve"> </w:t>
      </w:r>
      <w:r>
        <w:t xml:space="preserve">   </w:t>
      </w:r>
      <w:r>
        <w:rPr>
          <w:rFonts w:hint="eastAsia"/>
        </w:rPr>
        <w:t>区域包气带防污性能分级原则一览表</w:t>
      </w:r>
    </w:p>
    <w:tbl>
      <w:tblPr>
        <w:tblStyle w:val="6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5804"/>
        <w:gridCol w:w="2169"/>
      </w:tblGrid>
      <w:tr w14:paraId="1717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3" w:type="pct"/>
            <w:vAlign w:val="center"/>
          </w:tcPr>
          <w:p w14:paraId="1C2FB082">
            <w:pPr>
              <w:pStyle w:val="557"/>
            </w:pPr>
            <w:r>
              <w:t>分级</w:t>
            </w:r>
          </w:p>
        </w:tc>
        <w:tc>
          <w:tcPr>
            <w:tcW w:w="3411" w:type="pct"/>
            <w:vAlign w:val="center"/>
          </w:tcPr>
          <w:p w14:paraId="6C932C43">
            <w:pPr>
              <w:pStyle w:val="557"/>
            </w:pPr>
            <w:r>
              <w:t>包气带岩土的渗透性能</w:t>
            </w:r>
          </w:p>
        </w:tc>
        <w:tc>
          <w:tcPr>
            <w:tcW w:w="1275" w:type="pct"/>
            <w:vAlign w:val="center"/>
          </w:tcPr>
          <w:p w14:paraId="6515F9A7">
            <w:pPr>
              <w:pStyle w:val="557"/>
            </w:pPr>
            <w:r>
              <w:t>项目所在区域判定情况</w:t>
            </w:r>
          </w:p>
        </w:tc>
      </w:tr>
      <w:tr w14:paraId="3EF6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3" w:type="pct"/>
            <w:vAlign w:val="center"/>
          </w:tcPr>
          <w:p w14:paraId="785D09AF">
            <w:pPr>
              <w:pStyle w:val="557"/>
            </w:pPr>
            <w:r>
              <w:t>D3</w:t>
            </w:r>
          </w:p>
        </w:tc>
        <w:tc>
          <w:tcPr>
            <w:tcW w:w="3411" w:type="pct"/>
            <w:vAlign w:val="center"/>
          </w:tcPr>
          <w:p w14:paraId="24497B55">
            <w:pPr>
              <w:pStyle w:val="557"/>
            </w:pPr>
            <w:r>
              <w:t>Mb≥1.0m，K≤1.0×10</w:t>
            </w:r>
            <w:r>
              <w:rPr>
                <w:vertAlign w:val="superscript"/>
              </w:rPr>
              <w:t>-6</w:t>
            </w:r>
            <w:bookmarkStart w:id="462" w:name="OLE_LINK34"/>
            <w:r>
              <w:t>cm/s</w:t>
            </w:r>
            <w:bookmarkEnd w:id="462"/>
            <w:r>
              <w:t>，且分布连续、稳定</w:t>
            </w:r>
          </w:p>
        </w:tc>
        <w:tc>
          <w:tcPr>
            <w:tcW w:w="1275" w:type="pct"/>
            <w:vMerge w:val="restart"/>
            <w:vAlign w:val="center"/>
          </w:tcPr>
          <w:p w14:paraId="320D2FFD">
            <w:pPr>
              <w:pStyle w:val="557"/>
            </w:pPr>
            <w:r>
              <w:t>Mb</w:t>
            </w:r>
            <w:r>
              <w:rPr>
                <w:rFonts w:hint="eastAsia"/>
              </w:rPr>
              <w:t>≥</w:t>
            </w:r>
            <w:r>
              <w:t>1.0m</w:t>
            </w:r>
            <w:r>
              <w:rPr>
                <w:rFonts w:hint="eastAsia"/>
              </w:rPr>
              <w:t>且分布连续、稳定渗透系数约为</w:t>
            </w:r>
            <w:r>
              <w:t>K=</w:t>
            </w:r>
            <w:r>
              <w:rPr>
                <w:rFonts w:hint="eastAsia"/>
              </w:rPr>
              <w:t>0.00579</w:t>
            </w:r>
            <w:r>
              <w:t>cm/s</w:t>
            </w:r>
            <w:r>
              <w:rPr>
                <w:rFonts w:hint="eastAsia"/>
              </w:rPr>
              <w:t>（5m/d）</w:t>
            </w:r>
          </w:p>
        </w:tc>
      </w:tr>
      <w:tr w14:paraId="42DA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3" w:type="pct"/>
            <w:vAlign w:val="center"/>
          </w:tcPr>
          <w:p w14:paraId="1F3D2E0D">
            <w:pPr>
              <w:pStyle w:val="557"/>
            </w:pPr>
            <w:r>
              <w:t>D2</w:t>
            </w:r>
          </w:p>
        </w:tc>
        <w:tc>
          <w:tcPr>
            <w:tcW w:w="3411" w:type="pct"/>
            <w:vAlign w:val="center"/>
          </w:tcPr>
          <w:p w14:paraId="091C7D65">
            <w:pPr>
              <w:pStyle w:val="557"/>
            </w:pPr>
            <w:r>
              <w:t>0.5m≤Mb&lt;1.0m，K≤1.0×10</w:t>
            </w:r>
            <w:r>
              <w:rPr>
                <w:vertAlign w:val="superscript"/>
              </w:rPr>
              <w:t>-6</w:t>
            </w:r>
            <w:r>
              <w:t>cm/s，且分布连续、稳定</w:t>
            </w:r>
          </w:p>
          <w:p w14:paraId="250348E9">
            <w:pPr>
              <w:pStyle w:val="557"/>
            </w:pPr>
            <w:r>
              <w:t>Mb≥1.0m，1.0×10</w:t>
            </w:r>
            <w:r>
              <w:rPr>
                <w:vertAlign w:val="superscript"/>
              </w:rPr>
              <w:t>-6</w:t>
            </w:r>
            <w:r>
              <w:t>cm/s＜K≤1.0×10</w:t>
            </w:r>
            <w:r>
              <w:rPr>
                <w:vertAlign w:val="superscript"/>
              </w:rPr>
              <w:t>-4</w:t>
            </w:r>
            <w:r>
              <w:t>cm/s，且分布连续、稳定</w:t>
            </w:r>
          </w:p>
        </w:tc>
        <w:tc>
          <w:tcPr>
            <w:tcW w:w="1275" w:type="pct"/>
            <w:vMerge w:val="continue"/>
            <w:vAlign w:val="center"/>
          </w:tcPr>
          <w:p w14:paraId="0A10D57C">
            <w:pPr>
              <w:pStyle w:val="557"/>
            </w:pPr>
          </w:p>
        </w:tc>
      </w:tr>
      <w:tr w14:paraId="0257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3" w:type="pct"/>
            <w:vAlign w:val="center"/>
          </w:tcPr>
          <w:p w14:paraId="59C8C9CC">
            <w:pPr>
              <w:pStyle w:val="557"/>
            </w:pPr>
            <w:r>
              <w:t>D1</w:t>
            </w:r>
          </w:p>
        </w:tc>
        <w:tc>
          <w:tcPr>
            <w:tcW w:w="3411" w:type="pct"/>
            <w:vAlign w:val="center"/>
          </w:tcPr>
          <w:p w14:paraId="06F28BC7">
            <w:pPr>
              <w:pStyle w:val="557"/>
            </w:pPr>
            <w:r>
              <w:t>岩（土）层不满足上述“D2”和“D3”条件</w:t>
            </w:r>
          </w:p>
        </w:tc>
        <w:tc>
          <w:tcPr>
            <w:tcW w:w="1275" w:type="pct"/>
            <w:vMerge w:val="continue"/>
            <w:vAlign w:val="center"/>
          </w:tcPr>
          <w:p w14:paraId="21E8FDA7">
            <w:pPr>
              <w:pStyle w:val="557"/>
            </w:pPr>
          </w:p>
        </w:tc>
      </w:tr>
      <w:tr w14:paraId="0DEC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25" w:type="pct"/>
            <w:gridSpan w:val="2"/>
            <w:vAlign w:val="center"/>
          </w:tcPr>
          <w:p w14:paraId="7A2870EF">
            <w:pPr>
              <w:pStyle w:val="557"/>
            </w:pPr>
            <w:r>
              <w:t>Mb：岩土层单层厚度。K：渗透系数。</w:t>
            </w:r>
          </w:p>
        </w:tc>
        <w:tc>
          <w:tcPr>
            <w:tcW w:w="1275" w:type="pct"/>
            <w:vMerge w:val="continue"/>
            <w:vAlign w:val="center"/>
          </w:tcPr>
          <w:p w14:paraId="7C81782F">
            <w:pPr>
              <w:pStyle w:val="557"/>
            </w:pPr>
          </w:p>
        </w:tc>
      </w:tr>
      <w:tr w14:paraId="01FF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25" w:type="pct"/>
            <w:gridSpan w:val="2"/>
            <w:vAlign w:val="center"/>
          </w:tcPr>
          <w:p w14:paraId="49FBAFA5">
            <w:pPr>
              <w:pStyle w:val="557"/>
            </w:pPr>
            <w:r>
              <w:t>区域</w:t>
            </w:r>
            <w:r>
              <w:rPr>
                <w:rFonts w:hint="eastAsia"/>
              </w:rPr>
              <w:t>包气带防污性能</w:t>
            </w:r>
            <w:r>
              <w:t>判定</w:t>
            </w:r>
          </w:p>
        </w:tc>
        <w:tc>
          <w:tcPr>
            <w:tcW w:w="1275" w:type="pct"/>
            <w:vAlign w:val="center"/>
          </w:tcPr>
          <w:p w14:paraId="578E1D1D">
            <w:pPr>
              <w:pStyle w:val="557"/>
            </w:pPr>
            <w:r>
              <w:t>D1</w:t>
            </w:r>
          </w:p>
        </w:tc>
      </w:tr>
    </w:tbl>
    <w:p w14:paraId="4CCF4C02">
      <w:pPr>
        <w:pStyle w:val="128"/>
        <w:rPr>
          <w:rFonts w:hint="eastAsia"/>
        </w:rPr>
      </w:pPr>
      <w:r>
        <w:rPr>
          <w:rFonts w:hint="eastAsia"/>
        </w:rPr>
        <w:t>项目所在区域的地下水环境敏感程度分级为</w:t>
      </w:r>
      <w:r>
        <w:t>“</w:t>
      </w:r>
      <w:r>
        <w:rPr>
          <w:rFonts w:hint="eastAsia"/>
        </w:rPr>
        <w:t>E</w:t>
      </w:r>
      <w:r>
        <w:t>2”</w:t>
      </w:r>
      <w:r>
        <w:rPr>
          <w:rFonts w:hint="eastAsia"/>
        </w:rPr>
        <w:t>。</w:t>
      </w:r>
    </w:p>
    <w:p w14:paraId="47A3D35A">
      <w:pPr>
        <w:pStyle w:val="97"/>
        <w:rPr>
          <w:rFonts w:hint="eastAsia"/>
        </w:rPr>
      </w:pPr>
      <w:r>
        <w:rPr>
          <w:rFonts w:hint="eastAsia"/>
        </w:rPr>
        <w:t>环境风险潜势判定</w:t>
      </w:r>
    </w:p>
    <w:p w14:paraId="72F00061">
      <w:pPr>
        <w:pStyle w:val="128"/>
        <w:rPr>
          <w:rFonts w:hint="eastAsia"/>
        </w:rPr>
      </w:pPr>
      <w:r>
        <w:rPr>
          <w:rFonts w:hint="eastAsia"/>
        </w:rPr>
        <w:t>经上述分析得知，本项目不考虑风险事故泄漏危险物质对地表水体的影响，其物质和工艺系统的危险性为</w:t>
      </w:r>
      <w:r>
        <w:t>极高危害“P</w:t>
      </w:r>
      <w:r>
        <w:rPr>
          <w:rFonts w:hint="eastAsia"/>
        </w:rPr>
        <w:t>1”，所在区域大气环境敏感程度为环境</w:t>
      </w:r>
      <w:r>
        <w:rPr>
          <w:rFonts w:hint="eastAsia"/>
          <w:kern w:val="2"/>
          <w:szCs w:val="22"/>
        </w:rPr>
        <w:t>低度</w:t>
      </w:r>
      <w:r>
        <w:rPr>
          <w:kern w:val="2"/>
          <w:szCs w:val="22"/>
        </w:rPr>
        <w:t>敏感区</w:t>
      </w:r>
      <w:r>
        <w:t>“</w:t>
      </w:r>
      <w:r>
        <w:rPr>
          <w:rFonts w:hint="eastAsia"/>
        </w:rPr>
        <w:t>E3</w:t>
      </w:r>
      <w:r>
        <w:t>”</w:t>
      </w:r>
      <w:r>
        <w:rPr>
          <w:rFonts w:hint="eastAsia"/>
        </w:rPr>
        <w:t>，所在区域的地下水环境敏感程度为环境</w:t>
      </w:r>
      <w:r>
        <w:rPr>
          <w:kern w:val="2"/>
          <w:szCs w:val="22"/>
        </w:rPr>
        <w:t>中</w:t>
      </w:r>
      <w:r>
        <w:rPr>
          <w:rFonts w:hint="eastAsia"/>
          <w:kern w:val="2"/>
          <w:szCs w:val="22"/>
        </w:rPr>
        <w:t>度</w:t>
      </w:r>
      <w:r>
        <w:rPr>
          <w:kern w:val="2"/>
          <w:szCs w:val="22"/>
        </w:rPr>
        <w:t>敏感区</w:t>
      </w:r>
      <w:r>
        <w:t>“</w:t>
      </w:r>
      <w:r>
        <w:rPr>
          <w:rFonts w:hint="eastAsia"/>
        </w:rPr>
        <w:t>E</w:t>
      </w:r>
      <w:r>
        <w:t>2”</w:t>
      </w:r>
      <w:r>
        <w:rPr>
          <w:rFonts w:hint="eastAsia"/>
        </w:rPr>
        <w:t>，其环境风险潜势判定结果一览表，见表7.3</w:t>
      </w:r>
      <w:r>
        <w:t>.4</w:t>
      </w:r>
      <w:r>
        <w:rPr>
          <w:rFonts w:hint="eastAsia"/>
        </w:rPr>
        <w:t>-1。</w:t>
      </w:r>
    </w:p>
    <w:p w14:paraId="7C4B7D86">
      <w:pPr>
        <w:pStyle w:val="541"/>
        <w:rPr>
          <w:rFonts w:hint="eastAsia"/>
        </w:rPr>
      </w:pPr>
      <w:r>
        <w:rPr>
          <w:rFonts w:hint="eastAsia"/>
        </w:rPr>
        <w:t>表7.3</w:t>
      </w:r>
      <w:r>
        <w:t>.4</w:t>
      </w:r>
      <w:r>
        <w:rPr>
          <w:rFonts w:hint="eastAsia"/>
        </w:rPr>
        <w:t xml:space="preserve">-1 </w:t>
      </w:r>
      <w:r>
        <w:t xml:space="preserve">  </w:t>
      </w:r>
      <w:r>
        <w:rPr>
          <w:rFonts w:hint="eastAsia"/>
        </w:rPr>
        <w:t xml:space="preserve"> 项目环境风险潜势判定结果一览表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4"/>
        <w:gridCol w:w="5261"/>
      </w:tblGrid>
      <w:tr w14:paraId="4EC7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07" w:type="pct"/>
            <w:vMerge w:val="restart"/>
            <w:vAlign w:val="center"/>
          </w:tcPr>
          <w:p w14:paraId="771B7A48">
            <w:pPr>
              <w:pStyle w:val="557"/>
              <w:rPr>
                <w:lang w:eastAsia="en-US"/>
              </w:rPr>
            </w:pPr>
            <w:r>
              <w:rPr>
                <w:lang w:eastAsia="en-US"/>
              </w:rPr>
              <w:t>项目环境敏感程度</w:t>
            </w:r>
          </w:p>
        </w:tc>
        <w:tc>
          <w:tcPr>
            <w:tcW w:w="3093" w:type="pct"/>
            <w:vAlign w:val="center"/>
          </w:tcPr>
          <w:p w14:paraId="742F1F0E">
            <w:pPr>
              <w:pStyle w:val="557"/>
            </w:pPr>
            <w:r>
              <w:t>项目危险物质及工艺系统危险性P</w:t>
            </w:r>
          </w:p>
        </w:tc>
      </w:tr>
      <w:tr w14:paraId="28E4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07" w:type="pct"/>
            <w:vMerge w:val="continue"/>
            <w:vAlign w:val="center"/>
          </w:tcPr>
          <w:p w14:paraId="4D4F811E">
            <w:pPr>
              <w:pStyle w:val="557"/>
            </w:pPr>
          </w:p>
        </w:tc>
        <w:tc>
          <w:tcPr>
            <w:tcW w:w="3093" w:type="pct"/>
            <w:vAlign w:val="center"/>
          </w:tcPr>
          <w:p w14:paraId="7E193A74">
            <w:pPr>
              <w:pStyle w:val="557"/>
              <w:rPr>
                <w:lang w:eastAsia="en-US"/>
              </w:rPr>
            </w:pPr>
            <w:r>
              <w:rPr>
                <w:lang w:eastAsia="en-US"/>
              </w:rPr>
              <w:t>极高危害（P</w:t>
            </w:r>
            <w:r>
              <w:rPr>
                <w:rFonts w:hint="eastAsia"/>
              </w:rPr>
              <w:t>1</w:t>
            </w:r>
            <w:r>
              <w:rPr>
                <w:lang w:eastAsia="en-US"/>
              </w:rPr>
              <w:t>）</w:t>
            </w:r>
          </w:p>
        </w:tc>
      </w:tr>
      <w:tr w14:paraId="1583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907" w:type="pct"/>
            <w:vAlign w:val="center"/>
          </w:tcPr>
          <w:p w14:paraId="60A35674">
            <w:pPr>
              <w:pStyle w:val="557"/>
            </w:pPr>
            <w:r>
              <w:t>大气环境</w:t>
            </w:r>
            <w:r>
              <w:rPr>
                <w:rFonts w:hint="eastAsia"/>
              </w:rPr>
              <w:t>低度</w:t>
            </w:r>
            <w:r>
              <w:t>敏感区（E</w:t>
            </w:r>
            <w:r>
              <w:rPr>
                <w:rFonts w:hint="eastAsia"/>
              </w:rPr>
              <w:t>3</w:t>
            </w:r>
            <w:r>
              <w:t>）</w:t>
            </w:r>
          </w:p>
        </w:tc>
        <w:tc>
          <w:tcPr>
            <w:tcW w:w="3093" w:type="pct"/>
            <w:vAlign w:val="center"/>
          </w:tcPr>
          <w:p w14:paraId="75388CEF">
            <w:pPr>
              <w:pStyle w:val="557"/>
            </w:pPr>
            <w:r>
              <w:rPr>
                <w:lang w:eastAsia="en-US"/>
              </w:rPr>
              <w:t>Ⅲ</w:t>
            </w:r>
          </w:p>
        </w:tc>
      </w:tr>
      <w:tr w14:paraId="4C9F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07" w:type="pct"/>
            <w:vAlign w:val="center"/>
          </w:tcPr>
          <w:p w14:paraId="7616485C">
            <w:pPr>
              <w:pStyle w:val="557"/>
            </w:pPr>
            <w:r>
              <w:t>地下水环境中</w:t>
            </w:r>
            <w:r>
              <w:rPr>
                <w:rFonts w:hint="eastAsia"/>
              </w:rPr>
              <w:t>度</w:t>
            </w:r>
            <w:r>
              <w:t>敏感区（</w:t>
            </w:r>
            <w:r>
              <w:rPr>
                <w:rFonts w:hint="eastAsia"/>
              </w:rPr>
              <w:t>E2</w:t>
            </w:r>
            <w:r>
              <w:t>）</w:t>
            </w:r>
          </w:p>
        </w:tc>
        <w:tc>
          <w:tcPr>
            <w:tcW w:w="3093" w:type="pct"/>
            <w:vAlign w:val="center"/>
          </w:tcPr>
          <w:p w14:paraId="4FE2D8AC">
            <w:pPr>
              <w:pStyle w:val="557"/>
              <w:rPr>
                <w:lang w:eastAsia="en-US"/>
              </w:rPr>
            </w:pPr>
            <w:bookmarkStart w:id="463" w:name="_Hlk150862860"/>
            <w:r>
              <w:t>Ⅳ</w:t>
            </w:r>
            <w:bookmarkEnd w:id="463"/>
          </w:p>
        </w:tc>
      </w:tr>
    </w:tbl>
    <w:p w14:paraId="103565A7">
      <w:pPr>
        <w:pStyle w:val="128"/>
        <w:rPr>
          <w:rFonts w:hint="eastAsia"/>
        </w:rPr>
      </w:pPr>
      <w:r>
        <w:rPr>
          <w:rFonts w:hint="eastAsia"/>
        </w:rPr>
        <w:t>从上表可知，本项目的大气环境风险潜势为</w:t>
      </w:r>
      <w:r>
        <w:t>Ⅲ</w:t>
      </w:r>
      <w:r>
        <w:rPr>
          <w:rFonts w:hint="eastAsia"/>
        </w:rPr>
        <w:t>；地下水环境风险潜势为</w:t>
      </w:r>
      <w:r>
        <w:rPr>
          <w:kern w:val="2"/>
          <w:szCs w:val="22"/>
        </w:rPr>
        <w:t>Ⅳ</w:t>
      </w:r>
      <w:r>
        <w:rPr>
          <w:rFonts w:hint="eastAsia"/>
        </w:rPr>
        <w:t>，建设项目环境风险潜势综合等级为</w:t>
      </w:r>
      <w:r>
        <w:rPr>
          <w:kern w:val="2"/>
          <w:szCs w:val="22"/>
        </w:rPr>
        <w:t>Ⅳ</w:t>
      </w:r>
      <w:r>
        <w:rPr>
          <w:rFonts w:hint="eastAsia"/>
          <w:kern w:val="2"/>
          <w:szCs w:val="22"/>
        </w:rPr>
        <w:t>。</w:t>
      </w:r>
    </w:p>
    <w:p w14:paraId="6B8973FC">
      <w:pPr>
        <w:pStyle w:val="722"/>
        <w:rPr>
          <w:rFonts w:hint="eastAsia"/>
        </w:rPr>
      </w:pPr>
      <w:bookmarkStart w:id="464" w:name="_Toc20763576"/>
      <w:bookmarkStart w:id="465" w:name="_Toc14761"/>
      <w:bookmarkStart w:id="466" w:name="_Toc1043507"/>
      <w:bookmarkStart w:id="467" w:name="_Toc194592904"/>
      <w:bookmarkStart w:id="468" w:name="_Toc2424"/>
      <w:bookmarkStart w:id="469" w:name="_Toc2703411"/>
      <w:bookmarkStart w:id="470" w:name="_Toc70372822"/>
      <w:bookmarkStart w:id="471" w:name="_Toc71012657"/>
      <w:bookmarkStart w:id="472" w:name="_Toc69750984"/>
      <w:r>
        <w:rPr>
          <w:rFonts w:hint="eastAsia"/>
        </w:rPr>
        <w:t>评价等级及评价范围</w:t>
      </w:r>
      <w:bookmarkEnd w:id="464"/>
      <w:bookmarkEnd w:id="465"/>
      <w:bookmarkEnd w:id="466"/>
      <w:bookmarkEnd w:id="467"/>
      <w:bookmarkEnd w:id="468"/>
      <w:bookmarkEnd w:id="469"/>
      <w:bookmarkEnd w:id="470"/>
      <w:bookmarkEnd w:id="471"/>
      <w:bookmarkEnd w:id="472"/>
    </w:p>
    <w:p w14:paraId="13336CDB">
      <w:pPr>
        <w:pStyle w:val="97"/>
        <w:rPr>
          <w:rFonts w:hint="eastAsia"/>
        </w:rPr>
      </w:pPr>
      <w:bookmarkStart w:id="473" w:name="_Hlk150616097"/>
      <w:r>
        <w:rPr>
          <w:rFonts w:hint="eastAsia"/>
        </w:rPr>
        <w:t>评价等级</w:t>
      </w:r>
    </w:p>
    <w:p w14:paraId="36E3CD06">
      <w:pPr>
        <w:pStyle w:val="281"/>
        <w:ind w:firstLine="480"/>
      </w:pPr>
      <w:r>
        <w:rPr>
          <w:rFonts w:hint="eastAsia"/>
        </w:rPr>
        <w:t>根据《建设项目环境风险评价技术导则》（HJ169-2018）规定：</w:t>
      </w:r>
      <w:r>
        <w:t>“</w:t>
      </w:r>
      <w:r>
        <w:rPr>
          <w:rFonts w:hint="eastAsia"/>
        </w:rPr>
        <w:t>环境风险评价工作是依据建设项目涉及的物质及工艺系统危险性和所在地的环境敏感性确定环境风险潜势进行分级，环境影响评价工作等级划分为一级、二级、三级</w:t>
      </w:r>
      <w:r>
        <w:t>”</w:t>
      </w:r>
      <w:r>
        <w:rPr>
          <w:rFonts w:hint="eastAsia"/>
        </w:rPr>
        <w:t>，其具体分级判据，见</w:t>
      </w:r>
      <w:r>
        <w:t>表</w:t>
      </w:r>
      <w:r>
        <w:rPr>
          <w:rFonts w:hint="eastAsia"/>
        </w:rPr>
        <w:t>7.4</w:t>
      </w:r>
      <w:r>
        <w:t>.1</w:t>
      </w:r>
      <w:r>
        <w:rPr>
          <w:rFonts w:hint="eastAsia"/>
        </w:rPr>
        <w:t>-1。</w:t>
      </w:r>
    </w:p>
    <w:p w14:paraId="5C3D333F">
      <w:pPr>
        <w:pStyle w:val="541"/>
        <w:rPr>
          <w:rFonts w:hint="eastAsia"/>
        </w:rPr>
      </w:pPr>
      <w:r>
        <w:rPr>
          <w:rFonts w:hint="eastAsia"/>
        </w:rPr>
        <w:t>表7.4</w:t>
      </w:r>
      <w:r>
        <w:t>.1</w:t>
      </w:r>
      <w:r>
        <w:rPr>
          <w:rFonts w:hint="eastAsia"/>
        </w:rPr>
        <w:t xml:space="preserve">-1 </w:t>
      </w:r>
      <w:r>
        <w:t xml:space="preserve">  </w:t>
      </w:r>
      <w:r>
        <w:rPr>
          <w:rFonts w:hint="eastAsia"/>
        </w:rPr>
        <w:t xml:space="preserve"> 项目环境影响评价等级判据一览表</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1603"/>
        <w:gridCol w:w="1604"/>
        <w:gridCol w:w="1603"/>
        <w:gridCol w:w="1604"/>
      </w:tblGrid>
      <w:tr w14:paraId="70C3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7" w:type="pct"/>
          </w:tcPr>
          <w:p w14:paraId="32E3F073">
            <w:pPr>
              <w:pStyle w:val="557"/>
              <w:rPr>
                <w:lang w:eastAsia="en-US"/>
              </w:rPr>
            </w:pPr>
            <w:r>
              <w:rPr>
                <w:lang w:eastAsia="en-US"/>
              </w:rPr>
              <w:t>环境风险潜势</w:t>
            </w:r>
          </w:p>
        </w:tc>
        <w:tc>
          <w:tcPr>
            <w:tcW w:w="940" w:type="pct"/>
          </w:tcPr>
          <w:p w14:paraId="6D8C2937">
            <w:pPr>
              <w:pStyle w:val="557"/>
              <w:rPr>
                <w:lang w:eastAsia="en-US"/>
              </w:rPr>
            </w:pPr>
            <w:r>
              <w:rPr>
                <w:lang w:eastAsia="en-US"/>
              </w:rPr>
              <w:t>IV、IV+</w:t>
            </w:r>
          </w:p>
        </w:tc>
        <w:tc>
          <w:tcPr>
            <w:tcW w:w="941" w:type="pct"/>
          </w:tcPr>
          <w:p w14:paraId="35162116">
            <w:pPr>
              <w:pStyle w:val="557"/>
              <w:rPr>
                <w:lang w:eastAsia="en-US"/>
              </w:rPr>
            </w:pPr>
            <w:r>
              <w:rPr>
                <w:lang w:eastAsia="en-US"/>
              </w:rPr>
              <w:t>III</w:t>
            </w:r>
          </w:p>
        </w:tc>
        <w:tc>
          <w:tcPr>
            <w:tcW w:w="940" w:type="pct"/>
          </w:tcPr>
          <w:p w14:paraId="2D001772">
            <w:pPr>
              <w:pStyle w:val="557"/>
              <w:rPr>
                <w:lang w:eastAsia="en-US"/>
              </w:rPr>
            </w:pPr>
            <w:r>
              <w:rPr>
                <w:lang w:eastAsia="en-US"/>
              </w:rPr>
              <w:t>II</w:t>
            </w:r>
          </w:p>
        </w:tc>
        <w:tc>
          <w:tcPr>
            <w:tcW w:w="941" w:type="pct"/>
          </w:tcPr>
          <w:p w14:paraId="77902AB5">
            <w:pPr>
              <w:pStyle w:val="557"/>
              <w:rPr>
                <w:lang w:eastAsia="en-US"/>
              </w:rPr>
            </w:pPr>
            <w:r>
              <w:rPr>
                <w:lang w:eastAsia="en-US"/>
              </w:rPr>
              <w:t>I</w:t>
            </w:r>
          </w:p>
        </w:tc>
      </w:tr>
      <w:tr w14:paraId="1770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7" w:type="pct"/>
            <w:vAlign w:val="center"/>
          </w:tcPr>
          <w:p w14:paraId="0EA3B305">
            <w:pPr>
              <w:pStyle w:val="557"/>
              <w:rPr>
                <w:lang w:eastAsia="en-US"/>
              </w:rPr>
            </w:pPr>
            <w:r>
              <w:rPr>
                <w:lang w:eastAsia="en-US"/>
              </w:rPr>
              <w:t>环境风险评价等级</w:t>
            </w:r>
          </w:p>
        </w:tc>
        <w:tc>
          <w:tcPr>
            <w:tcW w:w="940" w:type="pct"/>
          </w:tcPr>
          <w:p w14:paraId="39177174">
            <w:pPr>
              <w:pStyle w:val="557"/>
              <w:rPr>
                <w:lang w:eastAsia="en-US"/>
              </w:rPr>
            </w:pPr>
            <w:r>
              <w:rPr>
                <w:lang w:eastAsia="en-US"/>
              </w:rPr>
              <w:t>一</w:t>
            </w:r>
          </w:p>
        </w:tc>
        <w:tc>
          <w:tcPr>
            <w:tcW w:w="941" w:type="pct"/>
          </w:tcPr>
          <w:p w14:paraId="5368302D">
            <w:pPr>
              <w:pStyle w:val="557"/>
              <w:rPr>
                <w:lang w:eastAsia="en-US"/>
              </w:rPr>
            </w:pPr>
            <w:r>
              <w:rPr>
                <w:lang w:eastAsia="en-US"/>
              </w:rPr>
              <w:t>二</w:t>
            </w:r>
          </w:p>
        </w:tc>
        <w:tc>
          <w:tcPr>
            <w:tcW w:w="940" w:type="pct"/>
          </w:tcPr>
          <w:p w14:paraId="5F0D21A9">
            <w:pPr>
              <w:pStyle w:val="557"/>
              <w:rPr>
                <w:lang w:eastAsia="en-US"/>
              </w:rPr>
            </w:pPr>
            <w:r>
              <w:rPr>
                <w:lang w:eastAsia="en-US"/>
              </w:rPr>
              <w:t>三</w:t>
            </w:r>
          </w:p>
        </w:tc>
        <w:tc>
          <w:tcPr>
            <w:tcW w:w="941" w:type="pct"/>
          </w:tcPr>
          <w:p w14:paraId="15D13F24">
            <w:pPr>
              <w:pStyle w:val="557"/>
              <w:rPr>
                <w:lang w:eastAsia="en-US"/>
              </w:rPr>
            </w:pPr>
            <w:r>
              <w:rPr>
                <w:lang w:eastAsia="en-US"/>
              </w:rPr>
              <w:t>简单分析</w:t>
            </w:r>
          </w:p>
        </w:tc>
      </w:tr>
    </w:tbl>
    <w:p w14:paraId="40BE697A">
      <w:pPr>
        <w:pStyle w:val="128"/>
        <w:rPr>
          <w:rFonts w:hint="eastAsia"/>
        </w:rPr>
      </w:pPr>
      <w:r>
        <w:rPr>
          <w:rFonts w:hint="eastAsia"/>
        </w:rPr>
        <w:t>根据风险潜势初判，项目环境风</w:t>
      </w:r>
      <w:r>
        <w:rPr>
          <w:rStyle w:val="282"/>
          <w:rFonts w:hint="eastAsia"/>
        </w:rPr>
        <w:t>险潜势为</w:t>
      </w:r>
      <w:r>
        <w:rPr>
          <w:rStyle w:val="282"/>
        </w:rPr>
        <w:t>Ⅳ</w:t>
      </w:r>
      <w:r>
        <w:rPr>
          <w:rStyle w:val="282"/>
          <w:rFonts w:hint="eastAsia"/>
        </w:rPr>
        <w:t>，环境风险评价等级为一级。</w:t>
      </w:r>
    </w:p>
    <w:bookmarkEnd w:id="473"/>
    <w:p w14:paraId="63E15758">
      <w:pPr>
        <w:pStyle w:val="97"/>
        <w:rPr>
          <w:rFonts w:hint="eastAsia"/>
        </w:rPr>
      </w:pPr>
      <w:r>
        <w:rPr>
          <w:rFonts w:hint="eastAsia"/>
        </w:rPr>
        <w:t>评价范围</w:t>
      </w:r>
    </w:p>
    <w:p w14:paraId="56E0A5A2">
      <w:pPr>
        <w:pStyle w:val="281"/>
        <w:ind w:firstLine="480"/>
      </w:pPr>
      <w:r>
        <w:t>本项目的环境风险评价等级为</w:t>
      </w:r>
      <w:r>
        <w:rPr>
          <w:rFonts w:hint="eastAsia"/>
        </w:rPr>
        <w:t>一</w:t>
      </w:r>
      <w:r>
        <w:t>级，根据《建设项目环境风险评价技术导则》（HJ169-2018）中评价范围的规定，项目的环境风险评价范围具体如下：</w:t>
      </w:r>
    </w:p>
    <w:p w14:paraId="033F0974">
      <w:pPr>
        <w:pStyle w:val="281"/>
        <w:ind w:firstLine="480"/>
      </w:pPr>
      <w:r>
        <w:t>（1）大气环境风险评价范围</w:t>
      </w:r>
    </w:p>
    <w:p w14:paraId="245A5333">
      <w:pPr>
        <w:pStyle w:val="281"/>
        <w:ind w:firstLine="480"/>
      </w:pPr>
      <w:r>
        <w:rPr>
          <w:rFonts w:hint="eastAsia"/>
        </w:rPr>
        <w:t>距离建设项目边界</w:t>
      </w:r>
      <w:r>
        <w:t>5.0</w:t>
      </w:r>
      <w:r>
        <w:rPr>
          <w:rFonts w:hint="eastAsia"/>
        </w:rPr>
        <w:t>km范围内。</w:t>
      </w:r>
    </w:p>
    <w:p w14:paraId="38369DE0">
      <w:pPr>
        <w:pStyle w:val="281"/>
        <w:ind w:firstLine="480"/>
      </w:pPr>
      <w:r>
        <w:t>（2）地表水环境风险评价范围</w:t>
      </w:r>
    </w:p>
    <w:p w14:paraId="22537CC2">
      <w:pPr>
        <w:pStyle w:val="128"/>
        <w:rPr>
          <w:rFonts w:hint="eastAsia"/>
        </w:rPr>
      </w:pPr>
      <w:r>
        <w:t>本项目与地表水之间没有水力联系，不考虑风险事故泄漏危险物质对地表水体的影响，因此，不设地表水环境风险评价范围。</w:t>
      </w:r>
    </w:p>
    <w:p w14:paraId="77E5E4E8">
      <w:pPr>
        <w:pStyle w:val="281"/>
        <w:ind w:firstLine="480"/>
      </w:pPr>
      <w:r>
        <w:t>（3）地下水环境风险评价范围</w:t>
      </w:r>
    </w:p>
    <w:p w14:paraId="498B8E98">
      <w:pPr>
        <w:pStyle w:val="281"/>
        <w:ind w:firstLine="480"/>
      </w:pPr>
      <w:r>
        <w:t>参照《环境影响评价技术导则</w:t>
      </w:r>
      <w:r>
        <w:rPr>
          <w:rFonts w:hint="eastAsia"/>
        </w:rPr>
        <w:t xml:space="preserve"> </w:t>
      </w:r>
      <w:r>
        <w:t>地下水环境》（HJ610-2016）确定，</w:t>
      </w:r>
      <w:r>
        <w:rPr>
          <w:rFonts w:hint="eastAsia"/>
        </w:rPr>
        <w:t>上游东北侧1km，下游西南侧3km，两侧各1km，面积约8km</w:t>
      </w:r>
      <w:r>
        <w:rPr>
          <w:rFonts w:hint="eastAsia"/>
          <w:vertAlign w:val="superscript"/>
        </w:rPr>
        <w:t>2</w:t>
      </w:r>
      <w:r>
        <w:rPr>
          <w:rFonts w:hint="eastAsia"/>
        </w:rPr>
        <w:t>的矩形区域作为环境风险地下水评价范围。</w:t>
      </w:r>
    </w:p>
    <w:p w14:paraId="09EA2FDE">
      <w:pPr>
        <w:pStyle w:val="104"/>
        <w:ind w:firstLine="512"/>
        <w:rPr>
          <w:rFonts w:hint="eastAsia"/>
          <w:lang w:val="zh-CN"/>
        </w:rPr>
      </w:pPr>
      <w:r>
        <w:rPr>
          <w:rFonts w:ascii="Times New Roman"/>
        </w:rPr>
        <w:t>本项目风险评价范围及敏感目标分布情况，见图2.</w:t>
      </w:r>
      <w:r>
        <w:rPr>
          <w:rFonts w:hint="eastAsia" w:ascii="Times New Roman"/>
        </w:rPr>
        <w:t>7</w:t>
      </w:r>
      <w:r>
        <w:rPr>
          <w:rFonts w:ascii="Times New Roman"/>
        </w:rPr>
        <w:t>-1。</w:t>
      </w:r>
    </w:p>
    <w:p w14:paraId="783B1889">
      <w:pPr>
        <w:pStyle w:val="3"/>
        <w:rPr>
          <w:rFonts w:hint="eastAsia"/>
        </w:rPr>
      </w:pPr>
      <w:bookmarkStart w:id="474" w:name="_Toc71012658"/>
      <w:bookmarkStart w:id="475" w:name="_Toc194592905"/>
      <w:bookmarkStart w:id="476" w:name="_Toc31731"/>
      <w:bookmarkStart w:id="477" w:name="_Toc70372823"/>
      <w:bookmarkStart w:id="478" w:name="_Toc4386"/>
      <w:bookmarkStart w:id="479" w:name="_Toc20763577"/>
      <w:bookmarkStart w:id="480" w:name="_Toc69750985"/>
      <w:r>
        <w:rPr>
          <w:rFonts w:hint="eastAsia"/>
        </w:rPr>
        <w:t>环境风险识别</w:t>
      </w:r>
      <w:bookmarkEnd w:id="474"/>
      <w:bookmarkEnd w:id="475"/>
      <w:bookmarkEnd w:id="476"/>
      <w:bookmarkEnd w:id="477"/>
      <w:bookmarkEnd w:id="478"/>
      <w:bookmarkEnd w:id="479"/>
      <w:bookmarkEnd w:id="480"/>
    </w:p>
    <w:p w14:paraId="0E292527">
      <w:pPr>
        <w:pStyle w:val="98"/>
        <w:rPr>
          <w:rFonts w:hint="eastAsia"/>
          <w:color w:val="auto"/>
        </w:rPr>
      </w:pPr>
      <w:r>
        <w:rPr>
          <w:rFonts w:hint="eastAsia"/>
          <w:color w:val="auto"/>
        </w:rPr>
        <w:t>生产装置典型事故案例</w:t>
      </w:r>
    </w:p>
    <w:p w14:paraId="5B82F380">
      <w:pPr>
        <w:pStyle w:val="281"/>
        <w:ind w:firstLine="480"/>
      </w:pPr>
      <w:r>
        <w:t>本次评价对煤化工项目同类装置的事故案例进行了调查统计，调查结果见表7.5-1。</w:t>
      </w:r>
    </w:p>
    <w:p w14:paraId="49C46764">
      <w:pPr>
        <w:pStyle w:val="281"/>
        <w:ind w:firstLine="480"/>
      </w:pPr>
      <w:r>
        <w:t>由事故案例可以看出，</w:t>
      </w:r>
      <w:r>
        <w:rPr>
          <w:rFonts w:hint="eastAsia"/>
        </w:rPr>
        <w:t>空分装置、</w:t>
      </w:r>
      <w:r>
        <w:t>净化装置及</w:t>
      </w:r>
      <w:r>
        <w:rPr>
          <w:rFonts w:hint="eastAsia"/>
        </w:rPr>
        <w:t>硫回收装置</w:t>
      </w:r>
      <w:r>
        <w:t>为事故易发单元，由于装置内存在大量毒性物质，事故易造成人员中毒、死亡的严重后果。而储罐区危险物质储存量较大，一旦发生事故，后果往往较为严重，社会影响恶劣。</w:t>
      </w:r>
    </w:p>
    <w:p w14:paraId="0EBF44C4">
      <w:pPr>
        <w:pStyle w:val="281"/>
        <w:ind w:firstLine="480"/>
      </w:pPr>
      <w:r>
        <w:rPr>
          <w:rFonts w:hint="eastAsia" w:ascii="宋体" w:hAnsi="宋体"/>
        </w:rPr>
        <w:t>（</w:t>
      </w:r>
      <w:r>
        <w:rPr>
          <w:rFonts w:hint="eastAsia"/>
        </w:rPr>
        <w:t>1</w:t>
      </w:r>
      <w:r>
        <w:rPr>
          <w:rFonts w:hint="eastAsia" w:ascii="宋体" w:hAnsi="宋体"/>
        </w:rPr>
        <w:t>）空分装置</w:t>
      </w:r>
    </w:p>
    <w:p w14:paraId="5ABDDA16">
      <w:pPr>
        <w:pStyle w:val="281"/>
        <w:ind w:firstLine="480"/>
      </w:pPr>
      <w:r>
        <w:rPr>
          <w:rFonts w:hint="eastAsia"/>
        </w:rPr>
        <w:t>2009</w:t>
      </w:r>
      <w:r>
        <w:rPr>
          <w:rFonts w:hint="eastAsia" w:ascii="宋体" w:hAnsi="宋体"/>
        </w:rPr>
        <w:t>年</w:t>
      </w:r>
      <w:r>
        <w:rPr>
          <w:rFonts w:hint="eastAsia"/>
        </w:rPr>
        <w:t>7</w:t>
      </w:r>
      <w:r>
        <w:rPr>
          <w:rFonts w:hint="eastAsia" w:ascii="宋体" w:hAnsi="宋体"/>
        </w:rPr>
        <w:t>月，无锡市某钢铁公司，操作工在未完全确认冷箱内温度是否降到具备安全作业条件的情况下，开箱扒砂作业，造成冷箱断裂，空分装置倒塌。造成</w:t>
      </w:r>
      <w:r>
        <w:rPr>
          <w:rFonts w:hint="eastAsia"/>
        </w:rPr>
        <w:t>3</w:t>
      </w:r>
      <w:r>
        <w:rPr>
          <w:rFonts w:hint="eastAsia" w:ascii="宋体" w:hAnsi="宋体"/>
        </w:rPr>
        <w:t>人死亡，</w:t>
      </w:r>
      <w:r>
        <w:rPr>
          <w:rFonts w:hint="eastAsia"/>
        </w:rPr>
        <w:t>8</w:t>
      </w:r>
      <w:r>
        <w:rPr>
          <w:rFonts w:hint="eastAsia" w:ascii="宋体" w:hAnsi="宋体"/>
        </w:rPr>
        <w:t>人受伤。</w:t>
      </w:r>
    </w:p>
    <w:p w14:paraId="40645163">
      <w:pPr>
        <w:pStyle w:val="281"/>
        <w:ind w:firstLine="480"/>
      </w:pPr>
      <w:r>
        <w:rPr>
          <w:rFonts w:hint="eastAsia"/>
        </w:rPr>
        <w:t>2019</w:t>
      </w:r>
      <w:r>
        <w:rPr>
          <w:rFonts w:hint="eastAsia" w:ascii="宋体" w:hAnsi="宋体"/>
        </w:rPr>
        <w:t>年</w:t>
      </w:r>
      <w:r>
        <w:rPr>
          <w:rFonts w:hint="eastAsia"/>
        </w:rPr>
        <w:t>7</w:t>
      </w:r>
      <w:r>
        <w:rPr>
          <w:rFonts w:hint="eastAsia" w:ascii="宋体" w:hAnsi="宋体"/>
        </w:rPr>
        <w:t>月</w:t>
      </w:r>
      <w:r>
        <w:rPr>
          <w:rFonts w:hint="eastAsia"/>
        </w:rPr>
        <w:t>19</w:t>
      </w:r>
      <w:r>
        <w:rPr>
          <w:rFonts w:hint="eastAsia" w:ascii="宋体" w:hAnsi="宋体"/>
        </w:rPr>
        <w:t>日，河南省三门峡市河南煤气集团义马气化厂空气分离装置冷箱泄漏未及时处理，发生</w:t>
      </w:r>
      <w:r>
        <w:t>“</w:t>
      </w:r>
      <w:r>
        <w:rPr>
          <w:rFonts w:hint="eastAsia" w:ascii="宋体" w:hAnsi="宋体"/>
        </w:rPr>
        <w:t>砂爆</w:t>
      </w:r>
      <w:r>
        <w:t>”</w:t>
      </w:r>
      <w:r>
        <w:rPr>
          <w:rFonts w:hint="eastAsia" w:ascii="宋体" w:hAnsi="宋体"/>
        </w:rPr>
        <w:t>（空分冷箱发生漏液，保温层珠光砂内就会存有大量低温液体，当低温液体急剧蒸发时冷箱外壳被撑裂，气体夹带珠光砂大量喷出的现象），进而引发冷箱倒塌，导致附近</w:t>
      </w:r>
      <w:r>
        <w:rPr>
          <w:rFonts w:hint="eastAsia"/>
        </w:rPr>
        <w:t>500m</w:t>
      </w:r>
      <w:r>
        <w:rPr>
          <w:rFonts w:hint="eastAsia"/>
          <w:vertAlign w:val="superscript"/>
        </w:rPr>
        <w:t>3</w:t>
      </w:r>
      <w:r>
        <w:rPr>
          <w:rFonts w:hint="eastAsia" w:ascii="宋体" w:hAnsi="宋体"/>
        </w:rPr>
        <w:t>液氧贮槽破裂，大量液氧迅速外泄，周围可燃物在液氧或富氧条件下发生爆炸、燃烧，事故造成</w:t>
      </w:r>
      <w:r>
        <w:rPr>
          <w:rFonts w:hint="eastAsia"/>
        </w:rPr>
        <w:t>15</w:t>
      </w:r>
      <w:r>
        <w:rPr>
          <w:rFonts w:hint="eastAsia" w:ascii="宋体" w:hAnsi="宋体"/>
        </w:rPr>
        <w:t>人死亡、</w:t>
      </w:r>
      <w:r>
        <w:rPr>
          <w:rFonts w:hint="eastAsia"/>
        </w:rPr>
        <w:t>16</w:t>
      </w:r>
      <w:r>
        <w:rPr>
          <w:rFonts w:hint="eastAsia" w:ascii="宋体" w:hAnsi="宋体"/>
        </w:rPr>
        <w:t>人重伤。</w:t>
      </w:r>
    </w:p>
    <w:p w14:paraId="6393232C">
      <w:pPr>
        <w:pStyle w:val="281"/>
        <w:ind w:firstLine="480"/>
      </w:pPr>
      <w:r>
        <w:t>（2）净化装置</w:t>
      </w:r>
    </w:p>
    <w:p w14:paraId="1EB93184">
      <w:pPr>
        <w:pStyle w:val="281"/>
        <w:ind w:firstLine="480"/>
      </w:pPr>
      <w:r>
        <w:t>1996年11月7日，东北某炼油厂硫磺车间酸性气燃烧炉熄火，当班班长和操作工去现场检查处理时，炉内的H</w:t>
      </w:r>
      <w:r>
        <w:rPr>
          <w:vertAlign w:val="subscript"/>
        </w:rPr>
        <w:t>2</w:t>
      </w:r>
      <w:r>
        <w:t>S气体扩散到炉外，当班长点长明灯要插入炉膛内引燃酸性气时，二人被H</w:t>
      </w:r>
      <w:r>
        <w:rPr>
          <w:vertAlign w:val="subscript"/>
        </w:rPr>
        <w:t>2</w:t>
      </w:r>
      <w:r>
        <w:t>S气体中毒昏倒。车间主任带人从现场救出，送医院经抢救，班长脱离危险，操作工中毒死亡。</w:t>
      </w:r>
    </w:p>
    <w:p w14:paraId="41AD6953">
      <w:pPr>
        <w:pStyle w:val="281"/>
        <w:ind w:firstLine="480"/>
      </w:pPr>
      <w:r>
        <w:t>2006年4月25日，南京某化工厂净化装置工人违规在禁火区使用喷灯熔焊电缆接电线，导致明火与泄漏的可燃气体接触，致使1#电除尘器发生爆炸，事故造成4人死亡，1人受伤。</w:t>
      </w:r>
    </w:p>
    <w:p w14:paraId="34AE5CDC">
      <w:pPr>
        <w:pStyle w:val="281"/>
        <w:ind w:firstLine="480"/>
      </w:pPr>
      <w:r>
        <w:t>2007年1月19日，克拉玛依某石化公司硫磺回收装置停工检修时，炉体与反应器未用盲板隔离，导致反应器内保护氮气通过工艺管线窜入炉膛，车间技术员在进炉检查内部衬里时，因氮气窒息而死。</w:t>
      </w:r>
    </w:p>
    <w:p w14:paraId="202D373F">
      <w:pPr>
        <w:pStyle w:val="281"/>
        <w:ind w:firstLine="480"/>
      </w:pPr>
      <w:r>
        <w:t>（</w:t>
      </w:r>
      <w:r>
        <w:rPr>
          <w:rFonts w:hint="eastAsia"/>
        </w:rPr>
        <w:t>3</w:t>
      </w:r>
      <w:r>
        <w:t>）储运工程</w:t>
      </w:r>
    </w:p>
    <w:p w14:paraId="01AD1EC4">
      <w:pPr>
        <w:pStyle w:val="281"/>
        <w:ind w:firstLine="480"/>
      </w:pPr>
      <w:r>
        <w:t>2010年1月7日17时24分，中国石油天然气股份有限公司兰州石化分公司316号罐区发生一起爆炸火灾事故，造成6人死亡、6人受伤（其中1人重伤）。事故原因是：裂解碳四球罐内物料从出口管线弯头处发生泄漏并迅速扩大，泄漏的裂解碳四达到爆炸极限，遇点火源后发生空间爆炸，进而引起周边储罐泄漏、着火和爆炸。</w:t>
      </w:r>
    </w:p>
    <w:p w14:paraId="6982057D">
      <w:pPr>
        <w:pStyle w:val="281"/>
        <w:ind w:firstLine="480"/>
      </w:pPr>
      <w:r>
        <w:t>2012年12月31日山西长治市潞安市山西天脊煤化工集团股份有限公司发生一起苯胺泄漏事故。经初步核查，当时泄漏总量约为38.7t，发现泄漏后，有关方面同时关闭管道入口出口，并关闭了企业排污口下游的一个干涸水库，截留了30t的苯胺，另有8.7t苯胺排入浊漳河。泄漏苯胺随河水流出省外，处于受污河水下游的河北、河南两省也受到影响。</w:t>
      </w:r>
    </w:p>
    <w:p w14:paraId="3C1986C5">
      <w:pPr>
        <w:pStyle w:val="281"/>
        <w:ind w:firstLine="480"/>
      </w:pPr>
      <w:r>
        <w:t>2015年7月16日，山东石大科技石化有限公司，该公司在进行倒罐作业过程中，违规采取注水倒罐置换的方法，且在切水过程中现场无人值守，致使液化石油气在水排完后从排水口泄出，泄漏过程中产生的静电或因消防水带剧烈舞动，金属接口及捆绑铁丝与设备或管道撞击产生火花引起爆燃。事故造成2名消防队员受轻伤，直接经济损失2812万元。</w:t>
      </w:r>
    </w:p>
    <w:p w14:paraId="3A5415CC">
      <w:pPr>
        <w:pStyle w:val="281"/>
        <w:ind w:firstLine="480"/>
      </w:pPr>
      <w:r>
        <w:t>2017年6月5日，山东省临沂市金誉石化有限公司运载液化气罐车在卸车栈台卸料时，快速接头</w:t>
      </w:r>
      <w:r>
        <w:rPr>
          <w:rFonts w:hint="eastAsia"/>
        </w:rPr>
        <w:t>卡扣</w:t>
      </w:r>
      <w:r>
        <w:t>未连接牢固，接头处脱开造成液化气大量泄漏，液化气与空气形成爆炸性混合气体，遇点火源发生爆炸。事故造成10人死亡、9人受伤。</w:t>
      </w:r>
    </w:p>
    <w:p w14:paraId="46D511F8">
      <w:pPr>
        <w:pStyle w:val="98"/>
        <w:rPr>
          <w:rFonts w:hint="eastAsia"/>
          <w:color w:val="auto"/>
        </w:rPr>
      </w:pPr>
      <w:r>
        <w:rPr>
          <w:rFonts w:hint="eastAsia"/>
          <w:color w:val="auto"/>
        </w:rPr>
        <w:t>案例重大事故统计调查</w:t>
      </w:r>
    </w:p>
    <w:p w14:paraId="771F2F48">
      <w:pPr>
        <w:pStyle w:val="281"/>
        <w:ind w:firstLine="480"/>
      </w:pPr>
      <w:r>
        <w:rPr>
          <w:rFonts w:hint="eastAsia" w:ascii="宋体" w:hAnsi="宋体"/>
        </w:rPr>
        <w:t>（</w:t>
      </w:r>
      <w:r>
        <w:rPr>
          <w:rFonts w:hint="eastAsia"/>
        </w:rPr>
        <w:t>1</w:t>
      </w:r>
      <w:r>
        <w:rPr>
          <w:rFonts w:hint="eastAsia" w:ascii="宋体" w:hAnsi="宋体"/>
        </w:rPr>
        <w:t>）国外事故统计调查</w:t>
      </w:r>
    </w:p>
    <w:p w14:paraId="0265D558">
      <w:pPr>
        <w:pStyle w:val="281"/>
        <w:ind w:firstLine="480"/>
      </w:pPr>
      <w:r>
        <w:rPr>
          <w:rFonts w:hint="eastAsia" w:ascii="宋体" w:hAnsi="宋体"/>
        </w:rPr>
        <w:t>美国《世界石油化工企业近</w:t>
      </w:r>
      <w:r>
        <w:rPr>
          <w:rFonts w:hint="eastAsia"/>
        </w:rPr>
        <w:t>30</w:t>
      </w:r>
      <w:r>
        <w:rPr>
          <w:rFonts w:hint="eastAsia" w:ascii="宋体" w:hAnsi="宋体"/>
        </w:rPr>
        <w:t>年</w:t>
      </w:r>
      <w:r>
        <w:rPr>
          <w:rFonts w:hint="eastAsia"/>
        </w:rPr>
        <w:t>100</w:t>
      </w:r>
      <w:r>
        <w:rPr>
          <w:rFonts w:hint="eastAsia" w:ascii="宋体" w:hAnsi="宋体"/>
        </w:rPr>
        <w:t>起特大型火灾爆炸事故汇编（</w:t>
      </w:r>
      <w:r>
        <w:rPr>
          <w:rFonts w:hint="eastAsia"/>
        </w:rPr>
        <w:t>18</w:t>
      </w:r>
      <w:r>
        <w:rPr>
          <w:rFonts w:hint="eastAsia" w:ascii="宋体" w:hAnsi="宋体"/>
        </w:rPr>
        <w:t>版）》中收录的</w:t>
      </w:r>
      <w:r>
        <w:rPr>
          <w:rFonts w:hint="eastAsia"/>
        </w:rPr>
        <w:t>100</w:t>
      </w:r>
      <w:r>
        <w:rPr>
          <w:rFonts w:hint="eastAsia" w:ascii="宋体" w:hAnsi="宋体"/>
        </w:rPr>
        <w:t>例重大火灾爆炸事故分布见下表。</w:t>
      </w:r>
    </w:p>
    <w:p w14:paraId="17B651EF">
      <w:pPr>
        <w:pStyle w:val="535"/>
        <w:rPr>
          <w:rFonts w:hint="eastAsia"/>
          <w:color w:val="auto"/>
        </w:rPr>
      </w:pPr>
      <w:bookmarkStart w:id="481" w:name="_Ref81993349"/>
      <w:r>
        <w:rPr>
          <w:rFonts w:hint="eastAsia"/>
          <w:color w:val="auto"/>
        </w:rPr>
        <w:t>表</w:t>
      </w:r>
      <w:bookmarkEnd w:id="481"/>
      <w:r>
        <w:rPr>
          <w:rFonts w:hint="eastAsia"/>
          <w:color w:val="auto"/>
        </w:rPr>
        <w:t>7.5</w:t>
      </w:r>
      <w:r>
        <w:rPr>
          <w:color w:val="auto"/>
        </w:rPr>
        <w:t>.1</w:t>
      </w:r>
      <w:r>
        <w:rPr>
          <w:rFonts w:hint="eastAsia"/>
          <w:color w:val="auto"/>
        </w:rPr>
        <w:t>-1   100起特大事故按装置统计比例表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F44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487203CF">
            <w:pPr>
              <w:pStyle w:val="557"/>
            </w:pPr>
            <w:r>
              <w:rPr>
                <w:rFonts w:hint="eastAsia"/>
              </w:rPr>
              <w:t>装置类别</w:t>
            </w:r>
          </w:p>
        </w:tc>
        <w:tc>
          <w:tcPr>
            <w:tcW w:w="1250" w:type="pct"/>
            <w:vAlign w:val="center"/>
          </w:tcPr>
          <w:p w14:paraId="5908FFB4">
            <w:pPr>
              <w:pStyle w:val="557"/>
            </w:pPr>
            <w:r>
              <w:rPr>
                <w:rFonts w:hint="eastAsia"/>
              </w:rPr>
              <w:t>事故比例（%）</w:t>
            </w:r>
          </w:p>
        </w:tc>
        <w:tc>
          <w:tcPr>
            <w:tcW w:w="1250" w:type="pct"/>
            <w:vAlign w:val="center"/>
          </w:tcPr>
          <w:p w14:paraId="49467E9F">
            <w:pPr>
              <w:pStyle w:val="557"/>
            </w:pPr>
            <w:r>
              <w:rPr>
                <w:rFonts w:hint="eastAsia"/>
              </w:rPr>
              <w:t>装置类别</w:t>
            </w:r>
          </w:p>
        </w:tc>
        <w:tc>
          <w:tcPr>
            <w:tcW w:w="1250" w:type="pct"/>
            <w:vAlign w:val="center"/>
          </w:tcPr>
          <w:p w14:paraId="3074789F">
            <w:pPr>
              <w:pStyle w:val="557"/>
            </w:pPr>
            <w:r>
              <w:rPr>
                <w:rFonts w:hint="eastAsia"/>
              </w:rPr>
              <w:t>事故比例（%）</w:t>
            </w:r>
          </w:p>
        </w:tc>
      </w:tr>
      <w:tr w14:paraId="70D6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78EFB976">
            <w:pPr>
              <w:pStyle w:val="557"/>
            </w:pPr>
            <w:r>
              <w:rPr>
                <w:rFonts w:hint="eastAsia"/>
              </w:rPr>
              <w:t>罐区</w:t>
            </w:r>
          </w:p>
        </w:tc>
        <w:tc>
          <w:tcPr>
            <w:tcW w:w="1250" w:type="pct"/>
            <w:vAlign w:val="center"/>
          </w:tcPr>
          <w:p w14:paraId="1FAACB32">
            <w:pPr>
              <w:pStyle w:val="557"/>
            </w:pPr>
            <w:r>
              <w:rPr>
                <w:rFonts w:hint="eastAsia"/>
              </w:rPr>
              <w:t>16.8</w:t>
            </w:r>
          </w:p>
        </w:tc>
        <w:tc>
          <w:tcPr>
            <w:tcW w:w="1250" w:type="pct"/>
            <w:vAlign w:val="center"/>
          </w:tcPr>
          <w:p w14:paraId="76420338">
            <w:pPr>
              <w:pStyle w:val="557"/>
            </w:pPr>
            <w:r>
              <w:rPr>
                <w:rFonts w:hint="eastAsia"/>
              </w:rPr>
              <w:t>油船</w:t>
            </w:r>
          </w:p>
        </w:tc>
        <w:tc>
          <w:tcPr>
            <w:tcW w:w="1250" w:type="pct"/>
            <w:vAlign w:val="center"/>
          </w:tcPr>
          <w:p w14:paraId="5D82752D">
            <w:pPr>
              <w:pStyle w:val="557"/>
            </w:pPr>
            <w:r>
              <w:rPr>
                <w:rFonts w:hint="eastAsia"/>
              </w:rPr>
              <w:t>6.3</w:t>
            </w:r>
          </w:p>
        </w:tc>
      </w:tr>
      <w:tr w14:paraId="4B30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629680D4">
            <w:pPr>
              <w:pStyle w:val="557"/>
            </w:pPr>
            <w:r>
              <w:rPr>
                <w:rFonts w:hint="eastAsia"/>
              </w:rPr>
              <w:t>聚乙烯等塑料</w:t>
            </w:r>
          </w:p>
        </w:tc>
        <w:tc>
          <w:tcPr>
            <w:tcW w:w="1250" w:type="pct"/>
            <w:vAlign w:val="center"/>
          </w:tcPr>
          <w:p w14:paraId="42D93808">
            <w:pPr>
              <w:pStyle w:val="557"/>
            </w:pPr>
            <w:r>
              <w:rPr>
                <w:rFonts w:hint="eastAsia"/>
              </w:rPr>
              <w:t>9.5</w:t>
            </w:r>
          </w:p>
        </w:tc>
        <w:tc>
          <w:tcPr>
            <w:tcW w:w="1250" w:type="pct"/>
            <w:vAlign w:val="center"/>
          </w:tcPr>
          <w:p w14:paraId="22475DC7">
            <w:pPr>
              <w:pStyle w:val="557"/>
            </w:pPr>
            <w:r>
              <w:rPr>
                <w:rFonts w:hint="eastAsia"/>
              </w:rPr>
              <w:t>焦化</w:t>
            </w:r>
          </w:p>
        </w:tc>
        <w:tc>
          <w:tcPr>
            <w:tcW w:w="1250" w:type="pct"/>
            <w:vAlign w:val="center"/>
          </w:tcPr>
          <w:p w14:paraId="26E57116">
            <w:pPr>
              <w:pStyle w:val="557"/>
            </w:pPr>
            <w:r>
              <w:rPr>
                <w:rFonts w:hint="eastAsia"/>
              </w:rPr>
              <w:t>4.2</w:t>
            </w:r>
          </w:p>
        </w:tc>
      </w:tr>
      <w:tr w14:paraId="63B0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12FB487A">
            <w:pPr>
              <w:pStyle w:val="557"/>
            </w:pPr>
            <w:r>
              <w:rPr>
                <w:rFonts w:hint="eastAsia"/>
              </w:rPr>
              <w:t>乙烯加工</w:t>
            </w:r>
          </w:p>
        </w:tc>
        <w:tc>
          <w:tcPr>
            <w:tcW w:w="1250" w:type="pct"/>
            <w:vAlign w:val="center"/>
          </w:tcPr>
          <w:p w14:paraId="4D182A50">
            <w:pPr>
              <w:pStyle w:val="557"/>
            </w:pPr>
            <w:r>
              <w:rPr>
                <w:rFonts w:hint="eastAsia"/>
              </w:rPr>
              <w:t>8.7</w:t>
            </w:r>
          </w:p>
        </w:tc>
        <w:tc>
          <w:tcPr>
            <w:tcW w:w="1250" w:type="pct"/>
            <w:vAlign w:val="center"/>
          </w:tcPr>
          <w:p w14:paraId="331C2F88">
            <w:pPr>
              <w:pStyle w:val="557"/>
            </w:pPr>
            <w:r>
              <w:rPr>
                <w:rFonts w:hint="eastAsia"/>
              </w:rPr>
              <w:t>溶剂脱沥青</w:t>
            </w:r>
          </w:p>
        </w:tc>
        <w:tc>
          <w:tcPr>
            <w:tcW w:w="1250" w:type="pct"/>
            <w:vAlign w:val="center"/>
          </w:tcPr>
          <w:p w14:paraId="5B584088">
            <w:pPr>
              <w:pStyle w:val="557"/>
            </w:pPr>
            <w:r>
              <w:rPr>
                <w:rFonts w:hint="eastAsia"/>
              </w:rPr>
              <w:t>3.16</w:t>
            </w:r>
          </w:p>
        </w:tc>
      </w:tr>
      <w:tr w14:paraId="35EB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0799CD5A">
            <w:pPr>
              <w:pStyle w:val="557"/>
            </w:pPr>
            <w:r>
              <w:rPr>
                <w:rFonts w:hint="eastAsia"/>
              </w:rPr>
              <w:t>天然气输送</w:t>
            </w:r>
          </w:p>
        </w:tc>
        <w:tc>
          <w:tcPr>
            <w:tcW w:w="1250" w:type="pct"/>
            <w:vAlign w:val="center"/>
          </w:tcPr>
          <w:p w14:paraId="3267A5BA">
            <w:pPr>
              <w:pStyle w:val="557"/>
            </w:pPr>
            <w:r>
              <w:rPr>
                <w:rFonts w:hint="eastAsia"/>
              </w:rPr>
              <w:t>8.4</w:t>
            </w:r>
          </w:p>
        </w:tc>
        <w:tc>
          <w:tcPr>
            <w:tcW w:w="1250" w:type="pct"/>
            <w:vAlign w:val="center"/>
          </w:tcPr>
          <w:p w14:paraId="4D4D949B">
            <w:pPr>
              <w:pStyle w:val="557"/>
            </w:pPr>
            <w:r>
              <w:rPr>
                <w:rFonts w:hint="eastAsia"/>
              </w:rPr>
              <w:t>蒸馏</w:t>
            </w:r>
          </w:p>
        </w:tc>
        <w:tc>
          <w:tcPr>
            <w:tcW w:w="1250" w:type="pct"/>
            <w:vAlign w:val="center"/>
          </w:tcPr>
          <w:p w14:paraId="344AD574">
            <w:pPr>
              <w:pStyle w:val="557"/>
            </w:pPr>
            <w:r>
              <w:rPr>
                <w:rFonts w:hint="eastAsia"/>
              </w:rPr>
              <w:t>3.16</w:t>
            </w:r>
          </w:p>
        </w:tc>
      </w:tr>
      <w:tr w14:paraId="5B93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269F6CA6">
            <w:pPr>
              <w:pStyle w:val="557"/>
            </w:pPr>
            <w:r>
              <w:rPr>
                <w:rFonts w:hint="eastAsia"/>
              </w:rPr>
              <w:t>加氢</w:t>
            </w:r>
          </w:p>
        </w:tc>
        <w:tc>
          <w:tcPr>
            <w:tcW w:w="1250" w:type="pct"/>
            <w:vAlign w:val="center"/>
          </w:tcPr>
          <w:p w14:paraId="4D17DD0B">
            <w:pPr>
              <w:pStyle w:val="557"/>
            </w:pPr>
            <w:r>
              <w:rPr>
                <w:rFonts w:hint="eastAsia"/>
              </w:rPr>
              <w:t>7.3</w:t>
            </w:r>
          </w:p>
        </w:tc>
        <w:tc>
          <w:tcPr>
            <w:tcW w:w="1250" w:type="pct"/>
            <w:vAlign w:val="center"/>
          </w:tcPr>
          <w:p w14:paraId="2787C670">
            <w:pPr>
              <w:pStyle w:val="557"/>
            </w:pPr>
            <w:r>
              <w:rPr>
                <w:rFonts w:hint="eastAsia"/>
              </w:rPr>
              <w:t>电厂</w:t>
            </w:r>
          </w:p>
        </w:tc>
        <w:tc>
          <w:tcPr>
            <w:tcW w:w="1250" w:type="pct"/>
            <w:vAlign w:val="center"/>
          </w:tcPr>
          <w:p w14:paraId="1ED48F8E">
            <w:pPr>
              <w:pStyle w:val="557"/>
            </w:pPr>
            <w:r>
              <w:rPr>
                <w:rFonts w:hint="eastAsia"/>
              </w:rPr>
              <w:t>1.1</w:t>
            </w:r>
          </w:p>
        </w:tc>
      </w:tr>
      <w:tr w14:paraId="4E18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5793514A">
            <w:pPr>
              <w:pStyle w:val="557"/>
            </w:pPr>
            <w:r>
              <w:rPr>
                <w:rFonts w:hint="eastAsia"/>
              </w:rPr>
              <w:t>催化气分</w:t>
            </w:r>
          </w:p>
        </w:tc>
        <w:tc>
          <w:tcPr>
            <w:tcW w:w="1250" w:type="pct"/>
            <w:vAlign w:val="center"/>
          </w:tcPr>
          <w:p w14:paraId="49A2739A">
            <w:pPr>
              <w:pStyle w:val="557"/>
            </w:pPr>
            <w:r>
              <w:rPr>
                <w:rFonts w:hint="eastAsia"/>
              </w:rPr>
              <w:t>7.3</w:t>
            </w:r>
          </w:p>
        </w:tc>
        <w:tc>
          <w:tcPr>
            <w:tcW w:w="1250" w:type="pct"/>
            <w:vAlign w:val="center"/>
          </w:tcPr>
          <w:p w14:paraId="7839AE1D">
            <w:pPr>
              <w:pStyle w:val="557"/>
            </w:pPr>
            <w:r>
              <w:rPr>
                <w:rFonts w:hint="eastAsia"/>
              </w:rPr>
              <w:t>合成氨</w:t>
            </w:r>
          </w:p>
        </w:tc>
        <w:tc>
          <w:tcPr>
            <w:tcW w:w="1250" w:type="pct"/>
            <w:vAlign w:val="center"/>
          </w:tcPr>
          <w:p w14:paraId="57D98033">
            <w:pPr>
              <w:pStyle w:val="557"/>
            </w:pPr>
            <w:r>
              <w:rPr>
                <w:rFonts w:hint="eastAsia"/>
              </w:rPr>
              <w:t>1.1</w:t>
            </w:r>
          </w:p>
        </w:tc>
      </w:tr>
      <w:tr w14:paraId="4AEE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0CB0C95B">
            <w:pPr>
              <w:pStyle w:val="557"/>
            </w:pPr>
            <w:r>
              <w:rPr>
                <w:rFonts w:hint="eastAsia"/>
              </w:rPr>
              <w:t>乙烯</w:t>
            </w:r>
          </w:p>
        </w:tc>
        <w:tc>
          <w:tcPr>
            <w:tcW w:w="1250" w:type="pct"/>
            <w:vAlign w:val="center"/>
          </w:tcPr>
          <w:p w14:paraId="75294FD8">
            <w:pPr>
              <w:pStyle w:val="557"/>
            </w:pPr>
            <w:r>
              <w:rPr>
                <w:rFonts w:hint="eastAsia"/>
              </w:rPr>
              <w:t>7.3</w:t>
            </w:r>
          </w:p>
        </w:tc>
        <w:tc>
          <w:tcPr>
            <w:tcW w:w="1250" w:type="pct"/>
            <w:vAlign w:val="center"/>
          </w:tcPr>
          <w:p w14:paraId="4CE8FC9E">
            <w:pPr>
              <w:pStyle w:val="557"/>
            </w:pPr>
            <w:r>
              <w:rPr>
                <w:rFonts w:hint="eastAsia"/>
              </w:rPr>
              <w:t>橡胶</w:t>
            </w:r>
          </w:p>
        </w:tc>
        <w:tc>
          <w:tcPr>
            <w:tcW w:w="1250" w:type="pct"/>
            <w:vAlign w:val="center"/>
          </w:tcPr>
          <w:p w14:paraId="213009A6">
            <w:pPr>
              <w:pStyle w:val="557"/>
            </w:pPr>
            <w:r>
              <w:rPr>
                <w:rFonts w:hint="eastAsia"/>
              </w:rPr>
              <w:t>1.1</w:t>
            </w:r>
          </w:p>
        </w:tc>
      </w:tr>
      <w:tr w14:paraId="0977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0" w:type="pct"/>
            <w:vAlign w:val="center"/>
          </w:tcPr>
          <w:p w14:paraId="4B15BEC3">
            <w:pPr>
              <w:pStyle w:val="557"/>
            </w:pPr>
            <w:r>
              <w:rPr>
                <w:rFonts w:hint="eastAsia"/>
              </w:rPr>
              <w:t>烷基化</w:t>
            </w:r>
          </w:p>
        </w:tc>
        <w:tc>
          <w:tcPr>
            <w:tcW w:w="1250" w:type="pct"/>
            <w:vAlign w:val="center"/>
          </w:tcPr>
          <w:p w14:paraId="1C4429D7">
            <w:pPr>
              <w:pStyle w:val="557"/>
            </w:pPr>
            <w:r>
              <w:rPr>
                <w:rFonts w:hint="eastAsia"/>
              </w:rPr>
              <w:t>6.3</w:t>
            </w:r>
          </w:p>
        </w:tc>
        <w:tc>
          <w:tcPr>
            <w:tcW w:w="1250" w:type="pct"/>
            <w:vAlign w:val="center"/>
          </w:tcPr>
          <w:p w14:paraId="7E05DF44">
            <w:pPr>
              <w:pStyle w:val="557"/>
            </w:pPr>
          </w:p>
        </w:tc>
        <w:tc>
          <w:tcPr>
            <w:tcW w:w="1250" w:type="pct"/>
            <w:vAlign w:val="center"/>
          </w:tcPr>
          <w:p w14:paraId="42531C74">
            <w:pPr>
              <w:pStyle w:val="557"/>
            </w:pPr>
          </w:p>
        </w:tc>
      </w:tr>
    </w:tbl>
    <w:p w14:paraId="4480DDFE">
      <w:pPr>
        <w:pStyle w:val="641"/>
      </w:pPr>
    </w:p>
    <w:p w14:paraId="1ED14373">
      <w:pPr>
        <w:pStyle w:val="281"/>
        <w:ind w:firstLine="480"/>
      </w:pPr>
      <w:r>
        <w:rPr>
          <w:rFonts w:hint="eastAsia" w:ascii="宋体" w:hAnsi="宋体"/>
        </w:rPr>
        <w:t>由上表可知，储存装置－罐区重大事故的频率为</w:t>
      </w:r>
      <w:r>
        <w:t>16.8%</w:t>
      </w:r>
      <w:r>
        <w:rPr>
          <w:rFonts w:hint="eastAsia" w:ascii="宋体" w:hAnsi="宋体"/>
        </w:rPr>
        <w:t>，较高；生产装置－加氢、催化气分、天然气输送、烷基化等发生事故所占比率约为</w:t>
      </w:r>
      <w:r>
        <w:t>29.3%</w:t>
      </w:r>
      <w:r>
        <w:rPr>
          <w:rFonts w:hint="eastAsia" w:ascii="宋体" w:hAnsi="宋体"/>
        </w:rPr>
        <w:t>，事故发生率也比较高。</w:t>
      </w:r>
    </w:p>
    <w:p w14:paraId="5D155503">
      <w:pPr>
        <w:pStyle w:val="281"/>
        <w:ind w:firstLine="480"/>
      </w:pPr>
      <w:r>
        <w:rPr>
          <w:rFonts w:hint="eastAsia" w:ascii="宋体" w:hAnsi="宋体"/>
        </w:rPr>
        <w:t>国外</w:t>
      </w:r>
      <w:r>
        <w:t>100</w:t>
      </w:r>
      <w:r>
        <w:rPr>
          <w:rFonts w:hint="eastAsia" w:ascii="宋体" w:hAnsi="宋体"/>
        </w:rPr>
        <w:t>起重大火灾爆炸事故的原因统计结果见下表。</w:t>
      </w:r>
    </w:p>
    <w:p w14:paraId="166B43D0">
      <w:pPr>
        <w:pStyle w:val="535"/>
        <w:rPr>
          <w:rFonts w:hint="eastAsia"/>
          <w:color w:val="auto"/>
        </w:rPr>
      </w:pPr>
      <w:r>
        <w:rPr>
          <w:rFonts w:hint="eastAsia"/>
          <w:color w:val="auto"/>
        </w:rPr>
        <w:t>表7.5</w:t>
      </w:r>
      <w:r>
        <w:rPr>
          <w:color w:val="auto"/>
        </w:rPr>
        <w:t>.1</w:t>
      </w:r>
      <w:r>
        <w:rPr>
          <w:rFonts w:hint="eastAsia"/>
          <w:color w:val="auto"/>
        </w:rPr>
        <w:t xml:space="preserve">-2   </w:t>
      </w:r>
      <w:r>
        <w:rPr>
          <w:color w:val="auto"/>
        </w:rPr>
        <w:t>重大火灾爆炸事故原因频率分布表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538"/>
        <w:gridCol w:w="1705"/>
        <w:gridCol w:w="1705"/>
        <w:gridCol w:w="1705"/>
      </w:tblGrid>
      <w:tr w14:paraId="59ED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2C152F5F">
            <w:pPr>
              <w:pStyle w:val="557"/>
            </w:pPr>
            <w:r>
              <w:t>序号</w:t>
            </w:r>
          </w:p>
        </w:tc>
        <w:tc>
          <w:tcPr>
            <w:tcW w:w="1489" w:type="pct"/>
            <w:vAlign w:val="center"/>
          </w:tcPr>
          <w:p w14:paraId="43C71AD1">
            <w:pPr>
              <w:pStyle w:val="557"/>
            </w:pPr>
            <w:r>
              <w:t>事故原因</w:t>
            </w:r>
          </w:p>
        </w:tc>
        <w:tc>
          <w:tcPr>
            <w:tcW w:w="1000" w:type="pct"/>
            <w:vAlign w:val="center"/>
          </w:tcPr>
          <w:p w14:paraId="485C8C75">
            <w:pPr>
              <w:pStyle w:val="557"/>
            </w:pPr>
            <w:r>
              <w:t>事故数（起）</w:t>
            </w:r>
          </w:p>
        </w:tc>
        <w:tc>
          <w:tcPr>
            <w:tcW w:w="1000" w:type="pct"/>
            <w:vAlign w:val="center"/>
          </w:tcPr>
          <w:p w14:paraId="218537C0">
            <w:pPr>
              <w:pStyle w:val="557"/>
            </w:pPr>
            <w:r>
              <w:t>事故频率（%）</w:t>
            </w:r>
          </w:p>
        </w:tc>
        <w:tc>
          <w:tcPr>
            <w:tcW w:w="1000" w:type="pct"/>
            <w:vAlign w:val="center"/>
          </w:tcPr>
          <w:p w14:paraId="0EB89306">
            <w:pPr>
              <w:pStyle w:val="557"/>
            </w:pPr>
            <w:r>
              <w:t>所占比例顺序</w:t>
            </w:r>
          </w:p>
        </w:tc>
      </w:tr>
      <w:tr w14:paraId="6766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76C8A179">
            <w:pPr>
              <w:pStyle w:val="557"/>
            </w:pPr>
            <w:r>
              <w:t>1</w:t>
            </w:r>
          </w:p>
        </w:tc>
        <w:tc>
          <w:tcPr>
            <w:tcW w:w="1489" w:type="pct"/>
            <w:vAlign w:val="center"/>
          </w:tcPr>
          <w:p w14:paraId="09E79413">
            <w:pPr>
              <w:pStyle w:val="557"/>
            </w:pPr>
            <w:r>
              <w:t>管道破裂泄漏</w:t>
            </w:r>
          </w:p>
        </w:tc>
        <w:tc>
          <w:tcPr>
            <w:tcW w:w="1000" w:type="pct"/>
            <w:vAlign w:val="center"/>
          </w:tcPr>
          <w:p w14:paraId="14284CC9">
            <w:pPr>
              <w:pStyle w:val="557"/>
            </w:pPr>
            <w:r>
              <w:t>7</w:t>
            </w:r>
          </w:p>
        </w:tc>
        <w:tc>
          <w:tcPr>
            <w:tcW w:w="1000" w:type="pct"/>
            <w:vAlign w:val="center"/>
          </w:tcPr>
          <w:p w14:paraId="6916711E">
            <w:pPr>
              <w:pStyle w:val="557"/>
            </w:pPr>
            <w:r>
              <w:t>20.6</w:t>
            </w:r>
          </w:p>
        </w:tc>
        <w:tc>
          <w:tcPr>
            <w:tcW w:w="1000" w:type="pct"/>
            <w:vAlign w:val="center"/>
          </w:tcPr>
          <w:p w14:paraId="1CFE6B49">
            <w:pPr>
              <w:pStyle w:val="557"/>
            </w:pPr>
            <w:r>
              <w:t>2</w:t>
            </w:r>
          </w:p>
        </w:tc>
      </w:tr>
      <w:tr w14:paraId="123B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640C932D">
            <w:pPr>
              <w:pStyle w:val="557"/>
            </w:pPr>
            <w:r>
              <w:t>2</w:t>
            </w:r>
          </w:p>
        </w:tc>
        <w:tc>
          <w:tcPr>
            <w:tcW w:w="1489" w:type="pct"/>
            <w:vAlign w:val="center"/>
          </w:tcPr>
          <w:p w14:paraId="51770F4C">
            <w:pPr>
              <w:pStyle w:val="557"/>
            </w:pPr>
            <w:r>
              <w:t>设备故障</w:t>
            </w:r>
          </w:p>
        </w:tc>
        <w:tc>
          <w:tcPr>
            <w:tcW w:w="1000" w:type="pct"/>
            <w:vAlign w:val="center"/>
          </w:tcPr>
          <w:p w14:paraId="5F92AA4D">
            <w:pPr>
              <w:pStyle w:val="557"/>
            </w:pPr>
            <w:r>
              <w:t>8</w:t>
            </w:r>
          </w:p>
        </w:tc>
        <w:tc>
          <w:tcPr>
            <w:tcW w:w="1000" w:type="pct"/>
            <w:vAlign w:val="center"/>
          </w:tcPr>
          <w:p w14:paraId="189C480E">
            <w:pPr>
              <w:pStyle w:val="557"/>
            </w:pPr>
            <w:r>
              <w:t>23.5</w:t>
            </w:r>
          </w:p>
        </w:tc>
        <w:tc>
          <w:tcPr>
            <w:tcW w:w="1000" w:type="pct"/>
            <w:vAlign w:val="center"/>
          </w:tcPr>
          <w:p w14:paraId="3E851322">
            <w:pPr>
              <w:pStyle w:val="557"/>
            </w:pPr>
            <w:r>
              <w:t>1</w:t>
            </w:r>
          </w:p>
        </w:tc>
      </w:tr>
      <w:tr w14:paraId="7EBE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1C6FA554">
            <w:pPr>
              <w:pStyle w:val="557"/>
            </w:pPr>
            <w:r>
              <w:t>3</w:t>
            </w:r>
          </w:p>
        </w:tc>
        <w:tc>
          <w:tcPr>
            <w:tcW w:w="1489" w:type="pct"/>
            <w:vAlign w:val="center"/>
          </w:tcPr>
          <w:p w14:paraId="02265525">
            <w:pPr>
              <w:pStyle w:val="557"/>
            </w:pPr>
            <w:r>
              <w:t>误操作</w:t>
            </w:r>
          </w:p>
        </w:tc>
        <w:tc>
          <w:tcPr>
            <w:tcW w:w="1000" w:type="pct"/>
            <w:vAlign w:val="center"/>
          </w:tcPr>
          <w:p w14:paraId="139D26D0">
            <w:pPr>
              <w:pStyle w:val="557"/>
            </w:pPr>
            <w:r>
              <w:t>6</w:t>
            </w:r>
          </w:p>
        </w:tc>
        <w:tc>
          <w:tcPr>
            <w:tcW w:w="1000" w:type="pct"/>
            <w:vAlign w:val="center"/>
          </w:tcPr>
          <w:p w14:paraId="0EE6C027">
            <w:pPr>
              <w:pStyle w:val="557"/>
            </w:pPr>
            <w:r>
              <w:t>17.6</w:t>
            </w:r>
          </w:p>
        </w:tc>
        <w:tc>
          <w:tcPr>
            <w:tcW w:w="1000" w:type="pct"/>
            <w:vAlign w:val="center"/>
          </w:tcPr>
          <w:p w14:paraId="45664054">
            <w:pPr>
              <w:pStyle w:val="557"/>
            </w:pPr>
            <w:r>
              <w:t>3</w:t>
            </w:r>
          </w:p>
        </w:tc>
      </w:tr>
      <w:tr w14:paraId="267B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76914CEE">
            <w:pPr>
              <w:pStyle w:val="557"/>
            </w:pPr>
            <w:r>
              <w:t>4</w:t>
            </w:r>
          </w:p>
        </w:tc>
        <w:tc>
          <w:tcPr>
            <w:tcW w:w="1489" w:type="pct"/>
            <w:vAlign w:val="center"/>
          </w:tcPr>
          <w:p w14:paraId="3F414F5B">
            <w:pPr>
              <w:pStyle w:val="557"/>
            </w:pPr>
            <w:r>
              <w:t>阀门、法兰泄漏</w:t>
            </w:r>
          </w:p>
        </w:tc>
        <w:tc>
          <w:tcPr>
            <w:tcW w:w="1000" w:type="pct"/>
            <w:vAlign w:val="center"/>
          </w:tcPr>
          <w:p w14:paraId="478E2A81">
            <w:pPr>
              <w:pStyle w:val="557"/>
            </w:pPr>
            <w:r>
              <w:t>5</w:t>
            </w:r>
          </w:p>
        </w:tc>
        <w:tc>
          <w:tcPr>
            <w:tcW w:w="1000" w:type="pct"/>
            <w:vAlign w:val="center"/>
          </w:tcPr>
          <w:p w14:paraId="3401658A">
            <w:pPr>
              <w:pStyle w:val="557"/>
            </w:pPr>
            <w:r>
              <w:t>14.7</w:t>
            </w:r>
          </w:p>
        </w:tc>
        <w:tc>
          <w:tcPr>
            <w:tcW w:w="1000" w:type="pct"/>
            <w:vAlign w:val="center"/>
          </w:tcPr>
          <w:p w14:paraId="34A12E55">
            <w:pPr>
              <w:pStyle w:val="557"/>
            </w:pPr>
            <w:r>
              <w:t>4</w:t>
            </w:r>
          </w:p>
        </w:tc>
      </w:tr>
      <w:tr w14:paraId="268C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633260E7">
            <w:pPr>
              <w:pStyle w:val="557"/>
            </w:pPr>
            <w:r>
              <w:t>5</w:t>
            </w:r>
          </w:p>
        </w:tc>
        <w:tc>
          <w:tcPr>
            <w:tcW w:w="1489" w:type="pct"/>
            <w:vAlign w:val="center"/>
          </w:tcPr>
          <w:p w14:paraId="1EBC63AC">
            <w:pPr>
              <w:pStyle w:val="557"/>
            </w:pPr>
            <w:r>
              <w:t>意外灾害</w:t>
            </w:r>
          </w:p>
        </w:tc>
        <w:tc>
          <w:tcPr>
            <w:tcW w:w="1000" w:type="pct"/>
            <w:vAlign w:val="center"/>
          </w:tcPr>
          <w:p w14:paraId="3C488A96">
            <w:pPr>
              <w:pStyle w:val="557"/>
            </w:pPr>
            <w:r>
              <w:t>1</w:t>
            </w:r>
          </w:p>
        </w:tc>
        <w:tc>
          <w:tcPr>
            <w:tcW w:w="1000" w:type="pct"/>
            <w:vAlign w:val="center"/>
          </w:tcPr>
          <w:p w14:paraId="45F972CF">
            <w:pPr>
              <w:pStyle w:val="557"/>
            </w:pPr>
            <w:r>
              <w:t>2.9</w:t>
            </w:r>
          </w:p>
        </w:tc>
        <w:tc>
          <w:tcPr>
            <w:tcW w:w="1000" w:type="pct"/>
            <w:vAlign w:val="center"/>
          </w:tcPr>
          <w:p w14:paraId="0DB652A2">
            <w:pPr>
              <w:pStyle w:val="557"/>
            </w:pPr>
            <w:r>
              <w:t>6</w:t>
            </w:r>
          </w:p>
        </w:tc>
      </w:tr>
      <w:tr w14:paraId="495A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018B39BC">
            <w:pPr>
              <w:pStyle w:val="557"/>
            </w:pPr>
            <w:r>
              <w:t>6</w:t>
            </w:r>
          </w:p>
        </w:tc>
        <w:tc>
          <w:tcPr>
            <w:tcW w:w="1489" w:type="pct"/>
            <w:vAlign w:val="center"/>
          </w:tcPr>
          <w:p w14:paraId="553292C0">
            <w:pPr>
              <w:pStyle w:val="557"/>
            </w:pPr>
            <w:r>
              <w:t>容器破裂泄漏</w:t>
            </w:r>
          </w:p>
        </w:tc>
        <w:tc>
          <w:tcPr>
            <w:tcW w:w="1000" w:type="pct"/>
            <w:vAlign w:val="center"/>
          </w:tcPr>
          <w:p w14:paraId="1034A519">
            <w:pPr>
              <w:pStyle w:val="557"/>
            </w:pPr>
            <w:r>
              <w:t>2</w:t>
            </w:r>
          </w:p>
        </w:tc>
        <w:tc>
          <w:tcPr>
            <w:tcW w:w="1000" w:type="pct"/>
            <w:vAlign w:val="center"/>
          </w:tcPr>
          <w:p w14:paraId="4EAE6AC0">
            <w:pPr>
              <w:pStyle w:val="557"/>
            </w:pPr>
            <w:r>
              <w:t>5.9</w:t>
            </w:r>
          </w:p>
        </w:tc>
        <w:tc>
          <w:tcPr>
            <w:tcW w:w="1000" w:type="pct"/>
            <w:vAlign w:val="center"/>
          </w:tcPr>
          <w:p w14:paraId="14422A35">
            <w:pPr>
              <w:pStyle w:val="557"/>
            </w:pPr>
            <w:r>
              <w:t>5</w:t>
            </w:r>
          </w:p>
        </w:tc>
      </w:tr>
      <w:tr w14:paraId="1E45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vAlign w:val="center"/>
          </w:tcPr>
          <w:p w14:paraId="1CD7F8DC">
            <w:pPr>
              <w:pStyle w:val="557"/>
            </w:pPr>
            <w:r>
              <w:t>7</w:t>
            </w:r>
          </w:p>
        </w:tc>
        <w:tc>
          <w:tcPr>
            <w:tcW w:w="1489" w:type="pct"/>
            <w:vAlign w:val="center"/>
          </w:tcPr>
          <w:p w14:paraId="2472E2DF">
            <w:pPr>
              <w:pStyle w:val="557"/>
            </w:pPr>
            <w:r>
              <w:t>仪表电气故障</w:t>
            </w:r>
          </w:p>
        </w:tc>
        <w:tc>
          <w:tcPr>
            <w:tcW w:w="1000" w:type="pct"/>
            <w:vAlign w:val="center"/>
          </w:tcPr>
          <w:p w14:paraId="66763B68">
            <w:pPr>
              <w:pStyle w:val="557"/>
            </w:pPr>
            <w:r>
              <w:t>5</w:t>
            </w:r>
          </w:p>
        </w:tc>
        <w:tc>
          <w:tcPr>
            <w:tcW w:w="1000" w:type="pct"/>
            <w:vAlign w:val="center"/>
          </w:tcPr>
          <w:p w14:paraId="60D20009">
            <w:pPr>
              <w:pStyle w:val="557"/>
            </w:pPr>
            <w:r>
              <w:t>14.7</w:t>
            </w:r>
          </w:p>
        </w:tc>
        <w:tc>
          <w:tcPr>
            <w:tcW w:w="1000" w:type="pct"/>
            <w:vAlign w:val="center"/>
          </w:tcPr>
          <w:p w14:paraId="735851C0">
            <w:pPr>
              <w:pStyle w:val="557"/>
            </w:pPr>
            <w:r>
              <w:t>4</w:t>
            </w:r>
          </w:p>
        </w:tc>
      </w:tr>
    </w:tbl>
    <w:p w14:paraId="60338736">
      <w:pPr>
        <w:pStyle w:val="281"/>
        <w:ind w:firstLine="480"/>
      </w:pPr>
      <w:r>
        <w:t>由上表可知，造成火灾爆炸事故原因中，阀门管线泄漏比率很大，占35.1%，其次是泵设备故障，占18.2%。另外，因仪表电气失控导致消防报警失灵，引发事故发生的比率为12.4%，也是造成严重事故后果的主要原因。</w:t>
      </w:r>
    </w:p>
    <w:p w14:paraId="33D71DF3">
      <w:pPr>
        <w:pStyle w:val="281"/>
        <w:ind w:firstLine="480"/>
      </w:pPr>
      <w:r>
        <w:t>（2）国内事故统计调查</w:t>
      </w:r>
    </w:p>
    <w:p w14:paraId="5EA4CC5E">
      <w:pPr>
        <w:pStyle w:val="281"/>
        <w:ind w:firstLine="480"/>
      </w:pPr>
      <w:r>
        <w:t>针对国内石油化工厂发生的49起重大事故，进行统计分析，原因分析见下表。</w:t>
      </w:r>
    </w:p>
    <w:p w14:paraId="73410ADC">
      <w:pPr>
        <w:pStyle w:val="535"/>
        <w:rPr>
          <w:rFonts w:hint="eastAsia"/>
          <w:color w:val="auto"/>
        </w:rPr>
      </w:pPr>
      <w:r>
        <w:rPr>
          <w:rFonts w:hint="eastAsia"/>
          <w:color w:val="auto"/>
        </w:rPr>
        <w:t>表 7.5</w:t>
      </w:r>
      <w:r>
        <w:rPr>
          <w:color w:val="auto"/>
        </w:rPr>
        <w:t>.1</w:t>
      </w:r>
      <w:r>
        <w:rPr>
          <w:rFonts w:hint="eastAsia"/>
          <w:color w:val="auto"/>
        </w:rPr>
        <w:t xml:space="preserve">-3    </w:t>
      </w:r>
      <w:r>
        <w:rPr>
          <w:rStyle w:val="148"/>
          <w:color w:val="auto"/>
        </w:rPr>
        <w:t>国内石油化工厂事故原因分析</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2390"/>
        <w:gridCol w:w="1697"/>
        <w:gridCol w:w="1713"/>
        <w:gridCol w:w="1698"/>
      </w:tblGrid>
      <w:tr w14:paraId="6DC8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214A9C86">
            <w:pPr>
              <w:pStyle w:val="557"/>
            </w:pPr>
            <w:r>
              <w:t>序号</w:t>
            </w:r>
          </w:p>
        </w:tc>
        <w:tc>
          <w:tcPr>
            <w:tcW w:w="2613" w:type="dxa"/>
            <w:vAlign w:val="center"/>
          </w:tcPr>
          <w:p w14:paraId="46638B3C">
            <w:pPr>
              <w:pStyle w:val="557"/>
            </w:pPr>
            <w:r>
              <w:t>事故原因</w:t>
            </w:r>
          </w:p>
        </w:tc>
        <w:tc>
          <w:tcPr>
            <w:tcW w:w="1857" w:type="dxa"/>
            <w:vAlign w:val="center"/>
          </w:tcPr>
          <w:p w14:paraId="73E14C5E">
            <w:pPr>
              <w:pStyle w:val="557"/>
            </w:pPr>
            <w:r>
              <w:t>事故起数</w:t>
            </w:r>
          </w:p>
        </w:tc>
        <w:tc>
          <w:tcPr>
            <w:tcW w:w="1857" w:type="dxa"/>
            <w:vAlign w:val="center"/>
          </w:tcPr>
          <w:p w14:paraId="253BAE9B">
            <w:pPr>
              <w:pStyle w:val="557"/>
            </w:pPr>
            <w:r>
              <w:t>事故频率%</w:t>
            </w:r>
          </w:p>
        </w:tc>
        <w:tc>
          <w:tcPr>
            <w:tcW w:w="1858" w:type="dxa"/>
            <w:vAlign w:val="center"/>
          </w:tcPr>
          <w:p w14:paraId="7DA63EE8">
            <w:pPr>
              <w:pStyle w:val="557"/>
            </w:pPr>
            <w:r>
              <w:t>所占比例顺序</w:t>
            </w:r>
          </w:p>
        </w:tc>
      </w:tr>
      <w:tr w14:paraId="2DE7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353AC71C">
            <w:pPr>
              <w:pStyle w:val="557"/>
            </w:pPr>
            <w:r>
              <w:t>1</w:t>
            </w:r>
          </w:p>
        </w:tc>
        <w:tc>
          <w:tcPr>
            <w:tcW w:w="2613" w:type="dxa"/>
            <w:vAlign w:val="center"/>
          </w:tcPr>
          <w:p w14:paraId="2AF56001">
            <w:pPr>
              <w:pStyle w:val="557"/>
            </w:pPr>
            <w:r>
              <w:t>设备缺陷、故障</w:t>
            </w:r>
          </w:p>
        </w:tc>
        <w:tc>
          <w:tcPr>
            <w:tcW w:w="1857" w:type="dxa"/>
            <w:vAlign w:val="center"/>
          </w:tcPr>
          <w:p w14:paraId="2270D03F">
            <w:pPr>
              <w:pStyle w:val="557"/>
            </w:pPr>
            <w:r>
              <w:t>12</w:t>
            </w:r>
          </w:p>
        </w:tc>
        <w:tc>
          <w:tcPr>
            <w:tcW w:w="1857" w:type="dxa"/>
            <w:vAlign w:val="center"/>
          </w:tcPr>
          <w:p w14:paraId="5CF1B81C">
            <w:pPr>
              <w:pStyle w:val="557"/>
            </w:pPr>
            <w:r>
              <w:t>24.5</w:t>
            </w:r>
          </w:p>
        </w:tc>
        <w:tc>
          <w:tcPr>
            <w:tcW w:w="1858" w:type="dxa"/>
            <w:vAlign w:val="center"/>
          </w:tcPr>
          <w:p w14:paraId="4030DEFE">
            <w:pPr>
              <w:pStyle w:val="557"/>
            </w:pPr>
            <w:r>
              <w:t>2</w:t>
            </w:r>
          </w:p>
        </w:tc>
      </w:tr>
      <w:tr w14:paraId="0BB5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255D138F">
            <w:pPr>
              <w:pStyle w:val="557"/>
            </w:pPr>
            <w:r>
              <w:t>2</w:t>
            </w:r>
          </w:p>
        </w:tc>
        <w:tc>
          <w:tcPr>
            <w:tcW w:w="2613" w:type="dxa"/>
            <w:vAlign w:val="center"/>
          </w:tcPr>
          <w:p w14:paraId="7EC40A12">
            <w:pPr>
              <w:pStyle w:val="557"/>
            </w:pPr>
            <w:r>
              <w:t>仪表电气故障</w:t>
            </w:r>
          </w:p>
        </w:tc>
        <w:tc>
          <w:tcPr>
            <w:tcW w:w="1857" w:type="dxa"/>
            <w:vAlign w:val="center"/>
          </w:tcPr>
          <w:p w14:paraId="41C34C6D">
            <w:pPr>
              <w:pStyle w:val="557"/>
            </w:pPr>
            <w:r>
              <w:t>2</w:t>
            </w:r>
          </w:p>
        </w:tc>
        <w:tc>
          <w:tcPr>
            <w:tcW w:w="1857" w:type="dxa"/>
            <w:vAlign w:val="center"/>
          </w:tcPr>
          <w:p w14:paraId="7C57BD0C">
            <w:pPr>
              <w:pStyle w:val="557"/>
            </w:pPr>
            <w:r>
              <w:t>4.1</w:t>
            </w:r>
          </w:p>
        </w:tc>
        <w:tc>
          <w:tcPr>
            <w:tcW w:w="1858" w:type="dxa"/>
            <w:vAlign w:val="center"/>
          </w:tcPr>
          <w:p w14:paraId="4CFC7231">
            <w:pPr>
              <w:pStyle w:val="557"/>
            </w:pPr>
            <w:r>
              <w:t>5</w:t>
            </w:r>
          </w:p>
        </w:tc>
      </w:tr>
      <w:tr w14:paraId="310D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4EED4D99">
            <w:pPr>
              <w:pStyle w:val="557"/>
            </w:pPr>
            <w:r>
              <w:t>3</w:t>
            </w:r>
          </w:p>
        </w:tc>
        <w:tc>
          <w:tcPr>
            <w:tcW w:w="2613" w:type="dxa"/>
            <w:vAlign w:val="center"/>
          </w:tcPr>
          <w:p w14:paraId="00C6C213">
            <w:pPr>
              <w:pStyle w:val="557"/>
            </w:pPr>
            <w:r>
              <w:t>违章操作误操作</w:t>
            </w:r>
          </w:p>
        </w:tc>
        <w:tc>
          <w:tcPr>
            <w:tcW w:w="1857" w:type="dxa"/>
            <w:vAlign w:val="center"/>
          </w:tcPr>
          <w:p w14:paraId="640FFE0F">
            <w:pPr>
              <w:pStyle w:val="557"/>
            </w:pPr>
            <w:r>
              <w:t>23</w:t>
            </w:r>
          </w:p>
        </w:tc>
        <w:tc>
          <w:tcPr>
            <w:tcW w:w="1857" w:type="dxa"/>
            <w:vAlign w:val="center"/>
          </w:tcPr>
          <w:p w14:paraId="54927744">
            <w:pPr>
              <w:pStyle w:val="557"/>
            </w:pPr>
            <w:r>
              <w:t>46.9</w:t>
            </w:r>
          </w:p>
        </w:tc>
        <w:tc>
          <w:tcPr>
            <w:tcW w:w="1858" w:type="dxa"/>
            <w:vAlign w:val="center"/>
          </w:tcPr>
          <w:p w14:paraId="11F64DA3">
            <w:pPr>
              <w:pStyle w:val="557"/>
            </w:pPr>
            <w:r>
              <w:t>1</w:t>
            </w:r>
          </w:p>
        </w:tc>
      </w:tr>
      <w:tr w14:paraId="05B6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60F27233">
            <w:pPr>
              <w:pStyle w:val="557"/>
            </w:pPr>
            <w:r>
              <w:t>4</w:t>
            </w:r>
          </w:p>
        </w:tc>
        <w:tc>
          <w:tcPr>
            <w:tcW w:w="2613" w:type="dxa"/>
            <w:vAlign w:val="center"/>
          </w:tcPr>
          <w:p w14:paraId="50140537">
            <w:pPr>
              <w:pStyle w:val="557"/>
            </w:pPr>
            <w:r>
              <w:t>管道破裂泄漏</w:t>
            </w:r>
          </w:p>
        </w:tc>
        <w:tc>
          <w:tcPr>
            <w:tcW w:w="1857" w:type="dxa"/>
            <w:vAlign w:val="center"/>
          </w:tcPr>
          <w:p w14:paraId="2B18DE08">
            <w:pPr>
              <w:pStyle w:val="557"/>
            </w:pPr>
            <w:r>
              <w:t>2</w:t>
            </w:r>
          </w:p>
        </w:tc>
        <w:tc>
          <w:tcPr>
            <w:tcW w:w="1857" w:type="dxa"/>
            <w:vAlign w:val="center"/>
          </w:tcPr>
          <w:p w14:paraId="740AA495">
            <w:pPr>
              <w:pStyle w:val="557"/>
            </w:pPr>
            <w:r>
              <w:t>4.1</w:t>
            </w:r>
          </w:p>
        </w:tc>
        <w:tc>
          <w:tcPr>
            <w:tcW w:w="1858" w:type="dxa"/>
            <w:vAlign w:val="center"/>
          </w:tcPr>
          <w:p w14:paraId="5758D380">
            <w:pPr>
              <w:pStyle w:val="557"/>
            </w:pPr>
            <w:r>
              <w:t>5</w:t>
            </w:r>
          </w:p>
        </w:tc>
      </w:tr>
      <w:tr w14:paraId="337C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4E209AE1">
            <w:pPr>
              <w:pStyle w:val="557"/>
            </w:pPr>
            <w:r>
              <w:t>5</w:t>
            </w:r>
          </w:p>
        </w:tc>
        <w:tc>
          <w:tcPr>
            <w:tcW w:w="2613" w:type="dxa"/>
            <w:vAlign w:val="center"/>
          </w:tcPr>
          <w:p w14:paraId="53E27EC8">
            <w:pPr>
              <w:pStyle w:val="557"/>
            </w:pPr>
            <w:r>
              <w:t>阀门法兰泄漏</w:t>
            </w:r>
          </w:p>
        </w:tc>
        <w:tc>
          <w:tcPr>
            <w:tcW w:w="1857" w:type="dxa"/>
            <w:vAlign w:val="center"/>
          </w:tcPr>
          <w:p w14:paraId="33269EB7">
            <w:pPr>
              <w:pStyle w:val="557"/>
            </w:pPr>
            <w:r>
              <w:t>3</w:t>
            </w:r>
          </w:p>
        </w:tc>
        <w:tc>
          <w:tcPr>
            <w:tcW w:w="1857" w:type="dxa"/>
            <w:vAlign w:val="center"/>
          </w:tcPr>
          <w:p w14:paraId="6BA3A712">
            <w:pPr>
              <w:pStyle w:val="557"/>
            </w:pPr>
            <w:r>
              <w:t>6.1</w:t>
            </w:r>
          </w:p>
        </w:tc>
        <w:tc>
          <w:tcPr>
            <w:tcW w:w="1858" w:type="dxa"/>
            <w:vAlign w:val="center"/>
          </w:tcPr>
          <w:p w14:paraId="004D6085">
            <w:pPr>
              <w:pStyle w:val="557"/>
            </w:pPr>
            <w:r>
              <w:t>4</w:t>
            </w:r>
          </w:p>
        </w:tc>
      </w:tr>
      <w:tr w14:paraId="5F1C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47B7BB02">
            <w:pPr>
              <w:pStyle w:val="557"/>
            </w:pPr>
            <w:r>
              <w:t>6</w:t>
            </w:r>
          </w:p>
        </w:tc>
        <w:tc>
          <w:tcPr>
            <w:tcW w:w="2613" w:type="dxa"/>
            <w:vAlign w:val="center"/>
          </w:tcPr>
          <w:p w14:paraId="6E8E2632">
            <w:pPr>
              <w:pStyle w:val="557"/>
            </w:pPr>
            <w:r>
              <w:t>静电</w:t>
            </w:r>
          </w:p>
        </w:tc>
        <w:tc>
          <w:tcPr>
            <w:tcW w:w="1857" w:type="dxa"/>
            <w:vAlign w:val="center"/>
          </w:tcPr>
          <w:p w14:paraId="5E5C50A3">
            <w:pPr>
              <w:pStyle w:val="557"/>
            </w:pPr>
            <w:r>
              <w:t>2</w:t>
            </w:r>
          </w:p>
        </w:tc>
        <w:tc>
          <w:tcPr>
            <w:tcW w:w="1857" w:type="dxa"/>
            <w:vAlign w:val="center"/>
          </w:tcPr>
          <w:p w14:paraId="168E5C74">
            <w:pPr>
              <w:pStyle w:val="557"/>
            </w:pPr>
            <w:r>
              <w:t>4.1</w:t>
            </w:r>
          </w:p>
        </w:tc>
        <w:tc>
          <w:tcPr>
            <w:tcW w:w="1858" w:type="dxa"/>
            <w:vAlign w:val="center"/>
          </w:tcPr>
          <w:p w14:paraId="6E7D7C72">
            <w:pPr>
              <w:pStyle w:val="557"/>
            </w:pPr>
            <w:r>
              <w:t>5</w:t>
            </w:r>
          </w:p>
        </w:tc>
      </w:tr>
      <w:tr w14:paraId="4F68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1" w:type="dxa"/>
            <w:vAlign w:val="center"/>
          </w:tcPr>
          <w:p w14:paraId="50F86D8C">
            <w:pPr>
              <w:pStyle w:val="557"/>
            </w:pPr>
            <w:r>
              <w:t>7</w:t>
            </w:r>
          </w:p>
        </w:tc>
        <w:tc>
          <w:tcPr>
            <w:tcW w:w="2613" w:type="dxa"/>
            <w:vAlign w:val="center"/>
          </w:tcPr>
          <w:p w14:paraId="658F7590">
            <w:pPr>
              <w:pStyle w:val="557"/>
            </w:pPr>
            <w:r>
              <w:t>安全设施不全</w:t>
            </w:r>
          </w:p>
        </w:tc>
        <w:tc>
          <w:tcPr>
            <w:tcW w:w="1857" w:type="dxa"/>
            <w:vAlign w:val="center"/>
          </w:tcPr>
          <w:p w14:paraId="4B9E101F">
            <w:pPr>
              <w:pStyle w:val="557"/>
            </w:pPr>
            <w:r>
              <w:t>5</w:t>
            </w:r>
          </w:p>
        </w:tc>
        <w:tc>
          <w:tcPr>
            <w:tcW w:w="1857" w:type="dxa"/>
            <w:vAlign w:val="center"/>
          </w:tcPr>
          <w:p w14:paraId="09DD43F1">
            <w:pPr>
              <w:pStyle w:val="557"/>
            </w:pPr>
            <w:r>
              <w:t>10.2</w:t>
            </w:r>
          </w:p>
        </w:tc>
        <w:tc>
          <w:tcPr>
            <w:tcW w:w="1858" w:type="dxa"/>
            <w:vAlign w:val="center"/>
          </w:tcPr>
          <w:p w14:paraId="08841D64">
            <w:pPr>
              <w:pStyle w:val="557"/>
            </w:pPr>
            <w:r>
              <w:t>3</w:t>
            </w:r>
          </w:p>
        </w:tc>
      </w:tr>
    </w:tbl>
    <w:p w14:paraId="6C4F68E5">
      <w:pPr>
        <w:pStyle w:val="641"/>
      </w:pPr>
    </w:p>
    <w:p w14:paraId="3D77FEF2">
      <w:pPr>
        <w:pStyle w:val="281"/>
        <w:ind w:firstLine="480"/>
      </w:pPr>
      <w:r>
        <w:rPr>
          <w:rFonts w:hint="eastAsia" w:ascii="宋体" w:hAnsi="宋体"/>
        </w:rPr>
        <w:t>根据上述国内外石油化工厂事故统计分布，进行分析如下：</w:t>
      </w:r>
    </w:p>
    <w:p w14:paraId="3F7C572A">
      <w:pPr>
        <w:pStyle w:val="281"/>
        <w:ind w:firstLine="480"/>
      </w:pPr>
      <w:r>
        <w:rPr>
          <w:rFonts w:hint="eastAsia" w:ascii="宋体" w:hAnsi="宋体"/>
        </w:rPr>
        <w:t>（</w:t>
      </w:r>
      <w:r>
        <w:rPr>
          <w:rFonts w:hint="eastAsia"/>
        </w:rPr>
        <w:t>1</w:t>
      </w:r>
      <w:r>
        <w:rPr>
          <w:rFonts w:hint="eastAsia" w:ascii="宋体" w:hAnsi="宋体"/>
        </w:rPr>
        <w:t>）石油化工厂由于原料、产品等均为易燃易爆物质，工艺复杂、设备庞大，在高温高压下操作，一旦泄漏扩散，易发生事故，保证安全生产极为重要。</w:t>
      </w:r>
    </w:p>
    <w:p w14:paraId="2028CA84">
      <w:pPr>
        <w:pStyle w:val="281"/>
        <w:ind w:firstLine="480"/>
      </w:pPr>
      <w:r>
        <w:rPr>
          <w:rFonts w:hint="eastAsia" w:ascii="宋体" w:hAnsi="宋体"/>
        </w:rPr>
        <w:t>（</w:t>
      </w:r>
      <w:r>
        <w:rPr>
          <w:rFonts w:hint="eastAsia"/>
        </w:rPr>
        <w:t>2</w:t>
      </w:r>
      <w:r>
        <w:rPr>
          <w:rFonts w:hint="eastAsia" w:ascii="宋体" w:hAnsi="宋体"/>
        </w:rPr>
        <w:t>）国外石化厂设备故障引发的事故占</w:t>
      </w:r>
      <w:r>
        <w:t>23.5%</w:t>
      </w:r>
      <w:r>
        <w:rPr>
          <w:rFonts w:hint="eastAsia" w:ascii="宋体" w:hAnsi="宋体"/>
        </w:rPr>
        <w:t>，管道泄漏引发的事故占</w:t>
      </w:r>
      <w:r>
        <w:t>20.6%</w:t>
      </w:r>
      <w:r>
        <w:rPr>
          <w:rFonts w:hint="eastAsia" w:ascii="宋体" w:hAnsi="宋体"/>
        </w:rPr>
        <w:t>，阀门法兰泄漏引发的事故占</w:t>
      </w:r>
      <w:r>
        <w:t>14.7%</w:t>
      </w:r>
      <w:r>
        <w:rPr>
          <w:rFonts w:hint="eastAsia" w:ascii="宋体" w:hAnsi="宋体"/>
        </w:rPr>
        <w:t>，共</w:t>
      </w:r>
      <w:r>
        <w:t>58.8%</w:t>
      </w:r>
      <w:r>
        <w:rPr>
          <w:rFonts w:hint="eastAsia" w:ascii="宋体" w:hAnsi="宋体"/>
        </w:rPr>
        <w:t>；国内石化厂管道破裂泄漏占</w:t>
      </w:r>
      <w:r>
        <w:t>4.1%</w:t>
      </w:r>
      <w:r>
        <w:rPr>
          <w:rFonts w:hint="eastAsia" w:ascii="宋体" w:hAnsi="宋体"/>
        </w:rPr>
        <w:t>，阀门法兰泄漏占</w:t>
      </w:r>
      <w:r>
        <w:t>6.1%</w:t>
      </w:r>
      <w:r>
        <w:rPr>
          <w:rFonts w:hint="eastAsia" w:ascii="宋体" w:hAnsi="宋体"/>
        </w:rPr>
        <w:t>，设备故障、缺陷占</w:t>
      </w:r>
      <w:r>
        <w:t>24.5%</w:t>
      </w:r>
      <w:r>
        <w:rPr>
          <w:rFonts w:hint="eastAsia" w:ascii="宋体" w:hAnsi="宋体"/>
        </w:rPr>
        <w:t>，共计</w:t>
      </w:r>
      <w:r>
        <w:t>34.7%</w:t>
      </w:r>
      <w:r>
        <w:rPr>
          <w:rFonts w:hint="eastAsia" w:ascii="宋体" w:hAnsi="宋体"/>
        </w:rPr>
        <w:t>，明显少于国外。</w:t>
      </w:r>
    </w:p>
    <w:p w14:paraId="57EDDEC7">
      <w:pPr>
        <w:pStyle w:val="281"/>
        <w:ind w:firstLine="480"/>
      </w:pPr>
      <w:r>
        <w:rPr>
          <w:rFonts w:hint="eastAsia" w:ascii="宋体" w:hAnsi="宋体"/>
        </w:rPr>
        <w:t>（</w:t>
      </w:r>
      <w:r>
        <w:rPr>
          <w:rFonts w:hint="eastAsia"/>
        </w:rPr>
        <w:t>3</w:t>
      </w:r>
      <w:r>
        <w:rPr>
          <w:rFonts w:hint="eastAsia" w:ascii="宋体" w:hAnsi="宋体"/>
        </w:rPr>
        <w:t>）国内违章操作、误操作占</w:t>
      </w:r>
      <w:r>
        <w:t>46.9%</w:t>
      </w:r>
      <w:r>
        <w:rPr>
          <w:rFonts w:hint="eastAsia" w:ascii="宋体" w:hAnsi="宋体"/>
        </w:rPr>
        <w:t>，既有人的责任心不强或操作失误的原因，也有发生事故的潜在原因。</w:t>
      </w:r>
    </w:p>
    <w:p w14:paraId="5B88544E">
      <w:pPr>
        <w:pStyle w:val="97"/>
        <w:rPr>
          <w:rFonts w:hint="eastAsia"/>
        </w:rPr>
      </w:pPr>
      <w:r>
        <w:rPr>
          <w:rFonts w:hint="eastAsia"/>
        </w:rPr>
        <w:t>风险识别结果</w:t>
      </w:r>
    </w:p>
    <w:p w14:paraId="18171047">
      <w:pPr>
        <w:pStyle w:val="128"/>
        <w:rPr>
          <w:rFonts w:hint="eastAsia"/>
        </w:rPr>
      </w:pPr>
      <w:r>
        <w:rPr>
          <w:rFonts w:hint="eastAsia"/>
        </w:rPr>
        <w:t>结合物质危险性识别和生产设施危险性识别，确定重点监控的环境风险单元的危险特性，确定可能出现的环境风险，项目环境风险识别结果一览表，见表</w:t>
      </w:r>
      <w:r>
        <w:t>7.5.2</w:t>
      </w:r>
      <w:r>
        <w:rPr>
          <w:rFonts w:hint="eastAsia"/>
        </w:rPr>
        <w:t>-</w:t>
      </w:r>
      <w:r>
        <w:t>1</w:t>
      </w:r>
      <w:r>
        <w:rPr>
          <w:rFonts w:hint="eastAsia"/>
        </w:rPr>
        <w:t>。</w:t>
      </w:r>
    </w:p>
    <w:p w14:paraId="47D82266">
      <w:pPr>
        <w:pStyle w:val="128"/>
        <w:rPr>
          <w:rFonts w:hint="eastAsia"/>
        </w:rPr>
        <w:sectPr>
          <w:pgSz w:w="11906" w:h="16838"/>
          <w:pgMar w:top="1440" w:right="1800" w:bottom="1440" w:left="1800" w:header="851" w:footer="850" w:gutter="0"/>
          <w:cols w:space="425" w:num="1"/>
          <w:docGrid w:type="lines" w:linePitch="326" w:charSpace="0"/>
        </w:sectPr>
      </w:pPr>
    </w:p>
    <w:p w14:paraId="49AC7C25">
      <w:pPr>
        <w:pStyle w:val="541"/>
        <w:rPr>
          <w:rFonts w:hint="eastAsia"/>
        </w:rPr>
      </w:pPr>
      <w:r>
        <w:rPr>
          <w:rFonts w:hint="eastAsia"/>
        </w:rPr>
        <w:t>表</w:t>
      </w:r>
      <w:r>
        <w:t>7.5.2</w:t>
      </w:r>
      <w:r>
        <w:rPr>
          <w:rFonts w:hint="eastAsia"/>
        </w:rPr>
        <w:t>-</w:t>
      </w:r>
      <w:r>
        <w:t>1</w:t>
      </w:r>
      <w:r>
        <w:rPr>
          <w:rFonts w:hint="eastAsia"/>
        </w:rPr>
        <w:t xml:space="preserve"> </w:t>
      </w:r>
      <w:r>
        <w:t xml:space="preserve">   </w:t>
      </w:r>
      <w:r>
        <w:rPr>
          <w:rFonts w:hint="eastAsia"/>
        </w:rPr>
        <w:t>项目环境风险识别结果一览表</w:t>
      </w:r>
    </w:p>
    <w:tbl>
      <w:tblPr>
        <w:tblStyle w:val="65"/>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0"/>
        <w:gridCol w:w="1337"/>
        <w:gridCol w:w="1903"/>
        <w:gridCol w:w="1576"/>
        <w:gridCol w:w="2579"/>
        <w:gridCol w:w="3411"/>
        <w:gridCol w:w="1642"/>
        <w:gridCol w:w="943"/>
      </w:tblGrid>
      <w:tr w14:paraId="2FE1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79237027">
            <w:pPr>
              <w:pStyle w:val="557"/>
            </w:pPr>
            <w:r>
              <w:t>序号</w:t>
            </w:r>
          </w:p>
        </w:tc>
        <w:tc>
          <w:tcPr>
            <w:tcW w:w="1141" w:type="pct"/>
            <w:gridSpan w:val="2"/>
            <w:vAlign w:val="center"/>
          </w:tcPr>
          <w:p w14:paraId="5F928AC4">
            <w:pPr>
              <w:pStyle w:val="557"/>
            </w:pPr>
            <w:r>
              <w:t>危险单元</w:t>
            </w:r>
          </w:p>
        </w:tc>
        <w:tc>
          <w:tcPr>
            <w:tcW w:w="555" w:type="pct"/>
            <w:vAlign w:val="center"/>
          </w:tcPr>
          <w:p w14:paraId="13E27220">
            <w:pPr>
              <w:pStyle w:val="557"/>
            </w:pPr>
            <w:r>
              <w:t>风险源</w:t>
            </w:r>
          </w:p>
        </w:tc>
        <w:tc>
          <w:tcPr>
            <w:tcW w:w="908" w:type="pct"/>
            <w:vAlign w:val="center"/>
          </w:tcPr>
          <w:p w14:paraId="7140DED5">
            <w:pPr>
              <w:pStyle w:val="557"/>
            </w:pPr>
            <w:r>
              <w:t>主要危险物质</w:t>
            </w:r>
          </w:p>
        </w:tc>
        <w:tc>
          <w:tcPr>
            <w:tcW w:w="1201" w:type="pct"/>
            <w:vAlign w:val="center"/>
          </w:tcPr>
          <w:p w14:paraId="60B18DD5">
            <w:pPr>
              <w:pStyle w:val="557"/>
            </w:pPr>
            <w:r>
              <w:t>环境风险类型</w:t>
            </w:r>
          </w:p>
        </w:tc>
        <w:tc>
          <w:tcPr>
            <w:tcW w:w="578" w:type="pct"/>
            <w:vAlign w:val="center"/>
          </w:tcPr>
          <w:p w14:paraId="169B1958">
            <w:pPr>
              <w:pStyle w:val="557"/>
            </w:pPr>
            <w:r>
              <w:rPr>
                <w:rFonts w:hint="eastAsia"/>
              </w:rPr>
              <w:t>环境影响途经</w:t>
            </w:r>
          </w:p>
        </w:tc>
        <w:tc>
          <w:tcPr>
            <w:tcW w:w="332" w:type="pct"/>
            <w:vAlign w:val="center"/>
          </w:tcPr>
          <w:p w14:paraId="57280D33">
            <w:pPr>
              <w:pStyle w:val="557"/>
            </w:pPr>
            <w:r>
              <w:rPr>
                <w:rFonts w:hint="eastAsia"/>
              </w:rPr>
              <w:t>可能受影响的环</w:t>
            </w:r>
          </w:p>
          <w:p w14:paraId="368F3B43">
            <w:pPr>
              <w:pStyle w:val="557"/>
            </w:pPr>
            <w:r>
              <w:rPr>
                <w:rFonts w:hint="eastAsia"/>
              </w:rPr>
              <w:t>境敏感目标</w:t>
            </w:r>
          </w:p>
        </w:tc>
      </w:tr>
      <w:tr w14:paraId="0EF9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7396EDFD">
            <w:pPr>
              <w:pStyle w:val="557"/>
            </w:pPr>
            <w:r>
              <w:t>1</w:t>
            </w:r>
          </w:p>
        </w:tc>
        <w:tc>
          <w:tcPr>
            <w:tcW w:w="471" w:type="pct"/>
            <w:vAlign w:val="center"/>
          </w:tcPr>
          <w:p w14:paraId="00350AFC">
            <w:pPr>
              <w:pStyle w:val="557"/>
            </w:pPr>
            <w:r>
              <w:rPr>
                <w:rFonts w:hint="eastAsia"/>
              </w:rPr>
              <w:t>危险单元1</w:t>
            </w:r>
          </w:p>
        </w:tc>
        <w:tc>
          <w:tcPr>
            <w:tcW w:w="670" w:type="pct"/>
            <w:vAlign w:val="center"/>
          </w:tcPr>
          <w:p w14:paraId="0DF313A2">
            <w:pPr>
              <w:pStyle w:val="557"/>
            </w:pPr>
            <w:r>
              <w:rPr>
                <w:rFonts w:hint="eastAsia"/>
              </w:rPr>
              <w:t>煤气化装置</w:t>
            </w:r>
          </w:p>
        </w:tc>
        <w:tc>
          <w:tcPr>
            <w:tcW w:w="555" w:type="pct"/>
            <w:vAlign w:val="center"/>
          </w:tcPr>
          <w:p w14:paraId="4144D62A">
            <w:pPr>
              <w:pStyle w:val="557"/>
            </w:pPr>
            <w:r>
              <w:rPr>
                <w:rFonts w:hint="eastAsia"/>
              </w:rPr>
              <w:t>气化炉、输气管道</w:t>
            </w:r>
          </w:p>
        </w:tc>
        <w:tc>
          <w:tcPr>
            <w:tcW w:w="908" w:type="pct"/>
            <w:vAlign w:val="center"/>
          </w:tcPr>
          <w:p w14:paraId="08D8E6D4">
            <w:pPr>
              <w:pStyle w:val="557"/>
            </w:pPr>
            <w:r>
              <w:rPr>
                <w:rFonts w:hint="eastAsia"/>
              </w:rPr>
              <w:t>煤气、氨、硫化氢</w:t>
            </w:r>
          </w:p>
        </w:tc>
        <w:tc>
          <w:tcPr>
            <w:tcW w:w="1201" w:type="pct"/>
            <w:vAlign w:val="center"/>
          </w:tcPr>
          <w:p w14:paraId="041C0958">
            <w:pPr>
              <w:pStyle w:val="557"/>
            </w:pPr>
            <w:r>
              <w:rPr>
                <w:rFonts w:hint="eastAsia"/>
              </w:rPr>
              <w:t>①有毒有害气体泄漏②泄漏引发火灾、爆炸引发伴生</w:t>
            </w:r>
            <w:r>
              <w:t>/</w:t>
            </w:r>
            <w:r>
              <w:rPr>
                <w:rFonts w:hint="eastAsia"/>
              </w:rPr>
              <w:t>次生污染物排放</w:t>
            </w:r>
          </w:p>
        </w:tc>
        <w:tc>
          <w:tcPr>
            <w:tcW w:w="578" w:type="pct"/>
            <w:vMerge w:val="restart"/>
            <w:vAlign w:val="center"/>
          </w:tcPr>
          <w:p w14:paraId="429F1C88">
            <w:pPr>
              <w:pStyle w:val="557"/>
            </w:pPr>
            <w:r>
              <w:rPr>
                <w:rFonts w:hint="eastAsia"/>
              </w:rPr>
              <w:t>对环境的影响：①因腐蚀、容器管线破损、管理不规范等造成储罐、工艺设备及管道等有毒有害或易燃物质泄漏，并遇火发生火灾、爆炸事故并引发伴生</w:t>
            </w:r>
            <w:r>
              <w:t>/</w:t>
            </w:r>
            <w:r>
              <w:rPr>
                <w:rFonts w:hint="eastAsia"/>
              </w:rPr>
              <w:t>次生污染物排放对周边大气环境影响、地表水、地下水及土壤环境的影响，甚至造成人员伤害；②储存及输送液氨、甲醇、甲酸甲酯、硝酸、亚硝酸甲酯等的储罐、反应设备及管道等因温度和压力控制不当、误操作、装置破损等原因造成泄漏，对周边地表水、地下水及土壤环境的影响；</w:t>
            </w:r>
          </w:p>
        </w:tc>
        <w:tc>
          <w:tcPr>
            <w:tcW w:w="332" w:type="pct"/>
            <w:vMerge w:val="restart"/>
            <w:vAlign w:val="center"/>
          </w:tcPr>
          <w:p w14:paraId="6D1663A5">
            <w:pPr>
              <w:pStyle w:val="557"/>
            </w:pPr>
            <w:r>
              <w:rPr>
                <w:rFonts w:hint="eastAsia"/>
              </w:rPr>
              <w:t>项目周边</w:t>
            </w:r>
            <w:r>
              <w:t>大气</w:t>
            </w:r>
            <w:r>
              <w:rPr>
                <w:rFonts w:hint="eastAsia"/>
              </w:rPr>
              <w:t>、</w:t>
            </w:r>
            <w:r>
              <w:t>地下水</w:t>
            </w:r>
            <w:r>
              <w:rPr>
                <w:rFonts w:hint="eastAsia"/>
              </w:rPr>
              <w:t>、</w:t>
            </w:r>
            <w:r>
              <w:t>土壤</w:t>
            </w:r>
          </w:p>
        </w:tc>
      </w:tr>
      <w:tr w14:paraId="0FA7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1C7245BD">
            <w:pPr>
              <w:pStyle w:val="557"/>
            </w:pPr>
            <w:r>
              <w:rPr>
                <w:rFonts w:hint="eastAsia"/>
              </w:rPr>
              <w:t>2</w:t>
            </w:r>
          </w:p>
        </w:tc>
        <w:tc>
          <w:tcPr>
            <w:tcW w:w="471" w:type="pct"/>
            <w:vAlign w:val="center"/>
          </w:tcPr>
          <w:p w14:paraId="66EA2DD6">
            <w:pPr>
              <w:pStyle w:val="557"/>
            </w:pPr>
            <w:r>
              <w:rPr>
                <w:rFonts w:hint="eastAsia"/>
              </w:rPr>
              <w:t>危险单元2</w:t>
            </w:r>
          </w:p>
        </w:tc>
        <w:tc>
          <w:tcPr>
            <w:tcW w:w="670" w:type="pct"/>
            <w:vAlign w:val="center"/>
          </w:tcPr>
          <w:p w14:paraId="40ED6434">
            <w:pPr>
              <w:pStyle w:val="557"/>
            </w:pPr>
            <w:r>
              <w:rPr>
                <w:rFonts w:hint="eastAsia"/>
              </w:rPr>
              <w:t>煤气冷却单元</w:t>
            </w:r>
          </w:p>
        </w:tc>
        <w:tc>
          <w:tcPr>
            <w:tcW w:w="555" w:type="pct"/>
            <w:vAlign w:val="center"/>
          </w:tcPr>
          <w:p w14:paraId="6E29E339">
            <w:pPr>
              <w:pStyle w:val="557"/>
            </w:pPr>
            <w:r>
              <w:rPr>
                <w:rFonts w:hint="eastAsia"/>
              </w:rPr>
              <w:t>输气管道</w:t>
            </w:r>
          </w:p>
        </w:tc>
        <w:tc>
          <w:tcPr>
            <w:tcW w:w="908" w:type="pct"/>
            <w:vAlign w:val="center"/>
          </w:tcPr>
          <w:p w14:paraId="57FEF4B9">
            <w:pPr>
              <w:pStyle w:val="557"/>
            </w:pPr>
            <w:r>
              <w:rPr>
                <w:rFonts w:hint="eastAsia"/>
              </w:rPr>
              <w:t>粗煤气、冷却煤气</w:t>
            </w:r>
          </w:p>
        </w:tc>
        <w:tc>
          <w:tcPr>
            <w:tcW w:w="1201" w:type="pct"/>
            <w:vAlign w:val="center"/>
          </w:tcPr>
          <w:p w14:paraId="6AFF3026">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5AE724EE">
            <w:pPr>
              <w:pStyle w:val="557"/>
            </w:pPr>
          </w:p>
        </w:tc>
        <w:tc>
          <w:tcPr>
            <w:tcW w:w="332" w:type="pct"/>
            <w:vMerge w:val="continue"/>
            <w:vAlign w:val="center"/>
          </w:tcPr>
          <w:p w14:paraId="70809380">
            <w:pPr>
              <w:pStyle w:val="557"/>
            </w:pPr>
          </w:p>
        </w:tc>
      </w:tr>
      <w:tr w14:paraId="71DA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2C15817B">
            <w:pPr>
              <w:pStyle w:val="557"/>
            </w:pPr>
            <w:r>
              <w:rPr>
                <w:rFonts w:hint="eastAsia"/>
              </w:rPr>
              <w:t>3</w:t>
            </w:r>
          </w:p>
        </w:tc>
        <w:tc>
          <w:tcPr>
            <w:tcW w:w="471" w:type="pct"/>
            <w:vAlign w:val="center"/>
          </w:tcPr>
          <w:p w14:paraId="50150FDE">
            <w:pPr>
              <w:pStyle w:val="557"/>
            </w:pPr>
            <w:r>
              <w:rPr>
                <w:rFonts w:hint="eastAsia"/>
              </w:rPr>
              <w:t>危险单元3</w:t>
            </w:r>
          </w:p>
        </w:tc>
        <w:tc>
          <w:tcPr>
            <w:tcW w:w="670" w:type="pct"/>
            <w:vAlign w:val="center"/>
          </w:tcPr>
          <w:p w14:paraId="530E9CBA">
            <w:pPr>
              <w:pStyle w:val="557"/>
            </w:pPr>
            <w:r>
              <w:rPr>
                <w:rFonts w:hint="eastAsia"/>
              </w:rPr>
              <w:t>低温甲醇洗单元</w:t>
            </w:r>
          </w:p>
        </w:tc>
        <w:tc>
          <w:tcPr>
            <w:tcW w:w="555" w:type="pct"/>
            <w:vAlign w:val="center"/>
          </w:tcPr>
          <w:p w14:paraId="729F66AE">
            <w:pPr>
              <w:pStyle w:val="557"/>
            </w:pPr>
            <w:r>
              <w:rPr>
                <w:rFonts w:hint="eastAsia"/>
              </w:rPr>
              <w:t>输气管道、</w:t>
            </w:r>
            <w:r>
              <w:t>酸性气管线</w:t>
            </w:r>
          </w:p>
        </w:tc>
        <w:tc>
          <w:tcPr>
            <w:tcW w:w="908" w:type="pct"/>
            <w:vAlign w:val="center"/>
          </w:tcPr>
          <w:p w14:paraId="68331C9E">
            <w:pPr>
              <w:pStyle w:val="557"/>
            </w:pPr>
            <w:r>
              <w:rPr>
                <w:rFonts w:hint="eastAsia"/>
              </w:rPr>
              <w:t>冷却煤气、净化气、酸性气、燃料气</w:t>
            </w:r>
          </w:p>
        </w:tc>
        <w:tc>
          <w:tcPr>
            <w:tcW w:w="1201" w:type="pct"/>
            <w:vAlign w:val="center"/>
          </w:tcPr>
          <w:p w14:paraId="0BDDB989">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542371F8">
            <w:pPr>
              <w:pStyle w:val="557"/>
            </w:pPr>
          </w:p>
        </w:tc>
        <w:tc>
          <w:tcPr>
            <w:tcW w:w="332" w:type="pct"/>
            <w:vMerge w:val="continue"/>
            <w:vAlign w:val="center"/>
          </w:tcPr>
          <w:p w14:paraId="6ED80F95">
            <w:pPr>
              <w:pStyle w:val="557"/>
            </w:pPr>
          </w:p>
        </w:tc>
      </w:tr>
      <w:tr w14:paraId="56C5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6E57D97E">
            <w:pPr>
              <w:pStyle w:val="557"/>
            </w:pPr>
            <w:r>
              <w:rPr>
                <w:rFonts w:hint="eastAsia"/>
              </w:rPr>
              <w:t>4</w:t>
            </w:r>
          </w:p>
        </w:tc>
        <w:tc>
          <w:tcPr>
            <w:tcW w:w="471" w:type="pct"/>
            <w:vAlign w:val="center"/>
          </w:tcPr>
          <w:p w14:paraId="3B3FA4B2">
            <w:pPr>
              <w:pStyle w:val="557"/>
            </w:pPr>
            <w:r>
              <w:rPr>
                <w:rFonts w:hint="eastAsia"/>
              </w:rPr>
              <w:t>危险单元4</w:t>
            </w:r>
          </w:p>
        </w:tc>
        <w:tc>
          <w:tcPr>
            <w:tcW w:w="670" w:type="pct"/>
            <w:vAlign w:val="center"/>
          </w:tcPr>
          <w:p w14:paraId="139E0620">
            <w:pPr>
              <w:pStyle w:val="557"/>
            </w:pPr>
            <w:r>
              <w:rPr>
                <w:rFonts w:hint="eastAsia"/>
              </w:rPr>
              <w:t>硫回收单元</w:t>
            </w:r>
          </w:p>
        </w:tc>
        <w:tc>
          <w:tcPr>
            <w:tcW w:w="555" w:type="pct"/>
            <w:vAlign w:val="center"/>
          </w:tcPr>
          <w:p w14:paraId="305DBBB7">
            <w:pPr>
              <w:pStyle w:val="557"/>
            </w:pPr>
            <w:r>
              <w:t>酸性气管线</w:t>
            </w:r>
          </w:p>
        </w:tc>
        <w:tc>
          <w:tcPr>
            <w:tcW w:w="908" w:type="pct"/>
            <w:vAlign w:val="center"/>
          </w:tcPr>
          <w:p w14:paraId="16F716E7">
            <w:pPr>
              <w:pStyle w:val="557"/>
            </w:pPr>
            <w:r>
              <w:rPr>
                <w:rFonts w:hint="eastAsia"/>
              </w:rPr>
              <w:t>酸性气、硫化氢、硫酸</w:t>
            </w:r>
          </w:p>
        </w:tc>
        <w:tc>
          <w:tcPr>
            <w:tcW w:w="1201" w:type="pct"/>
            <w:vAlign w:val="center"/>
          </w:tcPr>
          <w:p w14:paraId="203650F8">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5ECD04A5">
            <w:pPr>
              <w:pStyle w:val="557"/>
            </w:pPr>
          </w:p>
        </w:tc>
        <w:tc>
          <w:tcPr>
            <w:tcW w:w="332" w:type="pct"/>
            <w:vMerge w:val="continue"/>
            <w:vAlign w:val="center"/>
          </w:tcPr>
          <w:p w14:paraId="7A3823E0">
            <w:pPr>
              <w:pStyle w:val="557"/>
            </w:pPr>
          </w:p>
        </w:tc>
      </w:tr>
      <w:tr w14:paraId="4855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68EE6DFA">
            <w:pPr>
              <w:pStyle w:val="557"/>
            </w:pPr>
            <w:r>
              <w:rPr>
                <w:rFonts w:hint="eastAsia"/>
              </w:rPr>
              <w:t>5</w:t>
            </w:r>
          </w:p>
        </w:tc>
        <w:tc>
          <w:tcPr>
            <w:tcW w:w="471" w:type="pct"/>
            <w:vAlign w:val="center"/>
          </w:tcPr>
          <w:p w14:paraId="1DFDFE6B">
            <w:pPr>
              <w:pStyle w:val="557"/>
            </w:pPr>
            <w:r>
              <w:rPr>
                <w:rFonts w:hint="eastAsia"/>
              </w:rPr>
              <w:t>危险单元5</w:t>
            </w:r>
          </w:p>
        </w:tc>
        <w:tc>
          <w:tcPr>
            <w:tcW w:w="670" w:type="pct"/>
            <w:vAlign w:val="center"/>
          </w:tcPr>
          <w:p w14:paraId="3416063F">
            <w:pPr>
              <w:pStyle w:val="557"/>
            </w:pPr>
            <w:r>
              <w:rPr>
                <w:rFonts w:hint="eastAsia"/>
              </w:rPr>
              <w:t>CO深冷分离</w:t>
            </w:r>
          </w:p>
        </w:tc>
        <w:tc>
          <w:tcPr>
            <w:tcW w:w="555" w:type="pct"/>
            <w:vAlign w:val="center"/>
          </w:tcPr>
          <w:p w14:paraId="4BFA5B47">
            <w:pPr>
              <w:pStyle w:val="557"/>
            </w:pPr>
            <w:r>
              <w:rPr>
                <w:rFonts w:hint="eastAsia"/>
              </w:rPr>
              <w:t>输气管道</w:t>
            </w:r>
          </w:p>
        </w:tc>
        <w:tc>
          <w:tcPr>
            <w:tcW w:w="908" w:type="pct"/>
            <w:vAlign w:val="center"/>
          </w:tcPr>
          <w:p w14:paraId="5E8C9C11">
            <w:pPr>
              <w:pStyle w:val="557"/>
            </w:pPr>
            <w:r>
              <w:rPr>
                <w:rFonts w:hint="eastAsia"/>
              </w:rPr>
              <w:t>CO</w:t>
            </w:r>
          </w:p>
        </w:tc>
        <w:tc>
          <w:tcPr>
            <w:tcW w:w="1201" w:type="pct"/>
            <w:vAlign w:val="center"/>
          </w:tcPr>
          <w:p w14:paraId="534C19E2">
            <w:pPr>
              <w:pStyle w:val="557"/>
            </w:pPr>
            <w:r>
              <w:rPr>
                <w:rFonts w:hint="eastAsia"/>
              </w:rPr>
              <w:t>有毒有害气体泄漏②泄漏引发火灾、爆炸引发伴生</w:t>
            </w:r>
            <w:r>
              <w:t>/</w:t>
            </w:r>
            <w:r>
              <w:rPr>
                <w:rFonts w:hint="eastAsia"/>
              </w:rPr>
              <w:t>次生污染物排放</w:t>
            </w:r>
          </w:p>
        </w:tc>
        <w:tc>
          <w:tcPr>
            <w:tcW w:w="578" w:type="pct"/>
            <w:vMerge w:val="continue"/>
            <w:vAlign w:val="center"/>
          </w:tcPr>
          <w:p w14:paraId="2989C78C">
            <w:pPr>
              <w:pStyle w:val="557"/>
            </w:pPr>
          </w:p>
        </w:tc>
        <w:tc>
          <w:tcPr>
            <w:tcW w:w="332" w:type="pct"/>
            <w:vMerge w:val="continue"/>
            <w:vAlign w:val="center"/>
          </w:tcPr>
          <w:p w14:paraId="25B91489">
            <w:pPr>
              <w:pStyle w:val="557"/>
            </w:pPr>
          </w:p>
        </w:tc>
      </w:tr>
      <w:tr w14:paraId="050D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1726F5B6">
            <w:pPr>
              <w:pStyle w:val="557"/>
            </w:pPr>
            <w:r>
              <w:t>6</w:t>
            </w:r>
          </w:p>
        </w:tc>
        <w:tc>
          <w:tcPr>
            <w:tcW w:w="471" w:type="pct"/>
            <w:vAlign w:val="center"/>
          </w:tcPr>
          <w:p w14:paraId="4CAD03E2">
            <w:pPr>
              <w:pStyle w:val="557"/>
            </w:pPr>
            <w:r>
              <w:rPr>
                <w:rFonts w:hint="eastAsia"/>
              </w:rPr>
              <w:t>危险单元</w:t>
            </w:r>
            <w:r>
              <w:t>6</w:t>
            </w:r>
          </w:p>
        </w:tc>
        <w:tc>
          <w:tcPr>
            <w:tcW w:w="670" w:type="pct"/>
            <w:vAlign w:val="center"/>
          </w:tcPr>
          <w:p w14:paraId="247ADADB">
            <w:pPr>
              <w:pStyle w:val="557"/>
            </w:pPr>
            <w:r>
              <w:rPr>
                <w:rFonts w:hint="eastAsia"/>
              </w:rPr>
              <w:t>合成氨装置</w:t>
            </w:r>
          </w:p>
        </w:tc>
        <w:tc>
          <w:tcPr>
            <w:tcW w:w="555" w:type="pct"/>
            <w:vAlign w:val="center"/>
          </w:tcPr>
          <w:p w14:paraId="182AD0AA">
            <w:pPr>
              <w:pStyle w:val="557"/>
            </w:pPr>
            <w:r>
              <w:rPr>
                <w:rFonts w:hint="eastAsia"/>
              </w:rPr>
              <w:t>合成氨反应装置</w:t>
            </w:r>
          </w:p>
        </w:tc>
        <w:tc>
          <w:tcPr>
            <w:tcW w:w="908" w:type="pct"/>
            <w:vAlign w:val="center"/>
          </w:tcPr>
          <w:p w14:paraId="3D93B9B6">
            <w:pPr>
              <w:pStyle w:val="557"/>
            </w:pPr>
            <w:r>
              <w:rPr>
                <w:rFonts w:hint="eastAsia"/>
              </w:rPr>
              <w:t>液氨</w:t>
            </w:r>
          </w:p>
        </w:tc>
        <w:tc>
          <w:tcPr>
            <w:tcW w:w="1201" w:type="pct"/>
            <w:vAlign w:val="center"/>
          </w:tcPr>
          <w:p w14:paraId="67485E8C">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5E5FFC1F">
            <w:pPr>
              <w:pStyle w:val="557"/>
            </w:pPr>
          </w:p>
        </w:tc>
        <w:tc>
          <w:tcPr>
            <w:tcW w:w="332" w:type="pct"/>
            <w:vMerge w:val="continue"/>
            <w:vAlign w:val="center"/>
          </w:tcPr>
          <w:p w14:paraId="2358143E">
            <w:pPr>
              <w:pStyle w:val="557"/>
            </w:pPr>
          </w:p>
        </w:tc>
      </w:tr>
      <w:tr w14:paraId="4DA0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6E1BECF2">
            <w:pPr>
              <w:pStyle w:val="557"/>
            </w:pPr>
            <w:r>
              <w:rPr>
                <w:rFonts w:hint="eastAsia"/>
              </w:rPr>
              <w:t>7</w:t>
            </w:r>
          </w:p>
        </w:tc>
        <w:tc>
          <w:tcPr>
            <w:tcW w:w="471" w:type="pct"/>
            <w:vAlign w:val="center"/>
          </w:tcPr>
          <w:p w14:paraId="405DFBD9">
            <w:pPr>
              <w:pStyle w:val="557"/>
            </w:pPr>
            <w:r>
              <w:rPr>
                <w:rFonts w:hint="eastAsia"/>
              </w:rPr>
              <w:t>危险单元7</w:t>
            </w:r>
          </w:p>
        </w:tc>
        <w:tc>
          <w:tcPr>
            <w:tcW w:w="670" w:type="pct"/>
            <w:vAlign w:val="center"/>
          </w:tcPr>
          <w:p w14:paraId="70937817">
            <w:pPr>
              <w:pStyle w:val="557"/>
            </w:pPr>
            <w:r>
              <w:rPr>
                <w:rFonts w:hint="eastAsia"/>
              </w:rPr>
              <w:t>DMO装置</w:t>
            </w:r>
          </w:p>
        </w:tc>
        <w:tc>
          <w:tcPr>
            <w:tcW w:w="555" w:type="pct"/>
            <w:vAlign w:val="center"/>
          </w:tcPr>
          <w:p w14:paraId="6472F666">
            <w:pPr>
              <w:pStyle w:val="557"/>
            </w:pPr>
            <w:r>
              <w:rPr>
                <w:rFonts w:hint="eastAsia"/>
              </w:rPr>
              <w:t>物料管线</w:t>
            </w:r>
          </w:p>
        </w:tc>
        <w:tc>
          <w:tcPr>
            <w:tcW w:w="908" w:type="pct"/>
            <w:vAlign w:val="center"/>
          </w:tcPr>
          <w:p w14:paraId="2963A490">
            <w:pPr>
              <w:pStyle w:val="557"/>
            </w:pPr>
            <w:r>
              <w:rPr>
                <w:rFonts w:hint="eastAsia"/>
              </w:rPr>
              <w:t>硝酸、CO、甲醇、甲酸甲酯</w:t>
            </w:r>
          </w:p>
        </w:tc>
        <w:tc>
          <w:tcPr>
            <w:tcW w:w="1201" w:type="pct"/>
            <w:vAlign w:val="center"/>
          </w:tcPr>
          <w:p w14:paraId="6EACE54D">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79E5B5A1">
            <w:pPr>
              <w:pStyle w:val="557"/>
            </w:pPr>
          </w:p>
        </w:tc>
        <w:tc>
          <w:tcPr>
            <w:tcW w:w="332" w:type="pct"/>
            <w:vMerge w:val="continue"/>
            <w:vAlign w:val="center"/>
          </w:tcPr>
          <w:p w14:paraId="7C75C8A9">
            <w:pPr>
              <w:pStyle w:val="557"/>
            </w:pPr>
          </w:p>
        </w:tc>
      </w:tr>
      <w:tr w14:paraId="6D8D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0E362650">
            <w:pPr>
              <w:pStyle w:val="557"/>
            </w:pPr>
            <w:r>
              <w:rPr>
                <w:rFonts w:hint="eastAsia"/>
              </w:rPr>
              <w:t>8</w:t>
            </w:r>
          </w:p>
        </w:tc>
        <w:tc>
          <w:tcPr>
            <w:tcW w:w="471" w:type="pct"/>
            <w:vAlign w:val="center"/>
          </w:tcPr>
          <w:p w14:paraId="4E689218">
            <w:pPr>
              <w:pStyle w:val="557"/>
            </w:pPr>
            <w:r>
              <w:rPr>
                <w:rFonts w:hint="eastAsia"/>
              </w:rPr>
              <w:t>危险单元8</w:t>
            </w:r>
          </w:p>
        </w:tc>
        <w:tc>
          <w:tcPr>
            <w:tcW w:w="670" w:type="pct"/>
            <w:vAlign w:val="center"/>
          </w:tcPr>
          <w:p w14:paraId="1CB9840E">
            <w:pPr>
              <w:pStyle w:val="557"/>
            </w:pPr>
            <w:r>
              <w:rPr>
                <w:rFonts w:hint="eastAsia"/>
              </w:rPr>
              <w:t>草酰胺装置</w:t>
            </w:r>
          </w:p>
        </w:tc>
        <w:tc>
          <w:tcPr>
            <w:tcW w:w="555" w:type="pct"/>
            <w:vAlign w:val="center"/>
          </w:tcPr>
          <w:p w14:paraId="140BBEB1">
            <w:pPr>
              <w:pStyle w:val="557"/>
            </w:pPr>
            <w:r>
              <w:rPr>
                <w:rFonts w:hint="eastAsia"/>
              </w:rPr>
              <w:t>物料管线</w:t>
            </w:r>
          </w:p>
        </w:tc>
        <w:tc>
          <w:tcPr>
            <w:tcW w:w="908" w:type="pct"/>
            <w:vAlign w:val="center"/>
          </w:tcPr>
          <w:p w14:paraId="219F4938">
            <w:pPr>
              <w:pStyle w:val="557"/>
            </w:pPr>
            <w:r>
              <w:rPr>
                <w:rFonts w:hint="eastAsia"/>
              </w:rPr>
              <w:t>液氨、甲醇</w:t>
            </w:r>
          </w:p>
        </w:tc>
        <w:tc>
          <w:tcPr>
            <w:tcW w:w="1201" w:type="pct"/>
            <w:vAlign w:val="center"/>
          </w:tcPr>
          <w:p w14:paraId="76C8B6AB">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0D14A959">
            <w:pPr>
              <w:pStyle w:val="557"/>
            </w:pPr>
          </w:p>
        </w:tc>
        <w:tc>
          <w:tcPr>
            <w:tcW w:w="332" w:type="pct"/>
            <w:vMerge w:val="continue"/>
            <w:vAlign w:val="center"/>
          </w:tcPr>
          <w:p w14:paraId="6CB16C1C">
            <w:pPr>
              <w:pStyle w:val="557"/>
            </w:pPr>
          </w:p>
        </w:tc>
      </w:tr>
      <w:tr w14:paraId="1A11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617D7C7C">
            <w:pPr>
              <w:pStyle w:val="557"/>
            </w:pPr>
            <w:r>
              <w:rPr>
                <w:rFonts w:hint="eastAsia"/>
              </w:rPr>
              <w:t>9</w:t>
            </w:r>
          </w:p>
        </w:tc>
        <w:tc>
          <w:tcPr>
            <w:tcW w:w="471" w:type="pct"/>
            <w:vAlign w:val="center"/>
          </w:tcPr>
          <w:p w14:paraId="261D9629">
            <w:pPr>
              <w:pStyle w:val="557"/>
            </w:pPr>
            <w:r>
              <w:rPr>
                <w:rFonts w:hint="eastAsia"/>
              </w:rPr>
              <w:t>危险单元9</w:t>
            </w:r>
          </w:p>
        </w:tc>
        <w:tc>
          <w:tcPr>
            <w:tcW w:w="670" w:type="pct"/>
            <w:vAlign w:val="center"/>
          </w:tcPr>
          <w:p w14:paraId="58167910">
            <w:pPr>
              <w:pStyle w:val="557"/>
            </w:pPr>
            <w:r>
              <w:rPr>
                <w:rFonts w:hint="eastAsia"/>
              </w:rPr>
              <w:t>有机缓释肥装置</w:t>
            </w:r>
          </w:p>
        </w:tc>
        <w:tc>
          <w:tcPr>
            <w:tcW w:w="555" w:type="pct"/>
            <w:vAlign w:val="center"/>
          </w:tcPr>
          <w:p w14:paraId="712F304E">
            <w:pPr>
              <w:pStyle w:val="557"/>
            </w:pPr>
            <w:r>
              <w:rPr>
                <w:rFonts w:hint="eastAsia"/>
              </w:rPr>
              <w:t>物料管线</w:t>
            </w:r>
          </w:p>
        </w:tc>
        <w:tc>
          <w:tcPr>
            <w:tcW w:w="908" w:type="pct"/>
            <w:vAlign w:val="center"/>
          </w:tcPr>
          <w:p w14:paraId="3A5D03D7">
            <w:pPr>
              <w:pStyle w:val="557"/>
            </w:pPr>
            <w:r>
              <w:rPr>
                <w:rFonts w:hint="eastAsia"/>
              </w:rPr>
              <w:t>氨水、硫酸</w:t>
            </w:r>
          </w:p>
        </w:tc>
        <w:tc>
          <w:tcPr>
            <w:tcW w:w="1201" w:type="pct"/>
            <w:vAlign w:val="center"/>
          </w:tcPr>
          <w:p w14:paraId="1D693157">
            <w:pPr>
              <w:pStyle w:val="557"/>
            </w:pPr>
            <w:r>
              <w:rPr>
                <w:rFonts w:hint="eastAsia"/>
              </w:rPr>
              <w:t>①有毒有害液体</w:t>
            </w:r>
            <w:r>
              <w:t>泄漏</w:t>
            </w:r>
            <w:r>
              <w:rPr>
                <w:rFonts w:hint="eastAsia"/>
              </w:rPr>
              <w:t>②泄漏引发火灾、爆炸引发伴生</w:t>
            </w:r>
            <w:r>
              <w:t>/</w:t>
            </w:r>
            <w:r>
              <w:rPr>
                <w:rFonts w:hint="eastAsia"/>
              </w:rPr>
              <w:t>次生污染物排放</w:t>
            </w:r>
          </w:p>
        </w:tc>
        <w:tc>
          <w:tcPr>
            <w:tcW w:w="578" w:type="pct"/>
            <w:vMerge w:val="continue"/>
            <w:vAlign w:val="center"/>
          </w:tcPr>
          <w:p w14:paraId="67968F19">
            <w:pPr>
              <w:pStyle w:val="557"/>
            </w:pPr>
          </w:p>
        </w:tc>
        <w:tc>
          <w:tcPr>
            <w:tcW w:w="332" w:type="pct"/>
            <w:vMerge w:val="continue"/>
            <w:vAlign w:val="center"/>
          </w:tcPr>
          <w:p w14:paraId="15FCB0A4">
            <w:pPr>
              <w:pStyle w:val="557"/>
            </w:pPr>
          </w:p>
        </w:tc>
      </w:tr>
      <w:tr w14:paraId="6A72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20465399">
            <w:pPr>
              <w:pStyle w:val="557"/>
            </w:pPr>
            <w:r>
              <w:t>10</w:t>
            </w:r>
          </w:p>
        </w:tc>
        <w:tc>
          <w:tcPr>
            <w:tcW w:w="471" w:type="pct"/>
            <w:vAlign w:val="center"/>
          </w:tcPr>
          <w:p w14:paraId="4501DA91">
            <w:pPr>
              <w:pStyle w:val="557"/>
            </w:pPr>
            <w:r>
              <w:rPr>
                <w:rFonts w:hint="eastAsia"/>
              </w:rPr>
              <w:t>危险单元1</w:t>
            </w:r>
            <w:r>
              <w:t>0</w:t>
            </w:r>
          </w:p>
        </w:tc>
        <w:tc>
          <w:tcPr>
            <w:tcW w:w="670" w:type="pct"/>
            <w:vAlign w:val="center"/>
          </w:tcPr>
          <w:p w14:paraId="732AB92D">
            <w:pPr>
              <w:pStyle w:val="557"/>
            </w:pPr>
            <w:r>
              <w:rPr>
                <w:rFonts w:hint="eastAsia"/>
              </w:rPr>
              <w:t>液氨罐区</w:t>
            </w:r>
          </w:p>
        </w:tc>
        <w:tc>
          <w:tcPr>
            <w:tcW w:w="555" w:type="pct"/>
            <w:vAlign w:val="center"/>
          </w:tcPr>
          <w:p w14:paraId="490EDEA5">
            <w:pPr>
              <w:pStyle w:val="557"/>
            </w:pPr>
            <w:r>
              <w:rPr>
                <w:rFonts w:hint="eastAsia"/>
              </w:rPr>
              <w:t>液氨罐区</w:t>
            </w:r>
          </w:p>
        </w:tc>
        <w:tc>
          <w:tcPr>
            <w:tcW w:w="908" w:type="pct"/>
            <w:vAlign w:val="center"/>
          </w:tcPr>
          <w:p w14:paraId="5A803DFA">
            <w:pPr>
              <w:pStyle w:val="557"/>
            </w:pPr>
            <w:r>
              <w:rPr>
                <w:rFonts w:hint="eastAsia"/>
              </w:rPr>
              <w:t>液氨</w:t>
            </w:r>
          </w:p>
        </w:tc>
        <w:tc>
          <w:tcPr>
            <w:tcW w:w="1201" w:type="pct"/>
            <w:vAlign w:val="center"/>
          </w:tcPr>
          <w:p w14:paraId="04D67817">
            <w:pPr>
              <w:pStyle w:val="557"/>
            </w:pPr>
            <w:r>
              <w:rPr>
                <w:rFonts w:hint="eastAsia"/>
              </w:rPr>
              <w:t>①有毒有害液体</w:t>
            </w:r>
            <w:r>
              <w:t>泄漏</w:t>
            </w:r>
            <w:r>
              <w:rPr>
                <w:rFonts w:hint="eastAsia"/>
              </w:rPr>
              <w:t>②泄漏引发火灾、爆炸引发伴生</w:t>
            </w:r>
            <w:r>
              <w:t>/</w:t>
            </w:r>
            <w:r>
              <w:rPr>
                <w:rFonts w:hint="eastAsia"/>
              </w:rPr>
              <w:t>次生污染物排放</w:t>
            </w:r>
          </w:p>
        </w:tc>
        <w:tc>
          <w:tcPr>
            <w:tcW w:w="578" w:type="pct"/>
            <w:vMerge w:val="continue"/>
            <w:vAlign w:val="center"/>
          </w:tcPr>
          <w:p w14:paraId="32C9BCC9">
            <w:pPr>
              <w:pStyle w:val="557"/>
            </w:pPr>
          </w:p>
        </w:tc>
        <w:tc>
          <w:tcPr>
            <w:tcW w:w="332" w:type="pct"/>
            <w:vMerge w:val="continue"/>
            <w:vAlign w:val="center"/>
          </w:tcPr>
          <w:p w14:paraId="005C27DE">
            <w:pPr>
              <w:pStyle w:val="557"/>
            </w:pPr>
          </w:p>
        </w:tc>
      </w:tr>
      <w:tr w14:paraId="5FF3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34CEF5ED">
            <w:pPr>
              <w:pStyle w:val="557"/>
            </w:pPr>
            <w:r>
              <w:rPr>
                <w:rFonts w:hint="eastAsia"/>
              </w:rPr>
              <w:t>11</w:t>
            </w:r>
          </w:p>
        </w:tc>
        <w:tc>
          <w:tcPr>
            <w:tcW w:w="471" w:type="pct"/>
            <w:vAlign w:val="center"/>
          </w:tcPr>
          <w:p w14:paraId="02BD43D1">
            <w:pPr>
              <w:pStyle w:val="557"/>
            </w:pPr>
            <w:r>
              <w:rPr>
                <w:rFonts w:hint="eastAsia"/>
              </w:rPr>
              <w:t>危险单元11</w:t>
            </w:r>
          </w:p>
        </w:tc>
        <w:tc>
          <w:tcPr>
            <w:tcW w:w="670" w:type="pct"/>
            <w:vAlign w:val="center"/>
          </w:tcPr>
          <w:p w14:paraId="31DF5DAD">
            <w:pPr>
              <w:pStyle w:val="557"/>
            </w:pPr>
            <w:r>
              <w:rPr>
                <w:rFonts w:hint="eastAsia"/>
              </w:rPr>
              <w:t>综合罐区</w:t>
            </w:r>
          </w:p>
        </w:tc>
        <w:tc>
          <w:tcPr>
            <w:tcW w:w="555" w:type="pct"/>
            <w:vAlign w:val="center"/>
          </w:tcPr>
          <w:p w14:paraId="61198AE4">
            <w:pPr>
              <w:pStyle w:val="557"/>
            </w:pPr>
            <w:r>
              <w:rPr>
                <w:rFonts w:hint="eastAsia"/>
              </w:rPr>
              <w:t>综合罐区</w:t>
            </w:r>
          </w:p>
        </w:tc>
        <w:tc>
          <w:tcPr>
            <w:tcW w:w="908" w:type="pct"/>
            <w:vAlign w:val="center"/>
          </w:tcPr>
          <w:p w14:paraId="2BF243E4">
            <w:pPr>
              <w:pStyle w:val="557"/>
            </w:pPr>
            <w:r>
              <w:rPr>
                <w:rFonts w:hint="eastAsia"/>
              </w:rPr>
              <w:t>碳酸二甲酯、甲醇、甲酸甲酯、</w:t>
            </w:r>
          </w:p>
          <w:p w14:paraId="08234D5C">
            <w:pPr>
              <w:pStyle w:val="557"/>
            </w:pPr>
            <w:r>
              <w:rPr>
                <w:rFonts w:hint="eastAsia"/>
              </w:rPr>
              <w:t>硝酸</w:t>
            </w:r>
          </w:p>
        </w:tc>
        <w:tc>
          <w:tcPr>
            <w:tcW w:w="1201" w:type="pct"/>
            <w:vAlign w:val="center"/>
          </w:tcPr>
          <w:p w14:paraId="4D5B797E">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4950C405">
            <w:pPr>
              <w:pStyle w:val="557"/>
            </w:pPr>
          </w:p>
        </w:tc>
        <w:tc>
          <w:tcPr>
            <w:tcW w:w="332" w:type="pct"/>
            <w:vMerge w:val="continue"/>
            <w:vAlign w:val="center"/>
          </w:tcPr>
          <w:p w14:paraId="3A7CC736">
            <w:pPr>
              <w:pStyle w:val="557"/>
            </w:pPr>
          </w:p>
        </w:tc>
      </w:tr>
      <w:tr w14:paraId="598A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82" w:type="pct"/>
            <w:vAlign w:val="center"/>
          </w:tcPr>
          <w:p w14:paraId="12577B30">
            <w:pPr>
              <w:pStyle w:val="557"/>
            </w:pPr>
            <w:r>
              <w:rPr>
                <w:rFonts w:hint="eastAsia"/>
              </w:rPr>
              <w:t>12</w:t>
            </w:r>
          </w:p>
        </w:tc>
        <w:tc>
          <w:tcPr>
            <w:tcW w:w="471" w:type="pct"/>
            <w:vAlign w:val="center"/>
          </w:tcPr>
          <w:p w14:paraId="411D8E72">
            <w:pPr>
              <w:pStyle w:val="557"/>
            </w:pPr>
            <w:r>
              <w:rPr>
                <w:rFonts w:hint="eastAsia"/>
              </w:rPr>
              <w:t>危险单元12</w:t>
            </w:r>
          </w:p>
        </w:tc>
        <w:tc>
          <w:tcPr>
            <w:tcW w:w="670" w:type="pct"/>
            <w:vAlign w:val="center"/>
          </w:tcPr>
          <w:p w14:paraId="25EE731F">
            <w:pPr>
              <w:pStyle w:val="557"/>
            </w:pPr>
            <w:r>
              <w:rPr>
                <w:rFonts w:hint="eastAsia"/>
              </w:rPr>
              <w:t>亚硝酸甲酯罐区</w:t>
            </w:r>
          </w:p>
        </w:tc>
        <w:tc>
          <w:tcPr>
            <w:tcW w:w="555" w:type="pct"/>
            <w:vAlign w:val="center"/>
          </w:tcPr>
          <w:p w14:paraId="47C33F95">
            <w:pPr>
              <w:pStyle w:val="557"/>
            </w:pPr>
            <w:r>
              <w:rPr>
                <w:rFonts w:hint="eastAsia"/>
              </w:rPr>
              <w:t>亚硝酸甲酯罐区</w:t>
            </w:r>
          </w:p>
        </w:tc>
        <w:tc>
          <w:tcPr>
            <w:tcW w:w="908" w:type="pct"/>
            <w:vAlign w:val="center"/>
          </w:tcPr>
          <w:p w14:paraId="286B105F">
            <w:pPr>
              <w:pStyle w:val="557"/>
            </w:pPr>
            <w:r>
              <w:rPr>
                <w:rFonts w:hint="eastAsia"/>
              </w:rPr>
              <w:t>亚硝酸甲酯</w:t>
            </w:r>
          </w:p>
        </w:tc>
        <w:tc>
          <w:tcPr>
            <w:tcW w:w="1201" w:type="pct"/>
            <w:vAlign w:val="center"/>
          </w:tcPr>
          <w:p w14:paraId="2E5FCCCD">
            <w:pPr>
              <w:pStyle w:val="557"/>
            </w:pPr>
            <w:r>
              <w:rPr>
                <w:rFonts w:hint="eastAsia"/>
              </w:rPr>
              <w:t>①有毒有害气体泄漏②泄漏引发火灾、爆炸引发伴生</w:t>
            </w:r>
            <w:r>
              <w:t>/</w:t>
            </w:r>
            <w:r>
              <w:rPr>
                <w:rFonts w:hint="eastAsia"/>
              </w:rPr>
              <w:t>次生污染物排放</w:t>
            </w:r>
          </w:p>
        </w:tc>
        <w:tc>
          <w:tcPr>
            <w:tcW w:w="578" w:type="pct"/>
            <w:vMerge w:val="continue"/>
            <w:vAlign w:val="center"/>
          </w:tcPr>
          <w:p w14:paraId="2C40A878">
            <w:pPr>
              <w:pStyle w:val="557"/>
            </w:pPr>
          </w:p>
        </w:tc>
        <w:tc>
          <w:tcPr>
            <w:tcW w:w="332" w:type="pct"/>
            <w:vMerge w:val="continue"/>
            <w:vAlign w:val="center"/>
          </w:tcPr>
          <w:p w14:paraId="478BCED2">
            <w:pPr>
              <w:pStyle w:val="557"/>
            </w:pPr>
          </w:p>
        </w:tc>
      </w:tr>
    </w:tbl>
    <w:p w14:paraId="264EB359">
      <w:pPr>
        <w:pStyle w:val="160"/>
        <w:rPr>
          <w:rFonts w:hint="eastAsia"/>
        </w:rPr>
      </w:pPr>
    </w:p>
    <w:p w14:paraId="34432F3B">
      <w:pPr>
        <w:pStyle w:val="160"/>
        <w:rPr>
          <w:rFonts w:hint="eastAsia"/>
        </w:rPr>
      </w:pPr>
    </w:p>
    <w:p w14:paraId="1077B25E">
      <w:pPr>
        <w:pStyle w:val="160"/>
        <w:rPr>
          <w:rFonts w:hint="eastAsia"/>
        </w:rPr>
      </w:pPr>
      <w:bookmarkStart w:id="482" w:name="_Hlk195031895"/>
    </w:p>
    <w:bookmarkEnd w:id="482"/>
    <w:p w14:paraId="5B028202">
      <w:pPr>
        <w:pStyle w:val="645"/>
        <w:rPr>
          <w:rFonts w:hint="eastAsia"/>
        </w:rPr>
      </w:pPr>
      <w:r>
        <w:rPr>
          <w:rFonts w:hint="eastAsia"/>
        </w:rPr>
        <w:t>表7.5.2-1    本项目环境风险单位分布图</w:t>
      </w:r>
    </w:p>
    <w:p w14:paraId="0A4279F8">
      <w:pPr>
        <w:pStyle w:val="160"/>
        <w:rPr>
          <w:rFonts w:hint="eastAsia"/>
        </w:rPr>
        <w:sectPr>
          <w:pgSz w:w="16838" w:h="11906" w:orient="landscape"/>
          <w:pgMar w:top="1800" w:right="1440" w:bottom="1800" w:left="1440" w:header="851" w:footer="850" w:gutter="0"/>
          <w:cols w:space="425" w:num="1"/>
          <w:docGrid w:type="lines" w:linePitch="326" w:charSpace="0"/>
        </w:sectPr>
      </w:pPr>
    </w:p>
    <w:p w14:paraId="334DE082">
      <w:pPr>
        <w:pStyle w:val="722"/>
        <w:rPr>
          <w:rFonts w:hint="eastAsia"/>
        </w:rPr>
      </w:pPr>
      <w:bookmarkStart w:id="483" w:name="_Toc8551"/>
      <w:bookmarkStart w:id="484" w:name="_Toc71012659"/>
      <w:bookmarkStart w:id="485" w:name="_Toc194592906"/>
      <w:bookmarkStart w:id="486" w:name="_Toc70372824"/>
      <w:r>
        <w:rPr>
          <w:rFonts w:hint="eastAsia"/>
        </w:rPr>
        <w:t>风险事故情形分析</w:t>
      </w:r>
      <w:bookmarkEnd w:id="483"/>
      <w:bookmarkEnd w:id="484"/>
      <w:bookmarkEnd w:id="485"/>
      <w:bookmarkEnd w:id="486"/>
    </w:p>
    <w:p w14:paraId="4DAAA4A8">
      <w:pPr>
        <w:pStyle w:val="97"/>
        <w:rPr>
          <w:rFonts w:hint="eastAsia"/>
        </w:rPr>
      </w:pPr>
      <w:r>
        <w:rPr>
          <w:rFonts w:hint="eastAsia"/>
        </w:rPr>
        <w:t>风险事故情形设定</w:t>
      </w:r>
    </w:p>
    <w:p w14:paraId="267B9B2C">
      <w:pPr>
        <w:pStyle w:val="98"/>
        <w:rPr>
          <w:rFonts w:hint="eastAsia"/>
          <w:color w:val="auto"/>
        </w:rPr>
      </w:pPr>
      <w:r>
        <w:rPr>
          <w:rFonts w:hint="eastAsia"/>
          <w:color w:val="auto"/>
        </w:rPr>
        <w:t>最大可信事故</w:t>
      </w:r>
    </w:p>
    <w:p w14:paraId="6EFCAE2A">
      <w:pPr>
        <w:pStyle w:val="281"/>
        <w:ind w:firstLine="480"/>
      </w:pPr>
      <w:r>
        <w:rPr>
          <w:rFonts w:hint="eastAsia"/>
        </w:rPr>
        <w:t>根据《建设项目环境风险评价技术导则》（</w:t>
      </w:r>
      <w:r>
        <w:t>HJ169-2018</w:t>
      </w:r>
      <w:r>
        <w:rPr>
          <w:rFonts w:hint="eastAsia"/>
        </w:rPr>
        <w:t>）的要求，风险事故情形的设定是在风险识别的基础上，选择对环境影响较大并具有代表性的事故类型，设定风险事故情形。</w:t>
      </w:r>
    </w:p>
    <w:p w14:paraId="6EB27086">
      <w:pPr>
        <w:pStyle w:val="281"/>
        <w:ind w:firstLine="480"/>
      </w:pPr>
      <w:r>
        <w:rPr>
          <w:rFonts w:hint="eastAsia"/>
        </w:rPr>
        <w:t>根据风险识别结果，本项目环境影响较大并具有代表性的事故类型有：</w:t>
      </w:r>
    </w:p>
    <w:p w14:paraId="4E93BAD7">
      <w:pPr>
        <w:pStyle w:val="281"/>
        <w:ind w:firstLine="480"/>
      </w:pPr>
      <w:r>
        <w:rPr>
          <w:rFonts w:hint="eastAsia"/>
        </w:rPr>
        <w:t>（1）</w:t>
      </w:r>
      <w:r>
        <w:rPr>
          <w:rFonts w:hint="eastAsia" w:ascii="宋体" w:hAnsi="宋体"/>
        </w:rPr>
        <w:t>煤气</w:t>
      </w:r>
      <w:r>
        <w:rPr>
          <w:rFonts w:hint="eastAsia"/>
        </w:rPr>
        <w:t>输送过程中因</w:t>
      </w:r>
      <w:r>
        <w:rPr>
          <w:rFonts w:hint="eastAsia" w:ascii="宋体" w:hAnsi="宋体"/>
        </w:rPr>
        <w:t>操作失误、设备缺陷等造成煤气泄漏，</w:t>
      </w:r>
      <w:r>
        <w:rPr>
          <w:rFonts w:hint="eastAsia"/>
        </w:rPr>
        <w:t>并遇火引发火灾、爆炸事故进而燃烧过程中产生的伴生</w:t>
      </w:r>
      <w:r>
        <w:t>/</w:t>
      </w:r>
      <w:r>
        <w:rPr>
          <w:rFonts w:hint="eastAsia"/>
        </w:rPr>
        <w:t>次生污染物对周边大气环境的污染影响。</w:t>
      </w:r>
    </w:p>
    <w:p w14:paraId="1473B52E">
      <w:pPr>
        <w:pStyle w:val="281"/>
        <w:ind w:firstLine="480"/>
      </w:pPr>
      <w:r>
        <w:rPr>
          <w:rFonts w:hint="eastAsia"/>
        </w:rPr>
        <w:t>（2）酸性气输送过程中因</w:t>
      </w:r>
      <w:r>
        <w:rPr>
          <w:rFonts w:hint="eastAsia" w:ascii="宋体" w:hAnsi="宋体"/>
        </w:rPr>
        <w:t>操作失误、设备缺陷等造成</w:t>
      </w:r>
      <w:r>
        <w:rPr>
          <w:rFonts w:hint="eastAsia"/>
        </w:rPr>
        <w:t>硫化氢</w:t>
      </w:r>
      <w:r>
        <w:rPr>
          <w:rFonts w:hint="eastAsia" w:ascii="宋体" w:hAnsi="宋体"/>
        </w:rPr>
        <w:t>泄漏，</w:t>
      </w:r>
      <w:r>
        <w:rPr>
          <w:rFonts w:hint="eastAsia"/>
        </w:rPr>
        <w:t>并遇火引发火灾、爆炸事故进而燃烧过程中产生的伴生</w:t>
      </w:r>
      <w:r>
        <w:t>/</w:t>
      </w:r>
      <w:r>
        <w:rPr>
          <w:rFonts w:hint="eastAsia"/>
        </w:rPr>
        <w:t>次生污染物对周边大气环境的污染影响。</w:t>
      </w:r>
    </w:p>
    <w:p w14:paraId="35FA6ED8">
      <w:pPr>
        <w:pStyle w:val="281"/>
        <w:ind w:firstLine="480"/>
      </w:pPr>
      <w:r>
        <w:rPr>
          <w:rFonts w:hint="eastAsia"/>
        </w:rPr>
        <w:t>（</w:t>
      </w:r>
      <w:r>
        <w:t>3</w:t>
      </w:r>
      <w:r>
        <w:rPr>
          <w:rFonts w:hint="eastAsia"/>
        </w:rPr>
        <w:t>）液氨</w:t>
      </w:r>
      <w:r>
        <w:rPr>
          <w:rFonts w:hint="eastAsia" w:ascii="宋体" w:hAnsi="宋体"/>
        </w:rPr>
        <w:t>储罐管道、法兰或阀门破损导致储罐泄漏，</w:t>
      </w:r>
      <w:r>
        <w:rPr>
          <w:rFonts w:hint="eastAsia"/>
        </w:rPr>
        <w:t>氨气对周边大气环境的污染影响。</w:t>
      </w:r>
    </w:p>
    <w:p w14:paraId="637B12BB">
      <w:pPr>
        <w:pStyle w:val="281"/>
        <w:ind w:firstLine="480"/>
      </w:pPr>
      <w:r>
        <w:rPr>
          <w:rFonts w:hint="eastAsia"/>
        </w:rPr>
        <w:t>（</w:t>
      </w:r>
      <w:r>
        <w:t>4</w:t>
      </w:r>
      <w:r>
        <w:rPr>
          <w:rFonts w:hint="eastAsia"/>
        </w:rPr>
        <w:t>）甲醇</w:t>
      </w:r>
      <w:r>
        <w:rPr>
          <w:rFonts w:hint="eastAsia" w:ascii="宋体" w:hAnsi="宋体"/>
        </w:rPr>
        <w:t>储罐管道、法兰或阀门破损导致储罐泄漏，</w:t>
      </w:r>
      <w:r>
        <w:rPr>
          <w:rFonts w:hint="eastAsia"/>
        </w:rPr>
        <w:t>甲醇对周边大气环境的污染影响；并遇火引发火灾、爆炸事故进而燃烧过程中产生的伴生</w:t>
      </w:r>
      <w:r>
        <w:t>/</w:t>
      </w:r>
      <w:r>
        <w:rPr>
          <w:rFonts w:hint="eastAsia"/>
        </w:rPr>
        <w:t>次生污染物对周边大气环境的污染影响。</w:t>
      </w:r>
    </w:p>
    <w:p w14:paraId="038A8DF8">
      <w:pPr>
        <w:pStyle w:val="281"/>
        <w:ind w:firstLine="480"/>
      </w:pPr>
      <w:r>
        <w:rPr>
          <w:rFonts w:hint="eastAsia"/>
        </w:rPr>
        <w:t>（5）甲酸甲酯</w:t>
      </w:r>
      <w:r>
        <w:rPr>
          <w:rFonts w:hint="eastAsia" w:ascii="宋体" w:hAnsi="宋体"/>
        </w:rPr>
        <w:t>储罐管道、法兰或阀门破损导致储罐泄漏，</w:t>
      </w:r>
      <w:r>
        <w:rPr>
          <w:rFonts w:hint="eastAsia"/>
        </w:rPr>
        <w:t>甲酸甲酯对周边大气环境的污染影响；并遇火引发火灾、爆炸事故进而燃烧过程中产生的伴生</w:t>
      </w:r>
      <w:r>
        <w:t>/</w:t>
      </w:r>
      <w:r>
        <w:rPr>
          <w:rFonts w:hint="eastAsia"/>
        </w:rPr>
        <w:t>次生污染物对周边大气环境的污染影响、</w:t>
      </w:r>
    </w:p>
    <w:p w14:paraId="75750422">
      <w:pPr>
        <w:pStyle w:val="281"/>
        <w:ind w:firstLine="480"/>
      </w:pPr>
      <w:r>
        <w:rPr>
          <w:rFonts w:hint="eastAsia"/>
        </w:rPr>
        <w:t>（6）硝酸</w:t>
      </w:r>
      <w:r>
        <w:rPr>
          <w:rFonts w:hint="eastAsia" w:ascii="宋体" w:hAnsi="宋体"/>
        </w:rPr>
        <w:t>储罐管道、法兰或阀门破损导致储罐泄漏，硝酸</w:t>
      </w:r>
      <w:r>
        <w:rPr>
          <w:rFonts w:hint="eastAsia"/>
        </w:rPr>
        <w:t>对周边大气环境的污染影响。</w:t>
      </w:r>
    </w:p>
    <w:p w14:paraId="252C9087">
      <w:pPr>
        <w:pStyle w:val="281"/>
        <w:ind w:firstLine="480"/>
      </w:pPr>
      <w:r>
        <w:rPr>
          <w:rFonts w:hint="eastAsia"/>
        </w:rPr>
        <w:t>（7）</w:t>
      </w:r>
      <w:r>
        <w:rPr>
          <w:rFonts w:hint="eastAsia" w:cs="Times New Roman"/>
        </w:rPr>
        <w:t>亚硝酸甲酯</w:t>
      </w:r>
      <w:r>
        <w:rPr>
          <w:rFonts w:hint="eastAsia" w:ascii="宋体" w:hAnsi="宋体"/>
        </w:rPr>
        <w:t>储罐管道、法兰或阀门破损导致储罐泄漏，</w:t>
      </w:r>
      <w:r>
        <w:rPr>
          <w:rFonts w:hint="eastAsia" w:cs="Times New Roman"/>
        </w:rPr>
        <w:t>亚硝酸甲酯对</w:t>
      </w:r>
      <w:r>
        <w:rPr>
          <w:rFonts w:hint="eastAsia"/>
        </w:rPr>
        <w:t>周边大气环境的污染影响；并遇火引发火灾、爆炸事故进而燃烧过程中产生的伴生</w:t>
      </w:r>
      <w:r>
        <w:t>/</w:t>
      </w:r>
      <w:r>
        <w:rPr>
          <w:rFonts w:hint="eastAsia"/>
        </w:rPr>
        <w:t>次生污染物对周边大气环境的污染影响。</w:t>
      </w:r>
    </w:p>
    <w:p w14:paraId="39B14E67">
      <w:pPr>
        <w:pStyle w:val="98"/>
        <w:rPr>
          <w:rFonts w:hint="eastAsia"/>
          <w:color w:val="auto"/>
        </w:rPr>
      </w:pPr>
      <w:r>
        <w:rPr>
          <w:rFonts w:hint="eastAsia"/>
          <w:color w:val="auto"/>
        </w:rPr>
        <w:t>事故概率</w:t>
      </w:r>
    </w:p>
    <w:p w14:paraId="6219AA92">
      <w:pPr>
        <w:pStyle w:val="281"/>
        <w:ind w:firstLine="480"/>
      </w:pPr>
      <w:r>
        <w:rPr>
          <w:rFonts w:hint="eastAsia" w:ascii="宋体" w:hAnsi="宋体"/>
        </w:rPr>
        <w:t>依据对国内外化工行业生产事故的统计，并参考《建设项目环境风险评价技术导则》（</w:t>
      </w:r>
      <w:r>
        <w:t>HJ169-2018</w:t>
      </w:r>
      <w:r>
        <w:rPr>
          <w:rFonts w:hint="eastAsia" w:ascii="宋体" w:hAnsi="宋体"/>
        </w:rPr>
        <w:t>）和《环境风险评价实用技术和方法》（胡二邦主编）中有关化工行业风险事故概率统计分布情况，结合项目当前的经济技术水平，确定项目最大可信事故发生概率，具体见表</w:t>
      </w:r>
      <w:r>
        <w:rPr>
          <w:rFonts w:hint="eastAsia"/>
        </w:rPr>
        <w:t>7.6</w:t>
      </w:r>
      <w:r>
        <w:t>.1</w:t>
      </w:r>
      <w:r>
        <w:rPr>
          <w:rFonts w:hint="eastAsia"/>
        </w:rPr>
        <w:t>-</w:t>
      </w:r>
      <w:r>
        <w:t>1</w:t>
      </w:r>
      <w:r>
        <w:rPr>
          <w:rFonts w:hint="eastAsia" w:ascii="宋体" w:hAnsi="宋体"/>
        </w:rPr>
        <w:t>。</w:t>
      </w:r>
    </w:p>
    <w:p w14:paraId="0DB18520">
      <w:pPr>
        <w:pStyle w:val="281"/>
        <w:ind w:firstLine="480"/>
      </w:pPr>
      <w:r>
        <w:rPr>
          <w:rFonts w:hint="eastAsia" w:ascii="宋体" w:hAnsi="宋体"/>
        </w:rPr>
        <w:t>目前国内石化企业事故反应时间一般在</w:t>
      </w:r>
      <w:r>
        <w:rPr>
          <w:rFonts w:hint="eastAsia"/>
        </w:rPr>
        <w:t>10min-30min</w:t>
      </w:r>
      <w:r>
        <w:rPr>
          <w:rFonts w:hint="eastAsia" w:ascii="宋体" w:hAnsi="宋体"/>
        </w:rPr>
        <w:t>间，最迟在</w:t>
      </w:r>
      <w:r>
        <w:rPr>
          <w:rFonts w:hint="eastAsia"/>
        </w:rPr>
        <w:t>30min</w:t>
      </w:r>
      <w:r>
        <w:rPr>
          <w:rFonts w:hint="eastAsia" w:ascii="宋体" w:hAnsi="宋体"/>
        </w:rPr>
        <w:t>内做出应急反应措施，包括切断通往事故源的物料管线、开启倒料管线、利用泵进行事故源物料回收等。</w:t>
      </w:r>
    </w:p>
    <w:p w14:paraId="6E4CC72F">
      <w:pPr>
        <w:pStyle w:val="541"/>
        <w:rPr>
          <w:rFonts w:hint="eastAsia"/>
        </w:rPr>
      </w:pPr>
      <w:r>
        <w:rPr>
          <w:rFonts w:hint="eastAsia"/>
        </w:rPr>
        <w:t>表7.6</w:t>
      </w:r>
      <w:r>
        <w:t>.1</w:t>
      </w:r>
      <w:r>
        <w:rPr>
          <w:rFonts w:hint="eastAsia"/>
        </w:rPr>
        <w:t>-</w:t>
      </w:r>
      <w:r>
        <w:t xml:space="preserve">1  </w:t>
      </w:r>
      <w:r>
        <w:rPr>
          <w:rFonts w:hint="eastAsia"/>
        </w:rPr>
        <w:t xml:space="preserve">  项目泄漏事故频率一览表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3408"/>
        <w:gridCol w:w="2275"/>
      </w:tblGrid>
      <w:tr w14:paraId="6E86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77" w:type="dxa"/>
            <w:vAlign w:val="center"/>
          </w:tcPr>
          <w:p w14:paraId="12823683">
            <w:pPr>
              <w:pStyle w:val="557"/>
            </w:pPr>
            <w:r>
              <w:t>部件类型</w:t>
            </w:r>
          </w:p>
        </w:tc>
        <w:tc>
          <w:tcPr>
            <w:tcW w:w="3334" w:type="dxa"/>
            <w:vAlign w:val="center"/>
          </w:tcPr>
          <w:p w14:paraId="2871EA60">
            <w:pPr>
              <w:pStyle w:val="557"/>
            </w:pPr>
            <w:r>
              <w:t>泄漏模式</w:t>
            </w:r>
          </w:p>
        </w:tc>
        <w:tc>
          <w:tcPr>
            <w:tcW w:w="2225" w:type="dxa"/>
            <w:vAlign w:val="center"/>
          </w:tcPr>
          <w:p w14:paraId="353933DA">
            <w:pPr>
              <w:pStyle w:val="557"/>
            </w:pPr>
            <w:r>
              <w:t>泄漏频率</w:t>
            </w:r>
          </w:p>
        </w:tc>
      </w:tr>
      <w:tr w14:paraId="6528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77" w:type="dxa"/>
            <w:vAlign w:val="center"/>
          </w:tcPr>
          <w:p w14:paraId="4ABAEB69">
            <w:pPr>
              <w:pStyle w:val="557"/>
            </w:pPr>
            <w:r>
              <w:rPr>
                <w:rFonts w:hint="eastAsia"/>
              </w:rPr>
              <w:t>反应器</w:t>
            </w:r>
            <w:r>
              <w:t>/</w:t>
            </w:r>
            <w:r>
              <w:rPr>
                <w:rFonts w:hint="eastAsia"/>
              </w:rPr>
              <w:t>工艺储罐</w:t>
            </w:r>
            <w:r>
              <w:t>/</w:t>
            </w:r>
            <w:r>
              <w:rPr>
                <w:rFonts w:hint="eastAsia"/>
              </w:rPr>
              <w:t>气体储罐</w:t>
            </w:r>
            <w:r>
              <w:t>/</w:t>
            </w:r>
            <w:r>
              <w:rPr>
                <w:rFonts w:hint="eastAsia"/>
              </w:rPr>
              <w:t>塔器</w:t>
            </w:r>
          </w:p>
        </w:tc>
        <w:tc>
          <w:tcPr>
            <w:tcW w:w="3334" w:type="dxa"/>
            <w:vAlign w:val="center"/>
          </w:tcPr>
          <w:p w14:paraId="7FE5FFC5">
            <w:pPr>
              <w:pStyle w:val="557"/>
            </w:pPr>
            <w:r>
              <w:t>10min</w:t>
            </w:r>
            <w:r>
              <w:rPr>
                <w:rFonts w:hint="eastAsia"/>
              </w:rPr>
              <w:t>内储罐泄漏完</w:t>
            </w:r>
          </w:p>
          <w:p w14:paraId="35922699">
            <w:pPr>
              <w:pStyle w:val="557"/>
            </w:pPr>
            <w:r>
              <w:rPr>
                <w:rFonts w:hint="eastAsia"/>
              </w:rPr>
              <w:t>储罐全破裂</w:t>
            </w:r>
          </w:p>
        </w:tc>
        <w:tc>
          <w:tcPr>
            <w:tcW w:w="2225" w:type="dxa"/>
            <w:vAlign w:val="center"/>
          </w:tcPr>
          <w:p w14:paraId="42DF8324">
            <w:pPr>
              <w:pStyle w:val="557"/>
            </w:pPr>
            <w:r>
              <w:t>5.00</w:t>
            </w:r>
            <w:r>
              <w:rPr>
                <w:rFonts w:hint="eastAsia"/>
              </w:rPr>
              <w:t>×</w:t>
            </w:r>
            <w:r>
              <w:t>10</w:t>
            </w:r>
            <w:r>
              <w:rPr>
                <w:vertAlign w:val="superscript"/>
              </w:rPr>
              <w:t>-6</w:t>
            </w:r>
            <w:r>
              <w:t xml:space="preserve"> /a</w:t>
            </w:r>
          </w:p>
          <w:p w14:paraId="13B6C177">
            <w:pPr>
              <w:pStyle w:val="557"/>
            </w:pPr>
            <w:r>
              <w:t>5.00</w:t>
            </w:r>
            <w:r>
              <w:rPr>
                <w:rFonts w:hint="eastAsia"/>
              </w:rPr>
              <w:t>×</w:t>
            </w:r>
            <w:r>
              <w:t>10</w:t>
            </w:r>
            <w:r>
              <w:rPr>
                <w:vertAlign w:val="superscript"/>
              </w:rPr>
              <w:t>-6</w:t>
            </w:r>
            <w:r>
              <w:t xml:space="preserve"> /a</w:t>
            </w:r>
          </w:p>
        </w:tc>
      </w:tr>
      <w:tr w14:paraId="70BE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77" w:type="dxa"/>
            <w:vAlign w:val="center"/>
          </w:tcPr>
          <w:p w14:paraId="648F153C">
            <w:pPr>
              <w:pStyle w:val="557"/>
            </w:pPr>
            <w:r>
              <w:rPr>
                <w:rFonts w:hint="eastAsia"/>
              </w:rPr>
              <w:t>内径≤</w:t>
            </w:r>
            <w:r>
              <w:t>75mm</w:t>
            </w:r>
            <w:r>
              <w:rPr>
                <w:rFonts w:hint="eastAsia"/>
              </w:rPr>
              <w:t>的管道</w:t>
            </w:r>
          </w:p>
        </w:tc>
        <w:tc>
          <w:tcPr>
            <w:tcW w:w="3334" w:type="dxa"/>
            <w:vAlign w:val="center"/>
          </w:tcPr>
          <w:p w14:paraId="602E79D5">
            <w:pPr>
              <w:pStyle w:val="557"/>
            </w:pPr>
            <w:r>
              <w:rPr>
                <w:rFonts w:hint="eastAsia"/>
              </w:rPr>
              <w:t>泄漏孔径为</w:t>
            </w:r>
            <w:r>
              <w:t>10%</w:t>
            </w:r>
            <w:r>
              <w:rPr>
                <w:rFonts w:hint="eastAsia"/>
              </w:rPr>
              <w:t>孔径</w:t>
            </w:r>
          </w:p>
          <w:p w14:paraId="7204D4D1">
            <w:pPr>
              <w:pStyle w:val="557"/>
            </w:pPr>
            <w:r>
              <w:rPr>
                <w:rFonts w:hint="eastAsia"/>
              </w:rPr>
              <w:t>全管径泄漏</w:t>
            </w:r>
          </w:p>
        </w:tc>
        <w:tc>
          <w:tcPr>
            <w:tcW w:w="2225" w:type="dxa"/>
            <w:vAlign w:val="center"/>
          </w:tcPr>
          <w:p w14:paraId="3E653A1B">
            <w:pPr>
              <w:pStyle w:val="557"/>
            </w:pPr>
            <w:r>
              <w:t>5.00</w:t>
            </w:r>
            <w:r>
              <w:rPr>
                <w:rFonts w:hint="eastAsia"/>
              </w:rPr>
              <w:t>×</w:t>
            </w:r>
            <w:r>
              <w:t>10</w:t>
            </w:r>
            <w:r>
              <w:rPr>
                <w:vertAlign w:val="superscript"/>
              </w:rPr>
              <w:t xml:space="preserve">-6 </w:t>
            </w:r>
            <w:r>
              <w:t>/</w:t>
            </w:r>
            <w:r>
              <w:rPr>
                <w:rFonts w:hint="eastAsia"/>
              </w:rPr>
              <w:t>（</w:t>
            </w:r>
            <w:r>
              <w:t>m</w:t>
            </w:r>
            <w:r>
              <w:rPr>
                <w:rFonts w:hint="eastAsia"/>
              </w:rPr>
              <w:t>·</w:t>
            </w:r>
            <w:r>
              <w:t>a</w:t>
            </w:r>
            <w:r>
              <w:rPr>
                <w:rFonts w:hint="eastAsia"/>
              </w:rPr>
              <w:t>）</w:t>
            </w:r>
          </w:p>
          <w:p w14:paraId="4C72F21A">
            <w:pPr>
              <w:pStyle w:val="557"/>
            </w:pPr>
            <w:r>
              <w:t>1.00</w:t>
            </w:r>
            <w:r>
              <w:rPr>
                <w:rFonts w:hint="eastAsia"/>
              </w:rPr>
              <w:t>×</w:t>
            </w:r>
            <w:r>
              <w:t>10</w:t>
            </w:r>
            <w:r>
              <w:rPr>
                <w:vertAlign w:val="superscript"/>
              </w:rPr>
              <w:t xml:space="preserve">-6 </w:t>
            </w:r>
            <w:r>
              <w:t>/</w:t>
            </w:r>
            <w:r>
              <w:rPr>
                <w:rFonts w:hint="eastAsia"/>
              </w:rPr>
              <w:t>（</w:t>
            </w:r>
            <w:r>
              <w:t>m</w:t>
            </w:r>
            <w:r>
              <w:rPr>
                <w:rFonts w:hint="eastAsia"/>
              </w:rPr>
              <w:t>·</w:t>
            </w:r>
            <w:r>
              <w:t>a</w:t>
            </w:r>
            <w:r>
              <w:rPr>
                <w:rFonts w:hint="eastAsia"/>
              </w:rPr>
              <w:t>）</w:t>
            </w:r>
          </w:p>
        </w:tc>
      </w:tr>
      <w:tr w14:paraId="56E3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77" w:type="dxa"/>
            <w:vAlign w:val="center"/>
          </w:tcPr>
          <w:p w14:paraId="5F6DF04D">
            <w:pPr>
              <w:pStyle w:val="557"/>
            </w:pPr>
            <w:r>
              <w:rPr>
                <w:rFonts w:hint="eastAsia"/>
              </w:rPr>
              <w:t>75mm＜内径≤150mm 的管道</w:t>
            </w:r>
          </w:p>
        </w:tc>
        <w:tc>
          <w:tcPr>
            <w:tcW w:w="3334" w:type="dxa"/>
            <w:vAlign w:val="center"/>
          </w:tcPr>
          <w:p w14:paraId="17A892EA">
            <w:pPr>
              <w:pStyle w:val="557"/>
            </w:pPr>
            <w:r>
              <w:rPr>
                <w:rFonts w:hint="eastAsia"/>
              </w:rPr>
              <w:t>泄漏孔径为</w:t>
            </w:r>
            <w:r>
              <w:t>10%</w:t>
            </w:r>
            <w:r>
              <w:rPr>
                <w:rFonts w:hint="eastAsia"/>
              </w:rPr>
              <w:t>孔径</w:t>
            </w:r>
          </w:p>
          <w:p w14:paraId="3918E5C9">
            <w:pPr>
              <w:pStyle w:val="557"/>
            </w:pPr>
            <w:r>
              <w:rPr>
                <w:rFonts w:hint="eastAsia"/>
              </w:rPr>
              <w:t>全管径泄漏</w:t>
            </w:r>
          </w:p>
        </w:tc>
        <w:tc>
          <w:tcPr>
            <w:tcW w:w="2225" w:type="dxa"/>
            <w:vAlign w:val="center"/>
          </w:tcPr>
          <w:p w14:paraId="0B343480">
            <w:pPr>
              <w:pStyle w:val="557"/>
            </w:pPr>
            <w:r>
              <w:t>2.00</w:t>
            </w:r>
            <w:r>
              <w:rPr>
                <w:rFonts w:hint="eastAsia"/>
              </w:rPr>
              <w:t>×</w:t>
            </w:r>
            <w:r>
              <w:t>10</w:t>
            </w:r>
            <w:r>
              <w:rPr>
                <w:vertAlign w:val="superscript"/>
              </w:rPr>
              <w:t>-6</w:t>
            </w:r>
            <w:r>
              <w:t xml:space="preserve"> /</w:t>
            </w:r>
            <w:r>
              <w:rPr>
                <w:rFonts w:hint="eastAsia"/>
              </w:rPr>
              <w:t>（</w:t>
            </w:r>
            <w:r>
              <w:t>m</w:t>
            </w:r>
            <w:r>
              <w:rPr>
                <w:rFonts w:hint="eastAsia"/>
              </w:rPr>
              <w:t>·</w:t>
            </w:r>
            <w:r>
              <w:t>a</w:t>
            </w:r>
            <w:r>
              <w:rPr>
                <w:rFonts w:hint="eastAsia"/>
              </w:rPr>
              <w:t>）</w:t>
            </w:r>
          </w:p>
          <w:p w14:paraId="6CCEDC3A">
            <w:pPr>
              <w:pStyle w:val="557"/>
            </w:pPr>
            <w:r>
              <w:t>3.00</w:t>
            </w:r>
            <w:r>
              <w:rPr>
                <w:rFonts w:hint="eastAsia"/>
              </w:rPr>
              <w:t>×</w:t>
            </w:r>
            <w:r>
              <w:t>10</w:t>
            </w:r>
            <w:r>
              <w:rPr>
                <w:vertAlign w:val="superscript"/>
              </w:rPr>
              <w:t>-7</w:t>
            </w:r>
            <w:r>
              <w:t xml:space="preserve"> /</w:t>
            </w:r>
            <w:r>
              <w:rPr>
                <w:rFonts w:hint="eastAsia"/>
              </w:rPr>
              <w:t>（</w:t>
            </w:r>
            <w:r>
              <w:t>m</w:t>
            </w:r>
            <w:r>
              <w:rPr>
                <w:rFonts w:hint="eastAsia"/>
              </w:rPr>
              <w:t>·</w:t>
            </w:r>
            <w:r>
              <w:t>a</w:t>
            </w:r>
            <w:r>
              <w:rPr>
                <w:rFonts w:hint="eastAsia"/>
              </w:rPr>
              <w:t>）</w:t>
            </w:r>
          </w:p>
        </w:tc>
      </w:tr>
      <w:tr w14:paraId="7E0E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77" w:type="dxa"/>
            <w:vAlign w:val="center"/>
          </w:tcPr>
          <w:p w14:paraId="738E69C3">
            <w:pPr>
              <w:pStyle w:val="557"/>
            </w:pPr>
            <w:r>
              <w:rPr>
                <w:rFonts w:hint="eastAsia"/>
              </w:rPr>
              <w:t>内径＞</w:t>
            </w:r>
            <w:r>
              <w:t>150mm</w:t>
            </w:r>
            <w:r>
              <w:rPr>
                <w:rFonts w:hint="eastAsia"/>
              </w:rPr>
              <w:t>的管道</w:t>
            </w:r>
          </w:p>
        </w:tc>
        <w:tc>
          <w:tcPr>
            <w:tcW w:w="3334" w:type="dxa"/>
            <w:vAlign w:val="center"/>
          </w:tcPr>
          <w:p w14:paraId="397C5593">
            <w:pPr>
              <w:pStyle w:val="557"/>
            </w:pPr>
            <w:r>
              <w:rPr>
                <w:rFonts w:hint="eastAsia"/>
              </w:rPr>
              <w:t>泄漏孔径为</w:t>
            </w:r>
            <w:r>
              <w:t>10%</w:t>
            </w:r>
            <w:r>
              <w:rPr>
                <w:rFonts w:hint="eastAsia"/>
              </w:rPr>
              <w:t>孔径（最大</w:t>
            </w:r>
            <w:r>
              <w:t>50 mm</w:t>
            </w:r>
            <w:r>
              <w:rPr>
                <w:rFonts w:hint="eastAsia"/>
              </w:rPr>
              <w:t>）</w:t>
            </w:r>
          </w:p>
        </w:tc>
        <w:tc>
          <w:tcPr>
            <w:tcW w:w="2225" w:type="dxa"/>
            <w:vAlign w:val="center"/>
          </w:tcPr>
          <w:p w14:paraId="71EBCC6E">
            <w:pPr>
              <w:pStyle w:val="557"/>
            </w:pPr>
            <w:r>
              <w:t>2.40</w:t>
            </w:r>
            <w:r>
              <w:rPr>
                <w:rFonts w:hint="eastAsia"/>
              </w:rPr>
              <w:t>×</w:t>
            </w:r>
            <w:r>
              <w:t>10</w:t>
            </w:r>
            <w:r>
              <w:rPr>
                <w:vertAlign w:val="superscript"/>
              </w:rPr>
              <w:t>-6</w:t>
            </w:r>
            <w:r>
              <w:t xml:space="preserve"> /</w:t>
            </w:r>
            <w:r>
              <w:rPr>
                <w:rFonts w:hint="eastAsia"/>
              </w:rPr>
              <w:t>（</w:t>
            </w:r>
            <w:r>
              <w:t>m</w:t>
            </w:r>
            <w:r>
              <w:rPr>
                <w:rFonts w:hint="eastAsia"/>
              </w:rPr>
              <w:t>·</w:t>
            </w:r>
            <w:r>
              <w:t>a</w:t>
            </w:r>
            <w:r>
              <w:rPr>
                <w:rFonts w:hint="eastAsia"/>
              </w:rPr>
              <w:t>）</w:t>
            </w:r>
          </w:p>
        </w:tc>
      </w:tr>
    </w:tbl>
    <w:p w14:paraId="0E0216D6">
      <w:pPr>
        <w:pStyle w:val="585"/>
        <w:ind w:firstLine="400"/>
        <w:rPr>
          <w:rFonts w:hint="eastAsia"/>
        </w:rPr>
      </w:pPr>
    </w:p>
    <w:p w14:paraId="0132D235">
      <w:pPr>
        <w:pStyle w:val="97"/>
        <w:rPr>
          <w:rFonts w:hint="eastAsia"/>
        </w:rPr>
      </w:pPr>
      <w:r>
        <w:rPr>
          <w:rFonts w:hint="eastAsia"/>
        </w:rPr>
        <w:t>源项分析</w:t>
      </w:r>
    </w:p>
    <w:p w14:paraId="15B6F327">
      <w:pPr>
        <w:pStyle w:val="98"/>
        <w:rPr>
          <w:rFonts w:hint="eastAsia"/>
          <w:color w:val="auto"/>
        </w:rPr>
      </w:pPr>
      <w:r>
        <w:rPr>
          <w:rFonts w:hint="eastAsia"/>
          <w:color w:val="auto"/>
        </w:rPr>
        <w:t>煤气泄漏事故</w:t>
      </w:r>
    </w:p>
    <w:p w14:paraId="269AE5FA">
      <w:pPr>
        <w:pStyle w:val="281"/>
        <w:ind w:firstLine="480"/>
      </w:pPr>
      <w:r>
        <w:rPr>
          <w:rFonts w:hint="eastAsia"/>
        </w:rPr>
        <w:t>假定煤气输送管线法兰处发生破损，泄漏的气体为煤气（主要成分CO</w:t>
      </w:r>
      <w:r>
        <w:t>、</w:t>
      </w:r>
      <w:r>
        <w:rPr>
          <w:rFonts w:hint="eastAsia"/>
        </w:rPr>
        <w:t>H</w:t>
      </w:r>
      <w:r>
        <w:rPr>
          <w:rFonts w:hint="eastAsia"/>
          <w:vertAlign w:val="subscript"/>
        </w:rPr>
        <w:t>2</w:t>
      </w:r>
      <w:r>
        <w:rPr>
          <w:rFonts w:hint="eastAsia"/>
        </w:rPr>
        <w:t>），孔</w:t>
      </w:r>
      <w:r>
        <w:rPr>
          <w:rFonts w:hint="eastAsia" w:ascii="宋体" w:hAnsi="宋体"/>
        </w:rPr>
        <w:t>径发</w:t>
      </w:r>
      <w:r>
        <w:rPr>
          <w:rFonts w:hint="eastAsia"/>
        </w:rPr>
        <w:t>生5mm</w:t>
      </w:r>
      <w:r>
        <w:rPr>
          <w:rFonts w:hint="eastAsia" w:ascii="宋体" w:hAnsi="宋体"/>
        </w:rPr>
        <w:t>泄漏，根据可行性研究报告，管线操作温度：</w:t>
      </w:r>
      <w:r>
        <w:rPr>
          <w:rFonts w:hint="eastAsia"/>
        </w:rPr>
        <w:t>189℃</w:t>
      </w:r>
      <w:r>
        <w:t>，操作压力：</w:t>
      </w:r>
      <w:r>
        <w:rPr>
          <w:rFonts w:hint="eastAsia"/>
        </w:rPr>
        <w:t>5.0</w:t>
      </w:r>
      <w:r>
        <w:t>MPa。</w:t>
      </w:r>
      <w:r>
        <w:rPr>
          <w:rFonts w:hint="eastAsia" w:ascii="宋体" w:hAnsi="宋体"/>
        </w:rPr>
        <w:t>泄漏发生后紧急启动事故联锁和应急停车程序；泄漏持续</w:t>
      </w:r>
      <w:r>
        <w:rPr>
          <w:rFonts w:hint="eastAsia"/>
        </w:rPr>
        <w:t>10min</w:t>
      </w:r>
      <w:r>
        <w:rPr>
          <w:rFonts w:hint="eastAsia" w:ascii="宋体" w:hAnsi="宋体"/>
        </w:rPr>
        <w:t>，全部泄漏进入环境空气。采用导则附录</w:t>
      </w:r>
      <w:r>
        <w:rPr>
          <w:rFonts w:hint="eastAsia"/>
        </w:rPr>
        <w:t>F</w:t>
      </w:r>
      <w:r>
        <w:rPr>
          <w:rFonts w:hint="eastAsia" w:ascii="宋体" w:hAnsi="宋体"/>
        </w:rPr>
        <w:t>公式进行煤气泄漏估算。</w:t>
      </w:r>
    </w:p>
    <w:p w14:paraId="1F757FC0">
      <w:pPr>
        <w:pStyle w:val="281"/>
        <w:ind w:firstLine="480"/>
      </w:pPr>
      <w:r>
        <w:rPr>
          <w:rFonts w:hint="eastAsia" w:ascii="宋体" w:hAnsi="宋体"/>
        </w:rPr>
        <w:t>假定气体的特性是理想气体，气体泄漏速度</w:t>
      </w:r>
      <w:r>
        <w:rPr>
          <w:rFonts w:hint="eastAsia"/>
        </w:rPr>
        <w:t>Q</w:t>
      </w:r>
      <w:r>
        <w:rPr>
          <w:rFonts w:hint="eastAsia"/>
          <w:vertAlign w:val="subscript"/>
        </w:rPr>
        <w:t>G</w:t>
      </w:r>
      <w:r>
        <w:rPr>
          <w:rFonts w:hint="eastAsia" w:ascii="宋体" w:hAnsi="宋体"/>
        </w:rPr>
        <w:t>。</w:t>
      </w:r>
    </w:p>
    <w:p w14:paraId="79B2B55C">
      <w:pPr>
        <w:pStyle w:val="281"/>
        <w:ind w:firstLine="480"/>
        <w:jc w:val="center"/>
      </w:pPr>
      <w:r>
        <w:drawing>
          <wp:inline distT="0" distB="0" distL="0" distR="0">
            <wp:extent cx="2305685" cy="572770"/>
            <wp:effectExtent l="0" t="0" r="18415" b="17780"/>
            <wp:docPr id="4059" name="图片 4059"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 name="图片 4059" descr="文本&#10;&#10;中度可信度描述已自动生成"/>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305685" cy="572770"/>
                    </a:xfrm>
                    <a:prstGeom prst="rect">
                      <a:avLst/>
                    </a:prstGeom>
                    <a:noFill/>
                    <a:ln>
                      <a:noFill/>
                    </a:ln>
                  </pic:spPr>
                </pic:pic>
              </a:graphicData>
            </a:graphic>
          </wp:inline>
        </w:drawing>
      </w:r>
    </w:p>
    <w:p w14:paraId="57E4935A">
      <w:pPr>
        <w:pStyle w:val="281"/>
        <w:ind w:firstLine="480"/>
      </w:pPr>
      <w:r>
        <w:rPr>
          <w:rFonts w:hint="eastAsia" w:ascii="宋体" w:hAnsi="宋体"/>
        </w:rPr>
        <w:t>气体流速在音速范围（临界流）时：</w:t>
      </w:r>
    </w:p>
    <w:p w14:paraId="76F5CEC4">
      <w:pPr>
        <w:pStyle w:val="281"/>
        <w:ind w:firstLine="480"/>
        <w:jc w:val="center"/>
      </w:pPr>
      <w:r>
        <w:drawing>
          <wp:inline distT="0" distB="0" distL="0" distR="0">
            <wp:extent cx="1256030" cy="501015"/>
            <wp:effectExtent l="0" t="0" r="1270" b="13335"/>
            <wp:docPr id="4067" name="图片 4067"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 name="图片 4067" descr="图示&#10;&#10;低可信度描述已自动生成"/>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256030" cy="501015"/>
                    </a:xfrm>
                    <a:prstGeom prst="rect">
                      <a:avLst/>
                    </a:prstGeom>
                    <a:noFill/>
                    <a:ln>
                      <a:noFill/>
                    </a:ln>
                  </pic:spPr>
                </pic:pic>
              </a:graphicData>
            </a:graphic>
          </wp:inline>
        </w:drawing>
      </w:r>
    </w:p>
    <w:p w14:paraId="4F0A24B2">
      <w:pPr>
        <w:pStyle w:val="281"/>
        <w:ind w:firstLine="480"/>
      </w:pPr>
      <w:r>
        <w:rPr>
          <w:rFonts w:hint="eastAsia" w:ascii="宋体" w:hAnsi="宋体"/>
        </w:rPr>
        <w:t>气体流速在亚音速范围（次临界流）时：</w:t>
      </w:r>
    </w:p>
    <w:p w14:paraId="532EA54B">
      <w:pPr>
        <w:pStyle w:val="281"/>
        <w:ind w:firstLine="480"/>
        <w:jc w:val="center"/>
      </w:pPr>
      <w:r>
        <w:drawing>
          <wp:inline distT="0" distB="0" distL="0" distR="0">
            <wp:extent cx="1089025" cy="492760"/>
            <wp:effectExtent l="0" t="0" r="15875" b="2540"/>
            <wp:docPr id="85" name="图片 85" descr="图片包含 物体,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包含 物体, 游戏机, 钟表&#10;&#10;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089025" cy="492760"/>
                    </a:xfrm>
                    <a:prstGeom prst="rect">
                      <a:avLst/>
                    </a:prstGeom>
                    <a:noFill/>
                    <a:ln>
                      <a:noFill/>
                    </a:ln>
                  </pic:spPr>
                </pic:pic>
              </a:graphicData>
            </a:graphic>
          </wp:inline>
        </w:drawing>
      </w:r>
    </w:p>
    <w:p w14:paraId="3F8805EA">
      <w:pPr>
        <w:pStyle w:val="281"/>
        <w:ind w:firstLine="480"/>
      </w:pPr>
      <w:r>
        <w:rPr>
          <w:rFonts w:hint="eastAsia" w:ascii="宋体" w:hAnsi="宋体"/>
        </w:rPr>
        <w:t>式中：</w:t>
      </w:r>
    </w:p>
    <w:p w14:paraId="6057A96A">
      <w:pPr>
        <w:pStyle w:val="281"/>
        <w:ind w:firstLine="840" w:firstLineChars="400"/>
        <w:rPr>
          <w:sz w:val="21"/>
        </w:rPr>
      </w:pPr>
      <w:r>
        <w:rPr>
          <w:sz w:val="21"/>
        </w:rPr>
        <w:t>Q</w:t>
      </w:r>
      <w:r>
        <w:rPr>
          <w:sz w:val="21"/>
          <w:vertAlign w:val="subscript"/>
        </w:rPr>
        <w:t>G</w:t>
      </w:r>
      <w:r>
        <w:rPr>
          <w:sz w:val="21"/>
        </w:rPr>
        <w:t>—</w:t>
      </w:r>
      <w:r>
        <w:rPr>
          <w:rFonts w:hint="eastAsia" w:ascii="宋体" w:hAnsi="宋体"/>
          <w:sz w:val="21"/>
        </w:rPr>
        <w:t>气体泄漏速率，</w:t>
      </w:r>
      <w:r>
        <w:rPr>
          <w:sz w:val="21"/>
        </w:rPr>
        <w:t>kg/s</w:t>
      </w:r>
      <w:r>
        <w:rPr>
          <w:rFonts w:hint="eastAsia" w:ascii="宋体" w:hAnsi="宋体"/>
          <w:sz w:val="21"/>
        </w:rPr>
        <w:t>；</w:t>
      </w:r>
    </w:p>
    <w:p w14:paraId="1E0B2552">
      <w:pPr>
        <w:pStyle w:val="281"/>
        <w:ind w:firstLine="840" w:firstLineChars="400"/>
        <w:rPr>
          <w:sz w:val="21"/>
        </w:rPr>
      </w:pPr>
      <w:r>
        <w:rPr>
          <w:sz w:val="21"/>
        </w:rPr>
        <w:t>P—</w:t>
      </w:r>
      <w:r>
        <w:rPr>
          <w:rFonts w:hint="eastAsia" w:ascii="宋体" w:hAnsi="宋体"/>
          <w:sz w:val="21"/>
        </w:rPr>
        <w:t>容器压力，</w:t>
      </w:r>
      <w:r>
        <w:rPr>
          <w:sz w:val="21"/>
        </w:rPr>
        <w:t>Pa</w:t>
      </w:r>
      <w:r>
        <w:rPr>
          <w:rFonts w:hint="eastAsia" w:ascii="宋体" w:hAnsi="宋体"/>
          <w:sz w:val="21"/>
        </w:rPr>
        <w:t>；</w:t>
      </w:r>
    </w:p>
    <w:p w14:paraId="2CA37E27">
      <w:pPr>
        <w:pStyle w:val="281"/>
        <w:ind w:firstLine="840" w:firstLineChars="400"/>
        <w:rPr>
          <w:sz w:val="21"/>
        </w:rPr>
      </w:pPr>
      <w:r>
        <w:rPr>
          <w:sz w:val="21"/>
        </w:rPr>
        <w:t>P</w:t>
      </w:r>
      <w:r>
        <w:rPr>
          <w:sz w:val="21"/>
          <w:vertAlign w:val="subscript"/>
        </w:rPr>
        <w:t>0</w:t>
      </w:r>
      <w:r>
        <w:rPr>
          <w:sz w:val="21"/>
        </w:rPr>
        <w:t>—</w:t>
      </w:r>
      <w:r>
        <w:rPr>
          <w:rFonts w:hint="eastAsia" w:ascii="宋体" w:hAnsi="宋体"/>
          <w:sz w:val="21"/>
        </w:rPr>
        <w:t>环境压力，</w:t>
      </w:r>
      <w:r>
        <w:rPr>
          <w:sz w:val="21"/>
        </w:rPr>
        <w:t>Pa</w:t>
      </w:r>
      <w:r>
        <w:rPr>
          <w:rFonts w:hint="eastAsia" w:ascii="宋体" w:hAnsi="宋体"/>
          <w:sz w:val="21"/>
        </w:rPr>
        <w:t>；</w:t>
      </w:r>
    </w:p>
    <w:p w14:paraId="172B5CF6">
      <w:pPr>
        <w:pStyle w:val="281"/>
        <w:ind w:firstLine="840" w:firstLineChars="400"/>
        <w:rPr>
          <w:sz w:val="21"/>
        </w:rPr>
      </w:pPr>
      <w:r>
        <w:rPr>
          <w:sz w:val="21"/>
        </w:rPr>
        <w:t>γ—</w:t>
      </w:r>
      <w:r>
        <w:rPr>
          <w:rFonts w:hint="eastAsia" w:ascii="宋体" w:hAnsi="宋体"/>
          <w:sz w:val="21"/>
        </w:rPr>
        <w:t>气体的绝热指数（热容比，此处取</w:t>
      </w:r>
      <w:r>
        <w:rPr>
          <w:sz w:val="21"/>
        </w:rPr>
        <w:t>1.4</w:t>
      </w:r>
      <w:r>
        <w:rPr>
          <w:rFonts w:hint="eastAsia" w:ascii="宋体" w:hAnsi="宋体"/>
          <w:sz w:val="21"/>
        </w:rPr>
        <w:t>），即定压热容</w:t>
      </w:r>
      <w:r>
        <w:rPr>
          <w:sz w:val="21"/>
        </w:rPr>
        <w:t>C</w:t>
      </w:r>
      <w:r>
        <w:rPr>
          <w:sz w:val="21"/>
          <w:vertAlign w:val="subscript"/>
        </w:rPr>
        <w:t>p</w:t>
      </w:r>
      <w:r>
        <w:rPr>
          <w:rFonts w:hint="eastAsia" w:ascii="宋体" w:hAnsi="宋体"/>
          <w:sz w:val="21"/>
        </w:rPr>
        <w:t>与定容热容</w:t>
      </w:r>
      <w:r>
        <w:rPr>
          <w:sz w:val="21"/>
        </w:rPr>
        <w:t>C</w:t>
      </w:r>
      <w:r>
        <w:rPr>
          <w:sz w:val="21"/>
          <w:vertAlign w:val="subscript"/>
        </w:rPr>
        <w:t>V</w:t>
      </w:r>
      <w:r>
        <w:rPr>
          <w:rFonts w:hint="eastAsia" w:ascii="宋体" w:hAnsi="宋体"/>
          <w:sz w:val="21"/>
        </w:rPr>
        <w:t>之比；</w:t>
      </w:r>
    </w:p>
    <w:p w14:paraId="759A0515">
      <w:pPr>
        <w:pStyle w:val="281"/>
        <w:ind w:firstLine="840" w:firstLineChars="400"/>
        <w:rPr>
          <w:sz w:val="21"/>
        </w:rPr>
      </w:pPr>
      <w:r>
        <w:rPr>
          <w:sz w:val="21"/>
        </w:rPr>
        <w:t>C</w:t>
      </w:r>
      <w:r>
        <w:rPr>
          <w:sz w:val="21"/>
          <w:vertAlign w:val="subscript"/>
        </w:rPr>
        <w:t>d</w:t>
      </w:r>
      <w:r>
        <w:rPr>
          <w:sz w:val="21"/>
        </w:rPr>
        <w:t>—</w:t>
      </w:r>
      <w:r>
        <w:rPr>
          <w:rFonts w:hint="eastAsia" w:ascii="宋体" w:hAnsi="宋体"/>
          <w:sz w:val="21"/>
        </w:rPr>
        <w:t>气体泄漏系数。当裂口形状为圆形时取</w:t>
      </w:r>
      <w:r>
        <w:rPr>
          <w:sz w:val="21"/>
        </w:rPr>
        <w:t>1.00</w:t>
      </w:r>
      <w:r>
        <w:rPr>
          <w:rFonts w:hint="eastAsia" w:ascii="宋体" w:hAnsi="宋体"/>
          <w:sz w:val="21"/>
        </w:rPr>
        <w:t>，三角形时取</w:t>
      </w:r>
      <w:r>
        <w:rPr>
          <w:sz w:val="21"/>
        </w:rPr>
        <w:t>0.95</w:t>
      </w:r>
      <w:r>
        <w:rPr>
          <w:rFonts w:hint="eastAsia" w:ascii="宋体" w:hAnsi="宋体"/>
          <w:sz w:val="21"/>
        </w:rPr>
        <w:t>，长方形时取</w:t>
      </w:r>
      <w:r>
        <w:rPr>
          <w:sz w:val="21"/>
        </w:rPr>
        <w:t>0.90</w:t>
      </w:r>
      <w:r>
        <w:rPr>
          <w:rFonts w:hint="eastAsia" w:ascii="宋体" w:hAnsi="宋体"/>
          <w:sz w:val="21"/>
        </w:rPr>
        <w:t>；</w:t>
      </w:r>
    </w:p>
    <w:p w14:paraId="30C1EDEA">
      <w:pPr>
        <w:pStyle w:val="281"/>
        <w:ind w:firstLine="840" w:firstLineChars="400"/>
        <w:rPr>
          <w:sz w:val="21"/>
        </w:rPr>
      </w:pPr>
      <w:r>
        <w:rPr>
          <w:sz w:val="21"/>
        </w:rPr>
        <w:t>M—</w:t>
      </w:r>
      <w:r>
        <w:rPr>
          <w:rFonts w:hint="eastAsia" w:ascii="宋体" w:hAnsi="宋体"/>
          <w:sz w:val="21"/>
        </w:rPr>
        <w:t>分子量；</w:t>
      </w:r>
    </w:p>
    <w:p w14:paraId="1AD10A71">
      <w:pPr>
        <w:pStyle w:val="281"/>
        <w:ind w:firstLine="840" w:firstLineChars="400"/>
        <w:rPr>
          <w:sz w:val="21"/>
        </w:rPr>
      </w:pPr>
      <w:r>
        <w:rPr>
          <w:sz w:val="21"/>
        </w:rPr>
        <w:t>R—</w:t>
      </w:r>
      <w:r>
        <w:rPr>
          <w:rFonts w:hint="eastAsia" w:ascii="宋体" w:hAnsi="宋体"/>
          <w:sz w:val="21"/>
        </w:rPr>
        <w:t>气体常数，</w:t>
      </w:r>
      <w:r>
        <w:rPr>
          <w:sz w:val="21"/>
        </w:rPr>
        <w:t>J/</w:t>
      </w:r>
      <w:r>
        <w:rPr>
          <w:rFonts w:hint="eastAsia" w:ascii="宋体" w:hAnsi="宋体"/>
          <w:sz w:val="21"/>
        </w:rPr>
        <w:t>（</w:t>
      </w:r>
      <w:r>
        <w:rPr>
          <w:sz w:val="21"/>
        </w:rPr>
        <w:t>mol·K</w:t>
      </w:r>
      <w:r>
        <w:rPr>
          <w:rFonts w:hint="eastAsia" w:ascii="宋体" w:hAnsi="宋体"/>
          <w:sz w:val="21"/>
        </w:rPr>
        <w:t>）；</w:t>
      </w:r>
    </w:p>
    <w:p w14:paraId="608A621F">
      <w:pPr>
        <w:pStyle w:val="281"/>
        <w:ind w:firstLine="840" w:firstLineChars="400"/>
        <w:rPr>
          <w:sz w:val="21"/>
        </w:rPr>
      </w:pPr>
      <w:r>
        <w:rPr>
          <w:sz w:val="21"/>
        </w:rPr>
        <w:t>T</w:t>
      </w:r>
      <w:r>
        <w:rPr>
          <w:sz w:val="21"/>
          <w:vertAlign w:val="subscript"/>
        </w:rPr>
        <w:t>G</w:t>
      </w:r>
      <w:r>
        <w:rPr>
          <w:sz w:val="21"/>
        </w:rPr>
        <w:t>—</w:t>
      </w:r>
      <w:r>
        <w:rPr>
          <w:rFonts w:hint="eastAsia" w:ascii="宋体" w:hAnsi="宋体"/>
          <w:sz w:val="21"/>
        </w:rPr>
        <w:t>气体温度，</w:t>
      </w:r>
      <w:r>
        <w:rPr>
          <w:sz w:val="21"/>
        </w:rPr>
        <w:t>K</w:t>
      </w:r>
      <w:r>
        <w:rPr>
          <w:rFonts w:hint="eastAsia" w:ascii="宋体" w:hAnsi="宋体"/>
          <w:sz w:val="21"/>
        </w:rPr>
        <w:t>；</w:t>
      </w:r>
    </w:p>
    <w:p w14:paraId="37E32DA2">
      <w:pPr>
        <w:pStyle w:val="281"/>
        <w:ind w:firstLine="840" w:firstLineChars="400"/>
        <w:rPr>
          <w:sz w:val="21"/>
        </w:rPr>
      </w:pPr>
      <w:r>
        <w:rPr>
          <w:sz w:val="21"/>
        </w:rPr>
        <w:t>A—</w:t>
      </w:r>
      <w:r>
        <w:rPr>
          <w:rFonts w:hint="eastAsia" w:ascii="宋体" w:hAnsi="宋体"/>
          <w:sz w:val="21"/>
        </w:rPr>
        <w:t>裂口面积，</w:t>
      </w:r>
      <w:r>
        <w:rPr>
          <w:sz w:val="21"/>
        </w:rPr>
        <w:t>m</w:t>
      </w:r>
      <w:r>
        <w:rPr>
          <w:sz w:val="21"/>
          <w:vertAlign w:val="superscript"/>
        </w:rPr>
        <w:t>2</w:t>
      </w:r>
      <w:r>
        <w:rPr>
          <w:rFonts w:hint="eastAsia" w:ascii="宋体" w:hAnsi="宋体"/>
          <w:sz w:val="21"/>
        </w:rPr>
        <w:t>；</w:t>
      </w:r>
    </w:p>
    <w:p w14:paraId="215A68AF">
      <w:pPr>
        <w:pStyle w:val="281"/>
        <w:ind w:firstLine="840" w:firstLineChars="400"/>
        <w:rPr>
          <w:sz w:val="21"/>
        </w:rPr>
      </w:pPr>
      <w:r>
        <w:rPr>
          <w:sz w:val="21"/>
        </w:rPr>
        <w:t>Y—</w:t>
      </w:r>
      <w:r>
        <w:rPr>
          <w:rFonts w:hint="eastAsia" w:ascii="宋体" w:hAnsi="宋体"/>
          <w:sz w:val="21"/>
        </w:rPr>
        <w:t>流出系数，对于临界流</w:t>
      </w:r>
      <w:r>
        <w:rPr>
          <w:sz w:val="21"/>
        </w:rPr>
        <w:t>Y=1.0</w:t>
      </w:r>
      <w:r>
        <w:rPr>
          <w:rFonts w:hint="eastAsia" w:ascii="宋体" w:hAnsi="宋体"/>
          <w:sz w:val="21"/>
        </w:rPr>
        <w:t>；</w:t>
      </w:r>
    </w:p>
    <w:p w14:paraId="246ECA55">
      <w:pPr>
        <w:pStyle w:val="281"/>
        <w:ind w:firstLine="480"/>
      </w:pPr>
      <w:r>
        <w:rPr>
          <w:rFonts w:hint="eastAsia" w:ascii="宋体" w:hAnsi="宋体"/>
        </w:rPr>
        <w:t>对于次临界流按下式计算：</w:t>
      </w:r>
    </w:p>
    <w:p w14:paraId="4954E0AA">
      <w:pPr>
        <w:pStyle w:val="281"/>
        <w:ind w:firstLine="480"/>
        <w:jc w:val="center"/>
      </w:pPr>
      <w:r>
        <w:object>
          <v:shape id="_x0000_i1050" o:spt="75" type="#_x0000_t75" style="height:64.5pt;width:258.75pt;" o:ole="t" filled="f" o:preferrelative="t" stroked="f" coordsize="21600,21600">
            <v:path/>
            <v:fill on="f" focussize="0,0"/>
            <v:stroke on="f" joinstyle="miter"/>
            <v:imagedata r:id="rId91" o:title=""/>
            <o:lock v:ext="edit" aspectratio="t"/>
            <w10:wrap type="none"/>
            <w10:anchorlock/>
          </v:shape>
          <o:OLEObject Type="Embed" ProgID="Equation.3" ShapeID="_x0000_i1050" DrawAspect="Content" ObjectID="_1468075750" r:id="rId90">
            <o:LockedField>false</o:LockedField>
          </o:OLEObject>
        </w:object>
      </w:r>
    </w:p>
    <w:p w14:paraId="583BC607">
      <w:pPr>
        <w:pStyle w:val="281"/>
        <w:ind w:firstLine="480"/>
      </w:pPr>
      <w:r>
        <w:rPr>
          <w:rFonts w:hint="eastAsia"/>
        </w:rPr>
        <w:t>根据上述情景设定，计算出</w:t>
      </w:r>
      <w:r>
        <w:t>C</w:t>
      </w:r>
      <w:r>
        <w:rPr>
          <w:rFonts w:hint="eastAsia"/>
        </w:rPr>
        <w:t>O泄漏事故源强见表7</w:t>
      </w:r>
      <w:r>
        <w:t>.6.2-1</w:t>
      </w:r>
      <w:r>
        <w:rPr>
          <w:rFonts w:hint="eastAsia"/>
        </w:rPr>
        <w:t>。</w:t>
      </w:r>
    </w:p>
    <w:p w14:paraId="0828E672">
      <w:pPr>
        <w:pStyle w:val="535"/>
        <w:rPr>
          <w:rFonts w:hint="eastAsia"/>
          <w:color w:val="auto"/>
        </w:rPr>
      </w:pPr>
      <w:r>
        <w:rPr>
          <w:rFonts w:hint="eastAsia"/>
          <w:color w:val="auto"/>
        </w:rPr>
        <w:t>表</w:t>
      </w:r>
      <w:r>
        <w:rPr>
          <w:color w:val="auto"/>
        </w:rPr>
        <w:t xml:space="preserve">7.6.2-1    </w:t>
      </w:r>
      <w:r>
        <w:rPr>
          <w:rFonts w:hint="eastAsia"/>
          <w:color w:val="auto"/>
        </w:rPr>
        <w:t>CO泄漏风险事故源强一览表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507"/>
        <w:gridCol w:w="1749"/>
        <w:gridCol w:w="1747"/>
        <w:gridCol w:w="1312"/>
        <w:gridCol w:w="1244"/>
      </w:tblGrid>
      <w:tr w14:paraId="2B9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5" w:type="pct"/>
            <w:vAlign w:val="center"/>
          </w:tcPr>
          <w:p w14:paraId="241D461C">
            <w:pPr>
              <w:pStyle w:val="557"/>
            </w:pPr>
            <w:r>
              <w:rPr>
                <w:rFonts w:hint="eastAsia"/>
              </w:rPr>
              <w:t>设备</w:t>
            </w:r>
          </w:p>
        </w:tc>
        <w:tc>
          <w:tcPr>
            <w:tcW w:w="884" w:type="pct"/>
            <w:vAlign w:val="center"/>
          </w:tcPr>
          <w:p w14:paraId="12175779">
            <w:pPr>
              <w:pStyle w:val="557"/>
            </w:pPr>
            <w:r>
              <w:rPr>
                <w:rFonts w:hint="eastAsia"/>
              </w:rPr>
              <w:t>参数</w:t>
            </w:r>
          </w:p>
        </w:tc>
        <w:tc>
          <w:tcPr>
            <w:tcW w:w="1026" w:type="pct"/>
            <w:vAlign w:val="center"/>
          </w:tcPr>
          <w:p w14:paraId="24837262">
            <w:pPr>
              <w:pStyle w:val="557"/>
            </w:pPr>
            <w:r>
              <w:rPr>
                <w:rFonts w:hint="eastAsia"/>
              </w:rPr>
              <w:t>操作条件</w:t>
            </w:r>
          </w:p>
        </w:tc>
        <w:tc>
          <w:tcPr>
            <w:tcW w:w="1025" w:type="pct"/>
            <w:vAlign w:val="center"/>
          </w:tcPr>
          <w:p w14:paraId="61C7E0A2">
            <w:pPr>
              <w:pStyle w:val="557"/>
            </w:pPr>
            <w:r>
              <w:rPr>
                <w:rFonts w:hint="eastAsia"/>
              </w:rPr>
              <w:t>泄漏速率</w:t>
            </w:r>
            <w:r>
              <w:t>kg/s</w:t>
            </w:r>
          </w:p>
        </w:tc>
        <w:tc>
          <w:tcPr>
            <w:tcW w:w="770" w:type="pct"/>
            <w:vAlign w:val="center"/>
          </w:tcPr>
          <w:p w14:paraId="4C01882F">
            <w:pPr>
              <w:pStyle w:val="557"/>
            </w:pPr>
            <w:r>
              <w:rPr>
                <w:rFonts w:hint="eastAsia"/>
              </w:rPr>
              <w:t>释放时间</w:t>
            </w:r>
            <w:r>
              <w:t>min</w:t>
            </w:r>
          </w:p>
        </w:tc>
        <w:tc>
          <w:tcPr>
            <w:tcW w:w="730" w:type="pct"/>
            <w:vAlign w:val="center"/>
          </w:tcPr>
          <w:p w14:paraId="71D24B0A">
            <w:pPr>
              <w:pStyle w:val="557"/>
            </w:pPr>
            <w:r>
              <w:rPr>
                <w:rFonts w:hint="eastAsia"/>
              </w:rPr>
              <w:t>释放高度</w:t>
            </w:r>
            <w:r>
              <w:t>m</w:t>
            </w:r>
          </w:p>
        </w:tc>
      </w:tr>
      <w:tr w14:paraId="7E1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5" w:type="pct"/>
            <w:vAlign w:val="center"/>
          </w:tcPr>
          <w:p w14:paraId="26715B69">
            <w:pPr>
              <w:pStyle w:val="557"/>
            </w:pPr>
            <w:r>
              <w:rPr>
                <w:rFonts w:hint="eastAsia"/>
              </w:rPr>
              <w:t>煤气管线</w:t>
            </w:r>
          </w:p>
        </w:tc>
        <w:tc>
          <w:tcPr>
            <w:tcW w:w="884" w:type="pct"/>
            <w:vAlign w:val="center"/>
          </w:tcPr>
          <w:p w14:paraId="65CC96F8">
            <w:pPr>
              <w:pStyle w:val="557"/>
            </w:pPr>
            <w:r>
              <w:rPr>
                <w:rFonts w:hint="eastAsia"/>
              </w:rPr>
              <w:t>泄漏孔径5</w:t>
            </w:r>
            <w:r>
              <w:t>mm</w:t>
            </w:r>
          </w:p>
        </w:tc>
        <w:tc>
          <w:tcPr>
            <w:tcW w:w="1026" w:type="pct"/>
            <w:vAlign w:val="center"/>
          </w:tcPr>
          <w:p w14:paraId="74C8A166">
            <w:pPr>
              <w:pStyle w:val="557"/>
            </w:pPr>
            <w:r>
              <w:rPr>
                <w:rFonts w:hint="eastAsia"/>
              </w:rPr>
              <w:t>189</w:t>
            </w:r>
            <w:r>
              <w:t>℃</w:t>
            </w:r>
            <w:r>
              <w:rPr>
                <w:rFonts w:hint="eastAsia"/>
              </w:rPr>
              <w:t>、5.0</w:t>
            </w:r>
            <w:r>
              <w:t>MPa</w:t>
            </w:r>
          </w:p>
        </w:tc>
        <w:tc>
          <w:tcPr>
            <w:tcW w:w="1025" w:type="pct"/>
            <w:vAlign w:val="center"/>
          </w:tcPr>
          <w:p w14:paraId="4FE4C92E">
            <w:pPr>
              <w:pStyle w:val="557"/>
            </w:pPr>
            <w:r>
              <w:rPr>
                <w:rFonts w:hint="eastAsia"/>
              </w:rPr>
              <w:t>4.89</w:t>
            </w:r>
          </w:p>
        </w:tc>
        <w:tc>
          <w:tcPr>
            <w:tcW w:w="770" w:type="pct"/>
            <w:vAlign w:val="center"/>
          </w:tcPr>
          <w:p w14:paraId="1706BEC2">
            <w:pPr>
              <w:pStyle w:val="557"/>
            </w:pPr>
            <w:r>
              <w:t>10</w:t>
            </w:r>
          </w:p>
        </w:tc>
        <w:tc>
          <w:tcPr>
            <w:tcW w:w="730" w:type="pct"/>
            <w:vAlign w:val="center"/>
          </w:tcPr>
          <w:p w14:paraId="78D0D22B">
            <w:pPr>
              <w:pStyle w:val="557"/>
            </w:pPr>
            <w:r>
              <w:rPr>
                <w:rFonts w:hint="eastAsia"/>
              </w:rPr>
              <w:t>5</w:t>
            </w:r>
          </w:p>
        </w:tc>
      </w:tr>
    </w:tbl>
    <w:p w14:paraId="08382875">
      <w:pPr>
        <w:pStyle w:val="557"/>
      </w:pPr>
    </w:p>
    <w:p w14:paraId="6D74B823">
      <w:pPr>
        <w:pStyle w:val="179"/>
        <w:ind w:firstLine="480"/>
        <w:rPr>
          <w:rFonts w:hint="eastAsia"/>
        </w:rPr>
      </w:pPr>
      <w:r>
        <w:rPr>
          <w:rStyle w:val="282"/>
          <w:rFonts w:hint="eastAsia"/>
        </w:rPr>
        <w:t>其中，煤气中CO占比60.92%</w:t>
      </w:r>
      <w:r>
        <w:rPr>
          <w:rStyle w:val="282"/>
        </w:rPr>
        <w:t>（w%</w:t>
      </w:r>
      <w:r>
        <w:rPr>
          <w:rStyle w:val="282"/>
          <w:rFonts w:hint="eastAsia"/>
        </w:rPr>
        <w:t>）、</w:t>
      </w:r>
      <w:r>
        <w:rPr>
          <w:rStyle w:val="282"/>
        </w:rPr>
        <w:t>H</w:t>
      </w:r>
      <w:r>
        <w:rPr>
          <w:rStyle w:val="282"/>
          <w:vertAlign w:val="subscript"/>
        </w:rPr>
        <w:t>2</w:t>
      </w:r>
      <w:r>
        <w:rPr>
          <w:rStyle w:val="282"/>
        </w:rPr>
        <w:t>占比</w:t>
      </w:r>
      <w:r>
        <w:rPr>
          <w:rStyle w:val="282"/>
          <w:rFonts w:hint="eastAsia"/>
        </w:rPr>
        <w:t>1.44</w:t>
      </w:r>
      <w:r>
        <w:rPr>
          <w:rStyle w:val="282"/>
        </w:rPr>
        <w:t>（w%</w:t>
      </w:r>
      <w:r>
        <w:rPr>
          <w:rStyle w:val="282"/>
          <w:rFonts w:hint="eastAsia"/>
        </w:rPr>
        <w:t>）、CH</w:t>
      </w:r>
      <w:r>
        <w:rPr>
          <w:rStyle w:val="282"/>
          <w:rFonts w:hint="eastAsia"/>
          <w:vertAlign w:val="subscript"/>
        </w:rPr>
        <w:t>4</w:t>
      </w:r>
      <w:r>
        <w:rPr>
          <w:rStyle w:val="282"/>
          <w:rFonts w:hint="eastAsia"/>
        </w:rPr>
        <w:t>占比0.02%</w:t>
      </w:r>
      <w:r>
        <w:rPr>
          <w:rStyle w:val="282"/>
        </w:rPr>
        <w:t>（w%</w:t>
      </w:r>
      <w:r>
        <w:rPr>
          <w:rStyle w:val="282"/>
          <w:rFonts w:hint="eastAsia"/>
        </w:rPr>
        <w:t>）、</w:t>
      </w:r>
      <w:r>
        <w:rPr>
          <w:rStyle w:val="282"/>
        </w:rPr>
        <w:t>H</w:t>
      </w:r>
      <w:r>
        <w:rPr>
          <w:rStyle w:val="282"/>
          <w:vertAlign w:val="subscript"/>
        </w:rPr>
        <w:t>2</w:t>
      </w:r>
      <w:r>
        <w:rPr>
          <w:rStyle w:val="282"/>
        </w:rPr>
        <w:t>S</w:t>
      </w:r>
      <w:r>
        <w:rPr>
          <w:rStyle w:val="282"/>
          <w:rFonts w:hint="eastAsia"/>
        </w:rPr>
        <w:t>占比0.39</w:t>
      </w:r>
      <w:r>
        <w:rPr>
          <w:rStyle w:val="282"/>
        </w:rPr>
        <w:t>（w%</w:t>
      </w:r>
      <w:r>
        <w:rPr>
          <w:rStyle w:val="282"/>
          <w:rFonts w:hint="eastAsia"/>
        </w:rPr>
        <w:t>）；故煤气中泄漏CO泄漏量为2.98kg/s；CH</w:t>
      </w:r>
      <w:r>
        <w:rPr>
          <w:rStyle w:val="282"/>
          <w:rFonts w:hint="eastAsia"/>
          <w:vertAlign w:val="subscript"/>
        </w:rPr>
        <w:t>4</w:t>
      </w:r>
      <w:r>
        <w:rPr>
          <w:rStyle w:val="282"/>
          <w:rFonts w:hint="eastAsia"/>
        </w:rPr>
        <w:t>泄漏量为0.001kg/s、</w:t>
      </w:r>
      <w:r>
        <w:rPr>
          <w:rStyle w:val="282"/>
        </w:rPr>
        <w:t>H</w:t>
      </w:r>
      <w:r>
        <w:rPr>
          <w:rStyle w:val="282"/>
          <w:vertAlign w:val="subscript"/>
        </w:rPr>
        <w:t>2</w:t>
      </w:r>
      <w:r>
        <w:rPr>
          <w:rStyle w:val="282"/>
        </w:rPr>
        <w:t>S</w:t>
      </w:r>
      <w:r>
        <w:rPr>
          <w:rStyle w:val="282"/>
          <w:rFonts w:hint="eastAsia"/>
        </w:rPr>
        <w:t>泄漏量为0.02kg/s。本次预测泄漏量最大的污染物CO。</w:t>
      </w:r>
    </w:p>
    <w:p w14:paraId="31C91A4A">
      <w:pPr>
        <w:pStyle w:val="98"/>
        <w:rPr>
          <w:rFonts w:hint="eastAsia"/>
          <w:color w:val="auto"/>
        </w:rPr>
      </w:pPr>
      <w:r>
        <w:rPr>
          <w:rFonts w:hint="eastAsia"/>
          <w:color w:val="auto"/>
        </w:rPr>
        <w:t>酸性气泄漏事故</w:t>
      </w:r>
    </w:p>
    <w:p w14:paraId="0B02613A">
      <w:pPr>
        <w:pStyle w:val="281"/>
        <w:ind w:firstLine="480"/>
      </w:pPr>
      <w:r>
        <w:rPr>
          <w:rFonts w:hint="eastAsia" w:ascii="宋体" w:hAnsi="宋体"/>
        </w:rPr>
        <w:t>假定进入低温甲醇洗单元酸性气管线发生破裂，根据可行性研究报告，管线操作温度</w:t>
      </w:r>
      <w:r>
        <w:rPr>
          <w:rFonts w:hint="eastAsia"/>
        </w:rPr>
        <w:t>38</w:t>
      </w:r>
      <w:r>
        <w:t>℃</w:t>
      </w:r>
      <w:r>
        <w:rPr>
          <w:rFonts w:hint="eastAsia" w:ascii="宋体" w:hAnsi="宋体"/>
        </w:rPr>
        <w:t>，操作压力：</w:t>
      </w:r>
      <w:r>
        <w:rPr>
          <w:rFonts w:hint="eastAsia"/>
        </w:rPr>
        <w:t>0.16MPa</w:t>
      </w:r>
      <w:r>
        <w:rPr>
          <w:rFonts w:hint="eastAsia" w:ascii="宋体" w:hAnsi="宋体"/>
        </w:rPr>
        <w:t>。假定泄漏时间为</w:t>
      </w:r>
      <w:r>
        <w:rPr>
          <w:rFonts w:hint="eastAsia"/>
        </w:rPr>
        <w:t>10min</w:t>
      </w:r>
      <w:r>
        <w:rPr>
          <w:rFonts w:hint="eastAsia" w:ascii="宋体" w:hAnsi="宋体"/>
        </w:rPr>
        <w:t>，采用导则附录</w:t>
      </w:r>
      <w:r>
        <w:rPr>
          <w:rFonts w:hint="eastAsia"/>
        </w:rPr>
        <w:t>F</w:t>
      </w:r>
      <w:r>
        <w:rPr>
          <w:rFonts w:hint="eastAsia" w:ascii="宋体" w:hAnsi="宋体"/>
        </w:rPr>
        <w:t>气体泄漏公式进行酸性气体泄漏估算。</w:t>
      </w:r>
    </w:p>
    <w:p w14:paraId="7558A776">
      <w:pPr>
        <w:pStyle w:val="535"/>
        <w:rPr>
          <w:rFonts w:hint="eastAsia"/>
          <w:color w:val="auto"/>
        </w:rPr>
      </w:pPr>
      <w:r>
        <w:rPr>
          <w:rFonts w:hint="eastAsia" w:eastAsia="宋体"/>
          <w:color w:val="auto"/>
        </w:rPr>
        <w:t>表7</w:t>
      </w:r>
      <w:r>
        <w:rPr>
          <w:rFonts w:eastAsia="宋体"/>
          <w:color w:val="auto"/>
        </w:rPr>
        <w:t>.6.2-</w:t>
      </w:r>
      <w:r>
        <w:rPr>
          <w:rFonts w:hint="eastAsia" w:eastAsia="宋体"/>
          <w:color w:val="auto"/>
        </w:rPr>
        <w:t>3</w:t>
      </w:r>
      <w:r>
        <w:rPr>
          <w:rFonts w:eastAsia="宋体"/>
          <w:color w:val="auto"/>
        </w:rPr>
        <w:t xml:space="preserve">  </w:t>
      </w:r>
      <w:r>
        <w:rPr>
          <w:color w:val="auto"/>
        </w:rPr>
        <w:t xml:space="preserve">  酸性气</w:t>
      </w:r>
      <w:r>
        <w:rPr>
          <w:rFonts w:hint="eastAsia"/>
          <w:color w:val="auto"/>
        </w:rPr>
        <w:t>泄漏风险事故源强一览表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3"/>
        <w:gridCol w:w="1318"/>
        <w:gridCol w:w="1584"/>
        <w:gridCol w:w="2128"/>
        <w:gridCol w:w="1135"/>
        <w:gridCol w:w="938"/>
      </w:tblGrid>
      <w:tr w14:paraId="784C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30" w:type="pct"/>
            <w:vAlign w:val="center"/>
          </w:tcPr>
          <w:p w14:paraId="651D5F50">
            <w:pPr>
              <w:pStyle w:val="557"/>
            </w:pPr>
            <w:r>
              <w:t>设备</w:t>
            </w:r>
          </w:p>
        </w:tc>
        <w:tc>
          <w:tcPr>
            <w:tcW w:w="792" w:type="pct"/>
            <w:vAlign w:val="center"/>
          </w:tcPr>
          <w:p w14:paraId="32DE6D3C">
            <w:pPr>
              <w:pStyle w:val="557"/>
            </w:pPr>
            <w:r>
              <w:t>参数</w:t>
            </w:r>
          </w:p>
        </w:tc>
        <w:tc>
          <w:tcPr>
            <w:tcW w:w="952" w:type="pct"/>
            <w:vAlign w:val="center"/>
          </w:tcPr>
          <w:p w14:paraId="1A11633A">
            <w:pPr>
              <w:pStyle w:val="557"/>
            </w:pPr>
            <w:r>
              <w:t>操作条件</w:t>
            </w:r>
          </w:p>
        </w:tc>
        <w:tc>
          <w:tcPr>
            <w:tcW w:w="1279" w:type="pct"/>
            <w:vAlign w:val="center"/>
          </w:tcPr>
          <w:p w14:paraId="2818660A">
            <w:pPr>
              <w:pStyle w:val="557"/>
            </w:pPr>
            <w:r>
              <w:t>泄漏速率kg/s</w:t>
            </w:r>
          </w:p>
        </w:tc>
        <w:tc>
          <w:tcPr>
            <w:tcW w:w="682" w:type="pct"/>
            <w:vAlign w:val="center"/>
          </w:tcPr>
          <w:p w14:paraId="4B0F496D">
            <w:pPr>
              <w:pStyle w:val="557"/>
            </w:pPr>
            <w:r>
              <w:t>释放时间min</w:t>
            </w:r>
          </w:p>
        </w:tc>
        <w:tc>
          <w:tcPr>
            <w:tcW w:w="564" w:type="pct"/>
            <w:vAlign w:val="center"/>
          </w:tcPr>
          <w:p w14:paraId="2480B27E">
            <w:pPr>
              <w:pStyle w:val="557"/>
            </w:pPr>
            <w:r>
              <w:t>释放高度m</w:t>
            </w:r>
          </w:p>
        </w:tc>
      </w:tr>
      <w:tr w14:paraId="1521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30" w:type="pct"/>
            <w:vAlign w:val="center"/>
          </w:tcPr>
          <w:p w14:paraId="208227A8">
            <w:pPr>
              <w:pStyle w:val="557"/>
            </w:pPr>
            <w:r>
              <w:rPr>
                <w:rFonts w:hint="eastAsia"/>
              </w:rPr>
              <w:t>酸性气</w:t>
            </w:r>
            <w:r>
              <w:t>管线</w:t>
            </w:r>
          </w:p>
        </w:tc>
        <w:tc>
          <w:tcPr>
            <w:tcW w:w="792" w:type="pct"/>
            <w:vAlign w:val="center"/>
          </w:tcPr>
          <w:p w14:paraId="3C381C97">
            <w:pPr>
              <w:pStyle w:val="557"/>
            </w:pPr>
            <w:r>
              <w:rPr>
                <w:rFonts w:hint="eastAsia"/>
              </w:rPr>
              <w:t>泄漏孔径20</w:t>
            </w:r>
            <w:r>
              <w:t>mm</w:t>
            </w:r>
          </w:p>
        </w:tc>
        <w:tc>
          <w:tcPr>
            <w:tcW w:w="952" w:type="pct"/>
            <w:vAlign w:val="center"/>
          </w:tcPr>
          <w:p w14:paraId="4FADAE69">
            <w:pPr>
              <w:pStyle w:val="557"/>
            </w:pPr>
            <w:r>
              <w:rPr>
                <w:rFonts w:hint="eastAsia"/>
              </w:rPr>
              <w:t>38</w:t>
            </w:r>
            <w:r>
              <w:t>℃、</w:t>
            </w:r>
            <w:r>
              <w:rPr>
                <w:rFonts w:hint="eastAsia"/>
              </w:rPr>
              <w:t>0.16</w:t>
            </w:r>
            <w:r>
              <w:t>MPa</w:t>
            </w:r>
          </w:p>
        </w:tc>
        <w:tc>
          <w:tcPr>
            <w:tcW w:w="1279" w:type="pct"/>
            <w:vAlign w:val="center"/>
          </w:tcPr>
          <w:p w14:paraId="5508DF04">
            <w:pPr>
              <w:pStyle w:val="557"/>
            </w:pPr>
            <w:r>
              <w:rPr>
                <w:rFonts w:hint="eastAsia"/>
              </w:rPr>
              <w:t>3.15</w:t>
            </w:r>
          </w:p>
        </w:tc>
        <w:tc>
          <w:tcPr>
            <w:tcW w:w="682" w:type="pct"/>
            <w:vAlign w:val="center"/>
          </w:tcPr>
          <w:p w14:paraId="5060735F">
            <w:pPr>
              <w:pStyle w:val="557"/>
            </w:pPr>
            <w:r>
              <w:t>10</w:t>
            </w:r>
          </w:p>
        </w:tc>
        <w:tc>
          <w:tcPr>
            <w:tcW w:w="564" w:type="pct"/>
            <w:vAlign w:val="center"/>
          </w:tcPr>
          <w:p w14:paraId="1F36D1F7">
            <w:pPr>
              <w:pStyle w:val="557"/>
            </w:pPr>
            <w:r>
              <w:rPr>
                <w:rFonts w:hint="eastAsia"/>
              </w:rPr>
              <w:t>5</w:t>
            </w:r>
          </w:p>
        </w:tc>
      </w:tr>
    </w:tbl>
    <w:p w14:paraId="47AAEB28">
      <w:pPr>
        <w:pStyle w:val="281"/>
        <w:ind w:firstLine="480"/>
        <w:rPr>
          <w:rStyle w:val="282"/>
        </w:rPr>
      </w:pPr>
      <w:r>
        <w:rPr>
          <w:rFonts w:hint="eastAsia"/>
        </w:rPr>
        <w:t>酸性气中主要成分为H</w:t>
      </w:r>
      <w:r>
        <w:rPr>
          <w:rFonts w:hint="eastAsia"/>
          <w:vertAlign w:val="subscript"/>
        </w:rPr>
        <w:t>2</w:t>
      </w:r>
      <w:r>
        <w:rPr>
          <w:rFonts w:hint="eastAsia"/>
        </w:rPr>
        <w:t>S、CO</w:t>
      </w:r>
      <w:r>
        <w:rPr>
          <w:rFonts w:hint="eastAsia"/>
          <w:vertAlign w:val="subscript"/>
        </w:rPr>
        <w:t>2</w:t>
      </w:r>
      <w:r>
        <w:rPr>
          <w:rFonts w:hint="eastAsia"/>
        </w:rPr>
        <w:t>等，其中H</w:t>
      </w:r>
      <w:r>
        <w:rPr>
          <w:rFonts w:hint="eastAsia"/>
          <w:vertAlign w:val="subscript"/>
        </w:rPr>
        <w:t>2</w:t>
      </w:r>
      <w:r>
        <w:rPr>
          <w:rFonts w:hint="eastAsia"/>
        </w:rPr>
        <w:t>S占比21.13%（w%）、CO</w:t>
      </w:r>
      <w:r>
        <w:rPr>
          <w:rFonts w:hint="eastAsia"/>
          <w:vertAlign w:val="subscript"/>
        </w:rPr>
        <w:t>2</w:t>
      </w:r>
      <w:r>
        <w:rPr>
          <w:rFonts w:hint="eastAsia"/>
        </w:rPr>
        <w:t>占比75.5%（w%），</w:t>
      </w:r>
      <w:r>
        <w:rPr>
          <w:rStyle w:val="282"/>
          <w:rFonts w:hint="eastAsia"/>
        </w:rPr>
        <w:t>故</w:t>
      </w:r>
      <w:r>
        <w:rPr>
          <w:rFonts w:hint="eastAsia"/>
        </w:rPr>
        <w:t>酸性气</w:t>
      </w:r>
      <w:r>
        <w:rPr>
          <w:rStyle w:val="282"/>
          <w:rFonts w:hint="eastAsia"/>
        </w:rPr>
        <w:t>中</w:t>
      </w:r>
      <w:r>
        <w:rPr>
          <w:rFonts w:hint="eastAsia"/>
        </w:rPr>
        <w:t>H</w:t>
      </w:r>
      <w:r>
        <w:rPr>
          <w:rFonts w:hint="eastAsia"/>
          <w:vertAlign w:val="subscript"/>
        </w:rPr>
        <w:t>2</w:t>
      </w:r>
      <w:r>
        <w:rPr>
          <w:rFonts w:hint="eastAsia"/>
        </w:rPr>
        <w:t>S</w:t>
      </w:r>
      <w:r>
        <w:rPr>
          <w:rStyle w:val="282"/>
          <w:rFonts w:hint="eastAsia"/>
        </w:rPr>
        <w:t>泄漏量为0.67kg/s。</w:t>
      </w:r>
    </w:p>
    <w:p w14:paraId="030C3F8B">
      <w:pPr>
        <w:pStyle w:val="98"/>
        <w:rPr>
          <w:rFonts w:hint="eastAsia"/>
          <w:color w:val="auto"/>
        </w:rPr>
      </w:pPr>
      <w:r>
        <w:rPr>
          <w:rFonts w:hint="eastAsia"/>
          <w:color w:val="auto"/>
        </w:rPr>
        <w:t>液氨储罐泄漏</w:t>
      </w:r>
    </w:p>
    <w:p w14:paraId="07EE5B17">
      <w:pPr>
        <w:pStyle w:val="281"/>
        <w:ind w:firstLine="480"/>
      </w:pPr>
      <w:r>
        <w:rPr>
          <w:rFonts w:hint="eastAsia" w:ascii="宋体" w:hAnsi="宋体"/>
        </w:rPr>
        <w:t>（</w:t>
      </w:r>
      <w:r>
        <w:rPr>
          <w:rFonts w:hint="eastAsia"/>
        </w:rPr>
        <w:t>1</w:t>
      </w:r>
      <w:r>
        <w:rPr>
          <w:rFonts w:hint="eastAsia" w:ascii="宋体" w:hAnsi="宋体"/>
        </w:rPr>
        <w:t>）泄漏速率</w:t>
      </w:r>
    </w:p>
    <w:p w14:paraId="5E293F8C">
      <w:pPr>
        <w:pStyle w:val="281"/>
        <w:ind w:firstLine="480"/>
      </w:pPr>
      <w:r>
        <w:rPr>
          <w:rFonts w:hint="eastAsia" w:ascii="宋体" w:hAnsi="宋体"/>
        </w:rPr>
        <w:t>拟建</w:t>
      </w:r>
      <w:r>
        <w:rPr>
          <w:rFonts w:cs="Times New Roman"/>
        </w:rPr>
        <w:t>项目2座</w:t>
      </w:r>
      <w:r>
        <w:rPr>
          <w:rFonts w:hint="eastAsia" w:cs="Times New Roman"/>
        </w:rPr>
        <w:t>30</w:t>
      </w:r>
      <w:r>
        <w:t>00m</w:t>
      </w:r>
      <w:r>
        <w:rPr>
          <w:vertAlign w:val="superscript"/>
        </w:rPr>
        <w:t>3</w:t>
      </w:r>
      <w:r>
        <w:rPr>
          <w:rFonts w:hint="eastAsia" w:ascii="宋体" w:hAnsi="宋体"/>
        </w:rPr>
        <w:t>的液氨球罐，假定</w:t>
      </w:r>
      <w:r>
        <w:rPr>
          <w:rFonts w:hint="eastAsia"/>
        </w:rPr>
        <w:t>1</w:t>
      </w:r>
      <w:r>
        <w:rPr>
          <w:rFonts w:hint="eastAsia" w:ascii="宋体" w:hAnsi="宋体"/>
        </w:rPr>
        <w:t>座液氨压力罐发生泄漏，泄漏时间为</w:t>
      </w:r>
      <w:r>
        <w:rPr>
          <w:rFonts w:hint="eastAsia"/>
        </w:rPr>
        <w:t>10min</w:t>
      </w:r>
      <w:r>
        <w:rPr>
          <w:rFonts w:hint="eastAsia" w:ascii="宋体" w:hAnsi="宋体"/>
        </w:rPr>
        <w:t>，采用导则附录</w:t>
      </w:r>
      <w:r>
        <w:rPr>
          <w:rFonts w:hint="eastAsia"/>
        </w:rPr>
        <w:t>F</w:t>
      </w:r>
      <w:r>
        <w:rPr>
          <w:rFonts w:hint="eastAsia" w:ascii="宋体" w:hAnsi="宋体"/>
        </w:rPr>
        <w:t>两相流公式进行液氨泄漏估算。</w:t>
      </w:r>
    </w:p>
    <w:p w14:paraId="6F77C58C">
      <w:pPr>
        <w:pStyle w:val="281"/>
        <w:ind w:firstLine="480"/>
        <w:rPr>
          <w:rFonts w:hint="eastAsia" w:ascii="宋体" w:hAnsi="宋体"/>
        </w:rPr>
      </w:pPr>
      <w:r>
        <w:rPr>
          <w:rFonts w:hint="eastAsia"/>
        </w:rPr>
        <w:t>液氨</w:t>
      </w:r>
      <w:r>
        <w:t>储罐出口管线直径</w:t>
      </w:r>
      <w:r>
        <w:rPr>
          <w:rFonts w:hint="eastAsia"/>
        </w:rPr>
        <w:t>100</w:t>
      </w:r>
      <w:r>
        <w:rPr>
          <w:rFonts w:hint="eastAsia" w:eastAsiaTheme="minorEastAsia"/>
        </w:rPr>
        <w:t>m</w:t>
      </w:r>
      <w:r>
        <w:t>m，假定</w:t>
      </w:r>
      <w:r>
        <w:rPr>
          <w:rFonts w:hint="eastAsia"/>
        </w:rPr>
        <w:t>泄漏管径为20mm</w:t>
      </w:r>
      <w:r>
        <w:t>，</w:t>
      </w:r>
      <w:r>
        <w:rPr>
          <w:rFonts w:hint="eastAsia"/>
        </w:rPr>
        <w:t>液氨</w:t>
      </w:r>
      <w:r>
        <w:t>泄漏至防火</w:t>
      </w:r>
      <w:r>
        <w:rPr>
          <w:rFonts w:hint="eastAsia" w:ascii="宋体" w:hAnsi="宋体"/>
        </w:rPr>
        <w:t>堤内蒸发。</w:t>
      </w:r>
    </w:p>
    <w:p w14:paraId="60E28BC3">
      <w:pPr>
        <w:pStyle w:val="281"/>
        <w:ind w:firstLine="480"/>
        <w:jc w:val="center"/>
        <w:rPr>
          <w:rFonts w:hint="eastAsia" w:ascii="宋体" w:hAnsi="宋体"/>
        </w:rPr>
      </w:pPr>
      <w:r>
        <w:rPr>
          <w:rFonts w:ascii="宋体" w:hAnsi="宋体"/>
        </w:rPr>
        <w:drawing>
          <wp:inline distT="0" distB="0" distL="0" distR="0">
            <wp:extent cx="2038350" cy="1546225"/>
            <wp:effectExtent l="0" t="0" r="0" b="0"/>
            <wp:docPr id="1983976600" name="图片 37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6600" name="图片 372" descr="图示, 示意图&#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042865" cy="1550212"/>
                    </a:xfrm>
                    <a:prstGeom prst="rect">
                      <a:avLst/>
                    </a:prstGeom>
                    <a:noFill/>
                    <a:ln>
                      <a:noFill/>
                    </a:ln>
                  </pic:spPr>
                </pic:pic>
              </a:graphicData>
            </a:graphic>
          </wp:inline>
        </w:drawing>
      </w:r>
    </w:p>
    <w:p w14:paraId="6E189413">
      <w:pPr>
        <w:pStyle w:val="281"/>
        <w:ind w:firstLine="480"/>
      </w:pPr>
      <w:r>
        <w:rPr>
          <w:rFonts w:hint="eastAsia"/>
        </w:rPr>
        <w:t>式中：Q</w:t>
      </w:r>
      <w:r>
        <w:rPr>
          <w:rFonts w:hint="eastAsia"/>
          <w:vertAlign w:val="subscript"/>
        </w:rPr>
        <w:t>LG</w:t>
      </w:r>
      <w:r>
        <w:rPr>
          <w:rFonts w:hint="eastAsia"/>
        </w:rPr>
        <w:t>——两相流泄漏速率，kg/s；</w:t>
      </w:r>
    </w:p>
    <w:p w14:paraId="3FF58DBF">
      <w:pPr>
        <w:pStyle w:val="281"/>
        <w:ind w:firstLine="1200" w:firstLineChars="500"/>
      </w:pPr>
      <w:r>
        <w:rPr>
          <w:rFonts w:hint="eastAsia"/>
        </w:rPr>
        <w:t>C</w:t>
      </w:r>
      <w:r>
        <w:rPr>
          <w:rFonts w:hint="eastAsia"/>
          <w:vertAlign w:val="subscript"/>
        </w:rPr>
        <w:t>d</w:t>
      </w:r>
      <w:r>
        <w:rPr>
          <w:rFonts w:hint="eastAsia"/>
        </w:rPr>
        <w:t xml:space="preserve"> ——两相流泄漏系数，取0.8； </w:t>
      </w:r>
    </w:p>
    <w:p w14:paraId="4A4BA124">
      <w:pPr>
        <w:pStyle w:val="281"/>
        <w:ind w:firstLine="1200" w:firstLineChars="500"/>
      </w:pPr>
      <w:r>
        <w:rPr>
          <w:rFonts w:hint="eastAsia"/>
        </w:rPr>
        <w:t>P</w:t>
      </w:r>
      <w:r>
        <w:rPr>
          <w:rFonts w:hint="eastAsia"/>
          <w:vertAlign w:val="subscript"/>
        </w:rPr>
        <w:t>C</w:t>
      </w:r>
      <w:r>
        <w:rPr>
          <w:rFonts w:hint="eastAsia"/>
        </w:rPr>
        <w:t xml:space="preserve"> ——临界压力，Pa，取0.55Pa；</w:t>
      </w:r>
    </w:p>
    <w:p w14:paraId="5271CA3A">
      <w:pPr>
        <w:pStyle w:val="281"/>
        <w:ind w:firstLine="1200" w:firstLineChars="500"/>
      </w:pPr>
      <w:r>
        <w:rPr>
          <w:rFonts w:hint="eastAsia"/>
        </w:rPr>
        <w:t>P ——操作压力或容器压力，Pa；</w:t>
      </w:r>
    </w:p>
    <w:p w14:paraId="7267FF57">
      <w:pPr>
        <w:pStyle w:val="281"/>
        <w:ind w:firstLine="1200" w:firstLineChars="500"/>
      </w:pPr>
      <w:r>
        <w:rPr>
          <w:rFonts w:hint="eastAsia"/>
        </w:rPr>
        <w:t>A ——裂口面积，m</w:t>
      </w:r>
      <w:r>
        <w:rPr>
          <w:rFonts w:hint="eastAsia"/>
          <w:vertAlign w:val="superscript"/>
        </w:rPr>
        <w:t>2</w:t>
      </w:r>
      <w:r>
        <w:rPr>
          <w:rFonts w:hint="eastAsia"/>
        </w:rPr>
        <w:t>；</w:t>
      </w:r>
    </w:p>
    <w:p w14:paraId="1ABB9881">
      <w:pPr>
        <w:pStyle w:val="281"/>
        <w:ind w:firstLine="1200" w:firstLineChars="500"/>
      </w:pPr>
      <w:r>
        <w:rPr>
          <w:rFonts w:cs="Times New Roman"/>
        </w:rPr>
        <w:t>ρ</w:t>
      </w:r>
      <w:r>
        <w:rPr>
          <w:rFonts w:hint="eastAsia"/>
          <w:vertAlign w:val="subscript"/>
        </w:rPr>
        <w:t>m</w:t>
      </w:r>
      <w:r>
        <w:rPr>
          <w:rFonts w:hint="eastAsia"/>
        </w:rPr>
        <w:t>——两相混合物的平均密度，kg/m</w:t>
      </w:r>
      <w:r>
        <w:rPr>
          <w:rFonts w:hint="eastAsia"/>
          <w:vertAlign w:val="superscript"/>
        </w:rPr>
        <w:t>3</w:t>
      </w:r>
      <w:r>
        <w:rPr>
          <w:rFonts w:hint="eastAsia"/>
        </w:rPr>
        <w:t>；</w:t>
      </w:r>
    </w:p>
    <w:p w14:paraId="29D655EC">
      <w:pPr>
        <w:pStyle w:val="281"/>
        <w:ind w:firstLine="1200" w:firstLineChars="500"/>
      </w:pPr>
      <w:r>
        <w:rPr>
          <w:rFonts w:cs="Times New Roman"/>
        </w:rPr>
        <w:t>ρ</w:t>
      </w:r>
      <w:r>
        <w:rPr>
          <w:rFonts w:hint="eastAsia"/>
          <w:vertAlign w:val="subscript"/>
        </w:rPr>
        <w:t>1</w:t>
      </w:r>
      <w:r>
        <w:rPr>
          <w:rFonts w:hint="eastAsia"/>
        </w:rPr>
        <w:t xml:space="preserve"> ——液体蒸发的蒸汽密度，kg/m</w:t>
      </w:r>
      <w:r>
        <w:rPr>
          <w:rFonts w:hint="eastAsia"/>
          <w:vertAlign w:val="superscript"/>
        </w:rPr>
        <w:t>3</w:t>
      </w:r>
      <w:r>
        <w:rPr>
          <w:rFonts w:hint="eastAsia"/>
        </w:rPr>
        <w:t>；</w:t>
      </w:r>
    </w:p>
    <w:p w14:paraId="1EAAF609">
      <w:pPr>
        <w:pStyle w:val="281"/>
        <w:ind w:firstLine="1200" w:firstLineChars="500"/>
      </w:pPr>
      <w:r>
        <w:rPr>
          <w:rFonts w:cs="Times New Roman"/>
        </w:rPr>
        <w:t>ρ</w:t>
      </w:r>
      <w:r>
        <w:rPr>
          <w:rFonts w:hint="eastAsia"/>
          <w:vertAlign w:val="subscript"/>
        </w:rPr>
        <w:t>2</w:t>
      </w:r>
      <w:r>
        <w:rPr>
          <w:rFonts w:hint="eastAsia"/>
        </w:rPr>
        <w:t xml:space="preserve"> ——液体密度，kg/m</w:t>
      </w:r>
      <w:r>
        <w:rPr>
          <w:rFonts w:hint="eastAsia"/>
          <w:vertAlign w:val="superscript"/>
        </w:rPr>
        <w:t>3</w:t>
      </w:r>
      <w:r>
        <w:rPr>
          <w:rFonts w:hint="eastAsia"/>
        </w:rPr>
        <w:t>；</w:t>
      </w:r>
    </w:p>
    <w:p w14:paraId="1FAD6CB2">
      <w:pPr>
        <w:pStyle w:val="281"/>
        <w:ind w:firstLine="1200" w:firstLineChars="500"/>
      </w:pPr>
      <w:r>
        <w:rPr>
          <w:rFonts w:hint="eastAsia"/>
        </w:rPr>
        <w:t>F</w:t>
      </w:r>
      <w:r>
        <w:rPr>
          <w:rFonts w:hint="eastAsia"/>
          <w:vertAlign w:val="subscript"/>
        </w:rPr>
        <w:t>V</w:t>
      </w:r>
      <w:r>
        <w:rPr>
          <w:rFonts w:hint="eastAsia"/>
        </w:rPr>
        <w:t xml:space="preserve"> ——蒸发的液体占液体总量的比例；</w:t>
      </w:r>
    </w:p>
    <w:p w14:paraId="5B2FAFB2">
      <w:pPr>
        <w:pStyle w:val="281"/>
        <w:ind w:firstLine="1200" w:firstLineChars="500"/>
      </w:pPr>
      <w:r>
        <w:rPr>
          <w:rFonts w:hint="eastAsia"/>
        </w:rPr>
        <w:t>C</w:t>
      </w:r>
      <w:r>
        <w:rPr>
          <w:rFonts w:hint="eastAsia"/>
          <w:vertAlign w:val="subscript"/>
        </w:rPr>
        <w:t>p</w:t>
      </w:r>
      <w:r>
        <w:rPr>
          <w:rFonts w:hint="eastAsia"/>
        </w:rPr>
        <w:t xml:space="preserve"> ——两相混合物的定压比热容，J/(kg·K)；</w:t>
      </w:r>
    </w:p>
    <w:p w14:paraId="4F7420FF">
      <w:pPr>
        <w:pStyle w:val="281"/>
        <w:ind w:firstLine="1200" w:firstLineChars="500"/>
      </w:pPr>
      <w:r>
        <w:rPr>
          <w:rFonts w:hint="eastAsia"/>
        </w:rPr>
        <w:t>T</w:t>
      </w:r>
      <w:r>
        <w:rPr>
          <w:rFonts w:hint="eastAsia"/>
          <w:vertAlign w:val="subscript"/>
        </w:rPr>
        <w:t>LG</w:t>
      </w:r>
      <w:r>
        <w:rPr>
          <w:rFonts w:hint="eastAsia"/>
        </w:rPr>
        <w:t xml:space="preserve"> ——两相混合物的温度，K；</w:t>
      </w:r>
    </w:p>
    <w:p w14:paraId="3522AE9B">
      <w:pPr>
        <w:pStyle w:val="281"/>
        <w:ind w:firstLine="1200" w:firstLineChars="500"/>
      </w:pPr>
      <w:r>
        <w:rPr>
          <w:rFonts w:hint="eastAsia"/>
        </w:rPr>
        <w:t>T</w:t>
      </w:r>
      <w:r>
        <w:rPr>
          <w:rFonts w:hint="eastAsia"/>
          <w:vertAlign w:val="subscript"/>
        </w:rPr>
        <w:t>C</w:t>
      </w:r>
      <w:r>
        <w:rPr>
          <w:rFonts w:hint="eastAsia"/>
        </w:rPr>
        <w:t>——液体在临界压力下的沸点，K；</w:t>
      </w:r>
    </w:p>
    <w:p w14:paraId="0E912D3B">
      <w:pPr>
        <w:pStyle w:val="281"/>
        <w:ind w:firstLine="1200" w:firstLineChars="500"/>
      </w:pPr>
      <w:r>
        <w:rPr>
          <w:rFonts w:hint="eastAsia"/>
        </w:rPr>
        <w:t>H——液体的汽化热，J/kg。</w:t>
      </w:r>
    </w:p>
    <w:p w14:paraId="7280D765">
      <w:pPr>
        <w:pStyle w:val="281"/>
        <w:ind w:firstLine="480"/>
      </w:pPr>
      <w:r>
        <w:t>根据</w:t>
      </w:r>
      <w:r>
        <w:rPr>
          <w:rFonts w:hint="eastAsia"/>
        </w:rPr>
        <w:t>计算</w:t>
      </w:r>
      <w:r>
        <w:t>，液氨</w:t>
      </w:r>
      <w:r>
        <w:rPr>
          <w:rFonts w:hint="eastAsia"/>
        </w:rPr>
        <w:t>泄漏速率为6.32</w:t>
      </w:r>
      <w:r>
        <w:t>kg/s</w:t>
      </w:r>
      <w:r>
        <w:rPr>
          <w:rFonts w:hint="eastAsia"/>
        </w:rPr>
        <w:t>，氨气泄漏速率为4.68k</w:t>
      </w:r>
      <w:r>
        <w:t>g/s。</w:t>
      </w:r>
    </w:p>
    <w:p w14:paraId="53D428EA">
      <w:pPr>
        <w:pStyle w:val="98"/>
        <w:rPr>
          <w:rFonts w:hint="eastAsia"/>
        </w:rPr>
      </w:pPr>
      <w:r>
        <w:rPr>
          <w:rFonts w:hint="eastAsia"/>
        </w:rPr>
        <w:t>甲醇泄漏事故</w:t>
      </w:r>
    </w:p>
    <w:p w14:paraId="0D327027">
      <w:pPr>
        <w:pStyle w:val="281"/>
        <w:ind w:firstLine="480"/>
      </w:pPr>
      <w:r>
        <w:rPr>
          <w:rFonts w:hint="eastAsia"/>
        </w:rPr>
        <w:t>本项目综合罐区设置2个300m</w:t>
      </w:r>
      <w:r>
        <w:rPr>
          <w:rFonts w:hint="eastAsia"/>
          <w:vertAlign w:val="superscript"/>
        </w:rPr>
        <w:t>3</w:t>
      </w:r>
      <w:r>
        <w:rPr>
          <w:rFonts w:hint="eastAsia"/>
        </w:rPr>
        <w:t>甲醇罐，1个1000m</w:t>
      </w:r>
      <w:r>
        <w:rPr>
          <w:rFonts w:hint="eastAsia"/>
          <w:vertAlign w:val="superscript"/>
        </w:rPr>
        <w:t>3</w:t>
      </w:r>
      <w:r>
        <w:rPr>
          <w:rFonts w:hint="eastAsia"/>
        </w:rPr>
        <w:t>甲醇中间罐；</w:t>
      </w:r>
      <w:r>
        <w:rPr>
          <w:rFonts w:hint="eastAsia" w:ascii="宋体" w:hAnsi="宋体"/>
        </w:rPr>
        <w:t>假定</w:t>
      </w:r>
      <w:r>
        <w:rPr>
          <w:rFonts w:hint="eastAsia"/>
        </w:rPr>
        <w:t>储罐</w:t>
      </w:r>
      <w:r>
        <w:t>破裂，</w:t>
      </w:r>
      <w:r>
        <w:rPr>
          <w:rFonts w:hint="eastAsia" w:ascii="宋体" w:hAnsi="宋体"/>
        </w:rPr>
        <w:t>甲醇</w:t>
      </w:r>
      <w:r>
        <w:t>泄漏蒸发，释放时间10min。</w:t>
      </w:r>
      <w:r>
        <w:rPr>
          <w:rFonts w:hint="eastAsia" w:ascii="宋体" w:hAnsi="宋体"/>
        </w:rPr>
        <w:t>甲醇</w:t>
      </w:r>
      <w:r>
        <w:rPr>
          <w:rFonts w:hint="eastAsia"/>
        </w:rPr>
        <w:t>缓冲罐</w:t>
      </w:r>
      <w:r>
        <w:rPr>
          <w:rFonts w:hint="eastAsia" w:ascii="宋体" w:hAnsi="宋体"/>
        </w:rPr>
        <w:t>出口孔径发生10</w:t>
      </w:r>
      <w:r>
        <w:rPr>
          <w:rFonts w:hint="eastAsia"/>
        </w:rPr>
        <w:t>0mm</w:t>
      </w:r>
      <w:r>
        <w:rPr>
          <w:rFonts w:hint="eastAsia" w:ascii="宋体" w:hAnsi="宋体"/>
        </w:rPr>
        <w:t>泄漏</w:t>
      </w:r>
      <w:r>
        <w:t>，</w:t>
      </w:r>
      <w:r>
        <w:rPr>
          <w:rFonts w:hint="eastAsia" w:ascii="宋体" w:hAnsi="宋体"/>
        </w:rPr>
        <w:t>甲醇</w:t>
      </w:r>
      <w:r>
        <w:t>泄漏至防火</w:t>
      </w:r>
      <w:r>
        <w:rPr>
          <w:rFonts w:hint="eastAsia" w:ascii="宋体" w:hAnsi="宋体"/>
        </w:rPr>
        <w:t>堤内蒸发。根据风险导则附录</w:t>
      </w:r>
      <w:r>
        <w:rPr>
          <w:rFonts w:hint="eastAsia"/>
        </w:rPr>
        <w:t>F</w:t>
      </w:r>
      <w:r>
        <w:rPr>
          <w:rFonts w:hint="eastAsia" w:ascii="宋体" w:hAnsi="宋体"/>
        </w:rPr>
        <w:t>，用伯努利方程计算液体泄漏速度</w:t>
      </w:r>
      <w:r>
        <w:rPr>
          <w:rFonts w:hint="eastAsia"/>
        </w:rPr>
        <w:t>Q</w:t>
      </w:r>
      <w:r>
        <w:rPr>
          <w:rFonts w:hint="eastAsia"/>
          <w:vertAlign w:val="subscript"/>
        </w:rPr>
        <w:t>L</w:t>
      </w:r>
      <w:r>
        <w:rPr>
          <w:rFonts w:hint="eastAsia" w:ascii="宋体" w:hAnsi="宋体"/>
        </w:rPr>
        <w:t>：</w:t>
      </w:r>
    </w:p>
    <w:p w14:paraId="63054528">
      <w:pPr>
        <w:ind w:firstLine="482"/>
        <w:jc w:val="center"/>
        <w:rPr>
          <w:rFonts w:hint="eastAsia"/>
        </w:rPr>
      </w:pPr>
      <w:r>
        <w:rPr>
          <w:b/>
          <w:bCs/>
        </w:rPr>
        <w:object>
          <v:shape id="_x0000_i1051" o:spt="75" type="#_x0000_t75" style="height:36pt;width:144pt;" o:ole="t" filled="f" o:preferrelative="t" stroked="f" coordsize="21600,21600">
            <v:path/>
            <v:fill on="f" focussize="0,0"/>
            <v:stroke on="f" joinstyle="miter"/>
            <v:imagedata r:id="rId44" o:title=""/>
            <o:lock v:ext="edit" aspectratio="t"/>
            <w10:wrap type="none"/>
            <w10:anchorlock/>
          </v:shape>
          <o:OLEObject Type="Embed" ProgID="Equation.DSMT4" ShapeID="_x0000_i1051" DrawAspect="Content" ObjectID="_1468075751" r:id="rId93">
            <o:LockedField>false</o:LockedField>
          </o:OLEObject>
        </w:object>
      </w:r>
    </w:p>
    <w:p w14:paraId="5C3B0A30">
      <w:pPr>
        <w:pStyle w:val="281"/>
        <w:ind w:firstLine="480"/>
        <w:rPr>
          <w:sz w:val="21"/>
        </w:rPr>
      </w:pPr>
      <w:r>
        <w:rPr>
          <w:rStyle w:val="282"/>
          <w:rFonts w:hint="eastAsia" w:ascii="宋体" w:hAnsi="宋体"/>
        </w:rPr>
        <w:t>式中：</w:t>
      </w:r>
      <w:r>
        <w:rPr>
          <w:rFonts w:hint="eastAsia"/>
          <w:sz w:val="21"/>
        </w:rPr>
        <w:t>Q</w:t>
      </w:r>
      <w:r>
        <w:rPr>
          <w:rFonts w:hint="eastAsia"/>
          <w:sz w:val="21"/>
          <w:vertAlign w:val="subscript"/>
        </w:rPr>
        <w:t>L</w:t>
      </w:r>
      <w:r>
        <w:rPr>
          <w:rFonts w:hint="eastAsia"/>
          <w:sz w:val="21"/>
        </w:rPr>
        <w:t>—</w:t>
      </w:r>
      <w:r>
        <w:rPr>
          <w:rFonts w:hint="eastAsia" w:ascii="宋体" w:hAnsi="宋体"/>
          <w:sz w:val="21"/>
        </w:rPr>
        <w:t>液体的泄漏速度，</w:t>
      </w:r>
      <w:r>
        <w:rPr>
          <w:rFonts w:hint="eastAsia"/>
          <w:sz w:val="21"/>
        </w:rPr>
        <w:t>kg/s</w:t>
      </w:r>
      <w:r>
        <w:rPr>
          <w:rFonts w:hint="eastAsia" w:ascii="宋体" w:hAnsi="宋体"/>
          <w:sz w:val="21"/>
        </w:rPr>
        <w:t>；</w:t>
      </w:r>
    </w:p>
    <w:p w14:paraId="6002BA8A">
      <w:pPr>
        <w:pStyle w:val="281"/>
        <w:ind w:firstLine="1224" w:firstLineChars="583"/>
        <w:rPr>
          <w:sz w:val="21"/>
        </w:rPr>
      </w:pPr>
      <w:r>
        <w:rPr>
          <w:rFonts w:hint="eastAsia"/>
          <w:sz w:val="21"/>
        </w:rPr>
        <w:t>C</w:t>
      </w:r>
      <w:r>
        <w:rPr>
          <w:rFonts w:hint="eastAsia"/>
          <w:sz w:val="21"/>
          <w:vertAlign w:val="subscript"/>
        </w:rPr>
        <w:t>d</w:t>
      </w:r>
      <w:r>
        <w:rPr>
          <w:rFonts w:hint="eastAsia"/>
          <w:sz w:val="21"/>
        </w:rPr>
        <w:t>—</w:t>
      </w:r>
      <w:r>
        <w:rPr>
          <w:rFonts w:hint="eastAsia" w:ascii="宋体" w:hAnsi="宋体"/>
          <w:sz w:val="21"/>
        </w:rPr>
        <w:t>液体泄漏系数，取值</w:t>
      </w:r>
      <w:r>
        <w:rPr>
          <w:rFonts w:hint="eastAsia"/>
          <w:sz w:val="21"/>
        </w:rPr>
        <w:t>0.65</w:t>
      </w:r>
      <w:r>
        <w:rPr>
          <w:rFonts w:hint="eastAsia" w:ascii="宋体" w:hAnsi="宋体"/>
          <w:sz w:val="21"/>
        </w:rPr>
        <w:t>（裂口形状圆形）；</w:t>
      </w:r>
    </w:p>
    <w:p w14:paraId="63BB1793">
      <w:pPr>
        <w:pStyle w:val="281"/>
        <w:ind w:firstLine="1260" w:firstLineChars="600"/>
        <w:rPr>
          <w:sz w:val="21"/>
        </w:rPr>
      </w:pPr>
      <w:r>
        <w:rPr>
          <w:rFonts w:hint="eastAsia"/>
          <w:sz w:val="21"/>
        </w:rPr>
        <w:t>A—</w:t>
      </w:r>
      <w:r>
        <w:rPr>
          <w:rFonts w:hint="eastAsia" w:ascii="宋体" w:hAnsi="宋体"/>
          <w:sz w:val="21"/>
        </w:rPr>
        <w:t>裂口面积，</w:t>
      </w:r>
      <w:r>
        <w:rPr>
          <w:rFonts w:hint="eastAsia"/>
          <w:sz w:val="21"/>
        </w:rPr>
        <w:t>m</w:t>
      </w:r>
      <w:r>
        <w:rPr>
          <w:rFonts w:hint="eastAsia"/>
          <w:sz w:val="21"/>
          <w:vertAlign w:val="superscript"/>
        </w:rPr>
        <w:t>2</w:t>
      </w:r>
      <w:r>
        <w:rPr>
          <w:rFonts w:hint="eastAsia" w:ascii="宋体" w:hAnsi="宋体"/>
          <w:sz w:val="21"/>
        </w:rPr>
        <w:t>；</w:t>
      </w:r>
    </w:p>
    <w:p w14:paraId="1B843B45">
      <w:pPr>
        <w:pStyle w:val="281"/>
        <w:ind w:firstLine="1260" w:firstLineChars="600"/>
        <w:rPr>
          <w:sz w:val="21"/>
        </w:rPr>
      </w:pPr>
      <w:r>
        <w:rPr>
          <w:rFonts w:hint="eastAsia"/>
          <w:sz w:val="21"/>
        </w:rPr>
        <w:t>ρ—</w:t>
      </w:r>
      <w:r>
        <w:rPr>
          <w:rFonts w:hint="eastAsia" w:ascii="宋体" w:hAnsi="宋体"/>
          <w:sz w:val="21"/>
        </w:rPr>
        <w:t>泄漏液体密度，</w:t>
      </w:r>
      <w:r>
        <w:rPr>
          <w:sz w:val="21"/>
        </w:rPr>
        <w:t>ρ</w:t>
      </w:r>
      <w:r>
        <w:rPr>
          <w:rFonts w:hint="eastAsia"/>
          <w:sz w:val="21"/>
        </w:rPr>
        <w:t>=791kg/m</w:t>
      </w:r>
      <w:r>
        <w:rPr>
          <w:rFonts w:hint="eastAsia"/>
          <w:sz w:val="21"/>
          <w:vertAlign w:val="superscript"/>
        </w:rPr>
        <w:t>3</w:t>
      </w:r>
      <w:r>
        <w:rPr>
          <w:rFonts w:hint="eastAsia" w:ascii="宋体" w:hAnsi="宋体"/>
          <w:sz w:val="21"/>
        </w:rPr>
        <w:t>；</w:t>
      </w:r>
    </w:p>
    <w:p w14:paraId="3AE289E1">
      <w:pPr>
        <w:pStyle w:val="281"/>
        <w:ind w:firstLine="1260" w:firstLineChars="600"/>
        <w:rPr>
          <w:sz w:val="21"/>
        </w:rPr>
      </w:pPr>
      <w:r>
        <w:rPr>
          <w:rFonts w:hint="eastAsia"/>
          <w:sz w:val="21"/>
        </w:rPr>
        <w:t>P</w:t>
      </w:r>
      <w:r>
        <w:rPr>
          <w:rFonts w:hint="eastAsia" w:ascii="宋体" w:hAnsi="宋体"/>
          <w:sz w:val="21"/>
        </w:rPr>
        <w:t>、</w:t>
      </w:r>
      <w:r>
        <w:rPr>
          <w:rFonts w:hint="eastAsia"/>
          <w:sz w:val="21"/>
        </w:rPr>
        <w:t>P</w:t>
      </w:r>
      <w:r>
        <w:rPr>
          <w:rFonts w:hint="eastAsia"/>
          <w:sz w:val="21"/>
          <w:vertAlign w:val="subscript"/>
        </w:rPr>
        <w:t>0</w:t>
      </w:r>
      <w:r>
        <w:rPr>
          <w:rFonts w:hint="eastAsia"/>
          <w:sz w:val="21"/>
        </w:rPr>
        <w:t>—</w:t>
      </w:r>
      <w:r>
        <w:rPr>
          <w:rFonts w:hint="eastAsia" w:ascii="宋体" w:hAnsi="宋体"/>
          <w:sz w:val="21"/>
        </w:rPr>
        <w:t>容器内介质压力，环境压力，</w:t>
      </w:r>
      <w:r>
        <w:rPr>
          <w:rFonts w:hint="eastAsia"/>
          <w:sz w:val="21"/>
        </w:rPr>
        <w:t>P</w:t>
      </w:r>
      <w:r>
        <w:rPr>
          <w:rFonts w:hint="eastAsia" w:ascii="宋体" w:hAnsi="宋体"/>
          <w:sz w:val="21"/>
        </w:rPr>
        <w:t>取</w:t>
      </w:r>
      <w:r>
        <w:rPr>
          <w:rFonts w:hint="eastAsia"/>
          <w:sz w:val="21"/>
        </w:rPr>
        <w:t>0.101MPa</w:t>
      </w:r>
      <w:r>
        <w:rPr>
          <w:rFonts w:hint="eastAsia" w:ascii="宋体" w:hAnsi="宋体"/>
          <w:sz w:val="21"/>
        </w:rPr>
        <w:t>，</w:t>
      </w:r>
      <w:r>
        <w:rPr>
          <w:rFonts w:hint="eastAsia"/>
          <w:sz w:val="21"/>
        </w:rPr>
        <w:t>P</w:t>
      </w:r>
      <w:r>
        <w:rPr>
          <w:rFonts w:hint="eastAsia"/>
          <w:sz w:val="21"/>
          <w:vertAlign w:val="subscript"/>
        </w:rPr>
        <w:t>0</w:t>
      </w:r>
      <w:r>
        <w:rPr>
          <w:rFonts w:hint="eastAsia" w:ascii="宋体" w:hAnsi="宋体"/>
          <w:sz w:val="21"/>
        </w:rPr>
        <w:t>取</w:t>
      </w:r>
      <w:r>
        <w:rPr>
          <w:rFonts w:hint="eastAsia"/>
          <w:sz w:val="21"/>
        </w:rPr>
        <w:t>0.101MPa</w:t>
      </w:r>
      <w:r>
        <w:rPr>
          <w:rFonts w:hint="eastAsia" w:ascii="宋体" w:hAnsi="宋体"/>
          <w:sz w:val="21"/>
        </w:rPr>
        <w:t>；</w:t>
      </w:r>
    </w:p>
    <w:p w14:paraId="1FD03EFA">
      <w:pPr>
        <w:pStyle w:val="281"/>
        <w:ind w:firstLine="1260" w:firstLineChars="600"/>
        <w:rPr>
          <w:sz w:val="21"/>
        </w:rPr>
      </w:pPr>
      <w:r>
        <w:rPr>
          <w:rFonts w:hint="eastAsia"/>
          <w:sz w:val="21"/>
        </w:rPr>
        <w:t>g—</w:t>
      </w:r>
      <w:r>
        <w:rPr>
          <w:rFonts w:hint="eastAsia" w:ascii="宋体" w:hAnsi="宋体"/>
          <w:sz w:val="21"/>
        </w:rPr>
        <w:t>重力加速度，</w:t>
      </w:r>
      <w:r>
        <w:rPr>
          <w:rFonts w:hint="eastAsia"/>
          <w:sz w:val="21"/>
        </w:rPr>
        <w:t>9.8m/s</w:t>
      </w:r>
      <w:r>
        <w:rPr>
          <w:rFonts w:hint="eastAsia"/>
          <w:sz w:val="21"/>
          <w:vertAlign w:val="superscript"/>
        </w:rPr>
        <w:t>2</w:t>
      </w:r>
      <w:r>
        <w:rPr>
          <w:rFonts w:hint="eastAsia" w:ascii="宋体" w:hAnsi="宋体"/>
          <w:sz w:val="21"/>
        </w:rPr>
        <w:t>；</w:t>
      </w:r>
    </w:p>
    <w:p w14:paraId="130CC62E">
      <w:pPr>
        <w:pStyle w:val="281"/>
        <w:ind w:firstLine="1260" w:firstLineChars="600"/>
        <w:rPr>
          <w:sz w:val="21"/>
        </w:rPr>
      </w:pPr>
      <w:r>
        <w:rPr>
          <w:rFonts w:hint="eastAsia"/>
          <w:sz w:val="21"/>
        </w:rPr>
        <w:t>h—</w:t>
      </w:r>
      <w:r>
        <w:rPr>
          <w:rFonts w:hint="eastAsia" w:ascii="宋体" w:hAnsi="宋体"/>
          <w:sz w:val="21"/>
        </w:rPr>
        <w:t>裂口之上液位高度，</w:t>
      </w:r>
      <w:r>
        <w:rPr>
          <w:rFonts w:hint="eastAsia"/>
          <w:sz w:val="21"/>
        </w:rPr>
        <w:t>1m</w:t>
      </w:r>
      <w:r>
        <w:rPr>
          <w:rFonts w:hint="eastAsia" w:ascii="宋体" w:hAnsi="宋体"/>
          <w:sz w:val="21"/>
        </w:rPr>
        <w:t>。</w:t>
      </w:r>
    </w:p>
    <w:p w14:paraId="6C1B7F84">
      <w:pPr>
        <w:pStyle w:val="281"/>
        <w:ind w:firstLine="480"/>
      </w:pPr>
      <w:r>
        <w:t>根据以上公式计算</w:t>
      </w:r>
      <w:r>
        <w:rPr>
          <w:rFonts w:hint="eastAsia" w:ascii="宋体" w:hAnsi="宋体"/>
        </w:rPr>
        <w:t>甲醇</w:t>
      </w:r>
      <w:r>
        <w:t>总泄漏速率为</w:t>
      </w:r>
      <w:r>
        <w:rPr>
          <w:rFonts w:hint="eastAsia"/>
        </w:rPr>
        <w:t>17.89</w:t>
      </w:r>
      <w:r>
        <w:t>kg/s。</w:t>
      </w:r>
    </w:p>
    <w:p w14:paraId="75F7DC9E">
      <w:pPr>
        <w:pStyle w:val="281"/>
        <w:ind w:firstLine="480"/>
      </w:pPr>
      <w:r>
        <w:t>（2）</w:t>
      </w:r>
      <w:r>
        <w:rPr>
          <w:rFonts w:hint="eastAsia" w:ascii="宋体" w:hAnsi="宋体"/>
        </w:rPr>
        <w:t>蒸发速率</w:t>
      </w:r>
    </w:p>
    <w:p w14:paraId="40D7885E">
      <w:pPr>
        <w:pStyle w:val="281"/>
        <w:ind w:firstLine="480"/>
      </w:pPr>
      <w:r>
        <w:t>根据导则，泄漏液体的蒸发分为闪蒸蒸发、热量蒸发和质量蒸发三种，其蒸发质量为这三种之和。因</w:t>
      </w:r>
      <w:r>
        <w:rPr>
          <w:rFonts w:hint="eastAsia"/>
        </w:rPr>
        <w:t>甲醇</w:t>
      </w:r>
      <w:r>
        <w:t>在常温、常压条件下贮存，其沸点为</w:t>
      </w:r>
      <w:r>
        <w:rPr>
          <w:rFonts w:hint="eastAsia"/>
        </w:rPr>
        <w:t>64.7</w:t>
      </w:r>
      <w:r>
        <w:t>℃，其</w:t>
      </w:r>
      <w:r>
        <w:rPr>
          <w:rFonts w:hint="eastAsia"/>
        </w:rPr>
        <w:t>饱和蒸气</w:t>
      </w:r>
      <w:r>
        <w:t>压较小，泄漏后不可能马上全部挥发，绝大部分溅落</w:t>
      </w:r>
      <w:r>
        <w:rPr>
          <w:rFonts w:hint="eastAsia"/>
        </w:rPr>
        <w:t>地面</w:t>
      </w:r>
      <w:r>
        <w:t>，形成液池。</w:t>
      </w:r>
    </w:p>
    <w:p w14:paraId="27975870">
      <w:pPr>
        <w:pStyle w:val="281"/>
        <w:ind w:firstLine="480"/>
      </w:pPr>
      <w:r>
        <w:rPr>
          <w:rFonts w:hint="eastAsia" w:ascii="宋体" w:hAnsi="宋体"/>
        </w:rPr>
        <w:t>另外，本项目储罐为常温储存，物料温度与环境温度基本相同，沸点均远高于环境温度</w:t>
      </w:r>
      <w:r>
        <w:rPr>
          <w:rFonts w:hint="eastAsia"/>
        </w:rPr>
        <w:t>（</w:t>
      </w:r>
      <w:r>
        <w:rPr>
          <w:rFonts w:hint="eastAsia" w:ascii="宋体" w:hAnsi="宋体"/>
        </w:rPr>
        <w:t>按夏季考虑</w:t>
      </w:r>
      <w:r>
        <w:rPr>
          <w:rFonts w:hint="eastAsia"/>
        </w:rPr>
        <w:t>）</w:t>
      </w:r>
      <w:r>
        <w:rPr>
          <w:rFonts w:hint="eastAsia" w:ascii="宋体" w:hAnsi="宋体"/>
        </w:rPr>
        <w:t>，因此蒸发只考虑质量蒸发，不会发生闪蒸和热量蒸发。蒸发的主要原因是</w:t>
      </w:r>
      <w:r>
        <w:t>“</w:t>
      </w:r>
      <w:r>
        <w:rPr>
          <w:rFonts w:hint="eastAsia" w:ascii="宋体" w:hAnsi="宋体"/>
        </w:rPr>
        <w:t>液池</w:t>
      </w:r>
      <w:r>
        <w:t>”</w:t>
      </w:r>
      <w:r>
        <w:rPr>
          <w:rFonts w:hint="eastAsia" w:ascii="宋体" w:hAnsi="宋体"/>
        </w:rPr>
        <w:t>表面气流的运动及风作用下的分子转移，使液体蒸发成气体，向周围环境扩散，污染空气环境。</w:t>
      </w:r>
    </w:p>
    <w:p w14:paraId="742895CE">
      <w:pPr>
        <w:pStyle w:val="281"/>
        <w:ind w:firstLine="480"/>
      </w:pPr>
      <w:r>
        <w:rPr>
          <w:rFonts w:hint="eastAsia" w:ascii="宋体" w:hAnsi="宋体"/>
        </w:rPr>
        <w:t>根据建设项目环境风险评价技术导则中推荐，蒸发速度</w:t>
      </w:r>
      <w:r>
        <w:rPr>
          <w:rFonts w:hint="eastAsia"/>
        </w:rPr>
        <w:t>Q</w:t>
      </w:r>
      <w:r>
        <w:rPr>
          <w:rFonts w:hint="eastAsia" w:ascii="宋体" w:hAnsi="宋体"/>
        </w:rPr>
        <w:t>下式计算：</w:t>
      </w:r>
    </w:p>
    <w:p w14:paraId="5407E6DD">
      <w:pPr>
        <w:pStyle w:val="281"/>
        <w:ind w:firstLine="480"/>
      </w:pPr>
      <m:oMathPara>
        <m:oMath>
          <m:r>
            <m:rPr/>
            <w:rPr>
              <w:rFonts w:ascii="Cambria Math" w:hAnsi="Cambria Math"/>
            </w:rPr>
            <m:t>Q</m:t>
          </m:r>
          <m:r>
            <m:rPr/>
            <w:rPr>
              <w:rFonts w:hint="eastAsia" w:ascii="Cambria Math" w:hAnsi="Cambria Math"/>
            </w:rPr>
            <m:t>=</m:t>
          </m:r>
          <m:r>
            <m:rPr/>
            <w:rPr>
              <w:rFonts w:ascii="Cambria Math" w:hAnsi="Cambria Math"/>
            </w:rPr>
            <m:t>α×</m:t>
          </m:r>
          <m:r>
            <m:rPr/>
            <w:rPr>
              <w:rFonts w:hint="eastAsia" w:ascii="Cambria Math" w:hAnsi="Cambria Math"/>
            </w:rPr>
            <m:t>p</m:t>
          </m:r>
          <m:r>
            <m:rPr/>
            <w:rPr>
              <w:rFonts w:ascii="Cambria Math" w:hAnsi="Cambria Math"/>
            </w:rPr>
            <m:t>×</m:t>
          </m:r>
          <m:f>
            <m:fPr>
              <m:ctrlPr>
                <w:rPr>
                  <w:rFonts w:ascii="Cambria Math" w:hAnsi="Cambria Math"/>
                  <w:i/>
                </w:rPr>
              </m:ctrlPr>
            </m:fPr>
            <m:num>
              <m:r>
                <m:rPr/>
                <w:rPr>
                  <w:rFonts w:ascii="Cambria Math" w:hAnsi="Cambria Math"/>
                </w:rPr>
                <m:t>M</m:t>
              </m:r>
              <m:ctrlPr>
                <w:rPr>
                  <w:rFonts w:ascii="Cambria Math" w:hAnsi="Cambria Math"/>
                  <w:i/>
                </w:rPr>
              </m:ctrlPr>
            </m:num>
            <m:den>
              <m:r>
                <m:rPr/>
                <w:rPr>
                  <w:rFonts w:ascii="Cambria Math" w:hAnsi="Cambria Math"/>
                </w:rPr>
                <m:t>R</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sSup>
            <m:sSupPr>
              <m:ctrlPr>
                <w:rPr>
                  <w:rFonts w:ascii="Cambria Math" w:hAnsi="Cambria Math"/>
                  <w:i/>
                </w:rPr>
              </m:ctrlPr>
            </m:sSupPr>
            <m:e>
              <m:r>
                <m:rPr/>
                <w:rPr>
                  <w:rFonts w:ascii="Cambria Math" w:hAnsi="Cambria Math"/>
                </w:rPr>
                <m:t>×</m:t>
              </m:r>
              <m:r>
                <m:rPr/>
                <w:rPr>
                  <w:rFonts w:hint="eastAsia" w:ascii="Cambria Math" w:hAnsi="Cambria Math"/>
                </w:rPr>
                <m:t>u</m:t>
              </m:r>
              <m:ctrlPr>
                <w:rPr>
                  <w:rFonts w:ascii="Cambria Math" w:hAnsi="Cambria Math"/>
                  <w:i/>
                </w:rPr>
              </m:ctrlPr>
            </m:e>
            <m:sup>
              <m:f>
                <m:fPr>
                  <m:ctrlPr>
                    <w:rPr>
                      <w:rFonts w:ascii="Cambria Math" w:hAnsi="Cambria Math"/>
                      <w:i/>
                    </w:rPr>
                  </m:ctrlPr>
                </m:fPr>
                <m:num>
                  <m:r>
                    <m:rPr/>
                    <w:rPr>
                      <w:rFonts w:ascii="Cambria Math" w:hAnsi="Cambria Math"/>
                    </w:rPr>
                    <m:t>2</m:t>
                  </m:r>
                  <m:r>
                    <m:rPr/>
                    <w:rPr>
                      <w:rFonts w:hint="eastAsia" w:ascii="Cambria Math" w:hAnsi="Cambria Math" w:eastAsia="微软雅黑" w:cs="微软雅黑"/>
                    </w:rPr>
                    <m:t>−</m:t>
                  </m:r>
                  <m:r>
                    <m:rPr/>
                    <w:rPr>
                      <w:rFonts w:hint="eastAsia" w:ascii="Cambria Math" w:hAnsi="Cambria Math"/>
                    </w:rPr>
                    <m:t>n</m:t>
                  </m:r>
                  <m:ctrlPr>
                    <w:rPr>
                      <w:rFonts w:ascii="Cambria Math" w:hAnsi="Cambria Math"/>
                      <w:i/>
                    </w:rPr>
                  </m:ctrlPr>
                </m:num>
                <m:den>
                  <m:r>
                    <m:rPr/>
                    <w:rPr>
                      <w:rFonts w:ascii="Cambria Math" w:hAnsi="Cambria Math"/>
                    </w:rPr>
                    <m:t>2</m:t>
                  </m:r>
                  <m:r>
                    <m:rPr/>
                    <w:rPr>
                      <w:rFonts w:hint="eastAsia" w:ascii="Cambria Math" w:hAnsi="Cambria Math"/>
                    </w:rPr>
                    <m:t>+n</m:t>
                  </m:r>
                  <m:ctrlPr>
                    <w:rPr>
                      <w:rFonts w:ascii="Cambria Math" w:hAnsi="Cambria Math"/>
                      <w:i/>
                    </w:rPr>
                  </m:ctrlPr>
                </m:den>
              </m:f>
              <m:ctrlPr>
                <w:rPr>
                  <w:rFonts w:ascii="Cambria Math" w:hAnsi="Cambria Math"/>
                  <w:i/>
                </w:rPr>
              </m:ctrlPr>
            </m:sup>
          </m:sSup>
          <m:sSup>
            <m:sSupPr>
              <m:ctrlPr>
                <w:rPr>
                  <w:rFonts w:ascii="Cambria Math" w:hAnsi="Cambria Math"/>
                  <w:i/>
                </w:rPr>
              </m:ctrlPr>
            </m:sSupPr>
            <m:e>
              <m:r>
                <m:rPr/>
                <w:rPr>
                  <w:rFonts w:ascii="Cambria Math" w:hAnsi="Cambria Math"/>
                </w:rPr>
                <m:t>×</m:t>
              </m:r>
              <m:r>
                <m:rPr/>
                <w:rPr>
                  <w:rFonts w:hint="eastAsia" w:ascii="Cambria Math" w:hAnsi="Cambria Math"/>
                </w:rPr>
                <m:t>r</m:t>
              </m:r>
              <m:ctrlPr>
                <w:rPr>
                  <w:rFonts w:ascii="Cambria Math" w:hAnsi="Cambria Math"/>
                  <w:i/>
                </w:rPr>
              </m:ctrlPr>
            </m:e>
            <m:sup>
              <m:f>
                <m:fPr>
                  <m:ctrlPr>
                    <w:rPr>
                      <w:rFonts w:ascii="Cambria Math" w:hAnsi="Cambria Math"/>
                      <w:i/>
                    </w:rPr>
                  </m:ctrlPr>
                </m:fPr>
                <m:num>
                  <m:r>
                    <m:rPr/>
                    <w:rPr>
                      <w:rFonts w:ascii="Cambria Math" w:hAnsi="Cambria Math"/>
                    </w:rPr>
                    <m:t>2</m:t>
                  </m:r>
                  <m:r>
                    <m:rPr/>
                    <w:rPr>
                      <w:rFonts w:hint="eastAsia" w:ascii="Cambria Math" w:hAnsi="Cambria Math" w:eastAsia="微软雅黑" w:cs="微软雅黑"/>
                    </w:rPr>
                    <m:t>−</m:t>
                  </m:r>
                  <m:r>
                    <m:rPr/>
                    <w:rPr>
                      <w:rFonts w:hint="eastAsia" w:ascii="Cambria Math" w:hAnsi="Cambria Math"/>
                    </w:rPr>
                    <m:t>n</m:t>
                  </m:r>
                  <m:ctrlPr>
                    <w:rPr>
                      <w:rFonts w:ascii="Cambria Math" w:hAnsi="Cambria Math"/>
                      <w:i/>
                    </w:rPr>
                  </m:ctrlPr>
                </m:num>
                <m:den>
                  <m:r>
                    <m:rPr/>
                    <w:rPr>
                      <w:rFonts w:ascii="Cambria Math" w:hAnsi="Cambria Math"/>
                    </w:rPr>
                    <m:t>2</m:t>
                  </m:r>
                  <m:r>
                    <m:rPr/>
                    <w:rPr>
                      <w:rFonts w:hint="eastAsia" w:ascii="Cambria Math" w:hAnsi="Cambria Math" w:eastAsia="微软雅黑" w:cs="微软雅黑"/>
                    </w:rPr>
                    <m:t>+</m:t>
                  </m:r>
                  <m:r>
                    <m:rPr/>
                    <w:rPr>
                      <w:rFonts w:hint="eastAsia" w:ascii="Cambria Math" w:hAnsi="Cambria Math"/>
                    </w:rPr>
                    <m:t>n</m:t>
                  </m:r>
                  <m:ctrlPr>
                    <w:rPr>
                      <w:rFonts w:ascii="Cambria Math" w:hAnsi="Cambria Math"/>
                      <w:i/>
                    </w:rPr>
                  </m:ctrlPr>
                </m:den>
              </m:f>
              <m:ctrlPr>
                <w:rPr>
                  <w:rFonts w:ascii="Cambria Math" w:hAnsi="Cambria Math"/>
                  <w:i/>
                </w:rPr>
              </m:ctrlPr>
            </m:sup>
          </m:sSup>
        </m:oMath>
      </m:oMathPara>
    </w:p>
    <w:p w14:paraId="4E307CD5">
      <w:pPr>
        <w:pStyle w:val="281"/>
        <w:ind w:firstLine="480"/>
        <w:rPr>
          <w:sz w:val="21"/>
        </w:rPr>
      </w:pPr>
      <w:r>
        <w:rPr>
          <w:rFonts w:hint="eastAsia" w:ascii="宋体" w:hAnsi="宋体"/>
        </w:rPr>
        <w:t>式中：</w:t>
      </w:r>
      <w:r>
        <w:rPr>
          <w:rFonts w:hint="eastAsia"/>
          <w:sz w:val="21"/>
        </w:rPr>
        <w:t>Q-</w:t>
      </w:r>
      <w:r>
        <w:rPr>
          <w:rFonts w:hint="eastAsia" w:ascii="宋体" w:hAnsi="宋体"/>
          <w:sz w:val="21"/>
        </w:rPr>
        <w:t>质量蒸发速率，</w:t>
      </w:r>
      <w:r>
        <w:rPr>
          <w:rFonts w:hint="eastAsia"/>
          <w:sz w:val="21"/>
        </w:rPr>
        <w:t>kg/s</w:t>
      </w:r>
      <w:r>
        <w:rPr>
          <w:rFonts w:hint="eastAsia" w:ascii="宋体" w:hAnsi="宋体"/>
          <w:sz w:val="21"/>
        </w:rPr>
        <w:t>；</w:t>
      </w:r>
    </w:p>
    <w:p w14:paraId="3531DB56">
      <w:pPr>
        <w:pStyle w:val="281"/>
        <w:ind w:firstLine="1260" w:firstLineChars="600"/>
        <w:rPr>
          <w:sz w:val="21"/>
        </w:rPr>
      </w:pPr>
      <w:r>
        <w:rPr>
          <w:rFonts w:hint="eastAsia"/>
          <w:sz w:val="21"/>
        </w:rPr>
        <w:t>p-</w:t>
      </w:r>
      <w:r>
        <w:rPr>
          <w:rFonts w:hint="eastAsia" w:ascii="宋体" w:hAnsi="宋体"/>
          <w:sz w:val="21"/>
        </w:rPr>
        <w:t>液体表面蒸气压，</w:t>
      </w:r>
      <w:r>
        <w:rPr>
          <w:rFonts w:hint="eastAsia"/>
          <w:sz w:val="21"/>
        </w:rPr>
        <w:t>Pa</w:t>
      </w:r>
      <w:r>
        <w:rPr>
          <w:rFonts w:hint="eastAsia" w:ascii="宋体" w:hAnsi="宋体"/>
          <w:sz w:val="21"/>
        </w:rPr>
        <w:t>；</w:t>
      </w:r>
    </w:p>
    <w:p w14:paraId="54B8318E">
      <w:pPr>
        <w:pStyle w:val="281"/>
        <w:ind w:firstLine="1260" w:firstLineChars="600"/>
        <w:rPr>
          <w:sz w:val="21"/>
        </w:rPr>
      </w:pPr>
      <w:r>
        <w:rPr>
          <w:rFonts w:hint="eastAsia"/>
          <w:sz w:val="21"/>
        </w:rPr>
        <w:t>R-</w:t>
      </w:r>
      <w:r>
        <w:rPr>
          <w:rFonts w:hint="eastAsia" w:ascii="宋体" w:hAnsi="宋体"/>
          <w:sz w:val="21"/>
        </w:rPr>
        <w:t>气体常数，</w:t>
      </w:r>
      <w:r>
        <w:rPr>
          <w:rFonts w:hint="eastAsia"/>
          <w:sz w:val="21"/>
        </w:rPr>
        <w:t>J/</w:t>
      </w:r>
      <w:r>
        <w:rPr>
          <w:rFonts w:hint="eastAsia" w:ascii="宋体" w:hAnsi="宋体"/>
          <w:sz w:val="21"/>
        </w:rPr>
        <w:t>（</w:t>
      </w:r>
      <w:r>
        <w:rPr>
          <w:rFonts w:hint="eastAsia"/>
          <w:sz w:val="21"/>
        </w:rPr>
        <w:t>mol</w:t>
      </w:r>
      <w:r>
        <w:rPr>
          <w:sz w:val="21"/>
        </w:rPr>
        <w:t>·</w:t>
      </w:r>
      <w:r>
        <w:rPr>
          <w:rFonts w:hint="eastAsia"/>
          <w:sz w:val="21"/>
        </w:rPr>
        <w:t>K</w:t>
      </w:r>
      <w:r>
        <w:rPr>
          <w:rFonts w:hint="eastAsia" w:ascii="宋体" w:hAnsi="宋体"/>
          <w:sz w:val="21"/>
        </w:rPr>
        <w:t>）；</w:t>
      </w:r>
    </w:p>
    <w:p w14:paraId="39520115">
      <w:pPr>
        <w:pStyle w:val="281"/>
        <w:ind w:firstLine="1260" w:firstLineChars="600"/>
        <w:rPr>
          <w:sz w:val="21"/>
        </w:rPr>
      </w:pPr>
      <w:r>
        <w:rPr>
          <w:rFonts w:hint="eastAsia"/>
          <w:sz w:val="21"/>
        </w:rPr>
        <w:t>T</w:t>
      </w:r>
      <w:r>
        <w:rPr>
          <w:rFonts w:hint="eastAsia"/>
          <w:sz w:val="21"/>
          <w:vertAlign w:val="subscript"/>
        </w:rPr>
        <w:t>0</w:t>
      </w:r>
      <w:r>
        <w:rPr>
          <w:rFonts w:hint="eastAsia"/>
          <w:sz w:val="21"/>
        </w:rPr>
        <w:t>-</w:t>
      </w:r>
      <w:r>
        <w:rPr>
          <w:rFonts w:hint="eastAsia" w:ascii="宋体" w:hAnsi="宋体"/>
          <w:sz w:val="21"/>
        </w:rPr>
        <w:t>环境温度，</w:t>
      </w:r>
      <w:r>
        <w:rPr>
          <w:rFonts w:hint="eastAsia"/>
          <w:sz w:val="21"/>
        </w:rPr>
        <w:t>K</w:t>
      </w:r>
      <w:r>
        <w:rPr>
          <w:rFonts w:hint="eastAsia" w:ascii="宋体" w:hAnsi="宋体"/>
          <w:sz w:val="21"/>
        </w:rPr>
        <w:t>；</w:t>
      </w:r>
    </w:p>
    <w:p w14:paraId="1A005D12">
      <w:pPr>
        <w:pStyle w:val="281"/>
        <w:ind w:firstLine="1260" w:firstLineChars="600"/>
        <w:rPr>
          <w:sz w:val="21"/>
        </w:rPr>
      </w:pPr>
      <w:r>
        <w:rPr>
          <w:rFonts w:hint="eastAsia"/>
          <w:sz w:val="21"/>
        </w:rPr>
        <w:t>M-</w:t>
      </w:r>
      <w:r>
        <w:rPr>
          <w:rFonts w:hint="eastAsia" w:ascii="宋体" w:hAnsi="宋体"/>
          <w:sz w:val="21"/>
        </w:rPr>
        <w:t>物质的摩尔质量，</w:t>
      </w:r>
      <w:r>
        <w:rPr>
          <w:rFonts w:hint="eastAsia"/>
          <w:sz w:val="21"/>
        </w:rPr>
        <w:t>kg/mol</w:t>
      </w:r>
      <w:r>
        <w:rPr>
          <w:rFonts w:hint="eastAsia" w:ascii="宋体" w:hAnsi="宋体"/>
          <w:sz w:val="21"/>
        </w:rPr>
        <w:t>；</w:t>
      </w:r>
    </w:p>
    <w:p w14:paraId="1AFF383C">
      <w:pPr>
        <w:pStyle w:val="281"/>
        <w:ind w:firstLine="1260" w:firstLineChars="600"/>
        <w:rPr>
          <w:sz w:val="21"/>
        </w:rPr>
      </w:pPr>
      <w:r>
        <w:rPr>
          <w:rFonts w:hint="eastAsia"/>
          <w:sz w:val="21"/>
        </w:rPr>
        <w:t>u-</w:t>
      </w:r>
      <w:r>
        <w:rPr>
          <w:rFonts w:hint="eastAsia" w:ascii="宋体" w:hAnsi="宋体"/>
          <w:sz w:val="21"/>
        </w:rPr>
        <w:t>风速，</w:t>
      </w:r>
      <w:r>
        <w:rPr>
          <w:rFonts w:hint="eastAsia"/>
          <w:sz w:val="21"/>
        </w:rPr>
        <w:t>m/s</w:t>
      </w:r>
      <w:r>
        <w:rPr>
          <w:rFonts w:hint="eastAsia" w:ascii="宋体" w:hAnsi="宋体"/>
          <w:sz w:val="21"/>
        </w:rPr>
        <w:t>；</w:t>
      </w:r>
    </w:p>
    <w:p w14:paraId="4C1D0E38">
      <w:pPr>
        <w:pStyle w:val="281"/>
        <w:ind w:firstLine="1260" w:firstLineChars="600"/>
        <w:rPr>
          <w:sz w:val="21"/>
        </w:rPr>
      </w:pPr>
      <w:r>
        <w:rPr>
          <w:rFonts w:hint="eastAsia"/>
          <w:sz w:val="21"/>
        </w:rPr>
        <w:t>r-</w:t>
      </w:r>
      <w:r>
        <w:rPr>
          <w:rFonts w:hint="eastAsia" w:ascii="宋体" w:hAnsi="宋体"/>
          <w:sz w:val="21"/>
        </w:rPr>
        <w:t>液池半径，</w:t>
      </w:r>
      <w:r>
        <w:rPr>
          <w:rFonts w:hint="eastAsia"/>
          <w:sz w:val="21"/>
        </w:rPr>
        <w:t>m</w:t>
      </w:r>
      <w:r>
        <w:rPr>
          <w:rFonts w:hint="eastAsia" w:ascii="宋体" w:hAnsi="宋体"/>
          <w:sz w:val="21"/>
        </w:rPr>
        <w:t>；</w:t>
      </w:r>
    </w:p>
    <w:p w14:paraId="11B74B92">
      <w:pPr>
        <w:pStyle w:val="281"/>
        <w:ind w:firstLine="1260" w:firstLineChars="600"/>
        <w:rPr>
          <w:rFonts w:hint="eastAsia" w:ascii="宋体" w:hAnsi="宋体"/>
          <w:sz w:val="21"/>
        </w:rPr>
      </w:pPr>
      <w:r>
        <w:rPr>
          <w:sz w:val="21"/>
        </w:rPr>
        <w:t>α,</w:t>
      </w:r>
      <w:r>
        <w:rPr>
          <w:rFonts w:hint="eastAsia"/>
          <w:sz w:val="21"/>
        </w:rPr>
        <w:t>n——</w:t>
      </w:r>
      <w:r>
        <w:rPr>
          <w:rFonts w:hint="eastAsia" w:ascii="宋体" w:hAnsi="宋体"/>
          <w:sz w:val="21"/>
        </w:rPr>
        <w:t>大气稳定度系数，取值见下表。</w:t>
      </w:r>
    </w:p>
    <w:p w14:paraId="3FDACF9E">
      <w:pPr>
        <w:pStyle w:val="535"/>
        <w:rPr>
          <w:rFonts w:hint="eastAsia"/>
          <w:color w:val="auto"/>
        </w:rPr>
      </w:pPr>
      <w:r>
        <w:rPr>
          <w:rFonts w:hint="eastAsia" w:eastAsia="宋体"/>
          <w:color w:val="auto"/>
        </w:rPr>
        <w:t>表7</w:t>
      </w:r>
      <w:r>
        <w:rPr>
          <w:rFonts w:eastAsia="宋体"/>
          <w:color w:val="auto"/>
        </w:rPr>
        <w:t>.6.2-</w:t>
      </w:r>
      <w:r>
        <w:rPr>
          <w:rFonts w:hint="eastAsia" w:eastAsia="宋体"/>
          <w:color w:val="auto"/>
        </w:rPr>
        <w:t>4</w:t>
      </w:r>
      <w:r>
        <w:rPr>
          <w:rFonts w:eastAsia="宋体"/>
          <w:color w:val="auto"/>
        </w:rPr>
        <w:t xml:space="preserve">    </w:t>
      </w:r>
      <w:r>
        <w:rPr>
          <w:rFonts w:hint="eastAsia"/>
          <w:color w:val="auto"/>
        </w:rPr>
        <w:t>液池蒸发模式参数</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3156"/>
        <w:gridCol w:w="2029"/>
        <w:gridCol w:w="2275"/>
      </w:tblGrid>
      <w:tr w14:paraId="4139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485BC75A">
            <w:pPr>
              <w:pStyle w:val="557"/>
            </w:pPr>
            <w:r>
              <w:rPr>
                <w:rFonts w:hint="eastAsia"/>
              </w:rPr>
              <w:t>序号</w:t>
            </w:r>
          </w:p>
        </w:tc>
        <w:tc>
          <w:tcPr>
            <w:tcW w:w="3087" w:type="dxa"/>
            <w:vAlign w:val="center"/>
          </w:tcPr>
          <w:p w14:paraId="03FB9134">
            <w:pPr>
              <w:pStyle w:val="557"/>
            </w:pPr>
            <w:r>
              <w:rPr>
                <w:rFonts w:hint="eastAsia"/>
              </w:rPr>
              <w:t>大气稳定度</w:t>
            </w:r>
          </w:p>
        </w:tc>
        <w:tc>
          <w:tcPr>
            <w:tcW w:w="1985" w:type="dxa"/>
            <w:vAlign w:val="center"/>
          </w:tcPr>
          <w:p w14:paraId="64FE32A2">
            <w:pPr>
              <w:pStyle w:val="557"/>
            </w:pPr>
            <w:r>
              <w:rPr>
                <w:rFonts w:hint="eastAsia"/>
              </w:rPr>
              <w:t>n</w:t>
            </w:r>
          </w:p>
        </w:tc>
        <w:tc>
          <w:tcPr>
            <w:tcW w:w="2225" w:type="dxa"/>
            <w:vAlign w:val="center"/>
          </w:tcPr>
          <w:p w14:paraId="06E95A48">
            <w:pPr>
              <w:pStyle w:val="557"/>
            </w:pPr>
            <w:r>
              <w:t>α</w:t>
            </w:r>
          </w:p>
        </w:tc>
      </w:tr>
      <w:tr w14:paraId="401C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4769E81B">
            <w:pPr>
              <w:pStyle w:val="557"/>
            </w:pPr>
            <w:r>
              <w:rPr>
                <w:rFonts w:hint="eastAsia"/>
              </w:rPr>
              <w:t>1</w:t>
            </w:r>
          </w:p>
        </w:tc>
        <w:tc>
          <w:tcPr>
            <w:tcW w:w="3087" w:type="dxa"/>
            <w:vAlign w:val="center"/>
          </w:tcPr>
          <w:p w14:paraId="44FA233C">
            <w:pPr>
              <w:pStyle w:val="557"/>
            </w:pPr>
            <w:r>
              <w:rPr>
                <w:rFonts w:hint="eastAsia"/>
              </w:rPr>
              <w:t>不稳定（A、</w:t>
            </w:r>
            <w:r>
              <w:t>B</w:t>
            </w:r>
            <w:r>
              <w:rPr>
                <w:rFonts w:hint="eastAsia"/>
              </w:rPr>
              <w:t>）</w:t>
            </w:r>
          </w:p>
        </w:tc>
        <w:tc>
          <w:tcPr>
            <w:tcW w:w="1985" w:type="dxa"/>
            <w:vAlign w:val="center"/>
          </w:tcPr>
          <w:p w14:paraId="4B267CF4">
            <w:pPr>
              <w:pStyle w:val="557"/>
            </w:pPr>
            <w:r>
              <w:rPr>
                <w:rFonts w:hint="eastAsia"/>
              </w:rPr>
              <w:t>0</w:t>
            </w:r>
            <w:r>
              <w:t>.2</w:t>
            </w:r>
          </w:p>
        </w:tc>
        <w:tc>
          <w:tcPr>
            <w:tcW w:w="2225" w:type="dxa"/>
            <w:vAlign w:val="center"/>
          </w:tcPr>
          <w:p w14:paraId="1E947369">
            <w:pPr>
              <w:pStyle w:val="557"/>
            </w:pPr>
            <w:r>
              <w:rPr>
                <w:rFonts w:hint="eastAsia"/>
              </w:rPr>
              <w:t>3</w:t>
            </w:r>
            <w:r>
              <w:t>.846</w:t>
            </w:r>
            <w:r>
              <w:rPr>
                <w:rFonts w:hint="eastAsia"/>
              </w:rPr>
              <w:t>×1</w:t>
            </w:r>
            <w:r>
              <w:t>0</w:t>
            </w:r>
            <w:r>
              <w:rPr>
                <w:rFonts w:hint="eastAsia"/>
                <w:vertAlign w:val="superscript"/>
              </w:rPr>
              <w:t>-</w:t>
            </w:r>
            <w:r>
              <w:rPr>
                <w:vertAlign w:val="superscript"/>
              </w:rPr>
              <w:t>3</w:t>
            </w:r>
          </w:p>
        </w:tc>
      </w:tr>
      <w:tr w14:paraId="242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175C6CEF">
            <w:pPr>
              <w:pStyle w:val="557"/>
            </w:pPr>
            <w:r>
              <w:rPr>
                <w:rFonts w:hint="eastAsia"/>
              </w:rPr>
              <w:t>2</w:t>
            </w:r>
          </w:p>
        </w:tc>
        <w:tc>
          <w:tcPr>
            <w:tcW w:w="3087" w:type="dxa"/>
            <w:vAlign w:val="center"/>
          </w:tcPr>
          <w:p w14:paraId="4FCBCBB0">
            <w:pPr>
              <w:pStyle w:val="557"/>
            </w:pPr>
            <w:r>
              <w:rPr>
                <w:rFonts w:hint="eastAsia"/>
              </w:rPr>
              <w:t>中性（C）</w:t>
            </w:r>
          </w:p>
        </w:tc>
        <w:tc>
          <w:tcPr>
            <w:tcW w:w="1985" w:type="dxa"/>
            <w:vAlign w:val="center"/>
          </w:tcPr>
          <w:p w14:paraId="585207FC">
            <w:pPr>
              <w:pStyle w:val="557"/>
            </w:pPr>
            <w:r>
              <w:rPr>
                <w:rFonts w:hint="eastAsia"/>
              </w:rPr>
              <w:t>0</w:t>
            </w:r>
            <w:r>
              <w:t>.25</w:t>
            </w:r>
          </w:p>
        </w:tc>
        <w:tc>
          <w:tcPr>
            <w:tcW w:w="2225" w:type="dxa"/>
            <w:vAlign w:val="center"/>
          </w:tcPr>
          <w:p w14:paraId="5E0941B6">
            <w:pPr>
              <w:pStyle w:val="557"/>
            </w:pPr>
            <w:r>
              <w:t>4.685</w:t>
            </w:r>
            <w:r>
              <w:rPr>
                <w:rFonts w:hint="eastAsia"/>
              </w:rPr>
              <w:t>×1</w:t>
            </w:r>
            <w:r>
              <w:t>0</w:t>
            </w:r>
            <w:r>
              <w:rPr>
                <w:rFonts w:hint="eastAsia"/>
                <w:vertAlign w:val="superscript"/>
              </w:rPr>
              <w:t>-</w:t>
            </w:r>
            <w:r>
              <w:rPr>
                <w:vertAlign w:val="superscript"/>
              </w:rPr>
              <w:t>3</w:t>
            </w:r>
          </w:p>
        </w:tc>
      </w:tr>
      <w:tr w14:paraId="2C5D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17AB28A7">
            <w:pPr>
              <w:pStyle w:val="557"/>
            </w:pPr>
            <w:r>
              <w:rPr>
                <w:rFonts w:hint="eastAsia"/>
              </w:rPr>
              <w:t>3</w:t>
            </w:r>
          </w:p>
        </w:tc>
        <w:tc>
          <w:tcPr>
            <w:tcW w:w="3087" w:type="dxa"/>
            <w:vAlign w:val="center"/>
          </w:tcPr>
          <w:p w14:paraId="1C434212">
            <w:pPr>
              <w:pStyle w:val="557"/>
            </w:pPr>
            <w:r>
              <w:rPr>
                <w:rFonts w:hint="eastAsia"/>
              </w:rPr>
              <w:t>稳定（E、</w:t>
            </w:r>
            <w:r>
              <w:t>F</w:t>
            </w:r>
            <w:r>
              <w:rPr>
                <w:rFonts w:hint="eastAsia"/>
              </w:rPr>
              <w:t>）</w:t>
            </w:r>
          </w:p>
        </w:tc>
        <w:tc>
          <w:tcPr>
            <w:tcW w:w="1985" w:type="dxa"/>
            <w:vAlign w:val="center"/>
          </w:tcPr>
          <w:p w14:paraId="5B4A773E">
            <w:pPr>
              <w:pStyle w:val="557"/>
            </w:pPr>
            <w:r>
              <w:rPr>
                <w:rFonts w:hint="eastAsia"/>
              </w:rPr>
              <w:t>0</w:t>
            </w:r>
            <w:r>
              <w:t>.3</w:t>
            </w:r>
          </w:p>
        </w:tc>
        <w:tc>
          <w:tcPr>
            <w:tcW w:w="2225" w:type="dxa"/>
            <w:vAlign w:val="center"/>
          </w:tcPr>
          <w:p w14:paraId="52CD6308">
            <w:pPr>
              <w:pStyle w:val="557"/>
            </w:pPr>
            <w:r>
              <w:t>5.285</w:t>
            </w:r>
            <w:r>
              <w:rPr>
                <w:rFonts w:hint="eastAsia"/>
              </w:rPr>
              <w:t>×1</w:t>
            </w:r>
            <w:r>
              <w:t>0</w:t>
            </w:r>
            <w:r>
              <w:rPr>
                <w:rFonts w:hint="eastAsia"/>
                <w:vertAlign w:val="superscript"/>
              </w:rPr>
              <w:t>-</w:t>
            </w:r>
            <w:r>
              <w:rPr>
                <w:vertAlign w:val="superscript"/>
              </w:rPr>
              <w:t>3</w:t>
            </w:r>
          </w:p>
        </w:tc>
      </w:tr>
    </w:tbl>
    <w:p w14:paraId="0B595A8A">
      <w:pPr>
        <w:pStyle w:val="535"/>
        <w:rPr>
          <w:rFonts w:hint="eastAsia"/>
          <w:color w:val="auto"/>
        </w:rPr>
      </w:pPr>
      <w:r>
        <w:rPr>
          <w:rFonts w:hint="eastAsia" w:eastAsia="宋体"/>
          <w:color w:val="auto"/>
        </w:rPr>
        <w:t>表7</w:t>
      </w:r>
      <w:r>
        <w:rPr>
          <w:rFonts w:eastAsia="宋体"/>
          <w:color w:val="auto"/>
        </w:rPr>
        <w:t>.6.2-</w:t>
      </w:r>
      <w:r>
        <w:rPr>
          <w:rFonts w:hint="eastAsia" w:eastAsia="宋体"/>
          <w:color w:val="auto"/>
        </w:rPr>
        <w:t>5</w:t>
      </w:r>
      <w:r>
        <w:rPr>
          <w:rFonts w:eastAsia="宋体"/>
          <w:color w:val="auto"/>
        </w:rPr>
        <w:t xml:space="preserve">    </w:t>
      </w:r>
      <w:r>
        <w:rPr>
          <w:rFonts w:hint="eastAsia"/>
          <w:color w:val="auto"/>
        </w:rPr>
        <w:t>参数取值一览表</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3156"/>
        <w:gridCol w:w="2029"/>
        <w:gridCol w:w="2275"/>
      </w:tblGrid>
      <w:tr w14:paraId="76B9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39" w:type="dxa"/>
            <w:vAlign w:val="center"/>
          </w:tcPr>
          <w:p w14:paraId="7DF31A59">
            <w:pPr>
              <w:pStyle w:val="557"/>
            </w:pPr>
            <w:r>
              <w:rPr>
                <w:rFonts w:hint="eastAsia"/>
              </w:rPr>
              <w:t>序号</w:t>
            </w:r>
          </w:p>
        </w:tc>
        <w:tc>
          <w:tcPr>
            <w:tcW w:w="3087" w:type="dxa"/>
            <w:vAlign w:val="center"/>
          </w:tcPr>
          <w:p w14:paraId="7246CDB4">
            <w:pPr>
              <w:pStyle w:val="557"/>
            </w:pPr>
            <w:r>
              <w:rPr>
                <w:rFonts w:hint="eastAsia"/>
              </w:rPr>
              <w:t>参数</w:t>
            </w:r>
          </w:p>
        </w:tc>
        <w:tc>
          <w:tcPr>
            <w:tcW w:w="1985" w:type="dxa"/>
            <w:vAlign w:val="center"/>
          </w:tcPr>
          <w:p w14:paraId="214E5885">
            <w:pPr>
              <w:pStyle w:val="557"/>
            </w:pPr>
            <w:r>
              <w:rPr>
                <w:rFonts w:hint="eastAsia"/>
              </w:rPr>
              <w:t>单位</w:t>
            </w:r>
          </w:p>
        </w:tc>
        <w:tc>
          <w:tcPr>
            <w:tcW w:w="2225" w:type="dxa"/>
            <w:vAlign w:val="center"/>
          </w:tcPr>
          <w:p w14:paraId="55A6AFF8">
            <w:pPr>
              <w:pStyle w:val="557"/>
            </w:pPr>
            <w:r>
              <w:rPr>
                <w:rFonts w:hint="eastAsia"/>
              </w:rPr>
              <w:t>取值</w:t>
            </w:r>
          </w:p>
        </w:tc>
      </w:tr>
      <w:tr w14:paraId="63CE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4C0D9BE5">
            <w:pPr>
              <w:pStyle w:val="557"/>
            </w:pPr>
            <w:r>
              <w:rPr>
                <w:rFonts w:hint="eastAsia"/>
              </w:rPr>
              <w:t>1</w:t>
            </w:r>
          </w:p>
        </w:tc>
        <w:tc>
          <w:tcPr>
            <w:tcW w:w="3087" w:type="dxa"/>
            <w:vAlign w:val="center"/>
          </w:tcPr>
          <w:p w14:paraId="412290A9">
            <w:pPr>
              <w:pStyle w:val="557"/>
            </w:pPr>
            <w:r>
              <w:t>P</w:t>
            </w:r>
          </w:p>
        </w:tc>
        <w:tc>
          <w:tcPr>
            <w:tcW w:w="1985" w:type="dxa"/>
            <w:vAlign w:val="center"/>
          </w:tcPr>
          <w:p w14:paraId="66146F85">
            <w:pPr>
              <w:pStyle w:val="557"/>
            </w:pPr>
            <w:r>
              <w:rPr>
                <w:rFonts w:hint="eastAsia"/>
              </w:rPr>
              <w:t>k</w:t>
            </w:r>
            <w:r>
              <w:t>P</w:t>
            </w:r>
            <w:r>
              <w:rPr>
                <w:rFonts w:hint="eastAsia"/>
              </w:rPr>
              <w:t>a</w:t>
            </w:r>
          </w:p>
        </w:tc>
        <w:tc>
          <w:tcPr>
            <w:tcW w:w="2225" w:type="dxa"/>
            <w:vAlign w:val="center"/>
          </w:tcPr>
          <w:p w14:paraId="39073023">
            <w:pPr>
              <w:pStyle w:val="557"/>
            </w:pPr>
            <w:r>
              <w:rPr>
                <w:rFonts w:hint="eastAsia"/>
              </w:rPr>
              <w:t>13.02</w:t>
            </w:r>
          </w:p>
        </w:tc>
      </w:tr>
      <w:tr w14:paraId="218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035138AB">
            <w:pPr>
              <w:pStyle w:val="557"/>
            </w:pPr>
            <w:r>
              <w:rPr>
                <w:rFonts w:hint="eastAsia"/>
              </w:rPr>
              <w:t>2</w:t>
            </w:r>
          </w:p>
        </w:tc>
        <w:tc>
          <w:tcPr>
            <w:tcW w:w="3087" w:type="dxa"/>
            <w:vAlign w:val="center"/>
          </w:tcPr>
          <w:p w14:paraId="5DF7BC28">
            <w:pPr>
              <w:pStyle w:val="557"/>
            </w:pPr>
            <w:r>
              <w:rPr>
                <w:rFonts w:hint="eastAsia"/>
              </w:rPr>
              <w:t>R</w:t>
            </w:r>
          </w:p>
        </w:tc>
        <w:tc>
          <w:tcPr>
            <w:tcW w:w="1985" w:type="dxa"/>
            <w:vAlign w:val="center"/>
          </w:tcPr>
          <w:p w14:paraId="03FA21AE">
            <w:pPr>
              <w:pStyle w:val="557"/>
            </w:pPr>
            <w:r>
              <w:rPr>
                <w:rFonts w:hint="eastAsia"/>
              </w:rPr>
              <w:t>J/（mol·K）</w:t>
            </w:r>
          </w:p>
        </w:tc>
        <w:tc>
          <w:tcPr>
            <w:tcW w:w="2225" w:type="dxa"/>
            <w:vAlign w:val="center"/>
          </w:tcPr>
          <w:p w14:paraId="2DEABDD8">
            <w:pPr>
              <w:pStyle w:val="557"/>
            </w:pPr>
            <w:r>
              <w:rPr>
                <w:rFonts w:hint="eastAsia"/>
              </w:rPr>
              <w:t>8</w:t>
            </w:r>
            <w:r>
              <w:t>.314</w:t>
            </w:r>
          </w:p>
        </w:tc>
      </w:tr>
      <w:tr w14:paraId="50D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0C7CDE98">
            <w:pPr>
              <w:pStyle w:val="557"/>
            </w:pPr>
            <w:r>
              <w:rPr>
                <w:rFonts w:hint="eastAsia"/>
              </w:rPr>
              <w:t>3</w:t>
            </w:r>
          </w:p>
        </w:tc>
        <w:tc>
          <w:tcPr>
            <w:tcW w:w="3087" w:type="dxa"/>
            <w:vAlign w:val="center"/>
          </w:tcPr>
          <w:p w14:paraId="2D741E39">
            <w:pPr>
              <w:pStyle w:val="557"/>
            </w:pPr>
            <w:r>
              <w:rPr>
                <w:rFonts w:hint="eastAsia"/>
              </w:rPr>
              <w:t>T</w:t>
            </w:r>
            <w:r>
              <w:rPr>
                <w:vertAlign w:val="subscript"/>
              </w:rPr>
              <w:t>0</w:t>
            </w:r>
          </w:p>
        </w:tc>
        <w:tc>
          <w:tcPr>
            <w:tcW w:w="1985" w:type="dxa"/>
            <w:vAlign w:val="center"/>
          </w:tcPr>
          <w:p w14:paraId="5AB8429A">
            <w:pPr>
              <w:pStyle w:val="557"/>
            </w:pPr>
            <w:r>
              <w:rPr>
                <w:rFonts w:hint="eastAsia"/>
              </w:rPr>
              <w:t>K</w:t>
            </w:r>
          </w:p>
        </w:tc>
        <w:tc>
          <w:tcPr>
            <w:tcW w:w="2225" w:type="dxa"/>
            <w:vAlign w:val="center"/>
          </w:tcPr>
          <w:p w14:paraId="69DFFC3D">
            <w:pPr>
              <w:pStyle w:val="557"/>
            </w:pPr>
            <w:r>
              <w:rPr>
                <w:rFonts w:hint="eastAsia"/>
              </w:rPr>
              <w:t>2</w:t>
            </w:r>
            <w:r>
              <w:t>93</w:t>
            </w:r>
          </w:p>
        </w:tc>
      </w:tr>
      <w:tr w14:paraId="4791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39CEDAD8">
            <w:pPr>
              <w:pStyle w:val="557"/>
            </w:pPr>
            <w:r>
              <w:rPr>
                <w:rFonts w:hint="eastAsia"/>
              </w:rPr>
              <w:t>4</w:t>
            </w:r>
          </w:p>
        </w:tc>
        <w:tc>
          <w:tcPr>
            <w:tcW w:w="3087" w:type="dxa"/>
            <w:vAlign w:val="center"/>
          </w:tcPr>
          <w:p w14:paraId="4FAE51E1">
            <w:pPr>
              <w:pStyle w:val="557"/>
            </w:pPr>
            <w:r>
              <w:rPr>
                <w:rFonts w:hint="eastAsia"/>
              </w:rPr>
              <w:t>U</w:t>
            </w:r>
          </w:p>
        </w:tc>
        <w:tc>
          <w:tcPr>
            <w:tcW w:w="1985" w:type="dxa"/>
            <w:vAlign w:val="center"/>
          </w:tcPr>
          <w:p w14:paraId="6D881487">
            <w:pPr>
              <w:pStyle w:val="557"/>
            </w:pPr>
            <w:r>
              <w:rPr>
                <w:rFonts w:hint="eastAsia"/>
              </w:rPr>
              <w:t>m/s</w:t>
            </w:r>
          </w:p>
        </w:tc>
        <w:tc>
          <w:tcPr>
            <w:tcW w:w="2225" w:type="dxa"/>
            <w:vAlign w:val="center"/>
          </w:tcPr>
          <w:p w14:paraId="18887F8C">
            <w:pPr>
              <w:pStyle w:val="557"/>
            </w:pPr>
            <w:r>
              <w:rPr>
                <w:rFonts w:hint="eastAsia"/>
              </w:rPr>
              <w:t>1</w:t>
            </w:r>
            <w:r>
              <w:t>.5</w:t>
            </w:r>
          </w:p>
        </w:tc>
      </w:tr>
      <w:tr w14:paraId="7CFE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9" w:type="dxa"/>
            <w:vAlign w:val="center"/>
          </w:tcPr>
          <w:p w14:paraId="430F7FC6">
            <w:pPr>
              <w:pStyle w:val="557"/>
            </w:pPr>
            <w:r>
              <w:rPr>
                <w:rFonts w:hint="eastAsia"/>
              </w:rPr>
              <w:t>5</w:t>
            </w:r>
          </w:p>
        </w:tc>
        <w:tc>
          <w:tcPr>
            <w:tcW w:w="3087" w:type="dxa"/>
            <w:vAlign w:val="center"/>
          </w:tcPr>
          <w:p w14:paraId="44A59A88">
            <w:pPr>
              <w:pStyle w:val="557"/>
            </w:pPr>
            <w:r>
              <w:rPr>
                <w:rFonts w:hint="eastAsia"/>
              </w:rPr>
              <w:t>r</w:t>
            </w:r>
          </w:p>
        </w:tc>
        <w:tc>
          <w:tcPr>
            <w:tcW w:w="1985" w:type="dxa"/>
            <w:vAlign w:val="center"/>
          </w:tcPr>
          <w:p w14:paraId="202637D0">
            <w:pPr>
              <w:pStyle w:val="557"/>
            </w:pPr>
            <w:r>
              <w:rPr>
                <w:rFonts w:hint="eastAsia"/>
              </w:rPr>
              <w:t>m</w:t>
            </w:r>
          </w:p>
        </w:tc>
        <w:tc>
          <w:tcPr>
            <w:tcW w:w="2225" w:type="dxa"/>
            <w:vAlign w:val="center"/>
          </w:tcPr>
          <w:p w14:paraId="7537E952">
            <w:pPr>
              <w:pStyle w:val="557"/>
            </w:pPr>
            <w:r>
              <w:rPr>
                <w:rFonts w:hint="eastAsia"/>
              </w:rPr>
              <w:t>1</w:t>
            </w:r>
            <w:r>
              <w:t>0</w:t>
            </w:r>
          </w:p>
        </w:tc>
      </w:tr>
    </w:tbl>
    <w:p w14:paraId="5A3A8292">
      <w:pPr>
        <w:pStyle w:val="557"/>
      </w:pPr>
    </w:p>
    <w:p w14:paraId="11AFF6FB">
      <w:pPr>
        <w:pStyle w:val="281"/>
        <w:ind w:firstLine="480"/>
      </w:pPr>
      <w:r>
        <w:t>根据计算</w:t>
      </w:r>
      <w:r>
        <w:rPr>
          <w:rFonts w:hint="eastAsia" w:ascii="宋体" w:hAnsi="宋体"/>
        </w:rPr>
        <w:t>甲醇</w:t>
      </w:r>
      <w:r>
        <w:t>蒸发速率为</w:t>
      </w:r>
      <w:bookmarkStart w:id="487" w:name="_Hlk107505610"/>
      <w:r>
        <w:rPr>
          <w:rFonts w:hint="eastAsia"/>
        </w:rPr>
        <w:t>6.58</w:t>
      </w:r>
      <w:r>
        <w:t>kg/s</w:t>
      </w:r>
      <w:bookmarkEnd w:id="487"/>
      <w:r>
        <w:t>。</w:t>
      </w:r>
    </w:p>
    <w:p w14:paraId="26A2A9CA">
      <w:pPr>
        <w:pStyle w:val="281"/>
        <w:ind w:firstLine="480"/>
      </w:pPr>
      <w:r>
        <w:t>（3）</w:t>
      </w:r>
      <w:r>
        <w:rPr>
          <w:rFonts w:hint="eastAsia" w:ascii="宋体" w:hAnsi="宋体"/>
        </w:rPr>
        <w:t>甲醇泄漏发生</w:t>
      </w:r>
      <w:r>
        <w:t>火灾伴生/次生污染物产生量</w:t>
      </w:r>
    </w:p>
    <w:p w14:paraId="49588379">
      <w:pPr>
        <w:pStyle w:val="281"/>
        <w:ind w:firstLine="480"/>
      </w:pPr>
      <w:r>
        <w:rPr>
          <w:rFonts w:hint="eastAsia" w:ascii="宋体" w:hAnsi="宋体"/>
        </w:rPr>
        <w:t>甲醇</w:t>
      </w:r>
      <w:r>
        <w:t>燃烧过程中伴生的CO产生量可按下式进行估算：</w:t>
      </w:r>
    </w:p>
    <w:p w14:paraId="63B891AC">
      <w:pPr>
        <w:pStyle w:val="281"/>
        <w:ind w:firstLine="480"/>
        <w:jc w:val="center"/>
      </w:pPr>
      <w:r>
        <w:t>G</w:t>
      </w:r>
      <w:r>
        <w:rPr>
          <w:vertAlign w:val="subscript"/>
        </w:rPr>
        <w:t>co</w:t>
      </w:r>
      <w:r>
        <w:t>=2330qCQ</w:t>
      </w:r>
    </w:p>
    <w:p w14:paraId="3AB94FB9">
      <w:pPr>
        <w:pStyle w:val="281"/>
        <w:ind w:firstLine="480"/>
        <w:rPr>
          <w:sz w:val="21"/>
        </w:rPr>
      </w:pPr>
      <w:r>
        <w:t>式中，</w:t>
      </w:r>
      <w:r>
        <w:rPr>
          <w:sz w:val="21"/>
        </w:rPr>
        <w:t>Gco——CO 的产生量，kg/s；</w:t>
      </w:r>
    </w:p>
    <w:p w14:paraId="723436AF">
      <w:pPr>
        <w:pStyle w:val="281"/>
        <w:ind w:firstLine="1260" w:firstLineChars="600"/>
        <w:rPr>
          <w:sz w:val="21"/>
        </w:rPr>
      </w:pPr>
      <w:r>
        <w:rPr>
          <w:sz w:val="21"/>
        </w:rPr>
        <w:t>q——化学不完全燃烧值，取</w:t>
      </w:r>
      <w:r>
        <w:rPr>
          <w:rFonts w:hint="eastAsia"/>
          <w:sz w:val="21"/>
        </w:rPr>
        <w:t>5</w:t>
      </w:r>
      <w:r>
        <w:rPr>
          <w:sz w:val="21"/>
        </w:rPr>
        <w:t>%；</w:t>
      </w:r>
    </w:p>
    <w:p w14:paraId="5822C68B">
      <w:pPr>
        <w:pStyle w:val="281"/>
        <w:ind w:firstLine="1260" w:firstLineChars="600"/>
        <w:rPr>
          <w:sz w:val="21"/>
        </w:rPr>
      </w:pPr>
      <w:r>
        <w:rPr>
          <w:sz w:val="21"/>
        </w:rPr>
        <w:t>C——物质中碳的含量，取91.3%；</w:t>
      </w:r>
    </w:p>
    <w:p w14:paraId="49279CC9">
      <w:pPr>
        <w:pStyle w:val="281"/>
        <w:ind w:firstLine="1260" w:firstLineChars="600"/>
        <w:rPr>
          <w:sz w:val="21"/>
        </w:rPr>
      </w:pPr>
      <w:r>
        <w:rPr>
          <w:sz w:val="21"/>
        </w:rPr>
        <w:t>Q——参与燃烧的物质量，t/s；</w:t>
      </w:r>
      <w:r>
        <w:rPr>
          <w:rFonts w:hint="eastAsia"/>
          <w:sz w:val="21"/>
        </w:rPr>
        <w:t>甲醇</w:t>
      </w:r>
      <w:r>
        <w:rPr>
          <w:sz w:val="21"/>
        </w:rPr>
        <w:t>储罐泄漏火灾事故预测，参与燃烧的</w:t>
      </w:r>
      <w:r>
        <w:rPr>
          <w:rFonts w:hint="eastAsia"/>
          <w:sz w:val="21"/>
        </w:rPr>
        <w:t>甲醇</w:t>
      </w:r>
      <w:r>
        <w:rPr>
          <w:sz w:val="21"/>
        </w:rPr>
        <w:t>为</w:t>
      </w:r>
      <w:r>
        <w:rPr>
          <w:rFonts w:hint="eastAsia"/>
          <w:sz w:val="21"/>
        </w:rPr>
        <w:t>甲醇</w:t>
      </w:r>
      <w:r>
        <w:rPr>
          <w:sz w:val="21"/>
        </w:rPr>
        <w:t>泄漏量，即</w:t>
      </w:r>
      <w:r>
        <w:rPr>
          <w:rFonts w:hint="eastAsia"/>
          <w:sz w:val="21"/>
        </w:rPr>
        <w:t>17.89</w:t>
      </w:r>
      <w:r>
        <w:rPr>
          <w:rFonts w:eastAsiaTheme="minorEastAsia"/>
          <w:sz w:val="21"/>
        </w:rPr>
        <w:t>kg</w:t>
      </w:r>
      <w:r>
        <w:rPr>
          <w:sz w:val="21"/>
        </w:rPr>
        <w:t>/s。</w:t>
      </w:r>
    </w:p>
    <w:p w14:paraId="0FB6A024">
      <w:pPr>
        <w:pStyle w:val="281"/>
        <w:ind w:firstLine="480"/>
      </w:pPr>
      <w:r>
        <w:t>根据公式计算得CO的产生量为</w:t>
      </w:r>
      <w:r>
        <w:rPr>
          <w:rFonts w:hint="eastAsia"/>
        </w:rPr>
        <w:t>1.9</w:t>
      </w:r>
      <w:r>
        <w:t>kg/s。</w:t>
      </w:r>
    </w:p>
    <w:p w14:paraId="6C2A45BD">
      <w:pPr>
        <w:pStyle w:val="98"/>
        <w:rPr>
          <w:rFonts w:hint="eastAsia"/>
        </w:rPr>
      </w:pPr>
      <w:r>
        <w:rPr>
          <w:rFonts w:hint="eastAsia"/>
        </w:rPr>
        <w:t>甲酸甲酯泄漏事故</w:t>
      </w:r>
    </w:p>
    <w:p w14:paraId="2CC25A7F">
      <w:pPr>
        <w:pStyle w:val="281"/>
        <w:ind w:firstLine="480"/>
      </w:pPr>
      <w:r>
        <w:rPr>
          <w:rFonts w:hint="eastAsia"/>
        </w:rPr>
        <w:t>项目设置2个甲酸甲酯罐储罐，容积为100m</w:t>
      </w:r>
      <w:r>
        <w:rPr>
          <w:rFonts w:hint="eastAsia"/>
          <w:vertAlign w:val="superscript"/>
        </w:rPr>
        <w:t>3</w:t>
      </w:r>
      <w:r>
        <w:rPr>
          <w:rFonts w:hint="eastAsia"/>
        </w:rPr>
        <w:t>，</w:t>
      </w:r>
      <w:r>
        <w:rPr>
          <w:rFonts w:hint="eastAsia" w:ascii="宋体" w:hAnsi="宋体"/>
        </w:rPr>
        <w:t>假定单个储罐出口管线接口处破裂，</w:t>
      </w:r>
      <w:r>
        <w:rPr>
          <w:rFonts w:hint="eastAsia"/>
        </w:rPr>
        <w:t>甲酸甲酯</w:t>
      </w:r>
      <w:r>
        <w:rPr>
          <w:rFonts w:hint="eastAsia" w:ascii="宋体" w:hAnsi="宋体"/>
        </w:rPr>
        <w:t>泄漏蒸发，释放时间</w:t>
      </w:r>
      <w:r>
        <w:t>1</w:t>
      </w:r>
      <w:r>
        <w:rPr>
          <w:rFonts w:hint="eastAsia"/>
        </w:rPr>
        <w:t>0min</w:t>
      </w:r>
      <w:r>
        <w:rPr>
          <w:rFonts w:hint="eastAsia" w:ascii="宋体" w:hAnsi="宋体"/>
        </w:rPr>
        <w:t>。</w:t>
      </w:r>
      <w:r>
        <w:rPr>
          <w:rFonts w:hint="eastAsia"/>
        </w:rPr>
        <w:t>甲酸甲酯</w:t>
      </w:r>
      <w:r>
        <w:rPr>
          <w:rFonts w:hint="eastAsia" w:ascii="宋体" w:hAnsi="宋体"/>
        </w:rPr>
        <w:t>储罐出口管线直径100</w:t>
      </w:r>
      <w:r>
        <w:rPr>
          <w:rFonts w:hint="eastAsia"/>
        </w:rPr>
        <w:t>mm</w:t>
      </w:r>
      <w:r>
        <w:rPr>
          <w:rFonts w:hint="eastAsia" w:ascii="宋体" w:hAnsi="宋体"/>
        </w:rPr>
        <w:t>，假定管径断裂，</w:t>
      </w:r>
      <w:r>
        <w:rPr>
          <w:rFonts w:hint="eastAsia"/>
        </w:rPr>
        <w:t>甲酸甲酯全部</w:t>
      </w:r>
      <w:r>
        <w:rPr>
          <w:rFonts w:hint="eastAsia" w:ascii="宋体" w:hAnsi="宋体"/>
        </w:rPr>
        <w:t>泄漏至防火堤内蒸发。</w:t>
      </w:r>
    </w:p>
    <w:p w14:paraId="37169746">
      <w:pPr>
        <w:pStyle w:val="281"/>
        <w:ind w:firstLine="480"/>
      </w:pPr>
      <w:r>
        <w:t>根据以上公式计算</w:t>
      </w:r>
      <w:r>
        <w:rPr>
          <w:rFonts w:hint="eastAsia"/>
        </w:rPr>
        <w:t>甲酸甲酯</w:t>
      </w:r>
      <w:r>
        <w:t>总泄漏速率为</w:t>
      </w:r>
      <w:r>
        <w:rPr>
          <w:rFonts w:hint="eastAsia"/>
        </w:rPr>
        <w:t>46.67</w:t>
      </w:r>
      <w:r>
        <w:t>kg/s</w:t>
      </w:r>
      <w:r>
        <w:rPr>
          <w:rFonts w:hint="eastAsia"/>
        </w:rPr>
        <w:t>，</w:t>
      </w:r>
      <w:r>
        <w:t>蒸发速率为</w:t>
      </w:r>
      <w:r>
        <w:rPr>
          <w:rFonts w:hint="eastAsia"/>
        </w:rPr>
        <w:t>0.075</w:t>
      </w:r>
      <w:r>
        <w:t>kg/s。</w:t>
      </w:r>
    </w:p>
    <w:p w14:paraId="78B629CC">
      <w:pPr>
        <w:pStyle w:val="281"/>
        <w:ind w:firstLine="480"/>
      </w:pPr>
      <w:r>
        <w:rPr>
          <w:rFonts w:hint="eastAsia"/>
        </w:rPr>
        <w:t>甲酸甲酯</w:t>
      </w:r>
      <w:r>
        <w:rPr>
          <w:rFonts w:hint="eastAsia" w:ascii="宋体" w:hAnsi="宋体"/>
        </w:rPr>
        <w:t>燃烧</w:t>
      </w:r>
      <w:r>
        <w:t>CO的产生量为</w:t>
      </w:r>
      <w:r>
        <w:rPr>
          <w:rFonts w:hint="eastAsia"/>
        </w:rPr>
        <w:t>2.17</w:t>
      </w:r>
      <w:r>
        <w:t>kg/s。</w:t>
      </w:r>
    </w:p>
    <w:p w14:paraId="7F6E8159">
      <w:pPr>
        <w:pStyle w:val="98"/>
        <w:rPr>
          <w:rFonts w:hint="eastAsia"/>
          <w:color w:val="auto"/>
        </w:rPr>
      </w:pPr>
      <w:r>
        <w:rPr>
          <w:rFonts w:hint="eastAsia"/>
          <w:color w:val="auto"/>
        </w:rPr>
        <w:t>硝酸泄漏事故</w:t>
      </w:r>
    </w:p>
    <w:p w14:paraId="4D65387B">
      <w:pPr>
        <w:pStyle w:val="281"/>
        <w:ind w:firstLine="480"/>
      </w:pPr>
      <w:r>
        <w:rPr>
          <w:rFonts w:hint="eastAsia"/>
        </w:rPr>
        <w:t>项目硝酸储存量为24.0t，假定全部泄漏，泄漏时间为1</w:t>
      </w:r>
      <w:r>
        <w:t>0</w:t>
      </w:r>
      <w:r>
        <w:rPr>
          <w:rFonts w:hint="eastAsia"/>
        </w:rPr>
        <w:t>min，泄漏速率为40k</w:t>
      </w:r>
      <w:r>
        <w:t>g/s</w:t>
      </w:r>
      <w:r>
        <w:rPr>
          <w:rFonts w:hint="eastAsia"/>
        </w:rPr>
        <w:t>。</w:t>
      </w:r>
      <w:r>
        <w:t>根据计算</w:t>
      </w:r>
      <w:r>
        <w:rPr>
          <w:rFonts w:hint="eastAsia"/>
        </w:rPr>
        <w:t>硝酸</w:t>
      </w:r>
      <w:r>
        <w:t>蒸发速率为0.02kg/s。</w:t>
      </w:r>
    </w:p>
    <w:p w14:paraId="3F3497FB">
      <w:pPr>
        <w:pStyle w:val="3"/>
        <w:rPr>
          <w:rFonts w:hint="eastAsia"/>
        </w:rPr>
      </w:pPr>
      <w:bookmarkStart w:id="488" w:name="_Toc23458"/>
      <w:bookmarkStart w:id="489" w:name="_Toc20763578"/>
      <w:bookmarkStart w:id="490" w:name="_Toc69750986"/>
      <w:bookmarkStart w:id="491" w:name="_Toc194592907"/>
      <w:bookmarkStart w:id="492" w:name="_Toc70372825"/>
      <w:bookmarkStart w:id="493" w:name="_Toc4671"/>
      <w:bookmarkStart w:id="494" w:name="_Toc71012660"/>
      <w:bookmarkStart w:id="495" w:name="_Toc249155363"/>
      <w:bookmarkStart w:id="496" w:name="_Toc286927334"/>
      <w:r>
        <w:rPr>
          <w:rFonts w:hint="eastAsia"/>
        </w:rPr>
        <w:t>环境风险</w:t>
      </w:r>
      <w:bookmarkEnd w:id="488"/>
      <w:bookmarkEnd w:id="489"/>
      <w:bookmarkEnd w:id="490"/>
      <w:r>
        <w:rPr>
          <w:rFonts w:hint="eastAsia"/>
        </w:rPr>
        <w:t>事故预测与评价</w:t>
      </w:r>
      <w:bookmarkEnd w:id="491"/>
      <w:bookmarkEnd w:id="492"/>
      <w:bookmarkEnd w:id="493"/>
      <w:bookmarkEnd w:id="494"/>
    </w:p>
    <w:p w14:paraId="5FB75518">
      <w:pPr>
        <w:pStyle w:val="97"/>
        <w:rPr>
          <w:rFonts w:hint="eastAsia"/>
        </w:rPr>
      </w:pPr>
      <w:r>
        <w:rPr>
          <w:rFonts w:hint="eastAsia"/>
        </w:rPr>
        <w:t>环境风险大气环境影响预测与评价</w:t>
      </w:r>
    </w:p>
    <w:p w14:paraId="17485C8D">
      <w:pPr>
        <w:pStyle w:val="98"/>
        <w:rPr>
          <w:rFonts w:hint="eastAsia"/>
          <w:color w:val="auto"/>
        </w:rPr>
      </w:pPr>
      <w:r>
        <w:rPr>
          <w:rFonts w:hint="eastAsia"/>
          <w:color w:val="auto"/>
        </w:rPr>
        <w:t>气体性质</w:t>
      </w:r>
    </w:p>
    <w:p w14:paraId="4E13571A">
      <w:pPr>
        <w:pStyle w:val="281"/>
        <w:ind w:firstLine="480"/>
      </w:pPr>
      <w:r>
        <w:rPr>
          <w:rFonts w:hint="eastAsia"/>
        </w:rPr>
        <w:t>本项目事故情况下，本项目风险评价范围内最近的环境敏感点为项目东南侧4.6km花园乡，Td≤T，（Td=600s），事故源为瞬时排放。依据《建设项目环境风险</w:t>
      </w:r>
      <w:r>
        <w:rPr>
          <w:rFonts w:hint="eastAsia" w:ascii="宋体" w:hAnsi="宋体"/>
        </w:rPr>
        <w:t>评价技术导则》（</w:t>
      </w:r>
      <w:r>
        <w:t>HJ169-2018</w:t>
      </w:r>
      <w:r>
        <w:rPr>
          <w:rFonts w:hint="eastAsia" w:ascii="宋体" w:hAnsi="宋体"/>
        </w:rPr>
        <w:t>）中理查德森数</w:t>
      </w:r>
      <w:r>
        <w:t>(Ri)</w:t>
      </w:r>
      <w:r>
        <w:rPr>
          <w:rFonts w:hint="eastAsia" w:ascii="宋体" w:hAnsi="宋体"/>
        </w:rPr>
        <w:t>作为是否重质气体的判断标准。判断标准为：对于瞬时排放，</w:t>
      </w:r>
      <w:r>
        <w:t>Ri</w:t>
      </w:r>
      <w:r>
        <w:rPr>
          <w:rFonts w:hint="eastAsia" w:ascii="宋体" w:hAnsi="宋体"/>
        </w:rPr>
        <w:t>＞</w:t>
      </w:r>
      <w:r>
        <w:t>0.04</w:t>
      </w:r>
      <w:r>
        <w:rPr>
          <w:rFonts w:hint="eastAsia" w:ascii="宋体" w:hAnsi="宋体"/>
        </w:rPr>
        <w:t>为重质气体，</w:t>
      </w:r>
      <w:r>
        <w:t>Ri≤0.04</w:t>
      </w:r>
      <w:r>
        <w:rPr>
          <w:rFonts w:hint="eastAsia" w:ascii="宋体" w:hAnsi="宋体"/>
        </w:rPr>
        <w:t>为轻质气体。</w:t>
      </w:r>
    </w:p>
    <w:p w14:paraId="57015E08">
      <w:pPr>
        <w:pStyle w:val="281"/>
        <w:ind w:firstLine="480"/>
      </w:pPr>
      <w:r>
        <w:t>Ri</w:t>
      </w:r>
      <w:r>
        <w:rPr>
          <w:rFonts w:hint="eastAsia" w:ascii="宋体" w:hAnsi="宋体"/>
        </w:rPr>
        <w:t>的公式为：</w:t>
      </w:r>
    </w:p>
    <w:p w14:paraId="6A812DB9">
      <w:pPr>
        <w:ind w:firstLine="480"/>
        <w:jc w:val="center"/>
        <w:rPr>
          <w:rFonts w:hint="eastAsia"/>
        </w:rPr>
      </w:pPr>
      <w:r>
        <w:object>
          <v:shape id="_x0000_i1052" o:spt="75" type="#_x0000_t75" style="height:43.5pt;width:158.25pt;" o:ole="t" filled="f" o:preferrelative="t" stroked="f" coordsize="21600,21600">
            <v:path/>
            <v:fill on="f" focussize="0,0"/>
            <v:stroke on="f" joinstyle="miter"/>
            <v:imagedata r:id="rId95" embosscolor="#FFFFFF" o:title=""/>
            <o:lock v:ext="edit" aspectratio="t"/>
            <w10:wrap type="none"/>
            <w10:anchorlock/>
          </v:shape>
          <o:OLEObject Type="Embed" ProgID="Equation.DSMT4" ShapeID="_x0000_i1052" DrawAspect="Content" ObjectID="_1468075752" r:id="rId94">
            <o:LockedField>false</o:LockedField>
          </o:OLEObject>
        </w:object>
      </w:r>
    </w:p>
    <w:p w14:paraId="78C403B8">
      <w:pPr>
        <w:pStyle w:val="281"/>
        <w:ind w:firstLine="480"/>
        <w:rPr>
          <w:rFonts w:hint="eastAsia" w:ascii="宋体" w:hAnsi="宋体"/>
        </w:rPr>
      </w:pPr>
      <w:r>
        <w:rPr>
          <w:rFonts w:hint="eastAsia" w:ascii="宋体" w:hAnsi="宋体"/>
        </w:rPr>
        <w:t>式中：</w:t>
      </w:r>
    </w:p>
    <w:p w14:paraId="12CFB12B">
      <w:pPr>
        <w:pStyle w:val="281"/>
        <w:ind w:firstLine="420"/>
        <w:rPr>
          <w:sz w:val="21"/>
        </w:rPr>
      </w:pPr>
      <w:r>
        <w:rPr>
          <w:sz w:val="21"/>
        </w:rPr>
        <w:t>ρ</w:t>
      </w:r>
      <w:r>
        <w:rPr>
          <w:rFonts w:hint="eastAsia"/>
          <w:sz w:val="21"/>
          <w:vertAlign w:val="subscript"/>
        </w:rPr>
        <w:t>rel</w:t>
      </w:r>
      <w:r>
        <w:rPr>
          <w:rFonts w:hint="eastAsia"/>
          <w:sz w:val="21"/>
        </w:rPr>
        <w:t>——</w:t>
      </w:r>
      <w:r>
        <w:rPr>
          <w:rFonts w:hint="eastAsia" w:ascii="宋体" w:hAnsi="宋体"/>
          <w:sz w:val="21"/>
        </w:rPr>
        <w:t>排放物质进入大气的初始密度，</w:t>
      </w:r>
      <w:r>
        <w:rPr>
          <w:rFonts w:hint="eastAsia"/>
          <w:sz w:val="21"/>
        </w:rPr>
        <w:t>kg/m</w:t>
      </w:r>
      <w:r>
        <w:rPr>
          <w:rFonts w:hint="eastAsia"/>
          <w:sz w:val="21"/>
          <w:vertAlign w:val="superscript"/>
        </w:rPr>
        <w:t>3</w:t>
      </w:r>
      <w:r>
        <w:rPr>
          <w:rFonts w:hint="eastAsia" w:ascii="宋体" w:hAnsi="宋体"/>
          <w:sz w:val="21"/>
        </w:rPr>
        <w:t>；</w:t>
      </w:r>
    </w:p>
    <w:p w14:paraId="44CC73E5">
      <w:pPr>
        <w:pStyle w:val="281"/>
        <w:ind w:firstLine="420"/>
        <w:rPr>
          <w:sz w:val="21"/>
        </w:rPr>
      </w:pPr>
      <w:r>
        <w:rPr>
          <w:sz w:val="21"/>
        </w:rPr>
        <w:t>ρ</w:t>
      </w:r>
      <w:r>
        <w:rPr>
          <w:rFonts w:hint="eastAsia"/>
          <w:sz w:val="21"/>
        </w:rPr>
        <w:t>a——</w:t>
      </w:r>
      <w:r>
        <w:rPr>
          <w:rFonts w:hint="eastAsia" w:ascii="宋体" w:hAnsi="宋体"/>
          <w:sz w:val="21"/>
        </w:rPr>
        <w:t>环境空气密度，</w:t>
      </w:r>
      <w:r>
        <w:rPr>
          <w:rFonts w:hint="eastAsia"/>
          <w:sz w:val="21"/>
        </w:rPr>
        <w:t>kg/m</w:t>
      </w:r>
      <w:r>
        <w:rPr>
          <w:rFonts w:hint="eastAsia"/>
          <w:sz w:val="21"/>
          <w:vertAlign w:val="superscript"/>
        </w:rPr>
        <w:t>3</w:t>
      </w:r>
      <w:r>
        <w:rPr>
          <w:rFonts w:hint="eastAsia" w:ascii="宋体" w:hAnsi="宋体"/>
          <w:sz w:val="21"/>
        </w:rPr>
        <w:t>，取</w:t>
      </w:r>
      <w:r>
        <w:rPr>
          <w:rFonts w:hint="eastAsia"/>
          <w:sz w:val="21"/>
        </w:rPr>
        <w:t>1.29</w:t>
      </w:r>
      <w:r>
        <w:rPr>
          <w:rFonts w:hint="eastAsia" w:ascii="宋体" w:hAnsi="宋体"/>
          <w:sz w:val="21"/>
        </w:rPr>
        <w:t>；</w:t>
      </w:r>
    </w:p>
    <w:p w14:paraId="7286F7A6">
      <w:pPr>
        <w:pStyle w:val="281"/>
        <w:ind w:firstLine="420"/>
        <w:rPr>
          <w:sz w:val="21"/>
        </w:rPr>
      </w:pPr>
      <w:r>
        <w:rPr>
          <w:rFonts w:hint="eastAsia"/>
          <w:sz w:val="21"/>
        </w:rPr>
        <w:t>Q</w:t>
      </w:r>
      <w:r>
        <w:rPr>
          <w:rFonts w:hint="eastAsia"/>
          <w:sz w:val="21"/>
          <w:vertAlign w:val="subscript"/>
        </w:rPr>
        <w:t>t</w:t>
      </w:r>
      <w:r>
        <w:rPr>
          <w:rFonts w:hint="eastAsia"/>
          <w:sz w:val="21"/>
        </w:rPr>
        <w:t>——</w:t>
      </w:r>
      <w:r>
        <w:rPr>
          <w:rFonts w:hint="eastAsia" w:ascii="宋体" w:hAnsi="宋体"/>
          <w:sz w:val="21"/>
        </w:rPr>
        <w:t>瞬时排放的物质质量，</w:t>
      </w:r>
      <w:r>
        <w:rPr>
          <w:rFonts w:hint="eastAsia"/>
          <w:sz w:val="21"/>
        </w:rPr>
        <w:t>kg</w:t>
      </w:r>
      <w:r>
        <w:rPr>
          <w:rFonts w:hint="eastAsia" w:ascii="宋体" w:hAnsi="宋体"/>
          <w:sz w:val="21"/>
        </w:rPr>
        <w:t>；</w:t>
      </w:r>
    </w:p>
    <w:p w14:paraId="3ED784E1">
      <w:pPr>
        <w:pStyle w:val="281"/>
        <w:ind w:firstLine="420"/>
        <w:rPr>
          <w:sz w:val="21"/>
        </w:rPr>
      </w:pPr>
      <w:r>
        <w:rPr>
          <w:rFonts w:hint="eastAsia"/>
          <w:sz w:val="21"/>
        </w:rPr>
        <w:t>U</w:t>
      </w:r>
      <w:r>
        <w:rPr>
          <w:rFonts w:hint="eastAsia"/>
          <w:sz w:val="21"/>
          <w:vertAlign w:val="subscript"/>
        </w:rPr>
        <w:t>r</w:t>
      </w:r>
      <w:r>
        <w:rPr>
          <w:rFonts w:hint="eastAsia"/>
          <w:sz w:val="21"/>
        </w:rPr>
        <w:t>——10m</w:t>
      </w:r>
      <w:r>
        <w:rPr>
          <w:rFonts w:hint="eastAsia" w:ascii="宋体" w:hAnsi="宋体"/>
          <w:sz w:val="21"/>
        </w:rPr>
        <w:t>高处风速，</w:t>
      </w:r>
      <w:r>
        <w:rPr>
          <w:rFonts w:hint="eastAsia"/>
          <w:sz w:val="21"/>
        </w:rPr>
        <w:t>m/s</w:t>
      </w:r>
      <w:r>
        <w:rPr>
          <w:rFonts w:hint="eastAsia" w:ascii="宋体" w:hAnsi="宋体"/>
          <w:sz w:val="21"/>
        </w:rPr>
        <w:t>，取</w:t>
      </w:r>
      <w:r>
        <w:rPr>
          <w:rFonts w:hint="eastAsia"/>
          <w:sz w:val="21"/>
        </w:rPr>
        <w:t>1.5</w:t>
      </w:r>
    </w:p>
    <w:p w14:paraId="6D118307">
      <w:pPr>
        <w:pStyle w:val="281"/>
        <w:ind w:firstLine="480"/>
        <w:rPr>
          <w:rFonts w:hint="eastAsia" w:ascii="宋体" w:hAnsi="宋体"/>
        </w:rPr>
      </w:pPr>
      <w:r>
        <w:rPr>
          <w:rFonts w:hint="eastAsia" w:ascii="宋体" w:hAnsi="宋体"/>
        </w:rPr>
        <w:t>本项目各事故情形预测模型选取见下表。</w:t>
      </w:r>
    </w:p>
    <w:p w14:paraId="53DC94D5">
      <w:pPr>
        <w:pStyle w:val="535"/>
        <w:rPr>
          <w:rFonts w:hint="eastAsia"/>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 xml:space="preserve">-1    </w:t>
      </w:r>
      <w:r>
        <w:rPr>
          <w:rFonts w:hint="eastAsia"/>
          <w:color w:val="auto"/>
        </w:rPr>
        <w:t>各事故情形预测模型选取</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418"/>
        <w:gridCol w:w="1134"/>
        <w:gridCol w:w="1322"/>
        <w:gridCol w:w="1088"/>
        <w:gridCol w:w="1048"/>
        <w:gridCol w:w="1229"/>
      </w:tblGrid>
      <w:tr w14:paraId="626D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5046A1CB">
            <w:pPr>
              <w:jc w:val="center"/>
              <w:rPr>
                <w:rFonts w:hint="eastAsia"/>
                <w:sz w:val="18"/>
                <w:szCs w:val="18"/>
              </w:rPr>
            </w:pPr>
            <w:r>
              <w:rPr>
                <w:rFonts w:hint="eastAsia"/>
                <w:sz w:val="18"/>
                <w:szCs w:val="18"/>
              </w:rPr>
              <w:t>危险物质</w:t>
            </w:r>
          </w:p>
        </w:tc>
        <w:tc>
          <w:tcPr>
            <w:tcW w:w="1418" w:type="dxa"/>
            <w:vAlign w:val="center"/>
          </w:tcPr>
          <w:p w14:paraId="40B9D099">
            <w:pPr>
              <w:jc w:val="center"/>
              <w:rPr>
                <w:rFonts w:hint="eastAsia"/>
                <w:sz w:val="18"/>
                <w:szCs w:val="18"/>
              </w:rPr>
            </w:pPr>
            <w:r>
              <w:rPr>
                <w:rFonts w:hint="eastAsia"/>
                <w:sz w:val="18"/>
                <w:szCs w:val="18"/>
              </w:rPr>
              <w:t>初始密度</w:t>
            </w:r>
            <w:r>
              <w:rPr>
                <w:rFonts w:ascii="Times New Roman" w:hAnsi="Times New Roman" w:cs="Times New Roman"/>
                <w:sz w:val="18"/>
                <w:szCs w:val="18"/>
              </w:rPr>
              <w:t>kg/m</w:t>
            </w:r>
            <w:r>
              <w:rPr>
                <w:rFonts w:ascii="Times New Roman" w:hAnsi="Times New Roman" w:cs="Times New Roman"/>
                <w:sz w:val="18"/>
                <w:szCs w:val="18"/>
                <w:vertAlign w:val="superscript"/>
              </w:rPr>
              <w:t>3</w:t>
            </w:r>
          </w:p>
        </w:tc>
        <w:tc>
          <w:tcPr>
            <w:tcW w:w="1134" w:type="dxa"/>
            <w:vAlign w:val="center"/>
          </w:tcPr>
          <w:p w14:paraId="33844DFB">
            <w:pPr>
              <w:jc w:val="center"/>
              <w:rPr>
                <w:rFonts w:hint="eastAsia"/>
                <w:sz w:val="18"/>
                <w:szCs w:val="18"/>
              </w:rPr>
            </w:pPr>
            <w:r>
              <w:rPr>
                <w:rFonts w:hint="eastAsia"/>
                <w:sz w:val="18"/>
                <w:szCs w:val="18"/>
              </w:rPr>
              <w:t>环境空气密度</w:t>
            </w:r>
            <w:r>
              <w:rPr>
                <w:rFonts w:ascii="Times New Roman" w:hAnsi="Times New Roman" w:cs="Times New Roman"/>
                <w:sz w:val="18"/>
                <w:szCs w:val="18"/>
              </w:rPr>
              <w:t>kg/m</w:t>
            </w:r>
            <w:r>
              <w:rPr>
                <w:rFonts w:ascii="Times New Roman" w:hAnsi="Times New Roman" w:cs="Times New Roman"/>
                <w:sz w:val="18"/>
                <w:szCs w:val="18"/>
                <w:vertAlign w:val="superscript"/>
              </w:rPr>
              <w:t>3</w:t>
            </w:r>
          </w:p>
        </w:tc>
        <w:tc>
          <w:tcPr>
            <w:tcW w:w="1322" w:type="dxa"/>
            <w:vAlign w:val="center"/>
          </w:tcPr>
          <w:p w14:paraId="75B06C33">
            <w:pPr>
              <w:jc w:val="center"/>
              <w:rPr>
                <w:rFonts w:hint="eastAsia"/>
                <w:sz w:val="18"/>
                <w:szCs w:val="18"/>
              </w:rPr>
            </w:pPr>
            <w:r>
              <w:rPr>
                <w:rFonts w:hint="eastAsia"/>
                <w:sz w:val="18"/>
                <w:szCs w:val="18"/>
              </w:rPr>
              <w:t>瞬时排放的物质质量</w:t>
            </w:r>
            <w:r>
              <w:rPr>
                <w:rFonts w:ascii="Times New Roman" w:hAnsi="Times New Roman" w:cs="Times New Roman"/>
                <w:sz w:val="18"/>
                <w:szCs w:val="18"/>
              </w:rPr>
              <w:t>kg/s</w:t>
            </w:r>
          </w:p>
        </w:tc>
        <w:tc>
          <w:tcPr>
            <w:tcW w:w="1088" w:type="dxa"/>
            <w:vAlign w:val="center"/>
          </w:tcPr>
          <w:p w14:paraId="0C33CE73">
            <w:pPr>
              <w:jc w:val="center"/>
              <w:rPr>
                <w:rFonts w:ascii="Times New Roman" w:hAnsi="Times New Roman" w:cs="Times New Roman"/>
                <w:sz w:val="18"/>
                <w:szCs w:val="18"/>
              </w:rPr>
            </w:pPr>
            <w:r>
              <w:rPr>
                <w:rFonts w:ascii="Times New Roman" w:hAnsi="Times New Roman" w:cs="Times New Roman"/>
                <w:sz w:val="18"/>
                <w:szCs w:val="18"/>
              </w:rPr>
              <w:t>10m</w:t>
            </w:r>
            <w:r>
              <w:rPr>
                <w:rFonts w:hint="eastAsia" w:cs="Times New Roman"/>
                <w:sz w:val="18"/>
                <w:szCs w:val="18"/>
              </w:rPr>
              <w:t>高处风速</w:t>
            </w:r>
            <w:r>
              <w:rPr>
                <w:rFonts w:ascii="Times New Roman" w:hAnsi="Times New Roman" w:cs="Times New Roman"/>
                <w:sz w:val="18"/>
                <w:szCs w:val="18"/>
              </w:rPr>
              <w:t>m/s</w:t>
            </w:r>
          </w:p>
        </w:tc>
        <w:tc>
          <w:tcPr>
            <w:tcW w:w="1048" w:type="dxa"/>
            <w:vAlign w:val="center"/>
          </w:tcPr>
          <w:p w14:paraId="3A83D73D">
            <w:pPr>
              <w:jc w:val="center"/>
              <w:rPr>
                <w:rFonts w:hint="eastAsia"/>
                <w:sz w:val="18"/>
                <w:szCs w:val="18"/>
              </w:rPr>
            </w:pPr>
            <w:r>
              <w:rPr>
                <w:rFonts w:hint="eastAsia"/>
                <w:sz w:val="18"/>
                <w:szCs w:val="18"/>
              </w:rPr>
              <w:t>理查德森数</w:t>
            </w:r>
          </w:p>
        </w:tc>
        <w:tc>
          <w:tcPr>
            <w:tcW w:w="1229" w:type="dxa"/>
            <w:vAlign w:val="center"/>
          </w:tcPr>
          <w:p w14:paraId="6EE5013F">
            <w:pPr>
              <w:jc w:val="center"/>
              <w:rPr>
                <w:rFonts w:hint="eastAsia"/>
                <w:sz w:val="18"/>
                <w:szCs w:val="18"/>
              </w:rPr>
            </w:pPr>
            <w:r>
              <w:rPr>
                <w:rFonts w:hint="eastAsia"/>
                <w:sz w:val="18"/>
                <w:szCs w:val="18"/>
              </w:rPr>
              <w:t>预测模型</w:t>
            </w:r>
          </w:p>
        </w:tc>
      </w:tr>
      <w:tr w14:paraId="063B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24F90E9C">
            <w:pPr>
              <w:jc w:val="center"/>
              <w:rPr>
                <w:rFonts w:ascii="Times New Roman" w:hAnsi="Times New Roman" w:cs="Times New Roman"/>
                <w:sz w:val="18"/>
                <w:szCs w:val="18"/>
              </w:rPr>
            </w:pPr>
            <w:r>
              <w:rPr>
                <w:rFonts w:ascii="Times New Roman" w:hAnsi="Times New Roman" w:cs="Times New Roman"/>
                <w:sz w:val="18"/>
                <w:szCs w:val="18"/>
              </w:rPr>
              <w:t>CO</w:t>
            </w:r>
          </w:p>
        </w:tc>
        <w:tc>
          <w:tcPr>
            <w:tcW w:w="1418" w:type="dxa"/>
            <w:vAlign w:val="center"/>
          </w:tcPr>
          <w:p w14:paraId="01B24833">
            <w:pPr>
              <w:jc w:val="center"/>
              <w:rPr>
                <w:rFonts w:ascii="Times New Roman" w:hAnsi="Times New Roman" w:cs="Times New Roman"/>
                <w:sz w:val="18"/>
                <w:szCs w:val="18"/>
              </w:rPr>
            </w:pPr>
            <w:r>
              <w:rPr>
                <w:rFonts w:ascii="Times New Roman" w:hAnsi="Times New Roman" w:cs="Times New Roman"/>
                <w:sz w:val="18"/>
                <w:szCs w:val="18"/>
              </w:rPr>
              <w:t>0.8</w:t>
            </w:r>
          </w:p>
        </w:tc>
        <w:tc>
          <w:tcPr>
            <w:tcW w:w="1134" w:type="dxa"/>
            <w:vAlign w:val="center"/>
          </w:tcPr>
          <w:p w14:paraId="2F88719E">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207B90DF">
            <w:pPr>
              <w:jc w:val="center"/>
              <w:rPr>
                <w:rFonts w:ascii="Times New Roman" w:hAnsi="Times New Roman" w:cs="Times New Roman"/>
                <w:sz w:val="18"/>
                <w:szCs w:val="18"/>
              </w:rPr>
            </w:pPr>
            <w:r>
              <w:rPr>
                <w:rFonts w:ascii="Times New Roman" w:hAnsi="Times New Roman" w:cs="Times New Roman"/>
                <w:sz w:val="18"/>
                <w:szCs w:val="18"/>
              </w:rPr>
              <w:t>2.98</w:t>
            </w:r>
          </w:p>
        </w:tc>
        <w:tc>
          <w:tcPr>
            <w:tcW w:w="1088" w:type="dxa"/>
            <w:vAlign w:val="center"/>
          </w:tcPr>
          <w:p w14:paraId="3F7176A8">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7EE1D4FB">
            <w:pPr>
              <w:jc w:val="center"/>
              <w:rPr>
                <w:rFonts w:ascii="Times New Roman" w:hAnsi="Times New Roman" w:cs="Times New Roman"/>
                <w:sz w:val="18"/>
                <w:szCs w:val="18"/>
              </w:rPr>
            </w:pPr>
            <w:r>
              <w:rPr>
                <w:rFonts w:ascii="Times New Roman" w:hAnsi="Times New Roman" w:cs="Times New Roman"/>
                <w:sz w:val="18"/>
                <w:szCs w:val="18"/>
              </w:rPr>
              <w:t xml:space="preserve">-2.57 </w:t>
            </w:r>
          </w:p>
        </w:tc>
        <w:tc>
          <w:tcPr>
            <w:tcW w:w="1229" w:type="dxa"/>
            <w:vAlign w:val="center"/>
          </w:tcPr>
          <w:p w14:paraId="38B4AC1A">
            <w:pPr>
              <w:jc w:val="center"/>
              <w:rPr>
                <w:rFonts w:ascii="Times New Roman" w:hAnsi="Times New Roman" w:cs="Times New Roman"/>
                <w:sz w:val="18"/>
                <w:szCs w:val="18"/>
              </w:rPr>
            </w:pPr>
            <w:r>
              <w:rPr>
                <w:rFonts w:ascii="Times New Roman" w:hAnsi="Times New Roman" w:cs="Times New Roman"/>
                <w:sz w:val="18"/>
                <w:szCs w:val="18"/>
              </w:rPr>
              <w:t>AFTOX</w:t>
            </w:r>
            <w:r>
              <w:rPr>
                <w:rFonts w:hint="eastAsia" w:cs="Times New Roman"/>
                <w:sz w:val="18"/>
                <w:szCs w:val="18"/>
              </w:rPr>
              <w:t>模式</w:t>
            </w:r>
          </w:p>
        </w:tc>
      </w:tr>
      <w:tr w14:paraId="5E72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280540B6">
            <w:pPr>
              <w:jc w:val="center"/>
              <w:rPr>
                <w:rFonts w:ascii="Times New Roman" w:hAnsi="Times New Roman" w:cs="Times New Roman"/>
                <w:sz w:val="18"/>
                <w:szCs w:val="18"/>
              </w:rPr>
            </w:pPr>
            <w:r>
              <w:rPr>
                <w:rFonts w:ascii="Times New Roman" w:hAnsi="Times New Roman" w:cs="Times New Roman"/>
                <w:sz w:val="18"/>
                <w:szCs w:val="18"/>
              </w:rPr>
              <w:t>H</w:t>
            </w:r>
            <w:r>
              <w:rPr>
                <w:rFonts w:ascii="Times New Roman" w:hAnsi="Times New Roman" w:cs="Times New Roman"/>
                <w:sz w:val="18"/>
                <w:szCs w:val="18"/>
                <w:vertAlign w:val="subscript"/>
              </w:rPr>
              <w:t>2</w:t>
            </w:r>
            <w:r>
              <w:rPr>
                <w:rFonts w:ascii="Times New Roman" w:hAnsi="Times New Roman" w:cs="Times New Roman"/>
                <w:sz w:val="18"/>
                <w:szCs w:val="18"/>
              </w:rPr>
              <w:t>S</w:t>
            </w:r>
          </w:p>
        </w:tc>
        <w:tc>
          <w:tcPr>
            <w:tcW w:w="1418" w:type="dxa"/>
            <w:vAlign w:val="center"/>
          </w:tcPr>
          <w:p w14:paraId="6C905B4F">
            <w:pPr>
              <w:jc w:val="center"/>
              <w:rPr>
                <w:rFonts w:ascii="Times New Roman" w:hAnsi="Times New Roman" w:cs="Times New Roman"/>
                <w:sz w:val="18"/>
                <w:szCs w:val="18"/>
              </w:rPr>
            </w:pPr>
            <w:r>
              <w:rPr>
                <w:rFonts w:ascii="Times New Roman" w:hAnsi="Times New Roman" w:cs="Times New Roman"/>
                <w:sz w:val="18"/>
                <w:szCs w:val="18"/>
              </w:rPr>
              <w:t>1.363</w:t>
            </w:r>
          </w:p>
        </w:tc>
        <w:tc>
          <w:tcPr>
            <w:tcW w:w="1134" w:type="dxa"/>
            <w:vAlign w:val="center"/>
          </w:tcPr>
          <w:p w14:paraId="790BD3B1">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55C52004">
            <w:pPr>
              <w:jc w:val="center"/>
              <w:rPr>
                <w:rFonts w:ascii="Times New Roman" w:hAnsi="Times New Roman" w:cs="Times New Roman"/>
                <w:sz w:val="18"/>
                <w:szCs w:val="18"/>
              </w:rPr>
            </w:pPr>
            <w:r>
              <w:rPr>
                <w:rFonts w:ascii="Times New Roman" w:hAnsi="Times New Roman" w:cs="Times New Roman"/>
                <w:sz w:val="18"/>
                <w:szCs w:val="18"/>
              </w:rPr>
              <w:t>0.67</w:t>
            </w:r>
          </w:p>
        </w:tc>
        <w:tc>
          <w:tcPr>
            <w:tcW w:w="1088" w:type="dxa"/>
            <w:vAlign w:val="center"/>
          </w:tcPr>
          <w:p w14:paraId="066A16E4">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2EFCEFB6">
            <w:pPr>
              <w:jc w:val="center"/>
              <w:rPr>
                <w:rFonts w:ascii="Times New Roman" w:hAnsi="Times New Roman" w:cs="Times New Roman"/>
                <w:sz w:val="18"/>
                <w:szCs w:val="18"/>
              </w:rPr>
            </w:pPr>
            <w:r>
              <w:rPr>
                <w:rFonts w:ascii="Times New Roman" w:hAnsi="Times New Roman" w:cs="Times New Roman"/>
                <w:sz w:val="18"/>
                <w:szCs w:val="18"/>
              </w:rPr>
              <w:t xml:space="preserve">0.19 </w:t>
            </w:r>
          </w:p>
        </w:tc>
        <w:tc>
          <w:tcPr>
            <w:tcW w:w="1229" w:type="dxa"/>
            <w:vAlign w:val="center"/>
          </w:tcPr>
          <w:p w14:paraId="3884EC83">
            <w:pPr>
              <w:jc w:val="center"/>
              <w:rPr>
                <w:rFonts w:ascii="Times New Roman" w:hAnsi="Times New Roman" w:cs="Times New Roman"/>
                <w:sz w:val="18"/>
                <w:szCs w:val="18"/>
              </w:rPr>
            </w:pPr>
            <w:r>
              <w:rPr>
                <w:rFonts w:ascii="Times New Roman" w:hAnsi="Times New Roman" w:cs="Times New Roman"/>
                <w:sz w:val="18"/>
                <w:szCs w:val="18"/>
              </w:rPr>
              <w:t>SLAB</w:t>
            </w:r>
            <w:r>
              <w:rPr>
                <w:rFonts w:hint="eastAsia" w:cs="Times New Roman"/>
                <w:sz w:val="18"/>
                <w:szCs w:val="18"/>
              </w:rPr>
              <w:t>模型</w:t>
            </w:r>
          </w:p>
        </w:tc>
      </w:tr>
      <w:tr w14:paraId="675B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5FB99DA3">
            <w:pPr>
              <w:jc w:val="center"/>
              <w:rPr>
                <w:rFonts w:ascii="Times New Roman" w:hAnsi="Times New Roman" w:cs="Times New Roman"/>
                <w:sz w:val="18"/>
                <w:szCs w:val="18"/>
              </w:rPr>
            </w:pPr>
            <w:r>
              <w:rPr>
                <w:rFonts w:hint="eastAsia" w:cs="Times New Roman"/>
                <w:sz w:val="18"/>
                <w:szCs w:val="18"/>
              </w:rPr>
              <w:t>氨气</w:t>
            </w:r>
          </w:p>
        </w:tc>
        <w:tc>
          <w:tcPr>
            <w:tcW w:w="1418" w:type="dxa"/>
            <w:vAlign w:val="center"/>
          </w:tcPr>
          <w:p w14:paraId="6EE170F2">
            <w:pPr>
              <w:jc w:val="center"/>
              <w:rPr>
                <w:rFonts w:ascii="Times New Roman" w:hAnsi="Times New Roman" w:cs="Times New Roman"/>
                <w:sz w:val="18"/>
                <w:szCs w:val="18"/>
              </w:rPr>
            </w:pPr>
            <w:r>
              <w:rPr>
                <w:rFonts w:ascii="Times New Roman" w:hAnsi="Times New Roman" w:cs="Times New Roman"/>
                <w:sz w:val="18"/>
                <w:szCs w:val="18"/>
              </w:rPr>
              <w:t>0.771</w:t>
            </w:r>
          </w:p>
        </w:tc>
        <w:tc>
          <w:tcPr>
            <w:tcW w:w="1134" w:type="dxa"/>
            <w:vAlign w:val="center"/>
          </w:tcPr>
          <w:p w14:paraId="59B6E1FC">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580853F1">
            <w:pPr>
              <w:jc w:val="center"/>
              <w:rPr>
                <w:rFonts w:ascii="Times New Roman" w:hAnsi="Times New Roman" w:cs="Times New Roman"/>
                <w:sz w:val="18"/>
                <w:szCs w:val="18"/>
              </w:rPr>
            </w:pPr>
            <w:r>
              <w:rPr>
                <w:rFonts w:ascii="Times New Roman" w:hAnsi="Times New Roman" w:cs="Times New Roman"/>
                <w:sz w:val="18"/>
                <w:szCs w:val="18"/>
              </w:rPr>
              <w:t>4.68</w:t>
            </w:r>
          </w:p>
        </w:tc>
        <w:tc>
          <w:tcPr>
            <w:tcW w:w="1088" w:type="dxa"/>
            <w:vAlign w:val="center"/>
          </w:tcPr>
          <w:p w14:paraId="528924C2">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72540901">
            <w:pPr>
              <w:jc w:val="center"/>
              <w:rPr>
                <w:rFonts w:ascii="Times New Roman" w:hAnsi="Times New Roman" w:cs="Times New Roman"/>
                <w:sz w:val="18"/>
                <w:szCs w:val="18"/>
              </w:rPr>
            </w:pPr>
            <w:r>
              <w:rPr>
                <w:rFonts w:ascii="Times New Roman" w:hAnsi="Times New Roman" w:cs="Times New Roman"/>
                <w:sz w:val="18"/>
                <w:szCs w:val="18"/>
              </w:rPr>
              <w:t xml:space="preserve">-3.20 </w:t>
            </w:r>
          </w:p>
        </w:tc>
        <w:tc>
          <w:tcPr>
            <w:tcW w:w="1229" w:type="dxa"/>
            <w:vAlign w:val="center"/>
          </w:tcPr>
          <w:p w14:paraId="1CEA6619">
            <w:pPr>
              <w:jc w:val="center"/>
              <w:rPr>
                <w:rFonts w:ascii="Times New Roman" w:hAnsi="Times New Roman" w:cs="Times New Roman"/>
                <w:sz w:val="18"/>
                <w:szCs w:val="18"/>
              </w:rPr>
            </w:pPr>
            <w:r>
              <w:rPr>
                <w:rFonts w:ascii="Times New Roman" w:hAnsi="Times New Roman" w:cs="Times New Roman"/>
                <w:sz w:val="18"/>
                <w:szCs w:val="18"/>
              </w:rPr>
              <w:t>AFTOX</w:t>
            </w:r>
            <w:r>
              <w:rPr>
                <w:rFonts w:hint="eastAsia" w:cs="Times New Roman"/>
                <w:sz w:val="18"/>
                <w:szCs w:val="18"/>
              </w:rPr>
              <w:t>模式</w:t>
            </w:r>
          </w:p>
        </w:tc>
      </w:tr>
      <w:tr w14:paraId="46EB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3F6D9C72">
            <w:pPr>
              <w:jc w:val="center"/>
              <w:rPr>
                <w:rFonts w:ascii="Times New Roman" w:hAnsi="Times New Roman" w:cs="Times New Roman"/>
                <w:sz w:val="18"/>
                <w:szCs w:val="18"/>
              </w:rPr>
            </w:pPr>
            <w:r>
              <w:rPr>
                <w:rFonts w:hint="eastAsia" w:cs="Times New Roman"/>
                <w:sz w:val="18"/>
                <w:szCs w:val="18"/>
              </w:rPr>
              <w:t>甲醇</w:t>
            </w:r>
          </w:p>
        </w:tc>
        <w:tc>
          <w:tcPr>
            <w:tcW w:w="1418" w:type="dxa"/>
            <w:vAlign w:val="center"/>
          </w:tcPr>
          <w:p w14:paraId="6B179269">
            <w:pPr>
              <w:jc w:val="center"/>
              <w:rPr>
                <w:rFonts w:ascii="Times New Roman" w:hAnsi="Times New Roman" w:cs="Times New Roman"/>
                <w:sz w:val="18"/>
                <w:szCs w:val="18"/>
              </w:rPr>
            </w:pPr>
            <w:r>
              <w:rPr>
                <w:rFonts w:ascii="Times New Roman" w:hAnsi="Times New Roman" w:cs="Times New Roman"/>
                <w:sz w:val="18"/>
                <w:szCs w:val="18"/>
              </w:rPr>
              <w:t>1.22</w:t>
            </w:r>
          </w:p>
        </w:tc>
        <w:tc>
          <w:tcPr>
            <w:tcW w:w="1134" w:type="dxa"/>
            <w:vAlign w:val="center"/>
          </w:tcPr>
          <w:p w14:paraId="0258AD8D">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1F06A0D0">
            <w:pPr>
              <w:jc w:val="center"/>
              <w:rPr>
                <w:rFonts w:ascii="Times New Roman" w:hAnsi="Times New Roman" w:cs="Times New Roman"/>
                <w:sz w:val="18"/>
                <w:szCs w:val="18"/>
              </w:rPr>
            </w:pPr>
            <w:r>
              <w:rPr>
                <w:rFonts w:ascii="Times New Roman" w:hAnsi="Times New Roman" w:cs="Times New Roman"/>
                <w:sz w:val="18"/>
                <w:szCs w:val="18"/>
              </w:rPr>
              <w:t>6.58</w:t>
            </w:r>
          </w:p>
        </w:tc>
        <w:tc>
          <w:tcPr>
            <w:tcW w:w="1088" w:type="dxa"/>
            <w:vAlign w:val="center"/>
          </w:tcPr>
          <w:p w14:paraId="5C5413F2">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208E073A">
            <w:pPr>
              <w:jc w:val="center"/>
              <w:rPr>
                <w:rFonts w:ascii="Times New Roman" w:hAnsi="Times New Roman" w:cs="Times New Roman"/>
                <w:sz w:val="18"/>
                <w:szCs w:val="18"/>
              </w:rPr>
            </w:pPr>
            <w:r>
              <w:rPr>
                <w:rFonts w:ascii="Times New Roman" w:hAnsi="Times New Roman" w:cs="Times New Roman"/>
                <w:sz w:val="18"/>
                <w:szCs w:val="18"/>
              </w:rPr>
              <w:t xml:space="preserve">-0.41 </w:t>
            </w:r>
          </w:p>
        </w:tc>
        <w:tc>
          <w:tcPr>
            <w:tcW w:w="1229" w:type="dxa"/>
            <w:vAlign w:val="center"/>
          </w:tcPr>
          <w:p w14:paraId="03B80D85">
            <w:pPr>
              <w:jc w:val="center"/>
              <w:rPr>
                <w:rFonts w:ascii="Times New Roman" w:hAnsi="Times New Roman" w:cs="Times New Roman"/>
                <w:sz w:val="18"/>
                <w:szCs w:val="18"/>
              </w:rPr>
            </w:pPr>
            <w:r>
              <w:rPr>
                <w:rFonts w:ascii="Times New Roman" w:hAnsi="Times New Roman" w:cs="Times New Roman"/>
                <w:sz w:val="18"/>
                <w:szCs w:val="18"/>
              </w:rPr>
              <w:t>AFTOX</w:t>
            </w:r>
            <w:r>
              <w:rPr>
                <w:rFonts w:hint="eastAsia" w:cs="Times New Roman"/>
                <w:sz w:val="18"/>
                <w:szCs w:val="18"/>
              </w:rPr>
              <w:t>模式</w:t>
            </w:r>
          </w:p>
        </w:tc>
      </w:tr>
      <w:tr w14:paraId="5C9C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5093720F">
            <w:pPr>
              <w:jc w:val="center"/>
              <w:rPr>
                <w:rFonts w:ascii="Times New Roman" w:hAnsi="Times New Roman" w:cs="Times New Roman"/>
                <w:sz w:val="18"/>
                <w:szCs w:val="18"/>
              </w:rPr>
            </w:pPr>
            <w:r>
              <w:rPr>
                <w:rFonts w:hint="eastAsia" w:cs="Times New Roman"/>
                <w:sz w:val="18"/>
                <w:szCs w:val="18"/>
              </w:rPr>
              <w:t>甲酸甲酯</w:t>
            </w:r>
          </w:p>
        </w:tc>
        <w:tc>
          <w:tcPr>
            <w:tcW w:w="1418" w:type="dxa"/>
            <w:vAlign w:val="center"/>
          </w:tcPr>
          <w:p w14:paraId="438B9A71">
            <w:pPr>
              <w:jc w:val="center"/>
              <w:rPr>
                <w:rFonts w:ascii="Times New Roman" w:hAnsi="Times New Roman" w:cs="Times New Roman"/>
                <w:sz w:val="18"/>
                <w:szCs w:val="18"/>
              </w:rPr>
            </w:pPr>
            <w:r>
              <w:rPr>
                <w:rFonts w:ascii="Times New Roman" w:hAnsi="Times New Roman" w:cs="Times New Roman"/>
                <w:sz w:val="18"/>
                <w:szCs w:val="18"/>
              </w:rPr>
              <w:t>2.1</w:t>
            </w:r>
          </w:p>
        </w:tc>
        <w:tc>
          <w:tcPr>
            <w:tcW w:w="1134" w:type="dxa"/>
            <w:vAlign w:val="center"/>
          </w:tcPr>
          <w:p w14:paraId="5DB0B797">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5F801430">
            <w:pPr>
              <w:jc w:val="center"/>
              <w:rPr>
                <w:rFonts w:ascii="Times New Roman" w:hAnsi="Times New Roman" w:cs="Times New Roman"/>
                <w:sz w:val="18"/>
                <w:szCs w:val="18"/>
              </w:rPr>
            </w:pPr>
            <w:r>
              <w:rPr>
                <w:rFonts w:ascii="Times New Roman" w:hAnsi="Times New Roman" w:cs="Times New Roman"/>
                <w:sz w:val="18"/>
                <w:szCs w:val="18"/>
              </w:rPr>
              <w:t>0.075</w:t>
            </w:r>
          </w:p>
        </w:tc>
        <w:tc>
          <w:tcPr>
            <w:tcW w:w="1088" w:type="dxa"/>
            <w:vAlign w:val="center"/>
          </w:tcPr>
          <w:p w14:paraId="4F936AB3">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65713921">
            <w:pPr>
              <w:jc w:val="center"/>
              <w:rPr>
                <w:rFonts w:ascii="Times New Roman" w:hAnsi="Times New Roman" w:cs="Times New Roman"/>
                <w:sz w:val="18"/>
                <w:szCs w:val="18"/>
              </w:rPr>
            </w:pPr>
            <w:r>
              <w:rPr>
                <w:rFonts w:ascii="Times New Roman" w:hAnsi="Times New Roman" w:cs="Times New Roman"/>
                <w:sz w:val="18"/>
                <w:szCs w:val="18"/>
              </w:rPr>
              <w:t xml:space="preserve">0.90 </w:t>
            </w:r>
          </w:p>
        </w:tc>
        <w:tc>
          <w:tcPr>
            <w:tcW w:w="1229" w:type="dxa"/>
            <w:vAlign w:val="center"/>
          </w:tcPr>
          <w:p w14:paraId="43A99A9A">
            <w:pPr>
              <w:jc w:val="center"/>
              <w:rPr>
                <w:rFonts w:ascii="Times New Roman" w:hAnsi="Times New Roman" w:cs="Times New Roman"/>
                <w:sz w:val="18"/>
                <w:szCs w:val="18"/>
              </w:rPr>
            </w:pPr>
            <w:r>
              <w:rPr>
                <w:rFonts w:ascii="Times New Roman" w:hAnsi="Times New Roman" w:cs="Times New Roman"/>
                <w:sz w:val="18"/>
                <w:szCs w:val="18"/>
              </w:rPr>
              <w:t>SLAB</w:t>
            </w:r>
            <w:r>
              <w:rPr>
                <w:rFonts w:hint="eastAsia" w:cs="Times New Roman"/>
                <w:sz w:val="18"/>
                <w:szCs w:val="18"/>
              </w:rPr>
              <w:t>模型</w:t>
            </w:r>
          </w:p>
        </w:tc>
      </w:tr>
      <w:tr w14:paraId="67D6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66" w:type="dxa"/>
            <w:vAlign w:val="center"/>
          </w:tcPr>
          <w:p w14:paraId="0AD181B8">
            <w:pPr>
              <w:jc w:val="center"/>
              <w:rPr>
                <w:rFonts w:ascii="Times New Roman" w:hAnsi="Times New Roman" w:cs="Times New Roman"/>
                <w:sz w:val="18"/>
                <w:szCs w:val="18"/>
              </w:rPr>
            </w:pPr>
            <w:r>
              <w:rPr>
                <w:rFonts w:hint="eastAsia" w:cs="Times New Roman"/>
                <w:sz w:val="18"/>
                <w:szCs w:val="18"/>
              </w:rPr>
              <w:t>硝酸</w:t>
            </w:r>
          </w:p>
        </w:tc>
        <w:tc>
          <w:tcPr>
            <w:tcW w:w="1418" w:type="dxa"/>
            <w:vAlign w:val="center"/>
          </w:tcPr>
          <w:p w14:paraId="226A257F">
            <w:pPr>
              <w:jc w:val="center"/>
              <w:rPr>
                <w:rFonts w:ascii="Times New Roman" w:hAnsi="Times New Roman" w:cs="Times New Roman"/>
                <w:sz w:val="18"/>
                <w:szCs w:val="18"/>
              </w:rPr>
            </w:pPr>
            <w:r>
              <w:rPr>
                <w:rFonts w:hint="eastAsia" w:ascii="Times New Roman" w:hAnsi="Times New Roman" w:cs="Times New Roman"/>
                <w:sz w:val="18"/>
                <w:szCs w:val="18"/>
              </w:rPr>
              <w:t>0.33</w:t>
            </w:r>
          </w:p>
        </w:tc>
        <w:tc>
          <w:tcPr>
            <w:tcW w:w="1134" w:type="dxa"/>
            <w:vAlign w:val="center"/>
          </w:tcPr>
          <w:p w14:paraId="5D2D2EB6">
            <w:pPr>
              <w:jc w:val="center"/>
              <w:rPr>
                <w:rFonts w:ascii="Times New Roman" w:hAnsi="Times New Roman" w:cs="Times New Roman"/>
                <w:sz w:val="18"/>
                <w:szCs w:val="18"/>
              </w:rPr>
            </w:pPr>
            <w:r>
              <w:rPr>
                <w:rFonts w:ascii="Times New Roman" w:hAnsi="Times New Roman" w:cs="Times New Roman"/>
                <w:sz w:val="18"/>
                <w:szCs w:val="18"/>
              </w:rPr>
              <w:t>1.29</w:t>
            </w:r>
          </w:p>
        </w:tc>
        <w:tc>
          <w:tcPr>
            <w:tcW w:w="1322" w:type="dxa"/>
            <w:vAlign w:val="center"/>
          </w:tcPr>
          <w:p w14:paraId="2965D116">
            <w:pPr>
              <w:jc w:val="center"/>
              <w:rPr>
                <w:rFonts w:ascii="Times New Roman" w:hAnsi="Times New Roman" w:cs="Times New Roman"/>
                <w:sz w:val="18"/>
                <w:szCs w:val="18"/>
              </w:rPr>
            </w:pPr>
            <w:r>
              <w:rPr>
                <w:rFonts w:ascii="Times New Roman" w:hAnsi="Times New Roman" w:cs="Times New Roman"/>
                <w:sz w:val="18"/>
                <w:szCs w:val="18"/>
              </w:rPr>
              <w:t>0.02</w:t>
            </w:r>
          </w:p>
        </w:tc>
        <w:tc>
          <w:tcPr>
            <w:tcW w:w="1088" w:type="dxa"/>
            <w:vAlign w:val="center"/>
          </w:tcPr>
          <w:p w14:paraId="42131215">
            <w:pPr>
              <w:jc w:val="center"/>
              <w:rPr>
                <w:rFonts w:ascii="Times New Roman" w:hAnsi="Times New Roman" w:cs="Times New Roman"/>
                <w:sz w:val="18"/>
                <w:szCs w:val="18"/>
              </w:rPr>
            </w:pPr>
            <w:r>
              <w:rPr>
                <w:rFonts w:ascii="Times New Roman" w:hAnsi="Times New Roman" w:cs="Times New Roman"/>
                <w:sz w:val="18"/>
                <w:szCs w:val="18"/>
              </w:rPr>
              <w:t>1.5</w:t>
            </w:r>
          </w:p>
        </w:tc>
        <w:tc>
          <w:tcPr>
            <w:tcW w:w="1048" w:type="dxa"/>
            <w:vAlign w:val="center"/>
          </w:tcPr>
          <w:p w14:paraId="70A98857">
            <w:pPr>
              <w:jc w:val="center"/>
              <w:rPr>
                <w:rFonts w:ascii="Times New Roman" w:hAnsi="Times New Roman" w:cs="Times New Roman"/>
                <w:sz w:val="18"/>
                <w:szCs w:val="18"/>
              </w:rPr>
            </w:pPr>
            <w:r>
              <w:rPr>
                <w:rFonts w:hint="eastAsia" w:ascii="Times New Roman" w:hAnsi="Times New Roman" w:cs="Times New Roman"/>
                <w:sz w:val="18"/>
                <w:szCs w:val="18"/>
              </w:rPr>
              <w:t>-1.27</w:t>
            </w:r>
          </w:p>
        </w:tc>
        <w:tc>
          <w:tcPr>
            <w:tcW w:w="1229" w:type="dxa"/>
            <w:vAlign w:val="center"/>
          </w:tcPr>
          <w:p w14:paraId="32E07435">
            <w:pPr>
              <w:jc w:val="center"/>
              <w:rPr>
                <w:rFonts w:ascii="Times New Roman" w:hAnsi="Times New Roman" w:cs="Times New Roman"/>
                <w:sz w:val="18"/>
                <w:szCs w:val="18"/>
              </w:rPr>
            </w:pPr>
            <w:r>
              <w:rPr>
                <w:rFonts w:ascii="Times New Roman" w:hAnsi="Times New Roman" w:cs="Times New Roman"/>
                <w:sz w:val="18"/>
                <w:szCs w:val="18"/>
              </w:rPr>
              <w:t>AFTOX</w:t>
            </w:r>
            <w:r>
              <w:rPr>
                <w:rFonts w:hint="eastAsia" w:cs="Times New Roman"/>
                <w:sz w:val="18"/>
                <w:szCs w:val="18"/>
              </w:rPr>
              <w:t>模式</w:t>
            </w:r>
          </w:p>
        </w:tc>
      </w:tr>
    </w:tbl>
    <w:p w14:paraId="3954D7C6">
      <w:pPr>
        <w:pStyle w:val="98"/>
        <w:rPr>
          <w:rFonts w:hint="eastAsia"/>
          <w:color w:val="auto"/>
        </w:rPr>
      </w:pPr>
      <w:r>
        <w:rPr>
          <w:rFonts w:hint="eastAsia"/>
          <w:color w:val="auto"/>
        </w:rPr>
        <w:t>预测范围与计算点</w:t>
      </w:r>
    </w:p>
    <w:p w14:paraId="06E69D07">
      <w:pPr>
        <w:pStyle w:val="281"/>
        <w:ind w:firstLine="480"/>
      </w:pPr>
      <w:r>
        <w:rPr>
          <w:rFonts w:hint="eastAsia" w:ascii="宋体" w:hAnsi="宋体"/>
        </w:rPr>
        <w:t>预测范围为距离项目边界</w:t>
      </w:r>
      <w:r>
        <w:t>5.0</w:t>
      </w:r>
      <w:r>
        <w:rPr>
          <w:rFonts w:hint="eastAsia"/>
        </w:rPr>
        <w:t>km</w:t>
      </w:r>
      <w:r>
        <w:rPr>
          <w:rFonts w:hint="eastAsia" w:ascii="宋体" w:hAnsi="宋体"/>
        </w:rPr>
        <w:t>范围。</w:t>
      </w:r>
    </w:p>
    <w:p w14:paraId="5822BDB4">
      <w:pPr>
        <w:pStyle w:val="281"/>
        <w:ind w:firstLine="480"/>
        <w:rPr>
          <w:rFonts w:hint="eastAsia" w:ascii="宋体" w:hAnsi="宋体"/>
        </w:rPr>
      </w:pPr>
      <w:r>
        <w:rPr>
          <w:rFonts w:hint="eastAsia" w:ascii="宋体" w:hAnsi="宋体"/>
        </w:rPr>
        <w:t>计算点分特殊计算点和一般计算点。特殊计算点指大气环境敏感目标等关心点；一般计算点指下风向不同距离点，本项目设置</w:t>
      </w:r>
      <w:r>
        <w:t>50</w:t>
      </w:r>
      <w:r>
        <w:rPr>
          <w:rFonts w:hint="eastAsia"/>
        </w:rPr>
        <w:t>m</w:t>
      </w:r>
      <w:r>
        <w:rPr>
          <w:rFonts w:hint="eastAsia" w:ascii="宋体" w:hAnsi="宋体"/>
        </w:rPr>
        <w:t>间距。</w:t>
      </w:r>
    </w:p>
    <w:p w14:paraId="47D48A04">
      <w:pPr>
        <w:pStyle w:val="98"/>
        <w:rPr>
          <w:rFonts w:hint="eastAsia"/>
          <w:color w:val="auto"/>
        </w:rPr>
      </w:pPr>
      <w:r>
        <w:rPr>
          <w:rFonts w:hint="eastAsia"/>
          <w:color w:val="auto"/>
        </w:rPr>
        <w:t>气象参数</w:t>
      </w:r>
    </w:p>
    <w:p w14:paraId="3FBF9D4F">
      <w:pPr>
        <w:pStyle w:val="281"/>
        <w:ind w:firstLine="480"/>
        <w:rPr>
          <w:rFonts w:hint="eastAsia" w:ascii="宋体" w:hAnsi="宋体"/>
        </w:rPr>
      </w:pPr>
      <w:r>
        <w:rPr>
          <w:rFonts w:hint="eastAsia" w:ascii="宋体" w:hAnsi="宋体"/>
        </w:rPr>
        <w:t>最不利气象条件取</w:t>
      </w:r>
      <w:r>
        <w:rPr>
          <w:rFonts w:hint="eastAsia"/>
        </w:rPr>
        <w:t>F</w:t>
      </w:r>
      <w:r>
        <w:rPr>
          <w:rFonts w:hint="eastAsia" w:ascii="宋体" w:hAnsi="宋体"/>
        </w:rPr>
        <w:t>类稳定度，</w:t>
      </w:r>
      <w:r>
        <w:rPr>
          <w:rFonts w:hint="eastAsia"/>
        </w:rPr>
        <w:t>1.5m/s</w:t>
      </w:r>
      <w:r>
        <w:rPr>
          <w:rFonts w:hint="eastAsia" w:ascii="宋体" w:hAnsi="宋体"/>
        </w:rPr>
        <w:t>风速，温度</w:t>
      </w:r>
      <w:r>
        <w:rPr>
          <w:rFonts w:hint="eastAsia"/>
        </w:rPr>
        <w:t>25</w:t>
      </w:r>
      <w:r>
        <w:t>℃</w:t>
      </w:r>
      <w:r>
        <w:rPr>
          <w:rFonts w:hint="eastAsia" w:ascii="宋体" w:hAnsi="宋体"/>
        </w:rPr>
        <w:t>，相对湿度</w:t>
      </w:r>
      <w:r>
        <w:rPr>
          <w:rFonts w:hint="eastAsia"/>
        </w:rPr>
        <w:t>50%</w:t>
      </w:r>
      <w:r>
        <w:rPr>
          <w:rFonts w:hint="eastAsia" w:ascii="宋体" w:hAnsi="宋体"/>
        </w:rPr>
        <w:t>。</w:t>
      </w:r>
    </w:p>
    <w:p w14:paraId="3502C215">
      <w:pPr>
        <w:pStyle w:val="281"/>
        <w:ind w:firstLine="480"/>
        <w:rPr>
          <w:rFonts w:hint="eastAsia" w:ascii="宋体" w:hAnsi="宋体"/>
        </w:rPr>
      </w:pPr>
      <w:r>
        <w:rPr>
          <w:rFonts w:hint="eastAsia" w:ascii="宋体" w:hAnsi="宋体"/>
        </w:rPr>
        <w:t>最常见气象条件取</w:t>
      </w:r>
      <w:r>
        <w:rPr>
          <w:rFonts w:hint="eastAsia"/>
        </w:rPr>
        <w:t>D</w:t>
      </w:r>
      <w:r>
        <w:rPr>
          <w:rFonts w:hint="eastAsia" w:ascii="宋体" w:hAnsi="宋体"/>
        </w:rPr>
        <w:t>类稳定度，</w:t>
      </w:r>
      <w:r>
        <w:rPr>
          <w:rFonts w:hint="eastAsia"/>
        </w:rPr>
        <w:t>2.56m/s</w:t>
      </w:r>
      <w:r>
        <w:rPr>
          <w:rFonts w:hint="eastAsia" w:ascii="宋体" w:hAnsi="宋体"/>
        </w:rPr>
        <w:t>风速，温度</w:t>
      </w:r>
      <w:r>
        <w:rPr>
          <w:rFonts w:hint="eastAsia"/>
        </w:rPr>
        <w:t>35.86</w:t>
      </w:r>
      <w:r>
        <w:t>℃</w:t>
      </w:r>
      <w:r>
        <w:rPr>
          <w:rFonts w:hint="eastAsia" w:ascii="宋体" w:hAnsi="宋体"/>
        </w:rPr>
        <w:t>，相对湿度</w:t>
      </w:r>
      <w:r>
        <w:rPr>
          <w:rFonts w:hint="eastAsia"/>
        </w:rPr>
        <w:t>41.16%</w:t>
      </w:r>
      <w:r>
        <w:rPr>
          <w:rFonts w:hint="eastAsia" w:ascii="宋体" w:hAnsi="宋体"/>
        </w:rPr>
        <w:t>。</w:t>
      </w:r>
    </w:p>
    <w:p w14:paraId="45DC6610">
      <w:pPr>
        <w:pStyle w:val="281"/>
        <w:ind w:firstLine="480"/>
        <w:rPr>
          <w:rFonts w:hint="eastAsia" w:ascii="宋体" w:hAnsi="宋体"/>
        </w:rPr>
      </w:pPr>
      <w:r>
        <w:rPr>
          <w:rFonts w:hint="eastAsia" w:ascii="宋体" w:hAnsi="宋体"/>
        </w:rPr>
        <w:t>大气风险预测模型主要参数见下表。</w:t>
      </w:r>
    </w:p>
    <w:p w14:paraId="334443C3">
      <w:pPr>
        <w:pStyle w:val="645"/>
        <w:rPr>
          <w:rFonts w:hint="eastAsia"/>
        </w:rPr>
      </w:pPr>
      <w:r>
        <w:rPr>
          <w:rFonts w:hint="eastAsia"/>
        </w:rPr>
        <w:t>表</w:t>
      </w:r>
      <w:r>
        <w:t xml:space="preserve">6.6-2     </w:t>
      </w:r>
      <w:r>
        <w:rPr>
          <w:rFonts w:hint="eastAsia"/>
        </w:rPr>
        <w:t>大气风险预测模型主要参数表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6"/>
        <w:gridCol w:w="1990"/>
        <w:gridCol w:w="2263"/>
      </w:tblGrid>
      <w:tr w14:paraId="3BC6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Align w:val="center"/>
          </w:tcPr>
          <w:p w14:paraId="5CE86269">
            <w:pPr>
              <w:pStyle w:val="557"/>
            </w:pPr>
            <w:r>
              <w:rPr>
                <w:rFonts w:hint="eastAsia"/>
              </w:rPr>
              <w:t>参数类型</w:t>
            </w:r>
          </w:p>
        </w:tc>
        <w:tc>
          <w:tcPr>
            <w:tcW w:w="2264" w:type="dxa"/>
            <w:vAlign w:val="center"/>
          </w:tcPr>
          <w:p w14:paraId="5A14366D">
            <w:pPr>
              <w:pStyle w:val="557"/>
            </w:pPr>
            <w:r>
              <w:rPr>
                <w:rFonts w:hint="eastAsia"/>
              </w:rPr>
              <w:t>选项</w:t>
            </w:r>
          </w:p>
        </w:tc>
        <w:tc>
          <w:tcPr>
            <w:tcW w:w="4530" w:type="dxa"/>
            <w:gridSpan w:val="2"/>
            <w:vAlign w:val="center"/>
          </w:tcPr>
          <w:p w14:paraId="5478DD19">
            <w:pPr>
              <w:pStyle w:val="557"/>
            </w:pPr>
            <w:r>
              <w:rPr>
                <w:rFonts w:hint="eastAsia"/>
              </w:rPr>
              <w:t>参数</w:t>
            </w:r>
          </w:p>
        </w:tc>
      </w:tr>
      <w:tr w14:paraId="75AD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restart"/>
            <w:vAlign w:val="center"/>
          </w:tcPr>
          <w:p w14:paraId="5665FCF5">
            <w:pPr>
              <w:pStyle w:val="557"/>
            </w:pPr>
            <w:r>
              <w:rPr>
                <w:rFonts w:hint="eastAsia"/>
              </w:rPr>
              <w:t>基本情况</w:t>
            </w:r>
          </w:p>
        </w:tc>
        <w:tc>
          <w:tcPr>
            <w:tcW w:w="2264" w:type="dxa"/>
            <w:vAlign w:val="center"/>
          </w:tcPr>
          <w:p w14:paraId="21A6392B">
            <w:pPr>
              <w:pStyle w:val="557"/>
            </w:pPr>
            <w:r>
              <w:rPr>
                <w:rFonts w:hint="eastAsia"/>
              </w:rPr>
              <w:t>事故源经度</w:t>
            </w:r>
            <w:r>
              <w:t>/</w:t>
            </w:r>
            <w:r>
              <w:rPr>
                <w:rFonts w:hint="eastAsia"/>
              </w:rPr>
              <w:t>（°）</w:t>
            </w:r>
          </w:p>
        </w:tc>
        <w:tc>
          <w:tcPr>
            <w:tcW w:w="4530" w:type="dxa"/>
            <w:gridSpan w:val="2"/>
            <w:vAlign w:val="center"/>
          </w:tcPr>
          <w:p w14:paraId="00EBEB42">
            <w:pPr>
              <w:pStyle w:val="557"/>
            </w:pPr>
          </w:p>
        </w:tc>
      </w:tr>
      <w:tr w14:paraId="1BB2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09AAF878">
            <w:pPr>
              <w:pStyle w:val="557"/>
            </w:pPr>
          </w:p>
        </w:tc>
        <w:tc>
          <w:tcPr>
            <w:tcW w:w="2264" w:type="dxa"/>
            <w:vAlign w:val="center"/>
          </w:tcPr>
          <w:p w14:paraId="7F0AD00F">
            <w:pPr>
              <w:pStyle w:val="557"/>
            </w:pPr>
            <w:r>
              <w:rPr>
                <w:rFonts w:hint="eastAsia"/>
              </w:rPr>
              <w:t>事故源纬度</w:t>
            </w:r>
            <w:r>
              <w:t>/</w:t>
            </w:r>
            <w:r>
              <w:rPr>
                <w:rFonts w:hint="eastAsia"/>
              </w:rPr>
              <w:t>（°）</w:t>
            </w:r>
          </w:p>
        </w:tc>
        <w:tc>
          <w:tcPr>
            <w:tcW w:w="4530" w:type="dxa"/>
            <w:gridSpan w:val="2"/>
            <w:vAlign w:val="center"/>
          </w:tcPr>
          <w:p w14:paraId="5CDCBFB1">
            <w:pPr>
              <w:pStyle w:val="557"/>
            </w:pPr>
          </w:p>
        </w:tc>
      </w:tr>
      <w:tr w14:paraId="58F4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348A8707">
            <w:pPr>
              <w:pStyle w:val="557"/>
            </w:pPr>
          </w:p>
        </w:tc>
        <w:tc>
          <w:tcPr>
            <w:tcW w:w="2264" w:type="dxa"/>
            <w:vAlign w:val="center"/>
          </w:tcPr>
          <w:p w14:paraId="416ADA74">
            <w:pPr>
              <w:pStyle w:val="557"/>
            </w:pPr>
            <w:r>
              <w:rPr>
                <w:rFonts w:hint="eastAsia"/>
              </w:rPr>
              <w:t>事故源类型</w:t>
            </w:r>
          </w:p>
        </w:tc>
        <w:tc>
          <w:tcPr>
            <w:tcW w:w="4530" w:type="dxa"/>
            <w:gridSpan w:val="2"/>
            <w:vAlign w:val="center"/>
          </w:tcPr>
          <w:p w14:paraId="3B4B75D9">
            <w:pPr>
              <w:pStyle w:val="557"/>
            </w:pPr>
            <w:r>
              <w:rPr>
                <w:rFonts w:hint="eastAsia"/>
              </w:rPr>
              <w:t>泄漏、火灾</w:t>
            </w:r>
          </w:p>
        </w:tc>
      </w:tr>
      <w:tr w14:paraId="6276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restart"/>
            <w:vAlign w:val="center"/>
          </w:tcPr>
          <w:p w14:paraId="4466A478">
            <w:pPr>
              <w:pStyle w:val="557"/>
            </w:pPr>
            <w:r>
              <w:rPr>
                <w:rFonts w:hint="eastAsia"/>
              </w:rPr>
              <w:t>气象参数</w:t>
            </w:r>
          </w:p>
        </w:tc>
        <w:tc>
          <w:tcPr>
            <w:tcW w:w="2264" w:type="dxa"/>
            <w:vAlign w:val="center"/>
          </w:tcPr>
          <w:p w14:paraId="30C05ECB">
            <w:pPr>
              <w:pStyle w:val="557"/>
            </w:pPr>
            <w:r>
              <w:rPr>
                <w:rFonts w:hint="eastAsia"/>
              </w:rPr>
              <w:t>气象条件类型</w:t>
            </w:r>
          </w:p>
        </w:tc>
        <w:tc>
          <w:tcPr>
            <w:tcW w:w="2119" w:type="dxa"/>
            <w:vAlign w:val="center"/>
          </w:tcPr>
          <w:p w14:paraId="5F016B5C">
            <w:pPr>
              <w:pStyle w:val="557"/>
            </w:pPr>
            <w:r>
              <w:rPr>
                <w:rFonts w:hint="eastAsia"/>
              </w:rPr>
              <w:t>最不利气象</w:t>
            </w:r>
          </w:p>
        </w:tc>
        <w:tc>
          <w:tcPr>
            <w:tcW w:w="2411" w:type="dxa"/>
            <w:vAlign w:val="center"/>
          </w:tcPr>
          <w:p w14:paraId="54808B8D">
            <w:pPr>
              <w:pStyle w:val="557"/>
            </w:pPr>
            <w:r>
              <w:rPr>
                <w:rFonts w:hint="eastAsia"/>
              </w:rPr>
              <w:t>最常见气象（2</w:t>
            </w:r>
            <w:r>
              <w:t>02</w:t>
            </w:r>
            <w:r>
              <w:rPr>
                <w:rFonts w:hint="eastAsia"/>
              </w:rPr>
              <w:t>3年）</w:t>
            </w:r>
          </w:p>
        </w:tc>
      </w:tr>
      <w:tr w14:paraId="0515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77FE94EB">
            <w:pPr>
              <w:pStyle w:val="557"/>
            </w:pPr>
          </w:p>
        </w:tc>
        <w:tc>
          <w:tcPr>
            <w:tcW w:w="2264" w:type="dxa"/>
            <w:vAlign w:val="center"/>
          </w:tcPr>
          <w:p w14:paraId="7CA3F80C">
            <w:pPr>
              <w:pStyle w:val="557"/>
            </w:pPr>
            <w:r>
              <w:rPr>
                <w:rFonts w:hint="eastAsia"/>
              </w:rPr>
              <w:t>风速</w:t>
            </w:r>
            <w:r>
              <w:t>/</w:t>
            </w:r>
            <w:r>
              <w:rPr>
                <w:rFonts w:hint="eastAsia"/>
              </w:rPr>
              <w:t>（</w:t>
            </w:r>
            <w:r>
              <w:t>m/s</w:t>
            </w:r>
            <w:r>
              <w:rPr>
                <w:rFonts w:hint="eastAsia"/>
              </w:rPr>
              <w:t>）</w:t>
            </w:r>
          </w:p>
        </w:tc>
        <w:tc>
          <w:tcPr>
            <w:tcW w:w="2119" w:type="dxa"/>
            <w:vAlign w:val="center"/>
          </w:tcPr>
          <w:p w14:paraId="396FEE27">
            <w:pPr>
              <w:pStyle w:val="557"/>
            </w:pPr>
            <w:r>
              <w:rPr>
                <w:rFonts w:hint="eastAsia"/>
              </w:rPr>
              <w:t>1</w:t>
            </w:r>
            <w:r>
              <w:t>.5</w:t>
            </w:r>
          </w:p>
        </w:tc>
        <w:tc>
          <w:tcPr>
            <w:tcW w:w="2411" w:type="dxa"/>
            <w:vAlign w:val="center"/>
          </w:tcPr>
          <w:p w14:paraId="16102982">
            <w:pPr>
              <w:pStyle w:val="557"/>
            </w:pPr>
            <w:r>
              <w:rPr>
                <w:rFonts w:hint="eastAsia"/>
              </w:rPr>
              <w:t>2.56</w:t>
            </w:r>
          </w:p>
        </w:tc>
      </w:tr>
      <w:tr w14:paraId="7291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170BB643">
            <w:pPr>
              <w:pStyle w:val="557"/>
            </w:pPr>
          </w:p>
        </w:tc>
        <w:tc>
          <w:tcPr>
            <w:tcW w:w="2264" w:type="dxa"/>
            <w:vAlign w:val="center"/>
          </w:tcPr>
          <w:p w14:paraId="375BD7B2">
            <w:pPr>
              <w:pStyle w:val="557"/>
            </w:pPr>
            <w:r>
              <w:rPr>
                <w:rFonts w:hint="eastAsia"/>
              </w:rPr>
              <w:t>环境温度</w:t>
            </w:r>
          </w:p>
        </w:tc>
        <w:tc>
          <w:tcPr>
            <w:tcW w:w="2119" w:type="dxa"/>
            <w:vAlign w:val="center"/>
          </w:tcPr>
          <w:p w14:paraId="596E99B6">
            <w:pPr>
              <w:pStyle w:val="557"/>
            </w:pPr>
            <w:r>
              <w:rPr>
                <w:rFonts w:hint="eastAsia"/>
              </w:rPr>
              <w:t>2</w:t>
            </w:r>
            <w:r>
              <w:t>5</w:t>
            </w:r>
          </w:p>
        </w:tc>
        <w:tc>
          <w:tcPr>
            <w:tcW w:w="2411" w:type="dxa"/>
            <w:vAlign w:val="center"/>
          </w:tcPr>
          <w:p w14:paraId="030BB0FD">
            <w:pPr>
              <w:pStyle w:val="557"/>
            </w:pPr>
            <w:r>
              <w:rPr>
                <w:rFonts w:hint="eastAsia"/>
              </w:rPr>
              <w:t>35.86</w:t>
            </w:r>
          </w:p>
        </w:tc>
      </w:tr>
      <w:tr w14:paraId="36D2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55D59609">
            <w:pPr>
              <w:pStyle w:val="557"/>
            </w:pPr>
          </w:p>
        </w:tc>
        <w:tc>
          <w:tcPr>
            <w:tcW w:w="2264" w:type="dxa"/>
            <w:vAlign w:val="center"/>
          </w:tcPr>
          <w:p w14:paraId="7DE9A8B7">
            <w:pPr>
              <w:pStyle w:val="557"/>
            </w:pPr>
            <w:r>
              <w:rPr>
                <w:rFonts w:hint="eastAsia"/>
              </w:rPr>
              <w:t>相对湿度</w:t>
            </w:r>
            <w:r>
              <w:t>/%</w:t>
            </w:r>
          </w:p>
        </w:tc>
        <w:tc>
          <w:tcPr>
            <w:tcW w:w="2119" w:type="dxa"/>
            <w:vAlign w:val="center"/>
          </w:tcPr>
          <w:p w14:paraId="07FA5F55">
            <w:pPr>
              <w:pStyle w:val="557"/>
            </w:pPr>
            <w:r>
              <w:rPr>
                <w:rFonts w:hint="eastAsia"/>
              </w:rPr>
              <w:t>5</w:t>
            </w:r>
            <w:r>
              <w:t>0</w:t>
            </w:r>
          </w:p>
        </w:tc>
        <w:tc>
          <w:tcPr>
            <w:tcW w:w="2411" w:type="dxa"/>
            <w:vAlign w:val="center"/>
          </w:tcPr>
          <w:p w14:paraId="2B27F441">
            <w:pPr>
              <w:pStyle w:val="557"/>
            </w:pPr>
            <w:r>
              <w:rPr>
                <w:rFonts w:hint="eastAsia"/>
              </w:rPr>
              <w:t>41.16</w:t>
            </w:r>
          </w:p>
        </w:tc>
      </w:tr>
      <w:tr w14:paraId="0FB3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3A0EC503">
            <w:pPr>
              <w:pStyle w:val="557"/>
            </w:pPr>
          </w:p>
        </w:tc>
        <w:tc>
          <w:tcPr>
            <w:tcW w:w="2264" w:type="dxa"/>
            <w:vAlign w:val="center"/>
          </w:tcPr>
          <w:p w14:paraId="63A8D6CF">
            <w:pPr>
              <w:pStyle w:val="557"/>
            </w:pPr>
            <w:r>
              <w:rPr>
                <w:rFonts w:hint="eastAsia"/>
              </w:rPr>
              <w:t>稳定度</w:t>
            </w:r>
          </w:p>
        </w:tc>
        <w:tc>
          <w:tcPr>
            <w:tcW w:w="2119" w:type="dxa"/>
            <w:vAlign w:val="center"/>
          </w:tcPr>
          <w:p w14:paraId="5F45B16B">
            <w:pPr>
              <w:pStyle w:val="557"/>
            </w:pPr>
            <w:r>
              <w:rPr>
                <w:rFonts w:hint="eastAsia"/>
              </w:rPr>
              <w:t>F</w:t>
            </w:r>
          </w:p>
        </w:tc>
        <w:tc>
          <w:tcPr>
            <w:tcW w:w="2411" w:type="dxa"/>
            <w:vAlign w:val="center"/>
          </w:tcPr>
          <w:p w14:paraId="0FB43722">
            <w:pPr>
              <w:pStyle w:val="557"/>
            </w:pPr>
            <w:r>
              <w:t>D</w:t>
            </w:r>
          </w:p>
        </w:tc>
      </w:tr>
      <w:tr w14:paraId="740A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restart"/>
            <w:vAlign w:val="center"/>
          </w:tcPr>
          <w:p w14:paraId="7D8C53F2">
            <w:pPr>
              <w:pStyle w:val="557"/>
            </w:pPr>
            <w:r>
              <w:rPr>
                <w:rFonts w:hint="eastAsia"/>
              </w:rPr>
              <w:t>其他参数</w:t>
            </w:r>
          </w:p>
        </w:tc>
        <w:tc>
          <w:tcPr>
            <w:tcW w:w="2264" w:type="dxa"/>
            <w:vAlign w:val="center"/>
          </w:tcPr>
          <w:p w14:paraId="0B7D5E3B">
            <w:pPr>
              <w:pStyle w:val="557"/>
            </w:pPr>
            <w:r>
              <w:rPr>
                <w:rFonts w:hint="eastAsia"/>
              </w:rPr>
              <w:t>地表粗糙度</w:t>
            </w:r>
            <w:r>
              <w:t>/m</w:t>
            </w:r>
          </w:p>
        </w:tc>
        <w:tc>
          <w:tcPr>
            <w:tcW w:w="2119" w:type="dxa"/>
            <w:vAlign w:val="center"/>
          </w:tcPr>
          <w:p w14:paraId="6394C5E3">
            <w:pPr>
              <w:pStyle w:val="557"/>
            </w:pPr>
            <w:r>
              <w:rPr>
                <w:rFonts w:hint="eastAsia"/>
              </w:rPr>
              <w:t>1</w:t>
            </w:r>
            <w:r>
              <w:t>5</w:t>
            </w:r>
            <w:r>
              <w:rPr>
                <w:rFonts w:hint="eastAsia"/>
              </w:rPr>
              <w:t>cm</w:t>
            </w:r>
          </w:p>
        </w:tc>
        <w:tc>
          <w:tcPr>
            <w:tcW w:w="2411" w:type="dxa"/>
            <w:vAlign w:val="center"/>
          </w:tcPr>
          <w:p w14:paraId="5D78881B">
            <w:pPr>
              <w:pStyle w:val="557"/>
            </w:pPr>
            <w:r>
              <w:rPr>
                <w:rFonts w:hint="eastAsia"/>
              </w:rPr>
              <w:t>1</w:t>
            </w:r>
            <w:r>
              <w:t>5</w:t>
            </w:r>
            <w:r>
              <w:rPr>
                <w:rFonts w:hint="eastAsia"/>
              </w:rPr>
              <w:t>cm</w:t>
            </w:r>
          </w:p>
        </w:tc>
      </w:tr>
      <w:tr w14:paraId="465F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5" w:type="dxa"/>
            <w:vMerge w:val="continue"/>
            <w:vAlign w:val="center"/>
          </w:tcPr>
          <w:p w14:paraId="49CD70ED">
            <w:pPr>
              <w:pStyle w:val="557"/>
            </w:pPr>
          </w:p>
        </w:tc>
        <w:tc>
          <w:tcPr>
            <w:tcW w:w="2264" w:type="dxa"/>
            <w:vAlign w:val="center"/>
          </w:tcPr>
          <w:p w14:paraId="69720B3D">
            <w:pPr>
              <w:pStyle w:val="557"/>
            </w:pPr>
            <w:r>
              <w:rPr>
                <w:rFonts w:hint="eastAsia"/>
              </w:rPr>
              <w:t>事故考虑地形</w:t>
            </w:r>
          </w:p>
        </w:tc>
        <w:tc>
          <w:tcPr>
            <w:tcW w:w="2119" w:type="dxa"/>
            <w:vAlign w:val="center"/>
          </w:tcPr>
          <w:p w14:paraId="57260684">
            <w:pPr>
              <w:pStyle w:val="557"/>
            </w:pPr>
            <w:r>
              <w:rPr>
                <w:rFonts w:hint="eastAsia"/>
              </w:rPr>
              <w:t>1</w:t>
            </w:r>
            <w:r>
              <w:t>5</w:t>
            </w:r>
            <w:r>
              <w:rPr>
                <w:rFonts w:hint="eastAsia"/>
              </w:rPr>
              <w:t>cm</w:t>
            </w:r>
          </w:p>
        </w:tc>
        <w:tc>
          <w:tcPr>
            <w:tcW w:w="2411" w:type="dxa"/>
            <w:vAlign w:val="center"/>
          </w:tcPr>
          <w:p w14:paraId="68D4CA3F">
            <w:pPr>
              <w:pStyle w:val="557"/>
            </w:pPr>
            <w:r>
              <w:rPr>
                <w:rFonts w:hint="eastAsia"/>
              </w:rPr>
              <w:t>1</w:t>
            </w:r>
            <w:r>
              <w:t>5</w:t>
            </w:r>
            <w:r>
              <w:rPr>
                <w:rFonts w:hint="eastAsia"/>
              </w:rPr>
              <w:t>cm</w:t>
            </w:r>
          </w:p>
        </w:tc>
      </w:tr>
    </w:tbl>
    <w:p w14:paraId="616EF65A">
      <w:pPr>
        <w:pStyle w:val="557"/>
      </w:pPr>
    </w:p>
    <w:p w14:paraId="78EDB38F">
      <w:pPr>
        <w:pStyle w:val="98"/>
        <w:rPr>
          <w:rFonts w:hint="eastAsia"/>
          <w:color w:val="auto"/>
        </w:rPr>
      </w:pPr>
      <w:r>
        <w:rPr>
          <w:rFonts w:hint="eastAsia"/>
          <w:color w:val="auto"/>
        </w:rPr>
        <w:t>大气毒性终点浓度选取</w:t>
      </w:r>
    </w:p>
    <w:p w14:paraId="520E5F1F">
      <w:pPr>
        <w:pStyle w:val="281"/>
        <w:ind w:firstLine="480"/>
      </w:pPr>
      <w:r>
        <w:rPr>
          <w:rFonts w:hint="eastAsia" w:ascii="宋体" w:hAnsi="宋体"/>
        </w:rPr>
        <w:t>大气毒性终点浓度值选取分为</w:t>
      </w:r>
      <w:r>
        <w:rPr>
          <w:rFonts w:hint="eastAsia"/>
        </w:rPr>
        <w:t>1</w:t>
      </w:r>
      <w:r>
        <w:rPr>
          <w:rFonts w:hint="eastAsia" w:ascii="宋体" w:hAnsi="宋体"/>
        </w:rPr>
        <w:t>、</w:t>
      </w:r>
      <w:r>
        <w:rPr>
          <w:rFonts w:hint="eastAsia"/>
        </w:rPr>
        <w:t>2</w:t>
      </w:r>
      <w:r>
        <w:rPr>
          <w:rFonts w:hint="eastAsia" w:ascii="宋体" w:hAnsi="宋体"/>
        </w:rPr>
        <w:t>级。其中</w:t>
      </w:r>
      <w:r>
        <w:rPr>
          <w:rFonts w:hint="eastAsia"/>
        </w:rPr>
        <w:t>1</w:t>
      </w:r>
      <w:r>
        <w:rPr>
          <w:rFonts w:hint="eastAsia" w:ascii="宋体" w:hAnsi="宋体"/>
        </w:rPr>
        <w:t>级为当大气中危险物质浓度低于该限值时，绝大多数人员暴露</w:t>
      </w:r>
      <w:r>
        <w:rPr>
          <w:rFonts w:hint="eastAsia"/>
        </w:rPr>
        <w:t>1h</w:t>
      </w:r>
      <w:r>
        <w:rPr>
          <w:rFonts w:hint="eastAsia" w:ascii="宋体" w:hAnsi="宋体"/>
        </w:rPr>
        <w:t>不会对生命造成威胁，当超过该限值时，有可能对人群造成生命威胁；</w:t>
      </w:r>
      <w:r>
        <w:rPr>
          <w:rFonts w:hint="eastAsia"/>
        </w:rPr>
        <w:t>2</w:t>
      </w:r>
      <w:r>
        <w:rPr>
          <w:rFonts w:hint="eastAsia" w:ascii="宋体" w:hAnsi="宋体"/>
        </w:rPr>
        <w:t>级为当大气中危险物质浓度低于该限值时，暴露</w:t>
      </w:r>
      <w:r>
        <w:rPr>
          <w:rFonts w:hint="eastAsia"/>
        </w:rPr>
        <w:t>1h</w:t>
      </w:r>
      <w:r>
        <w:rPr>
          <w:rFonts w:hint="eastAsia" w:ascii="宋体" w:hAnsi="宋体"/>
        </w:rPr>
        <w:t>一般不会对人体造成不可逆的伤害，或出现的症状一般不会损伤该个体采取有效防护措施的能力。</w:t>
      </w:r>
    </w:p>
    <w:p w14:paraId="0C6410F1">
      <w:pPr>
        <w:pStyle w:val="281"/>
        <w:ind w:firstLine="480"/>
      </w:pPr>
      <w:r>
        <w:t>本项目预测的风险物质为一氧化碳</w:t>
      </w:r>
      <w:r>
        <w:rPr>
          <w:rFonts w:hint="eastAsia"/>
        </w:rPr>
        <w:t>、硫化氢、氨气、甲醇、甲酸甲酯、硝酸</w:t>
      </w:r>
      <w:r>
        <w:t>，具体风险物质的大气浓度终点浓度值见下表。</w:t>
      </w:r>
    </w:p>
    <w:p w14:paraId="75EA9782">
      <w:pPr>
        <w:pStyle w:val="535"/>
        <w:rPr>
          <w:rFonts w:hint="eastAsia"/>
          <w:bCs/>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 xml:space="preserve">-2 </w:t>
      </w:r>
      <w:r>
        <w:rPr>
          <w:rFonts w:eastAsia="宋体"/>
          <w:color w:val="auto"/>
        </w:rPr>
        <w:t xml:space="preserve">  </w:t>
      </w:r>
      <w:r>
        <w:rPr>
          <w:rFonts w:hint="eastAsia" w:eastAsia="宋体"/>
          <w:color w:val="auto"/>
        </w:rPr>
        <w:t xml:space="preserve">  </w:t>
      </w:r>
      <w:r>
        <w:rPr>
          <w:rFonts w:hint="eastAsia"/>
          <w:bCs/>
          <w:color w:val="auto"/>
        </w:rPr>
        <w:t>大气毒性终点浓度</w:t>
      </w:r>
    </w:p>
    <w:tbl>
      <w:tblPr>
        <w:tblStyle w:val="6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785"/>
        <w:gridCol w:w="2983"/>
        <w:gridCol w:w="2590"/>
      </w:tblGrid>
      <w:tr w14:paraId="2827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43C34BA4">
            <w:pPr>
              <w:pStyle w:val="557"/>
            </w:pPr>
            <w:r>
              <w:t>序号</w:t>
            </w:r>
          </w:p>
        </w:tc>
        <w:tc>
          <w:tcPr>
            <w:tcW w:w="1785" w:type="dxa"/>
            <w:vAlign w:val="center"/>
          </w:tcPr>
          <w:p w14:paraId="36399E55">
            <w:pPr>
              <w:pStyle w:val="557"/>
            </w:pPr>
            <w:r>
              <w:t>项目</w:t>
            </w:r>
          </w:p>
        </w:tc>
        <w:tc>
          <w:tcPr>
            <w:tcW w:w="2983" w:type="dxa"/>
            <w:vAlign w:val="center"/>
          </w:tcPr>
          <w:p w14:paraId="5B7BEEDB">
            <w:pPr>
              <w:pStyle w:val="557"/>
            </w:pPr>
            <w:r>
              <w:t>毒性终点浓度-1/（mg/m</w:t>
            </w:r>
            <w:r>
              <w:rPr>
                <w:vertAlign w:val="superscript"/>
              </w:rPr>
              <w:t>3</w:t>
            </w:r>
            <w:r>
              <w:t>）</w:t>
            </w:r>
          </w:p>
        </w:tc>
        <w:tc>
          <w:tcPr>
            <w:tcW w:w="2590" w:type="dxa"/>
            <w:vAlign w:val="center"/>
          </w:tcPr>
          <w:p w14:paraId="3C872871">
            <w:pPr>
              <w:pStyle w:val="557"/>
            </w:pPr>
            <w:r>
              <w:t>毒性终点浓度-2/（mg/m</w:t>
            </w:r>
            <w:r>
              <w:rPr>
                <w:vertAlign w:val="superscript"/>
              </w:rPr>
              <w:t>3</w:t>
            </w:r>
            <w:r>
              <w:t>）</w:t>
            </w:r>
          </w:p>
        </w:tc>
      </w:tr>
      <w:tr w14:paraId="33C4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068AF5B0">
            <w:pPr>
              <w:pStyle w:val="557"/>
            </w:pPr>
            <w:r>
              <w:rPr>
                <w:rFonts w:hint="eastAsia"/>
              </w:rPr>
              <w:t>1</w:t>
            </w:r>
          </w:p>
        </w:tc>
        <w:tc>
          <w:tcPr>
            <w:tcW w:w="1785" w:type="dxa"/>
            <w:vAlign w:val="center"/>
          </w:tcPr>
          <w:p w14:paraId="1C0005A8">
            <w:pPr>
              <w:pStyle w:val="557"/>
            </w:pPr>
            <w:r>
              <w:rPr>
                <w:rFonts w:hint="eastAsia"/>
              </w:rPr>
              <w:t>CO</w:t>
            </w:r>
          </w:p>
        </w:tc>
        <w:tc>
          <w:tcPr>
            <w:tcW w:w="2983" w:type="dxa"/>
            <w:vAlign w:val="center"/>
          </w:tcPr>
          <w:p w14:paraId="47E5B1A8">
            <w:pPr>
              <w:pStyle w:val="557"/>
            </w:pPr>
            <w:r>
              <w:rPr>
                <w:rFonts w:hint="eastAsia"/>
              </w:rPr>
              <w:t>380</w:t>
            </w:r>
          </w:p>
        </w:tc>
        <w:tc>
          <w:tcPr>
            <w:tcW w:w="2590" w:type="dxa"/>
            <w:vAlign w:val="center"/>
          </w:tcPr>
          <w:p w14:paraId="51DD59A4">
            <w:pPr>
              <w:pStyle w:val="557"/>
            </w:pPr>
            <w:r>
              <w:rPr>
                <w:rFonts w:hint="eastAsia"/>
              </w:rPr>
              <w:t>95</w:t>
            </w:r>
          </w:p>
        </w:tc>
      </w:tr>
      <w:tr w14:paraId="4AAE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1D15E38C">
            <w:pPr>
              <w:pStyle w:val="557"/>
            </w:pPr>
            <w:r>
              <w:rPr>
                <w:rFonts w:hint="eastAsia"/>
              </w:rPr>
              <w:t>2</w:t>
            </w:r>
          </w:p>
        </w:tc>
        <w:tc>
          <w:tcPr>
            <w:tcW w:w="1785" w:type="dxa"/>
            <w:vAlign w:val="center"/>
          </w:tcPr>
          <w:p w14:paraId="6BC73691">
            <w:pPr>
              <w:pStyle w:val="557"/>
            </w:pPr>
            <w:r>
              <w:rPr>
                <w:rFonts w:hint="eastAsia"/>
              </w:rPr>
              <w:t>硫化氢</w:t>
            </w:r>
          </w:p>
        </w:tc>
        <w:tc>
          <w:tcPr>
            <w:tcW w:w="2983" w:type="dxa"/>
            <w:vAlign w:val="center"/>
          </w:tcPr>
          <w:p w14:paraId="5485482B">
            <w:pPr>
              <w:pStyle w:val="557"/>
            </w:pPr>
            <w:r>
              <w:rPr>
                <w:rFonts w:hint="eastAsia"/>
              </w:rPr>
              <w:t>7</w:t>
            </w:r>
            <w:r>
              <w:t>0</w:t>
            </w:r>
          </w:p>
        </w:tc>
        <w:tc>
          <w:tcPr>
            <w:tcW w:w="2590" w:type="dxa"/>
            <w:vAlign w:val="center"/>
          </w:tcPr>
          <w:p w14:paraId="182E7E41">
            <w:pPr>
              <w:pStyle w:val="557"/>
            </w:pPr>
            <w:r>
              <w:rPr>
                <w:rFonts w:hint="eastAsia"/>
              </w:rPr>
              <w:t>3</w:t>
            </w:r>
            <w:r>
              <w:t>8</w:t>
            </w:r>
          </w:p>
        </w:tc>
      </w:tr>
      <w:tr w14:paraId="0626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1830E2C8">
            <w:pPr>
              <w:pStyle w:val="557"/>
            </w:pPr>
            <w:r>
              <w:rPr>
                <w:rFonts w:hint="eastAsia"/>
              </w:rPr>
              <w:t>3</w:t>
            </w:r>
          </w:p>
        </w:tc>
        <w:tc>
          <w:tcPr>
            <w:tcW w:w="1785" w:type="dxa"/>
            <w:vAlign w:val="center"/>
          </w:tcPr>
          <w:p w14:paraId="2678CA1B">
            <w:pPr>
              <w:pStyle w:val="557"/>
            </w:pPr>
            <w:r>
              <w:rPr>
                <w:rFonts w:hint="eastAsia"/>
              </w:rPr>
              <w:t>氨气</w:t>
            </w:r>
          </w:p>
        </w:tc>
        <w:tc>
          <w:tcPr>
            <w:tcW w:w="2983" w:type="dxa"/>
            <w:vAlign w:val="center"/>
          </w:tcPr>
          <w:p w14:paraId="02EE312C">
            <w:pPr>
              <w:pStyle w:val="557"/>
            </w:pPr>
            <w:r>
              <w:rPr>
                <w:rFonts w:hint="eastAsia"/>
              </w:rPr>
              <w:t>770</w:t>
            </w:r>
          </w:p>
        </w:tc>
        <w:tc>
          <w:tcPr>
            <w:tcW w:w="2590" w:type="dxa"/>
            <w:vAlign w:val="center"/>
          </w:tcPr>
          <w:p w14:paraId="06E123C7">
            <w:pPr>
              <w:pStyle w:val="557"/>
            </w:pPr>
            <w:r>
              <w:rPr>
                <w:rFonts w:hint="eastAsia"/>
              </w:rPr>
              <w:t>110</w:t>
            </w:r>
          </w:p>
        </w:tc>
      </w:tr>
      <w:tr w14:paraId="244C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05326C03">
            <w:pPr>
              <w:pStyle w:val="557"/>
            </w:pPr>
            <w:r>
              <w:rPr>
                <w:rFonts w:hint="eastAsia"/>
              </w:rPr>
              <w:t>4</w:t>
            </w:r>
          </w:p>
        </w:tc>
        <w:tc>
          <w:tcPr>
            <w:tcW w:w="1785" w:type="dxa"/>
            <w:vAlign w:val="center"/>
          </w:tcPr>
          <w:p w14:paraId="7A6650D5">
            <w:pPr>
              <w:pStyle w:val="557"/>
            </w:pPr>
            <w:r>
              <w:rPr>
                <w:rFonts w:hint="eastAsia"/>
              </w:rPr>
              <w:t>甲醇</w:t>
            </w:r>
          </w:p>
        </w:tc>
        <w:tc>
          <w:tcPr>
            <w:tcW w:w="2983" w:type="dxa"/>
            <w:vAlign w:val="center"/>
          </w:tcPr>
          <w:p w14:paraId="4237F8F3">
            <w:pPr>
              <w:pStyle w:val="557"/>
            </w:pPr>
            <w:r>
              <w:rPr>
                <w:rFonts w:hint="eastAsia"/>
              </w:rPr>
              <w:t>9400</w:t>
            </w:r>
          </w:p>
        </w:tc>
        <w:tc>
          <w:tcPr>
            <w:tcW w:w="2590" w:type="dxa"/>
            <w:vAlign w:val="center"/>
          </w:tcPr>
          <w:p w14:paraId="78565D76">
            <w:pPr>
              <w:pStyle w:val="557"/>
            </w:pPr>
            <w:r>
              <w:rPr>
                <w:rFonts w:hint="eastAsia"/>
              </w:rPr>
              <w:t>2700</w:t>
            </w:r>
          </w:p>
        </w:tc>
      </w:tr>
      <w:tr w14:paraId="0225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24FA7876">
            <w:pPr>
              <w:pStyle w:val="557"/>
            </w:pPr>
            <w:r>
              <w:rPr>
                <w:rFonts w:hint="eastAsia"/>
              </w:rPr>
              <w:t>5</w:t>
            </w:r>
          </w:p>
        </w:tc>
        <w:tc>
          <w:tcPr>
            <w:tcW w:w="1785" w:type="dxa"/>
            <w:vAlign w:val="center"/>
          </w:tcPr>
          <w:p w14:paraId="37EC1BD6">
            <w:pPr>
              <w:pStyle w:val="557"/>
            </w:pPr>
            <w:r>
              <w:rPr>
                <w:rFonts w:hint="eastAsia"/>
              </w:rPr>
              <w:t>甲酸甲酯</w:t>
            </w:r>
          </w:p>
        </w:tc>
        <w:tc>
          <w:tcPr>
            <w:tcW w:w="2983" w:type="dxa"/>
            <w:vAlign w:val="center"/>
          </w:tcPr>
          <w:p w14:paraId="77F4B9D4">
            <w:pPr>
              <w:pStyle w:val="557"/>
            </w:pPr>
            <w:r>
              <w:rPr>
                <w:rFonts w:hint="eastAsia"/>
              </w:rPr>
              <w:t>12000</w:t>
            </w:r>
          </w:p>
        </w:tc>
        <w:tc>
          <w:tcPr>
            <w:tcW w:w="2590" w:type="dxa"/>
            <w:vAlign w:val="center"/>
          </w:tcPr>
          <w:p w14:paraId="0289F919">
            <w:pPr>
              <w:pStyle w:val="557"/>
            </w:pPr>
            <w:r>
              <w:rPr>
                <w:rFonts w:hint="eastAsia"/>
              </w:rPr>
              <w:t>2000</w:t>
            </w:r>
          </w:p>
        </w:tc>
      </w:tr>
      <w:tr w14:paraId="7BC8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4" w:type="dxa"/>
            <w:vAlign w:val="center"/>
          </w:tcPr>
          <w:p w14:paraId="038D267D">
            <w:pPr>
              <w:pStyle w:val="557"/>
            </w:pPr>
            <w:r>
              <w:rPr>
                <w:rFonts w:hint="eastAsia"/>
              </w:rPr>
              <w:t>6</w:t>
            </w:r>
          </w:p>
        </w:tc>
        <w:tc>
          <w:tcPr>
            <w:tcW w:w="1785" w:type="dxa"/>
            <w:vAlign w:val="center"/>
          </w:tcPr>
          <w:p w14:paraId="590A42A6">
            <w:pPr>
              <w:pStyle w:val="557"/>
            </w:pPr>
            <w:r>
              <w:rPr>
                <w:rFonts w:hint="eastAsia"/>
              </w:rPr>
              <w:t>硝酸</w:t>
            </w:r>
          </w:p>
        </w:tc>
        <w:tc>
          <w:tcPr>
            <w:tcW w:w="2983" w:type="dxa"/>
            <w:vAlign w:val="center"/>
          </w:tcPr>
          <w:p w14:paraId="79ABCA2F">
            <w:pPr>
              <w:pStyle w:val="557"/>
            </w:pPr>
            <w:r>
              <w:rPr>
                <w:rFonts w:hint="eastAsia"/>
              </w:rPr>
              <w:t>240</w:t>
            </w:r>
          </w:p>
        </w:tc>
        <w:tc>
          <w:tcPr>
            <w:tcW w:w="2590" w:type="dxa"/>
            <w:vAlign w:val="center"/>
          </w:tcPr>
          <w:p w14:paraId="4E786509">
            <w:pPr>
              <w:pStyle w:val="557"/>
            </w:pPr>
            <w:r>
              <w:rPr>
                <w:rFonts w:hint="eastAsia"/>
              </w:rPr>
              <w:t>62</w:t>
            </w:r>
          </w:p>
        </w:tc>
      </w:tr>
    </w:tbl>
    <w:p w14:paraId="63CA2484">
      <w:pPr>
        <w:pStyle w:val="98"/>
        <w:rPr>
          <w:rFonts w:hint="eastAsia"/>
          <w:color w:val="auto"/>
        </w:rPr>
      </w:pPr>
      <w:r>
        <w:rPr>
          <w:rFonts w:hint="eastAsia"/>
          <w:color w:val="auto"/>
        </w:rPr>
        <w:t>煤气泄漏事故预测结果</w:t>
      </w:r>
    </w:p>
    <w:p w14:paraId="5CE7C992">
      <w:pPr>
        <w:pStyle w:val="281"/>
        <w:ind w:firstLine="480"/>
        <w:rPr>
          <w:rFonts w:hint="eastAsia" w:ascii="宋体" w:hAnsi="宋体"/>
        </w:rPr>
      </w:pPr>
      <w:r>
        <w:rPr>
          <w:rFonts w:hint="eastAsia" w:ascii="宋体" w:hAnsi="宋体"/>
        </w:rPr>
        <w:t>根据预测方案，煤气泄漏风险事故预测结果见下表。</w:t>
      </w:r>
    </w:p>
    <w:p w14:paraId="432CDC47">
      <w:pPr>
        <w:pStyle w:val="535"/>
        <w:rPr>
          <w:rFonts w:hint="eastAsia"/>
          <w:bCs/>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-3</w:t>
      </w:r>
      <w:r>
        <w:rPr>
          <w:rFonts w:eastAsia="宋体"/>
          <w:color w:val="auto"/>
        </w:rPr>
        <w:t xml:space="preserve">   </w:t>
      </w:r>
      <w:r>
        <w:rPr>
          <w:rFonts w:hint="eastAsia"/>
          <w:bCs/>
          <w:color w:val="auto"/>
        </w:rPr>
        <w:t>煤气泄漏源项和事故后果基本信息表</w:t>
      </w:r>
    </w:p>
    <w:tbl>
      <w:tblPr>
        <w:tblStyle w:val="6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990"/>
        <w:gridCol w:w="277"/>
        <w:gridCol w:w="1065"/>
        <w:gridCol w:w="633"/>
        <w:gridCol w:w="1067"/>
        <w:gridCol w:w="485"/>
        <w:gridCol w:w="629"/>
        <w:gridCol w:w="1146"/>
        <w:gridCol w:w="272"/>
        <w:gridCol w:w="1409"/>
      </w:tblGrid>
      <w:tr w14:paraId="6DBE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11"/>
            <w:vAlign w:val="center"/>
          </w:tcPr>
          <w:p w14:paraId="2B0B5B66">
            <w:pPr>
              <w:pStyle w:val="557"/>
            </w:pPr>
            <w:r>
              <w:rPr>
                <w:rFonts w:hint="eastAsia"/>
              </w:rPr>
              <w:t>风险事故</w:t>
            </w:r>
            <w:r>
              <w:t>情形分析</w:t>
            </w:r>
          </w:p>
        </w:tc>
      </w:tr>
      <w:tr w14:paraId="2608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8" w:type="pct"/>
            <w:gridSpan w:val="3"/>
            <w:vAlign w:val="center"/>
          </w:tcPr>
          <w:p w14:paraId="30627FD8">
            <w:pPr>
              <w:pStyle w:val="557"/>
            </w:pPr>
            <w:r>
              <w:rPr>
                <w:rFonts w:hint="eastAsia"/>
              </w:rPr>
              <w:t>代表性风险事故情形描述</w:t>
            </w:r>
          </w:p>
        </w:tc>
        <w:tc>
          <w:tcPr>
            <w:tcW w:w="3942" w:type="pct"/>
            <w:gridSpan w:val="8"/>
            <w:vAlign w:val="center"/>
          </w:tcPr>
          <w:p w14:paraId="4DCF5550">
            <w:pPr>
              <w:pStyle w:val="557"/>
            </w:pPr>
            <w:r>
              <w:rPr>
                <w:rFonts w:hint="eastAsia"/>
              </w:rPr>
              <w:t>煤气输送</w:t>
            </w:r>
            <w:r>
              <w:t>管线破裂，</w:t>
            </w:r>
            <w:r>
              <w:rPr>
                <w:rFonts w:hint="eastAsia"/>
              </w:rPr>
              <w:t>煤气</w:t>
            </w:r>
            <w:r>
              <w:t>（主要成分</w:t>
            </w:r>
            <w:r>
              <w:rPr>
                <w:rFonts w:hint="eastAsia"/>
              </w:rPr>
              <w:t>CO</w:t>
            </w:r>
            <w:r>
              <w:t>）泄漏扩散</w:t>
            </w:r>
          </w:p>
        </w:tc>
      </w:tr>
      <w:tr w14:paraId="7B77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8" w:type="pct"/>
            <w:gridSpan w:val="3"/>
            <w:vAlign w:val="center"/>
          </w:tcPr>
          <w:p w14:paraId="38FC79A6">
            <w:pPr>
              <w:pStyle w:val="557"/>
            </w:pPr>
            <w:r>
              <w:rPr>
                <w:rFonts w:hint="eastAsia"/>
              </w:rPr>
              <w:t>环境</w:t>
            </w:r>
            <w:r>
              <w:t>风险</w:t>
            </w:r>
            <w:r>
              <w:rPr>
                <w:rFonts w:hint="eastAsia"/>
              </w:rPr>
              <w:t>类型</w:t>
            </w:r>
          </w:p>
        </w:tc>
        <w:tc>
          <w:tcPr>
            <w:tcW w:w="3942" w:type="pct"/>
            <w:gridSpan w:val="8"/>
            <w:vAlign w:val="center"/>
          </w:tcPr>
          <w:p w14:paraId="48D3ABEC">
            <w:pPr>
              <w:pStyle w:val="557"/>
            </w:pPr>
            <w:r>
              <w:rPr>
                <w:rFonts w:hint="eastAsia"/>
              </w:rPr>
              <w:t>泄漏</w:t>
            </w:r>
          </w:p>
        </w:tc>
      </w:tr>
      <w:tr w14:paraId="2F02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8" w:type="pct"/>
            <w:gridSpan w:val="3"/>
            <w:vAlign w:val="center"/>
          </w:tcPr>
          <w:p w14:paraId="2C1E98A1">
            <w:pPr>
              <w:pStyle w:val="557"/>
            </w:pPr>
            <w:r>
              <w:rPr>
                <w:rFonts w:hint="eastAsia"/>
              </w:rPr>
              <w:t>泄漏设备类型</w:t>
            </w:r>
          </w:p>
        </w:tc>
        <w:tc>
          <w:tcPr>
            <w:tcW w:w="626" w:type="pct"/>
            <w:vAlign w:val="center"/>
          </w:tcPr>
          <w:p w14:paraId="2CD216C1">
            <w:pPr>
              <w:pStyle w:val="557"/>
            </w:pPr>
            <w:r>
              <w:rPr>
                <w:rFonts w:hint="eastAsia"/>
              </w:rPr>
              <w:t>压力容器</w:t>
            </w:r>
          </w:p>
        </w:tc>
        <w:tc>
          <w:tcPr>
            <w:tcW w:w="999" w:type="pct"/>
            <w:gridSpan w:val="2"/>
            <w:vAlign w:val="center"/>
          </w:tcPr>
          <w:p w14:paraId="12BFC1C8">
            <w:pPr>
              <w:pStyle w:val="557"/>
            </w:pPr>
            <w:r>
              <w:rPr>
                <w:rFonts w:hint="eastAsia"/>
              </w:rPr>
              <w:t>操作温度/℃</w:t>
            </w:r>
          </w:p>
        </w:tc>
        <w:tc>
          <w:tcPr>
            <w:tcW w:w="655" w:type="pct"/>
            <w:gridSpan w:val="2"/>
            <w:vAlign w:val="center"/>
          </w:tcPr>
          <w:p w14:paraId="6179DD10">
            <w:pPr>
              <w:pStyle w:val="557"/>
            </w:pPr>
            <w:r>
              <w:rPr>
                <w:rFonts w:hint="eastAsia"/>
              </w:rPr>
              <w:t>189</w:t>
            </w:r>
          </w:p>
        </w:tc>
        <w:tc>
          <w:tcPr>
            <w:tcW w:w="834" w:type="pct"/>
            <w:gridSpan w:val="2"/>
            <w:vAlign w:val="center"/>
          </w:tcPr>
          <w:p w14:paraId="1B228CA0">
            <w:pPr>
              <w:pStyle w:val="557"/>
            </w:pPr>
            <w:r>
              <w:rPr>
                <w:rFonts w:hint="eastAsia"/>
              </w:rPr>
              <w:t>操作压力/MPa</w:t>
            </w:r>
          </w:p>
        </w:tc>
        <w:tc>
          <w:tcPr>
            <w:tcW w:w="828" w:type="pct"/>
            <w:vAlign w:val="center"/>
          </w:tcPr>
          <w:p w14:paraId="1779997D">
            <w:pPr>
              <w:pStyle w:val="557"/>
            </w:pPr>
            <w:r>
              <w:rPr>
                <w:rFonts w:hint="eastAsia"/>
              </w:rPr>
              <w:t>5.0</w:t>
            </w:r>
          </w:p>
        </w:tc>
      </w:tr>
      <w:tr w14:paraId="670F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8" w:type="pct"/>
            <w:gridSpan w:val="3"/>
            <w:vAlign w:val="center"/>
          </w:tcPr>
          <w:p w14:paraId="7D0DF99B">
            <w:pPr>
              <w:pStyle w:val="557"/>
            </w:pPr>
            <w:r>
              <w:rPr>
                <w:rFonts w:hint="eastAsia"/>
              </w:rPr>
              <w:t>泄漏危险物质</w:t>
            </w:r>
          </w:p>
        </w:tc>
        <w:tc>
          <w:tcPr>
            <w:tcW w:w="626" w:type="pct"/>
            <w:vAlign w:val="center"/>
          </w:tcPr>
          <w:p w14:paraId="1C2DA699">
            <w:pPr>
              <w:pStyle w:val="557"/>
            </w:pPr>
            <w:r>
              <w:rPr>
                <w:rFonts w:hint="eastAsia"/>
              </w:rPr>
              <w:t>CO</w:t>
            </w:r>
          </w:p>
        </w:tc>
        <w:tc>
          <w:tcPr>
            <w:tcW w:w="999" w:type="pct"/>
            <w:gridSpan w:val="2"/>
            <w:vAlign w:val="center"/>
          </w:tcPr>
          <w:p w14:paraId="1E5CF5A7">
            <w:pPr>
              <w:pStyle w:val="557"/>
            </w:pPr>
            <w:r>
              <w:rPr>
                <w:rFonts w:hint="eastAsia"/>
              </w:rPr>
              <w:t>泄漏孔径/mm</w:t>
            </w:r>
          </w:p>
        </w:tc>
        <w:tc>
          <w:tcPr>
            <w:tcW w:w="655" w:type="pct"/>
            <w:gridSpan w:val="2"/>
            <w:vAlign w:val="center"/>
          </w:tcPr>
          <w:p w14:paraId="6F48D8BD">
            <w:pPr>
              <w:pStyle w:val="557"/>
            </w:pPr>
            <w:r>
              <w:rPr>
                <w:rFonts w:hint="eastAsia"/>
              </w:rPr>
              <w:t>5</w:t>
            </w:r>
          </w:p>
        </w:tc>
        <w:tc>
          <w:tcPr>
            <w:tcW w:w="834" w:type="pct"/>
            <w:gridSpan w:val="2"/>
            <w:vAlign w:val="center"/>
          </w:tcPr>
          <w:p w14:paraId="58AFB907">
            <w:pPr>
              <w:pStyle w:val="557"/>
            </w:pPr>
            <w:r>
              <w:rPr>
                <w:rFonts w:hint="eastAsia"/>
              </w:rPr>
              <w:t>泄漏高度/m</w:t>
            </w:r>
          </w:p>
        </w:tc>
        <w:tc>
          <w:tcPr>
            <w:tcW w:w="828" w:type="pct"/>
            <w:vAlign w:val="center"/>
          </w:tcPr>
          <w:p w14:paraId="685A30CF">
            <w:pPr>
              <w:pStyle w:val="557"/>
            </w:pPr>
            <w:r>
              <w:rPr>
                <w:rFonts w:hint="eastAsia"/>
              </w:rPr>
              <w:t>5</w:t>
            </w:r>
          </w:p>
        </w:tc>
      </w:tr>
      <w:tr w14:paraId="30AB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8" w:type="pct"/>
            <w:gridSpan w:val="3"/>
            <w:vAlign w:val="center"/>
          </w:tcPr>
          <w:p w14:paraId="5593B38C">
            <w:pPr>
              <w:pStyle w:val="557"/>
            </w:pPr>
            <w:r>
              <w:rPr>
                <w:rFonts w:hint="eastAsia"/>
              </w:rPr>
              <w:t>泄漏时间/min</w:t>
            </w:r>
          </w:p>
        </w:tc>
        <w:tc>
          <w:tcPr>
            <w:tcW w:w="626" w:type="pct"/>
            <w:vAlign w:val="center"/>
          </w:tcPr>
          <w:p w14:paraId="1E5BEE82">
            <w:pPr>
              <w:pStyle w:val="557"/>
            </w:pPr>
            <w:r>
              <w:rPr>
                <w:rFonts w:hint="eastAsia"/>
              </w:rPr>
              <w:t>10</w:t>
            </w:r>
          </w:p>
        </w:tc>
        <w:tc>
          <w:tcPr>
            <w:tcW w:w="999" w:type="pct"/>
            <w:gridSpan w:val="2"/>
            <w:vAlign w:val="center"/>
          </w:tcPr>
          <w:p w14:paraId="47D9B33D">
            <w:pPr>
              <w:pStyle w:val="557"/>
            </w:pPr>
            <w:r>
              <w:rPr>
                <w:rFonts w:hint="eastAsia"/>
              </w:rPr>
              <w:t>泄漏速率/(kg/s)</w:t>
            </w:r>
          </w:p>
        </w:tc>
        <w:tc>
          <w:tcPr>
            <w:tcW w:w="655" w:type="pct"/>
            <w:gridSpan w:val="2"/>
            <w:vAlign w:val="center"/>
          </w:tcPr>
          <w:p w14:paraId="05BE05FA">
            <w:pPr>
              <w:pStyle w:val="557"/>
            </w:pPr>
            <w:r>
              <w:rPr>
                <w:rFonts w:hint="eastAsia"/>
              </w:rPr>
              <w:t>2.98</w:t>
            </w:r>
          </w:p>
        </w:tc>
        <w:tc>
          <w:tcPr>
            <w:tcW w:w="834" w:type="pct"/>
            <w:gridSpan w:val="2"/>
            <w:vAlign w:val="center"/>
          </w:tcPr>
          <w:p w14:paraId="65F800FD">
            <w:pPr>
              <w:pStyle w:val="557"/>
            </w:pPr>
          </w:p>
        </w:tc>
        <w:tc>
          <w:tcPr>
            <w:tcW w:w="828" w:type="pct"/>
            <w:vAlign w:val="center"/>
          </w:tcPr>
          <w:p w14:paraId="764ADA73">
            <w:pPr>
              <w:pStyle w:val="557"/>
            </w:pPr>
          </w:p>
        </w:tc>
      </w:tr>
      <w:tr w14:paraId="4D26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11"/>
            <w:vAlign w:val="center"/>
          </w:tcPr>
          <w:p w14:paraId="3AA45392">
            <w:pPr>
              <w:pStyle w:val="557"/>
            </w:pPr>
            <w:r>
              <w:rPr>
                <w:rFonts w:hint="eastAsia"/>
              </w:rPr>
              <w:t>事故后果预测</w:t>
            </w:r>
          </w:p>
        </w:tc>
      </w:tr>
      <w:tr w14:paraId="606E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66C5B124">
            <w:pPr>
              <w:pStyle w:val="557"/>
            </w:pPr>
            <w:r>
              <w:rPr>
                <w:rFonts w:hint="eastAsia"/>
              </w:rPr>
              <w:t>大气</w:t>
            </w:r>
          </w:p>
        </w:tc>
        <w:tc>
          <w:tcPr>
            <w:tcW w:w="582" w:type="pct"/>
            <w:vAlign w:val="center"/>
          </w:tcPr>
          <w:p w14:paraId="4929AE9C">
            <w:pPr>
              <w:pStyle w:val="557"/>
            </w:pPr>
            <w:r>
              <w:rPr>
                <w:rFonts w:hint="eastAsia"/>
              </w:rPr>
              <w:t>危险物质</w:t>
            </w:r>
          </w:p>
        </w:tc>
        <w:tc>
          <w:tcPr>
            <w:tcW w:w="4105" w:type="pct"/>
            <w:gridSpan w:val="9"/>
            <w:vAlign w:val="center"/>
          </w:tcPr>
          <w:p w14:paraId="5F1C6C2A">
            <w:pPr>
              <w:pStyle w:val="557"/>
            </w:pPr>
            <w:r>
              <w:rPr>
                <w:rFonts w:hint="eastAsia"/>
              </w:rPr>
              <w:t>最不利气象条件下大气</w:t>
            </w:r>
            <w:r>
              <w:t>环境影响</w:t>
            </w:r>
          </w:p>
        </w:tc>
      </w:tr>
      <w:tr w14:paraId="335A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7029D13">
            <w:pPr>
              <w:pStyle w:val="557"/>
            </w:pPr>
          </w:p>
        </w:tc>
        <w:tc>
          <w:tcPr>
            <w:tcW w:w="582" w:type="pct"/>
            <w:vMerge w:val="restart"/>
            <w:vAlign w:val="center"/>
          </w:tcPr>
          <w:p w14:paraId="0A509A67">
            <w:pPr>
              <w:pStyle w:val="557"/>
            </w:pPr>
            <w:r>
              <w:rPr>
                <w:rFonts w:hint="eastAsia"/>
              </w:rPr>
              <w:t>CO</w:t>
            </w:r>
          </w:p>
        </w:tc>
        <w:tc>
          <w:tcPr>
            <w:tcW w:w="1161" w:type="pct"/>
            <w:gridSpan w:val="3"/>
            <w:vAlign w:val="center"/>
          </w:tcPr>
          <w:p w14:paraId="5140133F">
            <w:pPr>
              <w:pStyle w:val="557"/>
            </w:pPr>
            <w:r>
              <w:rPr>
                <w:rFonts w:hint="eastAsia"/>
              </w:rPr>
              <w:t>指标</w:t>
            </w:r>
          </w:p>
        </w:tc>
        <w:tc>
          <w:tcPr>
            <w:tcW w:w="912" w:type="pct"/>
            <w:gridSpan w:val="2"/>
            <w:vAlign w:val="center"/>
          </w:tcPr>
          <w:p w14:paraId="222F29B6">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065FEC15">
            <w:pPr>
              <w:pStyle w:val="557"/>
            </w:pPr>
            <w:r>
              <w:rPr>
                <w:rFonts w:hint="eastAsia"/>
              </w:rPr>
              <w:t>最远影响距离/m</w:t>
            </w:r>
          </w:p>
        </w:tc>
        <w:tc>
          <w:tcPr>
            <w:tcW w:w="988" w:type="pct"/>
            <w:gridSpan w:val="2"/>
            <w:vAlign w:val="center"/>
          </w:tcPr>
          <w:p w14:paraId="28F0A79D">
            <w:pPr>
              <w:pStyle w:val="557"/>
            </w:pPr>
            <w:r>
              <w:rPr>
                <w:rFonts w:hint="eastAsia"/>
              </w:rPr>
              <w:t>到达时间/min</w:t>
            </w:r>
          </w:p>
        </w:tc>
      </w:tr>
      <w:tr w14:paraId="3D0D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44E3B911">
            <w:pPr>
              <w:pStyle w:val="557"/>
            </w:pPr>
          </w:p>
        </w:tc>
        <w:tc>
          <w:tcPr>
            <w:tcW w:w="582" w:type="pct"/>
            <w:vMerge w:val="continue"/>
            <w:vAlign w:val="center"/>
          </w:tcPr>
          <w:p w14:paraId="6F3F9F35">
            <w:pPr>
              <w:pStyle w:val="557"/>
            </w:pPr>
          </w:p>
        </w:tc>
        <w:tc>
          <w:tcPr>
            <w:tcW w:w="1161" w:type="pct"/>
            <w:gridSpan w:val="3"/>
            <w:vAlign w:val="center"/>
          </w:tcPr>
          <w:p w14:paraId="76CBB2E1">
            <w:pPr>
              <w:pStyle w:val="557"/>
            </w:pPr>
            <w:r>
              <w:rPr>
                <w:rFonts w:hint="eastAsia"/>
              </w:rPr>
              <w:t>大气毒性终点浓度-1</w:t>
            </w:r>
          </w:p>
        </w:tc>
        <w:tc>
          <w:tcPr>
            <w:tcW w:w="912" w:type="pct"/>
            <w:gridSpan w:val="2"/>
            <w:vAlign w:val="center"/>
          </w:tcPr>
          <w:p w14:paraId="7F9A610A">
            <w:pPr>
              <w:pStyle w:val="557"/>
            </w:pPr>
            <w:r>
              <w:rPr>
                <w:rFonts w:hint="eastAsia"/>
              </w:rPr>
              <w:t>380</w:t>
            </w:r>
          </w:p>
        </w:tc>
        <w:tc>
          <w:tcPr>
            <w:tcW w:w="1044" w:type="pct"/>
            <w:gridSpan w:val="2"/>
            <w:vAlign w:val="center"/>
          </w:tcPr>
          <w:p w14:paraId="6089ADD9">
            <w:pPr>
              <w:pStyle w:val="557"/>
            </w:pPr>
            <w:r>
              <w:rPr>
                <w:rFonts w:hint="eastAsia"/>
              </w:rPr>
              <w:t>1310</w:t>
            </w:r>
          </w:p>
        </w:tc>
        <w:tc>
          <w:tcPr>
            <w:tcW w:w="988" w:type="pct"/>
            <w:gridSpan w:val="2"/>
            <w:vAlign w:val="center"/>
          </w:tcPr>
          <w:p w14:paraId="1CDF495B">
            <w:pPr>
              <w:pStyle w:val="557"/>
            </w:pPr>
            <w:r>
              <w:rPr>
                <w:rFonts w:hint="eastAsia"/>
              </w:rPr>
              <w:t>17.56</w:t>
            </w:r>
          </w:p>
        </w:tc>
      </w:tr>
      <w:tr w14:paraId="11D5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B6EDD1E">
            <w:pPr>
              <w:pStyle w:val="557"/>
            </w:pPr>
          </w:p>
        </w:tc>
        <w:tc>
          <w:tcPr>
            <w:tcW w:w="582" w:type="pct"/>
            <w:vMerge w:val="continue"/>
            <w:vAlign w:val="center"/>
          </w:tcPr>
          <w:p w14:paraId="4725A1D0">
            <w:pPr>
              <w:pStyle w:val="557"/>
            </w:pPr>
          </w:p>
        </w:tc>
        <w:tc>
          <w:tcPr>
            <w:tcW w:w="1161" w:type="pct"/>
            <w:gridSpan w:val="3"/>
            <w:vAlign w:val="center"/>
          </w:tcPr>
          <w:p w14:paraId="09BD8135">
            <w:pPr>
              <w:pStyle w:val="557"/>
            </w:pPr>
            <w:r>
              <w:rPr>
                <w:rFonts w:hint="eastAsia"/>
              </w:rPr>
              <w:t>指标</w:t>
            </w:r>
          </w:p>
        </w:tc>
        <w:tc>
          <w:tcPr>
            <w:tcW w:w="912" w:type="pct"/>
            <w:gridSpan w:val="2"/>
            <w:vAlign w:val="center"/>
          </w:tcPr>
          <w:p w14:paraId="46127D29">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4E585C7E">
            <w:pPr>
              <w:pStyle w:val="557"/>
            </w:pPr>
            <w:r>
              <w:rPr>
                <w:rFonts w:hint="eastAsia"/>
              </w:rPr>
              <w:t>最远影响距离/m</w:t>
            </w:r>
          </w:p>
        </w:tc>
        <w:tc>
          <w:tcPr>
            <w:tcW w:w="988" w:type="pct"/>
            <w:gridSpan w:val="2"/>
            <w:vAlign w:val="center"/>
          </w:tcPr>
          <w:p w14:paraId="2EE13C5E">
            <w:pPr>
              <w:pStyle w:val="557"/>
            </w:pPr>
            <w:r>
              <w:rPr>
                <w:rFonts w:hint="eastAsia"/>
              </w:rPr>
              <w:t>到达时间/min</w:t>
            </w:r>
          </w:p>
        </w:tc>
      </w:tr>
      <w:tr w14:paraId="082A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02F23DB">
            <w:pPr>
              <w:pStyle w:val="557"/>
            </w:pPr>
          </w:p>
        </w:tc>
        <w:tc>
          <w:tcPr>
            <w:tcW w:w="582" w:type="pct"/>
            <w:vMerge w:val="continue"/>
            <w:vAlign w:val="center"/>
          </w:tcPr>
          <w:p w14:paraId="3B7F71D5">
            <w:pPr>
              <w:pStyle w:val="557"/>
            </w:pPr>
          </w:p>
        </w:tc>
        <w:tc>
          <w:tcPr>
            <w:tcW w:w="1161" w:type="pct"/>
            <w:gridSpan w:val="3"/>
            <w:vAlign w:val="center"/>
          </w:tcPr>
          <w:p w14:paraId="233EDA16">
            <w:pPr>
              <w:pStyle w:val="557"/>
            </w:pPr>
            <w:r>
              <w:rPr>
                <w:rFonts w:hint="eastAsia"/>
              </w:rPr>
              <w:t>大气毒性终点浓度-2</w:t>
            </w:r>
          </w:p>
        </w:tc>
        <w:tc>
          <w:tcPr>
            <w:tcW w:w="912" w:type="pct"/>
            <w:gridSpan w:val="2"/>
            <w:vAlign w:val="center"/>
          </w:tcPr>
          <w:p w14:paraId="3D415270">
            <w:pPr>
              <w:pStyle w:val="557"/>
            </w:pPr>
            <w:r>
              <w:rPr>
                <w:rFonts w:hint="eastAsia"/>
              </w:rPr>
              <w:t>95</w:t>
            </w:r>
          </w:p>
        </w:tc>
        <w:tc>
          <w:tcPr>
            <w:tcW w:w="1044" w:type="pct"/>
            <w:gridSpan w:val="2"/>
            <w:vAlign w:val="center"/>
          </w:tcPr>
          <w:p w14:paraId="0E04615E">
            <w:pPr>
              <w:pStyle w:val="557"/>
            </w:pPr>
            <w:r>
              <w:rPr>
                <w:rFonts w:hint="eastAsia"/>
              </w:rPr>
              <w:t>3630</w:t>
            </w:r>
          </w:p>
        </w:tc>
        <w:tc>
          <w:tcPr>
            <w:tcW w:w="988" w:type="pct"/>
            <w:gridSpan w:val="2"/>
            <w:vAlign w:val="center"/>
          </w:tcPr>
          <w:p w14:paraId="5917FBFC">
            <w:pPr>
              <w:pStyle w:val="557"/>
            </w:pPr>
            <w:r>
              <w:rPr>
                <w:rFonts w:hint="eastAsia"/>
              </w:rPr>
              <w:t>45.33</w:t>
            </w:r>
          </w:p>
        </w:tc>
      </w:tr>
      <w:tr w14:paraId="64AD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CE72406">
            <w:pPr>
              <w:pStyle w:val="557"/>
            </w:pPr>
          </w:p>
        </w:tc>
        <w:tc>
          <w:tcPr>
            <w:tcW w:w="582" w:type="pct"/>
            <w:vMerge w:val="continue"/>
            <w:vAlign w:val="center"/>
          </w:tcPr>
          <w:p w14:paraId="7A5DDFEE">
            <w:pPr>
              <w:pStyle w:val="557"/>
            </w:pPr>
          </w:p>
        </w:tc>
        <w:tc>
          <w:tcPr>
            <w:tcW w:w="1161" w:type="pct"/>
            <w:gridSpan w:val="3"/>
            <w:vAlign w:val="center"/>
          </w:tcPr>
          <w:p w14:paraId="7E64A112">
            <w:pPr>
              <w:pStyle w:val="557"/>
            </w:pPr>
            <w:r>
              <w:rPr>
                <w:rFonts w:hint="eastAsia"/>
              </w:rPr>
              <w:t>敏感目标</w:t>
            </w:r>
          </w:p>
        </w:tc>
        <w:tc>
          <w:tcPr>
            <w:tcW w:w="912" w:type="pct"/>
            <w:gridSpan w:val="2"/>
            <w:vAlign w:val="center"/>
          </w:tcPr>
          <w:p w14:paraId="75843A3A">
            <w:pPr>
              <w:pStyle w:val="557"/>
            </w:pPr>
            <w:r>
              <w:rPr>
                <w:rFonts w:hint="eastAsia"/>
              </w:rPr>
              <w:t>超标时间/min</w:t>
            </w:r>
          </w:p>
        </w:tc>
        <w:tc>
          <w:tcPr>
            <w:tcW w:w="1044" w:type="pct"/>
            <w:gridSpan w:val="2"/>
            <w:vAlign w:val="center"/>
          </w:tcPr>
          <w:p w14:paraId="6CBACBAA">
            <w:pPr>
              <w:pStyle w:val="557"/>
            </w:pPr>
            <w:r>
              <w:rPr>
                <w:rFonts w:hint="eastAsia"/>
              </w:rPr>
              <w:t>超标持续时间/min</w:t>
            </w:r>
          </w:p>
        </w:tc>
        <w:tc>
          <w:tcPr>
            <w:tcW w:w="988" w:type="pct"/>
            <w:gridSpan w:val="2"/>
            <w:vAlign w:val="center"/>
          </w:tcPr>
          <w:p w14:paraId="552417B1">
            <w:pPr>
              <w:pStyle w:val="557"/>
            </w:pPr>
            <w:r>
              <w:rPr>
                <w:rFonts w:hint="eastAsia"/>
              </w:rPr>
              <w:t>最大浓度/(mg/m</w:t>
            </w:r>
            <w:r>
              <w:rPr>
                <w:rFonts w:hint="eastAsia"/>
                <w:vertAlign w:val="superscript"/>
              </w:rPr>
              <w:t>3</w:t>
            </w:r>
            <w:r>
              <w:rPr>
                <w:rFonts w:hint="eastAsia"/>
              </w:rPr>
              <w:t>)</w:t>
            </w:r>
          </w:p>
        </w:tc>
      </w:tr>
      <w:tr w14:paraId="3546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78C01C6F">
            <w:pPr>
              <w:pStyle w:val="557"/>
            </w:pPr>
          </w:p>
        </w:tc>
        <w:tc>
          <w:tcPr>
            <w:tcW w:w="582" w:type="pct"/>
            <w:vMerge w:val="continue"/>
            <w:vAlign w:val="center"/>
          </w:tcPr>
          <w:p w14:paraId="7D0FD844">
            <w:pPr>
              <w:pStyle w:val="557"/>
            </w:pPr>
          </w:p>
        </w:tc>
        <w:tc>
          <w:tcPr>
            <w:tcW w:w="1161" w:type="pct"/>
            <w:gridSpan w:val="3"/>
            <w:vAlign w:val="center"/>
          </w:tcPr>
          <w:p w14:paraId="63E891FA">
            <w:pPr>
              <w:pStyle w:val="557"/>
            </w:pPr>
            <w:r>
              <w:rPr>
                <w:rFonts w:hint="eastAsia"/>
              </w:rPr>
              <w:t>花园乡</w:t>
            </w:r>
          </w:p>
        </w:tc>
        <w:tc>
          <w:tcPr>
            <w:tcW w:w="912" w:type="pct"/>
            <w:gridSpan w:val="2"/>
            <w:vAlign w:val="center"/>
          </w:tcPr>
          <w:p w14:paraId="6C350599">
            <w:pPr>
              <w:pStyle w:val="557"/>
            </w:pPr>
            <w:r>
              <w:rPr>
                <w:rFonts w:hint="eastAsia"/>
              </w:rPr>
              <w:t>/</w:t>
            </w:r>
          </w:p>
        </w:tc>
        <w:tc>
          <w:tcPr>
            <w:tcW w:w="1044" w:type="pct"/>
            <w:gridSpan w:val="2"/>
            <w:vAlign w:val="center"/>
          </w:tcPr>
          <w:p w14:paraId="4924C05C">
            <w:pPr>
              <w:pStyle w:val="557"/>
            </w:pPr>
            <w:r>
              <w:rPr>
                <w:rFonts w:hint="eastAsia"/>
              </w:rPr>
              <w:t>/</w:t>
            </w:r>
          </w:p>
        </w:tc>
        <w:tc>
          <w:tcPr>
            <w:tcW w:w="988" w:type="pct"/>
            <w:gridSpan w:val="2"/>
            <w:vAlign w:val="center"/>
          </w:tcPr>
          <w:p w14:paraId="21F453FA">
            <w:pPr>
              <w:pStyle w:val="557"/>
            </w:pPr>
            <w:r>
              <w:rPr>
                <w:rFonts w:hint="eastAsia"/>
              </w:rPr>
              <w:t>/</w:t>
            </w:r>
          </w:p>
        </w:tc>
      </w:tr>
      <w:tr w14:paraId="0E8D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9DF91C8">
            <w:pPr>
              <w:pStyle w:val="557"/>
            </w:pPr>
          </w:p>
        </w:tc>
        <w:tc>
          <w:tcPr>
            <w:tcW w:w="582" w:type="pct"/>
            <w:vMerge w:val="continue"/>
            <w:vAlign w:val="center"/>
          </w:tcPr>
          <w:p w14:paraId="40E89A8B">
            <w:pPr>
              <w:pStyle w:val="557"/>
            </w:pPr>
          </w:p>
        </w:tc>
        <w:tc>
          <w:tcPr>
            <w:tcW w:w="4105" w:type="pct"/>
            <w:gridSpan w:val="9"/>
            <w:vAlign w:val="center"/>
          </w:tcPr>
          <w:p w14:paraId="367DAE1F">
            <w:pPr>
              <w:pStyle w:val="557"/>
            </w:pPr>
            <w:r>
              <w:rPr>
                <w:rFonts w:hint="eastAsia"/>
              </w:rPr>
              <w:t>最常见气象条件下大气</w:t>
            </w:r>
            <w:r>
              <w:t>环境影响</w:t>
            </w:r>
          </w:p>
        </w:tc>
      </w:tr>
      <w:tr w14:paraId="5D03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E9D0A47">
            <w:pPr>
              <w:pStyle w:val="557"/>
            </w:pPr>
          </w:p>
        </w:tc>
        <w:tc>
          <w:tcPr>
            <w:tcW w:w="582" w:type="pct"/>
            <w:vMerge w:val="continue"/>
            <w:vAlign w:val="center"/>
          </w:tcPr>
          <w:p w14:paraId="19A03297">
            <w:pPr>
              <w:pStyle w:val="557"/>
            </w:pPr>
          </w:p>
        </w:tc>
        <w:tc>
          <w:tcPr>
            <w:tcW w:w="1161" w:type="pct"/>
            <w:gridSpan w:val="3"/>
            <w:vAlign w:val="center"/>
          </w:tcPr>
          <w:p w14:paraId="31C19ACE">
            <w:pPr>
              <w:pStyle w:val="557"/>
            </w:pPr>
            <w:r>
              <w:rPr>
                <w:rFonts w:hint="eastAsia"/>
              </w:rPr>
              <w:t>指标</w:t>
            </w:r>
          </w:p>
        </w:tc>
        <w:tc>
          <w:tcPr>
            <w:tcW w:w="912" w:type="pct"/>
            <w:gridSpan w:val="2"/>
            <w:vAlign w:val="center"/>
          </w:tcPr>
          <w:p w14:paraId="6B5CA368">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5BF5AD10">
            <w:pPr>
              <w:pStyle w:val="557"/>
            </w:pPr>
            <w:r>
              <w:rPr>
                <w:rFonts w:hint="eastAsia"/>
              </w:rPr>
              <w:t>最远影响距离/m</w:t>
            </w:r>
          </w:p>
        </w:tc>
        <w:tc>
          <w:tcPr>
            <w:tcW w:w="988" w:type="pct"/>
            <w:gridSpan w:val="2"/>
            <w:vAlign w:val="center"/>
          </w:tcPr>
          <w:p w14:paraId="7AFD2862">
            <w:pPr>
              <w:pStyle w:val="557"/>
            </w:pPr>
            <w:r>
              <w:rPr>
                <w:rFonts w:hint="eastAsia"/>
              </w:rPr>
              <w:t>到达时间/min</w:t>
            </w:r>
          </w:p>
        </w:tc>
      </w:tr>
      <w:tr w14:paraId="1B47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F1C1008">
            <w:pPr>
              <w:pStyle w:val="557"/>
            </w:pPr>
          </w:p>
        </w:tc>
        <w:tc>
          <w:tcPr>
            <w:tcW w:w="582" w:type="pct"/>
            <w:vMerge w:val="continue"/>
            <w:vAlign w:val="center"/>
          </w:tcPr>
          <w:p w14:paraId="529FF971">
            <w:pPr>
              <w:pStyle w:val="557"/>
            </w:pPr>
          </w:p>
        </w:tc>
        <w:tc>
          <w:tcPr>
            <w:tcW w:w="1161" w:type="pct"/>
            <w:gridSpan w:val="3"/>
            <w:vAlign w:val="center"/>
          </w:tcPr>
          <w:p w14:paraId="5E314B86">
            <w:pPr>
              <w:pStyle w:val="557"/>
            </w:pPr>
            <w:r>
              <w:rPr>
                <w:rFonts w:hint="eastAsia"/>
              </w:rPr>
              <w:t>大气毒性终点浓度-1</w:t>
            </w:r>
          </w:p>
        </w:tc>
        <w:tc>
          <w:tcPr>
            <w:tcW w:w="912" w:type="pct"/>
            <w:gridSpan w:val="2"/>
            <w:vAlign w:val="center"/>
          </w:tcPr>
          <w:p w14:paraId="242B4DF7">
            <w:pPr>
              <w:pStyle w:val="557"/>
            </w:pPr>
            <w:r>
              <w:rPr>
                <w:rFonts w:hint="eastAsia"/>
              </w:rPr>
              <w:t>380</w:t>
            </w:r>
          </w:p>
        </w:tc>
        <w:tc>
          <w:tcPr>
            <w:tcW w:w="1044" w:type="pct"/>
            <w:gridSpan w:val="2"/>
            <w:vAlign w:val="center"/>
          </w:tcPr>
          <w:p w14:paraId="2C5AC0FE">
            <w:pPr>
              <w:pStyle w:val="557"/>
            </w:pPr>
            <w:r>
              <w:rPr>
                <w:rFonts w:hint="eastAsia"/>
              </w:rPr>
              <w:t>430</w:t>
            </w:r>
          </w:p>
        </w:tc>
        <w:tc>
          <w:tcPr>
            <w:tcW w:w="988" w:type="pct"/>
            <w:gridSpan w:val="2"/>
            <w:vAlign w:val="center"/>
          </w:tcPr>
          <w:p w14:paraId="30AA95F5">
            <w:pPr>
              <w:pStyle w:val="557"/>
            </w:pPr>
            <w:r>
              <w:rPr>
                <w:rFonts w:hint="eastAsia"/>
              </w:rPr>
              <w:t>2.80</w:t>
            </w:r>
          </w:p>
        </w:tc>
      </w:tr>
      <w:tr w14:paraId="165F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2811420F">
            <w:pPr>
              <w:pStyle w:val="557"/>
            </w:pPr>
          </w:p>
        </w:tc>
        <w:tc>
          <w:tcPr>
            <w:tcW w:w="582" w:type="pct"/>
            <w:vMerge w:val="continue"/>
            <w:vAlign w:val="center"/>
          </w:tcPr>
          <w:p w14:paraId="391FEFA0">
            <w:pPr>
              <w:pStyle w:val="557"/>
            </w:pPr>
          </w:p>
        </w:tc>
        <w:tc>
          <w:tcPr>
            <w:tcW w:w="1161" w:type="pct"/>
            <w:gridSpan w:val="3"/>
            <w:vAlign w:val="center"/>
          </w:tcPr>
          <w:p w14:paraId="19388D1E">
            <w:pPr>
              <w:pStyle w:val="557"/>
            </w:pPr>
            <w:r>
              <w:rPr>
                <w:rFonts w:hint="eastAsia"/>
              </w:rPr>
              <w:t>指标</w:t>
            </w:r>
          </w:p>
        </w:tc>
        <w:tc>
          <w:tcPr>
            <w:tcW w:w="912" w:type="pct"/>
            <w:gridSpan w:val="2"/>
            <w:vAlign w:val="center"/>
          </w:tcPr>
          <w:p w14:paraId="298A7005">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3EF84B87">
            <w:pPr>
              <w:pStyle w:val="557"/>
            </w:pPr>
            <w:r>
              <w:rPr>
                <w:rFonts w:hint="eastAsia"/>
              </w:rPr>
              <w:t>最远影响距离/m</w:t>
            </w:r>
          </w:p>
        </w:tc>
        <w:tc>
          <w:tcPr>
            <w:tcW w:w="988" w:type="pct"/>
            <w:gridSpan w:val="2"/>
            <w:vAlign w:val="center"/>
          </w:tcPr>
          <w:p w14:paraId="56766078">
            <w:pPr>
              <w:pStyle w:val="557"/>
            </w:pPr>
            <w:r>
              <w:rPr>
                <w:rFonts w:hint="eastAsia"/>
              </w:rPr>
              <w:t>到达时间/min</w:t>
            </w:r>
          </w:p>
        </w:tc>
      </w:tr>
      <w:tr w14:paraId="29C5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727DC0F3">
            <w:pPr>
              <w:pStyle w:val="557"/>
            </w:pPr>
          </w:p>
        </w:tc>
        <w:tc>
          <w:tcPr>
            <w:tcW w:w="582" w:type="pct"/>
            <w:vMerge w:val="continue"/>
            <w:vAlign w:val="center"/>
          </w:tcPr>
          <w:p w14:paraId="5D601114">
            <w:pPr>
              <w:pStyle w:val="557"/>
            </w:pPr>
          </w:p>
        </w:tc>
        <w:tc>
          <w:tcPr>
            <w:tcW w:w="1161" w:type="pct"/>
            <w:gridSpan w:val="3"/>
            <w:vAlign w:val="center"/>
          </w:tcPr>
          <w:p w14:paraId="497C0E32">
            <w:pPr>
              <w:pStyle w:val="557"/>
            </w:pPr>
            <w:r>
              <w:rPr>
                <w:rFonts w:hint="eastAsia"/>
              </w:rPr>
              <w:t>大气毒性终点浓度-2</w:t>
            </w:r>
          </w:p>
        </w:tc>
        <w:tc>
          <w:tcPr>
            <w:tcW w:w="912" w:type="pct"/>
            <w:gridSpan w:val="2"/>
            <w:vAlign w:val="center"/>
          </w:tcPr>
          <w:p w14:paraId="37397D84">
            <w:pPr>
              <w:pStyle w:val="557"/>
            </w:pPr>
            <w:r>
              <w:rPr>
                <w:rFonts w:hint="eastAsia"/>
              </w:rPr>
              <w:t>95</w:t>
            </w:r>
          </w:p>
        </w:tc>
        <w:tc>
          <w:tcPr>
            <w:tcW w:w="1044" w:type="pct"/>
            <w:gridSpan w:val="2"/>
            <w:vAlign w:val="center"/>
          </w:tcPr>
          <w:p w14:paraId="3390F344">
            <w:pPr>
              <w:pStyle w:val="557"/>
            </w:pPr>
            <w:r>
              <w:rPr>
                <w:rFonts w:hint="eastAsia"/>
              </w:rPr>
              <w:t>970</w:t>
            </w:r>
          </w:p>
        </w:tc>
        <w:tc>
          <w:tcPr>
            <w:tcW w:w="988" w:type="pct"/>
            <w:gridSpan w:val="2"/>
            <w:vAlign w:val="center"/>
          </w:tcPr>
          <w:p w14:paraId="5AD14806">
            <w:pPr>
              <w:pStyle w:val="557"/>
            </w:pPr>
            <w:r>
              <w:rPr>
                <w:rFonts w:hint="eastAsia"/>
              </w:rPr>
              <w:t>6.32</w:t>
            </w:r>
          </w:p>
        </w:tc>
      </w:tr>
      <w:tr w14:paraId="40BF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627A9E6">
            <w:pPr>
              <w:pStyle w:val="557"/>
            </w:pPr>
          </w:p>
        </w:tc>
        <w:tc>
          <w:tcPr>
            <w:tcW w:w="582" w:type="pct"/>
            <w:vMerge w:val="continue"/>
            <w:vAlign w:val="center"/>
          </w:tcPr>
          <w:p w14:paraId="3AADA190">
            <w:pPr>
              <w:pStyle w:val="557"/>
            </w:pPr>
          </w:p>
        </w:tc>
        <w:tc>
          <w:tcPr>
            <w:tcW w:w="1161" w:type="pct"/>
            <w:gridSpan w:val="3"/>
            <w:vAlign w:val="center"/>
          </w:tcPr>
          <w:p w14:paraId="321BF651">
            <w:pPr>
              <w:pStyle w:val="557"/>
            </w:pPr>
            <w:r>
              <w:rPr>
                <w:rFonts w:hint="eastAsia"/>
              </w:rPr>
              <w:t>敏感目标</w:t>
            </w:r>
          </w:p>
        </w:tc>
        <w:tc>
          <w:tcPr>
            <w:tcW w:w="912" w:type="pct"/>
            <w:gridSpan w:val="2"/>
            <w:vAlign w:val="center"/>
          </w:tcPr>
          <w:p w14:paraId="75C55591">
            <w:pPr>
              <w:pStyle w:val="557"/>
            </w:pPr>
            <w:r>
              <w:rPr>
                <w:rFonts w:hint="eastAsia"/>
              </w:rPr>
              <w:t>超标时间/min</w:t>
            </w:r>
          </w:p>
        </w:tc>
        <w:tc>
          <w:tcPr>
            <w:tcW w:w="1044" w:type="pct"/>
            <w:gridSpan w:val="2"/>
            <w:vAlign w:val="center"/>
          </w:tcPr>
          <w:p w14:paraId="2E709B35">
            <w:pPr>
              <w:pStyle w:val="557"/>
            </w:pPr>
            <w:r>
              <w:rPr>
                <w:rFonts w:hint="eastAsia"/>
              </w:rPr>
              <w:t>超标持续时间/min</w:t>
            </w:r>
          </w:p>
        </w:tc>
        <w:tc>
          <w:tcPr>
            <w:tcW w:w="988" w:type="pct"/>
            <w:gridSpan w:val="2"/>
            <w:vAlign w:val="center"/>
          </w:tcPr>
          <w:p w14:paraId="30FEF9BA">
            <w:pPr>
              <w:pStyle w:val="557"/>
            </w:pPr>
            <w:r>
              <w:rPr>
                <w:rFonts w:hint="eastAsia"/>
              </w:rPr>
              <w:t>最大浓度/(mg/m</w:t>
            </w:r>
            <w:r>
              <w:rPr>
                <w:rFonts w:hint="eastAsia"/>
                <w:vertAlign w:val="superscript"/>
              </w:rPr>
              <w:t>3</w:t>
            </w:r>
            <w:r>
              <w:rPr>
                <w:rFonts w:hint="eastAsia"/>
              </w:rPr>
              <w:t>)</w:t>
            </w:r>
          </w:p>
        </w:tc>
      </w:tr>
      <w:tr w14:paraId="5A12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7D7910F3">
            <w:pPr>
              <w:pStyle w:val="557"/>
            </w:pPr>
          </w:p>
        </w:tc>
        <w:tc>
          <w:tcPr>
            <w:tcW w:w="582" w:type="pct"/>
            <w:vMerge w:val="continue"/>
            <w:vAlign w:val="center"/>
          </w:tcPr>
          <w:p w14:paraId="288C267A">
            <w:pPr>
              <w:pStyle w:val="557"/>
            </w:pPr>
          </w:p>
        </w:tc>
        <w:tc>
          <w:tcPr>
            <w:tcW w:w="1161" w:type="pct"/>
            <w:gridSpan w:val="3"/>
            <w:vAlign w:val="center"/>
          </w:tcPr>
          <w:p w14:paraId="23ACD4E3">
            <w:pPr>
              <w:pStyle w:val="557"/>
            </w:pPr>
            <w:r>
              <w:rPr>
                <w:rFonts w:hint="eastAsia"/>
              </w:rPr>
              <w:t>花园乡</w:t>
            </w:r>
          </w:p>
        </w:tc>
        <w:tc>
          <w:tcPr>
            <w:tcW w:w="912" w:type="pct"/>
            <w:gridSpan w:val="2"/>
            <w:vAlign w:val="center"/>
          </w:tcPr>
          <w:p w14:paraId="386FD5A4">
            <w:pPr>
              <w:pStyle w:val="557"/>
            </w:pPr>
            <w:r>
              <w:rPr>
                <w:rFonts w:hint="eastAsia"/>
              </w:rPr>
              <w:t>/</w:t>
            </w:r>
          </w:p>
        </w:tc>
        <w:tc>
          <w:tcPr>
            <w:tcW w:w="1044" w:type="pct"/>
            <w:gridSpan w:val="2"/>
            <w:vAlign w:val="center"/>
          </w:tcPr>
          <w:p w14:paraId="3563D1DD">
            <w:pPr>
              <w:pStyle w:val="557"/>
            </w:pPr>
            <w:r>
              <w:rPr>
                <w:rFonts w:hint="eastAsia"/>
              </w:rPr>
              <w:t>/</w:t>
            </w:r>
          </w:p>
        </w:tc>
        <w:tc>
          <w:tcPr>
            <w:tcW w:w="988" w:type="pct"/>
            <w:gridSpan w:val="2"/>
            <w:vAlign w:val="center"/>
          </w:tcPr>
          <w:p w14:paraId="5176EA98">
            <w:pPr>
              <w:pStyle w:val="557"/>
            </w:pPr>
            <w:r>
              <w:rPr>
                <w:rFonts w:hint="eastAsia"/>
              </w:rPr>
              <w:t>/</w:t>
            </w:r>
          </w:p>
        </w:tc>
      </w:tr>
    </w:tbl>
    <w:p w14:paraId="184B4505">
      <w:pPr>
        <w:pStyle w:val="557"/>
      </w:pPr>
    </w:p>
    <w:p w14:paraId="1AA39408">
      <w:pPr>
        <w:pStyle w:val="535"/>
        <w:rPr>
          <w:rFonts w:hint="eastAsia"/>
          <w:color w:val="auto"/>
        </w:rPr>
      </w:pPr>
      <w:r>
        <w:rPr>
          <w:rFonts w:hint="eastAsia"/>
          <w:color w:val="auto"/>
        </w:rPr>
        <w:t>图7.7</w:t>
      </w:r>
      <w:r>
        <w:rPr>
          <w:color w:val="auto"/>
        </w:rPr>
        <w:t>.1</w:t>
      </w:r>
      <w:r>
        <w:rPr>
          <w:rFonts w:hint="eastAsia"/>
          <w:color w:val="auto"/>
        </w:rPr>
        <w:t>-</w:t>
      </w:r>
      <w:r>
        <w:rPr>
          <w:color w:val="auto"/>
        </w:rPr>
        <w:t>1</w:t>
      </w:r>
      <w:r>
        <w:rPr>
          <w:rFonts w:hint="eastAsia"/>
          <w:color w:val="auto"/>
        </w:rPr>
        <w:t xml:space="preserve">    最不利气象条件下</w:t>
      </w:r>
      <w:r>
        <w:rPr>
          <w:rFonts w:hint="eastAsia"/>
          <w:bCs/>
          <w:color w:val="auto"/>
        </w:rPr>
        <w:t>煤气泄漏CO扩散</w:t>
      </w:r>
      <w:r>
        <w:rPr>
          <w:rFonts w:hint="eastAsia"/>
          <w:color w:val="auto"/>
        </w:rPr>
        <w:t>最大影响区域图</w:t>
      </w:r>
    </w:p>
    <w:p w14:paraId="1072A7C3">
      <w:pPr>
        <w:pStyle w:val="557"/>
      </w:pPr>
    </w:p>
    <w:p w14:paraId="199AA7CD">
      <w:pPr>
        <w:pStyle w:val="535"/>
        <w:rPr>
          <w:rFonts w:hint="eastAsia"/>
          <w:bCs/>
          <w:color w:val="auto"/>
        </w:rPr>
      </w:pPr>
      <w:r>
        <w:rPr>
          <w:rFonts w:hint="eastAsia"/>
          <w:color w:val="auto"/>
        </w:rPr>
        <w:t>图7.7</w:t>
      </w:r>
      <w:r>
        <w:rPr>
          <w:color w:val="auto"/>
        </w:rPr>
        <w:t>.1</w:t>
      </w:r>
      <w:r>
        <w:rPr>
          <w:rFonts w:hint="eastAsia"/>
          <w:color w:val="auto"/>
        </w:rPr>
        <w:t>-2    最常见气象条件下</w:t>
      </w:r>
      <w:r>
        <w:rPr>
          <w:rFonts w:hint="eastAsia"/>
          <w:bCs/>
          <w:color w:val="auto"/>
        </w:rPr>
        <w:t>煤气泄漏CO扩散</w:t>
      </w:r>
      <w:r>
        <w:rPr>
          <w:rFonts w:hint="eastAsia"/>
          <w:color w:val="auto"/>
        </w:rPr>
        <w:t>最大影响区域图</w:t>
      </w:r>
    </w:p>
    <w:p w14:paraId="5D2433A5">
      <w:pPr>
        <w:pStyle w:val="98"/>
        <w:rPr>
          <w:rFonts w:hint="eastAsia"/>
          <w:color w:val="auto"/>
        </w:rPr>
      </w:pPr>
      <w:r>
        <w:rPr>
          <w:rFonts w:hint="eastAsia"/>
          <w:color w:val="auto"/>
        </w:rPr>
        <w:t>酸性气管线泄漏预测结果</w:t>
      </w:r>
    </w:p>
    <w:p w14:paraId="50DE286B">
      <w:pPr>
        <w:pStyle w:val="281"/>
        <w:ind w:firstLine="480"/>
        <w:rPr>
          <w:rFonts w:hint="eastAsia" w:ascii="宋体" w:hAnsi="宋体"/>
        </w:rPr>
      </w:pPr>
      <w:r>
        <w:rPr>
          <w:rFonts w:hint="eastAsia" w:ascii="宋体" w:hAnsi="宋体"/>
        </w:rPr>
        <w:t>根据预测方案，</w:t>
      </w:r>
      <w:r>
        <w:rPr>
          <w:rFonts w:hint="eastAsia"/>
        </w:rPr>
        <w:t>酸性气管线泄漏</w:t>
      </w:r>
      <w:r>
        <w:rPr>
          <w:rFonts w:hint="eastAsia" w:ascii="宋体" w:hAnsi="宋体"/>
        </w:rPr>
        <w:t>事故预测结果见下表，</w:t>
      </w:r>
      <w:bookmarkStart w:id="497" w:name="_Hlk127955002"/>
      <w:r>
        <w:rPr>
          <w:rFonts w:hint="eastAsia" w:ascii="宋体" w:hAnsi="宋体"/>
        </w:rPr>
        <w:t>最大影响范围示意见</w:t>
      </w:r>
      <w:bookmarkEnd w:id="497"/>
      <w:r>
        <w:rPr>
          <w:rFonts w:hint="eastAsia" w:ascii="宋体" w:hAnsi="宋体"/>
        </w:rPr>
        <w:t>下图。</w:t>
      </w:r>
    </w:p>
    <w:p w14:paraId="75C164CA">
      <w:pPr>
        <w:pStyle w:val="645"/>
        <w:rPr>
          <w:rFonts w:hint="eastAsia"/>
        </w:rPr>
      </w:pPr>
      <w:r>
        <w:rPr>
          <w:rFonts w:hint="eastAsia"/>
        </w:rPr>
        <w:t>表</w:t>
      </w:r>
      <w:r>
        <w:rPr>
          <w:rFonts w:hint="eastAsia" w:eastAsia="宋体"/>
        </w:rPr>
        <w:t>7.7</w:t>
      </w:r>
      <w:r>
        <w:rPr>
          <w:rFonts w:eastAsia="宋体"/>
        </w:rPr>
        <w:t>.1</w:t>
      </w:r>
      <w:r>
        <w:rPr>
          <w:rFonts w:hint="eastAsia" w:eastAsia="宋体"/>
        </w:rPr>
        <w:t>-6</w:t>
      </w:r>
      <w:r>
        <w:rPr>
          <w:rFonts w:eastAsia="宋体"/>
        </w:rPr>
        <w:t xml:space="preserve">    </w:t>
      </w:r>
      <w:r>
        <w:rPr>
          <w:rFonts w:hint="eastAsia"/>
        </w:rPr>
        <w:t>酸性气管线泄漏源项和事故后果基本信息表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158"/>
        <w:gridCol w:w="1132"/>
        <w:gridCol w:w="839"/>
        <w:gridCol w:w="827"/>
        <w:gridCol w:w="975"/>
        <w:gridCol w:w="218"/>
        <w:gridCol w:w="1439"/>
        <w:gridCol w:w="1352"/>
      </w:tblGrid>
      <w:tr w14:paraId="3A89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9"/>
            <w:vAlign w:val="center"/>
          </w:tcPr>
          <w:p w14:paraId="17448402">
            <w:pPr>
              <w:pStyle w:val="557"/>
              <w:rPr>
                <w:vertAlign w:val="superscript"/>
              </w:rPr>
            </w:pPr>
            <w:r>
              <w:rPr>
                <w:rFonts w:hint="eastAsia"/>
              </w:rPr>
              <w:t>风险事故情形分析</w:t>
            </w:r>
          </w:p>
        </w:tc>
      </w:tr>
      <w:tr w14:paraId="553B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pct"/>
            <w:gridSpan w:val="2"/>
            <w:vAlign w:val="center"/>
          </w:tcPr>
          <w:p w14:paraId="35CAA102">
            <w:pPr>
              <w:pStyle w:val="557"/>
            </w:pPr>
            <w:r>
              <w:rPr>
                <w:rFonts w:hint="eastAsia"/>
              </w:rPr>
              <w:t>代表性风险事故情形描述</w:t>
            </w:r>
          </w:p>
        </w:tc>
        <w:tc>
          <w:tcPr>
            <w:tcW w:w="3978" w:type="pct"/>
            <w:gridSpan w:val="7"/>
            <w:vAlign w:val="center"/>
          </w:tcPr>
          <w:p w14:paraId="398F9B06">
            <w:pPr>
              <w:pStyle w:val="557"/>
            </w:pPr>
            <w:r>
              <w:rPr>
                <w:rFonts w:hint="eastAsia"/>
              </w:rPr>
              <w:t>酸性气管线发生破裂，硫化氢</w:t>
            </w:r>
            <w:r>
              <w:t>泄漏扩散</w:t>
            </w:r>
          </w:p>
        </w:tc>
      </w:tr>
      <w:tr w14:paraId="4868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pct"/>
            <w:gridSpan w:val="2"/>
            <w:vAlign w:val="center"/>
          </w:tcPr>
          <w:p w14:paraId="5631DF2F">
            <w:pPr>
              <w:pStyle w:val="557"/>
            </w:pPr>
            <w:r>
              <w:rPr>
                <w:rFonts w:hint="eastAsia"/>
              </w:rPr>
              <w:t>环境风险类型</w:t>
            </w:r>
          </w:p>
        </w:tc>
        <w:tc>
          <w:tcPr>
            <w:tcW w:w="3978" w:type="pct"/>
            <w:gridSpan w:val="7"/>
            <w:vAlign w:val="center"/>
          </w:tcPr>
          <w:p w14:paraId="524BFE51">
            <w:pPr>
              <w:pStyle w:val="557"/>
            </w:pPr>
            <w:r>
              <w:rPr>
                <w:rFonts w:hint="eastAsia"/>
              </w:rPr>
              <w:t>泄漏</w:t>
            </w:r>
          </w:p>
        </w:tc>
      </w:tr>
      <w:tr w14:paraId="1495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pct"/>
            <w:gridSpan w:val="2"/>
            <w:vAlign w:val="center"/>
          </w:tcPr>
          <w:p w14:paraId="637912E8">
            <w:pPr>
              <w:pStyle w:val="557"/>
            </w:pPr>
            <w:r>
              <w:rPr>
                <w:rFonts w:hint="eastAsia"/>
              </w:rPr>
              <w:t>泄漏设备类型</w:t>
            </w:r>
          </w:p>
        </w:tc>
        <w:tc>
          <w:tcPr>
            <w:tcW w:w="664" w:type="pct"/>
            <w:vAlign w:val="center"/>
          </w:tcPr>
          <w:p w14:paraId="36D73FCC">
            <w:pPr>
              <w:pStyle w:val="557"/>
            </w:pPr>
            <w:r>
              <w:rPr>
                <w:rFonts w:hint="eastAsia"/>
              </w:rPr>
              <w:t>压力容器</w:t>
            </w:r>
          </w:p>
        </w:tc>
        <w:tc>
          <w:tcPr>
            <w:tcW w:w="977" w:type="pct"/>
            <w:gridSpan w:val="2"/>
            <w:vAlign w:val="center"/>
          </w:tcPr>
          <w:p w14:paraId="7AB75610">
            <w:pPr>
              <w:pStyle w:val="557"/>
            </w:pPr>
            <w:r>
              <w:rPr>
                <w:rFonts w:hint="eastAsia"/>
              </w:rPr>
              <w:t>操作温度/℃</w:t>
            </w:r>
          </w:p>
        </w:tc>
        <w:tc>
          <w:tcPr>
            <w:tcW w:w="700" w:type="pct"/>
            <w:gridSpan w:val="2"/>
            <w:vAlign w:val="center"/>
          </w:tcPr>
          <w:p w14:paraId="666DA5A9">
            <w:pPr>
              <w:pStyle w:val="557"/>
            </w:pPr>
            <w:r>
              <w:rPr>
                <w:rFonts w:hint="eastAsia"/>
              </w:rPr>
              <w:t>38</w:t>
            </w:r>
          </w:p>
        </w:tc>
        <w:tc>
          <w:tcPr>
            <w:tcW w:w="844" w:type="pct"/>
            <w:vAlign w:val="center"/>
          </w:tcPr>
          <w:p w14:paraId="17793C5C">
            <w:pPr>
              <w:pStyle w:val="557"/>
            </w:pPr>
            <w:r>
              <w:rPr>
                <w:rFonts w:hint="eastAsia"/>
              </w:rPr>
              <w:t>操作压力/MPa</w:t>
            </w:r>
          </w:p>
        </w:tc>
        <w:tc>
          <w:tcPr>
            <w:tcW w:w="793" w:type="pct"/>
            <w:vAlign w:val="center"/>
          </w:tcPr>
          <w:p w14:paraId="210D417B">
            <w:pPr>
              <w:pStyle w:val="557"/>
            </w:pPr>
            <w:r>
              <w:rPr>
                <w:rFonts w:hint="eastAsia"/>
              </w:rPr>
              <w:t>0.16</w:t>
            </w:r>
          </w:p>
        </w:tc>
      </w:tr>
      <w:tr w14:paraId="32F0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pct"/>
            <w:gridSpan w:val="2"/>
            <w:vAlign w:val="center"/>
          </w:tcPr>
          <w:p w14:paraId="5473A448">
            <w:pPr>
              <w:pStyle w:val="557"/>
            </w:pPr>
            <w:r>
              <w:rPr>
                <w:rFonts w:hint="eastAsia"/>
              </w:rPr>
              <w:t>泄漏危险物质</w:t>
            </w:r>
          </w:p>
        </w:tc>
        <w:tc>
          <w:tcPr>
            <w:tcW w:w="664" w:type="pct"/>
            <w:vAlign w:val="center"/>
          </w:tcPr>
          <w:p w14:paraId="73725404">
            <w:pPr>
              <w:pStyle w:val="557"/>
            </w:pPr>
            <w:r>
              <w:rPr>
                <w:rFonts w:hint="eastAsia"/>
              </w:rPr>
              <w:t>H</w:t>
            </w:r>
            <w:r>
              <w:rPr>
                <w:rFonts w:hint="eastAsia"/>
                <w:vertAlign w:val="subscript"/>
              </w:rPr>
              <w:t>2</w:t>
            </w:r>
            <w:r>
              <w:rPr>
                <w:rFonts w:hint="eastAsia"/>
              </w:rPr>
              <w:t>S</w:t>
            </w:r>
          </w:p>
        </w:tc>
        <w:tc>
          <w:tcPr>
            <w:tcW w:w="977" w:type="pct"/>
            <w:gridSpan w:val="2"/>
            <w:vAlign w:val="center"/>
          </w:tcPr>
          <w:p w14:paraId="040E12F2">
            <w:pPr>
              <w:pStyle w:val="557"/>
            </w:pPr>
            <w:r>
              <w:rPr>
                <w:rFonts w:hint="eastAsia"/>
              </w:rPr>
              <w:t>泄漏孔径/mm</w:t>
            </w:r>
          </w:p>
        </w:tc>
        <w:tc>
          <w:tcPr>
            <w:tcW w:w="700" w:type="pct"/>
            <w:gridSpan w:val="2"/>
            <w:vAlign w:val="center"/>
          </w:tcPr>
          <w:p w14:paraId="2AF97A33">
            <w:pPr>
              <w:pStyle w:val="557"/>
            </w:pPr>
            <w:r>
              <w:rPr>
                <w:rFonts w:hint="eastAsia"/>
              </w:rPr>
              <w:t>20</w:t>
            </w:r>
          </w:p>
        </w:tc>
        <w:tc>
          <w:tcPr>
            <w:tcW w:w="844" w:type="pct"/>
            <w:vAlign w:val="center"/>
          </w:tcPr>
          <w:p w14:paraId="3FD1B76A">
            <w:pPr>
              <w:pStyle w:val="557"/>
            </w:pPr>
            <w:r>
              <w:rPr>
                <w:rFonts w:hint="eastAsia"/>
              </w:rPr>
              <w:t>泄漏高度/m</w:t>
            </w:r>
          </w:p>
        </w:tc>
        <w:tc>
          <w:tcPr>
            <w:tcW w:w="793" w:type="pct"/>
            <w:vAlign w:val="center"/>
          </w:tcPr>
          <w:p w14:paraId="6B7642E2">
            <w:pPr>
              <w:pStyle w:val="557"/>
            </w:pPr>
            <w:r>
              <w:rPr>
                <w:rFonts w:hint="eastAsia"/>
              </w:rPr>
              <w:t>5.0</w:t>
            </w:r>
          </w:p>
        </w:tc>
      </w:tr>
      <w:tr w14:paraId="6EEC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pct"/>
            <w:gridSpan w:val="2"/>
            <w:vAlign w:val="center"/>
          </w:tcPr>
          <w:p w14:paraId="5B4569EA">
            <w:pPr>
              <w:pStyle w:val="557"/>
            </w:pPr>
            <w:r>
              <w:rPr>
                <w:rFonts w:hint="eastAsia"/>
              </w:rPr>
              <w:t>泄漏速率/(kg/s)</w:t>
            </w:r>
          </w:p>
        </w:tc>
        <w:tc>
          <w:tcPr>
            <w:tcW w:w="664" w:type="pct"/>
            <w:vAlign w:val="center"/>
          </w:tcPr>
          <w:p w14:paraId="10FD1791">
            <w:pPr>
              <w:pStyle w:val="557"/>
            </w:pPr>
            <w:r>
              <w:rPr>
                <w:rFonts w:hint="eastAsia"/>
              </w:rPr>
              <w:t>0.67</w:t>
            </w:r>
          </w:p>
        </w:tc>
        <w:tc>
          <w:tcPr>
            <w:tcW w:w="977" w:type="pct"/>
            <w:gridSpan w:val="2"/>
            <w:vAlign w:val="center"/>
          </w:tcPr>
          <w:p w14:paraId="587DDC2F">
            <w:pPr>
              <w:pStyle w:val="557"/>
            </w:pPr>
            <w:r>
              <w:rPr>
                <w:rFonts w:hint="eastAsia"/>
              </w:rPr>
              <w:t>泄漏时间/min</w:t>
            </w:r>
          </w:p>
        </w:tc>
        <w:tc>
          <w:tcPr>
            <w:tcW w:w="700" w:type="pct"/>
            <w:gridSpan w:val="2"/>
            <w:vAlign w:val="center"/>
          </w:tcPr>
          <w:p w14:paraId="6F74CDFD">
            <w:pPr>
              <w:pStyle w:val="557"/>
            </w:pPr>
            <w:r>
              <w:rPr>
                <w:rFonts w:hint="eastAsia"/>
              </w:rPr>
              <w:t>10</w:t>
            </w:r>
          </w:p>
        </w:tc>
        <w:tc>
          <w:tcPr>
            <w:tcW w:w="844" w:type="pct"/>
            <w:vAlign w:val="center"/>
          </w:tcPr>
          <w:p w14:paraId="6F0F57B9">
            <w:pPr>
              <w:pStyle w:val="557"/>
            </w:pPr>
          </w:p>
        </w:tc>
        <w:tc>
          <w:tcPr>
            <w:tcW w:w="793" w:type="pct"/>
            <w:vAlign w:val="center"/>
          </w:tcPr>
          <w:p w14:paraId="3AA534F1">
            <w:pPr>
              <w:pStyle w:val="557"/>
            </w:pPr>
          </w:p>
        </w:tc>
      </w:tr>
      <w:tr w14:paraId="28F7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9"/>
            <w:vAlign w:val="center"/>
          </w:tcPr>
          <w:p w14:paraId="0CC97E1C">
            <w:pPr>
              <w:pStyle w:val="557"/>
            </w:pPr>
            <w:r>
              <w:rPr>
                <w:rFonts w:hint="eastAsia"/>
              </w:rPr>
              <w:t>事故后果预测</w:t>
            </w:r>
          </w:p>
        </w:tc>
      </w:tr>
      <w:tr w14:paraId="16AB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restart"/>
            <w:vAlign w:val="center"/>
          </w:tcPr>
          <w:p w14:paraId="43553063">
            <w:pPr>
              <w:pStyle w:val="557"/>
            </w:pPr>
            <w:r>
              <w:rPr>
                <w:rFonts w:hint="eastAsia"/>
              </w:rPr>
              <w:t>大气</w:t>
            </w:r>
          </w:p>
        </w:tc>
        <w:tc>
          <w:tcPr>
            <w:tcW w:w="680" w:type="pct"/>
            <w:vAlign w:val="center"/>
          </w:tcPr>
          <w:p w14:paraId="362E1CA8">
            <w:pPr>
              <w:pStyle w:val="557"/>
            </w:pPr>
            <w:r>
              <w:rPr>
                <w:rFonts w:hint="eastAsia"/>
              </w:rPr>
              <w:t>危险物质</w:t>
            </w:r>
          </w:p>
        </w:tc>
        <w:tc>
          <w:tcPr>
            <w:tcW w:w="3978" w:type="pct"/>
            <w:gridSpan w:val="7"/>
            <w:vAlign w:val="center"/>
          </w:tcPr>
          <w:p w14:paraId="220E38F1">
            <w:pPr>
              <w:pStyle w:val="557"/>
            </w:pPr>
            <w:r>
              <w:rPr>
                <w:rFonts w:hint="eastAsia"/>
              </w:rPr>
              <w:t>最不利气象条件下大气环境影响</w:t>
            </w:r>
          </w:p>
        </w:tc>
      </w:tr>
      <w:tr w14:paraId="2819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4231A21C">
            <w:pPr>
              <w:pStyle w:val="557"/>
            </w:pPr>
          </w:p>
        </w:tc>
        <w:tc>
          <w:tcPr>
            <w:tcW w:w="680" w:type="pct"/>
            <w:vMerge w:val="restart"/>
            <w:vAlign w:val="center"/>
          </w:tcPr>
          <w:p w14:paraId="0524D262">
            <w:pPr>
              <w:pStyle w:val="557"/>
            </w:pPr>
            <w:r>
              <w:rPr>
                <w:rFonts w:hint="eastAsia"/>
              </w:rPr>
              <w:t>H</w:t>
            </w:r>
            <w:r>
              <w:rPr>
                <w:rFonts w:hint="eastAsia"/>
                <w:vertAlign w:val="subscript"/>
              </w:rPr>
              <w:t>2</w:t>
            </w:r>
            <w:r>
              <w:rPr>
                <w:rFonts w:hint="eastAsia"/>
              </w:rPr>
              <w:t>S</w:t>
            </w:r>
          </w:p>
        </w:tc>
        <w:tc>
          <w:tcPr>
            <w:tcW w:w="1156" w:type="pct"/>
            <w:gridSpan w:val="2"/>
            <w:vAlign w:val="center"/>
          </w:tcPr>
          <w:p w14:paraId="70A7B4A4">
            <w:pPr>
              <w:pStyle w:val="557"/>
            </w:pPr>
            <w:r>
              <w:rPr>
                <w:rFonts w:hint="eastAsia"/>
              </w:rPr>
              <w:t>指标</w:t>
            </w:r>
          </w:p>
        </w:tc>
        <w:tc>
          <w:tcPr>
            <w:tcW w:w="1057" w:type="pct"/>
            <w:gridSpan w:val="2"/>
            <w:vAlign w:val="center"/>
          </w:tcPr>
          <w:p w14:paraId="6CC9FCE0">
            <w:pPr>
              <w:pStyle w:val="557"/>
            </w:pPr>
            <w:r>
              <w:rPr>
                <w:rFonts w:hint="eastAsia"/>
              </w:rPr>
              <w:t>浓度值/(mg/m</w:t>
            </w:r>
            <w:r>
              <w:rPr>
                <w:rFonts w:hint="eastAsia"/>
                <w:vertAlign w:val="superscript"/>
              </w:rPr>
              <w:t>3</w:t>
            </w:r>
            <w:r>
              <w:rPr>
                <w:rFonts w:hint="eastAsia"/>
              </w:rPr>
              <w:t>)</w:t>
            </w:r>
          </w:p>
        </w:tc>
        <w:tc>
          <w:tcPr>
            <w:tcW w:w="972" w:type="pct"/>
            <w:gridSpan w:val="2"/>
            <w:vAlign w:val="center"/>
          </w:tcPr>
          <w:p w14:paraId="1BF6FC9D">
            <w:pPr>
              <w:pStyle w:val="557"/>
            </w:pPr>
            <w:r>
              <w:rPr>
                <w:rFonts w:hint="eastAsia"/>
              </w:rPr>
              <w:t>最远影响距离/m</w:t>
            </w:r>
          </w:p>
        </w:tc>
        <w:tc>
          <w:tcPr>
            <w:tcW w:w="793" w:type="pct"/>
            <w:vAlign w:val="center"/>
          </w:tcPr>
          <w:p w14:paraId="6D45C16A">
            <w:pPr>
              <w:pStyle w:val="557"/>
            </w:pPr>
            <w:r>
              <w:rPr>
                <w:rFonts w:hint="eastAsia"/>
              </w:rPr>
              <w:t>到达时间/min</w:t>
            </w:r>
          </w:p>
        </w:tc>
      </w:tr>
      <w:tr w14:paraId="6472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05350051">
            <w:pPr>
              <w:pStyle w:val="557"/>
            </w:pPr>
          </w:p>
        </w:tc>
        <w:tc>
          <w:tcPr>
            <w:tcW w:w="680" w:type="pct"/>
            <w:vMerge w:val="continue"/>
            <w:vAlign w:val="center"/>
          </w:tcPr>
          <w:p w14:paraId="5D59E61C">
            <w:pPr>
              <w:pStyle w:val="557"/>
            </w:pPr>
          </w:p>
        </w:tc>
        <w:tc>
          <w:tcPr>
            <w:tcW w:w="1156" w:type="pct"/>
            <w:gridSpan w:val="2"/>
            <w:vAlign w:val="center"/>
          </w:tcPr>
          <w:p w14:paraId="5CDDB356">
            <w:pPr>
              <w:pStyle w:val="557"/>
            </w:pPr>
            <w:r>
              <w:rPr>
                <w:rFonts w:hint="eastAsia"/>
              </w:rPr>
              <w:t>大气毒性终点浓度-1</w:t>
            </w:r>
          </w:p>
        </w:tc>
        <w:tc>
          <w:tcPr>
            <w:tcW w:w="1057" w:type="pct"/>
            <w:gridSpan w:val="2"/>
            <w:vAlign w:val="center"/>
          </w:tcPr>
          <w:p w14:paraId="4035CB0D">
            <w:pPr>
              <w:pStyle w:val="557"/>
            </w:pPr>
            <w:r>
              <w:rPr>
                <w:rFonts w:hint="eastAsia"/>
              </w:rPr>
              <w:t>70</w:t>
            </w:r>
          </w:p>
        </w:tc>
        <w:tc>
          <w:tcPr>
            <w:tcW w:w="972" w:type="pct"/>
            <w:gridSpan w:val="2"/>
            <w:vAlign w:val="center"/>
          </w:tcPr>
          <w:p w14:paraId="6ABB7F45">
            <w:pPr>
              <w:pStyle w:val="557"/>
            </w:pPr>
            <w:r>
              <w:rPr>
                <w:rFonts w:hint="eastAsia"/>
              </w:rPr>
              <w:t>1860</w:t>
            </w:r>
          </w:p>
        </w:tc>
        <w:tc>
          <w:tcPr>
            <w:tcW w:w="793" w:type="pct"/>
            <w:vAlign w:val="center"/>
          </w:tcPr>
          <w:p w14:paraId="360E7A32">
            <w:pPr>
              <w:pStyle w:val="557"/>
            </w:pPr>
            <w:r>
              <w:rPr>
                <w:rFonts w:hint="eastAsia"/>
              </w:rPr>
              <w:t>38.57</w:t>
            </w:r>
          </w:p>
        </w:tc>
      </w:tr>
      <w:tr w14:paraId="5736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1BAC1429">
            <w:pPr>
              <w:pStyle w:val="557"/>
            </w:pPr>
          </w:p>
        </w:tc>
        <w:tc>
          <w:tcPr>
            <w:tcW w:w="680" w:type="pct"/>
            <w:vMerge w:val="continue"/>
            <w:vAlign w:val="center"/>
          </w:tcPr>
          <w:p w14:paraId="338E36BF">
            <w:pPr>
              <w:pStyle w:val="557"/>
            </w:pPr>
          </w:p>
        </w:tc>
        <w:tc>
          <w:tcPr>
            <w:tcW w:w="1156" w:type="pct"/>
            <w:gridSpan w:val="2"/>
            <w:vAlign w:val="center"/>
          </w:tcPr>
          <w:p w14:paraId="71D70CA8">
            <w:pPr>
              <w:pStyle w:val="557"/>
            </w:pPr>
            <w:r>
              <w:rPr>
                <w:rFonts w:hint="eastAsia"/>
              </w:rPr>
              <w:t>指标</w:t>
            </w:r>
          </w:p>
        </w:tc>
        <w:tc>
          <w:tcPr>
            <w:tcW w:w="1057" w:type="pct"/>
            <w:gridSpan w:val="2"/>
            <w:vAlign w:val="center"/>
          </w:tcPr>
          <w:p w14:paraId="620D8FFA">
            <w:pPr>
              <w:pStyle w:val="557"/>
            </w:pPr>
            <w:r>
              <w:rPr>
                <w:rFonts w:hint="eastAsia"/>
              </w:rPr>
              <w:t>浓度值/(mg/m</w:t>
            </w:r>
            <w:r>
              <w:rPr>
                <w:rFonts w:hint="eastAsia"/>
                <w:vertAlign w:val="superscript"/>
              </w:rPr>
              <w:t>3</w:t>
            </w:r>
            <w:r>
              <w:rPr>
                <w:rFonts w:hint="eastAsia"/>
              </w:rPr>
              <w:t>)</w:t>
            </w:r>
          </w:p>
        </w:tc>
        <w:tc>
          <w:tcPr>
            <w:tcW w:w="972" w:type="pct"/>
            <w:gridSpan w:val="2"/>
            <w:vAlign w:val="center"/>
          </w:tcPr>
          <w:p w14:paraId="3D5948E8">
            <w:pPr>
              <w:pStyle w:val="557"/>
            </w:pPr>
            <w:r>
              <w:rPr>
                <w:rFonts w:hint="eastAsia"/>
              </w:rPr>
              <w:t>最远影响距离/m</w:t>
            </w:r>
          </w:p>
        </w:tc>
        <w:tc>
          <w:tcPr>
            <w:tcW w:w="793" w:type="pct"/>
            <w:vAlign w:val="center"/>
          </w:tcPr>
          <w:p w14:paraId="254EB304">
            <w:pPr>
              <w:pStyle w:val="557"/>
            </w:pPr>
            <w:r>
              <w:rPr>
                <w:rFonts w:hint="eastAsia"/>
              </w:rPr>
              <w:t>到达时间/min</w:t>
            </w:r>
          </w:p>
        </w:tc>
      </w:tr>
      <w:tr w14:paraId="38FD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5CF08418">
            <w:pPr>
              <w:pStyle w:val="557"/>
            </w:pPr>
          </w:p>
        </w:tc>
        <w:tc>
          <w:tcPr>
            <w:tcW w:w="680" w:type="pct"/>
            <w:vMerge w:val="continue"/>
            <w:vAlign w:val="center"/>
          </w:tcPr>
          <w:p w14:paraId="12086E81">
            <w:pPr>
              <w:pStyle w:val="557"/>
            </w:pPr>
          </w:p>
        </w:tc>
        <w:tc>
          <w:tcPr>
            <w:tcW w:w="1156" w:type="pct"/>
            <w:gridSpan w:val="2"/>
            <w:vAlign w:val="center"/>
          </w:tcPr>
          <w:p w14:paraId="6883FFE9">
            <w:pPr>
              <w:pStyle w:val="557"/>
            </w:pPr>
            <w:r>
              <w:rPr>
                <w:rFonts w:hint="eastAsia"/>
              </w:rPr>
              <w:t>大气毒性终点浓度-2</w:t>
            </w:r>
          </w:p>
        </w:tc>
        <w:tc>
          <w:tcPr>
            <w:tcW w:w="1057" w:type="pct"/>
            <w:gridSpan w:val="2"/>
            <w:vAlign w:val="center"/>
          </w:tcPr>
          <w:p w14:paraId="2AFD7E90">
            <w:pPr>
              <w:pStyle w:val="557"/>
            </w:pPr>
            <w:r>
              <w:rPr>
                <w:rFonts w:hint="eastAsia"/>
              </w:rPr>
              <w:t>38</w:t>
            </w:r>
          </w:p>
        </w:tc>
        <w:tc>
          <w:tcPr>
            <w:tcW w:w="972" w:type="pct"/>
            <w:gridSpan w:val="2"/>
            <w:vAlign w:val="center"/>
          </w:tcPr>
          <w:p w14:paraId="59ED29E3">
            <w:pPr>
              <w:pStyle w:val="557"/>
            </w:pPr>
            <w:r>
              <w:rPr>
                <w:rFonts w:hint="eastAsia"/>
              </w:rPr>
              <w:t>2570</w:t>
            </w:r>
          </w:p>
        </w:tc>
        <w:tc>
          <w:tcPr>
            <w:tcW w:w="793" w:type="pct"/>
            <w:vAlign w:val="center"/>
          </w:tcPr>
          <w:p w14:paraId="7A6CBF8E">
            <w:pPr>
              <w:pStyle w:val="557"/>
            </w:pPr>
            <w:r>
              <w:rPr>
                <w:rFonts w:hint="eastAsia"/>
              </w:rPr>
              <w:t>47.39</w:t>
            </w:r>
          </w:p>
        </w:tc>
      </w:tr>
      <w:tr w14:paraId="3105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74DBCC94">
            <w:pPr>
              <w:pStyle w:val="557"/>
            </w:pPr>
          </w:p>
        </w:tc>
        <w:tc>
          <w:tcPr>
            <w:tcW w:w="680" w:type="pct"/>
            <w:vMerge w:val="continue"/>
            <w:vAlign w:val="center"/>
          </w:tcPr>
          <w:p w14:paraId="2F4451FD">
            <w:pPr>
              <w:pStyle w:val="557"/>
            </w:pPr>
          </w:p>
        </w:tc>
        <w:tc>
          <w:tcPr>
            <w:tcW w:w="1156" w:type="pct"/>
            <w:gridSpan w:val="2"/>
            <w:vAlign w:val="center"/>
          </w:tcPr>
          <w:p w14:paraId="6B0A1313">
            <w:pPr>
              <w:pStyle w:val="557"/>
            </w:pPr>
            <w:r>
              <w:rPr>
                <w:rFonts w:hint="eastAsia"/>
              </w:rPr>
              <w:t>敏感目标</w:t>
            </w:r>
          </w:p>
        </w:tc>
        <w:tc>
          <w:tcPr>
            <w:tcW w:w="1057" w:type="pct"/>
            <w:gridSpan w:val="2"/>
            <w:vAlign w:val="center"/>
          </w:tcPr>
          <w:p w14:paraId="7C8ABAA2">
            <w:pPr>
              <w:pStyle w:val="557"/>
            </w:pPr>
            <w:r>
              <w:rPr>
                <w:rFonts w:hint="eastAsia"/>
              </w:rPr>
              <w:t>超标时间/min</w:t>
            </w:r>
          </w:p>
        </w:tc>
        <w:tc>
          <w:tcPr>
            <w:tcW w:w="972" w:type="pct"/>
            <w:gridSpan w:val="2"/>
            <w:vAlign w:val="center"/>
          </w:tcPr>
          <w:p w14:paraId="7126C712">
            <w:pPr>
              <w:pStyle w:val="557"/>
            </w:pPr>
            <w:r>
              <w:rPr>
                <w:rFonts w:hint="eastAsia"/>
              </w:rPr>
              <w:t>超标持续时间/min</w:t>
            </w:r>
          </w:p>
        </w:tc>
        <w:tc>
          <w:tcPr>
            <w:tcW w:w="793" w:type="pct"/>
            <w:vAlign w:val="center"/>
          </w:tcPr>
          <w:p w14:paraId="77AFDEDE">
            <w:pPr>
              <w:pStyle w:val="557"/>
            </w:pPr>
            <w:r>
              <w:rPr>
                <w:rFonts w:hint="eastAsia"/>
              </w:rPr>
              <w:t>最大浓度/(mg/m</w:t>
            </w:r>
            <w:r>
              <w:rPr>
                <w:rFonts w:hint="eastAsia"/>
                <w:vertAlign w:val="superscript"/>
              </w:rPr>
              <w:t>3</w:t>
            </w:r>
            <w:r>
              <w:rPr>
                <w:rFonts w:hint="eastAsia"/>
              </w:rPr>
              <w:t>)</w:t>
            </w:r>
          </w:p>
        </w:tc>
      </w:tr>
      <w:tr w14:paraId="7B82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4ACA820C">
            <w:pPr>
              <w:pStyle w:val="557"/>
            </w:pPr>
          </w:p>
        </w:tc>
        <w:tc>
          <w:tcPr>
            <w:tcW w:w="680" w:type="pct"/>
            <w:vMerge w:val="continue"/>
            <w:vAlign w:val="center"/>
          </w:tcPr>
          <w:p w14:paraId="55EBD688">
            <w:pPr>
              <w:pStyle w:val="557"/>
            </w:pPr>
          </w:p>
        </w:tc>
        <w:tc>
          <w:tcPr>
            <w:tcW w:w="1156" w:type="pct"/>
            <w:gridSpan w:val="2"/>
            <w:vAlign w:val="center"/>
          </w:tcPr>
          <w:p w14:paraId="539206E2">
            <w:pPr>
              <w:pStyle w:val="557"/>
            </w:pPr>
            <w:r>
              <w:rPr>
                <w:rFonts w:hint="eastAsia"/>
              </w:rPr>
              <w:t>花园乡</w:t>
            </w:r>
          </w:p>
        </w:tc>
        <w:tc>
          <w:tcPr>
            <w:tcW w:w="1057" w:type="pct"/>
            <w:gridSpan w:val="2"/>
            <w:vAlign w:val="center"/>
          </w:tcPr>
          <w:p w14:paraId="241EE006">
            <w:pPr>
              <w:pStyle w:val="557"/>
            </w:pPr>
            <w:r>
              <w:rPr>
                <w:rFonts w:hint="eastAsia"/>
              </w:rPr>
              <w:t>/</w:t>
            </w:r>
          </w:p>
        </w:tc>
        <w:tc>
          <w:tcPr>
            <w:tcW w:w="972" w:type="pct"/>
            <w:gridSpan w:val="2"/>
            <w:vAlign w:val="center"/>
          </w:tcPr>
          <w:p w14:paraId="4F850A70">
            <w:pPr>
              <w:pStyle w:val="557"/>
            </w:pPr>
            <w:r>
              <w:rPr>
                <w:rFonts w:hint="eastAsia"/>
              </w:rPr>
              <w:t>/</w:t>
            </w:r>
          </w:p>
        </w:tc>
        <w:tc>
          <w:tcPr>
            <w:tcW w:w="793" w:type="pct"/>
            <w:vAlign w:val="center"/>
          </w:tcPr>
          <w:p w14:paraId="3DEE56BC">
            <w:pPr>
              <w:pStyle w:val="557"/>
            </w:pPr>
            <w:r>
              <w:rPr>
                <w:rFonts w:hint="eastAsia"/>
              </w:rPr>
              <w:t>/</w:t>
            </w:r>
          </w:p>
        </w:tc>
      </w:tr>
      <w:tr w14:paraId="4118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4F0F894D">
            <w:pPr>
              <w:pStyle w:val="557"/>
            </w:pPr>
          </w:p>
        </w:tc>
        <w:tc>
          <w:tcPr>
            <w:tcW w:w="680" w:type="pct"/>
            <w:vMerge w:val="continue"/>
            <w:vAlign w:val="center"/>
          </w:tcPr>
          <w:p w14:paraId="22132B83">
            <w:pPr>
              <w:pStyle w:val="557"/>
            </w:pPr>
          </w:p>
        </w:tc>
        <w:tc>
          <w:tcPr>
            <w:tcW w:w="3978" w:type="pct"/>
            <w:gridSpan w:val="7"/>
            <w:vAlign w:val="center"/>
          </w:tcPr>
          <w:p w14:paraId="54790094">
            <w:pPr>
              <w:pStyle w:val="557"/>
            </w:pPr>
            <w:r>
              <w:rPr>
                <w:rFonts w:hint="eastAsia"/>
              </w:rPr>
              <w:t>最常见气象条件下大气环境影响</w:t>
            </w:r>
          </w:p>
        </w:tc>
      </w:tr>
      <w:tr w14:paraId="698D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529ACEF6">
            <w:pPr>
              <w:pStyle w:val="557"/>
            </w:pPr>
          </w:p>
        </w:tc>
        <w:tc>
          <w:tcPr>
            <w:tcW w:w="680" w:type="pct"/>
            <w:vMerge w:val="continue"/>
            <w:vAlign w:val="center"/>
          </w:tcPr>
          <w:p w14:paraId="180299CC">
            <w:pPr>
              <w:pStyle w:val="557"/>
            </w:pPr>
          </w:p>
        </w:tc>
        <w:tc>
          <w:tcPr>
            <w:tcW w:w="1156" w:type="pct"/>
            <w:gridSpan w:val="2"/>
            <w:vAlign w:val="center"/>
          </w:tcPr>
          <w:p w14:paraId="36D2E633">
            <w:pPr>
              <w:pStyle w:val="557"/>
            </w:pPr>
            <w:r>
              <w:rPr>
                <w:rFonts w:hint="eastAsia"/>
              </w:rPr>
              <w:t>指标</w:t>
            </w:r>
          </w:p>
        </w:tc>
        <w:tc>
          <w:tcPr>
            <w:tcW w:w="1057" w:type="pct"/>
            <w:gridSpan w:val="2"/>
            <w:vAlign w:val="center"/>
          </w:tcPr>
          <w:p w14:paraId="53D60A1E">
            <w:pPr>
              <w:pStyle w:val="557"/>
            </w:pPr>
            <w:r>
              <w:rPr>
                <w:rFonts w:hint="eastAsia"/>
              </w:rPr>
              <w:t>浓度值/(mg/m</w:t>
            </w:r>
            <w:r>
              <w:rPr>
                <w:rFonts w:hint="eastAsia"/>
                <w:vertAlign w:val="superscript"/>
              </w:rPr>
              <w:t>3</w:t>
            </w:r>
            <w:r>
              <w:rPr>
                <w:rFonts w:hint="eastAsia"/>
              </w:rPr>
              <w:t>)</w:t>
            </w:r>
          </w:p>
        </w:tc>
        <w:tc>
          <w:tcPr>
            <w:tcW w:w="972" w:type="pct"/>
            <w:gridSpan w:val="2"/>
            <w:vAlign w:val="center"/>
          </w:tcPr>
          <w:p w14:paraId="554F07B3">
            <w:pPr>
              <w:pStyle w:val="557"/>
            </w:pPr>
            <w:r>
              <w:rPr>
                <w:rFonts w:hint="eastAsia"/>
              </w:rPr>
              <w:t>最远影响距离/m</w:t>
            </w:r>
          </w:p>
        </w:tc>
        <w:tc>
          <w:tcPr>
            <w:tcW w:w="793" w:type="pct"/>
            <w:vAlign w:val="center"/>
          </w:tcPr>
          <w:p w14:paraId="53E73FF5">
            <w:pPr>
              <w:pStyle w:val="557"/>
            </w:pPr>
            <w:r>
              <w:rPr>
                <w:rFonts w:hint="eastAsia"/>
              </w:rPr>
              <w:t>到达时间/min</w:t>
            </w:r>
          </w:p>
        </w:tc>
      </w:tr>
      <w:tr w14:paraId="6243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74F4FC5E">
            <w:pPr>
              <w:pStyle w:val="557"/>
            </w:pPr>
          </w:p>
        </w:tc>
        <w:tc>
          <w:tcPr>
            <w:tcW w:w="680" w:type="pct"/>
            <w:vMerge w:val="continue"/>
            <w:vAlign w:val="center"/>
          </w:tcPr>
          <w:p w14:paraId="758298D5">
            <w:pPr>
              <w:pStyle w:val="557"/>
            </w:pPr>
          </w:p>
        </w:tc>
        <w:tc>
          <w:tcPr>
            <w:tcW w:w="1156" w:type="pct"/>
            <w:gridSpan w:val="2"/>
            <w:vAlign w:val="center"/>
          </w:tcPr>
          <w:p w14:paraId="2E2E18CB">
            <w:pPr>
              <w:pStyle w:val="557"/>
            </w:pPr>
            <w:r>
              <w:rPr>
                <w:rFonts w:hint="eastAsia"/>
              </w:rPr>
              <w:t>大气毒性终点浓度-1</w:t>
            </w:r>
          </w:p>
        </w:tc>
        <w:tc>
          <w:tcPr>
            <w:tcW w:w="1057" w:type="pct"/>
            <w:gridSpan w:val="2"/>
            <w:vAlign w:val="center"/>
          </w:tcPr>
          <w:p w14:paraId="3979EF80">
            <w:pPr>
              <w:pStyle w:val="557"/>
            </w:pPr>
            <w:r>
              <w:rPr>
                <w:rFonts w:hint="eastAsia"/>
              </w:rPr>
              <w:t>70</w:t>
            </w:r>
          </w:p>
        </w:tc>
        <w:tc>
          <w:tcPr>
            <w:tcW w:w="972" w:type="pct"/>
            <w:gridSpan w:val="2"/>
            <w:vAlign w:val="center"/>
          </w:tcPr>
          <w:p w14:paraId="15E5CD7B">
            <w:pPr>
              <w:pStyle w:val="557"/>
            </w:pPr>
            <w:r>
              <w:rPr>
                <w:rFonts w:hint="eastAsia"/>
              </w:rPr>
              <w:t>650</w:t>
            </w:r>
          </w:p>
        </w:tc>
        <w:tc>
          <w:tcPr>
            <w:tcW w:w="793" w:type="pct"/>
            <w:vAlign w:val="center"/>
          </w:tcPr>
          <w:p w14:paraId="2C08A234">
            <w:pPr>
              <w:pStyle w:val="557"/>
            </w:pPr>
            <w:r>
              <w:rPr>
                <w:rFonts w:hint="eastAsia"/>
              </w:rPr>
              <w:t>8.90</w:t>
            </w:r>
          </w:p>
        </w:tc>
      </w:tr>
      <w:tr w14:paraId="4008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519586C9">
            <w:pPr>
              <w:pStyle w:val="557"/>
            </w:pPr>
          </w:p>
        </w:tc>
        <w:tc>
          <w:tcPr>
            <w:tcW w:w="680" w:type="pct"/>
            <w:vMerge w:val="continue"/>
            <w:vAlign w:val="center"/>
          </w:tcPr>
          <w:p w14:paraId="7060BE75">
            <w:pPr>
              <w:pStyle w:val="557"/>
            </w:pPr>
          </w:p>
        </w:tc>
        <w:tc>
          <w:tcPr>
            <w:tcW w:w="1156" w:type="pct"/>
            <w:gridSpan w:val="2"/>
            <w:vAlign w:val="center"/>
          </w:tcPr>
          <w:p w14:paraId="4A778EDB">
            <w:pPr>
              <w:pStyle w:val="557"/>
            </w:pPr>
            <w:r>
              <w:rPr>
                <w:rFonts w:hint="eastAsia"/>
              </w:rPr>
              <w:t>指标</w:t>
            </w:r>
          </w:p>
        </w:tc>
        <w:tc>
          <w:tcPr>
            <w:tcW w:w="1057" w:type="pct"/>
            <w:gridSpan w:val="2"/>
            <w:vAlign w:val="center"/>
          </w:tcPr>
          <w:p w14:paraId="67B0473D">
            <w:pPr>
              <w:pStyle w:val="557"/>
            </w:pPr>
            <w:r>
              <w:rPr>
                <w:rFonts w:hint="eastAsia"/>
              </w:rPr>
              <w:t>浓度值/(mg/m</w:t>
            </w:r>
            <w:r>
              <w:rPr>
                <w:rFonts w:hint="eastAsia"/>
                <w:vertAlign w:val="superscript"/>
              </w:rPr>
              <w:t>3</w:t>
            </w:r>
            <w:r>
              <w:rPr>
                <w:rFonts w:hint="eastAsia"/>
              </w:rPr>
              <w:t>)</w:t>
            </w:r>
          </w:p>
        </w:tc>
        <w:tc>
          <w:tcPr>
            <w:tcW w:w="972" w:type="pct"/>
            <w:gridSpan w:val="2"/>
            <w:vAlign w:val="center"/>
          </w:tcPr>
          <w:p w14:paraId="70A9EDA3">
            <w:pPr>
              <w:pStyle w:val="557"/>
            </w:pPr>
            <w:r>
              <w:rPr>
                <w:rFonts w:hint="eastAsia"/>
              </w:rPr>
              <w:t>最远影响距离/m</w:t>
            </w:r>
          </w:p>
        </w:tc>
        <w:tc>
          <w:tcPr>
            <w:tcW w:w="793" w:type="pct"/>
            <w:vAlign w:val="center"/>
          </w:tcPr>
          <w:p w14:paraId="420E776F">
            <w:pPr>
              <w:pStyle w:val="557"/>
            </w:pPr>
            <w:r>
              <w:rPr>
                <w:rFonts w:hint="eastAsia"/>
              </w:rPr>
              <w:t>到达时间/min</w:t>
            </w:r>
          </w:p>
        </w:tc>
      </w:tr>
      <w:tr w14:paraId="2D46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264E3BA0">
            <w:pPr>
              <w:pStyle w:val="557"/>
            </w:pPr>
          </w:p>
        </w:tc>
        <w:tc>
          <w:tcPr>
            <w:tcW w:w="680" w:type="pct"/>
            <w:vMerge w:val="continue"/>
            <w:vAlign w:val="center"/>
          </w:tcPr>
          <w:p w14:paraId="22523508">
            <w:pPr>
              <w:pStyle w:val="557"/>
            </w:pPr>
          </w:p>
        </w:tc>
        <w:tc>
          <w:tcPr>
            <w:tcW w:w="1156" w:type="pct"/>
            <w:gridSpan w:val="2"/>
            <w:vAlign w:val="center"/>
          </w:tcPr>
          <w:p w14:paraId="46C92775">
            <w:pPr>
              <w:pStyle w:val="557"/>
            </w:pPr>
            <w:r>
              <w:rPr>
                <w:rFonts w:hint="eastAsia"/>
              </w:rPr>
              <w:t>大气毒性终点浓度-2</w:t>
            </w:r>
          </w:p>
        </w:tc>
        <w:tc>
          <w:tcPr>
            <w:tcW w:w="1057" w:type="pct"/>
            <w:gridSpan w:val="2"/>
            <w:vAlign w:val="center"/>
          </w:tcPr>
          <w:p w14:paraId="2DFB8C25">
            <w:pPr>
              <w:pStyle w:val="557"/>
            </w:pPr>
            <w:r>
              <w:rPr>
                <w:rFonts w:hint="eastAsia"/>
              </w:rPr>
              <w:t>38</w:t>
            </w:r>
          </w:p>
        </w:tc>
        <w:tc>
          <w:tcPr>
            <w:tcW w:w="972" w:type="pct"/>
            <w:gridSpan w:val="2"/>
            <w:vAlign w:val="center"/>
          </w:tcPr>
          <w:p w14:paraId="263C3CB6">
            <w:pPr>
              <w:pStyle w:val="557"/>
            </w:pPr>
            <w:r>
              <w:rPr>
                <w:rFonts w:hint="eastAsia"/>
              </w:rPr>
              <w:t>910</w:t>
            </w:r>
          </w:p>
        </w:tc>
        <w:tc>
          <w:tcPr>
            <w:tcW w:w="793" w:type="pct"/>
            <w:vAlign w:val="center"/>
          </w:tcPr>
          <w:p w14:paraId="6FF1E0B7">
            <w:pPr>
              <w:pStyle w:val="557"/>
            </w:pPr>
            <w:r>
              <w:rPr>
                <w:rFonts w:hint="eastAsia"/>
              </w:rPr>
              <w:t>10.44</w:t>
            </w:r>
          </w:p>
        </w:tc>
      </w:tr>
      <w:tr w14:paraId="6105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0D83A5A4">
            <w:pPr>
              <w:pStyle w:val="557"/>
            </w:pPr>
          </w:p>
        </w:tc>
        <w:tc>
          <w:tcPr>
            <w:tcW w:w="680" w:type="pct"/>
            <w:vMerge w:val="continue"/>
            <w:vAlign w:val="center"/>
          </w:tcPr>
          <w:p w14:paraId="0E7640F9">
            <w:pPr>
              <w:pStyle w:val="557"/>
            </w:pPr>
          </w:p>
        </w:tc>
        <w:tc>
          <w:tcPr>
            <w:tcW w:w="1156" w:type="pct"/>
            <w:gridSpan w:val="2"/>
            <w:vAlign w:val="center"/>
          </w:tcPr>
          <w:p w14:paraId="69A7535E">
            <w:pPr>
              <w:pStyle w:val="557"/>
            </w:pPr>
            <w:r>
              <w:rPr>
                <w:rFonts w:hint="eastAsia"/>
              </w:rPr>
              <w:t>敏感目标</w:t>
            </w:r>
          </w:p>
        </w:tc>
        <w:tc>
          <w:tcPr>
            <w:tcW w:w="1057" w:type="pct"/>
            <w:gridSpan w:val="2"/>
            <w:vAlign w:val="center"/>
          </w:tcPr>
          <w:p w14:paraId="53361EDB">
            <w:pPr>
              <w:pStyle w:val="557"/>
            </w:pPr>
            <w:r>
              <w:rPr>
                <w:rFonts w:hint="eastAsia"/>
              </w:rPr>
              <w:t>超标时间/min</w:t>
            </w:r>
          </w:p>
        </w:tc>
        <w:tc>
          <w:tcPr>
            <w:tcW w:w="972" w:type="pct"/>
            <w:gridSpan w:val="2"/>
            <w:vAlign w:val="center"/>
          </w:tcPr>
          <w:p w14:paraId="5E4A8C00">
            <w:pPr>
              <w:pStyle w:val="557"/>
            </w:pPr>
            <w:r>
              <w:rPr>
                <w:rFonts w:hint="eastAsia"/>
              </w:rPr>
              <w:t>超标持续时间/min</w:t>
            </w:r>
          </w:p>
        </w:tc>
        <w:tc>
          <w:tcPr>
            <w:tcW w:w="793" w:type="pct"/>
            <w:vAlign w:val="center"/>
          </w:tcPr>
          <w:p w14:paraId="6CE9D109">
            <w:pPr>
              <w:pStyle w:val="557"/>
            </w:pPr>
            <w:r>
              <w:rPr>
                <w:rFonts w:hint="eastAsia"/>
              </w:rPr>
              <w:t>最大浓度/(mg/m</w:t>
            </w:r>
            <w:r>
              <w:rPr>
                <w:rFonts w:hint="eastAsia"/>
                <w:vertAlign w:val="superscript"/>
              </w:rPr>
              <w:t>3</w:t>
            </w:r>
            <w:r>
              <w:rPr>
                <w:rFonts w:hint="eastAsia"/>
              </w:rPr>
              <w:t>)</w:t>
            </w:r>
          </w:p>
        </w:tc>
      </w:tr>
      <w:tr w14:paraId="6601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2" w:type="pct"/>
            <w:vMerge w:val="continue"/>
            <w:vAlign w:val="center"/>
          </w:tcPr>
          <w:p w14:paraId="20D53412">
            <w:pPr>
              <w:pStyle w:val="557"/>
            </w:pPr>
          </w:p>
        </w:tc>
        <w:tc>
          <w:tcPr>
            <w:tcW w:w="680" w:type="pct"/>
            <w:vMerge w:val="continue"/>
            <w:vAlign w:val="center"/>
          </w:tcPr>
          <w:p w14:paraId="2E3B5A47">
            <w:pPr>
              <w:pStyle w:val="557"/>
            </w:pPr>
          </w:p>
        </w:tc>
        <w:tc>
          <w:tcPr>
            <w:tcW w:w="1156" w:type="pct"/>
            <w:gridSpan w:val="2"/>
            <w:vAlign w:val="center"/>
          </w:tcPr>
          <w:p w14:paraId="36031110">
            <w:pPr>
              <w:pStyle w:val="557"/>
            </w:pPr>
            <w:r>
              <w:rPr>
                <w:rFonts w:hint="eastAsia"/>
              </w:rPr>
              <w:t>花园乡</w:t>
            </w:r>
          </w:p>
        </w:tc>
        <w:tc>
          <w:tcPr>
            <w:tcW w:w="1057" w:type="pct"/>
            <w:gridSpan w:val="2"/>
            <w:vAlign w:val="center"/>
          </w:tcPr>
          <w:p w14:paraId="2EB2604A">
            <w:pPr>
              <w:pStyle w:val="557"/>
            </w:pPr>
            <w:r>
              <w:rPr>
                <w:rFonts w:hint="eastAsia"/>
              </w:rPr>
              <w:t>/</w:t>
            </w:r>
          </w:p>
        </w:tc>
        <w:tc>
          <w:tcPr>
            <w:tcW w:w="972" w:type="pct"/>
            <w:gridSpan w:val="2"/>
            <w:vAlign w:val="center"/>
          </w:tcPr>
          <w:p w14:paraId="0C24C9AF">
            <w:pPr>
              <w:pStyle w:val="557"/>
            </w:pPr>
            <w:r>
              <w:rPr>
                <w:rFonts w:hint="eastAsia"/>
              </w:rPr>
              <w:t>/</w:t>
            </w:r>
          </w:p>
        </w:tc>
        <w:tc>
          <w:tcPr>
            <w:tcW w:w="793" w:type="pct"/>
            <w:vAlign w:val="center"/>
          </w:tcPr>
          <w:p w14:paraId="7A59E708">
            <w:pPr>
              <w:pStyle w:val="557"/>
            </w:pPr>
            <w:r>
              <w:rPr>
                <w:rFonts w:hint="eastAsia"/>
              </w:rPr>
              <w:t>/</w:t>
            </w:r>
          </w:p>
        </w:tc>
      </w:tr>
    </w:tbl>
    <w:p w14:paraId="546B643A">
      <w:pPr>
        <w:pStyle w:val="557"/>
      </w:pPr>
    </w:p>
    <w:p w14:paraId="36F0EFEB">
      <w:pPr>
        <w:pStyle w:val="645"/>
        <w:rPr>
          <w:rFonts w:hint="eastAsia"/>
        </w:rPr>
      </w:pPr>
      <w:bookmarkStart w:id="498" w:name="_Ref81993410"/>
      <w:r>
        <w:rPr>
          <w:rFonts w:hint="eastAsia"/>
        </w:rPr>
        <w:t>图</w:t>
      </w:r>
      <w:bookmarkEnd w:id="498"/>
      <w:r>
        <w:t>7.7.1-</w:t>
      </w:r>
      <w:r>
        <w:rPr>
          <w:rFonts w:hint="eastAsia"/>
        </w:rPr>
        <w:t>6</w:t>
      </w:r>
      <w:r>
        <w:t xml:space="preserve">    </w:t>
      </w:r>
      <w:r>
        <w:rPr>
          <w:rFonts w:hint="eastAsia"/>
        </w:rPr>
        <w:t>最不利气象条件下酸性气管线泄漏事故最大影响区域图</w:t>
      </w:r>
    </w:p>
    <w:p w14:paraId="5430E4F5">
      <w:pPr>
        <w:pStyle w:val="557"/>
      </w:pPr>
    </w:p>
    <w:p w14:paraId="72CC7BFE">
      <w:pPr>
        <w:pStyle w:val="645"/>
        <w:rPr>
          <w:rFonts w:hint="eastAsia"/>
        </w:rPr>
      </w:pPr>
      <w:r>
        <w:rPr>
          <w:rFonts w:hint="eastAsia"/>
        </w:rPr>
        <w:t>图</w:t>
      </w:r>
      <w:r>
        <w:t>7.7.1-</w:t>
      </w:r>
      <w:r>
        <w:rPr>
          <w:rFonts w:hint="eastAsia"/>
        </w:rPr>
        <w:t>7</w:t>
      </w:r>
      <w:r>
        <w:t xml:space="preserve">    </w:t>
      </w:r>
      <w:r>
        <w:rPr>
          <w:rFonts w:hint="eastAsia"/>
        </w:rPr>
        <w:t>最常见气象条件下酸性气管线泄漏事故最大影响区域图</w:t>
      </w:r>
    </w:p>
    <w:p w14:paraId="29BDBC2E">
      <w:pPr>
        <w:pStyle w:val="98"/>
        <w:rPr>
          <w:rFonts w:hint="eastAsia"/>
          <w:color w:val="auto"/>
        </w:rPr>
      </w:pPr>
      <w:bookmarkStart w:id="499" w:name="_Hlk192087965"/>
      <w:r>
        <w:rPr>
          <w:rFonts w:hint="eastAsia"/>
          <w:color w:val="auto"/>
        </w:rPr>
        <w:t>液氨储罐泄漏事故预测结果</w:t>
      </w:r>
    </w:p>
    <w:p w14:paraId="6EE902C1">
      <w:pPr>
        <w:pStyle w:val="281"/>
        <w:ind w:firstLine="480"/>
      </w:pPr>
      <w:r>
        <w:rPr>
          <w:rFonts w:hint="eastAsia"/>
        </w:rPr>
        <w:t>根据预测方案，液氨储罐泄漏事故</w:t>
      </w:r>
      <w:r>
        <w:rPr>
          <w:rFonts w:hint="eastAsia" w:ascii="宋体" w:hAnsi="宋体"/>
        </w:rPr>
        <w:t>源项和后果计算结果见下表，</w:t>
      </w:r>
      <w:r>
        <w:rPr>
          <w:rFonts w:hint="eastAsia"/>
        </w:rPr>
        <w:t>最大影响区域</w:t>
      </w:r>
      <w:r>
        <w:rPr>
          <w:rFonts w:hint="eastAsia" w:ascii="宋体" w:hAnsi="宋体"/>
        </w:rPr>
        <w:t>见下图。</w:t>
      </w:r>
    </w:p>
    <w:p w14:paraId="7C1BA257">
      <w:pPr>
        <w:pStyle w:val="535"/>
        <w:rPr>
          <w:rFonts w:hint="eastAsia"/>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 xml:space="preserve">-7 </w:t>
      </w:r>
      <w:r>
        <w:rPr>
          <w:rFonts w:eastAsia="宋体"/>
          <w:color w:val="auto"/>
        </w:rPr>
        <w:t xml:space="preserve">   </w:t>
      </w:r>
      <w:r>
        <w:rPr>
          <w:rFonts w:hint="eastAsia"/>
          <w:color w:val="auto"/>
        </w:rPr>
        <w:t>液氨储罐泄漏事故源项和后果基本信息表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016"/>
        <w:gridCol w:w="1229"/>
        <w:gridCol w:w="810"/>
        <w:gridCol w:w="856"/>
        <w:gridCol w:w="602"/>
        <w:gridCol w:w="591"/>
        <w:gridCol w:w="1156"/>
        <w:gridCol w:w="1682"/>
      </w:tblGrid>
      <w:tr w14:paraId="0834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9"/>
            <w:vAlign w:val="center"/>
          </w:tcPr>
          <w:p w14:paraId="4B2FEA1A">
            <w:pPr>
              <w:pStyle w:val="557"/>
              <w:rPr>
                <w:vertAlign w:val="superscript"/>
              </w:rPr>
            </w:pPr>
            <w:r>
              <w:rPr>
                <w:rFonts w:hint="eastAsia"/>
              </w:rPr>
              <w:t>风险事故情形分析</w:t>
            </w:r>
          </w:p>
        </w:tc>
      </w:tr>
      <w:tr w14:paraId="4088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7" w:type="pct"/>
            <w:gridSpan w:val="2"/>
            <w:vAlign w:val="center"/>
          </w:tcPr>
          <w:p w14:paraId="6B2CDC16">
            <w:pPr>
              <w:pStyle w:val="557"/>
            </w:pPr>
            <w:r>
              <w:rPr>
                <w:rFonts w:hint="eastAsia"/>
              </w:rPr>
              <w:t>代表性风险事故情形描述</w:t>
            </w:r>
          </w:p>
        </w:tc>
        <w:tc>
          <w:tcPr>
            <w:tcW w:w="4063" w:type="pct"/>
            <w:gridSpan w:val="7"/>
            <w:vAlign w:val="center"/>
          </w:tcPr>
          <w:p w14:paraId="33042191">
            <w:pPr>
              <w:pStyle w:val="557"/>
            </w:pPr>
            <w:r>
              <w:rPr>
                <w:rFonts w:hint="eastAsia"/>
              </w:rPr>
              <w:t>液氨泄漏气体扩散</w:t>
            </w:r>
          </w:p>
        </w:tc>
      </w:tr>
      <w:tr w14:paraId="7A30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7" w:type="pct"/>
            <w:gridSpan w:val="2"/>
            <w:vAlign w:val="center"/>
          </w:tcPr>
          <w:p w14:paraId="51E18B05">
            <w:pPr>
              <w:pStyle w:val="557"/>
            </w:pPr>
            <w:r>
              <w:rPr>
                <w:rFonts w:hint="eastAsia"/>
              </w:rPr>
              <w:t>环境风险类型</w:t>
            </w:r>
          </w:p>
        </w:tc>
        <w:tc>
          <w:tcPr>
            <w:tcW w:w="4063" w:type="pct"/>
            <w:gridSpan w:val="7"/>
            <w:vAlign w:val="center"/>
          </w:tcPr>
          <w:p w14:paraId="549F313B">
            <w:pPr>
              <w:pStyle w:val="557"/>
            </w:pPr>
            <w:r>
              <w:rPr>
                <w:rFonts w:hint="eastAsia"/>
              </w:rPr>
              <w:t>泄漏</w:t>
            </w:r>
          </w:p>
        </w:tc>
      </w:tr>
      <w:tr w14:paraId="4CBB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7" w:type="pct"/>
            <w:gridSpan w:val="2"/>
            <w:vAlign w:val="center"/>
          </w:tcPr>
          <w:p w14:paraId="33829CEB">
            <w:pPr>
              <w:pStyle w:val="557"/>
            </w:pPr>
            <w:r>
              <w:rPr>
                <w:rFonts w:hint="eastAsia"/>
              </w:rPr>
              <w:t>泄漏设备类型</w:t>
            </w:r>
          </w:p>
        </w:tc>
        <w:tc>
          <w:tcPr>
            <w:tcW w:w="721" w:type="pct"/>
            <w:vAlign w:val="center"/>
          </w:tcPr>
          <w:p w14:paraId="34CAB977">
            <w:pPr>
              <w:pStyle w:val="557"/>
            </w:pPr>
            <w:r>
              <w:rPr>
                <w:rFonts w:hint="eastAsia"/>
              </w:rPr>
              <w:t>压力罐</w:t>
            </w:r>
          </w:p>
        </w:tc>
        <w:tc>
          <w:tcPr>
            <w:tcW w:w="977" w:type="pct"/>
            <w:gridSpan w:val="2"/>
            <w:vAlign w:val="center"/>
          </w:tcPr>
          <w:p w14:paraId="6039D8C1">
            <w:pPr>
              <w:pStyle w:val="557"/>
            </w:pPr>
            <w:r>
              <w:rPr>
                <w:rFonts w:hint="eastAsia"/>
              </w:rPr>
              <w:t>操作温度/℃</w:t>
            </w:r>
          </w:p>
        </w:tc>
        <w:tc>
          <w:tcPr>
            <w:tcW w:w="700" w:type="pct"/>
            <w:gridSpan w:val="2"/>
            <w:vAlign w:val="center"/>
          </w:tcPr>
          <w:p w14:paraId="263D4BBE">
            <w:pPr>
              <w:pStyle w:val="557"/>
            </w:pPr>
            <w:r>
              <w:rPr>
                <w:rFonts w:hint="eastAsia"/>
              </w:rPr>
              <w:t>50</w:t>
            </w:r>
          </w:p>
        </w:tc>
        <w:tc>
          <w:tcPr>
            <w:tcW w:w="678" w:type="pct"/>
            <w:vAlign w:val="center"/>
          </w:tcPr>
          <w:p w14:paraId="188F7385">
            <w:pPr>
              <w:pStyle w:val="557"/>
            </w:pPr>
            <w:r>
              <w:rPr>
                <w:rFonts w:hint="eastAsia"/>
              </w:rPr>
              <w:t>操作压力/MPa</w:t>
            </w:r>
          </w:p>
        </w:tc>
        <w:tc>
          <w:tcPr>
            <w:tcW w:w="987" w:type="pct"/>
            <w:vAlign w:val="center"/>
          </w:tcPr>
          <w:p w14:paraId="524F7155">
            <w:pPr>
              <w:pStyle w:val="557"/>
            </w:pPr>
            <w:r>
              <w:rPr>
                <w:rFonts w:hint="eastAsia"/>
              </w:rPr>
              <w:t>2.16</w:t>
            </w:r>
          </w:p>
        </w:tc>
      </w:tr>
      <w:tr w14:paraId="0F58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7" w:type="pct"/>
            <w:gridSpan w:val="2"/>
            <w:vAlign w:val="center"/>
          </w:tcPr>
          <w:p w14:paraId="585BDACC">
            <w:pPr>
              <w:pStyle w:val="557"/>
            </w:pPr>
            <w:r>
              <w:rPr>
                <w:rFonts w:hint="eastAsia"/>
              </w:rPr>
              <w:t>泄漏危险物质</w:t>
            </w:r>
          </w:p>
        </w:tc>
        <w:tc>
          <w:tcPr>
            <w:tcW w:w="721" w:type="pct"/>
            <w:vAlign w:val="center"/>
          </w:tcPr>
          <w:p w14:paraId="56E596AE">
            <w:pPr>
              <w:pStyle w:val="557"/>
            </w:pPr>
            <w:r>
              <w:rPr>
                <w:rFonts w:hint="eastAsia"/>
              </w:rPr>
              <w:t>NH</w:t>
            </w:r>
            <w:r>
              <w:rPr>
                <w:rFonts w:hint="eastAsia"/>
                <w:vertAlign w:val="subscript"/>
              </w:rPr>
              <w:t>3</w:t>
            </w:r>
          </w:p>
        </w:tc>
        <w:tc>
          <w:tcPr>
            <w:tcW w:w="977" w:type="pct"/>
            <w:gridSpan w:val="2"/>
            <w:vAlign w:val="center"/>
          </w:tcPr>
          <w:p w14:paraId="40D2717E">
            <w:pPr>
              <w:pStyle w:val="557"/>
            </w:pPr>
            <w:r>
              <w:rPr>
                <w:rFonts w:hint="eastAsia"/>
              </w:rPr>
              <w:t>泄漏高度/m</w:t>
            </w:r>
          </w:p>
        </w:tc>
        <w:tc>
          <w:tcPr>
            <w:tcW w:w="700" w:type="pct"/>
            <w:gridSpan w:val="2"/>
            <w:vAlign w:val="center"/>
          </w:tcPr>
          <w:p w14:paraId="6458D845">
            <w:pPr>
              <w:pStyle w:val="557"/>
            </w:pPr>
            <w:r>
              <w:rPr>
                <w:rFonts w:hint="eastAsia"/>
              </w:rPr>
              <w:t>5</w:t>
            </w:r>
          </w:p>
        </w:tc>
        <w:tc>
          <w:tcPr>
            <w:tcW w:w="678" w:type="pct"/>
            <w:vAlign w:val="center"/>
          </w:tcPr>
          <w:p w14:paraId="3F6DC5AE">
            <w:pPr>
              <w:pStyle w:val="557"/>
            </w:pPr>
            <w:r>
              <w:rPr>
                <w:rFonts w:hint="eastAsia"/>
              </w:rPr>
              <w:t>泄漏孔径/mm</w:t>
            </w:r>
          </w:p>
        </w:tc>
        <w:tc>
          <w:tcPr>
            <w:tcW w:w="987" w:type="pct"/>
            <w:vAlign w:val="center"/>
          </w:tcPr>
          <w:p w14:paraId="71456C4A">
            <w:pPr>
              <w:pStyle w:val="557"/>
            </w:pPr>
            <w:r>
              <w:rPr>
                <w:rFonts w:hint="eastAsia"/>
              </w:rPr>
              <w:t>100</w:t>
            </w:r>
          </w:p>
        </w:tc>
      </w:tr>
      <w:tr w14:paraId="1FB3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37" w:type="pct"/>
            <w:gridSpan w:val="2"/>
            <w:vAlign w:val="center"/>
          </w:tcPr>
          <w:p w14:paraId="48F71612">
            <w:pPr>
              <w:pStyle w:val="557"/>
            </w:pPr>
            <w:r>
              <w:rPr>
                <w:rFonts w:hint="eastAsia"/>
              </w:rPr>
              <w:t>泄漏速率(kg/s)</w:t>
            </w:r>
          </w:p>
        </w:tc>
        <w:tc>
          <w:tcPr>
            <w:tcW w:w="721" w:type="pct"/>
            <w:vAlign w:val="center"/>
          </w:tcPr>
          <w:p w14:paraId="4A1679AB">
            <w:pPr>
              <w:pStyle w:val="557"/>
            </w:pPr>
            <w:r>
              <w:rPr>
                <w:rFonts w:hint="eastAsia"/>
              </w:rPr>
              <w:t>6.32</w:t>
            </w:r>
          </w:p>
        </w:tc>
        <w:tc>
          <w:tcPr>
            <w:tcW w:w="977" w:type="pct"/>
            <w:gridSpan w:val="2"/>
            <w:vAlign w:val="center"/>
          </w:tcPr>
          <w:p w14:paraId="5B4679C0">
            <w:pPr>
              <w:pStyle w:val="557"/>
            </w:pPr>
            <w:r>
              <w:rPr>
                <w:rFonts w:hint="eastAsia"/>
              </w:rPr>
              <w:t>蒸发速率(kg/s)</w:t>
            </w:r>
          </w:p>
        </w:tc>
        <w:tc>
          <w:tcPr>
            <w:tcW w:w="700" w:type="pct"/>
            <w:gridSpan w:val="2"/>
            <w:vAlign w:val="center"/>
          </w:tcPr>
          <w:p w14:paraId="39B9926B">
            <w:pPr>
              <w:pStyle w:val="557"/>
            </w:pPr>
            <w:r>
              <w:rPr>
                <w:rFonts w:hint="eastAsia"/>
              </w:rPr>
              <w:t>4.68</w:t>
            </w:r>
          </w:p>
        </w:tc>
        <w:tc>
          <w:tcPr>
            <w:tcW w:w="678" w:type="pct"/>
            <w:vAlign w:val="center"/>
          </w:tcPr>
          <w:p w14:paraId="1F32DA48">
            <w:pPr>
              <w:pStyle w:val="557"/>
            </w:pPr>
          </w:p>
        </w:tc>
        <w:tc>
          <w:tcPr>
            <w:tcW w:w="987" w:type="pct"/>
            <w:vAlign w:val="center"/>
          </w:tcPr>
          <w:p w14:paraId="7CECB39A">
            <w:pPr>
              <w:pStyle w:val="557"/>
            </w:pPr>
          </w:p>
        </w:tc>
      </w:tr>
      <w:tr w14:paraId="3958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9"/>
            <w:vAlign w:val="center"/>
          </w:tcPr>
          <w:p w14:paraId="31C6F95A">
            <w:pPr>
              <w:pStyle w:val="557"/>
            </w:pPr>
            <w:r>
              <w:rPr>
                <w:rFonts w:hint="eastAsia"/>
              </w:rPr>
              <w:t>事故后果预测</w:t>
            </w:r>
          </w:p>
        </w:tc>
      </w:tr>
      <w:tr w14:paraId="3932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restart"/>
            <w:vAlign w:val="center"/>
          </w:tcPr>
          <w:p w14:paraId="1B0CE068">
            <w:pPr>
              <w:pStyle w:val="557"/>
            </w:pPr>
            <w:r>
              <w:rPr>
                <w:rFonts w:hint="eastAsia"/>
              </w:rPr>
              <w:t>大气</w:t>
            </w:r>
          </w:p>
        </w:tc>
        <w:tc>
          <w:tcPr>
            <w:tcW w:w="596" w:type="pct"/>
            <w:vAlign w:val="center"/>
          </w:tcPr>
          <w:p w14:paraId="5809B039">
            <w:pPr>
              <w:pStyle w:val="557"/>
            </w:pPr>
            <w:r>
              <w:rPr>
                <w:rFonts w:hint="eastAsia"/>
              </w:rPr>
              <w:t>危险物质</w:t>
            </w:r>
          </w:p>
        </w:tc>
        <w:tc>
          <w:tcPr>
            <w:tcW w:w="4063" w:type="pct"/>
            <w:gridSpan w:val="7"/>
            <w:vAlign w:val="center"/>
          </w:tcPr>
          <w:p w14:paraId="06BA6EA0">
            <w:pPr>
              <w:pStyle w:val="557"/>
            </w:pPr>
            <w:r>
              <w:rPr>
                <w:rFonts w:hint="eastAsia"/>
              </w:rPr>
              <w:t>最不利气象条件下大气环境影响</w:t>
            </w:r>
          </w:p>
        </w:tc>
      </w:tr>
      <w:tr w14:paraId="5784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66B83CBF">
            <w:pPr>
              <w:pStyle w:val="557"/>
            </w:pPr>
          </w:p>
        </w:tc>
        <w:tc>
          <w:tcPr>
            <w:tcW w:w="596" w:type="pct"/>
            <w:vMerge w:val="restart"/>
            <w:vAlign w:val="center"/>
          </w:tcPr>
          <w:p w14:paraId="44FF48E6">
            <w:pPr>
              <w:pStyle w:val="557"/>
            </w:pPr>
            <w:r>
              <w:rPr>
                <w:rFonts w:hint="eastAsia"/>
              </w:rPr>
              <w:t>NH</w:t>
            </w:r>
            <w:r>
              <w:rPr>
                <w:rFonts w:hint="eastAsia"/>
                <w:vertAlign w:val="subscript"/>
              </w:rPr>
              <w:t>3</w:t>
            </w:r>
          </w:p>
        </w:tc>
        <w:tc>
          <w:tcPr>
            <w:tcW w:w="1196" w:type="pct"/>
            <w:gridSpan w:val="2"/>
            <w:vAlign w:val="center"/>
          </w:tcPr>
          <w:p w14:paraId="109C6D69">
            <w:pPr>
              <w:pStyle w:val="557"/>
            </w:pPr>
            <w:r>
              <w:rPr>
                <w:rFonts w:hint="eastAsia"/>
              </w:rPr>
              <w:t>指标</w:t>
            </w:r>
          </w:p>
        </w:tc>
        <w:tc>
          <w:tcPr>
            <w:tcW w:w="855" w:type="pct"/>
            <w:gridSpan w:val="2"/>
            <w:vAlign w:val="center"/>
          </w:tcPr>
          <w:p w14:paraId="5C1DFE0E">
            <w:pPr>
              <w:pStyle w:val="557"/>
            </w:pPr>
            <w:r>
              <w:rPr>
                <w:rFonts w:hint="eastAsia"/>
              </w:rPr>
              <w:t>浓度值/(mg/m</w:t>
            </w:r>
            <w:r>
              <w:rPr>
                <w:rFonts w:hint="eastAsia"/>
                <w:vertAlign w:val="superscript"/>
              </w:rPr>
              <w:t>3</w:t>
            </w:r>
            <w:r>
              <w:rPr>
                <w:rFonts w:hint="eastAsia"/>
              </w:rPr>
              <w:t>)</w:t>
            </w:r>
          </w:p>
        </w:tc>
        <w:tc>
          <w:tcPr>
            <w:tcW w:w="1025" w:type="pct"/>
            <w:gridSpan w:val="2"/>
            <w:vAlign w:val="center"/>
          </w:tcPr>
          <w:p w14:paraId="05A83FAC">
            <w:pPr>
              <w:pStyle w:val="557"/>
            </w:pPr>
            <w:r>
              <w:rPr>
                <w:rFonts w:hint="eastAsia"/>
              </w:rPr>
              <w:t>最远影响距离/m</w:t>
            </w:r>
          </w:p>
        </w:tc>
        <w:tc>
          <w:tcPr>
            <w:tcW w:w="987" w:type="pct"/>
            <w:vAlign w:val="center"/>
          </w:tcPr>
          <w:p w14:paraId="229F6222">
            <w:pPr>
              <w:pStyle w:val="557"/>
            </w:pPr>
            <w:r>
              <w:rPr>
                <w:rFonts w:hint="eastAsia"/>
              </w:rPr>
              <w:t>到达时间/min</w:t>
            </w:r>
          </w:p>
        </w:tc>
      </w:tr>
      <w:tr w14:paraId="458A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0F1AB27B">
            <w:pPr>
              <w:pStyle w:val="557"/>
            </w:pPr>
          </w:p>
        </w:tc>
        <w:tc>
          <w:tcPr>
            <w:tcW w:w="596" w:type="pct"/>
            <w:vMerge w:val="continue"/>
            <w:vAlign w:val="center"/>
          </w:tcPr>
          <w:p w14:paraId="0E3DDA66">
            <w:pPr>
              <w:pStyle w:val="557"/>
            </w:pPr>
          </w:p>
        </w:tc>
        <w:tc>
          <w:tcPr>
            <w:tcW w:w="1196" w:type="pct"/>
            <w:gridSpan w:val="2"/>
            <w:vAlign w:val="center"/>
          </w:tcPr>
          <w:p w14:paraId="75F039FE">
            <w:pPr>
              <w:pStyle w:val="557"/>
            </w:pPr>
            <w:r>
              <w:rPr>
                <w:rFonts w:hint="eastAsia"/>
              </w:rPr>
              <w:t>大气毒性终点浓度-1</w:t>
            </w:r>
          </w:p>
        </w:tc>
        <w:tc>
          <w:tcPr>
            <w:tcW w:w="855" w:type="pct"/>
            <w:gridSpan w:val="2"/>
            <w:vAlign w:val="center"/>
          </w:tcPr>
          <w:p w14:paraId="1BEDB54B">
            <w:pPr>
              <w:pStyle w:val="557"/>
            </w:pPr>
            <w:r>
              <w:t>770</w:t>
            </w:r>
          </w:p>
        </w:tc>
        <w:tc>
          <w:tcPr>
            <w:tcW w:w="1025" w:type="pct"/>
            <w:gridSpan w:val="2"/>
            <w:vAlign w:val="center"/>
          </w:tcPr>
          <w:p w14:paraId="0950C701">
            <w:pPr>
              <w:pStyle w:val="557"/>
            </w:pPr>
            <w:r>
              <w:rPr>
                <w:rFonts w:hint="eastAsia"/>
              </w:rPr>
              <w:t>1120</w:t>
            </w:r>
          </w:p>
        </w:tc>
        <w:tc>
          <w:tcPr>
            <w:tcW w:w="987" w:type="pct"/>
            <w:vAlign w:val="center"/>
          </w:tcPr>
          <w:p w14:paraId="7AEF3326">
            <w:pPr>
              <w:pStyle w:val="557"/>
            </w:pPr>
            <w:r>
              <w:rPr>
                <w:rFonts w:hint="eastAsia"/>
              </w:rPr>
              <w:t>15.44</w:t>
            </w:r>
          </w:p>
        </w:tc>
      </w:tr>
      <w:tr w14:paraId="08FB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5FBD35DF">
            <w:pPr>
              <w:pStyle w:val="557"/>
            </w:pPr>
          </w:p>
        </w:tc>
        <w:tc>
          <w:tcPr>
            <w:tcW w:w="596" w:type="pct"/>
            <w:vMerge w:val="continue"/>
            <w:vAlign w:val="center"/>
          </w:tcPr>
          <w:p w14:paraId="78C8A265">
            <w:pPr>
              <w:pStyle w:val="557"/>
            </w:pPr>
          </w:p>
        </w:tc>
        <w:tc>
          <w:tcPr>
            <w:tcW w:w="1196" w:type="pct"/>
            <w:gridSpan w:val="2"/>
            <w:vAlign w:val="center"/>
          </w:tcPr>
          <w:p w14:paraId="440AFC98">
            <w:pPr>
              <w:pStyle w:val="557"/>
            </w:pPr>
            <w:r>
              <w:rPr>
                <w:rFonts w:hint="eastAsia"/>
              </w:rPr>
              <w:t>指标</w:t>
            </w:r>
          </w:p>
        </w:tc>
        <w:tc>
          <w:tcPr>
            <w:tcW w:w="855" w:type="pct"/>
            <w:gridSpan w:val="2"/>
            <w:vAlign w:val="center"/>
          </w:tcPr>
          <w:p w14:paraId="74892F74">
            <w:pPr>
              <w:pStyle w:val="557"/>
            </w:pPr>
            <w:r>
              <w:rPr>
                <w:rFonts w:hint="eastAsia"/>
              </w:rPr>
              <w:t>浓度值/(mg/m</w:t>
            </w:r>
            <w:r>
              <w:rPr>
                <w:rFonts w:hint="eastAsia"/>
                <w:vertAlign w:val="superscript"/>
              </w:rPr>
              <w:t>3</w:t>
            </w:r>
            <w:r>
              <w:rPr>
                <w:rFonts w:hint="eastAsia"/>
              </w:rPr>
              <w:t>)</w:t>
            </w:r>
          </w:p>
        </w:tc>
        <w:tc>
          <w:tcPr>
            <w:tcW w:w="1025" w:type="pct"/>
            <w:gridSpan w:val="2"/>
            <w:vAlign w:val="center"/>
          </w:tcPr>
          <w:p w14:paraId="4DEE65FB">
            <w:pPr>
              <w:pStyle w:val="557"/>
            </w:pPr>
            <w:r>
              <w:rPr>
                <w:rFonts w:hint="eastAsia"/>
              </w:rPr>
              <w:t>最远影响距离/m</w:t>
            </w:r>
          </w:p>
        </w:tc>
        <w:tc>
          <w:tcPr>
            <w:tcW w:w="987" w:type="pct"/>
            <w:vAlign w:val="center"/>
          </w:tcPr>
          <w:p w14:paraId="4DCB3D4D">
            <w:pPr>
              <w:pStyle w:val="557"/>
            </w:pPr>
            <w:r>
              <w:rPr>
                <w:rFonts w:hint="eastAsia"/>
              </w:rPr>
              <w:t>到达时间/min</w:t>
            </w:r>
          </w:p>
        </w:tc>
      </w:tr>
      <w:tr w14:paraId="209B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377AE089">
            <w:pPr>
              <w:pStyle w:val="557"/>
            </w:pPr>
          </w:p>
        </w:tc>
        <w:tc>
          <w:tcPr>
            <w:tcW w:w="596" w:type="pct"/>
            <w:vMerge w:val="continue"/>
            <w:vAlign w:val="center"/>
          </w:tcPr>
          <w:p w14:paraId="0004AD4F">
            <w:pPr>
              <w:pStyle w:val="557"/>
            </w:pPr>
          </w:p>
        </w:tc>
        <w:tc>
          <w:tcPr>
            <w:tcW w:w="1196" w:type="pct"/>
            <w:gridSpan w:val="2"/>
            <w:vAlign w:val="center"/>
          </w:tcPr>
          <w:p w14:paraId="4E795264">
            <w:pPr>
              <w:pStyle w:val="557"/>
            </w:pPr>
            <w:r>
              <w:rPr>
                <w:rFonts w:hint="eastAsia"/>
              </w:rPr>
              <w:t>大气毒性终点浓度-2</w:t>
            </w:r>
          </w:p>
        </w:tc>
        <w:tc>
          <w:tcPr>
            <w:tcW w:w="855" w:type="pct"/>
            <w:gridSpan w:val="2"/>
            <w:vAlign w:val="center"/>
          </w:tcPr>
          <w:p w14:paraId="1F5AA3FE">
            <w:pPr>
              <w:pStyle w:val="557"/>
            </w:pPr>
            <w:r>
              <w:rPr>
                <w:rFonts w:hint="eastAsia"/>
              </w:rPr>
              <w:t>1</w:t>
            </w:r>
            <w:r>
              <w:t>10</w:t>
            </w:r>
          </w:p>
        </w:tc>
        <w:tc>
          <w:tcPr>
            <w:tcW w:w="1025" w:type="pct"/>
            <w:gridSpan w:val="2"/>
            <w:vAlign w:val="center"/>
          </w:tcPr>
          <w:p w14:paraId="73520A8E">
            <w:pPr>
              <w:pStyle w:val="557"/>
            </w:pPr>
            <w:r>
              <w:rPr>
                <w:rFonts w:hint="eastAsia"/>
              </w:rPr>
              <w:t>4540</w:t>
            </w:r>
          </w:p>
        </w:tc>
        <w:tc>
          <w:tcPr>
            <w:tcW w:w="987" w:type="pct"/>
            <w:vAlign w:val="center"/>
          </w:tcPr>
          <w:p w14:paraId="2D6BEE23">
            <w:pPr>
              <w:pStyle w:val="557"/>
            </w:pPr>
            <w:r>
              <w:rPr>
                <w:rFonts w:hint="eastAsia"/>
              </w:rPr>
              <w:t>55.44</w:t>
            </w:r>
          </w:p>
        </w:tc>
      </w:tr>
      <w:tr w14:paraId="1980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06D61C02">
            <w:pPr>
              <w:pStyle w:val="557"/>
            </w:pPr>
          </w:p>
        </w:tc>
        <w:tc>
          <w:tcPr>
            <w:tcW w:w="596" w:type="pct"/>
            <w:vMerge w:val="continue"/>
            <w:vAlign w:val="center"/>
          </w:tcPr>
          <w:p w14:paraId="5EFD3232">
            <w:pPr>
              <w:pStyle w:val="557"/>
            </w:pPr>
          </w:p>
        </w:tc>
        <w:tc>
          <w:tcPr>
            <w:tcW w:w="1196" w:type="pct"/>
            <w:gridSpan w:val="2"/>
            <w:vAlign w:val="center"/>
          </w:tcPr>
          <w:p w14:paraId="327B8E38">
            <w:pPr>
              <w:pStyle w:val="557"/>
            </w:pPr>
            <w:r>
              <w:rPr>
                <w:rFonts w:hint="eastAsia"/>
              </w:rPr>
              <w:t>敏感目标</w:t>
            </w:r>
          </w:p>
        </w:tc>
        <w:tc>
          <w:tcPr>
            <w:tcW w:w="855" w:type="pct"/>
            <w:gridSpan w:val="2"/>
            <w:vAlign w:val="center"/>
          </w:tcPr>
          <w:p w14:paraId="490BBCF4">
            <w:pPr>
              <w:pStyle w:val="557"/>
            </w:pPr>
            <w:r>
              <w:rPr>
                <w:rFonts w:hint="eastAsia"/>
              </w:rPr>
              <w:t>超标时间/min</w:t>
            </w:r>
          </w:p>
        </w:tc>
        <w:tc>
          <w:tcPr>
            <w:tcW w:w="1025" w:type="pct"/>
            <w:gridSpan w:val="2"/>
            <w:vAlign w:val="center"/>
          </w:tcPr>
          <w:p w14:paraId="625CC8D6">
            <w:pPr>
              <w:pStyle w:val="557"/>
            </w:pPr>
            <w:r>
              <w:rPr>
                <w:rFonts w:hint="eastAsia"/>
              </w:rPr>
              <w:t>超标持续时间/min</w:t>
            </w:r>
          </w:p>
        </w:tc>
        <w:tc>
          <w:tcPr>
            <w:tcW w:w="987" w:type="pct"/>
            <w:vAlign w:val="center"/>
          </w:tcPr>
          <w:p w14:paraId="1C919EAC">
            <w:pPr>
              <w:pStyle w:val="557"/>
            </w:pPr>
            <w:r>
              <w:rPr>
                <w:rFonts w:hint="eastAsia"/>
              </w:rPr>
              <w:t>最大浓度/(mg/m</w:t>
            </w:r>
            <w:r>
              <w:rPr>
                <w:rFonts w:hint="eastAsia"/>
                <w:vertAlign w:val="superscript"/>
              </w:rPr>
              <w:t>3</w:t>
            </w:r>
            <w:r>
              <w:rPr>
                <w:rFonts w:hint="eastAsia"/>
              </w:rPr>
              <w:t>)</w:t>
            </w:r>
          </w:p>
        </w:tc>
      </w:tr>
      <w:tr w14:paraId="29A0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03F6A5AF">
            <w:pPr>
              <w:pStyle w:val="557"/>
            </w:pPr>
          </w:p>
        </w:tc>
        <w:tc>
          <w:tcPr>
            <w:tcW w:w="596" w:type="pct"/>
            <w:vMerge w:val="continue"/>
            <w:vAlign w:val="center"/>
          </w:tcPr>
          <w:p w14:paraId="283EE386">
            <w:pPr>
              <w:pStyle w:val="557"/>
            </w:pPr>
          </w:p>
        </w:tc>
        <w:tc>
          <w:tcPr>
            <w:tcW w:w="1196" w:type="pct"/>
            <w:gridSpan w:val="2"/>
            <w:vAlign w:val="center"/>
          </w:tcPr>
          <w:p w14:paraId="0FAB40F5">
            <w:pPr>
              <w:pStyle w:val="557"/>
            </w:pPr>
            <w:r>
              <w:rPr>
                <w:rFonts w:hint="eastAsia"/>
              </w:rPr>
              <w:t>花园乡</w:t>
            </w:r>
          </w:p>
        </w:tc>
        <w:tc>
          <w:tcPr>
            <w:tcW w:w="855" w:type="pct"/>
            <w:gridSpan w:val="2"/>
            <w:vAlign w:val="center"/>
          </w:tcPr>
          <w:p w14:paraId="37E7B01A">
            <w:pPr>
              <w:pStyle w:val="557"/>
            </w:pPr>
            <w:r>
              <w:rPr>
                <w:rFonts w:hint="eastAsia"/>
              </w:rPr>
              <w:t>/</w:t>
            </w:r>
          </w:p>
        </w:tc>
        <w:tc>
          <w:tcPr>
            <w:tcW w:w="1025" w:type="pct"/>
            <w:gridSpan w:val="2"/>
            <w:vAlign w:val="center"/>
          </w:tcPr>
          <w:p w14:paraId="4E5B98A8">
            <w:pPr>
              <w:pStyle w:val="557"/>
            </w:pPr>
            <w:r>
              <w:rPr>
                <w:rFonts w:hint="eastAsia"/>
              </w:rPr>
              <w:t>/</w:t>
            </w:r>
          </w:p>
        </w:tc>
        <w:tc>
          <w:tcPr>
            <w:tcW w:w="987" w:type="pct"/>
            <w:vAlign w:val="center"/>
          </w:tcPr>
          <w:p w14:paraId="2AFC3C40">
            <w:pPr>
              <w:pStyle w:val="557"/>
            </w:pPr>
            <w:r>
              <w:rPr>
                <w:rFonts w:hint="eastAsia"/>
              </w:rPr>
              <w:t>/</w:t>
            </w:r>
          </w:p>
        </w:tc>
      </w:tr>
      <w:tr w14:paraId="5BA4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000D12CB">
            <w:pPr>
              <w:pStyle w:val="557"/>
            </w:pPr>
          </w:p>
        </w:tc>
        <w:tc>
          <w:tcPr>
            <w:tcW w:w="596" w:type="pct"/>
            <w:vMerge w:val="continue"/>
            <w:vAlign w:val="center"/>
          </w:tcPr>
          <w:p w14:paraId="1096B6DD">
            <w:pPr>
              <w:pStyle w:val="557"/>
            </w:pPr>
          </w:p>
        </w:tc>
        <w:tc>
          <w:tcPr>
            <w:tcW w:w="4063" w:type="pct"/>
            <w:gridSpan w:val="7"/>
            <w:vAlign w:val="center"/>
          </w:tcPr>
          <w:p w14:paraId="00F1E9D9">
            <w:pPr>
              <w:pStyle w:val="557"/>
            </w:pPr>
            <w:r>
              <w:rPr>
                <w:rFonts w:hint="eastAsia"/>
              </w:rPr>
              <w:t>最常见气象条件下大气环境影响</w:t>
            </w:r>
          </w:p>
        </w:tc>
      </w:tr>
      <w:tr w14:paraId="26F2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5D9AF70C">
            <w:pPr>
              <w:pStyle w:val="557"/>
            </w:pPr>
          </w:p>
        </w:tc>
        <w:tc>
          <w:tcPr>
            <w:tcW w:w="596" w:type="pct"/>
            <w:vMerge w:val="continue"/>
            <w:vAlign w:val="center"/>
          </w:tcPr>
          <w:p w14:paraId="1D04707C">
            <w:pPr>
              <w:pStyle w:val="557"/>
            </w:pPr>
          </w:p>
        </w:tc>
        <w:tc>
          <w:tcPr>
            <w:tcW w:w="1196" w:type="pct"/>
            <w:gridSpan w:val="2"/>
            <w:vAlign w:val="center"/>
          </w:tcPr>
          <w:p w14:paraId="4E5C18D1">
            <w:pPr>
              <w:pStyle w:val="557"/>
            </w:pPr>
            <w:r>
              <w:rPr>
                <w:rFonts w:hint="eastAsia"/>
              </w:rPr>
              <w:t>指标</w:t>
            </w:r>
          </w:p>
        </w:tc>
        <w:tc>
          <w:tcPr>
            <w:tcW w:w="855" w:type="pct"/>
            <w:gridSpan w:val="2"/>
            <w:vAlign w:val="center"/>
          </w:tcPr>
          <w:p w14:paraId="3E30E69D">
            <w:pPr>
              <w:pStyle w:val="557"/>
            </w:pPr>
            <w:r>
              <w:rPr>
                <w:rFonts w:hint="eastAsia"/>
              </w:rPr>
              <w:t>浓度值/(mg/m</w:t>
            </w:r>
            <w:r>
              <w:rPr>
                <w:rFonts w:hint="eastAsia"/>
                <w:vertAlign w:val="superscript"/>
              </w:rPr>
              <w:t>3</w:t>
            </w:r>
            <w:r>
              <w:rPr>
                <w:rFonts w:hint="eastAsia"/>
              </w:rPr>
              <w:t>)</w:t>
            </w:r>
          </w:p>
        </w:tc>
        <w:tc>
          <w:tcPr>
            <w:tcW w:w="1025" w:type="pct"/>
            <w:gridSpan w:val="2"/>
            <w:vAlign w:val="center"/>
          </w:tcPr>
          <w:p w14:paraId="750BE2F5">
            <w:pPr>
              <w:pStyle w:val="557"/>
            </w:pPr>
            <w:r>
              <w:rPr>
                <w:rFonts w:hint="eastAsia"/>
              </w:rPr>
              <w:t>最远影响距离/m</w:t>
            </w:r>
          </w:p>
        </w:tc>
        <w:tc>
          <w:tcPr>
            <w:tcW w:w="987" w:type="pct"/>
            <w:vAlign w:val="center"/>
          </w:tcPr>
          <w:p w14:paraId="640ECD9C">
            <w:pPr>
              <w:pStyle w:val="557"/>
            </w:pPr>
            <w:r>
              <w:rPr>
                <w:rFonts w:hint="eastAsia"/>
              </w:rPr>
              <w:t>到达时间/min</w:t>
            </w:r>
          </w:p>
        </w:tc>
      </w:tr>
      <w:tr w14:paraId="3BF8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4844F59B">
            <w:pPr>
              <w:pStyle w:val="557"/>
            </w:pPr>
          </w:p>
        </w:tc>
        <w:tc>
          <w:tcPr>
            <w:tcW w:w="596" w:type="pct"/>
            <w:vMerge w:val="continue"/>
            <w:vAlign w:val="center"/>
          </w:tcPr>
          <w:p w14:paraId="188F19CC">
            <w:pPr>
              <w:pStyle w:val="557"/>
            </w:pPr>
          </w:p>
        </w:tc>
        <w:tc>
          <w:tcPr>
            <w:tcW w:w="1196" w:type="pct"/>
            <w:gridSpan w:val="2"/>
            <w:vAlign w:val="center"/>
          </w:tcPr>
          <w:p w14:paraId="44DD5C75">
            <w:pPr>
              <w:pStyle w:val="557"/>
            </w:pPr>
            <w:r>
              <w:rPr>
                <w:rFonts w:hint="eastAsia"/>
              </w:rPr>
              <w:t>大气毒性终点浓度-1</w:t>
            </w:r>
          </w:p>
        </w:tc>
        <w:tc>
          <w:tcPr>
            <w:tcW w:w="855" w:type="pct"/>
            <w:gridSpan w:val="2"/>
            <w:vAlign w:val="center"/>
          </w:tcPr>
          <w:p w14:paraId="7B30DAED">
            <w:pPr>
              <w:pStyle w:val="557"/>
            </w:pPr>
            <w:r>
              <w:t>770</w:t>
            </w:r>
          </w:p>
        </w:tc>
        <w:tc>
          <w:tcPr>
            <w:tcW w:w="1025" w:type="pct"/>
            <w:gridSpan w:val="2"/>
            <w:vAlign w:val="center"/>
          </w:tcPr>
          <w:p w14:paraId="1C4BC1EB">
            <w:pPr>
              <w:pStyle w:val="557"/>
            </w:pPr>
            <w:r>
              <w:rPr>
                <w:rFonts w:hint="eastAsia"/>
              </w:rPr>
              <w:t>370</w:t>
            </w:r>
          </w:p>
        </w:tc>
        <w:tc>
          <w:tcPr>
            <w:tcW w:w="987" w:type="pct"/>
            <w:vAlign w:val="center"/>
          </w:tcPr>
          <w:p w14:paraId="215B05C0">
            <w:pPr>
              <w:pStyle w:val="557"/>
            </w:pPr>
            <w:r>
              <w:rPr>
                <w:rFonts w:hint="eastAsia"/>
              </w:rPr>
              <w:t>2.41</w:t>
            </w:r>
          </w:p>
        </w:tc>
      </w:tr>
      <w:tr w14:paraId="11A4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434C5650">
            <w:pPr>
              <w:pStyle w:val="557"/>
            </w:pPr>
          </w:p>
        </w:tc>
        <w:tc>
          <w:tcPr>
            <w:tcW w:w="596" w:type="pct"/>
            <w:vMerge w:val="continue"/>
            <w:vAlign w:val="center"/>
          </w:tcPr>
          <w:p w14:paraId="62982529">
            <w:pPr>
              <w:pStyle w:val="557"/>
            </w:pPr>
          </w:p>
        </w:tc>
        <w:tc>
          <w:tcPr>
            <w:tcW w:w="1196" w:type="pct"/>
            <w:gridSpan w:val="2"/>
            <w:vAlign w:val="center"/>
          </w:tcPr>
          <w:p w14:paraId="01D67788">
            <w:pPr>
              <w:pStyle w:val="557"/>
            </w:pPr>
            <w:r>
              <w:rPr>
                <w:rFonts w:hint="eastAsia"/>
              </w:rPr>
              <w:t>指标</w:t>
            </w:r>
          </w:p>
        </w:tc>
        <w:tc>
          <w:tcPr>
            <w:tcW w:w="855" w:type="pct"/>
            <w:gridSpan w:val="2"/>
            <w:vAlign w:val="center"/>
          </w:tcPr>
          <w:p w14:paraId="1BB44385">
            <w:pPr>
              <w:pStyle w:val="557"/>
            </w:pPr>
            <w:r>
              <w:rPr>
                <w:rFonts w:hint="eastAsia"/>
              </w:rPr>
              <w:t>浓度值/(mg/m</w:t>
            </w:r>
            <w:r>
              <w:rPr>
                <w:rFonts w:hint="eastAsia"/>
                <w:vertAlign w:val="superscript"/>
              </w:rPr>
              <w:t>3</w:t>
            </w:r>
            <w:r>
              <w:rPr>
                <w:rFonts w:hint="eastAsia"/>
              </w:rPr>
              <w:t>)</w:t>
            </w:r>
          </w:p>
        </w:tc>
        <w:tc>
          <w:tcPr>
            <w:tcW w:w="1025" w:type="pct"/>
            <w:gridSpan w:val="2"/>
            <w:vAlign w:val="center"/>
          </w:tcPr>
          <w:p w14:paraId="6D8F181D">
            <w:pPr>
              <w:pStyle w:val="557"/>
            </w:pPr>
            <w:r>
              <w:rPr>
                <w:rFonts w:hint="eastAsia"/>
              </w:rPr>
              <w:t>最远影响距离/m</w:t>
            </w:r>
          </w:p>
        </w:tc>
        <w:tc>
          <w:tcPr>
            <w:tcW w:w="987" w:type="pct"/>
            <w:vAlign w:val="center"/>
          </w:tcPr>
          <w:p w14:paraId="259CF65D">
            <w:pPr>
              <w:pStyle w:val="557"/>
            </w:pPr>
            <w:r>
              <w:rPr>
                <w:rFonts w:hint="eastAsia"/>
              </w:rPr>
              <w:t>到达时间/min</w:t>
            </w:r>
          </w:p>
        </w:tc>
      </w:tr>
      <w:tr w14:paraId="1BF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60B680A0">
            <w:pPr>
              <w:pStyle w:val="557"/>
            </w:pPr>
          </w:p>
        </w:tc>
        <w:tc>
          <w:tcPr>
            <w:tcW w:w="596" w:type="pct"/>
            <w:vMerge w:val="continue"/>
            <w:vAlign w:val="center"/>
          </w:tcPr>
          <w:p w14:paraId="547159CF">
            <w:pPr>
              <w:pStyle w:val="557"/>
            </w:pPr>
          </w:p>
        </w:tc>
        <w:tc>
          <w:tcPr>
            <w:tcW w:w="1196" w:type="pct"/>
            <w:gridSpan w:val="2"/>
            <w:vAlign w:val="center"/>
          </w:tcPr>
          <w:p w14:paraId="1B8F3251">
            <w:pPr>
              <w:pStyle w:val="557"/>
            </w:pPr>
            <w:r>
              <w:rPr>
                <w:rFonts w:hint="eastAsia"/>
              </w:rPr>
              <w:t>大气毒性终点浓度-2</w:t>
            </w:r>
          </w:p>
        </w:tc>
        <w:tc>
          <w:tcPr>
            <w:tcW w:w="855" w:type="pct"/>
            <w:gridSpan w:val="2"/>
            <w:vAlign w:val="center"/>
          </w:tcPr>
          <w:p w14:paraId="5F8A1847">
            <w:pPr>
              <w:pStyle w:val="557"/>
            </w:pPr>
            <w:r>
              <w:rPr>
                <w:rFonts w:hint="eastAsia"/>
              </w:rPr>
              <w:t>1</w:t>
            </w:r>
            <w:r>
              <w:t>10</w:t>
            </w:r>
          </w:p>
        </w:tc>
        <w:tc>
          <w:tcPr>
            <w:tcW w:w="1025" w:type="pct"/>
            <w:gridSpan w:val="2"/>
            <w:vAlign w:val="center"/>
          </w:tcPr>
          <w:p w14:paraId="4FD2473D">
            <w:pPr>
              <w:pStyle w:val="557"/>
            </w:pPr>
            <w:r>
              <w:rPr>
                <w:rFonts w:hint="eastAsia"/>
              </w:rPr>
              <w:t>1160</w:t>
            </w:r>
          </w:p>
        </w:tc>
        <w:tc>
          <w:tcPr>
            <w:tcW w:w="987" w:type="pct"/>
            <w:vAlign w:val="center"/>
          </w:tcPr>
          <w:p w14:paraId="5103DB22">
            <w:pPr>
              <w:pStyle w:val="557"/>
            </w:pPr>
            <w:r>
              <w:rPr>
                <w:rFonts w:hint="eastAsia"/>
              </w:rPr>
              <w:t>7.55</w:t>
            </w:r>
          </w:p>
        </w:tc>
      </w:tr>
      <w:tr w14:paraId="0917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72C27769">
            <w:pPr>
              <w:pStyle w:val="557"/>
            </w:pPr>
          </w:p>
        </w:tc>
        <w:tc>
          <w:tcPr>
            <w:tcW w:w="596" w:type="pct"/>
            <w:vMerge w:val="continue"/>
            <w:vAlign w:val="center"/>
          </w:tcPr>
          <w:p w14:paraId="296BF9AC">
            <w:pPr>
              <w:pStyle w:val="557"/>
            </w:pPr>
          </w:p>
        </w:tc>
        <w:tc>
          <w:tcPr>
            <w:tcW w:w="1196" w:type="pct"/>
            <w:gridSpan w:val="2"/>
            <w:vAlign w:val="center"/>
          </w:tcPr>
          <w:p w14:paraId="2E55FF25">
            <w:pPr>
              <w:pStyle w:val="557"/>
            </w:pPr>
            <w:r>
              <w:rPr>
                <w:rFonts w:hint="eastAsia"/>
              </w:rPr>
              <w:t>敏感目标</w:t>
            </w:r>
          </w:p>
        </w:tc>
        <w:tc>
          <w:tcPr>
            <w:tcW w:w="855" w:type="pct"/>
            <w:gridSpan w:val="2"/>
            <w:vAlign w:val="center"/>
          </w:tcPr>
          <w:p w14:paraId="342A091B">
            <w:pPr>
              <w:pStyle w:val="557"/>
            </w:pPr>
            <w:r>
              <w:rPr>
                <w:rFonts w:hint="eastAsia"/>
              </w:rPr>
              <w:t>超标时间/min</w:t>
            </w:r>
          </w:p>
        </w:tc>
        <w:tc>
          <w:tcPr>
            <w:tcW w:w="1025" w:type="pct"/>
            <w:gridSpan w:val="2"/>
            <w:vAlign w:val="center"/>
          </w:tcPr>
          <w:p w14:paraId="4BAC2268">
            <w:pPr>
              <w:pStyle w:val="557"/>
            </w:pPr>
            <w:r>
              <w:rPr>
                <w:rFonts w:hint="eastAsia"/>
              </w:rPr>
              <w:t>超标持续时间/min</w:t>
            </w:r>
          </w:p>
        </w:tc>
        <w:tc>
          <w:tcPr>
            <w:tcW w:w="987" w:type="pct"/>
            <w:vAlign w:val="center"/>
          </w:tcPr>
          <w:p w14:paraId="25B0C234">
            <w:pPr>
              <w:pStyle w:val="557"/>
            </w:pPr>
            <w:r>
              <w:rPr>
                <w:rFonts w:hint="eastAsia"/>
              </w:rPr>
              <w:t>最大浓度/(mg/m</w:t>
            </w:r>
            <w:r>
              <w:rPr>
                <w:rFonts w:hint="eastAsia"/>
                <w:vertAlign w:val="superscript"/>
              </w:rPr>
              <w:t>3</w:t>
            </w:r>
            <w:r>
              <w:rPr>
                <w:rFonts w:hint="eastAsia"/>
              </w:rPr>
              <w:t>)</w:t>
            </w:r>
          </w:p>
        </w:tc>
      </w:tr>
      <w:tr w14:paraId="39B7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1" w:type="pct"/>
            <w:vMerge w:val="continue"/>
            <w:vAlign w:val="center"/>
          </w:tcPr>
          <w:p w14:paraId="55E34A89">
            <w:pPr>
              <w:pStyle w:val="557"/>
            </w:pPr>
          </w:p>
        </w:tc>
        <w:tc>
          <w:tcPr>
            <w:tcW w:w="596" w:type="pct"/>
            <w:vMerge w:val="continue"/>
            <w:vAlign w:val="center"/>
          </w:tcPr>
          <w:p w14:paraId="0BAF5FA3">
            <w:pPr>
              <w:pStyle w:val="557"/>
            </w:pPr>
          </w:p>
        </w:tc>
        <w:tc>
          <w:tcPr>
            <w:tcW w:w="1196" w:type="pct"/>
            <w:gridSpan w:val="2"/>
            <w:vAlign w:val="center"/>
          </w:tcPr>
          <w:p w14:paraId="61F498F9">
            <w:pPr>
              <w:pStyle w:val="557"/>
            </w:pPr>
            <w:r>
              <w:rPr>
                <w:rFonts w:hint="eastAsia"/>
              </w:rPr>
              <w:t>花园乡</w:t>
            </w:r>
          </w:p>
        </w:tc>
        <w:tc>
          <w:tcPr>
            <w:tcW w:w="855" w:type="pct"/>
            <w:gridSpan w:val="2"/>
            <w:vAlign w:val="center"/>
          </w:tcPr>
          <w:p w14:paraId="7F9D8176">
            <w:pPr>
              <w:pStyle w:val="557"/>
            </w:pPr>
            <w:r>
              <w:rPr>
                <w:rFonts w:hint="eastAsia"/>
              </w:rPr>
              <w:t>/</w:t>
            </w:r>
          </w:p>
        </w:tc>
        <w:tc>
          <w:tcPr>
            <w:tcW w:w="1025" w:type="pct"/>
            <w:gridSpan w:val="2"/>
            <w:vAlign w:val="center"/>
          </w:tcPr>
          <w:p w14:paraId="587C997B">
            <w:pPr>
              <w:pStyle w:val="557"/>
            </w:pPr>
            <w:r>
              <w:rPr>
                <w:rFonts w:hint="eastAsia"/>
              </w:rPr>
              <w:t>/</w:t>
            </w:r>
          </w:p>
        </w:tc>
        <w:tc>
          <w:tcPr>
            <w:tcW w:w="987" w:type="pct"/>
            <w:vAlign w:val="center"/>
          </w:tcPr>
          <w:p w14:paraId="3F18E936">
            <w:pPr>
              <w:pStyle w:val="557"/>
            </w:pPr>
            <w:r>
              <w:rPr>
                <w:rFonts w:hint="eastAsia"/>
              </w:rPr>
              <w:t>/</w:t>
            </w:r>
          </w:p>
        </w:tc>
      </w:tr>
    </w:tbl>
    <w:p w14:paraId="53C8F007">
      <w:pPr>
        <w:pStyle w:val="557"/>
      </w:pPr>
    </w:p>
    <w:p w14:paraId="5EAD1ED9">
      <w:pPr>
        <w:pStyle w:val="535"/>
        <w:rPr>
          <w:rFonts w:hint="eastAsia"/>
          <w:color w:val="auto"/>
        </w:rPr>
      </w:pPr>
    </w:p>
    <w:p w14:paraId="328550A9">
      <w:pPr>
        <w:pStyle w:val="645"/>
        <w:rPr>
          <w:rFonts w:hint="eastAsia"/>
        </w:rPr>
      </w:pPr>
      <w:r>
        <w:rPr>
          <w:rFonts w:hint="eastAsia"/>
        </w:rPr>
        <w:t>图</w:t>
      </w:r>
      <w:r>
        <w:t>7.7.1-</w:t>
      </w:r>
      <w:r>
        <w:rPr>
          <w:rFonts w:hint="eastAsia"/>
        </w:rPr>
        <w:t>8</w:t>
      </w:r>
      <w:r>
        <w:t xml:space="preserve">   </w:t>
      </w:r>
      <w:r>
        <w:rPr>
          <w:rFonts w:hint="eastAsia"/>
        </w:rPr>
        <w:t xml:space="preserve"> 最不利气象条件下液氨储罐泄漏事故最大影响区域图</w:t>
      </w:r>
    </w:p>
    <w:p w14:paraId="3F743777">
      <w:pPr>
        <w:pStyle w:val="535"/>
        <w:rPr>
          <w:rFonts w:hint="eastAsia"/>
          <w:color w:val="auto"/>
        </w:rPr>
      </w:pPr>
    </w:p>
    <w:p w14:paraId="6880A26D">
      <w:pPr>
        <w:pStyle w:val="645"/>
        <w:rPr>
          <w:rFonts w:hint="eastAsia"/>
        </w:rPr>
      </w:pPr>
      <w:r>
        <w:rPr>
          <w:rFonts w:hint="eastAsia"/>
        </w:rPr>
        <w:t>图</w:t>
      </w:r>
      <w:r>
        <w:t>7.7.1-</w:t>
      </w:r>
      <w:r>
        <w:rPr>
          <w:rFonts w:hint="eastAsia"/>
        </w:rPr>
        <w:t>9</w:t>
      </w:r>
      <w:r>
        <w:t xml:space="preserve">   </w:t>
      </w:r>
      <w:r>
        <w:rPr>
          <w:rFonts w:hint="eastAsia"/>
        </w:rPr>
        <w:t xml:space="preserve"> 最常见气象条件下液氨储罐泄漏事故最大影响区域图</w:t>
      </w:r>
    </w:p>
    <w:p w14:paraId="29E41367">
      <w:pPr>
        <w:pStyle w:val="98"/>
        <w:rPr>
          <w:rFonts w:hint="eastAsia"/>
          <w:color w:val="auto"/>
        </w:rPr>
      </w:pPr>
      <w:r>
        <w:rPr>
          <w:rFonts w:hint="eastAsia"/>
          <w:color w:val="auto"/>
        </w:rPr>
        <w:t>甲醇泄漏事故预测结果</w:t>
      </w:r>
    </w:p>
    <w:p w14:paraId="2DC92E29">
      <w:pPr>
        <w:pStyle w:val="281"/>
        <w:ind w:firstLine="480"/>
        <w:rPr>
          <w:rFonts w:hint="eastAsia" w:ascii="宋体" w:hAnsi="宋体"/>
        </w:rPr>
      </w:pPr>
      <w:r>
        <w:rPr>
          <w:rFonts w:hint="eastAsia" w:ascii="宋体" w:hAnsi="宋体"/>
        </w:rPr>
        <w:t>根据预测方案，</w:t>
      </w:r>
      <w:r>
        <w:rPr>
          <w:rFonts w:hint="eastAsia"/>
        </w:rPr>
        <w:t>甲醇</w:t>
      </w:r>
      <w:r>
        <w:rPr>
          <w:rFonts w:hint="eastAsia" w:ascii="宋体" w:hAnsi="宋体"/>
        </w:rPr>
        <w:t>泄漏风险事故预测结果见下表。</w:t>
      </w:r>
    </w:p>
    <w:p w14:paraId="19FCA946">
      <w:pPr>
        <w:pStyle w:val="535"/>
        <w:rPr>
          <w:rFonts w:hint="eastAsia"/>
          <w:bCs/>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-3</w:t>
      </w:r>
      <w:r>
        <w:rPr>
          <w:rFonts w:eastAsia="宋体"/>
          <w:color w:val="auto"/>
        </w:rPr>
        <w:t xml:space="preserve">   </w:t>
      </w:r>
      <w:r>
        <w:rPr>
          <w:rFonts w:hint="eastAsia"/>
          <w:color w:val="auto"/>
        </w:rPr>
        <w:t>甲醇</w:t>
      </w:r>
      <w:r>
        <w:rPr>
          <w:rFonts w:hint="eastAsia"/>
          <w:bCs/>
          <w:color w:val="auto"/>
        </w:rPr>
        <w:t>泄漏源项和事故后果基本信息表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992"/>
        <w:gridCol w:w="278"/>
        <w:gridCol w:w="1067"/>
        <w:gridCol w:w="634"/>
        <w:gridCol w:w="1069"/>
        <w:gridCol w:w="486"/>
        <w:gridCol w:w="631"/>
        <w:gridCol w:w="1149"/>
        <w:gridCol w:w="273"/>
        <w:gridCol w:w="1411"/>
      </w:tblGrid>
      <w:tr w14:paraId="6ADB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0CF695C2">
            <w:pPr>
              <w:pStyle w:val="557"/>
            </w:pPr>
            <w:r>
              <w:rPr>
                <w:rFonts w:hint="eastAsia"/>
              </w:rPr>
              <w:t>风险事故</w:t>
            </w:r>
            <w:r>
              <w:t>情形分析</w:t>
            </w:r>
          </w:p>
        </w:tc>
      </w:tr>
      <w:tr w14:paraId="4FB6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13A7B440">
            <w:pPr>
              <w:pStyle w:val="557"/>
            </w:pPr>
            <w:r>
              <w:rPr>
                <w:rFonts w:hint="eastAsia"/>
              </w:rPr>
              <w:t>代表性风险事故情形描述</w:t>
            </w:r>
          </w:p>
        </w:tc>
        <w:tc>
          <w:tcPr>
            <w:tcW w:w="3942" w:type="pct"/>
            <w:gridSpan w:val="8"/>
            <w:vAlign w:val="center"/>
          </w:tcPr>
          <w:p w14:paraId="23BAC8CE">
            <w:pPr>
              <w:pStyle w:val="557"/>
            </w:pPr>
            <w:r>
              <w:rPr>
                <w:rFonts w:hint="eastAsia"/>
              </w:rPr>
              <w:t>甲醇缓冲罐</w:t>
            </w:r>
            <w:r>
              <w:t>泄漏扩散</w:t>
            </w:r>
          </w:p>
        </w:tc>
      </w:tr>
      <w:tr w14:paraId="0EEE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1CE500DE">
            <w:pPr>
              <w:pStyle w:val="557"/>
            </w:pPr>
            <w:r>
              <w:rPr>
                <w:rFonts w:hint="eastAsia"/>
              </w:rPr>
              <w:t>环境</w:t>
            </w:r>
            <w:r>
              <w:t>风险</w:t>
            </w:r>
            <w:r>
              <w:rPr>
                <w:rFonts w:hint="eastAsia"/>
              </w:rPr>
              <w:t>类型</w:t>
            </w:r>
          </w:p>
        </w:tc>
        <w:tc>
          <w:tcPr>
            <w:tcW w:w="3942" w:type="pct"/>
            <w:gridSpan w:val="8"/>
            <w:vAlign w:val="center"/>
          </w:tcPr>
          <w:p w14:paraId="185EFBCC">
            <w:pPr>
              <w:pStyle w:val="557"/>
            </w:pPr>
            <w:r>
              <w:rPr>
                <w:rFonts w:hint="eastAsia"/>
              </w:rPr>
              <w:t>泄漏</w:t>
            </w:r>
          </w:p>
        </w:tc>
      </w:tr>
      <w:tr w14:paraId="36A8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70EF42A3">
            <w:pPr>
              <w:pStyle w:val="557"/>
            </w:pPr>
            <w:r>
              <w:rPr>
                <w:rFonts w:hint="eastAsia"/>
              </w:rPr>
              <w:t>泄漏设备类型</w:t>
            </w:r>
          </w:p>
        </w:tc>
        <w:tc>
          <w:tcPr>
            <w:tcW w:w="626" w:type="pct"/>
            <w:vAlign w:val="center"/>
          </w:tcPr>
          <w:p w14:paraId="25DC6E2A">
            <w:pPr>
              <w:pStyle w:val="557"/>
            </w:pPr>
            <w:r>
              <w:rPr>
                <w:rFonts w:hint="eastAsia"/>
              </w:rPr>
              <w:t>储罐</w:t>
            </w:r>
          </w:p>
        </w:tc>
        <w:tc>
          <w:tcPr>
            <w:tcW w:w="999" w:type="pct"/>
            <w:gridSpan w:val="2"/>
            <w:vAlign w:val="center"/>
          </w:tcPr>
          <w:p w14:paraId="147AF9FB">
            <w:pPr>
              <w:pStyle w:val="557"/>
            </w:pPr>
            <w:r>
              <w:rPr>
                <w:rFonts w:hint="eastAsia"/>
              </w:rPr>
              <w:t>操作温度/℃</w:t>
            </w:r>
          </w:p>
        </w:tc>
        <w:tc>
          <w:tcPr>
            <w:tcW w:w="655" w:type="pct"/>
            <w:gridSpan w:val="2"/>
            <w:vAlign w:val="center"/>
          </w:tcPr>
          <w:p w14:paraId="4CD4D8EA">
            <w:pPr>
              <w:pStyle w:val="557"/>
            </w:pPr>
            <w:r>
              <w:rPr>
                <w:rFonts w:hint="eastAsia"/>
              </w:rPr>
              <w:t>常温</w:t>
            </w:r>
          </w:p>
        </w:tc>
        <w:tc>
          <w:tcPr>
            <w:tcW w:w="834" w:type="pct"/>
            <w:gridSpan w:val="2"/>
            <w:vAlign w:val="center"/>
          </w:tcPr>
          <w:p w14:paraId="1C9274D5">
            <w:pPr>
              <w:pStyle w:val="557"/>
            </w:pPr>
            <w:r>
              <w:rPr>
                <w:rFonts w:hint="eastAsia"/>
              </w:rPr>
              <w:t>操作压力/MPa</w:t>
            </w:r>
          </w:p>
        </w:tc>
        <w:tc>
          <w:tcPr>
            <w:tcW w:w="828" w:type="pct"/>
            <w:vAlign w:val="center"/>
          </w:tcPr>
          <w:p w14:paraId="3998D177">
            <w:pPr>
              <w:pStyle w:val="557"/>
            </w:pPr>
            <w:r>
              <w:rPr>
                <w:rFonts w:hint="eastAsia"/>
              </w:rPr>
              <w:t>常温</w:t>
            </w:r>
          </w:p>
        </w:tc>
      </w:tr>
      <w:tr w14:paraId="4099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7EA8E280">
            <w:pPr>
              <w:pStyle w:val="557"/>
            </w:pPr>
            <w:r>
              <w:rPr>
                <w:rFonts w:hint="eastAsia"/>
              </w:rPr>
              <w:t>泄漏速率(kg/s)</w:t>
            </w:r>
          </w:p>
        </w:tc>
        <w:tc>
          <w:tcPr>
            <w:tcW w:w="626" w:type="pct"/>
            <w:vAlign w:val="center"/>
          </w:tcPr>
          <w:p w14:paraId="3006396B">
            <w:pPr>
              <w:pStyle w:val="557"/>
            </w:pPr>
            <w:r>
              <w:rPr>
                <w:rFonts w:hint="eastAsia"/>
              </w:rPr>
              <w:t>17.89</w:t>
            </w:r>
          </w:p>
        </w:tc>
        <w:tc>
          <w:tcPr>
            <w:tcW w:w="999" w:type="pct"/>
            <w:gridSpan w:val="2"/>
            <w:vAlign w:val="center"/>
          </w:tcPr>
          <w:p w14:paraId="79D58D84">
            <w:pPr>
              <w:pStyle w:val="557"/>
            </w:pPr>
            <w:r>
              <w:rPr>
                <w:rFonts w:hint="eastAsia"/>
              </w:rPr>
              <w:t>蒸发速率(kg/s)</w:t>
            </w:r>
          </w:p>
        </w:tc>
        <w:tc>
          <w:tcPr>
            <w:tcW w:w="655" w:type="pct"/>
            <w:gridSpan w:val="2"/>
            <w:vAlign w:val="center"/>
          </w:tcPr>
          <w:p w14:paraId="10A30461">
            <w:pPr>
              <w:pStyle w:val="557"/>
            </w:pPr>
            <w:r>
              <w:rPr>
                <w:rFonts w:hint="eastAsia"/>
              </w:rPr>
              <w:t>6.58</w:t>
            </w:r>
          </w:p>
        </w:tc>
        <w:tc>
          <w:tcPr>
            <w:tcW w:w="834" w:type="pct"/>
            <w:gridSpan w:val="2"/>
            <w:vAlign w:val="center"/>
          </w:tcPr>
          <w:p w14:paraId="58EBC7CA">
            <w:pPr>
              <w:pStyle w:val="557"/>
            </w:pPr>
          </w:p>
        </w:tc>
        <w:tc>
          <w:tcPr>
            <w:tcW w:w="828" w:type="pct"/>
            <w:vAlign w:val="center"/>
          </w:tcPr>
          <w:p w14:paraId="685C8651">
            <w:pPr>
              <w:pStyle w:val="557"/>
            </w:pPr>
          </w:p>
        </w:tc>
      </w:tr>
      <w:tr w14:paraId="20BC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677C25A0">
            <w:pPr>
              <w:pStyle w:val="557"/>
            </w:pPr>
            <w:r>
              <w:rPr>
                <w:rFonts w:hint="eastAsia"/>
              </w:rPr>
              <w:t>事故后果预测</w:t>
            </w:r>
          </w:p>
        </w:tc>
      </w:tr>
      <w:tr w14:paraId="1FC5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restart"/>
            <w:vAlign w:val="center"/>
          </w:tcPr>
          <w:p w14:paraId="73BF719B">
            <w:pPr>
              <w:pStyle w:val="557"/>
            </w:pPr>
            <w:r>
              <w:rPr>
                <w:rFonts w:hint="eastAsia"/>
              </w:rPr>
              <w:t>大气</w:t>
            </w:r>
          </w:p>
        </w:tc>
        <w:tc>
          <w:tcPr>
            <w:tcW w:w="582" w:type="pct"/>
            <w:vAlign w:val="center"/>
          </w:tcPr>
          <w:p w14:paraId="127629B1">
            <w:pPr>
              <w:pStyle w:val="557"/>
            </w:pPr>
            <w:r>
              <w:rPr>
                <w:rFonts w:hint="eastAsia"/>
              </w:rPr>
              <w:t>危险物质</w:t>
            </w:r>
          </w:p>
        </w:tc>
        <w:tc>
          <w:tcPr>
            <w:tcW w:w="4104" w:type="pct"/>
            <w:gridSpan w:val="9"/>
            <w:vAlign w:val="center"/>
          </w:tcPr>
          <w:p w14:paraId="5A2A31CF">
            <w:pPr>
              <w:pStyle w:val="557"/>
            </w:pPr>
            <w:r>
              <w:rPr>
                <w:rFonts w:hint="eastAsia"/>
              </w:rPr>
              <w:t>最不利气象条件下大气</w:t>
            </w:r>
            <w:r>
              <w:t>环境影响</w:t>
            </w:r>
          </w:p>
        </w:tc>
      </w:tr>
      <w:tr w14:paraId="3569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7CF5B258">
            <w:pPr>
              <w:pStyle w:val="557"/>
            </w:pPr>
          </w:p>
        </w:tc>
        <w:tc>
          <w:tcPr>
            <w:tcW w:w="582" w:type="pct"/>
            <w:vMerge w:val="restart"/>
            <w:vAlign w:val="center"/>
          </w:tcPr>
          <w:p w14:paraId="78C7E0FD">
            <w:pPr>
              <w:pStyle w:val="557"/>
            </w:pPr>
            <w:r>
              <w:rPr>
                <w:rFonts w:hint="eastAsia"/>
              </w:rPr>
              <w:t>甲醇</w:t>
            </w:r>
          </w:p>
        </w:tc>
        <w:tc>
          <w:tcPr>
            <w:tcW w:w="1161" w:type="pct"/>
            <w:gridSpan w:val="3"/>
            <w:vAlign w:val="center"/>
          </w:tcPr>
          <w:p w14:paraId="270F300A">
            <w:pPr>
              <w:pStyle w:val="557"/>
            </w:pPr>
            <w:r>
              <w:rPr>
                <w:rFonts w:hint="eastAsia"/>
              </w:rPr>
              <w:t>指标</w:t>
            </w:r>
          </w:p>
        </w:tc>
        <w:tc>
          <w:tcPr>
            <w:tcW w:w="912" w:type="pct"/>
            <w:gridSpan w:val="2"/>
            <w:vAlign w:val="center"/>
          </w:tcPr>
          <w:p w14:paraId="0CB2B94A">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3F7B1490">
            <w:pPr>
              <w:pStyle w:val="557"/>
            </w:pPr>
            <w:r>
              <w:rPr>
                <w:rFonts w:hint="eastAsia"/>
              </w:rPr>
              <w:t>最远影响距离/m</w:t>
            </w:r>
          </w:p>
        </w:tc>
        <w:tc>
          <w:tcPr>
            <w:tcW w:w="988" w:type="pct"/>
            <w:gridSpan w:val="2"/>
            <w:vAlign w:val="center"/>
          </w:tcPr>
          <w:p w14:paraId="6FD0B97E">
            <w:pPr>
              <w:pStyle w:val="557"/>
            </w:pPr>
            <w:r>
              <w:rPr>
                <w:rFonts w:hint="eastAsia"/>
              </w:rPr>
              <w:t>到达时间/min</w:t>
            </w:r>
          </w:p>
        </w:tc>
      </w:tr>
      <w:tr w14:paraId="69D2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1944C1C8">
            <w:pPr>
              <w:pStyle w:val="557"/>
            </w:pPr>
          </w:p>
        </w:tc>
        <w:tc>
          <w:tcPr>
            <w:tcW w:w="582" w:type="pct"/>
            <w:vMerge w:val="continue"/>
            <w:vAlign w:val="center"/>
          </w:tcPr>
          <w:p w14:paraId="7DCAE23B">
            <w:pPr>
              <w:pStyle w:val="557"/>
            </w:pPr>
          </w:p>
        </w:tc>
        <w:tc>
          <w:tcPr>
            <w:tcW w:w="1161" w:type="pct"/>
            <w:gridSpan w:val="3"/>
            <w:vAlign w:val="center"/>
          </w:tcPr>
          <w:p w14:paraId="6B55E3B2">
            <w:pPr>
              <w:pStyle w:val="557"/>
            </w:pPr>
            <w:r>
              <w:rPr>
                <w:rFonts w:hint="eastAsia"/>
              </w:rPr>
              <w:t>大气毒性终点浓度-1</w:t>
            </w:r>
          </w:p>
        </w:tc>
        <w:tc>
          <w:tcPr>
            <w:tcW w:w="912" w:type="pct"/>
            <w:gridSpan w:val="2"/>
            <w:vAlign w:val="center"/>
          </w:tcPr>
          <w:p w14:paraId="590D2404">
            <w:pPr>
              <w:pStyle w:val="557"/>
            </w:pPr>
            <w:r>
              <w:rPr>
                <w:rFonts w:hint="eastAsia"/>
              </w:rPr>
              <w:t>9400</w:t>
            </w:r>
          </w:p>
        </w:tc>
        <w:tc>
          <w:tcPr>
            <w:tcW w:w="2032" w:type="pct"/>
            <w:gridSpan w:val="4"/>
            <w:vAlign w:val="center"/>
          </w:tcPr>
          <w:p w14:paraId="682B8D22">
            <w:pPr>
              <w:pStyle w:val="557"/>
            </w:pPr>
            <w:r>
              <w:rPr>
                <w:rFonts w:hint="eastAsia"/>
              </w:rPr>
              <w:t>此阈值及以上，无对应位置，因计算浓度均小于此阈值</w:t>
            </w:r>
          </w:p>
        </w:tc>
      </w:tr>
      <w:tr w14:paraId="35F3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44D693B">
            <w:pPr>
              <w:pStyle w:val="557"/>
            </w:pPr>
          </w:p>
        </w:tc>
        <w:tc>
          <w:tcPr>
            <w:tcW w:w="582" w:type="pct"/>
            <w:vMerge w:val="continue"/>
            <w:vAlign w:val="center"/>
          </w:tcPr>
          <w:p w14:paraId="68CAE7E1">
            <w:pPr>
              <w:pStyle w:val="557"/>
            </w:pPr>
          </w:p>
        </w:tc>
        <w:tc>
          <w:tcPr>
            <w:tcW w:w="1161" w:type="pct"/>
            <w:gridSpan w:val="3"/>
            <w:vAlign w:val="center"/>
          </w:tcPr>
          <w:p w14:paraId="4B2E8EB6">
            <w:pPr>
              <w:pStyle w:val="557"/>
            </w:pPr>
            <w:r>
              <w:rPr>
                <w:rFonts w:hint="eastAsia"/>
              </w:rPr>
              <w:t>指标</w:t>
            </w:r>
          </w:p>
        </w:tc>
        <w:tc>
          <w:tcPr>
            <w:tcW w:w="912" w:type="pct"/>
            <w:gridSpan w:val="2"/>
            <w:vAlign w:val="center"/>
          </w:tcPr>
          <w:p w14:paraId="5425AC24">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4449BA9E">
            <w:pPr>
              <w:pStyle w:val="557"/>
            </w:pPr>
            <w:r>
              <w:rPr>
                <w:rFonts w:hint="eastAsia"/>
              </w:rPr>
              <w:t>最远影响距离/m</w:t>
            </w:r>
          </w:p>
        </w:tc>
        <w:tc>
          <w:tcPr>
            <w:tcW w:w="988" w:type="pct"/>
            <w:gridSpan w:val="2"/>
            <w:vAlign w:val="center"/>
          </w:tcPr>
          <w:p w14:paraId="5B891B8F">
            <w:pPr>
              <w:pStyle w:val="557"/>
            </w:pPr>
            <w:r>
              <w:rPr>
                <w:rFonts w:hint="eastAsia"/>
              </w:rPr>
              <w:t>到达时间/min</w:t>
            </w:r>
          </w:p>
        </w:tc>
      </w:tr>
      <w:tr w14:paraId="255F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C253961">
            <w:pPr>
              <w:pStyle w:val="557"/>
            </w:pPr>
          </w:p>
        </w:tc>
        <w:tc>
          <w:tcPr>
            <w:tcW w:w="582" w:type="pct"/>
            <w:vMerge w:val="continue"/>
            <w:vAlign w:val="center"/>
          </w:tcPr>
          <w:p w14:paraId="4B171814">
            <w:pPr>
              <w:pStyle w:val="557"/>
            </w:pPr>
          </w:p>
        </w:tc>
        <w:tc>
          <w:tcPr>
            <w:tcW w:w="1161" w:type="pct"/>
            <w:gridSpan w:val="3"/>
            <w:vAlign w:val="center"/>
          </w:tcPr>
          <w:p w14:paraId="500388F0">
            <w:pPr>
              <w:pStyle w:val="557"/>
            </w:pPr>
            <w:r>
              <w:rPr>
                <w:rFonts w:hint="eastAsia"/>
              </w:rPr>
              <w:t>大气毒性终点浓度-2</w:t>
            </w:r>
          </w:p>
        </w:tc>
        <w:tc>
          <w:tcPr>
            <w:tcW w:w="912" w:type="pct"/>
            <w:gridSpan w:val="2"/>
            <w:vAlign w:val="center"/>
          </w:tcPr>
          <w:p w14:paraId="32A93894">
            <w:pPr>
              <w:pStyle w:val="557"/>
            </w:pPr>
            <w:r>
              <w:rPr>
                <w:rFonts w:hint="eastAsia"/>
              </w:rPr>
              <w:t>2700</w:t>
            </w:r>
          </w:p>
        </w:tc>
        <w:tc>
          <w:tcPr>
            <w:tcW w:w="2032" w:type="pct"/>
            <w:gridSpan w:val="4"/>
            <w:vAlign w:val="center"/>
          </w:tcPr>
          <w:p w14:paraId="20EC53FE">
            <w:pPr>
              <w:pStyle w:val="557"/>
            </w:pPr>
            <w:r>
              <w:rPr>
                <w:rFonts w:hint="eastAsia"/>
              </w:rPr>
              <w:t>此阈值及以上，无对应位置，因计算浓度均小于此阈值</w:t>
            </w:r>
          </w:p>
        </w:tc>
      </w:tr>
      <w:tr w14:paraId="5507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903EF85">
            <w:pPr>
              <w:pStyle w:val="557"/>
            </w:pPr>
          </w:p>
        </w:tc>
        <w:tc>
          <w:tcPr>
            <w:tcW w:w="582" w:type="pct"/>
            <w:vMerge w:val="continue"/>
            <w:vAlign w:val="center"/>
          </w:tcPr>
          <w:p w14:paraId="3708A233">
            <w:pPr>
              <w:pStyle w:val="557"/>
            </w:pPr>
          </w:p>
        </w:tc>
        <w:tc>
          <w:tcPr>
            <w:tcW w:w="1161" w:type="pct"/>
            <w:gridSpan w:val="3"/>
            <w:vAlign w:val="center"/>
          </w:tcPr>
          <w:p w14:paraId="6143530B">
            <w:pPr>
              <w:pStyle w:val="557"/>
            </w:pPr>
            <w:r>
              <w:rPr>
                <w:rFonts w:hint="eastAsia"/>
              </w:rPr>
              <w:t>敏感目标</w:t>
            </w:r>
          </w:p>
        </w:tc>
        <w:tc>
          <w:tcPr>
            <w:tcW w:w="912" w:type="pct"/>
            <w:gridSpan w:val="2"/>
            <w:vAlign w:val="center"/>
          </w:tcPr>
          <w:p w14:paraId="6ED5C900">
            <w:pPr>
              <w:pStyle w:val="557"/>
            </w:pPr>
            <w:r>
              <w:rPr>
                <w:rFonts w:hint="eastAsia"/>
              </w:rPr>
              <w:t>超标时间/min</w:t>
            </w:r>
          </w:p>
        </w:tc>
        <w:tc>
          <w:tcPr>
            <w:tcW w:w="1044" w:type="pct"/>
            <w:gridSpan w:val="2"/>
            <w:vAlign w:val="center"/>
          </w:tcPr>
          <w:p w14:paraId="1A8CF672">
            <w:pPr>
              <w:pStyle w:val="557"/>
            </w:pPr>
            <w:r>
              <w:rPr>
                <w:rFonts w:hint="eastAsia"/>
              </w:rPr>
              <w:t>超标持续时间/min</w:t>
            </w:r>
          </w:p>
        </w:tc>
        <w:tc>
          <w:tcPr>
            <w:tcW w:w="988" w:type="pct"/>
            <w:gridSpan w:val="2"/>
            <w:vAlign w:val="center"/>
          </w:tcPr>
          <w:p w14:paraId="2CD72731">
            <w:pPr>
              <w:pStyle w:val="557"/>
            </w:pPr>
            <w:r>
              <w:rPr>
                <w:rFonts w:hint="eastAsia"/>
              </w:rPr>
              <w:t>最大浓度/(mg/m</w:t>
            </w:r>
            <w:r>
              <w:rPr>
                <w:rFonts w:hint="eastAsia"/>
                <w:vertAlign w:val="superscript"/>
              </w:rPr>
              <w:t>3</w:t>
            </w:r>
            <w:r>
              <w:rPr>
                <w:rFonts w:hint="eastAsia"/>
              </w:rPr>
              <w:t>)</w:t>
            </w:r>
          </w:p>
        </w:tc>
      </w:tr>
      <w:tr w14:paraId="2CE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13AE1175">
            <w:pPr>
              <w:pStyle w:val="557"/>
            </w:pPr>
          </w:p>
        </w:tc>
        <w:tc>
          <w:tcPr>
            <w:tcW w:w="582" w:type="pct"/>
            <w:vMerge w:val="continue"/>
            <w:vAlign w:val="center"/>
          </w:tcPr>
          <w:p w14:paraId="17E05EDE">
            <w:pPr>
              <w:pStyle w:val="557"/>
            </w:pPr>
          </w:p>
        </w:tc>
        <w:tc>
          <w:tcPr>
            <w:tcW w:w="1161" w:type="pct"/>
            <w:gridSpan w:val="3"/>
            <w:vAlign w:val="center"/>
          </w:tcPr>
          <w:p w14:paraId="15A42851">
            <w:pPr>
              <w:pStyle w:val="557"/>
            </w:pPr>
            <w:r>
              <w:rPr>
                <w:rFonts w:hint="eastAsia"/>
              </w:rPr>
              <w:t>花园乡</w:t>
            </w:r>
          </w:p>
        </w:tc>
        <w:tc>
          <w:tcPr>
            <w:tcW w:w="912" w:type="pct"/>
            <w:gridSpan w:val="2"/>
            <w:vAlign w:val="center"/>
          </w:tcPr>
          <w:p w14:paraId="55AB71B5">
            <w:pPr>
              <w:pStyle w:val="557"/>
            </w:pPr>
            <w:r>
              <w:rPr>
                <w:rFonts w:hint="eastAsia"/>
              </w:rPr>
              <w:t>/</w:t>
            </w:r>
          </w:p>
        </w:tc>
        <w:tc>
          <w:tcPr>
            <w:tcW w:w="1044" w:type="pct"/>
            <w:gridSpan w:val="2"/>
            <w:vAlign w:val="center"/>
          </w:tcPr>
          <w:p w14:paraId="2D361521">
            <w:pPr>
              <w:pStyle w:val="557"/>
            </w:pPr>
            <w:r>
              <w:rPr>
                <w:rFonts w:hint="eastAsia"/>
              </w:rPr>
              <w:t>/</w:t>
            </w:r>
          </w:p>
        </w:tc>
        <w:tc>
          <w:tcPr>
            <w:tcW w:w="988" w:type="pct"/>
            <w:gridSpan w:val="2"/>
            <w:vAlign w:val="center"/>
          </w:tcPr>
          <w:p w14:paraId="0ED56DCE">
            <w:pPr>
              <w:pStyle w:val="557"/>
            </w:pPr>
            <w:r>
              <w:rPr>
                <w:rFonts w:hint="eastAsia"/>
              </w:rPr>
              <w:t>/</w:t>
            </w:r>
          </w:p>
        </w:tc>
      </w:tr>
      <w:tr w14:paraId="4E29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7C7EE3E7">
            <w:pPr>
              <w:pStyle w:val="557"/>
            </w:pPr>
          </w:p>
        </w:tc>
        <w:tc>
          <w:tcPr>
            <w:tcW w:w="582" w:type="pct"/>
            <w:vMerge w:val="continue"/>
            <w:vAlign w:val="center"/>
          </w:tcPr>
          <w:p w14:paraId="2AFA0E61">
            <w:pPr>
              <w:pStyle w:val="557"/>
            </w:pPr>
          </w:p>
        </w:tc>
        <w:tc>
          <w:tcPr>
            <w:tcW w:w="4104" w:type="pct"/>
            <w:gridSpan w:val="9"/>
            <w:vAlign w:val="center"/>
          </w:tcPr>
          <w:p w14:paraId="560663A6">
            <w:pPr>
              <w:pStyle w:val="557"/>
            </w:pPr>
            <w:r>
              <w:rPr>
                <w:rFonts w:hint="eastAsia"/>
              </w:rPr>
              <w:t>最常见气象条件下大气</w:t>
            </w:r>
            <w:r>
              <w:t>环境影响</w:t>
            </w:r>
          </w:p>
        </w:tc>
      </w:tr>
      <w:tr w14:paraId="4A71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2F8F14D9">
            <w:pPr>
              <w:pStyle w:val="557"/>
            </w:pPr>
          </w:p>
        </w:tc>
        <w:tc>
          <w:tcPr>
            <w:tcW w:w="582" w:type="pct"/>
            <w:vMerge w:val="continue"/>
            <w:vAlign w:val="center"/>
          </w:tcPr>
          <w:p w14:paraId="1F1F9F00">
            <w:pPr>
              <w:pStyle w:val="557"/>
            </w:pPr>
          </w:p>
        </w:tc>
        <w:tc>
          <w:tcPr>
            <w:tcW w:w="1161" w:type="pct"/>
            <w:gridSpan w:val="3"/>
            <w:vAlign w:val="center"/>
          </w:tcPr>
          <w:p w14:paraId="1B23987F">
            <w:pPr>
              <w:pStyle w:val="557"/>
            </w:pPr>
            <w:r>
              <w:rPr>
                <w:rFonts w:hint="eastAsia"/>
              </w:rPr>
              <w:t>指标</w:t>
            </w:r>
          </w:p>
        </w:tc>
        <w:tc>
          <w:tcPr>
            <w:tcW w:w="912" w:type="pct"/>
            <w:gridSpan w:val="2"/>
            <w:vAlign w:val="center"/>
          </w:tcPr>
          <w:p w14:paraId="3F9DFD47">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2B0A6F07">
            <w:pPr>
              <w:pStyle w:val="557"/>
            </w:pPr>
            <w:r>
              <w:rPr>
                <w:rFonts w:hint="eastAsia"/>
              </w:rPr>
              <w:t>最远影响距离/m</w:t>
            </w:r>
          </w:p>
        </w:tc>
        <w:tc>
          <w:tcPr>
            <w:tcW w:w="988" w:type="pct"/>
            <w:gridSpan w:val="2"/>
            <w:vAlign w:val="center"/>
          </w:tcPr>
          <w:p w14:paraId="4A52180A">
            <w:pPr>
              <w:pStyle w:val="557"/>
            </w:pPr>
            <w:r>
              <w:rPr>
                <w:rFonts w:hint="eastAsia"/>
              </w:rPr>
              <w:t>到达时间/min</w:t>
            </w:r>
          </w:p>
        </w:tc>
      </w:tr>
      <w:tr w14:paraId="3E70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6E78E379">
            <w:pPr>
              <w:pStyle w:val="557"/>
            </w:pPr>
          </w:p>
        </w:tc>
        <w:tc>
          <w:tcPr>
            <w:tcW w:w="582" w:type="pct"/>
            <w:vMerge w:val="continue"/>
            <w:vAlign w:val="center"/>
          </w:tcPr>
          <w:p w14:paraId="2EBB8049">
            <w:pPr>
              <w:pStyle w:val="557"/>
            </w:pPr>
          </w:p>
        </w:tc>
        <w:tc>
          <w:tcPr>
            <w:tcW w:w="1161" w:type="pct"/>
            <w:gridSpan w:val="3"/>
            <w:vAlign w:val="center"/>
          </w:tcPr>
          <w:p w14:paraId="6A353693">
            <w:pPr>
              <w:pStyle w:val="557"/>
            </w:pPr>
            <w:r>
              <w:rPr>
                <w:rFonts w:hint="eastAsia"/>
              </w:rPr>
              <w:t>大气毒性终点浓度-1</w:t>
            </w:r>
          </w:p>
        </w:tc>
        <w:tc>
          <w:tcPr>
            <w:tcW w:w="912" w:type="pct"/>
            <w:gridSpan w:val="2"/>
            <w:vAlign w:val="center"/>
          </w:tcPr>
          <w:p w14:paraId="167B9F3D">
            <w:pPr>
              <w:pStyle w:val="557"/>
            </w:pPr>
            <w:r>
              <w:rPr>
                <w:rFonts w:hint="eastAsia"/>
              </w:rPr>
              <w:t>9400</w:t>
            </w:r>
          </w:p>
        </w:tc>
        <w:tc>
          <w:tcPr>
            <w:tcW w:w="2032" w:type="pct"/>
            <w:gridSpan w:val="4"/>
            <w:vAlign w:val="center"/>
          </w:tcPr>
          <w:p w14:paraId="1F98A7FA">
            <w:pPr>
              <w:pStyle w:val="557"/>
            </w:pPr>
            <w:r>
              <w:rPr>
                <w:rFonts w:hint="eastAsia"/>
              </w:rPr>
              <w:t>此阈值及以上，无对应位置，因计算浓度均小于此阈值</w:t>
            </w:r>
          </w:p>
        </w:tc>
      </w:tr>
      <w:tr w14:paraId="7FC0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0A62EE65">
            <w:pPr>
              <w:pStyle w:val="557"/>
            </w:pPr>
          </w:p>
        </w:tc>
        <w:tc>
          <w:tcPr>
            <w:tcW w:w="582" w:type="pct"/>
            <w:vMerge w:val="continue"/>
            <w:vAlign w:val="center"/>
          </w:tcPr>
          <w:p w14:paraId="10605CE1">
            <w:pPr>
              <w:pStyle w:val="557"/>
            </w:pPr>
          </w:p>
        </w:tc>
        <w:tc>
          <w:tcPr>
            <w:tcW w:w="1161" w:type="pct"/>
            <w:gridSpan w:val="3"/>
            <w:vAlign w:val="center"/>
          </w:tcPr>
          <w:p w14:paraId="5BD7E274">
            <w:pPr>
              <w:pStyle w:val="557"/>
            </w:pPr>
            <w:r>
              <w:rPr>
                <w:rFonts w:hint="eastAsia"/>
              </w:rPr>
              <w:t>指标</w:t>
            </w:r>
          </w:p>
        </w:tc>
        <w:tc>
          <w:tcPr>
            <w:tcW w:w="912" w:type="pct"/>
            <w:gridSpan w:val="2"/>
            <w:vAlign w:val="center"/>
          </w:tcPr>
          <w:p w14:paraId="04175742">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0E7B2DA9">
            <w:pPr>
              <w:pStyle w:val="557"/>
            </w:pPr>
            <w:r>
              <w:rPr>
                <w:rFonts w:hint="eastAsia"/>
              </w:rPr>
              <w:t>最远影响距离/m</w:t>
            </w:r>
          </w:p>
        </w:tc>
        <w:tc>
          <w:tcPr>
            <w:tcW w:w="988" w:type="pct"/>
            <w:gridSpan w:val="2"/>
            <w:vAlign w:val="center"/>
          </w:tcPr>
          <w:p w14:paraId="26936617">
            <w:pPr>
              <w:pStyle w:val="557"/>
            </w:pPr>
            <w:r>
              <w:rPr>
                <w:rFonts w:hint="eastAsia"/>
              </w:rPr>
              <w:t>到达时间/min</w:t>
            </w:r>
          </w:p>
        </w:tc>
      </w:tr>
      <w:tr w14:paraId="7B31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1087CAE4">
            <w:pPr>
              <w:pStyle w:val="557"/>
            </w:pPr>
          </w:p>
        </w:tc>
        <w:tc>
          <w:tcPr>
            <w:tcW w:w="582" w:type="pct"/>
            <w:vMerge w:val="continue"/>
            <w:vAlign w:val="center"/>
          </w:tcPr>
          <w:p w14:paraId="447F53C9">
            <w:pPr>
              <w:pStyle w:val="557"/>
            </w:pPr>
          </w:p>
        </w:tc>
        <w:tc>
          <w:tcPr>
            <w:tcW w:w="1161" w:type="pct"/>
            <w:gridSpan w:val="3"/>
            <w:vAlign w:val="center"/>
          </w:tcPr>
          <w:p w14:paraId="63BE2062">
            <w:pPr>
              <w:pStyle w:val="557"/>
            </w:pPr>
            <w:r>
              <w:rPr>
                <w:rFonts w:hint="eastAsia"/>
              </w:rPr>
              <w:t>大气毒性终点浓度-2</w:t>
            </w:r>
          </w:p>
        </w:tc>
        <w:tc>
          <w:tcPr>
            <w:tcW w:w="912" w:type="pct"/>
            <w:gridSpan w:val="2"/>
            <w:vAlign w:val="center"/>
          </w:tcPr>
          <w:p w14:paraId="0FED2BB1">
            <w:pPr>
              <w:pStyle w:val="557"/>
            </w:pPr>
            <w:r>
              <w:rPr>
                <w:rFonts w:hint="eastAsia"/>
              </w:rPr>
              <w:t>2700</w:t>
            </w:r>
          </w:p>
        </w:tc>
        <w:tc>
          <w:tcPr>
            <w:tcW w:w="2032" w:type="pct"/>
            <w:gridSpan w:val="4"/>
            <w:vAlign w:val="center"/>
          </w:tcPr>
          <w:p w14:paraId="18B1E1D8">
            <w:pPr>
              <w:pStyle w:val="557"/>
            </w:pPr>
            <w:r>
              <w:rPr>
                <w:rFonts w:hint="eastAsia"/>
              </w:rPr>
              <w:t>此阈值及以上，无对应位置，因计算浓度均小于此阈值</w:t>
            </w:r>
          </w:p>
        </w:tc>
      </w:tr>
      <w:tr w14:paraId="0FB0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543B8E4">
            <w:pPr>
              <w:pStyle w:val="557"/>
            </w:pPr>
          </w:p>
        </w:tc>
        <w:tc>
          <w:tcPr>
            <w:tcW w:w="582" w:type="pct"/>
            <w:vMerge w:val="continue"/>
            <w:vAlign w:val="center"/>
          </w:tcPr>
          <w:p w14:paraId="5218D82C">
            <w:pPr>
              <w:pStyle w:val="557"/>
            </w:pPr>
          </w:p>
        </w:tc>
        <w:tc>
          <w:tcPr>
            <w:tcW w:w="1161" w:type="pct"/>
            <w:gridSpan w:val="3"/>
            <w:vAlign w:val="center"/>
          </w:tcPr>
          <w:p w14:paraId="1E29E58E">
            <w:pPr>
              <w:pStyle w:val="557"/>
            </w:pPr>
            <w:r>
              <w:rPr>
                <w:rFonts w:hint="eastAsia"/>
              </w:rPr>
              <w:t>敏感目标</w:t>
            </w:r>
          </w:p>
        </w:tc>
        <w:tc>
          <w:tcPr>
            <w:tcW w:w="912" w:type="pct"/>
            <w:gridSpan w:val="2"/>
            <w:vAlign w:val="center"/>
          </w:tcPr>
          <w:p w14:paraId="48583CB2">
            <w:pPr>
              <w:pStyle w:val="557"/>
            </w:pPr>
            <w:r>
              <w:rPr>
                <w:rFonts w:hint="eastAsia"/>
              </w:rPr>
              <w:t>超标时间/min</w:t>
            </w:r>
          </w:p>
        </w:tc>
        <w:tc>
          <w:tcPr>
            <w:tcW w:w="1044" w:type="pct"/>
            <w:gridSpan w:val="2"/>
            <w:vAlign w:val="center"/>
          </w:tcPr>
          <w:p w14:paraId="7C1D56C5">
            <w:pPr>
              <w:pStyle w:val="557"/>
            </w:pPr>
            <w:r>
              <w:rPr>
                <w:rFonts w:hint="eastAsia"/>
              </w:rPr>
              <w:t>超标持续时间/min</w:t>
            </w:r>
          </w:p>
        </w:tc>
        <w:tc>
          <w:tcPr>
            <w:tcW w:w="988" w:type="pct"/>
            <w:gridSpan w:val="2"/>
            <w:vAlign w:val="center"/>
          </w:tcPr>
          <w:p w14:paraId="0C96C92B">
            <w:pPr>
              <w:pStyle w:val="557"/>
            </w:pPr>
            <w:r>
              <w:rPr>
                <w:rFonts w:hint="eastAsia"/>
              </w:rPr>
              <w:t>最大浓度/(mg/m</w:t>
            </w:r>
            <w:r>
              <w:rPr>
                <w:rFonts w:hint="eastAsia"/>
                <w:vertAlign w:val="superscript"/>
              </w:rPr>
              <w:t>3</w:t>
            </w:r>
            <w:r>
              <w:rPr>
                <w:rFonts w:hint="eastAsia"/>
              </w:rPr>
              <w:t>)</w:t>
            </w:r>
          </w:p>
        </w:tc>
      </w:tr>
      <w:tr w14:paraId="2458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73885B8C">
            <w:pPr>
              <w:pStyle w:val="557"/>
            </w:pPr>
          </w:p>
        </w:tc>
        <w:tc>
          <w:tcPr>
            <w:tcW w:w="582" w:type="pct"/>
            <w:vMerge w:val="continue"/>
            <w:vAlign w:val="center"/>
          </w:tcPr>
          <w:p w14:paraId="512CEEF0">
            <w:pPr>
              <w:pStyle w:val="557"/>
            </w:pPr>
          </w:p>
        </w:tc>
        <w:tc>
          <w:tcPr>
            <w:tcW w:w="1161" w:type="pct"/>
            <w:gridSpan w:val="3"/>
            <w:vAlign w:val="center"/>
          </w:tcPr>
          <w:p w14:paraId="43D74860">
            <w:pPr>
              <w:pStyle w:val="557"/>
            </w:pPr>
            <w:r>
              <w:rPr>
                <w:rFonts w:hint="eastAsia"/>
              </w:rPr>
              <w:t>花园乡</w:t>
            </w:r>
          </w:p>
        </w:tc>
        <w:tc>
          <w:tcPr>
            <w:tcW w:w="912" w:type="pct"/>
            <w:gridSpan w:val="2"/>
            <w:vAlign w:val="center"/>
          </w:tcPr>
          <w:p w14:paraId="350066E3">
            <w:pPr>
              <w:pStyle w:val="557"/>
            </w:pPr>
            <w:r>
              <w:rPr>
                <w:rFonts w:hint="eastAsia"/>
              </w:rPr>
              <w:t>/</w:t>
            </w:r>
          </w:p>
        </w:tc>
        <w:tc>
          <w:tcPr>
            <w:tcW w:w="1044" w:type="pct"/>
            <w:gridSpan w:val="2"/>
            <w:vAlign w:val="center"/>
          </w:tcPr>
          <w:p w14:paraId="6B77EE66">
            <w:pPr>
              <w:pStyle w:val="557"/>
            </w:pPr>
            <w:r>
              <w:rPr>
                <w:rFonts w:hint="eastAsia"/>
              </w:rPr>
              <w:t>/</w:t>
            </w:r>
          </w:p>
        </w:tc>
        <w:tc>
          <w:tcPr>
            <w:tcW w:w="988" w:type="pct"/>
            <w:gridSpan w:val="2"/>
            <w:vAlign w:val="center"/>
          </w:tcPr>
          <w:p w14:paraId="7301BA62">
            <w:pPr>
              <w:pStyle w:val="557"/>
            </w:pPr>
            <w:r>
              <w:rPr>
                <w:rFonts w:hint="eastAsia"/>
              </w:rPr>
              <w:t>/</w:t>
            </w:r>
          </w:p>
        </w:tc>
      </w:tr>
    </w:tbl>
    <w:p w14:paraId="68CA4E9D">
      <w:pPr>
        <w:rPr>
          <w:rFonts w:hint="eastAsia"/>
        </w:rPr>
      </w:pPr>
    </w:p>
    <w:p w14:paraId="3436DE5D">
      <w:pPr>
        <w:pStyle w:val="98"/>
        <w:rPr>
          <w:rFonts w:hint="eastAsia"/>
          <w:color w:val="auto"/>
        </w:rPr>
      </w:pPr>
      <w:r>
        <w:rPr>
          <w:rFonts w:hint="eastAsia"/>
          <w:color w:val="auto"/>
        </w:rPr>
        <w:t>甲醇泄漏引发火灾事故产生CO扩散</w:t>
      </w:r>
      <w:r>
        <w:rPr>
          <w:color w:val="auto"/>
        </w:rPr>
        <w:t>事故预测结果</w:t>
      </w:r>
    </w:p>
    <w:p w14:paraId="37FD5CE5">
      <w:pPr>
        <w:pStyle w:val="281"/>
        <w:ind w:firstLine="480"/>
        <w:rPr>
          <w:rFonts w:hint="eastAsia" w:ascii="宋体" w:hAnsi="宋体"/>
        </w:rPr>
      </w:pPr>
      <w:r>
        <w:rPr>
          <w:rFonts w:hint="eastAsia" w:ascii="宋体" w:hAnsi="宋体"/>
        </w:rPr>
        <w:t>根据预测方案，</w:t>
      </w:r>
      <w:r>
        <w:rPr>
          <w:rFonts w:hint="eastAsia"/>
        </w:rPr>
        <w:t>甲醇泄漏发生火灾</w:t>
      </w:r>
      <w:r>
        <w:rPr>
          <w:rFonts w:hint="eastAsia" w:ascii="宋体" w:hAnsi="宋体"/>
        </w:rPr>
        <w:t>预测结果见下表，最大影响范围示意见下图。</w:t>
      </w:r>
    </w:p>
    <w:p w14:paraId="0DE17F22">
      <w:pPr>
        <w:pStyle w:val="535"/>
        <w:rPr>
          <w:rFonts w:hint="eastAsia"/>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-5</w:t>
      </w:r>
      <w:r>
        <w:rPr>
          <w:rFonts w:eastAsia="宋体"/>
          <w:color w:val="auto"/>
        </w:rPr>
        <w:t xml:space="preserve"> </w:t>
      </w:r>
      <w:r>
        <w:rPr>
          <w:rFonts w:hint="eastAsia"/>
        </w:rPr>
        <w:t>甲醇</w:t>
      </w:r>
      <w:r>
        <w:rPr>
          <w:rFonts w:hint="eastAsia"/>
          <w:color w:val="auto"/>
        </w:rPr>
        <w:t>泄漏发生火灾二次污染物CO泄漏源项和事故后果基本信息表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990"/>
        <w:gridCol w:w="276"/>
        <w:gridCol w:w="1067"/>
        <w:gridCol w:w="636"/>
        <w:gridCol w:w="1067"/>
        <w:gridCol w:w="487"/>
        <w:gridCol w:w="629"/>
        <w:gridCol w:w="1111"/>
        <w:gridCol w:w="310"/>
        <w:gridCol w:w="1414"/>
      </w:tblGrid>
      <w:tr w14:paraId="35AF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1ED6E8D6">
            <w:pPr>
              <w:pStyle w:val="557"/>
            </w:pPr>
            <w:r>
              <w:rPr>
                <w:rFonts w:hint="eastAsia"/>
              </w:rPr>
              <w:t>风险事故</w:t>
            </w:r>
            <w:r>
              <w:t>情形分析</w:t>
            </w:r>
          </w:p>
        </w:tc>
      </w:tr>
      <w:tr w14:paraId="5A21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19137E14">
            <w:pPr>
              <w:pStyle w:val="557"/>
            </w:pPr>
            <w:r>
              <w:rPr>
                <w:rFonts w:hint="eastAsia"/>
              </w:rPr>
              <w:t>代表性风险事故情形描述</w:t>
            </w:r>
          </w:p>
        </w:tc>
        <w:tc>
          <w:tcPr>
            <w:tcW w:w="3943" w:type="pct"/>
            <w:gridSpan w:val="8"/>
            <w:vAlign w:val="center"/>
          </w:tcPr>
          <w:p w14:paraId="1BD87586">
            <w:pPr>
              <w:pStyle w:val="557"/>
            </w:pPr>
            <w:r>
              <w:rPr>
                <w:rFonts w:hint="eastAsia"/>
              </w:rPr>
              <w:t>甲醇泄漏发生火灾</w:t>
            </w:r>
          </w:p>
        </w:tc>
      </w:tr>
      <w:tr w14:paraId="1E5F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49DDD6C1">
            <w:pPr>
              <w:pStyle w:val="557"/>
            </w:pPr>
            <w:r>
              <w:rPr>
                <w:rFonts w:hint="eastAsia"/>
              </w:rPr>
              <w:t>环境</w:t>
            </w:r>
            <w:r>
              <w:t>风险</w:t>
            </w:r>
            <w:r>
              <w:rPr>
                <w:rFonts w:hint="eastAsia"/>
              </w:rPr>
              <w:t>类型</w:t>
            </w:r>
          </w:p>
        </w:tc>
        <w:tc>
          <w:tcPr>
            <w:tcW w:w="3943" w:type="pct"/>
            <w:gridSpan w:val="8"/>
            <w:vAlign w:val="center"/>
          </w:tcPr>
          <w:p w14:paraId="5E848E97">
            <w:pPr>
              <w:pStyle w:val="557"/>
            </w:pPr>
            <w:r>
              <w:rPr>
                <w:rFonts w:hint="eastAsia"/>
              </w:rPr>
              <w:t>C</w:t>
            </w:r>
            <w:r>
              <w:t>O</w:t>
            </w:r>
            <w:r>
              <w:rPr>
                <w:rFonts w:hint="eastAsia"/>
              </w:rPr>
              <w:t>扩散</w:t>
            </w:r>
          </w:p>
        </w:tc>
      </w:tr>
      <w:tr w14:paraId="1E15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436607ED">
            <w:pPr>
              <w:pStyle w:val="557"/>
            </w:pPr>
            <w:r>
              <w:rPr>
                <w:rFonts w:hint="eastAsia"/>
              </w:rPr>
              <w:t>C</w:t>
            </w:r>
            <w:r>
              <w:t>O</w:t>
            </w:r>
            <w:r>
              <w:rPr>
                <w:rFonts w:hint="eastAsia"/>
              </w:rPr>
              <w:t>产生量</w:t>
            </w:r>
          </w:p>
        </w:tc>
        <w:tc>
          <w:tcPr>
            <w:tcW w:w="626" w:type="pct"/>
            <w:vAlign w:val="center"/>
          </w:tcPr>
          <w:p w14:paraId="3C4AEC29">
            <w:pPr>
              <w:pStyle w:val="557"/>
            </w:pPr>
            <w:r>
              <w:rPr>
                <w:rFonts w:hint="eastAsia"/>
              </w:rPr>
              <w:t>1.9kg/s</w:t>
            </w:r>
          </w:p>
        </w:tc>
        <w:tc>
          <w:tcPr>
            <w:tcW w:w="999" w:type="pct"/>
            <w:gridSpan w:val="2"/>
            <w:vAlign w:val="center"/>
          </w:tcPr>
          <w:p w14:paraId="2152AB4D">
            <w:pPr>
              <w:pStyle w:val="557"/>
            </w:pPr>
            <w:r>
              <w:rPr>
                <w:rFonts w:hint="eastAsia"/>
              </w:rPr>
              <w:t>扩散时间/min</w:t>
            </w:r>
          </w:p>
        </w:tc>
        <w:tc>
          <w:tcPr>
            <w:tcW w:w="655" w:type="pct"/>
            <w:gridSpan w:val="2"/>
            <w:vAlign w:val="center"/>
          </w:tcPr>
          <w:p w14:paraId="7B826A9B">
            <w:pPr>
              <w:pStyle w:val="557"/>
            </w:pPr>
            <w:r>
              <w:rPr>
                <w:rFonts w:hint="eastAsia"/>
              </w:rPr>
              <w:t>30</w:t>
            </w:r>
          </w:p>
        </w:tc>
        <w:tc>
          <w:tcPr>
            <w:tcW w:w="834" w:type="pct"/>
            <w:gridSpan w:val="2"/>
            <w:vAlign w:val="center"/>
          </w:tcPr>
          <w:p w14:paraId="5540C101">
            <w:pPr>
              <w:pStyle w:val="557"/>
            </w:pPr>
          </w:p>
        </w:tc>
        <w:tc>
          <w:tcPr>
            <w:tcW w:w="829" w:type="pct"/>
            <w:vAlign w:val="center"/>
          </w:tcPr>
          <w:p w14:paraId="30393794">
            <w:pPr>
              <w:pStyle w:val="557"/>
            </w:pPr>
          </w:p>
        </w:tc>
      </w:tr>
      <w:tr w14:paraId="70E5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4BD97837">
            <w:pPr>
              <w:pStyle w:val="557"/>
            </w:pPr>
            <w:r>
              <w:rPr>
                <w:rFonts w:hint="eastAsia"/>
              </w:rPr>
              <w:t>事故后果预测</w:t>
            </w:r>
          </w:p>
        </w:tc>
      </w:tr>
      <w:tr w14:paraId="0076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restart"/>
            <w:vAlign w:val="center"/>
          </w:tcPr>
          <w:p w14:paraId="375D340A">
            <w:pPr>
              <w:pStyle w:val="557"/>
            </w:pPr>
            <w:r>
              <w:rPr>
                <w:rFonts w:hint="eastAsia"/>
              </w:rPr>
              <w:t>大气</w:t>
            </w:r>
          </w:p>
        </w:tc>
        <w:tc>
          <w:tcPr>
            <w:tcW w:w="581" w:type="pct"/>
            <w:vAlign w:val="center"/>
          </w:tcPr>
          <w:p w14:paraId="0DA22D4A">
            <w:pPr>
              <w:pStyle w:val="557"/>
            </w:pPr>
            <w:r>
              <w:rPr>
                <w:rFonts w:hint="eastAsia"/>
              </w:rPr>
              <w:t>危险物质</w:t>
            </w:r>
          </w:p>
        </w:tc>
        <w:tc>
          <w:tcPr>
            <w:tcW w:w="4105" w:type="pct"/>
            <w:gridSpan w:val="9"/>
            <w:vAlign w:val="center"/>
          </w:tcPr>
          <w:p w14:paraId="21B03891">
            <w:pPr>
              <w:pStyle w:val="557"/>
            </w:pPr>
            <w:r>
              <w:rPr>
                <w:rFonts w:hint="eastAsia"/>
              </w:rPr>
              <w:t>最不利气象条件下大气</w:t>
            </w:r>
            <w:r>
              <w:t>环境影响</w:t>
            </w:r>
          </w:p>
        </w:tc>
      </w:tr>
      <w:tr w14:paraId="0F75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68B64B2A">
            <w:pPr>
              <w:pStyle w:val="557"/>
            </w:pPr>
          </w:p>
        </w:tc>
        <w:tc>
          <w:tcPr>
            <w:tcW w:w="581" w:type="pct"/>
            <w:vMerge w:val="restart"/>
            <w:vAlign w:val="center"/>
          </w:tcPr>
          <w:p w14:paraId="346E75C8">
            <w:pPr>
              <w:pStyle w:val="557"/>
            </w:pPr>
            <w:r>
              <w:rPr>
                <w:rFonts w:hint="eastAsia"/>
              </w:rPr>
              <w:t>C</w:t>
            </w:r>
            <w:r>
              <w:t>O</w:t>
            </w:r>
          </w:p>
        </w:tc>
        <w:tc>
          <w:tcPr>
            <w:tcW w:w="1161" w:type="pct"/>
            <w:gridSpan w:val="3"/>
            <w:vAlign w:val="center"/>
          </w:tcPr>
          <w:p w14:paraId="0CA951B3">
            <w:pPr>
              <w:pStyle w:val="557"/>
            </w:pPr>
            <w:r>
              <w:rPr>
                <w:rFonts w:hint="eastAsia"/>
              </w:rPr>
              <w:t>指标</w:t>
            </w:r>
          </w:p>
        </w:tc>
        <w:tc>
          <w:tcPr>
            <w:tcW w:w="912" w:type="pct"/>
            <w:gridSpan w:val="2"/>
            <w:vAlign w:val="center"/>
          </w:tcPr>
          <w:p w14:paraId="56B003E9">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3992F137">
            <w:pPr>
              <w:pStyle w:val="557"/>
            </w:pPr>
            <w:r>
              <w:rPr>
                <w:rFonts w:hint="eastAsia"/>
              </w:rPr>
              <w:t>最远影响距离/m</w:t>
            </w:r>
          </w:p>
        </w:tc>
        <w:tc>
          <w:tcPr>
            <w:tcW w:w="1011" w:type="pct"/>
            <w:gridSpan w:val="2"/>
            <w:vAlign w:val="center"/>
          </w:tcPr>
          <w:p w14:paraId="553C9037">
            <w:pPr>
              <w:pStyle w:val="557"/>
            </w:pPr>
            <w:r>
              <w:rPr>
                <w:rFonts w:hint="eastAsia"/>
              </w:rPr>
              <w:t>到达时间/min</w:t>
            </w:r>
          </w:p>
        </w:tc>
      </w:tr>
      <w:tr w14:paraId="4376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52B3FD4">
            <w:pPr>
              <w:pStyle w:val="557"/>
            </w:pPr>
          </w:p>
        </w:tc>
        <w:tc>
          <w:tcPr>
            <w:tcW w:w="581" w:type="pct"/>
            <w:vMerge w:val="continue"/>
            <w:vAlign w:val="center"/>
          </w:tcPr>
          <w:p w14:paraId="073C5BF2">
            <w:pPr>
              <w:pStyle w:val="557"/>
            </w:pPr>
          </w:p>
        </w:tc>
        <w:tc>
          <w:tcPr>
            <w:tcW w:w="1161" w:type="pct"/>
            <w:gridSpan w:val="3"/>
            <w:vAlign w:val="center"/>
          </w:tcPr>
          <w:p w14:paraId="31A001AC">
            <w:pPr>
              <w:pStyle w:val="557"/>
            </w:pPr>
            <w:r>
              <w:rPr>
                <w:rFonts w:hint="eastAsia"/>
              </w:rPr>
              <w:t>大气毒性终点浓度-1</w:t>
            </w:r>
          </w:p>
        </w:tc>
        <w:tc>
          <w:tcPr>
            <w:tcW w:w="912" w:type="pct"/>
            <w:gridSpan w:val="2"/>
            <w:vAlign w:val="center"/>
          </w:tcPr>
          <w:p w14:paraId="626CE425">
            <w:pPr>
              <w:pStyle w:val="557"/>
            </w:pPr>
            <w:r>
              <w:rPr>
                <w:rFonts w:hint="eastAsia"/>
              </w:rPr>
              <w:t>3</w:t>
            </w:r>
            <w:r>
              <w:t>80</w:t>
            </w:r>
          </w:p>
        </w:tc>
        <w:tc>
          <w:tcPr>
            <w:tcW w:w="1021" w:type="pct"/>
            <w:gridSpan w:val="2"/>
            <w:vAlign w:val="center"/>
          </w:tcPr>
          <w:p w14:paraId="06795648">
            <w:pPr>
              <w:pStyle w:val="557"/>
            </w:pPr>
            <w:r>
              <w:rPr>
                <w:rFonts w:hint="eastAsia"/>
              </w:rPr>
              <w:t>870</w:t>
            </w:r>
          </w:p>
        </w:tc>
        <w:tc>
          <w:tcPr>
            <w:tcW w:w="1011" w:type="pct"/>
            <w:gridSpan w:val="2"/>
            <w:vAlign w:val="center"/>
          </w:tcPr>
          <w:p w14:paraId="77EFBEC7">
            <w:pPr>
              <w:pStyle w:val="557"/>
            </w:pPr>
            <w:r>
              <w:rPr>
                <w:rFonts w:hint="eastAsia"/>
              </w:rPr>
              <w:t>9.67</w:t>
            </w:r>
          </w:p>
        </w:tc>
      </w:tr>
      <w:tr w14:paraId="7AB3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3E00D87A">
            <w:pPr>
              <w:pStyle w:val="557"/>
            </w:pPr>
          </w:p>
        </w:tc>
        <w:tc>
          <w:tcPr>
            <w:tcW w:w="581" w:type="pct"/>
            <w:vMerge w:val="continue"/>
            <w:vAlign w:val="center"/>
          </w:tcPr>
          <w:p w14:paraId="417D9E48">
            <w:pPr>
              <w:pStyle w:val="557"/>
            </w:pPr>
          </w:p>
        </w:tc>
        <w:tc>
          <w:tcPr>
            <w:tcW w:w="1161" w:type="pct"/>
            <w:gridSpan w:val="3"/>
            <w:vAlign w:val="center"/>
          </w:tcPr>
          <w:p w14:paraId="0B2E0175">
            <w:pPr>
              <w:pStyle w:val="557"/>
            </w:pPr>
            <w:r>
              <w:rPr>
                <w:rFonts w:hint="eastAsia"/>
              </w:rPr>
              <w:t>指标</w:t>
            </w:r>
          </w:p>
        </w:tc>
        <w:tc>
          <w:tcPr>
            <w:tcW w:w="912" w:type="pct"/>
            <w:gridSpan w:val="2"/>
            <w:vAlign w:val="center"/>
          </w:tcPr>
          <w:p w14:paraId="7EFA9C0C">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6F41818D">
            <w:pPr>
              <w:pStyle w:val="557"/>
            </w:pPr>
            <w:r>
              <w:rPr>
                <w:rFonts w:hint="eastAsia"/>
              </w:rPr>
              <w:t>最远影响距离/m</w:t>
            </w:r>
          </w:p>
        </w:tc>
        <w:tc>
          <w:tcPr>
            <w:tcW w:w="1011" w:type="pct"/>
            <w:gridSpan w:val="2"/>
            <w:vAlign w:val="center"/>
          </w:tcPr>
          <w:p w14:paraId="3F13EE8A">
            <w:pPr>
              <w:pStyle w:val="557"/>
            </w:pPr>
            <w:r>
              <w:rPr>
                <w:rFonts w:hint="eastAsia"/>
              </w:rPr>
              <w:t>到达时间/min</w:t>
            </w:r>
          </w:p>
        </w:tc>
      </w:tr>
      <w:tr w14:paraId="3C65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4163F882">
            <w:pPr>
              <w:pStyle w:val="557"/>
            </w:pPr>
          </w:p>
        </w:tc>
        <w:tc>
          <w:tcPr>
            <w:tcW w:w="581" w:type="pct"/>
            <w:vMerge w:val="continue"/>
            <w:vAlign w:val="center"/>
          </w:tcPr>
          <w:p w14:paraId="33415AC9">
            <w:pPr>
              <w:pStyle w:val="557"/>
            </w:pPr>
          </w:p>
        </w:tc>
        <w:tc>
          <w:tcPr>
            <w:tcW w:w="1161" w:type="pct"/>
            <w:gridSpan w:val="3"/>
            <w:vAlign w:val="center"/>
          </w:tcPr>
          <w:p w14:paraId="6D449667">
            <w:pPr>
              <w:pStyle w:val="557"/>
            </w:pPr>
            <w:r>
              <w:rPr>
                <w:rFonts w:hint="eastAsia"/>
              </w:rPr>
              <w:t>大气毒性终点浓度-2</w:t>
            </w:r>
          </w:p>
        </w:tc>
        <w:tc>
          <w:tcPr>
            <w:tcW w:w="912" w:type="pct"/>
            <w:gridSpan w:val="2"/>
            <w:vAlign w:val="center"/>
          </w:tcPr>
          <w:p w14:paraId="7B4ACEE5">
            <w:pPr>
              <w:pStyle w:val="557"/>
            </w:pPr>
            <w:r>
              <w:rPr>
                <w:rFonts w:hint="eastAsia"/>
              </w:rPr>
              <w:t>9</w:t>
            </w:r>
            <w:r>
              <w:t>5</w:t>
            </w:r>
          </w:p>
        </w:tc>
        <w:tc>
          <w:tcPr>
            <w:tcW w:w="1021" w:type="pct"/>
            <w:gridSpan w:val="2"/>
            <w:vAlign w:val="center"/>
          </w:tcPr>
          <w:p w14:paraId="7FF03387">
            <w:pPr>
              <w:pStyle w:val="557"/>
            </w:pPr>
            <w:r>
              <w:rPr>
                <w:rFonts w:hint="eastAsia"/>
              </w:rPr>
              <w:t>2200</w:t>
            </w:r>
          </w:p>
        </w:tc>
        <w:tc>
          <w:tcPr>
            <w:tcW w:w="1011" w:type="pct"/>
            <w:gridSpan w:val="2"/>
            <w:vAlign w:val="center"/>
          </w:tcPr>
          <w:p w14:paraId="3CF5CA7D">
            <w:pPr>
              <w:pStyle w:val="557"/>
            </w:pPr>
            <w:r>
              <w:rPr>
                <w:rFonts w:hint="eastAsia"/>
              </w:rPr>
              <w:t>24.44</w:t>
            </w:r>
          </w:p>
        </w:tc>
      </w:tr>
      <w:tr w14:paraId="0142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D77F32F">
            <w:pPr>
              <w:pStyle w:val="557"/>
            </w:pPr>
          </w:p>
        </w:tc>
        <w:tc>
          <w:tcPr>
            <w:tcW w:w="581" w:type="pct"/>
            <w:vMerge w:val="continue"/>
            <w:vAlign w:val="center"/>
          </w:tcPr>
          <w:p w14:paraId="6DB91F06">
            <w:pPr>
              <w:pStyle w:val="557"/>
            </w:pPr>
          </w:p>
        </w:tc>
        <w:tc>
          <w:tcPr>
            <w:tcW w:w="1161" w:type="pct"/>
            <w:gridSpan w:val="3"/>
            <w:vAlign w:val="center"/>
          </w:tcPr>
          <w:p w14:paraId="71E817EC">
            <w:pPr>
              <w:pStyle w:val="557"/>
            </w:pPr>
            <w:r>
              <w:rPr>
                <w:rFonts w:hint="eastAsia"/>
              </w:rPr>
              <w:t>敏感目标</w:t>
            </w:r>
          </w:p>
        </w:tc>
        <w:tc>
          <w:tcPr>
            <w:tcW w:w="912" w:type="pct"/>
            <w:gridSpan w:val="2"/>
            <w:vAlign w:val="center"/>
          </w:tcPr>
          <w:p w14:paraId="6FEAA48E">
            <w:pPr>
              <w:pStyle w:val="557"/>
            </w:pPr>
            <w:r>
              <w:rPr>
                <w:rFonts w:hint="eastAsia"/>
              </w:rPr>
              <w:t>超标时间/min</w:t>
            </w:r>
          </w:p>
        </w:tc>
        <w:tc>
          <w:tcPr>
            <w:tcW w:w="1021" w:type="pct"/>
            <w:gridSpan w:val="2"/>
            <w:vAlign w:val="center"/>
          </w:tcPr>
          <w:p w14:paraId="17B7C41D">
            <w:pPr>
              <w:pStyle w:val="557"/>
            </w:pPr>
            <w:r>
              <w:rPr>
                <w:rFonts w:hint="eastAsia"/>
              </w:rPr>
              <w:t>超标持续时间/min</w:t>
            </w:r>
          </w:p>
        </w:tc>
        <w:tc>
          <w:tcPr>
            <w:tcW w:w="1011" w:type="pct"/>
            <w:gridSpan w:val="2"/>
            <w:vAlign w:val="center"/>
          </w:tcPr>
          <w:p w14:paraId="7FEB4EFE">
            <w:pPr>
              <w:pStyle w:val="557"/>
            </w:pPr>
            <w:r>
              <w:rPr>
                <w:rFonts w:hint="eastAsia"/>
              </w:rPr>
              <w:t>最大浓度/(mg/m</w:t>
            </w:r>
            <w:r>
              <w:rPr>
                <w:rFonts w:hint="eastAsia"/>
                <w:vertAlign w:val="superscript"/>
              </w:rPr>
              <w:t>3</w:t>
            </w:r>
            <w:r>
              <w:rPr>
                <w:rFonts w:hint="eastAsia"/>
              </w:rPr>
              <w:t>)</w:t>
            </w:r>
          </w:p>
        </w:tc>
      </w:tr>
      <w:tr w14:paraId="788A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6C0BC082">
            <w:pPr>
              <w:pStyle w:val="557"/>
            </w:pPr>
          </w:p>
        </w:tc>
        <w:tc>
          <w:tcPr>
            <w:tcW w:w="581" w:type="pct"/>
            <w:vMerge w:val="continue"/>
            <w:vAlign w:val="center"/>
          </w:tcPr>
          <w:p w14:paraId="19E53BF5">
            <w:pPr>
              <w:pStyle w:val="557"/>
            </w:pPr>
          </w:p>
        </w:tc>
        <w:tc>
          <w:tcPr>
            <w:tcW w:w="1161" w:type="pct"/>
            <w:gridSpan w:val="3"/>
            <w:vAlign w:val="center"/>
          </w:tcPr>
          <w:p w14:paraId="0A39E745">
            <w:pPr>
              <w:pStyle w:val="557"/>
            </w:pPr>
            <w:r>
              <w:rPr>
                <w:rFonts w:hint="eastAsia"/>
              </w:rPr>
              <w:t>花园乡</w:t>
            </w:r>
          </w:p>
        </w:tc>
        <w:tc>
          <w:tcPr>
            <w:tcW w:w="912" w:type="pct"/>
            <w:gridSpan w:val="2"/>
            <w:vAlign w:val="center"/>
          </w:tcPr>
          <w:p w14:paraId="6A69FD8F">
            <w:pPr>
              <w:pStyle w:val="557"/>
            </w:pPr>
            <w:r>
              <w:rPr>
                <w:rFonts w:hint="eastAsia"/>
              </w:rPr>
              <w:t>/</w:t>
            </w:r>
          </w:p>
        </w:tc>
        <w:tc>
          <w:tcPr>
            <w:tcW w:w="1021" w:type="pct"/>
            <w:gridSpan w:val="2"/>
            <w:vAlign w:val="center"/>
          </w:tcPr>
          <w:p w14:paraId="7F313954">
            <w:pPr>
              <w:pStyle w:val="557"/>
            </w:pPr>
            <w:r>
              <w:rPr>
                <w:rFonts w:hint="eastAsia"/>
              </w:rPr>
              <w:t>/</w:t>
            </w:r>
          </w:p>
        </w:tc>
        <w:tc>
          <w:tcPr>
            <w:tcW w:w="1011" w:type="pct"/>
            <w:gridSpan w:val="2"/>
            <w:vAlign w:val="center"/>
          </w:tcPr>
          <w:p w14:paraId="1E713850">
            <w:pPr>
              <w:pStyle w:val="557"/>
            </w:pPr>
            <w:r>
              <w:rPr>
                <w:rFonts w:hint="eastAsia"/>
              </w:rPr>
              <w:t>/</w:t>
            </w:r>
          </w:p>
        </w:tc>
      </w:tr>
      <w:tr w14:paraId="0C01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66BAB6A9">
            <w:pPr>
              <w:pStyle w:val="557"/>
            </w:pPr>
          </w:p>
        </w:tc>
        <w:tc>
          <w:tcPr>
            <w:tcW w:w="581" w:type="pct"/>
            <w:vMerge w:val="continue"/>
            <w:vAlign w:val="center"/>
          </w:tcPr>
          <w:p w14:paraId="23FE51D4">
            <w:pPr>
              <w:pStyle w:val="557"/>
            </w:pPr>
          </w:p>
        </w:tc>
        <w:tc>
          <w:tcPr>
            <w:tcW w:w="4105" w:type="pct"/>
            <w:gridSpan w:val="9"/>
            <w:vAlign w:val="center"/>
          </w:tcPr>
          <w:p w14:paraId="6E960316">
            <w:pPr>
              <w:pStyle w:val="557"/>
            </w:pPr>
            <w:r>
              <w:rPr>
                <w:rFonts w:hint="eastAsia"/>
              </w:rPr>
              <w:t>最常见气象条件下大气</w:t>
            </w:r>
            <w:r>
              <w:t>环境影响</w:t>
            </w:r>
          </w:p>
        </w:tc>
      </w:tr>
      <w:tr w14:paraId="112B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99B25B1">
            <w:pPr>
              <w:pStyle w:val="557"/>
            </w:pPr>
          </w:p>
        </w:tc>
        <w:tc>
          <w:tcPr>
            <w:tcW w:w="581" w:type="pct"/>
            <w:vMerge w:val="continue"/>
            <w:vAlign w:val="center"/>
          </w:tcPr>
          <w:p w14:paraId="4001C706">
            <w:pPr>
              <w:pStyle w:val="557"/>
            </w:pPr>
          </w:p>
        </w:tc>
        <w:tc>
          <w:tcPr>
            <w:tcW w:w="1161" w:type="pct"/>
            <w:gridSpan w:val="3"/>
            <w:vAlign w:val="center"/>
          </w:tcPr>
          <w:p w14:paraId="1F3D1536">
            <w:pPr>
              <w:pStyle w:val="557"/>
            </w:pPr>
            <w:r>
              <w:rPr>
                <w:rFonts w:hint="eastAsia"/>
              </w:rPr>
              <w:t>指标</w:t>
            </w:r>
          </w:p>
        </w:tc>
        <w:tc>
          <w:tcPr>
            <w:tcW w:w="912" w:type="pct"/>
            <w:gridSpan w:val="2"/>
            <w:vAlign w:val="center"/>
          </w:tcPr>
          <w:p w14:paraId="05637EE7">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550825EE">
            <w:pPr>
              <w:pStyle w:val="557"/>
            </w:pPr>
            <w:r>
              <w:rPr>
                <w:rFonts w:hint="eastAsia"/>
              </w:rPr>
              <w:t>最远影响距离/m</w:t>
            </w:r>
          </w:p>
        </w:tc>
        <w:tc>
          <w:tcPr>
            <w:tcW w:w="1011" w:type="pct"/>
            <w:gridSpan w:val="2"/>
            <w:vAlign w:val="center"/>
          </w:tcPr>
          <w:p w14:paraId="34A3F646">
            <w:pPr>
              <w:pStyle w:val="557"/>
            </w:pPr>
            <w:r>
              <w:rPr>
                <w:rFonts w:hint="eastAsia"/>
              </w:rPr>
              <w:t>到达时间/min</w:t>
            </w:r>
          </w:p>
        </w:tc>
      </w:tr>
      <w:tr w14:paraId="25E6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55B05FE9">
            <w:pPr>
              <w:pStyle w:val="557"/>
            </w:pPr>
          </w:p>
        </w:tc>
        <w:tc>
          <w:tcPr>
            <w:tcW w:w="581" w:type="pct"/>
            <w:vMerge w:val="continue"/>
            <w:vAlign w:val="center"/>
          </w:tcPr>
          <w:p w14:paraId="6A5C40BD">
            <w:pPr>
              <w:pStyle w:val="557"/>
            </w:pPr>
          </w:p>
        </w:tc>
        <w:tc>
          <w:tcPr>
            <w:tcW w:w="1161" w:type="pct"/>
            <w:gridSpan w:val="3"/>
            <w:vAlign w:val="center"/>
          </w:tcPr>
          <w:p w14:paraId="702C7D5B">
            <w:pPr>
              <w:pStyle w:val="557"/>
            </w:pPr>
            <w:r>
              <w:rPr>
                <w:rFonts w:hint="eastAsia"/>
              </w:rPr>
              <w:t>大气毒性终点浓度-1</w:t>
            </w:r>
          </w:p>
        </w:tc>
        <w:tc>
          <w:tcPr>
            <w:tcW w:w="912" w:type="pct"/>
            <w:gridSpan w:val="2"/>
            <w:vAlign w:val="center"/>
          </w:tcPr>
          <w:p w14:paraId="75D1FF12">
            <w:pPr>
              <w:pStyle w:val="557"/>
            </w:pPr>
            <w:r>
              <w:rPr>
                <w:rFonts w:hint="eastAsia"/>
              </w:rPr>
              <w:t>3</w:t>
            </w:r>
            <w:r>
              <w:t>80</w:t>
            </w:r>
          </w:p>
        </w:tc>
        <w:tc>
          <w:tcPr>
            <w:tcW w:w="1021" w:type="pct"/>
            <w:gridSpan w:val="2"/>
            <w:vAlign w:val="center"/>
          </w:tcPr>
          <w:p w14:paraId="14334EDA">
            <w:pPr>
              <w:pStyle w:val="557"/>
            </w:pPr>
            <w:r>
              <w:rPr>
                <w:rFonts w:hint="eastAsia"/>
              </w:rPr>
              <w:t>280</w:t>
            </w:r>
          </w:p>
        </w:tc>
        <w:tc>
          <w:tcPr>
            <w:tcW w:w="1011" w:type="pct"/>
            <w:gridSpan w:val="2"/>
            <w:vAlign w:val="center"/>
          </w:tcPr>
          <w:p w14:paraId="0F64B7AC">
            <w:pPr>
              <w:pStyle w:val="557"/>
            </w:pPr>
            <w:r>
              <w:rPr>
                <w:rFonts w:hint="eastAsia"/>
              </w:rPr>
              <w:t>1.89</w:t>
            </w:r>
          </w:p>
        </w:tc>
      </w:tr>
      <w:tr w14:paraId="0721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89DEF8D">
            <w:pPr>
              <w:pStyle w:val="557"/>
            </w:pPr>
          </w:p>
        </w:tc>
        <w:tc>
          <w:tcPr>
            <w:tcW w:w="581" w:type="pct"/>
            <w:vMerge w:val="continue"/>
            <w:vAlign w:val="center"/>
          </w:tcPr>
          <w:p w14:paraId="4DFBAB12">
            <w:pPr>
              <w:pStyle w:val="557"/>
            </w:pPr>
          </w:p>
        </w:tc>
        <w:tc>
          <w:tcPr>
            <w:tcW w:w="1161" w:type="pct"/>
            <w:gridSpan w:val="3"/>
            <w:vAlign w:val="center"/>
          </w:tcPr>
          <w:p w14:paraId="4ADEA9E1">
            <w:pPr>
              <w:pStyle w:val="557"/>
            </w:pPr>
            <w:r>
              <w:rPr>
                <w:rFonts w:hint="eastAsia"/>
              </w:rPr>
              <w:t>指标</w:t>
            </w:r>
          </w:p>
        </w:tc>
        <w:tc>
          <w:tcPr>
            <w:tcW w:w="912" w:type="pct"/>
            <w:gridSpan w:val="2"/>
            <w:vAlign w:val="center"/>
          </w:tcPr>
          <w:p w14:paraId="5B27FC7F">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280E7339">
            <w:pPr>
              <w:pStyle w:val="557"/>
            </w:pPr>
            <w:r>
              <w:rPr>
                <w:rFonts w:hint="eastAsia"/>
              </w:rPr>
              <w:t>最远影响距离/m</w:t>
            </w:r>
          </w:p>
        </w:tc>
        <w:tc>
          <w:tcPr>
            <w:tcW w:w="1011" w:type="pct"/>
            <w:gridSpan w:val="2"/>
            <w:vAlign w:val="center"/>
          </w:tcPr>
          <w:p w14:paraId="4D671870">
            <w:pPr>
              <w:pStyle w:val="557"/>
            </w:pPr>
            <w:r>
              <w:rPr>
                <w:rFonts w:hint="eastAsia"/>
              </w:rPr>
              <w:t>到达时间/min</w:t>
            </w:r>
          </w:p>
        </w:tc>
      </w:tr>
      <w:tr w14:paraId="7BCE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84C9FAE">
            <w:pPr>
              <w:pStyle w:val="557"/>
            </w:pPr>
          </w:p>
        </w:tc>
        <w:tc>
          <w:tcPr>
            <w:tcW w:w="581" w:type="pct"/>
            <w:vMerge w:val="continue"/>
            <w:vAlign w:val="center"/>
          </w:tcPr>
          <w:p w14:paraId="1E9691A2">
            <w:pPr>
              <w:pStyle w:val="557"/>
            </w:pPr>
          </w:p>
        </w:tc>
        <w:tc>
          <w:tcPr>
            <w:tcW w:w="1161" w:type="pct"/>
            <w:gridSpan w:val="3"/>
            <w:vAlign w:val="center"/>
          </w:tcPr>
          <w:p w14:paraId="115DA8E7">
            <w:pPr>
              <w:pStyle w:val="557"/>
            </w:pPr>
            <w:r>
              <w:rPr>
                <w:rFonts w:hint="eastAsia"/>
              </w:rPr>
              <w:t>大气毒性终点浓度-2</w:t>
            </w:r>
          </w:p>
        </w:tc>
        <w:tc>
          <w:tcPr>
            <w:tcW w:w="912" w:type="pct"/>
            <w:gridSpan w:val="2"/>
            <w:vAlign w:val="center"/>
          </w:tcPr>
          <w:p w14:paraId="51257079">
            <w:pPr>
              <w:pStyle w:val="557"/>
            </w:pPr>
            <w:r>
              <w:rPr>
                <w:rFonts w:hint="eastAsia"/>
              </w:rPr>
              <w:t>9</w:t>
            </w:r>
            <w:r>
              <w:t>5</w:t>
            </w:r>
          </w:p>
        </w:tc>
        <w:tc>
          <w:tcPr>
            <w:tcW w:w="1021" w:type="pct"/>
            <w:gridSpan w:val="2"/>
            <w:vAlign w:val="center"/>
          </w:tcPr>
          <w:p w14:paraId="2458A188">
            <w:pPr>
              <w:pStyle w:val="557"/>
            </w:pPr>
            <w:r>
              <w:rPr>
                <w:rFonts w:hint="eastAsia"/>
              </w:rPr>
              <w:t>650</w:t>
            </w:r>
          </w:p>
        </w:tc>
        <w:tc>
          <w:tcPr>
            <w:tcW w:w="1011" w:type="pct"/>
            <w:gridSpan w:val="2"/>
            <w:vAlign w:val="center"/>
          </w:tcPr>
          <w:p w14:paraId="7739B47F">
            <w:pPr>
              <w:pStyle w:val="557"/>
            </w:pPr>
            <w:r>
              <w:rPr>
                <w:rFonts w:hint="eastAsia"/>
              </w:rPr>
              <w:t>4.23</w:t>
            </w:r>
          </w:p>
        </w:tc>
      </w:tr>
      <w:tr w14:paraId="46D4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376D0ACE">
            <w:pPr>
              <w:pStyle w:val="557"/>
            </w:pPr>
          </w:p>
        </w:tc>
        <w:tc>
          <w:tcPr>
            <w:tcW w:w="581" w:type="pct"/>
            <w:vMerge w:val="continue"/>
            <w:vAlign w:val="center"/>
          </w:tcPr>
          <w:p w14:paraId="6D4462C4">
            <w:pPr>
              <w:pStyle w:val="557"/>
            </w:pPr>
          </w:p>
        </w:tc>
        <w:tc>
          <w:tcPr>
            <w:tcW w:w="1161" w:type="pct"/>
            <w:gridSpan w:val="3"/>
            <w:vAlign w:val="center"/>
          </w:tcPr>
          <w:p w14:paraId="738DE28D">
            <w:pPr>
              <w:pStyle w:val="557"/>
            </w:pPr>
            <w:r>
              <w:rPr>
                <w:rFonts w:hint="eastAsia"/>
              </w:rPr>
              <w:t>敏感目标</w:t>
            </w:r>
          </w:p>
        </w:tc>
        <w:tc>
          <w:tcPr>
            <w:tcW w:w="912" w:type="pct"/>
            <w:gridSpan w:val="2"/>
            <w:vAlign w:val="center"/>
          </w:tcPr>
          <w:p w14:paraId="2539240D">
            <w:pPr>
              <w:pStyle w:val="557"/>
            </w:pPr>
            <w:r>
              <w:rPr>
                <w:rFonts w:hint="eastAsia"/>
              </w:rPr>
              <w:t>超标时间/min</w:t>
            </w:r>
          </w:p>
        </w:tc>
        <w:tc>
          <w:tcPr>
            <w:tcW w:w="1021" w:type="pct"/>
            <w:gridSpan w:val="2"/>
            <w:vAlign w:val="center"/>
          </w:tcPr>
          <w:p w14:paraId="1C28BEB2">
            <w:pPr>
              <w:pStyle w:val="557"/>
            </w:pPr>
            <w:r>
              <w:rPr>
                <w:rFonts w:hint="eastAsia"/>
              </w:rPr>
              <w:t>超标持续时间/min</w:t>
            </w:r>
          </w:p>
        </w:tc>
        <w:tc>
          <w:tcPr>
            <w:tcW w:w="1011" w:type="pct"/>
            <w:gridSpan w:val="2"/>
            <w:vAlign w:val="center"/>
          </w:tcPr>
          <w:p w14:paraId="62288070">
            <w:pPr>
              <w:pStyle w:val="557"/>
            </w:pPr>
            <w:r>
              <w:rPr>
                <w:rFonts w:hint="eastAsia"/>
              </w:rPr>
              <w:t>最大浓度/(mg/m</w:t>
            </w:r>
            <w:r>
              <w:rPr>
                <w:rFonts w:hint="eastAsia"/>
                <w:vertAlign w:val="superscript"/>
              </w:rPr>
              <w:t>3</w:t>
            </w:r>
            <w:r>
              <w:rPr>
                <w:rFonts w:hint="eastAsia"/>
              </w:rPr>
              <w:t>)</w:t>
            </w:r>
          </w:p>
        </w:tc>
      </w:tr>
      <w:tr w14:paraId="0584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565C82C3">
            <w:pPr>
              <w:pStyle w:val="557"/>
            </w:pPr>
          </w:p>
        </w:tc>
        <w:tc>
          <w:tcPr>
            <w:tcW w:w="581" w:type="pct"/>
            <w:vMerge w:val="continue"/>
            <w:vAlign w:val="center"/>
          </w:tcPr>
          <w:p w14:paraId="3611517A">
            <w:pPr>
              <w:pStyle w:val="557"/>
            </w:pPr>
          </w:p>
        </w:tc>
        <w:tc>
          <w:tcPr>
            <w:tcW w:w="1161" w:type="pct"/>
            <w:gridSpan w:val="3"/>
            <w:vAlign w:val="center"/>
          </w:tcPr>
          <w:p w14:paraId="516F789B">
            <w:pPr>
              <w:pStyle w:val="557"/>
            </w:pPr>
            <w:r>
              <w:rPr>
                <w:rFonts w:hint="eastAsia"/>
              </w:rPr>
              <w:t>花园乡</w:t>
            </w:r>
          </w:p>
        </w:tc>
        <w:tc>
          <w:tcPr>
            <w:tcW w:w="912" w:type="pct"/>
            <w:gridSpan w:val="2"/>
            <w:vAlign w:val="center"/>
          </w:tcPr>
          <w:p w14:paraId="3C72B07E">
            <w:pPr>
              <w:pStyle w:val="557"/>
            </w:pPr>
            <w:r>
              <w:rPr>
                <w:rFonts w:hint="eastAsia"/>
              </w:rPr>
              <w:t>/</w:t>
            </w:r>
          </w:p>
        </w:tc>
        <w:tc>
          <w:tcPr>
            <w:tcW w:w="1021" w:type="pct"/>
            <w:gridSpan w:val="2"/>
            <w:vAlign w:val="center"/>
          </w:tcPr>
          <w:p w14:paraId="16E9B7FA">
            <w:pPr>
              <w:pStyle w:val="557"/>
            </w:pPr>
            <w:r>
              <w:rPr>
                <w:rFonts w:hint="eastAsia"/>
              </w:rPr>
              <w:t>/</w:t>
            </w:r>
          </w:p>
        </w:tc>
        <w:tc>
          <w:tcPr>
            <w:tcW w:w="1011" w:type="pct"/>
            <w:gridSpan w:val="2"/>
            <w:vAlign w:val="center"/>
          </w:tcPr>
          <w:p w14:paraId="1F43C25F">
            <w:pPr>
              <w:pStyle w:val="557"/>
            </w:pPr>
            <w:r>
              <w:rPr>
                <w:rFonts w:hint="eastAsia"/>
              </w:rPr>
              <w:t>/</w:t>
            </w:r>
          </w:p>
        </w:tc>
      </w:tr>
    </w:tbl>
    <w:p w14:paraId="4566EF1F">
      <w:pPr>
        <w:pStyle w:val="535"/>
        <w:rPr>
          <w:rFonts w:hint="eastAsia"/>
          <w:color w:val="auto"/>
        </w:rPr>
      </w:pPr>
    </w:p>
    <w:p w14:paraId="18F064C3">
      <w:pPr>
        <w:pStyle w:val="535"/>
        <w:rPr>
          <w:rFonts w:hint="eastAsia"/>
          <w:color w:val="auto"/>
        </w:rPr>
      </w:pPr>
      <w:r>
        <w:rPr>
          <w:rFonts w:hint="eastAsia"/>
          <w:color w:val="auto"/>
        </w:rPr>
        <w:t>图7.7</w:t>
      </w:r>
      <w:r>
        <w:rPr>
          <w:color w:val="auto"/>
        </w:rPr>
        <w:t>.1</w:t>
      </w:r>
      <w:r>
        <w:rPr>
          <w:rFonts w:hint="eastAsia"/>
          <w:color w:val="auto"/>
        </w:rPr>
        <w:t>-4   最不利气象条件下甲醇泄漏发生火灾次生污染物CO扩散最大影响区域图</w:t>
      </w:r>
    </w:p>
    <w:p w14:paraId="595640EA">
      <w:pPr>
        <w:pStyle w:val="535"/>
        <w:rPr>
          <w:rFonts w:hint="eastAsia"/>
          <w:color w:val="auto"/>
        </w:rPr>
      </w:pPr>
    </w:p>
    <w:p w14:paraId="5D053410">
      <w:pPr>
        <w:pStyle w:val="535"/>
        <w:rPr>
          <w:rFonts w:hint="eastAsia"/>
          <w:color w:val="auto"/>
        </w:rPr>
      </w:pPr>
      <w:r>
        <w:rPr>
          <w:rFonts w:hint="eastAsia"/>
          <w:color w:val="auto"/>
        </w:rPr>
        <w:t>图7.7</w:t>
      </w:r>
      <w:r>
        <w:rPr>
          <w:color w:val="auto"/>
        </w:rPr>
        <w:t>.1</w:t>
      </w:r>
      <w:r>
        <w:rPr>
          <w:rFonts w:hint="eastAsia"/>
          <w:color w:val="auto"/>
        </w:rPr>
        <w:t>-5</w:t>
      </w:r>
      <w:r>
        <w:rPr>
          <w:color w:val="auto"/>
        </w:rPr>
        <w:t xml:space="preserve">    </w:t>
      </w:r>
      <w:r>
        <w:rPr>
          <w:rFonts w:hint="eastAsia"/>
          <w:color w:val="auto"/>
        </w:rPr>
        <w:t>最常见气象条件下甲醇泄漏发生火灾次生污染物CO扩散最大影响区域图</w:t>
      </w:r>
    </w:p>
    <w:p w14:paraId="2BAB2899">
      <w:pPr>
        <w:pStyle w:val="535"/>
        <w:rPr>
          <w:rFonts w:hint="eastAsia"/>
          <w:color w:val="auto"/>
        </w:rPr>
      </w:pPr>
    </w:p>
    <w:p w14:paraId="604146CD">
      <w:pPr>
        <w:pStyle w:val="98"/>
        <w:rPr>
          <w:rFonts w:hint="eastAsia"/>
          <w:color w:val="auto"/>
        </w:rPr>
      </w:pPr>
      <w:r>
        <w:rPr>
          <w:rFonts w:hint="eastAsia"/>
          <w:color w:val="auto"/>
        </w:rPr>
        <w:t>甲酸甲酯泄漏事故预测结果</w:t>
      </w:r>
    </w:p>
    <w:p w14:paraId="434622C7">
      <w:pPr>
        <w:pStyle w:val="281"/>
        <w:ind w:firstLine="480"/>
        <w:rPr>
          <w:rFonts w:hint="eastAsia" w:ascii="宋体" w:hAnsi="宋体"/>
        </w:rPr>
      </w:pPr>
      <w:r>
        <w:rPr>
          <w:rFonts w:hint="eastAsia" w:ascii="宋体" w:hAnsi="宋体"/>
        </w:rPr>
        <w:t>根据预测方案，</w:t>
      </w:r>
      <w:r>
        <w:rPr>
          <w:rFonts w:hint="eastAsia"/>
        </w:rPr>
        <w:t>甲酸甲酯</w:t>
      </w:r>
      <w:r>
        <w:rPr>
          <w:rFonts w:hint="eastAsia" w:ascii="宋体" w:hAnsi="宋体"/>
        </w:rPr>
        <w:t>泄漏风险事故预测结果见下表。</w:t>
      </w:r>
    </w:p>
    <w:p w14:paraId="74B1133E">
      <w:pPr>
        <w:pStyle w:val="535"/>
        <w:rPr>
          <w:rFonts w:hint="eastAsia"/>
          <w:bCs/>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-3</w:t>
      </w:r>
      <w:r>
        <w:rPr>
          <w:rFonts w:eastAsia="宋体"/>
          <w:color w:val="auto"/>
        </w:rPr>
        <w:t xml:space="preserve">   </w:t>
      </w:r>
      <w:r>
        <w:rPr>
          <w:rFonts w:hint="eastAsia"/>
          <w:color w:val="auto"/>
        </w:rPr>
        <w:t>甲酸甲酯</w:t>
      </w:r>
      <w:r>
        <w:rPr>
          <w:rFonts w:hint="eastAsia"/>
          <w:bCs/>
          <w:color w:val="auto"/>
        </w:rPr>
        <w:t>泄漏源项和事故后果基本信息表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992"/>
        <w:gridCol w:w="278"/>
        <w:gridCol w:w="1067"/>
        <w:gridCol w:w="634"/>
        <w:gridCol w:w="1069"/>
        <w:gridCol w:w="486"/>
        <w:gridCol w:w="631"/>
        <w:gridCol w:w="1149"/>
        <w:gridCol w:w="273"/>
        <w:gridCol w:w="1411"/>
      </w:tblGrid>
      <w:tr w14:paraId="45D9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483C2164">
            <w:pPr>
              <w:pStyle w:val="557"/>
            </w:pPr>
            <w:r>
              <w:rPr>
                <w:rFonts w:hint="eastAsia"/>
              </w:rPr>
              <w:t>风险事故</w:t>
            </w:r>
            <w:r>
              <w:t>情形分析</w:t>
            </w:r>
          </w:p>
        </w:tc>
      </w:tr>
      <w:tr w14:paraId="340F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51A09D9E">
            <w:pPr>
              <w:pStyle w:val="557"/>
            </w:pPr>
            <w:r>
              <w:rPr>
                <w:rFonts w:hint="eastAsia"/>
              </w:rPr>
              <w:t>代表性风险事故情形描述</w:t>
            </w:r>
          </w:p>
        </w:tc>
        <w:tc>
          <w:tcPr>
            <w:tcW w:w="3942" w:type="pct"/>
            <w:gridSpan w:val="8"/>
            <w:vAlign w:val="center"/>
          </w:tcPr>
          <w:p w14:paraId="19CBA1EC">
            <w:pPr>
              <w:pStyle w:val="557"/>
            </w:pPr>
            <w:r>
              <w:rPr>
                <w:rFonts w:hint="eastAsia"/>
              </w:rPr>
              <w:t>甲酸甲酯储罐</w:t>
            </w:r>
            <w:r>
              <w:t>泄漏扩散</w:t>
            </w:r>
          </w:p>
        </w:tc>
      </w:tr>
      <w:tr w14:paraId="10F4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579273F7">
            <w:pPr>
              <w:pStyle w:val="557"/>
            </w:pPr>
            <w:r>
              <w:rPr>
                <w:rFonts w:hint="eastAsia"/>
              </w:rPr>
              <w:t>环境</w:t>
            </w:r>
            <w:r>
              <w:t>风险</w:t>
            </w:r>
            <w:r>
              <w:rPr>
                <w:rFonts w:hint="eastAsia"/>
              </w:rPr>
              <w:t>类型</w:t>
            </w:r>
          </w:p>
        </w:tc>
        <w:tc>
          <w:tcPr>
            <w:tcW w:w="3942" w:type="pct"/>
            <w:gridSpan w:val="8"/>
            <w:vAlign w:val="center"/>
          </w:tcPr>
          <w:p w14:paraId="2877A4A5">
            <w:pPr>
              <w:pStyle w:val="557"/>
            </w:pPr>
            <w:r>
              <w:rPr>
                <w:rFonts w:hint="eastAsia"/>
              </w:rPr>
              <w:t>泄漏</w:t>
            </w:r>
          </w:p>
        </w:tc>
      </w:tr>
      <w:tr w14:paraId="42A8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0178F767">
            <w:pPr>
              <w:pStyle w:val="557"/>
            </w:pPr>
            <w:r>
              <w:rPr>
                <w:rFonts w:hint="eastAsia"/>
              </w:rPr>
              <w:t>泄漏设备类型</w:t>
            </w:r>
          </w:p>
        </w:tc>
        <w:tc>
          <w:tcPr>
            <w:tcW w:w="626" w:type="pct"/>
            <w:vAlign w:val="center"/>
          </w:tcPr>
          <w:p w14:paraId="18B7D2A8">
            <w:pPr>
              <w:pStyle w:val="557"/>
            </w:pPr>
            <w:r>
              <w:rPr>
                <w:rFonts w:hint="eastAsia"/>
              </w:rPr>
              <w:t>储罐</w:t>
            </w:r>
          </w:p>
        </w:tc>
        <w:tc>
          <w:tcPr>
            <w:tcW w:w="999" w:type="pct"/>
            <w:gridSpan w:val="2"/>
            <w:vAlign w:val="center"/>
          </w:tcPr>
          <w:p w14:paraId="5F193F43">
            <w:pPr>
              <w:pStyle w:val="557"/>
            </w:pPr>
            <w:r>
              <w:rPr>
                <w:rFonts w:hint="eastAsia"/>
              </w:rPr>
              <w:t>操作温度/℃</w:t>
            </w:r>
          </w:p>
        </w:tc>
        <w:tc>
          <w:tcPr>
            <w:tcW w:w="655" w:type="pct"/>
            <w:gridSpan w:val="2"/>
            <w:vAlign w:val="center"/>
          </w:tcPr>
          <w:p w14:paraId="669CD693">
            <w:pPr>
              <w:pStyle w:val="557"/>
            </w:pPr>
            <w:r>
              <w:rPr>
                <w:rFonts w:hint="eastAsia"/>
              </w:rPr>
              <w:t>常温</w:t>
            </w:r>
          </w:p>
        </w:tc>
        <w:tc>
          <w:tcPr>
            <w:tcW w:w="834" w:type="pct"/>
            <w:gridSpan w:val="2"/>
            <w:vAlign w:val="center"/>
          </w:tcPr>
          <w:p w14:paraId="29E0B6D8">
            <w:pPr>
              <w:pStyle w:val="557"/>
            </w:pPr>
            <w:r>
              <w:rPr>
                <w:rFonts w:hint="eastAsia"/>
              </w:rPr>
              <w:t>操作压力/MPa</w:t>
            </w:r>
          </w:p>
        </w:tc>
        <w:tc>
          <w:tcPr>
            <w:tcW w:w="828" w:type="pct"/>
            <w:vAlign w:val="center"/>
          </w:tcPr>
          <w:p w14:paraId="2CD35676">
            <w:pPr>
              <w:pStyle w:val="557"/>
            </w:pPr>
            <w:r>
              <w:rPr>
                <w:rFonts w:hint="eastAsia"/>
              </w:rPr>
              <w:t>常温</w:t>
            </w:r>
          </w:p>
        </w:tc>
      </w:tr>
      <w:tr w14:paraId="32F7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5AF977AE">
            <w:pPr>
              <w:pStyle w:val="557"/>
            </w:pPr>
            <w:r>
              <w:rPr>
                <w:rFonts w:hint="eastAsia"/>
              </w:rPr>
              <w:t>泄漏速率(kg/s)</w:t>
            </w:r>
          </w:p>
        </w:tc>
        <w:tc>
          <w:tcPr>
            <w:tcW w:w="626" w:type="pct"/>
            <w:vAlign w:val="center"/>
          </w:tcPr>
          <w:p w14:paraId="2F71438D">
            <w:pPr>
              <w:pStyle w:val="557"/>
            </w:pPr>
            <w:r>
              <w:rPr>
                <w:rFonts w:hint="eastAsia"/>
              </w:rPr>
              <w:t>46.67</w:t>
            </w:r>
          </w:p>
        </w:tc>
        <w:tc>
          <w:tcPr>
            <w:tcW w:w="999" w:type="pct"/>
            <w:gridSpan w:val="2"/>
            <w:vAlign w:val="center"/>
          </w:tcPr>
          <w:p w14:paraId="27393CEF">
            <w:pPr>
              <w:pStyle w:val="557"/>
            </w:pPr>
            <w:r>
              <w:rPr>
                <w:rFonts w:hint="eastAsia"/>
              </w:rPr>
              <w:t>蒸发速率(kg/s)</w:t>
            </w:r>
          </w:p>
        </w:tc>
        <w:tc>
          <w:tcPr>
            <w:tcW w:w="655" w:type="pct"/>
            <w:gridSpan w:val="2"/>
            <w:vAlign w:val="center"/>
          </w:tcPr>
          <w:p w14:paraId="59E365F4">
            <w:pPr>
              <w:pStyle w:val="557"/>
            </w:pPr>
            <w:r>
              <w:rPr>
                <w:rFonts w:hint="eastAsia"/>
              </w:rPr>
              <w:t>0.075</w:t>
            </w:r>
          </w:p>
        </w:tc>
        <w:tc>
          <w:tcPr>
            <w:tcW w:w="834" w:type="pct"/>
            <w:gridSpan w:val="2"/>
            <w:vAlign w:val="center"/>
          </w:tcPr>
          <w:p w14:paraId="03CB2646">
            <w:pPr>
              <w:pStyle w:val="557"/>
            </w:pPr>
          </w:p>
        </w:tc>
        <w:tc>
          <w:tcPr>
            <w:tcW w:w="828" w:type="pct"/>
            <w:vAlign w:val="center"/>
          </w:tcPr>
          <w:p w14:paraId="2387FCBC">
            <w:pPr>
              <w:pStyle w:val="557"/>
            </w:pPr>
          </w:p>
        </w:tc>
      </w:tr>
      <w:tr w14:paraId="608D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5BEAFA33">
            <w:pPr>
              <w:pStyle w:val="557"/>
            </w:pPr>
            <w:r>
              <w:rPr>
                <w:rFonts w:hint="eastAsia"/>
              </w:rPr>
              <w:t>事故后果预测</w:t>
            </w:r>
          </w:p>
        </w:tc>
      </w:tr>
      <w:tr w14:paraId="56FB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restart"/>
            <w:vAlign w:val="center"/>
          </w:tcPr>
          <w:p w14:paraId="2AB25C68">
            <w:pPr>
              <w:pStyle w:val="557"/>
            </w:pPr>
            <w:r>
              <w:rPr>
                <w:rFonts w:hint="eastAsia"/>
              </w:rPr>
              <w:t>大气</w:t>
            </w:r>
          </w:p>
        </w:tc>
        <w:tc>
          <w:tcPr>
            <w:tcW w:w="582" w:type="pct"/>
            <w:vAlign w:val="center"/>
          </w:tcPr>
          <w:p w14:paraId="178FBD80">
            <w:pPr>
              <w:pStyle w:val="557"/>
            </w:pPr>
            <w:r>
              <w:rPr>
                <w:rFonts w:hint="eastAsia"/>
              </w:rPr>
              <w:t>危险物质</w:t>
            </w:r>
          </w:p>
        </w:tc>
        <w:tc>
          <w:tcPr>
            <w:tcW w:w="4104" w:type="pct"/>
            <w:gridSpan w:val="9"/>
            <w:vAlign w:val="center"/>
          </w:tcPr>
          <w:p w14:paraId="0065A86D">
            <w:pPr>
              <w:pStyle w:val="557"/>
            </w:pPr>
            <w:r>
              <w:rPr>
                <w:rFonts w:hint="eastAsia"/>
              </w:rPr>
              <w:t>最不利气象条件下大气</w:t>
            </w:r>
            <w:r>
              <w:t>环境影响</w:t>
            </w:r>
          </w:p>
        </w:tc>
      </w:tr>
      <w:tr w14:paraId="1419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79C7CC31">
            <w:pPr>
              <w:pStyle w:val="557"/>
            </w:pPr>
          </w:p>
        </w:tc>
        <w:tc>
          <w:tcPr>
            <w:tcW w:w="582" w:type="pct"/>
            <w:vMerge w:val="restart"/>
            <w:vAlign w:val="center"/>
          </w:tcPr>
          <w:p w14:paraId="00F17090">
            <w:pPr>
              <w:pStyle w:val="557"/>
            </w:pPr>
            <w:r>
              <w:rPr>
                <w:rFonts w:hint="eastAsia"/>
              </w:rPr>
              <w:t>甲酸甲酯</w:t>
            </w:r>
          </w:p>
        </w:tc>
        <w:tc>
          <w:tcPr>
            <w:tcW w:w="1161" w:type="pct"/>
            <w:gridSpan w:val="3"/>
            <w:vAlign w:val="center"/>
          </w:tcPr>
          <w:p w14:paraId="4977E20F">
            <w:pPr>
              <w:pStyle w:val="557"/>
            </w:pPr>
            <w:r>
              <w:rPr>
                <w:rFonts w:hint="eastAsia"/>
              </w:rPr>
              <w:t>指标</w:t>
            </w:r>
          </w:p>
        </w:tc>
        <w:tc>
          <w:tcPr>
            <w:tcW w:w="912" w:type="pct"/>
            <w:gridSpan w:val="2"/>
            <w:vAlign w:val="center"/>
          </w:tcPr>
          <w:p w14:paraId="17283790">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7CE853A5">
            <w:pPr>
              <w:pStyle w:val="557"/>
            </w:pPr>
            <w:r>
              <w:rPr>
                <w:rFonts w:hint="eastAsia"/>
              </w:rPr>
              <w:t>最远影响距离/m</w:t>
            </w:r>
          </w:p>
        </w:tc>
        <w:tc>
          <w:tcPr>
            <w:tcW w:w="988" w:type="pct"/>
            <w:gridSpan w:val="2"/>
            <w:vAlign w:val="center"/>
          </w:tcPr>
          <w:p w14:paraId="77DDD3F4">
            <w:pPr>
              <w:pStyle w:val="557"/>
            </w:pPr>
            <w:r>
              <w:rPr>
                <w:rFonts w:hint="eastAsia"/>
              </w:rPr>
              <w:t>到达时间/min</w:t>
            </w:r>
          </w:p>
        </w:tc>
      </w:tr>
      <w:tr w14:paraId="3E18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2577B71E">
            <w:pPr>
              <w:pStyle w:val="557"/>
            </w:pPr>
            <w:bookmarkStart w:id="500" w:name="_Hlk195098906"/>
          </w:p>
        </w:tc>
        <w:tc>
          <w:tcPr>
            <w:tcW w:w="582" w:type="pct"/>
            <w:vMerge w:val="continue"/>
            <w:vAlign w:val="center"/>
          </w:tcPr>
          <w:p w14:paraId="7CB8AF65">
            <w:pPr>
              <w:pStyle w:val="557"/>
            </w:pPr>
          </w:p>
        </w:tc>
        <w:tc>
          <w:tcPr>
            <w:tcW w:w="1161" w:type="pct"/>
            <w:gridSpan w:val="3"/>
            <w:vAlign w:val="center"/>
          </w:tcPr>
          <w:p w14:paraId="542DAA0E">
            <w:pPr>
              <w:pStyle w:val="557"/>
            </w:pPr>
            <w:r>
              <w:rPr>
                <w:rFonts w:hint="eastAsia"/>
              </w:rPr>
              <w:t>大气毒性终点浓度-1</w:t>
            </w:r>
          </w:p>
        </w:tc>
        <w:tc>
          <w:tcPr>
            <w:tcW w:w="912" w:type="pct"/>
            <w:gridSpan w:val="2"/>
            <w:vAlign w:val="center"/>
          </w:tcPr>
          <w:p w14:paraId="76E1B85E">
            <w:pPr>
              <w:pStyle w:val="557"/>
            </w:pPr>
            <w:r>
              <w:rPr>
                <w:rFonts w:hint="eastAsia"/>
              </w:rPr>
              <w:t>12000</w:t>
            </w:r>
          </w:p>
        </w:tc>
        <w:tc>
          <w:tcPr>
            <w:tcW w:w="2032" w:type="pct"/>
            <w:gridSpan w:val="4"/>
            <w:vAlign w:val="center"/>
          </w:tcPr>
          <w:p w14:paraId="4C6AF3D2">
            <w:pPr>
              <w:pStyle w:val="557"/>
            </w:pPr>
            <w:r>
              <w:rPr>
                <w:rFonts w:hint="eastAsia"/>
              </w:rPr>
              <w:t>此阈值及以上，无对应位置，因计算浓度均小于此阈值</w:t>
            </w:r>
          </w:p>
        </w:tc>
      </w:tr>
      <w:tr w14:paraId="6C2E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50FC558E">
            <w:pPr>
              <w:pStyle w:val="557"/>
            </w:pPr>
          </w:p>
        </w:tc>
        <w:tc>
          <w:tcPr>
            <w:tcW w:w="582" w:type="pct"/>
            <w:vMerge w:val="continue"/>
            <w:vAlign w:val="center"/>
          </w:tcPr>
          <w:p w14:paraId="7B6B1228">
            <w:pPr>
              <w:pStyle w:val="557"/>
            </w:pPr>
          </w:p>
        </w:tc>
        <w:tc>
          <w:tcPr>
            <w:tcW w:w="1161" w:type="pct"/>
            <w:gridSpan w:val="3"/>
            <w:vAlign w:val="center"/>
          </w:tcPr>
          <w:p w14:paraId="55A4861C">
            <w:pPr>
              <w:pStyle w:val="557"/>
            </w:pPr>
            <w:r>
              <w:rPr>
                <w:rFonts w:hint="eastAsia"/>
              </w:rPr>
              <w:t>指标</w:t>
            </w:r>
          </w:p>
        </w:tc>
        <w:tc>
          <w:tcPr>
            <w:tcW w:w="912" w:type="pct"/>
            <w:gridSpan w:val="2"/>
            <w:vAlign w:val="center"/>
          </w:tcPr>
          <w:p w14:paraId="23B9CA7F">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299A3A50">
            <w:pPr>
              <w:pStyle w:val="557"/>
            </w:pPr>
            <w:r>
              <w:rPr>
                <w:rFonts w:hint="eastAsia"/>
              </w:rPr>
              <w:t>最远影响距离/m</w:t>
            </w:r>
          </w:p>
        </w:tc>
        <w:tc>
          <w:tcPr>
            <w:tcW w:w="988" w:type="pct"/>
            <w:gridSpan w:val="2"/>
            <w:vAlign w:val="center"/>
          </w:tcPr>
          <w:p w14:paraId="1CBBD02D">
            <w:pPr>
              <w:pStyle w:val="557"/>
            </w:pPr>
            <w:r>
              <w:rPr>
                <w:rFonts w:hint="eastAsia"/>
              </w:rPr>
              <w:t>到达时间/min</w:t>
            </w:r>
          </w:p>
        </w:tc>
      </w:tr>
      <w:tr w14:paraId="6925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0E57554">
            <w:pPr>
              <w:pStyle w:val="557"/>
            </w:pPr>
          </w:p>
        </w:tc>
        <w:tc>
          <w:tcPr>
            <w:tcW w:w="582" w:type="pct"/>
            <w:vMerge w:val="continue"/>
            <w:vAlign w:val="center"/>
          </w:tcPr>
          <w:p w14:paraId="3DD2DD46">
            <w:pPr>
              <w:pStyle w:val="557"/>
            </w:pPr>
          </w:p>
        </w:tc>
        <w:tc>
          <w:tcPr>
            <w:tcW w:w="1161" w:type="pct"/>
            <w:gridSpan w:val="3"/>
            <w:vAlign w:val="center"/>
          </w:tcPr>
          <w:p w14:paraId="5D7FA463">
            <w:pPr>
              <w:pStyle w:val="557"/>
            </w:pPr>
            <w:r>
              <w:rPr>
                <w:rFonts w:hint="eastAsia"/>
              </w:rPr>
              <w:t>大气毒性终点浓度-2</w:t>
            </w:r>
          </w:p>
        </w:tc>
        <w:tc>
          <w:tcPr>
            <w:tcW w:w="912" w:type="pct"/>
            <w:gridSpan w:val="2"/>
            <w:vAlign w:val="center"/>
          </w:tcPr>
          <w:p w14:paraId="04D261A1">
            <w:pPr>
              <w:pStyle w:val="557"/>
            </w:pPr>
            <w:r>
              <w:rPr>
                <w:rFonts w:hint="eastAsia"/>
              </w:rPr>
              <w:t>2000</w:t>
            </w:r>
          </w:p>
        </w:tc>
        <w:tc>
          <w:tcPr>
            <w:tcW w:w="2032" w:type="pct"/>
            <w:gridSpan w:val="4"/>
            <w:vAlign w:val="center"/>
          </w:tcPr>
          <w:p w14:paraId="15F8140A">
            <w:pPr>
              <w:pStyle w:val="557"/>
            </w:pPr>
            <w:r>
              <w:rPr>
                <w:rFonts w:hint="eastAsia"/>
              </w:rPr>
              <w:t>此阈值及以上，无对应位置，因计算浓度均小于此阈值</w:t>
            </w:r>
          </w:p>
        </w:tc>
      </w:tr>
      <w:bookmarkEnd w:id="500"/>
      <w:tr w14:paraId="431D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5EB02F53">
            <w:pPr>
              <w:pStyle w:val="557"/>
            </w:pPr>
          </w:p>
        </w:tc>
        <w:tc>
          <w:tcPr>
            <w:tcW w:w="582" w:type="pct"/>
            <w:vMerge w:val="continue"/>
            <w:vAlign w:val="center"/>
          </w:tcPr>
          <w:p w14:paraId="281460BD">
            <w:pPr>
              <w:pStyle w:val="557"/>
            </w:pPr>
          </w:p>
        </w:tc>
        <w:tc>
          <w:tcPr>
            <w:tcW w:w="1161" w:type="pct"/>
            <w:gridSpan w:val="3"/>
            <w:vAlign w:val="center"/>
          </w:tcPr>
          <w:p w14:paraId="30D0077B">
            <w:pPr>
              <w:pStyle w:val="557"/>
            </w:pPr>
            <w:r>
              <w:rPr>
                <w:rFonts w:hint="eastAsia"/>
              </w:rPr>
              <w:t>敏感目标</w:t>
            </w:r>
          </w:p>
        </w:tc>
        <w:tc>
          <w:tcPr>
            <w:tcW w:w="912" w:type="pct"/>
            <w:gridSpan w:val="2"/>
            <w:vAlign w:val="center"/>
          </w:tcPr>
          <w:p w14:paraId="37BBC4D6">
            <w:pPr>
              <w:pStyle w:val="557"/>
            </w:pPr>
            <w:r>
              <w:rPr>
                <w:rFonts w:hint="eastAsia"/>
              </w:rPr>
              <w:t>超标时间/min</w:t>
            </w:r>
          </w:p>
        </w:tc>
        <w:tc>
          <w:tcPr>
            <w:tcW w:w="1044" w:type="pct"/>
            <w:gridSpan w:val="2"/>
            <w:vAlign w:val="center"/>
          </w:tcPr>
          <w:p w14:paraId="397B26B3">
            <w:pPr>
              <w:pStyle w:val="557"/>
            </w:pPr>
            <w:r>
              <w:rPr>
                <w:rFonts w:hint="eastAsia"/>
              </w:rPr>
              <w:t>超标持续时间/min</w:t>
            </w:r>
          </w:p>
        </w:tc>
        <w:tc>
          <w:tcPr>
            <w:tcW w:w="988" w:type="pct"/>
            <w:gridSpan w:val="2"/>
            <w:vAlign w:val="center"/>
          </w:tcPr>
          <w:p w14:paraId="44887C84">
            <w:pPr>
              <w:pStyle w:val="557"/>
            </w:pPr>
            <w:r>
              <w:rPr>
                <w:rFonts w:hint="eastAsia"/>
              </w:rPr>
              <w:t>最大浓度/(mg/m</w:t>
            </w:r>
            <w:r>
              <w:rPr>
                <w:rFonts w:hint="eastAsia"/>
                <w:vertAlign w:val="superscript"/>
              </w:rPr>
              <w:t>3</w:t>
            </w:r>
            <w:r>
              <w:rPr>
                <w:rFonts w:hint="eastAsia"/>
              </w:rPr>
              <w:t>)</w:t>
            </w:r>
          </w:p>
        </w:tc>
      </w:tr>
      <w:tr w14:paraId="60B5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636204C5">
            <w:pPr>
              <w:pStyle w:val="557"/>
            </w:pPr>
          </w:p>
        </w:tc>
        <w:tc>
          <w:tcPr>
            <w:tcW w:w="582" w:type="pct"/>
            <w:vMerge w:val="continue"/>
            <w:vAlign w:val="center"/>
          </w:tcPr>
          <w:p w14:paraId="425DF666">
            <w:pPr>
              <w:pStyle w:val="557"/>
            </w:pPr>
          </w:p>
        </w:tc>
        <w:tc>
          <w:tcPr>
            <w:tcW w:w="1161" w:type="pct"/>
            <w:gridSpan w:val="3"/>
            <w:vAlign w:val="center"/>
          </w:tcPr>
          <w:p w14:paraId="29C2720F">
            <w:pPr>
              <w:pStyle w:val="557"/>
            </w:pPr>
            <w:r>
              <w:rPr>
                <w:rFonts w:hint="eastAsia"/>
              </w:rPr>
              <w:t>花园乡</w:t>
            </w:r>
          </w:p>
        </w:tc>
        <w:tc>
          <w:tcPr>
            <w:tcW w:w="912" w:type="pct"/>
            <w:gridSpan w:val="2"/>
            <w:vAlign w:val="center"/>
          </w:tcPr>
          <w:p w14:paraId="239E7C79">
            <w:pPr>
              <w:pStyle w:val="557"/>
            </w:pPr>
            <w:r>
              <w:rPr>
                <w:rFonts w:hint="eastAsia"/>
              </w:rPr>
              <w:t>/</w:t>
            </w:r>
          </w:p>
        </w:tc>
        <w:tc>
          <w:tcPr>
            <w:tcW w:w="1044" w:type="pct"/>
            <w:gridSpan w:val="2"/>
            <w:vAlign w:val="center"/>
          </w:tcPr>
          <w:p w14:paraId="1219EB54">
            <w:pPr>
              <w:pStyle w:val="557"/>
            </w:pPr>
            <w:r>
              <w:rPr>
                <w:rFonts w:hint="eastAsia"/>
              </w:rPr>
              <w:t>/</w:t>
            </w:r>
          </w:p>
        </w:tc>
        <w:tc>
          <w:tcPr>
            <w:tcW w:w="988" w:type="pct"/>
            <w:gridSpan w:val="2"/>
            <w:vAlign w:val="center"/>
          </w:tcPr>
          <w:p w14:paraId="07659FEE">
            <w:pPr>
              <w:pStyle w:val="557"/>
            </w:pPr>
            <w:r>
              <w:rPr>
                <w:rFonts w:hint="eastAsia"/>
              </w:rPr>
              <w:t>/</w:t>
            </w:r>
          </w:p>
        </w:tc>
      </w:tr>
      <w:tr w14:paraId="00E2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1EA3B589">
            <w:pPr>
              <w:pStyle w:val="557"/>
            </w:pPr>
          </w:p>
        </w:tc>
        <w:tc>
          <w:tcPr>
            <w:tcW w:w="582" w:type="pct"/>
            <w:vMerge w:val="continue"/>
            <w:vAlign w:val="center"/>
          </w:tcPr>
          <w:p w14:paraId="09781008">
            <w:pPr>
              <w:pStyle w:val="557"/>
            </w:pPr>
          </w:p>
        </w:tc>
        <w:tc>
          <w:tcPr>
            <w:tcW w:w="4104" w:type="pct"/>
            <w:gridSpan w:val="9"/>
            <w:vAlign w:val="center"/>
          </w:tcPr>
          <w:p w14:paraId="5E0BAC6A">
            <w:pPr>
              <w:pStyle w:val="557"/>
            </w:pPr>
            <w:r>
              <w:rPr>
                <w:rFonts w:hint="eastAsia"/>
              </w:rPr>
              <w:t>最常见气象条件下大气</w:t>
            </w:r>
            <w:r>
              <w:t>环境影响</w:t>
            </w:r>
          </w:p>
        </w:tc>
      </w:tr>
      <w:tr w14:paraId="5FE7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0536165D">
            <w:pPr>
              <w:pStyle w:val="557"/>
            </w:pPr>
          </w:p>
        </w:tc>
        <w:tc>
          <w:tcPr>
            <w:tcW w:w="582" w:type="pct"/>
            <w:vMerge w:val="continue"/>
            <w:vAlign w:val="center"/>
          </w:tcPr>
          <w:p w14:paraId="0704B08D">
            <w:pPr>
              <w:pStyle w:val="557"/>
            </w:pPr>
          </w:p>
        </w:tc>
        <w:tc>
          <w:tcPr>
            <w:tcW w:w="1161" w:type="pct"/>
            <w:gridSpan w:val="3"/>
            <w:vAlign w:val="center"/>
          </w:tcPr>
          <w:p w14:paraId="59F5CA20">
            <w:pPr>
              <w:pStyle w:val="557"/>
            </w:pPr>
            <w:r>
              <w:rPr>
                <w:rFonts w:hint="eastAsia"/>
              </w:rPr>
              <w:t>指标</w:t>
            </w:r>
          </w:p>
        </w:tc>
        <w:tc>
          <w:tcPr>
            <w:tcW w:w="912" w:type="pct"/>
            <w:gridSpan w:val="2"/>
            <w:vAlign w:val="center"/>
          </w:tcPr>
          <w:p w14:paraId="45581156">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5E9DE8E1">
            <w:pPr>
              <w:pStyle w:val="557"/>
            </w:pPr>
            <w:r>
              <w:rPr>
                <w:rFonts w:hint="eastAsia"/>
              </w:rPr>
              <w:t>最远影响距离/m</w:t>
            </w:r>
          </w:p>
        </w:tc>
        <w:tc>
          <w:tcPr>
            <w:tcW w:w="988" w:type="pct"/>
            <w:gridSpan w:val="2"/>
            <w:vAlign w:val="center"/>
          </w:tcPr>
          <w:p w14:paraId="6AFBFB5E">
            <w:pPr>
              <w:pStyle w:val="557"/>
            </w:pPr>
            <w:r>
              <w:rPr>
                <w:rFonts w:hint="eastAsia"/>
              </w:rPr>
              <w:t>到达时间/min</w:t>
            </w:r>
          </w:p>
        </w:tc>
      </w:tr>
      <w:tr w14:paraId="5BC1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4AD32D7">
            <w:pPr>
              <w:pStyle w:val="557"/>
            </w:pPr>
          </w:p>
        </w:tc>
        <w:tc>
          <w:tcPr>
            <w:tcW w:w="582" w:type="pct"/>
            <w:vMerge w:val="continue"/>
            <w:vAlign w:val="center"/>
          </w:tcPr>
          <w:p w14:paraId="438446CF">
            <w:pPr>
              <w:pStyle w:val="557"/>
            </w:pPr>
          </w:p>
        </w:tc>
        <w:tc>
          <w:tcPr>
            <w:tcW w:w="1161" w:type="pct"/>
            <w:gridSpan w:val="3"/>
            <w:vAlign w:val="center"/>
          </w:tcPr>
          <w:p w14:paraId="449D51D5">
            <w:pPr>
              <w:pStyle w:val="557"/>
            </w:pPr>
            <w:r>
              <w:rPr>
                <w:rFonts w:hint="eastAsia"/>
              </w:rPr>
              <w:t>大气毒性终点浓度-1</w:t>
            </w:r>
          </w:p>
        </w:tc>
        <w:tc>
          <w:tcPr>
            <w:tcW w:w="912" w:type="pct"/>
            <w:gridSpan w:val="2"/>
            <w:vAlign w:val="center"/>
          </w:tcPr>
          <w:p w14:paraId="62594207">
            <w:pPr>
              <w:pStyle w:val="557"/>
            </w:pPr>
            <w:r>
              <w:rPr>
                <w:rFonts w:hint="eastAsia"/>
              </w:rPr>
              <w:t>12000</w:t>
            </w:r>
          </w:p>
        </w:tc>
        <w:tc>
          <w:tcPr>
            <w:tcW w:w="2032" w:type="pct"/>
            <w:gridSpan w:val="4"/>
            <w:vAlign w:val="center"/>
          </w:tcPr>
          <w:p w14:paraId="1546E4BB">
            <w:pPr>
              <w:pStyle w:val="557"/>
            </w:pPr>
            <w:r>
              <w:rPr>
                <w:rFonts w:hint="eastAsia"/>
              </w:rPr>
              <w:t>此阈值及以上，无对应位置，因计算浓度均小于此阈值</w:t>
            </w:r>
          </w:p>
        </w:tc>
      </w:tr>
      <w:tr w14:paraId="020E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2D35117B">
            <w:pPr>
              <w:pStyle w:val="557"/>
            </w:pPr>
          </w:p>
        </w:tc>
        <w:tc>
          <w:tcPr>
            <w:tcW w:w="582" w:type="pct"/>
            <w:vMerge w:val="continue"/>
            <w:vAlign w:val="center"/>
          </w:tcPr>
          <w:p w14:paraId="67EC5946">
            <w:pPr>
              <w:pStyle w:val="557"/>
            </w:pPr>
          </w:p>
        </w:tc>
        <w:tc>
          <w:tcPr>
            <w:tcW w:w="1161" w:type="pct"/>
            <w:gridSpan w:val="3"/>
            <w:vAlign w:val="center"/>
          </w:tcPr>
          <w:p w14:paraId="7129B81B">
            <w:pPr>
              <w:pStyle w:val="557"/>
            </w:pPr>
            <w:r>
              <w:rPr>
                <w:rFonts w:hint="eastAsia"/>
              </w:rPr>
              <w:t>指标</w:t>
            </w:r>
          </w:p>
        </w:tc>
        <w:tc>
          <w:tcPr>
            <w:tcW w:w="912" w:type="pct"/>
            <w:gridSpan w:val="2"/>
            <w:vAlign w:val="center"/>
          </w:tcPr>
          <w:p w14:paraId="6888D04D">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2"/>
            <w:vAlign w:val="center"/>
          </w:tcPr>
          <w:p w14:paraId="63AC1AC6">
            <w:pPr>
              <w:pStyle w:val="557"/>
            </w:pPr>
            <w:r>
              <w:rPr>
                <w:rFonts w:hint="eastAsia"/>
              </w:rPr>
              <w:t>最远影响距离/m</w:t>
            </w:r>
          </w:p>
        </w:tc>
        <w:tc>
          <w:tcPr>
            <w:tcW w:w="988" w:type="pct"/>
            <w:gridSpan w:val="2"/>
            <w:vAlign w:val="center"/>
          </w:tcPr>
          <w:p w14:paraId="5C8C00FC">
            <w:pPr>
              <w:pStyle w:val="557"/>
            </w:pPr>
            <w:r>
              <w:rPr>
                <w:rFonts w:hint="eastAsia"/>
              </w:rPr>
              <w:t>到达时间/min</w:t>
            </w:r>
          </w:p>
        </w:tc>
      </w:tr>
      <w:tr w14:paraId="4704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0676681B">
            <w:pPr>
              <w:pStyle w:val="557"/>
            </w:pPr>
          </w:p>
        </w:tc>
        <w:tc>
          <w:tcPr>
            <w:tcW w:w="582" w:type="pct"/>
            <w:vMerge w:val="continue"/>
            <w:vAlign w:val="center"/>
          </w:tcPr>
          <w:p w14:paraId="07848365">
            <w:pPr>
              <w:pStyle w:val="557"/>
            </w:pPr>
          </w:p>
        </w:tc>
        <w:tc>
          <w:tcPr>
            <w:tcW w:w="1161" w:type="pct"/>
            <w:gridSpan w:val="3"/>
            <w:vAlign w:val="center"/>
          </w:tcPr>
          <w:p w14:paraId="01B16AEA">
            <w:pPr>
              <w:pStyle w:val="557"/>
            </w:pPr>
            <w:r>
              <w:rPr>
                <w:rFonts w:hint="eastAsia"/>
              </w:rPr>
              <w:t>大气毒性终点浓度-2</w:t>
            </w:r>
          </w:p>
        </w:tc>
        <w:tc>
          <w:tcPr>
            <w:tcW w:w="912" w:type="pct"/>
            <w:gridSpan w:val="2"/>
            <w:vAlign w:val="center"/>
          </w:tcPr>
          <w:p w14:paraId="0E5F4431">
            <w:pPr>
              <w:pStyle w:val="557"/>
            </w:pPr>
            <w:r>
              <w:rPr>
                <w:rFonts w:hint="eastAsia"/>
              </w:rPr>
              <w:t>2000</w:t>
            </w:r>
          </w:p>
        </w:tc>
        <w:tc>
          <w:tcPr>
            <w:tcW w:w="2032" w:type="pct"/>
            <w:gridSpan w:val="4"/>
            <w:vAlign w:val="center"/>
          </w:tcPr>
          <w:p w14:paraId="77C7CCAE">
            <w:pPr>
              <w:pStyle w:val="557"/>
            </w:pPr>
            <w:r>
              <w:rPr>
                <w:rFonts w:hint="eastAsia"/>
              </w:rPr>
              <w:t>此阈值及以上，无对应位置，因计算浓度均小于此阈值</w:t>
            </w:r>
          </w:p>
        </w:tc>
      </w:tr>
      <w:tr w14:paraId="3160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03BF8030">
            <w:pPr>
              <w:pStyle w:val="557"/>
            </w:pPr>
          </w:p>
        </w:tc>
        <w:tc>
          <w:tcPr>
            <w:tcW w:w="582" w:type="pct"/>
            <w:vMerge w:val="continue"/>
            <w:vAlign w:val="center"/>
          </w:tcPr>
          <w:p w14:paraId="64A5515B">
            <w:pPr>
              <w:pStyle w:val="557"/>
            </w:pPr>
          </w:p>
        </w:tc>
        <w:tc>
          <w:tcPr>
            <w:tcW w:w="1161" w:type="pct"/>
            <w:gridSpan w:val="3"/>
            <w:vAlign w:val="center"/>
          </w:tcPr>
          <w:p w14:paraId="352EF86F">
            <w:pPr>
              <w:pStyle w:val="557"/>
            </w:pPr>
            <w:r>
              <w:rPr>
                <w:rFonts w:hint="eastAsia"/>
              </w:rPr>
              <w:t>敏感目标</w:t>
            </w:r>
          </w:p>
        </w:tc>
        <w:tc>
          <w:tcPr>
            <w:tcW w:w="912" w:type="pct"/>
            <w:gridSpan w:val="2"/>
            <w:vAlign w:val="center"/>
          </w:tcPr>
          <w:p w14:paraId="65FD9523">
            <w:pPr>
              <w:pStyle w:val="557"/>
            </w:pPr>
            <w:r>
              <w:rPr>
                <w:rFonts w:hint="eastAsia"/>
              </w:rPr>
              <w:t>超标时间/min</w:t>
            </w:r>
          </w:p>
        </w:tc>
        <w:tc>
          <w:tcPr>
            <w:tcW w:w="1044" w:type="pct"/>
            <w:gridSpan w:val="2"/>
            <w:vAlign w:val="center"/>
          </w:tcPr>
          <w:p w14:paraId="4C4F3F3F">
            <w:pPr>
              <w:pStyle w:val="557"/>
            </w:pPr>
            <w:r>
              <w:rPr>
                <w:rFonts w:hint="eastAsia"/>
              </w:rPr>
              <w:t>超标持续时间/min</w:t>
            </w:r>
          </w:p>
        </w:tc>
        <w:tc>
          <w:tcPr>
            <w:tcW w:w="988" w:type="pct"/>
            <w:gridSpan w:val="2"/>
            <w:vAlign w:val="center"/>
          </w:tcPr>
          <w:p w14:paraId="173A446F">
            <w:pPr>
              <w:pStyle w:val="557"/>
            </w:pPr>
            <w:r>
              <w:rPr>
                <w:rFonts w:hint="eastAsia"/>
              </w:rPr>
              <w:t>最大浓度/(mg/m</w:t>
            </w:r>
            <w:r>
              <w:rPr>
                <w:rFonts w:hint="eastAsia"/>
                <w:vertAlign w:val="superscript"/>
              </w:rPr>
              <w:t>3</w:t>
            </w:r>
            <w:r>
              <w:rPr>
                <w:rFonts w:hint="eastAsia"/>
              </w:rPr>
              <w:t>)</w:t>
            </w:r>
          </w:p>
        </w:tc>
      </w:tr>
      <w:tr w14:paraId="61D4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B621AC9">
            <w:pPr>
              <w:pStyle w:val="557"/>
            </w:pPr>
          </w:p>
        </w:tc>
        <w:tc>
          <w:tcPr>
            <w:tcW w:w="582" w:type="pct"/>
            <w:vMerge w:val="continue"/>
            <w:vAlign w:val="center"/>
          </w:tcPr>
          <w:p w14:paraId="0DAA5DAD">
            <w:pPr>
              <w:pStyle w:val="557"/>
            </w:pPr>
          </w:p>
        </w:tc>
        <w:tc>
          <w:tcPr>
            <w:tcW w:w="1161" w:type="pct"/>
            <w:gridSpan w:val="3"/>
            <w:vAlign w:val="center"/>
          </w:tcPr>
          <w:p w14:paraId="5BD8625B">
            <w:pPr>
              <w:pStyle w:val="557"/>
            </w:pPr>
            <w:r>
              <w:rPr>
                <w:rFonts w:hint="eastAsia"/>
              </w:rPr>
              <w:t>花园乡</w:t>
            </w:r>
          </w:p>
        </w:tc>
        <w:tc>
          <w:tcPr>
            <w:tcW w:w="912" w:type="pct"/>
            <w:gridSpan w:val="2"/>
            <w:vAlign w:val="center"/>
          </w:tcPr>
          <w:p w14:paraId="174212DB">
            <w:pPr>
              <w:pStyle w:val="557"/>
            </w:pPr>
            <w:r>
              <w:rPr>
                <w:rFonts w:hint="eastAsia"/>
              </w:rPr>
              <w:t>/</w:t>
            </w:r>
          </w:p>
        </w:tc>
        <w:tc>
          <w:tcPr>
            <w:tcW w:w="1044" w:type="pct"/>
            <w:gridSpan w:val="2"/>
            <w:vAlign w:val="center"/>
          </w:tcPr>
          <w:p w14:paraId="5CDA0E35">
            <w:pPr>
              <w:pStyle w:val="557"/>
            </w:pPr>
            <w:r>
              <w:rPr>
                <w:rFonts w:hint="eastAsia"/>
              </w:rPr>
              <w:t>/</w:t>
            </w:r>
          </w:p>
        </w:tc>
        <w:tc>
          <w:tcPr>
            <w:tcW w:w="988" w:type="pct"/>
            <w:gridSpan w:val="2"/>
            <w:vAlign w:val="center"/>
          </w:tcPr>
          <w:p w14:paraId="345FFF5D">
            <w:pPr>
              <w:pStyle w:val="557"/>
            </w:pPr>
            <w:r>
              <w:rPr>
                <w:rFonts w:hint="eastAsia"/>
              </w:rPr>
              <w:t>/</w:t>
            </w:r>
          </w:p>
        </w:tc>
      </w:tr>
    </w:tbl>
    <w:p w14:paraId="2E521C8C">
      <w:pPr>
        <w:rPr>
          <w:rFonts w:hint="eastAsia"/>
        </w:rPr>
      </w:pPr>
    </w:p>
    <w:p w14:paraId="1F1DF2FD">
      <w:pPr>
        <w:pStyle w:val="98"/>
        <w:rPr>
          <w:rFonts w:hint="eastAsia"/>
          <w:color w:val="auto"/>
        </w:rPr>
      </w:pPr>
      <w:r>
        <w:rPr>
          <w:rFonts w:hint="eastAsia"/>
          <w:color w:val="auto"/>
        </w:rPr>
        <w:t>甲酸甲酯泄漏引发火灾事故产生CO扩散</w:t>
      </w:r>
      <w:r>
        <w:rPr>
          <w:color w:val="auto"/>
        </w:rPr>
        <w:t>事故预测结果</w:t>
      </w:r>
    </w:p>
    <w:p w14:paraId="5AFF9C5D">
      <w:pPr>
        <w:pStyle w:val="281"/>
        <w:ind w:firstLine="480"/>
        <w:rPr>
          <w:rFonts w:hint="eastAsia" w:ascii="宋体" w:hAnsi="宋体"/>
        </w:rPr>
      </w:pPr>
      <w:r>
        <w:rPr>
          <w:rFonts w:hint="eastAsia" w:ascii="宋体" w:hAnsi="宋体"/>
        </w:rPr>
        <w:t>根据预测方案，</w:t>
      </w:r>
      <w:r>
        <w:rPr>
          <w:rFonts w:hint="eastAsia"/>
        </w:rPr>
        <w:t>甲酸甲酯泄漏发生火灾</w:t>
      </w:r>
      <w:r>
        <w:rPr>
          <w:rFonts w:hint="eastAsia" w:ascii="宋体" w:hAnsi="宋体"/>
        </w:rPr>
        <w:t>预测结果见下表，最大影响范围示意见下图。</w:t>
      </w:r>
    </w:p>
    <w:p w14:paraId="1B1E8E6E">
      <w:pPr>
        <w:pStyle w:val="535"/>
        <w:rPr>
          <w:rFonts w:hint="eastAsia"/>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 xml:space="preserve">-5 </w:t>
      </w:r>
      <w:r>
        <w:rPr>
          <w:rFonts w:hint="eastAsia"/>
          <w:color w:val="auto"/>
        </w:rPr>
        <w:t>甲酸甲酯泄漏发生火灾二次污染物CO泄漏源项和事故后果基本信息</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990"/>
        <w:gridCol w:w="276"/>
        <w:gridCol w:w="1067"/>
        <w:gridCol w:w="636"/>
        <w:gridCol w:w="1067"/>
        <w:gridCol w:w="487"/>
        <w:gridCol w:w="629"/>
        <w:gridCol w:w="1111"/>
        <w:gridCol w:w="310"/>
        <w:gridCol w:w="1414"/>
      </w:tblGrid>
      <w:tr w14:paraId="1500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7E4AC1FD">
            <w:pPr>
              <w:pStyle w:val="557"/>
            </w:pPr>
            <w:r>
              <w:rPr>
                <w:rFonts w:hint="eastAsia"/>
              </w:rPr>
              <w:t>风险事故</w:t>
            </w:r>
            <w:r>
              <w:t>情形分析</w:t>
            </w:r>
          </w:p>
        </w:tc>
      </w:tr>
      <w:tr w14:paraId="05E8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60363AD7">
            <w:pPr>
              <w:pStyle w:val="557"/>
            </w:pPr>
            <w:r>
              <w:rPr>
                <w:rFonts w:hint="eastAsia"/>
              </w:rPr>
              <w:t>代表性风险事故情形描述</w:t>
            </w:r>
          </w:p>
        </w:tc>
        <w:tc>
          <w:tcPr>
            <w:tcW w:w="3943" w:type="pct"/>
            <w:gridSpan w:val="8"/>
            <w:vAlign w:val="center"/>
          </w:tcPr>
          <w:p w14:paraId="1B7C2D77">
            <w:pPr>
              <w:pStyle w:val="557"/>
            </w:pPr>
            <w:r>
              <w:rPr>
                <w:rFonts w:hint="eastAsia"/>
              </w:rPr>
              <w:t>甲酸甲酯泄漏发生火灾</w:t>
            </w:r>
          </w:p>
        </w:tc>
      </w:tr>
      <w:tr w14:paraId="742E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5152F7FF">
            <w:pPr>
              <w:pStyle w:val="557"/>
            </w:pPr>
            <w:r>
              <w:rPr>
                <w:rFonts w:hint="eastAsia"/>
              </w:rPr>
              <w:t>环境</w:t>
            </w:r>
            <w:r>
              <w:t>风险</w:t>
            </w:r>
            <w:r>
              <w:rPr>
                <w:rFonts w:hint="eastAsia"/>
              </w:rPr>
              <w:t>类型</w:t>
            </w:r>
          </w:p>
        </w:tc>
        <w:tc>
          <w:tcPr>
            <w:tcW w:w="3943" w:type="pct"/>
            <w:gridSpan w:val="8"/>
            <w:vAlign w:val="center"/>
          </w:tcPr>
          <w:p w14:paraId="7700C913">
            <w:pPr>
              <w:pStyle w:val="557"/>
            </w:pPr>
            <w:r>
              <w:rPr>
                <w:rFonts w:hint="eastAsia"/>
              </w:rPr>
              <w:t>C</w:t>
            </w:r>
            <w:r>
              <w:t>O</w:t>
            </w:r>
            <w:r>
              <w:rPr>
                <w:rFonts w:hint="eastAsia"/>
              </w:rPr>
              <w:t>扩散</w:t>
            </w:r>
          </w:p>
        </w:tc>
      </w:tr>
      <w:tr w14:paraId="2796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3"/>
            <w:vAlign w:val="center"/>
          </w:tcPr>
          <w:p w14:paraId="44E62550">
            <w:pPr>
              <w:pStyle w:val="557"/>
            </w:pPr>
            <w:r>
              <w:rPr>
                <w:rFonts w:hint="eastAsia"/>
              </w:rPr>
              <w:t>C</w:t>
            </w:r>
            <w:r>
              <w:t>O</w:t>
            </w:r>
            <w:r>
              <w:rPr>
                <w:rFonts w:hint="eastAsia"/>
              </w:rPr>
              <w:t>产生量</w:t>
            </w:r>
          </w:p>
        </w:tc>
        <w:tc>
          <w:tcPr>
            <w:tcW w:w="626" w:type="pct"/>
            <w:vAlign w:val="center"/>
          </w:tcPr>
          <w:p w14:paraId="4C323E4F">
            <w:pPr>
              <w:pStyle w:val="557"/>
            </w:pPr>
            <w:r>
              <w:rPr>
                <w:rFonts w:hint="eastAsia"/>
              </w:rPr>
              <w:t>2.17kg/s</w:t>
            </w:r>
          </w:p>
        </w:tc>
        <w:tc>
          <w:tcPr>
            <w:tcW w:w="999" w:type="pct"/>
            <w:gridSpan w:val="2"/>
            <w:vAlign w:val="center"/>
          </w:tcPr>
          <w:p w14:paraId="3E8D4B25">
            <w:pPr>
              <w:pStyle w:val="557"/>
            </w:pPr>
            <w:r>
              <w:rPr>
                <w:rFonts w:hint="eastAsia"/>
              </w:rPr>
              <w:t>扩散时间/min</w:t>
            </w:r>
          </w:p>
        </w:tc>
        <w:tc>
          <w:tcPr>
            <w:tcW w:w="655" w:type="pct"/>
            <w:gridSpan w:val="2"/>
            <w:vAlign w:val="center"/>
          </w:tcPr>
          <w:p w14:paraId="4D889A3D">
            <w:pPr>
              <w:pStyle w:val="557"/>
            </w:pPr>
            <w:r>
              <w:rPr>
                <w:rFonts w:hint="eastAsia"/>
              </w:rPr>
              <w:t>30</w:t>
            </w:r>
          </w:p>
        </w:tc>
        <w:tc>
          <w:tcPr>
            <w:tcW w:w="834" w:type="pct"/>
            <w:gridSpan w:val="2"/>
            <w:vAlign w:val="center"/>
          </w:tcPr>
          <w:p w14:paraId="0C920129">
            <w:pPr>
              <w:pStyle w:val="557"/>
            </w:pPr>
          </w:p>
        </w:tc>
        <w:tc>
          <w:tcPr>
            <w:tcW w:w="829" w:type="pct"/>
            <w:vAlign w:val="center"/>
          </w:tcPr>
          <w:p w14:paraId="5843440E">
            <w:pPr>
              <w:pStyle w:val="557"/>
            </w:pPr>
          </w:p>
        </w:tc>
      </w:tr>
      <w:tr w14:paraId="08E9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1"/>
            <w:vAlign w:val="center"/>
          </w:tcPr>
          <w:p w14:paraId="5BCAAA08">
            <w:pPr>
              <w:pStyle w:val="557"/>
            </w:pPr>
            <w:r>
              <w:rPr>
                <w:rFonts w:hint="eastAsia"/>
              </w:rPr>
              <w:t>事故后果预测</w:t>
            </w:r>
          </w:p>
        </w:tc>
      </w:tr>
      <w:tr w14:paraId="336C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restart"/>
            <w:vAlign w:val="center"/>
          </w:tcPr>
          <w:p w14:paraId="1030FE95">
            <w:pPr>
              <w:pStyle w:val="557"/>
            </w:pPr>
            <w:r>
              <w:rPr>
                <w:rFonts w:hint="eastAsia"/>
              </w:rPr>
              <w:t>大气</w:t>
            </w:r>
          </w:p>
        </w:tc>
        <w:tc>
          <w:tcPr>
            <w:tcW w:w="581" w:type="pct"/>
            <w:vAlign w:val="center"/>
          </w:tcPr>
          <w:p w14:paraId="42A35B9E">
            <w:pPr>
              <w:pStyle w:val="557"/>
            </w:pPr>
            <w:r>
              <w:rPr>
                <w:rFonts w:hint="eastAsia"/>
              </w:rPr>
              <w:t>危险物质</w:t>
            </w:r>
          </w:p>
        </w:tc>
        <w:tc>
          <w:tcPr>
            <w:tcW w:w="4105" w:type="pct"/>
            <w:gridSpan w:val="9"/>
            <w:vAlign w:val="center"/>
          </w:tcPr>
          <w:p w14:paraId="0FFE8CCD">
            <w:pPr>
              <w:pStyle w:val="557"/>
            </w:pPr>
            <w:r>
              <w:rPr>
                <w:rFonts w:hint="eastAsia"/>
              </w:rPr>
              <w:t>最不利气象条件下大气</w:t>
            </w:r>
            <w:r>
              <w:t>环境影响</w:t>
            </w:r>
          </w:p>
        </w:tc>
      </w:tr>
      <w:tr w14:paraId="6C66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5B7E6D8B">
            <w:pPr>
              <w:pStyle w:val="557"/>
            </w:pPr>
          </w:p>
        </w:tc>
        <w:tc>
          <w:tcPr>
            <w:tcW w:w="581" w:type="pct"/>
            <w:vMerge w:val="restart"/>
            <w:vAlign w:val="center"/>
          </w:tcPr>
          <w:p w14:paraId="1C3D593F">
            <w:pPr>
              <w:pStyle w:val="557"/>
            </w:pPr>
            <w:r>
              <w:rPr>
                <w:rFonts w:hint="eastAsia"/>
              </w:rPr>
              <w:t>C</w:t>
            </w:r>
            <w:r>
              <w:t>O</w:t>
            </w:r>
          </w:p>
        </w:tc>
        <w:tc>
          <w:tcPr>
            <w:tcW w:w="1161" w:type="pct"/>
            <w:gridSpan w:val="3"/>
            <w:vAlign w:val="center"/>
          </w:tcPr>
          <w:p w14:paraId="78958101">
            <w:pPr>
              <w:pStyle w:val="557"/>
            </w:pPr>
            <w:r>
              <w:rPr>
                <w:rFonts w:hint="eastAsia"/>
              </w:rPr>
              <w:t>指标</w:t>
            </w:r>
          </w:p>
        </w:tc>
        <w:tc>
          <w:tcPr>
            <w:tcW w:w="912" w:type="pct"/>
            <w:gridSpan w:val="2"/>
            <w:vAlign w:val="center"/>
          </w:tcPr>
          <w:p w14:paraId="1A82E945">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2B3BB0BE">
            <w:pPr>
              <w:pStyle w:val="557"/>
            </w:pPr>
            <w:r>
              <w:rPr>
                <w:rFonts w:hint="eastAsia"/>
              </w:rPr>
              <w:t>最远影响距离/m</w:t>
            </w:r>
          </w:p>
        </w:tc>
        <w:tc>
          <w:tcPr>
            <w:tcW w:w="1011" w:type="pct"/>
            <w:gridSpan w:val="2"/>
            <w:vAlign w:val="center"/>
          </w:tcPr>
          <w:p w14:paraId="2BF8371A">
            <w:pPr>
              <w:pStyle w:val="557"/>
            </w:pPr>
            <w:r>
              <w:rPr>
                <w:rFonts w:hint="eastAsia"/>
              </w:rPr>
              <w:t>到达时间/min</w:t>
            </w:r>
          </w:p>
        </w:tc>
      </w:tr>
      <w:tr w14:paraId="1E7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37D2448F">
            <w:pPr>
              <w:pStyle w:val="557"/>
            </w:pPr>
          </w:p>
        </w:tc>
        <w:tc>
          <w:tcPr>
            <w:tcW w:w="581" w:type="pct"/>
            <w:vMerge w:val="continue"/>
            <w:vAlign w:val="center"/>
          </w:tcPr>
          <w:p w14:paraId="189D0216">
            <w:pPr>
              <w:pStyle w:val="557"/>
            </w:pPr>
          </w:p>
        </w:tc>
        <w:tc>
          <w:tcPr>
            <w:tcW w:w="1161" w:type="pct"/>
            <w:gridSpan w:val="3"/>
            <w:vAlign w:val="center"/>
          </w:tcPr>
          <w:p w14:paraId="5A65BB31">
            <w:pPr>
              <w:pStyle w:val="557"/>
            </w:pPr>
            <w:r>
              <w:rPr>
                <w:rFonts w:hint="eastAsia"/>
              </w:rPr>
              <w:t>大气毒性终点浓度-1</w:t>
            </w:r>
          </w:p>
        </w:tc>
        <w:tc>
          <w:tcPr>
            <w:tcW w:w="912" w:type="pct"/>
            <w:gridSpan w:val="2"/>
            <w:vAlign w:val="center"/>
          </w:tcPr>
          <w:p w14:paraId="0BCB1F4B">
            <w:pPr>
              <w:pStyle w:val="557"/>
            </w:pPr>
            <w:r>
              <w:rPr>
                <w:rFonts w:hint="eastAsia"/>
              </w:rPr>
              <w:t>3</w:t>
            </w:r>
            <w:r>
              <w:t>80</w:t>
            </w:r>
          </w:p>
        </w:tc>
        <w:tc>
          <w:tcPr>
            <w:tcW w:w="1021" w:type="pct"/>
            <w:gridSpan w:val="2"/>
            <w:vAlign w:val="center"/>
          </w:tcPr>
          <w:p w14:paraId="0A7C4795">
            <w:pPr>
              <w:pStyle w:val="557"/>
            </w:pPr>
            <w:r>
              <w:rPr>
                <w:rFonts w:hint="eastAsia"/>
              </w:rPr>
              <w:t>940</w:t>
            </w:r>
          </w:p>
        </w:tc>
        <w:tc>
          <w:tcPr>
            <w:tcW w:w="1011" w:type="pct"/>
            <w:gridSpan w:val="2"/>
            <w:vAlign w:val="center"/>
          </w:tcPr>
          <w:p w14:paraId="5CD2CF9B">
            <w:pPr>
              <w:pStyle w:val="557"/>
            </w:pPr>
            <w:r>
              <w:rPr>
                <w:rFonts w:hint="eastAsia"/>
              </w:rPr>
              <w:t>10.44</w:t>
            </w:r>
          </w:p>
        </w:tc>
      </w:tr>
      <w:tr w14:paraId="5EB3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4A7CCBF2">
            <w:pPr>
              <w:pStyle w:val="557"/>
            </w:pPr>
          </w:p>
        </w:tc>
        <w:tc>
          <w:tcPr>
            <w:tcW w:w="581" w:type="pct"/>
            <w:vMerge w:val="continue"/>
            <w:vAlign w:val="center"/>
          </w:tcPr>
          <w:p w14:paraId="30A8E885">
            <w:pPr>
              <w:pStyle w:val="557"/>
            </w:pPr>
          </w:p>
        </w:tc>
        <w:tc>
          <w:tcPr>
            <w:tcW w:w="1161" w:type="pct"/>
            <w:gridSpan w:val="3"/>
            <w:vAlign w:val="center"/>
          </w:tcPr>
          <w:p w14:paraId="5AECF57B">
            <w:pPr>
              <w:pStyle w:val="557"/>
            </w:pPr>
            <w:r>
              <w:rPr>
                <w:rFonts w:hint="eastAsia"/>
              </w:rPr>
              <w:t>指标</w:t>
            </w:r>
          </w:p>
        </w:tc>
        <w:tc>
          <w:tcPr>
            <w:tcW w:w="912" w:type="pct"/>
            <w:gridSpan w:val="2"/>
            <w:vAlign w:val="center"/>
          </w:tcPr>
          <w:p w14:paraId="4F924E3E">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3AD08334">
            <w:pPr>
              <w:pStyle w:val="557"/>
            </w:pPr>
            <w:r>
              <w:rPr>
                <w:rFonts w:hint="eastAsia"/>
              </w:rPr>
              <w:t>最远影响距离/m</w:t>
            </w:r>
          </w:p>
        </w:tc>
        <w:tc>
          <w:tcPr>
            <w:tcW w:w="1011" w:type="pct"/>
            <w:gridSpan w:val="2"/>
            <w:vAlign w:val="center"/>
          </w:tcPr>
          <w:p w14:paraId="6C464432">
            <w:pPr>
              <w:pStyle w:val="557"/>
            </w:pPr>
            <w:r>
              <w:rPr>
                <w:rFonts w:hint="eastAsia"/>
              </w:rPr>
              <w:t>到达时间/min</w:t>
            </w:r>
          </w:p>
        </w:tc>
      </w:tr>
      <w:tr w14:paraId="6DB5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17AC3F6C">
            <w:pPr>
              <w:pStyle w:val="557"/>
            </w:pPr>
          </w:p>
        </w:tc>
        <w:tc>
          <w:tcPr>
            <w:tcW w:w="581" w:type="pct"/>
            <w:vMerge w:val="continue"/>
            <w:vAlign w:val="center"/>
          </w:tcPr>
          <w:p w14:paraId="4609C509">
            <w:pPr>
              <w:pStyle w:val="557"/>
            </w:pPr>
          </w:p>
        </w:tc>
        <w:tc>
          <w:tcPr>
            <w:tcW w:w="1161" w:type="pct"/>
            <w:gridSpan w:val="3"/>
            <w:vAlign w:val="center"/>
          </w:tcPr>
          <w:p w14:paraId="7FD8C9F3">
            <w:pPr>
              <w:pStyle w:val="557"/>
            </w:pPr>
            <w:r>
              <w:rPr>
                <w:rFonts w:hint="eastAsia"/>
              </w:rPr>
              <w:t>大气毒性终点浓度-2</w:t>
            </w:r>
          </w:p>
        </w:tc>
        <w:tc>
          <w:tcPr>
            <w:tcW w:w="912" w:type="pct"/>
            <w:gridSpan w:val="2"/>
            <w:vAlign w:val="center"/>
          </w:tcPr>
          <w:p w14:paraId="3AC86DC2">
            <w:pPr>
              <w:pStyle w:val="557"/>
            </w:pPr>
            <w:r>
              <w:rPr>
                <w:rFonts w:hint="eastAsia"/>
              </w:rPr>
              <w:t>9</w:t>
            </w:r>
            <w:r>
              <w:t>5</w:t>
            </w:r>
          </w:p>
        </w:tc>
        <w:tc>
          <w:tcPr>
            <w:tcW w:w="1021" w:type="pct"/>
            <w:gridSpan w:val="2"/>
            <w:vAlign w:val="center"/>
          </w:tcPr>
          <w:p w14:paraId="36277655">
            <w:pPr>
              <w:pStyle w:val="557"/>
            </w:pPr>
            <w:r>
              <w:rPr>
                <w:rFonts w:hint="eastAsia"/>
              </w:rPr>
              <w:t>2430</w:t>
            </w:r>
          </w:p>
        </w:tc>
        <w:tc>
          <w:tcPr>
            <w:tcW w:w="1011" w:type="pct"/>
            <w:gridSpan w:val="2"/>
            <w:vAlign w:val="center"/>
          </w:tcPr>
          <w:p w14:paraId="22F35FF7">
            <w:pPr>
              <w:pStyle w:val="557"/>
            </w:pPr>
            <w:r>
              <w:rPr>
                <w:rFonts w:hint="eastAsia"/>
              </w:rPr>
              <w:t>27.00</w:t>
            </w:r>
          </w:p>
        </w:tc>
      </w:tr>
      <w:tr w14:paraId="59AE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5F3E75A1">
            <w:pPr>
              <w:pStyle w:val="557"/>
            </w:pPr>
          </w:p>
        </w:tc>
        <w:tc>
          <w:tcPr>
            <w:tcW w:w="581" w:type="pct"/>
            <w:vMerge w:val="continue"/>
            <w:vAlign w:val="center"/>
          </w:tcPr>
          <w:p w14:paraId="7A337B06">
            <w:pPr>
              <w:pStyle w:val="557"/>
            </w:pPr>
          </w:p>
        </w:tc>
        <w:tc>
          <w:tcPr>
            <w:tcW w:w="1161" w:type="pct"/>
            <w:gridSpan w:val="3"/>
            <w:vAlign w:val="center"/>
          </w:tcPr>
          <w:p w14:paraId="240397B5">
            <w:pPr>
              <w:pStyle w:val="557"/>
            </w:pPr>
            <w:r>
              <w:rPr>
                <w:rFonts w:hint="eastAsia"/>
              </w:rPr>
              <w:t>敏感目标</w:t>
            </w:r>
          </w:p>
        </w:tc>
        <w:tc>
          <w:tcPr>
            <w:tcW w:w="912" w:type="pct"/>
            <w:gridSpan w:val="2"/>
            <w:vAlign w:val="center"/>
          </w:tcPr>
          <w:p w14:paraId="38DFBE6A">
            <w:pPr>
              <w:pStyle w:val="557"/>
            </w:pPr>
            <w:r>
              <w:rPr>
                <w:rFonts w:hint="eastAsia"/>
              </w:rPr>
              <w:t>超标时间/min</w:t>
            </w:r>
          </w:p>
        </w:tc>
        <w:tc>
          <w:tcPr>
            <w:tcW w:w="1021" w:type="pct"/>
            <w:gridSpan w:val="2"/>
            <w:vAlign w:val="center"/>
          </w:tcPr>
          <w:p w14:paraId="7A98C32B">
            <w:pPr>
              <w:pStyle w:val="557"/>
            </w:pPr>
            <w:r>
              <w:rPr>
                <w:rFonts w:hint="eastAsia"/>
              </w:rPr>
              <w:t>超标持续时间/min</w:t>
            </w:r>
          </w:p>
        </w:tc>
        <w:tc>
          <w:tcPr>
            <w:tcW w:w="1011" w:type="pct"/>
            <w:gridSpan w:val="2"/>
            <w:vAlign w:val="center"/>
          </w:tcPr>
          <w:p w14:paraId="51844095">
            <w:pPr>
              <w:pStyle w:val="557"/>
            </w:pPr>
            <w:r>
              <w:rPr>
                <w:rFonts w:hint="eastAsia"/>
              </w:rPr>
              <w:t>最大浓度/(mg/m</w:t>
            </w:r>
            <w:r>
              <w:rPr>
                <w:rFonts w:hint="eastAsia"/>
                <w:vertAlign w:val="superscript"/>
              </w:rPr>
              <w:t>3</w:t>
            </w:r>
            <w:r>
              <w:rPr>
                <w:rFonts w:hint="eastAsia"/>
              </w:rPr>
              <w:t>)</w:t>
            </w:r>
          </w:p>
        </w:tc>
      </w:tr>
      <w:tr w14:paraId="012E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12A3E171">
            <w:pPr>
              <w:pStyle w:val="557"/>
            </w:pPr>
          </w:p>
        </w:tc>
        <w:tc>
          <w:tcPr>
            <w:tcW w:w="581" w:type="pct"/>
            <w:vMerge w:val="continue"/>
            <w:vAlign w:val="center"/>
          </w:tcPr>
          <w:p w14:paraId="340C734F">
            <w:pPr>
              <w:pStyle w:val="557"/>
            </w:pPr>
          </w:p>
        </w:tc>
        <w:tc>
          <w:tcPr>
            <w:tcW w:w="1161" w:type="pct"/>
            <w:gridSpan w:val="3"/>
            <w:vAlign w:val="center"/>
          </w:tcPr>
          <w:p w14:paraId="5CB06D92">
            <w:pPr>
              <w:pStyle w:val="557"/>
            </w:pPr>
            <w:r>
              <w:rPr>
                <w:rFonts w:hint="eastAsia"/>
              </w:rPr>
              <w:t>花园乡</w:t>
            </w:r>
          </w:p>
        </w:tc>
        <w:tc>
          <w:tcPr>
            <w:tcW w:w="912" w:type="pct"/>
            <w:gridSpan w:val="2"/>
            <w:vAlign w:val="center"/>
          </w:tcPr>
          <w:p w14:paraId="77686C00">
            <w:pPr>
              <w:pStyle w:val="557"/>
            </w:pPr>
            <w:r>
              <w:rPr>
                <w:rFonts w:hint="eastAsia"/>
              </w:rPr>
              <w:t>/</w:t>
            </w:r>
          </w:p>
        </w:tc>
        <w:tc>
          <w:tcPr>
            <w:tcW w:w="1021" w:type="pct"/>
            <w:gridSpan w:val="2"/>
            <w:vAlign w:val="center"/>
          </w:tcPr>
          <w:p w14:paraId="7C0446C4">
            <w:pPr>
              <w:pStyle w:val="557"/>
            </w:pPr>
            <w:r>
              <w:rPr>
                <w:rFonts w:hint="eastAsia"/>
              </w:rPr>
              <w:t>/</w:t>
            </w:r>
          </w:p>
        </w:tc>
        <w:tc>
          <w:tcPr>
            <w:tcW w:w="1011" w:type="pct"/>
            <w:gridSpan w:val="2"/>
            <w:vAlign w:val="center"/>
          </w:tcPr>
          <w:p w14:paraId="4B1BB654">
            <w:pPr>
              <w:pStyle w:val="557"/>
            </w:pPr>
            <w:r>
              <w:rPr>
                <w:rFonts w:hint="eastAsia"/>
              </w:rPr>
              <w:t>/</w:t>
            </w:r>
          </w:p>
        </w:tc>
      </w:tr>
      <w:tr w14:paraId="42F7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71321513">
            <w:pPr>
              <w:pStyle w:val="557"/>
            </w:pPr>
          </w:p>
        </w:tc>
        <w:tc>
          <w:tcPr>
            <w:tcW w:w="581" w:type="pct"/>
            <w:vMerge w:val="continue"/>
            <w:vAlign w:val="center"/>
          </w:tcPr>
          <w:p w14:paraId="295F6A13">
            <w:pPr>
              <w:pStyle w:val="557"/>
            </w:pPr>
          </w:p>
        </w:tc>
        <w:tc>
          <w:tcPr>
            <w:tcW w:w="4105" w:type="pct"/>
            <w:gridSpan w:val="9"/>
            <w:vAlign w:val="center"/>
          </w:tcPr>
          <w:p w14:paraId="4C7516C5">
            <w:pPr>
              <w:pStyle w:val="557"/>
            </w:pPr>
            <w:r>
              <w:rPr>
                <w:rFonts w:hint="eastAsia"/>
              </w:rPr>
              <w:t>最常见气象条件下大气</w:t>
            </w:r>
            <w:r>
              <w:t>环境影响</w:t>
            </w:r>
          </w:p>
        </w:tc>
      </w:tr>
      <w:tr w14:paraId="2F28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2787C7CA">
            <w:pPr>
              <w:pStyle w:val="557"/>
            </w:pPr>
          </w:p>
        </w:tc>
        <w:tc>
          <w:tcPr>
            <w:tcW w:w="581" w:type="pct"/>
            <w:vMerge w:val="continue"/>
            <w:vAlign w:val="center"/>
          </w:tcPr>
          <w:p w14:paraId="1F086235">
            <w:pPr>
              <w:pStyle w:val="557"/>
            </w:pPr>
          </w:p>
        </w:tc>
        <w:tc>
          <w:tcPr>
            <w:tcW w:w="1161" w:type="pct"/>
            <w:gridSpan w:val="3"/>
            <w:vAlign w:val="center"/>
          </w:tcPr>
          <w:p w14:paraId="1FAC4C38">
            <w:pPr>
              <w:pStyle w:val="557"/>
            </w:pPr>
            <w:r>
              <w:rPr>
                <w:rFonts w:hint="eastAsia"/>
              </w:rPr>
              <w:t>指标</w:t>
            </w:r>
          </w:p>
        </w:tc>
        <w:tc>
          <w:tcPr>
            <w:tcW w:w="912" w:type="pct"/>
            <w:gridSpan w:val="2"/>
            <w:vAlign w:val="center"/>
          </w:tcPr>
          <w:p w14:paraId="2FF4C654">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5C695104">
            <w:pPr>
              <w:pStyle w:val="557"/>
            </w:pPr>
            <w:r>
              <w:rPr>
                <w:rFonts w:hint="eastAsia"/>
              </w:rPr>
              <w:t>最远影响距离/m</w:t>
            </w:r>
          </w:p>
        </w:tc>
        <w:tc>
          <w:tcPr>
            <w:tcW w:w="1011" w:type="pct"/>
            <w:gridSpan w:val="2"/>
            <w:vAlign w:val="center"/>
          </w:tcPr>
          <w:p w14:paraId="4F55F1C0">
            <w:pPr>
              <w:pStyle w:val="557"/>
            </w:pPr>
            <w:r>
              <w:rPr>
                <w:rFonts w:hint="eastAsia"/>
              </w:rPr>
              <w:t>到达时间/min</w:t>
            </w:r>
          </w:p>
        </w:tc>
      </w:tr>
      <w:tr w14:paraId="03EC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33E46749">
            <w:pPr>
              <w:pStyle w:val="557"/>
            </w:pPr>
          </w:p>
        </w:tc>
        <w:tc>
          <w:tcPr>
            <w:tcW w:w="581" w:type="pct"/>
            <w:vMerge w:val="continue"/>
            <w:vAlign w:val="center"/>
          </w:tcPr>
          <w:p w14:paraId="5C5B344F">
            <w:pPr>
              <w:pStyle w:val="557"/>
            </w:pPr>
          </w:p>
        </w:tc>
        <w:tc>
          <w:tcPr>
            <w:tcW w:w="1161" w:type="pct"/>
            <w:gridSpan w:val="3"/>
            <w:vAlign w:val="center"/>
          </w:tcPr>
          <w:p w14:paraId="31F29DE8">
            <w:pPr>
              <w:pStyle w:val="557"/>
            </w:pPr>
            <w:r>
              <w:rPr>
                <w:rFonts w:hint="eastAsia"/>
              </w:rPr>
              <w:t>大气毒性终点浓度-1</w:t>
            </w:r>
          </w:p>
        </w:tc>
        <w:tc>
          <w:tcPr>
            <w:tcW w:w="912" w:type="pct"/>
            <w:gridSpan w:val="2"/>
            <w:vAlign w:val="center"/>
          </w:tcPr>
          <w:p w14:paraId="43A093A4">
            <w:pPr>
              <w:pStyle w:val="557"/>
            </w:pPr>
            <w:r>
              <w:rPr>
                <w:rFonts w:hint="eastAsia"/>
              </w:rPr>
              <w:t>3</w:t>
            </w:r>
            <w:r>
              <w:t>80</w:t>
            </w:r>
          </w:p>
        </w:tc>
        <w:tc>
          <w:tcPr>
            <w:tcW w:w="1021" w:type="pct"/>
            <w:gridSpan w:val="2"/>
            <w:vAlign w:val="center"/>
          </w:tcPr>
          <w:p w14:paraId="024CC390">
            <w:pPr>
              <w:pStyle w:val="557"/>
            </w:pPr>
            <w:r>
              <w:rPr>
                <w:rFonts w:hint="eastAsia"/>
              </w:rPr>
              <w:t>310</w:t>
            </w:r>
          </w:p>
        </w:tc>
        <w:tc>
          <w:tcPr>
            <w:tcW w:w="1011" w:type="pct"/>
            <w:gridSpan w:val="2"/>
            <w:vAlign w:val="center"/>
          </w:tcPr>
          <w:p w14:paraId="55F71BA4">
            <w:pPr>
              <w:pStyle w:val="557"/>
            </w:pPr>
            <w:r>
              <w:rPr>
                <w:rFonts w:hint="eastAsia"/>
              </w:rPr>
              <w:t>2.08</w:t>
            </w:r>
          </w:p>
        </w:tc>
      </w:tr>
      <w:tr w14:paraId="454E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19BF9313">
            <w:pPr>
              <w:pStyle w:val="557"/>
            </w:pPr>
          </w:p>
        </w:tc>
        <w:tc>
          <w:tcPr>
            <w:tcW w:w="581" w:type="pct"/>
            <w:vMerge w:val="continue"/>
            <w:vAlign w:val="center"/>
          </w:tcPr>
          <w:p w14:paraId="6579F553">
            <w:pPr>
              <w:pStyle w:val="557"/>
            </w:pPr>
          </w:p>
        </w:tc>
        <w:tc>
          <w:tcPr>
            <w:tcW w:w="1161" w:type="pct"/>
            <w:gridSpan w:val="3"/>
            <w:vAlign w:val="center"/>
          </w:tcPr>
          <w:p w14:paraId="12C55E8D">
            <w:pPr>
              <w:pStyle w:val="557"/>
            </w:pPr>
            <w:r>
              <w:rPr>
                <w:rFonts w:hint="eastAsia"/>
              </w:rPr>
              <w:t>指标</w:t>
            </w:r>
          </w:p>
        </w:tc>
        <w:tc>
          <w:tcPr>
            <w:tcW w:w="912" w:type="pct"/>
            <w:gridSpan w:val="2"/>
            <w:vAlign w:val="center"/>
          </w:tcPr>
          <w:p w14:paraId="38C90231">
            <w:pPr>
              <w:pStyle w:val="557"/>
            </w:pPr>
            <w:r>
              <w:rPr>
                <w:rFonts w:hint="eastAsia"/>
              </w:rPr>
              <w:t>浓度值/</w:t>
            </w:r>
            <w:r>
              <w:t>(</w:t>
            </w:r>
            <w:r>
              <w:rPr>
                <w:rFonts w:hint="eastAsia"/>
              </w:rPr>
              <w:t>mg/m</w:t>
            </w:r>
            <w:r>
              <w:rPr>
                <w:rFonts w:hint="eastAsia"/>
                <w:vertAlign w:val="superscript"/>
              </w:rPr>
              <w:t>3</w:t>
            </w:r>
            <w:r>
              <w:rPr>
                <w:rFonts w:hint="eastAsia"/>
              </w:rPr>
              <w:t>)</w:t>
            </w:r>
          </w:p>
        </w:tc>
        <w:tc>
          <w:tcPr>
            <w:tcW w:w="1021" w:type="pct"/>
            <w:gridSpan w:val="2"/>
            <w:vAlign w:val="center"/>
          </w:tcPr>
          <w:p w14:paraId="1265E9C5">
            <w:pPr>
              <w:pStyle w:val="557"/>
            </w:pPr>
            <w:r>
              <w:rPr>
                <w:rFonts w:hint="eastAsia"/>
              </w:rPr>
              <w:t>最远影响距离/m</w:t>
            </w:r>
          </w:p>
        </w:tc>
        <w:tc>
          <w:tcPr>
            <w:tcW w:w="1011" w:type="pct"/>
            <w:gridSpan w:val="2"/>
            <w:vAlign w:val="center"/>
          </w:tcPr>
          <w:p w14:paraId="6AC5E77B">
            <w:pPr>
              <w:pStyle w:val="557"/>
            </w:pPr>
            <w:r>
              <w:rPr>
                <w:rFonts w:hint="eastAsia"/>
              </w:rPr>
              <w:t>到达时间/min</w:t>
            </w:r>
          </w:p>
        </w:tc>
      </w:tr>
      <w:tr w14:paraId="0C60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67FB20BB">
            <w:pPr>
              <w:pStyle w:val="557"/>
            </w:pPr>
          </w:p>
        </w:tc>
        <w:tc>
          <w:tcPr>
            <w:tcW w:w="581" w:type="pct"/>
            <w:vMerge w:val="continue"/>
            <w:vAlign w:val="center"/>
          </w:tcPr>
          <w:p w14:paraId="2823A35E">
            <w:pPr>
              <w:pStyle w:val="557"/>
            </w:pPr>
          </w:p>
        </w:tc>
        <w:tc>
          <w:tcPr>
            <w:tcW w:w="1161" w:type="pct"/>
            <w:gridSpan w:val="3"/>
            <w:vAlign w:val="center"/>
          </w:tcPr>
          <w:p w14:paraId="7A3F032B">
            <w:pPr>
              <w:pStyle w:val="557"/>
            </w:pPr>
            <w:r>
              <w:rPr>
                <w:rFonts w:hint="eastAsia"/>
              </w:rPr>
              <w:t>大气毒性终点浓度-2</w:t>
            </w:r>
          </w:p>
        </w:tc>
        <w:tc>
          <w:tcPr>
            <w:tcW w:w="912" w:type="pct"/>
            <w:gridSpan w:val="2"/>
            <w:vAlign w:val="center"/>
          </w:tcPr>
          <w:p w14:paraId="5E698766">
            <w:pPr>
              <w:pStyle w:val="557"/>
            </w:pPr>
            <w:r>
              <w:rPr>
                <w:rFonts w:hint="eastAsia"/>
              </w:rPr>
              <w:t>9</w:t>
            </w:r>
            <w:r>
              <w:t>5</w:t>
            </w:r>
          </w:p>
        </w:tc>
        <w:tc>
          <w:tcPr>
            <w:tcW w:w="1021" w:type="pct"/>
            <w:gridSpan w:val="2"/>
            <w:vAlign w:val="center"/>
          </w:tcPr>
          <w:p w14:paraId="117C3AC9">
            <w:pPr>
              <w:pStyle w:val="557"/>
            </w:pPr>
            <w:r>
              <w:rPr>
                <w:rFonts w:hint="eastAsia"/>
              </w:rPr>
              <w:t>710</w:t>
            </w:r>
          </w:p>
        </w:tc>
        <w:tc>
          <w:tcPr>
            <w:tcW w:w="1011" w:type="pct"/>
            <w:gridSpan w:val="2"/>
            <w:vAlign w:val="center"/>
          </w:tcPr>
          <w:p w14:paraId="65E7E59E">
            <w:pPr>
              <w:pStyle w:val="557"/>
            </w:pPr>
            <w:r>
              <w:rPr>
                <w:rFonts w:hint="eastAsia"/>
              </w:rPr>
              <w:t>4.62</w:t>
            </w:r>
          </w:p>
        </w:tc>
      </w:tr>
      <w:tr w14:paraId="7632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7879EBF2">
            <w:pPr>
              <w:pStyle w:val="557"/>
            </w:pPr>
          </w:p>
        </w:tc>
        <w:tc>
          <w:tcPr>
            <w:tcW w:w="581" w:type="pct"/>
            <w:vMerge w:val="continue"/>
            <w:vAlign w:val="center"/>
          </w:tcPr>
          <w:p w14:paraId="785D9D1E">
            <w:pPr>
              <w:pStyle w:val="557"/>
            </w:pPr>
          </w:p>
        </w:tc>
        <w:tc>
          <w:tcPr>
            <w:tcW w:w="1161" w:type="pct"/>
            <w:gridSpan w:val="3"/>
            <w:vAlign w:val="center"/>
          </w:tcPr>
          <w:p w14:paraId="3A6191FE">
            <w:pPr>
              <w:pStyle w:val="557"/>
            </w:pPr>
            <w:r>
              <w:rPr>
                <w:rFonts w:hint="eastAsia"/>
              </w:rPr>
              <w:t>敏感目标</w:t>
            </w:r>
          </w:p>
        </w:tc>
        <w:tc>
          <w:tcPr>
            <w:tcW w:w="912" w:type="pct"/>
            <w:gridSpan w:val="2"/>
            <w:vAlign w:val="center"/>
          </w:tcPr>
          <w:p w14:paraId="4C2A8E1F">
            <w:pPr>
              <w:pStyle w:val="557"/>
            </w:pPr>
            <w:r>
              <w:rPr>
                <w:rFonts w:hint="eastAsia"/>
              </w:rPr>
              <w:t>超标时间/min</w:t>
            </w:r>
          </w:p>
        </w:tc>
        <w:tc>
          <w:tcPr>
            <w:tcW w:w="1021" w:type="pct"/>
            <w:gridSpan w:val="2"/>
            <w:vAlign w:val="center"/>
          </w:tcPr>
          <w:p w14:paraId="179B14BB">
            <w:pPr>
              <w:pStyle w:val="557"/>
            </w:pPr>
            <w:r>
              <w:rPr>
                <w:rFonts w:hint="eastAsia"/>
              </w:rPr>
              <w:t>超标持续时间/min</w:t>
            </w:r>
          </w:p>
        </w:tc>
        <w:tc>
          <w:tcPr>
            <w:tcW w:w="1011" w:type="pct"/>
            <w:gridSpan w:val="2"/>
            <w:vAlign w:val="center"/>
          </w:tcPr>
          <w:p w14:paraId="3376F8C4">
            <w:pPr>
              <w:pStyle w:val="557"/>
            </w:pPr>
            <w:r>
              <w:rPr>
                <w:rFonts w:hint="eastAsia"/>
              </w:rPr>
              <w:t>最大浓度/(mg/m</w:t>
            </w:r>
            <w:r>
              <w:rPr>
                <w:rFonts w:hint="eastAsia"/>
                <w:vertAlign w:val="superscript"/>
              </w:rPr>
              <w:t>3</w:t>
            </w:r>
            <w:r>
              <w:rPr>
                <w:rFonts w:hint="eastAsia"/>
              </w:rPr>
              <w:t>)</w:t>
            </w:r>
          </w:p>
        </w:tc>
      </w:tr>
      <w:tr w14:paraId="5CB4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4" w:type="pct"/>
            <w:vMerge w:val="continue"/>
            <w:vAlign w:val="center"/>
          </w:tcPr>
          <w:p w14:paraId="00A16419">
            <w:pPr>
              <w:pStyle w:val="557"/>
            </w:pPr>
          </w:p>
        </w:tc>
        <w:tc>
          <w:tcPr>
            <w:tcW w:w="581" w:type="pct"/>
            <w:vMerge w:val="continue"/>
            <w:vAlign w:val="center"/>
          </w:tcPr>
          <w:p w14:paraId="4A89CA27">
            <w:pPr>
              <w:pStyle w:val="557"/>
            </w:pPr>
          </w:p>
        </w:tc>
        <w:tc>
          <w:tcPr>
            <w:tcW w:w="1161" w:type="pct"/>
            <w:gridSpan w:val="3"/>
            <w:vAlign w:val="center"/>
          </w:tcPr>
          <w:p w14:paraId="231D276B">
            <w:pPr>
              <w:pStyle w:val="557"/>
            </w:pPr>
            <w:r>
              <w:rPr>
                <w:rFonts w:hint="eastAsia"/>
              </w:rPr>
              <w:t>花园乡</w:t>
            </w:r>
          </w:p>
        </w:tc>
        <w:tc>
          <w:tcPr>
            <w:tcW w:w="912" w:type="pct"/>
            <w:gridSpan w:val="2"/>
            <w:vAlign w:val="center"/>
          </w:tcPr>
          <w:p w14:paraId="307DEC5E">
            <w:pPr>
              <w:pStyle w:val="557"/>
            </w:pPr>
            <w:r>
              <w:rPr>
                <w:rFonts w:hint="eastAsia"/>
              </w:rPr>
              <w:t>/</w:t>
            </w:r>
          </w:p>
        </w:tc>
        <w:tc>
          <w:tcPr>
            <w:tcW w:w="1021" w:type="pct"/>
            <w:gridSpan w:val="2"/>
            <w:vAlign w:val="center"/>
          </w:tcPr>
          <w:p w14:paraId="69E1AA56">
            <w:pPr>
              <w:pStyle w:val="557"/>
            </w:pPr>
            <w:r>
              <w:rPr>
                <w:rFonts w:hint="eastAsia"/>
              </w:rPr>
              <w:t>/</w:t>
            </w:r>
          </w:p>
        </w:tc>
        <w:tc>
          <w:tcPr>
            <w:tcW w:w="1011" w:type="pct"/>
            <w:gridSpan w:val="2"/>
            <w:vAlign w:val="center"/>
          </w:tcPr>
          <w:p w14:paraId="11509D6E">
            <w:pPr>
              <w:pStyle w:val="557"/>
            </w:pPr>
            <w:r>
              <w:rPr>
                <w:rFonts w:hint="eastAsia"/>
              </w:rPr>
              <w:t>/</w:t>
            </w:r>
          </w:p>
        </w:tc>
      </w:tr>
    </w:tbl>
    <w:p w14:paraId="0AEB5B16">
      <w:pPr>
        <w:pStyle w:val="535"/>
        <w:rPr>
          <w:rFonts w:hint="eastAsia"/>
          <w:color w:val="auto"/>
        </w:rPr>
      </w:pPr>
    </w:p>
    <w:p w14:paraId="02120123">
      <w:pPr>
        <w:pStyle w:val="535"/>
        <w:rPr>
          <w:rFonts w:hint="eastAsia"/>
          <w:color w:val="auto"/>
        </w:rPr>
      </w:pPr>
      <w:r>
        <w:rPr>
          <w:rFonts w:hint="eastAsia"/>
          <w:color w:val="auto"/>
        </w:rPr>
        <w:t>图7.7</w:t>
      </w:r>
      <w:r>
        <w:rPr>
          <w:color w:val="auto"/>
        </w:rPr>
        <w:t>.1</w:t>
      </w:r>
      <w:r>
        <w:rPr>
          <w:rFonts w:hint="eastAsia"/>
          <w:color w:val="auto"/>
        </w:rPr>
        <w:t>-4   最不利气象条件下甲酸甲酯泄漏发生火灾次生污染物CO扩散最大影响区域图</w:t>
      </w:r>
    </w:p>
    <w:p w14:paraId="07C23A4A">
      <w:pPr>
        <w:pStyle w:val="535"/>
        <w:rPr>
          <w:rFonts w:hint="eastAsia"/>
          <w:color w:val="auto"/>
        </w:rPr>
      </w:pPr>
    </w:p>
    <w:p w14:paraId="4142E08F">
      <w:pPr>
        <w:pStyle w:val="535"/>
        <w:rPr>
          <w:rFonts w:hint="eastAsia"/>
          <w:color w:val="auto"/>
        </w:rPr>
      </w:pPr>
      <w:r>
        <w:rPr>
          <w:rFonts w:hint="eastAsia"/>
          <w:color w:val="auto"/>
        </w:rPr>
        <w:t>图7.7</w:t>
      </w:r>
      <w:r>
        <w:rPr>
          <w:color w:val="auto"/>
        </w:rPr>
        <w:t>.1</w:t>
      </w:r>
      <w:r>
        <w:rPr>
          <w:rFonts w:hint="eastAsia"/>
          <w:color w:val="auto"/>
        </w:rPr>
        <w:t>-5</w:t>
      </w:r>
      <w:r>
        <w:rPr>
          <w:color w:val="auto"/>
        </w:rPr>
        <w:t xml:space="preserve">    </w:t>
      </w:r>
      <w:r>
        <w:rPr>
          <w:rFonts w:hint="eastAsia"/>
          <w:color w:val="auto"/>
        </w:rPr>
        <w:t>最常见气象条件下甲酸甲酯泄漏发生火灾次生污染物CO扩散最大影响区域图</w:t>
      </w:r>
    </w:p>
    <w:p w14:paraId="3DAD96D8">
      <w:pPr>
        <w:pStyle w:val="98"/>
        <w:rPr>
          <w:rFonts w:hint="eastAsia"/>
          <w:color w:val="auto"/>
        </w:rPr>
      </w:pPr>
      <w:r>
        <w:rPr>
          <w:rFonts w:hint="eastAsia"/>
          <w:color w:val="auto"/>
        </w:rPr>
        <w:t>硝酸泄漏事故预测结果</w:t>
      </w:r>
    </w:p>
    <w:p w14:paraId="4780C345">
      <w:pPr>
        <w:pStyle w:val="281"/>
        <w:ind w:firstLine="480"/>
        <w:rPr>
          <w:rFonts w:hint="eastAsia" w:ascii="宋体" w:hAnsi="宋体"/>
        </w:rPr>
      </w:pPr>
      <w:r>
        <w:rPr>
          <w:rFonts w:hint="eastAsia" w:ascii="宋体" w:hAnsi="宋体"/>
        </w:rPr>
        <w:t>根据预测方案，</w:t>
      </w:r>
      <w:r>
        <w:rPr>
          <w:rFonts w:hint="eastAsia"/>
        </w:rPr>
        <w:t>硝酸</w:t>
      </w:r>
      <w:r>
        <w:rPr>
          <w:rFonts w:hint="eastAsia" w:ascii="宋体" w:hAnsi="宋体"/>
        </w:rPr>
        <w:t>泄漏风险事故预测结果见下表。</w:t>
      </w:r>
    </w:p>
    <w:p w14:paraId="31D01000">
      <w:pPr>
        <w:pStyle w:val="535"/>
        <w:rPr>
          <w:rFonts w:hint="eastAsia"/>
          <w:bCs/>
          <w:color w:val="auto"/>
        </w:rPr>
      </w:pPr>
      <w:r>
        <w:rPr>
          <w:rFonts w:hint="eastAsia"/>
          <w:color w:val="auto"/>
        </w:rPr>
        <w:t>表</w:t>
      </w:r>
      <w:r>
        <w:rPr>
          <w:rFonts w:hint="eastAsia" w:eastAsia="宋体"/>
          <w:color w:val="auto"/>
        </w:rPr>
        <w:t>7.7</w:t>
      </w:r>
      <w:r>
        <w:rPr>
          <w:rFonts w:eastAsia="宋体"/>
          <w:color w:val="auto"/>
        </w:rPr>
        <w:t>.1</w:t>
      </w:r>
      <w:r>
        <w:rPr>
          <w:rFonts w:hint="eastAsia" w:eastAsia="宋体"/>
          <w:color w:val="auto"/>
        </w:rPr>
        <w:t>-3</w:t>
      </w:r>
      <w:r>
        <w:rPr>
          <w:rFonts w:eastAsia="宋体"/>
          <w:color w:val="auto"/>
        </w:rPr>
        <w:t xml:space="preserve">   </w:t>
      </w:r>
      <w:r>
        <w:rPr>
          <w:rFonts w:hint="eastAsia"/>
          <w:color w:val="auto"/>
        </w:rPr>
        <w:t>硝酸</w:t>
      </w:r>
      <w:r>
        <w:rPr>
          <w:rFonts w:hint="eastAsia"/>
          <w:bCs/>
          <w:color w:val="auto"/>
        </w:rPr>
        <w:t>泄漏源项和事故后果基本信息表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992"/>
        <w:gridCol w:w="278"/>
        <w:gridCol w:w="1067"/>
        <w:gridCol w:w="634"/>
        <w:gridCol w:w="1069"/>
        <w:gridCol w:w="486"/>
        <w:gridCol w:w="631"/>
        <w:gridCol w:w="1142"/>
        <w:gridCol w:w="7"/>
        <w:gridCol w:w="273"/>
        <w:gridCol w:w="1411"/>
      </w:tblGrid>
      <w:tr w14:paraId="7BCD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2"/>
            <w:vAlign w:val="center"/>
          </w:tcPr>
          <w:p w14:paraId="160292FD">
            <w:pPr>
              <w:pStyle w:val="557"/>
            </w:pPr>
            <w:r>
              <w:rPr>
                <w:rFonts w:hint="eastAsia"/>
              </w:rPr>
              <w:t>风险事故</w:t>
            </w:r>
            <w:r>
              <w:t>情形分析</w:t>
            </w:r>
          </w:p>
        </w:tc>
      </w:tr>
      <w:tr w14:paraId="139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1DD47908">
            <w:pPr>
              <w:pStyle w:val="557"/>
            </w:pPr>
            <w:r>
              <w:rPr>
                <w:rFonts w:hint="eastAsia"/>
              </w:rPr>
              <w:t>代表性风险事故情形描述</w:t>
            </w:r>
          </w:p>
        </w:tc>
        <w:tc>
          <w:tcPr>
            <w:tcW w:w="3942" w:type="pct"/>
            <w:gridSpan w:val="9"/>
            <w:vAlign w:val="center"/>
          </w:tcPr>
          <w:p w14:paraId="7B33F6F4">
            <w:pPr>
              <w:pStyle w:val="557"/>
            </w:pPr>
            <w:r>
              <w:rPr>
                <w:rFonts w:hint="eastAsia"/>
              </w:rPr>
              <w:t>硝酸储罐</w:t>
            </w:r>
            <w:r>
              <w:t>泄漏扩散</w:t>
            </w:r>
          </w:p>
        </w:tc>
      </w:tr>
      <w:tr w14:paraId="43F1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77D95EBB">
            <w:pPr>
              <w:pStyle w:val="557"/>
            </w:pPr>
            <w:r>
              <w:rPr>
                <w:rFonts w:hint="eastAsia"/>
              </w:rPr>
              <w:t>环境</w:t>
            </w:r>
            <w:r>
              <w:t>风险</w:t>
            </w:r>
            <w:r>
              <w:rPr>
                <w:rFonts w:hint="eastAsia"/>
              </w:rPr>
              <w:t>类型</w:t>
            </w:r>
          </w:p>
        </w:tc>
        <w:tc>
          <w:tcPr>
            <w:tcW w:w="3942" w:type="pct"/>
            <w:gridSpan w:val="9"/>
            <w:vAlign w:val="center"/>
          </w:tcPr>
          <w:p w14:paraId="69141EDF">
            <w:pPr>
              <w:pStyle w:val="557"/>
            </w:pPr>
            <w:r>
              <w:rPr>
                <w:rFonts w:hint="eastAsia"/>
              </w:rPr>
              <w:t>泄漏</w:t>
            </w:r>
          </w:p>
        </w:tc>
      </w:tr>
      <w:tr w14:paraId="5C07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19B49473">
            <w:pPr>
              <w:pStyle w:val="557"/>
            </w:pPr>
            <w:r>
              <w:rPr>
                <w:rFonts w:hint="eastAsia"/>
              </w:rPr>
              <w:t>泄漏设备类型</w:t>
            </w:r>
          </w:p>
        </w:tc>
        <w:tc>
          <w:tcPr>
            <w:tcW w:w="626" w:type="pct"/>
            <w:vAlign w:val="center"/>
          </w:tcPr>
          <w:p w14:paraId="3FAFD02D">
            <w:pPr>
              <w:pStyle w:val="557"/>
            </w:pPr>
            <w:r>
              <w:rPr>
                <w:rFonts w:hint="eastAsia"/>
              </w:rPr>
              <w:t>储罐</w:t>
            </w:r>
          </w:p>
        </w:tc>
        <w:tc>
          <w:tcPr>
            <w:tcW w:w="999" w:type="pct"/>
            <w:gridSpan w:val="2"/>
            <w:vAlign w:val="center"/>
          </w:tcPr>
          <w:p w14:paraId="56D2245D">
            <w:pPr>
              <w:pStyle w:val="557"/>
            </w:pPr>
            <w:r>
              <w:rPr>
                <w:rFonts w:hint="eastAsia"/>
              </w:rPr>
              <w:t>操作温度/℃</w:t>
            </w:r>
          </w:p>
        </w:tc>
        <w:tc>
          <w:tcPr>
            <w:tcW w:w="655" w:type="pct"/>
            <w:gridSpan w:val="2"/>
            <w:vAlign w:val="center"/>
          </w:tcPr>
          <w:p w14:paraId="56C9F1B4">
            <w:pPr>
              <w:pStyle w:val="557"/>
            </w:pPr>
            <w:r>
              <w:rPr>
                <w:rFonts w:hint="eastAsia"/>
              </w:rPr>
              <w:t>常温</w:t>
            </w:r>
          </w:p>
        </w:tc>
        <w:tc>
          <w:tcPr>
            <w:tcW w:w="834" w:type="pct"/>
            <w:gridSpan w:val="3"/>
            <w:vAlign w:val="center"/>
          </w:tcPr>
          <w:p w14:paraId="1C4A7224">
            <w:pPr>
              <w:pStyle w:val="557"/>
            </w:pPr>
            <w:r>
              <w:rPr>
                <w:rFonts w:hint="eastAsia"/>
              </w:rPr>
              <w:t>操作压力/MPa</w:t>
            </w:r>
          </w:p>
        </w:tc>
        <w:tc>
          <w:tcPr>
            <w:tcW w:w="828" w:type="pct"/>
            <w:vAlign w:val="center"/>
          </w:tcPr>
          <w:p w14:paraId="6F098A32">
            <w:pPr>
              <w:pStyle w:val="557"/>
            </w:pPr>
            <w:r>
              <w:rPr>
                <w:rFonts w:hint="eastAsia"/>
              </w:rPr>
              <w:t>常温</w:t>
            </w:r>
          </w:p>
        </w:tc>
      </w:tr>
      <w:tr w14:paraId="5200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3"/>
            <w:vAlign w:val="center"/>
          </w:tcPr>
          <w:p w14:paraId="27AF1537">
            <w:pPr>
              <w:pStyle w:val="557"/>
            </w:pPr>
            <w:r>
              <w:rPr>
                <w:rFonts w:hint="eastAsia"/>
              </w:rPr>
              <w:t>泄漏速率(kg/s)</w:t>
            </w:r>
          </w:p>
        </w:tc>
        <w:tc>
          <w:tcPr>
            <w:tcW w:w="626" w:type="pct"/>
            <w:vAlign w:val="center"/>
          </w:tcPr>
          <w:p w14:paraId="02CDAD0F">
            <w:pPr>
              <w:pStyle w:val="557"/>
            </w:pPr>
            <w:r>
              <w:rPr>
                <w:rFonts w:hint="eastAsia"/>
              </w:rPr>
              <w:t>40</w:t>
            </w:r>
          </w:p>
        </w:tc>
        <w:tc>
          <w:tcPr>
            <w:tcW w:w="999" w:type="pct"/>
            <w:gridSpan w:val="2"/>
            <w:vAlign w:val="center"/>
          </w:tcPr>
          <w:p w14:paraId="2774D644">
            <w:pPr>
              <w:pStyle w:val="557"/>
            </w:pPr>
            <w:r>
              <w:rPr>
                <w:rFonts w:hint="eastAsia"/>
              </w:rPr>
              <w:t>蒸发速率(kg/s)</w:t>
            </w:r>
          </w:p>
        </w:tc>
        <w:tc>
          <w:tcPr>
            <w:tcW w:w="655" w:type="pct"/>
            <w:gridSpan w:val="2"/>
            <w:vAlign w:val="center"/>
          </w:tcPr>
          <w:p w14:paraId="484CC2ED">
            <w:pPr>
              <w:pStyle w:val="557"/>
            </w:pPr>
            <w:r>
              <w:rPr>
                <w:rFonts w:hint="eastAsia"/>
              </w:rPr>
              <w:t>0.02</w:t>
            </w:r>
          </w:p>
        </w:tc>
        <w:tc>
          <w:tcPr>
            <w:tcW w:w="834" w:type="pct"/>
            <w:gridSpan w:val="3"/>
            <w:vAlign w:val="center"/>
          </w:tcPr>
          <w:p w14:paraId="43DECEDF">
            <w:pPr>
              <w:pStyle w:val="557"/>
            </w:pPr>
          </w:p>
        </w:tc>
        <w:tc>
          <w:tcPr>
            <w:tcW w:w="828" w:type="pct"/>
            <w:vAlign w:val="center"/>
          </w:tcPr>
          <w:p w14:paraId="55B31382">
            <w:pPr>
              <w:pStyle w:val="557"/>
            </w:pPr>
          </w:p>
        </w:tc>
      </w:tr>
      <w:tr w14:paraId="061E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12"/>
            <w:vAlign w:val="center"/>
          </w:tcPr>
          <w:p w14:paraId="6DF90AC0">
            <w:pPr>
              <w:pStyle w:val="557"/>
            </w:pPr>
            <w:r>
              <w:rPr>
                <w:rFonts w:hint="eastAsia"/>
              </w:rPr>
              <w:t>事故后果预测</w:t>
            </w:r>
          </w:p>
        </w:tc>
      </w:tr>
      <w:tr w14:paraId="4883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restart"/>
            <w:vAlign w:val="center"/>
          </w:tcPr>
          <w:p w14:paraId="56087EA9">
            <w:pPr>
              <w:pStyle w:val="557"/>
            </w:pPr>
            <w:r>
              <w:rPr>
                <w:rFonts w:hint="eastAsia"/>
              </w:rPr>
              <w:t>大气</w:t>
            </w:r>
          </w:p>
        </w:tc>
        <w:tc>
          <w:tcPr>
            <w:tcW w:w="582" w:type="pct"/>
            <w:vAlign w:val="center"/>
          </w:tcPr>
          <w:p w14:paraId="1EF00BBD">
            <w:pPr>
              <w:pStyle w:val="557"/>
            </w:pPr>
            <w:r>
              <w:rPr>
                <w:rFonts w:hint="eastAsia"/>
              </w:rPr>
              <w:t>危险物质</w:t>
            </w:r>
          </w:p>
        </w:tc>
        <w:tc>
          <w:tcPr>
            <w:tcW w:w="4104" w:type="pct"/>
            <w:gridSpan w:val="10"/>
            <w:vAlign w:val="center"/>
          </w:tcPr>
          <w:p w14:paraId="79FF0C2D">
            <w:pPr>
              <w:pStyle w:val="557"/>
            </w:pPr>
            <w:r>
              <w:rPr>
                <w:rFonts w:hint="eastAsia"/>
              </w:rPr>
              <w:t>最不利气象条件下大气</w:t>
            </w:r>
            <w:r>
              <w:t>环境影响</w:t>
            </w:r>
          </w:p>
        </w:tc>
      </w:tr>
      <w:tr w14:paraId="4C09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67D24E13">
            <w:pPr>
              <w:pStyle w:val="557"/>
            </w:pPr>
          </w:p>
        </w:tc>
        <w:tc>
          <w:tcPr>
            <w:tcW w:w="582" w:type="pct"/>
            <w:vMerge w:val="restart"/>
            <w:vAlign w:val="center"/>
          </w:tcPr>
          <w:p w14:paraId="0A0A2059">
            <w:pPr>
              <w:pStyle w:val="557"/>
            </w:pPr>
            <w:r>
              <w:rPr>
                <w:rFonts w:hint="eastAsia"/>
              </w:rPr>
              <w:t>硝酸</w:t>
            </w:r>
          </w:p>
        </w:tc>
        <w:tc>
          <w:tcPr>
            <w:tcW w:w="1161" w:type="pct"/>
            <w:gridSpan w:val="3"/>
            <w:vAlign w:val="center"/>
          </w:tcPr>
          <w:p w14:paraId="4187A9F5">
            <w:pPr>
              <w:pStyle w:val="557"/>
            </w:pPr>
            <w:r>
              <w:rPr>
                <w:rFonts w:hint="eastAsia"/>
              </w:rPr>
              <w:t>指标</w:t>
            </w:r>
          </w:p>
        </w:tc>
        <w:tc>
          <w:tcPr>
            <w:tcW w:w="912" w:type="pct"/>
            <w:gridSpan w:val="2"/>
            <w:vAlign w:val="center"/>
          </w:tcPr>
          <w:p w14:paraId="0C8FFB9E">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3"/>
            <w:vAlign w:val="center"/>
          </w:tcPr>
          <w:p w14:paraId="0AB48730">
            <w:pPr>
              <w:pStyle w:val="557"/>
            </w:pPr>
            <w:r>
              <w:rPr>
                <w:rFonts w:hint="eastAsia"/>
              </w:rPr>
              <w:t>最远影响距离/m</w:t>
            </w:r>
          </w:p>
        </w:tc>
        <w:tc>
          <w:tcPr>
            <w:tcW w:w="988" w:type="pct"/>
            <w:gridSpan w:val="2"/>
            <w:vAlign w:val="center"/>
          </w:tcPr>
          <w:p w14:paraId="4AB2E50C">
            <w:pPr>
              <w:pStyle w:val="557"/>
            </w:pPr>
            <w:r>
              <w:rPr>
                <w:rFonts w:hint="eastAsia"/>
              </w:rPr>
              <w:t>到达时间/min</w:t>
            </w:r>
          </w:p>
        </w:tc>
      </w:tr>
      <w:tr w14:paraId="7A52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3326B375">
            <w:pPr>
              <w:pStyle w:val="557"/>
            </w:pPr>
          </w:p>
        </w:tc>
        <w:tc>
          <w:tcPr>
            <w:tcW w:w="582" w:type="pct"/>
            <w:vMerge w:val="continue"/>
            <w:vAlign w:val="center"/>
          </w:tcPr>
          <w:p w14:paraId="6EBF4DC4">
            <w:pPr>
              <w:pStyle w:val="557"/>
            </w:pPr>
          </w:p>
        </w:tc>
        <w:tc>
          <w:tcPr>
            <w:tcW w:w="1161" w:type="pct"/>
            <w:gridSpan w:val="3"/>
            <w:vAlign w:val="center"/>
          </w:tcPr>
          <w:p w14:paraId="3C17563C">
            <w:pPr>
              <w:pStyle w:val="557"/>
            </w:pPr>
            <w:r>
              <w:rPr>
                <w:rFonts w:hint="eastAsia"/>
              </w:rPr>
              <w:t>大气毒性终点浓度-1</w:t>
            </w:r>
          </w:p>
        </w:tc>
        <w:tc>
          <w:tcPr>
            <w:tcW w:w="912" w:type="pct"/>
            <w:gridSpan w:val="2"/>
            <w:vAlign w:val="center"/>
          </w:tcPr>
          <w:p w14:paraId="6654035A">
            <w:pPr>
              <w:pStyle w:val="557"/>
            </w:pPr>
            <w:r>
              <w:rPr>
                <w:rFonts w:hint="eastAsia"/>
              </w:rPr>
              <w:t>240</w:t>
            </w:r>
          </w:p>
        </w:tc>
        <w:tc>
          <w:tcPr>
            <w:tcW w:w="2032" w:type="pct"/>
            <w:gridSpan w:val="5"/>
            <w:vAlign w:val="center"/>
          </w:tcPr>
          <w:p w14:paraId="40117F71">
            <w:pPr>
              <w:pStyle w:val="557"/>
            </w:pPr>
            <w:r>
              <w:rPr>
                <w:rFonts w:hint="eastAsia"/>
              </w:rPr>
              <w:t>此阈值及以上，无对应位置，因计算浓度均小于此阈值</w:t>
            </w:r>
          </w:p>
        </w:tc>
      </w:tr>
      <w:tr w14:paraId="4CA6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5B558E4F">
            <w:pPr>
              <w:pStyle w:val="557"/>
            </w:pPr>
          </w:p>
        </w:tc>
        <w:tc>
          <w:tcPr>
            <w:tcW w:w="582" w:type="pct"/>
            <w:vMerge w:val="continue"/>
            <w:vAlign w:val="center"/>
          </w:tcPr>
          <w:p w14:paraId="7C4147BC">
            <w:pPr>
              <w:pStyle w:val="557"/>
            </w:pPr>
          </w:p>
        </w:tc>
        <w:tc>
          <w:tcPr>
            <w:tcW w:w="1161" w:type="pct"/>
            <w:gridSpan w:val="3"/>
            <w:vAlign w:val="center"/>
          </w:tcPr>
          <w:p w14:paraId="6F69EBBC">
            <w:pPr>
              <w:pStyle w:val="557"/>
            </w:pPr>
            <w:r>
              <w:rPr>
                <w:rFonts w:hint="eastAsia"/>
              </w:rPr>
              <w:t>指标</w:t>
            </w:r>
          </w:p>
        </w:tc>
        <w:tc>
          <w:tcPr>
            <w:tcW w:w="912" w:type="pct"/>
            <w:gridSpan w:val="2"/>
            <w:vAlign w:val="center"/>
          </w:tcPr>
          <w:p w14:paraId="4D856FA0">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3"/>
            <w:vAlign w:val="center"/>
          </w:tcPr>
          <w:p w14:paraId="13182F5C">
            <w:pPr>
              <w:pStyle w:val="557"/>
            </w:pPr>
            <w:r>
              <w:rPr>
                <w:rFonts w:hint="eastAsia"/>
              </w:rPr>
              <w:t>最远影响距离/m</w:t>
            </w:r>
          </w:p>
        </w:tc>
        <w:tc>
          <w:tcPr>
            <w:tcW w:w="988" w:type="pct"/>
            <w:gridSpan w:val="2"/>
            <w:vAlign w:val="center"/>
          </w:tcPr>
          <w:p w14:paraId="21DD94EC">
            <w:pPr>
              <w:pStyle w:val="557"/>
            </w:pPr>
            <w:r>
              <w:rPr>
                <w:rFonts w:hint="eastAsia"/>
              </w:rPr>
              <w:t>到达时间/min</w:t>
            </w:r>
          </w:p>
        </w:tc>
      </w:tr>
      <w:tr w14:paraId="6D12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370F0D23">
            <w:pPr>
              <w:pStyle w:val="557"/>
            </w:pPr>
          </w:p>
        </w:tc>
        <w:tc>
          <w:tcPr>
            <w:tcW w:w="582" w:type="pct"/>
            <w:vMerge w:val="continue"/>
            <w:vAlign w:val="center"/>
          </w:tcPr>
          <w:p w14:paraId="5777B8AD">
            <w:pPr>
              <w:pStyle w:val="557"/>
            </w:pPr>
          </w:p>
        </w:tc>
        <w:tc>
          <w:tcPr>
            <w:tcW w:w="1161" w:type="pct"/>
            <w:gridSpan w:val="3"/>
            <w:vAlign w:val="center"/>
          </w:tcPr>
          <w:p w14:paraId="26F4B132">
            <w:pPr>
              <w:pStyle w:val="557"/>
            </w:pPr>
            <w:r>
              <w:rPr>
                <w:rFonts w:hint="eastAsia"/>
              </w:rPr>
              <w:t>大气毒性终点浓度-2</w:t>
            </w:r>
          </w:p>
        </w:tc>
        <w:tc>
          <w:tcPr>
            <w:tcW w:w="912" w:type="pct"/>
            <w:gridSpan w:val="2"/>
            <w:vAlign w:val="center"/>
          </w:tcPr>
          <w:p w14:paraId="143E97AB">
            <w:pPr>
              <w:pStyle w:val="557"/>
            </w:pPr>
            <w:r>
              <w:rPr>
                <w:rFonts w:hint="eastAsia"/>
              </w:rPr>
              <w:t>62</w:t>
            </w:r>
          </w:p>
        </w:tc>
        <w:tc>
          <w:tcPr>
            <w:tcW w:w="1044" w:type="pct"/>
            <w:gridSpan w:val="3"/>
            <w:vAlign w:val="center"/>
          </w:tcPr>
          <w:p w14:paraId="404D400E">
            <w:pPr>
              <w:pStyle w:val="557"/>
            </w:pPr>
            <w:r>
              <w:rPr>
                <w:rFonts w:hint="eastAsia"/>
              </w:rPr>
              <w:t>100</w:t>
            </w:r>
          </w:p>
        </w:tc>
        <w:tc>
          <w:tcPr>
            <w:tcW w:w="988" w:type="pct"/>
            <w:gridSpan w:val="2"/>
            <w:vAlign w:val="center"/>
          </w:tcPr>
          <w:p w14:paraId="6E9F371E">
            <w:pPr>
              <w:pStyle w:val="557"/>
            </w:pPr>
            <w:r>
              <w:rPr>
                <w:rFonts w:hint="eastAsia"/>
              </w:rPr>
              <w:t>1.11</w:t>
            </w:r>
          </w:p>
        </w:tc>
      </w:tr>
      <w:tr w14:paraId="5409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78A6ABFB">
            <w:pPr>
              <w:pStyle w:val="557"/>
            </w:pPr>
          </w:p>
        </w:tc>
        <w:tc>
          <w:tcPr>
            <w:tcW w:w="582" w:type="pct"/>
            <w:vMerge w:val="continue"/>
            <w:vAlign w:val="center"/>
          </w:tcPr>
          <w:p w14:paraId="2D20AD67">
            <w:pPr>
              <w:pStyle w:val="557"/>
            </w:pPr>
          </w:p>
        </w:tc>
        <w:tc>
          <w:tcPr>
            <w:tcW w:w="1161" w:type="pct"/>
            <w:gridSpan w:val="3"/>
            <w:vAlign w:val="center"/>
          </w:tcPr>
          <w:p w14:paraId="59A90D93">
            <w:pPr>
              <w:pStyle w:val="557"/>
            </w:pPr>
            <w:r>
              <w:rPr>
                <w:rFonts w:hint="eastAsia"/>
              </w:rPr>
              <w:t>敏感目标</w:t>
            </w:r>
          </w:p>
        </w:tc>
        <w:tc>
          <w:tcPr>
            <w:tcW w:w="912" w:type="pct"/>
            <w:gridSpan w:val="2"/>
            <w:vAlign w:val="center"/>
          </w:tcPr>
          <w:p w14:paraId="457AB358">
            <w:pPr>
              <w:pStyle w:val="557"/>
            </w:pPr>
            <w:r>
              <w:rPr>
                <w:rFonts w:hint="eastAsia"/>
              </w:rPr>
              <w:t>超标时间/min</w:t>
            </w:r>
          </w:p>
        </w:tc>
        <w:tc>
          <w:tcPr>
            <w:tcW w:w="1044" w:type="pct"/>
            <w:gridSpan w:val="3"/>
            <w:vAlign w:val="center"/>
          </w:tcPr>
          <w:p w14:paraId="0F3F02E0">
            <w:pPr>
              <w:pStyle w:val="557"/>
            </w:pPr>
            <w:r>
              <w:rPr>
                <w:rFonts w:hint="eastAsia"/>
              </w:rPr>
              <w:t>超标持续时间/min</w:t>
            </w:r>
          </w:p>
        </w:tc>
        <w:tc>
          <w:tcPr>
            <w:tcW w:w="988" w:type="pct"/>
            <w:gridSpan w:val="2"/>
            <w:vAlign w:val="center"/>
          </w:tcPr>
          <w:p w14:paraId="7F5DFEEC">
            <w:pPr>
              <w:pStyle w:val="557"/>
            </w:pPr>
            <w:r>
              <w:rPr>
                <w:rFonts w:hint="eastAsia"/>
              </w:rPr>
              <w:t>最大浓度/(mg/m</w:t>
            </w:r>
            <w:r>
              <w:rPr>
                <w:rFonts w:hint="eastAsia"/>
                <w:vertAlign w:val="superscript"/>
              </w:rPr>
              <w:t>3</w:t>
            </w:r>
            <w:r>
              <w:rPr>
                <w:rFonts w:hint="eastAsia"/>
              </w:rPr>
              <w:t>)</w:t>
            </w:r>
          </w:p>
        </w:tc>
      </w:tr>
      <w:tr w14:paraId="6A6B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10B50202">
            <w:pPr>
              <w:pStyle w:val="557"/>
            </w:pPr>
          </w:p>
        </w:tc>
        <w:tc>
          <w:tcPr>
            <w:tcW w:w="582" w:type="pct"/>
            <w:vMerge w:val="continue"/>
            <w:vAlign w:val="center"/>
          </w:tcPr>
          <w:p w14:paraId="0B1AB5EF">
            <w:pPr>
              <w:pStyle w:val="557"/>
            </w:pPr>
          </w:p>
        </w:tc>
        <w:tc>
          <w:tcPr>
            <w:tcW w:w="1161" w:type="pct"/>
            <w:gridSpan w:val="3"/>
            <w:vAlign w:val="center"/>
          </w:tcPr>
          <w:p w14:paraId="1AC255F0">
            <w:pPr>
              <w:pStyle w:val="557"/>
            </w:pPr>
            <w:r>
              <w:rPr>
                <w:rFonts w:hint="eastAsia"/>
              </w:rPr>
              <w:t>花园乡</w:t>
            </w:r>
          </w:p>
        </w:tc>
        <w:tc>
          <w:tcPr>
            <w:tcW w:w="912" w:type="pct"/>
            <w:gridSpan w:val="2"/>
            <w:vAlign w:val="center"/>
          </w:tcPr>
          <w:p w14:paraId="2C678FF0">
            <w:pPr>
              <w:pStyle w:val="557"/>
            </w:pPr>
            <w:r>
              <w:rPr>
                <w:rFonts w:hint="eastAsia"/>
              </w:rPr>
              <w:t>/</w:t>
            </w:r>
          </w:p>
        </w:tc>
        <w:tc>
          <w:tcPr>
            <w:tcW w:w="1044" w:type="pct"/>
            <w:gridSpan w:val="3"/>
            <w:vAlign w:val="center"/>
          </w:tcPr>
          <w:p w14:paraId="1C09A310">
            <w:pPr>
              <w:pStyle w:val="557"/>
            </w:pPr>
            <w:r>
              <w:rPr>
                <w:rFonts w:hint="eastAsia"/>
              </w:rPr>
              <w:t>/</w:t>
            </w:r>
          </w:p>
        </w:tc>
        <w:tc>
          <w:tcPr>
            <w:tcW w:w="988" w:type="pct"/>
            <w:gridSpan w:val="2"/>
            <w:vAlign w:val="center"/>
          </w:tcPr>
          <w:p w14:paraId="38C14B1E">
            <w:pPr>
              <w:pStyle w:val="557"/>
            </w:pPr>
            <w:r>
              <w:rPr>
                <w:rFonts w:hint="eastAsia"/>
              </w:rPr>
              <w:t>/</w:t>
            </w:r>
          </w:p>
        </w:tc>
      </w:tr>
      <w:tr w14:paraId="3805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3E1EAE85">
            <w:pPr>
              <w:pStyle w:val="557"/>
            </w:pPr>
          </w:p>
        </w:tc>
        <w:tc>
          <w:tcPr>
            <w:tcW w:w="582" w:type="pct"/>
            <w:vMerge w:val="continue"/>
            <w:vAlign w:val="center"/>
          </w:tcPr>
          <w:p w14:paraId="3A19FF0E">
            <w:pPr>
              <w:pStyle w:val="557"/>
            </w:pPr>
          </w:p>
        </w:tc>
        <w:tc>
          <w:tcPr>
            <w:tcW w:w="4104" w:type="pct"/>
            <w:gridSpan w:val="10"/>
            <w:vAlign w:val="center"/>
          </w:tcPr>
          <w:p w14:paraId="125A94A7">
            <w:pPr>
              <w:pStyle w:val="557"/>
            </w:pPr>
            <w:r>
              <w:rPr>
                <w:rFonts w:hint="eastAsia"/>
              </w:rPr>
              <w:t>最常见气象条件下大气</w:t>
            </w:r>
            <w:r>
              <w:t>环境影响</w:t>
            </w:r>
          </w:p>
        </w:tc>
      </w:tr>
      <w:tr w14:paraId="2255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9CA34D0">
            <w:pPr>
              <w:pStyle w:val="557"/>
            </w:pPr>
          </w:p>
        </w:tc>
        <w:tc>
          <w:tcPr>
            <w:tcW w:w="582" w:type="pct"/>
            <w:vMerge w:val="continue"/>
            <w:vAlign w:val="center"/>
          </w:tcPr>
          <w:p w14:paraId="6D58FDC8">
            <w:pPr>
              <w:pStyle w:val="557"/>
            </w:pPr>
          </w:p>
        </w:tc>
        <w:tc>
          <w:tcPr>
            <w:tcW w:w="1161" w:type="pct"/>
            <w:gridSpan w:val="3"/>
            <w:vAlign w:val="center"/>
          </w:tcPr>
          <w:p w14:paraId="0A0CC2EB">
            <w:pPr>
              <w:pStyle w:val="557"/>
            </w:pPr>
            <w:r>
              <w:rPr>
                <w:rFonts w:hint="eastAsia"/>
              </w:rPr>
              <w:t>指标</w:t>
            </w:r>
          </w:p>
        </w:tc>
        <w:tc>
          <w:tcPr>
            <w:tcW w:w="912" w:type="pct"/>
            <w:gridSpan w:val="2"/>
            <w:vAlign w:val="center"/>
          </w:tcPr>
          <w:p w14:paraId="269E5C28">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3"/>
            <w:vAlign w:val="center"/>
          </w:tcPr>
          <w:p w14:paraId="24423982">
            <w:pPr>
              <w:pStyle w:val="557"/>
            </w:pPr>
            <w:r>
              <w:rPr>
                <w:rFonts w:hint="eastAsia"/>
              </w:rPr>
              <w:t>最远影响距离/m</w:t>
            </w:r>
          </w:p>
        </w:tc>
        <w:tc>
          <w:tcPr>
            <w:tcW w:w="988" w:type="pct"/>
            <w:gridSpan w:val="2"/>
            <w:vAlign w:val="center"/>
          </w:tcPr>
          <w:p w14:paraId="1BA4F4F0">
            <w:pPr>
              <w:pStyle w:val="557"/>
            </w:pPr>
            <w:r>
              <w:rPr>
                <w:rFonts w:hint="eastAsia"/>
              </w:rPr>
              <w:t>到达时间/min</w:t>
            </w:r>
          </w:p>
        </w:tc>
      </w:tr>
      <w:tr w14:paraId="1ED0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0F65C0E">
            <w:pPr>
              <w:pStyle w:val="557"/>
            </w:pPr>
          </w:p>
        </w:tc>
        <w:tc>
          <w:tcPr>
            <w:tcW w:w="582" w:type="pct"/>
            <w:vMerge w:val="continue"/>
            <w:vAlign w:val="center"/>
          </w:tcPr>
          <w:p w14:paraId="46365CC1">
            <w:pPr>
              <w:pStyle w:val="557"/>
            </w:pPr>
          </w:p>
        </w:tc>
        <w:tc>
          <w:tcPr>
            <w:tcW w:w="1161" w:type="pct"/>
            <w:gridSpan w:val="3"/>
            <w:vAlign w:val="center"/>
          </w:tcPr>
          <w:p w14:paraId="2E911F85">
            <w:pPr>
              <w:pStyle w:val="557"/>
            </w:pPr>
            <w:r>
              <w:rPr>
                <w:rFonts w:hint="eastAsia"/>
              </w:rPr>
              <w:t>大气毒性终点浓度-1</w:t>
            </w:r>
          </w:p>
        </w:tc>
        <w:tc>
          <w:tcPr>
            <w:tcW w:w="912" w:type="pct"/>
            <w:gridSpan w:val="2"/>
            <w:vAlign w:val="center"/>
          </w:tcPr>
          <w:p w14:paraId="10730F21">
            <w:pPr>
              <w:pStyle w:val="557"/>
            </w:pPr>
            <w:r>
              <w:rPr>
                <w:rFonts w:hint="eastAsia"/>
              </w:rPr>
              <w:t>240</w:t>
            </w:r>
          </w:p>
        </w:tc>
        <w:tc>
          <w:tcPr>
            <w:tcW w:w="2032" w:type="pct"/>
            <w:gridSpan w:val="5"/>
            <w:vAlign w:val="center"/>
          </w:tcPr>
          <w:p w14:paraId="2918285A">
            <w:pPr>
              <w:pStyle w:val="557"/>
            </w:pPr>
            <w:r>
              <w:rPr>
                <w:rFonts w:hint="eastAsia"/>
              </w:rPr>
              <w:t>此阈值及以上，无对应位置，因计算浓度均小于此阈值</w:t>
            </w:r>
          </w:p>
        </w:tc>
      </w:tr>
      <w:tr w14:paraId="3570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49E84E21">
            <w:pPr>
              <w:pStyle w:val="557"/>
            </w:pPr>
          </w:p>
        </w:tc>
        <w:tc>
          <w:tcPr>
            <w:tcW w:w="582" w:type="pct"/>
            <w:vMerge w:val="continue"/>
            <w:vAlign w:val="center"/>
          </w:tcPr>
          <w:p w14:paraId="700A18E9">
            <w:pPr>
              <w:pStyle w:val="557"/>
            </w:pPr>
          </w:p>
        </w:tc>
        <w:tc>
          <w:tcPr>
            <w:tcW w:w="1161" w:type="pct"/>
            <w:gridSpan w:val="3"/>
            <w:vAlign w:val="center"/>
          </w:tcPr>
          <w:p w14:paraId="4E6A8314">
            <w:pPr>
              <w:pStyle w:val="557"/>
            </w:pPr>
            <w:r>
              <w:rPr>
                <w:rFonts w:hint="eastAsia"/>
              </w:rPr>
              <w:t>指标</w:t>
            </w:r>
          </w:p>
        </w:tc>
        <w:tc>
          <w:tcPr>
            <w:tcW w:w="912" w:type="pct"/>
            <w:gridSpan w:val="2"/>
            <w:vAlign w:val="center"/>
          </w:tcPr>
          <w:p w14:paraId="67336769">
            <w:pPr>
              <w:pStyle w:val="557"/>
            </w:pPr>
            <w:r>
              <w:rPr>
                <w:rFonts w:hint="eastAsia"/>
              </w:rPr>
              <w:t>浓度值/</w:t>
            </w:r>
            <w:r>
              <w:t>(</w:t>
            </w:r>
            <w:r>
              <w:rPr>
                <w:rFonts w:hint="eastAsia"/>
              </w:rPr>
              <w:t>mg/m</w:t>
            </w:r>
            <w:r>
              <w:rPr>
                <w:rFonts w:hint="eastAsia"/>
                <w:vertAlign w:val="superscript"/>
              </w:rPr>
              <w:t>3</w:t>
            </w:r>
            <w:r>
              <w:rPr>
                <w:rFonts w:hint="eastAsia"/>
              </w:rPr>
              <w:t>)</w:t>
            </w:r>
          </w:p>
        </w:tc>
        <w:tc>
          <w:tcPr>
            <w:tcW w:w="1044" w:type="pct"/>
            <w:gridSpan w:val="3"/>
            <w:vAlign w:val="center"/>
          </w:tcPr>
          <w:p w14:paraId="3A131C7C">
            <w:pPr>
              <w:pStyle w:val="557"/>
            </w:pPr>
            <w:r>
              <w:rPr>
                <w:rFonts w:hint="eastAsia"/>
              </w:rPr>
              <w:t>最远影响距离/m</w:t>
            </w:r>
          </w:p>
        </w:tc>
        <w:tc>
          <w:tcPr>
            <w:tcW w:w="988" w:type="pct"/>
            <w:gridSpan w:val="2"/>
            <w:vAlign w:val="center"/>
          </w:tcPr>
          <w:p w14:paraId="0A3885C2">
            <w:pPr>
              <w:pStyle w:val="557"/>
            </w:pPr>
            <w:r>
              <w:rPr>
                <w:rFonts w:hint="eastAsia"/>
              </w:rPr>
              <w:t>到达时间/min</w:t>
            </w:r>
          </w:p>
        </w:tc>
      </w:tr>
      <w:tr w14:paraId="2135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2B6C1AF0">
            <w:pPr>
              <w:pStyle w:val="557"/>
            </w:pPr>
          </w:p>
        </w:tc>
        <w:tc>
          <w:tcPr>
            <w:tcW w:w="582" w:type="pct"/>
            <w:vMerge w:val="continue"/>
            <w:vAlign w:val="center"/>
          </w:tcPr>
          <w:p w14:paraId="6D5240DA">
            <w:pPr>
              <w:pStyle w:val="557"/>
            </w:pPr>
          </w:p>
        </w:tc>
        <w:tc>
          <w:tcPr>
            <w:tcW w:w="1161" w:type="pct"/>
            <w:gridSpan w:val="3"/>
            <w:vAlign w:val="center"/>
          </w:tcPr>
          <w:p w14:paraId="078ED8F8">
            <w:pPr>
              <w:pStyle w:val="557"/>
            </w:pPr>
            <w:r>
              <w:rPr>
                <w:rFonts w:hint="eastAsia"/>
              </w:rPr>
              <w:t>大气毒性终点浓度-2</w:t>
            </w:r>
          </w:p>
        </w:tc>
        <w:tc>
          <w:tcPr>
            <w:tcW w:w="912" w:type="pct"/>
            <w:gridSpan w:val="2"/>
            <w:vAlign w:val="center"/>
          </w:tcPr>
          <w:p w14:paraId="0E26599E">
            <w:pPr>
              <w:pStyle w:val="557"/>
            </w:pPr>
            <w:r>
              <w:rPr>
                <w:rFonts w:hint="eastAsia"/>
              </w:rPr>
              <w:t>62</w:t>
            </w:r>
          </w:p>
        </w:tc>
        <w:tc>
          <w:tcPr>
            <w:tcW w:w="1040" w:type="pct"/>
            <w:gridSpan w:val="2"/>
            <w:vAlign w:val="center"/>
          </w:tcPr>
          <w:p w14:paraId="7048CCBA">
            <w:pPr>
              <w:pStyle w:val="557"/>
            </w:pPr>
            <w:r>
              <w:rPr>
                <w:rFonts w:hint="eastAsia"/>
              </w:rPr>
              <w:t>60</w:t>
            </w:r>
          </w:p>
        </w:tc>
        <w:tc>
          <w:tcPr>
            <w:tcW w:w="992" w:type="pct"/>
            <w:gridSpan w:val="3"/>
            <w:vAlign w:val="center"/>
          </w:tcPr>
          <w:p w14:paraId="33E2DC9B">
            <w:pPr>
              <w:pStyle w:val="557"/>
            </w:pPr>
            <w:r>
              <w:rPr>
                <w:rFonts w:hint="eastAsia"/>
              </w:rPr>
              <w:t>0.39</w:t>
            </w:r>
          </w:p>
        </w:tc>
      </w:tr>
      <w:tr w14:paraId="3870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2B3E36B1">
            <w:pPr>
              <w:pStyle w:val="557"/>
            </w:pPr>
          </w:p>
        </w:tc>
        <w:tc>
          <w:tcPr>
            <w:tcW w:w="582" w:type="pct"/>
            <w:vMerge w:val="continue"/>
            <w:vAlign w:val="center"/>
          </w:tcPr>
          <w:p w14:paraId="0CC4EC03">
            <w:pPr>
              <w:pStyle w:val="557"/>
            </w:pPr>
          </w:p>
        </w:tc>
        <w:tc>
          <w:tcPr>
            <w:tcW w:w="1161" w:type="pct"/>
            <w:gridSpan w:val="3"/>
            <w:vAlign w:val="center"/>
          </w:tcPr>
          <w:p w14:paraId="799EDC0B">
            <w:pPr>
              <w:pStyle w:val="557"/>
            </w:pPr>
            <w:r>
              <w:rPr>
                <w:rFonts w:hint="eastAsia"/>
              </w:rPr>
              <w:t>敏感目标</w:t>
            </w:r>
          </w:p>
        </w:tc>
        <w:tc>
          <w:tcPr>
            <w:tcW w:w="912" w:type="pct"/>
            <w:gridSpan w:val="2"/>
            <w:vAlign w:val="center"/>
          </w:tcPr>
          <w:p w14:paraId="5E6C9199">
            <w:pPr>
              <w:pStyle w:val="557"/>
            </w:pPr>
            <w:r>
              <w:rPr>
                <w:rFonts w:hint="eastAsia"/>
              </w:rPr>
              <w:t>超标时间/min</w:t>
            </w:r>
          </w:p>
        </w:tc>
        <w:tc>
          <w:tcPr>
            <w:tcW w:w="1044" w:type="pct"/>
            <w:gridSpan w:val="3"/>
            <w:vAlign w:val="center"/>
          </w:tcPr>
          <w:p w14:paraId="061A8150">
            <w:pPr>
              <w:pStyle w:val="557"/>
            </w:pPr>
            <w:r>
              <w:rPr>
                <w:rFonts w:hint="eastAsia"/>
              </w:rPr>
              <w:t>超标持续时间/min</w:t>
            </w:r>
          </w:p>
        </w:tc>
        <w:tc>
          <w:tcPr>
            <w:tcW w:w="988" w:type="pct"/>
            <w:gridSpan w:val="2"/>
            <w:vAlign w:val="center"/>
          </w:tcPr>
          <w:p w14:paraId="41DF8EAA">
            <w:pPr>
              <w:pStyle w:val="557"/>
            </w:pPr>
            <w:r>
              <w:rPr>
                <w:rFonts w:hint="eastAsia"/>
              </w:rPr>
              <w:t>最大浓度/(mg/m</w:t>
            </w:r>
            <w:r>
              <w:rPr>
                <w:rFonts w:hint="eastAsia"/>
                <w:vertAlign w:val="superscript"/>
              </w:rPr>
              <w:t>3</w:t>
            </w:r>
            <w:r>
              <w:rPr>
                <w:rFonts w:hint="eastAsia"/>
              </w:rPr>
              <w:t>)</w:t>
            </w:r>
          </w:p>
        </w:tc>
      </w:tr>
      <w:tr w14:paraId="537A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3" w:type="pct"/>
            <w:vMerge w:val="continue"/>
            <w:vAlign w:val="center"/>
          </w:tcPr>
          <w:p w14:paraId="5BEFC495">
            <w:pPr>
              <w:pStyle w:val="557"/>
            </w:pPr>
          </w:p>
        </w:tc>
        <w:tc>
          <w:tcPr>
            <w:tcW w:w="582" w:type="pct"/>
            <w:vMerge w:val="continue"/>
            <w:vAlign w:val="center"/>
          </w:tcPr>
          <w:p w14:paraId="18558257">
            <w:pPr>
              <w:pStyle w:val="557"/>
            </w:pPr>
          </w:p>
        </w:tc>
        <w:tc>
          <w:tcPr>
            <w:tcW w:w="1161" w:type="pct"/>
            <w:gridSpan w:val="3"/>
            <w:vAlign w:val="center"/>
          </w:tcPr>
          <w:p w14:paraId="237600E6">
            <w:pPr>
              <w:pStyle w:val="557"/>
            </w:pPr>
            <w:r>
              <w:rPr>
                <w:rFonts w:hint="eastAsia"/>
              </w:rPr>
              <w:t>花园乡</w:t>
            </w:r>
          </w:p>
        </w:tc>
        <w:tc>
          <w:tcPr>
            <w:tcW w:w="912" w:type="pct"/>
            <w:gridSpan w:val="2"/>
            <w:vAlign w:val="center"/>
          </w:tcPr>
          <w:p w14:paraId="010D415D">
            <w:pPr>
              <w:pStyle w:val="557"/>
            </w:pPr>
            <w:r>
              <w:rPr>
                <w:rFonts w:hint="eastAsia"/>
              </w:rPr>
              <w:t>/</w:t>
            </w:r>
          </w:p>
        </w:tc>
        <w:tc>
          <w:tcPr>
            <w:tcW w:w="1044" w:type="pct"/>
            <w:gridSpan w:val="3"/>
            <w:vAlign w:val="center"/>
          </w:tcPr>
          <w:p w14:paraId="74913D09">
            <w:pPr>
              <w:pStyle w:val="557"/>
            </w:pPr>
            <w:r>
              <w:rPr>
                <w:rFonts w:hint="eastAsia"/>
              </w:rPr>
              <w:t>/</w:t>
            </w:r>
          </w:p>
        </w:tc>
        <w:tc>
          <w:tcPr>
            <w:tcW w:w="988" w:type="pct"/>
            <w:gridSpan w:val="2"/>
            <w:vAlign w:val="center"/>
          </w:tcPr>
          <w:p w14:paraId="02DF8194">
            <w:pPr>
              <w:pStyle w:val="557"/>
            </w:pPr>
            <w:r>
              <w:rPr>
                <w:rFonts w:hint="eastAsia"/>
              </w:rPr>
              <w:t>/</w:t>
            </w:r>
          </w:p>
        </w:tc>
      </w:tr>
    </w:tbl>
    <w:p w14:paraId="265CE826">
      <w:pPr>
        <w:pStyle w:val="535"/>
        <w:rPr>
          <w:rFonts w:hint="eastAsia"/>
          <w:color w:val="auto"/>
        </w:rPr>
      </w:pPr>
    </w:p>
    <w:p w14:paraId="5542C196">
      <w:pPr>
        <w:pStyle w:val="645"/>
        <w:rPr>
          <w:rFonts w:hint="eastAsia"/>
        </w:rPr>
      </w:pPr>
      <w:r>
        <w:rPr>
          <w:rFonts w:hint="eastAsia"/>
        </w:rPr>
        <w:t>图</w:t>
      </w:r>
      <w:r>
        <w:t>7.7.1-</w:t>
      </w:r>
      <w:r>
        <w:rPr>
          <w:rFonts w:hint="eastAsia"/>
        </w:rPr>
        <w:t>8</w:t>
      </w:r>
      <w:r>
        <w:t xml:space="preserve">   </w:t>
      </w:r>
      <w:r>
        <w:rPr>
          <w:rFonts w:hint="eastAsia"/>
        </w:rPr>
        <w:t xml:space="preserve"> 最不利气象条件下硝酸储罐泄漏事故最大影响区域图</w:t>
      </w:r>
    </w:p>
    <w:p w14:paraId="7D0971C7">
      <w:pPr>
        <w:pStyle w:val="535"/>
        <w:rPr>
          <w:rFonts w:hint="eastAsia"/>
          <w:color w:val="auto"/>
        </w:rPr>
      </w:pPr>
    </w:p>
    <w:p w14:paraId="6E5EDAC6">
      <w:pPr>
        <w:pStyle w:val="645"/>
        <w:rPr>
          <w:rFonts w:hint="eastAsia"/>
        </w:rPr>
      </w:pPr>
      <w:r>
        <w:rPr>
          <w:rFonts w:hint="eastAsia"/>
        </w:rPr>
        <w:t>图</w:t>
      </w:r>
      <w:r>
        <w:t>7.7.1-</w:t>
      </w:r>
      <w:r>
        <w:rPr>
          <w:rFonts w:hint="eastAsia"/>
        </w:rPr>
        <w:t>8</w:t>
      </w:r>
      <w:r>
        <w:t xml:space="preserve">   </w:t>
      </w:r>
      <w:r>
        <w:rPr>
          <w:rFonts w:hint="eastAsia"/>
        </w:rPr>
        <w:t xml:space="preserve"> 最常见气象条件下硝酸储罐泄漏事故最大影响区域图</w:t>
      </w:r>
    </w:p>
    <w:bookmarkEnd w:id="499"/>
    <w:p w14:paraId="47FBC4F5">
      <w:pPr>
        <w:pStyle w:val="97"/>
        <w:rPr>
          <w:rFonts w:hint="eastAsia"/>
        </w:rPr>
      </w:pPr>
      <w:r>
        <w:rPr>
          <w:rFonts w:hint="eastAsia"/>
        </w:rPr>
        <w:t>环境风险地表水环境影响分析</w:t>
      </w:r>
    </w:p>
    <w:p w14:paraId="20BFBB8E">
      <w:pPr>
        <w:pStyle w:val="281"/>
        <w:ind w:firstLine="480"/>
      </w:pPr>
      <w:r>
        <w:rPr>
          <w:rFonts w:hint="eastAsia" w:ascii="宋体" w:hAnsi="宋体"/>
        </w:rPr>
        <w:t>本项目事故情况下，泄漏的液体物料等泄漏于具有防渗功能的围堰内，且极易挥发，同时项目周边无地表水体，与地表水体不发生水力联系。</w:t>
      </w:r>
    </w:p>
    <w:p w14:paraId="768AF42D">
      <w:pPr>
        <w:pStyle w:val="281"/>
        <w:ind w:firstLine="480"/>
        <w:rPr>
          <w:rFonts w:hint="eastAsia" w:ascii="宋体" w:hAnsi="宋体"/>
        </w:rPr>
      </w:pPr>
      <w:r>
        <w:rPr>
          <w:rFonts w:hint="eastAsia" w:ascii="宋体" w:hAnsi="宋体"/>
        </w:rPr>
        <w:t>因此，事故情况下，泄漏的物料对地表水环境影响较小。</w:t>
      </w:r>
    </w:p>
    <w:p w14:paraId="4BC64806">
      <w:pPr>
        <w:pStyle w:val="97"/>
        <w:rPr>
          <w:rFonts w:hint="eastAsia"/>
        </w:rPr>
      </w:pPr>
      <w:bookmarkStart w:id="501" w:name="_Hlk184551103"/>
      <w:r>
        <w:rPr>
          <w:rFonts w:hint="eastAsia"/>
        </w:rPr>
        <w:t>环境风险地下水环境影响分析</w:t>
      </w:r>
    </w:p>
    <w:p w14:paraId="10C5FAC1">
      <w:pPr>
        <w:pStyle w:val="281"/>
        <w:ind w:firstLine="480"/>
      </w:pPr>
      <w:r>
        <w:t>环境风险地下水环境影响分析见</w:t>
      </w:r>
      <w:r>
        <w:rPr>
          <w:rFonts w:hint="eastAsia"/>
        </w:rPr>
        <w:t>5.3</w:t>
      </w:r>
      <w:r>
        <w:t>节。</w:t>
      </w:r>
    </w:p>
    <w:p w14:paraId="16317929">
      <w:pPr>
        <w:pStyle w:val="97"/>
        <w:jc w:val="both"/>
        <w:rPr>
          <w:rFonts w:hint="eastAsia"/>
        </w:rPr>
      </w:pPr>
      <w:r>
        <w:rPr>
          <w:rFonts w:hint="eastAsia"/>
        </w:rPr>
        <w:t>土壤环境风险分析</w:t>
      </w:r>
    </w:p>
    <w:p w14:paraId="0301D278">
      <w:pPr>
        <w:pStyle w:val="281"/>
        <w:ind w:firstLine="480"/>
      </w:pPr>
      <w:r>
        <w:rPr>
          <w:rFonts w:hint="eastAsia" w:ascii="宋体" w:hAnsi="宋体"/>
        </w:rPr>
        <w:t>本项目厂区内大部分都是混凝土路面，基本没有直接裸露的土壤存在，因此，本项目发生物料泄漏时对厂区内的土壤影响有限，事故后及时控制基本不会对厂区内的土壤造成严重污染。</w:t>
      </w:r>
    </w:p>
    <w:p w14:paraId="77F3FE63">
      <w:pPr>
        <w:pStyle w:val="281"/>
        <w:ind w:firstLine="480"/>
      </w:pPr>
      <w:r>
        <w:rPr>
          <w:rFonts w:hint="eastAsia" w:ascii="宋体" w:hAnsi="宋体"/>
        </w:rPr>
        <w:t>事故泄漏物料对厂区外部的土壤污染更低，其对土壤的污染主要是由泄漏到大气环境中的事故污染物沉降到土壤中引起的。但是项目事故泄漏污染物总量不高，而且属于短期事故，通过大气沉降对厂界外土壤造成污染的可能性很小。</w:t>
      </w:r>
    </w:p>
    <w:p w14:paraId="66731007">
      <w:pPr>
        <w:pStyle w:val="281"/>
        <w:ind w:firstLine="480"/>
      </w:pPr>
      <w:r>
        <w:rPr>
          <w:rFonts w:hint="eastAsia" w:ascii="宋体" w:hAnsi="宋体"/>
        </w:rPr>
        <w:t>本项目发生泄漏事故时，泄漏物料会影响土壤中的微生物生存，造成土壤中石油烃等有机物含量增加，破坏土壤的结构，对土壤环境造成局部斑块状的影响。</w:t>
      </w:r>
    </w:p>
    <w:p w14:paraId="673ADB3F">
      <w:pPr>
        <w:pStyle w:val="281"/>
        <w:ind w:firstLine="480"/>
      </w:pPr>
      <w:r>
        <w:rPr>
          <w:rFonts w:hint="eastAsia" w:ascii="宋体" w:hAnsi="宋体"/>
        </w:rPr>
        <w:t>在发生泄漏事故时，由于装置区、罐区采取防渗措施和事故应急物料回收措施，因此基本不会对装置区、罐区及其边界造成土壤污染。</w:t>
      </w:r>
    </w:p>
    <w:p w14:paraId="57F9DFA5">
      <w:pPr>
        <w:pStyle w:val="281"/>
        <w:ind w:firstLine="480"/>
      </w:pPr>
      <w:r>
        <w:rPr>
          <w:rFonts w:hint="eastAsia" w:ascii="宋体" w:hAnsi="宋体"/>
        </w:rPr>
        <w:t>同时本项目在设计和建设过程中加强风险事故防范设施的建设，以降低风险事故的概率，即使在发生风险事故时也能够及时有效地对有害物质进行处置。因此，在发生物料事故泄漏时对厂区内外的土壤都不会造成明显的影响。</w:t>
      </w:r>
    </w:p>
    <w:p w14:paraId="28059C07">
      <w:pPr>
        <w:pStyle w:val="97"/>
        <w:jc w:val="both"/>
        <w:rPr>
          <w:rFonts w:hint="eastAsia"/>
        </w:rPr>
      </w:pPr>
      <w:r>
        <w:rPr>
          <w:rFonts w:hint="eastAsia"/>
        </w:rPr>
        <w:t>事故次生/伴生污染影响分析</w:t>
      </w:r>
    </w:p>
    <w:p w14:paraId="7A3F7F46">
      <w:pPr>
        <w:pStyle w:val="281"/>
        <w:ind w:firstLine="480"/>
        <w:rPr>
          <w:rFonts w:hint="eastAsia" w:ascii="宋体" w:hAnsi="宋体"/>
        </w:rPr>
      </w:pPr>
      <w:r>
        <w:rPr>
          <w:rFonts w:hint="eastAsia" w:ascii="宋体" w:hAnsi="宋体"/>
        </w:rPr>
        <w:t>本项目事故状态下产生的消防水如不能完全收集，将会对地下水环境产生影响。</w:t>
      </w:r>
    </w:p>
    <w:p w14:paraId="71028C40">
      <w:pPr>
        <w:pStyle w:val="281"/>
        <w:ind w:firstLine="480"/>
      </w:pPr>
      <w:r>
        <w:rPr>
          <w:rFonts w:hint="eastAsia" w:ascii="宋体" w:hAnsi="宋体"/>
        </w:rPr>
        <w:t>现场处置人员应根据不同类型环境事件的特点，配备相应的专业防护装备，采取安全防护措施，防止爆炸危害。同时根据事发时当地的气象条件，告知群众应采取的安全防护措施，必要时疏散群众，从而减少爆炸产生的大气污染</w:t>
      </w:r>
      <w:r>
        <w:t>物对人体的危害。</w:t>
      </w:r>
    </w:p>
    <w:p w14:paraId="09CB5BC7">
      <w:pPr>
        <w:pStyle w:val="281"/>
        <w:ind w:firstLine="480"/>
      </w:pPr>
      <w:r>
        <w:t>厂区内设置有一座</w:t>
      </w:r>
      <w:r>
        <w:rPr>
          <w:rFonts w:hint="eastAsia"/>
        </w:rPr>
        <w:t>8</w:t>
      </w:r>
      <w:r>
        <w:t>000m</w:t>
      </w:r>
      <w:r>
        <w:rPr>
          <w:vertAlign w:val="superscript"/>
        </w:rPr>
        <w:t>3</w:t>
      </w:r>
      <w:r>
        <w:t>事故应急水池，用以接纳处理事故时产生的消防废水。在罐区、装置区四周设废水收集系统，收集系统与事故水池相连。确保发生事故时，泄漏的化学品及灭</w:t>
      </w:r>
      <w:r>
        <w:rPr>
          <w:rFonts w:hint="eastAsia" w:ascii="宋体" w:hAnsi="宋体"/>
        </w:rPr>
        <w:t>火时产生的废水可完全被收集处理，不会通过渗透和地表径流污染地下水、土壤。</w:t>
      </w:r>
      <w:bookmarkEnd w:id="501"/>
    </w:p>
    <w:bookmarkEnd w:id="495"/>
    <w:bookmarkEnd w:id="496"/>
    <w:p w14:paraId="598CA3C1">
      <w:pPr>
        <w:pStyle w:val="3"/>
        <w:rPr>
          <w:rFonts w:hint="eastAsia"/>
        </w:rPr>
      </w:pPr>
      <w:bookmarkStart w:id="502" w:name="_Toc194592908"/>
      <w:bookmarkStart w:id="503" w:name="_Toc70372826"/>
      <w:bookmarkStart w:id="504" w:name="_Toc71012661"/>
      <w:bookmarkStart w:id="505" w:name="_Toc69750987"/>
      <w:bookmarkStart w:id="506" w:name="_Toc20763580"/>
      <w:bookmarkStart w:id="507" w:name="_Toc21382"/>
      <w:bookmarkStart w:id="508" w:name="_Toc27017"/>
      <w:r>
        <w:rPr>
          <w:rFonts w:hint="eastAsia"/>
        </w:rPr>
        <w:t>环境风险管理</w:t>
      </w:r>
      <w:bookmarkEnd w:id="502"/>
      <w:bookmarkEnd w:id="503"/>
      <w:bookmarkEnd w:id="504"/>
      <w:bookmarkEnd w:id="505"/>
      <w:bookmarkEnd w:id="506"/>
      <w:bookmarkEnd w:id="507"/>
      <w:bookmarkEnd w:id="508"/>
    </w:p>
    <w:p w14:paraId="03730161">
      <w:pPr>
        <w:pStyle w:val="97"/>
        <w:rPr>
          <w:rFonts w:hint="eastAsia"/>
        </w:rPr>
      </w:pPr>
      <w:r>
        <w:rPr>
          <w:rFonts w:hint="eastAsia"/>
        </w:rPr>
        <w:t>环境风险管理目标</w:t>
      </w:r>
    </w:p>
    <w:p w14:paraId="6E0886AE">
      <w:pPr>
        <w:pStyle w:val="281"/>
        <w:ind w:firstLine="480"/>
        <w:rPr>
          <w:rFonts w:hint="eastAsia" w:ascii="宋体" w:hAnsi="宋体"/>
        </w:rPr>
      </w:pPr>
      <w:r>
        <w:rPr>
          <w:rFonts w:hint="eastAsia" w:ascii="宋体" w:hAnsi="宋体"/>
        </w:rPr>
        <w:t>环境风险管理目标是采用最低合理可行原则管控环境风险。采取的环境风险防范措施应与社会经济技术发展水平相适应，运用科学的技术手段和管理方法，对环境风险进行有效地预防、监控、响应。</w:t>
      </w:r>
    </w:p>
    <w:p w14:paraId="5823B400">
      <w:pPr>
        <w:pStyle w:val="98"/>
        <w:rPr>
          <w:rFonts w:hint="eastAsia"/>
          <w:color w:val="auto"/>
        </w:rPr>
      </w:pPr>
      <w:r>
        <w:rPr>
          <w:rFonts w:hint="eastAsia"/>
          <w:color w:val="auto"/>
        </w:rPr>
        <w:t>安全风险防范措施</w:t>
      </w:r>
    </w:p>
    <w:p w14:paraId="6CBD4854">
      <w:pPr>
        <w:pStyle w:val="281"/>
        <w:ind w:firstLine="480"/>
        <w:rPr>
          <w:rFonts w:hint="eastAsia" w:ascii="宋体" w:hAnsi="宋体"/>
        </w:rPr>
      </w:pPr>
      <w:r>
        <w:rPr>
          <w:rFonts w:hint="eastAsia" w:ascii="宋体" w:hAnsi="宋体"/>
        </w:rPr>
        <w:t>拟建项目在设计中已考虑了各种安全风险防范措施，通过安全风险防范措施的实施可以有效降低安全事故发生的概率，从而由源头上降低安全事故引发的环境风险事故的概率。</w:t>
      </w:r>
    </w:p>
    <w:p w14:paraId="348CA0AC">
      <w:pPr>
        <w:pStyle w:val="281"/>
        <w:ind w:firstLine="480"/>
        <w:rPr>
          <w:rFonts w:hint="eastAsia" w:ascii="宋体" w:hAnsi="宋体"/>
        </w:rPr>
      </w:pPr>
      <w:r>
        <w:rPr>
          <w:rFonts w:hint="eastAsia" w:ascii="宋体" w:hAnsi="宋体"/>
        </w:rPr>
        <w:t>项目可行性研究报告中给出的项目拟采取的各类安全风险防范措施见以下各小节的内容。</w:t>
      </w:r>
    </w:p>
    <w:p w14:paraId="11FCBE87">
      <w:pPr>
        <w:pStyle w:val="98"/>
        <w:rPr>
          <w:rFonts w:hint="eastAsia"/>
          <w:color w:val="auto"/>
        </w:rPr>
      </w:pPr>
      <w:r>
        <w:rPr>
          <w:rFonts w:hint="eastAsia"/>
          <w:color w:val="auto"/>
        </w:rPr>
        <w:t>总图布置和建筑安全防范措施</w:t>
      </w:r>
    </w:p>
    <w:p w14:paraId="282604EE">
      <w:pPr>
        <w:pStyle w:val="281"/>
        <w:ind w:firstLine="480"/>
      </w:pPr>
      <w:r>
        <w:rPr>
          <w:rFonts w:hint="eastAsia" w:ascii="宋体" w:hAnsi="宋体"/>
        </w:rPr>
        <w:t>平面布置满足生产工艺流程的要求；结合风向、朝向等当地自然条件，因地制宜进行布置，力求总平面布置紧凑合理；总平面布置符合防火间距，满足消防要求；合理布置厂内外道路，使厂内运输便捷，功能区划分明确，厂外交通方便。</w:t>
      </w:r>
    </w:p>
    <w:p w14:paraId="5597E7AA">
      <w:pPr>
        <w:pStyle w:val="281"/>
        <w:ind w:firstLine="480"/>
      </w:pPr>
      <w:r>
        <w:rPr>
          <w:rFonts w:hint="eastAsia" w:ascii="宋体" w:hAnsi="宋体"/>
        </w:rPr>
        <w:t>厂区布置按照生产类别分厂前区、生产区、辅助生产区、公用工程区等，各功能分区之间采用道路分隔。</w:t>
      </w:r>
    </w:p>
    <w:p w14:paraId="3F9F505B">
      <w:pPr>
        <w:pStyle w:val="281"/>
        <w:ind w:firstLine="480"/>
      </w:pPr>
      <w:r>
        <w:rPr>
          <w:rFonts w:hint="eastAsia" w:ascii="宋体" w:hAnsi="宋体"/>
        </w:rPr>
        <w:t>车间内爆炸危险区域的范围划分满足现行国家标准《爆炸危险环境电力装置设计规范》（</w:t>
      </w:r>
      <w:r>
        <w:rPr>
          <w:rFonts w:hint="eastAsia"/>
        </w:rPr>
        <w:t>GB50058-2014</w:t>
      </w:r>
      <w:r>
        <w:rPr>
          <w:rFonts w:hint="eastAsia" w:ascii="宋体" w:hAnsi="宋体"/>
        </w:rPr>
        <w:t>）的规定要求。</w:t>
      </w:r>
    </w:p>
    <w:p w14:paraId="5DDA869A">
      <w:pPr>
        <w:pStyle w:val="281"/>
        <w:ind w:firstLine="480"/>
      </w:pPr>
      <w:r>
        <w:rPr>
          <w:rFonts w:hint="eastAsia" w:ascii="宋体" w:hAnsi="宋体"/>
        </w:rPr>
        <w:t>有防火、防爆要求的厂房，其墙上预留洞，洞口堵漏填实材料均采用非燃烧体。生产车间及辅助生产车间内的外门设置为外向开启的安全疏散门，内门设置为向疏散方向开启，符合安全生产要求。</w:t>
      </w:r>
    </w:p>
    <w:p w14:paraId="236AB018">
      <w:pPr>
        <w:pStyle w:val="281"/>
        <w:ind w:firstLine="480"/>
      </w:pPr>
      <w:r>
        <w:rPr>
          <w:rFonts w:hint="eastAsia" w:ascii="宋体" w:hAnsi="宋体"/>
        </w:rPr>
        <w:t>有爆炸危险的房间门窗采用安全玻璃。</w:t>
      </w:r>
    </w:p>
    <w:p w14:paraId="4EF23CA5">
      <w:pPr>
        <w:pStyle w:val="281"/>
        <w:ind w:firstLine="480"/>
      </w:pPr>
      <w:r>
        <w:rPr>
          <w:rFonts w:hint="eastAsia" w:ascii="宋体" w:hAnsi="宋体"/>
        </w:rPr>
        <w:t>对散发较空气重的可燃气体（可燃蒸气）的甲类厂房（有粉尘、纤维爆炸危险的乙类厂房）采用不发火花、不产生静电的地面（如不发火水磨石地面、不发火水泥地面、涂料面层等）。装置内可能散发比空气重的可燃气体，因此控制室、配电室的室内地面比室外地坪高</w:t>
      </w:r>
      <w:r>
        <w:t>0.6m</w:t>
      </w:r>
      <w:r>
        <w:rPr>
          <w:rFonts w:hint="eastAsia" w:ascii="宋体" w:hAnsi="宋体"/>
        </w:rPr>
        <w:t>。</w:t>
      </w:r>
    </w:p>
    <w:p w14:paraId="3E0D5B0F">
      <w:pPr>
        <w:pStyle w:val="281"/>
        <w:ind w:firstLine="480"/>
      </w:pPr>
      <w:r>
        <w:rPr>
          <w:rFonts w:hint="eastAsia" w:ascii="宋体" w:hAnsi="宋体"/>
        </w:rPr>
        <w:t>装置内建筑物（除特殊情况外）的耐火等级不低于二级。</w:t>
      </w:r>
    </w:p>
    <w:p w14:paraId="216B357A">
      <w:pPr>
        <w:pStyle w:val="281"/>
        <w:ind w:firstLine="480"/>
      </w:pPr>
      <w:r>
        <w:rPr>
          <w:rFonts w:hint="eastAsia" w:ascii="宋体" w:hAnsi="宋体"/>
        </w:rPr>
        <w:t>甲类厂房最远工作地点到安全出口的距离小于</w:t>
      </w:r>
      <w:r>
        <w:t>30m</w:t>
      </w:r>
      <w:r>
        <w:rPr>
          <w:rFonts w:hint="eastAsia" w:ascii="宋体" w:hAnsi="宋体"/>
        </w:rPr>
        <w:t>。</w:t>
      </w:r>
    </w:p>
    <w:p w14:paraId="28EF59CC">
      <w:pPr>
        <w:pStyle w:val="281"/>
        <w:ind w:firstLine="480"/>
      </w:pPr>
      <w:r>
        <w:rPr>
          <w:rFonts w:hint="eastAsia" w:ascii="宋体" w:hAnsi="宋体"/>
        </w:rPr>
        <w:t>厂房设有两个（或更多）安全疏散梯，除封闭楼梯间外，作为第二疏散出口的室外梯和每层出口处平台，采用非燃烧材料制作。平台的耐火极限不低于</w:t>
      </w:r>
      <w:r>
        <w:t>1h</w:t>
      </w:r>
      <w:r>
        <w:rPr>
          <w:rFonts w:hint="eastAsia" w:ascii="宋体" w:hAnsi="宋体"/>
        </w:rPr>
        <w:t>，楼梯段的耐火极限不低于</w:t>
      </w:r>
      <w:r>
        <w:t>0.25h</w:t>
      </w:r>
      <w:r>
        <w:rPr>
          <w:rFonts w:hint="eastAsia" w:ascii="宋体" w:hAnsi="宋体"/>
        </w:rPr>
        <w:t>，楼梯周围</w:t>
      </w:r>
      <w:r>
        <w:t>2m</w:t>
      </w:r>
      <w:r>
        <w:rPr>
          <w:rFonts w:hint="eastAsia" w:ascii="宋体" w:hAnsi="宋体"/>
        </w:rPr>
        <w:t>范围内的墙上，除疏散门外，不设其他门窗洞口。</w:t>
      </w:r>
    </w:p>
    <w:p w14:paraId="01549DBC">
      <w:pPr>
        <w:pStyle w:val="281"/>
        <w:ind w:firstLine="480"/>
      </w:pPr>
      <w:r>
        <w:rPr>
          <w:rFonts w:hint="eastAsia" w:ascii="宋体" w:hAnsi="宋体"/>
        </w:rPr>
        <w:t>对甲、乙类房间与可能产生火花的房间相邻时其门窗之间的距离大于或等于现行的国家标准《爆炸危险环境电力装置设计规范》（</w:t>
      </w:r>
      <w:r>
        <w:rPr>
          <w:rFonts w:hint="eastAsia"/>
        </w:rPr>
        <w:t>GB50058-2014</w:t>
      </w:r>
      <w:r>
        <w:rPr>
          <w:rFonts w:hint="eastAsia" w:ascii="宋体" w:hAnsi="宋体"/>
        </w:rPr>
        <w:t>）的规定。</w:t>
      </w:r>
    </w:p>
    <w:p w14:paraId="2633F8BC">
      <w:pPr>
        <w:pStyle w:val="281"/>
        <w:ind w:firstLine="480"/>
      </w:pPr>
      <w:r>
        <w:rPr>
          <w:rFonts w:hint="eastAsia" w:ascii="宋体" w:hAnsi="宋体"/>
        </w:rPr>
        <w:t>厂房内紧靠防火墙两侧的门窗洞口之间最近的水平距离大于或等于</w:t>
      </w:r>
      <w:r>
        <w:t>2m</w:t>
      </w:r>
      <w:r>
        <w:rPr>
          <w:rFonts w:hint="eastAsia" w:ascii="宋体" w:hAnsi="宋体"/>
        </w:rPr>
        <w:t>。</w:t>
      </w:r>
    </w:p>
    <w:p w14:paraId="32DA0A0F">
      <w:pPr>
        <w:pStyle w:val="281"/>
        <w:ind w:firstLine="480"/>
      </w:pPr>
      <w:r>
        <w:rPr>
          <w:rFonts w:hint="eastAsia" w:ascii="宋体" w:hAnsi="宋体"/>
        </w:rPr>
        <w:t>吊顶材料为非燃烧体，耐火极限不小于</w:t>
      </w:r>
      <w:r>
        <w:t>0.25h</w:t>
      </w:r>
      <w:r>
        <w:rPr>
          <w:rFonts w:hint="eastAsia" w:ascii="宋体" w:hAnsi="宋体"/>
        </w:rPr>
        <w:t>。用于保温、隔声的泡沫塑料制品，其各项指标在设计上要求达到阻燃要求：聚氨酯泡沫塑料的氧指数不得小于</w:t>
      </w:r>
      <w:r>
        <w:t>26</w:t>
      </w:r>
      <w:r>
        <w:rPr>
          <w:rFonts w:hint="eastAsia" w:ascii="宋体" w:hAnsi="宋体"/>
        </w:rPr>
        <w:t>；聚苯乙烯泡沫塑料的氧指数不得小于</w:t>
      </w:r>
      <w:r>
        <w:t>30</w:t>
      </w:r>
      <w:r>
        <w:rPr>
          <w:rFonts w:hint="eastAsia" w:ascii="宋体" w:hAnsi="宋体"/>
        </w:rPr>
        <w:t>。</w:t>
      </w:r>
    </w:p>
    <w:p w14:paraId="71C0A48B">
      <w:pPr>
        <w:pStyle w:val="281"/>
        <w:ind w:firstLine="480"/>
      </w:pPr>
      <w:r>
        <w:rPr>
          <w:rFonts w:hint="eastAsia" w:ascii="宋体" w:hAnsi="宋体"/>
        </w:rPr>
        <w:t>建筑物、构筑物的主要构件，均采用非燃烧材料，其耐火极限符合现行的国家标准《建筑设计防火规范（</w:t>
      </w:r>
      <w:r>
        <w:t>GB50016-2014</w:t>
      </w:r>
      <w:r>
        <w:rPr>
          <w:rFonts w:hint="eastAsia" w:ascii="宋体" w:hAnsi="宋体"/>
        </w:rPr>
        <w:t>）》（</w:t>
      </w:r>
      <w:r>
        <w:rPr>
          <w:rFonts w:hint="eastAsia"/>
        </w:rPr>
        <w:t>2018</w:t>
      </w:r>
      <w:r>
        <w:rPr>
          <w:rFonts w:hint="eastAsia" w:ascii="宋体" w:hAnsi="宋体"/>
        </w:rPr>
        <w:t>年版）的有关规定。</w:t>
      </w:r>
    </w:p>
    <w:p w14:paraId="06756ECF">
      <w:pPr>
        <w:pStyle w:val="281"/>
        <w:ind w:firstLine="480"/>
      </w:pPr>
      <w:r>
        <w:rPr>
          <w:rFonts w:hint="eastAsia" w:ascii="宋体" w:hAnsi="宋体"/>
        </w:rPr>
        <w:t>车间内消防车道宽为</w:t>
      </w:r>
      <w:r>
        <w:t>8m</w:t>
      </w:r>
      <w:r>
        <w:rPr>
          <w:rFonts w:hint="eastAsia" w:ascii="宋体" w:hAnsi="宋体"/>
        </w:rPr>
        <w:t>，路面净空高度大于</w:t>
      </w:r>
      <w:r>
        <w:t>4.5m</w:t>
      </w:r>
      <w:r>
        <w:rPr>
          <w:rFonts w:hint="eastAsia" w:ascii="宋体" w:hAnsi="宋体"/>
        </w:rPr>
        <w:t>，符合规范要求。</w:t>
      </w:r>
    </w:p>
    <w:p w14:paraId="6228B245">
      <w:pPr>
        <w:pStyle w:val="98"/>
        <w:rPr>
          <w:rFonts w:hint="eastAsia"/>
          <w:color w:val="auto"/>
        </w:rPr>
      </w:pPr>
      <w:bookmarkStart w:id="509" w:name="_Hlk177920098"/>
      <w:r>
        <w:rPr>
          <w:rFonts w:hint="eastAsia"/>
          <w:color w:val="auto"/>
        </w:rPr>
        <w:t>危险化学品贮运安全防范措施</w:t>
      </w:r>
    </w:p>
    <w:p w14:paraId="4E4BEE50">
      <w:pPr>
        <w:pStyle w:val="281"/>
        <w:ind w:firstLine="480"/>
      </w:pPr>
      <w:r>
        <w:rPr>
          <w:rFonts w:hint="eastAsia" w:ascii="宋体" w:hAnsi="宋体"/>
        </w:rPr>
        <w:t>（</w:t>
      </w:r>
      <w:r>
        <w:t>1</w:t>
      </w:r>
      <w:r>
        <w:rPr>
          <w:rFonts w:hint="eastAsia" w:ascii="宋体" w:hAnsi="宋体"/>
        </w:rPr>
        <w:t>）危险化学品储运系统的设计严格按照设计规范的要求进行设计和施工，确保防火间距、消防通道、消防设施等满足规定要求。</w:t>
      </w:r>
    </w:p>
    <w:p w14:paraId="52024675">
      <w:pPr>
        <w:pStyle w:val="281"/>
        <w:ind w:firstLine="480"/>
      </w:pPr>
      <w:r>
        <w:rPr>
          <w:rFonts w:hint="eastAsia" w:ascii="宋体" w:hAnsi="宋体"/>
        </w:rPr>
        <w:t>（</w:t>
      </w:r>
      <w:r>
        <w:t>2</w:t>
      </w:r>
      <w:r>
        <w:rPr>
          <w:rFonts w:hint="eastAsia" w:ascii="宋体" w:hAnsi="宋体"/>
        </w:rPr>
        <w:t>）罐区严格按照《建筑物防雷设计规范》《工业与民用电力装置的接地设计规范》设置防雷击、防静电系统。</w:t>
      </w:r>
    </w:p>
    <w:p w14:paraId="3C55D6B6">
      <w:pPr>
        <w:pStyle w:val="281"/>
        <w:ind w:firstLine="480"/>
      </w:pPr>
      <w:r>
        <w:rPr>
          <w:rFonts w:hint="eastAsia" w:ascii="宋体" w:hAnsi="宋体"/>
        </w:rPr>
        <w:t>（</w:t>
      </w:r>
      <w:r>
        <w:t>3</w:t>
      </w:r>
      <w:r>
        <w:rPr>
          <w:rFonts w:hint="eastAsia" w:ascii="宋体" w:hAnsi="宋体"/>
        </w:rPr>
        <w:t>）参照《石油化工企业可燃气体和有毒气体检测报警设计规范》在罐区设置自动报警设施。</w:t>
      </w:r>
    </w:p>
    <w:p w14:paraId="441AE6A6">
      <w:pPr>
        <w:pStyle w:val="281"/>
        <w:ind w:firstLine="480"/>
      </w:pPr>
      <w:r>
        <w:rPr>
          <w:rFonts w:hint="eastAsia" w:ascii="宋体" w:hAnsi="宋体"/>
        </w:rPr>
        <w:t>（</w:t>
      </w:r>
      <w:r>
        <w:t>4</w:t>
      </w:r>
      <w:r>
        <w:rPr>
          <w:rFonts w:hint="eastAsia" w:ascii="宋体" w:hAnsi="宋体"/>
        </w:rPr>
        <w:t>）在物料储运过程控制采用</w:t>
      </w:r>
      <w:r>
        <w:t>DCS</w:t>
      </w:r>
      <w:r>
        <w:rPr>
          <w:rFonts w:hint="eastAsia" w:ascii="宋体" w:hAnsi="宋体"/>
        </w:rPr>
        <w:t>系统，并设有越限报警和联锁保护系统，确保在误操作或非正常工况下，对危险物料的安全控制。</w:t>
      </w:r>
    </w:p>
    <w:p w14:paraId="570F42AC">
      <w:pPr>
        <w:pStyle w:val="281"/>
        <w:ind w:firstLine="480"/>
      </w:pPr>
      <w:r>
        <w:rPr>
          <w:rFonts w:hint="eastAsia" w:ascii="宋体" w:hAnsi="宋体"/>
        </w:rPr>
        <w:t>（</w:t>
      </w:r>
      <w:r>
        <w:t>5</w:t>
      </w:r>
      <w:r>
        <w:rPr>
          <w:rFonts w:hint="eastAsia" w:ascii="宋体" w:hAnsi="宋体"/>
        </w:rPr>
        <w:t>）可燃液体罐区均设有防火堤，防火堤的设计均执行国家及行业标准。</w:t>
      </w:r>
    </w:p>
    <w:p w14:paraId="7F7DAE8D">
      <w:pPr>
        <w:pStyle w:val="281"/>
        <w:ind w:firstLine="480"/>
      </w:pPr>
      <w:r>
        <w:rPr>
          <w:rFonts w:hint="eastAsia" w:ascii="宋体" w:hAnsi="宋体"/>
        </w:rPr>
        <w:t>（</w:t>
      </w:r>
      <w:r>
        <w:t>6</w:t>
      </w:r>
      <w:r>
        <w:rPr>
          <w:rFonts w:hint="eastAsia" w:ascii="宋体" w:hAnsi="宋体"/>
        </w:rPr>
        <w:t>）储罐防火设施，包括储罐基础、罐体、保温层等采用不燃材料；易燃液体储罐配备液面计、呼吸阀和阻火器；储罐保持良好接地、防雷；设倒罐线，在储罐发生事故时易于转送物料。</w:t>
      </w:r>
    </w:p>
    <w:p w14:paraId="139E50E9">
      <w:pPr>
        <w:pStyle w:val="281"/>
        <w:ind w:firstLine="480"/>
        <w:rPr>
          <w:rFonts w:hint="eastAsia" w:ascii="宋体" w:hAnsi="宋体"/>
        </w:rPr>
      </w:pPr>
      <w:r>
        <w:rPr>
          <w:rFonts w:hint="eastAsia" w:ascii="宋体" w:hAnsi="宋体"/>
        </w:rPr>
        <w:t>（</w:t>
      </w:r>
      <w:r>
        <w:t>7</w:t>
      </w:r>
      <w:r>
        <w:rPr>
          <w:rFonts w:hint="eastAsia" w:ascii="宋体" w:hAnsi="宋体"/>
        </w:rPr>
        <w:t>）与大容量储罐相连接的泵，其紧急截止阀安装在泵及设备的安全距离之外，并可在发生火灾时进行远程紧急制动切断可燃物料。</w:t>
      </w:r>
    </w:p>
    <w:p w14:paraId="3B92AD85">
      <w:pPr>
        <w:pStyle w:val="281"/>
        <w:ind w:firstLine="480"/>
      </w:pPr>
      <w:r>
        <w:rPr>
          <w:rFonts w:hint="eastAsia"/>
        </w:rPr>
        <w:t>（8）液氨储罐设置</w:t>
      </w:r>
    </w:p>
    <w:p w14:paraId="0517ADF9">
      <w:pPr>
        <w:pStyle w:val="281"/>
        <w:ind w:firstLine="480"/>
        <w:rPr>
          <w:rFonts w:cs="Times New Roman"/>
        </w:rPr>
      </w:pPr>
      <w:r>
        <w:rPr>
          <w:rFonts w:cs="Times New Roman"/>
        </w:rPr>
        <w:t>本项目拟在液氨罐设置固定水喷雾系统，根据《石油化工企业设计防火规范》（GB50160-2008)（2018版）相关规定：罐壁供水强度不小于2.5L/(min·m</w:t>
      </w:r>
      <w:r>
        <w:rPr>
          <w:rFonts w:cs="Times New Roman"/>
          <w:vertAlign w:val="superscript"/>
        </w:rPr>
        <w:t>2</w:t>
      </w:r>
      <w:r>
        <w:rPr>
          <w:rFonts w:cs="Times New Roman"/>
        </w:rPr>
        <w:t>)，罐顶供水强度不小于4L/(min·m</w:t>
      </w:r>
      <w:r>
        <w:rPr>
          <w:rFonts w:cs="Times New Roman"/>
          <w:vertAlign w:val="superscript"/>
        </w:rPr>
        <w:t>2</w:t>
      </w:r>
      <w:r>
        <w:rPr>
          <w:rFonts w:cs="Times New Roman"/>
        </w:rPr>
        <w:t>)，喷头工作压力不小于0.35MPa，持续喷雾时间不小于6h。水喷雾消防系统同时具备电动自动控制、消防控制室手动远程控制、手动应急现场操作三种控制方式。</w:t>
      </w:r>
    </w:p>
    <w:p w14:paraId="7879D716">
      <w:pPr>
        <w:pStyle w:val="281"/>
        <w:ind w:firstLine="480"/>
      </w:pPr>
      <w:r>
        <w:rPr>
          <w:rFonts w:hint="eastAsia" w:ascii="宋体" w:hAnsi="宋体"/>
        </w:rPr>
        <w:t>（</w:t>
      </w:r>
      <w:r>
        <w:rPr>
          <w:rFonts w:hint="eastAsia"/>
        </w:rPr>
        <w:t>9</w:t>
      </w:r>
      <w:r>
        <w:rPr>
          <w:rFonts w:hint="eastAsia" w:ascii="宋体" w:hAnsi="宋体"/>
        </w:rPr>
        <w:t>）加强操作人员业务培训，岗位人员必须熟悉储罐布置、管线分布和阀门用途；定期检查管道密封性能，保持呼吸阀工作正常；罐内物品按规定控制温度；储罐清理和检修必须按操作规程执行，认真清洗和吹扫，取样分析合格，确认无爆炸危险后进行操作。</w:t>
      </w:r>
    </w:p>
    <w:bookmarkEnd w:id="509"/>
    <w:p w14:paraId="753D5895">
      <w:pPr>
        <w:pStyle w:val="98"/>
        <w:rPr>
          <w:rFonts w:hint="eastAsia"/>
          <w:color w:val="auto"/>
        </w:rPr>
      </w:pPr>
      <w:bookmarkStart w:id="510" w:name="_Hlk177920117"/>
      <w:r>
        <w:rPr>
          <w:rFonts w:hint="eastAsia"/>
          <w:color w:val="auto"/>
        </w:rPr>
        <w:t>工艺技术设计安全防范措施</w:t>
      </w:r>
    </w:p>
    <w:p w14:paraId="4D7C340E">
      <w:pPr>
        <w:pStyle w:val="281"/>
        <w:ind w:firstLine="480"/>
      </w:pPr>
      <w:r>
        <w:rPr>
          <w:rFonts w:hint="eastAsia" w:ascii="宋体" w:hAnsi="宋体"/>
        </w:rPr>
        <w:t>（</w:t>
      </w:r>
      <w:r>
        <w:t>1</w:t>
      </w:r>
      <w:r>
        <w:rPr>
          <w:rFonts w:hint="eastAsia" w:ascii="宋体" w:hAnsi="宋体"/>
        </w:rPr>
        <w:t>）车间物料输送管道不穿越无关的建筑物；工艺和公用工程管道共架多层敷设时依据管道介质危险性大小分层布置。</w:t>
      </w:r>
    </w:p>
    <w:p w14:paraId="30E5D487">
      <w:pPr>
        <w:pStyle w:val="281"/>
        <w:ind w:firstLine="480"/>
      </w:pPr>
      <w:r>
        <w:rPr>
          <w:rFonts w:hint="eastAsia" w:ascii="宋体" w:hAnsi="宋体"/>
        </w:rPr>
        <w:t>（</w:t>
      </w:r>
      <w:r>
        <w:t>2</w:t>
      </w:r>
      <w:r>
        <w:rPr>
          <w:rFonts w:hint="eastAsia" w:ascii="宋体" w:hAnsi="宋体"/>
        </w:rPr>
        <w:t>）进、出装置的物料管道，在装置的边界处设有隔断阀和</w:t>
      </w:r>
      <w:r>
        <w:t>8</w:t>
      </w:r>
      <w:r>
        <w:rPr>
          <w:rFonts w:hint="eastAsia" w:ascii="宋体" w:hAnsi="宋体"/>
        </w:rPr>
        <w:t>字盲板，并在隔断阀处设有平台。</w:t>
      </w:r>
    </w:p>
    <w:p w14:paraId="7C1717E8">
      <w:pPr>
        <w:pStyle w:val="281"/>
        <w:ind w:firstLine="480"/>
      </w:pPr>
      <w:r>
        <w:rPr>
          <w:rFonts w:hint="eastAsia" w:ascii="宋体" w:hAnsi="宋体"/>
        </w:rPr>
        <w:t>（</w:t>
      </w:r>
      <w:r>
        <w:t>3</w:t>
      </w:r>
      <w:r>
        <w:rPr>
          <w:rFonts w:hint="eastAsia" w:ascii="宋体" w:hAnsi="宋体"/>
        </w:rPr>
        <w:t>）车间在可能超压的设备设有安全阀，安全阀定压低于设备的设计压力，泵、安全阀的出口泄放管接入回收系统或放空管排出。</w:t>
      </w:r>
    </w:p>
    <w:p w14:paraId="1CFD0975">
      <w:pPr>
        <w:pStyle w:val="281"/>
        <w:ind w:firstLine="480"/>
      </w:pPr>
      <w:r>
        <w:rPr>
          <w:rFonts w:hint="eastAsia" w:ascii="宋体" w:hAnsi="宋体"/>
        </w:rPr>
        <w:t>（</w:t>
      </w:r>
      <w:r>
        <w:t>4</w:t>
      </w:r>
      <w:r>
        <w:rPr>
          <w:rFonts w:hint="eastAsia" w:ascii="宋体" w:hAnsi="宋体"/>
        </w:rPr>
        <w:t>）对于可能被物料堵塞或腐蚀的安全阀，车间在其入口前设爆破片，并采取保温措施。</w:t>
      </w:r>
    </w:p>
    <w:p w14:paraId="32608FD1">
      <w:pPr>
        <w:pStyle w:val="281"/>
        <w:ind w:firstLine="480"/>
      </w:pPr>
      <w:r>
        <w:rPr>
          <w:rFonts w:hint="eastAsia" w:ascii="宋体" w:hAnsi="宋体"/>
        </w:rPr>
        <w:t>（</w:t>
      </w:r>
      <w:r>
        <w:t>5</w:t>
      </w:r>
      <w:r>
        <w:rPr>
          <w:rFonts w:hint="eastAsia" w:ascii="宋体" w:hAnsi="宋体"/>
        </w:rPr>
        <w:t>）车间对于反应器等重要设备均设有报警信号和卸压排放设施，在非常情况下能够自动或手动遥控地紧急切断进料。</w:t>
      </w:r>
    </w:p>
    <w:p w14:paraId="3D7A1540">
      <w:pPr>
        <w:pStyle w:val="281"/>
        <w:ind w:firstLine="480"/>
      </w:pPr>
      <w:r>
        <w:rPr>
          <w:rFonts w:hint="eastAsia" w:ascii="宋体" w:hAnsi="宋体"/>
        </w:rPr>
        <w:t>（</w:t>
      </w:r>
      <w:r>
        <w:t>6</w:t>
      </w:r>
      <w:r>
        <w:rPr>
          <w:rFonts w:hint="eastAsia" w:ascii="宋体" w:hAnsi="宋体"/>
        </w:rPr>
        <w:t>）车间内所有危险性较大设备的承重钢框架、支架、裙座、管架和爆炸危险区范围内的主管廊均涂有钢结构防火绝热涂料，耐火极限</w:t>
      </w:r>
      <w:r>
        <w:t>1.5h</w:t>
      </w:r>
      <w:r>
        <w:rPr>
          <w:rFonts w:hint="eastAsia" w:ascii="宋体" w:hAnsi="宋体"/>
        </w:rPr>
        <w:t>。</w:t>
      </w:r>
    </w:p>
    <w:p w14:paraId="0F8E074D">
      <w:pPr>
        <w:pStyle w:val="281"/>
        <w:ind w:firstLine="480"/>
      </w:pPr>
      <w:r>
        <w:rPr>
          <w:rFonts w:hint="eastAsia" w:ascii="宋体" w:hAnsi="宋体"/>
        </w:rPr>
        <w:t>（</w:t>
      </w:r>
      <w:r>
        <w:t>7</w:t>
      </w:r>
      <w:r>
        <w:rPr>
          <w:rFonts w:hint="eastAsia" w:ascii="宋体" w:hAnsi="宋体"/>
        </w:rPr>
        <w:t>）包装车间为散发爆炸危险性粉尘的场所，采用洗尘过滤及通风设备，使粉尘难以积累到爆炸浓度。</w:t>
      </w:r>
    </w:p>
    <w:p w14:paraId="56BAE0A6">
      <w:pPr>
        <w:pStyle w:val="281"/>
        <w:ind w:firstLine="480"/>
      </w:pPr>
      <w:r>
        <w:rPr>
          <w:rFonts w:hint="eastAsia" w:ascii="宋体" w:hAnsi="宋体"/>
        </w:rPr>
        <w:t>（</w:t>
      </w:r>
      <w:r>
        <w:t>8</w:t>
      </w:r>
      <w:r>
        <w:rPr>
          <w:rFonts w:hint="eastAsia" w:ascii="宋体" w:hAnsi="宋体"/>
        </w:rPr>
        <w:t>）车间内甲、乙</w:t>
      </w:r>
      <w:r>
        <w:t>A</w:t>
      </w:r>
      <w:r>
        <w:rPr>
          <w:rFonts w:hint="eastAsia" w:ascii="宋体" w:hAnsi="宋体"/>
        </w:rPr>
        <w:t>类设备和管道设有惰性气体置换设施。</w:t>
      </w:r>
    </w:p>
    <w:p w14:paraId="5A492BAD">
      <w:pPr>
        <w:pStyle w:val="281"/>
        <w:ind w:firstLine="480"/>
      </w:pPr>
      <w:r>
        <w:rPr>
          <w:rFonts w:hint="eastAsia" w:ascii="宋体" w:hAnsi="宋体"/>
        </w:rPr>
        <w:t>（</w:t>
      </w:r>
      <w:r>
        <w:t>9</w:t>
      </w:r>
      <w:r>
        <w:rPr>
          <w:rFonts w:hint="eastAsia" w:ascii="宋体" w:hAnsi="宋体"/>
        </w:rPr>
        <w:t>）车间内采用阻燃型电缆并架空敷设。</w:t>
      </w:r>
    </w:p>
    <w:p w14:paraId="441D70DA">
      <w:pPr>
        <w:pStyle w:val="281"/>
        <w:ind w:firstLine="480"/>
      </w:pPr>
      <w:r>
        <w:rPr>
          <w:rFonts w:hint="eastAsia" w:ascii="宋体" w:hAnsi="宋体"/>
        </w:rPr>
        <w:t>（</w:t>
      </w:r>
      <w:r>
        <w:t>10</w:t>
      </w:r>
      <w:r>
        <w:rPr>
          <w:rFonts w:hint="eastAsia" w:ascii="宋体" w:hAnsi="宋体"/>
        </w:rPr>
        <w:t>）罐区的储罐配备消防喷淋装置，并且设置固定式泡沫站。丙烯储罐设置自动报警装置并进行自动水喷淋。</w:t>
      </w:r>
    </w:p>
    <w:p w14:paraId="387F2F57">
      <w:pPr>
        <w:pStyle w:val="281"/>
        <w:ind w:firstLine="480"/>
      </w:pPr>
      <w:r>
        <w:rPr>
          <w:rFonts w:hint="eastAsia" w:ascii="宋体" w:hAnsi="宋体"/>
        </w:rPr>
        <w:t>（</w:t>
      </w:r>
      <w:r>
        <w:t>11</w:t>
      </w:r>
      <w:r>
        <w:rPr>
          <w:rFonts w:hint="eastAsia" w:ascii="宋体" w:hAnsi="宋体"/>
        </w:rPr>
        <w:t>）拟建项目所有可燃、有毒物料始终密闭在各类设施和管道中，各个连接处采用可靠的密封措施。</w:t>
      </w:r>
    </w:p>
    <w:p w14:paraId="0247F5C6">
      <w:pPr>
        <w:pStyle w:val="281"/>
        <w:ind w:firstLine="480"/>
      </w:pPr>
      <w:r>
        <w:rPr>
          <w:rFonts w:hint="eastAsia" w:ascii="宋体" w:hAnsi="宋体"/>
        </w:rPr>
        <w:t>（</w:t>
      </w:r>
      <w:r>
        <w:t>12</w:t>
      </w:r>
      <w:r>
        <w:rPr>
          <w:rFonts w:hint="eastAsia" w:ascii="宋体" w:hAnsi="宋体"/>
        </w:rPr>
        <w:t>）压力容器设计及制造符合《压力容器设计规范》及其他有关的工业标准规范。</w:t>
      </w:r>
    </w:p>
    <w:p w14:paraId="1DAC6641">
      <w:pPr>
        <w:pStyle w:val="281"/>
        <w:ind w:firstLine="480"/>
      </w:pPr>
      <w:r>
        <w:rPr>
          <w:rFonts w:hint="eastAsia" w:ascii="宋体" w:hAnsi="宋体"/>
        </w:rPr>
        <w:t>（</w:t>
      </w:r>
      <w:r>
        <w:t>13</w:t>
      </w:r>
      <w:r>
        <w:rPr>
          <w:rFonts w:hint="eastAsia" w:ascii="宋体" w:hAnsi="宋体"/>
        </w:rPr>
        <w:t>）在厂区内或者厂界周围适当位置安装风向仪，以便随时观测准确风向。一旦发生毒害物或酸气泄漏事故，立即根据事故可能危害的范围设置警戒，所有人员朝泄漏处上风向疏散。</w:t>
      </w:r>
    </w:p>
    <w:p w14:paraId="79DB7D5D">
      <w:pPr>
        <w:pStyle w:val="281"/>
        <w:ind w:firstLine="480"/>
      </w:pPr>
      <w:r>
        <w:rPr>
          <w:rFonts w:hint="eastAsia" w:ascii="宋体" w:hAnsi="宋体"/>
        </w:rPr>
        <w:t>（</w:t>
      </w:r>
      <w:r>
        <w:t>14</w:t>
      </w:r>
      <w:r>
        <w:rPr>
          <w:rFonts w:hint="eastAsia" w:ascii="宋体" w:hAnsi="宋体"/>
        </w:rPr>
        <w:t>）比空气重的易挥发易燃液体泄漏时，用工业覆盖层或吸附</w:t>
      </w:r>
      <w:r>
        <w:t>/</w:t>
      </w:r>
      <w:r>
        <w:rPr>
          <w:rFonts w:hint="eastAsia" w:ascii="宋体" w:hAnsi="宋体"/>
        </w:rPr>
        <w:t>吸收剂盖住泄漏点附近的下水道等地方，防止气体进入。</w:t>
      </w:r>
    </w:p>
    <w:p w14:paraId="74656100">
      <w:pPr>
        <w:pStyle w:val="281"/>
        <w:ind w:firstLine="480"/>
      </w:pPr>
      <w:r>
        <w:rPr>
          <w:rFonts w:hint="eastAsia" w:ascii="宋体" w:hAnsi="宋体"/>
        </w:rPr>
        <w:t>（</w:t>
      </w:r>
      <w:r>
        <w:t>15</w:t>
      </w:r>
      <w:r>
        <w:rPr>
          <w:rFonts w:hint="eastAsia" w:ascii="宋体" w:hAnsi="宋体"/>
        </w:rPr>
        <w:t>）拟建项目涉及酸性气输送管线应设置自动截断阀，一旦发生酸性气泄漏事故时，可以很快切断泄漏点两端的阀门，减少酸性气的泄漏量、降低事故的危害。</w:t>
      </w:r>
    </w:p>
    <w:bookmarkEnd w:id="510"/>
    <w:p w14:paraId="704745E4">
      <w:pPr>
        <w:pStyle w:val="98"/>
        <w:rPr>
          <w:rFonts w:hint="eastAsia"/>
          <w:color w:val="auto"/>
        </w:rPr>
      </w:pPr>
      <w:r>
        <w:rPr>
          <w:rFonts w:hint="eastAsia"/>
          <w:color w:val="auto"/>
        </w:rPr>
        <w:t>自动控制设计安全防范措施</w:t>
      </w:r>
    </w:p>
    <w:p w14:paraId="795136A2">
      <w:pPr>
        <w:pStyle w:val="281"/>
        <w:ind w:firstLine="480"/>
      </w:pPr>
      <w:r>
        <w:rPr>
          <w:rFonts w:hint="eastAsia" w:ascii="宋体" w:hAnsi="宋体"/>
        </w:rPr>
        <w:t>（</w:t>
      </w:r>
      <w:r>
        <w:t>1</w:t>
      </w:r>
      <w:r>
        <w:rPr>
          <w:rFonts w:hint="eastAsia" w:ascii="宋体" w:hAnsi="宋体"/>
        </w:rPr>
        <w:t>）本项目实施后，实现控制、管理、运营一体化，全厂生产装置、公用工程及辅助系统的自动控制及工厂信息管理具有国内先进水平。</w:t>
      </w:r>
    </w:p>
    <w:p w14:paraId="3BA9D9F7">
      <w:pPr>
        <w:pStyle w:val="281"/>
        <w:ind w:firstLine="480"/>
      </w:pPr>
      <w:r>
        <w:rPr>
          <w:rFonts w:hint="eastAsia" w:ascii="宋体" w:hAnsi="宋体"/>
        </w:rPr>
        <w:t>（</w:t>
      </w:r>
      <w:r>
        <w:t>2</w:t>
      </w:r>
      <w:r>
        <w:rPr>
          <w:rFonts w:hint="eastAsia" w:ascii="宋体" w:hAnsi="宋体"/>
        </w:rPr>
        <w:t>）本项目生产装置、公用工程及辅助设施的监视、控制和管理通过采用分散型控制系统（</w:t>
      </w:r>
      <w:r>
        <w:t>DCS</w:t>
      </w:r>
      <w:r>
        <w:rPr>
          <w:rFonts w:hint="eastAsia" w:ascii="宋体" w:hAnsi="宋体"/>
        </w:rPr>
        <w:t>）及其他系统完成，在中央控制室进行集中操作和管理。安全仪表系统（</w:t>
      </w:r>
      <w:r>
        <w:t>SIS</w:t>
      </w:r>
      <w:r>
        <w:rPr>
          <w:rFonts w:hint="eastAsia" w:ascii="宋体" w:hAnsi="宋体"/>
        </w:rPr>
        <w:t>）、可燃气体</w:t>
      </w:r>
      <w:r>
        <w:t>/</w:t>
      </w:r>
      <w:r>
        <w:rPr>
          <w:rFonts w:hint="eastAsia" w:ascii="宋体" w:hAnsi="宋体"/>
        </w:rPr>
        <w:t>有毒气体检测系统（</w:t>
      </w:r>
      <w:r>
        <w:t>FGDS</w:t>
      </w:r>
      <w:r>
        <w:rPr>
          <w:rFonts w:hint="eastAsia" w:ascii="宋体" w:hAnsi="宋体"/>
        </w:rPr>
        <w:t>）等分别独立于</w:t>
      </w:r>
      <w:r>
        <w:t xml:space="preserve">DCS </w:t>
      </w:r>
      <w:r>
        <w:rPr>
          <w:rFonts w:hint="eastAsia" w:ascii="宋体" w:hAnsi="宋体"/>
        </w:rPr>
        <w:t>系统和其他系统单独设置。</w:t>
      </w:r>
    </w:p>
    <w:p w14:paraId="7E1BAEF8">
      <w:pPr>
        <w:pStyle w:val="281"/>
        <w:ind w:firstLine="480"/>
      </w:pPr>
      <w:r>
        <w:rPr>
          <w:rFonts w:hint="eastAsia" w:ascii="宋体" w:hAnsi="宋体"/>
        </w:rPr>
        <w:t>（</w:t>
      </w:r>
      <w:r>
        <w:t>3</w:t>
      </w:r>
      <w:r>
        <w:rPr>
          <w:rFonts w:hint="eastAsia" w:ascii="宋体" w:hAnsi="宋体"/>
        </w:rPr>
        <w:t>）根据生产装置的工艺要求全部或部分采用和实施先进控制（</w:t>
      </w:r>
      <w:r>
        <w:t>APC</w:t>
      </w:r>
      <w:r>
        <w:rPr>
          <w:rFonts w:hint="eastAsia" w:ascii="宋体" w:hAnsi="宋体"/>
        </w:rPr>
        <w:t>）。</w:t>
      </w:r>
    </w:p>
    <w:p w14:paraId="071462EC">
      <w:pPr>
        <w:pStyle w:val="281"/>
        <w:ind w:firstLine="480"/>
      </w:pPr>
      <w:r>
        <w:rPr>
          <w:rFonts w:hint="eastAsia" w:ascii="宋体" w:hAnsi="宋体"/>
        </w:rPr>
        <w:t>（</w:t>
      </w:r>
      <w:r>
        <w:t>4</w:t>
      </w:r>
      <w:r>
        <w:rPr>
          <w:rFonts w:hint="eastAsia" w:ascii="宋体" w:hAnsi="宋体"/>
        </w:rPr>
        <w:t>）各现场机柜间的控制系统均应设置与全厂管理网的通信接口。</w:t>
      </w:r>
    </w:p>
    <w:p w14:paraId="3423B0E8">
      <w:pPr>
        <w:pStyle w:val="281"/>
        <w:ind w:firstLine="480"/>
      </w:pPr>
      <w:r>
        <w:rPr>
          <w:rFonts w:hint="eastAsia" w:ascii="宋体" w:hAnsi="宋体"/>
        </w:rPr>
        <w:t>（</w:t>
      </w:r>
      <w:r>
        <w:t>5</w:t>
      </w:r>
      <w:r>
        <w:rPr>
          <w:rFonts w:hint="eastAsia" w:ascii="宋体" w:hAnsi="宋体"/>
        </w:rPr>
        <w:t>）本项目控制系统和信息管理系统的总体结构分为过程控制层（</w:t>
      </w:r>
      <w:r>
        <w:t>PCS</w:t>
      </w:r>
      <w:r>
        <w:rPr>
          <w:rFonts w:hint="eastAsia" w:ascii="宋体" w:hAnsi="宋体"/>
        </w:rPr>
        <w:t>）、生产运行管理层（</w:t>
      </w:r>
      <w:r>
        <w:t>MES</w:t>
      </w:r>
      <w:r>
        <w:rPr>
          <w:rFonts w:hint="eastAsia" w:ascii="宋体" w:hAnsi="宋体"/>
        </w:rPr>
        <w:t>）。</w:t>
      </w:r>
    </w:p>
    <w:p w14:paraId="58467E76">
      <w:pPr>
        <w:pStyle w:val="281"/>
        <w:ind w:firstLine="480"/>
      </w:pPr>
      <w:r>
        <w:rPr>
          <w:rFonts w:hint="eastAsia" w:ascii="宋体" w:hAnsi="宋体"/>
        </w:rPr>
        <w:t>自控设计具备以下功能：</w:t>
      </w:r>
    </w:p>
    <w:p w14:paraId="236E47F7">
      <w:pPr>
        <w:pStyle w:val="281"/>
        <w:ind w:firstLine="480"/>
      </w:pPr>
      <w:r>
        <w:rPr>
          <w:rFonts w:hint="eastAsia" w:ascii="宋体" w:hAnsi="宋体"/>
        </w:rPr>
        <w:t>①生产过程工艺参数的集中监视；</w:t>
      </w:r>
    </w:p>
    <w:p w14:paraId="58CB9310">
      <w:pPr>
        <w:pStyle w:val="281"/>
        <w:ind w:firstLine="480"/>
      </w:pPr>
      <w:r>
        <w:rPr>
          <w:rFonts w:hint="eastAsia" w:ascii="宋体" w:hAnsi="宋体"/>
        </w:rPr>
        <w:t>②工艺参数的自动控制；</w:t>
      </w:r>
    </w:p>
    <w:p w14:paraId="14D5BFD5">
      <w:pPr>
        <w:pStyle w:val="281"/>
        <w:ind w:firstLine="480"/>
      </w:pPr>
      <w:r>
        <w:rPr>
          <w:rFonts w:hint="eastAsia" w:ascii="宋体" w:hAnsi="宋体"/>
        </w:rPr>
        <w:t>③过程参数超限报警；</w:t>
      </w:r>
    </w:p>
    <w:p w14:paraId="672CFAE2">
      <w:pPr>
        <w:pStyle w:val="281"/>
        <w:ind w:firstLine="480"/>
      </w:pPr>
      <w:r>
        <w:rPr>
          <w:rFonts w:hint="eastAsia" w:ascii="宋体" w:hAnsi="宋体"/>
        </w:rPr>
        <w:t>④重要环节的联锁保护；</w:t>
      </w:r>
    </w:p>
    <w:p w14:paraId="43A1AC42">
      <w:pPr>
        <w:pStyle w:val="281"/>
        <w:ind w:firstLine="480"/>
      </w:pPr>
      <w:r>
        <w:rPr>
          <w:rFonts w:hint="eastAsia" w:ascii="宋体" w:hAnsi="宋体"/>
        </w:rPr>
        <w:t>⑤中央调度室设有工厂管理网络连接接口，最终实现管、控、营销一体化。集中监控可采用区域集中监控和全厂集中监控两种方式。</w:t>
      </w:r>
    </w:p>
    <w:p w14:paraId="2C5A38FE">
      <w:pPr>
        <w:pStyle w:val="98"/>
        <w:rPr>
          <w:rFonts w:hint="eastAsia"/>
          <w:color w:val="auto"/>
        </w:rPr>
      </w:pPr>
      <w:r>
        <w:rPr>
          <w:rFonts w:hint="eastAsia"/>
          <w:color w:val="auto"/>
        </w:rPr>
        <w:t>电气、电讯安全防范措施</w:t>
      </w:r>
    </w:p>
    <w:p w14:paraId="1C493A06">
      <w:pPr>
        <w:pStyle w:val="281"/>
        <w:ind w:firstLine="480"/>
      </w:pPr>
      <w:r>
        <w:t>（1）电气安全防范措施</w:t>
      </w:r>
    </w:p>
    <w:p w14:paraId="4043B22D">
      <w:pPr>
        <w:pStyle w:val="281"/>
        <w:ind w:firstLine="480"/>
      </w:pPr>
      <w:r>
        <w:rPr>
          <w:rFonts w:hint="eastAsia" w:ascii="宋体" w:hAnsi="宋体"/>
        </w:rPr>
        <w:t>①</w:t>
      </w:r>
      <w:r>
        <w:t>装置的爆炸危险区域划分执行《爆炸危险环境电力装置设计规范》（GB50058-2014）。危险区内的各类电气设备均选用相应防爆等级的产品。电缆敷设及配电间的设计均考虑防火、防爆的要求。在装置爆炸危险区域内的所有电气设备均选用防爆型，设计防雷、防静电措施、配置相应防爆等级的电气设备和灯具，仪表选用拟建质安全型。</w:t>
      </w:r>
    </w:p>
    <w:p w14:paraId="00173275">
      <w:pPr>
        <w:pStyle w:val="281"/>
        <w:ind w:firstLine="480"/>
      </w:pPr>
      <w:r>
        <w:rPr>
          <w:rFonts w:hint="eastAsia" w:ascii="宋体" w:hAnsi="宋体"/>
        </w:rPr>
        <w:t>②</w:t>
      </w:r>
      <w:r>
        <w:t>生产装置中大部分负荷属于一、二类负荷，为了将突然停电引发事故的危险降至最低，对于一级用电负荷，选择与用电设备容量相匹配的UPS或EPS电源；二级用电负荷，供电系统采用不同母线段的双回路可靠电源供电；对正常照明发生故障引起操作紊乱并可能造成重大损失的场所设置应急照明。</w:t>
      </w:r>
    </w:p>
    <w:p w14:paraId="14F75845">
      <w:pPr>
        <w:pStyle w:val="281"/>
        <w:ind w:firstLine="480"/>
      </w:pPr>
      <w:r>
        <w:rPr>
          <w:rFonts w:hint="eastAsia" w:ascii="宋体" w:hAnsi="宋体"/>
        </w:rPr>
        <w:t>③</w:t>
      </w:r>
      <w:r>
        <w:t>装置区按《建筑物防雷设计规范》（GB50057-2010）和《工业与民用电力装置的接地设计规范》（GB/T 50065-2011）的规定，设防雷击、防静电接地系统。</w:t>
      </w:r>
    </w:p>
    <w:p w14:paraId="70021785">
      <w:pPr>
        <w:pStyle w:val="281"/>
        <w:ind w:firstLine="480"/>
      </w:pPr>
      <w:r>
        <w:t>（2）电讯安全措施</w:t>
      </w:r>
    </w:p>
    <w:p w14:paraId="1B4D499D">
      <w:pPr>
        <w:pStyle w:val="281"/>
        <w:ind w:firstLine="480"/>
      </w:pPr>
      <w:r>
        <w:rPr>
          <w:rFonts w:hint="eastAsia" w:ascii="宋体" w:hAnsi="宋体"/>
        </w:rPr>
        <w:t>①</w:t>
      </w:r>
      <w:r>
        <w:t>电信网络包括行政管理电话系统和调度电话系统，火灾报警系统、工业电视监视系统、呼叫/对讲系统、无线通讯和接至厂内的市话等线路。电信线路采用以电话分线箱配线为主的放射配线方式，电缆采用沿电缆槽盒敷设方式为主。</w:t>
      </w:r>
    </w:p>
    <w:p w14:paraId="7F0DDCE1">
      <w:pPr>
        <w:pStyle w:val="281"/>
        <w:ind w:firstLine="480"/>
      </w:pPr>
      <w:r>
        <w:rPr>
          <w:rFonts w:hint="eastAsia" w:ascii="宋体" w:hAnsi="宋体"/>
        </w:rPr>
        <w:t>②</w:t>
      </w:r>
      <w:r>
        <w:t>拟建项目设置一套工业电视监视系统，拟在装置区、罐区等处设置多个摄像点，装置控制室设置监视器，并将视频信号送至全厂总调度室，画</w:t>
      </w:r>
      <w:r>
        <w:rPr>
          <w:rFonts w:hint="eastAsia"/>
        </w:rPr>
        <w:t>面</w:t>
      </w:r>
      <w:r>
        <w:t>可自动或手动切换、分割，摄像机的角度、焦距可以在装置控制室控制。</w:t>
      </w:r>
    </w:p>
    <w:p w14:paraId="51DFA391">
      <w:pPr>
        <w:pStyle w:val="281"/>
        <w:ind w:firstLine="480"/>
      </w:pPr>
      <w:r>
        <w:rPr>
          <w:rFonts w:hint="eastAsia" w:ascii="宋体" w:hAnsi="宋体"/>
        </w:rPr>
        <w:t>③</w:t>
      </w:r>
      <w:r>
        <w:t>各装置区、罐区分别安装一套呼叫/对讲子系统。在合适地方安装一套多路合并/分离设备，将各子系统联网，形成一套全厂性的呼叫/对讲系统。采用无主机分散放大呼叫/对讲系统，具有群呼、组呼、双工五通道通话等功能。紧急情况下可进行火灾或事故报警。</w:t>
      </w:r>
    </w:p>
    <w:p w14:paraId="0B92C706">
      <w:pPr>
        <w:pStyle w:val="281"/>
        <w:ind w:firstLine="480"/>
      </w:pPr>
      <w:r>
        <w:t>拟建项目安装一套火灾自动报警系统。由火灾报警控制器、火灾重复报警显示器、火灾探测器、手动报警按钮等组成。在装置区及重要通道口安装手动报警按钮，在厂前区综合办公楼、车间办公楼、装置控制楼、变配电站等重要建筑内安装火灾探测器。火灾报警控制器设在全厂消防控制室。火灾报警控制器可以和消防设施实现联动。</w:t>
      </w:r>
    </w:p>
    <w:p w14:paraId="18E9E063">
      <w:pPr>
        <w:pStyle w:val="98"/>
        <w:rPr>
          <w:rFonts w:hint="eastAsia"/>
          <w:color w:val="auto"/>
        </w:rPr>
      </w:pPr>
      <w:r>
        <w:rPr>
          <w:rFonts w:hint="eastAsia"/>
          <w:color w:val="auto"/>
        </w:rPr>
        <w:t>消防设施</w:t>
      </w:r>
    </w:p>
    <w:p w14:paraId="5F51FA13">
      <w:pPr>
        <w:pStyle w:val="281"/>
        <w:ind w:firstLine="480"/>
      </w:pPr>
      <w:r>
        <w:rPr>
          <w:rFonts w:hint="eastAsia"/>
        </w:rPr>
        <w:t>本项目消防设施和措施如下：</w:t>
      </w:r>
    </w:p>
    <w:p w14:paraId="66F38903">
      <w:pPr>
        <w:pStyle w:val="281"/>
        <w:ind w:firstLine="480"/>
      </w:pPr>
      <w:r>
        <w:t>（1）</w:t>
      </w:r>
      <w:r>
        <w:rPr>
          <w:rFonts w:hint="eastAsia"/>
        </w:rPr>
        <w:t>消防给水系统</w:t>
      </w:r>
    </w:p>
    <w:p w14:paraId="27DC1753">
      <w:pPr>
        <w:pStyle w:val="281"/>
        <w:ind w:firstLine="480"/>
      </w:pPr>
      <w:r>
        <w:rPr>
          <w:rFonts w:hint="eastAsia"/>
        </w:rPr>
        <w:t>根据《建筑设计防火规范》GB50016-2014（2</w:t>
      </w:r>
      <w:r>
        <w:t>018</w:t>
      </w:r>
      <w:r>
        <w:rPr>
          <w:rFonts w:hint="eastAsia"/>
        </w:rPr>
        <w:t>年版）、《消防给水及消火栓系统技术规范》 GB50974-2014、《煤化工工程设计防火标准》GB5</w:t>
      </w:r>
      <w:r>
        <w:t>1428</w:t>
      </w:r>
      <w:r>
        <w:rPr>
          <w:rFonts w:hint="eastAsia"/>
        </w:rPr>
        <w:t>-20</w:t>
      </w:r>
      <w:r>
        <w:t>21</w:t>
      </w:r>
      <w:r>
        <w:rPr>
          <w:rFonts w:hint="eastAsia"/>
        </w:rPr>
        <w:t>，本项目总占地面积约55ha，项目规模为中型，采用稳高压消防给水系统。</w:t>
      </w:r>
    </w:p>
    <w:p w14:paraId="41779FD2">
      <w:pPr>
        <w:pStyle w:val="281"/>
        <w:ind w:firstLine="480"/>
      </w:pPr>
      <w:r>
        <w:rPr>
          <w:rFonts w:hint="eastAsia"/>
        </w:rPr>
        <w:t>设计一套稳高压消防水系统，按厂区同一时间内的火灾处数为2处，一处位于化工装置区，另一处位于公辅装置。</w:t>
      </w:r>
      <w:r>
        <w:t>本项目装置、罐区最大用水量发生在气化装置区为</w:t>
      </w:r>
      <w:r>
        <w:rPr>
          <w:rFonts w:hint="eastAsia"/>
        </w:rPr>
        <w:t>300L/s</w:t>
      </w:r>
      <w:r>
        <w:t>，火灾延续时间不小于 3h，液氨罐区为</w:t>
      </w:r>
      <w:r>
        <w:rPr>
          <w:rFonts w:hint="eastAsia"/>
        </w:rPr>
        <w:t>220L/s</w:t>
      </w:r>
      <w:r>
        <w:t>，火灾延续时间不小于6h，公辅最大用水量发生在空分装置，为</w:t>
      </w:r>
      <w:r>
        <w:rPr>
          <w:rFonts w:hint="eastAsia"/>
        </w:rPr>
        <w:t>120L/s</w:t>
      </w:r>
      <w:r>
        <w:t>，火灾延续时间不小于 3h</w:t>
      </w:r>
      <w:r>
        <w:rPr>
          <w:rFonts w:hint="eastAsia"/>
        </w:rPr>
        <w:t>。所需总消防水量42</w:t>
      </w:r>
      <w:r>
        <w:t>0</w:t>
      </w:r>
      <w:r>
        <w:rPr>
          <w:rFonts w:hint="eastAsia"/>
        </w:rPr>
        <w:t>L/s，所需消防水储量不小于</w:t>
      </w:r>
      <w:r>
        <w:t>5616</w:t>
      </w:r>
      <w:r>
        <w:rPr>
          <w:rFonts w:hint="eastAsia"/>
        </w:rPr>
        <w:t>m</w:t>
      </w:r>
      <w:r>
        <w:rPr>
          <w:rFonts w:hint="eastAsia"/>
          <w:vertAlign w:val="superscript"/>
        </w:rPr>
        <w:t>3</w:t>
      </w:r>
      <w:r>
        <w:rPr>
          <w:rFonts w:hint="eastAsia"/>
        </w:rPr>
        <w:t>。故第一稳高压消防给水系统设计供水能力</w:t>
      </w:r>
      <w:r>
        <w:t>420</w:t>
      </w:r>
      <w:r>
        <w:rPr>
          <w:rFonts w:hint="eastAsia"/>
        </w:rPr>
        <w:t xml:space="preserve"> L/s，消防水储量6048 m</w:t>
      </w:r>
      <w:r>
        <w:rPr>
          <w:rFonts w:hint="eastAsia"/>
          <w:vertAlign w:val="superscript"/>
        </w:rPr>
        <w:t>3</w:t>
      </w:r>
      <w:r>
        <w:rPr>
          <w:rFonts w:hint="eastAsia"/>
        </w:rPr>
        <w:t>。</w:t>
      </w:r>
    </w:p>
    <w:p w14:paraId="253B1EDF">
      <w:pPr>
        <w:pStyle w:val="281"/>
        <w:ind w:firstLine="480"/>
      </w:pPr>
      <w:r>
        <w:rPr>
          <w:rFonts w:hint="eastAsia"/>
        </w:rPr>
        <w:t>稳高压消防给水系统消防水罐与生产水水罐合建，共设有效容积61</w:t>
      </w:r>
      <w:r>
        <w:t>00</w:t>
      </w:r>
      <w:r>
        <w:rPr>
          <w:rFonts w:hint="eastAsia"/>
        </w:rPr>
        <w:t>m</w:t>
      </w:r>
      <w:r>
        <w:rPr>
          <w:vertAlign w:val="superscript"/>
        </w:rPr>
        <w:t>3</w:t>
      </w:r>
      <w:r>
        <w:rPr>
          <w:rFonts w:hint="eastAsia"/>
        </w:rPr>
        <w:t>的生产消防水罐2座，总容积12</w:t>
      </w:r>
      <w:r>
        <w:t>200</w:t>
      </w:r>
      <w:r>
        <w:rPr>
          <w:rFonts w:hint="eastAsia"/>
        </w:rPr>
        <w:t xml:space="preserve"> m</w:t>
      </w:r>
      <w:r>
        <w:rPr>
          <w:vertAlign w:val="superscript"/>
        </w:rPr>
        <w:t>3</w:t>
      </w:r>
      <w:r>
        <w:rPr>
          <w:rFonts w:hint="eastAsia"/>
        </w:rPr>
        <w:t>，其中消防水储量6048m</w:t>
      </w:r>
      <w:r>
        <w:rPr>
          <w:vertAlign w:val="superscript"/>
        </w:rPr>
        <w:t>3</w:t>
      </w:r>
      <w:r>
        <w:rPr>
          <w:rFonts w:hint="eastAsia"/>
        </w:rPr>
        <w:t>，剩余生产水储量6152m</w:t>
      </w:r>
      <w:r>
        <w:rPr>
          <w:vertAlign w:val="superscript"/>
        </w:rPr>
        <w:t>3</w:t>
      </w:r>
      <w:r>
        <w:rPr>
          <w:rFonts w:hint="eastAsia"/>
        </w:rPr>
        <w:t>，可满足8h的生产需要。水池内设有液位监测仪表，并设有消防水不被动用措施，以保证消防储量不被动用。</w:t>
      </w:r>
    </w:p>
    <w:p w14:paraId="681C13D8">
      <w:pPr>
        <w:pStyle w:val="281"/>
        <w:ind w:firstLine="480"/>
        <w:rPr>
          <w:szCs w:val="24"/>
        </w:rPr>
      </w:pPr>
      <w:r>
        <w:rPr>
          <w:rFonts w:hint="eastAsia"/>
          <w:szCs w:val="24"/>
        </w:rPr>
        <w:t>（2）水喷淋系统</w:t>
      </w:r>
    </w:p>
    <w:p w14:paraId="18324693">
      <w:pPr>
        <w:spacing w:line="360" w:lineRule="auto"/>
        <w:ind w:firstLine="480" w:firstLineChars="200"/>
        <w:rPr>
          <w:rFonts w:ascii="Times New Roman" w:hAnsi="Times New Roman" w:cs="Times New Roman"/>
        </w:rPr>
      </w:pPr>
      <w:r>
        <w:rPr>
          <w:rFonts w:hint="eastAsia" w:ascii="Times New Roman" w:hAnsi="Times New Roman" w:cs="Times New Roman"/>
        </w:rPr>
        <w:t>1）固定式消防冷却水系统</w:t>
      </w:r>
    </w:p>
    <w:p w14:paraId="5BCA279A">
      <w:pPr>
        <w:spacing w:line="360" w:lineRule="auto"/>
        <w:ind w:firstLine="480" w:firstLineChars="200"/>
        <w:rPr>
          <w:rFonts w:ascii="Times New Roman" w:hAnsi="Times New Roman" w:cs="Times New Roman"/>
        </w:rPr>
      </w:pPr>
      <w:r>
        <w:rPr>
          <w:rFonts w:hint="eastAsia" w:ascii="Times New Roman" w:hAnsi="Times New Roman" w:cs="Times New Roman"/>
        </w:rPr>
        <w:t>在新建液氨罐区的液氨储罐处，设置固定式消防冷却水系统，喷淋强度不小于</w:t>
      </w:r>
      <w:r>
        <w:rPr>
          <w:rFonts w:ascii="Times New Roman" w:hAnsi="Times New Roman" w:cs="Times New Roman"/>
        </w:rPr>
        <w:t>6l/(min</w:t>
      </w:r>
      <w:r>
        <w:rPr>
          <w:rFonts w:hint="eastAsia" w:ascii="Times New Roman" w:hAnsi="Times New Roman" w:cs="Times New Roman"/>
        </w:rPr>
        <w:t>²</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，持续供水时间不小于</w:t>
      </w:r>
      <w:r>
        <w:rPr>
          <w:rFonts w:ascii="Times New Roman" w:hAnsi="Times New Roman" w:cs="Times New Roman"/>
        </w:rPr>
        <w:t>6</w:t>
      </w:r>
      <w:r>
        <w:rPr>
          <w:rFonts w:hint="eastAsia" w:ascii="Times New Roman" w:hAnsi="Times New Roman" w:cs="Times New Roman"/>
        </w:rPr>
        <w:t>小时。</w:t>
      </w:r>
    </w:p>
    <w:p w14:paraId="755E339B">
      <w:pPr>
        <w:spacing w:line="360" w:lineRule="auto"/>
        <w:ind w:firstLine="480" w:firstLineChars="200"/>
        <w:rPr>
          <w:rFonts w:ascii="Times New Roman" w:hAnsi="Times New Roman" w:cs="Times New Roman"/>
        </w:rPr>
      </w:pPr>
      <w:r>
        <w:rPr>
          <w:rFonts w:hint="eastAsia" w:ascii="Times New Roman" w:hAnsi="Times New Roman" w:cs="Times New Roman"/>
        </w:rPr>
        <w:t>该系统控制阀为雨淋阀，与火灾报警信号联锁，具有自动控制、手动控制和应急操作三种控制方式。</w:t>
      </w:r>
    </w:p>
    <w:p w14:paraId="39EEBA65">
      <w:pPr>
        <w:spacing w:line="360" w:lineRule="auto"/>
        <w:ind w:firstLine="480" w:firstLineChars="200"/>
        <w:rPr>
          <w:rFonts w:ascii="Times New Roman" w:hAnsi="Times New Roman" w:cs="Times New Roman"/>
        </w:rPr>
      </w:pPr>
      <w:r>
        <w:rPr>
          <w:rFonts w:hint="eastAsia" w:ascii="Times New Roman" w:hAnsi="Times New Roman" w:cs="Times New Roman"/>
        </w:rPr>
        <w:t>在新建原料罐区、产品罐区中，单罐容积大于</w:t>
      </w:r>
      <w:r>
        <w:rPr>
          <w:rFonts w:ascii="Times New Roman" w:hAnsi="Times New Roman" w:cs="Times New Roman"/>
        </w:rPr>
        <w:t>2000m</w:t>
      </w:r>
      <w:r>
        <w:rPr>
          <w:rFonts w:ascii="Times New Roman" w:hAnsi="Times New Roman" w:cs="Times New Roman"/>
          <w:vertAlign w:val="superscript"/>
        </w:rPr>
        <w:t>3</w:t>
      </w:r>
      <w:r>
        <w:rPr>
          <w:rFonts w:hint="eastAsia" w:ascii="Times New Roman" w:hAnsi="Times New Roman" w:cs="Times New Roman"/>
        </w:rPr>
        <w:t>的甲乙丙类液体常压立式储罐处，设置固定式消防冷却水系统，喷淋强度不小于</w:t>
      </w:r>
      <w:r>
        <w:rPr>
          <w:rFonts w:ascii="Times New Roman" w:hAnsi="Times New Roman" w:cs="Times New Roman"/>
        </w:rPr>
        <w:t>2.5l/(min</w:t>
      </w:r>
      <w:r>
        <w:rPr>
          <w:rFonts w:hint="eastAsia" w:ascii="Times New Roman" w:hAnsi="Times New Roman" w:cs="Times New Roman"/>
        </w:rPr>
        <w:t>²</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，持续供水时间不小于</w:t>
      </w:r>
      <w:r>
        <w:rPr>
          <w:rFonts w:ascii="Times New Roman" w:hAnsi="Times New Roman" w:cs="Times New Roman"/>
        </w:rPr>
        <w:t>6</w:t>
      </w:r>
      <w:r>
        <w:rPr>
          <w:rFonts w:hint="eastAsia" w:ascii="Times New Roman" w:hAnsi="Times New Roman" w:cs="Times New Roman"/>
        </w:rPr>
        <w:t>小时。</w:t>
      </w:r>
    </w:p>
    <w:p w14:paraId="16717C8D">
      <w:pPr>
        <w:spacing w:line="360" w:lineRule="auto"/>
        <w:ind w:firstLine="480" w:firstLineChars="200"/>
        <w:rPr>
          <w:rFonts w:ascii="Times New Roman" w:hAnsi="Times New Roman" w:cs="Times New Roman"/>
        </w:rPr>
      </w:pPr>
      <w:r>
        <w:rPr>
          <w:rFonts w:hint="eastAsia" w:ascii="Times New Roman" w:hAnsi="Times New Roman" w:cs="Times New Roman"/>
        </w:rPr>
        <w:t>该系统控制阀为电动阀，具有远程控制和机械应急启动两种方式。</w:t>
      </w:r>
    </w:p>
    <w:p w14:paraId="1AC3E81E">
      <w:pPr>
        <w:spacing w:line="360" w:lineRule="auto"/>
        <w:ind w:firstLine="480" w:firstLineChars="200"/>
        <w:rPr>
          <w:rFonts w:ascii="Times New Roman" w:hAnsi="Times New Roman" w:cs="Times New Roman"/>
        </w:rPr>
      </w:pPr>
      <w:r>
        <w:rPr>
          <w:rFonts w:hint="eastAsia" w:ascii="Times New Roman" w:hAnsi="Times New Roman" w:cs="Times New Roman"/>
        </w:rPr>
        <w:t>2）自动喷水灭火系统</w:t>
      </w:r>
    </w:p>
    <w:p w14:paraId="68AC97E5">
      <w:pPr>
        <w:pStyle w:val="281"/>
        <w:ind w:firstLine="480"/>
        <w:rPr>
          <w:rFonts w:cs="Times New Roman"/>
        </w:rPr>
      </w:pPr>
      <w:r>
        <w:rPr>
          <w:rFonts w:hint="eastAsia" w:cs="Times New Roman"/>
        </w:rPr>
        <w:t>占地面积大于</w:t>
      </w:r>
      <w:r>
        <w:rPr>
          <w:rFonts w:cs="Times New Roman"/>
        </w:rPr>
        <w:t>1500</w:t>
      </w:r>
      <w:r>
        <w:rPr>
          <w:rFonts w:hint="eastAsia" w:cs="Times New Roman"/>
        </w:rPr>
        <w:t>㎡或总建筑面积超过</w:t>
      </w:r>
      <w:r>
        <w:rPr>
          <w:rFonts w:cs="Times New Roman"/>
        </w:rPr>
        <w:t>3000</w:t>
      </w:r>
      <w:r>
        <w:rPr>
          <w:rFonts w:hint="eastAsia" w:cs="Times New Roman"/>
        </w:rPr>
        <w:t>㎡的丙类仓库、办公楼等设置自动喷水灭火系统，喷淋强度不小于</w:t>
      </w:r>
      <w:r>
        <w:rPr>
          <w:rFonts w:cs="Times New Roman"/>
        </w:rPr>
        <w:t>6L/(min</w:t>
      </w:r>
      <w:r>
        <w:rPr>
          <w:rFonts w:hint="eastAsia" w:cs="Times New Roman"/>
        </w:rPr>
        <w:t>²</w:t>
      </w:r>
      <w:r>
        <w:rPr>
          <w:rFonts w:cs="Times New Roman"/>
        </w:rPr>
        <w:t>m</w:t>
      </w:r>
      <w:r>
        <w:rPr>
          <w:rFonts w:cs="Times New Roman"/>
          <w:vertAlign w:val="superscript"/>
        </w:rPr>
        <w:t>2</w:t>
      </w:r>
      <w:r>
        <w:rPr>
          <w:rFonts w:cs="Times New Roman"/>
        </w:rPr>
        <w:t>)</w:t>
      </w:r>
      <w:r>
        <w:rPr>
          <w:rFonts w:hint="eastAsia" w:cs="Times New Roman"/>
        </w:rPr>
        <w:t>，作用面积不小于</w:t>
      </w:r>
      <w:r>
        <w:rPr>
          <w:rFonts w:cs="Times New Roman"/>
        </w:rPr>
        <w:t>160m</w:t>
      </w:r>
      <w:r>
        <w:rPr>
          <w:rFonts w:cs="Times New Roman"/>
          <w:vertAlign w:val="superscript"/>
        </w:rPr>
        <w:t>2</w:t>
      </w:r>
      <w:r>
        <w:rPr>
          <w:rFonts w:hint="eastAsia" w:cs="Times New Roman"/>
        </w:rPr>
        <w:t>。系统由报警控制阀组、洒水喷头、喷淋管线、末端试水装置等组成。</w:t>
      </w:r>
    </w:p>
    <w:p w14:paraId="404C1398">
      <w:pPr>
        <w:pStyle w:val="281"/>
        <w:ind w:firstLine="480"/>
        <w:rPr>
          <w:szCs w:val="24"/>
        </w:rPr>
      </w:pPr>
      <w:r>
        <w:rPr>
          <w:rFonts w:hint="eastAsia"/>
          <w:szCs w:val="24"/>
        </w:rPr>
        <w:t>（3）固定式泡沫灭火系统</w:t>
      </w:r>
    </w:p>
    <w:p w14:paraId="41987B2C">
      <w:pPr>
        <w:spacing w:line="360" w:lineRule="auto"/>
        <w:ind w:firstLine="480" w:firstLineChars="200"/>
        <w:rPr>
          <w:rFonts w:ascii="Times New Roman" w:hAnsi="Times New Roman" w:cs="Times New Roman"/>
        </w:rPr>
      </w:pPr>
      <w:r>
        <w:rPr>
          <w:rFonts w:ascii="Times New Roman" w:hAnsi="Times New Roman" w:cs="Times New Roman"/>
        </w:rPr>
        <w:t>根据《建筑设计防火规范》GB50016-2014（2018年版）、《石油化工企业设计防火标准》GB50160-2008（2018年版）、《泡沫灭火系统技术标准》GB50151-2021的相关规定，本项目综合罐组和中间罐组设置固定式低倍数泡沫灭火系统。</w:t>
      </w:r>
    </w:p>
    <w:p w14:paraId="11BA0F5E">
      <w:pPr>
        <w:spacing w:line="360" w:lineRule="auto"/>
        <w:ind w:firstLine="480" w:firstLineChars="200"/>
        <w:rPr>
          <w:rFonts w:ascii="Times New Roman" w:hAnsi="Times New Roman" w:cs="Times New Roman"/>
        </w:rPr>
      </w:pPr>
      <w:r>
        <w:rPr>
          <w:rFonts w:ascii="Times New Roman" w:hAnsi="Times New Roman" w:cs="Times New Roman"/>
        </w:rPr>
        <w:t>本项目设置泡沫站一座作为固定式泡沫灭火系统。泡沫站低倍数泡沫液用量和泡沫设备的选取按泡沫需求最大储罐考虑。按照中间产品罐组内DMO中间产品罐2000m</w:t>
      </w:r>
      <w:r>
        <w:rPr>
          <w:rFonts w:ascii="Times New Roman" w:hAnsi="Times New Roman" w:cs="Times New Roman"/>
          <w:vertAlign w:val="superscript"/>
        </w:rPr>
        <w:t>3</w:t>
      </w:r>
      <w:r>
        <w:rPr>
          <w:rFonts w:ascii="Times New Roman" w:hAnsi="Times New Roman" w:cs="Times New Roman"/>
        </w:rPr>
        <w:t>（固定顶Φ14500</w:t>
      </w:r>
      <w:r>
        <w:rPr>
          <w:rFonts w:hint="eastAsia" w:ascii="Times New Roman" w:hAnsi="Times New Roman" w:cs="Times New Roman"/>
        </w:rPr>
        <w:t>×</w:t>
      </w:r>
      <w:r>
        <w:rPr>
          <w:rFonts w:ascii="Times New Roman" w:hAnsi="Times New Roman" w:cs="Times New Roman"/>
        </w:rPr>
        <w:t>14350</w:t>
      </w:r>
      <w:r>
        <w:rPr>
          <w:rFonts w:hint="eastAsia" w:ascii="Times New Roman" w:hAnsi="Times New Roman" w:cs="Times New Roman"/>
        </w:rPr>
        <w:t>mm</w:t>
      </w:r>
      <w:r>
        <w:rPr>
          <w:rFonts w:ascii="Times New Roman" w:hAnsi="Times New Roman" w:cs="Times New Roman"/>
        </w:rPr>
        <w:t>）为计算依据，泡沫原液选用3%的环保型抗溶性水成膜泡沫液，泡沫供给强度不小于6L/min•m</w:t>
      </w:r>
      <w:r>
        <w:rPr>
          <w:rFonts w:ascii="Times New Roman" w:hAnsi="Times New Roman" w:cs="Times New Roman"/>
          <w:vertAlign w:val="superscript"/>
        </w:rPr>
        <w:t>2</w:t>
      </w:r>
      <w:r>
        <w:rPr>
          <w:rFonts w:ascii="Times New Roman" w:hAnsi="Times New Roman" w:cs="Times New Roman"/>
        </w:rPr>
        <w:t>，供给时间不少于30min，配置PCL16泡沫发生器2个，泡沫枪PQ8一支，泡沫混合液流量42L/s，经计算所需泡沫液为3.1m</w:t>
      </w:r>
      <w:r>
        <w:rPr>
          <w:rFonts w:ascii="Times New Roman" w:hAnsi="Times New Roman" w:cs="Times New Roman"/>
          <w:vertAlign w:val="superscript"/>
        </w:rPr>
        <w:t>3</w:t>
      </w:r>
      <w:r>
        <w:rPr>
          <w:rFonts w:ascii="Times New Roman" w:hAnsi="Times New Roman" w:cs="Times New Roman"/>
        </w:rPr>
        <w:t>（包括扑灭储罐内液面火灾、罐区内流淌火灾以及管道余量）。</w:t>
      </w:r>
    </w:p>
    <w:p w14:paraId="29EC4E75">
      <w:pPr>
        <w:spacing w:line="360" w:lineRule="auto"/>
        <w:ind w:firstLine="480" w:firstLineChars="200"/>
        <w:rPr>
          <w:rFonts w:ascii="Times New Roman" w:hAnsi="Times New Roman" w:cs="Times New Roman"/>
        </w:rPr>
      </w:pPr>
      <w:r>
        <w:rPr>
          <w:rFonts w:ascii="Times New Roman" w:hAnsi="Times New Roman" w:cs="Times New Roman"/>
        </w:rPr>
        <w:t>泡沫站选用一套囊式压力比例混合装置，泡沫液储存容积4m³；泡沫药剂选用4m³环保型抗溶性水成膜泡沫灭火剂AFFF/AR3，各储罐所需泡沫混合液通过管道由泡沫站供应至储罐上的泡沫产生器。泡沫混合液到达最远点泡沫产生器所需时间不超过5min，满足规范要求。</w:t>
      </w:r>
    </w:p>
    <w:p w14:paraId="698AB904">
      <w:pPr>
        <w:spacing w:line="360" w:lineRule="auto"/>
        <w:ind w:firstLine="480" w:firstLineChars="200"/>
        <w:rPr>
          <w:rFonts w:ascii="Times New Roman" w:hAnsi="Times New Roman" w:cs="Times New Roman"/>
        </w:rPr>
      </w:pPr>
      <w:r>
        <w:rPr>
          <w:rFonts w:ascii="Times New Roman" w:hAnsi="Times New Roman" w:cs="Times New Roman"/>
        </w:rPr>
        <w:t>另外，为扑救可燃液体流淌火灾，在罐区围堰周围设置泡沫混合液管网，在管网上设置地上式泡沫消火栓，并配备泡沫管枪水带箱。所有泡沫消火栓布置间距不大于60m。在泡沫站内设置室内泡沫消火栓1具，并配置泡沫管枪水带箱1套，以备定期试验用。</w:t>
      </w:r>
    </w:p>
    <w:p w14:paraId="09E8B87B">
      <w:pPr>
        <w:spacing w:line="360" w:lineRule="auto"/>
        <w:ind w:firstLine="480" w:firstLineChars="200"/>
        <w:rPr>
          <w:rFonts w:ascii="Times New Roman" w:hAnsi="Times New Roman" w:cs="Times New Roman"/>
        </w:rPr>
      </w:pPr>
      <w:r>
        <w:rPr>
          <w:rFonts w:ascii="Times New Roman" w:hAnsi="Times New Roman" w:cs="Times New Roman"/>
        </w:rPr>
        <w:t>各储罐所需泡沫混合液通过管道由泡沫站供应至储罐上的泡沫产生器。泡沫混合液到达最远点泡沫产生器所需时间不超过5min，满足规范要求。</w:t>
      </w:r>
    </w:p>
    <w:p w14:paraId="3FF9FAFC">
      <w:pPr>
        <w:pStyle w:val="281"/>
        <w:ind w:firstLine="480"/>
        <w:rPr>
          <w:szCs w:val="24"/>
        </w:rPr>
      </w:pPr>
      <w:r>
        <w:rPr>
          <w:rFonts w:cs="Times New Roman"/>
        </w:rPr>
        <w:t>另外，为扑救可燃液体流淌火灾，在罐区围堰周围设置泡沫混合液管网，在管网上设置地上式泡沫消火栓，并配备泡沫管枪水带箱。所有泡沫消火栓布置间距不大于60m。在泡沫站内设置室内泡沫消火栓1具，并配置泡沫管枪水带箱1套，以备定期试验用。</w:t>
      </w:r>
    </w:p>
    <w:p w14:paraId="741E6724">
      <w:pPr>
        <w:pStyle w:val="281"/>
        <w:ind w:firstLine="480"/>
        <w:rPr>
          <w:szCs w:val="24"/>
        </w:rPr>
      </w:pPr>
      <w:r>
        <w:rPr>
          <w:rFonts w:hint="eastAsia"/>
          <w:szCs w:val="24"/>
        </w:rPr>
        <w:t>（4）灭火器设置</w:t>
      </w:r>
    </w:p>
    <w:p w14:paraId="4D67C8DD">
      <w:pPr>
        <w:pStyle w:val="281"/>
        <w:ind w:firstLine="480"/>
        <w:rPr>
          <w:rFonts w:cs="Times New Roman"/>
        </w:rPr>
      </w:pPr>
      <w:r>
        <w:rPr>
          <w:rFonts w:cs="Times New Roman"/>
        </w:rPr>
        <w:t>依据《建筑设计防火规范》</w:t>
      </w:r>
      <w:r>
        <w:rPr>
          <w:rFonts w:hint="eastAsia" w:cs="Times New Roman"/>
        </w:rPr>
        <w:t>（2018年版）</w:t>
      </w:r>
      <w:r>
        <w:rPr>
          <w:rFonts w:cs="Times New Roman"/>
        </w:rPr>
        <w:t>GB50016-2014、《石油化工企业设计防火</w:t>
      </w:r>
      <w:r>
        <w:rPr>
          <w:rFonts w:hint="eastAsia" w:cs="Times New Roman"/>
        </w:rPr>
        <w:t>标准</w:t>
      </w:r>
      <w:r>
        <w:rPr>
          <w:rFonts w:cs="Times New Roman"/>
        </w:rPr>
        <w:t>》</w:t>
      </w:r>
      <w:r>
        <w:rPr>
          <w:rFonts w:hint="eastAsia" w:cs="Times New Roman"/>
        </w:rPr>
        <w:t>（2018年版）</w:t>
      </w:r>
      <w:r>
        <w:rPr>
          <w:rFonts w:cs="Times New Roman"/>
        </w:rPr>
        <w:t>GB50160-2008、《建筑灭火器配置设计规范》GB50140-2005规定要求，在生产区和辅助设施区配备8kg</w:t>
      </w:r>
      <w:r>
        <w:rPr>
          <w:rFonts w:hint="eastAsia" w:cs="Times New Roman"/>
        </w:rPr>
        <w:t>、6kg</w:t>
      </w:r>
      <w:r>
        <w:rPr>
          <w:rFonts w:cs="Times New Roman"/>
        </w:rPr>
        <w:t xml:space="preserve"> ABC类手提式磷酸铵盐灭火器或7kg手提式二氧化碳灭火器</w:t>
      </w:r>
      <w:r>
        <w:rPr>
          <w:rFonts w:hint="eastAsia" w:cs="Times New Roman"/>
        </w:rPr>
        <w:t>、</w:t>
      </w:r>
      <w:r>
        <w:rPr>
          <w:rFonts w:cs="Times New Roman"/>
        </w:rPr>
        <w:t>30kg</w:t>
      </w:r>
      <w:r>
        <w:rPr>
          <w:rFonts w:hint="eastAsia" w:cs="Times New Roman"/>
        </w:rPr>
        <w:t>推车</w:t>
      </w:r>
      <w:r>
        <w:rPr>
          <w:rFonts w:cs="Times New Roman"/>
        </w:rPr>
        <w:t>式二氧化碳灭火器。火灾危险性较大的装置内，配置</w:t>
      </w:r>
      <w:r>
        <w:rPr>
          <w:rFonts w:hint="eastAsia" w:cs="Times New Roman"/>
        </w:rPr>
        <w:t>20kg或</w:t>
      </w:r>
      <w:r>
        <w:rPr>
          <w:rFonts w:cs="Times New Roman"/>
        </w:rPr>
        <w:t>50kgABC类推车式磷酸铵盐干粉灭火器，以迅速扑救小型火点的初期火灾。</w:t>
      </w:r>
    </w:p>
    <w:p w14:paraId="219198A2">
      <w:pPr>
        <w:pStyle w:val="281"/>
        <w:ind w:firstLine="480"/>
        <w:rPr>
          <w:rFonts w:cs="Times New Roman"/>
        </w:rPr>
      </w:pPr>
      <w:r>
        <w:rPr>
          <w:rFonts w:hint="eastAsia" w:cs="Times New Roman"/>
        </w:rPr>
        <w:t>（5）气体灭火系统</w:t>
      </w:r>
    </w:p>
    <w:p w14:paraId="69994A3A">
      <w:pPr>
        <w:spacing w:line="360" w:lineRule="auto"/>
        <w:ind w:firstLine="480" w:firstLineChars="200"/>
        <w:rPr>
          <w:rFonts w:hint="eastAsia"/>
        </w:rPr>
      </w:pPr>
      <w:r>
        <w:rPr>
          <w:rFonts w:ascii="Times New Roman" w:hAnsi="Times New Roman" w:cs="Times New Roman"/>
        </w:rPr>
        <w:t>由于配电室、机柜室在生产过程中的特殊重要地位，按照《建筑设计防火规范（2018年版）》GB50016-2014规定，将使生产受到极大的影响，故在无人值守的配电室和机柜室等处设计气体灭火系统。</w:t>
      </w:r>
    </w:p>
    <w:p w14:paraId="38C188EF">
      <w:pPr>
        <w:pStyle w:val="281"/>
        <w:ind w:firstLine="480"/>
      </w:pPr>
      <w:r>
        <w:rPr>
          <w:rFonts w:hint="eastAsia"/>
        </w:rPr>
        <w:t xml:space="preserve">（6）火灾报警系统 </w:t>
      </w:r>
    </w:p>
    <w:p w14:paraId="73AF07F2">
      <w:pPr>
        <w:spacing w:line="360" w:lineRule="auto"/>
        <w:ind w:firstLine="480" w:firstLineChars="200"/>
        <w:rPr>
          <w:rFonts w:ascii="Times New Roman" w:hAnsi="Times New Roman" w:cs="Times New Roman"/>
        </w:rPr>
      </w:pPr>
      <w:r>
        <w:rPr>
          <w:rFonts w:ascii="Times New Roman" w:hAnsi="Times New Roman" w:cs="Times New Roman"/>
        </w:rPr>
        <w:t>为确保企业生产安全可靠运行，避免火灾带来的重大损失，本项目设置厂区内统一的火灾自动报警（及消防联动）系统。</w:t>
      </w:r>
    </w:p>
    <w:p w14:paraId="1CD0C7ED">
      <w:pPr>
        <w:spacing w:line="360" w:lineRule="auto"/>
        <w:ind w:firstLine="480" w:firstLineChars="200"/>
        <w:rPr>
          <w:rFonts w:ascii="Times New Roman" w:hAnsi="Times New Roman" w:cs="Times New Roman"/>
        </w:rPr>
      </w:pPr>
      <w:r>
        <w:rPr>
          <w:rFonts w:ascii="Times New Roman" w:hAnsi="Times New Roman" w:cs="Times New Roman"/>
        </w:rPr>
        <w:t>火灾自动报警系统采用控制中心报警系统方式，二总线制。本系统设计采用的是火灾自动报警系统与消防联动控制系统一体化，其设计思想是将所有的火灾探测器与各类模块接入火灾报警控制器（联动型）。</w:t>
      </w:r>
    </w:p>
    <w:p w14:paraId="10929010">
      <w:pPr>
        <w:spacing w:line="360" w:lineRule="auto"/>
        <w:ind w:firstLine="480" w:firstLineChars="200"/>
        <w:rPr>
          <w:rFonts w:ascii="Times New Roman" w:hAnsi="Times New Roman" w:cs="Times New Roman"/>
        </w:rPr>
      </w:pPr>
      <w:r>
        <w:rPr>
          <w:rFonts w:ascii="Times New Roman" w:hAnsi="Times New Roman" w:cs="Times New Roman"/>
        </w:rPr>
        <w:t>系统包括感烟探测器、感温探测器、火焰探测器、编码型手动报警按钮、防爆型手动报警按钮、火警声光讯响器、线型缆式感温探测器、火警区域报警控制盘和火警重复显示盘等。</w:t>
      </w:r>
    </w:p>
    <w:p w14:paraId="61AD7BCB">
      <w:pPr>
        <w:pStyle w:val="281"/>
        <w:ind w:firstLine="480"/>
        <w:rPr>
          <w:rFonts w:hint="eastAsia" w:ascii="宋体" w:hAnsi="宋体"/>
        </w:rPr>
      </w:pPr>
      <w:r>
        <w:rPr>
          <w:rFonts w:cs="Times New Roman"/>
        </w:rPr>
        <w:t>在设置有火警区域报警控制盘的控制室和区域控制室等处设置119直通电话。</w:t>
      </w:r>
    </w:p>
    <w:p w14:paraId="57730D9C">
      <w:pPr>
        <w:pStyle w:val="98"/>
        <w:rPr>
          <w:rFonts w:hint="eastAsia"/>
          <w:color w:val="auto"/>
        </w:rPr>
      </w:pPr>
      <w:r>
        <w:rPr>
          <w:rFonts w:hint="eastAsia"/>
          <w:color w:val="auto"/>
        </w:rPr>
        <w:t>有毒物质防护和紧急救援措施</w:t>
      </w:r>
    </w:p>
    <w:p w14:paraId="73DE04F7">
      <w:pPr>
        <w:pStyle w:val="281"/>
        <w:ind w:firstLine="480"/>
      </w:pPr>
      <w:r>
        <w:t>（1）为防止硫化氢气体泄漏，除采取必要的密封措施外，在产生硫化氢的生产装置设硫化氢气体检测仪，硫化氢检测仪的信号同时显示在检测仪和中心控制室内。</w:t>
      </w:r>
    </w:p>
    <w:p w14:paraId="27717C21">
      <w:pPr>
        <w:pStyle w:val="281"/>
        <w:ind w:firstLine="480"/>
      </w:pPr>
      <w:r>
        <w:t>（2）为进入可能存在高浓度硫化氢区域的操作工人配备便携式并附带警铃的腰带式硫化氢检测仪和专用的过滤式防护服，以便发生泄漏事故时人员可安全撤离。在可能存在高浓度硫化氢区域装备有氧式防毒面具，在发生泄漏事故时工人可进入高浓度区域中进行紧急救护及紧急控制操作。</w:t>
      </w:r>
    </w:p>
    <w:p w14:paraId="47B3D654">
      <w:pPr>
        <w:pStyle w:val="281"/>
        <w:ind w:firstLine="480"/>
      </w:pPr>
      <w:r>
        <w:t>（3）接触CO的生产工人，配备过滤式防毒面具和氧气呼吸器，以便发生泄漏事故时人员可安全撤离。检修时根据现场具体情况选用长管式防毒面具或送风面具，特别是带压抽堵盲板和进罐作业，必须做好监护工作。</w:t>
      </w:r>
    </w:p>
    <w:p w14:paraId="59323446">
      <w:pPr>
        <w:pStyle w:val="281"/>
        <w:ind w:firstLine="480"/>
      </w:pPr>
      <w:r>
        <w:t>（4）按照《工业企业设计卫生标准》要求，硫化氢检测仪和专用的过滤式防护服必须满足车间在开停工、检修以及事故处理时使用。防毒面具采用正压式空气呼吸器。</w:t>
      </w:r>
    </w:p>
    <w:p w14:paraId="760C4083">
      <w:pPr>
        <w:pStyle w:val="281"/>
        <w:ind w:firstLine="480"/>
      </w:pPr>
      <w:r>
        <w:t>（5</w:t>
      </w:r>
      <w:r>
        <w:rPr>
          <w:rFonts w:hint="eastAsia"/>
        </w:rPr>
        <w:t>）</w:t>
      </w:r>
      <w:r>
        <w:t>加强生产设备的密闭化和通风排毒，加强个人防护。各车间根据工作环境特点补充配备各种必需的防护用具和用品。包括空气呼吸器、担架、便携式有毒有害气体检测仪、</w:t>
      </w:r>
      <w:r>
        <w:rPr>
          <w:rFonts w:hint="eastAsia"/>
        </w:rPr>
        <w:t>防护服</w:t>
      </w:r>
      <w:r>
        <w:t>、眼</w:t>
      </w:r>
      <w:r>
        <w:rPr>
          <w:rFonts w:hint="eastAsia"/>
        </w:rPr>
        <w:t>部</w:t>
      </w:r>
      <w:r>
        <w:t>防护用具、防护手套面具、耳塞、耳罩等。</w:t>
      </w:r>
    </w:p>
    <w:p w14:paraId="4F13CEAF">
      <w:pPr>
        <w:pStyle w:val="98"/>
        <w:rPr>
          <w:rFonts w:hint="eastAsia"/>
          <w:color w:val="auto"/>
        </w:rPr>
      </w:pPr>
      <w:r>
        <w:rPr>
          <w:rFonts w:hint="eastAsia"/>
          <w:color w:val="auto"/>
        </w:rPr>
        <w:t>危险物质的毒性消除措施</w:t>
      </w:r>
    </w:p>
    <w:p w14:paraId="45ECFB65">
      <w:pPr>
        <w:pStyle w:val="281"/>
        <w:ind w:firstLine="480"/>
      </w:pPr>
      <w:r>
        <w:rPr>
          <w:rFonts w:hint="eastAsia" w:ascii="宋体" w:hAnsi="宋体"/>
        </w:rPr>
        <w:t>各装置内设有紧急事故泄压排放系统，泄放气体密闭排入火炬系统。事故情况下，危险物质均通过紧急事故泄压排放系统密闭排入火炬系统，通过燃烧处理。</w:t>
      </w:r>
    </w:p>
    <w:p w14:paraId="2F753A25">
      <w:pPr>
        <w:pStyle w:val="281"/>
        <w:ind w:firstLine="480"/>
      </w:pPr>
      <w:r>
        <w:rPr>
          <w:rFonts w:hint="eastAsia" w:ascii="宋体" w:hAnsi="宋体"/>
        </w:rPr>
        <w:t>硫回收装置设置专用的酸性气放空管线，事故情况下将含硫化氢的酸性气紧急泄放到火炬系统，通过燃烧将毒性较高的硫化氢转化为二氧化硫，以减少对大气环境的污染和人群健康的影响。</w:t>
      </w:r>
    </w:p>
    <w:p w14:paraId="3F4458DC">
      <w:pPr>
        <w:pStyle w:val="281"/>
        <w:ind w:firstLine="480"/>
      </w:pPr>
      <w:r>
        <w:rPr>
          <w:rFonts w:hint="eastAsia" w:ascii="宋体" w:hAnsi="宋体"/>
        </w:rPr>
        <w:t>对泄漏到外环境的危险物质，依据其特性可采取如下毒性消除处理措施：</w:t>
      </w:r>
    </w:p>
    <w:p w14:paraId="3C11CB56">
      <w:pPr>
        <w:pStyle w:val="281"/>
        <w:ind w:firstLine="480"/>
      </w:pPr>
      <w:r>
        <w:rPr>
          <w:rFonts w:hint="eastAsia" w:ascii="宋体" w:hAnsi="宋体"/>
        </w:rPr>
        <w:t>（</w:t>
      </w:r>
      <w:r>
        <w:t>1</w:t>
      </w:r>
      <w:r>
        <w:rPr>
          <w:rFonts w:hint="eastAsia" w:ascii="宋体" w:hAnsi="宋体"/>
        </w:rPr>
        <w:t>）硫化氢</w:t>
      </w:r>
    </w:p>
    <w:p w14:paraId="11B26CCD">
      <w:pPr>
        <w:pStyle w:val="281"/>
        <w:ind w:firstLine="480"/>
      </w:pPr>
      <w:r>
        <w:rPr>
          <w:rFonts w:hint="eastAsia" w:ascii="宋体" w:hAnsi="宋体"/>
        </w:rPr>
        <w:t>迅速撤离泄漏污染区人员至上风处，并立即进行隔离，小泄漏时隔离</w:t>
      </w:r>
      <w:r>
        <w:t>150m</w:t>
      </w:r>
      <w:r>
        <w:rPr>
          <w:rFonts w:hint="eastAsia" w:ascii="宋体" w:hAnsi="宋体"/>
        </w:rPr>
        <w:t>，大泄漏时隔离</w:t>
      </w:r>
      <w:r>
        <w:t>300m</w:t>
      </w:r>
      <w:r>
        <w:rPr>
          <w:rFonts w:hint="eastAsia" w:ascii="宋体" w:hAnsi="宋体"/>
        </w:rPr>
        <w:t>，严格限制出入。切断火源。从上风处进入现场。尽可能切断泄漏源。合理通风，加速扩散。喷雾状水稀释、溶解。</w:t>
      </w:r>
    </w:p>
    <w:p w14:paraId="05049DB0">
      <w:pPr>
        <w:pStyle w:val="281"/>
        <w:ind w:firstLine="480"/>
      </w:pPr>
      <w:r>
        <w:rPr>
          <w:rFonts w:hint="eastAsia" w:ascii="宋体" w:hAnsi="宋体"/>
        </w:rPr>
        <w:t>（</w:t>
      </w:r>
      <w:r>
        <w:t>2</w:t>
      </w:r>
      <w:r>
        <w:rPr>
          <w:rFonts w:hint="eastAsia" w:ascii="宋体" w:hAnsi="宋体"/>
        </w:rPr>
        <w:t>）氨</w:t>
      </w:r>
    </w:p>
    <w:p w14:paraId="1D2218AB">
      <w:pPr>
        <w:pStyle w:val="281"/>
        <w:ind w:firstLine="480"/>
      </w:pPr>
      <w:r>
        <w:rPr>
          <w:rFonts w:hint="eastAsia" w:ascii="宋体" w:hAnsi="宋体"/>
        </w:rPr>
        <w:t>消除泄漏区附近所有点火源；穿戴好空气呼吸器进入现场切断泄漏源，发现中毒人员迅速移至空气新鲜处，进行紧急抢救，同时报告气防站和职工医院；启用新鲜水喷淋，用大量的水喷洒泄漏区，以稀释、溶解、吸收部分气态氨。</w:t>
      </w:r>
    </w:p>
    <w:p w14:paraId="401926A5">
      <w:pPr>
        <w:pStyle w:val="281"/>
        <w:ind w:firstLine="480"/>
      </w:pPr>
      <w:r>
        <w:rPr>
          <w:rFonts w:hint="eastAsia" w:ascii="宋体" w:hAnsi="宋体"/>
        </w:rPr>
        <w:t>（</w:t>
      </w:r>
      <w:r>
        <w:t>3</w:t>
      </w:r>
      <w:r>
        <w:rPr>
          <w:rFonts w:hint="eastAsia" w:ascii="宋体" w:hAnsi="宋体"/>
        </w:rPr>
        <w:t>）煤气泄漏处置措施</w:t>
      </w:r>
    </w:p>
    <w:p w14:paraId="1FEC6F92">
      <w:pPr>
        <w:pStyle w:val="281"/>
        <w:ind w:firstLine="480"/>
      </w:pPr>
      <w:r>
        <w:rPr>
          <w:rFonts w:hint="eastAsia" w:ascii="宋体" w:hAnsi="宋体"/>
        </w:rPr>
        <w:t>迅速撤离泄漏污染区人员至上风处，并立即进行隔离，严格限制出入；消除泄漏区附近所有点火源；穿戴好空气呼吸器，从上风处进入现场，尽可能切断泄漏源；出现中毒人员迅速移至空气新鲜处，施以必要的急救，并转至医院救治；构筑围堤或挖坑收容产生的大量废水；合理通风，加速扩散。</w:t>
      </w:r>
    </w:p>
    <w:p w14:paraId="4C80EF88">
      <w:pPr>
        <w:pStyle w:val="281"/>
        <w:ind w:firstLine="480"/>
      </w:pPr>
      <w:r>
        <w:rPr>
          <w:rFonts w:hint="eastAsia" w:ascii="宋体" w:hAnsi="宋体"/>
        </w:rPr>
        <w:t>（</w:t>
      </w:r>
      <w:r>
        <w:t>4</w:t>
      </w:r>
      <w:r>
        <w:rPr>
          <w:rFonts w:hint="eastAsia" w:ascii="宋体" w:hAnsi="宋体"/>
        </w:rPr>
        <w:t>）各种液体物料</w:t>
      </w:r>
    </w:p>
    <w:p w14:paraId="097216CA">
      <w:pPr>
        <w:pStyle w:val="281"/>
        <w:ind w:firstLine="480"/>
      </w:pPr>
      <w:r>
        <w:rPr>
          <w:rFonts w:hint="eastAsia" w:ascii="宋体" w:hAnsi="宋体"/>
        </w:rPr>
        <w:t>消除泄漏区附近所有点火源；切断泄漏源；在保证安全的情况下堵漏；防止泄漏物通过下水道系统、排洪沟和密闭性空间扩散；使用非产生火花的设备收集泄漏物。</w:t>
      </w:r>
    </w:p>
    <w:p w14:paraId="78E109D0">
      <w:pPr>
        <w:pStyle w:val="98"/>
        <w:rPr>
          <w:rFonts w:hint="eastAsia"/>
          <w:color w:val="auto"/>
        </w:rPr>
      </w:pPr>
      <w:r>
        <w:rPr>
          <w:rFonts w:hint="eastAsia"/>
          <w:color w:val="auto"/>
        </w:rPr>
        <w:t>运输风险防范措施</w:t>
      </w:r>
    </w:p>
    <w:p w14:paraId="6C4266DF">
      <w:pPr>
        <w:pStyle w:val="281"/>
        <w:ind w:firstLine="480"/>
      </w:pPr>
      <w:bookmarkStart w:id="511" w:name="_Hlk193192596"/>
      <w:r>
        <w:t>拟建项目主要副产品、辅助材料及危险废物（以上简称危险货物）的运输多采用公路运输，项目建成投产后，由建设单位委托有危险物品运输资质的单位承担。</w:t>
      </w:r>
    </w:p>
    <w:p w14:paraId="4A717205">
      <w:pPr>
        <w:pStyle w:val="281"/>
        <w:ind w:firstLine="480"/>
      </w:pPr>
      <w:r>
        <w:t>在目前环评阶段，项目尚未建设，建设单位的组织机构以及相关的管理制度尚未健全，因此，暂无法提供较为详实的运输风险防范及应急措施。报告书根据有关危险物品的运输管理规定，提出建设性建议，供业主参考，具体管理要求执行国家及地方的相关规定。</w:t>
      </w:r>
    </w:p>
    <w:p w14:paraId="7D301124">
      <w:pPr>
        <w:pStyle w:val="281"/>
        <w:ind w:firstLine="480"/>
      </w:pPr>
      <w:r>
        <w:t>（1）运输资质管理要求</w:t>
      </w:r>
    </w:p>
    <w:p w14:paraId="380E7E6D">
      <w:pPr>
        <w:pStyle w:val="281"/>
        <w:ind w:firstLine="480"/>
      </w:pPr>
      <w:r>
        <w:rPr>
          <w:rFonts w:hint="eastAsia" w:ascii="宋体" w:hAnsi="宋体"/>
        </w:rPr>
        <w:t>①</w:t>
      </w:r>
      <w:r>
        <w:t>按照</w:t>
      </w:r>
      <w:r>
        <w:rPr>
          <w:rFonts w:hint="eastAsia"/>
        </w:rPr>
        <w:t>交通运输部</w:t>
      </w:r>
      <w:r>
        <w:t>令2005年第9号《道路危险货物运输管理规定》，建设单位必须委托取得道路危险货物运输资质的单位承担运输任务；</w:t>
      </w:r>
    </w:p>
    <w:p w14:paraId="1F14E840">
      <w:pPr>
        <w:pStyle w:val="281"/>
        <w:ind w:firstLine="480"/>
      </w:pPr>
      <w:r>
        <w:rPr>
          <w:rFonts w:hint="eastAsia" w:ascii="宋体" w:hAnsi="宋体"/>
        </w:rPr>
        <w:t>②</w:t>
      </w:r>
      <w:r>
        <w:t>从事道路危险货物运输的驾驶人员、装卸管理人员、押运人员经所在地设区的市级人民政府交通主管部门考试合格，取得相应从业资格证。</w:t>
      </w:r>
    </w:p>
    <w:p w14:paraId="001EB220">
      <w:pPr>
        <w:pStyle w:val="281"/>
        <w:ind w:firstLine="480"/>
      </w:pPr>
      <w:r>
        <w:t>（2）车辆管理要求</w:t>
      </w:r>
    </w:p>
    <w:p w14:paraId="34A4250E">
      <w:pPr>
        <w:pStyle w:val="281"/>
        <w:ind w:firstLine="480"/>
      </w:pPr>
      <w:r>
        <w:rPr>
          <w:rFonts w:hint="eastAsia" w:ascii="宋体" w:hAnsi="宋体"/>
        </w:rPr>
        <w:t>①</w:t>
      </w:r>
      <w:r>
        <w:t>危险货物的运输必须使用专用车辆，专用车辆技术性能应符合国家标准《营运车辆综合性能要求和检验方法》（GB18565）的要求，车辆外廓尺寸、轴荷和质量符合国家标准《道路车辆外廓尺寸、轴荷和质量限值》（GB1589）的要求，车辆技术等级达到行业标准《营运车辆技术等级划分和评定要求》（JT/T198）规定的一级技术等级。</w:t>
      </w:r>
    </w:p>
    <w:p w14:paraId="182E631B">
      <w:pPr>
        <w:pStyle w:val="281"/>
        <w:ind w:firstLine="480"/>
      </w:pPr>
      <w:r>
        <w:rPr>
          <w:rFonts w:hint="eastAsia" w:ascii="宋体" w:hAnsi="宋体"/>
        </w:rPr>
        <w:t>②</w:t>
      </w:r>
      <w:r>
        <w:t>建设单位应委托危险货物运输企业按照《道路货物运输及站场管理规定》中有关车辆管理的规定，维护、检测、使用和管理专用车辆，确保专用车辆技术状况良好。</w:t>
      </w:r>
    </w:p>
    <w:p w14:paraId="469CBC94">
      <w:pPr>
        <w:pStyle w:val="281"/>
        <w:ind w:firstLine="480"/>
      </w:pPr>
      <w:r>
        <w:t>（3）运输管理要求</w:t>
      </w:r>
    </w:p>
    <w:p w14:paraId="05FB5555">
      <w:pPr>
        <w:pStyle w:val="281"/>
        <w:ind w:firstLine="480"/>
      </w:pPr>
      <w:r>
        <w:rPr>
          <w:rFonts w:hint="eastAsia" w:ascii="宋体" w:hAnsi="宋体"/>
        </w:rPr>
        <w:t>①</w:t>
      </w:r>
      <w:r>
        <w:t>建设单位应向委托承运人明示所运输危险货物的品名、数量、危害、应急措施等情况。</w:t>
      </w:r>
    </w:p>
    <w:p w14:paraId="16055002">
      <w:pPr>
        <w:pStyle w:val="281"/>
        <w:ind w:firstLine="480"/>
      </w:pPr>
      <w:r>
        <w:rPr>
          <w:rFonts w:hint="eastAsia" w:ascii="宋体" w:hAnsi="宋体"/>
        </w:rPr>
        <w:t>②</w:t>
      </w:r>
      <w:r>
        <w:t>根据拟建项目产生的危险货物的最终运输目的地，与运输企业一起提前策划运输线路，尽可能避开环境敏感点。线路应取得交通管理部门的批准。</w:t>
      </w:r>
    </w:p>
    <w:p w14:paraId="64DB240E">
      <w:pPr>
        <w:pStyle w:val="281"/>
        <w:ind w:firstLine="480"/>
      </w:pPr>
      <w:r>
        <w:rPr>
          <w:rFonts w:hint="eastAsia" w:ascii="宋体" w:hAnsi="宋体"/>
        </w:rPr>
        <w:t>③</w:t>
      </w:r>
      <w:r>
        <w:t>监督运输企业按既定线路、时间和车速运输危险货物。</w:t>
      </w:r>
    </w:p>
    <w:p w14:paraId="46032A4B">
      <w:pPr>
        <w:pStyle w:val="281"/>
        <w:ind w:firstLine="480"/>
      </w:pPr>
      <w:r>
        <w:rPr>
          <w:rFonts w:hint="eastAsia" w:ascii="宋体" w:hAnsi="宋体"/>
        </w:rPr>
        <w:t>④</w:t>
      </w:r>
      <w:r>
        <w:t>监督委托承运人按照国家标准《道路运输危险货物车辆标志》（GB13392）的要求悬挂标志。</w:t>
      </w:r>
    </w:p>
    <w:p w14:paraId="027A46BB">
      <w:pPr>
        <w:pStyle w:val="281"/>
        <w:ind w:firstLine="480"/>
      </w:pPr>
      <w:r>
        <w:rPr>
          <w:rFonts w:hint="eastAsia" w:ascii="宋体" w:hAnsi="宋体"/>
        </w:rPr>
        <w:t>⑤</w:t>
      </w:r>
      <w:r>
        <w:t>在道路危险货物运输过程中，除驾驶人员外，专用车辆上应当另外配备押运人员。押运人员应当对运输全过程进行监管。建设单位应监督驾驶人员和押运人员持证上岗。</w:t>
      </w:r>
    </w:p>
    <w:p w14:paraId="27F8325A">
      <w:pPr>
        <w:pStyle w:val="281"/>
        <w:ind w:firstLine="480"/>
      </w:pPr>
      <w:r>
        <w:rPr>
          <w:rFonts w:hint="eastAsia" w:ascii="宋体" w:hAnsi="宋体"/>
        </w:rPr>
        <w:t>⑥</w:t>
      </w:r>
      <w:r>
        <w:t>监督承运人严禁违反国家有关规定超载、超限运输。</w:t>
      </w:r>
    </w:p>
    <w:p w14:paraId="77B065EF">
      <w:pPr>
        <w:pStyle w:val="281"/>
        <w:ind w:firstLine="480"/>
      </w:pPr>
      <w:r>
        <w:rPr>
          <w:rFonts w:hint="eastAsia" w:ascii="宋体" w:hAnsi="宋体"/>
        </w:rPr>
        <w:t>⑦</w:t>
      </w:r>
      <w:r>
        <w:t>监督危险货物的装卸作业，应当在装卸管理人员的现场指挥下进行。监督运输车辆不得把危险货物与其</w:t>
      </w:r>
      <w:r>
        <w:rPr>
          <w:rFonts w:hint="eastAsia"/>
        </w:rPr>
        <w:t>他</w:t>
      </w:r>
      <w:r>
        <w:t>货物混装。</w:t>
      </w:r>
    </w:p>
    <w:p w14:paraId="45437E5B">
      <w:pPr>
        <w:pStyle w:val="281"/>
        <w:ind w:firstLine="480"/>
      </w:pPr>
      <w:r>
        <w:rPr>
          <w:rFonts w:hint="eastAsia" w:ascii="宋体" w:hAnsi="宋体"/>
        </w:rPr>
        <w:t>⑧</w:t>
      </w:r>
      <w:r>
        <w:t>监督危险货物运输专用车按规定配备GPS和有效的</w:t>
      </w:r>
      <w:r>
        <w:rPr>
          <w:rFonts w:hint="eastAsia"/>
        </w:rPr>
        <w:t>通信工具</w:t>
      </w:r>
      <w:r>
        <w:t>。</w:t>
      </w:r>
    </w:p>
    <w:p w14:paraId="49533EB4">
      <w:pPr>
        <w:pStyle w:val="281"/>
        <w:ind w:firstLine="480"/>
      </w:pPr>
      <w:r>
        <w:t>（4）应急处理措施</w:t>
      </w:r>
    </w:p>
    <w:p w14:paraId="19994A79">
      <w:pPr>
        <w:pStyle w:val="281"/>
        <w:ind w:firstLine="480"/>
      </w:pPr>
      <w:r>
        <w:rPr>
          <w:rFonts w:hint="eastAsia" w:ascii="宋体" w:hAnsi="宋体"/>
        </w:rPr>
        <w:t>①</w:t>
      </w:r>
      <w:r>
        <w:t>建设单位应配备专职安全管理人员，制定突发事件应急预案，严格落实各项安全制度，把危险货物运输管理纳入企业风险应急预案的范围，建立有效的应急响应系统。</w:t>
      </w:r>
    </w:p>
    <w:p w14:paraId="28CAB796">
      <w:pPr>
        <w:pStyle w:val="281"/>
        <w:ind w:firstLine="480"/>
      </w:pPr>
      <w:r>
        <w:rPr>
          <w:rFonts w:hint="eastAsia" w:ascii="宋体" w:hAnsi="宋体"/>
        </w:rPr>
        <w:t>②</w:t>
      </w:r>
      <w:r>
        <w:t>选择委托承运人时，严格考核其风险应急机构及措施的有效性。</w:t>
      </w:r>
    </w:p>
    <w:p w14:paraId="03F1AEBE">
      <w:pPr>
        <w:pStyle w:val="281"/>
        <w:ind w:firstLine="480"/>
      </w:pPr>
      <w:r>
        <w:rPr>
          <w:rFonts w:hint="eastAsia" w:ascii="宋体" w:hAnsi="宋体"/>
        </w:rPr>
        <w:t>③</w:t>
      </w:r>
      <w:r>
        <w:t>监督运输车按规定配备与运输的危险货物性质相适应的安全防护、环境保护和消防设施设备。</w:t>
      </w:r>
    </w:p>
    <w:p w14:paraId="69C959CE">
      <w:pPr>
        <w:pStyle w:val="281"/>
        <w:ind w:firstLine="480"/>
      </w:pPr>
      <w:r>
        <w:rPr>
          <w:rFonts w:hint="eastAsia" w:ascii="宋体" w:hAnsi="宋体"/>
        </w:rPr>
        <w:t>④</w:t>
      </w:r>
      <w:r>
        <w:t>在危险货物运输过程中发生燃烧、爆炸、污染、中毒或者被盗、丢失、流散、泄漏等事故，驾驶人员、押运人员应当立即向当地公安部门和拟建运输企业或者单位报告，说明事故情况、危险货物品名、危害和应急措施，并在现场采取一切可能的警示措施，并积极配合有关部门进行处置。运输企业或者单位应当立即启动应急预案。</w:t>
      </w:r>
    </w:p>
    <w:p w14:paraId="6C87292C">
      <w:pPr>
        <w:pStyle w:val="281"/>
        <w:ind w:firstLine="480"/>
      </w:pPr>
      <w:r>
        <w:t>（5）应急设备</w:t>
      </w:r>
    </w:p>
    <w:p w14:paraId="1843680F">
      <w:pPr>
        <w:pStyle w:val="281"/>
        <w:ind w:firstLine="480"/>
      </w:pPr>
      <w:r>
        <w:t>拟建项目副产品运输均委托有运输资质的运输公司承运，运输车辆将根据国家和运输公司的要求根据运输物料的性质配备干粉灭火器、小型发电机、吸油毡等设备，在发生小型事故时使用。</w:t>
      </w:r>
    </w:p>
    <w:bookmarkEnd w:id="511"/>
    <w:p w14:paraId="6CFBD0A7">
      <w:pPr>
        <w:pStyle w:val="97"/>
        <w:rPr>
          <w:rFonts w:hint="eastAsia"/>
        </w:rPr>
      </w:pPr>
      <w:bookmarkStart w:id="512" w:name="_Hlk192089567"/>
      <w:r>
        <w:rPr>
          <w:rFonts w:hint="eastAsia"/>
        </w:rPr>
        <w:t>环境风险减缓措施</w:t>
      </w:r>
    </w:p>
    <w:p w14:paraId="13808245">
      <w:pPr>
        <w:pStyle w:val="281"/>
        <w:ind w:firstLine="480"/>
      </w:pPr>
      <w:r>
        <w:rPr>
          <w:rFonts w:hint="eastAsia" w:ascii="宋体" w:hAnsi="宋体"/>
        </w:rPr>
        <w:t>拟建项目采取了大量的安全风险防范措施以降低事故发生的概率，而环境风险评价内容是事故发生后对外界环境造成的危害，因此在工程采取了一系列的安全风险防范措施的基础上，还需采取一定的环境风险防范措施，以降低事故对外界环境造成的影响。</w:t>
      </w:r>
    </w:p>
    <w:p w14:paraId="44123E40">
      <w:pPr>
        <w:pStyle w:val="281"/>
        <w:ind w:firstLine="480"/>
      </w:pPr>
      <w:r>
        <w:rPr>
          <w:rFonts w:hint="eastAsia" w:ascii="宋体" w:hAnsi="宋体"/>
        </w:rPr>
        <w:t>拟建工程环境风险防范措施主要是指为了防止事故产生的有毒有害物质进入环境而采取的措施。</w:t>
      </w:r>
    </w:p>
    <w:p w14:paraId="0AEAE509">
      <w:pPr>
        <w:pStyle w:val="98"/>
        <w:rPr>
          <w:rFonts w:hint="eastAsia"/>
          <w:color w:val="auto"/>
        </w:rPr>
      </w:pPr>
      <w:bookmarkStart w:id="513" w:name="_Hlk193128212"/>
      <w:r>
        <w:rPr>
          <w:rFonts w:hint="eastAsia"/>
          <w:color w:val="auto"/>
        </w:rPr>
        <w:t>大气环境污染防范措施和应急、减缓措施</w:t>
      </w:r>
    </w:p>
    <w:p w14:paraId="70613E31">
      <w:pPr>
        <w:pStyle w:val="951"/>
      </w:pPr>
      <w:r>
        <w:rPr>
          <w:rFonts w:hint="eastAsia"/>
        </w:rPr>
        <w:t>防止事故气态污染物向环境转移</w:t>
      </w:r>
    </w:p>
    <w:p w14:paraId="5D9BD948">
      <w:pPr>
        <w:pStyle w:val="281"/>
        <w:ind w:firstLine="480"/>
      </w:pPr>
      <w:r>
        <w:rPr>
          <w:rFonts w:hint="eastAsia"/>
        </w:rPr>
        <w:t>控制和减少事故情况下毒物和污染物从大气途径进入环境，重点危险源废气系统设置收集装置并与火炬相接，事故时收集事故废气转入火炬系统焚烧；事故时针对毒物加入消除和解毒剂，减少对环境造成危害。</w:t>
      </w:r>
    </w:p>
    <w:p w14:paraId="3EEB862F">
      <w:pPr>
        <w:pStyle w:val="281"/>
        <w:ind w:firstLine="480"/>
      </w:pPr>
      <w:r>
        <w:rPr>
          <w:rFonts w:hint="eastAsia"/>
        </w:rPr>
        <w:t>燃烧、爆炸过程中产生一氧化碳、二氧化碳及水等通过消防水吸收或被消防泡沫覆盖，减少对大气环境的污染。</w:t>
      </w:r>
    </w:p>
    <w:p w14:paraId="6C87898B">
      <w:pPr>
        <w:pStyle w:val="281"/>
        <w:ind w:firstLine="480"/>
      </w:pPr>
      <w:r>
        <w:rPr>
          <w:rFonts w:hint="eastAsia"/>
        </w:rPr>
        <w:t>对于泄漏的气态有毒物料，应尽快切断泄漏源，防止进入排水沟等限制性空间；对于小量的泄漏可用砂土或其他不燃材料吸附，也可用大量水冲洗，冲洗后的污染须经稀释后方可排放废水系统；对于泄漏量大的，应构筑围堤或挖坑收容，也可用泡沫覆盖，降低蒸气灾害，用防爆泵转移至槽车或专用收集器内，回收或至废物处理场所处置。</w:t>
      </w:r>
    </w:p>
    <w:p w14:paraId="26B49CD9">
      <w:pPr>
        <w:pStyle w:val="951"/>
      </w:pPr>
      <w:r>
        <w:rPr>
          <w:rFonts w:hint="eastAsia"/>
        </w:rPr>
        <w:t>危险废物暂存风险防控措施</w:t>
      </w:r>
    </w:p>
    <w:p w14:paraId="79F1F457">
      <w:pPr>
        <w:pStyle w:val="281"/>
        <w:ind w:firstLine="480"/>
      </w:pPr>
      <w:r>
        <w:rPr>
          <w:rFonts w:hint="eastAsia"/>
        </w:rPr>
        <w:t>根据《危险废物贮存污染控制标准》（</w:t>
      </w:r>
      <w:r>
        <w:t>GB 18597-2023</w:t>
      </w:r>
      <w:r>
        <w:rPr>
          <w:rFonts w:hint="eastAsia"/>
        </w:rPr>
        <w:t>），本项目危险废物暂存应采取以下风险防控措施：</w:t>
      </w:r>
    </w:p>
    <w:p w14:paraId="5237A0B2">
      <w:pPr>
        <w:pStyle w:val="281"/>
        <w:ind w:firstLine="480"/>
      </w:pPr>
      <w:r>
        <w:rPr>
          <w:rFonts w:hint="eastAsia" w:ascii="宋体" w:hAnsi="宋体"/>
        </w:rPr>
        <w:t>①</w:t>
      </w:r>
      <w:r>
        <w:rPr>
          <w:rFonts w:hint="eastAsia"/>
        </w:rPr>
        <w:t>应建造专用的危险废物贮存设施，不相容的危险废物必须分开存放，并设有隔离间隔断。</w:t>
      </w:r>
      <w:r>
        <w:t xml:space="preserve"> </w:t>
      </w:r>
    </w:p>
    <w:p w14:paraId="3B1CA681">
      <w:pPr>
        <w:pStyle w:val="281"/>
        <w:ind w:firstLine="480"/>
      </w:pPr>
      <w:r>
        <w:rPr>
          <w:rFonts w:hint="eastAsia" w:ascii="宋体" w:hAnsi="宋体"/>
        </w:rPr>
        <w:t>②</w:t>
      </w:r>
      <w:r>
        <w:rPr>
          <w:rFonts w:hint="eastAsia"/>
        </w:rPr>
        <w:t>在常温常压下易爆、易燃及排出有毒气体的危险废物必须进行预处理，使之稳定后贮存，否则，按易爆、易燃危险品贮存。</w:t>
      </w:r>
      <w:r>
        <w:t xml:space="preserve"> </w:t>
      </w:r>
    </w:p>
    <w:p w14:paraId="552C7489">
      <w:pPr>
        <w:pStyle w:val="281"/>
        <w:ind w:firstLine="480"/>
      </w:pPr>
      <w:r>
        <w:rPr>
          <w:rFonts w:hint="eastAsia" w:ascii="宋体" w:hAnsi="宋体"/>
        </w:rPr>
        <w:t>③</w:t>
      </w:r>
      <w:r>
        <w:rPr>
          <w:rFonts w:hint="eastAsia"/>
        </w:rPr>
        <w:t>在常温常压下不水解、不挥发的固体危险废物可在贮存设施内分别堆放，否则必须将危险废物装入容器内。</w:t>
      </w:r>
      <w:r>
        <w:t xml:space="preserve"> </w:t>
      </w:r>
    </w:p>
    <w:p w14:paraId="257F8529">
      <w:pPr>
        <w:pStyle w:val="281"/>
        <w:ind w:firstLine="480"/>
      </w:pPr>
      <w:r>
        <w:rPr>
          <w:rFonts w:hint="eastAsia" w:ascii="宋体" w:hAnsi="宋体"/>
        </w:rPr>
        <w:t>④</w:t>
      </w:r>
      <w:r>
        <w:rPr>
          <w:rFonts w:hint="eastAsia"/>
        </w:rPr>
        <w:t>装载液体、半固体危险废物的容器内须留足够空间，容器顶部与液体表面之间保留</w:t>
      </w:r>
      <w:r>
        <w:t>100</w:t>
      </w:r>
      <w:r>
        <w:rPr>
          <w:rFonts w:hint="eastAsia"/>
        </w:rPr>
        <w:t>毫米以上的空间。</w:t>
      </w:r>
      <w:r>
        <w:t xml:space="preserve"> </w:t>
      </w:r>
    </w:p>
    <w:p w14:paraId="2824441F">
      <w:pPr>
        <w:pStyle w:val="281"/>
        <w:ind w:firstLine="480"/>
      </w:pPr>
      <w:r>
        <w:rPr>
          <w:rFonts w:hint="eastAsia" w:ascii="宋体" w:hAnsi="宋体"/>
        </w:rPr>
        <w:t>⑤</w:t>
      </w:r>
      <w:r>
        <w:rPr>
          <w:rFonts w:hint="eastAsia"/>
        </w:rPr>
        <w:t>禁止将不相容（相互反应）的危险废物在同一容器内混装。装载危险废物的容器及材质要满足相应的强度要求。装载危险废物的容器必须完好无损。盛装危险废物的容器材质和衬里要与危险废物相容（不相互反应）。</w:t>
      </w:r>
    </w:p>
    <w:p w14:paraId="12562504">
      <w:pPr>
        <w:pStyle w:val="951"/>
      </w:pPr>
      <w:r>
        <w:t>物料泄漏应急、救援及减缓措施</w:t>
      </w:r>
    </w:p>
    <w:p w14:paraId="0DD6D66F">
      <w:pPr>
        <w:pStyle w:val="281"/>
        <w:ind w:firstLine="480"/>
      </w:pPr>
      <w:r>
        <w:t>当发生易燃易爆或有毒物料泄漏时，可根据物料性质，选择采取以下措施，防止事态进一步发展：</w:t>
      </w:r>
    </w:p>
    <w:p w14:paraId="05ED1AD9">
      <w:pPr>
        <w:pStyle w:val="281"/>
        <w:ind w:firstLine="480"/>
      </w:pPr>
      <w:r>
        <w:rPr>
          <w:rFonts w:hint="eastAsia" w:ascii="宋体" w:hAnsi="宋体"/>
        </w:rPr>
        <w:t>①</w:t>
      </w:r>
      <w:r>
        <w:t>根据事故级别启动应急预案。</w:t>
      </w:r>
    </w:p>
    <w:p w14:paraId="742BA4FC">
      <w:pPr>
        <w:pStyle w:val="281"/>
        <w:ind w:firstLine="480"/>
      </w:pPr>
      <w:r>
        <w:rPr>
          <w:rFonts w:hint="eastAsia" w:ascii="宋体" w:hAnsi="宋体"/>
        </w:rPr>
        <w:t>②</w:t>
      </w:r>
      <w:r>
        <w:t>根据装置各高点设置的风向标，将无关人员迅速疏散到上风向安全区，对危险区域进行隔离，并严格控制出入，切断火源；根据需要疏散周围居住区人群。</w:t>
      </w:r>
    </w:p>
    <w:p w14:paraId="4965538E">
      <w:pPr>
        <w:pStyle w:val="281"/>
        <w:ind w:firstLine="480"/>
      </w:pPr>
      <w:r>
        <w:rPr>
          <w:rFonts w:hint="eastAsia" w:ascii="宋体" w:hAnsi="宋体"/>
        </w:rPr>
        <w:t>③</w:t>
      </w:r>
      <w:r>
        <w:t>比空气重的易挥发易燃液体泄漏时，用工业覆盖层或吸附/吸收剂盖住泄漏点附近的下水道等地方，防止气体进入。</w:t>
      </w:r>
    </w:p>
    <w:p w14:paraId="4F4339BD">
      <w:pPr>
        <w:pStyle w:val="281"/>
        <w:ind w:firstLine="480"/>
      </w:pPr>
      <w:r>
        <w:rPr>
          <w:rFonts w:hint="eastAsia" w:ascii="宋体" w:hAnsi="宋体"/>
        </w:rPr>
        <w:t>④</w:t>
      </w:r>
      <w:r>
        <w:t>喷雾状水稀释，构筑临时围堤收容产生的大量废水。</w:t>
      </w:r>
    </w:p>
    <w:p w14:paraId="610AE89E">
      <w:pPr>
        <w:pStyle w:val="281"/>
        <w:ind w:firstLine="480"/>
      </w:pPr>
      <w:r>
        <w:rPr>
          <w:rFonts w:hint="eastAsia" w:ascii="宋体" w:hAnsi="宋体"/>
        </w:rPr>
        <w:t>⑤</w:t>
      </w:r>
      <w:r>
        <w:t>如有可能，将漏出气用排风机送至空旷地方。也可以将漏气的容器移至空旷处，注意通风。</w:t>
      </w:r>
    </w:p>
    <w:p w14:paraId="7A8AD0E2">
      <w:pPr>
        <w:pStyle w:val="281"/>
        <w:ind w:firstLine="480"/>
      </w:pPr>
      <w:r>
        <w:rPr>
          <w:rFonts w:hint="eastAsia" w:ascii="宋体" w:hAnsi="宋体"/>
        </w:rPr>
        <w:t>⑥</w:t>
      </w:r>
      <w:r>
        <w:t>小量液体泄漏：用砂土或</w:t>
      </w:r>
      <w:r>
        <w:rPr>
          <w:rFonts w:hint="eastAsia"/>
        </w:rPr>
        <w:t>其他不</w:t>
      </w:r>
      <w:r>
        <w:t>燃材料吸附或吸收。也可以用大量水冲洗，稀释水排入废水系统。大量液体泄漏：构筑临时围堤收容。用泡沫覆盖，降低挥发蒸气灾害。用防爆泵转移至槽车或专用收集器内，回收或运至废物处理场所处置。</w:t>
      </w:r>
    </w:p>
    <w:p w14:paraId="3A7C65FD">
      <w:pPr>
        <w:pStyle w:val="281"/>
        <w:ind w:firstLine="480"/>
      </w:pPr>
      <w:r>
        <w:rPr>
          <w:rFonts w:hint="eastAsia" w:ascii="宋体" w:hAnsi="宋体"/>
        </w:rPr>
        <w:t>⑦</w:t>
      </w:r>
      <w:r>
        <w:t>喷雾吸收或中和：对某些可通过物理、化学反应中和或吸收的气体发生泄漏，可喷相关雾状液进行中和或吸收。</w:t>
      </w:r>
    </w:p>
    <w:p w14:paraId="5161665D">
      <w:pPr>
        <w:pStyle w:val="951"/>
      </w:pPr>
      <w:r>
        <w:t>火灾、爆炸应急、减缓措施</w:t>
      </w:r>
    </w:p>
    <w:p w14:paraId="20A0D441">
      <w:pPr>
        <w:pStyle w:val="281"/>
        <w:ind w:firstLine="480"/>
      </w:pPr>
      <w:r>
        <w:t>当装置或储罐发生火灾或爆炸时：</w:t>
      </w:r>
    </w:p>
    <w:p w14:paraId="54FB8C9E">
      <w:pPr>
        <w:pStyle w:val="281"/>
        <w:ind w:firstLine="480"/>
      </w:pPr>
      <w:r>
        <w:rPr>
          <w:rFonts w:hint="eastAsia" w:ascii="宋体" w:hAnsi="宋体"/>
        </w:rPr>
        <w:t>①</w:t>
      </w:r>
      <w:r>
        <w:t>根据事故级别启动应急预案。</w:t>
      </w:r>
    </w:p>
    <w:p w14:paraId="514E5C6B">
      <w:pPr>
        <w:pStyle w:val="281"/>
        <w:ind w:firstLine="480"/>
      </w:pPr>
      <w:r>
        <w:rPr>
          <w:rFonts w:hint="eastAsia" w:ascii="宋体" w:hAnsi="宋体"/>
        </w:rPr>
        <w:t>②</w:t>
      </w:r>
      <w:r>
        <w:t>根据需要，切断着火设施上、下游物料，尽可能倒空着火设施附近装置或贮罐物料，防止发生连锁</w:t>
      </w:r>
      <w:r>
        <w:rPr>
          <w:rFonts w:hint="eastAsia"/>
        </w:rPr>
        <w:t>反应</w:t>
      </w:r>
      <w:r>
        <w:t>。</w:t>
      </w:r>
    </w:p>
    <w:p w14:paraId="463C589A">
      <w:pPr>
        <w:pStyle w:val="281"/>
        <w:ind w:firstLine="480"/>
      </w:pPr>
      <w:r>
        <w:rPr>
          <w:rFonts w:hint="eastAsia" w:ascii="宋体" w:hAnsi="宋体"/>
        </w:rPr>
        <w:t>③</w:t>
      </w:r>
      <w:r>
        <w:t>在救火的同时，采用水幕或喷淋的方法，防止引发继发事故。</w:t>
      </w:r>
    </w:p>
    <w:p w14:paraId="141FDCB9">
      <w:pPr>
        <w:pStyle w:val="281"/>
        <w:ind w:firstLine="480"/>
      </w:pPr>
      <w:r>
        <w:rPr>
          <w:rFonts w:hint="eastAsia" w:ascii="宋体" w:hAnsi="宋体"/>
        </w:rPr>
        <w:t>④</w:t>
      </w:r>
      <w:r>
        <w:t>根据事故级别疏散周围居住区人群。</w:t>
      </w:r>
    </w:p>
    <w:p w14:paraId="25635157">
      <w:pPr>
        <w:pStyle w:val="951"/>
      </w:pPr>
      <w:bookmarkStart w:id="514" w:name="_Hlk192089390"/>
      <w:r>
        <w:rPr>
          <w:rFonts w:hint="eastAsia"/>
        </w:rPr>
        <w:t>事故状态下人员的疏散通道及安置应急建议</w:t>
      </w:r>
    </w:p>
    <w:p w14:paraId="6E344FEB">
      <w:pPr>
        <w:pStyle w:val="281"/>
        <w:ind w:firstLine="480"/>
      </w:pPr>
      <w:r>
        <w:rPr>
          <w:rFonts w:hint="eastAsia"/>
        </w:rPr>
        <w:t>本项目厂界周边居民区较分散，评价范围内的环境敏感点包含阿克其特力克村、沙枣泉镇、西部战区司机训练团独立营，环境风险防范区内的人群应作为紧急撤离目标，并确保能够在</w:t>
      </w:r>
      <w:r>
        <w:t xml:space="preserve">60min </w:t>
      </w:r>
      <w:r>
        <w:rPr>
          <w:rFonts w:hint="eastAsia"/>
        </w:rPr>
        <w:t>内撤离至安全地点。</w:t>
      </w:r>
    </w:p>
    <w:p w14:paraId="67EAD7FD">
      <w:pPr>
        <w:pStyle w:val="281"/>
        <w:ind w:firstLine="480"/>
      </w:pPr>
      <w:r>
        <w:rPr>
          <w:rFonts w:hint="eastAsia"/>
        </w:rPr>
        <w:t>现场紧急撤离时，应按照事故现场、工厂临近区的区域人员及公众对毒物应急剂量控制的规定，制定人员紧急撤离、疏散计划和医疗救护程序。同时厂内需要设立明显的风向标，确定安全疏散路线。事故发生后，应根据化学品泄漏的扩散情况及时通知政府相关部门，并通过厂区高音喇叭通知周边人群及时疏散。紧急疏散时应注意：</w:t>
      </w:r>
    </w:p>
    <w:p w14:paraId="376CFB39">
      <w:pPr>
        <w:pStyle w:val="281"/>
        <w:ind w:firstLine="480"/>
      </w:pPr>
      <w:r>
        <w:rPr>
          <w:rFonts w:hint="eastAsia"/>
        </w:rPr>
        <w:t>（1）必要时采取佩戴呼吸器具、佩戴个人防护用品或采用其他简易有效的防护措施（戴防护眼镜或用浸湿毛巾捂住口鼻、减少皮肤外露等各种措施进行自身防护）。</w:t>
      </w:r>
    </w:p>
    <w:p w14:paraId="6AEE8C47">
      <w:pPr>
        <w:pStyle w:val="281"/>
        <w:ind w:firstLine="480"/>
      </w:pPr>
      <w:r>
        <w:rPr>
          <w:rFonts w:hint="eastAsia"/>
        </w:rPr>
        <w:t>（2）应向上风向、高地势转移，迅速撤出危险区域可能受到危害的人员（在上风向无撤离通道时，也应避免沿下风向撤离），并由专人引导和护送疏散人员到安全区域，在疏散或撤离的路线上设立哨位，指明疏散、撤离的方向。</w:t>
      </w:r>
    </w:p>
    <w:p w14:paraId="5C886013">
      <w:pPr>
        <w:pStyle w:val="281"/>
        <w:ind w:firstLine="480"/>
      </w:pPr>
      <w:r>
        <w:rPr>
          <w:rFonts w:hint="eastAsia"/>
        </w:rPr>
        <w:t>（3）按照设定的危险区域，设立警戒线，并在通往事故现场的主要干道上实行交通管制。</w:t>
      </w:r>
    </w:p>
    <w:p w14:paraId="76DAA279">
      <w:pPr>
        <w:pStyle w:val="281"/>
        <w:ind w:firstLine="480"/>
      </w:pPr>
      <w:r>
        <w:rPr>
          <w:rFonts w:hint="eastAsia"/>
        </w:rPr>
        <w:t>（4）在污染区域和可能污染区域立即进行布点监测，根据监测数据及时调整疏散范围。</w:t>
      </w:r>
    </w:p>
    <w:p w14:paraId="3C97F98A">
      <w:pPr>
        <w:pStyle w:val="281"/>
        <w:ind w:firstLine="480"/>
      </w:pPr>
      <w:r>
        <w:rPr>
          <w:rFonts w:hint="eastAsia"/>
        </w:rPr>
        <w:t>（5）为受灾群众提供避难场所以及必要的基本生活保障，配合政府部门进行受灾群众的医疗救助、疾病控制、生活救助。</w:t>
      </w:r>
    </w:p>
    <w:bookmarkEnd w:id="513"/>
    <w:bookmarkEnd w:id="514"/>
    <w:p w14:paraId="2D4CE718">
      <w:pPr>
        <w:pStyle w:val="98"/>
        <w:rPr>
          <w:rFonts w:hint="eastAsia"/>
          <w:color w:val="auto"/>
        </w:rPr>
      </w:pPr>
      <w:bookmarkStart w:id="515" w:name="_Hlk151032536"/>
      <w:r>
        <w:rPr>
          <w:rFonts w:hint="eastAsia"/>
          <w:color w:val="auto"/>
        </w:rPr>
        <w:t>事故废水外排防范及减缓措施</w:t>
      </w:r>
      <w:bookmarkEnd w:id="515"/>
    </w:p>
    <w:p w14:paraId="7A4A53E4">
      <w:pPr>
        <w:pStyle w:val="281"/>
        <w:ind w:firstLine="480"/>
        <w:rPr>
          <w:rFonts w:hint="eastAsia" w:ascii="宋体" w:hAnsi="宋体"/>
        </w:rPr>
      </w:pPr>
      <w:bookmarkStart w:id="516" w:name="_Hlk150658556"/>
      <w:r>
        <w:rPr>
          <w:rFonts w:hint="eastAsia" w:ascii="宋体" w:hAnsi="宋体"/>
        </w:rPr>
        <w:t>为防范和控制发生事故时和事故处理过程中产生的物料泄漏，造成事故（含化工物料）污水对周边水体环境污染和危害，本项目建立了</w:t>
      </w:r>
      <w:r>
        <w:rPr>
          <w:rFonts w:ascii="宋体" w:hAnsi="宋体"/>
        </w:rPr>
        <w:t>“</w:t>
      </w:r>
      <w:r>
        <w:rPr>
          <w:rFonts w:hint="eastAsia" w:ascii="宋体" w:hAnsi="宋体"/>
        </w:rPr>
        <w:t>单元-厂区-园区</w:t>
      </w:r>
      <w:r>
        <w:rPr>
          <w:rFonts w:ascii="宋体" w:hAnsi="宋体"/>
        </w:rPr>
        <w:t>”</w:t>
      </w:r>
      <w:r>
        <w:rPr>
          <w:rFonts w:hint="eastAsia" w:ascii="宋体" w:hAnsi="宋体"/>
        </w:rPr>
        <w:t>事故废水三级防控体系。确保在发生突发事件时，事故废水不外流出园区，最大程度地降低园区外水环境受到污染的风险。</w:t>
      </w:r>
    </w:p>
    <w:p w14:paraId="1081394F">
      <w:pPr>
        <w:pStyle w:val="951"/>
      </w:pPr>
      <w:r>
        <w:rPr>
          <w:rFonts w:hint="eastAsia"/>
        </w:rPr>
        <w:t>单元级防控措施</w:t>
      </w:r>
    </w:p>
    <w:p w14:paraId="48803955">
      <w:pPr>
        <w:pStyle w:val="281"/>
        <w:ind w:firstLine="480"/>
      </w:pPr>
      <w:r>
        <w:rPr>
          <w:rFonts w:hint="eastAsia"/>
        </w:rPr>
        <w:t>（1）围堰、防火堤</w:t>
      </w:r>
    </w:p>
    <w:p w14:paraId="7A243D1B">
      <w:pPr>
        <w:pStyle w:val="281"/>
        <w:ind w:firstLine="480"/>
      </w:pPr>
      <w:r>
        <w:rPr>
          <w:rFonts w:hint="eastAsia"/>
        </w:rPr>
        <w:t>装置区设置不低于</w:t>
      </w:r>
      <w:r>
        <w:t>150mm</w:t>
      </w:r>
      <w:r>
        <w:rPr>
          <w:rFonts w:hint="eastAsia"/>
        </w:rPr>
        <w:t>高的围堰，用于收集一般事故泄漏的物料，防止轻微事故泄漏时造成的污染水漫流。罐区设置防火堤，采用现浇混凝土结构，防火堤容积按能够容纳防火堤内最大罐的容积。当发生一般事故时，围堰和防火堤内泄漏的物料首先需回收到污油罐，送工艺装置处理，最后剩余物料通过排水切换设施将泄漏的物料和废水排至污染雨水收集池。后期经泵提升送到污水处理站处理。</w:t>
      </w:r>
    </w:p>
    <w:p w14:paraId="5B491CBC">
      <w:pPr>
        <w:pStyle w:val="281"/>
        <w:ind w:firstLine="480"/>
      </w:pPr>
      <w:r>
        <w:rPr>
          <w:rFonts w:hint="eastAsia"/>
        </w:rPr>
        <w:t>（2）污染雨水收集池</w:t>
      </w:r>
    </w:p>
    <w:p w14:paraId="1EE02FBE">
      <w:pPr>
        <w:pStyle w:val="281"/>
        <w:ind w:firstLine="480"/>
      </w:pPr>
      <w:r>
        <w:rPr>
          <w:rFonts w:hint="eastAsia"/>
        </w:rPr>
        <w:t>各装置区都设有单独的污染雨水池，污染雨水池的容积按能容纳装置污染区地面一次不小于30</w:t>
      </w:r>
      <w:r>
        <w:t>mm</w:t>
      </w:r>
      <w:r>
        <w:rPr>
          <w:rFonts w:hint="eastAsia"/>
        </w:rPr>
        <w:t>的降雨量设计。污染区雨水排水系统主要用于收集和排放各工艺装置区及辅助设施中污染区域的地面污染雨水、地面冲洗水及消防排水。装置污染比较严重的区域，全部雨水均作为污染雨水收集，一般污染区的初期雨水作为污染雨水收集。</w:t>
      </w:r>
    </w:p>
    <w:p w14:paraId="19943E87">
      <w:pPr>
        <w:pStyle w:val="281"/>
        <w:ind w:firstLine="480"/>
      </w:pPr>
      <w:r>
        <w:rPr>
          <w:rFonts w:hint="eastAsia" w:cs="Times New Roman"/>
          <w:kern w:val="2"/>
          <w:szCs w:val="24"/>
        </w:rPr>
        <w:t>初期雨水、事故废水先进入初期雨水池，初期雨水池满后，溢流至雨水管线（兼做事故水管线），在雨水管线末端设置切换设施，事故状态时，关闭末端外排管线闸门，打开事故缓冲池侧闸门，事故废水进入事故缓冲池；正常生产时，关闭事故缓冲池侧闸门，打开外排闸门，清净雨水正常排出。厂区主要分为清净雨水管线（兼作事故水管），生产污水管线（沿管廊敷设），生活污水管线。</w:t>
      </w:r>
    </w:p>
    <w:p w14:paraId="672F84DA">
      <w:pPr>
        <w:pStyle w:val="951"/>
      </w:pPr>
      <w:r>
        <w:rPr>
          <w:rFonts w:hint="eastAsia"/>
        </w:rPr>
        <w:t>厂区级防控措施</w:t>
      </w:r>
    </w:p>
    <w:p w14:paraId="250887CC">
      <w:pPr>
        <w:pStyle w:val="281"/>
        <w:ind w:firstLine="480"/>
      </w:pPr>
      <w:bookmarkStart w:id="517" w:name="_Hlk120293930"/>
      <w:bookmarkStart w:id="518" w:name="_Hlk192088053"/>
      <w:r>
        <w:t>项目设置一座有效容积为</w:t>
      </w:r>
      <w:r>
        <w:rPr>
          <w:rFonts w:hint="eastAsia"/>
        </w:rPr>
        <w:t>80</w:t>
      </w:r>
      <w:r>
        <w:t>00m</w:t>
      </w:r>
      <w:r>
        <w:rPr>
          <w:vertAlign w:val="superscript"/>
        </w:rPr>
        <w:t>3</w:t>
      </w:r>
      <w:r>
        <w:t>的事故水池。一般情况下，在降雨及较大事故同时发生时，利用全厂雨水管网作为事故排污管道，通过事故污水连通管上的闸门切换，将事故过程中产生的消防</w:t>
      </w:r>
      <w:r>
        <w:rPr>
          <w:rFonts w:hint="eastAsia" w:ascii="宋体" w:hAnsi="宋体"/>
        </w:rPr>
        <w:t>废水、泄漏物料及事故过程中可能受污染的雨水等导入全厂消防事故水池。</w:t>
      </w:r>
      <w:bookmarkEnd w:id="517"/>
    </w:p>
    <w:p w14:paraId="534E6677">
      <w:pPr>
        <w:pStyle w:val="281"/>
        <w:ind w:firstLine="480"/>
        <w:rPr>
          <w:rFonts w:hint="eastAsia" w:ascii="宋体" w:hAnsi="宋体"/>
        </w:rPr>
      </w:pPr>
      <w:r>
        <w:rPr>
          <w:rFonts w:hint="eastAsia" w:ascii="宋体" w:hAnsi="宋体"/>
        </w:rPr>
        <w:t>事故池在非事故状态下不得占用以保证可以随时容纳可能发生的事故产生的废水。企业应设有效防止泄漏物质、消防水、污染雨水等扩散至外环境的收集、导流、拦截、降污等环境风险防范设施。对排入应急事故水池的废水应进行必要的监测，能够回用的回用；对不符合回用要求，但符合污水处理站进水要求的废水，应限流进入污水处理站进行处理；对不符合污水处理站进水要求的废水，应采取处理措施或外送处理。</w:t>
      </w:r>
    </w:p>
    <w:p w14:paraId="01BDB668">
      <w:pPr>
        <w:pStyle w:val="281"/>
        <w:ind w:firstLine="480"/>
        <w:rPr>
          <w:rFonts w:hint="eastAsia" w:ascii="宋体" w:hAnsi="宋体"/>
        </w:rPr>
      </w:pPr>
      <w:r>
        <w:rPr>
          <w:rFonts w:hint="eastAsia" w:ascii="宋体" w:hAnsi="宋体"/>
        </w:rPr>
        <w:t>当发生火灾爆炸事故，各装置及辅助设施产生的事故水和泄漏物料无法就地消纳时，一部分储存在单元内的围堰及污染（初期）雨水收集池，其余通过各自的雨水系统溢流或阀门切换到全厂雨水系统，进入雨水监控池和事故池储存，再用泵提升到污水处理站处理后回用。即：消防事故水→雨水收集池→连接管道→事故水池→泵提升→污水处理站。</w:t>
      </w:r>
      <w:bookmarkEnd w:id="516"/>
      <w:r>
        <w:rPr>
          <w:rFonts w:hint="eastAsia" w:ascii="宋体" w:hAnsi="宋体"/>
        </w:rPr>
        <w:t>厂内</w:t>
      </w:r>
      <w:r>
        <w:rPr>
          <w:rFonts w:hint="eastAsia"/>
        </w:rPr>
        <w:t>事故废水控制、封堵示意见</w:t>
      </w:r>
      <w:r>
        <w:rPr>
          <w:rFonts w:hint="eastAsia" w:ascii="宋体" w:hAnsi="宋体"/>
        </w:rPr>
        <w:t>下图。</w:t>
      </w:r>
    </w:p>
    <w:p w14:paraId="660B58B8">
      <w:pPr>
        <w:pStyle w:val="281"/>
        <w:ind w:firstLine="480"/>
        <w:rPr>
          <w:rFonts w:hint="eastAsia" w:ascii="宋体" w:hAnsi="宋体"/>
        </w:rPr>
      </w:pPr>
      <w:r>
        <w:rPr>
          <w:rFonts w:hint="eastAsia" w:ascii="宋体" w:hAnsi="宋体"/>
        </w:rPr>
        <w:t>事故处理完成后，将事故水池中收集的污染消防水和泄漏物料限流提升至污水处理站处理，避免对污水处理系统产生冲击，同时清空事故水池恢复正常生产。事故处理后需要对管道进行冲洗。</w:t>
      </w:r>
    </w:p>
    <w:bookmarkEnd w:id="518"/>
    <w:p w14:paraId="5C5779BD">
      <w:pPr>
        <w:pStyle w:val="281"/>
        <w:ind w:firstLine="480"/>
        <w:rPr>
          <w:rFonts w:hint="eastAsia" w:ascii="宋体" w:hAnsi="宋体"/>
        </w:rPr>
      </w:pPr>
    </w:p>
    <w:p w14:paraId="22E631E9">
      <w:pPr>
        <w:pStyle w:val="281"/>
        <w:ind w:firstLine="480"/>
        <w:rPr>
          <w:rFonts w:hint="eastAsia" w:ascii="宋体" w:hAnsi="宋体"/>
        </w:rPr>
      </w:pPr>
    </w:p>
    <w:p w14:paraId="741580D9">
      <w:pPr>
        <w:pStyle w:val="281"/>
        <w:ind w:firstLine="480"/>
        <w:rPr>
          <w:rFonts w:hint="eastAsia" w:ascii="宋体" w:hAnsi="宋体"/>
        </w:rPr>
      </w:pPr>
    </w:p>
    <w:p w14:paraId="77FCF06D">
      <w:pPr>
        <w:pStyle w:val="281"/>
        <w:ind w:firstLine="480"/>
      </w:pPr>
    </w:p>
    <w:p w14:paraId="3DA07F82">
      <w:pPr>
        <w:ind w:firstLine="480"/>
        <w:rPr>
          <w:rFonts w:hint="eastAsia"/>
        </w:rPr>
        <w:sectPr>
          <w:pgSz w:w="11906" w:h="16838"/>
          <w:pgMar w:top="1440" w:right="1800" w:bottom="1440" w:left="1800" w:header="850" w:footer="850" w:gutter="0"/>
          <w:pgNumType w:chapStyle="1"/>
          <w:cols w:space="425" w:num="1"/>
          <w:docGrid w:type="lines" w:linePitch="326" w:charSpace="0"/>
        </w:sectPr>
      </w:pPr>
    </w:p>
    <w:p w14:paraId="51486615">
      <w:pPr>
        <w:ind w:firstLine="480"/>
        <w:jc w:val="center"/>
        <w:rPr>
          <w:rFonts w:hint="eastAsia"/>
        </w:rPr>
      </w:pPr>
      <w:bookmarkStart w:id="519" w:name="_Hlk192089327"/>
    </w:p>
    <w:p w14:paraId="618114E2">
      <w:pPr>
        <w:pStyle w:val="645"/>
        <w:rPr>
          <w:rFonts w:hint="eastAsia"/>
        </w:rPr>
        <w:sectPr>
          <w:pgSz w:w="16838" w:h="11906" w:orient="landscape"/>
          <w:pgMar w:top="1276" w:right="1440" w:bottom="1418" w:left="1440" w:header="850" w:footer="850" w:gutter="0"/>
          <w:pgNumType w:chapStyle="1"/>
          <w:cols w:space="425" w:num="1"/>
          <w:docGrid w:type="lines" w:linePitch="326" w:charSpace="0"/>
        </w:sectPr>
      </w:pPr>
      <w:r>
        <w:rPr>
          <w:rFonts w:hint="eastAsia"/>
        </w:rPr>
        <w:t>图</w:t>
      </w:r>
      <w:r>
        <w:t xml:space="preserve">7.8.2-1    </w:t>
      </w:r>
      <w:r>
        <w:rPr>
          <w:rFonts w:hint="eastAsia"/>
        </w:rPr>
        <w:t>事</w:t>
      </w:r>
      <w:bookmarkStart w:id="520" w:name="_Hlk193184369"/>
      <w:r>
        <w:rPr>
          <w:rFonts w:hint="eastAsia"/>
        </w:rPr>
        <w:t>故废水控制、封堵示意图</w:t>
      </w:r>
      <w:bookmarkEnd w:id="520"/>
    </w:p>
    <w:bookmarkEnd w:id="519"/>
    <w:p w14:paraId="300B1977">
      <w:pPr>
        <w:pStyle w:val="281"/>
        <w:ind w:firstLine="480"/>
      </w:pPr>
      <w:bookmarkStart w:id="521" w:name="_Hlk193111137"/>
      <w:bookmarkStart w:id="522" w:name="_Hlk177920009"/>
      <w:r>
        <w:rPr>
          <w:rFonts w:hint="eastAsia" w:ascii="宋体" w:hAnsi="宋体"/>
        </w:rPr>
        <w:t>（1）事故水池容积核算</w:t>
      </w:r>
    </w:p>
    <w:p w14:paraId="34DCAB45">
      <w:pPr>
        <w:pStyle w:val="281"/>
        <w:ind w:firstLine="480"/>
      </w:pPr>
      <w:r>
        <w:rPr>
          <w:rFonts w:hint="eastAsia"/>
        </w:rPr>
        <w:t>当发生环境风险事故时，事故废水的产生量主要考虑消防水量、事故时的降雨量以及泄漏的物料量三个方面。</w:t>
      </w:r>
      <w:bookmarkStart w:id="523" w:name="_Hlk193127165"/>
      <w:r>
        <w:rPr>
          <w:rFonts w:hint="eastAsia"/>
        </w:rPr>
        <w:t>本评价参照《事故状态下水体污染的预防与控制技术要求》（</w:t>
      </w:r>
      <w:r>
        <w:t>QSY08190-2019</w:t>
      </w:r>
      <w:r>
        <w:rPr>
          <w:rFonts w:hint="eastAsia"/>
        </w:rPr>
        <w:t>）</w:t>
      </w:r>
      <w:bookmarkEnd w:id="523"/>
      <w:r>
        <w:rPr>
          <w:rFonts w:hint="eastAsia"/>
        </w:rPr>
        <w:t>核算消防事故水池设计容积是否满足要求。</w:t>
      </w:r>
    </w:p>
    <w:p w14:paraId="10A34305">
      <w:pPr>
        <w:pStyle w:val="281"/>
        <w:ind w:firstLine="480"/>
      </w:pPr>
      <w:r>
        <w:rPr>
          <w:rFonts w:hint="eastAsia" w:ascii="宋体" w:hAnsi="宋体"/>
        </w:rPr>
        <w:t>事故储存设施总有效容积计算公式为：</w:t>
      </w:r>
    </w:p>
    <w:p w14:paraId="624EDF32">
      <w:pPr>
        <w:pStyle w:val="281"/>
        <w:ind w:firstLine="480"/>
        <w:jc w:val="center"/>
      </w:pPr>
      <w:r>
        <w:rPr>
          <w:rFonts w:hint="eastAsia"/>
        </w:rPr>
        <w:t>V=</w:t>
      </w:r>
      <w:r>
        <w:rPr>
          <w:rFonts w:hint="eastAsia" w:ascii="宋体" w:hAnsi="宋体"/>
        </w:rPr>
        <w:t>（</w:t>
      </w:r>
      <w:r>
        <w:rPr>
          <w:rFonts w:hint="eastAsia"/>
        </w:rPr>
        <w:t>V</w:t>
      </w:r>
      <w:r>
        <w:rPr>
          <w:rFonts w:hint="eastAsia"/>
          <w:vertAlign w:val="subscript"/>
        </w:rPr>
        <w:t>l</w:t>
      </w:r>
      <w:r>
        <w:rPr>
          <w:rFonts w:hint="eastAsia"/>
        </w:rPr>
        <w:t>+V</w:t>
      </w:r>
      <w:r>
        <w:rPr>
          <w:rFonts w:hint="eastAsia"/>
          <w:vertAlign w:val="subscript"/>
        </w:rPr>
        <w:t>2</w:t>
      </w:r>
      <w:r>
        <w:rPr>
          <w:rFonts w:hint="eastAsia" w:ascii="宋体" w:hAnsi="宋体"/>
        </w:rPr>
        <w:t>－</w:t>
      </w:r>
      <w:r>
        <w:rPr>
          <w:rFonts w:hint="eastAsia"/>
        </w:rPr>
        <w:t>V</w:t>
      </w:r>
      <w:r>
        <w:rPr>
          <w:rFonts w:hint="eastAsia"/>
          <w:vertAlign w:val="subscript"/>
        </w:rPr>
        <w:t>3</w:t>
      </w:r>
      <w:r>
        <w:rPr>
          <w:rFonts w:hint="eastAsia" w:ascii="宋体" w:hAnsi="宋体"/>
        </w:rPr>
        <w:t>）</w:t>
      </w:r>
      <w:r>
        <w:rPr>
          <w:rFonts w:hint="eastAsia"/>
        </w:rPr>
        <w:t>max+V</w:t>
      </w:r>
      <w:r>
        <w:rPr>
          <w:rFonts w:hint="eastAsia"/>
          <w:vertAlign w:val="subscript"/>
        </w:rPr>
        <w:t>4</w:t>
      </w:r>
      <w:r>
        <w:rPr>
          <w:rFonts w:hint="eastAsia"/>
        </w:rPr>
        <w:t>+V</w:t>
      </w:r>
      <w:r>
        <w:rPr>
          <w:rFonts w:hint="eastAsia"/>
          <w:vertAlign w:val="subscript"/>
        </w:rPr>
        <w:t>5</w:t>
      </w:r>
    </w:p>
    <w:p w14:paraId="06D56CD7">
      <w:pPr>
        <w:pStyle w:val="281"/>
        <w:ind w:firstLine="480"/>
      </w:pPr>
      <w:r>
        <w:rPr>
          <w:rFonts w:hint="eastAsia" w:ascii="宋体" w:hAnsi="宋体"/>
        </w:rPr>
        <w:t>式中：</w:t>
      </w:r>
    </w:p>
    <w:p w14:paraId="44BD2841">
      <w:pPr>
        <w:pStyle w:val="281"/>
        <w:ind w:firstLine="1050" w:firstLineChars="500"/>
        <w:rPr>
          <w:sz w:val="21"/>
        </w:rPr>
      </w:pPr>
      <w:r>
        <w:rPr>
          <w:rFonts w:hint="eastAsia"/>
          <w:sz w:val="21"/>
        </w:rPr>
        <w:t>V—</w:t>
      </w:r>
      <w:r>
        <w:rPr>
          <w:rFonts w:hint="eastAsia" w:ascii="宋体" w:hAnsi="宋体"/>
          <w:sz w:val="21"/>
        </w:rPr>
        <w:t>事故水池的有效容积（</w:t>
      </w:r>
      <w:r>
        <w:rPr>
          <w:rFonts w:hint="eastAsia"/>
          <w:sz w:val="21"/>
        </w:rPr>
        <w:t>m</w:t>
      </w:r>
      <w:r>
        <w:rPr>
          <w:rFonts w:hint="eastAsia"/>
          <w:sz w:val="21"/>
          <w:vertAlign w:val="superscript"/>
        </w:rPr>
        <w:t>3</w:t>
      </w:r>
      <w:r>
        <w:rPr>
          <w:rFonts w:hint="eastAsia" w:ascii="宋体" w:hAnsi="宋体"/>
          <w:sz w:val="21"/>
        </w:rPr>
        <w:t>）</w:t>
      </w:r>
    </w:p>
    <w:p w14:paraId="27BE2FA3">
      <w:pPr>
        <w:pStyle w:val="281"/>
        <w:ind w:firstLine="1050" w:firstLineChars="500"/>
        <w:rPr>
          <w:sz w:val="21"/>
        </w:rPr>
      </w:pPr>
      <w:r>
        <w:rPr>
          <w:rFonts w:hint="eastAsia"/>
          <w:sz w:val="21"/>
        </w:rPr>
        <w:t>V</w:t>
      </w:r>
      <w:r>
        <w:rPr>
          <w:rFonts w:hint="eastAsia"/>
          <w:sz w:val="21"/>
          <w:vertAlign w:val="subscript"/>
        </w:rPr>
        <w:t>l</w:t>
      </w:r>
      <w:r>
        <w:rPr>
          <w:rFonts w:hint="eastAsia"/>
          <w:sz w:val="21"/>
        </w:rPr>
        <w:t>—</w:t>
      </w:r>
      <w:r>
        <w:rPr>
          <w:rFonts w:hint="eastAsia" w:ascii="宋体" w:hAnsi="宋体"/>
          <w:sz w:val="21"/>
        </w:rPr>
        <w:t>收集系统范围内发生事故的物料量（</w:t>
      </w:r>
      <w:r>
        <w:rPr>
          <w:rFonts w:hint="eastAsia"/>
          <w:sz w:val="21"/>
        </w:rPr>
        <w:t>m</w:t>
      </w:r>
      <w:r>
        <w:rPr>
          <w:rFonts w:hint="eastAsia"/>
          <w:sz w:val="21"/>
          <w:vertAlign w:val="superscript"/>
        </w:rPr>
        <w:t>3</w:t>
      </w:r>
      <w:r>
        <w:rPr>
          <w:rFonts w:hint="eastAsia" w:ascii="宋体" w:hAnsi="宋体"/>
          <w:sz w:val="21"/>
        </w:rPr>
        <w:t>）；</w:t>
      </w:r>
    </w:p>
    <w:p w14:paraId="46365AE1">
      <w:pPr>
        <w:pStyle w:val="281"/>
        <w:ind w:firstLine="1050" w:firstLineChars="500"/>
        <w:rPr>
          <w:sz w:val="21"/>
        </w:rPr>
      </w:pPr>
      <w:r>
        <w:rPr>
          <w:rFonts w:hint="eastAsia"/>
          <w:sz w:val="21"/>
        </w:rPr>
        <w:t>V</w:t>
      </w:r>
      <w:r>
        <w:rPr>
          <w:rFonts w:hint="eastAsia"/>
          <w:sz w:val="21"/>
          <w:vertAlign w:val="subscript"/>
        </w:rPr>
        <w:t>2</w:t>
      </w:r>
      <w:r>
        <w:rPr>
          <w:rFonts w:hint="eastAsia"/>
          <w:sz w:val="21"/>
        </w:rPr>
        <w:t>—</w:t>
      </w:r>
      <w:r>
        <w:rPr>
          <w:rFonts w:hint="eastAsia" w:ascii="宋体" w:hAnsi="宋体"/>
          <w:sz w:val="21"/>
        </w:rPr>
        <w:t>发生事故的储罐、装置或铁路、汽车装卸区的消防水量（</w:t>
      </w:r>
      <w:r>
        <w:rPr>
          <w:rFonts w:hint="eastAsia"/>
          <w:sz w:val="21"/>
        </w:rPr>
        <w:t>m</w:t>
      </w:r>
      <w:r>
        <w:rPr>
          <w:rFonts w:hint="eastAsia"/>
          <w:sz w:val="21"/>
          <w:vertAlign w:val="superscript"/>
        </w:rPr>
        <w:t>3</w:t>
      </w:r>
      <w:r>
        <w:rPr>
          <w:rFonts w:hint="eastAsia" w:ascii="宋体" w:hAnsi="宋体"/>
          <w:sz w:val="21"/>
        </w:rPr>
        <w:t>）；</w:t>
      </w:r>
    </w:p>
    <w:p w14:paraId="2E493B56">
      <w:pPr>
        <w:pStyle w:val="281"/>
        <w:ind w:firstLine="1050" w:firstLineChars="500"/>
        <w:rPr>
          <w:sz w:val="21"/>
        </w:rPr>
      </w:pPr>
      <w:r>
        <w:rPr>
          <w:rFonts w:hint="eastAsia"/>
          <w:sz w:val="21"/>
        </w:rPr>
        <w:t>V</w:t>
      </w:r>
      <w:r>
        <w:rPr>
          <w:rFonts w:hint="eastAsia"/>
          <w:sz w:val="21"/>
          <w:vertAlign w:val="subscript"/>
        </w:rPr>
        <w:t>3</w:t>
      </w:r>
      <w:r>
        <w:rPr>
          <w:rFonts w:hint="eastAsia"/>
          <w:sz w:val="21"/>
        </w:rPr>
        <w:t>—</w:t>
      </w:r>
      <w:r>
        <w:rPr>
          <w:rFonts w:hint="eastAsia" w:ascii="宋体" w:hAnsi="宋体"/>
          <w:sz w:val="21"/>
        </w:rPr>
        <w:t>发生事故时可以转输到其他储存或处理设施的物料量（</w:t>
      </w:r>
      <w:r>
        <w:rPr>
          <w:rFonts w:hint="eastAsia"/>
          <w:sz w:val="21"/>
        </w:rPr>
        <w:t>m</w:t>
      </w:r>
      <w:r>
        <w:rPr>
          <w:rFonts w:hint="eastAsia"/>
          <w:sz w:val="21"/>
          <w:vertAlign w:val="superscript"/>
        </w:rPr>
        <w:t>3</w:t>
      </w:r>
      <w:r>
        <w:rPr>
          <w:rFonts w:hint="eastAsia" w:ascii="宋体" w:hAnsi="宋体"/>
          <w:sz w:val="21"/>
        </w:rPr>
        <w:t>）；</w:t>
      </w:r>
    </w:p>
    <w:p w14:paraId="4A7624AA">
      <w:pPr>
        <w:pStyle w:val="281"/>
        <w:ind w:firstLine="1050" w:firstLineChars="500"/>
        <w:rPr>
          <w:sz w:val="21"/>
        </w:rPr>
      </w:pPr>
      <w:r>
        <w:rPr>
          <w:rFonts w:hint="eastAsia"/>
          <w:sz w:val="21"/>
        </w:rPr>
        <w:t>V</w:t>
      </w:r>
      <w:r>
        <w:rPr>
          <w:rFonts w:hint="eastAsia"/>
          <w:sz w:val="21"/>
          <w:vertAlign w:val="subscript"/>
        </w:rPr>
        <w:t>4</w:t>
      </w:r>
      <w:r>
        <w:rPr>
          <w:rFonts w:hint="eastAsia"/>
          <w:sz w:val="21"/>
        </w:rPr>
        <w:t>—</w:t>
      </w:r>
      <w:r>
        <w:rPr>
          <w:rFonts w:hint="eastAsia" w:ascii="宋体" w:hAnsi="宋体"/>
          <w:sz w:val="21"/>
        </w:rPr>
        <w:t>发生事故时仍必须进入该收集系统的生产废水量（</w:t>
      </w:r>
      <w:r>
        <w:rPr>
          <w:rFonts w:hint="eastAsia"/>
          <w:sz w:val="21"/>
        </w:rPr>
        <w:t>m</w:t>
      </w:r>
      <w:r>
        <w:rPr>
          <w:rFonts w:hint="eastAsia"/>
          <w:sz w:val="21"/>
          <w:vertAlign w:val="superscript"/>
        </w:rPr>
        <w:t>3</w:t>
      </w:r>
      <w:r>
        <w:rPr>
          <w:rFonts w:hint="eastAsia" w:ascii="宋体" w:hAnsi="宋体"/>
          <w:sz w:val="21"/>
        </w:rPr>
        <w:t>）；</w:t>
      </w:r>
    </w:p>
    <w:p w14:paraId="3169601B">
      <w:pPr>
        <w:pStyle w:val="281"/>
        <w:ind w:firstLine="1050" w:firstLineChars="500"/>
        <w:rPr>
          <w:sz w:val="21"/>
        </w:rPr>
      </w:pPr>
      <w:r>
        <w:rPr>
          <w:rFonts w:hint="eastAsia"/>
          <w:sz w:val="21"/>
        </w:rPr>
        <w:t>V</w:t>
      </w:r>
      <w:r>
        <w:rPr>
          <w:rFonts w:hint="eastAsia"/>
          <w:sz w:val="21"/>
          <w:vertAlign w:val="subscript"/>
        </w:rPr>
        <w:t>5</w:t>
      </w:r>
      <w:r>
        <w:rPr>
          <w:rFonts w:hint="eastAsia"/>
          <w:sz w:val="21"/>
        </w:rPr>
        <w:t>—</w:t>
      </w:r>
      <w:r>
        <w:rPr>
          <w:rFonts w:hint="eastAsia" w:ascii="宋体" w:hAnsi="宋体"/>
          <w:sz w:val="21"/>
        </w:rPr>
        <w:t>发生事故时可能进入该收集系统的降雨量（</w:t>
      </w:r>
      <w:r>
        <w:rPr>
          <w:rFonts w:hint="eastAsia"/>
          <w:sz w:val="21"/>
        </w:rPr>
        <w:t>m</w:t>
      </w:r>
      <w:r>
        <w:rPr>
          <w:rFonts w:hint="eastAsia"/>
          <w:sz w:val="21"/>
          <w:vertAlign w:val="superscript"/>
        </w:rPr>
        <w:t>3</w:t>
      </w:r>
      <w:r>
        <w:rPr>
          <w:rFonts w:hint="eastAsia" w:ascii="宋体" w:hAnsi="宋体"/>
          <w:sz w:val="21"/>
        </w:rPr>
        <w:t>）。</w:t>
      </w:r>
    </w:p>
    <w:p w14:paraId="3298B730">
      <w:pPr>
        <w:pStyle w:val="281"/>
        <w:ind w:firstLine="1050" w:firstLineChars="500"/>
        <w:rPr>
          <w:sz w:val="21"/>
        </w:rPr>
      </w:pPr>
      <w:r>
        <w:rPr>
          <w:rFonts w:hint="eastAsia"/>
          <w:sz w:val="21"/>
        </w:rPr>
        <w:t>V</w:t>
      </w:r>
      <w:r>
        <w:rPr>
          <w:rFonts w:hint="eastAsia"/>
          <w:sz w:val="21"/>
          <w:vertAlign w:val="subscript"/>
        </w:rPr>
        <w:t>5</w:t>
      </w:r>
      <w:r>
        <w:rPr>
          <w:rFonts w:hint="eastAsia"/>
          <w:sz w:val="21"/>
        </w:rPr>
        <w:t>=10×q×F</w:t>
      </w:r>
    </w:p>
    <w:p w14:paraId="27B87BF0">
      <w:pPr>
        <w:pStyle w:val="281"/>
        <w:ind w:firstLine="1050" w:firstLineChars="500"/>
        <w:rPr>
          <w:sz w:val="21"/>
        </w:rPr>
      </w:pPr>
      <w:r>
        <w:rPr>
          <w:rFonts w:hint="eastAsia" w:ascii="宋体" w:hAnsi="宋体"/>
          <w:sz w:val="21"/>
        </w:rPr>
        <w:t>式中：</w:t>
      </w:r>
      <w:r>
        <w:rPr>
          <w:rFonts w:hint="eastAsia"/>
          <w:sz w:val="21"/>
        </w:rPr>
        <w:t>q—</w:t>
      </w:r>
      <w:r>
        <w:rPr>
          <w:rFonts w:hint="eastAsia" w:ascii="宋体" w:hAnsi="宋体"/>
          <w:sz w:val="21"/>
        </w:rPr>
        <w:t>降雨强度（</w:t>
      </w:r>
      <w:r>
        <w:rPr>
          <w:rFonts w:hint="eastAsia"/>
          <w:sz w:val="21"/>
        </w:rPr>
        <w:t>mm</w:t>
      </w:r>
      <w:r>
        <w:rPr>
          <w:rFonts w:hint="eastAsia" w:ascii="宋体" w:hAnsi="宋体"/>
          <w:sz w:val="21"/>
        </w:rPr>
        <w:t>），按平均日降雨量计；</w:t>
      </w:r>
    </w:p>
    <w:p w14:paraId="6B77754F">
      <w:pPr>
        <w:pStyle w:val="281"/>
        <w:ind w:firstLine="1680" w:firstLineChars="800"/>
        <w:rPr>
          <w:sz w:val="21"/>
        </w:rPr>
      </w:pPr>
      <w:r>
        <w:rPr>
          <w:rFonts w:hint="eastAsia"/>
          <w:sz w:val="21"/>
        </w:rPr>
        <w:t>F—</w:t>
      </w:r>
      <w:r>
        <w:rPr>
          <w:rFonts w:hint="eastAsia" w:ascii="宋体" w:hAnsi="宋体"/>
          <w:sz w:val="21"/>
        </w:rPr>
        <w:t>必须进入事故废水收集系统的雨水汇水面积（</w:t>
      </w:r>
      <w:r>
        <w:rPr>
          <w:rFonts w:hint="eastAsia"/>
          <w:sz w:val="21"/>
        </w:rPr>
        <w:t>hm</w:t>
      </w:r>
      <w:r>
        <w:rPr>
          <w:rFonts w:hint="eastAsia"/>
          <w:sz w:val="21"/>
          <w:vertAlign w:val="superscript"/>
        </w:rPr>
        <w:t>2</w:t>
      </w:r>
      <w:r>
        <w:rPr>
          <w:rFonts w:hint="eastAsia" w:ascii="宋体" w:hAnsi="宋体"/>
          <w:sz w:val="21"/>
        </w:rPr>
        <w:t>）</w:t>
      </w:r>
    </w:p>
    <w:p w14:paraId="60DC50B5">
      <w:pPr>
        <w:pStyle w:val="645"/>
        <w:rPr>
          <w:rFonts w:hint="eastAsia"/>
        </w:rPr>
      </w:pPr>
      <w:r>
        <w:rPr>
          <w:rFonts w:hint="eastAsia"/>
        </w:rPr>
        <w:t>表7</w:t>
      </w:r>
      <w:r>
        <w:t>.8.2-</w:t>
      </w:r>
      <w:r>
        <w:rPr>
          <w:rFonts w:hint="eastAsia"/>
        </w:rPr>
        <w:t>1</w:t>
      </w:r>
      <w:r>
        <w:t xml:space="preserve">    </w:t>
      </w:r>
      <w:r>
        <w:rPr>
          <w:rFonts w:hint="eastAsia"/>
        </w:rPr>
        <w:t>事故水池容积核算</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796"/>
        <w:gridCol w:w="1695"/>
      </w:tblGrid>
      <w:tr w14:paraId="7AF7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7F111714">
            <w:pPr>
              <w:pStyle w:val="557"/>
            </w:pPr>
            <w:r>
              <w:rPr>
                <w:rFonts w:hint="eastAsia"/>
              </w:rPr>
              <w:t>符号</w:t>
            </w:r>
          </w:p>
        </w:tc>
        <w:tc>
          <w:tcPr>
            <w:tcW w:w="3400" w:type="pct"/>
            <w:vAlign w:val="center"/>
          </w:tcPr>
          <w:p w14:paraId="4DAF469D">
            <w:pPr>
              <w:pStyle w:val="557"/>
            </w:pPr>
            <w:r>
              <w:rPr>
                <w:rFonts w:hint="eastAsia"/>
              </w:rPr>
              <w:t>取值说明</w:t>
            </w:r>
          </w:p>
        </w:tc>
        <w:tc>
          <w:tcPr>
            <w:tcW w:w="994" w:type="pct"/>
            <w:vAlign w:val="center"/>
          </w:tcPr>
          <w:p w14:paraId="5834C1B0">
            <w:pPr>
              <w:pStyle w:val="557"/>
            </w:pPr>
            <w:r>
              <w:rPr>
                <w:rFonts w:hint="eastAsia"/>
              </w:rPr>
              <w:t>取值</w:t>
            </w:r>
          </w:p>
        </w:tc>
      </w:tr>
      <w:tr w14:paraId="7267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7CBD8DFD">
            <w:pPr>
              <w:pStyle w:val="557"/>
            </w:pPr>
            <w:r>
              <w:rPr>
                <w:rFonts w:hint="eastAsia"/>
              </w:rPr>
              <w:t>V</w:t>
            </w:r>
            <w:r>
              <w:rPr>
                <w:rFonts w:hint="eastAsia"/>
                <w:vertAlign w:val="subscript"/>
              </w:rPr>
              <w:t>l</w:t>
            </w:r>
          </w:p>
        </w:tc>
        <w:tc>
          <w:tcPr>
            <w:tcW w:w="3400" w:type="pct"/>
            <w:vAlign w:val="center"/>
          </w:tcPr>
          <w:p w14:paraId="0EFD225E">
            <w:pPr>
              <w:pStyle w:val="557"/>
            </w:pPr>
            <w:r>
              <w:t>取收集范围内消防水量最大的</w:t>
            </w:r>
            <w:r>
              <w:rPr>
                <w:rFonts w:hint="eastAsia"/>
              </w:rPr>
              <w:t>液氨</w:t>
            </w:r>
            <w:r>
              <w:t>罐区</w:t>
            </w:r>
            <w:r>
              <w:rPr>
                <w:rFonts w:hint="eastAsia"/>
              </w:rPr>
              <w:t>，产生事故水量</w:t>
            </w:r>
          </w:p>
        </w:tc>
        <w:tc>
          <w:tcPr>
            <w:tcW w:w="994" w:type="pct"/>
            <w:vAlign w:val="center"/>
          </w:tcPr>
          <w:p w14:paraId="201C2294">
            <w:pPr>
              <w:pStyle w:val="557"/>
            </w:pPr>
            <w:r>
              <w:rPr>
                <w:rFonts w:hint="eastAsia"/>
              </w:rPr>
              <w:t>3000</w:t>
            </w:r>
          </w:p>
        </w:tc>
      </w:tr>
      <w:tr w14:paraId="1104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7EBFDB07">
            <w:pPr>
              <w:pStyle w:val="557"/>
            </w:pPr>
            <w:r>
              <w:rPr>
                <w:rFonts w:hint="eastAsia"/>
              </w:rPr>
              <w:t>V</w:t>
            </w:r>
            <w:r>
              <w:rPr>
                <w:rFonts w:hint="eastAsia"/>
                <w:vertAlign w:val="subscript"/>
              </w:rPr>
              <w:t>2</w:t>
            </w:r>
          </w:p>
        </w:tc>
        <w:tc>
          <w:tcPr>
            <w:tcW w:w="3400" w:type="pct"/>
            <w:vAlign w:val="center"/>
          </w:tcPr>
          <w:p w14:paraId="21428AF7">
            <w:pPr>
              <w:pStyle w:val="557"/>
            </w:pPr>
            <w:r>
              <w:rPr>
                <w:rFonts w:hint="eastAsia"/>
              </w:rPr>
              <w:t>根据《煤化工工程设计防火标准》（GB</w:t>
            </w:r>
            <w:r>
              <w:t>51428</w:t>
            </w:r>
            <w:r>
              <w:rPr>
                <w:rFonts w:hint="eastAsia"/>
              </w:rPr>
              <w:t>-2</w:t>
            </w:r>
            <w:r>
              <w:t>021</w:t>
            </w:r>
            <w:r>
              <w:rPr>
                <w:rFonts w:hint="eastAsia"/>
              </w:rPr>
              <w:t>）的相关规定，属于中型煤化工厂，按同一时间2处火灾考虑，</w:t>
            </w:r>
            <w:r>
              <w:t>装置、罐区最大用水量发生在气化装置区为</w:t>
            </w:r>
            <w:r>
              <w:rPr>
                <w:rFonts w:hint="eastAsia"/>
              </w:rPr>
              <w:t>300L/s</w:t>
            </w:r>
            <w:r>
              <w:t>，火灾延续时间不小于3h，液氨罐区为</w:t>
            </w:r>
            <w:r>
              <w:rPr>
                <w:rFonts w:hint="eastAsia"/>
              </w:rPr>
              <w:t>220L/s</w:t>
            </w:r>
            <w:r>
              <w:t>，火灾延续时间不小于6h，公辅最大用水量发生在空分装置，为</w:t>
            </w:r>
            <w:r>
              <w:rPr>
                <w:rFonts w:hint="eastAsia"/>
              </w:rPr>
              <w:t>120L/s</w:t>
            </w:r>
            <w:r>
              <w:t>，火灾延续时间不小于3h</w:t>
            </w:r>
            <w:r>
              <w:rPr>
                <w:rFonts w:hint="eastAsia"/>
              </w:rPr>
              <w:t>；消防水用量为5616m</w:t>
            </w:r>
            <w:r>
              <w:rPr>
                <w:rFonts w:hint="eastAsia"/>
                <w:vertAlign w:val="superscript"/>
              </w:rPr>
              <w:t>3</w:t>
            </w:r>
          </w:p>
        </w:tc>
        <w:tc>
          <w:tcPr>
            <w:tcW w:w="994" w:type="pct"/>
            <w:vAlign w:val="center"/>
          </w:tcPr>
          <w:p w14:paraId="10D9DD1B">
            <w:pPr>
              <w:pStyle w:val="557"/>
            </w:pPr>
            <w:r>
              <w:rPr>
                <w:rFonts w:hint="eastAsia"/>
              </w:rPr>
              <w:t>5616</w:t>
            </w:r>
          </w:p>
        </w:tc>
      </w:tr>
      <w:tr w14:paraId="3E58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6414BACD">
            <w:pPr>
              <w:pStyle w:val="557"/>
            </w:pPr>
            <w:r>
              <w:rPr>
                <w:rFonts w:hint="eastAsia"/>
              </w:rPr>
              <w:t>V</w:t>
            </w:r>
            <w:r>
              <w:rPr>
                <w:rFonts w:hint="eastAsia"/>
                <w:vertAlign w:val="subscript"/>
              </w:rPr>
              <w:t>3</w:t>
            </w:r>
          </w:p>
        </w:tc>
        <w:tc>
          <w:tcPr>
            <w:tcW w:w="3400" w:type="pct"/>
            <w:vAlign w:val="center"/>
          </w:tcPr>
          <w:p w14:paraId="0A4F2C2F">
            <w:pPr>
              <w:pStyle w:val="557"/>
            </w:pPr>
            <w:r>
              <w:t>罐区</w:t>
            </w:r>
            <w:r>
              <w:rPr>
                <w:rFonts w:hint="eastAsia"/>
              </w:rPr>
              <w:t>防火堤的有效容积</w:t>
            </w:r>
          </w:p>
        </w:tc>
        <w:tc>
          <w:tcPr>
            <w:tcW w:w="994" w:type="pct"/>
            <w:vAlign w:val="center"/>
          </w:tcPr>
          <w:p w14:paraId="1A5EB528">
            <w:pPr>
              <w:pStyle w:val="557"/>
            </w:pPr>
            <w:r>
              <w:rPr>
                <w:rFonts w:hint="eastAsia"/>
              </w:rPr>
              <w:t>3000</w:t>
            </w:r>
          </w:p>
        </w:tc>
      </w:tr>
      <w:tr w14:paraId="1421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66545673">
            <w:pPr>
              <w:pStyle w:val="557"/>
            </w:pPr>
            <w:r>
              <w:rPr>
                <w:rFonts w:hint="eastAsia"/>
              </w:rPr>
              <w:t>V</w:t>
            </w:r>
            <w:r>
              <w:rPr>
                <w:rFonts w:hint="eastAsia"/>
                <w:vertAlign w:val="subscript"/>
              </w:rPr>
              <w:t>4</w:t>
            </w:r>
          </w:p>
        </w:tc>
        <w:tc>
          <w:tcPr>
            <w:tcW w:w="3400" w:type="pct"/>
            <w:vAlign w:val="center"/>
          </w:tcPr>
          <w:p w14:paraId="4C8579C1">
            <w:pPr>
              <w:pStyle w:val="557"/>
            </w:pPr>
            <w:r>
              <w:rPr>
                <w:rFonts w:hint="eastAsia"/>
              </w:rPr>
              <w:t>本项目生产废水进入专门的生产污水系统，不进入事故水收集系统。</w:t>
            </w:r>
          </w:p>
        </w:tc>
        <w:tc>
          <w:tcPr>
            <w:tcW w:w="994" w:type="pct"/>
            <w:vAlign w:val="center"/>
          </w:tcPr>
          <w:p w14:paraId="379CC43F">
            <w:pPr>
              <w:pStyle w:val="557"/>
            </w:pPr>
            <w:r>
              <w:rPr>
                <w:rFonts w:hint="eastAsia"/>
              </w:rPr>
              <w:t>0</w:t>
            </w:r>
          </w:p>
        </w:tc>
      </w:tr>
      <w:tr w14:paraId="0A20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6010C4E4">
            <w:pPr>
              <w:pStyle w:val="557"/>
            </w:pPr>
            <w:r>
              <w:rPr>
                <w:rFonts w:hint="eastAsia"/>
              </w:rPr>
              <w:t>V</w:t>
            </w:r>
            <w:r>
              <w:rPr>
                <w:rFonts w:hint="eastAsia"/>
                <w:vertAlign w:val="subscript"/>
              </w:rPr>
              <w:t>5</w:t>
            </w:r>
          </w:p>
        </w:tc>
        <w:tc>
          <w:tcPr>
            <w:tcW w:w="3400" w:type="pct"/>
            <w:vAlign w:val="center"/>
          </w:tcPr>
          <w:p w14:paraId="7E5E5B81">
            <w:pPr>
              <w:pStyle w:val="557"/>
            </w:pPr>
            <w:r>
              <w:rPr>
                <w:rFonts w:hint="eastAsia"/>
              </w:rPr>
              <w:t>平均日降雨量</w:t>
            </w:r>
            <w:r>
              <w:t>q=0.</w:t>
            </w:r>
            <w:r>
              <w:rPr>
                <w:rFonts w:hint="eastAsia"/>
              </w:rPr>
              <w:t>97</w:t>
            </w:r>
            <w:r>
              <w:t>mm</w:t>
            </w:r>
            <w:r>
              <w:rPr>
                <w:rFonts w:hint="eastAsia"/>
              </w:rPr>
              <w:t>；必须进入事故废水收集系统的雨水汇水面积</w:t>
            </w:r>
            <w:r>
              <w:t>F=</w:t>
            </w:r>
            <w:r>
              <w:rPr>
                <w:rFonts w:hint="eastAsia"/>
              </w:rPr>
              <w:t>51.024</w:t>
            </w:r>
            <w:r>
              <w:t>hm</w:t>
            </w:r>
            <w:r>
              <w:rPr>
                <w:vertAlign w:val="superscript"/>
              </w:rPr>
              <w:t>2</w:t>
            </w:r>
            <w:r>
              <w:rPr>
                <w:rFonts w:hint="eastAsia"/>
              </w:rPr>
              <w:t>；发生消防事故时可能进入该收集系统的降雨量</w:t>
            </w:r>
            <w:r>
              <w:t>V</w:t>
            </w:r>
            <w:r>
              <w:rPr>
                <w:vertAlign w:val="subscript"/>
              </w:rPr>
              <w:t>5</w:t>
            </w:r>
            <w:r>
              <w:t>=10×q×F=</w:t>
            </w:r>
            <w:r>
              <w:rPr>
                <w:rFonts w:hint="eastAsia"/>
              </w:rPr>
              <w:t>494.9</w:t>
            </w:r>
            <w:r>
              <w:t>m</w:t>
            </w:r>
            <w:r>
              <w:rPr>
                <w:rFonts w:hint="eastAsia"/>
                <w:vertAlign w:val="superscript"/>
              </w:rPr>
              <w:t>3</w:t>
            </w:r>
          </w:p>
        </w:tc>
        <w:tc>
          <w:tcPr>
            <w:tcW w:w="994" w:type="pct"/>
            <w:vAlign w:val="center"/>
          </w:tcPr>
          <w:p w14:paraId="04E96DA9">
            <w:pPr>
              <w:pStyle w:val="557"/>
            </w:pPr>
            <w:r>
              <w:rPr>
                <w:rFonts w:hint="eastAsia"/>
              </w:rPr>
              <w:t>494.9</w:t>
            </w:r>
          </w:p>
        </w:tc>
      </w:tr>
      <w:tr w14:paraId="5D3A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20DB7D19">
            <w:pPr>
              <w:pStyle w:val="557"/>
            </w:pPr>
            <w:r>
              <w:rPr>
                <w:rFonts w:hint="eastAsia"/>
              </w:rPr>
              <w:t>V</w:t>
            </w:r>
          </w:p>
        </w:tc>
        <w:tc>
          <w:tcPr>
            <w:tcW w:w="3400" w:type="pct"/>
            <w:vAlign w:val="center"/>
          </w:tcPr>
          <w:p w14:paraId="1F5AFBC7">
            <w:pPr>
              <w:pStyle w:val="557"/>
            </w:pPr>
            <w:r>
              <w:rPr>
                <w:rFonts w:hint="eastAsia"/>
              </w:rPr>
              <w:t>（V</w:t>
            </w:r>
            <w:r>
              <w:rPr>
                <w:rFonts w:hint="eastAsia"/>
                <w:vertAlign w:val="subscript"/>
              </w:rPr>
              <w:t>l</w:t>
            </w:r>
            <w:r>
              <w:rPr>
                <w:rFonts w:hint="eastAsia"/>
              </w:rPr>
              <w:t>+V</w:t>
            </w:r>
            <w:r>
              <w:rPr>
                <w:rFonts w:hint="eastAsia"/>
                <w:vertAlign w:val="subscript"/>
              </w:rPr>
              <w:t>2</w:t>
            </w:r>
            <w:r>
              <w:rPr>
                <w:rFonts w:hint="eastAsia"/>
              </w:rPr>
              <w:t>－V</w:t>
            </w:r>
            <w:r>
              <w:rPr>
                <w:rFonts w:hint="eastAsia"/>
                <w:vertAlign w:val="subscript"/>
              </w:rPr>
              <w:t>3</w:t>
            </w:r>
            <w:r>
              <w:rPr>
                <w:rFonts w:hint="eastAsia"/>
              </w:rPr>
              <w:t>）max+V</w:t>
            </w:r>
            <w:r>
              <w:rPr>
                <w:rFonts w:hint="eastAsia"/>
                <w:vertAlign w:val="subscript"/>
              </w:rPr>
              <w:t>4</w:t>
            </w:r>
            <w:r>
              <w:rPr>
                <w:rFonts w:hint="eastAsia"/>
              </w:rPr>
              <w:t>+V</w:t>
            </w:r>
            <w:r>
              <w:rPr>
                <w:rFonts w:hint="eastAsia"/>
                <w:vertAlign w:val="subscript"/>
              </w:rPr>
              <w:t>5</w:t>
            </w:r>
          </w:p>
        </w:tc>
        <w:tc>
          <w:tcPr>
            <w:tcW w:w="994" w:type="pct"/>
            <w:vAlign w:val="center"/>
          </w:tcPr>
          <w:p w14:paraId="0079D704">
            <w:pPr>
              <w:pStyle w:val="557"/>
            </w:pPr>
            <w:r>
              <w:rPr>
                <w:rFonts w:hint="eastAsia"/>
              </w:rPr>
              <w:t>6110.9</w:t>
            </w:r>
          </w:p>
        </w:tc>
      </w:tr>
      <w:tr w14:paraId="3851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5" w:type="pct"/>
            <w:vAlign w:val="center"/>
          </w:tcPr>
          <w:p w14:paraId="2386F496">
            <w:pPr>
              <w:pStyle w:val="557"/>
            </w:pPr>
            <w:r>
              <w:rPr>
                <w:rFonts w:hint="eastAsia"/>
              </w:rPr>
              <w:t>V</w:t>
            </w:r>
            <w:r>
              <w:rPr>
                <w:rFonts w:hint="eastAsia"/>
                <w:vertAlign w:val="subscript"/>
              </w:rPr>
              <w:t>事故水池</w:t>
            </w:r>
          </w:p>
        </w:tc>
        <w:tc>
          <w:tcPr>
            <w:tcW w:w="3400" w:type="pct"/>
            <w:vAlign w:val="center"/>
          </w:tcPr>
          <w:p w14:paraId="0B61E394">
            <w:pPr>
              <w:pStyle w:val="557"/>
            </w:pPr>
            <w:r>
              <w:rPr>
                <w:rFonts w:hint="eastAsia"/>
              </w:rPr>
              <w:t>本项目事故水池有效容积</w:t>
            </w:r>
          </w:p>
        </w:tc>
        <w:tc>
          <w:tcPr>
            <w:tcW w:w="994" w:type="pct"/>
            <w:vAlign w:val="center"/>
          </w:tcPr>
          <w:p w14:paraId="45646A60">
            <w:pPr>
              <w:pStyle w:val="557"/>
            </w:pPr>
            <w:r>
              <w:rPr>
                <w:rFonts w:hint="eastAsia"/>
              </w:rPr>
              <w:t>8000</w:t>
            </w:r>
          </w:p>
        </w:tc>
      </w:tr>
    </w:tbl>
    <w:p w14:paraId="3195B518">
      <w:pPr>
        <w:pStyle w:val="281"/>
        <w:ind w:firstLine="480"/>
      </w:pPr>
      <w:r>
        <w:rPr>
          <w:rFonts w:hint="eastAsia"/>
        </w:rPr>
        <w:t>由以上核算过程可知，本项目事故废水最大产生量约为6110.9m</w:t>
      </w:r>
      <w:r>
        <w:rPr>
          <w:rFonts w:hint="eastAsia"/>
          <w:vertAlign w:val="superscript"/>
        </w:rPr>
        <w:t>3</w:t>
      </w:r>
      <w:r>
        <w:rPr>
          <w:rFonts w:hint="eastAsia"/>
        </w:rPr>
        <w:t>，拟建有效容积8000m</w:t>
      </w:r>
      <w:r>
        <w:rPr>
          <w:rFonts w:hint="eastAsia"/>
          <w:vertAlign w:val="superscript"/>
        </w:rPr>
        <w:t>3</w:t>
      </w:r>
      <w:r>
        <w:rPr>
          <w:rFonts w:hint="eastAsia"/>
        </w:rPr>
        <w:t>事故水池，可满足多点火灾情况下废水收集需要，可保证全厂事故情况下消防废水全部收集。本项目消防事故水池在非事故状态下不得占用。</w:t>
      </w:r>
    </w:p>
    <w:bookmarkEnd w:id="521"/>
    <w:p w14:paraId="575135E1">
      <w:pPr>
        <w:pStyle w:val="281"/>
        <w:ind w:firstLine="480"/>
      </w:pPr>
      <w:r>
        <w:rPr>
          <w:rFonts w:hint="eastAsia"/>
        </w:rPr>
        <w:t>（2）消防事故水池设置情况</w:t>
      </w:r>
    </w:p>
    <w:p w14:paraId="618CE29C">
      <w:pPr>
        <w:pStyle w:val="281"/>
        <w:ind w:firstLine="480"/>
      </w:pPr>
      <w:r>
        <w:rPr>
          <w:rFonts w:hint="eastAsia"/>
        </w:rPr>
        <w:t>当发生较大事故时，产生的事故排水超出污染雨水池存储能力时，这些排水经污染雨水收集池收集后，通过雨水系统末端的切换设施进入消防事故水池，然后由污水提升泵提升后送污水处理站处理。</w:t>
      </w:r>
    </w:p>
    <w:p w14:paraId="74DE6DC2">
      <w:pPr>
        <w:pStyle w:val="951"/>
      </w:pPr>
      <w:r>
        <w:rPr>
          <w:rFonts w:hint="eastAsia"/>
        </w:rPr>
        <w:t>园区级防控措施</w:t>
      </w:r>
    </w:p>
    <w:p w14:paraId="1425ABAF">
      <w:pPr>
        <w:pStyle w:val="264"/>
        <w:spacing w:line="360" w:lineRule="auto"/>
        <w:ind w:firstLine="480"/>
        <w:jc w:val="both"/>
        <w:rPr>
          <w:rFonts w:eastAsiaTheme="minorEastAsia"/>
        </w:rPr>
      </w:pPr>
      <w:bookmarkStart w:id="524" w:name="_Hlk193122387"/>
      <w:bookmarkStart w:id="525" w:name="_Hlk193111255"/>
      <w:r>
        <w:rPr>
          <w:rFonts w:hint="eastAsia" w:ascii="宋体" w:hAnsi="宋体" w:eastAsia="宋体"/>
          <w:szCs w:val="21"/>
        </w:rPr>
        <w:t>在极端情况下，当所发生的突发环境事件超出企业防控能力，产生的事故废水超过消防事故水池存储能力时，为确保事故废水不外流出园区，避免对园区外水环境造成污染</w:t>
      </w:r>
      <w:r>
        <w:rPr>
          <w:rFonts w:hint="eastAsia" w:ascii="Times New Roman" w:hAnsi="Times New Roman" w:eastAsia="宋体"/>
          <w:lang w:val="zh-CN"/>
        </w:rPr>
        <w:t>。目前，园区事故应急池正在筹备</w:t>
      </w:r>
      <w:r>
        <w:rPr>
          <w:rFonts w:ascii="Times New Roman" w:hAnsi="Times New Roman" w:eastAsia="宋体"/>
          <w:lang w:val="zh-CN"/>
        </w:rPr>
        <w:t>。</w:t>
      </w:r>
      <w:r>
        <w:rPr>
          <w:rFonts w:hint="eastAsia" w:ascii="宋体" w:hAnsi="宋体" w:eastAsia="宋体"/>
        </w:rPr>
        <w:t>在园区内设立</w:t>
      </w:r>
      <w:r>
        <w:rPr>
          <w:rFonts w:cs="Calibri"/>
        </w:rPr>
        <w:t>“</w:t>
      </w:r>
      <w:r>
        <w:rPr>
          <w:rFonts w:hint="eastAsia" w:ascii="宋体" w:hAnsi="宋体" w:eastAsia="宋体"/>
        </w:rPr>
        <w:t>装置</w:t>
      </w:r>
      <w:r>
        <w:rPr>
          <w:rFonts w:cs="Calibri"/>
        </w:rPr>
        <w:t>—</w:t>
      </w:r>
      <w:r>
        <w:rPr>
          <w:rFonts w:hint="eastAsia" w:ascii="宋体" w:hAnsi="宋体" w:eastAsia="宋体"/>
        </w:rPr>
        <w:t>企业</w:t>
      </w:r>
      <w:r>
        <w:rPr>
          <w:rFonts w:cs="Calibri"/>
        </w:rPr>
        <w:t>—</w:t>
      </w:r>
      <w:r>
        <w:rPr>
          <w:rFonts w:hint="eastAsia" w:ascii="宋体" w:hAnsi="宋体" w:eastAsia="宋体"/>
        </w:rPr>
        <w:t>园区</w:t>
      </w:r>
      <w:r>
        <w:rPr>
          <w:rFonts w:cs="Calibri"/>
        </w:rPr>
        <w:t>”</w:t>
      </w:r>
      <w:r>
        <w:rPr>
          <w:rFonts w:hint="eastAsia" w:ascii="宋体" w:hAnsi="宋体" w:eastAsia="宋体"/>
        </w:rPr>
        <w:t>的三级防控体系，</w:t>
      </w:r>
      <w:r>
        <w:rPr>
          <w:rFonts w:hint="eastAsia" w:ascii="Times New Roman" w:hAnsi="Times New Roman" w:eastAsia="宋体"/>
          <w:lang w:val="zh-CN"/>
        </w:rPr>
        <w:t>突发环境事件时，园区应将事故水送至园区事故应急储存设施。事故应急池配套设置事故水提升泵，将收集后的事故水提升送至污水处理厂进行处理。事故应急池设置水位监测设施，并与进、出口阀门进行联动。</w:t>
      </w:r>
    </w:p>
    <w:bookmarkEnd w:id="524"/>
    <w:p w14:paraId="043803F6">
      <w:pPr>
        <w:pStyle w:val="281"/>
        <w:ind w:firstLine="480"/>
      </w:pPr>
      <w:r>
        <w:rPr>
          <w:rFonts w:hint="eastAsia"/>
        </w:rPr>
        <w:t>综上所述，本项目通过建立</w:t>
      </w:r>
      <w:r>
        <w:t>“</w:t>
      </w:r>
      <w:r>
        <w:rPr>
          <w:rFonts w:hint="eastAsia"/>
        </w:rPr>
        <w:t>单元-厂区-园区</w:t>
      </w:r>
      <w:r>
        <w:t>”</w:t>
      </w:r>
      <w:r>
        <w:rPr>
          <w:rFonts w:hint="eastAsia"/>
        </w:rPr>
        <w:t>事故废水防控体系，可保证在发生突发环境事件时，事故废水不外流出园区，最大程度地降低园区外水环境受到污染的风险。</w:t>
      </w:r>
    </w:p>
    <w:bookmarkEnd w:id="522"/>
    <w:bookmarkEnd w:id="525"/>
    <w:p w14:paraId="73FCAE5C">
      <w:pPr>
        <w:pStyle w:val="98"/>
        <w:rPr>
          <w:rFonts w:hint="eastAsia"/>
          <w:color w:val="auto"/>
        </w:rPr>
      </w:pPr>
      <w:r>
        <w:rPr>
          <w:rFonts w:hint="eastAsia"/>
          <w:color w:val="auto"/>
        </w:rPr>
        <w:t>地下水风险防范措施</w:t>
      </w:r>
    </w:p>
    <w:p w14:paraId="3FB9EFE4">
      <w:pPr>
        <w:pStyle w:val="281"/>
        <w:ind w:firstLine="480"/>
        <w:rPr>
          <w:rFonts w:hint="eastAsia" w:ascii="宋体" w:hAnsi="宋体"/>
        </w:rPr>
      </w:pPr>
      <w:r>
        <w:rPr>
          <w:rFonts w:hint="eastAsia" w:ascii="宋体" w:hAnsi="宋体"/>
        </w:rPr>
        <w:t>针对事故状态下的泄漏物料和消防事故废水，拟建项目通过设置三级防控措施控制，并制定了覆盖厂内、厂外的地下水监控体系。</w:t>
      </w:r>
    </w:p>
    <w:p w14:paraId="5B34CA07">
      <w:pPr>
        <w:overflowPunct w:val="0"/>
        <w:spacing w:line="360" w:lineRule="auto"/>
        <w:ind w:firstLine="480" w:firstLineChars="200"/>
        <w:rPr>
          <w:rFonts w:hint="eastAsia"/>
        </w:rPr>
      </w:pPr>
      <w:r>
        <w:rPr>
          <w:rFonts w:hint="eastAsia"/>
        </w:rPr>
        <w:t>本项目变电站内</w:t>
      </w:r>
      <w:r>
        <w:rPr>
          <w:rFonts w:ascii="Times New Roman" w:hAnsi="Times New Roman" w:cs="Times New Roman"/>
        </w:rPr>
        <w:t>设计变压器事故贮油池1座，可使变压器在发生事故时，壳体内的油排入事故贮油池，防止变压器油随意乱排造成对环境的污染</w:t>
      </w:r>
      <w:r>
        <w:rPr>
          <w:rFonts w:hint="eastAsia" w:ascii="Times New Roman" w:hAnsi="Times New Roman" w:cs="Times New Roman"/>
        </w:rPr>
        <w:t>。</w:t>
      </w:r>
    </w:p>
    <w:p w14:paraId="13376455">
      <w:pPr>
        <w:pStyle w:val="281"/>
        <w:ind w:firstLine="480"/>
      </w:pPr>
      <w:r>
        <w:rPr>
          <w:rFonts w:hint="eastAsia" w:ascii="宋体" w:hAnsi="宋体"/>
        </w:rPr>
        <w:t>拟建项目进行污染区划分，在污染区域设置</w:t>
      </w:r>
      <w:r>
        <w:rPr>
          <w:rFonts w:hint="eastAsia"/>
        </w:rPr>
        <w:t>15</w:t>
      </w:r>
      <w:r>
        <w:t>0mm</w:t>
      </w:r>
      <w:r>
        <w:rPr>
          <w:rFonts w:hint="eastAsia" w:ascii="宋体" w:hAnsi="宋体"/>
        </w:rPr>
        <w:t>高</w:t>
      </w:r>
      <w:r>
        <w:rPr>
          <w:rFonts w:cs="Times New Roman"/>
        </w:rPr>
        <w:t>围堰或1.0m防</w:t>
      </w:r>
      <w:r>
        <w:rPr>
          <w:rFonts w:hint="eastAsia" w:ascii="宋体" w:hAnsi="宋体"/>
        </w:rPr>
        <w:t>火堤作为一级防控措施，收集全厂各生产装置污染区事故状态时的泄漏物料和消防事故废水，最终汇入事故缓冲池；根据设计方案，拟项目设置</w:t>
      </w:r>
      <w:r>
        <w:rPr>
          <w:rFonts w:hint="eastAsia"/>
        </w:rPr>
        <w:t>1</w:t>
      </w:r>
      <w:r>
        <w:rPr>
          <w:rFonts w:hint="eastAsia" w:ascii="宋体" w:hAnsi="宋体"/>
        </w:rPr>
        <w:t>座事故池作为三级防控措施，用以收集无法利用装置围堰、罐区围堰控制的物料和被污染的废水，设计容量可以满足消防事故时的消防事故水量和雨水量。根据上述分析可知，针对事故状态下的泄漏物料和消防事故废水，拟建项目通过防控措施能够确保事故状态下泄漏物料和消防事故废水不出厂区。</w:t>
      </w:r>
    </w:p>
    <w:p w14:paraId="4F10D909">
      <w:pPr>
        <w:pStyle w:val="281"/>
        <w:ind w:firstLine="480"/>
      </w:pPr>
      <w:r>
        <w:rPr>
          <w:rFonts w:hint="eastAsia" w:ascii="宋体" w:hAnsi="宋体"/>
        </w:rPr>
        <w:t>为了及时准确掌握厂址及下游地区地下水环境质量状况和事故状态下地下水体中污染物的动态变化，拟项目在厂区及上下游布设有地下水水质监测井；并制定正常生产时场地和保护目标地下水跟踪监测计划，以重点风险源下游布点为主，其中跟踪监测点具有污染控制警戒功能。</w:t>
      </w:r>
    </w:p>
    <w:p w14:paraId="54630509">
      <w:pPr>
        <w:pStyle w:val="281"/>
        <w:ind w:firstLine="480"/>
      </w:pPr>
      <w:r>
        <w:rPr>
          <w:rFonts w:hint="eastAsia" w:ascii="宋体" w:hAnsi="宋体"/>
        </w:rPr>
        <w:t>通过以上分析可知，拟建项目事故状态下泄漏物料和消防事故废水不出厂，通过覆盖厂内、厂外的地下水监控体系掌握可能发生的地下水污染状况做到及时反映和应对。</w:t>
      </w:r>
    </w:p>
    <w:p w14:paraId="75C51125">
      <w:pPr>
        <w:pStyle w:val="98"/>
        <w:rPr>
          <w:rFonts w:hint="eastAsia"/>
          <w:color w:val="auto"/>
        </w:rPr>
      </w:pPr>
      <w:r>
        <w:rPr>
          <w:color w:val="auto"/>
        </w:rPr>
        <w:t>土壤</w:t>
      </w:r>
      <w:r>
        <w:rPr>
          <w:rFonts w:hint="eastAsia"/>
          <w:color w:val="auto"/>
        </w:rPr>
        <w:t>污染环境风险防范</w:t>
      </w:r>
      <w:r>
        <w:rPr>
          <w:color w:val="auto"/>
        </w:rPr>
        <w:t>措施</w:t>
      </w:r>
    </w:p>
    <w:p w14:paraId="242FA158">
      <w:pPr>
        <w:pStyle w:val="281"/>
        <w:ind w:firstLine="480"/>
      </w:pPr>
      <w:r>
        <w:rPr>
          <w:rFonts w:hint="eastAsia" w:ascii="宋体" w:hAnsi="宋体"/>
        </w:rPr>
        <w:t>拟建项目对土壤环境的风险主要是化学品储罐或者管线发生泄漏事故对土壤造成的影响。应采取以下防范措施主要有：</w:t>
      </w:r>
    </w:p>
    <w:p w14:paraId="524D6BD5">
      <w:pPr>
        <w:overflowPunct w:val="0"/>
        <w:spacing w:line="360" w:lineRule="auto"/>
        <w:ind w:firstLine="480" w:firstLineChars="200"/>
        <w:rPr>
          <w:rFonts w:hint="eastAsia"/>
        </w:rPr>
      </w:pPr>
      <w:r>
        <w:rPr>
          <w:rFonts w:hint="eastAsia"/>
        </w:rPr>
        <w:t>对泄漏物料进行收集回用；应利用围堤收容，然后包括用沙土、砾石或其他惰性材料吸收，然后收集、转移、回收或无害化处理后废弃；</w:t>
      </w:r>
    </w:p>
    <w:p w14:paraId="7F2EB36D">
      <w:pPr>
        <w:pStyle w:val="281"/>
        <w:ind w:firstLine="480"/>
      </w:pPr>
      <w:r>
        <w:rPr>
          <w:rFonts w:hint="eastAsia" w:ascii="宋体" w:hAnsi="宋体"/>
        </w:rPr>
        <w:t>对污染土壤进行生物修复和绿化处理，及时修复受污染的土壤的植被和生态环境功能。</w:t>
      </w:r>
    </w:p>
    <w:p w14:paraId="3DA64FC3">
      <w:pPr>
        <w:pStyle w:val="98"/>
        <w:rPr>
          <w:rFonts w:hint="eastAsia"/>
          <w:color w:val="auto"/>
        </w:rPr>
      </w:pPr>
      <w:r>
        <w:rPr>
          <w:rFonts w:hint="eastAsia"/>
          <w:color w:val="auto"/>
        </w:rPr>
        <w:t>事故伴生/次生污染物环境污染防范措施</w:t>
      </w:r>
    </w:p>
    <w:p w14:paraId="304ECCB9">
      <w:pPr>
        <w:pStyle w:val="281"/>
        <w:ind w:firstLine="480"/>
      </w:pPr>
      <w:r>
        <w:rPr>
          <w:rFonts w:hint="eastAsia" w:ascii="宋体" w:hAnsi="宋体"/>
        </w:rPr>
        <w:t>当发生事故时往往会同时产生伴生</w:t>
      </w:r>
      <w:r>
        <w:rPr>
          <w:rFonts w:hint="eastAsia"/>
        </w:rPr>
        <w:t>/</w:t>
      </w:r>
      <w:r>
        <w:rPr>
          <w:rFonts w:hint="eastAsia" w:ascii="宋体" w:hAnsi="宋体"/>
        </w:rPr>
        <w:t>次生污染物，这些污染物可能通过大气、水排放系统进入环境。发生事故时，要针对所产生的伴生</w:t>
      </w:r>
      <w:r>
        <w:rPr>
          <w:rFonts w:hint="eastAsia"/>
        </w:rPr>
        <w:t>/</w:t>
      </w:r>
      <w:r>
        <w:rPr>
          <w:rFonts w:hint="eastAsia" w:ascii="宋体" w:hAnsi="宋体"/>
        </w:rPr>
        <w:t>次生污染物选用不同的消除方法。</w:t>
      </w:r>
    </w:p>
    <w:p w14:paraId="5A10A9BA">
      <w:pPr>
        <w:pStyle w:val="281"/>
        <w:ind w:firstLine="480"/>
      </w:pPr>
      <w:r>
        <w:rPr>
          <w:rFonts w:hint="eastAsia" w:ascii="宋体" w:hAnsi="宋体"/>
        </w:rPr>
        <w:t>（</w:t>
      </w:r>
      <w:r>
        <w:rPr>
          <w:rFonts w:hint="eastAsia"/>
        </w:rPr>
        <w:t>1</w:t>
      </w:r>
      <w:r>
        <w:rPr>
          <w:rFonts w:hint="eastAsia" w:ascii="宋体" w:hAnsi="宋体"/>
        </w:rPr>
        <w:t>）装置区、罐区发生泄漏或火灾事故，有消防废水产生。将消防废水引入事故池。根据废水中物料性质，采取预处理或回收利用的方式。若浓度高，用泵等收集设施进行回收；若浓度低，分批送污水处理站处理达标后排放。泡沫覆盖物收集运至废物处理场所处置。严禁消防水将物料带入受纳水体。</w:t>
      </w:r>
    </w:p>
    <w:p w14:paraId="4C4C1A37">
      <w:pPr>
        <w:pStyle w:val="281"/>
        <w:ind w:firstLine="480"/>
      </w:pPr>
      <w:r>
        <w:rPr>
          <w:rFonts w:hint="eastAsia" w:ascii="宋体" w:hAnsi="宋体"/>
        </w:rPr>
        <w:t>（</w:t>
      </w:r>
      <w:r>
        <w:rPr>
          <w:rFonts w:hint="eastAsia"/>
        </w:rPr>
        <w:t>2</w:t>
      </w:r>
      <w:r>
        <w:rPr>
          <w:rFonts w:hint="eastAsia" w:ascii="宋体" w:hAnsi="宋体"/>
        </w:rPr>
        <w:t>）公路运输发生泄漏，事故处理中，区域内土壤将受到污染，有被污染的处置材料（如砂土等）及消防废水产生。将刮取受污染的表土及被污染的处置材料（如砂土）委托具有资质的危险废物处置单位对其处理。消防废水用罐车送至附近城市污水处理厂处理达标后排放。</w:t>
      </w:r>
    </w:p>
    <w:p w14:paraId="1E967B10">
      <w:pPr>
        <w:pStyle w:val="98"/>
        <w:rPr>
          <w:rFonts w:hint="eastAsia"/>
          <w:color w:val="auto"/>
        </w:rPr>
      </w:pPr>
      <w:r>
        <w:rPr>
          <w:rFonts w:hint="eastAsia"/>
          <w:color w:val="auto"/>
        </w:rPr>
        <w:t>危险物质监控措施</w:t>
      </w:r>
    </w:p>
    <w:p w14:paraId="0DFBC871">
      <w:pPr>
        <w:pStyle w:val="281"/>
        <w:ind w:firstLine="480"/>
      </w:pPr>
      <w:r>
        <w:rPr>
          <w:rFonts w:hint="eastAsia" w:ascii="宋体" w:hAnsi="宋体"/>
        </w:rPr>
        <w:t>（</w:t>
      </w:r>
      <w:r>
        <w:t>1</w:t>
      </w:r>
      <w:r>
        <w:rPr>
          <w:rFonts w:hint="eastAsia" w:ascii="宋体" w:hAnsi="宋体"/>
        </w:rPr>
        <w:t>）硫化氢</w:t>
      </w:r>
    </w:p>
    <w:p w14:paraId="0F45504D">
      <w:pPr>
        <w:pStyle w:val="281"/>
        <w:ind w:firstLine="480"/>
      </w:pPr>
      <w:r>
        <w:rPr>
          <w:rFonts w:hint="eastAsia" w:ascii="宋体" w:hAnsi="宋体"/>
        </w:rPr>
        <w:t>硫化氢气体在硫回收装置转化为硫酸，整个处理过程全部密闭进行，装置工作环境中的硫化氢气体浓度低于</w:t>
      </w:r>
      <w:r>
        <w:t>10mg/m</w:t>
      </w:r>
      <w:r>
        <w:rPr>
          <w:vertAlign w:val="superscript"/>
        </w:rPr>
        <w:t>3</w:t>
      </w:r>
      <w:r>
        <w:rPr>
          <w:rFonts w:hint="eastAsia" w:ascii="宋体" w:hAnsi="宋体"/>
        </w:rPr>
        <w:t>。为防止硫化氢气体泄漏，除采取必要的密封措施外，在可能有硫化氢泄漏的设备附近设硫化氢气体检测仪，硫化氢检测仪的信号同时显示在检测仪和中心控制室内。</w:t>
      </w:r>
    </w:p>
    <w:p w14:paraId="712644C1">
      <w:pPr>
        <w:pStyle w:val="281"/>
        <w:ind w:firstLine="480"/>
        <w:rPr>
          <w:caps/>
        </w:rPr>
      </w:pPr>
      <w:r>
        <w:rPr>
          <w:rFonts w:hint="eastAsia" w:ascii="宋体" w:hAnsi="宋体"/>
        </w:rPr>
        <w:t>在操作工人进入有可能泄漏高浓度硫化氢的区域时，要携带便携式硫化氢检测仪和专用的过滤式防护服，以便发生泄漏事故时工人可安全撤离。此外，在有可能泄漏高浓度硫化氢区域中进行救护及紧急控制操作。所有含硫化氢物料均采用密闭采样。</w:t>
      </w:r>
    </w:p>
    <w:p w14:paraId="64289573">
      <w:pPr>
        <w:pStyle w:val="281"/>
        <w:ind w:firstLine="480"/>
      </w:pPr>
      <w:r>
        <w:rPr>
          <w:rFonts w:hint="eastAsia" w:ascii="宋体" w:hAnsi="宋体"/>
        </w:rPr>
        <w:t>设备检修和事故处理时，操作人员在吹扫后，佩戴防毒用具，并按安全规定进行。</w:t>
      </w:r>
    </w:p>
    <w:p w14:paraId="03FA4801">
      <w:pPr>
        <w:pStyle w:val="281"/>
        <w:ind w:firstLine="480"/>
      </w:pPr>
      <w:r>
        <w:rPr>
          <w:rFonts w:hint="eastAsia" w:ascii="宋体" w:hAnsi="宋体"/>
        </w:rPr>
        <w:t>（</w:t>
      </w:r>
      <w:r>
        <w:t>2</w:t>
      </w:r>
      <w:r>
        <w:rPr>
          <w:rFonts w:hint="eastAsia" w:ascii="宋体" w:hAnsi="宋体"/>
        </w:rPr>
        <w:t>）</w:t>
      </w:r>
      <w:r>
        <w:t>CO</w:t>
      </w:r>
    </w:p>
    <w:p w14:paraId="33A8FF11">
      <w:pPr>
        <w:pStyle w:val="281"/>
        <w:ind w:firstLine="480"/>
        <w:rPr>
          <w:rFonts w:hint="eastAsia" w:ascii="宋体" w:hAnsi="宋体"/>
        </w:rPr>
      </w:pPr>
      <w:r>
        <w:rPr>
          <w:rFonts w:hint="eastAsia" w:ascii="宋体" w:hAnsi="宋体"/>
        </w:rPr>
        <w:t>在装置内可能泄漏粗合成气的危险区域设置可燃气体检测报警器。在管线和设备连接处选用适当垫片，加强密封。</w:t>
      </w:r>
    </w:p>
    <w:p w14:paraId="754E0B8F">
      <w:pPr>
        <w:pStyle w:val="281"/>
        <w:ind w:firstLine="480"/>
      </w:pPr>
      <w:r>
        <w:t>（</w:t>
      </w:r>
      <w:r>
        <w:rPr>
          <w:rFonts w:hint="eastAsia"/>
        </w:rPr>
        <w:t>3</w:t>
      </w:r>
      <w:r>
        <w:t>）甲醇</w:t>
      </w:r>
    </w:p>
    <w:p w14:paraId="4E1E6BBA">
      <w:pPr>
        <w:pStyle w:val="281"/>
        <w:ind w:firstLine="480"/>
      </w:pPr>
      <w:r>
        <w:t>甲醇装置采取密闭措施，使物料始终处于密闭的管道设备中，装置内甲醇采样点设密闭采样系统。</w:t>
      </w:r>
      <w:r>
        <w:rPr>
          <w:rFonts w:hint="eastAsia"/>
        </w:rPr>
        <w:t>本项目设置一座甲醇事故储罐，为</w:t>
      </w:r>
      <w:r>
        <w:t>浮顶罐。</w:t>
      </w:r>
    </w:p>
    <w:p w14:paraId="0017A54D">
      <w:pPr>
        <w:pStyle w:val="281"/>
        <w:ind w:firstLine="480"/>
      </w:pPr>
      <w:r>
        <w:rPr>
          <w:rFonts w:hint="eastAsia" w:ascii="宋体" w:hAnsi="宋体"/>
        </w:rPr>
        <w:t>（</w:t>
      </w:r>
      <w:r>
        <w:rPr>
          <w:rFonts w:hint="eastAsia"/>
        </w:rPr>
        <w:t>4</w:t>
      </w:r>
      <w:r>
        <w:rPr>
          <w:rFonts w:hint="eastAsia" w:ascii="宋体" w:hAnsi="宋体"/>
        </w:rPr>
        <w:t>）氨</w:t>
      </w:r>
    </w:p>
    <w:p w14:paraId="262D2F93">
      <w:pPr>
        <w:pStyle w:val="281"/>
        <w:ind w:firstLine="480"/>
      </w:pPr>
      <w:r>
        <w:rPr>
          <w:rFonts w:hint="eastAsia" w:ascii="宋体" w:hAnsi="宋体"/>
        </w:rPr>
        <w:t>在可能泄漏氨气的危险区域设置检测报警器。在管线和设备连接处选用适当垫片，加强密封。防止有毒物质泄漏。在有毒作业岗位配备防毒面具等劳动防护用品。</w:t>
      </w:r>
    </w:p>
    <w:p w14:paraId="2E86E183">
      <w:pPr>
        <w:pStyle w:val="281"/>
        <w:ind w:firstLine="480"/>
      </w:pPr>
      <w:r>
        <w:rPr>
          <w:rFonts w:hint="eastAsia" w:ascii="宋体" w:hAnsi="宋体"/>
        </w:rPr>
        <w:t>（</w:t>
      </w:r>
      <w:r>
        <w:rPr>
          <w:rFonts w:hint="eastAsia"/>
        </w:rPr>
        <w:t>5</w:t>
      </w:r>
      <w:r>
        <w:rPr>
          <w:rFonts w:hint="eastAsia" w:ascii="宋体" w:hAnsi="宋体"/>
        </w:rPr>
        <w:t>）其他</w:t>
      </w:r>
    </w:p>
    <w:p w14:paraId="07862E2B">
      <w:pPr>
        <w:pStyle w:val="281"/>
        <w:ind w:firstLine="480"/>
        <w:rPr>
          <w:rFonts w:hint="eastAsia" w:ascii="宋体" w:hAnsiTheme="minorHAnsi"/>
        </w:rPr>
      </w:pPr>
      <w:r>
        <w:rPr>
          <w:rFonts w:hint="eastAsia" w:ascii="宋体" w:hAnsi="宋体"/>
        </w:rPr>
        <w:t>设计中优先选用低毒型化学药剂，化学品的使用及存储均采用密闭方式，以减少工人接触的机会。在有可能接触酸、碱及其他有腐蚀性化学品的岗位，配有洗眼器及淋浴器。所有危险岗位均有标志，标明保护设施的使用方法。</w:t>
      </w:r>
    </w:p>
    <w:p w14:paraId="41A5D75A">
      <w:pPr>
        <w:pStyle w:val="98"/>
        <w:rPr>
          <w:rFonts w:hint="eastAsia"/>
          <w:color w:val="auto"/>
        </w:rPr>
      </w:pPr>
      <w:r>
        <w:rPr>
          <w:rFonts w:hint="eastAsia"/>
          <w:color w:val="auto"/>
        </w:rPr>
        <w:t>风险事故处理措施</w:t>
      </w:r>
    </w:p>
    <w:p w14:paraId="12436639">
      <w:pPr>
        <w:pStyle w:val="281"/>
        <w:ind w:firstLine="480"/>
      </w:pPr>
      <w:r>
        <w:rPr>
          <w:rFonts w:hint="eastAsia" w:ascii="宋体" w:hAnsi="宋体"/>
        </w:rPr>
        <w:t>为了有效地处理风险事故，应有切实可行的处置措施。项目风险事故应急措施包括设备器材、事故现场指挥、救护、通讯等系统的建立、现场应急措施方案、事故危害监测队伍、现场撤离和善后措施方案等。</w:t>
      </w:r>
    </w:p>
    <w:p w14:paraId="3EB559F8">
      <w:pPr>
        <w:pStyle w:val="281"/>
        <w:ind w:firstLine="480"/>
      </w:pPr>
      <w:r>
        <w:rPr>
          <w:rFonts w:hint="eastAsia" w:ascii="宋体" w:hAnsi="宋体"/>
        </w:rPr>
        <w:t>（</w:t>
      </w:r>
      <w:r>
        <w:rPr>
          <w:rFonts w:hint="eastAsia"/>
        </w:rPr>
        <w:t>1</w:t>
      </w:r>
      <w:r>
        <w:rPr>
          <w:rFonts w:hint="eastAsia" w:ascii="宋体" w:hAnsi="宋体"/>
        </w:rPr>
        <w:t>）设立报警、通信系统以及事故处置领导体系；</w:t>
      </w:r>
    </w:p>
    <w:p w14:paraId="4E4960F3">
      <w:pPr>
        <w:pStyle w:val="281"/>
        <w:ind w:firstLine="480"/>
      </w:pPr>
      <w:r>
        <w:rPr>
          <w:rFonts w:hint="eastAsia" w:ascii="宋体" w:hAnsi="宋体"/>
        </w:rPr>
        <w:t>（</w:t>
      </w:r>
      <w:r>
        <w:rPr>
          <w:rFonts w:hint="eastAsia"/>
        </w:rPr>
        <w:t>2</w:t>
      </w:r>
      <w:r>
        <w:rPr>
          <w:rFonts w:hint="eastAsia" w:ascii="宋体" w:hAnsi="宋体"/>
        </w:rPr>
        <w:t>）制定有效处理事故的应急行动方案，并得到有关部门的认可，能与有关部门有效配合；</w:t>
      </w:r>
    </w:p>
    <w:p w14:paraId="70192CA8">
      <w:pPr>
        <w:pStyle w:val="281"/>
        <w:ind w:firstLine="480"/>
      </w:pPr>
      <w:r>
        <w:rPr>
          <w:rFonts w:hint="eastAsia" w:ascii="宋体" w:hAnsi="宋体"/>
        </w:rPr>
        <w:t>（</w:t>
      </w:r>
      <w:r>
        <w:rPr>
          <w:rFonts w:hint="eastAsia"/>
        </w:rPr>
        <w:t>3</w:t>
      </w:r>
      <w:r>
        <w:rPr>
          <w:rFonts w:hint="eastAsia" w:ascii="宋体" w:hAnsi="宋体"/>
        </w:rPr>
        <w:t>）明确职责，并落实到单位和有关人员；</w:t>
      </w:r>
    </w:p>
    <w:p w14:paraId="10D315D5">
      <w:pPr>
        <w:pStyle w:val="281"/>
        <w:ind w:firstLine="480"/>
      </w:pPr>
      <w:r>
        <w:rPr>
          <w:rFonts w:hint="eastAsia" w:ascii="宋体" w:hAnsi="宋体"/>
        </w:rPr>
        <w:t>（</w:t>
      </w:r>
      <w:r>
        <w:rPr>
          <w:rFonts w:hint="eastAsia"/>
        </w:rPr>
        <w:t>4</w:t>
      </w:r>
      <w:r>
        <w:rPr>
          <w:rFonts w:hint="eastAsia" w:ascii="宋体" w:hAnsi="宋体"/>
        </w:rPr>
        <w:t>）制定控制和减少事故影响范围、程度以及补救行动的实施计划；</w:t>
      </w:r>
    </w:p>
    <w:p w14:paraId="0CF935F8">
      <w:pPr>
        <w:pStyle w:val="281"/>
        <w:ind w:firstLine="480"/>
      </w:pPr>
      <w:r>
        <w:rPr>
          <w:rFonts w:hint="eastAsia" w:ascii="宋体" w:hAnsi="宋体"/>
        </w:rPr>
        <w:t>（</w:t>
      </w:r>
      <w:r>
        <w:rPr>
          <w:rFonts w:hint="eastAsia"/>
        </w:rPr>
        <w:t>5</w:t>
      </w:r>
      <w:r>
        <w:rPr>
          <w:rFonts w:hint="eastAsia" w:ascii="宋体" w:hAnsi="宋体"/>
        </w:rPr>
        <w:t>）对事故现场管理以及事故处置全过程的监督，应由富有事故处置经验的人员或有关部门工作人员承担；</w:t>
      </w:r>
    </w:p>
    <w:p w14:paraId="4F98174D">
      <w:pPr>
        <w:pStyle w:val="281"/>
        <w:ind w:firstLine="480"/>
      </w:pPr>
      <w:r>
        <w:rPr>
          <w:rFonts w:hint="eastAsia" w:ascii="宋体" w:hAnsi="宋体"/>
        </w:rPr>
        <w:t>（</w:t>
      </w:r>
      <w:r>
        <w:rPr>
          <w:rFonts w:hint="eastAsia"/>
        </w:rPr>
        <w:t>6</w:t>
      </w:r>
      <w:r>
        <w:rPr>
          <w:rFonts w:hint="eastAsia" w:ascii="宋体" w:hAnsi="宋体"/>
        </w:rPr>
        <w:t>）为提高事故处置队伍的协同救援水平和实战能力，检验救援体系的应急综合运作状态，提高其实战水平，应进行应急救援演练；</w:t>
      </w:r>
    </w:p>
    <w:p w14:paraId="18C2C542">
      <w:pPr>
        <w:pStyle w:val="281"/>
        <w:ind w:firstLine="480"/>
      </w:pPr>
      <w:r>
        <w:rPr>
          <w:rFonts w:hint="eastAsia" w:ascii="宋体" w:hAnsi="宋体"/>
        </w:rPr>
        <w:t>（</w:t>
      </w:r>
      <w:r>
        <w:rPr>
          <w:rFonts w:hint="eastAsia"/>
        </w:rPr>
        <w:t>7</w:t>
      </w:r>
      <w:r>
        <w:rPr>
          <w:rFonts w:hint="eastAsia" w:ascii="宋体" w:hAnsi="宋体"/>
        </w:rPr>
        <w:t>）所有操作人员均应持证上岗，除熟练掌握正常生产状况下本岗位和相关岗位的操作程序和要求外，还应熟练掌握非正常生产、事故状态下本岗位和相关岗位的操作程序和要求；</w:t>
      </w:r>
    </w:p>
    <w:p w14:paraId="0316381E">
      <w:pPr>
        <w:pStyle w:val="281"/>
        <w:ind w:firstLine="480"/>
      </w:pPr>
      <w:r>
        <w:rPr>
          <w:rFonts w:hint="eastAsia" w:ascii="宋体" w:hAnsi="宋体"/>
        </w:rPr>
        <w:t>（</w:t>
      </w:r>
      <w:r>
        <w:rPr>
          <w:rFonts w:hint="eastAsia"/>
        </w:rPr>
        <w:t>8</w:t>
      </w:r>
      <w:r>
        <w:rPr>
          <w:rFonts w:hint="eastAsia" w:ascii="宋体" w:hAnsi="宋体"/>
        </w:rPr>
        <w:t>）开、停车和检修时，需要排空的设备和管道应严格按照设计要求操作；</w:t>
      </w:r>
    </w:p>
    <w:p w14:paraId="067380CA">
      <w:pPr>
        <w:pStyle w:val="281"/>
        <w:ind w:firstLine="480"/>
      </w:pPr>
      <w:r>
        <w:rPr>
          <w:rFonts w:hint="eastAsia" w:ascii="宋体" w:hAnsi="宋体"/>
        </w:rPr>
        <w:t>（</w:t>
      </w:r>
      <w:r>
        <w:rPr>
          <w:rFonts w:hint="eastAsia"/>
        </w:rPr>
        <w:t>9</w:t>
      </w:r>
      <w:r>
        <w:rPr>
          <w:rFonts w:hint="eastAsia" w:ascii="宋体" w:hAnsi="宋体"/>
        </w:rPr>
        <w:t>）对运行中的设备和管道进行认真检查，发现问题及时处理；</w:t>
      </w:r>
    </w:p>
    <w:p w14:paraId="1820671B">
      <w:pPr>
        <w:pStyle w:val="281"/>
        <w:ind w:firstLine="480"/>
      </w:pPr>
      <w:r>
        <w:rPr>
          <w:rFonts w:hint="eastAsia" w:ascii="宋体" w:hAnsi="宋体"/>
        </w:rPr>
        <w:t>（</w:t>
      </w:r>
      <w:r>
        <w:rPr>
          <w:rFonts w:hint="eastAsia"/>
        </w:rPr>
        <w:t>10</w:t>
      </w:r>
      <w:r>
        <w:rPr>
          <w:rFonts w:hint="eastAsia" w:ascii="宋体" w:hAnsi="宋体"/>
        </w:rPr>
        <w:t>）所有工作人员应熟悉本工段泄漏、爆炸等事故发生后，主要危害和应采取的正确处置措施，按照有关规定及时处理，防止事故扩大；</w:t>
      </w:r>
    </w:p>
    <w:p w14:paraId="2E20373D">
      <w:pPr>
        <w:pStyle w:val="281"/>
        <w:ind w:firstLine="480"/>
      </w:pPr>
      <w:r>
        <w:rPr>
          <w:rFonts w:hint="eastAsia" w:ascii="宋体" w:hAnsi="宋体"/>
        </w:rPr>
        <w:t>（</w:t>
      </w:r>
      <w:r>
        <w:rPr>
          <w:rFonts w:hint="eastAsia"/>
        </w:rPr>
        <w:t>11</w:t>
      </w:r>
      <w:r>
        <w:rPr>
          <w:rFonts w:hint="eastAsia" w:ascii="宋体" w:hAnsi="宋体"/>
        </w:rPr>
        <w:t>）各生产岗位配置相应急救设施，保证通信系统通畅，爆炸等事故发生时，应及时将情况反映到相应部门，以便迅速采取措施，避免事故进一步扩大。</w:t>
      </w:r>
    </w:p>
    <w:bookmarkEnd w:id="512"/>
    <w:p w14:paraId="24F3F1D8">
      <w:pPr>
        <w:pStyle w:val="722"/>
        <w:rPr>
          <w:rFonts w:hint="eastAsia"/>
        </w:rPr>
      </w:pPr>
      <w:bookmarkStart w:id="526" w:name="_Toc15845"/>
      <w:bookmarkStart w:id="527" w:name="_Toc194592909"/>
      <w:r>
        <w:rPr>
          <w:rFonts w:hint="eastAsia"/>
        </w:rPr>
        <w:t>突发环境事件应急预案</w:t>
      </w:r>
      <w:bookmarkEnd w:id="526"/>
      <w:bookmarkEnd w:id="527"/>
    </w:p>
    <w:p w14:paraId="3D91C306">
      <w:pPr>
        <w:pStyle w:val="97"/>
        <w:rPr>
          <w:rFonts w:hint="eastAsia"/>
        </w:rPr>
      </w:pPr>
      <w:r>
        <w:rPr>
          <w:rFonts w:hint="eastAsia"/>
        </w:rPr>
        <w:t>本项目突发环境事件应急预案编制要求</w:t>
      </w:r>
    </w:p>
    <w:p w14:paraId="1BF38D51">
      <w:pPr>
        <w:pStyle w:val="281"/>
        <w:ind w:firstLine="480"/>
      </w:pPr>
      <w:r>
        <w:rPr>
          <w:rFonts w:hint="eastAsia" w:ascii="宋体" w:hAnsi="宋体"/>
        </w:rPr>
        <w:t>根据《企业事业单位突发环境事件应急预案备案管理办法（试行）》（环发</w:t>
      </w:r>
      <w:r>
        <w:rPr>
          <w:rFonts w:hint="eastAsia"/>
        </w:rPr>
        <w:t>〔2015〕4号</w:t>
      </w:r>
      <w:r>
        <w:rPr>
          <w:rFonts w:hint="eastAsia" w:ascii="宋体" w:hAnsi="宋体"/>
        </w:rPr>
        <w:t>），建设单位应编制本项目环境风险应急预案，并应当在建设项目投入生产或者使用前，按照该办法第十五条要求，向建设项目所在地受理部门备案。</w:t>
      </w:r>
    </w:p>
    <w:p w14:paraId="69812D32">
      <w:pPr>
        <w:pStyle w:val="281"/>
        <w:ind w:firstLine="480"/>
      </w:pPr>
      <w:r>
        <w:rPr>
          <w:rFonts w:hint="eastAsia" w:ascii="宋体" w:hAnsi="宋体"/>
        </w:rPr>
        <w:t>本项目突发环境事件应急预案编制提纲见表</w:t>
      </w:r>
      <w:r>
        <w:rPr>
          <w:rFonts w:hint="eastAsia"/>
        </w:rPr>
        <w:t>7</w:t>
      </w:r>
      <w:r>
        <w:t>.9.1-1</w:t>
      </w:r>
      <w:r>
        <w:rPr>
          <w:rFonts w:hint="eastAsia" w:ascii="宋体" w:hAnsi="宋体"/>
        </w:rPr>
        <w:t>，可供建设单位制定应急预案参考。</w:t>
      </w:r>
    </w:p>
    <w:p w14:paraId="1BAFD007">
      <w:pPr>
        <w:pStyle w:val="645"/>
        <w:rPr>
          <w:rFonts w:hint="eastAsia"/>
        </w:rPr>
      </w:pPr>
      <w:bookmarkStart w:id="528" w:name="_Ref81993549"/>
      <w:r>
        <w:rPr>
          <w:rFonts w:hint="eastAsia"/>
        </w:rPr>
        <w:t>表</w:t>
      </w:r>
      <w:bookmarkEnd w:id="528"/>
      <w:r>
        <w:t xml:space="preserve">7.9.1-1    </w:t>
      </w:r>
      <w:r>
        <w:rPr>
          <w:rFonts w:hint="eastAsia"/>
        </w:rPr>
        <w:t>环境风险的突发性事故应急预案</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707"/>
        <w:gridCol w:w="5860"/>
      </w:tblGrid>
      <w:tr w14:paraId="5BB7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948" w:type="dxa"/>
            <w:vAlign w:val="center"/>
          </w:tcPr>
          <w:p w14:paraId="42CC4F7F">
            <w:pPr>
              <w:pStyle w:val="557"/>
            </w:pPr>
            <w:r>
              <w:t>章节</w:t>
            </w:r>
          </w:p>
        </w:tc>
        <w:tc>
          <w:tcPr>
            <w:tcW w:w="1701" w:type="dxa"/>
            <w:vAlign w:val="center"/>
          </w:tcPr>
          <w:p w14:paraId="33128265">
            <w:pPr>
              <w:pStyle w:val="557"/>
            </w:pPr>
            <w:r>
              <w:t>项目</w:t>
            </w:r>
          </w:p>
        </w:tc>
        <w:tc>
          <w:tcPr>
            <w:tcW w:w="5856" w:type="dxa"/>
            <w:vAlign w:val="center"/>
          </w:tcPr>
          <w:p w14:paraId="68212C90">
            <w:pPr>
              <w:pStyle w:val="557"/>
            </w:pPr>
            <w:r>
              <w:t>内容及要求</w:t>
            </w:r>
          </w:p>
        </w:tc>
      </w:tr>
      <w:tr w14:paraId="2376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2A0DC233">
            <w:pPr>
              <w:pStyle w:val="557"/>
            </w:pPr>
            <w:r>
              <w:t>1总则</w:t>
            </w:r>
          </w:p>
        </w:tc>
        <w:tc>
          <w:tcPr>
            <w:tcW w:w="1701" w:type="dxa"/>
            <w:vAlign w:val="center"/>
          </w:tcPr>
          <w:p w14:paraId="6CDFE149">
            <w:pPr>
              <w:pStyle w:val="557"/>
            </w:pPr>
            <w:r>
              <w:t>1.1编制目的</w:t>
            </w:r>
          </w:p>
        </w:tc>
        <w:tc>
          <w:tcPr>
            <w:tcW w:w="5856" w:type="dxa"/>
            <w:vAlign w:val="center"/>
          </w:tcPr>
          <w:p w14:paraId="63D2A7A7">
            <w:pPr>
              <w:pStyle w:val="557"/>
            </w:pPr>
            <w:r>
              <w:t>提高应急能力，规范处置程序、明确相关职责。对实际发生的环境风险事故和紧急情况作出响应，预防和减少伴随的环境影响。</w:t>
            </w:r>
          </w:p>
        </w:tc>
      </w:tr>
      <w:tr w14:paraId="309F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645C6BA">
            <w:pPr>
              <w:pStyle w:val="557"/>
            </w:pPr>
          </w:p>
        </w:tc>
        <w:tc>
          <w:tcPr>
            <w:tcW w:w="1701" w:type="dxa"/>
            <w:vAlign w:val="center"/>
          </w:tcPr>
          <w:p w14:paraId="0DE59B93">
            <w:pPr>
              <w:pStyle w:val="557"/>
            </w:pPr>
            <w:r>
              <w:t>1.2编制依据</w:t>
            </w:r>
          </w:p>
        </w:tc>
        <w:tc>
          <w:tcPr>
            <w:tcW w:w="5856" w:type="dxa"/>
            <w:vAlign w:val="center"/>
          </w:tcPr>
          <w:p w14:paraId="3C8E0D40">
            <w:pPr>
              <w:pStyle w:val="557"/>
            </w:pPr>
            <w:r>
              <w:t>规范性引用相关的法律、法规和规章</w:t>
            </w:r>
          </w:p>
        </w:tc>
      </w:tr>
      <w:tr w14:paraId="4E04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64E5089D">
            <w:pPr>
              <w:pStyle w:val="557"/>
            </w:pPr>
          </w:p>
        </w:tc>
        <w:tc>
          <w:tcPr>
            <w:tcW w:w="1701" w:type="dxa"/>
            <w:vAlign w:val="center"/>
          </w:tcPr>
          <w:p w14:paraId="41884E1F">
            <w:pPr>
              <w:pStyle w:val="557"/>
            </w:pPr>
            <w:r>
              <w:t>1.3事件分级</w:t>
            </w:r>
          </w:p>
        </w:tc>
        <w:tc>
          <w:tcPr>
            <w:tcW w:w="5856" w:type="dxa"/>
            <w:vAlign w:val="center"/>
          </w:tcPr>
          <w:p w14:paraId="2529C1FF">
            <w:pPr>
              <w:pStyle w:val="557"/>
            </w:pPr>
            <w:r>
              <w:t>按</w:t>
            </w:r>
            <w:r>
              <w:rPr>
                <w:rFonts w:hint="eastAsia"/>
              </w:rPr>
              <w:t>生态环境部</w:t>
            </w:r>
            <w:r>
              <w:t>分级标准</w:t>
            </w:r>
          </w:p>
        </w:tc>
      </w:tr>
      <w:tr w14:paraId="5164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E43962C">
            <w:pPr>
              <w:pStyle w:val="557"/>
            </w:pPr>
          </w:p>
        </w:tc>
        <w:tc>
          <w:tcPr>
            <w:tcW w:w="1701" w:type="dxa"/>
            <w:vAlign w:val="center"/>
          </w:tcPr>
          <w:p w14:paraId="51E4D167">
            <w:pPr>
              <w:pStyle w:val="557"/>
            </w:pPr>
            <w:r>
              <w:t>1.4适用范围</w:t>
            </w:r>
          </w:p>
        </w:tc>
        <w:tc>
          <w:tcPr>
            <w:tcW w:w="5856" w:type="dxa"/>
            <w:vAlign w:val="center"/>
          </w:tcPr>
          <w:p w14:paraId="524237D4">
            <w:pPr>
              <w:pStyle w:val="557"/>
            </w:pPr>
            <w:r>
              <w:t>说明预案适用范围，明确应急预案与内部企业应急预案和外部其他应急预案的关系，表述预案横向关联及上下衔接关系</w:t>
            </w:r>
          </w:p>
        </w:tc>
      </w:tr>
      <w:tr w14:paraId="37C0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EE49067">
            <w:pPr>
              <w:pStyle w:val="557"/>
            </w:pPr>
          </w:p>
        </w:tc>
        <w:tc>
          <w:tcPr>
            <w:tcW w:w="1701" w:type="dxa"/>
            <w:vAlign w:val="center"/>
          </w:tcPr>
          <w:p w14:paraId="41846F26">
            <w:pPr>
              <w:pStyle w:val="557"/>
            </w:pPr>
            <w:r>
              <w:t>1.5工作原则</w:t>
            </w:r>
          </w:p>
        </w:tc>
        <w:tc>
          <w:tcPr>
            <w:tcW w:w="5856" w:type="dxa"/>
            <w:vAlign w:val="center"/>
          </w:tcPr>
          <w:p w14:paraId="10A8D355">
            <w:pPr>
              <w:pStyle w:val="557"/>
            </w:pPr>
            <w:r>
              <w:t>以人为本，预防为主、科学应对、高效处置</w:t>
            </w:r>
          </w:p>
        </w:tc>
      </w:tr>
      <w:tr w14:paraId="2888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615DB7EF">
            <w:pPr>
              <w:pStyle w:val="557"/>
            </w:pPr>
            <w:r>
              <w:t>2企业概况</w:t>
            </w:r>
          </w:p>
        </w:tc>
        <w:tc>
          <w:tcPr>
            <w:tcW w:w="1701" w:type="dxa"/>
            <w:vAlign w:val="center"/>
          </w:tcPr>
          <w:p w14:paraId="63662E34">
            <w:pPr>
              <w:pStyle w:val="557"/>
            </w:pPr>
            <w:r>
              <w:t>2.1企业基本情况</w:t>
            </w:r>
          </w:p>
        </w:tc>
        <w:tc>
          <w:tcPr>
            <w:tcW w:w="5856" w:type="dxa"/>
            <w:vAlign w:val="center"/>
          </w:tcPr>
          <w:p w14:paraId="62076DAF">
            <w:pPr>
              <w:pStyle w:val="557"/>
            </w:pPr>
            <w:r>
              <w:t>包括隶属关系、地理位置、行业类别、规模、原料、产品、产能等</w:t>
            </w:r>
          </w:p>
          <w:p w14:paraId="5207C8E3">
            <w:pPr>
              <w:pStyle w:val="557"/>
            </w:pPr>
            <w:r>
              <w:t>（1)单位名称，详细地址，地理位置（经纬度），所处地形地貌、厂址的特殊状况等（如上坡地）等；</w:t>
            </w:r>
          </w:p>
          <w:p w14:paraId="0FB27F0A">
            <w:pPr>
              <w:pStyle w:val="557"/>
            </w:pPr>
            <w:r>
              <w:t>（2)单位经济性质隶属关系、正常上班人数，来往人数（原料供应商及客户）等；</w:t>
            </w:r>
          </w:p>
          <w:p w14:paraId="4DC05C8D">
            <w:pPr>
              <w:pStyle w:val="557"/>
            </w:pPr>
            <w:r>
              <w:t>（3)主、副产品及生产过程的中间体等名称及年产量，原材料、燃料名称及年用量，列出危险物质的明细表等；</w:t>
            </w:r>
          </w:p>
          <w:p w14:paraId="67AB76B8">
            <w:pPr>
              <w:pStyle w:val="557"/>
            </w:pPr>
            <w:r>
              <w:t>（4)当地气候（气象）特征，降雨量及暴雨期等</w:t>
            </w:r>
          </w:p>
          <w:p w14:paraId="37F66775">
            <w:pPr>
              <w:pStyle w:val="557"/>
            </w:pPr>
            <w:r>
              <w:t>（5)生产工艺流程说明，主要生产装置说明，危险物质贮存方式（槽、罐、池、坑、堆放等）、最大容量及日常储量，</w:t>
            </w:r>
          </w:p>
          <w:p w14:paraId="02EBBB97">
            <w:pPr>
              <w:pStyle w:val="557"/>
            </w:pPr>
            <w:r>
              <w:t>（6)危险废物、危险化学品、污染物的产生量，污染治理设施去除量及处理后废物产生量，工艺流程说明及主要设备、构筑物说明，企业</w:t>
            </w:r>
            <w:r>
              <w:rPr>
                <w:rFonts w:hint="eastAsia"/>
              </w:rPr>
              <w:t>其他</w:t>
            </w:r>
            <w:r>
              <w:t>环境保护措施等</w:t>
            </w:r>
          </w:p>
        </w:tc>
      </w:tr>
      <w:tr w14:paraId="08C2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D0AB6E3">
            <w:pPr>
              <w:pStyle w:val="557"/>
            </w:pPr>
          </w:p>
        </w:tc>
        <w:tc>
          <w:tcPr>
            <w:tcW w:w="1701" w:type="dxa"/>
            <w:vAlign w:val="center"/>
          </w:tcPr>
          <w:p w14:paraId="6F16D544">
            <w:pPr>
              <w:pStyle w:val="557"/>
            </w:pPr>
            <w:r>
              <w:t>2.2周边环境敏感点</w:t>
            </w:r>
          </w:p>
        </w:tc>
        <w:tc>
          <w:tcPr>
            <w:tcW w:w="5856" w:type="dxa"/>
            <w:vAlign w:val="center"/>
          </w:tcPr>
          <w:p w14:paraId="5A007163">
            <w:pPr>
              <w:pStyle w:val="557"/>
            </w:pPr>
            <w:r>
              <w:t>明确生产经营单位周围的大气和水体保护目标，主要有饮用水源保护区、自然保护区和重要渔业水域、珍稀水生生物栖息地，人口集中居住区和《建设项目环境保护分类管理目录》确定的</w:t>
            </w:r>
            <w:r>
              <w:rPr>
                <w:rFonts w:hint="eastAsia"/>
              </w:rPr>
              <w:t>其他</w:t>
            </w:r>
            <w:r>
              <w:t>敏感区域及其附近。</w:t>
            </w:r>
          </w:p>
          <w:p w14:paraId="5E0ABB27">
            <w:pPr>
              <w:pStyle w:val="557"/>
            </w:pPr>
            <w:r>
              <w:t>（1)周边区域居民点（区）、自然村、学校、机关等社会关注区的名称，人数，与单位的距离和方位图；周边企业的基本情况。</w:t>
            </w:r>
          </w:p>
          <w:p w14:paraId="5CBABF5A">
            <w:pPr>
              <w:pStyle w:val="557"/>
            </w:pPr>
            <w:r>
              <w:t>（2)产生污水排放去向；</w:t>
            </w:r>
          </w:p>
          <w:p w14:paraId="034BC707">
            <w:pPr>
              <w:pStyle w:val="557"/>
            </w:pPr>
            <w:r>
              <w:t>（3)下游水体水源保护区的情况、功能区说明，流域名称、所属水系；</w:t>
            </w:r>
          </w:p>
          <w:p w14:paraId="0D1EF72B">
            <w:pPr>
              <w:pStyle w:val="557"/>
            </w:pPr>
            <w:r>
              <w:t>（4)下游饮用水源、自然保护区情况，供水设施服务区及人口、设计规模及日供水量、联系方式；取水名称、地点及距离、地理位置（经纬度）等；地下水取水情况，服务范围内灌溉面积、基本农田保护区情况；</w:t>
            </w:r>
          </w:p>
          <w:p w14:paraId="77FCD2C2">
            <w:pPr>
              <w:pStyle w:val="557"/>
            </w:pPr>
            <w:r>
              <w:t>（5)周边区域道路情况及距离，交通干线流量等；</w:t>
            </w:r>
          </w:p>
          <w:p w14:paraId="392E5EC5">
            <w:pPr>
              <w:pStyle w:val="557"/>
            </w:pPr>
            <w:r>
              <w:t>（6)区域空气质量执行标准；</w:t>
            </w:r>
          </w:p>
          <w:p w14:paraId="42F67153">
            <w:pPr>
              <w:pStyle w:val="557"/>
            </w:pPr>
            <w:r>
              <w:t>（7)运输（输送）路线中的环境保护目标说明；</w:t>
            </w:r>
          </w:p>
          <w:p w14:paraId="03665B1E">
            <w:pPr>
              <w:pStyle w:val="557"/>
            </w:pPr>
            <w:r>
              <w:t>其他周边环境敏感区情况及说明；</w:t>
            </w:r>
          </w:p>
        </w:tc>
      </w:tr>
      <w:tr w14:paraId="5D6A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1E0B204B">
            <w:pPr>
              <w:pStyle w:val="557"/>
            </w:pPr>
            <w:r>
              <w:t>3应急组织体系</w:t>
            </w:r>
          </w:p>
        </w:tc>
        <w:tc>
          <w:tcPr>
            <w:tcW w:w="1701" w:type="dxa"/>
            <w:vAlign w:val="center"/>
          </w:tcPr>
          <w:p w14:paraId="2BE299B7">
            <w:pPr>
              <w:pStyle w:val="557"/>
            </w:pPr>
            <w:r>
              <w:t>3.1应急指挥机构</w:t>
            </w:r>
          </w:p>
        </w:tc>
        <w:tc>
          <w:tcPr>
            <w:tcW w:w="5856" w:type="dxa"/>
            <w:vAlign w:val="center"/>
          </w:tcPr>
          <w:p w14:paraId="2F2FCB5C">
            <w:pPr>
              <w:pStyle w:val="557"/>
            </w:pPr>
            <w:r>
              <w:t>生产经营单位应成立应急救援指挥部，由主要负责人担任指挥部总指挥和副总指挥，其他环保、安全、设备等部门领导组成指挥部成员。应急救援指挥部主要职责：</w:t>
            </w:r>
          </w:p>
          <w:p w14:paraId="57996602">
            <w:pPr>
              <w:pStyle w:val="557"/>
            </w:pPr>
            <w:r>
              <w:t>（1）贯彻执行国家、当地政府、上级主管部门关于突发环境污染事故发生和应急救援的方针、政策及有关规定。</w:t>
            </w:r>
          </w:p>
          <w:p w14:paraId="32EB2F8C">
            <w:pPr>
              <w:pStyle w:val="557"/>
            </w:pPr>
            <w:r>
              <w:t>（2）组织制定、修改环境污染事故应急救援预案，组建环境污染事故应急救援队伍，有计划地组织实施环境污染事故应急救援的培训和演习。</w:t>
            </w:r>
          </w:p>
          <w:p w14:paraId="038BD904">
            <w:pPr>
              <w:pStyle w:val="557"/>
            </w:pPr>
            <w:r>
              <w:t>（3）审批并落实环境污染事故应急救援所需的监测仪器、防护器材、救援器材等的购置。</w:t>
            </w:r>
          </w:p>
          <w:p w14:paraId="2711290D">
            <w:pPr>
              <w:pStyle w:val="557"/>
            </w:pPr>
            <w:r>
              <w:t>（4）检查、督促做好环境污染事故的预防措施和应急救援的各项准备工作，督促、协助有关部门及时消除有毒有害介质的跑、冒、滴、漏。</w:t>
            </w:r>
          </w:p>
          <w:p w14:paraId="58608CD8">
            <w:pPr>
              <w:pStyle w:val="557"/>
            </w:pPr>
            <w:r>
              <w:t>（5）批准应急救援的启动和终止。</w:t>
            </w:r>
          </w:p>
          <w:p w14:paraId="0B08325C">
            <w:pPr>
              <w:pStyle w:val="557"/>
            </w:pPr>
            <w:r>
              <w:t>（6）及时向上级报告环境污染事故的具体情况，必要时向有关单位发出增援请求，并向周边单位通报相关情况。</w:t>
            </w:r>
          </w:p>
          <w:p w14:paraId="54809883">
            <w:pPr>
              <w:pStyle w:val="557"/>
            </w:pPr>
            <w:r>
              <w:t>（7）组织指挥救援队伍实施救援行动，负责人员、资源配置、应急队伍的调动。</w:t>
            </w:r>
          </w:p>
          <w:p w14:paraId="6467B00E">
            <w:pPr>
              <w:pStyle w:val="557"/>
            </w:pPr>
            <w:r>
              <w:t>（8）协调事故现场有关工作。配合政府部门对环境进行恢复、事故调查、经验教训总结。</w:t>
            </w:r>
          </w:p>
          <w:p w14:paraId="78D9FA73">
            <w:pPr>
              <w:pStyle w:val="557"/>
            </w:pPr>
            <w:r>
              <w:t>负责对员工进行应急知识和基本防护方法的培训，向周边企业、村落提供本单位有关危险化学品特性、救援知识等的宣传材料。</w:t>
            </w:r>
          </w:p>
        </w:tc>
      </w:tr>
      <w:tr w14:paraId="793D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47A193A0">
            <w:pPr>
              <w:pStyle w:val="557"/>
            </w:pPr>
          </w:p>
        </w:tc>
        <w:tc>
          <w:tcPr>
            <w:tcW w:w="1701" w:type="dxa"/>
            <w:vAlign w:val="center"/>
          </w:tcPr>
          <w:p w14:paraId="1CA931E6">
            <w:pPr>
              <w:pStyle w:val="557"/>
            </w:pPr>
            <w:r>
              <w:t>3.2应急救援专业队伍</w:t>
            </w:r>
          </w:p>
        </w:tc>
        <w:tc>
          <w:tcPr>
            <w:tcW w:w="5856" w:type="dxa"/>
            <w:vAlign w:val="center"/>
          </w:tcPr>
          <w:p w14:paraId="21EC170E">
            <w:pPr>
              <w:pStyle w:val="557"/>
            </w:pPr>
            <w:r>
              <w:t>生产经营单位依据自身条件和可能发生的突发环境污染事故的类型建立应急救援专业队伍，包括应急处置专家组、通讯联络队、抢险抢修队、侦检抢救队、医疗救护队、应急消防队、治安队、物资供应队和应急环境监测组等专业救援队伍，并明确各专业救援队伍的具体职责和任务，以便在发生环境污染事故时，在指挥部的统一指挥下，快速、有序、有效地开展应急救援行动，以尽快处置事故，使事故的危害降到最低。</w:t>
            </w:r>
          </w:p>
        </w:tc>
      </w:tr>
      <w:tr w14:paraId="300D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3A0F71E4">
            <w:pPr>
              <w:pStyle w:val="557"/>
            </w:pPr>
            <w:r>
              <w:t>4环境风险分析</w:t>
            </w:r>
          </w:p>
        </w:tc>
        <w:tc>
          <w:tcPr>
            <w:tcW w:w="1701" w:type="dxa"/>
            <w:vAlign w:val="center"/>
          </w:tcPr>
          <w:p w14:paraId="7D9107C6">
            <w:pPr>
              <w:pStyle w:val="557"/>
            </w:pPr>
            <w:r>
              <w:t>4.1环境风险评价</w:t>
            </w:r>
          </w:p>
        </w:tc>
        <w:tc>
          <w:tcPr>
            <w:tcW w:w="5856" w:type="dxa"/>
            <w:vAlign w:val="center"/>
          </w:tcPr>
          <w:p w14:paraId="3FE42FDD">
            <w:pPr>
              <w:pStyle w:val="557"/>
            </w:pPr>
            <w:r>
              <w:t>环境风险评价</w:t>
            </w:r>
          </w:p>
        </w:tc>
      </w:tr>
      <w:tr w14:paraId="55BE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06D90EC">
            <w:pPr>
              <w:pStyle w:val="557"/>
            </w:pPr>
          </w:p>
        </w:tc>
        <w:tc>
          <w:tcPr>
            <w:tcW w:w="1701" w:type="dxa"/>
            <w:vAlign w:val="center"/>
          </w:tcPr>
          <w:p w14:paraId="065D4F62">
            <w:pPr>
              <w:pStyle w:val="557"/>
            </w:pPr>
            <w:r>
              <w:t>4.2环境风险源分析</w:t>
            </w:r>
          </w:p>
        </w:tc>
        <w:tc>
          <w:tcPr>
            <w:tcW w:w="5856" w:type="dxa"/>
            <w:vAlign w:val="center"/>
          </w:tcPr>
          <w:p w14:paraId="44BB0512">
            <w:pPr>
              <w:pStyle w:val="557"/>
            </w:pPr>
            <w:r>
              <w:t>企业环境风险单元分析，辨识重大风险源</w:t>
            </w:r>
          </w:p>
        </w:tc>
      </w:tr>
      <w:tr w14:paraId="3355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23ACF95">
            <w:pPr>
              <w:pStyle w:val="557"/>
            </w:pPr>
          </w:p>
        </w:tc>
        <w:tc>
          <w:tcPr>
            <w:tcW w:w="1701" w:type="dxa"/>
            <w:vAlign w:val="center"/>
          </w:tcPr>
          <w:p w14:paraId="253A2986">
            <w:pPr>
              <w:pStyle w:val="557"/>
            </w:pPr>
            <w:r>
              <w:t>4.3最大可信事故及后果分析</w:t>
            </w:r>
          </w:p>
        </w:tc>
        <w:tc>
          <w:tcPr>
            <w:tcW w:w="5856" w:type="dxa"/>
            <w:vAlign w:val="center"/>
          </w:tcPr>
          <w:p w14:paraId="4357BB78">
            <w:pPr>
              <w:pStyle w:val="557"/>
            </w:pPr>
            <w:r>
              <w:t>根据确定的危险目标，明确其危险特性，对风险源可能发生的事故后果和事故波及范围进行分析。</w:t>
            </w:r>
          </w:p>
          <w:p w14:paraId="17BFC782">
            <w:pPr>
              <w:pStyle w:val="557"/>
            </w:pPr>
            <w:r>
              <w:t>对最大可信事故进行预测，重点突出有毒有害物质对地表水环境的影响分析。</w:t>
            </w:r>
          </w:p>
        </w:tc>
      </w:tr>
      <w:tr w14:paraId="78FB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7283B08A">
            <w:pPr>
              <w:pStyle w:val="557"/>
            </w:pPr>
            <w:r>
              <w:t>5</w:t>
            </w:r>
            <w:r>
              <w:rPr>
                <w:rFonts w:hint="eastAsia"/>
              </w:rPr>
              <w:t>预防与预警</w:t>
            </w:r>
          </w:p>
        </w:tc>
        <w:tc>
          <w:tcPr>
            <w:tcW w:w="1701" w:type="dxa"/>
            <w:vAlign w:val="center"/>
          </w:tcPr>
          <w:p w14:paraId="4118A215">
            <w:pPr>
              <w:pStyle w:val="557"/>
            </w:pPr>
            <w:r>
              <w:t>5.1环境风险防范措施</w:t>
            </w:r>
          </w:p>
        </w:tc>
        <w:tc>
          <w:tcPr>
            <w:tcW w:w="5856" w:type="dxa"/>
            <w:vAlign w:val="center"/>
          </w:tcPr>
          <w:p w14:paraId="690ED485">
            <w:pPr>
              <w:pStyle w:val="557"/>
            </w:pPr>
            <w:r>
              <w:t>风险源安全措施、风险源管理、风险隐患排查</w:t>
            </w:r>
          </w:p>
        </w:tc>
      </w:tr>
      <w:tr w14:paraId="134B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36B974E">
            <w:pPr>
              <w:pStyle w:val="557"/>
            </w:pPr>
          </w:p>
        </w:tc>
        <w:tc>
          <w:tcPr>
            <w:tcW w:w="1701" w:type="dxa"/>
            <w:vAlign w:val="center"/>
          </w:tcPr>
          <w:p w14:paraId="01988DA4">
            <w:pPr>
              <w:pStyle w:val="557"/>
            </w:pPr>
            <w:r>
              <w:t>5.2预警分级与准备</w:t>
            </w:r>
          </w:p>
        </w:tc>
        <w:tc>
          <w:tcPr>
            <w:tcW w:w="5856" w:type="dxa"/>
            <w:vAlign w:val="center"/>
          </w:tcPr>
          <w:p w14:paraId="547E7B42">
            <w:pPr>
              <w:pStyle w:val="557"/>
            </w:pPr>
            <w:r>
              <w:t>针对环境污染事故危害程度、影响范围、生产经营单位内部控制事态的能力以及需要调动的应急资源，将预警分为不同的等级</w:t>
            </w:r>
          </w:p>
        </w:tc>
      </w:tr>
      <w:tr w14:paraId="7311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50890054">
            <w:pPr>
              <w:pStyle w:val="557"/>
            </w:pPr>
          </w:p>
        </w:tc>
        <w:tc>
          <w:tcPr>
            <w:tcW w:w="1701" w:type="dxa"/>
            <w:vAlign w:val="center"/>
          </w:tcPr>
          <w:p w14:paraId="32DE6B1C">
            <w:pPr>
              <w:pStyle w:val="557"/>
            </w:pPr>
            <w:r>
              <w:t>5.3预警发布与解除</w:t>
            </w:r>
          </w:p>
        </w:tc>
        <w:tc>
          <w:tcPr>
            <w:tcW w:w="5856" w:type="dxa"/>
            <w:vAlign w:val="center"/>
          </w:tcPr>
          <w:p w14:paraId="19BFEDC9">
            <w:pPr>
              <w:pStyle w:val="557"/>
            </w:pPr>
            <w:r>
              <w:t>预警发布与解除程序</w:t>
            </w:r>
          </w:p>
        </w:tc>
      </w:tr>
      <w:tr w14:paraId="76FD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46F9730">
            <w:pPr>
              <w:pStyle w:val="557"/>
            </w:pPr>
          </w:p>
        </w:tc>
        <w:tc>
          <w:tcPr>
            <w:tcW w:w="1701" w:type="dxa"/>
            <w:vAlign w:val="center"/>
          </w:tcPr>
          <w:p w14:paraId="1807C250">
            <w:pPr>
              <w:pStyle w:val="557"/>
            </w:pPr>
            <w:r>
              <w:t>5.4预警措施</w:t>
            </w:r>
          </w:p>
        </w:tc>
        <w:tc>
          <w:tcPr>
            <w:tcW w:w="5856" w:type="dxa"/>
            <w:vAlign w:val="center"/>
          </w:tcPr>
          <w:p w14:paraId="7CB6418A">
            <w:pPr>
              <w:pStyle w:val="557"/>
            </w:pPr>
            <w:r>
              <w:t>预警</w:t>
            </w:r>
            <w:r>
              <w:rPr>
                <w:rFonts w:hint="eastAsia"/>
              </w:rPr>
              <w:t>响应</w:t>
            </w:r>
            <w:r>
              <w:t>措施</w:t>
            </w:r>
          </w:p>
        </w:tc>
      </w:tr>
      <w:tr w14:paraId="5142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6BAAD1BB">
            <w:pPr>
              <w:pStyle w:val="557"/>
            </w:pPr>
            <w:r>
              <w:t>6应急处置</w:t>
            </w:r>
          </w:p>
        </w:tc>
        <w:tc>
          <w:tcPr>
            <w:tcW w:w="1701" w:type="dxa"/>
            <w:vAlign w:val="center"/>
          </w:tcPr>
          <w:p w14:paraId="133CEE7E">
            <w:pPr>
              <w:pStyle w:val="557"/>
            </w:pPr>
            <w:r>
              <w:t>6.1应急预案启动</w:t>
            </w:r>
          </w:p>
        </w:tc>
        <w:tc>
          <w:tcPr>
            <w:tcW w:w="5856" w:type="dxa"/>
            <w:vAlign w:val="center"/>
          </w:tcPr>
          <w:p w14:paraId="23961F7B">
            <w:pPr>
              <w:pStyle w:val="557"/>
            </w:pPr>
            <w:r>
              <w:t>启动应急预案的条件</w:t>
            </w:r>
          </w:p>
        </w:tc>
      </w:tr>
      <w:tr w14:paraId="2D42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FF55099">
            <w:pPr>
              <w:pStyle w:val="557"/>
            </w:pPr>
          </w:p>
        </w:tc>
        <w:tc>
          <w:tcPr>
            <w:tcW w:w="1701" w:type="dxa"/>
            <w:vAlign w:val="center"/>
          </w:tcPr>
          <w:p w14:paraId="01220A9A">
            <w:pPr>
              <w:pStyle w:val="557"/>
            </w:pPr>
            <w:r>
              <w:t>6.2信息报告</w:t>
            </w:r>
          </w:p>
        </w:tc>
        <w:tc>
          <w:tcPr>
            <w:tcW w:w="5856" w:type="dxa"/>
            <w:vAlign w:val="center"/>
          </w:tcPr>
          <w:p w14:paraId="11FD63BB">
            <w:pPr>
              <w:pStyle w:val="557"/>
            </w:pPr>
            <w:r>
              <w:t>明确信息报告和发布的程序、内容和方式。</w:t>
            </w:r>
          </w:p>
          <w:p w14:paraId="40E7AFBD">
            <w:pPr>
              <w:pStyle w:val="557"/>
            </w:pPr>
            <w:r>
              <w:t>（1）企业内部报告程序；</w:t>
            </w:r>
          </w:p>
          <w:p w14:paraId="134DAA7C">
            <w:pPr>
              <w:pStyle w:val="557"/>
            </w:pPr>
            <w:r>
              <w:t>（2）外部报告时限要求及程序；</w:t>
            </w:r>
          </w:p>
          <w:p w14:paraId="2592177D">
            <w:pPr>
              <w:pStyle w:val="557"/>
            </w:pPr>
            <w:r>
              <w:t>（3）事故报告内容（至少应包括事故发生的时间、地点、类型和排放污染物的种类、数量、直接经济损失、已采取的应急措施，已污染的范围，潜在的危害程度，转化方式趋向，可能受影响的区域及采取的措施建议）</w:t>
            </w:r>
          </w:p>
          <w:p w14:paraId="709BD1FA">
            <w:pPr>
              <w:pStyle w:val="557"/>
            </w:pPr>
            <w:r>
              <w:t>（4）通报可能受影响的区域说明；</w:t>
            </w:r>
          </w:p>
          <w:p w14:paraId="24D34D2C">
            <w:pPr>
              <w:pStyle w:val="557"/>
            </w:pPr>
            <w:r>
              <w:t>（5）被报告人及联系方式的清单；</w:t>
            </w:r>
          </w:p>
          <w:p w14:paraId="59445372">
            <w:pPr>
              <w:pStyle w:val="557"/>
            </w:pPr>
            <w:r>
              <w:t>（6）24</w:t>
            </w:r>
            <w:r>
              <w:rPr>
                <w:rFonts w:hint="eastAsia"/>
              </w:rPr>
              <w:t>h</w:t>
            </w:r>
            <w:r>
              <w:t>有效的内部、外部通讯联络手段；</w:t>
            </w:r>
          </w:p>
        </w:tc>
      </w:tr>
      <w:tr w14:paraId="31EE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5C0625A7">
            <w:pPr>
              <w:pStyle w:val="557"/>
            </w:pPr>
          </w:p>
        </w:tc>
        <w:tc>
          <w:tcPr>
            <w:tcW w:w="1701" w:type="dxa"/>
            <w:vAlign w:val="center"/>
          </w:tcPr>
          <w:p w14:paraId="72DF6A75">
            <w:pPr>
              <w:pStyle w:val="557"/>
            </w:pPr>
            <w:r>
              <w:t>6.3分级响应</w:t>
            </w:r>
          </w:p>
        </w:tc>
        <w:tc>
          <w:tcPr>
            <w:tcW w:w="5856" w:type="dxa"/>
            <w:vAlign w:val="center"/>
          </w:tcPr>
          <w:p w14:paraId="0003EED6">
            <w:pPr>
              <w:pStyle w:val="557"/>
            </w:pPr>
            <w:r>
              <w:t>根据事故发生的级别，确定不同级别的现场负责人，指挥调度应急救援工作和开展事故处置措施。</w:t>
            </w:r>
          </w:p>
        </w:tc>
      </w:tr>
      <w:tr w14:paraId="45B5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CA49689">
            <w:pPr>
              <w:pStyle w:val="557"/>
            </w:pPr>
          </w:p>
        </w:tc>
        <w:tc>
          <w:tcPr>
            <w:tcW w:w="1701" w:type="dxa"/>
            <w:vAlign w:val="center"/>
          </w:tcPr>
          <w:p w14:paraId="712FC56B">
            <w:pPr>
              <w:pStyle w:val="557"/>
            </w:pPr>
            <w:r>
              <w:t>6.4指挥与协调</w:t>
            </w:r>
          </w:p>
        </w:tc>
        <w:tc>
          <w:tcPr>
            <w:tcW w:w="5856" w:type="dxa"/>
            <w:vAlign w:val="center"/>
          </w:tcPr>
          <w:p w14:paraId="50B5928B">
            <w:pPr>
              <w:pStyle w:val="557"/>
            </w:pPr>
            <w:r>
              <w:t>（1）及时向上级报告环境污染事故的具体情况，必要时向有关单位发出增援请求，并向周边单位通报相关情况。</w:t>
            </w:r>
          </w:p>
          <w:p w14:paraId="60C3B9AF">
            <w:pPr>
              <w:pStyle w:val="557"/>
            </w:pPr>
            <w:r>
              <w:t>（2）组织指挥救援队伍实施救援行动，负责人员、资源配置、应急队伍的调动。</w:t>
            </w:r>
          </w:p>
          <w:p w14:paraId="4FB74A96">
            <w:pPr>
              <w:pStyle w:val="557"/>
            </w:pPr>
            <w:r>
              <w:t>（3）协调事故现场有关工作。配合政府部门对环境进行恢复、事故调查、经验教训总结。</w:t>
            </w:r>
          </w:p>
        </w:tc>
      </w:tr>
      <w:tr w14:paraId="0F71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5442A8EE">
            <w:pPr>
              <w:pStyle w:val="557"/>
            </w:pPr>
          </w:p>
        </w:tc>
        <w:tc>
          <w:tcPr>
            <w:tcW w:w="1701" w:type="dxa"/>
            <w:vAlign w:val="center"/>
          </w:tcPr>
          <w:p w14:paraId="1C578B8E">
            <w:pPr>
              <w:pStyle w:val="557"/>
            </w:pPr>
            <w:r>
              <w:t>6.5现场处置</w:t>
            </w:r>
          </w:p>
        </w:tc>
        <w:tc>
          <w:tcPr>
            <w:tcW w:w="5856" w:type="dxa"/>
            <w:vAlign w:val="center"/>
          </w:tcPr>
          <w:p w14:paraId="659178F0">
            <w:pPr>
              <w:pStyle w:val="557"/>
            </w:pPr>
            <w:r>
              <w:t>应急过程中采用的工程技术说明；应急过程中工艺生产过程中所采用</w:t>
            </w:r>
            <w:r>
              <w:rPr>
                <w:rFonts w:hint="eastAsia"/>
              </w:rPr>
              <w:t>的</w:t>
            </w:r>
            <w:r>
              <w:t>应急方案及操作程序；工艺流程中可能出现问题的解决方案；应急时停车停产的基本程序；基本控险、排险、堵漏、输转的基本方法；环境应急监测内容。污染物治理设施的应急方案；事故现场人员清点，撤离的方式、方法、地点；</w:t>
            </w:r>
          </w:p>
          <w:p w14:paraId="18D96B6D">
            <w:pPr>
              <w:pStyle w:val="557"/>
            </w:pPr>
            <w:r>
              <w:t>大气类污染事故保护目标的应急措施：</w:t>
            </w:r>
          </w:p>
          <w:p w14:paraId="67FAFF13">
            <w:pPr>
              <w:pStyle w:val="557"/>
            </w:pPr>
            <w:r>
              <w:t>（1）根据污染物的性质及事故种类，事故可控性、严重程度和影响范围，风向和风速，需确定以下内容：</w:t>
            </w:r>
          </w:p>
          <w:p w14:paraId="23186AE0">
            <w:pPr>
              <w:pStyle w:val="557"/>
            </w:pPr>
            <w:r>
              <w:t>（2）可能受影响区域的说明；</w:t>
            </w:r>
          </w:p>
          <w:p w14:paraId="7AC8C739">
            <w:pPr>
              <w:pStyle w:val="557"/>
            </w:pPr>
            <w:r>
              <w:t>（3）可能受影响区域单位、社区人员疏散的方式、方法、地点；</w:t>
            </w:r>
          </w:p>
          <w:p w14:paraId="038FCA39">
            <w:pPr>
              <w:pStyle w:val="557"/>
            </w:pPr>
            <w:r>
              <w:t>（4）可能受影响区域单位、社区人员基本保护措施和防护方法；</w:t>
            </w:r>
          </w:p>
          <w:p w14:paraId="3E4DB191">
            <w:pPr>
              <w:pStyle w:val="557"/>
            </w:pPr>
            <w:r>
              <w:t>（5）周边道路隔离或交通疏导办法；</w:t>
            </w:r>
          </w:p>
          <w:p w14:paraId="45A1DEBE">
            <w:pPr>
              <w:pStyle w:val="557"/>
            </w:pPr>
            <w:r>
              <w:t>（6）临时安置场所。</w:t>
            </w:r>
          </w:p>
          <w:p w14:paraId="6DEAFB68">
            <w:pPr>
              <w:pStyle w:val="557"/>
            </w:pPr>
            <w:r>
              <w:t>水类污染物事故保护目标的应急措施</w:t>
            </w:r>
          </w:p>
          <w:p w14:paraId="6ABBC38F">
            <w:pPr>
              <w:pStyle w:val="557"/>
            </w:pPr>
            <w:r>
              <w:t>（1）根据污染物的性质及事故类型，事故可控性、严重程度和影响范围，河流的流速与流量（或水体的状况），需确定以下内容：</w:t>
            </w:r>
          </w:p>
          <w:p w14:paraId="404A2BAD">
            <w:pPr>
              <w:pStyle w:val="557"/>
            </w:pPr>
            <w:r>
              <w:t>（2）可能受影响水体说明；</w:t>
            </w:r>
          </w:p>
          <w:p w14:paraId="787A66CF">
            <w:pPr>
              <w:pStyle w:val="557"/>
            </w:pPr>
            <w:r>
              <w:t>（3）消减污染物技术方法说明；</w:t>
            </w:r>
          </w:p>
          <w:p w14:paraId="0AC700AC">
            <w:pPr>
              <w:pStyle w:val="557"/>
            </w:pPr>
            <w:r>
              <w:t>（4）需要其他措施的说明（如其他企业污染物限排、停排，调水，污染水体疏导、自来水厂的应急措施等）。</w:t>
            </w:r>
          </w:p>
        </w:tc>
      </w:tr>
      <w:tr w14:paraId="33AE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18E4AF4">
            <w:pPr>
              <w:pStyle w:val="557"/>
            </w:pPr>
          </w:p>
        </w:tc>
        <w:tc>
          <w:tcPr>
            <w:tcW w:w="1701" w:type="dxa"/>
            <w:vAlign w:val="center"/>
          </w:tcPr>
          <w:p w14:paraId="1ADE2BD0">
            <w:pPr>
              <w:pStyle w:val="557"/>
            </w:pPr>
            <w:r>
              <w:t>6.6信息发布</w:t>
            </w:r>
          </w:p>
        </w:tc>
        <w:tc>
          <w:tcPr>
            <w:tcW w:w="5856" w:type="dxa"/>
            <w:vAlign w:val="center"/>
          </w:tcPr>
          <w:p w14:paraId="584394BE">
            <w:pPr>
              <w:pStyle w:val="557"/>
            </w:pPr>
            <w:r>
              <w:t>信息发布的内容、对象</w:t>
            </w:r>
          </w:p>
        </w:tc>
      </w:tr>
      <w:tr w14:paraId="0A3C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37AD3999">
            <w:pPr>
              <w:pStyle w:val="557"/>
            </w:pPr>
          </w:p>
        </w:tc>
        <w:tc>
          <w:tcPr>
            <w:tcW w:w="1701" w:type="dxa"/>
            <w:vAlign w:val="center"/>
          </w:tcPr>
          <w:p w14:paraId="0B876F3D">
            <w:pPr>
              <w:pStyle w:val="557"/>
            </w:pPr>
            <w:r>
              <w:t>6.7应急终止</w:t>
            </w:r>
          </w:p>
        </w:tc>
        <w:tc>
          <w:tcPr>
            <w:tcW w:w="5856" w:type="dxa"/>
            <w:vAlign w:val="center"/>
          </w:tcPr>
          <w:p w14:paraId="65C323AA">
            <w:pPr>
              <w:pStyle w:val="557"/>
            </w:pPr>
            <w:r>
              <w:t>应急终止程序和措施</w:t>
            </w:r>
          </w:p>
        </w:tc>
      </w:tr>
      <w:tr w14:paraId="76FD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4193E606">
            <w:pPr>
              <w:pStyle w:val="557"/>
            </w:pPr>
            <w:r>
              <w:t>7后期处置</w:t>
            </w:r>
          </w:p>
        </w:tc>
        <w:tc>
          <w:tcPr>
            <w:tcW w:w="1701" w:type="dxa"/>
            <w:vAlign w:val="center"/>
          </w:tcPr>
          <w:p w14:paraId="61EC45ED">
            <w:pPr>
              <w:pStyle w:val="557"/>
            </w:pPr>
            <w:r>
              <w:t>7.1善后处置</w:t>
            </w:r>
          </w:p>
        </w:tc>
        <w:tc>
          <w:tcPr>
            <w:tcW w:w="5856" w:type="dxa"/>
            <w:vAlign w:val="center"/>
          </w:tcPr>
          <w:p w14:paraId="40437575">
            <w:pPr>
              <w:pStyle w:val="557"/>
            </w:pPr>
            <w:r>
              <w:rPr>
                <w:rFonts w:hint="eastAsia"/>
              </w:rPr>
              <w:t>/</w:t>
            </w:r>
          </w:p>
        </w:tc>
      </w:tr>
      <w:tr w14:paraId="5322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2ABD3CE">
            <w:pPr>
              <w:pStyle w:val="557"/>
            </w:pPr>
          </w:p>
        </w:tc>
        <w:tc>
          <w:tcPr>
            <w:tcW w:w="1701" w:type="dxa"/>
            <w:vAlign w:val="center"/>
          </w:tcPr>
          <w:p w14:paraId="14E927EE">
            <w:pPr>
              <w:pStyle w:val="557"/>
            </w:pPr>
            <w:r>
              <w:t>7.2警戒与治安</w:t>
            </w:r>
          </w:p>
        </w:tc>
        <w:tc>
          <w:tcPr>
            <w:tcW w:w="5856" w:type="dxa"/>
            <w:vAlign w:val="center"/>
          </w:tcPr>
          <w:p w14:paraId="4FADA1BD">
            <w:pPr>
              <w:pStyle w:val="557"/>
            </w:pPr>
            <w:r>
              <w:t>事故现场的保护措施</w:t>
            </w:r>
          </w:p>
        </w:tc>
      </w:tr>
      <w:tr w14:paraId="23D4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6BBA36A">
            <w:pPr>
              <w:pStyle w:val="557"/>
            </w:pPr>
          </w:p>
        </w:tc>
        <w:tc>
          <w:tcPr>
            <w:tcW w:w="1701" w:type="dxa"/>
            <w:vAlign w:val="center"/>
          </w:tcPr>
          <w:p w14:paraId="177917D7">
            <w:pPr>
              <w:pStyle w:val="557"/>
            </w:pPr>
            <w:r>
              <w:t>7.3次生灾害防范</w:t>
            </w:r>
          </w:p>
        </w:tc>
        <w:tc>
          <w:tcPr>
            <w:tcW w:w="5856" w:type="dxa"/>
            <w:vAlign w:val="center"/>
          </w:tcPr>
          <w:p w14:paraId="1B94502D">
            <w:pPr>
              <w:pStyle w:val="557"/>
            </w:pPr>
            <w:r>
              <w:t>确定现场净化方式、方法；负责人和专业队伍；洗消后二次污染的防治方案；</w:t>
            </w:r>
          </w:p>
        </w:tc>
      </w:tr>
      <w:tr w14:paraId="4ADE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2ABBEADE">
            <w:pPr>
              <w:pStyle w:val="557"/>
            </w:pPr>
          </w:p>
        </w:tc>
        <w:tc>
          <w:tcPr>
            <w:tcW w:w="1701" w:type="dxa"/>
            <w:vAlign w:val="center"/>
          </w:tcPr>
          <w:p w14:paraId="062E1E78">
            <w:pPr>
              <w:pStyle w:val="557"/>
            </w:pPr>
            <w:r>
              <w:t>7.4调查与评估</w:t>
            </w:r>
          </w:p>
        </w:tc>
        <w:tc>
          <w:tcPr>
            <w:tcW w:w="5856" w:type="dxa"/>
            <w:vAlign w:val="center"/>
          </w:tcPr>
          <w:p w14:paraId="32539093">
            <w:pPr>
              <w:pStyle w:val="557"/>
            </w:pPr>
            <w:r>
              <w:rPr>
                <w:rFonts w:hint="eastAsia"/>
              </w:rPr>
              <w:t>/</w:t>
            </w:r>
          </w:p>
        </w:tc>
      </w:tr>
      <w:tr w14:paraId="427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48701091">
            <w:pPr>
              <w:pStyle w:val="557"/>
            </w:pPr>
          </w:p>
        </w:tc>
        <w:tc>
          <w:tcPr>
            <w:tcW w:w="1701" w:type="dxa"/>
            <w:vAlign w:val="center"/>
          </w:tcPr>
          <w:p w14:paraId="0E3868CA">
            <w:pPr>
              <w:pStyle w:val="557"/>
            </w:pPr>
            <w:r>
              <w:t>7.5生产秩序恢复重建</w:t>
            </w:r>
          </w:p>
        </w:tc>
        <w:tc>
          <w:tcPr>
            <w:tcW w:w="5856" w:type="dxa"/>
            <w:vAlign w:val="center"/>
          </w:tcPr>
          <w:p w14:paraId="2518C641">
            <w:pPr>
              <w:pStyle w:val="557"/>
            </w:pPr>
            <w:r>
              <w:t>/</w:t>
            </w:r>
          </w:p>
        </w:tc>
      </w:tr>
      <w:tr w14:paraId="3132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70982DBC">
            <w:pPr>
              <w:pStyle w:val="557"/>
            </w:pPr>
            <w:r>
              <w:t>8应急保障</w:t>
            </w:r>
          </w:p>
        </w:tc>
        <w:tc>
          <w:tcPr>
            <w:tcW w:w="1701" w:type="dxa"/>
            <w:vAlign w:val="center"/>
          </w:tcPr>
          <w:p w14:paraId="191F6E80">
            <w:pPr>
              <w:pStyle w:val="557"/>
            </w:pPr>
            <w:r>
              <w:t>8.1人力资源保障</w:t>
            </w:r>
          </w:p>
        </w:tc>
        <w:tc>
          <w:tcPr>
            <w:tcW w:w="5856" w:type="dxa"/>
            <w:vAlign w:val="center"/>
          </w:tcPr>
          <w:p w14:paraId="65DED8DF">
            <w:pPr>
              <w:pStyle w:val="557"/>
            </w:pPr>
            <w:r>
              <w:t>/</w:t>
            </w:r>
          </w:p>
        </w:tc>
      </w:tr>
      <w:tr w14:paraId="7DFC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0812A8DB">
            <w:pPr>
              <w:pStyle w:val="557"/>
            </w:pPr>
          </w:p>
        </w:tc>
        <w:tc>
          <w:tcPr>
            <w:tcW w:w="1701" w:type="dxa"/>
            <w:vAlign w:val="center"/>
          </w:tcPr>
          <w:p w14:paraId="4EE485EA">
            <w:pPr>
              <w:pStyle w:val="557"/>
            </w:pPr>
            <w:r>
              <w:t>8.2资金保障</w:t>
            </w:r>
          </w:p>
        </w:tc>
        <w:tc>
          <w:tcPr>
            <w:tcW w:w="5856" w:type="dxa"/>
            <w:vAlign w:val="center"/>
          </w:tcPr>
          <w:p w14:paraId="2FF2503B">
            <w:pPr>
              <w:pStyle w:val="557"/>
            </w:pPr>
            <w:r>
              <w:t>/</w:t>
            </w:r>
          </w:p>
        </w:tc>
      </w:tr>
      <w:tr w14:paraId="45FC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5FEC4183">
            <w:pPr>
              <w:pStyle w:val="557"/>
            </w:pPr>
          </w:p>
        </w:tc>
        <w:tc>
          <w:tcPr>
            <w:tcW w:w="1701" w:type="dxa"/>
            <w:vAlign w:val="center"/>
          </w:tcPr>
          <w:p w14:paraId="059A2612">
            <w:pPr>
              <w:pStyle w:val="557"/>
            </w:pPr>
            <w:r>
              <w:t>8.3物资保障</w:t>
            </w:r>
          </w:p>
        </w:tc>
        <w:tc>
          <w:tcPr>
            <w:tcW w:w="5856" w:type="dxa"/>
            <w:vAlign w:val="center"/>
          </w:tcPr>
          <w:p w14:paraId="05B32E19">
            <w:pPr>
              <w:pStyle w:val="557"/>
            </w:pPr>
            <w:r>
              <w:t>用于应急救援的物资，特别是处理泄漏物、消解和吸收污染物的化学品物资，如活性炭、木屑和石灰等，生产经营单位要采用就近原则，备足、备齐、定置明确，能保证现场应急处理（处置）的人员在第一时间内启用。用于应急救援的物资，尤其是活性炭、木屑和石灰要明确调用单位的联系方式，且调用方便、迅速。</w:t>
            </w:r>
          </w:p>
        </w:tc>
      </w:tr>
      <w:tr w14:paraId="45A2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830AAA6">
            <w:pPr>
              <w:pStyle w:val="557"/>
            </w:pPr>
          </w:p>
        </w:tc>
        <w:tc>
          <w:tcPr>
            <w:tcW w:w="1701" w:type="dxa"/>
            <w:vAlign w:val="center"/>
          </w:tcPr>
          <w:p w14:paraId="7E0F9FA8">
            <w:pPr>
              <w:pStyle w:val="557"/>
            </w:pPr>
            <w:r>
              <w:t>8.4医疗卫生保障</w:t>
            </w:r>
          </w:p>
        </w:tc>
        <w:tc>
          <w:tcPr>
            <w:tcW w:w="5856" w:type="dxa"/>
            <w:vAlign w:val="center"/>
          </w:tcPr>
          <w:p w14:paraId="386CEBE3">
            <w:pPr>
              <w:pStyle w:val="557"/>
            </w:pPr>
            <w:r>
              <w:t>/</w:t>
            </w:r>
          </w:p>
        </w:tc>
      </w:tr>
      <w:tr w14:paraId="3EE2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D8C5A31">
            <w:pPr>
              <w:pStyle w:val="557"/>
            </w:pPr>
          </w:p>
        </w:tc>
        <w:tc>
          <w:tcPr>
            <w:tcW w:w="1701" w:type="dxa"/>
            <w:vAlign w:val="center"/>
          </w:tcPr>
          <w:p w14:paraId="0C6D0AE8">
            <w:pPr>
              <w:pStyle w:val="557"/>
            </w:pPr>
            <w:r>
              <w:t>8.5交通运输保障</w:t>
            </w:r>
          </w:p>
        </w:tc>
        <w:tc>
          <w:tcPr>
            <w:tcW w:w="5856" w:type="dxa"/>
            <w:vAlign w:val="center"/>
          </w:tcPr>
          <w:p w14:paraId="4E48188F">
            <w:pPr>
              <w:pStyle w:val="557"/>
            </w:pPr>
            <w:r>
              <w:t>/</w:t>
            </w:r>
          </w:p>
        </w:tc>
      </w:tr>
      <w:tr w14:paraId="067E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24CC61F2">
            <w:pPr>
              <w:pStyle w:val="557"/>
            </w:pPr>
          </w:p>
        </w:tc>
        <w:tc>
          <w:tcPr>
            <w:tcW w:w="1701" w:type="dxa"/>
            <w:vAlign w:val="center"/>
          </w:tcPr>
          <w:p w14:paraId="4FD64925">
            <w:pPr>
              <w:pStyle w:val="557"/>
            </w:pPr>
            <w:r>
              <w:t>8.6治安维护</w:t>
            </w:r>
          </w:p>
        </w:tc>
        <w:tc>
          <w:tcPr>
            <w:tcW w:w="5856" w:type="dxa"/>
            <w:vAlign w:val="center"/>
          </w:tcPr>
          <w:p w14:paraId="6AC0EE2D">
            <w:pPr>
              <w:pStyle w:val="557"/>
            </w:pPr>
            <w:r>
              <w:t>/</w:t>
            </w:r>
          </w:p>
        </w:tc>
      </w:tr>
      <w:tr w14:paraId="17B7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2E4929B9">
            <w:pPr>
              <w:pStyle w:val="557"/>
            </w:pPr>
          </w:p>
        </w:tc>
        <w:tc>
          <w:tcPr>
            <w:tcW w:w="1701" w:type="dxa"/>
            <w:vAlign w:val="center"/>
          </w:tcPr>
          <w:p w14:paraId="47D2598D">
            <w:pPr>
              <w:pStyle w:val="557"/>
            </w:pPr>
            <w:r>
              <w:t>8.7通信保障</w:t>
            </w:r>
          </w:p>
        </w:tc>
        <w:tc>
          <w:tcPr>
            <w:tcW w:w="5856" w:type="dxa"/>
            <w:vAlign w:val="center"/>
          </w:tcPr>
          <w:p w14:paraId="6BC24AAA">
            <w:pPr>
              <w:pStyle w:val="557"/>
            </w:pPr>
            <w:r>
              <w:t>/</w:t>
            </w:r>
          </w:p>
        </w:tc>
      </w:tr>
      <w:tr w14:paraId="77C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6EA37175">
            <w:pPr>
              <w:pStyle w:val="557"/>
            </w:pPr>
          </w:p>
        </w:tc>
        <w:tc>
          <w:tcPr>
            <w:tcW w:w="1701" w:type="dxa"/>
            <w:vAlign w:val="center"/>
          </w:tcPr>
          <w:p w14:paraId="0F447D0F">
            <w:pPr>
              <w:pStyle w:val="557"/>
            </w:pPr>
            <w:r>
              <w:t>8.8科技支撑</w:t>
            </w:r>
          </w:p>
        </w:tc>
        <w:tc>
          <w:tcPr>
            <w:tcW w:w="5856" w:type="dxa"/>
            <w:vAlign w:val="center"/>
          </w:tcPr>
          <w:p w14:paraId="517E5D20">
            <w:pPr>
              <w:pStyle w:val="557"/>
            </w:pPr>
            <w:r>
              <w:t>/</w:t>
            </w:r>
          </w:p>
        </w:tc>
      </w:tr>
      <w:tr w14:paraId="3799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restart"/>
            <w:vAlign w:val="center"/>
          </w:tcPr>
          <w:p w14:paraId="37225135">
            <w:pPr>
              <w:pStyle w:val="557"/>
            </w:pPr>
            <w:r>
              <w:t>9监督与管理</w:t>
            </w:r>
          </w:p>
        </w:tc>
        <w:tc>
          <w:tcPr>
            <w:tcW w:w="1701" w:type="dxa"/>
            <w:vAlign w:val="center"/>
          </w:tcPr>
          <w:p w14:paraId="3A92328D">
            <w:pPr>
              <w:pStyle w:val="557"/>
            </w:pPr>
            <w:r>
              <w:t>9.1应急预案演练</w:t>
            </w:r>
          </w:p>
        </w:tc>
        <w:tc>
          <w:tcPr>
            <w:tcW w:w="5856" w:type="dxa"/>
            <w:vAlign w:val="center"/>
          </w:tcPr>
          <w:p w14:paraId="15AA0BF7">
            <w:pPr>
              <w:pStyle w:val="557"/>
            </w:pPr>
            <w:r>
              <w:t>至少每年1次，包括（1）演习准备；（2）演习范围与频次；（3）演习组织；（4）应急演习的评价、总结与追踪。</w:t>
            </w:r>
          </w:p>
        </w:tc>
      </w:tr>
      <w:tr w14:paraId="6226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1E93E511">
            <w:pPr>
              <w:pStyle w:val="557"/>
            </w:pPr>
          </w:p>
        </w:tc>
        <w:tc>
          <w:tcPr>
            <w:tcW w:w="1701" w:type="dxa"/>
            <w:vAlign w:val="center"/>
          </w:tcPr>
          <w:p w14:paraId="2AC780FD">
            <w:pPr>
              <w:pStyle w:val="557"/>
            </w:pPr>
            <w:r>
              <w:t>9.2宣教培训</w:t>
            </w:r>
          </w:p>
        </w:tc>
        <w:tc>
          <w:tcPr>
            <w:tcW w:w="5856" w:type="dxa"/>
            <w:vAlign w:val="center"/>
          </w:tcPr>
          <w:p w14:paraId="42AC2C26">
            <w:pPr>
              <w:pStyle w:val="557"/>
            </w:pPr>
            <w:r>
              <w:t>至少每年1次，包括（1）应急救援队员的专业培训内容和方法；（2）本单位员工应急救援基本知识培训的内容和方法；（3）外部公众应急救援基本知识培训的内容和方法；（4）运输司机、监测人员等培训内容和方法；（5）应急培训内容、方式、记录表</w:t>
            </w:r>
          </w:p>
        </w:tc>
      </w:tr>
      <w:tr w14:paraId="4F46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Merge w:val="continue"/>
            <w:vAlign w:val="center"/>
          </w:tcPr>
          <w:p w14:paraId="78B63310">
            <w:pPr>
              <w:pStyle w:val="557"/>
            </w:pPr>
          </w:p>
        </w:tc>
        <w:tc>
          <w:tcPr>
            <w:tcW w:w="1701" w:type="dxa"/>
            <w:vAlign w:val="center"/>
          </w:tcPr>
          <w:p w14:paraId="00D1DE7C">
            <w:pPr>
              <w:pStyle w:val="557"/>
            </w:pPr>
            <w:r>
              <w:t>9.3责任与奖惩</w:t>
            </w:r>
          </w:p>
        </w:tc>
        <w:tc>
          <w:tcPr>
            <w:tcW w:w="5856" w:type="dxa"/>
            <w:vAlign w:val="center"/>
          </w:tcPr>
          <w:p w14:paraId="0E50DD4B">
            <w:pPr>
              <w:pStyle w:val="557"/>
            </w:pPr>
          </w:p>
        </w:tc>
      </w:tr>
      <w:tr w14:paraId="180C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Align w:val="center"/>
          </w:tcPr>
          <w:p w14:paraId="542FAABC">
            <w:pPr>
              <w:pStyle w:val="557"/>
            </w:pPr>
            <w:r>
              <w:t>10附则</w:t>
            </w:r>
          </w:p>
        </w:tc>
        <w:tc>
          <w:tcPr>
            <w:tcW w:w="1701" w:type="dxa"/>
            <w:vAlign w:val="center"/>
          </w:tcPr>
          <w:p w14:paraId="43B5C1C4">
            <w:pPr>
              <w:pStyle w:val="557"/>
            </w:pPr>
            <w:r>
              <w:t>/</w:t>
            </w:r>
          </w:p>
        </w:tc>
        <w:tc>
          <w:tcPr>
            <w:tcW w:w="5856" w:type="dxa"/>
            <w:vAlign w:val="center"/>
          </w:tcPr>
          <w:p w14:paraId="2ED76361">
            <w:pPr>
              <w:pStyle w:val="557"/>
            </w:pPr>
            <w:r>
              <w:t>名词术语、预案解释、修订情况、实施日期</w:t>
            </w:r>
          </w:p>
        </w:tc>
      </w:tr>
      <w:tr w14:paraId="40E7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8" w:type="dxa"/>
            <w:vAlign w:val="center"/>
          </w:tcPr>
          <w:p w14:paraId="2D97DB0D">
            <w:pPr>
              <w:pStyle w:val="557"/>
            </w:pPr>
            <w:r>
              <w:t>附件</w:t>
            </w:r>
          </w:p>
        </w:tc>
        <w:tc>
          <w:tcPr>
            <w:tcW w:w="1701" w:type="dxa"/>
            <w:vAlign w:val="center"/>
          </w:tcPr>
          <w:p w14:paraId="35BB45E9">
            <w:pPr>
              <w:pStyle w:val="557"/>
            </w:pPr>
            <w:r>
              <w:t>/</w:t>
            </w:r>
          </w:p>
        </w:tc>
        <w:tc>
          <w:tcPr>
            <w:tcW w:w="5856" w:type="dxa"/>
            <w:vAlign w:val="center"/>
          </w:tcPr>
          <w:p w14:paraId="6C75BA5B">
            <w:pPr>
              <w:pStyle w:val="557"/>
            </w:pPr>
            <w:r>
              <w:t>应急救援组织机构名单、相关单位和人员通讯录、应急工作流程图、区域位置及周围环境敏感点分布图、重大危险源分布图、</w:t>
            </w:r>
          </w:p>
          <w:p w14:paraId="7B7B3688">
            <w:pPr>
              <w:pStyle w:val="557"/>
            </w:pPr>
            <w:r>
              <w:t>紧急疏散线路图、应急设施</w:t>
            </w:r>
            <w:r>
              <w:rPr>
                <w:rFonts w:hint="eastAsia"/>
              </w:rPr>
              <w:t>（设</w:t>
            </w:r>
            <w:r>
              <w:t>备）平面布置图、应急物资储备清单、标准化格式文本</w:t>
            </w:r>
          </w:p>
        </w:tc>
      </w:tr>
    </w:tbl>
    <w:p w14:paraId="1E8DDDB3">
      <w:pPr>
        <w:pStyle w:val="557"/>
      </w:pPr>
    </w:p>
    <w:p w14:paraId="437ED13A">
      <w:pPr>
        <w:pStyle w:val="281"/>
        <w:ind w:firstLine="480"/>
        <w:rPr>
          <w:snapToGrid w:val="0"/>
          <w:u w:color="000000"/>
        </w:rPr>
      </w:pPr>
      <w:r>
        <w:rPr>
          <w:rFonts w:hint="eastAsia"/>
          <w:snapToGrid w:val="0"/>
          <w:u w:color="000000"/>
        </w:rPr>
        <w:t>（1）总则</w:t>
      </w:r>
    </w:p>
    <w:p w14:paraId="732D768F">
      <w:pPr>
        <w:pStyle w:val="281"/>
        <w:ind w:firstLine="480"/>
      </w:pPr>
      <w:r>
        <w:rPr>
          <w:rFonts w:hint="eastAsia"/>
        </w:rPr>
        <w:t>①明确预案编制的目的、应急工作原则。</w:t>
      </w:r>
    </w:p>
    <w:p w14:paraId="322A39A5">
      <w:pPr>
        <w:pStyle w:val="281"/>
        <w:ind w:firstLine="480"/>
        <w:rPr>
          <w:snapToGrid w:val="0"/>
          <w:u w:color="000000"/>
        </w:rPr>
      </w:pPr>
      <w:r>
        <w:rPr>
          <w:rFonts w:hint="eastAsia"/>
          <w:snapToGrid w:val="0"/>
          <w:u w:color="000000"/>
        </w:rPr>
        <w:t>②明确预案编制所依据的国家法律法规、规章制度，部门文件，有关行业技术规范标准，以及企业关于应急工作的有关制度和管理办法等。</w:t>
      </w:r>
    </w:p>
    <w:p w14:paraId="18F245C9">
      <w:pPr>
        <w:pStyle w:val="281"/>
        <w:ind w:firstLine="480"/>
        <w:rPr>
          <w:snapToGrid w:val="0"/>
          <w:u w:color="000000"/>
        </w:rPr>
      </w:pPr>
      <w:r>
        <w:rPr>
          <w:rFonts w:hint="eastAsia"/>
          <w:snapToGrid w:val="0"/>
          <w:u w:color="000000"/>
        </w:rPr>
        <w:t>③规定应急预案适用的对象、范围，以及环境污染事件的类型、级别等。</w:t>
      </w:r>
    </w:p>
    <w:p w14:paraId="216BF781">
      <w:pPr>
        <w:pStyle w:val="281"/>
        <w:ind w:firstLine="480"/>
        <w:rPr>
          <w:snapToGrid w:val="0"/>
          <w:u w:color="000000"/>
        </w:rPr>
      </w:pPr>
      <w:r>
        <w:rPr>
          <w:rFonts w:hint="eastAsia"/>
          <w:snapToGrid w:val="0"/>
          <w:u w:color="000000"/>
        </w:rPr>
        <w:t>④参照《国家突发环境事件应急预案》对突发环境事件进行分类与分级。</w:t>
      </w:r>
    </w:p>
    <w:p w14:paraId="4602CE47">
      <w:pPr>
        <w:pStyle w:val="281"/>
        <w:ind w:firstLine="480"/>
        <w:rPr>
          <w:snapToGrid w:val="0"/>
          <w:u w:color="000000"/>
        </w:rPr>
      </w:pPr>
      <w:r>
        <w:rPr>
          <w:rFonts w:hint="eastAsia"/>
          <w:snapToGrid w:val="0"/>
          <w:u w:color="000000"/>
        </w:rPr>
        <w:t>⑤应急预案应与园区、地方政府应急预案相衔接。</w:t>
      </w:r>
    </w:p>
    <w:p w14:paraId="74B05F65">
      <w:pPr>
        <w:pStyle w:val="281"/>
        <w:ind w:firstLine="480"/>
        <w:rPr>
          <w:snapToGrid w:val="0"/>
          <w:u w:color="000000"/>
        </w:rPr>
      </w:pPr>
      <w:r>
        <w:rPr>
          <w:rFonts w:hint="eastAsia"/>
          <w:snapToGrid w:val="0"/>
          <w:u w:color="000000"/>
        </w:rPr>
        <w:t>（2）组织机构和职责</w:t>
      </w:r>
    </w:p>
    <w:p w14:paraId="2D488B39">
      <w:pPr>
        <w:pStyle w:val="281"/>
        <w:ind w:firstLine="480"/>
        <w:rPr>
          <w:snapToGrid w:val="0"/>
          <w:u w:color="000000"/>
        </w:rPr>
      </w:pPr>
      <w:r>
        <w:rPr>
          <w:rFonts w:hint="eastAsia"/>
          <w:snapToGrid w:val="0"/>
          <w:u w:color="000000"/>
        </w:rPr>
        <w:t>①明确应急组织机构的构成。</w:t>
      </w:r>
    </w:p>
    <w:p w14:paraId="5311C1FA">
      <w:pPr>
        <w:pStyle w:val="281"/>
        <w:ind w:firstLine="480"/>
        <w:rPr>
          <w:snapToGrid w:val="0"/>
          <w:u w:color="000000"/>
        </w:rPr>
      </w:pPr>
      <w:r>
        <w:rPr>
          <w:rFonts w:hint="eastAsia"/>
          <w:snapToGrid w:val="0"/>
          <w:u w:color="000000"/>
        </w:rPr>
        <w:t>②规定应急组织体系中各部门的应急工作职责、协调管理范畴、负责解决的主要问题和具体操作步骤等。</w:t>
      </w:r>
    </w:p>
    <w:p w14:paraId="6B4B7D78">
      <w:pPr>
        <w:pStyle w:val="281"/>
        <w:ind w:firstLine="480"/>
        <w:rPr>
          <w:snapToGrid w:val="0"/>
          <w:u w:color="000000"/>
        </w:rPr>
      </w:pPr>
      <w:r>
        <w:rPr>
          <w:rFonts w:hint="eastAsia"/>
          <w:snapToGrid w:val="0"/>
          <w:u w:color="000000"/>
        </w:rPr>
        <w:t>（3）预防与预警</w:t>
      </w:r>
    </w:p>
    <w:p w14:paraId="4A1942C7">
      <w:pPr>
        <w:pStyle w:val="281"/>
        <w:ind w:firstLine="480"/>
        <w:rPr>
          <w:snapToGrid w:val="0"/>
          <w:u w:color="000000"/>
        </w:rPr>
      </w:pPr>
      <w:r>
        <w:rPr>
          <w:rFonts w:hint="eastAsia"/>
          <w:snapToGrid w:val="0"/>
          <w:u w:color="000000"/>
        </w:rPr>
        <w:t>①规定对区域内容易引发重大突发环境事件的危险源、危险区域进行调查、登记、风险评估，组织进行检查、监控，并采取安全防范措施，对突发环境事件进行预防。</w:t>
      </w:r>
      <w:r>
        <w:rPr>
          <w:snapToGrid w:val="0"/>
          <w:u w:color="000000"/>
        </w:rPr>
        <w:t xml:space="preserve"> </w:t>
      </w:r>
    </w:p>
    <w:p w14:paraId="4623B292">
      <w:pPr>
        <w:pStyle w:val="281"/>
        <w:ind w:firstLine="480"/>
        <w:rPr>
          <w:snapToGrid w:val="0"/>
          <w:u w:color="000000"/>
        </w:rPr>
      </w:pPr>
      <w:r>
        <w:rPr>
          <w:rFonts w:hint="eastAsia"/>
          <w:snapToGrid w:val="0"/>
          <w:u w:color="000000"/>
        </w:rPr>
        <w:t>②明确应急组织机构成员根据职责需开展的预防和应急准备工作，如完善应急预案、应急培训、演练、相关知识培训、应急平台建设、新技术研发等。</w:t>
      </w:r>
      <w:r>
        <w:rPr>
          <w:snapToGrid w:val="0"/>
          <w:u w:color="000000"/>
        </w:rPr>
        <w:t xml:space="preserve"> </w:t>
      </w:r>
    </w:p>
    <w:p w14:paraId="6286628E">
      <w:pPr>
        <w:pStyle w:val="281"/>
        <w:ind w:firstLine="480"/>
        <w:rPr>
          <w:snapToGrid w:val="0"/>
          <w:u w:color="000000"/>
        </w:rPr>
      </w:pPr>
      <w:r>
        <w:rPr>
          <w:rFonts w:hint="eastAsia"/>
          <w:snapToGrid w:val="0"/>
          <w:u w:color="000000"/>
        </w:rPr>
        <w:t>③应按照早发现、早报告、早处置的原则，对重点排污口进行例行监测；</w:t>
      </w:r>
      <w:r>
        <w:rPr>
          <w:snapToGrid w:val="0"/>
          <w:u w:color="000000"/>
        </w:rPr>
        <w:t xml:space="preserve"> </w:t>
      </w:r>
    </w:p>
    <w:p w14:paraId="587FC16B">
      <w:pPr>
        <w:pStyle w:val="281"/>
        <w:ind w:firstLine="480"/>
        <w:rPr>
          <w:snapToGrid w:val="0"/>
          <w:u w:color="000000"/>
        </w:rPr>
      </w:pPr>
      <w:r>
        <w:rPr>
          <w:rFonts w:hint="eastAsia"/>
          <w:snapToGrid w:val="0"/>
          <w:u w:color="000000"/>
        </w:rPr>
        <w:t>④根据应急能力情况及可能发生的突发环境事件级别，有针对性地开展应急监测工作。</w:t>
      </w:r>
    </w:p>
    <w:p w14:paraId="382C0BED">
      <w:pPr>
        <w:pStyle w:val="281"/>
        <w:ind w:firstLine="480"/>
        <w:rPr>
          <w:snapToGrid w:val="0"/>
          <w:u w:color="000000"/>
        </w:rPr>
      </w:pPr>
      <w:r>
        <w:rPr>
          <w:rFonts w:hint="eastAsia"/>
          <w:snapToGrid w:val="0"/>
          <w:u w:color="000000"/>
        </w:rPr>
        <w:t>（4）应急响应</w:t>
      </w:r>
    </w:p>
    <w:p w14:paraId="0CD245B6">
      <w:pPr>
        <w:pStyle w:val="281"/>
        <w:ind w:firstLine="480"/>
        <w:rPr>
          <w:snapToGrid w:val="0"/>
          <w:u w:color="000000"/>
        </w:rPr>
      </w:pPr>
      <w:r>
        <w:rPr>
          <w:rFonts w:hint="eastAsia"/>
          <w:snapToGrid w:val="0"/>
          <w:u w:color="000000"/>
        </w:rPr>
        <w:t>①明确应急响应的流程和步骤。</w:t>
      </w:r>
    </w:p>
    <w:p w14:paraId="79C91CF2">
      <w:pPr>
        <w:pStyle w:val="281"/>
        <w:ind w:firstLine="480"/>
        <w:rPr>
          <w:snapToGrid w:val="0"/>
          <w:u w:color="000000"/>
        </w:rPr>
      </w:pPr>
      <w:r>
        <w:rPr>
          <w:rFonts w:hint="eastAsia"/>
          <w:snapToGrid w:val="0"/>
          <w:u w:color="000000"/>
        </w:rPr>
        <w:t>②根据事件紧急和危害程度，对应急响应进行分级，超出本级应急处置能力时，应及时启动上一级应急预案。</w:t>
      </w:r>
    </w:p>
    <w:p w14:paraId="33687B35">
      <w:pPr>
        <w:pStyle w:val="281"/>
        <w:ind w:firstLine="480"/>
        <w:rPr>
          <w:snapToGrid w:val="0"/>
          <w:u w:color="000000"/>
        </w:rPr>
      </w:pPr>
      <w:r>
        <w:rPr>
          <w:rFonts w:hint="eastAsia"/>
          <w:snapToGrid w:val="0"/>
          <w:u w:color="000000"/>
        </w:rPr>
        <w:t>③规定不同级别预案的启动条件。</w:t>
      </w:r>
      <w:r>
        <w:rPr>
          <w:snapToGrid w:val="0"/>
          <w:u w:color="000000"/>
        </w:rPr>
        <w:t xml:space="preserve"> </w:t>
      </w:r>
    </w:p>
    <w:p w14:paraId="4A4B6D81">
      <w:pPr>
        <w:pStyle w:val="281"/>
        <w:ind w:firstLine="480"/>
        <w:rPr>
          <w:snapToGrid w:val="0"/>
          <w:u w:color="000000"/>
        </w:rPr>
      </w:pPr>
      <w:r>
        <w:rPr>
          <w:rFonts w:hint="eastAsia"/>
          <w:snapToGrid w:val="0"/>
          <w:u w:color="000000"/>
        </w:rPr>
        <w:t>④明确</w:t>
      </w:r>
      <w:r>
        <w:rPr>
          <w:snapToGrid w:val="0"/>
          <w:u w:color="000000"/>
        </w:rPr>
        <w:t>24</w:t>
      </w:r>
      <w:r>
        <w:rPr>
          <w:rFonts w:hint="eastAsia"/>
          <w:snapToGrid w:val="0"/>
          <w:u w:color="000000"/>
        </w:rPr>
        <w:t>小时应急值守电话、内部信息报告的形式和要求，以及事件信息的通报流程、上报的部门、方式、内容和时限等内容。</w:t>
      </w:r>
      <w:r>
        <w:rPr>
          <w:snapToGrid w:val="0"/>
          <w:u w:color="000000"/>
        </w:rPr>
        <w:t xml:space="preserve"> </w:t>
      </w:r>
    </w:p>
    <w:p w14:paraId="4AB4D21E">
      <w:pPr>
        <w:pStyle w:val="281"/>
        <w:ind w:firstLine="480"/>
        <w:rPr>
          <w:snapToGrid w:val="0"/>
          <w:u w:color="000000"/>
        </w:rPr>
      </w:pPr>
      <w:r>
        <w:rPr>
          <w:rFonts w:hint="eastAsia"/>
          <w:snapToGrid w:val="0"/>
          <w:u w:color="000000"/>
        </w:rPr>
        <w:t>⑤明确事件发生后向可能遭受事件影响的单位，以及向请求援助单位发出有关信息的方式、方法。</w:t>
      </w:r>
    </w:p>
    <w:p w14:paraId="15EDA417">
      <w:pPr>
        <w:pStyle w:val="281"/>
        <w:ind w:firstLine="480"/>
        <w:rPr>
          <w:snapToGrid w:val="0"/>
          <w:u w:color="000000"/>
        </w:rPr>
      </w:pPr>
      <w:r>
        <w:rPr>
          <w:rFonts w:hint="eastAsia"/>
          <w:snapToGrid w:val="0"/>
          <w:u w:color="000000"/>
        </w:rPr>
        <w:t>⑥明确应急行动开展之前的准备工作，包括下达启动预案命令、召开应急会议、各应急组织成员的</w:t>
      </w:r>
      <w:r>
        <w:rPr>
          <w:rFonts w:hint="eastAsia"/>
          <w:snapToGrid w:val="0"/>
          <w:u w:color="000000"/>
          <w:lang w:eastAsia="zh-CN"/>
        </w:rPr>
        <w:t>联席会议</w:t>
      </w:r>
      <w:r>
        <w:rPr>
          <w:rFonts w:hint="eastAsia"/>
          <w:snapToGrid w:val="0"/>
          <w:u w:color="000000"/>
        </w:rPr>
        <w:t>等。</w:t>
      </w:r>
      <w:r>
        <w:rPr>
          <w:snapToGrid w:val="0"/>
          <w:u w:color="000000"/>
        </w:rPr>
        <w:t xml:space="preserve"> </w:t>
      </w:r>
    </w:p>
    <w:p w14:paraId="58BCBC01">
      <w:pPr>
        <w:pStyle w:val="281"/>
        <w:ind w:firstLine="480"/>
      </w:pPr>
      <w:r>
        <w:rPr>
          <w:rFonts w:hint="eastAsia"/>
        </w:rPr>
        <w:t>⑦规定紧急情况下企业应按事发地环保部门要求，配合开展工作。</w:t>
      </w:r>
    </w:p>
    <w:p w14:paraId="5B854E4D">
      <w:pPr>
        <w:pStyle w:val="281"/>
        <w:ind w:firstLine="480"/>
        <w:rPr>
          <w:snapToGrid w:val="0"/>
          <w:u w:color="000000"/>
        </w:rPr>
      </w:pPr>
      <w:r>
        <w:rPr>
          <w:rFonts w:hint="eastAsia"/>
          <w:snapToGrid w:val="0"/>
          <w:u w:color="000000"/>
        </w:rPr>
        <w:t>⑧明确应急监测方案，应急监测的采样布点、监测项目、现场监测、分析方法、监测报告等应符合《突发环境事件应急监测技术规范》（</w:t>
      </w:r>
      <w:r>
        <w:rPr>
          <w:snapToGrid w:val="0"/>
          <w:u w:color="000000"/>
        </w:rPr>
        <w:t>HJ589-2010</w:t>
      </w:r>
      <w:r>
        <w:rPr>
          <w:rFonts w:hint="eastAsia"/>
          <w:snapToGrid w:val="0"/>
          <w:u w:color="000000"/>
        </w:rPr>
        <w:t>）的规定。在环境事件发生后，环境应急监测机构应立即做出反应，根据事故特性对污染因子进行跟踪监测。特别要注意特征污染物的监测，可根据事故的具体情况，加密监测频次。配合政府监测机构实行紧急救援与做好善后工作，把污染事故的危害减至最小。</w:t>
      </w:r>
    </w:p>
    <w:p w14:paraId="2419B4F2">
      <w:pPr>
        <w:pStyle w:val="281"/>
        <w:ind w:firstLine="480"/>
        <w:rPr>
          <w:snapToGrid w:val="0"/>
          <w:u w:color="000000"/>
        </w:rPr>
      </w:pPr>
      <w:r>
        <w:rPr>
          <w:rFonts w:hint="eastAsia"/>
          <w:snapToGrid w:val="0"/>
          <w:u w:color="000000"/>
        </w:rPr>
        <w:t>⑨根据识别出的环境风险源，制定各环境要素的专项应急预案，应包括水环境污染事件、有毒有害气体扩散事件、危险化学品及危险废物污染事件、辐射事件等）。</w:t>
      </w:r>
    </w:p>
    <w:p w14:paraId="093F5AA5">
      <w:pPr>
        <w:pStyle w:val="281"/>
        <w:ind w:firstLine="480"/>
        <w:rPr>
          <w:snapToGrid w:val="0"/>
          <w:u w:color="000000"/>
        </w:rPr>
      </w:pPr>
      <w:r>
        <w:rPr>
          <w:rFonts w:hint="eastAsia"/>
          <w:snapToGrid w:val="0"/>
          <w:u w:color="000000"/>
        </w:rPr>
        <w:t>⑩明确项目附近可依托医疗机构的位置、接收能力等，以及应急人员、受灾群众的安全防护措施和现场人员的撤离方案。明确应急终止条件和程序。</w:t>
      </w:r>
    </w:p>
    <w:p w14:paraId="5E851E4B">
      <w:pPr>
        <w:pStyle w:val="281"/>
        <w:ind w:firstLine="480"/>
        <w:rPr>
          <w:snapToGrid w:val="0"/>
          <w:u w:color="000000"/>
        </w:rPr>
      </w:pPr>
      <w:r>
        <w:rPr>
          <w:rFonts w:hint="eastAsia"/>
          <w:snapToGrid w:val="0"/>
          <w:u w:color="000000"/>
        </w:rPr>
        <w:t>（5）应急保障</w:t>
      </w:r>
    </w:p>
    <w:p w14:paraId="33E7FF7C">
      <w:pPr>
        <w:pStyle w:val="281"/>
        <w:ind w:firstLine="480"/>
        <w:rPr>
          <w:snapToGrid w:val="0"/>
          <w:u w:color="000000"/>
        </w:rPr>
      </w:pPr>
      <w:r>
        <w:rPr>
          <w:rFonts w:hint="eastAsia"/>
          <w:snapToGrid w:val="0"/>
          <w:u w:color="000000"/>
        </w:rPr>
        <w:t>①制定应急资源建设及储备目标，落实责任主体，明确应急专项经费来源，确定外部依托机构，针对应急能力评估中发现的不足制定措施。</w:t>
      </w:r>
    </w:p>
    <w:p w14:paraId="66410286">
      <w:pPr>
        <w:pStyle w:val="281"/>
        <w:ind w:firstLine="480"/>
        <w:rPr>
          <w:snapToGrid w:val="0"/>
          <w:u w:color="000000"/>
        </w:rPr>
      </w:pPr>
      <w:r>
        <w:rPr>
          <w:rFonts w:hint="eastAsia"/>
          <w:snapToGrid w:val="0"/>
          <w:u w:color="000000"/>
        </w:rPr>
        <w:t>②应急保障责任主体依据既有应急保障计划，落实应急专家、应急队伍、应急资金、应急物资配备、调用标准及措施。</w:t>
      </w:r>
    </w:p>
    <w:p w14:paraId="670ABDA5">
      <w:pPr>
        <w:pStyle w:val="281"/>
        <w:ind w:firstLine="480"/>
        <w:rPr>
          <w:snapToGrid w:val="0"/>
          <w:u w:color="000000"/>
        </w:rPr>
      </w:pPr>
      <w:r>
        <w:rPr>
          <w:rFonts w:hint="eastAsia"/>
          <w:snapToGrid w:val="0"/>
          <w:u w:color="000000"/>
        </w:rPr>
        <w:t>③企业依据重特大事件应急处置的需求，建立健全以应急物资储备为主，社会救援物资为辅的物资保障体系，建立应急物资动态管理制度。</w:t>
      </w:r>
    </w:p>
    <w:p w14:paraId="221A6385">
      <w:pPr>
        <w:pStyle w:val="281"/>
        <w:ind w:firstLine="480"/>
        <w:rPr>
          <w:snapToGrid w:val="0"/>
          <w:u w:color="000000"/>
        </w:rPr>
      </w:pPr>
      <w:r>
        <w:rPr>
          <w:rFonts w:hint="eastAsia"/>
          <w:snapToGrid w:val="0"/>
          <w:u w:color="000000"/>
        </w:rPr>
        <w:t>④明确与应急工作相关的单位和人员联系方式及方法，并提供备用方案。建立健全应急通信系统与配套设施，确保应急状态下信息通畅。</w:t>
      </w:r>
    </w:p>
    <w:p w14:paraId="6968B377">
      <w:pPr>
        <w:pStyle w:val="281"/>
        <w:ind w:firstLine="480"/>
        <w:rPr>
          <w:snapToGrid w:val="0"/>
          <w:u w:color="000000"/>
        </w:rPr>
      </w:pPr>
      <w:r>
        <w:rPr>
          <w:rFonts w:hint="eastAsia"/>
          <w:snapToGrid w:val="0"/>
          <w:u w:color="000000"/>
        </w:rPr>
        <w:t>⑤根据应急工作需求，确定其他相关保障措施</w:t>
      </w:r>
      <w:r>
        <w:rPr>
          <w:snapToGrid w:val="0"/>
          <w:u w:color="000000"/>
        </w:rPr>
        <w:t>(</w:t>
      </w:r>
      <w:r>
        <w:rPr>
          <w:rFonts w:hint="eastAsia"/>
          <w:snapToGrid w:val="0"/>
          <w:u w:color="000000"/>
        </w:rPr>
        <w:t>交通运输、治安、医疗、后勤、体制机制、对外信息发布保障等</w:t>
      </w:r>
      <w:r>
        <w:rPr>
          <w:snapToGrid w:val="0"/>
          <w:u w:color="000000"/>
        </w:rPr>
        <w:t>)</w:t>
      </w:r>
      <w:r>
        <w:rPr>
          <w:rFonts w:hint="eastAsia"/>
          <w:snapToGrid w:val="0"/>
          <w:u w:color="000000"/>
        </w:rPr>
        <w:t>。</w:t>
      </w:r>
    </w:p>
    <w:p w14:paraId="70B9C760">
      <w:pPr>
        <w:pStyle w:val="281"/>
        <w:ind w:firstLine="480"/>
        <w:rPr>
          <w:snapToGrid w:val="0"/>
          <w:u w:color="000000"/>
        </w:rPr>
      </w:pPr>
      <w:r>
        <w:rPr>
          <w:rFonts w:hint="eastAsia"/>
          <w:snapToGrid w:val="0"/>
          <w:u w:color="000000"/>
        </w:rPr>
        <w:t>（6）善后处理</w:t>
      </w:r>
    </w:p>
    <w:p w14:paraId="2222A457">
      <w:pPr>
        <w:pStyle w:val="281"/>
        <w:ind w:firstLine="480"/>
        <w:rPr>
          <w:snapToGrid w:val="0"/>
          <w:u w:color="000000"/>
        </w:rPr>
      </w:pPr>
      <w:r>
        <w:rPr>
          <w:rFonts w:hint="eastAsia"/>
          <w:snapToGrid w:val="0"/>
          <w:u w:color="000000"/>
        </w:rPr>
        <w:t>①明确受灾人员的安置及损失赔偿方案。</w:t>
      </w:r>
    </w:p>
    <w:p w14:paraId="260757D4">
      <w:pPr>
        <w:pStyle w:val="281"/>
        <w:ind w:firstLine="480"/>
        <w:rPr>
          <w:snapToGrid w:val="0"/>
          <w:u w:color="000000"/>
        </w:rPr>
      </w:pPr>
      <w:r>
        <w:rPr>
          <w:rFonts w:hint="eastAsia"/>
          <w:snapToGrid w:val="0"/>
          <w:u w:color="000000"/>
        </w:rPr>
        <w:t>②配合有关部门对环境污染事件中长期环境影响进行评估。</w:t>
      </w:r>
    </w:p>
    <w:p w14:paraId="02C118AA">
      <w:pPr>
        <w:pStyle w:val="281"/>
        <w:ind w:firstLine="480"/>
        <w:rPr>
          <w:snapToGrid w:val="0"/>
          <w:u w:color="000000"/>
        </w:rPr>
      </w:pPr>
      <w:r>
        <w:rPr>
          <w:rFonts w:hint="eastAsia"/>
          <w:snapToGrid w:val="0"/>
          <w:u w:color="000000"/>
        </w:rPr>
        <w:t>③规定开展环境恢复与重建工作的内容和程序。</w:t>
      </w:r>
    </w:p>
    <w:p w14:paraId="44DBF186">
      <w:pPr>
        <w:pStyle w:val="281"/>
        <w:ind w:firstLine="480"/>
        <w:rPr>
          <w:snapToGrid w:val="0"/>
          <w:u w:color="000000"/>
        </w:rPr>
      </w:pPr>
      <w:r>
        <w:rPr>
          <w:rFonts w:hint="eastAsia"/>
          <w:snapToGrid w:val="0"/>
          <w:u w:color="000000"/>
        </w:rPr>
        <w:t>（7）预案管理</w:t>
      </w:r>
    </w:p>
    <w:p w14:paraId="44CD6B43">
      <w:pPr>
        <w:pStyle w:val="281"/>
        <w:ind w:firstLine="480"/>
      </w:pPr>
      <w:r>
        <w:rPr>
          <w:rFonts w:hint="eastAsia"/>
        </w:rPr>
        <w:t>①规定对本企业开展的应急培训计划、方式和要求。</w:t>
      </w:r>
    </w:p>
    <w:p w14:paraId="1798C20F">
      <w:pPr>
        <w:pStyle w:val="281"/>
        <w:ind w:firstLine="480"/>
      </w:pPr>
    </w:p>
    <w:p w14:paraId="5A596F52">
      <w:pPr>
        <w:pStyle w:val="281"/>
        <w:ind w:firstLine="480"/>
        <w:rPr>
          <w:snapToGrid w:val="0"/>
          <w:u w:color="000000"/>
        </w:rPr>
      </w:pPr>
      <w:r>
        <w:rPr>
          <w:rFonts w:hint="eastAsia"/>
          <w:snapToGrid w:val="0"/>
          <w:u w:color="000000"/>
        </w:rPr>
        <w:t>②说明应急演练的方式、频次等内容，制定企业预案演练的具体计划，并组织策划和实施，演练结束后做好总结，适时组织有关企业和专家对部分应急演练进行观摩和交流。</w:t>
      </w:r>
    </w:p>
    <w:p w14:paraId="34108DA2">
      <w:pPr>
        <w:pStyle w:val="281"/>
        <w:ind w:firstLine="480"/>
        <w:rPr>
          <w:snapToGrid w:val="0"/>
          <w:u w:color="000000"/>
        </w:rPr>
      </w:pPr>
      <w:r>
        <w:rPr>
          <w:rFonts w:hint="eastAsia"/>
          <w:snapToGrid w:val="0"/>
          <w:u w:color="000000"/>
        </w:rPr>
        <w:t>③规定应急预案修订、变更、改进的基本要求及时限，以及采取的方式等，以实现可持续改进。</w:t>
      </w:r>
    </w:p>
    <w:p w14:paraId="7A164874">
      <w:pPr>
        <w:pStyle w:val="281"/>
        <w:ind w:firstLine="480"/>
      </w:pPr>
      <w:r>
        <w:rPr>
          <w:rFonts w:hint="eastAsia"/>
        </w:rPr>
        <w:t>④说明预案备案的方式、审核要求、报备部门等内容。</w:t>
      </w:r>
    </w:p>
    <w:p w14:paraId="43E68AB8">
      <w:pPr>
        <w:pStyle w:val="97"/>
        <w:rPr>
          <w:rFonts w:hint="eastAsia"/>
        </w:rPr>
      </w:pPr>
      <w:r>
        <w:rPr>
          <w:rFonts w:hint="eastAsia"/>
        </w:rPr>
        <w:t>园区级环境应急体系</w:t>
      </w:r>
    </w:p>
    <w:p w14:paraId="7E6482FE">
      <w:pPr>
        <w:pStyle w:val="281"/>
        <w:ind w:firstLine="480"/>
        <w:rPr>
          <w:snapToGrid w:val="0"/>
          <w:u w:color="000000"/>
        </w:rPr>
      </w:pPr>
      <w:r>
        <w:rPr>
          <w:rFonts w:hint="eastAsia"/>
          <w:snapToGrid w:val="0"/>
          <w:u w:color="000000"/>
        </w:rPr>
        <w:t>园区已制定</w:t>
      </w:r>
      <w:r>
        <w:rPr>
          <w:snapToGrid w:val="0"/>
          <w:u w:color="000000"/>
        </w:rPr>
        <w:t>突发环境事件应急预案</w:t>
      </w:r>
      <w:r>
        <w:rPr>
          <w:rFonts w:hint="eastAsia"/>
          <w:snapToGrid w:val="0"/>
          <w:u w:color="000000"/>
        </w:rPr>
        <w:t>，并于</w:t>
      </w:r>
      <w:r>
        <w:rPr>
          <w:snapToGrid w:val="0"/>
          <w:u w:color="000000"/>
        </w:rPr>
        <w:t>202</w:t>
      </w:r>
      <w:r>
        <w:rPr>
          <w:rFonts w:hint="eastAsia"/>
          <w:snapToGrid w:val="0"/>
          <w:u w:color="000000"/>
        </w:rPr>
        <w:t>1年在哈密市生态环境局</w:t>
      </w:r>
      <w:r>
        <w:rPr>
          <w:rFonts w:hint="eastAsia"/>
        </w:rPr>
        <w:t>。园区已按照应急预案要求，加强园区环境风险防控体系，细化明确产业园区及区内企业环境风险防范责任，并实现与哈密市、自治区政府的风险应急联动，切实做好环境风险防范工作。</w:t>
      </w:r>
    </w:p>
    <w:p w14:paraId="7102356B">
      <w:pPr>
        <w:pStyle w:val="97"/>
        <w:rPr>
          <w:rFonts w:hint="eastAsia"/>
        </w:rPr>
      </w:pPr>
      <w:r>
        <w:rPr>
          <w:rFonts w:hint="eastAsia"/>
        </w:rPr>
        <w:t>区域应急预案联动</w:t>
      </w:r>
    </w:p>
    <w:p w14:paraId="7CC8407B">
      <w:pPr>
        <w:pStyle w:val="281"/>
        <w:ind w:firstLine="480"/>
      </w:pPr>
      <w:bookmarkStart w:id="529" w:name="_Hlk177923682"/>
      <w:r>
        <w:rPr>
          <w:rFonts w:hint="eastAsia" w:ascii="宋体" w:hAnsi="宋体"/>
        </w:rPr>
        <w:t>本项目环境应急预案应与园区突发环境事件应急预案、哈密市突发环境事件应急预案、自治区突发环境事件应急预案相衔接。环境事件发生后，首先应启动本单位应急预案，按照环境风险事故级别，及时向园区、哈密市、自治区等相关部门报告。同时，企业的应急响应行动应与园区的应急响应保持联动，确保信息传递和人员的救助以及事故处理的及时和准确无误。</w:t>
      </w:r>
    </w:p>
    <w:p w14:paraId="295E9D34">
      <w:pPr>
        <w:pStyle w:val="281"/>
        <w:ind w:firstLine="480"/>
      </w:pPr>
      <w:r>
        <w:rPr>
          <w:rFonts w:hint="eastAsia" w:ascii="宋体" w:hAnsi="宋体"/>
        </w:rPr>
        <w:t>因化工企业发生突发生产事故的不确定性和瞬时性，需结合发生事故的大小和现场实时气象条件（风向、风速、温度、气压、大气稳定度、相对湿度等）、地形及交通条件、事件类型及实际影响后果、应急监测结果，由现场应急指挥人员制定合理的应急疏散路线图，以确保受影响人员生命安全。当需要疏散项目周边居民及相关人员时，应在园区应急指挥中心的领导下组织周边居民有序撤离。</w:t>
      </w:r>
    </w:p>
    <w:bookmarkEnd w:id="529"/>
    <w:p w14:paraId="2DC1AABC">
      <w:pPr>
        <w:pStyle w:val="97"/>
        <w:rPr>
          <w:rFonts w:hint="eastAsia"/>
        </w:rPr>
      </w:pPr>
      <w:r>
        <w:rPr>
          <w:rFonts w:hint="eastAsia"/>
        </w:rPr>
        <w:t>强化环境风险管理意识</w:t>
      </w:r>
    </w:p>
    <w:p w14:paraId="79BFB5C6">
      <w:pPr>
        <w:pStyle w:val="281"/>
        <w:ind w:firstLine="480"/>
      </w:pPr>
      <w:r>
        <w:rPr>
          <w:rFonts w:hint="eastAsia" w:ascii="宋体" w:hAnsi="宋体"/>
        </w:rPr>
        <w:t>环境风险管理目标是采用最低合理可行原则管控环境风险。采取的环境风险防范措施应与社会经济技术发展水平相适应，运用科学的技术手段和管理方法，对环境风险进行有效地预防、监控、响应。</w:t>
      </w:r>
    </w:p>
    <w:p w14:paraId="4AAD7812">
      <w:pPr>
        <w:pStyle w:val="281"/>
        <w:ind w:firstLine="480"/>
      </w:pPr>
      <w:r>
        <w:rPr>
          <w:rFonts w:hint="eastAsia" w:ascii="宋体" w:hAnsi="宋体"/>
        </w:rPr>
        <w:t>安全生产是企业立厂之本，本项目涉及危险化学品种类较多，部分为易燃易爆物质，因此，企业一定要强化风险意识、加强安全管理，具体要求如下：</w:t>
      </w:r>
    </w:p>
    <w:p w14:paraId="7BE43037">
      <w:pPr>
        <w:pStyle w:val="281"/>
        <w:ind w:firstLine="480"/>
      </w:pPr>
      <w:r>
        <w:rPr>
          <w:rFonts w:hint="eastAsia" w:ascii="宋体" w:hAnsi="宋体"/>
        </w:rPr>
        <w:t>（</w:t>
      </w:r>
      <w:r>
        <w:rPr>
          <w:rFonts w:hint="eastAsia"/>
        </w:rPr>
        <w:t>1</w:t>
      </w:r>
      <w:r>
        <w:rPr>
          <w:rFonts w:hint="eastAsia" w:ascii="宋体" w:hAnsi="宋体"/>
        </w:rPr>
        <w:t>）必须将</w:t>
      </w:r>
      <w:r>
        <w:t>“</w:t>
      </w:r>
      <w:r>
        <w:rPr>
          <w:rFonts w:hint="eastAsia" w:ascii="宋体" w:hAnsi="宋体"/>
        </w:rPr>
        <w:t>安全第一，预防为主</w:t>
      </w:r>
      <w:r>
        <w:t>”</w:t>
      </w:r>
      <w:r>
        <w:rPr>
          <w:rFonts w:hint="eastAsia" w:ascii="宋体" w:hAnsi="宋体"/>
        </w:rPr>
        <w:t>作为公司经营的基本原则。</w:t>
      </w:r>
    </w:p>
    <w:p w14:paraId="7C1A9A79">
      <w:pPr>
        <w:pStyle w:val="281"/>
        <w:ind w:firstLine="480"/>
      </w:pPr>
      <w:r>
        <w:rPr>
          <w:rFonts w:hint="eastAsia" w:ascii="宋体" w:hAnsi="宋体"/>
        </w:rPr>
        <w:t>（</w:t>
      </w:r>
      <w:r>
        <w:rPr>
          <w:rFonts w:hint="eastAsia"/>
        </w:rPr>
        <w:t>2</w:t>
      </w:r>
      <w:r>
        <w:rPr>
          <w:rFonts w:hint="eastAsia" w:ascii="宋体" w:hAnsi="宋体"/>
        </w:rPr>
        <w:t>）将</w:t>
      </w:r>
      <w:r>
        <w:t>“</w:t>
      </w:r>
      <w:r>
        <w:rPr>
          <w:rFonts w:hint="eastAsia"/>
        </w:rPr>
        <w:t>ESH</w:t>
      </w:r>
      <w:r>
        <w:rPr>
          <w:rFonts w:hint="eastAsia" w:ascii="宋体" w:hAnsi="宋体"/>
        </w:rPr>
        <w:t>（环保、安全、健康）</w:t>
      </w:r>
      <w:r>
        <w:t>”</w:t>
      </w:r>
      <w:r>
        <w:rPr>
          <w:rFonts w:hint="eastAsia" w:ascii="宋体" w:hAnsi="宋体"/>
        </w:rPr>
        <w:t>作为一线经理的首要责任和义务</w:t>
      </w:r>
    </w:p>
    <w:p w14:paraId="23A514C3">
      <w:pPr>
        <w:pStyle w:val="281"/>
        <w:ind w:firstLine="480"/>
      </w:pPr>
      <w:r>
        <w:rPr>
          <w:rFonts w:hint="eastAsia" w:ascii="宋体" w:hAnsi="宋体"/>
        </w:rPr>
        <w:t>（</w:t>
      </w:r>
      <w:r>
        <w:rPr>
          <w:rFonts w:hint="eastAsia"/>
        </w:rPr>
        <w:t>3</w:t>
      </w:r>
      <w:r>
        <w:rPr>
          <w:rFonts w:hint="eastAsia" w:ascii="宋体" w:hAnsi="宋体"/>
        </w:rPr>
        <w:t>）必须进行广泛系统的培训，使所有操作人员熟悉自己的岗位，树立严谨规范的操作作风，并且在任何紧急状况下都能随时对工艺装置进行控制，并及时、独立、正确地实施相关应急措施。</w:t>
      </w:r>
    </w:p>
    <w:p w14:paraId="0F1A399C">
      <w:pPr>
        <w:pStyle w:val="281"/>
        <w:ind w:firstLine="480"/>
      </w:pPr>
      <w:r>
        <w:rPr>
          <w:rFonts w:hint="eastAsia" w:ascii="宋体" w:hAnsi="宋体"/>
        </w:rPr>
        <w:t>（</w:t>
      </w:r>
      <w:r>
        <w:rPr>
          <w:rFonts w:hint="eastAsia"/>
        </w:rPr>
        <w:t>4</w:t>
      </w:r>
      <w:r>
        <w:rPr>
          <w:rFonts w:hint="eastAsia" w:ascii="宋体" w:hAnsi="宋体"/>
        </w:rPr>
        <w:t>）环保安全科负责全厂的环保、安全管理，由具有丰富经验的人担当负责人，每个车间和主要装置设置专职或兼职安全员，兼职安全员原则上由工艺员担任。</w:t>
      </w:r>
    </w:p>
    <w:p w14:paraId="7C20D50F">
      <w:pPr>
        <w:pStyle w:val="281"/>
        <w:ind w:firstLine="480"/>
      </w:pPr>
      <w:r>
        <w:rPr>
          <w:rFonts w:hint="eastAsia" w:ascii="宋体" w:hAnsi="宋体"/>
        </w:rPr>
        <w:t>（</w:t>
      </w:r>
      <w:r>
        <w:rPr>
          <w:rFonts w:hint="eastAsia"/>
        </w:rPr>
        <w:t>5</w:t>
      </w:r>
      <w:r>
        <w:rPr>
          <w:rFonts w:hint="eastAsia" w:ascii="宋体" w:hAnsi="宋体"/>
        </w:rPr>
        <w:t>）全厂设立安全生产领导小组，由厂长亲自担任领导小组组长，各车间主任担任小组组员，形成领导负总责，全厂参与的管理模式。</w:t>
      </w:r>
    </w:p>
    <w:p w14:paraId="129A93EB">
      <w:pPr>
        <w:pStyle w:val="281"/>
        <w:ind w:firstLine="480"/>
      </w:pPr>
      <w:r>
        <w:rPr>
          <w:rFonts w:hint="eastAsia" w:ascii="宋体" w:hAnsi="宋体"/>
        </w:rPr>
        <w:t>（</w:t>
      </w:r>
      <w:r>
        <w:rPr>
          <w:rFonts w:hint="eastAsia"/>
        </w:rPr>
        <w:t>6</w:t>
      </w:r>
      <w:r>
        <w:rPr>
          <w:rFonts w:hint="eastAsia" w:ascii="宋体" w:hAnsi="宋体"/>
        </w:rPr>
        <w:t>）在开展</w:t>
      </w:r>
      <w:r>
        <w:rPr>
          <w:rFonts w:hint="eastAsia"/>
        </w:rPr>
        <w:t>ISO14001</w:t>
      </w:r>
      <w:r>
        <w:rPr>
          <w:rFonts w:hint="eastAsia" w:ascii="宋体" w:hAnsi="宋体"/>
        </w:rPr>
        <w:t>认证的基础上，积极开展</w:t>
      </w:r>
      <w:r>
        <w:rPr>
          <w:rFonts w:hint="eastAsia"/>
        </w:rPr>
        <w:t xml:space="preserve"> ESH </w:t>
      </w:r>
      <w:r>
        <w:rPr>
          <w:rFonts w:hint="eastAsia" w:ascii="宋体" w:hAnsi="宋体"/>
        </w:rPr>
        <w:t>审计和</w:t>
      </w:r>
      <w:r>
        <w:rPr>
          <w:rFonts w:hint="eastAsia"/>
        </w:rPr>
        <w:t>OHSAS18001</w:t>
      </w:r>
      <w:r>
        <w:rPr>
          <w:rFonts w:hint="eastAsia" w:ascii="宋体" w:hAnsi="宋体"/>
        </w:rPr>
        <w:t>认证，全面提高安全管理水平。</w:t>
      </w:r>
    </w:p>
    <w:p w14:paraId="4F294E66">
      <w:pPr>
        <w:pStyle w:val="281"/>
        <w:ind w:firstLine="480"/>
        <w:rPr>
          <w:rFonts w:hint="eastAsia" w:ascii="宋体" w:hAnsi="宋体"/>
        </w:rPr>
      </w:pPr>
      <w:r>
        <w:rPr>
          <w:rFonts w:hint="eastAsia" w:ascii="宋体" w:hAnsi="宋体"/>
        </w:rPr>
        <w:t>（</w:t>
      </w:r>
      <w:r>
        <w:rPr>
          <w:rFonts w:hint="eastAsia"/>
        </w:rPr>
        <w:t>7</w:t>
      </w:r>
      <w:r>
        <w:rPr>
          <w:rFonts w:hint="eastAsia" w:ascii="宋体" w:hAnsi="宋体"/>
        </w:rPr>
        <w:t>）要严格遵守有关贮存的安全规定，具体包括《仓库防火安全管理规则》《建筑设计防火规范（</w:t>
      </w:r>
      <w:r>
        <w:rPr>
          <w:rFonts w:hint="eastAsia"/>
        </w:rPr>
        <w:t>2018</w:t>
      </w:r>
      <w:r>
        <w:rPr>
          <w:rFonts w:hint="eastAsia" w:ascii="宋体" w:hAnsi="宋体"/>
        </w:rPr>
        <w:t>版）》（</w:t>
      </w:r>
      <w:r>
        <w:rPr>
          <w:rFonts w:hint="eastAsia"/>
        </w:rPr>
        <w:t>GB50016-2014</w:t>
      </w:r>
      <w:r>
        <w:rPr>
          <w:rFonts w:hint="eastAsia" w:ascii="宋体" w:hAnsi="宋体"/>
        </w:rPr>
        <w:t>）等。</w:t>
      </w:r>
    </w:p>
    <w:p w14:paraId="7EB18973">
      <w:pPr>
        <w:pStyle w:val="3"/>
        <w:rPr>
          <w:rFonts w:hint="eastAsia"/>
        </w:rPr>
      </w:pPr>
      <w:bookmarkStart w:id="530" w:name="_Toc194592910"/>
      <w:bookmarkStart w:id="531" w:name="_Toc69750990"/>
      <w:bookmarkStart w:id="532" w:name="_Toc27413"/>
      <w:bookmarkStart w:id="533" w:name="_Toc71012663"/>
      <w:bookmarkStart w:id="534" w:name="_Toc70372828"/>
      <w:bookmarkStart w:id="535" w:name="_Toc150110493"/>
      <w:r>
        <w:t>环境风险评价自查表</w:t>
      </w:r>
      <w:bookmarkEnd w:id="530"/>
      <w:bookmarkEnd w:id="531"/>
      <w:bookmarkEnd w:id="532"/>
      <w:bookmarkEnd w:id="533"/>
      <w:bookmarkEnd w:id="534"/>
      <w:bookmarkEnd w:id="535"/>
    </w:p>
    <w:p w14:paraId="7BF2FE47">
      <w:pPr>
        <w:pStyle w:val="281"/>
        <w:ind w:firstLine="480"/>
      </w:pPr>
      <w:r>
        <w:rPr>
          <w:rFonts w:hint="eastAsia" w:ascii="宋体" w:hAnsi="宋体"/>
        </w:rPr>
        <w:t>本项目环境风险评价自查表，见表</w:t>
      </w:r>
      <w:r>
        <w:rPr>
          <w:rFonts w:hint="eastAsia"/>
        </w:rPr>
        <w:t>7.</w:t>
      </w:r>
      <w:r>
        <w:t>10</w:t>
      </w:r>
      <w:r>
        <w:rPr>
          <w:rFonts w:hint="eastAsia"/>
        </w:rPr>
        <w:t>-1</w:t>
      </w:r>
      <w:r>
        <w:rPr>
          <w:rFonts w:hint="eastAsia" w:ascii="宋体" w:hAnsi="宋体"/>
        </w:rPr>
        <w:t>。</w:t>
      </w:r>
    </w:p>
    <w:p w14:paraId="3411F396">
      <w:pPr>
        <w:pStyle w:val="541"/>
        <w:rPr>
          <w:rFonts w:hint="eastAsia"/>
        </w:rPr>
      </w:pPr>
      <w:r>
        <w:rPr>
          <w:rFonts w:hint="eastAsia"/>
        </w:rPr>
        <w:t xml:space="preserve">表7.10-1 </w:t>
      </w:r>
      <w:r>
        <w:t xml:space="preserve">    建设项目环境风险评价自查表</w:t>
      </w:r>
    </w:p>
    <w:tbl>
      <w:tblPr>
        <w:tblStyle w:val="66"/>
        <w:tblW w:w="5036"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426"/>
        <w:gridCol w:w="1099"/>
        <w:gridCol w:w="1814"/>
        <w:gridCol w:w="863"/>
        <w:gridCol w:w="151"/>
        <w:gridCol w:w="879"/>
        <w:gridCol w:w="518"/>
        <w:gridCol w:w="1340"/>
      </w:tblGrid>
      <w:tr w14:paraId="3EF1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117" w:type="pct"/>
            <w:gridSpan w:val="2"/>
            <w:vAlign w:val="center"/>
          </w:tcPr>
          <w:p w14:paraId="2FBA9CD5">
            <w:pPr>
              <w:pStyle w:val="557"/>
            </w:pPr>
            <w:r>
              <w:t>工作内容</w:t>
            </w:r>
          </w:p>
        </w:tc>
        <w:tc>
          <w:tcPr>
            <w:tcW w:w="3883" w:type="pct"/>
            <w:gridSpan w:val="7"/>
            <w:vAlign w:val="center"/>
          </w:tcPr>
          <w:p w14:paraId="251F5AF7">
            <w:pPr>
              <w:pStyle w:val="557"/>
            </w:pPr>
            <w:r>
              <w:t>完成情况</w:t>
            </w:r>
          </w:p>
        </w:tc>
      </w:tr>
      <w:tr w14:paraId="7EE7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restart"/>
            <w:vAlign w:val="center"/>
          </w:tcPr>
          <w:p w14:paraId="5331F051">
            <w:pPr>
              <w:pStyle w:val="557"/>
            </w:pPr>
            <w:r>
              <w:t>风险调查</w:t>
            </w:r>
          </w:p>
        </w:tc>
        <w:tc>
          <w:tcPr>
            <w:tcW w:w="831" w:type="pct"/>
            <w:vMerge w:val="restart"/>
            <w:vAlign w:val="center"/>
          </w:tcPr>
          <w:p w14:paraId="3DDD2579">
            <w:pPr>
              <w:pStyle w:val="557"/>
            </w:pPr>
            <w:r>
              <w:t>危险物质</w:t>
            </w:r>
          </w:p>
        </w:tc>
        <w:tc>
          <w:tcPr>
            <w:tcW w:w="640" w:type="pct"/>
            <w:vAlign w:val="center"/>
          </w:tcPr>
          <w:p w14:paraId="67F368D3">
            <w:pPr>
              <w:pStyle w:val="557"/>
            </w:pPr>
            <w:r>
              <w:t>名称</w:t>
            </w:r>
          </w:p>
        </w:tc>
        <w:tc>
          <w:tcPr>
            <w:tcW w:w="3243" w:type="pct"/>
            <w:gridSpan w:val="6"/>
            <w:vMerge w:val="restart"/>
            <w:vAlign w:val="center"/>
          </w:tcPr>
          <w:p w14:paraId="000946A4">
            <w:pPr>
              <w:pStyle w:val="557"/>
            </w:pPr>
            <w:r>
              <w:rPr>
                <w:rFonts w:hint="eastAsia"/>
              </w:rPr>
              <w:t>表7.3</w:t>
            </w:r>
            <w:r>
              <w:t>.2-1</w:t>
            </w:r>
          </w:p>
        </w:tc>
      </w:tr>
      <w:tr w14:paraId="62C9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84520D8">
            <w:pPr>
              <w:pStyle w:val="557"/>
            </w:pPr>
          </w:p>
        </w:tc>
        <w:tc>
          <w:tcPr>
            <w:tcW w:w="831" w:type="pct"/>
            <w:vMerge w:val="continue"/>
            <w:vAlign w:val="center"/>
          </w:tcPr>
          <w:p w14:paraId="2F09AC67">
            <w:pPr>
              <w:pStyle w:val="557"/>
            </w:pPr>
          </w:p>
        </w:tc>
        <w:tc>
          <w:tcPr>
            <w:tcW w:w="640" w:type="pct"/>
            <w:vAlign w:val="center"/>
          </w:tcPr>
          <w:p w14:paraId="2127AC29">
            <w:pPr>
              <w:pStyle w:val="557"/>
            </w:pPr>
            <w:r>
              <w:t>存在总量/t</w:t>
            </w:r>
          </w:p>
        </w:tc>
        <w:tc>
          <w:tcPr>
            <w:tcW w:w="3243" w:type="pct"/>
            <w:gridSpan w:val="6"/>
            <w:vMerge w:val="continue"/>
            <w:vAlign w:val="center"/>
          </w:tcPr>
          <w:p w14:paraId="0A0451FA">
            <w:pPr>
              <w:pStyle w:val="557"/>
            </w:pPr>
          </w:p>
        </w:tc>
      </w:tr>
      <w:tr w14:paraId="7525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A98B1F6">
            <w:pPr>
              <w:pStyle w:val="557"/>
            </w:pPr>
          </w:p>
        </w:tc>
        <w:tc>
          <w:tcPr>
            <w:tcW w:w="831" w:type="pct"/>
            <w:vMerge w:val="restart"/>
            <w:vAlign w:val="center"/>
          </w:tcPr>
          <w:p w14:paraId="7EF012F7">
            <w:pPr>
              <w:pStyle w:val="557"/>
            </w:pPr>
            <w:r>
              <w:t>环境敏感性</w:t>
            </w:r>
          </w:p>
        </w:tc>
        <w:tc>
          <w:tcPr>
            <w:tcW w:w="640" w:type="pct"/>
            <w:vMerge w:val="restart"/>
            <w:vAlign w:val="center"/>
          </w:tcPr>
          <w:p w14:paraId="5B147D72">
            <w:pPr>
              <w:pStyle w:val="557"/>
            </w:pPr>
            <w:r>
              <w:t>大气</w:t>
            </w:r>
          </w:p>
        </w:tc>
        <w:tc>
          <w:tcPr>
            <w:tcW w:w="1560" w:type="pct"/>
            <w:gridSpan w:val="2"/>
            <w:vAlign w:val="center"/>
          </w:tcPr>
          <w:p w14:paraId="3C1D7806">
            <w:pPr>
              <w:pStyle w:val="557"/>
            </w:pPr>
            <w:r>
              <w:t>500 m 范围内人口数0人</w:t>
            </w:r>
          </w:p>
        </w:tc>
        <w:tc>
          <w:tcPr>
            <w:tcW w:w="1683" w:type="pct"/>
            <w:gridSpan w:val="4"/>
            <w:vAlign w:val="center"/>
          </w:tcPr>
          <w:p w14:paraId="51925073">
            <w:pPr>
              <w:pStyle w:val="557"/>
            </w:pPr>
            <w:r>
              <w:t>5 km 范围内人口数</w:t>
            </w:r>
            <w:r>
              <w:rPr>
                <w:rFonts w:hint="eastAsia"/>
              </w:rPr>
              <w:t>150</w:t>
            </w:r>
            <w:r>
              <w:t>人</w:t>
            </w:r>
          </w:p>
        </w:tc>
      </w:tr>
      <w:tr w14:paraId="666E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FAA92D8">
            <w:pPr>
              <w:pStyle w:val="557"/>
            </w:pPr>
          </w:p>
        </w:tc>
        <w:tc>
          <w:tcPr>
            <w:tcW w:w="831" w:type="pct"/>
            <w:vMerge w:val="continue"/>
            <w:vAlign w:val="center"/>
          </w:tcPr>
          <w:p w14:paraId="3DD03738">
            <w:pPr>
              <w:pStyle w:val="557"/>
            </w:pPr>
          </w:p>
        </w:tc>
        <w:tc>
          <w:tcPr>
            <w:tcW w:w="640" w:type="pct"/>
            <w:vMerge w:val="continue"/>
            <w:vAlign w:val="center"/>
          </w:tcPr>
          <w:p w14:paraId="77E33582">
            <w:pPr>
              <w:pStyle w:val="557"/>
            </w:pPr>
          </w:p>
        </w:tc>
        <w:tc>
          <w:tcPr>
            <w:tcW w:w="2462" w:type="pct"/>
            <w:gridSpan w:val="5"/>
            <w:vAlign w:val="center"/>
          </w:tcPr>
          <w:p w14:paraId="6288B815">
            <w:pPr>
              <w:pStyle w:val="557"/>
            </w:pPr>
            <w:r>
              <w:t>每公里管段周边 200 m 范围内人口数（最大）</w:t>
            </w:r>
          </w:p>
        </w:tc>
        <w:tc>
          <w:tcPr>
            <w:tcW w:w="780" w:type="pct"/>
            <w:vAlign w:val="center"/>
          </w:tcPr>
          <w:p w14:paraId="320AE136">
            <w:pPr>
              <w:pStyle w:val="557"/>
            </w:pPr>
            <w:r>
              <w:rPr>
                <w:rFonts w:hint="eastAsia"/>
              </w:rPr>
              <w:t>/</w:t>
            </w:r>
            <w:r>
              <w:t>人</w:t>
            </w:r>
          </w:p>
        </w:tc>
      </w:tr>
      <w:tr w14:paraId="5724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3BB517E1">
            <w:pPr>
              <w:pStyle w:val="557"/>
            </w:pPr>
          </w:p>
        </w:tc>
        <w:tc>
          <w:tcPr>
            <w:tcW w:w="831" w:type="pct"/>
            <w:vMerge w:val="continue"/>
            <w:vAlign w:val="center"/>
          </w:tcPr>
          <w:p w14:paraId="2D61EB4E">
            <w:pPr>
              <w:pStyle w:val="557"/>
            </w:pPr>
          </w:p>
        </w:tc>
        <w:tc>
          <w:tcPr>
            <w:tcW w:w="640" w:type="pct"/>
            <w:vMerge w:val="restart"/>
            <w:vAlign w:val="center"/>
          </w:tcPr>
          <w:p w14:paraId="208CDDA3">
            <w:pPr>
              <w:pStyle w:val="557"/>
            </w:pPr>
            <w:r>
              <w:t>地表水</w:t>
            </w:r>
          </w:p>
        </w:tc>
        <w:tc>
          <w:tcPr>
            <w:tcW w:w="1057" w:type="pct"/>
            <w:vAlign w:val="center"/>
          </w:tcPr>
          <w:p w14:paraId="571F88EF">
            <w:pPr>
              <w:pStyle w:val="557"/>
            </w:pPr>
            <w:r>
              <w:t>地表水功能敏感性</w:t>
            </w:r>
          </w:p>
        </w:tc>
        <w:tc>
          <w:tcPr>
            <w:tcW w:w="591" w:type="pct"/>
            <w:gridSpan w:val="2"/>
            <w:vAlign w:val="center"/>
          </w:tcPr>
          <w:p w14:paraId="6FD5270B">
            <w:pPr>
              <w:pStyle w:val="557"/>
            </w:pPr>
            <w:r>
              <w:t>F1□</w:t>
            </w:r>
          </w:p>
        </w:tc>
        <w:tc>
          <w:tcPr>
            <w:tcW w:w="814" w:type="pct"/>
            <w:gridSpan w:val="2"/>
            <w:vAlign w:val="center"/>
          </w:tcPr>
          <w:p w14:paraId="5F47B240">
            <w:pPr>
              <w:pStyle w:val="557"/>
            </w:pPr>
            <w:r>
              <w:t>F2□</w:t>
            </w:r>
          </w:p>
        </w:tc>
        <w:tc>
          <w:tcPr>
            <w:tcW w:w="780" w:type="pct"/>
            <w:vAlign w:val="center"/>
          </w:tcPr>
          <w:p w14:paraId="5C8E38C2">
            <w:pPr>
              <w:pStyle w:val="557"/>
            </w:pPr>
            <w:r>
              <w:t>F3√</w:t>
            </w:r>
          </w:p>
        </w:tc>
      </w:tr>
      <w:tr w14:paraId="51D4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97C99A3">
            <w:pPr>
              <w:pStyle w:val="557"/>
            </w:pPr>
          </w:p>
        </w:tc>
        <w:tc>
          <w:tcPr>
            <w:tcW w:w="831" w:type="pct"/>
            <w:vMerge w:val="continue"/>
            <w:vAlign w:val="center"/>
          </w:tcPr>
          <w:p w14:paraId="2C1ECB59">
            <w:pPr>
              <w:pStyle w:val="557"/>
            </w:pPr>
          </w:p>
        </w:tc>
        <w:tc>
          <w:tcPr>
            <w:tcW w:w="640" w:type="pct"/>
            <w:vMerge w:val="continue"/>
            <w:vAlign w:val="center"/>
          </w:tcPr>
          <w:p w14:paraId="346BD399">
            <w:pPr>
              <w:pStyle w:val="557"/>
            </w:pPr>
          </w:p>
        </w:tc>
        <w:tc>
          <w:tcPr>
            <w:tcW w:w="1057" w:type="pct"/>
            <w:vAlign w:val="center"/>
          </w:tcPr>
          <w:p w14:paraId="27A16C40">
            <w:pPr>
              <w:pStyle w:val="557"/>
            </w:pPr>
            <w:r>
              <w:t>环境敏感目标分级</w:t>
            </w:r>
          </w:p>
        </w:tc>
        <w:tc>
          <w:tcPr>
            <w:tcW w:w="591" w:type="pct"/>
            <w:gridSpan w:val="2"/>
            <w:vAlign w:val="center"/>
          </w:tcPr>
          <w:p w14:paraId="76C29AA7">
            <w:pPr>
              <w:pStyle w:val="557"/>
            </w:pPr>
            <w:r>
              <w:t>S1□</w:t>
            </w:r>
          </w:p>
        </w:tc>
        <w:tc>
          <w:tcPr>
            <w:tcW w:w="814" w:type="pct"/>
            <w:gridSpan w:val="2"/>
            <w:vAlign w:val="center"/>
          </w:tcPr>
          <w:p w14:paraId="22B3FCD8">
            <w:pPr>
              <w:pStyle w:val="557"/>
            </w:pPr>
            <w:r>
              <w:t>S2□</w:t>
            </w:r>
          </w:p>
        </w:tc>
        <w:tc>
          <w:tcPr>
            <w:tcW w:w="780" w:type="pct"/>
            <w:vAlign w:val="center"/>
          </w:tcPr>
          <w:p w14:paraId="6DF7ADD4">
            <w:pPr>
              <w:pStyle w:val="557"/>
            </w:pPr>
            <w:r>
              <w:t>S3√</w:t>
            </w:r>
          </w:p>
        </w:tc>
      </w:tr>
      <w:tr w14:paraId="4EDE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0B8EADA">
            <w:pPr>
              <w:pStyle w:val="557"/>
            </w:pPr>
          </w:p>
        </w:tc>
        <w:tc>
          <w:tcPr>
            <w:tcW w:w="831" w:type="pct"/>
            <w:vMerge w:val="continue"/>
            <w:vAlign w:val="center"/>
          </w:tcPr>
          <w:p w14:paraId="31168C0E">
            <w:pPr>
              <w:pStyle w:val="557"/>
            </w:pPr>
          </w:p>
        </w:tc>
        <w:tc>
          <w:tcPr>
            <w:tcW w:w="640" w:type="pct"/>
            <w:vMerge w:val="restart"/>
            <w:vAlign w:val="center"/>
          </w:tcPr>
          <w:p w14:paraId="4907CD47">
            <w:pPr>
              <w:pStyle w:val="557"/>
            </w:pPr>
            <w:r>
              <w:t>地下水</w:t>
            </w:r>
          </w:p>
        </w:tc>
        <w:tc>
          <w:tcPr>
            <w:tcW w:w="1057" w:type="pct"/>
            <w:vAlign w:val="center"/>
          </w:tcPr>
          <w:p w14:paraId="4B5AEE9D">
            <w:pPr>
              <w:pStyle w:val="557"/>
            </w:pPr>
            <w:r>
              <w:t>地下水功能敏感性</w:t>
            </w:r>
          </w:p>
        </w:tc>
        <w:tc>
          <w:tcPr>
            <w:tcW w:w="591" w:type="pct"/>
            <w:gridSpan w:val="2"/>
            <w:vAlign w:val="center"/>
          </w:tcPr>
          <w:p w14:paraId="7A80E45C">
            <w:pPr>
              <w:pStyle w:val="557"/>
            </w:pPr>
            <w:r>
              <w:t>G1□</w:t>
            </w:r>
          </w:p>
        </w:tc>
        <w:tc>
          <w:tcPr>
            <w:tcW w:w="814" w:type="pct"/>
            <w:gridSpan w:val="2"/>
            <w:vAlign w:val="center"/>
          </w:tcPr>
          <w:p w14:paraId="3DC589C5">
            <w:pPr>
              <w:pStyle w:val="557"/>
            </w:pPr>
            <w:r>
              <w:t>G2□</w:t>
            </w:r>
          </w:p>
        </w:tc>
        <w:tc>
          <w:tcPr>
            <w:tcW w:w="780" w:type="pct"/>
            <w:vAlign w:val="center"/>
          </w:tcPr>
          <w:p w14:paraId="5E431737">
            <w:pPr>
              <w:pStyle w:val="557"/>
            </w:pPr>
            <w:r>
              <w:t>G3√</w:t>
            </w:r>
          </w:p>
        </w:tc>
      </w:tr>
      <w:tr w14:paraId="71E0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B9C1DC6">
            <w:pPr>
              <w:pStyle w:val="557"/>
            </w:pPr>
          </w:p>
        </w:tc>
        <w:tc>
          <w:tcPr>
            <w:tcW w:w="831" w:type="pct"/>
            <w:vMerge w:val="continue"/>
            <w:vAlign w:val="center"/>
          </w:tcPr>
          <w:p w14:paraId="3F2F0DF2">
            <w:pPr>
              <w:pStyle w:val="557"/>
            </w:pPr>
          </w:p>
        </w:tc>
        <w:tc>
          <w:tcPr>
            <w:tcW w:w="640" w:type="pct"/>
            <w:vMerge w:val="continue"/>
            <w:vAlign w:val="center"/>
          </w:tcPr>
          <w:p w14:paraId="0B36CEAA">
            <w:pPr>
              <w:pStyle w:val="557"/>
            </w:pPr>
          </w:p>
        </w:tc>
        <w:tc>
          <w:tcPr>
            <w:tcW w:w="1057" w:type="pct"/>
            <w:vAlign w:val="center"/>
          </w:tcPr>
          <w:p w14:paraId="50A309C0">
            <w:pPr>
              <w:pStyle w:val="557"/>
            </w:pPr>
            <w:r>
              <w:t>包气带防污性能</w:t>
            </w:r>
          </w:p>
        </w:tc>
        <w:tc>
          <w:tcPr>
            <w:tcW w:w="591" w:type="pct"/>
            <w:gridSpan w:val="2"/>
            <w:vAlign w:val="center"/>
          </w:tcPr>
          <w:p w14:paraId="19B9FB38">
            <w:pPr>
              <w:pStyle w:val="557"/>
            </w:pPr>
            <w:r>
              <w:t>D1√</w:t>
            </w:r>
          </w:p>
        </w:tc>
        <w:tc>
          <w:tcPr>
            <w:tcW w:w="814" w:type="pct"/>
            <w:gridSpan w:val="2"/>
            <w:vAlign w:val="center"/>
          </w:tcPr>
          <w:p w14:paraId="0EE75F79">
            <w:pPr>
              <w:pStyle w:val="557"/>
            </w:pPr>
            <w:r>
              <w:t>D2□</w:t>
            </w:r>
          </w:p>
        </w:tc>
        <w:tc>
          <w:tcPr>
            <w:tcW w:w="780" w:type="pct"/>
            <w:vAlign w:val="center"/>
          </w:tcPr>
          <w:p w14:paraId="5D466D69">
            <w:pPr>
              <w:pStyle w:val="557"/>
            </w:pPr>
            <w:r>
              <w:t>D3□</w:t>
            </w:r>
          </w:p>
        </w:tc>
      </w:tr>
      <w:tr w14:paraId="1136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restart"/>
            <w:vAlign w:val="center"/>
          </w:tcPr>
          <w:p w14:paraId="442EC069">
            <w:pPr>
              <w:pStyle w:val="557"/>
            </w:pPr>
            <w:r>
              <w:t>物质及工艺系统危险性</w:t>
            </w:r>
          </w:p>
        </w:tc>
        <w:tc>
          <w:tcPr>
            <w:tcW w:w="640" w:type="pct"/>
            <w:vAlign w:val="center"/>
          </w:tcPr>
          <w:p w14:paraId="5098669E">
            <w:pPr>
              <w:pStyle w:val="557"/>
            </w:pPr>
            <w:r>
              <w:t>Q值</w:t>
            </w:r>
          </w:p>
        </w:tc>
        <w:tc>
          <w:tcPr>
            <w:tcW w:w="1057" w:type="pct"/>
            <w:vAlign w:val="center"/>
          </w:tcPr>
          <w:p w14:paraId="01A59983">
            <w:pPr>
              <w:pStyle w:val="557"/>
            </w:pPr>
            <w:r>
              <w:t>Q＜1□</w:t>
            </w:r>
          </w:p>
        </w:tc>
        <w:tc>
          <w:tcPr>
            <w:tcW w:w="591" w:type="pct"/>
            <w:gridSpan w:val="2"/>
            <w:vAlign w:val="center"/>
          </w:tcPr>
          <w:p w14:paraId="48FEEF76">
            <w:pPr>
              <w:pStyle w:val="557"/>
            </w:pPr>
            <w:r>
              <w:t>1≤Q＜10□</w:t>
            </w:r>
          </w:p>
        </w:tc>
        <w:tc>
          <w:tcPr>
            <w:tcW w:w="814" w:type="pct"/>
            <w:gridSpan w:val="2"/>
            <w:vAlign w:val="center"/>
          </w:tcPr>
          <w:p w14:paraId="77355689">
            <w:pPr>
              <w:pStyle w:val="557"/>
            </w:pPr>
            <w:r>
              <w:t>10≤Q＜100□</w:t>
            </w:r>
          </w:p>
        </w:tc>
        <w:tc>
          <w:tcPr>
            <w:tcW w:w="780" w:type="pct"/>
            <w:vAlign w:val="center"/>
          </w:tcPr>
          <w:p w14:paraId="5445B4D0">
            <w:pPr>
              <w:pStyle w:val="557"/>
            </w:pPr>
            <w:r>
              <w:t>Q＞100√</w:t>
            </w:r>
          </w:p>
        </w:tc>
      </w:tr>
      <w:tr w14:paraId="192D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continue"/>
            <w:vAlign w:val="center"/>
          </w:tcPr>
          <w:p w14:paraId="7095D928">
            <w:pPr>
              <w:pStyle w:val="557"/>
            </w:pPr>
          </w:p>
        </w:tc>
        <w:tc>
          <w:tcPr>
            <w:tcW w:w="640" w:type="pct"/>
            <w:vAlign w:val="center"/>
          </w:tcPr>
          <w:p w14:paraId="3FB8B6D0">
            <w:pPr>
              <w:pStyle w:val="557"/>
            </w:pPr>
            <w:r>
              <w:t>M值</w:t>
            </w:r>
          </w:p>
        </w:tc>
        <w:tc>
          <w:tcPr>
            <w:tcW w:w="1057" w:type="pct"/>
            <w:vAlign w:val="center"/>
          </w:tcPr>
          <w:p w14:paraId="2C4A16F7">
            <w:pPr>
              <w:pStyle w:val="557"/>
            </w:pPr>
            <w:r>
              <w:t>M1√</w:t>
            </w:r>
          </w:p>
        </w:tc>
        <w:tc>
          <w:tcPr>
            <w:tcW w:w="591" w:type="pct"/>
            <w:gridSpan w:val="2"/>
            <w:vAlign w:val="center"/>
          </w:tcPr>
          <w:p w14:paraId="315FCD8F">
            <w:pPr>
              <w:pStyle w:val="557"/>
            </w:pPr>
            <w:r>
              <w:t>M2□</w:t>
            </w:r>
          </w:p>
        </w:tc>
        <w:tc>
          <w:tcPr>
            <w:tcW w:w="814" w:type="pct"/>
            <w:gridSpan w:val="2"/>
            <w:vAlign w:val="center"/>
          </w:tcPr>
          <w:p w14:paraId="435DB9E5">
            <w:pPr>
              <w:pStyle w:val="557"/>
            </w:pPr>
            <w:r>
              <w:t>M3□</w:t>
            </w:r>
          </w:p>
        </w:tc>
        <w:tc>
          <w:tcPr>
            <w:tcW w:w="780" w:type="pct"/>
            <w:vAlign w:val="center"/>
          </w:tcPr>
          <w:p w14:paraId="7DB162F3">
            <w:pPr>
              <w:pStyle w:val="557"/>
            </w:pPr>
            <w:r>
              <w:t>M4□</w:t>
            </w:r>
          </w:p>
        </w:tc>
      </w:tr>
      <w:tr w14:paraId="2FA2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continue"/>
            <w:vAlign w:val="center"/>
          </w:tcPr>
          <w:p w14:paraId="14B0FCF8">
            <w:pPr>
              <w:pStyle w:val="557"/>
            </w:pPr>
          </w:p>
        </w:tc>
        <w:tc>
          <w:tcPr>
            <w:tcW w:w="640" w:type="pct"/>
            <w:vAlign w:val="center"/>
          </w:tcPr>
          <w:p w14:paraId="64E57388">
            <w:pPr>
              <w:pStyle w:val="557"/>
            </w:pPr>
            <w:r>
              <w:t>P值</w:t>
            </w:r>
          </w:p>
        </w:tc>
        <w:tc>
          <w:tcPr>
            <w:tcW w:w="1057" w:type="pct"/>
            <w:vAlign w:val="center"/>
          </w:tcPr>
          <w:p w14:paraId="518E2683">
            <w:pPr>
              <w:pStyle w:val="557"/>
            </w:pPr>
            <w:r>
              <w:t>P1√</w:t>
            </w:r>
          </w:p>
        </w:tc>
        <w:tc>
          <w:tcPr>
            <w:tcW w:w="591" w:type="pct"/>
            <w:gridSpan w:val="2"/>
            <w:vAlign w:val="center"/>
          </w:tcPr>
          <w:p w14:paraId="55683DF7">
            <w:pPr>
              <w:pStyle w:val="557"/>
            </w:pPr>
            <w:r>
              <w:t>P2□</w:t>
            </w:r>
          </w:p>
        </w:tc>
        <w:tc>
          <w:tcPr>
            <w:tcW w:w="814" w:type="pct"/>
            <w:gridSpan w:val="2"/>
            <w:vAlign w:val="center"/>
          </w:tcPr>
          <w:p w14:paraId="1B1E066C">
            <w:pPr>
              <w:pStyle w:val="557"/>
            </w:pPr>
            <w:r>
              <w:t>P3□</w:t>
            </w:r>
          </w:p>
        </w:tc>
        <w:tc>
          <w:tcPr>
            <w:tcW w:w="780" w:type="pct"/>
            <w:vAlign w:val="center"/>
          </w:tcPr>
          <w:p w14:paraId="69E920F8">
            <w:pPr>
              <w:pStyle w:val="557"/>
            </w:pPr>
            <w:r>
              <w:t>P4 □</w:t>
            </w:r>
          </w:p>
        </w:tc>
      </w:tr>
      <w:tr w14:paraId="1783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restart"/>
            <w:vAlign w:val="center"/>
          </w:tcPr>
          <w:p w14:paraId="0EA2CC0D">
            <w:pPr>
              <w:pStyle w:val="557"/>
            </w:pPr>
            <w:r>
              <w:t>环境敏感程度</w:t>
            </w:r>
          </w:p>
        </w:tc>
        <w:tc>
          <w:tcPr>
            <w:tcW w:w="640" w:type="pct"/>
            <w:vAlign w:val="center"/>
          </w:tcPr>
          <w:p w14:paraId="167ABB28">
            <w:pPr>
              <w:pStyle w:val="557"/>
            </w:pPr>
            <w:r>
              <w:t>大气</w:t>
            </w:r>
          </w:p>
        </w:tc>
        <w:tc>
          <w:tcPr>
            <w:tcW w:w="1057" w:type="pct"/>
            <w:vAlign w:val="center"/>
          </w:tcPr>
          <w:p w14:paraId="7D6ABC5A">
            <w:pPr>
              <w:pStyle w:val="557"/>
            </w:pPr>
            <w:r>
              <w:t>E1□</w:t>
            </w:r>
          </w:p>
        </w:tc>
        <w:tc>
          <w:tcPr>
            <w:tcW w:w="1103" w:type="pct"/>
            <w:gridSpan w:val="3"/>
            <w:vAlign w:val="center"/>
          </w:tcPr>
          <w:p w14:paraId="02C8CC33">
            <w:pPr>
              <w:pStyle w:val="557"/>
            </w:pPr>
            <w:r>
              <w:t>E2□</w:t>
            </w:r>
          </w:p>
        </w:tc>
        <w:tc>
          <w:tcPr>
            <w:tcW w:w="1082" w:type="pct"/>
            <w:gridSpan w:val="2"/>
            <w:vAlign w:val="center"/>
          </w:tcPr>
          <w:p w14:paraId="6C4E6B9C">
            <w:pPr>
              <w:pStyle w:val="557"/>
            </w:pPr>
            <w:r>
              <w:t>E3√</w:t>
            </w:r>
          </w:p>
        </w:tc>
      </w:tr>
      <w:tr w14:paraId="4E22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continue"/>
            <w:vAlign w:val="center"/>
          </w:tcPr>
          <w:p w14:paraId="1E0321FC">
            <w:pPr>
              <w:pStyle w:val="557"/>
            </w:pPr>
          </w:p>
        </w:tc>
        <w:tc>
          <w:tcPr>
            <w:tcW w:w="640" w:type="pct"/>
            <w:vAlign w:val="center"/>
          </w:tcPr>
          <w:p w14:paraId="793B8913">
            <w:pPr>
              <w:pStyle w:val="557"/>
            </w:pPr>
            <w:r>
              <w:t>地表水</w:t>
            </w:r>
          </w:p>
        </w:tc>
        <w:tc>
          <w:tcPr>
            <w:tcW w:w="1057" w:type="pct"/>
            <w:vAlign w:val="center"/>
          </w:tcPr>
          <w:p w14:paraId="7C069782">
            <w:pPr>
              <w:pStyle w:val="557"/>
            </w:pPr>
            <w:r>
              <w:t>E1□</w:t>
            </w:r>
          </w:p>
        </w:tc>
        <w:tc>
          <w:tcPr>
            <w:tcW w:w="1103" w:type="pct"/>
            <w:gridSpan w:val="3"/>
            <w:vAlign w:val="center"/>
          </w:tcPr>
          <w:p w14:paraId="23EF4EF0">
            <w:pPr>
              <w:pStyle w:val="557"/>
            </w:pPr>
            <w:r>
              <w:t>E2□</w:t>
            </w:r>
          </w:p>
        </w:tc>
        <w:tc>
          <w:tcPr>
            <w:tcW w:w="1082" w:type="pct"/>
            <w:gridSpan w:val="2"/>
            <w:vAlign w:val="center"/>
          </w:tcPr>
          <w:p w14:paraId="2EB418A4">
            <w:pPr>
              <w:pStyle w:val="557"/>
            </w:pPr>
            <w:r>
              <w:t>E3□</w:t>
            </w:r>
          </w:p>
        </w:tc>
      </w:tr>
      <w:tr w14:paraId="1D80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Merge w:val="continue"/>
            <w:vAlign w:val="center"/>
          </w:tcPr>
          <w:p w14:paraId="0E80F15E">
            <w:pPr>
              <w:pStyle w:val="557"/>
            </w:pPr>
          </w:p>
        </w:tc>
        <w:tc>
          <w:tcPr>
            <w:tcW w:w="640" w:type="pct"/>
            <w:vAlign w:val="center"/>
          </w:tcPr>
          <w:p w14:paraId="03B84FCF">
            <w:pPr>
              <w:pStyle w:val="557"/>
            </w:pPr>
            <w:r>
              <w:t>地下水</w:t>
            </w:r>
          </w:p>
        </w:tc>
        <w:tc>
          <w:tcPr>
            <w:tcW w:w="1057" w:type="pct"/>
            <w:vAlign w:val="center"/>
          </w:tcPr>
          <w:p w14:paraId="50DA7591">
            <w:pPr>
              <w:pStyle w:val="557"/>
            </w:pPr>
            <w:r>
              <w:t>E1□</w:t>
            </w:r>
          </w:p>
        </w:tc>
        <w:tc>
          <w:tcPr>
            <w:tcW w:w="1103" w:type="pct"/>
            <w:gridSpan w:val="3"/>
            <w:vAlign w:val="center"/>
          </w:tcPr>
          <w:p w14:paraId="67DD0C72">
            <w:pPr>
              <w:pStyle w:val="557"/>
            </w:pPr>
            <w:r>
              <w:t>E2√</w:t>
            </w:r>
          </w:p>
        </w:tc>
        <w:tc>
          <w:tcPr>
            <w:tcW w:w="1082" w:type="pct"/>
            <w:gridSpan w:val="2"/>
            <w:vAlign w:val="center"/>
          </w:tcPr>
          <w:p w14:paraId="26336A46">
            <w:pPr>
              <w:pStyle w:val="557"/>
            </w:pPr>
            <w:r>
              <w:t>E3□</w:t>
            </w:r>
          </w:p>
        </w:tc>
      </w:tr>
      <w:tr w14:paraId="37E2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Align w:val="center"/>
          </w:tcPr>
          <w:p w14:paraId="7307DEA4">
            <w:pPr>
              <w:pStyle w:val="557"/>
            </w:pPr>
            <w:r>
              <w:t>环境风险潜势</w:t>
            </w:r>
          </w:p>
        </w:tc>
        <w:tc>
          <w:tcPr>
            <w:tcW w:w="640" w:type="pct"/>
            <w:vAlign w:val="center"/>
          </w:tcPr>
          <w:p w14:paraId="0FF52FD1">
            <w:pPr>
              <w:pStyle w:val="557"/>
            </w:pPr>
            <w:r>
              <w:t>Ⅳ</w:t>
            </w:r>
            <w:r>
              <w:rPr>
                <w:vertAlign w:val="superscript"/>
              </w:rPr>
              <w:t>+</w:t>
            </w:r>
            <w:r>
              <w:t>□</w:t>
            </w:r>
          </w:p>
        </w:tc>
        <w:tc>
          <w:tcPr>
            <w:tcW w:w="1057" w:type="pct"/>
            <w:vAlign w:val="center"/>
          </w:tcPr>
          <w:p w14:paraId="4C3830AE">
            <w:pPr>
              <w:pStyle w:val="557"/>
            </w:pPr>
            <w:r>
              <w:t>Ⅳ√</w:t>
            </w:r>
          </w:p>
        </w:tc>
        <w:tc>
          <w:tcPr>
            <w:tcW w:w="503" w:type="pct"/>
            <w:vAlign w:val="center"/>
          </w:tcPr>
          <w:p w14:paraId="22B04F31">
            <w:pPr>
              <w:pStyle w:val="557"/>
            </w:pPr>
            <w:r>
              <w:t>Ⅲ□</w:t>
            </w:r>
          </w:p>
        </w:tc>
        <w:tc>
          <w:tcPr>
            <w:tcW w:w="902" w:type="pct"/>
            <w:gridSpan w:val="3"/>
            <w:vAlign w:val="center"/>
          </w:tcPr>
          <w:p w14:paraId="60DAC551">
            <w:pPr>
              <w:pStyle w:val="557"/>
            </w:pPr>
            <w:r>
              <w:t>Ⅱ□</w:t>
            </w:r>
          </w:p>
        </w:tc>
        <w:tc>
          <w:tcPr>
            <w:tcW w:w="780" w:type="pct"/>
            <w:vAlign w:val="center"/>
          </w:tcPr>
          <w:p w14:paraId="43D0AF4F">
            <w:pPr>
              <w:pStyle w:val="557"/>
            </w:pPr>
            <w:r>
              <w:t>I□</w:t>
            </w:r>
          </w:p>
        </w:tc>
      </w:tr>
      <w:tr w14:paraId="1D40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Align w:val="center"/>
          </w:tcPr>
          <w:p w14:paraId="7DA4DE0B">
            <w:pPr>
              <w:pStyle w:val="557"/>
            </w:pPr>
            <w:r>
              <w:t>评价等级</w:t>
            </w:r>
          </w:p>
        </w:tc>
        <w:tc>
          <w:tcPr>
            <w:tcW w:w="1697" w:type="pct"/>
            <w:gridSpan w:val="2"/>
            <w:vAlign w:val="center"/>
          </w:tcPr>
          <w:p w14:paraId="38E74C59">
            <w:pPr>
              <w:pStyle w:val="557"/>
            </w:pPr>
            <w:r>
              <w:t>一级√</w:t>
            </w:r>
          </w:p>
        </w:tc>
        <w:tc>
          <w:tcPr>
            <w:tcW w:w="503" w:type="pct"/>
            <w:vAlign w:val="center"/>
          </w:tcPr>
          <w:p w14:paraId="1C68D205">
            <w:pPr>
              <w:pStyle w:val="557"/>
            </w:pPr>
            <w:r>
              <w:t>二级□</w:t>
            </w:r>
          </w:p>
        </w:tc>
        <w:tc>
          <w:tcPr>
            <w:tcW w:w="902" w:type="pct"/>
            <w:gridSpan w:val="3"/>
            <w:vAlign w:val="center"/>
          </w:tcPr>
          <w:p w14:paraId="7C4DBB91">
            <w:pPr>
              <w:pStyle w:val="557"/>
            </w:pPr>
            <w:r>
              <w:t>三级□</w:t>
            </w:r>
          </w:p>
        </w:tc>
        <w:tc>
          <w:tcPr>
            <w:tcW w:w="780" w:type="pct"/>
            <w:vAlign w:val="center"/>
          </w:tcPr>
          <w:p w14:paraId="4D219AE4">
            <w:pPr>
              <w:pStyle w:val="557"/>
            </w:pPr>
            <w:r>
              <w:t>简单分析□</w:t>
            </w:r>
          </w:p>
        </w:tc>
      </w:tr>
      <w:tr w14:paraId="3C38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restart"/>
            <w:vAlign w:val="center"/>
          </w:tcPr>
          <w:p w14:paraId="3C8D3146">
            <w:pPr>
              <w:pStyle w:val="557"/>
            </w:pPr>
            <w:r>
              <w:t>风险分析</w:t>
            </w:r>
          </w:p>
        </w:tc>
        <w:tc>
          <w:tcPr>
            <w:tcW w:w="831" w:type="pct"/>
            <w:vAlign w:val="center"/>
          </w:tcPr>
          <w:p w14:paraId="0FA81656">
            <w:pPr>
              <w:pStyle w:val="557"/>
            </w:pPr>
            <w:r>
              <w:t>物质危险性</w:t>
            </w:r>
          </w:p>
        </w:tc>
        <w:tc>
          <w:tcPr>
            <w:tcW w:w="1697" w:type="pct"/>
            <w:gridSpan w:val="2"/>
            <w:vAlign w:val="center"/>
          </w:tcPr>
          <w:p w14:paraId="3E6D94CB">
            <w:pPr>
              <w:pStyle w:val="557"/>
            </w:pPr>
            <w:r>
              <w:t>有毒有害√</w:t>
            </w:r>
          </w:p>
        </w:tc>
        <w:tc>
          <w:tcPr>
            <w:tcW w:w="2186" w:type="pct"/>
            <w:gridSpan w:val="5"/>
            <w:vAlign w:val="center"/>
          </w:tcPr>
          <w:p w14:paraId="0CF20864">
            <w:pPr>
              <w:pStyle w:val="557"/>
            </w:pPr>
            <w:r>
              <w:t>易燃易爆√</w:t>
            </w:r>
          </w:p>
        </w:tc>
      </w:tr>
      <w:tr w14:paraId="68E1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1753365">
            <w:pPr>
              <w:pStyle w:val="557"/>
            </w:pPr>
          </w:p>
        </w:tc>
        <w:tc>
          <w:tcPr>
            <w:tcW w:w="831" w:type="pct"/>
            <w:vAlign w:val="center"/>
          </w:tcPr>
          <w:p w14:paraId="68419849">
            <w:pPr>
              <w:pStyle w:val="557"/>
            </w:pPr>
            <w:r>
              <w:t>环境风险类型</w:t>
            </w:r>
          </w:p>
        </w:tc>
        <w:tc>
          <w:tcPr>
            <w:tcW w:w="1697" w:type="pct"/>
            <w:gridSpan w:val="2"/>
            <w:vAlign w:val="center"/>
          </w:tcPr>
          <w:p w14:paraId="377C0641">
            <w:pPr>
              <w:pStyle w:val="557"/>
            </w:pPr>
            <w:r>
              <w:t>泄漏√</w:t>
            </w:r>
          </w:p>
        </w:tc>
        <w:tc>
          <w:tcPr>
            <w:tcW w:w="2186" w:type="pct"/>
            <w:gridSpan w:val="5"/>
            <w:vAlign w:val="center"/>
          </w:tcPr>
          <w:p w14:paraId="2C08CE5F">
            <w:pPr>
              <w:pStyle w:val="557"/>
            </w:pPr>
            <w:r>
              <w:t>火灾、爆炸引发伴生/次生污染物排放√</w:t>
            </w:r>
          </w:p>
        </w:tc>
      </w:tr>
      <w:tr w14:paraId="5DE3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3AC571F1">
            <w:pPr>
              <w:pStyle w:val="557"/>
            </w:pPr>
          </w:p>
        </w:tc>
        <w:tc>
          <w:tcPr>
            <w:tcW w:w="831" w:type="pct"/>
            <w:vAlign w:val="center"/>
          </w:tcPr>
          <w:p w14:paraId="43B0FEFF">
            <w:pPr>
              <w:pStyle w:val="557"/>
            </w:pPr>
            <w:r>
              <w:t>影响途径</w:t>
            </w:r>
          </w:p>
        </w:tc>
        <w:tc>
          <w:tcPr>
            <w:tcW w:w="1697" w:type="pct"/>
            <w:gridSpan w:val="2"/>
            <w:vAlign w:val="center"/>
          </w:tcPr>
          <w:p w14:paraId="78334B4F">
            <w:pPr>
              <w:pStyle w:val="557"/>
            </w:pPr>
            <w:r>
              <w:t>大气√</w:t>
            </w:r>
          </w:p>
        </w:tc>
        <w:tc>
          <w:tcPr>
            <w:tcW w:w="1103" w:type="pct"/>
            <w:gridSpan w:val="3"/>
            <w:vAlign w:val="center"/>
          </w:tcPr>
          <w:p w14:paraId="62DD0B43">
            <w:pPr>
              <w:pStyle w:val="557"/>
            </w:pPr>
            <w:r>
              <w:t>地表水□</w:t>
            </w:r>
          </w:p>
        </w:tc>
        <w:tc>
          <w:tcPr>
            <w:tcW w:w="1082" w:type="pct"/>
            <w:gridSpan w:val="2"/>
            <w:vAlign w:val="center"/>
          </w:tcPr>
          <w:p w14:paraId="5505E307">
            <w:pPr>
              <w:pStyle w:val="557"/>
            </w:pPr>
            <w:r>
              <w:t>地下水√</w:t>
            </w:r>
          </w:p>
        </w:tc>
      </w:tr>
      <w:tr w14:paraId="7846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Align w:val="center"/>
          </w:tcPr>
          <w:p w14:paraId="78F20E35">
            <w:pPr>
              <w:pStyle w:val="557"/>
            </w:pPr>
            <w:r>
              <w:t>事故情形分析</w:t>
            </w:r>
          </w:p>
        </w:tc>
        <w:tc>
          <w:tcPr>
            <w:tcW w:w="640" w:type="pct"/>
            <w:vAlign w:val="center"/>
          </w:tcPr>
          <w:p w14:paraId="7917FB17">
            <w:pPr>
              <w:pStyle w:val="557"/>
            </w:pPr>
            <w:r>
              <w:t>源强设定方法</w:t>
            </w:r>
          </w:p>
        </w:tc>
        <w:tc>
          <w:tcPr>
            <w:tcW w:w="1057" w:type="pct"/>
            <w:vAlign w:val="center"/>
          </w:tcPr>
          <w:p w14:paraId="28089AAB">
            <w:pPr>
              <w:pStyle w:val="557"/>
            </w:pPr>
            <w:r>
              <w:t>计算法√</w:t>
            </w:r>
          </w:p>
        </w:tc>
        <w:tc>
          <w:tcPr>
            <w:tcW w:w="1103" w:type="pct"/>
            <w:gridSpan w:val="3"/>
            <w:vAlign w:val="center"/>
          </w:tcPr>
          <w:p w14:paraId="6D224897">
            <w:pPr>
              <w:pStyle w:val="557"/>
            </w:pPr>
            <w:r>
              <w:t>经验估算法□</w:t>
            </w:r>
          </w:p>
        </w:tc>
        <w:tc>
          <w:tcPr>
            <w:tcW w:w="1082" w:type="pct"/>
            <w:gridSpan w:val="2"/>
            <w:vAlign w:val="center"/>
          </w:tcPr>
          <w:p w14:paraId="5747CB14">
            <w:pPr>
              <w:pStyle w:val="557"/>
            </w:pPr>
            <w:r>
              <w:t>其他估算法□</w:t>
            </w:r>
          </w:p>
        </w:tc>
      </w:tr>
      <w:tr w14:paraId="53C3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restart"/>
            <w:vAlign w:val="center"/>
          </w:tcPr>
          <w:p w14:paraId="4B456771">
            <w:pPr>
              <w:pStyle w:val="557"/>
            </w:pPr>
            <w:r>
              <w:t>风险预测与评价</w:t>
            </w:r>
          </w:p>
        </w:tc>
        <w:tc>
          <w:tcPr>
            <w:tcW w:w="831" w:type="pct"/>
            <w:vMerge w:val="restart"/>
            <w:vAlign w:val="center"/>
          </w:tcPr>
          <w:p w14:paraId="409E2A4D">
            <w:pPr>
              <w:pStyle w:val="557"/>
            </w:pPr>
            <w:r>
              <w:t>大气</w:t>
            </w:r>
          </w:p>
        </w:tc>
        <w:tc>
          <w:tcPr>
            <w:tcW w:w="640" w:type="pct"/>
            <w:vAlign w:val="center"/>
          </w:tcPr>
          <w:p w14:paraId="0EC9940F">
            <w:pPr>
              <w:pStyle w:val="557"/>
            </w:pPr>
            <w:r>
              <w:t>预测模型</w:t>
            </w:r>
          </w:p>
        </w:tc>
        <w:tc>
          <w:tcPr>
            <w:tcW w:w="1057" w:type="pct"/>
            <w:vAlign w:val="center"/>
          </w:tcPr>
          <w:p w14:paraId="6641ACE2">
            <w:pPr>
              <w:pStyle w:val="557"/>
            </w:pPr>
            <w:r>
              <w:t>SLAB√</w:t>
            </w:r>
          </w:p>
        </w:tc>
        <w:tc>
          <w:tcPr>
            <w:tcW w:w="1103" w:type="pct"/>
            <w:gridSpan w:val="3"/>
            <w:vAlign w:val="center"/>
          </w:tcPr>
          <w:p w14:paraId="0092451A">
            <w:pPr>
              <w:pStyle w:val="557"/>
            </w:pPr>
            <w:r>
              <w:t>AFTOX √</w:t>
            </w:r>
          </w:p>
        </w:tc>
        <w:tc>
          <w:tcPr>
            <w:tcW w:w="1082" w:type="pct"/>
            <w:gridSpan w:val="2"/>
            <w:vAlign w:val="center"/>
          </w:tcPr>
          <w:p w14:paraId="0671B89C">
            <w:pPr>
              <w:pStyle w:val="557"/>
            </w:pPr>
            <w:r>
              <w:t>其他□</w:t>
            </w:r>
          </w:p>
        </w:tc>
      </w:tr>
      <w:tr w14:paraId="3590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083513D">
            <w:pPr>
              <w:pStyle w:val="557"/>
            </w:pPr>
          </w:p>
        </w:tc>
        <w:tc>
          <w:tcPr>
            <w:tcW w:w="831" w:type="pct"/>
            <w:vMerge w:val="continue"/>
            <w:vAlign w:val="center"/>
          </w:tcPr>
          <w:p w14:paraId="68D06321">
            <w:pPr>
              <w:pStyle w:val="557"/>
            </w:pPr>
          </w:p>
        </w:tc>
        <w:tc>
          <w:tcPr>
            <w:tcW w:w="640" w:type="pct"/>
            <w:vMerge w:val="restart"/>
            <w:vAlign w:val="center"/>
          </w:tcPr>
          <w:p w14:paraId="1D77DE41">
            <w:pPr>
              <w:pStyle w:val="557"/>
            </w:pPr>
            <w:r>
              <w:t>预测结果</w:t>
            </w:r>
            <w:r>
              <w:rPr>
                <w:rFonts w:hint="eastAsia"/>
              </w:rPr>
              <w:t>（最不利气象）</w:t>
            </w:r>
          </w:p>
        </w:tc>
        <w:tc>
          <w:tcPr>
            <w:tcW w:w="1057" w:type="pct"/>
            <w:vMerge w:val="restart"/>
            <w:vAlign w:val="center"/>
          </w:tcPr>
          <w:p w14:paraId="1A96215B">
            <w:pPr>
              <w:pStyle w:val="557"/>
            </w:pPr>
            <w:r>
              <w:rPr>
                <w:rFonts w:hint="eastAsia"/>
              </w:rPr>
              <w:t>煤气泄漏风险事故</w:t>
            </w:r>
          </w:p>
        </w:tc>
        <w:tc>
          <w:tcPr>
            <w:tcW w:w="2186" w:type="pct"/>
            <w:gridSpan w:val="5"/>
            <w:vAlign w:val="center"/>
          </w:tcPr>
          <w:p w14:paraId="0C8A6D50">
            <w:pPr>
              <w:pStyle w:val="557"/>
            </w:pPr>
            <w:r>
              <w:t>大气毒性终点浓度-1：最大影响范围</w:t>
            </w:r>
            <w:r>
              <w:rPr>
                <w:rFonts w:hint="eastAsia"/>
              </w:rPr>
              <w:t>1310</w:t>
            </w:r>
            <w:r>
              <w:t>m</w:t>
            </w:r>
          </w:p>
        </w:tc>
      </w:tr>
      <w:tr w14:paraId="23A6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7CF192D3">
            <w:pPr>
              <w:pStyle w:val="557"/>
            </w:pPr>
          </w:p>
        </w:tc>
        <w:tc>
          <w:tcPr>
            <w:tcW w:w="831" w:type="pct"/>
            <w:vMerge w:val="continue"/>
            <w:vAlign w:val="center"/>
          </w:tcPr>
          <w:p w14:paraId="5A9AAB07">
            <w:pPr>
              <w:pStyle w:val="557"/>
            </w:pPr>
          </w:p>
        </w:tc>
        <w:tc>
          <w:tcPr>
            <w:tcW w:w="640" w:type="pct"/>
            <w:vMerge w:val="continue"/>
            <w:vAlign w:val="center"/>
          </w:tcPr>
          <w:p w14:paraId="7AA0077A">
            <w:pPr>
              <w:pStyle w:val="557"/>
            </w:pPr>
          </w:p>
        </w:tc>
        <w:tc>
          <w:tcPr>
            <w:tcW w:w="1057" w:type="pct"/>
            <w:vMerge w:val="continue"/>
            <w:vAlign w:val="center"/>
          </w:tcPr>
          <w:p w14:paraId="684BCEA6">
            <w:pPr>
              <w:pStyle w:val="557"/>
            </w:pPr>
          </w:p>
        </w:tc>
        <w:tc>
          <w:tcPr>
            <w:tcW w:w="2186" w:type="pct"/>
            <w:gridSpan w:val="5"/>
            <w:vAlign w:val="center"/>
          </w:tcPr>
          <w:p w14:paraId="3F43B5E8">
            <w:pPr>
              <w:pStyle w:val="557"/>
            </w:pPr>
            <w:r>
              <w:t>大气毒性终点浓度-2：最大影响范围</w:t>
            </w:r>
            <w:r>
              <w:rPr>
                <w:rFonts w:hint="eastAsia"/>
              </w:rPr>
              <w:t>3630</w:t>
            </w:r>
            <w:r>
              <w:t>m</w:t>
            </w:r>
          </w:p>
        </w:tc>
      </w:tr>
      <w:tr w14:paraId="2A52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28783D2">
            <w:pPr>
              <w:pStyle w:val="557"/>
            </w:pPr>
          </w:p>
        </w:tc>
        <w:tc>
          <w:tcPr>
            <w:tcW w:w="831" w:type="pct"/>
            <w:vMerge w:val="continue"/>
            <w:vAlign w:val="center"/>
          </w:tcPr>
          <w:p w14:paraId="63D8DA84">
            <w:pPr>
              <w:pStyle w:val="557"/>
            </w:pPr>
          </w:p>
        </w:tc>
        <w:tc>
          <w:tcPr>
            <w:tcW w:w="640" w:type="pct"/>
            <w:vMerge w:val="continue"/>
            <w:vAlign w:val="center"/>
          </w:tcPr>
          <w:p w14:paraId="1143E1E2">
            <w:pPr>
              <w:pStyle w:val="557"/>
            </w:pPr>
          </w:p>
        </w:tc>
        <w:tc>
          <w:tcPr>
            <w:tcW w:w="1057" w:type="pct"/>
            <w:vMerge w:val="restart"/>
            <w:vAlign w:val="center"/>
          </w:tcPr>
          <w:p w14:paraId="743D4C1A">
            <w:pPr>
              <w:pStyle w:val="557"/>
            </w:pPr>
            <w:r>
              <w:rPr>
                <w:rFonts w:hint="eastAsia"/>
              </w:rPr>
              <w:t>酸性气管线泄漏事故</w:t>
            </w:r>
          </w:p>
        </w:tc>
        <w:tc>
          <w:tcPr>
            <w:tcW w:w="2186" w:type="pct"/>
            <w:gridSpan w:val="5"/>
            <w:vAlign w:val="center"/>
          </w:tcPr>
          <w:p w14:paraId="6E9D79B4">
            <w:pPr>
              <w:pStyle w:val="557"/>
            </w:pPr>
            <w:r>
              <w:t>大气毒性终点浓度-1：最大影响范围</w:t>
            </w:r>
            <w:r>
              <w:rPr>
                <w:rFonts w:hint="eastAsia"/>
              </w:rPr>
              <w:t>1860</w:t>
            </w:r>
            <w:r>
              <w:t>m</w:t>
            </w:r>
          </w:p>
        </w:tc>
      </w:tr>
      <w:tr w14:paraId="1FDB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7EBEDBF">
            <w:pPr>
              <w:pStyle w:val="557"/>
            </w:pPr>
          </w:p>
        </w:tc>
        <w:tc>
          <w:tcPr>
            <w:tcW w:w="831" w:type="pct"/>
            <w:vMerge w:val="continue"/>
            <w:vAlign w:val="center"/>
          </w:tcPr>
          <w:p w14:paraId="410C881C">
            <w:pPr>
              <w:pStyle w:val="557"/>
            </w:pPr>
          </w:p>
        </w:tc>
        <w:tc>
          <w:tcPr>
            <w:tcW w:w="640" w:type="pct"/>
            <w:vMerge w:val="continue"/>
            <w:vAlign w:val="center"/>
          </w:tcPr>
          <w:p w14:paraId="18CE7E34">
            <w:pPr>
              <w:pStyle w:val="557"/>
            </w:pPr>
          </w:p>
        </w:tc>
        <w:tc>
          <w:tcPr>
            <w:tcW w:w="1057" w:type="pct"/>
            <w:vMerge w:val="continue"/>
            <w:vAlign w:val="center"/>
          </w:tcPr>
          <w:p w14:paraId="44CC572C">
            <w:pPr>
              <w:pStyle w:val="557"/>
            </w:pPr>
          </w:p>
        </w:tc>
        <w:tc>
          <w:tcPr>
            <w:tcW w:w="2186" w:type="pct"/>
            <w:gridSpan w:val="5"/>
            <w:vAlign w:val="center"/>
          </w:tcPr>
          <w:p w14:paraId="6E391B5B">
            <w:pPr>
              <w:pStyle w:val="557"/>
            </w:pPr>
            <w:r>
              <w:t>大气毒性终点浓度-2：最大影响范围</w:t>
            </w:r>
            <w:r>
              <w:rPr>
                <w:rFonts w:hint="eastAsia"/>
              </w:rPr>
              <w:t>2570</w:t>
            </w:r>
            <w:r>
              <w:t>m</w:t>
            </w:r>
          </w:p>
        </w:tc>
      </w:tr>
      <w:tr w14:paraId="15F4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0E0A455">
            <w:pPr>
              <w:pStyle w:val="557"/>
            </w:pPr>
          </w:p>
        </w:tc>
        <w:tc>
          <w:tcPr>
            <w:tcW w:w="831" w:type="pct"/>
            <w:vMerge w:val="continue"/>
            <w:vAlign w:val="center"/>
          </w:tcPr>
          <w:p w14:paraId="050D1B10">
            <w:pPr>
              <w:pStyle w:val="557"/>
            </w:pPr>
          </w:p>
        </w:tc>
        <w:tc>
          <w:tcPr>
            <w:tcW w:w="640" w:type="pct"/>
            <w:vMerge w:val="continue"/>
            <w:vAlign w:val="center"/>
          </w:tcPr>
          <w:p w14:paraId="62D3E18B">
            <w:pPr>
              <w:pStyle w:val="557"/>
            </w:pPr>
          </w:p>
        </w:tc>
        <w:tc>
          <w:tcPr>
            <w:tcW w:w="1057" w:type="pct"/>
            <w:vMerge w:val="restart"/>
            <w:vAlign w:val="center"/>
          </w:tcPr>
          <w:p w14:paraId="75807C31">
            <w:pPr>
              <w:pStyle w:val="557"/>
            </w:pPr>
            <w:r>
              <w:rPr>
                <w:rFonts w:hint="eastAsia"/>
              </w:rPr>
              <w:t>液氨储罐泄漏事故</w:t>
            </w:r>
          </w:p>
        </w:tc>
        <w:tc>
          <w:tcPr>
            <w:tcW w:w="2186" w:type="pct"/>
            <w:gridSpan w:val="5"/>
            <w:vAlign w:val="center"/>
          </w:tcPr>
          <w:p w14:paraId="5D2956D0">
            <w:pPr>
              <w:pStyle w:val="557"/>
            </w:pPr>
            <w:r>
              <w:t>大气毒性终点浓度-1：最大影响范围</w:t>
            </w:r>
            <w:r>
              <w:rPr>
                <w:rFonts w:hint="eastAsia"/>
              </w:rPr>
              <w:t>1120</w:t>
            </w:r>
            <w:r>
              <w:t>m</w:t>
            </w:r>
          </w:p>
        </w:tc>
      </w:tr>
      <w:tr w14:paraId="4DFF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5B81E1C6">
            <w:pPr>
              <w:pStyle w:val="557"/>
            </w:pPr>
          </w:p>
        </w:tc>
        <w:tc>
          <w:tcPr>
            <w:tcW w:w="831" w:type="pct"/>
            <w:vMerge w:val="continue"/>
            <w:vAlign w:val="center"/>
          </w:tcPr>
          <w:p w14:paraId="20BF3DD3">
            <w:pPr>
              <w:pStyle w:val="557"/>
            </w:pPr>
          </w:p>
        </w:tc>
        <w:tc>
          <w:tcPr>
            <w:tcW w:w="640" w:type="pct"/>
            <w:vMerge w:val="continue"/>
            <w:vAlign w:val="center"/>
          </w:tcPr>
          <w:p w14:paraId="63B399C6">
            <w:pPr>
              <w:pStyle w:val="557"/>
            </w:pPr>
          </w:p>
        </w:tc>
        <w:tc>
          <w:tcPr>
            <w:tcW w:w="1057" w:type="pct"/>
            <w:vMerge w:val="continue"/>
            <w:vAlign w:val="center"/>
          </w:tcPr>
          <w:p w14:paraId="7C1F1DC3">
            <w:pPr>
              <w:pStyle w:val="557"/>
            </w:pPr>
          </w:p>
        </w:tc>
        <w:tc>
          <w:tcPr>
            <w:tcW w:w="2186" w:type="pct"/>
            <w:gridSpan w:val="5"/>
            <w:vAlign w:val="center"/>
          </w:tcPr>
          <w:p w14:paraId="50C5C411">
            <w:pPr>
              <w:pStyle w:val="557"/>
            </w:pPr>
            <w:r>
              <w:t>大气毒性终点浓度-2：最大影响范围</w:t>
            </w:r>
            <w:r>
              <w:rPr>
                <w:rFonts w:hint="eastAsia"/>
              </w:rPr>
              <w:t>4540</w:t>
            </w:r>
            <w:r>
              <w:t>m</w:t>
            </w:r>
          </w:p>
        </w:tc>
      </w:tr>
      <w:tr w14:paraId="2A5B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003F14C">
            <w:pPr>
              <w:pStyle w:val="557"/>
            </w:pPr>
          </w:p>
        </w:tc>
        <w:tc>
          <w:tcPr>
            <w:tcW w:w="831" w:type="pct"/>
            <w:vMerge w:val="continue"/>
            <w:vAlign w:val="center"/>
          </w:tcPr>
          <w:p w14:paraId="124CE713">
            <w:pPr>
              <w:pStyle w:val="557"/>
            </w:pPr>
          </w:p>
        </w:tc>
        <w:tc>
          <w:tcPr>
            <w:tcW w:w="640" w:type="pct"/>
            <w:vMerge w:val="continue"/>
            <w:vAlign w:val="center"/>
          </w:tcPr>
          <w:p w14:paraId="2B497E0C">
            <w:pPr>
              <w:pStyle w:val="557"/>
            </w:pPr>
          </w:p>
        </w:tc>
        <w:tc>
          <w:tcPr>
            <w:tcW w:w="1057" w:type="pct"/>
            <w:vMerge w:val="restart"/>
            <w:vAlign w:val="center"/>
          </w:tcPr>
          <w:p w14:paraId="3D756A67">
            <w:pPr>
              <w:pStyle w:val="557"/>
            </w:pPr>
            <w:r>
              <w:rPr>
                <w:rFonts w:hint="eastAsia"/>
              </w:rPr>
              <w:t>甲醇储罐泄漏事故</w:t>
            </w:r>
          </w:p>
        </w:tc>
        <w:tc>
          <w:tcPr>
            <w:tcW w:w="2186" w:type="pct"/>
            <w:gridSpan w:val="5"/>
            <w:vAlign w:val="center"/>
          </w:tcPr>
          <w:p w14:paraId="5C7FB54D">
            <w:pPr>
              <w:pStyle w:val="557"/>
            </w:pPr>
            <w:r>
              <w:t>大气毒性终点浓度-1：最大影响范围</w:t>
            </w:r>
            <w:r>
              <w:rPr>
                <w:rFonts w:hint="eastAsia"/>
              </w:rPr>
              <w:t>0</w:t>
            </w:r>
            <w:r>
              <w:t>m</w:t>
            </w:r>
          </w:p>
        </w:tc>
      </w:tr>
      <w:tr w14:paraId="2A34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08E1ABBC">
            <w:pPr>
              <w:pStyle w:val="557"/>
            </w:pPr>
          </w:p>
        </w:tc>
        <w:tc>
          <w:tcPr>
            <w:tcW w:w="831" w:type="pct"/>
            <w:vMerge w:val="continue"/>
            <w:vAlign w:val="center"/>
          </w:tcPr>
          <w:p w14:paraId="5485F87A">
            <w:pPr>
              <w:pStyle w:val="557"/>
            </w:pPr>
          </w:p>
        </w:tc>
        <w:tc>
          <w:tcPr>
            <w:tcW w:w="640" w:type="pct"/>
            <w:vMerge w:val="continue"/>
            <w:vAlign w:val="center"/>
          </w:tcPr>
          <w:p w14:paraId="329A4E77">
            <w:pPr>
              <w:pStyle w:val="557"/>
            </w:pPr>
          </w:p>
        </w:tc>
        <w:tc>
          <w:tcPr>
            <w:tcW w:w="1057" w:type="pct"/>
            <w:vMerge w:val="continue"/>
            <w:vAlign w:val="center"/>
          </w:tcPr>
          <w:p w14:paraId="64C10584">
            <w:pPr>
              <w:pStyle w:val="557"/>
            </w:pPr>
          </w:p>
        </w:tc>
        <w:tc>
          <w:tcPr>
            <w:tcW w:w="2186" w:type="pct"/>
            <w:gridSpan w:val="5"/>
            <w:vAlign w:val="center"/>
          </w:tcPr>
          <w:p w14:paraId="5BFD946F">
            <w:pPr>
              <w:pStyle w:val="557"/>
            </w:pPr>
            <w:r>
              <w:t>大气毒性终点浓度-2：最大影响范围</w:t>
            </w:r>
            <w:r>
              <w:rPr>
                <w:rFonts w:hint="eastAsia"/>
              </w:rPr>
              <w:t>0</w:t>
            </w:r>
            <w:r>
              <w:t>m</w:t>
            </w:r>
          </w:p>
        </w:tc>
      </w:tr>
      <w:tr w14:paraId="2B25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3388462B">
            <w:pPr>
              <w:pStyle w:val="557"/>
            </w:pPr>
          </w:p>
        </w:tc>
        <w:tc>
          <w:tcPr>
            <w:tcW w:w="831" w:type="pct"/>
            <w:vMerge w:val="continue"/>
            <w:vAlign w:val="center"/>
          </w:tcPr>
          <w:p w14:paraId="0DF8BC9C">
            <w:pPr>
              <w:pStyle w:val="557"/>
            </w:pPr>
          </w:p>
        </w:tc>
        <w:tc>
          <w:tcPr>
            <w:tcW w:w="640" w:type="pct"/>
            <w:vMerge w:val="continue"/>
            <w:vAlign w:val="center"/>
          </w:tcPr>
          <w:p w14:paraId="1A68701C">
            <w:pPr>
              <w:pStyle w:val="557"/>
            </w:pPr>
          </w:p>
        </w:tc>
        <w:tc>
          <w:tcPr>
            <w:tcW w:w="1057" w:type="pct"/>
            <w:vMerge w:val="restart"/>
            <w:vAlign w:val="center"/>
          </w:tcPr>
          <w:p w14:paraId="33A1A7EE">
            <w:pPr>
              <w:pStyle w:val="557"/>
            </w:pPr>
            <w:r>
              <w:rPr>
                <w:rFonts w:hint="eastAsia"/>
              </w:rPr>
              <w:t>甲醇储罐泄漏引发火灾事故</w:t>
            </w:r>
          </w:p>
        </w:tc>
        <w:tc>
          <w:tcPr>
            <w:tcW w:w="2186" w:type="pct"/>
            <w:gridSpan w:val="5"/>
            <w:vAlign w:val="center"/>
          </w:tcPr>
          <w:p w14:paraId="5BB4336B">
            <w:pPr>
              <w:pStyle w:val="557"/>
            </w:pPr>
            <w:r>
              <w:t>大气毒性终点浓度-1：最大影响范围</w:t>
            </w:r>
            <w:r>
              <w:rPr>
                <w:rFonts w:hint="eastAsia"/>
              </w:rPr>
              <w:t>870</w:t>
            </w:r>
            <w:r>
              <w:t>m</w:t>
            </w:r>
          </w:p>
        </w:tc>
      </w:tr>
      <w:tr w14:paraId="162E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59CD4951">
            <w:pPr>
              <w:pStyle w:val="557"/>
            </w:pPr>
          </w:p>
        </w:tc>
        <w:tc>
          <w:tcPr>
            <w:tcW w:w="831" w:type="pct"/>
            <w:vMerge w:val="continue"/>
            <w:vAlign w:val="center"/>
          </w:tcPr>
          <w:p w14:paraId="33828B42">
            <w:pPr>
              <w:pStyle w:val="557"/>
            </w:pPr>
          </w:p>
        </w:tc>
        <w:tc>
          <w:tcPr>
            <w:tcW w:w="640" w:type="pct"/>
            <w:vMerge w:val="continue"/>
            <w:vAlign w:val="center"/>
          </w:tcPr>
          <w:p w14:paraId="32252CDB">
            <w:pPr>
              <w:pStyle w:val="557"/>
            </w:pPr>
          </w:p>
        </w:tc>
        <w:tc>
          <w:tcPr>
            <w:tcW w:w="1057" w:type="pct"/>
            <w:vMerge w:val="continue"/>
            <w:vAlign w:val="center"/>
          </w:tcPr>
          <w:p w14:paraId="5736AB25">
            <w:pPr>
              <w:pStyle w:val="557"/>
            </w:pPr>
          </w:p>
        </w:tc>
        <w:tc>
          <w:tcPr>
            <w:tcW w:w="2186" w:type="pct"/>
            <w:gridSpan w:val="5"/>
            <w:vAlign w:val="center"/>
          </w:tcPr>
          <w:p w14:paraId="67507F42">
            <w:pPr>
              <w:pStyle w:val="557"/>
            </w:pPr>
            <w:r>
              <w:t>大气毒性终点浓度-2：最大影响范围</w:t>
            </w:r>
            <w:r>
              <w:rPr>
                <w:rFonts w:hint="eastAsia"/>
              </w:rPr>
              <w:t>2200</w:t>
            </w:r>
            <w:r>
              <w:t>m</w:t>
            </w:r>
          </w:p>
        </w:tc>
      </w:tr>
      <w:tr w14:paraId="3342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2FFDABC">
            <w:pPr>
              <w:pStyle w:val="557"/>
            </w:pPr>
          </w:p>
        </w:tc>
        <w:tc>
          <w:tcPr>
            <w:tcW w:w="831" w:type="pct"/>
            <w:vMerge w:val="continue"/>
            <w:vAlign w:val="center"/>
          </w:tcPr>
          <w:p w14:paraId="4C77136C">
            <w:pPr>
              <w:pStyle w:val="557"/>
            </w:pPr>
          </w:p>
        </w:tc>
        <w:tc>
          <w:tcPr>
            <w:tcW w:w="640" w:type="pct"/>
            <w:vMerge w:val="continue"/>
            <w:vAlign w:val="center"/>
          </w:tcPr>
          <w:p w14:paraId="0F30E7C2">
            <w:pPr>
              <w:pStyle w:val="557"/>
            </w:pPr>
          </w:p>
        </w:tc>
        <w:tc>
          <w:tcPr>
            <w:tcW w:w="1057" w:type="pct"/>
            <w:vMerge w:val="restart"/>
            <w:vAlign w:val="center"/>
          </w:tcPr>
          <w:p w14:paraId="6237C8ED">
            <w:pPr>
              <w:pStyle w:val="557"/>
            </w:pPr>
            <w:r>
              <w:rPr>
                <w:rFonts w:hint="eastAsia"/>
              </w:rPr>
              <w:t>甲酸甲酯储罐泄漏事故</w:t>
            </w:r>
          </w:p>
        </w:tc>
        <w:tc>
          <w:tcPr>
            <w:tcW w:w="2186" w:type="pct"/>
            <w:gridSpan w:val="5"/>
            <w:vAlign w:val="center"/>
          </w:tcPr>
          <w:p w14:paraId="112428EE">
            <w:pPr>
              <w:pStyle w:val="557"/>
            </w:pPr>
            <w:r>
              <w:t>大气毒性终点浓度-1：最大影响范围</w:t>
            </w:r>
            <w:r>
              <w:rPr>
                <w:rFonts w:hint="eastAsia"/>
              </w:rPr>
              <w:t>0</w:t>
            </w:r>
            <w:r>
              <w:t>m</w:t>
            </w:r>
          </w:p>
        </w:tc>
      </w:tr>
      <w:tr w14:paraId="11DF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C029141">
            <w:pPr>
              <w:pStyle w:val="557"/>
            </w:pPr>
          </w:p>
        </w:tc>
        <w:tc>
          <w:tcPr>
            <w:tcW w:w="831" w:type="pct"/>
            <w:vMerge w:val="continue"/>
            <w:vAlign w:val="center"/>
          </w:tcPr>
          <w:p w14:paraId="798B27FA">
            <w:pPr>
              <w:pStyle w:val="557"/>
            </w:pPr>
          </w:p>
        </w:tc>
        <w:tc>
          <w:tcPr>
            <w:tcW w:w="640" w:type="pct"/>
            <w:vMerge w:val="continue"/>
            <w:vAlign w:val="center"/>
          </w:tcPr>
          <w:p w14:paraId="6A8998F4">
            <w:pPr>
              <w:pStyle w:val="557"/>
            </w:pPr>
          </w:p>
        </w:tc>
        <w:tc>
          <w:tcPr>
            <w:tcW w:w="1057" w:type="pct"/>
            <w:vMerge w:val="continue"/>
            <w:vAlign w:val="center"/>
          </w:tcPr>
          <w:p w14:paraId="3BBDC1A7">
            <w:pPr>
              <w:pStyle w:val="557"/>
            </w:pPr>
          </w:p>
        </w:tc>
        <w:tc>
          <w:tcPr>
            <w:tcW w:w="2186" w:type="pct"/>
            <w:gridSpan w:val="5"/>
            <w:vAlign w:val="center"/>
          </w:tcPr>
          <w:p w14:paraId="79BAE48D">
            <w:pPr>
              <w:pStyle w:val="557"/>
            </w:pPr>
            <w:r>
              <w:t>大气毒性终点浓度-2：最大影响范围</w:t>
            </w:r>
            <w:r>
              <w:rPr>
                <w:rFonts w:hint="eastAsia"/>
              </w:rPr>
              <w:t>0</w:t>
            </w:r>
            <w:r>
              <w:t>m</w:t>
            </w:r>
          </w:p>
        </w:tc>
      </w:tr>
      <w:tr w14:paraId="4284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3334D46E">
            <w:pPr>
              <w:pStyle w:val="557"/>
            </w:pPr>
          </w:p>
        </w:tc>
        <w:tc>
          <w:tcPr>
            <w:tcW w:w="831" w:type="pct"/>
            <w:vMerge w:val="continue"/>
            <w:vAlign w:val="center"/>
          </w:tcPr>
          <w:p w14:paraId="0CC64B7E">
            <w:pPr>
              <w:pStyle w:val="557"/>
            </w:pPr>
          </w:p>
        </w:tc>
        <w:tc>
          <w:tcPr>
            <w:tcW w:w="640" w:type="pct"/>
            <w:vMerge w:val="continue"/>
            <w:vAlign w:val="center"/>
          </w:tcPr>
          <w:p w14:paraId="2E4AD7D9">
            <w:pPr>
              <w:pStyle w:val="557"/>
            </w:pPr>
          </w:p>
        </w:tc>
        <w:tc>
          <w:tcPr>
            <w:tcW w:w="1057" w:type="pct"/>
            <w:vMerge w:val="restart"/>
            <w:vAlign w:val="center"/>
          </w:tcPr>
          <w:p w14:paraId="084766B8">
            <w:pPr>
              <w:pStyle w:val="557"/>
            </w:pPr>
            <w:r>
              <w:rPr>
                <w:rFonts w:hint="eastAsia"/>
              </w:rPr>
              <w:t>甲酸甲酯储罐泄漏引发火灾事故</w:t>
            </w:r>
          </w:p>
        </w:tc>
        <w:tc>
          <w:tcPr>
            <w:tcW w:w="2186" w:type="pct"/>
            <w:gridSpan w:val="5"/>
            <w:vAlign w:val="center"/>
          </w:tcPr>
          <w:p w14:paraId="363C4DE0">
            <w:pPr>
              <w:pStyle w:val="557"/>
            </w:pPr>
            <w:r>
              <w:t>大气毒性终点浓度-1：最大影响范围</w:t>
            </w:r>
            <w:r>
              <w:rPr>
                <w:rFonts w:hint="eastAsia"/>
              </w:rPr>
              <w:t>940</w:t>
            </w:r>
            <w:r>
              <w:t>m</w:t>
            </w:r>
          </w:p>
        </w:tc>
      </w:tr>
      <w:tr w14:paraId="053C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CF9B8A8">
            <w:pPr>
              <w:pStyle w:val="557"/>
            </w:pPr>
          </w:p>
        </w:tc>
        <w:tc>
          <w:tcPr>
            <w:tcW w:w="831" w:type="pct"/>
            <w:vMerge w:val="continue"/>
            <w:vAlign w:val="center"/>
          </w:tcPr>
          <w:p w14:paraId="432DFFC4">
            <w:pPr>
              <w:pStyle w:val="557"/>
            </w:pPr>
          </w:p>
        </w:tc>
        <w:tc>
          <w:tcPr>
            <w:tcW w:w="640" w:type="pct"/>
            <w:vMerge w:val="continue"/>
            <w:vAlign w:val="center"/>
          </w:tcPr>
          <w:p w14:paraId="56B9CA0F">
            <w:pPr>
              <w:pStyle w:val="557"/>
            </w:pPr>
          </w:p>
        </w:tc>
        <w:tc>
          <w:tcPr>
            <w:tcW w:w="1057" w:type="pct"/>
            <w:vMerge w:val="continue"/>
            <w:vAlign w:val="center"/>
          </w:tcPr>
          <w:p w14:paraId="308982B5">
            <w:pPr>
              <w:pStyle w:val="557"/>
            </w:pPr>
          </w:p>
        </w:tc>
        <w:tc>
          <w:tcPr>
            <w:tcW w:w="2186" w:type="pct"/>
            <w:gridSpan w:val="5"/>
            <w:vAlign w:val="center"/>
          </w:tcPr>
          <w:p w14:paraId="26682AC1">
            <w:pPr>
              <w:pStyle w:val="557"/>
            </w:pPr>
            <w:r>
              <w:t>大气毒性终点浓度-2：最大影响范围</w:t>
            </w:r>
            <w:r>
              <w:rPr>
                <w:rFonts w:hint="eastAsia"/>
              </w:rPr>
              <w:t>2430</w:t>
            </w:r>
            <w:r>
              <w:t>m</w:t>
            </w:r>
          </w:p>
        </w:tc>
      </w:tr>
      <w:tr w14:paraId="332E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0DAF781F">
            <w:pPr>
              <w:pStyle w:val="557"/>
            </w:pPr>
          </w:p>
        </w:tc>
        <w:tc>
          <w:tcPr>
            <w:tcW w:w="831" w:type="pct"/>
            <w:vMerge w:val="continue"/>
            <w:vAlign w:val="center"/>
          </w:tcPr>
          <w:p w14:paraId="1FA005A5">
            <w:pPr>
              <w:pStyle w:val="557"/>
            </w:pPr>
          </w:p>
        </w:tc>
        <w:tc>
          <w:tcPr>
            <w:tcW w:w="640" w:type="pct"/>
            <w:vMerge w:val="continue"/>
            <w:vAlign w:val="center"/>
          </w:tcPr>
          <w:p w14:paraId="59055040">
            <w:pPr>
              <w:pStyle w:val="557"/>
            </w:pPr>
          </w:p>
        </w:tc>
        <w:tc>
          <w:tcPr>
            <w:tcW w:w="1057" w:type="pct"/>
            <w:vMerge w:val="restart"/>
            <w:vAlign w:val="center"/>
          </w:tcPr>
          <w:p w14:paraId="3BE481C4">
            <w:pPr>
              <w:pStyle w:val="557"/>
            </w:pPr>
            <w:r>
              <w:rPr>
                <w:rFonts w:hint="eastAsia"/>
              </w:rPr>
              <w:t>硝酸储罐泄漏事故</w:t>
            </w:r>
          </w:p>
        </w:tc>
        <w:tc>
          <w:tcPr>
            <w:tcW w:w="2186" w:type="pct"/>
            <w:gridSpan w:val="5"/>
            <w:vAlign w:val="center"/>
          </w:tcPr>
          <w:p w14:paraId="4852FFDD">
            <w:pPr>
              <w:pStyle w:val="557"/>
            </w:pPr>
            <w:r>
              <w:t>大气毒性终点浓度-1：最大影响范围</w:t>
            </w:r>
            <w:r>
              <w:rPr>
                <w:rFonts w:hint="eastAsia"/>
              </w:rPr>
              <w:t>0</w:t>
            </w:r>
            <w:r>
              <w:t>m</w:t>
            </w:r>
          </w:p>
        </w:tc>
      </w:tr>
      <w:tr w14:paraId="6AEE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E218AE0">
            <w:pPr>
              <w:pStyle w:val="557"/>
            </w:pPr>
          </w:p>
        </w:tc>
        <w:tc>
          <w:tcPr>
            <w:tcW w:w="831" w:type="pct"/>
            <w:vMerge w:val="continue"/>
            <w:vAlign w:val="center"/>
          </w:tcPr>
          <w:p w14:paraId="07D985CD">
            <w:pPr>
              <w:pStyle w:val="557"/>
            </w:pPr>
          </w:p>
        </w:tc>
        <w:tc>
          <w:tcPr>
            <w:tcW w:w="640" w:type="pct"/>
            <w:vMerge w:val="continue"/>
            <w:vAlign w:val="center"/>
          </w:tcPr>
          <w:p w14:paraId="3EEEB575">
            <w:pPr>
              <w:pStyle w:val="557"/>
            </w:pPr>
          </w:p>
        </w:tc>
        <w:tc>
          <w:tcPr>
            <w:tcW w:w="1057" w:type="pct"/>
            <w:vMerge w:val="continue"/>
            <w:vAlign w:val="center"/>
          </w:tcPr>
          <w:p w14:paraId="66B414E1">
            <w:pPr>
              <w:pStyle w:val="557"/>
            </w:pPr>
          </w:p>
        </w:tc>
        <w:tc>
          <w:tcPr>
            <w:tcW w:w="2186" w:type="pct"/>
            <w:gridSpan w:val="5"/>
            <w:vAlign w:val="center"/>
          </w:tcPr>
          <w:p w14:paraId="2591F19A">
            <w:pPr>
              <w:pStyle w:val="557"/>
            </w:pPr>
            <w:r>
              <w:t>大气毒性终点浓度-2：最大影响范围</w:t>
            </w:r>
            <w:r>
              <w:rPr>
                <w:rFonts w:hint="eastAsia"/>
              </w:rPr>
              <w:t>100</w:t>
            </w:r>
            <w:r>
              <w:t>m</w:t>
            </w:r>
          </w:p>
        </w:tc>
      </w:tr>
      <w:tr w14:paraId="1D56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584E352F">
            <w:pPr>
              <w:pStyle w:val="557"/>
            </w:pPr>
          </w:p>
        </w:tc>
        <w:tc>
          <w:tcPr>
            <w:tcW w:w="831" w:type="pct"/>
            <w:vMerge w:val="continue"/>
            <w:vAlign w:val="center"/>
          </w:tcPr>
          <w:p w14:paraId="4B5B3366">
            <w:pPr>
              <w:pStyle w:val="557"/>
            </w:pPr>
          </w:p>
        </w:tc>
        <w:tc>
          <w:tcPr>
            <w:tcW w:w="640" w:type="pct"/>
            <w:vMerge w:val="restart"/>
            <w:vAlign w:val="center"/>
          </w:tcPr>
          <w:p w14:paraId="04CFBC68">
            <w:pPr>
              <w:pStyle w:val="557"/>
            </w:pPr>
            <w:r>
              <w:t>预测结果</w:t>
            </w:r>
            <w:r>
              <w:rPr>
                <w:rFonts w:hint="eastAsia"/>
              </w:rPr>
              <w:t>（最常见气象）</w:t>
            </w:r>
          </w:p>
        </w:tc>
        <w:tc>
          <w:tcPr>
            <w:tcW w:w="1057" w:type="pct"/>
            <w:vMerge w:val="restart"/>
            <w:vAlign w:val="center"/>
          </w:tcPr>
          <w:p w14:paraId="307B87EC">
            <w:pPr>
              <w:pStyle w:val="557"/>
            </w:pPr>
            <w:r>
              <w:rPr>
                <w:rFonts w:hint="eastAsia"/>
              </w:rPr>
              <w:t>煤气泄漏风险事故</w:t>
            </w:r>
          </w:p>
        </w:tc>
        <w:tc>
          <w:tcPr>
            <w:tcW w:w="2186" w:type="pct"/>
            <w:gridSpan w:val="5"/>
            <w:vAlign w:val="center"/>
          </w:tcPr>
          <w:p w14:paraId="0E1A2DAC">
            <w:pPr>
              <w:pStyle w:val="557"/>
            </w:pPr>
            <w:r>
              <w:t>大气毒性终点浓度-1：最大影响范围</w:t>
            </w:r>
            <w:r>
              <w:rPr>
                <w:rFonts w:hint="eastAsia"/>
              </w:rPr>
              <w:t>430</w:t>
            </w:r>
            <w:r>
              <w:t>m</w:t>
            </w:r>
          </w:p>
        </w:tc>
      </w:tr>
      <w:tr w14:paraId="230D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788F1CC">
            <w:pPr>
              <w:pStyle w:val="557"/>
            </w:pPr>
          </w:p>
        </w:tc>
        <w:tc>
          <w:tcPr>
            <w:tcW w:w="831" w:type="pct"/>
            <w:vMerge w:val="continue"/>
            <w:vAlign w:val="center"/>
          </w:tcPr>
          <w:p w14:paraId="4BB0F7E6">
            <w:pPr>
              <w:pStyle w:val="557"/>
            </w:pPr>
          </w:p>
        </w:tc>
        <w:tc>
          <w:tcPr>
            <w:tcW w:w="640" w:type="pct"/>
            <w:vMerge w:val="continue"/>
            <w:vAlign w:val="center"/>
          </w:tcPr>
          <w:p w14:paraId="5F2315C2">
            <w:pPr>
              <w:pStyle w:val="557"/>
            </w:pPr>
          </w:p>
        </w:tc>
        <w:tc>
          <w:tcPr>
            <w:tcW w:w="1057" w:type="pct"/>
            <w:vMerge w:val="continue"/>
            <w:vAlign w:val="center"/>
          </w:tcPr>
          <w:p w14:paraId="6006A032">
            <w:pPr>
              <w:pStyle w:val="557"/>
            </w:pPr>
          </w:p>
        </w:tc>
        <w:tc>
          <w:tcPr>
            <w:tcW w:w="2186" w:type="pct"/>
            <w:gridSpan w:val="5"/>
            <w:vAlign w:val="center"/>
          </w:tcPr>
          <w:p w14:paraId="793C8D81">
            <w:pPr>
              <w:pStyle w:val="557"/>
            </w:pPr>
            <w:r>
              <w:t>大气毒性终点浓度-2：最大影响范围</w:t>
            </w:r>
            <w:r>
              <w:rPr>
                <w:rFonts w:hint="eastAsia"/>
              </w:rPr>
              <w:t>970</w:t>
            </w:r>
            <w:r>
              <w:t>m</w:t>
            </w:r>
          </w:p>
        </w:tc>
      </w:tr>
      <w:tr w14:paraId="0D67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5997395A">
            <w:pPr>
              <w:pStyle w:val="557"/>
            </w:pPr>
          </w:p>
        </w:tc>
        <w:tc>
          <w:tcPr>
            <w:tcW w:w="831" w:type="pct"/>
            <w:vMerge w:val="continue"/>
            <w:vAlign w:val="center"/>
          </w:tcPr>
          <w:p w14:paraId="198025B0">
            <w:pPr>
              <w:pStyle w:val="557"/>
            </w:pPr>
          </w:p>
        </w:tc>
        <w:tc>
          <w:tcPr>
            <w:tcW w:w="640" w:type="pct"/>
            <w:vMerge w:val="continue"/>
            <w:vAlign w:val="center"/>
          </w:tcPr>
          <w:p w14:paraId="64328B4E">
            <w:pPr>
              <w:pStyle w:val="557"/>
            </w:pPr>
          </w:p>
        </w:tc>
        <w:tc>
          <w:tcPr>
            <w:tcW w:w="1057" w:type="pct"/>
            <w:vMerge w:val="restart"/>
            <w:vAlign w:val="center"/>
          </w:tcPr>
          <w:p w14:paraId="02171C49">
            <w:pPr>
              <w:pStyle w:val="557"/>
            </w:pPr>
            <w:r>
              <w:rPr>
                <w:rFonts w:hint="eastAsia"/>
              </w:rPr>
              <w:t>酸性气管线泄漏事故</w:t>
            </w:r>
          </w:p>
        </w:tc>
        <w:tc>
          <w:tcPr>
            <w:tcW w:w="2186" w:type="pct"/>
            <w:gridSpan w:val="5"/>
            <w:vAlign w:val="center"/>
          </w:tcPr>
          <w:p w14:paraId="4BA4D40A">
            <w:pPr>
              <w:pStyle w:val="557"/>
            </w:pPr>
            <w:r>
              <w:t>大气毒性终点浓度-1：最大影响范围</w:t>
            </w:r>
            <w:r>
              <w:rPr>
                <w:rFonts w:hint="eastAsia"/>
              </w:rPr>
              <w:t>650</w:t>
            </w:r>
            <w:r>
              <w:t>m</w:t>
            </w:r>
          </w:p>
        </w:tc>
      </w:tr>
      <w:tr w14:paraId="6915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54E68C30">
            <w:pPr>
              <w:pStyle w:val="557"/>
            </w:pPr>
          </w:p>
        </w:tc>
        <w:tc>
          <w:tcPr>
            <w:tcW w:w="831" w:type="pct"/>
            <w:vMerge w:val="continue"/>
            <w:vAlign w:val="center"/>
          </w:tcPr>
          <w:p w14:paraId="2B9CE6D4">
            <w:pPr>
              <w:pStyle w:val="557"/>
            </w:pPr>
          </w:p>
        </w:tc>
        <w:tc>
          <w:tcPr>
            <w:tcW w:w="640" w:type="pct"/>
            <w:vMerge w:val="continue"/>
            <w:vAlign w:val="center"/>
          </w:tcPr>
          <w:p w14:paraId="3D50213E">
            <w:pPr>
              <w:pStyle w:val="557"/>
            </w:pPr>
          </w:p>
        </w:tc>
        <w:tc>
          <w:tcPr>
            <w:tcW w:w="1057" w:type="pct"/>
            <w:vMerge w:val="continue"/>
            <w:vAlign w:val="center"/>
          </w:tcPr>
          <w:p w14:paraId="46181347">
            <w:pPr>
              <w:pStyle w:val="557"/>
            </w:pPr>
          </w:p>
        </w:tc>
        <w:tc>
          <w:tcPr>
            <w:tcW w:w="2186" w:type="pct"/>
            <w:gridSpan w:val="5"/>
            <w:vAlign w:val="center"/>
          </w:tcPr>
          <w:p w14:paraId="24A856C6">
            <w:pPr>
              <w:pStyle w:val="557"/>
            </w:pPr>
            <w:r>
              <w:t>大气毒性终点浓度-2：最大影响范围</w:t>
            </w:r>
            <w:r>
              <w:rPr>
                <w:rFonts w:hint="eastAsia"/>
              </w:rPr>
              <w:t>910</w:t>
            </w:r>
            <w:r>
              <w:t>m</w:t>
            </w:r>
          </w:p>
        </w:tc>
      </w:tr>
      <w:tr w14:paraId="5AC6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7E52A44B">
            <w:pPr>
              <w:pStyle w:val="557"/>
            </w:pPr>
          </w:p>
        </w:tc>
        <w:tc>
          <w:tcPr>
            <w:tcW w:w="831" w:type="pct"/>
            <w:vMerge w:val="continue"/>
            <w:vAlign w:val="center"/>
          </w:tcPr>
          <w:p w14:paraId="4375CD41">
            <w:pPr>
              <w:pStyle w:val="557"/>
            </w:pPr>
          </w:p>
        </w:tc>
        <w:tc>
          <w:tcPr>
            <w:tcW w:w="640" w:type="pct"/>
            <w:vMerge w:val="continue"/>
            <w:vAlign w:val="center"/>
          </w:tcPr>
          <w:p w14:paraId="195001C5">
            <w:pPr>
              <w:pStyle w:val="557"/>
            </w:pPr>
          </w:p>
        </w:tc>
        <w:tc>
          <w:tcPr>
            <w:tcW w:w="1057" w:type="pct"/>
            <w:vMerge w:val="restart"/>
            <w:vAlign w:val="center"/>
          </w:tcPr>
          <w:p w14:paraId="2D609D29">
            <w:pPr>
              <w:pStyle w:val="557"/>
            </w:pPr>
            <w:r>
              <w:rPr>
                <w:rFonts w:hint="eastAsia"/>
              </w:rPr>
              <w:t>液氨储罐泄漏事故</w:t>
            </w:r>
          </w:p>
        </w:tc>
        <w:tc>
          <w:tcPr>
            <w:tcW w:w="2186" w:type="pct"/>
            <w:gridSpan w:val="5"/>
            <w:vAlign w:val="center"/>
          </w:tcPr>
          <w:p w14:paraId="6E7A0961">
            <w:pPr>
              <w:pStyle w:val="557"/>
            </w:pPr>
            <w:r>
              <w:t>大气毒性终点浓度-1：最大影响范围</w:t>
            </w:r>
            <w:r>
              <w:rPr>
                <w:rFonts w:hint="eastAsia"/>
              </w:rPr>
              <w:t>370</w:t>
            </w:r>
            <w:r>
              <w:t>m</w:t>
            </w:r>
          </w:p>
        </w:tc>
      </w:tr>
      <w:tr w14:paraId="7FAE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6AB8515">
            <w:pPr>
              <w:pStyle w:val="557"/>
            </w:pPr>
          </w:p>
        </w:tc>
        <w:tc>
          <w:tcPr>
            <w:tcW w:w="831" w:type="pct"/>
            <w:vMerge w:val="continue"/>
            <w:vAlign w:val="center"/>
          </w:tcPr>
          <w:p w14:paraId="4D1D26BB">
            <w:pPr>
              <w:pStyle w:val="557"/>
            </w:pPr>
          </w:p>
        </w:tc>
        <w:tc>
          <w:tcPr>
            <w:tcW w:w="640" w:type="pct"/>
            <w:vMerge w:val="continue"/>
            <w:vAlign w:val="center"/>
          </w:tcPr>
          <w:p w14:paraId="7263C54C">
            <w:pPr>
              <w:pStyle w:val="557"/>
            </w:pPr>
          </w:p>
        </w:tc>
        <w:tc>
          <w:tcPr>
            <w:tcW w:w="1057" w:type="pct"/>
            <w:vMerge w:val="continue"/>
            <w:vAlign w:val="center"/>
          </w:tcPr>
          <w:p w14:paraId="7894EDFD">
            <w:pPr>
              <w:pStyle w:val="557"/>
            </w:pPr>
          </w:p>
        </w:tc>
        <w:tc>
          <w:tcPr>
            <w:tcW w:w="2186" w:type="pct"/>
            <w:gridSpan w:val="5"/>
            <w:vAlign w:val="center"/>
          </w:tcPr>
          <w:p w14:paraId="047B0D02">
            <w:pPr>
              <w:pStyle w:val="557"/>
            </w:pPr>
            <w:r>
              <w:t>大气毒性终点浓度-2：最大影响范围</w:t>
            </w:r>
            <w:r>
              <w:rPr>
                <w:rFonts w:hint="eastAsia"/>
              </w:rPr>
              <w:t>116</w:t>
            </w:r>
            <w:r>
              <w:t>0m</w:t>
            </w:r>
          </w:p>
        </w:tc>
      </w:tr>
      <w:tr w14:paraId="2135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6BAAE114">
            <w:pPr>
              <w:pStyle w:val="557"/>
            </w:pPr>
          </w:p>
        </w:tc>
        <w:tc>
          <w:tcPr>
            <w:tcW w:w="831" w:type="pct"/>
            <w:vMerge w:val="continue"/>
            <w:vAlign w:val="center"/>
          </w:tcPr>
          <w:p w14:paraId="1589B7FA">
            <w:pPr>
              <w:pStyle w:val="557"/>
            </w:pPr>
          </w:p>
        </w:tc>
        <w:tc>
          <w:tcPr>
            <w:tcW w:w="640" w:type="pct"/>
            <w:vMerge w:val="continue"/>
            <w:vAlign w:val="center"/>
          </w:tcPr>
          <w:p w14:paraId="5F63A119">
            <w:pPr>
              <w:pStyle w:val="557"/>
            </w:pPr>
          </w:p>
        </w:tc>
        <w:tc>
          <w:tcPr>
            <w:tcW w:w="1057" w:type="pct"/>
            <w:vMerge w:val="restart"/>
            <w:vAlign w:val="center"/>
          </w:tcPr>
          <w:p w14:paraId="0C282D87">
            <w:pPr>
              <w:pStyle w:val="557"/>
            </w:pPr>
            <w:r>
              <w:rPr>
                <w:rFonts w:hint="eastAsia"/>
              </w:rPr>
              <w:t>甲醇储罐泄漏事故</w:t>
            </w:r>
          </w:p>
        </w:tc>
        <w:tc>
          <w:tcPr>
            <w:tcW w:w="2186" w:type="pct"/>
            <w:gridSpan w:val="5"/>
            <w:vAlign w:val="center"/>
          </w:tcPr>
          <w:p w14:paraId="7C6747AA">
            <w:pPr>
              <w:pStyle w:val="557"/>
            </w:pPr>
            <w:r>
              <w:t>大气毒性终点浓度-1：最大影响范围</w:t>
            </w:r>
            <w:r>
              <w:rPr>
                <w:rFonts w:hint="eastAsia"/>
              </w:rPr>
              <w:t>0</w:t>
            </w:r>
            <w:r>
              <w:t>m</w:t>
            </w:r>
          </w:p>
        </w:tc>
      </w:tr>
      <w:tr w14:paraId="131A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480B915">
            <w:pPr>
              <w:pStyle w:val="557"/>
            </w:pPr>
          </w:p>
        </w:tc>
        <w:tc>
          <w:tcPr>
            <w:tcW w:w="831" w:type="pct"/>
            <w:vMerge w:val="continue"/>
            <w:vAlign w:val="center"/>
          </w:tcPr>
          <w:p w14:paraId="2949299B">
            <w:pPr>
              <w:pStyle w:val="557"/>
            </w:pPr>
          </w:p>
        </w:tc>
        <w:tc>
          <w:tcPr>
            <w:tcW w:w="640" w:type="pct"/>
            <w:vMerge w:val="continue"/>
            <w:vAlign w:val="center"/>
          </w:tcPr>
          <w:p w14:paraId="76CDE404">
            <w:pPr>
              <w:pStyle w:val="557"/>
            </w:pPr>
          </w:p>
        </w:tc>
        <w:tc>
          <w:tcPr>
            <w:tcW w:w="1057" w:type="pct"/>
            <w:vMerge w:val="continue"/>
            <w:vAlign w:val="center"/>
          </w:tcPr>
          <w:p w14:paraId="53B15CF2">
            <w:pPr>
              <w:pStyle w:val="557"/>
            </w:pPr>
          </w:p>
        </w:tc>
        <w:tc>
          <w:tcPr>
            <w:tcW w:w="2186" w:type="pct"/>
            <w:gridSpan w:val="5"/>
            <w:vAlign w:val="center"/>
          </w:tcPr>
          <w:p w14:paraId="5647948B">
            <w:pPr>
              <w:pStyle w:val="557"/>
            </w:pPr>
            <w:r>
              <w:t>大气毒性终点浓度-2：最大影响范围</w:t>
            </w:r>
            <w:r>
              <w:rPr>
                <w:rFonts w:hint="eastAsia"/>
              </w:rPr>
              <w:t>0</w:t>
            </w:r>
            <w:r>
              <w:t>m</w:t>
            </w:r>
          </w:p>
        </w:tc>
      </w:tr>
      <w:tr w14:paraId="03A2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784DC2A9">
            <w:pPr>
              <w:pStyle w:val="557"/>
            </w:pPr>
          </w:p>
        </w:tc>
        <w:tc>
          <w:tcPr>
            <w:tcW w:w="831" w:type="pct"/>
            <w:vMerge w:val="continue"/>
            <w:vAlign w:val="center"/>
          </w:tcPr>
          <w:p w14:paraId="5A31D191">
            <w:pPr>
              <w:pStyle w:val="557"/>
            </w:pPr>
          </w:p>
        </w:tc>
        <w:tc>
          <w:tcPr>
            <w:tcW w:w="640" w:type="pct"/>
            <w:vMerge w:val="continue"/>
            <w:vAlign w:val="center"/>
          </w:tcPr>
          <w:p w14:paraId="44419166">
            <w:pPr>
              <w:pStyle w:val="557"/>
            </w:pPr>
          </w:p>
        </w:tc>
        <w:tc>
          <w:tcPr>
            <w:tcW w:w="1057" w:type="pct"/>
            <w:vMerge w:val="restart"/>
            <w:vAlign w:val="center"/>
          </w:tcPr>
          <w:p w14:paraId="2273DB36">
            <w:pPr>
              <w:pStyle w:val="557"/>
            </w:pPr>
            <w:r>
              <w:rPr>
                <w:rFonts w:hint="eastAsia"/>
              </w:rPr>
              <w:t>甲醇储罐泄漏引发火灾事故</w:t>
            </w:r>
          </w:p>
        </w:tc>
        <w:tc>
          <w:tcPr>
            <w:tcW w:w="2186" w:type="pct"/>
            <w:gridSpan w:val="5"/>
            <w:vAlign w:val="center"/>
          </w:tcPr>
          <w:p w14:paraId="51AD6256">
            <w:pPr>
              <w:pStyle w:val="557"/>
            </w:pPr>
            <w:r>
              <w:t>大气毒性终点浓度-1：最大影响范围</w:t>
            </w:r>
            <w:r>
              <w:rPr>
                <w:rFonts w:hint="eastAsia"/>
              </w:rPr>
              <w:t>280</w:t>
            </w:r>
            <w:r>
              <w:t>m</w:t>
            </w:r>
          </w:p>
        </w:tc>
      </w:tr>
      <w:tr w14:paraId="30B2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049D81B2">
            <w:pPr>
              <w:pStyle w:val="557"/>
            </w:pPr>
          </w:p>
        </w:tc>
        <w:tc>
          <w:tcPr>
            <w:tcW w:w="831" w:type="pct"/>
            <w:vMerge w:val="continue"/>
            <w:vAlign w:val="center"/>
          </w:tcPr>
          <w:p w14:paraId="29853460">
            <w:pPr>
              <w:pStyle w:val="557"/>
            </w:pPr>
          </w:p>
        </w:tc>
        <w:tc>
          <w:tcPr>
            <w:tcW w:w="640" w:type="pct"/>
            <w:vMerge w:val="continue"/>
            <w:vAlign w:val="center"/>
          </w:tcPr>
          <w:p w14:paraId="76370EE1">
            <w:pPr>
              <w:pStyle w:val="557"/>
            </w:pPr>
          </w:p>
        </w:tc>
        <w:tc>
          <w:tcPr>
            <w:tcW w:w="1057" w:type="pct"/>
            <w:vMerge w:val="continue"/>
            <w:vAlign w:val="center"/>
          </w:tcPr>
          <w:p w14:paraId="3942BCEF">
            <w:pPr>
              <w:pStyle w:val="557"/>
            </w:pPr>
          </w:p>
        </w:tc>
        <w:tc>
          <w:tcPr>
            <w:tcW w:w="2186" w:type="pct"/>
            <w:gridSpan w:val="5"/>
            <w:vAlign w:val="center"/>
          </w:tcPr>
          <w:p w14:paraId="5056E594">
            <w:pPr>
              <w:pStyle w:val="557"/>
            </w:pPr>
            <w:r>
              <w:t>大气毒性终点浓度-2：最大影响范围</w:t>
            </w:r>
            <w:r>
              <w:rPr>
                <w:rFonts w:hint="eastAsia"/>
              </w:rPr>
              <w:t>650</w:t>
            </w:r>
            <w:r>
              <w:t>m</w:t>
            </w:r>
          </w:p>
        </w:tc>
      </w:tr>
      <w:tr w14:paraId="7C3A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2576B48">
            <w:pPr>
              <w:pStyle w:val="557"/>
            </w:pPr>
          </w:p>
        </w:tc>
        <w:tc>
          <w:tcPr>
            <w:tcW w:w="831" w:type="pct"/>
            <w:vMerge w:val="continue"/>
            <w:vAlign w:val="center"/>
          </w:tcPr>
          <w:p w14:paraId="2EBB6EB1">
            <w:pPr>
              <w:pStyle w:val="557"/>
            </w:pPr>
          </w:p>
        </w:tc>
        <w:tc>
          <w:tcPr>
            <w:tcW w:w="640" w:type="pct"/>
            <w:vMerge w:val="continue"/>
            <w:vAlign w:val="center"/>
          </w:tcPr>
          <w:p w14:paraId="6792455B">
            <w:pPr>
              <w:pStyle w:val="557"/>
            </w:pPr>
          </w:p>
        </w:tc>
        <w:tc>
          <w:tcPr>
            <w:tcW w:w="1057" w:type="pct"/>
            <w:vMerge w:val="restart"/>
            <w:vAlign w:val="center"/>
          </w:tcPr>
          <w:p w14:paraId="717B91B7">
            <w:pPr>
              <w:pStyle w:val="557"/>
            </w:pPr>
            <w:r>
              <w:rPr>
                <w:rFonts w:hint="eastAsia"/>
              </w:rPr>
              <w:t>甲酸甲酯储罐泄漏事故</w:t>
            </w:r>
          </w:p>
        </w:tc>
        <w:tc>
          <w:tcPr>
            <w:tcW w:w="2186" w:type="pct"/>
            <w:gridSpan w:val="5"/>
            <w:vAlign w:val="center"/>
          </w:tcPr>
          <w:p w14:paraId="2C921BA2">
            <w:pPr>
              <w:pStyle w:val="557"/>
            </w:pPr>
            <w:r>
              <w:t>大气毒性终点浓度-1：最大影响范围</w:t>
            </w:r>
            <w:r>
              <w:rPr>
                <w:rFonts w:hint="eastAsia"/>
              </w:rPr>
              <w:t>0</w:t>
            </w:r>
            <w:r>
              <w:t>m</w:t>
            </w:r>
          </w:p>
        </w:tc>
      </w:tr>
      <w:tr w14:paraId="029B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793B8B4D">
            <w:pPr>
              <w:pStyle w:val="557"/>
            </w:pPr>
          </w:p>
        </w:tc>
        <w:tc>
          <w:tcPr>
            <w:tcW w:w="831" w:type="pct"/>
            <w:vMerge w:val="continue"/>
            <w:vAlign w:val="center"/>
          </w:tcPr>
          <w:p w14:paraId="7C5C032D">
            <w:pPr>
              <w:pStyle w:val="557"/>
            </w:pPr>
          </w:p>
        </w:tc>
        <w:tc>
          <w:tcPr>
            <w:tcW w:w="640" w:type="pct"/>
            <w:vMerge w:val="continue"/>
            <w:vAlign w:val="center"/>
          </w:tcPr>
          <w:p w14:paraId="70F2DF70">
            <w:pPr>
              <w:pStyle w:val="557"/>
            </w:pPr>
          </w:p>
        </w:tc>
        <w:tc>
          <w:tcPr>
            <w:tcW w:w="1057" w:type="pct"/>
            <w:vMerge w:val="continue"/>
            <w:vAlign w:val="center"/>
          </w:tcPr>
          <w:p w14:paraId="3072C2E6">
            <w:pPr>
              <w:pStyle w:val="557"/>
            </w:pPr>
          </w:p>
        </w:tc>
        <w:tc>
          <w:tcPr>
            <w:tcW w:w="2186" w:type="pct"/>
            <w:gridSpan w:val="5"/>
            <w:vAlign w:val="center"/>
          </w:tcPr>
          <w:p w14:paraId="3DABCB18">
            <w:pPr>
              <w:pStyle w:val="557"/>
            </w:pPr>
            <w:r>
              <w:t>大气毒性终点浓度-2：最大影响范围</w:t>
            </w:r>
            <w:r>
              <w:rPr>
                <w:rFonts w:hint="eastAsia"/>
              </w:rPr>
              <w:t>0</w:t>
            </w:r>
            <w:r>
              <w:t>m</w:t>
            </w:r>
          </w:p>
        </w:tc>
      </w:tr>
      <w:tr w14:paraId="1491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722289D">
            <w:pPr>
              <w:pStyle w:val="557"/>
            </w:pPr>
          </w:p>
        </w:tc>
        <w:tc>
          <w:tcPr>
            <w:tcW w:w="831" w:type="pct"/>
            <w:vMerge w:val="continue"/>
            <w:vAlign w:val="center"/>
          </w:tcPr>
          <w:p w14:paraId="147CDBC4">
            <w:pPr>
              <w:pStyle w:val="557"/>
            </w:pPr>
          </w:p>
        </w:tc>
        <w:tc>
          <w:tcPr>
            <w:tcW w:w="640" w:type="pct"/>
            <w:vMerge w:val="continue"/>
            <w:vAlign w:val="center"/>
          </w:tcPr>
          <w:p w14:paraId="1507B8AF">
            <w:pPr>
              <w:pStyle w:val="557"/>
            </w:pPr>
          </w:p>
        </w:tc>
        <w:tc>
          <w:tcPr>
            <w:tcW w:w="1057" w:type="pct"/>
            <w:vMerge w:val="restart"/>
            <w:vAlign w:val="center"/>
          </w:tcPr>
          <w:p w14:paraId="6444DA2E">
            <w:pPr>
              <w:pStyle w:val="557"/>
            </w:pPr>
            <w:r>
              <w:rPr>
                <w:rFonts w:hint="eastAsia"/>
              </w:rPr>
              <w:t>甲酸甲酯储罐泄漏引发火灾事故</w:t>
            </w:r>
          </w:p>
        </w:tc>
        <w:tc>
          <w:tcPr>
            <w:tcW w:w="2186" w:type="pct"/>
            <w:gridSpan w:val="5"/>
            <w:vAlign w:val="center"/>
          </w:tcPr>
          <w:p w14:paraId="4072F0ED">
            <w:pPr>
              <w:pStyle w:val="557"/>
            </w:pPr>
            <w:r>
              <w:t>大气毒性终点浓度-1：最大影响范围</w:t>
            </w:r>
            <w:r>
              <w:rPr>
                <w:rFonts w:hint="eastAsia"/>
              </w:rPr>
              <w:t>310</w:t>
            </w:r>
            <w:r>
              <w:t>m</w:t>
            </w:r>
          </w:p>
        </w:tc>
      </w:tr>
      <w:tr w14:paraId="6E67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D3E9609">
            <w:pPr>
              <w:pStyle w:val="557"/>
            </w:pPr>
          </w:p>
        </w:tc>
        <w:tc>
          <w:tcPr>
            <w:tcW w:w="831" w:type="pct"/>
            <w:vMerge w:val="continue"/>
            <w:vAlign w:val="center"/>
          </w:tcPr>
          <w:p w14:paraId="550EA75E">
            <w:pPr>
              <w:pStyle w:val="557"/>
            </w:pPr>
          </w:p>
        </w:tc>
        <w:tc>
          <w:tcPr>
            <w:tcW w:w="640" w:type="pct"/>
            <w:vMerge w:val="continue"/>
            <w:vAlign w:val="center"/>
          </w:tcPr>
          <w:p w14:paraId="2E37A1A8">
            <w:pPr>
              <w:pStyle w:val="557"/>
            </w:pPr>
          </w:p>
        </w:tc>
        <w:tc>
          <w:tcPr>
            <w:tcW w:w="1057" w:type="pct"/>
            <w:vMerge w:val="continue"/>
            <w:vAlign w:val="center"/>
          </w:tcPr>
          <w:p w14:paraId="27418213">
            <w:pPr>
              <w:pStyle w:val="557"/>
            </w:pPr>
          </w:p>
        </w:tc>
        <w:tc>
          <w:tcPr>
            <w:tcW w:w="2186" w:type="pct"/>
            <w:gridSpan w:val="5"/>
            <w:vAlign w:val="center"/>
          </w:tcPr>
          <w:p w14:paraId="1727D6CA">
            <w:pPr>
              <w:pStyle w:val="557"/>
            </w:pPr>
            <w:r>
              <w:t>大气毒性终点浓度-2：最大影响范围</w:t>
            </w:r>
            <w:r>
              <w:rPr>
                <w:rFonts w:hint="eastAsia"/>
              </w:rPr>
              <w:t>710</w:t>
            </w:r>
            <w:r>
              <w:t>m</w:t>
            </w:r>
          </w:p>
        </w:tc>
      </w:tr>
      <w:tr w14:paraId="7654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F208217">
            <w:pPr>
              <w:pStyle w:val="557"/>
            </w:pPr>
          </w:p>
        </w:tc>
        <w:tc>
          <w:tcPr>
            <w:tcW w:w="831" w:type="pct"/>
            <w:vMerge w:val="continue"/>
            <w:vAlign w:val="center"/>
          </w:tcPr>
          <w:p w14:paraId="3D2B7FE7">
            <w:pPr>
              <w:pStyle w:val="557"/>
            </w:pPr>
          </w:p>
        </w:tc>
        <w:tc>
          <w:tcPr>
            <w:tcW w:w="640" w:type="pct"/>
            <w:vMerge w:val="continue"/>
            <w:vAlign w:val="center"/>
          </w:tcPr>
          <w:p w14:paraId="48D688B3">
            <w:pPr>
              <w:pStyle w:val="557"/>
            </w:pPr>
          </w:p>
        </w:tc>
        <w:tc>
          <w:tcPr>
            <w:tcW w:w="1057" w:type="pct"/>
            <w:vMerge w:val="restart"/>
            <w:vAlign w:val="center"/>
          </w:tcPr>
          <w:p w14:paraId="69471550">
            <w:pPr>
              <w:pStyle w:val="557"/>
            </w:pPr>
            <w:r>
              <w:rPr>
                <w:rFonts w:hint="eastAsia"/>
              </w:rPr>
              <w:t>硝酸储罐泄漏事故</w:t>
            </w:r>
          </w:p>
        </w:tc>
        <w:tc>
          <w:tcPr>
            <w:tcW w:w="2186" w:type="pct"/>
            <w:gridSpan w:val="5"/>
            <w:vAlign w:val="center"/>
          </w:tcPr>
          <w:p w14:paraId="6709998B">
            <w:pPr>
              <w:pStyle w:val="557"/>
            </w:pPr>
            <w:r>
              <w:t>大气毒性终点浓度-1：最大影响范围</w:t>
            </w:r>
            <w:r>
              <w:rPr>
                <w:rFonts w:hint="eastAsia"/>
              </w:rPr>
              <w:t>0</w:t>
            </w:r>
            <w:r>
              <w:t>m</w:t>
            </w:r>
          </w:p>
        </w:tc>
      </w:tr>
      <w:tr w14:paraId="5FF7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1BA1F528">
            <w:pPr>
              <w:pStyle w:val="557"/>
            </w:pPr>
          </w:p>
        </w:tc>
        <w:tc>
          <w:tcPr>
            <w:tcW w:w="831" w:type="pct"/>
            <w:vMerge w:val="continue"/>
            <w:vAlign w:val="center"/>
          </w:tcPr>
          <w:p w14:paraId="2F46B64E">
            <w:pPr>
              <w:pStyle w:val="557"/>
            </w:pPr>
          </w:p>
        </w:tc>
        <w:tc>
          <w:tcPr>
            <w:tcW w:w="640" w:type="pct"/>
            <w:vMerge w:val="continue"/>
            <w:vAlign w:val="center"/>
          </w:tcPr>
          <w:p w14:paraId="46CC9FB5">
            <w:pPr>
              <w:pStyle w:val="557"/>
            </w:pPr>
          </w:p>
        </w:tc>
        <w:tc>
          <w:tcPr>
            <w:tcW w:w="1057" w:type="pct"/>
            <w:vMerge w:val="continue"/>
            <w:vAlign w:val="center"/>
          </w:tcPr>
          <w:p w14:paraId="3317C6A2">
            <w:pPr>
              <w:pStyle w:val="557"/>
            </w:pPr>
          </w:p>
        </w:tc>
        <w:tc>
          <w:tcPr>
            <w:tcW w:w="2186" w:type="pct"/>
            <w:gridSpan w:val="5"/>
            <w:vAlign w:val="center"/>
          </w:tcPr>
          <w:p w14:paraId="322C1390">
            <w:pPr>
              <w:pStyle w:val="557"/>
            </w:pPr>
            <w:r>
              <w:t>大气毒性终点浓度-2：最大影响范围</w:t>
            </w:r>
            <w:r>
              <w:rPr>
                <w:rFonts w:hint="eastAsia"/>
              </w:rPr>
              <w:t>60</w:t>
            </w:r>
            <w:r>
              <w:t>m</w:t>
            </w:r>
          </w:p>
        </w:tc>
      </w:tr>
      <w:tr w14:paraId="7A34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2C34A5BE">
            <w:pPr>
              <w:pStyle w:val="557"/>
            </w:pPr>
          </w:p>
        </w:tc>
        <w:tc>
          <w:tcPr>
            <w:tcW w:w="831" w:type="pct"/>
            <w:vAlign w:val="center"/>
          </w:tcPr>
          <w:p w14:paraId="7AC72A3C">
            <w:pPr>
              <w:pStyle w:val="557"/>
            </w:pPr>
            <w:r>
              <w:t>地表水</w:t>
            </w:r>
          </w:p>
        </w:tc>
        <w:tc>
          <w:tcPr>
            <w:tcW w:w="3883" w:type="pct"/>
            <w:gridSpan w:val="7"/>
            <w:vAlign w:val="center"/>
          </w:tcPr>
          <w:p w14:paraId="45AC3330">
            <w:pPr>
              <w:pStyle w:val="557"/>
            </w:pPr>
            <w:r>
              <w:t>最近环境敏感目标：无，到达时间/h</w:t>
            </w:r>
          </w:p>
        </w:tc>
      </w:tr>
      <w:tr w14:paraId="5D11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4C4A1192">
            <w:pPr>
              <w:pStyle w:val="557"/>
            </w:pPr>
          </w:p>
        </w:tc>
        <w:tc>
          <w:tcPr>
            <w:tcW w:w="831" w:type="pct"/>
            <w:vMerge w:val="restart"/>
            <w:vAlign w:val="center"/>
          </w:tcPr>
          <w:p w14:paraId="5090E914">
            <w:pPr>
              <w:pStyle w:val="557"/>
            </w:pPr>
            <w:r>
              <w:t>地下水</w:t>
            </w:r>
          </w:p>
        </w:tc>
        <w:tc>
          <w:tcPr>
            <w:tcW w:w="3883" w:type="pct"/>
            <w:gridSpan w:val="7"/>
            <w:vAlign w:val="center"/>
          </w:tcPr>
          <w:p w14:paraId="624A7257">
            <w:pPr>
              <w:pStyle w:val="557"/>
            </w:pPr>
            <w:r>
              <w:t>下游厂区边界到达时间d</w:t>
            </w:r>
          </w:p>
        </w:tc>
      </w:tr>
      <w:tr w14:paraId="3B94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7" w:type="pct"/>
            <w:vMerge w:val="continue"/>
            <w:vAlign w:val="center"/>
          </w:tcPr>
          <w:p w14:paraId="7D618E3C">
            <w:pPr>
              <w:pStyle w:val="557"/>
            </w:pPr>
          </w:p>
        </w:tc>
        <w:tc>
          <w:tcPr>
            <w:tcW w:w="831" w:type="pct"/>
            <w:vMerge w:val="continue"/>
            <w:vAlign w:val="center"/>
          </w:tcPr>
          <w:p w14:paraId="229A9A4C">
            <w:pPr>
              <w:pStyle w:val="557"/>
            </w:pPr>
          </w:p>
        </w:tc>
        <w:tc>
          <w:tcPr>
            <w:tcW w:w="3883" w:type="pct"/>
            <w:gridSpan w:val="7"/>
            <w:vAlign w:val="center"/>
          </w:tcPr>
          <w:p w14:paraId="201E0AE3">
            <w:pPr>
              <w:pStyle w:val="557"/>
            </w:pPr>
            <w:r>
              <w:t>最近环境敏感目标：无，到达时间/d</w:t>
            </w:r>
          </w:p>
        </w:tc>
      </w:tr>
      <w:tr w14:paraId="4B55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Align w:val="center"/>
          </w:tcPr>
          <w:p w14:paraId="4622DA86">
            <w:pPr>
              <w:pStyle w:val="557"/>
            </w:pPr>
            <w:r>
              <w:t>重点风险防范措施</w:t>
            </w:r>
          </w:p>
        </w:tc>
        <w:tc>
          <w:tcPr>
            <w:tcW w:w="3883" w:type="pct"/>
            <w:gridSpan w:val="7"/>
            <w:vAlign w:val="center"/>
          </w:tcPr>
          <w:p w14:paraId="42261DE5">
            <w:pPr>
              <w:pStyle w:val="557"/>
            </w:pPr>
            <w:r>
              <w:t>本项目在设计上充分考虑了环境风险防范，包括平面布置、工艺及技术方案选择、自动控制、电气、电信、消防等方面的风险防范措施。本项目设置有环境风险事故水三级防控体系，防止事故情况下事故废水进入厂外水体。</w:t>
            </w:r>
          </w:p>
        </w:tc>
      </w:tr>
      <w:tr w14:paraId="5BAC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7" w:type="pct"/>
            <w:gridSpan w:val="2"/>
            <w:vAlign w:val="center"/>
          </w:tcPr>
          <w:p w14:paraId="3460CC21">
            <w:pPr>
              <w:pStyle w:val="557"/>
            </w:pPr>
            <w:r>
              <w:t>评价结论与建议</w:t>
            </w:r>
          </w:p>
        </w:tc>
        <w:tc>
          <w:tcPr>
            <w:tcW w:w="3883" w:type="pct"/>
            <w:gridSpan w:val="7"/>
            <w:vAlign w:val="center"/>
          </w:tcPr>
          <w:p w14:paraId="0083CF1B">
            <w:pPr>
              <w:pStyle w:val="557"/>
            </w:pPr>
            <w:r>
              <w:t>本项目事故污水防范设置多级防控体系，建立环境风险事故应急监测系统，可在发生环境风险事故时与地方环境保护监测站进行应急监测系统联动，对环境风险事故造成的影响进行实时监控。针对项目的风险特点，设置车间级、厂级应急预案、公司级应急预案和切实可行的风险防范措施等。</w:t>
            </w:r>
          </w:p>
        </w:tc>
      </w:tr>
    </w:tbl>
    <w:p w14:paraId="13F4966A">
      <w:pPr>
        <w:spacing w:line="360" w:lineRule="auto"/>
        <w:jc w:val="center"/>
        <w:rPr>
          <w:rFonts w:hint="eastAsia" w:ascii="黑体" w:hAnsi="黑体" w:eastAsia="黑体"/>
          <w:b/>
        </w:rPr>
      </w:pPr>
    </w:p>
    <w:p w14:paraId="293B0B4B">
      <w:pPr>
        <w:spacing w:line="360" w:lineRule="auto"/>
        <w:jc w:val="center"/>
        <w:rPr>
          <w:rFonts w:hint="eastAsia" w:ascii="黑体" w:hAnsi="黑体" w:eastAsia="黑体"/>
          <w:b/>
        </w:rPr>
      </w:pPr>
    </w:p>
    <w:p w14:paraId="592D0B38">
      <w:pPr>
        <w:spacing w:line="360" w:lineRule="auto"/>
        <w:jc w:val="center"/>
        <w:rPr>
          <w:rFonts w:hint="eastAsia" w:ascii="黑体" w:hAnsi="黑体" w:eastAsia="黑体"/>
          <w:b/>
        </w:rPr>
      </w:pPr>
    </w:p>
    <w:p w14:paraId="30144E6B">
      <w:pPr>
        <w:spacing w:line="360" w:lineRule="auto"/>
        <w:jc w:val="center"/>
        <w:rPr>
          <w:rFonts w:hint="eastAsia" w:ascii="黑体" w:hAnsi="黑体" w:eastAsia="黑体"/>
          <w:b/>
        </w:rPr>
      </w:pPr>
    </w:p>
    <w:p w14:paraId="16112801">
      <w:pPr>
        <w:spacing w:line="360" w:lineRule="auto"/>
        <w:jc w:val="center"/>
        <w:rPr>
          <w:rFonts w:hint="eastAsia" w:ascii="黑体" w:hAnsi="黑体" w:eastAsia="黑体"/>
          <w:b/>
        </w:rPr>
      </w:pPr>
    </w:p>
    <w:p w14:paraId="2B386CA1">
      <w:pPr>
        <w:spacing w:line="360" w:lineRule="auto"/>
        <w:jc w:val="center"/>
        <w:rPr>
          <w:rFonts w:hint="eastAsia" w:ascii="黑体" w:hAnsi="黑体" w:eastAsia="黑体"/>
          <w:b/>
        </w:rPr>
      </w:pPr>
    </w:p>
    <w:p w14:paraId="2EAC3428">
      <w:pPr>
        <w:spacing w:line="360" w:lineRule="auto"/>
        <w:jc w:val="center"/>
        <w:rPr>
          <w:rFonts w:hint="eastAsia" w:ascii="黑体" w:hAnsi="黑体" w:eastAsia="黑体"/>
          <w:b/>
        </w:rPr>
      </w:pPr>
    </w:p>
    <w:p w14:paraId="1F59A9F1">
      <w:pPr>
        <w:spacing w:line="360" w:lineRule="auto"/>
        <w:jc w:val="center"/>
        <w:rPr>
          <w:rFonts w:hint="eastAsia" w:ascii="黑体" w:hAnsi="黑体" w:eastAsia="黑体"/>
          <w:b/>
        </w:rPr>
      </w:pPr>
    </w:p>
    <w:p w14:paraId="4DD939FF">
      <w:pPr>
        <w:spacing w:line="360" w:lineRule="auto"/>
        <w:jc w:val="center"/>
        <w:rPr>
          <w:rFonts w:hint="eastAsia" w:ascii="黑体" w:hAnsi="黑体" w:eastAsia="黑体"/>
          <w:b/>
        </w:rPr>
      </w:pPr>
    </w:p>
    <w:p w14:paraId="2192D55D">
      <w:pPr>
        <w:spacing w:line="360" w:lineRule="auto"/>
        <w:jc w:val="center"/>
        <w:rPr>
          <w:rFonts w:hint="eastAsia" w:ascii="黑体" w:hAnsi="黑体" w:eastAsia="黑体"/>
          <w:b/>
        </w:rPr>
      </w:pPr>
    </w:p>
    <w:p w14:paraId="19100F94">
      <w:pPr>
        <w:spacing w:line="360" w:lineRule="auto"/>
        <w:jc w:val="center"/>
        <w:rPr>
          <w:rFonts w:hint="eastAsia" w:ascii="黑体" w:hAnsi="黑体" w:eastAsia="黑体"/>
          <w:b/>
        </w:rPr>
      </w:pPr>
    </w:p>
    <w:p w14:paraId="18325C7C">
      <w:pPr>
        <w:spacing w:line="360" w:lineRule="auto"/>
        <w:jc w:val="center"/>
        <w:rPr>
          <w:rFonts w:hint="eastAsia" w:ascii="黑体" w:hAnsi="黑体" w:eastAsia="黑体"/>
          <w:b/>
        </w:rPr>
      </w:pPr>
    </w:p>
    <w:p w14:paraId="5F12D1F8">
      <w:pPr>
        <w:spacing w:line="360" w:lineRule="auto"/>
        <w:jc w:val="center"/>
        <w:rPr>
          <w:rFonts w:hint="eastAsia" w:ascii="黑体" w:hAnsi="黑体" w:eastAsia="黑体"/>
          <w:b/>
        </w:rPr>
      </w:pPr>
    </w:p>
    <w:p w14:paraId="700DF786">
      <w:pPr>
        <w:spacing w:line="360" w:lineRule="auto"/>
        <w:jc w:val="center"/>
        <w:rPr>
          <w:rFonts w:hint="eastAsia" w:ascii="黑体" w:hAnsi="黑体" w:eastAsia="黑体"/>
          <w:b/>
        </w:rPr>
      </w:pPr>
    </w:p>
    <w:bookmarkEnd w:id="437"/>
    <w:bookmarkEnd w:id="438"/>
    <w:bookmarkEnd w:id="439"/>
    <w:bookmarkEnd w:id="440"/>
    <w:bookmarkEnd w:id="441"/>
    <w:p w14:paraId="62DDC71D">
      <w:pPr>
        <w:pStyle w:val="1012"/>
      </w:pPr>
      <w:bookmarkStart w:id="536" w:name="_Toc31210"/>
      <w:r>
        <w:t>产业政策及选址合理性分析</w:t>
      </w:r>
      <w:bookmarkEnd w:id="536"/>
    </w:p>
    <w:p w14:paraId="712C920D">
      <w:pPr>
        <w:pStyle w:val="3"/>
        <w:rPr>
          <w:rFonts w:hint="eastAsia"/>
        </w:rPr>
      </w:pPr>
      <w:bookmarkStart w:id="537" w:name="_Toc2732"/>
      <w:r>
        <w:t>政策符合性分析</w:t>
      </w:r>
      <w:bookmarkEnd w:id="537"/>
    </w:p>
    <w:p w14:paraId="55EBF9DA">
      <w:pPr>
        <w:pStyle w:val="97"/>
        <w:rPr>
          <w:rFonts w:hint="eastAsia"/>
        </w:rPr>
      </w:pPr>
      <w:r>
        <w:t>产业政策符合性分析</w:t>
      </w:r>
    </w:p>
    <w:p w14:paraId="58DD0738">
      <w:pPr>
        <w:pStyle w:val="281"/>
        <w:ind w:firstLine="480"/>
        <w:rPr>
          <w:rStyle w:val="282"/>
          <w:color w:val="000000" w:themeColor="text1"/>
          <w14:textFill>
            <w14:solidFill>
              <w14:schemeClr w14:val="tx1"/>
            </w14:solidFill>
          </w14:textFill>
        </w:rPr>
      </w:pPr>
      <w:r>
        <w:rPr>
          <w:rStyle w:val="282"/>
          <w:rFonts w:hint="eastAsia"/>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p>
    <w:p w14:paraId="326AE62E">
      <w:pPr>
        <w:pStyle w:val="98"/>
        <w:rPr>
          <w:rFonts w:hint="eastAsia"/>
        </w:rPr>
      </w:pPr>
      <w:r>
        <w:t>产业政策</w:t>
      </w:r>
    </w:p>
    <w:p w14:paraId="4A0D4FB2">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对照</w:t>
      </w:r>
      <w:r>
        <w:rPr>
          <w:color w:val="000000" w:themeColor="text1"/>
          <w14:textFill>
            <w14:solidFill>
              <w14:schemeClr w14:val="tx1"/>
            </w14:solidFill>
          </w14:textFill>
        </w:rPr>
        <w:t>《产业结构调整指导目录（20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年本）》</w:t>
      </w:r>
      <w:r>
        <w:rPr>
          <w:rFonts w:hint="eastAsia"/>
          <w:color w:val="000000" w:themeColor="text1"/>
          <w14:textFill>
            <w14:solidFill>
              <w14:schemeClr w14:val="tx1"/>
            </w14:solidFill>
          </w14:textFill>
        </w:rPr>
        <w:t>：</w:t>
      </w:r>
    </w:p>
    <w:p w14:paraId="7BB74976">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鼓励类</w:t>
      </w:r>
      <w:r>
        <w:rPr>
          <w:rFonts w:hint="eastAsia"/>
          <w:color w:val="000000" w:themeColor="text1"/>
          <w14:textFill>
            <w14:solidFill>
              <w14:schemeClr w14:val="tx1"/>
            </w14:solidFill>
          </w14:textFill>
        </w:rPr>
        <w:t>：“第十一条 石化化工-</w:t>
      </w:r>
      <w:r>
        <w:rPr>
          <w:rFonts w:hint="eastAsia"/>
          <w:color w:val="000000" w:themeColor="text1"/>
          <w:szCs w:val="30"/>
          <w14:textFill>
            <w14:solidFill>
              <w14:schemeClr w14:val="tx1"/>
            </w14:solidFill>
          </w14:textFill>
        </w:rPr>
        <w:t>2、优质钾肥及新型肥料的生产</w:t>
      </w:r>
      <w:r>
        <w:rPr>
          <w:rFonts w:hint="eastAsia"/>
          <w:color w:val="000000" w:themeColor="text1"/>
          <w14:textFill>
            <w14:solidFill>
              <w14:schemeClr w14:val="tx1"/>
            </w14:solidFill>
          </w14:textFill>
        </w:rPr>
        <w:t>”</w:t>
      </w:r>
      <w:r>
        <w:rPr>
          <w:color w:val="000000" w:themeColor="text1"/>
          <w:szCs w:val="30"/>
          <w14:textFill>
            <w14:solidFill>
              <w14:schemeClr w14:val="tx1"/>
            </w14:solidFill>
          </w14:textFill>
        </w:rPr>
        <w:t>，本项目所产</w:t>
      </w:r>
      <w:r>
        <w:rPr>
          <w:rFonts w:hint="eastAsia"/>
          <w:color w:val="000000" w:themeColor="text1"/>
          <w:kern w:val="2"/>
          <w14:textFill>
            <w14:solidFill>
              <w14:schemeClr w14:val="tx1"/>
            </w14:solidFill>
          </w14:textFill>
        </w:rPr>
        <w:t>草酰胺有机缓释肥</w:t>
      </w:r>
      <w:r>
        <w:rPr>
          <w:rFonts w:hint="eastAsia"/>
          <w:color w:val="000000" w:themeColor="text1"/>
          <w14:textFill>
            <w14:solidFill>
              <w14:schemeClr w14:val="tx1"/>
            </w14:solidFill>
          </w14:textFill>
        </w:rPr>
        <w:t>，属于优质水溶肥，属于“鼓励类”。</w:t>
      </w:r>
    </w:p>
    <w:p w14:paraId="418A1FFD">
      <w:pPr>
        <w:pStyle w:val="281"/>
        <w:ind w:firstLine="480"/>
        <w:rPr>
          <w:color w:val="FF0000"/>
          <w:szCs w:val="30"/>
        </w:rPr>
      </w:pPr>
      <w:r>
        <w:rPr>
          <w:rFonts w:hint="eastAsia"/>
          <w:color w:val="000000" w:themeColor="text1"/>
          <w14:textFill>
            <w14:solidFill>
              <w14:schemeClr w14:val="tx1"/>
            </w14:solidFill>
          </w14:textFill>
        </w:rPr>
        <w:t>（2）限制类：“第四条石化化工-7、以石油、天然气为原料的氮肥，采用固定层间歇气化技术合成氨，铜洗法氨合成原料气净化工艺”</w:t>
      </w:r>
      <w:r>
        <w:rPr>
          <w:color w:val="000000" w:themeColor="text1"/>
          <w:szCs w:val="30"/>
          <w14:textFill>
            <w14:solidFill>
              <w14:schemeClr w14:val="tx1"/>
            </w14:solidFill>
          </w14:textFill>
        </w:rPr>
        <w:t>，本项目以</w:t>
      </w:r>
      <w:r>
        <w:rPr>
          <w:rFonts w:hint="eastAsia"/>
          <w:color w:val="000000" w:themeColor="text1"/>
          <w:szCs w:val="30"/>
          <w14:textFill>
            <w14:solidFill>
              <w14:schemeClr w14:val="tx1"/>
            </w14:solidFill>
          </w14:textFill>
        </w:rPr>
        <w:t>电解水制氢及空分装置的氮气生产合成氨，不属于限制类工艺。</w:t>
      </w:r>
    </w:p>
    <w:p w14:paraId="6AFA0AF1">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第四条石化化工-</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Style w:val="188"/>
          <w:rFonts w:hint="eastAsia" w:cs="Times New Roman"/>
          <w:color w:val="000000" w:themeColor="text1"/>
          <w:szCs w:val="21"/>
          <w14:textFill>
            <w14:solidFill>
              <w14:schemeClr w14:val="tx1"/>
            </w14:solidFill>
          </w14:textFill>
        </w:rPr>
        <w:t>30万吨/年以下硫磺制酸（单项金属离子≤100ppb的电子级硫酸除外）、20万吨/年以下硫铁矿制酸、常压法及综合法硝酸、电石（以大型先进工艺设备进行等量替换的除外）、单线产能5万吨/年以下氢氧化钾生产装置。”本项目为酸性气制酸，不涉及限制类工艺。</w:t>
      </w:r>
    </w:p>
    <w:p w14:paraId="1582BE2F">
      <w:pPr>
        <w:pStyle w:val="281"/>
        <w:ind w:firstLine="480"/>
        <w:rPr>
          <w:color w:val="000000" w:themeColor="text1"/>
          <w14:textFill>
            <w14:solidFill>
              <w14:schemeClr w14:val="tx1"/>
            </w14:solidFill>
          </w14:textFill>
        </w:rPr>
      </w:pPr>
      <w:r>
        <w:rPr>
          <w:rFonts w:hint="eastAsia"/>
          <w:color w:val="000000" w:themeColor="text1"/>
          <w:szCs w:val="30"/>
          <w14:textFill>
            <w14:solidFill>
              <w14:schemeClr w14:val="tx1"/>
            </w14:solidFill>
          </w14:textFill>
        </w:rPr>
        <w:t>综上所述，本项目的建设符合</w:t>
      </w:r>
      <w:r>
        <w:rPr>
          <w:color w:val="000000" w:themeColor="text1"/>
          <w14:textFill>
            <w14:solidFill>
              <w14:schemeClr w14:val="tx1"/>
            </w14:solidFill>
          </w14:textFill>
        </w:rPr>
        <w:t>《产业结构调整指导目录（20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年本）》</w:t>
      </w:r>
      <w:r>
        <w:rPr>
          <w:rFonts w:hint="eastAsia"/>
          <w:color w:val="000000" w:themeColor="text1"/>
          <w14:textFill>
            <w14:solidFill>
              <w14:schemeClr w14:val="tx1"/>
            </w14:solidFill>
          </w14:textFill>
        </w:rPr>
        <w:t>。</w:t>
      </w:r>
    </w:p>
    <w:p w14:paraId="53C6C3A6">
      <w:pPr>
        <w:pStyle w:val="281"/>
        <w:ind w:firstLine="482"/>
        <w:rPr>
          <w:color w:val="000000" w:themeColor="text1"/>
          <w14:textFill>
            <w14:solidFill>
              <w14:schemeClr w14:val="tx1"/>
            </w14:solidFill>
          </w14:textFill>
        </w:rPr>
      </w:pPr>
      <w:r>
        <w:rPr>
          <w:rFonts w:hint="eastAsia" w:ascii="黑体" w:hAnsi="黑体" w:eastAsia="黑体"/>
          <w:b/>
          <w:bCs/>
          <w:color w:val="000000" w:themeColor="text1"/>
          <w:kern w:val="2"/>
          <w:szCs w:val="24"/>
          <w14:textFill>
            <w14:solidFill>
              <w14:schemeClr w14:val="tx1"/>
            </w14:solidFill>
          </w14:textFill>
        </w:rPr>
        <w:t>·</w:t>
      </w:r>
    </w:p>
    <w:p w14:paraId="0B4CA873">
      <w:pPr>
        <w:pStyle w:val="281"/>
        <w:ind w:firstLine="480"/>
        <w:rPr>
          <w:color w:val="000000" w:themeColor="text1"/>
          <w14:textFill>
            <w14:solidFill>
              <w14:schemeClr w14:val="tx1"/>
            </w14:solidFill>
          </w14:textFill>
        </w:rPr>
      </w:pPr>
    </w:p>
    <w:p w14:paraId="16E701E5">
      <w:pPr>
        <w:pStyle w:val="281"/>
        <w:ind w:firstLine="480"/>
        <w:rPr>
          <w:color w:val="000000" w:themeColor="text1"/>
          <w14:textFill>
            <w14:solidFill>
              <w14:schemeClr w14:val="tx1"/>
            </w14:solidFill>
          </w14:textFill>
        </w:rPr>
      </w:pPr>
    </w:p>
    <w:p w14:paraId="374077EC">
      <w:pPr>
        <w:pStyle w:val="281"/>
        <w:ind w:firstLine="480"/>
        <w:rPr>
          <w:color w:val="000000" w:themeColor="text1"/>
          <w14:textFill>
            <w14:solidFill>
              <w14:schemeClr w14:val="tx1"/>
            </w14:solidFill>
          </w14:textFill>
        </w:rPr>
      </w:pPr>
    </w:p>
    <w:p w14:paraId="3F456862">
      <w:pPr>
        <w:pStyle w:val="281"/>
        <w:ind w:firstLine="480"/>
        <w:rPr>
          <w:color w:val="000000" w:themeColor="text1"/>
          <w14:textFill>
            <w14:solidFill>
              <w14:schemeClr w14:val="tx1"/>
            </w14:solidFill>
          </w14:textFill>
        </w:rPr>
      </w:pPr>
    </w:p>
    <w:p w14:paraId="64C254A9">
      <w:pPr>
        <w:pStyle w:val="281"/>
        <w:ind w:firstLine="480"/>
        <w:rPr>
          <w:color w:val="000000" w:themeColor="text1"/>
          <w14:textFill>
            <w14:solidFill>
              <w14:schemeClr w14:val="tx1"/>
            </w14:solidFill>
          </w14:textFill>
        </w:rPr>
      </w:pPr>
    </w:p>
    <w:p w14:paraId="0E36C82A">
      <w:pPr>
        <w:pStyle w:val="281"/>
        <w:ind w:firstLine="480"/>
        <w:rPr>
          <w:color w:val="000000" w:themeColor="text1"/>
          <w14:textFill>
            <w14:solidFill>
              <w14:schemeClr w14:val="tx1"/>
            </w14:solidFill>
          </w14:textFill>
        </w:rPr>
      </w:pPr>
    </w:p>
    <w:p w14:paraId="66A9B4E5">
      <w:pPr>
        <w:pStyle w:val="281"/>
        <w:ind w:firstLine="480"/>
        <w:sectPr>
          <w:pgSz w:w="11906" w:h="16838"/>
          <w:pgMar w:top="1440" w:right="1800" w:bottom="1440" w:left="1800" w:header="851" w:footer="850" w:gutter="0"/>
          <w:cols w:space="425" w:num="1"/>
          <w:docGrid w:type="lines" w:linePitch="326" w:charSpace="0"/>
        </w:sectPr>
      </w:pPr>
    </w:p>
    <w:p w14:paraId="178D9387">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8.1.1-1</w:t>
      </w:r>
      <w:r>
        <w:rPr>
          <w:rFonts w:hint="eastAsia"/>
          <w:color w:val="000000" w:themeColor="text1"/>
          <w14:textFill>
            <w14:solidFill>
              <w14:schemeClr w14:val="tx1"/>
            </w14:solidFill>
          </w14:textFill>
        </w:rPr>
        <w:t xml:space="preserve">    本项目与相关产业政策的符合性分析</w:t>
      </w:r>
    </w:p>
    <w:tbl>
      <w:tblPr>
        <w:tblStyle w:val="706"/>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5"/>
        <w:gridCol w:w="1457"/>
        <w:gridCol w:w="7204"/>
        <w:gridCol w:w="4615"/>
        <w:gridCol w:w="494"/>
      </w:tblGrid>
      <w:tr w14:paraId="04E4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2D616FD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bookmarkStart w:id="538" w:name="_Hlk179670265"/>
            <w:r>
              <w:rPr>
                <w:rFonts w:ascii="Times New Roman" w:hAnsi="Times New Roman" w:cs="Times New Roman"/>
                <w:color w:val="000000" w:themeColor="text1"/>
                <w:sz w:val="18"/>
                <w14:textFill>
                  <w14:solidFill>
                    <w14:schemeClr w14:val="tx1"/>
                  </w14:solidFill>
                </w14:textFill>
              </w:rPr>
              <w:t>序号</w:t>
            </w:r>
          </w:p>
        </w:tc>
        <w:tc>
          <w:tcPr>
            <w:tcW w:w="514" w:type="pct"/>
            <w:vAlign w:val="center"/>
          </w:tcPr>
          <w:p w14:paraId="0E0B939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政策文件</w:t>
            </w:r>
          </w:p>
        </w:tc>
        <w:tc>
          <w:tcPr>
            <w:tcW w:w="2541" w:type="pct"/>
            <w:vAlign w:val="center"/>
          </w:tcPr>
          <w:p w14:paraId="6D2A12E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具体要求</w:t>
            </w:r>
          </w:p>
        </w:tc>
        <w:tc>
          <w:tcPr>
            <w:tcW w:w="1628" w:type="pct"/>
            <w:vAlign w:val="center"/>
          </w:tcPr>
          <w:p w14:paraId="0224C65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本项目情况</w:t>
            </w:r>
          </w:p>
        </w:tc>
        <w:tc>
          <w:tcPr>
            <w:tcW w:w="174" w:type="pct"/>
            <w:vAlign w:val="center"/>
          </w:tcPr>
          <w:p w14:paraId="57DAEDD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符合性</w:t>
            </w:r>
          </w:p>
        </w:tc>
      </w:tr>
      <w:tr w14:paraId="1882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49A3695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514" w:type="pct"/>
            <w:vAlign w:val="center"/>
          </w:tcPr>
          <w:p w14:paraId="1D0D1CD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t>
            </w:r>
            <w:bookmarkStart w:id="539" w:name="OLE_LINK39"/>
            <w:r>
              <w:rPr>
                <w:rFonts w:ascii="Times New Roman" w:hAnsi="Times New Roman" w:cs="Times New Roman"/>
                <w:color w:val="000000" w:themeColor="text1"/>
                <w:sz w:val="18"/>
                <w14:textFill>
                  <w14:solidFill>
                    <w14:schemeClr w14:val="tx1"/>
                  </w14:solidFill>
                </w14:textFill>
              </w:rPr>
              <w:t>西部地区鼓励类产业目录</w:t>
            </w:r>
            <w:bookmarkEnd w:id="539"/>
            <w:r>
              <w:rPr>
                <w:rFonts w:ascii="Times New Roman" w:hAnsi="Times New Roman" w:cs="Times New Roman"/>
                <w:color w:val="000000" w:themeColor="text1"/>
                <w:sz w:val="18"/>
                <w14:textFill>
                  <w14:solidFill>
                    <w14:schemeClr w14:val="tx1"/>
                  </w14:solidFill>
                </w14:textFill>
              </w:rPr>
              <w:t>（2025年本）》</w:t>
            </w:r>
          </w:p>
        </w:tc>
        <w:tc>
          <w:tcPr>
            <w:tcW w:w="2541" w:type="pct"/>
            <w:vAlign w:val="center"/>
          </w:tcPr>
          <w:p w14:paraId="1B17ABE9">
            <w:pPr>
              <w:pStyle w:val="557"/>
            </w:pPr>
            <w:r>
              <w:t>新疆维吾尔自治区（含新疆生产建设兵团）：1</w:t>
            </w:r>
            <w:r>
              <w:rPr>
                <w:rFonts w:hint="eastAsia"/>
              </w:rPr>
              <w:t>5</w:t>
            </w:r>
            <w:r>
              <w:t>.</w:t>
            </w:r>
            <w:r>
              <w:rPr>
                <w:rFonts w:hint="eastAsia"/>
              </w:rPr>
              <w:t>绿色煤化工产品研发、生产（含聚甲醛、聚四氢呋喃、醋酸、合成气制草酸酯、草酸酯加氢、乙二醇、复合肥、三聚氰胺、碳酸二甲酯（</w:t>
            </w:r>
            <w:r>
              <w:t>DMC</w:t>
            </w:r>
            <w:r>
              <w:rPr>
                <w:rFonts w:hint="eastAsia"/>
              </w:rPr>
              <w:t>）、二甲基二硫、对苯二甲酸（</w:t>
            </w:r>
            <w:r>
              <w:t>PTA</w:t>
            </w:r>
            <w:r>
              <w:rPr>
                <w:rFonts w:hint="eastAsia"/>
              </w:rPr>
              <w:t>）、聚乙交酯（</w:t>
            </w:r>
            <w:r>
              <w:t>PGA</w:t>
            </w:r>
            <w:r>
              <w:rPr>
                <w:rFonts w:hint="eastAsia"/>
              </w:rPr>
              <w:t>）、乙烯</w:t>
            </w:r>
            <w:r>
              <w:t>-</w:t>
            </w:r>
            <w:r>
              <w:rPr>
                <w:rFonts w:hint="eastAsia"/>
              </w:rPr>
              <w:t>醋酸乙烯酯共聚物（</w:t>
            </w:r>
            <w:r>
              <w:t>EVA</w:t>
            </w:r>
            <w:r>
              <w:rPr>
                <w:rFonts w:hint="eastAsia"/>
              </w:rPr>
              <w:t>）、甲基丙烯酸甲酯（</w:t>
            </w:r>
            <w:r>
              <w:t>MMA</w:t>
            </w:r>
            <w:r>
              <w:rPr>
                <w:rFonts w:hint="eastAsia"/>
              </w:rPr>
              <w:t>）、</w:t>
            </w:r>
            <w:r>
              <w:t>1,4-</w:t>
            </w:r>
            <w:r>
              <w:rPr>
                <w:rFonts w:hint="eastAsia"/>
              </w:rPr>
              <w:t>丁二醇（</w:t>
            </w:r>
            <w:r>
              <w:t>BDO</w:t>
            </w:r>
            <w:r>
              <w:rPr>
                <w:rFonts w:hint="eastAsia"/>
              </w:rPr>
              <w:t>）等）</w:t>
            </w:r>
          </w:p>
        </w:tc>
        <w:tc>
          <w:tcPr>
            <w:tcW w:w="1628" w:type="pct"/>
            <w:vAlign w:val="center"/>
          </w:tcPr>
          <w:p w14:paraId="762ADAA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本项目位于哈密工业园区，</w:t>
            </w:r>
            <w:r>
              <w:rPr>
                <w:rFonts w:hint="eastAsia" w:ascii="Times New Roman" w:hAnsi="Times New Roman" w:cs="Times New Roman"/>
                <w:color w:val="000000" w:themeColor="text1"/>
                <w:sz w:val="18"/>
                <w14:textFill>
                  <w14:solidFill>
                    <w14:schemeClr w14:val="tx1"/>
                  </w14:solidFill>
                </w14:textFill>
              </w:rPr>
              <w:t>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r>
              <w:rPr>
                <w:rFonts w:ascii="Times New Roman" w:hAnsi="Times New Roman" w:cs="Times New Roman"/>
                <w:color w:val="000000" w:themeColor="text1"/>
                <w:sz w:val="18"/>
                <w14:textFill>
                  <w14:solidFill>
                    <w14:schemeClr w14:val="tx1"/>
                  </w14:solidFill>
                </w14:textFill>
              </w:rPr>
              <w:t>属于《西部地区鼓励类产业目录（2025年本）》</w:t>
            </w:r>
            <w:r>
              <w:rPr>
                <w:rFonts w:hint="eastAsia" w:ascii="Times New Roman" w:hAnsi="Times New Roman" w:cs="Times New Roman"/>
                <w:color w:val="000000" w:themeColor="text1"/>
                <w:sz w:val="18"/>
                <w14:textFill>
                  <w14:solidFill>
                    <w14:schemeClr w14:val="tx1"/>
                  </w14:solidFill>
                </w14:textFill>
              </w:rPr>
              <w:t>中新疆维吾尔自治区</w:t>
            </w:r>
            <w:r>
              <w:rPr>
                <w:rFonts w:ascii="Times New Roman" w:hAnsi="Times New Roman" w:cs="Times New Roman"/>
                <w:color w:val="000000" w:themeColor="text1"/>
                <w:sz w:val="18"/>
                <w14:textFill>
                  <w14:solidFill>
                    <w14:schemeClr w14:val="tx1"/>
                  </w14:solidFill>
                </w14:textFill>
              </w:rPr>
              <w:t>鼓励类</w:t>
            </w:r>
            <w:r>
              <w:rPr>
                <w:rFonts w:hint="eastAsia" w:ascii="Times New Roman" w:hAnsi="Times New Roman" w:cs="Times New Roman"/>
                <w:color w:val="000000" w:themeColor="text1"/>
                <w:sz w:val="18"/>
                <w14:textFill>
                  <w14:solidFill>
                    <w14:schemeClr w14:val="tx1"/>
                  </w14:solidFill>
                </w14:textFill>
              </w:rPr>
              <w:t>产业</w:t>
            </w:r>
            <w:r>
              <w:rPr>
                <w:rFonts w:ascii="Times New Roman" w:hAnsi="Times New Roman" w:cs="Times New Roman"/>
                <w:color w:val="000000" w:themeColor="text1"/>
                <w:sz w:val="18"/>
                <w14:textFill>
                  <w14:solidFill>
                    <w14:schemeClr w14:val="tx1"/>
                  </w14:solidFill>
                </w14:textFill>
              </w:rPr>
              <w:t>。</w:t>
            </w:r>
          </w:p>
        </w:tc>
        <w:tc>
          <w:tcPr>
            <w:tcW w:w="174" w:type="pct"/>
            <w:vAlign w:val="center"/>
          </w:tcPr>
          <w:p w14:paraId="6512ACF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6C5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70C3951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w:t>
            </w:r>
          </w:p>
        </w:tc>
        <w:tc>
          <w:tcPr>
            <w:tcW w:w="514" w:type="pct"/>
            <w:vMerge w:val="restart"/>
            <w:vAlign w:val="center"/>
          </w:tcPr>
          <w:p w14:paraId="1A3BA56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《国家发展改革委等部门关于推动现代煤化工产业健康发展的通知》</w:t>
            </w:r>
          </w:p>
        </w:tc>
        <w:tc>
          <w:tcPr>
            <w:tcW w:w="2541" w:type="pct"/>
            <w:vAlign w:val="center"/>
          </w:tcPr>
          <w:p w14:paraId="7D44C7EA">
            <w:pPr>
              <w:pStyle w:val="557"/>
            </w:pPr>
            <w:r>
              <w:rPr>
                <w:rFonts w:hint="eastAsia"/>
              </w:rPr>
              <w:t>从严从紧控制现代煤化工产能规模和新增煤炭消费量，《方案》明确的每个示范区“十三五”期间2000万吨新增煤炭转化总量不再延续。确需新建的现代煤化工项目，应确保煤炭供应稳定，优先完成国家明确的发电供热用煤保供任务，不得通过减少保供煤用于现代煤化工项目建设。此前未纳入《方案》的新建煤制烯烃、新建煤制对二甲苯（PX）项目，由国家发展改革委、工业和信息化部会同相关部门，按照《政府核准的投资项目目录（2016年本）》规定，根据项目原料、用能、水资源等要素保障条件，经评估论证并纳入《方案》后，由省级政府核准。新建年产超过100万吨的煤制甲醇项目，由省级政府核准。</w:t>
            </w:r>
          </w:p>
        </w:tc>
        <w:tc>
          <w:tcPr>
            <w:tcW w:w="1628" w:type="pct"/>
            <w:vAlign w:val="center"/>
          </w:tcPr>
          <w:p w14:paraId="52B64D0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本项目为煤制氮肥行业</w:t>
            </w:r>
            <w:bookmarkStart w:id="540" w:name="_Hlk194597760"/>
            <w:r>
              <w:rPr>
                <w:rFonts w:hint="eastAsia" w:ascii="Times New Roman" w:hAnsi="Times New Roman" w:cs="Times New Roman"/>
                <w:color w:val="000000" w:themeColor="text1"/>
                <w:sz w:val="18"/>
                <w14:textFill>
                  <w14:solidFill>
                    <w14:schemeClr w14:val="tx1"/>
                  </w14:solidFill>
                </w14:textFill>
              </w:rPr>
              <w:t>，属于传统煤化工。</w:t>
            </w:r>
            <w:bookmarkEnd w:id="540"/>
          </w:p>
          <w:p w14:paraId="36B4CF8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本项目原料煤来自哈密地区，通过汽车直接送到厂内。</w:t>
            </w:r>
          </w:p>
        </w:tc>
        <w:tc>
          <w:tcPr>
            <w:tcW w:w="174" w:type="pct"/>
            <w:vMerge w:val="restart"/>
            <w:vAlign w:val="center"/>
          </w:tcPr>
          <w:p w14:paraId="518AD97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0BC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68488E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14" w:type="pct"/>
            <w:vMerge w:val="continue"/>
            <w:vAlign w:val="center"/>
          </w:tcPr>
          <w:p w14:paraId="5583ECF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541" w:type="pct"/>
            <w:vAlign w:val="center"/>
          </w:tcPr>
          <w:p w14:paraId="41278A3D">
            <w:pPr>
              <w:pStyle w:val="557"/>
            </w:pPr>
            <w:r>
              <w:rPr>
                <w:rFonts w:hint="eastAsia"/>
              </w:rPr>
              <w:t>在《方案》明确的现代煤化工产业布局基础上，按照区域重大战略和区域协调发展战略、国土空间规划、区域生态环境分区管控等要求，进一步加强规划引导，优化产业布局，推动存量现代煤化工项目加快实施先进技术装备改造升级，新建煤制烯烃、煤制对二甲苯（PX）、煤制甲醇、煤制乙二醇、煤制可降解材料等项目重点向煤水资源相对丰富、环境容量较好地区集中，促进产业集聚化、园区化发展。根据资源环境禀赋和承载能力，优化传统能源产业空间布局和用地结构，大气污染防治重点区域严禁新增煤化工产能。对于现有现代煤化工产能规模较大的地区，鼓励通过上大压小、煤炭用量置换等方式实施新建项目，避免同质化、低水平重复建设。</w:t>
            </w:r>
          </w:p>
        </w:tc>
        <w:tc>
          <w:tcPr>
            <w:tcW w:w="1628" w:type="pct"/>
            <w:vAlign w:val="center"/>
          </w:tcPr>
          <w:p w14:paraId="24EF285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本项目位于</w:t>
            </w:r>
            <w:r>
              <w:rPr>
                <w:rFonts w:ascii="Times New Roman" w:hAnsi="Times New Roman" w:cs="Times New Roman"/>
                <w:color w:val="000000" w:themeColor="text1"/>
                <w:sz w:val="18"/>
                <w14:textFill>
                  <w14:solidFill>
                    <w14:schemeClr w14:val="tx1"/>
                  </w14:solidFill>
                </w14:textFill>
              </w:rPr>
              <w:t>哈密工业园区</w:t>
            </w:r>
            <w:r>
              <w:rPr>
                <w:rFonts w:hint="eastAsia" w:ascii="Times New Roman" w:hAnsi="Times New Roman" w:cs="Times New Roman"/>
                <w:color w:val="000000" w:themeColor="text1"/>
                <w:sz w:val="18"/>
                <w14:textFill>
                  <w14:solidFill>
                    <w14:schemeClr w14:val="tx1"/>
                  </w14:solidFill>
                </w14:textFill>
              </w:rPr>
              <w:t>，不属于大气污染防治重点区域；</w:t>
            </w:r>
          </w:p>
        </w:tc>
        <w:tc>
          <w:tcPr>
            <w:tcW w:w="174" w:type="pct"/>
            <w:vMerge w:val="continue"/>
            <w:vAlign w:val="center"/>
          </w:tcPr>
          <w:p w14:paraId="05EA835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1E2E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2DEFA21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14" w:type="pct"/>
            <w:vMerge w:val="continue"/>
            <w:vAlign w:val="center"/>
          </w:tcPr>
          <w:p w14:paraId="5D2AD0A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541" w:type="pct"/>
            <w:vAlign w:val="center"/>
          </w:tcPr>
          <w:p w14:paraId="4E93979E">
            <w:pPr>
              <w:pStyle w:val="557"/>
            </w:pPr>
            <w:r>
              <w:rPr>
                <w:rFonts w:hint="eastAsia"/>
              </w:rPr>
              <w:t>加快绿色低碳技术装备推广应用，引导现有现代煤化工企业实施节能、降碳、节水、减污改造升级，加强全过程精细化管理，提高资源能源利用效率，强化能效、水效、污染物排放标准引领和约束作用，稳步提升现代煤化工绿色低碳发展水平。严格能效和环保约束，加强项目节能审查和环保监管，拟建、在建项目应全面达到能效标杆水平，主要用能设备能效水平达到能效标准先进值以上；能效低于基准水平的已建项目须在2025年底前完成改造升级，主要产品能效须达到行业基准水平以上，届时能效仍在基准水平以下的项目予以淘汰退出。新建项目企业环保应达到绩效分级A级指标要求。加快推进污染物不能稳定达标的企业实施改造，对超标排放情节严重的企业依法责令停业、关闭。坚决落实以水定产要求，强化水资源论证和项目用水管理，推广应用密闭式循环冷却等节水技术，推动新建项目每吨产品新鲜水耗达到行业领先水平。加快挥发性有机物综合治理、高盐废水阶梯式循环利用、资源化深度处理，以及灰、渣等固体废弃物资源化利用。开展现代煤化工行业所涉有毒有害化学物质筛选排查和环境风险评估，对环境风险高的有毒有害化学物质研究推动实施禁止、限制、限排等环境风险管控措施。加快高浓度二氧化碳大规模低能耗捕集利用与封存、制备高附加值化学品技术开发和工业化应用。加强传统能源与新能源综合开发利用，推动煤电、气电、风光电互补。新建项目应优先依托园区集中供热供汽设施，原则上不再新增自备燃煤机组。</w:t>
            </w:r>
          </w:p>
        </w:tc>
        <w:tc>
          <w:tcPr>
            <w:tcW w:w="1628" w:type="pct"/>
            <w:vAlign w:val="center"/>
          </w:tcPr>
          <w:p w14:paraId="0F2C7965">
            <w:pPr>
              <w:pStyle w:val="557"/>
            </w:pPr>
            <w:r>
              <w:t>对照《合成氨单位产品能耗限额》</w:t>
            </w:r>
            <w:r>
              <w:rPr>
                <w:rFonts w:hint="eastAsia"/>
              </w:rPr>
              <w:t>(GB21344-2015)、《尿素单位产品能源消耗限额》（GB32035-2015）、《复混肥料（复合肥料）单位产品能源消耗限额及计算方法》（HG/T5047-2016），本项目</w:t>
            </w:r>
            <w:r>
              <w:t>主要用能设备达到能效先进水平</w:t>
            </w:r>
            <w:r>
              <w:rPr>
                <w:rFonts w:hint="eastAsia"/>
              </w:rPr>
              <w:t>，合成氨、有机高效缓释肥单位产品综合能耗可满足</w:t>
            </w:r>
            <w:r>
              <w:t>国内先进水平。</w:t>
            </w:r>
          </w:p>
          <w:p w14:paraId="3839C7DF">
            <w:pPr>
              <w:pStyle w:val="557"/>
            </w:pPr>
            <w:r>
              <w:rPr>
                <w:rFonts w:hint="eastAsia"/>
              </w:rPr>
              <w:t>本项目采用密闭式循环冷却等节水技术；项目产生的灰、渣等固体废弃物优先</w:t>
            </w:r>
            <w:r>
              <w:t>资源化利用，无法利用部分送一般固废填埋场填埋处理。</w:t>
            </w:r>
          </w:p>
        </w:tc>
        <w:tc>
          <w:tcPr>
            <w:tcW w:w="174" w:type="pct"/>
            <w:vMerge w:val="continue"/>
            <w:vAlign w:val="center"/>
          </w:tcPr>
          <w:p w14:paraId="1BB587F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381D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7D5B028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3</w:t>
            </w:r>
          </w:p>
        </w:tc>
        <w:tc>
          <w:tcPr>
            <w:tcW w:w="514" w:type="pct"/>
            <w:vMerge w:val="restart"/>
            <w:vAlign w:val="center"/>
          </w:tcPr>
          <w:p w14:paraId="277C759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《关于规范煤化工产业有序发展的通知》（国家发展改革委发改产业〔2011〕635号）</w:t>
            </w:r>
          </w:p>
        </w:tc>
        <w:tc>
          <w:tcPr>
            <w:tcW w:w="2541" w:type="pct"/>
            <w:vAlign w:val="center"/>
          </w:tcPr>
          <w:p w14:paraId="6CB7200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煤炭供应要优先满足群众生活和发电需要，严禁挤占生活、生态和农业用水发展煤化工，对取水量已达到或超过控制指标的地区，暂停审批煤化工项目新增取水。加强水资源和水源地保护，严格控制缺水地区高耗水煤化工项目的建设。</w:t>
            </w:r>
          </w:p>
        </w:tc>
        <w:tc>
          <w:tcPr>
            <w:tcW w:w="1628" w:type="pct"/>
            <w:vAlign w:val="center"/>
          </w:tcPr>
          <w:p w14:paraId="4853A88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根据《</w:t>
            </w:r>
            <w:r>
              <w:rPr>
                <w:rFonts w:hint="eastAsia" w:ascii="Times New Roman" w:hAnsi="Times New Roman" w:cs="Times New Roman"/>
                <w:color w:val="000000" w:themeColor="text1"/>
                <w:sz w:val="18"/>
                <w14:textFill>
                  <w14:solidFill>
                    <w14:schemeClr w14:val="tx1"/>
                  </w14:solidFill>
                </w14:textFill>
              </w:rPr>
              <w:t>哈密工业园区产业发展规划（2019-2035年）</w:t>
            </w:r>
            <w:r>
              <w:rPr>
                <w:rFonts w:ascii="Times New Roman" w:hAnsi="Times New Roman" w:cs="Times New Roman"/>
                <w:color w:val="000000" w:themeColor="text1"/>
                <w:sz w:val="18"/>
                <w14:textFill>
                  <w14:solidFill>
                    <w14:schemeClr w14:val="tx1"/>
                  </w14:solidFill>
                </w14:textFill>
              </w:rPr>
              <w:t>》，</w:t>
            </w:r>
            <w:r>
              <w:rPr>
                <w:rFonts w:hint="eastAsia" w:ascii="Times New Roman" w:hAnsi="Times New Roman" w:cs="Times New Roman"/>
                <w:color w:val="000000" w:themeColor="text1"/>
                <w:sz w:val="18"/>
                <w14:textFill>
                  <w14:solidFill>
                    <w14:schemeClr w14:val="tx1"/>
                  </w14:solidFill>
                </w14:textFill>
              </w:rPr>
              <w:t>由哈密市四水厂供水及园区污水处理厂中水供水</w:t>
            </w:r>
            <w:r>
              <w:rPr>
                <w:rFonts w:ascii="Times New Roman" w:hAnsi="Times New Roman" w:cs="Times New Roman"/>
                <w:color w:val="000000" w:themeColor="text1"/>
                <w:sz w:val="18"/>
                <w14:textFill>
                  <w14:solidFill>
                    <w14:schemeClr w14:val="tx1"/>
                  </w14:solidFill>
                </w14:textFill>
              </w:rPr>
              <w:t>。</w:t>
            </w:r>
          </w:p>
        </w:tc>
        <w:tc>
          <w:tcPr>
            <w:tcW w:w="174" w:type="pct"/>
            <w:vMerge w:val="restart"/>
            <w:vAlign w:val="center"/>
          </w:tcPr>
          <w:p w14:paraId="4C74CE5B">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1E49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5A7796E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14" w:type="pct"/>
            <w:vMerge w:val="continue"/>
            <w:vAlign w:val="center"/>
          </w:tcPr>
          <w:p w14:paraId="38E5078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541" w:type="pct"/>
            <w:vAlign w:val="center"/>
          </w:tcPr>
          <w:p w14:paraId="455E268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煤炭净调入地区要严格控制煤化工产业，煤炭净调出地区要科学规划、有序发展，做好总量控制。新上示范项目要与淘汰传统落后的煤化工产能相结合，尽可能不增加新的煤炭消费量。</w:t>
            </w:r>
          </w:p>
        </w:tc>
        <w:tc>
          <w:tcPr>
            <w:tcW w:w="1628" w:type="pct"/>
            <w:vAlign w:val="center"/>
          </w:tcPr>
          <w:p w14:paraId="47F7C44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项目所用的</w:t>
            </w:r>
            <w:r>
              <w:rPr>
                <w:rFonts w:hint="eastAsia" w:ascii="Times New Roman" w:hAnsi="Times New Roman" w:cs="Times New Roman"/>
                <w:color w:val="000000" w:themeColor="text1"/>
                <w:sz w:val="18"/>
                <w14:textFill>
                  <w14:solidFill>
                    <w14:schemeClr w14:val="tx1"/>
                  </w14:solidFill>
                </w14:textFill>
              </w:rPr>
              <w:t>原料</w:t>
            </w:r>
            <w:r>
              <w:rPr>
                <w:rFonts w:ascii="Times New Roman" w:hAnsi="Times New Roman" w:cs="Times New Roman"/>
                <w:color w:val="000000" w:themeColor="text1"/>
                <w:sz w:val="18"/>
                <w14:textFill>
                  <w14:solidFill>
                    <w14:schemeClr w14:val="tx1"/>
                  </w14:solidFill>
                </w14:textFill>
              </w:rPr>
              <w:t>煤通过汽车直接送到厂内。</w:t>
            </w:r>
          </w:p>
        </w:tc>
        <w:tc>
          <w:tcPr>
            <w:tcW w:w="174" w:type="pct"/>
            <w:vMerge w:val="continue"/>
            <w:vAlign w:val="center"/>
          </w:tcPr>
          <w:p w14:paraId="0731D873">
            <w:pPr>
              <w:pStyle w:val="184"/>
              <w:widowControl w:val="0"/>
              <w:autoSpaceDE w:val="0"/>
              <w:autoSpaceDN w:val="0"/>
              <w:adjustRightInd w:val="0"/>
              <w:spacing w:line="240" w:lineRule="auto"/>
              <w:rPr>
                <w:rFonts w:ascii="Times New Roman" w:hAnsi="Times New Roman" w:cs="Times New Roman"/>
                <w:color w:val="FF0000"/>
                <w:sz w:val="18"/>
              </w:rPr>
            </w:pPr>
          </w:p>
        </w:tc>
      </w:tr>
      <w:tr w14:paraId="0EA2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0055E27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4</w:t>
            </w:r>
          </w:p>
        </w:tc>
        <w:tc>
          <w:tcPr>
            <w:tcW w:w="514" w:type="pct"/>
            <w:vAlign w:val="center"/>
          </w:tcPr>
          <w:p w14:paraId="79DC8CC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《中共中央国务院关于新时代推进西部大开发形成新格局的指导意见》</w:t>
            </w:r>
          </w:p>
        </w:tc>
        <w:tc>
          <w:tcPr>
            <w:tcW w:w="2541" w:type="pct"/>
            <w:vAlign w:val="center"/>
          </w:tcPr>
          <w:p w14:paraId="1D124B1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六）加快推进西部地区绿色发展。落实市场导向的绿色技术创新体系建设任务，推动西部地区绿色产业加快发展。实施国家节水行动以及能源消耗总量和强度双控制度，全面推动重点领域节能减排。大力发展循环经济，推进资源循环利用基地建设和园区循环化改造，鼓励探索低碳转型路径。</w:t>
            </w:r>
          </w:p>
        </w:tc>
        <w:tc>
          <w:tcPr>
            <w:tcW w:w="1628" w:type="pct"/>
            <w:vAlign w:val="center"/>
          </w:tcPr>
          <w:p w14:paraId="61D7CFF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bookmarkStart w:id="541" w:name="_Hlk194596802"/>
            <w:r>
              <w:rPr>
                <w:rFonts w:ascii="Times New Roman" w:hAnsi="Times New Roman" w:cs="Times New Roman"/>
                <w:color w:val="000000" w:themeColor="text1"/>
                <w:sz w:val="18"/>
                <w14:textFill>
                  <w14:solidFill>
                    <w14:schemeClr w14:val="tx1"/>
                  </w14:solidFill>
                </w14:textFill>
              </w:rPr>
              <w:t>本项目主产品为</w:t>
            </w:r>
            <w:r>
              <w:rPr>
                <w:rFonts w:hint="eastAsia" w:ascii="Times New Roman" w:hAnsi="Times New Roman" w:cs="Times New Roman"/>
                <w:color w:val="000000" w:themeColor="text1"/>
                <w:sz w:val="18"/>
                <w14:textFill>
                  <w14:solidFill>
                    <w14:schemeClr w14:val="tx1"/>
                  </w14:solidFill>
                </w14:textFill>
              </w:rPr>
              <w:t>草酰胺、草酰胺有机缓释肥、液氨、绿氢</w:t>
            </w:r>
            <w:r>
              <w:rPr>
                <w:rFonts w:ascii="Times New Roman" w:hAnsi="Times New Roman" w:cs="Times New Roman"/>
                <w:color w:val="000000" w:themeColor="text1"/>
                <w:sz w:val="18"/>
                <w14:textFill>
                  <w14:solidFill>
                    <w14:schemeClr w14:val="tx1"/>
                  </w14:solidFill>
                </w14:textFill>
              </w:rPr>
              <w:t>等，</w:t>
            </w:r>
            <w:bookmarkEnd w:id="541"/>
            <w:r>
              <w:rPr>
                <w:rFonts w:ascii="Times New Roman" w:hAnsi="Times New Roman" w:cs="Times New Roman"/>
                <w:color w:val="000000" w:themeColor="text1"/>
                <w:sz w:val="18"/>
                <w14:textFill>
                  <w14:solidFill>
                    <w14:schemeClr w14:val="tx1"/>
                  </w14:solidFill>
                </w14:textFill>
              </w:rPr>
              <w:t>从原辅材料、生产工艺路线的选用、污染物产生及排放等方面均达到国内先进水平。</w:t>
            </w:r>
          </w:p>
        </w:tc>
        <w:tc>
          <w:tcPr>
            <w:tcW w:w="174" w:type="pct"/>
            <w:vAlign w:val="center"/>
          </w:tcPr>
          <w:p w14:paraId="2F52981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CFD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09FF9DB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5</w:t>
            </w:r>
          </w:p>
        </w:tc>
        <w:tc>
          <w:tcPr>
            <w:tcW w:w="514" w:type="pct"/>
            <w:vAlign w:val="center"/>
          </w:tcPr>
          <w:p w14:paraId="2E525D4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《煤炭工业“十四五”高质量发展指导意见》（中煤协会政研〔2021〕19号）</w:t>
            </w:r>
          </w:p>
        </w:tc>
        <w:tc>
          <w:tcPr>
            <w:tcW w:w="2541" w:type="pct"/>
            <w:vAlign w:val="center"/>
          </w:tcPr>
          <w:p w14:paraId="28D0766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三、重点任务</w:t>
            </w:r>
          </w:p>
          <w:p w14:paraId="605B4DE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四）推动煤炭绿色低碳发展。贯彻落实碳达峰、碳中和战略，积极推动实施煤炭行业碳减排行动。大力推进清洁生产，加强商品煤质量管理，严格限制劣质煤销售和使用。健全商品煤质量监管体系，建立完善煤炭生产流通消费全过程质量跟踪监测和管理机制。支持煤炭低碳化和分质分级梯级利用，积极发展绿色循环产业，大力推进节能降耗，从产品全生命周期控制煤炭资源消耗。建立健全以市场为导向的低碳技术创新体系，推进煤炭碳排放技术研发和示范推广。</w:t>
            </w:r>
          </w:p>
          <w:p w14:paraId="29C91DE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培育建设一批行业低碳产业示范基地。探索研究煤炭原料化材料化低碳发展路径，打通煤油气、化工和新材料产业链，推动煤炭由燃料向燃料与原料并重转变。建立健全行业低碳发展推进机制，促进煤炭生产和消费方式绿色低碳转型。</w:t>
            </w:r>
          </w:p>
        </w:tc>
        <w:tc>
          <w:tcPr>
            <w:tcW w:w="1628" w:type="pct"/>
            <w:vAlign w:val="center"/>
          </w:tcPr>
          <w:p w14:paraId="238D894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w:t>
            </w:r>
            <w:r>
              <w:rPr>
                <w:rFonts w:hint="eastAsia" w:ascii="Times New Roman" w:hAnsi="Times New Roman" w:cs="Times New Roman"/>
                <w:color w:val="000000" w:themeColor="text1"/>
                <w:sz w:val="18"/>
                <w14:textFill>
                  <w14:solidFill>
                    <w14:schemeClr w14:val="tx1"/>
                  </w14:solidFill>
                </w14:textFill>
              </w:rPr>
              <w:t>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p>
        </w:tc>
        <w:tc>
          <w:tcPr>
            <w:tcW w:w="174" w:type="pct"/>
            <w:vAlign w:val="center"/>
          </w:tcPr>
          <w:p w14:paraId="07D8388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69D7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618EA0D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6</w:t>
            </w:r>
          </w:p>
        </w:tc>
        <w:tc>
          <w:tcPr>
            <w:tcW w:w="514" w:type="pct"/>
            <w:vMerge w:val="restart"/>
            <w:vAlign w:val="center"/>
          </w:tcPr>
          <w:p w14:paraId="37BCCD6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关于“十四五”推动石化化工行业高质量发展的指导意见</w:t>
            </w:r>
            <w:r>
              <w:rPr>
                <w:rFonts w:hint="eastAsia" w:ascii="Times New Roman" w:hAnsi="Times New Roman" w:cs="Times New Roman"/>
                <w:color w:val="000000" w:themeColor="text1"/>
                <w:sz w:val="18"/>
                <w14:textFill>
                  <w14:solidFill>
                    <w14:schemeClr w14:val="tx1"/>
                  </w14:solidFill>
                </w14:textFill>
              </w:rPr>
              <w:t>》</w:t>
            </w:r>
          </w:p>
        </w:tc>
        <w:tc>
          <w:tcPr>
            <w:tcW w:w="2541" w:type="pct"/>
            <w:vAlign w:val="center"/>
          </w:tcPr>
          <w:p w14:paraId="61205024">
            <w:pPr>
              <w:pStyle w:val="557"/>
            </w:pPr>
            <w:r>
              <w:t>三、推动产业结构调整</w:t>
            </w:r>
          </w:p>
          <w:p w14:paraId="2FAF549D">
            <w:pPr>
              <w:pStyle w:val="557"/>
            </w:pPr>
            <w:r>
              <w:t>（四）强化分类施策，科学调控产业规模。有序推进炼化项目“降油增化”，延长石油化工产业链。增强高端聚合物、专用化学品等产品供给能力。严控炼油、磷铵、电石、黄磷等行业新增产能，禁止新建用汞的（聚）氯乙烯产能，加快低效落后产能退出。促进煤化工产业高端化、多元化、低碳化发展，按照生态优先、以水定产、总量控制、集聚发展的要求，稳妥有序发展现代煤化工。</w:t>
            </w:r>
          </w:p>
          <w:p w14:paraId="744DD53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加快改造提升，提高行业竞争能力。动态更新石化化工行业鼓励推广应用的技术和产品目录，鼓励利用先进适用技术实施安全、节能、减排、低碳等改造，推进智能制造。引导烯烃原料轻质化、优化芳烃原料结构，提高碳五、碳九等副产资源利用水平。加快煤制化学品向化工新材料延伸，煤制油气向特种燃料、高端化学品等高附加值产品发展，煤制乙二醇着重提升质量控制水平。</w:t>
            </w:r>
          </w:p>
        </w:tc>
        <w:tc>
          <w:tcPr>
            <w:tcW w:w="1628" w:type="pct"/>
            <w:vAlign w:val="center"/>
          </w:tcPr>
          <w:p w14:paraId="68F97213">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本项目</w:t>
            </w:r>
            <w:r>
              <w:rPr>
                <w:rFonts w:hint="eastAsia" w:ascii="Times New Roman" w:hAnsi="Times New Roman" w:cs="Times New Roman"/>
                <w:color w:val="000000" w:themeColor="text1"/>
                <w:sz w:val="18"/>
                <w14:textFill>
                  <w14:solidFill>
                    <w14:schemeClr w14:val="tx1"/>
                  </w14:solidFill>
                </w14:textFill>
              </w:rPr>
              <w:t>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r>
              <w:rPr>
                <w:rFonts w:ascii="Times New Roman" w:hAnsi="Times New Roman" w:cs="Times New Roman"/>
                <w:color w:val="000000" w:themeColor="text1"/>
                <w:sz w:val="18"/>
                <w14:textFill>
                  <w14:solidFill>
                    <w14:schemeClr w14:val="tx1"/>
                  </w14:solidFill>
                </w14:textFill>
              </w:rPr>
              <w:t>属于煤制氮肥行业，项目产品均为化学品；根据《新疆天科隆化学有限公司6.2万吨/年绿电制氢延链生产50万吨/年绿色草酰胺80万吨/年高效有机缓释肥料项目节能评估报告》，煤制</w:t>
            </w:r>
            <w:r>
              <w:rPr>
                <w:rFonts w:hint="eastAsia" w:ascii="Times New Roman" w:hAnsi="Times New Roman" w:cs="Times New Roman"/>
                <w:color w:val="000000" w:themeColor="text1"/>
                <w:sz w:val="18"/>
                <w14:textFill>
                  <w14:solidFill>
                    <w14:schemeClr w14:val="tx1"/>
                  </w14:solidFill>
                </w14:textFill>
              </w:rPr>
              <w:t>氮肥</w:t>
            </w:r>
            <w:r>
              <w:rPr>
                <w:rFonts w:ascii="Times New Roman" w:hAnsi="Times New Roman" w:cs="Times New Roman"/>
                <w:color w:val="000000" w:themeColor="text1"/>
                <w:sz w:val="18"/>
                <w14:textFill>
                  <w14:solidFill>
                    <w14:schemeClr w14:val="tx1"/>
                  </w14:solidFill>
                </w14:textFill>
              </w:rPr>
              <w:t>各项指标与《</w:t>
            </w:r>
            <w:r>
              <w:rPr>
                <w:rFonts w:hint="eastAsia" w:ascii="Times New Roman" w:hAnsi="Times New Roman" w:cs="Times New Roman"/>
                <w:color w:val="000000" w:themeColor="text1"/>
                <w:sz w:val="18"/>
                <w14:textFill>
                  <w14:solidFill>
                    <w14:schemeClr w14:val="tx1"/>
                  </w14:solidFill>
                </w14:textFill>
              </w:rPr>
              <w:t>工业重点领域能效标杆水平和基准水平（2023年版）》《</w:t>
            </w:r>
            <w:r>
              <w:rPr>
                <w:rFonts w:ascii="Times New Roman" w:hAnsi="Times New Roman" w:cs="Times New Roman"/>
                <w:color w:val="000000" w:themeColor="text1"/>
                <w:sz w:val="18"/>
                <w14:textFill>
                  <w14:solidFill>
                    <w14:schemeClr w14:val="tx1"/>
                  </w14:solidFill>
                </w14:textFill>
              </w:rPr>
              <w:t>煤炭清洁高效利用重点领域标杆水平和基准水平（2022年版）》对比，能效水平可达到标杆水平。</w:t>
            </w:r>
          </w:p>
        </w:tc>
        <w:tc>
          <w:tcPr>
            <w:tcW w:w="174" w:type="pct"/>
            <w:vMerge w:val="restart"/>
            <w:vAlign w:val="center"/>
          </w:tcPr>
          <w:p w14:paraId="449A2DAD">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2A89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BF8DF57">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159D0924">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4474595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四、优化调整产业布局</w:t>
            </w:r>
          </w:p>
          <w:p w14:paraId="3E94E98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七）引导化工项目进区入园，促进高水平集聚发展。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系统。严格执行危险化学品“禁限控”目录，新建危险化学品生产项目必须进入一般或较低安全风险的化工园区（与其他行业生产装置配套建设的项目除外），引导其他石化化工项目在化工园区发展。</w:t>
            </w:r>
          </w:p>
        </w:tc>
        <w:tc>
          <w:tcPr>
            <w:tcW w:w="1628" w:type="pct"/>
            <w:vAlign w:val="center"/>
          </w:tcPr>
          <w:p w14:paraId="71CEAD7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本项目位于哈密工业园区，用地为三类工业用地。</w:t>
            </w:r>
          </w:p>
        </w:tc>
        <w:tc>
          <w:tcPr>
            <w:tcW w:w="174" w:type="pct"/>
            <w:vMerge w:val="continue"/>
            <w:vAlign w:val="center"/>
          </w:tcPr>
          <w:p w14:paraId="20E27405">
            <w:pPr>
              <w:pStyle w:val="184"/>
              <w:widowControl w:val="0"/>
              <w:autoSpaceDE w:val="0"/>
              <w:autoSpaceDN w:val="0"/>
              <w:adjustRightInd w:val="0"/>
              <w:spacing w:line="240" w:lineRule="auto"/>
              <w:rPr>
                <w:rFonts w:ascii="Times New Roman" w:hAnsi="Times New Roman" w:cs="Times New Roman"/>
                <w:color w:val="FF0000"/>
                <w:sz w:val="18"/>
              </w:rPr>
            </w:pPr>
          </w:p>
        </w:tc>
      </w:tr>
      <w:tr w14:paraId="638C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7FF036B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7</w:t>
            </w:r>
          </w:p>
        </w:tc>
        <w:tc>
          <w:tcPr>
            <w:tcW w:w="514" w:type="pct"/>
            <w:vAlign w:val="center"/>
          </w:tcPr>
          <w:p w14:paraId="3D6F827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《国家发展改革委等部门关于严格能效约束推动重点领域节能降碳的若干意见》（发改产业〔2021〕1464号）</w:t>
            </w:r>
          </w:p>
        </w:tc>
        <w:tc>
          <w:tcPr>
            <w:tcW w:w="2541" w:type="pct"/>
            <w:vAlign w:val="center"/>
          </w:tcPr>
          <w:p w14:paraId="79ECD86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突出抓好重点行业。分步实施、有序推进重点行业节能降碳工作，首批聚焦能源消耗占比较高、改造条件相对成熟、示范带动作用明显的钢铁、电解铝、水泥、平板玻璃、炼油、乙烯、合成氨、电石等重点行业和数据中心组织实施。</w:t>
            </w:r>
          </w:p>
        </w:tc>
        <w:tc>
          <w:tcPr>
            <w:tcW w:w="1628" w:type="pct"/>
            <w:vAlign w:val="center"/>
          </w:tcPr>
          <w:p w14:paraId="0E3805E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kern w:val="2"/>
                <w:sz w:val="18"/>
                <w14:textFill>
                  <w14:solidFill>
                    <w14:schemeClr w14:val="tx1"/>
                  </w14:solidFill>
                </w14:textFill>
              </w:rPr>
              <w:t>本项目涉及煤制合成氨</w:t>
            </w:r>
            <w:r>
              <w:rPr>
                <w:rFonts w:ascii="Times New Roman" w:hAnsi="Times New Roman" w:cs="Times New Roman"/>
                <w:color w:val="000000" w:themeColor="text1"/>
                <w:sz w:val="18"/>
                <w14:textFill>
                  <w14:solidFill>
                    <w14:schemeClr w14:val="tx1"/>
                  </w14:solidFill>
                </w14:textFill>
              </w:rPr>
              <w:t>行业，能耗水平可达到《</w:t>
            </w:r>
            <w:r>
              <w:rPr>
                <w:rFonts w:hint="eastAsia" w:ascii="Times New Roman" w:hAnsi="Times New Roman" w:cs="Times New Roman"/>
                <w:color w:val="000000" w:themeColor="text1"/>
                <w:sz w:val="18"/>
                <w14:textFill>
                  <w14:solidFill>
                    <w14:schemeClr w14:val="tx1"/>
                  </w14:solidFill>
                </w14:textFill>
              </w:rPr>
              <w:t>工业重点领域能效标杆水平和基准水平（2023年版）》《</w:t>
            </w:r>
            <w:r>
              <w:rPr>
                <w:rFonts w:ascii="Times New Roman" w:hAnsi="Times New Roman" w:cs="Times New Roman"/>
                <w:color w:val="000000" w:themeColor="text1"/>
                <w:sz w:val="18"/>
                <w14:textFill>
                  <w14:solidFill>
                    <w14:schemeClr w14:val="tx1"/>
                  </w14:solidFill>
                </w14:textFill>
              </w:rPr>
              <w:t>煤炭清洁高效利用重点领域标杆水平和基准水平（2022年版）》标杆水平。</w:t>
            </w:r>
          </w:p>
        </w:tc>
        <w:tc>
          <w:tcPr>
            <w:tcW w:w="174" w:type="pct"/>
            <w:vAlign w:val="center"/>
          </w:tcPr>
          <w:p w14:paraId="1648024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580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184A107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8</w:t>
            </w:r>
          </w:p>
        </w:tc>
        <w:tc>
          <w:tcPr>
            <w:tcW w:w="514" w:type="pct"/>
            <w:vAlign w:val="center"/>
          </w:tcPr>
          <w:p w14:paraId="6C66ED7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国家发展改革委关于印发《完善能源消费强度和总量双控制度方案》的通知（发改环资〔2021〕1310号）</w:t>
            </w:r>
          </w:p>
        </w:tc>
        <w:tc>
          <w:tcPr>
            <w:tcW w:w="2541" w:type="pct"/>
            <w:vAlign w:val="center"/>
          </w:tcPr>
          <w:p w14:paraId="43AFC8B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（七）坚决管控高耗能高排放项目。</w:t>
            </w:r>
          </w:p>
          <w:p w14:paraId="49B3E50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各省（自治区、直辖市）要建立在建、拟建、存量高耗能高排放项目（以下称“两高”项目）清单，明确处置意见，调整情况及时报送国家发展改革委。对新增能耗5万t标准煤及以上的“两高”项目，国家发展改革委会同有关部门对照能效水平、环保要求、产业政策、相关规划等要求加强窗口指导；对新增能耗5万t标准煤以下的“两高”项目，各地区根据能耗双控目标任务加强管理，严格把关。对不符合要求的“两高”项目，各地区要严把节能审查、环评审批等准入关，金融机构不得提供信贷支持。</w:t>
            </w:r>
          </w:p>
        </w:tc>
        <w:tc>
          <w:tcPr>
            <w:tcW w:w="1628" w:type="pct"/>
            <w:vAlign w:val="center"/>
          </w:tcPr>
          <w:p w14:paraId="1566218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本项目应在国家发展改革委会同有关部门对照能效水平、环保要求、产业政策、相关规划等要求加强窗口指导。</w:t>
            </w:r>
          </w:p>
        </w:tc>
        <w:tc>
          <w:tcPr>
            <w:tcW w:w="174" w:type="pct"/>
            <w:vAlign w:val="center"/>
          </w:tcPr>
          <w:p w14:paraId="0A1FEAD1">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8E4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1E748BE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9</w:t>
            </w:r>
          </w:p>
        </w:tc>
        <w:tc>
          <w:tcPr>
            <w:tcW w:w="514" w:type="pct"/>
            <w:vAlign w:val="center"/>
          </w:tcPr>
          <w:p w14:paraId="7827668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《国务院关于加快建立健全绿色低碳循环发展经济体系的指导意见》（国发〔2021〕4号）</w:t>
            </w:r>
          </w:p>
        </w:tc>
        <w:tc>
          <w:tcPr>
            <w:tcW w:w="2541" w:type="pct"/>
            <w:vAlign w:val="center"/>
          </w:tcPr>
          <w:p w14:paraId="1A94DB1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管理。</w:t>
            </w:r>
          </w:p>
        </w:tc>
        <w:tc>
          <w:tcPr>
            <w:tcW w:w="1628" w:type="pct"/>
            <w:vAlign w:val="center"/>
          </w:tcPr>
          <w:p w14:paraId="5BA645B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（1）本项目产品为煤制合成氨下游产品，企业打造绿色生产企业化工生产体系，清洁生产水平达到国内领先水平。</w:t>
            </w:r>
          </w:p>
          <w:p w14:paraId="14CE66F0">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（2）本项目满足清污分流、污污分流、深度处理、分质回用原则，项目生产废水、生活污水等经厂内污水处理站、回用水站处理后，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全部回用于生产</w:t>
            </w:r>
            <w:r>
              <w:rPr>
                <w:rFonts w:ascii="Times New Roman" w:hAnsi="Times New Roman" w:cs="Times New Roman"/>
                <w:color w:val="000000" w:themeColor="text1"/>
                <w:sz w:val="18"/>
                <w14:textFill>
                  <w14:solidFill>
                    <w14:schemeClr w14:val="tx1"/>
                  </w14:solidFill>
                </w14:textFill>
              </w:rPr>
              <w:t>。</w:t>
            </w:r>
          </w:p>
          <w:p w14:paraId="4D4FC1A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（3）本项目一般固体废物首先考虑综合利用，无法综合利用的部分送一般固废填埋场填埋处理；生活垃圾委托环卫部门拉运到指定垃圾场卫生填埋；危险废物送有资质单位处置。</w:t>
            </w:r>
          </w:p>
          <w:p w14:paraId="07C513E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（4）本项目工业固体废物和危险废物无害化处理处置率均达到100%。</w:t>
            </w:r>
          </w:p>
        </w:tc>
        <w:tc>
          <w:tcPr>
            <w:tcW w:w="174" w:type="pct"/>
            <w:vAlign w:val="center"/>
          </w:tcPr>
          <w:p w14:paraId="2E99AF3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9A1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475B6BC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10</w:t>
            </w:r>
          </w:p>
        </w:tc>
        <w:tc>
          <w:tcPr>
            <w:tcW w:w="514" w:type="pct"/>
            <w:vAlign w:val="center"/>
          </w:tcPr>
          <w:p w14:paraId="19421F2A">
            <w:pPr>
              <w:widowControl w:val="0"/>
              <w:autoSpaceDE w:val="0"/>
              <w:autoSpaceDN w:val="0"/>
              <w:adjustRightInd w:val="0"/>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关于发布《工业重点领域能效标杆水平和基准水平（2023年版）》的通知（发改产业〔2023〕723号）</w:t>
            </w:r>
          </w:p>
        </w:tc>
        <w:tc>
          <w:tcPr>
            <w:tcW w:w="2541" w:type="pct"/>
            <w:vAlign w:val="center"/>
          </w:tcPr>
          <w:p w14:paraId="18B2436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三、推动分类改造升级</w:t>
            </w:r>
          </w:p>
          <w:p w14:paraId="09CFD82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对拟建、在建项目，应对照能效标杆水平建设实施，推动能效水平应提尽提，力争全面达到标杆水平。</w:t>
            </w:r>
          </w:p>
        </w:tc>
        <w:tc>
          <w:tcPr>
            <w:tcW w:w="1628" w:type="pct"/>
            <w:vAlign w:val="center"/>
          </w:tcPr>
          <w:p w14:paraId="05A30F1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bookmarkStart w:id="542" w:name="_Hlk194597643"/>
            <w:r>
              <w:rPr>
                <w:rFonts w:ascii="Times New Roman" w:hAnsi="Times New Roman" w:cs="Times New Roman"/>
                <w:color w:val="000000" w:themeColor="text1"/>
                <w:sz w:val="18"/>
                <w14:textFill>
                  <w14:solidFill>
                    <w14:schemeClr w14:val="tx1"/>
                  </w14:solidFill>
                </w14:textFill>
              </w:rPr>
              <w:t>本项目属于煤制</w:t>
            </w:r>
            <w:r>
              <w:rPr>
                <w:rFonts w:hint="eastAsia" w:ascii="Times New Roman" w:hAnsi="Times New Roman" w:cs="Times New Roman"/>
                <w:color w:val="000000" w:themeColor="text1"/>
                <w:sz w:val="18"/>
                <w14:textFill>
                  <w14:solidFill>
                    <w14:schemeClr w14:val="tx1"/>
                  </w14:solidFill>
                </w14:textFill>
              </w:rPr>
              <w:t>氮肥</w:t>
            </w:r>
            <w:r>
              <w:rPr>
                <w:rFonts w:ascii="Times New Roman" w:hAnsi="Times New Roman" w:cs="Times New Roman"/>
                <w:color w:val="000000" w:themeColor="text1"/>
                <w:sz w:val="18"/>
                <w14:textFill>
                  <w14:solidFill>
                    <w14:schemeClr w14:val="tx1"/>
                  </w14:solidFill>
                </w14:textFill>
              </w:rPr>
              <w:t>行业</w:t>
            </w:r>
            <w:bookmarkEnd w:id="542"/>
            <w:r>
              <w:rPr>
                <w:rFonts w:ascii="Times New Roman" w:hAnsi="Times New Roman" w:cs="Times New Roman"/>
                <w:color w:val="000000" w:themeColor="text1"/>
                <w:sz w:val="18"/>
                <w14:textFill>
                  <w14:solidFill>
                    <w14:schemeClr w14:val="tx1"/>
                  </w14:solidFill>
                </w14:textFill>
              </w:rPr>
              <w:t>，达到</w:t>
            </w:r>
            <w:r>
              <w:rPr>
                <w:rFonts w:hint="eastAsia" w:ascii="Times New Roman" w:hAnsi="Times New Roman" w:cs="Times New Roman"/>
                <w:color w:val="000000" w:themeColor="text1"/>
                <w:sz w:val="18"/>
                <w14:textFill>
                  <w14:solidFill>
                    <w14:schemeClr w14:val="tx1"/>
                  </w14:solidFill>
                </w14:textFill>
              </w:rPr>
              <w:t>《工业重点领域能效标杆水平和基准水平（2023年版）》《</w:t>
            </w:r>
            <w:r>
              <w:rPr>
                <w:rFonts w:ascii="Times New Roman" w:hAnsi="Times New Roman" w:cs="Times New Roman"/>
                <w:color w:val="000000" w:themeColor="text1"/>
                <w:sz w:val="18"/>
                <w14:textFill>
                  <w14:solidFill>
                    <w14:schemeClr w14:val="tx1"/>
                  </w14:solidFill>
                </w14:textFill>
              </w:rPr>
              <w:t>煤炭清洁高效利用重点领域标杆水平和基准水平（2022年版）》标杆水平。</w:t>
            </w:r>
          </w:p>
        </w:tc>
        <w:tc>
          <w:tcPr>
            <w:tcW w:w="174" w:type="pct"/>
            <w:vAlign w:val="center"/>
          </w:tcPr>
          <w:p w14:paraId="5B8648B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0EC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453A9FF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11</w:t>
            </w:r>
          </w:p>
        </w:tc>
        <w:tc>
          <w:tcPr>
            <w:tcW w:w="514" w:type="pct"/>
            <w:vAlign w:val="center"/>
          </w:tcPr>
          <w:p w14:paraId="7518B70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关于发布《高耗能行业重点领域节能降碳改造升级实施指南(2022年版)》的通知（发改产业〔2022〕200号）</w:t>
            </w:r>
          </w:p>
        </w:tc>
        <w:tc>
          <w:tcPr>
            <w:tcW w:w="2541" w:type="pct"/>
            <w:vAlign w:val="center"/>
          </w:tcPr>
          <w:p w14:paraId="5031722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对于能效在标杆水平特别是基准水平以下的企业，积极推广本实施指南、绿色技术推广目录、工业节能技术推荐目录、“能效之星”装备产品目录等提出的先进技术装备，加强能量系统优化、余热余压利用、污染物减排、固体废物综合利用和公辅设施改造，提高生产工艺和技术装备绿色化水平，提升资源能源利用效率，促进形成强大国内市场。</w:t>
            </w:r>
          </w:p>
          <w:p w14:paraId="13F47B5D">
            <w:pPr>
              <w:widowControl w:val="0"/>
              <w:autoSpaceDE w:val="0"/>
              <w:autoSpaceDN w:val="0"/>
              <w:adjustRightInd w:val="0"/>
              <w:ind w:firstLine="42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根据《合成氨行业节能降碳改造升级实施指南》：</w:t>
            </w:r>
          </w:p>
          <w:p w14:paraId="252D5FAD">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（一）加强前沿引领技术开发应用，培育标杆示范企业。</w:t>
            </w:r>
          </w:p>
          <w:p w14:paraId="58BC2EDC">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开展绿色低碳能源制合成氨技术研究和示范。示范6.5兆帕及以上的干煤粉气化技术，提高装置气化效率；示范、优化并适时推广废锅或半废锅流程回收高温煤气余热副产蒸汽，替代全激冷流程煤气降温技术，提升煤气化装置热效率。</w:t>
            </w:r>
          </w:p>
          <w:p w14:paraId="465EA4E8">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（二）加快成熟工艺装备普及推广，有序推动改造升级。</w:t>
            </w:r>
          </w:p>
          <w:p w14:paraId="37E94334">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1.绿色技术工艺。优化合成氨原料结构，增加绿氢原料比例。选择大型化空分技术和先进流程，配套先进控制系统，降低动力能耗。加大可再生能源生产氨技术研究，降低合成氨生产过程碳排放。</w:t>
            </w:r>
          </w:p>
          <w:p w14:paraId="0AC40373">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重大节能装备。提高传质传热和能量转换效率，提高一氧化碳变换，用等温变换炉取代绝热变换炉。涂刷反辐射和吸热涂料，提高一段炉的热利用率。采用大型高效压缩机，如空分空压机及增压机、合成气压缩机等，采用蒸汽透平直接驱动，推广采用电驱动，提高压缩效率，避免能量转换损失。</w:t>
            </w:r>
          </w:p>
          <w:p w14:paraId="1CC5194A">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3.能量系统优化。优化气化炉设计，增设高温煤气余热废热锅炉副产蒸汽系统。优化二氧化碳气提尿素工艺设计，增设中压系统。</w:t>
            </w:r>
          </w:p>
          <w:p w14:paraId="5067DC70">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4.余热余压利用。在满足工艺装置要求的前提下，根据工艺余热品位不同，分别用于副产蒸汽、加热锅炉给水或预热脱盐水和补充水、有机朗肯循环发电，实现能量供需和品位相匹配。</w:t>
            </w:r>
          </w:p>
          <w:p w14:paraId="3B808323">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5.公辅设施改造。根据适用场合选用各种新型、高效、低压降换热器，提高换热效率。选用高效机泵和高效节能电机，提高设备效率。采用性能好的隔热、保冷材料加强设备和管道保温。</w:t>
            </w:r>
          </w:p>
        </w:tc>
        <w:tc>
          <w:tcPr>
            <w:tcW w:w="1628" w:type="pct"/>
            <w:vAlign w:val="center"/>
          </w:tcPr>
          <w:p w14:paraId="4C33B65F">
            <w:pPr>
              <w:pStyle w:val="146"/>
              <w:jc w:val="both"/>
              <w:rPr>
                <w:rFonts w:ascii="Times New Roman"/>
                <w:color w:val="000000" w:themeColor="text1"/>
                <w:kern w:val="2"/>
                <w:sz w:val="18"/>
                <w:szCs w:val="18"/>
                <w14:textFill>
                  <w14:solidFill>
                    <w14:schemeClr w14:val="tx1"/>
                  </w14:solidFill>
                </w14:textFill>
              </w:rPr>
            </w:pPr>
            <w:r>
              <w:rPr>
                <w:rFonts w:ascii="Times New Roman"/>
                <w:color w:val="000000" w:themeColor="text1"/>
                <w:kern w:val="2"/>
                <w:sz w:val="18"/>
                <w:szCs w:val="18"/>
                <w14:textFill>
                  <w14:solidFill>
                    <w14:schemeClr w14:val="tx1"/>
                  </w14:solidFill>
                </w14:textFill>
              </w:rPr>
              <w:t>（</w:t>
            </w:r>
            <w:r>
              <w:rPr>
                <w:rFonts w:hint="eastAsia" w:ascii="Times New Roman"/>
                <w:color w:val="000000" w:themeColor="text1"/>
                <w:kern w:val="2"/>
                <w:sz w:val="18"/>
                <w:szCs w:val="18"/>
                <w14:textFill>
                  <w14:solidFill>
                    <w14:schemeClr w14:val="tx1"/>
                  </w14:solidFill>
                </w14:textFill>
              </w:rPr>
              <w:t>1</w:t>
            </w:r>
            <w:r>
              <w:rPr>
                <w:rFonts w:ascii="Times New Roman"/>
                <w:color w:val="000000" w:themeColor="text1"/>
                <w:kern w:val="2"/>
                <w:sz w:val="18"/>
                <w:szCs w:val="18"/>
                <w14:textFill>
                  <w14:solidFill>
                    <w14:schemeClr w14:val="tx1"/>
                  </w14:solidFill>
                </w14:textFill>
              </w:rPr>
              <w:t>）本项目采用能量系统优化技术，即热泵技术，实现全厂能量梯级利用。</w:t>
            </w:r>
          </w:p>
          <w:p w14:paraId="76E8407C">
            <w:pPr>
              <w:pStyle w:val="146"/>
              <w:jc w:val="both"/>
              <w:rPr>
                <w:rFonts w:ascii="Times New Roman"/>
                <w:color w:val="000000" w:themeColor="text1"/>
                <w:kern w:val="2"/>
                <w:sz w:val="18"/>
                <w:szCs w:val="18"/>
                <w14:textFill>
                  <w14:solidFill>
                    <w14:schemeClr w14:val="tx1"/>
                  </w14:solidFill>
                </w14:textFill>
              </w:rPr>
            </w:pPr>
            <w:r>
              <w:rPr>
                <w:rFonts w:ascii="Times New Roman"/>
                <w:color w:val="000000" w:themeColor="text1"/>
                <w:kern w:val="2"/>
                <w:sz w:val="18"/>
                <w:szCs w:val="18"/>
                <w14:textFill>
                  <w14:solidFill>
                    <w14:schemeClr w14:val="tx1"/>
                  </w14:solidFill>
                </w14:textFill>
              </w:rPr>
              <w:t>（</w:t>
            </w:r>
            <w:r>
              <w:rPr>
                <w:rFonts w:hint="eastAsia" w:ascii="Times New Roman"/>
                <w:color w:val="000000" w:themeColor="text1"/>
                <w:kern w:val="2"/>
                <w:sz w:val="18"/>
                <w:szCs w:val="18"/>
                <w14:textFill>
                  <w14:solidFill>
                    <w14:schemeClr w14:val="tx1"/>
                  </w14:solidFill>
                </w14:textFill>
              </w:rPr>
              <w:t>2</w:t>
            </w:r>
            <w:r>
              <w:rPr>
                <w:rFonts w:ascii="Times New Roman"/>
                <w:color w:val="000000" w:themeColor="text1"/>
                <w:kern w:val="2"/>
                <w:sz w:val="18"/>
                <w:szCs w:val="18"/>
                <w14:textFill>
                  <w14:solidFill>
                    <w14:schemeClr w14:val="tx1"/>
                  </w14:solidFill>
                </w14:textFill>
              </w:rPr>
              <w:t>）本项目采用余热余压利用，用于副产蒸汽。</w:t>
            </w:r>
          </w:p>
          <w:p w14:paraId="46FEDD6B">
            <w:pPr>
              <w:pStyle w:val="146"/>
              <w:jc w:val="both"/>
              <w:rPr>
                <w:rFonts w:ascii="Times New Roman"/>
                <w:color w:val="000000" w:themeColor="text1"/>
                <w:kern w:val="2"/>
                <w:sz w:val="18"/>
                <w:szCs w:val="18"/>
                <w14:textFill>
                  <w14:solidFill>
                    <w14:schemeClr w14:val="tx1"/>
                  </w14:solidFill>
                </w14:textFill>
              </w:rPr>
            </w:pPr>
            <w:r>
              <w:rPr>
                <w:rFonts w:ascii="Times New Roman"/>
                <w:color w:val="000000" w:themeColor="text1"/>
                <w:kern w:val="2"/>
                <w:sz w:val="18"/>
                <w:szCs w:val="18"/>
                <w14:textFill>
                  <w14:solidFill>
                    <w14:schemeClr w14:val="tx1"/>
                  </w14:solidFill>
                </w14:textFill>
              </w:rPr>
              <w:t>（</w:t>
            </w:r>
            <w:r>
              <w:rPr>
                <w:rFonts w:hint="eastAsia" w:ascii="Times New Roman"/>
                <w:color w:val="000000" w:themeColor="text1"/>
                <w:kern w:val="2"/>
                <w:sz w:val="18"/>
                <w:szCs w:val="18"/>
                <w14:textFill>
                  <w14:solidFill>
                    <w14:schemeClr w14:val="tx1"/>
                  </w14:solidFill>
                </w14:textFill>
              </w:rPr>
              <w:t>3</w:t>
            </w:r>
            <w:r>
              <w:rPr>
                <w:rFonts w:ascii="Times New Roman"/>
                <w:color w:val="000000" w:themeColor="text1"/>
                <w:kern w:val="2"/>
                <w:sz w:val="18"/>
                <w:szCs w:val="18"/>
                <w14:textFill>
                  <w14:solidFill>
                    <w14:schemeClr w14:val="tx1"/>
                  </w14:solidFill>
                </w14:textFill>
              </w:rPr>
              <w:t>）公辅设施选用高效机泵和高效节能电机，提高设备效率。</w:t>
            </w:r>
          </w:p>
          <w:p w14:paraId="3A811BD3">
            <w:pPr>
              <w:pStyle w:val="146"/>
              <w:jc w:val="both"/>
              <w:rPr>
                <w:rFonts w:ascii="Times New Roman"/>
                <w:color w:val="000000" w:themeColor="text1"/>
                <w:sz w:val="18"/>
                <w:szCs w:val="18"/>
                <w14:textFill>
                  <w14:solidFill>
                    <w14:schemeClr w14:val="tx1"/>
                  </w14:solidFill>
                </w14:textFill>
              </w:rPr>
            </w:pPr>
            <w:r>
              <w:rPr>
                <w:rFonts w:ascii="Times New Roman"/>
                <w:color w:val="000000" w:themeColor="text1"/>
                <w:kern w:val="2"/>
                <w:sz w:val="18"/>
                <w:szCs w:val="18"/>
                <w14:textFill>
                  <w14:solidFill>
                    <w14:schemeClr w14:val="tx1"/>
                  </w14:solidFill>
                </w14:textFill>
              </w:rPr>
              <w:t>（</w:t>
            </w:r>
            <w:r>
              <w:rPr>
                <w:rFonts w:hint="eastAsia" w:ascii="Times New Roman"/>
                <w:color w:val="000000" w:themeColor="text1"/>
                <w:kern w:val="2"/>
                <w:sz w:val="18"/>
                <w:szCs w:val="18"/>
                <w14:textFill>
                  <w14:solidFill>
                    <w14:schemeClr w14:val="tx1"/>
                  </w14:solidFill>
                </w14:textFill>
              </w:rPr>
              <w:t>4</w:t>
            </w:r>
            <w:r>
              <w:rPr>
                <w:rFonts w:ascii="Times New Roman"/>
                <w:color w:val="000000" w:themeColor="text1"/>
                <w:kern w:val="2"/>
                <w:sz w:val="18"/>
                <w:szCs w:val="18"/>
                <w14:textFill>
                  <w14:solidFill>
                    <w14:schemeClr w14:val="tx1"/>
                  </w14:solidFill>
                </w14:textFill>
              </w:rPr>
              <w:t>）本项目</w:t>
            </w:r>
            <w:r>
              <w:rPr>
                <w:rFonts w:ascii="Times New Roman"/>
                <w:color w:val="000000" w:themeColor="text1"/>
                <w:sz w:val="18"/>
                <w:szCs w:val="18"/>
                <w14:textFill>
                  <w14:solidFill>
                    <w14:schemeClr w14:val="tx1"/>
                  </w14:solidFill>
                </w14:textFill>
              </w:rPr>
              <w:t>采用回收热能、副产蒸汽并回用生产的减排方案后，二氧化碳排放量减少，对于碳减排是有积极意义的。</w:t>
            </w:r>
          </w:p>
          <w:p w14:paraId="06155236">
            <w:pPr>
              <w:pStyle w:val="146"/>
              <w:jc w:val="both"/>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w:t>
            </w:r>
            <w:r>
              <w:rPr>
                <w:rFonts w:hint="eastAsia" w:ascii="Times New Roman"/>
                <w:color w:val="000000" w:themeColor="text1"/>
                <w:sz w:val="18"/>
                <w:szCs w:val="18"/>
                <w14:textFill>
                  <w14:solidFill>
                    <w14:schemeClr w14:val="tx1"/>
                  </w14:solidFill>
                </w14:textFill>
              </w:rPr>
              <w:t>5</w:t>
            </w:r>
            <w:r>
              <w:rPr>
                <w:rFonts w:ascii="Times New Roman"/>
                <w:color w:val="000000" w:themeColor="text1"/>
                <w:sz w:val="18"/>
                <w:szCs w:val="18"/>
                <w14:textFill>
                  <w14:solidFill>
                    <w14:schemeClr w14:val="tx1"/>
                  </w14:solidFill>
                </w14:textFill>
              </w:rPr>
              <w:t>）本项目产生的</w:t>
            </w:r>
            <w:r>
              <w:rPr>
                <w:rFonts w:hint="eastAsia" w:ascii="Times New Roman"/>
                <w:color w:val="000000" w:themeColor="text1"/>
                <w:sz w:val="18"/>
                <w:szCs w:val="18"/>
                <w14:textFill>
                  <w14:solidFill>
                    <w14:schemeClr w14:val="tx1"/>
                  </w14:solidFill>
                </w14:textFill>
              </w:rPr>
              <w:t>固废</w:t>
            </w:r>
            <w:r>
              <w:rPr>
                <w:rFonts w:ascii="Times New Roman"/>
                <w:color w:val="000000" w:themeColor="text1"/>
                <w:sz w:val="18"/>
                <w:szCs w:val="18"/>
                <w14:textFill>
                  <w14:solidFill>
                    <w14:schemeClr w14:val="tx1"/>
                  </w14:solidFill>
                </w14:textFill>
              </w:rPr>
              <w:t>综合利用，不能综合利用部分送一般固废填埋场。危险废物在厂内暂存后送有资质单位处置，</w:t>
            </w:r>
          </w:p>
          <w:p w14:paraId="7AFF8BF3">
            <w:pPr>
              <w:pStyle w:val="146"/>
              <w:jc w:val="both"/>
              <w:rPr>
                <w:rFonts w:ascii="Times New Roman"/>
                <w:color w:val="000000" w:themeColor="text1"/>
                <w:kern w:val="2"/>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w:t>
            </w:r>
            <w:r>
              <w:rPr>
                <w:rFonts w:hint="eastAsia" w:ascii="Times New Roman"/>
                <w:color w:val="000000" w:themeColor="text1"/>
                <w:sz w:val="18"/>
                <w:szCs w:val="18"/>
                <w14:textFill>
                  <w14:solidFill>
                    <w14:schemeClr w14:val="tx1"/>
                  </w14:solidFill>
                </w14:textFill>
              </w:rPr>
              <w:t>6</w:t>
            </w:r>
            <w:r>
              <w:rPr>
                <w:rFonts w:ascii="Times New Roman"/>
                <w:color w:val="000000" w:themeColor="text1"/>
                <w:sz w:val="18"/>
                <w:szCs w:val="18"/>
                <w14:textFill>
                  <w14:solidFill>
                    <w14:schemeClr w14:val="tx1"/>
                  </w14:solidFill>
                </w14:textFill>
              </w:rPr>
              <w:t>）本项目采取</w:t>
            </w:r>
            <w:r>
              <w:rPr>
                <w:rFonts w:ascii="Times New Roman"/>
                <w:color w:val="000000" w:themeColor="text1"/>
                <w:kern w:val="2"/>
                <w:sz w:val="18"/>
                <w:szCs w:val="18"/>
                <w14:textFill>
                  <w14:solidFill>
                    <w14:schemeClr w14:val="tx1"/>
                  </w14:solidFill>
                </w14:textFill>
              </w:rPr>
              <w:t>全过程精细化管控，减少非计划启停车，确保连续稳定高效运行。</w:t>
            </w:r>
          </w:p>
        </w:tc>
        <w:tc>
          <w:tcPr>
            <w:tcW w:w="174" w:type="pct"/>
            <w:vAlign w:val="center"/>
          </w:tcPr>
          <w:p w14:paraId="38A8DB2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421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5A0FAC5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2</w:t>
            </w:r>
          </w:p>
        </w:tc>
        <w:tc>
          <w:tcPr>
            <w:tcW w:w="514" w:type="pct"/>
            <w:vAlign w:val="center"/>
          </w:tcPr>
          <w:p w14:paraId="26530C4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《关于印发能源行业加强大气污染防治工作方案的通知》（发改能源〔2014〕506号）</w:t>
            </w:r>
          </w:p>
        </w:tc>
        <w:tc>
          <w:tcPr>
            <w:tcW w:w="2541" w:type="pct"/>
            <w:vAlign w:val="center"/>
          </w:tcPr>
          <w:p w14:paraId="5B0AB9A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（四）加强分散燃煤锅炉治理。</w:t>
            </w:r>
          </w:p>
          <w:p w14:paraId="458084B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措施：根据区域煤炭资源特点和煤炭用户对煤炭的质量需求，合理规划建设全密闭煤炭优质化加工和配送中心，通过选煤、配煤、型煤、低阶煤提质等先进的煤炭优质化加工技术，提高、优化煤炭质量，逐步形成分区域优质化清洁化供应煤炭产品的布局。</w:t>
            </w:r>
          </w:p>
          <w:p w14:paraId="6E7167C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加强对煤炭供应、储存、配送、使用等环节的环保监督。各种煤堆、料堆实现全密闭储存或建设防风抑尘设施。加快运煤列车及装卸设施的全封闭改造，减少运输过程中的原煤损耗和煤尘污染。在储存、装卸、运输过程中应采取有效防尘措施，控制扬尘污染。</w:t>
            </w:r>
          </w:p>
          <w:p w14:paraId="0FA6453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三、加强能源消费总量控制</w:t>
            </w:r>
          </w:p>
          <w:p w14:paraId="78B8EF7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（六）逐步降低煤炭消费比重</w:t>
            </w:r>
          </w:p>
          <w:p w14:paraId="69C7AEC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措施：提高燃煤锅炉、窑炉污染物排放标准，全面整治无污染物治理设施和不能实现达标排放的燃煤锅炉、窑炉。</w:t>
            </w:r>
          </w:p>
          <w:p w14:paraId="2C89D10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五、转变能源发展方式</w:t>
            </w:r>
          </w:p>
          <w:p w14:paraId="3E23E7B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（十二）推动煤炭高效清洁转化</w:t>
            </w:r>
          </w:p>
          <w:p w14:paraId="027DDF0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在满足最严格的环保要求和保障水资源供应的前提下，稳步推进煤炭深加工产业高标准、高水平发展。坚持“示范先行”，进一步提升和完善自主技术，加强不同技术间的耦合集成，逐步实现“分质分级、能化结合、集成联产”的新型煤炭利用方式。</w:t>
            </w:r>
          </w:p>
        </w:tc>
        <w:tc>
          <w:tcPr>
            <w:tcW w:w="1628" w:type="pct"/>
            <w:vAlign w:val="center"/>
          </w:tcPr>
          <w:p w14:paraId="31E0FCA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bookmarkStart w:id="543" w:name="_Hlk194597832"/>
            <w:r>
              <w:rPr>
                <w:rFonts w:ascii="Times New Roman" w:hAnsi="Times New Roman" w:cs="Times New Roman"/>
                <w:color w:val="000000" w:themeColor="text1"/>
                <w:sz w:val="18"/>
                <w14:textFill>
                  <w14:solidFill>
                    <w14:schemeClr w14:val="tx1"/>
                  </w14:solidFill>
                </w14:textFill>
              </w:rPr>
              <w:t>本项目采用先进的煤炭优质化加工技术，通过气化技术提取煤中有用的碳氢化合物，生产</w:t>
            </w:r>
            <w:r>
              <w:rPr>
                <w:rFonts w:hint="eastAsia" w:ascii="Times New Roman" w:hAnsi="Times New Roman" w:cs="Times New Roman"/>
                <w:color w:val="000000" w:themeColor="text1"/>
                <w:sz w:val="18"/>
                <w14:textFill>
                  <w14:solidFill>
                    <w14:schemeClr w14:val="tx1"/>
                  </w14:solidFill>
                </w14:textFill>
              </w:rPr>
              <w:t>液</w:t>
            </w:r>
            <w:r>
              <w:rPr>
                <w:rFonts w:ascii="Times New Roman" w:hAnsi="Times New Roman" w:cs="Times New Roman"/>
                <w:color w:val="000000" w:themeColor="text1"/>
                <w:sz w:val="18"/>
                <w14:textFill>
                  <w14:solidFill>
                    <w14:schemeClr w14:val="tx1"/>
                  </w14:solidFill>
                </w14:textFill>
              </w:rPr>
              <w:t>氨，通过</w:t>
            </w:r>
            <w:r>
              <w:rPr>
                <w:rFonts w:hint="eastAsia" w:ascii="Times New Roman" w:hAnsi="Times New Roman" w:cs="Times New Roman"/>
                <w:color w:val="000000" w:themeColor="text1"/>
                <w:sz w:val="18"/>
                <w14:textFill>
                  <w14:solidFill>
                    <w14:schemeClr w14:val="tx1"/>
                  </w14:solidFill>
                </w14:textFill>
              </w:rPr>
              <w:t>液</w:t>
            </w:r>
            <w:r>
              <w:rPr>
                <w:rFonts w:ascii="Times New Roman" w:hAnsi="Times New Roman" w:cs="Times New Roman"/>
                <w:color w:val="000000" w:themeColor="text1"/>
                <w:sz w:val="18"/>
                <w14:textFill>
                  <w14:solidFill>
                    <w14:schemeClr w14:val="tx1"/>
                  </w14:solidFill>
                </w14:textFill>
              </w:rPr>
              <w:t>氨</w:t>
            </w:r>
            <w:r>
              <w:rPr>
                <w:rFonts w:hint="eastAsia" w:ascii="Times New Roman" w:hAnsi="Times New Roman" w:cs="Times New Roman"/>
                <w:color w:val="000000" w:themeColor="text1"/>
                <w:sz w:val="18"/>
                <w14:textFill>
                  <w14:solidFill>
                    <w14:schemeClr w14:val="tx1"/>
                  </w14:solidFill>
                </w14:textFill>
              </w:rPr>
              <w:t>生产草酰胺</w:t>
            </w:r>
            <w:r>
              <w:rPr>
                <w:rFonts w:ascii="Times New Roman" w:hAnsi="Times New Roman" w:cs="Times New Roman"/>
                <w:color w:val="000000" w:themeColor="text1"/>
                <w:sz w:val="18"/>
                <w14:textFill>
                  <w14:solidFill>
                    <w14:schemeClr w14:val="tx1"/>
                  </w14:solidFill>
                </w14:textFill>
              </w:rPr>
              <w:t>，继而生产</w:t>
            </w:r>
            <w:r>
              <w:rPr>
                <w:rFonts w:hint="eastAsia" w:ascii="Times New Roman" w:hAnsi="Times New Roman" w:cs="Times New Roman"/>
                <w:color w:val="000000" w:themeColor="text1"/>
                <w:sz w:val="18"/>
                <w14:textFill>
                  <w14:solidFill>
                    <w14:schemeClr w14:val="tx1"/>
                  </w14:solidFill>
                </w14:textFill>
              </w:rPr>
              <w:t>有机缓释肥</w:t>
            </w:r>
            <w:r>
              <w:rPr>
                <w:rFonts w:ascii="Times New Roman" w:hAnsi="Times New Roman" w:cs="Times New Roman"/>
                <w:color w:val="000000" w:themeColor="text1"/>
                <w:sz w:val="18"/>
                <w14:textFill>
                  <w14:solidFill>
                    <w14:schemeClr w14:val="tx1"/>
                  </w14:solidFill>
                </w14:textFill>
              </w:rPr>
              <w:t>等化学品。</w:t>
            </w:r>
          </w:p>
          <w:bookmarkEnd w:id="543"/>
          <w:p w14:paraId="1F4A9ED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（2）本项目煤炭储存及配送、使用等环节采用全密闭式设施。</w:t>
            </w:r>
          </w:p>
          <w:p w14:paraId="0CBB8F3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（3）本项目在提质煤备煤、贮运单元各粉尘产生点优先采用抑尘措施控制粉尘产生，并在粉尘产生点采用集气罩将无组织排放转为有组织排放，再采用袋式除尘器进行处理后达标排放。</w:t>
            </w:r>
          </w:p>
          <w:p w14:paraId="12722246">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（4）通过煤气化技术，实现煤中碳氢化合物有效利用，可有效降低低阶煤燃烧过程中二氧化硫、氮氧化物、粉尘的排放。</w:t>
            </w:r>
          </w:p>
        </w:tc>
        <w:tc>
          <w:tcPr>
            <w:tcW w:w="174" w:type="pct"/>
            <w:vAlign w:val="center"/>
          </w:tcPr>
          <w:p w14:paraId="3F99A37B">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3B7B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163F912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3</w:t>
            </w:r>
          </w:p>
        </w:tc>
        <w:tc>
          <w:tcPr>
            <w:tcW w:w="514" w:type="pct"/>
            <w:vMerge w:val="restart"/>
            <w:vAlign w:val="center"/>
          </w:tcPr>
          <w:p w14:paraId="1FB0F4A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国家发展改革委等部门关于印发《“十四五”全国清洁生产推行方案》的通知（发改环资〔2021〕1524号）</w:t>
            </w:r>
          </w:p>
        </w:tc>
        <w:tc>
          <w:tcPr>
            <w:tcW w:w="2541" w:type="pct"/>
            <w:vAlign w:val="center"/>
          </w:tcPr>
          <w:p w14:paraId="62A5FF2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加强高耗能高排放项目清洁生产评价。对标节能减排和碳达峰、碳中和目标，严格高耗能高排放项目准入，新建、改建、扩建项目应采取先进适用的工艺技术和装备，单位产品能耗、物耗和水耗等达到清洁生产先进水平。</w:t>
            </w:r>
          </w:p>
        </w:tc>
        <w:tc>
          <w:tcPr>
            <w:tcW w:w="1628" w:type="pct"/>
            <w:vAlign w:val="center"/>
          </w:tcPr>
          <w:p w14:paraId="1539A71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bCs w:val="0"/>
                <w:color w:val="000000" w:themeColor="text1"/>
                <w:sz w:val="18"/>
                <w14:textFill>
                  <w14:solidFill>
                    <w14:schemeClr w14:val="tx1"/>
                  </w14:solidFill>
                </w14:textFill>
              </w:rPr>
              <w:t>本项目从原辅材料、生产工艺路线的选用、污染物产生及排放等方面均达到国内先进水平。</w:t>
            </w:r>
          </w:p>
        </w:tc>
        <w:tc>
          <w:tcPr>
            <w:tcW w:w="174" w:type="pct"/>
            <w:vMerge w:val="restart"/>
            <w:vAlign w:val="center"/>
          </w:tcPr>
          <w:p w14:paraId="5FCC4B90">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68E6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147D4E0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14" w:type="pct"/>
            <w:vMerge w:val="continue"/>
            <w:vAlign w:val="center"/>
          </w:tcPr>
          <w:p w14:paraId="2626E3E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541" w:type="pct"/>
            <w:vAlign w:val="center"/>
          </w:tcPr>
          <w:p w14:paraId="3D01860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加快燃料原材料清洁替代。加大清洁能源推广应用，提高工业领域非化石能源利用比重。对以煤炭、石油焦、重油、渣油、兰炭等为燃料的工业炉窑、自备燃煤电厂及燃煤锅炉，积极推进清洁低碳能源、工业余热等替代。</w:t>
            </w:r>
          </w:p>
        </w:tc>
        <w:tc>
          <w:tcPr>
            <w:tcW w:w="1628" w:type="pct"/>
            <w:vAlign w:val="center"/>
          </w:tcPr>
          <w:p w14:paraId="7E7ECEF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本项目利用工艺余热预热副产低压蒸汽，低温段的热量用来加热脱盐水等，减小循环水的用量。</w:t>
            </w:r>
          </w:p>
        </w:tc>
        <w:tc>
          <w:tcPr>
            <w:tcW w:w="174" w:type="pct"/>
            <w:vMerge w:val="continue"/>
            <w:vAlign w:val="center"/>
          </w:tcPr>
          <w:p w14:paraId="61D5FA0C">
            <w:pPr>
              <w:pStyle w:val="184"/>
              <w:widowControl w:val="0"/>
              <w:autoSpaceDE w:val="0"/>
              <w:autoSpaceDN w:val="0"/>
              <w:adjustRightInd w:val="0"/>
              <w:spacing w:line="240" w:lineRule="auto"/>
              <w:rPr>
                <w:rFonts w:ascii="Times New Roman" w:hAnsi="Times New Roman" w:cs="Times New Roman"/>
                <w:color w:val="FF0000"/>
                <w:sz w:val="18"/>
              </w:rPr>
            </w:pPr>
          </w:p>
        </w:tc>
      </w:tr>
      <w:tr w14:paraId="643E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Align w:val="center"/>
          </w:tcPr>
          <w:p w14:paraId="6CE30B1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14</w:t>
            </w:r>
          </w:p>
        </w:tc>
        <w:tc>
          <w:tcPr>
            <w:tcW w:w="514" w:type="pct"/>
            <w:vAlign w:val="center"/>
          </w:tcPr>
          <w:p w14:paraId="5D2D814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《关于促进自治区煤化工产业绿色可持续发展的指导意见》（新疆维吾尔自治区人民政府办公厅，新政办发〔2016〕164号）</w:t>
            </w:r>
          </w:p>
        </w:tc>
        <w:tc>
          <w:tcPr>
            <w:tcW w:w="2541" w:type="pct"/>
            <w:vAlign w:val="center"/>
          </w:tcPr>
          <w:p w14:paraId="35C5F18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加快推进煤化工园区基础设施建设，保证煤化工项目的正常有序建设。</w:t>
            </w:r>
          </w:p>
          <w:p w14:paraId="05D0061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制定完善水资源调度使用方案，满足煤化工发展需求。完善化工园区监控、消防、应急等系统平台、推动信息共享，夯实安全生产基础。</w:t>
            </w:r>
          </w:p>
        </w:tc>
        <w:tc>
          <w:tcPr>
            <w:tcW w:w="1628" w:type="pct"/>
            <w:vAlign w:val="center"/>
          </w:tcPr>
          <w:p w14:paraId="18855FD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（1）根据《</w:t>
            </w:r>
            <w:r>
              <w:rPr>
                <w:rFonts w:hint="eastAsia" w:ascii="Times New Roman" w:hAnsi="Times New Roman" w:cs="Times New Roman"/>
                <w:color w:val="000000" w:themeColor="text1"/>
                <w:sz w:val="18"/>
                <w14:textFill>
                  <w14:solidFill>
                    <w14:schemeClr w14:val="tx1"/>
                  </w14:solidFill>
                </w14:textFill>
              </w:rPr>
              <w:t>哈密工业园区产业发展规划（2019-2035年）</w:t>
            </w:r>
            <w:r>
              <w:rPr>
                <w:rFonts w:ascii="Times New Roman" w:hAnsi="Times New Roman" w:cs="Times New Roman"/>
                <w:color w:val="000000" w:themeColor="text1"/>
                <w:sz w:val="18"/>
                <w14:textFill>
                  <w14:solidFill>
                    <w14:schemeClr w14:val="tx1"/>
                  </w14:solidFill>
                </w14:textFill>
              </w:rPr>
              <w:t>》，区域供水能力及剩余可利用水量能满足本项目需求，用水有保障。</w:t>
            </w:r>
          </w:p>
          <w:p w14:paraId="4FBB892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（2）园区规划将进一步完善监控、消防、应急等系统平台。</w:t>
            </w:r>
          </w:p>
        </w:tc>
        <w:tc>
          <w:tcPr>
            <w:tcW w:w="174" w:type="pct"/>
            <w:vAlign w:val="center"/>
          </w:tcPr>
          <w:p w14:paraId="6888D41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BE8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4126392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5</w:t>
            </w:r>
          </w:p>
        </w:tc>
        <w:tc>
          <w:tcPr>
            <w:tcW w:w="514" w:type="pct"/>
            <w:vMerge w:val="restart"/>
            <w:vAlign w:val="center"/>
          </w:tcPr>
          <w:p w14:paraId="726B05D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《新疆维吾尔自治区新建化工项目准入条件》</w:t>
            </w:r>
          </w:p>
          <w:p w14:paraId="0ECB512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（新工信石化〔2021〕1号）</w:t>
            </w:r>
          </w:p>
        </w:tc>
        <w:tc>
          <w:tcPr>
            <w:tcW w:w="2541" w:type="pct"/>
            <w:vAlign w:val="center"/>
          </w:tcPr>
          <w:p w14:paraId="28F46B5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一、</w:t>
            </w:r>
            <w:r>
              <w:rPr>
                <w:rFonts w:ascii="Times New Roman" w:hAnsi="Times New Roman" w:cs="Times New Roman"/>
                <w:color w:val="000000" w:themeColor="text1"/>
                <w:sz w:val="18"/>
                <w14:textFill>
                  <w14:solidFill>
                    <w14:schemeClr w14:val="tx1"/>
                  </w14:solidFill>
                </w14:textFill>
              </w:rPr>
              <w:t>严格项目源头准入</w:t>
            </w:r>
          </w:p>
          <w:p w14:paraId="43C6578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严格政策规划约束。严禁新建国家《产业结构调整指导目录》、自治区《禁止、控制和限制危险化学品目录》中淘汰类、禁止类危险化学品化工项目。按照国家《产业结构调整指导目录》中限制类产业及自治区《禁止、控制和限制危险化学品目录》控制和限制类危险化学品要求，严格控制过剩行业新增产能，确有必要建设的项目实行等量或减量置换，严格控制涉及有毒气体和爆炸危险性化学品的建设项目。坚决遏制“两高”项目盲目发展，石化、现代煤化工项目应纳入国家产业规划。</w:t>
            </w:r>
          </w:p>
          <w:p w14:paraId="2B1879A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（二）严格项目核准备案。各级核准、备案机关要按照国务院《政府核准的投资项目目录(2016年本)》、国家发改委商务部《市场准入负面清单</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2020年版</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新疆维吾尔自治区政府核准的投资项目目录(2017年本)》等有关规定做好化工项目核准备案工作。涉及“两重点一重大”(重点监管的危险化工工艺、重点监管的危险化学品和危险化学品重大危险源)的危险化学品建设项目按国家有关规定，明确由自治区政府投资主管部门核准的，由自治区政府投资主管部门牵头，在委托评估的基础上</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征求同级工业和信息化、应急管理、生态环境、自然资源等相关部门意见后，依法依规核准；应属地备案的，属地备案部门应依法依规征求同级相关部门意见后，依法依规备案。</w:t>
            </w:r>
          </w:p>
          <w:p w14:paraId="64FF206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严格项目投资准入。新建化工项目应当符合当地化工园区投资准入门槛。其中，涉及危险化学品生产项目(危险化学品详见最新版《危险化学品目录》)，按照《建设项目安全设施“三同时”监督管理暂行办法》</w:t>
            </w:r>
            <w:r>
              <w:rPr>
                <w:rFonts w:hint="eastAsia" w:ascii="Times New Roman" w:hAnsi="Times New Roman" w:cs="Times New Roman"/>
                <w:color w:val="000000" w:themeColor="text1"/>
                <w:sz w:val="18"/>
                <w:lang w:eastAsia="zh-CN"/>
                <w14:textFill>
                  <w14:solidFill>
                    <w14:schemeClr w14:val="tx1"/>
                  </w14:solidFill>
                </w14:textFill>
              </w:rPr>
              <w:t>《建设项目环境保护管理条例》</w:t>
            </w:r>
            <w:r>
              <w:rPr>
                <w:rFonts w:ascii="Times New Roman" w:hAnsi="Times New Roman" w:cs="Times New Roman"/>
                <w:color w:val="000000" w:themeColor="text1"/>
                <w:sz w:val="18"/>
                <w14:textFill>
                  <w14:solidFill>
                    <w14:schemeClr w14:val="tx1"/>
                  </w14:solidFill>
                </w14:textFill>
              </w:rPr>
              <w:t>，增加安全、环保方面的投入，提高投资准入要求；列入国家《产业结构调整指导目录》和《鼓励外商投资产业指导目录》鼓励类以及搬迁入园项目，可适当放宽投资准入门槛，具体标准由各地(州、市)自行制定向社会公布。</w:t>
            </w:r>
          </w:p>
        </w:tc>
        <w:tc>
          <w:tcPr>
            <w:tcW w:w="1628" w:type="pct"/>
            <w:vAlign w:val="center"/>
          </w:tcPr>
          <w:p w14:paraId="2A8B067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（1）本项目为《产业结构调整指导目录（2024年版）》鼓励类项目，符合相关产业政策。</w:t>
            </w:r>
          </w:p>
          <w:p w14:paraId="3284683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（2）本项目原料、产品均不属于自治区《禁止、控制和限制危险化学品目录》中淘汰类、禁止类危险化学品，且未纳入《中国严格限制的有毒化学品名录》（2020年）。</w:t>
            </w:r>
          </w:p>
          <w:p w14:paraId="1C9EBD0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t>
            </w:r>
            <w:r>
              <w:rPr>
                <w:rFonts w:hint="eastAsia" w:ascii="Times New Roman" w:hAnsi="Times New Roman" w:cs="Times New Roman"/>
                <w:color w:val="000000" w:themeColor="text1"/>
                <w:sz w:val="18"/>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）本项目已取得备案文件（见附件）。</w:t>
            </w:r>
          </w:p>
          <w:p w14:paraId="10C788F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w:t>
            </w:r>
            <w:r>
              <w:rPr>
                <w:rFonts w:hint="eastAsia" w:ascii="Times New Roman" w:hAnsi="Times New Roman" w:cs="Times New Roman"/>
                <w:color w:val="000000" w:themeColor="text1"/>
                <w:sz w:val="18"/>
                <w14:textFill>
                  <w14:solidFill>
                    <w14:schemeClr w14:val="tx1"/>
                  </w14:solidFill>
                </w14:textFill>
              </w:rPr>
              <w:t>4</w:t>
            </w:r>
            <w:r>
              <w:rPr>
                <w:rFonts w:ascii="Times New Roman" w:hAnsi="Times New Roman" w:cs="Times New Roman"/>
                <w:color w:val="000000" w:themeColor="text1"/>
                <w:sz w:val="18"/>
                <w14:textFill>
                  <w14:solidFill>
                    <w14:schemeClr w14:val="tx1"/>
                  </w14:solidFill>
                </w14:textFill>
              </w:rPr>
              <w:t>）本项目符合</w:t>
            </w:r>
            <w:r>
              <w:rPr>
                <w:rFonts w:hint="eastAsia" w:ascii="Times New Roman" w:hAnsi="Times New Roman" w:cs="Times New Roman"/>
                <w:color w:val="000000" w:themeColor="text1"/>
                <w:sz w:val="18"/>
                <w14:textFill>
                  <w14:solidFill>
                    <w14:schemeClr w14:val="tx1"/>
                  </w14:solidFill>
                </w14:textFill>
              </w:rPr>
              <w:t>《哈密工业园区产业发展规划（2019-2035年）》</w:t>
            </w:r>
            <w:r>
              <w:rPr>
                <w:rFonts w:ascii="Times New Roman" w:hAnsi="Times New Roman" w:cs="Times New Roman"/>
                <w:color w:val="000000" w:themeColor="text1"/>
                <w:sz w:val="18"/>
                <w14:textFill>
                  <w14:solidFill>
                    <w14:schemeClr w14:val="tx1"/>
                  </w14:solidFill>
                </w14:textFill>
              </w:rPr>
              <w:t>，按照《建设项目安全设施“三同时”监督管理暂行办法》</w:t>
            </w:r>
            <w:r>
              <w:rPr>
                <w:rFonts w:hint="eastAsia" w:ascii="Times New Roman" w:hAnsi="Times New Roman" w:cs="Times New Roman"/>
                <w:color w:val="000000" w:themeColor="text1"/>
                <w:sz w:val="18"/>
                <w:lang w:eastAsia="zh-CN"/>
                <w14:textFill>
                  <w14:solidFill>
                    <w14:schemeClr w14:val="tx1"/>
                  </w14:solidFill>
                </w14:textFill>
              </w:rPr>
              <w:t>《建设项目环境保护管理条例》</w:t>
            </w:r>
            <w:r>
              <w:rPr>
                <w:rFonts w:ascii="Times New Roman" w:hAnsi="Times New Roman" w:cs="Times New Roman"/>
                <w:color w:val="000000" w:themeColor="text1"/>
                <w:sz w:val="18"/>
                <w14:textFill>
                  <w14:solidFill>
                    <w14:schemeClr w14:val="tx1"/>
                  </w14:solidFill>
                </w14:textFill>
              </w:rPr>
              <w:t>，配套安全、环保方面的投入。</w:t>
            </w:r>
          </w:p>
        </w:tc>
        <w:tc>
          <w:tcPr>
            <w:tcW w:w="174" w:type="pct"/>
            <w:vMerge w:val="restart"/>
            <w:vAlign w:val="center"/>
          </w:tcPr>
          <w:p w14:paraId="51DE657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9C8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9D02BED">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42321DD5">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17AF3C3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二、</w:t>
            </w:r>
            <w:r>
              <w:rPr>
                <w:rFonts w:ascii="Times New Roman" w:hAnsi="Times New Roman" w:cs="Times New Roman"/>
                <w:color w:val="000000" w:themeColor="text1"/>
                <w:sz w:val="18"/>
                <w14:textFill>
                  <w14:solidFill>
                    <w14:schemeClr w14:val="tx1"/>
                  </w14:solidFill>
                </w14:textFill>
              </w:rPr>
              <w:t>严格规划空间布局准入</w:t>
            </w:r>
          </w:p>
          <w:p w14:paraId="38A6AB0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严守规划分区管控。严格执行生态保护红线、永久基本农田管控要求，禁止新(改、扩)建化工项目违规占用生态保护红线和永久基本农田。已经建设化工项目涉及违规占用生态保护红线和永久基本农田的，按照有关规定，限期退出。</w:t>
            </w:r>
          </w:p>
          <w:p w14:paraId="6CFD091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严格岸线管理。在塔里木河、伊犁河、额尔齐斯河干流及主要支流岸线1公里范围内，除提升安全、环保、节能、智能化、产品质量水平的技术改造项目外，严格禁止新建、扩建化工项目，不得布局新的化工园区(含化工集中区，下同)；已批未开工项目，停止建设，按要求重新选址；已经开工建设的，严格进行检查评估，不符合岸线规划和环保、安全要求的，全部依法依规停建搬迁。</w:t>
            </w:r>
          </w:p>
          <w:p w14:paraId="4252520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推进退城入园。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城市建成区、重点流域内已建成投产化工企业和危险化学品生产企业应加快退城入园，搬入化工园区前企业不应实施改扩建工程扩大生产规模。</w:t>
            </w:r>
          </w:p>
        </w:tc>
        <w:tc>
          <w:tcPr>
            <w:tcW w:w="1628" w:type="pct"/>
            <w:vAlign w:val="center"/>
          </w:tcPr>
          <w:p w14:paraId="6B21C9D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（1）本项目选址位于哈密工业园区，不涉及生态保护红线和永久基本农田，不在岸线管理范围内。</w:t>
            </w:r>
          </w:p>
          <w:p w14:paraId="0A49C54E">
            <w:pPr>
              <w:pStyle w:val="24"/>
              <w:widowControl w:val="0"/>
              <w:autoSpaceDE w:val="0"/>
              <w:autoSpaceDN w:val="0"/>
              <w:adjustRightInd w:val="0"/>
              <w:ind w:right="104"/>
              <w:contextualSpacing/>
              <w:jc w:val="both"/>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（2）</w:t>
            </w:r>
            <w:bookmarkStart w:id="544" w:name="_Hlk194598542"/>
            <w:r>
              <w:rPr>
                <w:rFonts w:ascii="Times New Roman" w:hAnsi="Times New Roman" w:cs="Times New Roman"/>
                <w:bCs/>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14:textFill>
                  <w14:solidFill>
                    <w14:schemeClr w14:val="tx1"/>
                  </w14:solidFill>
                </w14:textFill>
              </w:rPr>
              <w:t>哈密工业园区产业发展规划（2019-2035年）</w:t>
            </w:r>
            <w:r>
              <w:rPr>
                <w:rFonts w:ascii="Times New Roman" w:hAnsi="Times New Roman" w:cs="Times New Roman"/>
                <w:bCs/>
                <w:color w:val="000000" w:themeColor="text1"/>
                <w:sz w:val="18"/>
                <w:szCs w:val="18"/>
                <w14:textFill>
                  <w14:solidFill>
                    <w14:schemeClr w14:val="tx1"/>
                  </w14:solidFill>
                </w14:textFill>
              </w:rPr>
              <w:t>》</w:t>
            </w:r>
            <w:r>
              <w:rPr>
                <w:rFonts w:hint="eastAsia" w:ascii="Times New Roman" w:hAnsi="Times New Roman" w:cs="Times New Roman"/>
                <w:bCs/>
                <w:color w:val="000000" w:themeColor="text1"/>
                <w:sz w:val="18"/>
                <w:szCs w:val="18"/>
                <w14:textFill>
                  <w14:solidFill>
                    <w14:schemeClr w14:val="tx1"/>
                  </w14:solidFill>
                </w14:textFill>
              </w:rPr>
              <w:t>取得批复，《哈密工业园区总体规划（2019-2035年）环境影响报告书》已取得审查意见</w:t>
            </w:r>
            <w:r>
              <w:rPr>
                <w:rFonts w:ascii="Times New Roman" w:hAnsi="Times New Roman" w:cs="Times New Roman"/>
                <w:bCs/>
                <w:color w:val="000000" w:themeColor="text1"/>
                <w:sz w:val="18"/>
                <w:szCs w:val="18"/>
                <w14:textFill>
                  <w14:solidFill>
                    <w14:schemeClr w14:val="tx1"/>
                  </w14:solidFill>
                </w14:textFill>
              </w:rPr>
              <w:t>。</w:t>
            </w:r>
            <w:r>
              <w:rPr>
                <w:rFonts w:hint="eastAsia" w:ascii="Times New Roman" w:hAnsi="Times New Roman" w:cs="Times New Roman"/>
                <w:bCs/>
                <w:color w:val="000000" w:themeColor="text1"/>
                <w:sz w:val="18"/>
                <w:szCs w:val="18"/>
                <w14:textFill>
                  <w14:solidFill>
                    <w14:schemeClr w14:val="tx1"/>
                  </w14:solidFill>
                </w14:textFill>
              </w:rPr>
              <w:t>本项目符合</w:t>
            </w:r>
            <w:r>
              <w:rPr>
                <w:rFonts w:ascii="Times New Roman" w:hAnsi="Times New Roman" w:cs="Times New Roman"/>
                <w:bCs/>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14:textFill>
                  <w14:solidFill>
                    <w14:schemeClr w14:val="tx1"/>
                  </w14:solidFill>
                </w14:textFill>
              </w:rPr>
              <w:t>哈密工业园区产业发展规划（2019-2035年）</w:t>
            </w:r>
            <w:r>
              <w:rPr>
                <w:rFonts w:ascii="Times New Roman" w:hAnsi="Times New Roman" w:cs="Times New Roman"/>
                <w:bCs/>
                <w:color w:val="000000" w:themeColor="text1"/>
                <w:sz w:val="18"/>
                <w:szCs w:val="18"/>
                <w14:textFill>
                  <w14:solidFill>
                    <w14:schemeClr w14:val="tx1"/>
                  </w14:solidFill>
                </w14:textFill>
              </w:rPr>
              <w:t>》</w:t>
            </w:r>
            <w:r>
              <w:rPr>
                <w:rFonts w:hint="eastAsia" w:ascii="Times New Roman" w:hAnsi="Times New Roman" w:cs="Times New Roman"/>
                <w:bCs/>
                <w:color w:val="000000" w:themeColor="text1"/>
                <w:sz w:val="18"/>
                <w:szCs w:val="18"/>
                <w14:textFill>
                  <w14:solidFill>
                    <w14:schemeClr w14:val="tx1"/>
                  </w14:solidFill>
                </w14:textFill>
              </w:rPr>
              <w:t>及《哈密工业园区总体规划（2019-2035年）环境影响报告书》相关要求。</w:t>
            </w:r>
            <w:bookmarkEnd w:id="544"/>
          </w:p>
        </w:tc>
        <w:tc>
          <w:tcPr>
            <w:tcW w:w="174" w:type="pct"/>
            <w:vMerge w:val="continue"/>
            <w:vAlign w:val="center"/>
          </w:tcPr>
          <w:p w14:paraId="4B2306CB">
            <w:pPr>
              <w:pStyle w:val="184"/>
              <w:widowControl w:val="0"/>
              <w:autoSpaceDE w:val="0"/>
              <w:autoSpaceDN w:val="0"/>
              <w:adjustRightInd w:val="0"/>
              <w:spacing w:line="240" w:lineRule="auto"/>
              <w:rPr>
                <w:rFonts w:ascii="Times New Roman" w:hAnsi="Times New Roman" w:cs="Times New Roman"/>
                <w:color w:val="FF0000"/>
                <w:sz w:val="18"/>
              </w:rPr>
            </w:pPr>
          </w:p>
        </w:tc>
      </w:tr>
      <w:tr w14:paraId="38B9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3C3799F2">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3C19B454">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4127C51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三、</w:t>
            </w:r>
            <w:r>
              <w:rPr>
                <w:rFonts w:ascii="Times New Roman" w:hAnsi="Times New Roman" w:cs="Times New Roman"/>
                <w:color w:val="000000" w:themeColor="text1"/>
                <w:sz w:val="18"/>
                <w14:textFill>
                  <w14:solidFill>
                    <w14:schemeClr w14:val="tx1"/>
                  </w14:solidFill>
                </w14:textFill>
              </w:rPr>
              <w:t>严格安全环保准入</w:t>
            </w:r>
          </w:p>
          <w:p w14:paraId="2DC0131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严格安全标准准入。新(改、扩)建危险化学品项目，严格按照《危险化学品建设项目安全监督管理办法》要求，履行建设项目安全审查，严禁未批先建。严格执行《淘汰落后危险化学品安全生产工艺技术设备目录(第一批)》(2020)。新(改、扩)建精细化工项目，按照《精细化工反应安全风险评估导则(试行》(2017)规定开展反应安全风险评估，禁止反应工艺危险度5级的项目，严格限制反应工艺危险度4级的项目。化工园区应当根据风险大小、企业数量、生产工艺要求等，优化园区内企业布局，建立健全与之配套的安全监管、隐患排查、风险评估、应急救援等机制，有效控制和降低整体安全风险。</w:t>
            </w:r>
          </w:p>
          <w:p w14:paraId="3CAA15A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严格生态环境准入。新(改、扩)建化工项目应符合“三线一单”(生态保护红线、环境质量底线、资源利用上线和生态环境准入清单)生态环境分区管控要求，并符合园区产业定位、园区规划及规划环评要求，按照有关规定设置合理的环境防护距离，环境保护距离内不得有居民区、学校、医院等环境敏感目标，避免邻避效应。新(改、扩)建化工项目应按照国家及自治区相关排放标准，采取有效措施从严控制特征污染物的逸散与排放，无组织排放应达到相应标准，严禁生产废水直接外排，产生的生化污泥或盐泥等固体废物要按照国家及自治区相关标准收集、贮存、运输、利用和处置，蒸发塘、晾晒池、氧化塘、暂存池等要严格按照相关标准进行建设。新(改、扩)建化工项目满足重点污染物排放总量控制、相应行业建设项目环境准入条件、环评文件审批原则要求，依据区域环境质量改善目标，制定配套污染物削减方案，采取有效的污染物削减措施，腾出足够的环境容量。</w:t>
            </w:r>
          </w:p>
          <w:p w14:paraId="640C900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(三)严格能耗双控准入。根据国家发改委《完善能源消费强度和总量双控制度方案》(发改环资(2021) 1310号)，严格实施节能审查制度，切实加强对能耗量较大特别是化石能源消费量大的项目节能审查，从源头严控新上项目能效水平，新上高耗能项目必须符合国家产业政策且能效达到行业先进水平。按照国家发改委《关于严格能效约束推动重点领域节能降碳的若干意见》(发改产业(2021)1464号)，在炼油、乙烯、合成氨、电石等重点行业领域，科学评估拟建项目，对产能已经饱和的高耗能行业按照“减量置换”原则压减产能，对产能尚未饱和的高耗能行业，要对标国际先进水平提高准入门槛，对能耗较大的新兴产业要支持引导企业应用绿色技术、提高能效水平。</w:t>
            </w:r>
          </w:p>
        </w:tc>
        <w:tc>
          <w:tcPr>
            <w:tcW w:w="1628" w:type="pct"/>
            <w:vAlign w:val="center"/>
          </w:tcPr>
          <w:p w14:paraId="50FDAAB7">
            <w:pPr>
              <w:pStyle w:val="557"/>
              <w:jc w:val="both"/>
            </w:pPr>
            <w:r>
              <w:t>（1）本项目为新建项目，不使用列入《淘汰落后危险化学品安全生产工艺技术设备目录(第一批)》(2020)的工艺设备。本项目将依法依规，开展反应安全风险评估工作。</w:t>
            </w:r>
          </w:p>
          <w:p w14:paraId="2E8B1057">
            <w:pPr>
              <w:pStyle w:val="557"/>
              <w:jc w:val="both"/>
            </w:pPr>
            <w:r>
              <w:t>（2）本项目符合</w:t>
            </w:r>
            <w:r>
              <w:rPr>
                <w:rFonts w:hint="eastAsia"/>
              </w:rPr>
              <w:t>《新疆维吾尔自治区生态环境分区管控动态更新成果》（新环环评发〔2024〕157号）</w:t>
            </w:r>
            <w:r>
              <w:t>及</w:t>
            </w:r>
            <w:r>
              <w:rPr>
                <w:rFonts w:hint="eastAsia"/>
              </w:rPr>
              <w:t>《关于印发哈密市生态环境分区管控动态更新成果的通知》，</w:t>
            </w:r>
            <w:r>
              <w:t>符合园区产业定位、园区规划及规划环评要求，按照有关规定设置合理的环境防护距离，环境保护距离内无居民区、学校、医院等环境敏感目标。</w:t>
            </w:r>
          </w:p>
          <w:p w14:paraId="27FE95A0">
            <w:pPr>
              <w:pStyle w:val="557"/>
              <w:jc w:val="both"/>
            </w:pPr>
            <w:r>
              <w:t>（3）项目按照国家及自治区相关排放标准，采取有效措施从严控制挥发性有机物的逸散与排放，无组织排放应达到相应标准，严禁生产废水直接外排，产生的固体废物要按照国家及自治区相关标准收集、贮存、运输、利用和处置。本项目满足重点污染物排放总量控制、相应行业建设项目环境准入条件、环评文件审批原则要求，依据区域环境质量改善目标，制定配套污染物削减方案，采取有效的污染物削减措施。</w:t>
            </w:r>
          </w:p>
          <w:p w14:paraId="6CBEE18E">
            <w:pPr>
              <w:pStyle w:val="557"/>
              <w:jc w:val="both"/>
            </w:pPr>
            <w:r>
              <w:t>（4）本项目应在国家发展改革委会同有关部门对照能效水平、环保要求、产业政策、相关规划等要求加强窗口指导。</w:t>
            </w:r>
          </w:p>
          <w:p w14:paraId="71DFFAE5">
            <w:pPr>
              <w:pStyle w:val="557"/>
              <w:jc w:val="both"/>
            </w:pPr>
            <w:r>
              <w:t>（5）本项目节能报告正在编制中。</w:t>
            </w:r>
          </w:p>
          <w:p w14:paraId="38A91C34">
            <w:pPr>
              <w:pStyle w:val="557"/>
              <w:jc w:val="both"/>
            </w:pPr>
            <w:r>
              <w:t>（6）本项目能源转化效率符合《国家发展改革委等部门关于严格能效约束推动重点领域节能降碳的若干意见》（发改产业〔2021〕1464号）。</w:t>
            </w:r>
          </w:p>
        </w:tc>
        <w:tc>
          <w:tcPr>
            <w:tcW w:w="174" w:type="pct"/>
            <w:vMerge w:val="continue"/>
            <w:vAlign w:val="center"/>
          </w:tcPr>
          <w:p w14:paraId="4AABB7DA">
            <w:pPr>
              <w:pStyle w:val="184"/>
              <w:widowControl w:val="0"/>
              <w:autoSpaceDE w:val="0"/>
              <w:autoSpaceDN w:val="0"/>
              <w:adjustRightInd w:val="0"/>
              <w:spacing w:line="240" w:lineRule="auto"/>
              <w:rPr>
                <w:rFonts w:ascii="Times New Roman" w:hAnsi="Times New Roman" w:cs="Times New Roman"/>
                <w:color w:val="FF0000"/>
                <w:sz w:val="18"/>
              </w:rPr>
            </w:pPr>
          </w:p>
        </w:tc>
      </w:tr>
      <w:tr w14:paraId="59B0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2F092B00">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0DC363F0">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1BDDA5D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四、</w:t>
            </w:r>
            <w:r>
              <w:rPr>
                <w:rFonts w:ascii="Times New Roman" w:hAnsi="Times New Roman" w:cs="Times New Roman"/>
                <w:color w:val="000000" w:themeColor="text1"/>
                <w:sz w:val="18"/>
                <w14:textFill>
                  <w14:solidFill>
                    <w14:schemeClr w14:val="tx1"/>
                  </w14:solidFill>
                </w14:textFill>
              </w:rPr>
              <w:t>严格项目事中事后监管</w:t>
            </w:r>
          </w:p>
          <w:p w14:paraId="2130C13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新建化工项目应严格遵守《企业投资项目核准和备案管理条例》《企业投资项目事中事后监管办法》等相关法律法规和规定，建设单位按照有关要求，做好环境影响评价、安全评价、职业健康评价、节能评价、水土保持评价等，确保投资项目中的安全、环保、职业病防护、节能、水土保持等设施与主体工程同时设计、同时施工、同时投产使用。</w:t>
            </w:r>
          </w:p>
          <w:p w14:paraId="6670273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（二）各级负有监管职责的部门按照职责分工，对新建化工项目要强化监管、严格把关，对违规建设的化工项目，应当依法责令停止建设或者责令停产。</w:t>
            </w:r>
          </w:p>
        </w:tc>
        <w:tc>
          <w:tcPr>
            <w:tcW w:w="1628" w:type="pct"/>
            <w:vAlign w:val="center"/>
          </w:tcPr>
          <w:p w14:paraId="779DBF4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（1）本项目已办理备案证，并同步开展环境影响评价、安全评价、职业健康评价、节能评价、水土保持评价等各项工作。环评要求项目严格落实环保“三同时”制度。</w:t>
            </w:r>
          </w:p>
          <w:p w14:paraId="79BFCD2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（2）本项目为新建项目，强化监管、严格把关。</w:t>
            </w:r>
          </w:p>
        </w:tc>
        <w:tc>
          <w:tcPr>
            <w:tcW w:w="174" w:type="pct"/>
            <w:vMerge w:val="continue"/>
            <w:vAlign w:val="center"/>
          </w:tcPr>
          <w:p w14:paraId="4E2E1A39">
            <w:pPr>
              <w:pStyle w:val="184"/>
              <w:widowControl w:val="0"/>
              <w:autoSpaceDE w:val="0"/>
              <w:autoSpaceDN w:val="0"/>
              <w:adjustRightInd w:val="0"/>
              <w:spacing w:line="240" w:lineRule="auto"/>
              <w:rPr>
                <w:rFonts w:ascii="Times New Roman" w:hAnsi="Times New Roman" w:cs="Times New Roman"/>
                <w:color w:val="FF0000"/>
                <w:sz w:val="18"/>
              </w:rPr>
            </w:pPr>
          </w:p>
        </w:tc>
      </w:tr>
      <w:tr w14:paraId="3F76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0B903CE">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04D3DF1D">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4F2316F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五、严格建立退出机制</w:t>
            </w:r>
          </w:p>
          <w:p w14:paraId="10346A0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化工园区建立项目退出机制，进入园区的企业项目不具备相关法律法规、国家标准、行业标准规定的安全生产条件，经停产整顿仍不具备安全生产条件的，安全监管部门应当提请有管辖权的人民政府予以关闭；人民政府决定关闭的，负有监管责任的相关部门应当依法吊销企业有关许可证。</w:t>
            </w:r>
          </w:p>
        </w:tc>
        <w:tc>
          <w:tcPr>
            <w:tcW w:w="1628" w:type="pct"/>
            <w:vAlign w:val="center"/>
          </w:tcPr>
          <w:p w14:paraId="45D565A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本项目为新建项目，具备相关法律法规、国家标准、行业标准规定的安全生产条件。</w:t>
            </w:r>
          </w:p>
        </w:tc>
        <w:tc>
          <w:tcPr>
            <w:tcW w:w="174" w:type="pct"/>
            <w:vMerge w:val="continue"/>
            <w:vAlign w:val="center"/>
          </w:tcPr>
          <w:p w14:paraId="26A91427">
            <w:pPr>
              <w:pStyle w:val="184"/>
              <w:widowControl w:val="0"/>
              <w:autoSpaceDE w:val="0"/>
              <w:autoSpaceDN w:val="0"/>
              <w:adjustRightInd w:val="0"/>
              <w:spacing w:line="240" w:lineRule="auto"/>
              <w:rPr>
                <w:rFonts w:ascii="Times New Roman" w:hAnsi="Times New Roman" w:cs="Times New Roman"/>
                <w:color w:val="FF0000"/>
                <w:sz w:val="18"/>
              </w:rPr>
            </w:pPr>
          </w:p>
        </w:tc>
      </w:tr>
      <w:tr w14:paraId="634F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restart"/>
            <w:vAlign w:val="center"/>
          </w:tcPr>
          <w:p w14:paraId="5138C2D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6</w:t>
            </w:r>
          </w:p>
        </w:tc>
        <w:tc>
          <w:tcPr>
            <w:tcW w:w="514" w:type="pct"/>
            <w:vMerge w:val="restart"/>
            <w:vAlign w:val="center"/>
          </w:tcPr>
          <w:p w14:paraId="09987FE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《合成氨行业规范条件》（工业和信息化部公告2023年第22号）</w:t>
            </w:r>
          </w:p>
        </w:tc>
        <w:tc>
          <w:tcPr>
            <w:tcW w:w="2541" w:type="pct"/>
            <w:vAlign w:val="center"/>
          </w:tcPr>
          <w:p w14:paraId="3A6FEF80">
            <w:pPr>
              <w:pStyle w:val="557"/>
            </w:pPr>
            <w:r>
              <w:t>（二）合成氨企业应符合国家及地方有关法律法规、产业政策、标准规范、发展规划及国土空间规划、城市建设等专项规划要求。</w:t>
            </w:r>
          </w:p>
        </w:tc>
        <w:tc>
          <w:tcPr>
            <w:tcW w:w="1628" w:type="pct"/>
            <w:vAlign w:val="center"/>
          </w:tcPr>
          <w:p w14:paraId="7343E3E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本项目符合国家及地方有关法律法规、产业政策、标准规范、发展规划及国土空间规划、城市建设等专项规划要求。</w:t>
            </w:r>
          </w:p>
        </w:tc>
        <w:tc>
          <w:tcPr>
            <w:tcW w:w="174" w:type="pct"/>
            <w:vMerge w:val="restart"/>
            <w:vAlign w:val="center"/>
          </w:tcPr>
          <w:p w14:paraId="0E8A1B8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3B2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6E8D336A">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39FA49CB">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51EDB3F5">
            <w:pPr>
              <w:pStyle w:val="557"/>
            </w:pPr>
            <w:r>
              <w:t>（三）合成氨企业外部防护距离应符合相关国家标准或规范要求。新建合成氨装置应布局在一般或较低安全风险的认定化工园区（与焦化等装置配套建设的除外），并符合国土空间规划和用途管制政策、城市建设等专项规划、化工园区总体规划、产业发展规划和危险化学品“禁限控”目录等要求。</w:t>
            </w:r>
          </w:p>
        </w:tc>
        <w:tc>
          <w:tcPr>
            <w:tcW w:w="1628" w:type="pct"/>
            <w:vAlign w:val="center"/>
          </w:tcPr>
          <w:p w14:paraId="271D953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本项目外部防护距离符合相关国家标准或规范要求。本项目新建合成氨装置布局在哈密工业园区，该园区已通过化工园区认定。</w:t>
            </w:r>
          </w:p>
        </w:tc>
        <w:tc>
          <w:tcPr>
            <w:tcW w:w="174" w:type="pct"/>
            <w:vMerge w:val="continue"/>
            <w:vAlign w:val="center"/>
          </w:tcPr>
          <w:p w14:paraId="34F26FA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1D2F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0BFAFBBA">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3697BC21">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7619023F">
            <w:pPr>
              <w:pStyle w:val="557"/>
            </w:pPr>
            <w:r>
              <w:t>（四）合成氨企业应建立、实施符合《质量管理体系要求》（GB/T 19001）要求的质量管理体系，并通过质量管理体系第三方认证。合成氨产品质量应符合《液体无水氨》（GB/T536）国家标准。</w:t>
            </w:r>
          </w:p>
        </w:tc>
        <w:tc>
          <w:tcPr>
            <w:tcW w:w="1628" w:type="pct"/>
            <w:vAlign w:val="center"/>
          </w:tcPr>
          <w:p w14:paraId="387816E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本项目建立、实施符合《质量管理体系要求》（GB/T 19001）要求的质量管理体系，并通过质量管理体系第三方认证。本项目液氨产品质量符合《液体无水氨》（GB/T 536-2017）优等品。</w:t>
            </w:r>
          </w:p>
        </w:tc>
        <w:tc>
          <w:tcPr>
            <w:tcW w:w="174" w:type="pct"/>
            <w:vMerge w:val="continue"/>
            <w:vAlign w:val="center"/>
          </w:tcPr>
          <w:p w14:paraId="7214A5F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2746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4F819870">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39C1CF5D">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5B3CF1FC">
            <w:pPr>
              <w:pStyle w:val="557"/>
            </w:pPr>
            <w:r>
              <w:t>（五）鼓励合成氨企业采用大型或超大型高效煤气化、废锅或半废锅流程、大型低压氨合成、大型先进流程空分、一氧化碳等温变换、余热余压综合利用、高效氨合成催化剂等技术装备改造提升现有装置。企业应全面淘汰列入《产业结构调整指导目录》淘汰类的设备、工艺。</w:t>
            </w:r>
          </w:p>
        </w:tc>
        <w:tc>
          <w:tcPr>
            <w:tcW w:w="1628" w:type="pct"/>
            <w:vAlign w:val="center"/>
          </w:tcPr>
          <w:p w14:paraId="4C1C2A2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本项目采用煤气化装置，本项目未采用《产业结构调整指导目录》淘汰类的设备、工艺。</w:t>
            </w:r>
          </w:p>
        </w:tc>
        <w:tc>
          <w:tcPr>
            <w:tcW w:w="174" w:type="pct"/>
            <w:vMerge w:val="continue"/>
            <w:vAlign w:val="center"/>
          </w:tcPr>
          <w:p w14:paraId="6F8A4A0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10A5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5D8B7713">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4A63F828">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7833F1B7">
            <w:pPr>
              <w:pStyle w:val="557"/>
            </w:pPr>
            <w:r>
              <w:t>（六）合成氨企业应采用集散控制系统（DCS）、可燃气体和有毒气体检测报警系统（GDS）、安全仪表系统（SIS）、电气控制系统（ECS）、过程控制系统（PCS）等优化控制生产过程。鼓励企业使用数字化平台，提升企业生产制造、经营管理、运维服务全过程的数字化管理能力，提高智能制造水平，支撑企业转型升级。</w:t>
            </w:r>
          </w:p>
        </w:tc>
        <w:tc>
          <w:tcPr>
            <w:tcW w:w="1628" w:type="pct"/>
            <w:vAlign w:val="center"/>
          </w:tcPr>
          <w:p w14:paraId="7BCCFBD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本项目采用集散控制系统（DCS）、可燃气体和有毒气体检测报警系统（GDS）、安全仪表系统（SIS）、电气控制系统（ECS）、过程控制系统（PCS）等优化控制生产过程。</w:t>
            </w:r>
          </w:p>
        </w:tc>
        <w:tc>
          <w:tcPr>
            <w:tcW w:w="174" w:type="pct"/>
            <w:vMerge w:val="continue"/>
            <w:vAlign w:val="center"/>
          </w:tcPr>
          <w:p w14:paraId="01E6DC80">
            <w:pPr>
              <w:pStyle w:val="184"/>
              <w:widowControl w:val="0"/>
              <w:autoSpaceDE w:val="0"/>
              <w:autoSpaceDN w:val="0"/>
              <w:adjustRightInd w:val="0"/>
              <w:spacing w:line="240" w:lineRule="auto"/>
              <w:rPr>
                <w:rFonts w:ascii="Times New Roman" w:hAnsi="Times New Roman" w:cs="Times New Roman"/>
                <w:color w:val="FF0000"/>
                <w:sz w:val="18"/>
              </w:rPr>
            </w:pPr>
          </w:p>
        </w:tc>
      </w:tr>
      <w:tr w14:paraId="6BF3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4323C9C5">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4F00762A">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5FC1FCCD">
            <w:pPr>
              <w:pStyle w:val="557"/>
            </w:pPr>
            <w:r>
              <w:t>（七）合成氨企业应建立、实施符合《能源管理体系要求及使用指南》（GB/T 23331）要求的能源管理体系，能源计量器具应符合《用能单位能源计量器具配备和管理通则》（GB17167）有关要求。鼓励企业建立能源管控中心，开展能源管理体系第三方认证。</w:t>
            </w:r>
          </w:p>
        </w:tc>
        <w:tc>
          <w:tcPr>
            <w:tcW w:w="1628" w:type="pct"/>
            <w:vAlign w:val="center"/>
          </w:tcPr>
          <w:p w14:paraId="300C329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本项目建立、实施符合《能源管理体系要求及使用指南》（GB/T 23331）要求的能源管理体系，能源计量器具应符合《用能单位能源计量器具配备和管理通则》（GB17167）有关要求。</w:t>
            </w:r>
          </w:p>
        </w:tc>
        <w:tc>
          <w:tcPr>
            <w:tcW w:w="174" w:type="pct"/>
            <w:vMerge w:val="continue"/>
            <w:vAlign w:val="center"/>
          </w:tcPr>
          <w:p w14:paraId="5EFEB1AF">
            <w:pPr>
              <w:pStyle w:val="184"/>
              <w:widowControl w:val="0"/>
              <w:autoSpaceDE w:val="0"/>
              <w:autoSpaceDN w:val="0"/>
              <w:adjustRightInd w:val="0"/>
              <w:spacing w:line="240" w:lineRule="auto"/>
              <w:rPr>
                <w:rFonts w:ascii="Times New Roman" w:hAnsi="Times New Roman" w:cs="Times New Roman"/>
                <w:color w:val="FF0000"/>
                <w:sz w:val="18"/>
              </w:rPr>
            </w:pPr>
          </w:p>
        </w:tc>
      </w:tr>
      <w:tr w14:paraId="6D51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7D13A1C">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30AF3B16">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4D7A78A8">
            <w:pPr>
              <w:pStyle w:val="557"/>
            </w:pPr>
            <w:r>
              <w:t>（八）企业不应使用高硫石油焦作为合成氨生产原料。单位产品合成氨生产原料、能源和水消耗应符合表1的要求。鼓励企业对标工业重点领域能效标杆水平，加强节能降碳技术改造。</w:t>
            </w:r>
          </w:p>
        </w:tc>
        <w:tc>
          <w:tcPr>
            <w:tcW w:w="1628" w:type="pct"/>
            <w:vAlign w:val="center"/>
          </w:tcPr>
          <w:p w14:paraId="6E73B1A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本项目不使用高硫石油焦作为合成氨生产原料。单位产品合成氨生产原料、能源和水消耗应符合表1的要求。本项目可达到行业能效标杆水平和环保绩效A级水平，主要用能设备达到能效先进水平。</w:t>
            </w:r>
          </w:p>
        </w:tc>
        <w:tc>
          <w:tcPr>
            <w:tcW w:w="174" w:type="pct"/>
            <w:vMerge w:val="continue"/>
            <w:vAlign w:val="center"/>
          </w:tcPr>
          <w:p w14:paraId="67742238">
            <w:pPr>
              <w:pStyle w:val="184"/>
              <w:widowControl w:val="0"/>
              <w:autoSpaceDE w:val="0"/>
              <w:autoSpaceDN w:val="0"/>
              <w:adjustRightInd w:val="0"/>
              <w:spacing w:line="240" w:lineRule="auto"/>
              <w:rPr>
                <w:rFonts w:ascii="Times New Roman" w:hAnsi="Times New Roman" w:cs="Times New Roman"/>
                <w:color w:val="FF0000"/>
                <w:sz w:val="18"/>
              </w:rPr>
            </w:pPr>
          </w:p>
        </w:tc>
      </w:tr>
      <w:tr w14:paraId="7F11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743010B8">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72FE4F43">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2133B740">
            <w:pPr>
              <w:pStyle w:val="557"/>
            </w:pPr>
            <w:r>
              <w:t>（九）合成氨企业应制定碳减排方案，以煤为原料的企业，单位合成氨产品二氧化碳排放量不高于4.2吨；以天然气、焦炉气为原料的企业，单位合成氨产品二氧化碳排放量不高于1.8吨（按照《温室气体排放核算与报告要求第10部分：化工生产企业》（GB/T 32151.10）计算）。</w:t>
            </w:r>
          </w:p>
        </w:tc>
        <w:tc>
          <w:tcPr>
            <w:tcW w:w="1628" w:type="pct"/>
            <w:vAlign w:val="center"/>
          </w:tcPr>
          <w:p w14:paraId="5809DA1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本项目制定碳减排方案，本项目以煤为原料。</w:t>
            </w:r>
          </w:p>
        </w:tc>
        <w:tc>
          <w:tcPr>
            <w:tcW w:w="174" w:type="pct"/>
            <w:vMerge w:val="continue"/>
            <w:vAlign w:val="center"/>
          </w:tcPr>
          <w:p w14:paraId="0D011F12">
            <w:pPr>
              <w:pStyle w:val="184"/>
              <w:widowControl w:val="0"/>
              <w:autoSpaceDE w:val="0"/>
              <w:autoSpaceDN w:val="0"/>
              <w:adjustRightInd w:val="0"/>
              <w:spacing w:line="240" w:lineRule="auto"/>
              <w:rPr>
                <w:rFonts w:ascii="Times New Roman" w:hAnsi="Times New Roman" w:cs="Times New Roman"/>
                <w:color w:val="FF0000"/>
                <w:sz w:val="18"/>
              </w:rPr>
            </w:pPr>
          </w:p>
        </w:tc>
      </w:tr>
      <w:tr w14:paraId="0DF0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623A9F62">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7E0165EA">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16AFB0C1">
            <w:pPr>
              <w:pStyle w:val="557"/>
            </w:pPr>
            <w:r>
              <w:t>（十一）合成氨企业应遵守《环境保护法》等法律法规及环保标准，建立、实施符合《环境管理体系标准》（GB/T 24001）要求的环境管理体系，严格落实国家与地方生态环境保护要求。新建、改扩建合成氨项目应严格执行环境影响评价制度，配套的环境保护设施必须与主体工程同时设计、同时施工、同时投产使用。</w:t>
            </w:r>
          </w:p>
        </w:tc>
        <w:tc>
          <w:tcPr>
            <w:tcW w:w="1628" w:type="pct"/>
            <w:vAlign w:val="center"/>
          </w:tcPr>
          <w:p w14:paraId="6D1CA19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本项目遵守《环境保护法》等法律法规及环保标准，建立、实施符合《环境管理体系标准》（GB/T 24001）要求的环境管理体系，严格落实国家与地方生态环境保护要求。本项目依法进行环境影响评价，项目配套的环境保护设施与主体工程同时设计、同时施工、同时投产使用。</w:t>
            </w:r>
          </w:p>
        </w:tc>
        <w:tc>
          <w:tcPr>
            <w:tcW w:w="174" w:type="pct"/>
            <w:vMerge w:val="continue"/>
            <w:vAlign w:val="center"/>
          </w:tcPr>
          <w:p w14:paraId="7E6F467C">
            <w:pPr>
              <w:pStyle w:val="184"/>
              <w:widowControl w:val="0"/>
              <w:autoSpaceDE w:val="0"/>
              <w:autoSpaceDN w:val="0"/>
              <w:adjustRightInd w:val="0"/>
              <w:spacing w:line="240" w:lineRule="auto"/>
              <w:rPr>
                <w:rFonts w:ascii="Times New Roman" w:hAnsi="Times New Roman" w:cs="Times New Roman"/>
                <w:color w:val="FF0000"/>
                <w:sz w:val="18"/>
              </w:rPr>
            </w:pPr>
          </w:p>
        </w:tc>
      </w:tr>
      <w:tr w14:paraId="704E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3" w:type="pct"/>
            <w:vMerge w:val="continue"/>
            <w:vAlign w:val="center"/>
          </w:tcPr>
          <w:p w14:paraId="4CEFF207">
            <w:pPr>
              <w:pStyle w:val="184"/>
              <w:widowControl w:val="0"/>
              <w:autoSpaceDE w:val="0"/>
              <w:autoSpaceDN w:val="0"/>
              <w:adjustRightInd w:val="0"/>
              <w:spacing w:line="240" w:lineRule="auto"/>
              <w:rPr>
                <w:rFonts w:ascii="Times New Roman" w:hAnsi="Times New Roman" w:cs="Times New Roman"/>
                <w:color w:val="FF0000"/>
                <w:sz w:val="18"/>
              </w:rPr>
            </w:pPr>
          </w:p>
        </w:tc>
        <w:tc>
          <w:tcPr>
            <w:tcW w:w="514" w:type="pct"/>
            <w:vMerge w:val="continue"/>
            <w:vAlign w:val="center"/>
          </w:tcPr>
          <w:p w14:paraId="2C24E630">
            <w:pPr>
              <w:pStyle w:val="184"/>
              <w:widowControl w:val="0"/>
              <w:autoSpaceDE w:val="0"/>
              <w:autoSpaceDN w:val="0"/>
              <w:adjustRightInd w:val="0"/>
              <w:spacing w:line="240" w:lineRule="auto"/>
              <w:rPr>
                <w:rFonts w:ascii="Times New Roman" w:hAnsi="Times New Roman" w:cs="Times New Roman"/>
                <w:color w:val="FF0000"/>
                <w:sz w:val="18"/>
              </w:rPr>
            </w:pPr>
          </w:p>
        </w:tc>
        <w:tc>
          <w:tcPr>
            <w:tcW w:w="2541" w:type="pct"/>
            <w:vAlign w:val="center"/>
          </w:tcPr>
          <w:p w14:paraId="1E9F8BA4">
            <w:pPr>
              <w:pStyle w:val="557"/>
            </w:pPr>
            <w:r>
              <w:t>（十二）合成氨企业应依法申请和取得排污许可证，依规建设并维护排放口监测点位，开展自行监测、公开监测数据，并做到达标、达总量控制要求排放和依法合规处置。污水排放各污染物指标应符合《合成氨工业水污染物排放标准》（GB13458）要求，单位产品基准排水量应低于5立方米。企业固体废物的收集、贮存、转移、利用和处置需符合固体废物污染防治法律法规的要求，其中，属于危险废物的，还应满足危险废物相关管理要求，防范环境风险。企业应达到重污染天气重点行业绩效分级煤制氮肥行业B级指标要求，鼓励企业通过技术改造等方式达到A级指标要求。企业内存放可溶性剧毒废渣的场所，应采取防水、防渗漏、防流失的措施，防止土壤和地下水新增污染。属于土壤污染重点监管单位的，应依据相关法律法规和标准要求，按年度向生态环境主管部门报告有毒有害物质排放情况，建立土壤污染隐患排查制度，开展自行监测。</w:t>
            </w:r>
          </w:p>
        </w:tc>
        <w:tc>
          <w:tcPr>
            <w:tcW w:w="1628" w:type="pct"/>
            <w:vAlign w:val="center"/>
          </w:tcPr>
          <w:p w14:paraId="69BCE20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建设单位依法申请和取得排污许可证，依规建设并维护排放口监测点位，开展自行监测、公开监测数据，并做到达标、达总量控制要求排放和依法合规处置。（2）本项目固体废物的收集、贮存、转移、利用和处置符合固体废物污染防治法律法规的要求，危险废物处理符合《危险废物贮存污染控制标准》（GB18597-2023）相关管理要求。（</w:t>
            </w:r>
            <w:r>
              <w:rPr>
                <w:rFonts w:hint="eastAsia" w:ascii="Times New Roman" w:hAnsi="Times New Roman" w:cs="Times New Roman"/>
                <w:color w:val="000000" w:themeColor="text1"/>
                <w:sz w:val="18"/>
                <w14:textFill>
                  <w14:solidFill>
                    <w14:schemeClr w14:val="tx1"/>
                  </w14:solidFill>
                </w14:textFill>
              </w:rPr>
              <w:t>3</w:t>
            </w:r>
            <w:r>
              <w:rPr>
                <w:rFonts w:ascii="Times New Roman" w:hAnsi="Times New Roman" w:cs="Times New Roman"/>
                <w:color w:val="000000" w:themeColor="text1"/>
                <w:sz w:val="18"/>
                <w14:textFill>
                  <w14:solidFill>
                    <w14:schemeClr w14:val="tx1"/>
                  </w14:solidFill>
                </w14:textFill>
              </w:rPr>
              <w:t>）建设单位建立土壤污染隐患排查制度，按时开展自行监测。</w:t>
            </w:r>
          </w:p>
        </w:tc>
        <w:tc>
          <w:tcPr>
            <w:tcW w:w="174" w:type="pct"/>
            <w:vMerge w:val="continue"/>
            <w:vAlign w:val="center"/>
          </w:tcPr>
          <w:p w14:paraId="0E370886">
            <w:pPr>
              <w:pStyle w:val="184"/>
              <w:widowControl w:val="0"/>
              <w:autoSpaceDE w:val="0"/>
              <w:autoSpaceDN w:val="0"/>
              <w:adjustRightInd w:val="0"/>
              <w:spacing w:line="240" w:lineRule="auto"/>
              <w:rPr>
                <w:rFonts w:ascii="Times New Roman" w:hAnsi="Times New Roman" w:cs="Times New Roman"/>
                <w:color w:val="FF0000"/>
                <w:sz w:val="18"/>
              </w:rPr>
            </w:pPr>
          </w:p>
        </w:tc>
      </w:tr>
      <w:bookmarkEnd w:id="538"/>
    </w:tbl>
    <w:p w14:paraId="1552E582">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环境保护政策符合性分析</w:t>
      </w:r>
    </w:p>
    <w:p w14:paraId="283B6ED7">
      <w:pPr>
        <w:autoSpaceDE w:val="0"/>
        <w:autoSpaceDN w:val="0"/>
        <w:adjustRightInd w:val="0"/>
        <w:spacing w:line="360" w:lineRule="auto"/>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根据详细论证，</w:t>
      </w:r>
      <w:r>
        <w:rPr>
          <w:rFonts w:hint="eastAsia"/>
          <w:color w:val="000000" w:themeColor="text1"/>
          <w14:textFill>
            <w14:solidFill>
              <w14:schemeClr w14:val="tx1"/>
            </w14:solidFill>
          </w14:textFill>
        </w:rPr>
        <w:t>本项目的建设符合国家和地方的大气污染防治、水污染防治和土壤污染防治等相关环境保护政策要求。</w:t>
      </w:r>
    </w:p>
    <w:p w14:paraId="0B17F3F1">
      <w:pPr>
        <w:autoSpaceDE w:val="0"/>
        <w:autoSpaceDN w:val="0"/>
        <w:adjustRightIn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本项目与相关环境保护政策符</w:t>
      </w:r>
      <w:r>
        <w:rPr>
          <w:rStyle w:val="282"/>
          <w:rFonts w:hint="eastAsia"/>
          <w:color w:val="000000" w:themeColor="text1"/>
          <w14:textFill>
            <w14:solidFill>
              <w14:schemeClr w14:val="tx1"/>
            </w14:solidFill>
          </w14:textFill>
        </w:rPr>
        <w:t>合性分析见表8.1</w:t>
      </w:r>
      <w:r>
        <w:rPr>
          <w:rStyle w:val="282"/>
          <w:color w:val="000000" w:themeColor="text1"/>
          <w14:textFill>
            <w14:solidFill>
              <w14:schemeClr w14:val="tx1"/>
            </w14:solidFill>
          </w14:textFill>
        </w:rPr>
        <w:t>.</w:t>
      </w:r>
      <w:r>
        <w:rPr>
          <w:rStyle w:val="282"/>
          <w:rFonts w:hint="eastAsia"/>
          <w:color w:val="000000" w:themeColor="text1"/>
          <w14:textFill>
            <w14:solidFill>
              <w14:schemeClr w14:val="tx1"/>
            </w14:solidFill>
          </w14:textFill>
        </w:rPr>
        <w:t>2-1。</w:t>
      </w:r>
    </w:p>
    <w:p w14:paraId="30F6231E">
      <w:pPr>
        <w:autoSpaceDE w:val="0"/>
        <w:autoSpaceDN w:val="0"/>
        <w:adjustRightIn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综合分析，本项目符合国家及地方的相关环境保护政策。</w:t>
      </w:r>
    </w:p>
    <w:p w14:paraId="6DAE0312">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表8.1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各相关环境保护政策</w:t>
      </w:r>
      <w:r>
        <w:rPr>
          <w:color w:val="000000" w:themeColor="text1"/>
          <w14:textFill>
            <w14:solidFill>
              <w14:schemeClr w14:val="tx1"/>
            </w14:solidFill>
          </w14:textFill>
        </w:rPr>
        <w:t>的符合性分析</w:t>
      </w:r>
    </w:p>
    <w:tbl>
      <w:tblPr>
        <w:tblStyle w:val="706"/>
        <w:tblW w:w="50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7"/>
        <w:gridCol w:w="1890"/>
        <w:gridCol w:w="829"/>
        <w:gridCol w:w="4688"/>
        <w:gridCol w:w="5700"/>
        <w:gridCol w:w="598"/>
      </w:tblGrid>
      <w:tr w14:paraId="5DBB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47B8CD30">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bookmarkStart w:id="545" w:name="_Hlk179670382"/>
            <w:r>
              <w:rPr>
                <w:rFonts w:ascii="Times New Roman" w:hAnsi="Times New Roman" w:cs="Times New Roman"/>
                <w:color w:val="000000" w:themeColor="text1"/>
                <w:sz w:val="18"/>
                <w14:textFill>
                  <w14:solidFill>
                    <w14:schemeClr w14:val="tx1"/>
                  </w14:solidFill>
                </w14:textFill>
              </w:rPr>
              <w:t>序号</w:t>
            </w:r>
          </w:p>
        </w:tc>
        <w:tc>
          <w:tcPr>
            <w:tcW w:w="670" w:type="pct"/>
            <w:vAlign w:val="center"/>
          </w:tcPr>
          <w:p w14:paraId="17A489D3">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政策文件</w:t>
            </w:r>
          </w:p>
        </w:tc>
        <w:tc>
          <w:tcPr>
            <w:tcW w:w="1956" w:type="pct"/>
            <w:gridSpan w:val="2"/>
            <w:vAlign w:val="center"/>
          </w:tcPr>
          <w:p w14:paraId="1E481FE6">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具体要求</w:t>
            </w:r>
          </w:p>
        </w:tc>
        <w:tc>
          <w:tcPr>
            <w:tcW w:w="2021" w:type="pct"/>
            <w:vAlign w:val="center"/>
          </w:tcPr>
          <w:p w14:paraId="4FFC6F87">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本项目情况</w:t>
            </w:r>
          </w:p>
        </w:tc>
        <w:tc>
          <w:tcPr>
            <w:tcW w:w="212" w:type="pct"/>
            <w:vAlign w:val="center"/>
          </w:tcPr>
          <w:p w14:paraId="224F77F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符合性</w:t>
            </w:r>
          </w:p>
        </w:tc>
      </w:tr>
      <w:tr w14:paraId="79D9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6E9FE5C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670" w:type="pct"/>
            <w:vAlign w:val="center"/>
          </w:tcPr>
          <w:p w14:paraId="07402E9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《关于贯彻实施国家主体功能区环境政策的若干意见》（环发〔2015〕92号）</w:t>
            </w:r>
          </w:p>
        </w:tc>
        <w:tc>
          <w:tcPr>
            <w:tcW w:w="1956" w:type="pct"/>
            <w:gridSpan w:val="2"/>
            <w:vAlign w:val="center"/>
          </w:tcPr>
          <w:p w14:paraId="4448EC9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六、重点开发区域环境政策。</w:t>
            </w:r>
          </w:p>
          <w:p w14:paraId="3CAA29F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区域内以工业为主的开发区，要根据环境风险评估建立风险预警和风险控制机制，制定突发环境事件应急预案，针对高危企业开展环境污染健康影响评估，建设项目和现有企业开展环境风险评估和制定突发环境事件应急预案，强化对其相关工作的监管。</w:t>
            </w:r>
          </w:p>
        </w:tc>
        <w:tc>
          <w:tcPr>
            <w:tcW w:w="2021" w:type="pct"/>
            <w:vAlign w:val="center"/>
          </w:tcPr>
          <w:p w14:paraId="6719986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本项目所在的哈密工业园区已制定突发环境事件应急预案，本项目在开工前完成突发环境事件应急预案编制及备案工作。</w:t>
            </w:r>
          </w:p>
        </w:tc>
        <w:tc>
          <w:tcPr>
            <w:tcW w:w="212" w:type="pct"/>
            <w:vAlign w:val="center"/>
          </w:tcPr>
          <w:p w14:paraId="5BF8FB9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105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2CC73B2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670" w:type="pct"/>
            <w:vMerge w:val="restart"/>
            <w:vAlign w:val="center"/>
          </w:tcPr>
          <w:p w14:paraId="7234ED2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国务院关于印发《空气质量持续改善行动计划》的通知（国发〔2023〕24号）</w:t>
            </w:r>
          </w:p>
        </w:tc>
        <w:tc>
          <w:tcPr>
            <w:tcW w:w="1956" w:type="pct"/>
            <w:gridSpan w:val="2"/>
            <w:vAlign w:val="center"/>
          </w:tcPr>
          <w:p w14:paraId="737AF4E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021" w:type="pct"/>
            <w:vAlign w:val="center"/>
          </w:tcPr>
          <w:p w14:paraId="4F11B54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本项目严格落实国家产业规划、产业政策，符合</w:t>
            </w:r>
            <w:r>
              <w:rPr>
                <w:rFonts w:hint="eastAsia" w:ascii="Times New Roman" w:hAnsi="Times New Roman" w:cs="Times New Roman"/>
                <w:color w:val="000000" w:themeColor="text1"/>
                <w:sz w:val="18"/>
                <w14:textFill>
                  <w14:solidFill>
                    <w14:schemeClr w14:val="tx1"/>
                  </w14:solidFill>
                </w14:textFill>
              </w:rPr>
              <w:t>哈密市</w:t>
            </w:r>
            <w:r>
              <w:rPr>
                <w:rFonts w:ascii="Times New Roman" w:hAnsi="Times New Roman" w:cs="Times New Roman"/>
                <w:color w:val="000000" w:themeColor="text1"/>
                <w:sz w:val="18"/>
                <w14:textFill>
                  <w14:solidFill>
                    <w14:schemeClr w14:val="tx1"/>
                  </w14:solidFill>
                </w14:textFill>
              </w:rPr>
              <w:t>生态环境分区管控方案，符合园区规划环评及规划的相关要求。</w:t>
            </w:r>
          </w:p>
        </w:tc>
        <w:tc>
          <w:tcPr>
            <w:tcW w:w="212" w:type="pct"/>
            <w:vMerge w:val="restart"/>
            <w:vAlign w:val="center"/>
          </w:tcPr>
          <w:p w14:paraId="7563642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385A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E972B0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185B353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7E164E3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十一）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2021" w:type="pct"/>
            <w:vAlign w:val="center"/>
          </w:tcPr>
          <w:p w14:paraId="38C33A6B">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（1）本项目储罐使用低泄漏的呼吸阀、紧急泄压阀，定期开展密封性检测。（2）本项目污水处理站废气经收集后送碱洗+生物除臭系统，经处理后外排。</w:t>
            </w:r>
          </w:p>
        </w:tc>
        <w:tc>
          <w:tcPr>
            <w:tcW w:w="212" w:type="pct"/>
            <w:vMerge w:val="continue"/>
            <w:vAlign w:val="center"/>
          </w:tcPr>
          <w:p w14:paraId="34A4FBC1">
            <w:pPr>
              <w:pStyle w:val="184"/>
              <w:widowControl w:val="0"/>
              <w:autoSpaceDE w:val="0"/>
              <w:autoSpaceDN w:val="0"/>
              <w:adjustRightInd w:val="0"/>
              <w:spacing w:line="240" w:lineRule="auto"/>
              <w:rPr>
                <w:rFonts w:ascii="Times New Roman" w:hAnsi="Times New Roman" w:cs="Times New Roman"/>
                <w:color w:val="FF0000"/>
                <w:sz w:val="18"/>
              </w:rPr>
            </w:pPr>
          </w:p>
        </w:tc>
      </w:tr>
      <w:tr w14:paraId="23BD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13A7EF7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w:t>
            </w:r>
          </w:p>
        </w:tc>
        <w:tc>
          <w:tcPr>
            <w:tcW w:w="670" w:type="pct"/>
            <w:vMerge w:val="restart"/>
            <w:vAlign w:val="center"/>
          </w:tcPr>
          <w:p w14:paraId="2C9BA63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《大气污染防治行动计划》（国发〔2013〕37号）</w:t>
            </w:r>
          </w:p>
        </w:tc>
        <w:tc>
          <w:tcPr>
            <w:tcW w:w="1956" w:type="pct"/>
            <w:gridSpan w:val="2"/>
            <w:vAlign w:val="center"/>
          </w:tcPr>
          <w:p w14:paraId="6A4465F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推进挥发性有机物污染治理，在石化、有机化工等行业实施挥发性有机物综合防治，在石化行业开展“泄漏检测与修复”技术改造。限时完成加油站、储油库、油罐车的油气回收治理。</w:t>
            </w:r>
          </w:p>
        </w:tc>
        <w:tc>
          <w:tcPr>
            <w:tcW w:w="2021" w:type="pct"/>
            <w:vAlign w:val="center"/>
          </w:tcPr>
          <w:p w14:paraId="5D08BAB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本项目严格按照《挥发性有机物无组织排放控制标准》（GB37822-2019）、《石油化学工业污染物排放标准》（GB31571-2015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及其修改的、《关于印发重点行业挥发性有机物综合治理方案的通知》（环大气〔2019〕53号）、《石化行业挥发性有机物治理实用手册》。《石化行业挥发性有机物综合整治方案》（环发（2014）177号）等相关规定开展挥发性有机物治理工作，制定和实施LDAR计划。本项目在污水收集暂存和处理系统采用加盖、臭气处理措施，在罐区与装卸区域采用内浮顶罐/球罐、液下装载、油气回收等措施可有效控制挥发性有机物（VOCs）、恶臭物质及有毒有害污染物的逸散与排放。</w:t>
            </w:r>
          </w:p>
        </w:tc>
        <w:tc>
          <w:tcPr>
            <w:tcW w:w="212" w:type="pct"/>
            <w:vMerge w:val="restart"/>
            <w:vAlign w:val="center"/>
          </w:tcPr>
          <w:p w14:paraId="32EF5C8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06E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7A49BE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10FCF63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537F1A1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严格实施污染物排放总量控制，将二氧化硫、氮氧化物、烟粉尘和挥发性有机物排放是否符合总量控制要求作为建设项目环境影响评价审批的前置条件。</w:t>
            </w:r>
          </w:p>
        </w:tc>
        <w:tc>
          <w:tcPr>
            <w:tcW w:w="2021" w:type="pct"/>
            <w:vAlign w:val="center"/>
          </w:tcPr>
          <w:p w14:paraId="4E17AF7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本项目采用先进工艺技术和污染控制技术最大限度减少污染物的排放。</w:t>
            </w:r>
          </w:p>
          <w:p w14:paraId="7DB3C91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本项目SO</w:t>
            </w:r>
            <w:r>
              <w:rPr>
                <w:rFonts w:ascii="Times New Roman" w:hAnsi="Times New Roman" w:cs="Times New Roman"/>
                <w:color w:val="000000" w:themeColor="text1"/>
                <w:sz w:val="18"/>
                <w:vertAlign w:val="subscript"/>
                <w14:textFill>
                  <w14:solidFill>
                    <w14:schemeClr w14:val="tx1"/>
                  </w14:solidFill>
                </w14:textFill>
              </w:rPr>
              <w:t>2</w:t>
            </w:r>
            <w:r>
              <w:rPr>
                <w:rFonts w:ascii="Times New Roman" w:hAnsi="Times New Roman" w:cs="Times New Roman"/>
                <w:color w:val="000000" w:themeColor="text1"/>
                <w:sz w:val="18"/>
                <w14:textFill>
                  <w14:solidFill>
                    <w14:schemeClr w14:val="tx1"/>
                  </w14:solidFill>
                </w14:textFill>
              </w:rPr>
              <w:t>、NOx、烟粉尘、挥发性有机物（VOCs）等四项大气污染物总量指标在区域内等量替代，大气污染物排放符合总量控制要求。</w:t>
            </w:r>
          </w:p>
        </w:tc>
        <w:tc>
          <w:tcPr>
            <w:tcW w:w="212" w:type="pct"/>
            <w:vMerge w:val="continue"/>
            <w:vAlign w:val="center"/>
          </w:tcPr>
          <w:p w14:paraId="7536552A">
            <w:pPr>
              <w:pStyle w:val="184"/>
              <w:widowControl w:val="0"/>
              <w:autoSpaceDE w:val="0"/>
              <w:autoSpaceDN w:val="0"/>
              <w:adjustRightInd w:val="0"/>
              <w:spacing w:line="240" w:lineRule="auto"/>
              <w:rPr>
                <w:rFonts w:ascii="Times New Roman" w:hAnsi="Times New Roman" w:cs="Times New Roman"/>
                <w:color w:val="FF0000"/>
                <w:sz w:val="18"/>
              </w:rPr>
            </w:pPr>
          </w:p>
        </w:tc>
      </w:tr>
      <w:tr w14:paraId="5A94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5A4E236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w:t>
            </w:r>
          </w:p>
        </w:tc>
        <w:tc>
          <w:tcPr>
            <w:tcW w:w="670" w:type="pct"/>
            <w:vMerge w:val="restart"/>
            <w:vAlign w:val="center"/>
          </w:tcPr>
          <w:p w14:paraId="02B15C3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《水污染防治行动计划》（国发〔2015〕17号）</w:t>
            </w:r>
          </w:p>
        </w:tc>
        <w:tc>
          <w:tcPr>
            <w:tcW w:w="1956" w:type="pct"/>
            <w:gridSpan w:val="2"/>
            <w:vAlign w:val="center"/>
          </w:tcPr>
          <w:p w14:paraId="692AB6F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（五）调整产业结构。</w:t>
            </w:r>
          </w:p>
          <w:p w14:paraId="26BA028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依法淘汰落后产能。自2015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p>
        </w:tc>
        <w:tc>
          <w:tcPr>
            <w:tcW w:w="2021" w:type="pct"/>
            <w:vAlign w:val="center"/>
          </w:tcPr>
          <w:p w14:paraId="49004CB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根据《产业结构调整指导目录（2024年版）》鼓励类：“第十一条 石化化工-2、优质钾肥及新型肥料的生产”，</w:t>
            </w:r>
            <w:r>
              <w:rPr>
                <w:rFonts w:ascii="Times New Roman" w:hAnsi="Times New Roman" w:cs="Times New Roman"/>
                <w:color w:val="000000" w:themeColor="text1"/>
                <w:sz w:val="18"/>
                <w14:textFill>
                  <w14:solidFill>
                    <w14:schemeClr w14:val="tx1"/>
                  </w14:solidFill>
                </w14:textFill>
              </w:rPr>
              <w:t>本项目为煤制氮肥行业，</w:t>
            </w:r>
            <w:r>
              <w:rPr>
                <w:rFonts w:hint="eastAsia" w:ascii="Times New Roman" w:hAnsi="Times New Roman" w:cs="Times New Roman"/>
                <w:color w:val="000000" w:themeColor="text1"/>
                <w:sz w:val="18"/>
                <w14:textFill>
                  <w14:solidFill>
                    <w14:schemeClr w14:val="tx1"/>
                  </w14:solidFill>
                </w14:textFill>
              </w:rPr>
              <w:t>本项目所产草酰胺有机缓释肥，属于优质水溶肥，属于“鼓励类”项目。</w:t>
            </w:r>
          </w:p>
          <w:p w14:paraId="2B8ACCA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（2）本项目大气污染物执行《大气污染物综合排放标准》（GB16297-1996）、《石油化学工业污染物排放标准》（GB31571-2015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含2024年修改单）、《恶臭污染物排放标准》（GB 14554-93）。本项目生产废水、生活污水等经厂内污水处理站、回用水站处理后，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w:t>
            </w:r>
            <w:r>
              <w:rPr>
                <w:rFonts w:ascii="Times New Roman" w:hAnsi="Times New Roman" w:cs="Times New Roman"/>
                <w:color w:val="000000" w:themeColor="text1"/>
                <w:sz w:val="18"/>
                <w14:textFill>
                  <w14:solidFill>
                    <w14:schemeClr w14:val="tx1"/>
                  </w14:solidFill>
                </w14:textFill>
              </w:rPr>
              <w:t>回用。工业固体废物和危险废物无害化处理处置率均达到100%。</w:t>
            </w:r>
          </w:p>
        </w:tc>
        <w:tc>
          <w:tcPr>
            <w:tcW w:w="212" w:type="pct"/>
            <w:vMerge w:val="restart"/>
            <w:vAlign w:val="center"/>
          </w:tcPr>
          <w:p w14:paraId="06D954B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57C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B8DA7C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2469442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75681FA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（六）优化空间布局。</w:t>
            </w:r>
          </w:p>
          <w:p w14:paraId="369305D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新建、改建、扩建重点行业建设项目实行主要污染物排放减量置换。</w:t>
            </w:r>
          </w:p>
        </w:tc>
        <w:tc>
          <w:tcPr>
            <w:tcW w:w="2021" w:type="pct"/>
            <w:vAlign w:val="center"/>
          </w:tcPr>
          <w:p w14:paraId="4153B73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哈密工业园区产业发展规划（2019-2035年）》取得批复，《哈密工业园区总体规划（2019-2035年）环境影响报告书》已取得审查意见。本项目符合《哈密工业园区产业发展规划（2019-2035年）》及《哈密工业园区总体规划（2019-2035年）环境影响报告书》相关要求</w:t>
            </w:r>
            <w:r>
              <w:rPr>
                <w:rFonts w:ascii="Times New Roman" w:hAnsi="Times New Roman" w:cs="Times New Roman"/>
                <w:color w:val="000000" w:themeColor="text1"/>
                <w:sz w:val="18"/>
                <w14:textFill>
                  <w14:solidFill>
                    <w14:schemeClr w14:val="tx1"/>
                  </w14:solidFill>
                </w14:textFill>
              </w:rPr>
              <w:t>。</w:t>
            </w:r>
          </w:p>
          <w:p w14:paraId="43A77B1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全部回用于生产</w:t>
            </w:r>
            <w:r>
              <w:rPr>
                <w:rFonts w:ascii="Times New Roman" w:hAnsi="Times New Roman" w:cs="Times New Roman"/>
                <w:color w:val="000000" w:themeColor="text1"/>
                <w:sz w:val="18"/>
                <w14:textFill>
                  <w14:solidFill>
                    <w14:schemeClr w14:val="tx1"/>
                  </w14:solidFill>
                </w14:textFill>
              </w:rPr>
              <w:t>。</w:t>
            </w:r>
          </w:p>
        </w:tc>
        <w:tc>
          <w:tcPr>
            <w:tcW w:w="212" w:type="pct"/>
            <w:vMerge w:val="continue"/>
            <w:vAlign w:val="center"/>
          </w:tcPr>
          <w:p w14:paraId="0B2AD6BD">
            <w:pPr>
              <w:pStyle w:val="184"/>
              <w:widowControl w:val="0"/>
              <w:autoSpaceDE w:val="0"/>
              <w:autoSpaceDN w:val="0"/>
              <w:adjustRightInd w:val="0"/>
              <w:spacing w:line="240" w:lineRule="auto"/>
              <w:rPr>
                <w:rFonts w:ascii="Times New Roman" w:hAnsi="Times New Roman" w:cs="Times New Roman"/>
                <w:color w:val="FF0000"/>
                <w:sz w:val="18"/>
              </w:rPr>
            </w:pPr>
          </w:p>
        </w:tc>
      </w:tr>
      <w:tr w14:paraId="51B7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E74A4C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7BE225A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2DCC77A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（七）推进循环发展。</w:t>
            </w:r>
          </w:p>
          <w:p w14:paraId="1817FE3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鼓励钢铁、纺织印染、造纸、石油石化、化工、制革等高耗水企业废水深度处理回用。</w:t>
            </w:r>
          </w:p>
        </w:tc>
        <w:tc>
          <w:tcPr>
            <w:tcW w:w="2021" w:type="pct"/>
            <w:vAlign w:val="center"/>
          </w:tcPr>
          <w:p w14:paraId="6B81548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全部回用于生产</w:t>
            </w:r>
            <w:r>
              <w:rPr>
                <w:rFonts w:ascii="Times New Roman" w:hAnsi="Times New Roman" w:cs="Times New Roman"/>
                <w:color w:val="000000" w:themeColor="text1"/>
                <w:sz w:val="18"/>
                <w14:textFill>
                  <w14:solidFill>
                    <w14:schemeClr w14:val="tx1"/>
                  </w14:solidFill>
                </w14:textFill>
              </w:rPr>
              <w:t>。</w:t>
            </w:r>
          </w:p>
          <w:p w14:paraId="5B95C91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（2）本项目采用空冷、闭式循环等节水技术减少新鲜水用量。</w:t>
            </w:r>
          </w:p>
        </w:tc>
        <w:tc>
          <w:tcPr>
            <w:tcW w:w="212" w:type="pct"/>
            <w:vMerge w:val="continue"/>
            <w:vAlign w:val="center"/>
          </w:tcPr>
          <w:p w14:paraId="1C505ACA">
            <w:pPr>
              <w:pStyle w:val="184"/>
              <w:widowControl w:val="0"/>
              <w:autoSpaceDE w:val="0"/>
              <w:autoSpaceDN w:val="0"/>
              <w:adjustRightInd w:val="0"/>
              <w:spacing w:line="240" w:lineRule="auto"/>
              <w:rPr>
                <w:rFonts w:ascii="Times New Roman" w:hAnsi="Times New Roman" w:cs="Times New Roman"/>
                <w:color w:val="FF0000"/>
                <w:sz w:val="18"/>
              </w:rPr>
            </w:pPr>
          </w:p>
        </w:tc>
      </w:tr>
      <w:tr w14:paraId="77E4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0E59292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0D8BFB8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4E3D65C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（八）控制用水总量。</w:t>
            </w:r>
          </w:p>
          <w:p w14:paraId="24754C5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新建、改建、扩建项目用水要达到行业先进水平，节水设施应与主体工程同时设计、同时施工、同时投运。</w:t>
            </w:r>
          </w:p>
        </w:tc>
        <w:tc>
          <w:tcPr>
            <w:tcW w:w="2021" w:type="pct"/>
            <w:vAlign w:val="center"/>
          </w:tcPr>
          <w:p w14:paraId="42FDA9E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（1）本项目生产设施、环保设施与节水设施均与主体工程同时设计、同时施工、同时投运。</w:t>
            </w:r>
          </w:p>
        </w:tc>
        <w:tc>
          <w:tcPr>
            <w:tcW w:w="212" w:type="pct"/>
            <w:vMerge w:val="continue"/>
            <w:vAlign w:val="center"/>
          </w:tcPr>
          <w:p w14:paraId="186BBAAB">
            <w:pPr>
              <w:pStyle w:val="184"/>
              <w:widowControl w:val="0"/>
              <w:autoSpaceDE w:val="0"/>
              <w:autoSpaceDN w:val="0"/>
              <w:adjustRightInd w:val="0"/>
              <w:spacing w:line="240" w:lineRule="auto"/>
              <w:rPr>
                <w:rFonts w:ascii="Times New Roman" w:hAnsi="Times New Roman" w:cs="Times New Roman"/>
                <w:color w:val="FF0000"/>
                <w:sz w:val="18"/>
              </w:rPr>
            </w:pPr>
          </w:p>
        </w:tc>
      </w:tr>
      <w:tr w14:paraId="4D46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2417E6F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670" w:type="pct"/>
            <w:vAlign w:val="center"/>
          </w:tcPr>
          <w:p w14:paraId="44038F4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《土壤污染防治行动计划》（国发〔2016〕31号）</w:t>
            </w:r>
          </w:p>
        </w:tc>
        <w:tc>
          <w:tcPr>
            <w:tcW w:w="1956" w:type="pct"/>
            <w:gridSpan w:val="2"/>
            <w:vAlign w:val="center"/>
          </w:tcPr>
          <w:p w14:paraId="579C8DE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（八）切实加大保护力度。</w:t>
            </w:r>
          </w:p>
          <w:p w14:paraId="2BFDB5F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严格控制在优先保护类耕地集中区域新建有色金属冶炼、石油加工、化工、焦化、电镀、制革等行业企业，现有相关行业企业要采用新技术、新工艺，加快提标升级改造步伐。</w:t>
            </w:r>
          </w:p>
        </w:tc>
        <w:tc>
          <w:tcPr>
            <w:tcW w:w="2021" w:type="pct"/>
            <w:vAlign w:val="center"/>
          </w:tcPr>
          <w:p w14:paraId="3F3A5152">
            <w:pPr>
              <w:pStyle w:val="184"/>
              <w:widowControl w:val="0"/>
              <w:autoSpaceDE w:val="0"/>
              <w:autoSpaceDN w:val="0"/>
              <w:adjustRightInd w:val="0"/>
              <w:spacing w:line="240" w:lineRule="auto"/>
              <w:jc w:val="both"/>
              <w:rPr>
                <w:rFonts w:ascii="Times New Roman" w:hAnsi="Times New Roman" w:cs="Times New Roman"/>
                <w:bCs w:val="0"/>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（1）本项目位于哈密工业园区，不在生态保护红线范围内，不涉及优先保护类耕地集中区域；本项目采用的技术和工艺均属于新工艺。</w:t>
            </w:r>
          </w:p>
        </w:tc>
        <w:tc>
          <w:tcPr>
            <w:tcW w:w="212" w:type="pct"/>
            <w:vAlign w:val="center"/>
          </w:tcPr>
          <w:p w14:paraId="3B4E7E0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69A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2033636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w:t>
            </w:r>
          </w:p>
        </w:tc>
        <w:tc>
          <w:tcPr>
            <w:tcW w:w="670" w:type="pct"/>
            <w:vMerge w:val="restart"/>
            <w:vAlign w:val="center"/>
          </w:tcPr>
          <w:p w14:paraId="6E79247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《中共中央国务院关于深入打好污染防治攻坚战的意见》（2021年11月2日）</w:t>
            </w:r>
          </w:p>
        </w:tc>
        <w:tc>
          <w:tcPr>
            <w:tcW w:w="1956" w:type="pct"/>
            <w:gridSpan w:val="2"/>
            <w:vAlign w:val="center"/>
          </w:tcPr>
          <w:p w14:paraId="387885A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六）推动能源清洁低碳转型。在保障能源安全的前提下，加快煤炭减量步伐，实施可再生能源替代行动。“十四五”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增气减煤”同步，新增天然气优先保障居民生活和清洁取暖需求。提高电能占终端能源消费比重。重点区域的平原地区散煤基本清零。有序扩大清洁取暖试点城市范围，稳步提升北方地区清洁取暖水平。</w:t>
            </w:r>
          </w:p>
        </w:tc>
        <w:tc>
          <w:tcPr>
            <w:tcW w:w="2021" w:type="pct"/>
            <w:vAlign w:val="center"/>
          </w:tcPr>
          <w:p w14:paraId="02AB455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本项目不建设自备燃煤机组。</w:t>
            </w:r>
          </w:p>
        </w:tc>
        <w:tc>
          <w:tcPr>
            <w:tcW w:w="212" w:type="pct"/>
            <w:vMerge w:val="restart"/>
            <w:vAlign w:val="center"/>
          </w:tcPr>
          <w:p w14:paraId="7F8FB188">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054A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34C25B0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1F2AC50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46D675B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2021" w:type="pct"/>
            <w:vAlign w:val="center"/>
          </w:tcPr>
          <w:p w14:paraId="2C6DC55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（1）本项目位于哈密工业园区，不属于重点区域。</w:t>
            </w:r>
          </w:p>
          <w:p w14:paraId="0A3883BC">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（2）本项目已落实总量削减指标，符合污染物排放总量控制政策要求。</w:t>
            </w:r>
          </w:p>
        </w:tc>
        <w:tc>
          <w:tcPr>
            <w:tcW w:w="212" w:type="pct"/>
            <w:vMerge w:val="continue"/>
            <w:vAlign w:val="center"/>
          </w:tcPr>
          <w:p w14:paraId="352270B4">
            <w:pPr>
              <w:pStyle w:val="184"/>
              <w:widowControl w:val="0"/>
              <w:autoSpaceDE w:val="0"/>
              <w:autoSpaceDN w:val="0"/>
              <w:adjustRightInd w:val="0"/>
              <w:spacing w:line="240" w:lineRule="auto"/>
              <w:rPr>
                <w:rFonts w:ascii="Times New Roman" w:hAnsi="Times New Roman" w:cs="Times New Roman"/>
                <w:color w:val="FF0000"/>
                <w:sz w:val="18"/>
              </w:rPr>
            </w:pPr>
          </w:p>
        </w:tc>
      </w:tr>
      <w:tr w14:paraId="6CBC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7067B3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6EB0DD0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121CCB76">
            <w:pPr>
              <w:pStyle w:val="184"/>
              <w:widowControl w:val="0"/>
              <w:numPr>
                <w:ilvl w:val="0"/>
                <w:numId w:val="9"/>
              </w:numPr>
              <w:autoSpaceDE w:val="0"/>
              <w:autoSpaceDN w:val="0"/>
              <w:adjustRightInd w:val="0"/>
              <w:snapToGrid/>
              <w:spacing w:line="240" w:lineRule="auto"/>
              <w:ind w:hanging="432"/>
              <w:jc w:val="both"/>
              <w:textAlignment w:val="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推进清洁生产和能源资源节约高效利用。引导重点行业深入实施清洁生产改造，依法开展自愿性清洁生产评价认证。大力推行绿色制造，构建资源循环利用体系。推动煤炭等化石能源清洁高效利用。加强重点领域节能，提高能源使用效率。实施国家节水行动，强化农业节水增效、工业节水减排、城镇节水降损。推进污水资源化利用和海水淡化规模化利用。</w:t>
            </w:r>
          </w:p>
        </w:tc>
        <w:tc>
          <w:tcPr>
            <w:tcW w:w="2021" w:type="pct"/>
            <w:vAlign w:val="center"/>
          </w:tcPr>
          <w:p w14:paraId="75B6270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本项目采用先进的煤炭优质化加工技术，通过气化技术提取煤中有用的碳氢化合物，生产液氨，通过液氨生产草酰胺，继而生产有机缓释肥等化学品，</w:t>
            </w:r>
            <w:r>
              <w:rPr>
                <w:rFonts w:ascii="Times New Roman" w:hAnsi="Times New Roman" w:cs="Times New Roman"/>
                <w:color w:val="000000" w:themeColor="text1"/>
                <w:sz w:val="18"/>
                <w14:textFill>
                  <w14:solidFill>
                    <w14:schemeClr w14:val="tx1"/>
                  </w14:solidFill>
                </w14:textFill>
              </w:rPr>
              <w:t>属于煤制氮肥行业。</w:t>
            </w:r>
          </w:p>
          <w:p w14:paraId="680474C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（2）本项目生产设施、环保设施与节水设施均与主体工程同时设计、同时施工、同时投运。</w:t>
            </w:r>
          </w:p>
          <w:p w14:paraId="0E0222D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（3）本项目采用空气冷却、密闭式循环冷却水系统等节水技术，不断降低水资源消耗强度，提高利用效率。</w:t>
            </w:r>
          </w:p>
        </w:tc>
        <w:tc>
          <w:tcPr>
            <w:tcW w:w="212" w:type="pct"/>
            <w:vMerge w:val="continue"/>
            <w:vAlign w:val="center"/>
          </w:tcPr>
          <w:p w14:paraId="02FE3179">
            <w:pPr>
              <w:pStyle w:val="184"/>
              <w:widowControl w:val="0"/>
              <w:autoSpaceDE w:val="0"/>
              <w:autoSpaceDN w:val="0"/>
              <w:adjustRightInd w:val="0"/>
              <w:spacing w:line="240" w:lineRule="auto"/>
              <w:rPr>
                <w:rFonts w:ascii="Times New Roman" w:hAnsi="Times New Roman" w:cs="Times New Roman"/>
                <w:color w:val="FF0000"/>
                <w:sz w:val="18"/>
              </w:rPr>
            </w:pPr>
          </w:p>
        </w:tc>
      </w:tr>
      <w:tr w14:paraId="58E8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1E39F0C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7</w:t>
            </w:r>
          </w:p>
        </w:tc>
        <w:tc>
          <w:tcPr>
            <w:tcW w:w="670" w:type="pct"/>
            <w:vAlign w:val="center"/>
          </w:tcPr>
          <w:p w14:paraId="2FD69B6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《关于加强重点行业建设项目区域消减措施监督管理的通知》</w:t>
            </w:r>
          </w:p>
          <w:p w14:paraId="571445C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（环办环评〔2020〕36号）</w:t>
            </w:r>
          </w:p>
        </w:tc>
        <w:tc>
          <w:tcPr>
            <w:tcW w:w="1956" w:type="pct"/>
            <w:gridSpan w:val="2"/>
            <w:vAlign w:val="center"/>
          </w:tcPr>
          <w:p w14:paraId="3FC51C0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w:t>
            </w:r>
          </w:p>
        </w:tc>
        <w:tc>
          <w:tcPr>
            <w:tcW w:w="2021" w:type="pct"/>
            <w:vAlign w:val="center"/>
          </w:tcPr>
          <w:p w14:paraId="07D1691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本项目NOx、挥发性有机物（VOCs）等大气污染物总量指标</w:t>
            </w:r>
            <w:r>
              <w:rPr>
                <w:rFonts w:hint="eastAsia" w:ascii="Times New Roman" w:hAnsi="Times New Roman" w:cs="Times New Roman"/>
                <w:color w:val="000000" w:themeColor="text1"/>
                <w:sz w:val="18"/>
                <w14:textFill>
                  <w14:solidFill>
                    <w14:schemeClr w14:val="tx1"/>
                  </w14:solidFill>
                </w14:textFill>
              </w:rPr>
              <w:t>哈密市</w:t>
            </w:r>
            <w:r>
              <w:rPr>
                <w:rFonts w:ascii="Times New Roman" w:hAnsi="Times New Roman" w:cs="Times New Roman"/>
                <w:color w:val="000000" w:themeColor="text1"/>
                <w:sz w:val="18"/>
                <w14:textFill>
                  <w14:solidFill>
                    <w14:schemeClr w14:val="tx1"/>
                  </w14:solidFill>
                </w14:textFill>
              </w:rPr>
              <w:t>区域等量替代，大气污染物排放符合总量控制要求。</w:t>
            </w:r>
          </w:p>
        </w:tc>
        <w:tc>
          <w:tcPr>
            <w:tcW w:w="212" w:type="pct"/>
            <w:vAlign w:val="center"/>
          </w:tcPr>
          <w:p w14:paraId="07B8D5A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2918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7A4BA21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8</w:t>
            </w:r>
          </w:p>
        </w:tc>
        <w:tc>
          <w:tcPr>
            <w:tcW w:w="670" w:type="pct"/>
            <w:vAlign w:val="center"/>
          </w:tcPr>
          <w:p w14:paraId="42971CA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《关于印发〈环境影响评价与排污许可领域协同推进碳减排工作方案〉的通知》（环办环评函〔2021〕277号）</w:t>
            </w:r>
          </w:p>
        </w:tc>
        <w:tc>
          <w:tcPr>
            <w:tcW w:w="1956" w:type="pct"/>
            <w:gridSpan w:val="2"/>
            <w:vAlign w:val="center"/>
          </w:tcPr>
          <w:p w14:paraId="3A32547C">
            <w:pPr>
              <w:pStyle w:val="184"/>
              <w:widowControl w:val="0"/>
              <w:autoSpaceDE w:val="0"/>
              <w:autoSpaceDN w:val="0"/>
              <w:adjustRightInd w:val="0"/>
              <w:spacing w:line="240" w:lineRule="auto"/>
              <w:ind w:firstLine="420"/>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四、完善建设项目环境影响评价制度</w:t>
            </w:r>
          </w:p>
          <w:p w14:paraId="37DFE686">
            <w:pPr>
              <w:widowControl w:val="0"/>
              <w:autoSpaceDE w:val="0"/>
              <w:autoSpaceDN w:val="0"/>
              <w:adjustRightIn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组织开展试点，探索将碳排放纳入建设项目环境影响评价。印发《关于开展重点行业建设项目碳排放环境影响评价试点的通知》，2021-2022年，率先针对电力、石化、化工、钢铁、建材、有色等行业建设项目开展碳排放量核算和控制试点。分析确定建设项目二氧化碳产生的关键环节和主要类别，测算评估排放水平，结合能耗、工艺技术分析减排潜力，在环评工作中提出单位原料、产品或燃料碳排放强度或排放总量控制要求；根据国家制定的行业碳达峰方案，分别从原燃料清洁替代、节能降耗技术、余热余能利用、清洁运输方式等方面提出针对性的讲坛措施与控制要求。</w:t>
            </w:r>
          </w:p>
        </w:tc>
        <w:tc>
          <w:tcPr>
            <w:tcW w:w="2021" w:type="pct"/>
            <w:vAlign w:val="center"/>
          </w:tcPr>
          <w:p w14:paraId="239B757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（1）本项目根据工艺流程与排放环节，测算了项目二氧化碳排放水平，并提出减排措施及管理要求。</w:t>
            </w:r>
          </w:p>
          <w:p w14:paraId="1DF6982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（2）根据目前可能的二氧化碳减排途径，采用回收热能、副产蒸汽并回用生产的减排方案后，二氧化碳排放量减少，对于碳减排是有积极意义的。</w:t>
            </w:r>
          </w:p>
        </w:tc>
        <w:tc>
          <w:tcPr>
            <w:tcW w:w="212" w:type="pct"/>
            <w:vAlign w:val="center"/>
          </w:tcPr>
          <w:p w14:paraId="1837A09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3FE6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1D6F659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9</w:t>
            </w:r>
          </w:p>
        </w:tc>
        <w:tc>
          <w:tcPr>
            <w:tcW w:w="670" w:type="pct"/>
            <w:vAlign w:val="center"/>
          </w:tcPr>
          <w:p w14:paraId="559956E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关于印发《2020年挥发性有机物治理攻坚方案》的通知（环大气〔2020〕33号）</w:t>
            </w:r>
          </w:p>
        </w:tc>
        <w:tc>
          <w:tcPr>
            <w:tcW w:w="1956" w:type="pct"/>
            <w:gridSpan w:val="2"/>
            <w:vAlign w:val="center"/>
          </w:tcPr>
          <w:p w14:paraId="76A8B2B6">
            <w:pPr>
              <w:pStyle w:val="184"/>
              <w:widowControl w:val="0"/>
              <w:numPr>
                <w:ilvl w:val="0"/>
                <w:numId w:val="10"/>
              </w:numPr>
              <w:autoSpaceDE w:val="0"/>
              <w:autoSpaceDN w:val="0"/>
              <w:adjustRightInd w:val="0"/>
              <w:snapToGrid/>
              <w:spacing w:line="240" w:lineRule="auto"/>
              <w:jc w:val="both"/>
              <w:textAlignment w:val="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大力推进源头替代，有效减少VOCs产生</w:t>
            </w:r>
          </w:p>
          <w:p w14:paraId="40DCF08B">
            <w:pPr>
              <w:pStyle w:val="91"/>
              <w:widowControl w:val="0"/>
              <w:numPr>
                <w:ilvl w:val="0"/>
                <w:numId w:val="10"/>
              </w:numPr>
              <w:autoSpaceDE w:val="0"/>
              <w:autoSpaceDN w:val="0"/>
              <w:adjustRightInd w:val="0"/>
              <w:ind w:firstLineChars="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全面落实标准要求，强化无组织排放控制</w:t>
            </w:r>
          </w:p>
          <w:p w14:paraId="7704EB38">
            <w:pPr>
              <w:pStyle w:val="91"/>
              <w:widowControl w:val="0"/>
              <w:numPr>
                <w:ilvl w:val="0"/>
                <w:numId w:val="10"/>
              </w:numPr>
              <w:autoSpaceDE w:val="0"/>
              <w:autoSpaceDN w:val="0"/>
              <w:adjustRightInd w:val="0"/>
              <w:ind w:firstLineChars="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聚焦治污设施“三率”，提升综合治理效率</w:t>
            </w:r>
          </w:p>
        </w:tc>
        <w:tc>
          <w:tcPr>
            <w:tcW w:w="2021" w:type="pct"/>
            <w:vAlign w:val="center"/>
          </w:tcPr>
          <w:p w14:paraId="12C0C4A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（1）本项目严格开展挥发性有机物治理工作，密闭尾气系统收集泄漏的尾气并将其送至控制设施。</w:t>
            </w:r>
          </w:p>
          <w:p w14:paraId="0845C1B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（2）采用设备与管阀件泄漏检测与维修（LDAR）方法对识别出的泄漏设备进行检测和修复。</w:t>
            </w:r>
          </w:p>
          <w:p w14:paraId="772665E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（3）本项目环境管理与监测计划章节按与排污许可制度衔接要求，提出自行监测、信息公开、记录台账、定期报告等要求。</w:t>
            </w:r>
          </w:p>
        </w:tc>
        <w:tc>
          <w:tcPr>
            <w:tcW w:w="212" w:type="pct"/>
            <w:vAlign w:val="center"/>
          </w:tcPr>
          <w:p w14:paraId="171FF42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CFE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09D647D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10</w:t>
            </w:r>
          </w:p>
        </w:tc>
        <w:tc>
          <w:tcPr>
            <w:tcW w:w="670" w:type="pct"/>
            <w:vAlign w:val="center"/>
          </w:tcPr>
          <w:p w14:paraId="7C8E12E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《关于印发重点行业挥发性有机物综合治理方案的通知》（环大气〔2019〕53号）</w:t>
            </w:r>
          </w:p>
        </w:tc>
        <w:tc>
          <w:tcPr>
            <w:tcW w:w="1956" w:type="pct"/>
            <w:gridSpan w:val="2"/>
            <w:vAlign w:val="center"/>
          </w:tcPr>
          <w:p w14:paraId="71795E3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石化行业VOCs综合治理。全面加大石油炼制及有机化学品、合成树脂、合成纤维、合成橡胶等行业VOCs治理力度。重点加强密封点泄漏、废水和循环水系统、储罐、有机液体装卸、工艺废气等源项VOCs治理工作，确保稳定达标排放。重点区域要进一步加大其他源项治理力度，禁止熄灭火炬系统长明灯，设置视频监控装置；推进煤油、柴油等在线调和工作；非正常工况排放的VOCs，应吹扫至火炬系统或密闭收集处理；含VOCs废液废渣应密闭储存；防腐防水防锈涂装采用低VOCs含量涂料。</w:t>
            </w:r>
          </w:p>
          <w:p w14:paraId="582187C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深化LDAR工作。严格按照《石化企业泄漏检测与修复工作指南》规定，建立台账，开展泄漏检测、修复、质量控制、记录管理等工作。加强备用泵、在用泵、调节阀、搅拌器、开口管线等检测工作，强化质量控制；要将VOCs治理设施和储罐的密封点纳入检测计划中。参照《挥发性有机物无组织排放控制标准》有关设备与管线组件VOCs泄漏控制监督要求，对石化企业密封点泄漏加强监管。鼓励重点区域对泄漏量大的密封点实施包袋法检测，对不可达密封点采用红外法检测。</w:t>
            </w:r>
          </w:p>
          <w:p w14:paraId="1963B97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加强废水、循环水系统VOCs收集与处理。加大废水集输系统改造力度，重点区域现有企业通过采取密闭管道等措施逐步替代地漏、沟、渠、井等敞开式集输方式。全面加强废水系统高浓度VOCs废气收集与治理，集水井（池）、调节池、隔油池、气浮池、浓缩池等应采用密闭化工艺或密闭收集措施，配套建设燃烧等高效治污设施。生化池、曝气池等低浓度VOCs废气应密闭收集，实施脱臭等处理，确保达标排放。加强循环水监测，重点区域内石化企业每六个月至少开展一次循环水塔和含VOCs物料换热设备进出口总有机碳（TOC）或可吹扫有机碳（POC）监测工作，出口浓度大于进口浓度10%的，要溯源泄漏点并及时修复。</w:t>
            </w:r>
          </w:p>
          <w:p w14:paraId="21CFA71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强化储罐与有机液体装卸VOCs治理。加大中间储罐等治理力度，真实蒸气压大于等于5.2千帕（kPa）的，要严格按照有关规定采取有效控制措施。鼓励重点区域对真实蒸气压大于等于2.8kPa的有机液体采取控制措施。进一步加大挥发性有机液体装卸VOCs治理力度，重点区域推广油罐车底部装载方式，推进船舶装卸采用油气回收系统，试点开展火车运输底部装载工作。储罐和有机液体装卸采取末端治理措施的，要确保稳定运行。</w:t>
            </w:r>
          </w:p>
          <w:p w14:paraId="364AA79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深化工艺废气VOCs治理。有效实施催化剂再生废气、氧化尾气VOCs治理，加强酸性水罐、延迟焦化、合成橡胶、合成树脂、合成纤维等工艺过程尾气VOCs治理。推行全密闭生产工艺，加大无组织排放收集。鼓励企业将含VOCs废气送工艺加热炉、锅炉等直接燃烧处理，污染物排放满足石化行业相关排放标准要求。酸性水罐尾气应收集处理。推进重点区域延迟焦化装置实施密闭除焦（含冷焦水和切焦水密闭）改造。合成橡胶、合成树脂、合成纤维等推广使用密闭脱水、脱气、掺混等工艺和设备，配套建设高效治污设施。</w:t>
            </w:r>
          </w:p>
        </w:tc>
        <w:tc>
          <w:tcPr>
            <w:tcW w:w="2021" w:type="pct"/>
            <w:vAlign w:val="center"/>
          </w:tcPr>
          <w:p w14:paraId="690B9A6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严格开展挥发性有机物治理工作，制定和实施LDAR计划。本项目在污水收集暂存和处理系统采用加盖、臭气处理措施，在罐区与装卸区域采用内浮顶罐/球罐、液下装载、油气回收等措施可有效控制挥发性有机物（VOCs）的逸散与排放。</w:t>
            </w:r>
          </w:p>
          <w:p w14:paraId="7D2F3FC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（2）本项目环境管理与检测计划章节按与排污许可制度衔接要求，提出自行监测、信息公开、记录台账、定期报告等要求。</w:t>
            </w:r>
          </w:p>
          <w:p w14:paraId="18AD9CE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（3）本项目氮氧化物、挥发性有机物（VOCs）总量指标在</w:t>
            </w:r>
            <w:r>
              <w:rPr>
                <w:rFonts w:hint="eastAsia" w:ascii="Times New Roman" w:hAnsi="Times New Roman" w:cs="Times New Roman"/>
                <w:color w:val="000000" w:themeColor="text1"/>
                <w:sz w:val="18"/>
                <w14:textFill>
                  <w14:solidFill>
                    <w14:schemeClr w14:val="tx1"/>
                  </w14:solidFill>
                </w14:textFill>
              </w:rPr>
              <w:t>哈密市</w:t>
            </w:r>
            <w:r>
              <w:rPr>
                <w:rFonts w:ascii="Times New Roman" w:hAnsi="Times New Roman" w:cs="Times New Roman"/>
                <w:color w:val="000000" w:themeColor="text1"/>
                <w:sz w:val="18"/>
                <w14:textFill>
                  <w14:solidFill>
                    <w14:schemeClr w14:val="tx1"/>
                  </w14:solidFill>
                </w14:textFill>
              </w:rPr>
              <w:t>区域内等量替代。</w:t>
            </w:r>
          </w:p>
          <w:p w14:paraId="57689F4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（4）本项目采用先进工艺技术和污染控制技术最大限度减少污染物的排放，工艺废气排放</w:t>
            </w:r>
            <w:r>
              <w:rPr>
                <w:rFonts w:hint="eastAsia" w:ascii="Times New Roman" w:hAnsi="Times New Roman" w:cs="Times New Roman"/>
                <w:color w:val="000000" w:themeColor="text1"/>
                <w:sz w:val="18"/>
                <w14:textFill>
                  <w14:solidFill>
                    <w14:schemeClr w14:val="tx1"/>
                  </w14:solidFill>
                </w14:textFill>
              </w:rPr>
              <w:t>执行</w:t>
            </w:r>
            <w:r>
              <w:rPr>
                <w:rFonts w:ascii="Times New Roman" w:hAnsi="Times New Roman" w:cs="Times New Roman"/>
                <w:color w:val="000000" w:themeColor="text1"/>
                <w:sz w:val="18"/>
                <w14:textFill>
                  <w14:solidFill>
                    <w14:schemeClr w14:val="tx1"/>
                  </w14:solidFill>
                </w14:textFill>
              </w:rPr>
              <w:t>《大气污染物综合排放标准》（GB16297-1996）、《石油化学工业污染物排放标准》（GB31571-2015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含2024年修改单）、《恶臭污染物排放标准》（GB 14554-93）、《全面实施燃煤电厂超低排放和节能改造工作方案》超低排放浓度限值、《燃煤电厂烟气汞污染物排放标准》（DB/T3909-2016）排放限值标准。</w:t>
            </w:r>
          </w:p>
          <w:p w14:paraId="63B37FC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（5）全面加强精细化管理，确保稳定达标排放。本项目执行严格的污染物排放标准，采用技术属于排污许可推荐环境可行性技术，降低污染物排放。</w:t>
            </w:r>
          </w:p>
          <w:p w14:paraId="783A8B8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（6）本项目环境管理与检测计划章节按与排污许可制度衔接要求，提出自行监测、信息公开、记录台账、定期报告等要求。</w:t>
            </w:r>
          </w:p>
        </w:tc>
        <w:tc>
          <w:tcPr>
            <w:tcW w:w="212" w:type="pct"/>
            <w:vAlign w:val="center"/>
          </w:tcPr>
          <w:p w14:paraId="790697E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26DD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Align w:val="center"/>
          </w:tcPr>
          <w:p w14:paraId="0D92751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11</w:t>
            </w:r>
          </w:p>
        </w:tc>
        <w:tc>
          <w:tcPr>
            <w:tcW w:w="670" w:type="pct"/>
            <w:vAlign w:val="center"/>
          </w:tcPr>
          <w:p w14:paraId="46A2F4F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《关于切实加强风险防范严格环境影响评价管理的通知》（环发〔2012〕98号）</w:t>
            </w:r>
          </w:p>
        </w:tc>
        <w:tc>
          <w:tcPr>
            <w:tcW w:w="1956" w:type="pct"/>
            <w:gridSpan w:val="2"/>
            <w:vAlign w:val="center"/>
          </w:tcPr>
          <w:p w14:paraId="749D242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四、进一步强化环境影响评价全过程监管</w:t>
            </w:r>
          </w:p>
          <w:p w14:paraId="4B81371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化工石化、有色冶炼、纸浆造纸等可能引发环境风险的项目，在符合国家产业政策和清洁生产水平要求、满足污染物排放标准以及污染物排放总量控制指标的前提下，必须在依法设立、环境保护基础设施齐全并经规划环评的产业园区内布设。在环境风险防控重点区域如居民集中、医院和学校附近、重要水源涵养生态功能区等，以及因环境污染导致环境质量不能稳定达标的区域内，禁止新建或扩建可能引发环境风险的项目。</w:t>
            </w:r>
          </w:p>
        </w:tc>
        <w:tc>
          <w:tcPr>
            <w:tcW w:w="2021" w:type="pct"/>
            <w:vAlign w:val="center"/>
          </w:tcPr>
          <w:p w14:paraId="372AA93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符合国家及地方产业政策、清洁生产达到国内先进水平，满足污染物达标排放及总量控制指标落实。哈密工业园区基本具备环境保护基础设施。本项目距离居民集中区均大于3.0km，符合环境风险要求，周边无学校、医院及重要水源涵养生态功能区</w:t>
            </w:r>
            <w:r>
              <w:rPr>
                <w:rFonts w:hint="eastAsia" w:ascii="Times New Roman" w:hAnsi="Times New Roman" w:cs="Times New Roman"/>
                <w:color w:val="000000" w:themeColor="text1"/>
                <w:sz w:val="18"/>
                <w14:textFill>
                  <w14:solidFill>
                    <w14:schemeClr w14:val="tx1"/>
                  </w14:solidFill>
                </w14:textFill>
              </w:rPr>
              <w:t>。项目所在区域，2023年为达标区。</w:t>
            </w:r>
          </w:p>
        </w:tc>
        <w:tc>
          <w:tcPr>
            <w:tcW w:w="212" w:type="pct"/>
            <w:vAlign w:val="center"/>
          </w:tcPr>
          <w:p w14:paraId="7AABAB7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5E6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1776443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12</w:t>
            </w:r>
          </w:p>
        </w:tc>
        <w:tc>
          <w:tcPr>
            <w:tcW w:w="670" w:type="pct"/>
            <w:vMerge w:val="restart"/>
            <w:vAlign w:val="center"/>
          </w:tcPr>
          <w:p w14:paraId="2F23FE8C">
            <w:pPr>
              <w:widowControl w:val="0"/>
              <w:autoSpaceDE w:val="0"/>
              <w:autoSpaceDN w:val="0"/>
              <w:adjustRightIn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《石化行业挥发性有机物综合整治方案》</w:t>
            </w:r>
          </w:p>
          <w:p w14:paraId="12E91169">
            <w:pPr>
              <w:widowControl w:val="0"/>
              <w:autoSpaceDE w:val="0"/>
              <w:autoSpaceDN w:val="0"/>
              <w:adjustRightIn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（环发〔2014〕177号）</w:t>
            </w:r>
          </w:p>
        </w:tc>
        <w:tc>
          <w:tcPr>
            <w:tcW w:w="1956" w:type="pct"/>
            <w:gridSpan w:val="2"/>
            <w:vAlign w:val="center"/>
          </w:tcPr>
          <w:p w14:paraId="124DA6B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二）严格建设项目环境准入。各级环境保护主管部门结合主体功能区划、环境功能区划、城市总体规划等要求，优化调整石化产业布局。加强产业政策的引导与约束，加快淘汰落后产品、技术和工艺装备。新、改、扩建石化项目应在设计和建设中选用先进的清洁生产和密闭化工艺，提高设计标准，实现设备、装置、管线、采样等密闭化，从源头减少VOCs泄漏环节，工艺、储存、装卸、废水废液废渣处理等环节应采取高效的有机废气回收与治理措施，满足国家及地方的达标排放和环境质量要求。</w:t>
            </w:r>
          </w:p>
        </w:tc>
        <w:tc>
          <w:tcPr>
            <w:tcW w:w="2021" w:type="pct"/>
            <w:vAlign w:val="center"/>
          </w:tcPr>
          <w:p w14:paraId="48025FF9">
            <w:pPr>
              <w:pStyle w:val="557"/>
            </w:pPr>
            <w:r>
              <w:t>（1）本项目大气污染物执行《大气污染物综合排放标准》（GB16297-1996）、《石油化学工业污染物排放标准》（GB31571-2015</w:t>
            </w:r>
            <w:r>
              <w:rPr>
                <w:rFonts w:hint="eastAsia"/>
              </w:rPr>
              <w:t>，</w:t>
            </w:r>
            <w:r>
              <w:t>含2024年修改单）、《恶臭污染物排放标准》（GB 14554-93）排放限值标准。</w:t>
            </w:r>
          </w:p>
          <w:p w14:paraId="1E28BFF5">
            <w:pPr>
              <w:pStyle w:val="557"/>
            </w:pPr>
            <w:r>
              <w:t>（2）本项目严格控制生产工艺过程及相关物料储存、输送等无组织排放，煤粉采用密闭料仓储存，并配套袋式过滤器，原料煤采用封闭通廊输送；除尘灰采用真空罐车输送；设备动静密封点采用设备与管线泄漏检测与修复（LDAR）控制措施，有机液体储存和装卸设油气回收设施，污水收集暂存和处理系统采用密闭管道输送，废水暂存、处理设施采取加盖封闭，备煤储煤均采用密闭料仓，配套袋式过滤器，厂区无组织排放满足《石油化学工业污染物排放标准》（GB31571-2015</w:t>
            </w:r>
            <w:r>
              <w:rPr>
                <w:rFonts w:hint="eastAsia"/>
              </w:rPr>
              <w:t>，</w:t>
            </w:r>
            <w:r>
              <w:t>含2024年修改单）、《大气污染物综合排放标准》（GB16297-1996）及《恶臭污染物排放标准》（</w:t>
            </w:r>
            <w:r>
              <w:rPr>
                <w:rFonts w:eastAsia="TimesNewRoman"/>
              </w:rPr>
              <w:t>GB14554-93</w:t>
            </w:r>
            <w:r>
              <w:t>）；厂内VOC</w:t>
            </w:r>
            <w:r>
              <w:rPr>
                <w:vertAlign w:val="subscript"/>
              </w:rPr>
              <w:t>S</w:t>
            </w:r>
            <w:r>
              <w:t>无组织排放执行《挥发性有机物无组织排放控制标准》（GB37822-2019）。</w:t>
            </w:r>
          </w:p>
        </w:tc>
        <w:tc>
          <w:tcPr>
            <w:tcW w:w="212" w:type="pct"/>
            <w:vMerge w:val="restart"/>
            <w:vAlign w:val="center"/>
          </w:tcPr>
          <w:p w14:paraId="1C58CE15">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757A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F3A009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7F34D89F">
            <w:pPr>
              <w:widowControl w:val="0"/>
              <w:autoSpaceDE w:val="0"/>
              <w:autoSpaceDN w:val="0"/>
              <w:adjustRightInd w:val="0"/>
              <w:jc w:val="center"/>
              <w:rPr>
                <w:rFonts w:ascii="Times New Roman" w:hAnsi="Times New Roman" w:cs="Times New Roman"/>
                <w:color w:val="000000" w:themeColor="text1"/>
                <w:sz w:val="18"/>
                <w:szCs w:val="18"/>
                <w14:textFill>
                  <w14:solidFill>
                    <w14:schemeClr w14:val="tx1"/>
                  </w14:solidFill>
                </w14:textFill>
              </w:rPr>
            </w:pPr>
          </w:p>
        </w:tc>
        <w:tc>
          <w:tcPr>
            <w:tcW w:w="1956" w:type="pct"/>
            <w:gridSpan w:val="2"/>
            <w:vAlign w:val="center"/>
          </w:tcPr>
          <w:p w14:paraId="2967481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（四）实施VOCs全过程污染控制。</w:t>
            </w:r>
          </w:p>
          <w:p w14:paraId="7A449B3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1.大力推进清洁生产。企业应优先选用低挥发性原辅材料、先进密闭的生产工艺，强化生产、输送、进出料、干燥以及采样等易泄漏环节的密闭性，加强无组织废气的收集和有效处理。</w:t>
            </w:r>
          </w:p>
          <w:p w14:paraId="3502EA5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全面推行“泄漏检测与修复”。企业应建立“泄漏检测与修复”管理制度，细化工作程序、检测方法、检测频率、泄漏浓度限值、修复要求等关键要素，对密封点设置编号和标识，泄漏超标的密封点要及时修复。建立信息管理平台，全面分析泄漏点信息，对易泄漏环节制定针对性改进措施，通过源头控制减少VOCs泄漏排放。企业可通过自行组织、委托第三方或两者相结合的方式开展工作。</w:t>
            </w:r>
          </w:p>
          <w:p w14:paraId="4BE5CEE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加强有组织工艺废气治理。工艺废气应优先考虑生产系统内回收利用，难以回收利用的，应采用催化燃烧、热力焚烧等方式处理，处理效率应满足相关标准和要求。同时，应采取措施尽可能回收排入火炬系统的废气；火炬应按照相关要求设置规范的点火系统，确保通过火炬排放的VOCs点燃，并尽可能充分燃烧。</w:t>
            </w:r>
          </w:p>
          <w:p w14:paraId="4A40051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严格控制储存、装卸损失。挥发性有机液体储存设施应在符合安全等相关规范的前提下，采用压力罐、低温罐、高效密封的浮顶罐或安装顶空联通置换油气回收装置的拱顶罐，其中苯、甲苯、二甲苯等危险化学品应在内浮顶罐基础上安装油气回收装置等处理设施。挥发性有机液体装卸应采取全密闭、液下装载等方式，严禁喷溅式装载。汽油、石脑油、煤油等高挥发性有机液体和苯、甲苯、二甲苯等危险化学品的装卸过程应优先采用高效油气回收措施。运输相关产品应采用具备油气回收接口的车船。</w:t>
            </w:r>
          </w:p>
          <w:p w14:paraId="1510C0B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5.强化废水废液废渣系统逸散废气治理。废水废液废渣收集、储存、处理处置过程中，应对逸散VOCs和产生异味的主要环节采取有效的密闭与收集措施，确保废气经收集处理后达到相关标准要求，禁止稀释排放。</w:t>
            </w:r>
          </w:p>
          <w:p w14:paraId="3EBCFEA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加强非正常工况污染控制。制定开停车、检维修、生产异常等非正常工况的操作规程和污染控制措施。企业的开停车、检维修等计划性操作应在实施前向环境保护主管部门备案，实施过程中加强环境监管，事后进行评估；非计划性操作应严格控制污染，杜绝事故性排放，事后及时评估并向环境保护主管部门报告。企业应及时向社会公开非正常工况相关环境信息，接受社会监督。</w:t>
            </w:r>
          </w:p>
          <w:p w14:paraId="7381F08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为避免形成二次污染，催化燃烧、热力焚烧等产生的废气以及</w:t>
            </w:r>
          </w:p>
          <w:p w14:paraId="5AF6780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吸附、吸收、冷凝等产生的有机废水应处理后达标排放，更换吸附剂等过程应做好操作信息记录，废吸附剂应按相关要求妥善处置。</w:t>
            </w:r>
          </w:p>
        </w:tc>
        <w:tc>
          <w:tcPr>
            <w:tcW w:w="2021" w:type="pct"/>
            <w:vAlign w:val="center"/>
          </w:tcPr>
          <w:p w14:paraId="3C66F1D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项目制定和实施泄漏检测与修复（LDAR）计划，实施VOCs全过程污染控制。严格按照《石化企业泄漏检测与修复工作指南》开展LDAR工作，建立LDAR信息管理平台，全厂所有动静密封点检测数据、检测设备信息、检修人员等信息传输至平台，实现检测计划、进度、数据以及泄漏修复的查询、分析和统计功能。</w:t>
            </w:r>
          </w:p>
          <w:p w14:paraId="5457B9E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（2）清洁生产达到国内先进水平，采用先进工艺技术和污染控制技术最大限度减少污染物的排放。</w:t>
            </w:r>
          </w:p>
          <w:p w14:paraId="448326E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（4）本项目生产废水、生活污水等经厂内污水处理站、回用水站处理后，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全部回用于生产</w:t>
            </w:r>
            <w:r>
              <w:rPr>
                <w:rFonts w:ascii="Times New Roman" w:hAnsi="Times New Roman" w:cs="Times New Roman"/>
                <w:color w:val="000000" w:themeColor="text1"/>
                <w:sz w:val="18"/>
                <w14:textFill>
                  <w14:solidFill>
                    <w14:schemeClr w14:val="tx1"/>
                  </w14:solidFill>
                </w14:textFill>
              </w:rPr>
              <w:t>。</w:t>
            </w:r>
          </w:p>
          <w:p w14:paraId="7679871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（5）本项目严格按照《挥发性有机物无组织排放控制标准》（GB37822-2019）、《石油化学工业污染物排放标准》（GB31571-2015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、《关于印发重点行业挥发性有机物综合治理方案的通知》（环大气〔2019〕53号）、《石化行业挥发性有机物治理实用手册</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石化行业挥发性有机物综合整治方案》（环发（2014）177号）等相关规定开展挥发性有机物治理工作，制定和实施LDAR计划。本项目在污水收集暂存和处理系统采用加盖、臭气处理措施，在罐区与装卸区域采用内浮顶罐/球罐、液下装载、油气回收等措施可有效控制挥发性有机物（VOCs）、恶臭物质及有毒有害污染物的逸散与排放。</w:t>
            </w:r>
          </w:p>
          <w:p w14:paraId="2F41AA7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企业应制定开停车、检维修、生产异常等非正常工况的操作规程和污染控制措施。企业的开停车、检维修等计划性操作应在实施前向环境保护主管部门备案，实施过程中加强环境监管，事后进行评估；非计划性操作应严格控制污染，杜绝事故性排放，事后及时评估并向环境保护主管部门报告。企业应及时向社会公开非正常工况相关环境信息，接受社会监督。</w:t>
            </w:r>
          </w:p>
        </w:tc>
        <w:tc>
          <w:tcPr>
            <w:tcW w:w="212" w:type="pct"/>
            <w:vMerge w:val="continue"/>
            <w:vAlign w:val="center"/>
          </w:tcPr>
          <w:p w14:paraId="0535A154">
            <w:pPr>
              <w:pStyle w:val="184"/>
              <w:widowControl w:val="0"/>
              <w:autoSpaceDE w:val="0"/>
              <w:autoSpaceDN w:val="0"/>
              <w:adjustRightInd w:val="0"/>
              <w:spacing w:line="240" w:lineRule="auto"/>
              <w:rPr>
                <w:rFonts w:ascii="Times New Roman" w:hAnsi="Times New Roman" w:cs="Times New Roman"/>
                <w:color w:val="FF0000"/>
                <w:sz w:val="18"/>
              </w:rPr>
            </w:pPr>
          </w:p>
        </w:tc>
      </w:tr>
      <w:tr w14:paraId="05F8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00D4FF9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065E439D">
            <w:pPr>
              <w:widowControl w:val="0"/>
              <w:autoSpaceDE w:val="0"/>
              <w:autoSpaceDN w:val="0"/>
              <w:adjustRightInd w:val="0"/>
              <w:jc w:val="center"/>
              <w:rPr>
                <w:rFonts w:ascii="Times New Roman" w:hAnsi="Times New Roman" w:cs="Times New Roman"/>
                <w:color w:val="000000" w:themeColor="text1"/>
                <w:sz w:val="18"/>
                <w:szCs w:val="18"/>
                <w14:textFill>
                  <w14:solidFill>
                    <w14:schemeClr w14:val="tx1"/>
                  </w14:solidFill>
                </w14:textFill>
              </w:rPr>
            </w:pPr>
          </w:p>
        </w:tc>
        <w:tc>
          <w:tcPr>
            <w:tcW w:w="1956" w:type="pct"/>
            <w:gridSpan w:val="2"/>
            <w:vAlign w:val="center"/>
          </w:tcPr>
          <w:p w14:paraId="695485E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五）建立VOCs管理体系。企业应将VOCs的治理与监控纳入日常生产管理体系。建立基础数据与过程管理的动态档案、VOCs污染防治设施运行台账，制定“泄漏检测与修复”、监测和治理等方面的管理制度，制定突发性VOCs泄漏防范和处置措施，纳入企业应急预案。有组织废气（如工艺废气、燃烧烟气、VOCs处理设施排放废气和火炬系统等）排放应逐步安装在线连续监控系统，厂界安装特征污染物环境监测设施，并与当地环境保护主管部门联网。企业应在污染源归类的基础上对VOCs排放和削减情况进行统计，按年度估算各类污染源排放量，通过现场监测或物料衡算等方法分析各类污染源VOCs物质成分，定期向当地环境保护主管部门报送VOCs排放和削减情况。VOCs排放和削减情况暂以总挥发性有机物计，并附VOCs和有毒有害物质清单；自2017年起应分别明确VOCs和有毒有害物质每种物质的排放量。有组织排放应明确排气筒（烟囱）数量、位置，污染物种类、排放量、浓度、排放规律和估算方法、达标排放情况等基本信息；无组织排放应明确排放位置、排放规律、排放量估算方法、厂界监测数据及达标排放情况等基本信息。VOCs污染治理设施应明确年度运行情况、处理效率、排放浓度和削减量等。企业报送信息应按相关要求向社会公开，接受社会监督。</w:t>
            </w:r>
          </w:p>
        </w:tc>
        <w:tc>
          <w:tcPr>
            <w:tcW w:w="2021" w:type="pct"/>
            <w:vAlign w:val="center"/>
          </w:tcPr>
          <w:p w14:paraId="6AA19FC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（1）本项目建立VOCs管理体系，将VOCs的治理与监控纳入日常生产管理体系。</w:t>
            </w:r>
          </w:p>
          <w:p w14:paraId="557C74D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（2）环境管理与监测计划章节按与排污许可制度衔接要求，提出自行监测、信息公开、记录台账、定期报告等要求。</w:t>
            </w:r>
          </w:p>
          <w:p w14:paraId="229BD94A">
            <w:pPr>
              <w:widowControl w:val="0"/>
              <w:autoSpaceDE w:val="0"/>
              <w:autoSpaceDN w:val="0"/>
              <w:adjustRightInd w:val="0"/>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（3）企业制定《突发环境事件应急预案》，做好与园区环境风险应急预案的衔接。</w:t>
            </w:r>
          </w:p>
          <w:p w14:paraId="4FEBBCA8">
            <w:pPr>
              <w:widowControl w:val="0"/>
              <w:autoSpaceDE w:val="0"/>
              <w:autoSpaceDN w:val="0"/>
              <w:adjustRightIn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本项目严格控制生产工艺过程及相关物料储存、输送等无组织排放，煤粉采用密闭料仓储存，并配套袋式过滤器，原料煤采用封闭通廊输送；除尘灰采用真空罐车输送，设备动静密封点采用设备与管线泄漏检测与修复（LDAR）控制措施，有机液体储存和装卸设油气回收设施，污水收集暂存和处理系统采用密闭管道输送，废水暂存、处理设施采取加盖封闭，备煤储煤均采用密闭料仓，配套袋式过滤器，厂区无组织排放满足《石油化学工业污染物排放标准》</w:t>
            </w:r>
            <w:r>
              <w:rPr>
                <w:rFonts w:ascii="Times New Roman" w:hAnsi="Times New Roman" w:cs="Times New Roman"/>
                <w:color w:val="000000" w:themeColor="text1"/>
                <w:sz w:val="18"/>
                <w14:textFill>
                  <w14:solidFill>
                    <w14:schemeClr w14:val="tx1"/>
                  </w14:solidFill>
                </w14:textFill>
              </w:rPr>
              <w:t>（GB31571-2015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w:t>
            </w:r>
            <w:r>
              <w:rPr>
                <w:rStyle w:val="559"/>
              </w:rPr>
              <w:t>）《大气污染物综合排放标准》（GB16297-1996）及《恶臭污染物排放标准》（GB14554-93）；厂内VOC</w:t>
            </w:r>
            <w:r>
              <w:rPr>
                <w:rStyle w:val="559"/>
                <w:vertAlign w:val="subscript"/>
              </w:rPr>
              <w:t>S</w:t>
            </w:r>
            <w:r>
              <w:rPr>
                <w:rStyle w:val="559"/>
              </w:rPr>
              <w:t>无组织排放执行《挥发性有机物无组织</w:t>
            </w:r>
            <w:r>
              <w:rPr>
                <w:rFonts w:ascii="Times New Roman" w:hAnsi="Times New Roman" w:cs="Times New Roman"/>
                <w:color w:val="000000" w:themeColor="text1"/>
                <w:sz w:val="18"/>
                <w:szCs w:val="18"/>
                <w14:textFill>
                  <w14:solidFill>
                    <w14:schemeClr w14:val="tx1"/>
                  </w14:solidFill>
                </w14:textFill>
              </w:rPr>
              <w:t>排放控制标准》（GB37822-2019）。</w:t>
            </w:r>
          </w:p>
          <w:p w14:paraId="21B14B8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（5）本项目NOx、挥发性有机物（VOCs）等大气污染物总量指标在</w:t>
            </w:r>
            <w:r>
              <w:rPr>
                <w:rFonts w:hint="eastAsia" w:ascii="Times New Roman" w:hAnsi="Times New Roman" w:cs="Times New Roman"/>
                <w:color w:val="000000" w:themeColor="text1"/>
                <w:sz w:val="18"/>
                <w14:textFill>
                  <w14:solidFill>
                    <w14:schemeClr w14:val="tx1"/>
                  </w14:solidFill>
                </w14:textFill>
              </w:rPr>
              <w:t>哈密市</w:t>
            </w:r>
            <w:r>
              <w:rPr>
                <w:rFonts w:ascii="Times New Roman" w:hAnsi="Times New Roman" w:cs="Times New Roman"/>
                <w:color w:val="000000" w:themeColor="text1"/>
                <w:sz w:val="18"/>
                <w14:textFill>
                  <w14:solidFill>
                    <w14:schemeClr w14:val="tx1"/>
                  </w14:solidFill>
                </w14:textFill>
              </w:rPr>
              <w:t>区域内等量替代，大气污染物排放符合总量控制要求。</w:t>
            </w:r>
          </w:p>
          <w:p w14:paraId="29AB535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（6）项目设置在线监测系统并与环保部门联网。环境管理与监测计划章节按与排污许可制度衔接要求，提出自行监测、信息公开、记录台账、定期报告等要求。</w:t>
            </w:r>
          </w:p>
        </w:tc>
        <w:tc>
          <w:tcPr>
            <w:tcW w:w="212" w:type="pct"/>
            <w:vMerge w:val="continue"/>
            <w:vAlign w:val="center"/>
          </w:tcPr>
          <w:p w14:paraId="2CA9B7AE">
            <w:pPr>
              <w:pStyle w:val="184"/>
              <w:widowControl w:val="0"/>
              <w:autoSpaceDE w:val="0"/>
              <w:autoSpaceDN w:val="0"/>
              <w:adjustRightInd w:val="0"/>
              <w:spacing w:line="240" w:lineRule="auto"/>
              <w:rPr>
                <w:rFonts w:ascii="Times New Roman" w:hAnsi="Times New Roman" w:cs="Times New Roman"/>
                <w:color w:val="FF0000"/>
                <w:sz w:val="18"/>
              </w:rPr>
            </w:pPr>
          </w:p>
        </w:tc>
      </w:tr>
      <w:tr w14:paraId="52D4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243E3D9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13</w:t>
            </w:r>
          </w:p>
        </w:tc>
        <w:tc>
          <w:tcPr>
            <w:tcW w:w="670" w:type="pct"/>
            <w:vMerge w:val="restart"/>
            <w:vAlign w:val="center"/>
          </w:tcPr>
          <w:p w14:paraId="02CDD4A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《关于加强高耗能、高排放建设项目生态环境源头防控的指导意见》</w:t>
            </w:r>
          </w:p>
          <w:p w14:paraId="2D62C0E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（环环评〔2021〕45号）</w:t>
            </w:r>
          </w:p>
        </w:tc>
        <w:tc>
          <w:tcPr>
            <w:tcW w:w="1956" w:type="pct"/>
            <w:gridSpan w:val="2"/>
            <w:vAlign w:val="center"/>
          </w:tcPr>
          <w:p w14:paraId="408E983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w:t>
            </w:r>
          </w:p>
        </w:tc>
        <w:tc>
          <w:tcPr>
            <w:tcW w:w="2021" w:type="pct"/>
            <w:vAlign w:val="center"/>
          </w:tcPr>
          <w:p w14:paraId="3973297D">
            <w:pPr>
              <w:pStyle w:val="557"/>
            </w:pPr>
            <w:r>
              <w:t>（1）本项目位于哈密工业园区，为新建项目，属于“两高”项目中的石化、化工行业类别，哈密工业园区实施污染物排放总量控制、区域削减等环境管理要求。</w:t>
            </w:r>
          </w:p>
          <w:p w14:paraId="120B6546">
            <w:pPr>
              <w:pStyle w:val="557"/>
            </w:pPr>
            <w:r>
              <w:t>（2）</w:t>
            </w:r>
            <w:r>
              <w:rPr>
                <w:rFonts w:hint="eastAsia"/>
              </w:rPr>
              <w:t>《哈密工业园区产业发展规划（2019-2035年）》取得批复，《哈密工业园区总体规划（2019-2035年）环境影响报告书》已取得审查意见。本项目符合《哈密工业园区产业发展规划（2019-2035年）》及《哈密工业园区总体规划（2019-2035年）环境影响报告书》相关要求。</w:t>
            </w:r>
          </w:p>
        </w:tc>
        <w:tc>
          <w:tcPr>
            <w:tcW w:w="212" w:type="pct"/>
            <w:vMerge w:val="restart"/>
            <w:vAlign w:val="center"/>
          </w:tcPr>
          <w:p w14:paraId="5A38DF2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10D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F30E613">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21F74DA2">
            <w:pPr>
              <w:widowControl w:val="0"/>
              <w:autoSpaceDE w:val="0"/>
              <w:autoSpaceDN w:val="0"/>
              <w:adjustRightInd w:val="0"/>
              <w:jc w:val="center"/>
              <w:rPr>
                <w:rFonts w:ascii="Times New Roman" w:hAnsi="Times New Roman" w:cs="Times New Roman"/>
                <w:color w:val="FF0000"/>
                <w:sz w:val="18"/>
                <w:szCs w:val="18"/>
              </w:rPr>
            </w:pPr>
          </w:p>
        </w:tc>
        <w:tc>
          <w:tcPr>
            <w:tcW w:w="1956" w:type="pct"/>
            <w:gridSpan w:val="2"/>
            <w:vAlign w:val="center"/>
          </w:tcPr>
          <w:p w14:paraId="2769F47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2021" w:type="pct"/>
            <w:vAlign w:val="center"/>
          </w:tcPr>
          <w:p w14:paraId="26D3CD40">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本项目采用先进工艺技术和污染控制技术最大限度减少污染物的排放。本项目NOx、挥发性有机物（VOCs）等大气污染物总量指标在</w:t>
            </w:r>
            <w:r>
              <w:rPr>
                <w:rFonts w:hint="eastAsia" w:ascii="Times New Roman" w:hAnsi="Times New Roman" w:cs="Times New Roman"/>
                <w:color w:val="000000" w:themeColor="text1"/>
                <w:sz w:val="18"/>
                <w14:textFill>
                  <w14:solidFill>
                    <w14:schemeClr w14:val="tx1"/>
                  </w14:solidFill>
                </w14:textFill>
              </w:rPr>
              <w:t>哈密市</w:t>
            </w:r>
            <w:r>
              <w:rPr>
                <w:rFonts w:ascii="Times New Roman" w:hAnsi="Times New Roman" w:cs="Times New Roman"/>
                <w:color w:val="000000" w:themeColor="text1"/>
                <w:sz w:val="18"/>
                <w14:textFill>
                  <w14:solidFill>
                    <w14:schemeClr w14:val="tx1"/>
                  </w14:solidFill>
                </w14:textFill>
              </w:rPr>
              <w:t>区域内等量替代，大气污染物排放符合总量控制要求。</w:t>
            </w:r>
          </w:p>
        </w:tc>
        <w:tc>
          <w:tcPr>
            <w:tcW w:w="212" w:type="pct"/>
            <w:vMerge w:val="continue"/>
            <w:vAlign w:val="center"/>
          </w:tcPr>
          <w:p w14:paraId="2675D230">
            <w:pPr>
              <w:pStyle w:val="184"/>
              <w:widowControl w:val="0"/>
              <w:autoSpaceDE w:val="0"/>
              <w:autoSpaceDN w:val="0"/>
              <w:adjustRightInd w:val="0"/>
              <w:spacing w:line="240" w:lineRule="auto"/>
              <w:rPr>
                <w:rFonts w:ascii="Times New Roman" w:hAnsi="Times New Roman" w:cs="Times New Roman"/>
                <w:color w:val="FF0000"/>
                <w:sz w:val="18"/>
              </w:rPr>
            </w:pPr>
          </w:p>
        </w:tc>
      </w:tr>
      <w:tr w14:paraId="16D0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46A760D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14</w:t>
            </w:r>
          </w:p>
        </w:tc>
        <w:tc>
          <w:tcPr>
            <w:tcW w:w="670" w:type="pct"/>
            <w:vMerge w:val="restart"/>
            <w:vAlign w:val="center"/>
          </w:tcPr>
          <w:p w14:paraId="1E39D55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《新疆维吾尔自治区重点行业环境准入条件（2024年）》</w:t>
            </w:r>
          </w:p>
        </w:tc>
        <w:tc>
          <w:tcPr>
            <w:tcW w:w="1956" w:type="pct"/>
            <w:gridSpan w:val="2"/>
            <w:vAlign w:val="center"/>
          </w:tcPr>
          <w:p w14:paraId="2BBB4DC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建设单位应依法依规组织编制环境影响评价文件，并报具有审批权限的生态环境部门审批。</w:t>
            </w:r>
          </w:p>
        </w:tc>
        <w:tc>
          <w:tcPr>
            <w:tcW w:w="2021" w:type="pct"/>
            <w:vAlign w:val="center"/>
          </w:tcPr>
          <w:p w14:paraId="4BA3312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本环评依据《环境影响评价技术导则总纲》（HJ2.1-2016）及各环境要素环境影响评价技术导则，综合分析本项目建设的环境可行性，得出环境影响评价结论，规范编制环境影响报告书。</w:t>
            </w:r>
          </w:p>
        </w:tc>
        <w:tc>
          <w:tcPr>
            <w:tcW w:w="212" w:type="pct"/>
            <w:vMerge w:val="restart"/>
            <w:vAlign w:val="center"/>
          </w:tcPr>
          <w:p w14:paraId="4EA12338">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4BAB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6AF30B61">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09087E41">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25E03A6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2021" w:type="pct"/>
            <w:vAlign w:val="center"/>
          </w:tcPr>
          <w:p w14:paraId="262CB95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建设符合《产业结构调整指导目录（2024年版）》等国家、自治区相关产业政策、法律法规、条例等要求，未采用国家和自治区淘汰或禁止使用的工艺、技术和设备，采用的工艺、技术和设备符合相关要求。</w:t>
            </w:r>
          </w:p>
        </w:tc>
        <w:tc>
          <w:tcPr>
            <w:tcW w:w="212" w:type="pct"/>
            <w:vMerge w:val="continue"/>
            <w:vAlign w:val="center"/>
          </w:tcPr>
          <w:p w14:paraId="1CCEFC20">
            <w:pPr>
              <w:pStyle w:val="184"/>
              <w:widowControl w:val="0"/>
              <w:autoSpaceDE w:val="0"/>
              <w:autoSpaceDN w:val="0"/>
              <w:adjustRightInd w:val="0"/>
              <w:spacing w:line="240" w:lineRule="auto"/>
              <w:rPr>
                <w:rFonts w:ascii="Times New Roman" w:hAnsi="Times New Roman" w:cs="Times New Roman"/>
                <w:color w:val="FF0000"/>
                <w:sz w:val="18"/>
              </w:rPr>
            </w:pPr>
          </w:p>
        </w:tc>
      </w:tr>
      <w:tr w14:paraId="4BEB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7C908DB5">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5099592E">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25FF207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一切开发建设活动应符合国家、自治区主体功能区规划、自治区和各地颁布实施的国民经济发展规划、生态功能区划、国土空间规划、产业发展规划等相关规划及生态环境分区管控要求</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符合区域（流域）或产业规划环评及审查意见要求。</w:t>
            </w:r>
          </w:p>
        </w:tc>
        <w:tc>
          <w:tcPr>
            <w:tcW w:w="2021" w:type="pct"/>
            <w:vAlign w:val="center"/>
          </w:tcPr>
          <w:p w14:paraId="478C43A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本项目符合国家、自治区主体功能区规划、国民经济发展规划、产业发展规划、城乡总体规划、土地利用规划等相关规划要求。</w:t>
            </w:r>
          </w:p>
        </w:tc>
        <w:tc>
          <w:tcPr>
            <w:tcW w:w="212" w:type="pct"/>
            <w:vMerge w:val="continue"/>
            <w:vAlign w:val="center"/>
          </w:tcPr>
          <w:p w14:paraId="6B0C24C6">
            <w:pPr>
              <w:pStyle w:val="184"/>
              <w:widowControl w:val="0"/>
              <w:autoSpaceDE w:val="0"/>
              <w:autoSpaceDN w:val="0"/>
              <w:adjustRightInd w:val="0"/>
              <w:spacing w:line="240" w:lineRule="auto"/>
              <w:rPr>
                <w:rFonts w:ascii="Times New Roman" w:hAnsi="Times New Roman" w:cs="Times New Roman"/>
                <w:color w:val="FF0000"/>
                <w:sz w:val="18"/>
              </w:rPr>
            </w:pPr>
          </w:p>
        </w:tc>
      </w:tr>
      <w:tr w14:paraId="2CC2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2AA1B348">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18678E73">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57D09B9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禁止在自然保护区、世界自然遗产地、风景名胜区、自然公园（森林公园、地质公园、湿地公园、沙漠公园等）、重要湿地、饮用水水源保护区等依法划定禁止开发建设的环境敏感区</w:t>
            </w:r>
            <w:r>
              <w:rPr>
                <w:rFonts w:hint="eastAsia" w:ascii="Times New Roman" w:hAnsi="Times New Roman" w:cs="Times New Roman"/>
                <w:color w:val="000000" w:themeColor="text1"/>
                <w:sz w:val="18"/>
                <w14:textFill>
                  <w14:solidFill>
                    <w14:schemeClr w14:val="tx1"/>
                  </w14:solidFill>
                </w14:textFill>
              </w:rPr>
              <w:t>及其他</w:t>
            </w:r>
            <w:r>
              <w:rPr>
                <w:rFonts w:ascii="Times New Roman" w:hAnsi="Times New Roman" w:cs="Times New Roman"/>
                <w:color w:val="000000" w:themeColor="text1"/>
                <w:sz w:val="18"/>
                <w14:textFill>
                  <w14:solidFill>
                    <w14:schemeClr w14:val="tx1"/>
                  </w14:solidFill>
                </w14:textFill>
              </w:rPr>
              <w:t>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2021" w:type="pct"/>
            <w:vAlign w:val="center"/>
          </w:tcPr>
          <w:p w14:paraId="78ED79B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本项目在哈密工业园区内进行建设，不在禁止建设区域范围内。</w:t>
            </w:r>
          </w:p>
        </w:tc>
        <w:tc>
          <w:tcPr>
            <w:tcW w:w="212" w:type="pct"/>
            <w:vMerge w:val="continue"/>
            <w:vAlign w:val="center"/>
          </w:tcPr>
          <w:p w14:paraId="49646D54">
            <w:pPr>
              <w:pStyle w:val="184"/>
              <w:widowControl w:val="0"/>
              <w:autoSpaceDE w:val="0"/>
              <w:autoSpaceDN w:val="0"/>
              <w:adjustRightInd w:val="0"/>
              <w:spacing w:line="240" w:lineRule="auto"/>
              <w:rPr>
                <w:rFonts w:ascii="Times New Roman" w:hAnsi="Times New Roman" w:cs="Times New Roman"/>
                <w:color w:val="FF0000"/>
                <w:sz w:val="18"/>
              </w:rPr>
            </w:pPr>
          </w:p>
        </w:tc>
      </w:tr>
      <w:tr w14:paraId="3A8C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F0BD398">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13C15A32">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7BADD9D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建、扩建工业项目原则上应布置于依法合规设立、环境保护基础设施完善的产业园区、工业聚集区或规划矿区，并符合相关规划、规划环评及其审查意见要求；法律法规规章和政策另有规定的，从其规定。选址和厂区布置不合理的现有污染企业应根据相关要求，通过“搬迁、转产、停产”等方式限期整改，退城进园</w:t>
            </w:r>
          </w:p>
        </w:tc>
        <w:tc>
          <w:tcPr>
            <w:tcW w:w="2021" w:type="pct"/>
            <w:vAlign w:val="center"/>
          </w:tcPr>
          <w:p w14:paraId="578A4D3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本项目为新建项目，项目在哈密工业园区</w:t>
            </w:r>
            <w:r>
              <w:rPr>
                <w:rFonts w:hint="eastAsia" w:ascii="Times New Roman" w:hAnsi="Times New Roman" w:cs="Times New Roman"/>
                <w:color w:val="000000" w:themeColor="text1"/>
                <w:sz w:val="18"/>
                <w14:textFill>
                  <w14:solidFill>
                    <w14:schemeClr w14:val="tx1"/>
                  </w14:solidFill>
                </w14:textFill>
              </w:rPr>
              <w:t>内</w:t>
            </w:r>
            <w:r>
              <w:rPr>
                <w:rFonts w:ascii="Times New Roman" w:hAnsi="Times New Roman" w:cs="Times New Roman"/>
                <w:color w:val="000000" w:themeColor="text1"/>
                <w:sz w:val="18"/>
                <w14:textFill>
                  <w14:solidFill>
                    <w14:schemeClr w14:val="tx1"/>
                  </w14:solidFill>
                </w14:textFill>
              </w:rPr>
              <w:t>进行建设，不在禁止建设区域范围内。</w:t>
            </w:r>
          </w:p>
        </w:tc>
        <w:tc>
          <w:tcPr>
            <w:tcW w:w="212" w:type="pct"/>
            <w:vMerge w:val="continue"/>
            <w:vAlign w:val="center"/>
          </w:tcPr>
          <w:p w14:paraId="6FC02D0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1C00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05A584A">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64F9F708">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6486DA2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存在地下水和土壤污染途径的建设项目应采取分区防渗措施，防止地下水和土壤污染。存在环境风险的建设项目，提出有效的环境风险防范措施及环境风险应急预案编制原则和要求，纳入区域环境风险应急联动机制。</w:t>
            </w:r>
          </w:p>
        </w:tc>
        <w:tc>
          <w:tcPr>
            <w:tcW w:w="2021" w:type="pct"/>
            <w:vAlign w:val="center"/>
          </w:tcPr>
          <w:p w14:paraId="246CDC3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（1）本项目已采取分区防渗措施，防止地下水和土壤污染。</w:t>
            </w:r>
          </w:p>
          <w:p w14:paraId="7F4A25F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（2）本项目在平面布置、工艺及设备选择、自动控制、消防及火灾报警系统、可燃及有毒气体检测报警系统等方面采取风险防范措施。</w:t>
            </w:r>
          </w:p>
          <w:p w14:paraId="5A9E6C3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（3）本项目制定环境风险应急预案，防范有毒有害废气等非正常排放污染控制。</w:t>
            </w:r>
          </w:p>
          <w:p w14:paraId="0AAA2F8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（4）厂内根据《石油化工工程防渗技术规范》（GB50934-2013）进行防渗设计与建设。</w:t>
            </w:r>
          </w:p>
        </w:tc>
        <w:tc>
          <w:tcPr>
            <w:tcW w:w="212" w:type="pct"/>
            <w:vMerge w:val="continue"/>
            <w:vAlign w:val="center"/>
          </w:tcPr>
          <w:p w14:paraId="3DEF2F8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5C42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ECB4C90">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68450C8C">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3BFF47B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2021" w:type="pct"/>
            <w:vAlign w:val="center"/>
          </w:tcPr>
          <w:p w14:paraId="4B6E8CFF">
            <w:pPr>
              <w:pStyle w:val="557"/>
            </w:pPr>
            <w:r>
              <w:t>从工程的原辅材料和能耗、工艺技术、过程控制、设备、污染物综合利用、产品、管理和员工等方面进行清洁生产分析，本项目清洁生产水平达到国内现阶段清洁生产先进水平。</w:t>
            </w:r>
          </w:p>
        </w:tc>
        <w:tc>
          <w:tcPr>
            <w:tcW w:w="212" w:type="pct"/>
            <w:vMerge w:val="continue"/>
            <w:vAlign w:val="center"/>
          </w:tcPr>
          <w:p w14:paraId="6B23ECD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4729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73055C30">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670" w:type="pct"/>
            <w:vMerge w:val="continue"/>
            <w:vAlign w:val="center"/>
          </w:tcPr>
          <w:p w14:paraId="2FAE9ADE">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956" w:type="pct"/>
            <w:gridSpan w:val="2"/>
            <w:vAlign w:val="center"/>
          </w:tcPr>
          <w:p w14:paraId="5878132F">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拟进行新建、改建、扩建的项目，现有项目或设施未执行“三同时”制度，未通过工程竣工环境保护验收，未按照承诺实施居民搬迁等环境问题的，必须在先行解决全部遗留环境问题后方可实施。</w:t>
            </w:r>
          </w:p>
        </w:tc>
        <w:tc>
          <w:tcPr>
            <w:tcW w:w="2021" w:type="pct"/>
            <w:vAlign w:val="center"/>
          </w:tcPr>
          <w:p w14:paraId="1184D86E">
            <w:pPr>
              <w:pStyle w:val="557"/>
            </w:pPr>
            <w:r>
              <w:t>本项目为新建项目，建设严格执行“三同时”制度，无居民搬迁问题，无遗留环境问题。</w:t>
            </w:r>
          </w:p>
        </w:tc>
        <w:tc>
          <w:tcPr>
            <w:tcW w:w="212" w:type="pct"/>
            <w:vMerge w:val="continue"/>
            <w:vAlign w:val="center"/>
          </w:tcPr>
          <w:p w14:paraId="306FAC1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45FC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1DBA590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5</w:t>
            </w:r>
          </w:p>
        </w:tc>
        <w:tc>
          <w:tcPr>
            <w:tcW w:w="670" w:type="pct"/>
            <w:vMerge w:val="restart"/>
            <w:vAlign w:val="center"/>
          </w:tcPr>
          <w:p w14:paraId="10F66D5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《合成氨工业污染防治技术政策》</w:t>
            </w:r>
          </w:p>
        </w:tc>
        <w:tc>
          <w:tcPr>
            <w:tcW w:w="294" w:type="pct"/>
            <w:vAlign w:val="center"/>
          </w:tcPr>
          <w:p w14:paraId="58CE3A03">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总则</w:t>
            </w:r>
          </w:p>
        </w:tc>
        <w:tc>
          <w:tcPr>
            <w:tcW w:w="1662" w:type="pct"/>
            <w:vAlign w:val="center"/>
          </w:tcPr>
          <w:p w14:paraId="7A946BE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合成氨工业应遵循全过程污染防治的原则，实行清洁生产、末端治理、风险防范的综合防治技术路线。</w:t>
            </w:r>
          </w:p>
        </w:tc>
        <w:tc>
          <w:tcPr>
            <w:tcW w:w="2021" w:type="pct"/>
            <w:vAlign w:val="center"/>
          </w:tcPr>
          <w:p w14:paraId="2AFBEBC3">
            <w:pPr>
              <w:pStyle w:val="557"/>
              <w:jc w:val="both"/>
            </w:pPr>
            <w:r>
              <w:t>综合分析，本项目清洁生产水平可以达到清洁生产先进水平。</w:t>
            </w:r>
          </w:p>
        </w:tc>
        <w:tc>
          <w:tcPr>
            <w:tcW w:w="212" w:type="pct"/>
            <w:vAlign w:val="center"/>
          </w:tcPr>
          <w:p w14:paraId="1D905AE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EFA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735F85BA">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329A265C">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restart"/>
            <w:vAlign w:val="center"/>
          </w:tcPr>
          <w:p w14:paraId="5EBE5F94">
            <w:pPr>
              <w:pStyle w:val="557"/>
            </w:pPr>
            <w:r>
              <w:t>清洁生产</w:t>
            </w:r>
          </w:p>
        </w:tc>
        <w:tc>
          <w:tcPr>
            <w:tcW w:w="1662" w:type="pct"/>
            <w:vAlign w:val="top"/>
          </w:tcPr>
          <w:p w14:paraId="48658788">
            <w:pPr>
              <w:pStyle w:val="557"/>
              <w:jc w:val="both"/>
            </w:pPr>
            <w:r>
              <w:t>新建以煤为原料的合成氨生产项目应采用水煤浆、干煤粉等加压连续气化工艺；现有采用固定层间歇式煤气化工艺的合成氨生产企业扩建时，应采用加压连续气化工艺</w:t>
            </w:r>
          </w:p>
        </w:tc>
        <w:tc>
          <w:tcPr>
            <w:tcW w:w="2021" w:type="pct"/>
            <w:vAlign w:val="center"/>
          </w:tcPr>
          <w:p w14:paraId="7A0D5348">
            <w:pPr>
              <w:pStyle w:val="557"/>
              <w:jc w:val="both"/>
            </w:pPr>
            <w:r>
              <w:t>本项目采用干煤粉加压气化工艺。</w:t>
            </w:r>
          </w:p>
        </w:tc>
        <w:tc>
          <w:tcPr>
            <w:tcW w:w="212" w:type="pct"/>
            <w:vAlign w:val="center"/>
          </w:tcPr>
          <w:p w14:paraId="6C40DA0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2F50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2F1C5630">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6D234334">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7CD624F0">
            <w:pPr>
              <w:pStyle w:val="557"/>
            </w:pPr>
          </w:p>
        </w:tc>
        <w:tc>
          <w:tcPr>
            <w:tcW w:w="1662" w:type="pct"/>
            <w:vAlign w:val="top"/>
          </w:tcPr>
          <w:p w14:paraId="3E53FF8D">
            <w:pPr>
              <w:pStyle w:val="557"/>
              <w:jc w:val="both"/>
            </w:pPr>
            <w:r>
              <w:t>合成氨生产企业应采用一氧化碳低温、宽温耐硫变换及适宜于一氧化碳含量较高情况的等温变换工艺，淘汰一氧化碳常压变换及全中温变换（高温变换）工艺。</w:t>
            </w:r>
          </w:p>
        </w:tc>
        <w:tc>
          <w:tcPr>
            <w:tcW w:w="2021" w:type="pct"/>
            <w:vAlign w:val="center"/>
          </w:tcPr>
          <w:p w14:paraId="377FA182">
            <w:pPr>
              <w:pStyle w:val="557"/>
              <w:jc w:val="both"/>
            </w:pPr>
            <w:r>
              <w:t>本项目</w:t>
            </w:r>
            <w:r>
              <w:rPr>
                <w:rFonts w:hint="eastAsia"/>
              </w:rPr>
              <w:t>合成氨生产以电解水制得氢气及空分装置的氮气为原料</w:t>
            </w:r>
            <w:r>
              <w:t>。</w:t>
            </w:r>
          </w:p>
        </w:tc>
        <w:tc>
          <w:tcPr>
            <w:tcW w:w="212" w:type="pct"/>
            <w:vAlign w:val="center"/>
          </w:tcPr>
          <w:p w14:paraId="3663D78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3BD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3E0E3B3E">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43037CBC">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77D50F83">
            <w:pPr>
              <w:pStyle w:val="557"/>
            </w:pPr>
          </w:p>
        </w:tc>
        <w:tc>
          <w:tcPr>
            <w:tcW w:w="1662" w:type="pct"/>
            <w:vAlign w:val="top"/>
          </w:tcPr>
          <w:p w14:paraId="43C0FEEA">
            <w:pPr>
              <w:pStyle w:val="557"/>
              <w:jc w:val="both"/>
            </w:pPr>
            <w:r>
              <w:t>合成氨生产企业应根据生产工艺特点和实际条件选择低温甲醇洗、变压吸附法（PSA法）、聚乙二醇二甲醚法（NHD法）、甲基二乙醇胺法（MDEA法）、碳酸丙烯酯法（PC法）等原料气脱碳技术。</w:t>
            </w:r>
          </w:p>
        </w:tc>
        <w:tc>
          <w:tcPr>
            <w:tcW w:w="2021" w:type="pct"/>
            <w:vAlign w:val="center"/>
          </w:tcPr>
          <w:p w14:paraId="5E002741">
            <w:pPr>
              <w:pStyle w:val="557"/>
              <w:jc w:val="both"/>
            </w:pPr>
            <w:r>
              <w:t>本项目采用低温甲醇洗工艺。</w:t>
            </w:r>
          </w:p>
        </w:tc>
        <w:tc>
          <w:tcPr>
            <w:tcW w:w="212" w:type="pct"/>
            <w:vAlign w:val="center"/>
          </w:tcPr>
          <w:p w14:paraId="46EED70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6F9A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B0A9DE3">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0157CFA1">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20C515E1">
            <w:pPr>
              <w:pStyle w:val="557"/>
            </w:pPr>
          </w:p>
        </w:tc>
        <w:tc>
          <w:tcPr>
            <w:tcW w:w="1662" w:type="pct"/>
            <w:vAlign w:val="top"/>
          </w:tcPr>
          <w:p w14:paraId="43E509AB">
            <w:pPr>
              <w:pStyle w:val="557"/>
              <w:jc w:val="both"/>
            </w:pPr>
            <w:r>
              <w:t>合成氨生产企业宜选择的原料气精制技术包括：液氮洗涤法、醇烃化法、醇烷化法、甲烷化法等，应逐步淘汰铜氨液洗涤法原料气精制工艺。</w:t>
            </w:r>
          </w:p>
        </w:tc>
        <w:tc>
          <w:tcPr>
            <w:tcW w:w="2021" w:type="pct"/>
            <w:vAlign w:val="center"/>
          </w:tcPr>
          <w:p w14:paraId="44B0BB8D">
            <w:pPr>
              <w:pStyle w:val="557"/>
              <w:jc w:val="both"/>
            </w:pPr>
            <w:r>
              <w:t>本项目</w:t>
            </w:r>
            <w:r>
              <w:rPr>
                <w:rFonts w:hint="eastAsia"/>
              </w:rPr>
              <w:t>合成氨生产以电解水制得氢气及空分装置的氮气为原料</w:t>
            </w:r>
            <w:r>
              <w:t>。</w:t>
            </w:r>
          </w:p>
        </w:tc>
        <w:tc>
          <w:tcPr>
            <w:tcW w:w="212" w:type="pct"/>
            <w:vAlign w:val="center"/>
          </w:tcPr>
          <w:p w14:paraId="4B17EAE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3120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225FB03C">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4BF8C025">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20F016D2">
            <w:pPr>
              <w:pStyle w:val="557"/>
            </w:pPr>
          </w:p>
        </w:tc>
        <w:tc>
          <w:tcPr>
            <w:tcW w:w="1662" w:type="pct"/>
            <w:vAlign w:val="top"/>
          </w:tcPr>
          <w:p w14:paraId="35A845CA">
            <w:pPr>
              <w:pStyle w:val="557"/>
              <w:jc w:val="both"/>
            </w:pPr>
            <w:r>
              <w:t>新建尿素生产装置宜采用汽提工艺；对现有水溶液全循环法尿素装置进行改造时，应采用节能型技术。</w:t>
            </w:r>
          </w:p>
        </w:tc>
        <w:tc>
          <w:tcPr>
            <w:tcW w:w="2021" w:type="pct"/>
            <w:vAlign w:val="center"/>
          </w:tcPr>
          <w:p w14:paraId="138A2583">
            <w:pPr>
              <w:pStyle w:val="557"/>
              <w:jc w:val="both"/>
            </w:pPr>
            <w:r>
              <w:rPr>
                <w:rFonts w:hint="eastAsia"/>
              </w:rPr>
              <w:t>-</w:t>
            </w:r>
          </w:p>
        </w:tc>
        <w:tc>
          <w:tcPr>
            <w:tcW w:w="212" w:type="pct"/>
            <w:vAlign w:val="center"/>
          </w:tcPr>
          <w:p w14:paraId="35CDBEE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w:t>
            </w:r>
          </w:p>
        </w:tc>
      </w:tr>
      <w:tr w14:paraId="2EF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0E6E7B8">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75544E77">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restart"/>
            <w:vAlign w:val="center"/>
          </w:tcPr>
          <w:p w14:paraId="3E531627">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水污染防治</w:t>
            </w:r>
          </w:p>
        </w:tc>
        <w:tc>
          <w:tcPr>
            <w:tcW w:w="1662" w:type="pct"/>
            <w:vAlign w:val="center"/>
          </w:tcPr>
          <w:p w14:paraId="1485B7CD">
            <w:pPr>
              <w:pStyle w:val="557"/>
              <w:jc w:val="both"/>
            </w:pPr>
            <w:r>
              <w:t>合成氨生产企业应采取有效措施控制废水中氨氮、化学需氧量、总氮、总磷、悬浮物、氰化物、挥发酚、硫化物以及石油类等水污染物的排放，废水应分类收集、分质处理，企业应加强防渗措施，防止地下水污染。</w:t>
            </w:r>
          </w:p>
        </w:tc>
        <w:tc>
          <w:tcPr>
            <w:tcW w:w="2021" w:type="pct"/>
            <w:vAlign w:val="center"/>
          </w:tcPr>
          <w:p w14:paraId="68E900F2">
            <w:pPr>
              <w:pStyle w:val="557"/>
              <w:jc w:val="both"/>
            </w:pPr>
            <w:r>
              <w:t>本项目生产废水、生活污水等经厂内污水处理站、回用水站处理后</w:t>
            </w:r>
            <w:r>
              <w:rPr>
                <w:rFonts w:hint="eastAsia"/>
              </w:rPr>
              <w:t>，全部回用于生产</w:t>
            </w:r>
            <w:r>
              <w:t>。本项目全厂设置防渗措施。</w:t>
            </w:r>
          </w:p>
        </w:tc>
        <w:tc>
          <w:tcPr>
            <w:tcW w:w="212" w:type="pct"/>
            <w:vAlign w:val="center"/>
          </w:tcPr>
          <w:p w14:paraId="4DD63D1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996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0DE14CB6">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17488D21">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555AE881">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662" w:type="pct"/>
            <w:vAlign w:val="center"/>
          </w:tcPr>
          <w:p w14:paraId="1B967B93">
            <w:pPr>
              <w:pStyle w:val="557"/>
              <w:jc w:val="both"/>
            </w:pPr>
            <w:r>
              <w:t>合成氨生产企业宜采用循环冷却水超低排放技术、空冷节水技术、蒸发式冷凝冷却技术等，减少废水的产生和排放。</w:t>
            </w:r>
          </w:p>
        </w:tc>
        <w:tc>
          <w:tcPr>
            <w:tcW w:w="2021" w:type="pct"/>
            <w:vAlign w:val="center"/>
          </w:tcPr>
          <w:p w14:paraId="770F80A7">
            <w:pPr>
              <w:pStyle w:val="557"/>
              <w:jc w:val="both"/>
            </w:pPr>
            <w:r>
              <w:t>本项目采用循环冷却水超低排放技术、蒸发式冷凝冷却技术等，减少废水的产生和排放。</w:t>
            </w:r>
          </w:p>
        </w:tc>
        <w:tc>
          <w:tcPr>
            <w:tcW w:w="212" w:type="pct"/>
            <w:vAlign w:val="center"/>
          </w:tcPr>
          <w:p w14:paraId="28C7871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39D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6F4A1260">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07AFDA59">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00584A59">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662" w:type="pct"/>
            <w:vAlign w:val="center"/>
          </w:tcPr>
          <w:p w14:paraId="5628ECC8">
            <w:pPr>
              <w:pStyle w:val="557"/>
              <w:jc w:val="both"/>
            </w:pPr>
            <w:r>
              <w:t>合成氨生产过程应采用逐级提浓等技术措施回收氨。</w:t>
            </w:r>
          </w:p>
        </w:tc>
        <w:tc>
          <w:tcPr>
            <w:tcW w:w="2021" w:type="pct"/>
            <w:vAlign w:val="center"/>
          </w:tcPr>
          <w:p w14:paraId="7B109430">
            <w:pPr>
              <w:pStyle w:val="557"/>
              <w:jc w:val="both"/>
            </w:pPr>
            <w:r>
              <w:t>项目设多级氨冷、氨分提浓。</w:t>
            </w:r>
          </w:p>
        </w:tc>
        <w:tc>
          <w:tcPr>
            <w:tcW w:w="212" w:type="pct"/>
            <w:vAlign w:val="center"/>
          </w:tcPr>
          <w:p w14:paraId="4611F45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6090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2FD363D">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0716A824">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0B3D28B9">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662" w:type="pct"/>
            <w:vAlign w:val="center"/>
          </w:tcPr>
          <w:p w14:paraId="44500B29">
            <w:pPr>
              <w:pStyle w:val="557"/>
              <w:jc w:val="both"/>
            </w:pPr>
            <w:r>
              <w:t>新建、改扩建尿素生产装置应采用水解解吸工艺处理尿素工艺冷凝液；现有尿素生产企业宜进行水解解吸替代解吸工艺的技术改造；水解解吸废水经处理后可作为锅炉或循环冷却水系统补水。</w:t>
            </w:r>
          </w:p>
        </w:tc>
        <w:tc>
          <w:tcPr>
            <w:tcW w:w="2021" w:type="pct"/>
            <w:vAlign w:val="center"/>
          </w:tcPr>
          <w:p w14:paraId="4DC90873">
            <w:pPr>
              <w:pStyle w:val="557"/>
              <w:jc w:val="both"/>
            </w:pPr>
            <w:r>
              <w:rPr>
                <w:rFonts w:hint="eastAsia"/>
              </w:rPr>
              <w:t>-</w:t>
            </w:r>
          </w:p>
        </w:tc>
        <w:tc>
          <w:tcPr>
            <w:tcW w:w="212" w:type="pct"/>
            <w:vAlign w:val="center"/>
          </w:tcPr>
          <w:p w14:paraId="3455F47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w:t>
            </w:r>
          </w:p>
        </w:tc>
      </w:tr>
      <w:tr w14:paraId="17C7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2AE9DD45">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68DA66F2">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1DAC4BAD">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1662" w:type="pct"/>
            <w:vAlign w:val="center"/>
          </w:tcPr>
          <w:p w14:paraId="75DFE5B0">
            <w:pPr>
              <w:pStyle w:val="557"/>
              <w:jc w:val="both"/>
            </w:pPr>
            <w:r>
              <w:t>合成氨生产企业应建立生化处理和废水回用系统，提高氨氮、化学需氧量等重点污染物的排放控制水平。</w:t>
            </w:r>
          </w:p>
        </w:tc>
        <w:tc>
          <w:tcPr>
            <w:tcW w:w="2021" w:type="pct"/>
            <w:vAlign w:val="center"/>
          </w:tcPr>
          <w:p w14:paraId="297B99D5">
            <w:pPr>
              <w:pStyle w:val="557"/>
              <w:jc w:val="both"/>
            </w:pPr>
            <w:r>
              <w:t>本项目建设有污水处理站、回用水站，废水处理达标后废水回用。</w:t>
            </w:r>
          </w:p>
        </w:tc>
        <w:tc>
          <w:tcPr>
            <w:tcW w:w="212" w:type="pct"/>
            <w:vAlign w:val="center"/>
          </w:tcPr>
          <w:p w14:paraId="05C954D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123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6C81F2B6">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50493018">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restart"/>
            <w:vAlign w:val="center"/>
          </w:tcPr>
          <w:p w14:paraId="22C6EBDA">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大气污染防治</w:t>
            </w:r>
          </w:p>
        </w:tc>
        <w:tc>
          <w:tcPr>
            <w:tcW w:w="1662" w:type="pct"/>
            <w:vAlign w:val="center"/>
          </w:tcPr>
          <w:p w14:paraId="4452C996">
            <w:pPr>
              <w:pStyle w:val="557"/>
              <w:jc w:val="both"/>
            </w:pPr>
            <w:r>
              <w:t>合成氨生产企业应采取有效的污染控制技术措施，控制氨、硫化氢、颗粒物等大气污染物的排放。</w:t>
            </w:r>
          </w:p>
        </w:tc>
        <w:tc>
          <w:tcPr>
            <w:tcW w:w="2021" w:type="pct"/>
            <w:vAlign w:val="center"/>
          </w:tcPr>
          <w:p w14:paraId="370C4C98">
            <w:pPr>
              <w:pStyle w:val="557"/>
              <w:jc w:val="both"/>
            </w:pPr>
            <w:r>
              <w:t>本项目采取有效的污染控制技术措施，控制氨、硫化氢、颗粒物等大气污染物的排放。</w:t>
            </w:r>
          </w:p>
        </w:tc>
        <w:tc>
          <w:tcPr>
            <w:tcW w:w="212" w:type="pct"/>
            <w:vAlign w:val="center"/>
          </w:tcPr>
          <w:p w14:paraId="6DE3398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6344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7B971FDD">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6FAE4B3B">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0C8910A5">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662" w:type="pct"/>
            <w:vAlign w:val="center"/>
          </w:tcPr>
          <w:p w14:paraId="01504750">
            <w:pPr>
              <w:pStyle w:val="557"/>
              <w:jc w:val="both"/>
            </w:pPr>
            <w:r>
              <w:t>原料气脱硫脱碳再生工艺产生的含硫化氢酸性气体应回收利用</w:t>
            </w:r>
          </w:p>
        </w:tc>
        <w:tc>
          <w:tcPr>
            <w:tcW w:w="2021" w:type="pct"/>
            <w:vAlign w:val="center"/>
          </w:tcPr>
          <w:p w14:paraId="7FCC7278">
            <w:pPr>
              <w:pStyle w:val="557"/>
              <w:jc w:val="both"/>
            </w:pPr>
            <w:r>
              <w:t>项目设硫回收装置副产硫酸外售。</w:t>
            </w:r>
          </w:p>
        </w:tc>
        <w:tc>
          <w:tcPr>
            <w:tcW w:w="212" w:type="pct"/>
            <w:vAlign w:val="center"/>
          </w:tcPr>
          <w:p w14:paraId="61505E7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2E58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531918B7">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04D601C5">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210E9B84">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662" w:type="pct"/>
            <w:vAlign w:val="center"/>
          </w:tcPr>
          <w:p w14:paraId="4870CC3A">
            <w:pPr>
              <w:pStyle w:val="557"/>
              <w:jc w:val="both"/>
            </w:pPr>
            <w:r>
              <w:t>氨合成放空气、氨罐弛放气应回收氨和氢气，剩余含甲烷的尾气宜回收副产液化天然气产品或用作燃料气，不应直接排放。</w:t>
            </w:r>
          </w:p>
        </w:tc>
        <w:tc>
          <w:tcPr>
            <w:tcW w:w="2021" w:type="pct"/>
            <w:vAlign w:val="center"/>
          </w:tcPr>
          <w:p w14:paraId="2A57AC88">
            <w:pPr>
              <w:pStyle w:val="557"/>
              <w:jc w:val="both"/>
            </w:pPr>
            <w:r>
              <w:t>本项目将弛放气送往管网作为燃料气。</w:t>
            </w:r>
          </w:p>
        </w:tc>
        <w:tc>
          <w:tcPr>
            <w:tcW w:w="212" w:type="pct"/>
            <w:vAlign w:val="center"/>
          </w:tcPr>
          <w:p w14:paraId="0082A09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55A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9B0055D">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10CA761A">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42216CD8">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662" w:type="pct"/>
            <w:vAlign w:val="center"/>
          </w:tcPr>
          <w:p w14:paraId="17596ECE">
            <w:pPr>
              <w:pStyle w:val="557"/>
              <w:jc w:val="both"/>
            </w:pPr>
            <w:r>
              <w:t>尿素、硝酸铵造粒塔（机）排气中的颗粒物宜采用袋式除尘、湿式除尘等净化回收技术处理。</w:t>
            </w:r>
          </w:p>
        </w:tc>
        <w:tc>
          <w:tcPr>
            <w:tcW w:w="2021" w:type="pct"/>
            <w:vAlign w:val="center"/>
          </w:tcPr>
          <w:p w14:paraId="5CFC85D6">
            <w:pPr>
              <w:pStyle w:val="557"/>
              <w:jc w:val="both"/>
            </w:pPr>
            <w:r>
              <w:rPr>
                <w:rFonts w:hint="eastAsia"/>
              </w:rPr>
              <w:t>-</w:t>
            </w:r>
          </w:p>
        </w:tc>
        <w:tc>
          <w:tcPr>
            <w:tcW w:w="212" w:type="pct"/>
            <w:vAlign w:val="center"/>
          </w:tcPr>
          <w:p w14:paraId="5EA75B0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w:t>
            </w:r>
          </w:p>
        </w:tc>
      </w:tr>
      <w:tr w14:paraId="51C3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EB40E79">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7C9C04D5">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restart"/>
            <w:vAlign w:val="center"/>
          </w:tcPr>
          <w:p w14:paraId="08724729">
            <w:pPr>
              <w:pStyle w:val="557"/>
            </w:pPr>
            <w:r>
              <w:t>固体废物处置和综合利用</w:t>
            </w:r>
          </w:p>
        </w:tc>
        <w:tc>
          <w:tcPr>
            <w:tcW w:w="1662" w:type="pct"/>
            <w:vAlign w:val="center"/>
          </w:tcPr>
          <w:p w14:paraId="2320930A">
            <w:pPr>
              <w:pStyle w:val="557"/>
              <w:jc w:val="both"/>
            </w:pPr>
            <w:r>
              <w:t>煤气化炉渣应进行综合利用，热值回收后宜用于建材生产等</w:t>
            </w:r>
          </w:p>
        </w:tc>
        <w:tc>
          <w:tcPr>
            <w:tcW w:w="2021" w:type="pct"/>
            <w:vAlign w:val="center"/>
          </w:tcPr>
          <w:p w14:paraId="33B5A161">
            <w:pPr>
              <w:pStyle w:val="557"/>
              <w:jc w:val="both"/>
            </w:pPr>
            <w:r>
              <w:t>本项目气化粗渣优先综合利用，不能综合利用部分送一般固废填埋场。</w:t>
            </w:r>
          </w:p>
        </w:tc>
        <w:tc>
          <w:tcPr>
            <w:tcW w:w="212" w:type="pct"/>
            <w:vAlign w:val="center"/>
          </w:tcPr>
          <w:p w14:paraId="59FCC94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7C7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4E1D81D1">
            <w:pPr>
              <w:pStyle w:val="184"/>
              <w:widowControl w:val="0"/>
              <w:autoSpaceDE w:val="0"/>
              <w:autoSpaceDN w:val="0"/>
              <w:adjustRightInd w:val="0"/>
              <w:spacing w:line="240" w:lineRule="auto"/>
              <w:rPr>
                <w:rFonts w:ascii="Times New Roman" w:hAnsi="Times New Roman" w:cs="Times New Roman"/>
                <w:color w:val="FF0000"/>
                <w:sz w:val="18"/>
              </w:rPr>
            </w:pPr>
          </w:p>
        </w:tc>
        <w:tc>
          <w:tcPr>
            <w:tcW w:w="670" w:type="pct"/>
            <w:vMerge w:val="continue"/>
            <w:vAlign w:val="center"/>
          </w:tcPr>
          <w:p w14:paraId="5D09FE59">
            <w:pPr>
              <w:pStyle w:val="184"/>
              <w:widowControl w:val="0"/>
              <w:autoSpaceDE w:val="0"/>
              <w:autoSpaceDN w:val="0"/>
              <w:adjustRightInd w:val="0"/>
              <w:spacing w:line="240" w:lineRule="auto"/>
              <w:rPr>
                <w:rFonts w:ascii="Times New Roman" w:hAnsi="Times New Roman" w:cs="Times New Roman"/>
                <w:color w:val="FF0000"/>
                <w:sz w:val="18"/>
              </w:rPr>
            </w:pPr>
          </w:p>
        </w:tc>
        <w:tc>
          <w:tcPr>
            <w:tcW w:w="294" w:type="pct"/>
            <w:vMerge w:val="continue"/>
            <w:vAlign w:val="center"/>
          </w:tcPr>
          <w:p w14:paraId="636F8AD9">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1662" w:type="pct"/>
            <w:vAlign w:val="center"/>
          </w:tcPr>
          <w:p w14:paraId="492EA3F6">
            <w:pPr>
              <w:pStyle w:val="557"/>
            </w:pPr>
            <w:r>
              <w:t>废吸附剂、废催化剂的处理应按照国家固体废物污染防治相关管理政策执行。经鉴别属于危险废物的，其贮存、运输、利用、处置应符合国家危险废物管理的相关要求。</w:t>
            </w:r>
          </w:p>
        </w:tc>
        <w:tc>
          <w:tcPr>
            <w:tcW w:w="2021" w:type="pct"/>
            <w:vAlign w:val="center"/>
          </w:tcPr>
          <w:p w14:paraId="1D54FB3F">
            <w:pPr>
              <w:pStyle w:val="557"/>
              <w:jc w:val="both"/>
            </w:pPr>
            <w:r>
              <w:t>废吸附剂、废催化剂的处理按照国家固体废物污染防治相关管理政策执行。危险废物贮存、运输、利用、处置符合国家危险废物管理的相关要求。</w:t>
            </w:r>
          </w:p>
        </w:tc>
        <w:tc>
          <w:tcPr>
            <w:tcW w:w="212" w:type="pct"/>
            <w:vAlign w:val="center"/>
          </w:tcPr>
          <w:p w14:paraId="6037626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405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restart"/>
            <w:vAlign w:val="center"/>
          </w:tcPr>
          <w:p w14:paraId="527CCDE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16</w:t>
            </w:r>
          </w:p>
        </w:tc>
        <w:tc>
          <w:tcPr>
            <w:tcW w:w="670" w:type="pct"/>
            <w:vMerge w:val="restart"/>
            <w:vAlign w:val="center"/>
          </w:tcPr>
          <w:p w14:paraId="18F47D2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《关于加快解决当前挥发性有机物治理突出问题的通知》（环大气〔2021〕65号）</w:t>
            </w:r>
          </w:p>
        </w:tc>
        <w:tc>
          <w:tcPr>
            <w:tcW w:w="1956" w:type="pct"/>
            <w:gridSpan w:val="2"/>
            <w:vAlign w:val="center"/>
          </w:tcPr>
          <w:p w14:paraId="7672E1CA">
            <w:pPr>
              <w:pStyle w:val="557"/>
              <w:jc w:val="both"/>
            </w:pPr>
            <w:r>
              <w:t>企业应按照标准要求，根据储存挥发性有机液体的真实蒸气压、储罐容积等进行储罐和浮盘边缘密封方式选型。鼓励使用低泄漏的储罐呼吸阀、紧急泄压阀；固定顶罐或建设有机废气治理设施的内浮顶罐宜配备压力监测设备，罐内压力低于50%设计开启压力时，呼吸阀、紧急泄压阀泄漏检测值不宜超过2000μmol/mol。</w:t>
            </w:r>
          </w:p>
        </w:tc>
        <w:tc>
          <w:tcPr>
            <w:tcW w:w="2021" w:type="pct"/>
            <w:vAlign w:val="center"/>
          </w:tcPr>
          <w:p w14:paraId="304CF64C">
            <w:pPr>
              <w:pStyle w:val="557"/>
              <w:jc w:val="both"/>
            </w:pPr>
            <w:r>
              <w:t>本项目根据储存挥发性有机液体的真实</w:t>
            </w:r>
            <w:r>
              <w:rPr>
                <w:rFonts w:hint="eastAsia"/>
              </w:rPr>
              <w:t>蒸汽压</w:t>
            </w:r>
            <w:r>
              <w:t>、储罐容积等进行储罐和浮盘边缘密封方式选型。</w:t>
            </w:r>
          </w:p>
        </w:tc>
        <w:tc>
          <w:tcPr>
            <w:tcW w:w="212" w:type="pct"/>
            <w:vAlign w:val="center"/>
          </w:tcPr>
          <w:p w14:paraId="13919B7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76A0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6CB8812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7D401CD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1F9F7C96">
            <w:pPr>
              <w:pStyle w:val="557"/>
              <w:jc w:val="both"/>
            </w:pPr>
            <w:r>
              <w:t>石油炼制、石油化工企业用于集输、储存、处理含VOCs废水的设施应密闭；污水处理场集水井（池）、调节池、隔油池、气浮池、混入含油浮渣的浓缩池等产生的高浓度VOCs废气宜单独收集治理，采用预处理+催化氧化、焚烧等高效处理工艺。低浓度VOCs废气收集处理，确保达标排放。</w:t>
            </w:r>
          </w:p>
        </w:tc>
        <w:tc>
          <w:tcPr>
            <w:tcW w:w="2021" w:type="pct"/>
            <w:vAlign w:val="center"/>
          </w:tcPr>
          <w:p w14:paraId="447B528B">
            <w:pPr>
              <w:pStyle w:val="557"/>
              <w:jc w:val="both"/>
            </w:pPr>
            <w:r>
              <w:t>本项目设置生产废水处理站，设施密闭。污水处理站产生的低浓度VOCs废气经生物滴滤除臭处理后，非甲烷总烃可达到《石油化学工业污染物排放标准》（GB31571-2015</w:t>
            </w:r>
            <w:r>
              <w:rPr>
                <w:rFonts w:hint="eastAsia"/>
              </w:rPr>
              <w:t>，</w:t>
            </w:r>
            <w:r>
              <w:t>含2024年修改单）表5大气污染物排放限值要求。</w:t>
            </w:r>
          </w:p>
        </w:tc>
        <w:tc>
          <w:tcPr>
            <w:tcW w:w="212" w:type="pct"/>
            <w:vAlign w:val="center"/>
          </w:tcPr>
          <w:p w14:paraId="4A1A865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EB1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1" w:type="pct"/>
            <w:vMerge w:val="continue"/>
            <w:vAlign w:val="center"/>
          </w:tcPr>
          <w:p w14:paraId="130DDFF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670" w:type="pct"/>
            <w:vMerge w:val="continue"/>
            <w:vAlign w:val="center"/>
          </w:tcPr>
          <w:p w14:paraId="16555B3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1956" w:type="pct"/>
            <w:gridSpan w:val="2"/>
            <w:vAlign w:val="center"/>
          </w:tcPr>
          <w:p w14:paraId="639878E9">
            <w:pPr>
              <w:pStyle w:val="557"/>
              <w:jc w:val="both"/>
            </w:pPr>
            <w:r>
              <w:t>石油炼制、石油化工、合成树脂行业所有企业都应开展LDAR工作；其他行业企业中载有气态、液态VOCs物料的设备与管线组件密封点大于等于2000个的，应开展LDAR工作。要将VOCs收集管道、治理设施和与储罐连接的密封点纳入检测范围。按照相关技术规范要求，开展泄漏检测、修复、质量控制、记录管理等工作。</w:t>
            </w:r>
          </w:p>
        </w:tc>
        <w:tc>
          <w:tcPr>
            <w:tcW w:w="2021" w:type="pct"/>
            <w:vAlign w:val="center"/>
          </w:tcPr>
          <w:p w14:paraId="6B636420">
            <w:pPr>
              <w:pStyle w:val="557"/>
              <w:jc w:val="both"/>
            </w:pPr>
            <w:r>
              <w:t>本项目严格开展挥发性有机物治理工作，制定和实施LDAR计划。本项目在污水收集暂存和处理系统采用加盖、臭气处理措施，在罐区与装卸区域采用内浮顶罐/球罐、液下装载、油气回收等措施可有效控制挥发性有机物（VOCs）的逸散与排放。</w:t>
            </w:r>
          </w:p>
        </w:tc>
        <w:tc>
          <w:tcPr>
            <w:tcW w:w="212" w:type="pct"/>
            <w:vAlign w:val="center"/>
          </w:tcPr>
          <w:p w14:paraId="5F05058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bookmarkEnd w:id="545"/>
    </w:tbl>
    <w:p w14:paraId="69FADEB4">
      <w:pPr>
        <w:pStyle w:val="281"/>
        <w:ind w:firstLine="480"/>
      </w:pPr>
    </w:p>
    <w:p w14:paraId="583E8392">
      <w:pPr>
        <w:pStyle w:val="541"/>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表8.1.2-2    与《现代煤化工建设项目环境影响评价文件审批原则》（参照）符合性分析</w:t>
      </w:r>
    </w:p>
    <w:tbl>
      <w:tblPr>
        <w:tblStyle w:val="728"/>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6156"/>
        <w:gridCol w:w="6998"/>
        <w:gridCol w:w="547"/>
      </w:tblGrid>
      <w:tr w14:paraId="46B9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67" w:type="pct"/>
            <w:vAlign w:val="center"/>
          </w:tcPr>
          <w:p w14:paraId="714A4C41">
            <w:pPr>
              <w:pStyle w:val="557"/>
            </w:pPr>
            <w:r>
              <w:t>序号</w:t>
            </w:r>
          </w:p>
        </w:tc>
        <w:tc>
          <w:tcPr>
            <w:tcW w:w="2171" w:type="pct"/>
            <w:vAlign w:val="center"/>
          </w:tcPr>
          <w:p w14:paraId="4A5C601C">
            <w:pPr>
              <w:pStyle w:val="557"/>
            </w:pPr>
            <w:r>
              <w:t>《现代煤化工建设项目环境影响评价文件审批原则》要求</w:t>
            </w:r>
          </w:p>
        </w:tc>
        <w:tc>
          <w:tcPr>
            <w:tcW w:w="2468" w:type="pct"/>
            <w:vAlign w:val="center"/>
          </w:tcPr>
          <w:p w14:paraId="54DFEDCF">
            <w:pPr>
              <w:pStyle w:val="557"/>
            </w:pPr>
            <w:r>
              <w:t>本项目情况</w:t>
            </w:r>
          </w:p>
        </w:tc>
        <w:tc>
          <w:tcPr>
            <w:tcW w:w="193" w:type="pct"/>
            <w:vAlign w:val="center"/>
          </w:tcPr>
          <w:p w14:paraId="2DB2FDA9">
            <w:pPr>
              <w:pStyle w:val="557"/>
            </w:pPr>
            <w:r>
              <w:t>符合性</w:t>
            </w:r>
          </w:p>
        </w:tc>
      </w:tr>
      <w:tr w14:paraId="7021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688FB486">
            <w:pPr>
              <w:pStyle w:val="557"/>
            </w:pPr>
            <w:r>
              <w:t>1</w:t>
            </w:r>
          </w:p>
        </w:tc>
        <w:tc>
          <w:tcPr>
            <w:tcW w:w="2171" w:type="pct"/>
            <w:vAlign w:val="center"/>
          </w:tcPr>
          <w:p w14:paraId="6C0D6300">
            <w:pPr>
              <w:pStyle w:val="557"/>
              <w:jc w:val="both"/>
            </w:pPr>
            <w:r>
              <w:t>本审批原则适用于以煤炭（焦炭）气化、液化为龙头生产合成天然气、合成油或甲醇、烯烃、芳烃、乙二醇及其他下游化工产品的新建、改建和扩建现代煤化工建设项目环境影响评价文件审批，具体行业范围为《建设项目环境影响评价分类管理名录（2021年版）》煤炭加工252中的煤制合成气、煤制液体燃料。低阶煤分质利用项目（不含兰炭）环境影响评价文件审批参照执行。</w:t>
            </w:r>
          </w:p>
        </w:tc>
        <w:tc>
          <w:tcPr>
            <w:tcW w:w="2468" w:type="pct"/>
            <w:vAlign w:val="center"/>
          </w:tcPr>
          <w:p w14:paraId="589BED89">
            <w:pPr>
              <w:pStyle w:val="557"/>
              <w:jc w:val="both"/>
            </w:pPr>
            <w:r>
              <w:t>本项目</w:t>
            </w:r>
            <w:r>
              <w:rPr>
                <w:rFonts w:hint="eastAsia"/>
              </w:rPr>
              <w:t>属于煤制氮肥行业，参照执行</w:t>
            </w:r>
          </w:p>
        </w:tc>
        <w:tc>
          <w:tcPr>
            <w:tcW w:w="193" w:type="pct"/>
            <w:vAlign w:val="center"/>
          </w:tcPr>
          <w:p w14:paraId="70F48865">
            <w:pPr>
              <w:pStyle w:val="557"/>
            </w:pPr>
            <w:r>
              <w:t>符合</w:t>
            </w:r>
          </w:p>
        </w:tc>
      </w:tr>
      <w:tr w14:paraId="04D0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7" w:type="pct"/>
            <w:vAlign w:val="center"/>
          </w:tcPr>
          <w:p w14:paraId="4D4E1964">
            <w:pPr>
              <w:pStyle w:val="557"/>
            </w:pPr>
            <w:r>
              <w:t>2</w:t>
            </w:r>
          </w:p>
        </w:tc>
        <w:tc>
          <w:tcPr>
            <w:tcW w:w="2171" w:type="pct"/>
            <w:vAlign w:val="center"/>
          </w:tcPr>
          <w:p w14:paraId="4830E5C6">
            <w:pPr>
              <w:pStyle w:val="557"/>
              <w:jc w:val="both"/>
            </w:pPr>
            <w:r>
              <w:t>项目应符合生态环境保护相关法律法规、法定规划以及相关产业结构调整、区域及行业碳达峰碳中和目标、煤炭消费总量控制、重点污染物排放总量控制等政策要求，符合现代煤化工创新发展布局方案等有关产业规划。</w:t>
            </w:r>
          </w:p>
        </w:tc>
        <w:tc>
          <w:tcPr>
            <w:tcW w:w="2468" w:type="pct"/>
            <w:vAlign w:val="center"/>
          </w:tcPr>
          <w:p w14:paraId="16EBAB9B">
            <w:pPr>
              <w:pStyle w:val="557"/>
              <w:jc w:val="both"/>
            </w:pPr>
            <w:r>
              <w:t>（1）本项目符合《水污染防治行动计划》（国发〔2015〕17号）、《关于加强高耗能、高排放建设项目生态环境源头防控的指导意见》（环环评〔2021〕45号）、《新疆维吾尔自治区大气污染防治行动计划实施方案》（新政发〔2014〕35号）</w:t>
            </w:r>
            <w:r>
              <w:rPr>
                <w:rFonts w:hint="eastAsia"/>
              </w:rPr>
              <w:t>、</w:t>
            </w:r>
            <w:r>
              <w:t>《新疆维吾尔自治区新建化工项目准入条件》（新工信石化〔2021〕1号）</w:t>
            </w:r>
            <w:r>
              <w:rPr>
                <w:rFonts w:hint="eastAsia"/>
              </w:rPr>
              <w:t>等文件要求</w:t>
            </w:r>
            <w:r>
              <w:t>。</w:t>
            </w:r>
          </w:p>
          <w:p w14:paraId="6A232881">
            <w:pPr>
              <w:pStyle w:val="557"/>
              <w:jc w:val="both"/>
            </w:pPr>
            <w:r>
              <w:t>（2）本项目符合《全国主体功能区划（修编版）》（国发〔2010〕46号）、《全国生态功能区划</w:t>
            </w:r>
            <w:r>
              <w:rPr>
                <w:rFonts w:hint="eastAsia"/>
              </w:rPr>
              <w:t>》《</w:t>
            </w:r>
            <w:r>
              <w:t>新疆主体功能区规划》（2012版本）、《新疆生态功能区划》（2005版本）、《新疆生态环境保护“十四五”规划》</w:t>
            </w:r>
            <w:r>
              <w:rPr>
                <w:rFonts w:hint="eastAsia"/>
              </w:rPr>
              <w:t>等</w:t>
            </w:r>
            <w:r>
              <w:t>国家及地方功能区划和环境保护规划。</w:t>
            </w:r>
          </w:p>
          <w:p w14:paraId="61D5DCD7">
            <w:pPr>
              <w:pStyle w:val="557"/>
              <w:jc w:val="both"/>
            </w:pPr>
            <w:r>
              <w:t>（</w:t>
            </w:r>
            <w:r>
              <w:rPr>
                <w:rFonts w:hint="eastAsia"/>
              </w:rPr>
              <w:t>3</w:t>
            </w:r>
            <w:r>
              <w:t>）本项目属于《产业结构调整指导目录（20</w:t>
            </w:r>
            <w:r>
              <w:rPr>
                <w:rFonts w:hint="eastAsia"/>
              </w:rPr>
              <w:t>24</w:t>
            </w:r>
            <w:r>
              <w:t>年版）》鼓励类项目。</w:t>
            </w:r>
          </w:p>
        </w:tc>
        <w:tc>
          <w:tcPr>
            <w:tcW w:w="193" w:type="pct"/>
            <w:vAlign w:val="center"/>
          </w:tcPr>
          <w:p w14:paraId="6486073C">
            <w:pPr>
              <w:pStyle w:val="557"/>
            </w:pPr>
            <w:r>
              <w:rPr>
                <w:rFonts w:hint="eastAsia"/>
              </w:rPr>
              <w:t>符合</w:t>
            </w:r>
          </w:p>
        </w:tc>
      </w:tr>
      <w:tr w14:paraId="1909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4B2DE453">
            <w:pPr>
              <w:pStyle w:val="557"/>
            </w:pPr>
            <w:r>
              <w:t>3</w:t>
            </w:r>
          </w:p>
        </w:tc>
        <w:tc>
          <w:tcPr>
            <w:tcW w:w="2171" w:type="pct"/>
            <w:vAlign w:val="center"/>
          </w:tcPr>
          <w:p w14:paraId="3A9D1A78">
            <w:pPr>
              <w:pStyle w:val="557"/>
              <w:jc w:val="both"/>
            </w:pPr>
            <w:r>
              <w:t>项目选址应符合生态环境分区管控要求。新建、扩建现代煤化工项目应布设在依法合规设立的产业园区，并符合园区规划及规划环境影响评价要求。项目选址不得位于长江干支流岸线一公里范围内、黄河干支流岸线管控范围内等法律法规明确规定的禁止建设区域，应避开生态保护红线，尽可能远离居民集中区、医院、学校等环境敏感区。</w:t>
            </w:r>
          </w:p>
        </w:tc>
        <w:tc>
          <w:tcPr>
            <w:tcW w:w="2468" w:type="pct"/>
            <w:vAlign w:val="center"/>
          </w:tcPr>
          <w:p w14:paraId="380D5106">
            <w:pPr>
              <w:pStyle w:val="557"/>
              <w:jc w:val="both"/>
            </w:pPr>
            <w:r>
              <w:t>（1）本项目符合</w:t>
            </w:r>
            <w:r>
              <w:rPr>
                <w:rFonts w:hint="eastAsia"/>
              </w:rPr>
              <w:t>《新疆维吾尔自治区生态环境分区管控动态更新成果》（新环环评发〔2024〕157号）及《关于印发哈密市生态环境分区管控动态更新成果的通知》</w:t>
            </w:r>
            <w:r>
              <w:t>生态环境分区管控要求。</w:t>
            </w:r>
          </w:p>
          <w:p w14:paraId="71EA2E71">
            <w:pPr>
              <w:pStyle w:val="557"/>
              <w:jc w:val="both"/>
            </w:pPr>
            <w:r>
              <w:t>（2）本项目为新建煤化工项目，位于</w:t>
            </w:r>
            <w:r>
              <w:rPr>
                <w:rFonts w:hint="eastAsia"/>
              </w:rPr>
              <w:t>哈密工业园</w:t>
            </w:r>
            <w:r>
              <w:t>的</w:t>
            </w:r>
            <w:r>
              <w:rPr>
                <w:rFonts w:hint="eastAsia"/>
              </w:rPr>
              <w:t>化工产业区，用地为园区规划的三类工业用地</w:t>
            </w:r>
            <w:r>
              <w:t>。</w:t>
            </w:r>
          </w:p>
          <w:p w14:paraId="40048808">
            <w:pPr>
              <w:pStyle w:val="557"/>
              <w:jc w:val="both"/>
            </w:pPr>
            <w:r>
              <w:t>（3）本项目发展定位、建设规模、用地规模与产业布局、环保设施建设及风险防控体系建设均符合</w:t>
            </w:r>
            <w:r>
              <w:rPr>
                <w:rFonts w:hint="eastAsia"/>
              </w:rPr>
              <w:t>《哈密工业园区产业发展规划（2019-2035年）》及《哈密工业园区总体规划（2019-2035年）环境影响报告书》及其审查意见。</w:t>
            </w:r>
          </w:p>
          <w:p w14:paraId="08E372CD">
            <w:pPr>
              <w:pStyle w:val="557"/>
              <w:jc w:val="both"/>
            </w:pPr>
            <w:r>
              <w:t>（4）本项目选址不在法律法规明确规定的禁止建设区域内。</w:t>
            </w:r>
          </w:p>
          <w:p w14:paraId="18B7D86C">
            <w:pPr>
              <w:pStyle w:val="557"/>
              <w:jc w:val="both"/>
            </w:pPr>
            <w:r>
              <w:t>（5）本项目不在生态保护红线范围内。</w:t>
            </w:r>
          </w:p>
          <w:p w14:paraId="5FF678AE">
            <w:pPr>
              <w:pStyle w:val="557"/>
              <w:jc w:val="both"/>
            </w:pPr>
            <w:r>
              <w:t>（6）本项目</w:t>
            </w:r>
            <w:r>
              <w:rPr>
                <w:rFonts w:hint="eastAsia"/>
              </w:rPr>
              <w:t>周边</w:t>
            </w:r>
            <w:r>
              <w:t>范围内无居民区、医院、学校等环境敏感区。</w:t>
            </w:r>
          </w:p>
        </w:tc>
        <w:tc>
          <w:tcPr>
            <w:tcW w:w="193" w:type="pct"/>
            <w:vAlign w:val="center"/>
          </w:tcPr>
          <w:p w14:paraId="0D809610">
            <w:pPr>
              <w:pStyle w:val="557"/>
            </w:pPr>
            <w:r>
              <w:rPr>
                <w:rFonts w:hint="eastAsia"/>
              </w:rPr>
              <w:t>符合</w:t>
            </w:r>
          </w:p>
        </w:tc>
      </w:tr>
      <w:tr w14:paraId="7E1F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201A8243">
            <w:pPr>
              <w:pStyle w:val="557"/>
            </w:pPr>
            <w:r>
              <w:t>4</w:t>
            </w:r>
          </w:p>
        </w:tc>
        <w:tc>
          <w:tcPr>
            <w:tcW w:w="2171" w:type="pct"/>
            <w:vAlign w:val="center"/>
          </w:tcPr>
          <w:p w14:paraId="34041AE2">
            <w:pPr>
              <w:pStyle w:val="557"/>
              <w:jc w:val="both"/>
            </w:pPr>
            <w:r>
              <w:t>新建、扩建项目应采用先进适用的工艺技术和装备，单位产品物耗、能耗、水耗、污染物排放量和资源综合利用等应达到行业先进水平，</w:t>
            </w:r>
            <w:bookmarkStart w:id="546" w:name="_Hlk182323908"/>
            <w:r>
              <w:t>新建项目应达到煤炭清洁高效利用标杆水平</w:t>
            </w:r>
            <w:bookmarkEnd w:id="546"/>
            <w:r>
              <w:t>。</w:t>
            </w:r>
          </w:p>
          <w:p w14:paraId="1C882213">
            <w:pPr>
              <w:pStyle w:val="557"/>
              <w:jc w:val="both"/>
            </w:pPr>
            <w:r>
              <w:t>强化节水措施，减少新鲜水用量。具备条件的地区优先使用再生水、矿井水作为生产用水，缺水地区优先采用空冷、闭式循环等节水技术。</w:t>
            </w:r>
          </w:p>
          <w:p w14:paraId="2D9001CE">
            <w:pPr>
              <w:pStyle w:val="557"/>
              <w:jc w:val="both"/>
            </w:pPr>
            <w:r>
              <w:t>新建项目应在煤炭分质高效利用、资源能源耦合利用、减污降碳协同控制技术等方面承担示范任务。使用含高铝、砷、氟及其他稀有元素的煤种作为原料煤和燃料煤的项目，环境影响评价文件应充分论证加工工艺、污染防治技术或综合利用技术可靠性。</w:t>
            </w:r>
          </w:p>
        </w:tc>
        <w:tc>
          <w:tcPr>
            <w:tcW w:w="2468" w:type="pct"/>
            <w:vAlign w:val="center"/>
          </w:tcPr>
          <w:p w14:paraId="08A1F995">
            <w:pPr>
              <w:pStyle w:val="557"/>
              <w:jc w:val="both"/>
            </w:pPr>
            <w:r>
              <w:t>本项目采用先进适用的工艺技术和装备，单位产品物耗、能耗、水耗、污染物排放量和资源综合利用等应达到行业先进水平，项目达到煤炭清洁高效利用标杆水平。</w:t>
            </w:r>
          </w:p>
          <w:p w14:paraId="48F07004">
            <w:pPr>
              <w:pStyle w:val="557"/>
              <w:jc w:val="both"/>
            </w:pPr>
            <w:r>
              <w:t>本项目回用水站建设清净废水回用装置再生水作为生产用水主要回用于循环冷却水系统补水。</w:t>
            </w:r>
          </w:p>
          <w:p w14:paraId="4B062DB5">
            <w:pPr>
              <w:pStyle w:val="557"/>
              <w:jc w:val="both"/>
            </w:pPr>
            <w:r>
              <w:t>本项目不具备矿井水利用的条件，不考虑矿井水利用。</w:t>
            </w:r>
          </w:p>
          <w:p w14:paraId="471453F1">
            <w:pPr>
              <w:pStyle w:val="557"/>
              <w:jc w:val="both"/>
            </w:pPr>
            <w:r>
              <w:t>本项目不使用含高铝、砷、氟及其他稀有元素的煤种。</w:t>
            </w:r>
          </w:p>
        </w:tc>
        <w:tc>
          <w:tcPr>
            <w:tcW w:w="193" w:type="pct"/>
            <w:vAlign w:val="center"/>
          </w:tcPr>
          <w:p w14:paraId="71E5208F">
            <w:pPr>
              <w:pStyle w:val="557"/>
            </w:pPr>
            <w:r>
              <w:t>符合</w:t>
            </w:r>
          </w:p>
        </w:tc>
      </w:tr>
      <w:tr w14:paraId="7223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08BF3C4C">
            <w:pPr>
              <w:pStyle w:val="557"/>
            </w:pPr>
            <w:r>
              <w:t>5</w:t>
            </w:r>
          </w:p>
        </w:tc>
        <w:tc>
          <w:tcPr>
            <w:tcW w:w="2171" w:type="pct"/>
            <w:vAlign w:val="center"/>
          </w:tcPr>
          <w:p w14:paraId="2B78E961">
            <w:pPr>
              <w:pStyle w:val="557"/>
              <w:jc w:val="both"/>
            </w:pPr>
            <w:r>
              <w:t>项目优先选择电力驱动设备，或依托园区集中供热供汽，原则上不得新增自备燃煤机组，确需建设自备热电站的，应符合国家及地方的相关规划和排放控制要求。大宗物料中长距离运输优先采用铁路或水路运输，短途运输优先采用国六排放标准的运输工具、新能源车辆、管道或管状带式输送机。鼓励采用半/全废锅流程气化和热泵、热夹点、热联合等技术，优化热能供需匹配，提升余热余压利用水平。</w:t>
            </w:r>
          </w:p>
          <w:p w14:paraId="589E09CD">
            <w:pPr>
              <w:pStyle w:val="557"/>
              <w:jc w:val="both"/>
            </w:pPr>
            <w:r>
              <w:t>严格控制工艺废气排放，原则上不得设置废气旁路，对于确需保留的应急类旁路，应安装流量计等自动监测设备。在行业污染物排放标准出台前，原料煤输送、储存、预干燥等加工过程中含尘有组织废气执行《大气污染物综合排放标准》（GB 16297）；加热炉烟气、酸性气回收装置尾气、甲醇制烯烃装置再生烟气以及含有机特征污染物的工艺废气等暂按《石油炼制工业污染物排放标准》（GB31570）或《石油化学工业污染物排放标准》（GB 31571）相关要求控制；涉及后续产品加工的生产装置按相关行业排放标准控制。</w:t>
            </w:r>
          </w:p>
          <w:p w14:paraId="41EAD5F7">
            <w:pPr>
              <w:pStyle w:val="557"/>
              <w:jc w:val="both"/>
            </w:pPr>
            <w:r>
              <w:t>严格控制生产工艺过程及相关物料储存、输送等无组织排放。煤粉、粉煤灰、石灰、除尘灰、脱硫灰等粉状物料应密闭或封闭储存，采用密闭皮带、封闭通廊、管状带式输送机或密闭车厢、真空罐车、气力输送等输送方式。设备动静密封点、有机液体储存和装卸、污水收集暂存和处理系统、备煤、储煤等环节应采取措施有效控制挥发性有机物、恶臭物质及有毒有害污染物的逸散与排放。在行业污染物排放标准出台前，挥发性有机物无组织排放执行《挥发性有机物无组织排放控制标准》（GB 37822）。</w:t>
            </w:r>
          </w:p>
          <w:p w14:paraId="691F2C0F">
            <w:pPr>
              <w:pStyle w:val="557"/>
              <w:jc w:val="both"/>
            </w:pPr>
            <w:r>
              <w:t>非正常工况排气优先回收利用，无法利用的送火炬处理。合理设置酸性气回收装置，确保单系列回收装置故障情况下不向酸性气火炬排放酸性气。</w:t>
            </w:r>
          </w:p>
          <w:p w14:paraId="6BEA38A7">
            <w:pPr>
              <w:pStyle w:val="557"/>
              <w:jc w:val="both"/>
            </w:pPr>
            <w:r>
              <w:t>合理设置大气环境防护距离，环境防护距离范围内不应有居民区、学校、医院等环境敏感目标。</w:t>
            </w:r>
          </w:p>
        </w:tc>
        <w:tc>
          <w:tcPr>
            <w:tcW w:w="2468" w:type="pct"/>
            <w:vAlign w:val="center"/>
          </w:tcPr>
          <w:p w14:paraId="138C4C84">
            <w:pPr>
              <w:pStyle w:val="557"/>
              <w:jc w:val="both"/>
            </w:pPr>
            <w:r>
              <w:t>（1）本项目大宗物料原料煤使用汽车方式运输。</w:t>
            </w:r>
          </w:p>
          <w:p w14:paraId="08602286">
            <w:pPr>
              <w:pStyle w:val="557"/>
              <w:jc w:val="both"/>
            </w:pPr>
            <w:r>
              <w:t>（2）项目严格控制生产工艺过程及相关物料储存、输送等无组织排放，煤粉、粉煤灰、除尘灰均采用密闭料仓储存，并配套袋式过滤器</w:t>
            </w:r>
            <w:r>
              <w:rPr>
                <w:rFonts w:hint="eastAsia"/>
              </w:rPr>
              <w:t>；</w:t>
            </w:r>
            <w:r>
              <w:t>原料煤采用封闭通廊输送</w:t>
            </w:r>
            <w:r>
              <w:rPr>
                <w:rFonts w:hint="eastAsia"/>
              </w:rPr>
              <w:t>；</w:t>
            </w:r>
            <w:r>
              <w:t>粉煤</w:t>
            </w:r>
            <w:r>
              <w:rPr>
                <w:rFonts w:hint="eastAsia"/>
              </w:rPr>
              <w:t>等</w:t>
            </w:r>
            <w:r>
              <w:t>颗粒均采用气力输送</w:t>
            </w:r>
            <w:r>
              <w:rPr>
                <w:rFonts w:hint="eastAsia"/>
              </w:rPr>
              <w:t>；</w:t>
            </w:r>
            <w:r>
              <w:t>除尘灰采用真空罐车输送</w:t>
            </w:r>
            <w:r>
              <w:rPr>
                <w:rFonts w:hint="eastAsia"/>
              </w:rPr>
              <w:t>；</w:t>
            </w:r>
            <w:r>
              <w:t>设备动静密封点采用设备与管线泄漏检测与修复（LDAR）控制措施</w:t>
            </w:r>
            <w:r>
              <w:rPr>
                <w:rFonts w:hint="eastAsia"/>
              </w:rPr>
              <w:t>；</w:t>
            </w:r>
            <w:r>
              <w:t>污水收集暂存和处理系统采用密闭管道输送，废水暂存、处理设施采取加盖封闭，厂区无组织排放满足</w:t>
            </w:r>
            <w:r>
              <w:rPr>
                <w:rFonts w:hint="eastAsia"/>
              </w:rPr>
              <w:t>《大气污染物综合排放标准》（GB16297-1996）</w:t>
            </w:r>
            <w:r>
              <w:t>、《石油化学工业污染物排放标准》（GB31571-2015</w:t>
            </w:r>
            <w:r>
              <w:rPr>
                <w:rFonts w:hint="eastAsia"/>
              </w:rPr>
              <w:t>，</w:t>
            </w:r>
            <w:r>
              <w:t>含2024年修改单）</w:t>
            </w:r>
            <w:r>
              <w:rPr>
                <w:rFonts w:hint="eastAsia"/>
              </w:rPr>
              <w:t>、</w:t>
            </w:r>
            <w:r>
              <w:t>《恶臭污染物排放标准》（</w:t>
            </w:r>
            <w:r>
              <w:rPr>
                <w:rFonts w:eastAsia="TimesNewRoman"/>
              </w:rPr>
              <w:t>GB14554-93</w:t>
            </w:r>
            <w:r>
              <w:t>）；厂内VOC</w:t>
            </w:r>
            <w:r>
              <w:rPr>
                <w:vertAlign w:val="subscript"/>
              </w:rPr>
              <w:t>S</w:t>
            </w:r>
            <w:r>
              <w:t>无组织排放</w:t>
            </w:r>
            <w:r>
              <w:rPr>
                <w:rFonts w:hint="eastAsia"/>
              </w:rPr>
              <w:t>满足</w:t>
            </w:r>
            <w:r>
              <w:t>《挥发性有机物无组织排放控制标准》（GB37822-2019）。</w:t>
            </w:r>
          </w:p>
          <w:p w14:paraId="6B19157E">
            <w:pPr>
              <w:pStyle w:val="557"/>
              <w:jc w:val="both"/>
            </w:pPr>
            <w:r>
              <w:rPr>
                <w:rFonts w:hint="eastAsia"/>
              </w:rPr>
              <w:t>（3）本项目</w:t>
            </w:r>
            <w:r>
              <w:t>非正常工况排气优先回收利用，无法利用的送火炬处理。（4）本</w:t>
            </w:r>
            <w:r>
              <w:rPr>
                <w:rFonts w:hint="eastAsia"/>
              </w:rPr>
              <w:t>项目周边</w:t>
            </w:r>
            <w:r>
              <w:t>范围内无居民区、医院、学校等环境敏感区。</w:t>
            </w:r>
          </w:p>
        </w:tc>
        <w:tc>
          <w:tcPr>
            <w:tcW w:w="193" w:type="pct"/>
            <w:vAlign w:val="center"/>
          </w:tcPr>
          <w:p w14:paraId="3C5A600F">
            <w:pPr>
              <w:pStyle w:val="557"/>
            </w:pPr>
            <w:r>
              <w:rPr>
                <w:rFonts w:hint="eastAsia"/>
              </w:rPr>
              <w:t>符合</w:t>
            </w:r>
          </w:p>
        </w:tc>
      </w:tr>
      <w:tr w14:paraId="1B9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69F413FB">
            <w:pPr>
              <w:pStyle w:val="557"/>
            </w:pPr>
            <w:r>
              <w:t>6</w:t>
            </w:r>
          </w:p>
        </w:tc>
        <w:tc>
          <w:tcPr>
            <w:tcW w:w="2171" w:type="pct"/>
            <w:vAlign w:val="center"/>
          </w:tcPr>
          <w:p w14:paraId="53AF85E2">
            <w:pPr>
              <w:pStyle w:val="557"/>
              <w:jc w:val="both"/>
            </w:pPr>
            <w:r>
              <w:t>将温室气体排放纳入建设项目环境影响评价，核算建设项目温室气体排放量，推进减污降碳协同增效，推动减碳技术创新示范应用。鼓励有条件的地区、企业开展绿氢与煤化工项目耦合、重点工艺环节高浓度二氧化碳捕集、利用及封存等减污降碳协同治理工程示范。</w:t>
            </w:r>
          </w:p>
        </w:tc>
        <w:tc>
          <w:tcPr>
            <w:tcW w:w="2468" w:type="pct"/>
            <w:vAlign w:val="center"/>
          </w:tcPr>
          <w:p w14:paraId="0FB0190E">
            <w:pPr>
              <w:pStyle w:val="557"/>
              <w:jc w:val="both"/>
            </w:pPr>
            <w:r>
              <w:t>本项目将温室气体排放纳入建设项目环境影响评价，采用回收热能、副产蒸汽并回用生产的减排方案后，二氧化碳排放量减少了，对于碳减排是有积极意义的。</w:t>
            </w:r>
          </w:p>
        </w:tc>
        <w:tc>
          <w:tcPr>
            <w:tcW w:w="193" w:type="pct"/>
            <w:vAlign w:val="center"/>
          </w:tcPr>
          <w:p w14:paraId="71BDDB6A">
            <w:pPr>
              <w:pStyle w:val="557"/>
            </w:pPr>
            <w:r>
              <w:t>符合</w:t>
            </w:r>
          </w:p>
        </w:tc>
      </w:tr>
      <w:tr w14:paraId="178C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1B540BE8">
            <w:pPr>
              <w:pStyle w:val="557"/>
            </w:pPr>
            <w:r>
              <w:t>7</w:t>
            </w:r>
          </w:p>
        </w:tc>
        <w:tc>
          <w:tcPr>
            <w:tcW w:w="2171" w:type="pct"/>
            <w:vAlign w:val="center"/>
          </w:tcPr>
          <w:p w14:paraId="025972CA">
            <w:pPr>
              <w:pStyle w:val="557"/>
              <w:jc w:val="both"/>
            </w:pPr>
            <w:r>
              <w:t>做好雨污分流、清污分流，污污分流。废水分类收集、分质处理、优先回用，选用工艺成熟、经济可行的技术。废水排放应符合相关污染物排放标准要求；污染雨水收集处理；严禁生产废水未经处理或未有效处理直接排入城镇污水处理系统；在缺乏纳污水体的区域建设现代煤化工项目，应对高含盐废水采取有效处置措施，不得污染大气、土壤和地下水等。</w:t>
            </w:r>
          </w:p>
        </w:tc>
        <w:tc>
          <w:tcPr>
            <w:tcW w:w="2468" w:type="pct"/>
            <w:vAlign w:val="center"/>
          </w:tcPr>
          <w:p w14:paraId="3C956901">
            <w:pPr>
              <w:pStyle w:val="557"/>
              <w:jc w:val="both"/>
            </w:pPr>
            <w:r>
              <w:t>（1）根据清污分流的原则，排水系统划分为：生活污水系统、生产污水系统、清净废水系统。</w:t>
            </w:r>
          </w:p>
          <w:p w14:paraId="4AEA18FE">
            <w:pPr>
              <w:pStyle w:val="557"/>
              <w:jc w:val="both"/>
            </w:pPr>
            <w:r>
              <w:rPr>
                <w:rFonts w:hint="eastAsia"/>
              </w:rPr>
              <w:t>（2）本项目生产给水、生活给水依托园区供水设施，由园区给水管网供给至本项目界区处。全厂生产废水、生活污水经处理后全部回用。</w:t>
            </w:r>
          </w:p>
        </w:tc>
        <w:tc>
          <w:tcPr>
            <w:tcW w:w="193" w:type="pct"/>
            <w:vAlign w:val="center"/>
          </w:tcPr>
          <w:p w14:paraId="11CD99A6">
            <w:pPr>
              <w:pStyle w:val="557"/>
            </w:pPr>
            <w:r>
              <w:t>符合</w:t>
            </w:r>
          </w:p>
        </w:tc>
      </w:tr>
      <w:tr w14:paraId="04B4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788680FF">
            <w:pPr>
              <w:pStyle w:val="557"/>
            </w:pPr>
            <w:r>
              <w:t>8</w:t>
            </w:r>
          </w:p>
        </w:tc>
        <w:tc>
          <w:tcPr>
            <w:tcW w:w="2171" w:type="pct"/>
            <w:vAlign w:val="center"/>
          </w:tcPr>
          <w:p w14:paraId="5B0FA741">
            <w:pPr>
              <w:pStyle w:val="557"/>
              <w:jc w:val="both"/>
            </w:pPr>
            <w:r>
              <w:t>土壤和地下水污染防治应坚持源头控制、分区防控、跟踪监测和应急响应的防控原则。对涉及有毒有害物质的生产装置、设备设施及场所，需提出防腐蚀、防渗漏、防扬散等土壤污染防治措施，并根据项目平面布置、环境保护目标的敏感程度、水文地质条件等采取防渗措施，提出有效的土壤、地下水监控和应急方案，符合《石油化工工程防渗技术规范》（GB/T 50934）等相关要求，暂存池等污水暂存设施防渗措施应满足重点污染防治区要求。项目不得位于泉域保护范围以及岩溶强发育、存在较多落水洞和岩溶漏斗的区域。对于可能受影响的地下水环境敏感目标，应提出保护措施，涉及饮用水功能的，强化地下水环境保护措施，确保饮用水安全。</w:t>
            </w:r>
          </w:p>
        </w:tc>
        <w:tc>
          <w:tcPr>
            <w:tcW w:w="2468" w:type="pct"/>
            <w:vAlign w:val="center"/>
          </w:tcPr>
          <w:p w14:paraId="029042C2">
            <w:pPr>
              <w:pStyle w:val="557"/>
              <w:jc w:val="both"/>
            </w:pPr>
            <w:r>
              <w:t>（1）本项目的土壤和地下水污染防治坚持源头控制、分区防控、跟踪监测和应急响应的防控原则。</w:t>
            </w:r>
          </w:p>
          <w:p w14:paraId="735DAD4B">
            <w:pPr>
              <w:pStyle w:val="557"/>
              <w:jc w:val="both"/>
            </w:pPr>
            <w:r>
              <w:t>（2）本项目采取的源头控制措施包括废物循环利用、工艺及管道控制、设备防控、建筑结构防控、给排水排控等。</w:t>
            </w:r>
          </w:p>
          <w:p w14:paraId="6BCE0584">
            <w:pPr>
              <w:pStyle w:val="557"/>
              <w:jc w:val="both"/>
            </w:pPr>
            <w:r>
              <w:t>（3）对涉及有毒有害物质的生产装置、设备设施及场所，本项目按《石油化工工程防渗技术规范》（GB/T 50934）的要求按重点污染防治区、一般污染防治区和非污染防治区实行分区防渗。其中一般污染防治区的防渗性能不应低于1.5m厚、渗透系数1.0×10</w:t>
            </w:r>
            <w:r>
              <w:rPr>
                <w:vertAlign w:val="superscript"/>
              </w:rPr>
              <w:t>-7</w:t>
            </w:r>
            <w:r>
              <w:t>cm/s的黏土层的防渗性能；危险废物暂存间防渗参照《危险废物贮存污染控制标准》（GB18597-2023）进行设计，要求：防渗层为至少lm厚粘土层（渗透系数≤10</w:t>
            </w:r>
            <w:r>
              <w:rPr>
                <w:vertAlign w:val="superscript"/>
              </w:rPr>
              <w:t>-7</w:t>
            </w:r>
            <w:r>
              <w:t>cm/s)，或2mm厚高密度聚乙烯，或至少2mm厚的</w:t>
            </w:r>
            <w:r>
              <w:rPr>
                <w:rFonts w:hint="eastAsia"/>
              </w:rPr>
              <w:t>其他人工</w:t>
            </w:r>
            <w:r>
              <w:t>材料，渗透系数≤10</w:t>
            </w:r>
            <w:r>
              <w:rPr>
                <w:vertAlign w:val="superscript"/>
              </w:rPr>
              <w:t>-10</w:t>
            </w:r>
            <w:r>
              <w:t>cm/s；废水暂存池、浓水暂存池等其他重点污染防治区防渗层的防渗性能要求：不低于6.0m、厚渗透系数为1.0×10</w:t>
            </w:r>
            <w:r>
              <w:rPr>
                <w:vertAlign w:val="superscript"/>
              </w:rPr>
              <w:t>-7</w:t>
            </w:r>
            <w:r>
              <w:t>cm/s 的粘土层的防渗性能。</w:t>
            </w:r>
          </w:p>
          <w:p w14:paraId="59B67FAE">
            <w:pPr>
              <w:pStyle w:val="557"/>
              <w:jc w:val="both"/>
            </w:pPr>
            <w:r>
              <w:t>（4）</w:t>
            </w:r>
            <w:r>
              <w:rPr>
                <w:rFonts w:hint="eastAsia"/>
              </w:rPr>
              <w:t>本项目运营期在</w:t>
            </w:r>
            <w:r>
              <w:t>厂区周边至少应设置三口（场地、地下水流向上游、下游）地下水水质监控井。本项目在污水处理站、装卸台附近各布设一个土壤重点监测点位，按相关技术规范要求开展土壤跟踪监测。</w:t>
            </w:r>
          </w:p>
          <w:p w14:paraId="494D1140">
            <w:pPr>
              <w:pStyle w:val="557"/>
              <w:jc w:val="both"/>
            </w:pPr>
            <w:r>
              <w:t>（5）本项目制定了合理可行的地下水污染应急措施，并建立地下水和土壤污染隐患排查制度，定期对重点区域、重点设施开展土壤隐患排查。</w:t>
            </w:r>
          </w:p>
          <w:p w14:paraId="2C9B9254">
            <w:pPr>
              <w:pStyle w:val="557"/>
              <w:jc w:val="both"/>
            </w:pPr>
            <w:r>
              <w:t>（6）本项目不涉及泉域保护范围以及岩溶强发育、存在较多落水洞和岩溶漏斗的区域，也不涉及饮用水源保护区</w:t>
            </w:r>
          </w:p>
        </w:tc>
        <w:tc>
          <w:tcPr>
            <w:tcW w:w="193" w:type="pct"/>
            <w:vAlign w:val="center"/>
          </w:tcPr>
          <w:p w14:paraId="67495E54">
            <w:pPr>
              <w:pStyle w:val="557"/>
            </w:pPr>
            <w:r>
              <w:t>符合</w:t>
            </w:r>
          </w:p>
        </w:tc>
      </w:tr>
      <w:tr w14:paraId="11F7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23E11A38">
            <w:pPr>
              <w:pStyle w:val="557"/>
            </w:pPr>
            <w:r>
              <w:t>9</w:t>
            </w:r>
          </w:p>
        </w:tc>
        <w:tc>
          <w:tcPr>
            <w:tcW w:w="2171" w:type="pct"/>
            <w:vAlign w:val="center"/>
          </w:tcPr>
          <w:p w14:paraId="0DB78B8C">
            <w:pPr>
              <w:pStyle w:val="557"/>
              <w:jc w:val="both"/>
            </w:pPr>
            <w:r>
              <w:t>按照减量化、资源化、无害化原则妥善处理处置固体废物。工业固体废物优先通过项目自身或委托其他企业综合利用，无法综合利用的就近妥善处置，需要在厂内贮存的应当按照规定建设贮存设施、场所，安全分类存放或者采取无害化处置措施。废水处理产生的结晶盐作为副产品外售的应满足适用的产品质量标准要求。</w:t>
            </w:r>
          </w:p>
          <w:p w14:paraId="55712BFC">
            <w:pPr>
              <w:pStyle w:val="557"/>
              <w:jc w:val="both"/>
            </w:pPr>
            <w:r>
              <w:t>危险废物和一般工业固体废物贮存和处置满足《危险废物贮存污染控制标准》（GB 18597）及其修改单、《危险废物填埋污染控制标准》（GB 18598）、《一般工业固体废物贮存和填埋污染控制标准》（GB 18599）、《危险废物焚烧污染控制标准》（GB 18484）等相关要求。</w:t>
            </w:r>
          </w:p>
        </w:tc>
        <w:tc>
          <w:tcPr>
            <w:tcW w:w="2468" w:type="pct"/>
            <w:vAlign w:val="center"/>
          </w:tcPr>
          <w:p w14:paraId="71B1503D">
            <w:pPr>
              <w:pStyle w:val="557"/>
              <w:jc w:val="both"/>
            </w:pPr>
            <w:r>
              <w:t>（1）本项目按照减量化、资源化、无害化原则妥善处理处置固体废物。</w:t>
            </w:r>
          </w:p>
          <w:p w14:paraId="3A60315E">
            <w:pPr>
              <w:widowControl w:val="0"/>
              <w:autoSpaceDE w:val="0"/>
              <w:autoSpaceDN w:val="0"/>
              <w:adjustRightInd w:val="0"/>
              <w:jc w:val="both"/>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（2）本项目</w:t>
            </w:r>
            <w:r>
              <w:rPr>
                <w:rFonts w:hint="eastAsia"/>
                <w:color w:val="000000" w:themeColor="text1"/>
                <w:sz w:val="18"/>
                <w:szCs w:val="18"/>
                <w14:textFill>
                  <w14:solidFill>
                    <w14:schemeClr w14:val="tx1"/>
                  </w14:solidFill>
                </w14:textFill>
              </w:rPr>
              <w:t>部分一般固废</w:t>
            </w:r>
            <w:r>
              <w:rPr>
                <w:rStyle w:val="559"/>
              </w:rPr>
              <w:t>优先综合利用，不能利用的一般固体废物暂存于按《一般工业固体废物贮存和填埋污染控制标准》（GB 18599</w:t>
            </w:r>
            <w:r>
              <w:rPr>
                <w:rStyle w:val="559"/>
                <w:rFonts w:hint="eastAsia"/>
              </w:rPr>
              <w:t>-2020</w:t>
            </w:r>
            <w:r>
              <w:rPr>
                <w:rStyle w:val="559"/>
              </w:rPr>
              <w:t>）要求建设的暂存库，定期送一般固废填埋场填埋。</w:t>
            </w:r>
          </w:p>
          <w:p w14:paraId="1752AAB5">
            <w:pPr>
              <w:pStyle w:val="557"/>
              <w:jc w:val="both"/>
            </w:pPr>
            <w:r>
              <w:t>（3）本项目产生的危险废物暂存于按《危险废物贮存污染控制标准》（GB 18597</w:t>
            </w:r>
            <w:r>
              <w:rPr>
                <w:rFonts w:hint="eastAsia"/>
              </w:rPr>
              <w:t>-2023</w:t>
            </w:r>
            <w:r>
              <w:t>）要求建设的危废暂存库，定期交由有资质单位处置。</w:t>
            </w:r>
          </w:p>
        </w:tc>
        <w:tc>
          <w:tcPr>
            <w:tcW w:w="193" w:type="pct"/>
            <w:vAlign w:val="center"/>
          </w:tcPr>
          <w:p w14:paraId="596BA723">
            <w:pPr>
              <w:pStyle w:val="557"/>
            </w:pPr>
            <w:r>
              <w:t>符合</w:t>
            </w:r>
          </w:p>
        </w:tc>
      </w:tr>
      <w:tr w14:paraId="44A0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6A3B2310">
            <w:pPr>
              <w:pStyle w:val="557"/>
            </w:pPr>
            <w:r>
              <w:t>10</w:t>
            </w:r>
          </w:p>
        </w:tc>
        <w:tc>
          <w:tcPr>
            <w:tcW w:w="2171" w:type="pct"/>
            <w:vAlign w:val="center"/>
          </w:tcPr>
          <w:p w14:paraId="79BD1E36">
            <w:pPr>
              <w:pStyle w:val="557"/>
              <w:jc w:val="both"/>
            </w:pPr>
            <w:r>
              <w:t>优化厂区平面布置，优先选用低噪声设备和工艺，采取减振、隔声、消声等措施有效控制噪声污染，厂界噪声满足《工业企业厂界环境噪声排放标准》（GB 12348）要求。位于噪声敏感建筑物集中区域的改建、扩建项目，应强化噪声污染防治措施，防止噪声污染。</w:t>
            </w:r>
          </w:p>
        </w:tc>
        <w:tc>
          <w:tcPr>
            <w:tcW w:w="2468" w:type="pct"/>
            <w:vAlign w:val="center"/>
          </w:tcPr>
          <w:p w14:paraId="673CF20E">
            <w:pPr>
              <w:pStyle w:val="557"/>
              <w:jc w:val="both"/>
            </w:pPr>
            <w:r>
              <w:t>本项目厂区平面布置基本合理，采取选用低噪声设备及工艺、减振、隔声、消声等噪声控制措施。根据噪声预测结果分析，本项目厂界噪声贡献值满足《工业企业厂界环境噪声排放标准》（GB 12348）3类功能区的要求。</w:t>
            </w:r>
          </w:p>
        </w:tc>
        <w:tc>
          <w:tcPr>
            <w:tcW w:w="193" w:type="pct"/>
            <w:vAlign w:val="center"/>
          </w:tcPr>
          <w:p w14:paraId="281EE76B">
            <w:pPr>
              <w:pStyle w:val="557"/>
            </w:pPr>
            <w:r>
              <w:t>符合</w:t>
            </w:r>
          </w:p>
        </w:tc>
      </w:tr>
      <w:tr w14:paraId="080E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637FE4A6">
            <w:pPr>
              <w:pStyle w:val="557"/>
            </w:pPr>
            <w:r>
              <w:t>11</w:t>
            </w:r>
          </w:p>
        </w:tc>
        <w:tc>
          <w:tcPr>
            <w:tcW w:w="2171" w:type="pct"/>
            <w:vAlign w:val="center"/>
          </w:tcPr>
          <w:p w14:paraId="3C73909E">
            <w:pPr>
              <w:pStyle w:val="557"/>
              <w:jc w:val="both"/>
            </w:pPr>
            <w: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p>
        </w:tc>
        <w:tc>
          <w:tcPr>
            <w:tcW w:w="2468" w:type="pct"/>
            <w:vAlign w:val="center"/>
          </w:tcPr>
          <w:p w14:paraId="387FCED9">
            <w:pPr>
              <w:pStyle w:val="557"/>
              <w:jc w:val="both"/>
            </w:pPr>
            <w:r>
              <w:t>（1）本项目针对可能产生的突发环境事件制定了合理、有效的大气、地表水、地下水等环境风险防范措施、事故应急处置措施、与园区衔接的管理体系，提出了运行期突发环境事件应急预案编制要求。</w:t>
            </w:r>
          </w:p>
          <w:p w14:paraId="1A2F1F52">
            <w:pPr>
              <w:pStyle w:val="557"/>
              <w:jc w:val="both"/>
            </w:pPr>
            <w:r>
              <w:t>（2）本项目设置了水环境风险单元防控措施，包括装置单元围堰、储罐区防火堤或防火墙及污染雨水收集池。</w:t>
            </w:r>
          </w:p>
          <w:p w14:paraId="1CD14104">
            <w:pPr>
              <w:pStyle w:val="557"/>
              <w:jc w:val="both"/>
            </w:pPr>
            <w:r>
              <w:t>（3）本项目设1座</w:t>
            </w:r>
            <w:r>
              <w:rPr>
                <w:rFonts w:hint="eastAsia"/>
              </w:rPr>
              <w:t>800</w:t>
            </w:r>
            <w:r>
              <w:t>0m³消防事故水池</w:t>
            </w:r>
            <w:r>
              <w:rPr>
                <w:rFonts w:hint="eastAsia"/>
              </w:rPr>
              <w:t>、雨水池</w:t>
            </w:r>
            <w:r>
              <w:t>，分别作为二级、三级防控措施，以确保消防事故水不外流出</w:t>
            </w:r>
            <w:r>
              <w:rPr>
                <w:rFonts w:hint="eastAsia"/>
              </w:rPr>
              <w:t>厂区</w:t>
            </w:r>
            <w:r>
              <w:t>。</w:t>
            </w:r>
          </w:p>
        </w:tc>
        <w:tc>
          <w:tcPr>
            <w:tcW w:w="193" w:type="pct"/>
            <w:vAlign w:val="center"/>
          </w:tcPr>
          <w:p w14:paraId="22B80115">
            <w:pPr>
              <w:pStyle w:val="557"/>
            </w:pPr>
            <w:r>
              <w:rPr>
                <w:rFonts w:hint="eastAsia"/>
              </w:rPr>
              <w:t>符合</w:t>
            </w:r>
          </w:p>
        </w:tc>
      </w:tr>
      <w:tr w14:paraId="3E8C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297FBEF5">
            <w:pPr>
              <w:pStyle w:val="557"/>
            </w:pPr>
            <w:r>
              <w:t>12</w:t>
            </w:r>
          </w:p>
        </w:tc>
        <w:tc>
          <w:tcPr>
            <w:tcW w:w="2171" w:type="pct"/>
            <w:vAlign w:val="center"/>
          </w:tcPr>
          <w:p w14:paraId="24CD8BE8">
            <w:pPr>
              <w:pStyle w:val="557"/>
              <w:jc w:val="both"/>
            </w:pPr>
            <w:r>
              <w:t>改、扩建项目全面梳理涉及的现有工程存在的环保问题或减排潜力，应提出有效整改或改进措施。</w:t>
            </w:r>
          </w:p>
        </w:tc>
        <w:tc>
          <w:tcPr>
            <w:tcW w:w="2468" w:type="pct"/>
            <w:vAlign w:val="center"/>
          </w:tcPr>
          <w:p w14:paraId="7C7D0105">
            <w:pPr>
              <w:pStyle w:val="557"/>
              <w:jc w:val="both"/>
            </w:pPr>
            <w:r>
              <w:t>本项目为新建项目</w:t>
            </w:r>
            <w:r>
              <w:rPr>
                <w:rFonts w:hint="eastAsia"/>
              </w:rPr>
              <w:t>。</w:t>
            </w:r>
          </w:p>
        </w:tc>
        <w:tc>
          <w:tcPr>
            <w:tcW w:w="193" w:type="pct"/>
            <w:vAlign w:val="center"/>
          </w:tcPr>
          <w:p w14:paraId="629D106E">
            <w:pPr>
              <w:pStyle w:val="557"/>
            </w:pPr>
            <w:r>
              <w:t>/</w:t>
            </w:r>
          </w:p>
        </w:tc>
      </w:tr>
      <w:tr w14:paraId="7513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2325690A">
            <w:pPr>
              <w:pStyle w:val="557"/>
            </w:pPr>
            <w:r>
              <w:t>13</w:t>
            </w:r>
          </w:p>
        </w:tc>
        <w:tc>
          <w:tcPr>
            <w:tcW w:w="2171" w:type="pct"/>
            <w:vAlign w:val="center"/>
          </w:tcPr>
          <w:p w14:paraId="6D3B7C85">
            <w:pPr>
              <w:pStyle w:val="557"/>
              <w:jc w:val="both"/>
            </w:pPr>
            <w:r>
              <w:t>新增主要污染物排放量的建设项目应执行《关于加强重点行业建设项目区域削减措施监督管理的通知》（环办环评〔2020〕36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和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2468" w:type="pct"/>
            <w:vAlign w:val="center"/>
          </w:tcPr>
          <w:p w14:paraId="1E24FCFE">
            <w:pPr>
              <w:pStyle w:val="557"/>
              <w:jc w:val="both"/>
            </w:pPr>
            <w:r>
              <w:t>（1）本项目所在区域</w:t>
            </w:r>
            <w:r>
              <w:rPr>
                <w:rFonts w:hint="eastAsia"/>
              </w:rPr>
              <w:t>哈密市</w:t>
            </w:r>
            <w:r>
              <w:t>属于达标区。本项目排放的二氧化硫、氮氧化物、颗粒物和挥发性有机污染物进行区域等量削减。</w:t>
            </w:r>
          </w:p>
          <w:p w14:paraId="0C0A6DB9">
            <w:pPr>
              <w:pStyle w:val="557"/>
              <w:jc w:val="both"/>
            </w:pPr>
            <w:r>
              <w:t>（</w:t>
            </w:r>
            <w:r>
              <w:rPr>
                <w:rFonts w:hint="eastAsia"/>
              </w:rPr>
              <w:t>2</w:t>
            </w:r>
            <w:r>
              <w:t>）本项目严格执行《关于加强重点行业建设项目区域削减措施监督管理的通知》（环办环评〔2020〕36号），依据区域环境质量改善目标，</w:t>
            </w:r>
            <w:r>
              <w:rPr>
                <w:rFonts w:hint="eastAsia"/>
              </w:rPr>
              <w:t>制定</w:t>
            </w:r>
            <w:r>
              <w:t>配套区域污染物削减方案，采取有效的污染物区域削减措施，腾出足够的环境容量。</w:t>
            </w:r>
          </w:p>
        </w:tc>
        <w:tc>
          <w:tcPr>
            <w:tcW w:w="193" w:type="pct"/>
            <w:vAlign w:val="center"/>
          </w:tcPr>
          <w:p w14:paraId="072016B2">
            <w:pPr>
              <w:pStyle w:val="557"/>
            </w:pPr>
            <w:r>
              <w:t>符合</w:t>
            </w:r>
          </w:p>
        </w:tc>
      </w:tr>
      <w:tr w14:paraId="51F7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032C1B76">
            <w:pPr>
              <w:pStyle w:val="557"/>
            </w:pPr>
            <w:r>
              <w:t>14</w:t>
            </w:r>
          </w:p>
        </w:tc>
        <w:tc>
          <w:tcPr>
            <w:tcW w:w="2171" w:type="pct"/>
            <w:vAlign w:val="center"/>
          </w:tcPr>
          <w:p w14:paraId="4E262E0C">
            <w:pPr>
              <w:pStyle w:val="557"/>
              <w:jc w:val="both"/>
            </w:pPr>
            <w: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2468" w:type="pct"/>
            <w:vAlign w:val="center"/>
          </w:tcPr>
          <w:p w14:paraId="29C15456">
            <w:pPr>
              <w:pStyle w:val="557"/>
              <w:jc w:val="both"/>
            </w:pPr>
            <w:r>
              <w:t>（1）本项目加强环境管理，制定详细的环境监测计划。</w:t>
            </w:r>
          </w:p>
          <w:p w14:paraId="78CD26C7">
            <w:pPr>
              <w:pStyle w:val="557"/>
              <w:jc w:val="both"/>
            </w:pPr>
            <w:r>
              <w:t>（2）根据项目自身特点，以及行业及相关自行监测指南、排污许可证申请与核发技术规范制定了废水、废气污染物排放及厂界环境噪声监测计划，根据相关规范、标准设置排污口。</w:t>
            </w:r>
          </w:p>
          <w:p w14:paraId="7155A1B1">
            <w:pPr>
              <w:pStyle w:val="557"/>
              <w:jc w:val="both"/>
            </w:pPr>
            <w:r>
              <w:t>（3）项目设置在线监测系统并与环保部门联网。</w:t>
            </w:r>
          </w:p>
          <w:p w14:paraId="7D28F7D0">
            <w:pPr>
              <w:pStyle w:val="557"/>
              <w:jc w:val="both"/>
            </w:pPr>
            <w:r>
              <w:t>（4）项目废水回用不外排，编制了项目周边大气、地下水、土壤、声环境质量的跟踪监测计划。</w:t>
            </w:r>
          </w:p>
        </w:tc>
        <w:tc>
          <w:tcPr>
            <w:tcW w:w="193" w:type="pct"/>
            <w:vAlign w:val="center"/>
          </w:tcPr>
          <w:p w14:paraId="27B7D1C9">
            <w:pPr>
              <w:pStyle w:val="557"/>
            </w:pPr>
            <w:r>
              <w:t>符合</w:t>
            </w:r>
          </w:p>
        </w:tc>
      </w:tr>
      <w:tr w14:paraId="35CF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2DD27F40">
            <w:pPr>
              <w:pStyle w:val="557"/>
            </w:pPr>
            <w:r>
              <w:t>15</w:t>
            </w:r>
          </w:p>
        </w:tc>
        <w:tc>
          <w:tcPr>
            <w:tcW w:w="2171" w:type="pct"/>
            <w:vAlign w:val="center"/>
          </w:tcPr>
          <w:p w14:paraId="7F688E8A">
            <w:pPr>
              <w:pStyle w:val="557"/>
              <w:jc w:val="both"/>
            </w:pPr>
            <w:r>
              <w:t>按相关规定开展信息公开和公众参与。</w:t>
            </w:r>
          </w:p>
        </w:tc>
        <w:tc>
          <w:tcPr>
            <w:tcW w:w="2468" w:type="pct"/>
            <w:vAlign w:val="center"/>
          </w:tcPr>
          <w:p w14:paraId="69315198">
            <w:pPr>
              <w:pStyle w:val="557"/>
              <w:jc w:val="both"/>
            </w:pPr>
            <w:r>
              <w:rPr>
                <w:rFonts w:hint="eastAsia"/>
              </w:rPr>
              <w:t>评价要求项目</w:t>
            </w:r>
            <w:r>
              <w:t>按相关规定开展信息公开和公众参与。</w:t>
            </w:r>
          </w:p>
        </w:tc>
        <w:tc>
          <w:tcPr>
            <w:tcW w:w="193" w:type="pct"/>
            <w:vAlign w:val="center"/>
          </w:tcPr>
          <w:p w14:paraId="24143206">
            <w:pPr>
              <w:pStyle w:val="557"/>
            </w:pPr>
            <w:r>
              <w:t>符合</w:t>
            </w:r>
          </w:p>
        </w:tc>
      </w:tr>
      <w:tr w14:paraId="2BD0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 w:type="pct"/>
            <w:vAlign w:val="center"/>
          </w:tcPr>
          <w:p w14:paraId="042C352C">
            <w:pPr>
              <w:pStyle w:val="557"/>
            </w:pPr>
            <w:r>
              <w:t>16</w:t>
            </w:r>
          </w:p>
        </w:tc>
        <w:tc>
          <w:tcPr>
            <w:tcW w:w="2171" w:type="pct"/>
            <w:vAlign w:val="center"/>
          </w:tcPr>
          <w:p w14:paraId="2F009B39">
            <w:pPr>
              <w:pStyle w:val="557"/>
              <w:jc w:val="both"/>
            </w:pPr>
            <w:r>
              <w:t>环境影响评价文件编制规范，基础资料数据应符合实际情况，内容完整、准确，环境影响评价结论明确、合理，符合环境影响评价技术导则要求。</w:t>
            </w:r>
          </w:p>
        </w:tc>
        <w:tc>
          <w:tcPr>
            <w:tcW w:w="2468" w:type="pct"/>
            <w:vAlign w:val="center"/>
          </w:tcPr>
          <w:p w14:paraId="454FA310">
            <w:pPr>
              <w:pStyle w:val="557"/>
              <w:jc w:val="both"/>
            </w:pPr>
            <w:r>
              <w:rPr>
                <w:rFonts w:hint="eastAsia"/>
              </w:rPr>
              <w:t>（1）</w:t>
            </w:r>
            <w:r>
              <w:t>本环评对评价区域的自然环境、工业企业及人口分布情况进行了调查，收集了当地水文、地质、气象以及环境质量等资料；现场开展区域污染源调查及敏感目标调查，保证资料数据符合实际，完整、准确。</w:t>
            </w:r>
          </w:p>
          <w:p w14:paraId="1B2F6FFC">
            <w:pPr>
              <w:pStyle w:val="557"/>
              <w:jc w:val="both"/>
            </w:pPr>
            <w:r>
              <w:t>（2）本环评依据《环境影响评价技术导则总纲》（HJ2.1-2016）及各环境要素环境影响评价技术导则，综合分析本项目建设的环境可行性，得出环境影响评价结论，规范编制环境影响报告书。</w:t>
            </w:r>
          </w:p>
        </w:tc>
        <w:tc>
          <w:tcPr>
            <w:tcW w:w="193" w:type="pct"/>
            <w:vAlign w:val="center"/>
          </w:tcPr>
          <w:p w14:paraId="05E7E1DB">
            <w:pPr>
              <w:pStyle w:val="557"/>
            </w:pPr>
            <w:r>
              <w:t>符合</w:t>
            </w:r>
          </w:p>
        </w:tc>
      </w:tr>
    </w:tbl>
    <w:p w14:paraId="6CEA22D0">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与碳减排</w:t>
      </w:r>
      <w:r>
        <w:rPr>
          <w:color w:val="000000" w:themeColor="text1"/>
          <w14:textFill>
            <w14:solidFill>
              <w14:schemeClr w14:val="tx1"/>
            </w14:solidFill>
          </w14:textFill>
        </w:rPr>
        <w:t>符合性分析</w:t>
      </w:r>
    </w:p>
    <w:p w14:paraId="6D467E32">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本项目与</w:t>
      </w:r>
      <w:r>
        <w:rPr>
          <w:rFonts w:hint="eastAsia"/>
          <w:color w:val="000000" w:themeColor="text1"/>
          <w14:textFill>
            <w14:solidFill>
              <w14:schemeClr w14:val="tx1"/>
            </w14:solidFill>
          </w14:textFill>
        </w:rPr>
        <w:t>碳减排</w:t>
      </w:r>
      <w:r>
        <w:rPr>
          <w:color w:val="000000" w:themeColor="text1"/>
          <w14:textFill>
            <w14:solidFill>
              <w14:schemeClr w14:val="tx1"/>
            </w14:solidFill>
          </w14:textFill>
        </w:rPr>
        <w:t>相关政策符合性分析见表8.1.</w:t>
      </w:r>
      <w:r>
        <w:rPr>
          <w:rFonts w:hint="eastAsia"/>
          <w:color w:val="000000" w:themeColor="text1"/>
          <w14:textFill>
            <w14:solidFill>
              <w14:schemeClr w14:val="tx1"/>
            </w14:solidFill>
          </w14:textFill>
        </w:rPr>
        <w:t>3-1。</w:t>
      </w:r>
    </w:p>
    <w:p w14:paraId="44642F16">
      <w:pPr>
        <w:pStyle w:val="281"/>
        <w:ind w:firstLine="480"/>
        <w:rPr>
          <w:rFonts w:hint="eastAsia" w:ascii="黑体" w:hAnsi="黑体" w:eastAsia="黑体"/>
          <w:b/>
          <w:color w:val="000000" w:themeColor="text1"/>
          <w:spacing w:val="8"/>
          <w:szCs w:val="24"/>
          <w14:textFill>
            <w14:solidFill>
              <w14:schemeClr w14:val="tx1"/>
            </w14:solidFill>
          </w14:textFill>
        </w:rPr>
      </w:pPr>
      <w:r>
        <w:rPr>
          <w:color w:val="000000" w:themeColor="text1"/>
          <w14:textFill>
            <w14:solidFill>
              <w14:schemeClr w14:val="tx1"/>
            </w14:solidFill>
          </w14:textFill>
        </w:rPr>
        <w:t>根据详细论证，本项目</w:t>
      </w:r>
      <w:r>
        <w:rPr>
          <w:rFonts w:hint="eastAsia"/>
          <w:color w:val="000000" w:themeColor="text1"/>
          <w14:textFill>
            <w14:solidFill>
              <w14:schemeClr w14:val="tx1"/>
            </w14:solidFill>
          </w14:textFill>
        </w:rPr>
        <w:t>碳减排方案符合碳减排</w:t>
      </w:r>
      <w:r>
        <w:rPr>
          <w:color w:val="000000" w:themeColor="text1"/>
          <w14:textFill>
            <w14:solidFill>
              <w14:schemeClr w14:val="tx1"/>
            </w14:solidFill>
          </w14:textFill>
        </w:rPr>
        <w:t>相关</w:t>
      </w:r>
      <w:r>
        <w:rPr>
          <w:rFonts w:hint="eastAsia"/>
          <w:color w:val="000000" w:themeColor="text1"/>
          <w14:textFill>
            <w14:solidFill>
              <w14:schemeClr w14:val="tx1"/>
            </w14:solidFill>
          </w14:textFill>
        </w:rPr>
        <w:t>管理</w:t>
      </w:r>
      <w:r>
        <w:rPr>
          <w:color w:val="000000" w:themeColor="text1"/>
          <w14:textFill>
            <w14:solidFill>
              <w14:schemeClr w14:val="tx1"/>
            </w14:solidFill>
          </w14:textFill>
        </w:rPr>
        <w:t>政策要求。</w:t>
      </w:r>
    </w:p>
    <w:p w14:paraId="526F409F">
      <w:pPr>
        <w:pStyle w:val="91"/>
        <w:spacing w:line="360" w:lineRule="auto"/>
        <w:ind w:firstLine="514"/>
        <w:jc w:val="center"/>
        <w:rPr>
          <w:rFonts w:hint="eastAsia" w:ascii="黑体" w:hAnsi="黑体" w:eastAsia="黑体"/>
          <w:b/>
          <w:color w:val="000000" w:themeColor="text1"/>
          <w:spacing w:val="8"/>
          <w:sz w:val="24"/>
          <w14:textFill>
            <w14:solidFill>
              <w14:schemeClr w14:val="tx1"/>
            </w14:solidFill>
          </w14:textFill>
        </w:rPr>
      </w:pPr>
      <w:r>
        <w:rPr>
          <w:rFonts w:hint="eastAsia" w:ascii="黑体" w:hAnsi="黑体" w:eastAsia="黑体"/>
          <w:b/>
          <w:color w:val="000000" w:themeColor="text1"/>
          <w:spacing w:val="8"/>
          <w:sz w:val="24"/>
          <w14:textFill>
            <w14:solidFill>
              <w14:schemeClr w14:val="tx1"/>
            </w14:solidFill>
          </w14:textFill>
        </w:rPr>
        <w:t>表8.1</w:t>
      </w:r>
      <w:r>
        <w:rPr>
          <w:rFonts w:ascii="黑体" w:hAnsi="黑体" w:eastAsia="黑体"/>
          <w:b/>
          <w:color w:val="000000" w:themeColor="text1"/>
          <w:spacing w:val="8"/>
          <w:sz w:val="24"/>
          <w14:textFill>
            <w14:solidFill>
              <w14:schemeClr w14:val="tx1"/>
            </w14:solidFill>
          </w14:textFill>
        </w:rPr>
        <w:t>.</w:t>
      </w:r>
      <w:r>
        <w:rPr>
          <w:rFonts w:hint="eastAsia" w:ascii="黑体" w:hAnsi="黑体" w:eastAsia="黑体"/>
          <w:b/>
          <w:color w:val="000000" w:themeColor="text1"/>
          <w:spacing w:val="8"/>
          <w:sz w:val="24"/>
          <w14:textFill>
            <w14:solidFill>
              <w14:schemeClr w14:val="tx1"/>
            </w14:solidFill>
          </w14:textFill>
        </w:rPr>
        <w:t>3-1</w:t>
      </w:r>
      <w:r>
        <w:rPr>
          <w:rFonts w:ascii="黑体" w:hAnsi="黑体" w:eastAsia="黑体"/>
          <w:b/>
          <w:color w:val="000000" w:themeColor="text1"/>
          <w:spacing w:val="8"/>
          <w:sz w:val="24"/>
          <w14:textFill>
            <w14:solidFill>
              <w14:schemeClr w14:val="tx1"/>
            </w14:solidFill>
          </w14:textFill>
        </w:rPr>
        <w:t xml:space="preserve">   </w:t>
      </w:r>
      <w:r>
        <w:rPr>
          <w:rFonts w:hint="eastAsia" w:ascii="黑体" w:hAnsi="黑体" w:eastAsia="黑体"/>
          <w:b/>
          <w:color w:val="000000" w:themeColor="text1"/>
          <w:spacing w:val="8"/>
          <w:sz w:val="24"/>
          <w14:textFill>
            <w14:solidFill>
              <w14:schemeClr w14:val="tx1"/>
            </w14:solidFill>
          </w14:textFill>
        </w:rPr>
        <w:t>本项目碳减排方案与碳减排相关政策的符合性分析</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579"/>
        <w:gridCol w:w="5866"/>
        <w:gridCol w:w="5318"/>
        <w:gridCol w:w="811"/>
      </w:tblGrid>
      <w:tr w14:paraId="59F3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110F079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bookmarkStart w:id="547" w:name="_Hlk179670767"/>
            <w:r>
              <w:rPr>
                <w:rFonts w:ascii="Times New Roman" w:hAnsi="Times New Roman" w:cs="Times New Roman"/>
                <w:color w:val="000000" w:themeColor="text1"/>
                <w:sz w:val="18"/>
                <w14:textFill>
                  <w14:solidFill>
                    <w14:schemeClr w14:val="tx1"/>
                  </w14:solidFill>
                </w14:textFill>
              </w:rPr>
              <w:t>序号</w:t>
            </w:r>
          </w:p>
        </w:tc>
        <w:tc>
          <w:tcPr>
            <w:tcW w:w="557" w:type="pct"/>
            <w:vAlign w:val="center"/>
          </w:tcPr>
          <w:p w14:paraId="08A371B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政策文件</w:t>
            </w:r>
          </w:p>
        </w:tc>
        <w:tc>
          <w:tcPr>
            <w:tcW w:w="2069" w:type="pct"/>
            <w:vAlign w:val="center"/>
          </w:tcPr>
          <w:p w14:paraId="014F54D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具体要求</w:t>
            </w:r>
          </w:p>
        </w:tc>
        <w:tc>
          <w:tcPr>
            <w:tcW w:w="1876" w:type="pct"/>
            <w:vAlign w:val="center"/>
          </w:tcPr>
          <w:p w14:paraId="5B76E5F7">
            <w:pPr>
              <w:pStyle w:val="184"/>
              <w:widowControl w:val="0"/>
              <w:autoSpaceDE w:val="0"/>
              <w:autoSpaceDN w:val="0"/>
              <w:adjustRightInd w:val="0"/>
              <w:spacing w:line="240" w:lineRule="auto"/>
              <w:ind w:firstLine="360" w:firstLineChars="200"/>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本项目情况</w:t>
            </w:r>
          </w:p>
        </w:tc>
        <w:tc>
          <w:tcPr>
            <w:tcW w:w="286" w:type="pct"/>
            <w:vAlign w:val="center"/>
          </w:tcPr>
          <w:p w14:paraId="7B612C7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符合性</w:t>
            </w:r>
          </w:p>
        </w:tc>
      </w:tr>
      <w:tr w14:paraId="29E6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restart"/>
            <w:vAlign w:val="center"/>
          </w:tcPr>
          <w:p w14:paraId="772F9E3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557" w:type="pct"/>
            <w:vMerge w:val="restart"/>
            <w:vAlign w:val="center"/>
          </w:tcPr>
          <w:p w14:paraId="78D69E5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《国务院关于印发2030年前碳达峰行动方案的通知》（国发〔2021〕23 号）</w:t>
            </w:r>
          </w:p>
        </w:tc>
        <w:tc>
          <w:tcPr>
            <w:tcW w:w="2069" w:type="pct"/>
            <w:vAlign w:val="center"/>
          </w:tcPr>
          <w:p w14:paraId="5C866113">
            <w:pPr>
              <w:pStyle w:val="557"/>
            </w:pPr>
            <w:r>
              <w:t>“十四五”期间，产业结构和能源结构调整优化取得明显进展，重点行业能源利用效率大幅提升，煤炭消费增长得到严格控制，新型电力系统加快构建，绿色低碳技术研发和推广应用取得新进展，绿色生产生活方式得到普遍推行，有利于绿色低碳循环发展的政策体系进一步完善。</w:t>
            </w:r>
          </w:p>
        </w:tc>
        <w:tc>
          <w:tcPr>
            <w:tcW w:w="1876" w:type="pct"/>
            <w:vMerge w:val="restart"/>
            <w:vAlign w:val="center"/>
          </w:tcPr>
          <w:p w14:paraId="2A470985">
            <w:pPr>
              <w:pStyle w:val="557"/>
              <w:jc w:val="both"/>
            </w:pPr>
            <w:r>
              <w:t>本项目采用副产蒸汽并回用生产的减排方案后，二氧化碳排放量减少，对于碳减排是有积极意义的。</w:t>
            </w:r>
          </w:p>
        </w:tc>
        <w:tc>
          <w:tcPr>
            <w:tcW w:w="286" w:type="pct"/>
            <w:vMerge w:val="restart"/>
            <w:vAlign w:val="center"/>
          </w:tcPr>
          <w:p w14:paraId="0244F13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69B4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0502201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57" w:type="pct"/>
            <w:vMerge w:val="continue"/>
            <w:vAlign w:val="center"/>
          </w:tcPr>
          <w:p w14:paraId="3D94F8C1">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2069" w:type="pct"/>
            <w:vAlign w:val="center"/>
          </w:tcPr>
          <w:p w14:paraId="1717D005">
            <w:pPr>
              <w:pStyle w:val="557"/>
            </w:pPr>
            <w:r>
              <w:t>“十五五”期间，产业结构调整取得重大进展，清洁低碳安全高效的能源体系初步建立，重点领域低碳发展模式基本形成，重点耗能行业能源利用效率达到国际先进水平，非化石能源消费比重进一步提高，煤炭消费逐步减少，绿色低碳技术取得关键突破，绿色生活方式成为公众自觉选择，绿色低碳循环发展政策体系基本健全。</w:t>
            </w:r>
          </w:p>
        </w:tc>
        <w:tc>
          <w:tcPr>
            <w:tcW w:w="1876" w:type="pct"/>
            <w:vMerge w:val="continue"/>
            <w:vAlign w:val="center"/>
          </w:tcPr>
          <w:p w14:paraId="0794035F">
            <w:pPr>
              <w:pStyle w:val="557"/>
              <w:jc w:val="both"/>
            </w:pPr>
          </w:p>
        </w:tc>
        <w:tc>
          <w:tcPr>
            <w:tcW w:w="286" w:type="pct"/>
            <w:vMerge w:val="continue"/>
            <w:vAlign w:val="center"/>
          </w:tcPr>
          <w:p w14:paraId="545205C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559E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5CC13444">
            <w:pPr>
              <w:pStyle w:val="184"/>
              <w:widowControl w:val="0"/>
              <w:autoSpaceDE w:val="0"/>
              <w:autoSpaceDN w:val="0"/>
              <w:adjustRightInd w:val="0"/>
              <w:spacing w:line="240" w:lineRule="auto"/>
              <w:rPr>
                <w:rFonts w:ascii="Times New Roman" w:hAnsi="Times New Roman" w:cs="Times New Roman"/>
                <w:color w:val="FF0000"/>
                <w:sz w:val="18"/>
              </w:rPr>
            </w:pPr>
          </w:p>
        </w:tc>
        <w:tc>
          <w:tcPr>
            <w:tcW w:w="557" w:type="pct"/>
            <w:vMerge w:val="continue"/>
            <w:vAlign w:val="center"/>
          </w:tcPr>
          <w:p w14:paraId="7AFF034B">
            <w:pPr>
              <w:pStyle w:val="184"/>
              <w:widowControl w:val="0"/>
              <w:autoSpaceDE w:val="0"/>
              <w:autoSpaceDN w:val="0"/>
              <w:adjustRightInd w:val="0"/>
              <w:spacing w:line="240" w:lineRule="auto"/>
              <w:jc w:val="left"/>
              <w:rPr>
                <w:rFonts w:ascii="Times New Roman" w:hAnsi="Times New Roman" w:cs="Times New Roman"/>
                <w:color w:val="FF0000"/>
                <w:sz w:val="18"/>
              </w:rPr>
            </w:pPr>
          </w:p>
        </w:tc>
        <w:tc>
          <w:tcPr>
            <w:tcW w:w="2069" w:type="pct"/>
            <w:vAlign w:val="center"/>
          </w:tcPr>
          <w:p w14:paraId="242E585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实施节能降碳重点工程。实施重点行业节能降碳工程，推动电力、钢铁、有色金属、建材、石化化工等行业开展节能降碳改造，提升能源资源利用效率。实施重大节能降碳技术示范工程，支持已取得突破的绿色低碳关键技术开展产业化示范应用。</w:t>
            </w:r>
          </w:p>
        </w:tc>
        <w:tc>
          <w:tcPr>
            <w:tcW w:w="1876" w:type="pct"/>
            <w:vMerge w:val="continue"/>
            <w:vAlign w:val="center"/>
          </w:tcPr>
          <w:p w14:paraId="21000ACD">
            <w:pPr>
              <w:pStyle w:val="184"/>
              <w:widowControl w:val="0"/>
              <w:autoSpaceDE w:val="0"/>
              <w:autoSpaceDN w:val="0"/>
              <w:adjustRightInd w:val="0"/>
              <w:spacing w:line="240" w:lineRule="auto"/>
              <w:ind w:firstLine="360" w:firstLineChars="200"/>
              <w:jc w:val="both"/>
              <w:rPr>
                <w:rFonts w:ascii="Times New Roman" w:hAnsi="Times New Roman" w:cs="Times New Roman"/>
                <w:color w:val="FF0000"/>
                <w:sz w:val="18"/>
              </w:rPr>
            </w:pPr>
          </w:p>
        </w:tc>
        <w:tc>
          <w:tcPr>
            <w:tcW w:w="286" w:type="pct"/>
            <w:vMerge w:val="continue"/>
            <w:vAlign w:val="center"/>
          </w:tcPr>
          <w:p w14:paraId="19AB245B">
            <w:pPr>
              <w:pStyle w:val="184"/>
              <w:widowControl w:val="0"/>
              <w:autoSpaceDE w:val="0"/>
              <w:autoSpaceDN w:val="0"/>
              <w:adjustRightInd w:val="0"/>
              <w:spacing w:line="240" w:lineRule="auto"/>
              <w:rPr>
                <w:rFonts w:ascii="Times New Roman" w:hAnsi="Times New Roman" w:cs="Times New Roman"/>
                <w:color w:val="FF0000"/>
                <w:sz w:val="18"/>
              </w:rPr>
            </w:pPr>
          </w:p>
        </w:tc>
      </w:tr>
      <w:tr w14:paraId="5355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restart"/>
            <w:vAlign w:val="center"/>
          </w:tcPr>
          <w:p w14:paraId="39F994F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557" w:type="pct"/>
            <w:vMerge w:val="restart"/>
            <w:vAlign w:val="center"/>
          </w:tcPr>
          <w:p w14:paraId="36D505F9">
            <w:pPr>
              <w:pStyle w:val="184"/>
              <w:widowControl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《国家发展改革委等部门关于严格能效约束推动重点领域节能降碳的若干意见》</w:t>
            </w:r>
          </w:p>
          <w:p w14:paraId="2553026B">
            <w:pPr>
              <w:pStyle w:val="184"/>
              <w:widowControl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（发改产业〔2021〕1464号</w:t>
            </w:r>
          </w:p>
        </w:tc>
        <w:tc>
          <w:tcPr>
            <w:tcW w:w="2069" w:type="pct"/>
            <w:vAlign w:val="center"/>
          </w:tcPr>
          <w:p w14:paraId="7C9077F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（三）主要目标。到2025 年，通过实施节能降碳行动，钢铁、电解铝、水泥、平板玻璃、炼油、乙烯、合成氨、电石等重点行业和数据中心达到标杆水平的产能比例超过30%，行业整体能效水平明显提升，碳排放强度明显下降，</w:t>
            </w:r>
          </w:p>
          <w:p w14:paraId="4D58432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绿色低碳发展能力显著增强。到2030 年，重点行业能效基准水平和标杆水平进一步提高，达到标杆水平企业比例大幅提升，行业整体能效水平和碳排放强度达到国际先进水平，为如期实现碳达峰目标提供有力支撑。</w:t>
            </w:r>
          </w:p>
        </w:tc>
        <w:tc>
          <w:tcPr>
            <w:tcW w:w="1876" w:type="pct"/>
            <w:vAlign w:val="center"/>
          </w:tcPr>
          <w:p w14:paraId="4E15475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本项目采用回收热能、副产蒸汽并回用生产的减排方案后，二氧化碳排放量减少了，对于碳减排是有积极意义的。</w:t>
            </w:r>
          </w:p>
        </w:tc>
        <w:tc>
          <w:tcPr>
            <w:tcW w:w="286" w:type="pct"/>
            <w:vMerge w:val="restart"/>
            <w:vAlign w:val="center"/>
          </w:tcPr>
          <w:p w14:paraId="215EF7C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67B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084AA15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57" w:type="pct"/>
            <w:vMerge w:val="continue"/>
            <w:vAlign w:val="center"/>
          </w:tcPr>
          <w:p w14:paraId="321C6A56">
            <w:pPr>
              <w:pStyle w:val="184"/>
              <w:widowControl w:val="0"/>
              <w:autoSpaceDE w:val="0"/>
              <w:autoSpaceDN w:val="0"/>
              <w:adjustRightInd w:val="0"/>
              <w:spacing w:line="240" w:lineRule="auto"/>
              <w:jc w:val="left"/>
              <w:rPr>
                <w:rFonts w:ascii="Times New Roman" w:hAnsi="Times New Roman" w:cs="Times New Roman"/>
                <w:color w:val="000000" w:themeColor="text1"/>
                <w:sz w:val="18"/>
                <w14:textFill>
                  <w14:solidFill>
                    <w14:schemeClr w14:val="tx1"/>
                  </w14:solidFill>
                </w14:textFill>
              </w:rPr>
            </w:pPr>
          </w:p>
        </w:tc>
        <w:tc>
          <w:tcPr>
            <w:tcW w:w="2069" w:type="pct"/>
            <w:vAlign w:val="center"/>
          </w:tcPr>
          <w:p w14:paraId="0728360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突出抓好重点行业。分步实施、有序推进重点行业节能降碳工作，首批聚焦能源消耗占比较高、改造条件相对成熟、示范带动作用明显的钢铁、电解铝、水泥、平板玻璃、炼油、乙烯、合成氨、电石等重点行业和数据中心组织实施。</w:t>
            </w:r>
          </w:p>
        </w:tc>
        <w:tc>
          <w:tcPr>
            <w:tcW w:w="1876" w:type="pct"/>
            <w:vAlign w:val="center"/>
          </w:tcPr>
          <w:p w14:paraId="2CAD09F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本项目为煤制氮肥行业，项目可达到《</w:t>
            </w:r>
            <w:r>
              <w:rPr>
                <w:rFonts w:hint="eastAsia" w:ascii="Times New Roman" w:hAnsi="Times New Roman" w:cs="Times New Roman"/>
                <w:color w:val="000000" w:themeColor="text1"/>
                <w:sz w:val="18"/>
                <w14:textFill>
                  <w14:solidFill>
                    <w14:schemeClr w14:val="tx1"/>
                  </w14:solidFill>
                </w14:textFill>
              </w:rPr>
              <w:t>工业重点领域能效标杆水平和基准水平（2023年版）》《</w:t>
            </w:r>
            <w:r>
              <w:rPr>
                <w:rFonts w:ascii="Times New Roman" w:hAnsi="Times New Roman" w:cs="Times New Roman"/>
                <w:color w:val="000000" w:themeColor="text1"/>
                <w:sz w:val="18"/>
                <w14:textFill>
                  <w14:solidFill>
                    <w14:schemeClr w14:val="tx1"/>
                  </w14:solidFill>
                </w14:textFill>
              </w:rPr>
              <w:t>煤炭清洁高效利用重点领域标杆水平和基准水平（2022年版）》标杆水平</w:t>
            </w:r>
          </w:p>
        </w:tc>
        <w:tc>
          <w:tcPr>
            <w:tcW w:w="286" w:type="pct"/>
            <w:vMerge w:val="continue"/>
            <w:vAlign w:val="center"/>
          </w:tcPr>
          <w:p w14:paraId="0563889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521B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restart"/>
            <w:vAlign w:val="center"/>
          </w:tcPr>
          <w:p w14:paraId="6CAB7631">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w:t>
            </w:r>
          </w:p>
        </w:tc>
        <w:tc>
          <w:tcPr>
            <w:tcW w:w="557" w:type="pct"/>
            <w:vMerge w:val="restart"/>
            <w:vAlign w:val="center"/>
          </w:tcPr>
          <w:p w14:paraId="08E227C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《国务院关于加快建立健全绿色低碳循环发展经济体系的指导意见》（国发〔2021〕4号）</w:t>
            </w:r>
          </w:p>
        </w:tc>
        <w:tc>
          <w:tcPr>
            <w:tcW w:w="2069" w:type="pct"/>
            <w:vAlign w:val="center"/>
          </w:tcPr>
          <w:p w14:paraId="671C6EA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管理。</w:t>
            </w:r>
          </w:p>
        </w:tc>
        <w:tc>
          <w:tcPr>
            <w:tcW w:w="1876" w:type="pct"/>
            <w:vAlign w:val="center"/>
          </w:tcPr>
          <w:p w14:paraId="48CEF94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本项目采用先进的煤炭优质化加工技术，通过气化技术提取煤中有用的碳氢化合物，生产液氨，通过液氨生产草酰胺，继而生产有机缓释肥等化学品</w:t>
            </w:r>
            <w:r>
              <w:rPr>
                <w:rFonts w:ascii="Times New Roman" w:hAnsi="Times New Roman" w:cs="Times New Roman"/>
                <w:color w:val="000000" w:themeColor="text1"/>
                <w:sz w:val="18"/>
                <w14:textFill>
                  <w14:solidFill>
                    <w14:schemeClr w14:val="tx1"/>
                  </w14:solidFill>
                </w14:textFill>
              </w:rPr>
              <w:t>，项目清洁生产水平达到国内领先水平。</w:t>
            </w:r>
          </w:p>
          <w:p w14:paraId="473EF4FC">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（2）本项目满足清污分流、污污分流、深度处理、分质回用原则，项目生产废水、生活污水等经厂内污水处理站、回用水站处理后，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w:t>
            </w:r>
            <w:r>
              <w:rPr>
                <w:rFonts w:ascii="Times New Roman" w:hAnsi="Times New Roman" w:cs="Times New Roman"/>
                <w:color w:val="000000" w:themeColor="text1"/>
                <w:sz w:val="18"/>
                <w14:textFill>
                  <w14:solidFill>
                    <w14:schemeClr w14:val="tx1"/>
                  </w14:solidFill>
                </w14:textFill>
              </w:rPr>
              <w:t>回用</w:t>
            </w:r>
            <w:r>
              <w:rPr>
                <w:rFonts w:hint="eastAsia" w:ascii="Times New Roman" w:hAnsi="Times New Roman" w:cs="Times New Roman"/>
                <w:color w:val="000000" w:themeColor="text1"/>
                <w:sz w:val="18"/>
                <w14:textFill>
                  <w14:solidFill>
                    <w14:schemeClr w14:val="tx1"/>
                  </w14:solidFill>
                </w14:textFill>
              </w:rPr>
              <w:t>于生产</w:t>
            </w:r>
            <w:r>
              <w:rPr>
                <w:rFonts w:ascii="Times New Roman" w:hAnsi="Times New Roman" w:cs="Times New Roman"/>
                <w:color w:val="000000" w:themeColor="text1"/>
                <w:sz w:val="18"/>
                <w14:textFill>
                  <w14:solidFill>
                    <w14:schemeClr w14:val="tx1"/>
                  </w14:solidFill>
                </w14:textFill>
              </w:rPr>
              <w:t>。</w:t>
            </w:r>
          </w:p>
          <w:p w14:paraId="5549449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（3）本项目</w:t>
            </w:r>
            <w:r>
              <w:rPr>
                <w:rFonts w:hint="eastAsia" w:ascii="Times New Roman" w:hAnsi="Times New Roman" w:cs="Times New Roman"/>
                <w:color w:val="000000" w:themeColor="text1"/>
                <w:sz w:val="18"/>
                <w14:textFill>
                  <w14:solidFill>
                    <w14:schemeClr w14:val="tx1"/>
                  </w14:solidFill>
                </w14:textFill>
              </w:rPr>
              <w:t>固废</w:t>
            </w:r>
            <w:r>
              <w:rPr>
                <w:rFonts w:ascii="Times New Roman" w:hAnsi="Times New Roman" w:cs="Times New Roman"/>
                <w:color w:val="000000" w:themeColor="text1"/>
                <w:sz w:val="18"/>
                <w14:textFill>
                  <w14:solidFill>
                    <w14:schemeClr w14:val="tx1"/>
                  </w14:solidFill>
                </w14:textFill>
              </w:rPr>
              <w:t>优先综合利用，不能利用的一般固体废物暂存于按《一般工业固体废物贮存和填埋污染控制标准》（GB 18599）要求建设的暂存库，定期送一般固废填埋场填埋；生活垃圾自行或委托环卫部门拉运到指定垃圾场卫生填埋；危险废物委托有资质单位处置。</w:t>
            </w:r>
          </w:p>
          <w:p w14:paraId="76D9DF13">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（4）本项目工业固体废物和危险废物无害化处理处置率均达到100%。</w:t>
            </w:r>
          </w:p>
        </w:tc>
        <w:tc>
          <w:tcPr>
            <w:tcW w:w="286" w:type="pct"/>
            <w:vMerge w:val="restart"/>
            <w:vAlign w:val="center"/>
          </w:tcPr>
          <w:p w14:paraId="1F4FC3E8">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61E1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7D55B26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57" w:type="pct"/>
            <w:vMerge w:val="continue"/>
            <w:vAlign w:val="center"/>
          </w:tcPr>
          <w:p w14:paraId="5BA96EA2">
            <w:pPr>
              <w:widowControl w:val="0"/>
              <w:autoSpaceDE w:val="0"/>
              <w:autoSpaceDN w:val="0"/>
              <w:adjustRightInd w:val="0"/>
              <w:jc w:val="left"/>
              <w:rPr>
                <w:rFonts w:ascii="Times New Roman" w:hAnsi="Times New Roman" w:cs="Times New Roman"/>
                <w:color w:val="000000" w:themeColor="text1"/>
                <w:sz w:val="18"/>
                <w:szCs w:val="18"/>
                <w14:textFill>
                  <w14:solidFill>
                    <w14:schemeClr w14:val="tx1"/>
                  </w14:solidFill>
                </w14:textFill>
              </w:rPr>
            </w:pPr>
          </w:p>
        </w:tc>
        <w:tc>
          <w:tcPr>
            <w:tcW w:w="2069" w:type="pct"/>
            <w:vAlign w:val="center"/>
          </w:tcPr>
          <w:p w14:paraId="0E0621A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推动能源体系绿色低碳转型。坚持节能优先，完善能源消费总量和强度双控制度。提升可再生能源利用比例，大力推动风电、光伏发电发展，因地制宜发展水能、地热能、海洋能、氢能、生物质能、光热发电。加快大容量储能技术研发推广，提升电网汇集和外送能力。增加农村清洁能源供应，推动农村发展生物质能。促进燃煤清洁高效开发转化利用，继续提升大容量、高参数、低污染煤电机组占煤电装机比例。在北方地区县城积极发展清洁热电联产集中供暖，稳步推进生物质耦合供热。严控新增煤电装机容量。提高能源输配效率。实施城乡配电网建设和智能升级计划，推进农村电网升级改造。加快天然气基础设施建设和互联互通。开展二氧化碳捕集、利用和封存试验示范。</w:t>
            </w:r>
          </w:p>
        </w:tc>
        <w:tc>
          <w:tcPr>
            <w:tcW w:w="1876" w:type="pct"/>
            <w:vAlign w:val="center"/>
          </w:tcPr>
          <w:p w14:paraId="1C450318">
            <w:pPr>
              <w:pStyle w:val="557"/>
              <w:jc w:val="both"/>
            </w:pPr>
            <w:r>
              <w:t>（1）</w:t>
            </w:r>
            <w:r>
              <w:rPr>
                <w:rFonts w:hint="eastAsia"/>
              </w:rPr>
              <w:t>本项目采用先进的煤炭优质化加工技术，通过气化技术提取煤中有用的碳氢化合物，生产液氨，通过液氨生产草酰胺，继而生产有机缓释肥等化学品，项目清洁生产水平达到国内领先水平</w:t>
            </w:r>
            <w:r>
              <w:t>。</w:t>
            </w:r>
          </w:p>
          <w:p w14:paraId="1E946EE3">
            <w:pPr>
              <w:pStyle w:val="557"/>
              <w:jc w:val="both"/>
            </w:pPr>
            <w:r>
              <w:t>（2）本项目采用能量系统优化技术，实现全厂能量梯级利用。</w:t>
            </w:r>
          </w:p>
          <w:p w14:paraId="3F6EB2A9">
            <w:pPr>
              <w:pStyle w:val="557"/>
              <w:jc w:val="both"/>
            </w:pPr>
            <w:r>
              <w:t>（3）本项目采用余热余压利用，用于副产蒸汽。</w:t>
            </w:r>
          </w:p>
          <w:p w14:paraId="14C8E014">
            <w:pPr>
              <w:pStyle w:val="557"/>
              <w:jc w:val="both"/>
            </w:pPr>
            <w:r>
              <w:t>（4）公辅设施选用高效机泵和高效节能电机，提高设备效率。</w:t>
            </w:r>
          </w:p>
          <w:p w14:paraId="79491B35">
            <w:pPr>
              <w:pStyle w:val="557"/>
              <w:jc w:val="both"/>
            </w:pPr>
            <w:r>
              <w:t>（5）本项目将温室气体排放纳入建设项目环境影响评价，核算建设项目温室气体排放量为</w:t>
            </w:r>
            <w:r>
              <w:rPr>
                <w:rFonts w:hint="eastAsia"/>
                <w:lang w:val="en-GB"/>
              </w:rPr>
              <w:t>2618687.02</w:t>
            </w:r>
            <w:r>
              <w:t>t/a。</w:t>
            </w:r>
          </w:p>
        </w:tc>
        <w:tc>
          <w:tcPr>
            <w:tcW w:w="286" w:type="pct"/>
            <w:vMerge w:val="continue"/>
            <w:vAlign w:val="center"/>
          </w:tcPr>
          <w:p w14:paraId="04A5A616">
            <w:pPr>
              <w:pStyle w:val="184"/>
              <w:widowControl w:val="0"/>
              <w:autoSpaceDE w:val="0"/>
              <w:autoSpaceDN w:val="0"/>
              <w:adjustRightInd w:val="0"/>
              <w:spacing w:line="240" w:lineRule="auto"/>
              <w:rPr>
                <w:rFonts w:ascii="Times New Roman" w:hAnsi="Times New Roman" w:cs="Times New Roman"/>
                <w:color w:val="FF0000"/>
                <w:sz w:val="18"/>
              </w:rPr>
            </w:pPr>
          </w:p>
        </w:tc>
      </w:tr>
      <w:tr w14:paraId="13AC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restart"/>
            <w:vAlign w:val="center"/>
          </w:tcPr>
          <w:p w14:paraId="1A8B501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w:t>
            </w:r>
          </w:p>
        </w:tc>
        <w:tc>
          <w:tcPr>
            <w:tcW w:w="557" w:type="pct"/>
            <w:vMerge w:val="restart"/>
            <w:vAlign w:val="center"/>
          </w:tcPr>
          <w:p w14:paraId="6D8C8866">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《中共中央国务院关于完整准确全面贯彻新发展理念做好碳达峰碳中和工作的意见》（中发〔2021〕36号）</w:t>
            </w:r>
          </w:p>
        </w:tc>
        <w:tc>
          <w:tcPr>
            <w:tcW w:w="2069" w:type="pct"/>
            <w:vAlign w:val="center"/>
          </w:tcPr>
          <w:p w14:paraId="4359AF8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主要目标：到 2025 年，绿色低碳循环发展的经济体系初步形成，重点行业能源利用效率大幅提升。单位国内生产总值能耗比2020 年下降13.5%；单位国内生产总值二氧化碳排放比2020 年下降18%；非化石</w:t>
            </w:r>
            <w:r>
              <w:rPr>
                <w:rFonts w:hint="eastAsia" w:ascii="Times New Roman" w:hAnsi="Times New Roman" w:cs="Times New Roman"/>
                <w:color w:val="000000" w:themeColor="text1"/>
                <w:sz w:val="18"/>
                <w14:textFill>
                  <w14:solidFill>
                    <w14:schemeClr w14:val="tx1"/>
                  </w14:solidFill>
                </w14:textFill>
              </w:rPr>
              <w:t>能源</w:t>
            </w:r>
            <w:r>
              <w:rPr>
                <w:rFonts w:ascii="Times New Roman" w:hAnsi="Times New Roman" w:cs="Times New Roman"/>
                <w:color w:val="000000" w:themeColor="text1"/>
                <w:sz w:val="18"/>
                <w14:textFill>
                  <w14:solidFill>
                    <w14:schemeClr w14:val="tx1"/>
                  </w14:solidFill>
                </w14:textFill>
              </w:rPr>
              <w:t>消费比重达到20%左右；森林覆盖率达到24.1%，森林蓄积量达到180亿立方米，为实现碳达峰、碳中和奠定坚实基础。到2030年，经济社会发展全面绿色转型取得显著成效，重点耗能行业能源利用效率达到国际先进水平。单位国内生产总值能耗大幅下降；单位国内生产总值二氧化碳排放比2005年下降65%以上；非化石能源消费比重达到25%左右，风电、太阳能发电总装机容量达到12亿千瓦以上；森林覆盖率达到25%左右，森林蓄积量达到190亿立方米，二氧化碳排放量达到峰值并实现稳中有降。到2060年，绿色低碳循环发展的经济体系和清洁低碳安全高效的能源体系全面建立，能源利用效率达到国际先进水平，非化石能源消费比重达到80%以上，碳中和目标顺利实现，生态文明建设取得丰硕成果，开创人与自然和谐共生新境界。</w:t>
            </w:r>
          </w:p>
        </w:tc>
        <w:tc>
          <w:tcPr>
            <w:tcW w:w="1876" w:type="pct"/>
            <w:vAlign w:val="center"/>
          </w:tcPr>
          <w:p w14:paraId="62AFE59F">
            <w:pPr>
              <w:pStyle w:val="557"/>
              <w:jc w:val="both"/>
            </w:pPr>
            <w:r>
              <w:t>（1）本项目将温室气体排放纳入建设项目环境影响评价，核算建设项目温室气体排放量为</w:t>
            </w:r>
            <w:r>
              <w:rPr>
                <w:rFonts w:hint="eastAsia"/>
                <w:lang w:val="en-GB"/>
              </w:rPr>
              <w:t>2618687.02</w:t>
            </w:r>
            <w:r>
              <w:t>t/a。</w:t>
            </w:r>
          </w:p>
          <w:p w14:paraId="1108F036">
            <w:pPr>
              <w:pStyle w:val="557"/>
              <w:jc w:val="both"/>
              <w:rPr>
                <w:color w:val="FF0000"/>
              </w:rPr>
            </w:pPr>
            <w:r>
              <w:t>（2）本项目为</w:t>
            </w:r>
            <w:r>
              <w:rPr>
                <w:rFonts w:hint="eastAsia"/>
              </w:rPr>
              <w:t>煤制</w:t>
            </w:r>
            <w:r>
              <w:t>氮肥行业，属于煤炭加工转化领域，符合煤炭清洁高效利用要求，项目煤制合成氨可达到《</w:t>
            </w:r>
            <w:r>
              <w:rPr>
                <w:rFonts w:hint="eastAsia"/>
              </w:rPr>
              <w:t>工业重点领域能效标杆水平和基准水平（2023年版）》《</w:t>
            </w:r>
            <w:r>
              <w:t>煤炭清洁高效利用重点领域标杆水平和基准水平（2022年版）》标杆水平；项目清洁生产属于国内先进水平</w:t>
            </w:r>
            <w:r>
              <w:rPr>
                <w:rFonts w:hint="eastAsia"/>
              </w:rPr>
              <w:t>。</w:t>
            </w:r>
          </w:p>
        </w:tc>
        <w:tc>
          <w:tcPr>
            <w:tcW w:w="286" w:type="pct"/>
            <w:vMerge w:val="restart"/>
            <w:vAlign w:val="center"/>
          </w:tcPr>
          <w:p w14:paraId="1EF40D3A">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0741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513D844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557" w:type="pct"/>
            <w:vMerge w:val="continue"/>
            <w:vAlign w:val="center"/>
          </w:tcPr>
          <w:p w14:paraId="4007B424">
            <w:pPr>
              <w:widowControl w:val="0"/>
              <w:autoSpaceDE w:val="0"/>
              <w:autoSpaceDN w:val="0"/>
              <w:adjustRightInd w:val="0"/>
              <w:jc w:val="left"/>
              <w:rPr>
                <w:rFonts w:ascii="Times New Roman" w:hAnsi="Times New Roman" w:cs="Times New Roman"/>
                <w:color w:val="000000" w:themeColor="text1"/>
                <w:sz w:val="18"/>
                <w:szCs w:val="18"/>
                <w14:textFill>
                  <w14:solidFill>
                    <w14:schemeClr w14:val="tx1"/>
                  </w14:solidFill>
                </w14:textFill>
              </w:rPr>
            </w:pPr>
          </w:p>
        </w:tc>
        <w:tc>
          <w:tcPr>
            <w:tcW w:w="2069" w:type="pct"/>
            <w:vAlign w:val="center"/>
          </w:tcPr>
          <w:p w14:paraId="02968C9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七）坚决遏制高耗能高排放项目盲目发展。新建、扩建钢铁、水泥、平板玻璃、电解铝等高耗能高排放项目严格落实产能等量或减量置换，出台煤电、石化、煤化工等产能控制政策。未国家有关领域产业规划的，一律不得新建改扩建炼油和新建乙烯、对二甲苯、煤制烯烃项目。合理控制煤制油气产能规模。提升高耗能高排放项目能耗准入标准。加强产能过剩分析预警和窗口指导。</w:t>
            </w:r>
          </w:p>
        </w:tc>
        <w:tc>
          <w:tcPr>
            <w:tcW w:w="1876" w:type="pct"/>
            <w:vAlign w:val="center"/>
          </w:tcPr>
          <w:p w14:paraId="649C499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本项目应在国家发展改革委会同有关部门对照能效水平、环保要求、产业政策、相关规划等要求加强窗口指导。</w:t>
            </w:r>
          </w:p>
        </w:tc>
        <w:tc>
          <w:tcPr>
            <w:tcW w:w="286" w:type="pct"/>
            <w:vMerge w:val="continue"/>
            <w:vAlign w:val="center"/>
          </w:tcPr>
          <w:p w14:paraId="5ABFB2F8">
            <w:pPr>
              <w:pStyle w:val="184"/>
              <w:widowControl w:val="0"/>
              <w:autoSpaceDE w:val="0"/>
              <w:autoSpaceDN w:val="0"/>
              <w:adjustRightInd w:val="0"/>
              <w:spacing w:line="240" w:lineRule="auto"/>
              <w:rPr>
                <w:rFonts w:ascii="Times New Roman" w:hAnsi="Times New Roman" w:cs="Times New Roman"/>
                <w:color w:val="FF0000"/>
                <w:sz w:val="18"/>
              </w:rPr>
            </w:pPr>
          </w:p>
        </w:tc>
      </w:tr>
      <w:tr w14:paraId="1310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restart"/>
            <w:vAlign w:val="center"/>
          </w:tcPr>
          <w:p w14:paraId="7FF3A1E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557" w:type="pct"/>
            <w:vMerge w:val="restart"/>
            <w:vAlign w:val="center"/>
          </w:tcPr>
          <w:p w14:paraId="409676E1">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关于印发《减污降碳协同增效实施方案》的通知</w:t>
            </w:r>
          </w:p>
          <w:p w14:paraId="675B617D">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（环综合〔2022〕42号）</w:t>
            </w:r>
          </w:p>
        </w:tc>
        <w:tc>
          <w:tcPr>
            <w:tcW w:w="2069" w:type="pct"/>
            <w:vAlign w:val="center"/>
          </w:tcPr>
          <w:p w14:paraId="37B7EAC0">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三）推进大气污染防治协同控制。优化治理技术路线，加大氮氧化物、挥发性有机物（VOCs）以及温室气体协同减排力度。一体推进重点行业大气污染深度治理与节能降碳行动，推动钢铁、水泥、焦化行业及锅炉超低排放改造，探索开展大气污染物与温室气体排放协同控制改造提升工程试点。VOCs等大气污染物治理优先采用源头替代措施。推进大气污染治理设备节能降耗，提高设备自动化智能化运行水平。加强消耗臭氧层物质和氢氟碳化物管理，加快使用含氢氯氟烃生产线改造，逐步淘汰氢氯氟烃使用。推进移动源大气污染物排放和碳排放协同治理。</w:t>
            </w:r>
          </w:p>
        </w:tc>
        <w:tc>
          <w:tcPr>
            <w:tcW w:w="1876" w:type="pct"/>
            <w:vAlign w:val="center"/>
          </w:tcPr>
          <w:p w14:paraId="25B5A8A2">
            <w:pPr>
              <w:pStyle w:val="557"/>
              <w:jc w:val="both"/>
            </w:pPr>
            <w:r>
              <w:t>（1）本项目严格开展挥发性有机物治理工作，密闭尾气系统收集泄漏的尾气并将其送至控制设施。采用设备与管阀件泄漏检测与维修（LDAR）方法对识别出的泄漏设备进行检测和修复。</w:t>
            </w:r>
          </w:p>
          <w:p w14:paraId="4513235F">
            <w:pPr>
              <w:pStyle w:val="557"/>
              <w:jc w:val="both"/>
            </w:pPr>
            <w:r>
              <w:t>（2）本项目根据工艺流程与排放环节，测算了项目二氧化碳排放水平，并提出减排措施及管理要求。</w:t>
            </w:r>
          </w:p>
          <w:p w14:paraId="0A40C929">
            <w:pPr>
              <w:pStyle w:val="557"/>
              <w:jc w:val="both"/>
            </w:pPr>
            <w:r>
              <w:t>（3）根据目前可能的二氧化碳减排途径，采用回收热能、副产蒸汽并回用生产的减排方案后，二氧化碳排放量减少了，对于碳减排是有积极意义的。</w:t>
            </w:r>
          </w:p>
        </w:tc>
        <w:tc>
          <w:tcPr>
            <w:tcW w:w="286" w:type="pct"/>
            <w:vMerge w:val="restart"/>
            <w:vAlign w:val="center"/>
          </w:tcPr>
          <w:p w14:paraId="7271CE9B">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752C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6A5C0313">
            <w:pPr>
              <w:pStyle w:val="184"/>
              <w:widowControl w:val="0"/>
              <w:autoSpaceDE w:val="0"/>
              <w:autoSpaceDN w:val="0"/>
              <w:adjustRightInd w:val="0"/>
              <w:spacing w:line="240" w:lineRule="auto"/>
              <w:rPr>
                <w:rFonts w:ascii="Times New Roman" w:hAnsi="Times New Roman" w:cs="Times New Roman"/>
                <w:color w:val="FF0000"/>
                <w:sz w:val="18"/>
              </w:rPr>
            </w:pPr>
          </w:p>
        </w:tc>
        <w:tc>
          <w:tcPr>
            <w:tcW w:w="557" w:type="pct"/>
            <w:vMerge w:val="continue"/>
            <w:vAlign w:val="center"/>
          </w:tcPr>
          <w:p w14:paraId="66EEEE61">
            <w:pPr>
              <w:widowControl w:val="0"/>
              <w:autoSpaceDE w:val="0"/>
              <w:autoSpaceDN w:val="0"/>
              <w:adjustRightInd w:val="0"/>
              <w:jc w:val="left"/>
              <w:rPr>
                <w:rFonts w:ascii="Times New Roman" w:hAnsi="Times New Roman" w:cs="Times New Roman"/>
                <w:color w:val="FF0000"/>
                <w:sz w:val="18"/>
                <w:szCs w:val="18"/>
              </w:rPr>
            </w:pPr>
          </w:p>
        </w:tc>
        <w:tc>
          <w:tcPr>
            <w:tcW w:w="2069" w:type="pct"/>
            <w:vAlign w:val="center"/>
          </w:tcPr>
          <w:p w14:paraId="773BF07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四）推进水环境治理协同控制。大力推进污水资源化利用。提高工业用水效率，推进产业园区用水系统集成优化，实现串联用水、分质用水、一水多用、梯级利用和再生利用。构建区域再生水循环利用体系，因地制宜建设人工湿地水质净化工程及再生水调蓄设施。探索推广污水社区化分类处理和就地回用。建设资源能源标杆再生水厂。推进污水处理厂节能降耗，优化工艺流程，提高处理效率；鼓励污水处理厂采用高效水力输送、混合搅拌和鼓风曝气装置等高效低能耗设备；推广污水处理厂污泥沼气热电联产及水源热泵等热能利用技术；提高污泥处置和综合利用水平；在污水处理厂推广建设太阳能发电设施。开展城镇污水处理和资源化利用碳排放测算，优化污水处理设施能耗和碳排放管理。以资源化、生态化和可持续化为导向，因地制宜推进农村生活污水集中或分散式治理及就近回用。</w:t>
            </w:r>
          </w:p>
        </w:tc>
        <w:tc>
          <w:tcPr>
            <w:tcW w:w="1876" w:type="pct"/>
            <w:vAlign w:val="center"/>
          </w:tcPr>
          <w:p w14:paraId="51847D96">
            <w:pPr>
              <w:pStyle w:val="557"/>
              <w:jc w:val="both"/>
            </w:pPr>
            <w:r>
              <w:t>（1）本项目生产废水、生活污水等经厂内污水处理站、回用水站处理后，</w:t>
            </w:r>
            <w:r>
              <w:rPr>
                <w:rFonts w:hint="eastAsia"/>
              </w:rPr>
              <w:t>全部回用于生产</w:t>
            </w:r>
            <w:r>
              <w:t>。</w:t>
            </w:r>
          </w:p>
          <w:p w14:paraId="62D2CF9D">
            <w:pPr>
              <w:pStyle w:val="557"/>
              <w:jc w:val="both"/>
            </w:pPr>
            <w:r>
              <w:t>（2）本项目采用空冷、开式循环水系统等节水技术减少新鲜水用量。</w:t>
            </w:r>
          </w:p>
          <w:p w14:paraId="4C7397FF">
            <w:pPr>
              <w:pStyle w:val="557"/>
              <w:jc w:val="both"/>
            </w:pPr>
            <w:r>
              <w:t>（3）本项目采用能量系统优化技术，即热泵技术，实现全厂能量梯级利用。</w:t>
            </w:r>
          </w:p>
          <w:p w14:paraId="099AE2F0">
            <w:pPr>
              <w:pStyle w:val="557"/>
              <w:jc w:val="both"/>
            </w:pPr>
            <w:r>
              <w:t>（4）本项目采用余热余压利用，用于副产蒸汽。</w:t>
            </w:r>
          </w:p>
          <w:p w14:paraId="1600C7BD">
            <w:pPr>
              <w:pStyle w:val="557"/>
              <w:jc w:val="both"/>
            </w:pPr>
            <w:r>
              <w:t>（5）公辅设施选用高效机泵和高效节能电机，提高设备效率。</w:t>
            </w:r>
          </w:p>
          <w:p w14:paraId="36FB5A21">
            <w:pPr>
              <w:pStyle w:val="557"/>
              <w:jc w:val="both"/>
            </w:pPr>
            <w:r>
              <w:t>（6）本项目将温室气体排放纳入建设项目环境影响评价，已核算建设项目温室气体排放量。采用副产蒸汽并回用生产的减排方案后，二氧化碳排放量减少了，对于碳减排是有积极意义的。</w:t>
            </w:r>
          </w:p>
        </w:tc>
        <w:tc>
          <w:tcPr>
            <w:tcW w:w="286" w:type="pct"/>
            <w:vMerge w:val="continue"/>
            <w:vAlign w:val="center"/>
          </w:tcPr>
          <w:p w14:paraId="63BD6DDE">
            <w:pPr>
              <w:pStyle w:val="184"/>
              <w:widowControl w:val="0"/>
              <w:autoSpaceDE w:val="0"/>
              <w:autoSpaceDN w:val="0"/>
              <w:adjustRightInd w:val="0"/>
              <w:spacing w:line="240" w:lineRule="auto"/>
              <w:rPr>
                <w:rFonts w:ascii="Times New Roman" w:hAnsi="Times New Roman" w:cs="Times New Roman"/>
                <w:color w:val="FF0000"/>
                <w:sz w:val="18"/>
              </w:rPr>
            </w:pPr>
          </w:p>
        </w:tc>
      </w:tr>
      <w:tr w14:paraId="2FCA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5017C19D">
            <w:pPr>
              <w:pStyle w:val="184"/>
              <w:widowControl w:val="0"/>
              <w:autoSpaceDE w:val="0"/>
              <w:autoSpaceDN w:val="0"/>
              <w:adjustRightInd w:val="0"/>
              <w:spacing w:line="240" w:lineRule="auto"/>
              <w:rPr>
                <w:rFonts w:ascii="Times New Roman" w:hAnsi="Times New Roman" w:cs="Times New Roman"/>
                <w:color w:val="FF0000"/>
                <w:sz w:val="18"/>
              </w:rPr>
            </w:pPr>
          </w:p>
        </w:tc>
        <w:tc>
          <w:tcPr>
            <w:tcW w:w="557" w:type="pct"/>
            <w:vMerge w:val="continue"/>
            <w:vAlign w:val="center"/>
          </w:tcPr>
          <w:p w14:paraId="3A6B958D">
            <w:pPr>
              <w:widowControl w:val="0"/>
              <w:autoSpaceDE w:val="0"/>
              <w:autoSpaceDN w:val="0"/>
              <w:adjustRightInd w:val="0"/>
              <w:jc w:val="left"/>
              <w:rPr>
                <w:rFonts w:ascii="Times New Roman" w:hAnsi="Times New Roman" w:cs="Times New Roman"/>
                <w:color w:val="FF0000"/>
                <w:sz w:val="18"/>
                <w:szCs w:val="18"/>
              </w:rPr>
            </w:pPr>
          </w:p>
        </w:tc>
        <w:tc>
          <w:tcPr>
            <w:tcW w:w="2069" w:type="pct"/>
            <w:vAlign w:val="center"/>
          </w:tcPr>
          <w:p w14:paraId="4C55232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六）推进固体废物污染防治协同控制。强化资源回收和综合利用，加强“无废城市”建设。推动煤矸石、粉煤灰、尾矿、冶炼渣等工业固废资源利用或替代建材生产原料，到2025年，新增大宗固废综合利用率达到60%，存量大宗固废有序减少。推进退役动力电池、光伏组件、风电机组叶片等新型废弃物回收利用。加强生活垃圾减量化、资源化和无害化处理，大力推进垃圾分类，优化生活垃圾处理处置方式，加强可回收物和厨余垃圾资源化利用，持续推进生活垃圾焚烧处理能力建设。减少有机垃圾填埋，加强生活垃圾填埋场垃圾渗滤液、恶臭和温室气体协同控制，推动垃圾填埋场填埋气收集和利用设施建设。因地制宜稳步推进生物质能多元化开发利用。禁止持久性有机污染物和添汞产品的非法生产，从源头减少含有毒有害化学物质的固体废物产生。</w:t>
            </w:r>
          </w:p>
        </w:tc>
        <w:tc>
          <w:tcPr>
            <w:tcW w:w="1876" w:type="pct"/>
            <w:vAlign w:val="center"/>
          </w:tcPr>
          <w:p w14:paraId="79337732">
            <w:pPr>
              <w:pStyle w:val="184"/>
              <w:widowControl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（1）本项目按“减量化、资源化、无害化”的原则对固体废物进行妥善处置，工业废物及危险固废必须建立专门的处置设施集中处理，严禁外排，工业固体废物和危险废物无害化处理处置率均达到100%。</w:t>
            </w:r>
          </w:p>
          <w:p w14:paraId="4670B10D">
            <w:pPr>
              <w:pStyle w:val="184"/>
              <w:widowControl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r>
              <w:rPr>
                <w:rFonts w:hint="eastAsia" w:ascii="Times New Roman" w:hAnsi="Times New Roman" w:cs="Times New Roman"/>
                <w:color w:val="000000" w:themeColor="text1"/>
                <w:sz w:val="18"/>
                <w14:textFill>
                  <w14:solidFill>
                    <w14:schemeClr w14:val="tx1"/>
                  </w14:solidFill>
                </w14:textFill>
              </w:rPr>
              <w:t>一般固废</w:t>
            </w:r>
            <w:r>
              <w:rPr>
                <w:rFonts w:ascii="Times New Roman" w:hAnsi="Times New Roman" w:cs="Times New Roman"/>
                <w:color w:val="000000" w:themeColor="text1"/>
                <w:sz w:val="18"/>
                <w14:textFill>
                  <w14:solidFill>
                    <w14:schemeClr w14:val="tx1"/>
                  </w14:solidFill>
                </w14:textFill>
              </w:rPr>
              <w:t>优先综合利用；危险废物委托有资质单位处置。厂内临时堆场严格按照《危险废物贮存污染控制标准》</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GB18597-2023</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、《一般工业固体废物贮存和填埋污染控制标准》</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GB18599-2020</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等标准及规范进行设计。</w:t>
            </w:r>
          </w:p>
        </w:tc>
        <w:tc>
          <w:tcPr>
            <w:tcW w:w="286" w:type="pct"/>
            <w:vMerge w:val="continue"/>
            <w:vAlign w:val="center"/>
          </w:tcPr>
          <w:p w14:paraId="6C450B2C">
            <w:pPr>
              <w:pStyle w:val="184"/>
              <w:widowControl w:val="0"/>
              <w:autoSpaceDE w:val="0"/>
              <w:autoSpaceDN w:val="0"/>
              <w:adjustRightInd w:val="0"/>
              <w:spacing w:line="240" w:lineRule="auto"/>
              <w:rPr>
                <w:rFonts w:ascii="Times New Roman" w:hAnsi="Times New Roman" w:cs="Times New Roman"/>
                <w:color w:val="FF0000"/>
                <w:sz w:val="18"/>
              </w:rPr>
            </w:pPr>
          </w:p>
        </w:tc>
      </w:tr>
      <w:tr w14:paraId="2B89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Merge w:val="continue"/>
            <w:vAlign w:val="center"/>
          </w:tcPr>
          <w:p w14:paraId="09958415">
            <w:pPr>
              <w:pStyle w:val="184"/>
              <w:widowControl w:val="0"/>
              <w:autoSpaceDE w:val="0"/>
              <w:autoSpaceDN w:val="0"/>
              <w:adjustRightInd w:val="0"/>
              <w:spacing w:line="240" w:lineRule="auto"/>
              <w:rPr>
                <w:rFonts w:ascii="Times New Roman" w:hAnsi="Times New Roman" w:cs="Times New Roman"/>
                <w:color w:val="FF0000"/>
                <w:sz w:val="18"/>
              </w:rPr>
            </w:pPr>
          </w:p>
        </w:tc>
        <w:tc>
          <w:tcPr>
            <w:tcW w:w="557" w:type="pct"/>
            <w:vMerge w:val="continue"/>
            <w:vAlign w:val="center"/>
          </w:tcPr>
          <w:p w14:paraId="47F8D439">
            <w:pPr>
              <w:widowControl w:val="0"/>
              <w:autoSpaceDE w:val="0"/>
              <w:autoSpaceDN w:val="0"/>
              <w:adjustRightInd w:val="0"/>
              <w:jc w:val="left"/>
              <w:rPr>
                <w:rFonts w:ascii="Times New Roman" w:hAnsi="Times New Roman" w:cs="Times New Roman"/>
                <w:color w:val="FF0000"/>
                <w:sz w:val="18"/>
                <w:szCs w:val="18"/>
              </w:rPr>
            </w:pPr>
          </w:p>
        </w:tc>
        <w:tc>
          <w:tcPr>
            <w:tcW w:w="2069" w:type="pct"/>
            <w:vAlign w:val="center"/>
          </w:tcPr>
          <w:p w14:paraId="2FF26A32">
            <w:pPr>
              <w:pStyle w:val="557"/>
            </w:pPr>
            <w:r>
              <w:t>（二十）开展企业减污降碳协同创新。通过政策激励、提升标准、鼓励先进等手段，推动重点行业企业开展减污降碳试点工作。鼓励企业采取工艺改进、能源替代、节能提效、综合治理等措施，实现生产过程中大气、水和固体废物等多种污染物以及温室气体大幅减排，显著提升环境治理绩效，实现污染物和碳排放均达到行业先进水平，“十四五”期间力争推动一批企业开展减污降碳协同创新行动；支持企业进一步探索深度减污降碳路径，打造“双近零”排放标杆企业。</w:t>
            </w:r>
          </w:p>
        </w:tc>
        <w:tc>
          <w:tcPr>
            <w:tcW w:w="1876" w:type="pct"/>
            <w:vAlign w:val="center"/>
          </w:tcPr>
          <w:p w14:paraId="01E0D1B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企业积极响应国家“碳达峰、碳中和”重大战略决策并深入落实有关政策，本项目将温室气</w:t>
            </w:r>
            <w:r>
              <w:rPr>
                <w:rStyle w:val="559"/>
                <w:rFonts w:cs="Times New Roman"/>
                <w:bCs w:val="0"/>
              </w:rPr>
              <w:t>体排放纳入建设项目环境影响评价，核算建设项目温室气体排放量。采用副产蒸汽并回用生产的减排方案后，二氧化碳排放量减少，对于碳减排是有积极意义的。</w:t>
            </w:r>
          </w:p>
        </w:tc>
        <w:tc>
          <w:tcPr>
            <w:tcW w:w="286" w:type="pct"/>
            <w:vMerge w:val="continue"/>
            <w:vAlign w:val="center"/>
          </w:tcPr>
          <w:p w14:paraId="28D91864">
            <w:pPr>
              <w:pStyle w:val="184"/>
              <w:widowControl w:val="0"/>
              <w:autoSpaceDE w:val="0"/>
              <w:autoSpaceDN w:val="0"/>
              <w:adjustRightInd w:val="0"/>
              <w:spacing w:line="240" w:lineRule="auto"/>
              <w:rPr>
                <w:rFonts w:ascii="Times New Roman" w:hAnsi="Times New Roman" w:cs="Times New Roman"/>
                <w:color w:val="FF0000"/>
                <w:sz w:val="18"/>
              </w:rPr>
            </w:pPr>
          </w:p>
        </w:tc>
      </w:tr>
      <w:tr w14:paraId="7B63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569E961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6</w:t>
            </w:r>
          </w:p>
        </w:tc>
        <w:tc>
          <w:tcPr>
            <w:tcW w:w="557" w:type="pct"/>
            <w:vAlign w:val="center"/>
          </w:tcPr>
          <w:p w14:paraId="1CF1C6DB">
            <w:pPr>
              <w:widowControl w:val="0"/>
              <w:autoSpaceDE w:val="0"/>
              <w:autoSpaceDN w:val="0"/>
              <w:adjustRightIn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《国务院关于印发“十四五”节能减排综合工作方案的通知》国发〔2021〕33号</w:t>
            </w:r>
          </w:p>
        </w:tc>
        <w:tc>
          <w:tcPr>
            <w:tcW w:w="2069" w:type="pct"/>
            <w:vAlign w:val="center"/>
          </w:tcPr>
          <w:p w14:paraId="02667DC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一）重点行业绿色升级工程。以钢铁、有色金属、建材、石化化工等行业为重点，推进节能改造和污染物深度治理。推广高效精馏系统、高温高压干熄焦、富氧强化熔炼等节能技术，鼓励将高炉—转炉长流程炼钢转型为电炉短流程炼钢。推进钢铁、水泥、焦化行业及燃煤锅炉超低排放改造，到2025年，完成5.3亿t钢铁产能超低排放改造，大气污染防治重点区域燃煤锅炉全面实现超低排放。加强行业工艺革新，实施涂装类、化工类等产业集群分类治理，开展重点行业清洁生产和工业废水资源化利用改造。推进新型基础设施能效提升，加快绿色数据中心建设。“十四五”时期，规模以上工业单位增加值能耗下降13.5%，万元工业增加值用水量下降16%。到2025年，通过实施节能降碳行动，钢铁、电解铝、水泥、平板玻璃、炼油、乙烯、合成氨、电石等重点行业产能和数据中心达到能效标杆水平的比例超过30%。</w:t>
            </w:r>
          </w:p>
        </w:tc>
        <w:tc>
          <w:tcPr>
            <w:tcW w:w="1876" w:type="pct"/>
            <w:vAlign w:val="center"/>
          </w:tcPr>
          <w:p w14:paraId="30F2FF73">
            <w:pPr>
              <w:pStyle w:val="557"/>
              <w:jc w:val="both"/>
            </w:pPr>
            <w:r>
              <w:t>（1）本项目位于哈密工业园区，不在大气污染防治重点区域。</w:t>
            </w:r>
          </w:p>
          <w:p w14:paraId="753EAA4E">
            <w:pPr>
              <w:pStyle w:val="557"/>
              <w:jc w:val="both"/>
            </w:pPr>
            <w:r>
              <w:t>（2）本项目为</w:t>
            </w:r>
            <w:r>
              <w:rPr>
                <w:rFonts w:hint="eastAsia"/>
              </w:rPr>
              <w:t>煤制</w:t>
            </w:r>
            <w:r>
              <w:t>氮肥行业，属于煤炭加工转化领域，符合煤炭清洁高效利用要求，项目煤制合成氨可达到《</w:t>
            </w:r>
            <w:r>
              <w:rPr>
                <w:rFonts w:hint="eastAsia"/>
              </w:rPr>
              <w:t>工业重点领域能效标杆水平和基准水平（2023年版）》《</w:t>
            </w:r>
            <w:r>
              <w:t>煤炭清洁高效利用重点领域标杆水平和基准水平（2022年版）》标杆水平；项目清洁生产属于国内先进水平</w:t>
            </w:r>
          </w:p>
          <w:p w14:paraId="001866C7">
            <w:pPr>
              <w:pStyle w:val="557"/>
              <w:jc w:val="both"/>
            </w:pPr>
            <w:r>
              <w:t>（3）根据目前可能的二氧化碳减排途径，采用副产蒸汽并回用生产的减排方案后，二氧化碳排放量减少，对于碳减排是有积极意义的。</w:t>
            </w:r>
          </w:p>
        </w:tc>
        <w:tc>
          <w:tcPr>
            <w:tcW w:w="286" w:type="pct"/>
            <w:vAlign w:val="center"/>
          </w:tcPr>
          <w:p w14:paraId="432B9E4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792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26A0F9E2">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7</w:t>
            </w:r>
          </w:p>
        </w:tc>
        <w:tc>
          <w:tcPr>
            <w:tcW w:w="557" w:type="pct"/>
            <w:vAlign w:val="center"/>
          </w:tcPr>
          <w:p w14:paraId="089F0B6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《关于统筹和加强应对气候变化与生态环境保护相关工作的指导意见》（环综合〔2021〕4号）</w:t>
            </w:r>
          </w:p>
        </w:tc>
        <w:tc>
          <w:tcPr>
            <w:tcW w:w="2069" w:type="pct"/>
            <w:vAlign w:val="center"/>
          </w:tcPr>
          <w:p w14:paraId="5884252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推动实现减污降碳协同效应。优先选择化石能源替代、原料工艺优化、产业结构升级等源头治理措施，严格控制高耗能、高排放项目建设。加大交通运输结构优化调整力度，推动“公转铁”“公转水”和多式联运，推广节能和新能源车辆。加强畜禽养殖废弃物污染治理和综合利用，强化污水、垃圾等集中处置设施环境管理，协同控制甲烷、氧化亚氮等温室气体。鼓励各地积极探索协同控制温室气体和污染物排放的创新举措和有效机制。</w:t>
            </w:r>
          </w:p>
        </w:tc>
        <w:tc>
          <w:tcPr>
            <w:tcW w:w="1876" w:type="pct"/>
            <w:vAlign w:val="center"/>
          </w:tcPr>
          <w:p w14:paraId="60927414">
            <w:pPr>
              <w:pStyle w:val="557"/>
              <w:jc w:val="both"/>
            </w:pPr>
            <w:r>
              <w:t>（1）根据目前可能的二氧化碳减排途径，采用副产蒸汽并回用生产的减排方案后，二氧化碳排放量减少了，对于碳减排是有积极意义的。</w:t>
            </w:r>
          </w:p>
          <w:p w14:paraId="6D7C0977">
            <w:pPr>
              <w:pStyle w:val="557"/>
              <w:jc w:val="both"/>
            </w:pPr>
            <w:r>
              <w:t>（2）本项目大宗物料原料煤使用汽车、铁路相结合的方式运输，短途倒运采用新能源卡车。</w:t>
            </w:r>
          </w:p>
        </w:tc>
        <w:tc>
          <w:tcPr>
            <w:tcW w:w="286" w:type="pct"/>
            <w:vAlign w:val="center"/>
          </w:tcPr>
          <w:p w14:paraId="4A84112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bookmarkEnd w:id="547"/>
    </w:tbl>
    <w:p w14:paraId="58C9D674">
      <w:pPr>
        <w:pStyle w:val="91"/>
        <w:spacing w:line="360" w:lineRule="auto"/>
        <w:ind w:firstLine="514"/>
        <w:jc w:val="center"/>
        <w:rPr>
          <w:rFonts w:hint="eastAsia" w:ascii="黑体" w:hAnsi="黑体" w:eastAsia="黑体"/>
          <w:b/>
          <w:color w:val="FF0000"/>
          <w:spacing w:val="8"/>
          <w:sz w:val="24"/>
        </w:rPr>
      </w:pPr>
    </w:p>
    <w:p w14:paraId="52350884">
      <w:pPr>
        <w:pStyle w:val="91"/>
        <w:spacing w:line="360" w:lineRule="auto"/>
        <w:ind w:firstLine="512"/>
        <w:rPr>
          <w:rFonts w:hint="eastAsia"/>
          <w:color w:val="FF0000"/>
          <w:spacing w:val="8"/>
          <w:sz w:val="24"/>
        </w:rPr>
      </w:pPr>
    </w:p>
    <w:p w14:paraId="57948AC4">
      <w:pPr>
        <w:pStyle w:val="91"/>
        <w:spacing w:line="360" w:lineRule="auto"/>
        <w:ind w:firstLine="512"/>
        <w:rPr>
          <w:rFonts w:hint="eastAsia"/>
          <w:color w:val="FF0000"/>
          <w:spacing w:val="8"/>
          <w:sz w:val="24"/>
        </w:rPr>
        <w:sectPr>
          <w:pgSz w:w="16838" w:h="11906" w:orient="landscape"/>
          <w:pgMar w:top="1800" w:right="1440" w:bottom="1800" w:left="1440" w:header="851" w:footer="850" w:gutter="0"/>
          <w:cols w:space="425" w:num="1"/>
          <w:docGrid w:type="lines" w:linePitch="326" w:charSpace="0"/>
        </w:sectPr>
      </w:pPr>
    </w:p>
    <w:p w14:paraId="789C60BC">
      <w:pPr>
        <w:pStyle w:val="3"/>
        <w:rPr>
          <w:rFonts w:hint="eastAsia"/>
          <w:color w:val="000000" w:themeColor="text1"/>
          <w14:textFill>
            <w14:solidFill>
              <w14:schemeClr w14:val="tx1"/>
            </w14:solidFill>
          </w14:textFill>
        </w:rPr>
      </w:pPr>
      <w:bookmarkStart w:id="548" w:name="_Toc24406"/>
      <w:r>
        <w:rPr>
          <w:rFonts w:hint="eastAsia"/>
          <w:color w:val="000000" w:themeColor="text1"/>
          <w14:textFill>
            <w14:solidFill>
              <w14:schemeClr w14:val="tx1"/>
            </w14:solidFill>
          </w14:textFill>
        </w:rPr>
        <w:t>规划符合性分析</w:t>
      </w:r>
      <w:bookmarkEnd w:id="548"/>
    </w:p>
    <w:p w14:paraId="2237FCD7">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与区域发展、产业发展规划的符合性</w:t>
      </w:r>
    </w:p>
    <w:p w14:paraId="58EB9759">
      <w:pPr>
        <w:pStyle w:val="33"/>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本项目为煤化工项目，涉及的产业规划较多，本项目分析了与相关产业发展规划的符合性。本项目与国家及区域各产业发展规划的</w:t>
      </w:r>
      <w:r>
        <w:rPr>
          <w:rFonts w:hint="eastAsia" w:ascii="Times New Roman" w:hAnsi="Times New Roman"/>
          <w:color w:val="000000" w:themeColor="text1"/>
          <w:sz w:val="24"/>
          <w:szCs w:val="24"/>
          <w14:textFill>
            <w14:solidFill>
              <w14:schemeClr w14:val="tx1"/>
            </w14:solidFill>
          </w14:textFill>
        </w:rPr>
        <w:t>符合性分析，见表8.2</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-1。</w:t>
      </w:r>
    </w:p>
    <w:p w14:paraId="611A29F7">
      <w:pPr>
        <w:pStyle w:val="33"/>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通过分析论证，本项目符合国家及地方相关的产业发展规划的要求。</w:t>
      </w:r>
    </w:p>
    <w:p w14:paraId="43C8D381">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与功能区划及环境保护规划的符合性</w:t>
      </w:r>
    </w:p>
    <w:p w14:paraId="0A66CF7D">
      <w:pPr>
        <w:pStyle w:val="33"/>
        <w:spacing w:line="360" w:lineRule="auto"/>
        <w:ind w:firstLine="480" w:firstLineChars="2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本项目位于</w:t>
      </w:r>
      <w:r>
        <w:rPr>
          <w:rFonts w:hint="eastAsia" w:ascii="Times New Roman" w:hAnsi="Times New Roman"/>
          <w:color w:val="000000" w:themeColor="text1"/>
          <w:sz w:val="24"/>
          <w:szCs w:val="24"/>
          <w14:textFill>
            <w14:solidFill>
              <w14:schemeClr w14:val="tx1"/>
            </w14:solidFill>
          </w14:textFill>
        </w:rPr>
        <w:t>哈密工业园区南部循环经济产业园</w:t>
      </w:r>
      <w:r>
        <w:rPr>
          <w:rFonts w:ascii="Times New Roman" w:hAnsi="Times New Roman"/>
          <w:color w:val="000000" w:themeColor="text1"/>
          <w:sz w:val="24"/>
          <w:szCs w:val="24"/>
          <w14:textFill>
            <w14:solidFill>
              <w14:schemeClr w14:val="tx1"/>
            </w14:solidFill>
          </w14:textFill>
        </w:rPr>
        <w:t>，通过与区域主体功能区划、生态功能区划和生态保护红线、环境保护规划的对比分析，项目建设符合相关功能区划和环境保护规划</w:t>
      </w:r>
      <w:r>
        <w:rPr>
          <w:rFonts w:hint="eastAsia" w:ascii="Times New Roman" w:hAnsi="Times New Roman"/>
          <w:color w:val="000000" w:themeColor="text1"/>
          <w:sz w:val="24"/>
          <w:szCs w:val="24"/>
          <w14:textFill>
            <w14:solidFill>
              <w14:schemeClr w14:val="tx1"/>
            </w14:solidFill>
          </w14:textFill>
        </w:rPr>
        <w:t>。具体分析内容见表8.2</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2-1。</w:t>
      </w:r>
    </w:p>
    <w:p w14:paraId="253296CC">
      <w:pPr>
        <w:pStyle w:val="91"/>
        <w:spacing w:line="360" w:lineRule="auto"/>
        <w:ind w:firstLine="512"/>
        <w:rPr>
          <w:rFonts w:hint="eastAsia"/>
          <w:spacing w:val="8"/>
          <w:sz w:val="24"/>
        </w:rPr>
      </w:pPr>
    </w:p>
    <w:p w14:paraId="20CFE647">
      <w:pPr>
        <w:pStyle w:val="91"/>
        <w:spacing w:line="360" w:lineRule="auto"/>
        <w:ind w:firstLine="512"/>
        <w:rPr>
          <w:rFonts w:hint="eastAsia"/>
          <w:spacing w:val="8"/>
          <w:sz w:val="24"/>
        </w:rPr>
        <w:sectPr>
          <w:pgSz w:w="11906" w:h="16838"/>
          <w:pgMar w:top="1440" w:right="1800" w:bottom="1440" w:left="1800" w:header="851" w:footer="850" w:gutter="0"/>
          <w:cols w:space="425" w:num="1"/>
          <w:docGrid w:type="lines" w:linePitch="326" w:charSpace="0"/>
        </w:sectPr>
      </w:pPr>
    </w:p>
    <w:p w14:paraId="62C20749">
      <w:pPr>
        <w:pStyle w:val="645"/>
        <w:rPr>
          <w:rFonts w:hint="eastAsia"/>
          <w:color w:val="000000" w:themeColor="text1"/>
          <w14:textFill>
            <w14:solidFill>
              <w14:schemeClr w14:val="tx1"/>
            </w14:solidFill>
          </w14:textFill>
        </w:rPr>
      </w:pPr>
      <w:r>
        <w:rPr>
          <w:color w:val="000000" w:themeColor="text1"/>
          <w14:textFill>
            <w14:solidFill>
              <w14:schemeClr w14:val="tx1"/>
            </w14:solidFill>
          </w14:textFill>
        </w:rPr>
        <w:t>表8.2.1-1  本项目与相关</w:t>
      </w:r>
      <w:r>
        <w:rPr>
          <w:rFonts w:hint="eastAsia"/>
          <w:color w:val="000000" w:themeColor="text1"/>
          <w14:textFill>
            <w14:solidFill>
              <w14:schemeClr w14:val="tx1"/>
            </w14:solidFill>
          </w14:textFill>
        </w:rPr>
        <w:t>区域及产业发展规划</w:t>
      </w:r>
      <w:r>
        <w:rPr>
          <w:color w:val="000000" w:themeColor="text1"/>
          <w14:textFill>
            <w14:solidFill>
              <w14:schemeClr w14:val="tx1"/>
            </w14:solidFill>
          </w14:textFill>
        </w:rPr>
        <w:t>符合性分析一览表</w:t>
      </w:r>
    </w:p>
    <w:tbl>
      <w:tblPr>
        <w:tblStyle w:val="70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1740"/>
        <w:gridCol w:w="6244"/>
        <w:gridCol w:w="4730"/>
        <w:gridCol w:w="729"/>
      </w:tblGrid>
      <w:tr w14:paraId="173D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Align w:val="center"/>
          </w:tcPr>
          <w:p w14:paraId="489E5F0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序号</w:t>
            </w:r>
          </w:p>
        </w:tc>
        <w:tc>
          <w:tcPr>
            <w:tcW w:w="623" w:type="pct"/>
            <w:vAlign w:val="center"/>
          </w:tcPr>
          <w:p w14:paraId="7EB04B6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政策文件</w:t>
            </w:r>
          </w:p>
        </w:tc>
        <w:tc>
          <w:tcPr>
            <w:tcW w:w="2235" w:type="pct"/>
            <w:vAlign w:val="center"/>
          </w:tcPr>
          <w:p w14:paraId="4C49DA01">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具体要求</w:t>
            </w:r>
          </w:p>
        </w:tc>
        <w:tc>
          <w:tcPr>
            <w:tcW w:w="1693" w:type="pct"/>
            <w:vAlign w:val="center"/>
          </w:tcPr>
          <w:p w14:paraId="483D30B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本项目情况</w:t>
            </w:r>
          </w:p>
        </w:tc>
        <w:tc>
          <w:tcPr>
            <w:tcW w:w="261" w:type="pct"/>
            <w:vAlign w:val="center"/>
          </w:tcPr>
          <w:p w14:paraId="6E82492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符合性</w:t>
            </w:r>
          </w:p>
        </w:tc>
      </w:tr>
      <w:tr w14:paraId="50F1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Align w:val="center"/>
          </w:tcPr>
          <w:p w14:paraId="1D7D92A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623" w:type="pct"/>
            <w:vAlign w:val="center"/>
          </w:tcPr>
          <w:p w14:paraId="756F43A4">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《“十四五”工业绿色发展规划》</w:t>
            </w:r>
          </w:p>
          <w:p w14:paraId="4882CEE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（工信部规〔2021〕178号）</w:t>
            </w:r>
          </w:p>
        </w:tc>
        <w:tc>
          <w:tcPr>
            <w:tcW w:w="2235" w:type="pct"/>
            <w:vAlign w:val="center"/>
          </w:tcPr>
          <w:p w14:paraId="5D487C8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（四）促进资源利用循环化转型升级改造末端治理设施。</w:t>
            </w:r>
          </w:p>
          <w:p w14:paraId="40DD8C7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在水污染防治重点领域，聚焦涉重金属、高盐、高有机物等高难度废水，开展深度高效治理应用示范，逐步提升印染、造纸、化学原料药、煤化工、有色金属等行业废水治理水平。</w:t>
            </w:r>
          </w:p>
        </w:tc>
        <w:tc>
          <w:tcPr>
            <w:tcW w:w="1693" w:type="pct"/>
            <w:vAlign w:val="center"/>
          </w:tcPr>
          <w:p w14:paraId="0E61EFF9">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本项目满足清污分流、污污分流、深度处理、分质回用原则，本项目生产废水、生活污水等经厂内污水处理站、回用水站处理后，</w:t>
            </w:r>
            <w:r>
              <w:rPr>
                <w:rFonts w:hint="eastAsia" w:ascii="Times New Roman" w:hAnsi="Times New Roman" w:cs="Times New Roman"/>
                <w:color w:val="000000" w:themeColor="text1"/>
                <w:sz w:val="18"/>
                <w14:textFill>
                  <w14:solidFill>
                    <w14:schemeClr w14:val="tx1"/>
                  </w14:solidFill>
                </w14:textFill>
              </w:rPr>
              <w:t>全部回用于生产</w:t>
            </w:r>
            <w:r>
              <w:rPr>
                <w:rFonts w:ascii="Times New Roman" w:hAnsi="Times New Roman" w:cs="Times New Roman"/>
                <w:color w:val="000000" w:themeColor="text1"/>
                <w:sz w:val="18"/>
                <w14:textFill>
                  <w14:solidFill>
                    <w14:schemeClr w14:val="tx1"/>
                  </w14:solidFill>
                </w14:textFill>
              </w:rPr>
              <w:t>。</w:t>
            </w:r>
          </w:p>
        </w:tc>
        <w:tc>
          <w:tcPr>
            <w:tcW w:w="261" w:type="pct"/>
            <w:vAlign w:val="center"/>
          </w:tcPr>
          <w:p w14:paraId="5E3FCEEA">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0CCD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Align w:val="center"/>
          </w:tcPr>
          <w:p w14:paraId="67857F3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2</w:t>
            </w:r>
          </w:p>
        </w:tc>
        <w:tc>
          <w:tcPr>
            <w:tcW w:w="623" w:type="pct"/>
            <w:vAlign w:val="center"/>
          </w:tcPr>
          <w:p w14:paraId="076EA09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《“十四五”原材料工业发展规划》</w:t>
            </w:r>
          </w:p>
        </w:tc>
        <w:tc>
          <w:tcPr>
            <w:tcW w:w="2235" w:type="pct"/>
            <w:vAlign w:val="center"/>
          </w:tcPr>
          <w:p w14:paraId="3A12EC5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新建、改扩建项目必须达到能耗限额标准先进值、污染物超低排放值。</w:t>
            </w:r>
          </w:p>
          <w:p w14:paraId="03017D48">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实施节能审查，严格控制石化化工、钢铁、建材等主要耗煤行业的燃料煤耗量。</w:t>
            </w:r>
          </w:p>
        </w:tc>
        <w:tc>
          <w:tcPr>
            <w:tcW w:w="1693" w:type="pct"/>
            <w:vAlign w:val="center"/>
          </w:tcPr>
          <w:p w14:paraId="6B2FE50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本项目为新建项目，项目可达到行业能耗限额标准先进值、污染物超低排放值。本项目严格控制燃料煤耗量。</w:t>
            </w:r>
          </w:p>
        </w:tc>
        <w:tc>
          <w:tcPr>
            <w:tcW w:w="261" w:type="pct"/>
            <w:vAlign w:val="center"/>
          </w:tcPr>
          <w:p w14:paraId="2773493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39D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Align w:val="center"/>
          </w:tcPr>
          <w:p w14:paraId="480130C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3</w:t>
            </w:r>
          </w:p>
        </w:tc>
        <w:tc>
          <w:tcPr>
            <w:tcW w:w="623" w:type="pct"/>
            <w:vAlign w:val="center"/>
          </w:tcPr>
          <w:p w14:paraId="70BA18A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《“十四五”土壤、地下水和农村生态环境保护规划》（环土壤〔2021〕120号）</w:t>
            </w:r>
          </w:p>
        </w:tc>
        <w:tc>
          <w:tcPr>
            <w:tcW w:w="2235" w:type="pct"/>
            <w:vAlign w:val="center"/>
          </w:tcPr>
          <w:p w14:paraId="2E502232">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三、主要任务</w:t>
            </w:r>
          </w:p>
          <w:p w14:paraId="533CB11A">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（一）推进土壤污染防治</w:t>
            </w:r>
          </w:p>
          <w:p w14:paraId="5A632396">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防范工矿企业新增土壤污染。严格建设项目土壤环境影响评价制度。对涉及有毒有害物质可能造成土壤污染的新（改、扩）建项目，依法进行环境影响评价，提出并落实防腐蚀、防渗漏、防遗撒等土壤污染防治具体措施。</w:t>
            </w:r>
          </w:p>
          <w:p w14:paraId="285915F9">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因地制宜严格污染地块用地准入。从事土地开发利用活动，应当采取有效措施，防止、减少土壤污染，并确保建设用地符合土壤环境质量要求。</w:t>
            </w:r>
          </w:p>
          <w:p w14:paraId="7CACBB2F">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（二）加强地下水污染防治</w:t>
            </w:r>
          </w:p>
          <w:p w14:paraId="0995F017">
            <w:pPr>
              <w:widowControl w:val="0"/>
              <w:autoSpaceDE w:val="0"/>
              <w:autoSpaceDN w:val="0"/>
              <w:adjustRightInd/>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落实地下水防渗和监测措施。督促“一企一库”“两场两区”采取防渗漏措施，按要求建设地下水环境监测井，开展地下水环境自行监测。指导地下水污染防治重点排污单位优先开展地下水污染渗漏排查，针对存在问题的设施，采取污染防渗改造措施。地方生态环境部门开展地下水污染防治重点排污单位周边地下水环境监测。</w:t>
            </w:r>
          </w:p>
          <w:p w14:paraId="58285920">
            <w:pPr>
              <w:pStyle w:val="184"/>
              <w:widowControl w:val="0"/>
              <w:autoSpaceDE w:val="0"/>
              <w:autoSpaceDN w:val="0"/>
              <w:adjustRightInd/>
              <w:snapToGrid/>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实施地下水污染风险管控。针对存在地下水污染的化工产业为主导的工业集聚区、危险废物处置场和生活垃圾填埋场等，实施地下水污染风险管控，阻止污染扩散，加强风险管控后期环境监管。</w:t>
            </w:r>
          </w:p>
        </w:tc>
        <w:tc>
          <w:tcPr>
            <w:tcW w:w="1693" w:type="pct"/>
            <w:vAlign w:val="center"/>
          </w:tcPr>
          <w:p w14:paraId="1EF0185D">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（1）本项目的土壤和地下水污染防治坚持源头控制、分区防控、跟踪监测和应急响应的防控原则。</w:t>
            </w:r>
          </w:p>
          <w:p w14:paraId="7BE3654C">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（2）本项目采取的源头控制措施包括废物循环利用、工艺及管道控制、设备防控、建筑结构防控、给排水排控等。</w:t>
            </w:r>
          </w:p>
          <w:p w14:paraId="5DB219AE">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（3）对涉及有毒有害物质的生产装置、设备设施及场所，本项目按《石油化工工程防渗技术规范》（GB/T 50934）的要求按重点污染防治区、一般污染防治区和非污染防治区实行分区防渗。其中一般污染防治区的防渗性能不应低于1.5m厚、渗透系数1.0×10</w:t>
            </w:r>
            <w:r>
              <w:rPr>
                <w:rFonts w:ascii="Times New Roman" w:hAnsi="Times New Roman" w:cs="Times New Roman"/>
                <w:color w:val="000000" w:themeColor="text1"/>
                <w:sz w:val="18"/>
                <w:szCs w:val="18"/>
                <w:vertAlign w:val="superscript"/>
                <w14:textFill>
                  <w14:solidFill>
                    <w14:schemeClr w14:val="tx1"/>
                  </w14:solidFill>
                </w14:textFill>
              </w:rPr>
              <w:t>-7</w:t>
            </w:r>
            <w:r>
              <w:rPr>
                <w:rFonts w:ascii="Times New Roman" w:hAnsi="Times New Roman" w:cs="Times New Roman"/>
                <w:color w:val="000000" w:themeColor="text1"/>
                <w:sz w:val="18"/>
                <w:szCs w:val="18"/>
                <w14:textFill>
                  <w14:solidFill>
                    <w14:schemeClr w14:val="tx1"/>
                  </w14:solidFill>
                </w14:textFill>
              </w:rPr>
              <w:t>cm/s的黏土层的防渗性能；危险废物暂存间防渗参照《危险废物贮存污染控制标准》（GB18597-2023）进行设计，要求：防渗层为至少lm厚粘土层（渗透系数≤10</w:t>
            </w:r>
            <w:r>
              <w:rPr>
                <w:rFonts w:ascii="Times New Roman" w:hAnsi="Times New Roman" w:cs="Times New Roman"/>
                <w:color w:val="000000" w:themeColor="text1"/>
                <w:sz w:val="18"/>
                <w:szCs w:val="18"/>
                <w:vertAlign w:val="superscript"/>
                <w14:textFill>
                  <w14:solidFill>
                    <w14:schemeClr w14:val="tx1"/>
                  </w14:solidFill>
                </w14:textFill>
              </w:rPr>
              <w:t>-7</w:t>
            </w:r>
            <w:r>
              <w:rPr>
                <w:rFonts w:ascii="Times New Roman" w:hAnsi="Times New Roman" w:cs="Times New Roman"/>
                <w:color w:val="000000" w:themeColor="text1"/>
                <w:sz w:val="18"/>
                <w:szCs w:val="18"/>
                <w14:textFill>
                  <w14:solidFill>
                    <w14:schemeClr w14:val="tx1"/>
                  </w14:solidFill>
                </w14:textFill>
              </w:rPr>
              <w:t>cm/s)，或2mm厚高密度聚乙烯，或至少2mm厚的</w:t>
            </w:r>
            <w:r>
              <w:rPr>
                <w:rFonts w:hint="eastAsia" w:ascii="Times New Roman" w:hAnsi="Times New Roman" w:cs="Times New Roman"/>
                <w:color w:val="000000" w:themeColor="text1"/>
                <w:sz w:val="18"/>
                <w:szCs w:val="18"/>
                <w14:textFill>
                  <w14:solidFill>
                    <w14:schemeClr w14:val="tx1"/>
                  </w14:solidFill>
                </w14:textFill>
              </w:rPr>
              <w:t>其他人工</w:t>
            </w:r>
            <w:r>
              <w:rPr>
                <w:rFonts w:ascii="Times New Roman" w:hAnsi="Times New Roman" w:cs="Times New Roman"/>
                <w:color w:val="000000" w:themeColor="text1"/>
                <w:sz w:val="18"/>
                <w:szCs w:val="18"/>
                <w14:textFill>
                  <w14:solidFill>
                    <w14:schemeClr w14:val="tx1"/>
                  </w14:solidFill>
                </w14:textFill>
              </w:rPr>
              <w:t>材料，渗透系数≤10</w:t>
            </w:r>
            <w:r>
              <w:rPr>
                <w:rFonts w:ascii="Times New Roman" w:hAnsi="Times New Roman" w:cs="Times New Roman"/>
                <w:color w:val="000000" w:themeColor="text1"/>
                <w:sz w:val="18"/>
                <w:szCs w:val="18"/>
                <w:vertAlign w:val="superscript"/>
                <w14:textFill>
                  <w14:solidFill>
                    <w14:schemeClr w14:val="tx1"/>
                  </w14:solidFill>
                </w14:textFill>
              </w:rPr>
              <w:t>-10</w:t>
            </w:r>
            <w:r>
              <w:rPr>
                <w:rFonts w:ascii="Times New Roman" w:hAnsi="Times New Roman" w:cs="Times New Roman"/>
                <w:color w:val="000000" w:themeColor="text1"/>
                <w:sz w:val="18"/>
                <w:szCs w:val="18"/>
                <w14:textFill>
                  <w14:solidFill>
                    <w14:schemeClr w14:val="tx1"/>
                  </w14:solidFill>
                </w14:textFill>
              </w:rPr>
              <w:t>cm/s；废水暂存池、浓水暂存池等其他重点污染防治区防渗层的防渗性能要求：不低于6.0m、厚渗透系数为1.0×10</w:t>
            </w:r>
            <w:r>
              <w:rPr>
                <w:rFonts w:ascii="Times New Roman" w:hAnsi="Times New Roman" w:cs="Times New Roman"/>
                <w:color w:val="000000" w:themeColor="text1"/>
                <w:sz w:val="18"/>
                <w:szCs w:val="18"/>
                <w:vertAlign w:val="superscript"/>
                <w14:textFill>
                  <w14:solidFill>
                    <w14:schemeClr w14:val="tx1"/>
                  </w14:solidFill>
                </w14:textFill>
              </w:rPr>
              <w:t>-7</w:t>
            </w:r>
            <w:r>
              <w:rPr>
                <w:rFonts w:ascii="Times New Roman" w:hAnsi="Times New Roman" w:cs="Times New Roman"/>
                <w:color w:val="000000" w:themeColor="text1"/>
                <w:sz w:val="18"/>
                <w:szCs w:val="18"/>
                <w14:textFill>
                  <w14:solidFill>
                    <w14:schemeClr w14:val="tx1"/>
                  </w14:solidFill>
                </w14:textFill>
              </w:rPr>
              <w:t>cm/s的粘土层的防渗性能。</w:t>
            </w:r>
          </w:p>
          <w:p w14:paraId="149018D5">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（4）本项目设置地下水监控井。本项目在污水处理站、装卸台附近各布设一个土壤重点监测点位，按相关技术规范要求开展土壤跟踪监测。</w:t>
            </w:r>
          </w:p>
          <w:p w14:paraId="77155714">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（5）本项目制定了合理可行的地下水污染应急措施，并建立地下水和土壤污染隐患排查制度，定期对重点区域、重点设施开展土壤隐患排查。</w:t>
            </w:r>
          </w:p>
          <w:p w14:paraId="08BA80D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（6）本项目不涉及泉域保护范围以及岩溶强发育、存在较多落水洞和岩溶漏斗的区域，也不涉及饮用水源保护区。</w:t>
            </w:r>
          </w:p>
        </w:tc>
        <w:tc>
          <w:tcPr>
            <w:tcW w:w="261" w:type="pct"/>
            <w:vAlign w:val="center"/>
          </w:tcPr>
          <w:p w14:paraId="75EDAB91">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0E5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Merge w:val="restart"/>
            <w:vAlign w:val="center"/>
          </w:tcPr>
          <w:p w14:paraId="41BB447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4</w:t>
            </w:r>
          </w:p>
        </w:tc>
        <w:tc>
          <w:tcPr>
            <w:tcW w:w="623" w:type="pct"/>
            <w:vMerge w:val="restart"/>
            <w:vAlign w:val="center"/>
          </w:tcPr>
          <w:p w14:paraId="483F4AA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《中华人民共和国国民经济和社会发展第十四个五年规划和2035年远景目标纲要》</w:t>
            </w:r>
          </w:p>
        </w:tc>
        <w:tc>
          <w:tcPr>
            <w:tcW w:w="2235" w:type="pct"/>
            <w:vAlign w:val="center"/>
          </w:tcPr>
          <w:p w14:paraId="3F208B77">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提升重要功能性区域的保障能力：</w:t>
            </w:r>
          </w:p>
          <w:p w14:paraId="5E932C0B">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优化能源开发布局和运输格局，加强能源资源综合开发利用基地建设，提升国内能源供给保障水平。</w:t>
            </w:r>
          </w:p>
          <w:p w14:paraId="4F0D9DB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大力发展绿色经济：</w:t>
            </w:r>
          </w:p>
          <w:p w14:paraId="5867D7F5">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推动煤炭等化石能源清洁高效利用，推进钢铁、石化、建材等行业绿色化改造，加快大宗货物和中长途货物运输“公转铁”、“公转水”。</w:t>
            </w:r>
          </w:p>
        </w:tc>
        <w:tc>
          <w:tcPr>
            <w:tcW w:w="1693" w:type="pct"/>
            <w:vAlign w:val="center"/>
          </w:tcPr>
          <w:p w14:paraId="22D4BC7B">
            <w:pPr>
              <w:widowControl w:val="0"/>
              <w:autoSpaceDE w:val="0"/>
              <w:autoSpaceDN w:val="0"/>
              <w:adjustRightInd w:val="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本项目大宗物料原料煤使用汽车、铁路相结合的方式运输，短途倒运采用新能源卡车。</w:t>
            </w:r>
          </w:p>
        </w:tc>
        <w:tc>
          <w:tcPr>
            <w:tcW w:w="261" w:type="pct"/>
            <w:vMerge w:val="restart"/>
            <w:vAlign w:val="center"/>
          </w:tcPr>
          <w:p w14:paraId="564F726E">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D70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Merge w:val="continue"/>
            <w:vAlign w:val="center"/>
          </w:tcPr>
          <w:p w14:paraId="49CAE3D5">
            <w:pPr>
              <w:pStyle w:val="184"/>
              <w:widowControl w:val="0"/>
              <w:autoSpaceDE w:val="0"/>
              <w:autoSpaceDN w:val="0"/>
              <w:adjustRightInd w:val="0"/>
              <w:spacing w:line="240" w:lineRule="auto"/>
              <w:rPr>
                <w:rFonts w:ascii="Times New Roman" w:hAnsi="Times New Roman" w:cs="Times New Roman"/>
                <w:color w:val="FF0000"/>
                <w:sz w:val="18"/>
              </w:rPr>
            </w:pPr>
          </w:p>
        </w:tc>
        <w:tc>
          <w:tcPr>
            <w:tcW w:w="623" w:type="pct"/>
            <w:vMerge w:val="continue"/>
            <w:vAlign w:val="center"/>
          </w:tcPr>
          <w:p w14:paraId="079345F6">
            <w:pPr>
              <w:pStyle w:val="184"/>
              <w:widowControl w:val="0"/>
              <w:autoSpaceDE w:val="0"/>
              <w:autoSpaceDN w:val="0"/>
              <w:adjustRightInd w:val="0"/>
              <w:spacing w:line="240" w:lineRule="auto"/>
              <w:rPr>
                <w:rFonts w:ascii="Times New Roman" w:hAnsi="Times New Roman" w:cs="Times New Roman"/>
                <w:color w:val="FF0000"/>
                <w:sz w:val="18"/>
              </w:rPr>
            </w:pPr>
          </w:p>
        </w:tc>
        <w:tc>
          <w:tcPr>
            <w:tcW w:w="2235" w:type="pct"/>
            <w:vAlign w:val="center"/>
          </w:tcPr>
          <w:p w14:paraId="37EFB134">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第四节积极应对气候变化。落实2030年应对气候变化国家自主贡献目标，制定2030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2060年前实现碳中和，采取更加有力的政策和措施。</w:t>
            </w:r>
          </w:p>
        </w:tc>
        <w:tc>
          <w:tcPr>
            <w:tcW w:w="1693" w:type="pct"/>
            <w:vAlign w:val="center"/>
          </w:tcPr>
          <w:p w14:paraId="016DF2A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本项目将温室气体排放纳入建设项目环境影响评价，已核算建设项目温室气体排放量。</w:t>
            </w:r>
          </w:p>
        </w:tc>
        <w:tc>
          <w:tcPr>
            <w:tcW w:w="261" w:type="pct"/>
            <w:vMerge w:val="continue"/>
            <w:vAlign w:val="center"/>
          </w:tcPr>
          <w:p w14:paraId="7201E30D">
            <w:pPr>
              <w:pStyle w:val="184"/>
              <w:widowControl w:val="0"/>
              <w:autoSpaceDE w:val="0"/>
              <w:autoSpaceDN w:val="0"/>
              <w:adjustRightInd w:val="0"/>
              <w:spacing w:line="240" w:lineRule="auto"/>
              <w:rPr>
                <w:rFonts w:ascii="Times New Roman" w:hAnsi="Times New Roman" w:cs="Times New Roman"/>
                <w:color w:val="FF0000"/>
                <w:sz w:val="18"/>
              </w:rPr>
            </w:pPr>
          </w:p>
        </w:tc>
      </w:tr>
      <w:tr w14:paraId="3F09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6" w:hRule="atLeast"/>
        </w:trPr>
        <w:tc>
          <w:tcPr>
            <w:tcW w:w="188" w:type="pct"/>
            <w:vMerge w:val="restart"/>
            <w:vAlign w:val="center"/>
          </w:tcPr>
          <w:p w14:paraId="6AE1DA4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5</w:t>
            </w:r>
          </w:p>
        </w:tc>
        <w:tc>
          <w:tcPr>
            <w:tcW w:w="623" w:type="pct"/>
            <w:vMerge w:val="restart"/>
            <w:vAlign w:val="center"/>
          </w:tcPr>
          <w:p w14:paraId="758089BF">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《新疆维吾尔自治区国民经济和社会发展第十四个五年规划和2035年远景目标纲要》</w:t>
            </w:r>
          </w:p>
        </w:tc>
        <w:tc>
          <w:tcPr>
            <w:tcW w:w="2235" w:type="pct"/>
            <w:vAlign w:val="center"/>
          </w:tcPr>
          <w:p w14:paraId="5F315334">
            <w:pPr>
              <w:pStyle w:val="184"/>
              <w:widowControl w:val="0"/>
              <w:autoSpaceDE w:val="0"/>
              <w:autoSpaceDN w:val="0"/>
              <w:adjustRightInd w:val="0"/>
              <w:spacing w:line="240" w:lineRule="auto"/>
              <w:jc w:val="both"/>
              <w:rPr>
                <w:rFonts w:ascii="Times New Roman" w:hAnsi="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第五篇</w:t>
            </w:r>
            <w:r>
              <w:rPr>
                <w:rFonts w:ascii="Times New Roman" w:hAnsi="Times New Roman"/>
                <w:color w:val="000000" w:themeColor="text1"/>
                <w:sz w:val="18"/>
                <w14:textFill>
                  <w14:solidFill>
                    <w14:schemeClr w14:val="tx1"/>
                  </w14:solidFill>
                </w14:textFill>
              </w:rPr>
              <w:t xml:space="preserve"> </w:t>
            </w:r>
            <w:r>
              <w:rPr>
                <w:rFonts w:hint="eastAsia" w:ascii="Times New Roman" w:hAnsi="Times New Roman"/>
                <w:color w:val="000000" w:themeColor="text1"/>
                <w:sz w:val="18"/>
                <w14:textFill>
                  <w14:solidFill>
                    <w14:schemeClr w14:val="tx1"/>
                  </w14:solidFill>
                </w14:textFill>
              </w:rPr>
              <w:t>推动工业强基增效和转型升级</w:t>
            </w:r>
            <w:r>
              <w:rPr>
                <w:rFonts w:ascii="Times New Roman" w:hAnsi="Times New Roman"/>
                <w:color w:val="000000" w:themeColor="text1"/>
                <w:sz w:val="18"/>
                <w14:textFill>
                  <w14:solidFill>
                    <w14:schemeClr w14:val="tx1"/>
                  </w14:solidFill>
                </w14:textFill>
              </w:rPr>
              <w:t xml:space="preserve"> </w:t>
            </w:r>
            <w:r>
              <w:rPr>
                <w:rFonts w:hint="eastAsia" w:ascii="Times New Roman" w:hAnsi="Times New Roman"/>
                <w:color w:val="000000" w:themeColor="text1"/>
                <w:sz w:val="18"/>
                <w14:textFill>
                  <w14:solidFill>
                    <w14:schemeClr w14:val="tx1"/>
                  </w14:solidFill>
                </w14:textFill>
              </w:rPr>
              <w:t>提升新型工业化发展水平</w:t>
            </w:r>
          </w:p>
          <w:p w14:paraId="0251E49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olor w:val="000000" w:themeColor="text1"/>
                <w:sz w:val="18"/>
                <w14:textFill>
                  <w14:solidFill>
                    <w14:schemeClr w14:val="tx1"/>
                  </w14:solidFill>
                </w14:textFill>
              </w:rPr>
              <w:t>坚持一产上水平、二产抓重点、三产大发展，实施园区提升工程，科学合理布局产业项目，重点抓好石油石化、煤炭煤化工、电力、纺织服装、电子产品、林果、农副产品加工、馕、葡萄酒、旅游等“十大产业”，推进产业基础高端化、产业链现代化，提高经济质量效益和核心竞争力。力争“十四五”末，推动一批上规模、高质量的企业上市，培育一批营业收入超百亿元工业企业集团，支持打造一批营业收入和资产规模“双千亿”企业集团，力争形成一批千亿元产业集群、百亿元特色产业集群。</w:t>
            </w:r>
          </w:p>
        </w:tc>
        <w:tc>
          <w:tcPr>
            <w:tcW w:w="1693" w:type="pct"/>
            <w:vAlign w:val="center"/>
          </w:tcPr>
          <w:p w14:paraId="1ABBEBAC">
            <w:pPr>
              <w:pStyle w:val="557"/>
            </w:pPr>
            <w:r>
              <w:rPr>
                <w:rFonts w:hint="eastAsia"/>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项目的建设为新疆地区推进产业基础高端化、产业链现代化奠定良好的基础。</w:t>
            </w:r>
          </w:p>
        </w:tc>
        <w:tc>
          <w:tcPr>
            <w:tcW w:w="261" w:type="pct"/>
            <w:vMerge w:val="restart"/>
            <w:vAlign w:val="center"/>
          </w:tcPr>
          <w:p w14:paraId="364CE567">
            <w:pPr>
              <w:pStyle w:val="184"/>
              <w:widowControl w:val="0"/>
              <w:autoSpaceDE w:val="0"/>
              <w:autoSpaceDN w:val="0"/>
              <w:adjustRightInd w:val="0"/>
              <w:spacing w:line="240" w:lineRule="auto"/>
              <w:rPr>
                <w:rFonts w:ascii="Times New Roman" w:hAnsi="Times New Roman" w:cs="Times New Roman"/>
                <w:color w:val="FF0000"/>
                <w:sz w:val="18"/>
              </w:rPr>
            </w:pPr>
            <w:r>
              <w:rPr>
                <w:rFonts w:ascii="Times New Roman" w:hAnsi="Times New Roman" w:cs="Times New Roman"/>
                <w:color w:val="000000" w:themeColor="text1"/>
                <w:sz w:val="18"/>
                <w14:textFill>
                  <w14:solidFill>
                    <w14:schemeClr w14:val="tx1"/>
                  </w14:solidFill>
                </w14:textFill>
              </w:rPr>
              <w:t>符合</w:t>
            </w:r>
          </w:p>
        </w:tc>
      </w:tr>
      <w:tr w14:paraId="72FE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88" w:type="pct"/>
            <w:vMerge w:val="continue"/>
            <w:vAlign w:val="center"/>
          </w:tcPr>
          <w:p w14:paraId="66FDA62B">
            <w:pPr>
              <w:pStyle w:val="184"/>
              <w:widowControl w:val="0"/>
              <w:autoSpaceDE w:val="0"/>
              <w:autoSpaceDN w:val="0"/>
              <w:adjustRightInd w:val="0"/>
              <w:spacing w:line="240" w:lineRule="auto"/>
              <w:rPr>
                <w:rFonts w:ascii="Times New Roman" w:hAnsi="Times New Roman" w:cs="Times New Roman"/>
                <w:color w:val="FF0000"/>
                <w:sz w:val="18"/>
              </w:rPr>
            </w:pPr>
          </w:p>
        </w:tc>
        <w:tc>
          <w:tcPr>
            <w:tcW w:w="623" w:type="pct"/>
            <w:vMerge w:val="continue"/>
            <w:vAlign w:val="center"/>
          </w:tcPr>
          <w:p w14:paraId="2BDCA680">
            <w:pPr>
              <w:pStyle w:val="184"/>
              <w:widowControl w:val="0"/>
              <w:autoSpaceDE w:val="0"/>
              <w:autoSpaceDN w:val="0"/>
              <w:adjustRightInd w:val="0"/>
              <w:spacing w:line="240" w:lineRule="auto"/>
              <w:rPr>
                <w:rFonts w:ascii="Times New Roman" w:hAnsi="Times New Roman" w:cs="Times New Roman"/>
                <w:color w:val="FF0000"/>
                <w:sz w:val="18"/>
                <w:highlight w:val="yellow"/>
              </w:rPr>
            </w:pPr>
          </w:p>
        </w:tc>
        <w:tc>
          <w:tcPr>
            <w:tcW w:w="2235" w:type="pct"/>
            <w:vAlign w:val="center"/>
          </w:tcPr>
          <w:p w14:paraId="4AEC3F09">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olor w:val="auto"/>
                <w:sz w:val="18"/>
              </w:rPr>
              <w:t>“十四五”发展目标——生态文明建设实现新进步。能源资源开发利用效率大幅提升，能耗和水资源消耗、建设用地、碳排放总量得到有效控制，生态保护和修复机制基本形成，生态环境持续改善，生态安全屏障更加牢固，城乡人居环境明显改善，大美新疆天更蓝、山更绿、水更清。</w:t>
            </w:r>
          </w:p>
        </w:tc>
        <w:tc>
          <w:tcPr>
            <w:tcW w:w="1693" w:type="pct"/>
            <w:vAlign w:val="center"/>
          </w:tcPr>
          <w:p w14:paraId="643B217F">
            <w:pPr>
              <w:pStyle w:val="184"/>
              <w:widowControl w:val="0"/>
              <w:autoSpaceDE w:val="0"/>
              <w:autoSpaceDN w:val="0"/>
              <w:adjustRightInd w:val="0"/>
              <w:spacing w:line="240" w:lineRule="auto"/>
              <w:jc w:val="both"/>
              <w:rPr>
                <w:rFonts w:ascii="Times New Roman" w:hAnsi="Times New Roman"/>
                <w:color w:val="000000" w:themeColor="text1"/>
                <w:sz w:val="18"/>
                <w14:textFill>
                  <w14:solidFill>
                    <w14:schemeClr w14:val="tx1"/>
                  </w14:solidFill>
                </w14:textFill>
              </w:rPr>
            </w:pPr>
            <w:r>
              <w:rPr>
                <w:rFonts w:ascii="Times New Roman" w:hAnsi="Times New Roman"/>
                <w:color w:val="000000" w:themeColor="text1"/>
                <w:sz w:val="18"/>
                <w14:textFill>
                  <w14:solidFill>
                    <w14:schemeClr w14:val="tx1"/>
                  </w14:solidFill>
                </w14:textFill>
              </w:rPr>
              <w:t>（1）</w:t>
            </w:r>
            <w:r>
              <w:rPr>
                <w:rFonts w:hint="eastAsia" w:ascii="Times New Roman" w:hAnsi="Times New Roman"/>
                <w:color w:val="000000" w:themeColor="text1"/>
                <w:sz w:val="18"/>
                <w14:textFill>
                  <w14:solidFill>
                    <w14:schemeClr w14:val="tx1"/>
                  </w14:solidFill>
                </w14:textFill>
              </w:rPr>
              <w:t>本项目为煤制氮肥行业，属于煤炭加工转化领域，符合煤炭清洁高效利用要求，项目煤制合成氨可达到《工业重点领域能效标杆水平和基准水平（2023年版）》、《煤炭清洁高效利用重点领域标杆水平和基准水平（2022年版）》标杆水平；项目清洁生产属于国内先进水平</w:t>
            </w:r>
            <w:r>
              <w:rPr>
                <w:rFonts w:ascii="Times New Roman" w:hAnsi="Times New Roman"/>
                <w:color w:val="000000" w:themeColor="text1"/>
                <w:sz w:val="18"/>
                <w14:textFill>
                  <w14:solidFill>
                    <w14:schemeClr w14:val="tx1"/>
                  </w14:solidFill>
                </w14:textFill>
              </w:rPr>
              <w:t>。</w:t>
            </w:r>
          </w:p>
          <w:p w14:paraId="4B80EE30">
            <w:pPr>
              <w:pStyle w:val="184"/>
              <w:widowControl w:val="0"/>
              <w:autoSpaceDE w:val="0"/>
              <w:autoSpaceDN w:val="0"/>
              <w:adjustRightInd w:val="0"/>
              <w:spacing w:line="240" w:lineRule="auto"/>
              <w:jc w:val="both"/>
              <w:rPr>
                <w:rFonts w:ascii="Times New Roman" w:hAnsi="Times New Roman" w:cs="Times New Roman"/>
                <w:color w:val="FF0000"/>
                <w:sz w:val="18"/>
              </w:rPr>
            </w:pPr>
            <w:r>
              <w:rPr>
                <w:rFonts w:ascii="Times New Roman" w:hAnsi="Times New Roman"/>
                <w:color w:val="000000" w:themeColor="text1"/>
                <w:sz w:val="18"/>
                <w14:textFill>
                  <w14:solidFill>
                    <w14:schemeClr w14:val="tx1"/>
                  </w14:solidFill>
                </w14:textFill>
              </w:rPr>
              <w:t>（2）本项目将温室气体</w:t>
            </w:r>
            <w:r>
              <w:rPr>
                <w:rStyle w:val="559"/>
                <w:bCs w:val="0"/>
              </w:rPr>
              <w:t>排放纳入建设项目环境影响评价，核算建设项目温室气体排放量。</w:t>
            </w:r>
          </w:p>
        </w:tc>
        <w:tc>
          <w:tcPr>
            <w:tcW w:w="261" w:type="pct"/>
            <w:vMerge w:val="continue"/>
            <w:vAlign w:val="center"/>
          </w:tcPr>
          <w:p w14:paraId="2C3E743E">
            <w:pPr>
              <w:pStyle w:val="184"/>
              <w:widowControl w:val="0"/>
              <w:autoSpaceDE w:val="0"/>
              <w:autoSpaceDN w:val="0"/>
              <w:adjustRightInd w:val="0"/>
              <w:spacing w:line="240" w:lineRule="auto"/>
              <w:rPr>
                <w:rFonts w:ascii="Times New Roman" w:hAnsi="Times New Roman" w:cs="Times New Roman"/>
                <w:color w:val="FF0000"/>
                <w:sz w:val="18"/>
              </w:rPr>
            </w:pPr>
          </w:p>
        </w:tc>
      </w:tr>
      <w:tr w14:paraId="5362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Merge w:val="restart"/>
            <w:vAlign w:val="center"/>
          </w:tcPr>
          <w:p w14:paraId="1B767FA6">
            <w:pPr>
              <w:pStyle w:val="557"/>
            </w:pPr>
            <w:r>
              <w:rPr>
                <w:rFonts w:hint="eastAsia"/>
              </w:rPr>
              <w:t>6</w:t>
            </w:r>
          </w:p>
        </w:tc>
        <w:tc>
          <w:tcPr>
            <w:tcW w:w="623" w:type="pct"/>
            <w:vMerge w:val="restart"/>
            <w:vAlign w:val="center"/>
          </w:tcPr>
          <w:p w14:paraId="2C0BB6C8">
            <w:pPr>
              <w:pStyle w:val="557"/>
            </w:pPr>
            <w:r>
              <w:rPr>
                <w:rFonts w:hint="eastAsia"/>
              </w:rPr>
              <w:t>《哈密市国民经济和社会发展第十四个五年规划和2035年远景目标纲要》</w:t>
            </w:r>
          </w:p>
        </w:tc>
        <w:tc>
          <w:tcPr>
            <w:tcW w:w="2235" w:type="pct"/>
            <w:vAlign w:val="center"/>
          </w:tcPr>
          <w:p w14:paraId="586FE854">
            <w:pPr>
              <w:pStyle w:val="275"/>
              <w:widowControl w:val="0"/>
              <w:autoSpaceDE w:val="0"/>
              <w:autoSpaceDN w:val="0"/>
              <w:adjustRightInd w:val="0"/>
              <w:spacing w:line="240" w:lineRule="auto"/>
              <w:ind w:firstLine="392"/>
              <w:jc w:val="both"/>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第三章构建现代产业体系推动经济体系优化升级</w:t>
            </w:r>
          </w:p>
          <w:p w14:paraId="5830B7E7">
            <w:pPr>
              <w:pStyle w:val="275"/>
              <w:widowControl w:val="0"/>
              <w:autoSpaceDE w:val="0"/>
              <w:autoSpaceDN w:val="0"/>
              <w:adjustRightInd w:val="0"/>
              <w:spacing w:line="240" w:lineRule="auto"/>
              <w:ind w:firstLine="392"/>
              <w:jc w:val="both"/>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第二节加快推动工业强基增效和转型升级</w:t>
            </w:r>
          </w:p>
          <w:p w14:paraId="600C0D81">
            <w:pPr>
              <w:pStyle w:val="557"/>
              <w:rPr>
                <w:color w:val="FF0000"/>
              </w:rPr>
            </w:pPr>
            <w:r>
              <w:rPr>
                <w:shd w:val="clear" w:color="auto" w:fill="FFFFFF"/>
              </w:rPr>
              <w:t>2.做大做强主导产业。发挥煤炭资源优势，建设大型煤炭基地，实施现代煤化工重大工程，促进产业规模化、高端化、精细化、智能化发展。有序发展煤炭工业，重点抓好示范区煤炭开发和产能核增，稳定三道岭矿区煤炭产能，适度提升大南湖西区产能，适时启动大南湖东区、沙尔湖矿区煤炭资源开发。淖毛湖和三塘湖矿区煤炭资源开发重点用于哈密北煤电和煤化工就地转化项目，三道岭、巴里坤矿区和大南湖煤炭资源部分用于疆煤外运。积极发展以煤炭提质、分级液化、煤制天然气、煤制氢等为主线的煤电油气多联产，重点推动煤焦油、提质煤、轻重芳烃等深加工，建设煤炭清洁高效利用示范基地。</w:t>
            </w:r>
          </w:p>
        </w:tc>
        <w:tc>
          <w:tcPr>
            <w:tcW w:w="1693" w:type="pct"/>
            <w:vAlign w:val="center"/>
          </w:tcPr>
          <w:p w14:paraId="496EFFFB">
            <w:pPr>
              <w:pStyle w:val="557"/>
              <w:rPr>
                <w:snapToGrid/>
              </w:rPr>
            </w:pPr>
            <w:r>
              <w:rPr>
                <w:rFonts w:hint="eastAsia"/>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p>
        </w:tc>
        <w:tc>
          <w:tcPr>
            <w:tcW w:w="261" w:type="pct"/>
            <w:vMerge w:val="restart"/>
            <w:vAlign w:val="center"/>
          </w:tcPr>
          <w:p w14:paraId="425F0C29">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58E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8" w:type="pct"/>
            <w:vMerge w:val="continue"/>
            <w:vAlign w:val="center"/>
          </w:tcPr>
          <w:p w14:paraId="004DE3D1">
            <w:pPr>
              <w:pStyle w:val="557"/>
            </w:pPr>
          </w:p>
        </w:tc>
        <w:tc>
          <w:tcPr>
            <w:tcW w:w="623" w:type="pct"/>
            <w:vMerge w:val="continue"/>
            <w:vAlign w:val="center"/>
          </w:tcPr>
          <w:p w14:paraId="47297835">
            <w:pPr>
              <w:pStyle w:val="557"/>
            </w:pPr>
          </w:p>
        </w:tc>
        <w:tc>
          <w:tcPr>
            <w:tcW w:w="2235" w:type="pct"/>
            <w:vAlign w:val="center"/>
          </w:tcPr>
          <w:p w14:paraId="1CF55456">
            <w:pPr>
              <w:pStyle w:val="275"/>
              <w:widowControl w:val="0"/>
              <w:autoSpaceDE w:val="0"/>
              <w:autoSpaceDN w:val="0"/>
              <w:adjustRightInd w:val="0"/>
              <w:spacing w:line="240" w:lineRule="auto"/>
              <w:ind w:firstLine="392"/>
              <w:jc w:val="both"/>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第六章统筹推进乡村振兴和新型城镇化构建区域协调发展新格局</w:t>
            </w:r>
          </w:p>
          <w:p w14:paraId="0AB12942">
            <w:pPr>
              <w:pStyle w:val="275"/>
              <w:widowControl w:val="0"/>
              <w:autoSpaceDE w:val="0"/>
              <w:autoSpaceDN w:val="0"/>
              <w:adjustRightInd w:val="0"/>
              <w:spacing w:line="240" w:lineRule="auto"/>
              <w:ind w:firstLine="392"/>
              <w:jc w:val="both"/>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第四节高站位推进区县联动发展</w:t>
            </w:r>
          </w:p>
          <w:p w14:paraId="49887D6D">
            <w:pPr>
              <w:pStyle w:val="557"/>
              <w:rPr>
                <w:color w:val="FF0000"/>
              </w:rPr>
            </w:pPr>
            <w:r>
              <w:rPr>
                <w:shd w:val="clear" w:color="auto" w:fill="FFFFFF"/>
              </w:rPr>
              <w:t>1.优化城市发展空间格局。根据市域南北差异和产业发展特点，形成“一主三副、一带四轴四片区”的城镇空间发展格局。“一带”：哈密能源资源产业发展带，即以丝绸之路经济带北通道为脉络，以建设国家大型煤炭煤电煤化工基地为核心的发展带。</w:t>
            </w:r>
          </w:p>
        </w:tc>
        <w:tc>
          <w:tcPr>
            <w:tcW w:w="1693" w:type="pct"/>
            <w:vAlign w:val="center"/>
          </w:tcPr>
          <w:p w14:paraId="14409E22">
            <w:pPr>
              <w:pStyle w:val="557"/>
              <w:rPr>
                <w:snapToGrid/>
                <w:color w:val="FF0000"/>
              </w:rPr>
            </w:pPr>
            <w:r>
              <w:t>本项目位于哈密地区，属于纲要规划的</w:t>
            </w:r>
            <w:r>
              <w:rPr>
                <w:spacing w:val="8"/>
                <w:shd w:val="clear" w:color="auto" w:fill="FFFFFF"/>
              </w:rPr>
              <w:t>哈密能源资源产业发展带。</w:t>
            </w:r>
          </w:p>
        </w:tc>
        <w:tc>
          <w:tcPr>
            <w:tcW w:w="261" w:type="pct"/>
            <w:vMerge w:val="continue"/>
            <w:vAlign w:val="center"/>
          </w:tcPr>
          <w:p w14:paraId="0DFF4889">
            <w:pPr>
              <w:pStyle w:val="184"/>
              <w:widowControl w:val="0"/>
              <w:autoSpaceDE w:val="0"/>
              <w:autoSpaceDN w:val="0"/>
              <w:adjustRightInd w:val="0"/>
              <w:spacing w:line="240" w:lineRule="auto"/>
              <w:rPr>
                <w:rFonts w:ascii="Times New Roman" w:hAnsi="Times New Roman" w:cs="Times New Roman"/>
                <w:color w:val="FF0000"/>
                <w:sz w:val="18"/>
              </w:rPr>
            </w:pPr>
          </w:p>
        </w:tc>
      </w:tr>
      <w:tr w14:paraId="3FC0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 w:type="pct"/>
            <w:vMerge w:val="continue"/>
            <w:vAlign w:val="center"/>
          </w:tcPr>
          <w:p w14:paraId="117F8533">
            <w:pPr>
              <w:pStyle w:val="557"/>
            </w:pPr>
          </w:p>
        </w:tc>
        <w:tc>
          <w:tcPr>
            <w:tcW w:w="623" w:type="pct"/>
            <w:vMerge w:val="continue"/>
            <w:vAlign w:val="center"/>
          </w:tcPr>
          <w:p w14:paraId="6425C22D">
            <w:pPr>
              <w:pStyle w:val="557"/>
            </w:pPr>
          </w:p>
        </w:tc>
        <w:tc>
          <w:tcPr>
            <w:tcW w:w="2235" w:type="pct"/>
            <w:vAlign w:val="center"/>
          </w:tcPr>
          <w:p w14:paraId="17973196">
            <w:pPr>
              <w:pStyle w:val="275"/>
              <w:widowControl w:val="0"/>
              <w:autoSpaceDE w:val="0"/>
              <w:autoSpaceDN w:val="0"/>
              <w:adjustRightInd w:val="0"/>
              <w:spacing w:line="240" w:lineRule="auto"/>
              <w:ind w:firstLine="392"/>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第七章持续改善生态环境打造生态文明建设样板区</w:t>
            </w:r>
          </w:p>
          <w:p w14:paraId="1E55F6ED">
            <w:pPr>
              <w:pStyle w:val="275"/>
              <w:widowControl w:val="0"/>
              <w:autoSpaceDE w:val="0"/>
              <w:autoSpaceDN w:val="0"/>
              <w:adjustRightInd w:val="0"/>
              <w:spacing w:line="240" w:lineRule="auto"/>
              <w:ind w:firstLine="392"/>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第一节优化国土空间开发保护格局</w:t>
            </w:r>
          </w:p>
          <w:p w14:paraId="62EE94BF">
            <w:pPr>
              <w:pStyle w:val="275"/>
              <w:widowControl w:val="0"/>
              <w:autoSpaceDE w:val="0"/>
              <w:autoSpaceDN w:val="0"/>
              <w:adjustRightInd w:val="0"/>
              <w:spacing w:line="240" w:lineRule="auto"/>
              <w:ind w:firstLine="392"/>
              <w:jc w:val="both"/>
              <w:rPr>
                <w:rFonts w:ascii="Times New Roman" w:hAnsi="Times New Roman"/>
                <w:spacing w:val="8"/>
                <w:sz w:val="18"/>
                <w:szCs w:val="18"/>
                <w:shd w:val="clear" w:color="auto" w:fill="FFFFFF"/>
              </w:rPr>
            </w:pPr>
            <w:r>
              <w:rPr>
                <w:rFonts w:ascii="Times New Roman" w:hAnsi="Times New Roman"/>
                <w:spacing w:val="8"/>
                <w:sz w:val="18"/>
                <w:szCs w:val="18"/>
                <w:shd w:val="clear" w:color="auto" w:fill="FFFFFF"/>
              </w:rPr>
              <w:t>2.构建生态环境空间管控体系。实行最严格的生态保护制度，建立完善“三线一单”管控体系，确保发展不超载、底线不突破。坚守生态保护红线，建立以国家公园为主体、自然保护区为基础、各类自然公园为补充的自然保护地体系。采取最严格的生态管控措施，坚决保护好冰川、森林、草原、湿地、绿洲、荒漠等生态系统。严守大气环境质量底线、水环境质量底线和土壤环境风险防控底线，分阶段、分区域设置大气、水和土壤环境质量目标。对能源、水、土地等资源消耗总量实施管控，协同资源消耗总量管控与消耗强度管理。到2025年，确保煤炭消费控制目标、能源消费总量目标、能耗强度目标和万元GDP综合能源消费量等指标严格控制在自治区约束范围内。实行生态环境准入清单制度，形成全市、山南山北两大板块、一区两县、环境管控单元等四个维度的管控要求与准入清单。</w:t>
            </w:r>
          </w:p>
        </w:tc>
        <w:tc>
          <w:tcPr>
            <w:tcW w:w="1693" w:type="pct"/>
            <w:vAlign w:val="center"/>
          </w:tcPr>
          <w:p w14:paraId="75CD5B7E">
            <w:pPr>
              <w:pStyle w:val="184"/>
              <w:widowControl w:val="0"/>
              <w:autoSpaceDE w:val="0"/>
              <w:autoSpaceDN w:val="0"/>
              <w:adjustRightInd w:val="0"/>
              <w:spacing w:line="240" w:lineRule="auto"/>
              <w:jc w:val="both"/>
              <w:rPr>
                <w:rFonts w:ascii="Times New Roman" w:hAnsi="Times New Roman"/>
                <w:color w:val="auto"/>
                <w:sz w:val="18"/>
              </w:rPr>
            </w:pPr>
            <w:r>
              <w:rPr>
                <w:rFonts w:ascii="Times New Roman" w:hAnsi="Times New Roman"/>
                <w:color w:val="auto"/>
                <w:sz w:val="18"/>
              </w:rPr>
              <w:t>（1）本项目符合《哈密市“三线一单”生态环境分区管控方案》（哈政办发[2021]37号）。</w:t>
            </w:r>
          </w:p>
          <w:p w14:paraId="623BF77E">
            <w:pPr>
              <w:pStyle w:val="184"/>
              <w:widowControl w:val="0"/>
              <w:autoSpaceDE w:val="0"/>
              <w:autoSpaceDN w:val="0"/>
              <w:adjustRightInd w:val="0"/>
              <w:spacing w:line="240" w:lineRule="auto"/>
              <w:jc w:val="both"/>
              <w:rPr>
                <w:rFonts w:ascii="Times New Roman" w:hAnsi="Times New Roman"/>
                <w:color w:val="auto"/>
                <w:sz w:val="18"/>
              </w:rPr>
            </w:pPr>
            <w:r>
              <w:rPr>
                <w:rFonts w:ascii="Times New Roman" w:hAnsi="Times New Roman"/>
                <w:color w:val="auto"/>
                <w:sz w:val="18"/>
              </w:rPr>
              <w:t>（2）哈密市“十四五”与“十五五”期间能耗总量和强度控制指标值尚未确定。</w:t>
            </w:r>
          </w:p>
          <w:p w14:paraId="31928D64">
            <w:pPr>
              <w:pStyle w:val="184"/>
              <w:widowControl w:val="0"/>
              <w:autoSpaceDE w:val="0"/>
              <w:autoSpaceDN w:val="0"/>
              <w:adjustRightInd w:val="0"/>
              <w:spacing w:line="240" w:lineRule="auto"/>
              <w:jc w:val="both"/>
              <w:rPr>
                <w:rFonts w:ascii="Times New Roman" w:hAnsi="Times New Roman"/>
                <w:sz w:val="18"/>
              </w:rPr>
            </w:pPr>
            <w:r>
              <w:rPr>
                <w:rFonts w:ascii="Times New Roman" w:hAnsi="Times New Roman"/>
                <w:sz w:val="18"/>
              </w:rPr>
              <w:t>（3）本项目满足清污分流、污污分流、深度处理、分质回用原则，项目产生的废水全部处理达标后回用，不外排。</w:t>
            </w:r>
          </w:p>
          <w:p w14:paraId="5E470F64">
            <w:pPr>
              <w:pStyle w:val="104"/>
              <w:widowControl w:val="0"/>
              <w:autoSpaceDE/>
              <w:autoSpaceDN/>
              <w:adjustRightInd/>
              <w:spacing w:line="240" w:lineRule="auto"/>
              <w:ind w:firstLine="0" w:firstLineChars="0"/>
              <w:jc w:val="both"/>
              <w:rPr>
                <w:rFonts w:ascii="Times New Roman" w:hAnsi="Times New Roman" w:cs="Times New Roman"/>
                <w:spacing w:val="0"/>
                <w:sz w:val="18"/>
                <w:szCs w:val="18"/>
              </w:rPr>
            </w:pPr>
            <w:r>
              <w:rPr>
                <w:rFonts w:ascii="Times New Roman"/>
                <w:sz w:val="18"/>
                <w:szCs w:val="18"/>
              </w:rPr>
              <w:t>（4）</w:t>
            </w:r>
            <w:r>
              <w:rPr>
                <w:rFonts w:ascii="Times New Roman"/>
                <w:spacing w:val="0"/>
                <w:sz w:val="18"/>
                <w:szCs w:val="18"/>
              </w:rPr>
              <w:t>本项目</w:t>
            </w:r>
            <w:r>
              <w:rPr>
                <w:rFonts w:hint="eastAsia" w:ascii="Times New Roman"/>
                <w:spacing w:val="0"/>
                <w:sz w:val="18"/>
                <w:szCs w:val="18"/>
              </w:rPr>
              <w:t>不</w:t>
            </w:r>
            <w:r>
              <w:rPr>
                <w:rFonts w:ascii="Times New Roman"/>
                <w:spacing w:val="0"/>
                <w:sz w:val="18"/>
                <w:szCs w:val="18"/>
              </w:rPr>
              <w:t>处于大气环境重点管控区。</w:t>
            </w:r>
            <w:r>
              <w:rPr>
                <w:sz w:val="18"/>
                <w:szCs w:val="18"/>
              </w:rPr>
              <w:t>项目严格控制生产工艺过程及相关物料储存、输送等无组织排放，煤粉、粉煤灰、除尘灰均采用密闭料仓储存，并配套袋式过滤器</w:t>
            </w:r>
            <w:r>
              <w:rPr>
                <w:rFonts w:hint="eastAsia"/>
                <w:sz w:val="18"/>
                <w:szCs w:val="18"/>
              </w:rPr>
              <w:t>；</w:t>
            </w:r>
            <w:r>
              <w:rPr>
                <w:sz w:val="18"/>
                <w:szCs w:val="18"/>
              </w:rPr>
              <w:t>原料煤采用封闭通廊输送</w:t>
            </w:r>
            <w:r>
              <w:rPr>
                <w:rFonts w:hint="eastAsia"/>
                <w:sz w:val="18"/>
                <w:szCs w:val="18"/>
              </w:rPr>
              <w:t>；</w:t>
            </w:r>
            <w:r>
              <w:rPr>
                <w:sz w:val="18"/>
                <w:szCs w:val="18"/>
              </w:rPr>
              <w:t>粉煤</w:t>
            </w:r>
            <w:r>
              <w:rPr>
                <w:rFonts w:hint="eastAsia"/>
                <w:sz w:val="18"/>
                <w:szCs w:val="18"/>
              </w:rPr>
              <w:t>等</w:t>
            </w:r>
            <w:r>
              <w:rPr>
                <w:sz w:val="18"/>
                <w:szCs w:val="18"/>
              </w:rPr>
              <w:t>颗粒均采用气力输送</w:t>
            </w:r>
            <w:r>
              <w:rPr>
                <w:rFonts w:hint="eastAsia"/>
                <w:sz w:val="18"/>
                <w:szCs w:val="18"/>
              </w:rPr>
              <w:t>；</w:t>
            </w:r>
            <w:r>
              <w:rPr>
                <w:sz w:val="18"/>
                <w:szCs w:val="18"/>
              </w:rPr>
              <w:t>除尘灰采用真空罐车输送</w:t>
            </w:r>
            <w:r>
              <w:rPr>
                <w:rFonts w:hint="eastAsia"/>
                <w:sz w:val="18"/>
                <w:szCs w:val="18"/>
              </w:rPr>
              <w:t>；</w:t>
            </w:r>
            <w:r>
              <w:rPr>
                <w:sz w:val="18"/>
                <w:szCs w:val="18"/>
              </w:rPr>
              <w:t>设备动静密封点采用设备与管线泄漏检测与修复</w:t>
            </w:r>
            <w:r>
              <w:rPr>
                <w:rFonts w:ascii="Times New Roman" w:hAnsi="Times New Roman" w:cs="Times New Roman"/>
                <w:sz w:val="18"/>
                <w:szCs w:val="18"/>
              </w:rPr>
              <w:t>（LDAR）控制措施；有机液体储存和装卸</w:t>
            </w:r>
            <w:r>
              <w:rPr>
                <w:rFonts w:hint="eastAsia" w:ascii="Times New Roman" w:hAnsi="Times New Roman" w:cs="Times New Roman"/>
                <w:sz w:val="18"/>
                <w:szCs w:val="18"/>
              </w:rPr>
              <w:t>设备</w:t>
            </w:r>
            <w:r>
              <w:rPr>
                <w:rFonts w:ascii="Times New Roman" w:hAnsi="Times New Roman" w:cs="Times New Roman"/>
                <w:sz w:val="18"/>
                <w:szCs w:val="18"/>
              </w:rPr>
              <w:t>油气回收设施；</w:t>
            </w:r>
            <w:r>
              <w:rPr>
                <w:rFonts w:ascii="Times New Roman" w:hAnsi="Times New Roman" w:cs="Times New Roman"/>
                <w:spacing w:val="0"/>
                <w:sz w:val="18"/>
                <w:szCs w:val="18"/>
              </w:rPr>
              <w:t>污水收集暂存和处理系统采用密闭管道输送，废水暂存、处理设施采取加盖封闭，厂区无组织排放满足</w:t>
            </w:r>
            <w:r>
              <w:rPr>
                <w:rFonts w:hint="eastAsia" w:ascii="Times New Roman" w:hAnsi="Times New Roman" w:cs="Times New Roman"/>
                <w:spacing w:val="0"/>
                <w:sz w:val="18"/>
                <w:szCs w:val="18"/>
              </w:rPr>
              <w:t>《石油化学工业污染物排放标准》（GB31571-2015，含2024年修改单）</w:t>
            </w:r>
            <w:r>
              <w:rPr>
                <w:rFonts w:ascii="Times New Roman" w:hAnsi="Times New Roman" w:cs="Times New Roman"/>
                <w:spacing w:val="0"/>
                <w:sz w:val="18"/>
                <w:szCs w:val="18"/>
              </w:rPr>
              <w:t>及《恶臭污染物排放标准》（GB14554-93）；厂内VOC</w:t>
            </w:r>
            <w:r>
              <w:rPr>
                <w:rFonts w:ascii="Times New Roman" w:hAnsi="Times New Roman" w:cs="Times New Roman"/>
                <w:spacing w:val="0"/>
                <w:sz w:val="18"/>
                <w:szCs w:val="18"/>
                <w:vertAlign w:val="subscript"/>
              </w:rPr>
              <w:t>S</w:t>
            </w:r>
            <w:r>
              <w:rPr>
                <w:rFonts w:ascii="Times New Roman" w:hAnsi="Times New Roman" w:cs="Times New Roman"/>
                <w:spacing w:val="0"/>
                <w:sz w:val="18"/>
                <w:szCs w:val="18"/>
              </w:rPr>
              <w:t>无组织排放满足《挥发性有机物无组织排放控制标准》（GB37822-2019）。</w:t>
            </w:r>
          </w:p>
          <w:p w14:paraId="672655E7">
            <w:pPr>
              <w:pStyle w:val="557"/>
            </w:pPr>
            <w:r>
              <w:t>（</w:t>
            </w:r>
            <w:r>
              <w:rPr>
                <w:rFonts w:hint="eastAsia"/>
              </w:rPr>
              <w:t>5</w:t>
            </w:r>
            <w:r>
              <w:t>）本项目满足当地资源利用上线及生态环境准入要求。</w:t>
            </w:r>
          </w:p>
        </w:tc>
        <w:tc>
          <w:tcPr>
            <w:tcW w:w="261" w:type="pct"/>
            <w:vMerge w:val="continue"/>
            <w:vAlign w:val="center"/>
          </w:tcPr>
          <w:p w14:paraId="44BA724F">
            <w:pPr>
              <w:pStyle w:val="184"/>
              <w:widowControl w:val="0"/>
              <w:autoSpaceDE w:val="0"/>
              <w:autoSpaceDN w:val="0"/>
              <w:adjustRightInd w:val="0"/>
              <w:spacing w:line="240" w:lineRule="auto"/>
              <w:rPr>
                <w:rFonts w:ascii="Times New Roman" w:hAnsi="Times New Roman" w:cs="Times New Roman"/>
                <w:color w:val="FF0000"/>
                <w:sz w:val="18"/>
              </w:rPr>
            </w:pPr>
          </w:p>
        </w:tc>
      </w:tr>
    </w:tbl>
    <w:p w14:paraId="463483E9">
      <w:pPr>
        <w:pStyle w:val="645"/>
        <w:rPr>
          <w:rFonts w:hint="eastAsia"/>
          <w:color w:val="000000" w:themeColor="text1"/>
          <w14:textFill>
            <w14:solidFill>
              <w14:schemeClr w14:val="tx1"/>
            </w14:solidFill>
          </w14:textFill>
        </w:rPr>
      </w:pPr>
    </w:p>
    <w:p w14:paraId="67B55C88">
      <w:pPr>
        <w:pStyle w:val="645"/>
        <w:rPr>
          <w:rFonts w:hint="eastAsia"/>
          <w:color w:val="000000" w:themeColor="text1"/>
          <w14:textFill>
            <w14:solidFill>
              <w14:schemeClr w14:val="tx1"/>
            </w14:solidFill>
          </w14:textFill>
        </w:rPr>
      </w:pPr>
    </w:p>
    <w:p w14:paraId="33ABB3E9">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表8.2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2-1  本项目与有关功能区划和环境保护规划的符合性分析</w:t>
      </w:r>
    </w:p>
    <w:tbl>
      <w:tblPr>
        <w:tblStyle w:val="70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2017"/>
        <w:gridCol w:w="5830"/>
        <w:gridCol w:w="4869"/>
        <w:gridCol w:w="727"/>
      </w:tblGrid>
      <w:tr w14:paraId="7630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88" w:type="pct"/>
            <w:vAlign w:val="center"/>
          </w:tcPr>
          <w:p w14:paraId="5D21B7B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序号</w:t>
            </w:r>
          </w:p>
        </w:tc>
        <w:tc>
          <w:tcPr>
            <w:tcW w:w="722" w:type="pct"/>
            <w:vAlign w:val="center"/>
          </w:tcPr>
          <w:p w14:paraId="719147D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政策文件</w:t>
            </w:r>
          </w:p>
        </w:tc>
        <w:tc>
          <w:tcPr>
            <w:tcW w:w="2087" w:type="pct"/>
            <w:vAlign w:val="center"/>
          </w:tcPr>
          <w:p w14:paraId="6D7EAA1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具体要求</w:t>
            </w:r>
          </w:p>
        </w:tc>
        <w:tc>
          <w:tcPr>
            <w:tcW w:w="1743" w:type="pct"/>
            <w:vAlign w:val="center"/>
          </w:tcPr>
          <w:p w14:paraId="2F505F91">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本项目情况</w:t>
            </w:r>
          </w:p>
        </w:tc>
        <w:tc>
          <w:tcPr>
            <w:tcW w:w="260" w:type="pct"/>
            <w:vAlign w:val="center"/>
          </w:tcPr>
          <w:p w14:paraId="396F197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符合性</w:t>
            </w:r>
          </w:p>
        </w:tc>
      </w:tr>
      <w:tr w14:paraId="648A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188" w:type="pct"/>
            <w:vAlign w:val="center"/>
          </w:tcPr>
          <w:p w14:paraId="450D38A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p>
        </w:tc>
        <w:tc>
          <w:tcPr>
            <w:tcW w:w="722" w:type="pct"/>
            <w:vAlign w:val="center"/>
          </w:tcPr>
          <w:p w14:paraId="2743F68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《全国主体功能区划（修编版）》</w:t>
            </w:r>
          </w:p>
        </w:tc>
        <w:tc>
          <w:tcPr>
            <w:tcW w:w="2087" w:type="pct"/>
            <w:vAlign w:val="center"/>
          </w:tcPr>
          <w:p w14:paraId="75555CE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在资源环境承载能力和市场允许的情况下，依托能源和矿产资源的资源加工业项目，优先在中西部国家重点开发区域布局。</w:t>
            </w:r>
          </w:p>
        </w:tc>
        <w:tc>
          <w:tcPr>
            <w:tcW w:w="1743" w:type="pct"/>
            <w:vAlign w:val="center"/>
          </w:tcPr>
          <w:p w14:paraId="66DADFA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w:t>
            </w:r>
            <w:r>
              <w:rPr>
                <w:rFonts w:hint="eastAsia" w:ascii="Times New Roman" w:hAnsi="Times New Roman" w:cs="Times New Roman"/>
                <w:color w:val="000000" w:themeColor="text1"/>
                <w:sz w:val="18"/>
                <w14:textFill>
                  <w14:solidFill>
                    <w14:schemeClr w14:val="tx1"/>
                  </w14:solidFill>
                </w14:textFill>
              </w:rPr>
              <w:t>本项目采用先进的煤炭优质化加工技术，通过气化技术提取煤中有用的碳氢化合物，生产液氨，通过液氨生产草酰胺，继而生产有机缓释肥等化学品</w:t>
            </w:r>
            <w:r>
              <w:rPr>
                <w:rFonts w:ascii="Times New Roman" w:hAnsi="Times New Roman" w:cs="Times New Roman"/>
                <w:color w:val="000000" w:themeColor="text1"/>
                <w:sz w:val="18"/>
                <w14:textFill>
                  <w14:solidFill>
                    <w14:schemeClr w14:val="tx1"/>
                  </w14:solidFill>
                </w14:textFill>
              </w:rPr>
              <w:t>，为煤制氮肥行业。</w:t>
            </w:r>
          </w:p>
        </w:tc>
        <w:tc>
          <w:tcPr>
            <w:tcW w:w="260" w:type="pct"/>
            <w:vAlign w:val="center"/>
          </w:tcPr>
          <w:p w14:paraId="75C3686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1783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restart"/>
            <w:vAlign w:val="center"/>
          </w:tcPr>
          <w:p w14:paraId="21BFF1FC">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2</w:t>
            </w:r>
          </w:p>
        </w:tc>
        <w:tc>
          <w:tcPr>
            <w:tcW w:w="722" w:type="pct"/>
            <w:vMerge w:val="restart"/>
            <w:vAlign w:val="center"/>
          </w:tcPr>
          <w:p w14:paraId="5BB304D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《新疆生态环境保护“十四五”规划》</w:t>
            </w:r>
          </w:p>
        </w:tc>
        <w:tc>
          <w:tcPr>
            <w:tcW w:w="2087" w:type="pct"/>
            <w:vAlign w:val="center"/>
          </w:tcPr>
          <w:p w14:paraId="7DCDCA6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第一节完善绿色发展机制</w:t>
            </w:r>
          </w:p>
          <w:p w14:paraId="5ADBB061">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w:t>
            </w:r>
          </w:p>
        </w:tc>
        <w:tc>
          <w:tcPr>
            <w:tcW w:w="1743" w:type="pct"/>
            <w:vAlign w:val="center"/>
          </w:tcPr>
          <w:p w14:paraId="390A71F3">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本项目符合“三线一单”生态环境分区管控要求，水资源供应有保障。</w:t>
            </w:r>
          </w:p>
        </w:tc>
        <w:tc>
          <w:tcPr>
            <w:tcW w:w="260" w:type="pct"/>
            <w:vMerge w:val="restart"/>
            <w:vAlign w:val="center"/>
          </w:tcPr>
          <w:p w14:paraId="60C242A7">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453E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continue"/>
            <w:vAlign w:val="center"/>
          </w:tcPr>
          <w:p w14:paraId="3C958E88">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722" w:type="pct"/>
            <w:vMerge w:val="continue"/>
            <w:vAlign w:val="center"/>
          </w:tcPr>
          <w:p w14:paraId="5089CA0D">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087" w:type="pct"/>
            <w:vAlign w:val="center"/>
          </w:tcPr>
          <w:p w14:paraId="51193BF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第三节建设清洁低碳能源体系</w:t>
            </w:r>
          </w:p>
          <w:p w14:paraId="501EA4D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提升重点行业领域能效水平。加强高耗能行业企业的能效管理，提高能源利用效率，大力推动钢铁、建材、石油化工等重点行业以及其他行业重点用能单位持续开展节能工作，有效降低单位产品能耗。提高企业能源利用效率，实施重点工艺环节的能效提升改造，树立一批能效领跑、技术先进的示范领军企业。</w:t>
            </w:r>
          </w:p>
        </w:tc>
        <w:tc>
          <w:tcPr>
            <w:tcW w:w="1743" w:type="pct"/>
            <w:vAlign w:val="center"/>
          </w:tcPr>
          <w:p w14:paraId="42A6765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（1）本项目采用空气冷却、密闭式循环冷却水系统等节水技术，不断降低水资源消耗强度，提高利用效率。</w:t>
            </w:r>
          </w:p>
          <w:p w14:paraId="0717B8B6">
            <w:pPr>
              <w:pStyle w:val="557"/>
              <w:jc w:val="both"/>
            </w:pPr>
            <w:r>
              <w:t>（2）本项目属于煤制氮肥行业，项目合成氨的生产可达到《</w:t>
            </w:r>
            <w:r>
              <w:rPr>
                <w:rFonts w:hint="eastAsia"/>
              </w:rPr>
              <w:t>工业重点领域能效标杆水平和基准水平（2023年版）</w:t>
            </w:r>
            <w:r>
              <w:t>》、《煤炭清洁高效利用重点领域标杆水平和基准水平（2022年版）》标杆水平</w:t>
            </w:r>
            <w:r>
              <w:rPr>
                <w:rFonts w:hint="eastAsia"/>
              </w:rPr>
              <w:t>。</w:t>
            </w:r>
          </w:p>
        </w:tc>
        <w:tc>
          <w:tcPr>
            <w:tcW w:w="260" w:type="pct"/>
            <w:vMerge w:val="continue"/>
            <w:vAlign w:val="center"/>
          </w:tcPr>
          <w:p w14:paraId="3415D950">
            <w:pPr>
              <w:pStyle w:val="184"/>
              <w:widowControl w:val="0"/>
              <w:autoSpaceDE w:val="0"/>
              <w:autoSpaceDN w:val="0"/>
              <w:adjustRightInd w:val="0"/>
              <w:spacing w:line="240" w:lineRule="auto"/>
              <w:rPr>
                <w:rFonts w:ascii="Times New Roman" w:hAnsi="Times New Roman" w:cs="Times New Roman"/>
                <w:color w:val="FF0000"/>
                <w:sz w:val="18"/>
              </w:rPr>
            </w:pPr>
          </w:p>
        </w:tc>
      </w:tr>
      <w:tr w14:paraId="0A2F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continue"/>
            <w:vAlign w:val="center"/>
          </w:tcPr>
          <w:p w14:paraId="0D6FEFF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722" w:type="pct"/>
            <w:vMerge w:val="continue"/>
            <w:vAlign w:val="center"/>
          </w:tcPr>
          <w:p w14:paraId="1A555875">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c>
          <w:tcPr>
            <w:tcW w:w="2087" w:type="pct"/>
            <w:vAlign w:val="center"/>
          </w:tcPr>
          <w:p w14:paraId="572F3ACC">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第三节持续推进涉气污染源治理</w:t>
            </w:r>
          </w:p>
          <w:p w14:paraId="49EF8A1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实施重点行业氮氧化物（以下简称“NOx”）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743" w:type="pct"/>
            <w:vAlign w:val="center"/>
          </w:tcPr>
          <w:p w14:paraId="05915001">
            <w:pPr>
              <w:pStyle w:val="184"/>
              <w:widowControl w:val="0"/>
              <w:autoSpaceDE w:val="0"/>
              <w:autoSpaceDN w:val="0"/>
              <w:adjustRightInd w:val="0"/>
              <w:spacing w:line="240" w:lineRule="auto"/>
              <w:jc w:val="both"/>
              <w:rPr>
                <w:rFonts w:ascii="Times New Roman" w:hAnsi="Times New Roman" w:cs="Times New Roman"/>
                <w:color w:val="000000" w:themeColor="text1"/>
                <w:sz w:val="18"/>
                <w:highlight w:val="yellow"/>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（1）项目对废气排放采取严格的污染治理措施，对氮氧化物进行低氮燃烧。</w:t>
            </w:r>
          </w:p>
          <w:p w14:paraId="32B6D9F5">
            <w:pPr>
              <w:widowControl w:val="0"/>
              <w:autoSpaceDE w:val="0"/>
              <w:autoSpaceDN w:val="0"/>
              <w:adjustRightIn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对无组织排放的各环节采取控制措施，严格控制无组织排放。本项目严格控制生产工艺过程及相关物料储存、输送等无组织排放，煤粉采用密闭料仓储存，并配套袋式过滤器，原料煤采用封闭通廊输送；除尘灰采用真空罐车输送，设备动静密封点采用设备与管线泄漏检测与修复（LDAR）控制措施，有机液体储存和装卸设油气回收设施，污水收集暂存和处理系统采用密闭管道输送，废水暂存、处理设施采取加盖封闭，备煤储煤均采用密闭料仓，配套袋式过滤器，厂区无组织排放满足《石油化学工业污染物排放标准》</w:t>
            </w:r>
            <w:r>
              <w:rPr>
                <w:rFonts w:ascii="Times New Roman" w:hAnsi="Times New Roman" w:cs="Times New Roman"/>
                <w:color w:val="000000" w:themeColor="text1"/>
                <w:sz w:val="18"/>
                <w14:textFill>
                  <w14:solidFill>
                    <w14:schemeClr w14:val="tx1"/>
                  </w14:solidFill>
                </w14:textFill>
              </w:rPr>
              <w:t>（GB31571-2015</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14:textFill>
                  <w14:solidFill>
                    <w14:schemeClr w14:val="tx1"/>
                  </w14:solidFill>
                </w14:textFill>
              </w:rPr>
              <w:t>含2024年修改单</w:t>
            </w:r>
            <w:r>
              <w:rPr>
                <w:rFonts w:hint="eastAsia" w:ascii="Times New Roman" w:hAnsi="Times New Roman" w:cs="Times New Roman"/>
                <w:color w:val="000000" w:themeColor="text1"/>
                <w:sz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、《大气污染物综合排放标准》（GB16297-1996）及《恶臭污染物排放标准》（GB14554-93）；厂内VOC</w:t>
            </w:r>
            <w:r>
              <w:rPr>
                <w:rFonts w:ascii="Times New Roman" w:hAnsi="Times New Roman" w:cs="Times New Roman"/>
                <w:color w:val="000000" w:themeColor="text1"/>
                <w:sz w:val="18"/>
                <w:szCs w:val="18"/>
                <w:vertAlign w:val="subscript"/>
                <w14:textFill>
                  <w14:solidFill>
                    <w14:schemeClr w14:val="tx1"/>
                  </w14:solidFill>
                </w14:textFill>
              </w:rPr>
              <w:t>S</w:t>
            </w:r>
            <w:r>
              <w:rPr>
                <w:rFonts w:ascii="Times New Roman" w:hAnsi="Times New Roman" w:cs="Times New Roman"/>
                <w:color w:val="000000" w:themeColor="text1"/>
                <w:sz w:val="18"/>
                <w:szCs w:val="18"/>
                <w14:textFill>
                  <w14:solidFill>
                    <w14:schemeClr w14:val="tx1"/>
                  </w14:solidFill>
                </w14:textFill>
              </w:rPr>
              <w:t>无组织排放执行《挥发性有机物无组织排放控制标准》（GB37822-2019）。</w:t>
            </w:r>
          </w:p>
        </w:tc>
        <w:tc>
          <w:tcPr>
            <w:tcW w:w="260" w:type="pct"/>
            <w:vMerge w:val="continue"/>
            <w:vAlign w:val="center"/>
          </w:tcPr>
          <w:p w14:paraId="2BD44A32">
            <w:pPr>
              <w:pStyle w:val="184"/>
              <w:widowControl w:val="0"/>
              <w:autoSpaceDE w:val="0"/>
              <w:autoSpaceDN w:val="0"/>
              <w:adjustRightInd w:val="0"/>
              <w:spacing w:line="240" w:lineRule="auto"/>
              <w:rPr>
                <w:rFonts w:ascii="Times New Roman" w:hAnsi="Times New Roman" w:cs="Times New Roman"/>
                <w:color w:val="FF0000"/>
                <w:sz w:val="18"/>
              </w:rPr>
            </w:pPr>
          </w:p>
        </w:tc>
      </w:tr>
      <w:tr w14:paraId="2CBE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restart"/>
            <w:vAlign w:val="center"/>
          </w:tcPr>
          <w:p w14:paraId="4F7259D0">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3</w:t>
            </w:r>
          </w:p>
        </w:tc>
        <w:tc>
          <w:tcPr>
            <w:tcW w:w="722" w:type="pct"/>
            <w:vMerge w:val="restart"/>
            <w:vAlign w:val="center"/>
          </w:tcPr>
          <w:p w14:paraId="70EC5DFF">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《哈密市生态环境保护“十四五”规划》</w:t>
            </w:r>
          </w:p>
        </w:tc>
        <w:tc>
          <w:tcPr>
            <w:tcW w:w="2087" w:type="pct"/>
            <w:vAlign w:val="center"/>
          </w:tcPr>
          <w:p w14:paraId="36DEECE2">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严格产业环境准入要求，护航工业绿色转型。严格落实环境准入要求，严格执行环境影响评价和“三同时”制度，严把建设项目审批验收关。</w:t>
            </w:r>
          </w:p>
        </w:tc>
        <w:tc>
          <w:tcPr>
            <w:tcW w:w="1743" w:type="pct"/>
            <w:vAlign w:val="center"/>
          </w:tcPr>
          <w:p w14:paraId="21326DA6">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本项目不属于“三高项目”；</w:t>
            </w:r>
          </w:p>
        </w:tc>
        <w:tc>
          <w:tcPr>
            <w:tcW w:w="260" w:type="pct"/>
            <w:vMerge w:val="restart"/>
            <w:vAlign w:val="center"/>
          </w:tcPr>
          <w:p w14:paraId="26A54116">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符合</w:t>
            </w:r>
          </w:p>
        </w:tc>
      </w:tr>
      <w:tr w14:paraId="5FE6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continue"/>
            <w:vAlign w:val="center"/>
          </w:tcPr>
          <w:p w14:paraId="2D567647">
            <w:pPr>
              <w:pStyle w:val="184"/>
              <w:widowControl w:val="0"/>
              <w:autoSpaceDE w:val="0"/>
              <w:autoSpaceDN w:val="0"/>
              <w:adjustRightInd w:val="0"/>
              <w:spacing w:line="240" w:lineRule="auto"/>
              <w:rPr>
                <w:rFonts w:ascii="Times New Roman" w:hAnsi="Times New Roman" w:cs="Times New Roman"/>
                <w:color w:val="FF0000"/>
                <w:sz w:val="18"/>
              </w:rPr>
            </w:pPr>
          </w:p>
        </w:tc>
        <w:tc>
          <w:tcPr>
            <w:tcW w:w="722" w:type="pct"/>
            <w:vMerge w:val="continue"/>
            <w:vAlign w:val="center"/>
          </w:tcPr>
          <w:p w14:paraId="69044274">
            <w:pPr>
              <w:pStyle w:val="184"/>
              <w:widowControl w:val="0"/>
              <w:autoSpaceDE w:val="0"/>
              <w:autoSpaceDN w:val="0"/>
              <w:adjustRightInd w:val="0"/>
              <w:spacing w:line="240" w:lineRule="auto"/>
              <w:rPr>
                <w:rFonts w:ascii="Times New Roman" w:hAnsi="Times New Roman" w:cs="Times New Roman"/>
                <w:color w:val="FF0000"/>
                <w:sz w:val="18"/>
              </w:rPr>
            </w:pPr>
          </w:p>
        </w:tc>
        <w:tc>
          <w:tcPr>
            <w:tcW w:w="2087" w:type="pct"/>
            <w:vAlign w:val="center"/>
          </w:tcPr>
          <w:p w14:paraId="637652FA">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深入开展节能降耗行动。推广高耗能行业节能新技术。煤炭行业建设煤炭高效清洁利用工程，推进工业窑炉、供热锅炉煤改气、煤改电，支持高效窑炉、现代煤化工、焦化等先进煤炭高效清洁利用技术装备产业化工程建设；有色行业加快实施低温低电压铝电解新技术、电机能效提升技术；电力行业实施低品位冷凝余热利用、煤粉高效分离、换热站无人值守改造等技术；煤化工行业，大力推广能源管理中心、关键设备信息化改造等。推动余热余压高效回收利用，推进钢铁、化工行业低品位余热向城市居民供热。</w:t>
            </w:r>
          </w:p>
        </w:tc>
        <w:tc>
          <w:tcPr>
            <w:tcW w:w="1743" w:type="pct"/>
            <w:vAlign w:val="center"/>
          </w:tcPr>
          <w:p w14:paraId="4D5A1DCE">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ascii="Times New Roman" w:hAnsi="Times New Roman" w:cs="Times New Roman"/>
                <w:color w:val="000000" w:themeColor="text1"/>
                <w:sz w:val="18"/>
                <w14:textFill>
                  <w14:solidFill>
                    <w14:schemeClr w14:val="tx1"/>
                  </w14:solidFill>
                </w14:textFill>
              </w:rPr>
              <w:t xml:space="preserve">本项目充分利用装置产生的余热，减少锅炉蒸汽产生量。 </w:t>
            </w:r>
          </w:p>
        </w:tc>
        <w:tc>
          <w:tcPr>
            <w:tcW w:w="260" w:type="pct"/>
            <w:vMerge w:val="continue"/>
            <w:vAlign w:val="center"/>
          </w:tcPr>
          <w:p w14:paraId="153651A3">
            <w:pPr>
              <w:pStyle w:val="184"/>
              <w:widowControl w:val="0"/>
              <w:autoSpaceDE w:val="0"/>
              <w:autoSpaceDN w:val="0"/>
              <w:adjustRightInd w:val="0"/>
              <w:spacing w:line="240" w:lineRule="auto"/>
              <w:rPr>
                <w:rFonts w:ascii="Times New Roman" w:hAnsi="Times New Roman" w:cs="Times New Roman"/>
                <w:color w:val="000000" w:themeColor="text1"/>
                <w:sz w:val="18"/>
                <w14:textFill>
                  <w14:solidFill>
                    <w14:schemeClr w14:val="tx1"/>
                  </w14:solidFill>
                </w14:textFill>
              </w:rPr>
            </w:pPr>
          </w:p>
        </w:tc>
      </w:tr>
      <w:tr w14:paraId="5532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88" w:type="pct"/>
            <w:vMerge w:val="continue"/>
            <w:vAlign w:val="center"/>
          </w:tcPr>
          <w:p w14:paraId="2D93F16B">
            <w:pPr>
              <w:pStyle w:val="184"/>
              <w:widowControl w:val="0"/>
              <w:autoSpaceDE w:val="0"/>
              <w:autoSpaceDN w:val="0"/>
              <w:adjustRightInd w:val="0"/>
              <w:spacing w:line="240" w:lineRule="auto"/>
              <w:rPr>
                <w:rFonts w:ascii="Times New Roman" w:hAnsi="Times New Roman" w:cs="Times New Roman"/>
                <w:color w:val="FF0000"/>
                <w:sz w:val="18"/>
              </w:rPr>
            </w:pPr>
          </w:p>
        </w:tc>
        <w:tc>
          <w:tcPr>
            <w:tcW w:w="722" w:type="pct"/>
            <w:vMerge w:val="continue"/>
            <w:vAlign w:val="center"/>
          </w:tcPr>
          <w:p w14:paraId="1FA1672C">
            <w:pPr>
              <w:pStyle w:val="184"/>
              <w:widowControl w:val="0"/>
              <w:autoSpaceDE w:val="0"/>
              <w:autoSpaceDN w:val="0"/>
              <w:adjustRightInd w:val="0"/>
              <w:spacing w:line="240" w:lineRule="auto"/>
              <w:rPr>
                <w:rFonts w:ascii="Times New Roman" w:hAnsi="Times New Roman" w:cs="Times New Roman"/>
                <w:color w:val="FF0000"/>
                <w:sz w:val="18"/>
              </w:rPr>
            </w:pPr>
          </w:p>
        </w:tc>
        <w:tc>
          <w:tcPr>
            <w:tcW w:w="2087" w:type="pct"/>
            <w:vAlign w:val="center"/>
          </w:tcPr>
          <w:p w14:paraId="0DFFB989">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实施重点行业NO</w:t>
            </w:r>
            <w:r>
              <w:rPr>
                <w:rFonts w:hint="eastAsia" w:ascii="Times New Roman" w:hAnsi="Times New Roman" w:cs="Times New Roman"/>
                <w:color w:val="000000" w:themeColor="text1"/>
                <w:sz w:val="18"/>
                <w:vertAlign w:val="subscript"/>
                <w14:textFill>
                  <w14:solidFill>
                    <w14:schemeClr w14:val="tx1"/>
                  </w14:solidFill>
                </w14:textFill>
              </w:rPr>
              <w:t>X</w:t>
            </w:r>
            <w:r>
              <w:rPr>
                <w:rFonts w:hint="eastAsia" w:ascii="Times New Roman" w:hAnsi="Times New Roman" w:cs="Times New Roman"/>
                <w:color w:val="000000" w:themeColor="text1"/>
                <w:sz w:val="18"/>
                <w14:textFill>
                  <w14:solidFill>
                    <w14:schemeClr w14:val="tx1"/>
                  </w14:solidFill>
                </w14:textFill>
              </w:rPr>
              <w:t>等污染物深度治理。持续推进黑有色金属、水泥、焦化、煤化工等行业和燃煤工业锅炉超低排放改造，推动玻璃、铸造、有色、焦化、煤化工等行业采取清洁生产、提标改造、深度治理等综合措施。</w:t>
            </w:r>
          </w:p>
        </w:tc>
        <w:tc>
          <w:tcPr>
            <w:tcW w:w="1743" w:type="pct"/>
            <w:vAlign w:val="center"/>
          </w:tcPr>
          <w:p w14:paraId="267D793D">
            <w:pPr>
              <w:pStyle w:val="184"/>
              <w:widowControl w:val="0"/>
              <w:autoSpaceDE w:val="0"/>
              <w:autoSpaceDN w:val="0"/>
              <w:adjustRightInd w:val="0"/>
              <w:spacing w:line="240" w:lineRule="auto"/>
              <w:jc w:val="both"/>
              <w:rPr>
                <w:rFonts w:ascii="Times New Roman" w:hAnsi="Times New Roman" w:cs="Times New Roman"/>
                <w:color w:val="000000" w:themeColor="text1"/>
                <w:sz w:val="18"/>
                <w14:textFill>
                  <w14:solidFill>
                    <w14:schemeClr w14:val="tx1"/>
                  </w14:solidFill>
                </w14:textFill>
              </w:rPr>
            </w:pPr>
            <w:r>
              <w:rPr>
                <w:rFonts w:hint="eastAsia" w:ascii="Times New Roman" w:hAnsi="Times New Roman" w:cs="Times New Roman"/>
                <w:color w:val="000000" w:themeColor="text1"/>
                <w:sz w:val="18"/>
                <w14:textFill>
                  <w14:solidFill>
                    <w14:schemeClr w14:val="tx1"/>
                  </w14:solidFill>
                </w14:textFill>
              </w:rPr>
              <w:t>本项目涉及煤化工行业，对产生的氮氧化物采取了治理措施。</w:t>
            </w:r>
          </w:p>
        </w:tc>
        <w:tc>
          <w:tcPr>
            <w:tcW w:w="260" w:type="pct"/>
            <w:vMerge w:val="continue"/>
            <w:vAlign w:val="center"/>
          </w:tcPr>
          <w:p w14:paraId="36A0E30A">
            <w:pPr>
              <w:pStyle w:val="184"/>
              <w:widowControl w:val="0"/>
              <w:autoSpaceDE w:val="0"/>
              <w:autoSpaceDN w:val="0"/>
              <w:adjustRightInd w:val="0"/>
              <w:spacing w:line="240" w:lineRule="auto"/>
              <w:rPr>
                <w:rFonts w:ascii="Times New Roman" w:hAnsi="Times New Roman" w:cs="Times New Roman"/>
                <w:color w:val="FF0000"/>
                <w:sz w:val="18"/>
              </w:rPr>
            </w:pPr>
          </w:p>
        </w:tc>
      </w:tr>
    </w:tbl>
    <w:p w14:paraId="1A043D2A">
      <w:pPr>
        <w:pStyle w:val="91"/>
        <w:spacing w:line="360" w:lineRule="auto"/>
        <w:ind w:firstLine="512"/>
        <w:rPr>
          <w:rFonts w:hint="eastAsia"/>
          <w:color w:val="FF0000"/>
          <w:spacing w:val="8"/>
          <w:sz w:val="24"/>
        </w:rPr>
        <w:sectPr>
          <w:pgSz w:w="16838" w:h="11906" w:orient="landscape"/>
          <w:pgMar w:top="1800" w:right="1440" w:bottom="1800" w:left="1440" w:header="851" w:footer="850" w:gutter="0"/>
          <w:cols w:space="425" w:num="1"/>
          <w:docGrid w:type="lines" w:linePitch="326" w:charSpace="0"/>
        </w:sectPr>
      </w:pPr>
    </w:p>
    <w:p w14:paraId="2FAB3F6A">
      <w:pPr>
        <w:pStyle w:val="3"/>
        <w:rPr>
          <w:rFonts w:hint="eastAsia"/>
          <w:color w:val="000000" w:themeColor="text1"/>
          <w14:textFill>
            <w14:solidFill>
              <w14:schemeClr w14:val="tx1"/>
            </w14:solidFill>
          </w14:textFill>
        </w:rPr>
      </w:pPr>
      <w:bookmarkStart w:id="549" w:name="_Toc20600"/>
      <w:r>
        <w:rPr>
          <w:rFonts w:hint="eastAsia"/>
          <w:color w:val="000000" w:themeColor="text1"/>
          <w14:textFill>
            <w14:solidFill>
              <w14:schemeClr w14:val="tx1"/>
            </w14:solidFill>
          </w14:textFill>
        </w:rPr>
        <w:t>与“三线一单”的符合性</w:t>
      </w:r>
      <w:bookmarkEnd w:id="549"/>
    </w:p>
    <w:p w14:paraId="57AC801A">
      <w:pPr>
        <w:autoSpaceDE w:val="0"/>
        <w:autoSpaceDN w:val="0"/>
        <w:adjustRightInd w:val="0"/>
        <w:spacing w:line="360" w:lineRule="auto"/>
        <w:ind w:firstLine="480" w:firstLineChars="200"/>
        <w:rPr>
          <w:rFonts w:hint="eastAsia"/>
          <w:color w:val="000000" w:themeColor="text1"/>
          <w14:textFill>
            <w14:solidFill>
              <w14:schemeClr w14:val="tx1"/>
            </w14:solidFill>
          </w14:textFill>
        </w:rPr>
      </w:pPr>
      <w:r>
        <w:rPr>
          <w:rStyle w:val="282"/>
          <w:color w:val="000000" w:themeColor="text1"/>
          <w14:textFill>
            <w14:solidFill>
              <w14:schemeClr w14:val="tx1"/>
            </w14:solidFill>
          </w14:textFill>
        </w:rPr>
        <w:t>环评根据</w:t>
      </w:r>
      <w:r>
        <w:rPr>
          <w:rStyle w:val="282"/>
          <w:rFonts w:hint="eastAsia"/>
          <w:color w:val="000000" w:themeColor="text1"/>
          <w14:textFill>
            <w14:solidFill>
              <w14:schemeClr w14:val="tx1"/>
            </w14:solidFill>
          </w14:textFill>
        </w:rPr>
        <w:t>《新疆维吾尔自治区生态环境分区管控动态更新成果》（新环环评发〔2024〕157号）、《新疆维吾尔自治区七大片区“三线一单”生态环境分区管控要求》（2021年版）（新环环评发〔2021〕162号）及《关于印发哈密市生态环境分区管控动态更新成果的通知》，分析本项目</w:t>
      </w:r>
      <w:r>
        <w:rPr>
          <w:rStyle w:val="282"/>
          <w:color w:val="000000" w:themeColor="text1"/>
          <w14:textFill>
            <w14:solidFill>
              <w14:schemeClr w14:val="tx1"/>
            </w14:solidFill>
          </w14:textFill>
        </w:rPr>
        <w:t>与区域生态保护红</w:t>
      </w:r>
      <w:r>
        <w:rPr>
          <w:color w:val="000000" w:themeColor="text1"/>
          <w14:textFill>
            <w14:solidFill>
              <w14:schemeClr w14:val="tx1"/>
            </w14:solidFill>
          </w14:textFill>
        </w:rPr>
        <w:t>线、环境质量底线、资源利用上线及生态环境准入清单符合性和协调性分析。</w:t>
      </w:r>
    </w:p>
    <w:p w14:paraId="0FBB40F0">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生态保护红线及生态分区管控</w:t>
      </w:r>
    </w:p>
    <w:p w14:paraId="1DB6E259">
      <w:pPr>
        <w:pStyle w:val="179"/>
        <w:ind w:firstLine="48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本项目不在新疆</w:t>
      </w:r>
      <w:r>
        <w:rPr>
          <w:rFonts w:hint="eastAsia"/>
          <w:color w:val="000000" w:themeColor="text1"/>
          <w14:textFill>
            <w14:solidFill>
              <w14:schemeClr w14:val="tx1"/>
            </w14:solidFill>
          </w14:textFill>
        </w:rPr>
        <w:t>维吾尔自治区</w:t>
      </w:r>
      <w:r>
        <w:rPr>
          <w:color w:val="000000" w:themeColor="text1"/>
          <w14:textFill>
            <w14:solidFill>
              <w14:schemeClr w14:val="tx1"/>
            </w14:solidFill>
          </w14:textFill>
        </w:rPr>
        <w:t>及</w:t>
      </w:r>
      <w:r>
        <w:rPr>
          <w:rFonts w:hint="eastAsia"/>
          <w:color w:val="000000" w:themeColor="text1"/>
          <w14:textFill>
            <w14:solidFill>
              <w14:schemeClr w14:val="tx1"/>
            </w14:solidFill>
          </w14:textFill>
        </w:rPr>
        <w:t>哈密市</w:t>
      </w:r>
      <w:r>
        <w:rPr>
          <w:color w:val="000000" w:themeColor="text1"/>
          <w14:textFill>
            <w14:solidFill>
              <w14:schemeClr w14:val="tx1"/>
            </w14:solidFill>
          </w14:textFill>
        </w:rPr>
        <w:t>生态保护红线范围内，也不在一般生态空间范围内，属于生态环境重点管控单元。</w:t>
      </w:r>
      <w:r>
        <w:rPr>
          <w:rFonts w:hint="eastAsia"/>
          <w:color w:val="000000" w:themeColor="text1"/>
          <w14:textFill>
            <w14:solidFill>
              <w14:schemeClr w14:val="tx1"/>
            </w14:solidFill>
          </w14:textFill>
        </w:rPr>
        <w:t>重点管控单元要着力优化空间布局，不断提升资源利用效率，有针对性加强污染物排放管控和环境风险防</w:t>
      </w:r>
      <w:r>
        <w:rPr>
          <w:rFonts w:ascii="Times New Roman" w:hAnsi="Times New Roman" w:cs="Times New Roman"/>
          <w:color w:val="000000" w:themeColor="text1"/>
          <w14:textFill>
            <w14:solidFill>
              <w14:schemeClr w14:val="tx1"/>
            </w14:solidFill>
          </w14:textFill>
        </w:rPr>
        <w:t>控，保障生态环境质量达标，降低生态环境风险。</w:t>
      </w:r>
    </w:p>
    <w:p w14:paraId="0C163BCA">
      <w:pPr>
        <w:pStyle w:val="179"/>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新疆维吾尔自治区“三线一单”环境管控单元分类，见图8.3</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1，哈密市“三线一单”环境管控单元分类，见图8.3</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-2。</w:t>
      </w:r>
    </w:p>
    <w:p w14:paraId="4C00647D">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环境质量底线</w:t>
      </w:r>
    </w:p>
    <w:p w14:paraId="461BDA6A">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大气环境质量底线就是在符合大气环境区域功能区划和大气环境管理的基础上，确保大气污染物排放不对区域功能区划造成影响，污染物排放总量低于大气环境容量。</w:t>
      </w:r>
    </w:p>
    <w:p w14:paraId="3596E788">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本项目对产生的废气</w:t>
      </w:r>
      <w:r>
        <w:rPr>
          <w:color w:val="000000" w:themeColor="text1"/>
          <w14:textFill>
            <w14:solidFill>
              <w14:schemeClr w14:val="tx1"/>
            </w14:solidFill>
          </w14:textFill>
        </w:rPr>
        <w:t>均采用了成熟可行的措施进行收集，废气处理后严格按照行业污染物排放限值的要求规范排放，不会对区域大气环境造成明显影响。</w:t>
      </w:r>
      <w:r>
        <w:rPr>
          <w:rFonts w:hint="eastAsia"/>
          <w:color w:val="000000" w:themeColor="text1"/>
          <w:spacing w:val="-1"/>
          <w14:textFill>
            <w14:solidFill>
              <w14:schemeClr w14:val="tx1"/>
            </w14:solidFill>
          </w14:textFill>
        </w:rPr>
        <w:t>项目生产废水、生活污水等经厂内污水处理站、回用水站处理后，全部回用于生产，</w:t>
      </w:r>
      <w:r>
        <w:rPr>
          <w:color w:val="000000" w:themeColor="text1"/>
          <w14:textFill>
            <w14:solidFill>
              <w14:schemeClr w14:val="tx1"/>
            </w14:solidFill>
          </w14:textFill>
        </w:rPr>
        <w:t>不会对周围水体造成影响</w:t>
      </w:r>
      <w:r>
        <w:rPr>
          <w:rFonts w:hint="eastAsia"/>
          <w:color w:val="000000" w:themeColor="text1"/>
          <w:spacing w:val="-1"/>
          <w14:textFill>
            <w14:solidFill>
              <w14:schemeClr w14:val="tx1"/>
            </w14:solidFill>
          </w14:textFill>
        </w:rPr>
        <w:t>。</w:t>
      </w:r>
      <w:r>
        <w:rPr>
          <w:color w:val="000000" w:themeColor="text1"/>
          <w14:textFill>
            <w14:solidFill>
              <w14:schemeClr w14:val="tx1"/>
            </w14:solidFill>
          </w14:textFill>
        </w:rPr>
        <w:t>本项目产生的主要固体废物根据废物特性</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进行妥善处置。</w:t>
      </w:r>
      <w:r>
        <w:rPr>
          <w:rFonts w:hint="eastAsia"/>
          <w:color w:val="000000" w:themeColor="text1"/>
          <w14:textFill>
            <w14:solidFill>
              <w14:schemeClr w14:val="tx1"/>
            </w14:solidFill>
          </w14:textFill>
        </w:rPr>
        <w:t>通过厂房隔声、基础减振和距离衰减等措施后，厂内生产运行产生的噪声能保证厂界达标排放。</w:t>
      </w:r>
    </w:p>
    <w:p w14:paraId="793D09C5">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本项目采取的环保措施能确保拟建项目产生的污染物对环境质量的影响降到最小，不突破所在区域环境质量底线</w:t>
      </w:r>
      <w:r>
        <w:rPr>
          <w:color w:val="000000" w:themeColor="text1"/>
          <w14:textFill>
            <w14:solidFill>
              <w14:schemeClr w14:val="tx1"/>
            </w14:solidFill>
          </w14:textFill>
        </w:rPr>
        <w:t>。</w:t>
      </w:r>
    </w:p>
    <w:p w14:paraId="35ACC1B4">
      <w:pPr>
        <w:pStyle w:val="97"/>
        <w:rPr>
          <w:rFonts w:hint="eastAsia"/>
          <w:color w:val="000000" w:themeColor="text1"/>
          <w:sz w:val="24"/>
          <w14:textFill>
            <w14:solidFill>
              <w14:schemeClr w14:val="tx1"/>
            </w14:solidFill>
          </w14:textFill>
        </w:rPr>
      </w:pPr>
      <w:r>
        <w:rPr>
          <w:color w:val="000000" w:themeColor="text1"/>
          <w14:textFill>
            <w14:solidFill>
              <w14:schemeClr w14:val="tx1"/>
            </w14:solidFill>
          </w14:textFill>
        </w:rPr>
        <w:t>资源利用上线</w:t>
      </w:r>
    </w:p>
    <w:p w14:paraId="3F8FE909">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p>
    <w:p w14:paraId="0EEBE586">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天然气由园区天然气管网供应，消耗量在园区规划供应能力之内。</w:t>
      </w:r>
      <w:r>
        <w:rPr>
          <w:color w:val="000000" w:themeColor="text1"/>
          <w14:textFill>
            <w14:solidFill>
              <w14:schemeClr w14:val="tx1"/>
            </w14:solidFill>
          </w14:textFill>
        </w:rPr>
        <w:t>本项目用地</w:t>
      </w:r>
      <w:r>
        <w:rPr>
          <w:rFonts w:hint="eastAsia"/>
          <w:color w:val="000000" w:themeColor="text1"/>
          <w14:textFill>
            <w14:solidFill>
              <w14:schemeClr w14:val="tx1"/>
            </w14:solidFill>
          </w14:textFill>
        </w:rPr>
        <w:t>为园区规划的三类工业用地</w:t>
      </w:r>
      <w:r>
        <w:rPr>
          <w:color w:val="000000" w:themeColor="text1"/>
          <w14:textFill>
            <w14:solidFill>
              <w14:schemeClr w14:val="tx1"/>
            </w14:solidFill>
          </w14:textFill>
        </w:rPr>
        <w:t>，用水由</w:t>
      </w:r>
      <w:r>
        <w:rPr>
          <w:rFonts w:hint="eastAsia"/>
          <w:color w:val="000000" w:themeColor="text1"/>
          <w14:textFill>
            <w14:solidFill>
              <w14:schemeClr w14:val="tx1"/>
            </w14:solidFill>
          </w14:textFill>
        </w:rPr>
        <w:t>园区供水</w:t>
      </w:r>
      <w:r>
        <w:rPr>
          <w:color w:val="000000" w:themeColor="text1"/>
          <w14:textFill>
            <w14:solidFill>
              <w14:schemeClr w14:val="tx1"/>
            </w14:solidFill>
          </w14:textFill>
        </w:rPr>
        <w:t>管网供应。</w:t>
      </w:r>
    </w:p>
    <w:p w14:paraId="0AD104B3">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项目运行后</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开展清洁生产审核，做好项目节能降耗工作，符合资源利用上线</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要求。</w:t>
      </w:r>
    </w:p>
    <w:p w14:paraId="0FADF14A">
      <w:pPr>
        <w:pStyle w:val="97"/>
        <w:rPr>
          <w:rFonts w:hint="eastAsia"/>
          <w:color w:val="000000" w:themeColor="text1"/>
          <w14:textFill>
            <w14:solidFill>
              <w14:schemeClr w14:val="tx1"/>
            </w14:solidFill>
          </w14:textFill>
        </w:rPr>
      </w:pPr>
      <w:r>
        <w:rPr>
          <w:color w:val="000000" w:themeColor="text1"/>
          <w14:textFill>
            <w14:solidFill>
              <w14:schemeClr w14:val="tx1"/>
            </w14:solidFill>
          </w14:textFill>
        </w:rPr>
        <w:t>生态环境准入清单</w:t>
      </w:r>
    </w:p>
    <w:p w14:paraId="1F0E6872">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本项目符合产业政策，不涉及淘汰工艺及落后工艺。</w:t>
      </w:r>
    </w:p>
    <w:p w14:paraId="06C9989C">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哈密市</w:t>
      </w:r>
      <w:r>
        <w:rPr>
          <w:color w:val="000000" w:themeColor="text1"/>
          <w14:textFill>
            <w14:solidFill>
              <w14:schemeClr w14:val="tx1"/>
            </w14:solidFill>
          </w14:textFill>
        </w:rPr>
        <w:t>对重点管控单元划分的生态环境准入清单，项目区属于重点管控单元，应执行具体管控要求。</w:t>
      </w:r>
    </w:p>
    <w:p w14:paraId="7EF05F2D">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14:textFill>
            <w14:solidFill>
              <w14:schemeClr w14:val="tx1"/>
            </w14:solidFill>
          </w14:textFill>
        </w:rPr>
        <w:t>哈密市</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哈密市生态环境准入清单</w:t>
      </w:r>
      <w:r>
        <w:rPr>
          <w:color w:val="000000" w:themeColor="text1"/>
          <w14:textFill>
            <w14:solidFill>
              <w14:schemeClr w14:val="tx1"/>
            </w14:solidFill>
          </w14:textFill>
        </w:rPr>
        <w:t>符合性分析，见表8.3.4-1。</w:t>
      </w:r>
    </w:p>
    <w:p w14:paraId="66803EA0">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根据分析，本项目符合新疆</w:t>
      </w:r>
      <w:r>
        <w:rPr>
          <w:rFonts w:hint="eastAsia"/>
          <w:color w:val="000000" w:themeColor="text1"/>
          <w14:textFill>
            <w14:solidFill>
              <w14:schemeClr w14:val="tx1"/>
            </w14:solidFill>
          </w14:textFill>
        </w:rPr>
        <w:t>维吾尔自治区</w:t>
      </w:r>
      <w:r>
        <w:rPr>
          <w:color w:val="000000" w:themeColor="text1"/>
          <w14:textFill>
            <w14:solidFill>
              <w14:schemeClr w14:val="tx1"/>
            </w14:solidFill>
          </w14:textFill>
        </w:rPr>
        <w:t>及</w:t>
      </w:r>
      <w:r>
        <w:rPr>
          <w:rFonts w:hint="eastAsia"/>
          <w:color w:val="000000" w:themeColor="text1"/>
          <w14:textFill>
            <w14:solidFill>
              <w14:schemeClr w14:val="tx1"/>
            </w14:solidFill>
          </w14:textFill>
        </w:rPr>
        <w:t>哈密市</w:t>
      </w:r>
      <w:r>
        <w:rPr>
          <w:color w:val="000000" w:themeColor="text1"/>
          <w14:textFill>
            <w14:solidFill>
              <w14:schemeClr w14:val="tx1"/>
            </w14:solidFill>
          </w14:textFill>
        </w:rPr>
        <w:t>重点环境管控单元分类管控要求。</w:t>
      </w:r>
    </w:p>
    <w:p w14:paraId="60EF74F0">
      <w:pPr>
        <w:pStyle w:val="33"/>
        <w:spacing w:line="360" w:lineRule="auto"/>
        <w:ind w:firstLine="480" w:firstLineChars="200"/>
        <w:rPr>
          <w:rFonts w:ascii="Times New Roman" w:hAnsi="Times New Roman"/>
          <w:sz w:val="24"/>
          <w:szCs w:val="24"/>
        </w:rPr>
      </w:pPr>
    </w:p>
    <w:p w14:paraId="5D65FBD8">
      <w:pPr>
        <w:pStyle w:val="33"/>
        <w:spacing w:line="360" w:lineRule="auto"/>
        <w:ind w:firstLine="480" w:firstLineChars="200"/>
        <w:rPr>
          <w:rFonts w:ascii="Times New Roman" w:hAnsi="Times New Roman"/>
          <w:sz w:val="24"/>
          <w:szCs w:val="24"/>
        </w:rPr>
      </w:pPr>
    </w:p>
    <w:p w14:paraId="2C7B7373">
      <w:pPr>
        <w:pStyle w:val="33"/>
        <w:spacing w:line="360" w:lineRule="auto"/>
        <w:ind w:firstLine="480" w:firstLineChars="200"/>
        <w:rPr>
          <w:rFonts w:ascii="Times New Roman" w:hAnsi="Times New Roman"/>
          <w:sz w:val="24"/>
          <w:szCs w:val="24"/>
        </w:rPr>
        <w:sectPr>
          <w:pgSz w:w="11906" w:h="16838"/>
          <w:pgMar w:top="1440" w:right="1800" w:bottom="1440" w:left="1800" w:header="851" w:footer="850" w:gutter="0"/>
          <w:cols w:space="425" w:num="1"/>
          <w:docGrid w:type="lines" w:linePitch="326" w:charSpace="0"/>
        </w:sectPr>
      </w:pPr>
    </w:p>
    <w:p w14:paraId="1708BE6C">
      <w:pPr>
        <w:pStyle w:val="33"/>
        <w:spacing w:line="360" w:lineRule="auto"/>
        <w:jc w:val="center"/>
        <w:rPr>
          <w:rFonts w:ascii="Times New Roman" w:hAnsi="Times New Roman"/>
          <w:sz w:val="24"/>
          <w:szCs w:val="24"/>
        </w:rPr>
      </w:pPr>
    </w:p>
    <w:p w14:paraId="457DFF30">
      <w:pPr>
        <w:pStyle w:val="645"/>
        <w:rPr>
          <w:rFonts w:hint="eastAsia"/>
        </w:rPr>
      </w:pPr>
      <w:r>
        <w:t>图8.3.</w:t>
      </w:r>
      <w:r>
        <w:rPr>
          <w:rFonts w:hint="eastAsia"/>
        </w:rPr>
        <w:t>4</w:t>
      </w:r>
      <w:r>
        <w:t>-</w:t>
      </w:r>
      <w:r>
        <w:rPr>
          <w:rFonts w:hint="eastAsia"/>
        </w:rPr>
        <w:t>1</w:t>
      </w:r>
      <w:r>
        <w:t xml:space="preserve"> </w:t>
      </w:r>
      <w:r>
        <w:rPr>
          <w:rFonts w:hint="eastAsia"/>
        </w:rPr>
        <w:t xml:space="preserve">      新疆维吾尔自治区生态环境分区管控动态更新成果环境管控单元分布图</w:t>
      </w:r>
    </w:p>
    <w:p w14:paraId="0DB3B8FF">
      <w:pPr>
        <w:pStyle w:val="33"/>
        <w:spacing w:line="360" w:lineRule="auto"/>
        <w:ind w:firstLine="480" w:firstLineChars="200"/>
        <w:rPr>
          <w:rFonts w:ascii="Times New Roman" w:hAnsi="Times New Roman"/>
          <w:sz w:val="24"/>
          <w:szCs w:val="24"/>
        </w:rPr>
        <w:sectPr>
          <w:pgSz w:w="16838" w:h="11906" w:orient="landscape"/>
          <w:pgMar w:top="1800" w:right="1440" w:bottom="1800" w:left="1440" w:header="851" w:footer="850" w:gutter="0"/>
          <w:cols w:space="425" w:num="1"/>
          <w:docGrid w:type="lines" w:linePitch="326" w:charSpace="0"/>
        </w:sectPr>
      </w:pPr>
    </w:p>
    <w:p w14:paraId="42CCB8F9">
      <w:pPr>
        <w:pStyle w:val="645"/>
        <w:rPr>
          <w:rFonts w:hint="eastAsia"/>
          <w:color w:val="FF0000"/>
        </w:rPr>
      </w:pPr>
    </w:p>
    <w:p w14:paraId="42E0F3FC">
      <w:pPr>
        <w:pStyle w:val="645"/>
        <w:rPr>
          <w:rFonts w:hint="eastAsia"/>
          <w:color w:val="FF0000"/>
        </w:rPr>
      </w:pPr>
    </w:p>
    <w:p w14:paraId="4AFCE7FB">
      <w:pPr>
        <w:pStyle w:val="645"/>
        <w:rPr>
          <w:rFonts w:hint="eastAsia"/>
          <w:color w:val="FF0000"/>
        </w:rPr>
      </w:pPr>
      <w:r>
        <w:t>图8.3.</w:t>
      </w:r>
      <w:r>
        <w:rPr>
          <w:rFonts w:hint="eastAsia"/>
        </w:rPr>
        <w:t>4</w:t>
      </w:r>
      <w:r>
        <w:t>-</w:t>
      </w:r>
      <w:r>
        <w:rPr>
          <w:rFonts w:hint="eastAsia"/>
        </w:rPr>
        <w:t>2</w:t>
      </w:r>
      <w:r>
        <w:t xml:space="preserve"> </w:t>
      </w:r>
      <w:r>
        <w:rPr>
          <w:rFonts w:hint="eastAsia"/>
        </w:rPr>
        <w:t xml:space="preserve">      哈密市“三线一单”环境管控单元分类图</w:t>
      </w:r>
    </w:p>
    <w:p w14:paraId="635C756D">
      <w:pPr>
        <w:pStyle w:val="645"/>
        <w:rPr>
          <w:rFonts w:hint="eastAsia"/>
          <w:color w:val="FF0000"/>
        </w:rPr>
      </w:pPr>
    </w:p>
    <w:p w14:paraId="6D11D05B">
      <w:pPr>
        <w:pStyle w:val="645"/>
        <w:rPr>
          <w:rFonts w:hint="eastAsia"/>
          <w:color w:val="FF0000"/>
        </w:rPr>
      </w:pPr>
    </w:p>
    <w:p w14:paraId="5F731344">
      <w:pPr>
        <w:pStyle w:val="645"/>
        <w:rPr>
          <w:rFonts w:hint="eastAsia"/>
          <w:color w:val="FF0000"/>
        </w:rPr>
        <w:sectPr>
          <w:pgSz w:w="11906" w:h="16838"/>
          <w:pgMar w:top="1440" w:right="1797" w:bottom="1440" w:left="1797" w:header="851" w:footer="992" w:gutter="0"/>
          <w:cols w:space="720" w:num="1"/>
          <w:docGrid w:linePitch="326" w:charSpace="0"/>
        </w:sectPr>
      </w:pPr>
    </w:p>
    <w:p w14:paraId="5CB6FA3B">
      <w:pPr>
        <w:pStyle w:val="645"/>
        <w:rPr>
          <w:rFonts w:hint="eastAsia"/>
          <w:color w:val="000000" w:themeColor="text1"/>
          <w14:textFill>
            <w14:solidFill>
              <w14:schemeClr w14:val="tx1"/>
            </w14:solidFill>
          </w14:textFill>
        </w:rPr>
      </w:pPr>
      <w:r>
        <w:rPr>
          <w:color w:val="000000" w:themeColor="text1"/>
          <w14:textFill>
            <w14:solidFill>
              <w14:schemeClr w14:val="tx1"/>
            </w14:solidFill>
          </w14:textFill>
        </w:rPr>
        <w:t>表8.3.4-1    生态环境准入</w:t>
      </w:r>
      <w:r>
        <w:rPr>
          <w:rFonts w:hint="eastAsia"/>
          <w:color w:val="000000" w:themeColor="text1"/>
          <w14:textFill>
            <w14:solidFill>
              <w14:schemeClr w14:val="tx1"/>
            </w14:solidFill>
          </w14:textFill>
        </w:rPr>
        <w:t>要求</w:t>
      </w:r>
      <w:r>
        <w:rPr>
          <w:color w:val="000000" w:themeColor="text1"/>
          <w14:textFill>
            <w14:solidFill>
              <w14:schemeClr w14:val="tx1"/>
            </w14:solidFill>
          </w14:textFill>
        </w:rPr>
        <w:t>符合性分析</w:t>
      </w:r>
    </w:p>
    <w:tbl>
      <w:tblPr>
        <w:tblStyle w:val="6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0"/>
        <w:gridCol w:w="989"/>
        <w:gridCol w:w="559"/>
        <w:gridCol w:w="6169"/>
        <w:gridCol w:w="4588"/>
        <w:gridCol w:w="630"/>
      </w:tblGrid>
      <w:tr w14:paraId="27FD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72AAA42A">
            <w:pPr>
              <w:pStyle w:val="557"/>
            </w:pPr>
            <w:r>
              <w:rPr>
                <w:rFonts w:hint="eastAsia"/>
              </w:rPr>
              <w:t>环境管控</w:t>
            </w:r>
          </w:p>
          <w:p w14:paraId="1768CD55">
            <w:pPr>
              <w:pStyle w:val="557"/>
            </w:pPr>
            <w:r>
              <w:rPr>
                <w:rFonts w:hint="eastAsia"/>
              </w:rPr>
              <w:t>单元编码</w:t>
            </w:r>
          </w:p>
        </w:tc>
        <w:tc>
          <w:tcPr>
            <w:tcW w:w="355" w:type="pct"/>
            <w:tcBorders>
              <w:top w:val="single" w:color="auto" w:sz="4" w:space="0"/>
              <w:left w:val="single" w:color="auto" w:sz="4" w:space="0"/>
              <w:bottom w:val="single" w:color="auto" w:sz="4" w:space="0"/>
              <w:right w:val="single" w:color="auto" w:sz="4" w:space="0"/>
            </w:tcBorders>
            <w:vAlign w:val="center"/>
          </w:tcPr>
          <w:p w14:paraId="2A99E2EA">
            <w:pPr>
              <w:pStyle w:val="557"/>
            </w:pPr>
            <w:r>
              <w:rPr>
                <w:rFonts w:hint="eastAsia"/>
              </w:rPr>
              <w:t>环境管控</w:t>
            </w:r>
          </w:p>
          <w:p w14:paraId="6CA2E4DA">
            <w:pPr>
              <w:pStyle w:val="557"/>
            </w:pPr>
            <w:r>
              <w:rPr>
                <w:rFonts w:hint="eastAsia"/>
              </w:rPr>
              <w:t>单元名称</w:t>
            </w:r>
          </w:p>
        </w:tc>
        <w:tc>
          <w:tcPr>
            <w:tcW w:w="2385" w:type="pct"/>
            <w:gridSpan w:val="2"/>
            <w:tcBorders>
              <w:top w:val="single" w:color="auto" w:sz="4" w:space="0"/>
              <w:left w:val="single" w:color="auto" w:sz="4" w:space="0"/>
              <w:bottom w:val="single" w:color="auto" w:sz="4" w:space="0"/>
              <w:right w:val="single" w:color="auto" w:sz="4" w:space="0"/>
            </w:tcBorders>
            <w:vAlign w:val="center"/>
          </w:tcPr>
          <w:p w14:paraId="403261BA">
            <w:pPr>
              <w:pStyle w:val="557"/>
            </w:pPr>
            <w:r>
              <w:rPr>
                <w:rFonts w:hint="eastAsia"/>
              </w:rPr>
              <w:t>管控要求</w:t>
            </w:r>
          </w:p>
        </w:tc>
        <w:tc>
          <w:tcPr>
            <w:tcW w:w="1624" w:type="pct"/>
            <w:tcBorders>
              <w:top w:val="single" w:color="auto" w:sz="4" w:space="0"/>
              <w:left w:val="single" w:color="auto" w:sz="4" w:space="0"/>
              <w:bottom w:val="single" w:color="auto" w:sz="4" w:space="0"/>
              <w:right w:val="single" w:color="auto" w:sz="4" w:space="0"/>
            </w:tcBorders>
            <w:vAlign w:val="center"/>
          </w:tcPr>
          <w:p w14:paraId="67DBF103">
            <w:pPr>
              <w:pStyle w:val="557"/>
            </w:pPr>
            <w:r>
              <w:rPr>
                <w:rFonts w:hint="eastAsia"/>
              </w:rPr>
              <w:t>本项目情况</w:t>
            </w:r>
          </w:p>
        </w:tc>
        <w:tc>
          <w:tcPr>
            <w:tcW w:w="228" w:type="pct"/>
            <w:tcBorders>
              <w:top w:val="single" w:color="auto" w:sz="4" w:space="0"/>
              <w:left w:val="single" w:color="auto" w:sz="4" w:space="0"/>
              <w:bottom w:val="single" w:color="auto" w:sz="4" w:space="0"/>
              <w:right w:val="single" w:color="auto" w:sz="4" w:space="0"/>
            </w:tcBorders>
            <w:vAlign w:val="center"/>
          </w:tcPr>
          <w:p w14:paraId="7BB9F520">
            <w:pPr>
              <w:pStyle w:val="557"/>
            </w:pPr>
            <w:r>
              <w:rPr>
                <w:rFonts w:hint="eastAsia"/>
              </w:rPr>
              <w:t>符合性</w:t>
            </w:r>
          </w:p>
        </w:tc>
      </w:tr>
      <w:tr w14:paraId="3B36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8" w:type="pct"/>
            <w:vMerge w:val="restart"/>
            <w:tcBorders>
              <w:top w:val="single" w:color="auto" w:sz="4" w:space="0"/>
              <w:left w:val="single" w:color="auto" w:sz="4" w:space="0"/>
              <w:bottom w:val="single" w:color="auto" w:sz="4" w:space="0"/>
              <w:right w:val="single" w:color="auto" w:sz="4" w:space="0"/>
            </w:tcBorders>
            <w:vAlign w:val="center"/>
          </w:tcPr>
          <w:p w14:paraId="4D0F8520">
            <w:pPr>
              <w:pStyle w:val="557"/>
            </w:pPr>
            <w:r>
              <w:rPr>
                <w:rFonts w:hint="eastAsia"/>
              </w:rPr>
              <w:t>ZH65050220004</w:t>
            </w:r>
          </w:p>
        </w:tc>
        <w:tc>
          <w:tcPr>
            <w:tcW w:w="355" w:type="pct"/>
            <w:vMerge w:val="restart"/>
            <w:tcBorders>
              <w:top w:val="single" w:color="auto" w:sz="4" w:space="0"/>
              <w:left w:val="single" w:color="auto" w:sz="4" w:space="0"/>
              <w:bottom w:val="single" w:color="auto" w:sz="4" w:space="0"/>
              <w:right w:val="single" w:color="auto" w:sz="4" w:space="0"/>
            </w:tcBorders>
            <w:vAlign w:val="center"/>
          </w:tcPr>
          <w:p w14:paraId="677306B9">
            <w:pPr>
              <w:pStyle w:val="557"/>
            </w:pPr>
            <w:r>
              <w:rPr>
                <w:rFonts w:hint="eastAsia"/>
              </w:rPr>
              <w:t>哈密工业</w:t>
            </w:r>
          </w:p>
          <w:p w14:paraId="42D5C8D7">
            <w:pPr>
              <w:pStyle w:val="557"/>
            </w:pPr>
            <w:r>
              <w:rPr>
                <w:rFonts w:hint="eastAsia"/>
              </w:rPr>
              <w:t>园</w:t>
            </w:r>
          </w:p>
        </w:tc>
        <w:tc>
          <w:tcPr>
            <w:tcW w:w="203" w:type="pct"/>
            <w:tcBorders>
              <w:top w:val="single" w:color="auto" w:sz="4" w:space="0"/>
              <w:left w:val="single" w:color="auto" w:sz="4" w:space="0"/>
              <w:bottom w:val="single" w:color="auto" w:sz="4" w:space="0"/>
              <w:right w:val="single" w:color="auto" w:sz="4" w:space="0"/>
            </w:tcBorders>
            <w:vAlign w:val="center"/>
          </w:tcPr>
          <w:p w14:paraId="1E86AD95">
            <w:pPr>
              <w:pStyle w:val="557"/>
            </w:pPr>
            <w:r>
              <w:rPr>
                <w:rFonts w:hint="eastAsia"/>
              </w:rPr>
              <w:t>空间</w:t>
            </w:r>
          </w:p>
          <w:p w14:paraId="2FBDFFED">
            <w:pPr>
              <w:pStyle w:val="557"/>
            </w:pPr>
            <w:r>
              <w:rPr>
                <w:rFonts w:hint="eastAsia"/>
              </w:rPr>
              <w:t>布局</w:t>
            </w:r>
          </w:p>
        </w:tc>
        <w:tc>
          <w:tcPr>
            <w:tcW w:w="2182" w:type="pct"/>
            <w:tcBorders>
              <w:top w:val="single" w:color="auto" w:sz="4" w:space="0"/>
              <w:left w:val="single" w:color="auto" w:sz="4" w:space="0"/>
              <w:bottom w:val="single" w:color="auto" w:sz="4" w:space="0"/>
              <w:right w:val="single" w:color="auto" w:sz="4" w:space="0"/>
            </w:tcBorders>
            <w:vAlign w:val="center"/>
          </w:tcPr>
          <w:p w14:paraId="270FF5ED">
            <w:pPr>
              <w:pStyle w:val="557"/>
              <w:jc w:val="both"/>
            </w:pPr>
            <w:r>
              <w:rPr>
                <w:rFonts w:hint="eastAsia"/>
              </w:rPr>
              <w:t>以水定产，限制现有单位产品能耗、水耗未达到国家限额标准的高能耗、高水耗企业扩能；对新建项目严格把关，严禁不符合产业政策及产业发展定位的项目准入，对现有项目加强监管，依法依规淘汰落后产能，提升能源综合清洁高效利用效率。</w:t>
            </w:r>
          </w:p>
        </w:tc>
        <w:tc>
          <w:tcPr>
            <w:tcW w:w="1624" w:type="pct"/>
            <w:tcBorders>
              <w:top w:val="single" w:color="auto" w:sz="4" w:space="0"/>
              <w:left w:val="single" w:color="auto" w:sz="4" w:space="0"/>
              <w:bottom w:val="single" w:color="auto" w:sz="4" w:space="0"/>
              <w:right w:val="single" w:color="auto" w:sz="4" w:space="0"/>
            </w:tcBorders>
            <w:vAlign w:val="center"/>
          </w:tcPr>
          <w:p w14:paraId="2A5A3BDF">
            <w:pPr>
              <w:pStyle w:val="557"/>
              <w:jc w:val="both"/>
            </w:pPr>
            <w:r>
              <w:rPr>
                <w:rFonts w:hint="eastAsia"/>
              </w:rPr>
              <w:t>本项目为新建项目，属于《产业结构调整指导目录（2024年本）》中鼓励类项目，项目符合《哈密工业园区产业发展规划（2019-2035年）》及其批复、《哈密工业园区总体规划（2019-2035年）环境影响报告书》及其审查意见。</w:t>
            </w:r>
          </w:p>
        </w:tc>
        <w:tc>
          <w:tcPr>
            <w:tcW w:w="228" w:type="pct"/>
            <w:tcBorders>
              <w:top w:val="single" w:color="auto" w:sz="4" w:space="0"/>
              <w:left w:val="single" w:color="auto" w:sz="4" w:space="0"/>
              <w:bottom w:val="single" w:color="auto" w:sz="4" w:space="0"/>
              <w:right w:val="single" w:color="auto" w:sz="4" w:space="0"/>
            </w:tcBorders>
            <w:vAlign w:val="center"/>
          </w:tcPr>
          <w:p w14:paraId="62B7AB62">
            <w:pPr>
              <w:pStyle w:val="557"/>
            </w:pPr>
            <w:r>
              <w:rPr>
                <w:rFonts w:hint="eastAsia"/>
              </w:rPr>
              <w:t>符合</w:t>
            </w:r>
          </w:p>
        </w:tc>
      </w:tr>
      <w:tr w14:paraId="0B79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69F765">
            <w:pPr>
              <w:rPr>
                <w:rFonts w:hint="eastAsia"/>
                <w:color w:val="000000" w:themeColor="text1"/>
                <w:sz w:val="18"/>
                <w:szCs w:val="18"/>
                <w:u w:color="000000"/>
                <w:lang w:bidi="en-US"/>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44A7F2">
            <w:pPr>
              <w:rPr>
                <w:rFonts w:hint="eastAsia"/>
                <w:color w:val="000000" w:themeColor="text1"/>
                <w:sz w:val="18"/>
                <w:szCs w:val="18"/>
                <w:u w:color="000000"/>
                <w:lang w:bidi="en-US"/>
                <w14:textFill>
                  <w14:solidFill>
                    <w14:schemeClr w14:val="tx1"/>
                  </w14:solidFill>
                </w14:textFill>
              </w:rPr>
            </w:pPr>
          </w:p>
        </w:tc>
        <w:tc>
          <w:tcPr>
            <w:tcW w:w="203" w:type="pct"/>
            <w:tcBorders>
              <w:top w:val="single" w:color="auto" w:sz="4" w:space="0"/>
              <w:left w:val="single" w:color="auto" w:sz="4" w:space="0"/>
              <w:bottom w:val="single" w:color="auto" w:sz="4" w:space="0"/>
              <w:right w:val="single" w:color="auto" w:sz="4" w:space="0"/>
            </w:tcBorders>
            <w:vAlign w:val="center"/>
          </w:tcPr>
          <w:p w14:paraId="0CEBC8FB">
            <w:pPr>
              <w:pStyle w:val="557"/>
            </w:pPr>
            <w:r>
              <w:rPr>
                <w:rFonts w:hint="eastAsia"/>
              </w:rPr>
              <w:t>污染物排放</w:t>
            </w:r>
          </w:p>
        </w:tc>
        <w:tc>
          <w:tcPr>
            <w:tcW w:w="2182" w:type="pct"/>
            <w:tcBorders>
              <w:top w:val="single" w:color="auto" w:sz="4" w:space="0"/>
              <w:left w:val="single" w:color="auto" w:sz="4" w:space="0"/>
              <w:bottom w:val="single" w:color="auto" w:sz="4" w:space="0"/>
              <w:right w:val="single" w:color="auto" w:sz="4" w:space="0"/>
            </w:tcBorders>
            <w:vAlign w:val="center"/>
          </w:tcPr>
          <w:p w14:paraId="4C8A0566">
            <w:pPr>
              <w:pStyle w:val="557"/>
              <w:jc w:val="both"/>
            </w:pPr>
            <w:r>
              <w:rPr>
                <w:rFonts w:hint="eastAsia"/>
              </w:rPr>
              <w:t>园区生活排放达标率100%；园区环境敏感目标噪声达标率和声环境达标覆盖率100%。危险废物、一般工业固体废物处置率100%。</w:t>
            </w:r>
          </w:p>
        </w:tc>
        <w:tc>
          <w:tcPr>
            <w:tcW w:w="1624" w:type="pct"/>
            <w:tcBorders>
              <w:top w:val="single" w:color="auto" w:sz="4" w:space="0"/>
              <w:left w:val="single" w:color="auto" w:sz="4" w:space="0"/>
              <w:bottom w:val="single" w:color="auto" w:sz="4" w:space="0"/>
              <w:right w:val="single" w:color="auto" w:sz="4" w:space="0"/>
            </w:tcBorders>
            <w:vAlign w:val="center"/>
          </w:tcPr>
          <w:p w14:paraId="65FDE714">
            <w:pPr>
              <w:pStyle w:val="557"/>
              <w:jc w:val="both"/>
            </w:pPr>
            <w:r>
              <w:rPr>
                <w:rFonts w:hint="eastAsia"/>
              </w:rPr>
              <w:t>（1）本项目生产废水、生活污水等经厂内污水处理站、回用水站处理后，全部回用于生产。</w:t>
            </w:r>
          </w:p>
          <w:p w14:paraId="5896DFFA">
            <w:pPr>
              <w:pStyle w:val="557"/>
              <w:jc w:val="both"/>
            </w:pPr>
            <w:r>
              <w:rPr>
                <w:rFonts w:hint="eastAsia"/>
              </w:rPr>
              <w:t>（2）本项目采用隔声、减振等措施，确保厂界噪声满足《工业企业厂界环境噪声排放标准》（GB12348-2008）中3类声环境功能区环境噪声排放限值要求。</w:t>
            </w:r>
          </w:p>
          <w:p w14:paraId="2F1B615F">
            <w:pPr>
              <w:pStyle w:val="557"/>
              <w:jc w:val="both"/>
            </w:pPr>
            <w:r>
              <w:rPr>
                <w:rFonts w:hint="eastAsia"/>
              </w:rPr>
              <w:t>（3）本项目产生的固废综合利用，不能综合利用部分送一般固废填埋场。危险废物在厂内暂存后送有资质单位处置。</w:t>
            </w:r>
          </w:p>
        </w:tc>
        <w:tc>
          <w:tcPr>
            <w:tcW w:w="228" w:type="pct"/>
            <w:tcBorders>
              <w:top w:val="single" w:color="auto" w:sz="4" w:space="0"/>
              <w:left w:val="single" w:color="auto" w:sz="4" w:space="0"/>
              <w:bottom w:val="single" w:color="auto" w:sz="4" w:space="0"/>
              <w:right w:val="single" w:color="auto" w:sz="4" w:space="0"/>
            </w:tcBorders>
            <w:vAlign w:val="center"/>
          </w:tcPr>
          <w:p w14:paraId="48735466">
            <w:pPr>
              <w:pStyle w:val="557"/>
            </w:pPr>
            <w:r>
              <w:rPr>
                <w:rFonts w:hint="eastAsia"/>
              </w:rPr>
              <w:t>符合</w:t>
            </w:r>
          </w:p>
        </w:tc>
      </w:tr>
      <w:tr w14:paraId="0591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EA3B02">
            <w:pPr>
              <w:rPr>
                <w:rFonts w:hint="eastAsia"/>
                <w:color w:val="000000" w:themeColor="text1"/>
                <w:sz w:val="18"/>
                <w:szCs w:val="18"/>
                <w:u w:color="000000"/>
                <w:lang w:bidi="en-US"/>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E68F32">
            <w:pPr>
              <w:rPr>
                <w:rFonts w:hint="eastAsia"/>
                <w:color w:val="000000" w:themeColor="text1"/>
                <w:sz w:val="18"/>
                <w:szCs w:val="18"/>
                <w:u w:color="000000"/>
                <w:lang w:bidi="en-US"/>
                <w14:textFill>
                  <w14:solidFill>
                    <w14:schemeClr w14:val="tx1"/>
                  </w14:solidFill>
                </w14:textFill>
              </w:rPr>
            </w:pPr>
          </w:p>
        </w:tc>
        <w:tc>
          <w:tcPr>
            <w:tcW w:w="203" w:type="pct"/>
            <w:tcBorders>
              <w:top w:val="single" w:color="auto" w:sz="4" w:space="0"/>
              <w:left w:val="single" w:color="auto" w:sz="4" w:space="0"/>
              <w:bottom w:val="single" w:color="auto" w:sz="4" w:space="0"/>
              <w:right w:val="single" w:color="auto" w:sz="4" w:space="0"/>
            </w:tcBorders>
            <w:vAlign w:val="center"/>
          </w:tcPr>
          <w:p w14:paraId="12105858">
            <w:pPr>
              <w:pStyle w:val="557"/>
            </w:pPr>
            <w:r>
              <w:rPr>
                <w:rFonts w:hint="eastAsia"/>
              </w:rPr>
              <w:t>环境风险</w:t>
            </w:r>
          </w:p>
        </w:tc>
        <w:tc>
          <w:tcPr>
            <w:tcW w:w="2182" w:type="pct"/>
            <w:tcBorders>
              <w:top w:val="single" w:color="auto" w:sz="4" w:space="0"/>
              <w:left w:val="single" w:color="auto" w:sz="4" w:space="0"/>
              <w:bottom w:val="single" w:color="auto" w:sz="4" w:space="0"/>
              <w:right w:val="single" w:color="auto" w:sz="4" w:space="0"/>
            </w:tcBorders>
            <w:vAlign w:val="center"/>
          </w:tcPr>
          <w:p w14:paraId="1819E018">
            <w:pPr>
              <w:pStyle w:val="557"/>
              <w:jc w:val="both"/>
            </w:pPr>
            <w:r>
              <w:rPr>
                <w:rFonts w:hint="eastAsia"/>
              </w:rPr>
              <w:t>/</w:t>
            </w:r>
          </w:p>
        </w:tc>
        <w:tc>
          <w:tcPr>
            <w:tcW w:w="1624" w:type="pct"/>
            <w:tcBorders>
              <w:top w:val="single" w:color="auto" w:sz="4" w:space="0"/>
              <w:left w:val="single" w:color="auto" w:sz="4" w:space="0"/>
              <w:bottom w:val="single" w:color="auto" w:sz="4" w:space="0"/>
              <w:right w:val="single" w:color="auto" w:sz="4" w:space="0"/>
            </w:tcBorders>
            <w:vAlign w:val="center"/>
          </w:tcPr>
          <w:p w14:paraId="33B6AE12">
            <w:pPr>
              <w:pStyle w:val="557"/>
              <w:jc w:val="both"/>
            </w:pPr>
            <w:r>
              <w:rPr>
                <w:rFonts w:hint="eastAsia"/>
              </w:rPr>
              <w:t>本项目将对风险物质进行严格监控管理，对物料的收集、运输及厂内贮存进行严格监控。</w:t>
            </w:r>
          </w:p>
        </w:tc>
        <w:tc>
          <w:tcPr>
            <w:tcW w:w="228" w:type="pct"/>
            <w:tcBorders>
              <w:top w:val="single" w:color="auto" w:sz="4" w:space="0"/>
              <w:left w:val="single" w:color="auto" w:sz="4" w:space="0"/>
              <w:bottom w:val="single" w:color="auto" w:sz="4" w:space="0"/>
              <w:right w:val="single" w:color="auto" w:sz="4" w:space="0"/>
            </w:tcBorders>
            <w:vAlign w:val="center"/>
          </w:tcPr>
          <w:p w14:paraId="0240A89B">
            <w:pPr>
              <w:pStyle w:val="557"/>
            </w:pPr>
            <w:r>
              <w:rPr>
                <w:rFonts w:hint="eastAsia"/>
              </w:rPr>
              <w:t>符合</w:t>
            </w:r>
          </w:p>
        </w:tc>
      </w:tr>
      <w:tr w14:paraId="3E94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6EF7DA6">
            <w:pPr>
              <w:rPr>
                <w:rFonts w:hint="eastAsia"/>
                <w:color w:val="000000" w:themeColor="text1"/>
                <w:sz w:val="18"/>
                <w:szCs w:val="18"/>
                <w:u w:color="000000"/>
                <w:lang w:bidi="en-US"/>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B420BC">
            <w:pPr>
              <w:rPr>
                <w:rFonts w:hint="eastAsia"/>
                <w:color w:val="000000" w:themeColor="text1"/>
                <w:sz w:val="18"/>
                <w:szCs w:val="18"/>
                <w:u w:color="000000"/>
                <w:lang w:bidi="en-US"/>
                <w14:textFill>
                  <w14:solidFill>
                    <w14:schemeClr w14:val="tx1"/>
                  </w14:solidFill>
                </w14:textFill>
              </w:rPr>
            </w:pPr>
          </w:p>
        </w:tc>
        <w:tc>
          <w:tcPr>
            <w:tcW w:w="203" w:type="pct"/>
            <w:tcBorders>
              <w:top w:val="single" w:color="auto" w:sz="4" w:space="0"/>
              <w:left w:val="single" w:color="auto" w:sz="4" w:space="0"/>
              <w:bottom w:val="single" w:color="auto" w:sz="4" w:space="0"/>
              <w:right w:val="single" w:color="auto" w:sz="4" w:space="0"/>
            </w:tcBorders>
            <w:vAlign w:val="center"/>
          </w:tcPr>
          <w:p w14:paraId="3558BC47">
            <w:pPr>
              <w:pStyle w:val="557"/>
            </w:pPr>
            <w:r>
              <w:rPr>
                <w:rFonts w:hint="eastAsia"/>
              </w:rPr>
              <w:t>资源开发利用</w:t>
            </w:r>
          </w:p>
        </w:tc>
        <w:tc>
          <w:tcPr>
            <w:tcW w:w="2182" w:type="pct"/>
            <w:tcBorders>
              <w:top w:val="single" w:color="auto" w:sz="4" w:space="0"/>
              <w:left w:val="single" w:color="auto" w:sz="4" w:space="0"/>
              <w:bottom w:val="single" w:color="auto" w:sz="4" w:space="0"/>
              <w:right w:val="single" w:color="auto" w:sz="4" w:space="0"/>
            </w:tcBorders>
            <w:vAlign w:val="center"/>
          </w:tcPr>
          <w:p w14:paraId="283BC836">
            <w:pPr>
              <w:pStyle w:val="557"/>
              <w:jc w:val="both"/>
            </w:pPr>
            <w:r>
              <w:rPr>
                <w:rFonts w:hint="eastAsia"/>
              </w:rPr>
              <w:t>园区中水回用率达到100%；</w:t>
            </w:r>
          </w:p>
        </w:tc>
        <w:tc>
          <w:tcPr>
            <w:tcW w:w="1624" w:type="pct"/>
            <w:tcBorders>
              <w:top w:val="single" w:color="auto" w:sz="4" w:space="0"/>
              <w:left w:val="single" w:color="auto" w:sz="4" w:space="0"/>
              <w:bottom w:val="single" w:color="auto" w:sz="4" w:space="0"/>
              <w:right w:val="single" w:color="auto" w:sz="4" w:space="0"/>
            </w:tcBorders>
            <w:vAlign w:val="center"/>
          </w:tcPr>
          <w:p w14:paraId="187C7FFC">
            <w:pPr>
              <w:pStyle w:val="557"/>
              <w:jc w:val="both"/>
            </w:pPr>
            <w:r>
              <w:rPr>
                <w:rFonts w:hint="eastAsia"/>
              </w:rPr>
              <w:t>（</w:t>
            </w:r>
            <w:r>
              <w:t>1</w:t>
            </w:r>
            <w:r>
              <w:rPr>
                <w:rFonts w:hint="eastAsia"/>
              </w:rPr>
              <w:t>）本项目生产废水、生活污水等经厂内污水处理站、回用水站处理后，全部回用于生产。</w:t>
            </w:r>
          </w:p>
          <w:p w14:paraId="7B469B25">
            <w:pPr>
              <w:pStyle w:val="557"/>
              <w:jc w:val="both"/>
            </w:pPr>
            <w:r>
              <w:rPr>
                <w:rFonts w:hint="eastAsia"/>
              </w:rPr>
              <w:t>（</w:t>
            </w:r>
            <w:r>
              <w:t>2</w:t>
            </w:r>
            <w:r>
              <w:rPr>
                <w:rFonts w:hint="eastAsia"/>
              </w:rPr>
              <w:t>）本项目用水由园区水厂供应，不使用地下水。</w:t>
            </w:r>
          </w:p>
        </w:tc>
        <w:tc>
          <w:tcPr>
            <w:tcW w:w="228" w:type="pct"/>
            <w:tcBorders>
              <w:top w:val="single" w:color="auto" w:sz="4" w:space="0"/>
              <w:left w:val="single" w:color="auto" w:sz="4" w:space="0"/>
              <w:bottom w:val="single" w:color="auto" w:sz="4" w:space="0"/>
              <w:right w:val="single" w:color="auto" w:sz="4" w:space="0"/>
            </w:tcBorders>
            <w:vAlign w:val="center"/>
          </w:tcPr>
          <w:p w14:paraId="5EBAC7E9">
            <w:pPr>
              <w:pStyle w:val="557"/>
            </w:pPr>
            <w:r>
              <w:rPr>
                <w:rFonts w:hint="eastAsia"/>
              </w:rPr>
              <w:t>符合</w:t>
            </w:r>
          </w:p>
        </w:tc>
      </w:tr>
    </w:tbl>
    <w:p w14:paraId="535080A1">
      <w:pPr>
        <w:pStyle w:val="645"/>
        <w:rPr>
          <w:rFonts w:hint="eastAsia"/>
          <w:color w:val="FF0000"/>
        </w:rPr>
      </w:pPr>
    </w:p>
    <w:p w14:paraId="52638005">
      <w:pPr>
        <w:pStyle w:val="645"/>
        <w:rPr>
          <w:rFonts w:hint="eastAsia"/>
          <w:color w:val="FF0000"/>
        </w:rPr>
      </w:pPr>
    </w:p>
    <w:p w14:paraId="4E33305C">
      <w:pPr>
        <w:pStyle w:val="645"/>
        <w:rPr>
          <w:rFonts w:hint="eastAsia"/>
          <w:color w:val="FF0000"/>
        </w:rPr>
      </w:pPr>
    </w:p>
    <w:p w14:paraId="1CD30C85">
      <w:pPr>
        <w:pStyle w:val="645"/>
        <w:rPr>
          <w:rFonts w:hint="eastAsia"/>
          <w:color w:val="FF0000"/>
        </w:rPr>
      </w:pPr>
    </w:p>
    <w:p w14:paraId="67940EA6">
      <w:pPr>
        <w:pStyle w:val="186"/>
        <w:rPr>
          <w:rFonts w:hint="eastAsia" w:hAnsi="黑体"/>
          <w:sz w:val="24"/>
          <w:szCs w:val="24"/>
        </w:rPr>
        <w:sectPr>
          <w:pgSz w:w="16838" w:h="11906" w:orient="landscape"/>
          <w:pgMar w:top="1797" w:right="1440" w:bottom="1797" w:left="1440" w:header="851" w:footer="992" w:gutter="0"/>
          <w:cols w:space="720" w:num="1"/>
          <w:docGrid w:linePitch="312" w:charSpace="0"/>
        </w:sectPr>
      </w:pPr>
    </w:p>
    <w:p w14:paraId="3602E952">
      <w:pPr>
        <w:pStyle w:val="3"/>
        <w:rPr>
          <w:rFonts w:hint="eastAsia"/>
          <w:color w:val="000000" w:themeColor="text1"/>
          <w14:textFill>
            <w14:solidFill>
              <w14:schemeClr w14:val="tx1"/>
            </w14:solidFill>
          </w14:textFill>
        </w:rPr>
      </w:pPr>
      <w:bookmarkStart w:id="550" w:name="_Toc25572"/>
      <w:r>
        <w:rPr>
          <w:color w:val="000000" w:themeColor="text1"/>
          <w14:textFill>
            <w14:solidFill>
              <w14:schemeClr w14:val="tx1"/>
            </w14:solidFill>
          </w14:textFill>
        </w:rPr>
        <w:t>园区规划和规划环评符合性分析</w:t>
      </w:r>
      <w:bookmarkEnd w:id="550"/>
    </w:p>
    <w:p w14:paraId="28BDC1A9">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《哈密工业园区产业发展规划（2019-2035年）》及《哈密工业园区总体规划（2019-2035年）环境影响报告书》符合性</w:t>
      </w:r>
    </w:p>
    <w:p w14:paraId="12BB4631">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（1）《哈密工业园区产业发展规划（2019-2035年）》</w:t>
      </w:r>
    </w:p>
    <w:p w14:paraId="35807874">
      <w:pPr>
        <w:pStyle w:val="281"/>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2022年2月16日，自治区工业园区工作领导小组出具《关于&lt;哈密工业园区产业发展规划（2019-2035年）&gt;的批复》（新园区函[2022]1号）。</w:t>
      </w:r>
    </w:p>
    <w:p w14:paraId="1C99CBE4">
      <w:pPr>
        <w:pStyle w:val="281"/>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根据产业发展规划，哈密工业园区</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产业布局</w:t>
      </w:r>
      <w:r>
        <w:rPr>
          <w:color w:val="000000" w:themeColor="text1"/>
          <w14:textFill>
            <w14:solidFill>
              <w14:schemeClr w14:val="tx1"/>
            </w14:solidFill>
          </w14:textFill>
        </w:rPr>
        <w:t>为：</w:t>
      </w:r>
      <w:r>
        <w:rPr>
          <w:rFonts w:hint="eastAsia"/>
          <w:color w:val="000000" w:themeColor="text1"/>
          <w:lang w:val="zh-CN"/>
          <w14:textFill>
            <w14:solidFill>
              <w14:schemeClr w14:val="tx1"/>
            </w14:solidFill>
          </w14:textFill>
        </w:rPr>
        <w:t>重点做优做强先进装备制造、新材料、化工业三大主导产业；加快培育现代能源产业、医疗器械及卫材、节能环保产业三大新兴产业，提升发展农副产品加工、建材及金属结构件管材、能源资源精深加工三大传统产业，积极配套现代服务业。</w:t>
      </w:r>
    </w:p>
    <w:p w14:paraId="532FA3D2">
      <w:pPr>
        <w:pStyle w:val="281"/>
        <w:ind w:firstLine="480"/>
        <w:rPr>
          <w:color w:val="000000" w:themeColor="text1"/>
          <w:lang w:val="zh-CN"/>
          <w14:textFill>
            <w14:solidFill>
              <w14:schemeClr w14:val="tx1"/>
            </w14:solidFill>
          </w14:textFill>
        </w:rPr>
      </w:pPr>
      <w:r>
        <w:rPr>
          <w:rFonts w:hint="eastAsia" w:cs="Times New Roman"/>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r>
        <w:rPr>
          <w:rFonts w:hint="eastAsia"/>
          <w:color w:val="000000" w:themeColor="text1"/>
          <w14:textFill>
            <w14:solidFill>
              <w14:schemeClr w14:val="tx1"/>
            </w14:solidFill>
          </w14:textFill>
        </w:rPr>
        <w:t>项目所在位置为园区规划的</w:t>
      </w:r>
      <w:r>
        <w:rPr>
          <w:rFonts w:hint="eastAsia" w:cs="Times New Roman"/>
          <w:color w:val="000000" w:themeColor="text1"/>
          <w14:textFill>
            <w14:solidFill>
              <w14:schemeClr w14:val="tx1"/>
            </w14:solidFill>
          </w14:textFill>
        </w:rPr>
        <w:t>化工产业区</w:t>
      </w:r>
      <w:r>
        <w:rPr>
          <w:rFonts w:hint="eastAsia"/>
          <w:color w:val="000000" w:themeColor="text1"/>
          <w14:textFill>
            <w14:solidFill>
              <w14:schemeClr w14:val="tx1"/>
            </w14:solidFill>
          </w14:textFill>
        </w:rPr>
        <w:t>，项目用地为规划的三类工业用地。</w:t>
      </w:r>
    </w:p>
    <w:p w14:paraId="65AC9FC1">
      <w:pPr>
        <w:pStyle w:val="281"/>
        <w:ind w:firstLine="480"/>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哈密工业园区南部循环经济产业园</w:t>
      </w:r>
      <w:r>
        <w:rPr>
          <w:color w:val="000000" w:themeColor="text1"/>
          <w14:textFill>
            <w14:solidFill>
              <w14:schemeClr w14:val="tx1"/>
            </w14:solidFill>
          </w14:textFill>
        </w:rPr>
        <w:t>产业布局规划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见图</w:t>
      </w:r>
      <w:r>
        <w:rPr>
          <w:rFonts w:hint="eastAsia"/>
          <w:color w:val="000000" w:themeColor="text1"/>
          <w14:textFill>
            <w14:solidFill>
              <w14:schemeClr w14:val="tx1"/>
            </w14:solidFill>
          </w14:textFill>
        </w:rPr>
        <w:t>8.4.1-1。</w:t>
      </w:r>
      <w:r>
        <w:rPr>
          <w:rFonts w:hint="eastAsia"/>
          <w:color w:val="000000" w:themeColor="text1"/>
          <w:lang w:val="zh-CN"/>
          <w14:textFill>
            <w14:solidFill>
              <w14:schemeClr w14:val="tx1"/>
            </w14:solidFill>
          </w14:textFill>
        </w:rPr>
        <w:t>哈密工业园区南部循环经济产业园</w:t>
      </w:r>
      <w:r>
        <w:rPr>
          <w:color w:val="000000" w:themeColor="text1"/>
          <w14:textFill>
            <w14:solidFill>
              <w14:schemeClr w14:val="tx1"/>
            </w14:solidFill>
          </w14:textFill>
        </w:rPr>
        <w:t>土地利用规划位置关系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见图</w:t>
      </w:r>
      <w:r>
        <w:rPr>
          <w:rFonts w:hint="eastAsia"/>
          <w:color w:val="000000" w:themeColor="text1"/>
          <w14:textFill>
            <w14:solidFill>
              <w14:schemeClr w14:val="tx1"/>
            </w14:solidFill>
          </w14:textFill>
        </w:rPr>
        <w:t>8.4.1-2。</w:t>
      </w:r>
    </w:p>
    <w:p w14:paraId="2A79A19B">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《哈密工业园区产业发展规划（2019-2035年）》土地利用与</w:t>
      </w:r>
      <w:r>
        <w:rPr>
          <w:color w:val="000000" w:themeColor="text1"/>
          <w14:textFill>
            <w14:solidFill>
              <w14:schemeClr w14:val="tx1"/>
            </w14:solidFill>
          </w14:textFill>
        </w:rPr>
        <w:t>产业</w:t>
      </w:r>
      <w:r>
        <w:rPr>
          <w:rFonts w:hint="eastAsia"/>
          <w:color w:val="000000" w:themeColor="text1"/>
          <w14:textFill>
            <w14:solidFill>
              <w14:schemeClr w14:val="tx1"/>
            </w14:solidFill>
          </w14:textFill>
        </w:rPr>
        <w:t>布局</w:t>
      </w:r>
      <w:r>
        <w:rPr>
          <w:color w:val="000000" w:themeColor="text1"/>
          <w14:textFill>
            <w14:solidFill>
              <w14:schemeClr w14:val="tx1"/>
            </w14:solidFill>
          </w14:textFill>
        </w:rPr>
        <w:t>。</w:t>
      </w:r>
    </w:p>
    <w:p w14:paraId="17397FC4">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eastAsia="宋体壵笅波.."/>
          <w:color w:val="000000" w:themeColor="text1"/>
          <w14:textFill>
            <w14:solidFill>
              <w14:schemeClr w14:val="tx1"/>
            </w14:solidFill>
          </w14:textFill>
        </w:rPr>
        <w:t>哈密工业园区总体规划（2019-2035年）</w:t>
      </w:r>
      <w:r>
        <w:rPr>
          <w:rFonts w:hint="eastAsia"/>
          <w:color w:val="000000" w:themeColor="text1"/>
          <w14:textFill>
            <w14:solidFill>
              <w14:schemeClr w14:val="tx1"/>
            </w14:solidFill>
          </w14:textFill>
        </w:rPr>
        <w:t>环境影响报告书》</w:t>
      </w:r>
    </w:p>
    <w:p w14:paraId="13E74E7C">
      <w:pPr>
        <w:pStyle w:val="281"/>
        <w:ind w:firstLine="480"/>
        <w:rPr>
          <w:color w:val="000000" w:themeColor="text1"/>
          <w14:textFill>
            <w14:solidFill>
              <w14:schemeClr w14:val="tx1"/>
            </w14:solidFill>
          </w14:textFill>
        </w:rPr>
      </w:pPr>
      <w:r>
        <w:rPr>
          <w:rFonts w:cs="Times New Roman"/>
        </w:rPr>
        <w:t>2021年4</w:t>
      </w:r>
      <w:r>
        <w:rPr>
          <w:rFonts w:cs="Times New Roman"/>
          <w:color w:val="000000" w:themeColor="text1"/>
          <w14:textFill>
            <w14:solidFill>
              <w14:schemeClr w14:val="tx1"/>
            </w14:solidFill>
          </w14:textFill>
        </w:rPr>
        <w:t>月6日</w:t>
      </w:r>
      <w:r>
        <w:rPr>
          <w:rFonts w:hint="eastAsia"/>
          <w:color w:val="000000" w:themeColor="text1"/>
          <w:lang w:val="zh-CN"/>
          <w14:textFill>
            <w14:solidFill>
              <w14:schemeClr w14:val="tx1"/>
            </w14:solidFill>
          </w14:textFill>
        </w:rPr>
        <w:t>，哈密工业园区总体规划（2019-2035年）环评取得</w:t>
      </w:r>
      <w:r>
        <w:rPr>
          <w:rFonts w:cs="Times New Roman"/>
          <w:color w:val="000000" w:themeColor="text1"/>
          <w14:textFill>
            <w14:solidFill>
              <w14:schemeClr w14:val="tx1"/>
            </w14:solidFill>
          </w14:textFill>
        </w:rPr>
        <w:t>新疆维吾尔自治区生态环境厅</w:t>
      </w:r>
      <w:r>
        <w:rPr>
          <w:rFonts w:hint="eastAsia" w:cs="Times New Roman"/>
          <w:color w:val="000000" w:themeColor="text1"/>
          <w14:textFill>
            <w14:solidFill>
              <w14:schemeClr w14:val="tx1"/>
            </w14:solidFill>
          </w14:textFill>
        </w:rPr>
        <w:t>出具的</w:t>
      </w:r>
      <w:r>
        <w:rPr>
          <w:rFonts w:hint="eastAsia"/>
          <w:color w:val="000000" w:themeColor="text1"/>
          <w:lang w:val="zh-CN"/>
          <w14:textFill>
            <w14:solidFill>
              <w14:schemeClr w14:val="tx1"/>
            </w14:solidFill>
          </w14:textFill>
        </w:rPr>
        <w:t>审查意见</w:t>
      </w:r>
      <w:r>
        <w:rPr>
          <w:rFonts w:cs="Times New Roman"/>
          <w:color w:val="000000" w:themeColor="text1"/>
          <w14:textFill>
            <w14:solidFill>
              <w14:schemeClr w14:val="tx1"/>
            </w14:solidFill>
          </w14:textFill>
        </w:rPr>
        <w:t>（新环审[2021]61号）</w:t>
      </w:r>
      <w:r>
        <w:rPr>
          <w:rFonts w:hint="eastAsia"/>
          <w:color w:val="000000" w:themeColor="text1"/>
          <w14:textFill>
            <w14:solidFill>
              <w14:schemeClr w14:val="tx1"/>
            </w14:solidFill>
          </w14:textFill>
        </w:rPr>
        <w:t>。</w:t>
      </w:r>
    </w:p>
    <w:p w14:paraId="2BBA9B14">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val="zh-CN"/>
          <w14:textFill>
            <w14:solidFill>
              <w14:schemeClr w14:val="tx1"/>
            </w14:solidFill>
          </w14:textFill>
        </w:rPr>
        <w:t>哈密工业园区总体规划（2019-2035年）</w:t>
      </w:r>
      <w:r>
        <w:rPr>
          <w:rFonts w:hint="eastAsia"/>
          <w:color w:val="000000" w:themeColor="text1"/>
          <w14:textFill>
            <w14:solidFill>
              <w14:schemeClr w14:val="tx1"/>
            </w14:solidFill>
          </w14:textFill>
        </w:rPr>
        <w:t>环境影响报告书》及其审查意见，本项目位于哈密工业园区南部循环经济产业园，项目所在位置为园区规划的化工产业区，项目用地为规划的三类工业用地。</w:t>
      </w:r>
    </w:p>
    <w:p w14:paraId="30DC124D">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本项目属于煤化工项目，符合园区的产业定位和用地规划。</w:t>
      </w:r>
    </w:p>
    <w:p w14:paraId="05B6EB1E">
      <w:pPr>
        <w:pStyle w:val="281"/>
        <w:ind w:firstLine="480"/>
        <w:rPr>
          <w:color w:val="000000" w:themeColor="text1"/>
          <w14:textFill>
            <w14:solidFill>
              <w14:schemeClr w14:val="tx1"/>
            </w14:solidFill>
          </w14:textFill>
        </w:rPr>
      </w:pPr>
    </w:p>
    <w:p w14:paraId="55669AE4">
      <w:pPr>
        <w:pStyle w:val="281"/>
        <w:ind w:firstLine="480"/>
        <w:rPr>
          <w:color w:val="000000" w:themeColor="text1"/>
          <w14:textFill>
            <w14:solidFill>
              <w14:schemeClr w14:val="tx1"/>
            </w14:solidFill>
          </w14:textFill>
        </w:rPr>
      </w:pPr>
    </w:p>
    <w:p w14:paraId="5C50F11F">
      <w:pPr>
        <w:pStyle w:val="281"/>
        <w:ind w:firstLine="480"/>
        <w:rPr>
          <w:color w:val="000000" w:themeColor="text1"/>
          <w14:textFill>
            <w14:solidFill>
              <w14:schemeClr w14:val="tx1"/>
            </w14:solidFill>
          </w14:textFill>
        </w:rPr>
      </w:pPr>
    </w:p>
    <w:p w14:paraId="283F195D">
      <w:pPr>
        <w:pStyle w:val="281"/>
        <w:ind w:firstLine="480"/>
        <w:rPr>
          <w:color w:val="000000" w:themeColor="text1"/>
          <w14:textFill>
            <w14:solidFill>
              <w14:schemeClr w14:val="tx1"/>
            </w14:solidFill>
          </w14:textFill>
        </w:rPr>
      </w:pPr>
    </w:p>
    <w:p w14:paraId="17BCDC3B">
      <w:pPr>
        <w:pStyle w:val="281"/>
        <w:ind w:firstLine="480"/>
        <w:rPr>
          <w:color w:val="000000" w:themeColor="text1"/>
          <w14:textFill>
            <w14:solidFill>
              <w14:schemeClr w14:val="tx1"/>
            </w14:solidFill>
          </w14:textFill>
        </w:rPr>
      </w:pPr>
    </w:p>
    <w:p w14:paraId="435975EF">
      <w:pPr>
        <w:pStyle w:val="281"/>
        <w:ind w:firstLine="480"/>
        <w:rPr>
          <w:color w:val="000000" w:themeColor="text1"/>
          <w14:textFill>
            <w14:solidFill>
              <w14:schemeClr w14:val="tx1"/>
            </w14:solidFill>
          </w14:textFill>
        </w:rPr>
      </w:pPr>
    </w:p>
    <w:p w14:paraId="5A0E3BFF">
      <w:pPr>
        <w:pStyle w:val="281"/>
        <w:ind w:firstLine="480"/>
        <w:rPr>
          <w:color w:val="FF0000"/>
        </w:rPr>
        <w:sectPr>
          <w:pgSz w:w="11906" w:h="16838"/>
          <w:pgMar w:top="1644" w:right="1797" w:bottom="1418" w:left="1797" w:header="851" w:footer="992" w:gutter="0"/>
          <w:cols w:space="425" w:num="1"/>
          <w:docGrid w:type="lines" w:linePitch="312" w:charSpace="0"/>
        </w:sectPr>
      </w:pPr>
    </w:p>
    <w:p w14:paraId="6F208E3C">
      <w:pPr>
        <w:pStyle w:val="281"/>
        <w:ind w:firstLine="480"/>
        <w:jc w:val="center"/>
        <w:rPr>
          <w:color w:val="FF0000"/>
        </w:rPr>
      </w:pPr>
    </w:p>
    <w:p w14:paraId="4EFD8384">
      <w:pPr>
        <w:pStyle w:val="535"/>
        <w:rPr>
          <w:rFonts w:hint="eastAsia"/>
          <w:color w:val="FF0000"/>
        </w:rPr>
      </w:pPr>
      <w:r>
        <w:rPr>
          <w:rFonts w:hint="eastAsia"/>
          <w:color w:val="000000" w:themeColor="text1"/>
          <w14:textFill>
            <w14:solidFill>
              <w14:schemeClr w14:val="tx1"/>
            </w14:solidFill>
          </w14:textFill>
        </w:rPr>
        <w:t>图8.4.1-1</w:t>
      </w:r>
      <w:r>
        <w:rPr>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哈密工业园区南部循环经济产业园产业布局图</w:t>
      </w:r>
    </w:p>
    <w:p w14:paraId="6EAB3232">
      <w:pPr>
        <w:pStyle w:val="5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图8.4.1-2</w:t>
      </w:r>
      <w:r>
        <w:rPr>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哈密工业园区南部循环经济产业园</w:t>
      </w:r>
      <w:r>
        <w:rPr>
          <w:rFonts w:hint="eastAsia"/>
          <w:color w:val="000000" w:themeColor="text1"/>
          <w14:textFill>
            <w14:solidFill>
              <w14:schemeClr w14:val="tx1"/>
            </w14:solidFill>
          </w14:textFill>
        </w:rPr>
        <w:t>用地</w:t>
      </w:r>
      <w:r>
        <w:rPr>
          <w:color w:val="000000" w:themeColor="text1"/>
          <w14:textFill>
            <w14:solidFill>
              <w14:schemeClr w14:val="tx1"/>
            </w14:solidFill>
          </w14:textFill>
        </w:rPr>
        <w:t>布局图</w:t>
      </w:r>
    </w:p>
    <w:p w14:paraId="38B1A0CD">
      <w:pPr>
        <w:pStyle w:val="535"/>
        <w:jc w:val="left"/>
        <w:rPr>
          <w:rFonts w:hint="eastAsia"/>
          <w:color w:val="000000" w:themeColor="text1"/>
          <w14:textFill>
            <w14:solidFill>
              <w14:schemeClr w14:val="tx1"/>
            </w14:solidFill>
          </w14:textFill>
        </w:rPr>
        <w:sectPr>
          <w:pgSz w:w="16838" w:h="11906" w:orient="landscape"/>
          <w:pgMar w:top="1800" w:right="1440" w:bottom="1800" w:left="1440" w:header="851" w:footer="850" w:gutter="0"/>
          <w:cols w:space="425" w:num="1"/>
          <w:docGrid w:type="lines" w:linePitch="326" w:charSpace="0"/>
        </w:sectPr>
      </w:pPr>
    </w:p>
    <w:p w14:paraId="11729D09">
      <w:pPr>
        <w:pStyle w:val="9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《哈密高新区化工产业集中区总体规划（2023-2035年）》及规划环评符合性</w:t>
      </w:r>
    </w:p>
    <w:p w14:paraId="74FF1D76">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（1）《哈密高新区化工产业集中区总体规划（2023-2035年）》</w:t>
      </w:r>
    </w:p>
    <w:p w14:paraId="7A1A24BC">
      <w:pPr>
        <w:pStyle w:val="281"/>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2023年9月14日</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哈密市人民政府以哈政函[2023]175号文件，出具了关于对哈密高新区化工产业集中区总体规划（2023—2035年）的批复，原则同意《哈密高新区化工产业集中区总体规划（2023—2035年）》</w:t>
      </w:r>
      <w:r>
        <w:rPr>
          <w:rFonts w:hint="eastAsia"/>
          <w:color w:val="000000" w:themeColor="text1"/>
          <w:lang w:val="zh-CN"/>
          <w14:textFill>
            <w14:solidFill>
              <w14:schemeClr w14:val="tx1"/>
            </w14:solidFill>
          </w14:textFill>
        </w:rPr>
        <w:t>。</w:t>
      </w:r>
    </w:p>
    <w:p w14:paraId="58003DA7">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化工产业集中区主要划分为石油化工产业区、化工（硅基）新材料产业区、煤化工产业区、精细化工区及天然气化工区，规划面积约4.4平方千米。</w:t>
      </w:r>
    </w:p>
    <w:p w14:paraId="1C4A052A">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根据总体规划，园区</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产业布局</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高新技术应用、转化为主的产业主导型工业园区。重点做优做强新材料、煤电煤化工、精细化工主导产业；成为自治区新型工业化循环经济产业示范基地、自治区承接产业转移及就业承载核心基地、自治区产教融合发展示范基地、新型综合能源基地引领示范区一部分。</w:t>
      </w:r>
    </w:p>
    <w:p w14:paraId="5EB4D966">
      <w:pPr>
        <w:pStyle w:val="281"/>
        <w:ind w:firstLine="480"/>
        <w:rPr>
          <w:color w:val="000000" w:themeColor="text1"/>
          <w:lang w:val="zh-CN"/>
          <w14:textFill>
            <w14:solidFill>
              <w14:schemeClr w14:val="tx1"/>
            </w14:solidFill>
          </w14:textFill>
        </w:rPr>
      </w:pPr>
      <w:r>
        <w:rPr>
          <w:rFonts w:hint="eastAsia" w:cs="Times New Roman"/>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r>
        <w:rPr>
          <w:rFonts w:hint="eastAsia"/>
          <w:color w:val="000000" w:themeColor="text1"/>
          <w14:textFill>
            <w14:solidFill>
              <w14:schemeClr w14:val="tx1"/>
            </w14:solidFill>
          </w14:textFill>
        </w:rPr>
        <w:t>项目所在位置为园区规划的</w:t>
      </w:r>
      <w:r>
        <w:rPr>
          <w:rFonts w:hint="eastAsia" w:cs="Times New Roman"/>
          <w:color w:val="000000" w:themeColor="text1"/>
          <w14:textFill>
            <w14:solidFill>
              <w14:schemeClr w14:val="tx1"/>
            </w14:solidFill>
          </w14:textFill>
        </w:rPr>
        <w:t>化工（硅基）新材料产业区</w:t>
      </w:r>
      <w:r>
        <w:rPr>
          <w:rFonts w:hint="eastAsia"/>
          <w:color w:val="000000" w:themeColor="text1"/>
          <w14:textFill>
            <w14:solidFill>
              <w14:schemeClr w14:val="tx1"/>
            </w14:solidFill>
          </w14:textFill>
        </w:rPr>
        <w:t>，项目用地为规划的三类工业用地。</w:t>
      </w:r>
    </w:p>
    <w:p w14:paraId="5B050049">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哈密高新区化工产业集中区规划范围，</w:t>
      </w:r>
      <w:r>
        <w:rPr>
          <w:color w:val="000000" w:themeColor="text1"/>
          <w14:textFill>
            <w14:solidFill>
              <w14:schemeClr w14:val="tx1"/>
            </w14:solidFill>
          </w14:textFill>
        </w:rPr>
        <w:t>见图</w:t>
      </w:r>
      <w:r>
        <w:rPr>
          <w:rFonts w:hint="eastAsia"/>
          <w:color w:val="000000" w:themeColor="text1"/>
          <w14:textFill>
            <w14:solidFill>
              <w14:schemeClr w14:val="tx1"/>
            </w14:solidFill>
          </w14:textFill>
        </w:rPr>
        <w:t>8.4.1-1。哈密高新区化工产业集中区</w:t>
      </w:r>
      <w:r>
        <w:rPr>
          <w:color w:val="000000" w:themeColor="text1"/>
          <w14:textFill>
            <w14:solidFill>
              <w14:schemeClr w14:val="tx1"/>
            </w14:solidFill>
          </w14:textFill>
        </w:rPr>
        <w:t>产业布局规划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见图</w:t>
      </w:r>
      <w:r>
        <w:rPr>
          <w:rFonts w:hint="eastAsia"/>
          <w:color w:val="000000" w:themeColor="text1"/>
          <w14:textFill>
            <w14:solidFill>
              <w14:schemeClr w14:val="tx1"/>
            </w14:solidFill>
          </w14:textFill>
        </w:rPr>
        <w:t>8.4.1-2。哈密高新区化工产业集中区</w:t>
      </w:r>
      <w:r>
        <w:rPr>
          <w:color w:val="000000" w:themeColor="text1"/>
          <w14:textFill>
            <w14:solidFill>
              <w14:schemeClr w14:val="tx1"/>
            </w14:solidFill>
          </w14:textFill>
        </w:rPr>
        <w:t>土地利用规划位置关系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见图</w:t>
      </w:r>
      <w:r>
        <w:rPr>
          <w:rFonts w:hint="eastAsia"/>
          <w:color w:val="000000" w:themeColor="text1"/>
          <w14:textFill>
            <w14:solidFill>
              <w14:schemeClr w14:val="tx1"/>
            </w14:solidFill>
          </w14:textFill>
        </w:rPr>
        <w:t>8.4.1-3。</w:t>
      </w:r>
    </w:p>
    <w:p w14:paraId="69E8CF60">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《哈密高新区化工产业集中区总体规划（2023-2035年）》土地利用与</w:t>
      </w:r>
      <w:r>
        <w:rPr>
          <w:color w:val="000000" w:themeColor="text1"/>
          <w14:textFill>
            <w14:solidFill>
              <w14:schemeClr w14:val="tx1"/>
            </w14:solidFill>
          </w14:textFill>
        </w:rPr>
        <w:t>产业</w:t>
      </w:r>
      <w:r>
        <w:rPr>
          <w:rFonts w:hint="eastAsia"/>
          <w:color w:val="000000" w:themeColor="text1"/>
          <w14:textFill>
            <w14:solidFill>
              <w14:schemeClr w14:val="tx1"/>
            </w14:solidFill>
          </w14:textFill>
        </w:rPr>
        <w:t>布局</w:t>
      </w:r>
      <w:r>
        <w:rPr>
          <w:color w:val="000000" w:themeColor="text1"/>
          <w14:textFill>
            <w14:solidFill>
              <w14:schemeClr w14:val="tx1"/>
            </w14:solidFill>
          </w14:textFill>
        </w:rPr>
        <w:t>。</w:t>
      </w:r>
    </w:p>
    <w:p w14:paraId="2368946E">
      <w:pPr>
        <w:pStyle w:val="281"/>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《哈密高新区化工产业集中区总体规划（2023—2035年）环境影响报告书》</w:t>
      </w:r>
    </w:p>
    <w:p w14:paraId="7E1311C7">
      <w:pPr>
        <w:pStyle w:val="281"/>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2023年10月12日，</w:t>
      </w:r>
      <w:r>
        <w:rPr>
          <w:rFonts w:hint="eastAsia"/>
          <w:color w:val="000000" w:themeColor="text1"/>
          <w14:textFill>
            <w14:solidFill>
              <w14:schemeClr w14:val="tx1"/>
            </w14:solidFill>
          </w14:textFill>
        </w:rPr>
        <w:t>哈密高新区化工产业集中区总体规划（2023—2035年）</w:t>
      </w:r>
      <w:r>
        <w:rPr>
          <w:rFonts w:hint="eastAsia" w:cs="Times New Roman"/>
          <w:color w:val="000000" w:themeColor="text1"/>
          <w14:textFill>
            <w14:solidFill>
              <w14:schemeClr w14:val="tx1"/>
            </w14:solidFill>
          </w14:textFill>
        </w:rPr>
        <w:t>环评取得新疆维吾尔自治区生态环境厅审查意见（新环审[2023]240号）。</w:t>
      </w:r>
    </w:p>
    <w:p w14:paraId="3C9E0CFC">
      <w:pPr>
        <w:pStyle w:val="281"/>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根据《哈密高新区化工产业集中区总体规划（2023—2035年）环境影响报告书》及其审查意见，本项目位于园区规划的</w:t>
      </w:r>
      <w:r>
        <w:rPr>
          <w:rFonts w:hint="eastAsia" w:cs="Times New Roman"/>
          <w:color w:val="000000" w:themeColor="text1"/>
          <w14:textFill>
            <w14:solidFill>
              <w14:schemeClr w14:val="tx1"/>
            </w14:solidFill>
          </w14:textFill>
        </w:rPr>
        <w:t>化工（硅基）新材料产业区</w:t>
      </w:r>
      <w:r>
        <w:rPr>
          <w:rFonts w:hint="eastAsia"/>
          <w:color w:val="000000" w:themeColor="text1"/>
          <w14:textFill>
            <w14:solidFill>
              <w14:schemeClr w14:val="tx1"/>
            </w14:solidFill>
          </w14:textFill>
        </w:rPr>
        <w:t>，项目用地为规划的三类工业用地。</w:t>
      </w:r>
    </w:p>
    <w:p w14:paraId="1664E59C">
      <w:pPr>
        <w:pStyle w:val="2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本项目属于煤化工项目，符合园区的产业定位和用地规划。</w:t>
      </w:r>
    </w:p>
    <w:p w14:paraId="37C93EC8">
      <w:pPr>
        <w:pStyle w:val="281"/>
        <w:ind w:firstLine="480"/>
        <w:rPr>
          <w:color w:val="FF0000"/>
        </w:rPr>
      </w:pPr>
    </w:p>
    <w:p w14:paraId="3E7A3F78">
      <w:pPr>
        <w:pStyle w:val="281"/>
        <w:ind w:firstLine="480"/>
        <w:rPr>
          <w:color w:val="FF0000"/>
        </w:rPr>
        <w:sectPr>
          <w:pgSz w:w="11906" w:h="16838"/>
          <w:pgMar w:top="1440" w:right="1800" w:bottom="1440" w:left="1800" w:header="851" w:footer="850" w:gutter="0"/>
          <w:cols w:space="425" w:num="1"/>
          <w:docGrid w:type="lines" w:linePitch="326" w:charSpace="0"/>
        </w:sectPr>
      </w:pPr>
    </w:p>
    <w:p w14:paraId="72E1BD00">
      <w:pPr>
        <w:pStyle w:val="281"/>
        <w:ind w:firstLine="0" w:firstLineChars="0"/>
        <w:jc w:val="center"/>
        <w:rPr>
          <w:color w:val="FF0000"/>
        </w:rPr>
      </w:pPr>
    </w:p>
    <w:p w14:paraId="591CA41B">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图8.4.2-1     哈密高新区化工产业集中区规划范围图</w:t>
      </w:r>
    </w:p>
    <w:p w14:paraId="3AD08A6F">
      <w:pPr>
        <w:pStyle w:val="281"/>
        <w:ind w:firstLine="0" w:firstLineChars="0"/>
        <w:jc w:val="center"/>
        <w:rPr>
          <w:color w:val="FF0000"/>
        </w:rPr>
      </w:pPr>
    </w:p>
    <w:p w14:paraId="6D5B8A01">
      <w:pPr>
        <w:pStyle w:val="64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图8.4.2-2        哈密高新区化工产业集中区产业布局图</w:t>
      </w:r>
    </w:p>
    <w:p w14:paraId="6BCA45B7">
      <w:pPr>
        <w:pStyle w:val="281"/>
        <w:ind w:firstLine="0" w:firstLineChars="0"/>
        <w:jc w:val="center"/>
        <w:rPr>
          <w:color w:val="FF0000"/>
        </w:rPr>
      </w:pPr>
    </w:p>
    <w:p w14:paraId="49E17956">
      <w:pPr>
        <w:pStyle w:val="645"/>
        <w:rPr>
          <w:rFonts w:hint="eastAsia"/>
          <w:color w:val="000000" w:themeColor="text1"/>
          <w14:textFill>
            <w14:solidFill>
              <w14:schemeClr w14:val="tx1"/>
            </w14:solidFill>
          </w14:textFill>
        </w:rPr>
        <w:sectPr>
          <w:pgSz w:w="16838" w:h="11906" w:orient="landscape"/>
          <w:pgMar w:top="1800" w:right="1440" w:bottom="1800" w:left="1440" w:header="851" w:footer="850" w:gutter="0"/>
          <w:cols w:space="425" w:num="1"/>
          <w:docGrid w:type="lines" w:linePitch="326" w:charSpace="0"/>
        </w:sectPr>
      </w:pPr>
      <w:r>
        <w:rPr>
          <w:rFonts w:hint="eastAsia"/>
          <w:color w:val="000000" w:themeColor="text1"/>
          <w14:textFill>
            <w14:solidFill>
              <w14:schemeClr w14:val="tx1"/>
            </w14:solidFill>
          </w14:textFill>
        </w:rPr>
        <w:t>图8.4.2-3        哈密高新区化工产业集中区用地规划图</w:t>
      </w:r>
    </w:p>
    <w:p w14:paraId="69F8BBD2">
      <w:pPr>
        <w:pStyle w:val="3"/>
        <w:rPr>
          <w:rFonts w:hint="eastAsia"/>
        </w:rPr>
      </w:pPr>
      <w:bookmarkStart w:id="551" w:name="_Toc6297"/>
      <w:r>
        <w:t>选址合理性分析</w:t>
      </w:r>
      <w:bookmarkEnd w:id="551"/>
    </w:p>
    <w:p w14:paraId="064A507E">
      <w:pPr>
        <w:pStyle w:val="97"/>
        <w:rPr>
          <w:rFonts w:hint="eastAsia"/>
        </w:rPr>
      </w:pPr>
      <w:r>
        <w:t>建厂条件</w:t>
      </w:r>
    </w:p>
    <w:p w14:paraId="6BFEA625">
      <w:pPr>
        <w:pStyle w:val="104"/>
        <w:ind w:firstLine="512"/>
        <w:rPr>
          <w:rFonts w:hint="eastAsia" w:ascii="Times New Roman"/>
        </w:rPr>
      </w:pPr>
      <w:r>
        <w:rPr>
          <w:rFonts w:hint="eastAsia" w:ascii="Times New Roman"/>
        </w:rPr>
        <w:t>（1）</w:t>
      </w:r>
      <w:r>
        <w:rPr>
          <w:rFonts w:ascii="Times New Roman"/>
        </w:rPr>
        <w:t>厂址</w:t>
      </w:r>
      <w:r>
        <w:rPr>
          <w:rFonts w:hint="eastAsia" w:ascii="Times New Roman"/>
        </w:rPr>
        <w:t>四周</w:t>
      </w:r>
      <w:r>
        <w:rPr>
          <w:rFonts w:ascii="Times New Roman"/>
        </w:rPr>
        <w:t>均为空旷荒地，没有因工程建设而需要搬迁改建的公共设施，拟建工程周围在今后发展及调整方面余地较大。</w:t>
      </w:r>
    </w:p>
    <w:p w14:paraId="2338D85F">
      <w:pPr>
        <w:pStyle w:val="104"/>
        <w:ind w:firstLine="512"/>
        <w:rPr>
          <w:rFonts w:hint="eastAsia" w:ascii="Times New Roman"/>
        </w:rPr>
      </w:pPr>
      <w:r>
        <w:rPr>
          <w:rFonts w:hint="eastAsia" w:ascii="Times New Roman"/>
        </w:rPr>
        <w:t>（2）</w:t>
      </w:r>
      <w:r>
        <w:rPr>
          <w:rFonts w:ascii="Times New Roman"/>
        </w:rPr>
        <w:t>建设项目厂址交通十分便利，厂址门前规划的园区道路可到达对外公路，产品可直接运输出厂。</w:t>
      </w:r>
    </w:p>
    <w:p w14:paraId="56D182F6">
      <w:pPr>
        <w:pStyle w:val="281"/>
        <w:ind w:firstLine="480"/>
      </w:pPr>
      <w:r>
        <w:t>（3）项目</w:t>
      </w:r>
      <w:r>
        <w:rPr>
          <w:rFonts w:hint="eastAsia" w:ascii="宋体" w:hAnsi="宋体"/>
        </w:rPr>
        <w:t>厂址区域地面平坦，坡度较小，地下无管线，对施工无影响，无需搬迁人群，工程建设与周围企业发展及周边农业发展没有矛盾。</w:t>
      </w:r>
    </w:p>
    <w:p w14:paraId="3E99F806">
      <w:pPr>
        <w:pStyle w:val="97"/>
        <w:rPr>
          <w:rFonts w:hint="eastAsia"/>
        </w:rPr>
      </w:pPr>
      <w:r>
        <w:t>区域环境敏感性分析</w:t>
      </w:r>
    </w:p>
    <w:p w14:paraId="33CCE428">
      <w:pPr>
        <w:pStyle w:val="98"/>
        <w:rPr>
          <w:rFonts w:hint="eastAsia"/>
        </w:rPr>
      </w:pPr>
      <w:r>
        <w:t>环境容量</w:t>
      </w:r>
    </w:p>
    <w:p w14:paraId="5659B489">
      <w:pPr>
        <w:pStyle w:val="281"/>
        <w:ind w:firstLine="480"/>
      </w:pPr>
      <w:r>
        <w:t>项目评价区内环境空气质量现状尚好；区域内评价水体满足水环境功能区划要求，地下水评价指标均符合评价标准中的</w:t>
      </w:r>
      <w:r>
        <w:rPr>
          <w:rFonts w:hint="eastAsia" w:ascii="宋体" w:hAnsi="宋体"/>
        </w:rPr>
        <w:t>Ⅲ</w:t>
      </w:r>
      <w:r>
        <w:t>类标准，尚有一定环境容量；评价区环境噪声满足《声环境质量标准》（GB3096-2008）中的3类标准，且厂区周围没有声环境敏感目标。</w:t>
      </w:r>
    </w:p>
    <w:p w14:paraId="4A6FDC16">
      <w:pPr>
        <w:pStyle w:val="281"/>
        <w:ind w:firstLine="480"/>
      </w:pPr>
      <w:r>
        <w:rPr>
          <w:rFonts w:hint="eastAsia" w:ascii="宋体" w:hAnsi="宋体"/>
        </w:rPr>
        <w:t>项目建成后生产废气均经处理后综合利用，达标排放，工程申请的</w:t>
      </w:r>
      <w:r>
        <w:t>NO</w:t>
      </w:r>
      <w:r>
        <w:rPr>
          <w:vertAlign w:val="subscript"/>
        </w:rPr>
        <w:t>x</w:t>
      </w:r>
      <w:r>
        <w:rPr>
          <w:rFonts w:hint="eastAsia" w:ascii="宋体" w:hAnsi="宋体"/>
        </w:rPr>
        <w:t>、挥发性有机物总量可以满足本项目建成后的需要。</w:t>
      </w:r>
    </w:p>
    <w:p w14:paraId="405B1C8C">
      <w:pPr>
        <w:pStyle w:val="281"/>
        <w:ind w:firstLine="480"/>
        <w:rPr>
          <w:rFonts w:hint="eastAsia" w:ascii="宋体" w:hAnsi="宋体"/>
        </w:rPr>
      </w:pPr>
      <w:r>
        <w:rPr>
          <w:rFonts w:hint="eastAsia" w:ascii="宋体" w:hAnsi="宋体"/>
        </w:rPr>
        <w:t>项目生产废水、生活污水等经厂内污水处理站、回用水站处理后，回用于生产。正常工况下，不会对地表水及地下水产生影响。</w:t>
      </w:r>
    </w:p>
    <w:p w14:paraId="0262F790">
      <w:pPr>
        <w:pStyle w:val="281"/>
        <w:ind w:firstLine="480"/>
      </w:pPr>
      <w:r>
        <w:rPr>
          <w:rFonts w:hint="eastAsia" w:ascii="宋体" w:hAnsi="宋体"/>
        </w:rPr>
        <w:t>评价区环境噪声可以达到《声环境质量标准》</w:t>
      </w:r>
      <w:r>
        <w:t>GB3096-2008</w:t>
      </w:r>
      <w:r>
        <w:rPr>
          <w:rFonts w:hint="eastAsia" w:ascii="宋体" w:hAnsi="宋体"/>
        </w:rPr>
        <w:t>中的</w:t>
      </w:r>
      <w:r>
        <w:t>3</w:t>
      </w:r>
      <w:r>
        <w:rPr>
          <w:rFonts w:hint="eastAsia" w:ascii="宋体" w:hAnsi="宋体"/>
        </w:rPr>
        <w:t>类标准，且厂区周围没有较大的声环境敏感目标。</w:t>
      </w:r>
    </w:p>
    <w:p w14:paraId="29BFF47B">
      <w:pPr>
        <w:pStyle w:val="281"/>
        <w:ind w:firstLine="480"/>
        <w:rPr>
          <w:spacing w:val="8"/>
          <w:szCs w:val="24"/>
        </w:rPr>
      </w:pPr>
      <w:r>
        <w:rPr>
          <w:rFonts w:hint="eastAsia" w:ascii="宋体" w:hAnsi="宋体"/>
        </w:rPr>
        <w:t>由于地广人稀，该地区属于一个相对独立的区域，本项目对园区以外环境影响不大，因此，项目选址从环境容量角度分析是可行的。</w:t>
      </w:r>
    </w:p>
    <w:p w14:paraId="4412C9C2">
      <w:pPr>
        <w:pStyle w:val="98"/>
        <w:rPr>
          <w:rFonts w:hint="eastAsia"/>
        </w:rPr>
      </w:pPr>
      <w:r>
        <w:t>区域环境敏感因素分析</w:t>
      </w:r>
    </w:p>
    <w:p w14:paraId="1FD2F55D">
      <w:pPr>
        <w:pStyle w:val="281"/>
        <w:ind w:firstLine="480"/>
      </w:pPr>
      <w:r>
        <w:rPr>
          <w:rFonts w:hint="eastAsia" w:ascii="宋体" w:hAnsi="宋体"/>
        </w:rPr>
        <w:t>评价区位于工业园区内，无国家及省级确定的风景、历史遗迹等保护区，区域内也无特殊自然观赏价值较高的景观。通过以上分析，项目厂址未选择在环境敏感区域。</w:t>
      </w:r>
    </w:p>
    <w:p w14:paraId="7B1BBB1C">
      <w:pPr>
        <w:pStyle w:val="281"/>
        <w:ind w:firstLine="480"/>
      </w:pPr>
      <w:r>
        <w:rPr>
          <w:rFonts w:hint="eastAsia" w:ascii="宋体" w:hAnsi="宋体"/>
        </w:rPr>
        <w:t>综上所述，按生态环境部制定的《建设项目环境影响评价分类管理名录》中关于环境敏感因素的界定原则，经调查拟建项目选址地区不属于特殊保护地区、社会关注区和特殊地貌景观区，也无重点保护生态品种及濒危生物物种，文物古迹等，区域环境敏感因素较少。</w:t>
      </w:r>
    </w:p>
    <w:p w14:paraId="71E62891">
      <w:pPr>
        <w:pStyle w:val="98"/>
        <w:rPr>
          <w:rFonts w:hint="eastAsia"/>
        </w:rPr>
      </w:pPr>
      <w:r>
        <w:t>环境风险因素</w:t>
      </w:r>
    </w:p>
    <w:p w14:paraId="25AF2535">
      <w:pPr>
        <w:pStyle w:val="281"/>
        <w:ind w:firstLine="480"/>
      </w:pPr>
      <w:r>
        <w:rPr>
          <w:rFonts w:hint="eastAsia" w:ascii="宋体" w:hAnsi="宋体"/>
        </w:rPr>
        <w:t>根据第七章</w:t>
      </w:r>
      <w:r>
        <w:t>“</w:t>
      </w:r>
      <w:r>
        <w:rPr>
          <w:rFonts w:hint="eastAsia" w:ascii="宋体" w:hAnsi="宋体"/>
        </w:rPr>
        <w:t>环境风险评价</w:t>
      </w:r>
      <w:r>
        <w:t>”</w:t>
      </w:r>
      <w:r>
        <w:rPr>
          <w:rFonts w:hint="eastAsia" w:ascii="宋体" w:hAnsi="宋体"/>
        </w:rPr>
        <w:t>章节，建设项目建成投产后，环境风险水平控制在可接受水平上，事故发生概率较低，影响范围较小，在企业制定严格的风险防范措施和应急预案并落实的前提下，完全可以控制风险事故的发生。</w:t>
      </w:r>
    </w:p>
    <w:p w14:paraId="4B3336B3">
      <w:pPr>
        <w:pStyle w:val="281"/>
        <w:ind w:firstLine="480"/>
      </w:pPr>
      <w:r>
        <w:rPr>
          <w:rFonts w:hint="eastAsia" w:ascii="宋体" w:hAnsi="宋体"/>
        </w:rPr>
        <w:t>拟定厂址工程建设条件良好，区域环境敏感程度较低，结合环境影响预测评价结果综合分析，本项目选址合理。</w:t>
      </w:r>
    </w:p>
    <w:p w14:paraId="06C63FB5">
      <w:pPr>
        <w:pStyle w:val="97"/>
        <w:rPr>
          <w:rFonts w:hint="eastAsia"/>
        </w:rPr>
      </w:pPr>
      <w:r>
        <w:t>平面布置合理性</w:t>
      </w:r>
    </w:p>
    <w:p w14:paraId="7E86AB96">
      <w:pPr>
        <w:pStyle w:val="281"/>
        <w:ind w:firstLine="480"/>
      </w:pPr>
      <w:r>
        <w:rPr>
          <w:rFonts w:hint="eastAsia" w:ascii="宋体" w:hAnsi="宋体"/>
        </w:rPr>
        <w:t>厂区平面布置应根据本项目用地条件，结合生产工艺流程，在满足工业建筑防火疏散要求的前提下，合理布置生产装置、污水处理站、火炬系统等设施。根据项目区的地形特点，总平面布置拟采取分区布置，将整个场区分为生产装置区、公用工程区、生活办公区。</w:t>
      </w:r>
    </w:p>
    <w:p w14:paraId="0F719979">
      <w:pPr>
        <w:pStyle w:val="98"/>
        <w:rPr>
          <w:rFonts w:hint="eastAsia"/>
        </w:rPr>
      </w:pPr>
      <w:r>
        <w:t>总图布置原则</w:t>
      </w:r>
    </w:p>
    <w:p w14:paraId="141973BA">
      <w:pPr>
        <w:pStyle w:val="281"/>
        <w:ind w:firstLine="480"/>
      </w:pPr>
      <w:r>
        <w:rPr>
          <w:rFonts w:hint="eastAsia" w:ascii="宋体" w:hAnsi="宋体"/>
        </w:rPr>
        <w:t>从项目建设的角度分析厂区平面布置要体现下述原则</w:t>
      </w:r>
      <w:r>
        <w:rPr>
          <w:rFonts w:hint="eastAsia"/>
        </w:rPr>
        <w:t>：</w:t>
      </w:r>
    </w:p>
    <w:p w14:paraId="2F7965F6">
      <w:pPr>
        <w:pStyle w:val="281"/>
        <w:ind w:firstLine="480"/>
      </w:pPr>
      <w:r>
        <w:rPr>
          <w:rFonts w:hint="eastAsia" w:ascii="宋体" w:hAnsi="宋体"/>
        </w:rPr>
        <w:t>（</w:t>
      </w:r>
      <w:r>
        <w:t>1</w:t>
      </w:r>
      <w:r>
        <w:rPr>
          <w:rFonts w:hint="eastAsia" w:ascii="宋体" w:hAnsi="宋体"/>
        </w:rPr>
        <w:t>）以人为本，有利于生产、有利于管理、方便生活。</w:t>
      </w:r>
    </w:p>
    <w:p w14:paraId="5F495B78">
      <w:pPr>
        <w:pStyle w:val="281"/>
        <w:ind w:firstLine="480"/>
      </w:pPr>
      <w:r>
        <w:rPr>
          <w:rFonts w:hint="eastAsia" w:ascii="宋体" w:hAnsi="宋体"/>
        </w:rPr>
        <w:t>（</w:t>
      </w:r>
      <w:r>
        <w:t>2</w:t>
      </w:r>
      <w:r>
        <w:rPr>
          <w:rFonts w:hint="eastAsia" w:ascii="宋体" w:hAnsi="宋体"/>
        </w:rPr>
        <w:t>）符合生产工艺流程，物料输送短捷，平面布置紧凑合理。</w:t>
      </w:r>
    </w:p>
    <w:p w14:paraId="1C46E0EA">
      <w:pPr>
        <w:pStyle w:val="281"/>
        <w:ind w:firstLine="480"/>
      </w:pPr>
      <w:r>
        <w:rPr>
          <w:rFonts w:hint="eastAsia" w:ascii="宋体" w:hAnsi="宋体"/>
        </w:rPr>
        <w:t>（</w:t>
      </w:r>
      <w:r>
        <w:t>3</w:t>
      </w:r>
      <w:r>
        <w:rPr>
          <w:rFonts w:hint="eastAsia" w:ascii="宋体" w:hAnsi="宋体"/>
        </w:rPr>
        <w:t>）满足现行国家有关防火、安全、卫生、环境保护及交通运输等设计规范、规定的技术要求。</w:t>
      </w:r>
    </w:p>
    <w:p w14:paraId="662F2E13">
      <w:pPr>
        <w:pStyle w:val="281"/>
        <w:ind w:firstLine="480"/>
      </w:pPr>
      <w:r>
        <w:rPr>
          <w:rFonts w:hint="eastAsia" w:ascii="宋体" w:hAnsi="宋体"/>
        </w:rPr>
        <w:t>（</w:t>
      </w:r>
      <w:r>
        <w:t>4</w:t>
      </w:r>
      <w:r>
        <w:rPr>
          <w:rFonts w:hint="eastAsia" w:ascii="宋体" w:hAnsi="宋体"/>
        </w:rPr>
        <w:t>）人货分流、物流明晰，确保交通运输安全顺畅。</w:t>
      </w:r>
    </w:p>
    <w:p w14:paraId="3B076A2A">
      <w:pPr>
        <w:pStyle w:val="281"/>
        <w:ind w:firstLine="480"/>
      </w:pPr>
      <w:r>
        <w:rPr>
          <w:rFonts w:hint="eastAsia" w:ascii="宋体" w:hAnsi="宋体"/>
        </w:rPr>
        <w:t>（</w:t>
      </w:r>
      <w:r>
        <w:t>5</w:t>
      </w:r>
      <w:r>
        <w:rPr>
          <w:rFonts w:hint="eastAsia" w:ascii="宋体" w:hAnsi="宋体"/>
        </w:rPr>
        <w:t>）厂区绿化以块状绿地、线状绿地共同形成绿色系统，营造厂区良好环境。</w:t>
      </w:r>
    </w:p>
    <w:p w14:paraId="2680B03D">
      <w:pPr>
        <w:pStyle w:val="281"/>
        <w:ind w:firstLine="480"/>
      </w:pPr>
      <w:r>
        <w:rPr>
          <w:rFonts w:hint="eastAsia" w:ascii="宋体" w:hAnsi="宋体"/>
        </w:rPr>
        <w:t>（</w:t>
      </w:r>
      <w:r>
        <w:t>6</w:t>
      </w:r>
      <w:r>
        <w:rPr>
          <w:rFonts w:hint="eastAsia" w:ascii="宋体" w:hAnsi="宋体"/>
        </w:rPr>
        <w:t>）厂区办公生活区位于全年主导风向侧风向。</w:t>
      </w:r>
    </w:p>
    <w:p w14:paraId="31F5EBFA">
      <w:pPr>
        <w:pStyle w:val="98"/>
        <w:rPr>
          <w:rFonts w:hint="eastAsia"/>
        </w:rPr>
      </w:pPr>
      <w:r>
        <w:t>合理性分析</w:t>
      </w:r>
    </w:p>
    <w:p w14:paraId="426AAB2A">
      <w:pPr>
        <w:pStyle w:val="281"/>
        <w:ind w:firstLine="480"/>
      </w:pPr>
      <w:r>
        <w:rPr>
          <w:rFonts w:hint="eastAsia" w:ascii="宋体" w:hAnsi="宋体"/>
        </w:rPr>
        <w:t>项目厂区总平面布置参照以下原则：</w:t>
      </w:r>
    </w:p>
    <w:p w14:paraId="11353FD4">
      <w:pPr>
        <w:pStyle w:val="281"/>
        <w:ind w:firstLine="480"/>
      </w:pPr>
      <w:r>
        <w:rPr>
          <w:rFonts w:hint="eastAsia" w:ascii="宋体" w:hAnsi="宋体"/>
        </w:rPr>
        <w:t>（</w:t>
      </w:r>
      <w:r>
        <w:t>1</w:t>
      </w:r>
      <w:r>
        <w:rPr>
          <w:rFonts w:hint="eastAsia" w:ascii="宋体" w:hAnsi="宋体"/>
        </w:rPr>
        <w:t>）执行国家颁布的有关规范、规定和标准要求，遵循总图专业布置原则。</w:t>
      </w:r>
    </w:p>
    <w:p w14:paraId="42DE6C20">
      <w:pPr>
        <w:pStyle w:val="281"/>
        <w:ind w:firstLine="480"/>
      </w:pPr>
      <w:r>
        <w:rPr>
          <w:rFonts w:hint="eastAsia" w:ascii="宋体" w:hAnsi="宋体"/>
        </w:rPr>
        <w:t>（</w:t>
      </w:r>
      <w:r>
        <w:t>2</w:t>
      </w:r>
      <w:r>
        <w:rPr>
          <w:rFonts w:hint="eastAsia" w:ascii="宋体" w:hAnsi="宋体"/>
        </w:rPr>
        <w:t>）充分利用现有土地资源，因地制宜，紧凑布置，节约用地。</w:t>
      </w:r>
    </w:p>
    <w:p w14:paraId="69E6E5BC">
      <w:pPr>
        <w:pStyle w:val="281"/>
        <w:ind w:firstLine="480"/>
      </w:pPr>
      <w:r>
        <w:rPr>
          <w:rFonts w:hint="eastAsia" w:ascii="宋体" w:hAnsi="宋体"/>
        </w:rPr>
        <w:t>（</w:t>
      </w:r>
      <w:r>
        <w:t>3</w:t>
      </w:r>
      <w:r>
        <w:rPr>
          <w:rFonts w:hint="eastAsia" w:ascii="宋体" w:hAnsi="宋体"/>
        </w:rPr>
        <w:t>）力求工艺流程顺畅，管线短捷，使各规划装置区有机结合，方便生产管理。</w:t>
      </w:r>
    </w:p>
    <w:p w14:paraId="5A083C88">
      <w:pPr>
        <w:pStyle w:val="281"/>
        <w:ind w:firstLine="480"/>
      </w:pPr>
      <w:r>
        <w:rPr>
          <w:rFonts w:hint="eastAsia" w:ascii="宋体" w:hAnsi="宋体"/>
        </w:rPr>
        <w:t>（</w:t>
      </w:r>
      <w:r>
        <w:t>4</w:t>
      </w:r>
      <w:r>
        <w:rPr>
          <w:rFonts w:hint="eastAsia" w:ascii="宋体" w:hAnsi="宋体"/>
        </w:rPr>
        <w:t>）确保界区外道路及公用工程管线引入顺畅、便捷。</w:t>
      </w:r>
    </w:p>
    <w:p w14:paraId="09070214">
      <w:pPr>
        <w:pStyle w:val="281"/>
        <w:ind w:firstLine="480"/>
      </w:pPr>
      <w:r>
        <w:rPr>
          <w:rFonts w:hint="eastAsia" w:ascii="宋体" w:hAnsi="宋体"/>
        </w:rPr>
        <w:t>（</w:t>
      </w:r>
      <w:r>
        <w:t>5</w:t>
      </w:r>
      <w:r>
        <w:rPr>
          <w:rFonts w:hint="eastAsia" w:ascii="宋体" w:hAnsi="宋体"/>
        </w:rPr>
        <w:t>）总图布置充分考虑规划厂址的风向因素。</w:t>
      </w:r>
    </w:p>
    <w:p w14:paraId="6CE7767B">
      <w:pPr>
        <w:pStyle w:val="281"/>
        <w:ind w:firstLine="480"/>
      </w:pPr>
      <w:r>
        <w:rPr>
          <w:rFonts w:hint="eastAsia" w:ascii="宋体" w:hAnsi="宋体"/>
        </w:rPr>
        <w:t>（</w:t>
      </w:r>
      <w:r>
        <w:t>6</w:t>
      </w:r>
      <w:r>
        <w:rPr>
          <w:rFonts w:hint="eastAsia" w:ascii="宋体" w:hAnsi="宋体"/>
        </w:rPr>
        <w:t>）厂区道路和场地的布置充分考虑装置的施工、设备安装、检修及消防通道。</w:t>
      </w:r>
    </w:p>
    <w:p w14:paraId="06B935E3">
      <w:pPr>
        <w:pStyle w:val="281"/>
        <w:ind w:firstLine="480"/>
      </w:pPr>
      <w:r>
        <w:rPr>
          <w:rFonts w:hint="eastAsia" w:ascii="宋体" w:hAnsi="宋体"/>
        </w:rPr>
        <w:t>（</w:t>
      </w:r>
      <w:r>
        <w:t>7</w:t>
      </w:r>
      <w:r>
        <w:rPr>
          <w:rFonts w:hint="eastAsia" w:ascii="宋体" w:hAnsi="宋体"/>
        </w:rPr>
        <w:t>）切实注重安全和环保要求，建设密度和建筑系数科学合理，建（构）筑物的间距符合防火、卫生规范及各种安全生产规定的要求。</w:t>
      </w:r>
    </w:p>
    <w:p w14:paraId="0A54F9D8">
      <w:pPr>
        <w:pStyle w:val="281"/>
        <w:ind w:firstLine="480"/>
      </w:pPr>
      <w:r>
        <w:rPr>
          <w:rFonts w:hint="eastAsia" w:ascii="宋体" w:hAnsi="宋体"/>
        </w:rPr>
        <w:t>项目平面布置是在满足生产工艺要求的前提下，结合场地实际情况，根据运输、消防、安全、卫生、绿化、道路、地上地下管线、节约用地、施工等方面的要求，考虑到生产工段、辅助生产设施及生产管理和生活设施各自的功能和相互协作，充分利用有限场地力求紧凑合理，进而达到节省投资，有利生产、方便管理的目的。项目厂区总体布局功能分区明确，有利于组织生产和对外联系。</w:t>
      </w:r>
    </w:p>
    <w:p w14:paraId="790185AB">
      <w:pPr>
        <w:pStyle w:val="281"/>
        <w:ind w:firstLine="480"/>
      </w:pPr>
      <w:r>
        <w:rPr>
          <w:rFonts w:hint="eastAsia" w:ascii="宋体" w:hAnsi="宋体"/>
        </w:rPr>
        <w:t>从厂区总体布置来看，生产设施集中布置，主要生产区均布置于厂区中央，这样可以有效降低生产过程对厂界周围的环境影响，从平面布置来看，本项目总图设计较为合理。</w:t>
      </w:r>
    </w:p>
    <w:p w14:paraId="4A71E5C9">
      <w:pPr>
        <w:pStyle w:val="3"/>
        <w:rPr>
          <w:rFonts w:hint="eastAsia"/>
        </w:rPr>
      </w:pPr>
      <w:bookmarkStart w:id="552" w:name="_Toc829"/>
      <w:r>
        <w:t>小结</w:t>
      </w:r>
      <w:bookmarkEnd w:id="552"/>
    </w:p>
    <w:p w14:paraId="0E8922D2">
      <w:pPr>
        <w:pStyle w:val="104"/>
        <w:ind w:firstLine="512"/>
        <w:rPr>
          <w:rFonts w:hint="eastAsia" w:ascii="Times New Roman"/>
        </w:rPr>
      </w:pPr>
      <w:r>
        <w:rPr>
          <w:rFonts w:ascii="Times New Roman"/>
        </w:rPr>
        <w:t>评价区无国家及省级确定的风景、历史遗迹等保护区，区域内也无特殊自然观赏价值较高的景观，项目厂址尽管处于戈壁荒滩上，但不属于土地荒漠化地区。通过以上分析，项目厂址未选择在环境敏感区域。</w:t>
      </w:r>
    </w:p>
    <w:p w14:paraId="3E097AC0">
      <w:pPr>
        <w:pStyle w:val="281"/>
        <w:ind w:firstLine="480"/>
        <w:sectPr>
          <w:pgSz w:w="11906" w:h="16838"/>
          <w:pgMar w:top="1440" w:right="1800" w:bottom="1440" w:left="1800" w:header="851" w:footer="850" w:gutter="0"/>
          <w:cols w:space="425" w:num="1"/>
          <w:docGrid w:type="lines" w:linePitch="326" w:charSpace="0"/>
        </w:sectPr>
      </w:pPr>
      <w:r>
        <w:t>综上所述，建设项目符合国家及地方的产业政策和发展规划，选址符合所在工业园区的发展规划</w:t>
      </w:r>
      <w:r>
        <w:rPr>
          <w:rFonts w:hint="eastAsia"/>
        </w:rPr>
        <w:t>，</w:t>
      </w:r>
      <w:r>
        <w:t>根据环评预测</w:t>
      </w:r>
      <w:r>
        <w:rPr>
          <w:rFonts w:hint="eastAsia"/>
        </w:rPr>
        <w:t>结果显示，</w:t>
      </w:r>
      <w:r>
        <w:t>正常生产对环境的影响不大，风险影响范围小，厂址未选择在环境敏感区域，厂址选择总体评价是合理的。</w:t>
      </w:r>
    </w:p>
    <w:p w14:paraId="0CB6F4E4">
      <w:pPr>
        <w:pStyle w:val="1012"/>
      </w:pPr>
      <w:bookmarkStart w:id="553" w:name="_Toc26616"/>
      <w:r>
        <w:t>环境经济损益分析</w:t>
      </w:r>
      <w:bookmarkEnd w:id="553"/>
    </w:p>
    <w:p w14:paraId="61DD79D6">
      <w:pPr>
        <w:pStyle w:val="91"/>
        <w:spacing w:line="360" w:lineRule="auto"/>
        <w:ind w:firstLine="480"/>
        <w:rPr>
          <w:rFonts w:hint="eastAsia"/>
          <w:sz w:val="24"/>
        </w:rPr>
      </w:pPr>
      <w:r>
        <w:rPr>
          <w:sz w:val="24"/>
        </w:rPr>
        <w:t>环境经济损益分析是分析评价项目实施过程中</w:t>
      </w:r>
      <w:r>
        <w:rPr>
          <w:rFonts w:hint="eastAsia"/>
          <w:sz w:val="24"/>
        </w:rPr>
        <w:t>环境</w:t>
      </w:r>
      <w:r>
        <w:rPr>
          <w:sz w:val="24"/>
        </w:rPr>
        <w:t>治理措施的可行性、实用性、合理性和有效性，通过环境损益分析，为企业在建设过程中算好环境保护投入的经济收益帐，为整体的环境管理服务，为项目建设提供最佳决策，为实现社会、经济、环境“三统一”提供科学依据。</w:t>
      </w:r>
    </w:p>
    <w:p w14:paraId="0897EAA0">
      <w:pPr>
        <w:pStyle w:val="91"/>
        <w:spacing w:line="360" w:lineRule="auto"/>
        <w:ind w:firstLine="480"/>
        <w:rPr>
          <w:rFonts w:hint="eastAsia"/>
          <w:sz w:val="24"/>
        </w:rPr>
      </w:pPr>
      <w:r>
        <w:rPr>
          <w:sz w:val="24"/>
        </w:rPr>
        <w:t>环境影响经济损益分析是针对项目的性质和当地的具体情况，确定环境影响因子，从而对项目环境影响范围内的环境影响总体作出经济评价。根据理论发展和多年的实际经验，任何工程都不可能对全部环境影响因子作出经济评价，因此环境影响经济损益分析的重点，是对工程的主要环境影响因子作出投资费用和经济损益的评价，即项目的环境保护措施投资估算(即费用)和经济效益、环境效益和社会效益(即效益)以及项目环境影响的费用-效益总体分析评价。</w:t>
      </w:r>
    </w:p>
    <w:p w14:paraId="4710B479">
      <w:pPr>
        <w:pStyle w:val="3"/>
        <w:rPr>
          <w:rFonts w:hint="eastAsia"/>
        </w:rPr>
      </w:pPr>
      <w:bookmarkStart w:id="554" w:name="_Toc20226"/>
      <w:r>
        <w:t>环保设施内容及投资估算</w:t>
      </w:r>
      <w:bookmarkEnd w:id="554"/>
    </w:p>
    <w:p w14:paraId="66E85035">
      <w:pPr>
        <w:pStyle w:val="104"/>
        <w:ind w:firstLine="512"/>
        <w:rPr>
          <w:rFonts w:hint="eastAsia" w:ascii="Times New Roman"/>
        </w:rPr>
      </w:pPr>
      <w:r>
        <w:rPr>
          <w:rFonts w:ascii="Times New Roman"/>
        </w:rPr>
        <w:t>依据《建设项目环境保护设计规定》中的有关内容，环保设施划分的基本原则是，凡属于污染治理环境保护所需的设施、装置和工程设施，属生产工艺需要又为环境保护服务的设施，为保证生产有良好环境所采取的防尘、绿化设施均属环保设施。环保投资主要是防治污染、美化环境的资金投入。</w:t>
      </w:r>
    </w:p>
    <w:p w14:paraId="795A01AE">
      <w:pPr>
        <w:pStyle w:val="281"/>
        <w:ind w:firstLine="480"/>
        <w:rPr>
          <w:highlight w:val="yellow"/>
        </w:rPr>
      </w:pPr>
      <w:bookmarkStart w:id="555" w:name="_Hlk179671638"/>
      <w:r>
        <w:t>本项目总投资为</w:t>
      </w:r>
      <w:r>
        <w:rPr>
          <w:rFonts w:hint="eastAsia"/>
        </w:rPr>
        <w:t>616781.88</w:t>
      </w:r>
      <w:r>
        <w:t>万元，</w:t>
      </w:r>
      <w:r>
        <w:rPr>
          <w:rFonts w:hint="eastAsia"/>
        </w:rPr>
        <w:t>环保</w:t>
      </w:r>
      <w:r>
        <w:t>投资</w:t>
      </w:r>
      <w:r>
        <w:rPr>
          <w:rFonts w:hint="eastAsia"/>
        </w:rPr>
        <w:t>35918万元</w:t>
      </w:r>
      <w:r>
        <w:t>，占项目总投资的</w:t>
      </w:r>
      <w:r>
        <w:rPr>
          <w:rFonts w:hint="eastAsia"/>
        </w:rPr>
        <w:t>5.82</w:t>
      </w:r>
      <w:r>
        <w:t>%。</w:t>
      </w:r>
    </w:p>
    <w:p w14:paraId="0CFF56CB">
      <w:pPr>
        <w:pStyle w:val="104"/>
        <w:ind w:firstLine="512"/>
        <w:rPr>
          <w:rFonts w:hint="eastAsia"/>
        </w:rPr>
      </w:pPr>
      <w:r>
        <w:rPr>
          <w:rFonts w:ascii="Times New Roman"/>
        </w:rPr>
        <w:t>项目主要环保设施见表9.1-1。</w:t>
      </w:r>
    </w:p>
    <w:p w14:paraId="3AB1507C">
      <w:pPr>
        <w:pStyle w:val="645"/>
        <w:rPr>
          <w:rFonts w:hint="eastAsia"/>
        </w:rPr>
      </w:pPr>
      <w:r>
        <w:t>表</w:t>
      </w:r>
      <w:r>
        <w:rPr>
          <w:rFonts w:hint="eastAsia"/>
        </w:rPr>
        <w:t>9</w:t>
      </w:r>
      <w:r>
        <w:t>.1-1   环保设施投资情况一览表</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725"/>
        <w:gridCol w:w="1172"/>
        <w:gridCol w:w="2267"/>
        <w:gridCol w:w="2955"/>
        <w:gridCol w:w="878"/>
      </w:tblGrid>
      <w:tr w14:paraId="21B8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3F697B5D">
            <w:pPr>
              <w:pStyle w:val="557"/>
            </w:pPr>
            <w:r>
              <w:rPr>
                <w:rFonts w:hint="eastAsia"/>
              </w:rPr>
              <w:t>序号</w:t>
            </w:r>
          </w:p>
        </w:tc>
        <w:tc>
          <w:tcPr>
            <w:tcW w:w="426" w:type="pct"/>
            <w:vAlign w:val="center"/>
          </w:tcPr>
          <w:p w14:paraId="4CAE8237">
            <w:pPr>
              <w:pStyle w:val="557"/>
            </w:pPr>
            <w:r>
              <w:rPr>
                <w:rFonts w:hint="eastAsia"/>
              </w:rPr>
              <w:t>类别</w:t>
            </w:r>
          </w:p>
        </w:tc>
        <w:tc>
          <w:tcPr>
            <w:tcW w:w="3759" w:type="pct"/>
            <w:gridSpan w:val="3"/>
            <w:vAlign w:val="center"/>
          </w:tcPr>
          <w:p w14:paraId="5DC6533E">
            <w:pPr>
              <w:pStyle w:val="557"/>
            </w:pPr>
            <w:r>
              <w:rPr>
                <w:rFonts w:hint="eastAsia"/>
              </w:rPr>
              <w:t>措施名称</w:t>
            </w:r>
          </w:p>
        </w:tc>
        <w:tc>
          <w:tcPr>
            <w:tcW w:w="516" w:type="pct"/>
            <w:vAlign w:val="center"/>
          </w:tcPr>
          <w:p w14:paraId="1C745482">
            <w:pPr>
              <w:pStyle w:val="557"/>
            </w:pPr>
            <w:r>
              <w:rPr>
                <w:rFonts w:hint="eastAsia"/>
              </w:rPr>
              <w:t>投资</w:t>
            </w:r>
          </w:p>
          <w:p w14:paraId="35DAB0AE">
            <w:pPr>
              <w:pStyle w:val="557"/>
            </w:pPr>
            <w:r>
              <w:rPr>
                <w:rFonts w:hint="eastAsia"/>
              </w:rPr>
              <w:t>万元</w:t>
            </w:r>
          </w:p>
        </w:tc>
      </w:tr>
      <w:tr w14:paraId="1C6B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restart"/>
            <w:vAlign w:val="center"/>
          </w:tcPr>
          <w:p w14:paraId="4B589527">
            <w:pPr>
              <w:pStyle w:val="557"/>
            </w:pPr>
            <w:r>
              <w:t>1</w:t>
            </w:r>
          </w:p>
        </w:tc>
        <w:tc>
          <w:tcPr>
            <w:tcW w:w="426" w:type="pct"/>
            <w:vMerge w:val="restart"/>
            <w:vAlign w:val="center"/>
          </w:tcPr>
          <w:p w14:paraId="205EE3A5">
            <w:pPr>
              <w:pStyle w:val="557"/>
            </w:pPr>
            <w:r>
              <w:rPr>
                <w:rFonts w:hint="eastAsia"/>
              </w:rPr>
              <w:t>环境空气保护措施</w:t>
            </w:r>
          </w:p>
        </w:tc>
        <w:tc>
          <w:tcPr>
            <w:tcW w:w="689" w:type="pct"/>
            <w:vMerge w:val="restart"/>
            <w:vAlign w:val="center"/>
          </w:tcPr>
          <w:p w14:paraId="734FE8AF">
            <w:pPr>
              <w:pStyle w:val="557"/>
            </w:pPr>
            <w:r>
              <w:rPr>
                <w:rFonts w:hint="eastAsia"/>
              </w:rPr>
              <w:t>气化装置</w:t>
            </w:r>
          </w:p>
        </w:tc>
        <w:tc>
          <w:tcPr>
            <w:tcW w:w="1333" w:type="pct"/>
            <w:vAlign w:val="center"/>
          </w:tcPr>
          <w:p w14:paraId="5B9E872C">
            <w:pPr>
              <w:pStyle w:val="557"/>
            </w:pPr>
            <w:r>
              <w:rPr>
                <w:rFonts w:hint="eastAsia"/>
              </w:rPr>
              <w:t>原料煤仓废气</w:t>
            </w:r>
          </w:p>
        </w:tc>
        <w:tc>
          <w:tcPr>
            <w:tcW w:w="1737" w:type="pct"/>
            <w:vAlign w:val="center"/>
          </w:tcPr>
          <w:p w14:paraId="6BB477BA">
            <w:pPr>
              <w:pStyle w:val="557"/>
            </w:pPr>
            <w:r>
              <w:rPr>
                <w:rFonts w:hint="eastAsia"/>
              </w:rPr>
              <w:t>袋式除尘器</w:t>
            </w:r>
            <w:r>
              <w:t>+</w:t>
            </w:r>
            <w:r>
              <w:rPr>
                <w:rFonts w:hint="eastAsia"/>
              </w:rPr>
              <w:t>55</w:t>
            </w:r>
            <w:r>
              <w:t>m排</w:t>
            </w:r>
            <w:r>
              <w:rPr>
                <w:rFonts w:hint="eastAsia"/>
              </w:rPr>
              <w:t>气筒</w:t>
            </w:r>
          </w:p>
        </w:tc>
        <w:tc>
          <w:tcPr>
            <w:tcW w:w="516" w:type="pct"/>
            <w:vAlign w:val="center"/>
          </w:tcPr>
          <w:p w14:paraId="0562051F">
            <w:pPr>
              <w:pStyle w:val="557"/>
            </w:pPr>
            <w:r>
              <w:rPr>
                <w:rFonts w:hint="eastAsia"/>
              </w:rPr>
              <w:t>40</w:t>
            </w:r>
          </w:p>
        </w:tc>
      </w:tr>
      <w:tr w14:paraId="756A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57E1F5AC">
            <w:pPr>
              <w:pStyle w:val="557"/>
            </w:pPr>
          </w:p>
        </w:tc>
        <w:tc>
          <w:tcPr>
            <w:tcW w:w="426" w:type="pct"/>
            <w:vMerge w:val="continue"/>
            <w:vAlign w:val="center"/>
          </w:tcPr>
          <w:p w14:paraId="129ABAA7">
            <w:pPr>
              <w:pStyle w:val="557"/>
            </w:pPr>
          </w:p>
        </w:tc>
        <w:tc>
          <w:tcPr>
            <w:tcW w:w="689" w:type="pct"/>
            <w:vMerge w:val="continue"/>
            <w:vAlign w:val="center"/>
          </w:tcPr>
          <w:p w14:paraId="54F7531C">
            <w:pPr>
              <w:pStyle w:val="557"/>
            </w:pPr>
          </w:p>
        </w:tc>
        <w:tc>
          <w:tcPr>
            <w:tcW w:w="1333" w:type="pct"/>
            <w:vAlign w:val="center"/>
          </w:tcPr>
          <w:p w14:paraId="2F3C4D16">
            <w:pPr>
              <w:pStyle w:val="557"/>
            </w:pPr>
            <w:r>
              <w:rPr>
                <w:rFonts w:hint="eastAsia"/>
              </w:rPr>
              <w:t>磨煤干燥</w:t>
            </w:r>
            <w:r>
              <w:t>废气</w:t>
            </w:r>
          </w:p>
        </w:tc>
        <w:tc>
          <w:tcPr>
            <w:tcW w:w="1737" w:type="pct"/>
            <w:vAlign w:val="center"/>
          </w:tcPr>
          <w:p w14:paraId="37661EC2">
            <w:pPr>
              <w:pStyle w:val="557"/>
            </w:pPr>
            <w:r>
              <w:rPr>
                <w:rFonts w:hint="eastAsia"/>
              </w:rPr>
              <w:t>低氮燃烧</w:t>
            </w:r>
            <w:r>
              <w:t>+</w:t>
            </w:r>
            <w:r>
              <w:rPr>
                <w:rFonts w:hint="eastAsia"/>
              </w:rPr>
              <w:t>布袋除尘</w:t>
            </w:r>
            <w:r>
              <w:t>器+95m排</w:t>
            </w:r>
            <w:r>
              <w:rPr>
                <w:rFonts w:hint="eastAsia"/>
              </w:rPr>
              <w:t>气筒</w:t>
            </w:r>
          </w:p>
        </w:tc>
        <w:tc>
          <w:tcPr>
            <w:tcW w:w="516" w:type="pct"/>
            <w:vAlign w:val="center"/>
          </w:tcPr>
          <w:p w14:paraId="63B6C32E">
            <w:pPr>
              <w:pStyle w:val="557"/>
            </w:pPr>
            <w:r>
              <w:rPr>
                <w:rFonts w:hint="eastAsia"/>
              </w:rPr>
              <w:t>200</w:t>
            </w:r>
          </w:p>
        </w:tc>
      </w:tr>
      <w:tr w14:paraId="61BB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1584ED8F">
            <w:pPr>
              <w:pStyle w:val="557"/>
            </w:pPr>
          </w:p>
        </w:tc>
        <w:tc>
          <w:tcPr>
            <w:tcW w:w="426" w:type="pct"/>
            <w:vMerge w:val="continue"/>
            <w:vAlign w:val="center"/>
          </w:tcPr>
          <w:p w14:paraId="279A564D">
            <w:pPr>
              <w:pStyle w:val="557"/>
            </w:pPr>
          </w:p>
        </w:tc>
        <w:tc>
          <w:tcPr>
            <w:tcW w:w="689" w:type="pct"/>
            <w:vMerge w:val="continue"/>
            <w:vAlign w:val="center"/>
          </w:tcPr>
          <w:p w14:paraId="66ED8929">
            <w:pPr>
              <w:pStyle w:val="557"/>
            </w:pPr>
          </w:p>
        </w:tc>
        <w:tc>
          <w:tcPr>
            <w:tcW w:w="1333" w:type="pct"/>
            <w:vAlign w:val="center"/>
          </w:tcPr>
          <w:p w14:paraId="41B3C4C8">
            <w:pPr>
              <w:pStyle w:val="557"/>
            </w:pPr>
            <w:r>
              <w:rPr>
                <w:rFonts w:hint="eastAsia"/>
              </w:rPr>
              <w:t>粉煤锁斗排气</w:t>
            </w:r>
          </w:p>
        </w:tc>
        <w:tc>
          <w:tcPr>
            <w:tcW w:w="1737" w:type="pct"/>
            <w:vAlign w:val="center"/>
          </w:tcPr>
          <w:p w14:paraId="28911329">
            <w:pPr>
              <w:pStyle w:val="557"/>
            </w:pPr>
            <w:r>
              <w:rPr>
                <w:rFonts w:hint="eastAsia"/>
              </w:rPr>
              <w:t>袋式除尘器</w:t>
            </w:r>
            <w:r>
              <w:t>+</w:t>
            </w:r>
            <w:r>
              <w:rPr>
                <w:rFonts w:hint="eastAsia"/>
              </w:rPr>
              <w:t>95</w:t>
            </w:r>
            <w:r>
              <w:t>m排</w:t>
            </w:r>
            <w:r>
              <w:rPr>
                <w:rFonts w:hint="eastAsia"/>
              </w:rPr>
              <w:t>气筒</w:t>
            </w:r>
          </w:p>
        </w:tc>
        <w:tc>
          <w:tcPr>
            <w:tcW w:w="516" w:type="pct"/>
            <w:vAlign w:val="center"/>
          </w:tcPr>
          <w:p w14:paraId="6098D1F3">
            <w:pPr>
              <w:pStyle w:val="557"/>
            </w:pPr>
            <w:r>
              <w:rPr>
                <w:rFonts w:hint="eastAsia"/>
              </w:rPr>
              <w:t>60</w:t>
            </w:r>
          </w:p>
        </w:tc>
      </w:tr>
      <w:tr w14:paraId="35E5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6A238659">
            <w:pPr>
              <w:pStyle w:val="557"/>
            </w:pPr>
          </w:p>
        </w:tc>
        <w:tc>
          <w:tcPr>
            <w:tcW w:w="426" w:type="pct"/>
            <w:vMerge w:val="continue"/>
            <w:vAlign w:val="center"/>
          </w:tcPr>
          <w:p w14:paraId="6FE5E2BD">
            <w:pPr>
              <w:pStyle w:val="557"/>
            </w:pPr>
          </w:p>
        </w:tc>
        <w:tc>
          <w:tcPr>
            <w:tcW w:w="689" w:type="pct"/>
            <w:vMerge w:val="continue"/>
            <w:vAlign w:val="center"/>
          </w:tcPr>
          <w:p w14:paraId="613867C4">
            <w:pPr>
              <w:pStyle w:val="557"/>
            </w:pPr>
          </w:p>
        </w:tc>
        <w:tc>
          <w:tcPr>
            <w:tcW w:w="1333" w:type="pct"/>
            <w:vAlign w:val="center"/>
          </w:tcPr>
          <w:p w14:paraId="4BF1B4D3">
            <w:pPr>
              <w:pStyle w:val="557"/>
            </w:pPr>
            <w:r>
              <w:rPr>
                <w:rFonts w:hint="eastAsia"/>
              </w:rPr>
              <w:t>真空泵排气</w:t>
            </w:r>
          </w:p>
        </w:tc>
        <w:tc>
          <w:tcPr>
            <w:tcW w:w="1737" w:type="pct"/>
            <w:vAlign w:val="center"/>
          </w:tcPr>
          <w:p w14:paraId="12B2EEB4">
            <w:pPr>
              <w:pStyle w:val="557"/>
            </w:pPr>
            <w:r>
              <w:rPr>
                <w:rFonts w:hint="eastAsia"/>
              </w:rPr>
              <w:t>28</w:t>
            </w:r>
            <w:r>
              <w:t>m排</w:t>
            </w:r>
            <w:r>
              <w:rPr>
                <w:rFonts w:hint="eastAsia"/>
              </w:rPr>
              <w:t>气筒</w:t>
            </w:r>
          </w:p>
        </w:tc>
        <w:tc>
          <w:tcPr>
            <w:tcW w:w="516" w:type="pct"/>
            <w:vAlign w:val="center"/>
          </w:tcPr>
          <w:p w14:paraId="757C2004">
            <w:pPr>
              <w:pStyle w:val="557"/>
            </w:pPr>
            <w:r>
              <w:rPr>
                <w:rFonts w:hint="eastAsia"/>
              </w:rPr>
              <w:t>5</w:t>
            </w:r>
          </w:p>
        </w:tc>
      </w:tr>
      <w:tr w14:paraId="71EB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35381B56">
            <w:pPr>
              <w:pStyle w:val="557"/>
            </w:pPr>
          </w:p>
        </w:tc>
        <w:tc>
          <w:tcPr>
            <w:tcW w:w="426" w:type="pct"/>
            <w:vMerge w:val="continue"/>
            <w:vAlign w:val="center"/>
          </w:tcPr>
          <w:p w14:paraId="447D723B">
            <w:pPr>
              <w:pStyle w:val="557"/>
            </w:pPr>
          </w:p>
        </w:tc>
        <w:tc>
          <w:tcPr>
            <w:tcW w:w="689" w:type="pct"/>
            <w:vMerge w:val="restart"/>
            <w:vAlign w:val="center"/>
          </w:tcPr>
          <w:p w14:paraId="1B941FEC">
            <w:pPr>
              <w:pStyle w:val="557"/>
              <w:rPr>
                <w:color w:val="FF0000"/>
              </w:rPr>
            </w:pPr>
            <w:r>
              <w:rPr>
                <w:rFonts w:hint="eastAsia"/>
                <w:szCs w:val="22"/>
              </w:rPr>
              <w:t>净化及分离装置</w:t>
            </w:r>
          </w:p>
        </w:tc>
        <w:tc>
          <w:tcPr>
            <w:tcW w:w="1333" w:type="pct"/>
            <w:vAlign w:val="center"/>
          </w:tcPr>
          <w:p w14:paraId="1C995616">
            <w:pPr>
              <w:pStyle w:val="557"/>
            </w:pPr>
            <w:r>
              <w:t>低温甲醇洗洗涤塔尾气</w:t>
            </w:r>
          </w:p>
        </w:tc>
        <w:tc>
          <w:tcPr>
            <w:tcW w:w="1737" w:type="pct"/>
            <w:vAlign w:val="center"/>
          </w:tcPr>
          <w:p w14:paraId="41884A0E">
            <w:pPr>
              <w:pStyle w:val="557"/>
            </w:pPr>
            <w:r>
              <w:rPr>
                <w:rFonts w:hint="eastAsia"/>
              </w:rPr>
              <w:t>水洗净化+95</w:t>
            </w:r>
            <w:r>
              <w:t>m排</w:t>
            </w:r>
            <w:r>
              <w:rPr>
                <w:rFonts w:hint="eastAsia"/>
              </w:rPr>
              <w:t>气筒</w:t>
            </w:r>
          </w:p>
        </w:tc>
        <w:tc>
          <w:tcPr>
            <w:tcW w:w="516" w:type="pct"/>
            <w:vAlign w:val="center"/>
          </w:tcPr>
          <w:p w14:paraId="248DE08A">
            <w:pPr>
              <w:pStyle w:val="557"/>
            </w:pPr>
            <w:r>
              <w:rPr>
                <w:rFonts w:hint="eastAsia"/>
              </w:rPr>
              <w:t>200</w:t>
            </w:r>
          </w:p>
        </w:tc>
      </w:tr>
      <w:tr w14:paraId="085A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1D8D103">
            <w:pPr>
              <w:pStyle w:val="557"/>
            </w:pPr>
          </w:p>
        </w:tc>
        <w:tc>
          <w:tcPr>
            <w:tcW w:w="426" w:type="pct"/>
            <w:vMerge w:val="continue"/>
            <w:vAlign w:val="center"/>
          </w:tcPr>
          <w:p w14:paraId="75D71BA8">
            <w:pPr>
              <w:pStyle w:val="557"/>
            </w:pPr>
          </w:p>
        </w:tc>
        <w:tc>
          <w:tcPr>
            <w:tcW w:w="689" w:type="pct"/>
            <w:vMerge w:val="continue"/>
            <w:vAlign w:val="center"/>
          </w:tcPr>
          <w:p w14:paraId="584CE562">
            <w:pPr>
              <w:pStyle w:val="557"/>
              <w:rPr>
                <w:color w:val="FF0000"/>
              </w:rPr>
            </w:pPr>
          </w:p>
        </w:tc>
        <w:tc>
          <w:tcPr>
            <w:tcW w:w="1333" w:type="pct"/>
            <w:vAlign w:val="center"/>
          </w:tcPr>
          <w:p w14:paraId="1908B9FE">
            <w:pPr>
              <w:pStyle w:val="557"/>
              <w:rPr>
                <w:color w:val="FF0000"/>
              </w:rPr>
            </w:pPr>
            <w:r>
              <w:t>硫回收单元-制酸尾气</w:t>
            </w:r>
          </w:p>
        </w:tc>
        <w:tc>
          <w:tcPr>
            <w:tcW w:w="1737" w:type="pct"/>
            <w:vAlign w:val="center"/>
          </w:tcPr>
          <w:p w14:paraId="7ED4137F">
            <w:pPr>
              <w:pStyle w:val="557"/>
            </w:pPr>
            <w:r>
              <w:rPr>
                <w:rFonts w:eastAsia="等线"/>
              </w:rPr>
              <w:t>SCR+</w:t>
            </w:r>
            <w:r>
              <w:rPr>
                <w:rFonts w:hint="eastAsia"/>
              </w:rPr>
              <w:t>酸雾捕集器</w:t>
            </w:r>
            <w:r>
              <w:rPr>
                <w:rFonts w:eastAsia="等线"/>
              </w:rPr>
              <w:t>+</w:t>
            </w:r>
            <w:r>
              <w:rPr>
                <w:rFonts w:hint="eastAsia"/>
              </w:rPr>
              <w:t>水洗</w:t>
            </w:r>
            <w:r>
              <w:rPr>
                <w:rFonts w:eastAsia="等线"/>
              </w:rPr>
              <w:t>+</w:t>
            </w:r>
            <w:r>
              <w:rPr>
                <w:rFonts w:hint="eastAsia"/>
              </w:rPr>
              <w:t>氨洗+46</w:t>
            </w:r>
            <w:r>
              <w:t>m排</w:t>
            </w:r>
            <w:r>
              <w:rPr>
                <w:rFonts w:hint="eastAsia"/>
              </w:rPr>
              <w:t>气筒</w:t>
            </w:r>
          </w:p>
        </w:tc>
        <w:tc>
          <w:tcPr>
            <w:tcW w:w="516" w:type="pct"/>
            <w:vAlign w:val="center"/>
          </w:tcPr>
          <w:p w14:paraId="28FCE141">
            <w:pPr>
              <w:pStyle w:val="557"/>
            </w:pPr>
            <w:r>
              <w:rPr>
                <w:rFonts w:hint="eastAsia"/>
              </w:rPr>
              <w:t>200</w:t>
            </w:r>
          </w:p>
        </w:tc>
      </w:tr>
      <w:tr w14:paraId="4BAA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A55CF9D">
            <w:pPr>
              <w:pStyle w:val="557"/>
            </w:pPr>
          </w:p>
        </w:tc>
        <w:tc>
          <w:tcPr>
            <w:tcW w:w="426" w:type="pct"/>
            <w:vMerge w:val="continue"/>
            <w:vAlign w:val="center"/>
          </w:tcPr>
          <w:p w14:paraId="190A6413">
            <w:pPr>
              <w:pStyle w:val="557"/>
            </w:pPr>
          </w:p>
        </w:tc>
        <w:tc>
          <w:tcPr>
            <w:tcW w:w="689" w:type="pct"/>
            <w:vAlign w:val="center"/>
          </w:tcPr>
          <w:p w14:paraId="3EADDC8F">
            <w:pPr>
              <w:pStyle w:val="557"/>
            </w:pPr>
            <w:r>
              <w:rPr>
                <w:rFonts w:hint="eastAsia"/>
              </w:rPr>
              <w:t>草酰胺装置</w:t>
            </w:r>
          </w:p>
        </w:tc>
        <w:tc>
          <w:tcPr>
            <w:tcW w:w="1333" w:type="pct"/>
            <w:vAlign w:val="center"/>
          </w:tcPr>
          <w:p w14:paraId="2EF32182">
            <w:pPr>
              <w:pStyle w:val="557"/>
            </w:pPr>
            <w:r>
              <w:rPr>
                <w:rFonts w:hint="eastAsia"/>
              </w:rPr>
              <w:t>草酰胺装置尾气吸收</w:t>
            </w:r>
          </w:p>
          <w:p w14:paraId="40593D9C">
            <w:pPr>
              <w:pStyle w:val="557"/>
            </w:pPr>
            <w:r>
              <w:rPr>
                <w:rFonts w:hint="eastAsia"/>
              </w:rPr>
              <w:t>塔顶排气</w:t>
            </w:r>
          </w:p>
        </w:tc>
        <w:tc>
          <w:tcPr>
            <w:tcW w:w="1737" w:type="pct"/>
            <w:vAlign w:val="center"/>
          </w:tcPr>
          <w:p w14:paraId="3A9D6B27">
            <w:pPr>
              <w:pStyle w:val="557"/>
            </w:pPr>
            <w:r>
              <w:rPr>
                <w:rFonts w:hint="eastAsia"/>
              </w:rPr>
              <w:t>水洗塔+25</w:t>
            </w:r>
            <w:r>
              <w:t>m排</w:t>
            </w:r>
            <w:r>
              <w:rPr>
                <w:rFonts w:hint="eastAsia"/>
              </w:rPr>
              <w:t>气筒</w:t>
            </w:r>
          </w:p>
        </w:tc>
        <w:tc>
          <w:tcPr>
            <w:tcW w:w="516" w:type="pct"/>
            <w:vAlign w:val="center"/>
          </w:tcPr>
          <w:p w14:paraId="44249D12">
            <w:pPr>
              <w:pStyle w:val="557"/>
            </w:pPr>
            <w:r>
              <w:rPr>
                <w:rFonts w:hint="eastAsia"/>
              </w:rPr>
              <w:t>80</w:t>
            </w:r>
          </w:p>
        </w:tc>
      </w:tr>
      <w:tr w14:paraId="0BC8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6A5F79D7">
            <w:pPr>
              <w:pStyle w:val="557"/>
            </w:pPr>
          </w:p>
        </w:tc>
        <w:tc>
          <w:tcPr>
            <w:tcW w:w="426" w:type="pct"/>
            <w:vMerge w:val="continue"/>
            <w:vAlign w:val="center"/>
          </w:tcPr>
          <w:p w14:paraId="6BD21148">
            <w:pPr>
              <w:pStyle w:val="557"/>
            </w:pPr>
          </w:p>
        </w:tc>
        <w:tc>
          <w:tcPr>
            <w:tcW w:w="689" w:type="pct"/>
            <w:vMerge w:val="restart"/>
            <w:vAlign w:val="center"/>
          </w:tcPr>
          <w:p w14:paraId="74EDF1BC">
            <w:pPr>
              <w:pStyle w:val="557"/>
            </w:pPr>
            <w:r>
              <w:rPr>
                <w:rFonts w:hint="eastAsia"/>
              </w:rPr>
              <w:t>有机缓释肥装置</w:t>
            </w:r>
          </w:p>
        </w:tc>
        <w:tc>
          <w:tcPr>
            <w:tcW w:w="1333" w:type="pct"/>
            <w:vAlign w:val="center"/>
          </w:tcPr>
          <w:p w14:paraId="675FBFCB">
            <w:pPr>
              <w:pStyle w:val="557"/>
            </w:pPr>
            <w:r>
              <w:rPr>
                <w:rFonts w:hint="eastAsia"/>
              </w:rPr>
              <w:t>1#投料废气</w:t>
            </w:r>
          </w:p>
        </w:tc>
        <w:tc>
          <w:tcPr>
            <w:tcW w:w="1737" w:type="pct"/>
            <w:vAlign w:val="center"/>
          </w:tcPr>
          <w:p w14:paraId="5F4DAA62">
            <w:pPr>
              <w:pStyle w:val="557"/>
            </w:pPr>
            <w:r>
              <w:rPr>
                <w:rFonts w:hint="eastAsia"/>
              </w:rPr>
              <w:t>布袋除尘器+15</w:t>
            </w:r>
            <w:r>
              <w:t>m排</w:t>
            </w:r>
            <w:r>
              <w:rPr>
                <w:rFonts w:hint="eastAsia"/>
              </w:rPr>
              <w:t>气筒</w:t>
            </w:r>
          </w:p>
        </w:tc>
        <w:tc>
          <w:tcPr>
            <w:tcW w:w="516" w:type="pct"/>
            <w:vAlign w:val="center"/>
          </w:tcPr>
          <w:p w14:paraId="418E510F">
            <w:pPr>
              <w:pStyle w:val="557"/>
            </w:pPr>
            <w:r>
              <w:rPr>
                <w:rFonts w:hint="eastAsia"/>
              </w:rPr>
              <w:t>30</w:t>
            </w:r>
          </w:p>
        </w:tc>
      </w:tr>
      <w:tr w14:paraId="44AF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29303B66">
            <w:pPr>
              <w:pStyle w:val="557"/>
            </w:pPr>
          </w:p>
        </w:tc>
        <w:tc>
          <w:tcPr>
            <w:tcW w:w="426" w:type="pct"/>
            <w:vMerge w:val="continue"/>
            <w:vAlign w:val="center"/>
          </w:tcPr>
          <w:p w14:paraId="3A637C04">
            <w:pPr>
              <w:pStyle w:val="557"/>
            </w:pPr>
          </w:p>
        </w:tc>
        <w:tc>
          <w:tcPr>
            <w:tcW w:w="689" w:type="pct"/>
            <w:vMerge w:val="continue"/>
            <w:vAlign w:val="center"/>
          </w:tcPr>
          <w:p w14:paraId="159975A1">
            <w:pPr>
              <w:pStyle w:val="557"/>
              <w:rPr>
                <w:color w:val="FF0000"/>
              </w:rPr>
            </w:pPr>
          </w:p>
        </w:tc>
        <w:tc>
          <w:tcPr>
            <w:tcW w:w="1333" w:type="pct"/>
            <w:vAlign w:val="center"/>
          </w:tcPr>
          <w:p w14:paraId="3B42629A">
            <w:pPr>
              <w:pStyle w:val="557"/>
              <w:rPr>
                <w:color w:val="FF0000"/>
              </w:rPr>
            </w:pPr>
            <w:r>
              <w:rPr>
                <w:rFonts w:hint="eastAsia"/>
              </w:rPr>
              <w:t>2#投料废气</w:t>
            </w:r>
          </w:p>
        </w:tc>
        <w:tc>
          <w:tcPr>
            <w:tcW w:w="1737" w:type="pct"/>
            <w:vAlign w:val="center"/>
          </w:tcPr>
          <w:p w14:paraId="7CCD81DD">
            <w:pPr>
              <w:pStyle w:val="557"/>
              <w:rPr>
                <w:color w:val="FF0000"/>
              </w:rPr>
            </w:pPr>
            <w:r>
              <w:rPr>
                <w:rFonts w:hint="eastAsia"/>
              </w:rPr>
              <w:t>布袋除尘器+15</w:t>
            </w:r>
            <w:r>
              <w:t>m排</w:t>
            </w:r>
            <w:r>
              <w:rPr>
                <w:rFonts w:hint="eastAsia"/>
              </w:rPr>
              <w:t>气筒</w:t>
            </w:r>
          </w:p>
        </w:tc>
        <w:tc>
          <w:tcPr>
            <w:tcW w:w="516" w:type="pct"/>
            <w:vAlign w:val="center"/>
          </w:tcPr>
          <w:p w14:paraId="72FBE5E8">
            <w:pPr>
              <w:pStyle w:val="557"/>
              <w:rPr>
                <w:color w:val="FF0000"/>
              </w:rPr>
            </w:pPr>
            <w:r>
              <w:rPr>
                <w:rFonts w:hint="eastAsia"/>
              </w:rPr>
              <w:t>30</w:t>
            </w:r>
          </w:p>
        </w:tc>
      </w:tr>
      <w:tr w14:paraId="3DBF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2A670A74">
            <w:pPr>
              <w:pStyle w:val="557"/>
            </w:pPr>
          </w:p>
        </w:tc>
        <w:tc>
          <w:tcPr>
            <w:tcW w:w="426" w:type="pct"/>
            <w:vMerge w:val="continue"/>
            <w:vAlign w:val="center"/>
          </w:tcPr>
          <w:p w14:paraId="4E08DC68">
            <w:pPr>
              <w:pStyle w:val="557"/>
            </w:pPr>
          </w:p>
        </w:tc>
        <w:tc>
          <w:tcPr>
            <w:tcW w:w="689" w:type="pct"/>
            <w:vMerge w:val="continue"/>
            <w:vAlign w:val="center"/>
          </w:tcPr>
          <w:p w14:paraId="44FC5A92">
            <w:pPr>
              <w:pStyle w:val="557"/>
              <w:rPr>
                <w:color w:val="FF0000"/>
              </w:rPr>
            </w:pPr>
          </w:p>
        </w:tc>
        <w:tc>
          <w:tcPr>
            <w:tcW w:w="1333" w:type="pct"/>
            <w:vAlign w:val="center"/>
          </w:tcPr>
          <w:p w14:paraId="202B763F">
            <w:pPr>
              <w:pStyle w:val="557"/>
              <w:rPr>
                <w:color w:val="FF0000"/>
              </w:rPr>
            </w:pPr>
            <w:r>
              <w:rPr>
                <w:rFonts w:hint="eastAsia"/>
              </w:rPr>
              <w:t>1#-造粒废气、1#包装废气</w:t>
            </w:r>
          </w:p>
        </w:tc>
        <w:tc>
          <w:tcPr>
            <w:tcW w:w="1737" w:type="pct"/>
            <w:vAlign w:val="center"/>
          </w:tcPr>
          <w:p w14:paraId="3E64153F">
            <w:pPr>
              <w:pStyle w:val="557"/>
            </w:pPr>
            <w:r>
              <w:rPr>
                <w:rFonts w:hint="eastAsia"/>
              </w:rPr>
              <w:t>文丘里洗涤塔+酸洗+水洗+40</w:t>
            </w:r>
            <w:r>
              <w:t>m</w:t>
            </w:r>
          </w:p>
          <w:p w14:paraId="208FDADE">
            <w:pPr>
              <w:pStyle w:val="557"/>
            </w:pPr>
            <w:r>
              <w:t>排</w:t>
            </w:r>
            <w:r>
              <w:rPr>
                <w:rFonts w:hint="eastAsia"/>
              </w:rPr>
              <w:t>气筒</w:t>
            </w:r>
          </w:p>
        </w:tc>
        <w:tc>
          <w:tcPr>
            <w:tcW w:w="516" w:type="pct"/>
            <w:vAlign w:val="center"/>
          </w:tcPr>
          <w:p w14:paraId="49CC4D57">
            <w:pPr>
              <w:pStyle w:val="557"/>
            </w:pPr>
            <w:r>
              <w:rPr>
                <w:rFonts w:hint="eastAsia"/>
              </w:rPr>
              <w:t>200</w:t>
            </w:r>
          </w:p>
        </w:tc>
      </w:tr>
      <w:tr w14:paraId="5AAA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561A89D">
            <w:pPr>
              <w:pStyle w:val="557"/>
            </w:pPr>
          </w:p>
        </w:tc>
        <w:tc>
          <w:tcPr>
            <w:tcW w:w="426" w:type="pct"/>
            <w:vMerge w:val="continue"/>
            <w:vAlign w:val="center"/>
          </w:tcPr>
          <w:p w14:paraId="0E8E4D87">
            <w:pPr>
              <w:pStyle w:val="557"/>
            </w:pPr>
          </w:p>
        </w:tc>
        <w:tc>
          <w:tcPr>
            <w:tcW w:w="689" w:type="pct"/>
            <w:vMerge w:val="continue"/>
            <w:vAlign w:val="center"/>
          </w:tcPr>
          <w:p w14:paraId="0440FA41">
            <w:pPr>
              <w:pStyle w:val="557"/>
              <w:rPr>
                <w:color w:val="FF0000"/>
              </w:rPr>
            </w:pPr>
          </w:p>
        </w:tc>
        <w:tc>
          <w:tcPr>
            <w:tcW w:w="1333" w:type="pct"/>
            <w:vAlign w:val="center"/>
          </w:tcPr>
          <w:p w14:paraId="4BCD4AA8">
            <w:pPr>
              <w:pStyle w:val="557"/>
            </w:pPr>
            <w:r>
              <w:rPr>
                <w:rFonts w:hint="eastAsia"/>
              </w:rPr>
              <w:t>1#烘干废气</w:t>
            </w:r>
          </w:p>
        </w:tc>
        <w:tc>
          <w:tcPr>
            <w:tcW w:w="1737" w:type="pct"/>
            <w:vAlign w:val="center"/>
          </w:tcPr>
          <w:p w14:paraId="1DB5EDF8">
            <w:pPr>
              <w:pStyle w:val="557"/>
              <w:rPr>
                <w:highlight w:val="yellow"/>
              </w:rPr>
            </w:pPr>
            <w:r>
              <w:rPr>
                <w:rFonts w:hint="eastAsia"/>
              </w:rPr>
              <w:t>旋风除尘器+重力沉降室除尘+酸洗+水洗</w:t>
            </w:r>
          </w:p>
        </w:tc>
        <w:tc>
          <w:tcPr>
            <w:tcW w:w="516" w:type="pct"/>
            <w:vAlign w:val="center"/>
          </w:tcPr>
          <w:p w14:paraId="6776FBE3">
            <w:pPr>
              <w:pStyle w:val="557"/>
            </w:pPr>
            <w:r>
              <w:rPr>
                <w:rFonts w:hint="eastAsia"/>
              </w:rPr>
              <w:t>80</w:t>
            </w:r>
          </w:p>
        </w:tc>
      </w:tr>
      <w:tr w14:paraId="4F57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4CBB4DBE">
            <w:pPr>
              <w:pStyle w:val="557"/>
            </w:pPr>
          </w:p>
        </w:tc>
        <w:tc>
          <w:tcPr>
            <w:tcW w:w="426" w:type="pct"/>
            <w:vMerge w:val="continue"/>
            <w:vAlign w:val="center"/>
          </w:tcPr>
          <w:p w14:paraId="48A25AD9">
            <w:pPr>
              <w:pStyle w:val="557"/>
            </w:pPr>
          </w:p>
        </w:tc>
        <w:tc>
          <w:tcPr>
            <w:tcW w:w="689" w:type="pct"/>
            <w:vMerge w:val="continue"/>
            <w:vAlign w:val="center"/>
          </w:tcPr>
          <w:p w14:paraId="17841518">
            <w:pPr>
              <w:pStyle w:val="557"/>
              <w:rPr>
                <w:color w:val="FF0000"/>
              </w:rPr>
            </w:pPr>
          </w:p>
        </w:tc>
        <w:tc>
          <w:tcPr>
            <w:tcW w:w="1333" w:type="pct"/>
            <w:vAlign w:val="center"/>
          </w:tcPr>
          <w:p w14:paraId="412A0087">
            <w:pPr>
              <w:pStyle w:val="557"/>
              <w:rPr>
                <w:color w:val="FF0000"/>
              </w:rPr>
            </w:pPr>
            <w:r>
              <w:rPr>
                <w:rFonts w:hint="eastAsia"/>
              </w:rPr>
              <w:t>2#-造粒废气、2#包装废气</w:t>
            </w:r>
          </w:p>
        </w:tc>
        <w:tc>
          <w:tcPr>
            <w:tcW w:w="1737" w:type="pct"/>
            <w:vAlign w:val="center"/>
          </w:tcPr>
          <w:p w14:paraId="03630779">
            <w:pPr>
              <w:pStyle w:val="557"/>
            </w:pPr>
            <w:r>
              <w:rPr>
                <w:rFonts w:hint="eastAsia"/>
              </w:rPr>
              <w:t>文丘里洗涤塔+酸洗+水洗+40</w:t>
            </w:r>
            <w:r>
              <w:t>m</w:t>
            </w:r>
          </w:p>
          <w:p w14:paraId="09226AED">
            <w:pPr>
              <w:pStyle w:val="557"/>
            </w:pPr>
            <w:r>
              <w:t>排</w:t>
            </w:r>
            <w:r>
              <w:rPr>
                <w:rFonts w:hint="eastAsia"/>
              </w:rPr>
              <w:t>气筒</w:t>
            </w:r>
          </w:p>
        </w:tc>
        <w:tc>
          <w:tcPr>
            <w:tcW w:w="516" w:type="pct"/>
            <w:vAlign w:val="center"/>
          </w:tcPr>
          <w:p w14:paraId="086CC1E5">
            <w:pPr>
              <w:pStyle w:val="557"/>
            </w:pPr>
            <w:r>
              <w:rPr>
                <w:rFonts w:hint="eastAsia"/>
              </w:rPr>
              <w:t>200</w:t>
            </w:r>
          </w:p>
        </w:tc>
      </w:tr>
      <w:tr w14:paraId="5862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5C68B227">
            <w:pPr>
              <w:pStyle w:val="557"/>
            </w:pPr>
          </w:p>
        </w:tc>
        <w:tc>
          <w:tcPr>
            <w:tcW w:w="426" w:type="pct"/>
            <w:vMerge w:val="continue"/>
            <w:vAlign w:val="center"/>
          </w:tcPr>
          <w:p w14:paraId="378779FB">
            <w:pPr>
              <w:pStyle w:val="557"/>
            </w:pPr>
          </w:p>
        </w:tc>
        <w:tc>
          <w:tcPr>
            <w:tcW w:w="689" w:type="pct"/>
            <w:vMerge w:val="continue"/>
            <w:vAlign w:val="center"/>
          </w:tcPr>
          <w:p w14:paraId="635F56AB">
            <w:pPr>
              <w:pStyle w:val="557"/>
              <w:rPr>
                <w:color w:val="FF0000"/>
              </w:rPr>
            </w:pPr>
          </w:p>
        </w:tc>
        <w:tc>
          <w:tcPr>
            <w:tcW w:w="1333" w:type="pct"/>
            <w:vAlign w:val="center"/>
          </w:tcPr>
          <w:p w14:paraId="5B8CB8B5">
            <w:pPr>
              <w:pStyle w:val="557"/>
            </w:pPr>
            <w:r>
              <w:rPr>
                <w:rFonts w:hint="eastAsia"/>
              </w:rPr>
              <w:t>2#烘干废气</w:t>
            </w:r>
          </w:p>
        </w:tc>
        <w:tc>
          <w:tcPr>
            <w:tcW w:w="1737" w:type="pct"/>
            <w:vAlign w:val="center"/>
          </w:tcPr>
          <w:p w14:paraId="4096E8BF">
            <w:pPr>
              <w:pStyle w:val="557"/>
            </w:pPr>
            <w:r>
              <w:rPr>
                <w:rFonts w:hint="eastAsia"/>
              </w:rPr>
              <w:t>旋风除尘器+重力沉降室除尘+酸洗+水洗</w:t>
            </w:r>
          </w:p>
        </w:tc>
        <w:tc>
          <w:tcPr>
            <w:tcW w:w="516" w:type="pct"/>
            <w:vAlign w:val="center"/>
          </w:tcPr>
          <w:p w14:paraId="786BBDED">
            <w:pPr>
              <w:pStyle w:val="557"/>
            </w:pPr>
            <w:r>
              <w:rPr>
                <w:rFonts w:hint="eastAsia"/>
              </w:rPr>
              <w:t>80</w:t>
            </w:r>
          </w:p>
        </w:tc>
      </w:tr>
      <w:tr w14:paraId="04D2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4842E260">
            <w:pPr>
              <w:pStyle w:val="557"/>
            </w:pPr>
          </w:p>
        </w:tc>
        <w:tc>
          <w:tcPr>
            <w:tcW w:w="426" w:type="pct"/>
            <w:vMerge w:val="continue"/>
            <w:vAlign w:val="center"/>
          </w:tcPr>
          <w:p w14:paraId="48F3488D">
            <w:pPr>
              <w:pStyle w:val="557"/>
            </w:pPr>
          </w:p>
        </w:tc>
        <w:tc>
          <w:tcPr>
            <w:tcW w:w="689" w:type="pct"/>
            <w:vMerge w:val="continue"/>
            <w:vAlign w:val="center"/>
          </w:tcPr>
          <w:p w14:paraId="38333498">
            <w:pPr>
              <w:pStyle w:val="557"/>
              <w:rPr>
                <w:color w:val="FF0000"/>
              </w:rPr>
            </w:pPr>
          </w:p>
        </w:tc>
        <w:tc>
          <w:tcPr>
            <w:tcW w:w="1333" w:type="pct"/>
            <w:vAlign w:val="center"/>
          </w:tcPr>
          <w:p w14:paraId="1F759039">
            <w:pPr>
              <w:pStyle w:val="557"/>
              <w:rPr>
                <w:color w:val="FF0000"/>
              </w:rPr>
            </w:pPr>
            <w:r>
              <w:rPr>
                <w:rFonts w:hint="eastAsia"/>
              </w:rPr>
              <w:t>1#冷却废气</w:t>
            </w:r>
          </w:p>
        </w:tc>
        <w:tc>
          <w:tcPr>
            <w:tcW w:w="1737" w:type="pct"/>
            <w:vAlign w:val="center"/>
          </w:tcPr>
          <w:p w14:paraId="7C2AAED9">
            <w:pPr>
              <w:pStyle w:val="557"/>
            </w:pPr>
            <w:r>
              <w:rPr>
                <w:rFonts w:hint="eastAsia"/>
              </w:rPr>
              <w:t>旋风除尘器+布袋除尘器</w:t>
            </w:r>
          </w:p>
          <w:p w14:paraId="0C82BA5D">
            <w:pPr>
              <w:pStyle w:val="557"/>
            </w:pPr>
            <w:r>
              <w:rPr>
                <w:rFonts w:hint="eastAsia"/>
              </w:rPr>
              <w:t>+15</w:t>
            </w:r>
            <w:r>
              <w:t>m排</w:t>
            </w:r>
            <w:r>
              <w:rPr>
                <w:rFonts w:hint="eastAsia"/>
              </w:rPr>
              <w:t>气筒</w:t>
            </w:r>
          </w:p>
        </w:tc>
        <w:tc>
          <w:tcPr>
            <w:tcW w:w="516" w:type="pct"/>
            <w:vAlign w:val="center"/>
          </w:tcPr>
          <w:p w14:paraId="0E343B42">
            <w:pPr>
              <w:pStyle w:val="557"/>
            </w:pPr>
            <w:r>
              <w:rPr>
                <w:rFonts w:hint="eastAsia"/>
              </w:rPr>
              <w:t>60</w:t>
            </w:r>
          </w:p>
        </w:tc>
      </w:tr>
      <w:tr w14:paraId="7FAD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A22ECBC">
            <w:pPr>
              <w:pStyle w:val="557"/>
            </w:pPr>
          </w:p>
        </w:tc>
        <w:tc>
          <w:tcPr>
            <w:tcW w:w="426" w:type="pct"/>
            <w:vMerge w:val="continue"/>
            <w:vAlign w:val="center"/>
          </w:tcPr>
          <w:p w14:paraId="78E0AE20">
            <w:pPr>
              <w:pStyle w:val="557"/>
            </w:pPr>
          </w:p>
        </w:tc>
        <w:tc>
          <w:tcPr>
            <w:tcW w:w="689" w:type="pct"/>
            <w:vMerge w:val="continue"/>
            <w:vAlign w:val="center"/>
          </w:tcPr>
          <w:p w14:paraId="5E850CEA">
            <w:pPr>
              <w:pStyle w:val="557"/>
              <w:rPr>
                <w:color w:val="FF0000"/>
              </w:rPr>
            </w:pPr>
          </w:p>
        </w:tc>
        <w:tc>
          <w:tcPr>
            <w:tcW w:w="1333" w:type="pct"/>
            <w:vAlign w:val="center"/>
          </w:tcPr>
          <w:p w14:paraId="314D60A0">
            <w:pPr>
              <w:pStyle w:val="557"/>
              <w:rPr>
                <w:color w:val="FF0000"/>
              </w:rPr>
            </w:pPr>
            <w:r>
              <w:rPr>
                <w:rFonts w:hint="eastAsia"/>
              </w:rPr>
              <w:t>2#冷却废气</w:t>
            </w:r>
          </w:p>
        </w:tc>
        <w:tc>
          <w:tcPr>
            <w:tcW w:w="1737" w:type="pct"/>
            <w:vAlign w:val="center"/>
          </w:tcPr>
          <w:p w14:paraId="00809805">
            <w:pPr>
              <w:pStyle w:val="557"/>
            </w:pPr>
            <w:r>
              <w:rPr>
                <w:rFonts w:hint="eastAsia"/>
              </w:rPr>
              <w:t>旋风除尘器+布袋除尘器</w:t>
            </w:r>
          </w:p>
          <w:p w14:paraId="6054ACA4">
            <w:pPr>
              <w:pStyle w:val="557"/>
            </w:pPr>
            <w:r>
              <w:rPr>
                <w:rFonts w:hint="eastAsia"/>
              </w:rPr>
              <w:t>+15</w:t>
            </w:r>
            <w:r>
              <w:t>m排</w:t>
            </w:r>
            <w:r>
              <w:rPr>
                <w:rFonts w:hint="eastAsia"/>
              </w:rPr>
              <w:t>气筒</w:t>
            </w:r>
          </w:p>
        </w:tc>
        <w:tc>
          <w:tcPr>
            <w:tcW w:w="516" w:type="pct"/>
            <w:vAlign w:val="center"/>
          </w:tcPr>
          <w:p w14:paraId="2B6FEB98">
            <w:pPr>
              <w:pStyle w:val="557"/>
            </w:pPr>
            <w:r>
              <w:rPr>
                <w:rFonts w:hint="eastAsia"/>
              </w:rPr>
              <w:t>60</w:t>
            </w:r>
          </w:p>
        </w:tc>
      </w:tr>
      <w:tr w14:paraId="2EDC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4D8D9BED">
            <w:pPr>
              <w:pStyle w:val="557"/>
            </w:pPr>
          </w:p>
        </w:tc>
        <w:tc>
          <w:tcPr>
            <w:tcW w:w="426" w:type="pct"/>
            <w:vMerge w:val="continue"/>
            <w:vAlign w:val="center"/>
          </w:tcPr>
          <w:p w14:paraId="4CA3C1EB">
            <w:pPr>
              <w:pStyle w:val="557"/>
            </w:pPr>
          </w:p>
        </w:tc>
        <w:tc>
          <w:tcPr>
            <w:tcW w:w="689" w:type="pct"/>
            <w:vMerge w:val="continue"/>
            <w:vAlign w:val="center"/>
          </w:tcPr>
          <w:p w14:paraId="415320A6">
            <w:pPr>
              <w:pStyle w:val="557"/>
              <w:rPr>
                <w:color w:val="FF0000"/>
              </w:rPr>
            </w:pPr>
          </w:p>
        </w:tc>
        <w:tc>
          <w:tcPr>
            <w:tcW w:w="1333" w:type="pct"/>
            <w:vAlign w:val="center"/>
          </w:tcPr>
          <w:p w14:paraId="2D1856B3">
            <w:pPr>
              <w:pStyle w:val="557"/>
              <w:rPr>
                <w:color w:val="FF0000"/>
              </w:rPr>
            </w:pPr>
            <w:r>
              <w:rPr>
                <w:rFonts w:hint="eastAsia"/>
              </w:rPr>
              <w:t>有机缓释肥装置加热炉废气</w:t>
            </w:r>
          </w:p>
        </w:tc>
        <w:tc>
          <w:tcPr>
            <w:tcW w:w="1737" w:type="pct"/>
            <w:vAlign w:val="center"/>
          </w:tcPr>
          <w:p w14:paraId="19C2D511">
            <w:pPr>
              <w:pStyle w:val="557"/>
            </w:pPr>
            <w:r>
              <w:rPr>
                <w:rFonts w:hint="eastAsia"/>
              </w:rPr>
              <w:t>低氮燃烧+30</w:t>
            </w:r>
            <w:r>
              <w:t>m排</w:t>
            </w:r>
            <w:r>
              <w:rPr>
                <w:rFonts w:hint="eastAsia"/>
              </w:rPr>
              <w:t>气筒</w:t>
            </w:r>
          </w:p>
        </w:tc>
        <w:tc>
          <w:tcPr>
            <w:tcW w:w="516" w:type="pct"/>
            <w:vAlign w:val="center"/>
          </w:tcPr>
          <w:p w14:paraId="62749DF4">
            <w:pPr>
              <w:pStyle w:val="557"/>
            </w:pPr>
            <w:r>
              <w:rPr>
                <w:rFonts w:hint="eastAsia"/>
              </w:rPr>
              <w:t>40</w:t>
            </w:r>
          </w:p>
        </w:tc>
      </w:tr>
      <w:tr w14:paraId="66EF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5BB416EE">
            <w:pPr>
              <w:pStyle w:val="557"/>
            </w:pPr>
          </w:p>
        </w:tc>
        <w:tc>
          <w:tcPr>
            <w:tcW w:w="426" w:type="pct"/>
            <w:vMerge w:val="continue"/>
            <w:vAlign w:val="center"/>
          </w:tcPr>
          <w:p w14:paraId="26E08F90">
            <w:pPr>
              <w:pStyle w:val="557"/>
            </w:pPr>
          </w:p>
        </w:tc>
        <w:tc>
          <w:tcPr>
            <w:tcW w:w="689" w:type="pct"/>
            <w:vMerge w:val="restart"/>
            <w:vAlign w:val="center"/>
          </w:tcPr>
          <w:p w14:paraId="0FF05EC2">
            <w:pPr>
              <w:pStyle w:val="557"/>
            </w:pPr>
            <w:r>
              <w:rPr>
                <w:rFonts w:hint="eastAsia"/>
              </w:rPr>
              <w:t>公用工程</w:t>
            </w:r>
          </w:p>
        </w:tc>
        <w:tc>
          <w:tcPr>
            <w:tcW w:w="1333" w:type="pct"/>
            <w:vAlign w:val="center"/>
          </w:tcPr>
          <w:p w14:paraId="136FEAFB">
            <w:pPr>
              <w:pStyle w:val="557"/>
            </w:pPr>
            <w:r>
              <w:rPr>
                <w:rFonts w:hint="eastAsia"/>
              </w:rPr>
              <w:t>污水处理站废气</w:t>
            </w:r>
          </w:p>
        </w:tc>
        <w:tc>
          <w:tcPr>
            <w:tcW w:w="1737" w:type="pct"/>
            <w:vAlign w:val="center"/>
          </w:tcPr>
          <w:p w14:paraId="479662FE">
            <w:pPr>
              <w:pStyle w:val="557"/>
            </w:pPr>
            <w:r>
              <w:t>碱洗+生物除臭</w:t>
            </w:r>
            <w:r>
              <w:rPr>
                <w:rFonts w:hint="eastAsia"/>
              </w:rPr>
              <w:t>+15</w:t>
            </w:r>
            <w:r>
              <w:t>m排</w:t>
            </w:r>
            <w:r>
              <w:rPr>
                <w:rFonts w:hint="eastAsia"/>
              </w:rPr>
              <w:t>气筒</w:t>
            </w:r>
          </w:p>
        </w:tc>
        <w:tc>
          <w:tcPr>
            <w:tcW w:w="516" w:type="pct"/>
            <w:vAlign w:val="center"/>
          </w:tcPr>
          <w:p w14:paraId="6F6092DF">
            <w:pPr>
              <w:pStyle w:val="557"/>
            </w:pPr>
            <w:r>
              <w:rPr>
                <w:rFonts w:hint="eastAsia"/>
              </w:rPr>
              <w:t>150</w:t>
            </w:r>
          </w:p>
        </w:tc>
      </w:tr>
      <w:tr w14:paraId="14DC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8F82D2F">
            <w:pPr>
              <w:pStyle w:val="557"/>
            </w:pPr>
          </w:p>
        </w:tc>
        <w:tc>
          <w:tcPr>
            <w:tcW w:w="426" w:type="pct"/>
            <w:vMerge w:val="continue"/>
            <w:vAlign w:val="center"/>
          </w:tcPr>
          <w:p w14:paraId="33EA0FFC">
            <w:pPr>
              <w:pStyle w:val="557"/>
            </w:pPr>
          </w:p>
        </w:tc>
        <w:tc>
          <w:tcPr>
            <w:tcW w:w="689" w:type="pct"/>
            <w:vMerge w:val="continue"/>
            <w:vAlign w:val="center"/>
          </w:tcPr>
          <w:p w14:paraId="3573FAF5">
            <w:pPr>
              <w:pStyle w:val="557"/>
              <w:rPr>
                <w:color w:val="FF0000"/>
              </w:rPr>
            </w:pPr>
          </w:p>
        </w:tc>
        <w:tc>
          <w:tcPr>
            <w:tcW w:w="1333" w:type="pct"/>
            <w:vAlign w:val="center"/>
          </w:tcPr>
          <w:p w14:paraId="3D6F5CA0">
            <w:pPr>
              <w:pStyle w:val="557"/>
            </w:pPr>
            <w:r>
              <w:rPr>
                <w:rFonts w:hint="eastAsia"/>
              </w:rPr>
              <w:t>1#燃气锅炉</w:t>
            </w:r>
          </w:p>
        </w:tc>
        <w:tc>
          <w:tcPr>
            <w:tcW w:w="1737" w:type="pct"/>
            <w:vAlign w:val="center"/>
          </w:tcPr>
          <w:p w14:paraId="744134DF">
            <w:pPr>
              <w:pStyle w:val="557"/>
            </w:pPr>
            <w:r>
              <w:rPr>
                <w:rFonts w:hint="eastAsia"/>
              </w:rPr>
              <w:t>低氮燃烧+SCR脱硝+35</w:t>
            </w:r>
            <w:r>
              <w:t>m排</w:t>
            </w:r>
            <w:r>
              <w:rPr>
                <w:rFonts w:hint="eastAsia"/>
              </w:rPr>
              <w:t>气筒</w:t>
            </w:r>
          </w:p>
        </w:tc>
        <w:tc>
          <w:tcPr>
            <w:tcW w:w="516" w:type="pct"/>
            <w:vAlign w:val="center"/>
          </w:tcPr>
          <w:p w14:paraId="04964B8C">
            <w:pPr>
              <w:pStyle w:val="557"/>
            </w:pPr>
            <w:r>
              <w:rPr>
                <w:rFonts w:hint="eastAsia"/>
              </w:rPr>
              <w:t>200</w:t>
            </w:r>
          </w:p>
        </w:tc>
      </w:tr>
      <w:tr w14:paraId="4CCC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79E8D527">
            <w:pPr>
              <w:pStyle w:val="557"/>
            </w:pPr>
          </w:p>
        </w:tc>
        <w:tc>
          <w:tcPr>
            <w:tcW w:w="426" w:type="pct"/>
            <w:vMerge w:val="continue"/>
            <w:vAlign w:val="center"/>
          </w:tcPr>
          <w:p w14:paraId="74463984">
            <w:pPr>
              <w:pStyle w:val="557"/>
            </w:pPr>
          </w:p>
        </w:tc>
        <w:tc>
          <w:tcPr>
            <w:tcW w:w="689" w:type="pct"/>
            <w:vMerge w:val="continue"/>
            <w:vAlign w:val="center"/>
          </w:tcPr>
          <w:p w14:paraId="45198300">
            <w:pPr>
              <w:pStyle w:val="557"/>
              <w:rPr>
                <w:color w:val="FF0000"/>
              </w:rPr>
            </w:pPr>
          </w:p>
        </w:tc>
        <w:tc>
          <w:tcPr>
            <w:tcW w:w="1333" w:type="pct"/>
            <w:vAlign w:val="center"/>
          </w:tcPr>
          <w:p w14:paraId="7EC36F30">
            <w:pPr>
              <w:pStyle w:val="557"/>
            </w:pPr>
            <w:r>
              <w:rPr>
                <w:rFonts w:hint="eastAsia"/>
              </w:rPr>
              <w:t>2#燃气锅炉</w:t>
            </w:r>
          </w:p>
        </w:tc>
        <w:tc>
          <w:tcPr>
            <w:tcW w:w="1737" w:type="pct"/>
            <w:vAlign w:val="center"/>
          </w:tcPr>
          <w:p w14:paraId="2A8D7CA0">
            <w:pPr>
              <w:pStyle w:val="557"/>
            </w:pPr>
            <w:r>
              <w:rPr>
                <w:rFonts w:hint="eastAsia"/>
              </w:rPr>
              <w:t>低氮燃烧+SCR脱硝+35</w:t>
            </w:r>
            <w:r>
              <w:t>m排</w:t>
            </w:r>
            <w:r>
              <w:rPr>
                <w:rFonts w:hint="eastAsia"/>
              </w:rPr>
              <w:t>气筒</w:t>
            </w:r>
          </w:p>
        </w:tc>
        <w:tc>
          <w:tcPr>
            <w:tcW w:w="516" w:type="pct"/>
            <w:vAlign w:val="center"/>
          </w:tcPr>
          <w:p w14:paraId="10F2C717">
            <w:pPr>
              <w:pStyle w:val="557"/>
            </w:pPr>
            <w:r>
              <w:rPr>
                <w:rFonts w:hint="eastAsia"/>
              </w:rPr>
              <w:t>200</w:t>
            </w:r>
          </w:p>
        </w:tc>
      </w:tr>
      <w:tr w14:paraId="3129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5CD76D1B">
            <w:pPr>
              <w:pStyle w:val="557"/>
            </w:pPr>
          </w:p>
        </w:tc>
        <w:tc>
          <w:tcPr>
            <w:tcW w:w="426" w:type="pct"/>
            <w:vMerge w:val="continue"/>
            <w:vAlign w:val="center"/>
          </w:tcPr>
          <w:p w14:paraId="4F81901B">
            <w:pPr>
              <w:pStyle w:val="557"/>
            </w:pPr>
          </w:p>
        </w:tc>
        <w:tc>
          <w:tcPr>
            <w:tcW w:w="689" w:type="pct"/>
            <w:vMerge w:val="restart"/>
            <w:vAlign w:val="center"/>
          </w:tcPr>
          <w:p w14:paraId="388239D8">
            <w:pPr>
              <w:pStyle w:val="557"/>
            </w:pPr>
            <w:r>
              <w:rPr>
                <w:rFonts w:hint="eastAsia"/>
              </w:rPr>
              <w:t>储运工程</w:t>
            </w:r>
          </w:p>
        </w:tc>
        <w:tc>
          <w:tcPr>
            <w:tcW w:w="1333" w:type="pct"/>
            <w:vAlign w:val="center"/>
          </w:tcPr>
          <w:p w14:paraId="76F1EBBB">
            <w:pPr>
              <w:pStyle w:val="557"/>
            </w:pPr>
            <w:r>
              <w:rPr>
                <w:rFonts w:hint="eastAsia"/>
              </w:rPr>
              <w:t>筛分破碎废气</w:t>
            </w:r>
          </w:p>
        </w:tc>
        <w:tc>
          <w:tcPr>
            <w:tcW w:w="1737" w:type="pct"/>
            <w:vAlign w:val="center"/>
          </w:tcPr>
          <w:p w14:paraId="39ED6416">
            <w:pPr>
              <w:pStyle w:val="557"/>
            </w:pPr>
            <w:r>
              <w:rPr>
                <w:rFonts w:hint="eastAsia"/>
              </w:rPr>
              <w:t>袋式除尘器+15</w:t>
            </w:r>
            <w:r>
              <w:t>m排</w:t>
            </w:r>
            <w:r>
              <w:rPr>
                <w:rFonts w:hint="eastAsia"/>
              </w:rPr>
              <w:t>气筒</w:t>
            </w:r>
          </w:p>
        </w:tc>
        <w:tc>
          <w:tcPr>
            <w:tcW w:w="516" w:type="pct"/>
            <w:vAlign w:val="center"/>
          </w:tcPr>
          <w:p w14:paraId="63258345">
            <w:pPr>
              <w:pStyle w:val="557"/>
            </w:pPr>
            <w:r>
              <w:rPr>
                <w:rFonts w:hint="eastAsia"/>
              </w:rPr>
              <w:t>10</w:t>
            </w:r>
          </w:p>
        </w:tc>
      </w:tr>
      <w:tr w14:paraId="0B2E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2EC69456">
            <w:pPr>
              <w:pStyle w:val="557"/>
            </w:pPr>
          </w:p>
        </w:tc>
        <w:tc>
          <w:tcPr>
            <w:tcW w:w="426" w:type="pct"/>
            <w:vMerge w:val="continue"/>
            <w:vAlign w:val="center"/>
          </w:tcPr>
          <w:p w14:paraId="13357E50">
            <w:pPr>
              <w:pStyle w:val="557"/>
            </w:pPr>
          </w:p>
        </w:tc>
        <w:tc>
          <w:tcPr>
            <w:tcW w:w="689" w:type="pct"/>
            <w:vMerge w:val="continue"/>
            <w:vAlign w:val="center"/>
          </w:tcPr>
          <w:p w14:paraId="063B7917">
            <w:pPr>
              <w:pStyle w:val="557"/>
            </w:pPr>
          </w:p>
        </w:tc>
        <w:tc>
          <w:tcPr>
            <w:tcW w:w="1333" w:type="pct"/>
            <w:vAlign w:val="center"/>
          </w:tcPr>
          <w:p w14:paraId="32A11969">
            <w:pPr>
              <w:pStyle w:val="557"/>
            </w:pPr>
            <w:r>
              <w:rPr>
                <w:rFonts w:hint="eastAsia"/>
              </w:rPr>
              <w:t>1#转运站</w:t>
            </w:r>
          </w:p>
        </w:tc>
        <w:tc>
          <w:tcPr>
            <w:tcW w:w="1737" w:type="pct"/>
            <w:vAlign w:val="center"/>
          </w:tcPr>
          <w:p w14:paraId="69589181">
            <w:pPr>
              <w:pStyle w:val="557"/>
            </w:pPr>
            <w:r>
              <w:rPr>
                <w:rFonts w:hint="eastAsia"/>
              </w:rPr>
              <w:t>袋式除尘器+15</w:t>
            </w:r>
            <w:r>
              <w:t>m排</w:t>
            </w:r>
            <w:r>
              <w:rPr>
                <w:rFonts w:hint="eastAsia"/>
              </w:rPr>
              <w:t>气筒</w:t>
            </w:r>
          </w:p>
        </w:tc>
        <w:tc>
          <w:tcPr>
            <w:tcW w:w="516" w:type="pct"/>
            <w:vAlign w:val="center"/>
          </w:tcPr>
          <w:p w14:paraId="05D30332">
            <w:pPr>
              <w:pStyle w:val="557"/>
            </w:pPr>
            <w:r>
              <w:rPr>
                <w:rFonts w:hint="eastAsia"/>
              </w:rPr>
              <w:t>10</w:t>
            </w:r>
          </w:p>
        </w:tc>
      </w:tr>
      <w:tr w14:paraId="5C7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06D6ED96">
            <w:pPr>
              <w:pStyle w:val="557"/>
            </w:pPr>
          </w:p>
        </w:tc>
        <w:tc>
          <w:tcPr>
            <w:tcW w:w="426" w:type="pct"/>
            <w:vMerge w:val="continue"/>
            <w:vAlign w:val="center"/>
          </w:tcPr>
          <w:p w14:paraId="7E6540F8">
            <w:pPr>
              <w:pStyle w:val="557"/>
            </w:pPr>
          </w:p>
        </w:tc>
        <w:tc>
          <w:tcPr>
            <w:tcW w:w="689" w:type="pct"/>
            <w:vMerge w:val="continue"/>
            <w:vAlign w:val="center"/>
          </w:tcPr>
          <w:p w14:paraId="0D7A741D">
            <w:pPr>
              <w:pStyle w:val="557"/>
            </w:pPr>
          </w:p>
        </w:tc>
        <w:tc>
          <w:tcPr>
            <w:tcW w:w="1333" w:type="pct"/>
            <w:vAlign w:val="center"/>
          </w:tcPr>
          <w:p w14:paraId="2DC5467E">
            <w:pPr>
              <w:pStyle w:val="557"/>
            </w:pPr>
            <w:r>
              <w:rPr>
                <w:rFonts w:hint="eastAsia"/>
              </w:rPr>
              <w:t>2#转运站</w:t>
            </w:r>
          </w:p>
        </w:tc>
        <w:tc>
          <w:tcPr>
            <w:tcW w:w="1737" w:type="pct"/>
            <w:vAlign w:val="center"/>
          </w:tcPr>
          <w:p w14:paraId="042E0DF8">
            <w:pPr>
              <w:pStyle w:val="557"/>
            </w:pPr>
            <w:r>
              <w:rPr>
                <w:rFonts w:hint="eastAsia"/>
              </w:rPr>
              <w:t>袋式除尘器+62</w:t>
            </w:r>
            <w:r>
              <w:t>m排</w:t>
            </w:r>
            <w:r>
              <w:rPr>
                <w:rFonts w:hint="eastAsia"/>
              </w:rPr>
              <w:t>气筒</w:t>
            </w:r>
          </w:p>
        </w:tc>
        <w:tc>
          <w:tcPr>
            <w:tcW w:w="516" w:type="pct"/>
            <w:vAlign w:val="center"/>
          </w:tcPr>
          <w:p w14:paraId="75DA8D6D">
            <w:pPr>
              <w:pStyle w:val="557"/>
            </w:pPr>
            <w:r>
              <w:rPr>
                <w:rFonts w:hint="eastAsia"/>
              </w:rPr>
              <w:t>50</w:t>
            </w:r>
          </w:p>
        </w:tc>
      </w:tr>
      <w:tr w14:paraId="3278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62FE18D8">
            <w:pPr>
              <w:pStyle w:val="557"/>
            </w:pPr>
            <w:r>
              <w:t>2</w:t>
            </w:r>
          </w:p>
        </w:tc>
        <w:tc>
          <w:tcPr>
            <w:tcW w:w="1115" w:type="pct"/>
            <w:gridSpan w:val="2"/>
            <w:vAlign w:val="center"/>
          </w:tcPr>
          <w:p w14:paraId="490C03B7">
            <w:pPr>
              <w:pStyle w:val="557"/>
            </w:pPr>
            <w:r>
              <w:rPr>
                <w:rFonts w:hint="eastAsia"/>
              </w:rPr>
              <w:t>废水处理措施</w:t>
            </w:r>
          </w:p>
        </w:tc>
        <w:tc>
          <w:tcPr>
            <w:tcW w:w="3070" w:type="pct"/>
            <w:gridSpan w:val="2"/>
            <w:vAlign w:val="center"/>
          </w:tcPr>
          <w:p w14:paraId="6CF756E0">
            <w:pPr>
              <w:pStyle w:val="557"/>
            </w:pPr>
            <w:r>
              <w:rPr>
                <w:rFonts w:hint="eastAsia"/>
              </w:rPr>
              <w:t>污水处理站、回用水站</w:t>
            </w:r>
          </w:p>
        </w:tc>
        <w:tc>
          <w:tcPr>
            <w:tcW w:w="516" w:type="pct"/>
            <w:vAlign w:val="center"/>
          </w:tcPr>
          <w:p w14:paraId="67CCAF95">
            <w:pPr>
              <w:pStyle w:val="557"/>
            </w:pPr>
            <w:r>
              <w:rPr>
                <w:rFonts w:hint="eastAsia"/>
              </w:rPr>
              <w:t>24133</w:t>
            </w:r>
          </w:p>
        </w:tc>
      </w:tr>
      <w:tr w14:paraId="33C3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5EDD2CC3">
            <w:pPr>
              <w:pStyle w:val="557"/>
            </w:pPr>
            <w:r>
              <w:rPr>
                <w:rFonts w:hint="eastAsia"/>
              </w:rPr>
              <w:t>3</w:t>
            </w:r>
          </w:p>
        </w:tc>
        <w:tc>
          <w:tcPr>
            <w:tcW w:w="1115" w:type="pct"/>
            <w:gridSpan w:val="2"/>
            <w:vAlign w:val="center"/>
          </w:tcPr>
          <w:p w14:paraId="660B22E8">
            <w:pPr>
              <w:pStyle w:val="557"/>
            </w:pPr>
            <w:r>
              <w:rPr>
                <w:rFonts w:hint="eastAsia"/>
              </w:rPr>
              <w:t>固废处置措施</w:t>
            </w:r>
          </w:p>
        </w:tc>
        <w:tc>
          <w:tcPr>
            <w:tcW w:w="3070" w:type="pct"/>
            <w:gridSpan w:val="2"/>
            <w:vAlign w:val="center"/>
          </w:tcPr>
          <w:p w14:paraId="544717F7">
            <w:pPr>
              <w:pStyle w:val="557"/>
            </w:pPr>
            <w:r>
              <w:rPr>
                <w:rFonts w:hint="eastAsia"/>
              </w:rPr>
              <w:t>危险废物暂存库、一般固废暂存间等</w:t>
            </w:r>
          </w:p>
        </w:tc>
        <w:tc>
          <w:tcPr>
            <w:tcW w:w="516" w:type="pct"/>
            <w:vAlign w:val="center"/>
          </w:tcPr>
          <w:p w14:paraId="466F37F8">
            <w:pPr>
              <w:pStyle w:val="557"/>
            </w:pPr>
            <w:r>
              <w:rPr>
                <w:rFonts w:hint="eastAsia"/>
              </w:rPr>
              <w:t>100</w:t>
            </w:r>
          </w:p>
        </w:tc>
      </w:tr>
      <w:tr w14:paraId="4DDD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5CA67261">
            <w:pPr>
              <w:pStyle w:val="557"/>
            </w:pPr>
            <w:r>
              <w:rPr>
                <w:rFonts w:hint="eastAsia"/>
              </w:rPr>
              <w:t>4</w:t>
            </w:r>
          </w:p>
        </w:tc>
        <w:tc>
          <w:tcPr>
            <w:tcW w:w="1115" w:type="pct"/>
            <w:gridSpan w:val="2"/>
            <w:vAlign w:val="center"/>
          </w:tcPr>
          <w:p w14:paraId="787EE4D4">
            <w:pPr>
              <w:pStyle w:val="557"/>
            </w:pPr>
            <w:r>
              <w:rPr>
                <w:rFonts w:hint="eastAsia"/>
              </w:rPr>
              <w:t>噪声防治措施</w:t>
            </w:r>
          </w:p>
        </w:tc>
        <w:tc>
          <w:tcPr>
            <w:tcW w:w="3070" w:type="pct"/>
            <w:gridSpan w:val="2"/>
            <w:vAlign w:val="center"/>
          </w:tcPr>
          <w:p w14:paraId="371D80F1">
            <w:pPr>
              <w:pStyle w:val="557"/>
            </w:pPr>
            <w:r>
              <w:rPr>
                <w:rFonts w:hint="eastAsia"/>
              </w:rPr>
              <w:t>消声、隔声、减振等设施</w:t>
            </w:r>
          </w:p>
        </w:tc>
        <w:tc>
          <w:tcPr>
            <w:tcW w:w="516" w:type="pct"/>
            <w:vAlign w:val="center"/>
          </w:tcPr>
          <w:p w14:paraId="01E874FF">
            <w:pPr>
              <w:pStyle w:val="557"/>
            </w:pPr>
            <w:r>
              <w:rPr>
                <w:rFonts w:hint="eastAsia"/>
              </w:rPr>
              <w:t>100</w:t>
            </w:r>
          </w:p>
        </w:tc>
      </w:tr>
      <w:tr w14:paraId="0568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344DE1E4">
            <w:pPr>
              <w:pStyle w:val="557"/>
            </w:pPr>
            <w:r>
              <w:rPr>
                <w:rFonts w:hint="eastAsia"/>
              </w:rPr>
              <w:t>5</w:t>
            </w:r>
          </w:p>
        </w:tc>
        <w:tc>
          <w:tcPr>
            <w:tcW w:w="1115" w:type="pct"/>
            <w:gridSpan w:val="2"/>
            <w:vAlign w:val="center"/>
          </w:tcPr>
          <w:p w14:paraId="2ADFC112">
            <w:pPr>
              <w:pStyle w:val="557"/>
            </w:pPr>
            <w:r>
              <w:rPr>
                <w:rFonts w:hint="eastAsia"/>
              </w:rPr>
              <w:t>地下水保护措施</w:t>
            </w:r>
          </w:p>
        </w:tc>
        <w:tc>
          <w:tcPr>
            <w:tcW w:w="3070" w:type="pct"/>
            <w:gridSpan w:val="2"/>
            <w:vAlign w:val="center"/>
          </w:tcPr>
          <w:p w14:paraId="64FE8FD3">
            <w:pPr>
              <w:pStyle w:val="557"/>
            </w:pPr>
            <w:r>
              <w:rPr>
                <w:rFonts w:hint="eastAsia"/>
              </w:rPr>
              <w:t>分区防渗措施、跟踪监测井</w:t>
            </w:r>
          </w:p>
        </w:tc>
        <w:tc>
          <w:tcPr>
            <w:tcW w:w="516" w:type="pct"/>
            <w:vAlign w:val="center"/>
          </w:tcPr>
          <w:p w14:paraId="14E08C03">
            <w:pPr>
              <w:pStyle w:val="557"/>
            </w:pPr>
            <w:r>
              <w:rPr>
                <w:rFonts w:hint="eastAsia"/>
              </w:rPr>
              <w:t>5000</w:t>
            </w:r>
          </w:p>
        </w:tc>
      </w:tr>
      <w:tr w14:paraId="76B7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05C67D5B">
            <w:pPr>
              <w:pStyle w:val="557"/>
            </w:pPr>
            <w:r>
              <w:rPr>
                <w:rFonts w:hint="eastAsia"/>
              </w:rPr>
              <w:t>6</w:t>
            </w:r>
          </w:p>
        </w:tc>
        <w:tc>
          <w:tcPr>
            <w:tcW w:w="1115" w:type="pct"/>
            <w:gridSpan w:val="2"/>
            <w:vAlign w:val="center"/>
          </w:tcPr>
          <w:p w14:paraId="2AC3BD10">
            <w:pPr>
              <w:pStyle w:val="557"/>
            </w:pPr>
            <w:r>
              <w:rPr>
                <w:rFonts w:hint="eastAsia"/>
              </w:rPr>
              <w:t>生态保护措施</w:t>
            </w:r>
          </w:p>
        </w:tc>
        <w:tc>
          <w:tcPr>
            <w:tcW w:w="3070" w:type="pct"/>
            <w:gridSpan w:val="2"/>
            <w:vAlign w:val="center"/>
          </w:tcPr>
          <w:p w14:paraId="3238E0B6">
            <w:pPr>
              <w:pStyle w:val="557"/>
            </w:pPr>
            <w:r>
              <w:rPr>
                <w:rFonts w:hint="eastAsia"/>
              </w:rPr>
              <w:t>绿化</w:t>
            </w:r>
          </w:p>
        </w:tc>
        <w:tc>
          <w:tcPr>
            <w:tcW w:w="516" w:type="pct"/>
            <w:vAlign w:val="center"/>
          </w:tcPr>
          <w:p w14:paraId="4B116E0C">
            <w:pPr>
              <w:pStyle w:val="557"/>
            </w:pPr>
            <w:r>
              <w:rPr>
                <w:rFonts w:hint="eastAsia"/>
              </w:rPr>
              <w:t>200</w:t>
            </w:r>
          </w:p>
        </w:tc>
      </w:tr>
      <w:tr w14:paraId="7B48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restart"/>
            <w:vAlign w:val="center"/>
          </w:tcPr>
          <w:p w14:paraId="7F18095D">
            <w:pPr>
              <w:pStyle w:val="557"/>
            </w:pPr>
            <w:r>
              <w:rPr>
                <w:rFonts w:hint="eastAsia"/>
              </w:rPr>
              <w:t>7</w:t>
            </w:r>
          </w:p>
        </w:tc>
        <w:tc>
          <w:tcPr>
            <w:tcW w:w="1115" w:type="pct"/>
            <w:gridSpan w:val="2"/>
            <w:vMerge w:val="restart"/>
            <w:vAlign w:val="center"/>
          </w:tcPr>
          <w:p w14:paraId="582C4313">
            <w:pPr>
              <w:pStyle w:val="557"/>
            </w:pPr>
            <w:r>
              <w:rPr>
                <w:rFonts w:hint="eastAsia"/>
              </w:rPr>
              <w:t>风险防范措施</w:t>
            </w:r>
          </w:p>
        </w:tc>
        <w:tc>
          <w:tcPr>
            <w:tcW w:w="3070" w:type="pct"/>
            <w:gridSpan w:val="2"/>
            <w:vAlign w:val="center"/>
          </w:tcPr>
          <w:p w14:paraId="35160758">
            <w:pPr>
              <w:pStyle w:val="557"/>
            </w:pPr>
            <w:r>
              <w:rPr>
                <w:rFonts w:hint="eastAsia"/>
              </w:rPr>
              <w:t>防火堤、围堰、应急物资、可燃气体检测报警器等</w:t>
            </w:r>
          </w:p>
        </w:tc>
        <w:tc>
          <w:tcPr>
            <w:tcW w:w="516" w:type="pct"/>
            <w:vAlign w:val="center"/>
          </w:tcPr>
          <w:p w14:paraId="292493D6">
            <w:pPr>
              <w:pStyle w:val="557"/>
            </w:pPr>
            <w:r>
              <w:rPr>
                <w:rFonts w:hint="eastAsia"/>
              </w:rPr>
              <w:t>2000</w:t>
            </w:r>
          </w:p>
        </w:tc>
      </w:tr>
      <w:tr w14:paraId="6CC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Merge w:val="continue"/>
            <w:vAlign w:val="center"/>
          </w:tcPr>
          <w:p w14:paraId="1D47D5D3">
            <w:pPr>
              <w:pStyle w:val="557"/>
            </w:pPr>
          </w:p>
        </w:tc>
        <w:tc>
          <w:tcPr>
            <w:tcW w:w="1115" w:type="pct"/>
            <w:gridSpan w:val="2"/>
            <w:vMerge w:val="continue"/>
            <w:vAlign w:val="center"/>
          </w:tcPr>
          <w:p w14:paraId="67E2C901">
            <w:pPr>
              <w:pStyle w:val="557"/>
            </w:pPr>
          </w:p>
        </w:tc>
        <w:tc>
          <w:tcPr>
            <w:tcW w:w="3070" w:type="pct"/>
            <w:gridSpan w:val="2"/>
            <w:vAlign w:val="center"/>
          </w:tcPr>
          <w:p w14:paraId="024624E7">
            <w:pPr>
              <w:pStyle w:val="557"/>
            </w:pPr>
            <w:r>
              <w:rPr>
                <w:rFonts w:hint="eastAsia"/>
              </w:rPr>
              <w:t>事故水池</w:t>
            </w:r>
          </w:p>
        </w:tc>
        <w:tc>
          <w:tcPr>
            <w:tcW w:w="516" w:type="pct"/>
            <w:vAlign w:val="center"/>
          </w:tcPr>
          <w:p w14:paraId="580256DB">
            <w:pPr>
              <w:pStyle w:val="557"/>
            </w:pPr>
            <w:r>
              <w:rPr>
                <w:rFonts w:hint="eastAsia"/>
              </w:rPr>
              <w:t>2000</w:t>
            </w:r>
          </w:p>
        </w:tc>
      </w:tr>
      <w:tr w14:paraId="13AB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9" w:type="pct"/>
            <w:vAlign w:val="center"/>
          </w:tcPr>
          <w:p w14:paraId="42909264">
            <w:pPr>
              <w:pStyle w:val="557"/>
            </w:pPr>
            <w:r>
              <w:rPr>
                <w:rFonts w:hint="eastAsia"/>
              </w:rPr>
              <w:t>8</w:t>
            </w:r>
          </w:p>
        </w:tc>
        <w:tc>
          <w:tcPr>
            <w:tcW w:w="1115" w:type="pct"/>
            <w:gridSpan w:val="2"/>
            <w:vAlign w:val="center"/>
          </w:tcPr>
          <w:p w14:paraId="3F4CCFAF">
            <w:pPr>
              <w:pStyle w:val="557"/>
            </w:pPr>
            <w:r>
              <w:rPr>
                <w:rFonts w:hint="eastAsia"/>
              </w:rPr>
              <w:t>环境管理</w:t>
            </w:r>
          </w:p>
        </w:tc>
        <w:tc>
          <w:tcPr>
            <w:tcW w:w="3070" w:type="pct"/>
            <w:gridSpan w:val="2"/>
            <w:vAlign w:val="center"/>
          </w:tcPr>
          <w:p w14:paraId="00C83FC0">
            <w:pPr>
              <w:pStyle w:val="557"/>
            </w:pPr>
            <w:r>
              <w:rPr>
                <w:rFonts w:hint="eastAsia"/>
              </w:rPr>
              <w:t>排污口规范化设置、在线监测、竣工环保验收、应急预案等</w:t>
            </w:r>
          </w:p>
        </w:tc>
        <w:tc>
          <w:tcPr>
            <w:tcW w:w="516" w:type="pct"/>
            <w:vAlign w:val="center"/>
          </w:tcPr>
          <w:p w14:paraId="1D424DB1">
            <w:pPr>
              <w:pStyle w:val="557"/>
            </w:pPr>
            <w:r>
              <w:rPr>
                <w:rFonts w:hint="eastAsia"/>
              </w:rPr>
              <w:t>200</w:t>
            </w:r>
          </w:p>
        </w:tc>
      </w:tr>
      <w:tr w14:paraId="6432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84" w:type="pct"/>
            <w:gridSpan w:val="5"/>
            <w:vAlign w:val="center"/>
          </w:tcPr>
          <w:p w14:paraId="2CEF9521">
            <w:pPr>
              <w:pStyle w:val="557"/>
              <w:rPr>
                <w:color w:val="FF0000"/>
              </w:rPr>
            </w:pPr>
            <w:r>
              <w:rPr>
                <w:rFonts w:hint="eastAsia"/>
              </w:rPr>
              <w:t>合计</w:t>
            </w:r>
          </w:p>
        </w:tc>
        <w:tc>
          <w:tcPr>
            <w:tcW w:w="516" w:type="pct"/>
            <w:vAlign w:val="center"/>
          </w:tcPr>
          <w:p w14:paraId="7E38CD8B">
            <w:pPr>
              <w:pStyle w:val="557"/>
            </w:pPr>
            <w:r>
              <w:rPr>
                <w:rFonts w:hint="eastAsia"/>
              </w:rPr>
              <w:t>35718</w:t>
            </w:r>
          </w:p>
        </w:tc>
      </w:tr>
      <w:bookmarkEnd w:id="555"/>
    </w:tbl>
    <w:p w14:paraId="75B55216">
      <w:pPr>
        <w:pStyle w:val="281"/>
        <w:ind w:firstLine="480"/>
      </w:pPr>
      <w:r>
        <w:rPr>
          <w:rFonts w:hint="eastAsia" w:ascii="宋体" w:hAnsi="宋体"/>
        </w:rPr>
        <w:t>通过前述章节分析，项目全厂环保设施配套较完善，主要增加的是针对工艺废气、废水污染物治理设施的投入。</w:t>
      </w:r>
    </w:p>
    <w:p w14:paraId="481AFEE4">
      <w:pPr>
        <w:pStyle w:val="281"/>
        <w:ind w:firstLine="480"/>
      </w:pPr>
      <w:r>
        <w:rPr>
          <w:rFonts w:hint="eastAsia" w:ascii="宋体" w:hAnsi="宋体"/>
        </w:rPr>
        <w:t>建设单位应保证环保资金到位，确保治理设施与主体工程同时设计、同时施工、同时投入使用。</w:t>
      </w:r>
    </w:p>
    <w:p w14:paraId="4EB1560E">
      <w:pPr>
        <w:pStyle w:val="3"/>
        <w:rPr>
          <w:rFonts w:hint="eastAsia"/>
        </w:rPr>
      </w:pPr>
      <w:bookmarkStart w:id="556" w:name="_Toc4260"/>
      <w:r>
        <w:t>环境经济损益分析</w:t>
      </w:r>
      <w:bookmarkEnd w:id="556"/>
    </w:p>
    <w:p w14:paraId="043F4024">
      <w:pPr>
        <w:pStyle w:val="97"/>
        <w:rPr>
          <w:rFonts w:hint="eastAsia"/>
        </w:rPr>
      </w:pPr>
      <w:r>
        <w:t>环境投资</w:t>
      </w:r>
    </w:p>
    <w:p w14:paraId="098C4B85">
      <w:pPr>
        <w:pStyle w:val="281"/>
        <w:ind w:firstLine="480"/>
      </w:pPr>
      <w:r>
        <w:rPr>
          <w:rFonts w:hint="eastAsia" w:ascii="宋体" w:hAnsi="宋体"/>
        </w:rPr>
        <w:t>环境保护费用包括环保设施投资和环保运行费用。运行费用是为充分发挥环保设施的效率、维持其正常运行而发生的费用，主要包括人工费、水电费、药剂费、维护费、设备折旧费等，不含委托处理费。</w:t>
      </w:r>
    </w:p>
    <w:p w14:paraId="6639E7C2">
      <w:pPr>
        <w:pStyle w:val="281"/>
        <w:ind w:firstLine="480"/>
      </w:pPr>
      <w:r>
        <w:rPr>
          <w:rFonts w:hint="eastAsia" w:ascii="宋体" w:hAnsi="宋体"/>
        </w:rPr>
        <w:t>废气、废水：拟建项目废气、废水处理，年运行维护费用共约</w:t>
      </w:r>
      <w:r>
        <w:rPr>
          <w:rFonts w:hint="eastAsia"/>
        </w:rPr>
        <w:t>26518</w:t>
      </w:r>
      <w:r>
        <w:rPr>
          <w:rFonts w:hint="eastAsia" w:ascii="宋体" w:hAnsi="宋体"/>
        </w:rPr>
        <w:t>万元；</w:t>
      </w:r>
    </w:p>
    <w:p w14:paraId="567CF164">
      <w:pPr>
        <w:pStyle w:val="281"/>
        <w:ind w:firstLine="480"/>
      </w:pPr>
      <w:r>
        <w:rPr>
          <w:rFonts w:hint="eastAsia" w:ascii="宋体" w:hAnsi="宋体"/>
        </w:rPr>
        <w:t>环保设施费用：项目整体建成后，环保投资为</w:t>
      </w:r>
      <w:r>
        <w:rPr>
          <w:rFonts w:hint="eastAsia"/>
          <w:kern w:val="2"/>
          <w:szCs w:val="22"/>
        </w:rPr>
        <w:t>35918</w:t>
      </w:r>
      <w:r>
        <w:rPr>
          <w:rFonts w:hint="eastAsia" w:ascii="宋体" w:hAnsi="宋体"/>
        </w:rPr>
        <w:t>万元，按</w:t>
      </w:r>
      <w:r>
        <w:t>10</w:t>
      </w:r>
      <w:r>
        <w:rPr>
          <w:rFonts w:hint="eastAsia" w:ascii="宋体" w:hAnsi="宋体"/>
        </w:rPr>
        <w:t>年摊销，则每年约为</w:t>
      </w:r>
      <w:r>
        <w:rPr>
          <w:rFonts w:hint="eastAsia"/>
        </w:rPr>
        <w:t>3591.8</w:t>
      </w:r>
      <w:r>
        <w:rPr>
          <w:rFonts w:hint="eastAsia" w:ascii="宋体" w:hAnsi="宋体"/>
        </w:rPr>
        <w:t>万元。</w:t>
      </w:r>
    </w:p>
    <w:p w14:paraId="12456318">
      <w:pPr>
        <w:pStyle w:val="97"/>
        <w:rPr>
          <w:rFonts w:hint="eastAsia"/>
        </w:rPr>
      </w:pPr>
      <w:r>
        <w:rPr>
          <w:rFonts w:hint="eastAsia"/>
        </w:rPr>
        <w:t>环境效益分析</w:t>
      </w:r>
    </w:p>
    <w:p w14:paraId="0AF75A6D">
      <w:pPr>
        <w:pStyle w:val="281"/>
        <w:ind w:firstLine="480"/>
        <w:rPr>
          <w:rFonts w:hint="eastAsia" w:ascii="宋体" w:hAnsi="宋体"/>
        </w:rPr>
      </w:pPr>
      <w:r>
        <w:rPr>
          <w:rFonts w:hint="eastAsia" w:ascii="宋体" w:hAnsi="宋体"/>
        </w:rPr>
        <w:t>环保投资的经济效益主要表现在两方面，一是减少排污费的直接效益，二是</w:t>
      </w:r>
      <w:r>
        <w:t>“</w:t>
      </w:r>
      <w:r>
        <w:rPr>
          <w:rFonts w:hint="eastAsia" w:ascii="宋体" w:hAnsi="宋体"/>
        </w:rPr>
        <w:t>三废</w:t>
      </w:r>
      <w:r>
        <w:t>”</w:t>
      </w:r>
      <w:r>
        <w:rPr>
          <w:rFonts w:hint="eastAsia" w:ascii="宋体" w:hAnsi="宋体"/>
        </w:rPr>
        <w:t>综合利用的间接效益，本项目通过采取各项环保措施，项目产生的污染物得到较大的消减和控制，使废水、废气、噪声排放达到国家及地方相关排放标准，项目生产废水、生活污水等经厂内污水处理站、回用水站处理后，部分回用，不能回用部分排入园区污水处理厂。固体废物得到妥善处置，从而最大限度地降低了</w:t>
      </w:r>
      <w:r>
        <w:t>“</w:t>
      </w:r>
      <w:r>
        <w:rPr>
          <w:rFonts w:hint="eastAsia" w:ascii="宋体" w:hAnsi="宋体"/>
        </w:rPr>
        <w:t>三废</w:t>
      </w:r>
      <w:r>
        <w:t>”</w:t>
      </w:r>
      <w:r>
        <w:rPr>
          <w:rFonts w:hint="eastAsia" w:ascii="宋体" w:hAnsi="宋体"/>
        </w:rPr>
        <w:t>排放量，减少对环境的不利影响。</w:t>
      </w:r>
    </w:p>
    <w:p w14:paraId="4E54BEBF">
      <w:pPr>
        <w:pStyle w:val="97"/>
        <w:rPr>
          <w:rFonts w:hint="eastAsia"/>
        </w:rPr>
      </w:pPr>
      <w:r>
        <w:t>社会效益分析</w:t>
      </w:r>
    </w:p>
    <w:p w14:paraId="2426733D">
      <w:pPr>
        <w:pStyle w:val="281"/>
        <w:ind w:firstLine="480"/>
      </w:pPr>
      <w:r>
        <w:rPr>
          <w:rFonts w:hint="eastAsia" w:ascii="宋体" w:hAnsi="宋体"/>
        </w:rPr>
        <w:t>本工程的实施、建设过程将为当地提供发展机会，带动相关行业及地方经济的发展，工程投入运营后，对当地的经济发展也有一定的促进作用。</w:t>
      </w:r>
    </w:p>
    <w:p w14:paraId="721FBA6E">
      <w:pPr>
        <w:pStyle w:val="281"/>
        <w:ind w:firstLine="480"/>
      </w:pPr>
      <w:r>
        <w:rPr>
          <w:rFonts w:hint="eastAsia" w:ascii="宋体" w:hAnsi="宋体"/>
        </w:rPr>
        <w:t>项目的建设需要大量的生产操作、管理人员，相关产业的发展也将间接产生众多的就业岗位，不但为当地提供大量的就业机会，而且通过人才的引进和培养，可以大大提高地区科技力量的水平，使得投资环境得到大大改善，从而形成聚集效应和良性循环，并带动交通运输、电讯、金融、文化教育等其他产业的发展，在促进区域经济快速发展的同时，推进和谐社会的建设。</w:t>
      </w:r>
    </w:p>
    <w:p w14:paraId="464014E8">
      <w:pPr>
        <w:pStyle w:val="3"/>
        <w:rPr>
          <w:rFonts w:hint="eastAsia"/>
        </w:rPr>
      </w:pPr>
      <w:bookmarkStart w:id="557" w:name="_Toc1072"/>
      <w:r>
        <w:t>小结</w:t>
      </w:r>
      <w:bookmarkEnd w:id="557"/>
    </w:p>
    <w:p w14:paraId="236EE75E">
      <w:pPr>
        <w:pStyle w:val="281"/>
        <w:ind w:firstLine="480"/>
      </w:pPr>
      <w:r>
        <w:rPr>
          <w:rFonts w:hint="eastAsia"/>
        </w:rPr>
        <w:t>综上所述，本项目环保投资效益较为明显，同时具有较好的社会效益，做到了污染物达标排放，减轻了对环境的污染。因此，本评价认为该项目环保投资产生的环境效益和社会效益较为明显，环保投资是可行、合理和有价值的。</w:t>
      </w:r>
    </w:p>
    <w:p w14:paraId="70AEC7E1">
      <w:pPr>
        <w:rPr>
          <w:rFonts w:hint="eastAsia"/>
        </w:rPr>
        <w:sectPr>
          <w:pgSz w:w="11906" w:h="16838"/>
          <w:pgMar w:top="1440" w:right="1800" w:bottom="1440" w:left="1800" w:header="851" w:footer="850" w:gutter="0"/>
          <w:cols w:space="425" w:num="1"/>
          <w:docGrid w:type="lines" w:linePitch="326" w:charSpace="0"/>
        </w:sectPr>
      </w:pPr>
    </w:p>
    <w:p w14:paraId="7C36EE8F">
      <w:pPr>
        <w:pStyle w:val="1012"/>
      </w:pPr>
      <w:bookmarkStart w:id="558" w:name="_Toc27172"/>
      <w:r>
        <w:t>环境管理与监测计划</w:t>
      </w:r>
      <w:bookmarkEnd w:id="558"/>
    </w:p>
    <w:p w14:paraId="626ACC79">
      <w:pPr>
        <w:spacing w:line="360" w:lineRule="auto"/>
        <w:ind w:firstLine="480" w:firstLineChars="200"/>
        <w:rPr>
          <w:rFonts w:hint="eastAsia"/>
        </w:rPr>
      </w:pPr>
      <w:r>
        <w:rPr>
          <w:rFonts w:hint="eastAsia"/>
        </w:rPr>
        <w:t>环境管理和环境监测是污染防治的重要内容之一，是实现污染物许可排放控制和污染防治设施达到预期目标的有效保证。本项目建成投产后，除了依据环评报告和批复要求，还需加强环境管理和环境监测工作，以便及时发现装置运行过程中存在的问题，采取处理措施减少或避免污染和损失。同时通过加强管理和环境监测，为清洁生产工艺改进和污染处理技术进步提供指导和参考。</w:t>
      </w:r>
    </w:p>
    <w:p w14:paraId="363326C8">
      <w:pPr>
        <w:pStyle w:val="3"/>
        <w:rPr>
          <w:rFonts w:hint="eastAsia"/>
        </w:rPr>
      </w:pPr>
      <w:bookmarkStart w:id="559" w:name="_Toc30888"/>
      <w:r>
        <w:t>环境管理</w:t>
      </w:r>
      <w:bookmarkEnd w:id="559"/>
    </w:p>
    <w:p w14:paraId="6363A4EA">
      <w:pPr>
        <w:pStyle w:val="97"/>
        <w:rPr>
          <w:rFonts w:hint="eastAsia"/>
        </w:rPr>
      </w:pPr>
      <w:r>
        <w:t>管理机构设置及职能</w:t>
      </w:r>
    </w:p>
    <w:p w14:paraId="00BA922F">
      <w:pPr>
        <w:pStyle w:val="281"/>
        <w:ind w:firstLine="480"/>
      </w:pPr>
      <w:r>
        <w:rPr>
          <w:rFonts w:hint="eastAsia"/>
        </w:rPr>
        <w:t>根据《建设项目环境保护设计规定》《化工建设项目环境保护设计规范》（</w:t>
      </w:r>
      <w:r>
        <w:t>GB50483-2009</w:t>
      </w:r>
      <w:r>
        <w:rPr>
          <w:rFonts w:hint="eastAsia"/>
        </w:rPr>
        <w:t>）的要求以及企业实施环境保护需要，本项目厂区设置安全环保管理科，负责工程的环境管理、环境监测及环保制度的贯彻落实工作，并在每个装置至少设置</w:t>
      </w:r>
      <w:r>
        <w:t>2</w:t>
      </w:r>
      <w:r>
        <w:rPr>
          <w:rFonts w:hint="eastAsia"/>
        </w:rPr>
        <w:t>名专职环保安全管理人员。</w:t>
      </w:r>
    </w:p>
    <w:p w14:paraId="1086BB24">
      <w:pPr>
        <w:pStyle w:val="281"/>
        <w:ind w:firstLine="480"/>
      </w:pPr>
      <w:r>
        <w:rPr>
          <w:rFonts w:hint="eastAsia"/>
        </w:rPr>
        <w:t>环境管理机构职责包括：</w:t>
      </w:r>
    </w:p>
    <w:p w14:paraId="1BC6120C">
      <w:pPr>
        <w:pStyle w:val="281"/>
        <w:ind w:firstLine="480"/>
      </w:pPr>
      <w:r>
        <w:rPr>
          <w:rFonts w:hint="eastAsia"/>
        </w:rPr>
        <w:t>（1）贯彻执行国家有关环保法规、政策；</w:t>
      </w:r>
    </w:p>
    <w:p w14:paraId="18AF1DA8">
      <w:pPr>
        <w:pStyle w:val="281"/>
        <w:ind w:firstLine="480"/>
      </w:pPr>
      <w:r>
        <w:rPr>
          <w:rFonts w:hint="eastAsia"/>
        </w:rPr>
        <w:t>（2）管理公司环境保护、清洁生产、综合利用、绿化美化、水土保持等工作；</w:t>
      </w:r>
    </w:p>
    <w:p w14:paraId="11117636">
      <w:pPr>
        <w:pStyle w:val="281"/>
        <w:ind w:firstLine="480"/>
      </w:pPr>
      <w:r>
        <w:rPr>
          <w:rFonts w:hint="eastAsia"/>
        </w:rPr>
        <w:t>（3）审查公司环保责任制和环保管理制度；</w:t>
      </w:r>
    </w:p>
    <w:p w14:paraId="65F0ABFA">
      <w:pPr>
        <w:pStyle w:val="281"/>
        <w:ind w:firstLine="480"/>
      </w:pPr>
      <w:r>
        <w:rPr>
          <w:rFonts w:hint="eastAsia"/>
        </w:rPr>
        <w:t>（4）审查公司环保年度工作要点和工作计划，监督计划执行情况；</w:t>
      </w:r>
    </w:p>
    <w:p w14:paraId="5D027A69">
      <w:pPr>
        <w:pStyle w:val="281"/>
        <w:ind w:firstLine="480"/>
      </w:pPr>
      <w:r>
        <w:rPr>
          <w:rFonts w:hint="eastAsia"/>
        </w:rPr>
        <w:t>（5）监督公司环保工作，审查并决定公司环保奖惩考核；</w:t>
      </w:r>
    </w:p>
    <w:p w14:paraId="431EF58C">
      <w:pPr>
        <w:pStyle w:val="281"/>
        <w:ind w:firstLine="480"/>
      </w:pPr>
      <w:r>
        <w:rPr>
          <w:rFonts w:hint="eastAsia"/>
        </w:rPr>
        <w:t>（6）研究解决环保工作中存在的问题，对重大环保工作作出决策；</w:t>
      </w:r>
    </w:p>
    <w:p w14:paraId="15BEC8D0">
      <w:pPr>
        <w:pStyle w:val="281"/>
        <w:ind w:firstLine="480"/>
      </w:pPr>
      <w:r>
        <w:rPr>
          <w:rFonts w:hint="eastAsia"/>
        </w:rPr>
        <w:t>（7）召开环境保护会议，研究部署公司环保工作。</w:t>
      </w:r>
    </w:p>
    <w:p w14:paraId="532A9BF1">
      <w:pPr>
        <w:pStyle w:val="97"/>
        <w:rPr>
          <w:rFonts w:hint="eastAsia"/>
        </w:rPr>
      </w:pPr>
      <w:r>
        <w:t>施工期环境管理</w:t>
      </w:r>
    </w:p>
    <w:p w14:paraId="24AD583A">
      <w:pPr>
        <w:spacing w:line="360" w:lineRule="auto"/>
        <w:ind w:firstLine="480" w:firstLineChars="200"/>
        <w:rPr>
          <w:rFonts w:hint="eastAsia"/>
        </w:rPr>
      </w:pPr>
      <w:r>
        <w:rPr>
          <w:rFonts w:hint="eastAsia"/>
        </w:rPr>
        <w:t>施工期的环境管理主要是对施工单位提出要求，明确责任，督促施工单位采取有效措施减少施工过程中地面扬尘、建筑粉尘、施工机械尾气和废水排放对大气、地表水环境的污染；要求施工单位采取有效措施减少噪声对周围环境的影响；定期检查，督促施工单位按要求回填处理建筑垃圾，收集和处理施工废渣和生活垃圾；项目建成后，应全面检查施工现场的环境恢复情况。</w:t>
      </w:r>
    </w:p>
    <w:p w14:paraId="291E5D39">
      <w:pPr>
        <w:spacing w:line="360" w:lineRule="auto"/>
        <w:ind w:firstLine="480" w:firstLineChars="200"/>
        <w:rPr>
          <w:rFonts w:hint="eastAsia"/>
        </w:rPr>
      </w:pPr>
      <w:r>
        <w:rPr>
          <w:rFonts w:hint="eastAsia"/>
        </w:rPr>
        <w:t>施工期的环境管理实行环境监理制度，根据《中华人民共和国环境保护法》《建设项目环境保护管理条例》等法规要求，在施工期间聘请有资质的工程环境监理单位负责环境监理工作，对项目厂址进行现场监督，以确保各项环保工程的施工质量和环境保护措施的落实，并纳入整体工程监理当中。</w:t>
      </w:r>
    </w:p>
    <w:p w14:paraId="0CEB175F">
      <w:pPr>
        <w:pStyle w:val="98"/>
        <w:rPr>
          <w:rFonts w:hint="eastAsia"/>
        </w:rPr>
      </w:pPr>
      <w:r>
        <w:t>施工期环境管理制度</w:t>
      </w:r>
    </w:p>
    <w:p w14:paraId="31EC4BD0">
      <w:pPr>
        <w:pStyle w:val="281"/>
        <w:ind w:firstLine="480"/>
      </w:pPr>
      <w:r>
        <w:rPr>
          <w:rFonts w:hint="eastAsia"/>
        </w:rPr>
        <w:t>（</w:t>
      </w:r>
      <w:r>
        <w:t>1</w:t>
      </w:r>
      <w:r>
        <w:rPr>
          <w:rFonts w:hint="eastAsia"/>
        </w:rPr>
        <w:t>）管理体系</w:t>
      </w:r>
    </w:p>
    <w:p w14:paraId="51253C29">
      <w:pPr>
        <w:pStyle w:val="281"/>
        <w:ind w:firstLine="480"/>
      </w:pPr>
      <w:r>
        <w:rPr>
          <w:rFonts w:hint="eastAsia"/>
        </w:rPr>
        <w:t>工程施工管理组成包括建设单位、监理单位、施工单位在内的三级管理体系，并由工程设计单位进行配合。</w:t>
      </w:r>
    </w:p>
    <w:p w14:paraId="1C81C351">
      <w:pPr>
        <w:pStyle w:val="281"/>
        <w:ind w:firstLine="480"/>
      </w:pPr>
      <w:r>
        <w:rPr>
          <w:rFonts w:hint="eastAsia"/>
        </w:rPr>
        <w:t>施工单位应加强自身的环境管理，须配备经过相关培训且具备一定能力和资质的专、兼职环保管理人员，并赋予相应的职责和权力。</w:t>
      </w:r>
    </w:p>
    <w:p w14:paraId="392ECCC6">
      <w:pPr>
        <w:pStyle w:val="281"/>
        <w:ind w:firstLine="480"/>
      </w:pPr>
      <w:r>
        <w:rPr>
          <w:rFonts w:hint="eastAsia"/>
        </w:rPr>
        <w:t>监理单位应根据环境影响报告书、环境保护行政主管部门批复、环保工程设计文件及施工合同中规定执行的各项环保措施作为监理工作的重要内容，对建设项目的各项环保工程进行质量把关，监督施工单位落实施工中采取的各项环保措施。</w:t>
      </w:r>
    </w:p>
    <w:p w14:paraId="5372934F">
      <w:pPr>
        <w:pStyle w:val="281"/>
        <w:ind w:firstLine="480"/>
      </w:pPr>
      <w:r>
        <w:rPr>
          <w:rFonts w:hint="eastAsia"/>
        </w:rPr>
        <w:t>建设单位在工程施工承发包工作中，应将环保工程摆在主体工程同等的地位，环保工程质量、工期及与之相关的施工单位资质、能力都将作为重要的发包条件；及时掌握工程施工环保动态，定期检查和总结工程环保措施实施情况，资金使用情况，确保环保工程的进度要求；建设单位应协调各施工单位关系，消除可能存在环保项目遗漏和缺口，当出现重大环保问题或环境纠纷时，应积极组织力量解决，并协助施工单位处理好地方生态环境部门、公众三方相互利益的关系。</w:t>
      </w:r>
    </w:p>
    <w:p w14:paraId="6D8A0D32">
      <w:pPr>
        <w:pStyle w:val="281"/>
        <w:ind w:firstLine="480"/>
      </w:pPr>
      <w:r>
        <w:rPr>
          <w:rFonts w:hint="eastAsia"/>
        </w:rPr>
        <w:t>（</w:t>
      </w:r>
      <w:r>
        <w:t>2</w:t>
      </w:r>
      <w:r>
        <w:rPr>
          <w:rFonts w:hint="eastAsia"/>
        </w:rPr>
        <w:t>）监督体系</w:t>
      </w:r>
    </w:p>
    <w:p w14:paraId="64292CA6">
      <w:pPr>
        <w:pStyle w:val="281"/>
        <w:ind w:firstLine="480"/>
      </w:pPr>
      <w:r>
        <w:rPr>
          <w:rFonts w:hint="eastAsia"/>
        </w:rPr>
        <w:t>本项目施工期由哈密市生态环境局、园区生态环境局分级实施监督。</w:t>
      </w:r>
    </w:p>
    <w:p w14:paraId="1AA2D551">
      <w:pPr>
        <w:pStyle w:val="281"/>
        <w:ind w:firstLine="480"/>
      </w:pPr>
      <w:r>
        <w:rPr>
          <w:rFonts w:hint="eastAsia"/>
        </w:rPr>
        <w:t>（</w:t>
      </w:r>
      <w:r>
        <w:t>3</w:t>
      </w:r>
      <w:r>
        <w:rPr>
          <w:rFonts w:hint="eastAsia"/>
        </w:rPr>
        <w:t>）环境管理</w:t>
      </w:r>
    </w:p>
    <w:p w14:paraId="73DE4550">
      <w:pPr>
        <w:pStyle w:val="281"/>
        <w:ind w:firstLine="480"/>
      </w:pPr>
      <w:r>
        <w:rPr>
          <w:rFonts w:hint="eastAsia"/>
        </w:rPr>
        <w:t>建设单位与施工单位签订工程承包合同中，应将环境保护设施建设纳入施工合同，保证环境保护设施建设进度和资金，并在项目建设过程中同时组织实施环境影响报告书及其审批部门审批决定中提出的环境保护对策措施，另需包括施工期环境保护条款，含施工期间环境污染控制、污染物排放管理、施工人员环保教育及相关奖惩条款。</w:t>
      </w:r>
    </w:p>
    <w:p w14:paraId="3115F371">
      <w:pPr>
        <w:pStyle w:val="281"/>
        <w:ind w:firstLine="480"/>
      </w:pPr>
      <w:r>
        <w:rPr>
          <w:rFonts w:hint="eastAsia"/>
        </w:rPr>
        <w:t>施工单位应加强驻地和施工现场的环境管理，合理安排施工计划，做到组织计划严谨，文明施工；施工现场、驻地及临时设施，应加强环境管理，妥善处置施工“三废”；认真落实各项补偿措施，做好工程各项环保设施的施工监理与验收，保证环保工程质量，做到环保工程“三同时”。</w:t>
      </w:r>
    </w:p>
    <w:p w14:paraId="322906C0">
      <w:pPr>
        <w:pStyle w:val="98"/>
        <w:rPr>
          <w:rFonts w:hint="eastAsia"/>
        </w:rPr>
      </w:pPr>
      <w:r>
        <w:t>施工期环境管理</w:t>
      </w:r>
    </w:p>
    <w:p w14:paraId="6AF4BF47">
      <w:pPr>
        <w:pStyle w:val="281"/>
        <w:ind w:firstLine="480"/>
      </w:pPr>
      <w:r>
        <w:rPr>
          <w:rFonts w:hint="eastAsia"/>
        </w:rPr>
        <w:t>环境监理工程师在不同工作阶段对工程所在区域及工程影响区域进行环境监理，对重要的环境保护设施和措施实施旁站监理制度，确保环保设备工程质量和环保措施的实施，以减小项目实施对环境的影响。</w:t>
      </w:r>
    </w:p>
    <w:p w14:paraId="4A5AE43A">
      <w:pPr>
        <w:pStyle w:val="281"/>
        <w:ind w:firstLine="480"/>
      </w:pPr>
      <w:r>
        <w:rPr>
          <w:rFonts w:hint="eastAsia"/>
        </w:rPr>
        <w:t>本项目的环境监理工作阶段分为：施工准备阶段环境监理；施工阶段环境监理；工程验收阶段（交工及缺陷责任区）环境监理。</w:t>
      </w:r>
    </w:p>
    <w:p w14:paraId="1BF27265">
      <w:pPr>
        <w:pStyle w:val="281"/>
        <w:ind w:firstLine="480"/>
      </w:pPr>
      <w:r>
        <w:rPr>
          <w:rFonts w:hint="eastAsia"/>
        </w:rPr>
        <w:t>（</w:t>
      </w:r>
      <w:r>
        <w:t>1</w:t>
      </w:r>
      <w:r>
        <w:rPr>
          <w:rFonts w:hint="eastAsia"/>
        </w:rPr>
        <w:t>）施工准备阶段</w:t>
      </w:r>
    </w:p>
    <w:p w14:paraId="3F1B40B1">
      <w:pPr>
        <w:pStyle w:val="281"/>
        <w:ind w:firstLine="480"/>
      </w:pPr>
      <w:r>
        <w:rPr>
          <w:rFonts w:hint="eastAsia"/>
        </w:rPr>
        <w:t>这一阶段的监理任务主要是编制环境监理细则，审核施工合同中的环保条款、承包商施工期环境管理计划和施工组织设计中的环保措施，核实工程占地和准备工作，审核施工物料的堆放是否符合环保要求。</w:t>
      </w:r>
    </w:p>
    <w:p w14:paraId="138DA264">
      <w:pPr>
        <w:pStyle w:val="281"/>
        <w:ind w:firstLine="480"/>
      </w:pPr>
      <w:r>
        <w:rPr>
          <w:rFonts w:hint="eastAsia"/>
        </w:rPr>
        <w:t>（</w:t>
      </w:r>
      <w:r>
        <w:t>2</w:t>
      </w:r>
      <w:r>
        <w:rPr>
          <w:rFonts w:hint="eastAsia"/>
        </w:rPr>
        <w:t>）施工阶段</w:t>
      </w:r>
    </w:p>
    <w:p w14:paraId="3B9B92DF">
      <w:pPr>
        <w:pStyle w:val="281"/>
        <w:ind w:firstLine="480"/>
      </w:pPr>
      <w:r>
        <w:rPr>
          <w:rFonts w:hint="eastAsia"/>
        </w:rPr>
        <w:t>施工过程的环境监理内容主要是督促施工单位落实环境影响报告书中提出的各项环境保护措施，规范施工过程。本项目施工阶段主要的环境监理要点见表</w:t>
      </w:r>
      <w:r>
        <w:t>10.1.2-</w:t>
      </w:r>
      <w:r>
        <w:rPr>
          <w:rFonts w:hint="eastAsia"/>
        </w:rPr>
        <w:t>1。环境监理人员根据要点进行监理，及时纠正不规范的操作。</w:t>
      </w:r>
    </w:p>
    <w:p w14:paraId="5A5E45DC">
      <w:pPr>
        <w:pStyle w:val="281"/>
        <w:ind w:firstLine="480"/>
      </w:pPr>
      <w:r>
        <w:rPr>
          <w:rFonts w:hint="eastAsia"/>
        </w:rPr>
        <w:t>建设单位应在</w:t>
      </w:r>
      <w:r>
        <w:t>施工招标文件和施工合同应明确环保条款和责任，加强施工期环境管理，委托有能力的单位开展工程环境监理，针对各项措施及管理要求落实情况、实施效果等开展监理，监理报告定期向</w:t>
      </w:r>
      <w:r>
        <w:rPr>
          <w:rFonts w:hint="eastAsia"/>
        </w:rPr>
        <w:t>哈密市</w:t>
      </w:r>
      <w:r>
        <w:t>生态环境局报送并向社会公开</w:t>
      </w:r>
      <w:r>
        <w:rPr>
          <w:rFonts w:hint="eastAsia"/>
        </w:rPr>
        <w:t>。</w:t>
      </w:r>
    </w:p>
    <w:p w14:paraId="6DAAE262">
      <w:pPr>
        <w:pStyle w:val="512"/>
        <w:ind w:firstLine="546"/>
        <w:jc w:val="center"/>
        <w:rPr>
          <w:rFonts w:hint="eastAsia"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表10.1</w:t>
      </w:r>
      <w:r>
        <w:rPr>
          <w:rFonts w:ascii="黑体" w:hAnsi="黑体" w:eastAsia="黑体"/>
          <w:b/>
          <w:color w:val="000000" w:themeColor="text1"/>
          <w14:textFill>
            <w14:solidFill>
              <w14:schemeClr w14:val="tx1"/>
            </w14:solidFill>
          </w14:textFill>
        </w:rPr>
        <w:t>.2</w:t>
      </w:r>
      <w:r>
        <w:rPr>
          <w:rFonts w:hint="eastAsia" w:ascii="黑体" w:hAnsi="黑体" w:eastAsia="黑体"/>
          <w:b/>
          <w:color w:val="000000" w:themeColor="text1"/>
          <w14:textFill>
            <w14:solidFill>
              <w14:schemeClr w14:val="tx1"/>
            </w14:solidFill>
          </w14:textFill>
        </w:rPr>
        <w:t xml:space="preserve">-1     </w:t>
      </w:r>
      <w:r>
        <w:rPr>
          <w:rFonts w:hint="eastAsia" w:ascii="黑体" w:hAnsi="黑体" w:eastAsia="黑体" w:cs="K,Bold"/>
          <w:b/>
          <w:bCs/>
          <w:color w:val="000000" w:themeColor="text1"/>
          <w:szCs w:val="21"/>
          <w14:textFill>
            <w14:solidFill>
              <w14:schemeClr w14:val="tx1"/>
            </w14:solidFill>
          </w14:textFill>
        </w:rPr>
        <w:t>施工阶段环境监理主要内容</w:t>
      </w:r>
    </w:p>
    <w:tbl>
      <w:tblPr>
        <w:tblStyle w:val="65"/>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387"/>
        <w:gridCol w:w="992"/>
        <w:gridCol w:w="1309"/>
      </w:tblGrid>
      <w:tr w14:paraId="1FEE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Align w:val="center"/>
          </w:tcPr>
          <w:p w14:paraId="4FBBC528">
            <w:pPr>
              <w:pStyle w:val="557"/>
            </w:pPr>
            <w:r>
              <w:t>阶段</w:t>
            </w:r>
          </w:p>
        </w:tc>
        <w:tc>
          <w:tcPr>
            <w:tcW w:w="5387" w:type="dxa"/>
            <w:vAlign w:val="center"/>
          </w:tcPr>
          <w:p w14:paraId="71877D99">
            <w:pPr>
              <w:pStyle w:val="557"/>
            </w:pPr>
            <w:r>
              <w:t>主要采取的措施</w:t>
            </w:r>
          </w:p>
        </w:tc>
        <w:tc>
          <w:tcPr>
            <w:tcW w:w="992" w:type="dxa"/>
            <w:vAlign w:val="center"/>
          </w:tcPr>
          <w:p w14:paraId="75EA5043">
            <w:pPr>
              <w:pStyle w:val="557"/>
            </w:pPr>
            <w:r>
              <w:t>实施机构</w:t>
            </w:r>
          </w:p>
        </w:tc>
        <w:tc>
          <w:tcPr>
            <w:tcW w:w="1309" w:type="dxa"/>
            <w:vAlign w:val="center"/>
          </w:tcPr>
          <w:p w14:paraId="391619F2">
            <w:pPr>
              <w:pStyle w:val="557"/>
            </w:pPr>
            <w:r>
              <w:t>监理机构</w:t>
            </w:r>
          </w:p>
        </w:tc>
      </w:tr>
      <w:tr w14:paraId="3283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restart"/>
            <w:vAlign w:val="center"/>
          </w:tcPr>
          <w:p w14:paraId="0C4C93C2">
            <w:pPr>
              <w:pStyle w:val="557"/>
            </w:pPr>
            <w:r>
              <w:t>施工期</w:t>
            </w:r>
          </w:p>
        </w:tc>
        <w:tc>
          <w:tcPr>
            <w:tcW w:w="5387" w:type="dxa"/>
            <w:vAlign w:val="center"/>
          </w:tcPr>
          <w:p w14:paraId="70CD4095">
            <w:pPr>
              <w:pStyle w:val="557"/>
            </w:pPr>
            <w:r>
              <w:t>控制施工时间，禁止夜间施工，严禁施工噪声扰民</w:t>
            </w:r>
          </w:p>
        </w:tc>
        <w:tc>
          <w:tcPr>
            <w:tcW w:w="992" w:type="dxa"/>
            <w:vMerge w:val="restart"/>
            <w:vAlign w:val="center"/>
          </w:tcPr>
          <w:p w14:paraId="0D337C6F">
            <w:pPr>
              <w:pStyle w:val="557"/>
            </w:pPr>
            <w:r>
              <w:t>施工单位</w:t>
            </w:r>
          </w:p>
        </w:tc>
        <w:tc>
          <w:tcPr>
            <w:tcW w:w="1309" w:type="dxa"/>
            <w:vMerge w:val="restart"/>
            <w:vAlign w:val="center"/>
          </w:tcPr>
          <w:p w14:paraId="0B395BCF">
            <w:pPr>
              <w:pStyle w:val="557"/>
            </w:pPr>
            <w:r>
              <w:t>施工监理单位、当地生态环境部门</w:t>
            </w:r>
          </w:p>
        </w:tc>
      </w:tr>
      <w:tr w14:paraId="18E9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continue"/>
            <w:vAlign w:val="center"/>
          </w:tcPr>
          <w:p w14:paraId="06089895">
            <w:pPr>
              <w:pStyle w:val="557"/>
            </w:pPr>
          </w:p>
        </w:tc>
        <w:tc>
          <w:tcPr>
            <w:tcW w:w="5387" w:type="dxa"/>
            <w:vAlign w:val="center"/>
          </w:tcPr>
          <w:p w14:paraId="12D23C63">
            <w:pPr>
              <w:pStyle w:val="557"/>
            </w:pPr>
            <w:r>
              <w:t>施工临时用地施工结束及时清理、复植</w:t>
            </w:r>
          </w:p>
        </w:tc>
        <w:tc>
          <w:tcPr>
            <w:tcW w:w="992" w:type="dxa"/>
            <w:vMerge w:val="continue"/>
            <w:vAlign w:val="center"/>
          </w:tcPr>
          <w:p w14:paraId="2663548B">
            <w:pPr>
              <w:pStyle w:val="557"/>
            </w:pPr>
          </w:p>
        </w:tc>
        <w:tc>
          <w:tcPr>
            <w:tcW w:w="1309" w:type="dxa"/>
            <w:vMerge w:val="continue"/>
            <w:vAlign w:val="center"/>
          </w:tcPr>
          <w:p w14:paraId="4BAF2346">
            <w:pPr>
              <w:pStyle w:val="557"/>
            </w:pPr>
          </w:p>
        </w:tc>
      </w:tr>
      <w:tr w14:paraId="7437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continue"/>
            <w:vAlign w:val="center"/>
          </w:tcPr>
          <w:p w14:paraId="416D6C60">
            <w:pPr>
              <w:pStyle w:val="557"/>
            </w:pPr>
          </w:p>
        </w:tc>
        <w:tc>
          <w:tcPr>
            <w:tcW w:w="5387" w:type="dxa"/>
            <w:vAlign w:val="center"/>
          </w:tcPr>
          <w:p w14:paraId="1DE36E87">
            <w:pPr>
              <w:pStyle w:val="557"/>
            </w:pPr>
            <w:r>
              <w:t>施工营地生活污水经收集处理后回用，生活垃圾集中堆放清运处置</w:t>
            </w:r>
          </w:p>
        </w:tc>
        <w:tc>
          <w:tcPr>
            <w:tcW w:w="992" w:type="dxa"/>
            <w:vMerge w:val="continue"/>
            <w:vAlign w:val="center"/>
          </w:tcPr>
          <w:p w14:paraId="3913E7BE">
            <w:pPr>
              <w:pStyle w:val="557"/>
            </w:pPr>
          </w:p>
        </w:tc>
        <w:tc>
          <w:tcPr>
            <w:tcW w:w="1309" w:type="dxa"/>
            <w:vMerge w:val="continue"/>
            <w:vAlign w:val="center"/>
          </w:tcPr>
          <w:p w14:paraId="4BAE2E6D">
            <w:pPr>
              <w:pStyle w:val="557"/>
            </w:pPr>
          </w:p>
        </w:tc>
      </w:tr>
      <w:tr w14:paraId="5A85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continue"/>
            <w:vAlign w:val="center"/>
          </w:tcPr>
          <w:p w14:paraId="218912EB">
            <w:pPr>
              <w:pStyle w:val="557"/>
            </w:pPr>
          </w:p>
        </w:tc>
        <w:tc>
          <w:tcPr>
            <w:tcW w:w="5387" w:type="dxa"/>
            <w:vAlign w:val="center"/>
          </w:tcPr>
          <w:p w14:paraId="22A78F39">
            <w:pPr>
              <w:pStyle w:val="557"/>
            </w:pPr>
            <w:r>
              <w:t>运输车辆加盖</w:t>
            </w:r>
            <w:r>
              <w:rPr>
                <w:rFonts w:ascii="Helvetica" w:hAnsi="Helvetica"/>
                <w:shd w:val="clear" w:color="auto" w:fill="FFFFFF"/>
              </w:rPr>
              <w:t>篷布</w:t>
            </w:r>
            <w:r>
              <w:t>，施工便道定期洒水</w:t>
            </w:r>
          </w:p>
        </w:tc>
        <w:tc>
          <w:tcPr>
            <w:tcW w:w="992" w:type="dxa"/>
            <w:vMerge w:val="continue"/>
            <w:vAlign w:val="center"/>
          </w:tcPr>
          <w:p w14:paraId="112E4CFC">
            <w:pPr>
              <w:pStyle w:val="557"/>
            </w:pPr>
          </w:p>
        </w:tc>
        <w:tc>
          <w:tcPr>
            <w:tcW w:w="1309" w:type="dxa"/>
            <w:vMerge w:val="continue"/>
            <w:vAlign w:val="center"/>
          </w:tcPr>
          <w:p w14:paraId="384C19C4">
            <w:pPr>
              <w:pStyle w:val="557"/>
            </w:pPr>
          </w:p>
        </w:tc>
      </w:tr>
      <w:tr w14:paraId="6A22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continue"/>
            <w:vAlign w:val="center"/>
          </w:tcPr>
          <w:p w14:paraId="47D624BF">
            <w:pPr>
              <w:pStyle w:val="557"/>
            </w:pPr>
          </w:p>
        </w:tc>
        <w:tc>
          <w:tcPr>
            <w:tcW w:w="5387" w:type="dxa"/>
            <w:vAlign w:val="center"/>
          </w:tcPr>
          <w:p w14:paraId="7D4C7CF6">
            <w:pPr>
              <w:pStyle w:val="557"/>
            </w:pPr>
            <w:r>
              <w:t>路基边坡防护与加固工程实施</w:t>
            </w:r>
          </w:p>
        </w:tc>
        <w:tc>
          <w:tcPr>
            <w:tcW w:w="992" w:type="dxa"/>
            <w:vMerge w:val="continue"/>
            <w:vAlign w:val="center"/>
          </w:tcPr>
          <w:p w14:paraId="7A62F7CD">
            <w:pPr>
              <w:pStyle w:val="557"/>
            </w:pPr>
          </w:p>
        </w:tc>
        <w:tc>
          <w:tcPr>
            <w:tcW w:w="1309" w:type="dxa"/>
            <w:vMerge w:val="continue"/>
            <w:vAlign w:val="center"/>
          </w:tcPr>
          <w:p w14:paraId="41C97F37">
            <w:pPr>
              <w:pStyle w:val="557"/>
            </w:pPr>
          </w:p>
        </w:tc>
      </w:tr>
      <w:tr w14:paraId="0E3E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vMerge w:val="continue"/>
            <w:vAlign w:val="center"/>
          </w:tcPr>
          <w:p w14:paraId="3CD8ABBD">
            <w:pPr>
              <w:pStyle w:val="557"/>
            </w:pPr>
          </w:p>
        </w:tc>
        <w:tc>
          <w:tcPr>
            <w:tcW w:w="5387" w:type="dxa"/>
            <w:vAlign w:val="center"/>
          </w:tcPr>
          <w:p w14:paraId="5F414F18">
            <w:pPr>
              <w:pStyle w:val="557"/>
            </w:pPr>
            <w:r>
              <w:t>水土保持工程及绿化方案实施</w:t>
            </w:r>
          </w:p>
        </w:tc>
        <w:tc>
          <w:tcPr>
            <w:tcW w:w="992" w:type="dxa"/>
            <w:vMerge w:val="continue"/>
            <w:vAlign w:val="center"/>
          </w:tcPr>
          <w:p w14:paraId="678438F6">
            <w:pPr>
              <w:pStyle w:val="557"/>
            </w:pPr>
          </w:p>
        </w:tc>
        <w:tc>
          <w:tcPr>
            <w:tcW w:w="1309" w:type="dxa"/>
            <w:vMerge w:val="continue"/>
            <w:vAlign w:val="center"/>
          </w:tcPr>
          <w:p w14:paraId="568A2F20">
            <w:pPr>
              <w:pStyle w:val="557"/>
            </w:pPr>
          </w:p>
        </w:tc>
      </w:tr>
    </w:tbl>
    <w:p w14:paraId="182BD3EA">
      <w:pPr>
        <w:pStyle w:val="281"/>
        <w:ind w:firstLine="480"/>
      </w:pPr>
      <w:r>
        <w:rPr>
          <w:rFonts w:hint="eastAsia"/>
        </w:rPr>
        <w:t>（3）交工及缺陷责任期阶段</w:t>
      </w:r>
    </w:p>
    <w:p w14:paraId="646D6603">
      <w:pPr>
        <w:pStyle w:val="281"/>
        <w:ind w:firstLine="480"/>
      </w:pPr>
      <w:r>
        <w:rPr>
          <w:rFonts w:hint="eastAsia"/>
        </w:rPr>
        <w:t>主要是工程竣工环境保护验收的相关资料的汇总、环保工程的施工等以及缺陷责任期阶段针对施工场地清理的监理。</w:t>
      </w:r>
    </w:p>
    <w:p w14:paraId="53EF6F29">
      <w:pPr>
        <w:pStyle w:val="97"/>
        <w:rPr>
          <w:rFonts w:hint="eastAsia"/>
        </w:rPr>
      </w:pPr>
      <w:r>
        <w:rPr>
          <w:rFonts w:hint="eastAsia"/>
        </w:rPr>
        <w:t>排污许可管理</w:t>
      </w:r>
    </w:p>
    <w:p w14:paraId="23884B38">
      <w:pPr>
        <w:pStyle w:val="281"/>
        <w:ind w:firstLine="480"/>
      </w:pPr>
      <w:r>
        <w:rPr>
          <w:rFonts w:hint="eastAsia"/>
        </w:rPr>
        <w:t>项目验收前，建设单位应按照《排污许可管理条例》（国务院令第</w:t>
      </w:r>
      <w:r>
        <w:t>736</w:t>
      </w:r>
      <w:r>
        <w:rPr>
          <w:rFonts w:hint="eastAsia"/>
        </w:rPr>
        <w:t>号），向其生产经营场所所在地设区的市级以上地方人民政府生态环境主管部门（以下称审批部门）申请取得排污许可证。按照《排污许可管理条例》，本项目属于污染物产生量、排放量或者对环境的影响程度较大的排污单位，实行排污许可重点管理。</w:t>
      </w:r>
    </w:p>
    <w:p w14:paraId="3EBA5638">
      <w:pPr>
        <w:pStyle w:val="281"/>
        <w:ind w:firstLine="480"/>
      </w:pPr>
      <w:r>
        <w:rPr>
          <w:rFonts w:hint="eastAsia"/>
        </w:rPr>
        <w:t>（1）排污许可申请</w:t>
      </w:r>
    </w:p>
    <w:p w14:paraId="0D8A8900">
      <w:pPr>
        <w:pStyle w:val="281"/>
        <w:ind w:firstLine="480"/>
      </w:pPr>
      <w:r>
        <w:rPr>
          <w:rFonts w:hint="eastAsia"/>
        </w:rPr>
        <w:t>排污许可证申请表应当包括下列事项：</w:t>
      </w:r>
    </w:p>
    <w:p w14:paraId="16B672A2">
      <w:pPr>
        <w:pStyle w:val="281"/>
        <w:ind w:firstLine="480"/>
      </w:pPr>
      <w:r>
        <w:rPr>
          <w:rFonts w:hint="eastAsia"/>
        </w:rPr>
        <w:t>①排污单位名称、住所、法定代表人或者主要负责人、生产经营场所所在地、统一社会信用代码等信息；</w:t>
      </w:r>
    </w:p>
    <w:p w14:paraId="70587C14">
      <w:pPr>
        <w:pStyle w:val="281"/>
        <w:ind w:firstLine="480"/>
      </w:pPr>
      <w:r>
        <w:rPr>
          <w:rFonts w:hint="eastAsia"/>
        </w:rPr>
        <w:t>②建设项目环境影响报告书（表）批准文件或者环境影响登记表备案材料；</w:t>
      </w:r>
    </w:p>
    <w:p w14:paraId="0D9CF332">
      <w:pPr>
        <w:pStyle w:val="281"/>
        <w:ind w:firstLine="480"/>
      </w:pPr>
      <w:r>
        <w:rPr>
          <w:rFonts w:hint="eastAsia"/>
        </w:rPr>
        <w:t>③按照污染物排放口、主要生产设施或者车间、厂界申请的污染物排放种类、排放浓度和排放量，执行的污染物排放标准和重点污染物排放总量控制指标；</w:t>
      </w:r>
    </w:p>
    <w:p w14:paraId="592A763E">
      <w:pPr>
        <w:pStyle w:val="281"/>
        <w:ind w:firstLine="480"/>
      </w:pPr>
      <w:r>
        <w:rPr>
          <w:rFonts w:hint="eastAsia"/>
        </w:rPr>
        <w:t>④污染防治设施、污染物排放口位置和数量，污染物排放方式、排放去向、自行监测方案等信息；</w:t>
      </w:r>
    </w:p>
    <w:p w14:paraId="4D070163">
      <w:pPr>
        <w:pStyle w:val="281"/>
        <w:ind w:firstLine="480"/>
      </w:pPr>
      <w:r>
        <w:rPr>
          <w:rFonts w:hint="eastAsia"/>
        </w:rPr>
        <w:t>⑤主要生产设施、主要产品及产能、主要原辅材料、产生和排放污染物环节等信息，及其是否涉及商业秘密等不宜公开情形的情况说明。</w:t>
      </w:r>
    </w:p>
    <w:p w14:paraId="20CD1D24">
      <w:pPr>
        <w:pStyle w:val="281"/>
        <w:ind w:firstLine="480"/>
      </w:pPr>
      <w:r>
        <w:rPr>
          <w:rFonts w:hint="eastAsia"/>
        </w:rPr>
        <w:t>另外，属于实行排污许可重点管理的，排污单位在提出申请前已通过全国排污许可证管理信息平台公开单位基本信息、拟申请许可事项的说明材料；</w:t>
      </w:r>
    </w:p>
    <w:p w14:paraId="77E3B050">
      <w:pPr>
        <w:pStyle w:val="281"/>
        <w:ind w:firstLine="480"/>
      </w:pPr>
      <w:r>
        <w:rPr>
          <w:rFonts w:hint="eastAsia"/>
        </w:rPr>
        <w:t>（2）排污许可证有效期及换发</w:t>
      </w:r>
    </w:p>
    <w:p w14:paraId="74EFDCC7">
      <w:pPr>
        <w:pStyle w:val="281"/>
        <w:ind w:firstLine="480"/>
      </w:pPr>
      <w:r>
        <w:rPr>
          <w:rFonts w:hint="eastAsia"/>
        </w:rPr>
        <w:t>排污许可证有效期为</w:t>
      </w:r>
      <w:r>
        <w:t>5</w:t>
      </w:r>
      <w:r>
        <w:rPr>
          <w:rFonts w:hint="eastAsia"/>
        </w:rPr>
        <w:t>年。</w:t>
      </w:r>
    </w:p>
    <w:p w14:paraId="30F5B7E7">
      <w:pPr>
        <w:pStyle w:val="281"/>
        <w:ind w:firstLine="480"/>
      </w:pPr>
      <w:r>
        <w:rPr>
          <w:rFonts w:hint="eastAsia"/>
        </w:rPr>
        <w:t>排污许可证有效期届满，排污单位需要继续排放污染物的，应当于排污许可证有效期届满</w:t>
      </w:r>
      <w:r>
        <w:t>60</w:t>
      </w:r>
      <w:r>
        <w:rPr>
          <w:rFonts w:hint="eastAsia"/>
        </w:rPr>
        <w:t>日前向审批部门提出申请。审批部门应当自受理申请之日起</w:t>
      </w:r>
      <w:r>
        <w:t>20</w:t>
      </w:r>
      <w:r>
        <w:rPr>
          <w:rFonts w:hint="eastAsia"/>
        </w:rPr>
        <w:t>日内完成审查；对符合条件的予以延续，对不符合条件的不予延续并书面说明理由。</w:t>
      </w:r>
    </w:p>
    <w:p w14:paraId="5D9CEB43">
      <w:pPr>
        <w:pStyle w:val="281"/>
        <w:ind w:firstLine="480"/>
      </w:pPr>
      <w:r>
        <w:rPr>
          <w:rFonts w:hint="eastAsia"/>
        </w:rPr>
        <w:t>排污单位变更名称、住所、法定代表人或者主要负责人的，应当自变更之日起</w:t>
      </w:r>
      <w:r>
        <w:t>30</w:t>
      </w:r>
      <w:r>
        <w:rPr>
          <w:rFonts w:hint="eastAsia"/>
        </w:rPr>
        <w:t>日内，向审批部门申请办理排污许可证变更手续。</w:t>
      </w:r>
    </w:p>
    <w:p w14:paraId="67FA5B14">
      <w:pPr>
        <w:pStyle w:val="281"/>
        <w:ind w:firstLine="480"/>
      </w:pPr>
      <w:r>
        <w:rPr>
          <w:rFonts w:hint="eastAsia"/>
        </w:rPr>
        <w:t>在排污许可证有效期内，排污单位有下列情形之一的，应当重新申请取得排污许可证：</w:t>
      </w:r>
    </w:p>
    <w:p w14:paraId="0A850422">
      <w:pPr>
        <w:pStyle w:val="281"/>
        <w:ind w:firstLine="480"/>
      </w:pPr>
      <w:r>
        <w:rPr>
          <w:rFonts w:hint="eastAsia"/>
        </w:rPr>
        <w:t>①新建、改建、扩建排放污染物的项目；</w:t>
      </w:r>
    </w:p>
    <w:p w14:paraId="2BFC351D">
      <w:pPr>
        <w:pStyle w:val="281"/>
        <w:ind w:firstLine="480"/>
      </w:pPr>
      <w:r>
        <w:rPr>
          <w:rFonts w:hint="eastAsia"/>
        </w:rPr>
        <w:t>②生产经营场所、污染物排放口位置或者污染物排放方式、排放去向发生变化；</w:t>
      </w:r>
    </w:p>
    <w:p w14:paraId="058E6C2F">
      <w:pPr>
        <w:pStyle w:val="281"/>
        <w:ind w:firstLine="480"/>
      </w:pPr>
      <w:r>
        <w:rPr>
          <w:rFonts w:hint="eastAsia"/>
        </w:rPr>
        <w:t>③污染物排放口数量或者污染物排放种类、排放量、排放浓度增加。</w:t>
      </w:r>
    </w:p>
    <w:p w14:paraId="43D907F6">
      <w:pPr>
        <w:pStyle w:val="281"/>
        <w:ind w:firstLine="480"/>
      </w:pPr>
      <w:r>
        <w:rPr>
          <w:rFonts w:hint="eastAsia"/>
        </w:rPr>
        <w:t>排污单</w:t>
      </w:r>
      <w:r>
        <w:t>位适用的污染物排放标准、重点污染物总量控制要求发生变化，需要对排污许可证进行变更的，审批部门可以依法对排污许可证相应事项进行变更。</w:t>
      </w:r>
    </w:p>
    <w:p w14:paraId="78134DBE">
      <w:pPr>
        <w:pStyle w:val="281"/>
        <w:ind w:firstLine="480"/>
      </w:pPr>
      <w:r>
        <w:t>（3）排污管理</w:t>
      </w:r>
    </w:p>
    <w:p w14:paraId="179A6903">
      <w:pPr>
        <w:pStyle w:val="281"/>
        <w:ind w:firstLine="480"/>
      </w:pPr>
      <w:r>
        <w:rPr>
          <w:rFonts w:hint="eastAsia"/>
        </w:rPr>
        <w:t>①</w:t>
      </w:r>
      <w:r>
        <w:t>排污单位应当遵守排污许可证规定，按照生态环境管理要求运行和维护污染防治设施，建立环</w:t>
      </w:r>
      <w:r>
        <w:rPr>
          <w:rFonts w:hint="eastAsia"/>
        </w:rPr>
        <w:t>境管理制度，严格控制污染物排放。</w:t>
      </w:r>
    </w:p>
    <w:p w14:paraId="19BB5CA7">
      <w:pPr>
        <w:pStyle w:val="281"/>
        <w:ind w:firstLine="480"/>
      </w:pPr>
      <w:r>
        <w:rPr>
          <w:rFonts w:hint="eastAsia"/>
        </w:rPr>
        <w:t>②排污单位应当按照生态环境主管部门的规定建设规范化污染物排放口，并设置标志牌。污染物排放口位置和数量、污染物排放方式和排放去向应当与排污许可证规定相符。实施新建、改建、扩建项目和技术改造的排污单位，应当在建设污染防治设施的同时，建设规范化污染物排放口。</w:t>
      </w:r>
    </w:p>
    <w:p w14:paraId="43DE2DDD">
      <w:pPr>
        <w:pStyle w:val="281"/>
        <w:ind w:firstLine="480"/>
      </w:pPr>
      <w:r>
        <w:rPr>
          <w:rFonts w:hint="eastAsia"/>
        </w:rPr>
        <w:t>③排污单位应当按照排污许可证规定和有关标准规范，依法开展自行监测，并保存原始监测记录。原始监测记录保存期限不得少于</w:t>
      </w:r>
      <w:r>
        <w:t>5</w:t>
      </w:r>
      <w:r>
        <w:rPr>
          <w:rFonts w:hint="eastAsia"/>
        </w:rPr>
        <w:t>年。排污单位应当对自行监测数据的真实性、准确性负责，不得篡改、伪造。</w:t>
      </w:r>
    </w:p>
    <w:p w14:paraId="3D923DCB">
      <w:pPr>
        <w:pStyle w:val="281"/>
        <w:ind w:firstLine="480"/>
      </w:pPr>
      <w:r>
        <w:rPr>
          <w:rFonts w:hint="eastAsia"/>
        </w:rPr>
        <w:t>④实行排污许可重点管理的排污单位，应当依法安装、使用、维护污染物排放自动监测设备，并与生态环境主管部门的监控设备联网。排污单位发现污染物排放自动监测设备传输数据异常的，应当及时报告生态环境主管部门，并进行检查、修复。</w:t>
      </w:r>
    </w:p>
    <w:p w14:paraId="2E596BAA">
      <w:pPr>
        <w:pStyle w:val="281"/>
        <w:ind w:firstLine="480"/>
      </w:pPr>
      <w:r>
        <w:rPr>
          <w:rFonts w:hint="eastAsia" w:ascii="宋体" w:hAnsi="宋体"/>
        </w:rPr>
        <w:t>⑤排污单位应当建立环境管理台账记录制度，按照排污许可证规定的格式、内容和频次，如实记</w:t>
      </w:r>
      <w:r>
        <w:t>录主要生产设施、污染防治设施运行情况以及污染物排放浓度、排放量。环境管理台账记录保存期限不得少于5年。</w:t>
      </w:r>
    </w:p>
    <w:p w14:paraId="37842735">
      <w:pPr>
        <w:pStyle w:val="281"/>
        <w:ind w:firstLine="480"/>
      </w:pPr>
      <w:r>
        <w:t>排污单位发现污染物排放超过污染物排放标准等异常情况时，应当立即采取措施消除、减轻危害后果，如实进行环境管理台账记录，并报告生态环境主管部门，说明原因。超过污染物排放标准等异常情况下的污染物排放计入排污单位的污染物排放量。</w:t>
      </w:r>
    </w:p>
    <w:p w14:paraId="63E0FCE9">
      <w:pPr>
        <w:pStyle w:val="281"/>
        <w:ind w:firstLine="480"/>
        <w:rPr>
          <w:rFonts w:hint="eastAsia" w:ascii="宋体" w:hAnsi="宋体"/>
        </w:rPr>
      </w:pPr>
      <w:r>
        <w:rPr>
          <w:rFonts w:hint="eastAsia" w:ascii="宋体" w:hAnsi="宋体"/>
        </w:rPr>
        <w:t>⑥</w:t>
      </w:r>
      <w:r>
        <w:t>排污单位应当按照排污许可证规定的</w:t>
      </w:r>
      <w:r>
        <w:rPr>
          <w:rFonts w:ascii="宋体" w:hAnsi="宋体"/>
        </w:rPr>
        <w:t>内容、频次和时间要求，向审批部门提交排污许可证执行报告，如实报告污染物排放行为、排放浓度、排放量等。排污许可证有效期内发生停产的，排污单位应当在排污许可证执行报告中如实报告污染物排放变化情况并说明原因。排污许可证执行报告中报告的污染物排放量可以作为年度生态环境统计、重点污染物排放总量考核、污染源排放清单编制的依据。</w:t>
      </w:r>
    </w:p>
    <w:p w14:paraId="49535C9F">
      <w:pPr>
        <w:pStyle w:val="281"/>
        <w:ind w:firstLine="480"/>
        <w:rPr>
          <w:rFonts w:hint="eastAsia" w:ascii="宋体" w:hAnsi="宋体"/>
        </w:rPr>
      </w:pPr>
      <w:r>
        <w:rPr>
          <w:rFonts w:hint="eastAsia" w:ascii="宋体" w:hAnsi="宋体"/>
        </w:rPr>
        <w:t>⑦</w:t>
      </w:r>
      <w:r>
        <w:rPr>
          <w:rFonts w:ascii="宋体" w:hAnsi="宋体"/>
        </w:rPr>
        <w:t>排污单位应当按照排污许可证规定，如实在全国排污许可证管理信息平台上公开污染物排放信息。</w:t>
      </w:r>
    </w:p>
    <w:p w14:paraId="1E1521C5">
      <w:pPr>
        <w:pStyle w:val="281"/>
        <w:ind w:firstLine="480"/>
        <w:rPr>
          <w:rFonts w:hint="eastAsia" w:ascii="宋体" w:hAnsi="宋体"/>
        </w:rPr>
      </w:pPr>
      <w:r>
        <w:rPr>
          <w:rFonts w:ascii="宋体" w:hAnsi="宋体"/>
        </w:rPr>
        <w:t>污染物排放信息应当包括污染物排放种类、排放浓度和排放量，以及污染防治设施的建设运行情况、排污许可证执行报告、自行监测数据等；其中，水污染物排入市政排水管网的，还应当包括污水接入市政排水管网位置、排放方式等信息。</w:t>
      </w:r>
    </w:p>
    <w:p w14:paraId="2BBD4C86">
      <w:pPr>
        <w:pStyle w:val="281"/>
        <w:ind w:firstLine="480"/>
        <w:rPr>
          <w:rFonts w:hint="eastAsia" w:ascii="宋体" w:hAnsi="宋体"/>
        </w:rPr>
      </w:pPr>
      <w:r>
        <w:rPr>
          <w:rFonts w:hint="eastAsia" w:ascii="宋体" w:hAnsi="宋体"/>
        </w:rPr>
        <w:t>⑧</w:t>
      </w:r>
      <w:r>
        <w:rPr>
          <w:rFonts w:ascii="宋体" w:hAnsi="宋体"/>
        </w:rPr>
        <w:t>污染物产生量、排放量和对环境的影响程度都很小的企业事业单位和其他生产经营者，应当填报排污登记表，不需要申请取得排污许可证。</w:t>
      </w:r>
    </w:p>
    <w:p w14:paraId="182D6EDF">
      <w:pPr>
        <w:pStyle w:val="281"/>
        <w:ind w:firstLine="480"/>
        <w:rPr>
          <w:rFonts w:hint="eastAsia" w:ascii="宋体" w:hAnsi="宋体"/>
        </w:rPr>
      </w:pPr>
      <w:r>
        <w:rPr>
          <w:rFonts w:ascii="宋体" w:hAnsi="宋体"/>
        </w:rPr>
        <w:t>需要填报排污登记表的企业事业单位和其他生产经营者范围名录，由国务院生态环境主管部门制定并公布。制定需要填报排污登记表的企业事业单位和其他生产经营者范围名录，应当征求有关部门、行业协会、企业事业单位和社会公众等方面的意见。</w:t>
      </w:r>
    </w:p>
    <w:p w14:paraId="220331B6">
      <w:pPr>
        <w:pStyle w:val="281"/>
        <w:ind w:firstLine="480"/>
      </w:pPr>
      <w:r>
        <w:rPr>
          <w:rFonts w:ascii="宋体" w:hAnsi="宋体"/>
        </w:rPr>
        <w:t>需要填报排污登记表的企业事业单位和其他生产经营者，应当在全国排污许可证管理信息平台上填报基本信</w:t>
      </w:r>
      <w:r>
        <w:t>息、污染物排放去向、执行的污染物排放标准以及采取的污染防治措施等信息；填报的信息发生变动的，应当自发生变动之日起20日内进行变更填报。</w:t>
      </w:r>
    </w:p>
    <w:p w14:paraId="6F96DEA4">
      <w:pPr>
        <w:pStyle w:val="97"/>
        <w:rPr>
          <w:rFonts w:hint="eastAsia"/>
        </w:rPr>
      </w:pPr>
      <w:r>
        <w:t>竣工环境保护验收</w:t>
      </w:r>
    </w:p>
    <w:p w14:paraId="09E83D61">
      <w:pPr>
        <w:pStyle w:val="281"/>
        <w:ind w:firstLine="480"/>
      </w:pPr>
      <w:r>
        <w:rPr>
          <w:rFonts w:hint="eastAsia"/>
        </w:rPr>
        <w:t>建设项目竣工后，建设单位应当按照国家有关法律法规、建设项目竣工环境保护验收技术规范、环境影响报告书和审批决定等要求，如实查验、监测、记载建设项目环境保护设施的建设和调试情况，同时还应如实记载其他环境保护对策措施</w:t>
      </w:r>
      <w:r>
        <w:t>“</w:t>
      </w:r>
      <w:r>
        <w:rPr>
          <w:rFonts w:hint="eastAsia"/>
        </w:rPr>
        <w:t>三同时</w:t>
      </w:r>
      <w:r>
        <w:t>”</w:t>
      </w:r>
      <w:r>
        <w:rPr>
          <w:rFonts w:hint="eastAsia"/>
        </w:rPr>
        <w:t>落实情况，编制竣工环境保护验收报告。验收报告编制完成后，建设单位应组织成立验收工作组。验收工作组由建设单位、设计单位、施工单位、环境影响报告书（表）编制机构、验收报告编制机构等单位代表和专业技术专家组成。验收工作组形成验收意见，建设单位应当对验收工作组提出的问题进行整改，合格后方可出具验收合格的意见。建设项目配套建设的环境保护设施经验收合格后，其主体工程才可以投入生产或者使用。</w:t>
      </w:r>
    </w:p>
    <w:p w14:paraId="2D877932">
      <w:pPr>
        <w:pStyle w:val="281"/>
        <w:ind w:firstLine="480"/>
      </w:pPr>
      <w:r>
        <w:rPr>
          <w:rFonts w:hint="eastAsia"/>
        </w:rPr>
        <w:t>建设单位应当在竣工环境保护报告书完成后，通过网站或者其他便于公众知悉的方式，依法向社会公开验收报告和验收意见，公开的期限不得少于20个工作日。公开结束后</w:t>
      </w:r>
      <w:r>
        <w:t>5</w:t>
      </w:r>
      <w:r>
        <w:rPr>
          <w:rFonts w:hint="eastAsia"/>
        </w:rPr>
        <w:t>个工作日内，建设单位应当登录全国建设项目竣工环境保护验收信息平台，填报相关信息并对信息的真实性、准确性和完整性负责。</w:t>
      </w:r>
    </w:p>
    <w:p w14:paraId="41414D87">
      <w:pPr>
        <w:pStyle w:val="97"/>
        <w:rPr>
          <w:rFonts w:hint="eastAsia"/>
        </w:rPr>
      </w:pPr>
      <w:r>
        <w:rPr>
          <w:rFonts w:hint="eastAsia"/>
        </w:rPr>
        <w:t>运营期环境管理</w:t>
      </w:r>
    </w:p>
    <w:p w14:paraId="01481022">
      <w:pPr>
        <w:pStyle w:val="98"/>
        <w:rPr>
          <w:rFonts w:hint="eastAsia"/>
        </w:rPr>
      </w:pPr>
      <w:r>
        <w:t>运营期环境管理制度</w:t>
      </w:r>
    </w:p>
    <w:p w14:paraId="449FA4E5">
      <w:pPr>
        <w:spacing w:line="360" w:lineRule="auto"/>
        <w:ind w:firstLine="480" w:firstLineChars="200"/>
        <w:rPr>
          <w:rFonts w:hint="eastAsia"/>
        </w:rPr>
      </w:pPr>
      <w:r>
        <w:rPr>
          <w:rFonts w:hint="eastAsia"/>
        </w:rPr>
        <w:t>项目运营阶段，企业应以相关环保法律、法规为依据，制定环境保护管理办法，通过对项目前后的环境审核，设定环境方针，建立环境目标和指标，设计环境方案，以达到“清洁生产”的良好效果，求得环境长远持久发展。应建立内部环境审核制度、清洁生产教育和培训制度、环境目标和指标制度、内部环境管理监督检查制度。</w:t>
      </w:r>
    </w:p>
    <w:p w14:paraId="3B85B60A">
      <w:pPr>
        <w:pStyle w:val="98"/>
        <w:rPr>
          <w:rFonts w:hint="eastAsia"/>
        </w:rPr>
      </w:pPr>
      <w:r>
        <w:t>运营期环境管理任务</w:t>
      </w:r>
    </w:p>
    <w:p w14:paraId="13A58290">
      <w:pPr>
        <w:pStyle w:val="281"/>
        <w:ind w:firstLine="480"/>
      </w:pPr>
      <w:r>
        <w:rPr>
          <w:rFonts w:hint="eastAsia"/>
        </w:rPr>
        <w:t>（</w:t>
      </w:r>
      <w:r>
        <w:t>1</w:t>
      </w:r>
      <w:r>
        <w:rPr>
          <w:rFonts w:hint="eastAsia"/>
        </w:rPr>
        <w:t>）项目进入运营期，应有环保部门、建设单位共同参与验收，检查环保设施是否按“三同时”进行；</w:t>
      </w:r>
    </w:p>
    <w:p w14:paraId="4F8E9B7D">
      <w:pPr>
        <w:pStyle w:val="281"/>
        <w:ind w:firstLine="480"/>
      </w:pPr>
      <w:r>
        <w:rPr>
          <w:rFonts w:hint="eastAsia"/>
        </w:rPr>
        <w:t>（</w:t>
      </w:r>
      <w:r>
        <w:t>2</w:t>
      </w:r>
      <w:r>
        <w:rPr>
          <w:rFonts w:hint="eastAsia"/>
        </w:rPr>
        <w:t>）严格执行各项生产及环境管理制度，保证生产的正常运行；</w:t>
      </w:r>
    </w:p>
    <w:p w14:paraId="2CEFE7B3">
      <w:pPr>
        <w:pStyle w:val="281"/>
        <w:ind w:firstLine="480"/>
      </w:pPr>
      <w:r>
        <w:rPr>
          <w:rFonts w:hint="eastAsia"/>
        </w:rPr>
        <w:t>（</w:t>
      </w:r>
      <w:r>
        <w:t>3</w:t>
      </w:r>
      <w:r>
        <w:rPr>
          <w:rFonts w:hint="eastAsia"/>
        </w:rPr>
        <w:t>）按照监测计划定期组织进行全厂内的污染源监测，对不达标环保措施及时处理；</w:t>
      </w:r>
    </w:p>
    <w:p w14:paraId="0A9876FA">
      <w:pPr>
        <w:pStyle w:val="281"/>
        <w:ind w:firstLine="480"/>
      </w:pPr>
      <w:r>
        <w:rPr>
          <w:rFonts w:hint="eastAsia"/>
        </w:rPr>
        <w:t>（</w:t>
      </w:r>
      <w:r>
        <w:t>4</w:t>
      </w:r>
      <w:r>
        <w:rPr>
          <w:rFonts w:hint="eastAsia"/>
        </w:rPr>
        <w:t>）加强环保设施的管理，定期检查环保设施的运行情况，排除故障，保证环保设施正常运转，环保设施的管理实行就近装置区的原则；针对污水处理过程中产生大量盐类物质，特别制定《污水处理装置维护保养管理制度》，从设备管理人员职责、系统设置、维护保养要求、巡回检查要求等方面提出管理措施；</w:t>
      </w:r>
    </w:p>
    <w:p w14:paraId="16190A19">
      <w:pPr>
        <w:pStyle w:val="281"/>
        <w:ind w:firstLine="480"/>
      </w:pPr>
      <w:r>
        <w:rPr>
          <w:rFonts w:hint="eastAsia"/>
        </w:rPr>
        <w:t>（</w:t>
      </w:r>
      <w:r>
        <w:t>5</w:t>
      </w:r>
      <w:r>
        <w:rPr>
          <w:rFonts w:hint="eastAsia"/>
        </w:rPr>
        <w:t>）加强场区的绿化管理，保证绿化面积达标；</w:t>
      </w:r>
    </w:p>
    <w:p w14:paraId="59A51A2D">
      <w:pPr>
        <w:pStyle w:val="281"/>
        <w:ind w:firstLine="480"/>
      </w:pPr>
      <w:r>
        <w:rPr>
          <w:rFonts w:hint="eastAsia"/>
        </w:rPr>
        <w:t>（</w:t>
      </w:r>
      <w:r>
        <w:t>6</w:t>
      </w:r>
      <w:r>
        <w:rPr>
          <w:rFonts w:hint="eastAsia"/>
        </w:rPr>
        <w:t>）重视群众监督作用，提高企业职工环保意识，鼓励职工及外部人员对生产状况提出意见，并通过积极吸收宝贵意见，提高企业环境管理水平。</w:t>
      </w:r>
    </w:p>
    <w:p w14:paraId="2DEA19EC">
      <w:pPr>
        <w:pStyle w:val="98"/>
        <w:rPr>
          <w:rFonts w:hint="eastAsia"/>
        </w:rPr>
      </w:pPr>
      <w:r>
        <w:rPr>
          <w:rFonts w:hint="eastAsia"/>
        </w:rPr>
        <w:t>自行监测管理要求</w:t>
      </w:r>
    </w:p>
    <w:p w14:paraId="08F149F4">
      <w:pPr>
        <w:pStyle w:val="281"/>
        <w:ind w:firstLine="480"/>
      </w:pPr>
      <w:r>
        <w:rPr>
          <w:rFonts w:hint="eastAsia"/>
        </w:rPr>
        <w:t>（1）一般要求</w:t>
      </w:r>
    </w:p>
    <w:p w14:paraId="2BAED99A">
      <w:pPr>
        <w:pStyle w:val="281"/>
        <w:ind w:firstLine="480"/>
      </w:pPr>
      <w:r>
        <w:rPr>
          <w:rFonts w:hint="eastAsia"/>
        </w:rPr>
        <w:t>工业排污单位在申请排污</w:t>
      </w:r>
      <w:r>
        <w:rPr>
          <w:rFonts w:hint="eastAsia"/>
          <w:color w:val="000000" w:themeColor="text1"/>
          <w14:textFill>
            <w14:solidFill>
              <w14:schemeClr w14:val="tx1"/>
            </w14:solidFill>
          </w14:textFill>
        </w:rPr>
        <w:t>许可证时，应按照本标准确定的产排污环节、排放口、污染物项目及许可排放限值等要求，按照《排污单位自行监测技术指南 总则》（H</w:t>
      </w:r>
      <w:r>
        <w:rPr>
          <w:color w:val="000000" w:themeColor="text1"/>
          <w14:textFill>
            <w14:solidFill>
              <w14:schemeClr w14:val="tx1"/>
            </w14:solidFill>
          </w14:textFill>
        </w:rPr>
        <w:t>J 819-2017</w:t>
      </w:r>
      <w:r>
        <w:rPr>
          <w:rFonts w:hint="eastAsia"/>
          <w:color w:val="000000" w:themeColor="text1"/>
          <w14:textFill>
            <w14:solidFill>
              <w14:schemeClr w14:val="tx1"/>
            </w14:solidFill>
          </w14:textFill>
        </w:rPr>
        <w:t>）、《排污单位自行监测技术指南 石油化学工业》（HJ 947-2018）、《排污单位自行监测技术指南化肥工业 氮肥》（HJ948.1-2018）、《排污单位自行监测技术指南 磷肥、钾肥、复混肥料、有机肥料和微生物肥料》（HJ 1088-2020）、《排污单位自行监测技术指南 火力发电及锅炉》（HJ 820-2017）制定自行监测方案，并</w:t>
      </w:r>
      <w:r>
        <w:rPr>
          <w:rFonts w:hint="eastAsia"/>
        </w:rPr>
        <w:t>在《排污许可证申请表》中明确。</w:t>
      </w:r>
    </w:p>
    <w:p w14:paraId="6DDEB91E">
      <w:pPr>
        <w:pStyle w:val="281"/>
        <w:ind w:firstLine="480"/>
      </w:pPr>
      <w:r>
        <w:rPr>
          <w:rFonts w:hint="eastAsia"/>
        </w:rPr>
        <w:t>2015年1月1日（含）后取得环境影响评价批复的排污单位，应根据环境影响评价文件和批复要求同步完善自行监测方案。有核发权的地方环境保护主管部门可根据环境质量改善需求，增加排污单位自行监测管理要求。</w:t>
      </w:r>
    </w:p>
    <w:p w14:paraId="14709B61">
      <w:pPr>
        <w:pStyle w:val="281"/>
        <w:ind w:firstLine="480"/>
      </w:pPr>
      <w:r>
        <w:rPr>
          <w:rFonts w:hint="eastAsia"/>
        </w:rPr>
        <w:t>（2）自行监测方案</w:t>
      </w:r>
    </w:p>
    <w:p w14:paraId="3F0585DF">
      <w:pPr>
        <w:pStyle w:val="281"/>
        <w:ind w:firstLine="480"/>
      </w:pPr>
      <w:r>
        <w:rPr>
          <w:rFonts w:hint="eastAsia"/>
        </w:rPr>
        <w:t>自行监测方案中应明确排污单位的基本情况、监测点位及示意图、监测污染物项目、执行标准及其限值、监测频次、采样和样品保存方法、监测分析方法和仪器、质量保证与质量控制、自行监测信息公开等，其中监测频次为监测周期内至少获取1次有效监测数据。对于采用自动监测的排污单位应当如实填报采用自动监测的污染物指标、自动监测系统联网情况、自动监测系统的运行维护情况等；对于未采用自动监测的污染物指标，排污单位应当填报开展手工监测的污染物排放口和监测点位、监测方法、监测频率。本项目自行监测方案见表1</w:t>
      </w:r>
      <w:r>
        <w:t>0.3.1</w:t>
      </w:r>
      <w:r>
        <w:rPr>
          <w:rFonts w:hint="eastAsia"/>
        </w:rPr>
        <w:t>-</w:t>
      </w:r>
      <w:r>
        <w:t>1</w:t>
      </w:r>
      <w:r>
        <w:rPr>
          <w:rFonts w:hint="eastAsia"/>
        </w:rPr>
        <w:t>、表1</w:t>
      </w:r>
      <w:r>
        <w:t>0.3.1</w:t>
      </w:r>
      <w:r>
        <w:rPr>
          <w:rFonts w:hint="eastAsia"/>
        </w:rPr>
        <w:t>-</w:t>
      </w:r>
      <w:r>
        <w:t>2</w:t>
      </w:r>
      <w:r>
        <w:rPr>
          <w:rFonts w:hint="eastAsia"/>
        </w:rPr>
        <w:t>。</w:t>
      </w:r>
    </w:p>
    <w:p w14:paraId="51ED873D">
      <w:pPr>
        <w:pStyle w:val="98"/>
        <w:rPr>
          <w:rFonts w:hint="eastAsia"/>
        </w:rPr>
      </w:pPr>
      <w:r>
        <w:t>环境管理</w:t>
      </w:r>
      <w:r>
        <w:rPr>
          <w:rFonts w:hint="eastAsia"/>
        </w:rPr>
        <w:t>台账与排污许可执行报告</w:t>
      </w:r>
    </w:p>
    <w:p w14:paraId="206A1717">
      <w:pPr>
        <w:pStyle w:val="281"/>
        <w:ind w:firstLine="480"/>
      </w:pPr>
      <w:r>
        <w:rPr>
          <w:rFonts w:hint="eastAsia"/>
        </w:rPr>
        <w:t>为自我证明企业持证排污情况，项目投产后应开展环境管理台账记录和排污许可证执行报告的编制。</w:t>
      </w:r>
    </w:p>
    <w:p w14:paraId="21047E5C">
      <w:pPr>
        <w:pStyle w:val="281"/>
        <w:ind w:firstLine="480"/>
      </w:pPr>
      <w:r>
        <w:rPr>
          <w:rFonts w:hint="eastAsia"/>
        </w:rPr>
        <w:t>环境管理台账是排污单位自证守法的主要原始依据，应当按照电子化和纸质存储两种形式同步管理，台账保存期限不少于</w:t>
      </w:r>
      <w:r>
        <w:t>3</w:t>
      </w:r>
      <w:r>
        <w:rPr>
          <w:rFonts w:hint="eastAsia"/>
        </w:rPr>
        <w:t>年。</w:t>
      </w:r>
    </w:p>
    <w:p w14:paraId="44706152">
      <w:pPr>
        <w:pStyle w:val="281"/>
        <w:ind w:firstLine="480"/>
      </w:pPr>
      <w:r>
        <w:rPr>
          <w:rFonts w:hint="eastAsia"/>
        </w:rPr>
        <w:t>环境管理台账记录的主要内容包括如下信息：</w:t>
      </w:r>
    </w:p>
    <w:p w14:paraId="26524EB9">
      <w:pPr>
        <w:pStyle w:val="281"/>
        <w:ind w:firstLine="480"/>
      </w:pPr>
      <w:r>
        <w:rPr>
          <w:rFonts w:hint="eastAsia"/>
        </w:rPr>
        <w:t>（</w:t>
      </w:r>
      <w:r>
        <w:t>1</w:t>
      </w:r>
      <w:r>
        <w:rPr>
          <w:rFonts w:hint="eastAsia"/>
        </w:rPr>
        <w:t>）基本信息：企业、生产设施、治理设施的名称、工艺等排污许可证规定的各项排污单位基本信息的实际情况及与污染物排放相关的主要运行参数；</w:t>
      </w:r>
    </w:p>
    <w:p w14:paraId="3EA2D112">
      <w:pPr>
        <w:pStyle w:val="281"/>
        <w:ind w:firstLine="480"/>
      </w:pPr>
      <w:r>
        <w:rPr>
          <w:rFonts w:hint="eastAsia"/>
        </w:rPr>
        <w:t>（</w:t>
      </w:r>
      <w:r>
        <w:t>2</w:t>
      </w:r>
      <w:r>
        <w:rPr>
          <w:rFonts w:hint="eastAsia"/>
        </w:rPr>
        <w:t>）生产设施运行管理信息：分为正常工况和非正常工况记录；包括运行状态、生产负荷、产品产量、原辅料和燃料用量；</w:t>
      </w:r>
    </w:p>
    <w:p w14:paraId="073B6C6B">
      <w:pPr>
        <w:pStyle w:val="281"/>
        <w:ind w:firstLine="480"/>
      </w:pPr>
      <w:r>
        <w:rPr>
          <w:rFonts w:hint="eastAsia"/>
        </w:rPr>
        <w:t>（</w:t>
      </w:r>
      <w:r>
        <w:t>3</w:t>
      </w:r>
      <w:r>
        <w:rPr>
          <w:rFonts w:hint="eastAsia"/>
        </w:rPr>
        <w:t>）污染治理措施运行管理信息：分为正常工况和非正常工况记录；包括污染物排放自行监测数据记录要求以及污染治理设施运行管理信息。</w:t>
      </w:r>
    </w:p>
    <w:p w14:paraId="0DBB0649">
      <w:pPr>
        <w:pStyle w:val="281"/>
        <w:ind w:firstLine="480"/>
      </w:pPr>
      <w:r>
        <w:rPr>
          <w:rFonts w:hint="eastAsia"/>
        </w:rPr>
        <w:t>污染治理设施运行管理信息应反映生产设施及治理设施运行管理情况，记录设备运行校验关键参数例如</w:t>
      </w:r>
      <w:r>
        <w:t>DCS</w:t>
      </w:r>
      <w:r>
        <w:rPr>
          <w:rFonts w:hint="eastAsia"/>
        </w:rPr>
        <w:t>曲线、无组织废气污染治理、废水环保设施运行记录等。</w:t>
      </w:r>
    </w:p>
    <w:p w14:paraId="5AECE7F3">
      <w:pPr>
        <w:pStyle w:val="281"/>
        <w:ind w:firstLine="480"/>
        <w:rPr>
          <w:color w:val="000000" w:themeColor="text1"/>
          <w14:textFill>
            <w14:solidFill>
              <w14:schemeClr w14:val="tx1"/>
            </w14:solidFill>
          </w14:textFill>
        </w:rPr>
      </w:pPr>
      <w:r>
        <w:rPr>
          <w:rFonts w:hint="eastAsia"/>
        </w:rPr>
        <w:t>（</w:t>
      </w:r>
      <w:r>
        <w:t>4</w:t>
      </w:r>
      <w:r>
        <w:rPr>
          <w:rFonts w:hint="eastAsia"/>
        </w:rPr>
        <w:t>）监测记录信息：</w:t>
      </w:r>
      <w:r>
        <w:rPr>
          <w:rFonts w:hint="eastAsia"/>
          <w:color w:val="000000" w:themeColor="text1"/>
          <w14:textFill>
            <w14:solidFill>
              <w14:schemeClr w14:val="tx1"/>
            </w14:solidFill>
          </w14:textFill>
        </w:rPr>
        <w:t>按照《排污单位自行监测技术指南 总则》（H</w:t>
      </w:r>
      <w:r>
        <w:rPr>
          <w:color w:val="000000" w:themeColor="text1"/>
          <w14:textFill>
            <w14:solidFill>
              <w14:schemeClr w14:val="tx1"/>
            </w14:solidFill>
          </w14:textFill>
        </w:rPr>
        <w:t>J 819-2017</w:t>
      </w:r>
      <w:r>
        <w:rPr>
          <w:rFonts w:hint="eastAsia"/>
          <w:color w:val="000000" w:themeColor="text1"/>
          <w14:textFill>
            <w14:solidFill>
              <w14:schemeClr w14:val="tx1"/>
            </w14:solidFill>
          </w14:textFill>
        </w:rPr>
        <w:t>）、《排污单位自行监测技术指南 石油化学工业》（HJ 947-2018）、《排污单位自行监测技术指南化肥工业 氮肥》（HJ948.1-2018）、《排污单位自行监测技术指南 磷肥、钾肥、复混肥料、有机肥料和微生物肥料》（HJ 1088-2020）、《排污单位自行监测技术指南 火力发电及锅炉》（HJ 820-2017）执行。</w:t>
      </w:r>
    </w:p>
    <w:p w14:paraId="4D8B2F6A">
      <w:pPr>
        <w:pStyle w:val="281"/>
        <w:ind w:firstLine="480"/>
      </w:pPr>
      <w:r>
        <w:rPr>
          <w:rFonts w:hint="eastAsia"/>
          <w:color w:val="000000" w:themeColor="text1"/>
          <w14:textFill>
            <w14:solidFill>
              <w14:schemeClr w14:val="tx1"/>
            </w14:solidFill>
          </w14:textFill>
        </w:rPr>
        <w:t>（5）工业固体废物主要是根据《排污</w:t>
      </w:r>
      <w:r>
        <w:rPr>
          <w:rFonts w:hint="eastAsia"/>
        </w:rPr>
        <w:t>许可证申请与核发技术规范工业固体废物（试行）》（生态环境部公告2021年第53号）、《一般工业固体废物管理台账制定指南（试行）》《危险废物产生单位管理计划制定指南》在排污许可平台填报基本信息并形成企业台账。</w:t>
      </w:r>
    </w:p>
    <w:p w14:paraId="6FA6E30D">
      <w:pPr>
        <w:pStyle w:val="281"/>
        <w:ind w:firstLine="480"/>
      </w:pPr>
      <w:r>
        <w:rPr>
          <w:rFonts w:hint="eastAsia"/>
        </w:rPr>
        <w:t>危险废物基本情况填报基础信息包括危险废物的名称、代码、危险特性、物理性状、产生环节及去向等信息。自行贮存设施信息包括贮存设施名称、编号、类型、位置、是否符合相关标准要求、贮存危险废物能力、面积，贮存危险废物的名称、代码、危险特性、物理性状、产生环节等信息。排污单位应建立环境管理台账，危险废物环境管理台账记录应符合《危险废物产生单位管理计划制定指南》等标准及管理文件的相关要求。待危险废物环境管理台账相关标准或管理文件发布实施后，从其规定。</w:t>
      </w:r>
    </w:p>
    <w:p w14:paraId="706158FD">
      <w:pPr>
        <w:pStyle w:val="281"/>
        <w:ind w:firstLine="480"/>
      </w:pPr>
      <w:r>
        <w:rPr>
          <w:rFonts w:hint="eastAsia"/>
        </w:rPr>
        <w:t>一般工业固体废物填报的基础信息包括一般工业固体废物的名称、代码、类别、物理性状、产生环节、去向等信息。自行贮存设施信息包括贮存设施名称、编号、类型、位置、是否符合贮存相关标准要求、贮存一般工业固体废物能力、面积，贮存一般工业固体废物的名称、代码、类别、物理性状、产生环节等信息。排污单位应建立环境管理台账制度，一般工业固体废物环境管理台账记录应符合生态环境部规定的一般工业固体废物环境管理台账相关标准及管理文件要求。</w:t>
      </w:r>
    </w:p>
    <w:p w14:paraId="619FD812">
      <w:pPr>
        <w:pStyle w:val="281"/>
        <w:ind w:firstLine="480"/>
      </w:pPr>
      <w:r>
        <w:rPr>
          <w:rFonts w:hint="eastAsia"/>
        </w:rPr>
        <w:t>（</w:t>
      </w:r>
      <w:r>
        <w:t>6</w:t>
      </w:r>
      <w:r>
        <w:rPr>
          <w:rFonts w:hint="eastAsia"/>
        </w:rPr>
        <w:t>）其他环境管理信息：包括无组织环境管理信息、特殊时段环境管理信息等。</w:t>
      </w:r>
    </w:p>
    <w:p w14:paraId="4C31159C">
      <w:pPr>
        <w:pStyle w:val="281"/>
        <w:ind w:firstLine="480"/>
      </w:pPr>
      <w:r>
        <w:rPr>
          <w:rFonts w:hint="eastAsia"/>
        </w:rPr>
        <w:t>排污许可证执行报告是排污单位在排污许可管理过程中自证守法的主要载体。其执行报告的报告周期分为年度执行报告、半年度执行报告、季度执行报告和月度执行报告。年度执行报告包括排污单位基本情况、遵守法律法规情况、污染防治设施运行情况、自行监测执行情况、环境管理台账执行情况、实际排放情况及达标判定分析、环境保护税</w:t>
      </w:r>
      <w:r>
        <w:t>(</w:t>
      </w:r>
      <w:r>
        <w:rPr>
          <w:rFonts w:hint="eastAsia"/>
        </w:rPr>
        <w:t>排污费</w:t>
      </w:r>
      <w:r>
        <w:t>)</w:t>
      </w:r>
      <w:r>
        <w:rPr>
          <w:rFonts w:hint="eastAsia"/>
        </w:rPr>
        <w:t>缴纳情况、信息公开情况、排污单位内部环境管理体系建设与运行情况、其他排污许可证规定的内容执行情况、其他需要说明的问题、结论、附图附件等。</w:t>
      </w:r>
    </w:p>
    <w:p w14:paraId="1216F12B">
      <w:pPr>
        <w:pStyle w:val="281"/>
        <w:ind w:firstLine="480"/>
      </w:pPr>
      <w:r>
        <w:rPr>
          <w:rFonts w:hint="eastAsia"/>
        </w:rPr>
        <w:t>环境管理台账记录和排污许可证执行报告的编制内容与要求参照生态环境部《排污单位环境管理台账及排污许可证执行报告技术规范总则（试行）》（HJ944-2018）和地方环保管理要求执行。</w:t>
      </w:r>
    </w:p>
    <w:p w14:paraId="152EBCE4">
      <w:pPr>
        <w:pStyle w:val="98"/>
        <w:rPr>
          <w:rFonts w:hint="eastAsia"/>
        </w:rPr>
      </w:pPr>
      <w:r>
        <w:rPr>
          <w:rFonts w:hint="eastAsia"/>
        </w:rPr>
        <w:t>运行管理要求</w:t>
      </w:r>
    </w:p>
    <w:p w14:paraId="3D112822">
      <w:pPr>
        <w:pStyle w:val="281"/>
        <w:ind w:firstLine="480"/>
      </w:pPr>
      <w:r>
        <w:rPr>
          <w:rFonts w:hint="eastAsia"/>
        </w:rPr>
        <w:t>根</w:t>
      </w:r>
      <w:r>
        <w:rPr>
          <w:rFonts w:hint="eastAsia"/>
          <w:color w:val="000000" w:themeColor="text1"/>
          <w14:textFill>
            <w14:solidFill>
              <w14:schemeClr w14:val="tx1"/>
            </w14:solidFill>
          </w14:textFill>
        </w:rPr>
        <w:t>据《排污许可证申请与核发技术规范 石化工业》(HJ 853-2017)、《排污许可证申请与核发技术规范化肥工业 氮肥》（HJ 864.1-2017）、《排污许可证申请与核发技术规范 排污许可证申请与核发技术规范 磷肥、钾肥、复混肥料、有机肥料及微生物肥料工业》（</w:t>
      </w:r>
      <w:r>
        <w:rPr>
          <w:color w:val="000000" w:themeColor="text1"/>
          <w14:textFill>
            <w14:solidFill>
              <w14:schemeClr w14:val="tx1"/>
            </w14:solidFill>
          </w14:textFill>
        </w:rPr>
        <w:t>HJ864.2-2018</w:t>
      </w:r>
      <w:r>
        <w:rPr>
          <w:rFonts w:hint="eastAsia"/>
          <w:color w:val="000000" w:themeColor="text1"/>
          <w14:textFill>
            <w14:solidFill>
              <w14:schemeClr w14:val="tx1"/>
            </w14:solidFill>
          </w14:textFill>
        </w:rPr>
        <w:t>），排污单位应当按照相关法律法规、标准和技术规范等要求运行废</w:t>
      </w:r>
      <w:r>
        <w:rPr>
          <w:rFonts w:hint="eastAsia"/>
        </w:rPr>
        <w:t>气、废水污染防治设施，并根据工艺要求，定期对设备、电气、自控仪表及构筑物进行检查维护，确保污染治理设施正常、可靠运行，处理、排放符合国家或地方污染物排放标准的规定。</w:t>
      </w:r>
    </w:p>
    <w:p w14:paraId="563D67C2">
      <w:pPr>
        <w:pStyle w:val="98"/>
        <w:rPr>
          <w:rFonts w:hint="eastAsia"/>
        </w:rPr>
      </w:pPr>
      <w:r>
        <w:rPr>
          <w:rFonts w:hint="eastAsia"/>
        </w:rPr>
        <w:t>建设项目环境影响后评价</w:t>
      </w:r>
    </w:p>
    <w:p w14:paraId="0CC25B4A">
      <w:pPr>
        <w:pStyle w:val="281"/>
        <w:ind w:firstLine="480"/>
      </w:pPr>
      <w:r>
        <w:rPr>
          <w:rFonts w:hint="eastAsia"/>
        </w:rPr>
        <w:t>根据《建设项目环境影响后评价管理办法（试行）》，考虑到本项目为大型煤化工项目，涉及的危险物质及危险单元较多，项目运行过程中可能存在较大的环境风险，建议建设单位在项目运行后按照后评价管理办法的要求在建设项目运营后3</w:t>
      </w:r>
      <w:r>
        <w:t>-5</w:t>
      </w:r>
      <w:r>
        <w:rPr>
          <w:rFonts w:hint="eastAsia"/>
        </w:rPr>
        <w:t>年内开展环境影响后评价工作。</w:t>
      </w:r>
    </w:p>
    <w:p w14:paraId="1734E93F">
      <w:pPr>
        <w:pStyle w:val="98"/>
        <w:rPr>
          <w:rFonts w:hint="eastAsia"/>
        </w:rPr>
      </w:pPr>
      <w:r>
        <w:t>土壤污染隐患排查</w:t>
      </w:r>
    </w:p>
    <w:p w14:paraId="63E4D4AD">
      <w:pPr>
        <w:pStyle w:val="281"/>
        <w:ind w:firstLine="480"/>
      </w:pPr>
      <w:r>
        <w:rPr>
          <w:rFonts w:hint="eastAsia"/>
        </w:rPr>
        <w:t>根据《重点监管单位土壤污染隐患排查指南（试行）》，建设单位应在运营期内，定期开展</w:t>
      </w:r>
      <w:r>
        <w:t>土壤污染隐患</w:t>
      </w:r>
      <w:r>
        <w:rPr>
          <w:rFonts w:hint="eastAsia"/>
        </w:rPr>
        <w:t>，重点关注污染发生后不能及时发现或处理的重点设施设备，如地下、半地下或接地的储罐、池体、管道等；重点关注的污染物主要包括石油烃等。</w:t>
      </w:r>
    </w:p>
    <w:p w14:paraId="5CBFD2ED">
      <w:pPr>
        <w:pStyle w:val="97"/>
        <w:rPr>
          <w:rFonts w:hint="eastAsia"/>
        </w:rPr>
      </w:pPr>
      <w:r>
        <w:t>排污口规范化管理</w:t>
      </w:r>
    </w:p>
    <w:p w14:paraId="460BC562">
      <w:pPr>
        <w:pStyle w:val="98"/>
        <w:rPr>
          <w:rFonts w:hint="eastAsia"/>
        </w:rPr>
      </w:pPr>
      <w:r>
        <w:t>排污口规范化管理原则</w:t>
      </w:r>
    </w:p>
    <w:p w14:paraId="4CA02109">
      <w:pPr>
        <w:pStyle w:val="281"/>
        <w:ind w:firstLine="480"/>
      </w:pPr>
      <w:r>
        <w:rPr>
          <w:rFonts w:hint="eastAsia"/>
        </w:rPr>
        <w:t>（</w:t>
      </w:r>
      <w:r>
        <w:t>1</w:t>
      </w:r>
      <w:r>
        <w:rPr>
          <w:rFonts w:hint="eastAsia"/>
        </w:rPr>
        <w:t>）排污口的设置必须合理，按照环监</w:t>
      </w:r>
      <w:r>
        <w:t>[96]470</w:t>
      </w:r>
      <w:r>
        <w:rPr>
          <w:rFonts w:hint="eastAsia"/>
        </w:rPr>
        <w:t>号文件要求，进行规范化管理；</w:t>
      </w:r>
    </w:p>
    <w:p w14:paraId="36202758">
      <w:pPr>
        <w:pStyle w:val="281"/>
        <w:ind w:firstLine="480"/>
      </w:pPr>
      <w:r>
        <w:rPr>
          <w:rFonts w:hint="eastAsia"/>
        </w:rPr>
        <w:t>（</w:t>
      </w:r>
      <w:r>
        <w:t>2</w:t>
      </w:r>
      <w:r>
        <w:rPr>
          <w:rFonts w:hint="eastAsia"/>
        </w:rPr>
        <w:t>）根据工程的特点，考虑列入总量控制指标的污染物，排放烟尘的废气排污口为管理的重点；</w:t>
      </w:r>
    </w:p>
    <w:p w14:paraId="0A9222FA">
      <w:pPr>
        <w:pStyle w:val="281"/>
        <w:ind w:firstLine="480"/>
      </w:pPr>
      <w:r>
        <w:rPr>
          <w:rFonts w:hint="eastAsia"/>
        </w:rPr>
        <w:t>（</w:t>
      </w:r>
      <w:r>
        <w:t>3</w:t>
      </w:r>
      <w:r>
        <w:rPr>
          <w:rFonts w:hint="eastAsia"/>
        </w:rPr>
        <w:t>）排污口应便于采样与计量检测，便于日常现场监督检查；</w:t>
      </w:r>
    </w:p>
    <w:p w14:paraId="235499A7">
      <w:pPr>
        <w:pStyle w:val="281"/>
        <w:ind w:firstLine="480"/>
      </w:pPr>
      <w:r>
        <w:rPr>
          <w:rFonts w:hint="eastAsia"/>
        </w:rPr>
        <w:t>（</w:t>
      </w:r>
      <w:r>
        <w:t>4</w:t>
      </w:r>
      <w:r>
        <w:rPr>
          <w:rFonts w:hint="eastAsia"/>
        </w:rPr>
        <w:t>）如实向环保管理部门申报排污口数量、位置及所排放的主要污染物种类、数量、浓度、排放去向等情况。</w:t>
      </w:r>
    </w:p>
    <w:p w14:paraId="7F97646B">
      <w:pPr>
        <w:pStyle w:val="281"/>
        <w:ind w:firstLine="480"/>
      </w:pPr>
      <w:r>
        <w:rPr>
          <w:rFonts w:hint="eastAsia"/>
        </w:rPr>
        <w:t>（</w:t>
      </w:r>
      <w:r>
        <w:t>5</w:t>
      </w:r>
      <w:r>
        <w:rPr>
          <w:rFonts w:hint="eastAsia"/>
        </w:rPr>
        <w:t>）废气排气装置应设置便于采样、监测的平台，设置应符合《污染源监测技术规范》；</w:t>
      </w:r>
    </w:p>
    <w:p w14:paraId="6DF46B62">
      <w:pPr>
        <w:pStyle w:val="281"/>
        <w:ind w:firstLine="480"/>
      </w:pPr>
      <w:r>
        <w:rPr>
          <w:rFonts w:hint="eastAsia"/>
        </w:rPr>
        <w:t>（</w:t>
      </w:r>
      <w:r>
        <w:t>6</w:t>
      </w:r>
      <w:r>
        <w:rPr>
          <w:rFonts w:hint="eastAsia"/>
        </w:rPr>
        <w:t>）工程固废堆存设施，专用堆放场应设有防扬散、防流失、防渗漏措施。</w:t>
      </w:r>
    </w:p>
    <w:p w14:paraId="54C87B06">
      <w:pPr>
        <w:pStyle w:val="98"/>
        <w:rPr>
          <w:rFonts w:hint="eastAsia"/>
        </w:rPr>
      </w:pPr>
      <w:r>
        <w:t>排污口规范化设置</w:t>
      </w:r>
    </w:p>
    <w:p w14:paraId="2A2468BA">
      <w:pPr>
        <w:pStyle w:val="281"/>
        <w:ind w:firstLine="480"/>
      </w:pPr>
      <w:r>
        <w:rPr>
          <w:rFonts w:hint="eastAsia"/>
        </w:rPr>
        <w:t>按照《固定污染源排气中颗粒物测定与气态污染物采样方法》（GB/T 16157-1996）等要求，在废气治理设施前、后分别预留监测孔，设置明显标志；</w:t>
      </w:r>
    </w:p>
    <w:p w14:paraId="51D26F5A">
      <w:pPr>
        <w:pStyle w:val="281"/>
        <w:ind w:firstLine="480"/>
      </w:pPr>
      <w:r>
        <w:rPr>
          <w:rFonts w:hint="eastAsia" w:ascii="宋体" w:hAnsi="宋体"/>
        </w:rPr>
        <w:t>根据原国家环境保护总局制定的《</w:t>
      </w:r>
      <w:r>
        <w:t>&lt;</w:t>
      </w:r>
      <w:r>
        <w:rPr>
          <w:rFonts w:hint="eastAsia" w:ascii="宋体" w:hAnsi="宋体"/>
        </w:rPr>
        <w:t>环境保护图形标志</w:t>
      </w:r>
      <w:r>
        <w:t>&gt;</w:t>
      </w:r>
      <w:r>
        <w:rPr>
          <w:rFonts w:hint="eastAsia" w:ascii="宋体" w:hAnsi="宋体"/>
        </w:rPr>
        <w:t>实施细则</w:t>
      </w:r>
      <w:r>
        <w:t>(</w:t>
      </w:r>
      <w:r>
        <w:rPr>
          <w:rFonts w:hint="eastAsia" w:ascii="宋体" w:hAnsi="宋体"/>
        </w:rPr>
        <w:t>试行</w:t>
      </w:r>
      <w:r>
        <w:t>)</w:t>
      </w:r>
      <w:r>
        <w:rPr>
          <w:rFonts w:hint="eastAsia" w:ascii="宋体" w:hAnsi="宋体"/>
        </w:rPr>
        <w:t>》（环监</w:t>
      </w:r>
      <w:r>
        <w:t>[1996]463</w:t>
      </w:r>
      <w:r>
        <w:rPr>
          <w:rFonts w:hint="eastAsia" w:ascii="宋体" w:hAnsi="宋体"/>
        </w:rPr>
        <w:t>号）以及《关于开展排放口规范化整治工作的通知》（环发</w:t>
      </w:r>
      <w:r>
        <w:t>[1999]24</w:t>
      </w:r>
      <w:r>
        <w:rPr>
          <w:rFonts w:hint="eastAsia" w:ascii="宋体" w:hAnsi="宋体"/>
        </w:rPr>
        <w:t>号）的规定：</w:t>
      </w:r>
    </w:p>
    <w:p w14:paraId="1106A9FD">
      <w:pPr>
        <w:pStyle w:val="281"/>
        <w:ind w:firstLine="480"/>
      </w:pPr>
      <w:r>
        <w:rPr>
          <w:rFonts w:hint="eastAsia" w:ascii="宋体" w:hAnsi="宋体"/>
        </w:rPr>
        <w:t>废气、废水、噪声排放口、固体废物堆场应进行规范化设计，在各排污口设立相应的环境保护图形标志牌，具备采样、监测条件；</w:t>
      </w:r>
    </w:p>
    <w:p w14:paraId="47B3FDAA">
      <w:pPr>
        <w:pStyle w:val="281"/>
        <w:ind w:firstLine="480"/>
      </w:pPr>
      <w:r>
        <w:t>环境保护图形标志具体设置图形见表1</w:t>
      </w:r>
      <w:r>
        <w:rPr>
          <w:rFonts w:hint="eastAsia"/>
        </w:rPr>
        <w:t>0</w:t>
      </w:r>
      <w:r>
        <w:t>.</w:t>
      </w:r>
      <w:r>
        <w:rPr>
          <w:rFonts w:hint="eastAsia"/>
        </w:rPr>
        <w:t>1</w:t>
      </w:r>
      <w:r>
        <w:t>.6-1。</w:t>
      </w:r>
    </w:p>
    <w:p w14:paraId="5F1749C8">
      <w:pPr>
        <w:pStyle w:val="535"/>
        <w:rPr>
          <w:rFonts w:hint="eastAsia"/>
          <w:color w:val="auto"/>
        </w:rPr>
      </w:pPr>
      <w:r>
        <w:rPr>
          <w:color w:val="auto"/>
        </w:rPr>
        <w:t>表1</w:t>
      </w:r>
      <w:r>
        <w:rPr>
          <w:rFonts w:hint="eastAsia"/>
          <w:color w:val="auto"/>
        </w:rPr>
        <w:t>0</w:t>
      </w:r>
      <w:r>
        <w:rPr>
          <w:color w:val="auto"/>
        </w:rPr>
        <w:t>.</w:t>
      </w:r>
      <w:r>
        <w:rPr>
          <w:rFonts w:hint="eastAsia"/>
          <w:color w:val="auto"/>
        </w:rPr>
        <w:t>1</w:t>
      </w:r>
      <w:r>
        <w:rPr>
          <w:color w:val="auto"/>
        </w:rPr>
        <w:t>.6-1    环境保护图形标志设置图形表</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67"/>
        <w:gridCol w:w="1790"/>
        <w:gridCol w:w="1793"/>
        <w:gridCol w:w="1792"/>
        <w:gridCol w:w="1793"/>
      </w:tblGrid>
      <w:tr w14:paraId="5C155E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67" w:type="dxa"/>
            <w:vAlign w:val="center"/>
          </w:tcPr>
          <w:p w14:paraId="1B76747F">
            <w:pPr>
              <w:pStyle w:val="557"/>
            </w:pPr>
            <w:r>
              <w:t>排放口</w:t>
            </w:r>
          </w:p>
        </w:tc>
        <w:tc>
          <w:tcPr>
            <w:tcW w:w="1790" w:type="dxa"/>
            <w:tcMar>
              <w:left w:w="0" w:type="dxa"/>
              <w:right w:w="0" w:type="dxa"/>
            </w:tcMar>
            <w:vAlign w:val="center"/>
          </w:tcPr>
          <w:p w14:paraId="2A5FE2C3">
            <w:pPr>
              <w:pStyle w:val="557"/>
            </w:pPr>
            <w:r>
              <w:t>废水排口</w:t>
            </w:r>
          </w:p>
        </w:tc>
        <w:tc>
          <w:tcPr>
            <w:tcW w:w="1793" w:type="dxa"/>
            <w:vAlign w:val="center"/>
          </w:tcPr>
          <w:p w14:paraId="3B8B1647">
            <w:pPr>
              <w:pStyle w:val="557"/>
            </w:pPr>
            <w:r>
              <w:t>废气排口</w:t>
            </w:r>
          </w:p>
        </w:tc>
        <w:tc>
          <w:tcPr>
            <w:tcW w:w="1792" w:type="dxa"/>
            <w:vAlign w:val="center"/>
          </w:tcPr>
          <w:p w14:paraId="61E2678D">
            <w:pPr>
              <w:pStyle w:val="557"/>
            </w:pPr>
            <w:r>
              <w:t>固废堆场</w:t>
            </w:r>
          </w:p>
        </w:tc>
        <w:tc>
          <w:tcPr>
            <w:tcW w:w="1793" w:type="dxa"/>
            <w:vAlign w:val="center"/>
          </w:tcPr>
          <w:p w14:paraId="45AB6A2F">
            <w:pPr>
              <w:pStyle w:val="557"/>
            </w:pPr>
            <w:r>
              <w:t>噪声源</w:t>
            </w:r>
          </w:p>
        </w:tc>
      </w:tr>
      <w:tr w14:paraId="2DDCA3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67" w:type="dxa"/>
            <w:vAlign w:val="center"/>
          </w:tcPr>
          <w:p w14:paraId="3AD23F6C">
            <w:pPr>
              <w:pStyle w:val="557"/>
            </w:pPr>
            <w:r>
              <w:t>图形符号</w:t>
            </w:r>
          </w:p>
        </w:tc>
        <w:tc>
          <w:tcPr>
            <w:tcW w:w="1790" w:type="dxa"/>
            <w:tcMar>
              <w:left w:w="0" w:type="dxa"/>
              <w:right w:w="0" w:type="dxa"/>
            </w:tcMar>
            <w:vAlign w:val="center"/>
          </w:tcPr>
          <w:p w14:paraId="2ED7F511">
            <w:pPr>
              <w:pStyle w:val="557"/>
            </w:pPr>
            <w:r>
              <w:drawing>
                <wp:inline distT="0" distB="0" distL="0" distR="0">
                  <wp:extent cx="1105535" cy="1036955"/>
                  <wp:effectExtent l="0" t="0" r="0" b="0"/>
                  <wp:docPr id="49822765" name="图片 26"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765" name="图片 26" descr="废水排口"/>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05535" cy="1036955"/>
                          </a:xfrm>
                          <a:prstGeom prst="rect">
                            <a:avLst/>
                          </a:prstGeom>
                          <a:noFill/>
                          <a:ln>
                            <a:noFill/>
                          </a:ln>
                        </pic:spPr>
                      </pic:pic>
                    </a:graphicData>
                  </a:graphic>
                </wp:inline>
              </w:drawing>
            </w:r>
          </w:p>
        </w:tc>
        <w:tc>
          <w:tcPr>
            <w:tcW w:w="1793" w:type="dxa"/>
            <w:vAlign w:val="center"/>
          </w:tcPr>
          <w:p w14:paraId="2DE1570E">
            <w:pPr>
              <w:pStyle w:val="557"/>
            </w:pPr>
            <w:r>
              <w:drawing>
                <wp:inline distT="0" distB="0" distL="0" distR="0">
                  <wp:extent cx="1105535" cy="1105535"/>
                  <wp:effectExtent l="0" t="0" r="0" b="0"/>
                  <wp:docPr id="306898639" name="图片 27"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98639" name="图片 27" descr="废气排口"/>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105535" cy="1105535"/>
                          </a:xfrm>
                          <a:prstGeom prst="rect">
                            <a:avLst/>
                          </a:prstGeom>
                          <a:noFill/>
                          <a:ln>
                            <a:noFill/>
                          </a:ln>
                        </pic:spPr>
                      </pic:pic>
                    </a:graphicData>
                  </a:graphic>
                </wp:inline>
              </w:drawing>
            </w:r>
          </w:p>
        </w:tc>
        <w:tc>
          <w:tcPr>
            <w:tcW w:w="1792" w:type="dxa"/>
            <w:vAlign w:val="center"/>
          </w:tcPr>
          <w:p w14:paraId="38D591AC">
            <w:pPr>
              <w:pStyle w:val="557"/>
            </w:pPr>
            <w:r>
              <w:drawing>
                <wp:inline distT="0" distB="0" distL="0" distR="0">
                  <wp:extent cx="1036955" cy="1036955"/>
                  <wp:effectExtent l="0" t="0" r="0" b="0"/>
                  <wp:docPr id="724024743" name="图片 28"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4743" name="图片 28" descr="固废堆场"/>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036955" cy="1036955"/>
                          </a:xfrm>
                          <a:prstGeom prst="rect">
                            <a:avLst/>
                          </a:prstGeom>
                          <a:noFill/>
                          <a:ln>
                            <a:noFill/>
                          </a:ln>
                        </pic:spPr>
                      </pic:pic>
                    </a:graphicData>
                  </a:graphic>
                </wp:inline>
              </w:drawing>
            </w:r>
          </w:p>
        </w:tc>
        <w:tc>
          <w:tcPr>
            <w:tcW w:w="1793" w:type="dxa"/>
            <w:vAlign w:val="center"/>
          </w:tcPr>
          <w:p w14:paraId="7442484D">
            <w:pPr>
              <w:pStyle w:val="557"/>
            </w:pPr>
            <w:r>
              <w:drawing>
                <wp:inline distT="0" distB="0" distL="0" distR="0">
                  <wp:extent cx="1036955" cy="1050925"/>
                  <wp:effectExtent l="0" t="0" r="0" b="0"/>
                  <wp:docPr id="60965302" name="图片 29"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302" name="图片 29" descr="噪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036955" cy="1050925"/>
                          </a:xfrm>
                          <a:prstGeom prst="rect">
                            <a:avLst/>
                          </a:prstGeom>
                          <a:noFill/>
                          <a:ln>
                            <a:noFill/>
                          </a:ln>
                        </pic:spPr>
                      </pic:pic>
                    </a:graphicData>
                  </a:graphic>
                </wp:inline>
              </w:drawing>
            </w:r>
          </w:p>
        </w:tc>
      </w:tr>
      <w:tr w14:paraId="059FE0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67" w:type="dxa"/>
            <w:vAlign w:val="center"/>
          </w:tcPr>
          <w:p w14:paraId="0478D372">
            <w:pPr>
              <w:pStyle w:val="557"/>
            </w:pPr>
            <w:r>
              <w:t>背景颜色</w:t>
            </w:r>
          </w:p>
        </w:tc>
        <w:tc>
          <w:tcPr>
            <w:tcW w:w="7168" w:type="dxa"/>
            <w:gridSpan w:val="4"/>
            <w:tcMar>
              <w:left w:w="0" w:type="dxa"/>
              <w:right w:w="0" w:type="dxa"/>
            </w:tcMar>
            <w:vAlign w:val="center"/>
          </w:tcPr>
          <w:p w14:paraId="2A547882">
            <w:pPr>
              <w:pStyle w:val="557"/>
            </w:pPr>
            <w:r>
              <w:t>绿色</w:t>
            </w:r>
          </w:p>
        </w:tc>
      </w:tr>
      <w:tr w14:paraId="710923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67" w:type="dxa"/>
            <w:vAlign w:val="center"/>
          </w:tcPr>
          <w:p w14:paraId="61794C50">
            <w:pPr>
              <w:pStyle w:val="557"/>
            </w:pPr>
            <w:r>
              <w:t>图形颜色</w:t>
            </w:r>
          </w:p>
        </w:tc>
        <w:tc>
          <w:tcPr>
            <w:tcW w:w="7168" w:type="dxa"/>
            <w:gridSpan w:val="4"/>
            <w:tcMar>
              <w:left w:w="0" w:type="dxa"/>
              <w:right w:w="0" w:type="dxa"/>
            </w:tcMar>
            <w:vAlign w:val="center"/>
          </w:tcPr>
          <w:p w14:paraId="05719260">
            <w:pPr>
              <w:pStyle w:val="557"/>
            </w:pPr>
            <w:r>
              <w:t>白色</w:t>
            </w:r>
          </w:p>
        </w:tc>
      </w:tr>
    </w:tbl>
    <w:p w14:paraId="069B0954">
      <w:pPr>
        <w:rPr>
          <w:rFonts w:hint="eastAsia"/>
        </w:rPr>
      </w:pPr>
    </w:p>
    <w:p w14:paraId="04C1875A">
      <w:pPr>
        <w:pStyle w:val="281"/>
        <w:ind w:firstLine="480"/>
      </w:pPr>
      <w:r>
        <w:rPr>
          <w:rFonts w:hint="eastAsia"/>
        </w:rPr>
        <w:t>排污口应符合“一明显、二合理、三便于”的要求，即环保标志明显，排污口设置合理，排污去向合理，便于采集样品，便于监测计量，便于公众监督管理；一切新建、扩建、改建和限期治理的排污单位必须在建设污染治理设施的同时建设规范化排放口，并作为落实环境保护“三同时”制度的必要组成部分和项目验收的内容之一。</w:t>
      </w:r>
    </w:p>
    <w:p w14:paraId="0F724524">
      <w:pPr>
        <w:pStyle w:val="281"/>
        <w:ind w:firstLine="480"/>
      </w:pPr>
      <w:r>
        <w:rPr>
          <w:rFonts w:hint="eastAsia"/>
        </w:rPr>
        <w:t>排污单位必须负责规范化的有关环保设置（如图形标志牌、计量装置、监控装置等）日常的维护保养，任何单位和个人不得擅自拆除，如需变更的须报环境监察部门同意并办理变更手续。</w:t>
      </w:r>
    </w:p>
    <w:p w14:paraId="2DD32775">
      <w:pPr>
        <w:pStyle w:val="98"/>
        <w:rPr>
          <w:rFonts w:hint="eastAsia"/>
        </w:rPr>
      </w:pPr>
      <w:r>
        <w:t>排污口建档管理</w:t>
      </w:r>
    </w:p>
    <w:p w14:paraId="189D81E2">
      <w:pPr>
        <w:spacing w:line="360" w:lineRule="auto"/>
        <w:ind w:firstLine="480" w:firstLineChars="200"/>
        <w:rPr>
          <w:rFonts w:hint="eastAsia"/>
        </w:rPr>
      </w:pPr>
      <w:r>
        <w:rPr>
          <w:rFonts w:hint="eastAsia"/>
        </w:rPr>
        <w:t>要求使用国家环保总局统一印刷的《中华人民共和国规范化排污口标志登记证》，并填写相关内容；根据排污口管理档案内容要求，项目建成投产运营后，应将主要污染物种类、数量、浓度、排放去向、立标情况及设施运行情况记录于档案内。</w:t>
      </w:r>
    </w:p>
    <w:p w14:paraId="6D8C6E6D">
      <w:pPr>
        <w:pStyle w:val="97"/>
        <w:rPr>
          <w:rFonts w:hint="eastAsia"/>
        </w:rPr>
      </w:pPr>
      <w:r>
        <w:t>排污许可制度</w:t>
      </w:r>
    </w:p>
    <w:p w14:paraId="3F7535B2">
      <w:pPr>
        <w:pStyle w:val="128"/>
        <w:rPr>
          <w:rFonts w:hint="eastAsia"/>
        </w:rPr>
      </w:pPr>
      <w:r>
        <w:rPr>
          <w:rFonts w:hint="eastAsia"/>
        </w:rPr>
        <w:t>国务院于</w:t>
      </w:r>
      <w:r>
        <w:t>2021年1月24日发布</w:t>
      </w:r>
      <w:r>
        <w:rPr>
          <w:rFonts w:hint="eastAsia"/>
        </w:rPr>
        <w:t>《排污许可管理条例》，条例指出：</w:t>
      </w:r>
      <w:r>
        <w:t>依照法律规定实行排污许可管理的企业事业单位和其他生产经营者（以下称排污单位），应当依照本条例规定申请取得排污许可证；未取得排污许可证的，不得排放污染物。</w:t>
      </w:r>
      <w:r>
        <w:rPr>
          <w:rFonts w:hint="eastAsia"/>
        </w:rPr>
        <w:t>排污单位应当向其生产经营场所所在地设区的市级以上地方人民政府生态环境主管部门（以下称审批部门）申请取得排污许可证。</w:t>
      </w:r>
    </w:p>
    <w:p w14:paraId="0E99CF4D">
      <w:pPr>
        <w:pStyle w:val="128"/>
        <w:rPr>
          <w:rFonts w:hint="eastAsia"/>
        </w:rPr>
      </w:pPr>
      <w:r>
        <w:rPr>
          <w:rFonts w:hint="eastAsia"/>
        </w:rPr>
        <w:t>本次环评</w:t>
      </w:r>
      <w:r>
        <w:t>要求</w:t>
      </w:r>
      <w:r>
        <w:rPr>
          <w:rFonts w:hint="eastAsia"/>
        </w:rPr>
        <w:t>，项目</w:t>
      </w:r>
      <w:r>
        <w:t>在报批环评报告书后、项目实际运行前，应</w:t>
      </w:r>
      <w:r>
        <w:rPr>
          <w:rFonts w:hint="eastAsia"/>
        </w:rPr>
        <w:t>按照</w:t>
      </w:r>
      <w:r>
        <w:t>《排污</w:t>
      </w:r>
      <w:r>
        <w:rPr>
          <w:rFonts w:hint="eastAsia"/>
        </w:rPr>
        <w:t>许可证</w:t>
      </w:r>
      <w:r>
        <w:t>申请与核发技术规范</w:t>
      </w:r>
      <w:r>
        <w:rPr>
          <w:rFonts w:hint="eastAsia"/>
        </w:rPr>
        <w:t xml:space="preserve"> 总则</w:t>
      </w:r>
      <w:r>
        <w:t>》（HJ</w:t>
      </w:r>
      <w:r>
        <w:rPr>
          <w:rFonts w:hint="eastAsia"/>
        </w:rPr>
        <w:t>942</w:t>
      </w:r>
      <w:r>
        <w:t>-201</w:t>
      </w:r>
      <w:r>
        <w:rPr>
          <w:rFonts w:hint="eastAsia"/>
        </w:rPr>
        <w:t>8</w:t>
      </w:r>
      <w:r>
        <w:t>）</w:t>
      </w:r>
      <w:r>
        <w:rPr>
          <w:rFonts w:hint="eastAsia"/>
        </w:rPr>
        <w:t>、《排污许可证申请与核发技术规范 石化工业》(HJ 853-2017)、《排污许可证申请与核发技术规范化肥工业 氮肥》（HJ 864.1-2017）、《排污许可证申请与核发技术规范 排污许可证申请与核发技术规范 磷肥、钾肥、复混肥料、有机肥料及微生物肥料工业》（</w:t>
      </w:r>
      <w:r>
        <w:t>HJ864.2-2018</w:t>
      </w:r>
      <w:r>
        <w:rPr>
          <w:rFonts w:hint="eastAsia"/>
        </w:rPr>
        <w:t>）</w:t>
      </w:r>
      <w:r>
        <w:t>要求完成排污许可证</w:t>
      </w:r>
      <w:r>
        <w:rPr>
          <w:rFonts w:hint="eastAsia"/>
        </w:rPr>
        <w:t>申领</w:t>
      </w:r>
      <w:r>
        <w:t>工作，作为本项目合法运行的前提。</w:t>
      </w:r>
    </w:p>
    <w:p w14:paraId="3DB26416">
      <w:pPr>
        <w:pStyle w:val="97"/>
        <w:rPr>
          <w:rFonts w:hint="eastAsia"/>
        </w:rPr>
      </w:pPr>
      <w:r>
        <w:t>信息公开</w:t>
      </w:r>
    </w:p>
    <w:p w14:paraId="7FB672C9">
      <w:pPr>
        <w:spacing w:line="360" w:lineRule="auto"/>
        <w:ind w:firstLine="480" w:firstLineChars="200"/>
        <w:rPr>
          <w:rFonts w:hint="eastAsia"/>
        </w:rPr>
      </w:pPr>
      <w:r>
        <w:rPr>
          <w:rFonts w:hint="eastAsia"/>
        </w:rPr>
        <w:t>建设单位按照</w:t>
      </w:r>
      <w:r>
        <w:t>《企业环境信息依法披露管理办法》</w:t>
      </w:r>
      <w:r>
        <w:rPr>
          <w:rFonts w:hint="eastAsia"/>
        </w:rPr>
        <w:t>及《关于加强污染源环境监管信息公开工作的通知》的要求，在重点排污单位名录公布后九十日内，对以下内容进行公开：</w:t>
      </w:r>
    </w:p>
    <w:p w14:paraId="155E7E36">
      <w:pPr>
        <w:pStyle w:val="281"/>
        <w:ind w:firstLine="480"/>
      </w:pPr>
      <w:r>
        <w:rPr>
          <w:rFonts w:hint="eastAsia"/>
        </w:rPr>
        <w:t>（</w:t>
      </w:r>
      <w:r>
        <w:t>1</w:t>
      </w:r>
      <w:r>
        <w:rPr>
          <w:rFonts w:hint="eastAsia"/>
        </w:rPr>
        <w:t>）建设单位名称、组织机构代码、法定代表人、生产地址、联系方式，以及生产经营和管理服务的主要内容、产品及规模；</w:t>
      </w:r>
    </w:p>
    <w:p w14:paraId="651C9463">
      <w:pPr>
        <w:pStyle w:val="281"/>
        <w:ind w:firstLine="480"/>
      </w:pPr>
      <w:r>
        <w:rPr>
          <w:rFonts w:hint="eastAsia"/>
        </w:rPr>
        <w:t>（</w:t>
      </w:r>
      <w:r>
        <w:t>2</w:t>
      </w:r>
      <w:r>
        <w:rPr>
          <w:rFonts w:hint="eastAsia"/>
        </w:rPr>
        <w:t>）污染物及特征污染物的名称、排放方式、排放口数量和分布情况、排放浓度和总量、超标情况，以及执行的污染物排放标准、核定的排放总量；</w:t>
      </w:r>
    </w:p>
    <w:p w14:paraId="147591B4">
      <w:pPr>
        <w:pStyle w:val="281"/>
        <w:ind w:firstLine="480"/>
      </w:pPr>
      <w:r>
        <w:rPr>
          <w:rFonts w:hint="eastAsia"/>
        </w:rPr>
        <w:t>（</w:t>
      </w:r>
      <w:r>
        <w:t>3</w:t>
      </w:r>
      <w:r>
        <w:rPr>
          <w:rFonts w:hint="eastAsia"/>
        </w:rPr>
        <w:t>）防治污染设施的建设和运行情况；</w:t>
      </w:r>
    </w:p>
    <w:p w14:paraId="7D6363E7">
      <w:pPr>
        <w:pStyle w:val="281"/>
        <w:ind w:firstLine="480"/>
      </w:pPr>
      <w:r>
        <w:rPr>
          <w:rFonts w:hint="eastAsia"/>
        </w:rPr>
        <w:t>（</w:t>
      </w:r>
      <w:r>
        <w:t>4</w:t>
      </w:r>
      <w:r>
        <w:rPr>
          <w:rFonts w:hint="eastAsia"/>
        </w:rPr>
        <w:t>）建设项目环境影响评价及其他环境保护行政许可情况；</w:t>
      </w:r>
    </w:p>
    <w:p w14:paraId="68FC99FD">
      <w:pPr>
        <w:pStyle w:val="281"/>
        <w:ind w:firstLine="480"/>
      </w:pPr>
      <w:r>
        <w:rPr>
          <w:rFonts w:hint="eastAsia"/>
        </w:rPr>
        <w:t>（</w:t>
      </w:r>
      <w:r>
        <w:t>5</w:t>
      </w:r>
      <w:r>
        <w:rPr>
          <w:rFonts w:hint="eastAsia"/>
        </w:rPr>
        <w:t>）突发环境事件应急预案。</w:t>
      </w:r>
    </w:p>
    <w:p w14:paraId="3DAC6F87">
      <w:pPr>
        <w:pStyle w:val="3"/>
        <w:rPr>
          <w:rFonts w:hint="eastAsia"/>
        </w:rPr>
      </w:pPr>
      <w:bookmarkStart w:id="560" w:name="_Toc17774"/>
      <w:r>
        <w:t>污染源排放清单</w:t>
      </w:r>
      <w:bookmarkEnd w:id="560"/>
    </w:p>
    <w:p w14:paraId="1B3F681C">
      <w:pPr>
        <w:spacing w:line="360" w:lineRule="auto"/>
        <w:ind w:firstLine="480" w:firstLineChars="200"/>
        <w:rPr>
          <w:rFonts w:hint="eastAsia"/>
        </w:rPr>
      </w:pPr>
      <w:r>
        <w:rPr>
          <w:rFonts w:hint="eastAsia"/>
        </w:rPr>
        <w:t>本项目结合排污许可制度，对污染物排放按各装置列出了污染源清单，具体见以下各表。企业填报排污许可文件中的许可排放限值时，需同时满足环境影响评价文件和批复要求。</w:t>
      </w:r>
    </w:p>
    <w:p w14:paraId="6A89BA62">
      <w:pPr>
        <w:spacing w:line="360" w:lineRule="auto"/>
        <w:ind w:firstLine="480" w:firstLineChars="200"/>
        <w:rPr>
          <w:rFonts w:hint="eastAsia"/>
        </w:rPr>
      </w:pPr>
      <w:r>
        <w:rPr>
          <w:rFonts w:hint="eastAsia"/>
        </w:rPr>
        <w:t>污染源排放清单见</w:t>
      </w:r>
      <w:r>
        <w:rPr>
          <w:rStyle w:val="282"/>
          <w:rFonts w:hint="eastAsia"/>
        </w:rPr>
        <w:t>表10.2-1。</w:t>
      </w:r>
    </w:p>
    <w:p w14:paraId="40C034FE">
      <w:pPr>
        <w:spacing w:line="360" w:lineRule="auto"/>
        <w:ind w:firstLine="480" w:firstLineChars="200"/>
        <w:rPr>
          <w:rFonts w:hint="eastAsia"/>
        </w:rPr>
        <w:sectPr>
          <w:pgSz w:w="11906" w:h="16838"/>
          <w:pgMar w:top="1440" w:right="1800" w:bottom="1440" w:left="1800" w:header="851" w:footer="850" w:gutter="0"/>
          <w:cols w:space="425" w:num="1"/>
          <w:docGrid w:type="lines" w:linePitch="326" w:charSpace="0"/>
        </w:sectPr>
      </w:pPr>
    </w:p>
    <w:p w14:paraId="28BDC3A0">
      <w:pPr>
        <w:pStyle w:val="535"/>
        <w:rPr>
          <w:rFonts w:hint="eastAsia"/>
          <w:color w:val="auto"/>
        </w:rPr>
      </w:pPr>
      <w:bookmarkStart w:id="561" w:name="_Hlk179671684"/>
      <w:r>
        <w:rPr>
          <w:rFonts w:hint="eastAsia"/>
          <w:color w:val="auto"/>
        </w:rPr>
        <w:t>表10.2-1   污染物排放清单</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165"/>
        <w:gridCol w:w="1746"/>
        <w:gridCol w:w="1227"/>
        <w:gridCol w:w="633"/>
        <w:gridCol w:w="1684"/>
        <w:gridCol w:w="784"/>
        <w:gridCol w:w="1302"/>
        <w:gridCol w:w="907"/>
        <w:gridCol w:w="692"/>
        <w:gridCol w:w="709"/>
        <w:gridCol w:w="2471"/>
      </w:tblGrid>
      <w:tr w14:paraId="47BC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restart"/>
            <w:vAlign w:val="center"/>
          </w:tcPr>
          <w:p w14:paraId="1306925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环境要素</w:t>
            </w:r>
          </w:p>
        </w:tc>
        <w:tc>
          <w:tcPr>
            <w:tcW w:w="2911" w:type="dxa"/>
            <w:gridSpan w:val="2"/>
            <w:vMerge w:val="restart"/>
            <w:vAlign w:val="center"/>
          </w:tcPr>
          <w:p w14:paraId="7E27E1F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产污环节</w:t>
            </w:r>
          </w:p>
        </w:tc>
        <w:tc>
          <w:tcPr>
            <w:tcW w:w="1227" w:type="dxa"/>
            <w:vMerge w:val="restart"/>
            <w:vAlign w:val="center"/>
          </w:tcPr>
          <w:p w14:paraId="5B140DC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污染物种类</w:t>
            </w:r>
          </w:p>
        </w:tc>
        <w:tc>
          <w:tcPr>
            <w:tcW w:w="633" w:type="dxa"/>
            <w:vMerge w:val="restart"/>
            <w:vAlign w:val="center"/>
          </w:tcPr>
          <w:p w14:paraId="2B6177B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排放形式</w:t>
            </w:r>
          </w:p>
        </w:tc>
        <w:tc>
          <w:tcPr>
            <w:tcW w:w="1684" w:type="dxa"/>
            <w:vMerge w:val="restart"/>
            <w:vAlign w:val="center"/>
          </w:tcPr>
          <w:p w14:paraId="553A7AF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拟采取的环境保护措施</w:t>
            </w:r>
          </w:p>
        </w:tc>
        <w:tc>
          <w:tcPr>
            <w:tcW w:w="784" w:type="dxa"/>
            <w:vMerge w:val="restart"/>
            <w:noWrap/>
            <w:vAlign w:val="center"/>
          </w:tcPr>
          <w:p w14:paraId="3F8BA37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排放浓度</w:t>
            </w:r>
          </w:p>
          <w:p w14:paraId="6B0A778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mg/m</w:t>
            </w:r>
            <w:r>
              <w:rPr>
                <w:rFonts w:ascii="Times New Roman" w:hAnsi="Times New Roman" w:cs="Times New Roman"/>
                <w:color w:val="000000" w:themeColor="text1"/>
                <w:sz w:val="18"/>
                <w:szCs w:val="18"/>
                <w:vertAlign w:val="superscript"/>
                <w14:textFill>
                  <w14:solidFill>
                    <w14:schemeClr w14:val="tx1"/>
                  </w14:solidFill>
                </w14:textFill>
              </w:rPr>
              <w:t>3</w:t>
            </w:r>
          </w:p>
        </w:tc>
        <w:tc>
          <w:tcPr>
            <w:tcW w:w="1302" w:type="dxa"/>
            <w:vMerge w:val="restart"/>
            <w:noWrap/>
            <w:vAlign w:val="center"/>
          </w:tcPr>
          <w:p w14:paraId="0B9930F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排放速率kg/h</w:t>
            </w:r>
          </w:p>
        </w:tc>
        <w:tc>
          <w:tcPr>
            <w:tcW w:w="907" w:type="dxa"/>
            <w:vMerge w:val="restart"/>
            <w:noWrap/>
            <w:vAlign w:val="center"/>
          </w:tcPr>
          <w:p w14:paraId="0EF85E5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排放总量t/a</w:t>
            </w:r>
          </w:p>
        </w:tc>
        <w:tc>
          <w:tcPr>
            <w:tcW w:w="1401" w:type="dxa"/>
            <w:gridSpan w:val="2"/>
            <w:vAlign w:val="center"/>
          </w:tcPr>
          <w:p w14:paraId="69488EB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排放标准</w:t>
            </w:r>
          </w:p>
        </w:tc>
        <w:tc>
          <w:tcPr>
            <w:tcW w:w="2471" w:type="dxa"/>
            <w:vMerge w:val="restart"/>
            <w:vAlign w:val="center"/>
          </w:tcPr>
          <w:p w14:paraId="1F98E604">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执行标准</w:t>
            </w:r>
          </w:p>
        </w:tc>
      </w:tr>
      <w:tr w14:paraId="4322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83DD38D">
            <w:pPr>
              <w:rPr>
                <w:rFonts w:ascii="Times New Roman" w:hAnsi="Times New Roman" w:cs="Times New Roman"/>
                <w:color w:val="000000" w:themeColor="text1"/>
                <w:sz w:val="18"/>
                <w:szCs w:val="18"/>
                <w14:textFill>
                  <w14:solidFill>
                    <w14:schemeClr w14:val="tx1"/>
                  </w14:solidFill>
                </w14:textFill>
              </w:rPr>
            </w:pPr>
          </w:p>
        </w:tc>
        <w:tc>
          <w:tcPr>
            <w:tcW w:w="2911" w:type="dxa"/>
            <w:gridSpan w:val="2"/>
            <w:vMerge w:val="continue"/>
            <w:vAlign w:val="center"/>
          </w:tcPr>
          <w:p w14:paraId="36E98836">
            <w:pPr>
              <w:rPr>
                <w:rFonts w:ascii="Times New Roman" w:hAnsi="Times New Roman" w:cs="Times New Roman"/>
                <w:color w:val="000000" w:themeColor="text1"/>
                <w:sz w:val="18"/>
                <w:szCs w:val="18"/>
                <w14:textFill>
                  <w14:solidFill>
                    <w14:schemeClr w14:val="tx1"/>
                  </w14:solidFill>
                </w14:textFill>
              </w:rPr>
            </w:pPr>
          </w:p>
        </w:tc>
        <w:tc>
          <w:tcPr>
            <w:tcW w:w="1227" w:type="dxa"/>
            <w:vMerge w:val="continue"/>
            <w:vAlign w:val="center"/>
          </w:tcPr>
          <w:p w14:paraId="381B5E1A">
            <w:pPr>
              <w:rPr>
                <w:rFonts w:ascii="Times New Roman" w:hAnsi="Times New Roman" w:cs="Times New Roman"/>
                <w:color w:val="000000" w:themeColor="text1"/>
                <w:sz w:val="18"/>
                <w:szCs w:val="18"/>
                <w14:textFill>
                  <w14:solidFill>
                    <w14:schemeClr w14:val="tx1"/>
                  </w14:solidFill>
                </w14:textFill>
              </w:rPr>
            </w:pPr>
          </w:p>
        </w:tc>
        <w:tc>
          <w:tcPr>
            <w:tcW w:w="633" w:type="dxa"/>
            <w:vMerge w:val="continue"/>
            <w:vAlign w:val="center"/>
          </w:tcPr>
          <w:p w14:paraId="0CF5E729">
            <w:pP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50B1CFF5">
            <w:pPr>
              <w:rPr>
                <w:rFonts w:ascii="Times New Roman" w:hAnsi="Times New Roman" w:cs="Times New Roman"/>
                <w:color w:val="000000" w:themeColor="text1"/>
                <w:sz w:val="18"/>
                <w:szCs w:val="18"/>
                <w14:textFill>
                  <w14:solidFill>
                    <w14:schemeClr w14:val="tx1"/>
                  </w14:solidFill>
                </w14:textFill>
              </w:rPr>
            </w:pPr>
          </w:p>
        </w:tc>
        <w:tc>
          <w:tcPr>
            <w:tcW w:w="784" w:type="dxa"/>
            <w:vMerge w:val="continue"/>
            <w:noWrap/>
            <w:vAlign w:val="center"/>
          </w:tcPr>
          <w:p w14:paraId="5083CF75">
            <w:pPr>
              <w:jc w:val="center"/>
              <w:rPr>
                <w:rFonts w:ascii="Times New Roman" w:hAnsi="Times New Roman" w:cs="Times New Roman"/>
                <w:color w:val="000000" w:themeColor="text1"/>
                <w:sz w:val="18"/>
                <w:szCs w:val="18"/>
                <w14:textFill>
                  <w14:solidFill>
                    <w14:schemeClr w14:val="tx1"/>
                  </w14:solidFill>
                </w14:textFill>
              </w:rPr>
            </w:pPr>
          </w:p>
        </w:tc>
        <w:tc>
          <w:tcPr>
            <w:tcW w:w="1302" w:type="dxa"/>
            <w:vMerge w:val="continue"/>
            <w:vAlign w:val="center"/>
          </w:tcPr>
          <w:p w14:paraId="6BBA9318">
            <w:pPr>
              <w:rPr>
                <w:rFonts w:ascii="Times New Roman" w:hAnsi="Times New Roman" w:cs="Times New Roman"/>
                <w:color w:val="000000" w:themeColor="text1"/>
                <w:sz w:val="18"/>
                <w:szCs w:val="18"/>
                <w14:textFill>
                  <w14:solidFill>
                    <w14:schemeClr w14:val="tx1"/>
                  </w14:solidFill>
                </w14:textFill>
              </w:rPr>
            </w:pPr>
          </w:p>
        </w:tc>
        <w:tc>
          <w:tcPr>
            <w:tcW w:w="907" w:type="dxa"/>
            <w:vMerge w:val="continue"/>
            <w:vAlign w:val="center"/>
          </w:tcPr>
          <w:p w14:paraId="6FA9E685">
            <w:pPr>
              <w:rPr>
                <w:rFonts w:ascii="Times New Roman" w:hAnsi="Times New Roman" w:cs="Times New Roman"/>
                <w:color w:val="000000" w:themeColor="text1"/>
                <w:sz w:val="18"/>
                <w:szCs w:val="18"/>
                <w14:textFill>
                  <w14:solidFill>
                    <w14:schemeClr w14:val="tx1"/>
                  </w14:solidFill>
                </w14:textFill>
              </w:rPr>
            </w:pPr>
          </w:p>
        </w:tc>
        <w:tc>
          <w:tcPr>
            <w:tcW w:w="692" w:type="dxa"/>
            <w:vAlign w:val="center"/>
          </w:tcPr>
          <w:p w14:paraId="63FD5E3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w:t>
            </w:r>
          </w:p>
          <w:p w14:paraId="0A15805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浓度mg/m</w:t>
            </w:r>
            <w:r>
              <w:rPr>
                <w:rFonts w:ascii="Times New Roman" w:hAnsi="Times New Roman" w:cs="Times New Roman"/>
                <w:color w:val="000000" w:themeColor="text1"/>
                <w:sz w:val="18"/>
                <w:szCs w:val="18"/>
                <w:vertAlign w:val="superscript"/>
                <w14:textFill>
                  <w14:solidFill>
                    <w14:schemeClr w14:val="tx1"/>
                  </w14:solidFill>
                </w14:textFill>
              </w:rPr>
              <w:t>3</w:t>
            </w:r>
          </w:p>
        </w:tc>
        <w:tc>
          <w:tcPr>
            <w:tcW w:w="709" w:type="dxa"/>
            <w:vAlign w:val="center"/>
          </w:tcPr>
          <w:p w14:paraId="75E846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排放量</w:t>
            </w:r>
          </w:p>
          <w:p w14:paraId="6ADF6A2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kg/h</w:t>
            </w:r>
          </w:p>
        </w:tc>
        <w:tc>
          <w:tcPr>
            <w:tcW w:w="2471" w:type="dxa"/>
            <w:vMerge w:val="continue"/>
            <w:vAlign w:val="center"/>
          </w:tcPr>
          <w:p w14:paraId="17F8E97C">
            <w:pPr>
              <w:rPr>
                <w:rFonts w:ascii="Times New Roman" w:hAnsi="Times New Roman" w:cs="Times New Roman"/>
                <w:color w:val="FF0000"/>
                <w:sz w:val="18"/>
                <w:szCs w:val="18"/>
              </w:rPr>
            </w:pPr>
          </w:p>
        </w:tc>
      </w:tr>
      <w:tr w14:paraId="211A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restart"/>
            <w:vAlign w:val="center"/>
          </w:tcPr>
          <w:p w14:paraId="0BC98F8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废气</w:t>
            </w:r>
          </w:p>
        </w:tc>
        <w:tc>
          <w:tcPr>
            <w:tcW w:w="1165" w:type="dxa"/>
            <w:vMerge w:val="restart"/>
            <w:vAlign w:val="center"/>
          </w:tcPr>
          <w:p w14:paraId="4E9304A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气化装置</w:t>
            </w:r>
          </w:p>
        </w:tc>
        <w:tc>
          <w:tcPr>
            <w:tcW w:w="1746" w:type="dxa"/>
            <w:vAlign w:val="center"/>
          </w:tcPr>
          <w:p w14:paraId="79257A3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原料煤仓废气</w:t>
            </w:r>
          </w:p>
        </w:tc>
        <w:tc>
          <w:tcPr>
            <w:tcW w:w="1227" w:type="dxa"/>
            <w:vAlign w:val="center"/>
          </w:tcPr>
          <w:p w14:paraId="2DCF69A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0913F58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5DBEB35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袋式除尘器</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55</w:t>
            </w:r>
            <w:r>
              <w:rPr>
                <w:rFonts w:ascii="Times New Roman" w:hAnsi="Times New Roman" w:cs="Times New Roman"/>
                <w:color w:val="000000" w:themeColor="text1"/>
                <w:sz w:val="18"/>
                <w:szCs w:val="18"/>
                <w14:textFill>
                  <w14:solidFill>
                    <w14:schemeClr w14:val="tx1"/>
                  </w14:solidFill>
                </w14:textFill>
              </w:rPr>
              <w:t>m排气筒</w:t>
            </w:r>
          </w:p>
        </w:tc>
        <w:tc>
          <w:tcPr>
            <w:tcW w:w="784" w:type="dxa"/>
            <w:noWrap/>
            <w:vAlign w:val="center"/>
          </w:tcPr>
          <w:p w14:paraId="77F35AD5">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rPr>
              <w:t>18.75</w:t>
            </w:r>
          </w:p>
        </w:tc>
        <w:tc>
          <w:tcPr>
            <w:tcW w:w="1302" w:type="dxa"/>
            <w:noWrap/>
            <w:vAlign w:val="center"/>
          </w:tcPr>
          <w:p w14:paraId="4DF0A719">
            <w:pPr>
              <w:jc w:val="center"/>
              <w:rPr>
                <w:rFonts w:ascii="Times New Roman" w:hAnsi="Times New Roman" w:cs="Times New Roman"/>
                <w:color w:val="FF0000"/>
                <w:sz w:val="18"/>
                <w:szCs w:val="18"/>
              </w:rPr>
            </w:pPr>
            <w:r>
              <w:rPr>
                <w:rFonts w:ascii="Times New Roman" w:hAnsi="Times New Roman" w:cs="Times New Roman"/>
                <w:color w:val="000000"/>
                <w:sz w:val="18"/>
                <w:szCs w:val="18"/>
              </w:rPr>
              <w:t>0.15</w:t>
            </w:r>
          </w:p>
        </w:tc>
        <w:tc>
          <w:tcPr>
            <w:tcW w:w="907" w:type="dxa"/>
            <w:noWrap/>
            <w:vAlign w:val="center"/>
          </w:tcPr>
          <w:p w14:paraId="24473E87">
            <w:pPr>
              <w:jc w:val="center"/>
              <w:rPr>
                <w:rFonts w:ascii="Times New Roman" w:hAnsi="Times New Roman" w:cs="Times New Roman"/>
                <w:color w:val="FF0000"/>
                <w:sz w:val="18"/>
                <w:szCs w:val="18"/>
              </w:rPr>
            </w:pPr>
            <w:r>
              <w:rPr>
                <w:rFonts w:ascii="Times New Roman" w:hAnsi="Times New Roman" w:cs="Times New Roman"/>
                <w:color w:val="000000"/>
                <w:sz w:val="18"/>
                <w:szCs w:val="18"/>
              </w:rPr>
              <w:t>1.19</w:t>
            </w:r>
          </w:p>
        </w:tc>
        <w:tc>
          <w:tcPr>
            <w:tcW w:w="692" w:type="dxa"/>
            <w:vAlign w:val="center"/>
          </w:tcPr>
          <w:p w14:paraId="5C368FB7">
            <w:pPr>
              <w:pStyle w:val="557"/>
              <w:rPr>
                <w:color w:val="FF0000"/>
              </w:rPr>
            </w:pPr>
            <w:r>
              <w:rPr>
                <w:rFonts w:hint="eastAsia"/>
              </w:rPr>
              <w:t>120</w:t>
            </w:r>
          </w:p>
        </w:tc>
        <w:tc>
          <w:tcPr>
            <w:tcW w:w="709" w:type="dxa"/>
            <w:vAlign w:val="center"/>
          </w:tcPr>
          <w:p w14:paraId="3434550B">
            <w:pPr>
              <w:pStyle w:val="557"/>
              <w:rPr>
                <w:color w:val="FF0000"/>
              </w:rPr>
            </w:pPr>
            <w:r>
              <w:rPr>
                <w:rFonts w:hint="eastAsia"/>
              </w:rPr>
              <w:t>72.5</w:t>
            </w:r>
            <w:r>
              <w:t>（</w:t>
            </w:r>
            <w:r>
              <w:rPr>
                <w:rFonts w:hint="eastAsia"/>
              </w:rPr>
              <w:t>55</w:t>
            </w:r>
            <w:r>
              <w:t>m排气筒）</w:t>
            </w:r>
          </w:p>
        </w:tc>
        <w:tc>
          <w:tcPr>
            <w:tcW w:w="2471" w:type="dxa"/>
            <w:vAlign w:val="center"/>
          </w:tcPr>
          <w:p w14:paraId="56AF609C">
            <w:pPr>
              <w:pStyle w:val="557"/>
              <w:rPr>
                <w:color w:val="FF0000"/>
              </w:rPr>
            </w:pPr>
            <w:r>
              <w:t>《大气污染物综合排放标准》（GB16297-1996）表2</w:t>
            </w:r>
            <w:r>
              <w:rPr>
                <w:color w:val="FF0000"/>
              </w:rPr>
              <w:t xml:space="preserve"> </w:t>
            </w:r>
          </w:p>
        </w:tc>
      </w:tr>
      <w:tr w14:paraId="1773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2DC553B">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59BE5F2C">
            <w:pP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7755F14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磨煤干燥废气</w:t>
            </w:r>
          </w:p>
        </w:tc>
        <w:tc>
          <w:tcPr>
            <w:tcW w:w="1227" w:type="dxa"/>
            <w:vAlign w:val="center"/>
          </w:tcPr>
          <w:p w14:paraId="3717116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continue"/>
            <w:vAlign w:val="center"/>
          </w:tcPr>
          <w:p w14:paraId="0B039522">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restart"/>
            <w:vAlign w:val="center"/>
          </w:tcPr>
          <w:p w14:paraId="237CDE5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低氮燃烧+袋式除尘器</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95</w:t>
            </w:r>
            <w:r>
              <w:rPr>
                <w:rFonts w:ascii="Times New Roman" w:hAnsi="Times New Roman" w:cs="Times New Roman"/>
                <w:color w:val="000000" w:themeColor="text1"/>
                <w:sz w:val="18"/>
                <w:szCs w:val="18"/>
                <w14:textFill>
                  <w14:solidFill>
                    <w14:schemeClr w14:val="tx1"/>
                  </w14:solidFill>
                </w14:textFill>
              </w:rPr>
              <w:t>m排气筒</w:t>
            </w:r>
          </w:p>
        </w:tc>
        <w:tc>
          <w:tcPr>
            <w:tcW w:w="784" w:type="dxa"/>
            <w:noWrap/>
            <w:vAlign w:val="center"/>
          </w:tcPr>
          <w:p w14:paraId="086B8BA7">
            <w:pPr>
              <w:jc w:val="center"/>
              <w:rPr>
                <w:rFonts w:ascii="Times New Roman" w:hAnsi="Times New Roman" w:cs="Times New Roman"/>
                <w:color w:val="FF0000"/>
                <w:sz w:val="18"/>
                <w:szCs w:val="18"/>
              </w:rPr>
            </w:pPr>
            <w:r>
              <w:rPr>
                <w:rFonts w:ascii="Times New Roman" w:hAnsi="Times New Roman" w:cs="Times New Roman"/>
                <w:color w:val="000000"/>
                <w:sz w:val="18"/>
                <w:szCs w:val="18"/>
              </w:rPr>
              <w:t xml:space="preserve">13.35 </w:t>
            </w:r>
          </w:p>
        </w:tc>
        <w:tc>
          <w:tcPr>
            <w:tcW w:w="1302" w:type="dxa"/>
            <w:noWrap/>
            <w:vAlign w:val="center"/>
          </w:tcPr>
          <w:p w14:paraId="20D92E6E">
            <w:pPr>
              <w:jc w:val="center"/>
              <w:rPr>
                <w:rFonts w:ascii="Times New Roman" w:hAnsi="Times New Roman" w:cs="Times New Roman"/>
                <w:color w:val="FF0000"/>
                <w:sz w:val="18"/>
                <w:szCs w:val="18"/>
              </w:rPr>
            </w:pPr>
            <w:r>
              <w:rPr>
                <w:rFonts w:ascii="Times New Roman" w:hAnsi="Times New Roman" w:cs="Times New Roman"/>
                <w:color w:val="000000"/>
                <w:sz w:val="18"/>
                <w:szCs w:val="18"/>
              </w:rPr>
              <w:t>0.7075</w:t>
            </w:r>
          </w:p>
        </w:tc>
        <w:tc>
          <w:tcPr>
            <w:tcW w:w="907" w:type="dxa"/>
            <w:noWrap/>
            <w:vAlign w:val="center"/>
          </w:tcPr>
          <w:p w14:paraId="46D7049B">
            <w:pPr>
              <w:jc w:val="center"/>
              <w:rPr>
                <w:rFonts w:ascii="Times New Roman" w:hAnsi="Times New Roman" w:cs="Times New Roman"/>
                <w:color w:val="FF0000"/>
                <w:sz w:val="18"/>
                <w:szCs w:val="18"/>
              </w:rPr>
            </w:pPr>
            <w:r>
              <w:rPr>
                <w:rFonts w:ascii="Times New Roman" w:hAnsi="Times New Roman" w:cs="Times New Roman"/>
                <w:color w:val="000000"/>
                <w:sz w:val="18"/>
                <w:szCs w:val="18"/>
              </w:rPr>
              <w:t>5.66</w:t>
            </w:r>
          </w:p>
        </w:tc>
        <w:tc>
          <w:tcPr>
            <w:tcW w:w="692" w:type="dxa"/>
            <w:vAlign w:val="center"/>
          </w:tcPr>
          <w:p w14:paraId="41D8958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c>
          <w:tcPr>
            <w:tcW w:w="709" w:type="dxa"/>
            <w:vAlign w:val="center"/>
          </w:tcPr>
          <w:p w14:paraId="2CEE745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52F18B23">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含2024年修改单）表7</w:t>
            </w:r>
          </w:p>
        </w:tc>
      </w:tr>
      <w:tr w14:paraId="468E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B1956C5">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2622B070">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1BD78F9B">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37ACFBC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NO</w:t>
            </w:r>
            <w:r>
              <w:rPr>
                <w:rFonts w:ascii="Times New Roman" w:hAnsi="Times New Roman" w:cs="Times New Roman"/>
                <w:color w:val="000000" w:themeColor="text1"/>
                <w:sz w:val="18"/>
                <w:szCs w:val="18"/>
                <w:vertAlign w:val="subscript"/>
                <w14:textFill>
                  <w14:solidFill>
                    <w14:schemeClr w14:val="tx1"/>
                  </w14:solidFill>
                </w14:textFill>
              </w:rPr>
              <w:t>X</w:t>
            </w:r>
          </w:p>
        </w:tc>
        <w:tc>
          <w:tcPr>
            <w:tcW w:w="633" w:type="dxa"/>
            <w:vMerge w:val="continue"/>
            <w:vAlign w:val="center"/>
          </w:tcPr>
          <w:p w14:paraId="02432223">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64815854">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51267086">
            <w:pPr>
              <w:jc w:val="center"/>
              <w:rPr>
                <w:rFonts w:ascii="Times New Roman" w:hAnsi="Times New Roman" w:eastAsia="等线" w:cs="Times New Roman"/>
                <w:color w:val="FF0000"/>
                <w:sz w:val="18"/>
                <w:szCs w:val="18"/>
              </w:rPr>
            </w:pPr>
            <w:r>
              <w:rPr>
                <w:rFonts w:ascii="Times New Roman" w:hAnsi="Times New Roman" w:cs="Times New Roman"/>
                <w:sz w:val="18"/>
                <w:szCs w:val="18"/>
              </w:rPr>
              <w:t>100</w:t>
            </w:r>
          </w:p>
        </w:tc>
        <w:tc>
          <w:tcPr>
            <w:tcW w:w="1302" w:type="dxa"/>
            <w:noWrap/>
            <w:vAlign w:val="center"/>
          </w:tcPr>
          <w:p w14:paraId="4AB7A5A3">
            <w:pPr>
              <w:jc w:val="center"/>
              <w:rPr>
                <w:rFonts w:ascii="Times New Roman" w:hAnsi="Times New Roman" w:eastAsia="等线" w:cs="Times New Roman"/>
                <w:color w:val="FF0000"/>
                <w:sz w:val="18"/>
                <w:szCs w:val="18"/>
              </w:rPr>
            </w:pPr>
            <w:r>
              <w:rPr>
                <w:rFonts w:ascii="Times New Roman" w:hAnsi="Times New Roman" w:cs="Times New Roman"/>
                <w:sz w:val="18"/>
                <w:szCs w:val="18"/>
              </w:rPr>
              <w:t>5.3</w:t>
            </w:r>
          </w:p>
        </w:tc>
        <w:tc>
          <w:tcPr>
            <w:tcW w:w="907" w:type="dxa"/>
            <w:noWrap/>
            <w:vAlign w:val="center"/>
          </w:tcPr>
          <w:p w14:paraId="025A39B5">
            <w:pPr>
              <w:jc w:val="center"/>
              <w:rPr>
                <w:rFonts w:ascii="Times New Roman" w:hAnsi="Times New Roman" w:eastAsia="等线" w:cs="Times New Roman"/>
                <w:color w:val="FF0000"/>
                <w:sz w:val="18"/>
                <w:szCs w:val="18"/>
              </w:rPr>
            </w:pPr>
            <w:r>
              <w:rPr>
                <w:rFonts w:ascii="Times New Roman" w:hAnsi="Times New Roman" w:cs="Times New Roman"/>
                <w:sz w:val="18"/>
                <w:szCs w:val="18"/>
              </w:rPr>
              <w:t>42.4</w:t>
            </w:r>
          </w:p>
        </w:tc>
        <w:tc>
          <w:tcPr>
            <w:tcW w:w="692" w:type="dxa"/>
            <w:vAlign w:val="center"/>
          </w:tcPr>
          <w:p w14:paraId="5A647FE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150</w:t>
            </w:r>
          </w:p>
        </w:tc>
        <w:tc>
          <w:tcPr>
            <w:tcW w:w="709" w:type="dxa"/>
            <w:vAlign w:val="center"/>
          </w:tcPr>
          <w:p w14:paraId="5C8BFF7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01D43F57">
            <w:pPr>
              <w:rPr>
                <w:rFonts w:ascii="Times New Roman" w:hAnsi="Times New Roman" w:cs="Times New Roman"/>
                <w:color w:val="FF0000"/>
                <w:sz w:val="18"/>
                <w:szCs w:val="18"/>
              </w:rPr>
            </w:pPr>
          </w:p>
        </w:tc>
      </w:tr>
      <w:tr w14:paraId="3005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ACADE57">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03C0AA44">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1150B38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粉煤锁斗排气</w:t>
            </w:r>
          </w:p>
        </w:tc>
        <w:tc>
          <w:tcPr>
            <w:tcW w:w="1227" w:type="dxa"/>
            <w:vAlign w:val="center"/>
          </w:tcPr>
          <w:p w14:paraId="6003AD5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continue"/>
            <w:vAlign w:val="center"/>
          </w:tcPr>
          <w:p w14:paraId="081E9D88">
            <w:pPr>
              <w:jc w:val="center"/>
              <w:rPr>
                <w:rFonts w:ascii="Times New Roman" w:hAnsi="Times New Roman" w:cs="Times New Roman"/>
                <w:color w:val="000000" w:themeColor="text1"/>
                <w:sz w:val="18"/>
                <w:szCs w:val="18"/>
                <w14:textFill>
                  <w14:solidFill>
                    <w14:schemeClr w14:val="tx1"/>
                  </w14:solidFill>
                </w14:textFill>
              </w:rPr>
            </w:pPr>
          </w:p>
        </w:tc>
        <w:tc>
          <w:tcPr>
            <w:tcW w:w="1684" w:type="dxa"/>
            <w:vAlign w:val="center"/>
          </w:tcPr>
          <w:p w14:paraId="198E2E9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袋式除尘器</w:t>
            </w:r>
            <w:r>
              <w:rPr>
                <w:rFonts w:ascii="Times New Roman" w:hAnsi="Times New Roman" w:cs="Times New Roman"/>
                <w:color w:val="000000" w:themeColor="text1"/>
                <w:sz w:val="18"/>
                <w:szCs w:val="18"/>
                <w14:textFill>
                  <w14:solidFill>
                    <w14:schemeClr w14:val="tx1"/>
                  </w14:solidFill>
                </w14:textFill>
              </w:rPr>
              <w:t>+95m排气筒</w:t>
            </w:r>
          </w:p>
        </w:tc>
        <w:tc>
          <w:tcPr>
            <w:tcW w:w="784" w:type="dxa"/>
            <w:noWrap/>
            <w:vAlign w:val="center"/>
          </w:tcPr>
          <w:p w14:paraId="7E9E3BE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17.65</w:t>
            </w:r>
          </w:p>
        </w:tc>
        <w:tc>
          <w:tcPr>
            <w:tcW w:w="1302" w:type="dxa"/>
            <w:noWrap/>
            <w:vAlign w:val="center"/>
          </w:tcPr>
          <w:p w14:paraId="176E1AF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0.15</w:t>
            </w:r>
          </w:p>
        </w:tc>
        <w:tc>
          <w:tcPr>
            <w:tcW w:w="907" w:type="dxa"/>
            <w:noWrap/>
            <w:vAlign w:val="center"/>
          </w:tcPr>
          <w:p w14:paraId="760C3E3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1.19</w:t>
            </w:r>
          </w:p>
        </w:tc>
        <w:tc>
          <w:tcPr>
            <w:tcW w:w="692" w:type="dxa"/>
            <w:vAlign w:val="center"/>
          </w:tcPr>
          <w:p w14:paraId="4EBC3D7E">
            <w:pPr>
              <w:pStyle w:val="557"/>
              <w:rPr>
                <w:color w:val="FF0000"/>
              </w:rPr>
            </w:pPr>
            <w:r>
              <w:rPr>
                <w:rFonts w:hint="eastAsia"/>
              </w:rPr>
              <w:t>120</w:t>
            </w:r>
          </w:p>
        </w:tc>
        <w:tc>
          <w:tcPr>
            <w:tcW w:w="709" w:type="dxa"/>
            <w:vAlign w:val="center"/>
          </w:tcPr>
          <w:p w14:paraId="268FDF85">
            <w:pPr>
              <w:pStyle w:val="557"/>
              <w:rPr>
                <w:color w:val="FF0000"/>
              </w:rPr>
            </w:pPr>
            <w:r>
              <w:rPr>
                <w:rFonts w:hint="eastAsia"/>
              </w:rPr>
              <w:t>213.09</w:t>
            </w:r>
            <w:r>
              <w:t>（</w:t>
            </w:r>
            <w:r>
              <w:rPr>
                <w:rFonts w:hint="eastAsia"/>
              </w:rPr>
              <w:t>95</w:t>
            </w:r>
            <w:r>
              <w:t>m排气筒）</w:t>
            </w:r>
          </w:p>
        </w:tc>
        <w:tc>
          <w:tcPr>
            <w:tcW w:w="2471" w:type="dxa"/>
            <w:vAlign w:val="center"/>
          </w:tcPr>
          <w:p w14:paraId="787EB57F">
            <w:pPr>
              <w:pStyle w:val="557"/>
              <w:rPr>
                <w:color w:val="FF0000"/>
              </w:rPr>
            </w:pPr>
            <w:r>
              <w:t>《大气污染物综合排放标准》（GB16297-1996）表2</w:t>
            </w:r>
            <w:r>
              <w:rPr>
                <w:color w:val="FF0000"/>
              </w:rPr>
              <w:t xml:space="preserve"> </w:t>
            </w:r>
          </w:p>
        </w:tc>
      </w:tr>
      <w:tr w14:paraId="5FC4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AB90CF3">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5832C8A7">
            <w:pP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2F488A9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真空泵排气</w:t>
            </w:r>
          </w:p>
        </w:tc>
        <w:tc>
          <w:tcPr>
            <w:tcW w:w="1227" w:type="dxa"/>
            <w:vAlign w:val="center"/>
          </w:tcPr>
          <w:p w14:paraId="0CFA314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S</w:t>
            </w:r>
          </w:p>
        </w:tc>
        <w:tc>
          <w:tcPr>
            <w:tcW w:w="633" w:type="dxa"/>
            <w:vMerge w:val="continue"/>
            <w:vAlign w:val="center"/>
          </w:tcPr>
          <w:p w14:paraId="754149E1">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restart"/>
            <w:vAlign w:val="center"/>
          </w:tcPr>
          <w:p w14:paraId="64BC3BD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w:t>
            </w:r>
            <w:r>
              <w:rPr>
                <w:rFonts w:ascii="Times New Roman" w:hAnsi="Times New Roman" w:cs="Times New Roman"/>
                <w:color w:val="000000" w:themeColor="text1"/>
                <w:sz w:val="18"/>
                <w:szCs w:val="18"/>
                <w14:textFill>
                  <w14:solidFill>
                    <w14:schemeClr w14:val="tx1"/>
                  </w14:solidFill>
                </w14:textFill>
              </w:rPr>
              <w:t>m排气筒</w:t>
            </w:r>
          </w:p>
        </w:tc>
        <w:tc>
          <w:tcPr>
            <w:tcW w:w="784" w:type="dxa"/>
            <w:noWrap/>
            <w:vAlign w:val="center"/>
          </w:tcPr>
          <w:p w14:paraId="244F9D2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1D4D1EB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0.001</w:t>
            </w:r>
          </w:p>
        </w:tc>
        <w:tc>
          <w:tcPr>
            <w:tcW w:w="907" w:type="dxa"/>
            <w:noWrap/>
            <w:vAlign w:val="center"/>
          </w:tcPr>
          <w:p w14:paraId="32A1014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0.008</w:t>
            </w:r>
          </w:p>
        </w:tc>
        <w:tc>
          <w:tcPr>
            <w:tcW w:w="692" w:type="dxa"/>
            <w:vAlign w:val="center"/>
          </w:tcPr>
          <w:p w14:paraId="65BA67EA">
            <w:pPr>
              <w:pStyle w:val="557"/>
              <w:rPr>
                <w:color w:val="FF0000"/>
              </w:rPr>
            </w:pPr>
            <w:r>
              <w:t>/</w:t>
            </w:r>
          </w:p>
        </w:tc>
        <w:tc>
          <w:tcPr>
            <w:tcW w:w="709" w:type="dxa"/>
            <w:vAlign w:val="center"/>
          </w:tcPr>
          <w:p w14:paraId="3B317086">
            <w:pPr>
              <w:pStyle w:val="557"/>
              <w:rPr>
                <w:color w:val="FF0000"/>
              </w:rPr>
            </w:pPr>
            <w:r>
              <w:rPr>
                <w:rFonts w:hint="eastAsia"/>
              </w:rPr>
              <w:t>1.14</w:t>
            </w:r>
            <w:r>
              <w:t>（</w:t>
            </w:r>
            <w:r>
              <w:rPr>
                <w:rFonts w:hint="eastAsia"/>
              </w:rPr>
              <w:t>28</w:t>
            </w:r>
            <w:r>
              <w:t>m排气筒）</w:t>
            </w:r>
          </w:p>
        </w:tc>
        <w:tc>
          <w:tcPr>
            <w:tcW w:w="2471" w:type="dxa"/>
            <w:vMerge w:val="restart"/>
            <w:vAlign w:val="center"/>
          </w:tcPr>
          <w:p w14:paraId="72B68976">
            <w:pPr>
              <w:pStyle w:val="557"/>
              <w:rPr>
                <w:color w:val="FF0000"/>
              </w:rPr>
            </w:pPr>
            <w:r>
              <w:t>《</w:t>
            </w:r>
            <w:r>
              <w:rPr>
                <w:szCs w:val="21"/>
              </w:rPr>
              <w:t>恶臭污染物排放标准》（GB14554-93）表2</w:t>
            </w:r>
            <w:r>
              <w:rPr>
                <w:color w:val="FF0000"/>
              </w:rPr>
              <w:t xml:space="preserve"> </w:t>
            </w:r>
          </w:p>
        </w:tc>
      </w:tr>
      <w:tr w14:paraId="6EF4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D2FF91A">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04741318">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740D3F7B">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3B4941A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Merge w:val="continue"/>
            <w:vAlign w:val="center"/>
          </w:tcPr>
          <w:p w14:paraId="04677F5B">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118D6C93">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798B04D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5448F5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0.11</w:t>
            </w:r>
          </w:p>
        </w:tc>
        <w:tc>
          <w:tcPr>
            <w:tcW w:w="907" w:type="dxa"/>
            <w:noWrap/>
            <w:vAlign w:val="center"/>
          </w:tcPr>
          <w:p w14:paraId="123C703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0.88</w:t>
            </w:r>
          </w:p>
        </w:tc>
        <w:tc>
          <w:tcPr>
            <w:tcW w:w="692" w:type="dxa"/>
            <w:vAlign w:val="center"/>
          </w:tcPr>
          <w:p w14:paraId="33A91BB6">
            <w:pPr>
              <w:pStyle w:val="557"/>
            </w:pPr>
            <w:r>
              <w:rPr>
                <w:rFonts w:hint="eastAsia"/>
              </w:rPr>
              <w:t>/</w:t>
            </w:r>
          </w:p>
        </w:tc>
        <w:tc>
          <w:tcPr>
            <w:tcW w:w="709" w:type="dxa"/>
            <w:vAlign w:val="center"/>
          </w:tcPr>
          <w:p w14:paraId="7998DE05">
            <w:pPr>
              <w:pStyle w:val="557"/>
            </w:pPr>
            <w:r>
              <w:rPr>
                <w:rFonts w:hint="eastAsia"/>
              </w:rPr>
              <w:t>17.6</w:t>
            </w:r>
            <w:r>
              <w:rPr>
                <w:szCs w:val="22"/>
              </w:rPr>
              <w:t>（</w:t>
            </w:r>
            <w:r>
              <w:rPr>
                <w:rFonts w:hint="eastAsia"/>
                <w:szCs w:val="22"/>
              </w:rPr>
              <w:t>28</w:t>
            </w:r>
            <w:r>
              <w:rPr>
                <w:szCs w:val="22"/>
              </w:rPr>
              <w:t>m排气筒）</w:t>
            </w:r>
          </w:p>
        </w:tc>
        <w:tc>
          <w:tcPr>
            <w:tcW w:w="2471" w:type="dxa"/>
            <w:vMerge w:val="continue"/>
            <w:vAlign w:val="center"/>
          </w:tcPr>
          <w:p w14:paraId="788A5BE6">
            <w:pPr>
              <w:pStyle w:val="557"/>
            </w:pPr>
          </w:p>
        </w:tc>
      </w:tr>
      <w:tr w14:paraId="4193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76980A3">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6578B645">
            <w:pP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62F552B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气化装置无组织排放</w:t>
            </w:r>
          </w:p>
        </w:tc>
        <w:tc>
          <w:tcPr>
            <w:tcW w:w="1227" w:type="dxa"/>
            <w:vAlign w:val="center"/>
          </w:tcPr>
          <w:p w14:paraId="7873855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S</w:t>
            </w:r>
          </w:p>
        </w:tc>
        <w:tc>
          <w:tcPr>
            <w:tcW w:w="633" w:type="dxa"/>
            <w:vMerge w:val="restart"/>
            <w:vAlign w:val="center"/>
          </w:tcPr>
          <w:p w14:paraId="02CFE17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Merge w:val="restart"/>
            <w:vAlign w:val="center"/>
          </w:tcPr>
          <w:p w14:paraId="7C09007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0063F9EE">
            <w:pPr>
              <w:jc w:val="center"/>
              <w:rPr>
                <w:rFonts w:ascii="Times New Roman" w:hAnsi="Times New Roman" w:cs="Times New Roman"/>
                <w:color w:val="FF0000"/>
                <w:sz w:val="18"/>
                <w:szCs w:val="18"/>
              </w:rPr>
            </w:pPr>
            <w:r>
              <w:rPr>
                <w:rFonts w:ascii="Times New Roman" w:hAnsi="Times New Roman" w:cs="Times New Roman"/>
                <w:color w:val="000000"/>
                <w:sz w:val="18"/>
                <w:szCs w:val="18"/>
              </w:rPr>
              <w:t>/</w:t>
            </w:r>
          </w:p>
        </w:tc>
        <w:tc>
          <w:tcPr>
            <w:tcW w:w="1302" w:type="dxa"/>
            <w:noWrap/>
            <w:vAlign w:val="center"/>
          </w:tcPr>
          <w:p w14:paraId="1677CD18">
            <w:pPr>
              <w:jc w:val="center"/>
              <w:rPr>
                <w:rFonts w:ascii="Times New Roman" w:hAnsi="Times New Roman" w:cs="Times New Roman"/>
                <w:color w:val="FF0000"/>
                <w:sz w:val="18"/>
                <w:szCs w:val="18"/>
              </w:rPr>
            </w:pPr>
            <w:r>
              <w:rPr>
                <w:rFonts w:ascii="Times New Roman" w:hAnsi="Times New Roman" w:cs="Times New Roman"/>
                <w:color w:val="000000"/>
                <w:sz w:val="18"/>
                <w:szCs w:val="18"/>
              </w:rPr>
              <w:t>0.02</w:t>
            </w:r>
          </w:p>
        </w:tc>
        <w:tc>
          <w:tcPr>
            <w:tcW w:w="907" w:type="dxa"/>
            <w:noWrap/>
            <w:vAlign w:val="center"/>
          </w:tcPr>
          <w:p w14:paraId="0D03DCF4">
            <w:pPr>
              <w:jc w:val="center"/>
              <w:rPr>
                <w:rFonts w:ascii="Times New Roman" w:hAnsi="Times New Roman" w:cs="Times New Roman"/>
                <w:color w:val="FF0000"/>
                <w:sz w:val="18"/>
                <w:szCs w:val="18"/>
              </w:rPr>
            </w:pPr>
            <w:r>
              <w:rPr>
                <w:rFonts w:ascii="Times New Roman" w:hAnsi="Times New Roman" w:cs="Times New Roman"/>
                <w:color w:val="000000"/>
                <w:sz w:val="18"/>
                <w:szCs w:val="18"/>
              </w:rPr>
              <w:t>0.16</w:t>
            </w:r>
          </w:p>
        </w:tc>
        <w:tc>
          <w:tcPr>
            <w:tcW w:w="692" w:type="dxa"/>
            <w:vAlign w:val="center"/>
          </w:tcPr>
          <w:p w14:paraId="68402634">
            <w:pPr>
              <w:pStyle w:val="557"/>
              <w:rPr>
                <w:color w:val="FF0000"/>
              </w:rPr>
            </w:pPr>
            <w:r>
              <w:t>0.06</w:t>
            </w:r>
          </w:p>
        </w:tc>
        <w:tc>
          <w:tcPr>
            <w:tcW w:w="709" w:type="dxa"/>
            <w:vAlign w:val="center"/>
          </w:tcPr>
          <w:p w14:paraId="000699AE">
            <w:pPr>
              <w:pStyle w:val="557"/>
              <w:rPr>
                <w:color w:val="FF0000"/>
              </w:rPr>
            </w:pPr>
            <w:r>
              <w:rPr>
                <w:szCs w:val="22"/>
              </w:rPr>
              <w:t>/</w:t>
            </w:r>
          </w:p>
        </w:tc>
        <w:tc>
          <w:tcPr>
            <w:tcW w:w="2471" w:type="dxa"/>
            <w:vMerge w:val="restart"/>
            <w:vAlign w:val="center"/>
          </w:tcPr>
          <w:p w14:paraId="18424669">
            <w:pPr>
              <w:pStyle w:val="557"/>
              <w:rPr>
                <w:color w:val="FF0000"/>
              </w:rPr>
            </w:pPr>
            <w:r>
              <w:t>《恶臭污染物排放标准》（</w:t>
            </w:r>
            <w:r>
              <w:rPr>
                <w:rFonts w:eastAsia="TimesNewRoman"/>
              </w:rPr>
              <w:t>GB14554-93</w:t>
            </w:r>
            <w:r>
              <w:t>）表1</w:t>
            </w:r>
            <w:r>
              <w:rPr>
                <w:color w:val="FF0000"/>
              </w:rPr>
              <w:t xml:space="preserve"> </w:t>
            </w:r>
          </w:p>
        </w:tc>
      </w:tr>
      <w:tr w14:paraId="4DF2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1D20EC4">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528D6CDD">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16963733">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1BD05BF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Merge w:val="continue"/>
            <w:vAlign w:val="center"/>
          </w:tcPr>
          <w:p w14:paraId="23660F85">
            <w:pPr>
              <w:jc w:val="center"/>
              <w:rPr>
                <w:rFonts w:ascii="Times New Roman" w:hAnsi="Times New Roman" w:cs="Times New Roman"/>
                <w:color w:val="FF0000"/>
                <w:sz w:val="18"/>
                <w:szCs w:val="18"/>
              </w:rPr>
            </w:pPr>
          </w:p>
        </w:tc>
        <w:tc>
          <w:tcPr>
            <w:tcW w:w="1684" w:type="dxa"/>
            <w:vMerge w:val="continue"/>
            <w:vAlign w:val="center"/>
          </w:tcPr>
          <w:p w14:paraId="1D6E188A">
            <w:pPr>
              <w:jc w:val="center"/>
              <w:rPr>
                <w:rFonts w:ascii="Times New Roman" w:hAnsi="Times New Roman" w:cs="Times New Roman"/>
                <w:color w:val="FF0000"/>
                <w:sz w:val="18"/>
                <w:szCs w:val="18"/>
              </w:rPr>
            </w:pPr>
          </w:p>
        </w:tc>
        <w:tc>
          <w:tcPr>
            <w:tcW w:w="784" w:type="dxa"/>
            <w:noWrap/>
            <w:vAlign w:val="center"/>
          </w:tcPr>
          <w:p w14:paraId="23B03AF4">
            <w:pPr>
              <w:jc w:val="center"/>
              <w:rPr>
                <w:rFonts w:ascii="Times New Roman" w:hAnsi="Times New Roman" w:cs="Times New Roman"/>
                <w:color w:val="FF0000"/>
                <w:sz w:val="18"/>
                <w:szCs w:val="18"/>
              </w:rPr>
            </w:pPr>
            <w:r>
              <w:rPr>
                <w:rFonts w:ascii="Times New Roman" w:hAnsi="Times New Roman" w:cs="Times New Roman"/>
                <w:color w:val="000000"/>
                <w:sz w:val="18"/>
                <w:szCs w:val="18"/>
              </w:rPr>
              <w:t>/</w:t>
            </w:r>
          </w:p>
        </w:tc>
        <w:tc>
          <w:tcPr>
            <w:tcW w:w="1302" w:type="dxa"/>
            <w:noWrap/>
            <w:vAlign w:val="center"/>
          </w:tcPr>
          <w:p w14:paraId="3AD26DCB">
            <w:pPr>
              <w:jc w:val="center"/>
              <w:rPr>
                <w:rFonts w:ascii="Times New Roman" w:hAnsi="Times New Roman" w:cs="Times New Roman"/>
                <w:color w:val="FF0000"/>
                <w:sz w:val="18"/>
                <w:szCs w:val="18"/>
              </w:rPr>
            </w:pPr>
            <w:r>
              <w:rPr>
                <w:rFonts w:ascii="Times New Roman" w:hAnsi="Times New Roman" w:cs="Times New Roman"/>
                <w:color w:val="000000"/>
                <w:sz w:val="18"/>
                <w:szCs w:val="18"/>
              </w:rPr>
              <w:t>0.08</w:t>
            </w:r>
          </w:p>
        </w:tc>
        <w:tc>
          <w:tcPr>
            <w:tcW w:w="907" w:type="dxa"/>
            <w:noWrap/>
            <w:vAlign w:val="center"/>
          </w:tcPr>
          <w:p w14:paraId="35CAE5B4">
            <w:pPr>
              <w:jc w:val="center"/>
              <w:rPr>
                <w:rFonts w:ascii="Times New Roman" w:hAnsi="Times New Roman" w:cs="Times New Roman"/>
                <w:color w:val="FF0000"/>
                <w:sz w:val="18"/>
                <w:szCs w:val="18"/>
              </w:rPr>
            </w:pPr>
            <w:r>
              <w:rPr>
                <w:rFonts w:ascii="Times New Roman" w:hAnsi="Times New Roman" w:cs="Times New Roman"/>
                <w:color w:val="000000"/>
                <w:sz w:val="18"/>
                <w:szCs w:val="18"/>
              </w:rPr>
              <w:t>0.64</w:t>
            </w:r>
          </w:p>
        </w:tc>
        <w:tc>
          <w:tcPr>
            <w:tcW w:w="692" w:type="dxa"/>
            <w:vAlign w:val="center"/>
          </w:tcPr>
          <w:p w14:paraId="43DB05E1">
            <w:pPr>
              <w:pStyle w:val="557"/>
              <w:rPr>
                <w:color w:val="FF0000"/>
              </w:rPr>
            </w:pPr>
            <w:r>
              <w:t>1.5</w:t>
            </w:r>
          </w:p>
        </w:tc>
        <w:tc>
          <w:tcPr>
            <w:tcW w:w="709" w:type="dxa"/>
            <w:vAlign w:val="center"/>
          </w:tcPr>
          <w:p w14:paraId="447D5A43">
            <w:pPr>
              <w:pStyle w:val="557"/>
              <w:rPr>
                <w:color w:val="FF0000"/>
              </w:rPr>
            </w:pPr>
            <w:r>
              <w:rPr>
                <w:szCs w:val="22"/>
              </w:rPr>
              <w:t>/</w:t>
            </w:r>
          </w:p>
        </w:tc>
        <w:tc>
          <w:tcPr>
            <w:tcW w:w="2471" w:type="dxa"/>
            <w:vMerge w:val="continue"/>
            <w:vAlign w:val="center"/>
          </w:tcPr>
          <w:p w14:paraId="17FC87CC">
            <w:pPr>
              <w:rPr>
                <w:rFonts w:ascii="Times New Roman" w:hAnsi="Times New Roman" w:cs="Times New Roman"/>
                <w:color w:val="FF0000"/>
                <w:sz w:val="18"/>
                <w:szCs w:val="18"/>
              </w:rPr>
            </w:pPr>
          </w:p>
        </w:tc>
      </w:tr>
      <w:tr w14:paraId="7038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38901FB">
            <w:pPr>
              <w:rPr>
                <w:rFonts w:ascii="Times New Roman" w:hAnsi="Times New Roman" w:cs="Times New Roman"/>
                <w:color w:val="000000" w:themeColor="text1"/>
                <w:sz w:val="18"/>
                <w:szCs w:val="18"/>
                <w14:textFill>
                  <w14:solidFill>
                    <w14:schemeClr w14:val="tx1"/>
                  </w14:solidFill>
                </w14:textFill>
              </w:rPr>
            </w:pPr>
          </w:p>
        </w:tc>
        <w:tc>
          <w:tcPr>
            <w:tcW w:w="1165" w:type="dxa"/>
            <w:vMerge w:val="continue"/>
            <w:vAlign w:val="center"/>
          </w:tcPr>
          <w:p w14:paraId="1A1DF392">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0A15E569">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050E978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Merge w:val="continue"/>
            <w:vAlign w:val="center"/>
          </w:tcPr>
          <w:p w14:paraId="1BD8F516">
            <w:pPr>
              <w:jc w:val="center"/>
              <w:rPr>
                <w:rFonts w:ascii="Times New Roman" w:hAnsi="Times New Roman" w:cs="Times New Roman"/>
                <w:color w:val="FF0000"/>
                <w:sz w:val="18"/>
                <w:szCs w:val="18"/>
              </w:rPr>
            </w:pPr>
          </w:p>
        </w:tc>
        <w:tc>
          <w:tcPr>
            <w:tcW w:w="1684" w:type="dxa"/>
            <w:vMerge w:val="continue"/>
            <w:vAlign w:val="center"/>
          </w:tcPr>
          <w:p w14:paraId="6D3EFFF1">
            <w:pPr>
              <w:jc w:val="center"/>
              <w:rPr>
                <w:rFonts w:ascii="Times New Roman" w:hAnsi="Times New Roman" w:cs="Times New Roman"/>
                <w:color w:val="FF0000"/>
                <w:sz w:val="18"/>
                <w:szCs w:val="18"/>
              </w:rPr>
            </w:pPr>
          </w:p>
        </w:tc>
        <w:tc>
          <w:tcPr>
            <w:tcW w:w="784" w:type="dxa"/>
            <w:noWrap/>
            <w:vAlign w:val="center"/>
          </w:tcPr>
          <w:p w14:paraId="24EDAE2C">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w:t>
            </w:r>
          </w:p>
        </w:tc>
        <w:tc>
          <w:tcPr>
            <w:tcW w:w="1302" w:type="dxa"/>
            <w:noWrap/>
            <w:vAlign w:val="center"/>
          </w:tcPr>
          <w:p w14:paraId="4D3F9DEF">
            <w:pPr>
              <w:jc w:val="center"/>
              <w:rPr>
                <w:rFonts w:ascii="Times New Roman" w:hAnsi="Times New Roman" w:eastAsia="等线" w:cs="Times New Roman"/>
                <w:color w:val="FF0000"/>
                <w:sz w:val="18"/>
                <w:szCs w:val="18"/>
              </w:rPr>
            </w:pPr>
            <w:r>
              <w:rPr>
                <w:rFonts w:hint="eastAsia" w:ascii="Times New Roman" w:hAnsi="Times New Roman" w:cs="Times New Roman"/>
                <w:color w:val="000000"/>
                <w:sz w:val="18"/>
                <w:szCs w:val="18"/>
                <w:lang w:bidi="ar"/>
              </w:rPr>
              <w:t>0.39</w:t>
            </w:r>
          </w:p>
        </w:tc>
        <w:tc>
          <w:tcPr>
            <w:tcW w:w="907" w:type="dxa"/>
            <w:noWrap/>
            <w:vAlign w:val="center"/>
          </w:tcPr>
          <w:p w14:paraId="1C9AAC66">
            <w:pPr>
              <w:jc w:val="center"/>
              <w:rPr>
                <w:rFonts w:ascii="Times New Roman" w:hAnsi="Times New Roman" w:eastAsia="等线" w:cs="Times New Roman"/>
                <w:color w:val="FF0000"/>
                <w:sz w:val="18"/>
                <w:szCs w:val="18"/>
              </w:rPr>
            </w:pPr>
            <w:r>
              <w:rPr>
                <w:rFonts w:hint="eastAsia" w:ascii="Times New Roman" w:hAnsi="Times New Roman" w:cs="Times New Roman"/>
                <w:color w:val="000000"/>
                <w:sz w:val="18"/>
                <w:szCs w:val="18"/>
                <w:lang w:bidi="ar"/>
              </w:rPr>
              <w:t>3.13</w:t>
            </w:r>
          </w:p>
        </w:tc>
        <w:tc>
          <w:tcPr>
            <w:tcW w:w="692" w:type="dxa"/>
            <w:vAlign w:val="center"/>
          </w:tcPr>
          <w:p w14:paraId="74D47EF9">
            <w:pPr>
              <w:pStyle w:val="557"/>
              <w:rPr>
                <w:color w:val="FF0000"/>
              </w:rPr>
            </w:pPr>
            <w:r>
              <w:t>4.0</w:t>
            </w:r>
          </w:p>
        </w:tc>
        <w:tc>
          <w:tcPr>
            <w:tcW w:w="709" w:type="dxa"/>
            <w:vAlign w:val="center"/>
          </w:tcPr>
          <w:p w14:paraId="1717FFF5">
            <w:pPr>
              <w:pStyle w:val="557"/>
              <w:rPr>
                <w:color w:val="FF0000"/>
              </w:rPr>
            </w:pPr>
            <w:r>
              <w:rPr>
                <w:szCs w:val="22"/>
              </w:rPr>
              <w:t>/</w:t>
            </w:r>
          </w:p>
        </w:tc>
        <w:tc>
          <w:tcPr>
            <w:tcW w:w="2471" w:type="dxa"/>
            <w:vAlign w:val="center"/>
          </w:tcPr>
          <w:p w14:paraId="0EC32A41">
            <w:pPr>
              <w:pStyle w:val="557"/>
              <w:rPr>
                <w:color w:val="FF0000"/>
              </w:rPr>
            </w:pPr>
            <w:r>
              <w:t>《石油化学工业污染物排放标准》（GB31571-2015</w:t>
            </w:r>
            <w:r>
              <w:rPr>
                <w:rFonts w:hint="eastAsia"/>
              </w:rPr>
              <w:t>，</w:t>
            </w:r>
            <w:r>
              <w:t>含2024年修改单）表7</w:t>
            </w:r>
            <w:r>
              <w:rPr>
                <w:color w:val="FF0000"/>
              </w:rPr>
              <w:t xml:space="preserve"> </w:t>
            </w:r>
          </w:p>
        </w:tc>
      </w:tr>
      <w:tr w14:paraId="307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D51C776">
            <w:pPr>
              <w:rPr>
                <w:rFonts w:ascii="Times New Roman" w:hAnsi="Times New Roman" w:cs="Times New Roman"/>
                <w:color w:val="000000" w:themeColor="text1"/>
                <w:sz w:val="18"/>
                <w:szCs w:val="18"/>
                <w14:textFill>
                  <w14:solidFill>
                    <w14:schemeClr w14:val="tx1"/>
                  </w14:solidFill>
                </w14:textFill>
              </w:rPr>
            </w:pPr>
          </w:p>
        </w:tc>
        <w:tc>
          <w:tcPr>
            <w:tcW w:w="1165" w:type="dxa"/>
            <w:vMerge w:val="restart"/>
            <w:vAlign w:val="center"/>
          </w:tcPr>
          <w:p w14:paraId="555DE4F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净化及分离装置</w:t>
            </w:r>
          </w:p>
        </w:tc>
        <w:tc>
          <w:tcPr>
            <w:tcW w:w="1746" w:type="dxa"/>
            <w:vMerge w:val="restart"/>
            <w:vAlign w:val="center"/>
          </w:tcPr>
          <w:p w14:paraId="0E24BAA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低温甲醇洗尾气</w:t>
            </w:r>
          </w:p>
        </w:tc>
        <w:tc>
          <w:tcPr>
            <w:tcW w:w="1227" w:type="dxa"/>
            <w:vAlign w:val="center"/>
          </w:tcPr>
          <w:p w14:paraId="321A89D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S</w:t>
            </w:r>
          </w:p>
        </w:tc>
        <w:tc>
          <w:tcPr>
            <w:tcW w:w="633" w:type="dxa"/>
            <w:vMerge w:val="restart"/>
            <w:vAlign w:val="center"/>
          </w:tcPr>
          <w:p w14:paraId="3F26D4C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4FBD775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水洗塔+9</w:t>
            </w:r>
            <w:r>
              <w:rPr>
                <w:rFonts w:ascii="Times New Roman" w:hAnsi="Times New Roman" w:cs="Times New Roman"/>
                <w:color w:val="000000" w:themeColor="text1"/>
                <w:sz w:val="18"/>
                <w:szCs w:val="18"/>
                <w14:textFill>
                  <w14:solidFill>
                    <w14:schemeClr w14:val="tx1"/>
                  </w14:solidFill>
                </w14:textFill>
              </w:rPr>
              <w:t>5m排气筒</w:t>
            </w:r>
          </w:p>
        </w:tc>
        <w:tc>
          <w:tcPr>
            <w:tcW w:w="784" w:type="dxa"/>
            <w:noWrap/>
            <w:vAlign w:val="center"/>
          </w:tcPr>
          <w:p w14:paraId="3297FC0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5.52</w:t>
            </w:r>
          </w:p>
        </w:tc>
        <w:tc>
          <w:tcPr>
            <w:tcW w:w="1302" w:type="dxa"/>
            <w:noWrap/>
            <w:vAlign w:val="center"/>
          </w:tcPr>
          <w:p w14:paraId="0BAD687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0.13</w:t>
            </w:r>
          </w:p>
        </w:tc>
        <w:tc>
          <w:tcPr>
            <w:tcW w:w="907" w:type="dxa"/>
            <w:noWrap/>
            <w:vAlign w:val="center"/>
          </w:tcPr>
          <w:p w14:paraId="168CC2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1.04</w:t>
            </w:r>
          </w:p>
        </w:tc>
        <w:tc>
          <w:tcPr>
            <w:tcW w:w="692" w:type="dxa"/>
            <w:vAlign w:val="center"/>
          </w:tcPr>
          <w:p w14:paraId="311116C2">
            <w:pPr>
              <w:pStyle w:val="557"/>
              <w:rPr>
                <w:color w:val="FF0000"/>
              </w:rPr>
            </w:pPr>
            <w:r>
              <w:t>/</w:t>
            </w:r>
          </w:p>
        </w:tc>
        <w:tc>
          <w:tcPr>
            <w:tcW w:w="709" w:type="dxa"/>
            <w:vAlign w:val="center"/>
          </w:tcPr>
          <w:p w14:paraId="77A2E165">
            <w:pPr>
              <w:pStyle w:val="557"/>
              <w:rPr>
                <w:color w:val="FF0000"/>
              </w:rPr>
            </w:pPr>
            <w:r>
              <w:rPr>
                <w:rFonts w:hint="eastAsia"/>
              </w:rPr>
              <w:t>14</w:t>
            </w:r>
            <w:r>
              <w:t>（</w:t>
            </w:r>
            <w:r>
              <w:rPr>
                <w:rFonts w:hint="eastAsia"/>
              </w:rPr>
              <w:t>95</w:t>
            </w:r>
            <w:r>
              <w:t>m排气筒）</w:t>
            </w:r>
          </w:p>
        </w:tc>
        <w:tc>
          <w:tcPr>
            <w:tcW w:w="2471" w:type="dxa"/>
            <w:vAlign w:val="center"/>
          </w:tcPr>
          <w:p w14:paraId="3EADE67D">
            <w:pPr>
              <w:pStyle w:val="557"/>
              <w:rPr>
                <w:color w:val="FF0000"/>
              </w:rPr>
            </w:pPr>
            <w:r>
              <w:t>《</w:t>
            </w:r>
            <w:r>
              <w:rPr>
                <w:szCs w:val="21"/>
              </w:rPr>
              <w:t xml:space="preserve">恶臭污染物排放标准》（GB14554-93）表2 </w:t>
            </w:r>
          </w:p>
        </w:tc>
      </w:tr>
      <w:tr w14:paraId="4562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7B7AEEC">
            <w:pPr>
              <w:rPr>
                <w:rFonts w:ascii="Times New Roman" w:hAnsi="Times New Roman" w:cs="Times New Roman"/>
                <w:color w:val="FF0000"/>
                <w:sz w:val="18"/>
                <w:szCs w:val="18"/>
              </w:rPr>
            </w:pPr>
          </w:p>
        </w:tc>
        <w:tc>
          <w:tcPr>
            <w:tcW w:w="1165" w:type="dxa"/>
            <w:vMerge w:val="continue"/>
            <w:vAlign w:val="center"/>
          </w:tcPr>
          <w:p w14:paraId="3CBE7ECF">
            <w:pPr>
              <w:rPr>
                <w:rFonts w:ascii="Times New Roman" w:hAnsi="Times New Roman" w:cs="Times New Roman"/>
                <w:color w:val="FF0000"/>
                <w:sz w:val="18"/>
                <w:szCs w:val="18"/>
              </w:rPr>
            </w:pPr>
          </w:p>
        </w:tc>
        <w:tc>
          <w:tcPr>
            <w:tcW w:w="1746" w:type="dxa"/>
            <w:vMerge w:val="continue"/>
            <w:vAlign w:val="center"/>
          </w:tcPr>
          <w:p w14:paraId="73139454">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512E3F2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CH</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OH</w:t>
            </w:r>
          </w:p>
        </w:tc>
        <w:tc>
          <w:tcPr>
            <w:tcW w:w="633" w:type="dxa"/>
            <w:vMerge w:val="continue"/>
            <w:vAlign w:val="center"/>
          </w:tcPr>
          <w:p w14:paraId="7639462E">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0E464774">
            <w:pP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392FE09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23.86</w:t>
            </w:r>
          </w:p>
        </w:tc>
        <w:tc>
          <w:tcPr>
            <w:tcW w:w="1302" w:type="dxa"/>
            <w:noWrap/>
            <w:vAlign w:val="center"/>
          </w:tcPr>
          <w:p w14:paraId="7CC8DF1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0.5775</w:t>
            </w:r>
          </w:p>
        </w:tc>
        <w:tc>
          <w:tcPr>
            <w:tcW w:w="907" w:type="dxa"/>
            <w:noWrap/>
            <w:vAlign w:val="center"/>
          </w:tcPr>
          <w:p w14:paraId="41228EE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4.62</w:t>
            </w:r>
          </w:p>
        </w:tc>
        <w:tc>
          <w:tcPr>
            <w:tcW w:w="692" w:type="dxa"/>
            <w:vAlign w:val="center"/>
          </w:tcPr>
          <w:p w14:paraId="65D20EC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c>
          <w:tcPr>
            <w:tcW w:w="709" w:type="dxa"/>
            <w:vAlign w:val="center"/>
          </w:tcPr>
          <w:p w14:paraId="468D219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2F4D592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含2024年修改单）表6 </w:t>
            </w:r>
          </w:p>
        </w:tc>
      </w:tr>
      <w:tr w14:paraId="3C5C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4CF33BC">
            <w:pPr>
              <w:rPr>
                <w:rFonts w:ascii="Times New Roman" w:hAnsi="Times New Roman" w:cs="Times New Roman"/>
                <w:color w:val="FF0000"/>
                <w:sz w:val="18"/>
                <w:szCs w:val="18"/>
              </w:rPr>
            </w:pPr>
          </w:p>
        </w:tc>
        <w:tc>
          <w:tcPr>
            <w:tcW w:w="1165" w:type="dxa"/>
            <w:vMerge w:val="continue"/>
            <w:vAlign w:val="center"/>
          </w:tcPr>
          <w:p w14:paraId="4C009AB3">
            <w:pPr>
              <w:rPr>
                <w:rFonts w:ascii="Times New Roman" w:hAnsi="Times New Roman" w:cs="Times New Roman"/>
                <w:color w:val="FF0000"/>
                <w:sz w:val="18"/>
                <w:szCs w:val="18"/>
              </w:rPr>
            </w:pPr>
          </w:p>
        </w:tc>
        <w:tc>
          <w:tcPr>
            <w:tcW w:w="1746" w:type="dxa"/>
            <w:vAlign w:val="center"/>
          </w:tcPr>
          <w:p w14:paraId="4E3B91F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低温甲醇洗单元无组织排放</w:t>
            </w:r>
          </w:p>
        </w:tc>
        <w:tc>
          <w:tcPr>
            <w:tcW w:w="1227" w:type="dxa"/>
            <w:vAlign w:val="center"/>
          </w:tcPr>
          <w:p w14:paraId="5E5C1290">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NMHC</w:t>
            </w:r>
          </w:p>
        </w:tc>
        <w:tc>
          <w:tcPr>
            <w:tcW w:w="633" w:type="dxa"/>
            <w:vMerge w:val="restart"/>
            <w:vAlign w:val="center"/>
          </w:tcPr>
          <w:p w14:paraId="0D4109FD">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1328E31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229BA07A">
            <w:pPr>
              <w:jc w:val="center"/>
              <w:rPr>
                <w:rFonts w:ascii="Times New Roman" w:hAnsi="Times New Roman" w:cs="Times New Roman"/>
                <w:color w:val="FF0000"/>
                <w:sz w:val="18"/>
                <w:szCs w:val="18"/>
              </w:rPr>
            </w:pPr>
            <w:r>
              <w:rPr>
                <w:rFonts w:ascii="Times New Roman" w:hAnsi="Times New Roman" w:cs="Times New Roman"/>
                <w:color w:val="000000"/>
                <w:sz w:val="18"/>
                <w:szCs w:val="18"/>
              </w:rPr>
              <w:t>/</w:t>
            </w:r>
          </w:p>
        </w:tc>
        <w:tc>
          <w:tcPr>
            <w:tcW w:w="1302" w:type="dxa"/>
            <w:noWrap/>
            <w:vAlign w:val="center"/>
          </w:tcPr>
          <w:p w14:paraId="47681C9F">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lang w:bidi="ar"/>
              </w:rPr>
              <w:t>0.63</w:t>
            </w:r>
          </w:p>
        </w:tc>
        <w:tc>
          <w:tcPr>
            <w:tcW w:w="907" w:type="dxa"/>
            <w:noWrap/>
            <w:vAlign w:val="center"/>
          </w:tcPr>
          <w:p w14:paraId="001ED15D">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lang w:bidi="ar"/>
              </w:rPr>
              <w:t>5.06</w:t>
            </w:r>
          </w:p>
        </w:tc>
        <w:tc>
          <w:tcPr>
            <w:tcW w:w="692" w:type="dxa"/>
            <w:vAlign w:val="center"/>
          </w:tcPr>
          <w:p w14:paraId="395288D8">
            <w:pPr>
              <w:pStyle w:val="557"/>
              <w:rPr>
                <w:color w:val="FF0000"/>
              </w:rPr>
            </w:pPr>
            <w:r>
              <w:t>4.0</w:t>
            </w:r>
          </w:p>
        </w:tc>
        <w:tc>
          <w:tcPr>
            <w:tcW w:w="709" w:type="dxa"/>
            <w:vAlign w:val="center"/>
          </w:tcPr>
          <w:p w14:paraId="2E5898D1">
            <w:pPr>
              <w:pStyle w:val="557"/>
              <w:rPr>
                <w:color w:val="FF0000"/>
              </w:rPr>
            </w:pPr>
            <w:r>
              <w:rPr>
                <w:szCs w:val="22"/>
              </w:rPr>
              <w:t>/</w:t>
            </w:r>
          </w:p>
        </w:tc>
        <w:tc>
          <w:tcPr>
            <w:tcW w:w="2471" w:type="dxa"/>
            <w:vAlign w:val="center"/>
          </w:tcPr>
          <w:p w14:paraId="17EB63B1">
            <w:pPr>
              <w:pStyle w:val="557"/>
              <w:rPr>
                <w:color w:val="FF0000"/>
              </w:rPr>
            </w:pPr>
            <w:r>
              <w:t>《石油化学工业污染物排放标准》（GB31571-2015</w:t>
            </w:r>
            <w:r>
              <w:rPr>
                <w:rFonts w:hint="eastAsia"/>
              </w:rPr>
              <w:t>，</w:t>
            </w:r>
            <w:r>
              <w:t>含2024年修改单）表7</w:t>
            </w:r>
            <w:r>
              <w:rPr>
                <w:color w:val="FF0000"/>
              </w:rPr>
              <w:t xml:space="preserve"> </w:t>
            </w:r>
          </w:p>
        </w:tc>
      </w:tr>
      <w:tr w14:paraId="54DD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B432BE0">
            <w:pPr>
              <w:rPr>
                <w:rFonts w:ascii="Times New Roman" w:hAnsi="Times New Roman" w:cs="Times New Roman"/>
                <w:color w:val="FF0000"/>
                <w:sz w:val="18"/>
                <w:szCs w:val="18"/>
              </w:rPr>
            </w:pPr>
          </w:p>
        </w:tc>
        <w:tc>
          <w:tcPr>
            <w:tcW w:w="1165" w:type="dxa"/>
            <w:vMerge w:val="continue"/>
            <w:vAlign w:val="center"/>
          </w:tcPr>
          <w:p w14:paraId="1AF6FE3A">
            <w:pPr>
              <w:rPr>
                <w:rFonts w:ascii="Times New Roman" w:hAnsi="Times New Roman" w:cs="Times New Roman"/>
                <w:color w:val="FF0000"/>
                <w:sz w:val="18"/>
                <w:szCs w:val="18"/>
              </w:rPr>
            </w:pPr>
          </w:p>
        </w:tc>
        <w:tc>
          <w:tcPr>
            <w:tcW w:w="1746" w:type="dxa"/>
            <w:vAlign w:val="center"/>
          </w:tcPr>
          <w:p w14:paraId="1083C65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深冷分离单元无组织排放</w:t>
            </w:r>
          </w:p>
        </w:tc>
        <w:tc>
          <w:tcPr>
            <w:tcW w:w="1227" w:type="dxa"/>
            <w:vAlign w:val="center"/>
          </w:tcPr>
          <w:p w14:paraId="2A5CFE8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Merge w:val="continue"/>
            <w:vAlign w:val="center"/>
          </w:tcPr>
          <w:p w14:paraId="4C9E463B">
            <w:pPr>
              <w:jc w:val="center"/>
              <w:rPr>
                <w:rFonts w:ascii="Times New Roman" w:hAnsi="Times New Roman" w:cs="Times New Roman"/>
                <w:color w:val="FF0000"/>
                <w:sz w:val="18"/>
                <w:szCs w:val="18"/>
              </w:rPr>
            </w:pPr>
          </w:p>
        </w:tc>
        <w:tc>
          <w:tcPr>
            <w:tcW w:w="1684" w:type="dxa"/>
            <w:vAlign w:val="center"/>
          </w:tcPr>
          <w:p w14:paraId="6EF92B8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6808FCE4">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w:t>
            </w:r>
          </w:p>
        </w:tc>
        <w:tc>
          <w:tcPr>
            <w:tcW w:w="1302" w:type="dxa"/>
            <w:noWrap/>
            <w:vAlign w:val="center"/>
          </w:tcPr>
          <w:p w14:paraId="3BDA9F0E">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lang w:bidi="ar"/>
              </w:rPr>
              <w:t>0.</w:t>
            </w:r>
            <w:r>
              <w:rPr>
                <w:rFonts w:hint="eastAsia" w:ascii="Times New Roman" w:hAnsi="Times New Roman" w:cs="Times New Roman"/>
                <w:color w:val="000000"/>
                <w:sz w:val="18"/>
                <w:szCs w:val="18"/>
                <w:lang w:bidi="ar"/>
              </w:rPr>
              <w:t>56</w:t>
            </w:r>
          </w:p>
        </w:tc>
        <w:tc>
          <w:tcPr>
            <w:tcW w:w="907" w:type="dxa"/>
            <w:noWrap/>
            <w:vAlign w:val="center"/>
          </w:tcPr>
          <w:p w14:paraId="4D14A8F6">
            <w:pPr>
              <w:jc w:val="center"/>
              <w:rPr>
                <w:rFonts w:ascii="Times New Roman" w:hAnsi="Times New Roman" w:eastAsia="等线" w:cs="Times New Roman"/>
                <w:color w:val="FF0000"/>
                <w:sz w:val="18"/>
                <w:szCs w:val="18"/>
              </w:rPr>
            </w:pPr>
            <w:r>
              <w:rPr>
                <w:rFonts w:hint="eastAsia" w:ascii="Times New Roman" w:hAnsi="Times New Roman" w:cs="Times New Roman"/>
                <w:color w:val="000000"/>
                <w:sz w:val="18"/>
                <w:szCs w:val="18"/>
                <w:lang w:bidi="ar"/>
              </w:rPr>
              <w:t>4.5</w:t>
            </w:r>
          </w:p>
        </w:tc>
        <w:tc>
          <w:tcPr>
            <w:tcW w:w="692" w:type="dxa"/>
            <w:vAlign w:val="center"/>
          </w:tcPr>
          <w:p w14:paraId="2CA2CD25">
            <w:pPr>
              <w:pStyle w:val="557"/>
              <w:rPr>
                <w:color w:val="FF0000"/>
              </w:rPr>
            </w:pPr>
            <w:r>
              <w:t>4.0</w:t>
            </w:r>
          </w:p>
        </w:tc>
        <w:tc>
          <w:tcPr>
            <w:tcW w:w="709" w:type="dxa"/>
            <w:vAlign w:val="center"/>
          </w:tcPr>
          <w:p w14:paraId="7CA4CDDE">
            <w:pPr>
              <w:pStyle w:val="557"/>
              <w:rPr>
                <w:color w:val="FF0000"/>
              </w:rPr>
            </w:pPr>
            <w:r>
              <w:rPr>
                <w:szCs w:val="22"/>
              </w:rPr>
              <w:t>/</w:t>
            </w:r>
          </w:p>
        </w:tc>
        <w:tc>
          <w:tcPr>
            <w:tcW w:w="2471" w:type="dxa"/>
            <w:vAlign w:val="center"/>
          </w:tcPr>
          <w:p w14:paraId="597ABE26">
            <w:pPr>
              <w:pStyle w:val="557"/>
              <w:rPr>
                <w:color w:val="FF0000"/>
              </w:rPr>
            </w:pPr>
            <w:r>
              <w:t>《石油化学工业污染物排放标准》（GB31571-2015</w:t>
            </w:r>
            <w:r>
              <w:rPr>
                <w:rFonts w:hint="eastAsia"/>
              </w:rPr>
              <w:t>，</w:t>
            </w:r>
            <w:r>
              <w:t>含2024年修改单）表7</w:t>
            </w:r>
            <w:r>
              <w:rPr>
                <w:color w:val="FF0000"/>
              </w:rPr>
              <w:t xml:space="preserve"> </w:t>
            </w:r>
          </w:p>
        </w:tc>
      </w:tr>
      <w:tr w14:paraId="7BFD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6201678">
            <w:pPr>
              <w:rPr>
                <w:rFonts w:ascii="Times New Roman" w:hAnsi="Times New Roman" w:cs="Times New Roman"/>
                <w:color w:val="FF0000"/>
                <w:sz w:val="18"/>
                <w:szCs w:val="18"/>
              </w:rPr>
            </w:pPr>
          </w:p>
        </w:tc>
        <w:tc>
          <w:tcPr>
            <w:tcW w:w="1165" w:type="dxa"/>
            <w:vMerge w:val="continue"/>
            <w:vAlign w:val="center"/>
          </w:tcPr>
          <w:p w14:paraId="280AEB90">
            <w:pPr>
              <w:rPr>
                <w:rFonts w:ascii="Times New Roman" w:hAnsi="Times New Roman" w:cs="Times New Roman"/>
                <w:color w:val="FF0000"/>
                <w:sz w:val="18"/>
                <w:szCs w:val="18"/>
              </w:rPr>
            </w:pPr>
          </w:p>
        </w:tc>
        <w:tc>
          <w:tcPr>
            <w:tcW w:w="1746" w:type="dxa"/>
            <w:vMerge w:val="restart"/>
            <w:vAlign w:val="center"/>
          </w:tcPr>
          <w:p w14:paraId="45FBB15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硫回收制酸尾气</w:t>
            </w:r>
          </w:p>
        </w:tc>
        <w:tc>
          <w:tcPr>
            <w:tcW w:w="1227" w:type="dxa"/>
            <w:vAlign w:val="center"/>
          </w:tcPr>
          <w:p w14:paraId="63CFB2D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SO</w:t>
            </w:r>
            <w:r>
              <w:rPr>
                <w:rFonts w:ascii="Times New Roman" w:hAnsi="Times New Roman" w:cs="Times New Roman"/>
                <w:color w:val="000000" w:themeColor="text1"/>
                <w:sz w:val="18"/>
                <w:szCs w:val="18"/>
                <w:vertAlign w:val="subscript"/>
                <w14:textFill>
                  <w14:solidFill>
                    <w14:schemeClr w14:val="tx1"/>
                  </w14:solidFill>
                </w14:textFill>
              </w:rPr>
              <w:t>2</w:t>
            </w:r>
          </w:p>
        </w:tc>
        <w:tc>
          <w:tcPr>
            <w:tcW w:w="633" w:type="dxa"/>
            <w:vMerge w:val="restart"/>
            <w:vAlign w:val="center"/>
          </w:tcPr>
          <w:p w14:paraId="320BF60F">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0FEB7A2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SCR+酸雾捕集器+水洗+氨洗+4</w:t>
            </w:r>
            <w:r>
              <w:rPr>
                <w:rFonts w:ascii="Times New Roman" w:hAnsi="Times New Roman" w:cs="Times New Roman"/>
                <w:color w:val="000000" w:themeColor="text1"/>
                <w:sz w:val="18"/>
                <w:szCs w:val="18"/>
                <w14:textFill>
                  <w14:solidFill>
                    <w14:schemeClr w14:val="tx1"/>
                  </w14:solidFill>
                </w14:textFill>
              </w:rPr>
              <w:t>5m排气筒</w:t>
            </w:r>
          </w:p>
        </w:tc>
        <w:tc>
          <w:tcPr>
            <w:tcW w:w="784" w:type="dxa"/>
            <w:noWrap/>
            <w:vAlign w:val="center"/>
          </w:tcPr>
          <w:p w14:paraId="57B95EA4">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183.27</w:t>
            </w:r>
          </w:p>
        </w:tc>
        <w:tc>
          <w:tcPr>
            <w:tcW w:w="1302" w:type="dxa"/>
            <w:noWrap/>
            <w:vAlign w:val="center"/>
          </w:tcPr>
          <w:p w14:paraId="7D708FD1">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 xml:space="preserve">2.02 </w:t>
            </w:r>
          </w:p>
        </w:tc>
        <w:tc>
          <w:tcPr>
            <w:tcW w:w="907" w:type="dxa"/>
            <w:noWrap/>
            <w:vAlign w:val="center"/>
          </w:tcPr>
          <w:p w14:paraId="624A47C0">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 xml:space="preserve">16.13 </w:t>
            </w:r>
          </w:p>
        </w:tc>
        <w:tc>
          <w:tcPr>
            <w:tcW w:w="692" w:type="dxa"/>
            <w:vAlign w:val="center"/>
          </w:tcPr>
          <w:p w14:paraId="56AF704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400</w:t>
            </w:r>
          </w:p>
        </w:tc>
        <w:tc>
          <w:tcPr>
            <w:tcW w:w="709" w:type="dxa"/>
            <w:vAlign w:val="center"/>
          </w:tcPr>
          <w:p w14:paraId="23736A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1DD12820">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《石油炼制工业污染物排放标准》（GB31570-2015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含2024年修改单）表3</w:t>
            </w:r>
          </w:p>
        </w:tc>
      </w:tr>
      <w:tr w14:paraId="75A4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78D0505">
            <w:pPr>
              <w:rPr>
                <w:rFonts w:ascii="Times New Roman" w:hAnsi="Times New Roman" w:cs="Times New Roman"/>
                <w:color w:val="FF0000"/>
                <w:sz w:val="18"/>
                <w:szCs w:val="18"/>
              </w:rPr>
            </w:pPr>
          </w:p>
        </w:tc>
        <w:tc>
          <w:tcPr>
            <w:tcW w:w="1165" w:type="dxa"/>
            <w:vMerge w:val="continue"/>
            <w:vAlign w:val="center"/>
          </w:tcPr>
          <w:p w14:paraId="380663C3">
            <w:pPr>
              <w:rPr>
                <w:rFonts w:ascii="Times New Roman" w:hAnsi="Times New Roman" w:cs="Times New Roman"/>
                <w:color w:val="FF0000"/>
                <w:sz w:val="18"/>
                <w:szCs w:val="18"/>
              </w:rPr>
            </w:pPr>
          </w:p>
        </w:tc>
        <w:tc>
          <w:tcPr>
            <w:tcW w:w="1746" w:type="dxa"/>
            <w:vMerge w:val="continue"/>
            <w:vAlign w:val="center"/>
          </w:tcPr>
          <w:p w14:paraId="682E0C99">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49A644D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硫酸雾</w:t>
            </w:r>
          </w:p>
        </w:tc>
        <w:tc>
          <w:tcPr>
            <w:tcW w:w="633" w:type="dxa"/>
            <w:vMerge w:val="continue"/>
            <w:vAlign w:val="center"/>
          </w:tcPr>
          <w:p w14:paraId="0AABBE3B">
            <w:pPr>
              <w:jc w:val="center"/>
              <w:rPr>
                <w:rFonts w:ascii="Times New Roman" w:hAnsi="Times New Roman" w:cs="Times New Roman"/>
                <w:color w:val="FF0000"/>
                <w:sz w:val="18"/>
                <w:szCs w:val="18"/>
              </w:rPr>
            </w:pPr>
          </w:p>
        </w:tc>
        <w:tc>
          <w:tcPr>
            <w:tcW w:w="1684" w:type="dxa"/>
            <w:vMerge w:val="continue"/>
            <w:vAlign w:val="center"/>
          </w:tcPr>
          <w:p w14:paraId="79AD93E7">
            <w:pPr>
              <w:jc w:val="center"/>
              <w:rPr>
                <w:rFonts w:ascii="Times New Roman" w:hAnsi="Times New Roman" w:cs="Times New Roman"/>
                <w:color w:val="FF0000"/>
                <w:sz w:val="18"/>
                <w:szCs w:val="18"/>
              </w:rPr>
            </w:pPr>
          </w:p>
        </w:tc>
        <w:tc>
          <w:tcPr>
            <w:tcW w:w="784" w:type="dxa"/>
            <w:noWrap/>
            <w:vAlign w:val="center"/>
          </w:tcPr>
          <w:p w14:paraId="13100725">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26.1</w:t>
            </w:r>
          </w:p>
        </w:tc>
        <w:tc>
          <w:tcPr>
            <w:tcW w:w="1302" w:type="dxa"/>
            <w:noWrap/>
            <w:vAlign w:val="center"/>
          </w:tcPr>
          <w:p w14:paraId="68EEE497">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 xml:space="preserve">0.29 </w:t>
            </w:r>
          </w:p>
        </w:tc>
        <w:tc>
          <w:tcPr>
            <w:tcW w:w="907" w:type="dxa"/>
            <w:noWrap/>
            <w:vAlign w:val="center"/>
          </w:tcPr>
          <w:p w14:paraId="2FC46001">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 xml:space="preserve">2.30 </w:t>
            </w:r>
          </w:p>
        </w:tc>
        <w:tc>
          <w:tcPr>
            <w:tcW w:w="692" w:type="dxa"/>
            <w:vAlign w:val="center"/>
          </w:tcPr>
          <w:p w14:paraId="1BA3D67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w:t>
            </w:r>
          </w:p>
        </w:tc>
        <w:tc>
          <w:tcPr>
            <w:tcW w:w="709" w:type="dxa"/>
            <w:vAlign w:val="center"/>
          </w:tcPr>
          <w:p w14:paraId="77674D5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11033EA">
            <w:pPr>
              <w:jc w:val="center"/>
              <w:rPr>
                <w:rFonts w:ascii="Times New Roman" w:hAnsi="Times New Roman" w:cs="Times New Roman"/>
                <w:color w:val="FF0000"/>
                <w:sz w:val="18"/>
                <w:szCs w:val="18"/>
              </w:rPr>
            </w:pPr>
          </w:p>
        </w:tc>
      </w:tr>
      <w:tr w14:paraId="7A3D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328C70D">
            <w:pPr>
              <w:rPr>
                <w:rFonts w:ascii="Times New Roman" w:hAnsi="Times New Roman" w:cs="Times New Roman"/>
                <w:color w:val="FF0000"/>
                <w:sz w:val="18"/>
                <w:szCs w:val="18"/>
              </w:rPr>
            </w:pPr>
          </w:p>
        </w:tc>
        <w:tc>
          <w:tcPr>
            <w:tcW w:w="1165" w:type="dxa"/>
            <w:vMerge w:val="continue"/>
            <w:vAlign w:val="center"/>
          </w:tcPr>
          <w:p w14:paraId="0E69255A">
            <w:pPr>
              <w:rPr>
                <w:rFonts w:ascii="Times New Roman" w:hAnsi="Times New Roman" w:cs="Times New Roman"/>
                <w:color w:val="FF0000"/>
                <w:sz w:val="18"/>
                <w:szCs w:val="18"/>
              </w:rPr>
            </w:pPr>
          </w:p>
        </w:tc>
        <w:tc>
          <w:tcPr>
            <w:tcW w:w="1746" w:type="dxa"/>
            <w:vMerge w:val="continue"/>
            <w:vAlign w:val="center"/>
          </w:tcPr>
          <w:p w14:paraId="72CAA930">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63C978D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NOx</w:t>
            </w:r>
          </w:p>
        </w:tc>
        <w:tc>
          <w:tcPr>
            <w:tcW w:w="633" w:type="dxa"/>
            <w:vMerge w:val="continue"/>
            <w:vAlign w:val="center"/>
          </w:tcPr>
          <w:p w14:paraId="432CD6CC">
            <w:pPr>
              <w:jc w:val="center"/>
              <w:rPr>
                <w:rFonts w:ascii="Times New Roman" w:hAnsi="Times New Roman" w:cs="Times New Roman"/>
                <w:color w:val="FF0000"/>
                <w:sz w:val="18"/>
                <w:szCs w:val="18"/>
              </w:rPr>
            </w:pPr>
          </w:p>
        </w:tc>
        <w:tc>
          <w:tcPr>
            <w:tcW w:w="1684" w:type="dxa"/>
            <w:vMerge w:val="continue"/>
            <w:vAlign w:val="center"/>
          </w:tcPr>
          <w:p w14:paraId="2A392707">
            <w:pPr>
              <w:jc w:val="center"/>
              <w:rPr>
                <w:rFonts w:ascii="Times New Roman" w:hAnsi="Times New Roman" w:cs="Times New Roman"/>
                <w:color w:val="FF0000"/>
                <w:sz w:val="18"/>
                <w:szCs w:val="18"/>
              </w:rPr>
            </w:pPr>
          </w:p>
        </w:tc>
        <w:tc>
          <w:tcPr>
            <w:tcW w:w="784" w:type="dxa"/>
            <w:noWrap/>
            <w:vAlign w:val="center"/>
          </w:tcPr>
          <w:p w14:paraId="6D9B05FE">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 xml:space="preserve">136.36 </w:t>
            </w:r>
          </w:p>
        </w:tc>
        <w:tc>
          <w:tcPr>
            <w:tcW w:w="1302" w:type="dxa"/>
            <w:noWrap/>
            <w:vAlign w:val="center"/>
          </w:tcPr>
          <w:p w14:paraId="6F41C1EE">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1.5</w:t>
            </w:r>
          </w:p>
        </w:tc>
        <w:tc>
          <w:tcPr>
            <w:tcW w:w="907" w:type="dxa"/>
            <w:noWrap/>
            <w:vAlign w:val="center"/>
          </w:tcPr>
          <w:p w14:paraId="48B9AD97">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12</w:t>
            </w:r>
          </w:p>
        </w:tc>
        <w:tc>
          <w:tcPr>
            <w:tcW w:w="692" w:type="dxa"/>
            <w:vAlign w:val="center"/>
          </w:tcPr>
          <w:p w14:paraId="164543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150</w:t>
            </w:r>
          </w:p>
        </w:tc>
        <w:tc>
          <w:tcPr>
            <w:tcW w:w="709" w:type="dxa"/>
            <w:vAlign w:val="center"/>
          </w:tcPr>
          <w:p w14:paraId="7A3BC14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6172553F">
            <w:pPr>
              <w:jc w:val="center"/>
              <w:rPr>
                <w:rFonts w:ascii="Times New Roman" w:hAnsi="Times New Roman" w:cs="Times New Roman"/>
                <w:color w:val="FF0000"/>
                <w:sz w:val="18"/>
                <w:szCs w:val="18"/>
              </w:rPr>
            </w:pPr>
          </w:p>
        </w:tc>
      </w:tr>
      <w:tr w14:paraId="1459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B276930">
            <w:pPr>
              <w:rPr>
                <w:rFonts w:ascii="Times New Roman" w:hAnsi="Times New Roman" w:cs="Times New Roman"/>
                <w:color w:val="FF0000"/>
                <w:sz w:val="18"/>
                <w:szCs w:val="18"/>
              </w:rPr>
            </w:pPr>
          </w:p>
        </w:tc>
        <w:tc>
          <w:tcPr>
            <w:tcW w:w="1165" w:type="dxa"/>
            <w:vMerge w:val="continue"/>
            <w:vAlign w:val="center"/>
          </w:tcPr>
          <w:p w14:paraId="51FB1EE4">
            <w:pPr>
              <w:rPr>
                <w:rFonts w:ascii="Times New Roman" w:hAnsi="Times New Roman" w:cs="Times New Roman"/>
                <w:color w:val="FF0000"/>
                <w:sz w:val="18"/>
                <w:szCs w:val="18"/>
              </w:rPr>
            </w:pPr>
          </w:p>
        </w:tc>
        <w:tc>
          <w:tcPr>
            <w:tcW w:w="1746" w:type="dxa"/>
            <w:vAlign w:val="center"/>
          </w:tcPr>
          <w:p w14:paraId="29DD037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硫回收单元无组织排放</w:t>
            </w:r>
          </w:p>
        </w:tc>
        <w:tc>
          <w:tcPr>
            <w:tcW w:w="1227" w:type="dxa"/>
            <w:vAlign w:val="center"/>
          </w:tcPr>
          <w:p w14:paraId="1EDAE8F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Align w:val="center"/>
          </w:tcPr>
          <w:p w14:paraId="4F28F5F2">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71701C0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74F12870">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lang w:bidi="ar"/>
              </w:rPr>
              <w:t>/</w:t>
            </w:r>
          </w:p>
        </w:tc>
        <w:tc>
          <w:tcPr>
            <w:tcW w:w="1302" w:type="dxa"/>
            <w:noWrap/>
            <w:vAlign w:val="center"/>
          </w:tcPr>
          <w:p w14:paraId="62A94B7E">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lang w:bidi="ar"/>
              </w:rPr>
              <w:t>0.</w:t>
            </w:r>
            <w:r>
              <w:rPr>
                <w:rFonts w:hint="eastAsia" w:ascii="Times New Roman" w:hAnsi="Times New Roman" w:cs="Times New Roman"/>
                <w:color w:val="000000"/>
                <w:sz w:val="18"/>
                <w:szCs w:val="18"/>
                <w:lang w:bidi="ar"/>
              </w:rPr>
              <w:t>49</w:t>
            </w:r>
          </w:p>
        </w:tc>
        <w:tc>
          <w:tcPr>
            <w:tcW w:w="907" w:type="dxa"/>
            <w:noWrap/>
            <w:vAlign w:val="center"/>
          </w:tcPr>
          <w:p w14:paraId="13C215E4">
            <w:pPr>
              <w:jc w:val="center"/>
              <w:rPr>
                <w:rFonts w:ascii="Times New Roman" w:hAnsi="Times New Roman" w:eastAsia="等线" w:cs="Times New Roman"/>
                <w:color w:val="FF0000"/>
                <w:sz w:val="18"/>
                <w:szCs w:val="18"/>
              </w:rPr>
            </w:pPr>
            <w:r>
              <w:rPr>
                <w:rFonts w:hint="eastAsia" w:ascii="Times New Roman" w:hAnsi="Times New Roman" w:cs="Times New Roman"/>
                <w:color w:val="000000"/>
                <w:sz w:val="18"/>
                <w:szCs w:val="18"/>
                <w:lang w:bidi="ar"/>
              </w:rPr>
              <w:t>3.93</w:t>
            </w:r>
          </w:p>
        </w:tc>
        <w:tc>
          <w:tcPr>
            <w:tcW w:w="692" w:type="dxa"/>
            <w:vAlign w:val="center"/>
          </w:tcPr>
          <w:p w14:paraId="17CE7BA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6769CB5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60AAD27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含2024年修改单）表7</w:t>
            </w:r>
          </w:p>
        </w:tc>
      </w:tr>
      <w:tr w14:paraId="32BB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119664C">
            <w:pPr>
              <w:rPr>
                <w:rFonts w:ascii="Times New Roman" w:hAnsi="Times New Roman" w:cs="Times New Roman"/>
                <w:color w:val="FF0000"/>
                <w:sz w:val="18"/>
                <w:szCs w:val="18"/>
              </w:rPr>
            </w:pPr>
          </w:p>
        </w:tc>
        <w:tc>
          <w:tcPr>
            <w:tcW w:w="1165" w:type="dxa"/>
            <w:vAlign w:val="center"/>
          </w:tcPr>
          <w:p w14:paraId="067649C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合成氨装置</w:t>
            </w:r>
          </w:p>
        </w:tc>
        <w:tc>
          <w:tcPr>
            <w:tcW w:w="1746" w:type="dxa"/>
            <w:vAlign w:val="center"/>
          </w:tcPr>
          <w:p w14:paraId="02FA0F4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合成氨装置无组织排放</w:t>
            </w:r>
          </w:p>
        </w:tc>
        <w:tc>
          <w:tcPr>
            <w:tcW w:w="1227" w:type="dxa"/>
            <w:vAlign w:val="center"/>
          </w:tcPr>
          <w:p w14:paraId="4E2997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Align w:val="center"/>
          </w:tcPr>
          <w:p w14:paraId="2CA8A8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5D50C17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7E1AFAD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C154F82">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0.049</w:t>
            </w:r>
          </w:p>
        </w:tc>
        <w:tc>
          <w:tcPr>
            <w:tcW w:w="907" w:type="dxa"/>
            <w:noWrap/>
            <w:vAlign w:val="center"/>
          </w:tcPr>
          <w:p w14:paraId="08982CEF">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0.392</w:t>
            </w:r>
          </w:p>
        </w:tc>
        <w:tc>
          <w:tcPr>
            <w:tcW w:w="692" w:type="dxa"/>
            <w:vAlign w:val="center"/>
          </w:tcPr>
          <w:p w14:paraId="5100864B">
            <w:pPr>
              <w:pStyle w:val="557"/>
              <w:rPr>
                <w:color w:val="FF0000"/>
              </w:rPr>
            </w:pPr>
            <w:r>
              <w:t>1.5</w:t>
            </w:r>
          </w:p>
        </w:tc>
        <w:tc>
          <w:tcPr>
            <w:tcW w:w="709" w:type="dxa"/>
            <w:vAlign w:val="center"/>
          </w:tcPr>
          <w:p w14:paraId="1C2CD14D">
            <w:pPr>
              <w:pStyle w:val="557"/>
              <w:rPr>
                <w:color w:val="FF0000"/>
              </w:rPr>
            </w:pPr>
            <w:r>
              <w:rPr>
                <w:szCs w:val="22"/>
              </w:rPr>
              <w:t>/</w:t>
            </w:r>
          </w:p>
        </w:tc>
        <w:tc>
          <w:tcPr>
            <w:tcW w:w="2471" w:type="dxa"/>
            <w:vAlign w:val="center"/>
          </w:tcPr>
          <w:p w14:paraId="7E663995">
            <w:pPr>
              <w:pStyle w:val="557"/>
              <w:rPr>
                <w:color w:val="FF0000"/>
              </w:rPr>
            </w:pPr>
            <w:r>
              <w:t>《恶臭污染物排放标准》（</w:t>
            </w:r>
            <w:r>
              <w:rPr>
                <w:rFonts w:eastAsia="TimesNewRoman"/>
              </w:rPr>
              <w:t>GB14554-93</w:t>
            </w:r>
            <w:r>
              <w:t>）表1</w:t>
            </w:r>
            <w:r>
              <w:rPr>
                <w:color w:val="FF0000"/>
              </w:rPr>
              <w:t xml:space="preserve"> </w:t>
            </w:r>
          </w:p>
        </w:tc>
      </w:tr>
      <w:tr w14:paraId="0EF5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FBF5614">
            <w:pPr>
              <w:rPr>
                <w:rFonts w:ascii="Times New Roman" w:hAnsi="Times New Roman" w:cs="Times New Roman"/>
                <w:color w:val="FF0000"/>
                <w:sz w:val="18"/>
                <w:szCs w:val="18"/>
              </w:rPr>
            </w:pPr>
          </w:p>
        </w:tc>
        <w:tc>
          <w:tcPr>
            <w:tcW w:w="1165" w:type="dxa"/>
            <w:vAlign w:val="center"/>
          </w:tcPr>
          <w:p w14:paraId="1A5630C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DMO（草酸二甲酯）装置</w:t>
            </w:r>
          </w:p>
        </w:tc>
        <w:tc>
          <w:tcPr>
            <w:tcW w:w="1746" w:type="dxa"/>
            <w:vAlign w:val="center"/>
          </w:tcPr>
          <w:p w14:paraId="779B2C4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DMO装置无组织废气</w:t>
            </w:r>
          </w:p>
        </w:tc>
        <w:tc>
          <w:tcPr>
            <w:tcW w:w="1227" w:type="dxa"/>
            <w:vAlign w:val="center"/>
          </w:tcPr>
          <w:p w14:paraId="16FE4051">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NMHC</w:t>
            </w:r>
          </w:p>
        </w:tc>
        <w:tc>
          <w:tcPr>
            <w:tcW w:w="633" w:type="dxa"/>
            <w:vAlign w:val="center"/>
          </w:tcPr>
          <w:p w14:paraId="32F6109C">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24E7F875">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7233546D">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lang w:bidi="ar"/>
              </w:rPr>
              <w:t>/</w:t>
            </w:r>
          </w:p>
        </w:tc>
        <w:tc>
          <w:tcPr>
            <w:tcW w:w="1302" w:type="dxa"/>
            <w:noWrap/>
            <w:vAlign w:val="center"/>
          </w:tcPr>
          <w:p w14:paraId="363AD515">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lang w:bidi="ar"/>
              </w:rPr>
              <w:t>0.</w:t>
            </w:r>
            <w:r>
              <w:rPr>
                <w:rFonts w:hint="eastAsia" w:ascii="Times New Roman" w:hAnsi="Times New Roman" w:cs="Times New Roman"/>
                <w:color w:val="000000"/>
                <w:sz w:val="18"/>
                <w:szCs w:val="18"/>
                <w:lang w:bidi="ar"/>
              </w:rPr>
              <w:t>52</w:t>
            </w:r>
          </w:p>
        </w:tc>
        <w:tc>
          <w:tcPr>
            <w:tcW w:w="907" w:type="dxa"/>
            <w:noWrap/>
            <w:vAlign w:val="center"/>
          </w:tcPr>
          <w:p w14:paraId="0A0D474C">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lang w:bidi="ar"/>
              </w:rPr>
              <w:t>4.</w:t>
            </w:r>
            <w:r>
              <w:rPr>
                <w:rFonts w:hint="eastAsia" w:ascii="Times New Roman" w:hAnsi="Times New Roman" w:cs="Times New Roman"/>
                <w:color w:val="000000"/>
                <w:sz w:val="18"/>
                <w:szCs w:val="18"/>
                <w:lang w:bidi="ar"/>
              </w:rPr>
              <w:t>13</w:t>
            </w:r>
          </w:p>
        </w:tc>
        <w:tc>
          <w:tcPr>
            <w:tcW w:w="692" w:type="dxa"/>
            <w:vAlign w:val="center"/>
          </w:tcPr>
          <w:p w14:paraId="3A74D8B8">
            <w:pPr>
              <w:pStyle w:val="557"/>
              <w:rPr>
                <w:color w:val="FF0000"/>
              </w:rPr>
            </w:pPr>
            <w:r>
              <w:t>4.0</w:t>
            </w:r>
          </w:p>
        </w:tc>
        <w:tc>
          <w:tcPr>
            <w:tcW w:w="709" w:type="dxa"/>
            <w:vAlign w:val="center"/>
          </w:tcPr>
          <w:p w14:paraId="2FAAE7D5">
            <w:pPr>
              <w:pStyle w:val="557"/>
              <w:rPr>
                <w:color w:val="FF0000"/>
              </w:rPr>
            </w:pPr>
            <w:r>
              <w:rPr>
                <w:szCs w:val="22"/>
              </w:rPr>
              <w:t>/</w:t>
            </w:r>
          </w:p>
        </w:tc>
        <w:tc>
          <w:tcPr>
            <w:tcW w:w="2471" w:type="dxa"/>
            <w:vAlign w:val="center"/>
          </w:tcPr>
          <w:p w14:paraId="4A8C99D0">
            <w:pPr>
              <w:pStyle w:val="557"/>
              <w:rPr>
                <w:color w:val="FF0000"/>
              </w:rPr>
            </w:pPr>
            <w:r>
              <w:t>《石油化学工业污染物排放标准》（GB31571-2015</w:t>
            </w:r>
            <w:r>
              <w:rPr>
                <w:rFonts w:hint="eastAsia"/>
              </w:rPr>
              <w:t>，</w:t>
            </w:r>
            <w:r>
              <w:t>含2024年修改单）表7</w:t>
            </w:r>
            <w:r>
              <w:rPr>
                <w:color w:val="FF0000"/>
              </w:rPr>
              <w:t xml:space="preserve"> </w:t>
            </w:r>
          </w:p>
        </w:tc>
      </w:tr>
      <w:tr w14:paraId="552B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1EE938A">
            <w:pPr>
              <w:rPr>
                <w:rFonts w:ascii="Times New Roman" w:hAnsi="Times New Roman" w:cs="Times New Roman"/>
                <w:color w:val="FF0000"/>
                <w:sz w:val="18"/>
                <w:szCs w:val="18"/>
              </w:rPr>
            </w:pPr>
          </w:p>
        </w:tc>
        <w:tc>
          <w:tcPr>
            <w:tcW w:w="1165" w:type="dxa"/>
            <w:vMerge w:val="restart"/>
            <w:vAlign w:val="center"/>
          </w:tcPr>
          <w:p w14:paraId="389EC01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草酰胺装置</w:t>
            </w:r>
          </w:p>
        </w:tc>
        <w:tc>
          <w:tcPr>
            <w:tcW w:w="1746" w:type="dxa"/>
            <w:vMerge w:val="restart"/>
            <w:vAlign w:val="center"/>
          </w:tcPr>
          <w:p w14:paraId="3D3B291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草酰胺装置尾气吸收塔顶排气</w:t>
            </w:r>
          </w:p>
        </w:tc>
        <w:tc>
          <w:tcPr>
            <w:tcW w:w="1227" w:type="dxa"/>
            <w:vAlign w:val="center"/>
          </w:tcPr>
          <w:p w14:paraId="21A42AD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CH</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OH</w:t>
            </w:r>
          </w:p>
        </w:tc>
        <w:tc>
          <w:tcPr>
            <w:tcW w:w="633" w:type="dxa"/>
            <w:vMerge w:val="restart"/>
            <w:vAlign w:val="center"/>
          </w:tcPr>
          <w:p w14:paraId="320BC7D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08FDEE6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水洗塔+25m排气筒</w:t>
            </w:r>
          </w:p>
        </w:tc>
        <w:tc>
          <w:tcPr>
            <w:tcW w:w="784" w:type="dxa"/>
            <w:noWrap/>
            <w:vAlign w:val="center"/>
          </w:tcPr>
          <w:p w14:paraId="10B0A058">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3.8</w:t>
            </w:r>
          </w:p>
        </w:tc>
        <w:tc>
          <w:tcPr>
            <w:tcW w:w="1302" w:type="dxa"/>
            <w:noWrap/>
            <w:vAlign w:val="center"/>
          </w:tcPr>
          <w:p w14:paraId="63041427">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0.038</w:t>
            </w:r>
          </w:p>
        </w:tc>
        <w:tc>
          <w:tcPr>
            <w:tcW w:w="907" w:type="dxa"/>
            <w:noWrap/>
            <w:vAlign w:val="center"/>
          </w:tcPr>
          <w:p w14:paraId="2E86013F">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0.304</w:t>
            </w:r>
          </w:p>
        </w:tc>
        <w:tc>
          <w:tcPr>
            <w:tcW w:w="692" w:type="dxa"/>
            <w:vAlign w:val="center"/>
          </w:tcPr>
          <w:p w14:paraId="65EAA8FF">
            <w:pPr>
              <w:pStyle w:val="557"/>
              <w:rPr>
                <w:color w:val="FF0000"/>
              </w:rPr>
            </w:pPr>
            <w:r>
              <w:t>50</w:t>
            </w:r>
          </w:p>
        </w:tc>
        <w:tc>
          <w:tcPr>
            <w:tcW w:w="709" w:type="dxa"/>
            <w:vAlign w:val="center"/>
          </w:tcPr>
          <w:p w14:paraId="76623A0A">
            <w:pPr>
              <w:pStyle w:val="557"/>
              <w:rPr>
                <w:color w:val="FF0000"/>
              </w:rPr>
            </w:pPr>
            <w:r>
              <w:t>/</w:t>
            </w:r>
          </w:p>
        </w:tc>
        <w:tc>
          <w:tcPr>
            <w:tcW w:w="2471" w:type="dxa"/>
            <w:vAlign w:val="center"/>
          </w:tcPr>
          <w:p w14:paraId="3159980E">
            <w:pPr>
              <w:pStyle w:val="557"/>
              <w:rPr>
                <w:color w:val="FF0000"/>
              </w:rPr>
            </w:pPr>
            <w:r>
              <w:rPr>
                <w:szCs w:val="21"/>
              </w:rPr>
              <w:t>《石油化学工业污染物排放标准》</w:t>
            </w:r>
            <w:r>
              <w:t>（GB31571-2015</w:t>
            </w:r>
            <w:r>
              <w:rPr>
                <w:rFonts w:hint="eastAsia"/>
              </w:rPr>
              <w:t>，</w:t>
            </w:r>
            <w:r>
              <w:t>含2024年修改单）</w:t>
            </w:r>
            <w:r>
              <w:rPr>
                <w:szCs w:val="21"/>
              </w:rPr>
              <w:t>表6</w:t>
            </w:r>
            <w:r>
              <w:rPr>
                <w:color w:val="FF0000"/>
              </w:rPr>
              <w:t xml:space="preserve"> </w:t>
            </w:r>
          </w:p>
        </w:tc>
      </w:tr>
      <w:tr w14:paraId="37EF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3572090">
            <w:pPr>
              <w:rPr>
                <w:rFonts w:ascii="Times New Roman" w:hAnsi="Times New Roman" w:cs="Times New Roman"/>
                <w:color w:val="FF0000"/>
                <w:sz w:val="18"/>
                <w:szCs w:val="18"/>
              </w:rPr>
            </w:pPr>
          </w:p>
        </w:tc>
        <w:tc>
          <w:tcPr>
            <w:tcW w:w="1165" w:type="dxa"/>
            <w:vMerge w:val="continue"/>
            <w:vAlign w:val="center"/>
          </w:tcPr>
          <w:p w14:paraId="70891963">
            <w:pPr>
              <w:jc w:val="center"/>
              <w:rPr>
                <w:rFonts w:ascii="Times New Roman" w:hAnsi="Times New Roman" w:cs="Times New Roman"/>
                <w:color w:val="FF0000"/>
                <w:sz w:val="18"/>
                <w:szCs w:val="18"/>
              </w:rPr>
            </w:pPr>
          </w:p>
        </w:tc>
        <w:tc>
          <w:tcPr>
            <w:tcW w:w="1746" w:type="dxa"/>
            <w:vMerge w:val="continue"/>
            <w:vAlign w:val="center"/>
          </w:tcPr>
          <w:p w14:paraId="569FEC84">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5041600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Merge w:val="continue"/>
            <w:vAlign w:val="center"/>
          </w:tcPr>
          <w:p w14:paraId="770E4289">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791B78FA">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2DFD0EB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w:t>
            </w:r>
          </w:p>
        </w:tc>
        <w:tc>
          <w:tcPr>
            <w:tcW w:w="1302" w:type="dxa"/>
            <w:noWrap/>
            <w:vAlign w:val="center"/>
          </w:tcPr>
          <w:p w14:paraId="602AAB71">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0.014</w:t>
            </w:r>
          </w:p>
        </w:tc>
        <w:tc>
          <w:tcPr>
            <w:tcW w:w="907" w:type="dxa"/>
            <w:noWrap/>
            <w:vAlign w:val="center"/>
          </w:tcPr>
          <w:p w14:paraId="5FFFFEE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0.112</w:t>
            </w:r>
          </w:p>
        </w:tc>
        <w:tc>
          <w:tcPr>
            <w:tcW w:w="692" w:type="dxa"/>
            <w:vAlign w:val="center"/>
          </w:tcPr>
          <w:p w14:paraId="7AE25FCB">
            <w:pPr>
              <w:pStyle w:val="557"/>
              <w:rPr>
                <w:color w:val="FF0000"/>
              </w:rPr>
            </w:pPr>
            <w:r>
              <w:t>/</w:t>
            </w:r>
          </w:p>
        </w:tc>
        <w:tc>
          <w:tcPr>
            <w:tcW w:w="709" w:type="dxa"/>
            <w:vAlign w:val="center"/>
          </w:tcPr>
          <w:p w14:paraId="5981EF52">
            <w:pPr>
              <w:pStyle w:val="557"/>
              <w:rPr>
                <w:color w:val="FF0000"/>
              </w:rPr>
            </w:pPr>
            <w:r>
              <w:rPr>
                <w:rFonts w:hint="eastAsia"/>
              </w:rPr>
              <w:t>18</w:t>
            </w:r>
            <w:r>
              <w:t>（</w:t>
            </w:r>
            <w:r>
              <w:rPr>
                <w:rFonts w:hint="eastAsia"/>
              </w:rPr>
              <w:t>25</w:t>
            </w:r>
            <w:r>
              <w:t>m排气筒）</w:t>
            </w:r>
          </w:p>
        </w:tc>
        <w:tc>
          <w:tcPr>
            <w:tcW w:w="2471" w:type="dxa"/>
            <w:vAlign w:val="center"/>
          </w:tcPr>
          <w:p w14:paraId="68C7114D">
            <w:pPr>
              <w:pStyle w:val="557"/>
              <w:rPr>
                <w:color w:val="FF0000"/>
              </w:rPr>
            </w:pPr>
            <w:r>
              <w:t>《</w:t>
            </w:r>
            <w:r>
              <w:rPr>
                <w:szCs w:val="21"/>
              </w:rPr>
              <w:t>恶臭污染物排放标准》（GB14554-93）表2</w:t>
            </w:r>
            <w:r>
              <w:rPr>
                <w:color w:val="FF0000"/>
              </w:rPr>
              <w:t xml:space="preserve"> </w:t>
            </w:r>
          </w:p>
        </w:tc>
      </w:tr>
      <w:tr w14:paraId="41F7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F2B4F5B">
            <w:pPr>
              <w:rPr>
                <w:rFonts w:ascii="Times New Roman" w:hAnsi="Times New Roman" w:cs="Times New Roman"/>
                <w:color w:val="FF0000"/>
                <w:sz w:val="18"/>
                <w:szCs w:val="18"/>
              </w:rPr>
            </w:pPr>
          </w:p>
        </w:tc>
        <w:tc>
          <w:tcPr>
            <w:tcW w:w="1165" w:type="dxa"/>
            <w:vMerge w:val="continue"/>
            <w:vAlign w:val="center"/>
          </w:tcPr>
          <w:p w14:paraId="3B905CEE">
            <w:pPr>
              <w:jc w:val="center"/>
              <w:rPr>
                <w:rFonts w:ascii="Times New Roman" w:hAnsi="Times New Roman" w:cs="Times New Roman"/>
                <w:color w:val="FF0000"/>
                <w:sz w:val="18"/>
                <w:szCs w:val="18"/>
              </w:rPr>
            </w:pPr>
          </w:p>
        </w:tc>
        <w:tc>
          <w:tcPr>
            <w:tcW w:w="1746" w:type="dxa"/>
            <w:vAlign w:val="center"/>
          </w:tcPr>
          <w:p w14:paraId="2C49EE8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草酰胺装置无组织排放</w:t>
            </w:r>
          </w:p>
        </w:tc>
        <w:tc>
          <w:tcPr>
            <w:tcW w:w="1227" w:type="dxa"/>
            <w:vAlign w:val="center"/>
          </w:tcPr>
          <w:p w14:paraId="2B4F8EC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Align w:val="center"/>
          </w:tcPr>
          <w:p w14:paraId="262424F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53AA903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516C47B4">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lang w:bidi="ar"/>
              </w:rPr>
              <w:t>/</w:t>
            </w:r>
          </w:p>
        </w:tc>
        <w:tc>
          <w:tcPr>
            <w:tcW w:w="1302" w:type="dxa"/>
            <w:noWrap/>
            <w:vAlign w:val="center"/>
          </w:tcPr>
          <w:p w14:paraId="4207B289">
            <w:pPr>
              <w:jc w:val="center"/>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lang w:bidi="ar"/>
              </w:rPr>
              <w:t>0.</w:t>
            </w:r>
            <w:r>
              <w:rPr>
                <w:rFonts w:hint="eastAsia" w:ascii="Times New Roman" w:hAnsi="Times New Roman" w:cs="Times New Roman"/>
                <w:color w:val="000000"/>
                <w:sz w:val="18"/>
                <w:szCs w:val="18"/>
                <w:lang w:bidi="ar"/>
              </w:rPr>
              <w:t>54</w:t>
            </w:r>
          </w:p>
        </w:tc>
        <w:tc>
          <w:tcPr>
            <w:tcW w:w="907" w:type="dxa"/>
            <w:noWrap/>
            <w:vAlign w:val="center"/>
          </w:tcPr>
          <w:p w14:paraId="3C590C0F">
            <w:pPr>
              <w:jc w:val="center"/>
              <w:rPr>
                <w:rFonts w:ascii="Times New Roman" w:hAnsi="Times New Roman" w:eastAsia="等线" w:cs="Times New Roman"/>
                <w:color w:val="000000" w:themeColor="text1"/>
                <w:sz w:val="18"/>
                <w:szCs w:val="18"/>
                <w14:textFill>
                  <w14:solidFill>
                    <w14:schemeClr w14:val="tx1"/>
                  </w14:solidFill>
                </w14:textFill>
              </w:rPr>
            </w:pPr>
            <w:r>
              <w:rPr>
                <w:rFonts w:hint="eastAsia" w:ascii="Times New Roman" w:hAnsi="Times New Roman" w:cs="Times New Roman"/>
                <w:color w:val="000000"/>
                <w:sz w:val="18"/>
                <w:szCs w:val="18"/>
                <w:lang w:bidi="ar"/>
              </w:rPr>
              <w:t>4.29</w:t>
            </w:r>
          </w:p>
        </w:tc>
        <w:tc>
          <w:tcPr>
            <w:tcW w:w="692" w:type="dxa"/>
            <w:vAlign w:val="center"/>
          </w:tcPr>
          <w:p w14:paraId="3F307091">
            <w:pPr>
              <w:pStyle w:val="557"/>
              <w:rPr>
                <w:color w:val="FF0000"/>
              </w:rPr>
            </w:pPr>
            <w:r>
              <w:t>4.0</w:t>
            </w:r>
          </w:p>
        </w:tc>
        <w:tc>
          <w:tcPr>
            <w:tcW w:w="709" w:type="dxa"/>
            <w:vAlign w:val="center"/>
          </w:tcPr>
          <w:p w14:paraId="405B51B4">
            <w:pPr>
              <w:pStyle w:val="557"/>
              <w:rPr>
                <w:color w:val="FF0000"/>
              </w:rPr>
            </w:pPr>
            <w:r>
              <w:rPr>
                <w:szCs w:val="22"/>
              </w:rPr>
              <w:t>/</w:t>
            </w:r>
          </w:p>
        </w:tc>
        <w:tc>
          <w:tcPr>
            <w:tcW w:w="2471" w:type="dxa"/>
            <w:vAlign w:val="center"/>
          </w:tcPr>
          <w:p w14:paraId="0A5A36DE">
            <w:pPr>
              <w:pStyle w:val="557"/>
              <w:rPr>
                <w:color w:val="FF0000"/>
              </w:rPr>
            </w:pPr>
            <w:r>
              <w:t>《石油化学工业污染物排放标准》（GB31571-2015</w:t>
            </w:r>
            <w:r>
              <w:rPr>
                <w:rFonts w:hint="eastAsia"/>
              </w:rPr>
              <w:t>，</w:t>
            </w:r>
            <w:r>
              <w:t>含2024年修改单）表7</w:t>
            </w:r>
            <w:r>
              <w:rPr>
                <w:color w:val="FF0000"/>
              </w:rPr>
              <w:t xml:space="preserve"> </w:t>
            </w:r>
          </w:p>
        </w:tc>
      </w:tr>
      <w:tr w14:paraId="5836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2BFD5DD">
            <w:pPr>
              <w:rPr>
                <w:rFonts w:ascii="Times New Roman" w:hAnsi="Times New Roman" w:cs="Times New Roman"/>
                <w:color w:val="FF0000"/>
                <w:sz w:val="18"/>
                <w:szCs w:val="18"/>
              </w:rPr>
            </w:pPr>
          </w:p>
        </w:tc>
        <w:tc>
          <w:tcPr>
            <w:tcW w:w="1165" w:type="dxa"/>
            <w:vMerge w:val="restart"/>
            <w:vAlign w:val="center"/>
          </w:tcPr>
          <w:p w14:paraId="247C6B6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有机缓释肥装置</w:t>
            </w:r>
          </w:p>
        </w:tc>
        <w:tc>
          <w:tcPr>
            <w:tcW w:w="1746" w:type="dxa"/>
            <w:vAlign w:val="center"/>
          </w:tcPr>
          <w:p w14:paraId="543152B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1#投料废气</w:t>
            </w:r>
          </w:p>
        </w:tc>
        <w:tc>
          <w:tcPr>
            <w:tcW w:w="1227" w:type="dxa"/>
            <w:vAlign w:val="center"/>
          </w:tcPr>
          <w:p w14:paraId="0340145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Align w:val="center"/>
          </w:tcPr>
          <w:p w14:paraId="4C586A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770237D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布袋除尘器+15m排气筒</w:t>
            </w:r>
          </w:p>
        </w:tc>
        <w:tc>
          <w:tcPr>
            <w:tcW w:w="784" w:type="dxa"/>
            <w:noWrap/>
            <w:vAlign w:val="center"/>
          </w:tcPr>
          <w:p w14:paraId="2B25D3C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 xml:space="preserve">9.30 </w:t>
            </w:r>
          </w:p>
        </w:tc>
        <w:tc>
          <w:tcPr>
            <w:tcW w:w="1302" w:type="dxa"/>
            <w:noWrap/>
            <w:vAlign w:val="center"/>
          </w:tcPr>
          <w:p w14:paraId="653B5A6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0.2</w:t>
            </w:r>
          </w:p>
        </w:tc>
        <w:tc>
          <w:tcPr>
            <w:tcW w:w="907" w:type="dxa"/>
            <w:noWrap/>
            <w:vAlign w:val="center"/>
          </w:tcPr>
          <w:p w14:paraId="31090A9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1.6</w:t>
            </w:r>
          </w:p>
        </w:tc>
        <w:tc>
          <w:tcPr>
            <w:tcW w:w="692" w:type="dxa"/>
            <w:vAlign w:val="center"/>
          </w:tcPr>
          <w:p w14:paraId="42E7705C">
            <w:pPr>
              <w:pStyle w:val="557"/>
              <w:rPr>
                <w:color w:val="FF0000"/>
              </w:rPr>
            </w:pPr>
            <w:r>
              <w:t>120</w:t>
            </w:r>
          </w:p>
        </w:tc>
        <w:tc>
          <w:tcPr>
            <w:tcW w:w="709" w:type="dxa"/>
            <w:vAlign w:val="center"/>
          </w:tcPr>
          <w:p w14:paraId="43CE53C9">
            <w:pPr>
              <w:pStyle w:val="557"/>
              <w:rPr>
                <w:color w:val="FF0000"/>
              </w:rPr>
            </w:pPr>
            <w:r>
              <w:t>3.5（15m排气筒）</w:t>
            </w:r>
          </w:p>
        </w:tc>
        <w:tc>
          <w:tcPr>
            <w:tcW w:w="2471" w:type="dxa"/>
            <w:vAlign w:val="center"/>
          </w:tcPr>
          <w:p w14:paraId="5D71221B">
            <w:pPr>
              <w:pStyle w:val="557"/>
              <w:rPr>
                <w:color w:val="FF0000"/>
              </w:rPr>
            </w:pPr>
            <w:r>
              <w:t>《大气污染物综合排放标准》（GB16297-1996）表2</w:t>
            </w:r>
            <w:r>
              <w:rPr>
                <w:color w:val="FF0000"/>
              </w:rPr>
              <w:t xml:space="preserve"> </w:t>
            </w:r>
          </w:p>
        </w:tc>
      </w:tr>
      <w:tr w14:paraId="584E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5906554">
            <w:pPr>
              <w:rPr>
                <w:rFonts w:ascii="Times New Roman" w:hAnsi="Times New Roman" w:cs="Times New Roman"/>
                <w:color w:val="FF0000"/>
                <w:sz w:val="18"/>
                <w:szCs w:val="18"/>
              </w:rPr>
            </w:pPr>
          </w:p>
        </w:tc>
        <w:tc>
          <w:tcPr>
            <w:tcW w:w="1165" w:type="dxa"/>
            <w:vMerge w:val="continue"/>
            <w:vAlign w:val="center"/>
          </w:tcPr>
          <w:p w14:paraId="7F8C20FA">
            <w:pPr>
              <w:jc w:val="cente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3DDA126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2#投料废气</w:t>
            </w:r>
          </w:p>
        </w:tc>
        <w:tc>
          <w:tcPr>
            <w:tcW w:w="1227" w:type="dxa"/>
            <w:vAlign w:val="center"/>
          </w:tcPr>
          <w:p w14:paraId="71FFDAF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Align w:val="center"/>
          </w:tcPr>
          <w:p w14:paraId="7F7F493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51295C0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布袋除尘器+15m排气筒</w:t>
            </w:r>
          </w:p>
        </w:tc>
        <w:tc>
          <w:tcPr>
            <w:tcW w:w="784" w:type="dxa"/>
            <w:noWrap/>
            <w:vAlign w:val="center"/>
          </w:tcPr>
          <w:p w14:paraId="3ABCABF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 xml:space="preserve">9.30 </w:t>
            </w:r>
          </w:p>
        </w:tc>
        <w:tc>
          <w:tcPr>
            <w:tcW w:w="1302" w:type="dxa"/>
            <w:noWrap/>
            <w:vAlign w:val="center"/>
          </w:tcPr>
          <w:p w14:paraId="731F30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0.2</w:t>
            </w:r>
          </w:p>
        </w:tc>
        <w:tc>
          <w:tcPr>
            <w:tcW w:w="907" w:type="dxa"/>
            <w:noWrap/>
            <w:vAlign w:val="center"/>
          </w:tcPr>
          <w:p w14:paraId="0E984B0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1.6</w:t>
            </w:r>
          </w:p>
        </w:tc>
        <w:tc>
          <w:tcPr>
            <w:tcW w:w="692" w:type="dxa"/>
            <w:vAlign w:val="center"/>
          </w:tcPr>
          <w:p w14:paraId="03841A1A">
            <w:pPr>
              <w:pStyle w:val="557"/>
              <w:rPr>
                <w:color w:val="FF0000"/>
              </w:rPr>
            </w:pPr>
            <w:r>
              <w:t>120</w:t>
            </w:r>
          </w:p>
        </w:tc>
        <w:tc>
          <w:tcPr>
            <w:tcW w:w="709" w:type="dxa"/>
            <w:vAlign w:val="center"/>
          </w:tcPr>
          <w:p w14:paraId="7DEA0BE4">
            <w:pPr>
              <w:pStyle w:val="557"/>
              <w:rPr>
                <w:color w:val="FF0000"/>
              </w:rPr>
            </w:pPr>
            <w:r>
              <w:t>3.5（15m排气筒）</w:t>
            </w:r>
          </w:p>
        </w:tc>
        <w:tc>
          <w:tcPr>
            <w:tcW w:w="2471" w:type="dxa"/>
            <w:vAlign w:val="center"/>
          </w:tcPr>
          <w:p w14:paraId="16D72FBA">
            <w:pPr>
              <w:pStyle w:val="557"/>
              <w:rPr>
                <w:color w:val="FF0000"/>
              </w:rPr>
            </w:pPr>
            <w:r>
              <w:t>《大气污染物综合排放标准》（GB16297-1996）表2</w:t>
            </w:r>
            <w:r>
              <w:rPr>
                <w:color w:val="FF0000"/>
              </w:rPr>
              <w:t xml:space="preserve"> </w:t>
            </w:r>
          </w:p>
        </w:tc>
      </w:tr>
      <w:tr w14:paraId="7F19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FAEC4B7">
            <w:pPr>
              <w:rPr>
                <w:rFonts w:ascii="Times New Roman" w:hAnsi="Times New Roman" w:cs="Times New Roman"/>
                <w:color w:val="FF0000"/>
                <w:sz w:val="18"/>
                <w:szCs w:val="18"/>
              </w:rPr>
            </w:pPr>
          </w:p>
        </w:tc>
        <w:tc>
          <w:tcPr>
            <w:tcW w:w="1165" w:type="dxa"/>
            <w:vMerge w:val="continue"/>
            <w:vAlign w:val="center"/>
          </w:tcPr>
          <w:p w14:paraId="4EBD870F">
            <w:pPr>
              <w:jc w:val="cente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57F3177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1#造粒废气、1#包装废气、1#烘干废气</w:t>
            </w:r>
          </w:p>
        </w:tc>
        <w:tc>
          <w:tcPr>
            <w:tcW w:w="1227" w:type="dxa"/>
            <w:vAlign w:val="center"/>
          </w:tcPr>
          <w:p w14:paraId="23D872A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41B3F1AC">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2F4B2E6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文丘里洗涤塔+酸洗+水洗+40m排气筒</w:t>
            </w:r>
          </w:p>
          <w:p w14:paraId="723ED90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旋风除尘器+重力沉降室除尘+酸洗+水洗</w:t>
            </w:r>
          </w:p>
        </w:tc>
        <w:tc>
          <w:tcPr>
            <w:tcW w:w="784" w:type="dxa"/>
            <w:noWrap/>
            <w:vAlign w:val="center"/>
          </w:tcPr>
          <w:p w14:paraId="70183482">
            <w:pPr>
              <w:jc w:val="center"/>
              <w:rPr>
                <w:rFonts w:ascii="Times New Roman" w:hAnsi="Times New Roman" w:eastAsia="等线" w:cs="Times New Roman"/>
                <w:color w:val="FF0000"/>
                <w:sz w:val="18"/>
                <w:szCs w:val="18"/>
              </w:rPr>
            </w:pPr>
            <w:r>
              <w:rPr>
                <w:rFonts w:ascii="Times New Roman" w:hAnsi="Times New Roman" w:cs="Times New Roman"/>
                <w:sz w:val="18"/>
                <w:szCs w:val="18"/>
              </w:rPr>
              <w:t>18.</w:t>
            </w:r>
            <w:r>
              <w:rPr>
                <w:rFonts w:hint="eastAsia" w:ascii="Times New Roman" w:hAnsi="Times New Roman" w:cs="Times New Roman"/>
                <w:sz w:val="18"/>
                <w:szCs w:val="18"/>
              </w:rPr>
              <w:t>36</w:t>
            </w:r>
          </w:p>
        </w:tc>
        <w:tc>
          <w:tcPr>
            <w:tcW w:w="1302" w:type="dxa"/>
            <w:noWrap/>
            <w:vAlign w:val="center"/>
          </w:tcPr>
          <w:p w14:paraId="6BA35922">
            <w:pPr>
              <w:jc w:val="center"/>
              <w:rPr>
                <w:rFonts w:ascii="Times New Roman" w:hAnsi="Times New Roman" w:eastAsia="等线" w:cs="Times New Roman"/>
                <w:color w:val="FF0000"/>
                <w:sz w:val="18"/>
                <w:szCs w:val="18"/>
              </w:rPr>
            </w:pPr>
            <w:r>
              <w:rPr>
                <w:rFonts w:ascii="Times New Roman" w:hAnsi="Times New Roman" w:cs="Times New Roman"/>
                <w:sz w:val="18"/>
                <w:szCs w:val="18"/>
              </w:rPr>
              <w:t>5.9</w:t>
            </w:r>
            <w:r>
              <w:rPr>
                <w:rFonts w:hint="eastAsia" w:ascii="Times New Roman" w:hAnsi="Times New Roman" w:cs="Times New Roman"/>
                <w:sz w:val="18"/>
                <w:szCs w:val="18"/>
              </w:rPr>
              <w:t>5</w:t>
            </w:r>
          </w:p>
        </w:tc>
        <w:tc>
          <w:tcPr>
            <w:tcW w:w="907" w:type="dxa"/>
            <w:noWrap/>
            <w:vAlign w:val="center"/>
          </w:tcPr>
          <w:p w14:paraId="749F5B91">
            <w:pPr>
              <w:jc w:val="center"/>
              <w:rPr>
                <w:rFonts w:ascii="Times New Roman" w:hAnsi="Times New Roman" w:eastAsia="等线" w:cs="Times New Roman"/>
                <w:color w:val="FF0000"/>
                <w:sz w:val="18"/>
                <w:szCs w:val="18"/>
              </w:rPr>
            </w:pPr>
            <w:r>
              <w:rPr>
                <w:rFonts w:ascii="Times New Roman" w:hAnsi="Times New Roman" w:cs="Times New Roman"/>
                <w:sz w:val="18"/>
                <w:szCs w:val="18"/>
              </w:rPr>
              <w:t>47.</w:t>
            </w:r>
            <w:r>
              <w:rPr>
                <w:rFonts w:hint="eastAsia" w:ascii="Times New Roman" w:hAnsi="Times New Roman" w:cs="Times New Roman"/>
                <w:sz w:val="18"/>
                <w:szCs w:val="18"/>
              </w:rPr>
              <w:t>59</w:t>
            </w:r>
          </w:p>
        </w:tc>
        <w:tc>
          <w:tcPr>
            <w:tcW w:w="692" w:type="dxa"/>
            <w:vAlign w:val="center"/>
          </w:tcPr>
          <w:p w14:paraId="2088D160">
            <w:pPr>
              <w:pStyle w:val="557"/>
              <w:rPr>
                <w:color w:val="FF0000"/>
              </w:rPr>
            </w:pPr>
            <w:r>
              <w:t>120</w:t>
            </w:r>
          </w:p>
        </w:tc>
        <w:tc>
          <w:tcPr>
            <w:tcW w:w="709" w:type="dxa"/>
            <w:vAlign w:val="center"/>
          </w:tcPr>
          <w:p w14:paraId="3BD5018E">
            <w:pPr>
              <w:pStyle w:val="557"/>
              <w:rPr>
                <w:color w:val="FF0000"/>
              </w:rPr>
            </w:pPr>
            <w:r>
              <w:rPr>
                <w:rFonts w:hint="eastAsia"/>
              </w:rPr>
              <w:t>39（40</w:t>
            </w:r>
            <w:r>
              <w:t>m排气筒）</w:t>
            </w:r>
          </w:p>
        </w:tc>
        <w:tc>
          <w:tcPr>
            <w:tcW w:w="2471" w:type="dxa"/>
            <w:vAlign w:val="center"/>
          </w:tcPr>
          <w:p w14:paraId="75A96878">
            <w:pPr>
              <w:pStyle w:val="557"/>
              <w:rPr>
                <w:color w:val="FF0000"/>
              </w:rPr>
            </w:pPr>
            <w:r>
              <w:t>《大气污染物综合排放标准》（GB16297-1996）表2</w:t>
            </w:r>
            <w:r>
              <w:rPr>
                <w:color w:val="FF0000"/>
              </w:rPr>
              <w:t xml:space="preserve"> </w:t>
            </w:r>
          </w:p>
        </w:tc>
      </w:tr>
      <w:tr w14:paraId="3B77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7FB1792">
            <w:pPr>
              <w:rPr>
                <w:rFonts w:ascii="Times New Roman" w:hAnsi="Times New Roman" w:cs="Times New Roman"/>
                <w:color w:val="FF0000"/>
                <w:sz w:val="18"/>
                <w:szCs w:val="18"/>
              </w:rPr>
            </w:pPr>
          </w:p>
        </w:tc>
        <w:tc>
          <w:tcPr>
            <w:tcW w:w="1165" w:type="dxa"/>
            <w:vMerge w:val="continue"/>
            <w:vAlign w:val="center"/>
          </w:tcPr>
          <w:p w14:paraId="16C3F044">
            <w:pPr>
              <w:jc w:val="cente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75E52B54">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73BC326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氨</w:t>
            </w:r>
          </w:p>
        </w:tc>
        <w:tc>
          <w:tcPr>
            <w:tcW w:w="633" w:type="dxa"/>
            <w:vMerge w:val="continue"/>
            <w:vAlign w:val="center"/>
          </w:tcPr>
          <w:p w14:paraId="15E72B49">
            <w:pPr>
              <w:jc w:val="center"/>
              <w:rPr>
                <w:rFonts w:ascii="Times New Roman" w:hAnsi="Times New Roman" w:cs="Times New Roman"/>
                <w:color w:val="FF0000"/>
                <w:sz w:val="18"/>
                <w:szCs w:val="18"/>
              </w:rPr>
            </w:pPr>
          </w:p>
        </w:tc>
        <w:tc>
          <w:tcPr>
            <w:tcW w:w="1684" w:type="dxa"/>
            <w:vMerge w:val="continue"/>
            <w:vAlign w:val="center"/>
          </w:tcPr>
          <w:p w14:paraId="60743F19">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66A58908">
            <w:pPr>
              <w:jc w:val="center"/>
              <w:rPr>
                <w:rFonts w:ascii="Times New Roman" w:hAnsi="Times New Roman" w:eastAsia="等线" w:cs="Times New Roman"/>
                <w:color w:val="FF0000"/>
                <w:sz w:val="18"/>
                <w:szCs w:val="18"/>
              </w:rPr>
            </w:pPr>
            <w:r>
              <w:rPr>
                <w:rFonts w:ascii="Times New Roman" w:hAnsi="Times New Roman" w:cs="Times New Roman"/>
                <w:sz w:val="18"/>
                <w:szCs w:val="18"/>
              </w:rPr>
              <w:t>1.52</w:t>
            </w:r>
          </w:p>
        </w:tc>
        <w:tc>
          <w:tcPr>
            <w:tcW w:w="1302" w:type="dxa"/>
            <w:noWrap/>
            <w:vAlign w:val="center"/>
          </w:tcPr>
          <w:p w14:paraId="7786E7C5">
            <w:pPr>
              <w:jc w:val="center"/>
              <w:rPr>
                <w:rFonts w:ascii="Times New Roman" w:hAnsi="Times New Roman" w:eastAsia="等线" w:cs="Times New Roman"/>
                <w:color w:val="FF0000"/>
                <w:sz w:val="18"/>
                <w:szCs w:val="18"/>
              </w:rPr>
            </w:pPr>
            <w:r>
              <w:rPr>
                <w:rFonts w:ascii="Times New Roman" w:hAnsi="Times New Roman" w:cs="Times New Roman"/>
                <w:sz w:val="18"/>
                <w:szCs w:val="18"/>
              </w:rPr>
              <w:t>0.49</w:t>
            </w:r>
          </w:p>
        </w:tc>
        <w:tc>
          <w:tcPr>
            <w:tcW w:w="907" w:type="dxa"/>
            <w:noWrap/>
            <w:vAlign w:val="center"/>
          </w:tcPr>
          <w:p w14:paraId="0D76780A">
            <w:pPr>
              <w:jc w:val="center"/>
              <w:rPr>
                <w:rFonts w:ascii="Times New Roman" w:hAnsi="Times New Roman" w:eastAsia="等线" w:cs="Times New Roman"/>
                <w:color w:val="FF0000"/>
                <w:sz w:val="18"/>
                <w:szCs w:val="18"/>
              </w:rPr>
            </w:pPr>
            <w:r>
              <w:rPr>
                <w:rFonts w:ascii="Times New Roman" w:hAnsi="Times New Roman" w:cs="Times New Roman"/>
                <w:sz w:val="18"/>
                <w:szCs w:val="18"/>
              </w:rPr>
              <w:t>3.94</w:t>
            </w:r>
          </w:p>
        </w:tc>
        <w:tc>
          <w:tcPr>
            <w:tcW w:w="692" w:type="dxa"/>
            <w:vAlign w:val="center"/>
          </w:tcPr>
          <w:p w14:paraId="14E7DAB2">
            <w:pPr>
              <w:pStyle w:val="557"/>
              <w:rPr>
                <w:color w:val="FF0000"/>
              </w:rPr>
            </w:pPr>
            <w:r>
              <w:t>/</w:t>
            </w:r>
          </w:p>
        </w:tc>
        <w:tc>
          <w:tcPr>
            <w:tcW w:w="709" w:type="dxa"/>
            <w:vAlign w:val="center"/>
          </w:tcPr>
          <w:p w14:paraId="1DBDA7F2">
            <w:pPr>
              <w:pStyle w:val="557"/>
              <w:rPr>
                <w:color w:val="FF0000"/>
              </w:rPr>
            </w:pPr>
            <w:r>
              <w:rPr>
                <w:rFonts w:hint="eastAsia"/>
              </w:rPr>
              <w:t>35</w:t>
            </w:r>
            <w:r>
              <w:t>（</w:t>
            </w:r>
            <w:r>
              <w:rPr>
                <w:rFonts w:hint="eastAsia"/>
              </w:rPr>
              <w:t>40</w:t>
            </w:r>
            <w:r>
              <w:t>m排气筒）</w:t>
            </w:r>
          </w:p>
        </w:tc>
        <w:tc>
          <w:tcPr>
            <w:tcW w:w="2471" w:type="dxa"/>
            <w:vAlign w:val="center"/>
          </w:tcPr>
          <w:p w14:paraId="0FE0BB1F">
            <w:pPr>
              <w:pStyle w:val="557"/>
              <w:rPr>
                <w:color w:val="FF0000"/>
              </w:rPr>
            </w:pPr>
            <w:r>
              <w:t>《</w:t>
            </w:r>
            <w:r>
              <w:rPr>
                <w:szCs w:val="21"/>
              </w:rPr>
              <w:t xml:space="preserve">恶臭污染物排放标准》（GB14554-93）表2 </w:t>
            </w:r>
          </w:p>
        </w:tc>
      </w:tr>
      <w:tr w14:paraId="3FC7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878614E">
            <w:pPr>
              <w:rPr>
                <w:rFonts w:ascii="Times New Roman" w:hAnsi="Times New Roman" w:cs="Times New Roman"/>
                <w:color w:val="FF0000"/>
                <w:sz w:val="18"/>
                <w:szCs w:val="18"/>
              </w:rPr>
            </w:pPr>
          </w:p>
        </w:tc>
        <w:tc>
          <w:tcPr>
            <w:tcW w:w="1165" w:type="dxa"/>
            <w:vMerge w:val="continue"/>
            <w:vAlign w:val="center"/>
          </w:tcPr>
          <w:p w14:paraId="6D39EA77">
            <w:pPr>
              <w:jc w:val="cente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61E4BE1B">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2#造粒废气、2#包装废气、2#烘干废气</w:t>
            </w:r>
          </w:p>
        </w:tc>
        <w:tc>
          <w:tcPr>
            <w:tcW w:w="1227" w:type="dxa"/>
            <w:vAlign w:val="center"/>
          </w:tcPr>
          <w:p w14:paraId="1F5DFAC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736AB6DA">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5FF5AE1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文丘里洗涤塔+酸洗+水洗+40m排气筒</w:t>
            </w:r>
          </w:p>
          <w:p w14:paraId="6F25CEE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旋风除尘器+重力沉降室除尘+酸洗+水洗</w:t>
            </w:r>
          </w:p>
        </w:tc>
        <w:tc>
          <w:tcPr>
            <w:tcW w:w="784" w:type="dxa"/>
            <w:noWrap/>
            <w:vAlign w:val="center"/>
          </w:tcPr>
          <w:p w14:paraId="187E4BA2">
            <w:pPr>
              <w:jc w:val="center"/>
              <w:rPr>
                <w:rFonts w:ascii="Times New Roman" w:hAnsi="Times New Roman" w:eastAsia="等线" w:cs="Times New Roman"/>
                <w:color w:val="FF0000"/>
                <w:sz w:val="18"/>
                <w:szCs w:val="18"/>
              </w:rPr>
            </w:pPr>
            <w:r>
              <w:rPr>
                <w:rFonts w:ascii="Times New Roman" w:hAnsi="Times New Roman" w:cs="Times New Roman"/>
                <w:sz w:val="18"/>
                <w:szCs w:val="18"/>
              </w:rPr>
              <w:t>18.</w:t>
            </w:r>
            <w:r>
              <w:rPr>
                <w:rFonts w:hint="eastAsia" w:ascii="Times New Roman" w:hAnsi="Times New Roman" w:cs="Times New Roman"/>
                <w:sz w:val="18"/>
                <w:szCs w:val="18"/>
              </w:rPr>
              <w:t>36</w:t>
            </w:r>
          </w:p>
        </w:tc>
        <w:tc>
          <w:tcPr>
            <w:tcW w:w="1302" w:type="dxa"/>
            <w:noWrap/>
            <w:vAlign w:val="center"/>
          </w:tcPr>
          <w:p w14:paraId="40283AD4">
            <w:pPr>
              <w:jc w:val="center"/>
              <w:rPr>
                <w:rFonts w:ascii="Times New Roman" w:hAnsi="Times New Roman" w:eastAsia="等线" w:cs="Times New Roman"/>
                <w:color w:val="FF0000"/>
                <w:sz w:val="18"/>
                <w:szCs w:val="18"/>
              </w:rPr>
            </w:pPr>
            <w:r>
              <w:rPr>
                <w:rFonts w:ascii="Times New Roman" w:hAnsi="Times New Roman" w:cs="Times New Roman"/>
                <w:sz w:val="18"/>
                <w:szCs w:val="18"/>
              </w:rPr>
              <w:t>5.9</w:t>
            </w:r>
            <w:r>
              <w:rPr>
                <w:rFonts w:hint="eastAsia" w:ascii="Times New Roman" w:hAnsi="Times New Roman" w:cs="Times New Roman"/>
                <w:sz w:val="18"/>
                <w:szCs w:val="18"/>
              </w:rPr>
              <w:t>5</w:t>
            </w:r>
          </w:p>
        </w:tc>
        <w:tc>
          <w:tcPr>
            <w:tcW w:w="907" w:type="dxa"/>
            <w:noWrap/>
            <w:vAlign w:val="center"/>
          </w:tcPr>
          <w:p w14:paraId="62659A99">
            <w:pPr>
              <w:jc w:val="center"/>
              <w:rPr>
                <w:rFonts w:ascii="Times New Roman" w:hAnsi="Times New Roman" w:eastAsia="等线" w:cs="Times New Roman"/>
                <w:color w:val="FF0000"/>
                <w:sz w:val="18"/>
                <w:szCs w:val="18"/>
              </w:rPr>
            </w:pPr>
            <w:r>
              <w:rPr>
                <w:rFonts w:ascii="Times New Roman" w:hAnsi="Times New Roman" w:cs="Times New Roman"/>
                <w:sz w:val="18"/>
                <w:szCs w:val="18"/>
              </w:rPr>
              <w:t>47.</w:t>
            </w:r>
            <w:r>
              <w:rPr>
                <w:rFonts w:hint="eastAsia" w:ascii="Times New Roman" w:hAnsi="Times New Roman" w:cs="Times New Roman"/>
                <w:sz w:val="18"/>
                <w:szCs w:val="18"/>
              </w:rPr>
              <w:t>59</w:t>
            </w:r>
          </w:p>
        </w:tc>
        <w:tc>
          <w:tcPr>
            <w:tcW w:w="692" w:type="dxa"/>
            <w:vAlign w:val="center"/>
          </w:tcPr>
          <w:p w14:paraId="6EE8D9A3">
            <w:pPr>
              <w:pStyle w:val="557"/>
              <w:rPr>
                <w:color w:val="FF0000"/>
              </w:rPr>
            </w:pPr>
            <w:r>
              <w:t>120</w:t>
            </w:r>
          </w:p>
        </w:tc>
        <w:tc>
          <w:tcPr>
            <w:tcW w:w="709" w:type="dxa"/>
            <w:vAlign w:val="center"/>
          </w:tcPr>
          <w:p w14:paraId="75F23E4B">
            <w:pPr>
              <w:pStyle w:val="557"/>
              <w:rPr>
                <w:color w:val="FF0000"/>
              </w:rPr>
            </w:pPr>
            <w:r>
              <w:rPr>
                <w:rFonts w:hint="eastAsia"/>
              </w:rPr>
              <w:t>39（40</w:t>
            </w:r>
            <w:r>
              <w:t>m排气筒）</w:t>
            </w:r>
          </w:p>
        </w:tc>
        <w:tc>
          <w:tcPr>
            <w:tcW w:w="2471" w:type="dxa"/>
            <w:vAlign w:val="center"/>
          </w:tcPr>
          <w:p w14:paraId="694CBBA7">
            <w:pPr>
              <w:pStyle w:val="557"/>
              <w:rPr>
                <w:color w:val="FF0000"/>
              </w:rPr>
            </w:pPr>
            <w:r>
              <w:t>《大气污染物综合排放标准》（GB16297-1996）表2</w:t>
            </w:r>
            <w:r>
              <w:rPr>
                <w:color w:val="FF0000"/>
              </w:rPr>
              <w:t xml:space="preserve"> </w:t>
            </w:r>
          </w:p>
        </w:tc>
      </w:tr>
      <w:tr w14:paraId="1850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49AC468">
            <w:pPr>
              <w:rPr>
                <w:rFonts w:ascii="Times New Roman" w:hAnsi="Times New Roman" w:cs="Times New Roman"/>
                <w:color w:val="FF0000"/>
                <w:sz w:val="18"/>
                <w:szCs w:val="18"/>
              </w:rPr>
            </w:pPr>
          </w:p>
        </w:tc>
        <w:tc>
          <w:tcPr>
            <w:tcW w:w="1165" w:type="dxa"/>
            <w:vMerge w:val="continue"/>
            <w:vAlign w:val="center"/>
          </w:tcPr>
          <w:p w14:paraId="706DB9A6">
            <w:pPr>
              <w:jc w:val="cente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3C77F67D">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6137E38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氨</w:t>
            </w:r>
          </w:p>
        </w:tc>
        <w:tc>
          <w:tcPr>
            <w:tcW w:w="633" w:type="dxa"/>
            <w:vMerge w:val="continue"/>
            <w:vAlign w:val="center"/>
          </w:tcPr>
          <w:p w14:paraId="38200B15">
            <w:pPr>
              <w:jc w:val="center"/>
              <w:rPr>
                <w:rFonts w:ascii="Times New Roman" w:hAnsi="Times New Roman" w:cs="Times New Roman"/>
                <w:color w:val="FF0000"/>
                <w:sz w:val="18"/>
                <w:szCs w:val="18"/>
              </w:rPr>
            </w:pPr>
          </w:p>
        </w:tc>
        <w:tc>
          <w:tcPr>
            <w:tcW w:w="1684" w:type="dxa"/>
            <w:vMerge w:val="continue"/>
            <w:vAlign w:val="center"/>
          </w:tcPr>
          <w:p w14:paraId="4055ED16">
            <w:pPr>
              <w:jc w:val="center"/>
              <w:rPr>
                <w:rFonts w:ascii="Times New Roman" w:hAnsi="Times New Roman" w:cs="Times New Roman"/>
                <w:color w:val="FF0000"/>
                <w:sz w:val="18"/>
                <w:szCs w:val="18"/>
              </w:rPr>
            </w:pPr>
          </w:p>
        </w:tc>
        <w:tc>
          <w:tcPr>
            <w:tcW w:w="784" w:type="dxa"/>
            <w:noWrap/>
            <w:vAlign w:val="center"/>
          </w:tcPr>
          <w:p w14:paraId="3B753145">
            <w:pPr>
              <w:jc w:val="center"/>
              <w:rPr>
                <w:rFonts w:ascii="Times New Roman" w:hAnsi="Times New Roman" w:eastAsia="等线" w:cs="Times New Roman"/>
                <w:color w:val="FF0000"/>
                <w:sz w:val="18"/>
                <w:szCs w:val="18"/>
              </w:rPr>
            </w:pPr>
            <w:r>
              <w:rPr>
                <w:rFonts w:ascii="Times New Roman" w:hAnsi="Times New Roman" w:cs="Times New Roman"/>
                <w:sz w:val="18"/>
                <w:szCs w:val="18"/>
              </w:rPr>
              <w:t>1.52</w:t>
            </w:r>
          </w:p>
        </w:tc>
        <w:tc>
          <w:tcPr>
            <w:tcW w:w="1302" w:type="dxa"/>
            <w:noWrap/>
            <w:vAlign w:val="center"/>
          </w:tcPr>
          <w:p w14:paraId="19EFFA76">
            <w:pPr>
              <w:jc w:val="center"/>
              <w:rPr>
                <w:rFonts w:ascii="Times New Roman" w:hAnsi="Times New Roman" w:eastAsia="等线" w:cs="Times New Roman"/>
                <w:color w:val="FF0000"/>
                <w:sz w:val="18"/>
                <w:szCs w:val="18"/>
              </w:rPr>
            </w:pPr>
            <w:r>
              <w:rPr>
                <w:rFonts w:ascii="Times New Roman" w:hAnsi="Times New Roman" w:cs="Times New Roman"/>
                <w:sz w:val="18"/>
                <w:szCs w:val="18"/>
              </w:rPr>
              <w:t>0.49</w:t>
            </w:r>
          </w:p>
        </w:tc>
        <w:tc>
          <w:tcPr>
            <w:tcW w:w="907" w:type="dxa"/>
            <w:noWrap/>
            <w:vAlign w:val="center"/>
          </w:tcPr>
          <w:p w14:paraId="266844E7">
            <w:pPr>
              <w:jc w:val="center"/>
              <w:rPr>
                <w:rFonts w:ascii="Times New Roman" w:hAnsi="Times New Roman" w:eastAsia="等线" w:cs="Times New Roman"/>
                <w:color w:val="FF0000"/>
                <w:sz w:val="18"/>
                <w:szCs w:val="18"/>
              </w:rPr>
            </w:pPr>
            <w:r>
              <w:rPr>
                <w:rFonts w:ascii="Times New Roman" w:hAnsi="Times New Roman" w:cs="Times New Roman"/>
                <w:sz w:val="18"/>
                <w:szCs w:val="18"/>
              </w:rPr>
              <w:t>3.94</w:t>
            </w:r>
          </w:p>
        </w:tc>
        <w:tc>
          <w:tcPr>
            <w:tcW w:w="692" w:type="dxa"/>
            <w:vAlign w:val="center"/>
          </w:tcPr>
          <w:p w14:paraId="09282910">
            <w:pPr>
              <w:pStyle w:val="557"/>
              <w:rPr>
                <w:color w:val="FF0000"/>
              </w:rPr>
            </w:pPr>
            <w:r>
              <w:t>/</w:t>
            </w:r>
          </w:p>
        </w:tc>
        <w:tc>
          <w:tcPr>
            <w:tcW w:w="709" w:type="dxa"/>
            <w:vAlign w:val="center"/>
          </w:tcPr>
          <w:p w14:paraId="64BC07CD">
            <w:pPr>
              <w:pStyle w:val="557"/>
              <w:rPr>
                <w:color w:val="FF0000"/>
              </w:rPr>
            </w:pPr>
            <w:r>
              <w:rPr>
                <w:rFonts w:hint="eastAsia"/>
              </w:rPr>
              <w:t>35</w:t>
            </w:r>
            <w:r>
              <w:t>（</w:t>
            </w:r>
            <w:r>
              <w:rPr>
                <w:rFonts w:hint="eastAsia"/>
              </w:rPr>
              <w:t>40</w:t>
            </w:r>
            <w:r>
              <w:t>m排气筒）</w:t>
            </w:r>
          </w:p>
        </w:tc>
        <w:tc>
          <w:tcPr>
            <w:tcW w:w="2471" w:type="dxa"/>
            <w:vAlign w:val="center"/>
          </w:tcPr>
          <w:p w14:paraId="1C843E22">
            <w:pPr>
              <w:pStyle w:val="557"/>
              <w:rPr>
                <w:color w:val="FF0000"/>
              </w:rPr>
            </w:pPr>
            <w:r>
              <w:t>《</w:t>
            </w:r>
            <w:r>
              <w:rPr>
                <w:szCs w:val="21"/>
              </w:rPr>
              <w:t xml:space="preserve">恶臭污染物排放标准》（GB14554-93）表2 </w:t>
            </w:r>
          </w:p>
        </w:tc>
      </w:tr>
      <w:tr w14:paraId="1415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E5CCCCC">
            <w:pPr>
              <w:rPr>
                <w:rFonts w:ascii="Times New Roman" w:hAnsi="Times New Roman" w:cs="Times New Roman"/>
                <w:color w:val="FF0000"/>
                <w:sz w:val="18"/>
                <w:szCs w:val="18"/>
              </w:rPr>
            </w:pPr>
          </w:p>
        </w:tc>
        <w:tc>
          <w:tcPr>
            <w:tcW w:w="1165" w:type="dxa"/>
            <w:vMerge w:val="continue"/>
            <w:vAlign w:val="center"/>
          </w:tcPr>
          <w:p w14:paraId="292986FA">
            <w:pPr>
              <w:jc w:val="cente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392BE8A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1#冷却废气</w:t>
            </w:r>
          </w:p>
        </w:tc>
        <w:tc>
          <w:tcPr>
            <w:tcW w:w="1227" w:type="dxa"/>
            <w:vAlign w:val="center"/>
          </w:tcPr>
          <w:p w14:paraId="64885116">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Align w:val="center"/>
          </w:tcPr>
          <w:p w14:paraId="5C9BA8B5">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5AA4214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旋风除尘器+布袋除尘器+15m排气筒</w:t>
            </w:r>
          </w:p>
        </w:tc>
        <w:tc>
          <w:tcPr>
            <w:tcW w:w="784" w:type="dxa"/>
            <w:noWrap/>
            <w:vAlign w:val="center"/>
          </w:tcPr>
          <w:p w14:paraId="659DDF2F">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0.75</w:t>
            </w:r>
          </w:p>
        </w:tc>
        <w:tc>
          <w:tcPr>
            <w:tcW w:w="1302" w:type="dxa"/>
            <w:noWrap/>
            <w:vAlign w:val="center"/>
          </w:tcPr>
          <w:p w14:paraId="7487FCF7">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0.0375</w:t>
            </w:r>
          </w:p>
        </w:tc>
        <w:tc>
          <w:tcPr>
            <w:tcW w:w="907" w:type="dxa"/>
            <w:noWrap/>
            <w:vAlign w:val="center"/>
          </w:tcPr>
          <w:p w14:paraId="20008957">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0.3</w:t>
            </w:r>
          </w:p>
        </w:tc>
        <w:tc>
          <w:tcPr>
            <w:tcW w:w="692" w:type="dxa"/>
            <w:vAlign w:val="center"/>
          </w:tcPr>
          <w:p w14:paraId="4FA1A0F3">
            <w:pPr>
              <w:pStyle w:val="557"/>
              <w:rPr>
                <w:color w:val="FF0000"/>
              </w:rPr>
            </w:pPr>
            <w:r>
              <w:t>120</w:t>
            </w:r>
          </w:p>
        </w:tc>
        <w:tc>
          <w:tcPr>
            <w:tcW w:w="709" w:type="dxa"/>
            <w:vAlign w:val="center"/>
          </w:tcPr>
          <w:p w14:paraId="06A87C06">
            <w:pPr>
              <w:pStyle w:val="557"/>
              <w:rPr>
                <w:color w:val="FF0000"/>
              </w:rPr>
            </w:pPr>
            <w:r>
              <w:t>3.5（15m排气筒）</w:t>
            </w:r>
          </w:p>
        </w:tc>
        <w:tc>
          <w:tcPr>
            <w:tcW w:w="2471" w:type="dxa"/>
            <w:vMerge w:val="restart"/>
            <w:vAlign w:val="center"/>
          </w:tcPr>
          <w:p w14:paraId="08AA9B52">
            <w:pPr>
              <w:pStyle w:val="557"/>
              <w:rPr>
                <w:color w:val="FF0000"/>
              </w:rPr>
            </w:pPr>
            <w:r>
              <w:t>《大气污染物综合排放标准》（GB16297-1996）表2</w:t>
            </w:r>
            <w:r>
              <w:rPr>
                <w:color w:val="FF0000"/>
              </w:rPr>
              <w:t xml:space="preserve"> </w:t>
            </w:r>
          </w:p>
        </w:tc>
      </w:tr>
      <w:tr w14:paraId="0007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E8090DF">
            <w:pPr>
              <w:rPr>
                <w:rFonts w:ascii="Times New Roman" w:hAnsi="Times New Roman" w:cs="Times New Roman"/>
                <w:color w:val="FF0000"/>
                <w:sz w:val="18"/>
                <w:szCs w:val="18"/>
              </w:rPr>
            </w:pPr>
          </w:p>
        </w:tc>
        <w:tc>
          <w:tcPr>
            <w:tcW w:w="1165" w:type="dxa"/>
            <w:vMerge w:val="continue"/>
            <w:vAlign w:val="center"/>
          </w:tcPr>
          <w:p w14:paraId="75427BE6">
            <w:pPr>
              <w:jc w:val="cente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12980BF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2#冷却废气</w:t>
            </w:r>
          </w:p>
        </w:tc>
        <w:tc>
          <w:tcPr>
            <w:tcW w:w="1227" w:type="dxa"/>
            <w:vAlign w:val="center"/>
          </w:tcPr>
          <w:p w14:paraId="6E0EA085">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Align w:val="center"/>
          </w:tcPr>
          <w:p w14:paraId="42310035">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6CE1CEB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旋风除尘器+布袋除尘器+15m排气筒</w:t>
            </w:r>
          </w:p>
        </w:tc>
        <w:tc>
          <w:tcPr>
            <w:tcW w:w="784" w:type="dxa"/>
            <w:noWrap/>
            <w:vAlign w:val="center"/>
          </w:tcPr>
          <w:p w14:paraId="2DC3232F">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0.75</w:t>
            </w:r>
          </w:p>
        </w:tc>
        <w:tc>
          <w:tcPr>
            <w:tcW w:w="1302" w:type="dxa"/>
            <w:noWrap/>
            <w:vAlign w:val="center"/>
          </w:tcPr>
          <w:p w14:paraId="3229959F">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0.0375</w:t>
            </w:r>
          </w:p>
        </w:tc>
        <w:tc>
          <w:tcPr>
            <w:tcW w:w="907" w:type="dxa"/>
            <w:noWrap/>
            <w:vAlign w:val="center"/>
          </w:tcPr>
          <w:p w14:paraId="005DBC8C">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0.3</w:t>
            </w:r>
          </w:p>
        </w:tc>
        <w:tc>
          <w:tcPr>
            <w:tcW w:w="692" w:type="dxa"/>
            <w:vAlign w:val="center"/>
          </w:tcPr>
          <w:p w14:paraId="2716FAC9">
            <w:pPr>
              <w:pStyle w:val="557"/>
              <w:rPr>
                <w:color w:val="FF0000"/>
              </w:rPr>
            </w:pPr>
            <w:r>
              <w:t>120</w:t>
            </w:r>
          </w:p>
        </w:tc>
        <w:tc>
          <w:tcPr>
            <w:tcW w:w="709" w:type="dxa"/>
            <w:vAlign w:val="center"/>
          </w:tcPr>
          <w:p w14:paraId="379FC624">
            <w:pPr>
              <w:pStyle w:val="557"/>
              <w:rPr>
                <w:color w:val="FF0000"/>
              </w:rPr>
            </w:pPr>
            <w:r>
              <w:t>3.5（15m排气筒）</w:t>
            </w:r>
          </w:p>
        </w:tc>
        <w:tc>
          <w:tcPr>
            <w:tcW w:w="2471" w:type="dxa"/>
            <w:vMerge w:val="continue"/>
            <w:vAlign w:val="center"/>
          </w:tcPr>
          <w:p w14:paraId="07812222">
            <w:pPr>
              <w:jc w:val="center"/>
              <w:rPr>
                <w:rFonts w:ascii="Times New Roman" w:hAnsi="Times New Roman" w:cs="Times New Roman"/>
                <w:color w:val="FF0000"/>
                <w:sz w:val="18"/>
                <w:szCs w:val="18"/>
              </w:rPr>
            </w:pPr>
          </w:p>
        </w:tc>
      </w:tr>
      <w:tr w14:paraId="7B59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B23C022">
            <w:pPr>
              <w:rPr>
                <w:rFonts w:ascii="Times New Roman" w:hAnsi="Times New Roman" w:cs="Times New Roman"/>
                <w:color w:val="FF0000"/>
                <w:sz w:val="18"/>
                <w:szCs w:val="18"/>
              </w:rPr>
            </w:pPr>
          </w:p>
        </w:tc>
        <w:tc>
          <w:tcPr>
            <w:tcW w:w="1165" w:type="dxa"/>
            <w:vMerge w:val="continue"/>
            <w:vAlign w:val="center"/>
          </w:tcPr>
          <w:p w14:paraId="158E96FF">
            <w:pPr>
              <w:jc w:val="cente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1A43700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有机缓释肥装置加热炉废气</w:t>
            </w:r>
          </w:p>
        </w:tc>
        <w:tc>
          <w:tcPr>
            <w:tcW w:w="1227" w:type="dxa"/>
            <w:vAlign w:val="center"/>
          </w:tcPr>
          <w:p w14:paraId="282EA480">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NOx</w:t>
            </w:r>
          </w:p>
        </w:tc>
        <w:tc>
          <w:tcPr>
            <w:tcW w:w="633" w:type="dxa"/>
            <w:vMerge w:val="restart"/>
            <w:vAlign w:val="center"/>
          </w:tcPr>
          <w:p w14:paraId="20698D0E">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0C5521AA">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低氮燃烧+30m</w:t>
            </w:r>
          </w:p>
          <w:p w14:paraId="38F9267D">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排气筒</w:t>
            </w:r>
          </w:p>
        </w:tc>
        <w:tc>
          <w:tcPr>
            <w:tcW w:w="784" w:type="dxa"/>
            <w:noWrap/>
            <w:vAlign w:val="center"/>
          </w:tcPr>
          <w:p w14:paraId="494657EF">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100</w:t>
            </w:r>
          </w:p>
        </w:tc>
        <w:tc>
          <w:tcPr>
            <w:tcW w:w="1302" w:type="dxa"/>
            <w:noWrap/>
            <w:vAlign w:val="center"/>
          </w:tcPr>
          <w:p w14:paraId="2AA85374">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0.81</w:t>
            </w:r>
          </w:p>
        </w:tc>
        <w:tc>
          <w:tcPr>
            <w:tcW w:w="907" w:type="dxa"/>
            <w:noWrap/>
            <w:vAlign w:val="center"/>
          </w:tcPr>
          <w:p w14:paraId="169644A3">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6.45</w:t>
            </w:r>
          </w:p>
        </w:tc>
        <w:tc>
          <w:tcPr>
            <w:tcW w:w="692" w:type="dxa"/>
            <w:vAlign w:val="center"/>
          </w:tcPr>
          <w:p w14:paraId="1DD3DD3C">
            <w:pPr>
              <w:pStyle w:val="557"/>
              <w:rPr>
                <w:color w:val="FF0000"/>
              </w:rPr>
            </w:pPr>
            <w:r>
              <w:rPr>
                <w:rFonts w:hint="eastAsia"/>
              </w:rPr>
              <w:t>20</w:t>
            </w:r>
          </w:p>
        </w:tc>
        <w:tc>
          <w:tcPr>
            <w:tcW w:w="709" w:type="dxa"/>
            <w:vAlign w:val="center"/>
          </w:tcPr>
          <w:p w14:paraId="63DB0D3A">
            <w:pPr>
              <w:pStyle w:val="557"/>
              <w:rPr>
                <w:color w:val="FF0000"/>
              </w:rPr>
            </w:pPr>
            <w:r>
              <w:rPr>
                <w:rFonts w:hint="eastAsia"/>
              </w:rPr>
              <w:t>/</w:t>
            </w:r>
          </w:p>
        </w:tc>
        <w:tc>
          <w:tcPr>
            <w:tcW w:w="2471" w:type="dxa"/>
            <w:vMerge w:val="restart"/>
            <w:vAlign w:val="center"/>
          </w:tcPr>
          <w:p w14:paraId="65976061">
            <w:pPr>
              <w:pStyle w:val="557"/>
              <w:rPr>
                <w:color w:val="FF0000"/>
              </w:rPr>
            </w:pPr>
            <w:r>
              <w:t>《石油化学工业污染物排放标准》（GB31571-2015</w:t>
            </w:r>
            <w:r>
              <w:rPr>
                <w:rFonts w:hint="eastAsia"/>
              </w:rPr>
              <w:t>，</w:t>
            </w:r>
            <w:r>
              <w:t>含2024年修改单）表4</w:t>
            </w:r>
            <w:r>
              <w:rPr>
                <w:color w:val="FF0000"/>
              </w:rPr>
              <w:t xml:space="preserve"> </w:t>
            </w:r>
          </w:p>
        </w:tc>
      </w:tr>
      <w:tr w14:paraId="6AA3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F181245">
            <w:pPr>
              <w:rPr>
                <w:rFonts w:ascii="Times New Roman" w:hAnsi="Times New Roman" w:cs="Times New Roman"/>
                <w:color w:val="FF0000"/>
                <w:sz w:val="18"/>
                <w:szCs w:val="18"/>
              </w:rPr>
            </w:pPr>
          </w:p>
        </w:tc>
        <w:tc>
          <w:tcPr>
            <w:tcW w:w="1165" w:type="dxa"/>
            <w:vMerge w:val="continue"/>
            <w:vAlign w:val="center"/>
          </w:tcPr>
          <w:p w14:paraId="4981A447">
            <w:pPr>
              <w:jc w:val="center"/>
              <w:rPr>
                <w:rFonts w:ascii="Times New Roman" w:hAnsi="Times New Roman" w:cs="Times New Roman"/>
                <w:color w:val="FF0000"/>
                <w:sz w:val="18"/>
                <w:szCs w:val="18"/>
              </w:rPr>
            </w:pPr>
          </w:p>
        </w:tc>
        <w:tc>
          <w:tcPr>
            <w:tcW w:w="1746" w:type="dxa"/>
            <w:vMerge w:val="continue"/>
            <w:vAlign w:val="center"/>
          </w:tcPr>
          <w:p w14:paraId="0D880F03">
            <w:pPr>
              <w:jc w:val="center"/>
              <w:rPr>
                <w:rFonts w:ascii="Times New Roman" w:hAnsi="Times New Roman" w:cs="Times New Roman"/>
                <w:color w:val="FF0000"/>
                <w:sz w:val="18"/>
                <w:szCs w:val="18"/>
              </w:rPr>
            </w:pPr>
          </w:p>
        </w:tc>
        <w:tc>
          <w:tcPr>
            <w:tcW w:w="1227" w:type="dxa"/>
            <w:vAlign w:val="center"/>
          </w:tcPr>
          <w:p w14:paraId="37B4AA0D">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颗粒物</w:t>
            </w:r>
          </w:p>
        </w:tc>
        <w:tc>
          <w:tcPr>
            <w:tcW w:w="633" w:type="dxa"/>
            <w:vMerge w:val="continue"/>
            <w:vAlign w:val="center"/>
          </w:tcPr>
          <w:p w14:paraId="28EC84E6">
            <w:pPr>
              <w:jc w:val="center"/>
              <w:rPr>
                <w:rFonts w:ascii="Times New Roman" w:hAnsi="Times New Roman" w:cs="Times New Roman"/>
                <w:color w:val="FF0000"/>
                <w:sz w:val="18"/>
                <w:szCs w:val="18"/>
              </w:rPr>
            </w:pPr>
          </w:p>
        </w:tc>
        <w:tc>
          <w:tcPr>
            <w:tcW w:w="1684" w:type="dxa"/>
            <w:vMerge w:val="continue"/>
            <w:vAlign w:val="center"/>
          </w:tcPr>
          <w:p w14:paraId="14B32CAC">
            <w:pPr>
              <w:jc w:val="center"/>
              <w:rPr>
                <w:rFonts w:ascii="Times New Roman" w:hAnsi="Times New Roman" w:cs="Times New Roman"/>
                <w:color w:val="FF0000"/>
                <w:sz w:val="18"/>
                <w:szCs w:val="18"/>
              </w:rPr>
            </w:pPr>
          </w:p>
        </w:tc>
        <w:tc>
          <w:tcPr>
            <w:tcW w:w="784" w:type="dxa"/>
            <w:noWrap/>
            <w:vAlign w:val="center"/>
          </w:tcPr>
          <w:p w14:paraId="38C5700B">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49.22</w:t>
            </w:r>
          </w:p>
        </w:tc>
        <w:tc>
          <w:tcPr>
            <w:tcW w:w="1302" w:type="dxa"/>
            <w:noWrap/>
            <w:vAlign w:val="center"/>
          </w:tcPr>
          <w:p w14:paraId="09681A42">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0.4</w:t>
            </w:r>
          </w:p>
        </w:tc>
        <w:tc>
          <w:tcPr>
            <w:tcW w:w="907" w:type="dxa"/>
            <w:noWrap/>
            <w:vAlign w:val="center"/>
          </w:tcPr>
          <w:p w14:paraId="79C41BA8">
            <w:pPr>
              <w:jc w:val="center"/>
              <w:rPr>
                <w:rFonts w:ascii="Times New Roman" w:hAnsi="Times New Roman" w:eastAsia="等线" w:cs="Times New Roman"/>
                <w:color w:val="FF0000"/>
                <w:sz w:val="18"/>
                <w:szCs w:val="18"/>
              </w:rPr>
            </w:pPr>
            <w:r>
              <w:rPr>
                <w:rFonts w:ascii="Times New Roman" w:hAnsi="Times New Roman" w:cs="Times New Roman"/>
                <w:color w:val="000000"/>
                <w:sz w:val="18"/>
                <w:szCs w:val="18"/>
              </w:rPr>
              <w:t>3.17</w:t>
            </w:r>
          </w:p>
        </w:tc>
        <w:tc>
          <w:tcPr>
            <w:tcW w:w="692" w:type="dxa"/>
            <w:vAlign w:val="center"/>
          </w:tcPr>
          <w:p w14:paraId="7365F962">
            <w:pPr>
              <w:pStyle w:val="557"/>
              <w:rPr>
                <w:color w:val="FF0000"/>
              </w:rPr>
            </w:pPr>
            <w:r>
              <w:rPr>
                <w:rFonts w:hint="eastAsia"/>
              </w:rPr>
              <w:t>150</w:t>
            </w:r>
          </w:p>
        </w:tc>
        <w:tc>
          <w:tcPr>
            <w:tcW w:w="709" w:type="dxa"/>
            <w:vAlign w:val="center"/>
          </w:tcPr>
          <w:p w14:paraId="2A1D2076">
            <w:pPr>
              <w:pStyle w:val="557"/>
              <w:rPr>
                <w:color w:val="FF0000"/>
              </w:rPr>
            </w:pPr>
            <w:r>
              <w:rPr>
                <w:rFonts w:hint="eastAsia"/>
              </w:rPr>
              <w:t>/</w:t>
            </w:r>
          </w:p>
        </w:tc>
        <w:tc>
          <w:tcPr>
            <w:tcW w:w="2471" w:type="dxa"/>
            <w:vMerge w:val="continue"/>
            <w:vAlign w:val="center"/>
          </w:tcPr>
          <w:p w14:paraId="3A730C16">
            <w:pPr>
              <w:jc w:val="center"/>
              <w:rPr>
                <w:rFonts w:ascii="Times New Roman" w:hAnsi="Times New Roman" w:cs="Times New Roman"/>
                <w:color w:val="FF0000"/>
                <w:sz w:val="18"/>
                <w:szCs w:val="18"/>
              </w:rPr>
            </w:pPr>
          </w:p>
        </w:tc>
      </w:tr>
      <w:tr w14:paraId="769E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A4621C2">
            <w:pPr>
              <w:rPr>
                <w:rFonts w:ascii="Times New Roman" w:hAnsi="Times New Roman" w:cs="Times New Roman"/>
                <w:color w:val="FF0000"/>
                <w:sz w:val="18"/>
                <w:szCs w:val="18"/>
              </w:rPr>
            </w:pPr>
          </w:p>
        </w:tc>
        <w:tc>
          <w:tcPr>
            <w:tcW w:w="1165" w:type="dxa"/>
            <w:vMerge w:val="restart"/>
            <w:vAlign w:val="center"/>
          </w:tcPr>
          <w:p w14:paraId="0F89C1A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公用工程</w:t>
            </w:r>
          </w:p>
        </w:tc>
        <w:tc>
          <w:tcPr>
            <w:tcW w:w="1746" w:type="dxa"/>
            <w:vMerge w:val="restart"/>
            <w:vAlign w:val="center"/>
          </w:tcPr>
          <w:p w14:paraId="32D7FE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污水处理站</w:t>
            </w:r>
          </w:p>
        </w:tc>
        <w:tc>
          <w:tcPr>
            <w:tcW w:w="1227" w:type="dxa"/>
            <w:vAlign w:val="center"/>
          </w:tcPr>
          <w:p w14:paraId="234BBA5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Merge w:val="restart"/>
            <w:vAlign w:val="center"/>
          </w:tcPr>
          <w:p w14:paraId="2B3756E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050E56A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碱洗+生物除臭+15m排气筒</w:t>
            </w:r>
          </w:p>
        </w:tc>
        <w:tc>
          <w:tcPr>
            <w:tcW w:w="784" w:type="dxa"/>
            <w:vAlign w:val="center"/>
          </w:tcPr>
          <w:p w14:paraId="121E2F7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c>
          <w:tcPr>
            <w:tcW w:w="1302" w:type="dxa"/>
            <w:vAlign w:val="center"/>
          </w:tcPr>
          <w:p w14:paraId="2B108F7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0.56</w:t>
            </w:r>
          </w:p>
        </w:tc>
        <w:tc>
          <w:tcPr>
            <w:tcW w:w="907" w:type="dxa"/>
            <w:vAlign w:val="center"/>
          </w:tcPr>
          <w:p w14:paraId="355BFBB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4.48</w:t>
            </w:r>
          </w:p>
        </w:tc>
        <w:tc>
          <w:tcPr>
            <w:tcW w:w="692" w:type="dxa"/>
            <w:vAlign w:val="center"/>
          </w:tcPr>
          <w:p w14:paraId="24D4FD5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w:t>
            </w:r>
          </w:p>
        </w:tc>
        <w:tc>
          <w:tcPr>
            <w:tcW w:w="709" w:type="dxa"/>
            <w:vAlign w:val="center"/>
          </w:tcPr>
          <w:p w14:paraId="1A06D1B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12A8F3D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w:t>
            </w:r>
            <w:r>
              <w:rPr>
                <w:rFonts w:hint="eastAsia" w:ascii="Times New Roman" w:hAnsi="Times New Roman" w:cs="Times New Roman"/>
                <w:color w:val="000000" w:themeColor="text1"/>
                <w:sz w:val="18"/>
                <w:szCs w:val="18"/>
                <w14:textFill>
                  <w14:solidFill>
                    <w14:schemeClr w14:val="tx1"/>
                  </w14:solidFill>
                </w14:textFill>
              </w:rPr>
              <w:t>（GB31571-2015，含2024年修改单）</w:t>
            </w:r>
            <w:r>
              <w:rPr>
                <w:rFonts w:ascii="Times New Roman" w:hAnsi="Times New Roman" w:cs="Times New Roman"/>
                <w:color w:val="000000" w:themeColor="text1"/>
                <w:sz w:val="18"/>
                <w:szCs w:val="18"/>
                <w14:textFill>
                  <w14:solidFill>
                    <w14:schemeClr w14:val="tx1"/>
                  </w14:solidFill>
                </w14:textFill>
              </w:rPr>
              <w:t>表4</w:t>
            </w:r>
          </w:p>
        </w:tc>
      </w:tr>
      <w:tr w14:paraId="718D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E93035F">
            <w:pPr>
              <w:rPr>
                <w:rFonts w:ascii="Times New Roman" w:hAnsi="Times New Roman" w:cs="Times New Roman"/>
                <w:color w:val="FF0000"/>
                <w:sz w:val="18"/>
                <w:szCs w:val="18"/>
              </w:rPr>
            </w:pPr>
          </w:p>
        </w:tc>
        <w:tc>
          <w:tcPr>
            <w:tcW w:w="1165" w:type="dxa"/>
            <w:vMerge w:val="continue"/>
            <w:vAlign w:val="center"/>
          </w:tcPr>
          <w:p w14:paraId="58F52542">
            <w:pPr>
              <w:rPr>
                <w:rFonts w:ascii="Times New Roman" w:hAnsi="Times New Roman" w:cs="Times New Roman"/>
                <w:color w:val="FF0000"/>
                <w:sz w:val="18"/>
                <w:szCs w:val="18"/>
              </w:rPr>
            </w:pPr>
          </w:p>
        </w:tc>
        <w:tc>
          <w:tcPr>
            <w:tcW w:w="1746" w:type="dxa"/>
            <w:vMerge w:val="continue"/>
            <w:vAlign w:val="center"/>
          </w:tcPr>
          <w:p w14:paraId="4FA33555">
            <w:pPr>
              <w:rPr>
                <w:rFonts w:ascii="Times New Roman" w:hAnsi="Times New Roman" w:cs="Times New Roman"/>
                <w:color w:val="FF0000"/>
                <w:sz w:val="18"/>
                <w:szCs w:val="18"/>
              </w:rPr>
            </w:pPr>
          </w:p>
        </w:tc>
        <w:tc>
          <w:tcPr>
            <w:tcW w:w="1227" w:type="dxa"/>
            <w:vAlign w:val="center"/>
          </w:tcPr>
          <w:p w14:paraId="4341EE5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Merge w:val="continue"/>
            <w:vAlign w:val="center"/>
          </w:tcPr>
          <w:p w14:paraId="53619875">
            <w:pP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6222AF52">
            <w:pPr>
              <w:rPr>
                <w:rFonts w:ascii="Times New Roman" w:hAnsi="Times New Roman" w:cs="Times New Roman"/>
                <w:color w:val="000000" w:themeColor="text1"/>
                <w:sz w:val="18"/>
                <w:szCs w:val="18"/>
                <w14:textFill>
                  <w14:solidFill>
                    <w14:schemeClr w14:val="tx1"/>
                  </w14:solidFill>
                </w14:textFill>
              </w:rPr>
            </w:pPr>
          </w:p>
        </w:tc>
        <w:tc>
          <w:tcPr>
            <w:tcW w:w="784" w:type="dxa"/>
            <w:vAlign w:val="center"/>
          </w:tcPr>
          <w:p w14:paraId="67ACCF6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0.9</w:t>
            </w:r>
          </w:p>
        </w:tc>
        <w:tc>
          <w:tcPr>
            <w:tcW w:w="1302" w:type="dxa"/>
            <w:vAlign w:val="center"/>
          </w:tcPr>
          <w:p w14:paraId="6B9E855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0.018</w:t>
            </w:r>
          </w:p>
        </w:tc>
        <w:tc>
          <w:tcPr>
            <w:tcW w:w="907" w:type="dxa"/>
            <w:vAlign w:val="center"/>
          </w:tcPr>
          <w:p w14:paraId="3B6EB81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0.144</w:t>
            </w:r>
          </w:p>
        </w:tc>
        <w:tc>
          <w:tcPr>
            <w:tcW w:w="692" w:type="dxa"/>
            <w:vAlign w:val="center"/>
          </w:tcPr>
          <w:p w14:paraId="219947D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1066A64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4.9</w:t>
            </w:r>
          </w:p>
        </w:tc>
        <w:tc>
          <w:tcPr>
            <w:tcW w:w="2471" w:type="dxa"/>
            <w:vMerge w:val="restart"/>
            <w:vAlign w:val="center"/>
          </w:tcPr>
          <w:p w14:paraId="4D05C61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《恶臭污染物排放标准》（GB14554-93）表2</w:t>
            </w:r>
          </w:p>
        </w:tc>
      </w:tr>
      <w:tr w14:paraId="6BC0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E3B6D29">
            <w:pPr>
              <w:rPr>
                <w:rFonts w:ascii="Times New Roman" w:hAnsi="Times New Roman" w:cs="Times New Roman"/>
                <w:color w:val="FF0000"/>
                <w:sz w:val="18"/>
                <w:szCs w:val="18"/>
              </w:rPr>
            </w:pPr>
          </w:p>
        </w:tc>
        <w:tc>
          <w:tcPr>
            <w:tcW w:w="1165" w:type="dxa"/>
            <w:vMerge w:val="continue"/>
            <w:vAlign w:val="center"/>
          </w:tcPr>
          <w:p w14:paraId="58D796D5">
            <w:pPr>
              <w:rPr>
                <w:rFonts w:ascii="Times New Roman" w:hAnsi="Times New Roman" w:cs="Times New Roman"/>
                <w:color w:val="FF0000"/>
                <w:sz w:val="18"/>
                <w:szCs w:val="18"/>
              </w:rPr>
            </w:pPr>
          </w:p>
        </w:tc>
        <w:tc>
          <w:tcPr>
            <w:tcW w:w="1746" w:type="dxa"/>
            <w:vMerge w:val="continue"/>
            <w:vAlign w:val="center"/>
          </w:tcPr>
          <w:p w14:paraId="61C25A85">
            <w:pPr>
              <w:rPr>
                <w:rFonts w:ascii="Times New Roman" w:hAnsi="Times New Roman" w:cs="Times New Roman"/>
                <w:color w:val="FF0000"/>
                <w:sz w:val="18"/>
                <w:szCs w:val="18"/>
              </w:rPr>
            </w:pPr>
          </w:p>
        </w:tc>
        <w:tc>
          <w:tcPr>
            <w:tcW w:w="1227" w:type="dxa"/>
            <w:vAlign w:val="center"/>
          </w:tcPr>
          <w:p w14:paraId="781784C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S</w:t>
            </w:r>
          </w:p>
        </w:tc>
        <w:tc>
          <w:tcPr>
            <w:tcW w:w="633" w:type="dxa"/>
            <w:vMerge w:val="continue"/>
            <w:vAlign w:val="center"/>
          </w:tcPr>
          <w:p w14:paraId="394E4FD7">
            <w:pP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0C59BAC2">
            <w:pPr>
              <w:rPr>
                <w:rFonts w:ascii="Times New Roman" w:hAnsi="Times New Roman" w:cs="Times New Roman"/>
                <w:color w:val="000000" w:themeColor="text1"/>
                <w:sz w:val="18"/>
                <w:szCs w:val="18"/>
                <w14:textFill>
                  <w14:solidFill>
                    <w14:schemeClr w14:val="tx1"/>
                  </w14:solidFill>
                </w14:textFill>
              </w:rPr>
            </w:pPr>
          </w:p>
        </w:tc>
        <w:tc>
          <w:tcPr>
            <w:tcW w:w="784" w:type="dxa"/>
            <w:vAlign w:val="center"/>
          </w:tcPr>
          <w:p w14:paraId="695E5B2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0.45</w:t>
            </w:r>
          </w:p>
        </w:tc>
        <w:tc>
          <w:tcPr>
            <w:tcW w:w="1302" w:type="dxa"/>
            <w:vAlign w:val="center"/>
          </w:tcPr>
          <w:p w14:paraId="63DC97C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0.009</w:t>
            </w:r>
          </w:p>
        </w:tc>
        <w:tc>
          <w:tcPr>
            <w:tcW w:w="907" w:type="dxa"/>
            <w:vAlign w:val="center"/>
          </w:tcPr>
          <w:p w14:paraId="20B688C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0.072</w:t>
            </w:r>
          </w:p>
        </w:tc>
        <w:tc>
          <w:tcPr>
            <w:tcW w:w="692" w:type="dxa"/>
            <w:vAlign w:val="center"/>
          </w:tcPr>
          <w:p w14:paraId="15A90C1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114175C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0.33</w:t>
            </w:r>
          </w:p>
        </w:tc>
        <w:tc>
          <w:tcPr>
            <w:tcW w:w="2471" w:type="dxa"/>
            <w:vMerge w:val="continue"/>
            <w:vAlign w:val="center"/>
          </w:tcPr>
          <w:p w14:paraId="174FCEE0">
            <w:pPr>
              <w:rPr>
                <w:rFonts w:ascii="Times New Roman" w:hAnsi="Times New Roman" w:cs="Times New Roman"/>
                <w:color w:val="FF0000"/>
                <w:sz w:val="18"/>
                <w:szCs w:val="18"/>
              </w:rPr>
            </w:pPr>
          </w:p>
        </w:tc>
      </w:tr>
      <w:tr w14:paraId="27DE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573BC1D">
            <w:pPr>
              <w:rPr>
                <w:rFonts w:ascii="Times New Roman" w:hAnsi="Times New Roman" w:cs="Times New Roman"/>
                <w:color w:val="FF0000"/>
                <w:sz w:val="18"/>
                <w:szCs w:val="18"/>
              </w:rPr>
            </w:pPr>
          </w:p>
        </w:tc>
        <w:tc>
          <w:tcPr>
            <w:tcW w:w="1165" w:type="dxa"/>
            <w:vMerge w:val="continue"/>
            <w:vAlign w:val="center"/>
          </w:tcPr>
          <w:p w14:paraId="04048E43">
            <w:pPr>
              <w:rPr>
                <w:rFonts w:ascii="Times New Roman" w:hAnsi="Times New Roman" w:cs="Times New Roman"/>
                <w:color w:val="FF0000"/>
                <w:sz w:val="18"/>
                <w:szCs w:val="18"/>
              </w:rPr>
            </w:pPr>
          </w:p>
        </w:tc>
        <w:tc>
          <w:tcPr>
            <w:tcW w:w="1746" w:type="dxa"/>
            <w:vMerge w:val="continue"/>
            <w:vAlign w:val="center"/>
          </w:tcPr>
          <w:p w14:paraId="3DD25F21">
            <w:pPr>
              <w:rPr>
                <w:rFonts w:ascii="Times New Roman" w:hAnsi="Times New Roman" w:cs="Times New Roman"/>
                <w:color w:val="FF0000"/>
                <w:sz w:val="18"/>
                <w:szCs w:val="18"/>
              </w:rPr>
            </w:pPr>
          </w:p>
        </w:tc>
        <w:tc>
          <w:tcPr>
            <w:tcW w:w="1227" w:type="dxa"/>
            <w:vAlign w:val="center"/>
          </w:tcPr>
          <w:p w14:paraId="4A98571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Merge w:val="restart"/>
            <w:vAlign w:val="center"/>
          </w:tcPr>
          <w:p w14:paraId="51511E7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Merge w:val="restart"/>
            <w:vAlign w:val="center"/>
          </w:tcPr>
          <w:p w14:paraId="300A754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vAlign w:val="center"/>
          </w:tcPr>
          <w:p w14:paraId="1C42DC0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vAlign w:val="center"/>
          </w:tcPr>
          <w:p w14:paraId="4C00805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0.31</w:t>
            </w:r>
          </w:p>
        </w:tc>
        <w:tc>
          <w:tcPr>
            <w:tcW w:w="907" w:type="dxa"/>
            <w:vAlign w:val="center"/>
          </w:tcPr>
          <w:p w14:paraId="4A495EF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2.48</w:t>
            </w:r>
          </w:p>
        </w:tc>
        <w:tc>
          <w:tcPr>
            <w:tcW w:w="692" w:type="dxa"/>
            <w:vAlign w:val="center"/>
          </w:tcPr>
          <w:p w14:paraId="7BCD8BF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177E5E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65F5F5A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w:t>
            </w:r>
            <w:r>
              <w:rPr>
                <w:rFonts w:hint="eastAsia" w:ascii="Times New Roman" w:hAnsi="Times New Roman" w:cs="Times New Roman"/>
                <w:color w:val="000000" w:themeColor="text1"/>
                <w:sz w:val="18"/>
                <w:szCs w:val="18"/>
                <w14:textFill>
                  <w14:solidFill>
                    <w14:schemeClr w14:val="tx1"/>
                  </w14:solidFill>
                </w14:textFill>
              </w:rPr>
              <w:t>（GB31571-2015，含2024年修改单）</w:t>
            </w:r>
            <w:r>
              <w:rPr>
                <w:rFonts w:ascii="Times New Roman" w:hAnsi="Times New Roman" w:cs="Times New Roman"/>
                <w:color w:val="000000" w:themeColor="text1"/>
                <w:sz w:val="18"/>
                <w:szCs w:val="18"/>
                <w14:textFill>
                  <w14:solidFill>
                    <w14:schemeClr w14:val="tx1"/>
                  </w14:solidFill>
                </w14:textFill>
              </w:rPr>
              <w:t>表7</w:t>
            </w:r>
          </w:p>
        </w:tc>
      </w:tr>
      <w:tr w14:paraId="303F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66BEE40">
            <w:pPr>
              <w:rPr>
                <w:rFonts w:ascii="Times New Roman" w:hAnsi="Times New Roman" w:cs="Times New Roman"/>
                <w:color w:val="FF0000"/>
                <w:sz w:val="18"/>
                <w:szCs w:val="18"/>
              </w:rPr>
            </w:pPr>
          </w:p>
        </w:tc>
        <w:tc>
          <w:tcPr>
            <w:tcW w:w="1165" w:type="dxa"/>
            <w:vMerge w:val="continue"/>
            <w:vAlign w:val="center"/>
          </w:tcPr>
          <w:p w14:paraId="459FC54C">
            <w:pPr>
              <w:rPr>
                <w:rFonts w:ascii="Times New Roman" w:hAnsi="Times New Roman" w:cs="Times New Roman"/>
                <w:color w:val="FF0000"/>
                <w:sz w:val="18"/>
                <w:szCs w:val="18"/>
              </w:rPr>
            </w:pPr>
          </w:p>
        </w:tc>
        <w:tc>
          <w:tcPr>
            <w:tcW w:w="1746" w:type="dxa"/>
            <w:vMerge w:val="continue"/>
            <w:vAlign w:val="center"/>
          </w:tcPr>
          <w:p w14:paraId="1D60C95B">
            <w:pPr>
              <w:rPr>
                <w:rFonts w:ascii="Times New Roman" w:hAnsi="Times New Roman" w:cs="Times New Roman"/>
                <w:color w:val="FF0000"/>
                <w:sz w:val="18"/>
                <w:szCs w:val="18"/>
              </w:rPr>
            </w:pPr>
          </w:p>
        </w:tc>
        <w:tc>
          <w:tcPr>
            <w:tcW w:w="1227" w:type="dxa"/>
            <w:vAlign w:val="center"/>
          </w:tcPr>
          <w:p w14:paraId="25196C3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NH</w:t>
            </w:r>
            <w:r>
              <w:rPr>
                <w:rFonts w:ascii="Times New Roman" w:hAnsi="Times New Roman" w:cs="Times New Roman"/>
                <w:color w:val="000000" w:themeColor="text1"/>
                <w:sz w:val="18"/>
                <w:szCs w:val="18"/>
                <w:vertAlign w:val="subscript"/>
                <w14:textFill>
                  <w14:solidFill>
                    <w14:schemeClr w14:val="tx1"/>
                  </w14:solidFill>
                </w14:textFill>
              </w:rPr>
              <w:t>3</w:t>
            </w:r>
          </w:p>
        </w:tc>
        <w:tc>
          <w:tcPr>
            <w:tcW w:w="633" w:type="dxa"/>
            <w:vMerge w:val="continue"/>
            <w:vAlign w:val="center"/>
          </w:tcPr>
          <w:p w14:paraId="5B5A6B9A">
            <w:pP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36DECE0F">
            <w:pPr>
              <w:rPr>
                <w:rFonts w:ascii="Times New Roman" w:hAnsi="Times New Roman" w:cs="Times New Roman"/>
                <w:color w:val="000000" w:themeColor="text1"/>
                <w:sz w:val="18"/>
                <w:szCs w:val="18"/>
                <w14:textFill>
                  <w14:solidFill>
                    <w14:schemeClr w14:val="tx1"/>
                  </w14:solidFill>
                </w14:textFill>
              </w:rPr>
            </w:pPr>
          </w:p>
        </w:tc>
        <w:tc>
          <w:tcPr>
            <w:tcW w:w="784" w:type="dxa"/>
            <w:vAlign w:val="center"/>
          </w:tcPr>
          <w:p w14:paraId="1C93EA7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vAlign w:val="center"/>
          </w:tcPr>
          <w:p w14:paraId="7197C3D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0.002</w:t>
            </w:r>
          </w:p>
        </w:tc>
        <w:tc>
          <w:tcPr>
            <w:tcW w:w="907" w:type="dxa"/>
            <w:vAlign w:val="center"/>
          </w:tcPr>
          <w:p w14:paraId="664096F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0.016</w:t>
            </w:r>
          </w:p>
        </w:tc>
        <w:tc>
          <w:tcPr>
            <w:tcW w:w="692" w:type="dxa"/>
            <w:vAlign w:val="center"/>
          </w:tcPr>
          <w:p w14:paraId="56ECAB2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w:t>
            </w:r>
          </w:p>
        </w:tc>
        <w:tc>
          <w:tcPr>
            <w:tcW w:w="709" w:type="dxa"/>
            <w:vAlign w:val="center"/>
          </w:tcPr>
          <w:p w14:paraId="506E785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390C84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《恶臭污染物排放标准》（GB14554-93）表1</w:t>
            </w:r>
          </w:p>
        </w:tc>
      </w:tr>
      <w:tr w14:paraId="5C75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AA040C5">
            <w:pPr>
              <w:rPr>
                <w:rFonts w:ascii="Times New Roman" w:hAnsi="Times New Roman" w:cs="Times New Roman"/>
                <w:color w:val="FF0000"/>
                <w:sz w:val="18"/>
                <w:szCs w:val="18"/>
              </w:rPr>
            </w:pPr>
          </w:p>
        </w:tc>
        <w:tc>
          <w:tcPr>
            <w:tcW w:w="1165" w:type="dxa"/>
            <w:vMerge w:val="continue"/>
            <w:vAlign w:val="center"/>
          </w:tcPr>
          <w:p w14:paraId="10E181D0">
            <w:pPr>
              <w:rPr>
                <w:rFonts w:ascii="Times New Roman" w:hAnsi="Times New Roman" w:cs="Times New Roman"/>
                <w:color w:val="FF0000"/>
                <w:sz w:val="18"/>
                <w:szCs w:val="18"/>
              </w:rPr>
            </w:pPr>
          </w:p>
        </w:tc>
        <w:tc>
          <w:tcPr>
            <w:tcW w:w="1746" w:type="dxa"/>
            <w:vMerge w:val="continue"/>
            <w:vAlign w:val="center"/>
          </w:tcPr>
          <w:p w14:paraId="363DBD8A">
            <w:pPr>
              <w:rPr>
                <w:rFonts w:ascii="Times New Roman" w:hAnsi="Times New Roman" w:cs="Times New Roman"/>
                <w:color w:val="FF0000"/>
                <w:sz w:val="18"/>
                <w:szCs w:val="18"/>
              </w:rPr>
            </w:pPr>
          </w:p>
        </w:tc>
        <w:tc>
          <w:tcPr>
            <w:tcW w:w="1227" w:type="dxa"/>
            <w:vAlign w:val="center"/>
          </w:tcPr>
          <w:p w14:paraId="799D1AB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S</w:t>
            </w:r>
          </w:p>
        </w:tc>
        <w:tc>
          <w:tcPr>
            <w:tcW w:w="633" w:type="dxa"/>
            <w:vMerge w:val="continue"/>
            <w:vAlign w:val="center"/>
          </w:tcPr>
          <w:p w14:paraId="1B16D88B">
            <w:pP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567DFBED">
            <w:pPr>
              <w:rPr>
                <w:rFonts w:ascii="Times New Roman" w:hAnsi="Times New Roman" w:cs="Times New Roman"/>
                <w:color w:val="000000" w:themeColor="text1"/>
                <w:sz w:val="18"/>
                <w:szCs w:val="18"/>
                <w14:textFill>
                  <w14:solidFill>
                    <w14:schemeClr w14:val="tx1"/>
                  </w14:solidFill>
                </w14:textFill>
              </w:rPr>
            </w:pPr>
          </w:p>
        </w:tc>
        <w:tc>
          <w:tcPr>
            <w:tcW w:w="784" w:type="dxa"/>
            <w:vAlign w:val="center"/>
          </w:tcPr>
          <w:p w14:paraId="3A368C1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vAlign w:val="center"/>
          </w:tcPr>
          <w:p w14:paraId="59AA064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0.001</w:t>
            </w:r>
          </w:p>
        </w:tc>
        <w:tc>
          <w:tcPr>
            <w:tcW w:w="907" w:type="dxa"/>
            <w:vAlign w:val="center"/>
          </w:tcPr>
          <w:p w14:paraId="6ABFD8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0.008</w:t>
            </w:r>
          </w:p>
        </w:tc>
        <w:tc>
          <w:tcPr>
            <w:tcW w:w="692" w:type="dxa"/>
            <w:vAlign w:val="center"/>
          </w:tcPr>
          <w:p w14:paraId="5CE20A0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0.06</w:t>
            </w:r>
          </w:p>
        </w:tc>
        <w:tc>
          <w:tcPr>
            <w:tcW w:w="709" w:type="dxa"/>
            <w:vAlign w:val="center"/>
          </w:tcPr>
          <w:p w14:paraId="66A8AD9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017CF38">
            <w:pPr>
              <w:rPr>
                <w:rFonts w:ascii="Times New Roman" w:hAnsi="Times New Roman" w:cs="Times New Roman"/>
                <w:color w:val="FF0000"/>
                <w:sz w:val="18"/>
                <w:szCs w:val="18"/>
              </w:rPr>
            </w:pPr>
          </w:p>
        </w:tc>
      </w:tr>
      <w:tr w14:paraId="1BBD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43B5F17">
            <w:pPr>
              <w:rPr>
                <w:rFonts w:ascii="Times New Roman" w:hAnsi="Times New Roman" w:cs="Times New Roman"/>
                <w:color w:val="FF0000"/>
                <w:sz w:val="18"/>
                <w:szCs w:val="18"/>
              </w:rPr>
            </w:pPr>
          </w:p>
        </w:tc>
        <w:tc>
          <w:tcPr>
            <w:tcW w:w="1165" w:type="dxa"/>
            <w:vMerge w:val="continue"/>
            <w:vAlign w:val="center"/>
          </w:tcPr>
          <w:p w14:paraId="14BBC754">
            <w:pPr>
              <w:rPr>
                <w:rFonts w:ascii="Times New Roman" w:hAnsi="Times New Roman" w:cs="Times New Roman"/>
                <w:color w:val="FF0000"/>
                <w:sz w:val="18"/>
                <w:szCs w:val="18"/>
              </w:rPr>
            </w:pPr>
          </w:p>
        </w:tc>
        <w:tc>
          <w:tcPr>
            <w:tcW w:w="1746" w:type="dxa"/>
            <w:vAlign w:val="center"/>
          </w:tcPr>
          <w:p w14:paraId="02DAB06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循环水</w:t>
            </w:r>
            <w:r>
              <w:rPr>
                <w:rFonts w:hint="eastAsia" w:ascii="Times New Roman" w:hAnsi="Times New Roman" w:cs="Times New Roman"/>
                <w:color w:val="000000" w:themeColor="text1"/>
                <w:sz w:val="18"/>
                <w:szCs w:val="18"/>
                <w14:textFill>
                  <w14:solidFill>
                    <w14:schemeClr w14:val="tx1"/>
                  </w14:solidFill>
                </w14:textFill>
              </w:rPr>
              <w:t>场</w:t>
            </w:r>
            <w:r>
              <w:rPr>
                <w:rFonts w:ascii="Times New Roman" w:hAnsi="Times New Roman" w:cs="Times New Roman"/>
                <w:color w:val="000000" w:themeColor="text1"/>
                <w:sz w:val="18"/>
                <w:szCs w:val="18"/>
                <w14:textFill>
                  <w14:solidFill>
                    <w14:schemeClr w14:val="tx1"/>
                  </w14:solidFill>
                </w14:textFill>
              </w:rPr>
              <w:t>无组织排放</w:t>
            </w:r>
          </w:p>
        </w:tc>
        <w:tc>
          <w:tcPr>
            <w:tcW w:w="1227" w:type="dxa"/>
            <w:vAlign w:val="center"/>
          </w:tcPr>
          <w:p w14:paraId="1AAEB69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Align w:val="center"/>
          </w:tcPr>
          <w:p w14:paraId="3BA0724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154D55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52E0856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0A6B105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3.36</w:t>
            </w:r>
          </w:p>
        </w:tc>
        <w:tc>
          <w:tcPr>
            <w:tcW w:w="907" w:type="dxa"/>
            <w:noWrap/>
            <w:vAlign w:val="center"/>
          </w:tcPr>
          <w:p w14:paraId="485EDBD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26.88</w:t>
            </w:r>
          </w:p>
        </w:tc>
        <w:tc>
          <w:tcPr>
            <w:tcW w:w="692" w:type="dxa"/>
            <w:vAlign w:val="center"/>
          </w:tcPr>
          <w:p w14:paraId="7A24486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5CF98E7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6CDAAA1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含2024年修改单）表7</w:t>
            </w:r>
          </w:p>
        </w:tc>
      </w:tr>
      <w:tr w14:paraId="0224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19AAC44">
            <w:pPr>
              <w:rPr>
                <w:rFonts w:ascii="Times New Roman" w:hAnsi="Times New Roman" w:cs="Times New Roman"/>
                <w:color w:val="FF0000"/>
                <w:sz w:val="18"/>
                <w:szCs w:val="18"/>
              </w:rPr>
            </w:pPr>
          </w:p>
        </w:tc>
        <w:tc>
          <w:tcPr>
            <w:tcW w:w="1165" w:type="dxa"/>
            <w:vMerge w:val="continue"/>
            <w:vAlign w:val="center"/>
          </w:tcPr>
          <w:p w14:paraId="65CF815F">
            <w:pPr>
              <w:rPr>
                <w:rFonts w:ascii="Times New Roman" w:hAnsi="Times New Roman" w:cs="Times New Roman"/>
                <w:color w:val="FF0000"/>
                <w:sz w:val="18"/>
                <w:szCs w:val="18"/>
              </w:rPr>
            </w:pPr>
          </w:p>
        </w:tc>
        <w:tc>
          <w:tcPr>
            <w:tcW w:w="1746" w:type="dxa"/>
            <w:vAlign w:val="center"/>
          </w:tcPr>
          <w:p w14:paraId="64A2FD1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空分装置循环水站</w:t>
            </w:r>
            <w:r>
              <w:rPr>
                <w:rFonts w:ascii="Times New Roman" w:hAnsi="Times New Roman" w:cs="Times New Roman"/>
                <w:color w:val="000000" w:themeColor="text1"/>
                <w:sz w:val="18"/>
                <w:szCs w:val="18"/>
                <w14:textFill>
                  <w14:solidFill>
                    <w14:schemeClr w14:val="tx1"/>
                  </w14:solidFill>
                </w14:textFill>
              </w:rPr>
              <w:t>无组织排放</w:t>
            </w:r>
          </w:p>
        </w:tc>
        <w:tc>
          <w:tcPr>
            <w:tcW w:w="1227" w:type="dxa"/>
            <w:vAlign w:val="center"/>
          </w:tcPr>
          <w:p w14:paraId="5BD4448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NMHC</w:t>
            </w:r>
          </w:p>
        </w:tc>
        <w:tc>
          <w:tcPr>
            <w:tcW w:w="633" w:type="dxa"/>
            <w:vAlign w:val="center"/>
          </w:tcPr>
          <w:p w14:paraId="7956D65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136906B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3F338F4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02" w:type="dxa"/>
            <w:noWrap/>
            <w:vAlign w:val="center"/>
          </w:tcPr>
          <w:p w14:paraId="380D10E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0.32</w:t>
            </w:r>
          </w:p>
        </w:tc>
        <w:tc>
          <w:tcPr>
            <w:tcW w:w="907" w:type="dxa"/>
            <w:noWrap/>
            <w:vAlign w:val="center"/>
          </w:tcPr>
          <w:p w14:paraId="684E53E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2.56</w:t>
            </w:r>
          </w:p>
        </w:tc>
        <w:tc>
          <w:tcPr>
            <w:tcW w:w="692" w:type="dxa"/>
            <w:vAlign w:val="center"/>
          </w:tcPr>
          <w:p w14:paraId="1FF55A3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2292207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5AF4F33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含2024年修改单）表7</w:t>
            </w:r>
          </w:p>
        </w:tc>
      </w:tr>
      <w:tr w14:paraId="72F0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3193273">
            <w:pPr>
              <w:rPr>
                <w:rFonts w:ascii="Times New Roman" w:hAnsi="Times New Roman" w:cs="Times New Roman"/>
                <w:color w:val="FF0000"/>
                <w:sz w:val="18"/>
                <w:szCs w:val="18"/>
              </w:rPr>
            </w:pPr>
          </w:p>
        </w:tc>
        <w:tc>
          <w:tcPr>
            <w:tcW w:w="1165" w:type="dxa"/>
            <w:vMerge w:val="continue"/>
            <w:vAlign w:val="center"/>
          </w:tcPr>
          <w:p w14:paraId="38B14337">
            <w:pPr>
              <w:rPr>
                <w:rFonts w:ascii="Times New Roman" w:hAnsi="Times New Roman" w:cs="Times New Roman"/>
                <w:color w:val="FF0000"/>
                <w:sz w:val="18"/>
                <w:szCs w:val="18"/>
              </w:rPr>
            </w:pPr>
          </w:p>
        </w:tc>
        <w:tc>
          <w:tcPr>
            <w:tcW w:w="1746" w:type="dxa"/>
            <w:vMerge w:val="restart"/>
            <w:vAlign w:val="center"/>
          </w:tcPr>
          <w:p w14:paraId="036C72D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1#燃气</w:t>
            </w:r>
            <w:r>
              <w:rPr>
                <w:rFonts w:ascii="Times New Roman" w:hAnsi="Times New Roman" w:cs="Times New Roman"/>
                <w:color w:val="000000" w:themeColor="text1"/>
                <w:sz w:val="18"/>
                <w:szCs w:val="18"/>
                <w14:textFill>
                  <w14:solidFill>
                    <w14:schemeClr w14:val="tx1"/>
                  </w14:solidFill>
                </w14:textFill>
              </w:rPr>
              <w:t>锅炉</w:t>
            </w:r>
          </w:p>
        </w:tc>
        <w:tc>
          <w:tcPr>
            <w:tcW w:w="1227" w:type="dxa"/>
            <w:vAlign w:val="center"/>
          </w:tcPr>
          <w:p w14:paraId="727F78F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1F50EFD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7F0E60B9">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低氮燃烧+SCR脱硝+35m排气筒</w:t>
            </w:r>
          </w:p>
        </w:tc>
        <w:tc>
          <w:tcPr>
            <w:tcW w:w="784" w:type="dxa"/>
            <w:noWrap/>
            <w:vAlign w:val="center"/>
          </w:tcPr>
          <w:p w14:paraId="65A193F0">
            <w:pPr>
              <w:jc w:val="center"/>
              <w:rPr>
                <w:rFonts w:ascii="Times New Roman" w:hAnsi="Times New Roman" w:cs="Times New Roman"/>
                <w:color w:val="FF0000"/>
                <w:sz w:val="18"/>
                <w:szCs w:val="18"/>
              </w:rPr>
            </w:pPr>
            <w:r>
              <w:rPr>
                <w:rFonts w:ascii="Times New Roman" w:hAnsi="Times New Roman" w:cs="Times New Roman"/>
                <w:color w:val="000000"/>
                <w:sz w:val="18"/>
                <w:szCs w:val="18"/>
              </w:rPr>
              <w:t>5.22</w:t>
            </w:r>
          </w:p>
        </w:tc>
        <w:tc>
          <w:tcPr>
            <w:tcW w:w="1302" w:type="dxa"/>
            <w:noWrap/>
            <w:vAlign w:val="center"/>
          </w:tcPr>
          <w:p w14:paraId="02B54C69">
            <w:pPr>
              <w:jc w:val="center"/>
              <w:rPr>
                <w:rFonts w:ascii="Times New Roman" w:hAnsi="Times New Roman" w:cs="Times New Roman"/>
                <w:color w:val="FF0000"/>
                <w:sz w:val="18"/>
                <w:szCs w:val="18"/>
              </w:rPr>
            </w:pPr>
            <w:r>
              <w:rPr>
                <w:rFonts w:ascii="Times New Roman" w:hAnsi="Times New Roman" w:cs="Times New Roman"/>
                <w:color w:val="000000"/>
                <w:sz w:val="18"/>
                <w:szCs w:val="18"/>
              </w:rPr>
              <w:t>0.76</w:t>
            </w:r>
          </w:p>
        </w:tc>
        <w:tc>
          <w:tcPr>
            <w:tcW w:w="907" w:type="dxa"/>
            <w:noWrap/>
            <w:vAlign w:val="center"/>
          </w:tcPr>
          <w:p w14:paraId="0041130B">
            <w:pPr>
              <w:jc w:val="center"/>
              <w:rPr>
                <w:rFonts w:ascii="Times New Roman" w:hAnsi="Times New Roman" w:cs="Times New Roman"/>
                <w:color w:val="FF0000"/>
                <w:sz w:val="18"/>
                <w:szCs w:val="18"/>
              </w:rPr>
            </w:pPr>
            <w:r>
              <w:rPr>
                <w:rFonts w:ascii="Times New Roman" w:hAnsi="Times New Roman" w:cs="Times New Roman"/>
                <w:color w:val="000000"/>
                <w:sz w:val="18"/>
                <w:szCs w:val="18"/>
              </w:rPr>
              <w:t>6.10</w:t>
            </w:r>
          </w:p>
        </w:tc>
        <w:tc>
          <w:tcPr>
            <w:tcW w:w="692" w:type="dxa"/>
            <w:vAlign w:val="center"/>
          </w:tcPr>
          <w:p w14:paraId="5B8437A2">
            <w:pPr>
              <w:pStyle w:val="557"/>
              <w:rPr>
                <w:color w:val="FF0000"/>
              </w:rPr>
            </w:pPr>
            <w:r>
              <w:rPr>
                <w:rFonts w:hint="eastAsia"/>
              </w:rPr>
              <w:t>20</w:t>
            </w:r>
          </w:p>
        </w:tc>
        <w:tc>
          <w:tcPr>
            <w:tcW w:w="709" w:type="dxa"/>
            <w:vAlign w:val="center"/>
          </w:tcPr>
          <w:p w14:paraId="7A5719E2">
            <w:pPr>
              <w:pStyle w:val="557"/>
              <w:rPr>
                <w:color w:val="FF0000"/>
              </w:rPr>
            </w:pPr>
            <w:r>
              <w:rPr>
                <w:rFonts w:hint="eastAsia"/>
              </w:rPr>
              <w:t>/</w:t>
            </w:r>
          </w:p>
        </w:tc>
        <w:tc>
          <w:tcPr>
            <w:tcW w:w="2471" w:type="dxa"/>
            <w:vAlign w:val="center"/>
          </w:tcPr>
          <w:p w14:paraId="7A88F373">
            <w:pPr>
              <w:pStyle w:val="557"/>
              <w:rPr>
                <w:color w:val="FF0000"/>
              </w:rPr>
            </w:pPr>
            <w:r>
              <w:rPr>
                <w:rFonts w:hint="eastAsia"/>
              </w:rPr>
              <w:t>《锅炉大气污染物排放标准》（GB13271-2014）</w:t>
            </w:r>
          </w:p>
        </w:tc>
      </w:tr>
      <w:tr w14:paraId="2827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0BDDED9">
            <w:pPr>
              <w:rPr>
                <w:rFonts w:ascii="Times New Roman" w:hAnsi="Times New Roman" w:cs="Times New Roman"/>
                <w:color w:val="FF0000"/>
                <w:sz w:val="18"/>
                <w:szCs w:val="18"/>
              </w:rPr>
            </w:pPr>
          </w:p>
        </w:tc>
        <w:tc>
          <w:tcPr>
            <w:tcW w:w="1165" w:type="dxa"/>
            <w:vMerge w:val="continue"/>
            <w:vAlign w:val="center"/>
          </w:tcPr>
          <w:p w14:paraId="5F1AD65D">
            <w:pPr>
              <w:rPr>
                <w:rFonts w:ascii="Times New Roman" w:hAnsi="Times New Roman" w:cs="Times New Roman"/>
                <w:color w:val="FF0000"/>
                <w:sz w:val="18"/>
                <w:szCs w:val="18"/>
              </w:rPr>
            </w:pPr>
          </w:p>
        </w:tc>
        <w:tc>
          <w:tcPr>
            <w:tcW w:w="1746" w:type="dxa"/>
            <w:vMerge w:val="continue"/>
            <w:vAlign w:val="center"/>
          </w:tcPr>
          <w:p w14:paraId="239E9C15">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16D6937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NOx</w:t>
            </w:r>
          </w:p>
        </w:tc>
        <w:tc>
          <w:tcPr>
            <w:tcW w:w="633" w:type="dxa"/>
            <w:vMerge w:val="continue"/>
            <w:vAlign w:val="center"/>
          </w:tcPr>
          <w:p w14:paraId="40E515A6">
            <w:pPr>
              <w:rPr>
                <w:rFonts w:ascii="Times New Roman" w:hAnsi="Times New Roman" w:cs="Times New Roman"/>
                <w:color w:val="FF0000"/>
                <w:sz w:val="18"/>
                <w:szCs w:val="18"/>
              </w:rPr>
            </w:pPr>
          </w:p>
        </w:tc>
        <w:tc>
          <w:tcPr>
            <w:tcW w:w="1684" w:type="dxa"/>
            <w:vMerge w:val="continue"/>
            <w:vAlign w:val="center"/>
          </w:tcPr>
          <w:p w14:paraId="2F7C6915">
            <w:pPr>
              <w:rPr>
                <w:rFonts w:ascii="Times New Roman" w:hAnsi="Times New Roman" w:cs="Times New Roman"/>
                <w:color w:val="FF0000"/>
                <w:sz w:val="18"/>
                <w:szCs w:val="18"/>
              </w:rPr>
            </w:pPr>
          </w:p>
        </w:tc>
        <w:tc>
          <w:tcPr>
            <w:tcW w:w="784" w:type="dxa"/>
            <w:noWrap/>
            <w:vAlign w:val="center"/>
          </w:tcPr>
          <w:p w14:paraId="52D8140F">
            <w:pPr>
              <w:jc w:val="center"/>
              <w:rPr>
                <w:rFonts w:ascii="Times New Roman" w:hAnsi="Times New Roman" w:cs="Times New Roman"/>
                <w:color w:val="FF0000"/>
                <w:sz w:val="18"/>
                <w:szCs w:val="18"/>
              </w:rPr>
            </w:pPr>
            <w:r>
              <w:rPr>
                <w:rFonts w:ascii="Times New Roman" w:hAnsi="Times New Roman" w:cs="Times New Roman"/>
                <w:color w:val="000000"/>
                <w:sz w:val="18"/>
                <w:szCs w:val="18"/>
              </w:rPr>
              <w:t>11.70</w:t>
            </w:r>
          </w:p>
        </w:tc>
        <w:tc>
          <w:tcPr>
            <w:tcW w:w="1302" w:type="dxa"/>
            <w:noWrap/>
            <w:vAlign w:val="center"/>
          </w:tcPr>
          <w:p w14:paraId="46865D96">
            <w:pPr>
              <w:jc w:val="center"/>
              <w:rPr>
                <w:rFonts w:ascii="Times New Roman" w:hAnsi="Times New Roman" w:cs="Times New Roman"/>
                <w:color w:val="FF0000"/>
                <w:sz w:val="18"/>
                <w:szCs w:val="18"/>
              </w:rPr>
            </w:pPr>
            <w:r>
              <w:rPr>
                <w:rFonts w:ascii="Times New Roman" w:hAnsi="Times New Roman" w:cs="Times New Roman"/>
                <w:color w:val="000000"/>
                <w:sz w:val="18"/>
                <w:szCs w:val="18"/>
              </w:rPr>
              <w:t>1.71</w:t>
            </w:r>
          </w:p>
        </w:tc>
        <w:tc>
          <w:tcPr>
            <w:tcW w:w="907" w:type="dxa"/>
            <w:noWrap/>
            <w:vAlign w:val="center"/>
          </w:tcPr>
          <w:p w14:paraId="2BC1310A">
            <w:pPr>
              <w:jc w:val="center"/>
              <w:rPr>
                <w:rFonts w:ascii="Times New Roman" w:hAnsi="Times New Roman" w:cs="Times New Roman"/>
                <w:color w:val="FF0000"/>
                <w:sz w:val="18"/>
                <w:szCs w:val="18"/>
              </w:rPr>
            </w:pPr>
            <w:r>
              <w:rPr>
                <w:rFonts w:ascii="Times New Roman" w:hAnsi="Times New Roman" w:cs="Times New Roman"/>
                <w:color w:val="000000"/>
                <w:sz w:val="18"/>
                <w:szCs w:val="18"/>
              </w:rPr>
              <w:t>13.68</w:t>
            </w:r>
          </w:p>
        </w:tc>
        <w:tc>
          <w:tcPr>
            <w:tcW w:w="692" w:type="dxa"/>
            <w:vAlign w:val="center"/>
          </w:tcPr>
          <w:p w14:paraId="2D83158A">
            <w:pPr>
              <w:pStyle w:val="557"/>
              <w:rPr>
                <w:color w:val="FF0000"/>
              </w:rPr>
            </w:pPr>
            <w:r>
              <w:rPr>
                <w:rFonts w:hint="eastAsia"/>
              </w:rPr>
              <w:t>50</w:t>
            </w:r>
          </w:p>
        </w:tc>
        <w:tc>
          <w:tcPr>
            <w:tcW w:w="709" w:type="dxa"/>
            <w:vAlign w:val="center"/>
          </w:tcPr>
          <w:p w14:paraId="18DE1EDC">
            <w:pPr>
              <w:pStyle w:val="557"/>
            </w:pPr>
            <w:r>
              <w:rPr>
                <w:rFonts w:hint="eastAsia"/>
              </w:rPr>
              <w:t>/</w:t>
            </w:r>
          </w:p>
        </w:tc>
        <w:tc>
          <w:tcPr>
            <w:tcW w:w="2471" w:type="dxa"/>
            <w:vAlign w:val="center"/>
          </w:tcPr>
          <w:p w14:paraId="1C529B9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氮氧化物执行《关于印发&lt;哈密市2022年度夏秋季大气污染防治“冬病夏治”工作方案&gt;的通知》（哈市环委办〔2022〕12号）氮氧化物排放浓度标准要求</w:t>
            </w:r>
          </w:p>
        </w:tc>
      </w:tr>
      <w:tr w14:paraId="70A0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6834518">
            <w:pPr>
              <w:rPr>
                <w:rFonts w:ascii="Times New Roman" w:hAnsi="Times New Roman" w:cs="Times New Roman"/>
                <w:color w:val="FF0000"/>
                <w:sz w:val="18"/>
                <w:szCs w:val="18"/>
              </w:rPr>
            </w:pPr>
          </w:p>
        </w:tc>
        <w:tc>
          <w:tcPr>
            <w:tcW w:w="1165" w:type="dxa"/>
            <w:vMerge w:val="continue"/>
            <w:vAlign w:val="center"/>
          </w:tcPr>
          <w:p w14:paraId="44FE5E2B">
            <w:pPr>
              <w:rPr>
                <w:rFonts w:ascii="Times New Roman" w:hAnsi="Times New Roman" w:cs="Times New Roman"/>
                <w:color w:val="FF0000"/>
                <w:sz w:val="18"/>
                <w:szCs w:val="18"/>
              </w:rPr>
            </w:pPr>
          </w:p>
        </w:tc>
        <w:tc>
          <w:tcPr>
            <w:tcW w:w="1746" w:type="dxa"/>
            <w:vMerge w:val="restart"/>
            <w:vAlign w:val="center"/>
          </w:tcPr>
          <w:p w14:paraId="6D6F7727">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2#燃气</w:t>
            </w:r>
            <w:r>
              <w:rPr>
                <w:rFonts w:ascii="Times New Roman" w:hAnsi="Times New Roman" w:cs="Times New Roman"/>
                <w:color w:val="000000" w:themeColor="text1"/>
                <w:sz w:val="18"/>
                <w:szCs w:val="18"/>
                <w14:textFill>
                  <w14:solidFill>
                    <w14:schemeClr w14:val="tx1"/>
                  </w14:solidFill>
                </w14:textFill>
              </w:rPr>
              <w:t>锅炉</w:t>
            </w:r>
          </w:p>
        </w:tc>
        <w:tc>
          <w:tcPr>
            <w:tcW w:w="1227" w:type="dxa"/>
            <w:vAlign w:val="center"/>
          </w:tcPr>
          <w:p w14:paraId="683B03B5">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3B0A305D">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Merge w:val="restart"/>
            <w:vAlign w:val="center"/>
          </w:tcPr>
          <w:p w14:paraId="10EE320F">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低氮燃烧+SCR脱硝+35m排气筒</w:t>
            </w:r>
          </w:p>
        </w:tc>
        <w:tc>
          <w:tcPr>
            <w:tcW w:w="784" w:type="dxa"/>
            <w:noWrap/>
            <w:vAlign w:val="center"/>
          </w:tcPr>
          <w:p w14:paraId="1D032DDC">
            <w:pPr>
              <w:jc w:val="center"/>
              <w:rPr>
                <w:rFonts w:ascii="Times New Roman" w:hAnsi="Times New Roman" w:cs="Times New Roman"/>
                <w:color w:val="FF0000"/>
                <w:sz w:val="18"/>
                <w:szCs w:val="18"/>
              </w:rPr>
            </w:pPr>
            <w:r>
              <w:rPr>
                <w:rFonts w:ascii="Times New Roman" w:hAnsi="Times New Roman" w:cs="Times New Roman"/>
                <w:color w:val="000000"/>
                <w:sz w:val="18"/>
                <w:szCs w:val="18"/>
              </w:rPr>
              <w:t>5.22</w:t>
            </w:r>
          </w:p>
        </w:tc>
        <w:tc>
          <w:tcPr>
            <w:tcW w:w="1302" w:type="dxa"/>
            <w:noWrap/>
            <w:vAlign w:val="center"/>
          </w:tcPr>
          <w:p w14:paraId="1E03248B">
            <w:pPr>
              <w:jc w:val="center"/>
              <w:rPr>
                <w:rFonts w:ascii="Times New Roman" w:hAnsi="Times New Roman" w:cs="Times New Roman"/>
                <w:color w:val="FF0000"/>
                <w:sz w:val="18"/>
                <w:szCs w:val="18"/>
              </w:rPr>
            </w:pPr>
            <w:r>
              <w:rPr>
                <w:rFonts w:ascii="Times New Roman" w:hAnsi="Times New Roman" w:cs="Times New Roman"/>
                <w:color w:val="000000"/>
                <w:sz w:val="18"/>
                <w:szCs w:val="18"/>
              </w:rPr>
              <w:t>0.76</w:t>
            </w:r>
          </w:p>
        </w:tc>
        <w:tc>
          <w:tcPr>
            <w:tcW w:w="907" w:type="dxa"/>
            <w:noWrap/>
            <w:vAlign w:val="center"/>
          </w:tcPr>
          <w:p w14:paraId="799DB73E">
            <w:pPr>
              <w:jc w:val="center"/>
              <w:rPr>
                <w:rFonts w:ascii="Times New Roman" w:hAnsi="Times New Roman" w:cs="Times New Roman"/>
                <w:color w:val="FF0000"/>
                <w:sz w:val="18"/>
                <w:szCs w:val="18"/>
              </w:rPr>
            </w:pPr>
            <w:r>
              <w:rPr>
                <w:rFonts w:ascii="Times New Roman" w:hAnsi="Times New Roman" w:cs="Times New Roman"/>
                <w:color w:val="000000"/>
                <w:sz w:val="18"/>
                <w:szCs w:val="18"/>
              </w:rPr>
              <w:t>6.10</w:t>
            </w:r>
          </w:p>
        </w:tc>
        <w:tc>
          <w:tcPr>
            <w:tcW w:w="692" w:type="dxa"/>
            <w:vAlign w:val="center"/>
          </w:tcPr>
          <w:p w14:paraId="328BC20E">
            <w:pPr>
              <w:pStyle w:val="557"/>
              <w:rPr>
                <w:color w:val="FF0000"/>
              </w:rPr>
            </w:pPr>
            <w:r>
              <w:rPr>
                <w:rFonts w:hint="eastAsia"/>
              </w:rPr>
              <w:t>20</w:t>
            </w:r>
          </w:p>
        </w:tc>
        <w:tc>
          <w:tcPr>
            <w:tcW w:w="709" w:type="dxa"/>
            <w:vAlign w:val="center"/>
          </w:tcPr>
          <w:p w14:paraId="36A068BB">
            <w:pPr>
              <w:pStyle w:val="557"/>
            </w:pPr>
            <w:r>
              <w:rPr>
                <w:rFonts w:hint="eastAsia"/>
              </w:rPr>
              <w:t>/</w:t>
            </w:r>
          </w:p>
        </w:tc>
        <w:tc>
          <w:tcPr>
            <w:tcW w:w="2471" w:type="dxa"/>
            <w:vAlign w:val="center"/>
          </w:tcPr>
          <w:p w14:paraId="42DE990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《锅炉大气污染物排放标准》（GB13271-2014）</w:t>
            </w:r>
          </w:p>
        </w:tc>
      </w:tr>
      <w:tr w14:paraId="1E64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70DF8DF">
            <w:pPr>
              <w:rPr>
                <w:rFonts w:ascii="Times New Roman" w:hAnsi="Times New Roman" w:cs="Times New Roman"/>
                <w:color w:val="FF0000"/>
                <w:sz w:val="18"/>
                <w:szCs w:val="18"/>
              </w:rPr>
            </w:pPr>
          </w:p>
        </w:tc>
        <w:tc>
          <w:tcPr>
            <w:tcW w:w="1165" w:type="dxa"/>
            <w:vMerge w:val="continue"/>
            <w:vAlign w:val="center"/>
          </w:tcPr>
          <w:p w14:paraId="1E117A86">
            <w:pPr>
              <w:rPr>
                <w:rFonts w:ascii="Times New Roman" w:hAnsi="Times New Roman" w:cs="Times New Roman"/>
                <w:color w:val="FF0000"/>
                <w:sz w:val="18"/>
                <w:szCs w:val="18"/>
              </w:rPr>
            </w:pPr>
          </w:p>
        </w:tc>
        <w:tc>
          <w:tcPr>
            <w:tcW w:w="1746" w:type="dxa"/>
            <w:vMerge w:val="continue"/>
            <w:vAlign w:val="center"/>
          </w:tcPr>
          <w:p w14:paraId="1F9635A8">
            <w:pPr>
              <w:jc w:val="center"/>
              <w:rPr>
                <w:rFonts w:ascii="Times New Roman" w:hAnsi="Times New Roman" w:cs="Times New Roman"/>
                <w:color w:val="FF0000"/>
                <w:sz w:val="18"/>
                <w:szCs w:val="18"/>
              </w:rPr>
            </w:pPr>
          </w:p>
        </w:tc>
        <w:tc>
          <w:tcPr>
            <w:tcW w:w="1227" w:type="dxa"/>
            <w:vAlign w:val="center"/>
          </w:tcPr>
          <w:p w14:paraId="609532BD">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NOx</w:t>
            </w:r>
          </w:p>
        </w:tc>
        <w:tc>
          <w:tcPr>
            <w:tcW w:w="633" w:type="dxa"/>
            <w:vMerge w:val="continue"/>
            <w:vAlign w:val="center"/>
          </w:tcPr>
          <w:p w14:paraId="56C86C27">
            <w:pPr>
              <w:jc w:val="center"/>
              <w:rPr>
                <w:rFonts w:ascii="Times New Roman" w:hAnsi="Times New Roman" w:cs="Times New Roman"/>
                <w:color w:val="FF0000"/>
                <w:sz w:val="18"/>
                <w:szCs w:val="18"/>
              </w:rPr>
            </w:pPr>
          </w:p>
        </w:tc>
        <w:tc>
          <w:tcPr>
            <w:tcW w:w="1684" w:type="dxa"/>
            <w:vMerge w:val="continue"/>
            <w:vAlign w:val="center"/>
          </w:tcPr>
          <w:p w14:paraId="61E9F8CB">
            <w:pPr>
              <w:jc w:val="center"/>
              <w:rPr>
                <w:rFonts w:ascii="Times New Roman" w:hAnsi="Times New Roman" w:cs="Times New Roman"/>
                <w:color w:val="FF0000"/>
                <w:sz w:val="18"/>
                <w:szCs w:val="18"/>
              </w:rPr>
            </w:pPr>
          </w:p>
        </w:tc>
        <w:tc>
          <w:tcPr>
            <w:tcW w:w="784" w:type="dxa"/>
            <w:noWrap/>
            <w:vAlign w:val="center"/>
          </w:tcPr>
          <w:p w14:paraId="67FA81C6">
            <w:pPr>
              <w:jc w:val="center"/>
              <w:rPr>
                <w:rFonts w:ascii="Times New Roman" w:hAnsi="Times New Roman" w:cs="Times New Roman"/>
                <w:color w:val="FF0000"/>
                <w:sz w:val="18"/>
                <w:szCs w:val="18"/>
              </w:rPr>
            </w:pPr>
            <w:r>
              <w:rPr>
                <w:rFonts w:ascii="Times New Roman" w:hAnsi="Times New Roman" w:cs="Times New Roman"/>
                <w:color w:val="000000"/>
                <w:sz w:val="18"/>
                <w:szCs w:val="18"/>
              </w:rPr>
              <w:t>11.70</w:t>
            </w:r>
          </w:p>
        </w:tc>
        <w:tc>
          <w:tcPr>
            <w:tcW w:w="1302" w:type="dxa"/>
            <w:noWrap/>
            <w:vAlign w:val="center"/>
          </w:tcPr>
          <w:p w14:paraId="105176B4">
            <w:pPr>
              <w:jc w:val="center"/>
              <w:rPr>
                <w:rFonts w:ascii="Times New Roman" w:hAnsi="Times New Roman" w:cs="Times New Roman"/>
                <w:color w:val="FF0000"/>
                <w:sz w:val="18"/>
                <w:szCs w:val="18"/>
              </w:rPr>
            </w:pPr>
            <w:r>
              <w:rPr>
                <w:rFonts w:ascii="Times New Roman" w:hAnsi="Times New Roman" w:cs="Times New Roman"/>
                <w:color w:val="000000"/>
                <w:sz w:val="18"/>
                <w:szCs w:val="18"/>
              </w:rPr>
              <w:t>1.71</w:t>
            </w:r>
          </w:p>
        </w:tc>
        <w:tc>
          <w:tcPr>
            <w:tcW w:w="907" w:type="dxa"/>
            <w:noWrap/>
            <w:vAlign w:val="center"/>
          </w:tcPr>
          <w:p w14:paraId="20438ED7">
            <w:pPr>
              <w:jc w:val="center"/>
              <w:rPr>
                <w:rFonts w:ascii="Times New Roman" w:hAnsi="Times New Roman" w:cs="Times New Roman"/>
                <w:color w:val="FF0000"/>
                <w:sz w:val="18"/>
                <w:szCs w:val="18"/>
              </w:rPr>
            </w:pPr>
            <w:r>
              <w:rPr>
                <w:rFonts w:ascii="Times New Roman" w:hAnsi="Times New Roman" w:cs="Times New Roman"/>
                <w:color w:val="000000"/>
                <w:sz w:val="18"/>
                <w:szCs w:val="18"/>
              </w:rPr>
              <w:t>13.68</w:t>
            </w:r>
          </w:p>
        </w:tc>
        <w:tc>
          <w:tcPr>
            <w:tcW w:w="692" w:type="dxa"/>
            <w:vAlign w:val="center"/>
          </w:tcPr>
          <w:p w14:paraId="5ACB9177">
            <w:pPr>
              <w:pStyle w:val="557"/>
              <w:rPr>
                <w:color w:val="FF0000"/>
              </w:rPr>
            </w:pPr>
            <w:r>
              <w:rPr>
                <w:rFonts w:hint="eastAsia"/>
              </w:rPr>
              <w:t>50</w:t>
            </w:r>
          </w:p>
        </w:tc>
        <w:tc>
          <w:tcPr>
            <w:tcW w:w="709" w:type="dxa"/>
            <w:vAlign w:val="center"/>
          </w:tcPr>
          <w:p w14:paraId="4E986762">
            <w:pPr>
              <w:pStyle w:val="557"/>
            </w:pPr>
            <w:r>
              <w:rPr>
                <w:rFonts w:hint="eastAsia"/>
              </w:rPr>
              <w:t>/</w:t>
            </w:r>
          </w:p>
        </w:tc>
        <w:tc>
          <w:tcPr>
            <w:tcW w:w="2471" w:type="dxa"/>
            <w:vAlign w:val="center"/>
          </w:tcPr>
          <w:p w14:paraId="47C2FCA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氮氧化物执行《关于印发&lt;哈密市2022年度夏秋季大气污染防治“冬病夏治”工作方案&gt;的通知》（哈市环委办〔2022〕12号）氮氧化物排放浓度标准要求</w:t>
            </w:r>
          </w:p>
        </w:tc>
      </w:tr>
      <w:tr w14:paraId="0048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3EE6693">
            <w:pPr>
              <w:rPr>
                <w:rFonts w:ascii="Times New Roman" w:hAnsi="Times New Roman" w:cs="Times New Roman"/>
                <w:color w:val="FF0000"/>
                <w:sz w:val="18"/>
                <w:szCs w:val="18"/>
              </w:rPr>
            </w:pPr>
          </w:p>
        </w:tc>
        <w:tc>
          <w:tcPr>
            <w:tcW w:w="1165" w:type="dxa"/>
            <w:vMerge w:val="restart"/>
            <w:vAlign w:val="center"/>
          </w:tcPr>
          <w:p w14:paraId="3BE1C01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储运工程</w:t>
            </w:r>
          </w:p>
        </w:tc>
        <w:tc>
          <w:tcPr>
            <w:tcW w:w="1746" w:type="dxa"/>
            <w:vAlign w:val="center"/>
          </w:tcPr>
          <w:p w14:paraId="5E93E08A">
            <w:pPr>
              <w:jc w:val="center"/>
              <w:rPr>
                <w:rFonts w:ascii="Times New Roman" w:hAnsi="Times New Roman" w:cs="Times New Roman"/>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筛分破碎废气</w:t>
            </w:r>
          </w:p>
        </w:tc>
        <w:tc>
          <w:tcPr>
            <w:tcW w:w="1227" w:type="dxa"/>
            <w:vAlign w:val="center"/>
          </w:tcPr>
          <w:p w14:paraId="6A19FD5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restart"/>
            <w:vAlign w:val="center"/>
          </w:tcPr>
          <w:p w14:paraId="0218484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有组织</w:t>
            </w:r>
          </w:p>
        </w:tc>
        <w:tc>
          <w:tcPr>
            <w:tcW w:w="1684" w:type="dxa"/>
            <w:vAlign w:val="center"/>
          </w:tcPr>
          <w:p w14:paraId="7899673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袋式除尘器+15m排气筒</w:t>
            </w:r>
          </w:p>
        </w:tc>
        <w:tc>
          <w:tcPr>
            <w:tcW w:w="784" w:type="dxa"/>
            <w:vAlign w:val="center"/>
          </w:tcPr>
          <w:p w14:paraId="30199541">
            <w:pPr>
              <w:jc w:val="center"/>
              <w:rPr>
                <w:rFonts w:ascii="Times New Roman" w:hAnsi="Times New Roman" w:cs="Times New Roman"/>
                <w:color w:val="FF0000"/>
                <w:sz w:val="18"/>
                <w:szCs w:val="18"/>
              </w:rPr>
            </w:pPr>
            <w:r>
              <w:rPr>
                <w:rFonts w:ascii="Times New Roman" w:hAnsi="Times New Roman" w:cs="Times New Roman"/>
                <w:color w:val="000000"/>
                <w:sz w:val="18"/>
                <w:szCs w:val="18"/>
              </w:rPr>
              <w:t>15</w:t>
            </w:r>
          </w:p>
        </w:tc>
        <w:tc>
          <w:tcPr>
            <w:tcW w:w="1302" w:type="dxa"/>
            <w:vAlign w:val="center"/>
          </w:tcPr>
          <w:p w14:paraId="607FBB26">
            <w:pPr>
              <w:jc w:val="center"/>
              <w:rPr>
                <w:rFonts w:ascii="Times New Roman" w:hAnsi="Times New Roman" w:cs="Times New Roman"/>
                <w:color w:val="FF0000"/>
                <w:sz w:val="18"/>
                <w:szCs w:val="18"/>
              </w:rPr>
            </w:pPr>
            <w:r>
              <w:rPr>
                <w:rFonts w:ascii="Times New Roman" w:hAnsi="Times New Roman" w:cs="Times New Roman"/>
                <w:color w:val="000000"/>
                <w:sz w:val="18"/>
                <w:szCs w:val="18"/>
              </w:rPr>
              <w:t>0.15</w:t>
            </w:r>
          </w:p>
        </w:tc>
        <w:tc>
          <w:tcPr>
            <w:tcW w:w="907" w:type="dxa"/>
            <w:vAlign w:val="center"/>
          </w:tcPr>
          <w:p w14:paraId="1F3B8729">
            <w:pPr>
              <w:jc w:val="center"/>
              <w:rPr>
                <w:rFonts w:ascii="Times New Roman" w:hAnsi="Times New Roman" w:cs="Times New Roman"/>
                <w:color w:val="FF0000"/>
                <w:sz w:val="18"/>
                <w:szCs w:val="18"/>
              </w:rPr>
            </w:pPr>
            <w:r>
              <w:rPr>
                <w:rFonts w:ascii="Times New Roman" w:hAnsi="Times New Roman" w:cs="Times New Roman"/>
                <w:color w:val="000000"/>
                <w:sz w:val="18"/>
                <w:szCs w:val="18"/>
              </w:rPr>
              <w:t>1.2</w:t>
            </w:r>
          </w:p>
        </w:tc>
        <w:tc>
          <w:tcPr>
            <w:tcW w:w="692" w:type="dxa"/>
            <w:vAlign w:val="center"/>
          </w:tcPr>
          <w:p w14:paraId="49BCE80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w:t>
            </w:r>
          </w:p>
        </w:tc>
        <w:tc>
          <w:tcPr>
            <w:tcW w:w="709" w:type="dxa"/>
            <w:vAlign w:val="center"/>
          </w:tcPr>
          <w:p w14:paraId="6F1DBD2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3.5</w:t>
            </w:r>
            <w:r>
              <w:rPr>
                <w:rFonts w:hint="eastAsia" w:ascii="Times New Roman" w:hAnsi="Times New Roman" w:cs="Times New Roman"/>
                <w:color w:val="000000" w:themeColor="text1"/>
                <w:sz w:val="18"/>
                <w:szCs w:val="18"/>
                <w14:textFill>
                  <w14:solidFill>
                    <w14:schemeClr w14:val="tx1"/>
                  </w14:solidFill>
                </w14:textFill>
              </w:rPr>
              <w:t>（15m排气筒）</w:t>
            </w:r>
          </w:p>
        </w:tc>
        <w:tc>
          <w:tcPr>
            <w:tcW w:w="2471" w:type="dxa"/>
            <w:vMerge w:val="restart"/>
            <w:vAlign w:val="center"/>
          </w:tcPr>
          <w:p w14:paraId="62EEDAA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《大气污染物综合排放标准》（GB16297-1996）表2</w:t>
            </w:r>
          </w:p>
        </w:tc>
      </w:tr>
      <w:tr w14:paraId="6647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15C3101">
            <w:pPr>
              <w:rPr>
                <w:rFonts w:ascii="Times New Roman" w:hAnsi="Times New Roman" w:cs="Times New Roman"/>
                <w:color w:val="FF0000"/>
                <w:sz w:val="18"/>
                <w:szCs w:val="18"/>
              </w:rPr>
            </w:pPr>
          </w:p>
        </w:tc>
        <w:tc>
          <w:tcPr>
            <w:tcW w:w="1165" w:type="dxa"/>
            <w:vMerge w:val="continue"/>
            <w:vAlign w:val="center"/>
          </w:tcPr>
          <w:p w14:paraId="78D0D60B">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7EB054C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w:t>
            </w:r>
            <w:r>
              <w:rPr>
                <w:rFonts w:hint="eastAsia" w:cs="Times New Roman"/>
                <w:color w:val="000000" w:themeColor="text1"/>
                <w:sz w:val="18"/>
                <w:szCs w:val="18"/>
                <w14:textFill>
                  <w14:solidFill>
                    <w14:schemeClr w14:val="tx1"/>
                  </w14:solidFill>
                </w14:textFill>
              </w:rPr>
              <w:t>转运站</w:t>
            </w:r>
          </w:p>
        </w:tc>
        <w:tc>
          <w:tcPr>
            <w:tcW w:w="1227" w:type="dxa"/>
            <w:vAlign w:val="center"/>
          </w:tcPr>
          <w:p w14:paraId="4DB0A4E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continue"/>
            <w:vAlign w:val="center"/>
          </w:tcPr>
          <w:p w14:paraId="0CB38A64">
            <w:pPr>
              <w:rPr>
                <w:rFonts w:ascii="Times New Roman" w:hAnsi="Times New Roman" w:cs="Times New Roman"/>
                <w:color w:val="000000" w:themeColor="text1"/>
                <w:sz w:val="18"/>
                <w:szCs w:val="18"/>
                <w14:textFill>
                  <w14:solidFill>
                    <w14:schemeClr w14:val="tx1"/>
                  </w14:solidFill>
                </w14:textFill>
              </w:rPr>
            </w:pPr>
          </w:p>
        </w:tc>
        <w:tc>
          <w:tcPr>
            <w:tcW w:w="1684" w:type="dxa"/>
            <w:vAlign w:val="center"/>
          </w:tcPr>
          <w:p w14:paraId="5ED0C89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袋式除尘器+15m排气筒</w:t>
            </w:r>
          </w:p>
        </w:tc>
        <w:tc>
          <w:tcPr>
            <w:tcW w:w="784" w:type="dxa"/>
            <w:vAlign w:val="center"/>
          </w:tcPr>
          <w:p w14:paraId="0AAC0D6B">
            <w:pPr>
              <w:jc w:val="center"/>
              <w:rPr>
                <w:rFonts w:ascii="Times New Roman" w:hAnsi="Times New Roman" w:cs="Times New Roman"/>
                <w:color w:val="FF0000"/>
                <w:sz w:val="18"/>
                <w:szCs w:val="18"/>
              </w:rPr>
            </w:pPr>
            <w:r>
              <w:rPr>
                <w:rFonts w:ascii="Times New Roman" w:hAnsi="Times New Roman" w:cs="Times New Roman"/>
                <w:color w:val="000000"/>
                <w:sz w:val="18"/>
                <w:szCs w:val="18"/>
              </w:rPr>
              <w:t>15</w:t>
            </w:r>
          </w:p>
        </w:tc>
        <w:tc>
          <w:tcPr>
            <w:tcW w:w="1302" w:type="dxa"/>
            <w:vAlign w:val="center"/>
          </w:tcPr>
          <w:p w14:paraId="058B7D11">
            <w:pPr>
              <w:jc w:val="center"/>
              <w:rPr>
                <w:rFonts w:ascii="Times New Roman" w:hAnsi="Times New Roman" w:cs="Times New Roman"/>
                <w:color w:val="FF0000"/>
                <w:sz w:val="18"/>
                <w:szCs w:val="18"/>
              </w:rPr>
            </w:pPr>
            <w:r>
              <w:rPr>
                <w:rFonts w:ascii="Times New Roman" w:hAnsi="Times New Roman" w:cs="Times New Roman"/>
                <w:color w:val="000000"/>
                <w:sz w:val="18"/>
                <w:szCs w:val="18"/>
              </w:rPr>
              <w:t>0.15</w:t>
            </w:r>
          </w:p>
        </w:tc>
        <w:tc>
          <w:tcPr>
            <w:tcW w:w="907" w:type="dxa"/>
            <w:vAlign w:val="center"/>
          </w:tcPr>
          <w:p w14:paraId="5349BBAF">
            <w:pPr>
              <w:jc w:val="center"/>
              <w:rPr>
                <w:rFonts w:ascii="Times New Roman" w:hAnsi="Times New Roman" w:cs="Times New Roman"/>
                <w:color w:val="FF0000"/>
                <w:sz w:val="18"/>
                <w:szCs w:val="18"/>
              </w:rPr>
            </w:pPr>
            <w:r>
              <w:rPr>
                <w:rFonts w:ascii="Times New Roman" w:hAnsi="Times New Roman" w:cs="Times New Roman"/>
                <w:color w:val="000000"/>
                <w:sz w:val="18"/>
                <w:szCs w:val="18"/>
              </w:rPr>
              <w:t>1.2</w:t>
            </w:r>
          </w:p>
        </w:tc>
        <w:tc>
          <w:tcPr>
            <w:tcW w:w="692" w:type="dxa"/>
            <w:vAlign w:val="center"/>
          </w:tcPr>
          <w:p w14:paraId="4EB1FF7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w:t>
            </w:r>
          </w:p>
        </w:tc>
        <w:tc>
          <w:tcPr>
            <w:tcW w:w="709" w:type="dxa"/>
            <w:vAlign w:val="center"/>
          </w:tcPr>
          <w:p w14:paraId="1DA3533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3.5</w:t>
            </w:r>
            <w:r>
              <w:rPr>
                <w:rFonts w:hint="eastAsia" w:ascii="Times New Roman" w:hAnsi="Times New Roman" w:cs="Times New Roman"/>
                <w:color w:val="000000" w:themeColor="text1"/>
                <w:sz w:val="18"/>
                <w:szCs w:val="18"/>
                <w14:textFill>
                  <w14:solidFill>
                    <w14:schemeClr w14:val="tx1"/>
                  </w14:solidFill>
                </w14:textFill>
              </w:rPr>
              <w:t>（15m排气筒）</w:t>
            </w:r>
          </w:p>
        </w:tc>
        <w:tc>
          <w:tcPr>
            <w:tcW w:w="2471" w:type="dxa"/>
            <w:vMerge w:val="continue"/>
            <w:vAlign w:val="center"/>
          </w:tcPr>
          <w:p w14:paraId="1DBC925E">
            <w:pPr>
              <w:rPr>
                <w:rFonts w:ascii="Times New Roman" w:hAnsi="Times New Roman" w:cs="Times New Roman"/>
                <w:color w:val="000000" w:themeColor="text1"/>
                <w:sz w:val="18"/>
                <w:szCs w:val="18"/>
                <w14:textFill>
                  <w14:solidFill>
                    <w14:schemeClr w14:val="tx1"/>
                  </w14:solidFill>
                </w14:textFill>
              </w:rPr>
            </w:pPr>
          </w:p>
        </w:tc>
      </w:tr>
      <w:tr w14:paraId="5272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E601DD8">
            <w:pPr>
              <w:rPr>
                <w:rFonts w:ascii="Times New Roman" w:hAnsi="Times New Roman" w:cs="Times New Roman"/>
                <w:color w:val="FF0000"/>
                <w:sz w:val="18"/>
                <w:szCs w:val="18"/>
              </w:rPr>
            </w:pPr>
          </w:p>
        </w:tc>
        <w:tc>
          <w:tcPr>
            <w:tcW w:w="1165" w:type="dxa"/>
            <w:vMerge w:val="continue"/>
            <w:vAlign w:val="center"/>
          </w:tcPr>
          <w:p w14:paraId="7865D7C8">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76141EA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r>
              <w:rPr>
                <w:rFonts w:hint="eastAsia" w:cs="Times New Roman"/>
                <w:color w:val="000000" w:themeColor="text1"/>
                <w:sz w:val="18"/>
                <w:szCs w:val="18"/>
                <w14:textFill>
                  <w14:solidFill>
                    <w14:schemeClr w14:val="tx1"/>
                  </w14:solidFill>
                </w14:textFill>
              </w:rPr>
              <w:t>转运站</w:t>
            </w:r>
          </w:p>
        </w:tc>
        <w:tc>
          <w:tcPr>
            <w:tcW w:w="1227" w:type="dxa"/>
            <w:vAlign w:val="center"/>
          </w:tcPr>
          <w:p w14:paraId="7CE89E0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颗粒物</w:t>
            </w:r>
          </w:p>
        </w:tc>
        <w:tc>
          <w:tcPr>
            <w:tcW w:w="633" w:type="dxa"/>
            <w:vMerge w:val="continue"/>
            <w:vAlign w:val="center"/>
          </w:tcPr>
          <w:p w14:paraId="030400D0">
            <w:pPr>
              <w:rPr>
                <w:rFonts w:ascii="Times New Roman" w:hAnsi="Times New Roman" w:cs="Times New Roman"/>
                <w:color w:val="000000" w:themeColor="text1"/>
                <w:sz w:val="18"/>
                <w:szCs w:val="18"/>
                <w14:textFill>
                  <w14:solidFill>
                    <w14:schemeClr w14:val="tx1"/>
                  </w14:solidFill>
                </w14:textFill>
              </w:rPr>
            </w:pPr>
          </w:p>
        </w:tc>
        <w:tc>
          <w:tcPr>
            <w:tcW w:w="1684" w:type="dxa"/>
            <w:vAlign w:val="center"/>
          </w:tcPr>
          <w:p w14:paraId="4B9FE5E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袋式除尘器+15m排气筒</w:t>
            </w:r>
          </w:p>
        </w:tc>
        <w:tc>
          <w:tcPr>
            <w:tcW w:w="784" w:type="dxa"/>
            <w:vAlign w:val="center"/>
          </w:tcPr>
          <w:p w14:paraId="5044C869">
            <w:pPr>
              <w:jc w:val="center"/>
              <w:rPr>
                <w:rFonts w:ascii="Times New Roman" w:hAnsi="Times New Roman" w:cs="Times New Roman"/>
                <w:color w:val="FF0000"/>
                <w:sz w:val="18"/>
                <w:szCs w:val="18"/>
              </w:rPr>
            </w:pPr>
            <w:r>
              <w:rPr>
                <w:rFonts w:ascii="Times New Roman" w:hAnsi="Times New Roman" w:cs="Times New Roman"/>
                <w:color w:val="000000"/>
                <w:sz w:val="18"/>
                <w:szCs w:val="18"/>
              </w:rPr>
              <w:t>15</w:t>
            </w:r>
          </w:p>
        </w:tc>
        <w:tc>
          <w:tcPr>
            <w:tcW w:w="1302" w:type="dxa"/>
            <w:vAlign w:val="center"/>
          </w:tcPr>
          <w:p w14:paraId="79C932AB">
            <w:pPr>
              <w:jc w:val="center"/>
              <w:rPr>
                <w:rFonts w:ascii="Times New Roman" w:hAnsi="Times New Roman" w:cs="Times New Roman"/>
                <w:color w:val="FF0000"/>
                <w:sz w:val="18"/>
                <w:szCs w:val="18"/>
              </w:rPr>
            </w:pPr>
            <w:r>
              <w:rPr>
                <w:rFonts w:ascii="Times New Roman" w:hAnsi="Times New Roman" w:cs="Times New Roman"/>
                <w:color w:val="000000"/>
                <w:sz w:val="18"/>
                <w:szCs w:val="18"/>
              </w:rPr>
              <w:t>0.15</w:t>
            </w:r>
          </w:p>
        </w:tc>
        <w:tc>
          <w:tcPr>
            <w:tcW w:w="907" w:type="dxa"/>
            <w:vAlign w:val="center"/>
          </w:tcPr>
          <w:p w14:paraId="36A9B1BF">
            <w:pPr>
              <w:jc w:val="center"/>
              <w:rPr>
                <w:rFonts w:ascii="Times New Roman" w:hAnsi="Times New Roman" w:cs="Times New Roman"/>
                <w:color w:val="FF0000"/>
                <w:sz w:val="18"/>
                <w:szCs w:val="18"/>
              </w:rPr>
            </w:pPr>
            <w:r>
              <w:rPr>
                <w:rFonts w:ascii="Times New Roman" w:hAnsi="Times New Roman" w:cs="Times New Roman"/>
                <w:color w:val="000000"/>
                <w:sz w:val="18"/>
                <w:szCs w:val="18"/>
              </w:rPr>
              <w:t>1.2</w:t>
            </w:r>
          </w:p>
        </w:tc>
        <w:tc>
          <w:tcPr>
            <w:tcW w:w="692" w:type="dxa"/>
            <w:vAlign w:val="center"/>
          </w:tcPr>
          <w:p w14:paraId="2714CE5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w:t>
            </w:r>
          </w:p>
        </w:tc>
        <w:tc>
          <w:tcPr>
            <w:tcW w:w="709" w:type="dxa"/>
            <w:vAlign w:val="center"/>
          </w:tcPr>
          <w:p w14:paraId="643BE2C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90.76（62m排气筒）</w:t>
            </w:r>
          </w:p>
        </w:tc>
        <w:tc>
          <w:tcPr>
            <w:tcW w:w="2471" w:type="dxa"/>
            <w:vMerge w:val="continue"/>
            <w:vAlign w:val="center"/>
          </w:tcPr>
          <w:p w14:paraId="6877AE9A">
            <w:pPr>
              <w:rPr>
                <w:rFonts w:ascii="Times New Roman" w:hAnsi="Times New Roman" w:cs="Times New Roman"/>
                <w:color w:val="000000" w:themeColor="text1"/>
                <w:sz w:val="18"/>
                <w:szCs w:val="18"/>
                <w14:textFill>
                  <w14:solidFill>
                    <w14:schemeClr w14:val="tx1"/>
                  </w14:solidFill>
                </w14:textFill>
              </w:rPr>
            </w:pPr>
          </w:p>
        </w:tc>
      </w:tr>
      <w:tr w14:paraId="45D8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42655E8">
            <w:pPr>
              <w:rPr>
                <w:rFonts w:ascii="Times New Roman" w:hAnsi="Times New Roman" w:cs="Times New Roman"/>
                <w:color w:val="FF0000"/>
                <w:sz w:val="18"/>
                <w:szCs w:val="18"/>
              </w:rPr>
            </w:pPr>
          </w:p>
        </w:tc>
        <w:tc>
          <w:tcPr>
            <w:tcW w:w="1165" w:type="dxa"/>
            <w:vMerge w:val="continue"/>
            <w:vAlign w:val="center"/>
          </w:tcPr>
          <w:p w14:paraId="4DBA4A98">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7ECC9496">
            <w:pPr>
              <w:jc w:val="center"/>
              <w:rPr>
                <w:rFonts w:ascii="Times New Roman" w:hAnsi="Times New Roman" w:cs="Times New Roman"/>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综合罐组无组织废气</w:t>
            </w:r>
          </w:p>
        </w:tc>
        <w:tc>
          <w:tcPr>
            <w:tcW w:w="1227" w:type="dxa"/>
            <w:vAlign w:val="center"/>
          </w:tcPr>
          <w:p w14:paraId="096D49DD">
            <w:pPr>
              <w:jc w:val="center"/>
              <w:rPr>
                <w:rFonts w:ascii="Times New Roman" w:hAnsi="Times New Roman" w:cs="Times New Roman"/>
                <w:color w:val="FF0000"/>
                <w:sz w:val="18"/>
                <w:szCs w:val="18"/>
              </w:rPr>
            </w:pPr>
            <w:r>
              <w:rPr>
                <w:rFonts w:ascii="Times New Roman" w:hAnsi="Times New Roman" w:cs="Times New Roman"/>
                <w:color w:val="000000"/>
                <w:sz w:val="18"/>
                <w:szCs w:val="18"/>
              </w:rPr>
              <w:t>NMHC</w:t>
            </w:r>
          </w:p>
        </w:tc>
        <w:tc>
          <w:tcPr>
            <w:tcW w:w="633" w:type="dxa"/>
            <w:vMerge w:val="restart"/>
            <w:vAlign w:val="center"/>
          </w:tcPr>
          <w:p w14:paraId="40B75111">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无组织</w:t>
            </w:r>
          </w:p>
        </w:tc>
        <w:tc>
          <w:tcPr>
            <w:tcW w:w="1684" w:type="dxa"/>
            <w:vAlign w:val="center"/>
          </w:tcPr>
          <w:p w14:paraId="53ADD2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4E6B334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02" w:type="dxa"/>
            <w:vAlign w:val="center"/>
          </w:tcPr>
          <w:p w14:paraId="019B7601">
            <w:pPr>
              <w:jc w:val="center"/>
              <w:rPr>
                <w:rFonts w:ascii="Times New Roman" w:hAnsi="Times New Roman" w:cs="Times New Roman"/>
                <w:color w:val="FF0000"/>
                <w:sz w:val="18"/>
                <w:szCs w:val="18"/>
              </w:rPr>
            </w:pPr>
            <w:r>
              <w:rPr>
                <w:rFonts w:ascii="Times New Roman" w:hAnsi="Times New Roman" w:cs="Times New Roman"/>
                <w:color w:val="000000"/>
                <w:sz w:val="18"/>
                <w:szCs w:val="18"/>
              </w:rPr>
              <w:t>0.030</w:t>
            </w:r>
          </w:p>
        </w:tc>
        <w:tc>
          <w:tcPr>
            <w:tcW w:w="907" w:type="dxa"/>
            <w:vAlign w:val="center"/>
          </w:tcPr>
          <w:p w14:paraId="440AA8DA">
            <w:pPr>
              <w:jc w:val="center"/>
              <w:rPr>
                <w:rFonts w:ascii="Times New Roman" w:hAnsi="Times New Roman" w:cs="Times New Roman"/>
                <w:color w:val="FF0000"/>
                <w:sz w:val="18"/>
                <w:szCs w:val="18"/>
              </w:rPr>
            </w:pPr>
            <w:r>
              <w:rPr>
                <w:rFonts w:ascii="Times New Roman" w:hAnsi="Times New Roman" w:cs="Times New Roman"/>
                <w:color w:val="000000"/>
                <w:sz w:val="18"/>
                <w:szCs w:val="18"/>
              </w:rPr>
              <w:t>0.241</w:t>
            </w:r>
          </w:p>
        </w:tc>
        <w:tc>
          <w:tcPr>
            <w:tcW w:w="692" w:type="dxa"/>
            <w:vAlign w:val="center"/>
          </w:tcPr>
          <w:p w14:paraId="67FC9EA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615EF10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1250EE76">
            <w:pP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《石油化学工业污染物排放标准》（GB31571-2015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含2024年修改单）表7</w:t>
            </w:r>
          </w:p>
        </w:tc>
      </w:tr>
      <w:tr w14:paraId="0A6A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E23B4C9">
            <w:pPr>
              <w:rPr>
                <w:rFonts w:ascii="Times New Roman" w:hAnsi="Times New Roman" w:cs="Times New Roman"/>
                <w:color w:val="FF0000"/>
                <w:sz w:val="18"/>
                <w:szCs w:val="18"/>
              </w:rPr>
            </w:pPr>
          </w:p>
        </w:tc>
        <w:tc>
          <w:tcPr>
            <w:tcW w:w="1165" w:type="dxa"/>
            <w:vMerge w:val="continue"/>
            <w:vAlign w:val="center"/>
          </w:tcPr>
          <w:p w14:paraId="2ADB44CF">
            <w:pPr>
              <w:rPr>
                <w:rFonts w:ascii="Times New Roman" w:hAnsi="Times New Roman" w:cs="Times New Roman"/>
                <w:color w:val="FF0000"/>
                <w:sz w:val="18"/>
                <w:szCs w:val="18"/>
              </w:rPr>
            </w:pPr>
          </w:p>
        </w:tc>
        <w:tc>
          <w:tcPr>
            <w:tcW w:w="1746" w:type="dxa"/>
            <w:vAlign w:val="center"/>
          </w:tcPr>
          <w:p w14:paraId="38EB7F1C">
            <w:pPr>
              <w:jc w:val="center"/>
              <w:rPr>
                <w:rFonts w:ascii="Times New Roman" w:hAnsi="Times New Roman" w:cs="Times New Roman"/>
                <w:color w:val="FF0000"/>
                <w:sz w:val="18"/>
                <w:szCs w:val="18"/>
              </w:rPr>
            </w:pPr>
            <w:r>
              <w:rPr>
                <w:rFonts w:hint="eastAsia"/>
                <w:color w:val="000000"/>
                <w:sz w:val="18"/>
                <w:szCs w:val="18"/>
              </w:rPr>
              <w:t>亚硝酸甲酯罐组</w:t>
            </w:r>
          </w:p>
        </w:tc>
        <w:tc>
          <w:tcPr>
            <w:tcW w:w="1227" w:type="dxa"/>
            <w:vAlign w:val="center"/>
          </w:tcPr>
          <w:p w14:paraId="3D781AB5">
            <w:pPr>
              <w:jc w:val="center"/>
              <w:rPr>
                <w:rFonts w:ascii="Times New Roman" w:hAnsi="Times New Roman" w:cs="Times New Roman"/>
                <w:color w:val="FF0000"/>
                <w:sz w:val="18"/>
                <w:szCs w:val="18"/>
              </w:rPr>
            </w:pPr>
            <w:r>
              <w:rPr>
                <w:rFonts w:ascii="Times New Roman" w:hAnsi="Times New Roman" w:cs="Times New Roman"/>
                <w:color w:val="000000"/>
                <w:sz w:val="18"/>
                <w:szCs w:val="18"/>
              </w:rPr>
              <w:t>NMHC</w:t>
            </w:r>
          </w:p>
        </w:tc>
        <w:tc>
          <w:tcPr>
            <w:tcW w:w="633" w:type="dxa"/>
            <w:vMerge w:val="continue"/>
            <w:vAlign w:val="center"/>
          </w:tcPr>
          <w:p w14:paraId="43A55ACF">
            <w:pPr>
              <w:rPr>
                <w:rFonts w:ascii="Times New Roman" w:hAnsi="Times New Roman" w:cs="Times New Roman"/>
                <w:color w:val="FF0000"/>
                <w:sz w:val="18"/>
                <w:szCs w:val="18"/>
              </w:rPr>
            </w:pPr>
          </w:p>
        </w:tc>
        <w:tc>
          <w:tcPr>
            <w:tcW w:w="1684" w:type="dxa"/>
            <w:vAlign w:val="center"/>
          </w:tcPr>
          <w:p w14:paraId="399994D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53F097B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02" w:type="dxa"/>
            <w:vAlign w:val="center"/>
          </w:tcPr>
          <w:p w14:paraId="4FF8E826">
            <w:pPr>
              <w:jc w:val="center"/>
              <w:rPr>
                <w:rFonts w:ascii="Times New Roman" w:hAnsi="Times New Roman" w:cs="Times New Roman"/>
                <w:color w:val="FF0000"/>
                <w:sz w:val="18"/>
                <w:szCs w:val="18"/>
              </w:rPr>
            </w:pPr>
            <w:r>
              <w:rPr>
                <w:rFonts w:ascii="Times New Roman" w:hAnsi="Times New Roman" w:cs="Times New Roman"/>
                <w:color w:val="000000"/>
                <w:sz w:val="18"/>
                <w:szCs w:val="18"/>
              </w:rPr>
              <w:t>0.016</w:t>
            </w:r>
          </w:p>
        </w:tc>
        <w:tc>
          <w:tcPr>
            <w:tcW w:w="907" w:type="dxa"/>
            <w:vAlign w:val="center"/>
          </w:tcPr>
          <w:p w14:paraId="1AEEDB24">
            <w:pPr>
              <w:jc w:val="center"/>
              <w:rPr>
                <w:rFonts w:ascii="Times New Roman" w:hAnsi="Times New Roman" w:cs="Times New Roman"/>
                <w:color w:val="FF0000"/>
                <w:sz w:val="18"/>
                <w:szCs w:val="18"/>
              </w:rPr>
            </w:pPr>
            <w:r>
              <w:rPr>
                <w:rFonts w:ascii="Times New Roman" w:hAnsi="Times New Roman" w:cs="Times New Roman"/>
                <w:color w:val="000000"/>
                <w:sz w:val="18"/>
                <w:szCs w:val="18"/>
              </w:rPr>
              <w:t>0.13</w:t>
            </w:r>
          </w:p>
        </w:tc>
        <w:tc>
          <w:tcPr>
            <w:tcW w:w="692" w:type="dxa"/>
            <w:vAlign w:val="center"/>
          </w:tcPr>
          <w:p w14:paraId="5859A5AE">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0235E77F">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68FE9A19">
            <w:pPr>
              <w:rPr>
                <w:rFonts w:ascii="Times New Roman" w:hAnsi="Times New Roman" w:cs="Times New Roman"/>
                <w:color w:val="FF0000"/>
                <w:sz w:val="18"/>
                <w:szCs w:val="18"/>
              </w:rPr>
            </w:pPr>
          </w:p>
        </w:tc>
      </w:tr>
      <w:tr w14:paraId="2EB8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6FB4A68">
            <w:pPr>
              <w:rPr>
                <w:rFonts w:ascii="Times New Roman" w:hAnsi="Times New Roman" w:cs="Times New Roman"/>
                <w:color w:val="FF0000"/>
                <w:sz w:val="18"/>
                <w:szCs w:val="18"/>
              </w:rPr>
            </w:pPr>
          </w:p>
        </w:tc>
        <w:tc>
          <w:tcPr>
            <w:tcW w:w="1165" w:type="dxa"/>
            <w:vMerge w:val="continue"/>
            <w:vAlign w:val="center"/>
          </w:tcPr>
          <w:p w14:paraId="61624B1A">
            <w:pPr>
              <w:rPr>
                <w:rFonts w:ascii="Times New Roman" w:hAnsi="Times New Roman" w:cs="Times New Roman"/>
                <w:color w:val="FF0000"/>
                <w:sz w:val="18"/>
                <w:szCs w:val="18"/>
              </w:rPr>
            </w:pPr>
          </w:p>
        </w:tc>
        <w:tc>
          <w:tcPr>
            <w:tcW w:w="1746" w:type="dxa"/>
            <w:vAlign w:val="center"/>
          </w:tcPr>
          <w:p w14:paraId="12E7FDB0">
            <w:pPr>
              <w:jc w:val="center"/>
              <w:rPr>
                <w:rFonts w:ascii="Times New Roman" w:hAnsi="Times New Roman" w:cs="Times New Roman"/>
                <w:color w:val="FF0000"/>
                <w:sz w:val="18"/>
                <w:szCs w:val="18"/>
              </w:rPr>
            </w:pPr>
            <w:r>
              <w:rPr>
                <w:rFonts w:hint="eastAsia"/>
                <w:color w:val="000000"/>
                <w:sz w:val="18"/>
                <w:szCs w:val="18"/>
              </w:rPr>
              <w:t>中间产品罐组</w:t>
            </w:r>
          </w:p>
        </w:tc>
        <w:tc>
          <w:tcPr>
            <w:tcW w:w="1227" w:type="dxa"/>
            <w:vAlign w:val="center"/>
          </w:tcPr>
          <w:p w14:paraId="68FC0939">
            <w:pPr>
              <w:jc w:val="center"/>
              <w:rPr>
                <w:rFonts w:ascii="Times New Roman" w:hAnsi="Times New Roman" w:cs="Times New Roman"/>
                <w:color w:val="FF0000"/>
                <w:sz w:val="18"/>
                <w:szCs w:val="18"/>
              </w:rPr>
            </w:pPr>
            <w:r>
              <w:rPr>
                <w:rFonts w:ascii="Times New Roman" w:hAnsi="Times New Roman" w:cs="Times New Roman"/>
                <w:color w:val="000000"/>
                <w:sz w:val="18"/>
                <w:szCs w:val="18"/>
              </w:rPr>
              <w:t>NMHC</w:t>
            </w:r>
          </w:p>
        </w:tc>
        <w:tc>
          <w:tcPr>
            <w:tcW w:w="633" w:type="dxa"/>
            <w:vMerge w:val="continue"/>
            <w:vAlign w:val="center"/>
          </w:tcPr>
          <w:p w14:paraId="27FACA11">
            <w:pPr>
              <w:rPr>
                <w:rFonts w:ascii="Times New Roman" w:hAnsi="Times New Roman" w:cs="Times New Roman"/>
                <w:color w:val="FF0000"/>
                <w:sz w:val="18"/>
                <w:szCs w:val="18"/>
              </w:rPr>
            </w:pPr>
          </w:p>
        </w:tc>
        <w:tc>
          <w:tcPr>
            <w:tcW w:w="1684" w:type="dxa"/>
            <w:vAlign w:val="center"/>
          </w:tcPr>
          <w:p w14:paraId="5B26B96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77A38C5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02" w:type="dxa"/>
            <w:vAlign w:val="center"/>
          </w:tcPr>
          <w:p w14:paraId="584BE356">
            <w:pPr>
              <w:jc w:val="center"/>
              <w:rPr>
                <w:rFonts w:ascii="Times New Roman" w:hAnsi="Times New Roman" w:cs="Times New Roman"/>
                <w:color w:val="FF0000"/>
                <w:sz w:val="18"/>
                <w:szCs w:val="18"/>
              </w:rPr>
            </w:pPr>
            <w:r>
              <w:rPr>
                <w:rFonts w:ascii="Times New Roman" w:hAnsi="Times New Roman" w:cs="Times New Roman"/>
                <w:color w:val="000000"/>
                <w:sz w:val="18"/>
                <w:szCs w:val="18"/>
              </w:rPr>
              <w:t>0.185</w:t>
            </w:r>
          </w:p>
        </w:tc>
        <w:tc>
          <w:tcPr>
            <w:tcW w:w="907" w:type="dxa"/>
            <w:vAlign w:val="center"/>
          </w:tcPr>
          <w:p w14:paraId="725D2C49">
            <w:pPr>
              <w:jc w:val="center"/>
              <w:rPr>
                <w:rFonts w:ascii="Times New Roman" w:hAnsi="Times New Roman" w:cs="Times New Roman"/>
                <w:color w:val="FF0000"/>
                <w:sz w:val="18"/>
                <w:szCs w:val="18"/>
              </w:rPr>
            </w:pPr>
            <w:r>
              <w:rPr>
                <w:rFonts w:ascii="Times New Roman" w:hAnsi="Times New Roman" w:cs="Times New Roman"/>
                <w:color w:val="000000"/>
                <w:sz w:val="18"/>
                <w:szCs w:val="18"/>
              </w:rPr>
              <w:t>1.48</w:t>
            </w:r>
          </w:p>
        </w:tc>
        <w:tc>
          <w:tcPr>
            <w:tcW w:w="692" w:type="dxa"/>
            <w:vAlign w:val="center"/>
          </w:tcPr>
          <w:p w14:paraId="7B78E8BF">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6885EDE1">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503D2BC">
            <w:pPr>
              <w:rPr>
                <w:rFonts w:ascii="Times New Roman" w:hAnsi="Times New Roman" w:cs="Times New Roman"/>
                <w:color w:val="FF0000"/>
                <w:sz w:val="18"/>
                <w:szCs w:val="18"/>
              </w:rPr>
            </w:pPr>
          </w:p>
        </w:tc>
      </w:tr>
      <w:tr w14:paraId="53F0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67E749F">
            <w:pPr>
              <w:rPr>
                <w:rFonts w:ascii="Times New Roman" w:hAnsi="Times New Roman" w:cs="Times New Roman"/>
                <w:color w:val="FF0000"/>
                <w:sz w:val="18"/>
                <w:szCs w:val="18"/>
              </w:rPr>
            </w:pPr>
          </w:p>
        </w:tc>
        <w:tc>
          <w:tcPr>
            <w:tcW w:w="1165" w:type="dxa"/>
            <w:vMerge w:val="continue"/>
            <w:vAlign w:val="center"/>
          </w:tcPr>
          <w:p w14:paraId="6C4CDCEA">
            <w:pPr>
              <w:rPr>
                <w:rFonts w:ascii="Times New Roman" w:hAnsi="Times New Roman" w:cs="Times New Roman"/>
                <w:color w:val="FF0000"/>
                <w:sz w:val="18"/>
                <w:szCs w:val="18"/>
              </w:rPr>
            </w:pPr>
          </w:p>
        </w:tc>
        <w:tc>
          <w:tcPr>
            <w:tcW w:w="1746" w:type="dxa"/>
            <w:vAlign w:val="center"/>
          </w:tcPr>
          <w:p w14:paraId="5BC3DF3D">
            <w:pPr>
              <w:jc w:val="center"/>
              <w:rPr>
                <w:rFonts w:ascii="Times New Roman" w:hAnsi="Times New Roman" w:cs="Times New Roman"/>
                <w:color w:val="FF0000"/>
                <w:sz w:val="18"/>
                <w:szCs w:val="18"/>
              </w:rPr>
            </w:pPr>
            <w:r>
              <w:rPr>
                <w:rFonts w:hint="eastAsia"/>
                <w:color w:val="000000"/>
                <w:sz w:val="18"/>
                <w:szCs w:val="18"/>
              </w:rPr>
              <w:t>汽车装卸站无组织废气</w:t>
            </w:r>
          </w:p>
        </w:tc>
        <w:tc>
          <w:tcPr>
            <w:tcW w:w="1227" w:type="dxa"/>
            <w:vAlign w:val="center"/>
          </w:tcPr>
          <w:p w14:paraId="04580619">
            <w:pPr>
              <w:jc w:val="center"/>
              <w:rPr>
                <w:rFonts w:ascii="Times New Roman" w:hAnsi="Times New Roman" w:cs="Times New Roman"/>
                <w:color w:val="FF0000"/>
                <w:sz w:val="18"/>
                <w:szCs w:val="18"/>
              </w:rPr>
            </w:pPr>
            <w:r>
              <w:rPr>
                <w:rFonts w:ascii="Times New Roman" w:hAnsi="Times New Roman" w:cs="Times New Roman"/>
                <w:color w:val="000000"/>
                <w:sz w:val="18"/>
                <w:szCs w:val="18"/>
              </w:rPr>
              <w:t>NMHC</w:t>
            </w:r>
          </w:p>
        </w:tc>
        <w:tc>
          <w:tcPr>
            <w:tcW w:w="633" w:type="dxa"/>
            <w:vMerge w:val="continue"/>
            <w:vAlign w:val="center"/>
          </w:tcPr>
          <w:p w14:paraId="3FEEA5E1">
            <w:pPr>
              <w:rPr>
                <w:rFonts w:ascii="Times New Roman" w:hAnsi="Times New Roman" w:cs="Times New Roman"/>
                <w:color w:val="FF0000"/>
                <w:sz w:val="18"/>
                <w:szCs w:val="18"/>
              </w:rPr>
            </w:pPr>
          </w:p>
        </w:tc>
        <w:tc>
          <w:tcPr>
            <w:tcW w:w="1684" w:type="dxa"/>
            <w:vAlign w:val="center"/>
          </w:tcPr>
          <w:p w14:paraId="415E767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5FF28E6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02" w:type="dxa"/>
            <w:vAlign w:val="center"/>
          </w:tcPr>
          <w:p w14:paraId="774D54C9">
            <w:pPr>
              <w:jc w:val="center"/>
              <w:rPr>
                <w:rFonts w:ascii="Times New Roman" w:hAnsi="Times New Roman" w:cs="Times New Roman"/>
                <w:color w:val="FF0000"/>
                <w:sz w:val="18"/>
                <w:szCs w:val="18"/>
              </w:rPr>
            </w:pPr>
            <w:r>
              <w:rPr>
                <w:rFonts w:ascii="Times New Roman" w:hAnsi="Times New Roman" w:cs="Times New Roman"/>
                <w:color w:val="000000"/>
                <w:sz w:val="18"/>
                <w:szCs w:val="18"/>
              </w:rPr>
              <w:t>0.021</w:t>
            </w:r>
          </w:p>
        </w:tc>
        <w:tc>
          <w:tcPr>
            <w:tcW w:w="907" w:type="dxa"/>
            <w:vAlign w:val="center"/>
          </w:tcPr>
          <w:p w14:paraId="6CBAA7A4">
            <w:pPr>
              <w:jc w:val="center"/>
              <w:rPr>
                <w:rFonts w:ascii="Times New Roman" w:hAnsi="Times New Roman" w:cs="Times New Roman"/>
                <w:color w:val="FF0000"/>
                <w:sz w:val="18"/>
                <w:szCs w:val="18"/>
              </w:rPr>
            </w:pPr>
            <w:r>
              <w:rPr>
                <w:rFonts w:ascii="Times New Roman" w:hAnsi="Times New Roman" w:cs="Times New Roman"/>
                <w:color w:val="000000"/>
                <w:sz w:val="18"/>
                <w:szCs w:val="18"/>
              </w:rPr>
              <w:t>0.17</w:t>
            </w:r>
          </w:p>
        </w:tc>
        <w:tc>
          <w:tcPr>
            <w:tcW w:w="692" w:type="dxa"/>
            <w:vAlign w:val="center"/>
          </w:tcPr>
          <w:p w14:paraId="4FBE2BE6">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4</w:t>
            </w:r>
          </w:p>
        </w:tc>
        <w:tc>
          <w:tcPr>
            <w:tcW w:w="709" w:type="dxa"/>
            <w:vAlign w:val="center"/>
          </w:tcPr>
          <w:p w14:paraId="4DA6F0FE">
            <w:pPr>
              <w:jc w:val="center"/>
              <w:rPr>
                <w:rFonts w:ascii="Times New Roman" w:hAnsi="Times New Roman" w:cs="Times New Roman"/>
                <w:color w:val="FF0000"/>
                <w:sz w:val="18"/>
                <w:szCs w:val="18"/>
              </w:rPr>
            </w:pPr>
            <w:r>
              <w:rPr>
                <w:rFonts w:hint="eastAsia"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18782355">
            <w:pPr>
              <w:rPr>
                <w:rFonts w:ascii="Times New Roman" w:hAnsi="Times New Roman" w:cs="Times New Roman"/>
                <w:color w:val="FF0000"/>
                <w:sz w:val="18"/>
                <w:szCs w:val="18"/>
              </w:rPr>
            </w:pPr>
          </w:p>
        </w:tc>
      </w:tr>
      <w:tr w14:paraId="721E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Align w:val="center"/>
          </w:tcPr>
          <w:p w14:paraId="3FE0573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噪声</w:t>
            </w:r>
          </w:p>
        </w:tc>
        <w:tc>
          <w:tcPr>
            <w:tcW w:w="2911" w:type="dxa"/>
            <w:gridSpan w:val="2"/>
            <w:vAlign w:val="center"/>
          </w:tcPr>
          <w:p w14:paraId="1C7DEF1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各装置设备噪声</w:t>
            </w:r>
          </w:p>
        </w:tc>
        <w:tc>
          <w:tcPr>
            <w:tcW w:w="1227" w:type="dxa"/>
            <w:vAlign w:val="center"/>
          </w:tcPr>
          <w:p w14:paraId="264AC5C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Leq</w:t>
            </w:r>
          </w:p>
        </w:tc>
        <w:tc>
          <w:tcPr>
            <w:tcW w:w="633" w:type="dxa"/>
            <w:vAlign w:val="center"/>
          </w:tcPr>
          <w:p w14:paraId="1D91935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74CE781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减震、隔声措施</w:t>
            </w:r>
          </w:p>
        </w:tc>
        <w:tc>
          <w:tcPr>
            <w:tcW w:w="784" w:type="dxa"/>
            <w:noWrap/>
            <w:vAlign w:val="center"/>
          </w:tcPr>
          <w:p w14:paraId="2FE15A5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35311D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54E16B2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692" w:type="dxa"/>
            <w:vAlign w:val="center"/>
          </w:tcPr>
          <w:p w14:paraId="66D9B58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915D2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6539B69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《工业企业厂界环境噪声排放标准》（GB12348－2008）中3类标准</w:t>
            </w:r>
          </w:p>
        </w:tc>
      </w:tr>
      <w:tr w14:paraId="488C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restart"/>
            <w:vAlign w:val="center"/>
          </w:tcPr>
          <w:p w14:paraId="1F8EDFE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固体废物</w:t>
            </w:r>
          </w:p>
        </w:tc>
        <w:tc>
          <w:tcPr>
            <w:tcW w:w="1165" w:type="dxa"/>
            <w:vMerge w:val="restart"/>
            <w:vAlign w:val="center"/>
          </w:tcPr>
          <w:p w14:paraId="472FFEA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危险废物</w:t>
            </w:r>
          </w:p>
        </w:tc>
        <w:tc>
          <w:tcPr>
            <w:tcW w:w="1746" w:type="dxa"/>
            <w:vMerge w:val="restart"/>
            <w:vAlign w:val="center"/>
          </w:tcPr>
          <w:p w14:paraId="174A0C5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净化及分离装置</w:t>
            </w:r>
          </w:p>
        </w:tc>
        <w:tc>
          <w:tcPr>
            <w:tcW w:w="1227" w:type="dxa"/>
            <w:vAlign w:val="center"/>
          </w:tcPr>
          <w:p w14:paraId="0EC72E42">
            <w:pPr>
              <w:pStyle w:val="557"/>
            </w:pPr>
            <w:r>
              <w:rPr>
                <w:rFonts w:hint="eastAsia"/>
              </w:rPr>
              <w:t>煤气冷却单元-</w:t>
            </w:r>
            <w:r>
              <w:t>废脱毒剂</w:t>
            </w:r>
          </w:p>
        </w:tc>
        <w:tc>
          <w:tcPr>
            <w:tcW w:w="633" w:type="dxa"/>
            <w:vAlign w:val="center"/>
          </w:tcPr>
          <w:p w14:paraId="0A46619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restart"/>
            <w:vAlign w:val="center"/>
          </w:tcPr>
          <w:p w14:paraId="491B6A0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在厂内暂存后，交由有资质单位处置</w:t>
            </w:r>
          </w:p>
        </w:tc>
        <w:tc>
          <w:tcPr>
            <w:tcW w:w="784" w:type="dxa"/>
            <w:noWrap/>
            <w:vAlign w:val="center"/>
          </w:tcPr>
          <w:p w14:paraId="3BBF458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33DBA56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0C6584A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D9F273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DB0C21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1114083D">
            <w:pPr>
              <w:jc w:val="center"/>
              <w:rPr>
                <w:rFonts w:ascii="Times New Roman" w:hAnsi="Times New Roman" w:cs="Times New Roman"/>
                <w:color w:val="FF0000"/>
                <w:sz w:val="18"/>
                <w:szCs w:val="18"/>
              </w:rPr>
            </w:pPr>
            <w:r>
              <w:rPr>
                <w:rFonts w:ascii="Times New Roman" w:hAnsi="Times New Roman" w:cs="Times New Roman"/>
                <w:color w:val="000000" w:themeColor="text1"/>
                <w:sz w:val="18"/>
                <w:szCs w:val="18"/>
                <w14:textFill>
                  <w14:solidFill>
                    <w14:schemeClr w14:val="tx1"/>
                  </w14:solidFill>
                </w14:textFill>
              </w:rPr>
              <w:t>《危险废物贮存污染控制标准》（GB18597－2023）</w:t>
            </w:r>
          </w:p>
        </w:tc>
      </w:tr>
      <w:tr w14:paraId="7339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D60E233">
            <w:pPr>
              <w:rPr>
                <w:rFonts w:ascii="Times New Roman" w:hAnsi="Times New Roman" w:cs="Times New Roman"/>
                <w:color w:val="FF0000"/>
                <w:sz w:val="18"/>
                <w:szCs w:val="18"/>
              </w:rPr>
            </w:pPr>
          </w:p>
        </w:tc>
        <w:tc>
          <w:tcPr>
            <w:tcW w:w="1165" w:type="dxa"/>
            <w:vMerge w:val="continue"/>
            <w:vAlign w:val="center"/>
          </w:tcPr>
          <w:p w14:paraId="68D2B211">
            <w:pPr>
              <w:rPr>
                <w:rFonts w:ascii="Times New Roman" w:hAnsi="Times New Roman" w:cs="Times New Roman"/>
                <w:color w:val="FF0000"/>
                <w:sz w:val="18"/>
                <w:szCs w:val="18"/>
              </w:rPr>
            </w:pPr>
          </w:p>
        </w:tc>
        <w:tc>
          <w:tcPr>
            <w:tcW w:w="1746" w:type="dxa"/>
            <w:vMerge w:val="continue"/>
            <w:vAlign w:val="center"/>
          </w:tcPr>
          <w:p w14:paraId="76061375">
            <w:pPr>
              <w:rPr>
                <w:rFonts w:ascii="Times New Roman" w:hAnsi="Times New Roman" w:cs="Times New Roman"/>
                <w:color w:val="FF0000"/>
                <w:sz w:val="18"/>
                <w:szCs w:val="18"/>
              </w:rPr>
            </w:pPr>
          </w:p>
        </w:tc>
        <w:tc>
          <w:tcPr>
            <w:tcW w:w="1227" w:type="dxa"/>
            <w:vAlign w:val="center"/>
          </w:tcPr>
          <w:p w14:paraId="6225752D">
            <w:pPr>
              <w:pStyle w:val="557"/>
            </w:pPr>
            <w:r>
              <w:rPr>
                <w:rFonts w:hint="eastAsia"/>
              </w:rPr>
              <w:t>煤气冷却单元-废水解剂</w:t>
            </w:r>
          </w:p>
        </w:tc>
        <w:tc>
          <w:tcPr>
            <w:tcW w:w="633" w:type="dxa"/>
            <w:vAlign w:val="center"/>
          </w:tcPr>
          <w:p w14:paraId="520D1AF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5BD11501">
            <w:pP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7F1FB0E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DD3BE6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3F3C5FB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0A31CC4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337661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F87AE63">
            <w:pPr>
              <w:rPr>
                <w:rFonts w:ascii="Times New Roman" w:hAnsi="Times New Roman" w:cs="Times New Roman"/>
                <w:color w:val="FF0000"/>
                <w:sz w:val="18"/>
                <w:szCs w:val="18"/>
              </w:rPr>
            </w:pPr>
          </w:p>
        </w:tc>
      </w:tr>
      <w:tr w14:paraId="0AB1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1C423E5">
            <w:pPr>
              <w:rPr>
                <w:rFonts w:ascii="Times New Roman" w:hAnsi="Times New Roman" w:cs="Times New Roman"/>
                <w:color w:val="FF0000"/>
                <w:sz w:val="18"/>
                <w:szCs w:val="18"/>
              </w:rPr>
            </w:pPr>
          </w:p>
        </w:tc>
        <w:tc>
          <w:tcPr>
            <w:tcW w:w="1165" w:type="dxa"/>
            <w:vMerge w:val="continue"/>
            <w:vAlign w:val="center"/>
          </w:tcPr>
          <w:p w14:paraId="2CA1CAA8">
            <w:pPr>
              <w:rPr>
                <w:rFonts w:ascii="Times New Roman" w:hAnsi="Times New Roman" w:cs="Times New Roman"/>
                <w:color w:val="FF0000"/>
                <w:sz w:val="18"/>
                <w:szCs w:val="18"/>
              </w:rPr>
            </w:pPr>
          </w:p>
        </w:tc>
        <w:tc>
          <w:tcPr>
            <w:tcW w:w="1746" w:type="dxa"/>
            <w:vMerge w:val="continue"/>
            <w:vAlign w:val="center"/>
          </w:tcPr>
          <w:p w14:paraId="55E846ED">
            <w:pPr>
              <w:rPr>
                <w:rFonts w:ascii="Times New Roman" w:hAnsi="Times New Roman" w:cs="Times New Roman"/>
                <w:color w:val="FF0000"/>
                <w:sz w:val="18"/>
                <w:szCs w:val="18"/>
              </w:rPr>
            </w:pPr>
          </w:p>
        </w:tc>
        <w:tc>
          <w:tcPr>
            <w:tcW w:w="1227" w:type="dxa"/>
            <w:vAlign w:val="center"/>
          </w:tcPr>
          <w:p w14:paraId="4AF5DF45">
            <w:pPr>
              <w:pStyle w:val="557"/>
              <w:rPr>
                <w:color w:val="FF0000"/>
              </w:rPr>
            </w:pPr>
            <w:r>
              <w:t>废脱硝催化剂</w:t>
            </w:r>
          </w:p>
        </w:tc>
        <w:tc>
          <w:tcPr>
            <w:tcW w:w="633" w:type="dxa"/>
            <w:vAlign w:val="center"/>
          </w:tcPr>
          <w:p w14:paraId="5583267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2368941B">
            <w:pP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7E068B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C266AD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8DD702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2237A6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61BA82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E0E6E7A">
            <w:pPr>
              <w:rPr>
                <w:rFonts w:ascii="Times New Roman" w:hAnsi="Times New Roman" w:cs="Times New Roman"/>
                <w:color w:val="FF0000"/>
                <w:sz w:val="18"/>
                <w:szCs w:val="18"/>
              </w:rPr>
            </w:pPr>
          </w:p>
        </w:tc>
      </w:tr>
      <w:tr w14:paraId="7EC5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AF520CE">
            <w:pPr>
              <w:rPr>
                <w:rFonts w:ascii="Times New Roman" w:hAnsi="Times New Roman" w:cs="Times New Roman"/>
                <w:color w:val="FF0000"/>
                <w:sz w:val="18"/>
                <w:szCs w:val="18"/>
              </w:rPr>
            </w:pPr>
          </w:p>
        </w:tc>
        <w:tc>
          <w:tcPr>
            <w:tcW w:w="1165" w:type="dxa"/>
            <w:vMerge w:val="continue"/>
            <w:vAlign w:val="center"/>
          </w:tcPr>
          <w:p w14:paraId="38F860FE">
            <w:pPr>
              <w:rPr>
                <w:rFonts w:ascii="Times New Roman" w:hAnsi="Times New Roman" w:cs="Times New Roman"/>
                <w:color w:val="FF0000"/>
                <w:sz w:val="18"/>
                <w:szCs w:val="18"/>
              </w:rPr>
            </w:pPr>
          </w:p>
        </w:tc>
        <w:tc>
          <w:tcPr>
            <w:tcW w:w="1746" w:type="dxa"/>
            <w:vMerge w:val="continue"/>
            <w:vAlign w:val="center"/>
          </w:tcPr>
          <w:p w14:paraId="2BADC82A">
            <w:pPr>
              <w:rPr>
                <w:rFonts w:ascii="Times New Roman" w:hAnsi="Times New Roman" w:cs="Times New Roman"/>
                <w:color w:val="FF0000"/>
                <w:sz w:val="18"/>
                <w:szCs w:val="18"/>
              </w:rPr>
            </w:pPr>
          </w:p>
        </w:tc>
        <w:tc>
          <w:tcPr>
            <w:tcW w:w="1227" w:type="dxa"/>
            <w:vAlign w:val="center"/>
          </w:tcPr>
          <w:p w14:paraId="44E4CF92">
            <w:pPr>
              <w:pStyle w:val="557"/>
              <w:rPr>
                <w:color w:val="FF0000"/>
              </w:rPr>
            </w:pPr>
            <w:r>
              <w:t>废SO</w:t>
            </w:r>
            <w:r>
              <w:rPr>
                <w:vertAlign w:val="subscript"/>
              </w:rPr>
              <w:t>2</w:t>
            </w:r>
            <w:r>
              <w:t>转化催化剂</w:t>
            </w:r>
          </w:p>
        </w:tc>
        <w:tc>
          <w:tcPr>
            <w:tcW w:w="633" w:type="dxa"/>
            <w:vAlign w:val="center"/>
          </w:tcPr>
          <w:p w14:paraId="18FBE57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129FB0E6">
            <w:pP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13521B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000924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0F8D11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47924C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68501E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47A7787A">
            <w:pPr>
              <w:rPr>
                <w:rFonts w:ascii="Times New Roman" w:hAnsi="Times New Roman" w:cs="Times New Roman"/>
                <w:color w:val="FF0000"/>
                <w:sz w:val="18"/>
                <w:szCs w:val="18"/>
              </w:rPr>
            </w:pPr>
          </w:p>
        </w:tc>
      </w:tr>
      <w:tr w14:paraId="58F5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0A09E4C">
            <w:pPr>
              <w:rPr>
                <w:rFonts w:ascii="Times New Roman" w:hAnsi="Times New Roman" w:cs="Times New Roman"/>
                <w:color w:val="FF0000"/>
                <w:sz w:val="18"/>
                <w:szCs w:val="18"/>
              </w:rPr>
            </w:pPr>
          </w:p>
        </w:tc>
        <w:tc>
          <w:tcPr>
            <w:tcW w:w="1165" w:type="dxa"/>
            <w:vMerge w:val="continue"/>
            <w:vAlign w:val="center"/>
          </w:tcPr>
          <w:p w14:paraId="2CE57E96">
            <w:pPr>
              <w:rPr>
                <w:rFonts w:ascii="Times New Roman" w:hAnsi="Times New Roman" w:cs="Times New Roman"/>
                <w:color w:val="FF0000"/>
                <w:sz w:val="18"/>
                <w:szCs w:val="18"/>
              </w:rPr>
            </w:pPr>
          </w:p>
        </w:tc>
        <w:tc>
          <w:tcPr>
            <w:tcW w:w="1746" w:type="dxa"/>
            <w:vMerge w:val="restart"/>
            <w:vAlign w:val="center"/>
          </w:tcPr>
          <w:p w14:paraId="7B36041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电解水制气装置</w:t>
            </w:r>
          </w:p>
        </w:tc>
        <w:tc>
          <w:tcPr>
            <w:tcW w:w="1227" w:type="dxa"/>
            <w:vAlign w:val="center"/>
          </w:tcPr>
          <w:p w14:paraId="62475276">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废脱氧（氢）催化剂</w:t>
            </w:r>
          </w:p>
        </w:tc>
        <w:tc>
          <w:tcPr>
            <w:tcW w:w="633" w:type="dxa"/>
            <w:vAlign w:val="center"/>
          </w:tcPr>
          <w:p w14:paraId="65335D5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7E90E90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厂家回收</w:t>
            </w:r>
          </w:p>
        </w:tc>
        <w:tc>
          <w:tcPr>
            <w:tcW w:w="784" w:type="dxa"/>
            <w:noWrap/>
            <w:vAlign w:val="center"/>
          </w:tcPr>
          <w:p w14:paraId="1849DA7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44EBE0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3BDBFDB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01A1F92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3DE1120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E7E93B3">
            <w:pPr>
              <w:rPr>
                <w:rFonts w:ascii="Times New Roman" w:hAnsi="Times New Roman" w:cs="Times New Roman"/>
                <w:color w:val="FF0000"/>
                <w:sz w:val="18"/>
                <w:szCs w:val="18"/>
              </w:rPr>
            </w:pPr>
          </w:p>
        </w:tc>
      </w:tr>
      <w:tr w14:paraId="5DD3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4882701">
            <w:pPr>
              <w:rPr>
                <w:rFonts w:ascii="Times New Roman" w:hAnsi="Times New Roman" w:cs="Times New Roman"/>
                <w:color w:val="FF0000"/>
                <w:sz w:val="18"/>
                <w:szCs w:val="18"/>
              </w:rPr>
            </w:pPr>
          </w:p>
        </w:tc>
        <w:tc>
          <w:tcPr>
            <w:tcW w:w="1165" w:type="dxa"/>
            <w:vMerge w:val="continue"/>
            <w:vAlign w:val="center"/>
          </w:tcPr>
          <w:p w14:paraId="064D3B04">
            <w:pPr>
              <w:rPr>
                <w:rFonts w:ascii="Times New Roman" w:hAnsi="Times New Roman" w:cs="Times New Roman"/>
                <w:color w:val="FF0000"/>
                <w:sz w:val="18"/>
                <w:szCs w:val="18"/>
              </w:rPr>
            </w:pPr>
          </w:p>
        </w:tc>
        <w:tc>
          <w:tcPr>
            <w:tcW w:w="1746" w:type="dxa"/>
            <w:vMerge w:val="continue"/>
            <w:vAlign w:val="center"/>
          </w:tcPr>
          <w:p w14:paraId="5BDDC046">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652623A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废碱液</w:t>
            </w:r>
          </w:p>
        </w:tc>
        <w:tc>
          <w:tcPr>
            <w:tcW w:w="633" w:type="dxa"/>
            <w:vAlign w:val="center"/>
          </w:tcPr>
          <w:p w14:paraId="0331CE67">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684" w:type="dxa"/>
            <w:vMerge w:val="restart"/>
            <w:vAlign w:val="center"/>
          </w:tcPr>
          <w:p w14:paraId="28C8030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在厂内暂存后，交由有资质单位处置</w:t>
            </w:r>
          </w:p>
        </w:tc>
        <w:tc>
          <w:tcPr>
            <w:tcW w:w="784" w:type="dxa"/>
            <w:noWrap/>
            <w:vAlign w:val="center"/>
          </w:tcPr>
          <w:p w14:paraId="1C28496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094F7E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7DF7C3B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51D33E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6C5D03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4763E19D">
            <w:pPr>
              <w:rPr>
                <w:rFonts w:ascii="Times New Roman" w:hAnsi="Times New Roman" w:cs="Times New Roman"/>
                <w:color w:val="FF0000"/>
                <w:sz w:val="18"/>
                <w:szCs w:val="18"/>
              </w:rPr>
            </w:pPr>
          </w:p>
        </w:tc>
      </w:tr>
      <w:tr w14:paraId="740B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69872C7">
            <w:pPr>
              <w:rPr>
                <w:rFonts w:ascii="Times New Roman" w:hAnsi="Times New Roman" w:cs="Times New Roman"/>
                <w:color w:val="FF0000"/>
                <w:sz w:val="18"/>
                <w:szCs w:val="18"/>
              </w:rPr>
            </w:pPr>
          </w:p>
        </w:tc>
        <w:tc>
          <w:tcPr>
            <w:tcW w:w="1165" w:type="dxa"/>
            <w:vMerge w:val="continue"/>
            <w:vAlign w:val="center"/>
          </w:tcPr>
          <w:p w14:paraId="2177DF70">
            <w:pPr>
              <w:rPr>
                <w:rFonts w:ascii="Times New Roman" w:hAnsi="Times New Roman" w:cs="Times New Roman"/>
                <w:color w:val="FF0000"/>
                <w:sz w:val="18"/>
                <w:szCs w:val="18"/>
              </w:rPr>
            </w:pPr>
          </w:p>
        </w:tc>
        <w:tc>
          <w:tcPr>
            <w:tcW w:w="1746" w:type="dxa"/>
            <w:vAlign w:val="center"/>
          </w:tcPr>
          <w:p w14:paraId="0EC3866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合成氨装置</w:t>
            </w:r>
          </w:p>
        </w:tc>
        <w:tc>
          <w:tcPr>
            <w:tcW w:w="1227" w:type="dxa"/>
            <w:vAlign w:val="center"/>
          </w:tcPr>
          <w:p w14:paraId="7E091362">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废氨合成催化剂</w:t>
            </w:r>
          </w:p>
        </w:tc>
        <w:tc>
          <w:tcPr>
            <w:tcW w:w="633" w:type="dxa"/>
            <w:vAlign w:val="center"/>
          </w:tcPr>
          <w:p w14:paraId="3D39863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62DFEB3D">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4350608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D93B49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268402B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3169C62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1E2C60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3D4569C">
            <w:pPr>
              <w:rPr>
                <w:rFonts w:ascii="Times New Roman" w:hAnsi="Times New Roman" w:cs="Times New Roman"/>
                <w:color w:val="FF0000"/>
                <w:sz w:val="18"/>
                <w:szCs w:val="18"/>
              </w:rPr>
            </w:pPr>
          </w:p>
        </w:tc>
      </w:tr>
      <w:tr w14:paraId="7C6E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41B8DCA">
            <w:pPr>
              <w:rPr>
                <w:rFonts w:ascii="Times New Roman" w:hAnsi="Times New Roman" w:cs="Times New Roman"/>
                <w:color w:val="FF0000"/>
                <w:sz w:val="18"/>
                <w:szCs w:val="18"/>
              </w:rPr>
            </w:pPr>
          </w:p>
        </w:tc>
        <w:tc>
          <w:tcPr>
            <w:tcW w:w="1165" w:type="dxa"/>
            <w:vMerge w:val="continue"/>
            <w:vAlign w:val="center"/>
          </w:tcPr>
          <w:p w14:paraId="601B71FF">
            <w:pPr>
              <w:rPr>
                <w:rFonts w:ascii="Times New Roman" w:hAnsi="Times New Roman" w:cs="Times New Roman"/>
                <w:color w:val="FF0000"/>
                <w:sz w:val="18"/>
                <w:szCs w:val="18"/>
              </w:rPr>
            </w:pPr>
          </w:p>
        </w:tc>
        <w:tc>
          <w:tcPr>
            <w:tcW w:w="1746" w:type="dxa"/>
            <w:vMerge w:val="restart"/>
            <w:vAlign w:val="center"/>
          </w:tcPr>
          <w:p w14:paraId="17F127F8">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DMO（草酸二甲酯）装置</w:t>
            </w:r>
          </w:p>
        </w:tc>
        <w:tc>
          <w:tcPr>
            <w:tcW w:w="1227" w:type="dxa"/>
            <w:vAlign w:val="center"/>
          </w:tcPr>
          <w:p w14:paraId="199710E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废羰化催化剂</w:t>
            </w:r>
          </w:p>
        </w:tc>
        <w:tc>
          <w:tcPr>
            <w:tcW w:w="633" w:type="dxa"/>
            <w:vAlign w:val="center"/>
          </w:tcPr>
          <w:p w14:paraId="536FAC5B">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7E33FB5E">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2B3F3CF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34126DE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20FFEA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AA9398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9113A0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4ECD32C">
            <w:pPr>
              <w:rPr>
                <w:rFonts w:ascii="Times New Roman" w:hAnsi="Times New Roman" w:cs="Times New Roman"/>
                <w:color w:val="FF0000"/>
                <w:sz w:val="18"/>
                <w:szCs w:val="18"/>
              </w:rPr>
            </w:pPr>
          </w:p>
        </w:tc>
      </w:tr>
      <w:tr w14:paraId="6349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7C0BC8F">
            <w:pPr>
              <w:rPr>
                <w:rFonts w:ascii="Times New Roman" w:hAnsi="Times New Roman" w:cs="Times New Roman"/>
                <w:color w:val="FF0000"/>
                <w:sz w:val="18"/>
                <w:szCs w:val="18"/>
              </w:rPr>
            </w:pPr>
          </w:p>
        </w:tc>
        <w:tc>
          <w:tcPr>
            <w:tcW w:w="1165" w:type="dxa"/>
            <w:vMerge w:val="continue"/>
            <w:vAlign w:val="center"/>
          </w:tcPr>
          <w:p w14:paraId="280E75AB">
            <w:pPr>
              <w:rPr>
                <w:rFonts w:ascii="Times New Roman" w:hAnsi="Times New Roman" w:cs="Times New Roman"/>
                <w:color w:val="FF0000"/>
                <w:sz w:val="18"/>
                <w:szCs w:val="18"/>
              </w:rPr>
            </w:pPr>
          </w:p>
        </w:tc>
        <w:tc>
          <w:tcPr>
            <w:tcW w:w="1746" w:type="dxa"/>
            <w:vMerge w:val="continue"/>
            <w:vAlign w:val="center"/>
          </w:tcPr>
          <w:p w14:paraId="4DC4F20B">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1786706E">
            <w:pPr>
              <w:pStyle w:val="557"/>
            </w:pPr>
            <w:r>
              <w:rPr>
                <w:rFonts w:hint="eastAsia"/>
              </w:rPr>
              <w:t>废瓷球</w:t>
            </w:r>
          </w:p>
        </w:tc>
        <w:tc>
          <w:tcPr>
            <w:tcW w:w="633" w:type="dxa"/>
            <w:vAlign w:val="center"/>
          </w:tcPr>
          <w:p w14:paraId="1B93FD09">
            <w:pPr>
              <w:jc w:val="center"/>
              <w:rPr>
                <w:rFonts w:ascii="Times New Roman" w:hAnsi="Times New Roman" w:cs="Times New Roman"/>
                <w:color w:val="000000" w:themeColor="text1"/>
                <w:sz w:val="18"/>
                <w:szCs w:val="18"/>
                <w14:textFill>
                  <w14:solidFill>
                    <w14:schemeClr w14:val="tx1"/>
                  </w14:solidFill>
                </w14:textFill>
              </w:rPr>
            </w:pPr>
          </w:p>
        </w:tc>
        <w:tc>
          <w:tcPr>
            <w:tcW w:w="1684" w:type="dxa"/>
            <w:vMerge w:val="continue"/>
            <w:vAlign w:val="center"/>
          </w:tcPr>
          <w:p w14:paraId="175F0A47">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341A0EA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6AFD8E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032017E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01414BB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103573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834F938">
            <w:pPr>
              <w:rPr>
                <w:rFonts w:ascii="Times New Roman" w:hAnsi="Times New Roman" w:cs="Times New Roman"/>
                <w:color w:val="FF0000"/>
                <w:sz w:val="18"/>
                <w:szCs w:val="18"/>
              </w:rPr>
            </w:pPr>
          </w:p>
        </w:tc>
      </w:tr>
      <w:tr w14:paraId="19E5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9C5ADC8">
            <w:pPr>
              <w:rPr>
                <w:rFonts w:ascii="Times New Roman" w:hAnsi="Times New Roman" w:cs="Times New Roman"/>
                <w:color w:val="FF0000"/>
                <w:sz w:val="18"/>
                <w:szCs w:val="18"/>
              </w:rPr>
            </w:pPr>
          </w:p>
        </w:tc>
        <w:tc>
          <w:tcPr>
            <w:tcW w:w="1165" w:type="dxa"/>
            <w:vMerge w:val="continue"/>
            <w:vAlign w:val="center"/>
          </w:tcPr>
          <w:p w14:paraId="4FA8814F">
            <w:pPr>
              <w:rPr>
                <w:rFonts w:ascii="Times New Roman" w:hAnsi="Times New Roman" w:cs="Times New Roman"/>
                <w:color w:val="FF0000"/>
                <w:sz w:val="18"/>
                <w:szCs w:val="18"/>
              </w:rPr>
            </w:pPr>
          </w:p>
        </w:tc>
        <w:tc>
          <w:tcPr>
            <w:tcW w:w="1746" w:type="dxa"/>
            <w:vMerge w:val="restart"/>
            <w:vAlign w:val="center"/>
          </w:tcPr>
          <w:p w14:paraId="0E75A19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公用工程</w:t>
            </w:r>
          </w:p>
        </w:tc>
        <w:tc>
          <w:tcPr>
            <w:tcW w:w="1227" w:type="dxa"/>
            <w:vAlign w:val="center"/>
          </w:tcPr>
          <w:p w14:paraId="51C6162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动力站-废脱硝催化剂</w:t>
            </w:r>
          </w:p>
        </w:tc>
        <w:tc>
          <w:tcPr>
            <w:tcW w:w="633" w:type="dxa"/>
            <w:vAlign w:val="center"/>
          </w:tcPr>
          <w:p w14:paraId="374C6AE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09AEC5A4">
            <w:pP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10E0D94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1CFB60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72B9241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43AB671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19FCA0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0A167079">
            <w:pPr>
              <w:rPr>
                <w:rFonts w:ascii="Times New Roman" w:hAnsi="Times New Roman" w:cs="Times New Roman"/>
                <w:color w:val="FF0000"/>
                <w:sz w:val="18"/>
                <w:szCs w:val="18"/>
              </w:rPr>
            </w:pPr>
          </w:p>
        </w:tc>
      </w:tr>
      <w:tr w14:paraId="4767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5090754">
            <w:pPr>
              <w:rPr>
                <w:rFonts w:ascii="Times New Roman" w:hAnsi="Times New Roman" w:cs="Times New Roman"/>
                <w:color w:val="FF0000"/>
                <w:sz w:val="18"/>
                <w:szCs w:val="18"/>
              </w:rPr>
            </w:pPr>
          </w:p>
        </w:tc>
        <w:tc>
          <w:tcPr>
            <w:tcW w:w="1165" w:type="dxa"/>
            <w:vMerge w:val="continue"/>
            <w:vAlign w:val="center"/>
          </w:tcPr>
          <w:p w14:paraId="166AD1FF">
            <w:pPr>
              <w:rPr>
                <w:rFonts w:ascii="Times New Roman" w:hAnsi="Times New Roman" w:cs="Times New Roman"/>
                <w:color w:val="FF0000"/>
                <w:sz w:val="18"/>
                <w:szCs w:val="18"/>
              </w:rPr>
            </w:pPr>
          </w:p>
        </w:tc>
        <w:tc>
          <w:tcPr>
            <w:tcW w:w="1746" w:type="dxa"/>
            <w:vMerge w:val="continue"/>
            <w:vAlign w:val="center"/>
          </w:tcPr>
          <w:p w14:paraId="1B06EB1F">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7376C2A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220kV变电站-事故废油</w:t>
            </w:r>
          </w:p>
        </w:tc>
        <w:tc>
          <w:tcPr>
            <w:tcW w:w="633" w:type="dxa"/>
            <w:vAlign w:val="center"/>
          </w:tcPr>
          <w:p w14:paraId="2E174C7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4EDCBD4E">
            <w:pPr>
              <w:rPr>
                <w:rFonts w:ascii="Times New Roman" w:hAnsi="Times New Roman" w:cs="Times New Roman"/>
                <w:color w:val="FF0000"/>
                <w:sz w:val="18"/>
                <w:szCs w:val="18"/>
              </w:rPr>
            </w:pPr>
          </w:p>
        </w:tc>
        <w:tc>
          <w:tcPr>
            <w:tcW w:w="784" w:type="dxa"/>
            <w:noWrap/>
            <w:vAlign w:val="center"/>
          </w:tcPr>
          <w:p w14:paraId="055737E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E082ED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1AFB035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ABB204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67D131A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F6BD8C5">
            <w:pPr>
              <w:rPr>
                <w:rFonts w:ascii="Times New Roman" w:hAnsi="Times New Roman" w:cs="Times New Roman"/>
                <w:color w:val="FF0000"/>
                <w:sz w:val="18"/>
                <w:szCs w:val="18"/>
              </w:rPr>
            </w:pPr>
          </w:p>
        </w:tc>
      </w:tr>
      <w:tr w14:paraId="356F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73DD140">
            <w:pPr>
              <w:rPr>
                <w:rFonts w:ascii="Times New Roman" w:hAnsi="Times New Roman" w:cs="Times New Roman"/>
                <w:color w:val="FF0000"/>
                <w:sz w:val="18"/>
                <w:szCs w:val="18"/>
              </w:rPr>
            </w:pPr>
          </w:p>
        </w:tc>
        <w:tc>
          <w:tcPr>
            <w:tcW w:w="1165" w:type="dxa"/>
            <w:vMerge w:val="continue"/>
            <w:vAlign w:val="center"/>
          </w:tcPr>
          <w:p w14:paraId="199178FE">
            <w:pPr>
              <w:rPr>
                <w:rFonts w:ascii="Times New Roman" w:hAnsi="Times New Roman" w:cs="Times New Roman"/>
                <w:color w:val="FF0000"/>
                <w:sz w:val="18"/>
                <w:szCs w:val="18"/>
              </w:rPr>
            </w:pPr>
          </w:p>
        </w:tc>
        <w:tc>
          <w:tcPr>
            <w:tcW w:w="1746" w:type="dxa"/>
            <w:vMerge w:val="continue"/>
            <w:vAlign w:val="center"/>
          </w:tcPr>
          <w:p w14:paraId="7CDB5BBF">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065BA66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220kV变电站-</w:t>
            </w:r>
            <w:r>
              <w:rPr>
                <w:rFonts w:hint="eastAsia" w:ascii="Times New Roman" w:hAnsi="Times New Roman" w:cs="Times New Roman"/>
                <w:color w:val="000000" w:themeColor="text1"/>
                <w:sz w:val="18"/>
                <w:szCs w:val="18"/>
                <w14:textFill>
                  <w14:solidFill>
                    <w14:schemeClr w14:val="tx1"/>
                  </w14:solidFill>
                </w14:textFill>
              </w:rPr>
              <w:t>废铅酸蓄电池</w:t>
            </w:r>
          </w:p>
        </w:tc>
        <w:tc>
          <w:tcPr>
            <w:tcW w:w="633" w:type="dxa"/>
            <w:vAlign w:val="center"/>
          </w:tcPr>
          <w:p w14:paraId="050C56C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4569C617">
            <w:pPr>
              <w:rPr>
                <w:rFonts w:ascii="Times New Roman" w:hAnsi="Times New Roman" w:cs="Times New Roman"/>
                <w:color w:val="FF0000"/>
                <w:sz w:val="18"/>
                <w:szCs w:val="18"/>
              </w:rPr>
            </w:pPr>
          </w:p>
        </w:tc>
        <w:tc>
          <w:tcPr>
            <w:tcW w:w="784" w:type="dxa"/>
            <w:noWrap/>
            <w:vAlign w:val="center"/>
          </w:tcPr>
          <w:p w14:paraId="05E14A3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2EE9862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FCCACB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A0B79F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552F87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B137B58">
            <w:pPr>
              <w:rPr>
                <w:rFonts w:ascii="Times New Roman" w:hAnsi="Times New Roman" w:cs="Times New Roman"/>
                <w:color w:val="FF0000"/>
                <w:sz w:val="18"/>
                <w:szCs w:val="18"/>
              </w:rPr>
            </w:pPr>
          </w:p>
        </w:tc>
      </w:tr>
      <w:tr w14:paraId="366C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1EC058F2">
            <w:pPr>
              <w:rPr>
                <w:rFonts w:ascii="Times New Roman" w:hAnsi="Times New Roman" w:cs="Times New Roman"/>
                <w:color w:val="FF0000"/>
                <w:sz w:val="18"/>
                <w:szCs w:val="18"/>
              </w:rPr>
            </w:pPr>
          </w:p>
        </w:tc>
        <w:tc>
          <w:tcPr>
            <w:tcW w:w="1165" w:type="dxa"/>
            <w:vMerge w:val="continue"/>
            <w:vAlign w:val="center"/>
          </w:tcPr>
          <w:p w14:paraId="5420F6CF">
            <w:pPr>
              <w:rPr>
                <w:rFonts w:ascii="Times New Roman" w:hAnsi="Times New Roman" w:cs="Times New Roman"/>
                <w:color w:val="FF0000"/>
                <w:sz w:val="18"/>
                <w:szCs w:val="18"/>
              </w:rPr>
            </w:pPr>
          </w:p>
        </w:tc>
        <w:tc>
          <w:tcPr>
            <w:tcW w:w="1746" w:type="dxa"/>
            <w:vMerge w:val="continue"/>
            <w:vAlign w:val="center"/>
          </w:tcPr>
          <w:p w14:paraId="0FA93433">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6944499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高浓盐水处理及蒸发结晶-杂盐</w:t>
            </w:r>
          </w:p>
        </w:tc>
        <w:tc>
          <w:tcPr>
            <w:tcW w:w="633" w:type="dxa"/>
            <w:vAlign w:val="center"/>
          </w:tcPr>
          <w:p w14:paraId="7BC70CA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1E3C44DF">
            <w:pPr>
              <w:rPr>
                <w:rFonts w:ascii="Times New Roman" w:hAnsi="Times New Roman" w:cs="Times New Roman"/>
                <w:color w:val="FF0000"/>
                <w:sz w:val="18"/>
                <w:szCs w:val="18"/>
              </w:rPr>
            </w:pPr>
          </w:p>
        </w:tc>
        <w:tc>
          <w:tcPr>
            <w:tcW w:w="784" w:type="dxa"/>
            <w:noWrap/>
            <w:vAlign w:val="center"/>
          </w:tcPr>
          <w:p w14:paraId="092AE47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4D8BB80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04205F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690730B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3E45A4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A695845">
            <w:pPr>
              <w:rPr>
                <w:rFonts w:ascii="Times New Roman" w:hAnsi="Times New Roman" w:cs="Times New Roman"/>
                <w:color w:val="FF0000"/>
                <w:sz w:val="18"/>
                <w:szCs w:val="18"/>
              </w:rPr>
            </w:pPr>
          </w:p>
        </w:tc>
      </w:tr>
      <w:tr w14:paraId="4B23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39A2247">
            <w:pPr>
              <w:rPr>
                <w:rFonts w:ascii="Times New Roman" w:hAnsi="Times New Roman" w:cs="Times New Roman"/>
                <w:color w:val="FF0000"/>
                <w:sz w:val="18"/>
                <w:szCs w:val="18"/>
              </w:rPr>
            </w:pPr>
          </w:p>
        </w:tc>
        <w:tc>
          <w:tcPr>
            <w:tcW w:w="1165" w:type="dxa"/>
            <w:vMerge w:val="restart"/>
            <w:vAlign w:val="center"/>
          </w:tcPr>
          <w:p w14:paraId="7B21EC6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一般固废</w:t>
            </w:r>
          </w:p>
        </w:tc>
        <w:tc>
          <w:tcPr>
            <w:tcW w:w="1746" w:type="dxa"/>
            <w:vMerge w:val="restart"/>
            <w:vAlign w:val="center"/>
          </w:tcPr>
          <w:p w14:paraId="5F766FB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气化装置</w:t>
            </w:r>
          </w:p>
        </w:tc>
        <w:tc>
          <w:tcPr>
            <w:tcW w:w="1227" w:type="dxa"/>
            <w:vAlign w:val="center"/>
          </w:tcPr>
          <w:p w14:paraId="5DA808DB">
            <w:pPr>
              <w:pStyle w:val="557"/>
              <w:rPr>
                <w:color w:val="FF0000"/>
              </w:rPr>
            </w:pPr>
            <w:r>
              <w:t>气化细渣</w:t>
            </w:r>
          </w:p>
        </w:tc>
        <w:tc>
          <w:tcPr>
            <w:tcW w:w="633" w:type="dxa"/>
            <w:vAlign w:val="center"/>
          </w:tcPr>
          <w:p w14:paraId="1268A9C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restart"/>
            <w:vAlign w:val="center"/>
          </w:tcPr>
          <w:p w14:paraId="5446FB0F">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厂区不存储，</w:t>
            </w:r>
            <w:r>
              <w:rPr>
                <w:rFonts w:ascii="Times New Roman" w:hAnsi="Times New Roman" w:cs="Times New Roman"/>
                <w:color w:val="000000" w:themeColor="text1"/>
                <w:sz w:val="18"/>
                <w:szCs w:val="18"/>
                <w14:textFill>
                  <w14:solidFill>
                    <w14:schemeClr w14:val="tx1"/>
                  </w14:solidFill>
                </w14:textFill>
              </w:rPr>
              <w:t>送一般固废填埋场</w:t>
            </w:r>
          </w:p>
        </w:tc>
        <w:tc>
          <w:tcPr>
            <w:tcW w:w="784" w:type="dxa"/>
            <w:noWrap/>
            <w:vAlign w:val="center"/>
          </w:tcPr>
          <w:p w14:paraId="421A434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0493793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289E3A4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592F777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0D06BB6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restart"/>
            <w:vAlign w:val="center"/>
          </w:tcPr>
          <w:p w14:paraId="564FB6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《一般工业固体废物贮存和填埋污染控制标准》（GB 18599-2020）</w:t>
            </w:r>
          </w:p>
        </w:tc>
      </w:tr>
      <w:tr w14:paraId="2B0E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C4CAFA1">
            <w:pPr>
              <w:rPr>
                <w:rFonts w:ascii="Times New Roman" w:hAnsi="Times New Roman" w:cs="Times New Roman"/>
                <w:color w:val="FF0000"/>
                <w:sz w:val="18"/>
                <w:szCs w:val="18"/>
              </w:rPr>
            </w:pPr>
          </w:p>
        </w:tc>
        <w:tc>
          <w:tcPr>
            <w:tcW w:w="1165" w:type="dxa"/>
            <w:vMerge w:val="continue"/>
            <w:vAlign w:val="center"/>
          </w:tcPr>
          <w:p w14:paraId="64FA8682">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7A070CF4">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7B88E3C6">
            <w:pPr>
              <w:pStyle w:val="557"/>
              <w:rPr>
                <w:color w:val="FF0000"/>
              </w:rPr>
            </w:pPr>
            <w:r>
              <w:t>气化粗渣</w:t>
            </w:r>
          </w:p>
        </w:tc>
        <w:tc>
          <w:tcPr>
            <w:tcW w:w="633" w:type="dxa"/>
            <w:vAlign w:val="center"/>
          </w:tcPr>
          <w:p w14:paraId="4D971BF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3917AD84">
            <w:pPr>
              <w:jc w:val="center"/>
              <w:rPr>
                <w:rFonts w:ascii="Times New Roman" w:hAnsi="Times New Roman" w:cs="Times New Roman"/>
                <w:color w:val="000000" w:themeColor="text1"/>
                <w:sz w:val="18"/>
                <w:szCs w:val="18"/>
                <w14:textFill>
                  <w14:solidFill>
                    <w14:schemeClr w14:val="tx1"/>
                  </w14:solidFill>
                </w14:textFill>
              </w:rPr>
            </w:pPr>
          </w:p>
        </w:tc>
        <w:tc>
          <w:tcPr>
            <w:tcW w:w="784" w:type="dxa"/>
            <w:noWrap/>
            <w:vAlign w:val="center"/>
          </w:tcPr>
          <w:p w14:paraId="5C6866E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2C41D1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7416383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137833D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05694AB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364549A">
            <w:pPr>
              <w:rPr>
                <w:rFonts w:ascii="Times New Roman" w:hAnsi="Times New Roman" w:cs="Times New Roman"/>
                <w:color w:val="000000" w:themeColor="text1"/>
                <w:sz w:val="18"/>
                <w:szCs w:val="18"/>
                <w14:textFill>
                  <w14:solidFill>
                    <w14:schemeClr w14:val="tx1"/>
                  </w14:solidFill>
                </w14:textFill>
              </w:rPr>
            </w:pPr>
          </w:p>
        </w:tc>
      </w:tr>
      <w:tr w14:paraId="0751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4F934A3">
            <w:pPr>
              <w:rPr>
                <w:rFonts w:ascii="Times New Roman" w:hAnsi="Times New Roman" w:cs="Times New Roman"/>
                <w:color w:val="FF0000"/>
                <w:sz w:val="18"/>
                <w:szCs w:val="18"/>
              </w:rPr>
            </w:pPr>
          </w:p>
        </w:tc>
        <w:tc>
          <w:tcPr>
            <w:tcW w:w="1165" w:type="dxa"/>
            <w:vMerge w:val="continue"/>
            <w:vAlign w:val="center"/>
          </w:tcPr>
          <w:p w14:paraId="47653D09">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11E36AB9">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5C81F6A0">
            <w:pPr>
              <w:pStyle w:val="557"/>
              <w:rPr>
                <w:color w:val="FF0000"/>
              </w:rPr>
            </w:pPr>
            <w:r>
              <w:t>原煤仓收尘灰</w:t>
            </w:r>
          </w:p>
        </w:tc>
        <w:tc>
          <w:tcPr>
            <w:tcW w:w="633" w:type="dxa"/>
            <w:vAlign w:val="center"/>
          </w:tcPr>
          <w:p w14:paraId="00DF338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0DC8FF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回用</w:t>
            </w:r>
          </w:p>
        </w:tc>
        <w:tc>
          <w:tcPr>
            <w:tcW w:w="784" w:type="dxa"/>
            <w:noWrap/>
            <w:vAlign w:val="center"/>
          </w:tcPr>
          <w:p w14:paraId="7305D28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4169CD2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12F1615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5130E5B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BEA12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DD74A80">
            <w:pPr>
              <w:rPr>
                <w:rFonts w:ascii="Times New Roman" w:hAnsi="Times New Roman" w:cs="Times New Roman"/>
                <w:color w:val="000000" w:themeColor="text1"/>
                <w:sz w:val="18"/>
                <w:szCs w:val="18"/>
                <w14:textFill>
                  <w14:solidFill>
                    <w14:schemeClr w14:val="tx1"/>
                  </w14:solidFill>
                </w14:textFill>
              </w:rPr>
            </w:pPr>
          </w:p>
        </w:tc>
      </w:tr>
      <w:tr w14:paraId="1293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933C455">
            <w:pPr>
              <w:rPr>
                <w:rFonts w:ascii="Times New Roman" w:hAnsi="Times New Roman" w:cs="Times New Roman"/>
                <w:color w:val="FF0000"/>
                <w:sz w:val="18"/>
                <w:szCs w:val="18"/>
              </w:rPr>
            </w:pPr>
          </w:p>
        </w:tc>
        <w:tc>
          <w:tcPr>
            <w:tcW w:w="1165" w:type="dxa"/>
            <w:vMerge w:val="continue"/>
            <w:vAlign w:val="center"/>
          </w:tcPr>
          <w:p w14:paraId="01FFDB35">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4F892A10">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5C1F8F4A">
            <w:pPr>
              <w:pStyle w:val="557"/>
              <w:rPr>
                <w:color w:val="FF0000"/>
              </w:rPr>
            </w:pPr>
            <w:r>
              <w:t>磨煤及干燥收尘灰</w:t>
            </w:r>
          </w:p>
        </w:tc>
        <w:tc>
          <w:tcPr>
            <w:tcW w:w="633" w:type="dxa"/>
            <w:vAlign w:val="center"/>
          </w:tcPr>
          <w:p w14:paraId="41C8F4C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556464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回用</w:t>
            </w:r>
          </w:p>
        </w:tc>
        <w:tc>
          <w:tcPr>
            <w:tcW w:w="784" w:type="dxa"/>
            <w:noWrap/>
            <w:vAlign w:val="center"/>
          </w:tcPr>
          <w:p w14:paraId="076C3D3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E74A47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3BD577D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076439F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B0FB88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1526F50D">
            <w:pPr>
              <w:rPr>
                <w:rFonts w:ascii="Times New Roman" w:hAnsi="Times New Roman" w:cs="Times New Roman"/>
                <w:color w:val="000000" w:themeColor="text1"/>
                <w:sz w:val="18"/>
                <w:szCs w:val="18"/>
                <w14:textFill>
                  <w14:solidFill>
                    <w14:schemeClr w14:val="tx1"/>
                  </w14:solidFill>
                </w14:textFill>
              </w:rPr>
            </w:pPr>
          </w:p>
        </w:tc>
      </w:tr>
      <w:tr w14:paraId="2118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8E07A67">
            <w:pPr>
              <w:rPr>
                <w:rFonts w:ascii="Times New Roman" w:hAnsi="Times New Roman" w:cs="Times New Roman"/>
                <w:color w:val="FF0000"/>
                <w:sz w:val="18"/>
                <w:szCs w:val="18"/>
              </w:rPr>
            </w:pPr>
          </w:p>
        </w:tc>
        <w:tc>
          <w:tcPr>
            <w:tcW w:w="1165" w:type="dxa"/>
            <w:vMerge w:val="continue"/>
            <w:vAlign w:val="center"/>
          </w:tcPr>
          <w:p w14:paraId="66C4921D">
            <w:pPr>
              <w:rPr>
                <w:rFonts w:ascii="Times New Roman" w:hAnsi="Times New Roman" w:cs="Times New Roman"/>
                <w:color w:val="000000" w:themeColor="text1"/>
                <w:sz w:val="18"/>
                <w:szCs w:val="18"/>
                <w14:textFill>
                  <w14:solidFill>
                    <w14:schemeClr w14:val="tx1"/>
                  </w14:solidFill>
                </w14:textFill>
              </w:rPr>
            </w:pPr>
          </w:p>
        </w:tc>
        <w:tc>
          <w:tcPr>
            <w:tcW w:w="1746" w:type="dxa"/>
            <w:vMerge w:val="continue"/>
            <w:vAlign w:val="center"/>
          </w:tcPr>
          <w:p w14:paraId="1E26546E">
            <w:pP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3F81B709">
            <w:pPr>
              <w:pStyle w:val="557"/>
              <w:rPr>
                <w:color w:val="FF0000"/>
              </w:rPr>
            </w:pPr>
            <w:r>
              <w:t>粉煤</w:t>
            </w:r>
            <w:r>
              <w:rPr>
                <w:rFonts w:hint="eastAsia"/>
              </w:rPr>
              <w:t>锁斗</w:t>
            </w:r>
            <w:r>
              <w:t>收尘灰</w:t>
            </w:r>
          </w:p>
        </w:tc>
        <w:tc>
          <w:tcPr>
            <w:tcW w:w="633" w:type="dxa"/>
            <w:vAlign w:val="center"/>
          </w:tcPr>
          <w:p w14:paraId="6E579B2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31E7FA9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回用</w:t>
            </w:r>
          </w:p>
        </w:tc>
        <w:tc>
          <w:tcPr>
            <w:tcW w:w="784" w:type="dxa"/>
            <w:noWrap/>
            <w:vAlign w:val="center"/>
          </w:tcPr>
          <w:p w14:paraId="2B84469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0C951EB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FC8491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51A8E5C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784B94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19C47711">
            <w:pPr>
              <w:rPr>
                <w:rFonts w:ascii="Times New Roman" w:hAnsi="Times New Roman" w:cs="Times New Roman"/>
                <w:color w:val="000000" w:themeColor="text1"/>
                <w:sz w:val="18"/>
                <w:szCs w:val="18"/>
                <w14:textFill>
                  <w14:solidFill>
                    <w14:schemeClr w14:val="tx1"/>
                  </w14:solidFill>
                </w14:textFill>
              </w:rPr>
            </w:pPr>
          </w:p>
        </w:tc>
      </w:tr>
      <w:tr w14:paraId="70FA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55990FE">
            <w:pPr>
              <w:rPr>
                <w:rFonts w:ascii="Times New Roman" w:hAnsi="Times New Roman" w:cs="Times New Roman"/>
                <w:color w:val="FF0000"/>
                <w:sz w:val="18"/>
                <w:szCs w:val="18"/>
              </w:rPr>
            </w:pPr>
          </w:p>
        </w:tc>
        <w:tc>
          <w:tcPr>
            <w:tcW w:w="1165" w:type="dxa"/>
            <w:vMerge w:val="continue"/>
            <w:vAlign w:val="center"/>
          </w:tcPr>
          <w:p w14:paraId="181C3791">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0D8C809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净化及分离装置</w:t>
            </w:r>
          </w:p>
        </w:tc>
        <w:tc>
          <w:tcPr>
            <w:tcW w:w="1227" w:type="dxa"/>
            <w:vAlign w:val="center"/>
          </w:tcPr>
          <w:p w14:paraId="622E865C">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深冷分离-废分子筛</w:t>
            </w:r>
          </w:p>
        </w:tc>
        <w:tc>
          <w:tcPr>
            <w:tcW w:w="633" w:type="dxa"/>
            <w:vAlign w:val="center"/>
          </w:tcPr>
          <w:p w14:paraId="2DE55F4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5384D0D4">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厂家回收</w:t>
            </w:r>
          </w:p>
        </w:tc>
        <w:tc>
          <w:tcPr>
            <w:tcW w:w="784" w:type="dxa"/>
            <w:noWrap/>
            <w:vAlign w:val="center"/>
          </w:tcPr>
          <w:p w14:paraId="294C2B0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A1BBFD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59AED6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6392438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7D35C4A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12C6D586">
            <w:pPr>
              <w:rPr>
                <w:rFonts w:ascii="Times New Roman" w:hAnsi="Times New Roman" w:cs="Times New Roman"/>
                <w:color w:val="000000" w:themeColor="text1"/>
                <w:sz w:val="18"/>
                <w:szCs w:val="18"/>
                <w14:textFill>
                  <w14:solidFill>
                    <w14:schemeClr w14:val="tx1"/>
                  </w14:solidFill>
                </w14:textFill>
              </w:rPr>
            </w:pPr>
          </w:p>
        </w:tc>
      </w:tr>
      <w:tr w14:paraId="3736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C09072A">
            <w:pPr>
              <w:rPr>
                <w:rFonts w:ascii="Times New Roman" w:hAnsi="Times New Roman" w:cs="Times New Roman"/>
                <w:color w:val="FF0000"/>
                <w:sz w:val="18"/>
                <w:szCs w:val="18"/>
              </w:rPr>
            </w:pPr>
          </w:p>
        </w:tc>
        <w:tc>
          <w:tcPr>
            <w:tcW w:w="1165" w:type="dxa"/>
            <w:vMerge w:val="continue"/>
            <w:vAlign w:val="center"/>
          </w:tcPr>
          <w:p w14:paraId="1164A682">
            <w:pPr>
              <w:rPr>
                <w:rFonts w:ascii="Times New Roman" w:hAnsi="Times New Roman" w:cs="Times New Roman"/>
                <w:color w:val="000000" w:themeColor="text1"/>
                <w:sz w:val="18"/>
                <w:szCs w:val="18"/>
                <w14:textFill>
                  <w14:solidFill>
                    <w14:schemeClr w14:val="tx1"/>
                  </w14:solidFill>
                </w14:textFill>
              </w:rPr>
            </w:pPr>
          </w:p>
        </w:tc>
        <w:tc>
          <w:tcPr>
            <w:tcW w:w="1746" w:type="dxa"/>
            <w:vAlign w:val="center"/>
          </w:tcPr>
          <w:p w14:paraId="5D54914E">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电解水制气装置</w:t>
            </w:r>
          </w:p>
        </w:tc>
        <w:tc>
          <w:tcPr>
            <w:tcW w:w="1227" w:type="dxa"/>
            <w:vAlign w:val="center"/>
          </w:tcPr>
          <w:p w14:paraId="10575380">
            <w:pPr>
              <w:pStyle w:val="557"/>
            </w:pPr>
            <w:r>
              <w:rPr>
                <w:rFonts w:hint="eastAsia"/>
              </w:rPr>
              <w:t>废分子筛</w:t>
            </w:r>
          </w:p>
        </w:tc>
        <w:tc>
          <w:tcPr>
            <w:tcW w:w="633" w:type="dxa"/>
            <w:vAlign w:val="center"/>
          </w:tcPr>
          <w:p w14:paraId="012B1A23">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6D9672E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厂家回收</w:t>
            </w:r>
          </w:p>
        </w:tc>
        <w:tc>
          <w:tcPr>
            <w:tcW w:w="784" w:type="dxa"/>
            <w:noWrap/>
            <w:vAlign w:val="center"/>
          </w:tcPr>
          <w:p w14:paraId="3FC1E42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0C59827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60EE8C6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3A8C693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37AC2B4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63044E21">
            <w:pPr>
              <w:rPr>
                <w:rFonts w:ascii="Times New Roman" w:hAnsi="Times New Roman" w:cs="Times New Roman"/>
                <w:color w:val="000000" w:themeColor="text1"/>
                <w:sz w:val="18"/>
                <w:szCs w:val="18"/>
                <w14:textFill>
                  <w14:solidFill>
                    <w14:schemeClr w14:val="tx1"/>
                  </w14:solidFill>
                </w14:textFill>
              </w:rPr>
            </w:pPr>
          </w:p>
        </w:tc>
      </w:tr>
      <w:tr w14:paraId="1BC3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33CDA767">
            <w:pPr>
              <w:rPr>
                <w:rFonts w:ascii="Times New Roman" w:hAnsi="Times New Roman" w:cs="Times New Roman"/>
                <w:color w:val="FF0000"/>
                <w:sz w:val="18"/>
                <w:szCs w:val="18"/>
              </w:rPr>
            </w:pPr>
          </w:p>
        </w:tc>
        <w:tc>
          <w:tcPr>
            <w:tcW w:w="1165" w:type="dxa"/>
            <w:vMerge w:val="continue"/>
            <w:vAlign w:val="center"/>
          </w:tcPr>
          <w:p w14:paraId="739BEBF0">
            <w:pPr>
              <w:rPr>
                <w:rFonts w:ascii="Times New Roman" w:hAnsi="Times New Roman" w:cs="Times New Roman"/>
                <w:color w:val="000000" w:themeColor="text1"/>
                <w:sz w:val="18"/>
                <w:szCs w:val="18"/>
                <w14:textFill>
                  <w14:solidFill>
                    <w14:schemeClr w14:val="tx1"/>
                  </w14:solidFill>
                </w14:textFill>
              </w:rPr>
            </w:pPr>
          </w:p>
        </w:tc>
        <w:tc>
          <w:tcPr>
            <w:tcW w:w="1746" w:type="dxa"/>
            <w:vMerge w:val="restart"/>
            <w:vAlign w:val="center"/>
          </w:tcPr>
          <w:p w14:paraId="3FB74801">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有机缓释肥装置</w:t>
            </w:r>
          </w:p>
        </w:tc>
        <w:tc>
          <w:tcPr>
            <w:tcW w:w="1227" w:type="dxa"/>
            <w:vAlign w:val="center"/>
          </w:tcPr>
          <w:p w14:paraId="755224E7">
            <w:pPr>
              <w:jc w:val="center"/>
              <w:rPr>
                <w:rFonts w:hint="eastAsia"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投料废气-收尘灰</w:t>
            </w:r>
          </w:p>
        </w:tc>
        <w:tc>
          <w:tcPr>
            <w:tcW w:w="633" w:type="dxa"/>
            <w:vAlign w:val="center"/>
          </w:tcPr>
          <w:p w14:paraId="6B5EAA4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29B64EA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回用</w:t>
            </w:r>
          </w:p>
        </w:tc>
        <w:tc>
          <w:tcPr>
            <w:tcW w:w="784" w:type="dxa"/>
            <w:noWrap/>
            <w:vAlign w:val="center"/>
          </w:tcPr>
          <w:p w14:paraId="51F49B8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2FFEBC9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5A94E78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1D842D7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72D12A3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D4E313D">
            <w:pPr>
              <w:rPr>
                <w:rFonts w:ascii="Times New Roman" w:hAnsi="Times New Roman" w:cs="Times New Roman"/>
                <w:color w:val="FF0000"/>
                <w:sz w:val="18"/>
                <w:szCs w:val="18"/>
              </w:rPr>
            </w:pPr>
          </w:p>
        </w:tc>
      </w:tr>
      <w:tr w14:paraId="6324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415B1028">
            <w:pPr>
              <w:rPr>
                <w:rFonts w:ascii="Times New Roman" w:hAnsi="Times New Roman" w:cs="Times New Roman"/>
                <w:color w:val="FF0000"/>
                <w:sz w:val="18"/>
                <w:szCs w:val="18"/>
              </w:rPr>
            </w:pPr>
          </w:p>
        </w:tc>
        <w:tc>
          <w:tcPr>
            <w:tcW w:w="1165" w:type="dxa"/>
            <w:vMerge w:val="continue"/>
            <w:vAlign w:val="center"/>
          </w:tcPr>
          <w:p w14:paraId="5D87976F">
            <w:pPr>
              <w:rPr>
                <w:rFonts w:ascii="Times New Roman" w:hAnsi="Times New Roman" w:cs="Times New Roman"/>
                <w:color w:val="FF0000"/>
                <w:sz w:val="18"/>
                <w:szCs w:val="18"/>
              </w:rPr>
            </w:pPr>
          </w:p>
        </w:tc>
        <w:tc>
          <w:tcPr>
            <w:tcW w:w="1746" w:type="dxa"/>
            <w:vMerge w:val="continue"/>
            <w:vAlign w:val="center"/>
          </w:tcPr>
          <w:p w14:paraId="35C9736A">
            <w:pPr>
              <w:jc w:val="center"/>
              <w:rPr>
                <w:rFonts w:ascii="Times New Roman" w:hAnsi="Times New Roman" w:cs="Times New Roman"/>
                <w:color w:val="000000" w:themeColor="text1"/>
                <w:sz w:val="18"/>
                <w:szCs w:val="18"/>
                <w14:textFill>
                  <w14:solidFill>
                    <w14:schemeClr w14:val="tx1"/>
                  </w14:solidFill>
                </w14:textFill>
              </w:rPr>
            </w:pPr>
          </w:p>
        </w:tc>
        <w:tc>
          <w:tcPr>
            <w:tcW w:w="1227" w:type="dxa"/>
            <w:vAlign w:val="center"/>
          </w:tcPr>
          <w:p w14:paraId="0C5D672D">
            <w:pPr>
              <w:jc w:val="center"/>
              <w:rPr>
                <w:rFonts w:hint="eastAsia"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冷却废气-收尘灰</w:t>
            </w:r>
          </w:p>
        </w:tc>
        <w:tc>
          <w:tcPr>
            <w:tcW w:w="633" w:type="dxa"/>
            <w:vAlign w:val="center"/>
          </w:tcPr>
          <w:p w14:paraId="764BEFA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5A34DBD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回用</w:t>
            </w:r>
          </w:p>
        </w:tc>
        <w:tc>
          <w:tcPr>
            <w:tcW w:w="784" w:type="dxa"/>
            <w:noWrap/>
            <w:vAlign w:val="center"/>
          </w:tcPr>
          <w:p w14:paraId="38E3882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0BEBE67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73F60F7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41BC421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6E3F472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0C98F611">
            <w:pPr>
              <w:rPr>
                <w:rFonts w:ascii="Times New Roman" w:hAnsi="Times New Roman" w:cs="Times New Roman"/>
                <w:color w:val="FF0000"/>
                <w:sz w:val="18"/>
                <w:szCs w:val="18"/>
              </w:rPr>
            </w:pPr>
          </w:p>
        </w:tc>
      </w:tr>
      <w:tr w14:paraId="3ED9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CC6F81B">
            <w:pPr>
              <w:rPr>
                <w:rFonts w:ascii="Times New Roman" w:hAnsi="Times New Roman" w:cs="Times New Roman"/>
                <w:color w:val="FF0000"/>
                <w:sz w:val="18"/>
                <w:szCs w:val="18"/>
              </w:rPr>
            </w:pPr>
          </w:p>
        </w:tc>
        <w:tc>
          <w:tcPr>
            <w:tcW w:w="1165" w:type="dxa"/>
            <w:vMerge w:val="continue"/>
            <w:vAlign w:val="center"/>
          </w:tcPr>
          <w:p w14:paraId="4828D33D">
            <w:pPr>
              <w:rPr>
                <w:rFonts w:ascii="Times New Roman" w:hAnsi="Times New Roman" w:cs="Times New Roman"/>
                <w:color w:val="FF0000"/>
                <w:sz w:val="18"/>
                <w:szCs w:val="18"/>
              </w:rPr>
            </w:pPr>
          </w:p>
        </w:tc>
        <w:tc>
          <w:tcPr>
            <w:tcW w:w="1746" w:type="dxa"/>
            <w:vMerge w:val="restart"/>
            <w:vAlign w:val="center"/>
          </w:tcPr>
          <w:p w14:paraId="613CA42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公用工程</w:t>
            </w:r>
          </w:p>
        </w:tc>
        <w:tc>
          <w:tcPr>
            <w:tcW w:w="1227" w:type="dxa"/>
            <w:vAlign w:val="center"/>
          </w:tcPr>
          <w:p w14:paraId="6E73241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脱盐水站-废超滤膜</w:t>
            </w:r>
          </w:p>
        </w:tc>
        <w:tc>
          <w:tcPr>
            <w:tcW w:w="633" w:type="dxa"/>
            <w:vAlign w:val="center"/>
          </w:tcPr>
          <w:p w14:paraId="523C8D1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restart"/>
            <w:vAlign w:val="center"/>
          </w:tcPr>
          <w:p w14:paraId="77FD028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送一般固废填埋场</w:t>
            </w:r>
          </w:p>
        </w:tc>
        <w:tc>
          <w:tcPr>
            <w:tcW w:w="784" w:type="dxa"/>
            <w:noWrap/>
            <w:vAlign w:val="center"/>
          </w:tcPr>
          <w:p w14:paraId="4056826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1D4A9F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668943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3AF6CAC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8CDCFD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AAC4B7D">
            <w:pPr>
              <w:rPr>
                <w:rFonts w:ascii="Times New Roman" w:hAnsi="Times New Roman" w:cs="Times New Roman"/>
                <w:color w:val="FF0000"/>
                <w:sz w:val="18"/>
                <w:szCs w:val="18"/>
              </w:rPr>
            </w:pPr>
          </w:p>
        </w:tc>
      </w:tr>
      <w:tr w14:paraId="581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68BB9EB">
            <w:pPr>
              <w:rPr>
                <w:rFonts w:ascii="Times New Roman" w:hAnsi="Times New Roman" w:cs="Times New Roman"/>
                <w:color w:val="FF0000"/>
                <w:sz w:val="18"/>
                <w:szCs w:val="18"/>
              </w:rPr>
            </w:pPr>
          </w:p>
        </w:tc>
        <w:tc>
          <w:tcPr>
            <w:tcW w:w="1165" w:type="dxa"/>
            <w:vMerge w:val="continue"/>
            <w:vAlign w:val="center"/>
          </w:tcPr>
          <w:p w14:paraId="59682A8F">
            <w:pPr>
              <w:rPr>
                <w:rFonts w:ascii="Times New Roman" w:hAnsi="Times New Roman" w:cs="Times New Roman"/>
                <w:color w:val="FF0000"/>
                <w:sz w:val="18"/>
                <w:szCs w:val="18"/>
              </w:rPr>
            </w:pPr>
          </w:p>
        </w:tc>
        <w:tc>
          <w:tcPr>
            <w:tcW w:w="1746" w:type="dxa"/>
            <w:vMerge w:val="continue"/>
            <w:vAlign w:val="center"/>
          </w:tcPr>
          <w:p w14:paraId="0C35A704">
            <w:pPr>
              <w:rPr>
                <w:rFonts w:ascii="Times New Roman" w:hAnsi="Times New Roman" w:cs="Times New Roman"/>
                <w:color w:val="FF0000"/>
                <w:sz w:val="18"/>
                <w:szCs w:val="18"/>
              </w:rPr>
            </w:pPr>
          </w:p>
        </w:tc>
        <w:tc>
          <w:tcPr>
            <w:tcW w:w="1227" w:type="dxa"/>
            <w:vAlign w:val="center"/>
          </w:tcPr>
          <w:p w14:paraId="0154E99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脱盐水站-废反渗透膜</w:t>
            </w:r>
          </w:p>
        </w:tc>
        <w:tc>
          <w:tcPr>
            <w:tcW w:w="633" w:type="dxa"/>
            <w:vAlign w:val="center"/>
          </w:tcPr>
          <w:p w14:paraId="31932FD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769EEB9F">
            <w:pPr>
              <w:rPr>
                <w:rFonts w:ascii="Times New Roman" w:hAnsi="Times New Roman" w:cs="Times New Roman"/>
                <w:color w:val="FF0000"/>
                <w:sz w:val="18"/>
                <w:szCs w:val="18"/>
              </w:rPr>
            </w:pPr>
          </w:p>
        </w:tc>
        <w:tc>
          <w:tcPr>
            <w:tcW w:w="784" w:type="dxa"/>
            <w:noWrap/>
            <w:vAlign w:val="center"/>
          </w:tcPr>
          <w:p w14:paraId="49C2380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3AEC06C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0BCD273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5866F6F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011C8D1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F5C6EE9">
            <w:pPr>
              <w:rPr>
                <w:rFonts w:ascii="Times New Roman" w:hAnsi="Times New Roman" w:cs="Times New Roman"/>
                <w:color w:val="FF0000"/>
                <w:sz w:val="18"/>
                <w:szCs w:val="18"/>
              </w:rPr>
            </w:pPr>
          </w:p>
        </w:tc>
      </w:tr>
      <w:tr w14:paraId="08A6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259D8AD">
            <w:pPr>
              <w:rPr>
                <w:rFonts w:ascii="Times New Roman" w:hAnsi="Times New Roman" w:cs="Times New Roman"/>
                <w:color w:val="FF0000"/>
                <w:sz w:val="18"/>
                <w:szCs w:val="18"/>
              </w:rPr>
            </w:pPr>
          </w:p>
        </w:tc>
        <w:tc>
          <w:tcPr>
            <w:tcW w:w="1165" w:type="dxa"/>
            <w:vMerge w:val="continue"/>
            <w:vAlign w:val="center"/>
          </w:tcPr>
          <w:p w14:paraId="6BDA20B7">
            <w:pPr>
              <w:rPr>
                <w:rFonts w:ascii="Times New Roman" w:hAnsi="Times New Roman" w:cs="Times New Roman"/>
                <w:color w:val="FF0000"/>
                <w:sz w:val="18"/>
                <w:szCs w:val="18"/>
              </w:rPr>
            </w:pPr>
          </w:p>
        </w:tc>
        <w:tc>
          <w:tcPr>
            <w:tcW w:w="1746" w:type="dxa"/>
            <w:vMerge w:val="continue"/>
            <w:vAlign w:val="center"/>
          </w:tcPr>
          <w:p w14:paraId="2A25EB57">
            <w:pPr>
              <w:rPr>
                <w:rFonts w:ascii="Times New Roman" w:hAnsi="Times New Roman" w:cs="Times New Roman"/>
                <w:color w:val="FF0000"/>
                <w:sz w:val="18"/>
                <w:szCs w:val="18"/>
              </w:rPr>
            </w:pPr>
          </w:p>
        </w:tc>
        <w:tc>
          <w:tcPr>
            <w:tcW w:w="1227" w:type="dxa"/>
            <w:vAlign w:val="center"/>
          </w:tcPr>
          <w:p w14:paraId="0BC240F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脱盐水站-废离子交换树脂</w:t>
            </w:r>
          </w:p>
        </w:tc>
        <w:tc>
          <w:tcPr>
            <w:tcW w:w="633" w:type="dxa"/>
            <w:vAlign w:val="center"/>
          </w:tcPr>
          <w:p w14:paraId="364263A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2BF69C92">
            <w:pPr>
              <w:rPr>
                <w:rFonts w:ascii="Times New Roman" w:hAnsi="Times New Roman" w:cs="Times New Roman"/>
                <w:color w:val="FF0000"/>
                <w:sz w:val="18"/>
                <w:szCs w:val="18"/>
              </w:rPr>
            </w:pPr>
          </w:p>
        </w:tc>
        <w:tc>
          <w:tcPr>
            <w:tcW w:w="784" w:type="dxa"/>
            <w:noWrap/>
            <w:vAlign w:val="center"/>
          </w:tcPr>
          <w:p w14:paraId="2EE153C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1557986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5C7DF66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6763224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61274C4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BA6CA2A">
            <w:pPr>
              <w:rPr>
                <w:rFonts w:ascii="Times New Roman" w:hAnsi="Times New Roman" w:cs="Times New Roman"/>
                <w:color w:val="FF0000"/>
                <w:sz w:val="18"/>
                <w:szCs w:val="18"/>
              </w:rPr>
            </w:pPr>
          </w:p>
        </w:tc>
      </w:tr>
      <w:tr w14:paraId="7ED3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760FCD78">
            <w:pPr>
              <w:rPr>
                <w:rFonts w:ascii="Times New Roman" w:hAnsi="Times New Roman" w:cs="Times New Roman"/>
                <w:color w:val="FF0000"/>
                <w:sz w:val="18"/>
                <w:szCs w:val="18"/>
              </w:rPr>
            </w:pPr>
          </w:p>
        </w:tc>
        <w:tc>
          <w:tcPr>
            <w:tcW w:w="1165" w:type="dxa"/>
            <w:vMerge w:val="continue"/>
            <w:vAlign w:val="center"/>
          </w:tcPr>
          <w:p w14:paraId="574A697B">
            <w:pPr>
              <w:rPr>
                <w:rFonts w:ascii="Times New Roman" w:hAnsi="Times New Roman" w:cs="Times New Roman"/>
                <w:color w:val="FF0000"/>
                <w:sz w:val="18"/>
                <w:szCs w:val="18"/>
              </w:rPr>
            </w:pPr>
          </w:p>
        </w:tc>
        <w:tc>
          <w:tcPr>
            <w:tcW w:w="1746" w:type="dxa"/>
            <w:vMerge w:val="continue"/>
            <w:vAlign w:val="center"/>
          </w:tcPr>
          <w:p w14:paraId="5CBD7B4F">
            <w:pPr>
              <w:rPr>
                <w:rFonts w:ascii="Times New Roman" w:hAnsi="Times New Roman" w:cs="Times New Roman"/>
                <w:color w:val="FF0000"/>
                <w:sz w:val="18"/>
                <w:szCs w:val="18"/>
              </w:rPr>
            </w:pPr>
          </w:p>
        </w:tc>
        <w:tc>
          <w:tcPr>
            <w:tcW w:w="1227" w:type="dxa"/>
            <w:vAlign w:val="center"/>
          </w:tcPr>
          <w:p w14:paraId="6C30678E">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-污泥</w:t>
            </w:r>
          </w:p>
        </w:tc>
        <w:tc>
          <w:tcPr>
            <w:tcW w:w="633" w:type="dxa"/>
            <w:vAlign w:val="center"/>
          </w:tcPr>
          <w:p w14:paraId="180194F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0FBCB49B">
            <w:pPr>
              <w:rPr>
                <w:rFonts w:ascii="Times New Roman" w:hAnsi="Times New Roman" w:cs="Times New Roman"/>
                <w:color w:val="FF0000"/>
                <w:sz w:val="18"/>
                <w:szCs w:val="18"/>
              </w:rPr>
            </w:pPr>
          </w:p>
        </w:tc>
        <w:tc>
          <w:tcPr>
            <w:tcW w:w="784" w:type="dxa"/>
            <w:noWrap/>
            <w:vAlign w:val="center"/>
          </w:tcPr>
          <w:p w14:paraId="55694ED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440342B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C2406F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1D2BA49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E57236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FF616BC">
            <w:pPr>
              <w:rPr>
                <w:rFonts w:ascii="Times New Roman" w:hAnsi="Times New Roman" w:cs="Times New Roman"/>
                <w:color w:val="FF0000"/>
                <w:sz w:val="18"/>
                <w:szCs w:val="18"/>
              </w:rPr>
            </w:pPr>
          </w:p>
        </w:tc>
      </w:tr>
      <w:tr w14:paraId="1F6C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1ED91E6">
            <w:pPr>
              <w:rPr>
                <w:rFonts w:ascii="Times New Roman" w:hAnsi="Times New Roman" w:cs="Times New Roman"/>
                <w:color w:val="FF0000"/>
                <w:sz w:val="18"/>
                <w:szCs w:val="18"/>
              </w:rPr>
            </w:pPr>
          </w:p>
        </w:tc>
        <w:tc>
          <w:tcPr>
            <w:tcW w:w="1165" w:type="dxa"/>
            <w:vMerge w:val="continue"/>
            <w:vAlign w:val="center"/>
          </w:tcPr>
          <w:p w14:paraId="1202C9CC">
            <w:pPr>
              <w:rPr>
                <w:rFonts w:ascii="Times New Roman" w:hAnsi="Times New Roman" w:cs="Times New Roman"/>
                <w:color w:val="FF0000"/>
                <w:sz w:val="18"/>
                <w:szCs w:val="18"/>
              </w:rPr>
            </w:pPr>
          </w:p>
        </w:tc>
        <w:tc>
          <w:tcPr>
            <w:tcW w:w="1746" w:type="dxa"/>
            <w:vMerge w:val="continue"/>
            <w:vAlign w:val="center"/>
          </w:tcPr>
          <w:p w14:paraId="10045528">
            <w:pPr>
              <w:rPr>
                <w:rFonts w:ascii="Times New Roman" w:hAnsi="Times New Roman" w:cs="Times New Roman"/>
                <w:color w:val="FF0000"/>
                <w:sz w:val="18"/>
                <w:szCs w:val="18"/>
              </w:rPr>
            </w:pPr>
          </w:p>
        </w:tc>
        <w:tc>
          <w:tcPr>
            <w:tcW w:w="1227" w:type="dxa"/>
            <w:vAlign w:val="center"/>
          </w:tcPr>
          <w:p w14:paraId="114392EF">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-废滤料</w:t>
            </w:r>
          </w:p>
        </w:tc>
        <w:tc>
          <w:tcPr>
            <w:tcW w:w="633" w:type="dxa"/>
            <w:vAlign w:val="center"/>
          </w:tcPr>
          <w:p w14:paraId="6868A58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11A3098E">
            <w:pPr>
              <w:rPr>
                <w:rFonts w:ascii="Times New Roman" w:hAnsi="Times New Roman" w:cs="Times New Roman"/>
                <w:color w:val="FF0000"/>
                <w:sz w:val="18"/>
                <w:szCs w:val="18"/>
              </w:rPr>
            </w:pPr>
          </w:p>
        </w:tc>
        <w:tc>
          <w:tcPr>
            <w:tcW w:w="784" w:type="dxa"/>
            <w:noWrap/>
            <w:vAlign w:val="center"/>
          </w:tcPr>
          <w:p w14:paraId="36B25A7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34449F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1DD642F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3FD3435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6CC0D8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D2F6CC6">
            <w:pPr>
              <w:rPr>
                <w:rFonts w:ascii="Times New Roman" w:hAnsi="Times New Roman" w:cs="Times New Roman"/>
                <w:color w:val="FF0000"/>
                <w:sz w:val="18"/>
                <w:szCs w:val="18"/>
              </w:rPr>
            </w:pPr>
          </w:p>
        </w:tc>
      </w:tr>
      <w:tr w14:paraId="1505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C82FB2C">
            <w:pPr>
              <w:rPr>
                <w:rFonts w:ascii="Times New Roman" w:hAnsi="Times New Roman" w:cs="Times New Roman"/>
                <w:color w:val="FF0000"/>
                <w:sz w:val="18"/>
                <w:szCs w:val="18"/>
              </w:rPr>
            </w:pPr>
          </w:p>
        </w:tc>
        <w:tc>
          <w:tcPr>
            <w:tcW w:w="1165" w:type="dxa"/>
            <w:vMerge w:val="continue"/>
            <w:vAlign w:val="center"/>
          </w:tcPr>
          <w:p w14:paraId="37EA89F9">
            <w:pPr>
              <w:rPr>
                <w:rFonts w:ascii="Times New Roman" w:hAnsi="Times New Roman" w:cs="Times New Roman"/>
                <w:color w:val="FF0000"/>
                <w:sz w:val="18"/>
                <w:szCs w:val="18"/>
              </w:rPr>
            </w:pPr>
          </w:p>
        </w:tc>
        <w:tc>
          <w:tcPr>
            <w:tcW w:w="1746" w:type="dxa"/>
            <w:vMerge w:val="continue"/>
            <w:vAlign w:val="center"/>
          </w:tcPr>
          <w:p w14:paraId="3BBBD7C5">
            <w:pPr>
              <w:rPr>
                <w:rFonts w:ascii="Times New Roman" w:hAnsi="Times New Roman" w:cs="Times New Roman"/>
                <w:color w:val="FF0000"/>
                <w:sz w:val="18"/>
                <w:szCs w:val="18"/>
              </w:rPr>
            </w:pPr>
          </w:p>
        </w:tc>
        <w:tc>
          <w:tcPr>
            <w:tcW w:w="1227" w:type="dxa"/>
            <w:vAlign w:val="center"/>
          </w:tcPr>
          <w:p w14:paraId="305170E4">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-废超滤膜</w:t>
            </w:r>
          </w:p>
        </w:tc>
        <w:tc>
          <w:tcPr>
            <w:tcW w:w="633" w:type="dxa"/>
            <w:vAlign w:val="center"/>
          </w:tcPr>
          <w:p w14:paraId="3F64A9E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13D5E86B">
            <w:pPr>
              <w:rPr>
                <w:rFonts w:ascii="Times New Roman" w:hAnsi="Times New Roman" w:cs="Times New Roman"/>
                <w:color w:val="FF0000"/>
                <w:sz w:val="18"/>
                <w:szCs w:val="18"/>
              </w:rPr>
            </w:pPr>
          </w:p>
        </w:tc>
        <w:tc>
          <w:tcPr>
            <w:tcW w:w="784" w:type="dxa"/>
            <w:noWrap/>
            <w:vAlign w:val="center"/>
          </w:tcPr>
          <w:p w14:paraId="104215E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524E3DB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1EA3762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FF928C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149E86B5">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20A27F95">
            <w:pPr>
              <w:rPr>
                <w:rFonts w:ascii="Times New Roman" w:hAnsi="Times New Roman" w:cs="Times New Roman"/>
                <w:color w:val="FF0000"/>
                <w:sz w:val="18"/>
                <w:szCs w:val="18"/>
              </w:rPr>
            </w:pPr>
          </w:p>
        </w:tc>
      </w:tr>
      <w:tr w14:paraId="1193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6CC799B">
            <w:pPr>
              <w:rPr>
                <w:rFonts w:ascii="Times New Roman" w:hAnsi="Times New Roman" w:cs="Times New Roman"/>
                <w:color w:val="FF0000"/>
                <w:sz w:val="18"/>
                <w:szCs w:val="18"/>
              </w:rPr>
            </w:pPr>
          </w:p>
        </w:tc>
        <w:tc>
          <w:tcPr>
            <w:tcW w:w="1165" w:type="dxa"/>
            <w:vMerge w:val="continue"/>
            <w:vAlign w:val="center"/>
          </w:tcPr>
          <w:p w14:paraId="6D61F54A">
            <w:pPr>
              <w:rPr>
                <w:rFonts w:ascii="Times New Roman" w:hAnsi="Times New Roman" w:cs="Times New Roman"/>
                <w:color w:val="FF0000"/>
                <w:sz w:val="18"/>
                <w:szCs w:val="18"/>
              </w:rPr>
            </w:pPr>
          </w:p>
        </w:tc>
        <w:tc>
          <w:tcPr>
            <w:tcW w:w="1746" w:type="dxa"/>
            <w:vMerge w:val="continue"/>
            <w:vAlign w:val="center"/>
          </w:tcPr>
          <w:p w14:paraId="620C0ABF">
            <w:pPr>
              <w:rPr>
                <w:rFonts w:ascii="Times New Roman" w:hAnsi="Times New Roman" w:cs="Times New Roman"/>
                <w:color w:val="FF0000"/>
                <w:sz w:val="18"/>
                <w:szCs w:val="18"/>
              </w:rPr>
            </w:pPr>
          </w:p>
        </w:tc>
        <w:tc>
          <w:tcPr>
            <w:tcW w:w="1227" w:type="dxa"/>
            <w:vAlign w:val="center"/>
          </w:tcPr>
          <w:p w14:paraId="03052CC3">
            <w:pPr>
              <w:jc w:val="center"/>
              <w:rPr>
                <w:rFonts w:ascii="Times New Roman" w:hAnsi="Times New Roman" w:cs="Times New Roman"/>
                <w:color w:val="FF0000"/>
                <w:sz w:val="18"/>
                <w:szCs w:val="18"/>
              </w:rPr>
            </w:pPr>
            <w:r>
              <w:rPr>
                <w:rFonts w:hint="eastAsia" w:ascii="Times New Roman" w:hAnsi="Times New Roman" w:cs="Times New Roman"/>
                <w:color w:val="000000"/>
                <w:sz w:val="18"/>
                <w:szCs w:val="18"/>
              </w:rPr>
              <w:t>中水回用系统</w:t>
            </w:r>
            <w:r>
              <w:rPr>
                <w:rFonts w:ascii="Times New Roman" w:hAnsi="Times New Roman" w:cs="Times New Roman"/>
                <w:color w:val="000000"/>
                <w:sz w:val="18"/>
                <w:szCs w:val="18"/>
              </w:rPr>
              <w:t>-废反渗透膜</w:t>
            </w:r>
          </w:p>
        </w:tc>
        <w:tc>
          <w:tcPr>
            <w:tcW w:w="633" w:type="dxa"/>
            <w:vAlign w:val="center"/>
          </w:tcPr>
          <w:p w14:paraId="7892F37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389389D5">
            <w:pPr>
              <w:rPr>
                <w:rFonts w:ascii="Times New Roman" w:hAnsi="Times New Roman" w:cs="Times New Roman"/>
                <w:color w:val="FF0000"/>
                <w:sz w:val="18"/>
                <w:szCs w:val="18"/>
              </w:rPr>
            </w:pPr>
          </w:p>
        </w:tc>
        <w:tc>
          <w:tcPr>
            <w:tcW w:w="784" w:type="dxa"/>
            <w:noWrap/>
            <w:vAlign w:val="center"/>
          </w:tcPr>
          <w:p w14:paraId="0F1B7A3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2C2B33B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106AE63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00FA34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2F8A57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7F01CF2">
            <w:pPr>
              <w:rPr>
                <w:rFonts w:ascii="Times New Roman" w:hAnsi="Times New Roman" w:cs="Times New Roman"/>
                <w:color w:val="FF0000"/>
                <w:sz w:val="18"/>
                <w:szCs w:val="18"/>
              </w:rPr>
            </w:pPr>
          </w:p>
        </w:tc>
      </w:tr>
      <w:tr w14:paraId="454E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5A05A858">
            <w:pPr>
              <w:rPr>
                <w:rFonts w:ascii="Times New Roman" w:hAnsi="Times New Roman" w:cs="Times New Roman"/>
                <w:color w:val="FF0000"/>
                <w:sz w:val="18"/>
                <w:szCs w:val="18"/>
              </w:rPr>
            </w:pPr>
          </w:p>
        </w:tc>
        <w:tc>
          <w:tcPr>
            <w:tcW w:w="1165" w:type="dxa"/>
            <w:vMerge w:val="continue"/>
            <w:vAlign w:val="center"/>
          </w:tcPr>
          <w:p w14:paraId="2618291D">
            <w:pPr>
              <w:rPr>
                <w:rFonts w:ascii="Times New Roman" w:hAnsi="Times New Roman" w:cs="Times New Roman"/>
                <w:color w:val="FF0000"/>
                <w:sz w:val="18"/>
                <w:szCs w:val="18"/>
              </w:rPr>
            </w:pPr>
          </w:p>
        </w:tc>
        <w:tc>
          <w:tcPr>
            <w:tcW w:w="1746" w:type="dxa"/>
            <w:vMerge w:val="continue"/>
            <w:vAlign w:val="center"/>
          </w:tcPr>
          <w:p w14:paraId="07EDFBA8">
            <w:pPr>
              <w:rPr>
                <w:rFonts w:ascii="Times New Roman" w:hAnsi="Times New Roman" w:cs="Times New Roman"/>
                <w:color w:val="FF0000"/>
                <w:sz w:val="18"/>
                <w:szCs w:val="18"/>
              </w:rPr>
            </w:pPr>
          </w:p>
        </w:tc>
        <w:tc>
          <w:tcPr>
            <w:tcW w:w="1227" w:type="dxa"/>
            <w:vAlign w:val="center"/>
          </w:tcPr>
          <w:p w14:paraId="4FDBFF66">
            <w:pPr>
              <w:jc w:val="center"/>
              <w:rPr>
                <w:rFonts w:ascii="Times New Roman" w:hAnsi="Times New Roman" w:cs="Times New Roman"/>
                <w:color w:val="FF0000"/>
                <w:sz w:val="18"/>
                <w:szCs w:val="18"/>
              </w:rPr>
            </w:pPr>
            <w:r>
              <w:rPr>
                <w:rFonts w:ascii="Times New Roman" w:hAnsi="Times New Roman" w:cs="Times New Roman"/>
                <w:color w:val="000000"/>
                <w:sz w:val="18"/>
                <w:szCs w:val="18"/>
              </w:rPr>
              <w:t>污水处理站-生化污泥</w:t>
            </w:r>
          </w:p>
        </w:tc>
        <w:tc>
          <w:tcPr>
            <w:tcW w:w="633" w:type="dxa"/>
            <w:vAlign w:val="center"/>
          </w:tcPr>
          <w:p w14:paraId="45E1BBB4">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7FEAC573">
            <w:pPr>
              <w:rPr>
                <w:rFonts w:ascii="Times New Roman" w:hAnsi="Times New Roman" w:cs="Times New Roman"/>
                <w:color w:val="FF0000"/>
                <w:sz w:val="18"/>
                <w:szCs w:val="18"/>
              </w:rPr>
            </w:pPr>
          </w:p>
        </w:tc>
        <w:tc>
          <w:tcPr>
            <w:tcW w:w="784" w:type="dxa"/>
            <w:noWrap/>
            <w:vAlign w:val="center"/>
          </w:tcPr>
          <w:p w14:paraId="6CA5BD8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2D65659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25F6776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7B50147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4A2F10B2">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0AA05E4D">
            <w:pPr>
              <w:rPr>
                <w:rFonts w:ascii="Times New Roman" w:hAnsi="Times New Roman" w:cs="Times New Roman"/>
                <w:color w:val="FF0000"/>
                <w:sz w:val="18"/>
                <w:szCs w:val="18"/>
              </w:rPr>
            </w:pPr>
          </w:p>
        </w:tc>
      </w:tr>
      <w:tr w14:paraId="75A2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96FB9C9">
            <w:pPr>
              <w:rPr>
                <w:rFonts w:ascii="Times New Roman" w:hAnsi="Times New Roman" w:cs="Times New Roman"/>
                <w:color w:val="FF0000"/>
                <w:sz w:val="18"/>
                <w:szCs w:val="18"/>
              </w:rPr>
            </w:pPr>
          </w:p>
        </w:tc>
        <w:tc>
          <w:tcPr>
            <w:tcW w:w="1165" w:type="dxa"/>
            <w:vMerge w:val="continue"/>
            <w:vAlign w:val="center"/>
          </w:tcPr>
          <w:p w14:paraId="7E374934">
            <w:pPr>
              <w:rPr>
                <w:rFonts w:ascii="Times New Roman" w:hAnsi="Times New Roman" w:cs="Times New Roman"/>
                <w:color w:val="FF0000"/>
                <w:sz w:val="18"/>
                <w:szCs w:val="18"/>
              </w:rPr>
            </w:pPr>
          </w:p>
        </w:tc>
        <w:tc>
          <w:tcPr>
            <w:tcW w:w="1746" w:type="dxa"/>
            <w:vMerge w:val="continue"/>
            <w:vAlign w:val="center"/>
          </w:tcPr>
          <w:p w14:paraId="2A005364">
            <w:pPr>
              <w:rPr>
                <w:rFonts w:ascii="Times New Roman" w:hAnsi="Times New Roman" w:cs="Times New Roman"/>
                <w:color w:val="FF0000"/>
                <w:sz w:val="18"/>
                <w:szCs w:val="18"/>
              </w:rPr>
            </w:pPr>
          </w:p>
        </w:tc>
        <w:tc>
          <w:tcPr>
            <w:tcW w:w="1227" w:type="dxa"/>
            <w:vAlign w:val="center"/>
          </w:tcPr>
          <w:p w14:paraId="698BF4C6">
            <w:pPr>
              <w:jc w:val="center"/>
              <w:rPr>
                <w:rFonts w:ascii="Times New Roman" w:hAnsi="Times New Roman" w:cs="Times New Roman"/>
                <w:color w:val="FF0000"/>
                <w:sz w:val="18"/>
                <w:szCs w:val="18"/>
              </w:rPr>
            </w:pPr>
            <w:r>
              <w:rPr>
                <w:rFonts w:ascii="Times New Roman" w:hAnsi="Times New Roman" w:cs="Times New Roman"/>
                <w:color w:val="000000"/>
                <w:sz w:val="18"/>
                <w:szCs w:val="18"/>
              </w:rPr>
              <w:t>空分站-废分子筛</w:t>
            </w:r>
          </w:p>
        </w:tc>
        <w:tc>
          <w:tcPr>
            <w:tcW w:w="633" w:type="dxa"/>
            <w:vAlign w:val="center"/>
          </w:tcPr>
          <w:p w14:paraId="393A3AC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09EDBEE3">
            <w:pPr>
              <w:rPr>
                <w:rFonts w:ascii="Times New Roman" w:hAnsi="Times New Roman" w:cs="Times New Roman"/>
                <w:color w:val="FF0000"/>
                <w:sz w:val="18"/>
                <w:szCs w:val="18"/>
              </w:rPr>
            </w:pPr>
          </w:p>
        </w:tc>
        <w:tc>
          <w:tcPr>
            <w:tcW w:w="784" w:type="dxa"/>
            <w:noWrap/>
            <w:vAlign w:val="center"/>
          </w:tcPr>
          <w:p w14:paraId="00C0AEB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7AFC1279">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335DA44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A74ABB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58EB3BA1">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535B6E46">
            <w:pPr>
              <w:rPr>
                <w:rFonts w:ascii="Times New Roman" w:hAnsi="Times New Roman" w:cs="Times New Roman"/>
                <w:color w:val="FF0000"/>
                <w:sz w:val="18"/>
                <w:szCs w:val="18"/>
              </w:rPr>
            </w:pPr>
          </w:p>
        </w:tc>
      </w:tr>
      <w:tr w14:paraId="678F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6D30909C">
            <w:pPr>
              <w:rPr>
                <w:rFonts w:ascii="Times New Roman" w:hAnsi="Times New Roman" w:cs="Times New Roman"/>
                <w:color w:val="FF0000"/>
                <w:sz w:val="18"/>
                <w:szCs w:val="18"/>
              </w:rPr>
            </w:pPr>
          </w:p>
        </w:tc>
        <w:tc>
          <w:tcPr>
            <w:tcW w:w="1165" w:type="dxa"/>
            <w:vMerge w:val="continue"/>
            <w:vAlign w:val="center"/>
          </w:tcPr>
          <w:p w14:paraId="7B2897B2">
            <w:pPr>
              <w:rPr>
                <w:rFonts w:ascii="Times New Roman" w:hAnsi="Times New Roman" w:cs="Times New Roman"/>
                <w:color w:val="FF0000"/>
                <w:sz w:val="18"/>
                <w:szCs w:val="18"/>
              </w:rPr>
            </w:pPr>
          </w:p>
        </w:tc>
        <w:tc>
          <w:tcPr>
            <w:tcW w:w="1746" w:type="dxa"/>
            <w:vMerge w:val="continue"/>
            <w:vAlign w:val="center"/>
          </w:tcPr>
          <w:p w14:paraId="5F507E93">
            <w:pPr>
              <w:rPr>
                <w:rFonts w:ascii="Times New Roman" w:hAnsi="Times New Roman" w:cs="Times New Roman"/>
                <w:color w:val="FF0000"/>
                <w:sz w:val="18"/>
                <w:szCs w:val="18"/>
              </w:rPr>
            </w:pPr>
          </w:p>
        </w:tc>
        <w:tc>
          <w:tcPr>
            <w:tcW w:w="1227" w:type="dxa"/>
            <w:vAlign w:val="center"/>
          </w:tcPr>
          <w:p w14:paraId="2E14B16F">
            <w:pPr>
              <w:jc w:val="center"/>
              <w:rPr>
                <w:rFonts w:ascii="Times New Roman" w:hAnsi="Times New Roman" w:cs="Times New Roman"/>
                <w:color w:val="FF0000"/>
                <w:sz w:val="18"/>
                <w:szCs w:val="18"/>
              </w:rPr>
            </w:pPr>
            <w:r>
              <w:rPr>
                <w:rFonts w:ascii="Times New Roman" w:hAnsi="Times New Roman" w:cs="Times New Roman"/>
                <w:color w:val="000000"/>
                <w:sz w:val="18"/>
                <w:szCs w:val="18"/>
              </w:rPr>
              <w:t>空分站-废空分氧化铝</w:t>
            </w:r>
          </w:p>
        </w:tc>
        <w:tc>
          <w:tcPr>
            <w:tcW w:w="633" w:type="dxa"/>
            <w:vAlign w:val="center"/>
          </w:tcPr>
          <w:p w14:paraId="6AE7B59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Merge w:val="continue"/>
            <w:vAlign w:val="center"/>
          </w:tcPr>
          <w:p w14:paraId="562EE3AF">
            <w:pPr>
              <w:rPr>
                <w:rFonts w:ascii="Times New Roman" w:hAnsi="Times New Roman" w:cs="Times New Roman"/>
                <w:color w:val="FF0000"/>
                <w:sz w:val="18"/>
                <w:szCs w:val="18"/>
              </w:rPr>
            </w:pPr>
          </w:p>
        </w:tc>
        <w:tc>
          <w:tcPr>
            <w:tcW w:w="784" w:type="dxa"/>
            <w:noWrap/>
            <w:vAlign w:val="center"/>
          </w:tcPr>
          <w:p w14:paraId="5FE18B7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AB0145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000A469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254222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7532BC67">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3672A777">
            <w:pPr>
              <w:rPr>
                <w:rFonts w:ascii="Times New Roman" w:hAnsi="Times New Roman" w:cs="Times New Roman"/>
                <w:color w:val="FF0000"/>
                <w:sz w:val="18"/>
                <w:szCs w:val="18"/>
              </w:rPr>
            </w:pPr>
          </w:p>
        </w:tc>
      </w:tr>
      <w:tr w14:paraId="4993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0117BADF">
            <w:pPr>
              <w:rPr>
                <w:rFonts w:ascii="Times New Roman" w:hAnsi="Times New Roman" w:cs="Times New Roman"/>
                <w:color w:val="FF0000"/>
                <w:sz w:val="18"/>
                <w:szCs w:val="18"/>
              </w:rPr>
            </w:pPr>
          </w:p>
        </w:tc>
        <w:tc>
          <w:tcPr>
            <w:tcW w:w="1165" w:type="dxa"/>
            <w:vMerge w:val="continue"/>
            <w:vAlign w:val="center"/>
          </w:tcPr>
          <w:p w14:paraId="0668AAF2">
            <w:pPr>
              <w:rPr>
                <w:rFonts w:ascii="Times New Roman" w:hAnsi="Times New Roman" w:cs="Times New Roman"/>
                <w:color w:val="FF0000"/>
                <w:sz w:val="18"/>
                <w:szCs w:val="18"/>
              </w:rPr>
            </w:pPr>
          </w:p>
        </w:tc>
        <w:tc>
          <w:tcPr>
            <w:tcW w:w="1746" w:type="dxa"/>
            <w:vAlign w:val="center"/>
          </w:tcPr>
          <w:p w14:paraId="7872C6A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储运工程</w:t>
            </w:r>
          </w:p>
        </w:tc>
        <w:tc>
          <w:tcPr>
            <w:tcW w:w="1227" w:type="dxa"/>
            <w:vAlign w:val="center"/>
          </w:tcPr>
          <w:p w14:paraId="663BD79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原煤储运收尘灰</w:t>
            </w:r>
          </w:p>
        </w:tc>
        <w:tc>
          <w:tcPr>
            <w:tcW w:w="633" w:type="dxa"/>
            <w:vAlign w:val="center"/>
          </w:tcPr>
          <w:p w14:paraId="20CB354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2EC84BE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送气化装置作原料</w:t>
            </w:r>
          </w:p>
        </w:tc>
        <w:tc>
          <w:tcPr>
            <w:tcW w:w="784" w:type="dxa"/>
            <w:noWrap/>
            <w:vAlign w:val="center"/>
          </w:tcPr>
          <w:p w14:paraId="55138ABE">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69BE87F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D7312F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52ABF183">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295D0FA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Merge w:val="continue"/>
            <w:vAlign w:val="center"/>
          </w:tcPr>
          <w:p w14:paraId="722D2937">
            <w:pPr>
              <w:rPr>
                <w:rFonts w:ascii="Times New Roman" w:hAnsi="Times New Roman" w:cs="Times New Roman"/>
                <w:color w:val="FF0000"/>
                <w:sz w:val="18"/>
                <w:szCs w:val="18"/>
              </w:rPr>
            </w:pPr>
          </w:p>
        </w:tc>
      </w:tr>
      <w:tr w14:paraId="5D9A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vMerge w:val="continue"/>
            <w:vAlign w:val="center"/>
          </w:tcPr>
          <w:p w14:paraId="2ADC694A">
            <w:pPr>
              <w:rPr>
                <w:rFonts w:ascii="Times New Roman" w:hAnsi="Times New Roman" w:cs="Times New Roman"/>
                <w:color w:val="FF0000"/>
                <w:sz w:val="18"/>
                <w:szCs w:val="18"/>
              </w:rPr>
            </w:pPr>
          </w:p>
        </w:tc>
        <w:tc>
          <w:tcPr>
            <w:tcW w:w="2911" w:type="dxa"/>
            <w:gridSpan w:val="2"/>
            <w:vAlign w:val="center"/>
          </w:tcPr>
          <w:p w14:paraId="64C015C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生活垃圾</w:t>
            </w:r>
          </w:p>
        </w:tc>
        <w:tc>
          <w:tcPr>
            <w:tcW w:w="1227" w:type="dxa"/>
            <w:vAlign w:val="center"/>
          </w:tcPr>
          <w:p w14:paraId="38110BC0">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生活垃圾</w:t>
            </w:r>
          </w:p>
        </w:tc>
        <w:tc>
          <w:tcPr>
            <w:tcW w:w="633" w:type="dxa"/>
            <w:vAlign w:val="center"/>
          </w:tcPr>
          <w:p w14:paraId="00FC9A06">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84" w:type="dxa"/>
            <w:vAlign w:val="center"/>
          </w:tcPr>
          <w:p w14:paraId="75AD806A">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84" w:type="dxa"/>
            <w:noWrap/>
            <w:vAlign w:val="center"/>
          </w:tcPr>
          <w:p w14:paraId="1C24511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2" w:type="dxa"/>
            <w:noWrap/>
            <w:vAlign w:val="center"/>
          </w:tcPr>
          <w:p w14:paraId="38483BB8">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07" w:type="dxa"/>
            <w:noWrap/>
            <w:vAlign w:val="center"/>
          </w:tcPr>
          <w:p w14:paraId="4627E38D">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w:t>
            </w:r>
          </w:p>
        </w:tc>
        <w:tc>
          <w:tcPr>
            <w:tcW w:w="692" w:type="dxa"/>
            <w:vAlign w:val="center"/>
          </w:tcPr>
          <w:p w14:paraId="03516CAC">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709" w:type="dxa"/>
            <w:vAlign w:val="center"/>
          </w:tcPr>
          <w:p w14:paraId="65C2AACB">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471" w:type="dxa"/>
            <w:vAlign w:val="center"/>
          </w:tcPr>
          <w:p w14:paraId="781F234F">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bl>
    <w:p w14:paraId="0AECC391">
      <w:pPr>
        <w:pStyle w:val="535"/>
        <w:rPr>
          <w:rFonts w:hint="eastAsia"/>
          <w:color w:val="FF0000"/>
        </w:rPr>
      </w:pPr>
    </w:p>
    <w:bookmarkEnd w:id="561"/>
    <w:p w14:paraId="381758DC">
      <w:pPr>
        <w:spacing w:line="360" w:lineRule="auto"/>
        <w:ind w:firstLine="480" w:firstLineChars="200"/>
        <w:rPr>
          <w:rFonts w:hint="eastAsia"/>
        </w:rPr>
        <w:sectPr>
          <w:pgSz w:w="16838" w:h="11906" w:orient="landscape"/>
          <w:pgMar w:top="1800" w:right="1440" w:bottom="1800" w:left="1440" w:header="851" w:footer="850" w:gutter="0"/>
          <w:cols w:space="425" w:num="1"/>
          <w:docGrid w:type="lines" w:linePitch="326" w:charSpace="0"/>
        </w:sectPr>
      </w:pPr>
    </w:p>
    <w:p w14:paraId="72B8B8D3">
      <w:pPr>
        <w:pStyle w:val="3"/>
        <w:rPr>
          <w:rFonts w:hint="eastAsia"/>
        </w:rPr>
      </w:pPr>
      <w:bookmarkStart w:id="562" w:name="_Toc2520"/>
      <w:r>
        <w:t>环境监测计划</w:t>
      </w:r>
      <w:bookmarkEnd w:id="562"/>
    </w:p>
    <w:p w14:paraId="33976CBE">
      <w:pPr>
        <w:pStyle w:val="97"/>
        <w:rPr>
          <w:rFonts w:hint="eastAsia"/>
        </w:rPr>
      </w:pPr>
      <w:r>
        <w:rPr>
          <w:rFonts w:hint="eastAsia"/>
        </w:rPr>
        <w:t>污染源与环境</w:t>
      </w:r>
      <w:r>
        <w:t>监测方案</w:t>
      </w:r>
    </w:p>
    <w:p w14:paraId="533372B0">
      <w:pPr>
        <w:spacing w:line="360" w:lineRule="auto"/>
        <w:ind w:firstLine="480" w:firstLineChars="200"/>
        <w:jc w:val="both"/>
        <w:rPr>
          <w:rFonts w:hint="eastAsia"/>
        </w:rPr>
      </w:pPr>
      <w:r>
        <w:rPr>
          <w:rFonts w:hint="eastAsia"/>
        </w:rPr>
        <w:t>本</w:t>
      </w:r>
      <w:r>
        <w:rPr>
          <w:rStyle w:val="282"/>
          <w:rFonts w:hint="eastAsia"/>
        </w:rPr>
        <w:t>项目应建立覆盖常规污染物、特征污染物的环境监测体系，并与当地生态环境部门联网，按照“关于印发《国家重点监控企业自行监测及信息公开办法（试行）》《国家重点监控企业污染源监督性监测及信息公开办法（试行）》的通知”（环发</w:t>
      </w:r>
      <w:r>
        <w:rPr>
          <w:rStyle w:val="282"/>
        </w:rPr>
        <w:t>[2013]81</w:t>
      </w:r>
      <w:r>
        <w:rPr>
          <w:rStyle w:val="282"/>
          <w:rFonts w:hint="eastAsia"/>
        </w:rPr>
        <w:t>号）、《排污单位自行监测技术指南 总则》（H</w:t>
      </w:r>
      <w:r>
        <w:rPr>
          <w:rStyle w:val="282"/>
        </w:rPr>
        <w:t>J 819-2017</w:t>
      </w:r>
      <w:r>
        <w:rPr>
          <w:rStyle w:val="282"/>
          <w:rFonts w:hint="eastAsia"/>
        </w:rPr>
        <w:t>）、《排污单位自行监测技术指南 石油化学工业》（HJ 947-2018）、《排污单位自行监测技术指南 石油炼制工业》（HJ 880-2018）、《排污单位自行监测技术指南 化肥工业 氮肥》（HJ948.1-2018）、《排污单位自行监测技术指南 磷肥、钾肥、复混肥料、有机肥料和微生物肥料》（HJ 1088-2020）、《排污单位自行监测技术指南 火力发电及锅炉》（HJ 820-2017）及</w:t>
      </w:r>
      <w:r>
        <w:rPr>
          <w:rStyle w:val="282"/>
        </w:rPr>
        <w:t>《企业环境信息依法披露管理办法》</w:t>
      </w:r>
      <w:r>
        <w:rPr>
          <w:rStyle w:val="282"/>
          <w:rFonts w:hint="eastAsia"/>
        </w:rPr>
        <w:t>相关要求，进行环境监测计划设置和环境信息公开。本项目污染源监测计划详见表10.3</w:t>
      </w:r>
      <w:r>
        <w:rPr>
          <w:rStyle w:val="282"/>
        </w:rPr>
        <w:t>.1</w:t>
      </w:r>
      <w:r>
        <w:rPr>
          <w:rStyle w:val="282"/>
          <w:rFonts w:hint="eastAsia"/>
        </w:rPr>
        <w:t>-1。项目环境质量监测计划具体见表10.3</w:t>
      </w:r>
      <w:r>
        <w:rPr>
          <w:rStyle w:val="282"/>
        </w:rPr>
        <w:t>.1</w:t>
      </w:r>
      <w:r>
        <w:rPr>
          <w:rStyle w:val="282"/>
          <w:rFonts w:hint="eastAsia"/>
        </w:rPr>
        <w:t>-2。</w:t>
      </w:r>
    </w:p>
    <w:p w14:paraId="77C3B695">
      <w:pPr>
        <w:pStyle w:val="535"/>
        <w:rPr>
          <w:rFonts w:hint="eastAsia"/>
          <w:color w:val="auto"/>
        </w:rPr>
      </w:pPr>
      <w:r>
        <w:rPr>
          <w:rFonts w:hint="eastAsia"/>
          <w:color w:val="auto"/>
        </w:rPr>
        <w:t>表10.3</w:t>
      </w:r>
      <w:r>
        <w:rPr>
          <w:color w:val="auto"/>
        </w:rPr>
        <w:t>.1</w:t>
      </w:r>
      <w:r>
        <w:rPr>
          <w:rFonts w:hint="eastAsia"/>
          <w:color w:val="auto"/>
        </w:rPr>
        <w:t>-1   污染源监测计划</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5"/>
        <w:gridCol w:w="1437"/>
        <w:gridCol w:w="2552"/>
        <w:gridCol w:w="2785"/>
        <w:gridCol w:w="1046"/>
      </w:tblGrid>
      <w:tr w14:paraId="104B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8" w:type="pct"/>
            <w:gridSpan w:val="3"/>
            <w:vAlign w:val="center"/>
          </w:tcPr>
          <w:p w14:paraId="2A405A81">
            <w:pPr>
              <w:pStyle w:val="557"/>
            </w:pPr>
            <w:bookmarkStart w:id="563" w:name="_Hlk178184305"/>
            <w:r>
              <w:rPr>
                <w:rFonts w:hint="eastAsia"/>
              </w:rPr>
              <w:t>监测点位</w:t>
            </w:r>
          </w:p>
        </w:tc>
        <w:tc>
          <w:tcPr>
            <w:tcW w:w="1637" w:type="pct"/>
            <w:vAlign w:val="center"/>
          </w:tcPr>
          <w:p w14:paraId="01DCE1C1">
            <w:pPr>
              <w:pStyle w:val="557"/>
            </w:pPr>
            <w:r>
              <w:rPr>
                <w:rFonts w:hint="eastAsia"/>
              </w:rPr>
              <w:t>监测项目</w:t>
            </w:r>
          </w:p>
        </w:tc>
        <w:tc>
          <w:tcPr>
            <w:tcW w:w="615" w:type="pct"/>
            <w:vAlign w:val="center"/>
          </w:tcPr>
          <w:p w14:paraId="11CD6941">
            <w:pPr>
              <w:pStyle w:val="557"/>
            </w:pPr>
            <w:r>
              <w:rPr>
                <w:rFonts w:hint="eastAsia"/>
              </w:rPr>
              <w:t>监测频次</w:t>
            </w:r>
          </w:p>
        </w:tc>
      </w:tr>
      <w:tr w14:paraId="34CE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5"/>
            <w:vAlign w:val="center"/>
          </w:tcPr>
          <w:p w14:paraId="4192B8F5">
            <w:pPr>
              <w:pStyle w:val="557"/>
            </w:pPr>
            <w:r>
              <w:rPr>
                <w:rFonts w:hint="eastAsia"/>
              </w:rPr>
              <w:t>一、废气</w:t>
            </w:r>
          </w:p>
        </w:tc>
      </w:tr>
      <w:tr w14:paraId="0F9A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restart"/>
            <w:vAlign w:val="center"/>
          </w:tcPr>
          <w:p w14:paraId="6E3CD0C4">
            <w:pPr>
              <w:pStyle w:val="557"/>
            </w:pPr>
            <w:r>
              <w:rPr>
                <w:rFonts w:hint="eastAsia"/>
              </w:rPr>
              <w:t>有组织排放</w:t>
            </w:r>
          </w:p>
        </w:tc>
        <w:tc>
          <w:tcPr>
            <w:tcW w:w="845" w:type="pct"/>
            <w:vMerge w:val="restart"/>
            <w:vAlign w:val="center"/>
          </w:tcPr>
          <w:p w14:paraId="2E21EA3D">
            <w:pPr>
              <w:pStyle w:val="557"/>
            </w:pPr>
            <w:r>
              <w:rPr>
                <w:rFonts w:hint="eastAsia"/>
              </w:rPr>
              <w:t>气化装置</w:t>
            </w:r>
          </w:p>
        </w:tc>
        <w:tc>
          <w:tcPr>
            <w:tcW w:w="1500" w:type="pct"/>
            <w:vAlign w:val="center"/>
          </w:tcPr>
          <w:p w14:paraId="6623E386">
            <w:pPr>
              <w:pStyle w:val="557"/>
            </w:pPr>
            <w:r>
              <w:rPr>
                <w:rFonts w:hint="eastAsia"/>
              </w:rPr>
              <w:t>原料煤仓废气</w:t>
            </w:r>
          </w:p>
        </w:tc>
        <w:tc>
          <w:tcPr>
            <w:tcW w:w="1637" w:type="pct"/>
            <w:vAlign w:val="center"/>
          </w:tcPr>
          <w:p w14:paraId="09DC82D2">
            <w:pPr>
              <w:pStyle w:val="557"/>
            </w:pPr>
            <w:r>
              <w:rPr>
                <w:rFonts w:hint="eastAsia"/>
              </w:rPr>
              <w:t>颗粒物</w:t>
            </w:r>
          </w:p>
        </w:tc>
        <w:tc>
          <w:tcPr>
            <w:tcW w:w="615" w:type="pct"/>
            <w:vAlign w:val="center"/>
          </w:tcPr>
          <w:p w14:paraId="6B935E6B">
            <w:pPr>
              <w:pStyle w:val="557"/>
            </w:pPr>
            <w:r>
              <w:rPr>
                <w:rFonts w:hint="eastAsia"/>
              </w:rPr>
              <w:t>半年</w:t>
            </w:r>
          </w:p>
        </w:tc>
      </w:tr>
      <w:tr w14:paraId="336E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28F89E7B">
            <w:pPr>
              <w:pStyle w:val="557"/>
            </w:pPr>
          </w:p>
        </w:tc>
        <w:tc>
          <w:tcPr>
            <w:tcW w:w="845" w:type="pct"/>
            <w:vMerge w:val="continue"/>
            <w:vAlign w:val="center"/>
          </w:tcPr>
          <w:p w14:paraId="64E4A48E">
            <w:pPr>
              <w:pStyle w:val="557"/>
            </w:pPr>
          </w:p>
        </w:tc>
        <w:tc>
          <w:tcPr>
            <w:tcW w:w="1500" w:type="pct"/>
            <w:vAlign w:val="center"/>
          </w:tcPr>
          <w:p w14:paraId="3289CD8E">
            <w:pPr>
              <w:pStyle w:val="557"/>
            </w:pPr>
            <w:r>
              <w:rPr>
                <w:rFonts w:hint="eastAsia"/>
              </w:rPr>
              <w:t>磨煤干燥废气</w:t>
            </w:r>
          </w:p>
        </w:tc>
        <w:tc>
          <w:tcPr>
            <w:tcW w:w="1637" w:type="pct"/>
            <w:vAlign w:val="center"/>
          </w:tcPr>
          <w:p w14:paraId="6B9F7EA0">
            <w:pPr>
              <w:pStyle w:val="557"/>
            </w:pPr>
            <w:r>
              <w:t>颗粒物</w:t>
            </w:r>
            <w:r>
              <w:rPr>
                <w:rFonts w:hint="eastAsia"/>
              </w:rPr>
              <w:t>、氮氧化物</w:t>
            </w:r>
          </w:p>
        </w:tc>
        <w:tc>
          <w:tcPr>
            <w:tcW w:w="615" w:type="pct"/>
            <w:vAlign w:val="center"/>
          </w:tcPr>
          <w:p w14:paraId="60C9A93F">
            <w:pPr>
              <w:pStyle w:val="557"/>
            </w:pPr>
            <w:r>
              <w:rPr>
                <w:rFonts w:hint="eastAsia"/>
              </w:rPr>
              <w:t>季度</w:t>
            </w:r>
          </w:p>
        </w:tc>
      </w:tr>
      <w:tr w14:paraId="5712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D320C60">
            <w:pPr>
              <w:pStyle w:val="557"/>
            </w:pPr>
          </w:p>
        </w:tc>
        <w:tc>
          <w:tcPr>
            <w:tcW w:w="845" w:type="pct"/>
            <w:vMerge w:val="continue"/>
            <w:vAlign w:val="center"/>
          </w:tcPr>
          <w:p w14:paraId="441188AE">
            <w:pPr>
              <w:pStyle w:val="557"/>
            </w:pPr>
          </w:p>
        </w:tc>
        <w:tc>
          <w:tcPr>
            <w:tcW w:w="1500" w:type="pct"/>
            <w:vAlign w:val="center"/>
          </w:tcPr>
          <w:p w14:paraId="6FB551D3">
            <w:pPr>
              <w:pStyle w:val="557"/>
              <w:rPr>
                <w:szCs w:val="21"/>
              </w:rPr>
            </w:pPr>
            <w:r>
              <w:rPr>
                <w:rFonts w:hint="eastAsia"/>
              </w:rPr>
              <w:t>粉煤锁斗排气</w:t>
            </w:r>
          </w:p>
        </w:tc>
        <w:tc>
          <w:tcPr>
            <w:tcW w:w="1637" w:type="pct"/>
            <w:vAlign w:val="center"/>
          </w:tcPr>
          <w:p w14:paraId="1A110AF5">
            <w:pPr>
              <w:pStyle w:val="557"/>
            </w:pPr>
            <w:r>
              <w:rPr>
                <w:rFonts w:hint="eastAsia"/>
              </w:rPr>
              <w:t>颗粒物</w:t>
            </w:r>
          </w:p>
        </w:tc>
        <w:tc>
          <w:tcPr>
            <w:tcW w:w="615" w:type="pct"/>
            <w:vAlign w:val="center"/>
          </w:tcPr>
          <w:p w14:paraId="1ADE23DC">
            <w:pPr>
              <w:pStyle w:val="557"/>
            </w:pPr>
            <w:r>
              <w:rPr>
                <w:rFonts w:hint="eastAsia"/>
              </w:rPr>
              <w:t>半年</w:t>
            </w:r>
          </w:p>
        </w:tc>
      </w:tr>
      <w:tr w14:paraId="7F9B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79F93655">
            <w:pPr>
              <w:pStyle w:val="557"/>
            </w:pPr>
          </w:p>
        </w:tc>
        <w:tc>
          <w:tcPr>
            <w:tcW w:w="845" w:type="pct"/>
            <w:vMerge w:val="continue"/>
            <w:vAlign w:val="center"/>
          </w:tcPr>
          <w:p w14:paraId="68A65143">
            <w:pPr>
              <w:pStyle w:val="557"/>
            </w:pPr>
          </w:p>
        </w:tc>
        <w:tc>
          <w:tcPr>
            <w:tcW w:w="1500" w:type="pct"/>
            <w:vAlign w:val="center"/>
          </w:tcPr>
          <w:p w14:paraId="4F88773E">
            <w:pPr>
              <w:pStyle w:val="557"/>
              <w:rPr>
                <w:szCs w:val="21"/>
              </w:rPr>
            </w:pPr>
            <w:r>
              <w:rPr>
                <w:rFonts w:hint="eastAsia"/>
              </w:rPr>
              <w:t>真空泵排气</w:t>
            </w:r>
          </w:p>
        </w:tc>
        <w:tc>
          <w:tcPr>
            <w:tcW w:w="1637" w:type="pct"/>
            <w:vAlign w:val="center"/>
          </w:tcPr>
          <w:p w14:paraId="415361AF">
            <w:pPr>
              <w:pStyle w:val="557"/>
            </w:pPr>
            <w:r>
              <w:t>H</w:t>
            </w:r>
            <w:r>
              <w:rPr>
                <w:vertAlign w:val="subscript"/>
              </w:rPr>
              <w:t>2</w:t>
            </w:r>
            <w:r>
              <w:t>S</w:t>
            </w:r>
            <w:r>
              <w:rPr>
                <w:rFonts w:hint="eastAsia"/>
              </w:rPr>
              <w:t>、NH</w:t>
            </w:r>
            <w:r>
              <w:rPr>
                <w:rFonts w:hint="eastAsia"/>
                <w:vertAlign w:val="subscript"/>
              </w:rPr>
              <w:t>3</w:t>
            </w:r>
          </w:p>
        </w:tc>
        <w:tc>
          <w:tcPr>
            <w:tcW w:w="615" w:type="pct"/>
            <w:vAlign w:val="center"/>
          </w:tcPr>
          <w:p w14:paraId="36D76073">
            <w:pPr>
              <w:pStyle w:val="557"/>
            </w:pPr>
            <w:r>
              <w:rPr>
                <w:rFonts w:hint="eastAsia"/>
              </w:rPr>
              <w:t>季度</w:t>
            </w:r>
          </w:p>
        </w:tc>
      </w:tr>
      <w:tr w14:paraId="4025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1B3376B4">
            <w:pPr>
              <w:pStyle w:val="557"/>
            </w:pPr>
          </w:p>
        </w:tc>
        <w:tc>
          <w:tcPr>
            <w:tcW w:w="845" w:type="pct"/>
            <w:vMerge w:val="restart"/>
            <w:vAlign w:val="center"/>
          </w:tcPr>
          <w:p w14:paraId="205DA924">
            <w:pPr>
              <w:pStyle w:val="557"/>
            </w:pPr>
            <w:r>
              <w:rPr>
                <w:rFonts w:hint="eastAsia"/>
              </w:rPr>
              <w:t>净化及分离装置</w:t>
            </w:r>
          </w:p>
        </w:tc>
        <w:tc>
          <w:tcPr>
            <w:tcW w:w="1500" w:type="pct"/>
            <w:vAlign w:val="center"/>
          </w:tcPr>
          <w:p w14:paraId="442E8413">
            <w:pPr>
              <w:pStyle w:val="557"/>
              <w:rPr>
                <w:szCs w:val="21"/>
              </w:rPr>
            </w:pPr>
            <w:r>
              <w:rPr>
                <w:rFonts w:hint="eastAsia"/>
              </w:rPr>
              <w:t>低温甲醇洗尾气</w:t>
            </w:r>
          </w:p>
        </w:tc>
        <w:tc>
          <w:tcPr>
            <w:tcW w:w="1637" w:type="pct"/>
            <w:vAlign w:val="center"/>
          </w:tcPr>
          <w:p w14:paraId="478D9702">
            <w:pPr>
              <w:pStyle w:val="557"/>
            </w:pPr>
            <w:r>
              <w:t>H</w:t>
            </w:r>
            <w:r>
              <w:rPr>
                <w:vertAlign w:val="subscript"/>
              </w:rPr>
              <w:t>2</w:t>
            </w:r>
            <w:r>
              <w:t>S</w:t>
            </w:r>
            <w:r>
              <w:rPr>
                <w:rFonts w:hint="eastAsia"/>
              </w:rPr>
              <w:t>、</w:t>
            </w:r>
            <w:r>
              <w:t>CH</w:t>
            </w:r>
            <w:r>
              <w:rPr>
                <w:vertAlign w:val="subscript"/>
              </w:rPr>
              <w:t>3</w:t>
            </w:r>
            <w:r>
              <w:t>OH</w:t>
            </w:r>
          </w:p>
        </w:tc>
        <w:tc>
          <w:tcPr>
            <w:tcW w:w="615" w:type="pct"/>
            <w:vAlign w:val="center"/>
          </w:tcPr>
          <w:p w14:paraId="1DE6F3DB">
            <w:pPr>
              <w:pStyle w:val="557"/>
            </w:pPr>
            <w:r>
              <w:rPr>
                <w:rFonts w:hint="eastAsia"/>
              </w:rPr>
              <w:t>季度</w:t>
            </w:r>
          </w:p>
        </w:tc>
      </w:tr>
      <w:tr w14:paraId="70AA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083622BC">
            <w:pPr>
              <w:pStyle w:val="557"/>
            </w:pPr>
          </w:p>
        </w:tc>
        <w:tc>
          <w:tcPr>
            <w:tcW w:w="845" w:type="pct"/>
            <w:vMerge w:val="continue"/>
            <w:vAlign w:val="center"/>
          </w:tcPr>
          <w:p w14:paraId="1FDF3654">
            <w:pPr>
              <w:pStyle w:val="557"/>
            </w:pPr>
          </w:p>
        </w:tc>
        <w:tc>
          <w:tcPr>
            <w:tcW w:w="1500" w:type="pct"/>
            <w:vMerge w:val="restart"/>
            <w:vAlign w:val="center"/>
          </w:tcPr>
          <w:p w14:paraId="5133F88D">
            <w:pPr>
              <w:pStyle w:val="557"/>
              <w:rPr>
                <w:szCs w:val="21"/>
              </w:rPr>
            </w:pPr>
            <w:r>
              <w:rPr>
                <w:rFonts w:hint="eastAsia"/>
              </w:rPr>
              <w:t>硫回收制酸尾气</w:t>
            </w:r>
          </w:p>
        </w:tc>
        <w:tc>
          <w:tcPr>
            <w:tcW w:w="1637" w:type="pct"/>
            <w:vAlign w:val="center"/>
          </w:tcPr>
          <w:p w14:paraId="51D3105D">
            <w:pPr>
              <w:pStyle w:val="557"/>
            </w:pPr>
            <w:r>
              <w:t>SO</w:t>
            </w:r>
            <w:r>
              <w:rPr>
                <w:vertAlign w:val="subscript"/>
              </w:rPr>
              <w:t>2</w:t>
            </w:r>
          </w:p>
        </w:tc>
        <w:tc>
          <w:tcPr>
            <w:tcW w:w="615" w:type="pct"/>
            <w:vAlign w:val="center"/>
          </w:tcPr>
          <w:p w14:paraId="2927A324">
            <w:pPr>
              <w:pStyle w:val="557"/>
            </w:pPr>
            <w:r>
              <w:rPr>
                <w:rFonts w:hint="eastAsia"/>
              </w:rPr>
              <w:t>自动监测</w:t>
            </w:r>
          </w:p>
        </w:tc>
      </w:tr>
      <w:tr w14:paraId="1F61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55A5D39D">
            <w:pPr>
              <w:pStyle w:val="557"/>
            </w:pPr>
          </w:p>
        </w:tc>
        <w:tc>
          <w:tcPr>
            <w:tcW w:w="845" w:type="pct"/>
            <w:vMerge w:val="continue"/>
            <w:vAlign w:val="center"/>
          </w:tcPr>
          <w:p w14:paraId="55B4057A">
            <w:pPr>
              <w:pStyle w:val="557"/>
            </w:pPr>
          </w:p>
        </w:tc>
        <w:tc>
          <w:tcPr>
            <w:tcW w:w="1500" w:type="pct"/>
            <w:vMerge w:val="continue"/>
            <w:vAlign w:val="center"/>
          </w:tcPr>
          <w:p w14:paraId="7642F22F">
            <w:pPr>
              <w:pStyle w:val="557"/>
            </w:pPr>
          </w:p>
        </w:tc>
        <w:tc>
          <w:tcPr>
            <w:tcW w:w="1637" w:type="pct"/>
            <w:vAlign w:val="center"/>
          </w:tcPr>
          <w:p w14:paraId="0151DF40">
            <w:pPr>
              <w:pStyle w:val="557"/>
              <w:rPr>
                <w:rFonts w:eastAsia="等线"/>
              </w:rPr>
            </w:pPr>
            <w:r>
              <w:rPr>
                <w:rFonts w:hint="eastAsia"/>
              </w:rPr>
              <w:t>硫酸雾</w:t>
            </w:r>
          </w:p>
        </w:tc>
        <w:tc>
          <w:tcPr>
            <w:tcW w:w="615" w:type="pct"/>
            <w:vAlign w:val="center"/>
          </w:tcPr>
          <w:p w14:paraId="3CEE5C90">
            <w:pPr>
              <w:pStyle w:val="557"/>
            </w:pPr>
            <w:r>
              <w:rPr>
                <w:rFonts w:hint="eastAsia"/>
              </w:rPr>
              <w:t>季度</w:t>
            </w:r>
          </w:p>
        </w:tc>
      </w:tr>
      <w:tr w14:paraId="5DB6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068DD7BB">
            <w:pPr>
              <w:pStyle w:val="557"/>
            </w:pPr>
          </w:p>
        </w:tc>
        <w:tc>
          <w:tcPr>
            <w:tcW w:w="845" w:type="pct"/>
            <w:vMerge w:val="continue"/>
            <w:vAlign w:val="center"/>
          </w:tcPr>
          <w:p w14:paraId="0A99E499">
            <w:pPr>
              <w:pStyle w:val="557"/>
            </w:pPr>
          </w:p>
        </w:tc>
        <w:tc>
          <w:tcPr>
            <w:tcW w:w="1500" w:type="pct"/>
            <w:vMerge w:val="continue"/>
            <w:vAlign w:val="center"/>
          </w:tcPr>
          <w:p w14:paraId="4CE375E2">
            <w:pPr>
              <w:pStyle w:val="557"/>
            </w:pPr>
          </w:p>
        </w:tc>
        <w:tc>
          <w:tcPr>
            <w:tcW w:w="1637" w:type="pct"/>
            <w:vAlign w:val="center"/>
          </w:tcPr>
          <w:p w14:paraId="4D2E30B3">
            <w:pPr>
              <w:pStyle w:val="557"/>
            </w:pPr>
            <w:r>
              <w:t>NOx</w:t>
            </w:r>
          </w:p>
        </w:tc>
        <w:tc>
          <w:tcPr>
            <w:tcW w:w="615" w:type="pct"/>
            <w:vAlign w:val="center"/>
          </w:tcPr>
          <w:p w14:paraId="000F1574">
            <w:pPr>
              <w:pStyle w:val="557"/>
            </w:pPr>
            <w:r>
              <w:rPr>
                <w:rFonts w:hint="eastAsia"/>
              </w:rPr>
              <w:t>月</w:t>
            </w:r>
          </w:p>
        </w:tc>
      </w:tr>
      <w:tr w14:paraId="315F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44692A01">
            <w:pPr>
              <w:pStyle w:val="557"/>
            </w:pPr>
          </w:p>
        </w:tc>
        <w:tc>
          <w:tcPr>
            <w:tcW w:w="845" w:type="pct"/>
            <w:vAlign w:val="center"/>
          </w:tcPr>
          <w:p w14:paraId="117D4581">
            <w:pPr>
              <w:pStyle w:val="557"/>
            </w:pPr>
            <w:r>
              <w:rPr>
                <w:rFonts w:hint="eastAsia"/>
              </w:rPr>
              <w:t>草酰胺装置</w:t>
            </w:r>
          </w:p>
        </w:tc>
        <w:tc>
          <w:tcPr>
            <w:tcW w:w="1500" w:type="pct"/>
            <w:vAlign w:val="center"/>
          </w:tcPr>
          <w:p w14:paraId="0DE010E0">
            <w:pPr>
              <w:pStyle w:val="557"/>
              <w:rPr>
                <w:szCs w:val="21"/>
              </w:rPr>
            </w:pPr>
            <w:r>
              <w:rPr>
                <w:rFonts w:hint="eastAsia"/>
              </w:rPr>
              <w:t>草酰胺装置尾气吸收塔顶排气</w:t>
            </w:r>
          </w:p>
        </w:tc>
        <w:tc>
          <w:tcPr>
            <w:tcW w:w="1637" w:type="pct"/>
            <w:vAlign w:val="center"/>
          </w:tcPr>
          <w:p w14:paraId="67F41EE4">
            <w:pPr>
              <w:pStyle w:val="557"/>
            </w:pPr>
            <w:r>
              <w:t>CH</w:t>
            </w:r>
            <w:r>
              <w:rPr>
                <w:vertAlign w:val="subscript"/>
              </w:rPr>
              <w:t>3</w:t>
            </w:r>
            <w:r>
              <w:t>OH</w:t>
            </w:r>
            <w:r>
              <w:rPr>
                <w:rFonts w:hint="eastAsia"/>
              </w:rPr>
              <w:t>、</w:t>
            </w:r>
            <w:r>
              <w:t>NH</w:t>
            </w:r>
            <w:r>
              <w:rPr>
                <w:vertAlign w:val="subscript"/>
              </w:rPr>
              <w:t>3</w:t>
            </w:r>
          </w:p>
        </w:tc>
        <w:tc>
          <w:tcPr>
            <w:tcW w:w="615" w:type="pct"/>
            <w:vAlign w:val="center"/>
          </w:tcPr>
          <w:p w14:paraId="1B51EF8A">
            <w:pPr>
              <w:pStyle w:val="557"/>
            </w:pPr>
            <w:r>
              <w:rPr>
                <w:rFonts w:hint="eastAsia"/>
              </w:rPr>
              <w:t>季度</w:t>
            </w:r>
          </w:p>
        </w:tc>
      </w:tr>
      <w:tr w14:paraId="268E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2FDBEF08">
            <w:pPr>
              <w:pStyle w:val="557"/>
            </w:pPr>
          </w:p>
        </w:tc>
        <w:tc>
          <w:tcPr>
            <w:tcW w:w="845" w:type="pct"/>
            <w:vMerge w:val="restart"/>
            <w:vAlign w:val="center"/>
          </w:tcPr>
          <w:p w14:paraId="236DC61F">
            <w:pPr>
              <w:pStyle w:val="557"/>
            </w:pPr>
            <w:r>
              <w:rPr>
                <w:rFonts w:hint="eastAsia"/>
              </w:rPr>
              <w:t>有机缓释肥装置</w:t>
            </w:r>
          </w:p>
        </w:tc>
        <w:tc>
          <w:tcPr>
            <w:tcW w:w="1500" w:type="pct"/>
            <w:vAlign w:val="center"/>
          </w:tcPr>
          <w:p w14:paraId="4556604A">
            <w:pPr>
              <w:pStyle w:val="557"/>
              <w:rPr>
                <w:szCs w:val="21"/>
              </w:rPr>
            </w:pPr>
            <w:r>
              <w:rPr>
                <w:rFonts w:hint="eastAsia"/>
              </w:rPr>
              <w:t>1#投料废气</w:t>
            </w:r>
          </w:p>
        </w:tc>
        <w:tc>
          <w:tcPr>
            <w:tcW w:w="1637" w:type="pct"/>
            <w:vAlign w:val="center"/>
          </w:tcPr>
          <w:p w14:paraId="1DB8C63C">
            <w:pPr>
              <w:pStyle w:val="557"/>
            </w:pPr>
            <w:r>
              <w:rPr>
                <w:rFonts w:hint="eastAsia"/>
              </w:rPr>
              <w:t>颗粒物</w:t>
            </w:r>
          </w:p>
        </w:tc>
        <w:tc>
          <w:tcPr>
            <w:tcW w:w="615" w:type="pct"/>
            <w:vAlign w:val="center"/>
          </w:tcPr>
          <w:p w14:paraId="5499ACFC">
            <w:pPr>
              <w:pStyle w:val="557"/>
            </w:pPr>
            <w:r>
              <w:rPr>
                <w:rFonts w:hint="eastAsia"/>
              </w:rPr>
              <w:t>半年</w:t>
            </w:r>
          </w:p>
        </w:tc>
      </w:tr>
      <w:tr w14:paraId="1072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498FAD4">
            <w:pPr>
              <w:pStyle w:val="557"/>
            </w:pPr>
          </w:p>
        </w:tc>
        <w:tc>
          <w:tcPr>
            <w:tcW w:w="845" w:type="pct"/>
            <w:vMerge w:val="continue"/>
            <w:vAlign w:val="center"/>
          </w:tcPr>
          <w:p w14:paraId="6BDB5D12">
            <w:pPr>
              <w:pStyle w:val="557"/>
            </w:pPr>
          </w:p>
        </w:tc>
        <w:tc>
          <w:tcPr>
            <w:tcW w:w="1500" w:type="pct"/>
            <w:vAlign w:val="center"/>
          </w:tcPr>
          <w:p w14:paraId="598E755F">
            <w:pPr>
              <w:pStyle w:val="557"/>
            </w:pPr>
            <w:r>
              <w:rPr>
                <w:rFonts w:hint="eastAsia"/>
              </w:rPr>
              <w:t>2#投料废气</w:t>
            </w:r>
          </w:p>
        </w:tc>
        <w:tc>
          <w:tcPr>
            <w:tcW w:w="1637" w:type="pct"/>
            <w:vAlign w:val="center"/>
          </w:tcPr>
          <w:p w14:paraId="4939A4D6">
            <w:pPr>
              <w:pStyle w:val="557"/>
            </w:pPr>
            <w:r>
              <w:rPr>
                <w:rFonts w:hint="eastAsia"/>
              </w:rPr>
              <w:t>颗粒物</w:t>
            </w:r>
          </w:p>
        </w:tc>
        <w:tc>
          <w:tcPr>
            <w:tcW w:w="615" w:type="pct"/>
            <w:vAlign w:val="center"/>
          </w:tcPr>
          <w:p w14:paraId="43759217">
            <w:pPr>
              <w:pStyle w:val="557"/>
            </w:pPr>
            <w:r>
              <w:rPr>
                <w:rFonts w:hint="eastAsia"/>
              </w:rPr>
              <w:t>半年</w:t>
            </w:r>
          </w:p>
        </w:tc>
      </w:tr>
      <w:tr w14:paraId="3892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0B61E4DC">
            <w:pPr>
              <w:pStyle w:val="557"/>
            </w:pPr>
          </w:p>
        </w:tc>
        <w:tc>
          <w:tcPr>
            <w:tcW w:w="845" w:type="pct"/>
            <w:vMerge w:val="continue"/>
            <w:vAlign w:val="center"/>
          </w:tcPr>
          <w:p w14:paraId="45958398">
            <w:pPr>
              <w:pStyle w:val="557"/>
            </w:pPr>
          </w:p>
        </w:tc>
        <w:tc>
          <w:tcPr>
            <w:tcW w:w="1500" w:type="pct"/>
            <w:vMerge w:val="restart"/>
            <w:vAlign w:val="center"/>
          </w:tcPr>
          <w:p w14:paraId="13E6367D">
            <w:pPr>
              <w:pStyle w:val="557"/>
            </w:pPr>
            <w:r>
              <w:rPr>
                <w:rFonts w:hint="eastAsia"/>
              </w:rPr>
              <w:t>1#造粒废气、1#包装废气、1#烘干废气</w:t>
            </w:r>
          </w:p>
        </w:tc>
        <w:tc>
          <w:tcPr>
            <w:tcW w:w="1637" w:type="pct"/>
            <w:vAlign w:val="center"/>
          </w:tcPr>
          <w:p w14:paraId="01C50BD7">
            <w:pPr>
              <w:pStyle w:val="557"/>
            </w:pPr>
            <w:r>
              <w:rPr>
                <w:rFonts w:hint="eastAsia"/>
              </w:rPr>
              <w:t>颗粒物</w:t>
            </w:r>
          </w:p>
        </w:tc>
        <w:tc>
          <w:tcPr>
            <w:tcW w:w="615" w:type="pct"/>
            <w:vAlign w:val="center"/>
          </w:tcPr>
          <w:p w14:paraId="7F63F3F2">
            <w:pPr>
              <w:pStyle w:val="557"/>
            </w:pPr>
            <w:r>
              <w:rPr>
                <w:rFonts w:hint="eastAsia"/>
              </w:rPr>
              <w:t>自动监测</w:t>
            </w:r>
          </w:p>
        </w:tc>
      </w:tr>
      <w:tr w14:paraId="4350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66048832">
            <w:pPr>
              <w:pStyle w:val="557"/>
            </w:pPr>
          </w:p>
        </w:tc>
        <w:tc>
          <w:tcPr>
            <w:tcW w:w="845" w:type="pct"/>
            <w:vMerge w:val="continue"/>
            <w:vAlign w:val="center"/>
          </w:tcPr>
          <w:p w14:paraId="56E9DA27">
            <w:pPr>
              <w:pStyle w:val="557"/>
            </w:pPr>
          </w:p>
        </w:tc>
        <w:tc>
          <w:tcPr>
            <w:tcW w:w="1500" w:type="pct"/>
            <w:vMerge w:val="continue"/>
            <w:vAlign w:val="center"/>
          </w:tcPr>
          <w:p w14:paraId="6462EAE6">
            <w:pPr>
              <w:pStyle w:val="557"/>
            </w:pPr>
          </w:p>
        </w:tc>
        <w:tc>
          <w:tcPr>
            <w:tcW w:w="1637" w:type="pct"/>
            <w:vAlign w:val="center"/>
          </w:tcPr>
          <w:p w14:paraId="41DA6680">
            <w:pPr>
              <w:pStyle w:val="557"/>
            </w:pPr>
            <w:r>
              <w:t>NH</w:t>
            </w:r>
            <w:r>
              <w:rPr>
                <w:vertAlign w:val="subscript"/>
              </w:rPr>
              <w:t>3</w:t>
            </w:r>
          </w:p>
        </w:tc>
        <w:tc>
          <w:tcPr>
            <w:tcW w:w="615" w:type="pct"/>
            <w:vAlign w:val="center"/>
          </w:tcPr>
          <w:p w14:paraId="729B1A62">
            <w:pPr>
              <w:pStyle w:val="557"/>
            </w:pPr>
            <w:r>
              <w:rPr>
                <w:rFonts w:hint="eastAsia"/>
              </w:rPr>
              <w:t>季度</w:t>
            </w:r>
          </w:p>
        </w:tc>
      </w:tr>
      <w:tr w14:paraId="013B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403" w:type="pct"/>
            <w:vMerge w:val="continue"/>
            <w:vAlign w:val="center"/>
          </w:tcPr>
          <w:p w14:paraId="71DAA847">
            <w:pPr>
              <w:pStyle w:val="557"/>
            </w:pPr>
          </w:p>
        </w:tc>
        <w:tc>
          <w:tcPr>
            <w:tcW w:w="845" w:type="pct"/>
            <w:vMerge w:val="continue"/>
            <w:vAlign w:val="center"/>
          </w:tcPr>
          <w:p w14:paraId="6C768E3F">
            <w:pPr>
              <w:pStyle w:val="557"/>
            </w:pPr>
          </w:p>
        </w:tc>
        <w:tc>
          <w:tcPr>
            <w:tcW w:w="1500" w:type="pct"/>
            <w:vMerge w:val="restart"/>
            <w:vAlign w:val="center"/>
          </w:tcPr>
          <w:p w14:paraId="1B3BFACE">
            <w:pPr>
              <w:pStyle w:val="557"/>
            </w:pPr>
            <w:r>
              <w:rPr>
                <w:rFonts w:hint="eastAsia"/>
              </w:rPr>
              <w:t>2#造粒废气、2#包装废气、2#烘干废气</w:t>
            </w:r>
          </w:p>
        </w:tc>
        <w:tc>
          <w:tcPr>
            <w:tcW w:w="1637" w:type="pct"/>
            <w:vAlign w:val="center"/>
          </w:tcPr>
          <w:p w14:paraId="6711644F">
            <w:pPr>
              <w:pStyle w:val="557"/>
            </w:pPr>
            <w:r>
              <w:rPr>
                <w:rFonts w:hint="eastAsia"/>
              </w:rPr>
              <w:t>颗粒物</w:t>
            </w:r>
          </w:p>
        </w:tc>
        <w:tc>
          <w:tcPr>
            <w:tcW w:w="615" w:type="pct"/>
            <w:vAlign w:val="center"/>
          </w:tcPr>
          <w:p w14:paraId="214222BD">
            <w:pPr>
              <w:pStyle w:val="557"/>
            </w:pPr>
            <w:r>
              <w:rPr>
                <w:rFonts w:hint="eastAsia"/>
              </w:rPr>
              <w:t>自动监测</w:t>
            </w:r>
          </w:p>
        </w:tc>
      </w:tr>
      <w:tr w14:paraId="6350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5DD2B129">
            <w:pPr>
              <w:pStyle w:val="557"/>
            </w:pPr>
          </w:p>
        </w:tc>
        <w:tc>
          <w:tcPr>
            <w:tcW w:w="845" w:type="pct"/>
            <w:vMerge w:val="continue"/>
            <w:vAlign w:val="center"/>
          </w:tcPr>
          <w:p w14:paraId="76E36402">
            <w:pPr>
              <w:pStyle w:val="557"/>
            </w:pPr>
          </w:p>
        </w:tc>
        <w:tc>
          <w:tcPr>
            <w:tcW w:w="1500" w:type="pct"/>
            <w:vMerge w:val="continue"/>
            <w:vAlign w:val="center"/>
          </w:tcPr>
          <w:p w14:paraId="0C809E89">
            <w:pPr>
              <w:pStyle w:val="557"/>
            </w:pPr>
          </w:p>
        </w:tc>
        <w:tc>
          <w:tcPr>
            <w:tcW w:w="1637" w:type="pct"/>
            <w:vAlign w:val="center"/>
          </w:tcPr>
          <w:p w14:paraId="3D4EA059">
            <w:pPr>
              <w:pStyle w:val="557"/>
            </w:pPr>
            <w:r>
              <w:t>NH</w:t>
            </w:r>
            <w:r>
              <w:rPr>
                <w:vertAlign w:val="subscript"/>
              </w:rPr>
              <w:t>3</w:t>
            </w:r>
          </w:p>
        </w:tc>
        <w:tc>
          <w:tcPr>
            <w:tcW w:w="615" w:type="pct"/>
            <w:vAlign w:val="center"/>
          </w:tcPr>
          <w:p w14:paraId="0C6A411D">
            <w:pPr>
              <w:pStyle w:val="557"/>
            </w:pPr>
            <w:r>
              <w:rPr>
                <w:rFonts w:hint="eastAsia"/>
              </w:rPr>
              <w:t>季度</w:t>
            </w:r>
          </w:p>
        </w:tc>
      </w:tr>
      <w:tr w14:paraId="6017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2A08D766">
            <w:pPr>
              <w:pStyle w:val="557"/>
            </w:pPr>
          </w:p>
        </w:tc>
        <w:tc>
          <w:tcPr>
            <w:tcW w:w="845" w:type="pct"/>
            <w:vMerge w:val="continue"/>
            <w:vAlign w:val="center"/>
          </w:tcPr>
          <w:p w14:paraId="303C33B4">
            <w:pPr>
              <w:pStyle w:val="557"/>
            </w:pPr>
          </w:p>
        </w:tc>
        <w:tc>
          <w:tcPr>
            <w:tcW w:w="1500" w:type="pct"/>
            <w:vAlign w:val="center"/>
          </w:tcPr>
          <w:p w14:paraId="10985D74">
            <w:pPr>
              <w:pStyle w:val="557"/>
            </w:pPr>
            <w:r>
              <w:rPr>
                <w:rFonts w:hint="eastAsia"/>
              </w:rPr>
              <w:t>1#冷却废气</w:t>
            </w:r>
          </w:p>
        </w:tc>
        <w:tc>
          <w:tcPr>
            <w:tcW w:w="1637" w:type="pct"/>
            <w:vAlign w:val="center"/>
          </w:tcPr>
          <w:p w14:paraId="4045F58B">
            <w:pPr>
              <w:pStyle w:val="557"/>
            </w:pPr>
            <w:r>
              <w:rPr>
                <w:rFonts w:hint="eastAsia"/>
              </w:rPr>
              <w:t>颗粒物</w:t>
            </w:r>
          </w:p>
        </w:tc>
        <w:tc>
          <w:tcPr>
            <w:tcW w:w="615" w:type="pct"/>
            <w:vAlign w:val="center"/>
          </w:tcPr>
          <w:p w14:paraId="56E9BD7F">
            <w:pPr>
              <w:pStyle w:val="557"/>
            </w:pPr>
            <w:r>
              <w:rPr>
                <w:rFonts w:hint="eastAsia"/>
              </w:rPr>
              <w:t>半年</w:t>
            </w:r>
          </w:p>
        </w:tc>
      </w:tr>
      <w:tr w14:paraId="323A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02E7E2BD">
            <w:pPr>
              <w:pStyle w:val="557"/>
            </w:pPr>
          </w:p>
        </w:tc>
        <w:tc>
          <w:tcPr>
            <w:tcW w:w="845" w:type="pct"/>
            <w:vMerge w:val="continue"/>
            <w:vAlign w:val="center"/>
          </w:tcPr>
          <w:p w14:paraId="14F20E9B">
            <w:pPr>
              <w:pStyle w:val="557"/>
            </w:pPr>
          </w:p>
        </w:tc>
        <w:tc>
          <w:tcPr>
            <w:tcW w:w="1500" w:type="pct"/>
            <w:vAlign w:val="center"/>
          </w:tcPr>
          <w:p w14:paraId="25270EA7">
            <w:pPr>
              <w:pStyle w:val="557"/>
            </w:pPr>
            <w:r>
              <w:rPr>
                <w:rFonts w:hint="eastAsia"/>
              </w:rPr>
              <w:t>2#冷却废气</w:t>
            </w:r>
          </w:p>
        </w:tc>
        <w:tc>
          <w:tcPr>
            <w:tcW w:w="1637" w:type="pct"/>
            <w:vAlign w:val="center"/>
          </w:tcPr>
          <w:p w14:paraId="6669EBF1">
            <w:pPr>
              <w:pStyle w:val="557"/>
            </w:pPr>
            <w:r>
              <w:rPr>
                <w:rFonts w:hint="eastAsia"/>
              </w:rPr>
              <w:t>颗粒物</w:t>
            </w:r>
          </w:p>
        </w:tc>
        <w:tc>
          <w:tcPr>
            <w:tcW w:w="615" w:type="pct"/>
            <w:vAlign w:val="center"/>
          </w:tcPr>
          <w:p w14:paraId="088D5D23">
            <w:pPr>
              <w:pStyle w:val="557"/>
            </w:pPr>
            <w:r>
              <w:rPr>
                <w:rFonts w:hint="eastAsia"/>
              </w:rPr>
              <w:t>半年</w:t>
            </w:r>
          </w:p>
        </w:tc>
      </w:tr>
      <w:tr w14:paraId="32FA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12F26F8D">
            <w:pPr>
              <w:pStyle w:val="557"/>
            </w:pPr>
          </w:p>
        </w:tc>
        <w:tc>
          <w:tcPr>
            <w:tcW w:w="845" w:type="pct"/>
            <w:vMerge w:val="continue"/>
            <w:vAlign w:val="center"/>
          </w:tcPr>
          <w:p w14:paraId="79AE3DCD">
            <w:pPr>
              <w:pStyle w:val="557"/>
            </w:pPr>
          </w:p>
        </w:tc>
        <w:tc>
          <w:tcPr>
            <w:tcW w:w="1500" w:type="pct"/>
            <w:vMerge w:val="restart"/>
            <w:vAlign w:val="center"/>
          </w:tcPr>
          <w:p w14:paraId="2C85C98D">
            <w:pPr>
              <w:pStyle w:val="557"/>
            </w:pPr>
            <w:r>
              <w:rPr>
                <w:rFonts w:hint="eastAsia"/>
              </w:rPr>
              <w:t>有机缓释肥装置加热炉废气</w:t>
            </w:r>
          </w:p>
        </w:tc>
        <w:tc>
          <w:tcPr>
            <w:tcW w:w="1637" w:type="pct"/>
            <w:vAlign w:val="center"/>
          </w:tcPr>
          <w:p w14:paraId="2391E53D">
            <w:pPr>
              <w:pStyle w:val="557"/>
            </w:pPr>
            <w:r>
              <w:t>NOx</w:t>
            </w:r>
          </w:p>
        </w:tc>
        <w:tc>
          <w:tcPr>
            <w:tcW w:w="615" w:type="pct"/>
            <w:vAlign w:val="center"/>
          </w:tcPr>
          <w:p w14:paraId="2F1425C9">
            <w:pPr>
              <w:pStyle w:val="557"/>
            </w:pPr>
            <w:r>
              <w:rPr>
                <w:rFonts w:hint="eastAsia"/>
              </w:rPr>
              <w:t>自动监测</w:t>
            </w:r>
          </w:p>
        </w:tc>
      </w:tr>
      <w:tr w14:paraId="6090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488B9352">
            <w:pPr>
              <w:pStyle w:val="557"/>
            </w:pPr>
          </w:p>
        </w:tc>
        <w:tc>
          <w:tcPr>
            <w:tcW w:w="845" w:type="pct"/>
            <w:vMerge w:val="continue"/>
            <w:vAlign w:val="center"/>
          </w:tcPr>
          <w:p w14:paraId="2D9F9DA9">
            <w:pPr>
              <w:pStyle w:val="557"/>
            </w:pPr>
          </w:p>
        </w:tc>
        <w:tc>
          <w:tcPr>
            <w:tcW w:w="1500" w:type="pct"/>
            <w:vMerge w:val="continue"/>
            <w:vAlign w:val="center"/>
          </w:tcPr>
          <w:p w14:paraId="5F70334F">
            <w:pPr>
              <w:pStyle w:val="557"/>
            </w:pPr>
          </w:p>
        </w:tc>
        <w:tc>
          <w:tcPr>
            <w:tcW w:w="1637" w:type="pct"/>
            <w:vAlign w:val="center"/>
          </w:tcPr>
          <w:p w14:paraId="6E6D5283">
            <w:pPr>
              <w:pStyle w:val="557"/>
            </w:pPr>
            <w:r>
              <w:rPr>
                <w:rFonts w:hint="eastAsia"/>
              </w:rPr>
              <w:t>颗粒物</w:t>
            </w:r>
          </w:p>
        </w:tc>
        <w:tc>
          <w:tcPr>
            <w:tcW w:w="615" w:type="pct"/>
            <w:vAlign w:val="center"/>
          </w:tcPr>
          <w:p w14:paraId="73034C3F">
            <w:pPr>
              <w:pStyle w:val="557"/>
            </w:pPr>
            <w:r>
              <w:rPr>
                <w:rFonts w:hint="eastAsia"/>
              </w:rPr>
              <w:t>月</w:t>
            </w:r>
          </w:p>
        </w:tc>
      </w:tr>
      <w:tr w14:paraId="0DC4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3C7AA1C">
            <w:pPr>
              <w:pStyle w:val="557"/>
            </w:pPr>
          </w:p>
        </w:tc>
        <w:tc>
          <w:tcPr>
            <w:tcW w:w="845" w:type="pct"/>
            <w:vMerge w:val="restart"/>
            <w:vAlign w:val="center"/>
          </w:tcPr>
          <w:p w14:paraId="0DD5BCDB">
            <w:pPr>
              <w:pStyle w:val="557"/>
            </w:pPr>
            <w:r>
              <w:rPr>
                <w:rFonts w:hint="eastAsia"/>
              </w:rPr>
              <w:t>公用工程</w:t>
            </w:r>
          </w:p>
        </w:tc>
        <w:tc>
          <w:tcPr>
            <w:tcW w:w="1500" w:type="pct"/>
            <w:vMerge w:val="restart"/>
            <w:vAlign w:val="center"/>
          </w:tcPr>
          <w:p w14:paraId="5BBAD860">
            <w:pPr>
              <w:pStyle w:val="557"/>
            </w:pPr>
            <w:r>
              <w:rPr>
                <w:rFonts w:hint="eastAsia"/>
              </w:rPr>
              <w:t>污水处理站</w:t>
            </w:r>
          </w:p>
        </w:tc>
        <w:tc>
          <w:tcPr>
            <w:tcW w:w="1637" w:type="pct"/>
            <w:vAlign w:val="center"/>
          </w:tcPr>
          <w:p w14:paraId="2A0BCB45">
            <w:pPr>
              <w:pStyle w:val="557"/>
            </w:pPr>
            <w:r>
              <w:rPr>
                <w:rFonts w:hint="eastAsia"/>
              </w:rPr>
              <w:t>NMHC</w:t>
            </w:r>
          </w:p>
        </w:tc>
        <w:tc>
          <w:tcPr>
            <w:tcW w:w="615" w:type="pct"/>
            <w:vAlign w:val="center"/>
          </w:tcPr>
          <w:p w14:paraId="2181DB3A">
            <w:pPr>
              <w:pStyle w:val="557"/>
            </w:pPr>
            <w:r>
              <w:rPr>
                <w:rFonts w:hint="eastAsia"/>
              </w:rPr>
              <w:t>季度</w:t>
            </w:r>
          </w:p>
        </w:tc>
      </w:tr>
      <w:tr w14:paraId="61BB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5260835">
            <w:pPr>
              <w:pStyle w:val="557"/>
            </w:pPr>
          </w:p>
        </w:tc>
        <w:tc>
          <w:tcPr>
            <w:tcW w:w="845" w:type="pct"/>
            <w:vMerge w:val="continue"/>
            <w:vAlign w:val="center"/>
          </w:tcPr>
          <w:p w14:paraId="0F15B32C">
            <w:pPr>
              <w:pStyle w:val="557"/>
            </w:pPr>
          </w:p>
        </w:tc>
        <w:tc>
          <w:tcPr>
            <w:tcW w:w="1500" w:type="pct"/>
            <w:vMerge w:val="continue"/>
            <w:vAlign w:val="center"/>
          </w:tcPr>
          <w:p w14:paraId="4E875143">
            <w:pPr>
              <w:pStyle w:val="557"/>
            </w:pPr>
          </w:p>
        </w:tc>
        <w:tc>
          <w:tcPr>
            <w:tcW w:w="1637" w:type="pct"/>
            <w:vAlign w:val="center"/>
          </w:tcPr>
          <w:p w14:paraId="38454C9C">
            <w:pPr>
              <w:pStyle w:val="557"/>
            </w:pPr>
            <w:r>
              <w:t>NH</w:t>
            </w:r>
            <w:r>
              <w:rPr>
                <w:vertAlign w:val="subscript"/>
              </w:rPr>
              <w:t>3</w:t>
            </w:r>
            <w:r>
              <w:rPr>
                <w:rFonts w:hint="eastAsia"/>
              </w:rPr>
              <w:t>、</w:t>
            </w:r>
            <w:r>
              <w:t>H</w:t>
            </w:r>
            <w:r>
              <w:rPr>
                <w:vertAlign w:val="subscript"/>
              </w:rPr>
              <w:t>2</w:t>
            </w:r>
            <w:r>
              <w:t>S</w:t>
            </w:r>
          </w:p>
        </w:tc>
        <w:tc>
          <w:tcPr>
            <w:tcW w:w="615" w:type="pct"/>
            <w:vAlign w:val="center"/>
          </w:tcPr>
          <w:p w14:paraId="5598CB45">
            <w:pPr>
              <w:pStyle w:val="557"/>
            </w:pPr>
            <w:r>
              <w:rPr>
                <w:rFonts w:hint="eastAsia"/>
              </w:rPr>
              <w:t>半年</w:t>
            </w:r>
          </w:p>
        </w:tc>
      </w:tr>
      <w:tr w14:paraId="3946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5EAEA521">
            <w:pPr>
              <w:pStyle w:val="557"/>
            </w:pPr>
          </w:p>
        </w:tc>
        <w:tc>
          <w:tcPr>
            <w:tcW w:w="845" w:type="pct"/>
            <w:vMerge w:val="continue"/>
            <w:vAlign w:val="center"/>
          </w:tcPr>
          <w:p w14:paraId="6D01C5BE">
            <w:pPr>
              <w:pStyle w:val="557"/>
            </w:pPr>
          </w:p>
        </w:tc>
        <w:tc>
          <w:tcPr>
            <w:tcW w:w="1500" w:type="pct"/>
            <w:vAlign w:val="center"/>
          </w:tcPr>
          <w:p w14:paraId="780BF34B">
            <w:pPr>
              <w:pStyle w:val="557"/>
            </w:pPr>
            <w:r>
              <w:rPr>
                <w:rFonts w:hint="eastAsia"/>
              </w:rPr>
              <w:t>1#燃气</w:t>
            </w:r>
            <w:r>
              <w:t>锅炉</w:t>
            </w:r>
          </w:p>
        </w:tc>
        <w:tc>
          <w:tcPr>
            <w:tcW w:w="1637" w:type="pct"/>
            <w:vAlign w:val="center"/>
          </w:tcPr>
          <w:p w14:paraId="7D818C63">
            <w:pPr>
              <w:pStyle w:val="557"/>
            </w:pPr>
            <w:r>
              <w:rPr>
                <w:rFonts w:hint="eastAsia"/>
              </w:rPr>
              <w:t>NO</w:t>
            </w:r>
            <w:r>
              <w:rPr>
                <w:rFonts w:hint="eastAsia"/>
                <w:vertAlign w:val="subscript"/>
              </w:rPr>
              <w:t>X</w:t>
            </w:r>
            <w:r>
              <w:rPr>
                <w:rFonts w:hint="eastAsia"/>
              </w:rPr>
              <w:t>、颗粒物</w:t>
            </w:r>
          </w:p>
        </w:tc>
        <w:tc>
          <w:tcPr>
            <w:tcW w:w="615" w:type="pct"/>
            <w:vAlign w:val="center"/>
          </w:tcPr>
          <w:p w14:paraId="6DF3B3D0">
            <w:pPr>
              <w:pStyle w:val="557"/>
            </w:pPr>
            <w:r>
              <w:rPr>
                <w:rFonts w:hint="eastAsia"/>
              </w:rPr>
              <w:t>自动监测</w:t>
            </w:r>
          </w:p>
        </w:tc>
      </w:tr>
      <w:tr w14:paraId="3083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53DA292D">
            <w:pPr>
              <w:pStyle w:val="557"/>
            </w:pPr>
          </w:p>
        </w:tc>
        <w:tc>
          <w:tcPr>
            <w:tcW w:w="845" w:type="pct"/>
            <w:vMerge w:val="continue"/>
            <w:vAlign w:val="center"/>
          </w:tcPr>
          <w:p w14:paraId="736A7CA9">
            <w:pPr>
              <w:pStyle w:val="557"/>
            </w:pPr>
          </w:p>
        </w:tc>
        <w:tc>
          <w:tcPr>
            <w:tcW w:w="1500" w:type="pct"/>
            <w:vAlign w:val="center"/>
          </w:tcPr>
          <w:p w14:paraId="573D4D03">
            <w:pPr>
              <w:pStyle w:val="557"/>
            </w:pPr>
            <w:r>
              <w:rPr>
                <w:rFonts w:hint="eastAsia"/>
              </w:rPr>
              <w:t>2#燃气</w:t>
            </w:r>
            <w:r>
              <w:t>锅炉</w:t>
            </w:r>
          </w:p>
        </w:tc>
        <w:tc>
          <w:tcPr>
            <w:tcW w:w="1637" w:type="pct"/>
            <w:vAlign w:val="center"/>
          </w:tcPr>
          <w:p w14:paraId="65C06266">
            <w:pPr>
              <w:pStyle w:val="557"/>
            </w:pPr>
            <w:r>
              <w:rPr>
                <w:rFonts w:hint="eastAsia"/>
              </w:rPr>
              <w:t>NO</w:t>
            </w:r>
            <w:r>
              <w:rPr>
                <w:rFonts w:hint="eastAsia"/>
                <w:vertAlign w:val="subscript"/>
              </w:rPr>
              <w:t>X</w:t>
            </w:r>
            <w:r>
              <w:rPr>
                <w:rFonts w:hint="eastAsia"/>
              </w:rPr>
              <w:t>、颗粒物</w:t>
            </w:r>
          </w:p>
        </w:tc>
        <w:tc>
          <w:tcPr>
            <w:tcW w:w="615" w:type="pct"/>
            <w:vAlign w:val="center"/>
          </w:tcPr>
          <w:p w14:paraId="208BDBFE">
            <w:pPr>
              <w:pStyle w:val="557"/>
            </w:pPr>
            <w:r>
              <w:rPr>
                <w:rFonts w:hint="eastAsia"/>
              </w:rPr>
              <w:t>自动监测</w:t>
            </w:r>
          </w:p>
        </w:tc>
      </w:tr>
      <w:tr w14:paraId="729A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A01964D">
            <w:pPr>
              <w:pStyle w:val="557"/>
            </w:pPr>
          </w:p>
        </w:tc>
        <w:tc>
          <w:tcPr>
            <w:tcW w:w="845" w:type="pct"/>
            <w:vMerge w:val="restart"/>
            <w:vAlign w:val="center"/>
          </w:tcPr>
          <w:p w14:paraId="69EFD838">
            <w:pPr>
              <w:pStyle w:val="557"/>
            </w:pPr>
            <w:r>
              <w:t>储运工程</w:t>
            </w:r>
          </w:p>
        </w:tc>
        <w:tc>
          <w:tcPr>
            <w:tcW w:w="1500" w:type="pct"/>
            <w:vAlign w:val="center"/>
          </w:tcPr>
          <w:p w14:paraId="3146CACA">
            <w:pPr>
              <w:pStyle w:val="557"/>
            </w:pPr>
            <w:r>
              <w:rPr>
                <w:rFonts w:hint="eastAsia"/>
              </w:rPr>
              <w:t>筛分破碎废气</w:t>
            </w:r>
          </w:p>
        </w:tc>
        <w:tc>
          <w:tcPr>
            <w:tcW w:w="1637" w:type="pct"/>
            <w:vAlign w:val="center"/>
          </w:tcPr>
          <w:p w14:paraId="03DE772F">
            <w:pPr>
              <w:pStyle w:val="557"/>
            </w:pPr>
            <w:r>
              <w:t>颗粒物</w:t>
            </w:r>
          </w:p>
        </w:tc>
        <w:tc>
          <w:tcPr>
            <w:tcW w:w="615" w:type="pct"/>
            <w:vAlign w:val="center"/>
          </w:tcPr>
          <w:p w14:paraId="088F0AB6">
            <w:pPr>
              <w:pStyle w:val="557"/>
            </w:pPr>
            <w:r>
              <w:rPr>
                <w:rFonts w:hint="eastAsia"/>
              </w:rPr>
              <w:t>半年</w:t>
            </w:r>
          </w:p>
        </w:tc>
      </w:tr>
      <w:tr w14:paraId="1701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2834E8B">
            <w:pPr>
              <w:pStyle w:val="557"/>
            </w:pPr>
          </w:p>
        </w:tc>
        <w:tc>
          <w:tcPr>
            <w:tcW w:w="845" w:type="pct"/>
            <w:vMerge w:val="continue"/>
            <w:vAlign w:val="center"/>
          </w:tcPr>
          <w:p w14:paraId="726901EF">
            <w:pPr>
              <w:pStyle w:val="557"/>
            </w:pPr>
          </w:p>
        </w:tc>
        <w:tc>
          <w:tcPr>
            <w:tcW w:w="1500" w:type="pct"/>
            <w:vAlign w:val="center"/>
          </w:tcPr>
          <w:p w14:paraId="417C2D0D">
            <w:pPr>
              <w:pStyle w:val="557"/>
            </w:pPr>
            <w:r>
              <w:t>1#</w:t>
            </w:r>
            <w:r>
              <w:rPr>
                <w:rFonts w:hint="eastAsia"/>
              </w:rPr>
              <w:t>转运站</w:t>
            </w:r>
          </w:p>
        </w:tc>
        <w:tc>
          <w:tcPr>
            <w:tcW w:w="1637" w:type="pct"/>
            <w:vAlign w:val="center"/>
          </w:tcPr>
          <w:p w14:paraId="53D9360C">
            <w:pPr>
              <w:pStyle w:val="557"/>
            </w:pPr>
            <w:r>
              <w:t>颗粒物</w:t>
            </w:r>
          </w:p>
        </w:tc>
        <w:tc>
          <w:tcPr>
            <w:tcW w:w="615" w:type="pct"/>
            <w:vAlign w:val="center"/>
          </w:tcPr>
          <w:p w14:paraId="4EFB3A88">
            <w:pPr>
              <w:pStyle w:val="557"/>
            </w:pPr>
            <w:r>
              <w:rPr>
                <w:rFonts w:hint="eastAsia"/>
              </w:rPr>
              <w:t>半年</w:t>
            </w:r>
          </w:p>
        </w:tc>
      </w:tr>
      <w:tr w14:paraId="5032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2A086406">
            <w:pPr>
              <w:pStyle w:val="557"/>
            </w:pPr>
          </w:p>
        </w:tc>
        <w:tc>
          <w:tcPr>
            <w:tcW w:w="845" w:type="pct"/>
            <w:vMerge w:val="continue"/>
            <w:vAlign w:val="center"/>
          </w:tcPr>
          <w:p w14:paraId="1EF1FE71">
            <w:pPr>
              <w:pStyle w:val="557"/>
            </w:pPr>
          </w:p>
        </w:tc>
        <w:tc>
          <w:tcPr>
            <w:tcW w:w="1500" w:type="pct"/>
            <w:vAlign w:val="center"/>
          </w:tcPr>
          <w:p w14:paraId="44BAFABC">
            <w:pPr>
              <w:pStyle w:val="557"/>
            </w:pPr>
            <w:r>
              <w:t>2#</w:t>
            </w:r>
            <w:r>
              <w:rPr>
                <w:rFonts w:hint="eastAsia"/>
              </w:rPr>
              <w:t>转运站</w:t>
            </w:r>
          </w:p>
        </w:tc>
        <w:tc>
          <w:tcPr>
            <w:tcW w:w="1637" w:type="pct"/>
            <w:vAlign w:val="center"/>
          </w:tcPr>
          <w:p w14:paraId="5431D54A">
            <w:pPr>
              <w:pStyle w:val="557"/>
            </w:pPr>
            <w:r>
              <w:t>颗粒物</w:t>
            </w:r>
          </w:p>
        </w:tc>
        <w:tc>
          <w:tcPr>
            <w:tcW w:w="615" w:type="pct"/>
            <w:vAlign w:val="center"/>
          </w:tcPr>
          <w:p w14:paraId="16D04D4E">
            <w:pPr>
              <w:pStyle w:val="557"/>
            </w:pPr>
            <w:r>
              <w:rPr>
                <w:rFonts w:hint="eastAsia"/>
              </w:rPr>
              <w:t>半年</w:t>
            </w:r>
          </w:p>
        </w:tc>
      </w:tr>
      <w:tr w14:paraId="2BE6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restart"/>
            <w:vAlign w:val="center"/>
          </w:tcPr>
          <w:p w14:paraId="3786E494">
            <w:pPr>
              <w:pStyle w:val="557"/>
            </w:pPr>
            <w:r>
              <w:rPr>
                <w:rFonts w:hint="eastAsia"/>
              </w:rPr>
              <w:t>无组织排放</w:t>
            </w:r>
          </w:p>
        </w:tc>
        <w:tc>
          <w:tcPr>
            <w:tcW w:w="2345" w:type="pct"/>
            <w:gridSpan w:val="2"/>
            <w:vMerge w:val="restart"/>
            <w:vAlign w:val="center"/>
          </w:tcPr>
          <w:p w14:paraId="4CFBE040">
            <w:pPr>
              <w:pStyle w:val="557"/>
            </w:pPr>
            <w:r>
              <w:rPr>
                <w:rFonts w:hint="eastAsia"/>
              </w:rPr>
              <w:t>企业边界</w:t>
            </w:r>
          </w:p>
        </w:tc>
        <w:tc>
          <w:tcPr>
            <w:tcW w:w="1637" w:type="pct"/>
            <w:vAlign w:val="center"/>
          </w:tcPr>
          <w:p w14:paraId="75D6D2F6">
            <w:pPr>
              <w:pStyle w:val="557"/>
            </w:pPr>
            <w:r>
              <w:rPr>
                <w:rFonts w:hint="eastAsia"/>
              </w:rPr>
              <w:t>硫化氢、氨、非甲烷总烃、臭气浓度、硫酸</w:t>
            </w:r>
          </w:p>
        </w:tc>
        <w:tc>
          <w:tcPr>
            <w:tcW w:w="615" w:type="pct"/>
            <w:vAlign w:val="center"/>
          </w:tcPr>
          <w:p w14:paraId="4D680DCB">
            <w:pPr>
              <w:pStyle w:val="557"/>
            </w:pPr>
            <w:r>
              <w:rPr>
                <w:rFonts w:hint="eastAsia"/>
              </w:rPr>
              <w:t>季度</w:t>
            </w:r>
          </w:p>
        </w:tc>
      </w:tr>
      <w:tr w14:paraId="2683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3324FDFE">
            <w:pPr>
              <w:pStyle w:val="557"/>
            </w:pPr>
          </w:p>
        </w:tc>
        <w:tc>
          <w:tcPr>
            <w:tcW w:w="2345" w:type="pct"/>
            <w:gridSpan w:val="2"/>
            <w:vMerge w:val="continue"/>
            <w:vAlign w:val="center"/>
          </w:tcPr>
          <w:p w14:paraId="2D30B598">
            <w:pPr>
              <w:pStyle w:val="557"/>
            </w:pPr>
          </w:p>
        </w:tc>
        <w:tc>
          <w:tcPr>
            <w:tcW w:w="1637" w:type="pct"/>
            <w:vAlign w:val="center"/>
          </w:tcPr>
          <w:p w14:paraId="40B34429">
            <w:pPr>
              <w:pStyle w:val="557"/>
            </w:pPr>
            <w:r>
              <w:rPr>
                <w:rFonts w:hint="eastAsia"/>
              </w:rPr>
              <w:t>颗粒物、甲醇</w:t>
            </w:r>
          </w:p>
        </w:tc>
        <w:tc>
          <w:tcPr>
            <w:tcW w:w="615" w:type="pct"/>
            <w:vAlign w:val="center"/>
          </w:tcPr>
          <w:p w14:paraId="384ABEB9">
            <w:pPr>
              <w:pStyle w:val="557"/>
            </w:pPr>
            <w:r>
              <w:rPr>
                <w:rFonts w:hint="eastAsia"/>
              </w:rPr>
              <w:t>年</w:t>
            </w:r>
          </w:p>
        </w:tc>
      </w:tr>
      <w:tr w14:paraId="74FE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20B5DCFE">
            <w:pPr>
              <w:pStyle w:val="557"/>
            </w:pPr>
          </w:p>
        </w:tc>
        <w:tc>
          <w:tcPr>
            <w:tcW w:w="2345" w:type="pct"/>
            <w:gridSpan w:val="2"/>
            <w:vAlign w:val="center"/>
          </w:tcPr>
          <w:p w14:paraId="7BEBB9B6">
            <w:pPr>
              <w:pStyle w:val="557"/>
            </w:pPr>
            <w:r>
              <w:rPr>
                <w:rFonts w:hint="eastAsia"/>
              </w:rPr>
              <w:t>泵、压缩机、搅拌器（机）、阀门、开口阀或开口管线、泄压设备、取样连接系统</w:t>
            </w:r>
          </w:p>
        </w:tc>
        <w:tc>
          <w:tcPr>
            <w:tcW w:w="1637" w:type="pct"/>
            <w:vAlign w:val="center"/>
          </w:tcPr>
          <w:p w14:paraId="1D407939">
            <w:pPr>
              <w:pStyle w:val="557"/>
            </w:pPr>
            <w:r>
              <w:rPr>
                <w:rFonts w:hint="eastAsia"/>
              </w:rPr>
              <w:t>挥发性有机物</w:t>
            </w:r>
          </w:p>
        </w:tc>
        <w:tc>
          <w:tcPr>
            <w:tcW w:w="615" w:type="pct"/>
            <w:vAlign w:val="center"/>
          </w:tcPr>
          <w:p w14:paraId="4D774E28">
            <w:pPr>
              <w:pStyle w:val="557"/>
            </w:pPr>
            <w:r>
              <w:rPr>
                <w:rFonts w:hint="eastAsia"/>
              </w:rPr>
              <w:t>季度</w:t>
            </w:r>
          </w:p>
        </w:tc>
      </w:tr>
      <w:tr w14:paraId="39F2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03" w:type="pct"/>
            <w:vMerge w:val="continue"/>
            <w:vAlign w:val="center"/>
          </w:tcPr>
          <w:p w14:paraId="574B586A">
            <w:pPr>
              <w:pStyle w:val="557"/>
            </w:pPr>
          </w:p>
        </w:tc>
        <w:tc>
          <w:tcPr>
            <w:tcW w:w="2345" w:type="pct"/>
            <w:gridSpan w:val="2"/>
            <w:vAlign w:val="center"/>
          </w:tcPr>
          <w:p w14:paraId="008BBC98">
            <w:pPr>
              <w:pStyle w:val="557"/>
            </w:pPr>
            <w:r>
              <w:rPr>
                <w:rFonts w:hint="eastAsia"/>
              </w:rPr>
              <w:t>法兰及其他连接件、其他密封设备</w:t>
            </w:r>
          </w:p>
        </w:tc>
        <w:tc>
          <w:tcPr>
            <w:tcW w:w="1637" w:type="pct"/>
            <w:vAlign w:val="center"/>
          </w:tcPr>
          <w:p w14:paraId="0BCEBDC8">
            <w:pPr>
              <w:pStyle w:val="557"/>
            </w:pPr>
            <w:r>
              <w:rPr>
                <w:rFonts w:hint="eastAsia"/>
              </w:rPr>
              <w:t>挥发性有机物</w:t>
            </w:r>
          </w:p>
        </w:tc>
        <w:tc>
          <w:tcPr>
            <w:tcW w:w="615" w:type="pct"/>
            <w:vAlign w:val="center"/>
          </w:tcPr>
          <w:p w14:paraId="15535BBB">
            <w:pPr>
              <w:pStyle w:val="557"/>
            </w:pPr>
            <w:r>
              <w:rPr>
                <w:rFonts w:hint="eastAsia"/>
              </w:rPr>
              <w:t>半年</w:t>
            </w:r>
          </w:p>
        </w:tc>
      </w:tr>
      <w:tr w14:paraId="5FCA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000" w:type="pct"/>
            <w:gridSpan w:val="5"/>
            <w:vAlign w:val="center"/>
          </w:tcPr>
          <w:p w14:paraId="32682119">
            <w:pPr>
              <w:pStyle w:val="557"/>
            </w:pPr>
            <w:r>
              <w:rPr>
                <w:rFonts w:hint="eastAsia"/>
              </w:rPr>
              <w:t>二、噪声</w:t>
            </w:r>
          </w:p>
        </w:tc>
      </w:tr>
      <w:tr w14:paraId="71B0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748" w:type="pct"/>
            <w:gridSpan w:val="3"/>
            <w:vAlign w:val="center"/>
          </w:tcPr>
          <w:p w14:paraId="776B0CFC">
            <w:pPr>
              <w:pStyle w:val="557"/>
            </w:pPr>
            <w:r>
              <w:rPr>
                <w:rFonts w:hint="eastAsia"/>
              </w:rPr>
              <w:t>厂界东</w:t>
            </w:r>
            <w:r>
              <w:t>、南、西、</w:t>
            </w:r>
            <w:r>
              <w:rPr>
                <w:rFonts w:hint="eastAsia"/>
              </w:rPr>
              <w:t>北四周外</w:t>
            </w:r>
            <w:r>
              <w:t>1m</w:t>
            </w:r>
            <w:r>
              <w:rPr>
                <w:rFonts w:hint="eastAsia"/>
              </w:rPr>
              <w:t>处各设1个监测点</w:t>
            </w:r>
          </w:p>
        </w:tc>
        <w:tc>
          <w:tcPr>
            <w:tcW w:w="1637" w:type="pct"/>
            <w:vAlign w:val="center"/>
          </w:tcPr>
          <w:p w14:paraId="60DE1555">
            <w:pPr>
              <w:pStyle w:val="557"/>
            </w:pPr>
            <w:r>
              <w:rPr>
                <w:rFonts w:hint="eastAsia"/>
              </w:rPr>
              <w:t>昼</w:t>
            </w:r>
            <w:r>
              <w:t>/</w:t>
            </w:r>
            <w:r>
              <w:rPr>
                <w:rFonts w:hint="eastAsia"/>
              </w:rPr>
              <w:t>夜噪声值，等效声级</w:t>
            </w:r>
            <w:r>
              <w:t>L</w:t>
            </w:r>
            <w:r>
              <w:rPr>
                <w:vertAlign w:val="subscript"/>
              </w:rPr>
              <w:t>Aeq</w:t>
            </w:r>
          </w:p>
        </w:tc>
        <w:tc>
          <w:tcPr>
            <w:tcW w:w="615" w:type="pct"/>
            <w:vAlign w:val="center"/>
          </w:tcPr>
          <w:p w14:paraId="42E54C66">
            <w:pPr>
              <w:pStyle w:val="557"/>
            </w:pPr>
            <w:r>
              <w:rPr>
                <w:rFonts w:hint="eastAsia"/>
              </w:rPr>
              <w:t>季度</w:t>
            </w:r>
          </w:p>
        </w:tc>
      </w:tr>
      <w:bookmarkEnd w:id="563"/>
    </w:tbl>
    <w:p w14:paraId="24224E2B">
      <w:pPr>
        <w:pStyle w:val="562"/>
        <w:ind w:firstLine="400"/>
        <w:rPr>
          <w:rFonts w:hint="eastAsia"/>
        </w:rPr>
      </w:pPr>
    </w:p>
    <w:p w14:paraId="531D8A3B">
      <w:pPr>
        <w:pStyle w:val="535"/>
        <w:rPr>
          <w:rFonts w:hint="eastAsia"/>
          <w:color w:val="auto"/>
        </w:rPr>
      </w:pPr>
      <w:r>
        <w:rPr>
          <w:rFonts w:hint="eastAsia"/>
          <w:color w:val="auto"/>
        </w:rPr>
        <w:t>表10.3</w:t>
      </w:r>
      <w:r>
        <w:rPr>
          <w:color w:val="auto"/>
        </w:rPr>
        <w:t>.1</w:t>
      </w:r>
      <w:r>
        <w:rPr>
          <w:rFonts w:hint="eastAsia"/>
          <w:color w:val="auto"/>
        </w:rPr>
        <w:t>-4</w:t>
      </w:r>
      <w:r>
        <w:rPr>
          <w:color w:val="auto"/>
        </w:rPr>
        <w:t xml:space="preserve">    </w:t>
      </w:r>
      <w:r>
        <w:rPr>
          <w:rFonts w:hint="eastAsia"/>
          <w:color w:val="auto"/>
        </w:rPr>
        <w:t>环境质量监测计划</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038"/>
        <w:gridCol w:w="4396"/>
        <w:gridCol w:w="900"/>
      </w:tblGrid>
      <w:tr w14:paraId="1ABC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7" w:type="pct"/>
            <w:vAlign w:val="center"/>
          </w:tcPr>
          <w:p w14:paraId="2F4CE5A2">
            <w:pPr>
              <w:pStyle w:val="557"/>
            </w:pPr>
            <w:r>
              <w:rPr>
                <w:rFonts w:hint="eastAsia"/>
              </w:rPr>
              <w:t>目标环境</w:t>
            </w:r>
          </w:p>
        </w:tc>
        <w:tc>
          <w:tcPr>
            <w:tcW w:w="1196" w:type="pct"/>
            <w:vAlign w:val="center"/>
          </w:tcPr>
          <w:p w14:paraId="3412366B">
            <w:pPr>
              <w:pStyle w:val="557"/>
            </w:pPr>
            <w:r>
              <w:rPr>
                <w:rFonts w:hint="eastAsia"/>
              </w:rPr>
              <w:t>监测点位</w:t>
            </w:r>
          </w:p>
        </w:tc>
        <w:tc>
          <w:tcPr>
            <w:tcW w:w="2579" w:type="pct"/>
            <w:vAlign w:val="center"/>
          </w:tcPr>
          <w:p w14:paraId="39BE740C">
            <w:pPr>
              <w:pStyle w:val="557"/>
            </w:pPr>
            <w:r>
              <w:rPr>
                <w:rFonts w:hint="eastAsia"/>
              </w:rPr>
              <w:t>监测指标</w:t>
            </w:r>
          </w:p>
        </w:tc>
        <w:tc>
          <w:tcPr>
            <w:tcW w:w="528" w:type="pct"/>
            <w:vAlign w:val="center"/>
          </w:tcPr>
          <w:p w14:paraId="5A76CDA5">
            <w:pPr>
              <w:pStyle w:val="557"/>
            </w:pPr>
            <w:r>
              <w:rPr>
                <w:rFonts w:hint="eastAsia"/>
              </w:rPr>
              <w:t>监测频次</w:t>
            </w:r>
          </w:p>
        </w:tc>
      </w:tr>
      <w:tr w14:paraId="53EF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Align w:val="center"/>
          </w:tcPr>
          <w:p w14:paraId="3C14FCE3">
            <w:pPr>
              <w:pStyle w:val="557"/>
            </w:pPr>
            <w:r>
              <w:rPr>
                <w:rFonts w:hint="eastAsia"/>
              </w:rPr>
              <w:t>环境</w:t>
            </w:r>
            <w:r>
              <w:t>空气</w:t>
            </w:r>
          </w:p>
        </w:tc>
        <w:tc>
          <w:tcPr>
            <w:tcW w:w="1196" w:type="pct"/>
            <w:vAlign w:val="center"/>
          </w:tcPr>
          <w:p w14:paraId="0C366FED">
            <w:pPr>
              <w:pStyle w:val="557"/>
            </w:pPr>
            <w:r>
              <w:rPr>
                <w:rFonts w:hint="eastAsia"/>
              </w:rPr>
              <w:t>厂界</w:t>
            </w:r>
            <w:r>
              <w:t>下风向</w:t>
            </w:r>
            <w:r>
              <w:rPr>
                <w:rFonts w:hint="eastAsia"/>
              </w:rPr>
              <w:t>1个</w:t>
            </w:r>
            <w:r>
              <w:t>点位</w:t>
            </w:r>
          </w:p>
        </w:tc>
        <w:tc>
          <w:tcPr>
            <w:tcW w:w="2579" w:type="pct"/>
            <w:vAlign w:val="center"/>
          </w:tcPr>
          <w:p w14:paraId="1F709A50">
            <w:pPr>
              <w:pStyle w:val="557"/>
            </w:pPr>
            <w:r>
              <w:rPr>
                <w:rFonts w:hint="eastAsia"/>
              </w:rPr>
              <w:t>氨、硫化氢、非甲烷总烃、甲醇、硫酸</w:t>
            </w:r>
          </w:p>
        </w:tc>
        <w:tc>
          <w:tcPr>
            <w:tcW w:w="528" w:type="pct"/>
            <w:vAlign w:val="center"/>
          </w:tcPr>
          <w:p w14:paraId="3DDC9FEB">
            <w:pPr>
              <w:pStyle w:val="557"/>
            </w:pPr>
            <w:r>
              <w:rPr>
                <w:rFonts w:hint="eastAsia"/>
              </w:rPr>
              <w:t>半年</w:t>
            </w:r>
          </w:p>
        </w:tc>
      </w:tr>
      <w:tr w14:paraId="6238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Align w:val="center"/>
          </w:tcPr>
          <w:p w14:paraId="2F65930E">
            <w:pPr>
              <w:pStyle w:val="557"/>
            </w:pPr>
            <w:r>
              <w:rPr>
                <w:rFonts w:hint="eastAsia"/>
              </w:rPr>
              <w:t>地下水</w:t>
            </w:r>
          </w:p>
        </w:tc>
        <w:tc>
          <w:tcPr>
            <w:tcW w:w="1196" w:type="pct"/>
            <w:vAlign w:val="center"/>
          </w:tcPr>
          <w:p w14:paraId="66C74132">
            <w:pPr>
              <w:pStyle w:val="557"/>
            </w:pPr>
            <w:r>
              <w:rPr>
                <w:rFonts w:hint="eastAsia"/>
              </w:rPr>
              <w:t>（1）地下水监测井总数不少于三个。</w:t>
            </w:r>
          </w:p>
          <w:p w14:paraId="051D1573">
            <w:pPr>
              <w:pStyle w:val="557"/>
            </w:pPr>
            <w:r>
              <w:rPr>
                <w:rFonts w:hint="eastAsia"/>
              </w:rPr>
              <w:t>（2）应根据重点单元内重点场所或重点设施设备的数量及分布确定该单元对应地下水监测井的位置和数量，监测井应布设在污染物运移路径的下游方向，原则上井的位置和数量应能捕捉到该单元内所有重点场所或重点设施设备可能产生的地下水污染。</w:t>
            </w:r>
          </w:p>
          <w:p w14:paraId="47CCA109">
            <w:pPr>
              <w:pStyle w:val="557"/>
            </w:pPr>
            <w:r>
              <w:rPr>
                <w:rFonts w:hint="eastAsia"/>
              </w:rPr>
              <w:t>（3）采样深度为潜水。</w:t>
            </w:r>
          </w:p>
        </w:tc>
        <w:tc>
          <w:tcPr>
            <w:tcW w:w="2579" w:type="pct"/>
            <w:vAlign w:val="center"/>
          </w:tcPr>
          <w:p w14:paraId="104AC252">
            <w:pPr>
              <w:pStyle w:val="557"/>
            </w:pPr>
            <w:r>
              <w:t>pH</w:t>
            </w:r>
            <w:r>
              <w:rPr>
                <w:rFonts w:hint="eastAsia"/>
              </w:rPr>
              <w:t>值、硫化物、氟化物、挥发性酚类、氰化物、氯化物、高锰酸盐指数、氨氮、石油类、五日生化需氧量、苯并</w:t>
            </w:r>
            <w:r>
              <w:t>[a]</w:t>
            </w:r>
            <w:r>
              <w:rPr>
                <w:rFonts w:hint="eastAsia"/>
              </w:rPr>
              <w:t>芘、砷、镍、铅、汞、铜、锌、镉、六价铬、苯、甲苯等</w:t>
            </w:r>
          </w:p>
        </w:tc>
        <w:tc>
          <w:tcPr>
            <w:tcW w:w="528" w:type="pct"/>
            <w:vAlign w:val="center"/>
          </w:tcPr>
          <w:p w14:paraId="1F0D746B">
            <w:pPr>
              <w:pStyle w:val="557"/>
            </w:pPr>
            <w:r>
              <w:rPr>
                <w:rFonts w:hint="eastAsia"/>
              </w:rPr>
              <w:t>年</w:t>
            </w:r>
          </w:p>
        </w:tc>
      </w:tr>
      <w:tr w14:paraId="6A4A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Align w:val="center"/>
          </w:tcPr>
          <w:p w14:paraId="19BCAD6C">
            <w:pPr>
              <w:pStyle w:val="557"/>
            </w:pPr>
            <w:r>
              <w:rPr>
                <w:rFonts w:hint="eastAsia"/>
              </w:rPr>
              <w:t>土壤</w:t>
            </w:r>
          </w:p>
        </w:tc>
        <w:tc>
          <w:tcPr>
            <w:tcW w:w="1196" w:type="pct"/>
            <w:vAlign w:val="center"/>
          </w:tcPr>
          <w:p w14:paraId="7655C838">
            <w:pPr>
              <w:pStyle w:val="557"/>
            </w:pPr>
            <w:r>
              <w:rPr>
                <w:rFonts w:hint="eastAsia"/>
              </w:rPr>
              <w:t>（1）项目区内布设一个表层样</w:t>
            </w:r>
          </w:p>
          <w:p w14:paraId="53EF1131">
            <w:pPr>
              <w:pStyle w:val="557"/>
            </w:pPr>
            <w:r>
              <w:rPr>
                <w:rFonts w:hint="eastAsia"/>
              </w:rPr>
              <w:t>（2）厂址下风向附近</w:t>
            </w:r>
          </w:p>
          <w:p w14:paraId="15736097">
            <w:pPr>
              <w:pStyle w:val="557"/>
            </w:pPr>
            <w:r>
              <w:rPr>
                <w:rFonts w:hint="eastAsia"/>
              </w:rPr>
              <w:t>布设一个表层样</w:t>
            </w:r>
          </w:p>
        </w:tc>
        <w:tc>
          <w:tcPr>
            <w:tcW w:w="2579" w:type="pct"/>
            <w:vAlign w:val="center"/>
          </w:tcPr>
          <w:p w14:paraId="064D47E4">
            <w:pPr>
              <w:pStyle w:val="557"/>
            </w:pPr>
            <w:r>
              <w:rPr>
                <w:rFonts w:hint="eastAsia"/>
              </w:rPr>
              <w:t>pH、砷、镉、铬（六价）、铜、铅、汞、镍、钴、苯并[a]芘、石油烃、氰化物等</w:t>
            </w:r>
          </w:p>
        </w:tc>
        <w:tc>
          <w:tcPr>
            <w:tcW w:w="528" w:type="pct"/>
            <w:vAlign w:val="center"/>
          </w:tcPr>
          <w:p w14:paraId="5DCBB0CC">
            <w:pPr>
              <w:pStyle w:val="557"/>
            </w:pPr>
            <w:r>
              <w:rPr>
                <w:rFonts w:hint="eastAsia"/>
              </w:rPr>
              <w:t>年</w:t>
            </w:r>
          </w:p>
        </w:tc>
      </w:tr>
    </w:tbl>
    <w:p w14:paraId="416E6E2F">
      <w:pPr>
        <w:pStyle w:val="97"/>
        <w:rPr>
          <w:rFonts w:hint="eastAsia"/>
        </w:rPr>
      </w:pPr>
      <w:r>
        <w:rPr>
          <w:rFonts w:hint="eastAsia"/>
        </w:rPr>
        <w:t>环境管理台账与执行报告编制要求</w:t>
      </w:r>
    </w:p>
    <w:p w14:paraId="4485CE66">
      <w:pPr>
        <w:pStyle w:val="281"/>
        <w:ind w:firstLine="480"/>
      </w:pPr>
      <w:r>
        <w:rPr>
          <w:rFonts w:hint="eastAsia"/>
        </w:rPr>
        <w:t>排污单位应建立环境管理台账制度，设置人员进行台账记录、整理、维护和管理工作。排污单位对台账内容的真实性、准确性、完整性、规范性负责。排污单位应按照“规范、真实、全面、细致”的原则，依据本标准要求，确定记录内容；环境保护主管部门补充制定相关技术规范中要求增加的，在本标准基础上进行补充；排污单位还可根据自行监测管理要求补充填报管理台账内容。</w:t>
      </w:r>
    </w:p>
    <w:p w14:paraId="5C4C0A47">
      <w:pPr>
        <w:pStyle w:val="281"/>
        <w:ind w:firstLine="480"/>
        <w:rPr>
          <w:rFonts w:hint="eastAsia" w:ascii="黑体" w:hAnsi="黑体" w:eastAsia="黑体"/>
        </w:rPr>
      </w:pPr>
      <w:r>
        <w:rPr>
          <w:rFonts w:hint="eastAsia"/>
        </w:rPr>
        <w:t>本次项目实施后，建设单位应按照自行监测计划定期开展自行监测，并将自行监测、污染物排放及落实各项环境管理要求等行为做详细记录，定期编制报告。另外，根据要求为方便实现环境管理台账的储存、分析、导出、携带等功能，环境管理记录应以电子化储存或纸质储存，妥善管理并保存三年以上备查。</w:t>
      </w:r>
    </w:p>
    <w:p w14:paraId="6C331CDB">
      <w:pPr>
        <w:pStyle w:val="97"/>
        <w:rPr>
          <w:rFonts w:hint="eastAsia"/>
        </w:rPr>
      </w:pPr>
      <w:r>
        <w:t>事故应急调查监测方案</w:t>
      </w:r>
    </w:p>
    <w:p w14:paraId="7FE7004E">
      <w:pPr>
        <w:pStyle w:val="281"/>
        <w:ind w:firstLine="480"/>
      </w:pPr>
      <w: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10min内、非工作时间20min内要到达事故现场，需实验室分析测试的项目，在采样后24h内必须报出，应急监测专题报告在48h内要报出。根据事故发生源，污染物泄漏种类的分析成果，</w:t>
      </w:r>
    </w:p>
    <w:p w14:paraId="5C03AF30">
      <w:pPr>
        <w:pStyle w:val="97"/>
        <w:rPr>
          <w:rFonts w:hint="eastAsia"/>
        </w:rPr>
      </w:pPr>
      <w:r>
        <w:t>监测</w:t>
      </w:r>
      <w:r>
        <w:rPr>
          <w:rFonts w:hint="eastAsia"/>
        </w:rPr>
        <w:t>要求</w:t>
      </w:r>
    </w:p>
    <w:p w14:paraId="1464B236">
      <w:pPr>
        <w:pStyle w:val="98"/>
        <w:rPr>
          <w:rFonts w:hint="eastAsia"/>
        </w:rPr>
      </w:pPr>
      <w:r>
        <w:t>手工监测要求</w:t>
      </w:r>
    </w:p>
    <w:p w14:paraId="76157910">
      <w:pPr>
        <w:spacing w:line="360" w:lineRule="auto"/>
        <w:ind w:firstLine="480" w:firstLineChars="200"/>
        <w:rPr>
          <w:rFonts w:hint="eastAsia"/>
        </w:rPr>
      </w:pPr>
      <w:r>
        <w:rPr>
          <w:rFonts w:hint="eastAsia"/>
        </w:rPr>
        <w:t>以手工监测方式开展自行监测的，应当具备以下条件：</w:t>
      </w:r>
    </w:p>
    <w:p w14:paraId="30D2448A">
      <w:pPr>
        <w:pStyle w:val="281"/>
        <w:ind w:firstLine="480"/>
      </w:pPr>
      <w:r>
        <w:rPr>
          <w:rFonts w:hint="eastAsia"/>
        </w:rPr>
        <w:t>（</w:t>
      </w:r>
      <w:r>
        <w:t>1</w:t>
      </w:r>
      <w:r>
        <w:rPr>
          <w:rFonts w:hint="eastAsia"/>
        </w:rPr>
        <w:t>）具有固定的工作场所和必要的工作条件；</w:t>
      </w:r>
    </w:p>
    <w:p w14:paraId="0D9C2100">
      <w:pPr>
        <w:pStyle w:val="281"/>
        <w:ind w:firstLine="480"/>
      </w:pPr>
      <w:r>
        <w:rPr>
          <w:rFonts w:hint="eastAsia"/>
        </w:rPr>
        <w:t>（</w:t>
      </w:r>
      <w:r>
        <w:t>2</w:t>
      </w:r>
      <w:r>
        <w:rPr>
          <w:rFonts w:hint="eastAsia"/>
        </w:rPr>
        <w:t>）具有与监测本单位排放污染物相适应的采样、分析等专业设备、设施；</w:t>
      </w:r>
    </w:p>
    <w:p w14:paraId="39AABFB0">
      <w:pPr>
        <w:pStyle w:val="281"/>
        <w:ind w:firstLine="480"/>
      </w:pPr>
      <w:r>
        <w:rPr>
          <w:rFonts w:hint="eastAsia"/>
        </w:rPr>
        <w:t>（</w:t>
      </w:r>
      <w:r>
        <w:t>3</w:t>
      </w:r>
      <w:r>
        <w:rPr>
          <w:rFonts w:hint="eastAsia"/>
        </w:rPr>
        <w:t>）具有两名以上持有省级环境保护主管部门组织培训的、与监测事项相符的培训证书的人员；</w:t>
      </w:r>
    </w:p>
    <w:p w14:paraId="66888FBD">
      <w:pPr>
        <w:pStyle w:val="281"/>
        <w:ind w:firstLine="480"/>
      </w:pPr>
      <w:r>
        <w:rPr>
          <w:rFonts w:hint="eastAsia"/>
        </w:rPr>
        <w:t>（</w:t>
      </w:r>
      <w:r>
        <w:t>4</w:t>
      </w:r>
      <w:r>
        <w:rPr>
          <w:rFonts w:hint="eastAsia"/>
        </w:rPr>
        <w:t>）具有健全的环境监测工作和质量管理制度；</w:t>
      </w:r>
    </w:p>
    <w:p w14:paraId="1FFF2678">
      <w:pPr>
        <w:pStyle w:val="281"/>
        <w:ind w:firstLine="480"/>
      </w:pPr>
      <w:r>
        <w:rPr>
          <w:rFonts w:hint="eastAsia"/>
        </w:rPr>
        <w:t>（</w:t>
      </w:r>
      <w:r>
        <w:t>5</w:t>
      </w:r>
      <w:r>
        <w:rPr>
          <w:rFonts w:hint="eastAsia"/>
        </w:rPr>
        <w:t>）符合环境保护主管部门规定的其他条件。</w:t>
      </w:r>
    </w:p>
    <w:p w14:paraId="1A739726">
      <w:pPr>
        <w:pStyle w:val="98"/>
        <w:rPr>
          <w:rFonts w:hint="eastAsia"/>
        </w:rPr>
      </w:pPr>
      <w:r>
        <w:rPr>
          <w:rFonts w:hint="eastAsia"/>
        </w:rPr>
        <w:t>自动监测要求</w:t>
      </w:r>
    </w:p>
    <w:p w14:paraId="5F7A4034">
      <w:pPr>
        <w:spacing w:line="360" w:lineRule="auto"/>
        <w:ind w:firstLine="480" w:firstLineChars="200"/>
        <w:rPr>
          <w:rFonts w:hint="eastAsia"/>
        </w:rPr>
      </w:pPr>
      <w:r>
        <w:rPr>
          <w:rFonts w:hint="eastAsia"/>
        </w:rPr>
        <w:t>以自动监测方式开展自行监测的，应当具备以下条件：</w:t>
      </w:r>
    </w:p>
    <w:p w14:paraId="6FFDFBF4">
      <w:pPr>
        <w:pStyle w:val="281"/>
        <w:ind w:firstLine="480"/>
      </w:pPr>
      <w:r>
        <w:rPr>
          <w:rFonts w:hint="eastAsia"/>
        </w:rPr>
        <w:t>（</w:t>
      </w:r>
      <w:r>
        <w:t>1</w:t>
      </w:r>
      <w:r>
        <w:rPr>
          <w:rFonts w:hint="eastAsia"/>
        </w:rPr>
        <w:t>）按照环境监测技术规范和自动监控技术规范的要求安装自动监测设备，与环境保护主管部门联网，并通过环境保护主管部门验收；</w:t>
      </w:r>
    </w:p>
    <w:p w14:paraId="7DB7C383">
      <w:pPr>
        <w:pStyle w:val="281"/>
        <w:ind w:firstLine="480"/>
      </w:pPr>
      <w:r>
        <w:rPr>
          <w:rFonts w:hint="eastAsia"/>
        </w:rPr>
        <w:t>（</w:t>
      </w:r>
      <w:r>
        <w:t>2</w:t>
      </w:r>
      <w:r>
        <w:rPr>
          <w:rFonts w:hint="eastAsia"/>
        </w:rPr>
        <w:t>）具有两名以上持有省级环境保护主管部门颁发的污染源自动监测数据有效性审核培训证书的人员，对自动监测设备进行日常运行维护；</w:t>
      </w:r>
    </w:p>
    <w:p w14:paraId="0DD46CCF">
      <w:pPr>
        <w:pStyle w:val="281"/>
        <w:ind w:firstLine="480"/>
      </w:pPr>
      <w:r>
        <w:rPr>
          <w:rFonts w:hint="eastAsia"/>
        </w:rPr>
        <w:t>（</w:t>
      </w:r>
      <w:r>
        <w:t>3</w:t>
      </w:r>
      <w:r>
        <w:rPr>
          <w:rFonts w:hint="eastAsia"/>
        </w:rPr>
        <w:t>）具有健全的自动监测设备运行管理工作和质量管理制度；</w:t>
      </w:r>
    </w:p>
    <w:p w14:paraId="295EEA30">
      <w:pPr>
        <w:pStyle w:val="281"/>
        <w:ind w:firstLine="480"/>
      </w:pPr>
      <w:r>
        <w:rPr>
          <w:rFonts w:hint="eastAsia"/>
        </w:rPr>
        <w:t>（</w:t>
      </w:r>
      <w:r>
        <w:t>4</w:t>
      </w:r>
      <w:r>
        <w:rPr>
          <w:rFonts w:hint="eastAsia"/>
        </w:rPr>
        <w:t>）符合环境保护主管部门规定的其他条件。</w:t>
      </w:r>
    </w:p>
    <w:p w14:paraId="394AF4A0">
      <w:pPr>
        <w:pStyle w:val="98"/>
        <w:rPr>
          <w:rFonts w:hint="eastAsia"/>
        </w:rPr>
      </w:pPr>
      <w:r>
        <w:t>监测管理要求</w:t>
      </w:r>
    </w:p>
    <w:p w14:paraId="0B977904">
      <w:pPr>
        <w:pStyle w:val="281"/>
        <w:ind w:firstLine="480"/>
      </w:pPr>
      <w:r>
        <w:rPr>
          <w:rFonts w:hint="eastAsia"/>
        </w:rPr>
        <w:t>（</w:t>
      </w:r>
      <w:r>
        <w:t>1</w:t>
      </w:r>
      <w:r>
        <w:rPr>
          <w:rFonts w:hint="eastAsia"/>
        </w:rPr>
        <w:t>）企业自行监测采用委托监测的，应当委托经省级环境保护主管部门认定的社会检测机构或环境保护主管部门所属环境监测机构进行监测。承担监督性监测任务的环境保护主管部门所属环境监测机构不得承担所监督企业的自行监测委托业务。</w:t>
      </w:r>
    </w:p>
    <w:p w14:paraId="4D0A4E97">
      <w:pPr>
        <w:pStyle w:val="281"/>
        <w:ind w:firstLine="480"/>
      </w:pPr>
      <w:r>
        <w:rPr>
          <w:rFonts w:hint="eastAsia"/>
        </w:rPr>
        <w:t>（</w:t>
      </w:r>
      <w:r>
        <w:t>2</w:t>
      </w:r>
      <w:r>
        <w:rPr>
          <w:rFonts w:hint="eastAsia"/>
        </w:rPr>
        <w:t>）自行监测记录包含监测各环节的原始记录、委托监测相关记录、自动监测设备运维记录，各类原始记录内容应完整并有相关人员签字，保存三年。</w:t>
      </w:r>
    </w:p>
    <w:p w14:paraId="1F75E347">
      <w:pPr>
        <w:pStyle w:val="281"/>
        <w:ind w:firstLine="480"/>
      </w:pPr>
      <w:r>
        <w:rPr>
          <w:rFonts w:hint="eastAsia"/>
        </w:rPr>
        <w:t>（</w:t>
      </w:r>
      <w:r>
        <w:t>3</w:t>
      </w:r>
      <w:r>
        <w:rPr>
          <w:rFonts w:hint="eastAsia"/>
        </w:rPr>
        <w:t>）企业应当定期参加环境监测管理和相关技术业务培训。</w:t>
      </w:r>
    </w:p>
    <w:p w14:paraId="089CEE44">
      <w:pPr>
        <w:pStyle w:val="281"/>
        <w:ind w:firstLine="480"/>
      </w:pPr>
      <w:r>
        <w:rPr>
          <w:rFonts w:hint="eastAsia"/>
        </w:rPr>
        <w:t>（</w:t>
      </w:r>
      <w:r>
        <w:t>4</w:t>
      </w:r>
      <w:r>
        <w:rPr>
          <w:rFonts w:hint="eastAsia"/>
        </w:rPr>
        <w:t>）企业自行监测应当遵守国务院环境保护主管部门颁布的环境监测质量管理规定，确保监测数据科学、准确。</w:t>
      </w:r>
    </w:p>
    <w:p w14:paraId="076D6785">
      <w:pPr>
        <w:pStyle w:val="281"/>
        <w:ind w:firstLine="480"/>
      </w:pPr>
      <w:r>
        <w:rPr>
          <w:rFonts w:hint="eastAsia"/>
        </w:rPr>
        <w:t>（</w:t>
      </w:r>
      <w:r>
        <w:t>5</w:t>
      </w:r>
      <w:r>
        <w:rPr>
          <w:rFonts w:hint="eastAsia"/>
        </w:rPr>
        <w:t>）企业应当使用自行监测数据，按照国务院环境保护主管部门有关规定计算污染物排放量，在每月初的</w:t>
      </w:r>
      <w:r>
        <w:t>7</w:t>
      </w:r>
      <w:r>
        <w:rPr>
          <w:rFonts w:hint="eastAsia"/>
        </w:rPr>
        <w:t>个工作日内向环境保护主管部门报告上月主要污染物排放量，并提供有关资料。</w:t>
      </w:r>
    </w:p>
    <w:p w14:paraId="0B29115E">
      <w:pPr>
        <w:pStyle w:val="281"/>
        <w:ind w:firstLine="480"/>
      </w:pPr>
      <w:r>
        <w:rPr>
          <w:rFonts w:hint="eastAsia"/>
        </w:rPr>
        <w:t>（</w:t>
      </w:r>
      <w:r>
        <w:t>6</w:t>
      </w:r>
      <w:r>
        <w:rPr>
          <w:rFonts w:hint="eastAsia"/>
        </w:rPr>
        <w:t>）企业自行监测发现污染物排放超标的，应当及时采取防止或减轻污染的措施，分析原因，并向负责备案的环境保护主管部门报告。</w:t>
      </w:r>
    </w:p>
    <w:p w14:paraId="418BF187">
      <w:pPr>
        <w:pStyle w:val="281"/>
        <w:ind w:firstLine="480"/>
      </w:pPr>
      <w:r>
        <w:rPr>
          <w:rFonts w:hint="eastAsia"/>
        </w:rPr>
        <w:t>（</w:t>
      </w:r>
      <w:r>
        <w:t>7</w:t>
      </w:r>
      <w:r>
        <w:rPr>
          <w:rFonts w:hint="eastAsia"/>
        </w:rPr>
        <w:t>）企业应于每年</w:t>
      </w:r>
      <w:r>
        <w:t>1</w:t>
      </w:r>
      <w:r>
        <w:rPr>
          <w:rFonts w:hint="eastAsia"/>
        </w:rPr>
        <w:t>月底前编制完成上年度自行监测开展情况年度报告，并向负责备案的环境保护主管部门报送。年度报告应包含以下内容：</w:t>
      </w:r>
    </w:p>
    <w:p w14:paraId="30BDB298">
      <w:pPr>
        <w:pStyle w:val="281"/>
        <w:ind w:firstLine="480"/>
      </w:pPr>
      <w:r>
        <w:rPr>
          <w:rFonts w:hint="eastAsia"/>
        </w:rPr>
        <w:t>①监测方案的调整变化情况；</w:t>
      </w:r>
    </w:p>
    <w:p w14:paraId="78792FEE">
      <w:pPr>
        <w:pStyle w:val="281"/>
        <w:ind w:firstLine="480"/>
      </w:pPr>
      <w:r>
        <w:rPr>
          <w:rFonts w:hint="eastAsia"/>
        </w:rPr>
        <w:t>②全年生产天数、监测天数，各监测点、各监测指标全年监测次数、达标次数、超标情况；</w:t>
      </w:r>
    </w:p>
    <w:p w14:paraId="5C30BEF0">
      <w:pPr>
        <w:pStyle w:val="281"/>
        <w:ind w:firstLine="480"/>
      </w:pPr>
      <w:r>
        <w:rPr>
          <w:rFonts w:hint="eastAsia"/>
        </w:rPr>
        <w:t>③全年废水、废气污染物排放量；</w:t>
      </w:r>
    </w:p>
    <w:p w14:paraId="5519D23B">
      <w:pPr>
        <w:pStyle w:val="281"/>
        <w:ind w:firstLine="480"/>
      </w:pPr>
      <w:r>
        <w:rPr>
          <w:rFonts w:hint="eastAsia"/>
        </w:rPr>
        <w:t>④固体废弃物的类型、产生数量，处置方式、数量以及去向；</w:t>
      </w:r>
    </w:p>
    <w:p w14:paraId="5AA3017E">
      <w:pPr>
        <w:pStyle w:val="281"/>
        <w:ind w:firstLine="480"/>
      </w:pPr>
      <w:r>
        <w:rPr>
          <w:rFonts w:hint="eastAsia"/>
        </w:rPr>
        <w:t>⑤按要求开展的周边环境质量影响状况监测结果。</w:t>
      </w:r>
    </w:p>
    <w:p w14:paraId="3A7D135E">
      <w:pPr>
        <w:pStyle w:val="3"/>
        <w:rPr>
          <w:rFonts w:hint="eastAsia"/>
        </w:rPr>
      </w:pPr>
      <w:bookmarkStart w:id="564" w:name="_Toc16725"/>
      <w:r>
        <w:t>竣工验收管理</w:t>
      </w:r>
      <w:bookmarkEnd w:id="564"/>
    </w:p>
    <w:p w14:paraId="6B5CD9C2">
      <w:pPr>
        <w:pStyle w:val="97"/>
        <w:rPr>
          <w:rFonts w:hint="eastAsia"/>
        </w:rPr>
      </w:pPr>
      <w:r>
        <w:t>竣工验收管理及要求</w:t>
      </w:r>
    </w:p>
    <w:p w14:paraId="641AD4CC">
      <w:pPr>
        <w:spacing w:line="360" w:lineRule="auto"/>
        <w:ind w:firstLine="480" w:firstLineChars="200"/>
        <w:rPr>
          <w:rFonts w:hint="eastAsia"/>
        </w:rPr>
      </w:pPr>
      <w:r>
        <w:t>根据</w:t>
      </w:r>
      <w:r>
        <w:rPr>
          <w:bCs/>
        </w:rPr>
        <w:t>《建设项目竣工环境保护验收暂行办法》</w:t>
      </w:r>
      <w:r>
        <w:t>，建设项目竣工后，建设单位应当如实查验、监测、记载建设项目环境保护设施的建设和调试情况，编制验收监测（调查）报告。</w:t>
      </w:r>
    </w:p>
    <w:p w14:paraId="7462708C">
      <w:pPr>
        <w:spacing w:line="360" w:lineRule="auto"/>
        <w:ind w:firstLine="480" w:firstLineChars="200"/>
        <w:rPr>
          <w:rFonts w:hint="eastAsia"/>
        </w:rPr>
      </w:pPr>
      <w:r>
        <w:t>根据《建设项目竣工环境保护验收技术指南污染影响类》，验收监测工作分为启动、自查、编制监测方案、实施监测和核查、编制监测报告五个阶段。</w:t>
      </w:r>
    </w:p>
    <w:p w14:paraId="7F848DE9">
      <w:pPr>
        <w:spacing w:line="360" w:lineRule="auto"/>
        <w:ind w:firstLine="480" w:firstLineChars="200"/>
        <w:rPr>
          <w:rFonts w:hint="eastAsia"/>
        </w:rPr>
      </w:pPr>
      <w:r>
        <w:t>建设单位可采用以下程序开展验收工作：</w:t>
      </w:r>
    </w:p>
    <w:p w14:paraId="1B4528F2">
      <w:pPr>
        <w:spacing w:line="360" w:lineRule="auto"/>
        <w:ind w:firstLine="480" w:firstLineChars="200"/>
        <w:rPr>
          <w:rFonts w:hint="eastAsia"/>
        </w:rPr>
      </w:pPr>
      <w:r>
        <w:drawing>
          <wp:inline distT="0" distB="0" distL="0" distR="0">
            <wp:extent cx="4128135" cy="3336925"/>
            <wp:effectExtent l="0" t="0" r="0" b="0"/>
            <wp:docPr id="76002147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21475" name="图片 2" descr="图示&#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128135" cy="3336925"/>
                    </a:xfrm>
                    <a:prstGeom prst="rect">
                      <a:avLst/>
                    </a:prstGeom>
                    <a:noFill/>
                    <a:ln>
                      <a:noFill/>
                    </a:ln>
                  </pic:spPr>
                </pic:pic>
              </a:graphicData>
            </a:graphic>
          </wp:inline>
        </w:drawing>
      </w:r>
    </w:p>
    <w:p w14:paraId="474084C9">
      <w:pPr>
        <w:pStyle w:val="97"/>
        <w:rPr>
          <w:rFonts w:hint="eastAsia"/>
        </w:rPr>
      </w:pPr>
      <w:r>
        <w:rPr>
          <w:rFonts w:hint="eastAsia"/>
        </w:rPr>
        <w:t>竣工环境保护验收</w:t>
      </w:r>
    </w:p>
    <w:p w14:paraId="1132E7B1">
      <w:pPr>
        <w:spacing w:line="360" w:lineRule="auto"/>
        <w:ind w:firstLine="480" w:firstLineChars="200"/>
        <w:rPr>
          <w:rFonts w:hint="eastAsia"/>
        </w:rPr>
      </w:pPr>
      <w:r>
        <w:rPr>
          <w:rFonts w:hint="eastAsia"/>
        </w:rPr>
        <w:t>本项目</w:t>
      </w:r>
      <w:r>
        <w:t>验收监测工作推荐内容见</w:t>
      </w:r>
      <w:r>
        <w:rPr>
          <w:rStyle w:val="282"/>
        </w:rPr>
        <w:t>表1</w:t>
      </w:r>
      <w:r>
        <w:rPr>
          <w:rStyle w:val="282"/>
          <w:rFonts w:hint="eastAsia"/>
        </w:rPr>
        <w:t>0</w:t>
      </w:r>
      <w:r>
        <w:rPr>
          <w:rStyle w:val="282"/>
        </w:rPr>
        <w:t>.4.2-1。</w:t>
      </w:r>
    </w:p>
    <w:p w14:paraId="68EF2E84">
      <w:pPr>
        <w:spacing w:line="360" w:lineRule="auto"/>
        <w:rPr>
          <w:rFonts w:hint="eastAsia"/>
        </w:rPr>
        <w:sectPr>
          <w:pgSz w:w="11906" w:h="16838"/>
          <w:pgMar w:top="1440" w:right="1800" w:bottom="1440" w:left="1800" w:header="851" w:footer="850" w:gutter="0"/>
          <w:cols w:space="425" w:num="1"/>
          <w:docGrid w:type="lines" w:linePitch="326" w:charSpace="0"/>
        </w:sectPr>
      </w:pPr>
    </w:p>
    <w:p w14:paraId="3AD86727">
      <w:pPr>
        <w:pStyle w:val="535"/>
        <w:rPr>
          <w:rFonts w:hint="eastAsia"/>
          <w:color w:val="000000" w:themeColor="text1"/>
          <w14:textFill>
            <w14:solidFill>
              <w14:schemeClr w14:val="tx1"/>
            </w14:solidFill>
          </w14:textFill>
        </w:rPr>
      </w:pPr>
      <w:bookmarkStart w:id="565" w:name="_Hlk179671747"/>
      <w:r>
        <w:rPr>
          <w:color w:val="000000" w:themeColor="text1"/>
          <w14:textFill>
            <w14:solidFill>
              <w14:schemeClr w14:val="tx1"/>
            </w14:solidFill>
          </w14:textFill>
        </w:rPr>
        <w:t>表1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.4.2-1   环境保护竣工验收“三同时”一览表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700"/>
        <w:gridCol w:w="286"/>
        <w:gridCol w:w="2710"/>
        <w:gridCol w:w="2979"/>
        <w:gridCol w:w="2554"/>
        <w:gridCol w:w="2693"/>
        <w:gridCol w:w="1560"/>
      </w:tblGrid>
      <w:tr w14:paraId="74D7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Align w:val="center"/>
          </w:tcPr>
          <w:p w14:paraId="1AFA1DE9">
            <w:pPr>
              <w:pStyle w:val="557"/>
            </w:pPr>
          </w:p>
        </w:tc>
        <w:tc>
          <w:tcPr>
            <w:tcW w:w="1304" w:type="pct"/>
            <w:gridSpan w:val="3"/>
            <w:vAlign w:val="center"/>
          </w:tcPr>
          <w:p w14:paraId="085A25DA">
            <w:pPr>
              <w:pStyle w:val="557"/>
            </w:pPr>
            <w:r>
              <w:t>治理对象</w:t>
            </w:r>
          </w:p>
        </w:tc>
        <w:tc>
          <w:tcPr>
            <w:tcW w:w="1051" w:type="pct"/>
            <w:vAlign w:val="center"/>
          </w:tcPr>
          <w:p w14:paraId="056AC423">
            <w:pPr>
              <w:pStyle w:val="557"/>
            </w:pPr>
            <w:r>
              <w:t>环保措施</w:t>
            </w:r>
          </w:p>
        </w:tc>
        <w:tc>
          <w:tcPr>
            <w:tcW w:w="901" w:type="pct"/>
            <w:vAlign w:val="center"/>
          </w:tcPr>
          <w:p w14:paraId="6BF31F12">
            <w:pPr>
              <w:pStyle w:val="557"/>
            </w:pPr>
            <w:r>
              <w:t>验收标准</w:t>
            </w:r>
          </w:p>
        </w:tc>
        <w:tc>
          <w:tcPr>
            <w:tcW w:w="950" w:type="pct"/>
            <w:vAlign w:val="center"/>
          </w:tcPr>
          <w:p w14:paraId="68FBE3C2">
            <w:pPr>
              <w:pStyle w:val="557"/>
            </w:pPr>
            <w:r>
              <w:t>验收因子</w:t>
            </w:r>
          </w:p>
        </w:tc>
        <w:tc>
          <w:tcPr>
            <w:tcW w:w="550" w:type="pct"/>
            <w:vAlign w:val="center"/>
          </w:tcPr>
          <w:p w14:paraId="225D6AD0">
            <w:pPr>
              <w:pStyle w:val="557"/>
            </w:pPr>
            <w:r>
              <w:t>施工进度计划</w:t>
            </w:r>
          </w:p>
        </w:tc>
      </w:tr>
      <w:tr w14:paraId="6084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restart"/>
            <w:vAlign w:val="center"/>
          </w:tcPr>
          <w:p w14:paraId="056AB18B">
            <w:pPr>
              <w:pStyle w:val="557"/>
            </w:pPr>
            <w:r>
              <w:t>大气</w:t>
            </w:r>
          </w:p>
        </w:tc>
        <w:tc>
          <w:tcPr>
            <w:tcW w:w="348" w:type="pct"/>
            <w:gridSpan w:val="2"/>
            <w:vMerge w:val="restart"/>
            <w:vAlign w:val="center"/>
          </w:tcPr>
          <w:p w14:paraId="6929C888">
            <w:pPr>
              <w:pStyle w:val="557"/>
            </w:pPr>
            <w:r>
              <w:rPr>
                <w:rFonts w:hint="eastAsia"/>
              </w:rPr>
              <w:t>气化装置</w:t>
            </w:r>
          </w:p>
        </w:tc>
        <w:tc>
          <w:tcPr>
            <w:tcW w:w="956" w:type="pct"/>
            <w:vAlign w:val="center"/>
          </w:tcPr>
          <w:p w14:paraId="02FEFB9A">
            <w:pPr>
              <w:pStyle w:val="557"/>
            </w:pPr>
            <w:r>
              <w:rPr>
                <w:rFonts w:hint="eastAsia"/>
              </w:rPr>
              <w:t>原料煤仓废气</w:t>
            </w:r>
          </w:p>
        </w:tc>
        <w:tc>
          <w:tcPr>
            <w:tcW w:w="1051" w:type="pct"/>
            <w:vAlign w:val="center"/>
          </w:tcPr>
          <w:p w14:paraId="0B06EF88">
            <w:pPr>
              <w:pStyle w:val="557"/>
            </w:pPr>
            <w:r>
              <w:rPr>
                <w:rFonts w:hint="eastAsia"/>
              </w:rPr>
              <w:t>袋式除尘器</w:t>
            </w:r>
            <w:r>
              <w:t>+</w:t>
            </w:r>
            <w:r>
              <w:rPr>
                <w:rFonts w:hint="eastAsia"/>
              </w:rPr>
              <w:t>55</w:t>
            </w:r>
            <w:r>
              <w:t>m排气筒</w:t>
            </w:r>
          </w:p>
        </w:tc>
        <w:tc>
          <w:tcPr>
            <w:tcW w:w="901" w:type="pct"/>
            <w:vAlign w:val="center"/>
          </w:tcPr>
          <w:p w14:paraId="241FEACF">
            <w:pPr>
              <w:pStyle w:val="557"/>
            </w:pPr>
            <w:r>
              <w:t>《大气污染物综合排放标准》（GB16297-1996）表2</w:t>
            </w:r>
          </w:p>
        </w:tc>
        <w:tc>
          <w:tcPr>
            <w:tcW w:w="950" w:type="pct"/>
            <w:vAlign w:val="center"/>
          </w:tcPr>
          <w:p w14:paraId="777FCCB8">
            <w:pPr>
              <w:pStyle w:val="557"/>
            </w:pPr>
            <w:r>
              <w:rPr>
                <w:rFonts w:hint="eastAsia"/>
              </w:rPr>
              <w:t>颗粒物</w:t>
            </w:r>
          </w:p>
        </w:tc>
        <w:tc>
          <w:tcPr>
            <w:tcW w:w="550" w:type="pct"/>
            <w:vAlign w:val="center"/>
          </w:tcPr>
          <w:p w14:paraId="7CDDB560">
            <w:pPr>
              <w:pStyle w:val="557"/>
            </w:pPr>
            <w:r>
              <w:t>项目投产前</w:t>
            </w:r>
          </w:p>
        </w:tc>
      </w:tr>
      <w:tr w14:paraId="2E1B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6523D11">
            <w:pPr>
              <w:pStyle w:val="557"/>
            </w:pPr>
          </w:p>
        </w:tc>
        <w:tc>
          <w:tcPr>
            <w:tcW w:w="348" w:type="pct"/>
            <w:gridSpan w:val="2"/>
            <w:vMerge w:val="continue"/>
            <w:vAlign w:val="center"/>
          </w:tcPr>
          <w:p w14:paraId="5BFD94C8">
            <w:pPr>
              <w:pStyle w:val="557"/>
            </w:pPr>
          </w:p>
        </w:tc>
        <w:tc>
          <w:tcPr>
            <w:tcW w:w="956" w:type="pct"/>
            <w:vAlign w:val="center"/>
          </w:tcPr>
          <w:p w14:paraId="2A41B42B">
            <w:pPr>
              <w:pStyle w:val="557"/>
            </w:pPr>
            <w:r>
              <w:rPr>
                <w:rFonts w:hint="eastAsia"/>
              </w:rPr>
              <w:t>磨煤干燥废气</w:t>
            </w:r>
          </w:p>
        </w:tc>
        <w:tc>
          <w:tcPr>
            <w:tcW w:w="1051" w:type="pct"/>
            <w:vAlign w:val="center"/>
          </w:tcPr>
          <w:p w14:paraId="35A9A499">
            <w:pPr>
              <w:pStyle w:val="557"/>
            </w:pPr>
            <w:r>
              <w:rPr>
                <w:rFonts w:hint="eastAsia"/>
              </w:rPr>
              <w:t>低氮燃烧</w:t>
            </w:r>
            <w:r>
              <w:t>+</w:t>
            </w:r>
            <w:r>
              <w:rPr>
                <w:rFonts w:hint="eastAsia"/>
              </w:rPr>
              <w:t>布袋除尘器</w:t>
            </w:r>
            <w:r>
              <w:t>+95m排</w:t>
            </w:r>
            <w:r>
              <w:rPr>
                <w:rFonts w:hint="eastAsia"/>
              </w:rPr>
              <w:t>气筒</w:t>
            </w:r>
          </w:p>
        </w:tc>
        <w:tc>
          <w:tcPr>
            <w:tcW w:w="901" w:type="pct"/>
            <w:vAlign w:val="center"/>
          </w:tcPr>
          <w:p w14:paraId="481C464B">
            <w:pPr>
              <w:pStyle w:val="557"/>
            </w:pPr>
            <w:r>
              <w:rPr>
                <w:rFonts w:hint="eastAsia"/>
              </w:rPr>
              <w:t>《石油化学工业污染物排放标准》（GB31571-2015，含2024年修改单）</w:t>
            </w:r>
          </w:p>
        </w:tc>
        <w:tc>
          <w:tcPr>
            <w:tcW w:w="950" w:type="pct"/>
            <w:vAlign w:val="center"/>
          </w:tcPr>
          <w:p w14:paraId="7FC1745F">
            <w:pPr>
              <w:pStyle w:val="557"/>
            </w:pPr>
            <w:r>
              <w:t>颗粒物</w:t>
            </w:r>
            <w:r>
              <w:rPr>
                <w:rFonts w:hint="eastAsia"/>
              </w:rPr>
              <w:t>、氮氧化物</w:t>
            </w:r>
          </w:p>
        </w:tc>
        <w:tc>
          <w:tcPr>
            <w:tcW w:w="550" w:type="pct"/>
            <w:vAlign w:val="center"/>
          </w:tcPr>
          <w:p w14:paraId="3B9A6B81">
            <w:pPr>
              <w:pStyle w:val="557"/>
            </w:pPr>
            <w:r>
              <w:t>项目投产前</w:t>
            </w:r>
          </w:p>
        </w:tc>
      </w:tr>
      <w:tr w14:paraId="2609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E9907AF">
            <w:pPr>
              <w:pStyle w:val="557"/>
            </w:pPr>
          </w:p>
        </w:tc>
        <w:tc>
          <w:tcPr>
            <w:tcW w:w="348" w:type="pct"/>
            <w:gridSpan w:val="2"/>
            <w:vMerge w:val="continue"/>
            <w:vAlign w:val="center"/>
          </w:tcPr>
          <w:p w14:paraId="2FC89E44">
            <w:pPr>
              <w:pStyle w:val="557"/>
            </w:pPr>
          </w:p>
        </w:tc>
        <w:tc>
          <w:tcPr>
            <w:tcW w:w="956" w:type="pct"/>
            <w:vAlign w:val="center"/>
          </w:tcPr>
          <w:p w14:paraId="3E6C5A70">
            <w:pPr>
              <w:pStyle w:val="557"/>
            </w:pPr>
            <w:r>
              <w:rPr>
                <w:rFonts w:hint="eastAsia"/>
              </w:rPr>
              <w:t>粉煤锁斗排气</w:t>
            </w:r>
          </w:p>
        </w:tc>
        <w:tc>
          <w:tcPr>
            <w:tcW w:w="1051" w:type="pct"/>
            <w:vAlign w:val="center"/>
          </w:tcPr>
          <w:p w14:paraId="5DD65C51">
            <w:pPr>
              <w:pStyle w:val="557"/>
            </w:pPr>
            <w:r>
              <w:rPr>
                <w:rFonts w:hint="eastAsia"/>
              </w:rPr>
              <w:t>袋式除尘器</w:t>
            </w:r>
            <w:r>
              <w:t>+95m排气筒</w:t>
            </w:r>
          </w:p>
        </w:tc>
        <w:tc>
          <w:tcPr>
            <w:tcW w:w="901" w:type="pct"/>
            <w:vAlign w:val="center"/>
          </w:tcPr>
          <w:p w14:paraId="03A08345">
            <w:pPr>
              <w:pStyle w:val="557"/>
            </w:pPr>
            <w:r>
              <w:t>《大气污染物综合排放标准》（GB16297-1996）表2</w:t>
            </w:r>
          </w:p>
        </w:tc>
        <w:tc>
          <w:tcPr>
            <w:tcW w:w="950" w:type="pct"/>
            <w:vAlign w:val="center"/>
          </w:tcPr>
          <w:p w14:paraId="3FD89A80">
            <w:pPr>
              <w:pStyle w:val="557"/>
            </w:pPr>
            <w:r>
              <w:rPr>
                <w:rFonts w:hint="eastAsia"/>
              </w:rPr>
              <w:t>颗粒物</w:t>
            </w:r>
          </w:p>
        </w:tc>
        <w:tc>
          <w:tcPr>
            <w:tcW w:w="550" w:type="pct"/>
            <w:vAlign w:val="center"/>
          </w:tcPr>
          <w:p w14:paraId="73ABEF52">
            <w:pPr>
              <w:pStyle w:val="557"/>
            </w:pPr>
            <w:r>
              <w:t>项目投产前</w:t>
            </w:r>
          </w:p>
        </w:tc>
      </w:tr>
      <w:tr w14:paraId="53C7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7288854">
            <w:pPr>
              <w:pStyle w:val="557"/>
            </w:pPr>
          </w:p>
        </w:tc>
        <w:tc>
          <w:tcPr>
            <w:tcW w:w="348" w:type="pct"/>
            <w:gridSpan w:val="2"/>
            <w:vMerge w:val="continue"/>
            <w:vAlign w:val="center"/>
          </w:tcPr>
          <w:p w14:paraId="7902E95C">
            <w:pPr>
              <w:pStyle w:val="557"/>
            </w:pPr>
          </w:p>
        </w:tc>
        <w:tc>
          <w:tcPr>
            <w:tcW w:w="956" w:type="pct"/>
            <w:vAlign w:val="center"/>
          </w:tcPr>
          <w:p w14:paraId="7FBF6F5F">
            <w:pPr>
              <w:pStyle w:val="557"/>
            </w:pPr>
            <w:r>
              <w:rPr>
                <w:rFonts w:hint="eastAsia"/>
              </w:rPr>
              <w:t>真空泵排气</w:t>
            </w:r>
          </w:p>
        </w:tc>
        <w:tc>
          <w:tcPr>
            <w:tcW w:w="1051" w:type="pct"/>
            <w:vAlign w:val="center"/>
          </w:tcPr>
          <w:p w14:paraId="6E208093">
            <w:pPr>
              <w:pStyle w:val="557"/>
            </w:pPr>
            <w:r>
              <w:rPr>
                <w:rFonts w:hint="eastAsia"/>
              </w:rPr>
              <w:t>28</w:t>
            </w:r>
            <w:r>
              <w:t>m排气筒</w:t>
            </w:r>
          </w:p>
        </w:tc>
        <w:tc>
          <w:tcPr>
            <w:tcW w:w="901" w:type="pct"/>
            <w:vAlign w:val="center"/>
          </w:tcPr>
          <w:p w14:paraId="6FF18B59">
            <w:pPr>
              <w:pStyle w:val="557"/>
            </w:pPr>
            <w:r>
              <w:rPr>
                <w:rFonts w:hint="eastAsia"/>
                <w:szCs w:val="22"/>
              </w:rPr>
              <w:t>《</w:t>
            </w:r>
            <w:r>
              <w:t>恶臭污染物排放标准》（GB14554-93）</w:t>
            </w:r>
          </w:p>
        </w:tc>
        <w:tc>
          <w:tcPr>
            <w:tcW w:w="950" w:type="pct"/>
            <w:vAlign w:val="center"/>
          </w:tcPr>
          <w:p w14:paraId="207BD097">
            <w:pPr>
              <w:pStyle w:val="557"/>
            </w:pPr>
            <w:r>
              <w:t>H</w:t>
            </w:r>
            <w:r>
              <w:rPr>
                <w:vertAlign w:val="subscript"/>
              </w:rPr>
              <w:t>2</w:t>
            </w:r>
            <w:r>
              <w:t>S</w:t>
            </w:r>
            <w:r>
              <w:rPr>
                <w:rFonts w:hint="eastAsia"/>
              </w:rPr>
              <w:t>、</w:t>
            </w:r>
            <w:r>
              <w:t>NH</w:t>
            </w:r>
            <w:r>
              <w:rPr>
                <w:vertAlign w:val="subscript"/>
              </w:rPr>
              <w:t>3</w:t>
            </w:r>
          </w:p>
        </w:tc>
        <w:tc>
          <w:tcPr>
            <w:tcW w:w="550" w:type="pct"/>
            <w:vAlign w:val="center"/>
          </w:tcPr>
          <w:p w14:paraId="48FE030D">
            <w:pPr>
              <w:pStyle w:val="557"/>
            </w:pPr>
            <w:r>
              <w:t>项目投产前</w:t>
            </w:r>
          </w:p>
        </w:tc>
      </w:tr>
      <w:tr w14:paraId="6A37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37F02BC9">
            <w:pPr>
              <w:pStyle w:val="557"/>
            </w:pPr>
          </w:p>
        </w:tc>
        <w:tc>
          <w:tcPr>
            <w:tcW w:w="348" w:type="pct"/>
            <w:gridSpan w:val="2"/>
            <w:vMerge w:val="restart"/>
            <w:vAlign w:val="center"/>
          </w:tcPr>
          <w:p w14:paraId="13CC8C66">
            <w:pPr>
              <w:pStyle w:val="557"/>
            </w:pPr>
            <w:r>
              <w:rPr>
                <w:rFonts w:hint="eastAsia"/>
              </w:rPr>
              <w:t>净化及</w:t>
            </w:r>
          </w:p>
          <w:p w14:paraId="2932D862">
            <w:pPr>
              <w:pStyle w:val="557"/>
            </w:pPr>
            <w:r>
              <w:rPr>
                <w:rFonts w:hint="eastAsia"/>
              </w:rPr>
              <w:t>分离装置</w:t>
            </w:r>
          </w:p>
        </w:tc>
        <w:tc>
          <w:tcPr>
            <w:tcW w:w="956" w:type="pct"/>
            <w:vMerge w:val="restart"/>
            <w:vAlign w:val="center"/>
          </w:tcPr>
          <w:p w14:paraId="1EA3EB57">
            <w:pPr>
              <w:pStyle w:val="557"/>
            </w:pPr>
            <w:r>
              <w:rPr>
                <w:rFonts w:hint="eastAsia"/>
              </w:rPr>
              <w:t>低温甲醇洗尾气</w:t>
            </w:r>
          </w:p>
        </w:tc>
        <w:tc>
          <w:tcPr>
            <w:tcW w:w="1051" w:type="pct"/>
            <w:vMerge w:val="restart"/>
            <w:vAlign w:val="center"/>
          </w:tcPr>
          <w:p w14:paraId="118823E0">
            <w:pPr>
              <w:pStyle w:val="557"/>
            </w:pPr>
            <w:r>
              <w:rPr>
                <w:rFonts w:hint="eastAsia"/>
              </w:rPr>
              <w:t>水洗净化+95</w:t>
            </w:r>
            <w:r>
              <w:t>m排</w:t>
            </w:r>
            <w:r>
              <w:rPr>
                <w:rFonts w:hint="eastAsia"/>
              </w:rPr>
              <w:t>气筒</w:t>
            </w:r>
          </w:p>
        </w:tc>
        <w:tc>
          <w:tcPr>
            <w:tcW w:w="901" w:type="pct"/>
            <w:vAlign w:val="center"/>
          </w:tcPr>
          <w:p w14:paraId="2ED515DA">
            <w:pPr>
              <w:pStyle w:val="557"/>
            </w:pPr>
            <w:r>
              <w:rPr>
                <w:rFonts w:hint="eastAsia"/>
                <w:szCs w:val="22"/>
              </w:rPr>
              <w:t>《</w:t>
            </w:r>
            <w:r>
              <w:t>恶臭污染物排放标准》（GB14554-93）</w:t>
            </w:r>
          </w:p>
        </w:tc>
        <w:tc>
          <w:tcPr>
            <w:tcW w:w="950" w:type="pct"/>
            <w:vAlign w:val="center"/>
          </w:tcPr>
          <w:p w14:paraId="3FB41EFE">
            <w:pPr>
              <w:pStyle w:val="557"/>
            </w:pPr>
            <w:r>
              <w:t>H</w:t>
            </w:r>
            <w:r>
              <w:rPr>
                <w:vertAlign w:val="subscript"/>
              </w:rPr>
              <w:t>2</w:t>
            </w:r>
            <w:r>
              <w:t>S</w:t>
            </w:r>
          </w:p>
        </w:tc>
        <w:tc>
          <w:tcPr>
            <w:tcW w:w="550" w:type="pct"/>
            <w:vAlign w:val="center"/>
          </w:tcPr>
          <w:p w14:paraId="7C15C518">
            <w:pPr>
              <w:pStyle w:val="557"/>
            </w:pPr>
            <w:r>
              <w:t>项目投产前</w:t>
            </w:r>
          </w:p>
        </w:tc>
      </w:tr>
      <w:tr w14:paraId="682E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1CE8ECA">
            <w:pPr>
              <w:pStyle w:val="557"/>
            </w:pPr>
          </w:p>
        </w:tc>
        <w:tc>
          <w:tcPr>
            <w:tcW w:w="348" w:type="pct"/>
            <w:gridSpan w:val="2"/>
            <w:vMerge w:val="continue"/>
            <w:vAlign w:val="center"/>
          </w:tcPr>
          <w:p w14:paraId="4C48C63B">
            <w:pPr>
              <w:pStyle w:val="557"/>
            </w:pPr>
          </w:p>
        </w:tc>
        <w:tc>
          <w:tcPr>
            <w:tcW w:w="956" w:type="pct"/>
            <w:vMerge w:val="continue"/>
            <w:vAlign w:val="center"/>
          </w:tcPr>
          <w:p w14:paraId="1EE9A006">
            <w:pPr>
              <w:pStyle w:val="557"/>
            </w:pPr>
          </w:p>
        </w:tc>
        <w:tc>
          <w:tcPr>
            <w:tcW w:w="1051" w:type="pct"/>
            <w:vMerge w:val="continue"/>
            <w:vAlign w:val="center"/>
          </w:tcPr>
          <w:p w14:paraId="03ACD0D0">
            <w:pPr>
              <w:pStyle w:val="557"/>
            </w:pPr>
          </w:p>
        </w:tc>
        <w:tc>
          <w:tcPr>
            <w:tcW w:w="901" w:type="pct"/>
            <w:vAlign w:val="center"/>
          </w:tcPr>
          <w:p w14:paraId="17D36BBF">
            <w:pPr>
              <w:pStyle w:val="557"/>
            </w:pPr>
            <w:r>
              <w:t>《石油化学工业污染物排放标准》（GB31571-2015</w:t>
            </w:r>
            <w:r>
              <w:rPr>
                <w:rFonts w:hint="eastAsia"/>
              </w:rPr>
              <w:t>，含2024年修改单）</w:t>
            </w:r>
          </w:p>
        </w:tc>
        <w:tc>
          <w:tcPr>
            <w:tcW w:w="950" w:type="pct"/>
            <w:vAlign w:val="center"/>
          </w:tcPr>
          <w:p w14:paraId="24D929FF">
            <w:pPr>
              <w:pStyle w:val="557"/>
            </w:pPr>
            <w:r>
              <w:t>CH</w:t>
            </w:r>
            <w:r>
              <w:rPr>
                <w:vertAlign w:val="subscript"/>
              </w:rPr>
              <w:t>3</w:t>
            </w:r>
            <w:r>
              <w:t>OH</w:t>
            </w:r>
          </w:p>
        </w:tc>
        <w:tc>
          <w:tcPr>
            <w:tcW w:w="550" w:type="pct"/>
            <w:vAlign w:val="center"/>
          </w:tcPr>
          <w:p w14:paraId="3A2CEA89">
            <w:pPr>
              <w:pStyle w:val="557"/>
            </w:pPr>
            <w:r>
              <w:t>项目投产前</w:t>
            </w:r>
          </w:p>
        </w:tc>
      </w:tr>
      <w:tr w14:paraId="263B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839F7A0">
            <w:pPr>
              <w:pStyle w:val="557"/>
            </w:pPr>
          </w:p>
        </w:tc>
        <w:tc>
          <w:tcPr>
            <w:tcW w:w="348" w:type="pct"/>
            <w:gridSpan w:val="2"/>
            <w:vMerge w:val="continue"/>
            <w:vAlign w:val="center"/>
          </w:tcPr>
          <w:p w14:paraId="42DD9961">
            <w:pPr>
              <w:pStyle w:val="557"/>
            </w:pPr>
          </w:p>
        </w:tc>
        <w:tc>
          <w:tcPr>
            <w:tcW w:w="956" w:type="pct"/>
            <w:vAlign w:val="center"/>
          </w:tcPr>
          <w:p w14:paraId="4A51F96D">
            <w:pPr>
              <w:pStyle w:val="557"/>
            </w:pPr>
            <w:r>
              <w:rPr>
                <w:rFonts w:hint="eastAsia"/>
              </w:rPr>
              <w:t>硫回收制酸尾气</w:t>
            </w:r>
          </w:p>
        </w:tc>
        <w:tc>
          <w:tcPr>
            <w:tcW w:w="1051" w:type="pct"/>
            <w:vAlign w:val="center"/>
          </w:tcPr>
          <w:p w14:paraId="45DAA69C">
            <w:pPr>
              <w:pStyle w:val="557"/>
            </w:pPr>
            <w:r>
              <w:rPr>
                <w:rFonts w:eastAsia="等线"/>
              </w:rPr>
              <w:t>SCR+</w:t>
            </w:r>
            <w:r>
              <w:rPr>
                <w:rFonts w:hint="eastAsia"/>
              </w:rPr>
              <w:t>酸雾捕集器</w:t>
            </w:r>
            <w:r>
              <w:rPr>
                <w:rFonts w:eastAsia="等线"/>
              </w:rPr>
              <w:t>+</w:t>
            </w:r>
            <w:r>
              <w:rPr>
                <w:rFonts w:hint="eastAsia"/>
              </w:rPr>
              <w:t>水洗</w:t>
            </w:r>
            <w:r>
              <w:rPr>
                <w:rFonts w:eastAsia="等线"/>
              </w:rPr>
              <w:t>+</w:t>
            </w:r>
            <w:r>
              <w:rPr>
                <w:rFonts w:hint="eastAsia"/>
              </w:rPr>
              <w:t>氨洗+46</w:t>
            </w:r>
            <w:r>
              <w:t>m排</w:t>
            </w:r>
            <w:r>
              <w:rPr>
                <w:rFonts w:hint="eastAsia"/>
              </w:rPr>
              <w:t>气筒</w:t>
            </w:r>
          </w:p>
        </w:tc>
        <w:tc>
          <w:tcPr>
            <w:tcW w:w="901" w:type="pct"/>
            <w:vAlign w:val="center"/>
          </w:tcPr>
          <w:p w14:paraId="70368A9B">
            <w:pPr>
              <w:pStyle w:val="557"/>
            </w:pPr>
            <w:r>
              <w:rPr>
                <w:rFonts w:hint="eastAsia"/>
              </w:rPr>
              <w:t>《石油炼制工业污染物排放标准》（GB31570-2015，含2024年修改单）</w:t>
            </w:r>
          </w:p>
        </w:tc>
        <w:tc>
          <w:tcPr>
            <w:tcW w:w="950" w:type="pct"/>
            <w:vAlign w:val="center"/>
          </w:tcPr>
          <w:p w14:paraId="777057A3">
            <w:pPr>
              <w:pStyle w:val="557"/>
            </w:pPr>
            <w:r>
              <w:rPr>
                <w:rFonts w:hint="eastAsia"/>
              </w:rPr>
              <w:t>氮氧化物、二氧化硫、硫酸雾</w:t>
            </w:r>
          </w:p>
        </w:tc>
        <w:tc>
          <w:tcPr>
            <w:tcW w:w="550" w:type="pct"/>
            <w:vAlign w:val="center"/>
          </w:tcPr>
          <w:p w14:paraId="2BDF07D2">
            <w:pPr>
              <w:pStyle w:val="557"/>
            </w:pPr>
            <w:r>
              <w:t>项目投产前</w:t>
            </w:r>
          </w:p>
        </w:tc>
      </w:tr>
      <w:tr w14:paraId="7D7C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DCDB8A1">
            <w:pPr>
              <w:pStyle w:val="557"/>
            </w:pPr>
          </w:p>
        </w:tc>
        <w:tc>
          <w:tcPr>
            <w:tcW w:w="348" w:type="pct"/>
            <w:gridSpan w:val="2"/>
            <w:vMerge w:val="restart"/>
            <w:vAlign w:val="center"/>
          </w:tcPr>
          <w:p w14:paraId="3830E5F6">
            <w:pPr>
              <w:pStyle w:val="557"/>
            </w:pPr>
            <w:r>
              <w:rPr>
                <w:rFonts w:hint="eastAsia"/>
              </w:rPr>
              <w:t>草酰胺</w:t>
            </w:r>
          </w:p>
          <w:p w14:paraId="46F2D04E">
            <w:pPr>
              <w:pStyle w:val="557"/>
            </w:pPr>
            <w:r>
              <w:rPr>
                <w:rFonts w:hint="eastAsia"/>
              </w:rPr>
              <w:t>装置</w:t>
            </w:r>
          </w:p>
        </w:tc>
        <w:tc>
          <w:tcPr>
            <w:tcW w:w="956" w:type="pct"/>
            <w:vMerge w:val="restart"/>
            <w:vAlign w:val="center"/>
          </w:tcPr>
          <w:p w14:paraId="6C2E142E">
            <w:pPr>
              <w:pStyle w:val="557"/>
            </w:pPr>
            <w:r>
              <w:rPr>
                <w:rFonts w:hint="eastAsia"/>
              </w:rPr>
              <w:t>草酰胺装置尾气吸收塔顶排气</w:t>
            </w:r>
          </w:p>
        </w:tc>
        <w:tc>
          <w:tcPr>
            <w:tcW w:w="1051" w:type="pct"/>
            <w:vMerge w:val="restart"/>
            <w:vAlign w:val="center"/>
          </w:tcPr>
          <w:p w14:paraId="3EC90C5E">
            <w:pPr>
              <w:pStyle w:val="557"/>
            </w:pPr>
            <w:r>
              <w:rPr>
                <w:rFonts w:hint="eastAsia"/>
              </w:rPr>
              <w:t>水洗塔+25m排气筒</w:t>
            </w:r>
          </w:p>
        </w:tc>
        <w:tc>
          <w:tcPr>
            <w:tcW w:w="901" w:type="pct"/>
            <w:vAlign w:val="center"/>
          </w:tcPr>
          <w:p w14:paraId="41EC3C1A">
            <w:pPr>
              <w:pStyle w:val="557"/>
            </w:pPr>
            <w:r>
              <w:t>《石油化学工业污染物排放标准》（GB31571-2015</w:t>
            </w:r>
            <w:r>
              <w:rPr>
                <w:rFonts w:hint="eastAsia"/>
              </w:rPr>
              <w:t>，含2024年修改单）</w:t>
            </w:r>
          </w:p>
        </w:tc>
        <w:tc>
          <w:tcPr>
            <w:tcW w:w="950" w:type="pct"/>
            <w:vAlign w:val="center"/>
          </w:tcPr>
          <w:p w14:paraId="1ECA9600">
            <w:pPr>
              <w:pStyle w:val="557"/>
            </w:pPr>
            <w:r>
              <w:t>CH</w:t>
            </w:r>
            <w:r>
              <w:rPr>
                <w:vertAlign w:val="subscript"/>
              </w:rPr>
              <w:t>3</w:t>
            </w:r>
            <w:r>
              <w:t>OH</w:t>
            </w:r>
          </w:p>
        </w:tc>
        <w:tc>
          <w:tcPr>
            <w:tcW w:w="550" w:type="pct"/>
            <w:vAlign w:val="center"/>
          </w:tcPr>
          <w:p w14:paraId="5CE94EB2">
            <w:pPr>
              <w:pStyle w:val="557"/>
            </w:pPr>
            <w:r>
              <w:t>项目投产前</w:t>
            </w:r>
          </w:p>
        </w:tc>
      </w:tr>
      <w:tr w14:paraId="0308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3DBEC906">
            <w:pPr>
              <w:pStyle w:val="557"/>
            </w:pPr>
          </w:p>
        </w:tc>
        <w:tc>
          <w:tcPr>
            <w:tcW w:w="348" w:type="pct"/>
            <w:gridSpan w:val="2"/>
            <w:vMerge w:val="continue"/>
            <w:vAlign w:val="center"/>
          </w:tcPr>
          <w:p w14:paraId="5B32B223">
            <w:pPr>
              <w:pStyle w:val="557"/>
            </w:pPr>
          </w:p>
        </w:tc>
        <w:tc>
          <w:tcPr>
            <w:tcW w:w="956" w:type="pct"/>
            <w:vMerge w:val="continue"/>
            <w:vAlign w:val="center"/>
          </w:tcPr>
          <w:p w14:paraId="42E8C314">
            <w:pPr>
              <w:pStyle w:val="557"/>
            </w:pPr>
          </w:p>
        </w:tc>
        <w:tc>
          <w:tcPr>
            <w:tcW w:w="1051" w:type="pct"/>
            <w:vMerge w:val="continue"/>
            <w:vAlign w:val="center"/>
          </w:tcPr>
          <w:p w14:paraId="7690B259">
            <w:pPr>
              <w:pStyle w:val="557"/>
            </w:pPr>
          </w:p>
        </w:tc>
        <w:tc>
          <w:tcPr>
            <w:tcW w:w="901" w:type="pct"/>
            <w:vAlign w:val="center"/>
          </w:tcPr>
          <w:p w14:paraId="2817099A">
            <w:pPr>
              <w:pStyle w:val="557"/>
              <w:rPr>
                <w:szCs w:val="22"/>
                <w:highlight w:val="yellow"/>
              </w:rPr>
            </w:pPr>
            <w:r>
              <w:rPr>
                <w:rFonts w:hint="eastAsia"/>
                <w:szCs w:val="22"/>
              </w:rPr>
              <w:t>《</w:t>
            </w:r>
            <w:r>
              <w:t>恶臭污染物排放标准》（GB14554-93）</w:t>
            </w:r>
          </w:p>
        </w:tc>
        <w:tc>
          <w:tcPr>
            <w:tcW w:w="950" w:type="pct"/>
            <w:vAlign w:val="center"/>
          </w:tcPr>
          <w:p w14:paraId="16D829CC">
            <w:pPr>
              <w:pStyle w:val="557"/>
              <w:rPr>
                <w:highlight w:val="yellow"/>
              </w:rPr>
            </w:pPr>
            <w:r>
              <w:t>NH</w:t>
            </w:r>
            <w:r>
              <w:rPr>
                <w:vertAlign w:val="subscript"/>
              </w:rPr>
              <w:t>3</w:t>
            </w:r>
          </w:p>
        </w:tc>
        <w:tc>
          <w:tcPr>
            <w:tcW w:w="550" w:type="pct"/>
            <w:vAlign w:val="center"/>
          </w:tcPr>
          <w:p w14:paraId="7DC82A35">
            <w:pPr>
              <w:pStyle w:val="557"/>
              <w:rPr>
                <w:highlight w:val="yellow"/>
              </w:rPr>
            </w:pPr>
            <w:r>
              <w:t>项目投产前</w:t>
            </w:r>
          </w:p>
        </w:tc>
      </w:tr>
      <w:tr w14:paraId="3E29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BF8A944">
            <w:pPr>
              <w:pStyle w:val="557"/>
            </w:pPr>
          </w:p>
        </w:tc>
        <w:tc>
          <w:tcPr>
            <w:tcW w:w="348" w:type="pct"/>
            <w:gridSpan w:val="2"/>
            <w:vMerge w:val="restart"/>
            <w:vAlign w:val="center"/>
          </w:tcPr>
          <w:p w14:paraId="3D828F64">
            <w:pPr>
              <w:pStyle w:val="557"/>
            </w:pPr>
            <w:r>
              <w:rPr>
                <w:rFonts w:hint="eastAsia"/>
              </w:rPr>
              <w:t>有机缓释肥装置</w:t>
            </w:r>
          </w:p>
        </w:tc>
        <w:tc>
          <w:tcPr>
            <w:tcW w:w="956" w:type="pct"/>
            <w:vAlign w:val="center"/>
          </w:tcPr>
          <w:p w14:paraId="54C3B948">
            <w:pPr>
              <w:pStyle w:val="557"/>
            </w:pPr>
            <w:r>
              <w:rPr>
                <w:rFonts w:hint="eastAsia"/>
              </w:rPr>
              <w:t>1#投料废气</w:t>
            </w:r>
          </w:p>
        </w:tc>
        <w:tc>
          <w:tcPr>
            <w:tcW w:w="1051" w:type="pct"/>
            <w:vAlign w:val="center"/>
          </w:tcPr>
          <w:p w14:paraId="73A7E3B5">
            <w:pPr>
              <w:pStyle w:val="557"/>
            </w:pPr>
            <w:r>
              <w:rPr>
                <w:rFonts w:hint="eastAsia"/>
              </w:rPr>
              <w:t>布袋除尘器+15</w:t>
            </w:r>
            <w:r>
              <w:t>m排</w:t>
            </w:r>
            <w:r>
              <w:rPr>
                <w:rFonts w:hint="eastAsia"/>
              </w:rPr>
              <w:t>气筒</w:t>
            </w:r>
          </w:p>
        </w:tc>
        <w:tc>
          <w:tcPr>
            <w:tcW w:w="901" w:type="pct"/>
            <w:vAlign w:val="center"/>
          </w:tcPr>
          <w:p w14:paraId="0AD78DD2">
            <w:pPr>
              <w:pStyle w:val="557"/>
            </w:pPr>
            <w:r>
              <w:rPr>
                <w:rFonts w:hint="eastAsia"/>
              </w:rPr>
              <w:t>《大气污染物综合排放标准》（GB16297-1996）</w:t>
            </w:r>
          </w:p>
        </w:tc>
        <w:tc>
          <w:tcPr>
            <w:tcW w:w="950" w:type="pct"/>
            <w:vAlign w:val="center"/>
          </w:tcPr>
          <w:p w14:paraId="0A685688">
            <w:pPr>
              <w:pStyle w:val="557"/>
            </w:pPr>
            <w:r>
              <w:rPr>
                <w:rFonts w:hint="eastAsia"/>
              </w:rPr>
              <w:t>颗粒物</w:t>
            </w:r>
          </w:p>
        </w:tc>
        <w:tc>
          <w:tcPr>
            <w:tcW w:w="550" w:type="pct"/>
            <w:vAlign w:val="center"/>
          </w:tcPr>
          <w:p w14:paraId="5FCC5D72">
            <w:pPr>
              <w:pStyle w:val="557"/>
            </w:pPr>
            <w:r>
              <w:t>项目投产前</w:t>
            </w:r>
          </w:p>
        </w:tc>
      </w:tr>
      <w:tr w14:paraId="1161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3D8CCE7">
            <w:pPr>
              <w:pStyle w:val="557"/>
            </w:pPr>
          </w:p>
        </w:tc>
        <w:tc>
          <w:tcPr>
            <w:tcW w:w="348" w:type="pct"/>
            <w:gridSpan w:val="2"/>
            <w:vMerge w:val="continue"/>
            <w:vAlign w:val="center"/>
          </w:tcPr>
          <w:p w14:paraId="0F39969C">
            <w:pPr>
              <w:pStyle w:val="557"/>
            </w:pPr>
          </w:p>
        </w:tc>
        <w:tc>
          <w:tcPr>
            <w:tcW w:w="956" w:type="pct"/>
            <w:vAlign w:val="center"/>
          </w:tcPr>
          <w:p w14:paraId="2F53863C">
            <w:pPr>
              <w:pStyle w:val="557"/>
            </w:pPr>
            <w:r>
              <w:rPr>
                <w:rFonts w:hint="eastAsia"/>
              </w:rPr>
              <w:t>2#投料废气</w:t>
            </w:r>
          </w:p>
        </w:tc>
        <w:tc>
          <w:tcPr>
            <w:tcW w:w="1051" w:type="pct"/>
            <w:vAlign w:val="center"/>
          </w:tcPr>
          <w:p w14:paraId="3251820A">
            <w:pPr>
              <w:pStyle w:val="557"/>
            </w:pPr>
            <w:r>
              <w:rPr>
                <w:rFonts w:hint="eastAsia"/>
              </w:rPr>
              <w:t>布袋除尘器+15</w:t>
            </w:r>
            <w:r>
              <w:t>m排</w:t>
            </w:r>
            <w:r>
              <w:rPr>
                <w:rFonts w:hint="eastAsia"/>
              </w:rPr>
              <w:t>气筒</w:t>
            </w:r>
          </w:p>
        </w:tc>
        <w:tc>
          <w:tcPr>
            <w:tcW w:w="901" w:type="pct"/>
            <w:vAlign w:val="center"/>
          </w:tcPr>
          <w:p w14:paraId="7BF69617">
            <w:pPr>
              <w:pStyle w:val="557"/>
            </w:pPr>
            <w:r>
              <w:rPr>
                <w:rFonts w:hint="eastAsia"/>
              </w:rPr>
              <w:t>《大气污染物综合排放标准》（GB16297-1996）</w:t>
            </w:r>
          </w:p>
        </w:tc>
        <w:tc>
          <w:tcPr>
            <w:tcW w:w="950" w:type="pct"/>
            <w:vAlign w:val="center"/>
          </w:tcPr>
          <w:p w14:paraId="3DE8F61A">
            <w:pPr>
              <w:pStyle w:val="557"/>
            </w:pPr>
            <w:r>
              <w:rPr>
                <w:rFonts w:hint="eastAsia"/>
              </w:rPr>
              <w:t>颗粒物</w:t>
            </w:r>
          </w:p>
        </w:tc>
        <w:tc>
          <w:tcPr>
            <w:tcW w:w="550" w:type="pct"/>
            <w:vAlign w:val="center"/>
          </w:tcPr>
          <w:p w14:paraId="2D362621">
            <w:pPr>
              <w:pStyle w:val="557"/>
            </w:pPr>
            <w:r>
              <w:t>项目投产前</w:t>
            </w:r>
          </w:p>
        </w:tc>
      </w:tr>
      <w:tr w14:paraId="2292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3DC3F49">
            <w:pPr>
              <w:pStyle w:val="557"/>
            </w:pPr>
          </w:p>
        </w:tc>
        <w:tc>
          <w:tcPr>
            <w:tcW w:w="348" w:type="pct"/>
            <w:gridSpan w:val="2"/>
            <w:vMerge w:val="continue"/>
            <w:vAlign w:val="center"/>
          </w:tcPr>
          <w:p w14:paraId="1374CDF5">
            <w:pPr>
              <w:pStyle w:val="557"/>
            </w:pPr>
          </w:p>
        </w:tc>
        <w:tc>
          <w:tcPr>
            <w:tcW w:w="956" w:type="pct"/>
            <w:vMerge w:val="restart"/>
            <w:vAlign w:val="center"/>
          </w:tcPr>
          <w:p w14:paraId="030DDBD7">
            <w:pPr>
              <w:pStyle w:val="557"/>
            </w:pPr>
            <w:r>
              <w:rPr>
                <w:rFonts w:hint="eastAsia"/>
              </w:rPr>
              <w:t>1#造粒废气、1#包装废气、1#烘干废气</w:t>
            </w:r>
          </w:p>
        </w:tc>
        <w:tc>
          <w:tcPr>
            <w:tcW w:w="1051" w:type="pct"/>
            <w:vMerge w:val="restart"/>
            <w:vAlign w:val="center"/>
          </w:tcPr>
          <w:p w14:paraId="45B7848C">
            <w:pPr>
              <w:pStyle w:val="557"/>
            </w:pPr>
            <w:r>
              <w:rPr>
                <w:rFonts w:hint="eastAsia"/>
              </w:rPr>
              <w:t>文丘里洗涤塔+酸洗+水洗+40m排气筒</w:t>
            </w:r>
          </w:p>
        </w:tc>
        <w:tc>
          <w:tcPr>
            <w:tcW w:w="901" w:type="pct"/>
            <w:vAlign w:val="center"/>
          </w:tcPr>
          <w:p w14:paraId="2C64C69B">
            <w:pPr>
              <w:pStyle w:val="557"/>
            </w:pPr>
            <w:r>
              <w:rPr>
                <w:rFonts w:hint="eastAsia"/>
              </w:rPr>
              <w:t>《大气污染物综合排放标准》（GB16297-1996）</w:t>
            </w:r>
          </w:p>
        </w:tc>
        <w:tc>
          <w:tcPr>
            <w:tcW w:w="950" w:type="pct"/>
            <w:vAlign w:val="center"/>
          </w:tcPr>
          <w:p w14:paraId="3123E753">
            <w:pPr>
              <w:pStyle w:val="557"/>
            </w:pPr>
            <w:r>
              <w:rPr>
                <w:rFonts w:hint="eastAsia"/>
              </w:rPr>
              <w:t>颗粒物</w:t>
            </w:r>
          </w:p>
        </w:tc>
        <w:tc>
          <w:tcPr>
            <w:tcW w:w="550" w:type="pct"/>
            <w:vAlign w:val="center"/>
          </w:tcPr>
          <w:p w14:paraId="496E2BC6">
            <w:pPr>
              <w:pStyle w:val="557"/>
            </w:pPr>
            <w:r>
              <w:t>项目投产前</w:t>
            </w:r>
          </w:p>
        </w:tc>
      </w:tr>
      <w:tr w14:paraId="52ED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E28CDC0">
            <w:pPr>
              <w:pStyle w:val="557"/>
            </w:pPr>
          </w:p>
        </w:tc>
        <w:tc>
          <w:tcPr>
            <w:tcW w:w="348" w:type="pct"/>
            <w:gridSpan w:val="2"/>
            <w:vMerge w:val="continue"/>
            <w:vAlign w:val="center"/>
          </w:tcPr>
          <w:p w14:paraId="5E6A2B9F">
            <w:pPr>
              <w:pStyle w:val="557"/>
            </w:pPr>
          </w:p>
        </w:tc>
        <w:tc>
          <w:tcPr>
            <w:tcW w:w="956" w:type="pct"/>
            <w:vMerge w:val="continue"/>
            <w:vAlign w:val="center"/>
          </w:tcPr>
          <w:p w14:paraId="2A1849AE">
            <w:pPr>
              <w:pStyle w:val="557"/>
            </w:pPr>
          </w:p>
        </w:tc>
        <w:tc>
          <w:tcPr>
            <w:tcW w:w="1051" w:type="pct"/>
            <w:vMerge w:val="continue"/>
            <w:vAlign w:val="center"/>
          </w:tcPr>
          <w:p w14:paraId="00CF66AA">
            <w:pPr>
              <w:pStyle w:val="557"/>
            </w:pPr>
          </w:p>
        </w:tc>
        <w:tc>
          <w:tcPr>
            <w:tcW w:w="901" w:type="pct"/>
            <w:vAlign w:val="center"/>
          </w:tcPr>
          <w:p w14:paraId="2FA2420E">
            <w:pPr>
              <w:pStyle w:val="557"/>
            </w:pPr>
            <w:r>
              <w:rPr>
                <w:rFonts w:hint="eastAsia"/>
                <w:szCs w:val="22"/>
              </w:rPr>
              <w:t>《</w:t>
            </w:r>
            <w:r>
              <w:t>恶臭污染物排放标准》（GB14554-93）</w:t>
            </w:r>
          </w:p>
        </w:tc>
        <w:tc>
          <w:tcPr>
            <w:tcW w:w="950" w:type="pct"/>
            <w:vAlign w:val="center"/>
          </w:tcPr>
          <w:p w14:paraId="7ECCD2B3">
            <w:pPr>
              <w:pStyle w:val="557"/>
            </w:pPr>
            <w:r>
              <w:t>NH</w:t>
            </w:r>
            <w:r>
              <w:rPr>
                <w:vertAlign w:val="subscript"/>
              </w:rPr>
              <w:t>3</w:t>
            </w:r>
          </w:p>
        </w:tc>
        <w:tc>
          <w:tcPr>
            <w:tcW w:w="550" w:type="pct"/>
            <w:vAlign w:val="center"/>
          </w:tcPr>
          <w:p w14:paraId="12BC0A8A">
            <w:pPr>
              <w:pStyle w:val="557"/>
            </w:pPr>
            <w:r>
              <w:t>项目投产前</w:t>
            </w:r>
          </w:p>
        </w:tc>
      </w:tr>
      <w:tr w14:paraId="2F93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9824B69">
            <w:pPr>
              <w:pStyle w:val="557"/>
            </w:pPr>
          </w:p>
        </w:tc>
        <w:tc>
          <w:tcPr>
            <w:tcW w:w="348" w:type="pct"/>
            <w:gridSpan w:val="2"/>
            <w:vMerge w:val="continue"/>
            <w:vAlign w:val="center"/>
          </w:tcPr>
          <w:p w14:paraId="4693F01C">
            <w:pPr>
              <w:pStyle w:val="557"/>
            </w:pPr>
          </w:p>
        </w:tc>
        <w:tc>
          <w:tcPr>
            <w:tcW w:w="956" w:type="pct"/>
            <w:vMerge w:val="restart"/>
            <w:vAlign w:val="center"/>
          </w:tcPr>
          <w:p w14:paraId="346F2A67">
            <w:pPr>
              <w:pStyle w:val="557"/>
            </w:pPr>
            <w:r>
              <w:rPr>
                <w:rFonts w:hint="eastAsia"/>
              </w:rPr>
              <w:t>2#造粒废气、2#包装废气、2#烘干废气</w:t>
            </w:r>
          </w:p>
        </w:tc>
        <w:tc>
          <w:tcPr>
            <w:tcW w:w="1051" w:type="pct"/>
            <w:vMerge w:val="restart"/>
            <w:vAlign w:val="center"/>
          </w:tcPr>
          <w:p w14:paraId="27BA8F28">
            <w:pPr>
              <w:pStyle w:val="557"/>
            </w:pPr>
            <w:r>
              <w:rPr>
                <w:rFonts w:hint="eastAsia"/>
              </w:rPr>
              <w:t>文丘里洗涤塔+酸洗+水洗+40m排气筒</w:t>
            </w:r>
          </w:p>
        </w:tc>
        <w:tc>
          <w:tcPr>
            <w:tcW w:w="901" w:type="pct"/>
            <w:vAlign w:val="center"/>
          </w:tcPr>
          <w:p w14:paraId="3B12ADED">
            <w:pPr>
              <w:pStyle w:val="557"/>
            </w:pPr>
            <w:r>
              <w:rPr>
                <w:rFonts w:hint="eastAsia"/>
              </w:rPr>
              <w:t>《大气污染物综合排放标准》（GB16297-1996）</w:t>
            </w:r>
          </w:p>
        </w:tc>
        <w:tc>
          <w:tcPr>
            <w:tcW w:w="950" w:type="pct"/>
            <w:vAlign w:val="center"/>
          </w:tcPr>
          <w:p w14:paraId="56A72002">
            <w:pPr>
              <w:pStyle w:val="557"/>
            </w:pPr>
            <w:r>
              <w:rPr>
                <w:rFonts w:hint="eastAsia"/>
              </w:rPr>
              <w:t>颗粒物</w:t>
            </w:r>
          </w:p>
        </w:tc>
        <w:tc>
          <w:tcPr>
            <w:tcW w:w="550" w:type="pct"/>
            <w:vAlign w:val="center"/>
          </w:tcPr>
          <w:p w14:paraId="6483CE6E">
            <w:pPr>
              <w:pStyle w:val="557"/>
            </w:pPr>
            <w:r>
              <w:t>项目投产前</w:t>
            </w:r>
          </w:p>
        </w:tc>
      </w:tr>
      <w:tr w14:paraId="737E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0F4F03E">
            <w:pPr>
              <w:pStyle w:val="557"/>
            </w:pPr>
          </w:p>
        </w:tc>
        <w:tc>
          <w:tcPr>
            <w:tcW w:w="348" w:type="pct"/>
            <w:gridSpan w:val="2"/>
            <w:vMerge w:val="continue"/>
            <w:vAlign w:val="center"/>
          </w:tcPr>
          <w:p w14:paraId="0FB149BA">
            <w:pPr>
              <w:pStyle w:val="557"/>
            </w:pPr>
          </w:p>
        </w:tc>
        <w:tc>
          <w:tcPr>
            <w:tcW w:w="956" w:type="pct"/>
            <w:vMerge w:val="continue"/>
            <w:vAlign w:val="center"/>
          </w:tcPr>
          <w:p w14:paraId="1F6617D3">
            <w:pPr>
              <w:pStyle w:val="557"/>
            </w:pPr>
          </w:p>
        </w:tc>
        <w:tc>
          <w:tcPr>
            <w:tcW w:w="1051" w:type="pct"/>
            <w:vMerge w:val="continue"/>
            <w:vAlign w:val="center"/>
          </w:tcPr>
          <w:p w14:paraId="2AACB66C">
            <w:pPr>
              <w:pStyle w:val="557"/>
            </w:pPr>
          </w:p>
        </w:tc>
        <w:tc>
          <w:tcPr>
            <w:tcW w:w="901" w:type="pct"/>
            <w:vAlign w:val="center"/>
          </w:tcPr>
          <w:p w14:paraId="3EDF0CA0">
            <w:pPr>
              <w:pStyle w:val="557"/>
            </w:pPr>
            <w:r>
              <w:rPr>
                <w:rFonts w:hint="eastAsia"/>
                <w:szCs w:val="22"/>
              </w:rPr>
              <w:t>《</w:t>
            </w:r>
            <w:r>
              <w:t>恶臭污染物排放标准》（GB14554-93）</w:t>
            </w:r>
          </w:p>
        </w:tc>
        <w:tc>
          <w:tcPr>
            <w:tcW w:w="950" w:type="pct"/>
            <w:vAlign w:val="center"/>
          </w:tcPr>
          <w:p w14:paraId="0DF4233B">
            <w:pPr>
              <w:pStyle w:val="557"/>
            </w:pPr>
            <w:r>
              <w:t>NH</w:t>
            </w:r>
            <w:r>
              <w:rPr>
                <w:vertAlign w:val="subscript"/>
              </w:rPr>
              <w:t>3</w:t>
            </w:r>
          </w:p>
        </w:tc>
        <w:tc>
          <w:tcPr>
            <w:tcW w:w="550" w:type="pct"/>
            <w:vAlign w:val="center"/>
          </w:tcPr>
          <w:p w14:paraId="69F83E63">
            <w:pPr>
              <w:pStyle w:val="557"/>
            </w:pPr>
            <w:r>
              <w:t>项目投产前</w:t>
            </w:r>
          </w:p>
        </w:tc>
      </w:tr>
      <w:tr w14:paraId="664C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D52E0F4">
            <w:pPr>
              <w:pStyle w:val="557"/>
            </w:pPr>
          </w:p>
        </w:tc>
        <w:tc>
          <w:tcPr>
            <w:tcW w:w="348" w:type="pct"/>
            <w:gridSpan w:val="2"/>
            <w:vMerge w:val="continue"/>
            <w:vAlign w:val="center"/>
          </w:tcPr>
          <w:p w14:paraId="7F8CD3C4">
            <w:pPr>
              <w:pStyle w:val="557"/>
            </w:pPr>
          </w:p>
        </w:tc>
        <w:tc>
          <w:tcPr>
            <w:tcW w:w="956" w:type="pct"/>
            <w:vAlign w:val="center"/>
          </w:tcPr>
          <w:p w14:paraId="58A51251">
            <w:pPr>
              <w:pStyle w:val="557"/>
            </w:pPr>
            <w:r>
              <w:rPr>
                <w:rFonts w:hint="eastAsia"/>
              </w:rPr>
              <w:t>1#冷却废气</w:t>
            </w:r>
          </w:p>
        </w:tc>
        <w:tc>
          <w:tcPr>
            <w:tcW w:w="1051" w:type="pct"/>
            <w:vAlign w:val="center"/>
          </w:tcPr>
          <w:p w14:paraId="4FBCA10A">
            <w:pPr>
              <w:pStyle w:val="557"/>
            </w:pPr>
            <w:r>
              <w:rPr>
                <w:rFonts w:hint="eastAsia"/>
              </w:rPr>
              <w:t>旋风除尘器+布袋除尘器+15m排气筒</w:t>
            </w:r>
          </w:p>
        </w:tc>
        <w:tc>
          <w:tcPr>
            <w:tcW w:w="901" w:type="pct"/>
            <w:vAlign w:val="center"/>
          </w:tcPr>
          <w:p w14:paraId="127AE0E4">
            <w:pPr>
              <w:pStyle w:val="557"/>
            </w:pPr>
            <w:r>
              <w:rPr>
                <w:rFonts w:hint="eastAsia"/>
              </w:rPr>
              <w:t>《大气污染物综合排放标准》（GB16297-1996）</w:t>
            </w:r>
          </w:p>
        </w:tc>
        <w:tc>
          <w:tcPr>
            <w:tcW w:w="950" w:type="pct"/>
            <w:vAlign w:val="center"/>
          </w:tcPr>
          <w:p w14:paraId="0F123FA8">
            <w:pPr>
              <w:pStyle w:val="557"/>
            </w:pPr>
            <w:r>
              <w:rPr>
                <w:rFonts w:hint="eastAsia"/>
              </w:rPr>
              <w:t>颗粒物</w:t>
            </w:r>
          </w:p>
        </w:tc>
        <w:tc>
          <w:tcPr>
            <w:tcW w:w="550" w:type="pct"/>
            <w:vAlign w:val="center"/>
          </w:tcPr>
          <w:p w14:paraId="4A20C5AE">
            <w:pPr>
              <w:pStyle w:val="557"/>
            </w:pPr>
            <w:r>
              <w:t>项目投产前</w:t>
            </w:r>
          </w:p>
        </w:tc>
      </w:tr>
      <w:tr w14:paraId="617B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1FDD06C7">
            <w:pPr>
              <w:pStyle w:val="557"/>
            </w:pPr>
          </w:p>
        </w:tc>
        <w:tc>
          <w:tcPr>
            <w:tcW w:w="348" w:type="pct"/>
            <w:gridSpan w:val="2"/>
            <w:vMerge w:val="continue"/>
            <w:vAlign w:val="center"/>
          </w:tcPr>
          <w:p w14:paraId="7D59B304">
            <w:pPr>
              <w:pStyle w:val="557"/>
            </w:pPr>
          </w:p>
        </w:tc>
        <w:tc>
          <w:tcPr>
            <w:tcW w:w="956" w:type="pct"/>
            <w:vAlign w:val="center"/>
          </w:tcPr>
          <w:p w14:paraId="75359F87">
            <w:pPr>
              <w:pStyle w:val="557"/>
            </w:pPr>
            <w:r>
              <w:rPr>
                <w:rFonts w:hint="eastAsia"/>
              </w:rPr>
              <w:t>2#冷却废气</w:t>
            </w:r>
          </w:p>
        </w:tc>
        <w:tc>
          <w:tcPr>
            <w:tcW w:w="1051" w:type="pct"/>
            <w:vAlign w:val="center"/>
          </w:tcPr>
          <w:p w14:paraId="253600A5">
            <w:pPr>
              <w:pStyle w:val="557"/>
            </w:pPr>
            <w:r>
              <w:rPr>
                <w:rFonts w:hint="eastAsia"/>
              </w:rPr>
              <w:t>旋风除尘器+布袋除尘器+15m排气筒</w:t>
            </w:r>
          </w:p>
        </w:tc>
        <w:tc>
          <w:tcPr>
            <w:tcW w:w="901" w:type="pct"/>
            <w:vAlign w:val="center"/>
          </w:tcPr>
          <w:p w14:paraId="23C3847F">
            <w:pPr>
              <w:pStyle w:val="557"/>
            </w:pPr>
            <w:r>
              <w:rPr>
                <w:rFonts w:hint="eastAsia"/>
              </w:rPr>
              <w:t>《大气污染物综合排放标准》（GB16297-1996）</w:t>
            </w:r>
          </w:p>
        </w:tc>
        <w:tc>
          <w:tcPr>
            <w:tcW w:w="950" w:type="pct"/>
            <w:vAlign w:val="center"/>
          </w:tcPr>
          <w:p w14:paraId="1EBECBB7">
            <w:pPr>
              <w:pStyle w:val="557"/>
            </w:pPr>
            <w:r>
              <w:rPr>
                <w:rFonts w:hint="eastAsia"/>
              </w:rPr>
              <w:t>颗粒物</w:t>
            </w:r>
          </w:p>
        </w:tc>
        <w:tc>
          <w:tcPr>
            <w:tcW w:w="550" w:type="pct"/>
            <w:vAlign w:val="center"/>
          </w:tcPr>
          <w:p w14:paraId="1899DB36">
            <w:pPr>
              <w:pStyle w:val="557"/>
            </w:pPr>
            <w:r>
              <w:t>项目投产前</w:t>
            </w:r>
          </w:p>
        </w:tc>
      </w:tr>
      <w:tr w14:paraId="65FA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849CDB4">
            <w:pPr>
              <w:pStyle w:val="557"/>
            </w:pPr>
          </w:p>
        </w:tc>
        <w:tc>
          <w:tcPr>
            <w:tcW w:w="348" w:type="pct"/>
            <w:gridSpan w:val="2"/>
            <w:vMerge w:val="continue"/>
            <w:vAlign w:val="center"/>
          </w:tcPr>
          <w:p w14:paraId="22655440">
            <w:pPr>
              <w:pStyle w:val="557"/>
            </w:pPr>
          </w:p>
        </w:tc>
        <w:tc>
          <w:tcPr>
            <w:tcW w:w="956" w:type="pct"/>
            <w:vMerge w:val="restart"/>
            <w:vAlign w:val="center"/>
          </w:tcPr>
          <w:p w14:paraId="245DD745">
            <w:pPr>
              <w:pStyle w:val="557"/>
            </w:pPr>
            <w:r>
              <w:rPr>
                <w:rFonts w:hint="eastAsia"/>
              </w:rPr>
              <w:t>有机缓释肥装置加热炉废气</w:t>
            </w:r>
          </w:p>
        </w:tc>
        <w:tc>
          <w:tcPr>
            <w:tcW w:w="1051" w:type="pct"/>
            <w:vMerge w:val="restart"/>
            <w:vAlign w:val="center"/>
          </w:tcPr>
          <w:p w14:paraId="3F183880">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低氮燃烧+30m排气筒</w:t>
            </w:r>
          </w:p>
        </w:tc>
        <w:tc>
          <w:tcPr>
            <w:tcW w:w="901" w:type="pct"/>
            <w:vMerge w:val="restart"/>
            <w:vAlign w:val="center"/>
          </w:tcPr>
          <w:p w14:paraId="1F3C5673">
            <w:pPr>
              <w:pStyle w:val="557"/>
            </w:pPr>
            <w:r>
              <w:rPr>
                <w:rFonts w:hint="eastAsia"/>
              </w:rPr>
              <w:t>《石油化学工业污染物排放标准》（GB31571-2015，含2024年修改单）表4</w:t>
            </w:r>
          </w:p>
        </w:tc>
        <w:tc>
          <w:tcPr>
            <w:tcW w:w="950" w:type="pct"/>
            <w:vAlign w:val="center"/>
          </w:tcPr>
          <w:p w14:paraId="68CD4C59">
            <w:pPr>
              <w:pStyle w:val="557"/>
            </w:pPr>
            <w:r>
              <w:t>NOx</w:t>
            </w:r>
          </w:p>
        </w:tc>
        <w:tc>
          <w:tcPr>
            <w:tcW w:w="550" w:type="pct"/>
            <w:vAlign w:val="center"/>
          </w:tcPr>
          <w:p w14:paraId="26F6D29E">
            <w:pPr>
              <w:pStyle w:val="557"/>
            </w:pPr>
            <w:r>
              <w:t>项目投产前</w:t>
            </w:r>
          </w:p>
        </w:tc>
      </w:tr>
      <w:tr w14:paraId="6ADE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ED2EA04">
            <w:pPr>
              <w:pStyle w:val="557"/>
            </w:pPr>
          </w:p>
        </w:tc>
        <w:tc>
          <w:tcPr>
            <w:tcW w:w="348" w:type="pct"/>
            <w:gridSpan w:val="2"/>
            <w:vMerge w:val="continue"/>
            <w:vAlign w:val="center"/>
          </w:tcPr>
          <w:p w14:paraId="5C6889E5">
            <w:pPr>
              <w:pStyle w:val="557"/>
            </w:pPr>
          </w:p>
        </w:tc>
        <w:tc>
          <w:tcPr>
            <w:tcW w:w="956" w:type="pct"/>
            <w:vMerge w:val="continue"/>
            <w:vAlign w:val="center"/>
          </w:tcPr>
          <w:p w14:paraId="317F0C5B">
            <w:pPr>
              <w:pStyle w:val="557"/>
            </w:pPr>
          </w:p>
        </w:tc>
        <w:tc>
          <w:tcPr>
            <w:tcW w:w="1051" w:type="pct"/>
            <w:vMerge w:val="continue"/>
            <w:vAlign w:val="center"/>
          </w:tcPr>
          <w:p w14:paraId="7209C3B1">
            <w:pPr>
              <w:pStyle w:val="557"/>
            </w:pPr>
          </w:p>
        </w:tc>
        <w:tc>
          <w:tcPr>
            <w:tcW w:w="901" w:type="pct"/>
            <w:vMerge w:val="continue"/>
            <w:vAlign w:val="center"/>
          </w:tcPr>
          <w:p w14:paraId="7BA545D3">
            <w:pPr>
              <w:pStyle w:val="557"/>
            </w:pPr>
          </w:p>
        </w:tc>
        <w:tc>
          <w:tcPr>
            <w:tcW w:w="950" w:type="pct"/>
            <w:vAlign w:val="center"/>
          </w:tcPr>
          <w:p w14:paraId="0E74987B">
            <w:pPr>
              <w:pStyle w:val="557"/>
            </w:pPr>
            <w:r>
              <w:rPr>
                <w:rFonts w:hint="eastAsia"/>
              </w:rPr>
              <w:t>颗粒物</w:t>
            </w:r>
          </w:p>
        </w:tc>
        <w:tc>
          <w:tcPr>
            <w:tcW w:w="550" w:type="pct"/>
            <w:vAlign w:val="center"/>
          </w:tcPr>
          <w:p w14:paraId="2A0A5EA8">
            <w:pPr>
              <w:pStyle w:val="557"/>
            </w:pPr>
            <w:r>
              <w:t>项目投产前</w:t>
            </w:r>
          </w:p>
        </w:tc>
      </w:tr>
      <w:tr w14:paraId="395D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69D6D81">
            <w:pPr>
              <w:pStyle w:val="557"/>
            </w:pPr>
          </w:p>
        </w:tc>
        <w:tc>
          <w:tcPr>
            <w:tcW w:w="348" w:type="pct"/>
            <w:gridSpan w:val="2"/>
            <w:vMerge w:val="restart"/>
            <w:vAlign w:val="center"/>
          </w:tcPr>
          <w:p w14:paraId="407ED2A4">
            <w:pPr>
              <w:pStyle w:val="557"/>
            </w:pPr>
            <w:r>
              <w:rPr>
                <w:rFonts w:hint="eastAsia"/>
              </w:rPr>
              <w:t>公用工程</w:t>
            </w:r>
          </w:p>
        </w:tc>
        <w:tc>
          <w:tcPr>
            <w:tcW w:w="956" w:type="pct"/>
            <w:vMerge w:val="restart"/>
            <w:vAlign w:val="center"/>
          </w:tcPr>
          <w:p w14:paraId="5C63C32E">
            <w:pPr>
              <w:pStyle w:val="557"/>
            </w:pPr>
            <w:r>
              <w:rPr>
                <w:rFonts w:hint="eastAsia"/>
              </w:rPr>
              <w:t>污水处理站</w:t>
            </w:r>
          </w:p>
        </w:tc>
        <w:tc>
          <w:tcPr>
            <w:tcW w:w="1051" w:type="pct"/>
            <w:vMerge w:val="restart"/>
            <w:vAlign w:val="center"/>
          </w:tcPr>
          <w:p w14:paraId="7A43A13C">
            <w:pPr>
              <w:pStyle w:val="557"/>
            </w:pPr>
            <w:r>
              <w:rPr>
                <w:rFonts w:hint="eastAsia"/>
              </w:rPr>
              <w:t>碱洗+生物除臭+15</w:t>
            </w:r>
            <w:r>
              <w:t>m排</w:t>
            </w:r>
            <w:r>
              <w:rPr>
                <w:rFonts w:hint="eastAsia"/>
              </w:rPr>
              <w:t>气筒</w:t>
            </w:r>
          </w:p>
        </w:tc>
        <w:tc>
          <w:tcPr>
            <w:tcW w:w="901" w:type="pct"/>
            <w:vAlign w:val="center"/>
          </w:tcPr>
          <w:p w14:paraId="0F8D7FB9">
            <w:pPr>
              <w:pStyle w:val="557"/>
            </w:pPr>
            <w:r>
              <w:rPr>
                <w:rFonts w:hint="eastAsia"/>
              </w:rPr>
              <w:t>《石油化学工业污染物排放标准》（GB31571-2015，含2024年修改单）</w:t>
            </w:r>
          </w:p>
        </w:tc>
        <w:tc>
          <w:tcPr>
            <w:tcW w:w="950" w:type="pct"/>
            <w:vAlign w:val="center"/>
          </w:tcPr>
          <w:p w14:paraId="426998AD">
            <w:pPr>
              <w:pStyle w:val="557"/>
            </w:pPr>
            <w:r>
              <w:rPr>
                <w:rFonts w:hint="eastAsia"/>
              </w:rPr>
              <w:t>NMHC</w:t>
            </w:r>
          </w:p>
        </w:tc>
        <w:tc>
          <w:tcPr>
            <w:tcW w:w="550" w:type="pct"/>
            <w:vAlign w:val="center"/>
          </w:tcPr>
          <w:p w14:paraId="6812EEBA">
            <w:pPr>
              <w:pStyle w:val="557"/>
            </w:pPr>
            <w:r>
              <w:t>项目投产前</w:t>
            </w:r>
          </w:p>
        </w:tc>
      </w:tr>
      <w:tr w14:paraId="164E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7805A5A">
            <w:pPr>
              <w:pStyle w:val="557"/>
            </w:pPr>
          </w:p>
        </w:tc>
        <w:tc>
          <w:tcPr>
            <w:tcW w:w="348" w:type="pct"/>
            <w:gridSpan w:val="2"/>
            <w:vMerge w:val="continue"/>
            <w:vAlign w:val="center"/>
          </w:tcPr>
          <w:p w14:paraId="2216F9DA">
            <w:pPr>
              <w:pStyle w:val="557"/>
            </w:pPr>
          </w:p>
        </w:tc>
        <w:tc>
          <w:tcPr>
            <w:tcW w:w="956" w:type="pct"/>
            <w:vMerge w:val="continue"/>
            <w:vAlign w:val="center"/>
          </w:tcPr>
          <w:p w14:paraId="667BDACA">
            <w:pPr>
              <w:pStyle w:val="557"/>
            </w:pPr>
          </w:p>
        </w:tc>
        <w:tc>
          <w:tcPr>
            <w:tcW w:w="1051" w:type="pct"/>
            <w:vMerge w:val="continue"/>
            <w:vAlign w:val="center"/>
          </w:tcPr>
          <w:p w14:paraId="388552DF">
            <w:pPr>
              <w:pStyle w:val="557"/>
            </w:pPr>
          </w:p>
        </w:tc>
        <w:tc>
          <w:tcPr>
            <w:tcW w:w="901" w:type="pct"/>
            <w:vAlign w:val="center"/>
          </w:tcPr>
          <w:p w14:paraId="6DC90688">
            <w:pPr>
              <w:pStyle w:val="557"/>
            </w:pPr>
            <w:r>
              <w:rPr>
                <w:rFonts w:hint="eastAsia"/>
                <w:szCs w:val="22"/>
              </w:rPr>
              <w:t>《</w:t>
            </w:r>
            <w:r>
              <w:t>恶臭污染物排放标准》（GB14554-93）</w:t>
            </w:r>
          </w:p>
        </w:tc>
        <w:tc>
          <w:tcPr>
            <w:tcW w:w="950" w:type="pct"/>
            <w:vAlign w:val="center"/>
          </w:tcPr>
          <w:p w14:paraId="540C8139">
            <w:pPr>
              <w:pStyle w:val="557"/>
            </w:pPr>
            <w:r>
              <w:t>NH</w:t>
            </w:r>
            <w:r>
              <w:rPr>
                <w:vertAlign w:val="subscript"/>
              </w:rPr>
              <w:t>3</w:t>
            </w:r>
            <w:r>
              <w:rPr>
                <w:rFonts w:hint="eastAsia"/>
              </w:rPr>
              <w:t>、</w:t>
            </w:r>
            <w:r>
              <w:t>H</w:t>
            </w:r>
            <w:r>
              <w:rPr>
                <w:vertAlign w:val="subscript"/>
              </w:rPr>
              <w:t>2</w:t>
            </w:r>
            <w:r>
              <w:t>S</w:t>
            </w:r>
          </w:p>
        </w:tc>
        <w:tc>
          <w:tcPr>
            <w:tcW w:w="550" w:type="pct"/>
            <w:vAlign w:val="center"/>
          </w:tcPr>
          <w:p w14:paraId="7EC63E3F">
            <w:pPr>
              <w:pStyle w:val="557"/>
            </w:pPr>
            <w:r>
              <w:t>项目投产前</w:t>
            </w:r>
          </w:p>
        </w:tc>
      </w:tr>
      <w:tr w14:paraId="70B9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D3C2CC1">
            <w:pPr>
              <w:pStyle w:val="557"/>
            </w:pPr>
          </w:p>
        </w:tc>
        <w:tc>
          <w:tcPr>
            <w:tcW w:w="348" w:type="pct"/>
            <w:gridSpan w:val="2"/>
            <w:vMerge w:val="continue"/>
            <w:vAlign w:val="center"/>
          </w:tcPr>
          <w:p w14:paraId="388DDA28">
            <w:pPr>
              <w:pStyle w:val="557"/>
            </w:pPr>
          </w:p>
        </w:tc>
        <w:tc>
          <w:tcPr>
            <w:tcW w:w="956" w:type="pct"/>
            <w:vMerge w:val="restart"/>
            <w:vAlign w:val="center"/>
          </w:tcPr>
          <w:p w14:paraId="34F6F5B1">
            <w:pPr>
              <w:pStyle w:val="557"/>
            </w:pPr>
            <w:r>
              <w:rPr>
                <w:rFonts w:hint="eastAsia"/>
              </w:rPr>
              <w:t>1#燃气锅炉</w:t>
            </w:r>
          </w:p>
        </w:tc>
        <w:tc>
          <w:tcPr>
            <w:tcW w:w="1051" w:type="pct"/>
            <w:vMerge w:val="restart"/>
            <w:vAlign w:val="center"/>
          </w:tcPr>
          <w:p w14:paraId="013C53E2">
            <w:pPr>
              <w:pStyle w:val="557"/>
            </w:pPr>
            <w:r>
              <w:rPr>
                <w:rFonts w:hint="eastAsia"/>
              </w:rPr>
              <w:t>低氮燃烧+SCR脱硝+35m排气筒</w:t>
            </w:r>
          </w:p>
        </w:tc>
        <w:tc>
          <w:tcPr>
            <w:tcW w:w="901" w:type="pct"/>
            <w:vAlign w:val="center"/>
          </w:tcPr>
          <w:p w14:paraId="026AAAA5">
            <w:pPr>
              <w:pStyle w:val="557"/>
            </w:pPr>
            <w:r>
              <w:rPr>
                <w:rFonts w:hint="eastAsia"/>
              </w:rPr>
              <w:t>《锅炉大气污染物排放标准》（GB13271-2014）</w:t>
            </w:r>
          </w:p>
        </w:tc>
        <w:tc>
          <w:tcPr>
            <w:tcW w:w="950" w:type="pct"/>
            <w:vAlign w:val="center"/>
          </w:tcPr>
          <w:p w14:paraId="51212F7E">
            <w:pPr>
              <w:pStyle w:val="557"/>
            </w:pPr>
            <w:r>
              <w:t>颗粒物</w:t>
            </w:r>
          </w:p>
        </w:tc>
        <w:tc>
          <w:tcPr>
            <w:tcW w:w="550" w:type="pct"/>
            <w:vAlign w:val="center"/>
          </w:tcPr>
          <w:p w14:paraId="0127D8EB">
            <w:pPr>
              <w:pStyle w:val="557"/>
            </w:pPr>
            <w:r>
              <w:t>项目投产前</w:t>
            </w:r>
          </w:p>
        </w:tc>
      </w:tr>
      <w:tr w14:paraId="0E8E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112386C1">
            <w:pPr>
              <w:pStyle w:val="557"/>
            </w:pPr>
          </w:p>
        </w:tc>
        <w:tc>
          <w:tcPr>
            <w:tcW w:w="348" w:type="pct"/>
            <w:gridSpan w:val="2"/>
            <w:vMerge w:val="continue"/>
            <w:vAlign w:val="center"/>
          </w:tcPr>
          <w:p w14:paraId="1AF5449A">
            <w:pPr>
              <w:pStyle w:val="557"/>
            </w:pPr>
          </w:p>
        </w:tc>
        <w:tc>
          <w:tcPr>
            <w:tcW w:w="956" w:type="pct"/>
            <w:vMerge w:val="continue"/>
            <w:vAlign w:val="center"/>
          </w:tcPr>
          <w:p w14:paraId="4E557B0C">
            <w:pPr>
              <w:pStyle w:val="557"/>
            </w:pPr>
          </w:p>
        </w:tc>
        <w:tc>
          <w:tcPr>
            <w:tcW w:w="1051" w:type="pct"/>
            <w:vMerge w:val="continue"/>
            <w:vAlign w:val="center"/>
          </w:tcPr>
          <w:p w14:paraId="405E508E">
            <w:pPr>
              <w:pStyle w:val="557"/>
            </w:pPr>
          </w:p>
        </w:tc>
        <w:tc>
          <w:tcPr>
            <w:tcW w:w="901" w:type="pct"/>
            <w:vAlign w:val="center"/>
          </w:tcPr>
          <w:p w14:paraId="7D451F37">
            <w:pPr>
              <w:pStyle w:val="557"/>
            </w:pPr>
            <w:r>
              <w:rPr>
                <w:rFonts w:hint="eastAsia"/>
              </w:rPr>
              <w:t>氮氧化物执行《关于印发&lt;哈密市2022年度夏秋季大气污染防治“冬病夏治”工作方案&gt;的通知》（哈市环委办〔2022〕12号）氮氧化物排放浓度标准要求</w:t>
            </w:r>
          </w:p>
        </w:tc>
        <w:tc>
          <w:tcPr>
            <w:tcW w:w="950" w:type="pct"/>
            <w:vAlign w:val="center"/>
          </w:tcPr>
          <w:p w14:paraId="5FCB73B2">
            <w:pPr>
              <w:pStyle w:val="557"/>
            </w:pPr>
            <w:r>
              <w:rPr>
                <w:rFonts w:hint="eastAsia"/>
              </w:rPr>
              <w:t>氮氧化物</w:t>
            </w:r>
          </w:p>
        </w:tc>
        <w:tc>
          <w:tcPr>
            <w:tcW w:w="550" w:type="pct"/>
            <w:vAlign w:val="center"/>
          </w:tcPr>
          <w:p w14:paraId="1B22511A">
            <w:pPr>
              <w:pStyle w:val="557"/>
            </w:pPr>
            <w:r>
              <w:t>项目投产前</w:t>
            </w:r>
          </w:p>
        </w:tc>
      </w:tr>
      <w:tr w14:paraId="3364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7C6E7EE8">
            <w:pPr>
              <w:pStyle w:val="557"/>
            </w:pPr>
          </w:p>
        </w:tc>
        <w:tc>
          <w:tcPr>
            <w:tcW w:w="348" w:type="pct"/>
            <w:gridSpan w:val="2"/>
            <w:vMerge w:val="continue"/>
            <w:vAlign w:val="center"/>
          </w:tcPr>
          <w:p w14:paraId="360790DA">
            <w:pPr>
              <w:pStyle w:val="557"/>
            </w:pPr>
          </w:p>
        </w:tc>
        <w:tc>
          <w:tcPr>
            <w:tcW w:w="956" w:type="pct"/>
            <w:vMerge w:val="restart"/>
            <w:vAlign w:val="center"/>
          </w:tcPr>
          <w:p w14:paraId="5B4CDDBA">
            <w:pPr>
              <w:pStyle w:val="557"/>
            </w:pPr>
            <w:r>
              <w:rPr>
                <w:rFonts w:hint="eastAsia"/>
              </w:rPr>
              <w:t>2#燃气锅炉</w:t>
            </w:r>
          </w:p>
        </w:tc>
        <w:tc>
          <w:tcPr>
            <w:tcW w:w="1051" w:type="pct"/>
            <w:vMerge w:val="restart"/>
            <w:vAlign w:val="center"/>
          </w:tcPr>
          <w:p w14:paraId="2EE2FCF1">
            <w:pPr>
              <w:pStyle w:val="557"/>
            </w:pPr>
            <w:r>
              <w:rPr>
                <w:rFonts w:hint="eastAsia"/>
              </w:rPr>
              <w:t>低氮燃烧+SCR脱硝+35m排气筒</w:t>
            </w:r>
          </w:p>
        </w:tc>
        <w:tc>
          <w:tcPr>
            <w:tcW w:w="901" w:type="pct"/>
            <w:vAlign w:val="center"/>
          </w:tcPr>
          <w:p w14:paraId="550E7142">
            <w:pPr>
              <w:pStyle w:val="557"/>
            </w:pPr>
            <w:r>
              <w:rPr>
                <w:rFonts w:hint="eastAsia"/>
              </w:rPr>
              <w:t>《锅炉大气污染物排放标准》（GB13271-2014）</w:t>
            </w:r>
          </w:p>
        </w:tc>
        <w:tc>
          <w:tcPr>
            <w:tcW w:w="950" w:type="pct"/>
            <w:vAlign w:val="center"/>
          </w:tcPr>
          <w:p w14:paraId="261BC44C">
            <w:pPr>
              <w:pStyle w:val="557"/>
            </w:pPr>
            <w:r>
              <w:t>颗粒物</w:t>
            </w:r>
          </w:p>
        </w:tc>
        <w:tc>
          <w:tcPr>
            <w:tcW w:w="550" w:type="pct"/>
            <w:vAlign w:val="center"/>
          </w:tcPr>
          <w:p w14:paraId="124670DA">
            <w:pPr>
              <w:pStyle w:val="557"/>
            </w:pPr>
            <w:r>
              <w:t>项目投产前</w:t>
            </w:r>
          </w:p>
        </w:tc>
      </w:tr>
      <w:tr w14:paraId="6032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27F380B">
            <w:pPr>
              <w:pStyle w:val="557"/>
            </w:pPr>
          </w:p>
        </w:tc>
        <w:tc>
          <w:tcPr>
            <w:tcW w:w="348" w:type="pct"/>
            <w:gridSpan w:val="2"/>
            <w:vMerge w:val="continue"/>
            <w:vAlign w:val="center"/>
          </w:tcPr>
          <w:p w14:paraId="0595C93A">
            <w:pPr>
              <w:pStyle w:val="557"/>
            </w:pPr>
          </w:p>
        </w:tc>
        <w:tc>
          <w:tcPr>
            <w:tcW w:w="956" w:type="pct"/>
            <w:vMerge w:val="continue"/>
            <w:vAlign w:val="center"/>
          </w:tcPr>
          <w:p w14:paraId="5E5577A2">
            <w:pPr>
              <w:pStyle w:val="557"/>
            </w:pPr>
          </w:p>
        </w:tc>
        <w:tc>
          <w:tcPr>
            <w:tcW w:w="1051" w:type="pct"/>
            <w:vMerge w:val="continue"/>
            <w:vAlign w:val="center"/>
          </w:tcPr>
          <w:p w14:paraId="0FDB5939">
            <w:pPr>
              <w:pStyle w:val="557"/>
            </w:pPr>
          </w:p>
        </w:tc>
        <w:tc>
          <w:tcPr>
            <w:tcW w:w="901" w:type="pct"/>
            <w:vAlign w:val="center"/>
          </w:tcPr>
          <w:p w14:paraId="6CFA8B3D">
            <w:pPr>
              <w:pStyle w:val="557"/>
            </w:pPr>
            <w:r>
              <w:rPr>
                <w:rFonts w:hint="eastAsia"/>
              </w:rPr>
              <w:t>氮氧化物执行《关于印发&lt;哈密市2022年度夏秋季大气污染防治“冬病夏治”工作方案&gt;的通知》（哈市环委办〔2022〕12号）氮氧化物排放浓度标准要求</w:t>
            </w:r>
          </w:p>
        </w:tc>
        <w:tc>
          <w:tcPr>
            <w:tcW w:w="950" w:type="pct"/>
            <w:vAlign w:val="center"/>
          </w:tcPr>
          <w:p w14:paraId="62BC9174">
            <w:pPr>
              <w:pStyle w:val="557"/>
            </w:pPr>
            <w:r>
              <w:rPr>
                <w:rFonts w:hint="eastAsia"/>
              </w:rPr>
              <w:t>氮氧化物</w:t>
            </w:r>
          </w:p>
        </w:tc>
        <w:tc>
          <w:tcPr>
            <w:tcW w:w="550" w:type="pct"/>
            <w:vAlign w:val="center"/>
          </w:tcPr>
          <w:p w14:paraId="7724F75D">
            <w:pPr>
              <w:pStyle w:val="557"/>
            </w:pPr>
            <w:r>
              <w:t>项目投产前</w:t>
            </w:r>
          </w:p>
        </w:tc>
      </w:tr>
      <w:tr w14:paraId="627A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10E5341C">
            <w:pPr>
              <w:pStyle w:val="557"/>
            </w:pPr>
          </w:p>
        </w:tc>
        <w:tc>
          <w:tcPr>
            <w:tcW w:w="348" w:type="pct"/>
            <w:gridSpan w:val="2"/>
            <w:vMerge w:val="restart"/>
            <w:vAlign w:val="center"/>
          </w:tcPr>
          <w:p w14:paraId="440CC72D">
            <w:pPr>
              <w:pStyle w:val="557"/>
            </w:pPr>
            <w:r>
              <w:rPr>
                <w:rFonts w:hint="eastAsia"/>
              </w:rPr>
              <w:t>储运工程</w:t>
            </w:r>
          </w:p>
        </w:tc>
        <w:tc>
          <w:tcPr>
            <w:tcW w:w="956" w:type="pct"/>
            <w:vAlign w:val="center"/>
          </w:tcPr>
          <w:p w14:paraId="3941DB3F">
            <w:pPr>
              <w:pStyle w:val="557"/>
            </w:pPr>
            <w:r>
              <w:rPr>
                <w:rFonts w:hint="eastAsia"/>
              </w:rPr>
              <w:t>筛分破碎废气</w:t>
            </w:r>
          </w:p>
        </w:tc>
        <w:tc>
          <w:tcPr>
            <w:tcW w:w="1051" w:type="pct"/>
            <w:vAlign w:val="center"/>
          </w:tcPr>
          <w:p w14:paraId="2E84C7D2">
            <w:pPr>
              <w:pStyle w:val="557"/>
            </w:pPr>
            <w:r>
              <w:rPr>
                <w:rFonts w:hint="eastAsia"/>
              </w:rPr>
              <w:t>袋式除尘器+15</w:t>
            </w:r>
            <w:r>
              <w:t>m排</w:t>
            </w:r>
            <w:r>
              <w:rPr>
                <w:rFonts w:hint="eastAsia"/>
              </w:rPr>
              <w:t>气筒</w:t>
            </w:r>
          </w:p>
        </w:tc>
        <w:tc>
          <w:tcPr>
            <w:tcW w:w="901" w:type="pct"/>
            <w:vAlign w:val="center"/>
          </w:tcPr>
          <w:p w14:paraId="36F28527">
            <w:pPr>
              <w:pStyle w:val="557"/>
            </w:pPr>
            <w:r>
              <w:rPr>
                <w:rFonts w:hint="eastAsia"/>
              </w:rPr>
              <w:t>《大气污染物综合排放标准》（GB16297-1996）</w:t>
            </w:r>
          </w:p>
        </w:tc>
        <w:tc>
          <w:tcPr>
            <w:tcW w:w="950" w:type="pct"/>
            <w:vAlign w:val="center"/>
          </w:tcPr>
          <w:p w14:paraId="10EAF60C">
            <w:pPr>
              <w:pStyle w:val="557"/>
            </w:pPr>
            <w:r>
              <w:t>颗粒物</w:t>
            </w:r>
          </w:p>
        </w:tc>
        <w:tc>
          <w:tcPr>
            <w:tcW w:w="550" w:type="pct"/>
            <w:vAlign w:val="center"/>
          </w:tcPr>
          <w:p w14:paraId="20EDEBC6">
            <w:pPr>
              <w:pStyle w:val="557"/>
            </w:pPr>
            <w:r>
              <w:t>项目投产前</w:t>
            </w:r>
          </w:p>
        </w:tc>
      </w:tr>
      <w:tr w14:paraId="1A5F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1D31A790">
            <w:pPr>
              <w:pStyle w:val="557"/>
            </w:pPr>
          </w:p>
        </w:tc>
        <w:tc>
          <w:tcPr>
            <w:tcW w:w="348" w:type="pct"/>
            <w:gridSpan w:val="2"/>
            <w:vMerge w:val="continue"/>
            <w:vAlign w:val="center"/>
          </w:tcPr>
          <w:p w14:paraId="14F6067F">
            <w:pPr>
              <w:pStyle w:val="557"/>
            </w:pPr>
          </w:p>
        </w:tc>
        <w:tc>
          <w:tcPr>
            <w:tcW w:w="956" w:type="pct"/>
            <w:vAlign w:val="center"/>
          </w:tcPr>
          <w:p w14:paraId="3D63FF0B">
            <w:pPr>
              <w:pStyle w:val="557"/>
            </w:pPr>
            <w:r>
              <w:t>1#</w:t>
            </w:r>
            <w:r>
              <w:rPr>
                <w:rFonts w:hint="eastAsia"/>
              </w:rPr>
              <w:t>转运站</w:t>
            </w:r>
          </w:p>
        </w:tc>
        <w:tc>
          <w:tcPr>
            <w:tcW w:w="1051" w:type="pct"/>
            <w:vAlign w:val="center"/>
          </w:tcPr>
          <w:p w14:paraId="403C18B8">
            <w:pPr>
              <w:pStyle w:val="557"/>
            </w:pPr>
            <w:r>
              <w:rPr>
                <w:rFonts w:hint="eastAsia"/>
              </w:rPr>
              <w:t>袋式除尘器+15</w:t>
            </w:r>
            <w:r>
              <w:t>m排</w:t>
            </w:r>
            <w:r>
              <w:rPr>
                <w:rFonts w:hint="eastAsia"/>
              </w:rPr>
              <w:t>气筒</w:t>
            </w:r>
          </w:p>
        </w:tc>
        <w:tc>
          <w:tcPr>
            <w:tcW w:w="901" w:type="pct"/>
            <w:vAlign w:val="center"/>
          </w:tcPr>
          <w:p w14:paraId="5C8D2EDF">
            <w:pPr>
              <w:pStyle w:val="557"/>
            </w:pPr>
            <w:r>
              <w:rPr>
                <w:rFonts w:hint="eastAsia"/>
              </w:rPr>
              <w:t>《大气污染物综合排放标准》（GB16297-1996）</w:t>
            </w:r>
          </w:p>
        </w:tc>
        <w:tc>
          <w:tcPr>
            <w:tcW w:w="950" w:type="pct"/>
            <w:vAlign w:val="center"/>
          </w:tcPr>
          <w:p w14:paraId="2F4C0DA9">
            <w:pPr>
              <w:pStyle w:val="557"/>
            </w:pPr>
            <w:r>
              <w:t>颗粒物</w:t>
            </w:r>
          </w:p>
        </w:tc>
        <w:tc>
          <w:tcPr>
            <w:tcW w:w="550" w:type="pct"/>
            <w:vAlign w:val="center"/>
          </w:tcPr>
          <w:p w14:paraId="13B4CE69">
            <w:pPr>
              <w:pStyle w:val="557"/>
            </w:pPr>
            <w:r>
              <w:t>项目投产前</w:t>
            </w:r>
          </w:p>
        </w:tc>
      </w:tr>
      <w:tr w14:paraId="18B2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42414C0">
            <w:pPr>
              <w:pStyle w:val="557"/>
            </w:pPr>
          </w:p>
        </w:tc>
        <w:tc>
          <w:tcPr>
            <w:tcW w:w="348" w:type="pct"/>
            <w:gridSpan w:val="2"/>
            <w:vMerge w:val="continue"/>
            <w:vAlign w:val="center"/>
          </w:tcPr>
          <w:p w14:paraId="073CFA4C">
            <w:pPr>
              <w:pStyle w:val="557"/>
            </w:pPr>
          </w:p>
        </w:tc>
        <w:tc>
          <w:tcPr>
            <w:tcW w:w="956" w:type="pct"/>
            <w:vAlign w:val="center"/>
          </w:tcPr>
          <w:p w14:paraId="495AE257">
            <w:pPr>
              <w:pStyle w:val="557"/>
            </w:pPr>
            <w:r>
              <w:t>2#</w:t>
            </w:r>
            <w:r>
              <w:rPr>
                <w:rFonts w:hint="eastAsia"/>
              </w:rPr>
              <w:t>转运站</w:t>
            </w:r>
          </w:p>
        </w:tc>
        <w:tc>
          <w:tcPr>
            <w:tcW w:w="1051" w:type="pct"/>
            <w:vAlign w:val="center"/>
          </w:tcPr>
          <w:p w14:paraId="3EAA0E4E">
            <w:pPr>
              <w:pStyle w:val="557"/>
            </w:pPr>
            <w:r>
              <w:rPr>
                <w:rFonts w:hint="eastAsia"/>
              </w:rPr>
              <w:t>袋式除尘器+62</w:t>
            </w:r>
            <w:r>
              <w:t>m排</w:t>
            </w:r>
            <w:r>
              <w:rPr>
                <w:rFonts w:hint="eastAsia"/>
              </w:rPr>
              <w:t>气筒</w:t>
            </w:r>
          </w:p>
        </w:tc>
        <w:tc>
          <w:tcPr>
            <w:tcW w:w="901" w:type="pct"/>
            <w:vAlign w:val="center"/>
          </w:tcPr>
          <w:p w14:paraId="1CF392FD">
            <w:pPr>
              <w:pStyle w:val="557"/>
            </w:pPr>
            <w:r>
              <w:rPr>
                <w:rFonts w:hint="eastAsia"/>
              </w:rPr>
              <w:t>《大气污染物综合排放标准》（GB16297-1996）</w:t>
            </w:r>
          </w:p>
        </w:tc>
        <w:tc>
          <w:tcPr>
            <w:tcW w:w="950" w:type="pct"/>
            <w:vAlign w:val="center"/>
          </w:tcPr>
          <w:p w14:paraId="475AC6C8">
            <w:pPr>
              <w:pStyle w:val="557"/>
            </w:pPr>
            <w:r>
              <w:t>颗粒物</w:t>
            </w:r>
          </w:p>
        </w:tc>
        <w:tc>
          <w:tcPr>
            <w:tcW w:w="550" w:type="pct"/>
            <w:vAlign w:val="center"/>
          </w:tcPr>
          <w:p w14:paraId="0088BC74">
            <w:pPr>
              <w:pStyle w:val="557"/>
            </w:pPr>
            <w:r>
              <w:t>项目投产前</w:t>
            </w:r>
          </w:p>
        </w:tc>
      </w:tr>
      <w:tr w14:paraId="0233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E381D7F">
            <w:pPr>
              <w:pStyle w:val="557"/>
            </w:pPr>
          </w:p>
        </w:tc>
        <w:tc>
          <w:tcPr>
            <w:tcW w:w="1304" w:type="pct"/>
            <w:gridSpan w:val="3"/>
            <w:vMerge w:val="restart"/>
            <w:vAlign w:val="center"/>
          </w:tcPr>
          <w:p w14:paraId="19D056A3">
            <w:pPr>
              <w:pStyle w:val="557"/>
            </w:pPr>
            <w:r>
              <w:t>无组织排放</w:t>
            </w:r>
          </w:p>
        </w:tc>
        <w:tc>
          <w:tcPr>
            <w:tcW w:w="1051" w:type="pct"/>
            <w:vMerge w:val="restart"/>
            <w:vAlign w:val="center"/>
          </w:tcPr>
          <w:p w14:paraId="68985D9A">
            <w:pPr>
              <w:pStyle w:val="557"/>
            </w:pPr>
            <w:r>
              <w:t>选用先进设备，泵、阀门、连接件等密封装置符合国家相应标准要求；液体物料装车采用底部装载方式，装车过程为密闭装车并加装气相平衡管。</w:t>
            </w:r>
          </w:p>
        </w:tc>
        <w:tc>
          <w:tcPr>
            <w:tcW w:w="901" w:type="pct"/>
            <w:vAlign w:val="center"/>
          </w:tcPr>
          <w:p w14:paraId="384BCFD9">
            <w:pPr>
              <w:pStyle w:val="557"/>
            </w:pPr>
            <w:r>
              <w:rPr>
                <w:rFonts w:hint="eastAsia"/>
              </w:rPr>
              <w:t>《石油化学工业污染物排放标准》（GB31571-2015，含2024年修改单）</w:t>
            </w:r>
          </w:p>
        </w:tc>
        <w:tc>
          <w:tcPr>
            <w:tcW w:w="950" w:type="pct"/>
            <w:vAlign w:val="center"/>
          </w:tcPr>
          <w:p w14:paraId="4F719365">
            <w:pPr>
              <w:pStyle w:val="557"/>
            </w:pPr>
            <w:r>
              <w:t>颗粒物</w:t>
            </w:r>
            <w:r>
              <w:rPr>
                <w:rFonts w:hint="eastAsia"/>
              </w:rPr>
              <w:t>、</w:t>
            </w:r>
            <w:r>
              <w:rPr>
                <w:lang w:eastAsia="en-US"/>
              </w:rPr>
              <w:t>NMHC</w:t>
            </w:r>
          </w:p>
        </w:tc>
        <w:tc>
          <w:tcPr>
            <w:tcW w:w="550" w:type="pct"/>
            <w:vAlign w:val="center"/>
          </w:tcPr>
          <w:p w14:paraId="5330622E">
            <w:pPr>
              <w:pStyle w:val="557"/>
            </w:pPr>
            <w:r>
              <w:t>项目投产前</w:t>
            </w:r>
          </w:p>
        </w:tc>
      </w:tr>
      <w:tr w14:paraId="1857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9D2A8A0">
            <w:pPr>
              <w:pStyle w:val="557"/>
            </w:pPr>
          </w:p>
        </w:tc>
        <w:tc>
          <w:tcPr>
            <w:tcW w:w="1304" w:type="pct"/>
            <w:gridSpan w:val="3"/>
            <w:vMerge w:val="continue"/>
            <w:vAlign w:val="center"/>
          </w:tcPr>
          <w:p w14:paraId="719BC99B">
            <w:pPr>
              <w:pStyle w:val="557"/>
            </w:pPr>
          </w:p>
        </w:tc>
        <w:tc>
          <w:tcPr>
            <w:tcW w:w="1051" w:type="pct"/>
            <w:vMerge w:val="continue"/>
            <w:vAlign w:val="center"/>
          </w:tcPr>
          <w:p w14:paraId="00923B16">
            <w:pPr>
              <w:pStyle w:val="557"/>
            </w:pPr>
          </w:p>
        </w:tc>
        <w:tc>
          <w:tcPr>
            <w:tcW w:w="901" w:type="pct"/>
            <w:vAlign w:val="center"/>
          </w:tcPr>
          <w:p w14:paraId="04F16209">
            <w:pPr>
              <w:pStyle w:val="557"/>
            </w:pPr>
            <w:r>
              <w:rPr>
                <w:rFonts w:hint="eastAsia"/>
              </w:rPr>
              <w:t>《大气污染物综合排放标准》（GB16297-1996）</w:t>
            </w:r>
          </w:p>
        </w:tc>
        <w:tc>
          <w:tcPr>
            <w:tcW w:w="950" w:type="pct"/>
            <w:vAlign w:val="center"/>
          </w:tcPr>
          <w:p w14:paraId="3B4A98BC">
            <w:pPr>
              <w:pStyle w:val="557"/>
            </w:pPr>
            <w:r>
              <w:rPr>
                <w:rFonts w:hint="eastAsia"/>
              </w:rPr>
              <w:t>甲醇、硫酸雾</w:t>
            </w:r>
          </w:p>
        </w:tc>
        <w:tc>
          <w:tcPr>
            <w:tcW w:w="550" w:type="pct"/>
            <w:vAlign w:val="center"/>
          </w:tcPr>
          <w:p w14:paraId="37D242BD">
            <w:pPr>
              <w:pStyle w:val="557"/>
            </w:pPr>
            <w:r>
              <w:t>项目投产前</w:t>
            </w:r>
          </w:p>
        </w:tc>
      </w:tr>
      <w:tr w14:paraId="7D1C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63EB1CF8">
            <w:pPr>
              <w:pStyle w:val="557"/>
            </w:pPr>
          </w:p>
        </w:tc>
        <w:tc>
          <w:tcPr>
            <w:tcW w:w="1304" w:type="pct"/>
            <w:gridSpan w:val="3"/>
            <w:vMerge w:val="continue"/>
            <w:vAlign w:val="center"/>
          </w:tcPr>
          <w:p w14:paraId="4DC34AD5">
            <w:pPr>
              <w:pStyle w:val="557"/>
            </w:pPr>
          </w:p>
        </w:tc>
        <w:tc>
          <w:tcPr>
            <w:tcW w:w="1051" w:type="pct"/>
            <w:vMerge w:val="continue"/>
            <w:vAlign w:val="center"/>
          </w:tcPr>
          <w:p w14:paraId="581AA711">
            <w:pPr>
              <w:pStyle w:val="557"/>
            </w:pPr>
          </w:p>
        </w:tc>
        <w:tc>
          <w:tcPr>
            <w:tcW w:w="901" w:type="pct"/>
            <w:vAlign w:val="center"/>
          </w:tcPr>
          <w:p w14:paraId="11882147">
            <w:pPr>
              <w:pStyle w:val="557"/>
            </w:pPr>
            <w:r>
              <w:rPr>
                <w:rFonts w:hint="eastAsia"/>
              </w:rPr>
              <w:t>《</w:t>
            </w:r>
            <w:r>
              <w:t>恶臭污染物排放标准》（</w:t>
            </w:r>
            <w:r>
              <w:rPr>
                <w:rFonts w:eastAsia="TimesNewRoman"/>
              </w:rPr>
              <w:t>GB14554-93</w:t>
            </w:r>
            <w:r>
              <w:t>）</w:t>
            </w:r>
          </w:p>
        </w:tc>
        <w:tc>
          <w:tcPr>
            <w:tcW w:w="950" w:type="pct"/>
            <w:vAlign w:val="center"/>
          </w:tcPr>
          <w:p w14:paraId="2E715C10">
            <w:pPr>
              <w:pStyle w:val="557"/>
            </w:pPr>
            <w:r>
              <w:rPr>
                <w:rFonts w:hint="eastAsia"/>
              </w:rPr>
              <w:t>硫化氢、氨、臭气浓度</w:t>
            </w:r>
          </w:p>
        </w:tc>
        <w:tc>
          <w:tcPr>
            <w:tcW w:w="550" w:type="pct"/>
            <w:vAlign w:val="center"/>
          </w:tcPr>
          <w:p w14:paraId="4DE59F4A">
            <w:pPr>
              <w:pStyle w:val="557"/>
            </w:pPr>
            <w:r>
              <w:t>项目投产前</w:t>
            </w:r>
          </w:p>
        </w:tc>
      </w:tr>
      <w:tr w14:paraId="6D1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0195E09">
            <w:pPr>
              <w:pStyle w:val="557"/>
            </w:pPr>
          </w:p>
        </w:tc>
        <w:tc>
          <w:tcPr>
            <w:tcW w:w="1304" w:type="pct"/>
            <w:gridSpan w:val="3"/>
            <w:vMerge w:val="continue"/>
            <w:vAlign w:val="center"/>
          </w:tcPr>
          <w:p w14:paraId="78395C67">
            <w:pPr>
              <w:pStyle w:val="557"/>
            </w:pPr>
          </w:p>
        </w:tc>
        <w:tc>
          <w:tcPr>
            <w:tcW w:w="1051" w:type="pct"/>
            <w:vMerge w:val="continue"/>
            <w:vAlign w:val="center"/>
          </w:tcPr>
          <w:p w14:paraId="4B9AD327">
            <w:pPr>
              <w:pStyle w:val="557"/>
            </w:pPr>
          </w:p>
        </w:tc>
        <w:tc>
          <w:tcPr>
            <w:tcW w:w="901" w:type="pct"/>
            <w:vAlign w:val="center"/>
          </w:tcPr>
          <w:p w14:paraId="0DA36333">
            <w:pPr>
              <w:pStyle w:val="557"/>
            </w:pPr>
            <w:r>
              <w:t>《挥发性有机物无组织排放控制标准》（GB37822-2019）</w:t>
            </w:r>
          </w:p>
        </w:tc>
        <w:tc>
          <w:tcPr>
            <w:tcW w:w="950" w:type="pct"/>
            <w:vAlign w:val="center"/>
          </w:tcPr>
          <w:p w14:paraId="502161CF">
            <w:pPr>
              <w:pStyle w:val="557"/>
            </w:pPr>
            <w:r>
              <w:t>厂内</w:t>
            </w:r>
            <w:r>
              <w:rPr>
                <w:rFonts w:hint="eastAsia"/>
              </w:rPr>
              <w:t>挥发性有机物</w:t>
            </w:r>
          </w:p>
        </w:tc>
        <w:tc>
          <w:tcPr>
            <w:tcW w:w="550" w:type="pct"/>
            <w:vAlign w:val="center"/>
          </w:tcPr>
          <w:p w14:paraId="2BB22A93">
            <w:pPr>
              <w:pStyle w:val="557"/>
            </w:pPr>
            <w:r>
              <w:t>项目投产前</w:t>
            </w:r>
          </w:p>
        </w:tc>
      </w:tr>
      <w:tr w14:paraId="5343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Align w:val="center"/>
          </w:tcPr>
          <w:p w14:paraId="52323183">
            <w:pPr>
              <w:pStyle w:val="557"/>
            </w:pPr>
            <w:r>
              <w:t>废水</w:t>
            </w:r>
          </w:p>
        </w:tc>
        <w:tc>
          <w:tcPr>
            <w:tcW w:w="1304" w:type="pct"/>
            <w:gridSpan w:val="3"/>
            <w:vAlign w:val="center"/>
          </w:tcPr>
          <w:p w14:paraId="6AA25F34">
            <w:pPr>
              <w:pStyle w:val="557"/>
            </w:pPr>
            <w:r>
              <w:t>生产废水、生活污水</w:t>
            </w:r>
          </w:p>
        </w:tc>
        <w:tc>
          <w:tcPr>
            <w:tcW w:w="1051" w:type="pct"/>
            <w:vAlign w:val="center"/>
          </w:tcPr>
          <w:p w14:paraId="722B4E51">
            <w:pPr>
              <w:pStyle w:val="557"/>
            </w:pPr>
            <w:r>
              <w:rPr>
                <w:rFonts w:hint="eastAsia"/>
              </w:rPr>
              <w:t>生产废水、生活污水等经厂内污水处理站、回用水站处理后，回用于生产</w:t>
            </w:r>
          </w:p>
        </w:tc>
        <w:tc>
          <w:tcPr>
            <w:tcW w:w="901" w:type="pct"/>
            <w:vAlign w:val="center"/>
          </w:tcPr>
          <w:p w14:paraId="02686002">
            <w:pPr>
              <w:pStyle w:val="557"/>
            </w:pPr>
            <w:r>
              <w:rPr>
                <w:rFonts w:hint="eastAsia"/>
              </w:rPr>
              <w:t>-</w:t>
            </w:r>
          </w:p>
        </w:tc>
        <w:tc>
          <w:tcPr>
            <w:tcW w:w="950" w:type="pct"/>
            <w:vAlign w:val="center"/>
          </w:tcPr>
          <w:p w14:paraId="7937D376">
            <w:pPr>
              <w:pStyle w:val="557"/>
            </w:pPr>
            <w:r>
              <w:rPr>
                <w:rFonts w:hint="eastAsia"/>
              </w:rPr>
              <w:t>pH值、悬浮物、化学需氧量、五日生化需氧量、氨氮、石油类、硫化物、氰化物</w:t>
            </w:r>
          </w:p>
        </w:tc>
        <w:tc>
          <w:tcPr>
            <w:tcW w:w="550" w:type="pct"/>
            <w:vAlign w:val="center"/>
          </w:tcPr>
          <w:p w14:paraId="6DB8528C">
            <w:pPr>
              <w:pStyle w:val="557"/>
            </w:pPr>
            <w:r>
              <w:t>项目投产前</w:t>
            </w:r>
          </w:p>
        </w:tc>
      </w:tr>
      <w:tr w14:paraId="62BC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Align w:val="center"/>
          </w:tcPr>
          <w:p w14:paraId="69115263">
            <w:pPr>
              <w:pStyle w:val="557"/>
            </w:pPr>
            <w:r>
              <w:t>噪声</w:t>
            </w:r>
          </w:p>
        </w:tc>
        <w:tc>
          <w:tcPr>
            <w:tcW w:w="1304" w:type="pct"/>
            <w:gridSpan w:val="3"/>
            <w:vAlign w:val="center"/>
          </w:tcPr>
          <w:p w14:paraId="5892869E">
            <w:pPr>
              <w:pStyle w:val="557"/>
            </w:pPr>
            <w:r>
              <w:t>各噪声源</w:t>
            </w:r>
          </w:p>
        </w:tc>
        <w:tc>
          <w:tcPr>
            <w:tcW w:w="1051" w:type="pct"/>
            <w:vAlign w:val="center"/>
          </w:tcPr>
          <w:p w14:paraId="08432F66">
            <w:pPr>
              <w:pStyle w:val="557"/>
            </w:pPr>
            <w:r>
              <w:t>采用低噪声设备、基础减振</w:t>
            </w:r>
          </w:p>
        </w:tc>
        <w:tc>
          <w:tcPr>
            <w:tcW w:w="901" w:type="pct"/>
            <w:vAlign w:val="center"/>
          </w:tcPr>
          <w:p w14:paraId="147E00EC">
            <w:pPr>
              <w:pStyle w:val="557"/>
            </w:pPr>
            <w:r>
              <w:t>《工业企业厂界环境噪声排放标准》（GB12348－2008）中3类标准要求</w:t>
            </w:r>
          </w:p>
        </w:tc>
        <w:tc>
          <w:tcPr>
            <w:tcW w:w="950" w:type="pct"/>
            <w:vAlign w:val="center"/>
          </w:tcPr>
          <w:p w14:paraId="40F61F4C">
            <w:pPr>
              <w:pStyle w:val="557"/>
            </w:pPr>
            <w:r>
              <w:t>厂界等效连续A声级L</w:t>
            </w:r>
            <w:r>
              <w:rPr>
                <w:vertAlign w:val="subscript"/>
              </w:rPr>
              <w:t>Aeq</w:t>
            </w:r>
          </w:p>
        </w:tc>
        <w:tc>
          <w:tcPr>
            <w:tcW w:w="550" w:type="pct"/>
            <w:vAlign w:val="center"/>
          </w:tcPr>
          <w:p w14:paraId="3D1B7DFA">
            <w:pPr>
              <w:pStyle w:val="557"/>
            </w:pPr>
            <w:r>
              <w:t>与各设备施工建设同步</w:t>
            </w:r>
          </w:p>
        </w:tc>
      </w:tr>
      <w:tr w14:paraId="0859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restart"/>
            <w:vAlign w:val="center"/>
          </w:tcPr>
          <w:p w14:paraId="7BFAA7C6">
            <w:pPr>
              <w:pStyle w:val="557"/>
            </w:pPr>
            <w:r>
              <w:t>固废</w:t>
            </w:r>
          </w:p>
        </w:tc>
        <w:tc>
          <w:tcPr>
            <w:tcW w:w="1304" w:type="pct"/>
            <w:gridSpan w:val="3"/>
            <w:vAlign w:val="center"/>
          </w:tcPr>
          <w:p w14:paraId="5A033F27">
            <w:pPr>
              <w:pStyle w:val="557"/>
            </w:pPr>
            <w:r>
              <w:t>危险废物</w:t>
            </w:r>
          </w:p>
        </w:tc>
        <w:tc>
          <w:tcPr>
            <w:tcW w:w="1051" w:type="pct"/>
            <w:vAlign w:val="center"/>
          </w:tcPr>
          <w:p w14:paraId="499AAE7B">
            <w:pPr>
              <w:pStyle w:val="557"/>
            </w:pPr>
            <w:r>
              <w:t>新建危废暂存库，定期委托有资质的单位处理</w:t>
            </w:r>
          </w:p>
        </w:tc>
        <w:tc>
          <w:tcPr>
            <w:tcW w:w="901" w:type="pct"/>
            <w:vAlign w:val="center"/>
          </w:tcPr>
          <w:p w14:paraId="4E24936D">
            <w:pPr>
              <w:pStyle w:val="557"/>
            </w:pPr>
            <w:r>
              <w:rPr>
                <w:rFonts w:hint="eastAsia"/>
              </w:rPr>
              <w:t>《危险废物贮存污染控制标准》（GB 18597-20</w:t>
            </w:r>
            <w:r>
              <w:t>23</w:t>
            </w:r>
            <w:r>
              <w:rPr>
                <w:rFonts w:hint="eastAsia"/>
              </w:rPr>
              <w:t>）</w:t>
            </w:r>
          </w:p>
        </w:tc>
        <w:tc>
          <w:tcPr>
            <w:tcW w:w="950" w:type="pct"/>
            <w:vAlign w:val="center"/>
          </w:tcPr>
          <w:p w14:paraId="6C38A844">
            <w:pPr>
              <w:pStyle w:val="557"/>
            </w:pPr>
            <w:r>
              <w:t>/</w:t>
            </w:r>
          </w:p>
        </w:tc>
        <w:tc>
          <w:tcPr>
            <w:tcW w:w="550" w:type="pct"/>
            <w:vAlign w:val="center"/>
          </w:tcPr>
          <w:p w14:paraId="549C3994">
            <w:pPr>
              <w:pStyle w:val="557"/>
            </w:pPr>
            <w:r>
              <w:t>项目投产前</w:t>
            </w:r>
          </w:p>
        </w:tc>
      </w:tr>
      <w:tr w14:paraId="19E9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78123C0B">
            <w:pPr>
              <w:pStyle w:val="557"/>
            </w:pPr>
          </w:p>
        </w:tc>
        <w:tc>
          <w:tcPr>
            <w:tcW w:w="247" w:type="pct"/>
            <w:vMerge w:val="restart"/>
            <w:vAlign w:val="center"/>
          </w:tcPr>
          <w:p w14:paraId="6E9669F4">
            <w:pPr>
              <w:pStyle w:val="557"/>
            </w:pPr>
            <w:r>
              <w:t>一般固体废物</w:t>
            </w:r>
          </w:p>
        </w:tc>
        <w:tc>
          <w:tcPr>
            <w:tcW w:w="1057" w:type="pct"/>
            <w:gridSpan w:val="2"/>
            <w:vAlign w:val="center"/>
          </w:tcPr>
          <w:p w14:paraId="1B6BAE81">
            <w:pPr>
              <w:pStyle w:val="557"/>
              <w:rPr>
                <w:color w:val="FF0000"/>
              </w:rPr>
            </w:pPr>
            <w:r>
              <w:t>气化细渣</w:t>
            </w:r>
          </w:p>
        </w:tc>
        <w:tc>
          <w:tcPr>
            <w:tcW w:w="1051" w:type="pct"/>
            <w:vMerge w:val="restart"/>
            <w:vAlign w:val="center"/>
          </w:tcPr>
          <w:p w14:paraId="0D123DE5">
            <w:pPr>
              <w:pStyle w:val="557"/>
            </w:pPr>
            <w:r>
              <w:rPr>
                <w:rFonts w:hint="eastAsia"/>
              </w:rPr>
              <w:t>厂区不存储，</w:t>
            </w:r>
            <w:r>
              <w:t>送一般固废填埋场</w:t>
            </w:r>
          </w:p>
        </w:tc>
        <w:tc>
          <w:tcPr>
            <w:tcW w:w="901" w:type="pct"/>
            <w:vMerge w:val="restart"/>
            <w:vAlign w:val="center"/>
          </w:tcPr>
          <w:p w14:paraId="0FDD220E">
            <w:pPr>
              <w:pStyle w:val="557"/>
            </w:pPr>
            <w:r>
              <w:rPr>
                <w:rFonts w:hint="eastAsia"/>
              </w:rPr>
              <w:t>《一般工业固体废物贮存和填埋污染控制标准》（GB 18599-2020）</w:t>
            </w:r>
          </w:p>
        </w:tc>
        <w:tc>
          <w:tcPr>
            <w:tcW w:w="950" w:type="pct"/>
            <w:vAlign w:val="center"/>
          </w:tcPr>
          <w:p w14:paraId="31703ED7">
            <w:pPr>
              <w:pStyle w:val="557"/>
            </w:pPr>
            <w:r>
              <w:t>/</w:t>
            </w:r>
          </w:p>
        </w:tc>
        <w:tc>
          <w:tcPr>
            <w:tcW w:w="550" w:type="pct"/>
            <w:vMerge w:val="restart"/>
            <w:vAlign w:val="center"/>
          </w:tcPr>
          <w:p w14:paraId="3A278A15">
            <w:pPr>
              <w:pStyle w:val="557"/>
            </w:pPr>
            <w:r>
              <w:t>项目投产前</w:t>
            </w:r>
          </w:p>
        </w:tc>
      </w:tr>
      <w:tr w14:paraId="0ABA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0C3FE1C">
            <w:pPr>
              <w:pStyle w:val="557"/>
            </w:pPr>
          </w:p>
        </w:tc>
        <w:tc>
          <w:tcPr>
            <w:tcW w:w="247" w:type="pct"/>
            <w:vMerge w:val="continue"/>
            <w:vAlign w:val="center"/>
          </w:tcPr>
          <w:p w14:paraId="19F84DD1">
            <w:pPr>
              <w:pStyle w:val="557"/>
            </w:pPr>
          </w:p>
        </w:tc>
        <w:tc>
          <w:tcPr>
            <w:tcW w:w="1057" w:type="pct"/>
            <w:gridSpan w:val="2"/>
            <w:vAlign w:val="center"/>
          </w:tcPr>
          <w:p w14:paraId="65CE1600">
            <w:pPr>
              <w:pStyle w:val="557"/>
              <w:rPr>
                <w:color w:val="FF0000"/>
              </w:rPr>
            </w:pPr>
            <w:r>
              <w:t>气化粗渣</w:t>
            </w:r>
          </w:p>
        </w:tc>
        <w:tc>
          <w:tcPr>
            <w:tcW w:w="1051" w:type="pct"/>
            <w:vMerge w:val="continue"/>
            <w:vAlign w:val="center"/>
          </w:tcPr>
          <w:p w14:paraId="2E2EFE5B">
            <w:pPr>
              <w:pStyle w:val="557"/>
            </w:pPr>
          </w:p>
        </w:tc>
        <w:tc>
          <w:tcPr>
            <w:tcW w:w="901" w:type="pct"/>
            <w:vMerge w:val="continue"/>
            <w:vAlign w:val="center"/>
          </w:tcPr>
          <w:p w14:paraId="5BE0A24D">
            <w:pPr>
              <w:pStyle w:val="557"/>
            </w:pPr>
          </w:p>
        </w:tc>
        <w:tc>
          <w:tcPr>
            <w:tcW w:w="950" w:type="pct"/>
            <w:vAlign w:val="center"/>
          </w:tcPr>
          <w:p w14:paraId="53BF5B7B">
            <w:pPr>
              <w:pStyle w:val="557"/>
            </w:pPr>
            <w:r>
              <w:rPr>
                <w:rFonts w:hint="eastAsia"/>
              </w:rPr>
              <w:t>/</w:t>
            </w:r>
          </w:p>
        </w:tc>
        <w:tc>
          <w:tcPr>
            <w:tcW w:w="550" w:type="pct"/>
            <w:vMerge w:val="continue"/>
            <w:vAlign w:val="center"/>
          </w:tcPr>
          <w:p w14:paraId="6F257305">
            <w:pPr>
              <w:pStyle w:val="557"/>
            </w:pPr>
          </w:p>
        </w:tc>
      </w:tr>
      <w:tr w14:paraId="11E4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DB00109">
            <w:pPr>
              <w:pStyle w:val="557"/>
            </w:pPr>
          </w:p>
        </w:tc>
        <w:tc>
          <w:tcPr>
            <w:tcW w:w="247" w:type="pct"/>
            <w:vMerge w:val="continue"/>
            <w:vAlign w:val="center"/>
          </w:tcPr>
          <w:p w14:paraId="54247B81">
            <w:pPr>
              <w:pStyle w:val="557"/>
            </w:pPr>
          </w:p>
        </w:tc>
        <w:tc>
          <w:tcPr>
            <w:tcW w:w="1057" w:type="pct"/>
            <w:gridSpan w:val="2"/>
            <w:vAlign w:val="center"/>
          </w:tcPr>
          <w:p w14:paraId="16A2D769">
            <w:pPr>
              <w:pStyle w:val="557"/>
              <w:rPr>
                <w:color w:val="FF0000"/>
              </w:rPr>
            </w:pPr>
            <w:r>
              <w:t>原煤仓收尘灰</w:t>
            </w:r>
          </w:p>
        </w:tc>
        <w:tc>
          <w:tcPr>
            <w:tcW w:w="1051" w:type="pct"/>
            <w:vAlign w:val="center"/>
          </w:tcPr>
          <w:p w14:paraId="002E9EEE">
            <w:pPr>
              <w:pStyle w:val="557"/>
            </w:pPr>
            <w:r>
              <w:t>回用</w:t>
            </w:r>
          </w:p>
        </w:tc>
        <w:tc>
          <w:tcPr>
            <w:tcW w:w="901" w:type="pct"/>
            <w:vMerge w:val="continue"/>
            <w:vAlign w:val="center"/>
          </w:tcPr>
          <w:p w14:paraId="1793C464">
            <w:pPr>
              <w:pStyle w:val="557"/>
            </w:pPr>
          </w:p>
        </w:tc>
        <w:tc>
          <w:tcPr>
            <w:tcW w:w="950" w:type="pct"/>
            <w:vAlign w:val="center"/>
          </w:tcPr>
          <w:p w14:paraId="1AE1DF16">
            <w:pPr>
              <w:pStyle w:val="557"/>
            </w:pPr>
            <w:r>
              <w:t>/</w:t>
            </w:r>
          </w:p>
        </w:tc>
        <w:tc>
          <w:tcPr>
            <w:tcW w:w="550" w:type="pct"/>
            <w:vMerge w:val="continue"/>
            <w:vAlign w:val="center"/>
          </w:tcPr>
          <w:p w14:paraId="66381E05">
            <w:pPr>
              <w:pStyle w:val="557"/>
            </w:pPr>
          </w:p>
        </w:tc>
      </w:tr>
      <w:tr w14:paraId="6F2C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AD06A5B">
            <w:pPr>
              <w:pStyle w:val="557"/>
            </w:pPr>
          </w:p>
        </w:tc>
        <w:tc>
          <w:tcPr>
            <w:tcW w:w="247" w:type="pct"/>
            <w:vMerge w:val="continue"/>
            <w:vAlign w:val="center"/>
          </w:tcPr>
          <w:p w14:paraId="788CD8FB">
            <w:pPr>
              <w:pStyle w:val="557"/>
            </w:pPr>
          </w:p>
        </w:tc>
        <w:tc>
          <w:tcPr>
            <w:tcW w:w="1057" w:type="pct"/>
            <w:gridSpan w:val="2"/>
            <w:vAlign w:val="center"/>
          </w:tcPr>
          <w:p w14:paraId="4E6D10AA">
            <w:pPr>
              <w:pStyle w:val="557"/>
              <w:rPr>
                <w:color w:val="FF0000"/>
              </w:rPr>
            </w:pPr>
            <w:r>
              <w:t>磨煤及干燥收尘灰</w:t>
            </w:r>
          </w:p>
        </w:tc>
        <w:tc>
          <w:tcPr>
            <w:tcW w:w="1051" w:type="pct"/>
            <w:vAlign w:val="center"/>
          </w:tcPr>
          <w:p w14:paraId="492530C9">
            <w:pPr>
              <w:pStyle w:val="557"/>
            </w:pPr>
            <w:r>
              <w:t>回用</w:t>
            </w:r>
          </w:p>
        </w:tc>
        <w:tc>
          <w:tcPr>
            <w:tcW w:w="901" w:type="pct"/>
            <w:vMerge w:val="continue"/>
            <w:vAlign w:val="center"/>
          </w:tcPr>
          <w:p w14:paraId="32CD5F7E">
            <w:pPr>
              <w:pStyle w:val="557"/>
            </w:pPr>
          </w:p>
        </w:tc>
        <w:tc>
          <w:tcPr>
            <w:tcW w:w="950" w:type="pct"/>
            <w:vAlign w:val="center"/>
          </w:tcPr>
          <w:p w14:paraId="0BD541C3">
            <w:pPr>
              <w:pStyle w:val="557"/>
            </w:pPr>
            <w:r>
              <w:rPr>
                <w:rFonts w:hint="eastAsia"/>
              </w:rPr>
              <w:t>/</w:t>
            </w:r>
          </w:p>
        </w:tc>
        <w:tc>
          <w:tcPr>
            <w:tcW w:w="550" w:type="pct"/>
            <w:vMerge w:val="continue"/>
            <w:vAlign w:val="center"/>
          </w:tcPr>
          <w:p w14:paraId="0F489947">
            <w:pPr>
              <w:pStyle w:val="557"/>
            </w:pPr>
          </w:p>
        </w:tc>
      </w:tr>
      <w:tr w14:paraId="6E59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C2E452F">
            <w:pPr>
              <w:pStyle w:val="557"/>
            </w:pPr>
          </w:p>
        </w:tc>
        <w:tc>
          <w:tcPr>
            <w:tcW w:w="247" w:type="pct"/>
            <w:vMerge w:val="continue"/>
            <w:vAlign w:val="center"/>
          </w:tcPr>
          <w:p w14:paraId="0620ED86">
            <w:pPr>
              <w:pStyle w:val="557"/>
            </w:pPr>
          </w:p>
        </w:tc>
        <w:tc>
          <w:tcPr>
            <w:tcW w:w="1057" w:type="pct"/>
            <w:gridSpan w:val="2"/>
            <w:vAlign w:val="center"/>
          </w:tcPr>
          <w:p w14:paraId="3844F22A">
            <w:pPr>
              <w:pStyle w:val="557"/>
              <w:rPr>
                <w:color w:val="FF0000"/>
              </w:rPr>
            </w:pPr>
            <w:r>
              <w:t>粉煤</w:t>
            </w:r>
            <w:r>
              <w:rPr>
                <w:rFonts w:hint="eastAsia"/>
              </w:rPr>
              <w:t>锁斗</w:t>
            </w:r>
            <w:r>
              <w:t>收尘灰</w:t>
            </w:r>
          </w:p>
        </w:tc>
        <w:tc>
          <w:tcPr>
            <w:tcW w:w="1051" w:type="pct"/>
            <w:vAlign w:val="center"/>
          </w:tcPr>
          <w:p w14:paraId="480B0FD9">
            <w:pPr>
              <w:pStyle w:val="557"/>
            </w:pPr>
            <w:r>
              <w:t>回用</w:t>
            </w:r>
          </w:p>
        </w:tc>
        <w:tc>
          <w:tcPr>
            <w:tcW w:w="901" w:type="pct"/>
            <w:vMerge w:val="continue"/>
            <w:vAlign w:val="center"/>
          </w:tcPr>
          <w:p w14:paraId="6B6BC275">
            <w:pPr>
              <w:pStyle w:val="557"/>
            </w:pPr>
          </w:p>
        </w:tc>
        <w:tc>
          <w:tcPr>
            <w:tcW w:w="950" w:type="pct"/>
            <w:vAlign w:val="center"/>
          </w:tcPr>
          <w:p w14:paraId="200FFF69">
            <w:pPr>
              <w:pStyle w:val="557"/>
            </w:pPr>
            <w:r>
              <w:t>/</w:t>
            </w:r>
          </w:p>
        </w:tc>
        <w:tc>
          <w:tcPr>
            <w:tcW w:w="550" w:type="pct"/>
            <w:vMerge w:val="continue"/>
            <w:vAlign w:val="center"/>
          </w:tcPr>
          <w:p w14:paraId="20C63131">
            <w:pPr>
              <w:pStyle w:val="557"/>
            </w:pPr>
          </w:p>
        </w:tc>
      </w:tr>
      <w:tr w14:paraId="19C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CF2521C">
            <w:pPr>
              <w:pStyle w:val="557"/>
            </w:pPr>
          </w:p>
        </w:tc>
        <w:tc>
          <w:tcPr>
            <w:tcW w:w="247" w:type="pct"/>
            <w:vMerge w:val="continue"/>
            <w:vAlign w:val="center"/>
          </w:tcPr>
          <w:p w14:paraId="4744A382">
            <w:pPr>
              <w:pStyle w:val="557"/>
            </w:pPr>
          </w:p>
        </w:tc>
        <w:tc>
          <w:tcPr>
            <w:tcW w:w="1057" w:type="pct"/>
            <w:gridSpan w:val="2"/>
            <w:vAlign w:val="center"/>
          </w:tcPr>
          <w:p w14:paraId="2F4199EE">
            <w:pPr>
              <w:pStyle w:val="557"/>
              <w:rPr>
                <w:color w:val="FF0000"/>
              </w:rPr>
            </w:pPr>
            <w:r>
              <w:rPr>
                <w:rFonts w:hint="eastAsia"/>
              </w:rPr>
              <w:t>深冷分离-废分子筛</w:t>
            </w:r>
          </w:p>
        </w:tc>
        <w:tc>
          <w:tcPr>
            <w:tcW w:w="1051" w:type="pct"/>
            <w:vAlign w:val="center"/>
          </w:tcPr>
          <w:p w14:paraId="02BB01ED">
            <w:pPr>
              <w:pStyle w:val="557"/>
            </w:pPr>
            <w:r>
              <w:rPr>
                <w:rFonts w:hint="eastAsia"/>
              </w:rPr>
              <w:t>厂家回收</w:t>
            </w:r>
          </w:p>
        </w:tc>
        <w:tc>
          <w:tcPr>
            <w:tcW w:w="901" w:type="pct"/>
            <w:vMerge w:val="continue"/>
            <w:vAlign w:val="center"/>
          </w:tcPr>
          <w:p w14:paraId="5B4598FE">
            <w:pPr>
              <w:pStyle w:val="557"/>
            </w:pPr>
          </w:p>
        </w:tc>
        <w:tc>
          <w:tcPr>
            <w:tcW w:w="950" w:type="pct"/>
            <w:vAlign w:val="center"/>
          </w:tcPr>
          <w:p w14:paraId="180B3573">
            <w:pPr>
              <w:pStyle w:val="557"/>
            </w:pPr>
            <w:r>
              <w:rPr>
                <w:rFonts w:hint="eastAsia"/>
              </w:rPr>
              <w:t>/</w:t>
            </w:r>
          </w:p>
        </w:tc>
        <w:tc>
          <w:tcPr>
            <w:tcW w:w="550" w:type="pct"/>
            <w:vMerge w:val="continue"/>
            <w:vAlign w:val="center"/>
          </w:tcPr>
          <w:p w14:paraId="010E39D9">
            <w:pPr>
              <w:pStyle w:val="557"/>
            </w:pPr>
          </w:p>
        </w:tc>
      </w:tr>
      <w:tr w14:paraId="196B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C4C5EEB">
            <w:pPr>
              <w:pStyle w:val="557"/>
            </w:pPr>
          </w:p>
        </w:tc>
        <w:tc>
          <w:tcPr>
            <w:tcW w:w="247" w:type="pct"/>
            <w:vMerge w:val="continue"/>
            <w:vAlign w:val="center"/>
          </w:tcPr>
          <w:p w14:paraId="68E21A53">
            <w:pPr>
              <w:pStyle w:val="557"/>
            </w:pPr>
          </w:p>
        </w:tc>
        <w:tc>
          <w:tcPr>
            <w:tcW w:w="1057" w:type="pct"/>
            <w:gridSpan w:val="2"/>
            <w:vAlign w:val="center"/>
          </w:tcPr>
          <w:p w14:paraId="4518C625">
            <w:pPr>
              <w:pStyle w:val="557"/>
              <w:rPr>
                <w:color w:val="FF0000"/>
              </w:rPr>
            </w:pPr>
            <w:r>
              <w:rPr>
                <w:rFonts w:hint="eastAsia"/>
              </w:rPr>
              <w:t>电解水制气装置-废分子筛</w:t>
            </w:r>
          </w:p>
        </w:tc>
        <w:tc>
          <w:tcPr>
            <w:tcW w:w="1051" w:type="pct"/>
            <w:vAlign w:val="center"/>
          </w:tcPr>
          <w:p w14:paraId="62764F75">
            <w:pPr>
              <w:pStyle w:val="557"/>
            </w:pPr>
            <w:r>
              <w:rPr>
                <w:rFonts w:hint="eastAsia"/>
              </w:rPr>
              <w:t>厂家回收</w:t>
            </w:r>
          </w:p>
        </w:tc>
        <w:tc>
          <w:tcPr>
            <w:tcW w:w="901" w:type="pct"/>
            <w:vMerge w:val="continue"/>
            <w:vAlign w:val="center"/>
          </w:tcPr>
          <w:p w14:paraId="6FD3296C">
            <w:pPr>
              <w:pStyle w:val="557"/>
            </w:pPr>
          </w:p>
        </w:tc>
        <w:tc>
          <w:tcPr>
            <w:tcW w:w="950" w:type="pct"/>
            <w:vAlign w:val="center"/>
          </w:tcPr>
          <w:p w14:paraId="12E8FFFC">
            <w:pPr>
              <w:pStyle w:val="557"/>
            </w:pPr>
            <w:r>
              <w:rPr>
                <w:rFonts w:hint="eastAsia"/>
              </w:rPr>
              <w:t>/</w:t>
            </w:r>
          </w:p>
        </w:tc>
        <w:tc>
          <w:tcPr>
            <w:tcW w:w="550" w:type="pct"/>
            <w:vMerge w:val="continue"/>
            <w:vAlign w:val="center"/>
          </w:tcPr>
          <w:p w14:paraId="0FB121D2">
            <w:pPr>
              <w:pStyle w:val="557"/>
            </w:pPr>
          </w:p>
        </w:tc>
      </w:tr>
      <w:tr w14:paraId="0918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3D2D6E37">
            <w:pPr>
              <w:pStyle w:val="557"/>
            </w:pPr>
          </w:p>
        </w:tc>
        <w:tc>
          <w:tcPr>
            <w:tcW w:w="247" w:type="pct"/>
            <w:vMerge w:val="continue"/>
            <w:vAlign w:val="center"/>
          </w:tcPr>
          <w:p w14:paraId="12EA02CF">
            <w:pPr>
              <w:pStyle w:val="557"/>
            </w:pPr>
          </w:p>
        </w:tc>
        <w:tc>
          <w:tcPr>
            <w:tcW w:w="1057" w:type="pct"/>
            <w:gridSpan w:val="2"/>
            <w:vAlign w:val="center"/>
          </w:tcPr>
          <w:p w14:paraId="367A75F9">
            <w:pPr>
              <w:pStyle w:val="557"/>
              <w:rPr>
                <w:color w:val="FF0000"/>
              </w:rPr>
            </w:pPr>
            <w:r>
              <w:rPr>
                <w:rFonts w:hint="eastAsia"/>
              </w:rPr>
              <w:t>有机缓释肥装置-投料废气-收尘灰</w:t>
            </w:r>
          </w:p>
        </w:tc>
        <w:tc>
          <w:tcPr>
            <w:tcW w:w="1051" w:type="pct"/>
            <w:vMerge w:val="restart"/>
            <w:vAlign w:val="center"/>
          </w:tcPr>
          <w:p w14:paraId="130CA2D5">
            <w:pPr>
              <w:pStyle w:val="557"/>
            </w:pPr>
            <w:r>
              <w:t>回用</w:t>
            </w:r>
          </w:p>
        </w:tc>
        <w:tc>
          <w:tcPr>
            <w:tcW w:w="901" w:type="pct"/>
            <w:vMerge w:val="continue"/>
            <w:vAlign w:val="center"/>
          </w:tcPr>
          <w:p w14:paraId="66CF82E5">
            <w:pPr>
              <w:pStyle w:val="557"/>
            </w:pPr>
          </w:p>
        </w:tc>
        <w:tc>
          <w:tcPr>
            <w:tcW w:w="950" w:type="pct"/>
            <w:vAlign w:val="center"/>
          </w:tcPr>
          <w:p w14:paraId="41DD69E7">
            <w:pPr>
              <w:pStyle w:val="557"/>
            </w:pPr>
            <w:r>
              <w:rPr>
                <w:rFonts w:hint="eastAsia"/>
              </w:rPr>
              <w:t>/</w:t>
            </w:r>
          </w:p>
        </w:tc>
        <w:tc>
          <w:tcPr>
            <w:tcW w:w="550" w:type="pct"/>
            <w:vMerge w:val="continue"/>
            <w:vAlign w:val="center"/>
          </w:tcPr>
          <w:p w14:paraId="66348D2B">
            <w:pPr>
              <w:pStyle w:val="557"/>
            </w:pPr>
          </w:p>
        </w:tc>
      </w:tr>
      <w:tr w14:paraId="6E95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1266D1F0">
            <w:pPr>
              <w:pStyle w:val="557"/>
            </w:pPr>
          </w:p>
        </w:tc>
        <w:tc>
          <w:tcPr>
            <w:tcW w:w="247" w:type="pct"/>
            <w:vMerge w:val="continue"/>
            <w:vAlign w:val="center"/>
          </w:tcPr>
          <w:p w14:paraId="0D90B138">
            <w:pPr>
              <w:pStyle w:val="557"/>
            </w:pPr>
          </w:p>
        </w:tc>
        <w:tc>
          <w:tcPr>
            <w:tcW w:w="1057" w:type="pct"/>
            <w:gridSpan w:val="2"/>
            <w:vAlign w:val="center"/>
          </w:tcPr>
          <w:p w14:paraId="02EB5A55">
            <w:pPr>
              <w:pStyle w:val="557"/>
              <w:rPr>
                <w:color w:val="FF0000"/>
              </w:rPr>
            </w:pPr>
            <w:r>
              <w:rPr>
                <w:rFonts w:hint="eastAsia"/>
              </w:rPr>
              <w:t>有机缓释肥装置-冷却废气-收尘灰</w:t>
            </w:r>
          </w:p>
        </w:tc>
        <w:tc>
          <w:tcPr>
            <w:tcW w:w="1051" w:type="pct"/>
            <w:vMerge w:val="continue"/>
            <w:vAlign w:val="center"/>
          </w:tcPr>
          <w:p w14:paraId="19F53012">
            <w:pPr>
              <w:pStyle w:val="557"/>
            </w:pPr>
          </w:p>
        </w:tc>
        <w:tc>
          <w:tcPr>
            <w:tcW w:w="901" w:type="pct"/>
            <w:vMerge w:val="continue"/>
            <w:vAlign w:val="center"/>
          </w:tcPr>
          <w:p w14:paraId="6E41D710">
            <w:pPr>
              <w:pStyle w:val="557"/>
            </w:pPr>
          </w:p>
        </w:tc>
        <w:tc>
          <w:tcPr>
            <w:tcW w:w="950" w:type="pct"/>
            <w:vAlign w:val="center"/>
          </w:tcPr>
          <w:p w14:paraId="6EE47E51">
            <w:pPr>
              <w:pStyle w:val="557"/>
            </w:pPr>
            <w:r>
              <w:t>/</w:t>
            </w:r>
          </w:p>
        </w:tc>
        <w:tc>
          <w:tcPr>
            <w:tcW w:w="550" w:type="pct"/>
            <w:vMerge w:val="continue"/>
            <w:vAlign w:val="center"/>
          </w:tcPr>
          <w:p w14:paraId="4ECECCDB">
            <w:pPr>
              <w:pStyle w:val="557"/>
            </w:pPr>
          </w:p>
        </w:tc>
      </w:tr>
      <w:tr w14:paraId="573E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348E325">
            <w:pPr>
              <w:pStyle w:val="557"/>
            </w:pPr>
          </w:p>
        </w:tc>
        <w:tc>
          <w:tcPr>
            <w:tcW w:w="247" w:type="pct"/>
            <w:vMerge w:val="continue"/>
            <w:vAlign w:val="center"/>
          </w:tcPr>
          <w:p w14:paraId="1E3EAFED">
            <w:pPr>
              <w:pStyle w:val="557"/>
            </w:pPr>
          </w:p>
        </w:tc>
        <w:tc>
          <w:tcPr>
            <w:tcW w:w="1057" w:type="pct"/>
            <w:gridSpan w:val="2"/>
            <w:vAlign w:val="center"/>
          </w:tcPr>
          <w:p w14:paraId="65EFD464">
            <w:pPr>
              <w:pStyle w:val="557"/>
              <w:rPr>
                <w:color w:val="FF0000"/>
              </w:rPr>
            </w:pPr>
            <w:r>
              <w:t>脱盐水站-废超滤膜</w:t>
            </w:r>
          </w:p>
        </w:tc>
        <w:tc>
          <w:tcPr>
            <w:tcW w:w="1051" w:type="pct"/>
            <w:vMerge w:val="restart"/>
            <w:vAlign w:val="center"/>
          </w:tcPr>
          <w:p w14:paraId="3CB3E123">
            <w:pPr>
              <w:pStyle w:val="557"/>
            </w:pPr>
            <w:r>
              <w:t>送一般固废填埋场</w:t>
            </w:r>
          </w:p>
        </w:tc>
        <w:tc>
          <w:tcPr>
            <w:tcW w:w="901" w:type="pct"/>
            <w:vMerge w:val="continue"/>
            <w:vAlign w:val="center"/>
          </w:tcPr>
          <w:p w14:paraId="5BD0C944">
            <w:pPr>
              <w:pStyle w:val="557"/>
            </w:pPr>
          </w:p>
        </w:tc>
        <w:tc>
          <w:tcPr>
            <w:tcW w:w="950" w:type="pct"/>
            <w:vAlign w:val="center"/>
          </w:tcPr>
          <w:p w14:paraId="73C60F77">
            <w:pPr>
              <w:pStyle w:val="557"/>
            </w:pPr>
            <w:r>
              <w:rPr>
                <w:rFonts w:hint="eastAsia"/>
              </w:rPr>
              <w:t>/</w:t>
            </w:r>
          </w:p>
        </w:tc>
        <w:tc>
          <w:tcPr>
            <w:tcW w:w="550" w:type="pct"/>
            <w:vMerge w:val="continue"/>
            <w:vAlign w:val="center"/>
          </w:tcPr>
          <w:p w14:paraId="104C394D">
            <w:pPr>
              <w:pStyle w:val="557"/>
            </w:pPr>
          </w:p>
        </w:tc>
      </w:tr>
      <w:tr w14:paraId="6F96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577B0FC">
            <w:pPr>
              <w:pStyle w:val="557"/>
            </w:pPr>
          </w:p>
        </w:tc>
        <w:tc>
          <w:tcPr>
            <w:tcW w:w="247" w:type="pct"/>
            <w:vMerge w:val="continue"/>
            <w:vAlign w:val="center"/>
          </w:tcPr>
          <w:p w14:paraId="7BCD7EB2">
            <w:pPr>
              <w:pStyle w:val="557"/>
            </w:pPr>
          </w:p>
        </w:tc>
        <w:tc>
          <w:tcPr>
            <w:tcW w:w="1057" w:type="pct"/>
            <w:gridSpan w:val="2"/>
            <w:vAlign w:val="center"/>
          </w:tcPr>
          <w:p w14:paraId="158279FD">
            <w:pPr>
              <w:pStyle w:val="557"/>
              <w:rPr>
                <w:color w:val="FF0000"/>
              </w:rPr>
            </w:pPr>
            <w:r>
              <w:t>脱盐水站-废反渗透膜</w:t>
            </w:r>
          </w:p>
        </w:tc>
        <w:tc>
          <w:tcPr>
            <w:tcW w:w="1051" w:type="pct"/>
            <w:vMerge w:val="continue"/>
            <w:vAlign w:val="center"/>
          </w:tcPr>
          <w:p w14:paraId="498E942F">
            <w:pPr>
              <w:pStyle w:val="557"/>
            </w:pPr>
          </w:p>
        </w:tc>
        <w:tc>
          <w:tcPr>
            <w:tcW w:w="901" w:type="pct"/>
            <w:vMerge w:val="continue"/>
            <w:vAlign w:val="center"/>
          </w:tcPr>
          <w:p w14:paraId="7DD7AE88">
            <w:pPr>
              <w:pStyle w:val="557"/>
            </w:pPr>
          </w:p>
        </w:tc>
        <w:tc>
          <w:tcPr>
            <w:tcW w:w="950" w:type="pct"/>
            <w:vAlign w:val="center"/>
          </w:tcPr>
          <w:p w14:paraId="564F80FB">
            <w:pPr>
              <w:pStyle w:val="557"/>
            </w:pPr>
            <w:r>
              <w:t>/</w:t>
            </w:r>
          </w:p>
        </w:tc>
        <w:tc>
          <w:tcPr>
            <w:tcW w:w="550" w:type="pct"/>
            <w:vMerge w:val="continue"/>
            <w:vAlign w:val="center"/>
          </w:tcPr>
          <w:p w14:paraId="4313F47A">
            <w:pPr>
              <w:pStyle w:val="557"/>
            </w:pPr>
          </w:p>
        </w:tc>
      </w:tr>
      <w:tr w14:paraId="65BD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 w:hRule="atLeast"/>
          <w:jc w:val="center"/>
        </w:trPr>
        <w:tc>
          <w:tcPr>
            <w:tcW w:w="244" w:type="pct"/>
            <w:vMerge w:val="continue"/>
            <w:vAlign w:val="center"/>
          </w:tcPr>
          <w:p w14:paraId="0400DE4E">
            <w:pPr>
              <w:pStyle w:val="557"/>
            </w:pPr>
          </w:p>
        </w:tc>
        <w:tc>
          <w:tcPr>
            <w:tcW w:w="247" w:type="pct"/>
            <w:vMerge w:val="continue"/>
            <w:vAlign w:val="center"/>
          </w:tcPr>
          <w:p w14:paraId="305D17E6">
            <w:pPr>
              <w:pStyle w:val="557"/>
            </w:pPr>
          </w:p>
        </w:tc>
        <w:tc>
          <w:tcPr>
            <w:tcW w:w="1057" w:type="pct"/>
            <w:gridSpan w:val="2"/>
            <w:vMerge w:val="restart"/>
            <w:vAlign w:val="center"/>
          </w:tcPr>
          <w:p w14:paraId="7E6AA9EB">
            <w:pPr>
              <w:pStyle w:val="557"/>
              <w:rPr>
                <w:color w:val="FF0000"/>
              </w:rPr>
            </w:pPr>
            <w:r>
              <w:t>脱盐水站-废离子交换树脂</w:t>
            </w:r>
          </w:p>
          <w:p w14:paraId="5D0594A1">
            <w:pPr>
              <w:pStyle w:val="557"/>
              <w:rPr>
                <w:color w:val="FF0000"/>
              </w:rPr>
            </w:pPr>
            <w:r>
              <w:rPr>
                <w:rFonts w:hint="eastAsia"/>
                <w:color w:val="000000"/>
              </w:rPr>
              <w:t>中水回用系统</w:t>
            </w:r>
            <w:r>
              <w:rPr>
                <w:color w:val="000000"/>
              </w:rPr>
              <w:t>-污泥</w:t>
            </w:r>
          </w:p>
        </w:tc>
        <w:tc>
          <w:tcPr>
            <w:tcW w:w="1051" w:type="pct"/>
            <w:vMerge w:val="continue"/>
            <w:vAlign w:val="center"/>
          </w:tcPr>
          <w:p w14:paraId="3A23D2DC">
            <w:pPr>
              <w:pStyle w:val="557"/>
            </w:pPr>
          </w:p>
        </w:tc>
        <w:tc>
          <w:tcPr>
            <w:tcW w:w="901" w:type="pct"/>
            <w:vMerge w:val="continue"/>
            <w:vAlign w:val="center"/>
          </w:tcPr>
          <w:p w14:paraId="0B5D0AC1">
            <w:pPr>
              <w:pStyle w:val="557"/>
            </w:pPr>
          </w:p>
        </w:tc>
        <w:tc>
          <w:tcPr>
            <w:tcW w:w="950" w:type="pct"/>
            <w:vAlign w:val="center"/>
          </w:tcPr>
          <w:p w14:paraId="0B7256DF">
            <w:pPr>
              <w:pStyle w:val="557"/>
            </w:pPr>
            <w:r>
              <w:rPr>
                <w:rFonts w:hint="eastAsia"/>
              </w:rPr>
              <w:t>/</w:t>
            </w:r>
          </w:p>
        </w:tc>
        <w:tc>
          <w:tcPr>
            <w:tcW w:w="550" w:type="pct"/>
            <w:vMerge w:val="continue"/>
            <w:vAlign w:val="center"/>
          </w:tcPr>
          <w:p w14:paraId="3C7B6ACD">
            <w:pPr>
              <w:pStyle w:val="557"/>
            </w:pPr>
          </w:p>
        </w:tc>
      </w:tr>
      <w:tr w14:paraId="6FA2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44" w:type="pct"/>
            <w:vMerge w:val="continue"/>
            <w:vAlign w:val="center"/>
          </w:tcPr>
          <w:p w14:paraId="1EC47523">
            <w:pPr>
              <w:pStyle w:val="557"/>
            </w:pPr>
          </w:p>
        </w:tc>
        <w:tc>
          <w:tcPr>
            <w:tcW w:w="247" w:type="pct"/>
            <w:vMerge w:val="continue"/>
            <w:vAlign w:val="center"/>
          </w:tcPr>
          <w:p w14:paraId="71CE88C4">
            <w:pPr>
              <w:pStyle w:val="557"/>
            </w:pPr>
          </w:p>
        </w:tc>
        <w:tc>
          <w:tcPr>
            <w:tcW w:w="1057" w:type="pct"/>
            <w:gridSpan w:val="2"/>
            <w:vMerge w:val="continue"/>
            <w:vAlign w:val="center"/>
          </w:tcPr>
          <w:p w14:paraId="1B61CB3B">
            <w:pPr>
              <w:pStyle w:val="557"/>
              <w:rPr>
                <w:color w:val="FF0000"/>
              </w:rPr>
            </w:pPr>
          </w:p>
        </w:tc>
        <w:tc>
          <w:tcPr>
            <w:tcW w:w="1051" w:type="pct"/>
            <w:vMerge w:val="continue"/>
            <w:vAlign w:val="center"/>
          </w:tcPr>
          <w:p w14:paraId="11BE4C03">
            <w:pPr>
              <w:pStyle w:val="557"/>
            </w:pPr>
          </w:p>
        </w:tc>
        <w:tc>
          <w:tcPr>
            <w:tcW w:w="901" w:type="pct"/>
            <w:vMerge w:val="continue"/>
            <w:vAlign w:val="center"/>
          </w:tcPr>
          <w:p w14:paraId="4C76BDB2">
            <w:pPr>
              <w:pStyle w:val="557"/>
            </w:pPr>
          </w:p>
        </w:tc>
        <w:tc>
          <w:tcPr>
            <w:tcW w:w="950" w:type="pct"/>
            <w:vAlign w:val="center"/>
          </w:tcPr>
          <w:p w14:paraId="02582EC2">
            <w:pPr>
              <w:pStyle w:val="557"/>
            </w:pPr>
            <w:r>
              <w:t>/</w:t>
            </w:r>
          </w:p>
        </w:tc>
        <w:tc>
          <w:tcPr>
            <w:tcW w:w="550" w:type="pct"/>
            <w:vMerge w:val="continue"/>
            <w:vAlign w:val="center"/>
          </w:tcPr>
          <w:p w14:paraId="0C067AD5">
            <w:pPr>
              <w:pStyle w:val="557"/>
            </w:pPr>
          </w:p>
        </w:tc>
      </w:tr>
      <w:tr w14:paraId="02D4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44" w:type="pct"/>
            <w:vMerge w:val="continue"/>
            <w:vAlign w:val="center"/>
          </w:tcPr>
          <w:p w14:paraId="595AE616">
            <w:pPr>
              <w:pStyle w:val="557"/>
            </w:pPr>
          </w:p>
        </w:tc>
        <w:tc>
          <w:tcPr>
            <w:tcW w:w="247" w:type="pct"/>
            <w:vMerge w:val="continue"/>
            <w:vAlign w:val="center"/>
          </w:tcPr>
          <w:p w14:paraId="0F39B0B0">
            <w:pPr>
              <w:pStyle w:val="557"/>
            </w:pPr>
          </w:p>
        </w:tc>
        <w:tc>
          <w:tcPr>
            <w:tcW w:w="1057" w:type="pct"/>
            <w:gridSpan w:val="2"/>
            <w:vAlign w:val="center"/>
          </w:tcPr>
          <w:p w14:paraId="333C097C">
            <w:pPr>
              <w:pStyle w:val="557"/>
              <w:rPr>
                <w:color w:val="FF0000"/>
              </w:rPr>
            </w:pPr>
            <w:r>
              <w:rPr>
                <w:rFonts w:hint="eastAsia"/>
                <w:color w:val="000000"/>
              </w:rPr>
              <w:t>中水回用系统</w:t>
            </w:r>
            <w:r>
              <w:rPr>
                <w:color w:val="000000"/>
              </w:rPr>
              <w:t>-废滤料</w:t>
            </w:r>
          </w:p>
        </w:tc>
        <w:tc>
          <w:tcPr>
            <w:tcW w:w="1051" w:type="pct"/>
            <w:vMerge w:val="continue"/>
            <w:vAlign w:val="center"/>
          </w:tcPr>
          <w:p w14:paraId="2144A0B5">
            <w:pPr>
              <w:pStyle w:val="557"/>
            </w:pPr>
          </w:p>
        </w:tc>
        <w:tc>
          <w:tcPr>
            <w:tcW w:w="901" w:type="pct"/>
            <w:vMerge w:val="continue"/>
            <w:vAlign w:val="center"/>
          </w:tcPr>
          <w:p w14:paraId="60D5FE3E">
            <w:pPr>
              <w:pStyle w:val="557"/>
            </w:pPr>
          </w:p>
        </w:tc>
        <w:tc>
          <w:tcPr>
            <w:tcW w:w="950" w:type="pct"/>
            <w:vAlign w:val="center"/>
          </w:tcPr>
          <w:p w14:paraId="0C877D19">
            <w:pPr>
              <w:pStyle w:val="557"/>
            </w:pPr>
            <w:r>
              <w:rPr>
                <w:rFonts w:hint="eastAsia"/>
              </w:rPr>
              <w:t>/</w:t>
            </w:r>
          </w:p>
        </w:tc>
        <w:tc>
          <w:tcPr>
            <w:tcW w:w="550" w:type="pct"/>
            <w:vMerge w:val="continue"/>
            <w:vAlign w:val="center"/>
          </w:tcPr>
          <w:p w14:paraId="44D6E320">
            <w:pPr>
              <w:pStyle w:val="557"/>
            </w:pPr>
          </w:p>
        </w:tc>
      </w:tr>
      <w:tr w14:paraId="1E70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44" w:type="pct"/>
            <w:vMerge w:val="continue"/>
            <w:vAlign w:val="center"/>
          </w:tcPr>
          <w:p w14:paraId="1F184A1C">
            <w:pPr>
              <w:pStyle w:val="557"/>
            </w:pPr>
          </w:p>
        </w:tc>
        <w:tc>
          <w:tcPr>
            <w:tcW w:w="247" w:type="pct"/>
            <w:vMerge w:val="continue"/>
            <w:vAlign w:val="center"/>
          </w:tcPr>
          <w:p w14:paraId="01DFE1E1">
            <w:pPr>
              <w:pStyle w:val="557"/>
            </w:pPr>
          </w:p>
        </w:tc>
        <w:tc>
          <w:tcPr>
            <w:tcW w:w="1057" w:type="pct"/>
            <w:gridSpan w:val="2"/>
            <w:vAlign w:val="center"/>
          </w:tcPr>
          <w:p w14:paraId="04E926B8">
            <w:pPr>
              <w:pStyle w:val="557"/>
              <w:rPr>
                <w:color w:val="FF0000"/>
              </w:rPr>
            </w:pPr>
            <w:r>
              <w:t>脱盐水站-废超滤膜</w:t>
            </w:r>
          </w:p>
        </w:tc>
        <w:tc>
          <w:tcPr>
            <w:tcW w:w="1051" w:type="pct"/>
            <w:vMerge w:val="continue"/>
            <w:vAlign w:val="center"/>
          </w:tcPr>
          <w:p w14:paraId="7F7F1A3D">
            <w:pPr>
              <w:pStyle w:val="557"/>
            </w:pPr>
          </w:p>
        </w:tc>
        <w:tc>
          <w:tcPr>
            <w:tcW w:w="901" w:type="pct"/>
            <w:vMerge w:val="continue"/>
            <w:vAlign w:val="center"/>
          </w:tcPr>
          <w:p w14:paraId="4A1E8C3D">
            <w:pPr>
              <w:pStyle w:val="557"/>
            </w:pPr>
          </w:p>
        </w:tc>
        <w:tc>
          <w:tcPr>
            <w:tcW w:w="950" w:type="pct"/>
            <w:vAlign w:val="center"/>
          </w:tcPr>
          <w:p w14:paraId="10F6D50F">
            <w:pPr>
              <w:pStyle w:val="557"/>
            </w:pPr>
            <w:r>
              <w:rPr>
                <w:rFonts w:hint="eastAsia"/>
              </w:rPr>
              <w:t>/</w:t>
            </w:r>
          </w:p>
        </w:tc>
        <w:tc>
          <w:tcPr>
            <w:tcW w:w="550" w:type="pct"/>
            <w:vMerge w:val="continue"/>
            <w:vAlign w:val="center"/>
          </w:tcPr>
          <w:p w14:paraId="68584C35">
            <w:pPr>
              <w:pStyle w:val="557"/>
            </w:pPr>
          </w:p>
        </w:tc>
      </w:tr>
      <w:tr w14:paraId="5420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44" w:type="pct"/>
            <w:vMerge w:val="continue"/>
            <w:vAlign w:val="center"/>
          </w:tcPr>
          <w:p w14:paraId="59A2D037">
            <w:pPr>
              <w:pStyle w:val="557"/>
            </w:pPr>
          </w:p>
        </w:tc>
        <w:tc>
          <w:tcPr>
            <w:tcW w:w="247" w:type="pct"/>
            <w:vMerge w:val="continue"/>
            <w:vAlign w:val="center"/>
          </w:tcPr>
          <w:p w14:paraId="561AC258">
            <w:pPr>
              <w:pStyle w:val="557"/>
            </w:pPr>
          </w:p>
        </w:tc>
        <w:tc>
          <w:tcPr>
            <w:tcW w:w="1057" w:type="pct"/>
            <w:gridSpan w:val="2"/>
            <w:vAlign w:val="center"/>
          </w:tcPr>
          <w:p w14:paraId="5B9E872E">
            <w:pPr>
              <w:pStyle w:val="557"/>
              <w:rPr>
                <w:color w:val="FF0000"/>
              </w:rPr>
            </w:pPr>
            <w:r>
              <w:rPr>
                <w:rFonts w:hint="eastAsia"/>
                <w:color w:val="000000"/>
              </w:rPr>
              <w:t>中水回用系统</w:t>
            </w:r>
            <w:r>
              <w:rPr>
                <w:color w:val="000000"/>
              </w:rPr>
              <w:t>-废超滤膜</w:t>
            </w:r>
          </w:p>
        </w:tc>
        <w:tc>
          <w:tcPr>
            <w:tcW w:w="1051" w:type="pct"/>
            <w:vMerge w:val="continue"/>
            <w:vAlign w:val="center"/>
          </w:tcPr>
          <w:p w14:paraId="6BB4C80D">
            <w:pPr>
              <w:pStyle w:val="557"/>
            </w:pPr>
          </w:p>
        </w:tc>
        <w:tc>
          <w:tcPr>
            <w:tcW w:w="901" w:type="pct"/>
            <w:vMerge w:val="continue"/>
            <w:vAlign w:val="center"/>
          </w:tcPr>
          <w:p w14:paraId="116B7A7C">
            <w:pPr>
              <w:pStyle w:val="557"/>
            </w:pPr>
          </w:p>
        </w:tc>
        <w:tc>
          <w:tcPr>
            <w:tcW w:w="950" w:type="pct"/>
            <w:vAlign w:val="center"/>
          </w:tcPr>
          <w:p w14:paraId="63469FEA">
            <w:pPr>
              <w:pStyle w:val="557"/>
            </w:pPr>
            <w:r>
              <w:t>/</w:t>
            </w:r>
          </w:p>
        </w:tc>
        <w:tc>
          <w:tcPr>
            <w:tcW w:w="550" w:type="pct"/>
            <w:vMerge w:val="continue"/>
            <w:vAlign w:val="center"/>
          </w:tcPr>
          <w:p w14:paraId="2771CF0B">
            <w:pPr>
              <w:pStyle w:val="557"/>
            </w:pPr>
          </w:p>
        </w:tc>
      </w:tr>
      <w:tr w14:paraId="6B94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12F7ED2">
            <w:pPr>
              <w:pStyle w:val="557"/>
            </w:pPr>
          </w:p>
        </w:tc>
        <w:tc>
          <w:tcPr>
            <w:tcW w:w="247" w:type="pct"/>
            <w:vMerge w:val="continue"/>
            <w:vAlign w:val="center"/>
          </w:tcPr>
          <w:p w14:paraId="1620F2AB">
            <w:pPr>
              <w:pStyle w:val="557"/>
            </w:pPr>
          </w:p>
        </w:tc>
        <w:tc>
          <w:tcPr>
            <w:tcW w:w="1057" w:type="pct"/>
            <w:gridSpan w:val="2"/>
            <w:vAlign w:val="center"/>
          </w:tcPr>
          <w:p w14:paraId="090A3C54">
            <w:pPr>
              <w:pStyle w:val="557"/>
              <w:rPr>
                <w:color w:val="FF0000"/>
              </w:rPr>
            </w:pPr>
            <w:r>
              <w:rPr>
                <w:rFonts w:hint="eastAsia"/>
                <w:color w:val="000000"/>
              </w:rPr>
              <w:t>中水回用系统</w:t>
            </w:r>
            <w:r>
              <w:rPr>
                <w:color w:val="000000"/>
              </w:rPr>
              <w:t>-废反渗透膜</w:t>
            </w:r>
          </w:p>
        </w:tc>
        <w:tc>
          <w:tcPr>
            <w:tcW w:w="1051" w:type="pct"/>
            <w:vMerge w:val="continue"/>
            <w:vAlign w:val="center"/>
          </w:tcPr>
          <w:p w14:paraId="68B915F4">
            <w:pPr>
              <w:pStyle w:val="557"/>
            </w:pPr>
          </w:p>
        </w:tc>
        <w:tc>
          <w:tcPr>
            <w:tcW w:w="901" w:type="pct"/>
            <w:vMerge w:val="continue"/>
            <w:vAlign w:val="center"/>
          </w:tcPr>
          <w:p w14:paraId="1F8C1303">
            <w:pPr>
              <w:pStyle w:val="557"/>
            </w:pPr>
          </w:p>
        </w:tc>
        <w:tc>
          <w:tcPr>
            <w:tcW w:w="950" w:type="pct"/>
            <w:vAlign w:val="center"/>
          </w:tcPr>
          <w:p w14:paraId="5BC22252">
            <w:pPr>
              <w:pStyle w:val="557"/>
            </w:pPr>
            <w:r>
              <w:rPr>
                <w:rFonts w:hint="eastAsia"/>
              </w:rPr>
              <w:t>/</w:t>
            </w:r>
          </w:p>
        </w:tc>
        <w:tc>
          <w:tcPr>
            <w:tcW w:w="550" w:type="pct"/>
            <w:vMerge w:val="continue"/>
            <w:vAlign w:val="center"/>
          </w:tcPr>
          <w:p w14:paraId="41AB8186">
            <w:pPr>
              <w:pStyle w:val="557"/>
            </w:pPr>
          </w:p>
        </w:tc>
      </w:tr>
      <w:tr w14:paraId="4E95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7A68F99">
            <w:pPr>
              <w:pStyle w:val="557"/>
            </w:pPr>
          </w:p>
        </w:tc>
        <w:tc>
          <w:tcPr>
            <w:tcW w:w="247" w:type="pct"/>
            <w:vMerge w:val="continue"/>
            <w:vAlign w:val="center"/>
          </w:tcPr>
          <w:p w14:paraId="5BDFC25D">
            <w:pPr>
              <w:pStyle w:val="557"/>
            </w:pPr>
          </w:p>
        </w:tc>
        <w:tc>
          <w:tcPr>
            <w:tcW w:w="1057" w:type="pct"/>
            <w:gridSpan w:val="2"/>
            <w:vAlign w:val="center"/>
          </w:tcPr>
          <w:p w14:paraId="32304533">
            <w:pPr>
              <w:pStyle w:val="557"/>
              <w:rPr>
                <w:color w:val="FF0000"/>
              </w:rPr>
            </w:pPr>
            <w:r>
              <w:rPr>
                <w:color w:val="000000"/>
              </w:rPr>
              <w:t>污水处理站-生化污泥</w:t>
            </w:r>
          </w:p>
        </w:tc>
        <w:tc>
          <w:tcPr>
            <w:tcW w:w="1051" w:type="pct"/>
            <w:vMerge w:val="continue"/>
            <w:vAlign w:val="center"/>
          </w:tcPr>
          <w:p w14:paraId="00DB8016">
            <w:pPr>
              <w:pStyle w:val="557"/>
            </w:pPr>
          </w:p>
        </w:tc>
        <w:tc>
          <w:tcPr>
            <w:tcW w:w="901" w:type="pct"/>
            <w:vMerge w:val="continue"/>
            <w:vAlign w:val="center"/>
          </w:tcPr>
          <w:p w14:paraId="7FCD7533">
            <w:pPr>
              <w:pStyle w:val="557"/>
            </w:pPr>
          </w:p>
        </w:tc>
        <w:tc>
          <w:tcPr>
            <w:tcW w:w="950" w:type="pct"/>
            <w:vAlign w:val="center"/>
          </w:tcPr>
          <w:p w14:paraId="081621FD">
            <w:pPr>
              <w:pStyle w:val="557"/>
            </w:pPr>
            <w:r>
              <w:t>/</w:t>
            </w:r>
          </w:p>
        </w:tc>
        <w:tc>
          <w:tcPr>
            <w:tcW w:w="550" w:type="pct"/>
            <w:vMerge w:val="continue"/>
            <w:vAlign w:val="center"/>
          </w:tcPr>
          <w:p w14:paraId="54229AAF">
            <w:pPr>
              <w:pStyle w:val="557"/>
            </w:pPr>
          </w:p>
        </w:tc>
      </w:tr>
      <w:tr w14:paraId="5C3F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48F1832B">
            <w:pPr>
              <w:pStyle w:val="557"/>
            </w:pPr>
          </w:p>
        </w:tc>
        <w:tc>
          <w:tcPr>
            <w:tcW w:w="247" w:type="pct"/>
            <w:vMerge w:val="continue"/>
            <w:vAlign w:val="center"/>
          </w:tcPr>
          <w:p w14:paraId="7441D858">
            <w:pPr>
              <w:pStyle w:val="557"/>
            </w:pPr>
          </w:p>
        </w:tc>
        <w:tc>
          <w:tcPr>
            <w:tcW w:w="1057" w:type="pct"/>
            <w:gridSpan w:val="2"/>
            <w:vAlign w:val="center"/>
          </w:tcPr>
          <w:p w14:paraId="1D158C00">
            <w:pPr>
              <w:pStyle w:val="557"/>
              <w:rPr>
                <w:color w:val="FF0000"/>
              </w:rPr>
            </w:pPr>
            <w:r>
              <w:rPr>
                <w:color w:val="000000"/>
              </w:rPr>
              <w:t>空分站-废分子筛</w:t>
            </w:r>
          </w:p>
        </w:tc>
        <w:tc>
          <w:tcPr>
            <w:tcW w:w="1051" w:type="pct"/>
            <w:vMerge w:val="continue"/>
            <w:vAlign w:val="center"/>
          </w:tcPr>
          <w:p w14:paraId="5EA8A25B">
            <w:pPr>
              <w:pStyle w:val="557"/>
            </w:pPr>
          </w:p>
        </w:tc>
        <w:tc>
          <w:tcPr>
            <w:tcW w:w="901" w:type="pct"/>
            <w:vMerge w:val="continue"/>
            <w:vAlign w:val="center"/>
          </w:tcPr>
          <w:p w14:paraId="06696C68">
            <w:pPr>
              <w:pStyle w:val="557"/>
            </w:pPr>
          </w:p>
        </w:tc>
        <w:tc>
          <w:tcPr>
            <w:tcW w:w="950" w:type="pct"/>
            <w:vAlign w:val="center"/>
          </w:tcPr>
          <w:p w14:paraId="1570821D">
            <w:pPr>
              <w:pStyle w:val="557"/>
            </w:pPr>
            <w:r>
              <w:rPr>
                <w:rFonts w:hint="eastAsia"/>
              </w:rPr>
              <w:t>/</w:t>
            </w:r>
          </w:p>
        </w:tc>
        <w:tc>
          <w:tcPr>
            <w:tcW w:w="550" w:type="pct"/>
            <w:vMerge w:val="continue"/>
            <w:vAlign w:val="center"/>
          </w:tcPr>
          <w:p w14:paraId="183C4C15">
            <w:pPr>
              <w:pStyle w:val="557"/>
            </w:pPr>
          </w:p>
        </w:tc>
      </w:tr>
      <w:tr w14:paraId="550A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0C5C3D60">
            <w:pPr>
              <w:pStyle w:val="557"/>
            </w:pPr>
          </w:p>
        </w:tc>
        <w:tc>
          <w:tcPr>
            <w:tcW w:w="247" w:type="pct"/>
            <w:vMerge w:val="continue"/>
            <w:vAlign w:val="center"/>
          </w:tcPr>
          <w:p w14:paraId="49AB5215">
            <w:pPr>
              <w:pStyle w:val="557"/>
            </w:pPr>
          </w:p>
        </w:tc>
        <w:tc>
          <w:tcPr>
            <w:tcW w:w="1057" w:type="pct"/>
            <w:gridSpan w:val="2"/>
            <w:vAlign w:val="center"/>
          </w:tcPr>
          <w:p w14:paraId="4C78D109">
            <w:pPr>
              <w:pStyle w:val="557"/>
              <w:rPr>
                <w:color w:val="FF0000"/>
              </w:rPr>
            </w:pPr>
            <w:r>
              <w:rPr>
                <w:color w:val="000000"/>
              </w:rPr>
              <w:t>空分站-废空分氧化铝</w:t>
            </w:r>
          </w:p>
        </w:tc>
        <w:tc>
          <w:tcPr>
            <w:tcW w:w="1051" w:type="pct"/>
            <w:vMerge w:val="continue"/>
            <w:vAlign w:val="center"/>
          </w:tcPr>
          <w:p w14:paraId="51F82534">
            <w:pPr>
              <w:pStyle w:val="557"/>
            </w:pPr>
          </w:p>
        </w:tc>
        <w:tc>
          <w:tcPr>
            <w:tcW w:w="901" w:type="pct"/>
            <w:vMerge w:val="continue"/>
            <w:vAlign w:val="center"/>
          </w:tcPr>
          <w:p w14:paraId="37B81B0D">
            <w:pPr>
              <w:pStyle w:val="557"/>
            </w:pPr>
          </w:p>
        </w:tc>
        <w:tc>
          <w:tcPr>
            <w:tcW w:w="950" w:type="pct"/>
            <w:vAlign w:val="center"/>
          </w:tcPr>
          <w:p w14:paraId="2CF28F6D">
            <w:pPr>
              <w:pStyle w:val="557"/>
            </w:pPr>
            <w:r>
              <w:t>/</w:t>
            </w:r>
          </w:p>
        </w:tc>
        <w:tc>
          <w:tcPr>
            <w:tcW w:w="550" w:type="pct"/>
            <w:vMerge w:val="continue"/>
            <w:vAlign w:val="center"/>
          </w:tcPr>
          <w:p w14:paraId="707509EF">
            <w:pPr>
              <w:pStyle w:val="557"/>
            </w:pPr>
          </w:p>
        </w:tc>
      </w:tr>
      <w:tr w14:paraId="6680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1D804A4">
            <w:pPr>
              <w:pStyle w:val="557"/>
            </w:pPr>
          </w:p>
        </w:tc>
        <w:tc>
          <w:tcPr>
            <w:tcW w:w="247" w:type="pct"/>
            <w:vMerge w:val="continue"/>
            <w:vAlign w:val="center"/>
          </w:tcPr>
          <w:p w14:paraId="7736D55A">
            <w:pPr>
              <w:pStyle w:val="557"/>
            </w:pPr>
          </w:p>
        </w:tc>
        <w:tc>
          <w:tcPr>
            <w:tcW w:w="1057" w:type="pct"/>
            <w:gridSpan w:val="2"/>
            <w:vAlign w:val="center"/>
          </w:tcPr>
          <w:p w14:paraId="0DA3CC5E">
            <w:pPr>
              <w:pStyle w:val="557"/>
            </w:pPr>
            <w:r>
              <w:rPr>
                <w:rFonts w:hint="eastAsia"/>
              </w:rPr>
              <w:t>原煤储运收尘灰</w:t>
            </w:r>
          </w:p>
        </w:tc>
        <w:tc>
          <w:tcPr>
            <w:tcW w:w="1051" w:type="pct"/>
            <w:vAlign w:val="center"/>
          </w:tcPr>
          <w:p w14:paraId="5FE3F090">
            <w:pPr>
              <w:pStyle w:val="557"/>
            </w:pPr>
            <w:r>
              <w:rPr>
                <w:rFonts w:hint="eastAsia"/>
              </w:rPr>
              <w:t>送气化装置作原料</w:t>
            </w:r>
          </w:p>
        </w:tc>
        <w:tc>
          <w:tcPr>
            <w:tcW w:w="901" w:type="pct"/>
            <w:vMerge w:val="continue"/>
            <w:vAlign w:val="center"/>
          </w:tcPr>
          <w:p w14:paraId="4690A9EA">
            <w:pPr>
              <w:pStyle w:val="557"/>
            </w:pPr>
          </w:p>
        </w:tc>
        <w:tc>
          <w:tcPr>
            <w:tcW w:w="950" w:type="pct"/>
            <w:vAlign w:val="center"/>
          </w:tcPr>
          <w:p w14:paraId="36D35B89">
            <w:pPr>
              <w:pStyle w:val="557"/>
            </w:pPr>
            <w:r>
              <w:t>/</w:t>
            </w:r>
          </w:p>
        </w:tc>
        <w:tc>
          <w:tcPr>
            <w:tcW w:w="550" w:type="pct"/>
            <w:vMerge w:val="continue"/>
            <w:vAlign w:val="center"/>
          </w:tcPr>
          <w:p w14:paraId="656B7554">
            <w:pPr>
              <w:pStyle w:val="557"/>
            </w:pPr>
          </w:p>
        </w:tc>
      </w:tr>
      <w:tr w14:paraId="6D59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7D0B3277">
            <w:pPr>
              <w:pStyle w:val="557"/>
            </w:pPr>
          </w:p>
        </w:tc>
        <w:tc>
          <w:tcPr>
            <w:tcW w:w="1304" w:type="pct"/>
            <w:gridSpan w:val="3"/>
            <w:vAlign w:val="center"/>
          </w:tcPr>
          <w:p w14:paraId="319C0B6C">
            <w:pPr>
              <w:pStyle w:val="557"/>
            </w:pPr>
            <w:r>
              <w:t>生活垃圾</w:t>
            </w:r>
          </w:p>
        </w:tc>
        <w:tc>
          <w:tcPr>
            <w:tcW w:w="1051" w:type="pct"/>
            <w:vAlign w:val="center"/>
          </w:tcPr>
          <w:p w14:paraId="4A6F0261">
            <w:pPr>
              <w:pStyle w:val="557"/>
            </w:pPr>
            <w:r>
              <w:t>厂内设置垃圾收集设施，由园区环卫部门定期清运</w:t>
            </w:r>
          </w:p>
        </w:tc>
        <w:tc>
          <w:tcPr>
            <w:tcW w:w="901" w:type="pct"/>
            <w:vAlign w:val="center"/>
          </w:tcPr>
          <w:p w14:paraId="1FBB1C68">
            <w:pPr>
              <w:pStyle w:val="557"/>
            </w:pPr>
            <w:r>
              <w:t>/</w:t>
            </w:r>
          </w:p>
        </w:tc>
        <w:tc>
          <w:tcPr>
            <w:tcW w:w="950" w:type="pct"/>
            <w:vAlign w:val="center"/>
          </w:tcPr>
          <w:p w14:paraId="683D7B19">
            <w:pPr>
              <w:pStyle w:val="557"/>
            </w:pPr>
            <w:r>
              <w:t>/</w:t>
            </w:r>
          </w:p>
        </w:tc>
        <w:tc>
          <w:tcPr>
            <w:tcW w:w="550" w:type="pct"/>
            <w:vAlign w:val="center"/>
          </w:tcPr>
          <w:p w14:paraId="19A86C90">
            <w:pPr>
              <w:pStyle w:val="557"/>
            </w:pPr>
            <w:r>
              <w:t>/</w:t>
            </w:r>
          </w:p>
        </w:tc>
      </w:tr>
      <w:tr w14:paraId="437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Align w:val="center"/>
          </w:tcPr>
          <w:p w14:paraId="21A285B5">
            <w:pPr>
              <w:pStyle w:val="557"/>
            </w:pPr>
            <w:r>
              <w:t>地下水</w:t>
            </w:r>
          </w:p>
        </w:tc>
        <w:tc>
          <w:tcPr>
            <w:tcW w:w="1304" w:type="pct"/>
            <w:gridSpan w:val="3"/>
            <w:vAlign w:val="center"/>
          </w:tcPr>
          <w:p w14:paraId="72F03682">
            <w:pPr>
              <w:pStyle w:val="557"/>
            </w:pPr>
            <w:r>
              <w:t>地下水污染</w:t>
            </w:r>
          </w:p>
        </w:tc>
        <w:tc>
          <w:tcPr>
            <w:tcW w:w="1051" w:type="pct"/>
            <w:vAlign w:val="center"/>
          </w:tcPr>
          <w:p w14:paraId="04681D8E">
            <w:pPr>
              <w:pStyle w:val="557"/>
            </w:pPr>
            <w:r>
              <w:t>分区防渗（具体见6.2.3节）</w:t>
            </w:r>
          </w:p>
        </w:tc>
        <w:tc>
          <w:tcPr>
            <w:tcW w:w="901" w:type="pct"/>
            <w:vAlign w:val="center"/>
          </w:tcPr>
          <w:p w14:paraId="29427BAC">
            <w:pPr>
              <w:pStyle w:val="557"/>
            </w:pPr>
            <w:r>
              <w:t>/</w:t>
            </w:r>
          </w:p>
        </w:tc>
        <w:tc>
          <w:tcPr>
            <w:tcW w:w="950" w:type="pct"/>
            <w:vAlign w:val="center"/>
          </w:tcPr>
          <w:p w14:paraId="768F39F7">
            <w:pPr>
              <w:pStyle w:val="557"/>
            </w:pPr>
            <w:r>
              <w:t>/</w:t>
            </w:r>
          </w:p>
        </w:tc>
        <w:tc>
          <w:tcPr>
            <w:tcW w:w="550" w:type="pct"/>
            <w:vAlign w:val="center"/>
          </w:tcPr>
          <w:p w14:paraId="6FAFB9AE">
            <w:pPr>
              <w:pStyle w:val="557"/>
            </w:pPr>
            <w:r>
              <w:t>/</w:t>
            </w:r>
          </w:p>
        </w:tc>
      </w:tr>
      <w:tr w14:paraId="68C0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restart"/>
            <w:vAlign w:val="center"/>
          </w:tcPr>
          <w:p w14:paraId="36693661">
            <w:pPr>
              <w:pStyle w:val="557"/>
            </w:pPr>
            <w:r>
              <w:t>环境风险</w:t>
            </w:r>
          </w:p>
        </w:tc>
        <w:tc>
          <w:tcPr>
            <w:tcW w:w="1304" w:type="pct"/>
            <w:gridSpan w:val="3"/>
            <w:vMerge w:val="restart"/>
            <w:vAlign w:val="center"/>
          </w:tcPr>
          <w:p w14:paraId="7D57FC0E">
            <w:pPr>
              <w:pStyle w:val="557"/>
            </w:pPr>
            <w:r>
              <w:t>泄漏、火灾、爆炸事故</w:t>
            </w:r>
          </w:p>
        </w:tc>
        <w:tc>
          <w:tcPr>
            <w:tcW w:w="1051" w:type="pct"/>
            <w:vAlign w:val="center"/>
          </w:tcPr>
          <w:p w14:paraId="336D969A">
            <w:pPr>
              <w:pStyle w:val="557"/>
            </w:pPr>
            <w:r>
              <w:t>突发环境事件应急预案</w:t>
            </w:r>
          </w:p>
        </w:tc>
        <w:tc>
          <w:tcPr>
            <w:tcW w:w="901" w:type="pct"/>
            <w:vAlign w:val="center"/>
          </w:tcPr>
          <w:p w14:paraId="0E3772FB">
            <w:pPr>
              <w:pStyle w:val="557"/>
            </w:pPr>
            <w:r>
              <w:t>完善的应急设施及设备、应急预案报备和常规定期应急演练、培训</w:t>
            </w:r>
          </w:p>
        </w:tc>
        <w:tc>
          <w:tcPr>
            <w:tcW w:w="950" w:type="pct"/>
            <w:vMerge w:val="restart"/>
            <w:vAlign w:val="center"/>
          </w:tcPr>
          <w:p w14:paraId="0042C348">
            <w:pPr>
              <w:pStyle w:val="557"/>
            </w:pPr>
            <w:r>
              <w:t>/</w:t>
            </w:r>
          </w:p>
        </w:tc>
        <w:tc>
          <w:tcPr>
            <w:tcW w:w="550" w:type="pct"/>
            <w:vAlign w:val="center"/>
          </w:tcPr>
          <w:p w14:paraId="1C4A4832">
            <w:pPr>
              <w:pStyle w:val="557"/>
            </w:pPr>
            <w:r>
              <w:t>《突发环境事件应急管理办法</w:t>
            </w:r>
            <w:r>
              <w:rPr>
                <w:rFonts w:hint="eastAsia"/>
              </w:rPr>
              <w:t>》《</w:t>
            </w:r>
            <w:r>
              <w:t>企业事业单位突发环境事件应急预案备案管理办法》</w:t>
            </w:r>
          </w:p>
        </w:tc>
      </w:tr>
      <w:tr w14:paraId="7DD7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39E1FE9B">
            <w:pPr>
              <w:pStyle w:val="557"/>
            </w:pPr>
          </w:p>
        </w:tc>
        <w:tc>
          <w:tcPr>
            <w:tcW w:w="1304" w:type="pct"/>
            <w:gridSpan w:val="3"/>
            <w:vMerge w:val="continue"/>
            <w:vAlign w:val="center"/>
          </w:tcPr>
          <w:p w14:paraId="2DF15847">
            <w:pPr>
              <w:pStyle w:val="557"/>
            </w:pPr>
          </w:p>
        </w:tc>
        <w:tc>
          <w:tcPr>
            <w:tcW w:w="1051" w:type="pct"/>
            <w:vAlign w:val="center"/>
          </w:tcPr>
          <w:p w14:paraId="1ED458B6">
            <w:pPr>
              <w:pStyle w:val="557"/>
            </w:pPr>
            <w:r>
              <w:rPr>
                <w:rFonts w:hint="eastAsia"/>
              </w:rPr>
              <w:t>防火堤</w:t>
            </w:r>
            <w:r>
              <w:t>、围堰、可燃气体检测报警器、应急物资等</w:t>
            </w:r>
          </w:p>
        </w:tc>
        <w:tc>
          <w:tcPr>
            <w:tcW w:w="901" w:type="pct"/>
            <w:vAlign w:val="center"/>
          </w:tcPr>
          <w:p w14:paraId="535C0B71">
            <w:pPr>
              <w:pStyle w:val="557"/>
            </w:pPr>
            <w:r>
              <w:t>具体见第7章环境风险评价</w:t>
            </w:r>
          </w:p>
        </w:tc>
        <w:tc>
          <w:tcPr>
            <w:tcW w:w="950" w:type="pct"/>
            <w:vMerge w:val="continue"/>
            <w:vAlign w:val="center"/>
          </w:tcPr>
          <w:p w14:paraId="0D2FD947">
            <w:pPr>
              <w:pStyle w:val="557"/>
            </w:pPr>
          </w:p>
        </w:tc>
        <w:tc>
          <w:tcPr>
            <w:tcW w:w="550" w:type="pct"/>
            <w:vMerge w:val="restart"/>
            <w:vAlign w:val="center"/>
          </w:tcPr>
          <w:p w14:paraId="7FAF297E">
            <w:pPr>
              <w:pStyle w:val="557"/>
            </w:pPr>
            <w:r>
              <w:t>项目投产前</w:t>
            </w:r>
          </w:p>
        </w:tc>
      </w:tr>
      <w:tr w14:paraId="73E1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5A5AF22B">
            <w:pPr>
              <w:pStyle w:val="557"/>
            </w:pPr>
          </w:p>
        </w:tc>
        <w:tc>
          <w:tcPr>
            <w:tcW w:w="1304" w:type="pct"/>
            <w:gridSpan w:val="3"/>
            <w:vMerge w:val="continue"/>
            <w:vAlign w:val="center"/>
          </w:tcPr>
          <w:p w14:paraId="6E094963">
            <w:pPr>
              <w:pStyle w:val="557"/>
            </w:pPr>
          </w:p>
        </w:tc>
        <w:tc>
          <w:tcPr>
            <w:tcW w:w="1051" w:type="pct"/>
            <w:vAlign w:val="center"/>
          </w:tcPr>
          <w:p w14:paraId="75515F23">
            <w:pPr>
              <w:pStyle w:val="557"/>
            </w:pPr>
            <w:r>
              <w:t>事故水池</w:t>
            </w:r>
          </w:p>
        </w:tc>
        <w:tc>
          <w:tcPr>
            <w:tcW w:w="901" w:type="pct"/>
            <w:vAlign w:val="center"/>
          </w:tcPr>
          <w:p w14:paraId="4DBBAB70">
            <w:pPr>
              <w:pStyle w:val="557"/>
            </w:pPr>
            <w:r>
              <w:t>一座容积</w:t>
            </w:r>
            <w:r>
              <w:rPr>
                <w:rFonts w:hint="eastAsia"/>
              </w:rPr>
              <w:t>8000</w:t>
            </w:r>
            <w:r>
              <w:t>m</w:t>
            </w:r>
            <w:r>
              <w:rPr>
                <w:vertAlign w:val="superscript"/>
              </w:rPr>
              <w:t>3</w:t>
            </w:r>
            <w:r>
              <w:rPr>
                <w:szCs w:val="21"/>
              </w:rPr>
              <w:t>事故应急池</w:t>
            </w:r>
          </w:p>
        </w:tc>
        <w:tc>
          <w:tcPr>
            <w:tcW w:w="950" w:type="pct"/>
            <w:vAlign w:val="center"/>
          </w:tcPr>
          <w:p w14:paraId="33ACCCEB">
            <w:pPr>
              <w:pStyle w:val="557"/>
            </w:pPr>
            <w:r>
              <w:rPr>
                <w:rFonts w:hint="eastAsia"/>
              </w:rPr>
              <w:t>/</w:t>
            </w:r>
          </w:p>
        </w:tc>
        <w:tc>
          <w:tcPr>
            <w:tcW w:w="550" w:type="pct"/>
            <w:vMerge w:val="continue"/>
            <w:vAlign w:val="center"/>
          </w:tcPr>
          <w:p w14:paraId="073E1610">
            <w:pPr>
              <w:pStyle w:val="557"/>
            </w:pPr>
          </w:p>
        </w:tc>
      </w:tr>
      <w:tr w14:paraId="4BEF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Align w:val="center"/>
          </w:tcPr>
          <w:p w14:paraId="1B531A0F">
            <w:pPr>
              <w:pStyle w:val="557"/>
            </w:pPr>
            <w:r>
              <w:t>生态</w:t>
            </w:r>
          </w:p>
        </w:tc>
        <w:tc>
          <w:tcPr>
            <w:tcW w:w="1304" w:type="pct"/>
            <w:gridSpan w:val="3"/>
            <w:vAlign w:val="center"/>
          </w:tcPr>
          <w:p w14:paraId="5E1B7F00">
            <w:pPr>
              <w:pStyle w:val="557"/>
            </w:pPr>
            <w:r>
              <w:t>-</w:t>
            </w:r>
          </w:p>
        </w:tc>
        <w:tc>
          <w:tcPr>
            <w:tcW w:w="1051" w:type="pct"/>
            <w:vAlign w:val="center"/>
          </w:tcPr>
          <w:p w14:paraId="5FE3FCC3">
            <w:pPr>
              <w:pStyle w:val="557"/>
            </w:pPr>
            <w:r>
              <w:t>绿化</w:t>
            </w:r>
          </w:p>
        </w:tc>
        <w:tc>
          <w:tcPr>
            <w:tcW w:w="901" w:type="pct"/>
            <w:vAlign w:val="center"/>
          </w:tcPr>
          <w:p w14:paraId="4864B5E8">
            <w:pPr>
              <w:pStyle w:val="557"/>
            </w:pPr>
            <w:r>
              <w:t>/</w:t>
            </w:r>
          </w:p>
        </w:tc>
        <w:tc>
          <w:tcPr>
            <w:tcW w:w="950" w:type="pct"/>
            <w:vAlign w:val="center"/>
          </w:tcPr>
          <w:p w14:paraId="5AA362CA">
            <w:pPr>
              <w:pStyle w:val="557"/>
            </w:pPr>
            <w:r>
              <w:t>/</w:t>
            </w:r>
          </w:p>
        </w:tc>
        <w:tc>
          <w:tcPr>
            <w:tcW w:w="550" w:type="pct"/>
            <w:vAlign w:val="center"/>
          </w:tcPr>
          <w:p w14:paraId="4911D399">
            <w:pPr>
              <w:pStyle w:val="557"/>
            </w:pPr>
            <w:r>
              <w:t>施工完成后</w:t>
            </w:r>
          </w:p>
        </w:tc>
      </w:tr>
      <w:tr w14:paraId="2557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restart"/>
            <w:vAlign w:val="center"/>
          </w:tcPr>
          <w:p w14:paraId="39D6A924">
            <w:pPr>
              <w:pStyle w:val="557"/>
            </w:pPr>
            <w:r>
              <w:t>其他</w:t>
            </w:r>
          </w:p>
        </w:tc>
        <w:tc>
          <w:tcPr>
            <w:tcW w:w="1304" w:type="pct"/>
            <w:gridSpan w:val="3"/>
            <w:vMerge w:val="restart"/>
            <w:vAlign w:val="center"/>
          </w:tcPr>
          <w:p w14:paraId="7B23A915">
            <w:pPr>
              <w:pStyle w:val="557"/>
            </w:pPr>
            <w:r>
              <w:t>环境管理</w:t>
            </w:r>
          </w:p>
        </w:tc>
        <w:tc>
          <w:tcPr>
            <w:tcW w:w="1051" w:type="pct"/>
            <w:vAlign w:val="center"/>
          </w:tcPr>
          <w:p w14:paraId="221A971F">
            <w:pPr>
              <w:pStyle w:val="557"/>
            </w:pPr>
            <w:r>
              <w:t>竣工环保验收</w:t>
            </w:r>
          </w:p>
        </w:tc>
        <w:tc>
          <w:tcPr>
            <w:tcW w:w="901" w:type="pct"/>
            <w:vAlign w:val="center"/>
          </w:tcPr>
          <w:p w14:paraId="712449EA">
            <w:pPr>
              <w:pStyle w:val="557"/>
            </w:pPr>
            <w:r>
              <w:t>按要求进行竣工环保验收</w:t>
            </w:r>
          </w:p>
        </w:tc>
        <w:tc>
          <w:tcPr>
            <w:tcW w:w="950" w:type="pct"/>
            <w:vAlign w:val="center"/>
          </w:tcPr>
          <w:p w14:paraId="1834850E">
            <w:pPr>
              <w:pStyle w:val="557"/>
            </w:pPr>
            <w:r>
              <w:t>/</w:t>
            </w:r>
          </w:p>
        </w:tc>
        <w:tc>
          <w:tcPr>
            <w:tcW w:w="550" w:type="pct"/>
            <w:vAlign w:val="center"/>
          </w:tcPr>
          <w:p w14:paraId="31E1250E">
            <w:pPr>
              <w:pStyle w:val="557"/>
            </w:pPr>
            <w:r>
              <w:t>按要求实施</w:t>
            </w:r>
          </w:p>
        </w:tc>
      </w:tr>
      <w:tr w14:paraId="5576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 w:type="pct"/>
            <w:vMerge w:val="continue"/>
            <w:vAlign w:val="center"/>
          </w:tcPr>
          <w:p w14:paraId="24597001">
            <w:pPr>
              <w:pStyle w:val="557"/>
            </w:pPr>
          </w:p>
        </w:tc>
        <w:tc>
          <w:tcPr>
            <w:tcW w:w="1304" w:type="pct"/>
            <w:gridSpan w:val="3"/>
            <w:vMerge w:val="continue"/>
            <w:vAlign w:val="center"/>
          </w:tcPr>
          <w:p w14:paraId="162AA3B1">
            <w:pPr>
              <w:pStyle w:val="557"/>
            </w:pPr>
          </w:p>
        </w:tc>
        <w:tc>
          <w:tcPr>
            <w:tcW w:w="1051" w:type="pct"/>
            <w:vAlign w:val="center"/>
          </w:tcPr>
          <w:p w14:paraId="7CD68228">
            <w:pPr>
              <w:pStyle w:val="557"/>
            </w:pPr>
            <w:r>
              <w:t>环境监测</w:t>
            </w:r>
          </w:p>
        </w:tc>
        <w:tc>
          <w:tcPr>
            <w:tcW w:w="901" w:type="pct"/>
            <w:vAlign w:val="center"/>
          </w:tcPr>
          <w:p w14:paraId="4C4C35F6">
            <w:pPr>
              <w:pStyle w:val="557"/>
            </w:pPr>
            <w:r>
              <w:t>按要求进行例行监测，建立完善环保档案，定期上报</w:t>
            </w:r>
          </w:p>
        </w:tc>
        <w:tc>
          <w:tcPr>
            <w:tcW w:w="950" w:type="pct"/>
            <w:vAlign w:val="center"/>
          </w:tcPr>
          <w:p w14:paraId="22BEFAE8">
            <w:pPr>
              <w:pStyle w:val="557"/>
            </w:pPr>
            <w:r>
              <w:t>/</w:t>
            </w:r>
          </w:p>
        </w:tc>
        <w:tc>
          <w:tcPr>
            <w:tcW w:w="550" w:type="pct"/>
            <w:vAlign w:val="center"/>
          </w:tcPr>
          <w:p w14:paraId="13AC5646">
            <w:pPr>
              <w:pStyle w:val="557"/>
            </w:pPr>
            <w:r>
              <w:t>按要求实施</w:t>
            </w:r>
          </w:p>
        </w:tc>
      </w:tr>
      <w:bookmarkEnd w:id="565"/>
    </w:tbl>
    <w:p w14:paraId="3C3BC3EF">
      <w:pPr>
        <w:spacing w:line="360" w:lineRule="auto"/>
        <w:ind w:firstLine="480" w:firstLineChars="200"/>
        <w:rPr>
          <w:rFonts w:hint="eastAsia"/>
        </w:rPr>
        <w:sectPr>
          <w:pgSz w:w="16838" w:h="11906" w:orient="landscape"/>
          <w:pgMar w:top="1800" w:right="1440" w:bottom="1800" w:left="1440" w:header="851" w:footer="850" w:gutter="0"/>
          <w:cols w:space="425" w:num="1"/>
          <w:docGrid w:type="lines" w:linePitch="326" w:charSpace="0"/>
        </w:sectPr>
      </w:pPr>
    </w:p>
    <w:p w14:paraId="5BD88E40">
      <w:pPr>
        <w:pStyle w:val="1012"/>
      </w:pPr>
      <w:bookmarkStart w:id="566" w:name="_Toc15839"/>
      <w:r>
        <w:t>评价结论</w:t>
      </w:r>
      <w:bookmarkEnd w:id="566"/>
    </w:p>
    <w:p w14:paraId="1DD612B5">
      <w:pPr>
        <w:pStyle w:val="3"/>
        <w:rPr>
          <w:rFonts w:hint="eastAsia"/>
        </w:rPr>
      </w:pPr>
      <w:bookmarkStart w:id="567" w:name="_Toc2991"/>
      <w:r>
        <w:rPr>
          <w:rFonts w:hint="eastAsia"/>
        </w:rPr>
        <w:t>政策</w:t>
      </w:r>
      <w:r>
        <w:t>符合性结论</w:t>
      </w:r>
      <w:bookmarkEnd w:id="567"/>
    </w:p>
    <w:p w14:paraId="38985AFC">
      <w:pPr>
        <w:pStyle w:val="281"/>
        <w:ind w:firstLine="480"/>
      </w:pPr>
      <w:r>
        <w:rPr>
          <w:rFonts w:hint="eastAsia" w:ascii="宋体" w:hAnsi="宋体"/>
        </w:rPr>
        <w:t>（</w:t>
      </w:r>
      <w:r>
        <w:rPr>
          <w:rFonts w:hint="eastAsia"/>
        </w:rPr>
        <w:t>1</w:t>
      </w:r>
      <w:r>
        <w:rPr>
          <w:rFonts w:hint="eastAsia" w:ascii="宋体" w:hAnsi="宋体"/>
        </w:rPr>
        <w:t>）产业政策符合性</w:t>
      </w:r>
    </w:p>
    <w:p w14:paraId="47E735FC">
      <w:pPr>
        <w:pStyle w:val="281"/>
        <w:ind w:firstLine="480"/>
      </w:pPr>
      <w:r>
        <w:rPr>
          <w:rFonts w:hint="eastAsia"/>
        </w:rPr>
        <w:t>本项目以煤炭为原料，经过干煤粉气化、合成气净化、CO深冷分离等单元，加工生产DMO，电解水制氢来的氢气与空分装置送来的氮气生产合成氨，作为生产草酰胺的原料。大部分草酰胺作为产品，部分草酰胺与外购的氮磷钾肥混合生产高效有机缓释肥。</w:t>
      </w:r>
    </w:p>
    <w:p w14:paraId="0C0EE67B">
      <w:pPr>
        <w:pStyle w:val="281"/>
        <w:ind w:firstLine="480"/>
        <w:rPr>
          <w:color w:val="FF0000"/>
        </w:rPr>
      </w:pPr>
      <w:r>
        <w:rPr>
          <w:rFonts w:hint="eastAsia"/>
          <w:color w:val="000000" w:themeColor="text1"/>
          <w14:textFill>
            <w14:solidFill>
              <w14:schemeClr w14:val="tx1"/>
            </w14:solidFill>
          </w14:textFill>
        </w:rPr>
        <w:t>根据对比《产业结构调整指导目录（2024年本）》《西部地区鼓励类产业目录（2025年本）》《国家发展改革委等部门关于推动现代煤化工产业健康发展的通知》</w:t>
      </w:r>
      <w:r>
        <w:rPr>
          <w:color w:val="000000" w:themeColor="text1"/>
          <w14:textFill>
            <w14:solidFill>
              <w14:schemeClr w14:val="tx1"/>
            </w14:solidFill>
          </w14:textFill>
        </w:rPr>
        <w:t>《关于规范煤化工产业有序发展的通知》《中共中央</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国务院关于新时代推进西部大开发形成新格局的指导意见》《煤炭工业“十四五”高质量发展指导意见》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关于“十四五”推动石化化工行业高质量发展的指导意见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《国家发展改革委等部门关于严格能效约束推动重点领域节能降碳的若干意见》《完善能源消费强度和总量双控制度方案》</w:t>
      </w:r>
      <w:r>
        <w:rPr>
          <w:rFonts w:hint="eastAsia"/>
          <w:color w:val="000000" w:themeColor="text1"/>
          <w14:textFill>
            <w14:solidFill>
              <w14:schemeClr w14:val="tx1"/>
            </w14:solidFill>
          </w14:textFill>
        </w:rPr>
        <w:t>《国务院关于加快建立健全绿色低碳循环发展经济体系的指导意见》《工业重点领域能效标杆水平和基准水平（2023年版）》《高耗能行业重点领域节能降碳改造升级实施指南（2022年版）》</w:t>
      </w:r>
      <w:r>
        <w:rPr>
          <w:color w:val="000000" w:themeColor="text1"/>
          <w14:textFill>
            <w14:solidFill>
              <w14:schemeClr w14:val="tx1"/>
            </w14:solidFill>
          </w14:textFill>
        </w:rPr>
        <w:t>《关于印发能源行业加强大气污染防治工作方案的通知》《“十四五”全国清洁生产推行方案》《关于促进自治区煤化工产业绿色可持续发展的指导意见》《新疆维吾尔自治区新建化工项目准入条件》</w:t>
      </w:r>
      <w:r>
        <w:rPr>
          <w:rFonts w:hint="eastAsia"/>
          <w:color w:val="000000" w:themeColor="text1"/>
          <w14:textFill>
            <w14:solidFill>
              <w14:schemeClr w14:val="tx1"/>
            </w14:solidFill>
          </w14:textFill>
        </w:rPr>
        <w:t>《合成氨行业规范条件》等，本项目均符合上述产业政策。</w:t>
      </w:r>
    </w:p>
    <w:p w14:paraId="32ACBFAC">
      <w:pPr>
        <w:pStyle w:val="281"/>
        <w:ind w:firstLine="480"/>
      </w:pPr>
      <w:r>
        <w:t>（2）</w:t>
      </w:r>
      <w:r>
        <w:rPr>
          <w:rFonts w:hint="eastAsia"/>
        </w:rPr>
        <w:t>环境政策符合性分析</w:t>
      </w:r>
    </w:p>
    <w:p w14:paraId="2841EBCC">
      <w:pPr>
        <w:pStyle w:val="281"/>
        <w:ind w:firstLine="480"/>
      </w:pPr>
      <w:r>
        <w:rPr>
          <w:rFonts w:hint="eastAsia"/>
        </w:rPr>
        <w:t>本项目的建设基本符合</w:t>
      </w:r>
      <w:r>
        <w:rPr>
          <w:rFonts w:hint="eastAsia"/>
          <w:color w:val="000000" w:themeColor="text1"/>
          <w14:textFill>
            <w14:solidFill>
              <w14:schemeClr w14:val="tx1"/>
            </w14:solidFill>
          </w14:textFill>
        </w:rPr>
        <w:t>《关于贯彻实施国家主体功能区环境政策的若干意见》《空气质量持续改善行动计划》《大气污染防治行动计划》《水污染防治行动计划》《土壤污染防治行动计划》《中共中央国务院关于深入打好污染防治攻坚战的意见》《关于加强重点行业建设项目区域消减措施监督管理的通知》《关于印发〈环境影响评价与排污许可领域协同推进碳减排工作方案〉的通知》《2020年挥发性有机物治理攻坚方案》《关于印发重点行业挥发性有机物综合治理方案的通知》《关于切实加强风险防范严格环境影响评价管理的通知》《石化行业挥发性有机物综合整治方案》《关于加强高耗能、高排放建设项目生态环境源头防控的指导意见》《新疆维吾尔自治区重点行业环境准入条件（2024年）》《合成氨工业污染防治技术政策》《关于加快解决当前挥发性有机物治理突出问题的通知》</w:t>
      </w:r>
      <w:r>
        <w:rPr>
          <w:rFonts w:hint="eastAsia"/>
        </w:rPr>
        <w:t>等。</w:t>
      </w:r>
    </w:p>
    <w:p w14:paraId="03FFC170">
      <w:pPr>
        <w:pStyle w:val="281"/>
        <w:ind w:firstLine="480"/>
      </w:pPr>
      <w:r>
        <w:rPr>
          <w:rFonts w:hint="eastAsia"/>
        </w:rPr>
        <w:t>（</w:t>
      </w:r>
      <w:r>
        <w:t>3</w:t>
      </w:r>
      <w:r>
        <w:rPr>
          <w:rFonts w:hint="eastAsia"/>
        </w:rPr>
        <w:t>）项目规划符合性分析</w:t>
      </w:r>
    </w:p>
    <w:p w14:paraId="05AC8E61">
      <w:pPr>
        <w:pStyle w:val="281"/>
        <w:ind w:firstLine="480"/>
      </w:pPr>
      <w:r>
        <w:rPr>
          <w:rFonts w:hint="eastAsia"/>
        </w:rPr>
        <w:t>本项目的建设符合</w:t>
      </w:r>
      <w:r>
        <w:rPr>
          <w:rFonts w:hint="eastAsia"/>
          <w:color w:val="000000" w:themeColor="text1"/>
          <w14:textFill>
            <w14:solidFill>
              <w14:schemeClr w14:val="tx1"/>
            </w14:solidFill>
          </w14:textFill>
        </w:rPr>
        <w:t>《“十四五”工业绿色发展规划》《“十四五”原材料工业发展规划》</w:t>
      </w:r>
      <w:r>
        <w:rPr>
          <w:color w:val="000000" w:themeColor="text1"/>
          <w14:textFill>
            <w14:solidFill>
              <w14:schemeClr w14:val="tx1"/>
            </w14:solidFill>
          </w14:textFill>
        </w:rPr>
        <w:t>《“十四五”土壤、地下水和农村生态环境保护规划》《中华人民共和国国民经济和社会发展第十四个五年规划和2035年远景目标纲要》</w:t>
      </w:r>
      <w:r>
        <w:rPr>
          <w:rFonts w:hint="eastAsia"/>
          <w:color w:val="000000" w:themeColor="text1"/>
          <w14:textFill>
            <w14:solidFill>
              <w14:schemeClr w14:val="tx1"/>
            </w14:solidFill>
          </w14:textFill>
        </w:rPr>
        <w:t>《新疆维吾尔自治区国民经济和社会发展第十四个五年规划和2035年远景目标纲要》《哈密市国民经济和社会发展第十四个五年规划和2035年远景目标纲要》</w:t>
      </w:r>
      <w:r>
        <w:rPr>
          <w:rFonts w:hint="eastAsia"/>
        </w:rPr>
        <w:t>等。</w:t>
      </w:r>
    </w:p>
    <w:p w14:paraId="47DEC48D">
      <w:pPr>
        <w:pStyle w:val="3"/>
        <w:rPr>
          <w:rFonts w:hint="eastAsia"/>
        </w:rPr>
      </w:pPr>
      <w:bookmarkStart w:id="568" w:name="_Toc4771"/>
      <w:r>
        <w:t>环境现状结论</w:t>
      </w:r>
      <w:bookmarkEnd w:id="568"/>
    </w:p>
    <w:p w14:paraId="48274098">
      <w:pPr>
        <w:pStyle w:val="97"/>
        <w:rPr>
          <w:rFonts w:hint="eastAsia"/>
        </w:rPr>
      </w:pPr>
      <w:r>
        <w:rPr>
          <w:rFonts w:hint="eastAsia"/>
        </w:rPr>
        <w:t>大气环境</w:t>
      </w:r>
    </w:p>
    <w:p w14:paraId="24E5EC39">
      <w:pPr>
        <w:pStyle w:val="281"/>
        <w:ind w:firstLine="480"/>
      </w:pPr>
      <w:r>
        <w:rPr>
          <w:rFonts w:hint="eastAsia"/>
        </w:rPr>
        <w:t>根据生态环境部环境空气质量模型技术支持服务系统提供的数据，哈密市2023年SO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年均浓度分别为6</w:t>
      </w:r>
      <w:r>
        <w:t>μg/m</w:t>
      </w:r>
      <w:r>
        <w:rPr>
          <w:vertAlign w:val="superscript"/>
        </w:rPr>
        <w:t>3</w:t>
      </w:r>
      <w:r>
        <w:rPr>
          <w:rFonts w:hint="eastAsia"/>
        </w:rPr>
        <w:t>、32</w:t>
      </w:r>
      <w:r>
        <w:t>μg/m</w:t>
      </w:r>
      <w:r>
        <w:rPr>
          <w:vertAlign w:val="superscript"/>
        </w:rPr>
        <w:t>3</w:t>
      </w:r>
      <w:r>
        <w:rPr>
          <w:rFonts w:hint="eastAsia"/>
        </w:rPr>
        <w:t>、66</w:t>
      </w:r>
      <w:r>
        <w:t>μg/m</w:t>
      </w:r>
      <w:r>
        <w:rPr>
          <w:vertAlign w:val="superscript"/>
        </w:rPr>
        <w:t>3</w:t>
      </w:r>
      <w:r>
        <w:rPr>
          <w:rFonts w:hint="eastAsia"/>
        </w:rPr>
        <w:t>、23</w:t>
      </w:r>
      <w:r>
        <w:t>μg/m</w:t>
      </w:r>
      <w:r>
        <w:rPr>
          <w:vertAlign w:val="superscript"/>
        </w:rPr>
        <w:t>3</w:t>
      </w:r>
      <w:r>
        <w:rPr>
          <w:rFonts w:hint="eastAsia"/>
        </w:rPr>
        <w:t>；</w:t>
      </w:r>
      <w:r>
        <w:t>CO</w:t>
      </w:r>
      <w:r>
        <w:rPr>
          <w:rFonts w:hint="eastAsia"/>
        </w:rPr>
        <w:t xml:space="preserve"> </w:t>
      </w:r>
      <w:r>
        <w:t>24</w:t>
      </w:r>
      <w:r>
        <w:rPr>
          <w:rFonts w:hint="eastAsia"/>
        </w:rPr>
        <w:t>小时平均第</w:t>
      </w:r>
      <w:r>
        <w:t>95</w:t>
      </w:r>
      <w:r>
        <w:rPr>
          <w:rFonts w:hint="eastAsia"/>
        </w:rPr>
        <w:t>百分位数为2.2</w:t>
      </w:r>
      <w:r>
        <w:t>mg/m</w:t>
      </w:r>
      <w:r>
        <w:rPr>
          <w:vertAlign w:val="superscript"/>
        </w:rPr>
        <w:t>3</w:t>
      </w:r>
      <w:r>
        <w:rPr>
          <w:rFonts w:hint="eastAsia"/>
        </w:rPr>
        <w:t>，</w:t>
      </w:r>
      <w:r>
        <w:t>O</w:t>
      </w:r>
      <w:r>
        <w:rPr>
          <w:vertAlign w:val="subscript"/>
        </w:rPr>
        <w:t>3</w:t>
      </w:r>
      <w:r>
        <w:rPr>
          <w:rFonts w:hint="eastAsia"/>
        </w:rPr>
        <w:t>日最大</w:t>
      </w:r>
      <w:r>
        <w:t>8</w:t>
      </w:r>
      <w:r>
        <w:rPr>
          <w:rFonts w:hint="eastAsia"/>
        </w:rPr>
        <w:t>小时平均第</w:t>
      </w:r>
      <w:r>
        <w:t>90</w:t>
      </w:r>
      <w:r>
        <w:rPr>
          <w:rFonts w:hint="eastAsia"/>
        </w:rPr>
        <w:t>百分位数为131</w:t>
      </w:r>
      <w:r>
        <w:t>μg/m</w:t>
      </w:r>
      <w:r>
        <w:rPr>
          <w:vertAlign w:val="superscript"/>
        </w:rPr>
        <w:t>3</w:t>
      </w:r>
      <w:r>
        <w:rPr>
          <w:rFonts w:hint="eastAsia"/>
        </w:rPr>
        <w:t>，</w:t>
      </w:r>
      <w:r>
        <w:t>各污染物平均浓度均优于《环境空气质量标准》（GB3095-2012）中二级标准限值</w:t>
      </w:r>
      <w:r>
        <w:rPr>
          <w:rFonts w:hint="eastAsia"/>
        </w:rPr>
        <w:t>，属于达标区。</w:t>
      </w:r>
    </w:p>
    <w:p w14:paraId="23A41ADB">
      <w:pPr>
        <w:pStyle w:val="281"/>
        <w:ind w:firstLine="480"/>
      </w:pPr>
      <w:r>
        <w:t>本评价监测了项目区域环境空气中其他污染物</w:t>
      </w:r>
      <w:r>
        <w:rPr>
          <w:rFonts w:hint="eastAsia"/>
          <w:szCs w:val="24"/>
        </w:rPr>
        <w:t>氨、硫化氢、非甲烷总烃、甲醇、硫酸</w:t>
      </w:r>
      <w:r>
        <w:t>的现状监测数据，经分析，各监测点其他污染物监测项目均符合相应环境质量标准，区域环境空气质量现状较好。</w:t>
      </w:r>
    </w:p>
    <w:p w14:paraId="69A6F65C">
      <w:pPr>
        <w:pStyle w:val="97"/>
        <w:rPr>
          <w:rFonts w:hint="eastAsia"/>
        </w:rPr>
      </w:pPr>
      <w:r>
        <w:t>地下水环境</w:t>
      </w:r>
    </w:p>
    <w:p w14:paraId="4546071B">
      <w:pPr>
        <w:pStyle w:val="281"/>
        <w:ind w:firstLine="480"/>
      </w:pPr>
      <w:r>
        <w:rPr>
          <w:rFonts w:hint="eastAsia"/>
        </w:rPr>
        <w:t>由监测评价结果表明，</w:t>
      </w:r>
      <w:r>
        <w:rPr>
          <w:color w:val="000000" w:themeColor="text1"/>
          <w14:textFill>
            <w14:solidFill>
              <w14:schemeClr w14:val="tx1"/>
            </w14:solidFill>
          </w14:textFill>
        </w:rPr>
        <w:t>监测点各项监测指标均符合《地下水质量标准》（GB/T 14848-2017）中的Ⅲ类标准要求</w:t>
      </w:r>
      <w:r>
        <w:rPr>
          <w:rFonts w:hint="eastAsia"/>
        </w:rPr>
        <w:t>。</w:t>
      </w:r>
    </w:p>
    <w:p w14:paraId="2A8B6EED">
      <w:pPr>
        <w:pStyle w:val="97"/>
        <w:rPr>
          <w:rFonts w:hint="eastAsia"/>
        </w:rPr>
      </w:pPr>
      <w:r>
        <w:rPr>
          <w:rFonts w:hint="eastAsia"/>
        </w:rPr>
        <w:t>声环境</w:t>
      </w:r>
    </w:p>
    <w:p w14:paraId="422B44F4">
      <w:pPr>
        <w:pStyle w:val="281"/>
        <w:ind w:firstLine="480"/>
      </w:pPr>
      <w:r>
        <w:t>项目区四周昼间、夜间Leq（dB（A））均达标，小于《声环境质量标准》（GB3096-2008）中3类噪声标准限值，说明项目区声环境质量现状良好。</w:t>
      </w:r>
    </w:p>
    <w:p w14:paraId="110109BA">
      <w:pPr>
        <w:pStyle w:val="97"/>
        <w:rPr>
          <w:rFonts w:hint="eastAsia"/>
        </w:rPr>
      </w:pPr>
      <w:r>
        <w:rPr>
          <w:rFonts w:hint="eastAsia"/>
        </w:rPr>
        <w:t>生态环境</w:t>
      </w:r>
    </w:p>
    <w:p w14:paraId="6FDEEA2D">
      <w:pPr>
        <w:pStyle w:val="281"/>
        <w:ind w:firstLine="480"/>
        <w:rPr>
          <w:rFonts w:hint="eastAsia" w:ascii="宋体" w:hAnsi="宋体"/>
        </w:rPr>
      </w:pPr>
      <w:r>
        <w:rPr>
          <w:rFonts w:hAnsi="宋体"/>
        </w:rPr>
        <w:t>根据</w:t>
      </w:r>
      <w:r>
        <w:rPr>
          <w:rFonts w:hint="eastAsia" w:hAnsi="宋体"/>
        </w:rPr>
        <w:t>《新疆生态功能区划》，本项目位于天山山地温性草原、森林生态区，天山南坡吐鲁番—哈密盆地戈壁荒漠、绿洲农业生态亚区中的嘎顺—南湖戈壁荒漠风蚀敏感生态功能区。</w:t>
      </w:r>
    </w:p>
    <w:p w14:paraId="55CAB6BC">
      <w:pPr>
        <w:pStyle w:val="97"/>
        <w:rPr>
          <w:rFonts w:hint="eastAsia"/>
        </w:rPr>
      </w:pPr>
      <w:r>
        <w:rPr>
          <w:rFonts w:hint="eastAsia"/>
        </w:rPr>
        <w:t>土壤环境</w:t>
      </w:r>
    </w:p>
    <w:p w14:paraId="5CD123D6">
      <w:pPr>
        <w:pStyle w:val="281"/>
        <w:ind w:firstLine="480"/>
        <w:rPr>
          <w:rFonts w:hint="eastAsia" w:ascii="宋体" w:hAnsi="宋体"/>
        </w:rPr>
      </w:pPr>
      <w:r>
        <w:rPr>
          <w:rFonts w:hint="eastAsia"/>
          <w:szCs w:val="24"/>
        </w:rPr>
        <w:t>项目区及附近建设用地各监测点的基本项目和特征因子</w:t>
      </w:r>
      <w:r>
        <w:rPr>
          <w:szCs w:val="24"/>
        </w:rPr>
        <w:t>均未超出《土壤环境质</w:t>
      </w:r>
      <w:r>
        <w:rPr>
          <w:color w:val="000000" w:themeColor="text1"/>
          <w:szCs w:val="24"/>
          <w14:textFill>
            <w14:solidFill>
              <w14:schemeClr w14:val="tx1"/>
            </w14:solidFill>
          </w14:textFill>
        </w:rPr>
        <w:t>量建设用地土壤污染风险管控标准》（GB36600-2018）中表1建设用地土壤污染风险第二类用地筛选值。</w:t>
      </w:r>
    </w:p>
    <w:p w14:paraId="5E58A4E7">
      <w:pPr>
        <w:pStyle w:val="97"/>
        <w:rPr>
          <w:rFonts w:hint="eastAsia"/>
        </w:rPr>
      </w:pPr>
      <w:r>
        <w:rPr>
          <w:rFonts w:hint="eastAsia"/>
        </w:rPr>
        <w:t>电磁环境</w:t>
      </w:r>
    </w:p>
    <w:p w14:paraId="09BB1BCC">
      <w:pPr>
        <w:pStyle w:val="281"/>
        <w:ind w:firstLine="480"/>
      </w:pPr>
      <w:r>
        <w:rPr>
          <w:rFonts w:hint="eastAsia"/>
          <w:szCs w:val="24"/>
        </w:rPr>
        <w:t>由检测结果可知，项目变</w:t>
      </w:r>
      <w:r>
        <w:rPr>
          <w:szCs w:val="24"/>
        </w:rPr>
        <w:t>电站</w:t>
      </w:r>
      <w:r>
        <w:rPr>
          <w:rFonts w:hint="eastAsia"/>
          <w:szCs w:val="24"/>
        </w:rPr>
        <w:t>、送出线路</w:t>
      </w:r>
      <w:r>
        <w:rPr>
          <w:szCs w:val="24"/>
        </w:rPr>
        <w:t>工频电场、工频磁场监测结果均满足《电磁环境控制限值》（GB8702-2014）中的（电场强度≤4000V/m；磁感应强度≤100μT）公众曝露控制限值</w:t>
      </w:r>
      <w:r>
        <w:rPr>
          <w:rFonts w:hint="eastAsia"/>
          <w:szCs w:val="24"/>
        </w:rPr>
        <w:t>。</w:t>
      </w:r>
    </w:p>
    <w:p w14:paraId="6A260778">
      <w:pPr>
        <w:pStyle w:val="3"/>
        <w:rPr>
          <w:rFonts w:hint="eastAsia"/>
        </w:rPr>
      </w:pPr>
      <w:bookmarkStart w:id="569" w:name="_Toc15502"/>
      <w:r>
        <w:t>污染物排放结论</w:t>
      </w:r>
      <w:bookmarkEnd w:id="569"/>
    </w:p>
    <w:p w14:paraId="4FF986CC">
      <w:pPr>
        <w:pStyle w:val="97"/>
        <w:rPr>
          <w:rFonts w:hint="eastAsia"/>
        </w:rPr>
      </w:pPr>
      <w:r>
        <w:t>废气污染源</w:t>
      </w:r>
    </w:p>
    <w:p w14:paraId="32B511C8">
      <w:pPr>
        <w:pStyle w:val="281"/>
        <w:ind w:firstLine="480"/>
      </w:pPr>
      <w:r>
        <w:t>项目的废气污染源包括</w:t>
      </w:r>
      <w:r>
        <w:rPr>
          <w:rFonts w:hint="eastAsia"/>
        </w:rPr>
        <w:t>：原料煤仓废气、磨煤干燥废气、粉煤锁斗排气、真空泵排气、低温甲醇洗尾气、硫回收制酸尾气、草酰胺装置尾气吸收塔顶排气、有机缓释肥装置-1#投料废气、2#投料废气、1#-造粒废气、1#包装废气、1#烘干废气、2#-造粒废气、2#包装废气、2#烘干废气、1#冷却废气、2#冷却废气、有机缓释肥装置加热炉废气、污水处理站（有组织排放）、1#燃气锅炉烟气、2#燃气锅炉烟气、筛分破碎废气、1#转运站废气、2#转运站废气、气化装置无组织排放废气、低温甲醇洗单元无组织排放、深冷分离单元无组织排放、硫回收单元无组织排放、合成氨装置无组织排放、DMO装置无组织废气、草酰胺装置无组织排放、污水处理站（无组织排放）、循环水场、空分装置循环水站、综合罐组无组织废气、亚硝酸甲酯罐组、中间产品罐组、汽车装卸站无组织废气等。</w:t>
      </w:r>
    </w:p>
    <w:p w14:paraId="6777FF0B">
      <w:pPr>
        <w:pStyle w:val="97"/>
        <w:rPr>
          <w:rFonts w:hint="eastAsia"/>
        </w:rPr>
      </w:pPr>
      <w:r>
        <w:t>废水污染源</w:t>
      </w:r>
    </w:p>
    <w:p w14:paraId="01803D97">
      <w:pPr>
        <w:spacing w:line="360" w:lineRule="auto"/>
        <w:ind w:firstLine="480" w:firstLineChars="200"/>
        <w:rPr>
          <w:rFonts w:hint="eastAsia"/>
        </w:rPr>
      </w:pPr>
      <w:r>
        <w:t>工程产生的废水主要</w:t>
      </w:r>
      <w:r>
        <w:rPr>
          <w:rFonts w:hint="eastAsia"/>
        </w:rPr>
        <w:t>为：生产废水、生活污水、循环水站排水、除盐水站排水。</w:t>
      </w:r>
    </w:p>
    <w:p w14:paraId="2FC76F3F">
      <w:pPr>
        <w:pStyle w:val="97"/>
        <w:rPr>
          <w:rFonts w:hint="eastAsia"/>
        </w:rPr>
      </w:pPr>
      <w:r>
        <w:t>固体废弃物</w:t>
      </w:r>
    </w:p>
    <w:p w14:paraId="11038FDE">
      <w:pPr>
        <w:pStyle w:val="281"/>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项目产生的固体废物：</w:t>
      </w:r>
      <w:r>
        <w:rPr>
          <w:rFonts w:hint="eastAsia"/>
          <w:color w:val="000000" w:themeColor="text1"/>
          <w14:textFill>
            <w14:solidFill>
              <w14:schemeClr w14:val="tx1"/>
            </w14:solidFill>
          </w14:textFill>
        </w:rPr>
        <w:t>本项目一般固废主要为气化装置-气化细渣、气化装置-气化粗渣、气化装置-原煤仓收尘灰、气化装置-磨煤及干燥收尘灰、气化装置-粉煤锁斗收尘灰、深冷分离-废分子筛、电解水制气装置-废分子筛、投料废气-收尘灰、冷却废气-收尘灰、脱盐水站-废超滤膜、脱盐水站-废反渗透膜、脱盐水站-废离子交换树脂、中水回用系统-污泥、中水回用系统-废滤料、中水回用系统-废超滤膜、中水回用系统-废反渗透膜、污水处理站-生化污泥、空分站-废分子筛、空分站-废空分氧化铝、原煤储运收尘灰等。</w:t>
      </w:r>
    </w:p>
    <w:p w14:paraId="50B2FDAB">
      <w:pPr>
        <w:pStyle w:val="281"/>
        <w:ind w:firstLine="480"/>
        <w:rPr>
          <w:rFonts w:hint="eastAsia"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本项目产生的危险废物主要为：本项目产生的危险废物主要为煤气冷却单元-废脱毒剂、煤气冷却单元-废水解剂、净化及分离装置-废脱硝催化剂、净化及分离装置-</w:t>
      </w:r>
      <w:r>
        <w:rPr>
          <w:color w:val="000000" w:themeColor="text1"/>
          <w14:textFill>
            <w14:solidFill>
              <w14:schemeClr w14:val="tx1"/>
            </w14:solidFill>
          </w14:textFill>
        </w:rPr>
        <w:t>废SO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转化催化剂</w:t>
      </w:r>
      <w:r>
        <w:rPr>
          <w:rFonts w:hint="eastAsia"/>
          <w:color w:val="000000" w:themeColor="text1"/>
          <w14:textFill>
            <w14:solidFill>
              <w14:schemeClr w14:val="tx1"/>
            </w14:solidFill>
          </w14:textFill>
        </w:rPr>
        <w:t>、电解水制气装置-废脱氧（氢）催化剂、电解水制气装置-废碱液、合成氨装置-废氨合成催化剂、DMO装置-废羰化催化剂、DMO装置-废瓷球、动力站-废脱硝催化剂、220kV变电所-事故废油、220kV变电所-废铅酸蓄电池、杂盐等。</w:t>
      </w:r>
    </w:p>
    <w:p w14:paraId="7DBA6C49">
      <w:pPr>
        <w:pStyle w:val="97"/>
        <w:rPr>
          <w:rFonts w:hint="eastAsia"/>
        </w:rPr>
      </w:pPr>
      <w:r>
        <w:t>噪声</w:t>
      </w:r>
    </w:p>
    <w:p w14:paraId="73D928E6">
      <w:pPr>
        <w:spacing w:line="360" w:lineRule="auto"/>
        <w:ind w:firstLine="480" w:firstLineChars="200"/>
        <w:rPr>
          <w:rFonts w:hint="eastAsia"/>
        </w:rPr>
      </w:pPr>
      <w:r>
        <w:t>本项目主要噪声源于</w:t>
      </w:r>
      <w:r>
        <w:rPr>
          <w:rFonts w:hint="eastAsia"/>
        </w:rPr>
        <w:t>加热炉</w:t>
      </w:r>
      <w:r>
        <w:t>、</w:t>
      </w:r>
      <w:r>
        <w:rPr>
          <w:rFonts w:hint="eastAsia"/>
        </w:rPr>
        <w:t>风机及压缩机</w:t>
      </w:r>
      <w:r>
        <w:t>、</w:t>
      </w:r>
      <w:r>
        <w:rPr>
          <w:rFonts w:hint="eastAsia"/>
        </w:rPr>
        <w:t>机泵</w:t>
      </w:r>
      <w:r>
        <w:t>、</w:t>
      </w:r>
      <w:r>
        <w:rPr>
          <w:rFonts w:hint="eastAsia"/>
        </w:rPr>
        <w:t>冷却塔</w:t>
      </w:r>
      <w:r>
        <w:t>等产生的机械噪声等，此外，还有产品、原料运输道路交通噪声</w:t>
      </w:r>
      <w:r>
        <w:rPr>
          <w:rFonts w:hint="eastAsia"/>
        </w:rPr>
        <w:t>。</w:t>
      </w:r>
    </w:p>
    <w:p w14:paraId="6D02ED79">
      <w:pPr>
        <w:pStyle w:val="3"/>
        <w:rPr>
          <w:rFonts w:hint="eastAsia"/>
        </w:rPr>
      </w:pPr>
      <w:bookmarkStart w:id="570" w:name="_Toc4776"/>
      <w:r>
        <w:t>环境影响评价结论</w:t>
      </w:r>
      <w:bookmarkEnd w:id="570"/>
    </w:p>
    <w:p w14:paraId="245D26C8">
      <w:pPr>
        <w:pStyle w:val="281"/>
        <w:ind w:firstLine="480"/>
      </w:pPr>
      <w:r>
        <w:t>（1）大气环境</w:t>
      </w:r>
    </w:p>
    <w:p w14:paraId="24A588D2">
      <w:pPr>
        <w:pStyle w:val="281"/>
        <w:ind w:firstLine="480"/>
        <w:rPr>
          <w:bCs/>
        </w:rPr>
      </w:pPr>
      <w:r>
        <w:t>建设工程完成后，各生产工段在各环保设施正常运行条件下，SO</w:t>
      </w:r>
      <w:r>
        <w:rPr>
          <w:vertAlign w:val="subscript"/>
        </w:rPr>
        <w:t>2</w:t>
      </w:r>
      <w:r>
        <w:t>、NO</w:t>
      </w:r>
      <w:r>
        <w:rPr>
          <w:vertAlign w:val="subscript"/>
        </w:rPr>
        <w:t>2</w:t>
      </w:r>
      <w:r>
        <w:t>、PM</w:t>
      </w:r>
      <w:r>
        <w:rPr>
          <w:vertAlign w:val="subscript"/>
        </w:rPr>
        <w:t>10</w:t>
      </w:r>
      <w:r>
        <w:t>小时、日均短期浓度贡献值的最大落地浓度占标率均小于100%；年均浓度贡献值的最大落地浓度占标率均小于30%，满足《环境空气质量标准》（GB3095-2012）中的二级标准浓度限值要求和《环境影响评价技术导则大气环境》（HJ2.2-2018）的要求。</w:t>
      </w:r>
    </w:p>
    <w:p w14:paraId="7D7EA2AC">
      <w:pPr>
        <w:pStyle w:val="281"/>
        <w:ind w:firstLine="480"/>
      </w:pPr>
      <w:r>
        <w:t>特征污染物氨、硫化氢</w:t>
      </w:r>
      <w:r>
        <w:rPr>
          <w:rFonts w:hint="eastAsia"/>
        </w:rPr>
        <w:t>、甲醇</w:t>
      </w:r>
      <w:r>
        <w:t>最大落地浓度符合</w:t>
      </w:r>
      <w:r>
        <w:rPr>
          <w:spacing w:val="-4"/>
        </w:rPr>
        <w:t>《环境影响评价技术导则大气环境》（HJ 2.2-2018）附录D的参考浓度限值标准要求；</w:t>
      </w:r>
      <w:r>
        <w:t>非甲烷总烃最大落地浓度符合《大气污染物综合排放标准详解》中标准</w:t>
      </w:r>
      <w:r>
        <w:rPr>
          <w:spacing w:val="-4"/>
        </w:rPr>
        <w:t>。</w:t>
      </w:r>
    </w:p>
    <w:p w14:paraId="7E339E23">
      <w:pPr>
        <w:pStyle w:val="281"/>
        <w:ind w:firstLine="480"/>
      </w:pPr>
      <w:r>
        <w:t>各环境敏感点的预测浓度小时浓度、日均浓度、年均浓度均未超出评价标准浓度限值，在正常生产情况下排放的污染物不会对厂址周围的敏感人群居住区环境产生明显影响。</w:t>
      </w:r>
    </w:p>
    <w:p w14:paraId="1D469615">
      <w:pPr>
        <w:pStyle w:val="281"/>
        <w:ind w:firstLine="480"/>
      </w:pPr>
      <w:r>
        <w:t>若发生非正常工况排放，各污染物排放并未造成环境敏感点的环境质量大幅下降。但与正常生产相比浓度值有所增高，对区域大气环境质量造成一定的影响，事故时间越长，影响范围越大。需加强对环保设施的日常管理，减少甚至杜绝非正常工况的发生几率。</w:t>
      </w:r>
    </w:p>
    <w:p w14:paraId="37F876BA">
      <w:pPr>
        <w:pStyle w:val="281"/>
        <w:ind w:firstLine="480"/>
      </w:pPr>
      <w:r>
        <w:t>（2）水环境</w:t>
      </w:r>
    </w:p>
    <w:p w14:paraId="51EF81E7">
      <w:pPr>
        <w:pStyle w:val="281"/>
        <w:ind w:firstLine="480"/>
      </w:pPr>
      <w:r>
        <w:rPr>
          <w:rFonts w:hint="eastAsia"/>
        </w:rPr>
        <w:t>全厂生产废水、生活污水经厂内污水处理站处理后，全部回用于生产</w:t>
      </w:r>
      <w:r>
        <w:t>。</w:t>
      </w:r>
    </w:p>
    <w:p w14:paraId="6C576DEE">
      <w:pPr>
        <w:pStyle w:val="281"/>
        <w:ind w:firstLine="480"/>
      </w:pPr>
      <w:r>
        <w:t>（3）固体废物</w:t>
      </w:r>
    </w:p>
    <w:p w14:paraId="71213CB1">
      <w:pPr>
        <w:pStyle w:val="281"/>
        <w:ind w:firstLine="480"/>
      </w:pPr>
      <w:r>
        <w:t>本项目固体废物均可做到妥善处置，避免对环境造成不利影响。</w:t>
      </w:r>
    </w:p>
    <w:p w14:paraId="23224E9C">
      <w:pPr>
        <w:pStyle w:val="281"/>
        <w:ind w:firstLine="480"/>
      </w:pPr>
      <w:r>
        <w:t>（4）声环境</w:t>
      </w:r>
    </w:p>
    <w:p w14:paraId="762E7755">
      <w:pPr>
        <w:pStyle w:val="281"/>
        <w:ind w:firstLine="480"/>
      </w:pPr>
      <w:r>
        <w:rPr>
          <w:rFonts w:hint="eastAsia" w:ascii="宋体" w:hAnsi="宋体"/>
        </w:rPr>
        <w:t>采取减噪降噪措施后，噪声源对周围环境影响较小。</w:t>
      </w:r>
    </w:p>
    <w:p w14:paraId="6FA4EEB6">
      <w:pPr>
        <w:pStyle w:val="281"/>
        <w:ind w:firstLine="480"/>
      </w:pPr>
      <w:r>
        <w:rPr>
          <w:rFonts w:hint="eastAsia" w:ascii="宋体" w:hAnsi="宋体"/>
        </w:rPr>
        <w:t>本工程设计采取了有效的安全措施，另外本工程制定了完善的安全管理、降低风险的规章制度，在管理、控制及监督、生产和维护方面具备成熟的降低事故风险的经验和措施。因此，项目的安全性将得到有效地保证，环境风险事故的发生概率应较小，环境风险属可接受水平。</w:t>
      </w:r>
    </w:p>
    <w:p w14:paraId="2566BF9E">
      <w:pPr>
        <w:pStyle w:val="3"/>
        <w:rPr>
          <w:rFonts w:hint="eastAsia"/>
        </w:rPr>
      </w:pPr>
      <w:bookmarkStart w:id="571" w:name="_Toc9267"/>
      <w:r>
        <w:t>污染防治措施分析结论</w:t>
      </w:r>
      <w:bookmarkEnd w:id="571"/>
    </w:p>
    <w:p w14:paraId="71D1E1D8">
      <w:pPr>
        <w:pStyle w:val="281"/>
        <w:ind w:firstLine="480"/>
      </w:pPr>
      <w:r>
        <w:t>（1）废气治理措施</w:t>
      </w:r>
    </w:p>
    <w:p w14:paraId="1BD20652">
      <w:pPr>
        <w:pStyle w:val="281"/>
        <w:ind w:firstLine="480"/>
      </w:pPr>
      <w:r>
        <w:rPr>
          <w:szCs w:val="24"/>
        </w:rPr>
        <w:t>污水处理站废气</w:t>
      </w:r>
      <w:r>
        <w:rPr>
          <w:rFonts w:hint="eastAsia" w:ascii="宋体" w:hAnsi="宋体"/>
        </w:rPr>
        <w:t>经碱洗+生物除臭处理措施</w:t>
      </w:r>
      <w:r>
        <w:rPr>
          <w:szCs w:val="24"/>
        </w:rPr>
        <w:t>；</w:t>
      </w:r>
      <w:r>
        <w:rPr>
          <w:rFonts w:hint="eastAsia"/>
          <w:szCs w:val="24"/>
        </w:rPr>
        <w:t>燃气锅炉废气采用低氮燃烧+ SCR脱硝</w:t>
      </w:r>
      <w:r>
        <w:rPr>
          <w:szCs w:val="24"/>
        </w:rPr>
        <w:t>处理后外排</w:t>
      </w:r>
      <w:r>
        <w:rPr>
          <w:rFonts w:hint="eastAsia"/>
          <w:szCs w:val="24"/>
        </w:rPr>
        <w:t>；储运</w:t>
      </w:r>
      <w:r>
        <w:rPr>
          <w:szCs w:val="24"/>
        </w:rPr>
        <w:t>系统产生的颗粒物均采用布袋除尘器后处理后外排。另外，</w:t>
      </w:r>
      <w:r>
        <w:t>项目按照《挥发性有机物污染防治政策》和《石化行业挥发性有机物综合整治方案》，制定泄漏检测与修复（LDAR）计划，定期检测、及时修复，防止或减少跑、冒、滴、漏现象；通过源头控制VOCs的排放。</w:t>
      </w:r>
    </w:p>
    <w:p w14:paraId="63492C2A">
      <w:pPr>
        <w:pStyle w:val="281"/>
        <w:ind w:firstLine="480"/>
        <w:rPr>
          <w:rFonts w:hint="eastAsia" w:hAnsi="宋体"/>
        </w:rPr>
      </w:pPr>
      <w:r>
        <w:rPr>
          <w:rFonts w:hAnsi="宋体"/>
        </w:rPr>
        <w:t>（2）废水治理措施</w:t>
      </w:r>
    </w:p>
    <w:p w14:paraId="09301FD4">
      <w:pPr>
        <w:pStyle w:val="281"/>
        <w:ind w:firstLine="480"/>
        <w:rPr>
          <w:rFonts w:hint="eastAsia" w:hAnsi="宋体"/>
        </w:rPr>
      </w:pPr>
      <w:r>
        <w:rPr>
          <w:rFonts w:hint="eastAsia"/>
        </w:rPr>
        <w:t>全厂生产废水、生活污水经厂内污水处理站处理后，全部回用于生产</w:t>
      </w:r>
      <w:r>
        <w:rPr>
          <w:rFonts w:ascii="宋体" w:hAnsi="宋体"/>
        </w:rPr>
        <w:t>。</w:t>
      </w:r>
    </w:p>
    <w:p w14:paraId="1641AFF5">
      <w:pPr>
        <w:pStyle w:val="281"/>
        <w:ind w:firstLine="480"/>
        <w:rPr>
          <w:szCs w:val="24"/>
        </w:rPr>
      </w:pPr>
      <w:r>
        <w:rPr>
          <w:szCs w:val="24"/>
        </w:rPr>
        <w:t>（3）固废治理措施</w:t>
      </w:r>
    </w:p>
    <w:p w14:paraId="7107F65C">
      <w:pPr>
        <w:pStyle w:val="281"/>
        <w:ind w:firstLine="480"/>
        <w:rPr>
          <w:szCs w:val="24"/>
        </w:rPr>
      </w:pPr>
      <w:r>
        <w:rPr>
          <w:szCs w:val="24"/>
        </w:rPr>
        <w:t>项目的危险废物送有危废处理资质的单位委托处理，一般固废综合利用避免二次污染。</w:t>
      </w:r>
    </w:p>
    <w:p w14:paraId="598315A4">
      <w:pPr>
        <w:pStyle w:val="281"/>
        <w:ind w:firstLine="480"/>
        <w:rPr>
          <w:szCs w:val="24"/>
        </w:rPr>
      </w:pPr>
      <w:r>
        <w:rPr>
          <w:szCs w:val="24"/>
        </w:rPr>
        <w:t>（4）噪声治理措施</w:t>
      </w:r>
    </w:p>
    <w:p w14:paraId="14E215EA">
      <w:pPr>
        <w:pStyle w:val="281"/>
        <w:ind w:firstLine="480"/>
        <w:rPr>
          <w:szCs w:val="24"/>
        </w:rPr>
      </w:pPr>
      <w:r>
        <w:rPr>
          <w:szCs w:val="24"/>
        </w:rPr>
        <w:t>噪声源集中布置，选用低噪声设备并置于室内，确保噪声排放符合《工业企业厂界环境噪声排放标准》(GB12348-2008)中的3类标准的要求。</w:t>
      </w:r>
    </w:p>
    <w:p w14:paraId="406F639C">
      <w:pPr>
        <w:pStyle w:val="281"/>
        <w:ind w:firstLine="480"/>
        <w:rPr>
          <w:szCs w:val="24"/>
        </w:rPr>
      </w:pPr>
      <w:r>
        <w:rPr>
          <w:szCs w:val="24"/>
        </w:rPr>
        <w:t>综上所述，在环保设施正常运行情况下，项目所产生的废气、废水、固废等污染物均能妥善处理，对周围环境影响不大。</w:t>
      </w:r>
    </w:p>
    <w:p w14:paraId="0C4D3AF5">
      <w:pPr>
        <w:pStyle w:val="3"/>
        <w:rPr>
          <w:rFonts w:hint="eastAsia"/>
        </w:rPr>
      </w:pPr>
      <w:bookmarkStart w:id="572" w:name="_Toc17848"/>
      <w:r>
        <w:t>总量控制</w:t>
      </w:r>
      <w:bookmarkEnd w:id="572"/>
    </w:p>
    <w:p w14:paraId="09DB6FF8">
      <w:pPr>
        <w:pStyle w:val="128"/>
        <w:rPr>
          <w:rFonts w:hint="eastAsia"/>
        </w:rPr>
      </w:pPr>
      <w:r>
        <w:t>环评推荐总量控制指标如下：</w:t>
      </w:r>
    </w:p>
    <w:p w14:paraId="426341F4">
      <w:pPr>
        <w:pStyle w:val="128"/>
        <w:rPr>
          <w:rFonts w:hint="eastAsia"/>
        </w:rPr>
      </w:pPr>
      <w:r>
        <w:rPr>
          <w:rFonts w:hint="eastAsia"/>
        </w:rPr>
        <w:t>本项目大气污染物：</w:t>
      </w:r>
      <w:r>
        <w:t>N</w:t>
      </w:r>
      <w:r>
        <w:rPr>
          <w:rFonts w:hint="eastAsia"/>
        </w:rPr>
        <w:t>O</w:t>
      </w:r>
      <w:r>
        <w:t>x</w:t>
      </w:r>
      <w:r>
        <w:rPr>
          <w:rFonts w:hint="eastAsia" w:hAnsi="Times New Roman" w:eastAsia="等线" w:cs="Times New Roman"/>
          <w:szCs w:val="18"/>
        </w:rPr>
        <w:t>88.22</w:t>
      </w:r>
      <w:r>
        <w:t>t/a</w:t>
      </w:r>
      <w:r>
        <w:rPr>
          <w:rFonts w:hint="eastAsia"/>
        </w:rPr>
        <w:t>、挥发性有机物63.46</w:t>
      </w:r>
      <w:r>
        <w:t>t/a</w:t>
      </w:r>
      <w:r>
        <w:rPr>
          <w:rFonts w:hint="eastAsia"/>
        </w:rPr>
        <w:t>（其中挥发性有机物有组织排放4.48</w:t>
      </w:r>
      <w:r>
        <w:t>t/a</w:t>
      </w:r>
      <w:r>
        <w:rPr>
          <w:rFonts w:hint="eastAsia"/>
        </w:rPr>
        <w:t>，无组织排放量58.98</w:t>
      </w:r>
      <w:r>
        <w:t>t/a</w:t>
      </w:r>
      <w:r>
        <w:rPr>
          <w:rFonts w:hint="eastAsia"/>
        </w:rPr>
        <w:t>）。</w:t>
      </w:r>
    </w:p>
    <w:p w14:paraId="74E604B4">
      <w:pPr>
        <w:pStyle w:val="3"/>
        <w:rPr>
          <w:rFonts w:hint="eastAsia"/>
        </w:rPr>
      </w:pPr>
      <w:bookmarkStart w:id="573" w:name="_Toc27047"/>
      <w:r>
        <w:t>清洁生产</w:t>
      </w:r>
      <w:bookmarkEnd w:id="573"/>
    </w:p>
    <w:p w14:paraId="374F7024">
      <w:pPr>
        <w:spacing w:line="360" w:lineRule="auto"/>
        <w:ind w:firstLine="480" w:firstLineChars="200"/>
        <w:rPr>
          <w:rFonts w:hint="eastAsia"/>
        </w:rPr>
      </w:pPr>
      <w:r>
        <w:t>从工程的原辅材料和能耗、工艺技术、过程控制、设备、污染物综合利用、产品、管理和员工等方面进行清洁生产分析，本项目清洁生产水平达到国内现阶段清洁生产先进水平。</w:t>
      </w:r>
    </w:p>
    <w:p w14:paraId="7D8DED91">
      <w:pPr>
        <w:pStyle w:val="3"/>
        <w:rPr>
          <w:rFonts w:hint="eastAsia"/>
        </w:rPr>
      </w:pPr>
      <w:bookmarkStart w:id="574" w:name="_Toc913"/>
      <w:r>
        <w:t>公众参与</w:t>
      </w:r>
      <w:bookmarkEnd w:id="574"/>
    </w:p>
    <w:p w14:paraId="48DFC15F">
      <w:pPr>
        <w:spacing w:line="360" w:lineRule="auto"/>
        <w:ind w:firstLine="480" w:firstLineChars="200"/>
        <w:rPr>
          <w:rFonts w:hint="eastAsia"/>
        </w:rPr>
      </w:pPr>
      <w:r>
        <w:t>本项目根据《环境影响评价公众参与办法》（部令第4号）的要求进行公众参与，公众参与期间无公众反对本项目建设。</w:t>
      </w:r>
    </w:p>
    <w:p w14:paraId="4B0A305A">
      <w:pPr>
        <w:pStyle w:val="3"/>
        <w:rPr>
          <w:rFonts w:hint="eastAsia"/>
        </w:rPr>
      </w:pPr>
      <w:bookmarkStart w:id="575" w:name="_Toc1827"/>
      <w:r>
        <w:t>环境影响经济损益分析</w:t>
      </w:r>
      <w:bookmarkEnd w:id="575"/>
    </w:p>
    <w:p w14:paraId="60EDDA8A">
      <w:pPr>
        <w:pStyle w:val="281"/>
        <w:ind w:firstLine="480"/>
      </w:pPr>
      <w:r>
        <w:rPr>
          <w:rFonts w:hint="eastAsia"/>
        </w:rPr>
        <w:t>本项目总投资为616781.88万元，环保投资35918万元，占项目总投资的5.82%。</w:t>
      </w:r>
    </w:p>
    <w:p w14:paraId="1FE5C4EA">
      <w:pPr>
        <w:pStyle w:val="3"/>
        <w:rPr>
          <w:rFonts w:hint="eastAsia"/>
        </w:rPr>
      </w:pPr>
      <w:bookmarkStart w:id="576" w:name="_Toc8496"/>
      <w:r>
        <w:t>环境管理与监测计划结论</w:t>
      </w:r>
      <w:bookmarkEnd w:id="576"/>
    </w:p>
    <w:p w14:paraId="4CC0043F">
      <w:pPr>
        <w:pStyle w:val="281"/>
        <w:ind w:firstLine="480"/>
        <w:rPr>
          <w:szCs w:val="24"/>
        </w:rPr>
      </w:pPr>
      <w:r>
        <w:rPr>
          <w:rFonts w:hint="eastAsia"/>
          <w:szCs w:val="24"/>
        </w:rPr>
        <w:t>按照《</w:t>
      </w:r>
      <w:r>
        <w:rPr>
          <w:rFonts w:hint="eastAsia"/>
        </w:rPr>
        <w:t>排污单位自行监测技术指南 总则》（H</w:t>
      </w:r>
      <w:r>
        <w:t>J 819-2017</w:t>
      </w:r>
      <w:r>
        <w:rPr>
          <w:rFonts w:hint="eastAsia"/>
        </w:rPr>
        <w:t>）、《排污单位自行监测技术指南 石油化学工业》（HJ 947-2018）、《排污单位自行监测技术指南 石油炼制工业》（HJ 880-2018）、《排污单位自行监测技术指南化肥 工业氮肥》（HJ948.1-2018）、《排污单位自行监测技术指南 磷肥、钾肥、复混肥料、有机肥料和微生物肥料》（HJ 1088-2020）、《排污单位自行监测技术指南 火力发电及锅炉》（HJ 820-2017）等</w:t>
      </w:r>
      <w:r>
        <w:rPr>
          <w:szCs w:val="24"/>
        </w:rPr>
        <w:t>，对本项目制定监测计划。</w:t>
      </w:r>
    </w:p>
    <w:p w14:paraId="7D6FCA69">
      <w:pPr>
        <w:pStyle w:val="3"/>
        <w:rPr>
          <w:rFonts w:hint="eastAsia"/>
        </w:rPr>
      </w:pPr>
      <w:bookmarkStart w:id="577" w:name="_Toc23211"/>
      <w:r>
        <w:t>总体结论</w:t>
      </w:r>
      <w:bookmarkEnd w:id="577"/>
    </w:p>
    <w:p w14:paraId="44B52311">
      <w:pPr>
        <w:spacing w:line="360" w:lineRule="auto"/>
        <w:ind w:firstLine="480" w:firstLineChars="200"/>
        <w:jc w:val="both"/>
        <w:rPr>
          <w:rFonts w:hint="eastAsia"/>
        </w:rPr>
      </w:pPr>
      <w:r>
        <w:rPr>
          <w:bCs/>
        </w:rPr>
        <w:t>综合分析结果表明，本项目符合产业政策；项目建设符合清洁生产和循环经济要求；各项污染物能够达标排放；环境风险水平在可接受程度内。考虑项目在建设过程中的不确定因素，项目建设过程中认真落实环境保护“三同时”，严格落实设计和环评报告提出的污染防治措施和环境保护措施，并加强环保设施的运行维护和管理，保证各种环保设施的正常运行和污染物长期稳定达标排放。在落实并保证以上条件实施的前提下，从环保角度分析，该项目的建设是可行的。</w:t>
      </w:r>
    </w:p>
    <w:sectPr>
      <w:pgSz w:w="11906" w:h="16838"/>
      <w:pgMar w:top="1440" w:right="1800" w:bottom="1440" w:left="1800" w:header="851" w:footer="850"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altName w:val="Arial Unicode MS"/>
    <w:panose1 w:val="00000000000000000000"/>
    <w:charset w:val="86"/>
    <w:family w:val="auto"/>
    <w:pitch w:val="default"/>
    <w:sig w:usb0="00000000" w:usb1="00000000" w:usb2="00000012" w:usb3="00000000" w:csb0="00040001"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Bold">
    <w:altName w:val="Arial"/>
    <w:panose1 w:val="020B0704020202020204"/>
    <w:charset w:val="00"/>
    <w:family w:val="roman"/>
    <w:pitch w:val="default"/>
    <w:sig w:usb0="00000000" w:usb1="00000000" w:usb2="00000000" w:usb3="00000000" w:csb0="00000001" w:csb1="00000000"/>
  </w:font>
  <w:font w:name="Marigold (PCL6)">
    <w:altName w:val="Segoe Print"/>
    <w:panose1 w:val="00000000000000000000"/>
    <w:charset w:val="00"/>
    <w:family w:val="script"/>
    <w:pitch w:val="default"/>
    <w:sig w:usb0="00000000" w:usb1="00000000" w:usb2="00000000" w:usb3="00000000" w:csb0="00000001" w:csb1="00000000"/>
  </w:font>
  <w:font w:name="RomanS">
    <w:altName w:val="Segoe Print"/>
    <w:panose1 w:val="00000000000000000000"/>
    <w:charset w:val="00"/>
    <w:family w:val="auto"/>
    <w:pitch w:val="default"/>
    <w:sig w:usb0="00000000" w:usb1="00000000" w:usb2="00000000" w:usb3="00000000" w:csb0="00000000" w:csb1="00000000"/>
  </w:font>
  <w:font w:name="Swis721 Lt BT">
    <w:altName w:val="DejaVu Math TeX Gyre"/>
    <w:panose1 w:val="020B0403020202020204"/>
    <w:charset w:val="00"/>
    <w:family w:val="swiss"/>
    <w:pitch w:val="default"/>
    <w:sig w:usb0="00000000" w:usb1="00000000" w:usb2="00000000" w:usb3="00000000" w:csb0="0000001B"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Microsoft YaHei UI">
    <w:altName w:val="宋体"/>
    <w:panose1 w:val="020B0503020204020204"/>
    <w:charset w:val="86"/>
    <w:family w:val="swiss"/>
    <w:pitch w:val="default"/>
    <w:sig w:usb0="00000000" w:usb1="00000000" w:usb2="00000016" w:usb3="00000000" w:csb0="0004001F" w:csb1="00000000"/>
  </w:font>
  <w:font w:name="Calibri Light">
    <w:altName w:val="Calibri"/>
    <w:panose1 w:val="020F0302020204030204"/>
    <w:charset w:val="00"/>
    <w:family w:val="swiss"/>
    <w:pitch w:val="default"/>
    <w:sig w:usb0="00000000" w:usb1="00000000" w:usb2="00000009"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宋体-18030">
    <w:altName w:val="微软雅黑"/>
    <w:panose1 w:val="00000000000000000000"/>
    <w:charset w:val="86"/>
    <w:family w:val="modern"/>
    <w:pitch w:val="default"/>
    <w:sig w:usb0="00000000" w:usb1="00000000" w:usb2="0000001E" w:usb3="00000000" w:csb0="003C0041" w:csb1="00000000"/>
  </w:font>
  <w:font w:name="TimesNewRoman">
    <w:altName w:val="宋体"/>
    <w:panose1 w:val="00000000000000000000"/>
    <w:charset w:val="00"/>
    <w:family w:val="roman"/>
    <w:pitch w:val="default"/>
    <w:sig w:usb0="00000000" w:usb1="00000000" w:usb2="00000010" w:usb3="00000000" w:csb0="00060001" w:csb1="00000000"/>
  </w:font>
  <w:font w:name="TimesNewRomanPSMT">
    <w:altName w:val="Times New Roman"/>
    <w:panose1 w:val="00000000000000000000"/>
    <w:charset w:val="00"/>
    <w:family w:val="roman"/>
    <w:pitch w:val="default"/>
    <w:sig w:usb0="00000000" w:usb1="00000000" w:usb2="00000010" w:usb3="00000000" w:csb0="00060001" w:csb1="00000000"/>
  </w:font>
  <w:font w:name="Klee One">
    <w:altName w:val="Segoe Print"/>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0" w:usb3="00000000" w:csb0="00000001" w:csb1="00000000"/>
  </w:font>
  <w:font w:name="宋体壵笅波..">
    <w:altName w:val="宋体"/>
    <w:panose1 w:val="00000000000000000000"/>
    <w:charset w:val="86"/>
    <w:family w:val="roman"/>
    <w:pitch w:val="default"/>
    <w:sig w:usb0="00000000" w:usb1="00000000" w:usb2="00000010" w:usb3="00000000" w:csb0="00040000" w:csb1="00000000"/>
  </w:font>
  <w:font w:name="K,Bold">
    <w:altName w:val="宋体"/>
    <w:panose1 w:val="00000000000000000000"/>
    <w:charset w:val="86"/>
    <w:family w:val="auto"/>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4E566">
    <w:pPr>
      <w:pStyle w:val="40"/>
      <w:jc w:val="center"/>
      <w:rPr>
        <w:rFonts w:hint="eastAsia"/>
      </w:rPr>
    </w:pPr>
  </w:p>
  <w:p w14:paraId="4F715325">
    <w:pPr>
      <w:pStyle w:val="4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2DA59C5">
        <w:pPr>
          <w:pStyle w:val="40"/>
          <w:jc w:val="center"/>
          <w:rPr>
            <w:rFonts w:hint="eastAsia"/>
          </w:rPr>
        </w:pPr>
        <w:r>
          <w:fldChar w:fldCharType="begin"/>
        </w:r>
        <w:r>
          <w:instrText xml:space="preserve">PAGE   \* MERGEFORMAT</w:instrText>
        </w:r>
        <w:r>
          <w:fldChar w:fldCharType="separate"/>
        </w:r>
        <w:r>
          <w:rPr>
            <w:lang w:val="zh-CN"/>
          </w:rPr>
          <w:t>I</w:t>
        </w:r>
        <w:r>
          <w:rPr>
            <w:lang w:val="zh-CN"/>
          </w:rPr>
          <w:fldChar w:fldCharType="end"/>
        </w:r>
      </w:p>
    </w:sdtContent>
  </w:sdt>
  <w:p w14:paraId="2DB2A50C">
    <w:pPr>
      <w:pStyle w:val="4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A555">
    <w:pPr>
      <w:pStyle w:val="40"/>
      <w:pBdr>
        <w:top w:val="single" w:color="auto" w:sz="12" w:space="1"/>
      </w:pBdr>
      <w:tabs>
        <w:tab w:val="right" w:pos="8364"/>
        <w:tab w:val="clear" w:pos="4153"/>
        <w:tab w:val="clear" w:pos="8306"/>
      </w:tabs>
      <w:ind w:right="-65" w:rightChars="-27" w:firstLine="3948" w:firstLineChars="2100"/>
      <w:rPr>
        <w:rFonts w:ascii="Times New Roman" w:hAnsi="Times New Roman" w:cs="Times New Roman"/>
      </w:rPr>
    </w:pPr>
    <w:r>
      <w:rPr>
        <w:rFonts w:ascii="Times New Roman" w:hAnsi="Times New Roman" w:eastAsia="黑体" w:cs="Times New Roman"/>
        <w:spacing w:val="-6"/>
        <w:sz w:val="20"/>
        <w:szCs w:val="20"/>
        <w:lang w:val="zh-CN"/>
      </w:rPr>
      <w:fldChar w:fldCharType="begin"/>
    </w:r>
    <w:r>
      <w:rPr>
        <w:rFonts w:ascii="Times New Roman" w:hAnsi="Times New Roman" w:eastAsia="黑体" w:cs="Times New Roman"/>
        <w:spacing w:val="-6"/>
        <w:sz w:val="20"/>
        <w:szCs w:val="20"/>
        <w:lang w:val="zh-CN"/>
      </w:rPr>
      <w:instrText xml:space="preserve"> PAGE   \* MERGEFORMAT </w:instrText>
    </w:r>
    <w:r>
      <w:rPr>
        <w:rFonts w:ascii="Times New Roman" w:hAnsi="Times New Roman" w:eastAsia="黑体" w:cs="Times New Roman"/>
        <w:spacing w:val="-6"/>
        <w:sz w:val="20"/>
        <w:szCs w:val="20"/>
        <w:lang w:val="zh-CN"/>
      </w:rPr>
      <w:fldChar w:fldCharType="separate"/>
    </w:r>
    <w:r>
      <w:rPr>
        <w:rFonts w:ascii="Times New Roman" w:hAnsi="Times New Roman" w:eastAsia="黑体" w:cs="Times New Roman"/>
        <w:spacing w:val="-6"/>
        <w:sz w:val="20"/>
        <w:szCs w:val="20"/>
        <w:lang w:val="zh-CN"/>
      </w:rPr>
      <w:t>123</w:t>
    </w:r>
    <w:r>
      <w:rPr>
        <w:rFonts w:ascii="Times New Roman" w:hAnsi="Times New Roman" w:eastAsia="黑体" w:cs="Times New Roman"/>
        <w:spacing w:val="-6"/>
        <w:sz w:val="20"/>
        <w:szCs w:val="20"/>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3E8FC">
    <w:pPr>
      <w:pStyle w:val="40"/>
      <w:pBdr>
        <w:top w:val="single" w:color="auto" w:sz="12" w:space="1"/>
      </w:pBdr>
      <w:tabs>
        <w:tab w:val="right" w:pos="8364"/>
        <w:tab w:val="clear" w:pos="4153"/>
        <w:tab w:val="clear" w:pos="8306"/>
      </w:tabs>
      <w:ind w:right="-65" w:rightChars="-27" w:firstLine="3384" w:firstLineChars="1800"/>
      <w:rPr>
        <w:rFonts w:ascii="Times New Roman" w:hAnsi="Times New Roman" w:cs="Times New Roman"/>
      </w:rPr>
    </w:pPr>
    <w:r>
      <w:rPr>
        <w:rFonts w:ascii="Times New Roman" w:hAnsi="Times New Roman" w:eastAsia="黑体" w:cs="Times New Roman"/>
        <w:spacing w:val="-6"/>
        <w:sz w:val="20"/>
        <w:szCs w:val="20"/>
        <w:lang w:val="zh-CN"/>
      </w:rPr>
      <w:fldChar w:fldCharType="begin"/>
    </w:r>
    <w:r>
      <w:rPr>
        <w:rFonts w:ascii="Times New Roman" w:hAnsi="Times New Roman" w:eastAsia="黑体" w:cs="Times New Roman"/>
        <w:spacing w:val="-6"/>
        <w:sz w:val="20"/>
        <w:szCs w:val="20"/>
        <w:lang w:val="zh-CN"/>
      </w:rPr>
      <w:instrText xml:space="preserve"> PAGE   \* MERGEFORMAT </w:instrText>
    </w:r>
    <w:r>
      <w:rPr>
        <w:rFonts w:ascii="Times New Roman" w:hAnsi="Times New Roman" w:eastAsia="黑体" w:cs="Times New Roman"/>
        <w:spacing w:val="-6"/>
        <w:sz w:val="20"/>
        <w:szCs w:val="20"/>
        <w:lang w:val="zh-CN"/>
      </w:rPr>
      <w:fldChar w:fldCharType="separate"/>
    </w:r>
    <w:r>
      <w:rPr>
        <w:rFonts w:ascii="Times New Roman" w:hAnsi="Times New Roman" w:eastAsia="黑体" w:cs="Times New Roman"/>
        <w:spacing w:val="-6"/>
        <w:sz w:val="20"/>
        <w:szCs w:val="20"/>
        <w:lang w:val="zh-CN"/>
      </w:rPr>
      <w:t>280</w:t>
    </w:r>
    <w:r>
      <w:rPr>
        <w:rFonts w:ascii="Times New Roman" w:hAnsi="Times New Roman" w:eastAsia="黑体" w:cs="Times New Roman"/>
        <w:spacing w:val="-6"/>
        <w:sz w:val="20"/>
        <w:szCs w:val="20"/>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DCE3">
    <w:pPr>
      <w:pStyle w:val="656"/>
      <w:numPr>
        <w:ilvl w:val="0"/>
        <w:numId w:val="0"/>
      </w:numPr>
      <w:spacing w:line="240" w:lineRule="auto"/>
      <w:rPr>
        <w:rFonts w:hint="eastAsia"/>
      </w:rPr>
    </w:pPr>
    <w:r>
      <w:fldChar w:fldCharType="begin"/>
    </w:r>
    <w:r>
      <w:instrText xml:space="preserve">PAGE   \* MERGEFORMAT</w:instrText>
    </w:r>
    <w:r>
      <w:fldChar w:fldCharType="separate"/>
    </w:r>
    <w:r>
      <w:rPr>
        <w:lang w:val="zh-CN"/>
      </w:rPr>
      <w:t>196</w:t>
    </w:r>
    <w:r>
      <w:rPr>
        <w:lang w:val="zh-CN"/>
      </w:rPr>
      <w:fldChar w:fldCharType="end"/>
    </w:r>
    <w:r>
      <w:rPr>
        <w:rFonts w:hint="eastAsia" w:ascii="Arial" w:hAnsi="Arial" w:eastAsia="楷体_GB2312" w:cs="Arial"/>
        <w:b/>
        <w:bCs/>
        <w:sz w:val="15"/>
      </w:rPr>
      <w:t>本文件包含赛鼎工程有限公司技术成果，未经本公司许可不得转给第三方或复制。</w:t>
    </w:r>
  </w:p>
  <w:p w14:paraId="204BD5EC">
    <w:pPr>
      <w:pStyle w:val="656"/>
      <w:numPr>
        <w:ilvl w:val="0"/>
        <w:numId w:val="0"/>
      </w:numPr>
      <w:spacing w:line="240" w:lineRule="auto"/>
      <w:jc w:val="center"/>
      <w:rPr>
        <w:rFonts w:hint="eastAsia"/>
      </w:rPr>
    </w:pPr>
    <w:r>
      <w:rPr>
        <w:rFonts w:hint="eastAsia" w:ascii="Arial" w:hAnsi="Arial" w:eastAsia="楷体_GB2312" w:cs="Arial"/>
        <w:b/>
        <w:bCs/>
        <w:sz w:val="15"/>
      </w:rPr>
      <w:t>This document contains proprietary information of SEDIN.  To be kept confidential.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172B">
    <w:pPr>
      <w:pStyle w:val="40"/>
      <w:pBdr>
        <w:top w:val="single" w:color="auto" w:sz="12" w:space="1"/>
      </w:pBdr>
      <w:tabs>
        <w:tab w:val="right" w:pos="8364"/>
        <w:tab w:val="clear" w:pos="4153"/>
        <w:tab w:val="clear" w:pos="8306"/>
      </w:tabs>
      <w:ind w:right="-65" w:rightChars="-27" w:firstLine="3384" w:firstLineChars="1800"/>
      <w:rPr>
        <w:rFonts w:ascii="Times New Roman" w:hAnsi="Times New Roman" w:cs="Times New Roman"/>
      </w:rPr>
    </w:pPr>
    <w:r>
      <w:rPr>
        <w:rFonts w:ascii="Times New Roman" w:hAnsi="Times New Roman" w:eastAsia="黑体" w:cs="Times New Roman"/>
        <w:spacing w:val="-6"/>
        <w:sz w:val="20"/>
        <w:szCs w:val="20"/>
        <w:lang w:val="zh-CN"/>
      </w:rPr>
      <w:fldChar w:fldCharType="begin"/>
    </w:r>
    <w:r>
      <w:rPr>
        <w:rFonts w:ascii="Times New Roman" w:hAnsi="Times New Roman" w:eastAsia="黑体" w:cs="Times New Roman"/>
        <w:spacing w:val="-6"/>
        <w:sz w:val="20"/>
        <w:szCs w:val="20"/>
        <w:lang w:val="zh-CN"/>
      </w:rPr>
      <w:instrText xml:space="preserve"> PAGE   \* MERGEFORMAT </w:instrText>
    </w:r>
    <w:r>
      <w:rPr>
        <w:rFonts w:ascii="Times New Roman" w:hAnsi="Times New Roman" w:eastAsia="黑体" w:cs="Times New Roman"/>
        <w:spacing w:val="-6"/>
        <w:sz w:val="20"/>
        <w:szCs w:val="20"/>
        <w:lang w:val="zh-CN"/>
      </w:rPr>
      <w:fldChar w:fldCharType="separate"/>
    </w:r>
    <w:r>
      <w:rPr>
        <w:rFonts w:ascii="Times New Roman" w:hAnsi="Times New Roman" w:eastAsia="黑体" w:cs="Times New Roman"/>
        <w:spacing w:val="-6"/>
        <w:sz w:val="20"/>
        <w:szCs w:val="20"/>
        <w:lang w:val="zh-CN"/>
      </w:rPr>
      <w:t>349</w:t>
    </w:r>
    <w:r>
      <w:rPr>
        <w:rFonts w:ascii="Times New Roman" w:hAnsi="Times New Roman" w:eastAsia="黑体" w:cs="Times New Roman"/>
        <w:spacing w:val="-6"/>
        <w:sz w:val="20"/>
        <w:szCs w:val="20"/>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0F1D8">
    <w:pPr>
      <w:pStyle w:val="4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A2EF1">
    <w:pPr>
      <w:pBdr>
        <w:bottom w:val="thickThinSmallGap" w:color="auto" w:sz="12" w:space="1"/>
      </w:pBdr>
      <w:jc w:val="center"/>
      <w:rPr>
        <w:rFonts w:ascii="Times New Roman" w:hAnsi="Times New Roman" w:cs="Times New Roman"/>
        <w:b/>
        <w:sz w:val="18"/>
        <w:szCs w:val="18"/>
      </w:rPr>
    </w:pPr>
    <w:bookmarkStart w:id="578" w:name="_Hlk185803695"/>
    <w:r>
      <w:rPr>
        <w:rFonts w:ascii="Times New Roman" w:hAnsi="Times New Roman" w:cs="Times New Roman"/>
        <w:b/>
        <w:sz w:val="18"/>
        <w:szCs w:val="18"/>
      </w:rPr>
      <w:t>新疆天科隆化学有限公司</w:t>
    </w:r>
    <w:bookmarkEnd w:id="578"/>
    <w:r>
      <w:rPr>
        <w:rFonts w:hint="eastAsia" w:ascii="Times New Roman" w:hAnsi="Times New Roman" w:cs="Times New Roman"/>
        <w:b/>
        <w:sz w:val="18"/>
        <w:szCs w:val="18"/>
      </w:rPr>
      <w:t>年产</w:t>
    </w:r>
    <w:r>
      <w:rPr>
        <w:rFonts w:ascii="Times New Roman" w:hAnsi="Times New Roman" w:cs="Times New Roman"/>
        <w:b/>
        <w:sz w:val="18"/>
        <w:szCs w:val="18"/>
      </w:rPr>
      <w:t>6.2万吨</w:t>
    </w:r>
    <w:r>
      <w:rPr>
        <w:rFonts w:hint="eastAsia" w:ascii="Times New Roman" w:hAnsi="Times New Roman" w:cs="Times New Roman"/>
        <w:b/>
        <w:sz w:val="18"/>
        <w:szCs w:val="18"/>
      </w:rPr>
      <w:t>水电解制氢及</w:t>
    </w:r>
    <w:r>
      <w:rPr>
        <w:rFonts w:ascii="Times New Roman" w:hAnsi="Times New Roman" w:cs="Times New Roman"/>
        <w:b/>
        <w:sz w:val="18"/>
        <w:szCs w:val="18"/>
      </w:rPr>
      <w:t>50万吨绿色草酰胺</w:t>
    </w:r>
    <w:r>
      <w:rPr>
        <w:rFonts w:hint="eastAsia" w:ascii="Times New Roman" w:hAnsi="Times New Roman" w:cs="Times New Roman"/>
        <w:b/>
        <w:sz w:val="18"/>
        <w:szCs w:val="18"/>
      </w:rPr>
      <w:t>、</w:t>
    </w:r>
    <w:r>
      <w:rPr>
        <w:rFonts w:ascii="Times New Roman" w:hAnsi="Times New Roman" w:cs="Times New Roman"/>
        <w:b/>
        <w:sz w:val="18"/>
        <w:szCs w:val="18"/>
      </w:rPr>
      <w:t>80万吨有机</w:t>
    </w:r>
    <w:r>
      <w:rPr>
        <w:rFonts w:hint="eastAsia" w:ascii="Times New Roman" w:hAnsi="Times New Roman" w:cs="Times New Roman"/>
        <w:b/>
        <w:sz w:val="18"/>
        <w:szCs w:val="18"/>
      </w:rPr>
      <w:t>高效</w:t>
    </w:r>
    <w:r>
      <w:rPr>
        <w:rFonts w:ascii="Times New Roman" w:hAnsi="Times New Roman" w:cs="Times New Roman"/>
        <w:b/>
        <w:sz w:val="18"/>
        <w:szCs w:val="18"/>
      </w:rPr>
      <w:t>缓释肥项目</w:t>
    </w:r>
  </w:p>
  <w:p w14:paraId="4537C810">
    <w:pPr>
      <w:pBdr>
        <w:bottom w:val="thickThinSmallGap" w:color="auto" w:sz="12" w:space="1"/>
      </w:pBdr>
      <w:jc w:val="center"/>
      <w:rPr>
        <w:rFonts w:ascii="Times New Roman" w:hAnsi="Times New Roman" w:cs="Times New Roman"/>
        <w:b/>
        <w:sz w:val="18"/>
        <w:szCs w:val="18"/>
      </w:rPr>
    </w:pPr>
    <w:r>
      <w:rPr>
        <w:rFonts w:ascii="Times New Roman" w:hAnsi="Times New Roman" w:cs="Times New Roman"/>
        <w:b/>
        <w:sz w:val="18"/>
        <w:szCs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01ACC">
    <w:pPr>
      <w:pBdr>
        <w:bottom w:val="single" w:color="auto" w:sz="4" w:space="1"/>
      </w:pBdr>
      <w:wordWrap w:val="0"/>
      <w:adjustRightInd w:val="0"/>
      <w:ind w:firstLine="357"/>
      <w:jc w:val="right"/>
      <w:rPr>
        <w:rFonts w:hint="eastAsia" w:eastAsia="楷体_GB2312"/>
        <w:b/>
        <w:sz w:val="18"/>
      </w:rPr>
    </w:pPr>
    <w:r>
      <w:rPr>
        <w:b/>
        <w:sz w:val="18"/>
        <w:szCs w:val="18"/>
      </w:rPr>
      <w:drawing>
        <wp:anchor distT="0" distB="0" distL="114300" distR="114300" simplePos="0" relativeHeight="251661312" behindDoc="1" locked="0" layoutInCell="1" allowOverlap="1">
          <wp:simplePos x="0" y="0"/>
          <wp:positionH relativeFrom="column">
            <wp:posOffset>2540</wp:posOffset>
          </wp:positionH>
          <wp:positionV relativeFrom="paragraph">
            <wp:posOffset>-39370</wp:posOffset>
          </wp:positionV>
          <wp:extent cx="621665" cy="259080"/>
          <wp:effectExtent l="0" t="0" r="6985" b="7620"/>
          <wp:wrapNone/>
          <wp:docPr id="235675784" name="图片 2356757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75784" name="图片 235675784" descr="logo"/>
                  <pic:cNvPicPr>
                    <a:picLocks noChangeAspect="1" noChangeArrowheads="1"/>
                  </pic:cNvPicPr>
                </pic:nvPicPr>
                <pic:blipFill>
                  <a:blip r:embed="rId1">
                    <a:extLst>
                      <a:ext uri="{28A0092B-C50C-407E-A947-70E740481C1C}">
                        <a14:useLocalDpi xmlns:a14="http://schemas.microsoft.com/office/drawing/2010/main" val="0"/>
                      </a:ext>
                    </a:extLst>
                  </a:blip>
                  <a:srcRect l="12149" t="20465" r="11287" b="30888"/>
                  <a:stretch>
                    <a:fillRect/>
                  </a:stretch>
                </pic:blipFill>
                <pic:spPr>
                  <a:xfrm>
                    <a:off x="0" y="0"/>
                    <a:ext cx="621665" cy="259080"/>
                  </a:xfrm>
                  <a:prstGeom prst="rect">
                    <a:avLst/>
                  </a:prstGeom>
                  <a:noFill/>
                  <a:ln>
                    <a:noFill/>
                  </a:ln>
                </pic:spPr>
              </pic:pic>
            </a:graphicData>
          </a:graphic>
        </wp:anchor>
      </w:drawing>
    </w:r>
    <w:r>
      <w:rPr>
        <w:rFonts w:hint="eastAsia" w:ascii="楷体" w:hAnsi="楷体" w:eastAsia="楷体"/>
        <w:b/>
        <w:sz w:val="18"/>
        <w:szCs w:val="18"/>
      </w:rPr>
      <w:t>赛鼎工程有限公司</w:t>
    </w:r>
    <w:r>
      <w:rPr>
        <w:rFonts w:hint="eastAsia" w:eastAsia="楷体_GB2312"/>
        <w:b/>
        <w:sz w:val="18"/>
      </w:rPr>
      <w:t>新疆慧能15</w:t>
    </w:r>
    <w:r>
      <w:rPr>
        <w:rFonts w:eastAsia="楷体_GB2312"/>
        <w:b/>
        <w:sz w:val="18"/>
      </w:rPr>
      <w:t>00</w:t>
    </w:r>
    <w:r>
      <w:rPr>
        <w:rFonts w:hint="eastAsia" w:eastAsia="楷体_GB2312"/>
        <w:b/>
        <w:sz w:val="18"/>
      </w:rPr>
      <w:t>万吨/年煤炭分级分质梯级利用项目</w:t>
    </w:r>
  </w:p>
  <w:p w14:paraId="4C30E298">
    <w:pPr>
      <w:pBdr>
        <w:bottom w:val="single" w:color="auto" w:sz="4" w:space="1"/>
      </w:pBdr>
      <w:wordWrap w:val="0"/>
      <w:adjustRightInd w:val="0"/>
      <w:ind w:firstLine="357"/>
      <w:jc w:val="right"/>
      <w:rPr>
        <w:rFonts w:hint="eastAsia" w:eastAsia="楷体_GB2312"/>
        <w:b/>
        <w:sz w:val="18"/>
      </w:rPr>
    </w:pPr>
    <w:r>
      <w:rPr>
        <w:sz w:val="18"/>
        <w:szCs w:val="18"/>
      </w:rPr>
      <w:t>SEDIN Engineering Co., Ltd</w:t>
    </w:r>
    <w:r>
      <w:rPr>
        <w:rFonts w:hint="eastAsia" w:eastAsia="楷体_GB2312"/>
        <w:sz w:val="18"/>
      </w:rPr>
      <w:t>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D7E90"/>
    <w:multiLevelType w:val="singleLevel"/>
    <w:tmpl w:val="8FCD7E90"/>
    <w:lvl w:ilvl="0" w:tentative="0">
      <w:start w:val="8"/>
      <w:numFmt w:val="chineseCounting"/>
      <w:suff w:val="nothing"/>
      <w:lvlText w:val="（%1）"/>
      <w:lvlJc w:val="left"/>
      <w:rPr>
        <w:rFonts w:hint="eastAsia"/>
      </w:rPr>
    </w:lvl>
  </w:abstractNum>
  <w:abstractNum w:abstractNumId="1">
    <w:nsid w:val="02C870CB"/>
    <w:multiLevelType w:val="multilevel"/>
    <w:tmpl w:val="02C870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pStyle w:val="686"/>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B090109"/>
    <w:multiLevelType w:val="multilevel"/>
    <w:tmpl w:val="0B09010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676"/>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B476E15"/>
    <w:multiLevelType w:val="multilevel"/>
    <w:tmpl w:val="2B476E15"/>
    <w:lvl w:ilvl="0" w:tentative="0">
      <w:start w:val="1"/>
      <w:numFmt w:val="japaneseCounting"/>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64C1D55"/>
    <w:multiLevelType w:val="singleLevel"/>
    <w:tmpl w:val="464C1D55"/>
    <w:lvl w:ilvl="0" w:tentative="0">
      <w:start w:val="1"/>
      <w:numFmt w:val="bullet"/>
      <w:pStyle w:val="615"/>
      <w:lvlText w:val=""/>
      <w:lvlJc w:val="left"/>
      <w:pPr>
        <w:tabs>
          <w:tab w:val="left" w:pos="1134"/>
        </w:tabs>
        <w:ind w:left="1134" w:hanging="454"/>
      </w:pPr>
      <w:rPr>
        <w:rFonts w:hint="default" w:ascii="Symbol" w:hAnsi="Symbol"/>
      </w:rPr>
    </w:lvl>
  </w:abstractNum>
  <w:abstractNum w:abstractNumId="5">
    <w:nsid w:val="46574AE9"/>
    <w:multiLevelType w:val="multilevel"/>
    <w:tmpl w:val="46574AE9"/>
    <w:lvl w:ilvl="0" w:tentative="0">
      <w:start w:val="1"/>
      <w:numFmt w:val="decimal"/>
      <w:lvlText w:val="%1"/>
      <w:lvlJc w:val="left"/>
      <w:pPr>
        <w:ind w:left="425" w:hanging="425"/>
      </w:pPr>
    </w:lvl>
    <w:lvl w:ilvl="1" w:tentative="0">
      <w:start w:val="1"/>
      <w:numFmt w:val="decimal"/>
      <w:pStyle w:val="513"/>
      <w:lvlText w:val="%1.%2"/>
      <w:lvlJc w:val="left"/>
      <w:pPr>
        <w:ind w:left="992" w:hanging="567"/>
      </w:pPr>
      <w:rPr>
        <w:b w:val="0"/>
        <w:bCs w:val="0"/>
        <w:i w:val="0"/>
        <w:iCs w:val="0"/>
        <w:caps w:val="0"/>
        <w:smallCaps w:val="0"/>
        <w:strike w:val="0"/>
        <w:dstrike w:val="0"/>
        <w:vanish w:val="0"/>
        <w:color w:val="000000"/>
        <w:spacing w:val="0"/>
        <w:position w:val="0"/>
        <w:u w:val="none"/>
        <w:vertAlign w:val="baseline"/>
      </w:rPr>
    </w:lvl>
    <w:lvl w:ilvl="2" w:tentative="0">
      <w:start w:val="1"/>
      <w:numFmt w:val="decimal"/>
      <w:pStyle w:val="514"/>
      <w:lvlText w:val="%1.%2.%3"/>
      <w:lvlJc w:val="left"/>
      <w:pPr>
        <w:ind w:left="1418" w:hanging="567"/>
      </w:pPr>
    </w:lvl>
    <w:lvl w:ilvl="3" w:tentative="0">
      <w:start w:val="1"/>
      <w:numFmt w:val="decimal"/>
      <w:pStyle w:val="516"/>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575B00DC"/>
    <w:multiLevelType w:val="multilevel"/>
    <w:tmpl w:val="575B00DC"/>
    <w:lvl w:ilvl="0" w:tentative="0">
      <w:start w:val="1"/>
      <w:numFmt w:val="decimal"/>
      <w:pStyle w:val="1012"/>
      <w:suff w:val="nothing"/>
      <w:lvlText w:val="第%1章  "/>
      <w:lvlJc w:val="center"/>
      <w:pPr>
        <w:ind w:left="1276" w:firstLine="0"/>
      </w:pPr>
      <w:rPr>
        <w:rFonts w:hint="eastAsia"/>
        <w:b w:val="0"/>
        <w:bCs w:val="0"/>
        <w:i w:val="0"/>
        <w:iCs w:val="0"/>
        <w:caps w:val="0"/>
        <w:smallCaps w:val="0"/>
        <w:strike w:val="0"/>
        <w:dstrike w:val="0"/>
        <w:vanish w:val="0"/>
        <w:color w:val="000000"/>
        <w:spacing w:val="0"/>
        <w:position w:val="0"/>
        <w:sz w:val="48"/>
        <w:szCs w:val="48"/>
        <w:u w:val="none"/>
        <w:vertAlign w:val="baseline"/>
        <w:lang w:val="en-US"/>
      </w:rPr>
    </w:lvl>
    <w:lvl w:ilvl="1" w:tentative="0">
      <w:start w:val="1"/>
      <w:numFmt w:val="decimal"/>
      <w:pStyle w:val="3"/>
      <w:isLgl/>
      <w:suff w:val="nothing"/>
      <w:lvlText w:val="%1.%2 "/>
      <w:lvlJc w:val="left"/>
      <w:pPr>
        <w:ind w:left="425" w:firstLine="0"/>
      </w:pPr>
      <w:rPr>
        <w:rFonts w:hint="default" w:ascii="黑体" w:hAnsi="黑体" w:eastAsia="黑体" w:cs="Times New Roman"/>
        <w:b/>
        <w:bCs w:val="0"/>
        <w:i w:val="0"/>
        <w:iCs w:val="0"/>
        <w:caps w:val="0"/>
        <w:smallCaps w:val="0"/>
        <w:strike w:val="0"/>
        <w:dstrike w:val="0"/>
        <w:vanish w:val="0"/>
        <w:color w:val="000000"/>
        <w:spacing w:val="0"/>
        <w:position w:val="0"/>
        <w:sz w:val="30"/>
        <w:szCs w:val="30"/>
        <w:u w:val="none"/>
        <w:vertAlign w:val="baseline"/>
      </w:rPr>
    </w:lvl>
    <w:lvl w:ilvl="2" w:tentative="0">
      <w:start w:val="1"/>
      <w:numFmt w:val="decimal"/>
      <w:pStyle w:val="97"/>
      <w:isLgl/>
      <w:suff w:val="nothing"/>
      <w:lvlText w:val="%1.%2.%3 "/>
      <w:lvlJc w:val="left"/>
      <w:pPr>
        <w:ind w:left="425" w:firstLine="0"/>
      </w:pPr>
      <w:rPr>
        <w:rFonts w:hint="eastAsia" w:cs="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98"/>
      <w:isLgl/>
      <w:suff w:val="nothing"/>
      <w:lvlText w:val="%1.%2.%3.%4 "/>
      <w:lvlJc w:val="left"/>
      <w:pPr>
        <w:ind w:left="2978" w:firstLine="0"/>
      </w:pPr>
      <w:rPr>
        <w:rFonts w:hint="eastAsia" w:ascii="黑体" w:hAnsi="黑体" w:eastAsia="黑体"/>
      </w:rPr>
    </w:lvl>
    <w:lvl w:ilvl="4" w:tentative="0">
      <w:start w:val="1"/>
      <w:numFmt w:val="decimal"/>
      <w:pStyle w:val="769"/>
      <w:isLgl/>
      <w:suff w:val="nothing"/>
      <w:lvlText w:val="%1.%2.%3.%4.%5  "/>
      <w:lvlJc w:val="left"/>
      <w:pPr>
        <w:ind w:left="0" w:firstLine="0"/>
      </w:pPr>
      <w:rPr>
        <w:rFonts w:hint="default" w:ascii="Arial" w:hAnsi="Arial" w:eastAsia="黑体" w:cs="Arial"/>
        <w:sz w:val="21"/>
        <w:szCs w:val="21"/>
      </w:rPr>
    </w:lvl>
    <w:lvl w:ilvl="5" w:tentative="0">
      <w:start w:val="1"/>
      <w:numFmt w:val="lowerLetter"/>
      <w:lvlText w:val="%6."/>
      <w:lvlJc w:val="left"/>
      <w:pPr>
        <w:tabs>
          <w:tab w:val="left" w:pos="2836"/>
        </w:tabs>
        <w:ind w:left="425" w:firstLine="0"/>
      </w:pPr>
      <w:rPr>
        <w:rFonts w:hint="eastAsia"/>
      </w:rPr>
    </w:lvl>
    <w:lvl w:ilvl="6" w:tentative="0">
      <w:start w:val="1"/>
      <w:numFmt w:val="lowerRoman"/>
      <w:lvlText w:val="%7."/>
      <w:lvlJc w:val="left"/>
      <w:pPr>
        <w:tabs>
          <w:tab w:val="left" w:pos="3262"/>
        </w:tabs>
        <w:ind w:left="425" w:firstLine="0"/>
      </w:pPr>
      <w:rPr>
        <w:rFonts w:hint="eastAsia"/>
      </w:rPr>
    </w:lvl>
    <w:lvl w:ilvl="7" w:tentative="0">
      <w:start w:val="1"/>
      <w:numFmt w:val="lowerLetter"/>
      <w:lvlText w:val="%8."/>
      <w:lvlJc w:val="left"/>
      <w:pPr>
        <w:tabs>
          <w:tab w:val="left" w:pos="3687"/>
        </w:tabs>
        <w:ind w:left="425" w:firstLine="0"/>
      </w:pPr>
      <w:rPr>
        <w:rFonts w:hint="eastAsia"/>
      </w:rPr>
    </w:lvl>
    <w:lvl w:ilvl="8" w:tentative="0">
      <w:start w:val="1"/>
      <w:numFmt w:val="lowerRoman"/>
      <w:lvlText w:val="%9."/>
      <w:lvlJc w:val="left"/>
      <w:pPr>
        <w:tabs>
          <w:tab w:val="left" w:pos="4112"/>
        </w:tabs>
        <w:ind w:left="425" w:firstLine="0"/>
      </w:pPr>
      <w:rPr>
        <w:rFonts w:hint="eastAsia"/>
      </w:rPr>
    </w:lvl>
  </w:abstractNum>
  <w:abstractNum w:abstractNumId="7">
    <w:nsid w:val="687F201D"/>
    <w:multiLevelType w:val="multilevel"/>
    <w:tmpl w:val="687F201D"/>
    <w:lvl w:ilvl="0" w:tentative="0">
      <w:start w:val="1"/>
      <w:numFmt w:val="decimal"/>
      <w:lvlText w:val="%1."/>
      <w:lvlJc w:val="left"/>
      <w:pPr>
        <w:ind w:left="425" w:hanging="425"/>
      </w:pPr>
    </w:lvl>
    <w:lvl w:ilvl="1" w:tentative="0">
      <w:start w:val="1"/>
      <w:numFmt w:val="decimal"/>
      <w:pStyle w:val="656"/>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6AE175FB"/>
    <w:multiLevelType w:val="multilevel"/>
    <w:tmpl w:val="6AE175FB"/>
    <w:lvl w:ilvl="0" w:tentative="0">
      <w:start w:val="1"/>
      <w:numFmt w:val="decimal"/>
      <w:lvlText w:val="%1."/>
      <w:lvlJc w:val="left"/>
      <w:pPr>
        <w:ind w:left="360" w:hanging="360"/>
      </w:pPr>
      <w:rPr>
        <w:rFonts w:hint="default"/>
      </w:rPr>
    </w:lvl>
    <w:lvl w:ilvl="1" w:tentative="0">
      <w:start w:val="1"/>
      <w:numFmt w:val="lowerLetter"/>
      <w:pStyle w:val="607"/>
      <w:lvlText w:val="%2)"/>
      <w:lvlJc w:val="left"/>
      <w:pPr>
        <w:ind w:left="840" w:hanging="420"/>
      </w:pPr>
    </w:lvl>
    <w:lvl w:ilvl="2" w:tentative="0">
      <w:start w:val="1"/>
      <w:numFmt w:val="lowerRoman"/>
      <w:lvlText w:val="%3."/>
      <w:lvlJc w:val="right"/>
      <w:pPr>
        <w:ind w:left="1260" w:hanging="420"/>
      </w:pPr>
    </w:lvl>
    <w:lvl w:ilvl="3" w:tentative="0">
      <w:start w:val="1"/>
      <w:numFmt w:val="decimal"/>
      <w:pStyle w:val="609"/>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8"/>
  </w:num>
  <w:num w:numId="4">
    <w:abstractNumId w:val="4"/>
  </w:num>
  <w:num w:numId="5">
    <w:abstractNumId w:val="7"/>
  </w:num>
  <w:num w:numId="6">
    <w:abstractNumId w:val="2"/>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hideSpellingErrors/>
  <w:hideGrammaticalErrors/>
  <w:documentProtection w:enforcement="0"/>
  <w:defaultTabStop w:val="420"/>
  <w:drawingGridHorizontalSpacing w:val="120"/>
  <w:drawingGridVerticalSpacing w:val="163"/>
  <w:noPunctuationKerning w:val="1"/>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06"/>
    <w:rsid w:val="000005A3"/>
    <w:rsid w:val="0000089C"/>
    <w:rsid w:val="00000932"/>
    <w:rsid w:val="00000983"/>
    <w:rsid w:val="00000F94"/>
    <w:rsid w:val="0000148D"/>
    <w:rsid w:val="00001888"/>
    <w:rsid w:val="00001924"/>
    <w:rsid w:val="00002621"/>
    <w:rsid w:val="00002CCD"/>
    <w:rsid w:val="00002E38"/>
    <w:rsid w:val="0000307C"/>
    <w:rsid w:val="0000355F"/>
    <w:rsid w:val="00003797"/>
    <w:rsid w:val="000039FA"/>
    <w:rsid w:val="00003C03"/>
    <w:rsid w:val="00003F84"/>
    <w:rsid w:val="00004341"/>
    <w:rsid w:val="00004DBC"/>
    <w:rsid w:val="00004F71"/>
    <w:rsid w:val="00004FF3"/>
    <w:rsid w:val="00005163"/>
    <w:rsid w:val="00005F79"/>
    <w:rsid w:val="00005FBD"/>
    <w:rsid w:val="00006015"/>
    <w:rsid w:val="0000620B"/>
    <w:rsid w:val="000065E3"/>
    <w:rsid w:val="00006E6E"/>
    <w:rsid w:val="00007216"/>
    <w:rsid w:val="000075D1"/>
    <w:rsid w:val="00007CDF"/>
    <w:rsid w:val="00007E73"/>
    <w:rsid w:val="00007F1B"/>
    <w:rsid w:val="0001060C"/>
    <w:rsid w:val="00010DCD"/>
    <w:rsid w:val="0001100E"/>
    <w:rsid w:val="00011095"/>
    <w:rsid w:val="00011435"/>
    <w:rsid w:val="0001153A"/>
    <w:rsid w:val="00011809"/>
    <w:rsid w:val="00011DF9"/>
    <w:rsid w:val="00011F2A"/>
    <w:rsid w:val="000123C6"/>
    <w:rsid w:val="00012738"/>
    <w:rsid w:val="0001276B"/>
    <w:rsid w:val="0001279F"/>
    <w:rsid w:val="00012A82"/>
    <w:rsid w:val="00012AD7"/>
    <w:rsid w:val="0001328C"/>
    <w:rsid w:val="00013537"/>
    <w:rsid w:val="0001374D"/>
    <w:rsid w:val="00013B29"/>
    <w:rsid w:val="0001417F"/>
    <w:rsid w:val="0001422C"/>
    <w:rsid w:val="0001443D"/>
    <w:rsid w:val="0001499B"/>
    <w:rsid w:val="000149DA"/>
    <w:rsid w:val="0001511A"/>
    <w:rsid w:val="000151C3"/>
    <w:rsid w:val="000153F7"/>
    <w:rsid w:val="00015474"/>
    <w:rsid w:val="000154CC"/>
    <w:rsid w:val="00015530"/>
    <w:rsid w:val="000156F2"/>
    <w:rsid w:val="000161DD"/>
    <w:rsid w:val="000162A2"/>
    <w:rsid w:val="0001633C"/>
    <w:rsid w:val="0001649E"/>
    <w:rsid w:val="00016A98"/>
    <w:rsid w:val="00016ED6"/>
    <w:rsid w:val="000172B1"/>
    <w:rsid w:val="0001788A"/>
    <w:rsid w:val="000179CB"/>
    <w:rsid w:val="00020019"/>
    <w:rsid w:val="00020199"/>
    <w:rsid w:val="000202C4"/>
    <w:rsid w:val="000204A4"/>
    <w:rsid w:val="000207CE"/>
    <w:rsid w:val="000210B6"/>
    <w:rsid w:val="000210D9"/>
    <w:rsid w:val="0002133E"/>
    <w:rsid w:val="00021924"/>
    <w:rsid w:val="000219EF"/>
    <w:rsid w:val="00021B6F"/>
    <w:rsid w:val="00021F84"/>
    <w:rsid w:val="00021FE7"/>
    <w:rsid w:val="00022233"/>
    <w:rsid w:val="000222F1"/>
    <w:rsid w:val="00022627"/>
    <w:rsid w:val="00022732"/>
    <w:rsid w:val="000227A5"/>
    <w:rsid w:val="000228D7"/>
    <w:rsid w:val="0002290F"/>
    <w:rsid w:val="000235F7"/>
    <w:rsid w:val="0002375F"/>
    <w:rsid w:val="000241CE"/>
    <w:rsid w:val="00024273"/>
    <w:rsid w:val="00024762"/>
    <w:rsid w:val="00024C4E"/>
    <w:rsid w:val="00024CB7"/>
    <w:rsid w:val="00025320"/>
    <w:rsid w:val="00025541"/>
    <w:rsid w:val="0002581B"/>
    <w:rsid w:val="00025C14"/>
    <w:rsid w:val="00025E94"/>
    <w:rsid w:val="00026416"/>
    <w:rsid w:val="0002674B"/>
    <w:rsid w:val="000270FB"/>
    <w:rsid w:val="00027548"/>
    <w:rsid w:val="00030A41"/>
    <w:rsid w:val="00030B46"/>
    <w:rsid w:val="00031308"/>
    <w:rsid w:val="0003154E"/>
    <w:rsid w:val="00031550"/>
    <w:rsid w:val="00031AD4"/>
    <w:rsid w:val="00031FA4"/>
    <w:rsid w:val="000323F7"/>
    <w:rsid w:val="000324AA"/>
    <w:rsid w:val="000332B1"/>
    <w:rsid w:val="0003378B"/>
    <w:rsid w:val="00034118"/>
    <w:rsid w:val="00034665"/>
    <w:rsid w:val="0003490D"/>
    <w:rsid w:val="00034E68"/>
    <w:rsid w:val="000351FB"/>
    <w:rsid w:val="0003562D"/>
    <w:rsid w:val="00035737"/>
    <w:rsid w:val="00035970"/>
    <w:rsid w:val="00035C7E"/>
    <w:rsid w:val="00036187"/>
    <w:rsid w:val="00036465"/>
    <w:rsid w:val="00036562"/>
    <w:rsid w:val="0003667B"/>
    <w:rsid w:val="00036858"/>
    <w:rsid w:val="000369AA"/>
    <w:rsid w:val="0003749D"/>
    <w:rsid w:val="00037AF9"/>
    <w:rsid w:val="00040181"/>
    <w:rsid w:val="000406B1"/>
    <w:rsid w:val="0004072D"/>
    <w:rsid w:val="000411EA"/>
    <w:rsid w:val="0004143E"/>
    <w:rsid w:val="000414D6"/>
    <w:rsid w:val="00041662"/>
    <w:rsid w:val="000416FF"/>
    <w:rsid w:val="00041F0F"/>
    <w:rsid w:val="00041F73"/>
    <w:rsid w:val="000420F3"/>
    <w:rsid w:val="000421B4"/>
    <w:rsid w:val="00042507"/>
    <w:rsid w:val="00042766"/>
    <w:rsid w:val="0004290C"/>
    <w:rsid w:val="00042A9A"/>
    <w:rsid w:val="00042B7F"/>
    <w:rsid w:val="00042BA7"/>
    <w:rsid w:val="00042D5E"/>
    <w:rsid w:val="00042E8A"/>
    <w:rsid w:val="000430A7"/>
    <w:rsid w:val="000433A1"/>
    <w:rsid w:val="000433C8"/>
    <w:rsid w:val="000438A4"/>
    <w:rsid w:val="00043CBA"/>
    <w:rsid w:val="000446B5"/>
    <w:rsid w:val="0004481A"/>
    <w:rsid w:val="00044D78"/>
    <w:rsid w:val="00044F4F"/>
    <w:rsid w:val="000456C2"/>
    <w:rsid w:val="00045A28"/>
    <w:rsid w:val="00045B79"/>
    <w:rsid w:val="00045FE2"/>
    <w:rsid w:val="00046A80"/>
    <w:rsid w:val="00047165"/>
    <w:rsid w:val="0004746C"/>
    <w:rsid w:val="000475BA"/>
    <w:rsid w:val="00047622"/>
    <w:rsid w:val="00047C37"/>
    <w:rsid w:val="0005033B"/>
    <w:rsid w:val="000503D5"/>
    <w:rsid w:val="000507B0"/>
    <w:rsid w:val="00051974"/>
    <w:rsid w:val="00051F22"/>
    <w:rsid w:val="00052360"/>
    <w:rsid w:val="0005294E"/>
    <w:rsid w:val="00052D7C"/>
    <w:rsid w:val="00053158"/>
    <w:rsid w:val="000531A8"/>
    <w:rsid w:val="00053E27"/>
    <w:rsid w:val="00053F28"/>
    <w:rsid w:val="00054A8C"/>
    <w:rsid w:val="00054E62"/>
    <w:rsid w:val="000552CB"/>
    <w:rsid w:val="000553C8"/>
    <w:rsid w:val="00055419"/>
    <w:rsid w:val="00055521"/>
    <w:rsid w:val="000558DA"/>
    <w:rsid w:val="00055964"/>
    <w:rsid w:val="00055B4F"/>
    <w:rsid w:val="00055EBD"/>
    <w:rsid w:val="000560B4"/>
    <w:rsid w:val="0005642A"/>
    <w:rsid w:val="00056525"/>
    <w:rsid w:val="000566B8"/>
    <w:rsid w:val="00056A16"/>
    <w:rsid w:val="00056BAB"/>
    <w:rsid w:val="00056CDA"/>
    <w:rsid w:val="00056D49"/>
    <w:rsid w:val="00056E73"/>
    <w:rsid w:val="00056EE1"/>
    <w:rsid w:val="000571B8"/>
    <w:rsid w:val="000572B9"/>
    <w:rsid w:val="00057845"/>
    <w:rsid w:val="0006046D"/>
    <w:rsid w:val="00060A05"/>
    <w:rsid w:val="00060B73"/>
    <w:rsid w:val="00060D3D"/>
    <w:rsid w:val="00060F57"/>
    <w:rsid w:val="00060F77"/>
    <w:rsid w:val="0006102D"/>
    <w:rsid w:val="00061047"/>
    <w:rsid w:val="000610D5"/>
    <w:rsid w:val="0006116D"/>
    <w:rsid w:val="000611B3"/>
    <w:rsid w:val="000613BA"/>
    <w:rsid w:val="00061946"/>
    <w:rsid w:val="00061B76"/>
    <w:rsid w:val="00061F1E"/>
    <w:rsid w:val="0006237D"/>
    <w:rsid w:val="00062505"/>
    <w:rsid w:val="000627DD"/>
    <w:rsid w:val="000629A6"/>
    <w:rsid w:val="00062ACC"/>
    <w:rsid w:val="00062EB3"/>
    <w:rsid w:val="000631BC"/>
    <w:rsid w:val="0006366D"/>
    <w:rsid w:val="00063F82"/>
    <w:rsid w:val="00064241"/>
    <w:rsid w:val="00064343"/>
    <w:rsid w:val="00064869"/>
    <w:rsid w:val="00064A07"/>
    <w:rsid w:val="00065561"/>
    <w:rsid w:val="00065759"/>
    <w:rsid w:val="000659E0"/>
    <w:rsid w:val="00065AFF"/>
    <w:rsid w:val="00065B19"/>
    <w:rsid w:val="00065BE6"/>
    <w:rsid w:val="00065FD2"/>
    <w:rsid w:val="000660B2"/>
    <w:rsid w:val="000667EB"/>
    <w:rsid w:val="000670A2"/>
    <w:rsid w:val="000671E7"/>
    <w:rsid w:val="000672FA"/>
    <w:rsid w:val="000673C5"/>
    <w:rsid w:val="00067730"/>
    <w:rsid w:val="000678E5"/>
    <w:rsid w:val="00067BF1"/>
    <w:rsid w:val="00067C56"/>
    <w:rsid w:val="00067C5D"/>
    <w:rsid w:val="0007002C"/>
    <w:rsid w:val="0007006D"/>
    <w:rsid w:val="0007008A"/>
    <w:rsid w:val="00070407"/>
    <w:rsid w:val="00070580"/>
    <w:rsid w:val="00070990"/>
    <w:rsid w:val="00071243"/>
    <w:rsid w:val="000713D4"/>
    <w:rsid w:val="00071524"/>
    <w:rsid w:val="000716D0"/>
    <w:rsid w:val="00071804"/>
    <w:rsid w:val="000718EB"/>
    <w:rsid w:val="00071B8C"/>
    <w:rsid w:val="00071C5A"/>
    <w:rsid w:val="00071CA7"/>
    <w:rsid w:val="00072042"/>
    <w:rsid w:val="00072057"/>
    <w:rsid w:val="000720E9"/>
    <w:rsid w:val="000724C4"/>
    <w:rsid w:val="00072A57"/>
    <w:rsid w:val="00072A5F"/>
    <w:rsid w:val="00072C8F"/>
    <w:rsid w:val="00073730"/>
    <w:rsid w:val="00073B80"/>
    <w:rsid w:val="000741EE"/>
    <w:rsid w:val="00074461"/>
    <w:rsid w:val="00074554"/>
    <w:rsid w:val="00074999"/>
    <w:rsid w:val="00074F97"/>
    <w:rsid w:val="000752A7"/>
    <w:rsid w:val="0007576C"/>
    <w:rsid w:val="00075816"/>
    <w:rsid w:val="00075C19"/>
    <w:rsid w:val="00075CB4"/>
    <w:rsid w:val="000767C6"/>
    <w:rsid w:val="000768C8"/>
    <w:rsid w:val="00076AA4"/>
    <w:rsid w:val="00076AE2"/>
    <w:rsid w:val="00077494"/>
    <w:rsid w:val="00077C9E"/>
    <w:rsid w:val="00077D1D"/>
    <w:rsid w:val="00080115"/>
    <w:rsid w:val="000801F2"/>
    <w:rsid w:val="00080238"/>
    <w:rsid w:val="00080832"/>
    <w:rsid w:val="00080940"/>
    <w:rsid w:val="00080CFC"/>
    <w:rsid w:val="00081690"/>
    <w:rsid w:val="000816C1"/>
    <w:rsid w:val="00081B6C"/>
    <w:rsid w:val="00081BB4"/>
    <w:rsid w:val="00082089"/>
    <w:rsid w:val="000823A0"/>
    <w:rsid w:val="00082402"/>
    <w:rsid w:val="0008303A"/>
    <w:rsid w:val="000836B7"/>
    <w:rsid w:val="000838A6"/>
    <w:rsid w:val="00083B9D"/>
    <w:rsid w:val="00083C76"/>
    <w:rsid w:val="00083ECD"/>
    <w:rsid w:val="000845E2"/>
    <w:rsid w:val="0008523F"/>
    <w:rsid w:val="000854E0"/>
    <w:rsid w:val="00085ABA"/>
    <w:rsid w:val="00085BE5"/>
    <w:rsid w:val="00086028"/>
    <w:rsid w:val="0008649B"/>
    <w:rsid w:val="000866B0"/>
    <w:rsid w:val="00086D41"/>
    <w:rsid w:val="00086D68"/>
    <w:rsid w:val="00086F47"/>
    <w:rsid w:val="00087012"/>
    <w:rsid w:val="00087515"/>
    <w:rsid w:val="00087C4B"/>
    <w:rsid w:val="00090CAD"/>
    <w:rsid w:val="00090F44"/>
    <w:rsid w:val="00090F70"/>
    <w:rsid w:val="000919A0"/>
    <w:rsid w:val="00091A38"/>
    <w:rsid w:val="00091A45"/>
    <w:rsid w:val="00091D50"/>
    <w:rsid w:val="0009211B"/>
    <w:rsid w:val="000926AE"/>
    <w:rsid w:val="000927FA"/>
    <w:rsid w:val="00092CCE"/>
    <w:rsid w:val="00093AA4"/>
    <w:rsid w:val="00093CAF"/>
    <w:rsid w:val="00094317"/>
    <w:rsid w:val="00094605"/>
    <w:rsid w:val="00094B2C"/>
    <w:rsid w:val="0009563B"/>
    <w:rsid w:val="0009590C"/>
    <w:rsid w:val="00095E7B"/>
    <w:rsid w:val="00095F11"/>
    <w:rsid w:val="00095FFF"/>
    <w:rsid w:val="000960C3"/>
    <w:rsid w:val="00096852"/>
    <w:rsid w:val="00096A36"/>
    <w:rsid w:val="00096B18"/>
    <w:rsid w:val="00096C40"/>
    <w:rsid w:val="0009712C"/>
    <w:rsid w:val="000972E6"/>
    <w:rsid w:val="00097894"/>
    <w:rsid w:val="00097BBF"/>
    <w:rsid w:val="000A0138"/>
    <w:rsid w:val="000A02D9"/>
    <w:rsid w:val="000A0345"/>
    <w:rsid w:val="000A041E"/>
    <w:rsid w:val="000A054C"/>
    <w:rsid w:val="000A054F"/>
    <w:rsid w:val="000A076B"/>
    <w:rsid w:val="000A08AF"/>
    <w:rsid w:val="000A0CB1"/>
    <w:rsid w:val="000A122B"/>
    <w:rsid w:val="000A1557"/>
    <w:rsid w:val="000A15D4"/>
    <w:rsid w:val="000A1BB4"/>
    <w:rsid w:val="000A1F33"/>
    <w:rsid w:val="000A22A7"/>
    <w:rsid w:val="000A28D1"/>
    <w:rsid w:val="000A2ADC"/>
    <w:rsid w:val="000A2D3E"/>
    <w:rsid w:val="000A2D8B"/>
    <w:rsid w:val="000A2E51"/>
    <w:rsid w:val="000A2F15"/>
    <w:rsid w:val="000A315C"/>
    <w:rsid w:val="000A33D4"/>
    <w:rsid w:val="000A347D"/>
    <w:rsid w:val="000A3854"/>
    <w:rsid w:val="000A3B59"/>
    <w:rsid w:val="000A3B74"/>
    <w:rsid w:val="000A3BD6"/>
    <w:rsid w:val="000A3C73"/>
    <w:rsid w:val="000A3CAB"/>
    <w:rsid w:val="000A4069"/>
    <w:rsid w:val="000A42C7"/>
    <w:rsid w:val="000A44E4"/>
    <w:rsid w:val="000A4694"/>
    <w:rsid w:val="000A4766"/>
    <w:rsid w:val="000A4932"/>
    <w:rsid w:val="000A4D17"/>
    <w:rsid w:val="000A4D4A"/>
    <w:rsid w:val="000A5235"/>
    <w:rsid w:val="000A5FE2"/>
    <w:rsid w:val="000A6173"/>
    <w:rsid w:val="000A6968"/>
    <w:rsid w:val="000A7089"/>
    <w:rsid w:val="000A7164"/>
    <w:rsid w:val="000A73DF"/>
    <w:rsid w:val="000A75C1"/>
    <w:rsid w:val="000A77F0"/>
    <w:rsid w:val="000A7910"/>
    <w:rsid w:val="000A7944"/>
    <w:rsid w:val="000A7C12"/>
    <w:rsid w:val="000B0423"/>
    <w:rsid w:val="000B04E5"/>
    <w:rsid w:val="000B0B81"/>
    <w:rsid w:val="000B0C7D"/>
    <w:rsid w:val="000B11CE"/>
    <w:rsid w:val="000B128D"/>
    <w:rsid w:val="000B137B"/>
    <w:rsid w:val="000B138B"/>
    <w:rsid w:val="000B13D2"/>
    <w:rsid w:val="000B159C"/>
    <w:rsid w:val="000B1A7D"/>
    <w:rsid w:val="000B306E"/>
    <w:rsid w:val="000B327E"/>
    <w:rsid w:val="000B3A39"/>
    <w:rsid w:val="000B3B26"/>
    <w:rsid w:val="000B3DC0"/>
    <w:rsid w:val="000B4233"/>
    <w:rsid w:val="000B4A28"/>
    <w:rsid w:val="000B4AB7"/>
    <w:rsid w:val="000B4F33"/>
    <w:rsid w:val="000B4FB3"/>
    <w:rsid w:val="000B538E"/>
    <w:rsid w:val="000B56D5"/>
    <w:rsid w:val="000B5C4F"/>
    <w:rsid w:val="000B5CB2"/>
    <w:rsid w:val="000B612C"/>
    <w:rsid w:val="000B6186"/>
    <w:rsid w:val="000B655E"/>
    <w:rsid w:val="000B698B"/>
    <w:rsid w:val="000B6B7D"/>
    <w:rsid w:val="000B6F57"/>
    <w:rsid w:val="000B7579"/>
    <w:rsid w:val="000C01D3"/>
    <w:rsid w:val="000C045B"/>
    <w:rsid w:val="000C075F"/>
    <w:rsid w:val="000C0B6A"/>
    <w:rsid w:val="000C0F19"/>
    <w:rsid w:val="000C143C"/>
    <w:rsid w:val="000C14A5"/>
    <w:rsid w:val="000C19A3"/>
    <w:rsid w:val="000C1FB7"/>
    <w:rsid w:val="000C247C"/>
    <w:rsid w:val="000C27CD"/>
    <w:rsid w:val="000C2873"/>
    <w:rsid w:val="000C2AF5"/>
    <w:rsid w:val="000C2DC7"/>
    <w:rsid w:val="000C31DB"/>
    <w:rsid w:val="000C320F"/>
    <w:rsid w:val="000C32A9"/>
    <w:rsid w:val="000C3317"/>
    <w:rsid w:val="000C3324"/>
    <w:rsid w:val="000C3459"/>
    <w:rsid w:val="000C36DD"/>
    <w:rsid w:val="000C3C19"/>
    <w:rsid w:val="000C3D6D"/>
    <w:rsid w:val="000C40C9"/>
    <w:rsid w:val="000C414E"/>
    <w:rsid w:val="000C4609"/>
    <w:rsid w:val="000C46E1"/>
    <w:rsid w:val="000C4CEE"/>
    <w:rsid w:val="000C4D7B"/>
    <w:rsid w:val="000C53DC"/>
    <w:rsid w:val="000C5A14"/>
    <w:rsid w:val="000C5C9D"/>
    <w:rsid w:val="000C6265"/>
    <w:rsid w:val="000C67A5"/>
    <w:rsid w:val="000C68D3"/>
    <w:rsid w:val="000C6A67"/>
    <w:rsid w:val="000C7350"/>
    <w:rsid w:val="000C73CB"/>
    <w:rsid w:val="000C75E9"/>
    <w:rsid w:val="000C7C28"/>
    <w:rsid w:val="000D0C32"/>
    <w:rsid w:val="000D0DCD"/>
    <w:rsid w:val="000D11E9"/>
    <w:rsid w:val="000D1664"/>
    <w:rsid w:val="000D1AB0"/>
    <w:rsid w:val="000D1E49"/>
    <w:rsid w:val="000D22AD"/>
    <w:rsid w:val="000D29F7"/>
    <w:rsid w:val="000D3563"/>
    <w:rsid w:val="000D372B"/>
    <w:rsid w:val="000D3780"/>
    <w:rsid w:val="000D3849"/>
    <w:rsid w:val="000D385D"/>
    <w:rsid w:val="000D43E7"/>
    <w:rsid w:val="000D48A4"/>
    <w:rsid w:val="000D4C17"/>
    <w:rsid w:val="000D551F"/>
    <w:rsid w:val="000D5659"/>
    <w:rsid w:val="000D56BC"/>
    <w:rsid w:val="000D57C9"/>
    <w:rsid w:val="000D5D89"/>
    <w:rsid w:val="000D5E3F"/>
    <w:rsid w:val="000D5EBD"/>
    <w:rsid w:val="000D5F0E"/>
    <w:rsid w:val="000D5F34"/>
    <w:rsid w:val="000D6A33"/>
    <w:rsid w:val="000D6E57"/>
    <w:rsid w:val="000D6E8A"/>
    <w:rsid w:val="000D71CF"/>
    <w:rsid w:val="000D77EC"/>
    <w:rsid w:val="000D7917"/>
    <w:rsid w:val="000D7A99"/>
    <w:rsid w:val="000E014D"/>
    <w:rsid w:val="000E0586"/>
    <w:rsid w:val="000E0791"/>
    <w:rsid w:val="000E08DC"/>
    <w:rsid w:val="000E0979"/>
    <w:rsid w:val="000E1057"/>
    <w:rsid w:val="000E121D"/>
    <w:rsid w:val="000E1251"/>
    <w:rsid w:val="000E14A1"/>
    <w:rsid w:val="000E1509"/>
    <w:rsid w:val="000E1538"/>
    <w:rsid w:val="000E1715"/>
    <w:rsid w:val="000E17CC"/>
    <w:rsid w:val="000E1DDF"/>
    <w:rsid w:val="000E22F9"/>
    <w:rsid w:val="000E23AD"/>
    <w:rsid w:val="000E2908"/>
    <w:rsid w:val="000E2C9F"/>
    <w:rsid w:val="000E2F2D"/>
    <w:rsid w:val="000E3007"/>
    <w:rsid w:val="000E30FF"/>
    <w:rsid w:val="000E3326"/>
    <w:rsid w:val="000E3AC7"/>
    <w:rsid w:val="000E3B7E"/>
    <w:rsid w:val="000E3D87"/>
    <w:rsid w:val="000E4086"/>
    <w:rsid w:val="000E40DB"/>
    <w:rsid w:val="000E438C"/>
    <w:rsid w:val="000E43A3"/>
    <w:rsid w:val="000E4A89"/>
    <w:rsid w:val="000E4D44"/>
    <w:rsid w:val="000E4EE3"/>
    <w:rsid w:val="000E4FA5"/>
    <w:rsid w:val="000E5176"/>
    <w:rsid w:val="000E5460"/>
    <w:rsid w:val="000E54C9"/>
    <w:rsid w:val="000E5580"/>
    <w:rsid w:val="000E5E3A"/>
    <w:rsid w:val="000E60B6"/>
    <w:rsid w:val="000E619D"/>
    <w:rsid w:val="000E67CB"/>
    <w:rsid w:val="000E685D"/>
    <w:rsid w:val="000E6A5E"/>
    <w:rsid w:val="000E6FB3"/>
    <w:rsid w:val="000E73E3"/>
    <w:rsid w:val="000E73F1"/>
    <w:rsid w:val="000E7800"/>
    <w:rsid w:val="000E7B1B"/>
    <w:rsid w:val="000E7DED"/>
    <w:rsid w:val="000E7F13"/>
    <w:rsid w:val="000E7FD2"/>
    <w:rsid w:val="000F0417"/>
    <w:rsid w:val="000F050F"/>
    <w:rsid w:val="000F0DEE"/>
    <w:rsid w:val="000F1183"/>
    <w:rsid w:val="000F179C"/>
    <w:rsid w:val="000F18B5"/>
    <w:rsid w:val="000F1943"/>
    <w:rsid w:val="000F1CE4"/>
    <w:rsid w:val="000F1F00"/>
    <w:rsid w:val="000F1FFF"/>
    <w:rsid w:val="000F20A2"/>
    <w:rsid w:val="000F2263"/>
    <w:rsid w:val="000F2324"/>
    <w:rsid w:val="000F24D9"/>
    <w:rsid w:val="000F2D39"/>
    <w:rsid w:val="000F320F"/>
    <w:rsid w:val="000F370B"/>
    <w:rsid w:val="000F4098"/>
    <w:rsid w:val="000F443A"/>
    <w:rsid w:val="000F4B06"/>
    <w:rsid w:val="000F4DF0"/>
    <w:rsid w:val="000F5891"/>
    <w:rsid w:val="000F599B"/>
    <w:rsid w:val="000F5C87"/>
    <w:rsid w:val="000F611F"/>
    <w:rsid w:val="000F63AC"/>
    <w:rsid w:val="000F64D3"/>
    <w:rsid w:val="000F6D44"/>
    <w:rsid w:val="000F6FCF"/>
    <w:rsid w:val="000F754D"/>
    <w:rsid w:val="000F7642"/>
    <w:rsid w:val="000F771D"/>
    <w:rsid w:val="000F7A39"/>
    <w:rsid w:val="000F7A84"/>
    <w:rsid w:val="00100D7E"/>
    <w:rsid w:val="00100E32"/>
    <w:rsid w:val="00100E93"/>
    <w:rsid w:val="00101047"/>
    <w:rsid w:val="001013E8"/>
    <w:rsid w:val="00101A4B"/>
    <w:rsid w:val="00101A85"/>
    <w:rsid w:val="00101DAC"/>
    <w:rsid w:val="0010246B"/>
    <w:rsid w:val="00102600"/>
    <w:rsid w:val="00102F2B"/>
    <w:rsid w:val="0010348D"/>
    <w:rsid w:val="00103936"/>
    <w:rsid w:val="00104301"/>
    <w:rsid w:val="0010435E"/>
    <w:rsid w:val="001043FC"/>
    <w:rsid w:val="00104411"/>
    <w:rsid w:val="0010464D"/>
    <w:rsid w:val="00104A2C"/>
    <w:rsid w:val="00105286"/>
    <w:rsid w:val="0010541F"/>
    <w:rsid w:val="00105664"/>
    <w:rsid w:val="00105C64"/>
    <w:rsid w:val="00106268"/>
    <w:rsid w:val="001069DA"/>
    <w:rsid w:val="00106CA3"/>
    <w:rsid w:val="00107767"/>
    <w:rsid w:val="00110242"/>
    <w:rsid w:val="00110502"/>
    <w:rsid w:val="00110C79"/>
    <w:rsid w:val="00110C83"/>
    <w:rsid w:val="00110F94"/>
    <w:rsid w:val="001113CE"/>
    <w:rsid w:val="001118DD"/>
    <w:rsid w:val="00111E30"/>
    <w:rsid w:val="00111F78"/>
    <w:rsid w:val="001121C6"/>
    <w:rsid w:val="001127DD"/>
    <w:rsid w:val="00112902"/>
    <w:rsid w:val="00112BA1"/>
    <w:rsid w:val="00112D8E"/>
    <w:rsid w:val="0011300A"/>
    <w:rsid w:val="00113451"/>
    <w:rsid w:val="001134FC"/>
    <w:rsid w:val="0011395F"/>
    <w:rsid w:val="00113ED5"/>
    <w:rsid w:val="00113F20"/>
    <w:rsid w:val="00114CA5"/>
    <w:rsid w:val="00114DEA"/>
    <w:rsid w:val="001153A4"/>
    <w:rsid w:val="001154B0"/>
    <w:rsid w:val="00115E14"/>
    <w:rsid w:val="00115E5E"/>
    <w:rsid w:val="001160B1"/>
    <w:rsid w:val="00116984"/>
    <w:rsid w:val="00116DD6"/>
    <w:rsid w:val="00116EE8"/>
    <w:rsid w:val="001171EB"/>
    <w:rsid w:val="001172E9"/>
    <w:rsid w:val="001179DF"/>
    <w:rsid w:val="00117A52"/>
    <w:rsid w:val="00117BFD"/>
    <w:rsid w:val="00117CBF"/>
    <w:rsid w:val="00117D24"/>
    <w:rsid w:val="00117DED"/>
    <w:rsid w:val="00117F39"/>
    <w:rsid w:val="00120810"/>
    <w:rsid w:val="00120AA6"/>
    <w:rsid w:val="00120E64"/>
    <w:rsid w:val="00120F40"/>
    <w:rsid w:val="00120FE9"/>
    <w:rsid w:val="00121083"/>
    <w:rsid w:val="001210AE"/>
    <w:rsid w:val="00121105"/>
    <w:rsid w:val="0012149D"/>
    <w:rsid w:val="001217AB"/>
    <w:rsid w:val="001219E8"/>
    <w:rsid w:val="00121DE5"/>
    <w:rsid w:val="001226BD"/>
    <w:rsid w:val="001226D1"/>
    <w:rsid w:val="0012290F"/>
    <w:rsid w:val="00122E27"/>
    <w:rsid w:val="001230DD"/>
    <w:rsid w:val="00123405"/>
    <w:rsid w:val="001235F9"/>
    <w:rsid w:val="00123796"/>
    <w:rsid w:val="001238F0"/>
    <w:rsid w:val="00123A8B"/>
    <w:rsid w:val="00123D6B"/>
    <w:rsid w:val="0012409E"/>
    <w:rsid w:val="001240C0"/>
    <w:rsid w:val="00124374"/>
    <w:rsid w:val="001247F4"/>
    <w:rsid w:val="0012490A"/>
    <w:rsid w:val="00124969"/>
    <w:rsid w:val="00124C4F"/>
    <w:rsid w:val="00124C5A"/>
    <w:rsid w:val="00124E69"/>
    <w:rsid w:val="00125223"/>
    <w:rsid w:val="00125979"/>
    <w:rsid w:val="00126199"/>
    <w:rsid w:val="00126708"/>
    <w:rsid w:val="00126B0F"/>
    <w:rsid w:val="00130446"/>
    <w:rsid w:val="00130DC4"/>
    <w:rsid w:val="00130F2F"/>
    <w:rsid w:val="0013128F"/>
    <w:rsid w:val="00131599"/>
    <w:rsid w:val="001319D3"/>
    <w:rsid w:val="00131C99"/>
    <w:rsid w:val="00131DA0"/>
    <w:rsid w:val="00131EB7"/>
    <w:rsid w:val="001320AF"/>
    <w:rsid w:val="00132170"/>
    <w:rsid w:val="0013223D"/>
    <w:rsid w:val="00132A6F"/>
    <w:rsid w:val="00132A94"/>
    <w:rsid w:val="00133130"/>
    <w:rsid w:val="001332C7"/>
    <w:rsid w:val="00133988"/>
    <w:rsid w:val="00133DC2"/>
    <w:rsid w:val="0013418B"/>
    <w:rsid w:val="00134949"/>
    <w:rsid w:val="00134B7B"/>
    <w:rsid w:val="0013576B"/>
    <w:rsid w:val="00135B7F"/>
    <w:rsid w:val="00136225"/>
    <w:rsid w:val="001362D7"/>
    <w:rsid w:val="00136961"/>
    <w:rsid w:val="00136B25"/>
    <w:rsid w:val="00136BAC"/>
    <w:rsid w:val="00136C23"/>
    <w:rsid w:val="0013718B"/>
    <w:rsid w:val="00137943"/>
    <w:rsid w:val="0014043E"/>
    <w:rsid w:val="00140528"/>
    <w:rsid w:val="0014084B"/>
    <w:rsid w:val="00140907"/>
    <w:rsid w:val="00140B50"/>
    <w:rsid w:val="00140F31"/>
    <w:rsid w:val="00141399"/>
    <w:rsid w:val="001413FA"/>
    <w:rsid w:val="00141696"/>
    <w:rsid w:val="00141829"/>
    <w:rsid w:val="00141C12"/>
    <w:rsid w:val="00142E68"/>
    <w:rsid w:val="00142EA3"/>
    <w:rsid w:val="001439B3"/>
    <w:rsid w:val="00143A37"/>
    <w:rsid w:val="00143CE3"/>
    <w:rsid w:val="00143E34"/>
    <w:rsid w:val="00143FEE"/>
    <w:rsid w:val="0014458B"/>
    <w:rsid w:val="00144B87"/>
    <w:rsid w:val="00144C1A"/>
    <w:rsid w:val="00144EEF"/>
    <w:rsid w:val="00144F32"/>
    <w:rsid w:val="00145261"/>
    <w:rsid w:val="001455A9"/>
    <w:rsid w:val="001456F2"/>
    <w:rsid w:val="0014580F"/>
    <w:rsid w:val="00145B5F"/>
    <w:rsid w:val="00145C3F"/>
    <w:rsid w:val="00145C70"/>
    <w:rsid w:val="00145FB0"/>
    <w:rsid w:val="001460DE"/>
    <w:rsid w:val="001467AD"/>
    <w:rsid w:val="001467D3"/>
    <w:rsid w:val="00146931"/>
    <w:rsid w:val="001469D5"/>
    <w:rsid w:val="00146D18"/>
    <w:rsid w:val="0014721F"/>
    <w:rsid w:val="00147569"/>
    <w:rsid w:val="001477D3"/>
    <w:rsid w:val="001501CB"/>
    <w:rsid w:val="001506BF"/>
    <w:rsid w:val="00150A87"/>
    <w:rsid w:val="001512A4"/>
    <w:rsid w:val="001512F0"/>
    <w:rsid w:val="00151513"/>
    <w:rsid w:val="001515BA"/>
    <w:rsid w:val="00151E01"/>
    <w:rsid w:val="00151F78"/>
    <w:rsid w:val="00152183"/>
    <w:rsid w:val="00152663"/>
    <w:rsid w:val="00152818"/>
    <w:rsid w:val="00152AD1"/>
    <w:rsid w:val="00152D9C"/>
    <w:rsid w:val="00152DA2"/>
    <w:rsid w:val="00152F8D"/>
    <w:rsid w:val="0015305C"/>
    <w:rsid w:val="001530A2"/>
    <w:rsid w:val="001532D4"/>
    <w:rsid w:val="001535C3"/>
    <w:rsid w:val="001539E4"/>
    <w:rsid w:val="001539E8"/>
    <w:rsid w:val="00153DAA"/>
    <w:rsid w:val="001544B0"/>
    <w:rsid w:val="0015477A"/>
    <w:rsid w:val="00154B76"/>
    <w:rsid w:val="00154E89"/>
    <w:rsid w:val="00155969"/>
    <w:rsid w:val="00155A67"/>
    <w:rsid w:val="00155B3A"/>
    <w:rsid w:val="00155EDE"/>
    <w:rsid w:val="00156661"/>
    <w:rsid w:val="001566D7"/>
    <w:rsid w:val="0015687F"/>
    <w:rsid w:val="00156AEC"/>
    <w:rsid w:val="00156E4D"/>
    <w:rsid w:val="00156FCF"/>
    <w:rsid w:val="001571CE"/>
    <w:rsid w:val="00157C0B"/>
    <w:rsid w:val="00157EEC"/>
    <w:rsid w:val="001600EF"/>
    <w:rsid w:val="00160E0B"/>
    <w:rsid w:val="00160E7A"/>
    <w:rsid w:val="00160EA7"/>
    <w:rsid w:val="0016105D"/>
    <w:rsid w:val="00161410"/>
    <w:rsid w:val="00161F44"/>
    <w:rsid w:val="00161FAA"/>
    <w:rsid w:val="00162096"/>
    <w:rsid w:val="001620AD"/>
    <w:rsid w:val="001620E4"/>
    <w:rsid w:val="001620E9"/>
    <w:rsid w:val="0016231D"/>
    <w:rsid w:val="00162399"/>
    <w:rsid w:val="00162495"/>
    <w:rsid w:val="001625C4"/>
    <w:rsid w:val="00162E7E"/>
    <w:rsid w:val="001633AC"/>
    <w:rsid w:val="00163B1F"/>
    <w:rsid w:val="00163E44"/>
    <w:rsid w:val="0016437D"/>
    <w:rsid w:val="00164722"/>
    <w:rsid w:val="001648A8"/>
    <w:rsid w:val="00164965"/>
    <w:rsid w:val="00164F0E"/>
    <w:rsid w:val="00165084"/>
    <w:rsid w:val="00165464"/>
    <w:rsid w:val="00165571"/>
    <w:rsid w:val="001656B3"/>
    <w:rsid w:val="00166A24"/>
    <w:rsid w:val="00166B0D"/>
    <w:rsid w:val="00166B15"/>
    <w:rsid w:val="00166B5D"/>
    <w:rsid w:val="0016709F"/>
    <w:rsid w:val="001675FF"/>
    <w:rsid w:val="00167990"/>
    <w:rsid w:val="00167CA4"/>
    <w:rsid w:val="00167E70"/>
    <w:rsid w:val="0017011A"/>
    <w:rsid w:val="001706C2"/>
    <w:rsid w:val="00170ADD"/>
    <w:rsid w:val="00170B64"/>
    <w:rsid w:val="00170F2C"/>
    <w:rsid w:val="00170F72"/>
    <w:rsid w:val="001713A8"/>
    <w:rsid w:val="00171642"/>
    <w:rsid w:val="00171670"/>
    <w:rsid w:val="00171B92"/>
    <w:rsid w:val="001720CB"/>
    <w:rsid w:val="00172132"/>
    <w:rsid w:val="00172171"/>
    <w:rsid w:val="00172C8F"/>
    <w:rsid w:val="001732A8"/>
    <w:rsid w:val="00173372"/>
    <w:rsid w:val="00173843"/>
    <w:rsid w:val="00173913"/>
    <w:rsid w:val="00173A5A"/>
    <w:rsid w:val="00173C5C"/>
    <w:rsid w:val="00173FBC"/>
    <w:rsid w:val="00174171"/>
    <w:rsid w:val="00174380"/>
    <w:rsid w:val="0017463E"/>
    <w:rsid w:val="00174BF7"/>
    <w:rsid w:val="00174CB8"/>
    <w:rsid w:val="001755DF"/>
    <w:rsid w:val="001759E5"/>
    <w:rsid w:val="00175E42"/>
    <w:rsid w:val="0017657C"/>
    <w:rsid w:val="00176C1F"/>
    <w:rsid w:val="00176C3B"/>
    <w:rsid w:val="00176C97"/>
    <w:rsid w:val="00176DF5"/>
    <w:rsid w:val="00176ED8"/>
    <w:rsid w:val="00177236"/>
    <w:rsid w:val="001774EE"/>
    <w:rsid w:val="001777FF"/>
    <w:rsid w:val="001778CB"/>
    <w:rsid w:val="00177AA3"/>
    <w:rsid w:val="001800C8"/>
    <w:rsid w:val="0018062F"/>
    <w:rsid w:val="00180A8B"/>
    <w:rsid w:val="00180AE5"/>
    <w:rsid w:val="00180D46"/>
    <w:rsid w:val="001810CB"/>
    <w:rsid w:val="00181665"/>
    <w:rsid w:val="00181BFB"/>
    <w:rsid w:val="00182995"/>
    <w:rsid w:val="0018318A"/>
    <w:rsid w:val="001836F1"/>
    <w:rsid w:val="0018379B"/>
    <w:rsid w:val="00183960"/>
    <w:rsid w:val="001840AF"/>
    <w:rsid w:val="00184725"/>
    <w:rsid w:val="00184B36"/>
    <w:rsid w:val="001850F2"/>
    <w:rsid w:val="0018544D"/>
    <w:rsid w:val="0018580C"/>
    <w:rsid w:val="00185A2D"/>
    <w:rsid w:val="00185A82"/>
    <w:rsid w:val="00185C1B"/>
    <w:rsid w:val="00186CBA"/>
    <w:rsid w:val="00187051"/>
    <w:rsid w:val="00187075"/>
    <w:rsid w:val="001870CE"/>
    <w:rsid w:val="0018745A"/>
    <w:rsid w:val="0018753E"/>
    <w:rsid w:val="00187B3E"/>
    <w:rsid w:val="00187B44"/>
    <w:rsid w:val="00190121"/>
    <w:rsid w:val="0019058B"/>
    <w:rsid w:val="0019063C"/>
    <w:rsid w:val="00190999"/>
    <w:rsid w:val="00190C6C"/>
    <w:rsid w:val="00190CD7"/>
    <w:rsid w:val="00190F95"/>
    <w:rsid w:val="00191561"/>
    <w:rsid w:val="001916C5"/>
    <w:rsid w:val="0019180C"/>
    <w:rsid w:val="0019199B"/>
    <w:rsid w:val="00191C30"/>
    <w:rsid w:val="0019224E"/>
    <w:rsid w:val="001922C5"/>
    <w:rsid w:val="00192503"/>
    <w:rsid w:val="00192659"/>
    <w:rsid w:val="0019285B"/>
    <w:rsid w:val="001928CE"/>
    <w:rsid w:val="00192F11"/>
    <w:rsid w:val="00192FD3"/>
    <w:rsid w:val="00193093"/>
    <w:rsid w:val="001930E3"/>
    <w:rsid w:val="00193615"/>
    <w:rsid w:val="001937BA"/>
    <w:rsid w:val="00193F80"/>
    <w:rsid w:val="00194700"/>
    <w:rsid w:val="0019523D"/>
    <w:rsid w:val="0019545B"/>
    <w:rsid w:val="0019586A"/>
    <w:rsid w:val="00195D43"/>
    <w:rsid w:val="00196200"/>
    <w:rsid w:val="001964F4"/>
    <w:rsid w:val="0019664D"/>
    <w:rsid w:val="00196B2A"/>
    <w:rsid w:val="00196F91"/>
    <w:rsid w:val="00196FA0"/>
    <w:rsid w:val="001970D6"/>
    <w:rsid w:val="00197419"/>
    <w:rsid w:val="00197583"/>
    <w:rsid w:val="001975A0"/>
    <w:rsid w:val="0019762B"/>
    <w:rsid w:val="00197647"/>
    <w:rsid w:val="0019772A"/>
    <w:rsid w:val="00197D96"/>
    <w:rsid w:val="00197E7F"/>
    <w:rsid w:val="00197F00"/>
    <w:rsid w:val="001A008C"/>
    <w:rsid w:val="001A02FC"/>
    <w:rsid w:val="001A05BD"/>
    <w:rsid w:val="001A0824"/>
    <w:rsid w:val="001A08BA"/>
    <w:rsid w:val="001A0D5C"/>
    <w:rsid w:val="001A13D7"/>
    <w:rsid w:val="001A1C8F"/>
    <w:rsid w:val="001A28B3"/>
    <w:rsid w:val="001A2A6F"/>
    <w:rsid w:val="001A2BE3"/>
    <w:rsid w:val="001A2C63"/>
    <w:rsid w:val="001A2CC5"/>
    <w:rsid w:val="001A3A67"/>
    <w:rsid w:val="001A3DBD"/>
    <w:rsid w:val="001A3F0B"/>
    <w:rsid w:val="001A55E9"/>
    <w:rsid w:val="001A5A30"/>
    <w:rsid w:val="001A5AA2"/>
    <w:rsid w:val="001A5C04"/>
    <w:rsid w:val="001A5FC8"/>
    <w:rsid w:val="001A6620"/>
    <w:rsid w:val="001A6958"/>
    <w:rsid w:val="001A6BAD"/>
    <w:rsid w:val="001A6E26"/>
    <w:rsid w:val="001A6E8D"/>
    <w:rsid w:val="001A6F89"/>
    <w:rsid w:val="001A746A"/>
    <w:rsid w:val="001A784A"/>
    <w:rsid w:val="001A7FD1"/>
    <w:rsid w:val="001B00A4"/>
    <w:rsid w:val="001B03C0"/>
    <w:rsid w:val="001B053D"/>
    <w:rsid w:val="001B05E3"/>
    <w:rsid w:val="001B0859"/>
    <w:rsid w:val="001B090D"/>
    <w:rsid w:val="001B0D23"/>
    <w:rsid w:val="001B113B"/>
    <w:rsid w:val="001B1490"/>
    <w:rsid w:val="001B1A7E"/>
    <w:rsid w:val="001B1EE0"/>
    <w:rsid w:val="001B1F87"/>
    <w:rsid w:val="001B2224"/>
    <w:rsid w:val="001B24B2"/>
    <w:rsid w:val="001B2A33"/>
    <w:rsid w:val="001B2CD1"/>
    <w:rsid w:val="001B2EB8"/>
    <w:rsid w:val="001B30FB"/>
    <w:rsid w:val="001B3D21"/>
    <w:rsid w:val="001B3E5F"/>
    <w:rsid w:val="001B407B"/>
    <w:rsid w:val="001B410D"/>
    <w:rsid w:val="001B4440"/>
    <w:rsid w:val="001B447B"/>
    <w:rsid w:val="001B450F"/>
    <w:rsid w:val="001B497E"/>
    <w:rsid w:val="001B4F3C"/>
    <w:rsid w:val="001B55E9"/>
    <w:rsid w:val="001B652F"/>
    <w:rsid w:val="001B65C0"/>
    <w:rsid w:val="001B66AA"/>
    <w:rsid w:val="001B6BAB"/>
    <w:rsid w:val="001B70FE"/>
    <w:rsid w:val="001B73DC"/>
    <w:rsid w:val="001B794D"/>
    <w:rsid w:val="001B7D6B"/>
    <w:rsid w:val="001B7DBA"/>
    <w:rsid w:val="001C00F7"/>
    <w:rsid w:val="001C015B"/>
    <w:rsid w:val="001C0605"/>
    <w:rsid w:val="001C08DF"/>
    <w:rsid w:val="001C1937"/>
    <w:rsid w:val="001C1F0B"/>
    <w:rsid w:val="001C2099"/>
    <w:rsid w:val="001C25B4"/>
    <w:rsid w:val="001C2723"/>
    <w:rsid w:val="001C27CC"/>
    <w:rsid w:val="001C35EF"/>
    <w:rsid w:val="001C3E2D"/>
    <w:rsid w:val="001C43F7"/>
    <w:rsid w:val="001C465F"/>
    <w:rsid w:val="001C4709"/>
    <w:rsid w:val="001C4D7C"/>
    <w:rsid w:val="001C551C"/>
    <w:rsid w:val="001C567E"/>
    <w:rsid w:val="001C5A54"/>
    <w:rsid w:val="001C5AC7"/>
    <w:rsid w:val="001C5CD5"/>
    <w:rsid w:val="001C5EE9"/>
    <w:rsid w:val="001C66DB"/>
    <w:rsid w:val="001C67D4"/>
    <w:rsid w:val="001C681F"/>
    <w:rsid w:val="001C69D9"/>
    <w:rsid w:val="001C6A16"/>
    <w:rsid w:val="001C6A63"/>
    <w:rsid w:val="001C6DE7"/>
    <w:rsid w:val="001C76AF"/>
    <w:rsid w:val="001C7BEA"/>
    <w:rsid w:val="001D00E6"/>
    <w:rsid w:val="001D0277"/>
    <w:rsid w:val="001D0855"/>
    <w:rsid w:val="001D0BEA"/>
    <w:rsid w:val="001D1722"/>
    <w:rsid w:val="001D185C"/>
    <w:rsid w:val="001D1872"/>
    <w:rsid w:val="001D1AB5"/>
    <w:rsid w:val="001D1C0B"/>
    <w:rsid w:val="001D1C1A"/>
    <w:rsid w:val="001D273B"/>
    <w:rsid w:val="001D2845"/>
    <w:rsid w:val="001D2A97"/>
    <w:rsid w:val="001D2BEC"/>
    <w:rsid w:val="001D314E"/>
    <w:rsid w:val="001D32F1"/>
    <w:rsid w:val="001D37A1"/>
    <w:rsid w:val="001D385E"/>
    <w:rsid w:val="001D3C86"/>
    <w:rsid w:val="001D43BE"/>
    <w:rsid w:val="001D444B"/>
    <w:rsid w:val="001D462D"/>
    <w:rsid w:val="001D4E0C"/>
    <w:rsid w:val="001D5011"/>
    <w:rsid w:val="001D5111"/>
    <w:rsid w:val="001D53E3"/>
    <w:rsid w:val="001D66BC"/>
    <w:rsid w:val="001D67FB"/>
    <w:rsid w:val="001D6D5B"/>
    <w:rsid w:val="001D6DB4"/>
    <w:rsid w:val="001D7129"/>
    <w:rsid w:val="001D765B"/>
    <w:rsid w:val="001D7941"/>
    <w:rsid w:val="001D794E"/>
    <w:rsid w:val="001E02D4"/>
    <w:rsid w:val="001E04E6"/>
    <w:rsid w:val="001E05A9"/>
    <w:rsid w:val="001E074A"/>
    <w:rsid w:val="001E0878"/>
    <w:rsid w:val="001E0940"/>
    <w:rsid w:val="001E0B4A"/>
    <w:rsid w:val="001E0BE8"/>
    <w:rsid w:val="001E0C00"/>
    <w:rsid w:val="001E1439"/>
    <w:rsid w:val="001E2120"/>
    <w:rsid w:val="001E2B49"/>
    <w:rsid w:val="001E3021"/>
    <w:rsid w:val="001E368A"/>
    <w:rsid w:val="001E37F6"/>
    <w:rsid w:val="001E3864"/>
    <w:rsid w:val="001E3D42"/>
    <w:rsid w:val="001E40B1"/>
    <w:rsid w:val="001E40E4"/>
    <w:rsid w:val="001E44BA"/>
    <w:rsid w:val="001E48F3"/>
    <w:rsid w:val="001E4D33"/>
    <w:rsid w:val="001E4ED2"/>
    <w:rsid w:val="001E510C"/>
    <w:rsid w:val="001E5735"/>
    <w:rsid w:val="001E5B5C"/>
    <w:rsid w:val="001E63A0"/>
    <w:rsid w:val="001E63A5"/>
    <w:rsid w:val="001E78D7"/>
    <w:rsid w:val="001E79AA"/>
    <w:rsid w:val="001E7A1B"/>
    <w:rsid w:val="001E7C25"/>
    <w:rsid w:val="001E7F41"/>
    <w:rsid w:val="001F016A"/>
    <w:rsid w:val="001F07CE"/>
    <w:rsid w:val="001F092C"/>
    <w:rsid w:val="001F0B1F"/>
    <w:rsid w:val="001F0D76"/>
    <w:rsid w:val="001F1142"/>
    <w:rsid w:val="001F18D2"/>
    <w:rsid w:val="001F1AA5"/>
    <w:rsid w:val="001F1D4F"/>
    <w:rsid w:val="001F1E27"/>
    <w:rsid w:val="001F1ED2"/>
    <w:rsid w:val="001F205A"/>
    <w:rsid w:val="001F2087"/>
    <w:rsid w:val="001F218E"/>
    <w:rsid w:val="001F23D9"/>
    <w:rsid w:val="001F2484"/>
    <w:rsid w:val="001F25ED"/>
    <w:rsid w:val="001F2747"/>
    <w:rsid w:val="001F2890"/>
    <w:rsid w:val="001F2907"/>
    <w:rsid w:val="001F321F"/>
    <w:rsid w:val="001F3286"/>
    <w:rsid w:val="001F3524"/>
    <w:rsid w:val="001F360B"/>
    <w:rsid w:val="001F392E"/>
    <w:rsid w:val="001F3AFD"/>
    <w:rsid w:val="001F3B3B"/>
    <w:rsid w:val="001F4E2F"/>
    <w:rsid w:val="001F4E54"/>
    <w:rsid w:val="001F50B9"/>
    <w:rsid w:val="001F54D8"/>
    <w:rsid w:val="001F5841"/>
    <w:rsid w:val="001F5A9E"/>
    <w:rsid w:val="001F5BE4"/>
    <w:rsid w:val="001F6228"/>
    <w:rsid w:val="001F652A"/>
    <w:rsid w:val="001F671A"/>
    <w:rsid w:val="001F6C70"/>
    <w:rsid w:val="001F6DEB"/>
    <w:rsid w:val="001F709E"/>
    <w:rsid w:val="001F73C9"/>
    <w:rsid w:val="001F7B83"/>
    <w:rsid w:val="001F7C28"/>
    <w:rsid w:val="001F7CCE"/>
    <w:rsid w:val="001F7D56"/>
    <w:rsid w:val="002007E3"/>
    <w:rsid w:val="0020086A"/>
    <w:rsid w:val="002008B0"/>
    <w:rsid w:val="002009DB"/>
    <w:rsid w:val="00200CD8"/>
    <w:rsid w:val="00200CDD"/>
    <w:rsid w:val="002010FC"/>
    <w:rsid w:val="0020121D"/>
    <w:rsid w:val="002012A0"/>
    <w:rsid w:val="002016BC"/>
    <w:rsid w:val="002018DB"/>
    <w:rsid w:val="00201C13"/>
    <w:rsid w:val="002023A6"/>
    <w:rsid w:val="002026B3"/>
    <w:rsid w:val="00202A1C"/>
    <w:rsid w:val="00202A56"/>
    <w:rsid w:val="00202A5C"/>
    <w:rsid w:val="002032D7"/>
    <w:rsid w:val="00203D64"/>
    <w:rsid w:val="00204067"/>
    <w:rsid w:val="002048E9"/>
    <w:rsid w:val="00204B69"/>
    <w:rsid w:val="002052FF"/>
    <w:rsid w:val="00205440"/>
    <w:rsid w:val="002055EE"/>
    <w:rsid w:val="0020574F"/>
    <w:rsid w:val="00206112"/>
    <w:rsid w:val="00206439"/>
    <w:rsid w:val="00206873"/>
    <w:rsid w:val="00206DFE"/>
    <w:rsid w:val="00206E75"/>
    <w:rsid w:val="00207966"/>
    <w:rsid w:val="00207DA6"/>
    <w:rsid w:val="00207EFB"/>
    <w:rsid w:val="00207F3B"/>
    <w:rsid w:val="00210111"/>
    <w:rsid w:val="00210266"/>
    <w:rsid w:val="0021030D"/>
    <w:rsid w:val="00210504"/>
    <w:rsid w:val="00210734"/>
    <w:rsid w:val="00210A7F"/>
    <w:rsid w:val="00210C88"/>
    <w:rsid w:val="00211805"/>
    <w:rsid w:val="00211BFC"/>
    <w:rsid w:val="002120C8"/>
    <w:rsid w:val="00212511"/>
    <w:rsid w:val="00212BBB"/>
    <w:rsid w:val="00212E0D"/>
    <w:rsid w:val="00212E6C"/>
    <w:rsid w:val="0021311C"/>
    <w:rsid w:val="0021318D"/>
    <w:rsid w:val="00213686"/>
    <w:rsid w:val="002136B5"/>
    <w:rsid w:val="00213968"/>
    <w:rsid w:val="00213CE2"/>
    <w:rsid w:val="00213DE1"/>
    <w:rsid w:val="00213FEE"/>
    <w:rsid w:val="002143D1"/>
    <w:rsid w:val="00214640"/>
    <w:rsid w:val="002146E2"/>
    <w:rsid w:val="00214D43"/>
    <w:rsid w:val="0021516C"/>
    <w:rsid w:val="00215747"/>
    <w:rsid w:val="002157C8"/>
    <w:rsid w:val="00215A4C"/>
    <w:rsid w:val="00215BE6"/>
    <w:rsid w:val="002165C8"/>
    <w:rsid w:val="00216665"/>
    <w:rsid w:val="00216900"/>
    <w:rsid w:val="00216B2A"/>
    <w:rsid w:val="00216EC4"/>
    <w:rsid w:val="002170A1"/>
    <w:rsid w:val="00217D7F"/>
    <w:rsid w:val="00217D9B"/>
    <w:rsid w:val="00217FB8"/>
    <w:rsid w:val="00220301"/>
    <w:rsid w:val="00220328"/>
    <w:rsid w:val="0022048D"/>
    <w:rsid w:val="0022058F"/>
    <w:rsid w:val="00220B5C"/>
    <w:rsid w:val="00220C82"/>
    <w:rsid w:val="00220C9A"/>
    <w:rsid w:val="002211D7"/>
    <w:rsid w:val="002217FA"/>
    <w:rsid w:val="00221814"/>
    <w:rsid w:val="00221EBA"/>
    <w:rsid w:val="00222951"/>
    <w:rsid w:val="00222B88"/>
    <w:rsid w:val="00222E6A"/>
    <w:rsid w:val="002232CE"/>
    <w:rsid w:val="0022351C"/>
    <w:rsid w:val="00223584"/>
    <w:rsid w:val="002235B5"/>
    <w:rsid w:val="00223961"/>
    <w:rsid w:val="0022442D"/>
    <w:rsid w:val="00224875"/>
    <w:rsid w:val="002259BE"/>
    <w:rsid w:val="002259DA"/>
    <w:rsid w:val="00225A55"/>
    <w:rsid w:val="00225C10"/>
    <w:rsid w:val="002262AE"/>
    <w:rsid w:val="002264FB"/>
    <w:rsid w:val="00226A6A"/>
    <w:rsid w:val="00226F55"/>
    <w:rsid w:val="0022700D"/>
    <w:rsid w:val="002275C8"/>
    <w:rsid w:val="00227A6F"/>
    <w:rsid w:val="00227E7D"/>
    <w:rsid w:val="00227EB1"/>
    <w:rsid w:val="00227EC0"/>
    <w:rsid w:val="00230575"/>
    <w:rsid w:val="002305BA"/>
    <w:rsid w:val="00230713"/>
    <w:rsid w:val="00230B6C"/>
    <w:rsid w:val="00231013"/>
    <w:rsid w:val="0023156A"/>
    <w:rsid w:val="00231972"/>
    <w:rsid w:val="002329B7"/>
    <w:rsid w:val="00232B6B"/>
    <w:rsid w:val="00232C38"/>
    <w:rsid w:val="00232ED3"/>
    <w:rsid w:val="00232F1C"/>
    <w:rsid w:val="0023324E"/>
    <w:rsid w:val="0023335E"/>
    <w:rsid w:val="002335C8"/>
    <w:rsid w:val="00233603"/>
    <w:rsid w:val="00233662"/>
    <w:rsid w:val="00233912"/>
    <w:rsid w:val="00233952"/>
    <w:rsid w:val="00233984"/>
    <w:rsid w:val="002339B0"/>
    <w:rsid w:val="002340FA"/>
    <w:rsid w:val="0023511A"/>
    <w:rsid w:val="0023577C"/>
    <w:rsid w:val="002359A7"/>
    <w:rsid w:val="00235D89"/>
    <w:rsid w:val="00235E60"/>
    <w:rsid w:val="00236676"/>
    <w:rsid w:val="002369AB"/>
    <w:rsid w:val="00236C28"/>
    <w:rsid w:val="00236C48"/>
    <w:rsid w:val="00236CDB"/>
    <w:rsid w:val="00236E4F"/>
    <w:rsid w:val="00237041"/>
    <w:rsid w:val="00237600"/>
    <w:rsid w:val="0023783B"/>
    <w:rsid w:val="002379D0"/>
    <w:rsid w:val="00240035"/>
    <w:rsid w:val="0024021F"/>
    <w:rsid w:val="002405D7"/>
    <w:rsid w:val="00240884"/>
    <w:rsid w:val="00240C7D"/>
    <w:rsid w:val="002412CF"/>
    <w:rsid w:val="002414CA"/>
    <w:rsid w:val="0024150E"/>
    <w:rsid w:val="00241555"/>
    <w:rsid w:val="0024173C"/>
    <w:rsid w:val="00241A25"/>
    <w:rsid w:val="00241A7A"/>
    <w:rsid w:val="00241B01"/>
    <w:rsid w:val="00241B77"/>
    <w:rsid w:val="00241C7B"/>
    <w:rsid w:val="00241D60"/>
    <w:rsid w:val="00242188"/>
    <w:rsid w:val="002425CB"/>
    <w:rsid w:val="00242DB0"/>
    <w:rsid w:val="002433F4"/>
    <w:rsid w:val="00243668"/>
    <w:rsid w:val="00243BE8"/>
    <w:rsid w:val="00243C4E"/>
    <w:rsid w:val="00243E8C"/>
    <w:rsid w:val="00244843"/>
    <w:rsid w:val="002449E5"/>
    <w:rsid w:val="00245416"/>
    <w:rsid w:val="002454EC"/>
    <w:rsid w:val="002456AB"/>
    <w:rsid w:val="00245DE1"/>
    <w:rsid w:val="0024690A"/>
    <w:rsid w:val="00246A0E"/>
    <w:rsid w:val="00246E57"/>
    <w:rsid w:val="00247214"/>
    <w:rsid w:val="00247270"/>
    <w:rsid w:val="00247C6D"/>
    <w:rsid w:val="002504EF"/>
    <w:rsid w:val="00250D1D"/>
    <w:rsid w:val="00250DFC"/>
    <w:rsid w:val="00251447"/>
    <w:rsid w:val="002515AD"/>
    <w:rsid w:val="00251CB8"/>
    <w:rsid w:val="00252184"/>
    <w:rsid w:val="00252443"/>
    <w:rsid w:val="002524BB"/>
    <w:rsid w:val="0025281F"/>
    <w:rsid w:val="002528FC"/>
    <w:rsid w:val="00252A96"/>
    <w:rsid w:val="00252AF9"/>
    <w:rsid w:val="00252D99"/>
    <w:rsid w:val="00253452"/>
    <w:rsid w:val="0025352C"/>
    <w:rsid w:val="0025372B"/>
    <w:rsid w:val="00253816"/>
    <w:rsid w:val="0025385B"/>
    <w:rsid w:val="00253EDC"/>
    <w:rsid w:val="00254705"/>
    <w:rsid w:val="00254741"/>
    <w:rsid w:val="00254903"/>
    <w:rsid w:val="002553BF"/>
    <w:rsid w:val="002553CD"/>
    <w:rsid w:val="00255741"/>
    <w:rsid w:val="00255804"/>
    <w:rsid w:val="00255BEA"/>
    <w:rsid w:val="00255CA9"/>
    <w:rsid w:val="00255D49"/>
    <w:rsid w:val="0025622E"/>
    <w:rsid w:val="002569C9"/>
    <w:rsid w:val="00256F17"/>
    <w:rsid w:val="002571E0"/>
    <w:rsid w:val="0025729D"/>
    <w:rsid w:val="002575C1"/>
    <w:rsid w:val="00257B5A"/>
    <w:rsid w:val="00257C2A"/>
    <w:rsid w:val="00257D52"/>
    <w:rsid w:val="0026012C"/>
    <w:rsid w:val="002608A6"/>
    <w:rsid w:val="00260B01"/>
    <w:rsid w:val="00260E2D"/>
    <w:rsid w:val="0026105D"/>
    <w:rsid w:val="00261108"/>
    <w:rsid w:val="002615F8"/>
    <w:rsid w:val="002617DB"/>
    <w:rsid w:val="00261C69"/>
    <w:rsid w:val="002620B5"/>
    <w:rsid w:val="002636C7"/>
    <w:rsid w:val="0026391C"/>
    <w:rsid w:val="00263968"/>
    <w:rsid w:val="0026398C"/>
    <w:rsid w:val="00263A2C"/>
    <w:rsid w:val="00263A7D"/>
    <w:rsid w:val="00263C00"/>
    <w:rsid w:val="00263C93"/>
    <w:rsid w:val="00263F05"/>
    <w:rsid w:val="00263F98"/>
    <w:rsid w:val="002643B5"/>
    <w:rsid w:val="00264940"/>
    <w:rsid w:val="00264C9C"/>
    <w:rsid w:val="00264E86"/>
    <w:rsid w:val="00264FCC"/>
    <w:rsid w:val="0026551B"/>
    <w:rsid w:val="0026588F"/>
    <w:rsid w:val="00265A63"/>
    <w:rsid w:val="00265A7C"/>
    <w:rsid w:val="00265AD0"/>
    <w:rsid w:val="00265BF3"/>
    <w:rsid w:val="00265EE1"/>
    <w:rsid w:val="00265FA8"/>
    <w:rsid w:val="002660D3"/>
    <w:rsid w:val="0026613D"/>
    <w:rsid w:val="0026658A"/>
    <w:rsid w:val="00266772"/>
    <w:rsid w:val="00266A36"/>
    <w:rsid w:val="00266C5E"/>
    <w:rsid w:val="00267357"/>
    <w:rsid w:val="00267481"/>
    <w:rsid w:val="002675B3"/>
    <w:rsid w:val="002677BE"/>
    <w:rsid w:val="00267A03"/>
    <w:rsid w:val="00267DA7"/>
    <w:rsid w:val="00267E81"/>
    <w:rsid w:val="00267FCA"/>
    <w:rsid w:val="00270511"/>
    <w:rsid w:val="00270B8D"/>
    <w:rsid w:val="00271397"/>
    <w:rsid w:val="002714D4"/>
    <w:rsid w:val="002714F5"/>
    <w:rsid w:val="0027153C"/>
    <w:rsid w:val="00271615"/>
    <w:rsid w:val="0027187D"/>
    <w:rsid w:val="00271B17"/>
    <w:rsid w:val="00271DAA"/>
    <w:rsid w:val="00271DCF"/>
    <w:rsid w:val="00272458"/>
    <w:rsid w:val="0027267B"/>
    <w:rsid w:val="00272821"/>
    <w:rsid w:val="00272AA1"/>
    <w:rsid w:val="00272BD4"/>
    <w:rsid w:val="00273225"/>
    <w:rsid w:val="002735BB"/>
    <w:rsid w:val="00273A3C"/>
    <w:rsid w:val="00273B70"/>
    <w:rsid w:val="00273D84"/>
    <w:rsid w:val="00274118"/>
    <w:rsid w:val="002743C4"/>
    <w:rsid w:val="002759B3"/>
    <w:rsid w:val="00275E8B"/>
    <w:rsid w:val="002762A1"/>
    <w:rsid w:val="002762F3"/>
    <w:rsid w:val="0027637B"/>
    <w:rsid w:val="0027657B"/>
    <w:rsid w:val="002767F1"/>
    <w:rsid w:val="0027697E"/>
    <w:rsid w:val="002770B8"/>
    <w:rsid w:val="0027770B"/>
    <w:rsid w:val="00277BFC"/>
    <w:rsid w:val="00277E77"/>
    <w:rsid w:val="00280336"/>
    <w:rsid w:val="00280359"/>
    <w:rsid w:val="0028072F"/>
    <w:rsid w:val="00280756"/>
    <w:rsid w:val="0028177C"/>
    <w:rsid w:val="0028178A"/>
    <w:rsid w:val="0028186A"/>
    <w:rsid w:val="00281E61"/>
    <w:rsid w:val="00282029"/>
    <w:rsid w:val="002823DF"/>
    <w:rsid w:val="002825CF"/>
    <w:rsid w:val="00282884"/>
    <w:rsid w:val="00282939"/>
    <w:rsid w:val="00282ACC"/>
    <w:rsid w:val="00282C4B"/>
    <w:rsid w:val="00282CA8"/>
    <w:rsid w:val="00282EBF"/>
    <w:rsid w:val="00282F8F"/>
    <w:rsid w:val="002831FE"/>
    <w:rsid w:val="002834DE"/>
    <w:rsid w:val="002839C1"/>
    <w:rsid w:val="00283B33"/>
    <w:rsid w:val="00283BEC"/>
    <w:rsid w:val="00284307"/>
    <w:rsid w:val="00284351"/>
    <w:rsid w:val="002848CD"/>
    <w:rsid w:val="002849A2"/>
    <w:rsid w:val="00284B04"/>
    <w:rsid w:val="00285902"/>
    <w:rsid w:val="00285CC6"/>
    <w:rsid w:val="00285CDC"/>
    <w:rsid w:val="00285EC9"/>
    <w:rsid w:val="00286535"/>
    <w:rsid w:val="00286894"/>
    <w:rsid w:val="002872BD"/>
    <w:rsid w:val="0028793E"/>
    <w:rsid w:val="0029043B"/>
    <w:rsid w:val="0029051F"/>
    <w:rsid w:val="00290723"/>
    <w:rsid w:val="00290AF9"/>
    <w:rsid w:val="0029146D"/>
    <w:rsid w:val="002915E1"/>
    <w:rsid w:val="002916BC"/>
    <w:rsid w:val="00291A7D"/>
    <w:rsid w:val="00291C75"/>
    <w:rsid w:val="00291D49"/>
    <w:rsid w:val="00291E72"/>
    <w:rsid w:val="00291F41"/>
    <w:rsid w:val="00292C50"/>
    <w:rsid w:val="0029382D"/>
    <w:rsid w:val="00293C70"/>
    <w:rsid w:val="00293CA3"/>
    <w:rsid w:val="00294508"/>
    <w:rsid w:val="00294D0C"/>
    <w:rsid w:val="002950FB"/>
    <w:rsid w:val="002956DA"/>
    <w:rsid w:val="0029576E"/>
    <w:rsid w:val="00295E27"/>
    <w:rsid w:val="00296112"/>
    <w:rsid w:val="00296645"/>
    <w:rsid w:val="002966ED"/>
    <w:rsid w:val="0029677C"/>
    <w:rsid w:val="002968F2"/>
    <w:rsid w:val="00296C30"/>
    <w:rsid w:val="00296D92"/>
    <w:rsid w:val="00296FF5"/>
    <w:rsid w:val="002970B9"/>
    <w:rsid w:val="00297314"/>
    <w:rsid w:val="00297C17"/>
    <w:rsid w:val="00297E09"/>
    <w:rsid w:val="002A04BA"/>
    <w:rsid w:val="002A0619"/>
    <w:rsid w:val="002A0ED4"/>
    <w:rsid w:val="002A1504"/>
    <w:rsid w:val="002A1928"/>
    <w:rsid w:val="002A1940"/>
    <w:rsid w:val="002A19D3"/>
    <w:rsid w:val="002A216A"/>
    <w:rsid w:val="002A23EA"/>
    <w:rsid w:val="002A29DF"/>
    <w:rsid w:val="002A32F7"/>
    <w:rsid w:val="002A33FA"/>
    <w:rsid w:val="002A3668"/>
    <w:rsid w:val="002A366C"/>
    <w:rsid w:val="002A3700"/>
    <w:rsid w:val="002A3AA1"/>
    <w:rsid w:val="002A3DC0"/>
    <w:rsid w:val="002A4099"/>
    <w:rsid w:val="002A48DB"/>
    <w:rsid w:val="002A4C57"/>
    <w:rsid w:val="002A5047"/>
    <w:rsid w:val="002A59D6"/>
    <w:rsid w:val="002A6431"/>
    <w:rsid w:val="002A656D"/>
    <w:rsid w:val="002A659D"/>
    <w:rsid w:val="002A68DF"/>
    <w:rsid w:val="002A723C"/>
    <w:rsid w:val="002A7647"/>
    <w:rsid w:val="002B027E"/>
    <w:rsid w:val="002B02CD"/>
    <w:rsid w:val="002B06A6"/>
    <w:rsid w:val="002B07C0"/>
    <w:rsid w:val="002B080F"/>
    <w:rsid w:val="002B086C"/>
    <w:rsid w:val="002B0E68"/>
    <w:rsid w:val="002B1363"/>
    <w:rsid w:val="002B13B4"/>
    <w:rsid w:val="002B1823"/>
    <w:rsid w:val="002B1AEB"/>
    <w:rsid w:val="002B1F55"/>
    <w:rsid w:val="002B20D6"/>
    <w:rsid w:val="002B2260"/>
    <w:rsid w:val="002B27F1"/>
    <w:rsid w:val="002B2CFD"/>
    <w:rsid w:val="002B2E49"/>
    <w:rsid w:val="002B2F54"/>
    <w:rsid w:val="002B328E"/>
    <w:rsid w:val="002B3539"/>
    <w:rsid w:val="002B3687"/>
    <w:rsid w:val="002B3DC6"/>
    <w:rsid w:val="002B400C"/>
    <w:rsid w:val="002B42B9"/>
    <w:rsid w:val="002B42E1"/>
    <w:rsid w:val="002B4573"/>
    <w:rsid w:val="002B554D"/>
    <w:rsid w:val="002B5BB3"/>
    <w:rsid w:val="002B5C6D"/>
    <w:rsid w:val="002B5CD3"/>
    <w:rsid w:val="002B5E72"/>
    <w:rsid w:val="002B65F3"/>
    <w:rsid w:val="002B675E"/>
    <w:rsid w:val="002B6A00"/>
    <w:rsid w:val="002B6B8D"/>
    <w:rsid w:val="002B6E7D"/>
    <w:rsid w:val="002B71BD"/>
    <w:rsid w:val="002B7CBB"/>
    <w:rsid w:val="002B7DE6"/>
    <w:rsid w:val="002B7FE6"/>
    <w:rsid w:val="002C0488"/>
    <w:rsid w:val="002C0834"/>
    <w:rsid w:val="002C09C9"/>
    <w:rsid w:val="002C0C22"/>
    <w:rsid w:val="002C0CC1"/>
    <w:rsid w:val="002C18F5"/>
    <w:rsid w:val="002C1A3C"/>
    <w:rsid w:val="002C2733"/>
    <w:rsid w:val="002C2C1A"/>
    <w:rsid w:val="002C319A"/>
    <w:rsid w:val="002C357D"/>
    <w:rsid w:val="002C3CF9"/>
    <w:rsid w:val="002C3ED8"/>
    <w:rsid w:val="002C464C"/>
    <w:rsid w:val="002C4987"/>
    <w:rsid w:val="002C4AEF"/>
    <w:rsid w:val="002C4DFC"/>
    <w:rsid w:val="002C588E"/>
    <w:rsid w:val="002C5FC4"/>
    <w:rsid w:val="002C604C"/>
    <w:rsid w:val="002C62FA"/>
    <w:rsid w:val="002C709C"/>
    <w:rsid w:val="002C7273"/>
    <w:rsid w:val="002C75CA"/>
    <w:rsid w:val="002C772C"/>
    <w:rsid w:val="002C7A54"/>
    <w:rsid w:val="002C7EAD"/>
    <w:rsid w:val="002D0363"/>
    <w:rsid w:val="002D0493"/>
    <w:rsid w:val="002D0D46"/>
    <w:rsid w:val="002D0D8F"/>
    <w:rsid w:val="002D1AFE"/>
    <w:rsid w:val="002D262A"/>
    <w:rsid w:val="002D28D5"/>
    <w:rsid w:val="002D2D9E"/>
    <w:rsid w:val="002D2F4A"/>
    <w:rsid w:val="002D2F82"/>
    <w:rsid w:val="002D2FA5"/>
    <w:rsid w:val="002D31B8"/>
    <w:rsid w:val="002D337A"/>
    <w:rsid w:val="002D35E5"/>
    <w:rsid w:val="002D36B1"/>
    <w:rsid w:val="002D3B40"/>
    <w:rsid w:val="002D3D7B"/>
    <w:rsid w:val="002D4126"/>
    <w:rsid w:val="002D46AC"/>
    <w:rsid w:val="002D46EE"/>
    <w:rsid w:val="002D486F"/>
    <w:rsid w:val="002D4ADB"/>
    <w:rsid w:val="002D4EB6"/>
    <w:rsid w:val="002D4F95"/>
    <w:rsid w:val="002D503D"/>
    <w:rsid w:val="002D52BB"/>
    <w:rsid w:val="002D553E"/>
    <w:rsid w:val="002D55FD"/>
    <w:rsid w:val="002D5A79"/>
    <w:rsid w:val="002D5DD5"/>
    <w:rsid w:val="002D61E7"/>
    <w:rsid w:val="002D620C"/>
    <w:rsid w:val="002D6338"/>
    <w:rsid w:val="002D63AC"/>
    <w:rsid w:val="002D63F9"/>
    <w:rsid w:val="002D6589"/>
    <w:rsid w:val="002D676F"/>
    <w:rsid w:val="002D688A"/>
    <w:rsid w:val="002D6B8E"/>
    <w:rsid w:val="002D6E11"/>
    <w:rsid w:val="002D7218"/>
    <w:rsid w:val="002D756A"/>
    <w:rsid w:val="002D75E0"/>
    <w:rsid w:val="002D79BC"/>
    <w:rsid w:val="002E0342"/>
    <w:rsid w:val="002E042D"/>
    <w:rsid w:val="002E048C"/>
    <w:rsid w:val="002E0614"/>
    <w:rsid w:val="002E077B"/>
    <w:rsid w:val="002E0925"/>
    <w:rsid w:val="002E098E"/>
    <w:rsid w:val="002E10C3"/>
    <w:rsid w:val="002E13CE"/>
    <w:rsid w:val="002E16EA"/>
    <w:rsid w:val="002E1854"/>
    <w:rsid w:val="002E1A00"/>
    <w:rsid w:val="002E1A9B"/>
    <w:rsid w:val="002E1B22"/>
    <w:rsid w:val="002E1BC7"/>
    <w:rsid w:val="002E22D2"/>
    <w:rsid w:val="002E2424"/>
    <w:rsid w:val="002E27C5"/>
    <w:rsid w:val="002E2AC8"/>
    <w:rsid w:val="002E320A"/>
    <w:rsid w:val="002E3E02"/>
    <w:rsid w:val="002E49B3"/>
    <w:rsid w:val="002E4AAF"/>
    <w:rsid w:val="002E508F"/>
    <w:rsid w:val="002E50EE"/>
    <w:rsid w:val="002E5511"/>
    <w:rsid w:val="002E5684"/>
    <w:rsid w:val="002E5B23"/>
    <w:rsid w:val="002E5F34"/>
    <w:rsid w:val="002E6184"/>
    <w:rsid w:val="002E6325"/>
    <w:rsid w:val="002E65E0"/>
    <w:rsid w:val="002E69AE"/>
    <w:rsid w:val="002E6BC1"/>
    <w:rsid w:val="002E6E02"/>
    <w:rsid w:val="002E719E"/>
    <w:rsid w:val="002E71A4"/>
    <w:rsid w:val="002E72EE"/>
    <w:rsid w:val="002E7383"/>
    <w:rsid w:val="002E7398"/>
    <w:rsid w:val="002E7723"/>
    <w:rsid w:val="002E7800"/>
    <w:rsid w:val="002E79E8"/>
    <w:rsid w:val="002E7C4A"/>
    <w:rsid w:val="002E7F7F"/>
    <w:rsid w:val="002F0134"/>
    <w:rsid w:val="002F01AA"/>
    <w:rsid w:val="002F082C"/>
    <w:rsid w:val="002F0C4E"/>
    <w:rsid w:val="002F0E07"/>
    <w:rsid w:val="002F1181"/>
    <w:rsid w:val="002F12D1"/>
    <w:rsid w:val="002F198C"/>
    <w:rsid w:val="002F1FAE"/>
    <w:rsid w:val="002F209E"/>
    <w:rsid w:val="002F24C5"/>
    <w:rsid w:val="002F297F"/>
    <w:rsid w:val="002F2A0F"/>
    <w:rsid w:val="002F31FF"/>
    <w:rsid w:val="002F3388"/>
    <w:rsid w:val="002F34E7"/>
    <w:rsid w:val="002F373F"/>
    <w:rsid w:val="002F3F23"/>
    <w:rsid w:val="002F4312"/>
    <w:rsid w:val="002F4580"/>
    <w:rsid w:val="002F47BB"/>
    <w:rsid w:val="002F4841"/>
    <w:rsid w:val="002F4B0E"/>
    <w:rsid w:val="002F4DC7"/>
    <w:rsid w:val="002F4E19"/>
    <w:rsid w:val="002F4FFF"/>
    <w:rsid w:val="002F5634"/>
    <w:rsid w:val="002F5644"/>
    <w:rsid w:val="002F589A"/>
    <w:rsid w:val="002F5D7F"/>
    <w:rsid w:val="002F5EAF"/>
    <w:rsid w:val="002F5EE9"/>
    <w:rsid w:val="002F61AF"/>
    <w:rsid w:val="002F6589"/>
    <w:rsid w:val="002F6AC7"/>
    <w:rsid w:val="002F6C73"/>
    <w:rsid w:val="002F6E3C"/>
    <w:rsid w:val="002F7471"/>
    <w:rsid w:val="002F79CF"/>
    <w:rsid w:val="002F7AA8"/>
    <w:rsid w:val="002F7E57"/>
    <w:rsid w:val="002F7F03"/>
    <w:rsid w:val="00300341"/>
    <w:rsid w:val="00300B23"/>
    <w:rsid w:val="003010E9"/>
    <w:rsid w:val="0030140D"/>
    <w:rsid w:val="00301592"/>
    <w:rsid w:val="00301605"/>
    <w:rsid w:val="00301683"/>
    <w:rsid w:val="003016CD"/>
    <w:rsid w:val="003019B1"/>
    <w:rsid w:val="00301B4B"/>
    <w:rsid w:val="00301C5F"/>
    <w:rsid w:val="003025DD"/>
    <w:rsid w:val="00302A5F"/>
    <w:rsid w:val="00302A78"/>
    <w:rsid w:val="00302BA1"/>
    <w:rsid w:val="00303075"/>
    <w:rsid w:val="003033F0"/>
    <w:rsid w:val="00303D34"/>
    <w:rsid w:val="00303F0C"/>
    <w:rsid w:val="0030406E"/>
    <w:rsid w:val="003042D5"/>
    <w:rsid w:val="0030436C"/>
    <w:rsid w:val="0030465E"/>
    <w:rsid w:val="0030471F"/>
    <w:rsid w:val="003048F7"/>
    <w:rsid w:val="00304B1A"/>
    <w:rsid w:val="00304C21"/>
    <w:rsid w:val="00304D59"/>
    <w:rsid w:val="00304F82"/>
    <w:rsid w:val="00305317"/>
    <w:rsid w:val="003055AA"/>
    <w:rsid w:val="003056E4"/>
    <w:rsid w:val="00305BB9"/>
    <w:rsid w:val="00305BED"/>
    <w:rsid w:val="00305E08"/>
    <w:rsid w:val="00306545"/>
    <w:rsid w:val="00306639"/>
    <w:rsid w:val="00306E4D"/>
    <w:rsid w:val="003074EF"/>
    <w:rsid w:val="0030754E"/>
    <w:rsid w:val="003075AE"/>
    <w:rsid w:val="00307831"/>
    <w:rsid w:val="00307CA9"/>
    <w:rsid w:val="00310424"/>
    <w:rsid w:val="0031083B"/>
    <w:rsid w:val="00310C79"/>
    <w:rsid w:val="00310F8A"/>
    <w:rsid w:val="003111BD"/>
    <w:rsid w:val="00311D22"/>
    <w:rsid w:val="00311E54"/>
    <w:rsid w:val="003120D0"/>
    <w:rsid w:val="003124DF"/>
    <w:rsid w:val="00312B51"/>
    <w:rsid w:val="00312BCB"/>
    <w:rsid w:val="0031304F"/>
    <w:rsid w:val="0031318C"/>
    <w:rsid w:val="00313296"/>
    <w:rsid w:val="003146FC"/>
    <w:rsid w:val="003147B6"/>
    <w:rsid w:val="00314977"/>
    <w:rsid w:val="00314C88"/>
    <w:rsid w:val="00314DEF"/>
    <w:rsid w:val="00314FEC"/>
    <w:rsid w:val="00315106"/>
    <w:rsid w:val="0031562B"/>
    <w:rsid w:val="00315AE0"/>
    <w:rsid w:val="00315D13"/>
    <w:rsid w:val="003160F2"/>
    <w:rsid w:val="0031651F"/>
    <w:rsid w:val="003166C4"/>
    <w:rsid w:val="003166DE"/>
    <w:rsid w:val="00316BD8"/>
    <w:rsid w:val="00316C57"/>
    <w:rsid w:val="00316E84"/>
    <w:rsid w:val="00316ECA"/>
    <w:rsid w:val="00316F6F"/>
    <w:rsid w:val="003174A0"/>
    <w:rsid w:val="00317592"/>
    <w:rsid w:val="00317751"/>
    <w:rsid w:val="003177F8"/>
    <w:rsid w:val="00317859"/>
    <w:rsid w:val="00317876"/>
    <w:rsid w:val="00317B74"/>
    <w:rsid w:val="00317F9E"/>
    <w:rsid w:val="00320423"/>
    <w:rsid w:val="003208C4"/>
    <w:rsid w:val="00320A49"/>
    <w:rsid w:val="00320E7C"/>
    <w:rsid w:val="003213E3"/>
    <w:rsid w:val="00321B61"/>
    <w:rsid w:val="00322208"/>
    <w:rsid w:val="003222C9"/>
    <w:rsid w:val="0032245E"/>
    <w:rsid w:val="00322C37"/>
    <w:rsid w:val="00322CE9"/>
    <w:rsid w:val="00322D3E"/>
    <w:rsid w:val="00322FD4"/>
    <w:rsid w:val="003232F7"/>
    <w:rsid w:val="0032358A"/>
    <w:rsid w:val="00323AD7"/>
    <w:rsid w:val="00323B14"/>
    <w:rsid w:val="00323D6B"/>
    <w:rsid w:val="003246E2"/>
    <w:rsid w:val="00325017"/>
    <w:rsid w:val="003251EC"/>
    <w:rsid w:val="003257BB"/>
    <w:rsid w:val="0032620C"/>
    <w:rsid w:val="003262F6"/>
    <w:rsid w:val="00326584"/>
    <w:rsid w:val="003267ED"/>
    <w:rsid w:val="00326980"/>
    <w:rsid w:val="00326989"/>
    <w:rsid w:val="003270B0"/>
    <w:rsid w:val="003274D3"/>
    <w:rsid w:val="00327E2E"/>
    <w:rsid w:val="003300F4"/>
    <w:rsid w:val="003304CF"/>
    <w:rsid w:val="0033066C"/>
    <w:rsid w:val="003308CE"/>
    <w:rsid w:val="0033092F"/>
    <w:rsid w:val="00330BF5"/>
    <w:rsid w:val="00330D3C"/>
    <w:rsid w:val="00330FE7"/>
    <w:rsid w:val="00331E03"/>
    <w:rsid w:val="00332005"/>
    <w:rsid w:val="00332077"/>
    <w:rsid w:val="003320BE"/>
    <w:rsid w:val="00332641"/>
    <w:rsid w:val="00332C87"/>
    <w:rsid w:val="00332DDC"/>
    <w:rsid w:val="00332FB6"/>
    <w:rsid w:val="003335FD"/>
    <w:rsid w:val="00333B0E"/>
    <w:rsid w:val="00333E7E"/>
    <w:rsid w:val="00333F18"/>
    <w:rsid w:val="00334404"/>
    <w:rsid w:val="0033491E"/>
    <w:rsid w:val="00334A97"/>
    <w:rsid w:val="003350D0"/>
    <w:rsid w:val="00335529"/>
    <w:rsid w:val="00335C1C"/>
    <w:rsid w:val="00335DBE"/>
    <w:rsid w:val="003365E1"/>
    <w:rsid w:val="003369EA"/>
    <w:rsid w:val="00336A31"/>
    <w:rsid w:val="00337127"/>
    <w:rsid w:val="00337128"/>
    <w:rsid w:val="003371F7"/>
    <w:rsid w:val="00337541"/>
    <w:rsid w:val="003375C0"/>
    <w:rsid w:val="00337D84"/>
    <w:rsid w:val="00337E83"/>
    <w:rsid w:val="003402E1"/>
    <w:rsid w:val="00340348"/>
    <w:rsid w:val="003404A2"/>
    <w:rsid w:val="00340514"/>
    <w:rsid w:val="00340533"/>
    <w:rsid w:val="00340C50"/>
    <w:rsid w:val="00340FF4"/>
    <w:rsid w:val="00341437"/>
    <w:rsid w:val="003418A9"/>
    <w:rsid w:val="00341BA1"/>
    <w:rsid w:val="00341BF4"/>
    <w:rsid w:val="00341C82"/>
    <w:rsid w:val="00341D7B"/>
    <w:rsid w:val="00341E02"/>
    <w:rsid w:val="00341FE0"/>
    <w:rsid w:val="00342098"/>
    <w:rsid w:val="00342892"/>
    <w:rsid w:val="00342CDF"/>
    <w:rsid w:val="00342D5B"/>
    <w:rsid w:val="003434B8"/>
    <w:rsid w:val="003437A2"/>
    <w:rsid w:val="003437E0"/>
    <w:rsid w:val="0034389C"/>
    <w:rsid w:val="00343B36"/>
    <w:rsid w:val="00343F4C"/>
    <w:rsid w:val="003444A9"/>
    <w:rsid w:val="00344994"/>
    <w:rsid w:val="00344C14"/>
    <w:rsid w:val="00344CD4"/>
    <w:rsid w:val="00344DD8"/>
    <w:rsid w:val="00344F0C"/>
    <w:rsid w:val="003451C0"/>
    <w:rsid w:val="003451F3"/>
    <w:rsid w:val="0034523B"/>
    <w:rsid w:val="003453B6"/>
    <w:rsid w:val="003457FF"/>
    <w:rsid w:val="003459CC"/>
    <w:rsid w:val="00347A5A"/>
    <w:rsid w:val="00347B31"/>
    <w:rsid w:val="00347DAD"/>
    <w:rsid w:val="00350154"/>
    <w:rsid w:val="0035065E"/>
    <w:rsid w:val="003509B2"/>
    <w:rsid w:val="00350B1C"/>
    <w:rsid w:val="00350C1A"/>
    <w:rsid w:val="00351091"/>
    <w:rsid w:val="0035109D"/>
    <w:rsid w:val="0035133F"/>
    <w:rsid w:val="00351BFF"/>
    <w:rsid w:val="0035206D"/>
    <w:rsid w:val="00352104"/>
    <w:rsid w:val="00352134"/>
    <w:rsid w:val="003529C2"/>
    <w:rsid w:val="00352B62"/>
    <w:rsid w:val="00352CAF"/>
    <w:rsid w:val="00352D01"/>
    <w:rsid w:val="00353A72"/>
    <w:rsid w:val="00353D2A"/>
    <w:rsid w:val="00353D50"/>
    <w:rsid w:val="00353F11"/>
    <w:rsid w:val="00354956"/>
    <w:rsid w:val="00354D31"/>
    <w:rsid w:val="00354E07"/>
    <w:rsid w:val="00354FF8"/>
    <w:rsid w:val="0035503A"/>
    <w:rsid w:val="003554F2"/>
    <w:rsid w:val="00355584"/>
    <w:rsid w:val="003556C0"/>
    <w:rsid w:val="0035574C"/>
    <w:rsid w:val="00355BB1"/>
    <w:rsid w:val="00355E4E"/>
    <w:rsid w:val="00355F36"/>
    <w:rsid w:val="003560A9"/>
    <w:rsid w:val="0035644D"/>
    <w:rsid w:val="00356C3D"/>
    <w:rsid w:val="00356CFD"/>
    <w:rsid w:val="00356DC7"/>
    <w:rsid w:val="00356DD7"/>
    <w:rsid w:val="0035700F"/>
    <w:rsid w:val="003576B6"/>
    <w:rsid w:val="003579EB"/>
    <w:rsid w:val="0036004E"/>
    <w:rsid w:val="0036066E"/>
    <w:rsid w:val="0036096D"/>
    <w:rsid w:val="00360A18"/>
    <w:rsid w:val="00360BDF"/>
    <w:rsid w:val="00360EC7"/>
    <w:rsid w:val="00361293"/>
    <w:rsid w:val="003617B2"/>
    <w:rsid w:val="003618BA"/>
    <w:rsid w:val="00361CF6"/>
    <w:rsid w:val="00361E79"/>
    <w:rsid w:val="00361EB2"/>
    <w:rsid w:val="00361F10"/>
    <w:rsid w:val="00362AA0"/>
    <w:rsid w:val="003634CD"/>
    <w:rsid w:val="003635B7"/>
    <w:rsid w:val="003635CC"/>
    <w:rsid w:val="003641F3"/>
    <w:rsid w:val="00364236"/>
    <w:rsid w:val="00364249"/>
    <w:rsid w:val="00364349"/>
    <w:rsid w:val="00364787"/>
    <w:rsid w:val="00364B32"/>
    <w:rsid w:val="00364D46"/>
    <w:rsid w:val="00364E65"/>
    <w:rsid w:val="003652BD"/>
    <w:rsid w:val="00365A13"/>
    <w:rsid w:val="0036610F"/>
    <w:rsid w:val="00366B14"/>
    <w:rsid w:val="00366ECD"/>
    <w:rsid w:val="00367B16"/>
    <w:rsid w:val="0037001A"/>
    <w:rsid w:val="00370108"/>
    <w:rsid w:val="0037097A"/>
    <w:rsid w:val="00370A98"/>
    <w:rsid w:val="00370D35"/>
    <w:rsid w:val="00370D6D"/>
    <w:rsid w:val="00370D6F"/>
    <w:rsid w:val="00370E10"/>
    <w:rsid w:val="00370E54"/>
    <w:rsid w:val="00370F6D"/>
    <w:rsid w:val="003714FB"/>
    <w:rsid w:val="00371863"/>
    <w:rsid w:val="00371996"/>
    <w:rsid w:val="00371C5C"/>
    <w:rsid w:val="00371CBC"/>
    <w:rsid w:val="00371DB8"/>
    <w:rsid w:val="00372082"/>
    <w:rsid w:val="003726CA"/>
    <w:rsid w:val="00372C51"/>
    <w:rsid w:val="00372CA2"/>
    <w:rsid w:val="0037327F"/>
    <w:rsid w:val="00373478"/>
    <w:rsid w:val="00373666"/>
    <w:rsid w:val="00373801"/>
    <w:rsid w:val="0037398E"/>
    <w:rsid w:val="00373999"/>
    <w:rsid w:val="00373F57"/>
    <w:rsid w:val="003743C6"/>
    <w:rsid w:val="00374919"/>
    <w:rsid w:val="00374940"/>
    <w:rsid w:val="00374B20"/>
    <w:rsid w:val="00374E51"/>
    <w:rsid w:val="0037508A"/>
    <w:rsid w:val="0037536B"/>
    <w:rsid w:val="00375481"/>
    <w:rsid w:val="00375557"/>
    <w:rsid w:val="00375860"/>
    <w:rsid w:val="003758E6"/>
    <w:rsid w:val="003758F2"/>
    <w:rsid w:val="003759E3"/>
    <w:rsid w:val="0037667B"/>
    <w:rsid w:val="003767A7"/>
    <w:rsid w:val="00376873"/>
    <w:rsid w:val="00376951"/>
    <w:rsid w:val="00376C19"/>
    <w:rsid w:val="00377490"/>
    <w:rsid w:val="00377823"/>
    <w:rsid w:val="00377998"/>
    <w:rsid w:val="003779F2"/>
    <w:rsid w:val="00377B3B"/>
    <w:rsid w:val="00377DB6"/>
    <w:rsid w:val="00377E24"/>
    <w:rsid w:val="00377F7E"/>
    <w:rsid w:val="00377FFA"/>
    <w:rsid w:val="0038094F"/>
    <w:rsid w:val="00380C4E"/>
    <w:rsid w:val="00380E06"/>
    <w:rsid w:val="00380E98"/>
    <w:rsid w:val="003813EB"/>
    <w:rsid w:val="0038259E"/>
    <w:rsid w:val="00382660"/>
    <w:rsid w:val="003829BB"/>
    <w:rsid w:val="00383E68"/>
    <w:rsid w:val="00383F24"/>
    <w:rsid w:val="00384016"/>
    <w:rsid w:val="003841F3"/>
    <w:rsid w:val="003848D4"/>
    <w:rsid w:val="00384DAF"/>
    <w:rsid w:val="00384DB4"/>
    <w:rsid w:val="0038558E"/>
    <w:rsid w:val="00385754"/>
    <w:rsid w:val="00385855"/>
    <w:rsid w:val="00385FC3"/>
    <w:rsid w:val="003863B1"/>
    <w:rsid w:val="003866D7"/>
    <w:rsid w:val="003866DA"/>
    <w:rsid w:val="00386A74"/>
    <w:rsid w:val="00386A8E"/>
    <w:rsid w:val="00386B46"/>
    <w:rsid w:val="00386C6C"/>
    <w:rsid w:val="00386F35"/>
    <w:rsid w:val="00387007"/>
    <w:rsid w:val="00387131"/>
    <w:rsid w:val="003871CD"/>
    <w:rsid w:val="00387DE5"/>
    <w:rsid w:val="0039015C"/>
    <w:rsid w:val="003904EB"/>
    <w:rsid w:val="0039074C"/>
    <w:rsid w:val="0039074D"/>
    <w:rsid w:val="00390F52"/>
    <w:rsid w:val="0039128B"/>
    <w:rsid w:val="0039156D"/>
    <w:rsid w:val="003915C1"/>
    <w:rsid w:val="003916A6"/>
    <w:rsid w:val="0039186E"/>
    <w:rsid w:val="00391AF8"/>
    <w:rsid w:val="00391B28"/>
    <w:rsid w:val="00391B8A"/>
    <w:rsid w:val="00391EC8"/>
    <w:rsid w:val="0039219B"/>
    <w:rsid w:val="003923B0"/>
    <w:rsid w:val="003928E3"/>
    <w:rsid w:val="00392DD2"/>
    <w:rsid w:val="0039331A"/>
    <w:rsid w:val="00393A46"/>
    <w:rsid w:val="00393A93"/>
    <w:rsid w:val="00393F36"/>
    <w:rsid w:val="00394158"/>
    <w:rsid w:val="00394397"/>
    <w:rsid w:val="00394752"/>
    <w:rsid w:val="0039476A"/>
    <w:rsid w:val="0039479C"/>
    <w:rsid w:val="0039489F"/>
    <w:rsid w:val="003949E3"/>
    <w:rsid w:val="00394B87"/>
    <w:rsid w:val="00394CBE"/>
    <w:rsid w:val="00395038"/>
    <w:rsid w:val="00395126"/>
    <w:rsid w:val="00395149"/>
    <w:rsid w:val="0039544A"/>
    <w:rsid w:val="0039560D"/>
    <w:rsid w:val="003958F9"/>
    <w:rsid w:val="0039689C"/>
    <w:rsid w:val="00396E81"/>
    <w:rsid w:val="00396F32"/>
    <w:rsid w:val="00396F9C"/>
    <w:rsid w:val="0039722A"/>
    <w:rsid w:val="00397309"/>
    <w:rsid w:val="00397A1F"/>
    <w:rsid w:val="003A09D4"/>
    <w:rsid w:val="003A0A14"/>
    <w:rsid w:val="003A10A0"/>
    <w:rsid w:val="003A1479"/>
    <w:rsid w:val="003A1727"/>
    <w:rsid w:val="003A17C0"/>
    <w:rsid w:val="003A1809"/>
    <w:rsid w:val="003A1B35"/>
    <w:rsid w:val="003A22C5"/>
    <w:rsid w:val="003A2322"/>
    <w:rsid w:val="003A2639"/>
    <w:rsid w:val="003A26E3"/>
    <w:rsid w:val="003A2893"/>
    <w:rsid w:val="003A290C"/>
    <w:rsid w:val="003A2FD1"/>
    <w:rsid w:val="003A32B6"/>
    <w:rsid w:val="003A3439"/>
    <w:rsid w:val="003A35DC"/>
    <w:rsid w:val="003A3D5A"/>
    <w:rsid w:val="003A3ECB"/>
    <w:rsid w:val="003A4212"/>
    <w:rsid w:val="003A42B7"/>
    <w:rsid w:val="003A4B77"/>
    <w:rsid w:val="003A4CA3"/>
    <w:rsid w:val="003A4F49"/>
    <w:rsid w:val="003A500E"/>
    <w:rsid w:val="003A50FB"/>
    <w:rsid w:val="003A53CB"/>
    <w:rsid w:val="003A543D"/>
    <w:rsid w:val="003A55DB"/>
    <w:rsid w:val="003A5869"/>
    <w:rsid w:val="003A5B64"/>
    <w:rsid w:val="003A5CB9"/>
    <w:rsid w:val="003A5F77"/>
    <w:rsid w:val="003A5FE4"/>
    <w:rsid w:val="003A61D9"/>
    <w:rsid w:val="003A62C3"/>
    <w:rsid w:val="003A6414"/>
    <w:rsid w:val="003A672A"/>
    <w:rsid w:val="003A6F37"/>
    <w:rsid w:val="003A6FC1"/>
    <w:rsid w:val="003A71B9"/>
    <w:rsid w:val="003A7220"/>
    <w:rsid w:val="003A72C6"/>
    <w:rsid w:val="003A76C4"/>
    <w:rsid w:val="003A774B"/>
    <w:rsid w:val="003A781C"/>
    <w:rsid w:val="003A79AE"/>
    <w:rsid w:val="003A7A03"/>
    <w:rsid w:val="003A7D11"/>
    <w:rsid w:val="003A7EA3"/>
    <w:rsid w:val="003B00AF"/>
    <w:rsid w:val="003B07A0"/>
    <w:rsid w:val="003B0DA2"/>
    <w:rsid w:val="003B0FF6"/>
    <w:rsid w:val="003B1460"/>
    <w:rsid w:val="003B14AA"/>
    <w:rsid w:val="003B16EB"/>
    <w:rsid w:val="003B17D4"/>
    <w:rsid w:val="003B1AAB"/>
    <w:rsid w:val="003B1CCA"/>
    <w:rsid w:val="003B1CCE"/>
    <w:rsid w:val="003B1FAF"/>
    <w:rsid w:val="003B241A"/>
    <w:rsid w:val="003B2DE3"/>
    <w:rsid w:val="003B357F"/>
    <w:rsid w:val="003B35B7"/>
    <w:rsid w:val="003B41C2"/>
    <w:rsid w:val="003B4C4C"/>
    <w:rsid w:val="003B5690"/>
    <w:rsid w:val="003B5729"/>
    <w:rsid w:val="003B6D87"/>
    <w:rsid w:val="003B6F9A"/>
    <w:rsid w:val="003B7006"/>
    <w:rsid w:val="003B71A1"/>
    <w:rsid w:val="003B7324"/>
    <w:rsid w:val="003B766C"/>
    <w:rsid w:val="003B7744"/>
    <w:rsid w:val="003C0235"/>
    <w:rsid w:val="003C038C"/>
    <w:rsid w:val="003C0418"/>
    <w:rsid w:val="003C075B"/>
    <w:rsid w:val="003C0802"/>
    <w:rsid w:val="003C081E"/>
    <w:rsid w:val="003C091D"/>
    <w:rsid w:val="003C09D9"/>
    <w:rsid w:val="003C0B02"/>
    <w:rsid w:val="003C0CC7"/>
    <w:rsid w:val="003C0DAF"/>
    <w:rsid w:val="003C0DC6"/>
    <w:rsid w:val="003C1822"/>
    <w:rsid w:val="003C1CD8"/>
    <w:rsid w:val="003C202B"/>
    <w:rsid w:val="003C25D2"/>
    <w:rsid w:val="003C278D"/>
    <w:rsid w:val="003C2A2C"/>
    <w:rsid w:val="003C2B2A"/>
    <w:rsid w:val="003C2B7B"/>
    <w:rsid w:val="003C2E02"/>
    <w:rsid w:val="003C2EE9"/>
    <w:rsid w:val="003C3589"/>
    <w:rsid w:val="003C3822"/>
    <w:rsid w:val="003C3B8C"/>
    <w:rsid w:val="003C3E29"/>
    <w:rsid w:val="003C3EB3"/>
    <w:rsid w:val="003C43E4"/>
    <w:rsid w:val="003C45EC"/>
    <w:rsid w:val="003C4742"/>
    <w:rsid w:val="003C47C1"/>
    <w:rsid w:val="003C48D6"/>
    <w:rsid w:val="003C4A88"/>
    <w:rsid w:val="003C51F2"/>
    <w:rsid w:val="003C573D"/>
    <w:rsid w:val="003C59B7"/>
    <w:rsid w:val="003C6125"/>
    <w:rsid w:val="003C623B"/>
    <w:rsid w:val="003C69F8"/>
    <w:rsid w:val="003C6B91"/>
    <w:rsid w:val="003C6C5F"/>
    <w:rsid w:val="003C6F0C"/>
    <w:rsid w:val="003C705A"/>
    <w:rsid w:val="003C71C1"/>
    <w:rsid w:val="003C727F"/>
    <w:rsid w:val="003C73E7"/>
    <w:rsid w:val="003C751A"/>
    <w:rsid w:val="003C755E"/>
    <w:rsid w:val="003C77D4"/>
    <w:rsid w:val="003C7B22"/>
    <w:rsid w:val="003C7F66"/>
    <w:rsid w:val="003D0012"/>
    <w:rsid w:val="003D0794"/>
    <w:rsid w:val="003D0820"/>
    <w:rsid w:val="003D0B09"/>
    <w:rsid w:val="003D0B97"/>
    <w:rsid w:val="003D0BF3"/>
    <w:rsid w:val="003D0D75"/>
    <w:rsid w:val="003D0F24"/>
    <w:rsid w:val="003D104C"/>
    <w:rsid w:val="003D141D"/>
    <w:rsid w:val="003D14D6"/>
    <w:rsid w:val="003D19C4"/>
    <w:rsid w:val="003D1E8D"/>
    <w:rsid w:val="003D2056"/>
    <w:rsid w:val="003D2120"/>
    <w:rsid w:val="003D2352"/>
    <w:rsid w:val="003D2671"/>
    <w:rsid w:val="003D2B51"/>
    <w:rsid w:val="003D2C79"/>
    <w:rsid w:val="003D2E6B"/>
    <w:rsid w:val="003D2E82"/>
    <w:rsid w:val="003D2E84"/>
    <w:rsid w:val="003D319F"/>
    <w:rsid w:val="003D33B8"/>
    <w:rsid w:val="003D3474"/>
    <w:rsid w:val="003D3778"/>
    <w:rsid w:val="003D3F42"/>
    <w:rsid w:val="003D42E0"/>
    <w:rsid w:val="003D4355"/>
    <w:rsid w:val="003D43A3"/>
    <w:rsid w:val="003D4E09"/>
    <w:rsid w:val="003D55F2"/>
    <w:rsid w:val="003D5B39"/>
    <w:rsid w:val="003D5FD6"/>
    <w:rsid w:val="003D67D5"/>
    <w:rsid w:val="003D694B"/>
    <w:rsid w:val="003D6DB9"/>
    <w:rsid w:val="003D73E0"/>
    <w:rsid w:val="003D7524"/>
    <w:rsid w:val="003D7601"/>
    <w:rsid w:val="003D79D3"/>
    <w:rsid w:val="003D7FD9"/>
    <w:rsid w:val="003E0055"/>
    <w:rsid w:val="003E02A0"/>
    <w:rsid w:val="003E116B"/>
    <w:rsid w:val="003E1219"/>
    <w:rsid w:val="003E14FE"/>
    <w:rsid w:val="003E16FB"/>
    <w:rsid w:val="003E21BD"/>
    <w:rsid w:val="003E271F"/>
    <w:rsid w:val="003E2866"/>
    <w:rsid w:val="003E28EF"/>
    <w:rsid w:val="003E3878"/>
    <w:rsid w:val="003E4367"/>
    <w:rsid w:val="003E4500"/>
    <w:rsid w:val="003E48C9"/>
    <w:rsid w:val="003E50E6"/>
    <w:rsid w:val="003E5311"/>
    <w:rsid w:val="003E5586"/>
    <w:rsid w:val="003E59BA"/>
    <w:rsid w:val="003E5A94"/>
    <w:rsid w:val="003E5B69"/>
    <w:rsid w:val="003E5E42"/>
    <w:rsid w:val="003E6036"/>
    <w:rsid w:val="003E6385"/>
    <w:rsid w:val="003E6790"/>
    <w:rsid w:val="003E67F1"/>
    <w:rsid w:val="003E6966"/>
    <w:rsid w:val="003E6BD6"/>
    <w:rsid w:val="003E704E"/>
    <w:rsid w:val="003E70EB"/>
    <w:rsid w:val="003E7783"/>
    <w:rsid w:val="003E7A78"/>
    <w:rsid w:val="003E7CA6"/>
    <w:rsid w:val="003E7DD5"/>
    <w:rsid w:val="003E7FAB"/>
    <w:rsid w:val="003F0383"/>
    <w:rsid w:val="003F04AB"/>
    <w:rsid w:val="003F04D9"/>
    <w:rsid w:val="003F06A9"/>
    <w:rsid w:val="003F0AC7"/>
    <w:rsid w:val="003F0BDB"/>
    <w:rsid w:val="003F0CE6"/>
    <w:rsid w:val="003F0D43"/>
    <w:rsid w:val="003F0ECB"/>
    <w:rsid w:val="003F0F54"/>
    <w:rsid w:val="003F11B8"/>
    <w:rsid w:val="003F14DF"/>
    <w:rsid w:val="003F1DEB"/>
    <w:rsid w:val="003F2172"/>
    <w:rsid w:val="003F23AD"/>
    <w:rsid w:val="003F2A62"/>
    <w:rsid w:val="003F2D60"/>
    <w:rsid w:val="003F3225"/>
    <w:rsid w:val="003F36D8"/>
    <w:rsid w:val="003F386A"/>
    <w:rsid w:val="003F3BCF"/>
    <w:rsid w:val="003F3C5A"/>
    <w:rsid w:val="003F4017"/>
    <w:rsid w:val="003F4817"/>
    <w:rsid w:val="003F4A50"/>
    <w:rsid w:val="003F5454"/>
    <w:rsid w:val="003F579A"/>
    <w:rsid w:val="003F59B4"/>
    <w:rsid w:val="003F5B7A"/>
    <w:rsid w:val="003F6712"/>
    <w:rsid w:val="003F6876"/>
    <w:rsid w:val="003F6893"/>
    <w:rsid w:val="003F68DB"/>
    <w:rsid w:val="003F6AE9"/>
    <w:rsid w:val="003F6EC0"/>
    <w:rsid w:val="003F717D"/>
    <w:rsid w:val="003F7384"/>
    <w:rsid w:val="003F73C7"/>
    <w:rsid w:val="003F7792"/>
    <w:rsid w:val="003F79C9"/>
    <w:rsid w:val="00400461"/>
    <w:rsid w:val="0040081F"/>
    <w:rsid w:val="004008E0"/>
    <w:rsid w:val="00400925"/>
    <w:rsid w:val="00400AC6"/>
    <w:rsid w:val="00400C9E"/>
    <w:rsid w:val="00400D66"/>
    <w:rsid w:val="00401054"/>
    <w:rsid w:val="0040121F"/>
    <w:rsid w:val="0040146C"/>
    <w:rsid w:val="0040188B"/>
    <w:rsid w:val="00401FA5"/>
    <w:rsid w:val="004022A4"/>
    <w:rsid w:val="004023CD"/>
    <w:rsid w:val="00402502"/>
    <w:rsid w:val="0040254B"/>
    <w:rsid w:val="004029CE"/>
    <w:rsid w:val="00402BFF"/>
    <w:rsid w:val="00402EFE"/>
    <w:rsid w:val="004030DD"/>
    <w:rsid w:val="004032C4"/>
    <w:rsid w:val="0040336B"/>
    <w:rsid w:val="0040339F"/>
    <w:rsid w:val="004034DF"/>
    <w:rsid w:val="0040385F"/>
    <w:rsid w:val="004038D0"/>
    <w:rsid w:val="00403C1F"/>
    <w:rsid w:val="00404028"/>
    <w:rsid w:val="0040420B"/>
    <w:rsid w:val="00404C95"/>
    <w:rsid w:val="00405081"/>
    <w:rsid w:val="0040509C"/>
    <w:rsid w:val="004050BB"/>
    <w:rsid w:val="0040523A"/>
    <w:rsid w:val="0040586A"/>
    <w:rsid w:val="00405D8C"/>
    <w:rsid w:val="00405F05"/>
    <w:rsid w:val="00405F1F"/>
    <w:rsid w:val="00406091"/>
    <w:rsid w:val="00406323"/>
    <w:rsid w:val="004063F6"/>
    <w:rsid w:val="004065B8"/>
    <w:rsid w:val="00406744"/>
    <w:rsid w:val="0040704D"/>
    <w:rsid w:val="00407060"/>
    <w:rsid w:val="00407728"/>
    <w:rsid w:val="004079C3"/>
    <w:rsid w:val="00407B86"/>
    <w:rsid w:val="00410277"/>
    <w:rsid w:val="00410340"/>
    <w:rsid w:val="00410731"/>
    <w:rsid w:val="004109EE"/>
    <w:rsid w:val="00411169"/>
    <w:rsid w:val="00411361"/>
    <w:rsid w:val="00411C1F"/>
    <w:rsid w:val="00411D54"/>
    <w:rsid w:val="00412184"/>
    <w:rsid w:val="004121AE"/>
    <w:rsid w:val="0041259D"/>
    <w:rsid w:val="004127F5"/>
    <w:rsid w:val="004129CA"/>
    <w:rsid w:val="00412E20"/>
    <w:rsid w:val="0041356D"/>
    <w:rsid w:val="004138CA"/>
    <w:rsid w:val="00413C45"/>
    <w:rsid w:val="00413E35"/>
    <w:rsid w:val="00414237"/>
    <w:rsid w:val="00414BDC"/>
    <w:rsid w:val="00414EB8"/>
    <w:rsid w:val="004151C4"/>
    <w:rsid w:val="00415262"/>
    <w:rsid w:val="0041532D"/>
    <w:rsid w:val="00415A3C"/>
    <w:rsid w:val="0041606D"/>
    <w:rsid w:val="00416748"/>
    <w:rsid w:val="0041695C"/>
    <w:rsid w:val="00416C20"/>
    <w:rsid w:val="00416D1A"/>
    <w:rsid w:val="00416D7C"/>
    <w:rsid w:val="0041736D"/>
    <w:rsid w:val="00417CE9"/>
    <w:rsid w:val="00417D18"/>
    <w:rsid w:val="00417D9F"/>
    <w:rsid w:val="004202E6"/>
    <w:rsid w:val="00420345"/>
    <w:rsid w:val="00420458"/>
    <w:rsid w:val="00420721"/>
    <w:rsid w:val="00420B7C"/>
    <w:rsid w:val="00420E01"/>
    <w:rsid w:val="00420EB8"/>
    <w:rsid w:val="00420F25"/>
    <w:rsid w:val="00421001"/>
    <w:rsid w:val="00421049"/>
    <w:rsid w:val="00421B47"/>
    <w:rsid w:val="00421D05"/>
    <w:rsid w:val="00422160"/>
    <w:rsid w:val="00422252"/>
    <w:rsid w:val="0042257B"/>
    <w:rsid w:val="00422736"/>
    <w:rsid w:val="00422BAA"/>
    <w:rsid w:val="00422DD1"/>
    <w:rsid w:val="00422E20"/>
    <w:rsid w:val="00423222"/>
    <w:rsid w:val="0042338C"/>
    <w:rsid w:val="00423664"/>
    <w:rsid w:val="004236D3"/>
    <w:rsid w:val="00423BC6"/>
    <w:rsid w:val="00423C3B"/>
    <w:rsid w:val="00424668"/>
    <w:rsid w:val="00424F84"/>
    <w:rsid w:val="0042535A"/>
    <w:rsid w:val="0042543E"/>
    <w:rsid w:val="0042594D"/>
    <w:rsid w:val="00425A20"/>
    <w:rsid w:val="00425DA4"/>
    <w:rsid w:val="00425DE5"/>
    <w:rsid w:val="00426274"/>
    <w:rsid w:val="00426511"/>
    <w:rsid w:val="0042653F"/>
    <w:rsid w:val="00427384"/>
    <w:rsid w:val="004276F5"/>
    <w:rsid w:val="004277E5"/>
    <w:rsid w:val="004279A6"/>
    <w:rsid w:val="00427ACA"/>
    <w:rsid w:val="00427ED0"/>
    <w:rsid w:val="00430295"/>
    <w:rsid w:val="0043073D"/>
    <w:rsid w:val="004307B8"/>
    <w:rsid w:val="00430CE9"/>
    <w:rsid w:val="00431285"/>
    <w:rsid w:val="00431669"/>
    <w:rsid w:val="00431D24"/>
    <w:rsid w:val="00431DD2"/>
    <w:rsid w:val="0043235F"/>
    <w:rsid w:val="0043269B"/>
    <w:rsid w:val="0043270B"/>
    <w:rsid w:val="0043285D"/>
    <w:rsid w:val="00432892"/>
    <w:rsid w:val="004328C7"/>
    <w:rsid w:val="0043291B"/>
    <w:rsid w:val="00432953"/>
    <w:rsid w:val="00432D43"/>
    <w:rsid w:val="004338C2"/>
    <w:rsid w:val="00433D59"/>
    <w:rsid w:val="004342FF"/>
    <w:rsid w:val="00434346"/>
    <w:rsid w:val="00435DD5"/>
    <w:rsid w:val="00436B24"/>
    <w:rsid w:val="00437281"/>
    <w:rsid w:val="004374D8"/>
    <w:rsid w:val="00437901"/>
    <w:rsid w:val="0044030A"/>
    <w:rsid w:val="004407FA"/>
    <w:rsid w:val="00440DA8"/>
    <w:rsid w:val="00440F7D"/>
    <w:rsid w:val="00441120"/>
    <w:rsid w:val="00441130"/>
    <w:rsid w:val="0044171D"/>
    <w:rsid w:val="00441792"/>
    <w:rsid w:val="00441D9B"/>
    <w:rsid w:val="004423C7"/>
    <w:rsid w:val="00442589"/>
    <w:rsid w:val="00442BDD"/>
    <w:rsid w:val="00442D6A"/>
    <w:rsid w:val="004430D1"/>
    <w:rsid w:val="0044384E"/>
    <w:rsid w:val="00443F3F"/>
    <w:rsid w:val="00444213"/>
    <w:rsid w:val="00444896"/>
    <w:rsid w:val="004448EF"/>
    <w:rsid w:val="00444B56"/>
    <w:rsid w:val="00444C28"/>
    <w:rsid w:val="00444D03"/>
    <w:rsid w:val="00445595"/>
    <w:rsid w:val="004456FD"/>
    <w:rsid w:val="00445C1B"/>
    <w:rsid w:val="00445EAE"/>
    <w:rsid w:val="004464AD"/>
    <w:rsid w:val="00446688"/>
    <w:rsid w:val="00446919"/>
    <w:rsid w:val="00446AD7"/>
    <w:rsid w:val="0044730E"/>
    <w:rsid w:val="00447671"/>
    <w:rsid w:val="004476D0"/>
    <w:rsid w:val="004477CD"/>
    <w:rsid w:val="0045022F"/>
    <w:rsid w:val="00450F04"/>
    <w:rsid w:val="0045116B"/>
    <w:rsid w:val="0045122D"/>
    <w:rsid w:val="00451318"/>
    <w:rsid w:val="0045163E"/>
    <w:rsid w:val="00451B1B"/>
    <w:rsid w:val="00451E1D"/>
    <w:rsid w:val="004523A6"/>
    <w:rsid w:val="00452557"/>
    <w:rsid w:val="00452CD4"/>
    <w:rsid w:val="004530E1"/>
    <w:rsid w:val="00453487"/>
    <w:rsid w:val="00453809"/>
    <w:rsid w:val="0045397F"/>
    <w:rsid w:val="00453B75"/>
    <w:rsid w:val="00453F61"/>
    <w:rsid w:val="004542FE"/>
    <w:rsid w:val="00454652"/>
    <w:rsid w:val="00454926"/>
    <w:rsid w:val="00454A32"/>
    <w:rsid w:val="00454B8C"/>
    <w:rsid w:val="00454D81"/>
    <w:rsid w:val="00454E07"/>
    <w:rsid w:val="00454EAB"/>
    <w:rsid w:val="00455004"/>
    <w:rsid w:val="00455059"/>
    <w:rsid w:val="004553F7"/>
    <w:rsid w:val="004555C3"/>
    <w:rsid w:val="004556E2"/>
    <w:rsid w:val="0045578E"/>
    <w:rsid w:val="00455A1D"/>
    <w:rsid w:val="00455BDB"/>
    <w:rsid w:val="00456198"/>
    <w:rsid w:val="004561A5"/>
    <w:rsid w:val="004567C0"/>
    <w:rsid w:val="00456FF9"/>
    <w:rsid w:val="004571F4"/>
    <w:rsid w:val="00457471"/>
    <w:rsid w:val="0045767A"/>
    <w:rsid w:val="004576C1"/>
    <w:rsid w:val="00457779"/>
    <w:rsid w:val="00457B25"/>
    <w:rsid w:val="00460188"/>
    <w:rsid w:val="004606B8"/>
    <w:rsid w:val="00460AC7"/>
    <w:rsid w:val="00460CE3"/>
    <w:rsid w:val="00460E14"/>
    <w:rsid w:val="00460F68"/>
    <w:rsid w:val="004610E5"/>
    <w:rsid w:val="00461148"/>
    <w:rsid w:val="004611FC"/>
    <w:rsid w:val="004615C2"/>
    <w:rsid w:val="00461656"/>
    <w:rsid w:val="00461C93"/>
    <w:rsid w:val="004622C6"/>
    <w:rsid w:val="00462A30"/>
    <w:rsid w:val="00462C64"/>
    <w:rsid w:val="0046337B"/>
    <w:rsid w:val="00463909"/>
    <w:rsid w:val="004639B7"/>
    <w:rsid w:val="00463B21"/>
    <w:rsid w:val="00464234"/>
    <w:rsid w:val="004645D8"/>
    <w:rsid w:val="004646F6"/>
    <w:rsid w:val="00464A11"/>
    <w:rsid w:val="00464D70"/>
    <w:rsid w:val="00464F5A"/>
    <w:rsid w:val="004650AA"/>
    <w:rsid w:val="00465267"/>
    <w:rsid w:val="004654DC"/>
    <w:rsid w:val="004657C5"/>
    <w:rsid w:val="0046613D"/>
    <w:rsid w:val="004661B3"/>
    <w:rsid w:val="00466246"/>
    <w:rsid w:val="004663DC"/>
    <w:rsid w:val="00466521"/>
    <w:rsid w:val="00466768"/>
    <w:rsid w:val="004667D2"/>
    <w:rsid w:val="004668C2"/>
    <w:rsid w:val="004669DE"/>
    <w:rsid w:val="00467542"/>
    <w:rsid w:val="00467543"/>
    <w:rsid w:val="00467614"/>
    <w:rsid w:val="00467626"/>
    <w:rsid w:val="00470057"/>
    <w:rsid w:val="004703BC"/>
    <w:rsid w:val="004706A6"/>
    <w:rsid w:val="00470D1F"/>
    <w:rsid w:val="00470F1A"/>
    <w:rsid w:val="00470FCD"/>
    <w:rsid w:val="00471142"/>
    <w:rsid w:val="00471282"/>
    <w:rsid w:val="004713A5"/>
    <w:rsid w:val="00471771"/>
    <w:rsid w:val="004717E9"/>
    <w:rsid w:val="00471BA8"/>
    <w:rsid w:val="00471D1A"/>
    <w:rsid w:val="00471E6E"/>
    <w:rsid w:val="00472AC4"/>
    <w:rsid w:val="00472C66"/>
    <w:rsid w:val="00473191"/>
    <w:rsid w:val="00473331"/>
    <w:rsid w:val="004735FE"/>
    <w:rsid w:val="004737C1"/>
    <w:rsid w:val="004739AF"/>
    <w:rsid w:val="00473C08"/>
    <w:rsid w:val="00473ED6"/>
    <w:rsid w:val="00473F91"/>
    <w:rsid w:val="00473FD1"/>
    <w:rsid w:val="00474509"/>
    <w:rsid w:val="0047479B"/>
    <w:rsid w:val="004749A7"/>
    <w:rsid w:val="00474A4F"/>
    <w:rsid w:val="00474CC6"/>
    <w:rsid w:val="00474F27"/>
    <w:rsid w:val="0047571F"/>
    <w:rsid w:val="00475855"/>
    <w:rsid w:val="0047586A"/>
    <w:rsid w:val="00475CA7"/>
    <w:rsid w:val="004760D2"/>
    <w:rsid w:val="004763F4"/>
    <w:rsid w:val="004766BF"/>
    <w:rsid w:val="00476D8E"/>
    <w:rsid w:val="00476DC9"/>
    <w:rsid w:val="00476E54"/>
    <w:rsid w:val="00477547"/>
    <w:rsid w:val="0047785C"/>
    <w:rsid w:val="00477A11"/>
    <w:rsid w:val="00477A46"/>
    <w:rsid w:val="00477BBA"/>
    <w:rsid w:val="00480466"/>
    <w:rsid w:val="00480521"/>
    <w:rsid w:val="004805FB"/>
    <w:rsid w:val="00480B9A"/>
    <w:rsid w:val="004810C7"/>
    <w:rsid w:val="00481213"/>
    <w:rsid w:val="0048162A"/>
    <w:rsid w:val="0048170C"/>
    <w:rsid w:val="00481824"/>
    <w:rsid w:val="00481AF1"/>
    <w:rsid w:val="00481C34"/>
    <w:rsid w:val="00481CAD"/>
    <w:rsid w:val="00481D04"/>
    <w:rsid w:val="00481D92"/>
    <w:rsid w:val="00482A2C"/>
    <w:rsid w:val="00482B33"/>
    <w:rsid w:val="004838E8"/>
    <w:rsid w:val="00483A60"/>
    <w:rsid w:val="00484206"/>
    <w:rsid w:val="00484347"/>
    <w:rsid w:val="0048457E"/>
    <w:rsid w:val="004845AF"/>
    <w:rsid w:val="004845B4"/>
    <w:rsid w:val="004845F4"/>
    <w:rsid w:val="00484673"/>
    <w:rsid w:val="004846A1"/>
    <w:rsid w:val="004847EB"/>
    <w:rsid w:val="004848B1"/>
    <w:rsid w:val="004849EC"/>
    <w:rsid w:val="00484EB2"/>
    <w:rsid w:val="004851AF"/>
    <w:rsid w:val="00485207"/>
    <w:rsid w:val="0048524F"/>
    <w:rsid w:val="00485AC8"/>
    <w:rsid w:val="00485CE6"/>
    <w:rsid w:val="00485D80"/>
    <w:rsid w:val="00485F8E"/>
    <w:rsid w:val="00486064"/>
    <w:rsid w:val="004862B3"/>
    <w:rsid w:val="0048674F"/>
    <w:rsid w:val="004867E9"/>
    <w:rsid w:val="004868B3"/>
    <w:rsid w:val="00486CC7"/>
    <w:rsid w:val="00486EF5"/>
    <w:rsid w:val="00487062"/>
    <w:rsid w:val="00487811"/>
    <w:rsid w:val="004879D4"/>
    <w:rsid w:val="00487A14"/>
    <w:rsid w:val="00487C86"/>
    <w:rsid w:val="00487D19"/>
    <w:rsid w:val="00487EB5"/>
    <w:rsid w:val="00490013"/>
    <w:rsid w:val="004901AA"/>
    <w:rsid w:val="00490333"/>
    <w:rsid w:val="00490C05"/>
    <w:rsid w:val="00490C62"/>
    <w:rsid w:val="004910F2"/>
    <w:rsid w:val="00491377"/>
    <w:rsid w:val="00491561"/>
    <w:rsid w:val="00491802"/>
    <w:rsid w:val="00491C67"/>
    <w:rsid w:val="00491D78"/>
    <w:rsid w:val="00493638"/>
    <w:rsid w:val="00493698"/>
    <w:rsid w:val="0049378B"/>
    <w:rsid w:val="00493CED"/>
    <w:rsid w:val="00493E81"/>
    <w:rsid w:val="00493FE1"/>
    <w:rsid w:val="0049417D"/>
    <w:rsid w:val="004943A1"/>
    <w:rsid w:val="004946FD"/>
    <w:rsid w:val="0049473B"/>
    <w:rsid w:val="004949C6"/>
    <w:rsid w:val="00494D45"/>
    <w:rsid w:val="00495194"/>
    <w:rsid w:val="0049537E"/>
    <w:rsid w:val="00496244"/>
    <w:rsid w:val="00496542"/>
    <w:rsid w:val="004966FE"/>
    <w:rsid w:val="004967BD"/>
    <w:rsid w:val="00496FDA"/>
    <w:rsid w:val="004974E0"/>
    <w:rsid w:val="004978EB"/>
    <w:rsid w:val="00497BEE"/>
    <w:rsid w:val="004A0213"/>
    <w:rsid w:val="004A0314"/>
    <w:rsid w:val="004A0371"/>
    <w:rsid w:val="004A0469"/>
    <w:rsid w:val="004A0900"/>
    <w:rsid w:val="004A0C0F"/>
    <w:rsid w:val="004A0F67"/>
    <w:rsid w:val="004A10AE"/>
    <w:rsid w:val="004A1936"/>
    <w:rsid w:val="004A1946"/>
    <w:rsid w:val="004A1F16"/>
    <w:rsid w:val="004A2120"/>
    <w:rsid w:val="004A249C"/>
    <w:rsid w:val="004A2550"/>
    <w:rsid w:val="004A2D02"/>
    <w:rsid w:val="004A3348"/>
    <w:rsid w:val="004A37A6"/>
    <w:rsid w:val="004A3AE6"/>
    <w:rsid w:val="004A3AFB"/>
    <w:rsid w:val="004A3F6B"/>
    <w:rsid w:val="004A41C4"/>
    <w:rsid w:val="004A4C77"/>
    <w:rsid w:val="004A4CBF"/>
    <w:rsid w:val="004A5036"/>
    <w:rsid w:val="004A5439"/>
    <w:rsid w:val="004A545D"/>
    <w:rsid w:val="004A5A57"/>
    <w:rsid w:val="004A5AB9"/>
    <w:rsid w:val="004A5E36"/>
    <w:rsid w:val="004A65ED"/>
    <w:rsid w:val="004A7629"/>
    <w:rsid w:val="004A77A5"/>
    <w:rsid w:val="004A7DCC"/>
    <w:rsid w:val="004A7ED0"/>
    <w:rsid w:val="004B0362"/>
    <w:rsid w:val="004B059D"/>
    <w:rsid w:val="004B0ABA"/>
    <w:rsid w:val="004B0C67"/>
    <w:rsid w:val="004B0CA6"/>
    <w:rsid w:val="004B0E9D"/>
    <w:rsid w:val="004B1259"/>
    <w:rsid w:val="004B1B7B"/>
    <w:rsid w:val="004B227B"/>
    <w:rsid w:val="004B2497"/>
    <w:rsid w:val="004B2EF0"/>
    <w:rsid w:val="004B30CE"/>
    <w:rsid w:val="004B3CAC"/>
    <w:rsid w:val="004B4019"/>
    <w:rsid w:val="004B4447"/>
    <w:rsid w:val="004B4615"/>
    <w:rsid w:val="004B46CB"/>
    <w:rsid w:val="004B49D2"/>
    <w:rsid w:val="004B4A21"/>
    <w:rsid w:val="004B4CC2"/>
    <w:rsid w:val="004B4D93"/>
    <w:rsid w:val="004B4DD1"/>
    <w:rsid w:val="004B510E"/>
    <w:rsid w:val="004B5297"/>
    <w:rsid w:val="004B52C3"/>
    <w:rsid w:val="004B52EC"/>
    <w:rsid w:val="004B54F6"/>
    <w:rsid w:val="004B5E18"/>
    <w:rsid w:val="004B5F0E"/>
    <w:rsid w:val="004B64D9"/>
    <w:rsid w:val="004B669D"/>
    <w:rsid w:val="004B6A91"/>
    <w:rsid w:val="004B6B65"/>
    <w:rsid w:val="004B73C9"/>
    <w:rsid w:val="004B7A2D"/>
    <w:rsid w:val="004B7B14"/>
    <w:rsid w:val="004B7F22"/>
    <w:rsid w:val="004C0145"/>
    <w:rsid w:val="004C0247"/>
    <w:rsid w:val="004C0EF8"/>
    <w:rsid w:val="004C21B1"/>
    <w:rsid w:val="004C27D1"/>
    <w:rsid w:val="004C29A3"/>
    <w:rsid w:val="004C2ED4"/>
    <w:rsid w:val="004C2FBE"/>
    <w:rsid w:val="004C3350"/>
    <w:rsid w:val="004C3BA5"/>
    <w:rsid w:val="004C3D68"/>
    <w:rsid w:val="004C3E2E"/>
    <w:rsid w:val="004C40C1"/>
    <w:rsid w:val="004C422F"/>
    <w:rsid w:val="004C4251"/>
    <w:rsid w:val="004C4312"/>
    <w:rsid w:val="004C441E"/>
    <w:rsid w:val="004C4619"/>
    <w:rsid w:val="004C47ED"/>
    <w:rsid w:val="004C4834"/>
    <w:rsid w:val="004C4AF7"/>
    <w:rsid w:val="004C4BE4"/>
    <w:rsid w:val="004C4C3A"/>
    <w:rsid w:val="004C4FA5"/>
    <w:rsid w:val="004C51F8"/>
    <w:rsid w:val="004C5367"/>
    <w:rsid w:val="004C53AF"/>
    <w:rsid w:val="004C550D"/>
    <w:rsid w:val="004C5AE0"/>
    <w:rsid w:val="004C61DA"/>
    <w:rsid w:val="004C6463"/>
    <w:rsid w:val="004C6814"/>
    <w:rsid w:val="004C6A56"/>
    <w:rsid w:val="004C6BDB"/>
    <w:rsid w:val="004C71F4"/>
    <w:rsid w:val="004C7441"/>
    <w:rsid w:val="004C7848"/>
    <w:rsid w:val="004C7927"/>
    <w:rsid w:val="004C7DC7"/>
    <w:rsid w:val="004D07F5"/>
    <w:rsid w:val="004D08EB"/>
    <w:rsid w:val="004D0A59"/>
    <w:rsid w:val="004D0A9D"/>
    <w:rsid w:val="004D0B0C"/>
    <w:rsid w:val="004D159F"/>
    <w:rsid w:val="004D2004"/>
    <w:rsid w:val="004D2381"/>
    <w:rsid w:val="004D23FE"/>
    <w:rsid w:val="004D2456"/>
    <w:rsid w:val="004D26FD"/>
    <w:rsid w:val="004D2876"/>
    <w:rsid w:val="004D297A"/>
    <w:rsid w:val="004D2B8B"/>
    <w:rsid w:val="004D3095"/>
    <w:rsid w:val="004D3139"/>
    <w:rsid w:val="004D338D"/>
    <w:rsid w:val="004D34DE"/>
    <w:rsid w:val="004D3A4A"/>
    <w:rsid w:val="004D462B"/>
    <w:rsid w:val="004D4718"/>
    <w:rsid w:val="004D47E5"/>
    <w:rsid w:val="004D495F"/>
    <w:rsid w:val="004D499E"/>
    <w:rsid w:val="004D4AF2"/>
    <w:rsid w:val="004D4D7A"/>
    <w:rsid w:val="004D4DF5"/>
    <w:rsid w:val="004D4FAD"/>
    <w:rsid w:val="004D5348"/>
    <w:rsid w:val="004D542B"/>
    <w:rsid w:val="004D5518"/>
    <w:rsid w:val="004D571A"/>
    <w:rsid w:val="004D5A07"/>
    <w:rsid w:val="004D5A23"/>
    <w:rsid w:val="004D5DEC"/>
    <w:rsid w:val="004D62EB"/>
    <w:rsid w:val="004D6348"/>
    <w:rsid w:val="004D6805"/>
    <w:rsid w:val="004D6829"/>
    <w:rsid w:val="004D686D"/>
    <w:rsid w:val="004D71F6"/>
    <w:rsid w:val="004D7258"/>
    <w:rsid w:val="004D73C0"/>
    <w:rsid w:val="004D7610"/>
    <w:rsid w:val="004D7D35"/>
    <w:rsid w:val="004E0182"/>
    <w:rsid w:val="004E01D9"/>
    <w:rsid w:val="004E0290"/>
    <w:rsid w:val="004E078E"/>
    <w:rsid w:val="004E0A1F"/>
    <w:rsid w:val="004E0AF4"/>
    <w:rsid w:val="004E0CFF"/>
    <w:rsid w:val="004E10CE"/>
    <w:rsid w:val="004E11E7"/>
    <w:rsid w:val="004E1742"/>
    <w:rsid w:val="004E192D"/>
    <w:rsid w:val="004E1A3C"/>
    <w:rsid w:val="004E1BC3"/>
    <w:rsid w:val="004E1F2A"/>
    <w:rsid w:val="004E21F2"/>
    <w:rsid w:val="004E2430"/>
    <w:rsid w:val="004E25DE"/>
    <w:rsid w:val="004E270D"/>
    <w:rsid w:val="004E2E53"/>
    <w:rsid w:val="004E33F3"/>
    <w:rsid w:val="004E393F"/>
    <w:rsid w:val="004E3B30"/>
    <w:rsid w:val="004E3C4A"/>
    <w:rsid w:val="004E3EEC"/>
    <w:rsid w:val="004E447B"/>
    <w:rsid w:val="004E4A2D"/>
    <w:rsid w:val="004E5708"/>
    <w:rsid w:val="004E5BA1"/>
    <w:rsid w:val="004E603C"/>
    <w:rsid w:val="004E6340"/>
    <w:rsid w:val="004E6BFD"/>
    <w:rsid w:val="004E6ECD"/>
    <w:rsid w:val="004E7563"/>
    <w:rsid w:val="004E75EC"/>
    <w:rsid w:val="004F00B3"/>
    <w:rsid w:val="004F00FE"/>
    <w:rsid w:val="004F06C9"/>
    <w:rsid w:val="004F082A"/>
    <w:rsid w:val="004F0C0F"/>
    <w:rsid w:val="004F114F"/>
    <w:rsid w:val="004F14B3"/>
    <w:rsid w:val="004F16B2"/>
    <w:rsid w:val="004F16E7"/>
    <w:rsid w:val="004F1E3C"/>
    <w:rsid w:val="004F1F8C"/>
    <w:rsid w:val="004F2035"/>
    <w:rsid w:val="004F3667"/>
    <w:rsid w:val="004F373A"/>
    <w:rsid w:val="004F39C0"/>
    <w:rsid w:val="004F3CCF"/>
    <w:rsid w:val="004F3E30"/>
    <w:rsid w:val="004F4750"/>
    <w:rsid w:val="004F48AD"/>
    <w:rsid w:val="004F4A9A"/>
    <w:rsid w:val="004F5325"/>
    <w:rsid w:val="004F591E"/>
    <w:rsid w:val="004F5939"/>
    <w:rsid w:val="004F5B5C"/>
    <w:rsid w:val="004F62E6"/>
    <w:rsid w:val="004F670C"/>
    <w:rsid w:val="004F6927"/>
    <w:rsid w:val="004F6AEE"/>
    <w:rsid w:val="004F6C4B"/>
    <w:rsid w:val="004F6CE1"/>
    <w:rsid w:val="004F6D42"/>
    <w:rsid w:val="004F6EAE"/>
    <w:rsid w:val="004F7C23"/>
    <w:rsid w:val="004F7D8D"/>
    <w:rsid w:val="004F7DD1"/>
    <w:rsid w:val="0050014E"/>
    <w:rsid w:val="00500471"/>
    <w:rsid w:val="00500494"/>
    <w:rsid w:val="00500864"/>
    <w:rsid w:val="00500A29"/>
    <w:rsid w:val="00500C80"/>
    <w:rsid w:val="00500DAD"/>
    <w:rsid w:val="00500E59"/>
    <w:rsid w:val="0050154C"/>
    <w:rsid w:val="00501AB7"/>
    <w:rsid w:val="00501BA0"/>
    <w:rsid w:val="0050201F"/>
    <w:rsid w:val="005020FE"/>
    <w:rsid w:val="005023FD"/>
    <w:rsid w:val="00502840"/>
    <w:rsid w:val="0050297F"/>
    <w:rsid w:val="00502D3E"/>
    <w:rsid w:val="00502F5A"/>
    <w:rsid w:val="00502FF1"/>
    <w:rsid w:val="00503197"/>
    <w:rsid w:val="00503337"/>
    <w:rsid w:val="005034BD"/>
    <w:rsid w:val="00503C41"/>
    <w:rsid w:val="005040DB"/>
    <w:rsid w:val="005042DB"/>
    <w:rsid w:val="005043DC"/>
    <w:rsid w:val="0050440A"/>
    <w:rsid w:val="0050474E"/>
    <w:rsid w:val="005048CB"/>
    <w:rsid w:val="005048D3"/>
    <w:rsid w:val="00504941"/>
    <w:rsid w:val="00504FE4"/>
    <w:rsid w:val="005050AB"/>
    <w:rsid w:val="00505196"/>
    <w:rsid w:val="00505243"/>
    <w:rsid w:val="005053CC"/>
    <w:rsid w:val="00505B70"/>
    <w:rsid w:val="00505FA8"/>
    <w:rsid w:val="00506395"/>
    <w:rsid w:val="00506D86"/>
    <w:rsid w:val="00507103"/>
    <w:rsid w:val="0050727F"/>
    <w:rsid w:val="00507355"/>
    <w:rsid w:val="005078AA"/>
    <w:rsid w:val="00507B9C"/>
    <w:rsid w:val="00507D11"/>
    <w:rsid w:val="00507E94"/>
    <w:rsid w:val="00507F77"/>
    <w:rsid w:val="00510112"/>
    <w:rsid w:val="00510302"/>
    <w:rsid w:val="0051065E"/>
    <w:rsid w:val="005106F2"/>
    <w:rsid w:val="00510713"/>
    <w:rsid w:val="00510A50"/>
    <w:rsid w:val="00510CA1"/>
    <w:rsid w:val="00510F45"/>
    <w:rsid w:val="005111C3"/>
    <w:rsid w:val="00511644"/>
    <w:rsid w:val="00511CB6"/>
    <w:rsid w:val="00511D03"/>
    <w:rsid w:val="00511E03"/>
    <w:rsid w:val="005122F7"/>
    <w:rsid w:val="00512BC6"/>
    <w:rsid w:val="00512C65"/>
    <w:rsid w:val="005133EA"/>
    <w:rsid w:val="005139F0"/>
    <w:rsid w:val="00513FEC"/>
    <w:rsid w:val="005144C9"/>
    <w:rsid w:val="005144EF"/>
    <w:rsid w:val="00514782"/>
    <w:rsid w:val="005150A0"/>
    <w:rsid w:val="00515264"/>
    <w:rsid w:val="0051536C"/>
    <w:rsid w:val="005154D2"/>
    <w:rsid w:val="005159C8"/>
    <w:rsid w:val="00515B97"/>
    <w:rsid w:val="005161A4"/>
    <w:rsid w:val="00516355"/>
    <w:rsid w:val="00516779"/>
    <w:rsid w:val="00516AF8"/>
    <w:rsid w:val="00516D0F"/>
    <w:rsid w:val="00517C78"/>
    <w:rsid w:val="00517C94"/>
    <w:rsid w:val="0052030D"/>
    <w:rsid w:val="00520867"/>
    <w:rsid w:val="00521AAD"/>
    <w:rsid w:val="00521AB1"/>
    <w:rsid w:val="00521D66"/>
    <w:rsid w:val="00521F3D"/>
    <w:rsid w:val="00522BCB"/>
    <w:rsid w:val="00522C07"/>
    <w:rsid w:val="0052336B"/>
    <w:rsid w:val="00523839"/>
    <w:rsid w:val="00523E59"/>
    <w:rsid w:val="00523F26"/>
    <w:rsid w:val="0052419A"/>
    <w:rsid w:val="0052421A"/>
    <w:rsid w:val="0052462D"/>
    <w:rsid w:val="00524DEB"/>
    <w:rsid w:val="00524FFB"/>
    <w:rsid w:val="0052517B"/>
    <w:rsid w:val="00525385"/>
    <w:rsid w:val="0052551E"/>
    <w:rsid w:val="0052557F"/>
    <w:rsid w:val="00525743"/>
    <w:rsid w:val="00525F0E"/>
    <w:rsid w:val="005262B1"/>
    <w:rsid w:val="005264E0"/>
    <w:rsid w:val="0052651F"/>
    <w:rsid w:val="0052684C"/>
    <w:rsid w:val="00526A90"/>
    <w:rsid w:val="00527113"/>
    <w:rsid w:val="0052723E"/>
    <w:rsid w:val="005272E7"/>
    <w:rsid w:val="005273DE"/>
    <w:rsid w:val="005274DB"/>
    <w:rsid w:val="00527E59"/>
    <w:rsid w:val="00530271"/>
    <w:rsid w:val="00530356"/>
    <w:rsid w:val="005303CF"/>
    <w:rsid w:val="0053057B"/>
    <w:rsid w:val="0053077B"/>
    <w:rsid w:val="00530909"/>
    <w:rsid w:val="00530A9F"/>
    <w:rsid w:val="00530CBA"/>
    <w:rsid w:val="00531015"/>
    <w:rsid w:val="00531585"/>
    <w:rsid w:val="00531718"/>
    <w:rsid w:val="0053176C"/>
    <w:rsid w:val="005318FF"/>
    <w:rsid w:val="00531C45"/>
    <w:rsid w:val="00531F42"/>
    <w:rsid w:val="00532071"/>
    <w:rsid w:val="0053219D"/>
    <w:rsid w:val="00532242"/>
    <w:rsid w:val="005324ED"/>
    <w:rsid w:val="0053293F"/>
    <w:rsid w:val="00532A5A"/>
    <w:rsid w:val="00532C28"/>
    <w:rsid w:val="00532D21"/>
    <w:rsid w:val="005330AE"/>
    <w:rsid w:val="00533732"/>
    <w:rsid w:val="005337F7"/>
    <w:rsid w:val="00533C23"/>
    <w:rsid w:val="00533CA6"/>
    <w:rsid w:val="00533D31"/>
    <w:rsid w:val="00533E92"/>
    <w:rsid w:val="005342CD"/>
    <w:rsid w:val="0053439E"/>
    <w:rsid w:val="00534518"/>
    <w:rsid w:val="0053481E"/>
    <w:rsid w:val="00534837"/>
    <w:rsid w:val="00534ACB"/>
    <w:rsid w:val="00534C27"/>
    <w:rsid w:val="00534E36"/>
    <w:rsid w:val="005352F5"/>
    <w:rsid w:val="005354A8"/>
    <w:rsid w:val="00535AB6"/>
    <w:rsid w:val="0053604C"/>
    <w:rsid w:val="00536198"/>
    <w:rsid w:val="0053677D"/>
    <w:rsid w:val="00536FF6"/>
    <w:rsid w:val="00537BF2"/>
    <w:rsid w:val="0054038E"/>
    <w:rsid w:val="0054042E"/>
    <w:rsid w:val="00540C88"/>
    <w:rsid w:val="00540DF7"/>
    <w:rsid w:val="0054108F"/>
    <w:rsid w:val="00541340"/>
    <w:rsid w:val="0054173B"/>
    <w:rsid w:val="00541B9E"/>
    <w:rsid w:val="00541BE7"/>
    <w:rsid w:val="00542225"/>
    <w:rsid w:val="00542288"/>
    <w:rsid w:val="005426B5"/>
    <w:rsid w:val="005427BC"/>
    <w:rsid w:val="00542AD4"/>
    <w:rsid w:val="00542CD4"/>
    <w:rsid w:val="0054352F"/>
    <w:rsid w:val="00543801"/>
    <w:rsid w:val="00543E23"/>
    <w:rsid w:val="00543E4B"/>
    <w:rsid w:val="0054406F"/>
    <w:rsid w:val="005445D7"/>
    <w:rsid w:val="005446C4"/>
    <w:rsid w:val="00544B8C"/>
    <w:rsid w:val="005457D8"/>
    <w:rsid w:val="00545828"/>
    <w:rsid w:val="00545C8F"/>
    <w:rsid w:val="00545EC0"/>
    <w:rsid w:val="00545FB8"/>
    <w:rsid w:val="005463DD"/>
    <w:rsid w:val="0054646B"/>
    <w:rsid w:val="005467E6"/>
    <w:rsid w:val="00546B51"/>
    <w:rsid w:val="00546BE5"/>
    <w:rsid w:val="00546C4C"/>
    <w:rsid w:val="00547154"/>
    <w:rsid w:val="005475D6"/>
    <w:rsid w:val="0054762D"/>
    <w:rsid w:val="00547ACD"/>
    <w:rsid w:val="005501DB"/>
    <w:rsid w:val="00550A49"/>
    <w:rsid w:val="00550C1B"/>
    <w:rsid w:val="00550DE6"/>
    <w:rsid w:val="00551333"/>
    <w:rsid w:val="005513A8"/>
    <w:rsid w:val="0055159E"/>
    <w:rsid w:val="005517EA"/>
    <w:rsid w:val="00551888"/>
    <w:rsid w:val="0055232D"/>
    <w:rsid w:val="0055260D"/>
    <w:rsid w:val="00552796"/>
    <w:rsid w:val="00553033"/>
    <w:rsid w:val="00553503"/>
    <w:rsid w:val="00553A12"/>
    <w:rsid w:val="00553AD4"/>
    <w:rsid w:val="00553CC8"/>
    <w:rsid w:val="00553E84"/>
    <w:rsid w:val="00554057"/>
    <w:rsid w:val="005543E7"/>
    <w:rsid w:val="00555543"/>
    <w:rsid w:val="005555DD"/>
    <w:rsid w:val="00555974"/>
    <w:rsid w:val="00556109"/>
    <w:rsid w:val="00556278"/>
    <w:rsid w:val="00556385"/>
    <w:rsid w:val="005563B4"/>
    <w:rsid w:val="0055641A"/>
    <w:rsid w:val="0055649D"/>
    <w:rsid w:val="00556B1E"/>
    <w:rsid w:val="0055700C"/>
    <w:rsid w:val="005576C3"/>
    <w:rsid w:val="005579E8"/>
    <w:rsid w:val="00557A2C"/>
    <w:rsid w:val="00557FEB"/>
    <w:rsid w:val="00560465"/>
    <w:rsid w:val="0056082A"/>
    <w:rsid w:val="00560AF6"/>
    <w:rsid w:val="00560B5A"/>
    <w:rsid w:val="00560E9C"/>
    <w:rsid w:val="0056114C"/>
    <w:rsid w:val="0056142F"/>
    <w:rsid w:val="00561B59"/>
    <w:rsid w:val="00561B7A"/>
    <w:rsid w:val="00561BD0"/>
    <w:rsid w:val="00561BF2"/>
    <w:rsid w:val="00561CAC"/>
    <w:rsid w:val="00561DA8"/>
    <w:rsid w:val="00562187"/>
    <w:rsid w:val="0056257C"/>
    <w:rsid w:val="0056265D"/>
    <w:rsid w:val="00562907"/>
    <w:rsid w:val="00562C35"/>
    <w:rsid w:val="00562D6D"/>
    <w:rsid w:val="00562EB9"/>
    <w:rsid w:val="00563442"/>
    <w:rsid w:val="005637F7"/>
    <w:rsid w:val="005638B9"/>
    <w:rsid w:val="0056392B"/>
    <w:rsid w:val="0056397E"/>
    <w:rsid w:val="00563C30"/>
    <w:rsid w:val="00563FF2"/>
    <w:rsid w:val="00564708"/>
    <w:rsid w:val="00564845"/>
    <w:rsid w:val="00564C29"/>
    <w:rsid w:val="00564D2B"/>
    <w:rsid w:val="00564E64"/>
    <w:rsid w:val="005659D2"/>
    <w:rsid w:val="00566164"/>
    <w:rsid w:val="00566402"/>
    <w:rsid w:val="00566967"/>
    <w:rsid w:val="00567AB2"/>
    <w:rsid w:val="00567D8F"/>
    <w:rsid w:val="005702E8"/>
    <w:rsid w:val="005704A2"/>
    <w:rsid w:val="00570533"/>
    <w:rsid w:val="00570E90"/>
    <w:rsid w:val="00570E9E"/>
    <w:rsid w:val="005712EB"/>
    <w:rsid w:val="0057143B"/>
    <w:rsid w:val="005714F6"/>
    <w:rsid w:val="0057174E"/>
    <w:rsid w:val="00571BB6"/>
    <w:rsid w:val="00571C87"/>
    <w:rsid w:val="00571DB3"/>
    <w:rsid w:val="00571F11"/>
    <w:rsid w:val="0057206E"/>
    <w:rsid w:val="0057253A"/>
    <w:rsid w:val="00572658"/>
    <w:rsid w:val="005726CF"/>
    <w:rsid w:val="00572995"/>
    <w:rsid w:val="00572A88"/>
    <w:rsid w:val="00573518"/>
    <w:rsid w:val="005736B5"/>
    <w:rsid w:val="00573B59"/>
    <w:rsid w:val="00573D64"/>
    <w:rsid w:val="00574050"/>
    <w:rsid w:val="0057423A"/>
    <w:rsid w:val="0057428C"/>
    <w:rsid w:val="0057441B"/>
    <w:rsid w:val="00574827"/>
    <w:rsid w:val="005748EA"/>
    <w:rsid w:val="005748FE"/>
    <w:rsid w:val="00574DE4"/>
    <w:rsid w:val="005755F9"/>
    <w:rsid w:val="005756EC"/>
    <w:rsid w:val="0057592A"/>
    <w:rsid w:val="00576BB3"/>
    <w:rsid w:val="00576CC6"/>
    <w:rsid w:val="00577303"/>
    <w:rsid w:val="0057793C"/>
    <w:rsid w:val="00577AE1"/>
    <w:rsid w:val="00577ED7"/>
    <w:rsid w:val="00577FCE"/>
    <w:rsid w:val="00580039"/>
    <w:rsid w:val="0058029A"/>
    <w:rsid w:val="0058035C"/>
    <w:rsid w:val="00580669"/>
    <w:rsid w:val="00580830"/>
    <w:rsid w:val="00580F3A"/>
    <w:rsid w:val="00581021"/>
    <w:rsid w:val="00581F0A"/>
    <w:rsid w:val="00582083"/>
    <w:rsid w:val="00582238"/>
    <w:rsid w:val="005824A4"/>
    <w:rsid w:val="005826F8"/>
    <w:rsid w:val="0058276F"/>
    <w:rsid w:val="00582845"/>
    <w:rsid w:val="00582C9B"/>
    <w:rsid w:val="00583073"/>
    <w:rsid w:val="00583185"/>
    <w:rsid w:val="005831E9"/>
    <w:rsid w:val="005833B4"/>
    <w:rsid w:val="00583586"/>
    <w:rsid w:val="0058366C"/>
    <w:rsid w:val="0058390F"/>
    <w:rsid w:val="00583F6C"/>
    <w:rsid w:val="005840DE"/>
    <w:rsid w:val="005841C9"/>
    <w:rsid w:val="005846C3"/>
    <w:rsid w:val="0058478A"/>
    <w:rsid w:val="005847C2"/>
    <w:rsid w:val="00584942"/>
    <w:rsid w:val="00584BD8"/>
    <w:rsid w:val="00584C16"/>
    <w:rsid w:val="00585483"/>
    <w:rsid w:val="00585574"/>
    <w:rsid w:val="0058587A"/>
    <w:rsid w:val="00585C29"/>
    <w:rsid w:val="00585DD3"/>
    <w:rsid w:val="00585E97"/>
    <w:rsid w:val="00586303"/>
    <w:rsid w:val="00586DAF"/>
    <w:rsid w:val="00586F2D"/>
    <w:rsid w:val="005872AE"/>
    <w:rsid w:val="0059134E"/>
    <w:rsid w:val="00591CA9"/>
    <w:rsid w:val="00592679"/>
    <w:rsid w:val="00592811"/>
    <w:rsid w:val="00592C09"/>
    <w:rsid w:val="00592CFC"/>
    <w:rsid w:val="00593161"/>
    <w:rsid w:val="005931EE"/>
    <w:rsid w:val="005932B3"/>
    <w:rsid w:val="0059341B"/>
    <w:rsid w:val="005935DA"/>
    <w:rsid w:val="00593697"/>
    <w:rsid w:val="0059381B"/>
    <w:rsid w:val="00593C02"/>
    <w:rsid w:val="00593C70"/>
    <w:rsid w:val="005940CE"/>
    <w:rsid w:val="005945EB"/>
    <w:rsid w:val="00594A86"/>
    <w:rsid w:val="00594F01"/>
    <w:rsid w:val="00595316"/>
    <w:rsid w:val="00595A1B"/>
    <w:rsid w:val="00595F2D"/>
    <w:rsid w:val="00595F93"/>
    <w:rsid w:val="005960BD"/>
    <w:rsid w:val="0059658B"/>
    <w:rsid w:val="005966AF"/>
    <w:rsid w:val="0059684A"/>
    <w:rsid w:val="00597409"/>
    <w:rsid w:val="00597522"/>
    <w:rsid w:val="005977B4"/>
    <w:rsid w:val="00597B8F"/>
    <w:rsid w:val="00597BFF"/>
    <w:rsid w:val="005A0302"/>
    <w:rsid w:val="005A03D0"/>
    <w:rsid w:val="005A08E0"/>
    <w:rsid w:val="005A1255"/>
    <w:rsid w:val="005A1346"/>
    <w:rsid w:val="005A1403"/>
    <w:rsid w:val="005A15E7"/>
    <w:rsid w:val="005A1687"/>
    <w:rsid w:val="005A173F"/>
    <w:rsid w:val="005A1B05"/>
    <w:rsid w:val="005A1BBE"/>
    <w:rsid w:val="005A1CA6"/>
    <w:rsid w:val="005A200A"/>
    <w:rsid w:val="005A21B1"/>
    <w:rsid w:val="005A228F"/>
    <w:rsid w:val="005A2690"/>
    <w:rsid w:val="005A2FCA"/>
    <w:rsid w:val="005A3174"/>
    <w:rsid w:val="005A3330"/>
    <w:rsid w:val="005A34C2"/>
    <w:rsid w:val="005A3ADC"/>
    <w:rsid w:val="005A3E3B"/>
    <w:rsid w:val="005A4003"/>
    <w:rsid w:val="005A4379"/>
    <w:rsid w:val="005A43CF"/>
    <w:rsid w:val="005A49CE"/>
    <w:rsid w:val="005A4D5E"/>
    <w:rsid w:val="005A59E6"/>
    <w:rsid w:val="005A5B76"/>
    <w:rsid w:val="005A5C84"/>
    <w:rsid w:val="005A60CC"/>
    <w:rsid w:val="005A63BD"/>
    <w:rsid w:val="005A6571"/>
    <w:rsid w:val="005A6C16"/>
    <w:rsid w:val="005A71FA"/>
    <w:rsid w:val="005A7373"/>
    <w:rsid w:val="005A7749"/>
    <w:rsid w:val="005A7F17"/>
    <w:rsid w:val="005B06A3"/>
    <w:rsid w:val="005B0A02"/>
    <w:rsid w:val="005B12F2"/>
    <w:rsid w:val="005B1533"/>
    <w:rsid w:val="005B22DC"/>
    <w:rsid w:val="005B242A"/>
    <w:rsid w:val="005B2448"/>
    <w:rsid w:val="005B26EC"/>
    <w:rsid w:val="005B274F"/>
    <w:rsid w:val="005B27EC"/>
    <w:rsid w:val="005B28FC"/>
    <w:rsid w:val="005B2C20"/>
    <w:rsid w:val="005B2ED5"/>
    <w:rsid w:val="005B3110"/>
    <w:rsid w:val="005B33E5"/>
    <w:rsid w:val="005B391D"/>
    <w:rsid w:val="005B39CB"/>
    <w:rsid w:val="005B39ED"/>
    <w:rsid w:val="005B3C2D"/>
    <w:rsid w:val="005B4380"/>
    <w:rsid w:val="005B4858"/>
    <w:rsid w:val="005B4DB0"/>
    <w:rsid w:val="005B4DD6"/>
    <w:rsid w:val="005B521B"/>
    <w:rsid w:val="005B527A"/>
    <w:rsid w:val="005B5497"/>
    <w:rsid w:val="005B57F9"/>
    <w:rsid w:val="005B5B57"/>
    <w:rsid w:val="005B5C30"/>
    <w:rsid w:val="005B60C2"/>
    <w:rsid w:val="005B65BF"/>
    <w:rsid w:val="005B67CD"/>
    <w:rsid w:val="005B7238"/>
    <w:rsid w:val="005B79F6"/>
    <w:rsid w:val="005B7B0F"/>
    <w:rsid w:val="005B7ED8"/>
    <w:rsid w:val="005C00DB"/>
    <w:rsid w:val="005C04FA"/>
    <w:rsid w:val="005C06BA"/>
    <w:rsid w:val="005C080D"/>
    <w:rsid w:val="005C0860"/>
    <w:rsid w:val="005C0F92"/>
    <w:rsid w:val="005C12F8"/>
    <w:rsid w:val="005C1302"/>
    <w:rsid w:val="005C163E"/>
    <w:rsid w:val="005C2C03"/>
    <w:rsid w:val="005C2D34"/>
    <w:rsid w:val="005C2DF9"/>
    <w:rsid w:val="005C2E72"/>
    <w:rsid w:val="005C3C01"/>
    <w:rsid w:val="005C4401"/>
    <w:rsid w:val="005C4B1B"/>
    <w:rsid w:val="005C4D45"/>
    <w:rsid w:val="005C4DE9"/>
    <w:rsid w:val="005C4E0F"/>
    <w:rsid w:val="005C4EC4"/>
    <w:rsid w:val="005C5101"/>
    <w:rsid w:val="005C57D3"/>
    <w:rsid w:val="005C58F8"/>
    <w:rsid w:val="005C5EB7"/>
    <w:rsid w:val="005C619B"/>
    <w:rsid w:val="005C62D0"/>
    <w:rsid w:val="005C68D8"/>
    <w:rsid w:val="005C6D2B"/>
    <w:rsid w:val="005C6F3F"/>
    <w:rsid w:val="005C712F"/>
    <w:rsid w:val="005C7201"/>
    <w:rsid w:val="005C730A"/>
    <w:rsid w:val="005C7537"/>
    <w:rsid w:val="005C7736"/>
    <w:rsid w:val="005C77DB"/>
    <w:rsid w:val="005C7A0A"/>
    <w:rsid w:val="005C7A8F"/>
    <w:rsid w:val="005D01C5"/>
    <w:rsid w:val="005D060E"/>
    <w:rsid w:val="005D072F"/>
    <w:rsid w:val="005D0945"/>
    <w:rsid w:val="005D0D82"/>
    <w:rsid w:val="005D0EA2"/>
    <w:rsid w:val="005D13DE"/>
    <w:rsid w:val="005D1BAE"/>
    <w:rsid w:val="005D1D74"/>
    <w:rsid w:val="005D1F79"/>
    <w:rsid w:val="005D2B26"/>
    <w:rsid w:val="005D2BD7"/>
    <w:rsid w:val="005D2FB9"/>
    <w:rsid w:val="005D3272"/>
    <w:rsid w:val="005D3C11"/>
    <w:rsid w:val="005D3D39"/>
    <w:rsid w:val="005D3E0C"/>
    <w:rsid w:val="005D402D"/>
    <w:rsid w:val="005D41F1"/>
    <w:rsid w:val="005D4512"/>
    <w:rsid w:val="005D452F"/>
    <w:rsid w:val="005D4E5B"/>
    <w:rsid w:val="005D4F66"/>
    <w:rsid w:val="005D51D8"/>
    <w:rsid w:val="005D55AF"/>
    <w:rsid w:val="005D58EC"/>
    <w:rsid w:val="005D5BAE"/>
    <w:rsid w:val="005D5E5D"/>
    <w:rsid w:val="005D625C"/>
    <w:rsid w:val="005D629B"/>
    <w:rsid w:val="005D7128"/>
    <w:rsid w:val="005D7192"/>
    <w:rsid w:val="005D76FC"/>
    <w:rsid w:val="005D7896"/>
    <w:rsid w:val="005D7CB0"/>
    <w:rsid w:val="005D7FDD"/>
    <w:rsid w:val="005E023B"/>
    <w:rsid w:val="005E0353"/>
    <w:rsid w:val="005E041F"/>
    <w:rsid w:val="005E053F"/>
    <w:rsid w:val="005E080E"/>
    <w:rsid w:val="005E0BA6"/>
    <w:rsid w:val="005E1478"/>
    <w:rsid w:val="005E182E"/>
    <w:rsid w:val="005E1B8D"/>
    <w:rsid w:val="005E1CE9"/>
    <w:rsid w:val="005E22A9"/>
    <w:rsid w:val="005E2541"/>
    <w:rsid w:val="005E2A5F"/>
    <w:rsid w:val="005E2DB5"/>
    <w:rsid w:val="005E2ECD"/>
    <w:rsid w:val="005E2EE4"/>
    <w:rsid w:val="005E3346"/>
    <w:rsid w:val="005E3A2A"/>
    <w:rsid w:val="005E3CCF"/>
    <w:rsid w:val="005E3E62"/>
    <w:rsid w:val="005E3F4A"/>
    <w:rsid w:val="005E401C"/>
    <w:rsid w:val="005E4298"/>
    <w:rsid w:val="005E43D3"/>
    <w:rsid w:val="005E4635"/>
    <w:rsid w:val="005E472B"/>
    <w:rsid w:val="005E49DF"/>
    <w:rsid w:val="005E508A"/>
    <w:rsid w:val="005E57D0"/>
    <w:rsid w:val="005E5B2C"/>
    <w:rsid w:val="005E5B2E"/>
    <w:rsid w:val="005E6257"/>
    <w:rsid w:val="005E65F0"/>
    <w:rsid w:val="005E6671"/>
    <w:rsid w:val="005E66D1"/>
    <w:rsid w:val="005E67E4"/>
    <w:rsid w:val="005E7137"/>
    <w:rsid w:val="005E76C5"/>
    <w:rsid w:val="005E790C"/>
    <w:rsid w:val="005E7976"/>
    <w:rsid w:val="005E7C80"/>
    <w:rsid w:val="005E7D73"/>
    <w:rsid w:val="005F00D1"/>
    <w:rsid w:val="005F0220"/>
    <w:rsid w:val="005F0EBC"/>
    <w:rsid w:val="005F0ED5"/>
    <w:rsid w:val="005F116F"/>
    <w:rsid w:val="005F1660"/>
    <w:rsid w:val="005F16FC"/>
    <w:rsid w:val="005F182D"/>
    <w:rsid w:val="005F1E70"/>
    <w:rsid w:val="005F24A6"/>
    <w:rsid w:val="005F2500"/>
    <w:rsid w:val="005F26FB"/>
    <w:rsid w:val="005F2B93"/>
    <w:rsid w:val="005F317D"/>
    <w:rsid w:val="005F32E0"/>
    <w:rsid w:val="005F3360"/>
    <w:rsid w:val="005F367A"/>
    <w:rsid w:val="005F36C1"/>
    <w:rsid w:val="005F3796"/>
    <w:rsid w:val="005F38AB"/>
    <w:rsid w:val="005F39A0"/>
    <w:rsid w:val="005F4119"/>
    <w:rsid w:val="005F428B"/>
    <w:rsid w:val="005F4399"/>
    <w:rsid w:val="005F4848"/>
    <w:rsid w:val="005F4F72"/>
    <w:rsid w:val="005F5840"/>
    <w:rsid w:val="005F5BC3"/>
    <w:rsid w:val="005F5D13"/>
    <w:rsid w:val="005F5D43"/>
    <w:rsid w:val="005F64E5"/>
    <w:rsid w:val="005F6726"/>
    <w:rsid w:val="005F690B"/>
    <w:rsid w:val="005F6F5B"/>
    <w:rsid w:val="005F7756"/>
    <w:rsid w:val="005F7B66"/>
    <w:rsid w:val="005F7CAC"/>
    <w:rsid w:val="005F7E0D"/>
    <w:rsid w:val="005F7FC4"/>
    <w:rsid w:val="0060005D"/>
    <w:rsid w:val="0060007B"/>
    <w:rsid w:val="006001B6"/>
    <w:rsid w:val="006001CB"/>
    <w:rsid w:val="006002F8"/>
    <w:rsid w:val="00601365"/>
    <w:rsid w:val="006017AD"/>
    <w:rsid w:val="00601D30"/>
    <w:rsid w:val="00601D8C"/>
    <w:rsid w:val="00602159"/>
    <w:rsid w:val="006024E6"/>
    <w:rsid w:val="00602598"/>
    <w:rsid w:val="006025FF"/>
    <w:rsid w:val="00602758"/>
    <w:rsid w:val="00602A2C"/>
    <w:rsid w:val="0060307C"/>
    <w:rsid w:val="00603768"/>
    <w:rsid w:val="00603A01"/>
    <w:rsid w:val="00603CDB"/>
    <w:rsid w:val="00603D84"/>
    <w:rsid w:val="00603F42"/>
    <w:rsid w:val="00604073"/>
    <w:rsid w:val="006041D4"/>
    <w:rsid w:val="006042DF"/>
    <w:rsid w:val="006044F8"/>
    <w:rsid w:val="006047AE"/>
    <w:rsid w:val="006048F4"/>
    <w:rsid w:val="00604A52"/>
    <w:rsid w:val="00604D94"/>
    <w:rsid w:val="00604EB5"/>
    <w:rsid w:val="00605176"/>
    <w:rsid w:val="00605398"/>
    <w:rsid w:val="00605495"/>
    <w:rsid w:val="00605709"/>
    <w:rsid w:val="00605F17"/>
    <w:rsid w:val="00606138"/>
    <w:rsid w:val="00606337"/>
    <w:rsid w:val="006065E5"/>
    <w:rsid w:val="006067A7"/>
    <w:rsid w:val="00606895"/>
    <w:rsid w:val="00606D07"/>
    <w:rsid w:val="00607181"/>
    <w:rsid w:val="006071BA"/>
    <w:rsid w:val="00607409"/>
    <w:rsid w:val="00607518"/>
    <w:rsid w:val="00607DF2"/>
    <w:rsid w:val="00607E19"/>
    <w:rsid w:val="00607E8D"/>
    <w:rsid w:val="00607EAC"/>
    <w:rsid w:val="00607F81"/>
    <w:rsid w:val="006104CA"/>
    <w:rsid w:val="00610503"/>
    <w:rsid w:val="006112D5"/>
    <w:rsid w:val="00611302"/>
    <w:rsid w:val="00611333"/>
    <w:rsid w:val="006114B0"/>
    <w:rsid w:val="006115B2"/>
    <w:rsid w:val="0061160D"/>
    <w:rsid w:val="0061175D"/>
    <w:rsid w:val="0061199E"/>
    <w:rsid w:val="00611AA6"/>
    <w:rsid w:val="006121C5"/>
    <w:rsid w:val="0061273D"/>
    <w:rsid w:val="006128CC"/>
    <w:rsid w:val="00612E00"/>
    <w:rsid w:val="00612E66"/>
    <w:rsid w:val="0061302E"/>
    <w:rsid w:val="00613058"/>
    <w:rsid w:val="00613113"/>
    <w:rsid w:val="006134CB"/>
    <w:rsid w:val="00613591"/>
    <w:rsid w:val="00613C69"/>
    <w:rsid w:val="00613F85"/>
    <w:rsid w:val="0061466D"/>
    <w:rsid w:val="00614731"/>
    <w:rsid w:val="00614B35"/>
    <w:rsid w:val="00614F04"/>
    <w:rsid w:val="00615016"/>
    <w:rsid w:val="006153E4"/>
    <w:rsid w:val="00615909"/>
    <w:rsid w:val="00615A73"/>
    <w:rsid w:val="00615EAE"/>
    <w:rsid w:val="00615FAE"/>
    <w:rsid w:val="0061681B"/>
    <w:rsid w:val="00616D3B"/>
    <w:rsid w:val="00617172"/>
    <w:rsid w:val="0061743F"/>
    <w:rsid w:val="00617AFC"/>
    <w:rsid w:val="006205AD"/>
    <w:rsid w:val="00620641"/>
    <w:rsid w:val="00620788"/>
    <w:rsid w:val="00620BA9"/>
    <w:rsid w:val="00620C5B"/>
    <w:rsid w:val="00620FD6"/>
    <w:rsid w:val="00621047"/>
    <w:rsid w:val="00621150"/>
    <w:rsid w:val="006218DB"/>
    <w:rsid w:val="0062198B"/>
    <w:rsid w:val="00621B10"/>
    <w:rsid w:val="00621F18"/>
    <w:rsid w:val="006220E8"/>
    <w:rsid w:val="00622453"/>
    <w:rsid w:val="00622EC1"/>
    <w:rsid w:val="00622F00"/>
    <w:rsid w:val="00622FE1"/>
    <w:rsid w:val="00623312"/>
    <w:rsid w:val="00623329"/>
    <w:rsid w:val="00623530"/>
    <w:rsid w:val="00623B4C"/>
    <w:rsid w:val="00623CD7"/>
    <w:rsid w:val="006240BB"/>
    <w:rsid w:val="00624CA0"/>
    <w:rsid w:val="00625129"/>
    <w:rsid w:val="0062544D"/>
    <w:rsid w:val="00625A30"/>
    <w:rsid w:val="00625B5E"/>
    <w:rsid w:val="006262B6"/>
    <w:rsid w:val="006262BC"/>
    <w:rsid w:val="00626388"/>
    <w:rsid w:val="00626993"/>
    <w:rsid w:val="00626DF7"/>
    <w:rsid w:val="00626F0C"/>
    <w:rsid w:val="006272C6"/>
    <w:rsid w:val="006274BA"/>
    <w:rsid w:val="00627563"/>
    <w:rsid w:val="006276D7"/>
    <w:rsid w:val="006278A2"/>
    <w:rsid w:val="006278EA"/>
    <w:rsid w:val="00627A03"/>
    <w:rsid w:val="00627ABB"/>
    <w:rsid w:val="00627CD7"/>
    <w:rsid w:val="0063011A"/>
    <w:rsid w:val="006302BF"/>
    <w:rsid w:val="00630382"/>
    <w:rsid w:val="0063041C"/>
    <w:rsid w:val="0063098D"/>
    <w:rsid w:val="00630DB0"/>
    <w:rsid w:val="006314D5"/>
    <w:rsid w:val="0063164A"/>
    <w:rsid w:val="00631F86"/>
    <w:rsid w:val="00632542"/>
    <w:rsid w:val="006326AA"/>
    <w:rsid w:val="00632E01"/>
    <w:rsid w:val="00633148"/>
    <w:rsid w:val="00633400"/>
    <w:rsid w:val="006339AD"/>
    <w:rsid w:val="006341A7"/>
    <w:rsid w:val="00634610"/>
    <w:rsid w:val="00634632"/>
    <w:rsid w:val="006347D1"/>
    <w:rsid w:val="00634B5C"/>
    <w:rsid w:val="00634D53"/>
    <w:rsid w:val="00634E10"/>
    <w:rsid w:val="00634FE1"/>
    <w:rsid w:val="006351C9"/>
    <w:rsid w:val="0063565E"/>
    <w:rsid w:val="00635827"/>
    <w:rsid w:val="006362FF"/>
    <w:rsid w:val="006365F7"/>
    <w:rsid w:val="006367C9"/>
    <w:rsid w:val="00636A7B"/>
    <w:rsid w:val="00636B46"/>
    <w:rsid w:val="00636F75"/>
    <w:rsid w:val="0063720A"/>
    <w:rsid w:val="006374DC"/>
    <w:rsid w:val="006377BF"/>
    <w:rsid w:val="00637F69"/>
    <w:rsid w:val="0064060E"/>
    <w:rsid w:val="006408EC"/>
    <w:rsid w:val="00640AC7"/>
    <w:rsid w:val="00640B7D"/>
    <w:rsid w:val="00641049"/>
    <w:rsid w:val="00641172"/>
    <w:rsid w:val="006413E1"/>
    <w:rsid w:val="006423DF"/>
    <w:rsid w:val="006425C0"/>
    <w:rsid w:val="00642D16"/>
    <w:rsid w:val="00642DFF"/>
    <w:rsid w:val="0064355C"/>
    <w:rsid w:val="00643629"/>
    <w:rsid w:val="00643783"/>
    <w:rsid w:val="00643E0F"/>
    <w:rsid w:val="00644157"/>
    <w:rsid w:val="00644476"/>
    <w:rsid w:val="006444E4"/>
    <w:rsid w:val="006445CA"/>
    <w:rsid w:val="006445EF"/>
    <w:rsid w:val="00644BC0"/>
    <w:rsid w:val="00644E47"/>
    <w:rsid w:val="006457DD"/>
    <w:rsid w:val="00645959"/>
    <w:rsid w:val="00645B10"/>
    <w:rsid w:val="00645B3B"/>
    <w:rsid w:val="00645B3E"/>
    <w:rsid w:val="0064615E"/>
    <w:rsid w:val="006461FF"/>
    <w:rsid w:val="00646437"/>
    <w:rsid w:val="006464C5"/>
    <w:rsid w:val="0064665D"/>
    <w:rsid w:val="00646792"/>
    <w:rsid w:val="006468CA"/>
    <w:rsid w:val="00646D21"/>
    <w:rsid w:val="00646D99"/>
    <w:rsid w:val="00647143"/>
    <w:rsid w:val="006472AA"/>
    <w:rsid w:val="00647D7F"/>
    <w:rsid w:val="00647DE9"/>
    <w:rsid w:val="00647E1F"/>
    <w:rsid w:val="00647EC3"/>
    <w:rsid w:val="0065000E"/>
    <w:rsid w:val="0065045A"/>
    <w:rsid w:val="00650682"/>
    <w:rsid w:val="006508CA"/>
    <w:rsid w:val="006508F5"/>
    <w:rsid w:val="00650F67"/>
    <w:rsid w:val="006510D1"/>
    <w:rsid w:val="006514AA"/>
    <w:rsid w:val="0065181C"/>
    <w:rsid w:val="0065183E"/>
    <w:rsid w:val="006518DA"/>
    <w:rsid w:val="00651A24"/>
    <w:rsid w:val="00651BE9"/>
    <w:rsid w:val="006521B4"/>
    <w:rsid w:val="0065233D"/>
    <w:rsid w:val="006523B9"/>
    <w:rsid w:val="00652CD9"/>
    <w:rsid w:val="00652F4F"/>
    <w:rsid w:val="006544C7"/>
    <w:rsid w:val="006549E3"/>
    <w:rsid w:val="00654D9C"/>
    <w:rsid w:val="00655102"/>
    <w:rsid w:val="0065539B"/>
    <w:rsid w:val="0065545E"/>
    <w:rsid w:val="00655462"/>
    <w:rsid w:val="00655A61"/>
    <w:rsid w:val="006560DE"/>
    <w:rsid w:val="00656105"/>
    <w:rsid w:val="0065611D"/>
    <w:rsid w:val="00656188"/>
    <w:rsid w:val="00656475"/>
    <w:rsid w:val="00656A13"/>
    <w:rsid w:val="00656EA2"/>
    <w:rsid w:val="00657ECC"/>
    <w:rsid w:val="006601E9"/>
    <w:rsid w:val="00660687"/>
    <w:rsid w:val="00660E24"/>
    <w:rsid w:val="006612D3"/>
    <w:rsid w:val="0066139C"/>
    <w:rsid w:val="006615F2"/>
    <w:rsid w:val="00661AD3"/>
    <w:rsid w:val="00661B35"/>
    <w:rsid w:val="00661B39"/>
    <w:rsid w:val="00661CB6"/>
    <w:rsid w:val="00661D71"/>
    <w:rsid w:val="0066202D"/>
    <w:rsid w:val="00662EC5"/>
    <w:rsid w:val="00662ED1"/>
    <w:rsid w:val="006636D4"/>
    <w:rsid w:val="00663753"/>
    <w:rsid w:val="00663760"/>
    <w:rsid w:val="00663881"/>
    <w:rsid w:val="006644ED"/>
    <w:rsid w:val="00664713"/>
    <w:rsid w:val="00664B18"/>
    <w:rsid w:val="00664D3B"/>
    <w:rsid w:val="00664E09"/>
    <w:rsid w:val="00664E11"/>
    <w:rsid w:val="00665386"/>
    <w:rsid w:val="00665866"/>
    <w:rsid w:val="00665B54"/>
    <w:rsid w:val="00666135"/>
    <w:rsid w:val="006661C0"/>
    <w:rsid w:val="00666635"/>
    <w:rsid w:val="00666F09"/>
    <w:rsid w:val="00667329"/>
    <w:rsid w:val="00667931"/>
    <w:rsid w:val="0066799A"/>
    <w:rsid w:val="00667A92"/>
    <w:rsid w:val="00667C7A"/>
    <w:rsid w:val="00670450"/>
    <w:rsid w:val="00670AFE"/>
    <w:rsid w:val="00670F4E"/>
    <w:rsid w:val="00671317"/>
    <w:rsid w:val="0067143E"/>
    <w:rsid w:val="006716D4"/>
    <w:rsid w:val="00671BF7"/>
    <w:rsid w:val="00671DA4"/>
    <w:rsid w:val="00671DEA"/>
    <w:rsid w:val="006721E6"/>
    <w:rsid w:val="00672299"/>
    <w:rsid w:val="00672C47"/>
    <w:rsid w:val="00673448"/>
    <w:rsid w:val="006737B0"/>
    <w:rsid w:val="00673F31"/>
    <w:rsid w:val="0067419D"/>
    <w:rsid w:val="006745B4"/>
    <w:rsid w:val="006746C4"/>
    <w:rsid w:val="00674A9F"/>
    <w:rsid w:val="00674ACE"/>
    <w:rsid w:val="00674CC6"/>
    <w:rsid w:val="00674E68"/>
    <w:rsid w:val="00674F86"/>
    <w:rsid w:val="00675065"/>
    <w:rsid w:val="0067528B"/>
    <w:rsid w:val="00675728"/>
    <w:rsid w:val="0067594F"/>
    <w:rsid w:val="00675D1C"/>
    <w:rsid w:val="00675D9B"/>
    <w:rsid w:val="0067605D"/>
    <w:rsid w:val="00676849"/>
    <w:rsid w:val="006772B5"/>
    <w:rsid w:val="0067767F"/>
    <w:rsid w:val="0067789E"/>
    <w:rsid w:val="00680754"/>
    <w:rsid w:val="006807BD"/>
    <w:rsid w:val="00680E62"/>
    <w:rsid w:val="00680E7E"/>
    <w:rsid w:val="00680F70"/>
    <w:rsid w:val="006818BE"/>
    <w:rsid w:val="00681BE3"/>
    <w:rsid w:val="00681C3B"/>
    <w:rsid w:val="006824E4"/>
    <w:rsid w:val="006827C3"/>
    <w:rsid w:val="00682DAB"/>
    <w:rsid w:val="00682E6E"/>
    <w:rsid w:val="00683385"/>
    <w:rsid w:val="0068393D"/>
    <w:rsid w:val="00683C7A"/>
    <w:rsid w:val="00683D03"/>
    <w:rsid w:val="00683FCD"/>
    <w:rsid w:val="00684AE2"/>
    <w:rsid w:val="00684DE0"/>
    <w:rsid w:val="00684FBC"/>
    <w:rsid w:val="00685118"/>
    <w:rsid w:val="006859DD"/>
    <w:rsid w:val="00685AC9"/>
    <w:rsid w:val="00685E00"/>
    <w:rsid w:val="00685FED"/>
    <w:rsid w:val="006860A2"/>
    <w:rsid w:val="006860CF"/>
    <w:rsid w:val="0068638F"/>
    <w:rsid w:val="0068649C"/>
    <w:rsid w:val="00686760"/>
    <w:rsid w:val="006867A2"/>
    <w:rsid w:val="00686CA3"/>
    <w:rsid w:val="00687404"/>
    <w:rsid w:val="00687822"/>
    <w:rsid w:val="00687A39"/>
    <w:rsid w:val="00687EE0"/>
    <w:rsid w:val="00687F94"/>
    <w:rsid w:val="00687F98"/>
    <w:rsid w:val="006900E4"/>
    <w:rsid w:val="0069083A"/>
    <w:rsid w:val="00690895"/>
    <w:rsid w:val="00691264"/>
    <w:rsid w:val="00691493"/>
    <w:rsid w:val="00691A21"/>
    <w:rsid w:val="00691B90"/>
    <w:rsid w:val="00691E4B"/>
    <w:rsid w:val="00692022"/>
    <w:rsid w:val="00692160"/>
    <w:rsid w:val="00692261"/>
    <w:rsid w:val="006925D8"/>
    <w:rsid w:val="006928B7"/>
    <w:rsid w:val="00692DE8"/>
    <w:rsid w:val="0069351C"/>
    <w:rsid w:val="0069398B"/>
    <w:rsid w:val="00693B00"/>
    <w:rsid w:val="00693C38"/>
    <w:rsid w:val="00693E3D"/>
    <w:rsid w:val="00693E70"/>
    <w:rsid w:val="0069434D"/>
    <w:rsid w:val="00694352"/>
    <w:rsid w:val="006944AE"/>
    <w:rsid w:val="00694BA4"/>
    <w:rsid w:val="00694DBC"/>
    <w:rsid w:val="00694FF6"/>
    <w:rsid w:val="006951FB"/>
    <w:rsid w:val="006952DA"/>
    <w:rsid w:val="00695573"/>
    <w:rsid w:val="0069561D"/>
    <w:rsid w:val="006956FA"/>
    <w:rsid w:val="006958F6"/>
    <w:rsid w:val="00695A0C"/>
    <w:rsid w:val="00696354"/>
    <w:rsid w:val="0069642A"/>
    <w:rsid w:val="00696812"/>
    <w:rsid w:val="00696C67"/>
    <w:rsid w:val="00696DE6"/>
    <w:rsid w:val="00696EF0"/>
    <w:rsid w:val="00697107"/>
    <w:rsid w:val="00697B94"/>
    <w:rsid w:val="00697C97"/>
    <w:rsid w:val="006A019F"/>
    <w:rsid w:val="006A054B"/>
    <w:rsid w:val="006A0976"/>
    <w:rsid w:val="006A0DF6"/>
    <w:rsid w:val="006A0E27"/>
    <w:rsid w:val="006A0FBC"/>
    <w:rsid w:val="006A118B"/>
    <w:rsid w:val="006A141E"/>
    <w:rsid w:val="006A1843"/>
    <w:rsid w:val="006A25EA"/>
    <w:rsid w:val="006A2C5D"/>
    <w:rsid w:val="006A2E61"/>
    <w:rsid w:val="006A2EB2"/>
    <w:rsid w:val="006A30A3"/>
    <w:rsid w:val="006A3257"/>
    <w:rsid w:val="006A3549"/>
    <w:rsid w:val="006A394E"/>
    <w:rsid w:val="006A3A82"/>
    <w:rsid w:val="006A3C0E"/>
    <w:rsid w:val="006A3F2D"/>
    <w:rsid w:val="006A40BF"/>
    <w:rsid w:val="006A412C"/>
    <w:rsid w:val="006A48CD"/>
    <w:rsid w:val="006A5088"/>
    <w:rsid w:val="006A5213"/>
    <w:rsid w:val="006A547D"/>
    <w:rsid w:val="006A55B6"/>
    <w:rsid w:val="006A5B2B"/>
    <w:rsid w:val="006A5D3C"/>
    <w:rsid w:val="006A6108"/>
    <w:rsid w:val="006A68B3"/>
    <w:rsid w:val="006A6969"/>
    <w:rsid w:val="006A7246"/>
    <w:rsid w:val="006A724A"/>
    <w:rsid w:val="006A7627"/>
    <w:rsid w:val="006A7642"/>
    <w:rsid w:val="006A7A09"/>
    <w:rsid w:val="006A7A1F"/>
    <w:rsid w:val="006A7C12"/>
    <w:rsid w:val="006B0033"/>
    <w:rsid w:val="006B08FE"/>
    <w:rsid w:val="006B097A"/>
    <w:rsid w:val="006B0B67"/>
    <w:rsid w:val="006B0F5F"/>
    <w:rsid w:val="006B1057"/>
    <w:rsid w:val="006B1371"/>
    <w:rsid w:val="006B1668"/>
    <w:rsid w:val="006B16E6"/>
    <w:rsid w:val="006B1D6E"/>
    <w:rsid w:val="006B220E"/>
    <w:rsid w:val="006B230C"/>
    <w:rsid w:val="006B280E"/>
    <w:rsid w:val="006B2A4A"/>
    <w:rsid w:val="006B3BE1"/>
    <w:rsid w:val="006B3C8A"/>
    <w:rsid w:val="006B3FA6"/>
    <w:rsid w:val="006B41F6"/>
    <w:rsid w:val="006B430F"/>
    <w:rsid w:val="006B454E"/>
    <w:rsid w:val="006B4A13"/>
    <w:rsid w:val="006B4BF5"/>
    <w:rsid w:val="006B581F"/>
    <w:rsid w:val="006B595C"/>
    <w:rsid w:val="006B5C27"/>
    <w:rsid w:val="006B5CF4"/>
    <w:rsid w:val="006B5FA4"/>
    <w:rsid w:val="006B5FCC"/>
    <w:rsid w:val="006B6119"/>
    <w:rsid w:val="006B633B"/>
    <w:rsid w:val="006B65B0"/>
    <w:rsid w:val="006B66A1"/>
    <w:rsid w:val="006B67B1"/>
    <w:rsid w:val="006B67B7"/>
    <w:rsid w:val="006B6C1F"/>
    <w:rsid w:val="006B6F4B"/>
    <w:rsid w:val="006B775E"/>
    <w:rsid w:val="006B7897"/>
    <w:rsid w:val="006B7B04"/>
    <w:rsid w:val="006B7B53"/>
    <w:rsid w:val="006B7B8E"/>
    <w:rsid w:val="006C0241"/>
    <w:rsid w:val="006C0BF6"/>
    <w:rsid w:val="006C0C97"/>
    <w:rsid w:val="006C0CD4"/>
    <w:rsid w:val="006C0DC5"/>
    <w:rsid w:val="006C1419"/>
    <w:rsid w:val="006C19C9"/>
    <w:rsid w:val="006C22C7"/>
    <w:rsid w:val="006C258F"/>
    <w:rsid w:val="006C2640"/>
    <w:rsid w:val="006C26FA"/>
    <w:rsid w:val="006C289D"/>
    <w:rsid w:val="006C2AF4"/>
    <w:rsid w:val="006C2B49"/>
    <w:rsid w:val="006C2C44"/>
    <w:rsid w:val="006C2F42"/>
    <w:rsid w:val="006C3070"/>
    <w:rsid w:val="006C38EB"/>
    <w:rsid w:val="006C3A2B"/>
    <w:rsid w:val="006C3E5E"/>
    <w:rsid w:val="006C467A"/>
    <w:rsid w:val="006C4C3E"/>
    <w:rsid w:val="006C5161"/>
    <w:rsid w:val="006C540C"/>
    <w:rsid w:val="006C5499"/>
    <w:rsid w:val="006C5526"/>
    <w:rsid w:val="006C56B5"/>
    <w:rsid w:val="006C57F9"/>
    <w:rsid w:val="006C5904"/>
    <w:rsid w:val="006C67FA"/>
    <w:rsid w:val="006C6B87"/>
    <w:rsid w:val="006C6CF8"/>
    <w:rsid w:val="006C715B"/>
    <w:rsid w:val="006C736A"/>
    <w:rsid w:val="006C7624"/>
    <w:rsid w:val="006C7A24"/>
    <w:rsid w:val="006C7A64"/>
    <w:rsid w:val="006C7A80"/>
    <w:rsid w:val="006C7E9A"/>
    <w:rsid w:val="006C7ECD"/>
    <w:rsid w:val="006D0170"/>
    <w:rsid w:val="006D044C"/>
    <w:rsid w:val="006D0551"/>
    <w:rsid w:val="006D0F2E"/>
    <w:rsid w:val="006D1077"/>
    <w:rsid w:val="006D11F7"/>
    <w:rsid w:val="006D122D"/>
    <w:rsid w:val="006D158D"/>
    <w:rsid w:val="006D171C"/>
    <w:rsid w:val="006D177C"/>
    <w:rsid w:val="006D1868"/>
    <w:rsid w:val="006D1A10"/>
    <w:rsid w:val="006D1A56"/>
    <w:rsid w:val="006D228F"/>
    <w:rsid w:val="006D26C1"/>
    <w:rsid w:val="006D2C23"/>
    <w:rsid w:val="006D2C59"/>
    <w:rsid w:val="006D2DE0"/>
    <w:rsid w:val="006D2E17"/>
    <w:rsid w:val="006D31DA"/>
    <w:rsid w:val="006D3798"/>
    <w:rsid w:val="006D38B6"/>
    <w:rsid w:val="006D393E"/>
    <w:rsid w:val="006D3A47"/>
    <w:rsid w:val="006D3C36"/>
    <w:rsid w:val="006D4133"/>
    <w:rsid w:val="006D4668"/>
    <w:rsid w:val="006D4798"/>
    <w:rsid w:val="006D495B"/>
    <w:rsid w:val="006D4BF9"/>
    <w:rsid w:val="006D56CB"/>
    <w:rsid w:val="006D5B9D"/>
    <w:rsid w:val="006D5E50"/>
    <w:rsid w:val="006D5E52"/>
    <w:rsid w:val="006D5EFA"/>
    <w:rsid w:val="006D613A"/>
    <w:rsid w:val="006D6491"/>
    <w:rsid w:val="006D6B02"/>
    <w:rsid w:val="006D6CBD"/>
    <w:rsid w:val="006D6E1B"/>
    <w:rsid w:val="006D709B"/>
    <w:rsid w:val="006D73E7"/>
    <w:rsid w:val="006D7AA6"/>
    <w:rsid w:val="006E00B3"/>
    <w:rsid w:val="006E0470"/>
    <w:rsid w:val="006E0A23"/>
    <w:rsid w:val="006E0CD5"/>
    <w:rsid w:val="006E1043"/>
    <w:rsid w:val="006E11F6"/>
    <w:rsid w:val="006E1829"/>
    <w:rsid w:val="006E19B3"/>
    <w:rsid w:val="006E1F82"/>
    <w:rsid w:val="006E2CA5"/>
    <w:rsid w:val="006E3343"/>
    <w:rsid w:val="006E33F9"/>
    <w:rsid w:val="006E381C"/>
    <w:rsid w:val="006E3B76"/>
    <w:rsid w:val="006E3F67"/>
    <w:rsid w:val="006E43D5"/>
    <w:rsid w:val="006E4C25"/>
    <w:rsid w:val="006E4CC1"/>
    <w:rsid w:val="006E4E98"/>
    <w:rsid w:val="006E4F00"/>
    <w:rsid w:val="006E5059"/>
    <w:rsid w:val="006E5451"/>
    <w:rsid w:val="006E54C6"/>
    <w:rsid w:val="006E5A20"/>
    <w:rsid w:val="006E5D3C"/>
    <w:rsid w:val="006E5F2E"/>
    <w:rsid w:val="006E6A7B"/>
    <w:rsid w:val="006E6AA4"/>
    <w:rsid w:val="006E6E58"/>
    <w:rsid w:val="006E7927"/>
    <w:rsid w:val="006E79D9"/>
    <w:rsid w:val="006E7D96"/>
    <w:rsid w:val="006F00D2"/>
    <w:rsid w:val="006F0B0D"/>
    <w:rsid w:val="006F0BDF"/>
    <w:rsid w:val="006F0F07"/>
    <w:rsid w:val="006F1263"/>
    <w:rsid w:val="006F1614"/>
    <w:rsid w:val="006F1B19"/>
    <w:rsid w:val="006F1BA3"/>
    <w:rsid w:val="006F1C14"/>
    <w:rsid w:val="006F1C45"/>
    <w:rsid w:val="006F1C85"/>
    <w:rsid w:val="006F1E99"/>
    <w:rsid w:val="006F1FF6"/>
    <w:rsid w:val="006F2333"/>
    <w:rsid w:val="006F3408"/>
    <w:rsid w:val="006F3CEC"/>
    <w:rsid w:val="006F3F2F"/>
    <w:rsid w:val="006F430A"/>
    <w:rsid w:val="006F4492"/>
    <w:rsid w:val="006F477F"/>
    <w:rsid w:val="006F53B7"/>
    <w:rsid w:val="006F5400"/>
    <w:rsid w:val="006F584A"/>
    <w:rsid w:val="006F5D8D"/>
    <w:rsid w:val="006F5E66"/>
    <w:rsid w:val="006F61B1"/>
    <w:rsid w:val="006F64EE"/>
    <w:rsid w:val="006F6DFB"/>
    <w:rsid w:val="006F70E0"/>
    <w:rsid w:val="006F7109"/>
    <w:rsid w:val="00700555"/>
    <w:rsid w:val="0070095D"/>
    <w:rsid w:val="00701664"/>
    <w:rsid w:val="0070186B"/>
    <w:rsid w:val="00701DF9"/>
    <w:rsid w:val="00702235"/>
    <w:rsid w:val="0070239E"/>
    <w:rsid w:val="007024E9"/>
    <w:rsid w:val="00702964"/>
    <w:rsid w:val="007029F7"/>
    <w:rsid w:val="00702A5E"/>
    <w:rsid w:val="00702B65"/>
    <w:rsid w:val="00702CF3"/>
    <w:rsid w:val="007032F3"/>
    <w:rsid w:val="00703A61"/>
    <w:rsid w:val="00703AA7"/>
    <w:rsid w:val="00703D59"/>
    <w:rsid w:val="00703EB5"/>
    <w:rsid w:val="00703FBF"/>
    <w:rsid w:val="0070479B"/>
    <w:rsid w:val="007048ED"/>
    <w:rsid w:val="00704E16"/>
    <w:rsid w:val="00704F08"/>
    <w:rsid w:val="00704FCB"/>
    <w:rsid w:val="00705002"/>
    <w:rsid w:val="0070502F"/>
    <w:rsid w:val="007052A8"/>
    <w:rsid w:val="00705569"/>
    <w:rsid w:val="00705D84"/>
    <w:rsid w:val="00705E67"/>
    <w:rsid w:val="0070627C"/>
    <w:rsid w:val="00706C07"/>
    <w:rsid w:val="00707072"/>
    <w:rsid w:val="0070734B"/>
    <w:rsid w:val="007073EA"/>
    <w:rsid w:val="007078F7"/>
    <w:rsid w:val="00707D7D"/>
    <w:rsid w:val="007105A1"/>
    <w:rsid w:val="0071086C"/>
    <w:rsid w:val="00710C9D"/>
    <w:rsid w:val="00710E38"/>
    <w:rsid w:val="00711819"/>
    <w:rsid w:val="00711896"/>
    <w:rsid w:val="00711CF4"/>
    <w:rsid w:val="007121AE"/>
    <w:rsid w:val="00712598"/>
    <w:rsid w:val="00712ABA"/>
    <w:rsid w:val="00712CF7"/>
    <w:rsid w:val="00712D0A"/>
    <w:rsid w:val="0071324B"/>
    <w:rsid w:val="00713376"/>
    <w:rsid w:val="00713AF9"/>
    <w:rsid w:val="00713B4B"/>
    <w:rsid w:val="00713B87"/>
    <w:rsid w:val="00713CCF"/>
    <w:rsid w:val="007141C5"/>
    <w:rsid w:val="00714323"/>
    <w:rsid w:val="0071454B"/>
    <w:rsid w:val="007145FD"/>
    <w:rsid w:val="007146D6"/>
    <w:rsid w:val="00714EF8"/>
    <w:rsid w:val="0071522A"/>
    <w:rsid w:val="007155AA"/>
    <w:rsid w:val="00715AE2"/>
    <w:rsid w:val="00715C03"/>
    <w:rsid w:val="00715C4E"/>
    <w:rsid w:val="0071682B"/>
    <w:rsid w:val="0071699A"/>
    <w:rsid w:val="00716C34"/>
    <w:rsid w:val="00716CFB"/>
    <w:rsid w:val="00720075"/>
    <w:rsid w:val="00720086"/>
    <w:rsid w:val="00720233"/>
    <w:rsid w:val="00720267"/>
    <w:rsid w:val="0072036D"/>
    <w:rsid w:val="00720455"/>
    <w:rsid w:val="0072082D"/>
    <w:rsid w:val="007208D7"/>
    <w:rsid w:val="00720A22"/>
    <w:rsid w:val="00720D73"/>
    <w:rsid w:val="00720F60"/>
    <w:rsid w:val="00721018"/>
    <w:rsid w:val="00721022"/>
    <w:rsid w:val="0072115B"/>
    <w:rsid w:val="0072125F"/>
    <w:rsid w:val="0072149F"/>
    <w:rsid w:val="007215BA"/>
    <w:rsid w:val="00721AFC"/>
    <w:rsid w:val="00721BDD"/>
    <w:rsid w:val="0072220E"/>
    <w:rsid w:val="0072231C"/>
    <w:rsid w:val="007223CF"/>
    <w:rsid w:val="00722623"/>
    <w:rsid w:val="007227CD"/>
    <w:rsid w:val="00722871"/>
    <w:rsid w:val="0072290B"/>
    <w:rsid w:val="00722DAA"/>
    <w:rsid w:val="00723035"/>
    <w:rsid w:val="007231B2"/>
    <w:rsid w:val="0072325C"/>
    <w:rsid w:val="00723362"/>
    <w:rsid w:val="00723CFF"/>
    <w:rsid w:val="00723E4B"/>
    <w:rsid w:val="00723ECB"/>
    <w:rsid w:val="00723FC8"/>
    <w:rsid w:val="007240BF"/>
    <w:rsid w:val="00724EEA"/>
    <w:rsid w:val="0072514F"/>
    <w:rsid w:val="00725504"/>
    <w:rsid w:val="007256AA"/>
    <w:rsid w:val="007258CF"/>
    <w:rsid w:val="007259E3"/>
    <w:rsid w:val="00725FC0"/>
    <w:rsid w:val="00726966"/>
    <w:rsid w:val="00726A22"/>
    <w:rsid w:val="0072700C"/>
    <w:rsid w:val="00727672"/>
    <w:rsid w:val="00727923"/>
    <w:rsid w:val="00727D27"/>
    <w:rsid w:val="00727FE9"/>
    <w:rsid w:val="00730437"/>
    <w:rsid w:val="00730BCE"/>
    <w:rsid w:val="00730E8E"/>
    <w:rsid w:val="007318B7"/>
    <w:rsid w:val="007320DF"/>
    <w:rsid w:val="007326DB"/>
    <w:rsid w:val="007326E7"/>
    <w:rsid w:val="00732901"/>
    <w:rsid w:val="00732E38"/>
    <w:rsid w:val="007334B5"/>
    <w:rsid w:val="0073373B"/>
    <w:rsid w:val="007337B5"/>
    <w:rsid w:val="007338A7"/>
    <w:rsid w:val="00733921"/>
    <w:rsid w:val="00733BC2"/>
    <w:rsid w:val="0073424C"/>
    <w:rsid w:val="0073430E"/>
    <w:rsid w:val="00734793"/>
    <w:rsid w:val="00734E98"/>
    <w:rsid w:val="007350C9"/>
    <w:rsid w:val="0073554A"/>
    <w:rsid w:val="007356E9"/>
    <w:rsid w:val="0073577D"/>
    <w:rsid w:val="00735BB0"/>
    <w:rsid w:val="00735D53"/>
    <w:rsid w:val="00736070"/>
    <w:rsid w:val="00736107"/>
    <w:rsid w:val="00736881"/>
    <w:rsid w:val="00736918"/>
    <w:rsid w:val="00736AF9"/>
    <w:rsid w:val="00736E00"/>
    <w:rsid w:val="00736E83"/>
    <w:rsid w:val="0073720B"/>
    <w:rsid w:val="007373C1"/>
    <w:rsid w:val="00737506"/>
    <w:rsid w:val="00737561"/>
    <w:rsid w:val="00737E24"/>
    <w:rsid w:val="00740292"/>
    <w:rsid w:val="007403D0"/>
    <w:rsid w:val="00740BB0"/>
    <w:rsid w:val="00740F63"/>
    <w:rsid w:val="0074103D"/>
    <w:rsid w:val="00741347"/>
    <w:rsid w:val="007418C8"/>
    <w:rsid w:val="00741F73"/>
    <w:rsid w:val="00742546"/>
    <w:rsid w:val="00742698"/>
    <w:rsid w:val="007426FF"/>
    <w:rsid w:val="007429A5"/>
    <w:rsid w:val="007429D8"/>
    <w:rsid w:val="00742E92"/>
    <w:rsid w:val="007432E9"/>
    <w:rsid w:val="007437BC"/>
    <w:rsid w:val="00743C63"/>
    <w:rsid w:val="00744172"/>
    <w:rsid w:val="007441AD"/>
    <w:rsid w:val="00744594"/>
    <w:rsid w:val="007456BA"/>
    <w:rsid w:val="00745789"/>
    <w:rsid w:val="00745D29"/>
    <w:rsid w:val="00745E1F"/>
    <w:rsid w:val="0074608F"/>
    <w:rsid w:val="007464BC"/>
    <w:rsid w:val="00746768"/>
    <w:rsid w:val="00746892"/>
    <w:rsid w:val="00746992"/>
    <w:rsid w:val="00746BDA"/>
    <w:rsid w:val="0074716E"/>
    <w:rsid w:val="007473C1"/>
    <w:rsid w:val="00747B4B"/>
    <w:rsid w:val="00747D3E"/>
    <w:rsid w:val="00750479"/>
    <w:rsid w:val="0075049D"/>
    <w:rsid w:val="00750979"/>
    <w:rsid w:val="007509A2"/>
    <w:rsid w:val="00750FC9"/>
    <w:rsid w:val="00751410"/>
    <w:rsid w:val="00751D65"/>
    <w:rsid w:val="00752434"/>
    <w:rsid w:val="0075275B"/>
    <w:rsid w:val="007528A3"/>
    <w:rsid w:val="00752A3E"/>
    <w:rsid w:val="00752D16"/>
    <w:rsid w:val="00752E1F"/>
    <w:rsid w:val="00752E39"/>
    <w:rsid w:val="00752E4B"/>
    <w:rsid w:val="007532A4"/>
    <w:rsid w:val="007532DE"/>
    <w:rsid w:val="00753428"/>
    <w:rsid w:val="007536D1"/>
    <w:rsid w:val="00753A09"/>
    <w:rsid w:val="00753BE5"/>
    <w:rsid w:val="007547AE"/>
    <w:rsid w:val="007547BB"/>
    <w:rsid w:val="00754AA9"/>
    <w:rsid w:val="00754AED"/>
    <w:rsid w:val="007550F7"/>
    <w:rsid w:val="007553DA"/>
    <w:rsid w:val="007554FF"/>
    <w:rsid w:val="007556B5"/>
    <w:rsid w:val="0075581F"/>
    <w:rsid w:val="00755951"/>
    <w:rsid w:val="00755FC3"/>
    <w:rsid w:val="0075666A"/>
    <w:rsid w:val="00756811"/>
    <w:rsid w:val="00756B54"/>
    <w:rsid w:val="00756B5F"/>
    <w:rsid w:val="00756C42"/>
    <w:rsid w:val="00756CB0"/>
    <w:rsid w:val="00756D29"/>
    <w:rsid w:val="00756E7D"/>
    <w:rsid w:val="00757464"/>
    <w:rsid w:val="00760110"/>
    <w:rsid w:val="007604D3"/>
    <w:rsid w:val="00760715"/>
    <w:rsid w:val="00760DCD"/>
    <w:rsid w:val="00760FEE"/>
    <w:rsid w:val="007612A9"/>
    <w:rsid w:val="007613F7"/>
    <w:rsid w:val="00761440"/>
    <w:rsid w:val="007618A8"/>
    <w:rsid w:val="007619ED"/>
    <w:rsid w:val="00761C2A"/>
    <w:rsid w:val="00761C55"/>
    <w:rsid w:val="00761F95"/>
    <w:rsid w:val="00762009"/>
    <w:rsid w:val="00762287"/>
    <w:rsid w:val="0076253F"/>
    <w:rsid w:val="00762B3C"/>
    <w:rsid w:val="00762C9C"/>
    <w:rsid w:val="00762FB0"/>
    <w:rsid w:val="00763056"/>
    <w:rsid w:val="007630CE"/>
    <w:rsid w:val="00763166"/>
    <w:rsid w:val="00763924"/>
    <w:rsid w:val="0076398A"/>
    <w:rsid w:val="00763FDF"/>
    <w:rsid w:val="007641A9"/>
    <w:rsid w:val="007644D9"/>
    <w:rsid w:val="007645A6"/>
    <w:rsid w:val="0076471B"/>
    <w:rsid w:val="00764921"/>
    <w:rsid w:val="00764E72"/>
    <w:rsid w:val="0076529D"/>
    <w:rsid w:val="00765E5D"/>
    <w:rsid w:val="00766460"/>
    <w:rsid w:val="0076689A"/>
    <w:rsid w:val="00766F87"/>
    <w:rsid w:val="0076711E"/>
    <w:rsid w:val="007675C2"/>
    <w:rsid w:val="00767678"/>
    <w:rsid w:val="00767861"/>
    <w:rsid w:val="00767B48"/>
    <w:rsid w:val="00767C04"/>
    <w:rsid w:val="00767E04"/>
    <w:rsid w:val="00770323"/>
    <w:rsid w:val="007705F1"/>
    <w:rsid w:val="00770678"/>
    <w:rsid w:val="00770B09"/>
    <w:rsid w:val="007719A6"/>
    <w:rsid w:val="00771B5A"/>
    <w:rsid w:val="0077250C"/>
    <w:rsid w:val="007735EF"/>
    <w:rsid w:val="00773643"/>
    <w:rsid w:val="0077367E"/>
    <w:rsid w:val="00774035"/>
    <w:rsid w:val="00774082"/>
    <w:rsid w:val="00774187"/>
    <w:rsid w:val="0077449B"/>
    <w:rsid w:val="007748A2"/>
    <w:rsid w:val="007748DC"/>
    <w:rsid w:val="00774DE1"/>
    <w:rsid w:val="007752F7"/>
    <w:rsid w:val="0077533E"/>
    <w:rsid w:val="007757C6"/>
    <w:rsid w:val="00775867"/>
    <w:rsid w:val="00775F4A"/>
    <w:rsid w:val="00776368"/>
    <w:rsid w:val="0077656B"/>
    <w:rsid w:val="00776913"/>
    <w:rsid w:val="00776EC9"/>
    <w:rsid w:val="007770B6"/>
    <w:rsid w:val="007771DE"/>
    <w:rsid w:val="00777A72"/>
    <w:rsid w:val="00777BF0"/>
    <w:rsid w:val="00780068"/>
    <w:rsid w:val="00780270"/>
    <w:rsid w:val="007805CB"/>
    <w:rsid w:val="007806B6"/>
    <w:rsid w:val="00780BAA"/>
    <w:rsid w:val="00780C7A"/>
    <w:rsid w:val="0078108B"/>
    <w:rsid w:val="00781CB4"/>
    <w:rsid w:val="00782E13"/>
    <w:rsid w:val="00782F06"/>
    <w:rsid w:val="00782F86"/>
    <w:rsid w:val="007833E4"/>
    <w:rsid w:val="00783462"/>
    <w:rsid w:val="00783555"/>
    <w:rsid w:val="00783743"/>
    <w:rsid w:val="00783A1B"/>
    <w:rsid w:val="00784003"/>
    <w:rsid w:val="0078497F"/>
    <w:rsid w:val="00784A69"/>
    <w:rsid w:val="00784AD2"/>
    <w:rsid w:val="00784D85"/>
    <w:rsid w:val="00784FCB"/>
    <w:rsid w:val="00785736"/>
    <w:rsid w:val="00786058"/>
    <w:rsid w:val="007860FA"/>
    <w:rsid w:val="00786395"/>
    <w:rsid w:val="00786838"/>
    <w:rsid w:val="00786B81"/>
    <w:rsid w:val="00786ECC"/>
    <w:rsid w:val="0078757E"/>
    <w:rsid w:val="0078775F"/>
    <w:rsid w:val="00787917"/>
    <w:rsid w:val="00787E65"/>
    <w:rsid w:val="00787EAF"/>
    <w:rsid w:val="00787EFC"/>
    <w:rsid w:val="00790246"/>
    <w:rsid w:val="00790807"/>
    <w:rsid w:val="007908E0"/>
    <w:rsid w:val="007909ED"/>
    <w:rsid w:val="00790AB1"/>
    <w:rsid w:val="00790CBA"/>
    <w:rsid w:val="00790CE4"/>
    <w:rsid w:val="00791606"/>
    <w:rsid w:val="00791688"/>
    <w:rsid w:val="007917B3"/>
    <w:rsid w:val="007917F6"/>
    <w:rsid w:val="00791BAF"/>
    <w:rsid w:val="00791C8E"/>
    <w:rsid w:val="00791D2E"/>
    <w:rsid w:val="007927CD"/>
    <w:rsid w:val="007932F4"/>
    <w:rsid w:val="00793517"/>
    <w:rsid w:val="00793626"/>
    <w:rsid w:val="00793B73"/>
    <w:rsid w:val="00793E72"/>
    <w:rsid w:val="007947B9"/>
    <w:rsid w:val="00794D6D"/>
    <w:rsid w:val="00794DAB"/>
    <w:rsid w:val="00794EFB"/>
    <w:rsid w:val="00795272"/>
    <w:rsid w:val="0079538C"/>
    <w:rsid w:val="0079578D"/>
    <w:rsid w:val="00795B03"/>
    <w:rsid w:val="00795BEB"/>
    <w:rsid w:val="00796000"/>
    <w:rsid w:val="00796105"/>
    <w:rsid w:val="007961CA"/>
    <w:rsid w:val="007963DE"/>
    <w:rsid w:val="00796812"/>
    <w:rsid w:val="0079683F"/>
    <w:rsid w:val="00796C9B"/>
    <w:rsid w:val="0079741F"/>
    <w:rsid w:val="007975C7"/>
    <w:rsid w:val="00797C5F"/>
    <w:rsid w:val="00797F07"/>
    <w:rsid w:val="007A051A"/>
    <w:rsid w:val="007A0904"/>
    <w:rsid w:val="007A0B46"/>
    <w:rsid w:val="007A10E4"/>
    <w:rsid w:val="007A1159"/>
    <w:rsid w:val="007A1409"/>
    <w:rsid w:val="007A16C0"/>
    <w:rsid w:val="007A1B16"/>
    <w:rsid w:val="007A1CD3"/>
    <w:rsid w:val="007A2230"/>
    <w:rsid w:val="007A23CA"/>
    <w:rsid w:val="007A2C51"/>
    <w:rsid w:val="007A3006"/>
    <w:rsid w:val="007A3106"/>
    <w:rsid w:val="007A3138"/>
    <w:rsid w:val="007A3311"/>
    <w:rsid w:val="007A33CB"/>
    <w:rsid w:val="007A3A1D"/>
    <w:rsid w:val="007A3A42"/>
    <w:rsid w:val="007A3A64"/>
    <w:rsid w:val="007A3F41"/>
    <w:rsid w:val="007A4009"/>
    <w:rsid w:val="007A4155"/>
    <w:rsid w:val="007A4215"/>
    <w:rsid w:val="007A471C"/>
    <w:rsid w:val="007A479E"/>
    <w:rsid w:val="007A4853"/>
    <w:rsid w:val="007A4CBA"/>
    <w:rsid w:val="007A50AB"/>
    <w:rsid w:val="007A5509"/>
    <w:rsid w:val="007A5CB3"/>
    <w:rsid w:val="007A5E10"/>
    <w:rsid w:val="007A6084"/>
    <w:rsid w:val="007A6FAE"/>
    <w:rsid w:val="007A773A"/>
    <w:rsid w:val="007A78BF"/>
    <w:rsid w:val="007A7A48"/>
    <w:rsid w:val="007A7F32"/>
    <w:rsid w:val="007B04E9"/>
    <w:rsid w:val="007B0C5E"/>
    <w:rsid w:val="007B0E49"/>
    <w:rsid w:val="007B10E4"/>
    <w:rsid w:val="007B1216"/>
    <w:rsid w:val="007B160B"/>
    <w:rsid w:val="007B1CD7"/>
    <w:rsid w:val="007B1D1F"/>
    <w:rsid w:val="007B1D5C"/>
    <w:rsid w:val="007B1D95"/>
    <w:rsid w:val="007B1FA6"/>
    <w:rsid w:val="007B2691"/>
    <w:rsid w:val="007B2A2E"/>
    <w:rsid w:val="007B30A2"/>
    <w:rsid w:val="007B335B"/>
    <w:rsid w:val="007B353C"/>
    <w:rsid w:val="007B37AC"/>
    <w:rsid w:val="007B3B6C"/>
    <w:rsid w:val="007B425D"/>
    <w:rsid w:val="007B467C"/>
    <w:rsid w:val="007B4BF1"/>
    <w:rsid w:val="007B4C01"/>
    <w:rsid w:val="007B510A"/>
    <w:rsid w:val="007B53A9"/>
    <w:rsid w:val="007B544D"/>
    <w:rsid w:val="007B56DB"/>
    <w:rsid w:val="007B5A63"/>
    <w:rsid w:val="007B5D65"/>
    <w:rsid w:val="007B6145"/>
    <w:rsid w:val="007B61C0"/>
    <w:rsid w:val="007B658B"/>
    <w:rsid w:val="007B66C7"/>
    <w:rsid w:val="007B6808"/>
    <w:rsid w:val="007B6D8A"/>
    <w:rsid w:val="007B6E3C"/>
    <w:rsid w:val="007B6E70"/>
    <w:rsid w:val="007B760C"/>
    <w:rsid w:val="007B79EE"/>
    <w:rsid w:val="007B7A63"/>
    <w:rsid w:val="007B7DDD"/>
    <w:rsid w:val="007C0590"/>
    <w:rsid w:val="007C1263"/>
    <w:rsid w:val="007C1550"/>
    <w:rsid w:val="007C19AF"/>
    <w:rsid w:val="007C25A5"/>
    <w:rsid w:val="007C27D2"/>
    <w:rsid w:val="007C2DB1"/>
    <w:rsid w:val="007C2F3E"/>
    <w:rsid w:val="007C35A4"/>
    <w:rsid w:val="007C3BF8"/>
    <w:rsid w:val="007C3EDC"/>
    <w:rsid w:val="007C41E0"/>
    <w:rsid w:val="007C4527"/>
    <w:rsid w:val="007C5089"/>
    <w:rsid w:val="007C54A3"/>
    <w:rsid w:val="007C55E5"/>
    <w:rsid w:val="007C5BB5"/>
    <w:rsid w:val="007C5E7B"/>
    <w:rsid w:val="007C6287"/>
    <w:rsid w:val="007C642C"/>
    <w:rsid w:val="007C6B8F"/>
    <w:rsid w:val="007C6EBD"/>
    <w:rsid w:val="007C716F"/>
    <w:rsid w:val="007C723B"/>
    <w:rsid w:val="007C776C"/>
    <w:rsid w:val="007C7882"/>
    <w:rsid w:val="007C78D7"/>
    <w:rsid w:val="007C7BE9"/>
    <w:rsid w:val="007D022C"/>
    <w:rsid w:val="007D02BD"/>
    <w:rsid w:val="007D04EC"/>
    <w:rsid w:val="007D07A1"/>
    <w:rsid w:val="007D1262"/>
    <w:rsid w:val="007D12D6"/>
    <w:rsid w:val="007D1C4B"/>
    <w:rsid w:val="007D1E75"/>
    <w:rsid w:val="007D20B3"/>
    <w:rsid w:val="007D2858"/>
    <w:rsid w:val="007D2A80"/>
    <w:rsid w:val="007D2B90"/>
    <w:rsid w:val="007D2CC1"/>
    <w:rsid w:val="007D2DEA"/>
    <w:rsid w:val="007D2EEA"/>
    <w:rsid w:val="007D37BF"/>
    <w:rsid w:val="007D388A"/>
    <w:rsid w:val="007D39FB"/>
    <w:rsid w:val="007D3EF0"/>
    <w:rsid w:val="007D3F1D"/>
    <w:rsid w:val="007D415B"/>
    <w:rsid w:val="007D4AF7"/>
    <w:rsid w:val="007D4B39"/>
    <w:rsid w:val="007D5108"/>
    <w:rsid w:val="007D5531"/>
    <w:rsid w:val="007D5813"/>
    <w:rsid w:val="007D5951"/>
    <w:rsid w:val="007D5CE7"/>
    <w:rsid w:val="007D5DB1"/>
    <w:rsid w:val="007D60AE"/>
    <w:rsid w:val="007D6984"/>
    <w:rsid w:val="007D6B90"/>
    <w:rsid w:val="007D6BB7"/>
    <w:rsid w:val="007D6D54"/>
    <w:rsid w:val="007D7C2E"/>
    <w:rsid w:val="007E05AE"/>
    <w:rsid w:val="007E0977"/>
    <w:rsid w:val="007E0C46"/>
    <w:rsid w:val="007E0EB8"/>
    <w:rsid w:val="007E1055"/>
    <w:rsid w:val="007E12A8"/>
    <w:rsid w:val="007E164E"/>
    <w:rsid w:val="007E1C95"/>
    <w:rsid w:val="007E1CF7"/>
    <w:rsid w:val="007E1D3B"/>
    <w:rsid w:val="007E2126"/>
    <w:rsid w:val="007E23FF"/>
    <w:rsid w:val="007E2406"/>
    <w:rsid w:val="007E2B3B"/>
    <w:rsid w:val="007E2D2D"/>
    <w:rsid w:val="007E39E4"/>
    <w:rsid w:val="007E40CD"/>
    <w:rsid w:val="007E43D4"/>
    <w:rsid w:val="007E445F"/>
    <w:rsid w:val="007E47C7"/>
    <w:rsid w:val="007E4871"/>
    <w:rsid w:val="007E4E13"/>
    <w:rsid w:val="007E5556"/>
    <w:rsid w:val="007E59C5"/>
    <w:rsid w:val="007E5C56"/>
    <w:rsid w:val="007E5CCF"/>
    <w:rsid w:val="007E5ECE"/>
    <w:rsid w:val="007E61A7"/>
    <w:rsid w:val="007E6675"/>
    <w:rsid w:val="007E6A66"/>
    <w:rsid w:val="007E773D"/>
    <w:rsid w:val="007E7806"/>
    <w:rsid w:val="007E7BDF"/>
    <w:rsid w:val="007F0D79"/>
    <w:rsid w:val="007F1447"/>
    <w:rsid w:val="007F1477"/>
    <w:rsid w:val="007F14D5"/>
    <w:rsid w:val="007F1893"/>
    <w:rsid w:val="007F198A"/>
    <w:rsid w:val="007F1BC8"/>
    <w:rsid w:val="007F222B"/>
    <w:rsid w:val="007F2541"/>
    <w:rsid w:val="007F2576"/>
    <w:rsid w:val="007F270B"/>
    <w:rsid w:val="007F27B1"/>
    <w:rsid w:val="007F2862"/>
    <w:rsid w:val="007F28C5"/>
    <w:rsid w:val="007F2B0D"/>
    <w:rsid w:val="007F3270"/>
    <w:rsid w:val="007F35E0"/>
    <w:rsid w:val="007F3DBB"/>
    <w:rsid w:val="007F45A6"/>
    <w:rsid w:val="007F46C6"/>
    <w:rsid w:val="007F471A"/>
    <w:rsid w:val="007F4D68"/>
    <w:rsid w:val="007F5490"/>
    <w:rsid w:val="007F5A0A"/>
    <w:rsid w:val="007F6212"/>
    <w:rsid w:val="007F675E"/>
    <w:rsid w:val="007F6AFD"/>
    <w:rsid w:val="007F6D61"/>
    <w:rsid w:val="007F73D0"/>
    <w:rsid w:val="007F7516"/>
    <w:rsid w:val="007F786E"/>
    <w:rsid w:val="007F78FF"/>
    <w:rsid w:val="007F7DF2"/>
    <w:rsid w:val="008004D3"/>
    <w:rsid w:val="0080098A"/>
    <w:rsid w:val="00800A75"/>
    <w:rsid w:val="00800B26"/>
    <w:rsid w:val="00800CE1"/>
    <w:rsid w:val="008012F3"/>
    <w:rsid w:val="00801CC2"/>
    <w:rsid w:val="00801D68"/>
    <w:rsid w:val="0080203A"/>
    <w:rsid w:val="00802042"/>
    <w:rsid w:val="00802338"/>
    <w:rsid w:val="008024C4"/>
    <w:rsid w:val="008027EC"/>
    <w:rsid w:val="00802AFA"/>
    <w:rsid w:val="00802DFE"/>
    <w:rsid w:val="00802F74"/>
    <w:rsid w:val="008031AB"/>
    <w:rsid w:val="008034CA"/>
    <w:rsid w:val="00803524"/>
    <w:rsid w:val="008040C7"/>
    <w:rsid w:val="008041F9"/>
    <w:rsid w:val="00804695"/>
    <w:rsid w:val="00804F7C"/>
    <w:rsid w:val="008052BB"/>
    <w:rsid w:val="008053BF"/>
    <w:rsid w:val="00805725"/>
    <w:rsid w:val="008058E1"/>
    <w:rsid w:val="00805FAF"/>
    <w:rsid w:val="00806B30"/>
    <w:rsid w:val="00806CAC"/>
    <w:rsid w:val="00806E0E"/>
    <w:rsid w:val="008071F2"/>
    <w:rsid w:val="00807479"/>
    <w:rsid w:val="00807E56"/>
    <w:rsid w:val="00807E7E"/>
    <w:rsid w:val="00807E8E"/>
    <w:rsid w:val="00807ECC"/>
    <w:rsid w:val="00807EF4"/>
    <w:rsid w:val="00810AED"/>
    <w:rsid w:val="008110E1"/>
    <w:rsid w:val="00811628"/>
    <w:rsid w:val="00811785"/>
    <w:rsid w:val="00811885"/>
    <w:rsid w:val="00811990"/>
    <w:rsid w:val="00811BDB"/>
    <w:rsid w:val="00811E0D"/>
    <w:rsid w:val="00811FFC"/>
    <w:rsid w:val="00812211"/>
    <w:rsid w:val="00812433"/>
    <w:rsid w:val="00812AEB"/>
    <w:rsid w:val="00812BC7"/>
    <w:rsid w:val="00812BF6"/>
    <w:rsid w:val="00812BFC"/>
    <w:rsid w:val="00812DCC"/>
    <w:rsid w:val="00812F97"/>
    <w:rsid w:val="00813044"/>
    <w:rsid w:val="008131F3"/>
    <w:rsid w:val="00813418"/>
    <w:rsid w:val="00813692"/>
    <w:rsid w:val="00813918"/>
    <w:rsid w:val="00813D1D"/>
    <w:rsid w:val="00813FE3"/>
    <w:rsid w:val="0081413D"/>
    <w:rsid w:val="0081421C"/>
    <w:rsid w:val="008143AE"/>
    <w:rsid w:val="00814632"/>
    <w:rsid w:val="00814694"/>
    <w:rsid w:val="008149D9"/>
    <w:rsid w:val="00814C57"/>
    <w:rsid w:val="00815191"/>
    <w:rsid w:val="00815548"/>
    <w:rsid w:val="008156CF"/>
    <w:rsid w:val="00815C01"/>
    <w:rsid w:val="00815CA9"/>
    <w:rsid w:val="008162ED"/>
    <w:rsid w:val="00816445"/>
    <w:rsid w:val="008165D0"/>
    <w:rsid w:val="00816B0C"/>
    <w:rsid w:val="008170E9"/>
    <w:rsid w:val="00817191"/>
    <w:rsid w:val="008173BF"/>
    <w:rsid w:val="008178EF"/>
    <w:rsid w:val="00817BAA"/>
    <w:rsid w:val="00817DDC"/>
    <w:rsid w:val="00817F2F"/>
    <w:rsid w:val="00817F98"/>
    <w:rsid w:val="008205F3"/>
    <w:rsid w:val="008213B4"/>
    <w:rsid w:val="00821430"/>
    <w:rsid w:val="00821F24"/>
    <w:rsid w:val="0082203F"/>
    <w:rsid w:val="008224F7"/>
    <w:rsid w:val="00822653"/>
    <w:rsid w:val="008228B2"/>
    <w:rsid w:val="00822954"/>
    <w:rsid w:val="00822BD1"/>
    <w:rsid w:val="0082309E"/>
    <w:rsid w:val="00823187"/>
    <w:rsid w:val="008239B6"/>
    <w:rsid w:val="00823CE4"/>
    <w:rsid w:val="00823EEA"/>
    <w:rsid w:val="0082418E"/>
    <w:rsid w:val="008244F5"/>
    <w:rsid w:val="008245EA"/>
    <w:rsid w:val="0082473C"/>
    <w:rsid w:val="00824782"/>
    <w:rsid w:val="008247B9"/>
    <w:rsid w:val="00825140"/>
    <w:rsid w:val="0082593E"/>
    <w:rsid w:val="00825A2D"/>
    <w:rsid w:val="00825DDD"/>
    <w:rsid w:val="0082622E"/>
    <w:rsid w:val="0082697F"/>
    <w:rsid w:val="00826B49"/>
    <w:rsid w:val="00826EA6"/>
    <w:rsid w:val="008271CA"/>
    <w:rsid w:val="008273DD"/>
    <w:rsid w:val="00827681"/>
    <w:rsid w:val="00827718"/>
    <w:rsid w:val="00827AD2"/>
    <w:rsid w:val="00827BF6"/>
    <w:rsid w:val="00830CC8"/>
    <w:rsid w:val="00830F19"/>
    <w:rsid w:val="00831116"/>
    <w:rsid w:val="0083153B"/>
    <w:rsid w:val="00831859"/>
    <w:rsid w:val="00831FA3"/>
    <w:rsid w:val="00832168"/>
    <w:rsid w:val="00832493"/>
    <w:rsid w:val="008328A8"/>
    <w:rsid w:val="00832A98"/>
    <w:rsid w:val="00832B17"/>
    <w:rsid w:val="00832DA1"/>
    <w:rsid w:val="00832E2C"/>
    <w:rsid w:val="00832ED0"/>
    <w:rsid w:val="008335EA"/>
    <w:rsid w:val="008337FA"/>
    <w:rsid w:val="00833BF3"/>
    <w:rsid w:val="00833FF3"/>
    <w:rsid w:val="0083402B"/>
    <w:rsid w:val="00834058"/>
    <w:rsid w:val="00834093"/>
    <w:rsid w:val="008344C9"/>
    <w:rsid w:val="00834558"/>
    <w:rsid w:val="00834755"/>
    <w:rsid w:val="00834B14"/>
    <w:rsid w:val="00834C48"/>
    <w:rsid w:val="0083502F"/>
    <w:rsid w:val="008351EC"/>
    <w:rsid w:val="0083523F"/>
    <w:rsid w:val="00835810"/>
    <w:rsid w:val="008359B9"/>
    <w:rsid w:val="00835A08"/>
    <w:rsid w:val="00835A8B"/>
    <w:rsid w:val="00835AE9"/>
    <w:rsid w:val="00835B21"/>
    <w:rsid w:val="00835CA8"/>
    <w:rsid w:val="00835E78"/>
    <w:rsid w:val="00835F42"/>
    <w:rsid w:val="0083623D"/>
    <w:rsid w:val="008362F2"/>
    <w:rsid w:val="00836592"/>
    <w:rsid w:val="00836A9E"/>
    <w:rsid w:val="00836CB7"/>
    <w:rsid w:val="00836E0F"/>
    <w:rsid w:val="00837715"/>
    <w:rsid w:val="00837C2E"/>
    <w:rsid w:val="008403AC"/>
    <w:rsid w:val="008407A4"/>
    <w:rsid w:val="00840888"/>
    <w:rsid w:val="00840B60"/>
    <w:rsid w:val="00840CA0"/>
    <w:rsid w:val="00840CE4"/>
    <w:rsid w:val="00840E9D"/>
    <w:rsid w:val="00841052"/>
    <w:rsid w:val="00841074"/>
    <w:rsid w:val="00841609"/>
    <w:rsid w:val="00841660"/>
    <w:rsid w:val="00841BCE"/>
    <w:rsid w:val="00841EF2"/>
    <w:rsid w:val="00841EFA"/>
    <w:rsid w:val="00841F61"/>
    <w:rsid w:val="00841FF9"/>
    <w:rsid w:val="008420FD"/>
    <w:rsid w:val="0084240F"/>
    <w:rsid w:val="008429D2"/>
    <w:rsid w:val="00842C2B"/>
    <w:rsid w:val="00843200"/>
    <w:rsid w:val="008438E9"/>
    <w:rsid w:val="00843BE8"/>
    <w:rsid w:val="00843E9D"/>
    <w:rsid w:val="00844485"/>
    <w:rsid w:val="00844AFF"/>
    <w:rsid w:val="00844F5B"/>
    <w:rsid w:val="00845489"/>
    <w:rsid w:val="008456D0"/>
    <w:rsid w:val="00845923"/>
    <w:rsid w:val="008459C2"/>
    <w:rsid w:val="00845D7A"/>
    <w:rsid w:val="008462EB"/>
    <w:rsid w:val="00846BDD"/>
    <w:rsid w:val="00846D3D"/>
    <w:rsid w:val="00846F8B"/>
    <w:rsid w:val="0084784A"/>
    <w:rsid w:val="008478BD"/>
    <w:rsid w:val="00847CEA"/>
    <w:rsid w:val="00847DFC"/>
    <w:rsid w:val="00850225"/>
    <w:rsid w:val="008504E1"/>
    <w:rsid w:val="00850C53"/>
    <w:rsid w:val="00850EB3"/>
    <w:rsid w:val="00852DED"/>
    <w:rsid w:val="00852E01"/>
    <w:rsid w:val="008530B9"/>
    <w:rsid w:val="008531EF"/>
    <w:rsid w:val="008535A2"/>
    <w:rsid w:val="00853986"/>
    <w:rsid w:val="00853DFA"/>
    <w:rsid w:val="00854051"/>
    <w:rsid w:val="008542B4"/>
    <w:rsid w:val="008546B6"/>
    <w:rsid w:val="008549BD"/>
    <w:rsid w:val="00854D5F"/>
    <w:rsid w:val="00854EC7"/>
    <w:rsid w:val="0085521F"/>
    <w:rsid w:val="008553D8"/>
    <w:rsid w:val="00855454"/>
    <w:rsid w:val="00855B0E"/>
    <w:rsid w:val="00855DB6"/>
    <w:rsid w:val="00855FB1"/>
    <w:rsid w:val="00855FDA"/>
    <w:rsid w:val="0085654C"/>
    <w:rsid w:val="00856594"/>
    <w:rsid w:val="0085694D"/>
    <w:rsid w:val="00856C95"/>
    <w:rsid w:val="00856FDC"/>
    <w:rsid w:val="0085730B"/>
    <w:rsid w:val="00857AF9"/>
    <w:rsid w:val="00857C7A"/>
    <w:rsid w:val="00857E20"/>
    <w:rsid w:val="00857F55"/>
    <w:rsid w:val="00860086"/>
    <w:rsid w:val="00860167"/>
    <w:rsid w:val="008602B9"/>
    <w:rsid w:val="008606AC"/>
    <w:rsid w:val="008614A3"/>
    <w:rsid w:val="00861BF6"/>
    <w:rsid w:val="00861FB6"/>
    <w:rsid w:val="008620B2"/>
    <w:rsid w:val="0086214B"/>
    <w:rsid w:val="008623DC"/>
    <w:rsid w:val="00862418"/>
    <w:rsid w:val="00862441"/>
    <w:rsid w:val="00862898"/>
    <w:rsid w:val="00862B5F"/>
    <w:rsid w:val="00862EF3"/>
    <w:rsid w:val="00862F00"/>
    <w:rsid w:val="0086342A"/>
    <w:rsid w:val="008639C1"/>
    <w:rsid w:val="008639C3"/>
    <w:rsid w:val="00863BA4"/>
    <w:rsid w:val="00863BD7"/>
    <w:rsid w:val="00863C8D"/>
    <w:rsid w:val="00863D46"/>
    <w:rsid w:val="00863D71"/>
    <w:rsid w:val="00863DDF"/>
    <w:rsid w:val="00864357"/>
    <w:rsid w:val="0086449C"/>
    <w:rsid w:val="00864668"/>
    <w:rsid w:val="008649FE"/>
    <w:rsid w:val="00865B10"/>
    <w:rsid w:val="00865CE2"/>
    <w:rsid w:val="00865D6E"/>
    <w:rsid w:val="00866410"/>
    <w:rsid w:val="00866B95"/>
    <w:rsid w:val="00866E09"/>
    <w:rsid w:val="0086704C"/>
    <w:rsid w:val="008676AF"/>
    <w:rsid w:val="00867786"/>
    <w:rsid w:val="008679CB"/>
    <w:rsid w:val="00867B0C"/>
    <w:rsid w:val="00867BD8"/>
    <w:rsid w:val="00867E6E"/>
    <w:rsid w:val="008707D0"/>
    <w:rsid w:val="0087095A"/>
    <w:rsid w:val="00870B5A"/>
    <w:rsid w:val="00870C0D"/>
    <w:rsid w:val="00870EAB"/>
    <w:rsid w:val="00871110"/>
    <w:rsid w:val="008711E0"/>
    <w:rsid w:val="00871615"/>
    <w:rsid w:val="008716FC"/>
    <w:rsid w:val="00871E79"/>
    <w:rsid w:val="00871EA2"/>
    <w:rsid w:val="00871F02"/>
    <w:rsid w:val="00871F70"/>
    <w:rsid w:val="00872403"/>
    <w:rsid w:val="00872FC7"/>
    <w:rsid w:val="0087303E"/>
    <w:rsid w:val="00873267"/>
    <w:rsid w:val="0087349F"/>
    <w:rsid w:val="008736D4"/>
    <w:rsid w:val="00873BC9"/>
    <w:rsid w:val="00873D2B"/>
    <w:rsid w:val="008740C1"/>
    <w:rsid w:val="00874949"/>
    <w:rsid w:val="00874D5F"/>
    <w:rsid w:val="0087545F"/>
    <w:rsid w:val="008761BA"/>
    <w:rsid w:val="008763CC"/>
    <w:rsid w:val="00876AF0"/>
    <w:rsid w:val="00876CD0"/>
    <w:rsid w:val="00876E6E"/>
    <w:rsid w:val="00876EF2"/>
    <w:rsid w:val="00876FE1"/>
    <w:rsid w:val="008771BE"/>
    <w:rsid w:val="008774D7"/>
    <w:rsid w:val="008775A1"/>
    <w:rsid w:val="008778C9"/>
    <w:rsid w:val="008778E4"/>
    <w:rsid w:val="00877AA1"/>
    <w:rsid w:val="00877FEF"/>
    <w:rsid w:val="008800AF"/>
    <w:rsid w:val="00880104"/>
    <w:rsid w:val="00880292"/>
    <w:rsid w:val="00880616"/>
    <w:rsid w:val="00880D67"/>
    <w:rsid w:val="008814B1"/>
    <w:rsid w:val="0088164E"/>
    <w:rsid w:val="00881ABE"/>
    <w:rsid w:val="00881AFE"/>
    <w:rsid w:val="00881FF2"/>
    <w:rsid w:val="00882052"/>
    <w:rsid w:val="00882714"/>
    <w:rsid w:val="008828E6"/>
    <w:rsid w:val="00883273"/>
    <w:rsid w:val="008832D3"/>
    <w:rsid w:val="0088340B"/>
    <w:rsid w:val="00883457"/>
    <w:rsid w:val="00883EC7"/>
    <w:rsid w:val="00883F41"/>
    <w:rsid w:val="00884613"/>
    <w:rsid w:val="00885661"/>
    <w:rsid w:val="00885A9D"/>
    <w:rsid w:val="008861A0"/>
    <w:rsid w:val="00886869"/>
    <w:rsid w:val="0088739A"/>
    <w:rsid w:val="00887425"/>
    <w:rsid w:val="00887C21"/>
    <w:rsid w:val="008905A6"/>
    <w:rsid w:val="00890A9A"/>
    <w:rsid w:val="00890ECD"/>
    <w:rsid w:val="00891183"/>
    <w:rsid w:val="008914FD"/>
    <w:rsid w:val="00891C1B"/>
    <w:rsid w:val="00891D48"/>
    <w:rsid w:val="00891E5B"/>
    <w:rsid w:val="00891E88"/>
    <w:rsid w:val="0089203A"/>
    <w:rsid w:val="0089296A"/>
    <w:rsid w:val="008929B9"/>
    <w:rsid w:val="008929FB"/>
    <w:rsid w:val="00892CDA"/>
    <w:rsid w:val="00892DD0"/>
    <w:rsid w:val="00893109"/>
    <w:rsid w:val="008932B4"/>
    <w:rsid w:val="0089333D"/>
    <w:rsid w:val="00893F24"/>
    <w:rsid w:val="00893F9C"/>
    <w:rsid w:val="00893FCE"/>
    <w:rsid w:val="00893FEF"/>
    <w:rsid w:val="00894A62"/>
    <w:rsid w:val="00894C9B"/>
    <w:rsid w:val="00894F77"/>
    <w:rsid w:val="008952D3"/>
    <w:rsid w:val="00895437"/>
    <w:rsid w:val="008954F1"/>
    <w:rsid w:val="00895AF7"/>
    <w:rsid w:val="00895D5C"/>
    <w:rsid w:val="00895D61"/>
    <w:rsid w:val="00896042"/>
    <w:rsid w:val="00896118"/>
    <w:rsid w:val="00896180"/>
    <w:rsid w:val="008961DA"/>
    <w:rsid w:val="00896228"/>
    <w:rsid w:val="00896313"/>
    <w:rsid w:val="00896A26"/>
    <w:rsid w:val="00896BA1"/>
    <w:rsid w:val="00896C26"/>
    <w:rsid w:val="00896C31"/>
    <w:rsid w:val="00896CC2"/>
    <w:rsid w:val="008974CA"/>
    <w:rsid w:val="00897B2A"/>
    <w:rsid w:val="008A01AA"/>
    <w:rsid w:val="008A035E"/>
    <w:rsid w:val="008A04F7"/>
    <w:rsid w:val="008A0627"/>
    <w:rsid w:val="008A0C5B"/>
    <w:rsid w:val="008A0F3B"/>
    <w:rsid w:val="008A140F"/>
    <w:rsid w:val="008A29A7"/>
    <w:rsid w:val="008A29BD"/>
    <w:rsid w:val="008A2B55"/>
    <w:rsid w:val="008A2C57"/>
    <w:rsid w:val="008A2D97"/>
    <w:rsid w:val="008A2DFF"/>
    <w:rsid w:val="008A333F"/>
    <w:rsid w:val="008A352B"/>
    <w:rsid w:val="008A3617"/>
    <w:rsid w:val="008A3CF1"/>
    <w:rsid w:val="008A3FAA"/>
    <w:rsid w:val="008A4106"/>
    <w:rsid w:val="008A42B3"/>
    <w:rsid w:val="008A42EA"/>
    <w:rsid w:val="008A4326"/>
    <w:rsid w:val="008A44CA"/>
    <w:rsid w:val="008A458C"/>
    <w:rsid w:val="008A4813"/>
    <w:rsid w:val="008A485F"/>
    <w:rsid w:val="008A499E"/>
    <w:rsid w:val="008A4C37"/>
    <w:rsid w:val="008A4DEF"/>
    <w:rsid w:val="008A4F9F"/>
    <w:rsid w:val="008A518E"/>
    <w:rsid w:val="008A52FC"/>
    <w:rsid w:val="008A5804"/>
    <w:rsid w:val="008A58B6"/>
    <w:rsid w:val="008A58CA"/>
    <w:rsid w:val="008A5C2A"/>
    <w:rsid w:val="008A6109"/>
    <w:rsid w:val="008A6126"/>
    <w:rsid w:val="008A632E"/>
    <w:rsid w:val="008A6502"/>
    <w:rsid w:val="008A6547"/>
    <w:rsid w:val="008A659D"/>
    <w:rsid w:val="008A6A0A"/>
    <w:rsid w:val="008A6CB1"/>
    <w:rsid w:val="008A7368"/>
    <w:rsid w:val="008A76DB"/>
    <w:rsid w:val="008A79E0"/>
    <w:rsid w:val="008A7BAC"/>
    <w:rsid w:val="008B0B17"/>
    <w:rsid w:val="008B0BC2"/>
    <w:rsid w:val="008B0D98"/>
    <w:rsid w:val="008B128B"/>
    <w:rsid w:val="008B1723"/>
    <w:rsid w:val="008B1761"/>
    <w:rsid w:val="008B197C"/>
    <w:rsid w:val="008B19D5"/>
    <w:rsid w:val="008B2030"/>
    <w:rsid w:val="008B2036"/>
    <w:rsid w:val="008B261E"/>
    <w:rsid w:val="008B2C4A"/>
    <w:rsid w:val="008B3A5A"/>
    <w:rsid w:val="008B3B0A"/>
    <w:rsid w:val="008B4353"/>
    <w:rsid w:val="008B439F"/>
    <w:rsid w:val="008B43D7"/>
    <w:rsid w:val="008B4A06"/>
    <w:rsid w:val="008B4FCD"/>
    <w:rsid w:val="008B4FF4"/>
    <w:rsid w:val="008B5933"/>
    <w:rsid w:val="008B5C80"/>
    <w:rsid w:val="008B69AC"/>
    <w:rsid w:val="008B7090"/>
    <w:rsid w:val="008B75DF"/>
    <w:rsid w:val="008B7AE2"/>
    <w:rsid w:val="008B7BBB"/>
    <w:rsid w:val="008C00C5"/>
    <w:rsid w:val="008C00CF"/>
    <w:rsid w:val="008C03D2"/>
    <w:rsid w:val="008C062B"/>
    <w:rsid w:val="008C07B3"/>
    <w:rsid w:val="008C08FB"/>
    <w:rsid w:val="008C0AB0"/>
    <w:rsid w:val="008C10C7"/>
    <w:rsid w:val="008C15E3"/>
    <w:rsid w:val="008C1670"/>
    <w:rsid w:val="008C1A9B"/>
    <w:rsid w:val="008C1B43"/>
    <w:rsid w:val="008C1E60"/>
    <w:rsid w:val="008C2342"/>
    <w:rsid w:val="008C2885"/>
    <w:rsid w:val="008C2A26"/>
    <w:rsid w:val="008C30A2"/>
    <w:rsid w:val="008C30B4"/>
    <w:rsid w:val="008C3274"/>
    <w:rsid w:val="008C32AE"/>
    <w:rsid w:val="008C348E"/>
    <w:rsid w:val="008C3E11"/>
    <w:rsid w:val="008C482F"/>
    <w:rsid w:val="008C5269"/>
    <w:rsid w:val="008C55E1"/>
    <w:rsid w:val="008C5831"/>
    <w:rsid w:val="008C6264"/>
    <w:rsid w:val="008C6BA7"/>
    <w:rsid w:val="008C6BFD"/>
    <w:rsid w:val="008C7DFE"/>
    <w:rsid w:val="008D038E"/>
    <w:rsid w:val="008D0571"/>
    <w:rsid w:val="008D084B"/>
    <w:rsid w:val="008D08BF"/>
    <w:rsid w:val="008D0B63"/>
    <w:rsid w:val="008D10F3"/>
    <w:rsid w:val="008D1696"/>
    <w:rsid w:val="008D1AAF"/>
    <w:rsid w:val="008D231F"/>
    <w:rsid w:val="008D258B"/>
    <w:rsid w:val="008D2A09"/>
    <w:rsid w:val="008D2A10"/>
    <w:rsid w:val="008D2B45"/>
    <w:rsid w:val="008D2DD5"/>
    <w:rsid w:val="008D2F68"/>
    <w:rsid w:val="008D30A6"/>
    <w:rsid w:val="008D3338"/>
    <w:rsid w:val="008D3535"/>
    <w:rsid w:val="008D39D8"/>
    <w:rsid w:val="008D3C79"/>
    <w:rsid w:val="008D3D09"/>
    <w:rsid w:val="008D3D0C"/>
    <w:rsid w:val="008D3FA2"/>
    <w:rsid w:val="008D4253"/>
    <w:rsid w:val="008D42FD"/>
    <w:rsid w:val="008D456D"/>
    <w:rsid w:val="008D4AD0"/>
    <w:rsid w:val="008D4D87"/>
    <w:rsid w:val="008D4E52"/>
    <w:rsid w:val="008D504D"/>
    <w:rsid w:val="008D52AB"/>
    <w:rsid w:val="008D55B8"/>
    <w:rsid w:val="008D6CEA"/>
    <w:rsid w:val="008D6D2C"/>
    <w:rsid w:val="008D71B8"/>
    <w:rsid w:val="008D74F1"/>
    <w:rsid w:val="008D7569"/>
    <w:rsid w:val="008D769B"/>
    <w:rsid w:val="008D76DB"/>
    <w:rsid w:val="008D7B44"/>
    <w:rsid w:val="008D7C40"/>
    <w:rsid w:val="008D7C41"/>
    <w:rsid w:val="008D7D66"/>
    <w:rsid w:val="008D7E38"/>
    <w:rsid w:val="008E0723"/>
    <w:rsid w:val="008E083A"/>
    <w:rsid w:val="008E099C"/>
    <w:rsid w:val="008E0B2E"/>
    <w:rsid w:val="008E0D85"/>
    <w:rsid w:val="008E131A"/>
    <w:rsid w:val="008E188A"/>
    <w:rsid w:val="008E1A53"/>
    <w:rsid w:val="008E1DB1"/>
    <w:rsid w:val="008E1F08"/>
    <w:rsid w:val="008E1FCE"/>
    <w:rsid w:val="008E2180"/>
    <w:rsid w:val="008E2455"/>
    <w:rsid w:val="008E24CC"/>
    <w:rsid w:val="008E2532"/>
    <w:rsid w:val="008E2695"/>
    <w:rsid w:val="008E28F8"/>
    <w:rsid w:val="008E2EA8"/>
    <w:rsid w:val="008E325E"/>
    <w:rsid w:val="008E33F3"/>
    <w:rsid w:val="008E364F"/>
    <w:rsid w:val="008E36EE"/>
    <w:rsid w:val="008E37F2"/>
    <w:rsid w:val="008E3B66"/>
    <w:rsid w:val="008E3BDD"/>
    <w:rsid w:val="008E3FAA"/>
    <w:rsid w:val="008E4557"/>
    <w:rsid w:val="008E4869"/>
    <w:rsid w:val="008E488A"/>
    <w:rsid w:val="008E4922"/>
    <w:rsid w:val="008E4A28"/>
    <w:rsid w:val="008E4D56"/>
    <w:rsid w:val="008E4DB1"/>
    <w:rsid w:val="008E4F34"/>
    <w:rsid w:val="008E5205"/>
    <w:rsid w:val="008E534B"/>
    <w:rsid w:val="008E5998"/>
    <w:rsid w:val="008E5FDD"/>
    <w:rsid w:val="008E62D5"/>
    <w:rsid w:val="008E62E6"/>
    <w:rsid w:val="008E64EE"/>
    <w:rsid w:val="008E64F8"/>
    <w:rsid w:val="008E685F"/>
    <w:rsid w:val="008E6DBD"/>
    <w:rsid w:val="008E72CD"/>
    <w:rsid w:val="008E7504"/>
    <w:rsid w:val="008E78A2"/>
    <w:rsid w:val="008E79B3"/>
    <w:rsid w:val="008F061F"/>
    <w:rsid w:val="008F0655"/>
    <w:rsid w:val="008F070F"/>
    <w:rsid w:val="008F0762"/>
    <w:rsid w:val="008F0914"/>
    <w:rsid w:val="008F09F7"/>
    <w:rsid w:val="008F0AD3"/>
    <w:rsid w:val="008F0AEB"/>
    <w:rsid w:val="008F0B18"/>
    <w:rsid w:val="008F12B1"/>
    <w:rsid w:val="008F174A"/>
    <w:rsid w:val="008F1B49"/>
    <w:rsid w:val="008F1B5B"/>
    <w:rsid w:val="008F2274"/>
    <w:rsid w:val="008F2C8D"/>
    <w:rsid w:val="008F3C45"/>
    <w:rsid w:val="008F3C5D"/>
    <w:rsid w:val="008F42FA"/>
    <w:rsid w:val="008F438A"/>
    <w:rsid w:val="008F4525"/>
    <w:rsid w:val="008F4880"/>
    <w:rsid w:val="008F4D3E"/>
    <w:rsid w:val="008F4DB9"/>
    <w:rsid w:val="008F529E"/>
    <w:rsid w:val="008F52B7"/>
    <w:rsid w:val="008F58E2"/>
    <w:rsid w:val="008F5E42"/>
    <w:rsid w:val="008F632E"/>
    <w:rsid w:val="008F6423"/>
    <w:rsid w:val="008F6C19"/>
    <w:rsid w:val="008F6D1F"/>
    <w:rsid w:val="008F6EC0"/>
    <w:rsid w:val="008F74A6"/>
    <w:rsid w:val="008F76C6"/>
    <w:rsid w:val="008F78BE"/>
    <w:rsid w:val="008F7A47"/>
    <w:rsid w:val="00900508"/>
    <w:rsid w:val="00900862"/>
    <w:rsid w:val="00900D01"/>
    <w:rsid w:val="00900DE2"/>
    <w:rsid w:val="00900E23"/>
    <w:rsid w:val="009018E6"/>
    <w:rsid w:val="00901CF0"/>
    <w:rsid w:val="00902503"/>
    <w:rsid w:val="0090254A"/>
    <w:rsid w:val="00902AA7"/>
    <w:rsid w:val="00902C5C"/>
    <w:rsid w:val="009033B3"/>
    <w:rsid w:val="009033B6"/>
    <w:rsid w:val="00903D09"/>
    <w:rsid w:val="00903E37"/>
    <w:rsid w:val="00903E3D"/>
    <w:rsid w:val="00903ECC"/>
    <w:rsid w:val="00904C8D"/>
    <w:rsid w:val="00904E76"/>
    <w:rsid w:val="00904F1F"/>
    <w:rsid w:val="009056AC"/>
    <w:rsid w:val="00905D4A"/>
    <w:rsid w:val="00906051"/>
    <w:rsid w:val="00906092"/>
    <w:rsid w:val="00906909"/>
    <w:rsid w:val="009069A0"/>
    <w:rsid w:val="00906BEF"/>
    <w:rsid w:val="00906D57"/>
    <w:rsid w:val="00906E3D"/>
    <w:rsid w:val="00907405"/>
    <w:rsid w:val="009074C3"/>
    <w:rsid w:val="00907A53"/>
    <w:rsid w:val="00907AE6"/>
    <w:rsid w:val="0091022F"/>
    <w:rsid w:val="00910BC3"/>
    <w:rsid w:val="00910FE7"/>
    <w:rsid w:val="009110D2"/>
    <w:rsid w:val="009111A1"/>
    <w:rsid w:val="00911222"/>
    <w:rsid w:val="00911300"/>
    <w:rsid w:val="009119A4"/>
    <w:rsid w:val="009126E9"/>
    <w:rsid w:val="00912A54"/>
    <w:rsid w:val="00912CB4"/>
    <w:rsid w:val="00912FC0"/>
    <w:rsid w:val="0091316C"/>
    <w:rsid w:val="00913246"/>
    <w:rsid w:val="00913258"/>
    <w:rsid w:val="0091331A"/>
    <w:rsid w:val="009134E7"/>
    <w:rsid w:val="0091354B"/>
    <w:rsid w:val="00913B22"/>
    <w:rsid w:val="00913BE6"/>
    <w:rsid w:val="00913D83"/>
    <w:rsid w:val="0091408F"/>
    <w:rsid w:val="009151E4"/>
    <w:rsid w:val="00915B70"/>
    <w:rsid w:val="00915E57"/>
    <w:rsid w:val="00915E70"/>
    <w:rsid w:val="009160A4"/>
    <w:rsid w:val="00916293"/>
    <w:rsid w:val="00916441"/>
    <w:rsid w:val="009166FF"/>
    <w:rsid w:val="00916C79"/>
    <w:rsid w:val="00916DA8"/>
    <w:rsid w:val="00916F80"/>
    <w:rsid w:val="00917111"/>
    <w:rsid w:val="009173AE"/>
    <w:rsid w:val="0091753C"/>
    <w:rsid w:val="00917D90"/>
    <w:rsid w:val="00917FE6"/>
    <w:rsid w:val="009201F0"/>
    <w:rsid w:val="0092049B"/>
    <w:rsid w:val="0092079B"/>
    <w:rsid w:val="00921128"/>
    <w:rsid w:val="0092141D"/>
    <w:rsid w:val="00921564"/>
    <w:rsid w:val="00921598"/>
    <w:rsid w:val="00921A13"/>
    <w:rsid w:val="00921A36"/>
    <w:rsid w:val="00921C66"/>
    <w:rsid w:val="00921FD2"/>
    <w:rsid w:val="009229B8"/>
    <w:rsid w:val="00922C54"/>
    <w:rsid w:val="00922F50"/>
    <w:rsid w:val="0092312D"/>
    <w:rsid w:val="00923655"/>
    <w:rsid w:val="00923792"/>
    <w:rsid w:val="009238B6"/>
    <w:rsid w:val="00923BCF"/>
    <w:rsid w:val="00923BD2"/>
    <w:rsid w:val="00923CB3"/>
    <w:rsid w:val="00924293"/>
    <w:rsid w:val="00924890"/>
    <w:rsid w:val="009248B1"/>
    <w:rsid w:val="009252D0"/>
    <w:rsid w:val="009255C2"/>
    <w:rsid w:val="009256D3"/>
    <w:rsid w:val="00925968"/>
    <w:rsid w:val="00925A0F"/>
    <w:rsid w:val="00925C14"/>
    <w:rsid w:val="00925C76"/>
    <w:rsid w:val="00926437"/>
    <w:rsid w:val="00926476"/>
    <w:rsid w:val="00926973"/>
    <w:rsid w:val="00926E87"/>
    <w:rsid w:val="0092712F"/>
    <w:rsid w:val="00927255"/>
    <w:rsid w:val="00927B5E"/>
    <w:rsid w:val="00927C83"/>
    <w:rsid w:val="00927F1A"/>
    <w:rsid w:val="00930172"/>
    <w:rsid w:val="00930231"/>
    <w:rsid w:val="0093094E"/>
    <w:rsid w:val="00930B1E"/>
    <w:rsid w:val="00931206"/>
    <w:rsid w:val="009314B4"/>
    <w:rsid w:val="00931614"/>
    <w:rsid w:val="00931678"/>
    <w:rsid w:val="00931706"/>
    <w:rsid w:val="00931AE1"/>
    <w:rsid w:val="0093207D"/>
    <w:rsid w:val="009320D5"/>
    <w:rsid w:val="00932171"/>
    <w:rsid w:val="00932788"/>
    <w:rsid w:val="00932A7C"/>
    <w:rsid w:val="00932BEF"/>
    <w:rsid w:val="00932C8E"/>
    <w:rsid w:val="00932F73"/>
    <w:rsid w:val="0093307E"/>
    <w:rsid w:val="009335A6"/>
    <w:rsid w:val="00933642"/>
    <w:rsid w:val="0093366F"/>
    <w:rsid w:val="00933796"/>
    <w:rsid w:val="009338E7"/>
    <w:rsid w:val="00933A6E"/>
    <w:rsid w:val="00933D04"/>
    <w:rsid w:val="00933E27"/>
    <w:rsid w:val="00933E78"/>
    <w:rsid w:val="009346C4"/>
    <w:rsid w:val="009349E9"/>
    <w:rsid w:val="00934A71"/>
    <w:rsid w:val="00934B00"/>
    <w:rsid w:val="00934CFE"/>
    <w:rsid w:val="00935042"/>
    <w:rsid w:val="00935548"/>
    <w:rsid w:val="0093598D"/>
    <w:rsid w:val="00935A4D"/>
    <w:rsid w:val="00935E93"/>
    <w:rsid w:val="00935EFE"/>
    <w:rsid w:val="00936000"/>
    <w:rsid w:val="00936C09"/>
    <w:rsid w:val="00936D93"/>
    <w:rsid w:val="009373FF"/>
    <w:rsid w:val="00937731"/>
    <w:rsid w:val="009377C3"/>
    <w:rsid w:val="00937BF2"/>
    <w:rsid w:val="00940082"/>
    <w:rsid w:val="00940181"/>
    <w:rsid w:val="009401A4"/>
    <w:rsid w:val="009401B5"/>
    <w:rsid w:val="00940AA4"/>
    <w:rsid w:val="00940C42"/>
    <w:rsid w:val="00941995"/>
    <w:rsid w:val="0094221F"/>
    <w:rsid w:val="00942496"/>
    <w:rsid w:val="009425B7"/>
    <w:rsid w:val="009428D9"/>
    <w:rsid w:val="00942C67"/>
    <w:rsid w:val="00942D03"/>
    <w:rsid w:val="009431A3"/>
    <w:rsid w:val="00943294"/>
    <w:rsid w:val="0094331B"/>
    <w:rsid w:val="00943324"/>
    <w:rsid w:val="0094343C"/>
    <w:rsid w:val="009438C0"/>
    <w:rsid w:val="009439E6"/>
    <w:rsid w:val="00943DA3"/>
    <w:rsid w:val="0094445C"/>
    <w:rsid w:val="009444C5"/>
    <w:rsid w:val="00944579"/>
    <w:rsid w:val="0094479A"/>
    <w:rsid w:val="00944AEA"/>
    <w:rsid w:val="00944E8B"/>
    <w:rsid w:val="0094508F"/>
    <w:rsid w:val="00945158"/>
    <w:rsid w:val="00945489"/>
    <w:rsid w:val="00945575"/>
    <w:rsid w:val="00945692"/>
    <w:rsid w:val="00945A8F"/>
    <w:rsid w:val="0094620A"/>
    <w:rsid w:val="009462BB"/>
    <w:rsid w:val="009462E5"/>
    <w:rsid w:val="00946983"/>
    <w:rsid w:val="00946D5B"/>
    <w:rsid w:val="00946EB3"/>
    <w:rsid w:val="00946FC7"/>
    <w:rsid w:val="0094702B"/>
    <w:rsid w:val="009474AE"/>
    <w:rsid w:val="00947795"/>
    <w:rsid w:val="009501FD"/>
    <w:rsid w:val="009509F2"/>
    <w:rsid w:val="00950A60"/>
    <w:rsid w:val="009513E2"/>
    <w:rsid w:val="00951437"/>
    <w:rsid w:val="00951721"/>
    <w:rsid w:val="009518A4"/>
    <w:rsid w:val="009518EA"/>
    <w:rsid w:val="00951AD7"/>
    <w:rsid w:val="0095230D"/>
    <w:rsid w:val="00952427"/>
    <w:rsid w:val="00952E28"/>
    <w:rsid w:val="00952E2A"/>
    <w:rsid w:val="00952FEA"/>
    <w:rsid w:val="0095302B"/>
    <w:rsid w:val="00953114"/>
    <w:rsid w:val="00953542"/>
    <w:rsid w:val="00953990"/>
    <w:rsid w:val="00953A29"/>
    <w:rsid w:val="00953C1A"/>
    <w:rsid w:val="00953D34"/>
    <w:rsid w:val="00954DE2"/>
    <w:rsid w:val="00955104"/>
    <w:rsid w:val="00955119"/>
    <w:rsid w:val="009554D2"/>
    <w:rsid w:val="009555A1"/>
    <w:rsid w:val="009556B1"/>
    <w:rsid w:val="009559FB"/>
    <w:rsid w:val="009561FA"/>
    <w:rsid w:val="00956373"/>
    <w:rsid w:val="0095659B"/>
    <w:rsid w:val="00956AFA"/>
    <w:rsid w:val="00956C9A"/>
    <w:rsid w:val="00956E32"/>
    <w:rsid w:val="009571C6"/>
    <w:rsid w:val="009573A8"/>
    <w:rsid w:val="00957690"/>
    <w:rsid w:val="00957757"/>
    <w:rsid w:val="00957779"/>
    <w:rsid w:val="0095792A"/>
    <w:rsid w:val="00960139"/>
    <w:rsid w:val="00960293"/>
    <w:rsid w:val="009607F4"/>
    <w:rsid w:val="00960852"/>
    <w:rsid w:val="00960872"/>
    <w:rsid w:val="00960898"/>
    <w:rsid w:val="009608B2"/>
    <w:rsid w:val="00961227"/>
    <w:rsid w:val="0096172B"/>
    <w:rsid w:val="00961972"/>
    <w:rsid w:val="00961C03"/>
    <w:rsid w:val="00961C48"/>
    <w:rsid w:val="00961ECD"/>
    <w:rsid w:val="00961F48"/>
    <w:rsid w:val="009621FF"/>
    <w:rsid w:val="009625A9"/>
    <w:rsid w:val="00962DD7"/>
    <w:rsid w:val="00962EC4"/>
    <w:rsid w:val="0096305A"/>
    <w:rsid w:val="0096328A"/>
    <w:rsid w:val="0096335B"/>
    <w:rsid w:val="009636AB"/>
    <w:rsid w:val="009638D4"/>
    <w:rsid w:val="00963C1D"/>
    <w:rsid w:val="00963FCE"/>
    <w:rsid w:val="009643B3"/>
    <w:rsid w:val="009643F8"/>
    <w:rsid w:val="009644C7"/>
    <w:rsid w:val="00964525"/>
    <w:rsid w:val="00964840"/>
    <w:rsid w:val="009649A3"/>
    <w:rsid w:val="00964D30"/>
    <w:rsid w:val="00964F5A"/>
    <w:rsid w:val="00965047"/>
    <w:rsid w:val="0096505E"/>
    <w:rsid w:val="009650A9"/>
    <w:rsid w:val="00965186"/>
    <w:rsid w:val="00965285"/>
    <w:rsid w:val="00965E51"/>
    <w:rsid w:val="00965FA4"/>
    <w:rsid w:val="009661BE"/>
    <w:rsid w:val="009661C8"/>
    <w:rsid w:val="00966832"/>
    <w:rsid w:val="00966947"/>
    <w:rsid w:val="00966DDC"/>
    <w:rsid w:val="00966E88"/>
    <w:rsid w:val="009672AF"/>
    <w:rsid w:val="00967302"/>
    <w:rsid w:val="009679E7"/>
    <w:rsid w:val="0097075D"/>
    <w:rsid w:val="00970C17"/>
    <w:rsid w:val="00970F28"/>
    <w:rsid w:val="009710F7"/>
    <w:rsid w:val="00971111"/>
    <w:rsid w:val="009718BB"/>
    <w:rsid w:val="009719B4"/>
    <w:rsid w:val="00971A64"/>
    <w:rsid w:val="00971EDA"/>
    <w:rsid w:val="0097268F"/>
    <w:rsid w:val="009726F5"/>
    <w:rsid w:val="00972791"/>
    <w:rsid w:val="009727E5"/>
    <w:rsid w:val="009733C9"/>
    <w:rsid w:val="009734C2"/>
    <w:rsid w:val="009735C2"/>
    <w:rsid w:val="009736DA"/>
    <w:rsid w:val="009736FD"/>
    <w:rsid w:val="009737A1"/>
    <w:rsid w:val="00973D5B"/>
    <w:rsid w:val="00973E4E"/>
    <w:rsid w:val="0097400E"/>
    <w:rsid w:val="00974309"/>
    <w:rsid w:val="00974504"/>
    <w:rsid w:val="009746B3"/>
    <w:rsid w:val="009747B4"/>
    <w:rsid w:val="00974ADB"/>
    <w:rsid w:val="0097501F"/>
    <w:rsid w:val="00975446"/>
    <w:rsid w:val="009755F9"/>
    <w:rsid w:val="0097568F"/>
    <w:rsid w:val="00975FE9"/>
    <w:rsid w:val="00976544"/>
    <w:rsid w:val="00976569"/>
    <w:rsid w:val="0097696C"/>
    <w:rsid w:val="009769EA"/>
    <w:rsid w:val="009771C5"/>
    <w:rsid w:val="009774B6"/>
    <w:rsid w:val="00977801"/>
    <w:rsid w:val="0098016E"/>
    <w:rsid w:val="0098024F"/>
    <w:rsid w:val="009806BE"/>
    <w:rsid w:val="00980874"/>
    <w:rsid w:val="00980B62"/>
    <w:rsid w:val="00980D97"/>
    <w:rsid w:val="0098131C"/>
    <w:rsid w:val="009816E5"/>
    <w:rsid w:val="00981874"/>
    <w:rsid w:val="00981BD1"/>
    <w:rsid w:val="00982358"/>
    <w:rsid w:val="00982A5F"/>
    <w:rsid w:val="00982EDE"/>
    <w:rsid w:val="00983220"/>
    <w:rsid w:val="0098363A"/>
    <w:rsid w:val="00983A9F"/>
    <w:rsid w:val="00983AEA"/>
    <w:rsid w:val="00983D26"/>
    <w:rsid w:val="00983EBD"/>
    <w:rsid w:val="0098406D"/>
    <w:rsid w:val="009842BB"/>
    <w:rsid w:val="00984D75"/>
    <w:rsid w:val="00984FE2"/>
    <w:rsid w:val="0098500C"/>
    <w:rsid w:val="009850AB"/>
    <w:rsid w:val="009850DA"/>
    <w:rsid w:val="009854A1"/>
    <w:rsid w:val="009859F9"/>
    <w:rsid w:val="00985BCC"/>
    <w:rsid w:val="00985BD8"/>
    <w:rsid w:val="00985DF8"/>
    <w:rsid w:val="00985F68"/>
    <w:rsid w:val="00986160"/>
    <w:rsid w:val="0098619E"/>
    <w:rsid w:val="00986310"/>
    <w:rsid w:val="00986331"/>
    <w:rsid w:val="0098643D"/>
    <w:rsid w:val="009867C3"/>
    <w:rsid w:val="00986E15"/>
    <w:rsid w:val="00986E47"/>
    <w:rsid w:val="009872BD"/>
    <w:rsid w:val="00987607"/>
    <w:rsid w:val="009876C2"/>
    <w:rsid w:val="00987795"/>
    <w:rsid w:val="0098781D"/>
    <w:rsid w:val="00987F3E"/>
    <w:rsid w:val="009903D1"/>
    <w:rsid w:val="009905E3"/>
    <w:rsid w:val="009907C3"/>
    <w:rsid w:val="009907D2"/>
    <w:rsid w:val="0099098A"/>
    <w:rsid w:val="00990A29"/>
    <w:rsid w:val="00990C64"/>
    <w:rsid w:val="00990D9F"/>
    <w:rsid w:val="00990E4F"/>
    <w:rsid w:val="00990F05"/>
    <w:rsid w:val="009911B1"/>
    <w:rsid w:val="00991706"/>
    <w:rsid w:val="00991AA9"/>
    <w:rsid w:val="00991B4E"/>
    <w:rsid w:val="00991FE0"/>
    <w:rsid w:val="0099269F"/>
    <w:rsid w:val="00992745"/>
    <w:rsid w:val="00992839"/>
    <w:rsid w:val="00992E7D"/>
    <w:rsid w:val="00992FC4"/>
    <w:rsid w:val="0099332F"/>
    <w:rsid w:val="00993350"/>
    <w:rsid w:val="00993445"/>
    <w:rsid w:val="009937F7"/>
    <w:rsid w:val="00993B9C"/>
    <w:rsid w:val="00993DDE"/>
    <w:rsid w:val="00993EEE"/>
    <w:rsid w:val="009941FA"/>
    <w:rsid w:val="00994458"/>
    <w:rsid w:val="009949B9"/>
    <w:rsid w:val="00994E45"/>
    <w:rsid w:val="00995160"/>
    <w:rsid w:val="0099517B"/>
    <w:rsid w:val="00995498"/>
    <w:rsid w:val="009956AB"/>
    <w:rsid w:val="00995D99"/>
    <w:rsid w:val="00995E0F"/>
    <w:rsid w:val="00995E4D"/>
    <w:rsid w:val="00996585"/>
    <w:rsid w:val="00996857"/>
    <w:rsid w:val="009969B9"/>
    <w:rsid w:val="00996DAC"/>
    <w:rsid w:val="00996F51"/>
    <w:rsid w:val="00997330"/>
    <w:rsid w:val="009979F8"/>
    <w:rsid w:val="00997C3A"/>
    <w:rsid w:val="009A00A2"/>
    <w:rsid w:val="009A05E2"/>
    <w:rsid w:val="009A0773"/>
    <w:rsid w:val="009A07FF"/>
    <w:rsid w:val="009A0A2C"/>
    <w:rsid w:val="009A0AB6"/>
    <w:rsid w:val="009A0B6F"/>
    <w:rsid w:val="009A0E99"/>
    <w:rsid w:val="009A1256"/>
    <w:rsid w:val="009A182A"/>
    <w:rsid w:val="009A1A05"/>
    <w:rsid w:val="009A1AED"/>
    <w:rsid w:val="009A1BFF"/>
    <w:rsid w:val="009A1C2E"/>
    <w:rsid w:val="009A1F9E"/>
    <w:rsid w:val="009A1FA8"/>
    <w:rsid w:val="009A20D6"/>
    <w:rsid w:val="009A226F"/>
    <w:rsid w:val="009A2274"/>
    <w:rsid w:val="009A2291"/>
    <w:rsid w:val="009A2CFF"/>
    <w:rsid w:val="009A2DE4"/>
    <w:rsid w:val="009A3210"/>
    <w:rsid w:val="009A367C"/>
    <w:rsid w:val="009A39E2"/>
    <w:rsid w:val="009A3E05"/>
    <w:rsid w:val="009A3F41"/>
    <w:rsid w:val="009A445D"/>
    <w:rsid w:val="009A4A9F"/>
    <w:rsid w:val="009A4AE5"/>
    <w:rsid w:val="009A4E08"/>
    <w:rsid w:val="009A5339"/>
    <w:rsid w:val="009A5B4B"/>
    <w:rsid w:val="009A606D"/>
    <w:rsid w:val="009A6426"/>
    <w:rsid w:val="009A6550"/>
    <w:rsid w:val="009A697B"/>
    <w:rsid w:val="009A6DF6"/>
    <w:rsid w:val="009A6F5C"/>
    <w:rsid w:val="009A74EC"/>
    <w:rsid w:val="009A75F2"/>
    <w:rsid w:val="009A7BED"/>
    <w:rsid w:val="009B0341"/>
    <w:rsid w:val="009B03AE"/>
    <w:rsid w:val="009B04ED"/>
    <w:rsid w:val="009B0811"/>
    <w:rsid w:val="009B0F74"/>
    <w:rsid w:val="009B1858"/>
    <w:rsid w:val="009B1959"/>
    <w:rsid w:val="009B2580"/>
    <w:rsid w:val="009B263D"/>
    <w:rsid w:val="009B2721"/>
    <w:rsid w:val="009B277C"/>
    <w:rsid w:val="009B288A"/>
    <w:rsid w:val="009B2925"/>
    <w:rsid w:val="009B2B4E"/>
    <w:rsid w:val="009B2B67"/>
    <w:rsid w:val="009B2BEE"/>
    <w:rsid w:val="009B2E47"/>
    <w:rsid w:val="009B2FA2"/>
    <w:rsid w:val="009B2FCB"/>
    <w:rsid w:val="009B33EC"/>
    <w:rsid w:val="009B3441"/>
    <w:rsid w:val="009B353F"/>
    <w:rsid w:val="009B370B"/>
    <w:rsid w:val="009B3762"/>
    <w:rsid w:val="009B395D"/>
    <w:rsid w:val="009B3963"/>
    <w:rsid w:val="009B3AC6"/>
    <w:rsid w:val="009B3D47"/>
    <w:rsid w:val="009B443E"/>
    <w:rsid w:val="009B44A5"/>
    <w:rsid w:val="009B4602"/>
    <w:rsid w:val="009B47D5"/>
    <w:rsid w:val="009B481F"/>
    <w:rsid w:val="009B4BB8"/>
    <w:rsid w:val="009B59B8"/>
    <w:rsid w:val="009B5E2A"/>
    <w:rsid w:val="009B6112"/>
    <w:rsid w:val="009B73A2"/>
    <w:rsid w:val="009B7548"/>
    <w:rsid w:val="009B768E"/>
    <w:rsid w:val="009B79D0"/>
    <w:rsid w:val="009B7B83"/>
    <w:rsid w:val="009C0076"/>
    <w:rsid w:val="009C0096"/>
    <w:rsid w:val="009C00B1"/>
    <w:rsid w:val="009C04D5"/>
    <w:rsid w:val="009C05AF"/>
    <w:rsid w:val="009C05C6"/>
    <w:rsid w:val="009C0866"/>
    <w:rsid w:val="009C0CB3"/>
    <w:rsid w:val="009C0CDF"/>
    <w:rsid w:val="009C1010"/>
    <w:rsid w:val="009C1093"/>
    <w:rsid w:val="009C1440"/>
    <w:rsid w:val="009C15B1"/>
    <w:rsid w:val="009C16C4"/>
    <w:rsid w:val="009C1790"/>
    <w:rsid w:val="009C181A"/>
    <w:rsid w:val="009C1975"/>
    <w:rsid w:val="009C1C6F"/>
    <w:rsid w:val="009C1FE9"/>
    <w:rsid w:val="009C208B"/>
    <w:rsid w:val="009C20DB"/>
    <w:rsid w:val="009C2348"/>
    <w:rsid w:val="009C24F9"/>
    <w:rsid w:val="009C26C7"/>
    <w:rsid w:val="009C2751"/>
    <w:rsid w:val="009C2BFA"/>
    <w:rsid w:val="009C387E"/>
    <w:rsid w:val="009C3A29"/>
    <w:rsid w:val="009C3A3A"/>
    <w:rsid w:val="009C3C28"/>
    <w:rsid w:val="009C3ED6"/>
    <w:rsid w:val="009C3F2B"/>
    <w:rsid w:val="009C4297"/>
    <w:rsid w:val="009C42BB"/>
    <w:rsid w:val="009C446B"/>
    <w:rsid w:val="009C456C"/>
    <w:rsid w:val="009C4AD5"/>
    <w:rsid w:val="009C4EA9"/>
    <w:rsid w:val="009C4FCF"/>
    <w:rsid w:val="009C53B5"/>
    <w:rsid w:val="009C53D2"/>
    <w:rsid w:val="009C5DBC"/>
    <w:rsid w:val="009C5E39"/>
    <w:rsid w:val="009C6014"/>
    <w:rsid w:val="009C6115"/>
    <w:rsid w:val="009C63CE"/>
    <w:rsid w:val="009C67E1"/>
    <w:rsid w:val="009C687A"/>
    <w:rsid w:val="009C7214"/>
    <w:rsid w:val="009C76D9"/>
    <w:rsid w:val="009C79FF"/>
    <w:rsid w:val="009C7C88"/>
    <w:rsid w:val="009D0124"/>
    <w:rsid w:val="009D0248"/>
    <w:rsid w:val="009D057F"/>
    <w:rsid w:val="009D0A7B"/>
    <w:rsid w:val="009D0B2E"/>
    <w:rsid w:val="009D0C1D"/>
    <w:rsid w:val="009D101E"/>
    <w:rsid w:val="009D18B1"/>
    <w:rsid w:val="009D1993"/>
    <w:rsid w:val="009D19DC"/>
    <w:rsid w:val="009D1A65"/>
    <w:rsid w:val="009D1CCD"/>
    <w:rsid w:val="009D1D7E"/>
    <w:rsid w:val="009D251D"/>
    <w:rsid w:val="009D275C"/>
    <w:rsid w:val="009D2A11"/>
    <w:rsid w:val="009D2A17"/>
    <w:rsid w:val="009D2C71"/>
    <w:rsid w:val="009D2E02"/>
    <w:rsid w:val="009D37E6"/>
    <w:rsid w:val="009D3A8B"/>
    <w:rsid w:val="009D3C81"/>
    <w:rsid w:val="009D42B4"/>
    <w:rsid w:val="009D4616"/>
    <w:rsid w:val="009D4D86"/>
    <w:rsid w:val="009D4DE2"/>
    <w:rsid w:val="009D4E51"/>
    <w:rsid w:val="009D4F04"/>
    <w:rsid w:val="009D5C2E"/>
    <w:rsid w:val="009D5EE5"/>
    <w:rsid w:val="009D71A3"/>
    <w:rsid w:val="009D79EE"/>
    <w:rsid w:val="009D7E40"/>
    <w:rsid w:val="009E0006"/>
    <w:rsid w:val="009E04F7"/>
    <w:rsid w:val="009E0616"/>
    <w:rsid w:val="009E0C63"/>
    <w:rsid w:val="009E0D9B"/>
    <w:rsid w:val="009E0DA0"/>
    <w:rsid w:val="009E0FAF"/>
    <w:rsid w:val="009E136E"/>
    <w:rsid w:val="009E14D2"/>
    <w:rsid w:val="009E150C"/>
    <w:rsid w:val="009E1AC9"/>
    <w:rsid w:val="009E1F36"/>
    <w:rsid w:val="009E2086"/>
    <w:rsid w:val="009E21E7"/>
    <w:rsid w:val="009E25A6"/>
    <w:rsid w:val="009E2E9F"/>
    <w:rsid w:val="009E2EA7"/>
    <w:rsid w:val="009E2F18"/>
    <w:rsid w:val="009E2F33"/>
    <w:rsid w:val="009E30EF"/>
    <w:rsid w:val="009E3194"/>
    <w:rsid w:val="009E31CD"/>
    <w:rsid w:val="009E37D1"/>
    <w:rsid w:val="009E3939"/>
    <w:rsid w:val="009E3C4F"/>
    <w:rsid w:val="009E44D1"/>
    <w:rsid w:val="009E4566"/>
    <w:rsid w:val="009E4846"/>
    <w:rsid w:val="009E48D8"/>
    <w:rsid w:val="009E4BFB"/>
    <w:rsid w:val="009E4C95"/>
    <w:rsid w:val="009E5725"/>
    <w:rsid w:val="009E58CF"/>
    <w:rsid w:val="009E5FB7"/>
    <w:rsid w:val="009E603E"/>
    <w:rsid w:val="009E60D3"/>
    <w:rsid w:val="009E630F"/>
    <w:rsid w:val="009E650A"/>
    <w:rsid w:val="009E65CF"/>
    <w:rsid w:val="009E6715"/>
    <w:rsid w:val="009E67AD"/>
    <w:rsid w:val="009E6817"/>
    <w:rsid w:val="009E738B"/>
    <w:rsid w:val="009E7810"/>
    <w:rsid w:val="009E7A4E"/>
    <w:rsid w:val="009E7D70"/>
    <w:rsid w:val="009F0477"/>
    <w:rsid w:val="009F05A9"/>
    <w:rsid w:val="009F05FC"/>
    <w:rsid w:val="009F109B"/>
    <w:rsid w:val="009F11C7"/>
    <w:rsid w:val="009F1334"/>
    <w:rsid w:val="009F1C3F"/>
    <w:rsid w:val="009F1E71"/>
    <w:rsid w:val="009F1F7E"/>
    <w:rsid w:val="009F21AC"/>
    <w:rsid w:val="009F26D5"/>
    <w:rsid w:val="009F2CCD"/>
    <w:rsid w:val="009F32E3"/>
    <w:rsid w:val="009F37B0"/>
    <w:rsid w:val="009F3973"/>
    <w:rsid w:val="009F3CB1"/>
    <w:rsid w:val="009F3DCE"/>
    <w:rsid w:val="009F469B"/>
    <w:rsid w:val="009F4963"/>
    <w:rsid w:val="009F4A30"/>
    <w:rsid w:val="009F4E6F"/>
    <w:rsid w:val="009F5006"/>
    <w:rsid w:val="009F5070"/>
    <w:rsid w:val="009F62C8"/>
    <w:rsid w:val="009F64D6"/>
    <w:rsid w:val="009F6EB4"/>
    <w:rsid w:val="009F7059"/>
    <w:rsid w:val="009F7396"/>
    <w:rsid w:val="009F787C"/>
    <w:rsid w:val="009F7918"/>
    <w:rsid w:val="009F7C12"/>
    <w:rsid w:val="00A00097"/>
    <w:rsid w:val="00A00610"/>
    <w:rsid w:val="00A00E9F"/>
    <w:rsid w:val="00A02393"/>
    <w:rsid w:val="00A02572"/>
    <w:rsid w:val="00A02791"/>
    <w:rsid w:val="00A027AB"/>
    <w:rsid w:val="00A02D19"/>
    <w:rsid w:val="00A03187"/>
    <w:rsid w:val="00A0323B"/>
    <w:rsid w:val="00A0325D"/>
    <w:rsid w:val="00A038B8"/>
    <w:rsid w:val="00A0398D"/>
    <w:rsid w:val="00A03E83"/>
    <w:rsid w:val="00A0404F"/>
    <w:rsid w:val="00A04166"/>
    <w:rsid w:val="00A0418C"/>
    <w:rsid w:val="00A04AA9"/>
    <w:rsid w:val="00A04B66"/>
    <w:rsid w:val="00A04BF5"/>
    <w:rsid w:val="00A04DBB"/>
    <w:rsid w:val="00A050F4"/>
    <w:rsid w:val="00A05BA6"/>
    <w:rsid w:val="00A05D5D"/>
    <w:rsid w:val="00A05F5E"/>
    <w:rsid w:val="00A05FB5"/>
    <w:rsid w:val="00A06625"/>
    <w:rsid w:val="00A06819"/>
    <w:rsid w:val="00A068C0"/>
    <w:rsid w:val="00A06F15"/>
    <w:rsid w:val="00A073F3"/>
    <w:rsid w:val="00A07702"/>
    <w:rsid w:val="00A07C9F"/>
    <w:rsid w:val="00A101E9"/>
    <w:rsid w:val="00A10F64"/>
    <w:rsid w:val="00A110EE"/>
    <w:rsid w:val="00A12459"/>
    <w:rsid w:val="00A12593"/>
    <w:rsid w:val="00A12D32"/>
    <w:rsid w:val="00A13006"/>
    <w:rsid w:val="00A132F2"/>
    <w:rsid w:val="00A133C7"/>
    <w:rsid w:val="00A13414"/>
    <w:rsid w:val="00A13C5A"/>
    <w:rsid w:val="00A13D35"/>
    <w:rsid w:val="00A13D54"/>
    <w:rsid w:val="00A13D6E"/>
    <w:rsid w:val="00A13DB9"/>
    <w:rsid w:val="00A13DFE"/>
    <w:rsid w:val="00A13E70"/>
    <w:rsid w:val="00A1480C"/>
    <w:rsid w:val="00A14DC1"/>
    <w:rsid w:val="00A15A09"/>
    <w:rsid w:val="00A15E5B"/>
    <w:rsid w:val="00A16162"/>
    <w:rsid w:val="00A168A4"/>
    <w:rsid w:val="00A168E7"/>
    <w:rsid w:val="00A1693C"/>
    <w:rsid w:val="00A16C96"/>
    <w:rsid w:val="00A17160"/>
    <w:rsid w:val="00A17217"/>
    <w:rsid w:val="00A17335"/>
    <w:rsid w:val="00A17B58"/>
    <w:rsid w:val="00A17C89"/>
    <w:rsid w:val="00A201DF"/>
    <w:rsid w:val="00A20550"/>
    <w:rsid w:val="00A20555"/>
    <w:rsid w:val="00A20FBB"/>
    <w:rsid w:val="00A212D5"/>
    <w:rsid w:val="00A2144C"/>
    <w:rsid w:val="00A215B1"/>
    <w:rsid w:val="00A216C4"/>
    <w:rsid w:val="00A22273"/>
    <w:rsid w:val="00A22423"/>
    <w:rsid w:val="00A22E61"/>
    <w:rsid w:val="00A231C4"/>
    <w:rsid w:val="00A23681"/>
    <w:rsid w:val="00A236F7"/>
    <w:rsid w:val="00A23B6B"/>
    <w:rsid w:val="00A23FFD"/>
    <w:rsid w:val="00A245AE"/>
    <w:rsid w:val="00A24C50"/>
    <w:rsid w:val="00A24FD4"/>
    <w:rsid w:val="00A24FD6"/>
    <w:rsid w:val="00A2578D"/>
    <w:rsid w:val="00A257D5"/>
    <w:rsid w:val="00A258DE"/>
    <w:rsid w:val="00A2607A"/>
    <w:rsid w:val="00A262E5"/>
    <w:rsid w:val="00A26564"/>
    <w:rsid w:val="00A26DFA"/>
    <w:rsid w:val="00A270F0"/>
    <w:rsid w:val="00A2771E"/>
    <w:rsid w:val="00A27774"/>
    <w:rsid w:val="00A2780E"/>
    <w:rsid w:val="00A27DFA"/>
    <w:rsid w:val="00A30AAC"/>
    <w:rsid w:val="00A30B18"/>
    <w:rsid w:val="00A30F99"/>
    <w:rsid w:val="00A31360"/>
    <w:rsid w:val="00A32426"/>
    <w:rsid w:val="00A32555"/>
    <w:rsid w:val="00A32B10"/>
    <w:rsid w:val="00A32CB5"/>
    <w:rsid w:val="00A32F39"/>
    <w:rsid w:val="00A33061"/>
    <w:rsid w:val="00A33104"/>
    <w:rsid w:val="00A33118"/>
    <w:rsid w:val="00A33BB2"/>
    <w:rsid w:val="00A33C26"/>
    <w:rsid w:val="00A33FCB"/>
    <w:rsid w:val="00A347EB"/>
    <w:rsid w:val="00A34B98"/>
    <w:rsid w:val="00A35097"/>
    <w:rsid w:val="00A351A3"/>
    <w:rsid w:val="00A35260"/>
    <w:rsid w:val="00A356DE"/>
    <w:rsid w:val="00A35948"/>
    <w:rsid w:val="00A35987"/>
    <w:rsid w:val="00A35B74"/>
    <w:rsid w:val="00A36199"/>
    <w:rsid w:val="00A36594"/>
    <w:rsid w:val="00A36597"/>
    <w:rsid w:val="00A3683D"/>
    <w:rsid w:val="00A36A81"/>
    <w:rsid w:val="00A36A94"/>
    <w:rsid w:val="00A36BC4"/>
    <w:rsid w:val="00A36D55"/>
    <w:rsid w:val="00A36D87"/>
    <w:rsid w:val="00A3736B"/>
    <w:rsid w:val="00A376A0"/>
    <w:rsid w:val="00A37A38"/>
    <w:rsid w:val="00A37BC2"/>
    <w:rsid w:val="00A37C9F"/>
    <w:rsid w:val="00A37DD0"/>
    <w:rsid w:val="00A37F8D"/>
    <w:rsid w:val="00A40101"/>
    <w:rsid w:val="00A40119"/>
    <w:rsid w:val="00A4025E"/>
    <w:rsid w:val="00A40705"/>
    <w:rsid w:val="00A4076E"/>
    <w:rsid w:val="00A40C40"/>
    <w:rsid w:val="00A40E45"/>
    <w:rsid w:val="00A416F0"/>
    <w:rsid w:val="00A417E1"/>
    <w:rsid w:val="00A41C64"/>
    <w:rsid w:val="00A41E88"/>
    <w:rsid w:val="00A41FFE"/>
    <w:rsid w:val="00A4214E"/>
    <w:rsid w:val="00A421E9"/>
    <w:rsid w:val="00A4252D"/>
    <w:rsid w:val="00A4277D"/>
    <w:rsid w:val="00A428D0"/>
    <w:rsid w:val="00A42BB5"/>
    <w:rsid w:val="00A42EE3"/>
    <w:rsid w:val="00A42EE6"/>
    <w:rsid w:val="00A43142"/>
    <w:rsid w:val="00A431DB"/>
    <w:rsid w:val="00A43665"/>
    <w:rsid w:val="00A43821"/>
    <w:rsid w:val="00A43AE9"/>
    <w:rsid w:val="00A43B30"/>
    <w:rsid w:val="00A442FF"/>
    <w:rsid w:val="00A446D5"/>
    <w:rsid w:val="00A44DBD"/>
    <w:rsid w:val="00A45071"/>
    <w:rsid w:val="00A4539C"/>
    <w:rsid w:val="00A45528"/>
    <w:rsid w:val="00A45597"/>
    <w:rsid w:val="00A45AFD"/>
    <w:rsid w:val="00A45FEA"/>
    <w:rsid w:val="00A4650C"/>
    <w:rsid w:val="00A46911"/>
    <w:rsid w:val="00A46A56"/>
    <w:rsid w:val="00A4741E"/>
    <w:rsid w:val="00A47888"/>
    <w:rsid w:val="00A47A5E"/>
    <w:rsid w:val="00A47D7A"/>
    <w:rsid w:val="00A5016E"/>
    <w:rsid w:val="00A503A0"/>
    <w:rsid w:val="00A5068F"/>
    <w:rsid w:val="00A50B32"/>
    <w:rsid w:val="00A50E42"/>
    <w:rsid w:val="00A511FA"/>
    <w:rsid w:val="00A5120F"/>
    <w:rsid w:val="00A51485"/>
    <w:rsid w:val="00A51694"/>
    <w:rsid w:val="00A51C37"/>
    <w:rsid w:val="00A51F51"/>
    <w:rsid w:val="00A52046"/>
    <w:rsid w:val="00A520B7"/>
    <w:rsid w:val="00A520F3"/>
    <w:rsid w:val="00A523AC"/>
    <w:rsid w:val="00A52B36"/>
    <w:rsid w:val="00A533B0"/>
    <w:rsid w:val="00A53923"/>
    <w:rsid w:val="00A53C66"/>
    <w:rsid w:val="00A54150"/>
    <w:rsid w:val="00A542E5"/>
    <w:rsid w:val="00A54356"/>
    <w:rsid w:val="00A54B57"/>
    <w:rsid w:val="00A54BCE"/>
    <w:rsid w:val="00A553A9"/>
    <w:rsid w:val="00A5558E"/>
    <w:rsid w:val="00A55628"/>
    <w:rsid w:val="00A55B18"/>
    <w:rsid w:val="00A55B6F"/>
    <w:rsid w:val="00A5601F"/>
    <w:rsid w:val="00A56071"/>
    <w:rsid w:val="00A56E72"/>
    <w:rsid w:val="00A56EE4"/>
    <w:rsid w:val="00A56FDD"/>
    <w:rsid w:val="00A57097"/>
    <w:rsid w:val="00A570EC"/>
    <w:rsid w:val="00A57AC7"/>
    <w:rsid w:val="00A57BEE"/>
    <w:rsid w:val="00A57D75"/>
    <w:rsid w:val="00A57F90"/>
    <w:rsid w:val="00A57FF8"/>
    <w:rsid w:val="00A606C0"/>
    <w:rsid w:val="00A60993"/>
    <w:rsid w:val="00A60E1D"/>
    <w:rsid w:val="00A61266"/>
    <w:rsid w:val="00A6184B"/>
    <w:rsid w:val="00A61A44"/>
    <w:rsid w:val="00A61D6C"/>
    <w:rsid w:val="00A61E39"/>
    <w:rsid w:val="00A61F5C"/>
    <w:rsid w:val="00A620CC"/>
    <w:rsid w:val="00A62148"/>
    <w:rsid w:val="00A62190"/>
    <w:rsid w:val="00A621A7"/>
    <w:rsid w:val="00A62297"/>
    <w:rsid w:val="00A624D4"/>
    <w:rsid w:val="00A63262"/>
    <w:rsid w:val="00A634BB"/>
    <w:rsid w:val="00A63549"/>
    <w:rsid w:val="00A6425C"/>
    <w:rsid w:val="00A64347"/>
    <w:rsid w:val="00A64548"/>
    <w:rsid w:val="00A645D9"/>
    <w:rsid w:val="00A645F8"/>
    <w:rsid w:val="00A64B02"/>
    <w:rsid w:val="00A64BAC"/>
    <w:rsid w:val="00A64E92"/>
    <w:rsid w:val="00A65320"/>
    <w:rsid w:val="00A65499"/>
    <w:rsid w:val="00A655EA"/>
    <w:rsid w:val="00A65634"/>
    <w:rsid w:val="00A662A2"/>
    <w:rsid w:val="00A66761"/>
    <w:rsid w:val="00A66CA3"/>
    <w:rsid w:val="00A66E4A"/>
    <w:rsid w:val="00A675AF"/>
    <w:rsid w:val="00A67ADD"/>
    <w:rsid w:val="00A67E06"/>
    <w:rsid w:val="00A67E28"/>
    <w:rsid w:val="00A70535"/>
    <w:rsid w:val="00A70776"/>
    <w:rsid w:val="00A70A07"/>
    <w:rsid w:val="00A70A28"/>
    <w:rsid w:val="00A70B7D"/>
    <w:rsid w:val="00A719BE"/>
    <w:rsid w:val="00A71D44"/>
    <w:rsid w:val="00A71F42"/>
    <w:rsid w:val="00A7200F"/>
    <w:rsid w:val="00A7288A"/>
    <w:rsid w:val="00A7289F"/>
    <w:rsid w:val="00A72B66"/>
    <w:rsid w:val="00A72BAA"/>
    <w:rsid w:val="00A72D04"/>
    <w:rsid w:val="00A731ED"/>
    <w:rsid w:val="00A73F14"/>
    <w:rsid w:val="00A749F0"/>
    <w:rsid w:val="00A74A56"/>
    <w:rsid w:val="00A74C4D"/>
    <w:rsid w:val="00A751D1"/>
    <w:rsid w:val="00A75604"/>
    <w:rsid w:val="00A7594F"/>
    <w:rsid w:val="00A75A6B"/>
    <w:rsid w:val="00A75D78"/>
    <w:rsid w:val="00A76252"/>
    <w:rsid w:val="00A763AB"/>
    <w:rsid w:val="00A76610"/>
    <w:rsid w:val="00A767C8"/>
    <w:rsid w:val="00A76858"/>
    <w:rsid w:val="00A7690A"/>
    <w:rsid w:val="00A769D4"/>
    <w:rsid w:val="00A77200"/>
    <w:rsid w:val="00A772BA"/>
    <w:rsid w:val="00A774F9"/>
    <w:rsid w:val="00A77A26"/>
    <w:rsid w:val="00A77B41"/>
    <w:rsid w:val="00A77E83"/>
    <w:rsid w:val="00A77F9F"/>
    <w:rsid w:val="00A802FF"/>
    <w:rsid w:val="00A803E9"/>
    <w:rsid w:val="00A80746"/>
    <w:rsid w:val="00A80949"/>
    <w:rsid w:val="00A80CFF"/>
    <w:rsid w:val="00A80F3E"/>
    <w:rsid w:val="00A81608"/>
    <w:rsid w:val="00A81F5F"/>
    <w:rsid w:val="00A81FF8"/>
    <w:rsid w:val="00A8231C"/>
    <w:rsid w:val="00A82325"/>
    <w:rsid w:val="00A82343"/>
    <w:rsid w:val="00A8281E"/>
    <w:rsid w:val="00A828C4"/>
    <w:rsid w:val="00A8305D"/>
    <w:rsid w:val="00A8322A"/>
    <w:rsid w:val="00A836C9"/>
    <w:rsid w:val="00A83B4A"/>
    <w:rsid w:val="00A83D53"/>
    <w:rsid w:val="00A83D9E"/>
    <w:rsid w:val="00A83E37"/>
    <w:rsid w:val="00A846E5"/>
    <w:rsid w:val="00A84838"/>
    <w:rsid w:val="00A848C2"/>
    <w:rsid w:val="00A84BD3"/>
    <w:rsid w:val="00A84C31"/>
    <w:rsid w:val="00A84E61"/>
    <w:rsid w:val="00A84ED7"/>
    <w:rsid w:val="00A8616B"/>
    <w:rsid w:val="00A86461"/>
    <w:rsid w:val="00A8656E"/>
    <w:rsid w:val="00A86953"/>
    <w:rsid w:val="00A869CA"/>
    <w:rsid w:val="00A86AEB"/>
    <w:rsid w:val="00A86E16"/>
    <w:rsid w:val="00A86ECA"/>
    <w:rsid w:val="00A875DC"/>
    <w:rsid w:val="00A877C6"/>
    <w:rsid w:val="00A87A00"/>
    <w:rsid w:val="00A87F69"/>
    <w:rsid w:val="00A87F77"/>
    <w:rsid w:val="00A90451"/>
    <w:rsid w:val="00A90592"/>
    <w:rsid w:val="00A90987"/>
    <w:rsid w:val="00A90D0A"/>
    <w:rsid w:val="00A91A68"/>
    <w:rsid w:val="00A91D72"/>
    <w:rsid w:val="00A924D7"/>
    <w:rsid w:val="00A92A8D"/>
    <w:rsid w:val="00A92BF8"/>
    <w:rsid w:val="00A92C77"/>
    <w:rsid w:val="00A93363"/>
    <w:rsid w:val="00A937B0"/>
    <w:rsid w:val="00A9393E"/>
    <w:rsid w:val="00A93BCC"/>
    <w:rsid w:val="00A93E5B"/>
    <w:rsid w:val="00A93FA0"/>
    <w:rsid w:val="00A948C6"/>
    <w:rsid w:val="00A951CD"/>
    <w:rsid w:val="00A9528A"/>
    <w:rsid w:val="00A952EE"/>
    <w:rsid w:val="00A9587B"/>
    <w:rsid w:val="00A95B78"/>
    <w:rsid w:val="00A95BE0"/>
    <w:rsid w:val="00A95C03"/>
    <w:rsid w:val="00A95D15"/>
    <w:rsid w:val="00A95D29"/>
    <w:rsid w:val="00A96017"/>
    <w:rsid w:val="00A96042"/>
    <w:rsid w:val="00A963B2"/>
    <w:rsid w:val="00A964C6"/>
    <w:rsid w:val="00A9665A"/>
    <w:rsid w:val="00A96D45"/>
    <w:rsid w:val="00A96F3A"/>
    <w:rsid w:val="00A9721D"/>
    <w:rsid w:val="00A97BAD"/>
    <w:rsid w:val="00AA00D1"/>
    <w:rsid w:val="00AA0503"/>
    <w:rsid w:val="00AA0510"/>
    <w:rsid w:val="00AA07ED"/>
    <w:rsid w:val="00AA0CCB"/>
    <w:rsid w:val="00AA0D43"/>
    <w:rsid w:val="00AA0D8A"/>
    <w:rsid w:val="00AA10C3"/>
    <w:rsid w:val="00AA1198"/>
    <w:rsid w:val="00AA14EA"/>
    <w:rsid w:val="00AA1A27"/>
    <w:rsid w:val="00AA1FFA"/>
    <w:rsid w:val="00AA2047"/>
    <w:rsid w:val="00AA2382"/>
    <w:rsid w:val="00AA23F5"/>
    <w:rsid w:val="00AA247A"/>
    <w:rsid w:val="00AA24E4"/>
    <w:rsid w:val="00AA25DE"/>
    <w:rsid w:val="00AA2BA8"/>
    <w:rsid w:val="00AA2BFD"/>
    <w:rsid w:val="00AA3025"/>
    <w:rsid w:val="00AA31B1"/>
    <w:rsid w:val="00AA31C4"/>
    <w:rsid w:val="00AA3AAF"/>
    <w:rsid w:val="00AA3D01"/>
    <w:rsid w:val="00AA3F34"/>
    <w:rsid w:val="00AA4020"/>
    <w:rsid w:val="00AA437D"/>
    <w:rsid w:val="00AA4456"/>
    <w:rsid w:val="00AA46F4"/>
    <w:rsid w:val="00AA4A46"/>
    <w:rsid w:val="00AA4ED0"/>
    <w:rsid w:val="00AA521D"/>
    <w:rsid w:val="00AA5814"/>
    <w:rsid w:val="00AA590C"/>
    <w:rsid w:val="00AA614D"/>
    <w:rsid w:val="00AA61F2"/>
    <w:rsid w:val="00AA6336"/>
    <w:rsid w:val="00AA694F"/>
    <w:rsid w:val="00AA74CC"/>
    <w:rsid w:val="00AA782A"/>
    <w:rsid w:val="00AA7A9F"/>
    <w:rsid w:val="00AB0475"/>
    <w:rsid w:val="00AB0782"/>
    <w:rsid w:val="00AB0C74"/>
    <w:rsid w:val="00AB105C"/>
    <w:rsid w:val="00AB14CE"/>
    <w:rsid w:val="00AB15B3"/>
    <w:rsid w:val="00AB17E1"/>
    <w:rsid w:val="00AB1D4E"/>
    <w:rsid w:val="00AB2348"/>
    <w:rsid w:val="00AB2870"/>
    <w:rsid w:val="00AB28B7"/>
    <w:rsid w:val="00AB28F0"/>
    <w:rsid w:val="00AB29E0"/>
    <w:rsid w:val="00AB2A0B"/>
    <w:rsid w:val="00AB328E"/>
    <w:rsid w:val="00AB3AC7"/>
    <w:rsid w:val="00AB3BC0"/>
    <w:rsid w:val="00AB3C35"/>
    <w:rsid w:val="00AB3CD2"/>
    <w:rsid w:val="00AB3D78"/>
    <w:rsid w:val="00AB4033"/>
    <w:rsid w:val="00AB40B9"/>
    <w:rsid w:val="00AB431C"/>
    <w:rsid w:val="00AB43F1"/>
    <w:rsid w:val="00AB4E4F"/>
    <w:rsid w:val="00AB4EB0"/>
    <w:rsid w:val="00AB4EFC"/>
    <w:rsid w:val="00AB501C"/>
    <w:rsid w:val="00AB5240"/>
    <w:rsid w:val="00AB53AB"/>
    <w:rsid w:val="00AB5A9F"/>
    <w:rsid w:val="00AB6092"/>
    <w:rsid w:val="00AB6459"/>
    <w:rsid w:val="00AB6474"/>
    <w:rsid w:val="00AB6B2E"/>
    <w:rsid w:val="00AB7225"/>
    <w:rsid w:val="00AB734B"/>
    <w:rsid w:val="00AB73A4"/>
    <w:rsid w:val="00AB7425"/>
    <w:rsid w:val="00AB7BA3"/>
    <w:rsid w:val="00AC0133"/>
    <w:rsid w:val="00AC01A0"/>
    <w:rsid w:val="00AC08F9"/>
    <w:rsid w:val="00AC0AA1"/>
    <w:rsid w:val="00AC0E3A"/>
    <w:rsid w:val="00AC0FD0"/>
    <w:rsid w:val="00AC12A9"/>
    <w:rsid w:val="00AC18F6"/>
    <w:rsid w:val="00AC197C"/>
    <w:rsid w:val="00AC22B0"/>
    <w:rsid w:val="00AC2384"/>
    <w:rsid w:val="00AC23EB"/>
    <w:rsid w:val="00AC25A1"/>
    <w:rsid w:val="00AC2BA1"/>
    <w:rsid w:val="00AC2FEC"/>
    <w:rsid w:val="00AC3189"/>
    <w:rsid w:val="00AC34E8"/>
    <w:rsid w:val="00AC3796"/>
    <w:rsid w:val="00AC3AE8"/>
    <w:rsid w:val="00AC3D4F"/>
    <w:rsid w:val="00AC41DD"/>
    <w:rsid w:val="00AC443C"/>
    <w:rsid w:val="00AC4FA5"/>
    <w:rsid w:val="00AC5618"/>
    <w:rsid w:val="00AC582F"/>
    <w:rsid w:val="00AC6708"/>
    <w:rsid w:val="00AC6E3E"/>
    <w:rsid w:val="00AC762B"/>
    <w:rsid w:val="00AC7B4C"/>
    <w:rsid w:val="00AC7D6E"/>
    <w:rsid w:val="00AD00FB"/>
    <w:rsid w:val="00AD0172"/>
    <w:rsid w:val="00AD08F6"/>
    <w:rsid w:val="00AD100B"/>
    <w:rsid w:val="00AD137B"/>
    <w:rsid w:val="00AD1D7B"/>
    <w:rsid w:val="00AD20B1"/>
    <w:rsid w:val="00AD25B4"/>
    <w:rsid w:val="00AD2933"/>
    <w:rsid w:val="00AD2B79"/>
    <w:rsid w:val="00AD2ECD"/>
    <w:rsid w:val="00AD3632"/>
    <w:rsid w:val="00AD3949"/>
    <w:rsid w:val="00AD4367"/>
    <w:rsid w:val="00AD4463"/>
    <w:rsid w:val="00AD4DA1"/>
    <w:rsid w:val="00AD5025"/>
    <w:rsid w:val="00AD54A8"/>
    <w:rsid w:val="00AD54CA"/>
    <w:rsid w:val="00AD5527"/>
    <w:rsid w:val="00AD5693"/>
    <w:rsid w:val="00AD585A"/>
    <w:rsid w:val="00AD587A"/>
    <w:rsid w:val="00AD5F82"/>
    <w:rsid w:val="00AD63A7"/>
    <w:rsid w:val="00AD64C2"/>
    <w:rsid w:val="00AD6518"/>
    <w:rsid w:val="00AD6694"/>
    <w:rsid w:val="00AD69A8"/>
    <w:rsid w:val="00AD70DA"/>
    <w:rsid w:val="00AD7603"/>
    <w:rsid w:val="00AD77F0"/>
    <w:rsid w:val="00AD79C2"/>
    <w:rsid w:val="00AD79F0"/>
    <w:rsid w:val="00AE01D8"/>
    <w:rsid w:val="00AE0332"/>
    <w:rsid w:val="00AE0400"/>
    <w:rsid w:val="00AE06C8"/>
    <w:rsid w:val="00AE09AD"/>
    <w:rsid w:val="00AE13F5"/>
    <w:rsid w:val="00AE19B5"/>
    <w:rsid w:val="00AE1A28"/>
    <w:rsid w:val="00AE1A8E"/>
    <w:rsid w:val="00AE1F48"/>
    <w:rsid w:val="00AE218C"/>
    <w:rsid w:val="00AE21BA"/>
    <w:rsid w:val="00AE272A"/>
    <w:rsid w:val="00AE2854"/>
    <w:rsid w:val="00AE32DC"/>
    <w:rsid w:val="00AE380A"/>
    <w:rsid w:val="00AE3D5F"/>
    <w:rsid w:val="00AE40F7"/>
    <w:rsid w:val="00AE410F"/>
    <w:rsid w:val="00AE412A"/>
    <w:rsid w:val="00AE464E"/>
    <w:rsid w:val="00AE4D85"/>
    <w:rsid w:val="00AE57AD"/>
    <w:rsid w:val="00AE5870"/>
    <w:rsid w:val="00AE5900"/>
    <w:rsid w:val="00AE5A40"/>
    <w:rsid w:val="00AE5C2B"/>
    <w:rsid w:val="00AE5FCB"/>
    <w:rsid w:val="00AE617E"/>
    <w:rsid w:val="00AE65F2"/>
    <w:rsid w:val="00AE6802"/>
    <w:rsid w:val="00AE683B"/>
    <w:rsid w:val="00AE684D"/>
    <w:rsid w:val="00AE7334"/>
    <w:rsid w:val="00AE7479"/>
    <w:rsid w:val="00AE7EE8"/>
    <w:rsid w:val="00AF006C"/>
    <w:rsid w:val="00AF007B"/>
    <w:rsid w:val="00AF02A4"/>
    <w:rsid w:val="00AF06D1"/>
    <w:rsid w:val="00AF10C1"/>
    <w:rsid w:val="00AF10F4"/>
    <w:rsid w:val="00AF14C4"/>
    <w:rsid w:val="00AF14E7"/>
    <w:rsid w:val="00AF167C"/>
    <w:rsid w:val="00AF2481"/>
    <w:rsid w:val="00AF26B1"/>
    <w:rsid w:val="00AF2859"/>
    <w:rsid w:val="00AF2C5D"/>
    <w:rsid w:val="00AF2CCD"/>
    <w:rsid w:val="00AF2E40"/>
    <w:rsid w:val="00AF353A"/>
    <w:rsid w:val="00AF39C0"/>
    <w:rsid w:val="00AF3A85"/>
    <w:rsid w:val="00AF3C47"/>
    <w:rsid w:val="00AF4134"/>
    <w:rsid w:val="00AF4644"/>
    <w:rsid w:val="00AF4854"/>
    <w:rsid w:val="00AF4DE7"/>
    <w:rsid w:val="00AF4FA7"/>
    <w:rsid w:val="00AF5430"/>
    <w:rsid w:val="00AF5644"/>
    <w:rsid w:val="00AF5902"/>
    <w:rsid w:val="00AF5BF2"/>
    <w:rsid w:val="00AF5F17"/>
    <w:rsid w:val="00AF5F70"/>
    <w:rsid w:val="00AF61F3"/>
    <w:rsid w:val="00AF61F8"/>
    <w:rsid w:val="00AF64E8"/>
    <w:rsid w:val="00AF6D6C"/>
    <w:rsid w:val="00AF7435"/>
    <w:rsid w:val="00AF76A9"/>
    <w:rsid w:val="00AF7717"/>
    <w:rsid w:val="00AF77AF"/>
    <w:rsid w:val="00AF7D20"/>
    <w:rsid w:val="00AF7FB0"/>
    <w:rsid w:val="00AF7FC0"/>
    <w:rsid w:val="00B00473"/>
    <w:rsid w:val="00B00484"/>
    <w:rsid w:val="00B00689"/>
    <w:rsid w:val="00B007EA"/>
    <w:rsid w:val="00B008AC"/>
    <w:rsid w:val="00B00B83"/>
    <w:rsid w:val="00B01016"/>
    <w:rsid w:val="00B015D8"/>
    <w:rsid w:val="00B01617"/>
    <w:rsid w:val="00B017E6"/>
    <w:rsid w:val="00B0227F"/>
    <w:rsid w:val="00B02527"/>
    <w:rsid w:val="00B0294E"/>
    <w:rsid w:val="00B02C75"/>
    <w:rsid w:val="00B02CBD"/>
    <w:rsid w:val="00B03D67"/>
    <w:rsid w:val="00B04029"/>
    <w:rsid w:val="00B041B8"/>
    <w:rsid w:val="00B048D7"/>
    <w:rsid w:val="00B04BDC"/>
    <w:rsid w:val="00B04CCE"/>
    <w:rsid w:val="00B0509F"/>
    <w:rsid w:val="00B057F0"/>
    <w:rsid w:val="00B058A7"/>
    <w:rsid w:val="00B05AB4"/>
    <w:rsid w:val="00B05B0C"/>
    <w:rsid w:val="00B05CC0"/>
    <w:rsid w:val="00B05F03"/>
    <w:rsid w:val="00B060FF"/>
    <w:rsid w:val="00B0617A"/>
    <w:rsid w:val="00B062A0"/>
    <w:rsid w:val="00B063DE"/>
    <w:rsid w:val="00B064EB"/>
    <w:rsid w:val="00B06999"/>
    <w:rsid w:val="00B069CE"/>
    <w:rsid w:val="00B06A14"/>
    <w:rsid w:val="00B06A31"/>
    <w:rsid w:val="00B06F05"/>
    <w:rsid w:val="00B06F69"/>
    <w:rsid w:val="00B06FE5"/>
    <w:rsid w:val="00B070E9"/>
    <w:rsid w:val="00B0721F"/>
    <w:rsid w:val="00B073D6"/>
    <w:rsid w:val="00B074E8"/>
    <w:rsid w:val="00B074F1"/>
    <w:rsid w:val="00B0760A"/>
    <w:rsid w:val="00B07B27"/>
    <w:rsid w:val="00B10185"/>
    <w:rsid w:val="00B104EE"/>
    <w:rsid w:val="00B10712"/>
    <w:rsid w:val="00B10DF5"/>
    <w:rsid w:val="00B10E9E"/>
    <w:rsid w:val="00B111D8"/>
    <w:rsid w:val="00B11C3E"/>
    <w:rsid w:val="00B11CCC"/>
    <w:rsid w:val="00B11D3F"/>
    <w:rsid w:val="00B11EFE"/>
    <w:rsid w:val="00B12012"/>
    <w:rsid w:val="00B13A64"/>
    <w:rsid w:val="00B13A80"/>
    <w:rsid w:val="00B13DA2"/>
    <w:rsid w:val="00B13FED"/>
    <w:rsid w:val="00B14511"/>
    <w:rsid w:val="00B14C29"/>
    <w:rsid w:val="00B15620"/>
    <w:rsid w:val="00B15728"/>
    <w:rsid w:val="00B159B1"/>
    <w:rsid w:val="00B15D3B"/>
    <w:rsid w:val="00B15DED"/>
    <w:rsid w:val="00B16014"/>
    <w:rsid w:val="00B160D2"/>
    <w:rsid w:val="00B161A3"/>
    <w:rsid w:val="00B1639A"/>
    <w:rsid w:val="00B16597"/>
    <w:rsid w:val="00B16785"/>
    <w:rsid w:val="00B1686A"/>
    <w:rsid w:val="00B16917"/>
    <w:rsid w:val="00B17453"/>
    <w:rsid w:val="00B179BD"/>
    <w:rsid w:val="00B17B48"/>
    <w:rsid w:val="00B17FEB"/>
    <w:rsid w:val="00B20038"/>
    <w:rsid w:val="00B2041D"/>
    <w:rsid w:val="00B20C60"/>
    <w:rsid w:val="00B20CA1"/>
    <w:rsid w:val="00B20CCB"/>
    <w:rsid w:val="00B20F23"/>
    <w:rsid w:val="00B21061"/>
    <w:rsid w:val="00B21489"/>
    <w:rsid w:val="00B21491"/>
    <w:rsid w:val="00B21593"/>
    <w:rsid w:val="00B21928"/>
    <w:rsid w:val="00B21DA0"/>
    <w:rsid w:val="00B21F2E"/>
    <w:rsid w:val="00B224D2"/>
    <w:rsid w:val="00B22632"/>
    <w:rsid w:val="00B22707"/>
    <w:rsid w:val="00B22911"/>
    <w:rsid w:val="00B22A15"/>
    <w:rsid w:val="00B22DB6"/>
    <w:rsid w:val="00B23001"/>
    <w:rsid w:val="00B23067"/>
    <w:rsid w:val="00B2320E"/>
    <w:rsid w:val="00B23559"/>
    <w:rsid w:val="00B23600"/>
    <w:rsid w:val="00B23859"/>
    <w:rsid w:val="00B238D0"/>
    <w:rsid w:val="00B238F3"/>
    <w:rsid w:val="00B23CB3"/>
    <w:rsid w:val="00B24012"/>
    <w:rsid w:val="00B24032"/>
    <w:rsid w:val="00B241BE"/>
    <w:rsid w:val="00B243E3"/>
    <w:rsid w:val="00B24477"/>
    <w:rsid w:val="00B24651"/>
    <w:rsid w:val="00B248C1"/>
    <w:rsid w:val="00B259DC"/>
    <w:rsid w:val="00B25B0A"/>
    <w:rsid w:val="00B25B4F"/>
    <w:rsid w:val="00B25EFE"/>
    <w:rsid w:val="00B25F3A"/>
    <w:rsid w:val="00B260B2"/>
    <w:rsid w:val="00B2657E"/>
    <w:rsid w:val="00B267AE"/>
    <w:rsid w:val="00B26A55"/>
    <w:rsid w:val="00B26B0E"/>
    <w:rsid w:val="00B26DE2"/>
    <w:rsid w:val="00B2770C"/>
    <w:rsid w:val="00B3017C"/>
    <w:rsid w:val="00B30841"/>
    <w:rsid w:val="00B30A6C"/>
    <w:rsid w:val="00B30A95"/>
    <w:rsid w:val="00B31535"/>
    <w:rsid w:val="00B31AB0"/>
    <w:rsid w:val="00B31B9C"/>
    <w:rsid w:val="00B31C52"/>
    <w:rsid w:val="00B321D9"/>
    <w:rsid w:val="00B32894"/>
    <w:rsid w:val="00B32A64"/>
    <w:rsid w:val="00B32D10"/>
    <w:rsid w:val="00B3369F"/>
    <w:rsid w:val="00B33A8D"/>
    <w:rsid w:val="00B33B4B"/>
    <w:rsid w:val="00B33C69"/>
    <w:rsid w:val="00B341B5"/>
    <w:rsid w:val="00B34513"/>
    <w:rsid w:val="00B348BA"/>
    <w:rsid w:val="00B34ADF"/>
    <w:rsid w:val="00B34D08"/>
    <w:rsid w:val="00B34DA2"/>
    <w:rsid w:val="00B34F2E"/>
    <w:rsid w:val="00B3547F"/>
    <w:rsid w:val="00B355FC"/>
    <w:rsid w:val="00B3568A"/>
    <w:rsid w:val="00B362B7"/>
    <w:rsid w:val="00B36570"/>
    <w:rsid w:val="00B36883"/>
    <w:rsid w:val="00B36ADD"/>
    <w:rsid w:val="00B3714B"/>
    <w:rsid w:val="00B374AE"/>
    <w:rsid w:val="00B37876"/>
    <w:rsid w:val="00B37D1D"/>
    <w:rsid w:val="00B400F6"/>
    <w:rsid w:val="00B4087A"/>
    <w:rsid w:val="00B40B7A"/>
    <w:rsid w:val="00B413B2"/>
    <w:rsid w:val="00B417BC"/>
    <w:rsid w:val="00B41F2F"/>
    <w:rsid w:val="00B42449"/>
    <w:rsid w:val="00B427C5"/>
    <w:rsid w:val="00B4303A"/>
    <w:rsid w:val="00B43662"/>
    <w:rsid w:val="00B436D1"/>
    <w:rsid w:val="00B43849"/>
    <w:rsid w:val="00B43A67"/>
    <w:rsid w:val="00B43F95"/>
    <w:rsid w:val="00B442A3"/>
    <w:rsid w:val="00B447D0"/>
    <w:rsid w:val="00B449FA"/>
    <w:rsid w:val="00B44B4A"/>
    <w:rsid w:val="00B44D01"/>
    <w:rsid w:val="00B451CD"/>
    <w:rsid w:val="00B453BD"/>
    <w:rsid w:val="00B454ED"/>
    <w:rsid w:val="00B45673"/>
    <w:rsid w:val="00B45829"/>
    <w:rsid w:val="00B45954"/>
    <w:rsid w:val="00B45B85"/>
    <w:rsid w:val="00B45E4C"/>
    <w:rsid w:val="00B46005"/>
    <w:rsid w:val="00B4658F"/>
    <w:rsid w:val="00B46810"/>
    <w:rsid w:val="00B476D0"/>
    <w:rsid w:val="00B477C1"/>
    <w:rsid w:val="00B50130"/>
    <w:rsid w:val="00B50368"/>
    <w:rsid w:val="00B50448"/>
    <w:rsid w:val="00B50453"/>
    <w:rsid w:val="00B50722"/>
    <w:rsid w:val="00B507F9"/>
    <w:rsid w:val="00B508AB"/>
    <w:rsid w:val="00B50AEC"/>
    <w:rsid w:val="00B5134B"/>
    <w:rsid w:val="00B51681"/>
    <w:rsid w:val="00B516E7"/>
    <w:rsid w:val="00B519CB"/>
    <w:rsid w:val="00B51BB6"/>
    <w:rsid w:val="00B52235"/>
    <w:rsid w:val="00B5247F"/>
    <w:rsid w:val="00B52718"/>
    <w:rsid w:val="00B52B94"/>
    <w:rsid w:val="00B52C25"/>
    <w:rsid w:val="00B52F81"/>
    <w:rsid w:val="00B5333B"/>
    <w:rsid w:val="00B53350"/>
    <w:rsid w:val="00B53D3F"/>
    <w:rsid w:val="00B53E04"/>
    <w:rsid w:val="00B545F9"/>
    <w:rsid w:val="00B54823"/>
    <w:rsid w:val="00B550DA"/>
    <w:rsid w:val="00B5512E"/>
    <w:rsid w:val="00B554FE"/>
    <w:rsid w:val="00B55736"/>
    <w:rsid w:val="00B55BC3"/>
    <w:rsid w:val="00B560F1"/>
    <w:rsid w:val="00B56153"/>
    <w:rsid w:val="00B56583"/>
    <w:rsid w:val="00B567F6"/>
    <w:rsid w:val="00B5701F"/>
    <w:rsid w:val="00B5713D"/>
    <w:rsid w:val="00B572A9"/>
    <w:rsid w:val="00B603CF"/>
    <w:rsid w:val="00B607CB"/>
    <w:rsid w:val="00B60CCB"/>
    <w:rsid w:val="00B60E6A"/>
    <w:rsid w:val="00B6166E"/>
    <w:rsid w:val="00B618CC"/>
    <w:rsid w:val="00B61B54"/>
    <w:rsid w:val="00B61E85"/>
    <w:rsid w:val="00B61FF7"/>
    <w:rsid w:val="00B621D8"/>
    <w:rsid w:val="00B628FD"/>
    <w:rsid w:val="00B62C79"/>
    <w:rsid w:val="00B633D5"/>
    <w:rsid w:val="00B643A0"/>
    <w:rsid w:val="00B647C2"/>
    <w:rsid w:val="00B6499E"/>
    <w:rsid w:val="00B65531"/>
    <w:rsid w:val="00B65AD3"/>
    <w:rsid w:val="00B667C7"/>
    <w:rsid w:val="00B67161"/>
    <w:rsid w:val="00B67285"/>
    <w:rsid w:val="00B67414"/>
    <w:rsid w:val="00B6760F"/>
    <w:rsid w:val="00B67822"/>
    <w:rsid w:val="00B67D0B"/>
    <w:rsid w:val="00B67E1F"/>
    <w:rsid w:val="00B67FF8"/>
    <w:rsid w:val="00B702DA"/>
    <w:rsid w:val="00B70481"/>
    <w:rsid w:val="00B70775"/>
    <w:rsid w:val="00B707DF"/>
    <w:rsid w:val="00B70B5F"/>
    <w:rsid w:val="00B7192E"/>
    <w:rsid w:val="00B71AA8"/>
    <w:rsid w:val="00B71F5D"/>
    <w:rsid w:val="00B720F4"/>
    <w:rsid w:val="00B7245E"/>
    <w:rsid w:val="00B72915"/>
    <w:rsid w:val="00B7299A"/>
    <w:rsid w:val="00B72A0B"/>
    <w:rsid w:val="00B72A2C"/>
    <w:rsid w:val="00B72BA2"/>
    <w:rsid w:val="00B72CC1"/>
    <w:rsid w:val="00B72CF0"/>
    <w:rsid w:val="00B73B28"/>
    <w:rsid w:val="00B74571"/>
    <w:rsid w:val="00B74ED7"/>
    <w:rsid w:val="00B750AD"/>
    <w:rsid w:val="00B7526E"/>
    <w:rsid w:val="00B75340"/>
    <w:rsid w:val="00B75405"/>
    <w:rsid w:val="00B755D2"/>
    <w:rsid w:val="00B7564C"/>
    <w:rsid w:val="00B75992"/>
    <w:rsid w:val="00B760C6"/>
    <w:rsid w:val="00B761CA"/>
    <w:rsid w:val="00B762D7"/>
    <w:rsid w:val="00B7655F"/>
    <w:rsid w:val="00B76AD2"/>
    <w:rsid w:val="00B76FB5"/>
    <w:rsid w:val="00B77A2C"/>
    <w:rsid w:val="00B77B48"/>
    <w:rsid w:val="00B77DB6"/>
    <w:rsid w:val="00B77DC6"/>
    <w:rsid w:val="00B77E49"/>
    <w:rsid w:val="00B8028C"/>
    <w:rsid w:val="00B80C27"/>
    <w:rsid w:val="00B80F08"/>
    <w:rsid w:val="00B8179C"/>
    <w:rsid w:val="00B81CDD"/>
    <w:rsid w:val="00B81E15"/>
    <w:rsid w:val="00B81E6A"/>
    <w:rsid w:val="00B821E1"/>
    <w:rsid w:val="00B82202"/>
    <w:rsid w:val="00B824D8"/>
    <w:rsid w:val="00B825CB"/>
    <w:rsid w:val="00B8279D"/>
    <w:rsid w:val="00B827E3"/>
    <w:rsid w:val="00B82A34"/>
    <w:rsid w:val="00B830D3"/>
    <w:rsid w:val="00B830EE"/>
    <w:rsid w:val="00B83240"/>
    <w:rsid w:val="00B83983"/>
    <w:rsid w:val="00B83D11"/>
    <w:rsid w:val="00B83D39"/>
    <w:rsid w:val="00B83F9A"/>
    <w:rsid w:val="00B8413C"/>
    <w:rsid w:val="00B84265"/>
    <w:rsid w:val="00B8452C"/>
    <w:rsid w:val="00B845EC"/>
    <w:rsid w:val="00B8486A"/>
    <w:rsid w:val="00B848D2"/>
    <w:rsid w:val="00B84C44"/>
    <w:rsid w:val="00B850C6"/>
    <w:rsid w:val="00B85979"/>
    <w:rsid w:val="00B85A0A"/>
    <w:rsid w:val="00B85A86"/>
    <w:rsid w:val="00B85BA2"/>
    <w:rsid w:val="00B862EC"/>
    <w:rsid w:val="00B865E6"/>
    <w:rsid w:val="00B867BE"/>
    <w:rsid w:val="00B86C8E"/>
    <w:rsid w:val="00B87238"/>
    <w:rsid w:val="00B87699"/>
    <w:rsid w:val="00B878EC"/>
    <w:rsid w:val="00B8793E"/>
    <w:rsid w:val="00B879B7"/>
    <w:rsid w:val="00B87BA2"/>
    <w:rsid w:val="00B87CE2"/>
    <w:rsid w:val="00B87EED"/>
    <w:rsid w:val="00B9010B"/>
    <w:rsid w:val="00B90324"/>
    <w:rsid w:val="00B9044E"/>
    <w:rsid w:val="00B90809"/>
    <w:rsid w:val="00B908E3"/>
    <w:rsid w:val="00B910F0"/>
    <w:rsid w:val="00B9113C"/>
    <w:rsid w:val="00B91425"/>
    <w:rsid w:val="00B9171B"/>
    <w:rsid w:val="00B91A91"/>
    <w:rsid w:val="00B91CFA"/>
    <w:rsid w:val="00B920A1"/>
    <w:rsid w:val="00B92111"/>
    <w:rsid w:val="00B92496"/>
    <w:rsid w:val="00B9296C"/>
    <w:rsid w:val="00B92A7E"/>
    <w:rsid w:val="00B92E80"/>
    <w:rsid w:val="00B934DE"/>
    <w:rsid w:val="00B936E7"/>
    <w:rsid w:val="00B93961"/>
    <w:rsid w:val="00B940F4"/>
    <w:rsid w:val="00B94122"/>
    <w:rsid w:val="00B94187"/>
    <w:rsid w:val="00B9418E"/>
    <w:rsid w:val="00B94586"/>
    <w:rsid w:val="00B95110"/>
    <w:rsid w:val="00B95224"/>
    <w:rsid w:val="00B9532A"/>
    <w:rsid w:val="00B954E0"/>
    <w:rsid w:val="00B957E9"/>
    <w:rsid w:val="00B9582C"/>
    <w:rsid w:val="00B958EF"/>
    <w:rsid w:val="00B95908"/>
    <w:rsid w:val="00B95B01"/>
    <w:rsid w:val="00B95CB3"/>
    <w:rsid w:val="00B95ED9"/>
    <w:rsid w:val="00B967D9"/>
    <w:rsid w:val="00B968CF"/>
    <w:rsid w:val="00B96F02"/>
    <w:rsid w:val="00B97DB6"/>
    <w:rsid w:val="00B97E6A"/>
    <w:rsid w:val="00BA01F2"/>
    <w:rsid w:val="00BA0AC4"/>
    <w:rsid w:val="00BA0DB9"/>
    <w:rsid w:val="00BA0F79"/>
    <w:rsid w:val="00BA103C"/>
    <w:rsid w:val="00BA12BF"/>
    <w:rsid w:val="00BA136D"/>
    <w:rsid w:val="00BA1426"/>
    <w:rsid w:val="00BA1B09"/>
    <w:rsid w:val="00BA1B6A"/>
    <w:rsid w:val="00BA2459"/>
    <w:rsid w:val="00BA2616"/>
    <w:rsid w:val="00BA2734"/>
    <w:rsid w:val="00BA2810"/>
    <w:rsid w:val="00BA2CC2"/>
    <w:rsid w:val="00BA3182"/>
    <w:rsid w:val="00BA351F"/>
    <w:rsid w:val="00BA3F09"/>
    <w:rsid w:val="00BA4260"/>
    <w:rsid w:val="00BA4F2A"/>
    <w:rsid w:val="00BA500D"/>
    <w:rsid w:val="00BA5516"/>
    <w:rsid w:val="00BA5754"/>
    <w:rsid w:val="00BA58F8"/>
    <w:rsid w:val="00BA5AF4"/>
    <w:rsid w:val="00BA60D8"/>
    <w:rsid w:val="00BA60E9"/>
    <w:rsid w:val="00BA6631"/>
    <w:rsid w:val="00BA665E"/>
    <w:rsid w:val="00BA6889"/>
    <w:rsid w:val="00BA6A6D"/>
    <w:rsid w:val="00BA6AD5"/>
    <w:rsid w:val="00BA6B4B"/>
    <w:rsid w:val="00BA7218"/>
    <w:rsid w:val="00BA79D5"/>
    <w:rsid w:val="00BA7EE7"/>
    <w:rsid w:val="00BB0ADB"/>
    <w:rsid w:val="00BB0B12"/>
    <w:rsid w:val="00BB0C52"/>
    <w:rsid w:val="00BB108C"/>
    <w:rsid w:val="00BB1C08"/>
    <w:rsid w:val="00BB2116"/>
    <w:rsid w:val="00BB2945"/>
    <w:rsid w:val="00BB2E0E"/>
    <w:rsid w:val="00BB3420"/>
    <w:rsid w:val="00BB37AC"/>
    <w:rsid w:val="00BB38D0"/>
    <w:rsid w:val="00BB3979"/>
    <w:rsid w:val="00BB3991"/>
    <w:rsid w:val="00BB3AD4"/>
    <w:rsid w:val="00BB3B4A"/>
    <w:rsid w:val="00BB3D08"/>
    <w:rsid w:val="00BB3D87"/>
    <w:rsid w:val="00BB41A6"/>
    <w:rsid w:val="00BB49A9"/>
    <w:rsid w:val="00BB4B93"/>
    <w:rsid w:val="00BB50C0"/>
    <w:rsid w:val="00BB521C"/>
    <w:rsid w:val="00BB536E"/>
    <w:rsid w:val="00BB5DFF"/>
    <w:rsid w:val="00BB61A1"/>
    <w:rsid w:val="00BB6DD7"/>
    <w:rsid w:val="00BB6E69"/>
    <w:rsid w:val="00BB72EA"/>
    <w:rsid w:val="00BB78FC"/>
    <w:rsid w:val="00BB7CC5"/>
    <w:rsid w:val="00BB7E67"/>
    <w:rsid w:val="00BC0378"/>
    <w:rsid w:val="00BC03A0"/>
    <w:rsid w:val="00BC0593"/>
    <w:rsid w:val="00BC0D70"/>
    <w:rsid w:val="00BC112E"/>
    <w:rsid w:val="00BC1835"/>
    <w:rsid w:val="00BC2335"/>
    <w:rsid w:val="00BC247F"/>
    <w:rsid w:val="00BC25EE"/>
    <w:rsid w:val="00BC2993"/>
    <w:rsid w:val="00BC2A7F"/>
    <w:rsid w:val="00BC2B71"/>
    <w:rsid w:val="00BC317F"/>
    <w:rsid w:val="00BC3261"/>
    <w:rsid w:val="00BC33E2"/>
    <w:rsid w:val="00BC3420"/>
    <w:rsid w:val="00BC3CAB"/>
    <w:rsid w:val="00BC3F79"/>
    <w:rsid w:val="00BC4626"/>
    <w:rsid w:val="00BC4BDA"/>
    <w:rsid w:val="00BC4D28"/>
    <w:rsid w:val="00BC511B"/>
    <w:rsid w:val="00BC5263"/>
    <w:rsid w:val="00BC5915"/>
    <w:rsid w:val="00BC5C92"/>
    <w:rsid w:val="00BC5D9F"/>
    <w:rsid w:val="00BC5F21"/>
    <w:rsid w:val="00BC5F62"/>
    <w:rsid w:val="00BC6272"/>
    <w:rsid w:val="00BC65D8"/>
    <w:rsid w:val="00BC6A77"/>
    <w:rsid w:val="00BC6C31"/>
    <w:rsid w:val="00BC6E5E"/>
    <w:rsid w:val="00BC6FC4"/>
    <w:rsid w:val="00BC72EE"/>
    <w:rsid w:val="00BC7440"/>
    <w:rsid w:val="00BC7E07"/>
    <w:rsid w:val="00BC7E29"/>
    <w:rsid w:val="00BD04AC"/>
    <w:rsid w:val="00BD0866"/>
    <w:rsid w:val="00BD08D1"/>
    <w:rsid w:val="00BD0907"/>
    <w:rsid w:val="00BD0DBD"/>
    <w:rsid w:val="00BD10B9"/>
    <w:rsid w:val="00BD11B6"/>
    <w:rsid w:val="00BD14C9"/>
    <w:rsid w:val="00BD14E9"/>
    <w:rsid w:val="00BD1810"/>
    <w:rsid w:val="00BD1928"/>
    <w:rsid w:val="00BD1950"/>
    <w:rsid w:val="00BD1B9B"/>
    <w:rsid w:val="00BD1D63"/>
    <w:rsid w:val="00BD22AE"/>
    <w:rsid w:val="00BD24F5"/>
    <w:rsid w:val="00BD3308"/>
    <w:rsid w:val="00BD362E"/>
    <w:rsid w:val="00BD3764"/>
    <w:rsid w:val="00BD397B"/>
    <w:rsid w:val="00BD417D"/>
    <w:rsid w:val="00BD41C8"/>
    <w:rsid w:val="00BD41F9"/>
    <w:rsid w:val="00BD4705"/>
    <w:rsid w:val="00BD4D4B"/>
    <w:rsid w:val="00BD4E74"/>
    <w:rsid w:val="00BD54A2"/>
    <w:rsid w:val="00BD596E"/>
    <w:rsid w:val="00BD68BE"/>
    <w:rsid w:val="00BD69F3"/>
    <w:rsid w:val="00BD6BA2"/>
    <w:rsid w:val="00BD70DF"/>
    <w:rsid w:val="00BD7476"/>
    <w:rsid w:val="00BD775C"/>
    <w:rsid w:val="00BD7902"/>
    <w:rsid w:val="00BD7C1B"/>
    <w:rsid w:val="00BD7D93"/>
    <w:rsid w:val="00BE0347"/>
    <w:rsid w:val="00BE0909"/>
    <w:rsid w:val="00BE120E"/>
    <w:rsid w:val="00BE13BE"/>
    <w:rsid w:val="00BE1587"/>
    <w:rsid w:val="00BE17CC"/>
    <w:rsid w:val="00BE1DEB"/>
    <w:rsid w:val="00BE25B3"/>
    <w:rsid w:val="00BE27D4"/>
    <w:rsid w:val="00BE2F9C"/>
    <w:rsid w:val="00BE3DFB"/>
    <w:rsid w:val="00BE4187"/>
    <w:rsid w:val="00BE41C6"/>
    <w:rsid w:val="00BE4316"/>
    <w:rsid w:val="00BE434F"/>
    <w:rsid w:val="00BE4410"/>
    <w:rsid w:val="00BE4767"/>
    <w:rsid w:val="00BE503D"/>
    <w:rsid w:val="00BE54BF"/>
    <w:rsid w:val="00BE555B"/>
    <w:rsid w:val="00BE56D1"/>
    <w:rsid w:val="00BE5731"/>
    <w:rsid w:val="00BE594A"/>
    <w:rsid w:val="00BE596F"/>
    <w:rsid w:val="00BE64B7"/>
    <w:rsid w:val="00BE68B4"/>
    <w:rsid w:val="00BE71B7"/>
    <w:rsid w:val="00BE72BD"/>
    <w:rsid w:val="00BE7E57"/>
    <w:rsid w:val="00BF0531"/>
    <w:rsid w:val="00BF0535"/>
    <w:rsid w:val="00BF0606"/>
    <w:rsid w:val="00BF065D"/>
    <w:rsid w:val="00BF08E1"/>
    <w:rsid w:val="00BF09C2"/>
    <w:rsid w:val="00BF0E19"/>
    <w:rsid w:val="00BF0F0A"/>
    <w:rsid w:val="00BF1264"/>
    <w:rsid w:val="00BF129A"/>
    <w:rsid w:val="00BF2BAF"/>
    <w:rsid w:val="00BF326D"/>
    <w:rsid w:val="00BF330B"/>
    <w:rsid w:val="00BF3B84"/>
    <w:rsid w:val="00BF3BA0"/>
    <w:rsid w:val="00BF3EFE"/>
    <w:rsid w:val="00BF40D9"/>
    <w:rsid w:val="00BF411E"/>
    <w:rsid w:val="00BF42C6"/>
    <w:rsid w:val="00BF4449"/>
    <w:rsid w:val="00BF448E"/>
    <w:rsid w:val="00BF46A4"/>
    <w:rsid w:val="00BF4A3E"/>
    <w:rsid w:val="00BF4E34"/>
    <w:rsid w:val="00BF503E"/>
    <w:rsid w:val="00BF558F"/>
    <w:rsid w:val="00BF5B7A"/>
    <w:rsid w:val="00BF5BC8"/>
    <w:rsid w:val="00BF75BB"/>
    <w:rsid w:val="00BF7D2C"/>
    <w:rsid w:val="00BF7D44"/>
    <w:rsid w:val="00BF7DF4"/>
    <w:rsid w:val="00BF7F50"/>
    <w:rsid w:val="00C0066A"/>
    <w:rsid w:val="00C00FA0"/>
    <w:rsid w:val="00C01150"/>
    <w:rsid w:val="00C013C5"/>
    <w:rsid w:val="00C013F8"/>
    <w:rsid w:val="00C0148C"/>
    <w:rsid w:val="00C016D8"/>
    <w:rsid w:val="00C01727"/>
    <w:rsid w:val="00C02050"/>
    <w:rsid w:val="00C024B5"/>
    <w:rsid w:val="00C025FF"/>
    <w:rsid w:val="00C02672"/>
    <w:rsid w:val="00C03431"/>
    <w:rsid w:val="00C037F6"/>
    <w:rsid w:val="00C03FAB"/>
    <w:rsid w:val="00C04001"/>
    <w:rsid w:val="00C0407D"/>
    <w:rsid w:val="00C0444E"/>
    <w:rsid w:val="00C04F63"/>
    <w:rsid w:val="00C0522D"/>
    <w:rsid w:val="00C05525"/>
    <w:rsid w:val="00C05DBC"/>
    <w:rsid w:val="00C05E53"/>
    <w:rsid w:val="00C06049"/>
    <w:rsid w:val="00C06167"/>
    <w:rsid w:val="00C0641B"/>
    <w:rsid w:val="00C06780"/>
    <w:rsid w:val="00C06C9C"/>
    <w:rsid w:val="00C06D07"/>
    <w:rsid w:val="00C06E11"/>
    <w:rsid w:val="00C06F65"/>
    <w:rsid w:val="00C06F88"/>
    <w:rsid w:val="00C072DA"/>
    <w:rsid w:val="00C074AA"/>
    <w:rsid w:val="00C07817"/>
    <w:rsid w:val="00C07C4B"/>
    <w:rsid w:val="00C07C77"/>
    <w:rsid w:val="00C07F5C"/>
    <w:rsid w:val="00C10469"/>
    <w:rsid w:val="00C10780"/>
    <w:rsid w:val="00C10A00"/>
    <w:rsid w:val="00C10D0F"/>
    <w:rsid w:val="00C10ECC"/>
    <w:rsid w:val="00C10ECD"/>
    <w:rsid w:val="00C11116"/>
    <w:rsid w:val="00C11378"/>
    <w:rsid w:val="00C117DC"/>
    <w:rsid w:val="00C1182F"/>
    <w:rsid w:val="00C11935"/>
    <w:rsid w:val="00C120D9"/>
    <w:rsid w:val="00C121AC"/>
    <w:rsid w:val="00C12230"/>
    <w:rsid w:val="00C12409"/>
    <w:rsid w:val="00C1268F"/>
    <w:rsid w:val="00C1288E"/>
    <w:rsid w:val="00C12AB7"/>
    <w:rsid w:val="00C12EF6"/>
    <w:rsid w:val="00C1301F"/>
    <w:rsid w:val="00C13020"/>
    <w:rsid w:val="00C13216"/>
    <w:rsid w:val="00C133AE"/>
    <w:rsid w:val="00C1398E"/>
    <w:rsid w:val="00C13BEC"/>
    <w:rsid w:val="00C13E3F"/>
    <w:rsid w:val="00C13E46"/>
    <w:rsid w:val="00C13E77"/>
    <w:rsid w:val="00C1447B"/>
    <w:rsid w:val="00C14780"/>
    <w:rsid w:val="00C1577F"/>
    <w:rsid w:val="00C15E2F"/>
    <w:rsid w:val="00C15F9B"/>
    <w:rsid w:val="00C16020"/>
    <w:rsid w:val="00C162B2"/>
    <w:rsid w:val="00C1630F"/>
    <w:rsid w:val="00C1651A"/>
    <w:rsid w:val="00C1669E"/>
    <w:rsid w:val="00C16772"/>
    <w:rsid w:val="00C16A9E"/>
    <w:rsid w:val="00C16CDE"/>
    <w:rsid w:val="00C16F07"/>
    <w:rsid w:val="00C16F40"/>
    <w:rsid w:val="00C1720B"/>
    <w:rsid w:val="00C17540"/>
    <w:rsid w:val="00C175AF"/>
    <w:rsid w:val="00C178F3"/>
    <w:rsid w:val="00C17C30"/>
    <w:rsid w:val="00C17D9D"/>
    <w:rsid w:val="00C200F5"/>
    <w:rsid w:val="00C209DD"/>
    <w:rsid w:val="00C20BD3"/>
    <w:rsid w:val="00C20CF3"/>
    <w:rsid w:val="00C212C3"/>
    <w:rsid w:val="00C21524"/>
    <w:rsid w:val="00C21762"/>
    <w:rsid w:val="00C219F6"/>
    <w:rsid w:val="00C22946"/>
    <w:rsid w:val="00C22AB2"/>
    <w:rsid w:val="00C22B04"/>
    <w:rsid w:val="00C22B66"/>
    <w:rsid w:val="00C22BBE"/>
    <w:rsid w:val="00C22E88"/>
    <w:rsid w:val="00C22EE0"/>
    <w:rsid w:val="00C22F5C"/>
    <w:rsid w:val="00C236E1"/>
    <w:rsid w:val="00C23702"/>
    <w:rsid w:val="00C23C1F"/>
    <w:rsid w:val="00C23C50"/>
    <w:rsid w:val="00C24AFD"/>
    <w:rsid w:val="00C24BA2"/>
    <w:rsid w:val="00C24D6D"/>
    <w:rsid w:val="00C25054"/>
    <w:rsid w:val="00C250CB"/>
    <w:rsid w:val="00C25147"/>
    <w:rsid w:val="00C25329"/>
    <w:rsid w:val="00C25630"/>
    <w:rsid w:val="00C256CD"/>
    <w:rsid w:val="00C263AE"/>
    <w:rsid w:val="00C266EE"/>
    <w:rsid w:val="00C26F0C"/>
    <w:rsid w:val="00C26FDC"/>
    <w:rsid w:val="00C277DB"/>
    <w:rsid w:val="00C27A6E"/>
    <w:rsid w:val="00C27D13"/>
    <w:rsid w:val="00C27F62"/>
    <w:rsid w:val="00C300C3"/>
    <w:rsid w:val="00C30674"/>
    <w:rsid w:val="00C30683"/>
    <w:rsid w:val="00C308F2"/>
    <w:rsid w:val="00C30BAF"/>
    <w:rsid w:val="00C30C29"/>
    <w:rsid w:val="00C31146"/>
    <w:rsid w:val="00C313D1"/>
    <w:rsid w:val="00C31688"/>
    <w:rsid w:val="00C316B9"/>
    <w:rsid w:val="00C31A07"/>
    <w:rsid w:val="00C32173"/>
    <w:rsid w:val="00C3293C"/>
    <w:rsid w:val="00C329E2"/>
    <w:rsid w:val="00C32E9F"/>
    <w:rsid w:val="00C33837"/>
    <w:rsid w:val="00C34921"/>
    <w:rsid w:val="00C34A2C"/>
    <w:rsid w:val="00C34D52"/>
    <w:rsid w:val="00C34F5C"/>
    <w:rsid w:val="00C352C0"/>
    <w:rsid w:val="00C36BC5"/>
    <w:rsid w:val="00C36F6B"/>
    <w:rsid w:val="00C3768D"/>
    <w:rsid w:val="00C3777C"/>
    <w:rsid w:val="00C377FD"/>
    <w:rsid w:val="00C37D25"/>
    <w:rsid w:val="00C37E44"/>
    <w:rsid w:val="00C402DF"/>
    <w:rsid w:val="00C406BF"/>
    <w:rsid w:val="00C408EF"/>
    <w:rsid w:val="00C40939"/>
    <w:rsid w:val="00C40A15"/>
    <w:rsid w:val="00C40B45"/>
    <w:rsid w:val="00C40EA0"/>
    <w:rsid w:val="00C4179B"/>
    <w:rsid w:val="00C418D7"/>
    <w:rsid w:val="00C41AA5"/>
    <w:rsid w:val="00C41D2E"/>
    <w:rsid w:val="00C42032"/>
    <w:rsid w:val="00C42037"/>
    <w:rsid w:val="00C4214B"/>
    <w:rsid w:val="00C424D6"/>
    <w:rsid w:val="00C42791"/>
    <w:rsid w:val="00C433DE"/>
    <w:rsid w:val="00C43D06"/>
    <w:rsid w:val="00C4401E"/>
    <w:rsid w:val="00C4447D"/>
    <w:rsid w:val="00C448CE"/>
    <w:rsid w:val="00C44A0D"/>
    <w:rsid w:val="00C44BDF"/>
    <w:rsid w:val="00C44FD5"/>
    <w:rsid w:val="00C450FB"/>
    <w:rsid w:val="00C45381"/>
    <w:rsid w:val="00C4554C"/>
    <w:rsid w:val="00C458C8"/>
    <w:rsid w:val="00C46211"/>
    <w:rsid w:val="00C463A3"/>
    <w:rsid w:val="00C46453"/>
    <w:rsid w:val="00C464A3"/>
    <w:rsid w:val="00C4651F"/>
    <w:rsid w:val="00C46B76"/>
    <w:rsid w:val="00C46E68"/>
    <w:rsid w:val="00C47227"/>
    <w:rsid w:val="00C4733C"/>
    <w:rsid w:val="00C474E8"/>
    <w:rsid w:val="00C5055D"/>
    <w:rsid w:val="00C507CA"/>
    <w:rsid w:val="00C50824"/>
    <w:rsid w:val="00C50E26"/>
    <w:rsid w:val="00C51605"/>
    <w:rsid w:val="00C51BFD"/>
    <w:rsid w:val="00C51CE2"/>
    <w:rsid w:val="00C522F7"/>
    <w:rsid w:val="00C526C7"/>
    <w:rsid w:val="00C52ADE"/>
    <w:rsid w:val="00C53486"/>
    <w:rsid w:val="00C535E2"/>
    <w:rsid w:val="00C53723"/>
    <w:rsid w:val="00C5409D"/>
    <w:rsid w:val="00C54CB5"/>
    <w:rsid w:val="00C54ED5"/>
    <w:rsid w:val="00C54F9C"/>
    <w:rsid w:val="00C55477"/>
    <w:rsid w:val="00C5576D"/>
    <w:rsid w:val="00C557BD"/>
    <w:rsid w:val="00C558C5"/>
    <w:rsid w:val="00C55AFF"/>
    <w:rsid w:val="00C55BE1"/>
    <w:rsid w:val="00C56C94"/>
    <w:rsid w:val="00C570FC"/>
    <w:rsid w:val="00C57771"/>
    <w:rsid w:val="00C578AF"/>
    <w:rsid w:val="00C57DCA"/>
    <w:rsid w:val="00C57E1B"/>
    <w:rsid w:val="00C603FA"/>
    <w:rsid w:val="00C606F0"/>
    <w:rsid w:val="00C60E2A"/>
    <w:rsid w:val="00C60EA0"/>
    <w:rsid w:val="00C60FD9"/>
    <w:rsid w:val="00C61007"/>
    <w:rsid w:val="00C6102F"/>
    <w:rsid w:val="00C612B9"/>
    <w:rsid w:val="00C61354"/>
    <w:rsid w:val="00C61842"/>
    <w:rsid w:val="00C61921"/>
    <w:rsid w:val="00C61BB5"/>
    <w:rsid w:val="00C6206D"/>
    <w:rsid w:val="00C6238B"/>
    <w:rsid w:val="00C628B1"/>
    <w:rsid w:val="00C62BEF"/>
    <w:rsid w:val="00C62D68"/>
    <w:rsid w:val="00C630D3"/>
    <w:rsid w:val="00C63271"/>
    <w:rsid w:val="00C632D6"/>
    <w:rsid w:val="00C632EF"/>
    <w:rsid w:val="00C636DE"/>
    <w:rsid w:val="00C637B1"/>
    <w:rsid w:val="00C64081"/>
    <w:rsid w:val="00C6413A"/>
    <w:rsid w:val="00C641C4"/>
    <w:rsid w:val="00C643DD"/>
    <w:rsid w:val="00C6448B"/>
    <w:rsid w:val="00C64A82"/>
    <w:rsid w:val="00C64CC6"/>
    <w:rsid w:val="00C64F4C"/>
    <w:rsid w:val="00C66950"/>
    <w:rsid w:val="00C66B45"/>
    <w:rsid w:val="00C66B5B"/>
    <w:rsid w:val="00C66CBA"/>
    <w:rsid w:val="00C66DBA"/>
    <w:rsid w:val="00C6741F"/>
    <w:rsid w:val="00C676E3"/>
    <w:rsid w:val="00C67745"/>
    <w:rsid w:val="00C677D8"/>
    <w:rsid w:val="00C67E5C"/>
    <w:rsid w:val="00C70157"/>
    <w:rsid w:val="00C703A2"/>
    <w:rsid w:val="00C70711"/>
    <w:rsid w:val="00C7093A"/>
    <w:rsid w:val="00C70D38"/>
    <w:rsid w:val="00C71BE3"/>
    <w:rsid w:val="00C72018"/>
    <w:rsid w:val="00C722C4"/>
    <w:rsid w:val="00C728B3"/>
    <w:rsid w:val="00C73456"/>
    <w:rsid w:val="00C7367F"/>
    <w:rsid w:val="00C736D5"/>
    <w:rsid w:val="00C73843"/>
    <w:rsid w:val="00C738BA"/>
    <w:rsid w:val="00C745E5"/>
    <w:rsid w:val="00C74F57"/>
    <w:rsid w:val="00C7500A"/>
    <w:rsid w:val="00C75079"/>
    <w:rsid w:val="00C75420"/>
    <w:rsid w:val="00C75577"/>
    <w:rsid w:val="00C755DF"/>
    <w:rsid w:val="00C75684"/>
    <w:rsid w:val="00C75974"/>
    <w:rsid w:val="00C75F66"/>
    <w:rsid w:val="00C7604A"/>
    <w:rsid w:val="00C7605B"/>
    <w:rsid w:val="00C766E5"/>
    <w:rsid w:val="00C76885"/>
    <w:rsid w:val="00C77591"/>
    <w:rsid w:val="00C77641"/>
    <w:rsid w:val="00C776FB"/>
    <w:rsid w:val="00C77A57"/>
    <w:rsid w:val="00C8059D"/>
    <w:rsid w:val="00C80728"/>
    <w:rsid w:val="00C8094A"/>
    <w:rsid w:val="00C80CDE"/>
    <w:rsid w:val="00C80DB6"/>
    <w:rsid w:val="00C80E3C"/>
    <w:rsid w:val="00C80E51"/>
    <w:rsid w:val="00C81964"/>
    <w:rsid w:val="00C81EFB"/>
    <w:rsid w:val="00C82D5E"/>
    <w:rsid w:val="00C83214"/>
    <w:rsid w:val="00C83237"/>
    <w:rsid w:val="00C8345B"/>
    <w:rsid w:val="00C83539"/>
    <w:rsid w:val="00C83F42"/>
    <w:rsid w:val="00C83FE5"/>
    <w:rsid w:val="00C841EB"/>
    <w:rsid w:val="00C84ECB"/>
    <w:rsid w:val="00C84FA6"/>
    <w:rsid w:val="00C84FDE"/>
    <w:rsid w:val="00C8553A"/>
    <w:rsid w:val="00C85C02"/>
    <w:rsid w:val="00C86207"/>
    <w:rsid w:val="00C869AC"/>
    <w:rsid w:val="00C86A6F"/>
    <w:rsid w:val="00C86BC0"/>
    <w:rsid w:val="00C86C64"/>
    <w:rsid w:val="00C86EE4"/>
    <w:rsid w:val="00C8722F"/>
    <w:rsid w:val="00C872D8"/>
    <w:rsid w:val="00C876A8"/>
    <w:rsid w:val="00C87EE9"/>
    <w:rsid w:val="00C87FDC"/>
    <w:rsid w:val="00C90284"/>
    <w:rsid w:val="00C9070F"/>
    <w:rsid w:val="00C90C36"/>
    <w:rsid w:val="00C90E29"/>
    <w:rsid w:val="00C913D9"/>
    <w:rsid w:val="00C91528"/>
    <w:rsid w:val="00C91681"/>
    <w:rsid w:val="00C918EC"/>
    <w:rsid w:val="00C91CEA"/>
    <w:rsid w:val="00C91D8D"/>
    <w:rsid w:val="00C92038"/>
    <w:rsid w:val="00C92235"/>
    <w:rsid w:val="00C9252D"/>
    <w:rsid w:val="00C92B40"/>
    <w:rsid w:val="00C92B48"/>
    <w:rsid w:val="00C92E29"/>
    <w:rsid w:val="00C92F40"/>
    <w:rsid w:val="00C939E0"/>
    <w:rsid w:val="00C942AD"/>
    <w:rsid w:val="00C9435B"/>
    <w:rsid w:val="00C94608"/>
    <w:rsid w:val="00C958AF"/>
    <w:rsid w:val="00C95A55"/>
    <w:rsid w:val="00C95D2D"/>
    <w:rsid w:val="00C95D70"/>
    <w:rsid w:val="00C964B1"/>
    <w:rsid w:val="00C964F9"/>
    <w:rsid w:val="00C9668D"/>
    <w:rsid w:val="00C96E5B"/>
    <w:rsid w:val="00C96FB5"/>
    <w:rsid w:val="00C973FC"/>
    <w:rsid w:val="00C975CC"/>
    <w:rsid w:val="00C978AA"/>
    <w:rsid w:val="00C97A77"/>
    <w:rsid w:val="00C97A7F"/>
    <w:rsid w:val="00C97B2C"/>
    <w:rsid w:val="00C97C71"/>
    <w:rsid w:val="00CA00D9"/>
    <w:rsid w:val="00CA023F"/>
    <w:rsid w:val="00CA02E9"/>
    <w:rsid w:val="00CA0339"/>
    <w:rsid w:val="00CA03EF"/>
    <w:rsid w:val="00CA05F2"/>
    <w:rsid w:val="00CA09D7"/>
    <w:rsid w:val="00CA0AD2"/>
    <w:rsid w:val="00CA0FC7"/>
    <w:rsid w:val="00CA11E9"/>
    <w:rsid w:val="00CA1618"/>
    <w:rsid w:val="00CA1A44"/>
    <w:rsid w:val="00CA1B14"/>
    <w:rsid w:val="00CA1DD2"/>
    <w:rsid w:val="00CA23BD"/>
    <w:rsid w:val="00CA2766"/>
    <w:rsid w:val="00CA2EA2"/>
    <w:rsid w:val="00CA30BE"/>
    <w:rsid w:val="00CA3678"/>
    <w:rsid w:val="00CA39E9"/>
    <w:rsid w:val="00CA3F29"/>
    <w:rsid w:val="00CA47E7"/>
    <w:rsid w:val="00CA494B"/>
    <w:rsid w:val="00CA5317"/>
    <w:rsid w:val="00CA54C7"/>
    <w:rsid w:val="00CA5815"/>
    <w:rsid w:val="00CA5DC4"/>
    <w:rsid w:val="00CA63FF"/>
    <w:rsid w:val="00CA671F"/>
    <w:rsid w:val="00CA67EC"/>
    <w:rsid w:val="00CA6901"/>
    <w:rsid w:val="00CA6ACC"/>
    <w:rsid w:val="00CA6CF9"/>
    <w:rsid w:val="00CA6D63"/>
    <w:rsid w:val="00CA78CA"/>
    <w:rsid w:val="00CA79D9"/>
    <w:rsid w:val="00CA7A3C"/>
    <w:rsid w:val="00CA7B83"/>
    <w:rsid w:val="00CA7EDC"/>
    <w:rsid w:val="00CA7FFB"/>
    <w:rsid w:val="00CB090B"/>
    <w:rsid w:val="00CB0948"/>
    <w:rsid w:val="00CB0B1D"/>
    <w:rsid w:val="00CB16DB"/>
    <w:rsid w:val="00CB1EFD"/>
    <w:rsid w:val="00CB1F37"/>
    <w:rsid w:val="00CB2164"/>
    <w:rsid w:val="00CB2528"/>
    <w:rsid w:val="00CB275C"/>
    <w:rsid w:val="00CB285C"/>
    <w:rsid w:val="00CB2932"/>
    <w:rsid w:val="00CB2A67"/>
    <w:rsid w:val="00CB2B31"/>
    <w:rsid w:val="00CB30AC"/>
    <w:rsid w:val="00CB34C6"/>
    <w:rsid w:val="00CB35DC"/>
    <w:rsid w:val="00CB39CD"/>
    <w:rsid w:val="00CB3BD0"/>
    <w:rsid w:val="00CB3BF9"/>
    <w:rsid w:val="00CB41DC"/>
    <w:rsid w:val="00CB465A"/>
    <w:rsid w:val="00CB47F8"/>
    <w:rsid w:val="00CB48DF"/>
    <w:rsid w:val="00CB4AD1"/>
    <w:rsid w:val="00CB4E95"/>
    <w:rsid w:val="00CB5216"/>
    <w:rsid w:val="00CB5335"/>
    <w:rsid w:val="00CB53F1"/>
    <w:rsid w:val="00CB555C"/>
    <w:rsid w:val="00CB55C9"/>
    <w:rsid w:val="00CB57AD"/>
    <w:rsid w:val="00CB5B89"/>
    <w:rsid w:val="00CB5EE8"/>
    <w:rsid w:val="00CB61E3"/>
    <w:rsid w:val="00CB6B86"/>
    <w:rsid w:val="00CB7093"/>
    <w:rsid w:val="00CB750C"/>
    <w:rsid w:val="00CB7528"/>
    <w:rsid w:val="00CB7602"/>
    <w:rsid w:val="00CB794E"/>
    <w:rsid w:val="00CB7EE2"/>
    <w:rsid w:val="00CC0233"/>
    <w:rsid w:val="00CC08E0"/>
    <w:rsid w:val="00CC0B3F"/>
    <w:rsid w:val="00CC0CE4"/>
    <w:rsid w:val="00CC0DC6"/>
    <w:rsid w:val="00CC1418"/>
    <w:rsid w:val="00CC1460"/>
    <w:rsid w:val="00CC1845"/>
    <w:rsid w:val="00CC1BAE"/>
    <w:rsid w:val="00CC31A6"/>
    <w:rsid w:val="00CC3886"/>
    <w:rsid w:val="00CC39CF"/>
    <w:rsid w:val="00CC3ED0"/>
    <w:rsid w:val="00CC467E"/>
    <w:rsid w:val="00CC49F4"/>
    <w:rsid w:val="00CC4D67"/>
    <w:rsid w:val="00CC50FA"/>
    <w:rsid w:val="00CC57F6"/>
    <w:rsid w:val="00CC5875"/>
    <w:rsid w:val="00CC5DB1"/>
    <w:rsid w:val="00CC6307"/>
    <w:rsid w:val="00CC64A9"/>
    <w:rsid w:val="00CC64DB"/>
    <w:rsid w:val="00CC66A7"/>
    <w:rsid w:val="00CC67B9"/>
    <w:rsid w:val="00CC6D24"/>
    <w:rsid w:val="00CC715E"/>
    <w:rsid w:val="00CC7229"/>
    <w:rsid w:val="00CC7A9F"/>
    <w:rsid w:val="00CC7E26"/>
    <w:rsid w:val="00CD0306"/>
    <w:rsid w:val="00CD05E0"/>
    <w:rsid w:val="00CD0648"/>
    <w:rsid w:val="00CD0698"/>
    <w:rsid w:val="00CD095F"/>
    <w:rsid w:val="00CD0C93"/>
    <w:rsid w:val="00CD0F41"/>
    <w:rsid w:val="00CD102A"/>
    <w:rsid w:val="00CD127F"/>
    <w:rsid w:val="00CD1356"/>
    <w:rsid w:val="00CD13CA"/>
    <w:rsid w:val="00CD1486"/>
    <w:rsid w:val="00CD1533"/>
    <w:rsid w:val="00CD1C02"/>
    <w:rsid w:val="00CD2215"/>
    <w:rsid w:val="00CD22AC"/>
    <w:rsid w:val="00CD22C5"/>
    <w:rsid w:val="00CD2604"/>
    <w:rsid w:val="00CD26B7"/>
    <w:rsid w:val="00CD26CE"/>
    <w:rsid w:val="00CD318B"/>
    <w:rsid w:val="00CD3368"/>
    <w:rsid w:val="00CD3E90"/>
    <w:rsid w:val="00CD41AA"/>
    <w:rsid w:val="00CD4558"/>
    <w:rsid w:val="00CD4ABC"/>
    <w:rsid w:val="00CD4C5F"/>
    <w:rsid w:val="00CD4CD0"/>
    <w:rsid w:val="00CD53AF"/>
    <w:rsid w:val="00CD54AD"/>
    <w:rsid w:val="00CD5613"/>
    <w:rsid w:val="00CD5A91"/>
    <w:rsid w:val="00CD5D3B"/>
    <w:rsid w:val="00CD5E3E"/>
    <w:rsid w:val="00CD5E57"/>
    <w:rsid w:val="00CD6AE1"/>
    <w:rsid w:val="00CD6C90"/>
    <w:rsid w:val="00CD6CC1"/>
    <w:rsid w:val="00CD7013"/>
    <w:rsid w:val="00CD7188"/>
    <w:rsid w:val="00CD7383"/>
    <w:rsid w:val="00CD7384"/>
    <w:rsid w:val="00CD7570"/>
    <w:rsid w:val="00CD77C1"/>
    <w:rsid w:val="00CD7898"/>
    <w:rsid w:val="00CE0338"/>
    <w:rsid w:val="00CE059E"/>
    <w:rsid w:val="00CE077E"/>
    <w:rsid w:val="00CE0812"/>
    <w:rsid w:val="00CE0B13"/>
    <w:rsid w:val="00CE0C81"/>
    <w:rsid w:val="00CE10A6"/>
    <w:rsid w:val="00CE10F6"/>
    <w:rsid w:val="00CE1906"/>
    <w:rsid w:val="00CE2FDC"/>
    <w:rsid w:val="00CE3074"/>
    <w:rsid w:val="00CE3387"/>
    <w:rsid w:val="00CE34C5"/>
    <w:rsid w:val="00CE35FE"/>
    <w:rsid w:val="00CE3D10"/>
    <w:rsid w:val="00CE481B"/>
    <w:rsid w:val="00CE4E06"/>
    <w:rsid w:val="00CE4E5D"/>
    <w:rsid w:val="00CE500F"/>
    <w:rsid w:val="00CE5054"/>
    <w:rsid w:val="00CE54C8"/>
    <w:rsid w:val="00CE566A"/>
    <w:rsid w:val="00CE5902"/>
    <w:rsid w:val="00CE591A"/>
    <w:rsid w:val="00CE5EFF"/>
    <w:rsid w:val="00CE604B"/>
    <w:rsid w:val="00CE618F"/>
    <w:rsid w:val="00CE6458"/>
    <w:rsid w:val="00CE7FF9"/>
    <w:rsid w:val="00CF023E"/>
    <w:rsid w:val="00CF0305"/>
    <w:rsid w:val="00CF0AD8"/>
    <w:rsid w:val="00CF0DF2"/>
    <w:rsid w:val="00CF1124"/>
    <w:rsid w:val="00CF1375"/>
    <w:rsid w:val="00CF139D"/>
    <w:rsid w:val="00CF13EB"/>
    <w:rsid w:val="00CF194C"/>
    <w:rsid w:val="00CF1E12"/>
    <w:rsid w:val="00CF26A0"/>
    <w:rsid w:val="00CF2D1D"/>
    <w:rsid w:val="00CF33C8"/>
    <w:rsid w:val="00CF3456"/>
    <w:rsid w:val="00CF3532"/>
    <w:rsid w:val="00CF3749"/>
    <w:rsid w:val="00CF3B4F"/>
    <w:rsid w:val="00CF3E93"/>
    <w:rsid w:val="00CF435E"/>
    <w:rsid w:val="00CF4661"/>
    <w:rsid w:val="00CF49CF"/>
    <w:rsid w:val="00CF4B53"/>
    <w:rsid w:val="00CF4E53"/>
    <w:rsid w:val="00CF51CA"/>
    <w:rsid w:val="00CF5214"/>
    <w:rsid w:val="00CF525C"/>
    <w:rsid w:val="00CF5269"/>
    <w:rsid w:val="00CF557D"/>
    <w:rsid w:val="00CF59B9"/>
    <w:rsid w:val="00CF5A18"/>
    <w:rsid w:val="00CF63D8"/>
    <w:rsid w:val="00CF6F84"/>
    <w:rsid w:val="00CF7315"/>
    <w:rsid w:val="00CF7E6A"/>
    <w:rsid w:val="00CF7E9A"/>
    <w:rsid w:val="00CF7E9B"/>
    <w:rsid w:val="00D00AAF"/>
    <w:rsid w:val="00D01075"/>
    <w:rsid w:val="00D01123"/>
    <w:rsid w:val="00D01671"/>
    <w:rsid w:val="00D019F9"/>
    <w:rsid w:val="00D02232"/>
    <w:rsid w:val="00D0224B"/>
    <w:rsid w:val="00D0270A"/>
    <w:rsid w:val="00D0372B"/>
    <w:rsid w:val="00D038A2"/>
    <w:rsid w:val="00D038EE"/>
    <w:rsid w:val="00D03968"/>
    <w:rsid w:val="00D039BC"/>
    <w:rsid w:val="00D04BBC"/>
    <w:rsid w:val="00D04F0B"/>
    <w:rsid w:val="00D05633"/>
    <w:rsid w:val="00D0564F"/>
    <w:rsid w:val="00D05661"/>
    <w:rsid w:val="00D05877"/>
    <w:rsid w:val="00D05A63"/>
    <w:rsid w:val="00D05CBA"/>
    <w:rsid w:val="00D05CE5"/>
    <w:rsid w:val="00D05D9B"/>
    <w:rsid w:val="00D0764B"/>
    <w:rsid w:val="00D077AB"/>
    <w:rsid w:val="00D07C43"/>
    <w:rsid w:val="00D07CEE"/>
    <w:rsid w:val="00D07D97"/>
    <w:rsid w:val="00D07DAA"/>
    <w:rsid w:val="00D07E86"/>
    <w:rsid w:val="00D07F01"/>
    <w:rsid w:val="00D10157"/>
    <w:rsid w:val="00D101F5"/>
    <w:rsid w:val="00D102F6"/>
    <w:rsid w:val="00D103F3"/>
    <w:rsid w:val="00D10589"/>
    <w:rsid w:val="00D10DA9"/>
    <w:rsid w:val="00D115A0"/>
    <w:rsid w:val="00D1168D"/>
    <w:rsid w:val="00D1188B"/>
    <w:rsid w:val="00D11F1D"/>
    <w:rsid w:val="00D12757"/>
    <w:rsid w:val="00D12786"/>
    <w:rsid w:val="00D12991"/>
    <w:rsid w:val="00D12BB0"/>
    <w:rsid w:val="00D13104"/>
    <w:rsid w:val="00D134BF"/>
    <w:rsid w:val="00D13BC9"/>
    <w:rsid w:val="00D13F51"/>
    <w:rsid w:val="00D146E1"/>
    <w:rsid w:val="00D14E0E"/>
    <w:rsid w:val="00D1518C"/>
    <w:rsid w:val="00D1520C"/>
    <w:rsid w:val="00D15617"/>
    <w:rsid w:val="00D15622"/>
    <w:rsid w:val="00D15998"/>
    <w:rsid w:val="00D15DE8"/>
    <w:rsid w:val="00D1618A"/>
    <w:rsid w:val="00D163C4"/>
    <w:rsid w:val="00D16FCB"/>
    <w:rsid w:val="00D17036"/>
    <w:rsid w:val="00D171F4"/>
    <w:rsid w:val="00D172A8"/>
    <w:rsid w:val="00D175EE"/>
    <w:rsid w:val="00D17CAD"/>
    <w:rsid w:val="00D17D27"/>
    <w:rsid w:val="00D2074F"/>
    <w:rsid w:val="00D20A78"/>
    <w:rsid w:val="00D20F10"/>
    <w:rsid w:val="00D2100C"/>
    <w:rsid w:val="00D211BE"/>
    <w:rsid w:val="00D2128B"/>
    <w:rsid w:val="00D2188A"/>
    <w:rsid w:val="00D21BF5"/>
    <w:rsid w:val="00D21C88"/>
    <w:rsid w:val="00D2290C"/>
    <w:rsid w:val="00D22E45"/>
    <w:rsid w:val="00D22E8B"/>
    <w:rsid w:val="00D22F25"/>
    <w:rsid w:val="00D2316F"/>
    <w:rsid w:val="00D2328C"/>
    <w:rsid w:val="00D238DE"/>
    <w:rsid w:val="00D23CA3"/>
    <w:rsid w:val="00D23DB8"/>
    <w:rsid w:val="00D244D3"/>
    <w:rsid w:val="00D2456B"/>
    <w:rsid w:val="00D24586"/>
    <w:rsid w:val="00D247CE"/>
    <w:rsid w:val="00D24E8D"/>
    <w:rsid w:val="00D25BC7"/>
    <w:rsid w:val="00D26F8D"/>
    <w:rsid w:val="00D27399"/>
    <w:rsid w:val="00D27696"/>
    <w:rsid w:val="00D27950"/>
    <w:rsid w:val="00D27AEC"/>
    <w:rsid w:val="00D27BCB"/>
    <w:rsid w:val="00D3037C"/>
    <w:rsid w:val="00D303DD"/>
    <w:rsid w:val="00D3041E"/>
    <w:rsid w:val="00D30485"/>
    <w:rsid w:val="00D311DE"/>
    <w:rsid w:val="00D3129E"/>
    <w:rsid w:val="00D31349"/>
    <w:rsid w:val="00D32A84"/>
    <w:rsid w:val="00D32BF0"/>
    <w:rsid w:val="00D3329B"/>
    <w:rsid w:val="00D3354C"/>
    <w:rsid w:val="00D33E2E"/>
    <w:rsid w:val="00D33F6D"/>
    <w:rsid w:val="00D3480B"/>
    <w:rsid w:val="00D349C4"/>
    <w:rsid w:val="00D34F6D"/>
    <w:rsid w:val="00D35408"/>
    <w:rsid w:val="00D3558F"/>
    <w:rsid w:val="00D3591A"/>
    <w:rsid w:val="00D35FEB"/>
    <w:rsid w:val="00D36456"/>
    <w:rsid w:val="00D36C8A"/>
    <w:rsid w:val="00D37254"/>
    <w:rsid w:val="00D372B9"/>
    <w:rsid w:val="00D37430"/>
    <w:rsid w:val="00D37759"/>
    <w:rsid w:val="00D37B62"/>
    <w:rsid w:val="00D37E13"/>
    <w:rsid w:val="00D37E82"/>
    <w:rsid w:val="00D37EE0"/>
    <w:rsid w:val="00D37EF1"/>
    <w:rsid w:val="00D4047C"/>
    <w:rsid w:val="00D4081F"/>
    <w:rsid w:val="00D40DA2"/>
    <w:rsid w:val="00D40DE0"/>
    <w:rsid w:val="00D40E49"/>
    <w:rsid w:val="00D40E70"/>
    <w:rsid w:val="00D40FAF"/>
    <w:rsid w:val="00D410BD"/>
    <w:rsid w:val="00D4146A"/>
    <w:rsid w:val="00D41627"/>
    <w:rsid w:val="00D41AB8"/>
    <w:rsid w:val="00D41ACC"/>
    <w:rsid w:val="00D41C86"/>
    <w:rsid w:val="00D41E78"/>
    <w:rsid w:val="00D42115"/>
    <w:rsid w:val="00D4213A"/>
    <w:rsid w:val="00D4243A"/>
    <w:rsid w:val="00D42CBE"/>
    <w:rsid w:val="00D42D8E"/>
    <w:rsid w:val="00D42FC7"/>
    <w:rsid w:val="00D43514"/>
    <w:rsid w:val="00D43611"/>
    <w:rsid w:val="00D43826"/>
    <w:rsid w:val="00D43B0A"/>
    <w:rsid w:val="00D44271"/>
    <w:rsid w:val="00D44475"/>
    <w:rsid w:val="00D44BF7"/>
    <w:rsid w:val="00D44C6C"/>
    <w:rsid w:val="00D44C6F"/>
    <w:rsid w:val="00D44D26"/>
    <w:rsid w:val="00D44F43"/>
    <w:rsid w:val="00D450ED"/>
    <w:rsid w:val="00D4526A"/>
    <w:rsid w:val="00D45730"/>
    <w:rsid w:val="00D459E6"/>
    <w:rsid w:val="00D45ACB"/>
    <w:rsid w:val="00D46495"/>
    <w:rsid w:val="00D4680A"/>
    <w:rsid w:val="00D46A95"/>
    <w:rsid w:val="00D46B7B"/>
    <w:rsid w:val="00D47171"/>
    <w:rsid w:val="00D4727A"/>
    <w:rsid w:val="00D474FE"/>
    <w:rsid w:val="00D47958"/>
    <w:rsid w:val="00D47FE1"/>
    <w:rsid w:val="00D47FFA"/>
    <w:rsid w:val="00D501B6"/>
    <w:rsid w:val="00D5082D"/>
    <w:rsid w:val="00D5096E"/>
    <w:rsid w:val="00D50B59"/>
    <w:rsid w:val="00D50D7A"/>
    <w:rsid w:val="00D50E0C"/>
    <w:rsid w:val="00D5102E"/>
    <w:rsid w:val="00D51677"/>
    <w:rsid w:val="00D5183E"/>
    <w:rsid w:val="00D518FA"/>
    <w:rsid w:val="00D5244F"/>
    <w:rsid w:val="00D5272E"/>
    <w:rsid w:val="00D5294C"/>
    <w:rsid w:val="00D52E2D"/>
    <w:rsid w:val="00D5318D"/>
    <w:rsid w:val="00D534CB"/>
    <w:rsid w:val="00D5376F"/>
    <w:rsid w:val="00D538AA"/>
    <w:rsid w:val="00D53C93"/>
    <w:rsid w:val="00D53FEF"/>
    <w:rsid w:val="00D54348"/>
    <w:rsid w:val="00D54594"/>
    <w:rsid w:val="00D546BE"/>
    <w:rsid w:val="00D54A84"/>
    <w:rsid w:val="00D54D43"/>
    <w:rsid w:val="00D55096"/>
    <w:rsid w:val="00D551D4"/>
    <w:rsid w:val="00D551DF"/>
    <w:rsid w:val="00D5598C"/>
    <w:rsid w:val="00D56D21"/>
    <w:rsid w:val="00D56F28"/>
    <w:rsid w:val="00D57D6F"/>
    <w:rsid w:val="00D60002"/>
    <w:rsid w:val="00D60748"/>
    <w:rsid w:val="00D608F1"/>
    <w:rsid w:val="00D60D56"/>
    <w:rsid w:val="00D61056"/>
    <w:rsid w:val="00D61198"/>
    <w:rsid w:val="00D613DC"/>
    <w:rsid w:val="00D61597"/>
    <w:rsid w:val="00D615F4"/>
    <w:rsid w:val="00D61877"/>
    <w:rsid w:val="00D61912"/>
    <w:rsid w:val="00D61CBD"/>
    <w:rsid w:val="00D62202"/>
    <w:rsid w:val="00D62414"/>
    <w:rsid w:val="00D624B1"/>
    <w:rsid w:val="00D624F5"/>
    <w:rsid w:val="00D629C3"/>
    <w:rsid w:val="00D62C2F"/>
    <w:rsid w:val="00D62DAA"/>
    <w:rsid w:val="00D63134"/>
    <w:rsid w:val="00D632CE"/>
    <w:rsid w:val="00D63C16"/>
    <w:rsid w:val="00D63C56"/>
    <w:rsid w:val="00D63D50"/>
    <w:rsid w:val="00D63E15"/>
    <w:rsid w:val="00D64075"/>
    <w:rsid w:val="00D6486E"/>
    <w:rsid w:val="00D64EAD"/>
    <w:rsid w:val="00D64F14"/>
    <w:rsid w:val="00D64F40"/>
    <w:rsid w:val="00D650BE"/>
    <w:rsid w:val="00D65163"/>
    <w:rsid w:val="00D656E0"/>
    <w:rsid w:val="00D65869"/>
    <w:rsid w:val="00D6586F"/>
    <w:rsid w:val="00D65986"/>
    <w:rsid w:val="00D65B5B"/>
    <w:rsid w:val="00D66052"/>
    <w:rsid w:val="00D66245"/>
    <w:rsid w:val="00D6646B"/>
    <w:rsid w:val="00D66562"/>
    <w:rsid w:val="00D669D4"/>
    <w:rsid w:val="00D6709A"/>
    <w:rsid w:val="00D673BE"/>
    <w:rsid w:val="00D67496"/>
    <w:rsid w:val="00D67986"/>
    <w:rsid w:val="00D67DED"/>
    <w:rsid w:val="00D70295"/>
    <w:rsid w:val="00D7081C"/>
    <w:rsid w:val="00D70E98"/>
    <w:rsid w:val="00D71353"/>
    <w:rsid w:val="00D71A7F"/>
    <w:rsid w:val="00D71A82"/>
    <w:rsid w:val="00D71FA6"/>
    <w:rsid w:val="00D721CA"/>
    <w:rsid w:val="00D724D7"/>
    <w:rsid w:val="00D7286E"/>
    <w:rsid w:val="00D72E67"/>
    <w:rsid w:val="00D72EAA"/>
    <w:rsid w:val="00D730A1"/>
    <w:rsid w:val="00D732CA"/>
    <w:rsid w:val="00D732F4"/>
    <w:rsid w:val="00D73D7A"/>
    <w:rsid w:val="00D73E37"/>
    <w:rsid w:val="00D73E8C"/>
    <w:rsid w:val="00D7432E"/>
    <w:rsid w:val="00D7497F"/>
    <w:rsid w:val="00D755AB"/>
    <w:rsid w:val="00D7567B"/>
    <w:rsid w:val="00D7607A"/>
    <w:rsid w:val="00D760E9"/>
    <w:rsid w:val="00D763CA"/>
    <w:rsid w:val="00D7684B"/>
    <w:rsid w:val="00D76922"/>
    <w:rsid w:val="00D76B60"/>
    <w:rsid w:val="00D76CD8"/>
    <w:rsid w:val="00D76D0F"/>
    <w:rsid w:val="00D7782A"/>
    <w:rsid w:val="00D77920"/>
    <w:rsid w:val="00D801FA"/>
    <w:rsid w:val="00D80276"/>
    <w:rsid w:val="00D80746"/>
    <w:rsid w:val="00D80853"/>
    <w:rsid w:val="00D808EA"/>
    <w:rsid w:val="00D80EB5"/>
    <w:rsid w:val="00D811F7"/>
    <w:rsid w:val="00D81A06"/>
    <w:rsid w:val="00D81EFF"/>
    <w:rsid w:val="00D81F37"/>
    <w:rsid w:val="00D8210E"/>
    <w:rsid w:val="00D823C1"/>
    <w:rsid w:val="00D8247B"/>
    <w:rsid w:val="00D829C3"/>
    <w:rsid w:val="00D82F0C"/>
    <w:rsid w:val="00D83110"/>
    <w:rsid w:val="00D83659"/>
    <w:rsid w:val="00D836B9"/>
    <w:rsid w:val="00D83C04"/>
    <w:rsid w:val="00D847C6"/>
    <w:rsid w:val="00D84829"/>
    <w:rsid w:val="00D84B95"/>
    <w:rsid w:val="00D84EAD"/>
    <w:rsid w:val="00D84EF1"/>
    <w:rsid w:val="00D854BD"/>
    <w:rsid w:val="00D85C9B"/>
    <w:rsid w:val="00D863B6"/>
    <w:rsid w:val="00D86AB1"/>
    <w:rsid w:val="00D86DC4"/>
    <w:rsid w:val="00D86DF6"/>
    <w:rsid w:val="00D87170"/>
    <w:rsid w:val="00D87800"/>
    <w:rsid w:val="00D87EBD"/>
    <w:rsid w:val="00D91168"/>
    <w:rsid w:val="00D9158E"/>
    <w:rsid w:val="00D91A5B"/>
    <w:rsid w:val="00D91B80"/>
    <w:rsid w:val="00D91C38"/>
    <w:rsid w:val="00D925E5"/>
    <w:rsid w:val="00D92852"/>
    <w:rsid w:val="00D92A74"/>
    <w:rsid w:val="00D92F96"/>
    <w:rsid w:val="00D93147"/>
    <w:rsid w:val="00D931DA"/>
    <w:rsid w:val="00D934C3"/>
    <w:rsid w:val="00D93600"/>
    <w:rsid w:val="00D93927"/>
    <w:rsid w:val="00D94444"/>
    <w:rsid w:val="00D947F9"/>
    <w:rsid w:val="00D94BDC"/>
    <w:rsid w:val="00D94CA7"/>
    <w:rsid w:val="00D94FBD"/>
    <w:rsid w:val="00D94FF0"/>
    <w:rsid w:val="00D951E1"/>
    <w:rsid w:val="00D9540E"/>
    <w:rsid w:val="00D95A7A"/>
    <w:rsid w:val="00D95A83"/>
    <w:rsid w:val="00D95ED7"/>
    <w:rsid w:val="00D9646C"/>
    <w:rsid w:val="00D9676D"/>
    <w:rsid w:val="00D969BF"/>
    <w:rsid w:val="00D96B32"/>
    <w:rsid w:val="00D96EE5"/>
    <w:rsid w:val="00D972BA"/>
    <w:rsid w:val="00D978DB"/>
    <w:rsid w:val="00D979B5"/>
    <w:rsid w:val="00D97FAD"/>
    <w:rsid w:val="00DA01F9"/>
    <w:rsid w:val="00DA06EA"/>
    <w:rsid w:val="00DA0982"/>
    <w:rsid w:val="00DA0C46"/>
    <w:rsid w:val="00DA0CEC"/>
    <w:rsid w:val="00DA0EC6"/>
    <w:rsid w:val="00DA0EF4"/>
    <w:rsid w:val="00DA0F61"/>
    <w:rsid w:val="00DA0FAB"/>
    <w:rsid w:val="00DA105C"/>
    <w:rsid w:val="00DA1325"/>
    <w:rsid w:val="00DA14A9"/>
    <w:rsid w:val="00DA15F3"/>
    <w:rsid w:val="00DA16E8"/>
    <w:rsid w:val="00DA1A0B"/>
    <w:rsid w:val="00DA1A4C"/>
    <w:rsid w:val="00DA1AFC"/>
    <w:rsid w:val="00DA21CA"/>
    <w:rsid w:val="00DA2310"/>
    <w:rsid w:val="00DA2452"/>
    <w:rsid w:val="00DA2729"/>
    <w:rsid w:val="00DA2B80"/>
    <w:rsid w:val="00DA351D"/>
    <w:rsid w:val="00DA384D"/>
    <w:rsid w:val="00DA38E1"/>
    <w:rsid w:val="00DA3A58"/>
    <w:rsid w:val="00DA3BE4"/>
    <w:rsid w:val="00DA3D33"/>
    <w:rsid w:val="00DA3E8E"/>
    <w:rsid w:val="00DA408D"/>
    <w:rsid w:val="00DA4211"/>
    <w:rsid w:val="00DA42A2"/>
    <w:rsid w:val="00DA42E0"/>
    <w:rsid w:val="00DA48A9"/>
    <w:rsid w:val="00DA58E9"/>
    <w:rsid w:val="00DA5B34"/>
    <w:rsid w:val="00DA5D98"/>
    <w:rsid w:val="00DA6413"/>
    <w:rsid w:val="00DA64DD"/>
    <w:rsid w:val="00DA6D3B"/>
    <w:rsid w:val="00DA6E5D"/>
    <w:rsid w:val="00DA7019"/>
    <w:rsid w:val="00DA7064"/>
    <w:rsid w:val="00DA7910"/>
    <w:rsid w:val="00DB0082"/>
    <w:rsid w:val="00DB02DC"/>
    <w:rsid w:val="00DB08A3"/>
    <w:rsid w:val="00DB0F2C"/>
    <w:rsid w:val="00DB1616"/>
    <w:rsid w:val="00DB172A"/>
    <w:rsid w:val="00DB330E"/>
    <w:rsid w:val="00DB334C"/>
    <w:rsid w:val="00DB342F"/>
    <w:rsid w:val="00DB35B2"/>
    <w:rsid w:val="00DB3C5F"/>
    <w:rsid w:val="00DB3F6F"/>
    <w:rsid w:val="00DB41BA"/>
    <w:rsid w:val="00DB44C4"/>
    <w:rsid w:val="00DB4A60"/>
    <w:rsid w:val="00DB4ADF"/>
    <w:rsid w:val="00DB4BE9"/>
    <w:rsid w:val="00DB4CCD"/>
    <w:rsid w:val="00DB5089"/>
    <w:rsid w:val="00DB52A0"/>
    <w:rsid w:val="00DB5495"/>
    <w:rsid w:val="00DB5ADE"/>
    <w:rsid w:val="00DB655A"/>
    <w:rsid w:val="00DB668E"/>
    <w:rsid w:val="00DB6DB5"/>
    <w:rsid w:val="00DB72AE"/>
    <w:rsid w:val="00DC02C9"/>
    <w:rsid w:val="00DC03C8"/>
    <w:rsid w:val="00DC08F4"/>
    <w:rsid w:val="00DC09D6"/>
    <w:rsid w:val="00DC0CA7"/>
    <w:rsid w:val="00DC0F43"/>
    <w:rsid w:val="00DC0F96"/>
    <w:rsid w:val="00DC0FAA"/>
    <w:rsid w:val="00DC10A1"/>
    <w:rsid w:val="00DC1629"/>
    <w:rsid w:val="00DC1707"/>
    <w:rsid w:val="00DC2153"/>
    <w:rsid w:val="00DC2276"/>
    <w:rsid w:val="00DC2315"/>
    <w:rsid w:val="00DC24F9"/>
    <w:rsid w:val="00DC2746"/>
    <w:rsid w:val="00DC29B6"/>
    <w:rsid w:val="00DC2A8E"/>
    <w:rsid w:val="00DC2EBB"/>
    <w:rsid w:val="00DC36E0"/>
    <w:rsid w:val="00DC3710"/>
    <w:rsid w:val="00DC3A83"/>
    <w:rsid w:val="00DC4009"/>
    <w:rsid w:val="00DC4F77"/>
    <w:rsid w:val="00DC51F6"/>
    <w:rsid w:val="00DC56E7"/>
    <w:rsid w:val="00DC5A7C"/>
    <w:rsid w:val="00DC5C9D"/>
    <w:rsid w:val="00DC5E9E"/>
    <w:rsid w:val="00DC6220"/>
    <w:rsid w:val="00DC6356"/>
    <w:rsid w:val="00DC6701"/>
    <w:rsid w:val="00DC67CF"/>
    <w:rsid w:val="00DC688C"/>
    <w:rsid w:val="00DC6FE8"/>
    <w:rsid w:val="00DC7427"/>
    <w:rsid w:val="00DC756F"/>
    <w:rsid w:val="00DC7666"/>
    <w:rsid w:val="00DC769A"/>
    <w:rsid w:val="00DC777E"/>
    <w:rsid w:val="00DC7D12"/>
    <w:rsid w:val="00DD014D"/>
    <w:rsid w:val="00DD04E6"/>
    <w:rsid w:val="00DD050D"/>
    <w:rsid w:val="00DD05C8"/>
    <w:rsid w:val="00DD0688"/>
    <w:rsid w:val="00DD1932"/>
    <w:rsid w:val="00DD1B02"/>
    <w:rsid w:val="00DD1D7E"/>
    <w:rsid w:val="00DD2179"/>
    <w:rsid w:val="00DD2634"/>
    <w:rsid w:val="00DD2642"/>
    <w:rsid w:val="00DD26C1"/>
    <w:rsid w:val="00DD299B"/>
    <w:rsid w:val="00DD2EFB"/>
    <w:rsid w:val="00DD3338"/>
    <w:rsid w:val="00DD35BD"/>
    <w:rsid w:val="00DD4014"/>
    <w:rsid w:val="00DD40F5"/>
    <w:rsid w:val="00DD4441"/>
    <w:rsid w:val="00DD4A5A"/>
    <w:rsid w:val="00DD4B6E"/>
    <w:rsid w:val="00DD4D43"/>
    <w:rsid w:val="00DD4E05"/>
    <w:rsid w:val="00DD5252"/>
    <w:rsid w:val="00DD5396"/>
    <w:rsid w:val="00DD5519"/>
    <w:rsid w:val="00DD56E4"/>
    <w:rsid w:val="00DD571D"/>
    <w:rsid w:val="00DD5750"/>
    <w:rsid w:val="00DD58D8"/>
    <w:rsid w:val="00DD598C"/>
    <w:rsid w:val="00DD68F1"/>
    <w:rsid w:val="00DD6A35"/>
    <w:rsid w:val="00DD782A"/>
    <w:rsid w:val="00DD7AD4"/>
    <w:rsid w:val="00DD7BFC"/>
    <w:rsid w:val="00DE019F"/>
    <w:rsid w:val="00DE0247"/>
    <w:rsid w:val="00DE028A"/>
    <w:rsid w:val="00DE04B2"/>
    <w:rsid w:val="00DE08E8"/>
    <w:rsid w:val="00DE0D4F"/>
    <w:rsid w:val="00DE10F4"/>
    <w:rsid w:val="00DE127A"/>
    <w:rsid w:val="00DE14F1"/>
    <w:rsid w:val="00DE1887"/>
    <w:rsid w:val="00DE1BF5"/>
    <w:rsid w:val="00DE1E86"/>
    <w:rsid w:val="00DE2206"/>
    <w:rsid w:val="00DE22C4"/>
    <w:rsid w:val="00DE2566"/>
    <w:rsid w:val="00DE25D8"/>
    <w:rsid w:val="00DE2749"/>
    <w:rsid w:val="00DE3EB1"/>
    <w:rsid w:val="00DE401A"/>
    <w:rsid w:val="00DE4902"/>
    <w:rsid w:val="00DE4940"/>
    <w:rsid w:val="00DE5029"/>
    <w:rsid w:val="00DE5714"/>
    <w:rsid w:val="00DE58EF"/>
    <w:rsid w:val="00DE5C8A"/>
    <w:rsid w:val="00DE692A"/>
    <w:rsid w:val="00DE6B80"/>
    <w:rsid w:val="00DE71D4"/>
    <w:rsid w:val="00DE7205"/>
    <w:rsid w:val="00DE7AF8"/>
    <w:rsid w:val="00DE7FAC"/>
    <w:rsid w:val="00DE7FDB"/>
    <w:rsid w:val="00DF027B"/>
    <w:rsid w:val="00DF0735"/>
    <w:rsid w:val="00DF091C"/>
    <w:rsid w:val="00DF0E77"/>
    <w:rsid w:val="00DF1077"/>
    <w:rsid w:val="00DF11B8"/>
    <w:rsid w:val="00DF1DA7"/>
    <w:rsid w:val="00DF2074"/>
    <w:rsid w:val="00DF2CDD"/>
    <w:rsid w:val="00DF2E1C"/>
    <w:rsid w:val="00DF2F4C"/>
    <w:rsid w:val="00DF3130"/>
    <w:rsid w:val="00DF37DB"/>
    <w:rsid w:val="00DF37F1"/>
    <w:rsid w:val="00DF39B6"/>
    <w:rsid w:val="00DF3B1C"/>
    <w:rsid w:val="00DF4286"/>
    <w:rsid w:val="00DF4801"/>
    <w:rsid w:val="00DF4B7F"/>
    <w:rsid w:val="00DF4BBC"/>
    <w:rsid w:val="00DF4C12"/>
    <w:rsid w:val="00DF4D58"/>
    <w:rsid w:val="00DF531F"/>
    <w:rsid w:val="00DF53F5"/>
    <w:rsid w:val="00DF5760"/>
    <w:rsid w:val="00DF5C49"/>
    <w:rsid w:val="00DF5F76"/>
    <w:rsid w:val="00DF60E1"/>
    <w:rsid w:val="00DF61DB"/>
    <w:rsid w:val="00DF6599"/>
    <w:rsid w:val="00DF663D"/>
    <w:rsid w:val="00DF6A56"/>
    <w:rsid w:val="00DF75B5"/>
    <w:rsid w:val="00E00316"/>
    <w:rsid w:val="00E00847"/>
    <w:rsid w:val="00E00DE3"/>
    <w:rsid w:val="00E00E07"/>
    <w:rsid w:val="00E012F5"/>
    <w:rsid w:val="00E0136B"/>
    <w:rsid w:val="00E01533"/>
    <w:rsid w:val="00E01A42"/>
    <w:rsid w:val="00E01AE3"/>
    <w:rsid w:val="00E01E8D"/>
    <w:rsid w:val="00E02240"/>
    <w:rsid w:val="00E02588"/>
    <w:rsid w:val="00E03984"/>
    <w:rsid w:val="00E03D8F"/>
    <w:rsid w:val="00E03F32"/>
    <w:rsid w:val="00E03FB9"/>
    <w:rsid w:val="00E0410D"/>
    <w:rsid w:val="00E046C5"/>
    <w:rsid w:val="00E04924"/>
    <w:rsid w:val="00E04948"/>
    <w:rsid w:val="00E04C1C"/>
    <w:rsid w:val="00E0500D"/>
    <w:rsid w:val="00E055D8"/>
    <w:rsid w:val="00E06102"/>
    <w:rsid w:val="00E061B1"/>
    <w:rsid w:val="00E06275"/>
    <w:rsid w:val="00E062CF"/>
    <w:rsid w:val="00E0679D"/>
    <w:rsid w:val="00E06845"/>
    <w:rsid w:val="00E06AD4"/>
    <w:rsid w:val="00E06DA4"/>
    <w:rsid w:val="00E0726C"/>
    <w:rsid w:val="00E07988"/>
    <w:rsid w:val="00E079A4"/>
    <w:rsid w:val="00E07D69"/>
    <w:rsid w:val="00E10115"/>
    <w:rsid w:val="00E102D4"/>
    <w:rsid w:val="00E10376"/>
    <w:rsid w:val="00E10560"/>
    <w:rsid w:val="00E105C6"/>
    <w:rsid w:val="00E107E3"/>
    <w:rsid w:val="00E10811"/>
    <w:rsid w:val="00E118C3"/>
    <w:rsid w:val="00E11A48"/>
    <w:rsid w:val="00E12505"/>
    <w:rsid w:val="00E126B2"/>
    <w:rsid w:val="00E129AB"/>
    <w:rsid w:val="00E12AE9"/>
    <w:rsid w:val="00E12BC5"/>
    <w:rsid w:val="00E12C61"/>
    <w:rsid w:val="00E12CB2"/>
    <w:rsid w:val="00E12DDC"/>
    <w:rsid w:val="00E12FB0"/>
    <w:rsid w:val="00E13590"/>
    <w:rsid w:val="00E13877"/>
    <w:rsid w:val="00E13882"/>
    <w:rsid w:val="00E13958"/>
    <w:rsid w:val="00E139B6"/>
    <w:rsid w:val="00E13C26"/>
    <w:rsid w:val="00E13D7E"/>
    <w:rsid w:val="00E13DC9"/>
    <w:rsid w:val="00E13FBC"/>
    <w:rsid w:val="00E14039"/>
    <w:rsid w:val="00E14C3E"/>
    <w:rsid w:val="00E14E00"/>
    <w:rsid w:val="00E14FE0"/>
    <w:rsid w:val="00E1503A"/>
    <w:rsid w:val="00E151D0"/>
    <w:rsid w:val="00E152ED"/>
    <w:rsid w:val="00E154D3"/>
    <w:rsid w:val="00E1551A"/>
    <w:rsid w:val="00E1573A"/>
    <w:rsid w:val="00E157CC"/>
    <w:rsid w:val="00E158AB"/>
    <w:rsid w:val="00E15A38"/>
    <w:rsid w:val="00E15C90"/>
    <w:rsid w:val="00E16039"/>
    <w:rsid w:val="00E16E27"/>
    <w:rsid w:val="00E17082"/>
    <w:rsid w:val="00E17375"/>
    <w:rsid w:val="00E17760"/>
    <w:rsid w:val="00E179CF"/>
    <w:rsid w:val="00E17D45"/>
    <w:rsid w:val="00E17F30"/>
    <w:rsid w:val="00E20152"/>
    <w:rsid w:val="00E20482"/>
    <w:rsid w:val="00E2056F"/>
    <w:rsid w:val="00E2058B"/>
    <w:rsid w:val="00E20AE2"/>
    <w:rsid w:val="00E20EDC"/>
    <w:rsid w:val="00E20EE6"/>
    <w:rsid w:val="00E21003"/>
    <w:rsid w:val="00E2195A"/>
    <w:rsid w:val="00E22143"/>
    <w:rsid w:val="00E22218"/>
    <w:rsid w:val="00E22236"/>
    <w:rsid w:val="00E226CD"/>
    <w:rsid w:val="00E22C0B"/>
    <w:rsid w:val="00E22E03"/>
    <w:rsid w:val="00E23503"/>
    <w:rsid w:val="00E24223"/>
    <w:rsid w:val="00E2443C"/>
    <w:rsid w:val="00E24FD3"/>
    <w:rsid w:val="00E252FC"/>
    <w:rsid w:val="00E25930"/>
    <w:rsid w:val="00E25C55"/>
    <w:rsid w:val="00E25F10"/>
    <w:rsid w:val="00E26863"/>
    <w:rsid w:val="00E27360"/>
    <w:rsid w:val="00E273B9"/>
    <w:rsid w:val="00E2740F"/>
    <w:rsid w:val="00E27DF9"/>
    <w:rsid w:val="00E27E65"/>
    <w:rsid w:val="00E27EA4"/>
    <w:rsid w:val="00E307AB"/>
    <w:rsid w:val="00E30C8C"/>
    <w:rsid w:val="00E31054"/>
    <w:rsid w:val="00E31389"/>
    <w:rsid w:val="00E3196D"/>
    <w:rsid w:val="00E31EEE"/>
    <w:rsid w:val="00E32182"/>
    <w:rsid w:val="00E3252C"/>
    <w:rsid w:val="00E32E20"/>
    <w:rsid w:val="00E32E50"/>
    <w:rsid w:val="00E33066"/>
    <w:rsid w:val="00E33420"/>
    <w:rsid w:val="00E3398C"/>
    <w:rsid w:val="00E33BDE"/>
    <w:rsid w:val="00E33DE5"/>
    <w:rsid w:val="00E341CB"/>
    <w:rsid w:val="00E348F8"/>
    <w:rsid w:val="00E348FE"/>
    <w:rsid w:val="00E34D12"/>
    <w:rsid w:val="00E35525"/>
    <w:rsid w:val="00E35966"/>
    <w:rsid w:val="00E35F15"/>
    <w:rsid w:val="00E362E8"/>
    <w:rsid w:val="00E3644A"/>
    <w:rsid w:val="00E365DC"/>
    <w:rsid w:val="00E366E8"/>
    <w:rsid w:val="00E3671A"/>
    <w:rsid w:val="00E36B5A"/>
    <w:rsid w:val="00E36C31"/>
    <w:rsid w:val="00E36C50"/>
    <w:rsid w:val="00E36FE0"/>
    <w:rsid w:val="00E3764F"/>
    <w:rsid w:val="00E37A67"/>
    <w:rsid w:val="00E37B6C"/>
    <w:rsid w:val="00E401A7"/>
    <w:rsid w:val="00E4070D"/>
    <w:rsid w:val="00E40B38"/>
    <w:rsid w:val="00E40D50"/>
    <w:rsid w:val="00E40E32"/>
    <w:rsid w:val="00E40F6D"/>
    <w:rsid w:val="00E41021"/>
    <w:rsid w:val="00E41774"/>
    <w:rsid w:val="00E41777"/>
    <w:rsid w:val="00E41A82"/>
    <w:rsid w:val="00E41CAA"/>
    <w:rsid w:val="00E421FA"/>
    <w:rsid w:val="00E422B5"/>
    <w:rsid w:val="00E429C0"/>
    <w:rsid w:val="00E42B2D"/>
    <w:rsid w:val="00E42F11"/>
    <w:rsid w:val="00E43043"/>
    <w:rsid w:val="00E43413"/>
    <w:rsid w:val="00E437F4"/>
    <w:rsid w:val="00E43B9F"/>
    <w:rsid w:val="00E4494B"/>
    <w:rsid w:val="00E449DC"/>
    <w:rsid w:val="00E449E1"/>
    <w:rsid w:val="00E44B44"/>
    <w:rsid w:val="00E454A4"/>
    <w:rsid w:val="00E455AD"/>
    <w:rsid w:val="00E45AA6"/>
    <w:rsid w:val="00E45D64"/>
    <w:rsid w:val="00E45F48"/>
    <w:rsid w:val="00E46097"/>
    <w:rsid w:val="00E472EE"/>
    <w:rsid w:val="00E4747A"/>
    <w:rsid w:val="00E479B4"/>
    <w:rsid w:val="00E47A9B"/>
    <w:rsid w:val="00E47E93"/>
    <w:rsid w:val="00E50098"/>
    <w:rsid w:val="00E5015F"/>
    <w:rsid w:val="00E50185"/>
    <w:rsid w:val="00E50277"/>
    <w:rsid w:val="00E50617"/>
    <w:rsid w:val="00E50669"/>
    <w:rsid w:val="00E50810"/>
    <w:rsid w:val="00E511A2"/>
    <w:rsid w:val="00E5156B"/>
    <w:rsid w:val="00E515FB"/>
    <w:rsid w:val="00E51A22"/>
    <w:rsid w:val="00E51CB5"/>
    <w:rsid w:val="00E51F52"/>
    <w:rsid w:val="00E5220A"/>
    <w:rsid w:val="00E523F5"/>
    <w:rsid w:val="00E5263F"/>
    <w:rsid w:val="00E52B48"/>
    <w:rsid w:val="00E52E62"/>
    <w:rsid w:val="00E537D5"/>
    <w:rsid w:val="00E5391A"/>
    <w:rsid w:val="00E53936"/>
    <w:rsid w:val="00E54052"/>
    <w:rsid w:val="00E542E0"/>
    <w:rsid w:val="00E5435E"/>
    <w:rsid w:val="00E54616"/>
    <w:rsid w:val="00E548F3"/>
    <w:rsid w:val="00E55069"/>
    <w:rsid w:val="00E558C1"/>
    <w:rsid w:val="00E55AF4"/>
    <w:rsid w:val="00E55C8F"/>
    <w:rsid w:val="00E55D18"/>
    <w:rsid w:val="00E5636E"/>
    <w:rsid w:val="00E56518"/>
    <w:rsid w:val="00E56555"/>
    <w:rsid w:val="00E56739"/>
    <w:rsid w:val="00E56AD1"/>
    <w:rsid w:val="00E56AE5"/>
    <w:rsid w:val="00E56DE2"/>
    <w:rsid w:val="00E570D8"/>
    <w:rsid w:val="00E5795C"/>
    <w:rsid w:val="00E57964"/>
    <w:rsid w:val="00E60261"/>
    <w:rsid w:val="00E60543"/>
    <w:rsid w:val="00E612DB"/>
    <w:rsid w:val="00E615BA"/>
    <w:rsid w:val="00E6175B"/>
    <w:rsid w:val="00E61CF3"/>
    <w:rsid w:val="00E62327"/>
    <w:rsid w:val="00E626ED"/>
    <w:rsid w:val="00E62947"/>
    <w:rsid w:val="00E62AAB"/>
    <w:rsid w:val="00E62FF3"/>
    <w:rsid w:val="00E631D1"/>
    <w:rsid w:val="00E633FA"/>
    <w:rsid w:val="00E63C10"/>
    <w:rsid w:val="00E63C50"/>
    <w:rsid w:val="00E63D20"/>
    <w:rsid w:val="00E63FDD"/>
    <w:rsid w:val="00E642FE"/>
    <w:rsid w:val="00E6450D"/>
    <w:rsid w:val="00E645AB"/>
    <w:rsid w:val="00E6474A"/>
    <w:rsid w:val="00E64A28"/>
    <w:rsid w:val="00E64CCE"/>
    <w:rsid w:val="00E65512"/>
    <w:rsid w:val="00E6562E"/>
    <w:rsid w:val="00E65C11"/>
    <w:rsid w:val="00E65DD6"/>
    <w:rsid w:val="00E66057"/>
    <w:rsid w:val="00E662C2"/>
    <w:rsid w:val="00E6632A"/>
    <w:rsid w:val="00E66B02"/>
    <w:rsid w:val="00E66E00"/>
    <w:rsid w:val="00E70268"/>
    <w:rsid w:val="00E709BB"/>
    <w:rsid w:val="00E70DBE"/>
    <w:rsid w:val="00E71024"/>
    <w:rsid w:val="00E714B5"/>
    <w:rsid w:val="00E71788"/>
    <w:rsid w:val="00E72116"/>
    <w:rsid w:val="00E724D9"/>
    <w:rsid w:val="00E72518"/>
    <w:rsid w:val="00E725B6"/>
    <w:rsid w:val="00E728A6"/>
    <w:rsid w:val="00E72E1C"/>
    <w:rsid w:val="00E7314A"/>
    <w:rsid w:val="00E73794"/>
    <w:rsid w:val="00E73E73"/>
    <w:rsid w:val="00E743D6"/>
    <w:rsid w:val="00E74602"/>
    <w:rsid w:val="00E748DD"/>
    <w:rsid w:val="00E74B80"/>
    <w:rsid w:val="00E74E22"/>
    <w:rsid w:val="00E750B9"/>
    <w:rsid w:val="00E75725"/>
    <w:rsid w:val="00E758CD"/>
    <w:rsid w:val="00E75982"/>
    <w:rsid w:val="00E75B71"/>
    <w:rsid w:val="00E761B1"/>
    <w:rsid w:val="00E764C7"/>
    <w:rsid w:val="00E76799"/>
    <w:rsid w:val="00E767AD"/>
    <w:rsid w:val="00E76EDF"/>
    <w:rsid w:val="00E76EEC"/>
    <w:rsid w:val="00E7712C"/>
    <w:rsid w:val="00E773E3"/>
    <w:rsid w:val="00E77B21"/>
    <w:rsid w:val="00E77D54"/>
    <w:rsid w:val="00E77DBE"/>
    <w:rsid w:val="00E8034B"/>
    <w:rsid w:val="00E80492"/>
    <w:rsid w:val="00E805DA"/>
    <w:rsid w:val="00E810AF"/>
    <w:rsid w:val="00E81295"/>
    <w:rsid w:val="00E8147E"/>
    <w:rsid w:val="00E81716"/>
    <w:rsid w:val="00E81717"/>
    <w:rsid w:val="00E819C5"/>
    <w:rsid w:val="00E81C0D"/>
    <w:rsid w:val="00E81C62"/>
    <w:rsid w:val="00E81D94"/>
    <w:rsid w:val="00E81EA6"/>
    <w:rsid w:val="00E82588"/>
    <w:rsid w:val="00E825E4"/>
    <w:rsid w:val="00E8295D"/>
    <w:rsid w:val="00E83117"/>
    <w:rsid w:val="00E83561"/>
    <w:rsid w:val="00E83CE0"/>
    <w:rsid w:val="00E845A8"/>
    <w:rsid w:val="00E846DC"/>
    <w:rsid w:val="00E851CD"/>
    <w:rsid w:val="00E85A23"/>
    <w:rsid w:val="00E85B08"/>
    <w:rsid w:val="00E85D57"/>
    <w:rsid w:val="00E864EA"/>
    <w:rsid w:val="00E8658C"/>
    <w:rsid w:val="00E86994"/>
    <w:rsid w:val="00E86AE1"/>
    <w:rsid w:val="00E86CC6"/>
    <w:rsid w:val="00E86DF3"/>
    <w:rsid w:val="00E872D8"/>
    <w:rsid w:val="00E87418"/>
    <w:rsid w:val="00E8777B"/>
    <w:rsid w:val="00E87B4C"/>
    <w:rsid w:val="00E87BAD"/>
    <w:rsid w:val="00E87BBA"/>
    <w:rsid w:val="00E90147"/>
    <w:rsid w:val="00E90448"/>
    <w:rsid w:val="00E9092E"/>
    <w:rsid w:val="00E90E00"/>
    <w:rsid w:val="00E90E7A"/>
    <w:rsid w:val="00E9128B"/>
    <w:rsid w:val="00E917F6"/>
    <w:rsid w:val="00E91B4A"/>
    <w:rsid w:val="00E921EC"/>
    <w:rsid w:val="00E9247E"/>
    <w:rsid w:val="00E9299B"/>
    <w:rsid w:val="00E92D8A"/>
    <w:rsid w:val="00E92DB1"/>
    <w:rsid w:val="00E92E21"/>
    <w:rsid w:val="00E93250"/>
    <w:rsid w:val="00E9349F"/>
    <w:rsid w:val="00E93A2F"/>
    <w:rsid w:val="00E93FD0"/>
    <w:rsid w:val="00E94163"/>
    <w:rsid w:val="00E949D2"/>
    <w:rsid w:val="00E94A34"/>
    <w:rsid w:val="00E94F73"/>
    <w:rsid w:val="00E95442"/>
    <w:rsid w:val="00E954A0"/>
    <w:rsid w:val="00E95A0D"/>
    <w:rsid w:val="00E95E50"/>
    <w:rsid w:val="00E96642"/>
    <w:rsid w:val="00E9675F"/>
    <w:rsid w:val="00E9691E"/>
    <w:rsid w:val="00E96E42"/>
    <w:rsid w:val="00E97009"/>
    <w:rsid w:val="00E9764A"/>
    <w:rsid w:val="00E97854"/>
    <w:rsid w:val="00E97957"/>
    <w:rsid w:val="00E97D4E"/>
    <w:rsid w:val="00EA022F"/>
    <w:rsid w:val="00EA099E"/>
    <w:rsid w:val="00EA0AE5"/>
    <w:rsid w:val="00EA0BE7"/>
    <w:rsid w:val="00EA0C2D"/>
    <w:rsid w:val="00EA138D"/>
    <w:rsid w:val="00EA18CF"/>
    <w:rsid w:val="00EA1BF7"/>
    <w:rsid w:val="00EA2098"/>
    <w:rsid w:val="00EA22BB"/>
    <w:rsid w:val="00EA25DE"/>
    <w:rsid w:val="00EA274B"/>
    <w:rsid w:val="00EA280D"/>
    <w:rsid w:val="00EA2AE2"/>
    <w:rsid w:val="00EA2D8C"/>
    <w:rsid w:val="00EA303F"/>
    <w:rsid w:val="00EA3471"/>
    <w:rsid w:val="00EA38CB"/>
    <w:rsid w:val="00EA4271"/>
    <w:rsid w:val="00EA448E"/>
    <w:rsid w:val="00EA4B61"/>
    <w:rsid w:val="00EA5012"/>
    <w:rsid w:val="00EA505F"/>
    <w:rsid w:val="00EA59C9"/>
    <w:rsid w:val="00EA5A3E"/>
    <w:rsid w:val="00EA5EF3"/>
    <w:rsid w:val="00EA6001"/>
    <w:rsid w:val="00EA6140"/>
    <w:rsid w:val="00EA665A"/>
    <w:rsid w:val="00EA6CFF"/>
    <w:rsid w:val="00EA6E54"/>
    <w:rsid w:val="00EA6FE7"/>
    <w:rsid w:val="00EA7627"/>
    <w:rsid w:val="00EA7CE7"/>
    <w:rsid w:val="00EB0211"/>
    <w:rsid w:val="00EB0852"/>
    <w:rsid w:val="00EB0AAD"/>
    <w:rsid w:val="00EB0B56"/>
    <w:rsid w:val="00EB0B60"/>
    <w:rsid w:val="00EB0C24"/>
    <w:rsid w:val="00EB0CD8"/>
    <w:rsid w:val="00EB0F11"/>
    <w:rsid w:val="00EB0F5C"/>
    <w:rsid w:val="00EB0F95"/>
    <w:rsid w:val="00EB115E"/>
    <w:rsid w:val="00EB126A"/>
    <w:rsid w:val="00EB12B5"/>
    <w:rsid w:val="00EB12C3"/>
    <w:rsid w:val="00EB17AF"/>
    <w:rsid w:val="00EB17D0"/>
    <w:rsid w:val="00EB1CE8"/>
    <w:rsid w:val="00EB1DD1"/>
    <w:rsid w:val="00EB1FA1"/>
    <w:rsid w:val="00EB2773"/>
    <w:rsid w:val="00EB2939"/>
    <w:rsid w:val="00EB293F"/>
    <w:rsid w:val="00EB2A63"/>
    <w:rsid w:val="00EB2B73"/>
    <w:rsid w:val="00EB2FBF"/>
    <w:rsid w:val="00EB3221"/>
    <w:rsid w:val="00EB341E"/>
    <w:rsid w:val="00EB357C"/>
    <w:rsid w:val="00EB384A"/>
    <w:rsid w:val="00EB3923"/>
    <w:rsid w:val="00EB39D1"/>
    <w:rsid w:val="00EB3BDA"/>
    <w:rsid w:val="00EB3C4F"/>
    <w:rsid w:val="00EB44A6"/>
    <w:rsid w:val="00EB45E2"/>
    <w:rsid w:val="00EB46C5"/>
    <w:rsid w:val="00EB481A"/>
    <w:rsid w:val="00EB4AA2"/>
    <w:rsid w:val="00EB4DEA"/>
    <w:rsid w:val="00EB5064"/>
    <w:rsid w:val="00EB50A0"/>
    <w:rsid w:val="00EB574A"/>
    <w:rsid w:val="00EB5757"/>
    <w:rsid w:val="00EB5917"/>
    <w:rsid w:val="00EB592A"/>
    <w:rsid w:val="00EB5AD6"/>
    <w:rsid w:val="00EB5B87"/>
    <w:rsid w:val="00EB5BE0"/>
    <w:rsid w:val="00EB5DF6"/>
    <w:rsid w:val="00EB66FA"/>
    <w:rsid w:val="00EB6BC4"/>
    <w:rsid w:val="00EB6BD2"/>
    <w:rsid w:val="00EB6D45"/>
    <w:rsid w:val="00EB70C7"/>
    <w:rsid w:val="00EB74B3"/>
    <w:rsid w:val="00EB753D"/>
    <w:rsid w:val="00EB7591"/>
    <w:rsid w:val="00EB77FD"/>
    <w:rsid w:val="00EC002C"/>
    <w:rsid w:val="00EC11E7"/>
    <w:rsid w:val="00EC1317"/>
    <w:rsid w:val="00EC19B1"/>
    <w:rsid w:val="00EC1BD0"/>
    <w:rsid w:val="00EC2538"/>
    <w:rsid w:val="00EC2614"/>
    <w:rsid w:val="00EC26B2"/>
    <w:rsid w:val="00EC2AFF"/>
    <w:rsid w:val="00EC2C8B"/>
    <w:rsid w:val="00EC2EDE"/>
    <w:rsid w:val="00EC3225"/>
    <w:rsid w:val="00EC3B3C"/>
    <w:rsid w:val="00EC3C0E"/>
    <w:rsid w:val="00EC3D48"/>
    <w:rsid w:val="00EC4173"/>
    <w:rsid w:val="00EC55C0"/>
    <w:rsid w:val="00EC6042"/>
    <w:rsid w:val="00EC6043"/>
    <w:rsid w:val="00EC61C6"/>
    <w:rsid w:val="00EC622D"/>
    <w:rsid w:val="00EC64BA"/>
    <w:rsid w:val="00EC65DC"/>
    <w:rsid w:val="00EC6AA4"/>
    <w:rsid w:val="00EC7184"/>
    <w:rsid w:val="00EC71BD"/>
    <w:rsid w:val="00EC782B"/>
    <w:rsid w:val="00EC7B84"/>
    <w:rsid w:val="00EC7C79"/>
    <w:rsid w:val="00EC7DE8"/>
    <w:rsid w:val="00EC7E07"/>
    <w:rsid w:val="00EC7E8D"/>
    <w:rsid w:val="00ED04BF"/>
    <w:rsid w:val="00ED05D8"/>
    <w:rsid w:val="00ED092A"/>
    <w:rsid w:val="00ED11E8"/>
    <w:rsid w:val="00ED1781"/>
    <w:rsid w:val="00ED18B0"/>
    <w:rsid w:val="00ED18C2"/>
    <w:rsid w:val="00ED1DC0"/>
    <w:rsid w:val="00ED215D"/>
    <w:rsid w:val="00ED2427"/>
    <w:rsid w:val="00ED24FD"/>
    <w:rsid w:val="00ED268F"/>
    <w:rsid w:val="00ED2DC3"/>
    <w:rsid w:val="00ED2F63"/>
    <w:rsid w:val="00ED303F"/>
    <w:rsid w:val="00ED3135"/>
    <w:rsid w:val="00ED37B7"/>
    <w:rsid w:val="00ED3B43"/>
    <w:rsid w:val="00ED3BA1"/>
    <w:rsid w:val="00ED4329"/>
    <w:rsid w:val="00ED44AC"/>
    <w:rsid w:val="00ED4BF6"/>
    <w:rsid w:val="00ED53F4"/>
    <w:rsid w:val="00ED53FD"/>
    <w:rsid w:val="00ED5795"/>
    <w:rsid w:val="00ED68A7"/>
    <w:rsid w:val="00ED6945"/>
    <w:rsid w:val="00ED75AB"/>
    <w:rsid w:val="00ED77B6"/>
    <w:rsid w:val="00ED79D4"/>
    <w:rsid w:val="00EE032A"/>
    <w:rsid w:val="00EE03B5"/>
    <w:rsid w:val="00EE03F0"/>
    <w:rsid w:val="00EE0866"/>
    <w:rsid w:val="00EE0DAF"/>
    <w:rsid w:val="00EE0F4E"/>
    <w:rsid w:val="00EE15C7"/>
    <w:rsid w:val="00EE224A"/>
    <w:rsid w:val="00EE30AD"/>
    <w:rsid w:val="00EE39CD"/>
    <w:rsid w:val="00EE3D2F"/>
    <w:rsid w:val="00EE40F6"/>
    <w:rsid w:val="00EE4839"/>
    <w:rsid w:val="00EE49A9"/>
    <w:rsid w:val="00EE4A2E"/>
    <w:rsid w:val="00EE5167"/>
    <w:rsid w:val="00EE5C78"/>
    <w:rsid w:val="00EE5F8E"/>
    <w:rsid w:val="00EE6286"/>
    <w:rsid w:val="00EE6377"/>
    <w:rsid w:val="00EE66E8"/>
    <w:rsid w:val="00EE66EC"/>
    <w:rsid w:val="00EE6A9E"/>
    <w:rsid w:val="00EE6CBA"/>
    <w:rsid w:val="00EE6ECC"/>
    <w:rsid w:val="00EE70D1"/>
    <w:rsid w:val="00EE749F"/>
    <w:rsid w:val="00EE74CF"/>
    <w:rsid w:val="00EE76A9"/>
    <w:rsid w:val="00EE76E3"/>
    <w:rsid w:val="00EE7A18"/>
    <w:rsid w:val="00EE7C96"/>
    <w:rsid w:val="00EE7CA2"/>
    <w:rsid w:val="00EF02E9"/>
    <w:rsid w:val="00EF0577"/>
    <w:rsid w:val="00EF0910"/>
    <w:rsid w:val="00EF095D"/>
    <w:rsid w:val="00EF0BDD"/>
    <w:rsid w:val="00EF0C32"/>
    <w:rsid w:val="00EF0C34"/>
    <w:rsid w:val="00EF1080"/>
    <w:rsid w:val="00EF10D1"/>
    <w:rsid w:val="00EF1260"/>
    <w:rsid w:val="00EF1573"/>
    <w:rsid w:val="00EF1786"/>
    <w:rsid w:val="00EF1EAC"/>
    <w:rsid w:val="00EF21AD"/>
    <w:rsid w:val="00EF2479"/>
    <w:rsid w:val="00EF2E50"/>
    <w:rsid w:val="00EF2E91"/>
    <w:rsid w:val="00EF3133"/>
    <w:rsid w:val="00EF3186"/>
    <w:rsid w:val="00EF3B01"/>
    <w:rsid w:val="00EF3D64"/>
    <w:rsid w:val="00EF446E"/>
    <w:rsid w:val="00EF45BF"/>
    <w:rsid w:val="00EF4749"/>
    <w:rsid w:val="00EF4942"/>
    <w:rsid w:val="00EF4AC5"/>
    <w:rsid w:val="00EF51D0"/>
    <w:rsid w:val="00EF574B"/>
    <w:rsid w:val="00EF59AE"/>
    <w:rsid w:val="00EF627D"/>
    <w:rsid w:val="00EF62BC"/>
    <w:rsid w:val="00EF6313"/>
    <w:rsid w:val="00EF6495"/>
    <w:rsid w:val="00EF68DF"/>
    <w:rsid w:val="00EF6A62"/>
    <w:rsid w:val="00EF6CE4"/>
    <w:rsid w:val="00EF750E"/>
    <w:rsid w:val="00EF7668"/>
    <w:rsid w:val="00EF77C6"/>
    <w:rsid w:val="00EF784D"/>
    <w:rsid w:val="00F002C9"/>
    <w:rsid w:val="00F003E2"/>
    <w:rsid w:val="00F00E78"/>
    <w:rsid w:val="00F015A9"/>
    <w:rsid w:val="00F016D2"/>
    <w:rsid w:val="00F01880"/>
    <w:rsid w:val="00F01C96"/>
    <w:rsid w:val="00F01E95"/>
    <w:rsid w:val="00F029DE"/>
    <w:rsid w:val="00F02F80"/>
    <w:rsid w:val="00F03387"/>
    <w:rsid w:val="00F036A6"/>
    <w:rsid w:val="00F0378F"/>
    <w:rsid w:val="00F044C7"/>
    <w:rsid w:val="00F04B10"/>
    <w:rsid w:val="00F04BB8"/>
    <w:rsid w:val="00F04C82"/>
    <w:rsid w:val="00F04D12"/>
    <w:rsid w:val="00F04D4A"/>
    <w:rsid w:val="00F04FDA"/>
    <w:rsid w:val="00F050D7"/>
    <w:rsid w:val="00F057F6"/>
    <w:rsid w:val="00F05AD8"/>
    <w:rsid w:val="00F05F38"/>
    <w:rsid w:val="00F0621E"/>
    <w:rsid w:val="00F06349"/>
    <w:rsid w:val="00F06667"/>
    <w:rsid w:val="00F068C1"/>
    <w:rsid w:val="00F069CC"/>
    <w:rsid w:val="00F06A42"/>
    <w:rsid w:val="00F06F5B"/>
    <w:rsid w:val="00F07161"/>
    <w:rsid w:val="00F07E10"/>
    <w:rsid w:val="00F10013"/>
    <w:rsid w:val="00F10282"/>
    <w:rsid w:val="00F10CD0"/>
    <w:rsid w:val="00F112B0"/>
    <w:rsid w:val="00F1130F"/>
    <w:rsid w:val="00F1145F"/>
    <w:rsid w:val="00F117F5"/>
    <w:rsid w:val="00F11845"/>
    <w:rsid w:val="00F119CD"/>
    <w:rsid w:val="00F11B0C"/>
    <w:rsid w:val="00F1295C"/>
    <w:rsid w:val="00F133FA"/>
    <w:rsid w:val="00F14155"/>
    <w:rsid w:val="00F142D2"/>
    <w:rsid w:val="00F143C2"/>
    <w:rsid w:val="00F1494F"/>
    <w:rsid w:val="00F14A93"/>
    <w:rsid w:val="00F14C43"/>
    <w:rsid w:val="00F154CB"/>
    <w:rsid w:val="00F15F6A"/>
    <w:rsid w:val="00F16358"/>
    <w:rsid w:val="00F16485"/>
    <w:rsid w:val="00F1698C"/>
    <w:rsid w:val="00F16DB1"/>
    <w:rsid w:val="00F16F92"/>
    <w:rsid w:val="00F170BE"/>
    <w:rsid w:val="00F17414"/>
    <w:rsid w:val="00F175CC"/>
    <w:rsid w:val="00F178DA"/>
    <w:rsid w:val="00F17F1C"/>
    <w:rsid w:val="00F201BC"/>
    <w:rsid w:val="00F20391"/>
    <w:rsid w:val="00F2060E"/>
    <w:rsid w:val="00F209D8"/>
    <w:rsid w:val="00F20BC7"/>
    <w:rsid w:val="00F20D10"/>
    <w:rsid w:val="00F20D74"/>
    <w:rsid w:val="00F21B3B"/>
    <w:rsid w:val="00F21B3C"/>
    <w:rsid w:val="00F21CB3"/>
    <w:rsid w:val="00F222D2"/>
    <w:rsid w:val="00F22A43"/>
    <w:rsid w:val="00F22DAD"/>
    <w:rsid w:val="00F23A06"/>
    <w:rsid w:val="00F23B8B"/>
    <w:rsid w:val="00F23CB2"/>
    <w:rsid w:val="00F23F48"/>
    <w:rsid w:val="00F243D4"/>
    <w:rsid w:val="00F248D2"/>
    <w:rsid w:val="00F24E07"/>
    <w:rsid w:val="00F24EB2"/>
    <w:rsid w:val="00F24EB9"/>
    <w:rsid w:val="00F25A7E"/>
    <w:rsid w:val="00F25B52"/>
    <w:rsid w:val="00F25FEF"/>
    <w:rsid w:val="00F26215"/>
    <w:rsid w:val="00F26297"/>
    <w:rsid w:val="00F2634D"/>
    <w:rsid w:val="00F2646D"/>
    <w:rsid w:val="00F2689D"/>
    <w:rsid w:val="00F26951"/>
    <w:rsid w:val="00F26BBD"/>
    <w:rsid w:val="00F26BD4"/>
    <w:rsid w:val="00F27BEB"/>
    <w:rsid w:val="00F27E77"/>
    <w:rsid w:val="00F3008E"/>
    <w:rsid w:val="00F305DB"/>
    <w:rsid w:val="00F309ED"/>
    <w:rsid w:val="00F30E5F"/>
    <w:rsid w:val="00F3105E"/>
    <w:rsid w:val="00F31157"/>
    <w:rsid w:val="00F311A1"/>
    <w:rsid w:val="00F311E8"/>
    <w:rsid w:val="00F31DE7"/>
    <w:rsid w:val="00F32701"/>
    <w:rsid w:val="00F3297C"/>
    <w:rsid w:val="00F332B0"/>
    <w:rsid w:val="00F335A7"/>
    <w:rsid w:val="00F33AFF"/>
    <w:rsid w:val="00F33CF2"/>
    <w:rsid w:val="00F33DC0"/>
    <w:rsid w:val="00F345F2"/>
    <w:rsid w:val="00F3468B"/>
    <w:rsid w:val="00F34B83"/>
    <w:rsid w:val="00F355CF"/>
    <w:rsid w:val="00F356A7"/>
    <w:rsid w:val="00F357AC"/>
    <w:rsid w:val="00F35879"/>
    <w:rsid w:val="00F36013"/>
    <w:rsid w:val="00F3641D"/>
    <w:rsid w:val="00F364DC"/>
    <w:rsid w:val="00F3658F"/>
    <w:rsid w:val="00F366A8"/>
    <w:rsid w:val="00F36C94"/>
    <w:rsid w:val="00F36D94"/>
    <w:rsid w:val="00F371D6"/>
    <w:rsid w:val="00F375E5"/>
    <w:rsid w:val="00F37D95"/>
    <w:rsid w:val="00F37ECF"/>
    <w:rsid w:val="00F37F61"/>
    <w:rsid w:val="00F401E9"/>
    <w:rsid w:val="00F402B7"/>
    <w:rsid w:val="00F4035D"/>
    <w:rsid w:val="00F4148E"/>
    <w:rsid w:val="00F42261"/>
    <w:rsid w:val="00F42526"/>
    <w:rsid w:val="00F42595"/>
    <w:rsid w:val="00F42EAB"/>
    <w:rsid w:val="00F4300E"/>
    <w:rsid w:val="00F43028"/>
    <w:rsid w:val="00F4351B"/>
    <w:rsid w:val="00F43A81"/>
    <w:rsid w:val="00F43B7E"/>
    <w:rsid w:val="00F43D3F"/>
    <w:rsid w:val="00F44128"/>
    <w:rsid w:val="00F446AD"/>
    <w:rsid w:val="00F446FA"/>
    <w:rsid w:val="00F44C22"/>
    <w:rsid w:val="00F4524D"/>
    <w:rsid w:val="00F4584E"/>
    <w:rsid w:val="00F45A43"/>
    <w:rsid w:val="00F45AD5"/>
    <w:rsid w:val="00F45C79"/>
    <w:rsid w:val="00F45D4D"/>
    <w:rsid w:val="00F45EAE"/>
    <w:rsid w:val="00F45F61"/>
    <w:rsid w:val="00F46ED6"/>
    <w:rsid w:val="00F4700B"/>
    <w:rsid w:val="00F4705D"/>
    <w:rsid w:val="00F47659"/>
    <w:rsid w:val="00F479C9"/>
    <w:rsid w:val="00F47A65"/>
    <w:rsid w:val="00F5005F"/>
    <w:rsid w:val="00F508EF"/>
    <w:rsid w:val="00F50FB3"/>
    <w:rsid w:val="00F510EF"/>
    <w:rsid w:val="00F51299"/>
    <w:rsid w:val="00F514E7"/>
    <w:rsid w:val="00F51769"/>
    <w:rsid w:val="00F51B81"/>
    <w:rsid w:val="00F51C63"/>
    <w:rsid w:val="00F52384"/>
    <w:rsid w:val="00F52B4E"/>
    <w:rsid w:val="00F532D2"/>
    <w:rsid w:val="00F5335C"/>
    <w:rsid w:val="00F534DC"/>
    <w:rsid w:val="00F53C26"/>
    <w:rsid w:val="00F53DC4"/>
    <w:rsid w:val="00F54141"/>
    <w:rsid w:val="00F54264"/>
    <w:rsid w:val="00F54325"/>
    <w:rsid w:val="00F54492"/>
    <w:rsid w:val="00F54C5D"/>
    <w:rsid w:val="00F54D77"/>
    <w:rsid w:val="00F5502D"/>
    <w:rsid w:val="00F55904"/>
    <w:rsid w:val="00F559DF"/>
    <w:rsid w:val="00F55D2B"/>
    <w:rsid w:val="00F55FB4"/>
    <w:rsid w:val="00F560E1"/>
    <w:rsid w:val="00F56689"/>
    <w:rsid w:val="00F5675C"/>
    <w:rsid w:val="00F56963"/>
    <w:rsid w:val="00F56BB5"/>
    <w:rsid w:val="00F56CF7"/>
    <w:rsid w:val="00F56D5E"/>
    <w:rsid w:val="00F57253"/>
    <w:rsid w:val="00F574F5"/>
    <w:rsid w:val="00F5759E"/>
    <w:rsid w:val="00F57810"/>
    <w:rsid w:val="00F57C81"/>
    <w:rsid w:val="00F60071"/>
    <w:rsid w:val="00F6031C"/>
    <w:rsid w:val="00F6046B"/>
    <w:rsid w:val="00F60B57"/>
    <w:rsid w:val="00F60C90"/>
    <w:rsid w:val="00F60D4B"/>
    <w:rsid w:val="00F6103A"/>
    <w:rsid w:val="00F61308"/>
    <w:rsid w:val="00F616EA"/>
    <w:rsid w:val="00F6236A"/>
    <w:rsid w:val="00F63003"/>
    <w:rsid w:val="00F63922"/>
    <w:rsid w:val="00F63972"/>
    <w:rsid w:val="00F641E6"/>
    <w:rsid w:val="00F64A83"/>
    <w:rsid w:val="00F64EBB"/>
    <w:rsid w:val="00F650D8"/>
    <w:rsid w:val="00F6524C"/>
    <w:rsid w:val="00F65539"/>
    <w:rsid w:val="00F65589"/>
    <w:rsid w:val="00F65826"/>
    <w:rsid w:val="00F65A97"/>
    <w:rsid w:val="00F6605C"/>
    <w:rsid w:val="00F66245"/>
    <w:rsid w:val="00F663DF"/>
    <w:rsid w:val="00F66A40"/>
    <w:rsid w:val="00F66FB4"/>
    <w:rsid w:val="00F6717F"/>
    <w:rsid w:val="00F6723E"/>
    <w:rsid w:val="00F676A7"/>
    <w:rsid w:val="00F7007E"/>
    <w:rsid w:val="00F7019F"/>
    <w:rsid w:val="00F701DF"/>
    <w:rsid w:val="00F70264"/>
    <w:rsid w:val="00F70282"/>
    <w:rsid w:val="00F706C7"/>
    <w:rsid w:val="00F70748"/>
    <w:rsid w:val="00F7085A"/>
    <w:rsid w:val="00F70A36"/>
    <w:rsid w:val="00F70B46"/>
    <w:rsid w:val="00F70DD5"/>
    <w:rsid w:val="00F71971"/>
    <w:rsid w:val="00F724E0"/>
    <w:rsid w:val="00F725C5"/>
    <w:rsid w:val="00F72828"/>
    <w:rsid w:val="00F7345E"/>
    <w:rsid w:val="00F7348D"/>
    <w:rsid w:val="00F736FF"/>
    <w:rsid w:val="00F73ADF"/>
    <w:rsid w:val="00F73D2B"/>
    <w:rsid w:val="00F74057"/>
    <w:rsid w:val="00F7405D"/>
    <w:rsid w:val="00F7468F"/>
    <w:rsid w:val="00F74740"/>
    <w:rsid w:val="00F74A04"/>
    <w:rsid w:val="00F74B92"/>
    <w:rsid w:val="00F74D29"/>
    <w:rsid w:val="00F74F4D"/>
    <w:rsid w:val="00F75153"/>
    <w:rsid w:val="00F752C6"/>
    <w:rsid w:val="00F757B9"/>
    <w:rsid w:val="00F777F2"/>
    <w:rsid w:val="00F80082"/>
    <w:rsid w:val="00F8042D"/>
    <w:rsid w:val="00F81019"/>
    <w:rsid w:val="00F811A7"/>
    <w:rsid w:val="00F812CA"/>
    <w:rsid w:val="00F81581"/>
    <w:rsid w:val="00F81D89"/>
    <w:rsid w:val="00F8202D"/>
    <w:rsid w:val="00F820C6"/>
    <w:rsid w:val="00F82356"/>
    <w:rsid w:val="00F82C39"/>
    <w:rsid w:val="00F82CE9"/>
    <w:rsid w:val="00F83025"/>
    <w:rsid w:val="00F8326D"/>
    <w:rsid w:val="00F83271"/>
    <w:rsid w:val="00F833CD"/>
    <w:rsid w:val="00F83464"/>
    <w:rsid w:val="00F83689"/>
    <w:rsid w:val="00F839FE"/>
    <w:rsid w:val="00F83CD8"/>
    <w:rsid w:val="00F841FE"/>
    <w:rsid w:val="00F84351"/>
    <w:rsid w:val="00F84823"/>
    <w:rsid w:val="00F84866"/>
    <w:rsid w:val="00F84ED2"/>
    <w:rsid w:val="00F84FDC"/>
    <w:rsid w:val="00F85C8F"/>
    <w:rsid w:val="00F85E6F"/>
    <w:rsid w:val="00F8610C"/>
    <w:rsid w:val="00F8614E"/>
    <w:rsid w:val="00F86621"/>
    <w:rsid w:val="00F866DA"/>
    <w:rsid w:val="00F86BA8"/>
    <w:rsid w:val="00F87107"/>
    <w:rsid w:val="00F8713C"/>
    <w:rsid w:val="00F878CF"/>
    <w:rsid w:val="00F87902"/>
    <w:rsid w:val="00F87BDD"/>
    <w:rsid w:val="00F87C9C"/>
    <w:rsid w:val="00F87DC5"/>
    <w:rsid w:val="00F87EF7"/>
    <w:rsid w:val="00F87F2A"/>
    <w:rsid w:val="00F900C8"/>
    <w:rsid w:val="00F90408"/>
    <w:rsid w:val="00F905A7"/>
    <w:rsid w:val="00F90623"/>
    <w:rsid w:val="00F90745"/>
    <w:rsid w:val="00F90B44"/>
    <w:rsid w:val="00F90BAF"/>
    <w:rsid w:val="00F91254"/>
    <w:rsid w:val="00F9136E"/>
    <w:rsid w:val="00F922FE"/>
    <w:rsid w:val="00F923A0"/>
    <w:rsid w:val="00F924DD"/>
    <w:rsid w:val="00F92C8F"/>
    <w:rsid w:val="00F92D5F"/>
    <w:rsid w:val="00F92EED"/>
    <w:rsid w:val="00F9333D"/>
    <w:rsid w:val="00F9356E"/>
    <w:rsid w:val="00F93622"/>
    <w:rsid w:val="00F9374D"/>
    <w:rsid w:val="00F939D5"/>
    <w:rsid w:val="00F93A00"/>
    <w:rsid w:val="00F93D79"/>
    <w:rsid w:val="00F9417F"/>
    <w:rsid w:val="00F9427D"/>
    <w:rsid w:val="00F9476E"/>
    <w:rsid w:val="00F950F3"/>
    <w:rsid w:val="00F95247"/>
    <w:rsid w:val="00F9587E"/>
    <w:rsid w:val="00F958E7"/>
    <w:rsid w:val="00F95938"/>
    <w:rsid w:val="00F95A4A"/>
    <w:rsid w:val="00F95BD8"/>
    <w:rsid w:val="00F96167"/>
    <w:rsid w:val="00F96465"/>
    <w:rsid w:val="00F96596"/>
    <w:rsid w:val="00F967C8"/>
    <w:rsid w:val="00F971B7"/>
    <w:rsid w:val="00F97960"/>
    <w:rsid w:val="00F979F1"/>
    <w:rsid w:val="00F97C6C"/>
    <w:rsid w:val="00F97F46"/>
    <w:rsid w:val="00FA07C4"/>
    <w:rsid w:val="00FA08DA"/>
    <w:rsid w:val="00FA09FF"/>
    <w:rsid w:val="00FA0B2D"/>
    <w:rsid w:val="00FA0BB0"/>
    <w:rsid w:val="00FA1153"/>
    <w:rsid w:val="00FA1558"/>
    <w:rsid w:val="00FA17C4"/>
    <w:rsid w:val="00FA182C"/>
    <w:rsid w:val="00FA1880"/>
    <w:rsid w:val="00FA1B25"/>
    <w:rsid w:val="00FA1C8F"/>
    <w:rsid w:val="00FA1DAA"/>
    <w:rsid w:val="00FA26C2"/>
    <w:rsid w:val="00FA2E85"/>
    <w:rsid w:val="00FA2FDC"/>
    <w:rsid w:val="00FA3179"/>
    <w:rsid w:val="00FA3695"/>
    <w:rsid w:val="00FA398C"/>
    <w:rsid w:val="00FA3B0F"/>
    <w:rsid w:val="00FA3BFE"/>
    <w:rsid w:val="00FA4008"/>
    <w:rsid w:val="00FA475C"/>
    <w:rsid w:val="00FA49B5"/>
    <w:rsid w:val="00FA4C4E"/>
    <w:rsid w:val="00FA4DFA"/>
    <w:rsid w:val="00FA68D4"/>
    <w:rsid w:val="00FA6950"/>
    <w:rsid w:val="00FA6BE1"/>
    <w:rsid w:val="00FA6DA6"/>
    <w:rsid w:val="00FA6EDB"/>
    <w:rsid w:val="00FA72C1"/>
    <w:rsid w:val="00FA7350"/>
    <w:rsid w:val="00FA742F"/>
    <w:rsid w:val="00FA7BC5"/>
    <w:rsid w:val="00FA7C74"/>
    <w:rsid w:val="00FA7E33"/>
    <w:rsid w:val="00FA7EFC"/>
    <w:rsid w:val="00FB0075"/>
    <w:rsid w:val="00FB03F8"/>
    <w:rsid w:val="00FB1057"/>
    <w:rsid w:val="00FB1316"/>
    <w:rsid w:val="00FB1753"/>
    <w:rsid w:val="00FB1F4E"/>
    <w:rsid w:val="00FB1FE4"/>
    <w:rsid w:val="00FB24DC"/>
    <w:rsid w:val="00FB24E3"/>
    <w:rsid w:val="00FB25B9"/>
    <w:rsid w:val="00FB276D"/>
    <w:rsid w:val="00FB2890"/>
    <w:rsid w:val="00FB29D5"/>
    <w:rsid w:val="00FB29DA"/>
    <w:rsid w:val="00FB32F6"/>
    <w:rsid w:val="00FB34F5"/>
    <w:rsid w:val="00FB375D"/>
    <w:rsid w:val="00FB40D4"/>
    <w:rsid w:val="00FB442A"/>
    <w:rsid w:val="00FB45F5"/>
    <w:rsid w:val="00FB4BCC"/>
    <w:rsid w:val="00FB504D"/>
    <w:rsid w:val="00FB5195"/>
    <w:rsid w:val="00FB5617"/>
    <w:rsid w:val="00FB564B"/>
    <w:rsid w:val="00FB5805"/>
    <w:rsid w:val="00FB5DF3"/>
    <w:rsid w:val="00FB5FF7"/>
    <w:rsid w:val="00FB6086"/>
    <w:rsid w:val="00FB64EC"/>
    <w:rsid w:val="00FB66BB"/>
    <w:rsid w:val="00FB6742"/>
    <w:rsid w:val="00FB6807"/>
    <w:rsid w:val="00FB6947"/>
    <w:rsid w:val="00FB6AD0"/>
    <w:rsid w:val="00FB6F8F"/>
    <w:rsid w:val="00FB72D8"/>
    <w:rsid w:val="00FB740C"/>
    <w:rsid w:val="00FB7BCF"/>
    <w:rsid w:val="00FC0231"/>
    <w:rsid w:val="00FC14B2"/>
    <w:rsid w:val="00FC2079"/>
    <w:rsid w:val="00FC26D1"/>
    <w:rsid w:val="00FC3408"/>
    <w:rsid w:val="00FC3C04"/>
    <w:rsid w:val="00FC3D5D"/>
    <w:rsid w:val="00FC4077"/>
    <w:rsid w:val="00FC468B"/>
    <w:rsid w:val="00FC4C52"/>
    <w:rsid w:val="00FC4CAD"/>
    <w:rsid w:val="00FC4DA2"/>
    <w:rsid w:val="00FC5353"/>
    <w:rsid w:val="00FC5941"/>
    <w:rsid w:val="00FC5AE2"/>
    <w:rsid w:val="00FC605D"/>
    <w:rsid w:val="00FC66FE"/>
    <w:rsid w:val="00FC684C"/>
    <w:rsid w:val="00FC6DD3"/>
    <w:rsid w:val="00FC6FA9"/>
    <w:rsid w:val="00FC754F"/>
    <w:rsid w:val="00FC75BF"/>
    <w:rsid w:val="00FC76EA"/>
    <w:rsid w:val="00FC7A35"/>
    <w:rsid w:val="00FC7EDA"/>
    <w:rsid w:val="00FD0798"/>
    <w:rsid w:val="00FD08F4"/>
    <w:rsid w:val="00FD0CF3"/>
    <w:rsid w:val="00FD0E61"/>
    <w:rsid w:val="00FD0E83"/>
    <w:rsid w:val="00FD0F57"/>
    <w:rsid w:val="00FD0FEC"/>
    <w:rsid w:val="00FD1089"/>
    <w:rsid w:val="00FD1A88"/>
    <w:rsid w:val="00FD1D61"/>
    <w:rsid w:val="00FD1D82"/>
    <w:rsid w:val="00FD1FC0"/>
    <w:rsid w:val="00FD2901"/>
    <w:rsid w:val="00FD2FD6"/>
    <w:rsid w:val="00FD3949"/>
    <w:rsid w:val="00FD3FC5"/>
    <w:rsid w:val="00FD418C"/>
    <w:rsid w:val="00FD43FF"/>
    <w:rsid w:val="00FD473A"/>
    <w:rsid w:val="00FD48B9"/>
    <w:rsid w:val="00FD491B"/>
    <w:rsid w:val="00FD4A45"/>
    <w:rsid w:val="00FD54FD"/>
    <w:rsid w:val="00FD55B1"/>
    <w:rsid w:val="00FD66AA"/>
    <w:rsid w:val="00FD66B4"/>
    <w:rsid w:val="00FD6AC0"/>
    <w:rsid w:val="00FD6B35"/>
    <w:rsid w:val="00FD7C86"/>
    <w:rsid w:val="00FE013E"/>
    <w:rsid w:val="00FE02BB"/>
    <w:rsid w:val="00FE02F8"/>
    <w:rsid w:val="00FE030A"/>
    <w:rsid w:val="00FE08E6"/>
    <w:rsid w:val="00FE0A02"/>
    <w:rsid w:val="00FE0CE7"/>
    <w:rsid w:val="00FE0D44"/>
    <w:rsid w:val="00FE0FF2"/>
    <w:rsid w:val="00FE1427"/>
    <w:rsid w:val="00FE19B1"/>
    <w:rsid w:val="00FE1CB4"/>
    <w:rsid w:val="00FE1D6C"/>
    <w:rsid w:val="00FE211A"/>
    <w:rsid w:val="00FE2C0B"/>
    <w:rsid w:val="00FE2EB7"/>
    <w:rsid w:val="00FE39B9"/>
    <w:rsid w:val="00FE4A2D"/>
    <w:rsid w:val="00FE4C4B"/>
    <w:rsid w:val="00FE4C6E"/>
    <w:rsid w:val="00FE4D9A"/>
    <w:rsid w:val="00FE5222"/>
    <w:rsid w:val="00FE5278"/>
    <w:rsid w:val="00FE5716"/>
    <w:rsid w:val="00FE5BD3"/>
    <w:rsid w:val="00FE5D55"/>
    <w:rsid w:val="00FE6B48"/>
    <w:rsid w:val="00FE6C77"/>
    <w:rsid w:val="00FE76B0"/>
    <w:rsid w:val="00FE79EC"/>
    <w:rsid w:val="00FE7BC0"/>
    <w:rsid w:val="00FE7C83"/>
    <w:rsid w:val="00FF0467"/>
    <w:rsid w:val="00FF0B9A"/>
    <w:rsid w:val="00FF137C"/>
    <w:rsid w:val="00FF17D4"/>
    <w:rsid w:val="00FF1CF8"/>
    <w:rsid w:val="00FF1FFF"/>
    <w:rsid w:val="00FF20EE"/>
    <w:rsid w:val="00FF2206"/>
    <w:rsid w:val="00FF2C43"/>
    <w:rsid w:val="00FF2DEF"/>
    <w:rsid w:val="00FF2F67"/>
    <w:rsid w:val="00FF31BD"/>
    <w:rsid w:val="00FF334B"/>
    <w:rsid w:val="00FF34E9"/>
    <w:rsid w:val="00FF34EE"/>
    <w:rsid w:val="00FF394B"/>
    <w:rsid w:val="00FF3BF3"/>
    <w:rsid w:val="00FF458C"/>
    <w:rsid w:val="00FF4812"/>
    <w:rsid w:val="00FF4A42"/>
    <w:rsid w:val="00FF4D0D"/>
    <w:rsid w:val="00FF4D6F"/>
    <w:rsid w:val="00FF4D7E"/>
    <w:rsid w:val="00FF4F3D"/>
    <w:rsid w:val="00FF5450"/>
    <w:rsid w:val="00FF5CFE"/>
    <w:rsid w:val="00FF608C"/>
    <w:rsid w:val="00FF62A3"/>
    <w:rsid w:val="00FF66E3"/>
    <w:rsid w:val="00FF6BE6"/>
    <w:rsid w:val="00FF6BF6"/>
    <w:rsid w:val="00FF6DED"/>
    <w:rsid w:val="00FF6FE1"/>
    <w:rsid w:val="00FF709F"/>
    <w:rsid w:val="00FF70D7"/>
    <w:rsid w:val="00FF717D"/>
    <w:rsid w:val="00FF726D"/>
    <w:rsid w:val="00FF7BA8"/>
    <w:rsid w:val="00FF7E1A"/>
    <w:rsid w:val="017B11E4"/>
    <w:rsid w:val="04542CCA"/>
    <w:rsid w:val="0BD63A20"/>
    <w:rsid w:val="0F8E3624"/>
    <w:rsid w:val="10476665"/>
    <w:rsid w:val="17FD30A3"/>
    <w:rsid w:val="1B017710"/>
    <w:rsid w:val="1B8F3DB2"/>
    <w:rsid w:val="1D820154"/>
    <w:rsid w:val="1DF7778B"/>
    <w:rsid w:val="1F9E67DE"/>
    <w:rsid w:val="21717AB6"/>
    <w:rsid w:val="257F4C22"/>
    <w:rsid w:val="27D72D69"/>
    <w:rsid w:val="29B7CB66"/>
    <w:rsid w:val="2D6F2979"/>
    <w:rsid w:val="2F98E7A0"/>
    <w:rsid w:val="2FFBC66C"/>
    <w:rsid w:val="31602003"/>
    <w:rsid w:val="371DD20B"/>
    <w:rsid w:val="378100CF"/>
    <w:rsid w:val="387E77D6"/>
    <w:rsid w:val="3BEDD306"/>
    <w:rsid w:val="3C631D7F"/>
    <w:rsid w:val="3DE321BC"/>
    <w:rsid w:val="3E5FA7D2"/>
    <w:rsid w:val="3F3FA44C"/>
    <w:rsid w:val="3F585162"/>
    <w:rsid w:val="403A4BFA"/>
    <w:rsid w:val="445C5E07"/>
    <w:rsid w:val="4ECC092C"/>
    <w:rsid w:val="53F5B778"/>
    <w:rsid w:val="553CFF2B"/>
    <w:rsid w:val="57200867"/>
    <w:rsid w:val="59F73AEE"/>
    <w:rsid w:val="5AFF0B3F"/>
    <w:rsid w:val="5B2E6E7A"/>
    <w:rsid w:val="5BEE25D7"/>
    <w:rsid w:val="5DFDA670"/>
    <w:rsid w:val="5E37188E"/>
    <w:rsid w:val="5EEF4802"/>
    <w:rsid w:val="5EF9B6FA"/>
    <w:rsid w:val="5FDC9DE2"/>
    <w:rsid w:val="5FFEF538"/>
    <w:rsid w:val="602872C0"/>
    <w:rsid w:val="62B05389"/>
    <w:rsid w:val="640534CA"/>
    <w:rsid w:val="66CF9335"/>
    <w:rsid w:val="67EE5496"/>
    <w:rsid w:val="69FE70F3"/>
    <w:rsid w:val="6B2B6EDF"/>
    <w:rsid w:val="6BB53625"/>
    <w:rsid w:val="6BBF6907"/>
    <w:rsid w:val="6DBEE872"/>
    <w:rsid w:val="6F6C4655"/>
    <w:rsid w:val="6F9FE635"/>
    <w:rsid w:val="6FFC362F"/>
    <w:rsid w:val="70BB17F6"/>
    <w:rsid w:val="757B4C6B"/>
    <w:rsid w:val="75FE6F91"/>
    <w:rsid w:val="76FB95BF"/>
    <w:rsid w:val="77C747F5"/>
    <w:rsid w:val="79C54ADE"/>
    <w:rsid w:val="79EF9F7F"/>
    <w:rsid w:val="79FFC0C0"/>
    <w:rsid w:val="7B778E07"/>
    <w:rsid w:val="7B9B270E"/>
    <w:rsid w:val="7BAF48E1"/>
    <w:rsid w:val="7C8F4A4F"/>
    <w:rsid w:val="7CBF1906"/>
    <w:rsid w:val="7F357B78"/>
    <w:rsid w:val="7F7F1065"/>
    <w:rsid w:val="8DBE36BA"/>
    <w:rsid w:val="91FFCFE5"/>
    <w:rsid w:val="9959F316"/>
    <w:rsid w:val="A3FCB2F4"/>
    <w:rsid w:val="A5F71B61"/>
    <w:rsid w:val="ACFF9AC6"/>
    <w:rsid w:val="B77F024A"/>
    <w:rsid w:val="B7F7A2F0"/>
    <w:rsid w:val="BB6EA0F2"/>
    <w:rsid w:val="BF9E1A9F"/>
    <w:rsid w:val="BFFF5046"/>
    <w:rsid w:val="CDFFCF31"/>
    <w:rsid w:val="CF694111"/>
    <w:rsid w:val="CF73D766"/>
    <w:rsid w:val="CFEF873B"/>
    <w:rsid w:val="D99F9768"/>
    <w:rsid w:val="DE5F06B9"/>
    <w:rsid w:val="DFFFFABD"/>
    <w:rsid w:val="E57F0521"/>
    <w:rsid w:val="E6CA9CE8"/>
    <w:rsid w:val="EF780AC4"/>
    <w:rsid w:val="EFEF0C6B"/>
    <w:rsid w:val="EFEF33A9"/>
    <w:rsid w:val="F4EB9DBB"/>
    <w:rsid w:val="F72BB79F"/>
    <w:rsid w:val="F77FD1EA"/>
    <w:rsid w:val="F7B9FAEC"/>
    <w:rsid w:val="F7BBC1C7"/>
    <w:rsid w:val="F8F37821"/>
    <w:rsid w:val="FAFB3189"/>
    <w:rsid w:val="FB7B31F1"/>
    <w:rsid w:val="FBE3EC90"/>
    <w:rsid w:val="FBFB63B3"/>
    <w:rsid w:val="FDFC1A00"/>
    <w:rsid w:val="FEED27DD"/>
    <w:rsid w:val="FF9FCD50"/>
    <w:rsid w:val="FFAE1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1"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qFormat="1" w:unhideWhenUsed="0"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qFormat="1" w:uiPriority="99" w:semiHidden="0" w:name="List 5"/>
    <w:lsdException w:qFormat="1" w:unhideWhenUsed="0" w:uiPriority="0" w:semiHidden="0"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qFormat="1" w:uiPriority="99"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nhideWhenUsed="0" w:uiPriority="99" w:semiHidden="0" w:name="HTML Cite"/>
    <w:lsdException w:uiPriority="99" w:name="HTML Code"/>
    <w:lsdException w:qFormat="1" w:unhideWhenUsed="0" w:uiPriority="0" w:semiHidden="0" w:name="HTML Definition"/>
    <w:lsdException w:uiPriority="99" w:name="HTML Keyboard"/>
    <w:lsdException w:qFormat="1" w:uiPriority="99" w:semiHidden="0" w:name="HTML Preformatted"/>
    <w:lsdException w:uiPriority="99" w:name="HTML Sample"/>
    <w:lsdException w:qFormat="1"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80"/>
    <w:qFormat/>
    <w:uiPriority w:val="9"/>
    <w:pPr>
      <w:overflowPunct w:val="0"/>
      <w:spacing w:line="360" w:lineRule="auto"/>
      <w:ind w:firstLine="482" w:firstLineChars="200"/>
      <w:jc w:val="center"/>
      <w:outlineLvl w:val="0"/>
    </w:pPr>
    <w:rPr>
      <w:rFonts w:ascii="黑体" w:hAnsi="黑体" w:eastAsia="黑体"/>
      <w:b/>
    </w:rPr>
  </w:style>
  <w:style w:type="paragraph" w:styleId="3">
    <w:name w:val="heading 2"/>
    <w:basedOn w:val="1"/>
    <w:next w:val="1"/>
    <w:link w:val="81"/>
    <w:autoRedefine/>
    <w:qFormat/>
    <w:uiPriority w:val="9"/>
    <w:pPr>
      <w:numPr>
        <w:ilvl w:val="1"/>
        <w:numId w:val="1"/>
      </w:numPr>
      <w:overflowPunct w:val="0"/>
      <w:autoSpaceDE w:val="0"/>
      <w:autoSpaceDN w:val="0"/>
      <w:spacing w:line="360" w:lineRule="auto"/>
      <w:ind w:left="0"/>
      <w:textAlignment w:val="baseline"/>
      <w:outlineLvl w:val="1"/>
    </w:pPr>
    <w:rPr>
      <w:rFonts w:eastAsia="黑体"/>
      <w:b/>
      <w:bCs/>
      <w:sz w:val="30"/>
      <w:szCs w:val="30"/>
    </w:rPr>
  </w:style>
  <w:style w:type="paragraph" w:styleId="4">
    <w:name w:val="heading 3"/>
    <w:basedOn w:val="1"/>
    <w:next w:val="1"/>
    <w:link w:val="8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83"/>
    <w:unhideWhenUsed/>
    <w:qFormat/>
    <w:uiPriority w:val="1"/>
    <w:pPr>
      <w:keepNext/>
      <w:keepLines/>
      <w:spacing w:before="280" w:after="290" w:line="376" w:lineRule="auto"/>
      <w:outlineLvl w:val="3"/>
    </w:pPr>
    <w:rPr>
      <w:rFonts w:ascii="Cambria" w:hAnsi="Cambria"/>
      <w:b/>
      <w:bCs/>
      <w:sz w:val="28"/>
      <w:szCs w:val="28"/>
    </w:rPr>
  </w:style>
  <w:style w:type="paragraph" w:styleId="6">
    <w:name w:val="heading 5"/>
    <w:next w:val="1"/>
    <w:link w:val="84"/>
    <w:qFormat/>
    <w:uiPriority w:val="0"/>
    <w:pPr>
      <w:keepNext/>
      <w:keepLines/>
      <w:adjustRightInd w:val="0"/>
      <w:spacing w:before="280" w:after="290" w:line="376" w:lineRule="atLeast"/>
      <w:textAlignment w:val="baseline"/>
      <w:outlineLvl w:val="4"/>
    </w:pPr>
    <w:rPr>
      <w:rFonts w:ascii="宋体" w:hAnsi="宋体" w:eastAsia="宋体" w:cs="Times New Roman"/>
      <w:b/>
      <w:sz w:val="28"/>
      <w:lang w:val="en-US" w:eastAsia="zh-CN" w:bidi="ar-SA"/>
    </w:rPr>
  </w:style>
  <w:style w:type="paragraph" w:styleId="7">
    <w:name w:val="heading 6"/>
    <w:basedOn w:val="1"/>
    <w:next w:val="1"/>
    <w:link w:val="85"/>
    <w:unhideWhenUsed/>
    <w:qFormat/>
    <w:uiPriority w:val="0"/>
    <w:pPr>
      <w:keepNext/>
      <w:keepLines/>
      <w:spacing w:before="240" w:after="64" w:line="320" w:lineRule="auto"/>
      <w:outlineLvl w:val="5"/>
    </w:pPr>
    <w:rPr>
      <w:rFonts w:ascii="Cambria" w:hAnsi="Cambria"/>
      <w:b/>
      <w:bCs/>
    </w:rPr>
  </w:style>
  <w:style w:type="paragraph" w:styleId="8">
    <w:name w:val="heading 7"/>
    <w:basedOn w:val="1"/>
    <w:next w:val="1"/>
    <w:link w:val="86"/>
    <w:qFormat/>
    <w:uiPriority w:val="0"/>
    <w:pPr>
      <w:keepNext/>
      <w:keepLines/>
      <w:autoSpaceDE w:val="0"/>
      <w:autoSpaceDN w:val="0"/>
      <w:adjustRightInd w:val="0"/>
      <w:spacing w:before="240" w:after="64" w:line="320" w:lineRule="auto"/>
      <w:ind w:firstLine="480" w:firstLineChars="200"/>
      <w:outlineLvl w:val="6"/>
    </w:pPr>
    <w:rPr>
      <w:b/>
      <w:bCs/>
      <w:kern w:val="13"/>
    </w:rPr>
  </w:style>
  <w:style w:type="paragraph" w:styleId="9">
    <w:name w:val="heading 8"/>
    <w:basedOn w:val="1"/>
    <w:next w:val="1"/>
    <w:link w:val="87"/>
    <w:qFormat/>
    <w:uiPriority w:val="0"/>
    <w:pPr>
      <w:keepNext/>
      <w:keepLines/>
      <w:autoSpaceDE w:val="0"/>
      <w:autoSpaceDN w:val="0"/>
      <w:adjustRightInd w:val="0"/>
      <w:spacing w:before="240" w:after="64" w:line="320" w:lineRule="atLeast"/>
      <w:ind w:firstLine="480" w:firstLineChars="200"/>
      <w:textAlignment w:val="baseline"/>
      <w:outlineLvl w:val="7"/>
    </w:pPr>
    <w:rPr>
      <w:rFonts w:ascii="Arial" w:hAnsi="Arial" w:eastAsia="黑体"/>
    </w:rPr>
  </w:style>
  <w:style w:type="paragraph" w:styleId="10">
    <w:name w:val="heading 9"/>
    <w:basedOn w:val="1"/>
    <w:next w:val="1"/>
    <w:link w:val="88"/>
    <w:unhideWhenUsed/>
    <w:qFormat/>
    <w:uiPriority w:val="0"/>
    <w:pPr>
      <w:keepNext/>
      <w:keepLines/>
      <w:spacing w:before="240" w:after="64" w:line="320" w:lineRule="auto"/>
      <w:outlineLvl w:val="8"/>
    </w:pPr>
    <w:rPr>
      <w:rFonts w:ascii="Cambria" w:hAnsi="Cambria"/>
      <w:sz w:val="20"/>
      <w:szCs w:val="21"/>
    </w:rPr>
  </w:style>
  <w:style w:type="character" w:default="1" w:styleId="67">
    <w:name w:val="Default Paragraph Font"/>
    <w:semiHidden/>
    <w:unhideWhenUsed/>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spacing w:line="360" w:lineRule="auto"/>
      <w:ind w:left="2520" w:leftChars="1200" w:hanging="851" w:hangingChars="200"/>
    </w:pPr>
    <w:rPr>
      <w:rFonts w:ascii="Calibri" w:hAnsi="Calibri"/>
    </w:rPr>
  </w:style>
  <w:style w:type="paragraph" w:styleId="12">
    <w:name w:val="Note Heading"/>
    <w:basedOn w:val="1"/>
    <w:next w:val="1"/>
    <w:link w:val="411"/>
    <w:qFormat/>
    <w:uiPriority w:val="0"/>
    <w:pPr>
      <w:spacing w:line="360" w:lineRule="auto"/>
      <w:ind w:hanging="851" w:hangingChars="200"/>
    </w:pPr>
    <w:rPr>
      <w:rFonts w:ascii="Calibri" w:hAnsi="Calibri"/>
    </w:rPr>
  </w:style>
  <w:style w:type="paragraph" w:styleId="13">
    <w:name w:val="List Bullet 4"/>
    <w:basedOn w:val="1"/>
    <w:qFormat/>
    <w:uiPriority w:val="0"/>
    <w:pPr>
      <w:tabs>
        <w:tab w:val="left" w:pos="1280"/>
      </w:tabs>
      <w:spacing w:line="360" w:lineRule="auto"/>
      <w:ind w:left="1280" w:hanging="720" w:firstLineChars="200"/>
    </w:pPr>
  </w:style>
  <w:style w:type="paragraph" w:styleId="14">
    <w:name w:val="index 8"/>
    <w:basedOn w:val="1"/>
    <w:next w:val="1"/>
    <w:qFormat/>
    <w:uiPriority w:val="0"/>
    <w:pPr>
      <w:spacing w:line="360" w:lineRule="auto"/>
      <w:ind w:left="1680" w:hanging="210" w:hangingChars="200"/>
    </w:pPr>
    <w:rPr>
      <w:rFonts w:ascii="Calibri" w:hAnsi="Calibri"/>
      <w:sz w:val="20"/>
    </w:rPr>
  </w:style>
  <w:style w:type="paragraph" w:styleId="15">
    <w:name w:val="Normal Indent"/>
    <w:basedOn w:val="1"/>
    <w:link w:val="154"/>
    <w:qFormat/>
    <w:uiPriority w:val="0"/>
    <w:pPr>
      <w:ind w:firstLine="420" w:firstLineChars="200"/>
    </w:pPr>
    <w:rPr>
      <w:rFonts w:ascii="Calibri" w:hAnsi="Calibri"/>
    </w:rPr>
  </w:style>
  <w:style w:type="paragraph" w:styleId="16">
    <w:name w:val="caption"/>
    <w:basedOn w:val="1"/>
    <w:next w:val="1"/>
    <w:link w:val="148"/>
    <w:qFormat/>
    <w:uiPriority w:val="0"/>
    <w:pPr>
      <w:spacing w:beforeLines="30" w:afterLines="30" w:line="360" w:lineRule="auto"/>
      <w:jc w:val="center"/>
    </w:pPr>
    <w:rPr>
      <w:rFonts w:eastAsia="黑体"/>
    </w:rPr>
  </w:style>
  <w:style w:type="paragraph" w:styleId="17">
    <w:name w:val="index 5"/>
    <w:basedOn w:val="1"/>
    <w:next w:val="1"/>
    <w:qFormat/>
    <w:uiPriority w:val="0"/>
    <w:pPr>
      <w:spacing w:line="360" w:lineRule="auto"/>
      <w:ind w:left="1050" w:hanging="210" w:hangingChars="200"/>
    </w:pPr>
    <w:rPr>
      <w:rFonts w:ascii="Calibri" w:hAnsi="Calibri"/>
      <w:sz w:val="20"/>
    </w:rPr>
  </w:style>
  <w:style w:type="paragraph" w:styleId="18">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rPr>
  </w:style>
  <w:style w:type="paragraph" w:styleId="19">
    <w:name w:val="Document Map"/>
    <w:basedOn w:val="1"/>
    <w:link w:val="109"/>
    <w:unhideWhenUsed/>
    <w:qFormat/>
    <w:uiPriority w:val="0"/>
    <w:rPr>
      <w:rFonts w:ascii="Tahoma" w:hAnsi="Tahoma"/>
      <w:sz w:val="16"/>
      <w:szCs w:val="16"/>
    </w:rPr>
  </w:style>
  <w:style w:type="paragraph" w:styleId="20">
    <w:name w:val="annotation text"/>
    <w:basedOn w:val="1"/>
    <w:link w:val="110"/>
    <w:qFormat/>
    <w:uiPriority w:val="0"/>
    <w:rPr>
      <w:rFonts w:ascii="Calibri" w:hAnsi="Calibri"/>
      <w:sz w:val="20"/>
    </w:rPr>
  </w:style>
  <w:style w:type="paragraph" w:styleId="21">
    <w:name w:val="index 6"/>
    <w:basedOn w:val="1"/>
    <w:next w:val="1"/>
    <w:qFormat/>
    <w:uiPriority w:val="0"/>
    <w:pPr>
      <w:spacing w:line="360" w:lineRule="auto"/>
      <w:ind w:left="1260" w:hanging="210" w:hangingChars="200"/>
    </w:pPr>
    <w:rPr>
      <w:rFonts w:ascii="Calibri" w:hAnsi="Calibri"/>
      <w:sz w:val="20"/>
    </w:rPr>
  </w:style>
  <w:style w:type="paragraph" w:styleId="22">
    <w:name w:val="Salutation"/>
    <w:basedOn w:val="1"/>
    <w:next w:val="1"/>
    <w:link w:val="834"/>
    <w:qFormat/>
    <w:uiPriority w:val="0"/>
    <w:pPr>
      <w:spacing w:line="360" w:lineRule="auto"/>
      <w:ind w:firstLine="200" w:firstLineChars="200"/>
    </w:pPr>
  </w:style>
  <w:style w:type="paragraph" w:styleId="23">
    <w:name w:val="Body Text 3"/>
    <w:basedOn w:val="1"/>
    <w:link w:val="293"/>
    <w:qFormat/>
    <w:uiPriority w:val="0"/>
    <w:rPr>
      <w:rFonts w:ascii="Cambria Math" w:hAnsi="Cambria Math"/>
      <w:sz w:val="28"/>
    </w:rPr>
  </w:style>
  <w:style w:type="paragraph" w:styleId="24">
    <w:name w:val="Body Text"/>
    <w:basedOn w:val="1"/>
    <w:link w:val="108"/>
    <w:unhideWhenUsed/>
    <w:qFormat/>
    <w:uiPriority w:val="0"/>
    <w:pPr>
      <w:spacing w:after="120"/>
    </w:pPr>
    <w:rPr>
      <w:sz w:val="20"/>
    </w:rPr>
  </w:style>
  <w:style w:type="paragraph" w:styleId="25">
    <w:name w:val="Body Text Indent"/>
    <w:basedOn w:val="1"/>
    <w:link w:val="130"/>
    <w:qFormat/>
    <w:uiPriority w:val="0"/>
    <w:pPr>
      <w:spacing w:after="120"/>
      <w:ind w:left="420" w:leftChars="200"/>
    </w:pPr>
    <w:rPr>
      <w:rFonts w:ascii="Calibri" w:hAnsi="Calibri"/>
      <w:sz w:val="20"/>
    </w:rPr>
  </w:style>
  <w:style w:type="paragraph" w:styleId="26">
    <w:name w:val="List 2"/>
    <w:qFormat/>
    <w:uiPriority w:val="0"/>
    <w:pPr>
      <w:tabs>
        <w:tab w:val="left" w:pos="360"/>
      </w:tabs>
      <w:adjustRightInd w:val="0"/>
      <w:snapToGrid w:val="0"/>
      <w:spacing w:before="120" w:after="120" w:line="360" w:lineRule="auto"/>
      <w:ind w:left="851" w:hanging="851"/>
      <w:jc w:val="center"/>
    </w:pPr>
    <w:rPr>
      <w:rFonts w:ascii="Calibri" w:hAnsi="Calibri" w:eastAsia="宋体" w:cs="Times New Roman"/>
      <w:sz w:val="24"/>
      <w:lang w:val="en-US" w:eastAsia="zh-CN" w:bidi="ar-SA"/>
    </w:rPr>
  </w:style>
  <w:style w:type="paragraph" w:styleId="27">
    <w:name w:val="List Continue"/>
    <w:basedOn w:val="1"/>
    <w:unhideWhenUsed/>
    <w:qFormat/>
    <w:uiPriority w:val="99"/>
    <w:pPr>
      <w:spacing w:after="120"/>
      <w:ind w:left="420" w:leftChars="200"/>
      <w:contextualSpacing/>
    </w:pPr>
  </w:style>
  <w:style w:type="paragraph" w:styleId="28">
    <w:name w:val="Block Text"/>
    <w:basedOn w:val="1"/>
    <w:qFormat/>
    <w:uiPriority w:val="99"/>
    <w:pPr>
      <w:overflowPunct w:val="0"/>
      <w:adjustRightInd w:val="0"/>
      <w:snapToGrid w:val="0"/>
      <w:spacing w:line="500" w:lineRule="exact"/>
      <w:ind w:left="480" w:leftChars="200" w:right="-17" w:rightChars="-7"/>
      <w:textAlignment w:val="baseline"/>
    </w:pPr>
  </w:style>
  <w:style w:type="paragraph" w:styleId="29">
    <w:name w:val="List Bullet 2"/>
    <w:basedOn w:val="1"/>
    <w:qFormat/>
    <w:uiPriority w:val="0"/>
    <w:pPr>
      <w:spacing w:line="360" w:lineRule="auto"/>
    </w:pPr>
    <w:rPr>
      <w:rFonts w:ascii="Cambria Math" w:hAnsi="Cambria Math" w:cs="Cambria Math"/>
    </w:rPr>
  </w:style>
  <w:style w:type="paragraph" w:styleId="30">
    <w:name w:val="index 4"/>
    <w:basedOn w:val="1"/>
    <w:next w:val="1"/>
    <w:qFormat/>
    <w:uiPriority w:val="0"/>
    <w:pPr>
      <w:spacing w:line="360" w:lineRule="auto"/>
      <w:ind w:left="840" w:hanging="210" w:hangingChars="200"/>
    </w:pPr>
    <w:rPr>
      <w:rFonts w:ascii="Calibri" w:hAnsi="Calibri"/>
      <w:sz w:val="20"/>
    </w:rPr>
  </w:style>
  <w:style w:type="paragraph" w:styleId="31">
    <w:name w:val="toc 5"/>
    <w:basedOn w:val="1"/>
    <w:next w:val="1"/>
    <w:qFormat/>
    <w:uiPriority w:val="39"/>
    <w:pPr>
      <w:spacing w:line="360" w:lineRule="auto"/>
      <w:ind w:left="1680" w:leftChars="800" w:hanging="851" w:hangingChars="200"/>
    </w:pPr>
    <w:rPr>
      <w:rFonts w:ascii="Calibri" w:hAnsi="Calibri"/>
    </w:rPr>
  </w:style>
  <w:style w:type="paragraph" w:styleId="32">
    <w:name w:val="toc 3"/>
    <w:basedOn w:val="1"/>
    <w:next w:val="1"/>
    <w:qFormat/>
    <w:uiPriority w:val="39"/>
    <w:pPr>
      <w:spacing w:line="360" w:lineRule="auto"/>
      <w:ind w:left="840" w:leftChars="400" w:hanging="851" w:hangingChars="200"/>
    </w:pPr>
    <w:rPr>
      <w:rFonts w:ascii="Calibri" w:hAnsi="Calibri"/>
    </w:rPr>
  </w:style>
  <w:style w:type="paragraph" w:styleId="33">
    <w:name w:val="Plain Text"/>
    <w:basedOn w:val="1"/>
    <w:link w:val="101"/>
    <w:qFormat/>
    <w:uiPriority w:val="0"/>
    <w:rPr>
      <w:rFonts w:hAnsi="Courier New"/>
      <w:sz w:val="20"/>
      <w:szCs w:val="21"/>
    </w:rPr>
  </w:style>
  <w:style w:type="paragraph" w:styleId="34">
    <w:name w:val="toc 8"/>
    <w:basedOn w:val="1"/>
    <w:next w:val="1"/>
    <w:qFormat/>
    <w:uiPriority w:val="39"/>
    <w:pPr>
      <w:spacing w:line="360" w:lineRule="auto"/>
      <w:ind w:left="2940" w:leftChars="1400" w:hanging="851" w:hangingChars="200"/>
    </w:pPr>
    <w:rPr>
      <w:rFonts w:ascii="Calibri" w:hAnsi="Calibri"/>
    </w:rPr>
  </w:style>
  <w:style w:type="paragraph" w:styleId="35">
    <w:name w:val="index 3"/>
    <w:basedOn w:val="1"/>
    <w:next w:val="1"/>
    <w:qFormat/>
    <w:uiPriority w:val="0"/>
    <w:pPr>
      <w:spacing w:line="360" w:lineRule="auto"/>
      <w:ind w:left="630" w:hanging="210" w:hangingChars="200"/>
    </w:pPr>
    <w:rPr>
      <w:rFonts w:ascii="Calibri" w:hAnsi="Calibri"/>
      <w:sz w:val="20"/>
    </w:rPr>
  </w:style>
  <w:style w:type="paragraph" w:styleId="36">
    <w:name w:val="Date"/>
    <w:basedOn w:val="1"/>
    <w:next w:val="1"/>
    <w:link w:val="95"/>
    <w:unhideWhenUsed/>
    <w:qFormat/>
    <w:uiPriority w:val="0"/>
    <w:pPr>
      <w:ind w:left="100" w:leftChars="2500"/>
    </w:pPr>
    <w:rPr>
      <w:sz w:val="20"/>
    </w:rPr>
  </w:style>
  <w:style w:type="paragraph" w:styleId="37">
    <w:name w:val="Body Text Indent 2"/>
    <w:basedOn w:val="1"/>
    <w:link w:val="162"/>
    <w:unhideWhenUsed/>
    <w:qFormat/>
    <w:uiPriority w:val="0"/>
    <w:pPr>
      <w:spacing w:after="120" w:line="480" w:lineRule="auto"/>
      <w:ind w:left="420" w:leftChars="200"/>
    </w:pPr>
    <w:rPr>
      <w:sz w:val="20"/>
    </w:rPr>
  </w:style>
  <w:style w:type="paragraph" w:styleId="38">
    <w:name w:val="endnote text"/>
    <w:basedOn w:val="1"/>
    <w:link w:val="156"/>
    <w:unhideWhenUsed/>
    <w:qFormat/>
    <w:uiPriority w:val="99"/>
    <w:pPr>
      <w:snapToGrid w:val="0"/>
    </w:pPr>
    <w:rPr>
      <w:sz w:val="20"/>
    </w:rPr>
  </w:style>
  <w:style w:type="paragraph" w:styleId="39">
    <w:name w:val="Balloon Text"/>
    <w:basedOn w:val="1"/>
    <w:link w:val="89"/>
    <w:unhideWhenUsed/>
    <w:qFormat/>
    <w:uiPriority w:val="0"/>
    <w:rPr>
      <w:sz w:val="18"/>
      <w:szCs w:val="18"/>
    </w:rPr>
  </w:style>
  <w:style w:type="paragraph" w:styleId="40">
    <w:name w:val="footer"/>
    <w:basedOn w:val="1"/>
    <w:link w:val="93"/>
    <w:unhideWhenUsed/>
    <w:qFormat/>
    <w:uiPriority w:val="0"/>
    <w:pPr>
      <w:tabs>
        <w:tab w:val="center" w:pos="4153"/>
        <w:tab w:val="right" w:pos="8306"/>
      </w:tabs>
      <w:snapToGrid w:val="0"/>
    </w:pPr>
    <w:rPr>
      <w:sz w:val="18"/>
      <w:szCs w:val="18"/>
    </w:rPr>
  </w:style>
  <w:style w:type="paragraph" w:styleId="41">
    <w:name w:val="header"/>
    <w:basedOn w:val="1"/>
    <w:link w:val="92"/>
    <w:unhideWhenUsed/>
    <w:qFormat/>
    <w:uiPriority w:val="0"/>
    <w:pPr>
      <w:pBdr>
        <w:bottom w:val="single" w:color="auto" w:sz="6" w:space="1"/>
      </w:pBdr>
      <w:tabs>
        <w:tab w:val="center" w:pos="4153"/>
        <w:tab w:val="right" w:pos="8306"/>
      </w:tabs>
      <w:snapToGrid w:val="0"/>
      <w:jc w:val="center"/>
    </w:pPr>
    <w:rPr>
      <w:sz w:val="18"/>
      <w:szCs w:val="18"/>
    </w:rPr>
  </w:style>
  <w:style w:type="paragraph" w:styleId="42">
    <w:name w:val="toc 1"/>
    <w:next w:val="1"/>
    <w:autoRedefine/>
    <w:unhideWhenUsed/>
    <w:qFormat/>
    <w:uiPriority w:val="39"/>
    <w:pPr>
      <w:tabs>
        <w:tab w:val="right" w:leader="dot" w:pos="8296"/>
      </w:tabs>
    </w:pPr>
    <w:rPr>
      <w:rFonts w:ascii="宋体" w:hAnsi="宋体" w:eastAsia="宋体" w:cs="Times New Roman"/>
      <w:sz w:val="24"/>
      <w:szCs w:val="24"/>
      <w:lang w:val="en-US" w:eastAsia="zh-CN" w:bidi="ar-SA"/>
    </w:rPr>
  </w:style>
  <w:style w:type="paragraph" w:styleId="43">
    <w:name w:val="toc 4"/>
    <w:basedOn w:val="1"/>
    <w:next w:val="1"/>
    <w:qFormat/>
    <w:uiPriority w:val="39"/>
    <w:pPr>
      <w:spacing w:line="360" w:lineRule="auto"/>
      <w:ind w:left="1260" w:leftChars="600" w:hanging="851" w:hangingChars="200"/>
    </w:pPr>
    <w:rPr>
      <w:rFonts w:ascii="Calibri" w:hAnsi="Calibri"/>
    </w:rPr>
  </w:style>
  <w:style w:type="paragraph" w:styleId="44">
    <w:name w:val="index heading"/>
    <w:basedOn w:val="1"/>
    <w:next w:val="45"/>
    <w:qFormat/>
    <w:uiPriority w:val="0"/>
    <w:pPr>
      <w:spacing w:line="360" w:lineRule="auto"/>
      <w:ind w:hanging="851" w:hangingChars="200"/>
    </w:pPr>
    <w:rPr>
      <w:rFonts w:ascii="Calibri" w:hAnsi="Calibri"/>
      <w:sz w:val="20"/>
    </w:rPr>
  </w:style>
  <w:style w:type="paragraph" w:styleId="45">
    <w:name w:val="index 1"/>
    <w:basedOn w:val="1"/>
    <w:next w:val="1"/>
    <w:autoRedefine/>
    <w:qFormat/>
    <w:uiPriority w:val="0"/>
    <w:pPr>
      <w:spacing w:line="480" w:lineRule="exact"/>
    </w:pPr>
    <w:rPr>
      <w:b/>
      <w:bCs/>
      <w:szCs w:val="21"/>
    </w:rPr>
  </w:style>
  <w:style w:type="paragraph" w:styleId="46">
    <w:name w:val="Subtitle"/>
    <w:basedOn w:val="1"/>
    <w:next w:val="1"/>
    <w:link w:val="95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7">
    <w:name w:val="List"/>
    <w:basedOn w:val="1"/>
    <w:qFormat/>
    <w:uiPriority w:val="0"/>
    <w:pPr>
      <w:adjustRightInd w:val="0"/>
      <w:ind w:left="420" w:hanging="420"/>
      <w:textAlignment w:val="baseline"/>
    </w:pPr>
    <w:rPr>
      <w:rFonts w:ascii="Cambria Math" w:hAnsi="Cambria Math" w:cs="Cambria Math"/>
    </w:rPr>
  </w:style>
  <w:style w:type="paragraph" w:styleId="48">
    <w:name w:val="footnote text"/>
    <w:basedOn w:val="1"/>
    <w:link w:val="278"/>
    <w:qFormat/>
    <w:uiPriority w:val="0"/>
    <w:pPr>
      <w:adjustRightInd w:val="0"/>
      <w:snapToGrid w:val="0"/>
      <w:spacing w:line="360" w:lineRule="auto"/>
      <w:ind w:firstLine="200" w:firstLineChars="200"/>
    </w:pPr>
    <w:rPr>
      <w:rFonts w:hAnsi="Calibri"/>
      <w:sz w:val="18"/>
    </w:rPr>
  </w:style>
  <w:style w:type="paragraph" w:styleId="49">
    <w:name w:val="toc 6"/>
    <w:basedOn w:val="1"/>
    <w:next w:val="1"/>
    <w:qFormat/>
    <w:uiPriority w:val="39"/>
    <w:pPr>
      <w:spacing w:line="360" w:lineRule="auto"/>
      <w:ind w:left="2100" w:leftChars="1000" w:hanging="851" w:hangingChars="200"/>
    </w:pPr>
    <w:rPr>
      <w:rFonts w:ascii="Calibri" w:hAnsi="Calibri"/>
    </w:rPr>
  </w:style>
  <w:style w:type="paragraph" w:styleId="50">
    <w:name w:val="List 5"/>
    <w:basedOn w:val="1"/>
    <w:unhideWhenUsed/>
    <w:qFormat/>
    <w:uiPriority w:val="99"/>
    <w:pPr>
      <w:ind w:left="100" w:leftChars="800" w:hanging="200" w:hangingChars="200"/>
      <w:contextualSpacing/>
    </w:pPr>
  </w:style>
  <w:style w:type="paragraph" w:styleId="51">
    <w:name w:val="Body Text Indent 3"/>
    <w:basedOn w:val="1"/>
    <w:link w:val="202"/>
    <w:unhideWhenUsed/>
    <w:qFormat/>
    <w:uiPriority w:val="0"/>
    <w:pPr>
      <w:spacing w:after="120"/>
      <w:ind w:left="420" w:leftChars="200"/>
    </w:pPr>
    <w:rPr>
      <w:sz w:val="16"/>
      <w:szCs w:val="16"/>
    </w:rPr>
  </w:style>
  <w:style w:type="paragraph" w:styleId="52">
    <w:name w:val="index 7"/>
    <w:basedOn w:val="1"/>
    <w:next w:val="1"/>
    <w:qFormat/>
    <w:uiPriority w:val="0"/>
    <w:pPr>
      <w:spacing w:line="360" w:lineRule="auto"/>
      <w:ind w:left="1470" w:hanging="210" w:hangingChars="200"/>
    </w:pPr>
    <w:rPr>
      <w:rFonts w:ascii="Calibri" w:hAnsi="Calibri"/>
      <w:sz w:val="20"/>
    </w:rPr>
  </w:style>
  <w:style w:type="paragraph" w:styleId="53">
    <w:name w:val="index 9"/>
    <w:basedOn w:val="1"/>
    <w:next w:val="1"/>
    <w:qFormat/>
    <w:uiPriority w:val="0"/>
    <w:pPr>
      <w:spacing w:line="360" w:lineRule="auto"/>
      <w:ind w:left="1890" w:hanging="210" w:hangingChars="200"/>
    </w:pPr>
    <w:rPr>
      <w:rFonts w:ascii="Calibri" w:hAnsi="Calibri"/>
      <w:sz w:val="20"/>
    </w:rPr>
  </w:style>
  <w:style w:type="paragraph" w:styleId="54">
    <w:name w:val="toc 2"/>
    <w:next w:val="1"/>
    <w:autoRedefine/>
    <w:unhideWhenUsed/>
    <w:qFormat/>
    <w:uiPriority w:val="39"/>
    <w:pPr>
      <w:ind w:firstLine="100" w:firstLineChars="100"/>
    </w:pPr>
    <w:rPr>
      <w:rFonts w:ascii="宋体" w:hAnsi="宋体" w:eastAsia="宋体" w:cs="Times New Roman"/>
      <w:sz w:val="21"/>
      <w:szCs w:val="24"/>
      <w:lang w:val="en-US" w:eastAsia="zh-CN" w:bidi="ar-SA"/>
    </w:rPr>
  </w:style>
  <w:style w:type="paragraph" w:styleId="55">
    <w:name w:val="toc 9"/>
    <w:basedOn w:val="1"/>
    <w:next w:val="1"/>
    <w:qFormat/>
    <w:uiPriority w:val="39"/>
    <w:pPr>
      <w:spacing w:line="360" w:lineRule="auto"/>
      <w:ind w:left="3360" w:leftChars="1600" w:hanging="851" w:hangingChars="200"/>
    </w:pPr>
    <w:rPr>
      <w:rFonts w:ascii="Calibri" w:hAnsi="Calibri"/>
    </w:rPr>
  </w:style>
  <w:style w:type="paragraph" w:styleId="56">
    <w:name w:val="Body Text 2"/>
    <w:basedOn w:val="1"/>
    <w:link w:val="107"/>
    <w:unhideWhenUsed/>
    <w:qFormat/>
    <w:uiPriority w:val="0"/>
    <w:pPr>
      <w:spacing w:after="120" w:line="480" w:lineRule="auto"/>
    </w:pPr>
    <w:rPr>
      <w:sz w:val="20"/>
    </w:rPr>
  </w:style>
  <w:style w:type="paragraph" w:styleId="57">
    <w:name w:val="List Continue 2"/>
    <w:basedOn w:val="1"/>
    <w:qFormat/>
    <w:uiPriority w:val="0"/>
    <w:pPr>
      <w:spacing w:after="120"/>
      <w:ind w:left="840" w:leftChars="400"/>
      <w:contextualSpacing/>
    </w:pPr>
    <w:rPr>
      <w:rFonts w:ascii="Cambria Math" w:hAnsi="Cambria Math" w:cs="Cambria Math"/>
    </w:rPr>
  </w:style>
  <w:style w:type="paragraph" w:styleId="58">
    <w:name w:val="HTML Preformatted"/>
    <w:basedOn w:val="1"/>
    <w:link w:val="22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59">
    <w:name w:val="Normal (Web)"/>
    <w:basedOn w:val="1"/>
    <w:link w:val="178"/>
    <w:unhideWhenUsed/>
    <w:qFormat/>
    <w:uiPriority w:val="99"/>
    <w:pPr>
      <w:spacing w:before="100" w:beforeAutospacing="1" w:after="100" w:afterAutospacing="1"/>
    </w:pPr>
  </w:style>
  <w:style w:type="paragraph" w:styleId="60">
    <w:name w:val="index 2"/>
    <w:basedOn w:val="1"/>
    <w:next w:val="1"/>
    <w:qFormat/>
    <w:uiPriority w:val="0"/>
    <w:pPr>
      <w:spacing w:line="360" w:lineRule="auto"/>
      <w:ind w:left="420" w:hanging="210" w:hangingChars="200"/>
    </w:pPr>
    <w:rPr>
      <w:rFonts w:ascii="Calibri" w:hAnsi="Calibri"/>
      <w:sz w:val="20"/>
    </w:rPr>
  </w:style>
  <w:style w:type="paragraph" w:styleId="61">
    <w:name w:val="Title"/>
    <w:basedOn w:val="1"/>
    <w:link w:val="319"/>
    <w:qFormat/>
    <w:uiPriority w:val="0"/>
    <w:pPr>
      <w:spacing w:before="240" w:after="60" w:line="360" w:lineRule="auto"/>
      <w:ind w:hanging="851" w:hangingChars="200"/>
      <w:outlineLvl w:val="0"/>
    </w:pPr>
    <w:rPr>
      <w:rFonts w:ascii="Arial" w:hAnsi="Arial" w:eastAsia="黑体"/>
      <w:sz w:val="36"/>
    </w:rPr>
  </w:style>
  <w:style w:type="paragraph" w:styleId="62">
    <w:name w:val="annotation subject"/>
    <w:basedOn w:val="20"/>
    <w:next w:val="20"/>
    <w:link w:val="143"/>
    <w:unhideWhenUsed/>
    <w:qFormat/>
    <w:uiPriority w:val="99"/>
    <w:rPr>
      <w:rFonts w:ascii="Times New Roman" w:hAnsi="Times New Roman"/>
      <w:b/>
      <w:bCs/>
    </w:rPr>
  </w:style>
  <w:style w:type="paragraph" w:styleId="63">
    <w:name w:val="Body Text First Indent"/>
    <w:basedOn w:val="24"/>
    <w:link w:val="203"/>
    <w:unhideWhenUsed/>
    <w:qFormat/>
    <w:uiPriority w:val="0"/>
    <w:pPr>
      <w:ind w:firstLine="420" w:firstLineChars="100"/>
    </w:pPr>
  </w:style>
  <w:style w:type="paragraph" w:styleId="64">
    <w:name w:val="Body Text First Indent 2"/>
    <w:basedOn w:val="25"/>
    <w:link w:val="208"/>
    <w:qFormat/>
    <w:uiPriority w:val="0"/>
    <w:pPr>
      <w:ind w:firstLine="420" w:firstLineChars="200"/>
    </w:pPr>
    <w:rPr>
      <w:rFonts w:ascii="Times New Roman" w:hAnsi="Times New Roman"/>
      <w:bCs/>
      <w:color w:val="000000"/>
      <w:sz w:val="28"/>
      <w:szCs w:val="28"/>
    </w:rPr>
  </w:style>
  <w:style w:type="table" w:styleId="66">
    <w:name w:val="Table Grid"/>
    <w:basedOn w:val="6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8">
    <w:name w:val="Strong"/>
    <w:qFormat/>
    <w:uiPriority w:val="22"/>
    <w:rPr>
      <w:b/>
      <w:bCs/>
    </w:rPr>
  </w:style>
  <w:style w:type="character" w:styleId="69">
    <w:name w:val="endnote reference"/>
    <w:unhideWhenUsed/>
    <w:qFormat/>
    <w:uiPriority w:val="99"/>
    <w:rPr>
      <w:vertAlign w:val="superscript"/>
    </w:rPr>
  </w:style>
  <w:style w:type="character" w:styleId="70">
    <w:name w:val="page number"/>
    <w:basedOn w:val="67"/>
    <w:qFormat/>
    <w:uiPriority w:val="0"/>
  </w:style>
  <w:style w:type="character" w:styleId="71">
    <w:name w:val="FollowedHyperlink"/>
    <w:unhideWhenUsed/>
    <w:qFormat/>
    <w:uiPriority w:val="99"/>
    <w:rPr>
      <w:color w:val="800080"/>
      <w:u w:val="single"/>
    </w:rPr>
  </w:style>
  <w:style w:type="character" w:styleId="72">
    <w:name w:val="Emphasis"/>
    <w:qFormat/>
    <w:uiPriority w:val="20"/>
    <w:rPr>
      <w:i/>
    </w:rPr>
  </w:style>
  <w:style w:type="character" w:styleId="73">
    <w:name w:val="HTML Definition"/>
    <w:qFormat/>
    <w:uiPriority w:val="0"/>
    <w:rPr>
      <w:rFonts w:ascii="宋体" w:hAnsi="宋体" w:eastAsia="宋体" w:cs="Courier New"/>
      <w:i/>
      <w:iCs/>
      <w:kern w:val="2"/>
      <w:sz w:val="32"/>
      <w:szCs w:val="32"/>
      <w:lang w:val="en-US" w:eastAsia="zh-CN" w:bidi="ar-SA"/>
    </w:rPr>
  </w:style>
  <w:style w:type="character" w:styleId="74">
    <w:name w:val="HTML Typewriter"/>
    <w:autoRedefine/>
    <w:semiHidden/>
    <w:unhideWhenUsed/>
    <w:qFormat/>
    <w:uiPriority w:val="99"/>
    <w:rPr>
      <w:rFonts w:hint="default" w:ascii="Courier New" w:hAnsi="Courier New" w:eastAsia="Times New Roman" w:cs="Courier New"/>
      <w:sz w:val="24"/>
      <w:szCs w:val="24"/>
    </w:rPr>
  </w:style>
  <w:style w:type="character" w:styleId="75">
    <w:name w:val="HTML Variable"/>
    <w:unhideWhenUsed/>
    <w:qFormat/>
    <w:uiPriority w:val="99"/>
    <w:rPr>
      <w:rFonts w:hint="eastAsia" w:ascii="宋体" w:hAnsi="宋体" w:eastAsia="宋体" w:cs="Courier New"/>
      <w:i/>
      <w:iCs/>
      <w:kern w:val="2"/>
      <w:sz w:val="32"/>
      <w:szCs w:val="32"/>
      <w:lang w:val="en-US" w:eastAsia="zh-CN" w:bidi="ar-SA"/>
    </w:rPr>
  </w:style>
  <w:style w:type="character" w:styleId="76">
    <w:name w:val="Hyperlink"/>
    <w:unhideWhenUsed/>
    <w:qFormat/>
    <w:uiPriority w:val="99"/>
    <w:rPr>
      <w:color w:val="0000FF"/>
      <w:u w:val="single"/>
    </w:rPr>
  </w:style>
  <w:style w:type="character" w:styleId="77">
    <w:name w:val="annotation reference"/>
    <w:unhideWhenUsed/>
    <w:qFormat/>
    <w:uiPriority w:val="0"/>
    <w:rPr>
      <w:sz w:val="21"/>
      <w:szCs w:val="21"/>
    </w:rPr>
  </w:style>
  <w:style w:type="character" w:styleId="78">
    <w:name w:val="HTML Cite"/>
    <w:qFormat/>
    <w:uiPriority w:val="99"/>
    <w:rPr>
      <w:rFonts w:ascii="宋体" w:hAnsi="宋体" w:eastAsia="宋体" w:cs="Courier New"/>
      <w:i/>
      <w:iCs/>
      <w:kern w:val="2"/>
      <w:sz w:val="32"/>
      <w:szCs w:val="32"/>
      <w:lang w:val="en-US" w:eastAsia="zh-CN" w:bidi="ar-SA"/>
    </w:rPr>
  </w:style>
  <w:style w:type="character" w:styleId="79">
    <w:name w:val="footnote reference"/>
    <w:qFormat/>
    <w:uiPriority w:val="99"/>
    <w:rPr>
      <w:vertAlign w:val="superscript"/>
    </w:rPr>
  </w:style>
  <w:style w:type="character" w:customStyle="1" w:styleId="80">
    <w:name w:val="标题 1 字符"/>
    <w:link w:val="2"/>
    <w:qFormat/>
    <w:uiPriority w:val="9"/>
    <w:rPr>
      <w:rFonts w:ascii="黑体" w:hAnsi="黑体" w:eastAsia="黑体" w:cs="Times New Roman"/>
      <w:b/>
      <w:sz w:val="24"/>
      <w:szCs w:val="24"/>
    </w:rPr>
  </w:style>
  <w:style w:type="character" w:customStyle="1" w:styleId="81">
    <w:name w:val="标题 2 字符"/>
    <w:link w:val="3"/>
    <w:qFormat/>
    <w:uiPriority w:val="9"/>
    <w:rPr>
      <w:rFonts w:ascii="宋体" w:hAnsi="宋体" w:eastAsia="黑体" w:cs="宋体"/>
      <w:b/>
      <w:bCs/>
      <w:sz w:val="30"/>
      <w:szCs w:val="30"/>
    </w:rPr>
  </w:style>
  <w:style w:type="character" w:customStyle="1" w:styleId="82">
    <w:name w:val="标题 3 字符1"/>
    <w:link w:val="4"/>
    <w:qFormat/>
    <w:uiPriority w:val="0"/>
    <w:rPr>
      <w:rFonts w:ascii="Times New Roman" w:hAnsi="Times New Roman" w:eastAsia="宋体" w:cs="Times New Roman"/>
      <w:b/>
      <w:bCs/>
      <w:sz w:val="32"/>
      <w:szCs w:val="32"/>
    </w:rPr>
  </w:style>
  <w:style w:type="character" w:customStyle="1" w:styleId="83">
    <w:name w:val="标题 4 字符1"/>
    <w:link w:val="5"/>
    <w:qFormat/>
    <w:uiPriority w:val="1"/>
    <w:rPr>
      <w:rFonts w:ascii="Cambria" w:hAnsi="Cambria" w:eastAsia="宋体" w:cs="Times New Roman"/>
      <w:b/>
      <w:bCs/>
      <w:sz w:val="28"/>
      <w:szCs w:val="28"/>
    </w:rPr>
  </w:style>
  <w:style w:type="character" w:customStyle="1" w:styleId="84">
    <w:name w:val="标题 5 字符"/>
    <w:link w:val="6"/>
    <w:qFormat/>
    <w:uiPriority w:val="0"/>
    <w:rPr>
      <w:rFonts w:ascii="宋体" w:hAnsi="宋体"/>
      <w:b/>
      <w:sz w:val="28"/>
      <w:lang w:bidi="ar-SA"/>
    </w:rPr>
  </w:style>
  <w:style w:type="character" w:customStyle="1" w:styleId="85">
    <w:name w:val="标题 6 字符"/>
    <w:link w:val="7"/>
    <w:qFormat/>
    <w:uiPriority w:val="0"/>
    <w:rPr>
      <w:rFonts w:ascii="Cambria" w:hAnsi="Cambria" w:eastAsia="宋体" w:cs="Times New Roman"/>
      <w:b/>
      <w:bCs/>
      <w:sz w:val="24"/>
      <w:szCs w:val="24"/>
    </w:rPr>
  </w:style>
  <w:style w:type="character" w:customStyle="1" w:styleId="86">
    <w:name w:val="标题 7 字符"/>
    <w:link w:val="8"/>
    <w:qFormat/>
    <w:uiPriority w:val="0"/>
    <w:rPr>
      <w:rFonts w:ascii="宋体" w:hAnsi="宋体" w:eastAsia="宋体" w:cs="Times New Roman"/>
      <w:b/>
      <w:bCs/>
      <w:kern w:val="13"/>
      <w:sz w:val="24"/>
      <w:szCs w:val="24"/>
    </w:rPr>
  </w:style>
  <w:style w:type="character" w:customStyle="1" w:styleId="87">
    <w:name w:val="标题 8 字符"/>
    <w:link w:val="9"/>
    <w:qFormat/>
    <w:uiPriority w:val="0"/>
    <w:rPr>
      <w:rFonts w:ascii="Arial" w:hAnsi="Arial" w:eastAsia="黑体" w:cs="Times New Roman"/>
      <w:kern w:val="0"/>
      <w:sz w:val="24"/>
      <w:szCs w:val="20"/>
    </w:rPr>
  </w:style>
  <w:style w:type="character" w:customStyle="1" w:styleId="88">
    <w:name w:val="标题 9 字符"/>
    <w:link w:val="10"/>
    <w:qFormat/>
    <w:uiPriority w:val="0"/>
    <w:rPr>
      <w:rFonts w:ascii="Cambria" w:hAnsi="Cambria" w:eastAsia="宋体" w:cs="Times New Roman"/>
      <w:szCs w:val="21"/>
    </w:rPr>
  </w:style>
  <w:style w:type="character" w:customStyle="1" w:styleId="89">
    <w:name w:val="批注框文本 字符"/>
    <w:link w:val="39"/>
    <w:qFormat/>
    <w:uiPriority w:val="0"/>
    <w:rPr>
      <w:rFonts w:ascii="Times New Roman" w:hAnsi="Times New Roman" w:eastAsia="宋体" w:cs="Times New Roman"/>
      <w:sz w:val="18"/>
      <w:szCs w:val="18"/>
    </w:rPr>
  </w:style>
  <w:style w:type="character" w:customStyle="1" w:styleId="90">
    <w:name w:val="apple-converted-space"/>
    <w:basedOn w:val="67"/>
    <w:qFormat/>
    <w:uiPriority w:val="0"/>
  </w:style>
  <w:style w:type="paragraph" w:styleId="91">
    <w:name w:val="List Paragraph"/>
    <w:basedOn w:val="1"/>
    <w:link w:val="517"/>
    <w:qFormat/>
    <w:uiPriority w:val="0"/>
    <w:pPr>
      <w:ind w:firstLine="420" w:firstLineChars="200"/>
    </w:pPr>
    <w:rPr>
      <w:sz w:val="20"/>
    </w:rPr>
  </w:style>
  <w:style w:type="character" w:customStyle="1" w:styleId="92">
    <w:name w:val="页眉 字符"/>
    <w:link w:val="41"/>
    <w:qFormat/>
    <w:uiPriority w:val="0"/>
    <w:rPr>
      <w:rFonts w:ascii="Times New Roman" w:hAnsi="Times New Roman" w:eastAsia="宋体" w:cs="Times New Roman"/>
      <w:sz w:val="18"/>
      <w:szCs w:val="18"/>
    </w:rPr>
  </w:style>
  <w:style w:type="character" w:customStyle="1" w:styleId="93">
    <w:name w:val="页脚 字符"/>
    <w:link w:val="40"/>
    <w:qFormat/>
    <w:uiPriority w:val="0"/>
    <w:rPr>
      <w:rFonts w:ascii="Times New Roman" w:hAnsi="Times New Roman" w:eastAsia="宋体" w:cs="Times New Roman"/>
      <w:sz w:val="18"/>
      <w:szCs w:val="18"/>
    </w:rPr>
  </w:style>
  <w:style w:type="paragraph" w:customStyle="1" w:styleId="94">
    <w:name w:val="Normal (Web)1"/>
    <w:basedOn w:val="1"/>
    <w:qFormat/>
    <w:uiPriority w:val="99"/>
    <w:pPr>
      <w:spacing w:before="100" w:beforeAutospacing="1" w:after="100" w:afterAutospacing="1"/>
    </w:pPr>
    <w:rPr>
      <w:rFonts w:hint="eastAsia"/>
    </w:rPr>
  </w:style>
  <w:style w:type="character" w:customStyle="1" w:styleId="95">
    <w:name w:val="日期 字符"/>
    <w:link w:val="36"/>
    <w:qFormat/>
    <w:uiPriority w:val="0"/>
    <w:rPr>
      <w:rFonts w:ascii="Times New Roman" w:hAnsi="Times New Roman" w:eastAsia="宋体" w:cs="Times New Roman"/>
      <w:szCs w:val="20"/>
    </w:rPr>
  </w:style>
  <w:style w:type="paragraph" w:customStyle="1" w:styleId="96">
    <w:name w:val="标题1"/>
    <w:next w:val="1"/>
    <w:link w:val="100"/>
    <w:autoRedefine/>
    <w:qFormat/>
    <w:uiPriority w:val="0"/>
    <w:pPr>
      <w:spacing w:line="360" w:lineRule="auto"/>
      <w:ind w:left="1276"/>
      <w:jc w:val="center"/>
      <w:outlineLvl w:val="0"/>
    </w:pPr>
    <w:rPr>
      <w:rFonts w:ascii="Times New Roman" w:hAnsi="Times New Roman" w:eastAsia="黑体" w:cs="Times New Roman"/>
      <w:sz w:val="48"/>
      <w:szCs w:val="48"/>
      <w:lang w:val="en-US" w:eastAsia="zh-CN" w:bidi="ar-SA"/>
    </w:rPr>
  </w:style>
  <w:style w:type="paragraph" w:customStyle="1" w:styleId="97">
    <w:name w:val="w三级标题"/>
    <w:basedOn w:val="1"/>
    <w:next w:val="1"/>
    <w:link w:val="99"/>
    <w:autoRedefine/>
    <w:qFormat/>
    <w:uiPriority w:val="0"/>
    <w:pPr>
      <w:numPr>
        <w:ilvl w:val="2"/>
        <w:numId w:val="1"/>
      </w:numPr>
      <w:spacing w:line="360" w:lineRule="auto"/>
      <w:ind w:left="0"/>
      <w:outlineLvl w:val="2"/>
    </w:pPr>
    <w:rPr>
      <w:rFonts w:ascii="黑体" w:hAnsi="黑体" w:eastAsia="黑体"/>
      <w:b/>
      <w:sz w:val="28"/>
    </w:rPr>
  </w:style>
  <w:style w:type="paragraph" w:customStyle="1" w:styleId="98">
    <w:name w:val="w四级标题"/>
    <w:basedOn w:val="5"/>
    <w:next w:val="1"/>
    <w:link w:val="586"/>
    <w:autoRedefine/>
    <w:qFormat/>
    <w:uiPriority w:val="0"/>
    <w:pPr>
      <w:numPr>
        <w:ilvl w:val="3"/>
        <w:numId w:val="1"/>
      </w:numPr>
      <w:spacing w:before="0" w:after="0" w:line="360" w:lineRule="auto"/>
      <w:ind w:left="0"/>
    </w:pPr>
    <w:rPr>
      <w:rFonts w:ascii="黑体" w:hAnsi="黑体" w:eastAsia="黑体"/>
      <w:color w:val="000000" w:themeColor="text1"/>
      <w:kern w:val="2"/>
      <w:sz w:val="24"/>
      <w:szCs w:val="24"/>
      <w14:textFill>
        <w14:solidFill>
          <w14:schemeClr w14:val="tx1"/>
        </w14:solidFill>
      </w14:textFill>
    </w:rPr>
  </w:style>
  <w:style w:type="character" w:customStyle="1" w:styleId="99">
    <w:name w:val="w三级标题 Char"/>
    <w:link w:val="97"/>
    <w:qFormat/>
    <w:uiPriority w:val="0"/>
    <w:rPr>
      <w:rFonts w:ascii="黑体" w:hAnsi="黑体" w:eastAsia="黑体" w:cs="宋体"/>
      <w:b/>
      <w:sz w:val="28"/>
      <w:szCs w:val="24"/>
    </w:rPr>
  </w:style>
  <w:style w:type="character" w:customStyle="1" w:styleId="100">
    <w:name w:val="标题1 Char"/>
    <w:link w:val="96"/>
    <w:qFormat/>
    <w:uiPriority w:val="0"/>
    <w:rPr>
      <w:rFonts w:ascii="Times New Roman" w:hAnsi="Times New Roman" w:eastAsia="黑体"/>
      <w:sz w:val="48"/>
      <w:szCs w:val="48"/>
    </w:rPr>
  </w:style>
  <w:style w:type="character" w:customStyle="1" w:styleId="101">
    <w:name w:val="纯文本 字符1"/>
    <w:link w:val="33"/>
    <w:qFormat/>
    <w:uiPriority w:val="0"/>
    <w:rPr>
      <w:rFonts w:ascii="宋体" w:hAnsi="Courier New" w:cs="Courier New"/>
      <w:szCs w:val="21"/>
    </w:rPr>
  </w:style>
  <w:style w:type="character" w:customStyle="1" w:styleId="102">
    <w:name w:val="Plain Text Char1"/>
    <w:semiHidden/>
    <w:qFormat/>
    <w:uiPriority w:val="99"/>
    <w:rPr>
      <w:rFonts w:ascii="宋体" w:hAnsi="Courier New" w:eastAsia="宋体" w:cs="Courier New"/>
      <w:szCs w:val="21"/>
    </w:rPr>
  </w:style>
  <w:style w:type="character" w:customStyle="1" w:styleId="103">
    <w:name w:val="正文格式 Char Char"/>
    <w:link w:val="104"/>
    <w:qFormat/>
    <w:uiPriority w:val="0"/>
    <w:rPr>
      <w:rFonts w:ascii="宋体" w:hAnsi="Times New Roman"/>
      <w:spacing w:val="8"/>
      <w:sz w:val="24"/>
      <w:szCs w:val="24"/>
    </w:rPr>
  </w:style>
  <w:style w:type="paragraph" w:customStyle="1" w:styleId="104">
    <w:name w:val="正文格式"/>
    <w:basedOn w:val="1"/>
    <w:next w:val="91"/>
    <w:link w:val="103"/>
    <w:qFormat/>
    <w:uiPriority w:val="0"/>
    <w:pPr>
      <w:spacing w:line="360" w:lineRule="auto"/>
      <w:ind w:firstLine="200" w:firstLineChars="200"/>
    </w:pPr>
    <w:rPr>
      <w:spacing w:val="8"/>
    </w:rPr>
  </w:style>
  <w:style w:type="character" w:customStyle="1" w:styleId="105">
    <w:name w:val="表头A Char"/>
    <w:link w:val="106"/>
    <w:qFormat/>
    <w:uiPriority w:val="0"/>
    <w:rPr>
      <w:b/>
      <w:sz w:val="24"/>
      <w:szCs w:val="24"/>
    </w:rPr>
  </w:style>
  <w:style w:type="paragraph" w:customStyle="1" w:styleId="106">
    <w:name w:val="表头A"/>
    <w:basedOn w:val="1"/>
    <w:link w:val="105"/>
    <w:qFormat/>
    <w:uiPriority w:val="0"/>
    <w:pPr>
      <w:spacing w:line="400" w:lineRule="exact"/>
      <w:jc w:val="center"/>
    </w:pPr>
    <w:rPr>
      <w:rFonts w:ascii="Calibri" w:hAnsi="Calibri"/>
      <w:b/>
    </w:rPr>
  </w:style>
  <w:style w:type="character" w:customStyle="1" w:styleId="107">
    <w:name w:val="正文文本 2 字符"/>
    <w:link w:val="56"/>
    <w:qFormat/>
    <w:uiPriority w:val="0"/>
    <w:rPr>
      <w:rFonts w:ascii="Times New Roman" w:hAnsi="Times New Roman" w:eastAsia="宋体" w:cs="Times New Roman"/>
      <w:szCs w:val="20"/>
    </w:rPr>
  </w:style>
  <w:style w:type="character" w:customStyle="1" w:styleId="108">
    <w:name w:val="正文文本 字符"/>
    <w:link w:val="24"/>
    <w:qFormat/>
    <w:uiPriority w:val="0"/>
    <w:rPr>
      <w:rFonts w:ascii="Times New Roman" w:hAnsi="Times New Roman" w:eastAsia="宋体" w:cs="Times New Roman"/>
      <w:szCs w:val="20"/>
    </w:rPr>
  </w:style>
  <w:style w:type="character" w:customStyle="1" w:styleId="109">
    <w:name w:val="文档结构图 字符"/>
    <w:link w:val="19"/>
    <w:qFormat/>
    <w:uiPriority w:val="0"/>
    <w:rPr>
      <w:rFonts w:ascii="Tahoma" w:hAnsi="Tahoma" w:eastAsia="宋体" w:cs="Tahoma"/>
      <w:sz w:val="16"/>
      <w:szCs w:val="16"/>
    </w:rPr>
  </w:style>
  <w:style w:type="character" w:customStyle="1" w:styleId="110">
    <w:name w:val="批注文字 字符"/>
    <w:link w:val="20"/>
    <w:qFormat/>
    <w:uiPriority w:val="0"/>
    <w:rPr>
      <w:rFonts w:ascii="Calibri" w:hAnsi="Calibri" w:eastAsia="宋体" w:cs="Times New Roman"/>
    </w:rPr>
  </w:style>
  <w:style w:type="character" w:customStyle="1" w:styleId="111">
    <w:name w:val="Comment Text Char1"/>
    <w:semiHidden/>
    <w:qFormat/>
    <w:uiPriority w:val="99"/>
    <w:rPr>
      <w:rFonts w:ascii="Times New Roman" w:hAnsi="Times New Roman" w:eastAsia="宋体" w:cs="Times New Roman"/>
      <w:szCs w:val="20"/>
    </w:rPr>
  </w:style>
  <w:style w:type="character" w:customStyle="1" w:styleId="112">
    <w:name w:val="cucd-0 Char1"/>
    <w:link w:val="113"/>
    <w:qFormat/>
    <w:uiPriority w:val="0"/>
    <w:rPr>
      <w:kern w:val="2"/>
      <w:sz w:val="24"/>
      <w:szCs w:val="24"/>
      <w:lang w:val="en-US" w:eastAsia="zh-CN" w:bidi="ar-SA"/>
    </w:rPr>
  </w:style>
  <w:style w:type="paragraph" w:customStyle="1" w:styleId="113">
    <w:name w:val="cucd-0"/>
    <w:link w:val="112"/>
    <w:qFormat/>
    <w:uiPriority w:val="0"/>
    <w:pPr>
      <w:spacing w:line="360" w:lineRule="auto"/>
      <w:ind w:left="851" w:firstLine="480" w:firstLineChars="200"/>
      <w:jc w:val="both"/>
    </w:pPr>
    <w:rPr>
      <w:rFonts w:ascii="Calibri" w:hAnsi="Calibri" w:eastAsia="宋体" w:cs="Times New Roman"/>
      <w:kern w:val="2"/>
      <w:sz w:val="24"/>
      <w:szCs w:val="24"/>
      <w:lang w:val="en-US" w:eastAsia="zh-CN" w:bidi="ar-SA"/>
    </w:rPr>
  </w:style>
  <w:style w:type="paragraph" w:customStyle="1" w:styleId="114">
    <w:name w:val="表头标题格式"/>
    <w:basedOn w:val="1"/>
    <w:link w:val="155"/>
    <w:qFormat/>
    <w:uiPriority w:val="0"/>
    <w:pPr>
      <w:tabs>
        <w:tab w:val="left" w:pos="360"/>
        <w:tab w:val="left" w:pos="1620"/>
      </w:tabs>
      <w:spacing w:line="360" w:lineRule="auto"/>
      <w:jc w:val="center"/>
    </w:pPr>
    <w:rPr>
      <w:rFonts w:ascii="黑体" w:eastAsia="黑体"/>
      <w:b/>
      <w:bCs/>
    </w:rPr>
  </w:style>
  <w:style w:type="table" w:customStyle="1" w:styleId="115">
    <w:name w:val="网格型11"/>
    <w:basedOn w:val="65"/>
    <w:qFormat/>
    <w:uiPriority w:val="0"/>
    <w:pPr>
      <w:widowControl w:val="0"/>
      <w:spacing w:line="360" w:lineRule="exact"/>
      <w:jc w:val="center"/>
    </w:pPr>
    <w:rPr>
      <w:rFonts w:ascii="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116">
    <w:name w:val="正文A"/>
    <w:basedOn w:val="104"/>
    <w:link w:val="194"/>
    <w:qFormat/>
    <w:uiPriority w:val="0"/>
    <w:pPr>
      <w:spacing w:line="500" w:lineRule="exact"/>
      <w:ind w:firstLine="480" w:firstLineChars="0"/>
    </w:pPr>
    <w:rPr>
      <w:rFonts w:eastAsia="黑体"/>
      <w:b/>
      <w:bCs/>
      <w:color w:val="000000"/>
      <w:spacing w:val="0"/>
      <w:szCs w:val="26"/>
    </w:rPr>
  </w:style>
  <w:style w:type="paragraph" w:customStyle="1" w:styleId="117">
    <w:name w:val="表格后空行"/>
    <w:basedOn w:val="1"/>
    <w:link w:val="216"/>
    <w:qFormat/>
    <w:uiPriority w:val="0"/>
    <w:pPr>
      <w:spacing w:line="240" w:lineRule="exact"/>
    </w:pPr>
    <w:rPr>
      <w:sz w:val="18"/>
    </w:rPr>
  </w:style>
  <w:style w:type="paragraph" w:customStyle="1" w:styleId="118">
    <w:name w:val="表格内字体"/>
    <w:basedOn w:val="1"/>
    <w:link w:val="252"/>
    <w:qFormat/>
    <w:uiPriority w:val="0"/>
    <w:pPr>
      <w:spacing w:line="360" w:lineRule="exact"/>
      <w:jc w:val="center"/>
      <w:textAlignment w:val="center"/>
    </w:pPr>
    <w:rPr>
      <w:sz w:val="20"/>
      <w:szCs w:val="21"/>
    </w:rPr>
  </w:style>
  <w:style w:type="paragraph" w:customStyle="1" w:styleId="119">
    <w:name w:val="表格标题1"/>
    <w:basedOn w:val="1"/>
    <w:qFormat/>
    <w:uiPriority w:val="99"/>
    <w:pPr>
      <w:spacing w:line="360" w:lineRule="auto"/>
      <w:jc w:val="center"/>
    </w:pPr>
    <w:rPr>
      <w:rFonts w:ascii="黑体" w:eastAsia="黑体"/>
      <w:b/>
      <w:color w:val="000000"/>
    </w:rPr>
  </w:style>
  <w:style w:type="paragraph" w:customStyle="1" w:styleId="120">
    <w:name w:val="表后空格"/>
    <w:basedOn w:val="1"/>
    <w:link w:val="205"/>
    <w:qFormat/>
    <w:uiPriority w:val="0"/>
    <w:pPr>
      <w:spacing w:line="240" w:lineRule="exact"/>
      <w:ind w:firstLine="480" w:firstLineChars="200"/>
    </w:pPr>
    <w:rPr>
      <w:sz w:val="20"/>
    </w:rPr>
  </w:style>
  <w:style w:type="paragraph" w:customStyle="1" w:styleId="121">
    <w:name w:val="表格标题"/>
    <w:basedOn w:val="33"/>
    <w:next w:val="33"/>
    <w:qFormat/>
    <w:uiPriority w:val="99"/>
    <w:pPr>
      <w:adjustRightInd w:val="0"/>
      <w:spacing w:line="360" w:lineRule="auto"/>
      <w:jc w:val="center"/>
      <w:textAlignment w:val="baseline"/>
    </w:pPr>
    <w:rPr>
      <w:rFonts w:ascii="黑体" w:hAnsi="Times New Roman" w:eastAsia="黑体"/>
      <w:b/>
      <w:sz w:val="24"/>
      <w:szCs w:val="24"/>
    </w:rPr>
  </w:style>
  <w:style w:type="paragraph" w:customStyle="1" w:styleId="122">
    <w:name w:val="表后空行格式"/>
    <w:basedOn w:val="104"/>
    <w:qFormat/>
    <w:uiPriority w:val="99"/>
    <w:pPr>
      <w:spacing w:line="240" w:lineRule="exact"/>
      <w:ind w:firstLine="0" w:firstLineChars="0"/>
    </w:pPr>
    <w:rPr>
      <w:spacing w:val="0"/>
      <w:sz w:val="18"/>
    </w:rPr>
  </w:style>
  <w:style w:type="paragraph" w:customStyle="1" w:styleId="123">
    <w:name w:val="表格内容A"/>
    <w:basedOn w:val="1"/>
    <w:link w:val="124"/>
    <w:qFormat/>
    <w:uiPriority w:val="0"/>
    <w:pPr>
      <w:jc w:val="center"/>
    </w:pPr>
    <w:rPr>
      <w:sz w:val="20"/>
      <w:szCs w:val="21"/>
    </w:rPr>
  </w:style>
  <w:style w:type="character" w:customStyle="1" w:styleId="124">
    <w:name w:val="表格内容A Char"/>
    <w:link w:val="123"/>
    <w:qFormat/>
    <w:uiPriority w:val="0"/>
    <w:rPr>
      <w:rFonts w:ascii="Times New Roman" w:hAnsi="Times New Roman" w:eastAsia="宋体" w:cs="Times New Roman"/>
      <w:kern w:val="0"/>
      <w:sz w:val="20"/>
      <w:szCs w:val="21"/>
    </w:rPr>
  </w:style>
  <w:style w:type="paragraph" w:customStyle="1" w:styleId="125">
    <w:name w:val="第一章章节"/>
    <w:basedOn w:val="1"/>
    <w:qFormat/>
    <w:uiPriority w:val="99"/>
    <w:pPr>
      <w:spacing w:afterLines="50" w:line="360" w:lineRule="auto"/>
      <w:jc w:val="center"/>
      <w:outlineLvl w:val="0"/>
    </w:pPr>
    <w:rPr>
      <w:rFonts w:eastAsia="隶书"/>
      <w:b/>
      <w:sz w:val="44"/>
      <w:szCs w:val="44"/>
    </w:rPr>
  </w:style>
  <w:style w:type="paragraph" w:customStyle="1" w:styleId="126">
    <w:name w:val="DAQO表格标题"/>
    <w:basedOn w:val="1"/>
    <w:link w:val="127"/>
    <w:qFormat/>
    <w:uiPriority w:val="0"/>
    <w:pPr>
      <w:spacing w:line="336" w:lineRule="auto"/>
      <w:jc w:val="center"/>
    </w:pPr>
    <w:rPr>
      <w:rFonts w:ascii="黑体" w:hAnsi="Calibri" w:eastAsia="黑体"/>
    </w:rPr>
  </w:style>
  <w:style w:type="character" w:customStyle="1" w:styleId="127">
    <w:name w:val="DAQO表格标题 Char"/>
    <w:link w:val="126"/>
    <w:qFormat/>
    <w:locked/>
    <w:uiPriority w:val="0"/>
    <w:rPr>
      <w:rFonts w:ascii="黑体" w:hAnsi="Calibri" w:eastAsia="黑体" w:cs="Times New Roman"/>
      <w:sz w:val="24"/>
      <w:szCs w:val="24"/>
    </w:rPr>
  </w:style>
  <w:style w:type="paragraph" w:customStyle="1" w:styleId="128">
    <w:name w:val="A正文"/>
    <w:basedOn w:val="104"/>
    <w:link w:val="129"/>
    <w:qFormat/>
    <w:uiPriority w:val="0"/>
    <w:pPr>
      <w:ind w:firstLine="480"/>
    </w:pPr>
    <w:rPr>
      <w:rFonts w:ascii="Times New Roman"/>
      <w:spacing w:val="0"/>
    </w:rPr>
  </w:style>
  <w:style w:type="character" w:customStyle="1" w:styleId="129">
    <w:name w:val="A正文 Char"/>
    <w:link w:val="128"/>
    <w:qFormat/>
    <w:uiPriority w:val="0"/>
    <w:rPr>
      <w:rFonts w:ascii="Times New Roman" w:hAnsi="Times New Roman"/>
      <w:kern w:val="0"/>
      <w:sz w:val="24"/>
      <w:szCs w:val="24"/>
    </w:rPr>
  </w:style>
  <w:style w:type="character" w:customStyle="1" w:styleId="130">
    <w:name w:val="正文文本缩进 字符"/>
    <w:link w:val="25"/>
    <w:qFormat/>
    <w:uiPriority w:val="0"/>
    <w:rPr>
      <w:rFonts w:ascii="Calibri" w:hAnsi="Calibri" w:eastAsia="宋体" w:cs="Times New Roman"/>
    </w:rPr>
  </w:style>
  <w:style w:type="paragraph" w:customStyle="1" w:styleId="131">
    <w:name w:val="标题 12"/>
    <w:basedOn w:val="1"/>
    <w:qFormat/>
    <w:uiPriority w:val="99"/>
    <w:pPr>
      <w:snapToGrid w:val="0"/>
      <w:spacing w:line="360" w:lineRule="auto"/>
    </w:pPr>
  </w:style>
  <w:style w:type="paragraph" w:customStyle="1" w:styleId="132">
    <w:name w:val="1.1二级标题"/>
    <w:basedOn w:val="1"/>
    <w:qFormat/>
    <w:uiPriority w:val="99"/>
    <w:pPr>
      <w:spacing w:line="360" w:lineRule="auto"/>
      <w:ind w:firstLine="200" w:firstLineChars="200"/>
      <w:outlineLvl w:val="1"/>
    </w:pPr>
    <w:rPr>
      <w:rFonts w:eastAsia="黑体"/>
      <w:b/>
      <w:sz w:val="30"/>
    </w:rPr>
  </w:style>
  <w:style w:type="paragraph" w:customStyle="1" w:styleId="133">
    <w:name w:val="A一级"/>
    <w:basedOn w:val="96"/>
    <w:qFormat/>
    <w:uiPriority w:val="99"/>
    <w:pPr>
      <w:ind w:left="0"/>
    </w:pPr>
    <w:rPr>
      <w:sz w:val="36"/>
      <w:szCs w:val="36"/>
    </w:rPr>
  </w:style>
  <w:style w:type="paragraph" w:customStyle="1" w:styleId="134">
    <w:name w:val="A四级"/>
    <w:basedOn w:val="5"/>
    <w:link w:val="135"/>
    <w:qFormat/>
    <w:uiPriority w:val="0"/>
    <w:pPr>
      <w:spacing w:before="0" w:after="0" w:line="360" w:lineRule="auto"/>
      <w:ind w:left="567"/>
    </w:pPr>
    <w:rPr>
      <w:rFonts w:ascii="Times New Roman" w:hAnsi="Times New Roman"/>
      <w:sz w:val="24"/>
    </w:rPr>
  </w:style>
  <w:style w:type="character" w:customStyle="1" w:styleId="135">
    <w:name w:val="A四级 Char"/>
    <w:link w:val="134"/>
    <w:qFormat/>
    <w:uiPriority w:val="0"/>
    <w:rPr>
      <w:rFonts w:ascii="Times New Roman" w:hAnsi="Times New Roman" w:eastAsia="宋体" w:cs="Times New Roman"/>
      <w:b/>
      <w:bCs/>
      <w:kern w:val="0"/>
      <w:sz w:val="24"/>
      <w:szCs w:val="28"/>
    </w:rPr>
  </w:style>
  <w:style w:type="character" w:customStyle="1" w:styleId="136">
    <w:name w:val="ENFI表体注 Char"/>
    <w:link w:val="137"/>
    <w:qFormat/>
    <w:uiPriority w:val="0"/>
    <w:rPr>
      <w:rFonts w:ascii="仿宋_GB2312" w:hAnsi="Courier New" w:eastAsia="仿宋_GB2312"/>
      <w:spacing w:val="-6"/>
      <w:sz w:val="24"/>
    </w:rPr>
  </w:style>
  <w:style w:type="paragraph" w:customStyle="1" w:styleId="137">
    <w:name w:val="ENFI表体注"/>
    <w:basedOn w:val="1"/>
    <w:link w:val="136"/>
    <w:qFormat/>
    <w:uiPriority w:val="0"/>
    <w:pPr>
      <w:adjustRightInd w:val="0"/>
      <w:snapToGrid w:val="0"/>
      <w:spacing w:line="240" w:lineRule="atLeast"/>
      <w:ind w:left="-96" w:right="-85"/>
      <w:textAlignment w:val="baseline"/>
    </w:pPr>
    <w:rPr>
      <w:rFonts w:ascii="仿宋_GB2312" w:hAnsi="Courier New" w:eastAsia="仿宋_GB2312"/>
      <w:spacing w:val="-6"/>
    </w:rPr>
  </w:style>
  <w:style w:type="paragraph" w:customStyle="1" w:styleId="138">
    <w:name w:val="表格hks"/>
    <w:next w:val="1"/>
    <w:qFormat/>
    <w:uiPriority w:val="99"/>
    <w:pPr>
      <w:jc w:val="center"/>
    </w:pPr>
    <w:rPr>
      <w:rFonts w:ascii="Times New Roman" w:hAnsi="Times New Roman" w:eastAsia="宋体" w:cs="Times New Roman"/>
      <w:kern w:val="2"/>
      <w:sz w:val="21"/>
      <w:szCs w:val="22"/>
      <w:lang w:val="en-US" w:eastAsia="zh-CN" w:bidi="ar-SA"/>
    </w:rPr>
  </w:style>
  <w:style w:type="paragraph" w:customStyle="1" w:styleId="139">
    <w:name w:val="J表"/>
    <w:basedOn w:val="1"/>
    <w:link w:val="141"/>
    <w:qFormat/>
    <w:uiPriority w:val="0"/>
    <w:pPr>
      <w:spacing w:beforeLines="30"/>
      <w:jc w:val="center"/>
    </w:pPr>
    <w:rPr>
      <w:rFonts w:eastAsia="黑体"/>
      <w:color w:val="000000"/>
    </w:rPr>
  </w:style>
  <w:style w:type="paragraph" w:customStyle="1" w:styleId="140">
    <w:name w:val="公式"/>
    <w:basedOn w:val="1"/>
    <w:link w:val="142"/>
    <w:qFormat/>
    <w:uiPriority w:val="0"/>
    <w:pPr>
      <w:keepLines/>
      <w:wordWrap w:val="0"/>
      <w:topLinePunct/>
      <w:ind w:right="-50" w:rightChars="-50" w:firstLine="200" w:firstLineChars="200"/>
      <w:outlineLvl w:val="2"/>
    </w:pPr>
    <w:rPr>
      <w:rFonts w:eastAsia="黑体"/>
      <w:color w:val="000000"/>
    </w:rPr>
  </w:style>
  <w:style w:type="character" w:customStyle="1" w:styleId="141">
    <w:name w:val="J表 Char"/>
    <w:link w:val="139"/>
    <w:qFormat/>
    <w:uiPriority w:val="0"/>
    <w:rPr>
      <w:rFonts w:ascii="Times New Roman" w:hAnsi="Times New Roman" w:eastAsia="黑体" w:cs="Times New Roman"/>
      <w:color w:val="000000"/>
      <w:kern w:val="0"/>
      <w:sz w:val="24"/>
      <w:szCs w:val="24"/>
    </w:rPr>
  </w:style>
  <w:style w:type="character" w:customStyle="1" w:styleId="142">
    <w:name w:val="公式 Char"/>
    <w:link w:val="140"/>
    <w:qFormat/>
    <w:uiPriority w:val="0"/>
    <w:rPr>
      <w:rFonts w:ascii="Times New Roman" w:hAnsi="Times New Roman" w:eastAsia="黑体" w:cs="Times New Roman"/>
      <w:color w:val="000000"/>
      <w:kern w:val="0"/>
      <w:sz w:val="24"/>
      <w:szCs w:val="24"/>
    </w:rPr>
  </w:style>
  <w:style w:type="character" w:customStyle="1" w:styleId="143">
    <w:name w:val="批注主题 字符"/>
    <w:link w:val="62"/>
    <w:qFormat/>
    <w:uiPriority w:val="99"/>
    <w:rPr>
      <w:rFonts w:ascii="Times New Roman" w:hAnsi="Times New Roman" w:eastAsia="宋体" w:cs="Times New Roman"/>
      <w:b/>
      <w:bCs/>
      <w:szCs w:val="20"/>
    </w:rPr>
  </w:style>
  <w:style w:type="paragraph" w:customStyle="1" w:styleId="144">
    <w:name w:val="标题二！！！！！"/>
    <w:basedOn w:val="3"/>
    <w:link w:val="145"/>
    <w:qFormat/>
    <w:uiPriority w:val="0"/>
    <w:pPr>
      <w:numPr>
        <w:ilvl w:val="0"/>
        <w:numId w:val="0"/>
      </w:numPr>
      <w:tabs>
        <w:tab w:val="left" w:pos="0"/>
      </w:tabs>
      <w:overflowPunct/>
      <w:autoSpaceDE/>
      <w:autoSpaceDN/>
      <w:spacing w:before="120" w:after="120" w:line="500" w:lineRule="exact"/>
      <w:textAlignment w:val="auto"/>
    </w:pPr>
    <w:rPr>
      <w:rFonts w:ascii="楷体_GB2312" w:hAnsi="楷体_GB2312" w:eastAsia="楷体_GB2312"/>
    </w:rPr>
  </w:style>
  <w:style w:type="character" w:customStyle="1" w:styleId="145">
    <w:name w:val="标题二！！！！！ Char"/>
    <w:link w:val="144"/>
    <w:qFormat/>
    <w:uiPriority w:val="0"/>
    <w:rPr>
      <w:rFonts w:ascii="楷体_GB2312" w:hAnsi="楷体_GB2312" w:eastAsia="楷体_GB2312" w:cs="楷体_GB2312"/>
      <w:b/>
      <w:bCs/>
      <w:kern w:val="0"/>
      <w:sz w:val="30"/>
      <w:szCs w:val="30"/>
    </w:rPr>
  </w:style>
  <w:style w:type="paragraph" w:customStyle="1" w:styleId="146">
    <w:name w:val="Default"/>
    <w:link w:val="147"/>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47">
    <w:name w:val="Default Char"/>
    <w:link w:val="146"/>
    <w:qFormat/>
    <w:uiPriority w:val="0"/>
    <w:rPr>
      <w:rFonts w:ascii="宋体" w:hAnsi="Times New Roman"/>
      <w:color w:val="000000"/>
      <w:sz w:val="24"/>
      <w:szCs w:val="24"/>
      <w:lang w:bidi="ar-SA"/>
    </w:rPr>
  </w:style>
  <w:style w:type="character" w:customStyle="1" w:styleId="148">
    <w:name w:val="题注 字符"/>
    <w:link w:val="16"/>
    <w:qFormat/>
    <w:locked/>
    <w:uiPriority w:val="0"/>
    <w:rPr>
      <w:rFonts w:ascii="宋体" w:hAnsi="Times New Roman" w:eastAsia="黑体" w:cs="Arial"/>
      <w:sz w:val="24"/>
      <w:szCs w:val="20"/>
    </w:rPr>
  </w:style>
  <w:style w:type="character" w:customStyle="1" w:styleId="149">
    <w:name w:val="公式说明 Char"/>
    <w:link w:val="150"/>
    <w:qFormat/>
    <w:locked/>
    <w:uiPriority w:val="0"/>
    <w:rPr>
      <w:rFonts w:eastAsia="仿宋_GB2312"/>
      <w:sz w:val="22"/>
    </w:rPr>
  </w:style>
  <w:style w:type="paragraph" w:customStyle="1" w:styleId="150">
    <w:name w:val="公式说明"/>
    <w:basedOn w:val="1"/>
    <w:link w:val="149"/>
    <w:qFormat/>
    <w:uiPriority w:val="0"/>
    <w:pPr>
      <w:tabs>
        <w:tab w:val="left" w:pos="1920"/>
      </w:tabs>
      <w:adjustRightInd w:val="0"/>
      <w:snapToGrid w:val="0"/>
      <w:spacing w:line="620" w:lineRule="exact"/>
      <w:ind w:firstLine="200" w:firstLineChars="200"/>
    </w:pPr>
    <w:rPr>
      <w:rFonts w:ascii="Calibri" w:hAnsi="Calibri" w:eastAsia="仿宋_GB2312"/>
      <w:sz w:val="22"/>
    </w:rPr>
  </w:style>
  <w:style w:type="character" w:customStyle="1" w:styleId="151">
    <w:name w:val="表格内容 Char"/>
    <w:link w:val="152"/>
    <w:qFormat/>
    <w:locked/>
    <w:uiPriority w:val="0"/>
    <w:rPr>
      <w:rFonts w:eastAsia="仿宋_GB2312"/>
    </w:rPr>
  </w:style>
  <w:style w:type="paragraph" w:customStyle="1" w:styleId="152">
    <w:name w:val="表格内容"/>
    <w:basedOn w:val="1"/>
    <w:link w:val="151"/>
    <w:qFormat/>
    <w:uiPriority w:val="0"/>
    <w:pPr>
      <w:adjustRightInd w:val="0"/>
      <w:snapToGrid w:val="0"/>
      <w:jc w:val="center"/>
    </w:pPr>
    <w:rPr>
      <w:rFonts w:ascii="Calibri" w:hAnsi="Calibri" w:eastAsia="仿宋_GB2312"/>
      <w:sz w:val="20"/>
    </w:rPr>
  </w:style>
  <w:style w:type="character" w:customStyle="1" w:styleId="153">
    <w:name w:val="标题 4 字符"/>
    <w:qFormat/>
    <w:uiPriority w:val="1"/>
    <w:rPr>
      <w:rFonts w:ascii="Arial" w:hAnsi="Arial" w:eastAsia="黑体"/>
      <w:b/>
      <w:bCs/>
      <w:kern w:val="2"/>
      <w:sz w:val="28"/>
      <w:szCs w:val="28"/>
      <w:lang w:val="en-US" w:eastAsia="zh-CN" w:bidi="ar-SA"/>
    </w:rPr>
  </w:style>
  <w:style w:type="character" w:customStyle="1" w:styleId="154">
    <w:name w:val="正文缩进 字符"/>
    <w:link w:val="15"/>
    <w:qFormat/>
    <w:locked/>
    <w:uiPriority w:val="0"/>
    <w:rPr>
      <w:sz w:val="24"/>
      <w:szCs w:val="24"/>
    </w:rPr>
  </w:style>
  <w:style w:type="character" w:customStyle="1" w:styleId="155">
    <w:name w:val="表头标题格式 Char Char"/>
    <w:link w:val="114"/>
    <w:qFormat/>
    <w:uiPriority w:val="0"/>
    <w:rPr>
      <w:rFonts w:ascii="黑体" w:hAnsi="宋体" w:eastAsia="黑体" w:cs="宋体"/>
      <w:b/>
      <w:bCs/>
      <w:sz w:val="24"/>
      <w:szCs w:val="20"/>
    </w:rPr>
  </w:style>
  <w:style w:type="character" w:customStyle="1" w:styleId="156">
    <w:name w:val="尾注文本 字符"/>
    <w:link w:val="38"/>
    <w:qFormat/>
    <w:uiPriority w:val="99"/>
    <w:rPr>
      <w:rFonts w:ascii="Times New Roman" w:hAnsi="Times New Roman" w:eastAsia="宋体" w:cs="Times New Roman"/>
      <w:szCs w:val="20"/>
    </w:rPr>
  </w:style>
  <w:style w:type="character" w:customStyle="1" w:styleId="157">
    <w:name w:val="正文-ls Char"/>
    <w:link w:val="158"/>
    <w:qFormat/>
    <w:locked/>
    <w:uiPriority w:val="0"/>
    <w:rPr>
      <w:rFonts w:hAnsi="宋体" w:cs="宋体"/>
      <w:sz w:val="24"/>
    </w:rPr>
  </w:style>
  <w:style w:type="paragraph" w:customStyle="1" w:styleId="158">
    <w:name w:val="正文-ls"/>
    <w:basedOn w:val="1"/>
    <w:link w:val="157"/>
    <w:qFormat/>
    <w:uiPriority w:val="0"/>
    <w:pPr>
      <w:spacing w:line="360" w:lineRule="auto"/>
      <w:ind w:firstLine="200" w:firstLineChars="200"/>
    </w:pPr>
    <w:rPr>
      <w:rFonts w:ascii="Calibri"/>
    </w:rPr>
  </w:style>
  <w:style w:type="paragraph" w:customStyle="1" w:styleId="159">
    <w:name w:val="样式4"/>
    <w:basedOn w:val="1"/>
    <w:link w:val="220"/>
    <w:qFormat/>
    <w:uiPriority w:val="0"/>
    <w:pPr>
      <w:tabs>
        <w:tab w:val="left" w:pos="9128"/>
      </w:tabs>
      <w:adjustRightInd w:val="0"/>
      <w:snapToGrid w:val="0"/>
      <w:spacing w:line="500" w:lineRule="exact"/>
      <w:jc w:val="center"/>
    </w:pPr>
    <w:rPr>
      <w:sz w:val="20"/>
    </w:rPr>
  </w:style>
  <w:style w:type="paragraph" w:customStyle="1" w:styleId="160">
    <w:name w:val="B表内字"/>
    <w:basedOn w:val="1"/>
    <w:qFormat/>
    <w:uiPriority w:val="0"/>
    <w:pPr>
      <w:jc w:val="center"/>
    </w:pPr>
  </w:style>
  <w:style w:type="paragraph" w:customStyle="1" w:styleId="161">
    <w:name w:val="A图表标题"/>
    <w:basedOn w:val="1"/>
    <w:next w:val="37"/>
    <w:link w:val="518"/>
    <w:qFormat/>
    <w:uiPriority w:val="0"/>
    <w:pPr>
      <w:spacing w:line="360" w:lineRule="auto"/>
      <w:jc w:val="center"/>
    </w:pPr>
    <w:rPr>
      <w:rFonts w:ascii="黑体" w:hAnsi="黑体" w:eastAsia="黑体"/>
      <w:b/>
      <w:color w:val="000000"/>
      <w:szCs w:val="28"/>
    </w:rPr>
  </w:style>
  <w:style w:type="character" w:customStyle="1" w:styleId="162">
    <w:name w:val="正文文本缩进 2 字符"/>
    <w:link w:val="37"/>
    <w:qFormat/>
    <w:uiPriority w:val="0"/>
    <w:rPr>
      <w:rFonts w:ascii="Times New Roman" w:hAnsi="Times New Roman" w:eastAsia="宋体" w:cs="Times New Roman"/>
      <w:szCs w:val="20"/>
    </w:rPr>
  </w:style>
  <w:style w:type="paragraph" w:customStyle="1" w:styleId="163">
    <w:name w:val="表格"/>
    <w:next w:val="1"/>
    <w:link w:val="164"/>
    <w:qFormat/>
    <w:uiPriority w:val="0"/>
    <w:pPr>
      <w:spacing w:before="60" w:after="40"/>
      <w:jc w:val="center"/>
      <w:textAlignment w:val="center"/>
    </w:pPr>
    <w:rPr>
      <w:rFonts w:ascii="Times New Roman" w:hAnsi="Times New Roman" w:eastAsia="宋体" w:cs="Times New Roman"/>
      <w:lang w:val="en-US" w:eastAsia="zh-CN" w:bidi="ar-SA"/>
    </w:rPr>
  </w:style>
  <w:style w:type="character" w:customStyle="1" w:styleId="164">
    <w:name w:val="表格 Char"/>
    <w:link w:val="163"/>
    <w:qFormat/>
    <w:uiPriority w:val="0"/>
    <w:rPr>
      <w:rFonts w:ascii="Times New Roman" w:hAnsi="Times New Roman"/>
      <w:lang w:val="en-US" w:eastAsia="zh-CN" w:bidi="ar-SA"/>
    </w:rPr>
  </w:style>
  <w:style w:type="paragraph" w:customStyle="1" w:styleId="165">
    <w:name w:val="邓表头标题"/>
    <w:basedOn w:val="1"/>
    <w:link w:val="166"/>
    <w:qFormat/>
    <w:uiPriority w:val="0"/>
    <w:pPr>
      <w:snapToGrid w:val="0"/>
      <w:jc w:val="center"/>
    </w:pPr>
    <w:rPr>
      <w:rFonts w:ascii="黑体" w:hAnsi="黑体" w:eastAsia="黑体"/>
      <w:b/>
      <w:bCs/>
      <w:sz w:val="20"/>
      <w:szCs w:val="21"/>
    </w:rPr>
  </w:style>
  <w:style w:type="character" w:customStyle="1" w:styleId="166">
    <w:name w:val="邓表头标题 Char"/>
    <w:link w:val="165"/>
    <w:qFormat/>
    <w:uiPriority w:val="0"/>
    <w:rPr>
      <w:rFonts w:ascii="黑体" w:hAnsi="黑体" w:eastAsia="黑体" w:cs="Times New Roman"/>
      <w:b/>
      <w:bCs/>
      <w:szCs w:val="21"/>
    </w:rPr>
  </w:style>
  <w:style w:type="character" w:customStyle="1" w:styleId="167">
    <w:name w:val="font51"/>
    <w:qFormat/>
    <w:uiPriority w:val="0"/>
    <w:rPr>
      <w:rFonts w:ascii="Times New Roman" w:hAnsi="Times New Roman" w:cs="Times New Roman"/>
      <w:color w:val="000000"/>
      <w:sz w:val="21"/>
      <w:szCs w:val="21"/>
      <w:u w:val="none"/>
    </w:rPr>
  </w:style>
  <w:style w:type="character" w:customStyle="1" w:styleId="168">
    <w:name w:val="正文格式 Char"/>
    <w:qFormat/>
    <w:locked/>
    <w:uiPriority w:val="0"/>
    <w:rPr>
      <w:rFonts w:ascii="黑体" w:hAnsi="黑体" w:eastAsia="黑体"/>
      <w:b/>
      <w:sz w:val="24"/>
      <w:szCs w:val="24"/>
    </w:rPr>
  </w:style>
  <w:style w:type="character" w:customStyle="1" w:styleId="169">
    <w:name w:val="表头标题格式 Char"/>
    <w:qFormat/>
    <w:locked/>
    <w:uiPriority w:val="0"/>
    <w:rPr>
      <w:rFonts w:ascii="黑体" w:hAnsi="宋体" w:eastAsia="黑体" w:cs="宋体"/>
      <w:b/>
      <w:bCs/>
      <w:sz w:val="24"/>
    </w:rPr>
  </w:style>
  <w:style w:type="character" w:customStyle="1" w:styleId="170">
    <w:name w:val="正文 楷体 Char Char"/>
    <w:link w:val="171"/>
    <w:qFormat/>
    <w:locked/>
    <w:uiPriority w:val="0"/>
    <w:rPr>
      <w:rFonts w:ascii="楷体_GB2312" w:hAnsi="楷体_GB2312" w:eastAsia="楷体_GB2312" w:cs="宋体"/>
      <w:sz w:val="24"/>
      <w:szCs w:val="24"/>
    </w:rPr>
  </w:style>
  <w:style w:type="paragraph" w:customStyle="1" w:styleId="171">
    <w:name w:val="正文 楷体"/>
    <w:basedOn w:val="1"/>
    <w:link w:val="170"/>
    <w:qFormat/>
    <w:uiPriority w:val="0"/>
    <w:pPr>
      <w:spacing w:line="500" w:lineRule="exact"/>
      <w:ind w:firstLine="200" w:firstLineChars="200"/>
    </w:pPr>
    <w:rPr>
      <w:rFonts w:ascii="楷体_GB2312" w:hAnsi="楷体_GB2312" w:eastAsia="楷体_GB2312"/>
    </w:rPr>
  </w:style>
  <w:style w:type="paragraph" w:customStyle="1" w:styleId="172">
    <w:name w:val="正文！"/>
    <w:basedOn w:val="1"/>
    <w:qFormat/>
    <w:uiPriority w:val="99"/>
    <w:pPr>
      <w:spacing w:line="500" w:lineRule="exact"/>
      <w:ind w:firstLine="482"/>
    </w:pPr>
    <w:rPr>
      <w:rFonts w:ascii="楷体_GB2312" w:eastAsia="楷体_GB2312"/>
    </w:rPr>
  </w:style>
  <w:style w:type="character" w:customStyle="1" w:styleId="173">
    <w:name w:val="样式 首行缩进:  0.85 厘米 Char1"/>
    <w:link w:val="174"/>
    <w:qFormat/>
    <w:locked/>
    <w:uiPriority w:val="0"/>
    <w:rPr>
      <w:rFonts w:ascii="楷体_GB2312" w:hAnsi="楷体_GB2312" w:eastAsia="楷体_GB2312" w:cs="楷体_GB2312"/>
      <w:sz w:val="24"/>
      <w:szCs w:val="24"/>
    </w:rPr>
  </w:style>
  <w:style w:type="paragraph" w:customStyle="1" w:styleId="174">
    <w:name w:val="样式 首行缩进:  0.85 厘米"/>
    <w:basedOn w:val="1"/>
    <w:link w:val="173"/>
    <w:qFormat/>
    <w:uiPriority w:val="0"/>
    <w:pPr>
      <w:spacing w:line="500" w:lineRule="exact"/>
      <w:ind w:firstLine="200" w:firstLineChars="200"/>
    </w:pPr>
    <w:rPr>
      <w:rFonts w:ascii="楷体_GB2312" w:hAnsi="楷体_GB2312" w:eastAsia="楷体_GB2312"/>
    </w:rPr>
  </w:style>
  <w:style w:type="paragraph" w:customStyle="1" w:styleId="175">
    <w:name w:val="样式 (西文) 楷体_GB2312 首行缩进:  0.85 厘米1"/>
    <w:basedOn w:val="1"/>
    <w:qFormat/>
    <w:uiPriority w:val="99"/>
    <w:pPr>
      <w:spacing w:line="500" w:lineRule="exact"/>
      <w:ind w:firstLine="200" w:firstLineChars="200"/>
    </w:pPr>
    <w:rPr>
      <w:rFonts w:ascii="楷体_GB2312" w:hAnsi="楷体_GB2312" w:eastAsia="楷体_GB2312" w:cs="楷体_GB2312"/>
    </w:rPr>
  </w:style>
  <w:style w:type="character" w:customStyle="1" w:styleId="176">
    <w:name w:val="标题 6，图标题 Char"/>
    <w:qFormat/>
    <w:uiPriority w:val="0"/>
    <w:rPr>
      <w:rFonts w:ascii="Arial" w:hAnsi="Arial" w:eastAsia="仿宋_GB2312"/>
      <w:b/>
      <w:spacing w:val="-4"/>
      <w:kern w:val="20"/>
      <w:sz w:val="18"/>
      <w:lang w:val="en-US" w:eastAsia="zh-CN" w:bidi="ar-SA"/>
    </w:rPr>
  </w:style>
  <w:style w:type="paragraph" w:customStyle="1" w:styleId="177">
    <w:name w:val="表头！！！"/>
    <w:basedOn w:val="1"/>
    <w:qFormat/>
    <w:uiPriority w:val="99"/>
    <w:pPr>
      <w:spacing w:line="360" w:lineRule="auto"/>
      <w:jc w:val="center"/>
    </w:pPr>
    <w:rPr>
      <w:rFonts w:ascii="黑体" w:eastAsia="楷体_GB2312"/>
      <w:b/>
    </w:rPr>
  </w:style>
  <w:style w:type="character" w:customStyle="1" w:styleId="178">
    <w:name w:val="普通(网站) 字符"/>
    <w:link w:val="59"/>
    <w:qFormat/>
    <w:uiPriority w:val="99"/>
    <w:rPr>
      <w:rFonts w:ascii="宋体" w:hAnsi="宋体" w:eastAsia="宋体" w:cs="Times New Roman"/>
      <w:kern w:val="0"/>
      <w:sz w:val="24"/>
      <w:szCs w:val="24"/>
    </w:rPr>
  </w:style>
  <w:style w:type="paragraph" w:customStyle="1" w:styleId="179">
    <w:name w:val="B正文"/>
    <w:basedOn w:val="1"/>
    <w:link w:val="188"/>
    <w:qFormat/>
    <w:uiPriority w:val="0"/>
    <w:pPr>
      <w:spacing w:line="360" w:lineRule="auto"/>
      <w:ind w:firstLine="200" w:firstLineChars="200"/>
    </w:pPr>
  </w:style>
  <w:style w:type="character" w:customStyle="1" w:styleId="180">
    <w:name w:val="s"/>
    <w:qFormat/>
    <w:uiPriority w:val="0"/>
    <w:rPr>
      <w:rFonts w:cs="Times New Roman"/>
    </w:rPr>
  </w:style>
  <w:style w:type="paragraph" w:customStyle="1" w:styleId="181">
    <w:name w:val="正文格式42"/>
    <w:basedOn w:val="1"/>
    <w:qFormat/>
    <w:uiPriority w:val="99"/>
    <w:pPr>
      <w:spacing w:line="360" w:lineRule="auto"/>
      <w:ind w:firstLine="482"/>
    </w:pPr>
  </w:style>
  <w:style w:type="character" w:customStyle="1" w:styleId="182">
    <w:name w:val="报告正文 Char Char"/>
    <w:link w:val="183"/>
    <w:qFormat/>
    <w:locked/>
    <w:uiPriority w:val="0"/>
    <w:rPr>
      <w:sz w:val="28"/>
      <w:szCs w:val="28"/>
    </w:rPr>
  </w:style>
  <w:style w:type="paragraph" w:customStyle="1" w:styleId="183">
    <w:name w:val="报告正文 Char"/>
    <w:basedOn w:val="1"/>
    <w:link w:val="182"/>
    <w:qFormat/>
    <w:uiPriority w:val="0"/>
    <w:pPr>
      <w:adjustRightInd w:val="0"/>
      <w:snapToGrid w:val="0"/>
      <w:spacing w:line="360" w:lineRule="auto"/>
      <w:ind w:firstLine="200" w:firstLineChars="200"/>
    </w:pPr>
    <w:rPr>
      <w:rFonts w:ascii="Calibri" w:hAnsi="Calibri"/>
      <w:sz w:val="28"/>
      <w:szCs w:val="28"/>
    </w:rPr>
  </w:style>
  <w:style w:type="paragraph" w:customStyle="1" w:styleId="184">
    <w:name w:val="表中文字"/>
    <w:basedOn w:val="1"/>
    <w:next w:val="1"/>
    <w:link w:val="583"/>
    <w:qFormat/>
    <w:uiPriority w:val="0"/>
    <w:pPr>
      <w:snapToGrid w:val="0"/>
      <w:spacing w:line="360" w:lineRule="exact"/>
      <w:jc w:val="center"/>
      <w:textAlignment w:val="center"/>
    </w:pPr>
    <w:rPr>
      <w:bCs/>
      <w:color w:val="000000"/>
      <w:sz w:val="20"/>
      <w:szCs w:val="18"/>
    </w:rPr>
  </w:style>
  <w:style w:type="character" w:customStyle="1" w:styleId="185">
    <w:name w:val="表头标题 Char Char"/>
    <w:link w:val="186"/>
    <w:qFormat/>
    <w:locked/>
    <w:uiPriority w:val="0"/>
    <w:rPr>
      <w:rFonts w:ascii="黑体" w:eastAsia="黑体"/>
      <w:bCs/>
      <w:color w:val="FF0000"/>
      <w:szCs w:val="21"/>
      <w:lang w:val="zh-CN"/>
    </w:rPr>
  </w:style>
  <w:style w:type="paragraph" w:customStyle="1" w:styleId="186">
    <w:name w:val="表头标题"/>
    <w:basedOn w:val="1"/>
    <w:link w:val="185"/>
    <w:qFormat/>
    <w:uiPriority w:val="0"/>
    <w:pPr>
      <w:tabs>
        <w:tab w:val="left" w:pos="905"/>
      </w:tabs>
      <w:snapToGrid w:val="0"/>
      <w:jc w:val="center"/>
    </w:pPr>
    <w:rPr>
      <w:rFonts w:ascii="黑体" w:hAnsi="Calibri" w:eastAsia="黑体"/>
      <w:bCs/>
      <w:color w:val="FF0000"/>
      <w:sz w:val="20"/>
      <w:szCs w:val="21"/>
      <w:lang w:val="zh-CN"/>
    </w:rPr>
  </w:style>
  <w:style w:type="paragraph" w:customStyle="1" w:styleId="187">
    <w:name w:val="表格文字"/>
    <w:basedOn w:val="1"/>
    <w:link w:val="210"/>
    <w:qFormat/>
    <w:uiPriority w:val="0"/>
    <w:pPr>
      <w:spacing w:line="400" w:lineRule="exact"/>
      <w:jc w:val="center"/>
    </w:pPr>
    <w:rPr>
      <w:sz w:val="20"/>
    </w:rPr>
  </w:style>
  <w:style w:type="character" w:customStyle="1" w:styleId="188">
    <w:name w:val="B正文 Char"/>
    <w:link w:val="179"/>
    <w:qFormat/>
    <w:uiPriority w:val="0"/>
    <w:rPr>
      <w:rFonts w:ascii="Times New Roman" w:hAnsi="Times New Roman" w:eastAsia="宋体" w:cs="宋体"/>
      <w:kern w:val="0"/>
      <w:sz w:val="24"/>
      <w:szCs w:val="24"/>
    </w:rPr>
  </w:style>
  <w:style w:type="character" w:customStyle="1" w:styleId="189">
    <w:name w:val="A.表中文字 用 Char"/>
    <w:link w:val="190"/>
    <w:qFormat/>
    <w:locked/>
    <w:uiPriority w:val="0"/>
    <w:rPr>
      <w:rFonts w:ascii="Times New Roman" w:hAnsi="Times New Roman" w:eastAsia="宋体" w:cs="Times New Roman"/>
      <w:sz w:val="18"/>
    </w:rPr>
  </w:style>
  <w:style w:type="paragraph" w:customStyle="1" w:styleId="190">
    <w:name w:val="A.表中文字 用"/>
    <w:basedOn w:val="1"/>
    <w:next w:val="1"/>
    <w:link w:val="189"/>
    <w:qFormat/>
    <w:uiPriority w:val="0"/>
    <w:pPr>
      <w:autoSpaceDE w:val="0"/>
      <w:autoSpaceDN w:val="0"/>
      <w:jc w:val="center"/>
    </w:pPr>
    <w:rPr>
      <w:sz w:val="18"/>
    </w:rPr>
  </w:style>
  <w:style w:type="paragraph" w:customStyle="1" w:styleId="191">
    <w:name w:val="正文文字"/>
    <w:basedOn w:val="1"/>
    <w:qFormat/>
    <w:uiPriority w:val="99"/>
    <w:pPr>
      <w:spacing w:line="360" w:lineRule="auto"/>
      <w:ind w:firstLine="200" w:firstLineChars="200"/>
    </w:pPr>
    <w:rPr>
      <w:szCs w:val="21"/>
    </w:rPr>
  </w:style>
  <w:style w:type="character" w:customStyle="1" w:styleId="192">
    <w:name w:val="正文(首行缩进) Char1"/>
    <w:link w:val="193"/>
    <w:qFormat/>
    <w:locked/>
    <w:uiPriority w:val="0"/>
    <w:rPr>
      <w:rFonts w:ascii="宋体"/>
      <w:bCs/>
      <w:color w:val="000000"/>
      <w:sz w:val="26"/>
      <w:szCs w:val="26"/>
    </w:rPr>
  </w:style>
  <w:style w:type="paragraph" w:customStyle="1" w:styleId="193">
    <w:name w:val="正文(首行缩进)"/>
    <w:basedOn w:val="1"/>
    <w:link w:val="192"/>
    <w:qFormat/>
    <w:uiPriority w:val="0"/>
    <w:pPr>
      <w:snapToGrid w:val="0"/>
      <w:spacing w:line="360" w:lineRule="auto"/>
      <w:ind w:firstLine="470" w:firstLineChars="196"/>
    </w:pPr>
    <w:rPr>
      <w:rFonts w:hAnsi="Calibri"/>
      <w:bCs/>
      <w:color w:val="000000"/>
      <w:sz w:val="26"/>
      <w:szCs w:val="26"/>
    </w:rPr>
  </w:style>
  <w:style w:type="character" w:customStyle="1" w:styleId="194">
    <w:name w:val="正文A Char"/>
    <w:link w:val="116"/>
    <w:qFormat/>
    <w:locked/>
    <w:uiPriority w:val="0"/>
    <w:rPr>
      <w:rFonts w:ascii="宋体" w:hAnsi="宋体" w:eastAsia="黑体"/>
      <w:b/>
      <w:bCs/>
      <w:color w:val="000000"/>
      <w:sz w:val="24"/>
      <w:szCs w:val="26"/>
    </w:rPr>
  </w:style>
  <w:style w:type="character" w:customStyle="1" w:styleId="195">
    <w:name w:val="标题 3 字符"/>
    <w:qFormat/>
    <w:uiPriority w:val="0"/>
    <w:rPr>
      <w:rFonts w:eastAsia="宋体"/>
      <w:b/>
      <w:bCs/>
      <w:kern w:val="2"/>
      <w:sz w:val="32"/>
      <w:szCs w:val="32"/>
      <w:lang w:val="en-US" w:eastAsia="zh-CN" w:bidi="ar-SA"/>
    </w:rPr>
  </w:style>
  <w:style w:type="paragraph" w:customStyle="1" w:styleId="196">
    <w:name w:val="表格小"/>
    <w:basedOn w:val="1"/>
    <w:qFormat/>
    <w:uiPriority w:val="99"/>
    <w:pPr>
      <w:jc w:val="center"/>
    </w:pPr>
    <w:rPr>
      <w:sz w:val="18"/>
    </w:rPr>
  </w:style>
  <w:style w:type="paragraph" w:customStyle="1" w:styleId="197">
    <w:name w:val="表格文字样式14"/>
    <w:basedOn w:val="1"/>
    <w:qFormat/>
    <w:uiPriority w:val="99"/>
    <w:pPr>
      <w:overflowPunct w:val="0"/>
      <w:adjustRightInd w:val="0"/>
      <w:snapToGrid w:val="0"/>
      <w:spacing w:line="360" w:lineRule="exact"/>
      <w:jc w:val="center"/>
    </w:pPr>
    <w:rPr>
      <w:bCs/>
      <w:snapToGrid w:val="0"/>
      <w:szCs w:val="21"/>
    </w:rPr>
  </w:style>
  <w:style w:type="paragraph" w:customStyle="1" w:styleId="198">
    <w:name w:val="默认段落字体 Para Char"/>
    <w:basedOn w:val="1"/>
    <w:next w:val="1"/>
    <w:qFormat/>
    <w:uiPriority w:val="0"/>
    <w:pPr>
      <w:spacing w:line="360" w:lineRule="auto"/>
      <w:ind w:firstLine="200" w:firstLineChars="200"/>
    </w:pPr>
    <w:rPr>
      <w:szCs w:val="21"/>
    </w:rPr>
  </w:style>
  <w:style w:type="paragraph" w:customStyle="1" w:styleId="199">
    <w:name w:val="1表格"/>
    <w:basedOn w:val="1"/>
    <w:qFormat/>
    <w:uiPriority w:val="99"/>
    <w:pPr>
      <w:snapToGrid w:val="0"/>
      <w:spacing w:line="300" w:lineRule="auto"/>
      <w:ind w:firstLine="482"/>
      <w:jc w:val="center"/>
    </w:pPr>
    <w:rPr>
      <w:color w:val="000000"/>
      <w:spacing w:val="4"/>
    </w:rPr>
  </w:style>
  <w:style w:type="character" w:customStyle="1" w:styleId="200">
    <w:name w:val="正文001（2个空格） Char"/>
    <w:link w:val="201"/>
    <w:qFormat/>
    <w:uiPriority w:val="0"/>
    <w:rPr>
      <w:color w:val="800080"/>
      <w:sz w:val="24"/>
    </w:rPr>
  </w:style>
  <w:style w:type="paragraph" w:customStyle="1" w:styleId="201">
    <w:name w:val="正文001（2个空格）"/>
    <w:basedOn w:val="1"/>
    <w:link w:val="200"/>
    <w:qFormat/>
    <w:uiPriority w:val="0"/>
    <w:pPr>
      <w:spacing w:line="360" w:lineRule="auto"/>
      <w:ind w:firstLine="200" w:firstLineChars="200"/>
    </w:pPr>
    <w:rPr>
      <w:rFonts w:ascii="Calibri" w:hAnsi="Calibri"/>
      <w:color w:val="800080"/>
    </w:rPr>
  </w:style>
  <w:style w:type="character" w:customStyle="1" w:styleId="202">
    <w:name w:val="正文文本缩进 3 字符"/>
    <w:link w:val="51"/>
    <w:qFormat/>
    <w:uiPriority w:val="0"/>
    <w:rPr>
      <w:rFonts w:ascii="Times New Roman" w:hAnsi="Times New Roman" w:eastAsia="宋体" w:cs="Times New Roman"/>
      <w:sz w:val="16"/>
      <w:szCs w:val="16"/>
    </w:rPr>
  </w:style>
  <w:style w:type="character" w:customStyle="1" w:styleId="203">
    <w:name w:val="正文文本首行缩进 字符"/>
    <w:link w:val="63"/>
    <w:qFormat/>
    <w:uiPriority w:val="0"/>
    <w:rPr>
      <w:rFonts w:ascii="Times New Roman" w:hAnsi="Times New Roman" w:eastAsia="宋体" w:cs="Times New Roman"/>
      <w:szCs w:val="20"/>
    </w:rPr>
  </w:style>
  <w:style w:type="paragraph" w:customStyle="1" w:styleId="204">
    <w:name w:val="表格文字2"/>
    <w:basedOn w:val="187"/>
    <w:qFormat/>
    <w:uiPriority w:val="99"/>
    <w:pPr>
      <w:adjustRightInd w:val="0"/>
      <w:spacing w:before="60" w:line="240" w:lineRule="auto"/>
      <w:textAlignment w:val="baseline"/>
    </w:pPr>
    <w:rPr>
      <w:sz w:val="24"/>
    </w:rPr>
  </w:style>
  <w:style w:type="character" w:customStyle="1" w:styleId="205">
    <w:name w:val="表后空格 Char"/>
    <w:link w:val="120"/>
    <w:qFormat/>
    <w:uiPriority w:val="0"/>
    <w:rPr>
      <w:rFonts w:ascii="Times New Roman" w:hAnsi="Times New Roman" w:eastAsia="宋体" w:cs="Times New Roman"/>
      <w:kern w:val="0"/>
      <w:sz w:val="20"/>
      <w:szCs w:val="20"/>
    </w:rPr>
  </w:style>
  <w:style w:type="paragraph" w:customStyle="1" w:styleId="206">
    <w:name w:val="Char Char Char Char"/>
    <w:basedOn w:val="1"/>
    <w:qFormat/>
    <w:uiPriority w:val="99"/>
    <w:rPr>
      <w:szCs w:val="21"/>
    </w:rPr>
  </w:style>
  <w:style w:type="character" w:customStyle="1" w:styleId="207">
    <w:name w:val="正文 楷体 Char"/>
    <w:qFormat/>
    <w:uiPriority w:val="0"/>
    <w:rPr>
      <w:rFonts w:ascii="楷体_GB2312" w:hAnsi="楷体_GB2312" w:eastAsia="楷体_GB2312" w:cs="宋体"/>
      <w:sz w:val="24"/>
      <w:szCs w:val="24"/>
    </w:rPr>
  </w:style>
  <w:style w:type="character" w:customStyle="1" w:styleId="208">
    <w:name w:val="正文文本首行缩进 2 字符"/>
    <w:link w:val="64"/>
    <w:qFormat/>
    <w:uiPriority w:val="0"/>
    <w:rPr>
      <w:rFonts w:ascii="Times New Roman" w:hAnsi="Times New Roman" w:eastAsia="宋体" w:cs="Times New Roman"/>
      <w:bCs/>
      <w:color w:val="000000"/>
      <w:sz w:val="28"/>
      <w:szCs w:val="28"/>
    </w:rPr>
  </w:style>
  <w:style w:type="paragraph" w:customStyle="1" w:styleId="209">
    <w:name w:val="正文01"/>
    <w:basedOn w:val="1"/>
    <w:link w:val="736"/>
    <w:qFormat/>
    <w:uiPriority w:val="0"/>
    <w:pPr>
      <w:spacing w:before="60" w:line="460" w:lineRule="exact"/>
      <w:ind w:firstLine="200" w:firstLineChars="200"/>
    </w:pPr>
    <w:rPr>
      <w:rFonts w:ascii="Calibri" w:hAnsi="Calibri"/>
    </w:rPr>
  </w:style>
  <w:style w:type="character" w:customStyle="1" w:styleId="210">
    <w:name w:val="表格文字 Char Char"/>
    <w:link w:val="187"/>
    <w:qFormat/>
    <w:uiPriority w:val="0"/>
    <w:rPr>
      <w:rFonts w:ascii="Times New Roman" w:hAnsi="Times New Roman" w:eastAsia="宋体" w:cs="Times New Roman"/>
      <w:kern w:val="0"/>
      <w:sz w:val="20"/>
      <w:szCs w:val="20"/>
    </w:rPr>
  </w:style>
  <w:style w:type="character" w:customStyle="1" w:styleId="211">
    <w:name w:val="ms-rtefontface-111"/>
    <w:qFormat/>
    <w:uiPriority w:val="0"/>
    <w:rPr>
      <w:rFonts w:hint="eastAsia" w:ascii="方正仿宋简体" w:hAnsi="Garamond" w:eastAsia="方正仿宋简体"/>
      <w:sz w:val="32"/>
      <w:szCs w:val="32"/>
    </w:rPr>
  </w:style>
  <w:style w:type="paragraph" w:customStyle="1" w:styleId="212">
    <w:name w:val="表头"/>
    <w:basedOn w:val="1"/>
    <w:link w:val="213"/>
    <w:qFormat/>
    <w:uiPriority w:val="0"/>
    <w:pPr>
      <w:jc w:val="center"/>
    </w:pPr>
    <w:rPr>
      <w:b/>
    </w:rPr>
  </w:style>
  <w:style w:type="character" w:customStyle="1" w:styleId="213">
    <w:name w:val="表头 Char2"/>
    <w:link w:val="212"/>
    <w:qFormat/>
    <w:uiPriority w:val="0"/>
    <w:rPr>
      <w:rFonts w:ascii="宋体" w:hAnsi="宋体" w:eastAsia="宋体" w:cs="宋体"/>
      <w:b/>
      <w:kern w:val="0"/>
      <w:sz w:val="24"/>
      <w:szCs w:val="24"/>
    </w:rPr>
  </w:style>
  <w:style w:type="paragraph" w:customStyle="1" w:styleId="214">
    <w:name w:val="xl28"/>
    <w:basedOn w:val="1"/>
    <w:qFormat/>
    <w:uiPriority w:val="99"/>
    <w:pPr>
      <w:spacing w:before="100" w:beforeAutospacing="1" w:after="100" w:afterAutospacing="1"/>
    </w:pPr>
    <w:rPr>
      <w:b/>
      <w:sz w:val="32"/>
    </w:rPr>
  </w:style>
  <w:style w:type="paragraph" w:customStyle="1" w:styleId="215">
    <w:name w:val="标题三！！！！！！！"/>
    <w:basedOn w:val="4"/>
    <w:qFormat/>
    <w:uiPriority w:val="99"/>
    <w:pPr>
      <w:keepNext w:val="0"/>
      <w:keepLines w:val="0"/>
      <w:spacing w:before="0" w:after="0" w:line="500" w:lineRule="exact"/>
    </w:pPr>
    <w:rPr>
      <w:rFonts w:ascii="楷体_GB2312" w:hAnsi="楷体_GB2312" w:eastAsia="楷体_GB2312" w:cs="楷体_GB2312"/>
      <w:bCs w:val="0"/>
      <w:sz w:val="28"/>
      <w:szCs w:val="28"/>
    </w:rPr>
  </w:style>
  <w:style w:type="character" w:customStyle="1" w:styleId="216">
    <w:name w:val="表格后空行 Char Char"/>
    <w:link w:val="117"/>
    <w:qFormat/>
    <w:uiPriority w:val="0"/>
    <w:rPr>
      <w:rFonts w:ascii="宋体" w:hAnsi="Times New Roman" w:eastAsia="宋体" w:cs="Times New Roman"/>
      <w:sz w:val="18"/>
      <w:szCs w:val="24"/>
    </w:rPr>
  </w:style>
  <w:style w:type="character" w:customStyle="1" w:styleId="217">
    <w:name w:val="正文文本缩进 2 Char"/>
    <w:qFormat/>
    <w:uiPriority w:val="0"/>
    <w:rPr>
      <w:rFonts w:ascii="宋体" w:hAnsi="宋体" w:eastAsia="宋体"/>
      <w:sz w:val="24"/>
      <w:szCs w:val="24"/>
    </w:rPr>
  </w:style>
  <w:style w:type="character" w:customStyle="1" w:styleId="218">
    <w:name w:val="正文缩进 Char1"/>
    <w:qFormat/>
    <w:uiPriority w:val="0"/>
    <w:rPr>
      <w:rFonts w:ascii="宋体" w:hAnsi="宋体" w:eastAsia="宋体" w:cs="宋体"/>
      <w:color w:val="000000"/>
      <w:sz w:val="24"/>
      <w:szCs w:val="24"/>
      <w:lang w:val="en-US" w:eastAsia="zh-CN" w:bidi="ar-SA"/>
    </w:rPr>
  </w:style>
  <w:style w:type="character" w:styleId="219">
    <w:name w:val="Placeholder Text"/>
    <w:semiHidden/>
    <w:qFormat/>
    <w:uiPriority w:val="99"/>
    <w:rPr>
      <w:color w:val="808080"/>
    </w:rPr>
  </w:style>
  <w:style w:type="character" w:customStyle="1" w:styleId="220">
    <w:name w:val="样式4 Char"/>
    <w:link w:val="159"/>
    <w:qFormat/>
    <w:uiPriority w:val="0"/>
    <w:rPr>
      <w:rFonts w:ascii="Times New Roman" w:hAnsi="Times New Roman" w:eastAsia="宋体" w:cs="Times New Roman"/>
      <w:szCs w:val="20"/>
    </w:rPr>
  </w:style>
  <w:style w:type="paragraph" w:customStyle="1" w:styleId="221">
    <w:name w:val="表格内容1"/>
    <w:qFormat/>
    <w:uiPriority w:val="99"/>
    <w:pPr>
      <w:widowControl w:val="0"/>
      <w:spacing w:line="240" w:lineRule="exact"/>
      <w:jc w:val="center"/>
    </w:pPr>
    <w:rPr>
      <w:rFonts w:ascii="宋体" w:hAnsi="宋体" w:eastAsia="宋体" w:cs="Times New Roman"/>
      <w:kern w:val="1"/>
      <w:sz w:val="21"/>
      <w:szCs w:val="24"/>
      <w:lang w:val="en-US" w:eastAsia="zh-CN" w:bidi="ar-SA"/>
    </w:rPr>
  </w:style>
  <w:style w:type="character" w:customStyle="1" w:styleId="222">
    <w:name w:val="HTML 预设格式 字符"/>
    <w:link w:val="58"/>
    <w:qFormat/>
    <w:uiPriority w:val="99"/>
    <w:rPr>
      <w:rFonts w:ascii="宋体" w:hAnsi="宋体" w:eastAsia="宋体" w:cs="宋体"/>
      <w:kern w:val="0"/>
      <w:sz w:val="24"/>
      <w:szCs w:val="24"/>
    </w:rPr>
  </w:style>
  <w:style w:type="paragraph" w:customStyle="1" w:styleId="223">
    <w:name w:val="样式1"/>
    <w:basedOn w:val="1"/>
    <w:link w:val="224"/>
    <w:qFormat/>
    <w:uiPriority w:val="0"/>
    <w:pPr>
      <w:spacing w:beforeLines="100" w:afterLines="100" w:line="360" w:lineRule="auto"/>
      <w:jc w:val="center"/>
    </w:pPr>
    <w:rPr>
      <w:rFonts w:ascii="黑体" w:hAnsi="黑体" w:eastAsia="黑体"/>
      <w:sz w:val="42"/>
      <w:szCs w:val="42"/>
    </w:rPr>
  </w:style>
  <w:style w:type="character" w:customStyle="1" w:styleId="224">
    <w:name w:val="样式1 Char"/>
    <w:link w:val="223"/>
    <w:qFormat/>
    <w:uiPriority w:val="0"/>
    <w:rPr>
      <w:rFonts w:ascii="黑体" w:hAnsi="黑体" w:eastAsia="黑体" w:cs="Times New Roman"/>
      <w:sz w:val="42"/>
      <w:szCs w:val="42"/>
    </w:rPr>
  </w:style>
  <w:style w:type="paragraph" w:customStyle="1" w:styleId="225">
    <w:name w:val="样式2"/>
    <w:basedOn w:val="1"/>
    <w:link w:val="226"/>
    <w:qFormat/>
    <w:uiPriority w:val="0"/>
    <w:pPr>
      <w:spacing w:beforeLines="50" w:afterLines="50" w:line="360" w:lineRule="auto"/>
    </w:pPr>
    <w:rPr>
      <w:rFonts w:ascii="黑体" w:hAnsi="黑体" w:eastAsia="黑体"/>
      <w:sz w:val="28"/>
    </w:rPr>
  </w:style>
  <w:style w:type="character" w:customStyle="1" w:styleId="226">
    <w:name w:val="样式2 Char"/>
    <w:link w:val="225"/>
    <w:qFormat/>
    <w:uiPriority w:val="0"/>
    <w:rPr>
      <w:rFonts w:ascii="黑体" w:hAnsi="黑体" w:eastAsia="黑体" w:cs="Times New Roman"/>
      <w:sz w:val="28"/>
      <w:szCs w:val="24"/>
    </w:rPr>
  </w:style>
  <w:style w:type="paragraph" w:customStyle="1" w:styleId="227">
    <w:name w:val="样式3"/>
    <w:basedOn w:val="1"/>
    <w:link w:val="228"/>
    <w:qFormat/>
    <w:uiPriority w:val="0"/>
    <w:pPr>
      <w:spacing w:beforeLines="50" w:afterLines="50" w:line="360" w:lineRule="auto"/>
    </w:pPr>
    <w:rPr>
      <w:rFonts w:ascii="黑体" w:hAnsi="黑体" w:eastAsia="黑体"/>
    </w:rPr>
  </w:style>
  <w:style w:type="character" w:customStyle="1" w:styleId="228">
    <w:name w:val="样式3 Char"/>
    <w:link w:val="227"/>
    <w:qFormat/>
    <w:uiPriority w:val="0"/>
    <w:rPr>
      <w:rFonts w:ascii="黑体" w:hAnsi="黑体" w:eastAsia="黑体" w:cs="Times New Roman"/>
      <w:sz w:val="24"/>
      <w:szCs w:val="24"/>
    </w:rPr>
  </w:style>
  <w:style w:type="paragraph" w:customStyle="1" w:styleId="229">
    <w:name w:val="p0"/>
    <w:basedOn w:val="1"/>
    <w:qFormat/>
    <w:uiPriority w:val="99"/>
    <w:rPr>
      <w:szCs w:val="21"/>
    </w:rPr>
  </w:style>
  <w:style w:type="paragraph" w:customStyle="1" w:styleId="230">
    <w:name w:val="reader-word-layer"/>
    <w:basedOn w:val="1"/>
    <w:qFormat/>
    <w:uiPriority w:val="99"/>
    <w:pPr>
      <w:spacing w:before="100" w:beforeAutospacing="1" w:after="100" w:afterAutospacing="1"/>
    </w:pPr>
  </w:style>
  <w:style w:type="character" w:customStyle="1" w:styleId="231">
    <w:name w:val="样式 样式 样式 首行缩进:  2 字符 + 居中 + 行距: 固定值 17 磅 Char"/>
    <w:link w:val="232"/>
    <w:qFormat/>
    <w:uiPriority w:val="0"/>
    <w:rPr>
      <w:rFonts w:cs="宋体"/>
      <w:color w:val="000000"/>
    </w:rPr>
  </w:style>
  <w:style w:type="paragraph" w:customStyle="1" w:styleId="232">
    <w:name w:val="样式 样式 样式 首行缩进:  2 字符 + 居中 + 行距: 固定值 17 磅"/>
    <w:basedOn w:val="1"/>
    <w:link w:val="231"/>
    <w:qFormat/>
    <w:uiPriority w:val="0"/>
    <w:pPr>
      <w:adjustRightInd w:val="0"/>
      <w:snapToGrid w:val="0"/>
      <w:spacing w:line="340" w:lineRule="exact"/>
      <w:jc w:val="center"/>
      <w:outlineLvl w:val="2"/>
    </w:pPr>
    <w:rPr>
      <w:rFonts w:ascii="Calibri" w:hAnsi="Calibri"/>
      <w:color w:val="000000"/>
      <w:sz w:val="20"/>
    </w:rPr>
  </w:style>
  <w:style w:type="paragraph" w:customStyle="1" w:styleId="233">
    <w:name w:val="List Paragraph1"/>
    <w:qFormat/>
    <w:uiPriority w:val="99"/>
    <w:pPr>
      <w:ind w:firstLine="420"/>
    </w:pPr>
    <w:rPr>
      <w:rFonts w:ascii="Calibri" w:hAnsi="Calibri" w:eastAsia="宋体" w:cs="Times New Roman"/>
      <w:kern w:val="1"/>
      <w:sz w:val="24"/>
      <w:lang w:val="en-US" w:eastAsia="zh-CN" w:bidi="ar-SA"/>
    </w:rPr>
  </w:style>
  <w:style w:type="character" w:customStyle="1" w:styleId="234">
    <w:name w:val="unnamed11"/>
    <w:qFormat/>
    <w:uiPriority w:val="0"/>
    <w:rPr>
      <w:rFonts w:hint="default" w:ascii="???" w:hAnsi="???"/>
      <w:color w:val="000000"/>
      <w:sz w:val="18"/>
      <w:szCs w:val="18"/>
      <w:u w:val="none"/>
    </w:rPr>
  </w:style>
  <w:style w:type="paragraph" w:customStyle="1" w:styleId="235">
    <w:name w:val="p15"/>
    <w:basedOn w:val="1"/>
    <w:qFormat/>
    <w:uiPriority w:val="99"/>
    <w:rPr>
      <w:szCs w:val="21"/>
    </w:rPr>
  </w:style>
  <w:style w:type="paragraph" w:customStyle="1" w:styleId="236">
    <w:name w:val="B3"/>
    <w:basedOn w:val="1"/>
    <w:next w:val="1"/>
    <w:link w:val="237"/>
    <w:qFormat/>
    <w:uiPriority w:val="0"/>
    <w:pPr>
      <w:spacing w:before="80" w:after="80" w:line="360" w:lineRule="auto"/>
      <w:outlineLvl w:val="2"/>
    </w:pPr>
    <w:rPr>
      <w:b/>
      <w:sz w:val="28"/>
    </w:rPr>
  </w:style>
  <w:style w:type="character" w:customStyle="1" w:styleId="237">
    <w:name w:val="B3 Char"/>
    <w:link w:val="236"/>
    <w:qFormat/>
    <w:uiPriority w:val="0"/>
    <w:rPr>
      <w:rFonts w:ascii="Times New Roman" w:hAnsi="Times New Roman" w:eastAsia="宋体" w:cs="宋体"/>
      <w:b/>
      <w:kern w:val="0"/>
      <w:sz w:val="28"/>
      <w:szCs w:val="24"/>
    </w:rPr>
  </w:style>
  <w:style w:type="paragraph" w:customStyle="1" w:styleId="238">
    <w:name w:val="xl25"/>
    <w:basedOn w:val="1"/>
    <w:qFormat/>
    <w:uiPriority w:val="99"/>
    <w:pPr>
      <w:pBdr>
        <w:bottom w:val="single" w:color="auto" w:sz="4" w:space="0"/>
        <w:right w:val="single" w:color="auto" w:sz="4" w:space="0"/>
      </w:pBdr>
      <w:spacing w:before="100" w:beforeAutospacing="1" w:after="100" w:afterAutospacing="1"/>
    </w:pPr>
    <w:rPr>
      <w:szCs w:val="21"/>
    </w:rPr>
  </w:style>
  <w:style w:type="paragraph" w:customStyle="1" w:styleId="239">
    <w:name w:val="xl36"/>
    <w:basedOn w:val="1"/>
    <w:qFormat/>
    <w:uiPriority w:val="99"/>
    <w:pPr>
      <w:pBdr>
        <w:left w:val="single" w:color="auto" w:sz="4" w:space="0"/>
        <w:right w:val="single" w:color="auto" w:sz="4" w:space="0"/>
      </w:pBdr>
      <w:spacing w:before="100" w:beforeAutospacing="1" w:after="100" w:afterAutospacing="1"/>
      <w:jc w:val="center"/>
      <w:textAlignment w:val="top"/>
    </w:pPr>
  </w:style>
  <w:style w:type="paragraph" w:customStyle="1" w:styleId="240">
    <w:name w:val="表格文字 五号 居中"/>
    <w:basedOn w:val="1"/>
    <w:qFormat/>
    <w:uiPriority w:val="99"/>
    <w:pPr>
      <w:snapToGrid w:val="0"/>
      <w:spacing w:line="300" w:lineRule="auto"/>
      <w:jc w:val="center"/>
    </w:pPr>
    <w:rPr>
      <w:spacing w:val="-6"/>
    </w:rPr>
  </w:style>
  <w:style w:type="paragraph" w:customStyle="1" w:styleId="241">
    <w:name w:val="兴化美联正文样式"/>
    <w:basedOn w:val="1"/>
    <w:link w:val="242"/>
    <w:qFormat/>
    <w:uiPriority w:val="0"/>
    <w:pPr>
      <w:spacing w:line="560" w:lineRule="exact"/>
      <w:ind w:firstLine="480" w:firstLineChars="200"/>
    </w:pPr>
    <w:rPr>
      <w:color w:val="000000"/>
    </w:rPr>
  </w:style>
  <w:style w:type="character" w:customStyle="1" w:styleId="242">
    <w:name w:val="兴化美联正文样式 Char"/>
    <w:link w:val="241"/>
    <w:qFormat/>
    <w:uiPriority w:val="0"/>
    <w:rPr>
      <w:rFonts w:ascii="宋体" w:hAnsi="宋体" w:eastAsia="宋体" w:cs="宋体"/>
      <w:color w:val="000000"/>
      <w:kern w:val="0"/>
      <w:sz w:val="24"/>
      <w:szCs w:val="24"/>
    </w:rPr>
  </w:style>
  <w:style w:type="paragraph" w:customStyle="1" w:styleId="243">
    <w:name w:val="我的表格文字"/>
    <w:basedOn w:val="1"/>
    <w:link w:val="244"/>
    <w:qFormat/>
    <w:uiPriority w:val="0"/>
    <w:pPr>
      <w:adjustRightInd w:val="0"/>
      <w:spacing w:line="360" w:lineRule="exact"/>
      <w:jc w:val="center"/>
      <w:textAlignment w:val="center"/>
    </w:pPr>
    <w:rPr>
      <w:sz w:val="20"/>
      <w:szCs w:val="21"/>
    </w:rPr>
  </w:style>
  <w:style w:type="character" w:customStyle="1" w:styleId="244">
    <w:name w:val="我的表格文字 Char"/>
    <w:link w:val="243"/>
    <w:qFormat/>
    <w:uiPriority w:val="0"/>
    <w:rPr>
      <w:rFonts w:ascii="宋体" w:hAnsi="Times New Roman" w:eastAsia="宋体" w:cs="Times New Roman"/>
      <w:szCs w:val="21"/>
    </w:rPr>
  </w:style>
  <w:style w:type="paragraph" w:customStyle="1" w:styleId="245">
    <w:name w:val="标题四"/>
    <w:basedOn w:val="171"/>
    <w:link w:val="246"/>
    <w:qFormat/>
    <w:uiPriority w:val="0"/>
    <w:pPr>
      <w:ind w:firstLine="0" w:firstLineChars="0"/>
    </w:pPr>
    <w:rPr>
      <w:rFonts w:hAnsi="Calibri"/>
      <w:b/>
    </w:rPr>
  </w:style>
  <w:style w:type="character" w:customStyle="1" w:styleId="246">
    <w:name w:val="标题四 Char"/>
    <w:link w:val="245"/>
    <w:qFormat/>
    <w:uiPriority w:val="0"/>
    <w:rPr>
      <w:rFonts w:ascii="楷体_GB2312" w:hAnsi="Calibri" w:eastAsia="楷体_GB2312" w:cs="宋体"/>
      <w:b/>
      <w:sz w:val="24"/>
      <w:szCs w:val="24"/>
    </w:rPr>
  </w:style>
  <w:style w:type="paragraph" w:customStyle="1" w:styleId="247">
    <w:name w:val="内容"/>
    <w:basedOn w:val="1"/>
    <w:qFormat/>
    <w:uiPriority w:val="99"/>
    <w:pPr>
      <w:spacing w:line="560" w:lineRule="exact"/>
      <w:ind w:firstLine="431"/>
    </w:pPr>
  </w:style>
  <w:style w:type="paragraph" w:customStyle="1" w:styleId="248">
    <w:name w:val="正文邓"/>
    <w:basedOn w:val="1"/>
    <w:link w:val="249"/>
    <w:autoRedefine/>
    <w:qFormat/>
    <w:uiPriority w:val="0"/>
    <w:pPr>
      <w:adjustRightInd w:val="0"/>
      <w:snapToGrid w:val="0"/>
      <w:spacing w:line="360" w:lineRule="auto"/>
      <w:ind w:firstLine="480" w:firstLineChars="200"/>
    </w:pPr>
    <w:rPr>
      <w:bCs/>
      <w:color w:val="FF0000"/>
    </w:rPr>
  </w:style>
  <w:style w:type="character" w:customStyle="1" w:styleId="249">
    <w:name w:val="正文邓 Char"/>
    <w:link w:val="248"/>
    <w:qFormat/>
    <w:uiPriority w:val="0"/>
    <w:rPr>
      <w:rFonts w:ascii="Times New Roman" w:hAnsi="Times New Roman" w:eastAsia="宋体" w:cs="Times New Roman"/>
      <w:bCs/>
      <w:color w:val="FF0000"/>
      <w:kern w:val="0"/>
      <w:sz w:val="24"/>
      <w:szCs w:val="24"/>
    </w:rPr>
  </w:style>
  <w:style w:type="character" w:customStyle="1" w:styleId="250">
    <w:name w:val="正文样式 Char Char"/>
    <w:link w:val="251"/>
    <w:qFormat/>
    <w:uiPriority w:val="0"/>
    <w:rPr>
      <w:spacing w:val="4"/>
      <w:sz w:val="24"/>
      <w:szCs w:val="24"/>
    </w:rPr>
  </w:style>
  <w:style w:type="paragraph" w:customStyle="1" w:styleId="251">
    <w:name w:val="正文样式"/>
    <w:basedOn w:val="1"/>
    <w:link w:val="250"/>
    <w:qFormat/>
    <w:uiPriority w:val="0"/>
    <w:rPr>
      <w:rFonts w:ascii="Calibri" w:hAnsi="Calibri"/>
      <w:spacing w:val="4"/>
    </w:rPr>
  </w:style>
  <w:style w:type="character" w:customStyle="1" w:styleId="252">
    <w:name w:val="表格内字体 Char"/>
    <w:link w:val="118"/>
    <w:qFormat/>
    <w:uiPriority w:val="0"/>
    <w:rPr>
      <w:rFonts w:ascii="宋体" w:hAnsi="Times New Roman" w:eastAsia="宋体" w:cs="Times New Roman"/>
      <w:kern w:val="0"/>
      <w:sz w:val="20"/>
      <w:szCs w:val="21"/>
    </w:rPr>
  </w:style>
  <w:style w:type="character" w:customStyle="1" w:styleId="253">
    <w:name w:val="正文-ls Char Char"/>
    <w:qFormat/>
    <w:uiPriority w:val="0"/>
    <w:rPr>
      <w:rFonts w:hAnsi="宋体" w:cs="宋体"/>
      <w:kern w:val="2"/>
      <w:sz w:val="24"/>
      <w:szCs w:val="24"/>
    </w:rPr>
  </w:style>
  <w:style w:type="paragraph" w:customStyle="1" w:styleId="254">
    <w:name w:val="邓表格文字"/>
    <w:basedOn w:val="1"/>
    <w:link w:val="274"/>
    <w:autoRedefine/>
    <w:qFormat/>
    <w:uiPriority w:val="0"/>
    <w:pPr>
      <w:jc w:val="center"/>
    </w:pPr>
    <w:rPr>
      <w:sz w:val="18"/>
      <w:szCs w:val="21"/>
    </w:rPr>
  </w:style>
  <w:style w:type="paragraph" w:customStyle="1" w:styleId="255">
    <w:name w:val="邓图后正文"/>
    <w:basedOn w:val="1"/>
    <w:link w:val="527"/>
    <w:autoRedefine/>
    <w:qFormat/>
    <w:uiPriority w:val="0"/>
    <w:pPr>
      <w:snapToGrid w:val="0"/>
      <w:spacing w:line="360" w:lineRule="auto"/>
      <w:jc w:val="center"/>
    </w:pPr>
    <w:rPr>
      <w:rFonts w:ascii="黑体" w:hAnsi="黑体" w:eastAsia="黑体"/>
      <w:b/>
      <w:bCs/>
    </w:rPr>
  </w:style>
  <w:style w:type="paragraph" w:customStyle="1" w:styleId="256">
    <w:name w:val="环评 正文"/>
    <w:basedOn w:val="1"/>
    <w:link w:val="257"/>
    <w:qFormat/>
    <w:uiPriority w:val="0"/>
    <w:pPr>
      <w:spacing w:line="360" w:lineRule="auto"/>
      <w:ind w:firstLine="200" w:firstLineChars="200"/>
    </w:pPr>
  </w:style>
  <w:style w:type="character" w:customStyle="1" w:styleId="257">
    <w:name w:val="环评 正文 Char Char"/>
    <w:link w:val="256"/>
    <w:qFormat/>
    <w:uiPriority w:val="0"/>
    <w:rPr>
      <w:rFonts w:ascii="宋体" w:hAnsi="宋体" w:eastAsia="宋体" w:cs="Times New Roman"/>
      <w:kern w:val="0"/>
      <w:sz w:val="24"/>
      <w:szCs w:val="20"/>
    </w:rPr>
  </w:style>
  <w:style w:type="character" w:customStyle="1" w:styleId="258">
    <w:name w:val="标题 1 Char2"/>
    <w:qFormat/>
    <w:uiPriority w:val="0"/>
    <w:rPr>
      <w:rFonts w:ascii="宋体" w:hAnsi="宋体"/>
      <w:b/>
      <w:bCs/>
      <w:kern w:val="44"/>
      <w:sz w:val="44"/>
      <w:szCs w:val="44"/>
    </w:rPr>
  </w:style>
  <w:style w:type="character" w:customStyle="1" w:styleId="259">
    <w:name w:val="标题 2 Char1"/>
    <w:semiHidden/>
    <w:qFormat/>
    <w:uiPriority w:val="0"/>
    <w:rPr>
      <w:rFonts w:ascii="Cambria" w:hAnsi="Cambria" w:eastAsia="宋体" w:cs="Times New Roman"/>
      <w:b/>
      <w:bCs/>
      <w:sz w:val="32"/>
      <w:szCs w:val="32"/>
    </w:rPr>
  </w:style>
  <w:style w:type="character" w:customStyle="1" w:styleId="260">
    <w:name w:val="标题 3 Char1"/>
    <w:qFormat/>
    <w:uiPriority w:val="0"/>
    <w:rPr>
      <w:rFonts w:ascii="宋体" w:hAnsi="宋体"/>
      <w:b/>
      <w:bCs/>
      <w:sz w:val="32"/>
      <w:szCs w:val="32"/>
    </w:rPr>
  </w:style>
  <w:style w:type="character" w:customStyle="1" w:styleId="261">
    <w:name w:val="标题 4 Char2"/>
    <w:qFormat/>
    <w:uiPriority w:val="0"/>
    <w:rPr>
      <w:rFonts w:ascii="Cambria" w:hAnsi="Cambria" w:eastAsia="宋体" w:cs="Times New Roman"/>
      <w:b/>
      <w:bCs/>
      <w:sz w:val="28"/>
      <w:szCs w:val="28"/>
    </w:rPr>
  </w:style>
  <w:style w:type="character" w:customStyle="1" w:styleId="262">
    <w:name w:val="页脚 Char1"/>
    <w:semiHidden/>
    <w:qFormat/>
    <w:uiPriority w:val="99"/>
    <w:rPr>
      <w:rFonts w:ascii="宋体" w:hAnsi="宋体"/>
      <w:sz w:val="18"/>
      <w:szCs w:val="18"/>
    </w:rPr>
  </w:style>
  <w:style w:type="character" w:customStyle="1" w:styleId="263">
    <w:name w:val="！正文 Char"/>
    <w:link w:val="264"/>
    <w:qFormat/>
    <w:locked/>
    <w:uiPriority w:val="0"/>
    <w:rPr>
      <w:rFonts w:eastAsia="Times New Roman"/>
      <w:sz w:val="24"/>
    </w:rPr>
  </w:style>
  <w:style w:type="paragraph" w:customStyle="1" w:styleId="264">
    <w:name w:val="！正文"/>
    <w:basedOn w:val="1"/>
    <w:link w:val="263"/>
    <w:qFormat/>
    <w:uiPriority w:val="0"/>
    <w:pPr>
      <w:spacing w:line="500" w:lineRule="exact"/>
      <w:ind w:firstLine="200" w:firstLineChars="200"/>
    </w:pPr>
    <w:rPr>
      <w:rFonts w:ascii="Calibri" w:hAnsi="Calibri" w:eastAsia="Times New Roman"/>
    </w:rPr>
  </w:style>
  <w:style w:type="paragraph" w:customStyle="1" w:styleId="265">
    <w:name w:val="邓表后空格"/>
    <w:basedOn w:val="171"/>
    <w:link w:val="266"/>
    <w:qFormat/>
    <w:uiPriority w:val="0"/>
    <w:pPr>
      <w:spacing w:line="240" w:lineRule="exact"/>
      <w:ind w:firstLine="0" w:firstLineChars="0"/>
    </w:pPr>
    <w:rPr>
      <w:rFonts w:eastAsia="宋体"/>
      <w:sz w:val="18"/>
    </w:rPr>
  </w:style>
  <w:style w:type="character" w:customStyle="1" w:styleId="266">
    <w:name w:val="邓表后空格 Char"/>
    <w:link w:val="265"/>
    <w:qFormat/>
    <w:uiPriority w:val="0"/>
    <w:rPr>
      <w:rFonts w:ascii="楷体_GB2312" w:hAnsi="楷体_GB2312" w:eastAsia="宋体" w:cs="Times New Roman"/>
      <w:kern w:val="0"/>
      <w:sz w:val="18"/>
      <w:szCs w:val="24"/>
    </w:rPr>
  </w:style>
  <w:style w:type="paragraph" w:customStyle="1" w:styleId="267">
    <w:name w:val="标题4 样式"/>
    <w:autoRedefine/>
    <w:qFormat/>
    <w:uiPriority w:val="99"/>
    <w:pPr>
      <w:adjustRightInd w:val="0"/>
      <w:snapToGrid w:val="0"/>
      <w:spacing w:line="360" w:lineRule="auto"/>
      <w:outlineLvl w:val="3"/>
    </w:pPr>
    <w:rPr>
      <w:rFonts w:ascii="仿宋" w:hAnsi="仿宋" w:eastAsia="仿宋" w:cs="宋体"/>
      <w:b/>
      <w:color w:val="000000"/>
      <w:kern w:val="2"/>
      <w:sz w:val="24"/>
      <w:szCs w:val="24"/>
      <w:lang w:val="en-US" w:eastAsia="zh-CN" w:bidi="ar-SA"/>
    </w:rPr>
  </w:style>
  <w:style w:type="character" w:customStyle="1" w:styleId="268">
    <w:name w:val="fu正文 Char"/>
    <w:link w:val="269"/>
    <w:qFormat/>
    <w:uiPriority w:val="0"/>
    <w:rPr>
      <w:rFonts w:ascii="Times New Roman" w:hAnsi="Times New Roman"/>
      <w:color w:val="000000"/>
      <w:sz w:val="24"/>
      <w:szCs w:val="24"/>
    </w:rPr>
  </w:style>
  <w:style w:type="paragraph" w:customStyle="1" w:styleId="269">
    <w:name w:val="fu正文"/>
    <w:basedOn w:val="1"/>
    <w:link w:val="268"/>
    <w:qFormat/>
    <w:uiPriority w:val="0"/>
    <w:pPr>
      <w:spacing w:line="360" w:lineRule="auto"/>
      <w:ind w:firstLine="200" w:firstLineChars="200"/>
    </w:pPr>
    <w:rPr>
      <w:color w:val="000000"/>
    </w:rPr>
  </w:style>
  <w:style w:type="character" w:customStyle="1" w:styleId="270">
    <w:name w:val="表格15 Char"/>
    <w:link w:val="271"/>
    <w:qFormat/>
    <w:uiPriority w:val="0"/>
    <w:rPr>
      <w:rFonts w:ascii="宋体" w:hAnsi="Times New Roman"/>
      <w:szCs w:val="28"/>
    </w:rPr>
  </w:style>
  <w:style w:type="paragraph" w:customStyle="1" w:styleId="271">
    <w:name w:val="表格15"/>
    <w:basedOn w:val="1"/>
    <w:link w:val="270"/>
    <w:qFormat/>
    <w:uiPriority w:val="0"/>
    <w:pPr>
      <w:adjustRightInd w:val="0"/>
      <w:snapToGrid w:val="0"/>
      <w:spacing w:line="300" w:lineRule="exact"/>
      <w:jc w:val="center"/>
      <w:textAlignment w:val="baseline"/>
    </w:pPr>
    <w:rPr>
      <w:sz w:val="20"/>
      <w:szCs w:val="28"/>
    </w:rPr>
  </w:style>
  <w:style w:type="character" w:customStyle="1" w:styleId="272">
    <w:name w:val="正文样式 Char1"/>
    <w:qFormat/>
    <w:uiPriority w:val="0"/>
    <w:rPr>
      <w:rFonts w:ascii="宋体" w:hAnsi="宋体" w:eastAsia="宋体" w:cs="Times New Roman"/>
      <w:color w:val="000000"/>
      <w:sz w:val="24"/>
      <w:szCs w:val="24"/>
    </w:rPr>
  </w:style>
  <w:style w:type="character" w:customStyle="1" w:styleId="273">
    <w:name w:val="纯文本 字符"/>
    <w:qFormat/>
    <w:uiPriority w:val="0"/>
    <w:rPr>
      <w:rFonts w:ascii="宋体" w:hAnsi="Courier New" w:cs="Courier New"/>
      <w:kern w:val="2"/>
      <w:sz w:val="21"/>
      <w:szCs w:val="21"/>
    </w:rPr>
  </w:style>
  <w:style w:type="character" w:customStyle="1" w:styleId="274">
    <w:name w:val="邓表格文字 Char"/>
    <w:link w:val="254"/>
    <w:qFormat/>
    <w:locked/>
    <w:uiPriority w:val="0"/>
    <w:rPr>
      <w:rFonts w:ascii="Times New Roman" w:hAnsi="Times New Roman" w:eastAsia="宋体" w:cs="Times New Roman"/>
      <w:kern w:val="0"/>
      <w:sz w:val="18"/>
      <w:szCs w:val="21"/>
    </w:rPr>
  </w:style>
  <w:style w:type="paragraph" w:customStyle="1" w:styleId="275">
    <w:name w:val="我的正文"/>
    <w:basedOn w:val="1"/>
    <w:link w:val="276"/>
    <w:qFormat/>
    <w:uiPriority w:val="0"/>
    <w:pPr>
      <w:spacing w:line="440" w:lineRule="exact"/>
      <w:ind w:firstLine="200" w:firstLineChars="200"/>
    </w:pPr>
    <w:rPr>
      <w:rFonts w:ascii="Calibri" w:hAnsi="Calibri"/>
    </w:rPr>
  </w:style>
  <w:style w:type="character" w:customStyle="1" w:styleId="276">
    <w:name w:val="我的正文 Char"/>
    <w:link w:val="275"/>
    <w:qFormat/>
    <w:locked/>
    <w:uiPriority w:val="0"/>
    <w:rPr>
      <w:rFonts w:ascii="Calibri" w:hAnsi="Calibri" w:eastAsia="宋体" w:cs="Times New Roman"/>
      <w:kern w:val="0"/>
      <w:sz w:val="24"/>
      <w:szCs w:val="24"/>
    </w:rPr>
  </w:style>
  <w:style w:type="paragraph" w:customStyle="1" w:styleId="277">
    <w:name w:val="我的表格"/>
    <w:basedOn w:val="1"/>
    <w:link w:val="732"/>
    <w:qFormat/>
    <w:uiPriority w:val="0"/>
    <w:pPr>
      <w:autoSpaceDE w:val="0"/>
      <w:autoSpaceDN w:val="0"/>
      <w:adjustRightInd w:val="0"/>
      <w:jc w:val="center"/>
    </w:pPr>
    <w:rPr>
      <w:rFonts w:ascii="Calibri" w:hAnsi="Calibri"/>
      <w:szCs w:val="21"/>
    </w:rPr>
  </w:style>
  <w:style w:type="character" w:customStyle="1" w:styleId="278">
    <w:name w:val="脚注文本 字符"/>
    <w:link w:val="48"/>
    <w:qFormat/>
    <w:uiPriority w:val="0"/>
    <w:rPr>
      <w:rFonts w:ascii="宋体"/>
      <w:sz w:val="18"/>
    </w:rPr>
  </w:style>
  <w:style w:type="character" w:customStyle="1" w:styleId="279">
    <w:name w:val="Footnote Text Char1"/>
    <w:semiHidden/>
    <w:qFormat/>
    <w:uiPriority w:val="99"/>
    <w:rPr>
      <w:rFonts w:ascii="Times New Roman" w:hAnsi="Times New Roman" w:eastAsia="宋体" w:cs="Times New Roman"/>
      <w:sz w:val="18"/>
      <w:szCs w:val="18"/>
    </w:rPr>
  </w:style>
  <w:style w:type="character" w:customStyle="1" w:styleId="280">
    <w:name w:val="脚注文本 Char1"/>
    <w:qFormat/>
    <w:uiPriority w:val="0"/>
    <w:rPr>
      <w:rFonts w:ascii="Times New Roman" w:hAnsi="Times New Roman" w:eastAsia="宋体" w:cs="Times New Roman"/>
      <w:sz w:val="18"/>
      <w:szCs w:val="18"/>
    </w:rPr>
  </w:style>
  <w:style w:type="paragraph" w:customStyle="1" w:styleId="281">
    <w:name w:val="w正文"/>
    <w:basedOn w:val="1"/>
    <w:link w:val="282"/>
    <w:qFormat/>
    <w:uiPriority w:val="0"/>
    <w:pPr>
      <w:overflowPunct w:val="0"/>
      <w:spacing w:line="360" w:lineRule="auto"/>
      <w:ind w:firstLine="200" w:firstLineChars="200"/>
      <w:jc w:val="both"/>
    </w:pPr>
    <w:rPr>
      <w:rFonts w:ascii="Times New Roman" w:hAnsi="Times New Roman"/>
      <w:szCs w:val="21"/>
    </w:rPr>
  </w:style>
  <w:style w:type="character" w:customStyle="1" w:styleId="282">
    <w:name w:val="w正文 Char"/>
    <w:link w:val="281"/>
    <w:qFormat/>
    <w:uiPriority w:val="0"/>
    <w:rPr>
      <w:rFonts w:ascii="Times New Roman" w:hAnsi="Times New Roman" w:cs="宋体"/>
      <w:sz w:val="24"/>
      <w:szCs w:val="21"/>
    </w:rPr>
  </w:style>
  <w:style w:type="paragraph" w:customStyle="1" w:styleId="283">
    <w:name w:val="Table Paragraph"/>
    <w:basedOn w:val="1"/>
    <w:link w:val="919"/>
    <w:qFormat/>
    <w:uiPriority w:val="1"/>
    <w:rPr>
      <w:rFonts w:ascii="Calibri" w:hAnsi="Calibri" w:eastAsia="Calibri"/>
      <w:sz w:val="22"/>
      <w:szCs w:val="22"/>
      <w:lang w:eastAsia="en-US"/>
    </w:rPr>
  </w:style>
  <w:style w:type="character" w:customStyle="1" w:styleId="284">
    <w:name w:val="报告正文 Char1"/>
    <w:link w:val="285"/>
    <w:qFormat/>
    <w:locked/>
    <w:uiPriority w:val="99"/>
    <w:rPr>
      <w:rFonts w:eastAsia="仿宋_GB2312"/>
      <w:color w:val="000000"/>
      <w:spacing w:val="-4"/>
      <w:sz w:val="28"/>
    </w:rPr>
  </w:style>
  <w:style w:type="paragraph" w:customStyle="1" w:styleId="285">
    <w:name w:val="报告正文"/>
    <w:basedOn w:val="1"/>
    <w:link w:val="284"/>
    <w:qFormat/>
    <w:uiPriority w:val="99"/>
    <w:pPr>
      <w:tabs>
        <w:tab w:val="left" w:pos="3319"/>
      </w:tabs>
      <w:ind w:firstLine="480" w:firstLineChars="200"/>
    </w:pPr>
    <w:rPr>
      <w:rFonts w:ascii="Calibri" w:hAnsi="Calibri" w:eastAsia="仿宋_GB2312"/>
      <w:color w:val="000000"/>
      <w:spacing w:val="-4"/>
      <w:sz w:val="28"/>
    </w:rPr>
  </w:style>
  <w:style w:type="paragraph" w:customStyle="1" w:styleId="286">
    <w:name w:val="HT normal"/>
    <w:basedOn w:val="1"/>
    <w:qFormat/>
    <w:uiPriority w:val="99"/>
    <w:pPr>
      <w:spacing w:line="280" w:lineRule="atLeast"/>
    </w:pPr>
    <w:rPr>
      <w:rFonts w:ascii="Arial" w:hAnsi="Arial" w:cs="Arial"/>
      <w:sz w:val="22"/>
      <w:szCs w:val="22"/>
    </w:rPr>
  </w:style>
  <w:style w:type="character" w:customStyle="1" w:styleId="287">
    <w:name w:val="Heading 4 Char1"/>
    <w:qFormat/>
    <w:uiPriority w:val="0"/>
    <w:rPr>
      <w:sz w:val="24"/>
    </w:rPr>
  </w:style>
  <w:style w:type="character" w:customStyle="1" w:styleId="288">
    <w:name w:val="Heading 7 Char1"/>
    <w:qFormat/>
    <w:uiPriority w:val="0"/>
    <w:rPr>
      <w:rFonts w:ascii="Cambria Math" w:hAnsi="Cambria Math"/>
      <w:b/>
      <w:sz w:val="24"/>
    </w:rPr>
  </w:style>
  <w:style w:type="character" w:customStyle="1" w:styleId="289">
    <w:name w:val="Body Text Char1"/>
    <w:qFormat/>
    <w:uiPriority w:val="0"/>
    <w:rPr>
      <w:rFonts w:ascii="Cambria Math" w:hAnsi="Cambria Math" w:cs="Cambria Math"/>
      <w:sz w:val="24"/>
    </w:rPr>
  </w:style>
  <w:style w:type="character" w:customStyle="1" w:styleId="290">
    <w:name w:val="nwsh_c1"/>
    <w:qFormat/>
    <w:uiPriority w:val="0"/>
    <w:rPr>
      <w:sz w:val="18"/>
      <w:szCs w:val="18"/>
    </w:rPr>
  </w:style>
  <w:style w:type="character" w:customStyle="1" w:styleId="291">
    <w:name w:val="Footer Char1"/>
    <w:qFormat/>
    <w:uiPriority w:val="0"/>
    <w:rPr>
      <w:sz w:val="18"/>
    </w:rPr>
  </w:style>
  <w:style w:type="character" w:customStyle="1" w:styleId="292">
    <w:name w:val="正文样式 Char"/>
    <w:qFormat/>
    <w:uiPriority w:val="0"/>
    <w:rPr>
      <w:rFonts w:eastAsia="Cambria Math" w:cs="Cambria Math"/>
      <w:kern w:val="2"/>
      <w:sz w:val="24"/>
      <w:szCs w:val="24"/>
      <w:lang w:val="en-US" w:eastAsia="zh-CN" w:bidi="ar-SA"/>
    </w:rPr>
  </w:style>
  <w:style w:type="character" w:customStyle="1" w:styleId="293">
    <w:name w:val="正文文本 3 字符"/>
    <w:link w:val="23"/>
    <w:qFormat/>
    <w:uiPriority w:val="0"/>
    <w:rPr>
      <w:rFonts w:ascii="Cambria Math" w:hAnsi="Cambria Math" w:eastAsia="宋体" w:cs="Times New Roman"/>
      <w:kern w:val="0"/>
      <w:sz w:val="28"/>
      <w:szCs w:val="24"/>
    </w:rPr>
  </w:style>
  <w:style w:type="paragraph" w:customStyle="1" w:styleId="294">
    <w:name w:val="Char Char Char Char Char Char Char Char Char Char"/>
    <w:basedOn w:val="1"/>
    <w:qFormat/>
    <w:uiPriority w:val="99"/>
    <w:pPr>
      <w:spacing w:line="360" w:lineRule="auto"/>
      <w:ind w:firstLine="200" w:firstLineChars="200"/>
    </w:pPr>
    <w:rPr>
      <w:rFonts w:ascii="Cambria Math" w:hAnsi="Cambria Math" w:cs="Cambria Math"/>
    </w:rPr>
  </w:style>
  <w:style w:type="paragraph" w:customStyle="1" w:styleId="295">
    <w:name w:val="默认段落字体 Para Char Char Char Char"/>
    <w:basedOn w:val="1"/>
    <w:qFormat/>
    <w:uiPriority w:val="99"/>
    <w:rPr>
      <w:rFonts w:ascii="Cambria Math" w:hAnsi="Cambria Math" w:cs="Cambria Math"/>
      <w:color w:val="000000"/>
      <w:szCs w:val="21"/>
    </w:rPr>
  </w:style>
  <w:style w:type="paragraph" w:customStyle="1" w:styleId="296">
    <w:name w:val="??"/>
    <w:qFormat/>
    <w:uiPriority w:val="99"/>
    <w:pPr>
      <w:widowControl w:val="0"/>
      <w:overflowPunct w:val="0"/>
      <w:autoSpaceDE w:val="0"/>
      <w:autoSpaceDN w:val="0"/>
      <w:adjustRightInd w:val="0"/>
      <w:jc w:val="both"/>
      <w:textAlignment w:val="baseline"/>
    </w:pPr>
    <w:rPr>
      <w:rFonts w:ascii="Calibri" w:hAnsi="Calibri" w:eastAsia="宋体" w:cs="Times New Roman"/>
      <w:kern w:val="2"/>
      <w:sz w:val="21"/>
      <w:lang w:val="en-US" w:eastAsia="zh-CN" w:bidi="ar-SA"/>
    </w:rPr>
  </w:style>
  <w:style w:type="paragraph" w:customStyle="1" w:styleId="297">
    <w:name w:val="proposal"/>
    <w:basedOn w:val="1"/>
    <w:qFormat/>
    <w:uiPriority w:val="99"/>
    <w:pPr>
      <w:spacing w:line="300" w:lineRule="auto"/>
      <w:ind w:left="1440" w:hanging="1440"/>
    </w:pPr>
    <w:rPr>
      <w:rFonts w:ascii="Cambria Math" w:hAnsi="Cambria Math" w:cs="Cambria Math"/>
      <w:lang w:val="en-GB" w:eastAsia="en-GB"/>
    </w:rPr>
  </w:style>
  <w:style w:type="paragraph" w:customStyle="1" w:styleId="298">
    <w:name w:val="2"/>
    <w:next w:val="1"/>
    <w:link w:val="661"/>
    <w:qFormat/>
    <w:uiPriority w:val="0"/>
    <w:pPr>
      <w:widowControl w:val="0"/>
      <w:jc w:val="both"/>
    </w:pPr>
    <w:rPr>
      <w:rFonts w:ascii="Calibri" w:hAnsi="Calibri" w:eastAsia="宋体" w:cs="Times New Roman"/>
      <w:sz w:val="21"/>
      <w:szCs w:val="24"/>
      <w:lang w:val="en-US" w:eastAsia="zh-CN" w:bidi="ar-SA"/>
    </w:rPr>
  </w:style>
  <w:style w:type="paragraph" w:customStyle="1" w:styleId="299">
    <w:name w:val="qilu"/>
    <w:basedOn w:val="1"/>
    <w:qFormat/>
    <w:uiPriority w:val="99"/>
    <w:pPr>
      <w:spacing w:line="360" w:lineRule="auto"/>
    </w:pPr>
    <w:rPr>
      <w:rFonts w:ascii="Cambria Math" w:hAnsi="Cambria Math" w:cs="Arial Bold"/>
      <w:b/>
      <w:lang w:bidi="en-US"/>
    </w:rPr>
  </w:style>
  <w:style w:type="paragraph" w:customStyle="1" w:styleId="300">
    <w:name w:val="Text"/>
    <w:basedOn w:val="57"/>
    <w:qFormat/>
    <w:uiPriority w:val="99"/>
    <w:pPr>
      <w:ind w:left="0" w:leftChars="0"/>
    </w:pPr>
    <w:rPr>
      <w:szCs w:val="20"/>
      <w:lang w:eastAsia="en-US"/>
    </w:rPr>
  </w:style>
  <w:style w:type="paragraph" w:customStyle="1" w:styleId="301">
    <w:name w:val="1"/>
    <w:basedOn w:val="1"/>
    <w:qFormat/>
    <w:uiPriority w:val="99"/>
    <w:pPr>
      <w:spacing w:before="100" w:beforeAutospacing="1" w:after="100" w:afterAutospacing="1"/>
    </w:pPr>
    <w:rPr>
      <w:rFonts w:ascii="Cambria Math" w:hAnsi="Cambria Math" w:cs="Cambria Math"/>
    </w:rPr>
  </w:style>
  <w:style w:type="paragraph" w:customStyle="1" w:styleId="302">
    <w:name w:val="CM13"/>
    <w:basedOn w:val="1"/>
    <w:next w:val="1"/>
    <w:qFormat/>
    <w:uiPriority w:val="99"/>
    <w:pPr>
      <w:autoSpaceDE w:val="0"/>
      <w:autoSpaceDN w:val="0"/>
      <w:adjustRightInd w:val="0"/>
    </w:pPr>
    <w:rPr>
      <w:rFonts w:ascii="Cambria Math" w:hAnsi="Cambria Math" w:cs="Cambria Math"/>
    </w:rPr>
  </w:style>
  <w:style w:type="paragraph" w:customStyle="1" w:styleId="303">
    <w:name w:val="Char"/>
    <w:basedOn w:val="1"/>
    <w:qFormat/>
    <w:uiPriority w:val="0"/>
    <w:pPr>
      <w:spacing w:after="160" w:line="240" w:lineRule="exact"/>
    </w:pPr>
    <w:rPr>
      <w:rFonts w:ascii="Cambria Math" w:hAnsi="Cambria Math" w:eastAsia="Arial Bold" w:cs="Cambria Math"/>
      <w:lang w:eastAsia="en-US"/>
    </w:rPr>
  </w:style>
  <w:style w:type="paragraph" w:customStyle="1" w:styleId="304">
    <w:name w:val="修订1"/>
    <w:unhideWhenUsed/>
    <w:qFormat/>
    <w:uiPriority w:val="99"/>
    <w:rPr>
      <w:rFonts w:ascii="Calibri" w:hAnsi="Calibri" w:eastAsia="宋体" w:cs="Times New Roman"/>
      <w:sz w:val="21"/>
      <w:szCs w:val="24"/>
      <w:lang w:val="en-US" w:eastAsia="zh-CN" w:bidi="ar-SA"/>
    </w:rPr>
  </w:style>
  <w:style w:type="paragraph" w:customStyle="1" w:styleId="305">
    <w:name w:val="Char1"/>
    <w:basedOn w:val="1"/>
    <w:qFormat/>
    <w:uiPriority w:val="99"/>
    <w:rPr>
      <w:rFonts w:ascii="Cambria Math" w:hAnsi="Cambria Math" w:cs="Cambria Math"/>
    </w:rPr>
  </w:style>
  <w:style w:type="paragraph" w:customStyle="1" w:styleId="306">
    <w:name w:val="HT Normal"/>
    <w:basedOn w:val="1"/>
    <w:qFormat/>
    <w:uiPriority w:val="99"/>
    <w:pPr>
      <w:spacing w:line="280" w:lineRule="atLeast"/>
    </w:pPr>
    <w:rPr>
      <w:rFonts w:ascii="Arial Bold" w:hAnsi="Arial Bold" w:cs="Arial Bold"/>
      <w:sz w:val="22"/>
      <w:lang w:val="en-GB" w:eastAsia="en-US"/>
    </w:rPr>
  </w:style>
  <w:style w:type="paragraph" w:customStyle="1" w:styleId="307">
    <w:name w:val="表－居中列"/>
    <w:basedOn w:val="1"/>
    <w:link w:val="308"/>
    <w:qFormat/>
    <w:uiPriority w:val="0"/>
    <w:pPr>
      <w:suppressLineNumbers/>
      <w:suppressAutoHyphens/>
      <w:snapToGrid w:val="0"/>
      <w:spacing w:before="60" w:after="60"/>
      <w:jc w:val="center"/>
    </w:pPr>
    <w:rPr>
      <w:rFonts w:ascii="Cambria Math" w:hAnsi="Cambria Math"/>
      <w:szCs w:val="21"/>
      <w:lang w:eastAsia="ja-JP"/>
    </w:rPr>
  </w:style>
  <w:style w:type="character" w:customStyle="1" w:styleId="308">
    <w:name w:val="表－居中列 Char"/>
    <w:link w:val="307"/>
    <w:qFormat/>
    <w:uiPriority w:val="0"/>
    <w:rPr>
      <w:rFonts w:ascii="Cambria Math" w:hAnsi="Cambria Math" w:eastAsia="宋体" w:cs="Times New Roman"/>
      <w:kern w:val="0"/>
      <w:sz w:val="24"/>
      <w:szCs w:val="21"/>
      <w:lang w:eastAsia="ja-JP"/>
    </w:rPr>
  </w:style>
  <w:style w:type="paragraph" w:customStyle="1" w:styleId="309">
    <w:name w:val="Normal1"/>
    <w:qFormat/>
    <w:uiPriority w:val="99"/>
    <w:pPr>
      <w:widowControl w:val="0"/>
      <w:adjustRightInd w:val="0"/>
      <w:spacing w:line="307" w:lineRule="atLeast"/>
      <w:jc w:val="both"/>
      <w:textAlignment w:val="baseline"/>
    </w:pPr>
    <w:rPr>
      <w:rFonts w:ascii="Cambria Math" w:hAnsi="Calibri" w:eastAsia="宋体" w:cs="Times New Roman"/>
      <w:sz w:val="18"/>
      <w:lang w:val="en-US" w:eastAsia="zh-CN" w:bidi="ar-SA"/>
    </w:rPr>
  </w:style>
  <w:style w:type="paragraph" w:customStyle="1" w:styleId="310">
    <w:name w:val="Char Char Char Char Char Char Char"/>
    <w:basedOn w:val="1"/>
    <w:qFormat/>
    <w:uiPriority w:val="99"/>
    <w:rPr>
      <w:rFonts w:ascii="Cambria Math" w:hAnsi="Cambria Math" w:cs="Cambria Math"/>
      <w:szCs w:val="21"/>
    </w:rPr>
  </w:style>
  <w:style w:type="paragraph" w:customStyle="1" w:styleId="311">
    <w:name w:val="正文 自定义"/>
    <w:basedOn w:val="1"/>
    <w:qFormat/>
    <w:uiPriority w:val="99"/>
    <w:pPr>
      <w:spacing w:before="156" w:line="360" w:lineRule="auto"/>
      <w:ind w:firstLine="480" w:firstLineChars="200"/>
    </w:pPr>
    <w:rPr>
      <w:rFonts w:ascii="Cambria Math" w:hAnsi="Cambria Math" w:cs="Cambria Math"/>
    </w:rPr>
  </w:style>
  <w:style w:type="paragraph" w:customStyle="1" w:styleId="312">
    <w:name w:val="xl31"/>
    <w:basedOn w:val="1"/>
    <w:qFormat/>
    <w:uiPriority w:val="99"/>
    <w:pPr>
      <w:spacing w:before="100" w:beforeAutospacing="1" w:after="100" w:afterAutospacing="1"/>
      <w:jc w:val="center"/>
    </w:pPr>
    <w:rPr>
      <w:rFonts w:ascii="Cambria Math" w:hAnsi="Cambria Math" w:cs="Cambria Math"/>
    </w:rPr>
  </w:style>
  <w:style w:type="table" w:customStyle="1" w:styleId="313">
    <w:name w:val="Table Normal1"/>
    <w:unhideWhenUsed/>
    <w:qFormat/>
    <w:uiPriority w:val="2"/>
    <w:pPr>
      <w:widowControl w:val="0"/>
    </w:pPr>
    <w:rPr>
      <w:rFonts w:ascii="Marigold (PCL6)" w:hAnsi="Marigold (PCL6)"/>
      <w:sz w:val="22"/>
      <w:szCs w:val="22"/>
      <w:lang w:eastAsia="en-US"/>
    </w:rPr>
    <w:tblPr>
      <w:tblCellMar>
        <w:top w:w="0" w:type="dxa"/>
        <w:left w:w="0" w:type="dxa"/>
        <w:bottom w:w="0" w:type="dxa"/>
        <w:right w:w="0" w:type="dxa"/>
      </w:tblCellMar>
    </w:tblPr>
  </w:style>
  <w:style w:type="character" w:customStyle="1" w:styleId="314">
    <w:name w:val="z1"/>
    <w:qFormat/>
    <w:uiPriority w:val="0"/>
    <w:rPr>
      <w:sz w:val="18"/>
      <w:szCs w:val="18"/>
    </w:rPr>
  </w:style>
  <w:style w:type="character" w:customStyle="1" w:styleId="315">
    <w:name w:val="明显引用 Char"/>
    <w:link w:val="316"/>
    <w:qFormat/>
    <w:uiPriority w:val="0"/>
    <w:rPr>
      <w:rFonts w:ascii="Cambria" w:hAnsi="Cambria"/>
      <w:caps/>
      <w:color w:val="622423"/>
      <w:spacing w:val="5"/>
      <w:lang w:eastAsia="en-US"/>
    </w:rPr>
  </w:style>
  <w:style w:type="paragraph" w:customStyle="1" w:styleId="316">
    <w:name w:val="明显引用1"/>
    <w:basedOn w:val="1"/>
    <w:next w:val="1"/>
    <w:link w:val="315"/>
    <w:qFormat/>
    <w:uiPriority w:val="0"/>
    <w:pPr>
      <w:pBdr>
        <w:top w:val="dotted" w:color="632423" w:sz="2" w:space="10"/>
        <w:bottom w:val="dotted" w:color="632423" w:sz="2" w:space="4"/>
      </w:pBdr>
      <w:spacing w:before="160" w:after="200" w:line="300" w:lineRule="auto"/>
      <w:ind w:left="1440" w:right="1440" w:hanging="851" w:hangingChars="200"/>
    </w:pPr>
    <w:rPr>
      <w:rFonts w:ascii="Cambria" w:hAnsi="Cambria"/>
      <w:caps/>
      <w:color w:val="622423"/>
      <w:spacing w:val="5"/>
      <w:sz w:val="20"/>
      <w:lang w:eastAsia="en-US"/>
    </w:rPr>
  </w:style>
  <w:style w:type="character" w:customStyle="1" w:styleId="317">
    <w:name w:val="description5"/>
    <w:basedOn w:val="67"/>
    <w:qFormat/>
    <w:uiPriority w:val="0"/>
  </w:style>
  <w:style w:type="character" w:customStyle="1" w:styleId="318">
    <w:name w:val="cucd-TB-Head Char Char1"/>
    <w:qFormat/>
    <w:uiPriority w:val="0"/>
    <w:rPr>
      <w:rFonts w:ascii="宋体" w:hAnsi="宋体" w:eastAsia="黑体"/>
      <w:color w:val="000000"/>
      <w:kern w:val="2"/>
      <w:sz w:val="24"/>
      <w:szCs w:val="21"/>
      <w:lang w:val="en-US" w:eastAsia="zh-CN" w:bidi="ar-SA"/>
    </w:rPr>
  </w:style>
  <w:style w:type="character" w:customStyle="1" w:styleId="319">
    <w:name w:val="标题 字符"/>
    <w:link w:val="61"/>
    <w:qFormat/>
    <w:uiPriority w:val="0"/>
    <w:rPr>
      <w:rFonts w:ascii="Arial" w:hAnsi="Arial" w:eastAsia="黑体"/>
      <w:sz w:val="36"/>
    </w:rPr>
  </w:style>
  <w:style w:type="character" w:customStyle="1" w:styleId="320">
    <w:name w:val="Title Char1"/>
    <w:qFormat/>
    <w:uiPriority w:val="10"/>
    <w:rPr>
      <w:rFonts w:ascii="Cambria" w:hAnsi="Cambria" w:eastAsia="宋体" w:cs="Times New Roman"/>
      <w:b/>
      <w:bCs/>
      <w:sz w:val="32"/>
      <w:szCs w:val="32"/>
    </w:rPr>
  </w:style>
  <w:style w:type="character" w:customStyle="1" w:styleId="321">
    <w:name w:val="Char Char2"/>
    <w:qFormat/>
    <w:uiPriority w:val="0"/>
    <w:rPr>
      <w:rFonts w:eastAsia="宋体"/>
      <w:kern w:val="2"/>
      <w:sz w:val="18"/>
      <w:szCs w:val="18"/>
      <w:lang w:val="en-US" w:eastAsia="zh-CN" w:bidi="ar-SA"/>
    </w:rPr>
  </w:style>
  <w:style w:type="character" w:customStyle="1" w:styleId="322">
    <w:name w:val="表格文字 Char Char1"/>
    <w:qFormat/>
    <w:uiPriority w:val="0"/>
    <w:rPr>
      <w:rFonts w:eastAsia="宋体"/>
      <w:kern w:val="2"/>
      <w:sz w:val="24"/>
      <w:lang w:val="en-US" w:eastAsia="zh-CN"/>
    </w:rPr>
  </w:style>
  <w:style w:type="character" w:customStyle="1" w:styleId="323">
    <w:name w:val="样式 表格文字 Char + 段前: 0.5 行 Char Char"/>
    <w:link w:val="324"/>
    <w:qFormat/>
    <w:uiPriority w:val="0"/>
    <w:rPr>
      <w:rFonts w:cs="宋体"/>
      <w:sz w:val="24"/>
    </w:rPr>
  </w:style>
  <w:style w:type="paragraph" w:customStyle="1" w:styleId="324">
    <w:name w:val="样式 表格文字 Char + 段前: 0.5 行"/>
    <w:basedOn w:val="1"/>
    <w:link w:val="323"/>
    <w:qFormat/>
    <w:uiPriority w:val="0"/>
    <w:pPr>
      <w:spacing w:beforeLines="50" w:line="360" w:lineRule="auto"/>
      <w:ind w:hanging="851" w:hangingChars="200"/>
      <w:jc w:val="center"/>
    </w:pPr>
    <w:rPr>
      <w:rFonts w:ascii="Calibri" w:hAnsi="Calibri"/>
    </w:rPr>
  </w:style>
  <w:style w:type="character" w:customStyle="1" w:styleId="325">
    <w:name w:val="cucd-0 Char11"/>
    <w:qFormat/>
    <w:uiPriority w:val="0"/>
    <w:rPr>
      <w:kern w:val="2"/>
      <w:sz w:val="24"/>
      <w:szCs w:val="24"/>
    </w:rPr>
  </w:style>
  <w:style w:type="character" w:customStyle="1" w:styleId="326">
    <w:name w:val="cucd-4 Char Char"/>
    <w:link w:val="327"/>
    <w:qFormat/>
    <w:uiPriority w:val="0"/>
    <w:rPr>
      <w:b/>
      <w:kern w:val="2"/>
      <w:sz w:val="24"/>
      <w:szCs w:val="24"/>
      <w:lang w:val="en-US" w:eastAsia="zh-CN" w:bidi="ar-SA"/>
    </w:rPr>
  </w:style>
  <w:style w:type="paragraph" w:customStyle="1" w:styleId="327">
    <w:name w:val="cucd-4"/>
    <w:next w:val="113"/>
    <w:link w:val="326"/>
    <w:qFormat/>
    <w:uiPriority w:val="0"/>
    <w:pPr>
      <w:tabs>
        <w:tab w:val="left" w:pos="945"/>
      </w:tabs>
      <w:spacing w:line="360" w:lineRule="auto"/>
      <w:ind w:left="851" w:hanging="851"/>
      <w:jc w:val="both"/>
      <w:outlineLvl w:val="3"/>
    </w:pPr>
    <w:rPr>
      <w:rFonts w:ascii="Calibri" w:hAnsi="Calibri" w:eastAsia="宋体" w:cs="Times New Roman"/>
      <w:b/>
      <w:kern w:val="2"/>
      <w:sz w:val="24"/>
      <w:szCs w:val="24"/>
      <w:lang w:val="en-US" w:eastAsia="zh-CN" w:bidi="ar-SA"/>
    </w:rPr>
  </w:style>
  <w:style w:type="character" w:customStyle="1" w:styleId="328">
    <w:name w:val="cucd-TB-Head Char Char Char"/>
    <w:qFormat/>
    <w:uiPriority w:val="0"/>
    <w:rPr>
      <w:rFonts w:eastAsia="黑体"/>
      <w:kern w:val="2"/>
      <w:sz w:val="24"/>
      <w:szCs w:val="21"/>
      <w:lang w:val="en-US" w:eastAsia="zh-CN" w:bidi="ar-SA"/>
    </w:rPr>
  </w:style>
  <w:style w:type="character" w:customStyle="1" w:styleId="329">
    <w:name w:val="cucd-TB Char Char"/>
    <w:qFormat/>
    <w:uiPriority w:val="0"/>
    <w:rPr>
      <w:rFonts w:eastAsia="宋体"/>
      <w:kern w:val="2"/>
      <w:sz w:val="21"/>
      <w:szCs w:val="24"/>
      <w:lang w:val="en-US" w:eastAsia="zh-CN" w:bidi="ar-SA"/>
    </w:rPr>
  </w:style>
  <w:style w:type="character" w:customStyle="1" w:styleId="330">
    <w:name w:val="cucd-0 Char Char Char Char Char Char Char Char Char Char"/>
    <w:link w:val="331"/>
    <w:qFormat/>
    <w:uiPriority w:val="0"/>
    <w:rPr>
      <w:kern w:val="2"/>
      <w:sz w:val="24"/>
      <w:szCs w:val="24"/>
      <w:lang w:val="en-US" w:eastAsia="zh-CN" w:bidi="ar-SA"/>
    </w:rPr>
  </w:style>
  <w:style w:type="paragraph" w:customStyle="1" w:styleId="331">
    <w:name w:val="cucd-0 Char Char Char Char Char Char Char Char"/>
    <w:link w:val="330"/>
    <w:qFormat/>
    <w:uiPriority w:val="0"/>
    <w:pPr>
      <w:spacing w:line="360" w:lineRule="auto"/>
      <w:ind w:left="851" w:firstLine="480" w:firstLineChars="200"/>
      <w:jc w:val="both"/>
    </w:pPr>
    <w:rPr>
      <w:rFonts w:ascii="Calibri" w:hAnsi="Calibri" w:eastAsia="宋体" w:cs="Times New Roman"/>
      <w:kern w:val="2"/>
      <w:sz w:val="24"/>
      <w:szCs w:val="24"/>
      <w:lang w:val="en-US" w:eastAsia="zh-CN" w:bidi="ar-SA"/>
    </w:rPr>
  </w:style>
  <w:style w:type="character" w:customStyle="1" w:styleId="332">
    <w:name w:val="cauc-0 Char1"/>
    <w:link w:val="333"/>
    <w:qFormat/>
    <w:uiPriority w:val="0"/>
    <w:rPr>
      <w:kern w:val="2"/>
      <w:sz w:val="24"/>
      <w:szCs w:val="22"/>
      <w:lang w:val="en-US" w:eastAsia="zh-CN" w:bidi="ar-SA"/>
    </w:rPr>
  </w:style>
  <w:style w:type="paragraph" w:customStyle="1" w:styleId="333">
    <w:name w:val="cauc-0"/>
    <w:link w:val="332"/>
    <w:qFormat/>
    <w:uiPriority w:val="0"/>
    <w:pPr>
      <w:spacing w:line="360" w:lineRule="auto"/>
      <w:ind w:left="851" w:firstLine="480" w:firstLineChars="200"/>
      <w:jc w:val="both"/>
    </w:pPr>
    <w:rPr>
      <w:rFonts w:ascii="Calibri" w:hAnsi="Calibri" w:eastAsia="宋体" w:cs="Times New Roman"/>
      <w:kern w:val="2"/>
      <w:sz w:val="24"/>
      <w:szCs w:val="22"/>
      <w:lang w:val="en-US" w:eastAsia="zh-CN" w:bidi="ar-SA"/>
    </w:rPr>
  </w:style>
  <w:style w:type="character" w:customStyle="1" w:styleId="334">
    <w:name w:val="HU-正文 Char Char"/>
    <w:link w:val="335"/>
    <w:qFormat/>
    <w:uiPriority w:val="0"/>
    <w:rPr>
      <w:rFonts w:ascii="Arial" w:hAnsi="Arial" w:cs="Arial"/>
      <w:sz w:val="24"/>
      <w:szCs w:val="24"/>
    </w:rPr>
  </w:style>
  <w:style w:type="paragraph" w:customStyle="1" w:styleId="335">
    <w:name w:val="HU-正文"/>
    <w:basedOn w:val="1"/>
    <w:link w:val="334"/>
    <w:qFormat/>
    <w:uiPriority w:val="0"/>
    <w:pPr>
      <w:spacing w:line="360" w:lineRule="auto"/>
      <w:ind w:firstLine="480" w:firstLineChars="200"/>
    </w:pPr>
    <w:rPr>
      <w:rFonts w:ascii="Arial" w:hAnsi="Arial"/>
    </w:rPr>
  </w:style>
  <w:style w:type="character" w:customStyle="1" w:styleId="336">
    <w:name w:val="Char Char14"/>
    <w:qFormat/>
    <w:uiPriority w:val="0"/>
    <w:rPr>
      <w:kern w:val="2"/>
      <w:sz w:val="18"/>
      <w:szCs w:val="18"/>
    </w:rPr>
  </w:style>
  <w:style w:type="character" w:customStyle="1" w:styleId="337">
    <w:name w:val="cucd-0 Char Char"/>
    <w:qFormat/>
    <w:uiPriority w:val="0"/>
    <w:rPr>
      <w:kern w:val="2"/>
      <w:sz w:val="24"/>
      <w:szCs w:val="24"/>
      <w:lang w:val="en-US" w:eastAsia="zh-CN" w:bidi="ar-SA"/>
    </w:rPr>
  </w:style>
  <w:style w:type="character" w:customStyle="1" w:styleId="338">
    <w:name w:val="批注框文本 Char Char"/>
    <w:qFormat/>
    <w:uiPriority w:val="0"/>
    <w:rPr>
      <w:rFonts w:eastAsia="宋体"/>
      <w:kern w:val="2"/>
      <w:sz w:val="18"/>
      <w:szCs w:val="18"/>
      <w:lang w:val="en-US" w:eastAsia="zh-CN" w:bidi="ar-SA"/>
    </w:rPr>
  </w:style>
  <w:style w:type="character" w:customStyle="1" w:styleId="339">
    <w:name w:val="_"/>
    <w:basedOn w:val="67"/>
    <w:qFormat/>
    <w:uiPriority w:val="0"/>
  </w:style>
  <w:style w:type="character" w:customStyle="1" w:styleId="340">
    <w:name w:val="cucd-TB-Head Char Char"/>
    <w:qFormat/>
    <w:uiPriority w:val="0"/>
    <w:rPr>
      <w:rFonts w:eastAsia="黑体"/>
      <w:kern w:val="2"/>
      <w:sz w:val="24"/>
      <w:szCs w:val="24"/>
      <w:lang w:val="en-US" w:eastAsia="zh-CN" w:bidi="ar-SA"/>
    </w:rPr>
  </w:style>
  <w:style w:type="character" w:customStyle="1" w:styleId="341">
    <w:name w:val="cauc-0 Char Char Char Char"/>
    <w:qFormat/>
    <w:uiPriority w:val="0"/>
    <w:rPr>
      <w:rFonts w:eastAsia="宋体"/>
      <w:kern w:val="2"/>
      <w:sz w:val="24"/>
      <w:lang w:val="en-US" w:eastAsia="zh-CN" w:bidi="ar-SA"/>
    </w:rPr>
  </w:style>
  <w:style w:type="character" w:customStyle="1" w:styleId="342">
    <w:name w:val="不明显强调1"/>
    <w:qFormat/>
    <w:uiPriority w:val="0"/>
    <w:rPr>
      <w:i/>
    </w:rPr>
  </w:style>
  <w:style w:type="character" w:customStyle="1" w:styleId="343">
    <w:name w:val="表格文字 Char Char2"/>
    <w:qFormat/>
    <w:uiPriority w:val="0"/>
    <w:rPr>
      <w:rFonts w:eastAsia="宋体"/>
      <w:kern w:val="2"/>
      <w:sz w:val="24"/>
      <w:lang w:val="en-US" w:eastAsia="zh-CN"/>
    </w:rPr>
  </w:style>
  <w:style w:type="character" w:customStyle="1" w:styleId="344">
    <w:name w:val="cucd-1 Char Char"/>
    <w:qFormat/>
    <w:uiPriority w:val="0"/>
    <w:rPr>
      <w:rFonts w:eastAsia="黑体"/>
      <w:b/>
      <w:kern w:val="2"/>
      <w:sz w:val="36"/>
      <w:szCs w:val="24"/>
      <w:lang w:val="en-US" w:eastAsia="zh-CN" w:bidi="ar-SA"/>
    </w:rPr>
  </w:style>
  <w:style w:type="character" w:customStyle="1" w:styleId="345">
    <w:name w:val="cucd-2 Char1"/>
    <w:qFormat/>
    <w:uiPriority w:val="0"/>
    <w:rPr>
      <w:rFonts w:eastAsia="黑体"/>
      <w:b/>
      <w:kern w:val="2"/>
      <w:sz w:val="30"/>
      <w:szCs w:val="24"/>
      <w:lang w:val="en-US" w:eastAsia="zh-CN" w:bidi="ar-SA"/>
    </w:rPr>
  </w:style>
  <w:style w:type="character" w:customStyle="1" w:styleId="346">
    <w:name w:val="Char Char13"/>
    <w:qFormat/>
    <w:uiPriority w:val="0"/>
    <w:rPr>
      <w:kern w:val="2"/>
      <w:sz w:val="18"/>
      <w:szCs w:val="18"/>
    </w:rPr>
  </w:style>
  <w:style w:type="character" w:customStyle="1" w:styleId="347">
    <w:name w:val="cucd-2 Char Char Char Char"/>
    <w:qFormat/>
    <w:uiPriority w:val="0"/>
    <w:rPr>
      <w:rFonts w:eastAsia="黑体"/>
      <w:b/>
      <w:kern w:val="2"/>
      <w:sz w:val="30"/>
      <w:szCs w:val="24"/>
      <w:lang w:val="en-US" w:eastAsia="zh-CN" w:bidi="ar-SA"/>
    </w:rPr>
  </w:style>
  <w:style w:type="character" w:customStyle="1" w:styleId="348">
    <w:name w:val="四号宋体左齐行距1.5倍 Char Char"/>
    <w:qFormat/>
    <w:uiPriority w:val="0"/>
    <w:rPr>
      <w:rFonts w:eastAsia="宋体"/>
      <w:b/>
      <w:bCs/>
      <w:kern w:val="2"/>
      <w:sz w:val="32"/>
      <w:szCs w:val="32"/>
      <w:lang w:val="en-US" w:eastAsia="zh-CN" w:bidi="ar-SA"/>
    </w:rPr>
  </w:style>
  <w:style w:type="character" w:customStyle="1" w:styleId="349">
    <w:name w:val="headline-content3"/>
    <w:basedOn w:val="67"/>
    <w:qFormat/>
    <w:uiPriority w:val="0"/>
  </w:style>
  <w:style w:type="character" w:customStyle="1" w:styleId="350">
    <w:name w:val="cucd-3 Char1"/>
    <w:link w:val="351"/>
    <w:qFormat/>
    <w:uiPriority w:val="0"/>
    <w:rPr>
      <w:b/>
      <w:kern w:val="2"/>
      <w:sz w:val="28"/>
      <w:szCs w:val="24"/>
      <w:lang w:val="en-US" w:eastAsia="zh-CN" w:bidi="ar-SA"/>
    </w:rPr>
  </w:style>
  <w:style w:type="paragraph" w:customStyle="1" w:styleId="351">
    <w:name w:val="cucd-3"/>
    <w:next w:val="327"/>
    <w:link w:val="350"/>
    <w:qFormat/>
    <w:uiPriority w:val="0"/>
    <w:pPr>
      <w:tabs>
        <w:tab w:val="left" w:pos="993"/>
      </w:tabs>
      <w:spacing w:line="360" w:lineRule="auto"/>
      <w:ind w:left="993" w:hanging="567"/>
      <w:jc w:val="both"/>
      <w:outlineLvl w:val="2"/>
    </w:pPr>
    <w:rPr>
      <w:rFonts w:ascii="Calibri" w:hAnsi="Calibri" w:eastAsia="宋体" w:cs="Times New Roman"/>
      <w:b/>
      <w:kern w:val="2"/>
      <w:sz w:val="28"/>
      <w:szCs w:val="24"/>
      <w:lang w:val="en-US" w:eastAsia="zh-CN" w:bidi="ar-SA"/>
    </w:rPr>
  </w:style>
  <w:style w:type="character" w:customStyle="1" w:styleId="352">
    <w:name w:val="cucd-TB-Head Char Char2"/>
    <w:qFormat/>
    <w:uiPriority w:val="0"/>
    <w:rPr>
      <w:rFonts w:eastAsia="黑体"/>
      <w:kern w:val="2"/>
      <w:sz w:val="24"/>
      <w:szCs w:val="21"/>
    </w:rPr>
  </w:style>
  <w:style w:type="character" w:customStyle="1" w:styleId="353">
    <w:name w:val="cucd-3 Char Char"/>
    <w:qFormat/>
    <w:uiPriority w:val="0"/>
    <w:rPr>
      <w:rFonts w:eastAsia="宋体"/>
      <w:b/>
      <w:kern w:val="2"/>
      <w:sz w:val="28"/>
      <w:szCs w:val="24"/>
      <w:lang w:val="en-US" w:eastAsia="zh-CN" w:bidi="ar-SA"/>
    </w:rPr>
  </w:style>
  <w:style w:type="character" w:customStyle="1" w:styleId="354">
    <w:name w:val="cucd-TB-Head Char1"/>
    <w:link w:val="355"/>
    <w:qFormat/>
    <w:uiPriority w:val="0"/>
    <w:rPr>
      <w:rFonts w:eastAsia="黑体"/>
      <w:sz w:val="24"/>
      <w:szCs w:val="24"/>
    </w:rPr>
  </w:style>
  <w:style w:type="paragraph" w:customStyle="1" w:styleId="355">
    <w:name w:val="cucd-TB-Head"/>
    <w:basedOn w:val="1"/>
    <w:next w:val="113"/>
    <w:link w:val="354"/>
    <w:qFormat/>
    <w:uiPriority w:val="0"/>
    <w:pPr>
      <w:spacing w:line="360" w:lineRule="auto"/>
      <w:ind w:hanging="851" w:hangingChars="200"/>
      <w:jc w:val="center"/>
    </w:pPr>
    <w:rPr>
      <w:rFonts w:ascii="Calibri" w:hAnsi="Calibri" w:eastAsia="黑体"/>
    </w:rPr>
  </w:style>
  <w:style w:type="character" w:customStyle="1" w:styleId="356">
    <w:name w:val="Char Char21"/>
    <w:qFormat/>
    <w:uiPriority w:val="0"/>
    <w:rPr>
      <w:rFonts w:ascii="宋体" w:hAnsi="宋体" w:eastAsia="宋体"/>
      <w:kern w:val="2"/>
      <w:sz w:val="18"/>
      <w:szCs w:val="18"/>
      <w:lang w:val="en-US" w:eastAsia="zh-CN" w:bidi="ar-SA"/>
    </w:rPr>
  </w:style>
  <w:style w:type="character" w:customStyle="1" w:styleId="357">
    <w:name w:val="cucd-3 Char2"/>
    <w:qFormat/>
    <w:uiPriority w:val="0"/>
    <w:rPr>
      <w:rFonts w:hint="eastAsia" w:ascii="宋体" w:hAnsi="宋体" w:eastAsia="宋体"/>
      <w:b/>
      <w:kern w:val="2"/>
      <w:sz w:val="28"/>
      <w:szCs w:val="24"/>
      <w:lang w:val="en-US" w:eastAsia="zh-CN" w:bidi="ar-SA"/>
    </w:rPr>
  </w:style>
  <w:style w:type="character" w:customStyle="1" w:styleId="358">
    <w:name w:val="样式 标题 2 + 黑色 Char"/>
    <w:qFormat/>
    <w:uiPriority w:val="0"/>
    <w:rPr>
      <w:rFonts w:eastAsia="仿宋_GB2312"/>
      <w:bCs/>
      <w:color w:val="000000"/>
      <w:kern w:val="2"/>
      <w:sz w:val="32"/>
      <w:szCs w:val="32"/>
      <w:lang w:val="en-US" w:eastAsia="zh-CN" w:bidi="ar-SA"/>
    </w:rPr>
  </w:style>
  <w:style w:type="character" w:customStyle="1" w:styleId="359">
    <w:name w:val="text31"/>
    <w:qFormat/>
    <w:uiPriority w:val="0"/>
    <w:rPr>
      <w:rFonts w:hint="eastAsia" w:ascii="宋体" w:hAnsi="宋体" w:eastAsia="宋体"/>
      <w:color w:val="673434"/>
      <w:sz w:val="22"/>
      <w:szCs w:val="22"/>
      <w:u w:val="none"/>
    </w:rPr>
  </w:style>
  <w:style w:type="character" w:customStyle="1" w:styleId="360">
    <w:name w:val="Char Char1"/>
    <w:qFormat/>
    <w:uiPriority w:val="0"/>
    <w:rPr>
      <w:rFonts w:ascii="宋体" w:hAnsi="宋体" w:eastAsia="宋体"/>
      <w:kern w:val="2"/>
      <w:sz w:val="18"/>
      <w:szCs w:val="18"/>
      <w:lang w:val="en-US" w:eastAsia="zh-CN" w:bidi="ar-SA"/>
    </w:rPr>
  </w:style>
  <w:style w:type="character" w:customStyle="1" w:styleId="361">
    <w:name w:val="cucd-TB-Head Char Char Char Char"/>
    <w:qFormat/>
    <w:uiPriority w:val="0"/>
    <w:rPr>
      <w:rFonts w:ascii="Times New Roman" w:hAnsi="Times New Roman" w:eastAsia="黑体"/>
      <w:kern w:val="2"/>
      <w:sz w:val="24"/>
      <w:szCs w:val="24"/>
    </w:rPr>
  </w:style>
  <w:style w:type="character" w:customStyle="1" w:styleId="362">
    <w:name w:val="标准正文 Char Char"/>
    <w:link w:val="363"/>
    <w:qFormat/>
    <w:uiPriority w:val="0"/>
    <w:rPr>
      <w:rFonts w:ascii="仿宋_GB2312" w:eastAsia="仿宋_GB2312"/>
      <w:color w:val="000000"/>
      <w:sz w:val="28"/>
      <w:szCs w:val="28"/>
    </w:rPr>
  </w:style>
  <w:style w:type="paragraph" w:customStyle="1" w:styleId="363">
    <w:name w:val="标准正文"/>
    <w:basedOn w:val="1"/>
    <w:link w:val="362"/>
    <w:qFormat/>
    <w:uiPriority w:val="0"/>
    <w:pPr>
      <w:spacing w:line="360" w:lineRule="auto"/>
      <w:ind w:firstLine="560" w:firstLineChars="200"/>
    </w:pPr>
    <w:rPr>
      <w:rFonts w:ascii="仿宋_GB2312" w:hAnsi="Calibri" w:eastAsia="仿宋_GB2312"/>
      <w:color w:val="000000"/>
      <w:sz w:val="28"/>
      <w:szCs w:val="28"/>
    </w:rPr>
  </w:style>
  <w:style w:type="character" w:customStyle="1" w:styleId="364">
    <w:name w:val="表标题 Char Char"/>
    <w:qFormat/>
    <w:uiPriority w:val="0"/>
    <w:rPr>
      <w:rFonts w:hAnsi="宋体"/>
      <w:color w:val="000000"/>
      <w:kern w:val="2"/>
      <w:sz w:val="21"/>
      <w:szCs w:val="21"/>
    </w:rPr>
  </w:style>
  <w:style w:type="character" w:customStyle="1" w:styleId="365">
    <w:name w:val="Char Char19"/>
    <w:qFormat/>
    <w:uiPriority w:val="0"/>
    <w:rPr>
      <w:rFonts w:ascii="Cambria" w:hAnsi="Cambria"/>
      <w:caps/>
      <w:color w:val="622423"/>
      <w:spacing w:val="10"/>
      <w:sz w:val="22"/>
      <w:szCs w:val="22"/>
      <w:lang w:eastAsia="en-US"/>
    </w:rPr>
  </w:style>
  <w:style w:type="character" w:customStyle="1" w:styleId="366">
    <w:name w:val="search_content1"/>
    <w:qFormat/>
    <w:uiPriority w:val="0"/>
    <w:rPr>
      <w:sz w:val="20"/>
      <w:szCs w:val="20"/>
    </w:rPr>
  </w:style>
  <w:style w:type="character" w:customStyle="1" w:styleId="367">
    <w:name w:val="cucd-0 Char Char Char"/>
    <w:qFormat/>
    <w:uiPriority w:val="0"/>
    <w:rPr>
      <w:sz w:val="24"/>
      <w:szCs w:val="24"/>
      <w:lang w:bidi="ar-SA"/>
    </w:rPr>
  </w:style>
  <w:style w:type="character" w:customStyle="1" w:styleId="368">
    <w:name w:val="Char Char11"/>
    <w:qFormat/>
    <w:uiPriority w:val="0"/>
    <w:rPr>
      <w:rFonts w:eastAsia="宋体"/>
      <w:kern w:val="2"/>
      <w:sz w:val="18"/>
      <w:szCs w:val="18"/>
      <w:lang w:val="en-US" w:eastAsia="zh-CN" w:bidi="ar-SA"/>
    </w:rPr>
  </w:style>
  <w:style w:type="character" w:customStyle="1" w:styleId="369">
    <w:name w:val="font21"/>
    <w:qFormat/>
    <w:uiPriority w:val="0"/>
    <w:rPr>
      <w:rFonts w:hint="default" w:ascii="Times New Roman" w:hAnsi="Times New Roman" w:cs="Times New Roman"/>
      <w:color w:val="000000"/>
      <w:sz w:val="22"/>
      <w:szCs w:val="22"/>
      <w:u w:val="none"/>
    </w:rPr>
  </w:style>
  <w:style w:type="character" w:customStyle="1" w:styleId="370">
    <w:name w:val="HU-表格 Char Char"/>
    <w:link w:val="371"/>
    <w:qFormat/>
    <w:uiPriority w:val="0"/>
    <w:rPr>
      <w:rFonts w:ascii="Arial" w:hAnsi="Arial" w:cs="Arial"/>
      <w:sz w:val="24"/>
      <w:szCs w:val="24"/>
    </w:rPr>
  </w:style>
  <w:style w:type="paragraph" w:customStyle="1" w:styleId="371">
    <w:name w:val="HU-表格"/>
    <w:basedOn w:val="1"/>
    <w:link w:val="370"/>
    <w:qFormat/>
    <w:uiPriority w:val="0"/>
    <w:pPr>
      <w:spacing w:line="320" w:lineRule="exact"/>
      <w:ind w:hanging="851" w:hangingChars="200"/>
      <w:jc w:val="center"/>
    </w:pPr>
    <w:rPr>
      <w:rFonts w:ascii="Arial" w:hAnsi="Arial"/>
    </w:rPr>
  </w:style>
  <w:style w:type="character" w:customStyle="1" w:styleId="372">
    <w:name w:val="content-blue1"/>
    <w:qFormat/>
    <w:uiPriority w:val="0"/>
    <w:rPr>
      <w:rFonts w:hint="default"/>
      <w:color w:val="331300"/>
      <w:sz w:val="20"/>
      <w:szCs w:val="20"/>
    </w:rPr>
  </w:style>
  <w:style w:type="character" w:customStyle="1" w:styleId="373">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eastAsia="宋体"/>
      <w:sz w:val="21"/>
      <w:lang w:val="en-US" w:eastAsia="zh-CN" w:bidi="ar-SA"/>
    </w:rPr>
  </w:style>
  <w:style w:type="paragraph" w:customStyle="1" w:styleId="374">
    <w:name w:val="font9"/>
    <w:basedOn w:val="1"/>
    <w:qFormat/>
    <w:uiPriority w:val="0"/>
    <w:pPr>
      <w:spacing w:before="100" w:beforeAutospacing="1" w:after="100" w:afterAutospacing="1" w:line="360" w:lineRule="auto"/>
      <w:ind w:hanging="851" w:hangingChars="200"/>
    </w:pPr>
    <w:rPr>
      <w:rFonts w:ascii="Calibri" w:hAnsi="Calibri"/>
      <w:b/>
      <w:bCs/>
      <w:sz w:val="28"/>
      <w:szCs w:val="28"/>
    </w:rPr>
  </w:style>
  <w:style w:type="paragraph" w:customStyle="1" w:styleId="375">
    <w:name w:val="xl44"/>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376">
    <w:name w:val="xl46"/>
    <w:basedOn w:val="1"/>
    <w:qFormat/>
    <w:uiPriority w:val="99"/>
    <w:pPr>
      <w:pBdr>
        <w:top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377">
    <w:name w:val="Char1 Char Char Char"/>
    <w:basedOn w:val="1"/>
    <w:qFormat/>
    <w:uiPriority w:val="99"/>
    <w:pPr>
      <w:spacing w:line="360" w:lineRule="auto"/>
      <w:ind w:hanging="851" w:hangingChars="200"/>
    </w:pPr>
    <w:rPr>
      <w:rFonts w:ascii="Tahoma" w:hAnsi="Tahoma"/>
      <w:sz w:val="28"/>
      <w:lang w:val="zh-CN"/>
    </w:rPr>
  </w:style>
  <w:style w:type="paragraph" w:customStyle="1" w:styleId="378">
    <w:name w:val="xl48"/>
    <w:basedOn w:val="1"/>
    <w:qFormat/>
    <w:uiPriority w:val="99"/>
    <w:pPr>
      <w:pBdr>
        <w:top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379">
    <w:name w:val="表中正文"/>
    <w:basedOn w:val="1"/>
    <w:qFormat/>
    <w:uiPriority w:val="99"/>
    <w:pPr>
      <w:spacing w:line="360" w:lineRule="auto"/>
      <w:ind w:hanging="851" w:hangingChars="200"/>
    </w:pPr>
    <w:rPr>
      <w:rFonts w:ascii="Calibri" w:hAnsi="Calibri"/>
      <w:color w:val="000000"/>
    </w:rPr>
  </w:style>
  <w:style w:type="paragraph" w:customStyle="1" w:styleId="380">
    <w:name w:val="cucd-B"/>
    <w:next w:val="113"/>
    <w:qFormat/>
    <w:uiPriority w:val="99"/>
    <w:pPr>
      <w:spacing w:line="360" w:lineRule="auto"/>
      <w:ind w:left="851" w:hanging="851"/>
      <w:jc w:val="both"/>
      <w:outlineLvl w:val="1"/>
    </w:pPr>
    <w:rPr>
      <w:rFonts w:ascii="Calibri" w:hAnsi="Calibri" w:eastAsia="黑体" w:cs="Times New Roman"/>
      <w:kern w:val="2"/>
      <w:sz w:val="30"/>
      <w:szCs w:val="24"/>
      <w:lang w:val="en-US" w:eastAsia="zh-CN" w:bidi="ar-SA"/>
    </w:rPr>
  </w:style>
  <w:style w:type="paragraph" w:customStyle="1" w:styleId="381">
    <w:name w:val="Char Char Char Char Char Char Char1"/>
    <w:basedOn w:val="1"/>
    <w:qFormat/>
    <w:uiPriority w:val="99"/>
    <w:pPr>
      <w:spacing w:line="360" w:lineRule="auto"/>
      <w:ind w:hanging="851" w:hangingChars="200"/>
    </w:pPr>
    <w:rPr>
      <w:rFonts w:hAnsi="Calibri"/>
    </w:rPr>
  </w:style>
  <w:style w:type="paragraph" w:customStyle="1" w:styleId="382">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rPr>
  </w:style>
  <w:style w:type="paragraph" w:customStyle="1" w:styleId="38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sz w:val="20"/>
    </w:rPr>
  </w:style>
  <w:style w:type="paragraph" w:customStyle="1" w:styleId="384">
    <w:name w:val="列出段落11"/>
    <w:basedOn w:val="1"/>
    <w:qFormat/>
    <w:uiPriority w:val="99"/>
    <w:pPr>
      <w:spacing w:line="360" w:lineRule="auto"/>
      <w:ind w:firstLine="420" w:firstLineChars="200"/>
    </w:pPr>
    <w:rPr>
      <w:rFonts w:ascii="Calibri" w:hAnsi="Calibri"/>
      <w:szCs w:val="22"/>
    </w:rPr>
  </w:style>
  <w:style w:type="paragraph" w:customStyle="1" w:styleId="385">
    <w:name w:val="敏感表"/>
    <w:basedOn w:val="1"/>
    <w:next w:val="1"/>
    <w:qFormat/>
    <w:uiPriority w:val="99"/>
    <w:pPr>
      <w:topLinePunct/>
      <w:spacing w:line="240" w:lineRule="atLeast"/>
      <w:ind w:hanging="851" w:hangingChars="200"/>
      <w:textAlignment w:val="bottom"/>
    </w:pPr>
    <w:rPr>
      <w:rFonts w:ascii="Calibri" w:hAnsi="Calibri"/>
    </w:rPr>
  </w:style>
  <w:style w:type="paragraph" w:customStyle="1" w:styleId="386">
    <w:name w:val="1233"/>
    <w:basedOn w:val="1"/>
    <w:qFormat/>
    <w:uiPriority w:val="99"/>
    <w:pPr>
      <w:spacing w:before="100" w:beforeAutospacing="1" w:line="360" w:lineRule="auto"/>
      <w:ind w:firstLine="480" w:firstLineChars="200"/>
    </w:pPr>
    <w:rPr>
      <w:rFonts w:ascii="Calibri" w:hAnsi="Calibri"/>
    </w:rPr>
  </w:style>
  <w:style w:type="paragraph" w:customStyle="1" w:styleId="387">
    <w:name w:val="xl2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388">
    <w:name w:val="_Style 11"/>
    <w:basedOn w:val="1"/>
    <w:qFormat/>
    <w:uiPriority w:val="99"/>
    <w:pPr>
      <w:spacing w:line="360" w:lineRule="auto"/>
      <w:ind w:hanging="851" w:hangingChars="200"/>
    </w:pPr>
    <w:rPr>
      <w:rFonts w:ascii="Calibri" w:hAnsi="Calibri"/>
    </w:rPr>
  </w:style>
  <w:style w:type="paragraph" w:customStyle="1" w:styleId="389">
    <w:name w:val="font0"/>
    <w:basedOn w:val="1"/>
    <w:qFormat/>
    <w:uiPriority w:val="99"/>
    <w:pPr>
      <w:spacing w:before="100" w:beforeAutospacing="1" w:after="100" w:afterAutospacing="1" w:line="360" w:lineRule="auto"/>
      <w:ind w:hanging="851" w:hangingChars="200"/>
    </w:pPr>
    <w:rPr>
      <w:rFonts w:hint="eastAsia"/>
    </w:rPr>
  </w:style>
  <w:style w:type="paragraph" w:customStyle="1" w:styleId="390">
    <w:name w:val="样式 标题 2 + 宋体 小四"/>
    <w:basedOn w:val="3"/>
    <w:qFormat/>
    <w:uiPriority w:val="99"/>
    <w:pPr>
      <w:keepNext/>
      <w:keepLines/>
      <w:numPr>
        <w:ilvl w:val="0"/>
        <w:numId w:val="0"/>
      </w:numPr>
      <w:tabs>
        <w:tab w:val="left" w:pos="0"/>
      </w:tabs>
      <w:overflowPunct/>
      <w:autoSpaceDE/>
      <w:autoSpaceDN/>
      <w:spacing w:before="120" w:after="120" w:line="240" w:lineRule="auto"/>
      <w:textAlignment w:val="auto"/>
    </w:pPr>
    <w:rPr>
      <w:sz w:val="24"/>
      <w:szCs w:val="20"/>
    </w:rPr>
  </w:style>
  <w:style w:type="paragraph" w:customStyle="1" w:styleId="391">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392">
    <w:name w:val="xl77"/>
    <w:basedOn w:val="1"/>
    <w:qFormat/>
    <w:uiPriority w:val="0"/>
    <w:pPr>
      <w:pBdr>
        <w:left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393">
    <w:name w:val="自建标题4"/>
    <w:basedOn w:val="5"/>
    <w:qFormat/>
    <w:uiPriority w:val="99"/>
    <w:pPr>
      <w:keepNext w:val="0"/>
      <w:keepLines w:val="0"/>
      <w:spacing w:before="0" w:after="0" w:line="240" w:lineRule="auto"/>
      <w:ind w:hanging="851" w:hangingChars="200"/>
      <w:jc w:val="center"/>
      <w:outlineLvl w:val="9"/>
    </w:pPr>
    <w:rPr>
      <w:rFonts w:ascii="Times New Roman" w:hAnsi="Times New Roman"/>
      <w:b w:val="0"/>
      <w:bCs w:val="0"/>
      <w:sz w:val="24"/>
      <w:szCs w:val="24"/>
    </w:rPr>
  </w:style>
  <w:style w:type="paragraph" w:customStyle="1" w:styleId="394">
    <w:name w:val="xl5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200" w:hangingChars="200"/>
      <w:textAlignment w:val="center"/>
    </w:pPr>
    <w:rPr>
      <w:sz w:val="22"/>
      <w:szCs w:val="22"/>
    </w:rPr>
  </w:style>
  <w:style w:type="paragraph" w:customStyle="1" w:styleId="395">
    <w:name w:val="xl79"/>
    <w:basedOn w:val="1"/>
    <w:qFormat/>
    <w:uiPriority w:val="0"/>
    <w:pPr>
      <w:spacing w:before="100" w:beforeAutospacing="1" w:after="100" w:afterAutospacing="1" w:line="360" w:lineRule="auto"/>
      <w:ind w:hanging="851" w:hangingChars="200"/>
      <w:jc w:val="center"/>
    </w:pPr>
    <w:rPr>
      <w:b/>
      <w:bCs/>
      <w:sz w:val="40"/>
      <w:szCs w:val="40"/>
    </w:rPr>
  </w:style>
  <w:style w:type="paragraph" w:customStyle="1" w:styleId="396">
    <w:name w:val="xl3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b/>
      <w:bCs/>
      <w:sz w:val="20"/>
    </w:rPr>
  </w:style>
  <w:style w:type="paragraph" w:customStyle="1" w:styleId="397">
    <w:name w:val="cucd-C"/>
    <w:next w:val="113"/>
    <w:qFormat/>
    <w:uiPriority w:val="99"/>
    <w:pPr>
      <w:spacing w:line="360" w:lineRule="auto"/>
      <w:ind w:left="851" w:hanging="851"/>
      <w:jc w:val="both"/>
      <w:outlineLvl w:val="2"/>
    </w:pPr>
    <w:rPr>
      <w:rFonts w:ascii="Calibri" w:hAnsi="Calibri" w:eastAsia="宋体" w:cs="Times New Roman"/>
      <w:b/>
      <w:kern w:val="2"/>
      <w:sz w:val="28"/>
      <w:szCs w:val="24"/>
      <w:lang w:val="en-US" w:eastAsia="zh-CN" w:bidi="ar-SA"/>
    </w:rPr>
  </w:style>
  <w:style w:type="paragraph" w:customStyle="1" w:styleId="398">
    <w:name w:val="font13"/>
    <w:basedOn w:val="1"/>
    <w:qFormat/>
    <w:uiPriority w:val="0"/>
    <w:pPr>
      <w:spacing w:before="100" w:beforeAutospacing="1" w:after="100" w:afterAutospacing="1" w:line="360" w:lineRule="auto"/>
      <w:ind w:hanging="851" w:hangingChars="200"/>
    </w:pPr>
    <w:rPr>
      <w:sz w:val="20"/>
    </w:rPr>
  </w:style>
  <w:style w:type="paragraph" w:customStyle="1" w:styleId="39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0"/>
    </w:rPr>
  </w:style>
  <w:style w:type="paragraph" w:customStyle="1" w:styleId="400">
    <w:name w:val="xl97"/>
    <w:basedOn w:val="1"/>
    <w:qFormat/>
    <w:uiPriority w:val="0"/>
    <w:pPr>
      <w:pBdr>
        <w:top w:val="single" w:color="auto" w:sz="4" w:space="0"/>
        <w:left w:val="single" w:color="auto" w:sz="4" w:space="0"/>
        <w:bottom w:val="single" w:color="auto" w:sz="4" w:space="0"/>
      </w:pBdr>
      <w:spacing w:before="100" w:beforeAutospacing="1" w:after="100" w:afterAutospacing="1" w:line="360" w:lineRule="auto"/>
      <w:ind w:hanging="851" w:hangingChars="200"/>
      <w:jc w:val="center"/>
      <w:textAlignment w:val="center"/>
    </w:pPr>
    <w:rPr>
      <w:b/>
      <w:bCs/>
      <w:sz w:val="28"/>
      <w:szCs w:val="28"/>
    </w:rPr>
  </w:style>
  <w:style w:type="paragraph" w:customStyle="1" w:styleId="401">
    <w:name w:val="font12"/>
    <w:basedOn w:val="1"/>
    <w:qFormat/>
    <w:uiPriority w:val="0"/>
    <w:pPr>
      <w:spacing w:before="100" w:beforeAutospacing="1" w:after="100" w:afterAutospacing="1" w:line="360" w:lineRule="auto"/>
      <w:ind w:hanging="851" w:hangingChars="200"/>
    </w:pPr>
    <w:rPr>
      <w:sz w:val="18"/>
      <w:szCs w:val="18"/>
    </w:rPr>
  </w:style>
  <w:style w:type="paragraph" w:customStyle="1" w:styleId="402">
    <w:name w:val="cucd-1"/>
    <w:next w:val="403"/>
    <w:qFormat/>
    <w:uiPriority w:val="99"/>
    <w:pPr>
      <w:pageBreakBefore/>
      <w:tabs>
        <w:tab w:val="left" w:pos="425"/>
      </w:tabs>
      <w:spacing w:beforeLines="100" w:afterLines="50" w:line="360" w:lineRule="auto"/>
      <w:ind w:left="425" w:hanging="425"/>
      <w:jc w:val="center"/>
      <w:outlineLvl w:val="0"/>
    </w:pPr>
    <w:rPr>
      <w:rFonts w:ascii="Calibri" w:hAnsi="Calibri" w:eastAsia="黑体" w:cs="Times New Roman"/>
      <w:b/>
      <w:kern w:val="2"/>
      <w:sz w:val="36"/>
      <w:szCs w:val="24"/>
      <w:lang w:val="en-US" w:eastAsia="zh-CN" w:bidi="ar-SA"/>
    </w:rPr>
  </w:style>
  <w:style w:type="paragraph" w:customStyle="1" w:styleId="403">
    <w:name w:val="cucd-2"/>
    <w:next w:val="351"/>
    <w:qFormat/>
    <w:uiPriority w:val="99"/>
    <w:pPr>
      <w:tabs>
        <w:tab w:val="left" w:pos="630"/>
        <w:tab w:val="left" w:pos="709"/>
      </w:tabs>
      <w:spacing w:line="360" w:lineRule="auto"/>
      <w:ind w:left="142"/>
      <w:jc w:val="both"/>
      <w:outlineLvl w:val="1"/>
    </w:pPr>
    <w:rPr>
      <w:rFonts w:ascii="Calibri" w:hAnsi="Calibri" w:eastAsia="黑体" w:cs="Times New Roman"/>
      <w:b/>
      <w:kern w:val="2"/>
      <w:sz w:val="30"/>
      <w:szCs w:val="24"/>
      <w:lang w:val="en-US" w:eastAsia="zh-CN" w:bidi="ar-SA"/>
    </w:rPr>
  </w:style>
  <w:style w:type="paragraph" w:customStyle="1" w:styleId="404">
    <w:name w:val="xl3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405">
    <w:name w:val="点正文"/>
    <w:basedOn w:val="1"/>
    <w:qFormat/>
    <w:uiPriority w:val="99"/>
    <w:pPr>
      <w:tabs>
        <w:tab w:val="left" w:pos="780"/>
      </w:tabs>
      <w:spacing w:line="400" w:lineRule="exact"/>
      <w:ind w:left="780" w:leftChars="200" w:hanging="360" w:hangingChars="200"/>
    </w:pPr>
    <w:rPr>
      <w:rFonts w:hAnsi="Calibri"/>
    </w:rPr>
  </w:style>
  <w:style w:type="paragraph" w:customStyle="1" w:styleId="406">
    <w:name w:val="xl27"/>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sz w:val="20"/>
    </w:rPr>
  </w:style>
  <w:style w:type="paragraph" w:customStyle="1" w:styleId="407">
    <w:name w:val="Char Char Char1 Char Char Char Char Char Char Char Char Char1 Char"/>
    <w:basedOn w:val="1"/>
    <w:qFormat/>
    <w:uiPriority w:val="99"/>
    <w:pPr>
      <w:spacing w:line="400" w:lineRule="exact"/>
      <w:ind w:hanging="851" w:hangingChars="200"/>
      <w:jc w:val="center"/>
    </w:pPr>
    <w:rPr>
      <w:rFonts w:ascii="Calibri" w:hAnsi="Calibri"/>
    </w:rPr>
  </w:style>
  <w:style w:type="paragraph" w:customStyle="1" w:styleId="408">
    <w:name w:val="xl2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style>
  <w:style w:type="paragraph" w:customStyle="1" w:styleId="409">
    <w:name w:val="font10"/>
    <w:basedOn w:val="1"/>
    <w:qFormat/>
    <w:uiPriority w:val="0"/>
    <w:pPr>
      <w:spacing w:before="100" w:beforeAutospacing="1" w:after="100" w:afterAutospacing="1" w:line="360" w:lineRule="auto"/>
      <w:ind w:hanging="851" w:hangingChars="200"/>
    </w:pPr>
    <w:rPr>
      <w:sz w:val="20"/>
    </w:rPr>
  </w:style>
  <w:style w:type="paragraph" w:customStyle="1" w:styleId="410">
    <w:name w:val="仿宋三常规缩进"/>
    <w:qFormat/>
    <w:uiPriority w:val="99"/>
    <w:pPr>
      <w:spacing w:line="360" w:lineRule="auto"/>
      <w:ind w:left="851" w:firstLine="480" w:firstLineChars="200"/>
      <w:jc w:val="both"/>
    </w:pPr>
    <w:rPr>
      <w:rFonts w:ascii="宋体" w:hAnsi="宋体" w:eastAsia="宋体" w:cs="Arial"/>
      <w:kern w:val="2"/>
      <w:sz w:val="24"/>
      <w:szCs w:val="24"/>
      <w:lang w:val="en-US" w:eastAsia="zh-CN" w:bidi="ar-SA"/>
    </w:rPr>
  </w:style>
  <w:style w:type="character" w:customStyle="1" w:styleId="411">
    <w:name w:val="注释标题 字符"/>
    <w:link w:val="12"/>
    <w:qFormat/>
    <w:uiPriority w:val="0"/>
    <w:rPr>
      <w:rFonts w:ascii="Calibri" w:hAnsi="Calibri" w:eastAsia="宋体" w:cs="Times New Roman"/>
      <w:sz w:val="24"/>
      <w:szCs w:val="20"/>
    </w:rPr>
  </w:style>
  <w:style w:type="paragraph" w:customStyle="1" w:styleId="412">
    <w:name w:val="3级"/>
    <w:basedOn w:val="1"/>
    <w:qFormat/>
    <w:uiPriority w:val="99"/>
    <w:pPr>
      <w:spacing w:line="360" w:lineRule="auto"/>
      <w:ind w:firstLine="480" w:firstLineChars="200"/>
    </w:pPr>
  </w:style>
  <w:style w:type="character" w:customStyle="1" w:styleId="413">
    <w:name w:val="标题 Char1"/>
    <w:qFormat/>
    <w:uiPriority w:val="0"/>
    <w:rPr>
      <w:rFonts w:ascii="Cambria" w:hAnsi="Cambria" w:cs="Times New Roman"/>
      <w:b/>
      <w:bCs/>
      <w:sz w:val="32"/>
      <w:szCs w:val="32"/>
    </w:rPr>
  </w:style>
  <w:style w:type="paragraph" w:customStyle="1" w:styleId="414">
    <w:name w:val="font5"/>
    <w:basedOn w:val="1"/>
    <w:qFormat/>
    <w:uiPriority w:val="0"/>
    <w:pPr>
      <w:spacing w:before="100" w:beforeAutospacing="1" w:after="100" w:afterAutospacing="1" w:line="360" w:lineRule="auto"/>
      <w:ind w:hanging="851" w:hangingChars="200"/>
    </w:pPr>
    <w:rPr>
      <w:rFonts w:hint="eastAsia"/>
      <w:sz w:val="18"/>
      <w:szCs w:val="18"/>
    </w:rPr>
  </w:style>
  <w:style w:type="paragraph" w:customStyle="1" w:styleId="415">
    <w:name w:val="cucd-2 Char Char"/>
    <w:next w:val="1"/>
    <w:qFormat/>
    <w:uiPriority w:val="99"/>
    <w:pPr>
      <w:tabs>
        <w:tab w:val="left" w:pos="567"/>
      </w:tabs>
      <w:spacing w:line="360" w:lineRule="auto"/>
      <w:ind w:left="567" w:hanging="567"/>
      <w:jc w:val="both"/>
      <w:outlineLvl w:val="1"/>
    </w:pPr>
    <w:rPr>
      <w:rFonts w:ascii="Calibri" w:hAnsi="Calibri" w:eastAsia="黑体" w:cs="Times New Roman"/>
      <w:b/>
      <w:kern w:val="2"/>
      <w:sz w:val="30"/>
      <w:szCs w:val="24"/>
      <w:lang w:val="en-US" w:eastAsia="zh-CN" w:bidi="ar-SA"/>
    </w:rPr>
  </w:style>
  <w:style w:type="paragraph" w:customStyle="1" w:styleId="416">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sz w:val="20"/>
    </w:rPr>
  </w:style>
  <w:style w:type="paragraph" w:customStyle="1" w:styleId="417">
    <w:name w:val="xl41"/>
    <w:basedOn w:val="1"/>
    <w:qFormat/>
    <w:uiPriority w:val="99"/>
    <w:pPr>
      <w:pBdr>
        <w:bottom w:val="single" w:color="auto" w:sz="4" w:space="0"/>
      </w:pBdr>
      <w:spacing w:before="100" w:beforeAutospacing="1" w:after="100" w:afterAutospacing="1" w:line="360" w:lineRule="auto"/>
      <w:ind w:hanging="851" w:hangingChars="200"/>
      <w:textAlignment w:val="center"/>
    </w:pPr>
    <w:rPr>
      <w:b/>
      <w:bCs/>
      <w:sz w:val="28"/>
      <w:szCs w:val="28"/>
    </w:rPr>
  </w:style>
  <w:style w:type="paragraph" w:customStyle="1" w:styleId="418">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b/>
      <w:bCs/>
      <w:sz w:val="20"/>
    </w:rPr>
  </w:style>
  <w:style w:type="paragraph" w:customStyle="1" w:styleId="419">
    <w:name w:val="xl47"/>
    <w:basedOn w:val="1"/>
    <w:qFormat/>
    <w:uiPriority w:val="99"/>
    <w:pPr>
      <w:pBdr>
        <w:top w:val="single" w:color="auto" w:sz="4" w:space="0"/>
        <w:left w:val="single" w:color="auto" w:sz="8" w:space="0"/>
        <w:bottom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420">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rFonts w:ascii="Calibri" w:hAnsi="Calibri"/>
      <w:color w:val="000000"/>
      <w:szCs w:val="21"/>
    </w:rPr>
  </w:style>
  <w:style w:type="paragraph" w:customStyle="1" w:styleId="421">
    <w:name w:val="xl45"/>
    <w:basedOn w:val="1"/>
    <w:qFormat/>
    <w:uiPriority w:val="99"/>
    <w:pPr>
      <w:pBdr>
        <w:top w:val="single" w:color="auto" w:sz="4" w:space="0"/>
        <w:left w:val="single" w:color="auto" w:sz="8" w:space="0"/>
        <w:bottom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422">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rPr>
  </w:style>
  <w:style w:type="paragraph" w:customStyle="1" w:styleId="423">
    <w:name w:val="本文表文字"/>
    <w:basedOn w:val="1"/>
    <w:qFormat/>
    <w:uiPriority w:val="99"/>
    <w:pPr>
      <w:spacing w:line="360" w:lineRule="auto"/>
      <w:ind w:hanging="851" w:hangingChars="200"/>
      <w:jc w:val="center"/>
    </w:pPr>
    <w:rPr>
      <w:rFonts w:ascii="Calibri" w:hAnsi="Calibri"/>
    </w:rPr>
  </w:style>
  <w:style w:type="paragraph" w:customStyle="1" w:styleId="424">
    <w:name w:val="样式 标题 1 + 宋体 小四 段后: 12 磅 行距: 1.5 倍行距"/>
    <w:basedOn w:val="2"/>
    <w:qFormat/>
    <w:uiPriority w:val="99"/>
    <w:pPr>
      <w:pageBreakBefore/>
      <w:snapToGrid w:val="0"/>
      <w:spacing w:beforeLines="100" w:after="240"/>
      <w:ind w:hanging="200" w:hangingChars="200"/>
    </w:pPr>
    <w:rPr>
      <w:rFonts w:ascii="宋体" w:hAnsi="宋体"/>
      <w:sz w:val="28"/>
      <w:szCs w:val="20"/>
    </w:rPr>
  </w:style>
  <w:style w:type="paragraph" w:customStyle="1" w:styleId="425">
    <w:name w:val="cauc-2 Char"/>
    <w:next w:val="426"/>
    <w:qFormat/>
    <w:uiPriority w:val="99"/>
    <w:pPr>
      <w:tabs>
        <w:tab w:val="left" w:pos="567"/>
      </w:tabs>
      <w:spacing w:line="360" w:lineRule="auto"/>
      <w:ind w:left="567" w:hanging="567"/>
      <w:jc w:val="both"/>
      <w:outlineLvl w:val="1"/>
    </w:pPr>
    <w:rPr>
      <w:rFonts w:ascii="Calibri" w:hAnsi="Calibri" w:eastAsia="黑体" w:cs="Times New Roman"/>
      <w:b/>
      <w:kern w:val="2"/>
      <w:sz w:val="30"/>
      <w:szCs w:val="24"/>
      <w:lang w:val="en-US" w:eastAsia="zh-CN" w:bidi="ar-SA"/>
    </w:rPr>
  </w:style>
  <w:style w:type="paragraph" w:customStyle="1" w:styleId="426">
    <w:name w:val="cauc-3"/>
    <w:next w:val="1"/>
    <w:qFormat/>
    <w:uiPriority w:val="99"/>
    <w:pPr>
      <w:tabs>
        <w:tab w:val="left" w:pos="709"/>
      </w:tabs>
      <w:spacing w:line="360" w:lineRule="auto"/>
      <w:ind w:left="709" w:hanging="709"/>
      <w:jc w:val="both"/>
      <w:outlineLvl w:val="2"/>
    </w:pPr>
    <w:rPr>
      <w:rFonts w:ascii="Calibri" w:hAnsi="Calibri" w:eastAsia="宋体" w:cs="Times New Roman"/>
      <w:b/>
      <w:kern w:val="2"/>
      <w:sz w:val="28"/>
      <w:szCs w:val="24"/>
      <w:lang w:val="en-US" w:eastAsia="zh-CN" w:bidi="ar-SA"/>
    </w:rPr>
  </w:style>
  <w:style w:type="paragraph" w:customStyle="1" w:styleId="427">
    <w:name w:val="xl37"/>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b/>
      <w:bCs/>
      <w:sz w:val="20"/>
    </w:rPr>
  </w:style>
  <w:style w:type="paragraph" w:customStyle="1" w:styleId="428">
    <w:name w:val="xl92"/>
    <w:basedOn w:val="1"/>
    <w:qFormat/>
    <w:uiPriority w:val="0"/>
    <w:pPr>
      <w:spacing w:before="100" w:beforeAutospacing="1" w:after="100" w:afterAutospacing="1" w:line="360" w:lineRule="auto"/>
      <w:ind w:hanging="851" w:hangingChars="200"/>
      <w:jc w:val="center"/>
      <w:textAlignment w:val="center"/>
    </w:pPr>
    <w:rPr>
      <w:sz w:val="20"/>
    </w:rPr>
  </w:style>
  <w:style w:type="paragraph" w:customStyle="1" w:styleId="429">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b/>
      <w:bCs/>
      <w:sz w:val="20"/>
    </w:rPr>
  </w:style>
  <w:style w:type="paragraph" w:customStyle="1" w:styleId="430">
    <w:name w:val="xl2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pPr>
  </w:style>
  <w:style w:type="paragraph" w:customStyle="1" w:styleId="431">
    <w:name w:val="xl98"/>
    <w:basedOn w:val="1"/>
    <w:qFormat/>
    <w:uiPriority w:val="0"/>
    <w:pPr>
      <w:pBdr>
        <w:top w:val="single" w:color="auto" w:sz="4" w:space="0"/>
        <w:bottom w:val="single" w:color="auto" w:sz="4" w:space="0"/>
      </w:pBdr>
      <w:spacing w:before="100" w:beforeAutospacing="1" w:after="100" w:afterAutospacing="1" w:line="360" w:lineRule="auto"/>
      <w:ind w:hanging="851" w:hangingChars="200"/>
      <w:jc w:val="center"/>
      <w:textAlignment w:val="center"/>
    </w:pPr>
    <w:rPr>
      <w:b/>
      <w:bCs/>
      <w:sz w:val="28"/>
      <w:szCs w:val="28"/>
    </w:rPr>
  </w:style>
  <w:style w:type="paragraph" w:customStyle="1" w:styleId="432">
    <w:name w:val="cucd-D"/>
    <w:next w:val="113"/>
    <w:qFormat/>
    <w:uiPriority w:val="99"/>
    <w:pPr>
      <w:spacing w:line="360" w:lineRule="auto"/>
      <w:ind w:left="851" w:hanging="851"/>
      <w:jc w:val="both"/>
      <w:outlineLvl w:val="3"/>
    </w:pPr>
    <w:rPr>
      <w:rFonts w:ascii="Calibri" w:hAnsi="Calibri" w:eastAsia="宋体" w:cs="Times New Roman"/>
      <w:b/>
      <w:kern w:val="2"/>
      <w:sz w:val="24"/>
      <w:szCs w:val="24"/>
      <w:lang w:val="en-US" w:eastAsia="zh-CN" w:bidi="ar-SA"/>
    </w:rPr>
  </w:style>
  <w:style w:type="paragraph" w:customStyle="1" w:styleId="433">
    <w:name w:val="font6"/>
    <w:basedOn w:val="1"/>
    <w:qFormat/>
    <w:uiPriority w:val="0"/>
    <w:pPr>
      <w:spacing w:before="100" w:beforeAutospacing="1" w:after="100" w:afterAutospacing="1" w:line="360" w:lineRule="auto"/>
      <w:ind w:hanging="200" w:hangingChars="200"/>
    </w:pPr>
    <w:rPr>
      <w:rFonts w:hint="eastAsia"/>
      <w:sz w:val="20"/>
    </w:rPr>
  </w:style>
  <w:style w:type="paragraph" w:customStyle="1" w:styleId="434">
    <w:name w:val="font11"/>
    <w:basedOn w:val="1"/>
    <w:qFormat/>
    <w:uiPriority w:val="0"/>
    <w:pPr>
      <w:spacing w:before="100" w:beforeAutospacing="1" w:after="100" w:afterAutospacing="1" w:line="360" w:lineRule="auto"/>
      <w:ind w:hanging="851" w:hangingChars="200"/>
    </w:pPr>
    <w:rPr>
      <w:szCs w:val="21"/>
    </w:rPr>
  </w:style>
  <w:style w:type="paragraph" w:customStyle="1" w:styleId="435">
    <w:name w:val="xl94"/>
    <w:basedOn w:val="1"/>
    <w:qFormat/>
    <w:uiPriority w:val="0"/>
    <w:pPr>
      <w:pBdr>
        <w:top w:val="single" w:color="auto" w:sz="4" w:space="0"/>
        <w:left w:val="single" w:color="auto" w:sz="4" w:space="0"/>
        <w:bottom w:val="single" w:color="auto" w:sz="4" w:space="0"/>
      </w:pBdr>
      <w:spacing w:before="100" w:beforeAutospacing="1" w:after="100" w:afterAutospacing="1" w:line="360" w:lineRule="auto"/>
      <w:ind w:hanging="851" w:hangingChars="200"/>
      <w:jc w:val="right"/>
      <w:textAlignment w:val="center"/>
    </w:pPr>
    <w:rPr>
      <w:sz w:val="20"/>
    </w:rPr>
  </w:style>
  <w:style w:type="paragraph" w:customStyle="1" w:styleId="436">
    <w:name w:val="cucd-TB"/>
    <w:qFormat/>
    <w:uiPriority w:val="99"/>
    <w:pPr>
      <w:spacing w:line="360" w:lineRule="auto"/>
      <w:ind w:left="851" w:hanging="851"/>
      <w:jc w:val="center"/>
    </w:pPr>
    <w:rPr>
      <w:rFonts w:ascii="Calibri" w:hAnsi="Calibri" w:eastAsia="宋体" w:cs="Times New Roman"/>
      <w:kern w:val="2"/>
      <w:sz w:val="21"/>
      <w:szCs w:val="24"/>
      <w:lang w:val="en-US" w:eastAsia="zh-CN" w:bidi="ar-SA"/>
    </w:rPr>
  </w:style>
  <w:style w:type="paragraph" w:customStyle="1" w:styleId="437">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8"/>
      <w:szCs w:val="28"/>
    </w:rPr>
  </w:style>
  <w:style w:type="paragraph" w:customStyle="1" w:styleId="438">
    <w:name w:val="xl78"/>
    <w:basedOn w:val="1"/>
    <w:qFormat/>
    <w:uiPriority w:val="0"/>
    <w:pPr>
      <w:pBdr>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439">
    <w:name w:val="样式 正文缩进正文缩进 Char正文缩进1 Char正文缩进1正文（首行缩进两字） Char正文缩进 Char Cha..."/>
    <w:basedOn w:val="15"/>
    <w:qFormat/>
    <w:uiPriority w:val="99"/>
    <w:pPr>
      <w:spacing w:beforeLines="50" w:line="360" w:lineRule="auto"/>
      <w:ind w:hanging="200" w:hangingChars="200"/>
    </w:pPr>
    <w:rPr>
      <w:rFonts w:ascii="Times New Roman"/>
      <w:szCs w:val="20"/>
    </w:rPr>
  </w:style>
  <w:style w:type="paragraph" w:customStyle="1" w:styleId="440">
    <w:name w:val="TOC 标题1"/>
    <w:basedOn w:val="2"/>
    <w:next w:val="1"/>
    <w:qFormat/>
    <w:uiPriority w:val="0"/>
    <w:pPr>
      <w:pageBreakBefore/>
      <w:snapToGrid w:val="0"/>
      <w:spacing w:before="480" w:line="276" w:lineRule="auto"/>
      <w:ind w:hanging="200" w:hangingChars="200"/>
      <w:jc w:val="left"/>
      <w:outlineLvl w:val="9"/>
    </w:pPr>
    <w:rPr>
      <w:rFonts w:ascii="Cambria" w:hAnsi="Cambria"/>
      <w:color w:val="365F91"/>
      <w:sz w:val="28"/>
      <w:szCs w:val="28"/>
    </w:rPr>
  </w:style>
  <w:style w:type="paragraph" w:customStyle="1" w:styleId="441">
    <w:name w:val="xl83"/>
    <w:basedOn w:val="1"/>
    <w:qFormat/>
    <w:uiPriority w:val="0"/>
    <w:pPr>
      <w:pBdr>
        <w:top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sz w:val="20"/>
    </w:rPr>
  </w:style>
  <w:style w:type="paragraph" w:customStyle="1" w:styleId="442">
    <w:name w:val="列出段落1"/>
    <w:basedOn w:val="1"/>
    <w:qFormat/>
    <w:uiPriority w:val="99"/>
    <w:pPr>
      <w:spacing w:line="360" w:lineRule="auto"/>
      <w:ind w:firstLine="420" w:firstLineChars="200"/>
    </w:pPr>
    <w:rPr>
      <w:rFonts w:ascii="Calibri" w:hAnsi="Calibri"/>
      <w:szCs w:val="22"/>
    </w:rPr>
  </w:style>
  <w:style w:type="paragraph" w:customStyle="1" w:styleId="443">
    <w:name w:val="ÑùÊ½2"/>
    <w:basedOn w:val="1"/>
    <w:qFormat/>
    <w:uiPriority w:val="99"/>
    <w:pPr>
      <w:overflowPunct w:val="0"/>
      <w:autoSpaceDE w:val="0"/>
      <w:autoSpaceDN w:val="0"/>
      <w:spacing w:line="410" w:lineRule="atLeast"/>
      <w:ind w:hanging="851" w:hangingChars="200"/>
    </w:pPr>
    <w:rPr>
      <w:rFonts w:ascii="Calibri" w:hAnsi="Calibri"/>
    </w:rPr>
  </w:style>
  <w:style w:type="paragraph" w:customStyle="1" w:styleId="444">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0"/>
    </w:rPr>
  </w:style>
  <w:style w:type="paragraph" w:customStyle="1" w:styleId="445">
    <w:name w:val="本文正文"/>
    <w:basedOn w:val="1"/>
    <w:qFormat/>
    <w:uiPriority w:val="99"/>
    <w:pPr>
      <w:adjustRightInd w:val="0"/>
      <w:spacing w:line="500" w:lineRule="exact"/>
      <w:ind w:firstLine="200" w:firstLineChars="200"/>
    </w:pPr>
    <w:rPr>
      <w:rFonts w:ascii="Calibri" w:hAnsi="Calibri"/>
      <w:sz w:val="28"/>
    </w:rPr>
  </w:style>
  <w:style w:type="paragraph" w:customStyle="1" w:styleId="446">
    <w:name w:val="cauc-0 Char"/>
    <w:qFormat/>
    <w:uiPriority w:val="99"/>
    <w:pPr>
      <w:spacing w:line="360" w:lineRule="auto"/>
      <w:ind w:left="851" w:firstLine="480" w:firstLineChars="200"/>
      <w:jc w:val="both"/>
    </w:pPr>
    <w:rPr>
      <w:rFonts w:ascii="Calibri" w:hAnsi="Calibri" w:eastAsia="宋体" w:cs="Times New Roman"/>
      <w:kern w:val="2"/>
      <w:sz w:val="24"/>
      <w:szCs w:val="24"/>
      <w:lang w:val="en-US" w:eastAsia="zh-CN" w:bidi="ar-SA"/>
    </w:rPr>
  </w:style>
  <w:style w:type="paragraph" w:customStyle="1" w:styleId="447">
    <w:name w:val="图号"/>
    <w:basedOn w:val="1"/>
    <w:qFormat/>
    <w:uiPriority w:val="99"/>
    <w:pPr>
      <w:autoSpaceDE w:val="0"/>
      <w:autoSpaceDN w:val="0"/>
      <w:spacing w:line="360" w:lineRule="auto"/>
      <w:ind w:hanging="851" w:hangingChars="200"/>
    </w:pPr>
    <w:rPr>
      <w:bCs/>
      <w:color w:val="FF0000"/>
      <w:sz w:val="18"/>
      <w:szCs w:val="18"/>
      <w:lang w:val="zh-CN"/>
    </w:rPr>
  </w:style>
  <w:style w:type="paragraph" w:customStyle="1" w:styleId="44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0"/>
    </w:rPr>
  </w:style>
  <w:style w:type="paragraph" w:customStyle="1" w:styleId="449">
    <w:name w:val="我的正文首行缩进"/>
    <w:basedOn w:val="64"/>
    <w:qFormat/>
    <w:uiPriority w:val="99"/>
    <w:pPr>
      <w:spacing w:line="360" w:lineRule="auto"/>
    </w:pPr>
    <w:rPr>
      <w:rFonts w:hAnsi="Calibri"/>
      <w:bCs w:val="0"/>
      <w:color w:val="auto"/>
      <w:sz w:val="24"/>
      <w:szCs w:val="24"/>
    </w:rPr>
  </w:style>
  <w:style w:type="paragraph" w:customStyle="1" w:styleId="450">
    <w:name w:val="xl100"/>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hanging="851" w:hangingChars="200"/>
      <w:jc w:val="center"/>
      <w:textAlignment w:val="center"/>
    </w:pPr>
    <w:rPr>
      <w:sz w:val="20"/>
    </w:rPr>
  </w:style>
  <w:style w:type="paragraph" w:customStyle="1" w:styleId="451">
    <w:name w:val="font14"/>
    <w:basedOn w:val="1"/>
    <w:qFormat/>
    <w:uiPriority w:val="0"/>
    <w:pPr>
      <w:spacing w:before="100" w:beforeAutospacing="1" w:after="100" w:afterAutospacing="1" w:line="360" w:lineRule="auto"/>
      <w:ind w:hanging="851" w:hangingChars="200"/>
    </w:pPr>
    <w:rPr>
      <w:b/>
      <w:bCs/>
      <w:szCs w:val="21"/>
    </w:rPr>
  </w:style>
  <w:style w:type="paragraph" w:customStyle="1" w:styleId="452">
    <w:name w:val="xl26"/>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sz w:val="20"/>
    </w:rPr>
  </w:style>
  <w:style w:type="paragraph" w:customStyle="1" w:styleId="453">
    <w:name w:val="xl56"/>
    <w:basedOn w:val="1"/>
    <w:qFormat/>
    <w:uiPriority w:val="99"/>
    <w:pPr>
      <w:spacing w:before="100" w:beforeAutospacing="1" w:after="100" w:afterAutospacing="1" w:line="360" w:lineRule="auto"/>
      <w:ind w:hanging="851" w:hangingChars="200"/>
      <w:textAlignment w:val="center"/>
    </w:pPr>
    <w:rPr>
      <w:b/>
      <w:bCs/>
      <w:sz w:val="28"/>
      <w:szCs w:val="28"/>
    </w:rPr>
  </w:style>
  <w:style w:type="paragraph" w:customStyle="1" w:styleId="454">
    <w:name w:val="xl35"/>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b/>
      <w:bCs/>
      <w:sz w:val="20"/>
    </w:rPr>
  </w:style>
  <w:style w:type="paragraph" w:customStyle="1" w:styleId="455">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sz w:val="20"/>
    </w:rPr>
  </w:style>
  <w:style w:type="paragraph" w:customStyle="1" w:styleId="456">
    <w:name w:val="仿宋正文"/>
    <w:basedOn w:val="1"/>
    <w:qFormat/>
    <w:uiPriority w:val="99"/>
    <w:pPr>
      <w:tabs>
        <w:tab w:val="left" w:pos="840"/>
      </w:tabs>
      <w:spacing w:line="560" w:lineRule="exact"/>
      <w:ind w:left="840" w:firstLine="560" w:firstLineChars="200"/>
    </w:pPr>
    <w:rPr>
      <w:rFonts w:ascii="Calibri" w:hAnsi="Calibri" w:eastAsia="仿宋_GB2312"/>
      <w:color w:val="000000"/>
      <w:sz w:val="28"/>
    </w:rPr>
  </w:style>
  <w:style w:type="paragraph" w:customStyle="1" w:styleId="457">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b/>
      <w:bCs/>
      <w:sz w:val="20"/>
    </w:rPr>
  </w:style>
  <w:style w:type="paragraph" w:customStyle="1" w:styleId="458">
    <w:name w:val="样式 cucd-0 + 宋体"/>
    <w:basedOn w:val="113"/>
    <w:qFormat/>
    <w:uiPriority w:val="99"/>
    <w:rPr>
      <w:rFonts w:ascii="宋体" w:hAnsi="宋体"/>
    </w:rPr>
  </w:style>
  <w:style w:type="paragraph" w:customStyle="1" w:styleId="459">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rFonts w:ascii="Calibri" w:hAnsi="Calibri"/>
      <w:sz w:val="20"/>
    </w:rPr>
  </w:style>
  <w:style w:type="paragraph" w:customStyle="1" w:styleId="460">
    <w:name w:val="font1"/>
    <w:basedOn w:val="1"/>
    <w:qFormat/>
    <w:uiPriority w:val="99"/>
    <w:pPr>
      <w:spacing w:before="100" w:beforeAutospacing="1" w:after="100" w:afterAutospacing="1" w:line="360" w:lineRule="auto"/>
      <w:ind w:hanging="851" w:hangingChars="200"/>
    </w:pPr>
  </w:style>
  <w:style w:type="paragraph" w:customStyle="1" w:styleId="461">
    <w:name w:val="Char Char Char Char1"/>
    <w:basedOn w:val="1"/>
    <w:qFormat/>
    <w:uiPriority w:val="99"/>
    <w:pPr>
      <w:snapToGrid w:val="0"/>
      <w:spacing w:line="440" w:lineRule="atLeast"/>
      <w:ind w:hanging="851" w:hangingChars="200"/>
    </w:pPr>
    <w:rPr>
      <w:rFonts w:hAnsi="Calibri"/>
    </w:rPr>
  </w:style>
  <w:style w:type="paragraph" w:customStyle="1" w:styleId="462">
    <w:name w:val="xl65"/>
    <w:basedOn w:val="1"/>
    <w:qFormat/>
    <w:uiPriority w:val="0"/>
    <w:pPr>
      <w:shd w:val="clear" w:color="000000" w:fill="FFFF00"/>
      <w:spacing w:before="100" w:beforeAutospacing="1" w:after="100" w:afterAutospacing="1" w:line="360" w:lineRule="auto"/>
      <w:ind w:hanging="851" w:hangingChars="200"/>
    </w:pPr>
  </w:style>
  <w:style w:type="paragraph" w:customStyle="1" w:styleId="463">
    <w:name w:val="font15"/>
    <w:basedOn w:val="1"/>
    <w:qFormat/>
    <w:uiPriority w:val="0"/>
    <w:pPr>
      <w:spacing w:before="100" w:beforeAutospacing="1" w:after="100" w:afterAutospacing="1" w:line="360" w:lineRule="auto"/>
      <w:ind w:hanging="851" w:hangingChars="200"/>
    </w:pPr>
    <w:rPr>
      <w:rFonts w:ascii="Calibri" w:hAnsi="Calibri"/>
      <w:b/>
      <w:bCs/>
      <w:szCs w:val="21"/>
    </w:rPr>
  </w:style>
  <w:style w:type="paragraph" w:customStyle="1" w:styleId="464">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465">
    <w:name w:val="Char Char1 Char"/>
    <w:basedOn w:val="1"/>
    <w:qFormat/>
    <w:uiPriority w:val="99"/>
    <w:pPr>
      <w:spacing w:line="360" w:lineRule="auto"/>
      <w:ind w:hanging="851" w:hangingChars="200"/>
    </w:pPr>
    <w:rPr>
      <w:rFonts w:ascii="Calibri" w:hAnsi="Calibri"/>
    </w:rPr>
  </w:style>
  <w:style w:type="paragraph" w:customStyle="1" w:styleId="466">
    <w:name w:val="正文2"/>
    <w:basedOn w:val="1"/>
    <w:qFormat/>
    <w:uiPriority w:val="99"/>
    <w:pPr>
      <w:spacing w:line="360" w:lineRule="auto"/>
      <w:ind w:firstLine="540" w:firstLineChars="225"/>
    </w:pPr>
  </w:style>
  <w:style w:type="paragraph" w:customStyle="1" w:styleId="467">
    <w:name w:val="cucd-A"/>
    <w:next w:val="113"/>
    <w:qFormat/>
    <w:uiPriority w:val="99"/>
    <w:pPr>
      <w:pageBreakBefore/>
      <w:spacing w:beforeLines="100" w:afterLines="50" w:line="360" w:lineRule="auto"/>
      <w:ind w:left="851" w:hanging="851"/>
      <w:jc w:val="center"/>
      <w:outlineLvl w:val="0"/>
    </w:pPr>
    <w:rPr>
      <w:rFonts w:ascii="Calibri" w:hAnsi="Calibri" w:eastAsia="黑体" w:cs="Times New Roman"/>
      <w:b/>
      <w:kern w:val="2"/>
      <w:sz w:val="36"/>
      <w:szCs w:val="24"/>
      <w:lang w:val="en-US" w:eastAsia="zh-CN" w:bidi="ar-SA"/>
    </w:rPr>
  </w:style>
  <w:style w:type="paragraph" w:customStyle="1" w:styleId="468">
    <w:name w:val="WPSOffice手动目录 1"/>
    <w:qFormat/>
    <w:uiPriority w:val="99"/>
    <w:rPr>
      <w:rFonts w:ascii="Calibri" w:hAnsi="Calibri" w:eastAsia="宋体" w:cs="Times New Roman"/>
      <w:lang w:val="en-US" w:eastAsia="zh-CN" w:bidi="ar-SA"/>
    </w:rPr>
  </w:style>
  <w:style w:type="paragraph" w:customStyle="1" w:styleId="469">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b/>
      <w:bCs/>
      <w:sz w:val="20"/>
    </w:rPr>
  </w:style>
  <w:style w:type="paragraph" w:customStyle="1" w:styleId="470">
    <w:name w:val="font8"/>
    <w:basedOn w:val="1"/>
    <w:qFormat/>
    <w:uiPriority w:val="0"/>
    <w:pPr>
      <w:spacing w:before="100" w:beforeAutospacing="1" w:after="100" w:afterAutospacing="1" w:line="360" w:lineRule="auto"/>
      <w:ind w:hanging="851" w:hangingChars="200"/>
    </w:pPr>
    <w:rPr>
      <w:rFonts w:ascii="Calibri" w:hAnsi="Calibri"/>
      <w:b/>
      <w:bCs/>
      <w:sz w:val="28"/>
      <w:szCs w:val="28"/>
    </w:rPr>
  </w:style>
  <w:style w:type="paragraph" w:customStyle="1" w:styleId="471">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472">
    <w:name w:val="Char4"/>
    <w:basedOn w:val="1"/>
    <w:qFormat/>
    <w:uiPriority w:val="99"/>
    <w:pPr>
      <w:spacing w:line="360" w:lineRule="auto"/>
      <w:ind w:hanging="851" w:hangingChars="200"/>
    </w:pPr>
    <w:rPr>
      <w:rFonts w:ascii="Calibri" w:hAnsi="Calibri"/>
    </w:rPr>
  </w:style>
  <w:style w:type="paragraph" w:customStyle="1" w:styleId="473">
    <w:name w:val="我的正文首行缩进 Char"/>
    <w:basedOn w:val="64"/>
    <w:qFormat/>
    <w:uiPriority w:val="99"/>
    <w:pPr>
      <w:spacing w:line="360" w:lineRule="auto"/>
    </w:pPr>
    <w:rPr>
      <w:rFonts w:hAnsi="Calibri"/>
      <w:bCs w:val="0"/>
      <w:color w:val="auto"/>
      <w:sz w:val="24"/>
      <w:szCs w:val="24"/>
    </w:rPr>
  </w:style>
  <w:style w:type="paragraph" w:customStyle="1" w:styleId="474">
    <w:name w:val="xl80"/>
    <w:basedOn w:val="1"/>
    <w:qFormat/>
    <w:uiPriority w:val="0"/>
    <w:pPr>
      <w:pBdr>
        <w:bottom w:val="single" w:color="auto" w:sz="4" w:space="0"/>
      </w:pBdr>
      <w:spacing w:before="100" w:beforeAutospacing="1" w:after="100" w:afterAutospacing="1" w:line="360" w:lineRule="auto"/>
      <w:ind w:hanging="851" w:hangingChars="200"/>
      <w:jc w:val="center"/>
    </w:pPr>
    <w:rPr>
      <w:b/>
      <w:bCs/>
      <w:sz w:val="40"/>
      <w:szCs w:val="40"/>
    </w:rPr>
  </w:style>
  <w:style w:type="paragraph" w:customStyle="1" w:styleId="475">
    <w:name w:val="xl70"/>
    <w:basedOn w:val="1"/>
    <w:qFormat/>
    <w:uiPriority w:val="0"/>
    <w:pPr>
      <w:spacing w:before="100" w:beforeAutospacing="1" w:after="100" w:afterAutospacing="1" w:line="360" w:lineRule="auto"/>
      <w:ind w:hanging="851" w:hangingChars="200"/>
    </w:pPr>
  </w:style>
  <w:style w:type="paragraph" w:customStyle="1" w:styleId="476">
    <w:name w:val="xl43"/>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477">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style>
  <w:style w:type="paragraph" w:customStyle="1" w:styleId="478">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pPr>
  </w:style>
  <w:style w:type="paragraph" w:customStyle="1" w:styleId="479">
    <w:name w:val="Char Char1 Char1"/>
    <w:basedOn w:val="1"/>
    <w:qFormat/>
    <w:uiPriority w:val="99"/>
    <w:pPr>
      <w:spacing w:line="360" w:lineRule="auto"/>
      <w:ind w:hanging="851" w:hangingChars="200"/>
    </w:pPr>
    <w:rPr>
      <w:rFonts w:ascii="Calibri" w:hAnsi="Calibri"/>
    </w:rPr>
  </w:style>
  <w:style w:type="paragraph" w:customStyle="1" w:styleId="480">
    <w:name w:val="xl3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rFonts w:ascii="Calibri" w:hAnsi="Calibri"/>
      <w:sz w:val="20"/>
    </w:rPr>
  </w:style>
  <w:style w:type="paragraph" w:customStyle="1" w:styleId="481">
    <w:name w:val="xl84"/>
    <w:basedOn w:val="1"/>
    <w:qFormat/>
    <w:uiPriority w:val="0"/>
    <w:pPr>
      <w:pBdr>
        <w:top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sz w:val="20"/>
    </w:rPr>
  </w:style>
  <w:style w:type="paragraph" w:customStyle="1" w:styleId="482">
    <w:name w:val="font7"/>
    <w:basedOn w:val="1"/>
    <w:qFormat/>
    <w:uiPriority w:val="0"/>
    <w:pPr>
      <w:spacing w:before="100" w:beforeAutospacing="1" w:after="100" w:afterAutospacing="1" w:line="360" w:lineRule="auto"/>
      <w:ind w:hanging="851" w:hangingChars="200"/>
    </w:pPr>
    <w:rPr>
      <w:rFonts w:hint="eastAsia"/>
      <w:b/>
      <w:bCs/>
      <w:sz w:val="28"/>
      <w:szCs w:val="28"/>
    </w:rPr>
  </w:style>
  <w:style w:type="paragraph" w:customStyle="1" w:styleId="483">
    <w:name w:val="Char41"/>
    <w:basedOn w:val="1"/>
    <w:qFormat/>
    <w:uiPriority w:val="99"/>
    <w:pPr>
      <w:spacing w:line="360" w:lineRule="auto"/>
      <w:ind w:hanging="851" w:hangingChars="200"/>
    </w:pPr>
    <w:rPr>
      <w:rFonts w:ascii="Calibri" w:hAnsi="Calibri"/>
    </w:rPr>
  </w:style>
  <w:style w:type="paragraph" w:customStyle="1" w:styleId="484">
    <w:name w:val="正文条目a"/>
    <w:basedOn w:val="1"/>
    <w:qFormat/>
    <w:uiPriority w:val="99"/>
    <w:pPr>
      <w:spacing w:line="360" w:lineRule="auto"/>
      <w:ind w:left="400" w:leftChars="300" w:hanging="100" w:hangingChars="100"/>
    </w:pPr>
    <w:rPr>
      <w:rFonts w:hAnsi="Calibri"/>
    </w:rPr>
  </w:style>
  <w:style w:type="paragraph" w:customStyle="1" w:styleId="485">
    <w:name w:val="xl4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textAlignment w:val="center"/>
    </w:pPr>
    <w:rPr>
      <w:sz w:val="20"/>
    </w:rPr>
  </w:style>
  <w:style w:type="paragraph" w:customStyle="1" w:styleId="486">
    <w:name w:val="xl42"/>
    <w:basedOn w:val="1"/>
    <w:qFormat/>
    <w:uiPriority w:val="99"/>
    <w:pPr>
      <w:pBdr>
        <w:bottom w:val="single" w:color="auto" w:sz="4" w:space="0"/>
      </w:pBdr>
      <w:spacing w:before="100" w:beforeAutospacing="1" w:after="100" w:afterAutospacing="1" w:line="360" w:lineRule="auto"/>
      <w:ind w:hanging="851" w:hangingChars="200"/>
      <w:textAlignment w:val="center"/>
    </w:pPr>
    <w:rPr>
      <w:rFonts w:ascii="Calibri" w:hAnsi="Calibri"/>
      <w:b/>
      <w:bCs/>
      <w:sz w:val="28"/>
      <w:szCs w:val="28"/>
    </w:rPr>
  </w:style>
  <w:style w:type="paragraph" w:customStyle="1" w:styleId="487">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sz w:val="20"/>
    </w:rPr>
  </w:style>
  <w:style w:type="paragraph" w:customStyle="1" w:styleId="488">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rFonts w:ascii="Calibri" w:hAnsi="Calibri"/>
      <w:sz w:val="20"/>
    </w:rPr>
  </w:style>
  <w:style w:type="paragraph" w:customStyle="1" w:styleId="489">
    <w:name w:val="figure"/>
    <w:basedOn w:val="1"/>
    <w:qFormat/>
    <w:uiPriority w:val="99"/>
    <w:pPr>
      <w:tabs>
        <w:tab w:val="left" w:pos="851"/>
        <w:tab w:val="left" w:pos="1701"/>
      </w:tabs>
      <w:spacing w:line="250" w:lineRule="exact"/>
      <w:ind w:hanging="851" w:hangingChars="200"/>
    </w:pPr>
    <w:rPr>
      <w:rFonts w:ascii="Swis721 Lt BT" w:hAnsi="Swis721 Lt BT"/>
      <w:snapToGrid w:val="0"/>
      <w:sz w:val="20"/>
      <w:lang w:val="en-AU" w:eastAsia="en-US"/>
    </w:rPr>
  </w:style>
  <w:style w:type="paragraph" w:customStyle="1" w:styleId="490">
    <w:name w:val="Char Char Char Char Char Char Char Char Char Char1"/>
    <w:basedOn w:val="1"/>
    <w:qFormat/>
    <w:uiPriority w:val="99"/>
    <w:pPr>
      <w:spacing w:line="360" w:lineRule="auto"/>
      <w:ind w:hanging="851" w:hangingChars="200"/>
    </w:pPr>
    <w:rPr>
      <w:rFonts w:ascii="Calibri" w:hAnsi="Calibri"/>
    </w:rPr>
  </w:style>
  <w:style w:type="paragraph" w:customStyle="1" w:styleId="49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492">
    <w:name w:val="xl99"/>
    <w:basedOn w:val="1"/>
    <w:qFormat/>
    <w:uiPriority w:val="0"/>
    <w:pPr>
      <w:pBdr>
        <w:top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8"/>
      <w:szCs w:val="28"/>
    </w:rPr>
  </w:style>
  <w:style w:type="paragraph" w:customStyle="1" w:styleId="493">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pPr>
  </w:style>
  <w:style w:type="paragraph" w:customStyle="1" w:styleId="494">
    <w:name w:val="cauc-1"/>
    <w:next w:val="425"/>
    <w:qFormat/>
    <w:uiPriority w:val="99"/>
    <w:pPr>
      <w:pageBreakBefore/>
      <w:tabs>
        <w:tab w:val="left" w:pos="425"/>
      </w:tabs>
      <w:spacing w:beforeLines="100" w:afterLines="50" w:line="360" w:lineRule="auto"/>
      <w:ind w:left="425" w:hanging="425"/>
      <w:jc w:val="center"/>
      <w:outlineLvl w:val="0"/>
    </w:pPr>
    <w:rPr>
      <w:rFonts w:ascii="Calibri" w:hAnsi="Calibri" w:eastAsia="黑体" w:cs="Times New Roman"/>
      <w:b/>
      <w:kern w:val="2"/>
      <w:sz w:val="36"/>
      <w:szCs w:val="24"/>
      <w:lang w:val="en-US" w:eastAsia="zh-CN" w:bidi="ar-SA"/>
    </w:rPr>
  </w:style>
  <w:style w:type="paragraph" w:customStyle="1" w:styleId="495">
    <w:name w:val="xl76"/>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hanging="851" w:hangingChars="200"/>
      <w:jc w:val="center"/>
    </w:pPr>
    <w:rPr>
      <w:sz w:val="20"/>
    </w:rPr>
  </w:style>
  <w:style w:type="paragraph" w:customStyle="1" w:styleId="496">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hanging="851" w:hangingChars="200"/>
      <w:jc w:val="center"/>
      <w:textAlignment w:val="center"/>
    </w:pPr>
    <w:rPr>
      <w:b/>
      <w:bCs/>
      <w:sz w:val="20"/>
    </w:rPr>
  </w:style>
  <w:style w:type="character" w:customStyle="1" w:styleId="497">
    <w:name w:val="±êìa2 Char1"/>
    <w:qFormat/>
    <w:uiPriority w:val="0"/>
    <w:rPr>
      <w:rFonts w:eastAsia="宋体"/>
      <w:kern w:val="2"/>
      <w:sz w:val="28"/>
      <w:szCs w:val="28"/>
      <w:lang w:val="en-US" w:eastAsia="zh-CN" w:bidi="ar-SA"/>
    </w:rPr>
  </w:style>
  <w:style w:type="character" w:customStyle="1" w:styleId="498">
    <w:name w:val="表内字 Char"/>
    <w:link w:val="499"/>
    <w:qFormat/>
    <w:uiPriority w:val="0"/>
    <w:rPr>
      <w:rFonts w:ascii="宋体" w:hAnsi="宋体"/>
      <w:color w:val="000000"/>
      <w:kern w:val="2"/>
      <w:sz w:val="21"/>
      <w:szCs w:val="22"/>
      <w:lang w:val="en-US" w:eastAsia="zh-CN" w:bidi="ar-SA"/>
    </w:rPr>
  </w:style>
  <w:style w:type="paragraph" w:customStyle="1" w:styleId="499">
    <w:name w:val="表内字"/>
    <w:link w:val="498"/>
    <w:qFormat/>
    <w:uiPriority w:val="0"/>
    <w:pPr>
      <w:widowControl w:val="0"/>
      <w:adjustRightInd w:val="0"/>
      <w:snapToGrid w:val="0"/>
      <w:spacing w:line="360" w:lineRule="atLeast"/>
      <w:jc w:val="center"/>
      <w:textAlignment w:val="baseline"/>
    </w:pPr>
    <w:rPr>
      <w:rFonts w:ascii="宋体" w:hAnsi="宋体" w:eastAsia="宋体" w:cs="Times New Roman"/>
      <w:color w:val="000000"/>
      <w:kern w:val="2"/>
      <w:sz w:val="21"/>
      <w:szCs w:val="22"/>
      <w:lang w:val="en-US" w:eastAsia="zh-CN" w:bidi="ar-SA"/>
    </w:rPr>
  </w:style>
  <w:style w:type="paragraph" w:customStyle="1" w:styleId="500">
    <w:name w:val="profile"/>
    <w:basedOn w:val="1"/>
    <w:qFormat/>
    <w:uiPriority w:val="99"/>
    <w:pPr>
      <w:spacing w:before="100" w:beforeAutospacing="1" w:after="100" w:afterAutospacing="1" w:line="384" w:lineRule="auto"/>
    </w:pPr>
    <w:rPr>
      <w:szCs w:val="21"/>
    </w:rPr>
  </w:style>
  <w:style w:type="paragraph" w:customStyle="1" w:styleId="501">
    <w:name w:val="CM58"/>
    <w:basedOn w:val="1"/>
    <w:next w:val="1"/>
    <w:qFormat/>
    <w:uiPriority w:val="99"/>
    <w:pPr>
      <w:autoSpaceDE w:val="0"/>
      <w:autoSpaceDN w:val="0"/>
      <w:adjustRightInd w:val="0"/>
      <w:spacing w:after="310"/>
    </w:pPr>
  </w:style>
  <w:style w:type="paragraph" w:customStyle="1" w:styleId="502">
    <w:name w:val="a"/>
    <w:basedOn w:val="1"/>
    <w:qFormat/>
    <w:uiPriority w:val="99"/>
    <w:pPr>
      <w:overflowPunct w:val="0"/>
      <w:spacing w:before="40" w:after="60"/>
    </w:pPr>
    <w:rPr>
      <w:rFonts w:ascii="Arial" w:hAnsi="Arial" w:cs="Arial"/>
    </w:rPr>
  </w:style>
  <w:style w:type="paragraph" w:customStyle="1" w:styleId="503">
    <w:name w:val="样式 样式 样式 楷体_GB2312 小四 居中 行距: 单倍行距 + 宋体 + 楷体_GB2312"/>
    <w:basedOn w:val="1"/>
    <w:qFormat/>
    <w:uiPriority w:val="99"/>
    <w:pPr>
      <w:jc w:val="center"/>
    </w:pPr>
    <w:rPr>
      <w:rFonts w:eastAsia="楷体_GB2312"/>
    </w:rPr>
  </w:style>
  <w:style w:type="paragraph" w:customStyle="1" w:styleId="504">
    <w:name w:val="样式 样式 样式 样式 样式 样式 样式 样式 Arial 四号 行距: 1.5 倍行距 + (符号) Arial 左侧:  4..."/>
    <w:basedOn w:val="1"/>
    <w:autoRedefine/>
    <w:qFormat/>
    <w:uiPriority w:val="99"/>
    <w:pPr>
      <w:spacing w:before="100" w:beforeAutospacing="1" w:line="360" w:lineRule="auto"/>
      <w:ind w:firstLine="480" w:firstLineChars="200"/>
    </w:pPr>
    <w:rPr>
      <w:rFonts w:ascii="Arial" w:hAnsi="Arial" w:cs="Arial"/>
    </w:rPr>
  </w:style>
  <w:style w:type="paragraph" w:customStyle="1" w:styleId="505">
    <w:name w:val="Normal Indent 2"/>
    <w:basedOn w:val="1"/>
    <w:next w:val="1"/>
    <w:qFormat/>
    <w:uiPriority w:val="99"/>
    <w:pPr>
      <w:autoSpaceDE w:val="0"/>
      <w:autoSpaceDN w:val="0"/>
      <w:adjustRightInd w:val="0"/>
      <w:spacing w:before="120" w:after="120"/>
    </w:pPr>
  </w:style>
  <w:style w:type="paragraph" w:customStyle="1" w:styleId="506">
    <w:name w:val="表格1"/>
    <w:basedOn w:val="1"/>
    <w:qFormat/>
    <w:uiPriority w:val="99"/>
    <w:pPr>
      <w:adjustRightInd w:val="0"/>
      <w:spacing w:line="360" w:lineRule="atLeast"/>
      <w:jc w:val="center"/>
      <w:textAlignment w:val="baseline"/>
    </w:pPr>
  </w:style>
  <w:style w:type="paragraph" w:customStyle="1" w:styleId="507">
    <w:name w:val="000"/>
    <w:basedOn w:val="1"/>
    <w:link w:val="508"/>
    <w:qFormat/>
    <w:uiPriority w:val="0"/>
    <w:pPr>
      <w:spacing w:line="360" w:lineRule="auto"/>
      <w:ind w:firstLine="480" w:firstLineChars="200"/>
    </w:pPr>
    <w:rPr>
      <w:rFonts w:ascii="Calibri" w:hAnsi="Calibri"/>
      <w:lang w:eastAsia="en-US" w:bidi="en-US"/>
    </w:rPr>
  </w:style>
  <w:style w:type="character" w:customStyle="1" w:styleId="508">
    <w:name w:val="000 Char"/>
    <w:link w:val="507"/>
    <w:qFormat/>
    <w:uiPriority w:val="0"/>
    <w:rPr>
      <w:rFonts w:ascii="Calibri" w:hAnsi="Calibri" w:eastAsia="宋体" w:cs="Times New Roman"/>
      <w:kern w:val="0"/>
      <w:sz w:val="24"/>
      <w:szCs w:val="24"/>
      <w:lang w:eastAsia="en-US" w:bidi="en-US"/>
    </w:rPr>
  </w:style>
  <w:style w:type="paragraph" w:customStyle="1" w:styleId="509">
    <w:name w:val="标题B"/>
    <w:basedOn w:val="1"/>
    <w:qFormat/>
    <w:uiPriority w:val="99"/>
    <w:pPr>
      <w:spacing w:line="360" w:lineRule="auto"/>
    </w:pPr>
    <w:rPr>
      <w:b/>
      <w:sz w:val="28"/>
      <w:szCs w:val="28"/>
    </w:rPr>
  </w:style>
  <w:style w:type="paragraph" w:customStyle="1" w:styleId="510">
    <w:name w:val="表头 图头"/>
    <w:basedOn w:val="96"/>
    <w:link w:val="511"/>
    <w:qFormat/>
    <w:uiPriority w:val="0"/>
    <w:pPr>
      <w:ind w:left="0"/>
    </w:pPr>
    <w:rPr>
      <w:rFonts w:ascii="黑体" w:hAnsi="黑体"/>
      <w:b/>
      <w:color w:val="000000"/>
      <w:sz w:val="24"/>
      <w:szCs w:val="36"/>
    </w:rPr>
  </w:style>
  <w:style w:type="character" w:customStyle="1" w:styleId="511">
    <w:name w:val="表头 图头 Char"/>
    <w:link w:val="510"/>
    <w:qFormat/>
    <w:uiPriority w:val="0"/>
    <w:rPr>
      <w:rFonts w:ascii="黑体" w:hAnsi="黑体" w:eastAsia="黑体" w:cs="Times New Roman"/>
      <w:b/>
      <w:color w:val="000000"/>
      <w:kern w:val="0"/>
      <w:sz w:val="24"/>
      <w:szCs w:val="36"/>
    </w:rPr>
  </w:style>
  <w:style w:type="paragraph" w:customStyle="1" w:styleId="512">
    <w:name w:val="巴正文"/>
    <w:basedOn w:val="1"/>
    <w:qFormat/>
    <w:uiPriority w:val="99"/>
    <w:pPr>
      <w:spacing w:line="360" w:lineRule="auto"/>
      <w:ind w:firstLine="200" w:firstLineChars="200"/>
    </w:pPr>
    <w:rPr>
      <w:spacing w:val="16"/>
    </w:rPr>
  </w:style>
  <w:style w:type="paragraph" w:customStyle="1" w:styleId="513">
    <w:name w:val="巴二级标题"/>
    <w:basedOn w:val="1"/>
    <w:link w:val="515"/>
    <w:qFormat/>
    <w:uiPriority w:val="99"/>
    <w:pPr>
      <w:numPr>
        <w:ilvl w:val="1"/>
        <w:numId w:val="2"/>
      </w:numPr>
      <w:spacing w:line="360" w:lineRule="auto"/>
      <w:ind w:left="0" w:firstLine="0"/>
      <w:outlineLvl w:val="1"/>
    </w:pPr>
    <w:rPr>
      <w:rFonts w:eastAsia="黑体"/>
      <w:color w:val="000000"/>
      <w:sz w:val="30"/>
      <w:szCs w:val="30"/>
    </w:rPr>
  </w:style>
  <w:style w:type="paragraph" w:customStyle="1" w:styleId="514">
    <w:name w:val="巴三级标题"/>
    <w:basedOn w:val="1"/>
    <w:qFormat/>
    <w:uiPriority w:val="99"/>
    <w:pPr>
      <w:numPr>
        <w:ilvl w:val="2"/>
        <w:numId w:val="2"/>
      </w:numPr>
      <w:spacing w:line="360" w:lineRule="auto"/>
      <w:ind w:left="0" w:firstLine="0"/>
      <w:outlineLvl w:val="2"/>
    </w:pPr>
    <w:rPr>
      <w:rFonts w:eastAsia="黑体"/>
      <w:color w:val="000000"/>
      <w:sz w:val="28"/>
      <w:szCs w:val="30"/>
    </w:rPr>
  </w:style>
  <w:style w:type="character" w:customStyle="1" w:styleId="515">
    <w:name w:val="巴二级标题 Char"/>
    <w:link w:val="513"/>
    <w:qFormat/>
    <w:uiPriority w:val="99"/>
    <w:rPr>
      <w:rFonts w:ascii="宋体" w:hAnsi="宋体" w:eastAsia="黑体" w:cs="宋体"/>
      <w:color w:val="000000"/>
      <w:sz w:val="30"/>
      <w:szCs w:val="30"/>
    </w:rPr>
  </w:style>
  <w:style w:type="paragraph" w:customStyle="1" w:styleId="516">
    <w:name w:val="巴-四级标题"/>
    <w:basedOn w:val="513"/>
    <w:qFormat/>
    <w:uiPriority w:val="99"/>
    <w:pPr>
      <w:numPr>
        <w:ilvl w:val="3"/>
      </w:numPr>
      <w:ind w:left="0" w:firstLine="0"/>
      <w:outlineLvl w:val="3"/>
    </w:pPr>
    <w:rPr>
      <w:rFonts w:eastAsia="宋体"/>
      <w:b/>
      <w:sz w:val="24"/>
    </w:rPr>
  </w:style>
  <w:style w:type="character" w:customStyle="1" w:styleId="517">
    <w:name w:val="列表段落 字符"/>
    <w:link w:val="91"/>
    <w:qFormat/>
    <w:uiPriority w:val="0"/>
    <w:rPr>
      <w:rFonts w:ascii="Times New Roman" w:hAnsi="Times New Roman" w:eastAsia="宋体" w:cs="Times New Roman"/>
      <w:szCs w:val="20"/>
    </w:rPr>
  </w:style>
  <w:style w:type="character" w:customStyle="1" w:styleId="518">
    <w:name w:val="A图表标题 Char"/>
    <w:link w:val="161"/>
    <w:qFormat/>
    <w:uiPriority w:val="0"/>
    <w:rPr>
      <w:rFonts w:ascii="黑体" w:hAnsi="黑体" w:eastAsia="黑体" w:cs="Times New Roman"/>
      <w:b/>
      <w:color w:val="000000"/>
      <w:kern w:val="0"/>
      <w:sz w:val="24"/>
      <w:szCs w:val="28"/>
    </w:rPr>
  </w:style>
  <w:style w:type="character" w:customStyle="1" w:styleId="519">
    <w:name w:val="w表格内 Char"/>
    <w:link w:val="520"/>
    <w:qFormat/>
    <w:uiPriority w:val="0"/>
    <w:rPr>
      <w:rFonts w:ascii="宋体" w:eastAsia="宋体"/>
      <w:szCs w:val="21"/>
    </w:rPr>
  </w:style>
  <w:style w:type="paragraph" w:customStyle="1" w:styleId="520">
    <w:name w:val="w表格内"/>
    <w:basedOn w:val="104"/>
    <w:link w:val="519"/>
    <w:qFormat/>
    <w:uiPriority w:val="0"/>
    <w:pPr>
      <w:spacing w:line="340" w:lineRule="exact"/>
      <w:ind w:firstLine="0" w:firstLineChars="0"/>
      <w:jc w:val="center"/>
    </w:pPr>
    <w:rPr>
      <w:rFonts w:hAnsi="Calibri"/>
      <w:spacing w:val="0"/>
      <w:sz w:val="20"/>
      <w:szCs w:val="21"/>
    </w:rPr>
  </w:style>
  <w:style w:type="paragraph" w:customStyle="1" w:styleId="521">
    <w:name w:val="A3"/>
    <w:basedOn w:val="97"/>
    <w:link w:val="522"/>
    <w:qFormat/>
    <w:uiPriority w:val="0"/>
    <w:pPr>
      <w:widowControl w:val="0"/>
      <w:numPr>
        <w:numId w:val="0"/>
      </w:numPr>
    </w:pPr>
    <w:rPr>
      <w:rFonts w:ascii="Times New Roman" w:hAnsi="Times New Roman"/>
      <w:color w:val="000000"/>
      <w:sz w:val="26"/>
    </w:rPr>
  </w:style>
  <w:style w:type="character" w:customStyle="1" w:styleId="522">
    <w:name w:val="A3 Char"/>
    <w:link w:val="521"/>
    <w:qFormat/>
    <w:uiPriority w:val="0"/>
    <w:rPr>
      <w:rFonts w:ascii="Times New Roman" w:hAnsi="Times New Roman" w:eastAsia="黑体" w:cs="Times New Roman"/>
      <w:b/>
      <w:color w:val="000000"/>
      <w:kern w:val="0"/>
      <w:sz w:val="26"/>
      <w:szCs w:val="20"/>
    </w:rPr>
  </w:style>
  <w:style w:type="table" w:customStyle="1" w:styleId="523">
    <w:name w:val="网格型111"/>
    <w:basedOn w:val="65"/>
    <w:qFormat/>
    <w:uiPriority w:val="0"/>
    <w:pPr>
      <w:widowControl w:val="0"/>
      <w:spacing w:line="360" w:lineRule="exact"/>
      <w:jc w:val="center"/>
    </w:pPr>
    <w:rPr>
      <w:rFonts w:ascii="宋体" w:hAnsi="宋体" w:cs="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character" w:customStyle="1" w:styleId="524">
    <w:name w:val="font01"/>
    <w:qFormat/>
    <w:uiPriority w:val="0"/>
    <w:rPr>
      <w:rFonts w:hint="eastAsia" w:ascii="宋体" w:hAnsi="宋体" w:eastAsia="宋体"/>
      <w:color w:val="000000"/>
      <w:sz w:val="22"/>
      <w:szCs w:val="22"/>
      <w:u w:val="none"/>
    </w:rPr>
  </w:style>
  <w:style w:type="paragraph" w:customStyle="1" w:styleId="525">
    <w:name w:val="五号框图文字"/>
    <w:basedOn w:val="1"/>
    <w:qFormat/>
    <w:uiPriority w:val="99"/>
    <w:pPr>
      <w:tabs>
        <w:tab w:val="left" w:pos="567"/>
      </w:tabs>
      <w:jc w:val="center"/>
    </w:pPr>
    <w:rPr>
      <w:rFonts w:eastAsia="华文中宋"/>
      <w:szCs w:val="21"/>
    </w:rPr>
  </w:style>
  <w:style w:type="character" w:customStyle="1" w:styleId="526">
    <w:name w:val="表头 字符"/>
    <w:qFormat/>
    <w:uiPriority w:val="0"/>
    <w:rPr>
      <w:rFonts w:ascii="Calibri" w:hAnsi="Calibri" w:eastAsia="黑体" w:cs="Times New Roman"/>
      <w:spacing w:val="-10"/>
      <w:sz w:val="21"/>
    </w:rPr>
  </w:style>
  <w:style w:type="character" w:customStyle="1" w:styleId="527">
    <w:name w:val="邓图后正文 Char"/>
    <w:link w:val="255"/>
    <w:qFormat/>
    <w:uiPriority w:val="0"/>
    <w:rPr>
      <w:rFonts w:ascii="黑体" w:hAnsi="黑体" w:eastAsia="黑体" w:cs="Times New Roman"/>
      <w:b/>
      <w:bCs/>
      <w:sz w:val="24"/>
      <w:szCs w:val="24"/>
    </w:rPr>
  </w:style>
  <w:style w:type="paragraph" w:customStyle="1" w:styleId="528">
    <w:name w:val="w3"/>
    <w:basedOn w:val="4"/>
    <w:qFormat/>
    <w:uiPriority w:val="99"/>
    <w:pPr>
      <w:adjustRightInd w:val="0"/>
      <w:snapToGrid w:val="0"/>
      <w:spacing w:before="0" w:after="0" w:line="360" w:lineRule="auto"/>
      <w:ind w:left="425" w:hanging="425"/>
    </w:pPr>
    <w:rPr>
      <w:rFonts w:ascii="Calibri" w:hAnsi="Calibri" w:eastAsia="黑体"/>
      <w:b w:val="0"/>
      <w:sz w:val="28"/>
    </w:rPr>
  </w:style>
  <w:style w:type="paragraph" w:customStyle="1" w:styleId="529">
    <w:name w:val="0正文"/>
    <w:basedOn w:val="1"/>
    <w:link w:val="530"/>
    <w:qFormat/>
    <w:uiPriority w:val="0"/>
    <w:pPr>
      <w:spacing w:line="360" w:lineRule="auto"/>
      <w:ind w:firstLine="480" w:firstLineChars="200"/>
    </w:pPr>
    <w:rPr>
      <w:rFonts w:ascii="Arial" w:hAnsi="Arial"/>
    </w:rPr>
  </w:style>
  <w:style w:type="character" w:customStyle="1" w:styleId="530">
    <w:name w:val="0正文 Char"/>
    <w:link w:val="529"/>
    <w:qFormat/>
    <w:uiPriority w:val="0"/>
    <w:rPr>
      <w:rFonts w:ascii="Arial" w:hAnsi="Arial" w:eastAsia="宋体" w:cs="Arial"/>
      <w:sz w:val="24"/>
      <w:szCs w:val="24"/>
    </w:rPr>
  </w:style>
  <w:style w:type="paragraph" w:customStyle="1" w:styleId="531">
    <w:name w:val="正文1"/>
    <w:next w:val="1"/>
    <w:qFormat/>
    <w:uiPriority w:val="99"/>
    <w:pPr>
      <w:widowControl w:val="0"/>
      <w:spacing w:line="240" w:lineRule="atLeast"/>
      <w:jc w:val="center"/>
    </w:pPr>
    <w:rPr>
      <w:rFonts w:ascii="宋体" w:hAnsi="宋体" w:eastAsia="宋体" w:cs="宋体"/>
      <w:lang w:val="en-US" w:eastAsia="zh-CN" w:bidi="ar-SA"/>
    </w:rPr>
  </w:style>
  <w:style w:type="character" w:customStyle="1" w:styleId="532">
    <w:name w:val="digest1"/>
    <w:qFormat/>
    <w:uiPriority w:val="0"/>
    <w:rPr>
      <w:color w:val="393939"/>
      <w:sz w:val="20"/>
      <w:szCs w:val="20"/>
    </w:rPr>
  </w:style>
  <w:style w:type="character" w:customStyle="1" w:styleId="533">
    <w:name w:val="东华表格文字 Char"/>
    <w:link w:val="534"/>
    <w:qFormat/>
    <w:uiPriority w:val="0"/>
    <w:rPr>
      <w:rFonts w:eastAsia="仿宋"/>
      <w:szCs w:val="21"/>
    </w:rPr>
  </w:style>
  <w:style w:type="paragraph" w:customStyle="1" w:styleId="534">
    <w:name w:val="东华表格文字"/>
    <w:basedOn w:val="1"/>
    <w:link w:val="533"/>
    <w:qFormat/>
    <w:uiPriority w:val="0"/>
    <w:pPr>
      <w:adjustRightInd w:val="0"/>
      <w:snapToGrid w:val="0"/>
      <w:jc w:val="center"/>
    </w:pPr>
    <w:rPr>
      <w:rFonts w:ascii="Calibri" w:hAnsi="Calibri" w:eastAsia="仿宋"/>
      <w:sz w:val="20"/>
      <w:szCs w:val="21"/>
    </w:rPr>
  </w:style>
  <w:style w:type="paragraph" w:customStyle="1" w:styleId="535">
    <w:name w:val="w图标标题"/>
    <w:basedOn w:val="4"/>
    <w:qFormat/>
    <w:uiPriority w:val="0"/>
    <w:pPr>
      <w:keepNext w:val="0"/>
      <w:keepLines w:val="0"/>
      <w:overflowPunct w:val="0"/>
      <w:autoSpaceDE w:val="0"/>
      <w:autoSpaceDN w:val="0"/>
      <w:spacing w:before="0" w:after="0" w:line="360" w:lineRule="auto"/>
      <w:jc w:val="center"/>
      <w:textAlignment w:val="baseline"/>
      <w:outlineLvl w:val="9"/>
    </w:pPr>
    <w:rPr>
      <w:rFonts w:ascii="黑体" w:hAnsi="黑体" w:eastAsia="黑体"/>
      <w:bCs w:val="0"/>
      <w:snapToGrid w:val="0"/>
      <w:color w:val="000000"/>
      <w:sz w:val="24"/>
      <w:szCs w:val="24"/>
    </w:rPr>
  </w:style>
  <w:style w:type="character" w:customStyle="1" w:styleId="536">
    <w:name w:val="apple-style-span"/>
    <w:basedOn w:val="67"/>
    <w:qFormat/>
    <w:uiPriority w:val="0"/>
  </w:style>
  <w:style w:type="character" w:customStyle="1" w:styleId="537">
    <w:name w:val="A4 Char"/>
    <w:link w:val="538"/>
    <w:qFormat/>
    <w:uiPriority w:val="0"/>
    <w:rPr>
      <w:b/>
      <w:bCs/>
      <w:color w:val="000000"/>
      <w:sz w:val="24"/>
      <w:szCs w:val="28"/>
    </w:rPr>
  </w:style>
  <w:style w:type="paragraph" w:customStyle="1" w:styleId="538">
    <w:name w:val="A4"/>
    <w:basedOn w:val="5"/>
    <w:link w:val="537"/>
    <w:qFormat/>
    <w:uiPriority w:val="0"/>
    <w:pPr>
      <w:spacing w:before="0" w:after="0" w:line="360" w:lineRule="auto"/>
    </w:pPr>
    <w:rPr>
      <w:rFonts w:ascii="Calibri" w:hAnsi="Calibri"/>
      <w:color w:val="000000"/>
      <w:sz w:val="24"/>
    </w:rPr>
  </w:style>
  <w:style w:type="character" w:customStyle="1" w:styleId="539">
    <w:name w:val="A表 Char"/>
    <w:link w:val="540"/>
    <w:qFormat/>
    <w:uiPriority w:val="0"/>
    <w:rPr>
      <w:rFonts w:ascii="黑体" w:hAnsi="黑体" w:eastAsia="黑体"/>
      <w:b/>
      <w:color w:val="000000"/>
      <w:sz w:val="24"/>
      <w:szCs w:val="24"/>
    </w:rPr>
  </w:style>
  <w:style w:type="paragraph" w:customStyle="1" w:styleId="540">
    <w:name w:val="A表"/>
    <w:basedOn w:val="1"/>
    <w:link w:val="539"/>
    <w:qFormat/>
    <w:uiPriority w:val="0"/>
    <w:pPr>
      <w:spacing w:line="360" w:lineRule="auto"/>
      <w:jc w:val="center"/>
    </w:pPr>
    <w:rPr>
      <w:rFonts w:ascii="黑体" w:hAnsi="黑体" w:eastAsia="黑体"/>
      <w:b/>
      <w:color w:val="000000"/>
    </w:rPr>
  </w:style>
  <w:style w:type="paragraph" w:customStyle="1" w:styleId="541">
    <w:name w:val="A1表头"/>
    <w:basedOn w:val="1"/>
    <w:qFormat/>
    <w:uiPriority w:val="99"/>
    <w:pPr>
      <w:spacing w:line="360" w:lineRule="auto"/>
      <w:jc w:val="center"/>
    </w:pPr>
    <w:rPr>
      <w:rFonts w:ascii="黑体" w:hAnsi="黑体" w:eastAsia="黑体"/>
      <w:b/>
    </w:rPr>
  </w:style>
  <w:style w:type="paragraph" w:customStyle="1" w:styleId="542">
    <w:name w:val="样式 样式 正文缩进正文（首行缩进两字）正文2 + 首行缩进:  2 字符 + 首行缩进:  2 字符"/>
    <w:basedOn w:val="1"/>
    <w:qFormat/>
    <w:uiPriority w:val="99"/>
    <w:pPr>
      <w:snapToGrid w:val="0"/>
      <w:spacing w:line="324" w:lineRule="auto"/>
      <w:ind w:firstLine="600" w:firstLineChars="200"/>
    </w:pPr>
    <w:rPr>
      <w:sz w:val="28"/>
    </w:rPr>
  </w:style>
  <w:style w:type="character" w:customStyle="1" w:styleId="543">
    <w:name w:val="尾注文本 Char1"/>
    <w:qFormat/>
    <w:uiPriority w:val="0"/>
    <w:rPr>
      <w:kern w:val="2"/>
      <w:sz w:val="21"/>
      <w:szCs w:val="24"/>
    </w:rPr>
  </w:style>
  <w:style w:type="paragraph" w:customStyle="1" w:styleId="544">
    <w:name w:val="3级标题"/>
    <w:basedOn w:val="1"/>
    <w:link w:val="545"/>
    <w:qFormat/>
    <w:uiPriority w:val="0"/>
    <w:pPr>
      <w:tabs>
        <w:tab w:val="left" w:pos="720"/>
        <w:tab w:val="left" w:pos="900"/>
      </w:tabs>
      <w:spacing w:line="360" w:lineRule="auto"/>
      <w:outlineLvl w:val="2"/>
    </w:pPr>
    <w:rPr>
      <w:rFonts w:ascii="Arial" w:hAnsi="Arial"/>
      <w:b/>
    </w:rPr>
  </w:style>
  <w:style w:type="character" w:customStyle="1" w:styleId="545">
    <w:name w:val="3级标题 Char"/>
    <w:link w:val="544"/>
    <w:qFormat/>
    <w:uiPriority w:val="0"/>
    <w:rPr>
      <w:rFonts w:ascii="Arial" w:hAnsi="Arial" w:eastAsia="宋体" w:cs="Arial"/>
      <w:b/>
      <w:sz w:val="24"/>
      <w:szCs w:val="24"/>
    </w:rPr>
  </w:style>
  <w:style w:type="paragraph" w:customStyle="1" w:styleId="546">
    <w:name w:val="周晟-表格文字"/>
    <w:basedOn w:val="1"/>
    <w:qFormat/>
    <w:uiPriority w:val="99"/>
    <w:pPr>
      <w:jc w:val="center"/>
    </w:pPr>
    <w:rPr>
      <w:rFonts w:eastAsia="新宋体"/>
      <w:kern w:val="24"/>
    </w:rPr>
  </w:style>
  <w:style w:type="paragraph" w:customStyle="1" w:styleId="547">
    <w:name w:val="正文（1）"/>
    <w:basedOn w:val="15"/>
    <w:next w:val="63"/>
    <w:qFormat/>
    <w:uiPriority w:val="99"/>
    <w:pPr>
      <w:spacing w:line="360" w:lineRule="auto"/>
      <w:ind w:firstLine="480"/>
    </w:pPr>
    <w:rPr>
      <w:rFonts w:ascii="Times New Roman" w:hAnsi="Times New Roman"/>
      <w:color w:val="FF00FF"/>
    </w:rPr>
  </w:style>
  <w:style w:type="paragraph" w:customStyle="1" w:styleId="548">
    <w:name w:val="xl53"/>
    <w:basedOn w:val="1"/>
    <w:qFormat/>
    <w:uiPriority w:val="99"/>
    <w:pPr>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pPr>
    <w:rPr>
      <w:rFonts w:ascii="Arial Unicode MS" w:hAnsi="Arial Unicode MS" w:eastAsia="Arial Unicode MS" w:cs="Arial Unicode MS"/>
      <w:b/>
      <w:bCs/>
      <w:sz w:val="12"/>
      <w:szCs w:val="12"/>
    </w:rPr>
  </w:style>
  <w:style w:type="paragraph" w:customStyle="1" w:styleId="549">
    <w:name w:val="正文样式－文字"/>
    <w:basedOn w:val="1"/>
    <w:link w:val="550"/>
    <w:qFormat/>
    <w:uiPriority w:val="0"/>
    <w:pPr>
      <w:tabs>
        <w:tab w:val="left" w:pos="-709"/>
        <w:tab w:val="left" w:pos="284"/>
      </w:tabs>
      <w:adjustRightInd w:val="0"/>
      <w:snapToGrid w:val="0"/>
      <w:spacing w:line="360" w:lineRule="auto"/>
      <w:ind w:firstLine="200" w:firstLineChars="200"/>
      <w:textAlignment w:val="baseline"/>
    </w:pPr>
    <w:rPr>
      <w:rFonts w:ascii="Calibri" w:hAnsi="Calibri"/>
      <w:color w:val="000000"/>
      <w:sz w:val="28"/>
    </w:rPr>
  </w:style>
  <w:style w:type="character" w:customStyle="1" w:styleId="550">
    <w:name w:val="正文样式－文字 Char"/>
    <w:link w:val="549"/>
    <w:qFormat/>
    <w:uiPriority w:val="0"/>
    <w:rPr>
      <w:rFonts w:ascii="Calibri" w:hAnsi="Calibri" w:eastAsia="宋体" w:cs="宋体"/>
      <w:color w:val="000000"/>
      <w:kern w:val="0"/>
      <w:sz w:val="28"/>
      <w:szCs w:val="24"/>
    </w:rPr>
  </w:style>
  <w:style w:type="character" w:customStyle="1" w:styleId="551">
    <w:name w:val="表格正文 Char"/>
    <w:link w:val="552"/>
    <w:qFormat/>
    <w:uiPriority w:val="99"/>
    <w:rPr>
      <w:rFonts w:ascii="宋体" w:eastAsia="宋体"/>
      <w:szCs w:val="24"/>
      <w:lang w:val="en-GB"/>
    </w:rPr>
  </w:style>
  <w:style w:type="paragraph" w:customStyle="1" w:styleId="552">
    <w:name w:val="表格正文"/>
    <w:basedOn w:val="1"/>
    <w:link w:val="551"/>
    <w:qFormat/>
    <w:uiPriority w:val="99"/>
    <w:pPr>
      <w:jc w:val="center"/>
    </w:pPr>
    <w:rPr>
      <w:rFonts w:hAnsi="Calibri"/>
      <w:sz w:val="20"/>
      <w:lang w:val="en-GB"/>
    </w:rPr>
  </w:style>
  <w:style w:type="character" w:customStyle="1" w:styleId="553">
    <w:name w:val="fontstyle01"/>
    <w:qFormat/>
    <w:uiPriority w:val="0"/>
    <w:rPr>
      <w:rFonts w:hint="eastAsia" w:ascii="宋体" w:hAnsi="宋体" w:eastAsia="宋体"/>
      <w:color w:val="000000"/>
      <w:sz w:val="24"/>
      <w:szCs w:val="24"/>
    </w:rPr>
  </w:style>
  <w:style w:type="character" w:customStyle="1" w:styleId="554">
    <w:name w:val="fontstyle11"/>
    <w:qFormat/>
    <w:uiPriority w:val="0"/>
    <w:rPr>
      <w:rFonts w:hint="eastAsia" w:ascii="宋体" w:hAnsi="宋体" w:eastAsia="宋体"/>
      <w:color w:val="000000"/>
      <w:sz w:val="24"/>
      <w:szCs w:val="24"/>
    </w:rPr>
  </w:style>
  <w:style w:type="character" w:customStyle="1" w:styleId="555">
    <w:name w:val="周晟-正文 Char Char"/>
    <w:link w:val="556"/>
    <w:qFormat/>
    <w:uiPriority w:val="0"/>
    <w:rPr>
      <w:rFonts w:ascii="宋体" w:hAnsi="宋体" w:eastAsia="宋体"/>
      <w:sz w:val="24"/>
    </w:rPr>
  </w:style>
  <w:style w:type="paragraph" w:customStyle="1" w:styleId="556">
    <w:name w:val="周晟-正文"/>
    <w:basedOn w:val="1"/>
    <w:link w:val="555"/>
    <w:qFormat/>
    <w:uiPriority w:val="0"/>
    <w:pPr>
      <w:topLinePunct/>
      <w:spacing w:line="360" w:lineRule="auto"/>
      <w:ind w:firstLine="567"/>
    </w:pPr>
  </w:style>
  <w:style w:type="paragraph" w:customStyle="1" w:styleId="557">
    <w:name w:val="w表格文字"/>
    <w:basedOn w:val="1"/>
    <w:link w:val="559"/>
    <w:autoRedefine/>
    <w:qFormat/>
    <w:uiPriority w:val="0"/>
    <w:pPr>
      <w:widowControl w:val="0"/>
      <w:autoSpaceDE w:val="0"/>
      <w:autoSpaceDN w:val="0"/>
      <w:adjustRightInd w:val="0"/>
      <w:jc w:val="center"/>
    </w:pPr>
    <w:rPr>
      <w:rFonts w:ascii="Times New Roman" w:hAnsi="Times New Roman" w:cs="Times New Roman"/>
      <w:bCs/>
      <w:snapToGrid w:val="0"/>
      <w:color w:val="000000" w:themeColor="text1"/>
      <w:kern w:val="2"/>
      <w:sz w:val="18"/>
      <w:szCs w:val="18"/>
      <w:u w:color="000000"/>
      <w14:textFill>
        <w14:solidFill>
          <w14:schemeClr w14:val="tx1"/>
        </w14:solidFill>
      </w14:textFill>
    </w:rPr>
  </w:style>
  <w:style w:type="paragraph" w:customStyle="1" w:styleId="558">
    <w:name w:val="曙光表头"/>
    <w:basedOn w:val="1"/>
    <w:link w:val="560"/>
    <w:autoRedefine/>
    <w:qFormat/>
    <w:uiPriority w:val="0"/>
    <w:pPr>
      <w:adjustRightInd w:val="0"/>
      <w:snapToGrid w:val="0"/>
      <w:spacing w:line="360" w:lineRule="auto"/>
      <w:ind w:firstLine="482"/>
      <w:jc w:val="center"/>
    </w:pPr>
    <w:rPr>
      <w:rFonts w:eastAsia="黑体"/>
      <w:b/>
      <w:color w:val="000000"/>
      <w:lang w:bidi="en-US"/>
    </w:rPr>
  </w:style>
  <w:style w:type="character" w:customStyle="1" w:styleId="559">
    <w:name w:val="w表格文字 Char"/>
    <w:link w:val="557"/>
    <w:qFormat/>
    <w:uiPriority w:val="0"/>
    <w:rPr>
      <w:rFonts w:ascii="Times New Roman" w:hAnsi="Times New Roman"/>
      <w:bCs/>
      <w:snapToGrid w:val="0"/>
      <w:color w:val="000000" w:themeColor="text1"/>
      <w:kern w:val="2"/>
      <w:sz w:val="18"/>
      <w:szCs w:val="18"/>
      <w:u w:color="000000"/>
      <w14:textFill>
        <w14:solidFill>
          <w14:schemeClr w14:val="tx1"/>
        </w14:solidFill>
      </w14:textFill>
    </w:rPr>
  </w:style>
  <w:style w:type="character" w:customStyle="1" w:styleId="560">
    <w:name w:val="曙光表头 Char"/>
    <w:link w:val="558"/>
    <w:qFormat/>
    <w:uiPriority w:val="0"/>
    <w:rPr>
      <w:rFonts w:ascii="Times New Roman" w:hAnsi="Times New Roman" w:eastAsia="黑体" w:cs="Times New Roman"/>
      <w:b/>
      <w:color w:val="000000"/>
      <w:kern w:val="0"/>
      <w:sz w:val="24"/>
      <w:lang w:bidi="en-US"/>
    </w:rPr>
  </w:style>
  <w:style w:type="character" w:customStyle="1" w:styleId="561">
    <w:name w:val="w表后空格 Char"/>
    <w:link w:val="562"/>
    <w:qFormat/>
    <w:uiPriority w:val="0"/>
    <w:rPr>
      <w:rFonts w:ascii="Times New Roman" w:hAnsi="Times New Roman"/>
      <w:szCs w:val="24"/>
    </w:rPr>
  </w:style>
  <w:style w:type="paragraph" w:customStyle="1" w:styleId="562">
    <w:name w:val="w表后空格"/>
    <w:basedOn w:val="1"/>
    <w:link w:val="561"/>
    <w:qFormat/>
    <w:uiPriority w:val="0"/>
    <w:pPr>
      <w:snapToGrid w:val="0"/>
      <w:ind w:firstLine="420" w:firstLineChars="200"/>
    </w:pPr>
    <w:rPr>
      <w:sz w:val="20"/>
    </w:rPr>
  </w:style>
  <w:style w:type="paragraph" w:customStyle="1" w:styleId="563">
    <w:name w:val="曙光图后正文"/>
    <w:qFormat/>
    <w:uiPriority w:val="99"/>
    <w:pPr>
      <w:widowControl w:val="0"/>
      <w:snapToGrid w:val="0"/>
      <w:spacing w:line="360" w:lineRule="auto"/>
      <w:ind w:firstLine="200" w:firstLineChars="200"/>
      <w:jc w:val="center"/>
    </w:pPr>
    <w:rPr>
      <w:rFonts w:ascii="Calibri" w:hAnsi="Calibri" w:eastAsia="黑体" w:cs="Times New Roman"/>
      <w:b/>
      <w:kern w:val="2"/>
      <w:sz w:val="24"/>
      <w:szCs w:val="24"/>
      <w:lang w:val="en-US" w:eastAsia="zh-CN" w:bidi="ar-SA"/>
    </w:rPr>
  </w:style>
  <w:style w:type="character" w:customStyle="1" w:styleId="564">
    <w:name w:val="表、图名 Char Char"/>
    <w:qFormat/>
    <w:uiPriority w:val="0"/>
    <w:rPr>
      <w:rFonts w:ascii="黑体" w:hAnsi="宋体" w:eastAsia="黑体"/>
      <w:b/>
      <w:kern w:val="2"/>
      <w:sz w:val="21"/>
      <w:szCs w:val="21"/>
      <w:lang w:val="en-US" w:eastAsia="zh-CN"/>
    </w:rPr>
  </w:style>
  <w:style w:type="character" w:customStyle="1" w:styleId="565">
    <w:name w:val="东华表头 Char"/>
    <w:link w:val="566"/>
    <w:qFormat/>
    <w:uiPriority w:val="0"/>
    <w:rPr>
      <w:rFonts w:hAnsi="宋体" w:eastAsia="黑体"/>
      <w:b/>
      <w:kern w:val="16"/>
      <w:sz w:val="24"/>
    </w:rPr>
  </w:style>
  <w:style w:type="paragraph" w:customStyle="1" w:styleId="566">
    <w:name w:val="东华表头"/>
    <w:basedOn w:val="1"/>
    <w:link w:val="565"/>
    <w:qFormat/>
    <w:uiPriority w:val="0"/>
    <w:pPr>
      <w:adjustRightInd w:val="0"/>
      <w:snapToGrid w:val="0"/>
      <w:ind w:firstLine="482" w:firstLineChars="200"/>
      <w:contextualSpacing/>
      <w:jc w:val="center"/>
    </w:pPr>
    <w:rPr>
      <w:rFonts w:ascii="Calibri" w:eastAsia="黑体"/>
      <w:b/>
      <w:kern w:val="16"/>
    </w:rPr>
  </w:style>
  <w:style w:type="character" w:customStyle="1" w:styleId="567">
    <w:name w:val="T正文 Char"/>
    <w:link w:val="568"/>
    <w:qFormat/>
    <w:locked/>
    <w:uiPriority w:val="0"/>
    <w:rPr>
      <w:rFonts w:ascii="宋体" w:hAnsi="宋体" w:eastAsia="宋体"/>
      <w:sz w:val="24"/>
      <w:szCs w:val="24"/>
    </w:rPr>
  </w:style>
  <w:style w:type="paragraph" w:customStyle="1" w:styleId="568">
    <w:name w:val="T正文"/>
    <w:basedOn w:val="1"/>
    <w:link w:val="567"/>
    <w:qFormat/>
    <w:uiPriority w:val="0"/>
    <w:pPr>
      <w:spacing w:line="360" w:lineRule="auto"/>
      <w:ind w:firstLine="480" w:firstLineChars="200"/>
    </w:pPr>
  </w:style>
  <w:style w:type="character" w:customStyle="1" w:styleId="569">
    <w:name w:val="font41"/>
    <w:qFormat/>
    <w:uiPriority w:val="0"/>
    <w:rPr>
      <w:rFonts w:hint="default" w:ascii="Times New Roman" w:hAnsi="Times New Roman" w:cs="Times New Roman"/>
      <w:color w:val="000000"/>
      <w:sz w:val="21"/>
      <w:szCs w:val="21"/>
      <w:u w:val="none"/>
    </w:rPr>
  </w:style>
  <w:style w:type="character" w:customStyle="1" w:styleId="570">
    <w:name w:val="font61"/>
    <w:qFormat/>
    <w:uiPriority w:val="0"/>
    <w:rPr>
      <w:rFonts w:hint="eastAsia" w:ascii="宋体" w:hAnsi="宋体" w:eastAsia="宋体"/>
      <w:color w:val="000000"/>
      <w:sz w:val="22"/>
      <w:szCs w:val="22"/>
      <w:u w:val="none"/>
    </w:rPr>
  </w:style>
  <w:style w:type="character" w:customStyle="1" w:styleId="571">
    <w:name w:val="font31"/>
    <w:qFormat/>
    <w:uiPriority w:val="0"/>
    <w:rPr>
      <w:rFonts w:hint="default" w:ascii="Times New Roman" w:hAnsi="Times New Roman" w:cs="Times New Roman"/>
      <w:color w:val="000000"/>
      <w:sz w:val="18"/>
      <w:szCs w:val="18"/>
      <w:u w:val="none"/>
    </w:rPr>
  </w:style>
  <w:style w:type="character" w:customStyle="1" w:styleId="572">
    <w:name w:val="图表内容 Char"/>
    <w:link w:val="573"/>
    <w:qFormat/>
    <w:locked/>
    <w:uiPriority w:val="0"/>
    <w:rPr>
      <w:rFonts w:ascii="仿宋_GB2312" w:eastAsia="仿宋_GB2312"/>
    </w:rPr>
  </w:style>
  <w:style w:type="paragraph" w:customStyle="1" w:styleId="573">
    <w:name w:val="图表内容"/>
    <w:basedOn w:val="1"/>
    <w:link w:val="572"/>
    <w:qFormat/>
    <w:uiPriority w:val="0"/>
    <w:pPr>
      <w:adjustRightInd w:val="0"/>
      <w:snapToGrid w:val="0"/>
      <w:jc w:val="center"/>
    </w:pPr>
    <w:rPr>
      <w:rFonts w:ascii="仿宋_GB2312" w:hAnsi="Calibri" w:eastAsia="仿宋_GB2312"/>
      <w:sz w:val="20"/>
    </w:rPr>
  </w:style>
  <w:style w:type="character" w:customStyle="1" w:styleId="574">
    <w:name w:val="font91"/>
    <w:qFormat/>
    <w:uiPriority w:val="0"/>
    <w:rPr>
      <w:rFonts w:hint="eastAsia" w:ascii="宋体" w:hAnsi="宋体" w:eastAsia="宋体"/>
      <w:color w:val="000000"/>
      <w:sz w:val="18"/>
      <w:szCs w:val="18"/>
      <w:u w:val="none"/>
    </w:rPr>
  </w:style>
  <w:style w:type="paragraph" w:customStyle="1" w:styleId="575">
    <w:name w:val="修订11"/>
    <w:unhideWhenUsed/>
    <w:qFormat/>
    <w:uiPriority w:val="99"/>
    <w:rPr>
      <w:rFonts w:ascii="Calibri" w:hAnsi="Calibri" w:eastAsia="宋体" w:cs="Times New Roman"/>
      <w:sz w:val="21"/>
      <w:szCs w:val="24"/>
      <w:lang w:val="en-US" w:eastAsia="zh-CN" w:bidi="ar-SA"/>
    </w:rPr>
  </w:style>
  <w:style w:type="paragraph" w:customStyle="1" w:styleId="576">
    <w:name w:val="TOC 标题11"/>
    <w:basedOn w:val="2"/>
    <w:next w:val="1"/>
    <w:qFormat/>
    <w:uiPriority w:val="99"/>
    <w:pPr>
      <w:pageBreakBefore/>
      <w:snapToGrid w:val="0"/>
      <w:spacing w:before="480" w:line="276" w:lineRule="auto"/>
      <w:ind w:hanging="200" w:hangingChars="200"/>
      <w:jc w:val="left"/>
      <w:outlineLvl w:val="9"/>
    </w:pPr>
    <w:rPr>
      <w:rFonts w:ascii="Cambria" w:hAnsi="Cambria"/>
      <w:color w:val="365F91"/>
      <w:sz w:val="28"/>
      <w:szCs w:val="28"/>
    </w:rPr>
  </w:style>
  <w:style w:type="character" w:customStyle="1" w:styleId="577">
    <w:name w:val="1-君邦正文格式 Char"/>
    <w:link w:val="578"/>
    <w:qFormat/>
    <w:uiPriority w:val="0"/>
    <w:rPr>
      <w:bCs/>
      <w:sz w:val="24"/>
    </w:rPr>
  </w:style>
  <w:style w:type="paragraph" w:customStyle="1" w:styleId="578">
    <w:name w:val="1-君邦正文格式"/>
    <w:basedOn w:val="1"/>
    <w:link w:val="577"/>
    <w:qFormat/>
    <w:uiPriority w:val="0"/>
    <w:pPr>
      <w:spacing w:after="60" w:line="360" w:lineRule="auto"/>
      <w:ind w:firstLine="480" w:firstLineChars="200"/>
    </w:pPr>
    <w:rPr>
      <w:rFonts w:ascii="Calibri" w:hAnsi="Calibri"/>
      <w:bCs/>
    </w:rPr>
  </w:style>
  <w:style w:type="paragraph" w:customStyle="1" w:styleId="579">
    <w:name w:val="东华图后正文"/>
    <w:qFormat/>
    <w:uiPriority w:val="99"/>
    <w:pPr>
      <w:widowControl w:val="0"/>
      <w:snapToGrid w:val="0"/>
      <w:spacing w:line="360" w:lineRule="auto"/>
      <w:ind w:firstLine="200" w:firstLineChars="200"/>
      <w:jc w:val="center"/>
    </w:pPr>
    <w:rPr>
      <w:rFonts w:ascii="Calibri" w:hAnsi="Calibri" w:eastAsia="黑体" w:cs="Times New Roman"/>
      <w:b/>
      <w:kern w:val="2"/>
      <w:sz w:val="24"/>
      <w:szCs w:val="24"/>
      <w:lang w:val="en-US" w:eastAsia="zh-CN" w:bidi="ar-SA"/>
    </w:rPr>
  </w:style>
  <w:style w:type="character" w:customStyle="1" w:styleId="580">
    <w:name w:val="批注文字 Char1"/>
    <w:qFormat/>
    <w:uiPriority w:val="0"/>
    <w:rPr>
      <w:rFonts w:hint="default" w:ascii="Times New Roman" w:hAnsi="Times New Roman" w:eastAsia="宋体" w:cs="Times New Roman"/>
      <w:kern w:val="0"/>
      <w:sz w:val="20"/>
      <w:szCs w:val="20"/>
      <w:lang w:eastAsia="en-US" w:bidi="en-US"/>
    </w:rPr>
  </w:style>
  <w:style w:type="character" w:customStyle="1" w:styleId="581">
    <w:name w:val="表格文字 Char"/>
    <w:qFormat/>
    <w:uiPriority w:val="0"/>
    <w:rPr>
      <w:rFonts w:ascii="Times New Roman" w:hAnsi="Times New Roman" w:eastAsia="宋体" w:cs="Times New Roman"/>
      <w:szCs w:val="24"/>
    </w:rPr>
  </w:style>
  <w:style w:type="paragraph" w:customStyle="1" w:styleId="582">
    <w:name w:val="标题6"/>
    <w:basedOn w:val="1"/>
    <w:qFormat/>
    <w:uiPriority w:val="99"/>
    <w:pPr>
      <w:tabs>
        <w:tab w:val="left" w:pos="2836"/>
      </w:tabs>
      <w:adjustRightInd w:val="0"/>
      <w:snapToGrid w:val="0"/>
      <w:spacing w:line="360" w:lineRule="auto"/>
      <w:ind w:left="425" w:firstLine="200" w:firstLineChars="200"/>
    </w:pPr>
    <w:rPr>
      <w:rFonts w:ascii="Calibri" w:hAnsi="Calibri" w:eastAsia="黑体"/>
      <w:b/>
      <w:szCs w:val="22"/>
      <w:lang w:eastAsia="en-US" w:bidi="en-US"/>
    </w:rPr>
  </w:style>
  <w:style w:type="character" w:customStyle="1" w:styleId="583">
    <w:name w:val="表中文字 Char1"/>
    <w:link w:val="184"/>
    <w:qFormat/>
    <w:uiPriority w:val="0"/>
    <w:rPr>
      <w:rFonts w:ascii="宋体" w:hAnsi="宋体" w:eastAsia="宋体" w:cs="宋体"/>
      <w:bCs/>
      <w:color w:val="000000"/>
      <w:kern w:val="0"/>
      <w:szCs w:val="18"/>
    </w:rPr>
  </w:style>
  <w:style w:type="character" w:customStyle="1" w:styleId="584">
    <w:name w:val="东华表后空格1 Char"/>
    <w:link w:val="585"/>
    <w:qFormat/>
    <w:uiPriority w:val="0"/>
    <w:rPr>
      <w:rFonts w:ascii="Times New Roman" w:hAnsi="Times New Roman"/>
      <w:szCs w:val="24"/>
    </w:rPr>
  </w:style>
  <w:style w:type="paragraph" w:customStyle="1" w:styleId="585">
    <w:name w:val="东华表后空格1"/>
    <w:basedOn w:val="1"/>
    <w:link w:val="584"/>
    <w:qFormat/>
    <w:uiPriority w:val="0"/>
    <w:pPr>
      <w:snapToGrid w:val="0"/>
      <w:ind w:firstLine="420" w:firstLineChars="200"/>
    </w:pPr>
    <w:rPr>
      <w:sz w:val="20"/>
    </w:rPr>
  </w:style>
  <w:style w:type="character" w:customStyle="1" w:styleId="586">
    <w:name w:val="w四级标题 Char"/>
    <w:link w:val="98"/>
    <w:qFormat/>
    <w:uiPriority w:val="0"/>
    <w:rPr>
      <w:rFonts w:ascii="黑体" w:hAnsi="黑体" w:eastAsia="黑体" w:cs="宋体"/>
      <w:b/>
      <w:bCs/>
      <w:color w:val="000000" w:themeColor="text1"/>
      <w:kern w:val="2"/>
      <w:sz w:val="24"/>
      <w:szCs w:val="24"/>
      <w14:textFill>
        <w14:solidFill>
          <w14:schemeClr w14:val="tx1"/>
        </w14:solidFill>
      </w14:textFill>
    </w:rPr>
  </w:style>
  <w:style w:type="character" w:customStyle="1" w:styleId="587">
    <w:name w:val="表内字 Char1"/>
    <w:qFormat/>
    <w:uiPriority w:val="0"/>
    <w:rPr>
      <w:rFonts w:cs="Calibri"/>
      <w:sz w:val="24"/>
      <w:szCs w:val="24"/>
    </w:rPr>
  </w:style>
  <w:style w:type="paragraph" w:customStyle="1" w:styleId="588">
    <w:name w:val="Other|1"/>
    <w:basedOn w:val="1"/>
    <w:qFormat/>
    <w:uiPriority w:val="99"/>
    <w:pPr>
      <w:snapToGrid w:val="0"/>
      <w:spacing w:line="360" w:lineRule="auto"/>
      <w:ind w:firstLine="883" w:firstLineChars="200"/>
    </w:pPr>
    <w:rPr>
      <w:sz w:val="19"/>
      <w:szCs w:val="19"/>
      <w:lang w:val="zh-TW" w:eastAsia="zh-TW" w:bidi="zh-TW"/>
    </w:rPr>
  </w:style>
  <w:style w:type="paragraph" w:customStyle="1" w:styleId="589">
    <w:name w:val="样式 表头 + 首行缩进:  2 字符"/>
    <w:basedOn w:val="212"/>
    <w:qFormat/>
    <w:uiPriority w:val="99"/>
    <w:pPr>
      <w:widowControl w:val="0"/>
      <w:spacing w:beforeLines="50" w:line="400" w:lineRule="exact"/>
      <w:ind w:firstLine="200"/>
      <w:jc w:val="both"/>
    </w:pPr>
    <w:rPr>
      <w:rFonts w:ascii="Calibri" w:hAnsi="Calibri" w:eastAsia="黑体"/>
      <w:b w:val="0"/>
      <w:bCs/>
      <w:kern w:val="2"/>
      <w:sz w:val="21"/>
      <w:szCs w:val="20"/>
    </w:rPr>
  </w:style>
  <w:style w:type="paragraph" w:customStyle="1" w:styleId="590">
    <w:name w:val="表中文字X"/>
    <w:next w:val="1"/>
    <w:link w:val="603"/>
    <w:qFormat/>
    <w:uiPriority w:val="0"/>
    <w:pPr>
      <w:spacing w:line="340" w:lineRule="exact"/>
      <w:jc w:val="center"/>
    </w:pPr>
    <w:rPr>
      <w:rFonts w:ascii="Times New Roman" w:hAnsi="Times New Roman" w:eastAsia="宋体" w:cs="Times New Roman"/>
      <w:color w:val="000000"/>
      <w:szCs w:val="24"/>
      <w:lang w:val="en-US" w:eastAsia="zh-CN" w:bidi="ar-SA"/>
    </w:rPr>
  </w:style>
  <w:style w:type="paragraph" w:customStyle="1" w:styleId="591">
    <w:name w:val="图表后空行X"/>
    <w:next w:val="1"/>
    <w:qFormat/>
    <w:uiPriority w:val="99"/>
    <w:pPr>
      <w:ind w:firstLine="200"/>
    </w:pPr>
    <w:rPr>
      <w:rFonts w:ascii="Times New Roman" w:hAnsi="Times New Roman" w:eastAsia="宋体" w:cs="Times New Roman"/>
      <w:kern w:val="2"/>
      <w:sz w:val="18"/>
      <w:szCs w:val="24"/>
      <w:lang w:val="en-US" w:eastAsia="zh-CN" w:bidi="ar-SA"/>
    </w:rPr>
  </w:style>
  <w:style w:type="paragraph" w:styleId="592">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3">
    <w:name w:val="A1"/>
    <w:basedOn w:val="96"/>
    <w:qFormat/>
    <w:uiPriority w:val="99"/>
    <w:pPr>
      <w:tabs>
        <w:tab w:val="left" w:pos="0"/>
      </w:tabs>
      <w:spacing w:beforeLines="50" w:afterLines="50"/>
      <w:ind w:left="426"/>
    </w:pPr>
    <w:rPr>
      <w:b/>
      <w:color w:val="000000"/>
      <w:kern w:val="2"/>
      <w:sz w:val="36"/>
      <w:szCs w:val="36"/>
    </w:rPr>
  </w:style>
  <w:style w:type="paragraph" w:customStyle="1" w:styleId="594">
    <w:name w:val="A2"/>
    <w:basedOn w:val="595"/>
    <w:qFormat/>
    <w:uiPriority w:val="0"/>
    <w:rPr>
      <w:sz w:val="28"/>
    </w:rPr>
  </w:style>
  <w:style w:type="paragraph" w:customStyle="1" w:styleId="595">
    <w:name w:val="样式 1.1二级标题"/>
    <w:basedOn w:val="132"/>
    <w:qFormat/>
    <w:uiPriority w:val="99"/>
    <w:rPr>
      <w:color w:val="000000"/>
      <w:szCs w:val="30"/>
    </w:rPr>
  </w:style>
  <w:style w:type="paragraph" w:customStyle="1" w:styleId="596">
    <w:name w:val="正文文本首行缩进1"/>
    <w:basedOn w:val="24"/>
    <w:qFormat/>
    <w:uiPriority w:val="99"/>
    <w:pPr>
      <w:ind w:firstLine="420" w:firstLineChars="100"/>
    </w:pPr>
    <w:rPr>
      <w:rFonts w:ascii="Calibri" w:hAnsi="Calibri"/>
      <w:szCs w:val="22"/>
    </w:rPr>
  </w:style>
  <w:style w:type="paragraph" w:customStyle="1" w:styleId="597">
    <w:name w:val="邓表头"/>
    <w:basedOn w:val="1"/>
    <w:qFormat/>
    <w:uiPriority w:val="99"/>
    <w:pPr>
      <w:adjustRightInd w:val="0"/>
      <w:snapToGrid w:val="0"/>
      <w:ind w:firstLine="200" w:firstLineChars="200"/>
      <w:contextualSpacing/>
      <w:jc w:val="center"/>
    </w:pPr>
    <w:rPr>
      <w:rFonts w:eastAsia="Times New Roman"/>
      <w:b/>
    </w:rPr>
  </w:style>
  <w:style w:type="paragraph" w:customStyle="1" w:styleId="598">
    <w:name w:val="图后正文"/>
    <w:basedOn w:val="1"/>
    <w:qFormat/>
    <w:uiPriority w:val="99"/>
    <w:pPr>
      <w:adjustRightInd w:val="0"/>
      <w:snapToGrid w:val="0"/>
      <w:spacing w:line="360" w:lineRule="auto"/>
      <w:jc w:val="center"/>
    </w:pPr>
    <w:rPr>
      <w:rFonts w:ascii="黑体" w:hAnsi="黑体" w:eastAsia="黑体"/>
      <w:b/>
      <w:bCs/>
    </w:rPr>
  </w:style>
  <w:style w:type="paragraph" w:customStyle="1" w:styleId="599">
    <w:name w:val="江4标题4"/>
    <w:basedOn w:val="1"/>
    <w:qFormat/>
    <w:uiPriority w:val="99"/>
    <w:pPr>
      <w:adjustRightInd w:val="0"/>
      <w:spacing w:line="360" w:lineRule="auto"/>
    </w:pPr>
    <w:rPr>
      <w:snapToGrid w:val="0"/>
    </w:rPr>
  </w:style>
  <w:style w:type="paragraph" w:customStyle="1" w:styleId="600">
    <w:name w:val="江3标题3"/>
    <w:basedOn w:val="4"/>
    <w:autoRedefine/>
    <w:qFormat/>
    <w:uiPriority w:val="99"/>
    <w:pPr>
      <w:spacing w:before="0" w:after="0" w:line="360" w:lineRule="auto"/>
    </w:pPr>
    <w:rPr>
      <w:sz w:val="24"/>
      <w:szCs w:val="24"/>
    </w:rPr>
  </w:style>
  <w:style w:type="paragraph" w:customStyle="1" w:styleId="601">
    <w:name w:val="B图表标题"/>
    <w:basedOn w:val="1"/>
    <w:next w:val="37"/>
    <w:qFormat/>
    <w:uiPriority w:val="0"/>
    <w:pPr>
      <w:adjustRightInd w:val="0"/>
      <w:snapToGrid w:val="0"/>
      <w:spacing w:before="120"/>
      <w:jc w:val="center"/>
    </w:pPr>
    <w:rPr>
      <w:b/>
      <w:color w:val="000000"/>
      <w:szCs w:val="28"/>
    </w:rPr>
  </w:style>
  <w:style w:type="paragraph" w:customStyle="1" w:styleId="602">
    <w:name w:val="江表格文字"/>
    <w:basedOn w:val="1"/>
    <w:autoRedefine/>
    <w:qFormat/>
    <w:uiPriority w:val="99"/>
    <w:pPr>
      <w:spacing w:line="300" w:lineRule="exact"/>
      <w:contextualSpacing/>
      <w:jc w:val="center"/>
    </w:pPr>
    <w:rPr>
      <w:bCs/>
      <w:color w:val="FF0000"/>
      <w:spacing w:val="-4"/>
      <w:szCs w:val="21"/>
    </w:rPr>
  </w:style>
  <w:style w:type="character" w:customStyle="1" w:styleId="603">
    <w:name w:val="表中文字X Char"/>
    <w:link w:val="590"/>
    <w:qFormat/>
    <w:uiPriority w:val="0"/>
    <w:rPr>
      <w:rFonts w:ascii="Times New Roman" w:hAnsi="Times New Roman"/>
      <w:color w:val="000000"/>
      <w:szCs w:val="24"/>
      <w:lang w:bidi="ar-SA"/>
    </w:rPr>
  </w:style>
  <w:style w:type="paragraph" w:customStyle="1" w:styleId="604">
    <w:name w:val="Char Char Char Char Char Char Char11"/>
    <w:basedOn w:val="1"/>
    <w:qFormat/>
    <w:uiPriority w:val="99"/>
    <w:pPr>
      <w:spacing w:after="160" w:line="240" w:lineRule="exact"/>
    </w:pPr>
  </w:style>
  <w:style w:type="character" w:customStyle="1" w:styleId="605">
    <w:name w:val="表格 字符"/>
    <w:qFormat/>
    <w:uiPriority w:val="0"/>
    <w:rPr>
      <w:rFonts w:ascii="Arial" w:hAnsi="Arial" w:cs="Arial"/>
      <w:sz w:val="24"/>
      <w:szCs w:val="24"/>
    </w:rPr>
  </w:style>
  <w:style w:type="character" w:customStyle="1" w:styleId="606">
    <w:name w:val="自定义标题2 Char Char Char Char"/>
    <w:link w:val="607"/>
    <w:qFormat/>
    <w:uiPriority w:val="99"/>
    <w:rPr>
      <w:rFonts w:ascii="宋体" w:hAnsi="宋体" w:cs="宋体"/>
      <w:b/>
      <w:color w:val="0000FF"/>
      <w:sz w:val="28"/>
      <w:szCs w:val="24"/>
    </w:rPr>
  </w:style>
  <w:style w:type="paragraph" w:customStyle="1" w:styleId="607">
    <w:name w:val="自定义标题2"/>
    <w:basedOn w:val="1"/>
    <w:next w:val="608"/>
    <w:link w:val="606"/>
    <w:qFormat/>
    <w:uiPriority w:val="99"/>
    <w:pPr>
      <w:numPr>
        <w:ilvl w:val="1"/>
        <w:numId w:val="3"/>
      </w:numPr>
      <w:tabs>
        <w:tab w:val="left" w:pos="2847"/>
      </w:tabs>
      <w:adjustRightInd w:val="0"/>
      <w:spacing w:before="200" w:line="480" w:lineRule="atLeast"/>
      <w:ind w:left="992" w:firstLine="0"/>
      <w:textAlignment w:val="bottom"/>
    </w:pPr>
    <w:rPr>
      <w:b/>
      <w:color w:val="0000FF"/>
      <w:sz w:val="28"/>
    </w:rPr>
  </w:style>
  <w:style w:type="paragraph" w:customStyle="1" w:styleId="608">
    <w:name w:val="自定义标题3"/>
    <w:basedOn w:val="607"/>
    <w:next w:val="1"/>
    <w:qFormat/>
    <w:uiPriority w:val="99"/>
    <w:pPr>
      <w:numPr>
        <w:ilvl w:val="0"/>
        <w:numId w:val="0"/>
      </w:numPr>
      <w:tabs>
        <w:tab w:val="left" w:pos="360"/>
        <w:tab w:val="left" w:pos="1080"/>
        <w:tab w:val="left" w:pos="1134"/>
      </w:tabs>
      <w:spacing w:before="100"/>
      <w:ind w:left="426"/>
    </w:pPr>
    <w:rPr>
      <w:rFonts w:ascii="Calibri" w:hAnsi="Calibri"/>
    </w:rPr>
  </w:style>
  <w:style w:type="paragraph" w:customStyle="1" w:styleId="609">
    <w:name w:val="自定义标题4"/>
    <w:basedOn w:val="1"/>
    <w:next w:val="1"/>
    <w:qFormat/>
    <w:uiPriority w:val="99"/>
    <w:pPr>
      <w:numPr>
        <w:ilvl w:val="3"/>
        <w:numId w:val="3"/>
      </w:numPr>
      <w:tabs>
        <w:tab w:val="left" w:pos="1134"/>
        <w:tab w:val="left" w:pos="1440"/>
      </w:tabs>
      <w:adjustRightInd w:val="0"/>
      <w:spacing w:line="480" w:lineRule="atLeast"/>
      <w:ind w:left="1984" w:firstLine="0"/>
      <w:textAlignment w:val="bottom"/>
    </w:pPr>
    <w:rPr>
      <w:rFonts w:ascii="Calibri" w:hAnsi="Calibri"/>
      <w:color w:val="008080"/>
      <w:sz w:val="28"/>
    </w:rPr>
  </w:style>
  <w:style w:type="character" w:customStyle="1" w:styleId="610">
    <w:name w:val="txt31"/>
    <w:qFormat/>
    <w:uiPriority w:val="0"/>
    <w:rPr>
      <w:dstrike/>
      <w:sz w:val="18"/>
      <w:u w:val="none"/>
    </w:rPr>
  </w:style>
  <w:style w:type="paragraph" w:customStyle="1" w:styleId="611">
    <w:name w:val="A表内容"/>
    <w:basedOn w:val="1"/>
    <w:link w:val="619"/>
    <w:qFormat/>
    <w:uiPriority w:val="0"/>
    <w:pPr>
      <w:spacing w:before="100" w:beforeAutospacing="1" w:line="340" w:lineRule="exact"/>
      <w:jc w:val="center"/>
    </w:pPr>
    <w:rPr>
      <w:sz w:val="20"/>
      <w:szCs w:val="21"/>
    </w:rPr>
  </w:style>
  <w:style w:type="paragraph" w:customStyle="1" w:styleId="612">
    <w:name w:val="BZ正文"/>
    <w:basedOn w:val="1"/>
    <w:link w:val="613"/>
    <w:qFormat/>
    <w:uiPriority w:val="0"/>
    <w:pPr>
      <w:spacing w:line="360" w:lineRule="auto"/>
      <w:ind w:firstLine="480" w:firstLineChars="200"/>
    </w:pPr>
  </w:style>
  <w:style w:type="character" w:customStyle="1" w:styleId="613">
    <w:name w:val="BZ正文 Char"/>
    <w:link w:val="612"/>
    <w:qFormat/>
    <w:uiPriority w:val="0"/>
    <w:rPr>
      <w:rFonts w:ascii="Times New Roman" w:hAnsi="Times New Roman" w:eastAsia="宋体" w:cs="Times New Roman"/>
      <w:sz w:val="24"/>
      <w:szCs w:val="24"/>
    </w:rPr>
  </w:style>
  <w:style w:type="character" w:customStyle="1" w:styleId="614">
    <w:name w:val="15"/>
    <w:qFormat/>
    <w:uiPriority w:val="0"/>
    <w:rPr>
      <w:rFonts w:hint="default" w:ascii="Times New Roman" w:hAnsi="Times New Roman" w:cs="Times New Roman"/>
      <w:b/>
      <w:bCs/>
    </w:rPr>
  </w:style>
  <w:style w:type="paragraph" w:customStyle="1" w:styleId="615">
    <w:name w:val="puce"/>
    <w:basedOn w:val="1"/>
    <w:link w:val="635"/>
    <w:autoRedefine/>
    <w:qFormat/>
    <w:uiPriority w:val="99"/>
    <w:pPr>
      <w:numPr>
        <w:ilvl w:val="0"/>
        <w:numId w:val="4"/>
      </w:numPr>
      <w:tabs>
        <w:tab w:val="clear" w:pos="1134"/>
      </w:tabs>
      <w:adjustRightInd w:val="0"/>
      <w:snapToGrid w:val="0"/>
      <w:spacing w:after="120" w:line="360" w:lineRule="exact"/>
      <w:ind w:left="360" w:hanging="360"/>
    </w:pPr>
    <w:rPr>
      <w:rFonts w:ascii="Arial" w:hAnsi="Arial"/>
    </w:rPr>
  </w:style>
  <w:style w:type="paragraph" w:customStyle="1" w:styleId="616">
    <w:name w:val="打点"/>
    <w:basedOn w:val="615"/>
    <w:link w:val="617"/>
    <w:qFormat/>
    <w:uiPriority w:val="99"/>
    <w:pPr>
      <w:tabs>
        <w:tab w:val="left" w:pos="1191"/>
      </w:tabs>
      <w:ind w:left="1190" w:hanging="510"/>
    </w:pPr>
  </w:style>
  <w:style w:type="character" w:customStyle="1" w:styleId="617">
    <w:name w:val="打点 字符"/>
    <w:link w:val="616"/>
    <w:qFormat/>
    <w:uiPriority w:val="99"/>
    <w:rPr>
      <w:rFonts w:ascii="Arial" w:hAnsi="Arial" w:cs="宋体"/>
      <w:sz w:val="24"/>
      <w:szCs w:val="24"/>
    </w:rPr>
  </w:style>
  <w:style w:type="paragraph" w:customStyle="1" w:styleId="618">
    <w:name w:val="Char Char Char Char Char Char Char10"/>
    <w:basedOn w:val="1"/>
    <w:qFormat/>
    <w:uiPriority w:val="99"/>
    <w:pPr>
      <w:spacing w:after="160" w:line="240" w:lineRule="exact"/>
    </w:pPr>
  </w:style>
  <w:style w:type="character" w:customStyle="1" w:styleId="619">
    <w:name w:val="A表内容 Char"/>
    <w:link w:val="611"/>
    <w:qFormat/>
    <w:uiPriority w:val="0"/>
    <w:rPr>
      <w:rFonts w:ascii="Times New Roman" w:hAnsi="Times New Roman" w:eastAsia="宋体" w:cs="Times New Roman"/>
      <w:szCs w:val="21"/>
    </w:rPr>
  </w:style>
  <w:style w:type="paragraph" w:customStyle="1" w:styleId="620">
    <w:name w:val="Char Char Char Char Char Char Char9"/>
    <w:basedOn w:val="1"/>
    <w:qFormat/>
    <w:uiPriority w:val="99"/>
    <w:pPr>
      <w:spacing w:after="160" w:line="240" w:lineRule="exact"/>
    </w:pPr>
  </w:style>
  <w:style w:type="character" w:customStyle="1" w:styleId="621">
    <w:name w:val="报告表正文 Char1"/>
    <w:link w:val="622"/>
    <w:qFormat/>
    <w:uiPriority w:val="99"/>
    <w:rPr>
      <w:rFonts w:eastAsia="楷体_GB2312"/>
      <w:sz w:val="24"/>
      <w:szCs w:val="24"/>
    </w:rPr>
  </w:style>
  <w:style w:type="paragraph" w:customStyle="1" w:styleId="622">
    <w:name w:val="报告表正文"/>
    <w:basedOn w:val="1"/>
    <w:link w:val="621"/>
    <w:qFormat/>
    <w:uiPriority w:val="99"/>
    <w:pPr>
      <w:adjustRightInd w:val="0"/>
      <w:snapToGrid w:val="0"/>
      <w:spacing w:line="360" w:lineRule="auto"/>
      <w:ind w:firstLine="200" w:firstLineChars="200"/>
    </w:pPr>
    <w:rPr>
      <w:rFonts w:ascii="Calibri" w:hAnsi="Calibri" w:eastAsia="楷体_GB2312"/>
    </w:rPr>
  </w:style>
  <w:style w:type="paragraph" w:customStyle="1" w:styleId="623">
    <w:name w:val="Char Char Char Char Char Char Char8"/>
    <w:basedOn w:val="1"/>
    <w:qFormat/>
    <w:uiPriority w:val="99"/>
    <w:pPr>
      <w:spacing w:after="160" w:line="240" w:lineRule="exact"/>
    </w:pPr>
  </w:style>
  <w:style w:type="paragraph" w:customStyle="1" w:styleId="624">
    <w:name w:val="Char Char Char Char Char Char Char7"/>
    <w:basedOn w:val="1"/>
    <w:qFormat/>
    <w:uiPriority w:val="99"/>
    <w:pPr>
      <w:spacing w:after="160" w:line="240" w:lineRule="exact"/>
    </w:pPr>
  </w:style>
  <w:style w:type="paragraph" w:customStyle="1" w:styleId="625">
    <w:name w:val="Char Char Char Char Char Char Char6"/>
    <w:basedOn w:val="1"/>
    <w:qFormat/>
    <w:uiPriority w:val="99"/>
    <w:pPr>
      <w:spacing w:after="160" w:line="240" w:lineRule="exact"/>
    </w:pPr>
  </w:style>
  <w:style w:type="paragraph" w:customStyle="1" w:styleId="626">
    <w:name w:val="A【正文】用"/>
    <w:basedOn w:val="1"/>
    <w:link w:val="627"/>
    <w:qFormat/>
    <w:uiPriority w:val="0"/>
    <w:pPr>
      <w:overflowPunct w:val="0"/>
      <w:spacing w:line="360" w:lineRule="auto"/>
      <w:ind w:firstLine="200" w:firstLineChars="200"/>
    </w:pPr>
    <w:rPr>
      <w:rFonts w:eastAsia="Times New Roman"/>
      <w:szCs w:val="21"/>
    </w:rPr>
  </w:style>
  <w:style w:type="character" w:customStyle="1" w:styleId="627">
    <w:name w:val="A【正文】用 Char"/>
    <w:link w:val="626"/>
    <w:qFormat/>
    <w:uiPriority w:val="0"/>
    <w:rPr>
      <w:rFonts w:ascii="宋体" w:hAnsi="宋体" w:eastAsia="Times New Roman" w:cs="宋体"/>
      <w:kern w:val="0"/>
      <w:sz w:val="24"/>
      <w:szCs w:val="21"/>
    </w:rPr>
  </w:style>
  <w:style w:type="paragraph" w:customStyle="1" w:styleId="628">
    <w:name w:val="0A表头图头"/>
    <w:basedOn w:val="1"/>
    <w:qFormat/>
    <w:uiPriority w:val="99"/>
    <w:pPr>
      <w:spacing w:line="360" w:lineRule="auto"/>
      <w:jc w:val="center"/>
    </w:pPr>
    <w:rPr>
      <w:rFonts w:ascii="黑体" w:hAnsi="黑体" w:eastAsia="黑体"/>
      <w:b/>
    </w:rPr>
  </w:style>
  <w:style w:type="paragraph" w:customStyle="1" w:styleId="629">
    <w:name w:val="Char Char Char Char Char Char Char5"/>
    <w:basedOn w:val="1"/>
    <w:qFormat/>
    <w:uiPriority w:val="99"/>
    <w:pPr>
      <w:spacing w:after="160" w:line="240" w:lineRule="exact"/>
    </w:pPr>
  </w:style>
  <w:style w:type="paragraph" w:customStyle="1" w:styleId="630">
    <w:name w:val="Char Char Char Char Char Char Char4"/>
    <w:basedOn w:val="1"/>
    <w:qFormat/>
    <w:uiPriority w:val="99"/>
    <w:pPr>
      <w:spacing w:after="160" w:line="240" w:lineRule="exact"/>
    </w:pPr>
  </w:style>
  <w:style w:type="paragraph" w:customStyle="1" w:styleId="631">
    <w:name w:val="Char Char Char Char Char Char Char3"/>
    <w:basedOn w:val="1"/>
    <w:qFormat/>
    <w:uiPriority w:val="99"/>
    <w:pPr>
      <w:spacing w:after="160" w:line="240" w:lineRule="exact"/>
    </w:pPr>
  </w:style>
  <w:style w:type="paragraph" w:customStyle="1" w:styleId="632">
    <w:name w:val="Char Char Char Char Char Char Char2"/>
    <w:basedOn w:val="1"/>
    <w:qFormat/>
    <w:uiPriority w:val="99"/>
    <w:pPr>
      <w:spacing w:after="160" w:line="240" w:lineRule="exact"/>
    </w:pPr>
  </w:style>
  <w:style w:type="paragraph" w:customStyle="1" w:styleId="633">
    <w:name w:val="Char Char Char Char Char Char Char12"/>
    <w:basedOn w:val="1"/>
    <w:qFormat/>
    <w:uiPriority w:val="99"/>
    <w:pPr>
      <w:spacing w:after="160" w:line="240" w:lineRule="exact"/>
    </w:pPr>
  </w:style>
  <w:style w:type="paragraph" w:customStyle="1" w:styleId="634">
    <w:name w:val="目录 21"/>
    <w:basedOn w:val="1"/>
    <w:next w:val="1"/>
    <w:autoRedefine/>
    <w:qFormat/>
    <w:uiPriority w:val="39"/>
    <w:pPr>
      <w:tabs>
        <w:tab w:val="left" w:pos="851"/>
        <w:tab w:val="right" w:leader="dot" w:pos="9214"/>
      </w:tabs>
      <w:spacing w:before="120" w:after="120" w:line="360" w:lineRule="exact"/>
      <w:ind w:left="720" w:leftChars="300"/>
    </w:pPr>
    <w:rPr>
      <w:rFonts w:ascii="Arial" w:hAnsi="Arial"/>
      <w:lang w:val="fr-FR"/>
    </w:rPr>
  </w:style>
  <w:style w:type="character" w:customStyle="1" w:styleId="635">
    <w:name w:val="puce 字符"/>
    <w:link w:val="615"/>
    <w:qFormat/>
    <w:uiPriority w:val="99"/>
    <w:rPr>
      <w:rFonts w:ascii="Arial" w:hAnsi="Arial" w:cs="宋体"/>
      <w:sz w:val="24"/>
      <w:szCs w:val="24"/>
    </w:rPr>
  </w:style>
  <w:style w:type="paragraph" w:customStyle="1" w:styleId="636">
    <w:name w:val="美克BDO表格文字"/>
    <w:basedOn w:val="1"/>
    <w:qFormat/>
    <w:uiPriority w:val="99"/>
    <w:pPr>
      <w:jc w:val="center"/>
    </w:pPr>
    <w:rPr>
      <w:rFonts w:ascii="Calibri" w:hAnsi="Calibri" w:eastAsia="仿宋"/>
      <w:szCs w:val="21"/>
    </w:rPr>
  </w:style>
  <w:style w:type="paragraph" w:customStyle="1" w:styleId="637">
    <w:name w:val="样式1.1.1三级标题"/>
    <w:basedOn w:val="1"/>
    <w:next w:val="1"/>
    <w:link w:val="639"/>
    <w:qFormat/>
    <w:uiPriority w:val="0"/>
    <w:pPr>
      <w:spacing w:line="360" w:lineRule="auto"/>
      <w:ind w:left="1418"/>
      <w:outlineLvl w:val="2"/>
    </w:pPr>
    <w:rPr>
      <w:rFonts w:eastAsia="黑体"/>
      <w:b/>
      <w:color w:val="000000"/>
      <w:sz w:val="28"/>
    </w:rPr>
  </w:style>
  <w:style w:type="paragraph" w:customStyle="1" w:styleId="638">
    <w:name w:val="样式 标题4 1.1.1.1"/>
    <w:basedOn w:val="5"/>
    <w:next w:val="1"/>
    <w:link w:val="640"/>
    <w:autoRedefine/>
    <w:qFormat/>
    <w:uiPriority w:val="0"/>
    <w:pPr>
      <w:spacing w:before="0" w:after="0" w:line="360" w:lineRule="auto"/>
    </w:pPr>
    <w:rPr>
      <w:rFonts w:ascii="黑体" w:hAnsi="黑体" w:eastAsia="黑体"/>
      <w:snapToGrid w:val="0"/>
      <w:sz w:val="24"/>
      <w:szCs w:val="24"/>
    </w:rPr>
  </w:style>
  <w:style w:type="character" w:customStyle="1" w:styleId="639">
    <w:name w:val="样式1.1.1三级标题 Char"/>
    <w:link w:val="637"/>
    <w:qFormat/>
    <w:uiPriority w:val="0"/>
    <w:rPr>
      <w:rFonts w:ascii="Times New Roman" w:hAnsi="Times New Roman" w:eastAsia="黑体"/>
      <w:b/>
      <w:color w:val="000000"/>
      <w:kern w:val="2"/>
      <w:sz w:val="28"/>
    </w:rPr>
  </w:style>
  <w:style w:type="character" w:customStyle="1" w:styleId="640">
    <w:name w:val="样式 标题4 1.1.1.1 Char"/>
    <w:link w:val="638"/>
    <w:qFormat/>
    <w:uiPriority w:val="0"/>
    <w:rPr>
      <w:rFonts w:ascii="黑体" w:hAnsi="黑体" w:eastAsia="黑体" w:cs="宋体"/>
      <w:b/>
      <w:bCs/>
      <w:snapToGrid w:val="0"/>
      <w:sz w:val="24"/>
      <w:szCs w:val="24"/>
    </w:rPr>
  </w:style>
  <w:style w:type="paragraph" w:customStyle="1" w:styleId="641">
    <w:name w:val="图表后空行"/>
    <w:next w:val="1"/>
    <w:qFormat/>
    <w:uiPriority w:val="99"/>
    <w:pPr>
      <w:ind w:firstLine="200"/>
    </w:pPr>
    <w:rPr>
      <w:rFonts w:ascii="Times New Roman" w:hAnsi="Times New Roman" w:eastAsia="宋体" w:cs="Times New Roman"/>
      <w:kern w:val="2"/>
      <w:sz w:val="18"/>
      <w:szCs w:val="24"/>
      <w:lang w:val="en-US" w:eastAsia="zh-CN" w:bidi="ar-SA"/>
    </w:rPr>
  </w:style>
  <w:style w:type="paragraph" w:customStyle="1" w:styleId="642">
    <w:name w:val="正文段开"/>
    <w:basedOn w:val="1"/>
    <w:autoRedefine/>
    <w:qFormat/>
    <w:uiPriority w:val="99"/>
    <w:pPr>
      <w:spacing w:line="360" w:lineRule="auto"/>
      <w:ind w:firstLine="480" w:firstLineChars="200"/>
    </w:pPr>
  </w:style>
  <w:style w:type="paragraph" w:customStyle="1" w:styleId="643">
    <w:name w:val="W正文"/>
    <w:basedOn w:val="1"/>
    <w:link w:val="644"/>
    <w:qFormat/>
    <w:uiPriority w:val="0"/>
    <w:pPr>
      <w:spacing w:line="360" w:lineRule="auto"/>
      <w:ind w:firstLine="480" w:firstLineChars="200"/>
    </w:pPr>
    <w:rPr>
      <w:rFonts w:cs="Arial"/>
    </w:rPr>
  </w:style>
  <w:style w:type="character" w:customStyle="1" w:styleId="644">
    <w:name w:val="W正文 字符"/>
    <w:link w:val="643"/>
    <w:qFormat/>
    <w:uiPriority w:val="0"/>
    <w:rPr>
      <w:rFonts w:ascii="Times New Roman" w:hAnsi="Times New Roman" w:cs="Arial"/>
      <w:sz w:val="24"/>
      <w:szCs w:val="24"/>
    </w:rPr>
  </w:style>
  <w:style w:type="paragraph" w:customStyle="1" w:styleId="645">
    <w:name w:val="W表头图头"/>
    <w:basedOn w:val="1"/>
    <w:qFormat/>
    <w:uiPriority w:val="0"/>
    <w:pPr>
      <w:spacing w:line="360" w:lineRule="auto"/>
      <w:jc w:val="center"/>
    </w:pPr>
    <w:rPr>
      <w:rFonts w:ascii="黑体" w:hAnsi="黑体" w:eastAsia="黑体"/>
      <w:b/>
    </w:rPr>
  </w:style>
  <w:style w:type="paragraph" w:customStyle="1" w:styleId="646">
    <w:name w:val="曙光表格文字"/>
    <w:basedOn w:val="1"/>
    <w:link w:val="647"/>
    <w:autoRedefine/>
    <w:qFormat/>
    <w:uiPriority w:val="0"/>
    <w:pPr>
      <w:jc w:val="center"/>
    </w:pPr>
    <w:rPr>
      <w:sz w:val="18"/>
      <w:szCs w:val="18"/>
      <w:lang w:bidi="en-US"/>
    </w:rPr>
  </w:style>
  <w:style w:type="character" w:customStyle="1" w:styleId="647">
    <w:name w:val="曙光表格文字 Char"/>
    <w:link w:val="646"/>
    <w:qFormat/>
    <w:uiPriority w:val="0"/>
    <w:rPr>
      <w:rFonts w:ascii="宋体" w:hAnsi="宋体" w:cs="宋体"/>
      <w:sz w:val="18"/>
      <w:szCs w:val="18"/>
      <w:lang w:bidi="en-US"/>
    </w:rPr>
  </w:style>
  <w:style w:type="character" w:customStyle="1" w:styleId="648">
    <w:name w:val="正文文本缩进 3 Char1"/>
    <w:qFormat/>
    <w:uiPriority w:val="99"/>
    <w:rPr>
      <w:rFonts w:ascii="宋体" w:hAnsi="宋体" w:eastAsia="宋体" w:cs="宋体"/>
      <w:color w:val="000000"/>
      <w:sz w:val="24"/>
      <w:szCs w:val="24"/>
    </w:rPr>
  </w:style>
  <w:style w:type="character" w:customStyle="1" w:styleId="649">
    <w:name w:val="图名 Char"/>
    <w:link w:val="650"/>
    <w:qFormat/>
    <w:locked/>
    <w:uiPriority w:val="0"/>
    <w:rPr>
      <w:rFonts w:ascii="黑体" w:hAnsi="黑体" w:eastAsia="黑体" w:cs="宋体"/>
      <w:color w:val="000000"/>
      <w:sz w:val="24"/>
      <w:szCs w:val="24"/>
    </w:rPr>
  </w:style>
  <w:style w:type="paragraph" w:customStyle="1" w:styleId="650">
    <w:name w:val="图名"/>
    <w:basedOn w:val="1"/>
    <w:link w:val="649"/>
    <w:qFormat/>
    <w:uiPriority w:val="0"/>
    <w:pPr>
      <w:adjustRightInd w:val="0"/>
      <w:snapToGrid w:val="0"/>
      <w:jc w:val="center"/>
    </w:pPr>
    <w:rPr>
      <w:rFonts w:ascii="黑体" w:hAnsi="黑体" w:eastAsia="黑体"/>
      <w:color w:val="000000"/>
    </w:rPr>
  </w:style>
  <w:style w:type="character" w:customStyle="1" w:styleId="651">
    <w:name w:val="题注 Char"/>
    <w:qFormat/>
    <w:uiPriority w:val="0"/>
    <w:rPr>
      <w:rFonts w:ascii="Times New Roman" w:hAnsi="Times New Roman" w:eastAsia="黑体" w:cs="Times New Roman"/>
      <w:color w:val="000000"/>
      <w:kern w:val="2"/>
      <w:sz w:val="23"/>
    </w:rPr>
  </w:style>
  <w:style w:type="paragraph" w:customStyle="1" w:styleId="652">
    <w:name w:val="文本  内容"/>
    <w:link w:val="653"/>
    <w:qFormat/>
    <w:uiPriority w:val="0"/>
    <w:pPr>
      <w:snapToGrid w:val="0"/>
      <w:spacing w:line="360" w:lineRule="auto"/>
      <w:ind w:firstLine="200" w:firstLineChars="200"/>
    </w:pPr>
    <w:rPr>
      <w:rFonts w:ascii="Times New Roman" w:hAnsi="Times New Roman" w:eastAsia="宋体" w:cs="Times New Roman"/>
      <w:kern w:val="2"/>
      <w:sz w:val="24"/>
      <w:szCs w:val="22"/>
      <w:lang w:val="en-US" w:eastAsia="zh-CN" w:bidi="ar-SA"/>
    </w:rPr>
  </w:style>
  <w:style w:type="character" w:customStyle="1" w:styleId="653">
    <w:name w:val="文本  内容 Char"/>
    <w:link w:val="652"/>
    <w:qFormat/>
    <w:uiPriority w:val="0"/>
    <w:rPr>
      <w:rFonts w:ascii="Times New Roman" w:hAnsi="Times New Roman"/>
      <w:kern w:val="2"/>
      <w:sz w:val="24"/>
      <w:szCs w:val="22"/>
    </w:rPr>
  </w:style>
  <w:style w:type="character" w:customStyle="1" w:styleId="654">
    <w:name w:val="标题 1 字符1"/>
    <w:qFormat/>
    <w:uiPriority w:val="9"/>
    <w:rPr>
      <w:rFonts w:cs="Times New Roman"/>
      <w:b/>
      <w:bCs/>
      <w:kern w:val="44"/>
      <w:sz w:val="28"/>
      <w:szCs w:val="44"/>
    </w:rPr>
  </w:style>
  <w:style w:type="character" w:customStyle="1" w:styleId="655">
    <w:name w:val="脚注文本 字符1"/>
    <w:qFormat/>
    <w:uiPriority w:val="0"/>
    <w:rPr>
      <w:sz w:val="18"/>
      <w:szCs w:val="18"/>
    </w:rPr>
  </w:style>
  <w:style w:type="paragraph" w:customStyle="1" w:styleId="656">
    <w:name w:val="文本内容"/>
    <w:basedOn w:val="1"/>
    <w:next w:val="1"/>
    <w:link w:val="657"/>
    <w:qFormat/>
    <w:uiPriority w:val="99"/>
    <w:pPr>
      <w:numPr>
        <w:ilvl w:val="1"/>
        <w:numId w:val="5"/>
      </w:numPr>
      <w:pBdr>
        <w:top w:val="single" w:color="auto" w:sz="4" w:space="1"/>
      </w:pBdr>
      <w:snapToGrid w:val="0"/>
      <w:spacing w:line="360" w:lineRule="auto"/>
      <w:ind w:left="0" w:firstLine="200" w:firstLineChars="200"/>
    </w:pPr>
    <w:rPr>
      <w:szCs w:val="22"/>
    </w:rPr>
  </w:style>
  <w:style w:type="character" w:customStyle="1" w:styleId="657">
    <w:name w:val="文本内容 Char"/>
    <w:link w:val="656"/>
    <w:qFormat/>
    <w:uiPriority w:val="99"/>
    <w:rPr>
      <w:rFonts w:ascii="宋体" w:hAnsi="宋体" w:cs="宋体"/>
      <w:sz w:val="24"/>
      <w:szCs w:val="22"/>
    </w:rPr>
  </w:style>
  <w:style w:type="paragraph" w:customStyle="1" w:styleId="658">
    <w:name w:val="文本文件"/>
    <w:basedOn w:val="1"/>
    <w:link w:val="659"/>
    <w:qFormat/>
    <w:uiPriority w:val="0"/>
    <w:pPr>
      <w:snapToGrid w:val="0"/>
      <w:spacing w:line="360" w:lineRule="auto"/>
      <w:ind w:firstLine="480" w:firstLineChars="200"/>
    </w:pPr>
  </w:style>
  <w:style w:type="character" w:customStyle="1" w:styleId="659">
    <w:name w:val="文本文件 Char Char"/>
    <w:link w:val="658"/>
    <w:qFormat/>
    <w:uiPriority w:val="0"/>
    <w:rPr>
      <w:rFonts w:ascii="宋体" w:hAnsi="宋体" w:cs="宋体"/>
      <w:kern w:val="2"/>
      <w:sz w:val="24"/>
    </w:rPr>
  </w:style>
  <w:style w:type="character" w:customStyle="1" w:styleId="660">
    <w:name w:val="标题 4 Char1"/>
    <w:qFormat/>
    <w:uiPriority w:val="0"/>
    <w:rPr>
      <w:rFonts w:eastAsia="宋体"/>
      <w:kern w:val="2"/>
      <w:sz w:val="28"/>
      <w:lang w:val="en-US" w:eastAsia="zh-CN" w:bidi="ar-SA"/>
    </w:rPr>
  </w:style>
  <w:style w:type="character" w:customStyle="1" w:styleId="661">
    <w:name w:val="2 Char"/>
    <w:link w:val="298"/>
    <w:qFormat/>
    <w:uiPriority w:val="0"/>
    <w:rPr>
      <w:sz w:val="21"/>
      <w:szCs w:val="24"/>
    </w:rPr>
  </w:style>
  <w:style w:type="paragraph" w:customStyle="1" w:styleId="662">
    <w:name w:val="目录1"/>
    <w:basedOn w:val="1"/>
    <w:qFormat/>
    <w:uiPriority w:val="99"/>
    <w:pPr>
      <w:snapToGrid w:val="0"/>
      <w:spacing w:line="300" w:lineRule="auto"/>
      <w:ind w:left="50" w:leftChars="50"/>
    </w:pPr>
    <w:rPr>
      <w:rFonts w:ascii="Arial Narrow" w:hAnsi="Arial Narrow" w:eastAsia="仿宋_GB2312"/>
      <w:b/>
    </w:rPr>
  </w:style>
  <w:style w:type="paragraph" w:customStyle="1" w:styleId="663">
    <w:name w:val="目录2"/>
    <w:basedOn w:val="3"/>
    <w:qFormat/>
    <w:uiPriority w:val="99"/>
    <w:pPr>
      <w:keepNext/>
      <w:keepLines/>
      <w:widowControl w:val="0"/>
      <w:numPr>
        <w:ilvl w:val="0"/>
        <w:numId w:val="0"/>
      </w:numPr>
      <w:tabs>
        <w:tab w:val="left" w:pos="0"/>
        <w:tab w:val="left" w:pos="1200"/>
      </w:tabs>
      <w:overflowPunct/>
      <w:autoSpaceDE/>
      <w:autoSpaceDN/>
      <w:adjustRightInd w:val="0"/>
      <w:snapToGrid w:val="0"/>
      <w:spacing w:before="120" w:after="120" w:line="300" w:lineRule="auto"/>
      <w:ind w:left="340" w:hanging="340"/>
      <w:textAlignment w:val="auto"/>
    </w:pPr>
    <w:rPr>
      <w:rFonts w:ascii="Arial Narrow" w:hAnsi="Arial Narrow" w:eastAsia="楷体_GB2312" w:cs="Arial"/>
      <w:b w:val="0"/>
      <w:kern w:val="2"/>
      <w:sz w:val="28"/>
      <w:szCs w:val="32"/>
    </w:rPr>
  </w:style>
  <w:style w:type="character" w:customStyle="1" w:styleId="664">
    <w:name w:val="1样式表标 Char Char"/>
    <w:qFormat/>
    <w:uiPriority w:val="0"/>
    <w:rPr>
      <w:rFonts w:hint="eastAsia" w:ascii="宋体" w:hAnsi="宋体" w:eastAsia="宋体" w:cs="宋体"/>
      <w:snapToGrid/>
      <w:sz w:val="24"/>
    </w:rPr>
  </w:style>
  <w:style w:type="character" w:customStyle="1" w:styleId="665">
    <w:name w:val="1-正文 Char Char"/>
    <w:qFormat/>
    <w:uiPriority w:val="0"/>
    <w:rPr>
      <w:rFonts w:hint="eastAsia" w:ascii="宋体" w:hAnsi="宋体" w:eastAsia="宋体" w:cs="宋体"/>
      <w:sz w:val="24"/>
      <w:szCs w:val="24"/>
    </w:rPr>
  </w:style>
  <w:style w:type="character" w:customStyle="1" w:styleId="666">
    <w:name w:val="1样式表标 Char"/>
    <w:link w:val="667"/>
    <w:qFormat/>
    <w:uiPriority w:val="0"/>
    <w:rPr>
      <w:rFonts w:ascii="宋体" w:hAnsi="宋体"/>
      <w:snapToGrid w:val="0"/>
      <w:kern w:val="2"/>
      <w:sz w:val="24"/>
    </w:rPr>
  </w:style>
  <w:style w:type="paragraph" w:customStyle="1" w:styleId="667">
    <w:name w:val="1样式表标"/>
    <w:basedOn w:val="1"/>
    <w:link w:val="666"/>
    <w:qFormat/>
    <w:uiPriority w:val="0"/>
    <w:pPr>
      <w:snapToGrid w:val="0"/>
      <w:spacing w:beforeLines="50" w:line="360" w:lineRule="auto"/>
      <w:jc w:val="center"/>
    </w:pPr>
    <w:rPr>
      <w:snapToGrid w:val="0"/>
    </w:rPr>
  </w:style>
  <w:style w:type="character" w:customStyle="1" w:styleId="668">
    <w:name w:val="脚注文本 Char2"/>
    <w:qFormat/>
    <w:uiPriority w:val="0"/>
    <w:rPr>
      <w:kern w:val="2"/>
      <w:sz w:val="18"/>
      <w:szCs w:val="18"/>
    </w:rPr>
  </w:style>
  <w:style w:type="character" w:customStyle="1" w:styleId="669">
    <w:name w:val="1-正文 Char"/>
    <w:link w:val="670"/>
    <w:qFormat/>
    <w:locked/>
    <w:uiPriority w:val="0"/>
    <w:rPr>
      <w:rFonts w:ascii="宋体" w:hAnsi="宋体"/>
      <w:sz w:val="24"/>
      <w:szCs w:val="24"/>
    </w:rPr>
  </w:style>
  <w:style w:type="paragraph" w:customStyle="1" w:styleId="670">
    <w:name w:val="1-正文"/>
    <w:basedOn w:val="1"/>
    <w:link w:val="669"/>
    <w:qFormat/>
    <w:uiPriority w:val="0"/>
    <w:pPr>
      <w:autoSpaceDE w:val="0"/>
      <w:autoSpaceDN w:val="0"/>
      <w:snapToGrid w:val="0"/>
      <w:spacing w:line="360" w:lineRule="auto"/>
      <w:ind w:firstLine="480" w:firstLineChars="200"/>
    </w:pPr>
  </w:style>
  <w:style w:type="character" w:customStyle="1" w:styleId="671">
    <w:name w:val="标题 1.1.1 Char Char"/>
    <w:qFormat/>
    <w:uiPriority w:val="0"/>
    <w:rPr>
      <w:rFonts w:ascii="Arial" w:hAnsi="Arial" w:eastAsia="黑体" w:cs="Arial"/>
      <w:kern w:val="2"/>
      <w:sz w:val="24"/>
      <w:szCs w:val="24"/>
      <w:lang w:val="en-US" w:eastAsia="zh-CN" w:bidi="ar-SA"/>
    </w:rPr>
  </w:style>
  <w:style w:type="character" w:customStyle="1" w:styleId="672">
    <w:name w:val="标题 1 宋体 三号 Char Char Char"/>
    <w:qFormat/>
    <w:uiPriority w:val="0"/>
    <w:rPr>
      <w:rFonts w:ascii="宋体" w:hAnsi="宋体" w:eastAsia="宋体"/>
      <w:b/>
      <w:bCs/>
      <w:kern w:val="44"/>
      <w:sz w:val="32"/>
      <w:szCs w:val="44"/>
      <w:lang w:val="en-US" w:eastAsia="zh-CN" w:bidi="ar-SA"/>
    </w:rPr>
  </w:style>
  <w:style w:type="paragraph" w:customStyle="1" w:styleId="673">
    <w:name w:val="标题 4+ Arial"/>
    <w:basedOn w:val="5"/>
    <w:qFormat/>
    <w:uiPriority w:val="99"/>
    <w:pPr>
      <w:keepNext w:val="0"/>
      <w:autoSpaceDE w:val="0"/>
      <w:autoSpaceDN w:val="0"/>
      <w:adjustRightInd w:val="0"/>
      <w:snapToGrid w:val="0"/>
      <w:spacing w:before="0" w:after="0" w:line="360" w:lineRule="auto"/>
      <w:textAlignment w:val="baseline"/>
    </w:pPr>
    <w:rPr>
      <w:rFonts w:ascii="Arial" w:hAnsi="Arial"/>
      <w:b w:val="0"/>
      <w:bCs w:val="0"/>
      <w:sz w:val="24"/>
      <w:szCs w:val="20"/>
    </w:rPr>
  </w:style>
  <w:style w:type="paragraph" w:customStyle="1" w:styleId="674">
    <w:name w:val="标题 11"/>
    <w:basedOn w:val="1"/>
    <w:next w:val="1"/>
    <w:qFormat/>
    <w:uiPriority w:val="99"/>
    <w:pPr>
      <w:adjustRightInd w:val="0"/>
      <w:snapToGrid w:val="0"/>
      <w:spacing w:beforeLines="50" w:beforeAutospacing="1" w:afterLines="50" w:afterAutospacing="1" w:line="360" w:lineRule="auto"/>
      <w:textAlignment w:val="baseline"/>
      <w:outlineLvl w:val="0"/>
    </w:pPr>
    <w:rPr>
      <w:rFonts w:eastAsia="黑体" w:cs="Arial"/>
      <w:bCs/>
    </w:rPr>
  </w:style>
  <w:style w:type="paragraph" w:customStyle="1" w:styleId="675">
    <w:name w:val="标题 1 宋体 三号 Char Char"/>
    <w:basedOn w:val="2"/>
    <w:qFormat/>
    <w:uiPriority w:val="99"/>
    <w:pPr>
      <w:keepNext/>
      <w:keepLines/>
      <w:tabs>
        <w:tab w:val="left" w:pos="425"/>
      </w:tabs>
      <w:overflowPunct/>
      <w:snapToGrid w:val="0"/>
      <w:spacing w:before="340" w:after="330"/>
      <w:ind w:firstLine="0" w:firstLineChars="0"/>
    </w:pPr>
    <w:rPr>
      <w:rFonts w:ascii="宋体" w:hAnsi="宋体" w:eastAsia="宋体"/>
      <w:bCs/>
      <w:kern w:val="44"/>
      <w:sz w:val="32"/>
      <w:szCs w:val="44"/>
    </w:rPr>
  </w:style>
  <w:style w:type="paragraph" w:customStyle="1" w:styleId="676">
    <w:name w:val="标题 4 宋体"/>
    <w:basedOn w:val="5"/>
    <w:next w:val="1"/>
    <w:qFormat/>
    <w:uiPriority w:val="99"/>
    <w:pPr>
      <w:numPr>
        <w:ilvl w:val="3"/>
        <w:numId w:val="6"/>
      </w:numPr>
      <w:tabs>
        <w:tab w:val="left" w:pos="1548"/>
      </w:tabs>
      <w:adjustRightInd w:val="0"/>
      <w:snapToGrid w:val="0"/>
      <w:spacing w:before="0" w:after="0" w:line="360" w:lineRule="auto"/>
      <w:ind w:left="851" w:hanging="851"/>
    </w:pPr>
    <w:rPr>
      <w:rFonts w:ascii="宋体" w:hAnsi="Times New Roman"/>
      <w:b w:val="0"/>
      <w:bCs w:val="0"/>
      <w:kern w:val="2"/>
      <w:sz w:val="24"/>
      <w:szCs w:val="24"/>
    </w:rPr>
  </w:style>
  <w:style w:type="paragraph" w:customStyle="1" w:styleId="677">
    <w:name w:val="1标题1"/>
    <w:basedOn w:val="1"/>
    <w:qFormat/>
    <w:uiPriority w:val="99"/>
    <w:pPr>
      <w:keepNext/>
      <w:keepLines/>
      <w:snapToGrid w:val="0"/>
      <w:spacing w:before="480" w:after="480" w:line="340" w:lineRule="exact"/>
      <w:ind w:firstLine="630" w:firstLineChars="196"/>
      <w:outlineLvl w:val="0"/>
    </w:pPr>
    <w:rPr>
      <w:rFonts w:ascii="黑体" w:hAnsi="Arial" w:eastAsia="黑体"/>
      <w:b/>
      <w:bCs/>
      <w:snapToGrid w:val="0"/>
      <w:kern w:val="44"/>
      <w:sz w:val="32"/>
    </w:rPr>
  </w:style>
  <w:style w:type="paragraph" w:customStyle="1" w:styleId="678">
    <w:name w:val="标题 4 +"/>
    <w:basedOn w:val="5"/>
    <w:qFormat/>
    <w:uiPriority w:val="99"/>
    <w:pPr>
      <w:keepNext w:val="0"/>
      <w:tabs>
        <w:tab w:val="left" w:pos="864"/>
        <w:tab w:val="left" w:pos="1680"/>
      </w:tabs>
      <w:snapToGrid w:val="0"/>
      <w:spacing w:before="0" w:after="0" w:line="360" w:lineRule="auto"/>
      <w:ind w:left="1680" w:hanging="420"/>
    </w:pPr>
    <w:rPr>
      <w:rFonts w:ascii="Arial" w:hAnsi="Arial" w:eastAsia="黑体"/>
      <w:b w:val="0"/>
      <w:bCs w:val="0"/>
      <w:kern w:val="2"/>
      <w:sz w:val="24"/>
      <w:szCs w:val="20"/>
    </w:rPr>
  </w:style>
  <w:style w:type="paragraph" w:customStyle="1" w:styleId="679">
    <w:name w:val="1-表头"/>
    <w:basedOn w:val="1"/>
    <w:qFormat/>
    <w:uiPriority w:val="99"/>
    <w:pPr>
      <w:snapToGrid w:val="0"/>
      <w:spacing w:line="360" w:lineRule="auto"/>
      <w:jc w:val="center"/>
    </w:pPr>
    <w:rPr>
      <w:szCs w:val="21"/>
    </w:rPr>
  </w:style>
  <w:style w:type="paragraph" w:customStyle="1" w:styleId="680">
    <w:name w:val="- 页码 -"/>
    <w:qFormat/>
    <w:uiPriority w:val="99"/>
    <w:pPr>
      <w:widowControl w:val="0"/>
      <w:spacing w:line="360" w:lineRule="auto"/>
      <w:ind w:left="600" w:leftChars="250" w:firstLine="34" w:firstLineChars="14"/>
      <w:jc w:val="center"/>
    </w:pPr>
    <w:rPr>
      <w:rFonts w:ascii="Times New Roman" w:hAnsi="Times New Roman" w:eastAsia="宋体" w:cs="Times New Roman"/>
      <w:kern w:val="2"/>
      <w:sz w:val="21"/>
      <w:lang w:val="en-US" w:eastAsia="zh-CN" w:bidi="ar-SA"/>
    </w:rPr>
  </w:style>
  <w:style w:type="paragraph" w:customStyle="1" w:styleId="681">
    <w:name w:val="2.2.标题"/>
    <w:basedOn w:val="4"/>
    <w:qFormat/>
    <w:uiPriority w:val="99"/>
    <w:pPr>
      <w:tabs>
        <w:tab w:val="left" w:pos="900"/>
      </w:tabs>
      <w:snapToGrid w:val="0"/>
      <w:spacing w:beforeLines="50" w:beforeAutospacing="1" w:after="100" w:afterAutospacing="1" w:line="360" w:lineRule="auto"/>
      <w:ind w:left="900" w:hanging="420"/>
    </w:pPr>
    <w:rPr>
      <w:rFonts w:eastAsia="黑体" w:cs="Arial"/>
      <w:b w:val="0"/>
      <w:snapToGrid w:val="0"/>
      <w:kern w:val="2"/>
      <w:sz w:val="28"/>
    </w:rPr>
  </w:style>
  <w:style w:type="paragraph" w:customStyle="1" w:styleId="682">
    <w:name w:val="标题 1章"/>
    <w:basedOn w:val="2"/>
    <w:qFormat/>
    <w:uiPriority w:val="99"/>
    <w:pPr>
      <w:overflowPunct/>
      <w:snapToGrid w:val="0"/>
      <w:ind w:firstLine="0" w:firstLineChars="0"/>
      <w:jc w:val="left"/>
    </w:pPr>
    <w:rPr>
      <w:bCs/>
      <w:smallCaps/>
      <w:kern w:val="2"/>
    </w:rPr>
  </w:style>
  <w:style w:type="paragraph" w:customStyle="1" w:styleId="683">
    <w:name w:val="1标题2"/>
    <w:basedOn w:val="1"/>
    <w:qFormat/>
    <w:uiPriority w:val="99"/>
    <w:pPr>
      <w:keepNext/>
      <w:keepLines/>
      <w:adjustRightInd w:val="0"/>
      <w:snapToGrid w:val="0"/>
      <w:spacing w:before="120" w:after="120" w:line="300" w:lineRule="auto"/>
      <w:ind w:firstLine="551" w:firstLineChars="196"/>
      <w:outlineLvl w:val="1"/>
    </w:pPr>
    <w:rPr>
      <w:rFonts w:ascii="黑体" w:eastAsia="黑体"/>
      <w:b/>
      <w:bCs/>
      <w:snapToGrid w:val="0"/>
      <w:sz w:val="28"/>
    </w:rPr>
  </w:style>
  <w:style w:type="paragraph" w:customStyle="1" w:styleId="684">
    <w:name w:val="1级标题"/>
    <w:basedOn w:val="2"/>
    <w:qFormat/>
    <w:uiPriority w:val="99"/>
    <w:pPr>
      <w:keepNext/>
      <w:keepLines/>
      <w:tabs>
        <w:tab w:val="left" w:pos="360"/>
      </w:tabs>
      <w:overflowPunct/>
      <w:adjustRightInd w:val="0"/>
      <w:snapToGrid w:val="0"/>
      <w:ind w:firstLine="0" w:firstLineChars="0"/>
      <w:jc w:val="left"/>
    </w:pPr>
    <w:rPr>
      <w:rFonts w:ascii="Arial" w:hAnsi="Arial" w:eastAsia="宋体"/>
      <w:spacing w:val="10"/>
      <w:kern w:val="24"/>
      <w:sz w:val="28"/>
      <w:szCs w:val="22"/>
    </w:rPr>
  </w:style>
  <w:style w:type="paragraph" w:customStyle="1" w:styleId="685">
    <w:name w:val="目次"/>
    <w:qFormat/>
    <w:uiPriority w:val="99"/>
    <w:pPr>
      <w:tabs>
        <w:tab w:val="left" w:pos="420"/>
      </w:tabs>
      <w:spacing w:before="200" w:after="100" w:line="440" w:lineRule="exact"/>
      <w:ind w:hanging="420"/>
      <w:jc w:val="center"/>
    </w:pPr>
    <w:rPr>
      <w:rFonts w:ascii="黑体" w:hAnsi="Times New Roman" w:eastAsia="黑体" w:cs="Times New Roman"/>
      <w:sz w:val="24"/>
      <w:lang w:val="en-US" w:eastAsia="zh-CN" w:bidi="ar-SA"/>
    </w:rPr>
  </w:style>
  <w:style w:type="paragraph" w:customStyle="1" w:styleId="686">
    <w:name w:val="标题 3 +"/>
    <w:basedOn w:val="4"/>
    <w:qFormat/>
    <w:uiPriority w:val="99"/>
    <w:pPr>
      <w:numPr>
        <w:ilvl w:val="2"/>
        <w:numId w:val="7"/>
      </w:numPr>
      <w:tabs>
        <w:tab w:val="left" w:pos="720"/>
        <w:tab w:val="left" w:pos="1260"/>
      </w:tabs>
      <w:snapToGrid w:val="0"/>
      <w:spacing w:before="120" w:after="120" w:line="360" w:lineRule="auto"/>
      <w:ind w:left="720" w:hanging="720"/>
    </w:pPr>
    <w:rPr>
      <w:rFonts w:eastAsia="黑体"/>
      <w:b w:val="0"/>
      <w:bCs w:val="0"/>
      <w:snapToGrid w:val="0"/>
      <w:kern w:val="2"/>
      <w:sz w:val="24"/>
      <w:szCs w:val="20"/>
    </w:rPr>
  </w:style>
  <w:style w:type="paragraph" w:customStyle="1" w:styleId="687">
    <w:name w:val="标题 1+"/>
    <w:basedOn w:val="2"/>
    <w:qFormat/>
    <w:uiPriority w:val="99"/>
    <w:pPr>
      <w:keepNext/>
      <w:keepLines/>
      <w:tabs>
        <w:tab w:val="left" w:pos="120"/>
        <w:tab w:val="left" w:pos="432"/>
      </w:tabs>
      <w:overflowPunct/>
      <w:snapToGrid w:val="0"/>
      <w:spacing w:beforeLines="50" w:afterLines="50"/>
      <w:ind w:left="432" w:hanging="432" w:firstLineChars="0"/>
      <w:jc w:val="left"/>
    </w:pPr>
    <w:rPr>
      <w:rFonts w:ascii="Times New Roman" w:hAnsi="Times New Roman"/>
      <w:b w:val="0"/>
      <w:bCs/>
      <w:kern w:val="44"/>
      <w:szCs w:val="20"/>
    </w:rPr>
  </w:style>
  <w:style w:type="paragraph" w:customStyle="1" w:styleId="688">
    <w:name w:val="标题 41"/>
    <w:basedOn w:val="1"/>
    <w:next w:val="1"/>
    <w:qFormat/>
    <w:uiPriority w:val="99"/>
    <w:pPr>
      <w:autoSpaceDE w:val="0"/>
      <w:autoSpaceDN w:val="0"/>
      <w:adjustRightInd w:val="0"/>
      <w:snapToGrid w:val="0"/>
      <w:spacing w:before="100" w:beforeAutospacing="1" w:after="100" w:afterAutospacing="1" w:line="360" w:lineRule="auto"/>
      <w:textAlignment w:val="baseline"/>
      <w:outlineLvl w:val="3"/>
    </w:pPr>
    <w:rPr>
      <w:rFonts w:cs="Arial"/>
    </w:rPr>
  </w:style>
  <w:style w:type="paragraph" w:customStyle="1" w:styleId="689">
    <w:name w:val="1正文"/>
    <w:basedOn w:val="1"/>
    <w:qFormat/>
    <w:uiPriority w:val="99"/>
    <w:pPr>
      <w:snapToGrid w:val="0"/>
      <w:spacing w:line="520" w:lineRule="atLeast"/>
    </w:pPr>
    <w:rPr>
      <w:rFonts w:ascii="Arial" w:hAnsi="Arial" w:cs="Arial"/>
      <w:snapToGrid w:val="0"/>
    </w:rPr>
  </w:style>
  <w:style w:type="paragraph" w:customStyle="1" w:styleId="690">
    <w:name w:val="目次 附件名"/>
    <w:basedOn w:val="42"/>
    <w:qFormat/>
    <w:uiPriority w:val="99"/>
    <w:pPr>
      <w:widowControl w:val="0"/>
      <w:tabs>
        <w:tab w:val="left" w:pos="360"/>
        <w:tab w:val="right" w:leader="dot" w:pos="9072"/>
        <w:tab w:val="clear" w:pos="8296"/>
      </w:tabs>
      <w:adjustRightInd w:val="0"/>
      <w:snapToGrid w:val="0"/>
      <w:spacing w:line="360" w:lineRule="auto"/>
      <w:jc w:val="both"/>
    </w:pPr>
    <w:rPr>
      <w:rFonts w:hAnsi="Calibri"/>
      <w:kern w:val="2"/>
      <w:szCs w:val="20"/>
    </w:rPr>
  </w:style>
  <w:style w:type="paragraph" w:customStyle="1" w:styleId="691">
    <w:name w:val="标题 2 +"/>
    <w:basedOn w:val="1"/>
    <w:qFormat/>
    <w:uiPriority w:val="99"/>
    <w:pPr>
      <w:keepNext/>
      <w:keepLines/>
      <w:tabs>
        <w:tab w:val="left" w:pos="576"/>
      </w:tabs>
      <w:snapToGrid w:val="0"/>
      <w:spacing w:beforeLines="50" w:afterLines="50" w:line="360" w:lineRule="auto"/>
      <w:ind w:left="576" w:hanging="576"/>
      <w:outlineLvl w:val="1"/>
    </w:pPr>
    <w:rPr>
      <w:rFonts w:ascii="Arial" w:hAnsi="Arial" w:eastAsia="黑体"/>
      <w:bCs/>
      <w:kern w:val="44"/>
    </w:rPr>
  </w:style>
  <w:style w:type="paragraph" w:customStyle="1" w:styleId="692">
    <w:name w:val="2标题"/>
    <w:basedOn w:val="1"/>
    <w:qFormat/>
    <w:uiPriority w:val="99"/>
    <w:pPr>
      <w:keepNext/>
      <w:tabs>
        <w:tab w:val="left" w:pos="780"/>
      </w:tabs>
      <w:adjustRightInd w:val="0"/>
      <w:snapToGrid w:val="0"/>
      <w:spacing w:line="360" w:lineRule="auto"/>
      <w:ind w:left="780" w:hanging="420"/>
    </w:pPr>
  </w:style>
  <w:style w:type="paragraph" w:customStyle="1" w:styleId="693">
    <w:name w:val="1表1"/>
    <w:basedOn w:val="1"/>
    <w:qFormat/>
    <w:uiPriority w:val="99"/>
    <w:pPr>
      <w:autoSpaceDE w:val="0"/>
      <w:autoSpaceDN w:val="0"/>
      <w:adjustRightInd w:val="0"/>
      <w:snapToGrid w:val="0"/>
      <w:spacing w:line="360" w:lineRule="auto"/>
      <w:jc w:val="center"/>
    </w:pPr>
    <w:rPr>
      <w:snapToGrid w:val="0"/>
      <w:color w:val="000000"/>
      <w:lang w:val="zh-CN"/>
    </w:rPr>
  </w:style>
  <w:style w:type="paragraph" w:customStyle="1" w:styleId="694">
    <w:name w:val="1标题3"/>
    <w:basedOn w:val="1"/>
    <w:qFormat/>
    <w:uiPriority w:val="99"/>
    <w:pPr>
      <w:snapToGrid w:val="0"/>
      <w:spacing w:line="520" w:lineRule="atLeast"/>
    </w:pPr>
    <w:rPr>
      <w:rFonts w:ascii="仿宋_GB2312" w:hAnsi="仿宋_GB2312" w:eastAsia="仿宋_GB2312"/>
      <w:b/>
      <w:bCs/>
      <w:snapToGrid w:val="0"/>
      <w:sz w:val="28"/>
      <w:szCs w:val="21"/>
    </w:rPr>
  </w:style>
  <w:style w:type="table" w:customStyle="1" w:styleId="695">
    <w:name w:val="简明型 34"/>
    <w:basedOn w:val="65"/>
    <w:semiHidden/>
    <w:qFormat/>
    <w:uiPriority w:val="0"/>
    <w:pPr>
      <w:widowControl w:val="0"/>
      <w:adjustRightInd w:val="0"/>
      <w:snapToGrid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paragraph" w:customStyle="1" w:styleId="696">
    <w:name w:val="样式 标题 51)项标题 5 Char1) Char项 Char标5 + 左"/>
    <w:basedOn w:val="6"/>
    <w:next w:val="63"/>
    <w:qFormat/>
    <w:uiPriority w:val="99"/>
    <w:pPr>
      <w:widowControl w:val="0"/>
      <w:tabs>
        <w:tab w:val="left" w:pos="360"/>
      </w:tabs>
      <w:snapToGrid w:val="0"/>
      <w:spacing w:before="0" w:after="0" w:line="360" w:lineRule="auto"/>
      <w:ind w:left="360" w:hanging="360"/>
      <w:textAlignment w:val="auto"/>
    </w:pPr>
    <w:rPr>
      <w:rFonts w:hAnsi="Arial"/>
      <w:b w:val="0"/>
      <w:kern w:val="24"/>
    </w:rPr>
  </w:style>
  <w:style w:type="paragraph" w:customStyle="1" w:styleId="697">
    <w:name w:val="样式 首行缩进:  2 字符"/>
    <w:basedOn w:val="1"/>
    <w:link w:val="698"/>
    <w:qFormat/>
    <w:uiPriority w:val="0"/>
    <w:pPr>
      <w:adjustRightInd w:val="0"/>
      <w:snapToGrid w:val="0"/>
      <w:spacing w:line="312" w:lineRule="auto"/>
    </w:pPr>
  </w:style>
  <w:style w:type="character" w:customStyle="1" w:styleId="698">
    <w:name w:val="样式 首行缩进:  2 字符 Char"/>
    <w:link w:val="697"/>
    <w:qFormat/>
    <w:uiPriority w:val="0"/>
    <w:rPr>
      <w:rFonts w:ascii="Times New Roman" w:hAnsi="Times New Roman"/>
      <w:kern w:val="2"/>
      <w:sz w:val="24"/>
      <w:szCs w:val="24"/>
    </w:rPr>
  </w:style>
  <w:style w:type="paragraph" w:styleId="699">
    <w:name w:val="Quote"/>
    <w:basedOn w:val="1"/>
    <w:next w:val="1"/>
    <w:link w:val="700"/>
    <w:qFormat/>
    <w:uiPriority w:val="29"/>
    <w:pPr>
      <w:snapToGrid w:val="0"/>
      <w:spacing w:before="200" w:after="160" w:line="360" w:lineRule="auto"/>
      <w:ind w:left="864" w:right="864"/>
      <w:jc w:val="center"/>
    </w:pPr>
    <w:rPr>
      <w:i/>
      <w:iCs/>
      <w:color w:val="404040"/>
      <w:szCs w:val="22"/>
    </w:rPr>
  </w:style>
  <w:style w:type="character" w:customStyle="1" w:styleId="700">
    <w:name w:val="引用 字符"/>
    <w:link w:val="699"/>
    <w:qFormat/>
    <w:uiPriority w:val="29"/>
    <w:rPr>
      <w:rFonts w:ascii="Times New Roman" w:hAnsi="Times New Roman"/>
      <w:i/>
      <w:iCs/>
      <w:color w:val="404040"/>
      <w:kern w:val="2"/>
      <w:sz w:val="24"/>
      <w:szCs w:val="22"/>
    </w:rPr>
  </w:style>
  <w:style w:type="table" w:customStyle="1" w:styleId="701">
    <w:name w:val="网格型2"/>
    <w:basedOn w:val="6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2">
    <w:name w:val="网格型3"/>
    <w:basedOn w:val="6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3">
    <w:name w:val="网格型4"/>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04">
    <w:name w:val="4"/>
    <w:basedOn w:val="1"/>
    <w:next w:val="91"/>
    <w:link w:val="1009"/>
    <w:qFormat/>
    <w:uiPriority w:val="0"/>
    <w:pPr>
      <w:ind w:firstLine="420" w:firstLineChars="200"/>
    </w:pPr>
  </w:style>
  <w:style w:type="character" w:customStyle="1" w:styleId="705">
    <w:name w:val="ql-font-songti"/>
    <w:basedOn w:val="67"/>
    <w:qFormat/>
    <w:uiPriority w:val="0"/>
  </w:style>
  <w:style w:type="table" w:customStyle="1" w:styleId="706">
    <w:name w:val="33"/>
    <w:qFormat/>
    <w:uiPriority w:val="0"/>
    <w:pPr>
      <w:widowControl w:val="0"/>
      <w:autoSpaceDE w:val="0"/>
      <w:autoSpaceDN w:val="0"/>
      <w:adjustRightInd w:val="0"/>
    </w:pPr>
    <w:rPr>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paragraph" w:customStyle="1" w:styleId="707">
    <w:name w:val="样式5"/>
    <w:basedOn w:val="128"/>
    <w:link w:val="709"/>
    <w:qFormat/>
    <w:uiPriority w:val="0"/>
    <w:pPr>
      <w:ind w:firstLine="0" w:firstLineChars="0"/>
    </w:pPr>
    <w:rPr>
      <w:b/>
      <w:bCs/>
      <w:u w:color="000000"/>
    </w:rPr>
  </w:style>
  <w:style w:type="paragraph" w:customStyle="1" w:styleId="708">
    <w:name w:val="ql-align-left"/>
    <w:basedOn w:val="1"/>
    <w:qFormat/>
    <w:uiPriority w:val="0"/>
    <w:pPr>
      <w:spacing w:before="100" w:beforeAutospacing="1" w:after="100" w:afterAutospacing="1"/>
    </w:pPr>
  </w:style>
  <w:style w:type="character" w:customStyle="1" w:styleId="709">
    <w:name w:val="样式5 字符"/>
    <w:basedOn w:val="129"/>
    <w:link w:val="707"/>
    <w:qFormat/>
    <w:uiPriority w:val="0"/>
    <w:rPr>
      <w:rFonts w:ascii="Times New Roman" w:hAnsi="Times New Roman"/>
      <w:b/>
      <w:bCs/>
      <w:kern w:val="0"/>
      <w:sz w:val="24"/>
      <w:szCs w:val="24"/>
      <w:u w:color="000000"/>
    </w:rPr>
  </w:style>
  <w:style w:type="paragraph" w:customStyle="1" w:styleId="710">
    <w:name w:val="ql-align-justify"/>
    <w:basedOn w:val="1"/>
    <w:qFormat/>
    <w:uiPriority w:val="99"/>
    <w:pPr>
      <w:spacing w:before="100" w:beforeAutospacing="1" w:after="100" w:afterAutospacing="1"/>
    </w:pPr>
  </w:style>
  <w:style w:type="paragraph" w:customStyle="1" w:styleId="711">
    <w:name w:val="图正文"/>
    <w:basedOn w:val="25"/>
    <w:autoRedefine/>
    <w:qFormat/>
    <w:uiPriority w:val="99"/>
    <w:pPr>
      <w:autoSpaceDE w:val="0"/>
      <w:autoSpaceDN w:val="0"/>
      <w:adjustRightInd w:val="0"/>
      <w:snapToGrid w:val="0"/>
      <w:spacing w:after="0" w:line="360" w:lineRule="auto"/>
      <w:ind w:left="0" w:leftChars="0"/>
      <w:jc w:val="center"/>
    </w:pPr>
    <w:rPr>
      <w:rFonts w:ascii="Times New Roman" w:hAnsi="Times New Roman"/>
      <w:sz w:val="24"/>
    </w:rPr>
  </w:style>
  <w:style w:type="character" w:customStyle="1" w:styleId="712">
    <w:name w:val="煤制烯烃 正文 Char"/>
    <w:link w:val="713"/>
    <w:qFormat/>
    <w:locked/>
    <w:uiPriority w:val="99"/>
    <w:rPr>
      <w:rFonts w:ascii="Times New Roman" w:hAnsi="Times New Roman"/>
      <w:snapToGrid w:val="0"/>
      <w:color w:val="000000"/>
      <w:sz w:val="24"/>
      <w:szCs w:val="24"/>
      <w:lang w:val="de-DE"/>
    </w:rPr>
  </w:style>
  <w:style w:type="paragraph" w:customStyle="1" w:styleId="713">
    <w:name w:val="煤制烯烃 正文"/>
    <w:basedOn w:val="56"/>
    <w:link w:val="712"/>
    <w:autoRedefine/>
    <w:qFormat/>
    <w:uiPriority w:val="99"/>
    <w:pPr>
      <w:adjustRightInd w:val="0"/>
      <w:snapToGrid w:val="0"/>
      <w:spacing w:after="0" w:line="360" w:lineRule="auto"/>
      <w:ind w:firstLine="480" w:firstLineChars="200"/>
    </w:pPr>
    <w:rPr>
      <w:snapToGrid w:val="0"/>
      <w:color w:val="000000"/>
      <w:sz w:val="24"/>
      <w:lang w:val="de-DE"/>
    </w:rPr>
  </w:style>
  <w:style w:type="paragraph" w:customStyle="1" w:styleId="714">
    <w:name w:val="表图提注"/>
    <w:next w:val="1"/>
    <w:link w:val="715"/>
    <w:autoRedefine/>
    <w:qFormat/>
    <w:uiPriority w:val="0"/>
    <w:pPr>
      <w:snapToGrid w:val="0"/>
      <w:jc w:val="center"/>
    </w:pPr>
    <w:rPr>
      <w:rFonts w:ascii="Times New Roman" w:hAnsi="Times New Roman" w:eastAsia="黑体" w:cstheme="minorBidi"/>
      <w:b/>
      <w:bCs/>
      <w:color w:val="000000"/>
      <w:kern w:val="2"/>
      <w:sz w:val="24"/>
      <w:szCs w:val="21"/>
      <w:lang w:val="en-US" w:eastAsia="zh-CN" w:bidi="ar-SA"/>
    </w:rPr>
  </w:style>
  <w:style w:type="character" w:customStyle="1" w:styleId="715">
    <w:name w:val="表图提注 Char"/>
    <w:basedOn w:val="67"/>
    <w:link w:val="714"/>
    <w:qFormat/>
    <w:uiPriority w:val="0"/>
    <w:rPr>
      <w:rFonts w:ascii="Times New Roman" w:hAnsi="Times New Roman" w:eastAsia="黑体" w:cstheme="minorBidi"/>
      <w:b/>
      <w:bCs/>
      <w:color w:val="000000"/>
      <w:kern w:val="2"/>
      <w:sz w:val="24"/>
      <w:szCs w:val="21"/>
    </w:rPr>
  </w:style>
  <w:style w:type="paragraph" w:customStyle="1" w:styleId="716">
    <w:name w:val="【正文】"/>
    <w:basedOn w:val="1"/>
    <w:link w:val="717"/>
    <w:qFormat/>
    <w:uiPriority w:val="0"/>
    <w:pPr>
      <w:spacing w:line="360" w:lineRule="auto"/>
      <w:ind w:firstLine="200" w:firstLineChars="200"/>
    </w:pPr>
    <w:rPr>
      <w:szCs w:val="21"/>
    </w:rPr>
  </w:style>
  <w:style w:type="character" w:customStyle="1" w:styleId="717">
    <w:name w:val="【正文】 Char"/>
    <w:link w:val="716"/>
    <w:qFormat/>
    <w:uiPriority w:val="0"/>
    <w:rPr>
      <w:rFonts w:ascii="Times New Roman" w:hAnsi="Times New Roman"/>
      <w:sz w:val="24"/>
      <w:szCs w:val="21"/>
    </w:rPr>
  </w:style>
  <w:style w:type="paragraph" w:customStyle="1" w:styleId="718">
    <w:name w:val="p"/>
    <w:basedOn w:val="1"/>
    <w:qFormat/>
    <w:uiPriority w:val="99"/>
    <w:pPr>
      <w:spacing w:before="100" w:beforeAutospacing="1" w:after="100" w:afterAutospacing="1"/>
    </w:pPr>
  </w:style>
  <w:style w:type="paragraph" w:customStyle="1" w:styleId="719">
    <w:name w:val="本报告表格"/>
    <w:qFormat/>
    <w:uiPriority w:val="99"/>
    <w:pPr>
      <w:jc w:val="center"/>
    </w:pPr>
    <w:rPr>
      <w:rFonts w:ascii="Times New Roman" w:hAnsi="Times New Roman" w:eastAsia="宋体" w:cs="Times New Roman"/>
      <w:sz w:val="21"/>
      <w:szCs w:val="21"/>
      <w:lang w:val="en-US" w:eastAsia="zh-CN" w:bidi="ar-SA"/>
    </w:rPr>
  </w:style>
  <w:style w:type="paragraph" w:customStyle="1" w:styleId="720">
    <w:name w:val="图表后空格"/>
    <w:basedOn w:val="1"/>
    <w:qFormat/>
    <w:uiPriority w:val="99"/>
    <w:pPr>
      <w:spacing w:line="240" w:lineRule="exact"/>
    </w:pPr>
    <w:rPr>
      <w:sz w:val="18"/>
    </w:rPr>
  </w:style>
  <w:style w:type="paragraph" w:customStyle="1" w:styleId="721">
    <w:name w:val="msonormal"/>
    <w:basedOn w:val="1"/>
    <w:qFormat/>
    <w:uiPriority w:val="0"/>
    <w:pPr>
      <w:spacing w:before="100" w:beforeAutospacing="1" w:after="100" w:afterAutospacing="1"/>
    </w:pPr>
  </w:style>
  <w:style w:type="paragraph" w:customStyle="1" w:styleId="722">
    <w:name w:val="W二级标题"/>
    <w:basedOn w:val="3"/>
    <w:link w:val="723"/>
    <w:qFormat/>
    <w:uiPriority w:val="99"/>
  </w:style>
  <w:style w:type="character" w:customStyle="1" w:styleId="723">
    <w:name w:val="W二级标题 字符"/>
    <w:basedOn w:val="81"/>
    <w:link w:val="722"/>
    <w:qFormat/>
    <w:uiPriority w:val="99"/>
    <w:rPr>
      <w:rFonts w:ascii="宋体" w:hAnsi="宋体" w:eastAsia="黑体" w:cs="宋体"/>
      <w:sz w:val="30"/>
      <w:szCs w:val="30"/>
    </w:rPr>
  </w:style>
  <w:style w:type="character" w:customStyle="1" w:styleId="724">
    <w:name w:val="样式 样式 表格 + (符号) 宋体 五号 居中 + 小五 Char Char"/>
    <w:link w:val="725"/>
    <w:qFormat/>
    <w:uiPriority w:val="0"/>
    <w:rPr>
      <w:rFonts w:ascii="宋体" w:hAnsi="宋体" w:cs="宋体"/>
      <w:snapToGrid w:val="0"/>
      <w:sz w:val="18"/>
      <w:szCs w:val="21"/>
    </w:rPr>
  </w:style>
  <w:style w:type="paragraph" w:customStyle="1" w:styleId="725">
    <w:name w:val="样式 样式 表格 + (符号) 宋体 五号 居中 + 小五"/>
    <w:basedOn w:val="1"/>
    <w:link w:val="724"/>
    <w:qFormat/>
    <w:uiPriority w:val="0"/>
    <w:pPr>
      <w:kinsoku w:val="0"/>
      <w:overflowPunct w:val="0"/>
      <w:adjustRightInd w:val="0"/>
      <w:snapToGrid w:val="0"/>
      <w:jc w:val="center"/>
    </w:pPr>
    <w:rPr>
      <w:snapToGrid w:val="0"/>
      <w:sz w:val="18"/>
      <w:szCs w:val="21"/>
    </w:rPr>
  </w:style>
  <w:style w:type="paragraph" w:customStyle="1" w:styleId="726">
    <w:name w:val="Char Char Char Char Char Char Char Char Char Char Char Char Char Char Char Char Char Char Char Char Char Char Char Char"/>
    <w:basedOn w:val="1"/>
    <w:qFormat/>
    <w:uiPriority w:val="99"/>
    <w:pPr>
      <w:spacing w:line="360" w:lineRule="auto"/>
    </w:pPr>
    <w:rPr>
      <w:szCs w:val="21"/>
    </w:rPr>
  </w:style>
  <w:style w:type="character" w:customStyle="1" w:styleId="727">
    <w:name w:val="页脚 字符1"/>
    <w:qFormat/>
    <w:uiPriority w:val="99"/>
    <w:rPr>
      <w:rFonts w:ascii="Times New Roman" w:hAnsi="Times New Roman" w:eastAsia="宋体"/>
      <w:kern w:val="2"/>
      <w:sz w:val="18"/>
      <w:szCs w:val="18"/>
    </w:rPr>
  </w:style>
  <w:style w:type="table" w:customStyle="1" w:styleId="728">
    <w:name w:val="331"/>
    <w:qFormat/>
    <w:uiPriority w:val="99"/>
    <w:pPr>
      <w:widowControl w:val="0"/>
      <w:autoSpaceDE w:val="0"/>
      <w:autoSpaceDN w:val="0"/>
      <w:adjustRightInd w:val="0"/>
    </w:pPr>
    <w:rPr>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character" w:customStyle="1" w:styleId="729">
    <w:name w:val="题注 字符1"/>
    <w:qFormat/>
    <w:locked/>
    <w:uiPriority w:val="0"/>
    <w:rPr>
      <w:rFonts w:ascii="Times New Roman" w:hAnsi="Times New Roman" w:eastAsia="黑体" w:cs="Times New Roman"/>
      <w:kern w:val="2"/>
      <w:sz w:val="23"/>
      <w:lang w:val="de-DE"/>
    </w:rPr>
  </w:style>
  <w:style w:type="character" w:customStyle="1" w:styleId="730">
    <w:name w:val="批注文字 字符1"/>
    <w:basedOn w:val="67"/>
    <w:semiHidden/>
    <w:qFormat/>
    <w:uiPriority w:val="0"/>
    <w:rPr>
      <w:rFonts w:ascii="Times New Roman" w:hAnsi="Times New Roman"/>
      <w:kern w:val="2"/>
      <w:sz w:val="21"/>
    </w:rPr>
  </w:style>
  <w:style w:type="character" w:customStyle="1" w:styleId="731">
    <w:name w:val="标题 字符1"/>
    <w:basedOn w:val="67"/>
    <w:qFormat/>
    <w:uiPriority w:val="0"/>
    <w:rPr>
      <w:rFonts w:asciiTheme="majorHAnsi" w:hAnsiTheme="majorHAnsi" w:eastAsiaTheme="majorEastAsia" w:cstheme="majorBidi"/>
      <w:b/>
      <w:bCs/>
      <w:kern w:val="2"/>
      <w:sz w:val="32"/>
      <w:szCs w:val="32"/>
    </w:rPr>
  </w:style>
  <w:style w:type="character" w:customStyle="1" w:styleId="732">
    <w:name w:val="我的表格 Char"/>
    <w:link w:val="277"/>
    <w:qFormat/>
    <w:uiPriority w:val="0"/>
    <w:rPr>
      <w:sz w:val="21"/>
      <w:szCs w:val="21"/>
    </w:rPr>
  </w:style>
  <w:style w:type="character" w:customStyle="1" w:styleId="733">
    <w:name w:val="cf01"/>
    <w:basedOn w:val="67"/>
    <w:qFormat/>
    <w:uiPriority w:val="0"/>
    <w:rPr>
      <w:rFonts w:hint="eastAsia" w:ascii="Microsoft YaHei UI" w:hAnsi="Microsoft YaHei UI" w:eastAsia="Microsoft YaHei UI"/>
      <w:sz w:val="18"/>
      <w:szCs w:val="18"/>
    </w:rPr>
  </w:style>
  <w:style w:type="paragraph" w:customStyle="1" w:styleId="734">
    <w:name w:val="题注表"/>
    <w:basedOn w:val="16"/>
    <w:qFormat/>
    <w:uiPriority w:val="99"/>
    <w:pPr>
      <w:keepNext/>
      <w:widowControl w:val="0"/>
      <w:spacing w:beforeLines="0" w:afterLines="0" w:line="240" w:lineRule="auto"/>
    </w:pPr>
    <w:rPr>
      <w:rFonts w:ascii="Times New Roman" w:eastAsia="Calibri Light"/>
    </w:rPr>
  </w:style>
  <w:style w:type="table" w:customStyle="1" w:styleId="735">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character" w:customStyle="1" w:styleId="736">
    <w:name w:val="正文01 Char"/>
    <w:link w:val="209"/>
    <w:qFormat/>
    <w:locked/>
    <w:uiPriority w:val="0"/>
    <w:rPr>
      <w:sz w:val="24"/>
    </w:rPr>
  </w:style>
  <w:style w:type="paragraph" w:customStyle="1" w:styleId="737">
    <w:name w:val="xl101"/>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38">
    <w:name w:val="xl102"/>
    <w:basedOn w:val="1"/>
    <w:qFormat/>
    <w:uiPriority w:val="0"/>
    <w:pPr>
      <w:pBdr>
        <w:top w:val="single" w:color="auto" w:sz="8" w:space="0"/>
        <w:bottom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39">
    <w:name w:val="xl103"/>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40">
    <w:name w:val="xl104"/>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41">
    <w:name w:val="xl105"/>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42">
    <w:name w:val="xl106"/>
    <w:basedOn w:val="1"/>
    <w:qFormat/>
    <w:uiPriority w:val="0"/>
    <w:pPr>
      <w:pBdr>
        <w:left w:val="single" w:color="auto" w:sz="8" w:space="0"/>
        <w:right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43">
    <w:name w:val="xl107"/>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sz w:val="18"/>
      <w:szCs w:val="18"/>
    </w:rPr>
  </w:style>
  <w:style w:type="paragraph" w:customStyle="1" w:styleId="744">
    <w:name w:val="xl108"/>
    <w:basedOn w:val="1"/>
    <w:qFormat/>
    <w:uiPriority w:val="0"/>
    <w:pPr>
      <w:pBdr>
        <w:bottom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745">
    <w:name w:val="xl109"/>
    <w:basedOn w:val="1"/>
    <w:qFormat/>
    <w:uiPriority w:val="0"/>
    <w:pPr>
      <w:pBdr>
        <w:bottom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746">
    <w:name w:val="xl110"/>
    <w:basedOn w:val="1"/>
    <w:qFormat/>
    <w:uiPriority w:val="0"/>
    <w:pPr>
      <w:pBdr>
        <w:bottom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747">
    <w:name w:val="xl111"/>
    <w:basedOn w:val="1"/>
    <w:qFormat/>
    <w:uiPriority w:val="0"/>
    <w:pPr>
      <w:pBdr>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48">
    <w:name w:val="xl112"/>
    <w:basedOn w:val="1"/>
    <w:qFormat/>
    <w:uiPriority w:val="0"/>
    <w:pPr>
      <w:pBdr>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49">
    <w:name w:val="xl113"/>
    <w:basedOn w:val="1"/>
    <w:qFormat/>
    <w:uiPriority w:val="0"/>
    <w:pPr>
      <w:pBdr>
        <w:top w:val="single" w:color="auto" w:sz="8" w:space="0"/>
        <w:left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0">
    <w:name w:val="xl114"/>
    <w:basedOn w:val="1"/>
    <w:qFormat/>
    <w:uiPriority w:val="0"/>
    <w:pPr>
      <w:pBdr>
        <w:top w:val="single" w:color="auto" w:sz="8" w:space="0"/>
        <w:left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1">
    <w:name w:val="xl115"/>
    <w:basedOn w:val="1"/>
    <w:qFormat/>
    <w:uiPriority w:val="0"/>
    <w:pPr>
      <w:pBdr>
        <w:top w:val="single" w:color="auto" w:sz="8" w:space="0"/>
        <w:left w:val="single" w:color="auto" w:sz="8" w:space="0"/>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2">
    <w:name w:val="xl116"/>
    <w:basedOn w:val="1"/>
    <w:qFormat/>
    <w:uiPriority w:val="0"/>
    <w:pPr>
      <w:pBdr>
        <w:top w:val="single" w:color="auto" w:sz="8" w:space="0"/>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3">
    <w:name w:val="xl117"/>
    <w:basedOn w:val="1"/>
    <w:qFormat/>
    <w:uiPriority w:val="0"/>
    <w:pPr>
      <w:pBdr>
        <w:left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4">
    <w:name w:val="xl118"/>
    <w:basedOn w:val="1"/>
    <w:qFormat/>
    <w:uiPriority w:val="0"/>
    <w:pPr>
      <w:pBdr>
        <w:left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5">
    <w:name w:val="xl119"/>
    <w:basedOn w:val="1"/>
    <w:qFormat/>
    <w:uiPriority w:val="0"/>
    <w:pPr>
      <w:pBdr>
        <w:left w:val="single" w:color="auto" w:sz="8" w:space="0"/>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6">
    <w:name w:val="xl120"/>
    <w:basedOn w:val="1"/>
    <w:qFormat/>
    <w:uiPriority w:val="0"/>
    <w:pPr>
      <w:pBdr>
        <w:left w:val="single" w:color="auto" w:sz="8" w:space="0"/>
        <w:bottom w:val="single" w:color="auto" w:sz="8" w:space="0"/>
        <w:right w:val="single" w:color="auto" w:sz="8" w:space="0"/>
      </w:pBdr>
      <w:shd w:val="clear" w:color="000000" w:fill="ED7D31"/>
      <w:spacing w:before="100" w:beforeAutospacing="1" w:after="100" w:afterAutospacing="1"/>
      <w:jc w:val="center"/>
      <w:textAlignment w:val="center"/>
    </w:pPr>
    <w:rPr>
      <w:sz w:val="18"/>
      <w:szCs w:val="18"/>
    </w:rPr>
  </w:style>
  <w:style w:type="paragraph" w:customStyle="1" w:styleId="757">
    <w:name w:val="xl121"/>
    <w:basedOn w:val="1"/>
    <w:qFormat/>
    <w:uiPriority w:val="0"/>
    <w:pPr>
      <w:pBdr>
        <w:top w:val="single" w:color="auto" w:sz="8" w:space="0"/>
        <w:left w:val="single" w:color="auto" w:sz="8" w:space="0"/>
        <w:right w:val="single" w:color="auto" w:sz="8" w:space="0"/>
      </w:pBdr>
      <w:shd w:val="clear" w:color="000000" w:fill="FFF2CC"/>
      <w:spacing w:before="100" w:beforeAutospacing="1" w:after="100" w:afterAutospacing="1"/>
      <w:jc w:val="center"/>
      <w:textAlignment w:val="center"/>
    </w:pPr>
    <w:rPr>
      <w:sz w:val="18"/>
      <w:szCs w:val="18"/>
    </w:rPr>
  </w:style>
  <w:style w:type="paragraph" w:customStyle="1" w:styleId="758">
    <w:name w:val="xl122"/>
    <w:basedOn w:val="1"/>
    <w:qFormat/>
    <w:uiPriority w:val="0"/>
    <w:pPr>
      <w:pBdr>
        <w:bottom w:val="single" w:color="auto" w:sz="8" w:space="0"/>
        <w:right w:val="single" w:color="auto" w:sz="8" w:space="0"/>
      </w:pBdr>
      <w:shd w:val="clear" w:color="000000" w:fill="FFF2CC"/>
      <w:spacing w:before="100" w:beforeAutospacing="1" w:after="100" w:afterAutospacing="1"/>
      <w:jc w:val="center"/>
      <w:textAlignment w:val="center"/>
    </w:pPr>
    <w:rPr>
      <w:sz w:val="18"/>
      <w:szCs w:val="18"/>
    </w:rPr>
  </w:style>
  <w:style w:type="paragraph" w:customStyle="1" w:styleId="759">
    <w:name w:val="xl123"/>
    <w:basedOn w:val="1"/>
    <w:qFormat/>
    <w:uiPriority w:val="0"/>
    <w:pPr>
      <w:pBdr>
        <w:left w:val="single" w:color="auto" w:sz="8" w:space="0"/>
        <w:right w:val="single" w:color="auto" w:sz="8" w:space="0"/>
      </w:pBdr>
      <w:shd w:val="clear" w:color="000000" w:fill="FFF2CC"/>
      <w:spacing w:before="100" w:beforeAutospacing="1" w:after="100" w:afterAutospacing="1"/>
      <w:jc w:val="center"/>
      <w:textAlignment w:val="center"/>
    </w:pPr>
    <w:rPr>
      <w:sz w:val="18"/>
      <w:szCs w:val="18"/>
    </w:rPr>
  </w:style>
  <w:style w:type="paragraph" w:customStyle="1" w:styleId="760">
    <w:name w:val="xl124"/>
    <w:basedOn w:val="1"/>
    <w:qFormat/>
    <w:uiPriority w:val="0"/>
    <w:pPr>
      <w:pBdr>
        <w:bottom w:val="single" w:color="auto" w:sz="8" w:space="0"/>
        <w:right w:val="single" w:color="auto" w:sz="8" w:space="0"/>
      </w:pBdr>
      <w:shd w:val="clear" w:color="000000" w:fill="FFF2CC"/>
      <w:spacing w:before="100" w:beforeAutospacing="1" w:after="100" w:afterAutospacing="1"/>
      <w:jc w:val="center"/>
      <w:textAlignment w:val="center"/>
    </w:pPr>
    <w:rPr>
      <w:sz w:val="18"/>
      <w:szCs w:val="18"/>
    </w:rPr>
  </w:style>
  <w:style w:type="paragraph" w:customStyle="1" w:styleId="761">
    <w:name w:val="xl125"/>
    <w:basedOn w:val="1"/>
    <w:qFormat/>
    <w:uiPriority w:val="0"/>
    <w:pPr>
      <w:pBdr>
        <w:left w:val="single" w:color="auto" w:sz="8" w:space="0"/>
        <w:bottom w:val="single" w:color="auto" w:sz="8" w:space="0"/>
        <w:right w:val="single" w:color="auto" w:sz="8" w:space="0"/>
      </w:pBdr>
      <w:shd w:val="clear" w:color="000000" w:fill="FFF2CC"/>
      <w:spacing w:before="100" w:beforeAutospacing="1" w:after="100" w:afterAutospacing="1"/>
      <w:jc w:val="center"/>
      <w:textAlignment w:val="center"/>
    </w:pPr>
    <w:rPr>
      <w:sz w:val="18"/>
      <w:szCs w:val="18"/>
    </w:rPr>
  </w:style>
  <w:style w:type="paragraph" w:customStyle="1" w:styleId="762">
    <w:name w:val="xl126"/>
    <w:basedOn w:val="1"/>
    <w:qFormat/>
    <w:uiPriority w:val="0"/>
    <w:pPr>
      <w:pBdr>
        <w:bottom w:val="single" w:color="auto" w:sz="8" w:space="0"/>
        <w:right w:val="single" w:color="auto" w:sz="8" w:space="0"/>
      </w:pBdr>
      <w:shd w:val="clear" w:color="000000" w:fill="FFF2CC"/>
      <w:spacing w:before="100" w:beforeAutospacing="1" w:after="100" w:afterAutospacing="1"/>
      <w:jc w:val="center"/>
      <w:textAlignment w:val="center"/>
    </w:pPr>
    <w:rPr>
      <w:color w:val="000000"/>
      <w:sz w:val="18"/>
      <w:szCs w:val="18"/>
    </w:rPr>
  </w:style>
  <w:style w:type="paragraph" w:customStyle="1" w:styleId="763">
    <w:name w:val="xl127"/>
    <w:basedOn w:val="1"/>
    <w:qFormat/>
    <w:uiPriority w:val="0"/>
    <w:pPr>
      <w:pBdr>
        <w:bottom w:val="single" w:color="auto" w:sz="8" w:space="0"/>
        <w:right w:val="single" w:color="auto" w:sz="8" w:space="0"/>
      </w:pBdr>
      <w:shd w:val="clear" w:color="000000" w:fill="FFF2CC"/>
      <w:spacing w:before="100" w:beforeAutospacing="1" w:after="100" w:afterAutospacing="1"/>
      <w:jc w:val="center"/>
      <w:textAlignment w:val="center"/>
    </w:pPr>
    <w:rPr>
      <w:color w:val="FF0000"/>
      <w:sz w:val="18"/>
      <w:szCs w:val="18"/>
    </w:rPr>
  </w:style>
  <w:style w:type="paragraph" w:customStyle="1" w:styleId="764">
    <w:name w:val="xl128"/>
    <w:basedOn w:val="1"/>
    <w:qFormat/>
    <w:uiPriority w:val="0"/>
    <w:pPr>
      <w:pBdr>
        <w:top w:val="single" w:color="auto" w:sz="8" w:space="0"/>
        <w:left w:val="single" w:color="auto" w:sz="8" w:space="0"/>
        <w:bottom w:val="single" w:color="auto" w:sz="8" w:space="0"/>
        <w:right w:val="single" w:color="auto" w:sz="8" w:space="0"/>
      </w:pBdr>
      <w:shd w:val="clear" w:color="000000" w:fill="FFF2CC"/>
      <w:spacing w:before="100" w:beforeAutospacing="1" w:after="100" w:afterAutospacing="1"/>
      <w:jc w:val="center"/>
      <w:textAlignment w:val="center"/>
    </w:pPr>
    <w:rPr>
      <w:color w:val="FF0000"/>
      <w:sz w:val="18"/>
      <w:szCs w:val="18"/>
    </w:rPr>
  </w:style>
  <w:style w:type="paragraph" w:customStyle="1" w:styleId="765">
    <w:name w:val="xl129"/>
    <w:basedOn w:val="1"/>
    <w:qFormat/>
    <w:uiPriority w:val="0"/>
    <w:pPr>
      <w:pBdr>
        <w:left w:val="single" w:color="auto" w:sz="8" w:space="0"/>
        <w:bottom w:val="single" w:color="auto" w:sz="8" w:space="0"/>
        <w:right w:val="single" w:color="auto" w:sz="8" w:space="0"/>
      </w:pBdr>
      <w:shd w:val="clear" w:color="000000" w:fill="FFF2CC"/>
      <w:spacing w:before="100" w:beforeAutospacing="1" w:after="100" w:afterAutospacing="1"/>
      <w:jc w:val="center"/>
      <w:textAlignment w:val="center"/>
    </w:pPr>
    <w:rPr>
      <w:color w:val="FF0000"/>
      <w:sz w:val="18"/>
      <w:szCs w:val="18"/>
    </w:rPr>
  </w:style>
  <w:style w:type="paragraph" w:customStyle="1" w:styleId="766">
    <w:name w:val="xl130"/>
    <w:basedOn w:val="1"/>
    <w:qFormat/>
    <w:uiPriority w:val="0"/>
    <w:pPr>
      <w:pBdr>
        <w:top w:val="single" w:color="auto" w:sz="8" w:space="0"/>
        <w:left w:val="single" w:color="auto" w:sz="8" w:space="0"/>
        <w:bottom w:val="single" w:color="auto" w:sz="8" w:space="0"/>
        <w:right w:val="single" w:color="auto" w:sz="8" w:space="0"/>
      </w:pBdr>
      <w:shd w:val="clear" w:color="000000" w:fill="FFF2CC"/>
      <w:spacing w:before="100" w:beforeAutospacing="1" w:after="100" w:afterAutospacing="1"/>
      <w:jc w:val="center"/>
      <w:textAlignment w:val="center"/>
    </w:pPr>
    <w:rPr>
      <w:color w:val="000000"/>
      <w:sz w:val="18"/>
      <w:szCs w:val="18"/>
    </w:rPr>
  </w:style>
  <w:style w:type="paragraph" w:customStyle="1" w:styleId="767">
    <w:name w:val="xl131"/>
    <w:basedOn w:val="1"/>
    <w:qFormat/>
    <w:uiPriority w:val="0"/>
    <w:pPr>
      <w:pBdr>
        <w:left w:val="single" w:color="auto" w:sz="8" w:space="0"/>
        <w:bottom w:val="single" w:color="auto" w:sz="8" w:space="0"/>
        <w:right w:val="single" w:color="auto" w:sz="8" w:space="0"/>
      </w:pBdr>
      <w:shd w:val="clear" w:color="000000" w:fill="FFF2CC"/>
      <w:spacing w:before="100" w:beforeAutospacing="1" w:after="100" w:afterAutospacing="1"/>
      <w:jc w:val="center"/>
      <w:textAlignment w:val="center"/>
    </w:pPr>
    <w:rPr>
      <w:color w:val="000000"/>
      <w:sz w:val="18"/>
      <w:szCs w:val="18"/>
    </w:rPr>
  </w:style>
  <w:style w:type="character" w:customStyle="1" w:styleId="768">
    <w:name w:val="cf11"/>
    <w:basedOn w:val="67"/>
    <w:qFormat/>
    <w:uiPriority w:val="0"/>
    <w:rPr>
      <w:rFonts w:hint="eastAsia" w:ascii="Microsoft YaHei UI" w:hAnsi="Microsoft YaHei UI" w:eastAsia="Microsoft YaHei UI"/>
      <w:sz w:val="18"/>
      <w:szCs w:val="18"/>
    </w:rPr>
  </w:style>
  <w:style w:type="paragraph" w:customStyle="1" w:styleId="769">
    <w:name w:val="w五级标题"/>
    <w:basedOn w:val="1"/>
    <w:link w:val="770"/>
    <w:qFormat/>
    <w:uiPriority w:val="0"/>
    <w:pPr>
      <w:numPr>
        <w:ilvl w:val="4"/>
        <w:numId w:val="1"/>
      </w:numPr>
      <w:spacing w:line="360" w:lineRule="auto"/>
    </w:pPr>
    <w:rPr>
      <w:rFonts w:ascii="黑体" w:hAnsi="黑体" w:eastAsia="黑体"/>
      <w:b/>
    </w:rPr>
  </w:style>
  <w:style w:type="character" w:customStyle="1" w:styleId="770">
    <w:name w:val="w五级标题 字符"/>
    <w:basedOn w:val="67"/>
    <w:link w:val="769"/>
    <w:qFormat/>
    <w:uiPriority w:val="0"/>
    <w:rPr>
      <w:rFonts w:ascii="黑体" w:hAnsi="黑体" w:eastAsia="黑体" w:cs="宋体"/>
      <w:b/>
      <w:sz w:val="24"/>
      <w:szCs w:val="24"/>
    </w:rPr>
  </w:style>
  <w:style w:type="paragraph" w:customStyle="1" w:styleId="771">
    <w:name w:val="B正文左对齐"/>
    <w:basedOn w:val="1"/>
    <w:link w:val="772"/>
    <w:qFormat/>
    <w:uiPriority w:val="0"/>
    <w:pPr>
      <w:spacing w:line="360" w:lineRule="auto"/>
      <w:ind w:firstLine="200" w:firstLineChars="200"/>
    </w:pPr>
    <w:rPr>
      <w:color w:val="000000"/>
      <w:szCs w:val="21"/>
      <w:lang w:val="en-GB"/>
    </w:rPr>
  </w:style>
  <w:style w:type="character" w:customStyle="1" w:styleId="772">
    <w:name w:val="B正文左对齐 字符"/>
    <w:basedOn w:val="67"/>
    <w:link w:val="771"/>
    <w:qFormat/>
    <w:uiPriority w:val="0"/>
    <w:rPr>
      <w:rFonts w:ascii="Times New Roman" w:hAnsi="Times New Roman"/>
      <w:color w:val="000000"/>
      <w:kern w:val="2"/>
      <w:sz w:val="24"/>
      <w:szCs w:val="21"/>
      <w:lang w:val="en-GB"/>
    </w:rPr>
  </w:style>
  <w:style w:type="paragraph" w:customStyle="1" w:styleId="773">
    <w:name w:val="font16"/>
    <w:basedOn w:val="1"/>
    <w:qFormat/>
    <w:uiPriority w:val="0"/>
    <w:pPr>
      <w:spacing w:before="100" w:beforeAutospacing="1" w:after="100" w:afterAutospacing="1"/>
    </w:pPr>
    <w:rPr>
      <w:rFonts w:ascii="Arial" w:hAnsi="Arial" w:cs="Arial"/>
      <w:sz w:val="14"/>
      <w:szCs w:val="14"/>
    </w:rPr>
  </w:style>
  <w:style w:type="paragraph" w:customStyle="1" w:styleId="774">
    <w:name w:val="font17"/>
    <w:basedOn w:val="1"/>
    <w:qFormat/>
    <w:uiPriority w:val="0"/>
    <w:pPr>
      <w:spacing w:before="100" w:beforeAutospacing="1" w:after="100" w:afterAutospacing="1"/>
    </w:pPr>
    <w:rPr>
      <w:sz w:val="14"/>
      <w:szCs w:val="14"/>
    </w:rPr>
  </w:style>
  <w:style w:type="paragraph" w:customStyle="1" w:styleId="775">
    <w:name w:val="font18"/>
    <w:basedOn w:val="1"/>
    <w:qFormat/>
    <w:uiPriority w:val="99"/>
    <w:pPr>
      <w:spacing w:before="100" w:beforeAutospacing="1" w:after="100" w:afterAutospacing="1"/>
    </w:pPr>
    <w:rPr>
      <w:rFonts w:ascii="新宋体" w:hAnsi="新宋体" w:eastAsia="新宋体"/>
      <w:sz w:val="13"/>
      <w:szCs w:val="13"/>
    </w:rPr>
  </w:style>
  <w:style w:type="paragraph" w:customStyle="1" w:styleId="776">
    <w:name w:val="xl132"/>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sz w:val="20"/>
    </w:rPr>
  </w:style>
  <w:style w:type="paragraph" w:customStyle="1" w:styleId="777">
    <w:name w:val="xl133"/>
    <w:basedOn w:val="1"/>
    <w:qFormat/>
    <w:uiPriority w:val="0"/>
    <w:pPr>
      <w:pBdr>
        <w:top w:val="single" w:color="auto" w:sz="4" w:space="0"/>
        <w:left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78">
    <w:name w:val="xl134"/>
    <w:basedOn w:val="1"/>
    <w:qFormat/>
    <w:uiPriority w:val="0"/>
    <w:pPr>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79">
    <w:name w:val="xl135"/>
    <w:basedOn w:val="1"/>
    <w:qFormat/>
    <w:uiPriority w:val="0"/>
    <w:pPr>
      <w:pBdr>
        <w:top w:val="single" w:color="auto" w:sz="4" w:space="0"/>
        <w:left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0">
    <w:name w:val="xl136"/>
    <w:basedOn w:val="1"/>
    <w:qFormat/>
    <w:uiPriority w:val="0"/>
    <w:pPr>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1">
    <w:name w:val="xl137"/>
    <w:basedOn w:val="1"/>
    <w:qFormat/>
    <w:uiPriority w:val="0"/>
    <w:pPr>
      <w:pBdr>
        <w:top w:val="single" w:color="auto" w:sz="8" w:space="0"/>
        <w:bottom w:val="single" w:color="auto" w:sz="8" w:space="0"/>
        <w:right w:val="single" w:color="auto" w:sz="8" w:space="0"/>
      </w:pBdr>
      <w:shd w:val="clear" w:color="000000" w:fill="FFD966"/>
      <w:spacing w:before="100" w:beforeAutospacing="1" w:after="100" w:afterAutospacing="1"/>
      <w:jc w:val="center"/>
    </w:pPr>
    <w:rPr>
      <w:sz w:val="18"/>
      <w:szCs w:val="18"/>
    </w:rPr>
  </w:style>
  <w:style w:type="paragraph" w:customStyle="1" w:styleId="782">
    <w:name w:val="xl138"/>
    <w:basedOn w:val="1"/>
    <w:qFormat/>
    <w:uiPriority w:val="0"/>
    <w:pPr>
      <w:pBdr>
        <w:left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3">
    <w:name w:val="xl139"/>
    <w:basedOn w:val="1"/>
    <w:qFormat/>
    <w:uiPriority w:val="0"/>
    <w:pPr>
      <w:pBdr>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4">
    <w:name w:val="xl140"/>
    <w:basedOn w:val="1"/>
    <w:qFormat/>
    <w:uiPriority w:val="0"/>
    <w:pPr>
      <w:pBdr>
        <w:bottom w:val="single" w:color="auto" w:sz="8" w:space="0"/>
        <w:right w:val="single" w:color="auto" w:sz="8" w:space="0"/>
      </w:pBdr>
      <w:shd w:val="clear" w:color="000000" w:fill="FFD966"/>
      <w:spacing w:before="100" w:beforeAutospacing="1" w:after="100" w:afterAutospacing="1"/>
      <w:jc w:val="center"/>
    </w:pPr>
    <w:rPr>
      <w:sz w:val="20"/>
    </w:rPr>
  </w:style>
  <w:style w:type="paragraph" w:customStyle="1" w:styleId="785">
    <w:name w:val="xl141"/>
    <w:basedOn w:val="1"/>
    <w:qFormat/>
    <w:uiPriority w:val="0"/>
    <w:pPr>
      <w:pBdr>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6">
    <w:name w:val="xl142"/>
    <w:basedOn w:val="1"/>
    <w:qFormat/>
    <w:uiPriority w:val="0"/>
    <w:pPr>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7">
    <w:name w:val="xl143"/>
    <w:basedOn w:val="1"/>
    <w:qFormat/>
    <w:uiPriority w:val="0"/>
    <w:pPr>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8">
    <w:name w:val="xl144"/>
    <w:basedOn w:val="1"/>
    <w:qFormat/>
    <w:uiPriority w:val="0"/>
    <w:pPr>
      <w:pBdr>
        <w:top w:val="single" w:color="auto" w:sz="4" w:space="0"/>
        <w:left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89">
    <w:name w:val="xl145"/>
    <w:basedOn w:val="1"/>
    <w:qFormat/>
    <w:uiPriority w:val="0"/>
    <w:pPr>
      <w:pBdr>
        <w:left w:val="single" w:color="auto" w:sz="4" w:space="0"/>
        <w:bottom w:val="single" w:color="auto" w:sz="4" w:space="0"/>
        <w:right w:val="single" w:color="auto" w:sz="4" w:space="0"/>
      </w:pBdr>
      <w:shd w:val="clear" w:color="000000" w:fill="FFD966"/>
      <w:spacing w:before="100" w:beforeAutospacing="1" w:after="100" w:afterAutospacing="1"/>
      <w:jc w:val="center"/>
    </w:pPr>
    <w:rPr>
      <w:sz w:val="20"/>
    </w:rPr>
  </w:style>
  <w:style w:type="paragraph" w:customStyle="1" w:styleId="790">
    <w:name w:val="xl146"/>
    <w:basedOn w:val="1"/>
    <w:qFormat/>
    <w:uiPriority w:val="0"/>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pPr>
    <w:rPr>
      <w:sz w:val="20"/>
    </w:rPr>
  </w:style>
  <w:style w:type="paragraph" w:customStyle="1" w:styleId="791">
    <w:name w:val="xl147"/>
    <w:basedOn w:val="1"/>
    <w:qFormat/>
    <w:uiPriority w:val="0"/>
    <w:pPr>
      <w:pBdr>
        <w:top w:val="single" w:color="auto" w:sz="4" w:space="0"/>
        <w:left w:val="single" w:color="auto" w:sz="4" w:space="0"/>
        <w:right w:val="single" w:color="auto" w:sz="4" w:space="0"/>
      </w:pBdr>
      <w:spacing w:before="100" w:beforeAutospacing="1" w:after="100" w:afterAutospacing="1"/>
      <w:jc w:val="center"/>
    </w:pPr>
    <w:rPr>
      <w:sz w:val="20"/>
    </w:rPr>
  </w:style>
  <w:style w:type="paragraph" w:customStyle="1" w:styleId="792">
    <w:name w:val="xl148"/>
    <w:basedOn w:val="1"/>
    <w:qFormat/>
    <w:uiPriority w:val="0"/>
    <w:pPr>
      <w:pBdr>
        <w:left w:val="single" w:color="auto" w:sz="4" w:space="0"/>
        <w:right w:val="single" w:color="auto" w:sz="4" w:space="0"/>
      </w:pBdr>
      <w:spacing w:before="100" w:beforeAutospacing="1" w:after="100" w:afterAutospacing="1"/>
      <w:jc w:val="center"/>
    </w:pPr>
    <w:rPr>
      <w:sz w:val="20"/>
    </w:rPr>
  </w:style>
  <w:style w:type="paragraph" w:customStyle="1" w:styleId="793">
    <w:name w:val="xl14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sz w:val="20"/>
    </w:rPr>
  </w:style>
  <w:style w:type="paragraph" w:customStyle="1" w:styleId="794">
    <w:name w:val="xl150"/>
    <w:basedOn w:val="1"/>
    <w:qFormat/>
    <w:uiPriority w:val="0"/>
    <w:pPr>
      <w:pBdr>
        <w:top w:val="single" w:color="auto" w:sz="4" w:space="0"/>
        <w:left w:val="single" w:color="auto" w:sz="4" w:space="0"/>
      </w:pBdr>
      <w:spacing w:before="100" w:beforeAutospacing="1" w:after="100" w:afterAutospacing="1"/>
      <w:jc w:val="center"/>
    </w:pPr>
    <w:rPr>
      <w:sz w:val="20"/>
    </w:rPr>
  </w:style>
  <w:style w:type="paragraph" w:customStyle="1" w:styleId="795">
    <w:name w:val="xl151"/>
    <w:basedOn w:val="1"/>
    <w:qFormat/>
    <w:uiPriority w:val="0"/>
    <w:pPr>
      <w:pBdr>
        <w:left w:val="single" w:color="auto" w:sz="4" w:space="0"/>
      </w:pBdr>
      <w:spacing w:before="100" w:beforeAutospacing="1" w:after="100" w:afterAutospacing="1"/>
      <w:jc w:val="center"/>
    </w:pPr>
    <w:rPr>
      <w:sz w:val="20"/>
    </w:rPr>
  </w:style>
  <w:style w:type="paragraph" w:customStyle="1" w:styleId="796">
    <w:name w:val="xl152"/>
    <w:basedOn w:val="1"/>
    <w:qFormat/>
    <w:uiPriority w:val="0"/>
    <w:pPr>
      <w:pBdr>
        <w:top w:val="single" w:color="auto" w:sz="4" w:space="0"/>
        <w:right w:val="single" w:color="auto" w:sz="4" w:space="0"/>
      </w:pBdr>
      <w:spacing w:before="100" w:beforeAutospacing="1" w:after="100" w:afterAutospacing="1"/>
      <w:jc w:val="center"/>
    </w:pPr>
    <w:rPr>
      <w:sz w:val="20"/>
    </w:rPr>
  </w:style>
  <w:style w:type="paragraph" w:customStyle="1" w:styleId="797">
    <w:name w:val="xl153"/>
    <w:basedOn w:val="1"/>
    <w:qFormat/>
    <w:uiPriority w:val="0"/>
    <w:pPr>
      <w:pBdr>
        <w:right w:val="single" w:color="auto" w:sz="4" w:space="0"/>
      </w:pBdr>
      <w:spacing w:before="100" w:beforeAutospacing="1" w:after="100" w:afterAutospacing="1"/>
      <w:jc w:val="center"/>
    </w:pPr>
    <w:rPr>
      <w:sz w:val="20"/>
    </w:rPr>
  </w:style>
  <w:style w:type="character" w:customStyle="1" w:styleId="798">
    <w:name w:val="环科所表内格式 Char"/>
    <w:link w:val="799"/>
    <w:qFormat/>
    <w:locked/>
    <w:uiPriority w:val="99"/>
    <w:rPr>
      <w:rFonts w:ascii="仿宋_GB2312" w:eastAsia="仿宋_GB2312"/>
      <w:sz w:val="18"/>
    </w:rPr>
  </w:style>
  <w:style w:type="paragraph" w:customStyle="1" w:styleId="799">
    <w:name w:val="环科所表内格式"/>
    <w:basedOn w:val="1"/>
    <w:link w:val="798"/>
    <w:qFormat/>
    <w:uiPriority w:val="99"/>
    <w:pPr>
      <w:adjustRightInd w:val="0"/>
      <w:snapToGrid w:val="0"/>
      <w:spacing w:line="360" w:lineRule="auto"/>
      <w:ind w:firstLine="200" w:firstLineChars="200"/>
      <w:jc w:val="center"/>
    </w:pPr>
    <w:rPr>
      <w:rFonts w:ascii="仿宋_GB2312" w:hAnsi="Calibri" w:eastAsia="仿宋_GB2312"/>
      <w:sz w:val="18"/>
    </w:rPr>
  </w:style>
  <w:style w:type="character" w:customStyle="1" w:styleId="800">
    <w:name w:val="bjh-p"/>
    <w:basedOn w:val="67"/>
    <w:qFormat/>
    <w:uiPriority w:val="0"/>
  </w:style>
  <w:style w:type="paragraph" w:customStyle="1" w:styleId="801">
    <w:name w:val="contentfont"/>
    <w:basedOn w:val="1"/>
    <w:qFormat/>
    <w:uiPriority w:val="99"/>
    <w:pPr>
      <w:spacing w:before="100" w:beforeAutospacing="1" w:after="100" w:afterAutospacing="1"/>
    </w:pPr>
  </w:style>
  <w:style w:type="character" w:customStyle="1" w:styleId="802">
    <w:name w:val="报告正文 Char Char Char"/>
    <w:qFormat/>
    <w:locked/>
    <w:uiPriority w:val="99"/>
    <w:rPr>
      <w:sz w:val="28"/>
      <w:szCs w:val="28"/>
    </w:rPr>
  </w:style>
  <w:style w:type="paragraph" w:customStyle="1" w:styleId="803">
    <w:name w:val="正文3"/>
    <w:qFormat/>
    <w:uiPriority w:val="99"/>
    <w:pPr>
      <w:jc w:val="both"/>
    </w:pPr>
    <w:rPr>
      <w:rFonts w:ascii="Calibri" w:hAnsi="Calibri" w:eastAsia="宋体" w:cs="Calibri"/>
      <w:kern w:val="2"/>
      <w:sz w:val="21"/>
      <w:szCs w:val="21"/>
      <w:lang w:val="en-US" w:eastAsia="zh-CN" w:bidi="ar-SA"/>
    </w:rPr>
  </w:style>
  <w:style w:type="paragraph" w:customStyle="1" w:styleId="804">
    <w:name w:val="W样式6 二级标题"/>
    <w:basedOn w:val="3"/>
    <w:link w:val="805"/>
    <w:qFormat/>
    <w:uiPriority w:val="99"/>
  </w:style>
  <w:style w:type="character" w:customStyle="1" w:styleId="805">
    <w:name w:val="W样式6 二级标题 字符"/>
    <w:basedOn w:val="81"/>
    <w:link w:val="804"/>
    <w:qFormat/>
    <w:uiPriority w:val="99"/>
    <w:rPr>
      <w:rFonts w:ascii="宋体" w:hAnsi="宋体" w:eastAsia="黑体" w:cs="宋体"/>
      <w:sz w:val="30"/>
      <w:szCs w:val="30"/>
    </w:rPr>
  </w:style>
  <w:style w:type="character" w:customStyle="1" w:styleId="806">
    <w:name w:val="ql-font-arial"/>
    <w:basedOn w:val="67"/>
    <w:qFormat/>
    <w:uiPriority w:val="0"/>
  </w:style>
  <w:style w:type="character" w:customStyle="1" w:styleId="807">
    <w:name w:val="表格名称 Char"/>
    <w:basedOn w:val="67"/>
    <w:qFormat/>
    <w:uiPriority w:val="0"/>
    <w:rPr>
      <w:rFonts w:ascii="宋体" w:eastAsia="宋体"/>
      <w:kern w:val="2"/>
      <w:sz w:val="28"/>
      <w:szCs w:val="28"/>
      <w:lang w:val="en-US" w:eastAsia="zh-CN" w:bidi="ar-SA"/>
    </w:rPr>
  </w:style>
  <w:style w:type="character" w:customStyle="1" w:styleId="808">
    <w:name w:val="样式 (符号) 宋体 小四 行距: 固定值 26 磅 Char Char Char Char"/>
    <w:basedOn w:val="67"/>
    <w:link w:val="809"/>
    <w:qFormat/>
    <w:uiPriority w:val="0"/>
    <w:rPr>
      <w:rFonts w:ascii="宋体" w:hAnsi="宋体"/>
      <w:color w:val="000000"/>
      <w:sz w:val="28"/>
      <w:szCs w:val="28"/>
    </w:rPr>
  </w:style>
  <w:style w:type="paragraph" w:customStyle="1" w:styleId="809">
    <w:name w:val="样式 (符号) 宋体 小四 行距: 固定值 26 磅 Char Char"/>
    <w:basedOn w:val="1"/>
    <w:link w:val="808"/>
    <w:qFormat/>
    <w:uiPriority w:val="0"/>
    <w:pPr>
      <w:spacing w:line="360" w:lineRule="auto"/>
      <w:ind w:firstLine="480" w:firstLineChars="200"/>
    </w:pPr>
    <w:rPr>
      <w:color w:val="000000"/>
      <w:sz w:val="28"/>
      <w:szCs w:val="28"/>
    </w:rPr>
  </w:style>
  <w:style w:type="paragraph" w:customStyle="1" w:styleId="810">
    <w:name w:val="标题41"/>
    <w:next w:val="1"/>
    <w:link w:val="811"/>
    <w:qFormat/>
    <w:uiPriority w:val="0"/>
    <w:pPr>
      <w:spacing w:line="500" w:lineRule="exact"/>
    </w:pPr>
    <w:rPr>
      <w:rFonts w:ascii="宋体" w:hAnsi="Times New Roman" w:eastAsia="宋体" w:cs="Times New Roman"/>
      <w:b/>
      <w:bCs/>
      <w:sz w:val="24"/>
      <w:szCs w:val="32"/>
      <w:lang w:val="en-US" w:eastAsia="zh-CN" w:bidi="ar-SA"/>
    </w:rPr>
  </w:style>
  <w:style w:type="character" w:customStyle="1" w:styleId="811">
    <w:name w:val="标题41 Char"/>
    <w:link w:val="810"/>
    <w:qFormat/>
    <w:uiPriority w:val="0"/>
    <w:rPr>
      <w:rFonts w:ascii="宋体" w:hAnsi="Times New Roman"/>
      <w:b/>
      <w:bCs/>
      <w:sz w:val="24"/>
      <w:szCs w:val="32"/>
    </w:rPr>
  </w:style>
  <w:style w:type="character" w:customStyle="1" w:styleId="812">
    <w:name w:val="Char Char191"/>
    <w:qFormat/>
    <w:uiPriority w:val="0"/>
    <w:rPr>
      <w:rFonts w:ascii="Arial" w:hAnsi="Arial" w:eastAsia="黑体"/>
      <w:bCs/>
      <w:kern w:val="2"/>
      <w:sz w:val="24"/>
      <w:szCs w:val="24"/>
      <w:lang w:val="en-US" w:eastAsia="zh-CN" w:bidi="ar-SA"/>
    </w:rPr>
  </w:style>
  <w:style w:type="paragraph" w:customStyle="1" w:styleId="813">
    <w:name w:val="小四号顶格"/>
    <w:basedOn w:val="1"/>
    <w:qFormat/>
    <w:uiPriority w:val="0"/>
    <w:pPr>
      <w:adjustRightInd w:val="0"/>
      <w:snapToGrid w:val="0"/>
      <w:spacing w:line="440" w:lineRule="atLeast"/>
      <w:ind w:firstLine="200" w:firstLineChars="200"/>
    </w:pPr>
    <w:rPr>
      <w:snapToGrid w:val="0"/>
      <w:spacing w:val="6"/>
    </w:rPr>
  </w:style>
  <w:style w:type="paragraph" w:customStyle="1" w:styleId="814">
    <w:name w:val="五级标题"/>
    <w:basedOn w:val="769"/>
    <w:link w:val="815"/>
    <w:qFormat/>
    <w:uiPriority w:val="99"/>
    <w:pPr>
      <w:overflowPunct w:val="0"/>
      <w:outlineLvl w:val="4"/>
    </w:pPr>
  </w:style>
  <w:style w:type="character" w:customStyle="1" w:styleId="815">
    <w:name w:val="五级标题 字符"/>
    <w:basedOn w:val="770"/>
    <w:link w:val="814"/>
    <w:qFormat/>
    <w:uiPriority w:val="99"/>
    <w:rPr>
      <w:rFonts w:ascii="黑体" w:hAnsi="黑体" w:eastAsia="黑体" w:cs="宋体"/>
      <w:sz w:val="24"/>
      <w:szCs w:val="24"/>
    </w:rPr>
  </w:style>
  <w:style w:type="character" w:customStyle="1" w:styleId="816">
    <w:name w:val="font171"/>
    <w:basedOn w:val="67"/>
    <w:qFormat/>
    <w:uiPriority w:val="0"/>
    <w:rPr>
      <w:rFonts w:hint="eastAsia" w:ascii="宋体" w:hAnsi="宋体" w:eastAsia="宋体" w:cs="宋体"/>
      <w:b/>
      <w:bCs/>
      <w:color w:val="000000"/>
      <w:sz w:val="22"/>
      <w:szCs w:val="22"/>
      <w:u w:val="none"/>
    </w:rPr>
  </w:style>
  <w:style w:type="character" w:customStyle="1" w:styleId="817">
    <w:name w:val="font121"/>
    <w:basedOn w:val="67"/>
    <w:qFormat/>
    <w:uiPriority w:val="0"/>
    <w:rPr>
      <w:rFonts w:hint="eastAsia" w:ascii="宋体" w:hAnsi="宋体" w:eastAsia="宋体" w:cs="宋体"/>
      <w:color w:val="000000"/>
      <w:sz w:val="20"/>
      <w:szCs w:val="20"/>
      <w:u w:val="none"/>
    </w:rPr>
  </w:style>
  <w:style w:type="character" w:customStyle="1" w:styleId="818">
    <w:name w:val="font212"/>
    <w:basedOn w:val="67"/>
    <w:qFormat/>
    <w:uiPriority w:val="0"/>
    <w:rPr>
      <w:rFonts w:hint="default" w:ascii="Times New Roman" w:hAnsi="Times New Roman" w:cs="Times New Roman"/>
      <w:color w:val="000000"/>
      <w:sz w:val="20"/>
      <w:szCs w:val="20"/>
      <w:u w:val="none"/>
      <w:vertAlign w:val="superscript"/>
    </w:rPr>
  </w:style>
  <w:style w:type="character" w:customStyle="1" w:styleId="819">
    <w:name w:val="font221"/>
    <w:basedOn w:val="67"/>
    <w:qFormat/>
    <w:uiPriority w:val="0"/>
    <w:rPr>
      <w:rFonts w:hint="eastAsia" w:ascii="宋体" w:hAnsi="宋体" w:eastAsia="宋体" w:cs="宋体"/>
      <w:b/>
      <w:bCs/>
      <w:color w:val="000000"/>
      <w:sz w:val="20"/>
      <w:szCs w:val="20"/>
      <w:u w:val="none"/>
    </w:rPr>
  </w:style>
  <w:style w:type="character" w:customStyle="1" w:styleId="820">
    <w:name w:val="font181"/>
    <w:basedOn w:val="67"/>
    <w:qFormat/>
    <w:uiPriority w:val="0"/>
    <w:rPr>
      <w:rFonts w:hint="eastAsia" w:ascii="宋体" w:hAnsi="宋体" w:eastAsia="宋体" w:cs="宋体"/>
      <w:color w:val="000000"/>
      <w:sz w:val="22"/>
      <w:szCs w:val="22"/>
      <w:u w:val="none"/>
    </w:rPr>
  </w:style>
  <w:style w:type="character" w:customStyle="1" w:styleId="821">
    <w:name w:val="font231"/>
    <w:basedOn w:val="67"/>
    <w:qFormat/>
    <w:uiPriority w:val="0"/>
    <w:rPr>
      <w:rFonts w:ascii="Calibri" w:hAnsi="Calibri" w:cs="Calibri"/>
      <w:color w:val="000000"/>
      <w:sz w:val="21"/>
      <w:szCs w:val="21"/>
      <w:u w:val="none"/>
    </w:rPr>
  </w:style>
  <w:style w:type="character" w:customStyle="1" w:styleId="822">
    <w:name w:val="Char Char15"/>
    <w:qFormat/>
    <w:uiPriority w:val="0"/>
    <w:rPr>
      <w:rFonts w:ascii="Arial" w:hAnsi="Arial" w:eastAsia="宋体"/>
      <w:kern w:val="2"/>
      <w:sz w:val="24"/>
      <w:szCs w:val="28"/>
      <w:lang w:val="en-US" w:eastAsia="zh-CN" w:bidi="ar-SA"/>
    </w:rPr>
  </w:style>
  <w:style w:type="character" w:customStyle="1" w:styleId="823">
    <w:name w:val="font112"/>
    <w:qFormat/>
    <w:uiPriority w:val="0"/>
    <w:rPr>
      <w:rFonts w:hint="eastAsia" w:ascii="宋体" w:hAnsi="宋体" w:eastAsia="宋体" w:cs="宋体"/>
      <w:b/>
      <w:bCs/>
      <w:color w:val="000000"/>
      <w:sz w:val="18"/>
      <w:szCs w:val="18"/>
      <w:u w:val="none"/>
    </w:rPr>
  </w:style>
  <w:style w:type="character" w:customStyle="1" w:styleId="824">
    <w:name w:val="font81"/>
    <w:qFormat/>
    <w:uiPriority w:val="0"/>
    <w:rPr>
      <w:rFonts w:hint="eastAsia" w:ascii="宋体" w:hAnsi="宋体" w:eastAsia="宋体" w:cs="宋体"/>
      <w:color w:val="000000"/>
      <w:sz w:val="18"/>
      <w:szCs w:val="18"/>
      <w:u w:val="none"/>
    </w:rPr>
  </w:style>
  <w:style w:type="character" w:customStyle="1" w:styleId="825">
    <w:name w:val="font101"/>
    <w:qFormat/>
    <w:uiPriority w:val="0"/>
    <w:rPr>
      <w:rFonts w:hint="default" w:ascii="Arial" w:hAnsi="Arial" w:cs="Arial"/>
      <w:color w:val="000000"/>
      <w:sz w:val="18"/>
      <w:szCs w:val="18"/>
      <w:u w:val="none"/>
    </w:rPr>
  </w:style>
  <w:style w:type="character" w:customStyle="1" w:styleId="826">
    <w:name w:val="font131"/>
    <w:qFormat/>
    <w:uiPriority w:val="0"/>
    <w:rPr>
      <w:rFonts w:hint="default" w:ascii="Arial" w:hAnsi="Arial" w:cs="Arial"/>
      <w:b/>
      <w:bCs/>
      <w:color w:val="000000"/>
      <w:sz w:val="18"/>
      <w:szCs w:val="18"/>
      <w:u w:val="none"/>
    </w:rPr>
  </w:style>
  <w:style w:type="character" w:customStyle="1" w:styleId="827">
    <w:name w:val="font71"/>
    <w:qFormat/>
    <w:uiPriority w:val="0"/>
    <w:rPr>
      <w:rFonts w:hint="default" w:ascii="Times New Roman" w:hAnsi="Times New Roman" w:cs="Times New Roman"/>
      <w:color w:val="000000"/>
      <w:sz w:val="22"/>
      <w:szCs w:val="22"/>
      <w:u w:val="none"/>
      <w:vertAlign w:val="superscript"/>
    </w:rPr>
  </w:style>
  <w:style w:type="character" w:customStyle="1" w:styleId="828">
    <w:name w:val="font111"/>
    <w:basedOn w:val="67"/>
    <w:qFormat/>
    <w:uiPriority w:val="0"/>
    <w:rPr>
      <w:rFonts w:hint="eastAsia" w:ascii="宋体" w:hAnsi="宋体" w:eastAsia="宋体" w:cs="宋体"/>
      <w:color w:val="auto"/>
      <w:sz w:val="22"/>
      <w:szCs w:val="22"/>
      <w:u w:val="none"/>
    </w:rPr>
  </w:style>
  <w:style w:type="character" w:customStyle="1" w:styleId="829">
    <w:name w:val="font161"/>
    <w:basedOn w:val="67"/>
    <w:qFormat/>
    <w:uiPriority w:val="0"/>
    <w:rPr>
      <w:rFonts w:hint="eastAsia" w:ascii="宋体" w:hAnsi="宋体" w:eastAsia="宋体" w:cs="宋体"/>
      <w:color w:val="auto"/>
      <w:sz w:val="22"/>
      <w:szCs w:val="22"/>
      <w:u w:val="none"/>
    </w:rPr>
  </w:style>
  <w:style w:type="character" w:customStyle="1" w:styleId="830">
    <w:name w:val="font141"/>
    <w:basedOn w:val="67"/>
    <w:qFormat/>
    <w:uiPriority w:val="0"/>
    <w:rPr>
      <w:rFonts w:hint="eastAsia" w:ascii="宋体" w:hAnsi="宋体" w:eastAsia="宋体" w:cs="宋体"/>
      <w:color w:val="auto"/>
      <w:sz w:val="22"/>
      <w:szCs w:val="22"/>
      <w:u w:val="none"/>
    </w:rPr>
  </w:style>
  <w:style w:type="character" w:customStyle="1" w:styleId="831">
    <w:name w:val="font151"/>
    <w:basedOn w:val="67"/>
    <w:qFormat/>
    <w:uiPriority w:val="0"/>
    <w:rPr>
      <w:rFonts w:hint="eastAsia" w:ascii="宋体" w:hAnsi="宋体" w:eastAsia="宋体" w:cs="宋体"/>
      <w:color w:val="000000"/>
      <w:sz w:val="22"/>
      <w:szCs w:val="22"/>
      <w:u w:val="none"/>
    </w:rPr>
  </w:style>
  <w:style w:type="paragraph" w:customStyle="1" w:styleId="832">
    <w:name w:val="A表格后空行"/>
    <w:basedOn w:val="1"/>
    <w:link w:val="833"/>
    <w:qFormat/>
    <w:uiPriority w:val="0"/>
    <w:pPr>
      <w:autoSpaceDE w:val="0"/>
      <w:autoSpaceDN w:val="0"/>
      <w:adjustRightInd w:val="0"/>
      <w:spacing w:line="240" w:lineRule="exact"/>
    </w:pPr>
    <w:rPr>
      <w:rFonts w:ascii="黑体" w:hAnsi="Calibri"/>
      <w:bCs/>
      <w:color w:val="000000"/>
      <w:szCs w:val="28"/>
      <w:lang w:val="zh-CN"/>
    </w:rPr>
  </w:style>
  <w:style w:type="character" w:customStyle="1" w:styleId="833">
    <w:name w:val="A表格后空行 Char"/>
    <w:link w:val="832"/>
    <w:qFormat/>
    <w:uiPriority w:val="0"/>
    <w:rPr>
      <w:rFonts w:ascii="黑体"/>
      <w:bCs/>
      <w:color w:val="000000"/>
      <w:kern w:val="2"/>
      <w:sz w:val="21"/>
      <w:szCs w:val="28"/>
      <w:lang w:val="zh-CN"/>
    </w:rPr>
  </w:style>
  <w:style w:type="character" w:customStyle="1" w:styleId="834">
    <w:name w:val="称呼 字符"/>
    <w:basedOn w:val="67"/>
    <w:link w:val="22"/>
    <w:qFormat/>
    <w:uiPriority w:val="0"/>
    <w:rPr>
      <w:rFonts w:ascii="宋体" w:hAnsi="Times New Roman"/>
      <w:kern w:val="2"/>
      <w:sz w:val="24"/>
    </w:rPr>
  </w:style>
  <w:style w:type="paragraph" w:customStyle="1" w:styleId="835">
    <w:name w:val="B41.1.1.1"/>
    <w:basedOn w:val="5"/>
    <w:link w:val="836"/>
    <w:qFormat/>
    <w:uiPriority w:val="0"/>
    <w:pPr>
      <w:overflowPunct w:val="0"/>
      <w:autoSpaceDE w:val="0"/>
      <w:autoSpaceDN w:val="0"/>
      <w:adjustRightInd w:val="0"/>
      <w:spacing w:before="0" w:after="0" w:line="360" w:lineRule="auto"/>
      <w:textAlignment w:val="baseline"/>
    </w:pPr>
    <w:rPr>
      <w:rFonts w:ascii="Times New Roman" w:hAnsi="Times New Roman"/>
      <w:bCs w:val="0"/>
      <w:spacing w:val="10"/>
      <w:sz w:val="24"/>
      <w:szCs w:val="24"/>
    </w:rPr>
  </w:style>
  <w:style w:type="character" w:customStyle="1" w:styleId="836">
    <w:name w:val="B41.1.1.1 字符"/>
    <w:basedOn w:val="67"/>
    <w:link w:val="835"/>
    <w:qFormat/>
    <w:uiPriority w:val="0"/>
    <w:rPr>
      <w:rFonts w:ascii="Times New Roman" w:hAnsi="Times New Roman"/>
      <w:b/>
      <w:spacing w:val="10"/>
      <w:sz w:val="24"/>
      <w:szCs w:val="24"/>
    </w:rPr>
  </w:style>
  <w:style w:type="paragraph" w:customStyle="1" w:styleId="837">
    <w:name w:val="a6"/>
    <w:qFormat/>
    <w:uiPriority w:val="99"/>
    <w:pPr>
      <w:spacing w:line="280" w:lineRule="atLeast"/>
      <w:ind w:firstLine="360"/>
      <w:jc w:val="center"/>
    </w:pPr>
    <w:rPr>
      <w:rFonts w:ascii="Times New Roman" w:hAnsi="Times New Roman" w:eastAsia="宋体" w:cs="Times New Roman"/>
      <w:color w:val="000000"/>
      <w:sz w:val="18"/>
      <w:szCs w:val="18"/>
      <w:lang w:val="en-US" w:eastAsia="zh-CN" w:bidi="ar-SA"/>
    </w:rPr>
  </w:style>
  <w:style w:type="paragraph" w:customStyle="1" w:styleId="838">
    <w:name w:val="CM9"/>
    <w:basedOn w:val="146"/>
    <w:next w:val="146"/>
    <w:qFormat/>
    <w:uiPriority w:val="99"/>
    <w:pPr>
      <w:spacing w:after="703"/>
    </w:pPr>
    <w:rPr>
      <w:rFonts w:ascii="Times New Roman"/>
      <w:color w:val="auto"/>
    </w:rPr>
  </w:style>
  <w:style w:type="character" w:customStyle="1" w:styleId="839">
    <w:name w:val="书籍标题1"/>
    <w:basedOn w:val="67"/>
    <w:qFormat/>
    <w:uiPriority w:val="33"/>
    <w:rPr>
      <w:b/>
      <w:bCs/>
      <w:i/>
      <w:iCs/>
      <w:spacing w:val="5"/>
    </w:rPr>
  </w:style>
  <w:style w:type="paragraph" w:customStyle="1" w:styleId="840">
    <w:name w:val="Char Char Char Char Char Char Char Char Char"/>
    <w:basedOn w:val="1"/>
    <w:qFormat/>
    <w:uiPriority w:val="99"/>
  </w:style>
  <w:style w:type="paragraph" w:customStyle="1" w:styleId="841">
    <w:name w:val="p17"/>
    <w:basedOn w:val="1"/>
    <w:qFormat/>
    <w:uiPriority w:val="99"/>
    <w:rPr>
      <w:b/>
      <w:bCs/>
      <w:position w:val="-6"/>
      <w:szCs w:val="21"/>
    </w:rPr>
  </w:style>
  <w:style w:type="character" w:customStyle="1" w:styleId="842">
    <w:name w:val="标题 2 字符1"/>
    <w:basedOn w:val="67"/>
    <w:semiHidden/>
    <w:qFormat/>
    <w:uiPriority w:val="9"/>
    <w:rPr>
      <w:rFonts w:asciiTheme="majorHAnsi" w:hAnsiTheme="majorHAnsi" w:eastAsiaTheme="majorEastAsia" w:cstheme="majorBidi"/>
      <w:color w:val="2F5597" w:themeColor="accent1" w:themeShade="BF"/>
      <w:kern w:val="2"/>
      <w:sz w:val="40"/>
      <w:szCs w:val="40"/>
    </w:rPr>
  </w:style>
  <w:style w:type="character" w:customStyle="1" w:styleId="843">
    <w:name w:val="页眉 字符1"/>
    <w:basedOn w:val="67"/>
    <w:semiHidden/>
    <w:qFormat/>
    <w:uiPriority w:val="0"/>
    <w:rPr>
      <w:rFonts w:ascii="Times New Roman" w:hAnsi="Times New Roman"/>
      <w:kern w:val="2"/>
      <w:sz w:val="18"/>
      <w:szCs w:val="18"/>
    </w:rPr>
  </w:style>
  <w:style w:type="character" w:customStyle="1" w:styleId="844">
    <w:name w:val="正文文本缩进 字符1"/>
    <w:basedOn w:val="67"/>
    <w:semiHidden/>
    <w:qFormat/>
    <w:uiPriority w:val="0"/>
    <w:rPr>
      <w:rFonts w:ascii="Times New Roman" w:hAnsi="Times New Roman"/>
      <w:kern w:val="2"/>
      <w:sz w:val="21"/>
    </w:rPr>
  </w:style>
  <w:style w:type="character" w:customStyle="1" w:styleId="845">
    <w:name w:val="正文文本 字符1"/>
    <w:basedOn w:val="67"/>
    <w:semiHidden/>
    <w:qFormat/>
    <w:uiPriority w:val="0"/>
    <w:rPr>
      <w:rFonts w:ascii="Times New Roman" w:hAnsi="Times New Roman"/>
      <w:kern w:val="2"/>
      <w:sz w:val="21"/>
    </w:rPr>
  </w:style>
  <w:style w:type="character" w:customStyle="1" w:styleId="846">
    <w:name w:val="正文文本缩进 2 字符1"/>
    <w:basedOn w:val="67"/>
    <w:semiHidden/>
    <w:qFormat/>
    <w:uiPriority w:val="0"/>
    <w:rPr>
      <w:rFonts w:ascii="Times New Roman" w:hAnsi="Times New Roman"/>
      <w:kern w:val="2"/>
      <w:sz w:val="21"/>
    </w:rPr>
  </w:style>
  <w:style w:type="character" w:customStyle="1" w:styleId="847">
    <w:name w:val="正文文本首行缩进 2 字符1"/>
    <w:basedOn w:val="844"/>
    <w:semiHidden/>
    <w:qFormat/>
    <w:uiPriority w:val="0"/>
    <w:rPr>
      <w:rFonts w:ascii="Times New Roman" w:hAnsi="Times New Roman"/>
      <w:kern w:val="2"/>
      <w:sz w:val="21"/>
    </w:rPr>
  </w:style>
  <w:style w:type="character" w:customStyle="1" w:styleId="848">
    <w:name w:val="正文文本首行缩进 字符1"/>
    <w:basedOn w:val="845"/>
    <w:semiHidden/>
    <w:qFormat/>
    <w:uiPriority w:val="0"/>
    <w:rPr>
      <w:rFonts w:ascii="Times New Roman" w:hAnsi="Times New Roman"/>
      <w:kern w:val="2"/>
      <w:sz w:val="21"/>
    </w:rPr>
  </w:style>
  <w:style w:type="character" w:customStyle="1" w:styleId="849">
    <w:name w:val="正文文本 2 字符1"/>
    <w:basedOn w:val="67"/>
    <w:semiHidden/>
    <w:qFormat/>
    <w:uiPriority w:val="0"/>
    <w:rPr>
      <w:rFonts w:ascii="Times New Roman" w:hAnsi="Times New Roman"/>
      <w:kern w:val="2"/>
      <w:sz w:val="21"/>
    </w:rPr>
  </w:style>
  <w:style w:type="paragraph" w:customStyle="1" w:styleId="850">
    <w:name w:val="xl63"/>
    <w:basedOn w:val="1"/>
    <w:qFormat/>
    <w:uiPriority w:val="99"/>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51">
    <w:name w:val="xl64"/>
    <w:basedOn w:val="1"/>
    <w:qFormat/>
    <w:uiPriority w:val="0"/>
    <w:pPr>
      <w:pBdr>
        <w:top w:val="single" w:color="auto" w:sz="4" w:space="0"/>
        <w:left w:val="single" w:color="auto" w:sz="4" w:space="0"/>
        <w:bottom w:val="single" w:color="auto" w:sz="4" w:space="0"/>
        <w:right w:val="single" w:color="auto" w:sz="4" w:space="0"/>
      </w:pBdr>
      <w:shd w:val="clear" w:color="auto" w:fill="FFEB9C"/>
      <w:spacing w:before="100" w:beforeAutospacing="1" w:after="100" w:afterAutospacing="1"/>
    </w:pPr>
    <w:rPr>
      <w:color w:val="9C5700"/>
    </w:rPr>
  </w:style>
  <w:style w:type="character" w:customStyle="1" w:styleId="852">
    <w:name w:val="标题 7 字符1"/>
    <w:basedOn w:val="67"/>
    <w:semiHidden/>
    <w:qFormat/>
    <w:uiPriority w:val="0"/>
    <w:rPr>
      <w:rFonts w:asciiTheme="minorHAnsi" w:hAnsiTheme="minorHAnsi" w:eastAsiaTheme="minorEastAsia" w:cstheme="majorBidi"/>
      <w:b/>
      <w:bCs/>
      <w:color w:val="595959" w:themeColor="text1" w:themeTint="A6"/>
      <w:kern w:val="2"/>
      <w:sz w:val="21"/>
      <w14:textFill>
        <w14:solidFill>
          <w14:schemeClr w14:val="tx1">
            <w14:lumMod w14:val="65000"/>
            <w14:lumOff w14:val="35000"/>
          </w14:schemeClr>
        </w14:solidFill>
      </w14:textFill>
    </w:rPr>
  </w:style>
  <w:style w:type="character" w:customStyle="1" w:styleId="853">
    <w:name w:val="标题 8 字符1"/>
    <w:basedOn w:val="67"/>
    <w:semiHidden/>
    <w:qFormat/>
    <w:uiPriority w:val="0"/>
    <w:rPr>
      <w:rFonts w:asciiTheme="minorHAnsi" w:hAnsiTheme="minorHAnsi" w:eastAsiaTheme="minorEastAsia" w:cstheme="majorBidi"/>
      <w:color w:val="595959" w:themeColor="text1" w:themeTint="A6"/>
      <w:kern w:val="2"/>
      <w:sz w:val="21"/>
      <w14:textFill>
        <w14:solidFill>
          <w14:schemeClr w14:val="tx1">
            <w14:lumMod w14:val="65000"/>
            <w14:lumOff w14:val="35000"/>
          </w14:schemeClr>
        </w14:solidFill>
      </w14:textFill>
    </w:rPr>
  </w:style>
  <w:style w:type="character" w:customStyle="1" w:styleId="854">
    <w:name w:val="标题 9 字符1"/>
    <w:basedOn w:val="67"/>
    <w:semiHidden/>
    <w:qFormat/>
    <w:uiPriority w:val="0"/>
    <w:rPr>
      <w:rFonts w:asciiTheme="minorHAnsi" w:hAnsiTheme="minorHAnsi" w:eastAsiaTheme="majorEastAsia" w:cstheme="majorBidi"/>
      <w:color w:val="595959" w:themeColor="text1" w:themeTint="A6"/>
      <w:kern w:val="2"/>
      <w:sz w:val="21"/>
      <w14:textFill>
        <w14:solidFill>
          <w14:schemeClr w14:val="tx1">
            <w14:lumMod w14:val="65000"/>
            <w14:lumOff w14:val="35000"/>
          </w14:schemeClr>
        </w14:solidFill>
      </w14:textFill>
    </w:rPr>
  </w:style>
  <w:style w:type="character" w:customStyle="1" w:styleId="855">
    <w:name w:val="批注框文本 字符1"/>
    <w:basedOn w:val="67"/>
    <w:semiHidden/>
    <w:qFormat/>
    <w:uiPriority w:val="0"/>
    <w:rPr>
      <w:rFonts w:ascii="Times New Roman" w:hAnsi="Times New Roman"/>
      <w:kern w:val="2"/>
      <w:sz w:val="18"/>
      <w:szCs w:val="18"/>
    </w:rPr>
  </w:style>
  <w:style w:type="character" w:customStyle="1" w:styleId="856">
    <w:name w:val="日期 字符1"/>
    <w:basedOn w:val="67"/>
    <w:semiHidden/>
    <w:qFormat/>
    <w:uiPriority w:val="0"/>
    <w:rPr>
      <w:rFonts w:ascii="Times New Roman" w:hAnsi="Times New Roman"/>
      <w:kern w:val="2"/>
      <w:sz w:val="21"/>
    </w:rPr>
  </w:style>
  <w:style w:type="character" w:customStyle="1" w:styleId="857">
    <w:name w:val="文档结构图 字符1"/>
    <w:basedOn w:val="67"/>
    <w:semiHidden/>
    <w:qFormat/>
    <w:uiPriority w:val="0"/>
    <w:rPr>
      <w:rFonts w:ascii="Microsoft YaHei UI" w:hAnsi="Times New Roman" w:eastAsia="Microsoft YaHei UI"/>
      <w:kern w:val="2"/>
      <w:sz w:val="18"/>
      <w:szCs w:val="18"/>
    </w:rPr>
  </w:style>
  <w:style w:type="character" w:customStyle="1" w:styleId="858">
    <w:name w:val="批注主题 字符1"/>
    <w:basedOn w:val="730"/>
    <w:semiHidden/>
    <w:qFormat/>
    <w:uiPriority w:val="99"/>
    <w:rPr>
      <w:rFonts w:ascii="Times New Roman" w:hAnsi="Times New Roman"/>
      <w:b/>
      <w:bCs/>
      <w:kern w:val="2"/>
      <w:sz w:val="21"/>
    </w:rPr>
  </w:style>
  <w:style w:type="character" w:customStyle="1" w:styleId="859">
    <w:name w:val="尾注文本 字符1"/>
    <w:basedOn w:val="67"/>
    <w:semiHidden/>
    <w:qFormat/>
    <w:uiPriority w:val="99"/>
    <w:rPr>
      <w:rFonts w:ascii="Times New Roman" w:hAnsi="Times New Roman"/>
      <w:kern w:val="2"/>
      <w:sz w:val="21"/>
    </w:rPr>
  </w:style>
  <w:style w:type="character" w:customStyle="1" w:styleId="860">
    <w:name w:val="正文文本缩进 3 字符1"/>
    <w:basedOn w:val="67"/>
    <w:semiHidden/>
    <w:qFormat/>
    <w:uiPriority w:val="0"/>
    <w:rPr>
      <w:rFonts w:ascii="Times New Roman" w:hAnsi="Times New Roman"/>
      <w:kern w:val="2"/>
      <w:sz w:val="16"/>
      <w:szCs w:val="16"/>
    </w:rPr>
  </w:style>
  <w:style w:type="character" w:customStyle="1" w:styleId="861">
    <w:name w:val="正文文本 3 字符1"/>
    <w:basedOn w:val="67"/>
    <w:semiHidden/>
    <w:qFormat/>
    <w:uiPriority w:val="0"/>
    <w:rPr>
      <w:rFonts w:ascii="Times New Roman" w:hAnsi="Times New Roman"/>
      <w:kern w:val="2"/>
      <w:sz w:val="16"/>
      <w:szCs w:val="16"/>
    </w:rPr>
  </w:style>
  <w:style w:type="character" w:customStyle="1" w:styleId="862">
    <w:name w:val="注释标题 字符1"/>
    <w:basedOn w:val="67"/>
    <w:semiHidden/>
    <w:qFormat/>
    <w:uiPriority w:val="0"/>
    <w:rPr>
      <w:rFonts w:ascii="Times New Roman" w:hAnsi="Times New Roman"/>
      <w:kern w:val="2"/>
      <w:sz w:val="21"/>
    </w:rPr>
  </w:style>
  <w:style w:type="character" w:customStyle="1" w:styleId="863">
    <w:name w:val="引用 字符1"/>
    <w:basedOn w:val="67"/>
    <w:qFormat/>
    <w:uiPriority w:val="29"/>
    <w:rPr>
      <w:rFonts w:ascii="Times New Roman" w:hAnsi="Times New Roman"/>
      <w:i/>
      <w:iCs/>
      <w:color w:val="404040" w:themeColor="text1" w:themeTint="BF"/>
      <w:kern w:val="2"/>
      <w:sz w:val="21"/>
      <w14:textFill>
        <w14:solidFill>
          <w14:schemeClr w14:val="tx1">
            <w14:lumMod w14:val="75000"/>
            <w14:lumOff w14:val="25000"/>
          </w14:schemeClr>
        </w14:solidFill>
      </w14:textFill>
    </w:rPr>
  </w:style>
  <w:style w:type="character" w:customStyle="1" w:styleId="864">
    <w:name w:val="称呼 字符1"/>
    <w:basedOn w:val="67"/>
    <w:semiHidden/>
    <w:qFormat/>
    <w:uiPriority w:val="0"/>
    <w:rPr>
      <w:rFonts w:ascii="Times New Roman" w:hAnsi="Times New Roman"/>
      <w:kern w:val="2"/>
      <w:sz w:val="21"/>
    </w:rPr>
  </w:style>
  <w:style w:type="paragraph" w:customStyle="1" w:styleId="865">
    <w:name w:val="2.2"/>
    <w:basedOn w:val="1"/>
    <w:qFormat/>
    <w:uiPriority w:val="99"/>
    <w:pPr>
      <w:tabs>
        <w:tab w:val="left" w:pos="709"/>
      </w:tabs>
      <w:adjustRightInd w:val="0"/>
      <w:spacing w:beforeLines="50" w:line="360" w:lineRule="auto"/>
      <w:ind w:left="709"/>
      <w:outlineLvl w:val="2"/>
    </w:pPr>
    <w:rPr>
      <w:b/>
    </w:rPr>
  </w:style>
  <w:style w:type="character" w:customStyle="1" w:styleId="866">
    <w:name w:val="标题 #4_"/>
    <w:basedOn w:val="67"/>
    <w:link w:val="867"/>
    <w:qFormat/>
    <w:uiPriority w:val="0"/>
    <w:rPr>
      <w:rFonts w:ascii="宋体" w:cs="宋体"/>
      <w:sz w:val="31"/>
      <w:szCs w:val="31"/>
      <w:shd w:val="clear" w:color="auto" w:fill="FFFFFF"/>
    </w:rPr>
  </w:style>
  <w:style w:type="paragraph" w:customStyle="1" w:styleId="867">
    <w:name w:val="标题 #4"/>
    <w:basedOn w:val="1"/>
    <w:link w:val="866"/>
    <w:qFormat/>
    <w:uiPriority w:val="0"/>
    <w:pPr>
      <w:shd w:val="clear" w:color="auto" w:fill="FFFFFF"/>
      <w:spacing w:before="660" w:line="869" w:lineRule="exact"/>
      <w:outlineLvl w:val="3"/>
    </w:pPr>
    <w:rPr>
      <w:rFonts w:hAnsi="Calibri"/>
      <w:sz w:val="31"/>
      <w:szCs w:val="31"/>
    </w:rPr>
  </w:style>
  <w:style w:type="paragraph" w:customStyle="1" w:styleId="868">
    <w:name w:val="font19"/>
    <w:basedOn w:val="1"/>
    <w:qFormat/>
    <w:uiPriority w:val="99"/>
    <w:pPr>
      <w:spacing w:before="100" w:beforeAutospacing="1" w:after="100" w:afterAutospacing="1"/>
    </w:pPr>
    <w:rPr>
      <w:rFonts w:ascii="等线" w:hAnsi="等线" w:eastAsia="等线"/>
      <w:color w:val="FF0000"/>
      <w:sz w:val="18"/>
      <w:szCs w:val="18"/>
    </w:rPr>
  </w:style>
  <w:style w:type="paragraph" w:customStyle="1" w:styleId="869">
    <w:name w:val="WW样式5"/>
    <w:basedOn w:val="814"/>
    <w:link w:val="870"/>
    <w:qFormat/>
    <w:uiPriority w:val="99"/>
  </w:style>
  <w:style w:type="character" w:customStyle="1" w:styleId="870">
    <w:name w:val="WW样式5 字符"/>
    <w:basedOn w:val="815"/>
    <w:link w:val="869"/>
    <w:qFormat/>
    <w:uiPriority w:val="99"/>
    <w:rPr>
      <w:rFonts w:ascii="黑体" w:hAnsi="黑体" w:eastAsia="黑体" w:cs="宋体"/>
      <w:sz w:val="24"/>
      <w:szCs w:val="24"/>
    </w:rPr>
  </w:style>
  <w:style w:type="paragraph" w:customStyle="1" w:styleId="871">
    <w:name w:val="font2"/>
    <w:basedOn w:val="1"/>
    <w:qFormat/>
    <w:uiPriority w:val="0"/>
    <w:pPr>
      <w:spacing w:before="100" w:beforeAutospacing="1" w:after="100" w:afterAutospacing="1"/>
    </w:pPr>
    <w:rPr>
      <w:color w:val="000000"/>
      <w:sz w:val="20"/>
    </w:rPr>
  </w:style>
  <w:style w:type="paragraph" w:customStyle="1" w:styleId="872">
    <w:name w:val="font3"/>
    <w:basedOn w:val="1"/>
    <w:qFormat/>
    <w:uiPriority w:val="0"/>
    <w:pPr>
      <w:spacing w:before="100" w:beforeAutospacing="1" w:after="100" w:afterAutospacing="1"/>
    </w:pPr>
    <w:rPr>
      <w:color w:val="9C0006"/>
      <w:sz w:val="22"/>
      <w:szCs w:val="22"/>
    </w:rPr>
  </w:style>
  <w:style w:type="paragraph" w:customStyle="1" w:styleId="873">
    <w:name w:val="font4"/>
    <w:basedOn w:val="1"/>
    <w:qFormat/>
    <w:uiPriority w:val="0"/>
    <w:pPr>
      <w:spacing w:before="100" w:beforeAutospacing="1" w:after="100" w:afterAutospacing="1"/>
    </w:pPr>
    <w:rPr>
      <w:color w:val="000000"/>
      <w:sz w:val="22"/>
      <w:szCs w:val="22"/>
      <w:vertAlign w:val="superscript"/>
    </w:rPr>
  </w:style>
  <w:style w:type="paragraph" w:customStyle="1" w:styleId="874">
    <w:name w:val="et3"/>
    <w:basedOn w:val="1"/>
    <w:qFormat/>
    <w:uiPriority w:val="0"/>
    <w:pPr>
      <w:spacing w:before="100" w:beforeAutospacing="1" w:after="100" w:afterAutospacing="1"/>
    </w:pPr>
  </w:style>
  <w:style w:type="paragraph" w:customStyle="1" w:styleId="875">
    <w:name w:val="et4"/>
    <w:basedOn w:val="1"/>
    <w:qFormat/>
    <w:uiPriority w:val="0"/>
    <w:pPr>
      <w:spacing w:before="100" w:beforeAutospacing="1" w:after="100" w:afterAutospacing="1"/>
    </w:pPr>
  </w:style>
  <w:style w:type="paragraph" w:customStyle="1" w:styleId="876">
    <w:name w:val="et5"/>
    <w:basedOn w:val="1"/>
    <w:qFormat/>
    <w:uiPriority w:val="0"/>
    <w:pPr>
      <w:pBdr>
        <w:top w:val="single" w:color="000000" w:sz="4" w:space="0"/>
        <w:left w:val="single" w:color="000000" w:sz="4" w:space="0"/>
        <w:bottom w:val="single" w:color="000000" w:sz="4" w:space="0"/>
      </w:pBdr>
      <w:spacing w:before="100" w:beforeAutospacing="1" w:after="100" w:afterAutospacing="1"/>
    </w:pPr>
  </w:style>
  <w:style w:type="paragraph" w:customStyle="1" w:styleId="877">
    <w:name w:val="et6"/>
    <w:basedOn w:val="1"/>
    <w:qFormat/>
    <w:uiPriority w:val="0"/>
    <w:pPr>
      <w:pBdr>
        <w:top w:val="single" w:color="000000" w:sz="4" w:space="0"/>
        <w:bottom w:val="single" w:color="000000" w:sz="4" w:space="0"/>
      </w:pBdr>
      <w:spacing w:before="100" w:beforeAutospacing="1" w:after="100" w:afterAutospacing="1"/>
    </w:pPr>
  </w:style>
  <w:style w:type="paragraph" w:customStyle="1" w:styleId="878">
    <w:name w:val="et7"/>
    <w:basedOn w:val="1"/>
    <w:qFormat/>
    <w:uiPriority w:val="0"/>
    <w:pPr>
      <w:pBdr>
        <w:top w:val="single" w:color="000000" w:sz="4" w:space="0"/>
        <w:left w:val="single" w:color="000000" w:sz="4" w:space="0"/>
        <w:bottom w:val="single" w:color="000000" w:sz="4" w:space="0"/>
      </w:pBdr>
      <w:spacing w:before="100" w:beforeAutospacing="1" w:after="100" w:afterAutospacing="1"/>
    </w:pPr>
  </w:style>
  <w:style w:type="paragraph" w:customStyle="1" w:styleId="879">
    <w:name w:val="et8"/>
    <w:basedOn w:val="1"/>
    <w:qFormat/>
    <w:uiPriority w:val="0"/>
    <w:pPr>
      <w:pBdr>
        <w:top w:val="single" w:color="000000" w:sz="4" w:space="0"/>
        <w:bottom w:val="single" w:color="000000" w:sz="4" w:space="0"/>
      </w:pBdr>
      <w:spacing w:before="100" w:beforeAutospacing="1" w:after="100" w:afterAutospacing="1"/>
    </w:pPr>
  </w:style>
  <w:style w:type="paragraph" w:customStyle="1" w:styleId="880">
    <w:name w:val="et9"/>
    <w:basedOn w:val="1"/>
    <w:qFormat/>
    <w:uiPriority w:val="0"/>
    <w:pPr>
      <w:pBdr>
        <w:top w:val="single" w:color="000000" w:sz="4" w:space="0"/>
        <w:left w:val="single" w:color="000000" w:sz="4" w:space="0"/>
        <w:bottom w:val="single" w:color="000000" w:sz="4" w:space="0"/>
      </w:pBdr>
      <w:spacing w:before="100" w:beforeAutospacing="1" w:after="100" w:afterAutospacing="1"/>
    </w:pPr>
  </w:style>
  <w:style w:type="paragraph" w:customStyle="1" w:styleId="881">
    <w:name w:val="et10"/>
    <w:basedOn w:val="1"/>
    <w:qFormat/>
    <w:uiPriority w:val="0"/>
    <w:pPr>
      <w:pBdr>
        <w:top w:val="single" w:color="000000" w:sz="4" w:space="0"/>
        <w:bottom w:val="single" w:color="000000" w:sz="4" w:space="0"/>
      </w:pBdr>
      <w:spacing w:before="100" w:beforeAutospacing="1" w:after="100" w:afterAutospacing="1"/>
    </w:pPr>
  </w:style>
  <w:style w:type="paragraph" w:customStyle="1" w:styleId="882">
    <w:name w:val="et11"/>
    <w:basedOn w:val="1"/>
    <w:qFormat/>
    <w:uiPriority w:val="0"/>
    <w:pPr>
      <w:pBdr>
        <w:top w:val="single" w:color="000000" w:sz="4" w:space="0"/>
        <w:left w:val="single" w:color="000000" w:sz="4" w:space="0"/>
        <w:bottom w:val="single" w:color="000000" w:sz="4" w:space="0"/>
      </w:pBdr>
      <w:spacing w:before="100" w:beforeAutospacing="1" w:after="100" w:afterAutospacing="1"/>
    </w:pPr>
  </w:style>
  <w:style w:type="paragraph" w:customStyle="1" w:styleId="883">
    <w:name w:val="et12"/>
    <w:basedOn w:val="1"/>
    <w:qFormat/>
    <w:uiPriority w:val="0"/>
    <w:pPr>
      <w:pBdr>
        <w:top w:val="single" w:color="000000" w:sz="4" w:space="0"/>
        <w:left w:val="single" w:color="000000" w:sz="4" w:space="0"/>
        <w:bottom w:val="single" w:color="000000" w:sz="4" w:space="0"/>
      </w:pBdr>
      <w:spacing w:before="100" w:beforeAutospacing="1" w:after="100" w:afterAutospacing="1"/>
    </w:pPr>
    <w:rPr>
      <w:sz w:val="20"/>
    </w:rPr>
  </w:style>
  <w:style w:type="paragraph" w:customStyle="1" w:styleId="884">
    <w:name w:val="et13"/>
    <w:basedOn w:val="1"/>
    <w:qFormat/>
    <w:uiPriority w:val="0"/>
    <w:pPr>
      <w:pBdr>
        <w:top w:val="single" w:color="000000" w:sz="4" w:space="0"/>
        <w:bottom w:val="single" w:color="000000" w:sz="4" w:space="0"/>
      </w:pBdr>
      <w:spacing w:before="100" w:beforeAutospacing="1" w:after="100" w:afterAutospacing="1"/>
    </w:pPr>
    <w:rPr>
      <w:sz w:val="20"/>
    </w:rPr>
  </w:style>
  <w:style w:type="paragraph" w:customStyle="1" w:styleId="885">
    <w:name w:val="et14"/>
    <w:basedOn w:val="1"/>
    <w:qFormat/>
    <w:uiPriority w:val="0"/>
    <w:pPr>
      <w:pBdr>
        <w:top w:val="single" w:color="000000" w:sz="4" w:space="0"/>
        <w:left w:val="single" w:color="000000" w:sz="4" w:space="0"/>
        <w:bottom w:val="single" w:color="000000" w:sz="4" w:space="0"/>
      </w:pBdr>
      <w:spacing w:before="100" w:beforeAutospacing="1" w:after="100" w:afterAutospacing="1"/>
    </w:pPr>
  </w:style>
  <w:style w:type="paragraph" w:customStyle="1" w:styleId="886">
    <w:name w:val="et15"/>
    <w:basedOn w:val="1"/>
    <w:qFormat/>
    <w:uiPriority w:val="0"/>
    <w:pPr>
      <w:pBdr>
        <w:top w:val="single" w:color="000000" w:sz="4" w:space="0"/>
        <w:bottom w:val="single" w:color="000000" w:sz="4" w:space="0"/>
      </w:pBdr>
      <w:spacing w:before="100" w:beforeAutospacing="1" w:after="100" w:afterAutospacing="1"/>
    </w:pPr>
  </w:style>
  <w:style w:type="paragraph" w:customStyle="1" w:styleId="887">
    <w:name w:val="et16"/>
    <w:basedOn w:val="1"/>
    <w:qFormat/>
    <w:uiPriority w:val="0"/>
    <w:pPr>
      <w:pBdr>
        <w:top w:val="single" w:color="000000" w:sz="4" w:space="0"/>
        <w:left w:val="single" w:color="000000" w:sz="4" w:space="0"/>
        <w:bottom w:val="single" w:color="000000" w:sz="4" w:space="0"/>
      </w:pBdr>
      <w:spacing w:before="100" w:beforeAutospacing="1" w:after="100" w:afterAutospacing="1"/>
    </w:pPr>
    <w:rPr>
      <w:sz w:val="20"/>
    </w:rPr>
  </w:style>
  <w:style w:type="paragraph" w:customStyle="1" w:styleId="888">
    <w:name w:val="et17"/>
    <w:basedOn w:val="1"/>
    <w:qFormat/>
    <w:uiPriority w:val="0"/>
    <w:pPr>
      <w:pBdr>
        <w:top w:val="single" w:color="000000" w:sz="4" w:space="0"/>
        <w:bottom w:val="single" w:color="000000" w:sz="4" w:space="0"/>
      </w:pBdr>
      <w:spacing w:before="100" w:beforeAutospacing="1" w:after="100" w:afterAutospacing="1"/>
    </w:pPr>
    <w:rPr>
      <w:sz w:val="20"/>
    </w:rPr>
  </w:style>
  <w:style w:type="paragraph" w:customStyle="1" w:styleId="889">
    <w:name w:val="et18"/>
    <w:basedOn w:val="1"/>
    <w:qFormat/>
    <w:uiPriority w:val="0"/>
    <w:pPr>
      <w:pBdr>
        <w:top w:val="single" w:color="000000" w:sz="4" w:space="0"/>
        <w:bottom w:val="single" w:color="000000" w:sz="4" w:space="0"/>
        <w:right w:val="single" w:color="000000" w:sz="4" w:space="0"/>
      </w:pBdr>
      <w:spacing w:before="100" w:beforeAutospacing="1" w:after="100" w:afterAutospacing="1"/>
    </w:pPr>
  </w:style>
  <w:style w:type="paragraph" w:customStyle="1" w:styleId="890">
    <w:name w:val="et19"/>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style>
  <w:style w:type="paragraph" w:customStyle="1" w:styleId="891">
    <w:name w:val="et20"/>
    <w:basedOn w:val="1"/>
    <w:qFormat/>
    <w:uiPriority w:val="0"/>
    <w:pPr>
      <w:pBdr>
        <w:top w:val="single" w:color="000000" w:sz="4" w:space="0"/>
        <w:bottom w:val="single" w:color="000000" w:sz="4" w:space="0"/>
        <w:right w:val="single" w:color="000000" w:sz="4" w:space="0"/>
      </w:pBdr>
      <w:spacing w:before="100" w:beforeAutospacing="1" w:after="100" w:afterAutospacing="1"/>
    </w:pPr>
  </w:style>
  <w:style w:type="paragraph" w:customStyle="1" w:styleId="892">
    <w:name w:val="et21"/>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style>
  <w:style w:type="paragraph" w:customStyle="1" w:styleId="893">
    <w:name w:val="et22"/>
    <w:basedOn w:val="1"/>
    <w:qFormat/>
    <w:uiPriority w:val="0"/>
    <w:pPr>
      <w:pBdr>
        <w:top w:val="single" w:color="000000" w:sz="4" w:space="0"/>
        <w:bottom w:val="single" w:color="000000" w:sz="4" w:space="0"/>
        <w:right w:val="single" w:color="000000" w:sz="4" w:space="0"/>
      </w:pBdr>
      <w:spacing w:before="100" w:beforeAutospacing="1" w:after="100" w:afterAutospacing="1"/>
    </w:pPr>
  </w:style>
  <w:style w:type="paragraph" w:customStyle="1" w:styleId="894">
    <w:name w:val="et23"/>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style>
  <w:style w:type="paragraph" w:customStyle="1" w:styleId="895">
    <w:name w:val="et24"/>
    <w:basedOn w:val="1"/>
    <w:qFormat/>
    <w:uiPriority w:val="0"/>
    <w:pPr>
      <w:pBdr>
        <w:top w:val="single" w:color="000000" w:sz="4" w:space="0"/>
        <w:bottom w:val="single" w:color="000000" w:sz="4" w:space="0"/>
        <w:right w:val="single" w:color="000000" w:sz="4" w:space="0"/>
      </w:pBdr>
      <w:spacing w:before="100" w:beforeAutospacing="1" w:after="100" w:afterAutospacing="1"/>
    </w:pPr>
    <w:rPr>
      <w:sz w:val="20"/>
    </w:rPr>
  </w:style>
  <w:style w:type="paragraph" w:customStyle="1" w:styleId="896">
    <w:name w:val="et25"/>
    <w:basedOn w:val="1"/>
    <w:qFormat/>
    <w:uiPriority w:val="0"/>
    <w:pPr>
      <w:pBdr>
        <w:top w:val="single" w:color="000000" w:sz="4" w:space="0"/>
        <w:bottom w:val="single" w:color="000000" w:sz="4" w:space="0"/>
        <w:right w:val="single" w:color="000000" w:sz="4" w:space="0"/>
      </w:pBdr>
      <w:spacing w:before="100" w:beforeAutospacing="1" w:after="100" w:afterAutospacing="1"/>
    </w:pPr>
  </w:style>
  <w:style w:type="paragraph" w:customStyle="1" w:styleId="897">
    <w:name w:val="et26"/>
    <w:basedOn w:val="1"/>
    <w:qFormat/>
    <w:uiPriority w:val="0"/>
    <w:pPr>
      <w:pBdr>
        <w:top w:val="single" w:color="000000" w:sz="4" w:space="0"/>
        <w:bottom w:val="single" w:color="000000" w:sz="4" w:space="0"/>
        <w:right w:val="single" w:color="000000" w:sz="4" w:space="0"/>
      </w:pBdr>
      <w:spacing w:before="100" w:beforeAutospacing="1" w:after="100" w:afterAutospacing="1"/>
    </w:pPr>
    <w:rPr>
      <w:sz w:val="20"/>
    </w:rPr>
  </w:style>
  <w:style w:type="paragraph" w:customStyle="1" w:styleId="898">
    <w:name w:val="et27"/>
    <w:basedOn w:val="1"/>
    <w:qFormat/>
    <w:uiPriority w:val="0"/>
    <w:pPr>
      <w:pBdr>
        <w:top w:val="single" w:color="000000" w:sz="4" w:space="0"/>
        <w:bottom w:val="single" w:color="000000" w:sz="4" w:space="0"/>
      </w:pBdr>
      <w:spacing w:before="100" w:beforeAutospacing="1" w:after="100" w:afterAutospacing="1"/>
      <w:jc w:val="center"/>
    </w:pPr>
  </w:style>
  <w:style w:type="paragraph" w:customStyle="1" w:styleId="899">
    <w:name w:val="et28"/>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style>
  <w:style w:type="paragraph" w:customStyle="1" w:styleId="900">
    <w:name w:val="et29"/>
    <w:basedOn w:val="1"/>
    <w:qFormat/>
    <w:uiPriority w:val="0"/>
    <w:pPr>
      <w:pBdr>
        <w:top w:val="single" w:color="000000" w:sz="4" w:space="0"/>
        <w:bottom w:val="single" w:color="000000" w:sz="4" w:space="0"/>
      </w:pBdr>
      <w:spacing w:before="100" w:beforeAutospacing="1" w:after="100" w:afterAutospacing="1"/>
      <w:jc w:val="center"/>
    </w:pPr>
  </w:style>
  <w:style w:type="paragraph" w:customStyle="1" w:styleId="901">
    <w:name w:val="et30"/>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style>
  <w:style w:type="paragraph" w:customStyle="1" w:styleId="902">
    <w:name w:val="et31"/>
    <w:basedOn w:val="1"/>
    <w:qFormat/>
    <w:uiPriority w:val="0"/>
    <w:pPr>
      <w:pBdr>
        <w:top w:val="single" w:color="000000" w:sz="4" w:space="0"/>
        <w:bottom w:val="single" w:color="000000" w:sz="4" w:space="0"/>
      </w:pBdr>
      <w:spacing w:before="100" w:beforeAutospacing="1" w:after="100" w:afterAutospacing="1"/>
      <w:jc w:val="center"/>
    </w:pPr>
  </w:style>
  <w:style w:type="paragraph" w:customStyle="1" w:styleId="903">
    <w:name w:val="et32"/>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style>
  <w:style w:type="table" w:customStyle="1" w:styleId="904">
    <w:name w:val="网格型112"/>
    <w:basedOn w:val="65"/>
    <w:qFormat/>
    <w:uiPriority w:val="0"/>
    <w:pPr>
      <w:widowControl w:val="0"/>
      <w:spacing w:line="360" w:lineRule="exact"/>
      <w:jc w:val="center"/>
    </w:pPr>
    <w:rPr>
      <w:rFonts w:ascii="宋体" w:cs="Calibri"/>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table" w:customStyle="1" w:styleId="905">
    <w:name w:val="Table Normal11"/>
    <w:qFormat/>
    <w:uiPriority w:val="2"/>
    <w:pPr>
      <w:widowControl w:val="0"/>
    </w:pPr>
    <w:rPr>
      <w:rFonts w:ascii="Marigold (PCL6)" w:hAnsi="Marigold (PCL6)" w:cs="Calibri"/>
      <w:sz w:val="22"/>
      <w:szCs w:val="22"/>
      <w:lang w:eastAsia="en-US"/>
    </w:rPr>
    <w:tblPr>
      <w:tblCellMar>
        <w:top w:w="0" w:type="dxa"/>
        <w:left w:w="0" w:type="dxa"/>
        <w:bottom w:w="0" w:type="dxa"/>
        <w:right w:w="0" w:type="dxa"/>
      </w:tblCellMar>
    </w:tblPr>
  </w:style>
  <w:style w:type="table" w:customStyle="1" w:styleId="906">
    <w:name w:val="简明型 341"/>
    <w:basedOn w:val="65"/>
    <w:semiHidden/>
    <w:qFormat/>
    <w:uiPriority w:val="0"/>
    <w:pPr>
      <w:widowControl w:val="0"/>
      <w:adjustRightInd w:val="0"/>
      <w:snapToGrid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07">
    <w:name w:val="Table Normal2"/>
    <w:semiHidden/>
    <w:qFormat/>
    <w:uiPriority w:val="0"/>
    <w:pPr>
      <w:snapToGrid w:val="0"/>
    </w:pPr>
    <w:rPr>
      <w:rFonts w:ascii="Arial" w:hAnsi="Arial" w:eastAsia="等线" w:cs="Arial"/>
      <w:color w:val="000000"/>
      <w:sz w:val="21"/>
      <w:szCs w:val="21"/>
    </w:rPr>
    <w:tblPr>
      <w:tblCellMar>
        <w:top w:w="0" w:type="dxa"/>
        <w:left w:w="0" w:type="dxa"/>
        <w:bottom w:w="0" w:type="dxa"/>
        <w:right w:w="0" w:type="dxa"/>
      </w:tblCellMar>
    </w:tblPr>
  </w:style>
  <w:style w:type="paragraph" w:customStyle="1" w:styleId="908">
    <w:name w:val="正文（首行缩进）"/>
    <w:basedOn w:val="1"/>
    <w:link w:val="909"/>
    <w:autoRedefine/>
    <w:qFormat/>
    <w:uiPriority w:val="0"/>
    <w:pPr>
      <w:spacing w:line="360" w:lineRule="auto"/>
      <w:ind w:firstLine="480" w:firstLineChars="200"/>
    </w:pPr>
    <w:rPr>
      <w:color w:val="000000"/>
    </w:rPr>
  </w:style>
  <w:style w:type="character" w:customStyle="1" w:styleId="909">
    <w:name w:val="正文（首行缩进） Char"/>
    <w:link w:val="908"/>
    <w:qFormat/>
    <w:uiPriority w:val="0"/>
    <w:rPr>
      <w:rFonts w:ascii="宋体" w:hAnsi="宋体"/>
      <w:color w:val="000000"/>
      <w:kern w:val="2"/>
      <w:sz w:val="24"/>
    </w:rPr>
  </w:style>
  <w:style w:type="paragraph" w:customStyle="1" w:styleId="91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11">
    <w:name w:val="！图名 字符"/>
    <w:link w:val="912"/>
    <w:qFormat/>
    <w:locked/>
    <w:uiPriority w:val="0"/>
    <w:rPr>
      <w:rFonts w:ascii="黑体" w:hAnsi="宋体" w:eastAsia="黑体" w:cs="宋体"/>
      <w:color w:val="000000"/>
      <w:sz w:val="24"/>
      <w:szCs w:val="24"/>
    </w:rPr>
  </w:style>
  <w:style w:type="paragraph" w:customStyle="1" w:styleId="912">
    <w:name w:val="！图名"/>
    <w:basedOn w:val="1"/>
    <w:link w:val="911"/>
    <w:qFormat/>
    <w:uiPriority w:val="0"/>
    <w:pPr>
      <w:adjustRightInd w:val="0"/>
      <w:snapToGrid w:val="0"/>
      <w:spacing w:line="360" w:lineRule="auto"/>
      <w:ind w:firstLine="200" w:firstLineChars="200"/>
      <w:jc w:val="center"/>
    </w:pPr>
    <w:rPr>
      <w:rFonts w:ascii="黑体" w:eastAsia="黑体"/>
      <w:color w:val="000000"/>
    </w:rPr>
  </w:style>
  <w:style w:type="paragraph" w:customStyle="1" w:styleId="913">
    <w:name w:val="！！表中文字"/>
    <w:next w:val="1"/>
    <w:link w:val="914"/>
    <w:qFormat/>
    <w:uiPriority w:val="0"/>
    <w:pPr>
      <w:jc w:val="center"/>
    </w:pPr>
    <w:rPr>
      <w:rFonts w:ascii="Times New Roman" w:hAnsi="Times New Roman" w:eastAsia="宋体" w:cstheme="minorBidi"/>
      <w:color w:val="000000"/>
      <w:kern w:val="2"/>
      <w:sz w:val="21"/>
      <w:szCs w:val="24"/>
      <w:lang w:val="en-US" w:eastAsia="zh-CN" w:bidi="ar-SA"/>
    </w:rPr>
  </w:style>
  <w:style w:type="character" w:customStyle="1" w:styleId="914">
    <w:name w:val="！！表中文字 字符"/>
    <w:basedOn w:val="67"/>
    <w:link w:val="913"/>
    <w:qFormat/>
    <w:uiPriority w:val="0"/>
    <w:rPr>
      <w:rFonts w:ascii="Times New Roman" w:hAnsi="Times New Roman" w:cstheme="minorBidi"/>
      <w:color w:val="000000"/>
      <w:kern w:val="2"/>
      <w:sz w:val="21"/>
      <w:szCs w:val="24"/>
    </w:rPr>
  </w:style>
  <w:style w:type="paragraph" w:customStyle="1" w:styleId="915">
    <w:name w:val="样式正文"/>
    <w:basedOn w:val="1"/>
    <w:qFormat/>
    <w:uiPriority w:val="0"/>
    <w:pPr>
      <w:spacing w:after="160" w:line="278" w:lineRule="auto"/>
      <w:ind w:firstLine="200" w:firstLineChars="200"/>
    </w:pPr>
    <w:rPr>
      <w:rFonts w:eastAsia="仿宋_GB2312"/>
      <w:sz w:val="30"/>
      <w:szCs w:val="22"/>
    </w:rPr>
  </w:style>
  <w:style w:type="character" w:customStyle="1" w:styleId="916">
    <w:name w:val="正文美丽杭州 Char"/>
    <w:link w:val="917"/>
    <w:qFormat/>
    <w:uiPriority w:val="0"/>
    <w:rPr>
      <w:rFonts w:ascii="Times New Roman" w:hAnsi="宋体"/>
      <w:sz w:val="28"/>
      <w:szCs w:val="28"/>
      <w:lang w:val="zh-CN"/>
    </w:rPr>
  </w:style>
  <w:style w:type="paragraph" w:customStyle="1" w:styleId="917">
    <w:name w:val="正文美丽杭州"/>
    <w:basedOn w:val="1"/>
    <w:link w:val="916"/>
    <w:qFormat/>
    <w:uiPriority w:val="0"/>
    <w:pPr>
      <w:spacing w:line="360" w:lineRule="auto"/>
      <w:ind w:firstLine="560" w:firstLineChars="200"/>
    </w:pPr>
    <w:rPr>
      <w:sz w:val="28"/>
      <w:szCs w:val="28"/>
      <w:lang w:val="zh-CN"/>
    </w:rPr>
  </w:style>
  <w:style w:type="paragraph" w:customStyle="1" w:styleId="918">
    <w:name w:val="任表格文字"/>
    <w:next w:val="1"/>
    <w:autoRedefine/>
    <w:qFormat/>
    <w:uiPriority w:val="0"/>
    <w:pPr>
      <w:tabs>
        <w:tab w:val="left" w:pos="1119"/>
      </w:tabs>
      <w:spacing w:line="360" w:lineRule="exact"/>
      <w:jc w:val="center"/>
    </w:pPr>
    <w:rPr>
      <w:rFonts w:ascii="Times New Roman" w:hAnsi="Times New Roman" w:eastAsia="宋体" w:cs="Times New Roman"/>
      <w:snapToGrid w:val="0"/>
      <w:color w:val="000000"/>
      <w:sz w:val="21"/>
      <w:szCs w:val="18"/>
      <w:lang w:val="en-US" w:eastAsia="zh-CN" w:bidi="ar-SA"/>
    </w:rPr>
  </w:style>
  <w:style w:type="character" w:customStyle="1" w:styleId="919">
    <w:name w:val="Table Paragraph Char"/>
    <w:link w:val="283"/>
    <w:qFormat/>
    <w:uiPriority w:val="1"/>
    <w:rPr>
      <w:rFonts w:eastAsia="Calibri" w:cs="宋体"/>
      <w:sz w:val="22"/>
      <w:szCs w:val="22"/>
      <w:lang w:eastAsia="en-US"/>
    </w:rPr>
  </w:style>
  <w:style w:type="paragraph" w:customStyle="1" w:styleId="920">
    <w:name w:val="xl154"/>
    <w:basedOn w:val="1"/>
    <w:qFormat/>
    <w:uiPriority w:val="0"/>
    <w:pPr>
      <w:pBdr>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FF0000"/>
      <w:sz w:val="18"/>
      <w:szCs w:val="18"/>
    </w:rPr>
  </w:style>
  <w:style w:type="paragraph" w:customStyle="1" w:styleId="921">
    <w:name w:val="xl155"/>
    <w:basedOn w:val="1"/>
    <w:qFormat/>
    <w:uiPriority w:val="0"/>
    <w:pPr>
      <w:pBdr>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FF0000"/>
      <w:sz w:val="18"/>
      <w:szCs w:val="18"/>
    </w:rPr>
  </w:style>
  <w:style w:type="paragraph" w:customStyle="1" w:styleId="922">
    <w:name w:val="xl156"/>
    <w:basedOn w:val="1"/>
    <w:qFormat/>
    <w:uiPriority w:val="0"/>
    <w:pPr>
      <w:pBdr>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FF0000"/>
      <w:sz w:val="18"/>
      <w:szCs w:val="18"/>
    </w:rPr>
  </w:style>
  <w:style w:type="paragraph" w:customStyle="1" w:styleId="923">
    <w:name w:val="xl157"/>
    <w:basedOn w:val="1"/>
    <w:qFormat/>
    <w:uiPriority w:val="0"/>
    <w:pPr>
      <w:pBdr>
        <w:top w:val="single" w:color="auto" w:sz="8" w:space="0"/>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sz w:val="18"/>
      <w:szCs w:val="18"/>
    </w:rPr>
  </w:style>
  <w:style w:type="paragraph" w:customStyle="1" w:styleId="924">
    <w:name w:val="xl158"/>
    <w:basedOn w:val="1"/>
    <w:qFormat/>
    <w:uiPriority w:val="0"/>
    <w:pPr>
      <w:pBdr>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25">
    <w:name w:val="xl159"/>
    <w:basedOn w:val="1"/>
    <w:qFormat/>
    <w:uiPriority w:val="0"/>
    <w:pPr>
      <w:pBdr>
        <w:top w:val="single" w:color="auto" w:sz="8" w:space="0"/>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26">
    <w:name w:val="xl160"/>
    <w:basedOn w:val="1"/>
    <w:qFormat/>
    <w:uiPriority w:val="0"/>
    <w:pPr>
      <w:pBdr>
        <w:top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color w:val="FF0000"/>
      <w:sz w:val="18"/>
      <w:szCs w:val="18"/>
    </w:rPr>
  </w:style>
  <w:style w:type="paragraph" w:customStyle="1" w:styleId="927">
    <w:name w:val="xl161"/>
    <w:basedOn w:val="1"/>
    <w:qFormat/>
    <w:uiPriority w:val="0"/>
    <w:pPr>
      <w:pBdr>
        <w:bottom w:val="single" w:color="auto" w:sz="8" w:space="0"/>
        <w:right w:val="single" w:color="auto" w:sz="8" w:space="0"/>
      </w:pBdr>
      <w:shd w:val="clear" w:color="000000" w:fill="DDEBF7"/>
      <w:spacing w:before="100" w:beforeAutospacing="1" w:after="100" w:afterAutospacing="1"/>
      <w:jc w:val="center"/>
      <w:textAlignment w:val="center"/>
    </w:pPr>
    <w:rPr>
      <w:color w:val="FF0000"/>
      <w:sz w:val="18"/>
      <w:szCs w:val="18"/>
    </w:rPr>
  </w:style>
  <w:style w:type="paragraph" w:customStyle="1" w:styleId="928">
    <w:name w:val="xl162"/>
    <w:basedOn w:val="1"/>
    <w:qFormat/>
    <w:uiPriority w:val="0"/>
    <w:pPr>
      <w:pBdr>
        <w:top w:val="single" w:color="auto" w:sz="8" w:space="0"/>
        <w:lef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29">
    <w:name w:val="xl163"/>
    <w:basedOn w:val="1"/>
    <w:qFormat/>
    <w:uiPriority w:val="0"/>
    <w:pPr>
      <w:pBdr>
        <w:top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0">
    <w:name w:val="xl164"/>
    <w:basedOn w:val="1"/>
    <w:qFormat/>
    <w:uiPriority w:val="0"/>
    <w:pPr>
      <w:pBdr>
        <w:top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1">
    <w:name w:val="xl165"/>
    <w:basedOn w:val="1"/>
    <w:qFormat/>
    <w:uiPriority w:val="0"/>
    <w:pPr>
      <w:pBdr>
        <w:lef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2">
    <w:name w:val="xl166"/>
    <w:basedOn w:val="1"/>
    <w:qFormat/>
    <w:uiPriority w:val="0"/>
    <w:pP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3">
    <w:name w:val="xl167"/>
    <w:basedOn w:val="1"/>
    <w:qFormat/>
    <w:uiPriority w:val="0"/>
    <w:pPr>
      <w:pBdr>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4">
    <w:name w:val="xl168"/>
    <w:basedOn w:val="1"/>
    <w:qFormat/>
    <w:uiPriority w:val="0"/>
    <w:pPr>
      <w:pBdr>
        <w:left w:val="single" w:color="auto" w:sz="8" w:space="0"/>
        <w:bottom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5">
    <w:name w:val="xl169"/>
    <w:basedOn w:val="1"/>
    <w:qFormat/>
    <w:uiPriority w:val="0"/>
    <w:pPr>
      <w:pBdr>
        <w:bottom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36">
    <w:name w:val="xl170"/>
    <w:basedOn w:val="1"/>
    <w:qFormat/>
    <w:uiPriority w:val="0"/>
    <w:pPr>
      <w:pBdr>
        <w:top w:val="single" w:color="auto" w:sz="8" w:space="0"/>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37">
    <w:name w:val="xl171"/>
    <w:basedOn w:val="1"/>
    <w:qFormat/>
    <w:uiPriority w:val="0"/>
    <w:pPr>
      <w:pBdr>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38">
    <w:name w:val="xl172"/>
    <w:basedOn w:val="1"/>
    <w:qFormat/>
    <w:uiPriority w:val="0"/>
    <w:pPr>
      <w:pBdr>
        <w:top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sz w:val="18"/>
      <w:szCs w:val="18"/>
    </w:rPr>
  </w:style>
  <w:style w:type="paragraph" w:customStyle="1" w:styleId="939">
    <w:name w:val="xl173"/>
    <w:basedOn w:val="1"/>
    <w:qFormat/>
    <w:uiPriority w:val="0"/>
    <w:pPr>
      <w:pBdr>
        <w:top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40">
    <w:name w:val="xl174"/>
    <w:basedOn w:val="1"/>
    <w:qFormat/>
    <w:uiPriority w:val="0"/>
    <w:pPr>
      <w:pBdr>
        <w:top w:val="single" w:color="auto" w:sz="8" w:space="0"/>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41">
    <w:name w:val="xl175"/>
    <w:basedOn w:val="1"/>
    <w:qFormat/>
    <w:uiPriority w:val="0"/>
    <w:pPr>
      <w:pBdr>
        <w:top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42">
    <w:name w:val="xl176"/>
    <w:basedOn w:val="1"/>
    <w:qFormat/>
    <w:uiPriority w:val="0"/>
    <w:pPr>
      <w:pBdr>
        <w:top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43">
    <w:name w:val="xl177"/>
    <w:basedOn w:val="1"/>
    <w:qFormat/>
    <w:uiPriority w:val="0"/>
    <w:pPr>
      <w:pBdr>
        <w:top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44">
    <w:name w:val="xl178"/>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45">
    <w:name w:val="xl179"/>
    <w:basedOn w:val="1"/>
    <w:qFormat/>
    <w:uiPriority w:val="0"/>
    <w:pPr>
      <w:pBdr>
        <w:bottom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46">
    <w:name w:val="xl180"/>
    <w:basedOn w:val="1"/>
    <w:qFormat/>
    <w:uiPriority w:val="0"/>
    <w:pPr>
      <w:pBdr>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47">
    <w:name w:val="xl181"/>
    <w:basedOn w:val="1"/>
    <w:qFormat/>
    <w:uiPriority w:val="0"/>
    <w:pPr>
      <w:pBdr>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48">
    <w:name w:val="xl182"/>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49">
    <w:name w:val="xl183"/>
    <w:basedOn w:val="1"/>
    <w:qFormat/>
    <w:uiPriority w:val="0"/>
    <w:pPr>
      <w:pBdr>
        <w:right w:val="single" w:color="auto" w:sz="8" w:space="0"/>
      </w:pBdr>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50">
    <w:name w:val="Table Text"/>
    <w:basedOn w:val="1"/>
    <w:semiHidden/>
    <w:qFormat/>
    <w:uiPriority w:val="0"/>
    <w:pPr>
      <w:kinsoku w:val="0"/>
      <w:autoSpaceDE w:val="0"/>
      <w:autoSpaceDN w:val="0"/>
      <w:adjustRightInd w:val="0"/>
      <w:snapToGrid w:val="0"/>
      <w:spacing w:after="160"/>
      <w:textAlignment w:val="baseline"/>
    </w:pPr>
    <w:rPr>
      <w:rFonts w:ascii="Times New Roman" w:hAnsi="Times New Roman" w:eastAsia="Times New Roman" w:cs="Times New Roman"/>
      <w:snapToGrid w:val="0"/>
      <w:color w:val="000000"/>
      <w:sz w:val="21"/>
      <w:szCs w:val="21"/>
      <w:lang w:eastAsia="en-US"/>
    </w:rPr>
  </w:style>
  <w:style w:type="paragraph" w:customStyle="1" w:styleId="951">
    <w:name w:val="样式55"/>
    <w:basedOn w:val="814"/>
    <w:link w:val="952"/>
    <w:qFormat/>
    <w:uiPriority w:val="0"/>
    <w:rPr>
      <w:rFonts w:ascii="Times New Roman" w:hAnsi="Times New Roman"/>
      <w:kern w:val="2"/>
    </w:rPr>
  </w:style>
  <w:style w:type="character" w:customStyle="1" w:styleId="952">
    <w:name w:val="样式55 字符"/>
    <w:basedOn w:val="815"/>
    <w:link w:val="951"/>
    <w:qFormat/>
    <w:uiPriority w:val="0"/>
    <w:rPr>
      <w:rFonts w:ascii="Times New Roman" w:hAnsi="Times New Roman" w:eastAsia="黑体" w:cs="宋体"/>
      <w:kern w:val="2"/>
      <w:sz w:val="24"/>
      <w:szCs w:val="24"/>
    </w:rPr>
  </w:style>
  <w:style w:type="character" w:customStyle="1" w:styleId="953">
    <w:name w:val="副标题 字符"/>
    <w:basedOn w:val="67"/>
    <w:link w:val="4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954">
    <w:name w:val="明显强调1"/>
    <w:basedOn w:val="67"/>
    <w:qFormat/>
    <w:uiPriority w:val="21"/>
    <w:rPr>
      <w:i/>
      <w:iCs/>
      <w:color w:val="2F5597" w:themeColor="accent1" w:themeShade="BF"/>
    </w:rPr>
  </w:style>
  <w:style w:type="paragraph" w:styleId="955">
    <w:name w:val="Intense Quote"/>
    <w:basedOn w:val="1"/>
    <w:next w:val="1"/>
    <w:link w:val="95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956">
    <w:name w:val="明显引用 字符"/>
    <w:basedOn w:val="67"/>
    <w:link w:val="955"/>
    <w:qFormat/>
    <w:uiPriority w:val="30"/>
    <w:rPr>
      <w:rFonts w:ascii="宋体" w:hAnsi="宋体" w:cs="宋体"/>
      <w:i/>
      <w:iCs/>
      <w:color w:val="2F5597" w:themeColor="accent1" w:themeShade="BF"/>
      <w:sz w:val="24"/>
      <w:szCs w:val="24"/>
    </w:rPr>
  </w:style>
  <w:style w:type="character" w:customStyle="1" w:styleId="957">
    <w:name w:val="明显参考1"/>
    <w:basedOn w:val="67"/>
    <w:qFormat/>
    <w:uiPriority w:val="32"/>
    <w:rPr>
      <w:b/>
      <w:bCs/>
      <w:smallCaps/>
      <w:color w:val="2F5597" w:themeColor="accent1" w:themeShade="BF"/>
      <w:spacing w:val="5"/>
    </w:rPr>
  </w:style>
  <w:style w:type="paragraph" w:customStyle="1" w:styleId="958">
    <w:name w:val="xl184"/>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sz w:val="18"/>
      <w:szCs w:val="18"/>
    </w:rPr>
  </w:style>
  <w:style w:type="paragraph" w:customStyle="1" w:styleId="959">
    <w:name w:val="xl185"/>
    <w:basedOn w:val="1"/>
    <w:qFormat/>
    <w:uiPriority w:val="0"/>
    <w:pPr>
      <w:pBdr>
        <w:top w:val="single" w:color="auto" w:sz="8" w:space="0"/>
        <w:left w:val="single" w:color="auto" w:sz="8" w:space="0"/>
        <w:right w:val="single" w:color="auto" w:sz="8" w:space="0"/>
      </w:pBdr>
      <w:shd w:val="clear" w:color="000000" w:fill="FFC000"/>
      <w:spacing w:before="100" w:beforeAutospacing="1" w:after="100" w:afterAutospacing="1"/>
      <w:jc w:val="center"/>
      <w:textAlignment w:val="center"/>
    </w:pPr>
    <w:rPr>
      <w:color w:val="000000"/>
      <w:sz w:val="18"/>
      <w:szCs w:val="18"/>
    </w:rPr>
  </w:style>
  <w:style w:type="paragraph" w:customStyle="1" w:styleId="960">
    <w:name w:val="xl186"/>
    <w:basedOn w:val="1"/>
    <w:qFormat/>
    <w:uiPriority w:val="0"/>
    <w:pPr>
      <w:pBdr>
        <w:left w:val="single" w:color="auto" w:sz="8" w:space="0"/>
        <w:right w:val="single" w:color="auto" w:sz="8" w:space="0"/>
      </w:pBdr>
      <w:shd w:val="clear" w:color="000000" w:fill="FFC000"/>
      <w:spacing w:before="100" w:beforeAutospacing="1" w:after="100" w:afterAutospacing="1"/>
      <w:jc w:val="center"/>
      <w:textAlignment w:val="center"/>
    </w:pPr>
    <w:rPr>
      <w:color w:val="000000"/>
      <w:sz w:val="18"/>
      <w:szCs w:val="18"/>
    </w:rPr>
  </w:style>
  <w:style w:type="paragraph" w:customStyle="1" w:styleId="961">
    <w:name w:val="xl187"/>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color w:val="000000"/>
      <w:sz w:val="18"/>
      <w:szCs w:val="18"/>
    </w:rPr>
  </w:style>
  <w:style w:type="paragraph" w:customStyle="1" w:styleId="962">
    <w:name w:val="xl188"/>
    <w:basedOn w:val="1"/>
    <w:qFormat/>
    <w:uiPriority w:val="0"/>
    <w:pPr>
      <w:pBdr>
        <w:top w:val="single" w:color="auto" w:sz="8" w:space="0"/>
        <w:left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63">
    <w:name w:val="xl189"/>
    <w:basedOn w:val="1"/>
    <w:qFormat/>
    <w:uiPriority w:val="0"/>
    <w:pPr>
      <w:pBdr>
        <w:left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64">
    <w:name w:val="xl190"/>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sz w:val="18"/>
      <w:szCs w:val="18"/>
    </w:rPr>
  </w:style>
  <w:style w:type="paragraph" w:customStyle="1" w:styleId="965">
    <w:name w:val="xl191"/>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sz w:val="18"/>
      <w:szCs w:val="18"/>
    </w:rPr>
  </w:style>
  <w:style w:type="paragraph" w:customStyle="1" w:styleId="966">
    <w:name w:val="xl192"/>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sz w:val="18"/>
      <w:szCs w:val="18"/>
    </w:rPr>
  </w:style>
  <w:style w:type="paragraph" w:customStyle="1" w:styleId="967">
    <w:name w:val="xl193"/>
    <w:basedOn w:val="1"/>
    <w:qFormat/>
    <w:uiPriority w:val="0"/>
    <w:pPr>
      <w:pBdr>
        <w:left w:val="single" w:color="auto" w:sz="8" w:space="0"/>
        <w:right w:val="single" w:color="auto" w:sz="8" w:space="0"/>
      </w:pBdr>
      <w:spacing w:before="100" w:beforeAutospacing="1" w:after="100" w:afterAutospacing="1"/>
      <w:jc w:val="center"/>
      <w:textAlignment w:val="center"/>
    </w:pPr>
    <w:rPr>
      <w:sz w:val="18"/>
      <w:szCs w:val="18"/>
    </w:rPr>
  </w:style>
  <w:style w:type="paragraph" w:customStyle="1" w:styleId="968">
    <w:name w:val="xl194"/>
    <w:basedOn w:val="1"/>
    <w:qFormat/>
    <w:uiPriority w:val="0"/>
    <w:pPr>
      <w:pBdr>
        <w:top w:val="single" w:color="auto" w:sz="8" w:space="0"/>
        <w:left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sz w:val="18"/>
      <w:szCs w:val="18"/>
    </w:rPr>
  </w:style>
  <w:style w:type="paragraph" w:customStyle="1" w:styleId="969">
    <w:name w:val="xl195"/>
    <w:basedOn w:val="1"/>
    <w:qFormat/>
    <w:uiPriority w:val="0"/>
    <w:pPr>
      <w:pBdr>
        <w:left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sz w:val="18"/>
      <w:szCs w:val="18"/>
    </w:rPr>
  </w:style>
  <w:style w:type="paragraph" w:customStyle="1" w:styleId="970">
    <w:name w:val="xl196"/>
    <w:basedOn w:val="1"/>
    <w:qFormat/>
    <w:uiPriority w:val="0"/>
    <w:pPr>
      <w:pBdr>
        <w:left w:val="single" w:color="auto" w:sz="8" w:space="0"/>
        <w:bottom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sz w:val="18"/>
      <w:szCs w:val="18"/>
    </w:rPr>
  </w:style>
  <w:style w:type="paragraph" w:customStyle="1" w:styleId="971">
    <w:name w:val="xl197"/>
    <w:basedOn w:val="1"/>
    <w:qFormat/>
    <w:uiPriority w:val="0"/>
    <w:pPr>
      <w:pBdr>
        <w:top w:val="single" w:color="auto" w:sz="8" w:space="0"/>
        <w:left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2">
    <w:name w:val="xl198"/>
    <w:basedOn w:val="1"/>
    <w:qFormat/>
    <w:uiPriority w:val="0"/>
    <w:pPr>
      <w:pBdr>
        <w:top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3">
    <w:name w:val="xl199"/>
    <w:basedOn w:val="1"/>
    <w:qFormat/>
    <w:uiPriority w:val="0"/>
    <w:pPr>
      <w:pBdr>
        <w:top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4">
    <w:name w:val="xl200"/>
    <w:basedOn w:val="1"/>
    <w:qFormat/>
    <w:uiPriority w:val="0"/>
    <w:pPr>
      <w:pBdr>
        <w:left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5">
    <w:name w:val="xl201"/>
    <w:basedOn w:val="1"/>
    <w:qFormat/>
    <w:uiPriority w:val="0"/>
    <w:pP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6">
    <w:name w:val="xl202"/>
    <w:basedOn w:val="1"/>
    <w:qFormat/>
    <w:uiPriority w:val="0"/>
    <w:pPr>
      <w:pBdr>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7">
    <w:name w:val="xl203"/>
    <w:basedOn w:val="1"/>
    <w:qFormat/>
    <w:uiPriority w:val="0"/>
    <w:pPr>
      <w:pBdr>
        <w:left w:val="single" w:color="auto" w:sz="8" w:space="0"/>
        <w:bottom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8">
    <w:name w:val="xl204"/>
    <w:basedOn w:val="1"/>
    <w:qFormat/>
    <w:uiPriority w:val="0"/>
    <w:pPr>
      <w:pBdr>
        <w:bottom w:val="single" w:color="auto" w:sz="8" w:space="0"/>
      </w:pBdr>
      <w:shd w:val="clear" w:color="000000" w:fill="FCE4D6"/>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79">
    <w:name w:val="xl205"/>
    <w:basedOn w:val="1"/>
    <w:qFormat/>
    <w:uiPriority w:val="0"/>
    <w:pPr>
      <w:pBdr>
        <w:top w:val="single" w:color="auto" w:sz="8" w:space="0"/>
        <w:left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80">
    <w:name w:val="xl206"/>
    <w:basedOn w:val="1"/>
    <w:qFormat/>
    <w:uiPriority w:val="0"/>
    <w:pPr>
      <w:pBdr>
        <w:left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81">
    <w:name w:val="xl207"/>
    <w:basedOn w:val="1"/>
    <w:qFormat/>
    <w:uiPriority w:val="0"/>
    <w:pPr>
      <w:pBdr>
        <w:left w:val="single" w:color="auto" w:sz="8" w:space="0"/>
        <w:bottom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82">
    <w:name w:val="xl208"/>
    <w:basedOn w:val="1"/>
    <w:qFormat/>
    <w:uiPriority w:val="0"/>
    <w:pPr>
      <w:pBdr>
        <w:left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sz w:val="18"/>
      <w:szCs w:val="18"/>
    </w:rPr>
  </w:style>
  <w:style w:type="paragraph" w:customStyle="1" w:styleId="983">
    <w:name w:val="xl209"/>
    <w:basedOn w:val="1"/>
    <w:qFormat/>
    <w:uiPriority w:val="0"/>
    <w:pPr>
      <w:pBdr>
        <w:top w:val="single" w:color="auto" w:sz="8" w:space="0"/>
        <w:left w:val="single" w:color="auto" w:sz="8" w:space="0"/>
        <w:right w:val="single" w:color="auto" w:sz="8" w:space="0"/>
      </w:pBdr>
      <w:shd w:val="clear" w:color="000000" w:fill="DDEBF7"/>
      <w:spacing w:before="100" w:beforeAutospacing="1" w:after="100" w:afterAutospacing="1"/>
      <w:jc w:val="center"/>
      <w:textAlignment w:val="center"/>
    </w:pPr>
    <w:rPr>
      <w:sz w:val="18"/>
      <w:szCs w:val="18"/>
    </w:rPr>
  </w:style>
  <w:style w:type="paragraph" w:customStyle="1" w:styleId="984">
    <w:name w:val="xl210"/>
    <w:basedOn w:val="1"/>
    <w:qFormat/>
    <w:uiPriority w:val="0"/>
    <w:pPr>
      <w:pBdr>
        <w:left w:val="single" w:color="auto" w:sz="8" w:space="0"/>
        <w:right w:val="single" w:color="auto" w:sz="8" w:space="0"/>
      </w:pBdr>
      <w:shd w:val="clear" w:color="000000" w:fill="DDEBF7"/>
      <w:spacing w:before="100" w:beforeAutospacing="1" w:after="100" w:afterAutospacing="1"/>
      <w:jc w:val="center"/>
      <w:textAlignment w:val="center"/>
    </w:pPr>
    <w:rPr>
      <w:sz w:val="18"/>
      <w:szCs w:val="18"/>
    </w:rPr>
  </w:style>
  <w:style w:type="paragraph" w:customStyle="1" w:styleId="985">
    <w:name w:val="xl211"/>
    <w:basedOn w:val="1"/>
    <w:qFormat/>
    <w:uiPriority w:val="0"/>
    <w:pPr>
      <w:pBdr>
        <w:left w:val="single" w:color="auto" w:sz="8" w:space="0"/>
        <w:right w:val="single" w:color="auto" w:sz="8" w:space="0"/>
      </w:pBdr>
      <w:shd w:val="clear" w:color="000000" w:fill="DDEBF7"/>
      <w:spacing w:before="100" w:beforeAutospacing="1" w:after="100" w:afterAutospacing="1"/>
      <w:jc w:val="center"/>
      <w:textAlignment w:val="center"/>
    </w:pPr>
    <w:rPr>
      <w:color w:val="000000"/>
      <w:sz w:val="18"/>
      <w:szCs w:val="18"/>
    </w:rPr>
  </w:style>
  <w:style w:type="paragraph" w:customStyle="1" w:styleId="986">
    <w:name w:val="xl212"/>
    <w:basedOn w:val="1"/>
    <w:qFormat/>
    <w:uiPriority w:val="0"/>
    <w:pPr>
      <w:pBdr>
        <w:top w:val="single" w:color="auto" w:sz="8" w:space="0"/>
        <w:left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87">
    <w:name w:val="xl213"/>
    <w:basedOn w:val="1"/>
    <w:qFormat/>
    <w:uiPriority w:val="0"/>
    <w:pPr>
      <w:pBdr>
        <w:left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88">
    <w:name w:val="xl214"/>
    <w:basedOn w:val="1"/>
    <w:qFormat/>
    <w:uiPriority w:val="0"/>
    <w:pPr>
      <w:pBdr>
        <w:left w:val="single" w:color="auto" w:sz="8" w:space="0"/>
        <w:bottom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89">
    <w:name w:val="xl215"/>
    <w:basedOn w:val="1"/>
    <w:qFormat/>
    <w:uiPriority w:val="0"/>
    <w:pPr>
      <w:pBdr>
        <w:top w:val="single" w:color="auto" w:sz="8" w:space="0"/>
        <w:left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90">
    <w:name w:val="xl216"/>
    <w:basedOn w:val="1"/>
    <w:qFormat/>
    <w:uiPriority w:val="0"/>
    <w:pPr>
      <w:pBdr>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sz w:val="18"/>
      <w:szCs w:val="18"/>
    </w:rPr>
  </w:style>
  <w:style w:type="paragraph" w:customStyle="1" w:styleId="991">
    <w:name w:val="xl217"/>
    <w:basedOn w:val="1"/>
    <w:qFormat/>
    <w:uiPriority w:val="0"/>
    <w:pPr>
      <w:pBdr>
        <w:top w:val="single" w:color="auto" w:sz="8" w:space="0"/>
        <w:left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2">
    <w:name w:val="xl218"/>
    <w:basedOn w:val="1"/>
    <w:qFormat/>
    <w:uiPriority w:val="0"/>
    <w:pPr>
      <w:pBdr>
        <w:left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3">
    <w:name w:val="xl219"/>
    <w:basedOn w:val="1"/>
    <w:qFormat/>
    <w:uiPriority w:val="0"/>
    <w:pPr>
      <w:pBdr>
        <w:left w:val="single" w:color="auto" w:sz="8" w:space="0"/>
        <w:bottom w:val="single" w:color="auto" w:sz="8" w:space="0"/>
        <w:right w:val="single" w:color="auto" w:sz="8" w:space="0"/>
      </w:pBdr>
      <w:shd w:val="clear" w:color="000000" w:fill="FFC000"/>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4">
    <w:name w:val="xl220"/>
    <w:basedOn w:val="1"/>
    <w:qFormat/>
    <w:uiPriority w:val="0"/>
    <w:pPr>
      <w:pBdr>
        <w:top w:val="single" w:color="auto" w:sz="8" w:space="0"/>
        <w:left w:val="single" w:color="auto" w:sz="8" w:space="0"/>
        <w:right w:val="single" w:color="auto" w:sz="8" w:space="0"/>
      </w:pBdr>
      <w:shd w:val="clear" w:color="000000" w:fill="FCE4D6"/>
      <w:spacing w:before="100" w:beforeAutospacing="1" w:after="100" w:afterAutospacing="1"/>
      <w:jc w:val="center"/>
      <w:textAlignment w:val="center"/>
    </w:pPr>
    <w:rPr>
      <w:sz w:val="18"/>
      <w:szCs w:val="18"/>
    </w:rPr>
  </w:style>
  <w:style w:type="paragraph" w:customStyle="1" w:styleId="995">
    <w:name w:val="xl221"/>
    <w:basedOn w:val="1"/>
    <w:qFormat/>
    <w:uiPriority w:val="0"/>
    <w:pPr>
      <w:pBdr>
        <w:top w:val="single" w:color="auto" w:sz="8" w:space="0"/>
        <w:left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6">
    <w:name w:val="xl222"/>
    <w:basedOn w:val="1"/>
    <w:qFormat/>
    <w:uiPriority w:val="0"/>
    <w:pPr>
      <w:pBdr>
        <w:left w:val="single" w:color="auto" w:sz="8" w:space="0"/>
        <w:bottom w:val="single" w:color="auto" w:sz="8" w:space="0"/>
        <w:right w:val="single" w:color="auto" w:sz="8"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7">
    <w:name w:val="xl223"/>
    <w:basedOn w:val="1"/>
    <w:qFormat/>
    <w:uiPriority w:val="0"/>
    <w:pPr>
      <w:pBdr>
        <w:top w:val="single" w:color="auto" w:sz="8" w:space="0"/>
        <w:left w:val="single" w:color="auto" w:sz="8" w:space="0"/>
        <w:right w:val="single" w:color="auto" w:sz="8" w:space="0"/>
      </w:pBdr>
      <w:shd w:val="clear" w:color="000000" w:fill="FCE4D6"/>
      <w:spacing w:before="100" w:beforeAutospacing="1" w:after="100" w:afterAutospacing="1"/>
      <w:jc w:val="center"/>
      <w:textAlignment w:val="center"/>
    </w:pPr>
    <w:rPr>
      <w:rFonts w:ascii="Times New Roman" w:hAnsi="Times New Roman" w:cs="Times New Roman"/>
      <w:sz w:val="18"/>
      <w:szCs w:val="18"/>
    </w:rPr>
  </w:style>
  <w:style w:type="paragraph" w:customStyle="1" w:styleId="998">
    <w:name w:val="xl224"/>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999">
    <w:name w:val="样式 表格文字中 + 左侧:  -0.1 字符"/>
    <w:basedOn w:val="1"/>
    <w:qFormat/>
    <w:uiPriority w:val="0"/>
    <w:pPr>
      <w:tabs>
        <w:tab w:val="left" w:pos="1727"/>
        <w:tab w:val="left" w:pos="1884"/>
      </w:tabs>
      <w:autoSpaceDE w:val="0"/>
      <w:autoSpaceDN w:val="0"/>
      <w:adjustRightInd w:val="0"/>
      <w:snapToGrid w:val="0"/>
      <w:spacing w:line="360" w:lineRule="auto"/>
      <w:ind w:left="-10"/>
    </w:pPr>
    <w:rPr>
      <w:rFonts w:hAnsi="Arial"/>
      <w:color w:val="000000"/>
      <w:kern w:val="2"/>
      <w:szCs w:val="20"/>
      <w:lang w:val="zh-CN"/>
    </w:rPr>
  </w:style>
  <w:style w:type="character" w:customStyle="1" w:styleId="1000">
    <w:name w:val="未处理的提及1"/>
    <w:basedOn w:val="67"/>
    <w:semiHidden/>
    <w:unhideWhenUsed/>
    <w:qFormat/>
    <w:uiPriority w:val="99"/>
    <w:rPr>
      <w:color w:val="605E5C"/>
      <w:shd w:val="clear" w:color="auto" w:fill="E1DFDD"/>
    </w:rPr>
  </w:style>
  <w:style w:type="paragraph" w:customStyle="1" w:styleId="1001">
    <w:name w:val="c047f70a-4733-4f89-8971-bccdea5ca046"/>
    <w:basedOn w:val="46"/>
    <w:next w:val="1002"/>
    <w:link w:val="1003"/>
    <w:qFormat/>
    <w:uiPriority w:val="0"/>
    <w:pPr>
      <w:adjustRightInd w:val="0"/>
      <w:spacing w:after="0" w:line="288" w:lineRule="auto"/>
    </w:pPr>
    <w:rPr>
      <w:rFonts w:ascii="微软雅黑" w:hAnsi="微软雅黑" w:eastAsia="微软雅黑"/>
      <w:color w:val="000000"/>
      <w:sz w:val="36"/>
      <w14:textFill>
        <w14:solidFill>
          <w14:srgbClr w14:val="000000">
            <w14:lumMod w14:val="65000"/>
            <w14:lumOff w14:val="35000"/>
          </w14:srgbClr>
        </w14:solidFill>
      </w14:textFill>
    </w:rPr>
  </w:style>
  <w:style w:type="paragraph" w:customStyle="1" w:styleId="1002">
    <w:name w:val="acbfdd8b-e11b-4d36-88ff-6049b138f862"/>
    <w:basedOn w:val="1"/>
    <w:link w:val="1004"/>
    <w:qFormat/>
    <w:uiPriority w:val="0"/>
    <w:pPr>
      <w:adjustRightInd w:val="0"/>
      <w:spacing w:line="288" w:lineRule="auto"/>
    </w:pPr>
    <w:rPr>
      <w:rFonts w:ascii="微软雅黑" w:hAnsi="微软雅黑" w:eastAsia="微软雅黑"/>
      <w:color w:val="000000"/>
      <w:sz w:val="22"/>
    </w:rPr>
  </w:style>
  <w:style w:type="character" w:customStyle="1" w:styleId="1003">
    <w:name w:val="c047f70a-4733-4f89-8971-bccdea5ca046 字符"/>
    <w:basedOn w:val="282"/>
    <w:link w:val="1001"/>
    <w:qFormat/>
    <w:uiPriority w:val="0"/>
    <w:rPr>
      <w:rFonts w:ascii="微软雅黑" w:hAnsi="微软雅黑" w:eastAsia="微软雅黑" w:cstheme="majorBidi"/>
      <w:color w:val="000000"/>
      <w:spacing w:val="15"/>
      <w:sz w:val="36"/>
      <w:szCs w:val="28"/>
    </w:rPr>
  </w:style>
  <w:style w:type="character" w:customStyle="1" w:styleId="1004">
    <w:name w:val="acbfdd8b-e11b-4d36-88ff-6049b138f862 字符"/>
    <w:basedOn w:val="282"/>
    <w:link w:val="1002"/>
    <w:qFormat/>
    <w:uiPriority w:val="0"/>
    <w:rPr>
      <w:rFonts w:ascii="微软雅黑" w:hAnsi="微软雅黑" w:eastAsia="微软雅黑" w:cs="宋体"/>
      <w:color w:val="000000"/>
      <w:sz w:val="22"/>
      <w:szCs w:val="24"/>
    </w:rPr>
  </w:style>
  <w:style w:type="paragraph" w:customStyle="1" w:styleId="1005">
    <w:name w:val="zhengwen"/>
    <w:basedOn w:val="1"/>
    <w:qFormat/>
    <w:uiPriority w:val="0"/>
    <w:pPr>
      <w:widowControl w:val="0"/>
      <w:adjustRightInd w:val="0"/>
      <w:snapToGrid w:val="0"/>
      <w:spacing w:line="360" w:lineRule="auto"/>
      <w:ind w:firstLine="200" w:firstLineChars="200"/>
    </w:pPr>
    <w:rPr>
      <w:rFonts w:ascii="Calibri" w:hAnsi="Calibri" w:cs="Times New Roman"/>
      <w:kern w:val="2"/>
      <w:szCs w:val="22"/>
    </w:rPr>
  </w:style>
  <w:style w:type="paragraph" w:customStyle="1" w:styleId="1006">
    <w:name w:val="W样式55"/>
    <w:basedOn w:val="951"/>
    <w:qFormat/>
    <w:uiPriority w:val="0"/>
    <w:pPr>
      <w:ind w:left="283"/>
    </w:pPr>
  </w:style>
  <w:style w:type="paragraph" w:customStyle="1" w:styleId="1007">
    <w:name w:val="BMTM"/>
    <w:basedOn w:val="1"/>
    <w:qFormat/>
    <w:uiPriority w:val="0"/>
    <w:pPr>
      <w:widowControl w:val="0"/>
      <w:adjustRightInd w:val="0"/>
      <w:snapToGrid w:val="0"/>
      <w:jc w:val="center"/>
    </w:pPr>
    <w:rPr>
      <w:rFonts w:ascii="Times New Roman" w:hAnsi="Times New Roman" w:cs="Times New Roman"/>
      <w:b/>
      <w:kern w:val="2"/>
      <w:sz w:val="20"/>
      <w:szCs w:val="21"/>
    </w:rPr>
  </w:style>
  <w:style w:type="paragraph" w:customStyle="1" w:styleId="1008">
    <w:name w:val="样式 正文（首行缩进两字） + 行距: 固定值 20 磅"/>
    <w:basedOn w:val="1"/>
    <w:qFormat/>
    <w:uiPriority w:val="99"/>
    <w:pPr>
      <w:widowControl w:val="0"/>
      <w:spacing w:line="400" w:lineRule="exact"/>
      <w:ind w:firstLine="200" w:firstLineChars="200"/>
      <w:jc w:val="both"/>
    </w:pPr>
    <w:rPr>
      <w:rFonts w:ascii="Times New Roman" w:hAnsi="Times New Roman" w:cs="Times New Roman"/>
      <w:kern w:val="2"/>
      <w:szCs w:val="20"/>
    </w:rPr>
  </w:style>
  <w:style w:type="character" w:customStyle="1" w:styleId="1009">
    <w:name w:val="4 Char"/>
    <w:link w:val="704"/>
    <w:qFormat/>
    <w:uiPriority w:val="0"/>
    <w:rPr>
      <w:rFonts w:ascii="宋体" w:hAnsi="宋体" w:cs="宋体"/>
      <w:sz w:val="24"/>
      <w:szCs w:val="24"/>
    </w:rPr>
  </w:style>
  <w:style w:type="character" w:customStyle="1" w:styleId="1010">
    <w:name w:val="BTL 1.1.1 Char"/>
    <w:link w:val="1011"/>
    <w:qFormat/>
    <w:locked/>
    <w:uiPriority w:val="0"/>
    <w:rPr>
      <w:rFonts w:ascii="楷体_GB2312" w:eastAsia="楷体_GB2312"/>
      <w:b/>
      <w:bCs/>
      <w:color w:val="000000"/>
      <w:sz w:val="28"/>
      <w:szCs w:val="28"/>
    </w:rPr>
  </w:style>
  <w:style w:type="paragraph" w:customStyle="1" w:styleId="1011">
    <w:name w:val="BTL 1.1.1"/>
    <w:next w:val="1"/>
    <w:link w:val="1010"/>
    <w:qFormat/>
    <w:uiPriority w:val="0"/>
    <w:pPr>
      <w:spacing w:line="360" w:lineRule="auto"/>
      <w:ind w:firstLine="422" w:firstLineChars="150"/>
      <w:jc w:val="both"/>
      <w:outlineLvl w:val="2"/>
    </w:pPr>
    <w:rPr>
      <w:rFonts w:ascii="楷体_GB2312" w:hAnsi="Calibri" w:eastAsia="楷体_GB2312" w:cs="Times New Roman"/>
      <w:b/>
      <w:bCs/>
      <w:color w:val="000000"/>
      <w:sz w:val="28"/>
      <w:szCs w:val="28"/>
      <w:lang w:val="en-US" w:eastAsia="zh-CN" w:bidi="ar-SA"/>
    </w:rPr>
  </w:style>
  <w:style w:type="paragraph" w:customStyle="1" w:styleId="1012">
    <w:name w:val="样式111 大标题"/>
    <w:basedOn w:val="96"/>
    <w:link w:val="1013"/>
    <w:qFormat/>
    <w:uiPriority w:val="0"/>
    <w:pPr>
      <w:numPr>
        <w:ilvl w:val="0"/>
        <w:numId w:val="1"/>
      </w:numPr>
    </w:pPr>
  </w:style>
  <w:style w:type="character" w:customStyle="1" w:styleId="1013">
    <w:name w:val="样式111 大标题 字符"/>
    <w:basedOn w:val="100"/>
    <w:link w:val="1012"/>
    <w:qFormat/>
    <w:uiPriority w:val="0"/>
    <w:rPr>
      <w:rFonts w:ascii="Times New Roman" w:hAnsi="Times New Roman" w:eastAsia="黑体"/>
      <w:sz w:val="48"/>
      <w:szCs w:val="48"/>
    </w:rPr>
  </w:style>
  <w:style w:type="paragraph" w:customStyle="1" w:styleId="1014">
    <w:name w:val="正文小四首缩1.3行距"/>
    <w:basedOn w:val="1"/>
    <w:qFormat/>
    <w:uiPriority w:val="0"/>
    <w:pPr>
      <w:spacing w:line="312" w:lineRule="auto"/>
      <w:ind w:firstLine="420" w:firstLineChars="200"/>
    </w:pPr>
    <w:rPr>
      <w:rFonts w:ascii="Times New Roman" w:hAnsi="Times New Roman"/>
      <w:kern w:val="2"/>
    </w:rPr>
  </w:style>
  <w:style w:type="paragraph" w:customStyle="1" w:styleId="1015">
    <w:name w:val="表"/>
    <w:basedOn w:val="1"/>
    <w:qFormat/>
    <w:uiPriority w:val="0"/>
    <w:pPr>
      <w:snapToGrid w:val="0"/>
      <w:jc w:val="center"/>
    </w:pPr>
    <w:rPr>
      <w:rFonts w:ascii="Arial Narrow" w:hAnsi="Arial Narrow" w:eastAsia="仿宋_GB2312" w:cs="Times New Roman"/>
      <w:b/>
      <w:bCs/>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60.jpeg"/><Relationship Id="rId98" Type="http://schemas.openxmlformats.org/officeDocument/2006/relationships/image" Target="media/image59.jpeg"/><Relationship Id="rId97" Type="http://schemas.openxmlformats.org/officeDocument/2006/relationships/image" Target="media/image58.jpeg"/><Relationship Id="rId96" Type="http://schemas.openxmlformats.org/officeDocument/2006/relationships/image" Target="media/image57.jpeg"/><Relationship Id="rId95" Type="http://schemas.openxmlformats.org/officeDocument/2006/relationships/image" Target="media/image56.wmf"/><Relationship Id="rId94" Type="http://schemas.openxmlformats.org/officeDocument/2006/relationships/oleObject" Target="embeddings/oleObject28.bin"/><Relationship Id="rId93" Type="http://schemas.openxmlformats.org/officeDocument/2006/relationships/oleObject" Target="embeddings/oleObject27.bin"/><Relationship Id="rId92" Type="http://schemas.openxmlformats.org/officeDocument/2006/relationships/image" Target="media/image55.png"/><Relationship Id="rId91" Type="http://schemas.openxmlformats.org/officeDocument/2006/relationships/image" Target="media/image54.wmf"/><Relationship Id="rId90" Type="http://schemas.openxmlformats.org/officeDocument/2006/relationships/oleObject" Target="embeddings/oleObject26.bin"/><Relationship Id="rId9" Type="http://schemas.openxmlformats.org/officeDocument/2006/relationships/header" Target="header3.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wmf"/><Relationship Id="rId8" Type="http://schemas.openxmlformats.org/officeDocument/2006/relationships/footer" Target="footer4.xml"/><Relationship Id="rId79" Type="http://schemas.openxmlformats.org/officeDocument/2006/relationships/oleObject" Target="embeddings/oleObject25.bin"/><Relationship Id="rId78" Type="http://schemas.openxmlformats.org/officeDocument/2006/relationships/image" Target="media/image43.wmf"/><Relationship Id="rId77" Type="http://schemas.openxmlformats.org/officeDocument/2006/relationships/oleObject" Target="embeddings/oleObject24.bin"/><Relationship Id="rId76" Type="http://schemas.openxmlformats.org/officeDocument/2006/relationships/image" Target="media/image42.wmf"/><Relationship Id="rId75" Type="http://schemas.openxmlformats.org/officeDocument/2006/relationships/oleObject" Target="embeddings/oleObject23.bin"/><Relationship Id="rId74" Type="http://schemas.openxmlformats.org/officeDocument/2006/relationships/image" Target="media/image41.wmf"/><Relationship Id="rId73" Type="http://schemas.openxmlformats.org/officeDocument/2006/relationships/oleObject" Target="embeddings/oleObject22.bin"/><Relationship Id="rId72" Type="http://schemas.openxmlformats.org/officeDocument/2006/relationships/image" Target="media/image40.wmf"/><Relationship Id="rId71" Type="http://schemas.openxmlformats.org/officeDocument/2006/relationships/oleObject" Target="embeddings/oleObject21.bin"/><Relationship Id="rId70" Type="http://schemas.openxmlformats.org/officeDocument/2006/relationships/image" Target="media/image39.wmf"/><Relationship Id="rId7" Type="http://schemas.openxmlformats.org/officeDocument/2006/relationships/footer" Target="footer3.xml"/><Relationship Id="rId69" Type="http://schemas.openxmlformats.org/officeDocument/2006/relationships/oleObject" Target="embeddings/oleObject20.bin"/><Relationship Id="rId68" Type="http://schemas.openxmlformats.org/officeDocument/2006/relationships/image" Target="media/image38.wmf"/><Relationship Id="rId67" Type="http://schemas.openxmlformats.org/officeDocument/2006/relationships/oleObject" Target="embeddings/oleObject19.bin"/><Relationship Id="rId66" Type="http://schemas.openxmlformats.org/officeDocument/2006/relationships/image" Target="media/image37.wmf"/><Relationship Id="rId65" Type="http://schemas.openxmlformats.org/officeDocument/2006/relationships/oleObject" Target="embeddings/oleObject18.bin"/><Relationship Id="rId64" Type="http://schemas.openxmlformats.org/officeDocument/2006/relationships/image" Target="media/image36.wmf"/><Relationship Id="rId63" Type="http://schemas.openxmlformats.org/officeDocument/2006/relationships/oleObject" Target="embeddings/oleObject17.bin"/><Relationship Id="rId62" Type="http://schemas.openxmlformats.org/officeDocument/2006/relationships/image" Target="media/image35.wmf"/><Relationship Id="rId61" Type="http://schemas.openxmlformats.org/officeDocument/2006/relationships/oleObject" Target="embeddings/oleObject16.bin"/><Relationship Id="rId60" Type="http://schemas.openxmlformats.org/officeDocument/2006/relationships/image" Target="media/image34.wmf"/><Relationship Id="rId6" Type="http://schemas.openxmlformats.org/officeDocument/2006/relationships/header" Target="header2.xml"/><Relationship Id="rId59" Type="http://schemas.openxmlformats.org/officeDocument/2006/relationships/oleObject" Target="embeddings/oleObject15.bin"/><Relationship Id="rId58" Type="http://schemas.openxmlformats.org/officeDocument/2006/relationships/image" Target="media/image33.wmf"/><Relationship Id="rId57" Type="http://schemas.openxmlformats.org/officeDocument/2006/relationships/oleObject" Target="embeddings/oleObject14.bin"/><Relationship Id="rId56" Type="http://schemas.openxmlformats.org/officeDocument/2006/relationships/image" Target="media/image32.wmf"/><Relationship Id="rId55" Type="http://schemas.openxmlformats.org/officeDocument/2006/relationships/oleObject" Target="embeddings/oleObject13.bin"/><Relationship Id="rId54" Type="http://schemas.openxmlformats.org/officeDocument/2006/relationships/oleObject" Target="embeddings/oleObject12.bin"/><Relationship Id="rId53" Type="http://schemas.openxmlformats.org/officeDocument/2006/relationships/image" Target="media/image31.wmf"/><Relationship Id="rId52" Type="http://schemas.openxmlformats.org/officeDocument/2006/relationships/oleObject" Target="embeddings/oleObject11.bin"/><Relationship Id="rId51" Type="http://schemas.openxmlformats.org/officeDocument/2006/relationships/image" Target="media/image30.wmf"/><Relationship Id="rId50" Type="http://schemas.openxmlformats.org/officeDocument/2006/relationships/oleObject" Target="embeddings/oleObject10.bin"/><Relationship Id="rId5" Type="http://schemas.openxmlformats.org/officeDocument/2006/relationships/footer" Target="footer2.xml"/><Relationship Id="rId49" Type="http://schemas.openxmlformats.org/officeDocument/2006/relationships/image" Target="media/image29.wmf"/><Relationship Id="rId48" Type="http://schemas.openxmlformats.org/officeDocument/2006/relationships/oleObject" Target="embeddings/oleObject9.bin"/><Relationship Id="rId47" Type="http://schemas.openxmlformats.org/officeDocument/2006/relationships/image" Target="media/image28.wmf"/><Relationship Id="rId46" Type="http://schemas.openxmlformats.org/officeDocument/2006/relationships/oleObject" Target="embeddings/oleObject8.bin"/><Relationship Id="rId45" Type="http://schemas.openxmlformats.org/officeDocument/2006/relationships/image" Target="media/image27.png"/><Relationship Id="rId44" Type="http://schemas.openxmlformats.org/officeDocument/2006/relationships/image" Target="media/image26.wmf"/><Relationship Id="rId43" Type="http://schemas.openxmlformats.org/officeDocument/2006/relationships/oleObject" Target="embeddings/oleObject7.bin"/><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image" Target="media/image21.wmf"/><Relationship Id="rId37" Type="http://schemas.openxmlformats.org/officeDocument/2006/relationships/oleObject" Target="embeddings/oleObject6.bin"/><Relationship Id="rId36" Type="http://schemas.openxmlformats.org/officeDocument/2006/relationships/image" Target="media/image20.wmf"/><Relationship Id="rId35" Type="http://schemas.openxmlformats.org/officeDocument/2006/relationships/oleObject" Target="embeddings/oleObject5.bin"/><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4.bin"/><Relationship Id="rId27" Type="http://schemas.openxmlformats.org/officeDocument/2006/relationships/image" Target="media/image13.wmf"/><Relationship Id="rId26" Type="http://schemas.openxmlformats.org/officeDocument/2006/relationships/oleObject" Target="embeddings/oleObject3.bin"/><Relationship Id="rId25" Type="http://schemas.openxmlformats.org/officeDocument/2006/relationships/image" Target="media/image12.wmf"/><Relationship Id="rId24" Type="http://schemas.openxmlformats.org/officeDocument/2006/relationships/oleObject" Target="embeddings/oleObject2.bin"/><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61.png"/><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B95F66-5E04-4EC2-8F43-ACCF36AF10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526</Pages>
  <Words>8579</Words>
  <Characters>9687</Characters>
  <Lines>20856</Lines>
  <Paragraphs>21662</Paragraphs>
  <TotalTime>80</TotalTime>
  <ScaleCrop>false</ScaleCrop>
  <LinksUpToDate>false</LinksUpToDate>
  <CharactersWithSpaces>9885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2024-11-27T02:40:00Z</dcterms:created>
  <dc:creator>Administrator</dc:creator>
  <cp:lastModifiedBy>LinKang</cp:lastModifiedBy>
  <cp:lastPrinted>2025-07-23T03:22:00Z</cp:lastPrinted>
  <dcterms:modified xsi:type="dcterms:W3CDTF">2025-07-24T11:39:44Z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eyJoZGlkIjoiNWFlMmM2NDk4NmQ2NGZkNDg0YTI4NTAyMzE0YmExNzMiLCJ1c2VySWQiOiIxMDQzNDQ3MjQ0In0=</vt:lpwstr>
  </property>
  <property fmtid="{D5CDD505-2E9C-101B-9397-08002B2CF9AE}" pid="3" name="KSOProductBuildVer">
    <vt:lpwstr>2052-12.1.0.21915</vt:lpwstr>
  </property>
  <property fmtid="{D5CDD505-2E9C-101B-9397-08002B2CF9AE}" pid="4" name="ICV">
    <vt:lpwstr>A17EC1152049489788FF2601DE8AB5C2_13</vt:lpwstr>
  </property>
</Properties>
</file>